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E0C9D" w14:textId="3C278898" w:rsidR="00FA6A07" w:rsidRDefault="00CA0771" w:rsidP="009F0721">
      <w:bookmarkStart w:id="0" w:name="_Toc364420776"/>
      <w:bookmarkStart w:id="1" w:name="_Toc373320412"/>
      <w:bookmarkStart w:id="2" w:name="_Toc364760891"/>
      <w:bookmarkStart w:id="3" w:name="_Ref374003659"/>
      <w:bookmarkStart w:id="4" w:name="_Ref374020349"/>
      <w:bookmarkStart w:id="5" w:name="_Ref395197462"/>
      <w:bookmarkStart w:id="6" w:name="_Toc48143009"/>
      <w:bookmarkStart w:id="7" w:name="_Ref395185383"/>
      <w:bookmarkStart w:id="8" w:name="_Ref395185524"/>
      <w:bookmarkStart w:id="9" w:name="_Ref395185685"/>
      <w:bookmarkStart w:id="10" w:name="_Toc48143010"/>
      <w:bookmarkStart w:id="11" w:name="_Ref298608810"/>
      <w:bookmarkStart w:id="12" w:name="_Ref298613000"/>
      <w:bookmarkStart w:id="13" w:name="_Toc364420777"/>
      <w:bookmarkStart w:id="14" w:name="_Toc373320413"/>
      <w:bookmarkStart w:id="15" w:name="_Toc364760892"/>
      <w:r w:rsidRPr="00AD50A6">
        <w:rPr>
          <w:noProof/>
        </w:rPr>
        <w:drawing>
          <wp:anchor distT="0" distB="0" distL="114300" distR="114300" simplePos="0" relativeHeight="251658242" behindDoc="0" locked="0" layoutInCell="1" allowOverlap="1" wp14:anchorId="682805A0" wp14:editId="63FA8AB4">
            <wp:simplePos x="0" y="0"/>
            <wp:positionH relativeFrom="column">
              <wp:posOffset>4474210</wp:posOffset>
            </wp:positionH>
            <wp:positionV relativeFrom="paragraph">
              <wp:posOffset>-716915</wp:posOffset>
            </wp:positionV>
            <wp:extent cx="2092569" cy="2097275"/>
            <wp:effectExtent l="0" t="0" r="3175" b="0"/>
            <wp:wrapNone/>
            <wp:docPr id="11" name="Picture 11" descr="http://save814.com/images/Pennsylvania-Public-Utility-Commi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e814.com/images/Pennsylvania-Public-Utility-Commiss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2569" cy="209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0A6">
        <w:rPr>
          <w:noProof/>
        </w:rPr>
        <mc:AlternateContent>
          <mc:Choice Requires="wps">
            <w:drawing>
              <wp:anchor distT="0" distB="0" distL="114300" distR="114300" simplePos="0" relativeHeight="251658240" behindDoc="0" locked="0" layoutInCell="1" allowOverlap="1" wp14:anchorId="2D0BFA71" wp14:editId="0AE1FF3F">
                <wp:simplePos x="0" y="0"/>
                <wp:positionH relativeFrom="page">
                  <wp:posOffset>155575</wp:posOffset>
                </wp:positionH>
                <wp:positionV relativeFrom="page">
                  <wp:posOffset>201295</wp:posOffset>
                </wp:positionV>
                <wp:extent cx="5363210" cy="9655810"/>
                <wp:effectExtent l="0" t="0" r="8890" b="25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gradFill flip="none" rotWithShape="1">
                          <a:gsLst>
                            <a:gs pos="0">
                              <a:schemeClr val="tx2">
                                <a:lumMod val="75000"/>
                                <a:shade val="30000"/>
                                <a:satMod val="115000"/>
                              </a:schemeClr>
                            </a:gs>
                            <a:gs pos="50000">
                              <a:schemeClr val="tx2">
                                <a:lumMod val="75000"/>
                                <a:shade val="67500"/>
                                <a:satMod val="115000"/>
                              </a:schemeClr>
                            </a:gs>
                            <a:gs pos="100000">
                              <a:srgbClr val="123663"/>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3786BC" w14:textId="77777777" w:rsidR="00CA0771" w:rsidRDefault="00CA0771" w:rsidP="00CA0771">
                            <w:pPr>
                              <w:pStyle w:val="Title"/>
                              <w:jc w:val="right"/>
                              <w:rPr>
                                <w:caps/>
                                <w:color w:val="FFFFFF" w:themeColor="background1"/>
                                <w:sz w:val="72"/>
                                <w:szCs w:val="72"/>
                              </w:rPr>
                            </w:pPr>
                          </w:p>
                          <w:p w14:paraId="3838A706" w14:textId="77777777" w:rsidR="00CA0771" w:rsidRDefault="00CA0771" w:rsidP="00CA0771">
                            <w:pPr>
                              <w:spacing w:before="240"/>
                              <w:ind w:left="720"/>
                              <w:jc w:val="right"/>
                              <w:rPr>
                                <w:color w:val="FFFFFF" w:themeColor="background1"/>
                              </w:rPr>
                            </w:pPr>
                          </w:p>
                          <w:p w14:paraId="706C6B04" w14:textId="77777777" w:rsidR="00CA0771" w:rsidRDefault="00CA0771" w:rsidP="00CA0771">
                            <w:pPr>
                              <w:spacing w:before="240"/>
                              <w:ind w:left="1008"/>
                              <w:jc w:val="right"/>
                              <w:rPr>
                                <w:color w:val="FFFFFF" w:themeColor="background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2D0BFA71" id="Rectangle 47" o:spid="_x0000_s1026" style="position:absolute;left:0;text-align:left;margin-left:12.25pt;margin-top:15.85pt;width:422.3pt;height:760.3pt;z-index:251658240;visibility:visible;mso-wrap-style:square;mso-width-percent:690;mso-height-percent:960;mso-wrap-distance-left:9pt;mso-wrap-distance-top:0;mso-wrap-distance-right:9pt;mso-wrap-distance-bottom:0;mso-position-horizontal:absolute;mso-position-horizontal-relative:page;mso-position-vertical:absolute;mso-position-vertical-relative:page;mso-width-percent:69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" fillcolor="#323e4f [2415]" stroked="f" strokeweight="1pt">
                <v:fill color2="#123663" rotate="t" focusposition="1,1" focussize="" colors="0 #18202c;.5 #273343;1 #123663" focus="100%" type="gradientRadial"/>
                <v:textbox inset="21.6pt,1in,21.6pt">
                  <w:txbxContent>
                    <w:p w14:paraId="473786BC" w14:textId="77777777" w:rsidR="00CA0771" w:rsidRDefault="00CA0771" w:rsidP="00CA0771">
                      <w:pPr>
                        <w:pStyle w:val="Title"/>
                        <w:jc w:val="right"/>
                        <w:rPr>
                          <w:caps/>
                          <w:color w:val="FFFFFF" w:themeColor="background1"/>
                          <w:sz w:val="72"/>
                          <w:szCs w:val="72"/>
                        </w:rPr>
                      </w:pPr>
                    </w:p>
                    <w:p w14:paraId="3838A706" w14:textId="77777777" w:rsidR="00CA0771" w:rsidRDefault="00CA0771" w:rsidP="00CA0771">
                      <w:pPr>
                        <w:spacing w:before="240"/>
                        <w:ind w:left="720"/>
                        <w:jc w:val="right"/>
                        <w:rPr>
                          <w:color w:val="FFFFFF" w:themeColor="background1"/>
                        </w:rPr>
                      </w:pPr>
                    </w:p>
                    <w:p w14:paraId="706C6B04" w14:textId="77777777" w:rsidR="00CA0771" w:rsidRDefault="00CA0771" w:rsidP="00CA0771">
                      <w:pPr>
                        <w:spacing w:before="240"/>
                        <w:ind w:left="1008"/>
                        <w:jc w:val="right"/>
                        <w:rPr>
                          <w:color w:val="FFFFFF" w:themeColor="background1"/>
                        </w:rPr>
                      </w:pPr>
                    </w:p>
                  </w:txbxContent>
                </v:textbox>
                <w10:wrap anchorx="page" anchory="page"/>
              </v:rect>
            </w:pict>
          </mc:Fallback>
        </mc:AlternateContent>
      </w:r>
    </w:p>
    <w:p w14:paraId="7CD21E2D" w14:textId="77777777" w:rsidR="00CA0771" w:rsidRDefault="00CA0771" w:rsidP="009F0721"/>
    <w:p w14:paraId="58CDFC9C" w14:textId="77777777" w:rsidR="00CA0771" w:rsidRDefault="00CA0771" w:rsidP="009F0721"/>
    <w:p w14:paraId="45BF408D" w14:textId="7E0B88FB" w:rsidR="00CA0771" w:rsidRDefault="00CA0771" w:rsidP="009F0721">
      <w:r w:rsidRPr="00AD50A6">
        <w:rPr>
          <w:noProof/>
        </w:rPr>
        <mc:AlternateContent>
          <mc:Choice Requires="wps">
            <w:drawing>
              <wp:anchor distT="0" distB="0" distL="114300" distR="114300" simplePos="0" relativeHeight="251658241" behindDoc="0" locked="0" layoutInCell="1" allowOverlap="1" wp14:anchorId="1951550B" wp14:editId="7BF04201">
                <wp:simplePos x="0" y="0"/>
                <wp:positionH relativeFrom="page">
                  <wp:posOffset>5685155</wp:posOffset>
                </wp:positionH>
                <wp:positionV relativeFrom="page">
                  <wp:posOffset>2212975</wp:posOffset>
                </wp:positionV>
                <wp:extent cx="1855177" cy="7631039"/>
                <wp:effectExtent l="0" t="0" r="0" b="825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5177" cy="7631039"/>
                        </a:xfrm>
                        <a:prstGeom prst="rect">
                          <a:avLst/>
                        </a:prstGeom>
                        <a:gradFill>
                          <a:gsLst>
                            <a:gs pos="14000">
                              <a:srgbClr val="C9DAA6">
                                <a:lumMod val="100000"/>
                              </a:srgbClr>
                            </a:gs>
                            <a:gs pos="24000">
                              <a:srgbClr val="AEC87A"/>
                            </a:gs>
                            <a:gs pos="39000">
                              <a:schemeClr val="accent3"/>
                            </a:gs>
                            <a:gs pos="4000">
                              <a:schemeClr val="bg1"/>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52707E" w14:textId="77777777" w:rsidR="00CA0771" w:rsidRDefault="00CA0771" w:rsidP="00CA0771">
                            <w:pPr>
                              <w:pStyle w:val="Subtitle"/>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51550B" id="Rectangle 48" o:spid="_x0000_s1027" style="position:absolute;left:0;text-align:left;margin-left:447.65pt;margin-top:174.25pt;width:146.1pt;height:600.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" fillcolor="white [3212]" stroked="f" strokeweight="1pt">
                <v:fill color2="#a5a5a5 [3206]" colors="0 white;2621f white;9175f #c9daa6;15729f #aec87a" focus="100%" type="gradient">
                  <o:fill v:ext="view" type="gradientUnscaled"/>
                </v:fill>
                <v:textbox inset="14.4pt,,14.4pt">
                  <w:txbxContent>
                    <w:p w14:paraId="0A52707E" w14:textId="77777777" w:rsidR="00CA0771" w:rsidRDefault="00CA0771" w:rsidP="00CA0771">
                      <w:pPr>
                        <w:pStyle w:val="Subtitle"/>
                        <w:rPr>
                          <w:color w:val="FFFFFF" w:themeColor="background1"/>
                        </w:rPr>
                      </w:pPr>
                    </w:p>
                  </w:txbxContent>
                </v:textbox>
                <w10:wrap anchorx="page" anchory="page"/>
              </v:rect>
            </w:pict>
          </mc:Fallback>
        </mc:AlternateContent>
      </w:r>
    </w:p>
    <w:p w14:paraId="4F1CBB36" w14:textId="77777777" w:rsidR="00764CF2" w:rsidRDefault="00764CF2" w:rsidP="009F0721"/>
    <w:p w14:paraId="64FB673C" w14:textId="5B84D062" w:rsidR="00764CF2" w:rsidRDefault="00340182">
      <w:pPr>
        <w:jc w:val="left"/>
      </w:pPr>
      <w:r w:rsidRPr="00AD50A6">
        <w:rPr>
          <w:b/>
          <w:noProof/>
          <w:color w:val="FF0000"/>
          <w:sz w:val="28"/>
        </w:rPr>
        <mc:AlternateContent>
          <mc:Choice Requires="wps">
            <w:drawing>
              <wp:anchor distT="0" distB="0" distL="114300" distR="114300" simplePos="0" relativeHeight="251658243" behindDoc="0" locked="0" layoutInCell="1" allowOverlap="1" wp14:anchorId="49FCF525" wp14:editId="66EE59AE">
                <wp:simplePos x="0" y="0"/>
                <wp:positionH relativeFrom="column">
                  <wp:posOffset>-987425</wp:posOffset>
                </wp:positionH>
                <wp:positionV relativeFrom="paragraph">
                  <wp:posOffset>2956560</wp:posOffset>
                </wp:positionV>
                <wp:extent cx="5305425" cy="12096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209675"/>
                        </a:xfrm>
                        <a:prstGeom prst="rect">
                          <a:avLst/>
                        </a:prstGeom>
                        <a:noFill/>
                        <a:ln w="9525">
                          <a:noFill/>
                          <a:miter lim="800000"/>
                          <a:headEnd/>
                          <a:tailEnd/>
                        </a:ln>
                      </wps:spPr>
                      <wps:txbx>
                        <w:txbxContent>
                          <w:p w14:paraId="79067FDB" w14:textId="77777777" w:rsidR="003E083B" w:rsidRPr="00597241" w:rsidRDefault="003E083B" w:rsidP="003E083B">
                            <w:pPr>
                              <w:spacing w:after="120"/>
                              <w:jc w:val="right"/>
                              <w:rPr>
                                <w:rFonts w:ascii="Arial Nova Light" w:hAnsi="Arial Nova Light" w:cs="Arial"/>
                                <w:b/>
                                <w:color w:val="FFFFFF" w:themeColor="background1"/>
                                <w:sz w:val="28"/>
                                <w:szCs w:val="30"/>
                              </w:rPr>
                            </w:pPr>
                            <w:r w:rsidRPr="00597241">
                              <w:rPr>
                                <w:rFonts w:ascii="Arial Nova Light" w:hAnsi="Arial Nova Light" w:cs="Arial"/>
                                <w:b/>
                                <w:color w:val="FFFFFF" w:themeColor="background1"/>
                                <w:sz w:val="28"/>
                                <w:szCs w:val="30"/>
                              </w:rPr>
                              <w:t>State of Pennsylvania</w:t>
                            </w:r>
                          </w:p>
                          <w:p w14:paraId="0963DF2F" w14:textId="77777777" w:rsidR="003E083B" w:rsidRPr="00597241" w:rsidRDefault="003E083B" w:rsidP="003E083B">
                            <w:pPr>
                              <w:spacing w:after="120"/>
                              <w:jc w:val="right"/>
                              <w:rPr>
                                <w:rFonts w:ascii="Arial Nova Light" w:hAnsi="Arial Nova Light" w:cs="Arial"/>
                                <w:color w:val="FFFFFF" w:themeColor="background1"/>
                                <w:sz w:val="28"/>
                                <w:szCs w:val="30"/>
                              </w:rPr>
                            </w:pPr>
                            <w:r w:rsidRPr="00597241">
                              <w:rPr>
                                <w:rFonts w:ascii="Arial Nova Light" w:hAnsi="Arial Nova Light" w:cs="Arial"/>
                                <w:b/>
                                <w:color w:val="FFFFFF" w:themeColor="background1"/>
                                <w:sz w:val="28"/>
                                <w:szCs w:val="30"/>
                              </w:rPr>
                              <w:t>Act 129</w:t>
                            </w:r>
                            <w:r w:rsidRPr="00597241">
                              <w:rPr>
                                <w:rFonts w:ascii="Arial Nova Light" w:hAnsi="Arial Nova Light" w:cs="Arial"/>
                                <w:color w:val="FFFFFF" w:themeColor="background1"/>
                                <w:sz w:val="28"/>
                                <w:szCs w:val="30"/>
                              </w:rPr>
                              <w:t xml:space="preserve"> Energy Efficiency and Conservation Program </w:t>
                            </w:r>
                          </w:p>
                          <w:p w14:paraId="5775D3D5" w14:textId="77777777" w:rsidR="003E083B" w:rsidRPr="00597241" w:rsidRDefault="003E083B" w:rsidP="003E083B">
                            <w:pPr>
                              <w:spacing w:after="120"/>
                              <w:jc w:val="right"/>
                              <w:rPr>
                                <w:rFonts w:ascii="Arial Nova Light" w:hAnsi="Arial Nova Light" w:cs="Arial"/>
                                <w:color w:val="FFFFFF" w:themeColor="background1"/>
                                <w:sz w:val="28"/>
                                <w:szCs w:val="30"/>
                              </w:rPr>
                            </w:pPr>
                            <w:r w:rsidRPr="00597241">
                              <w:rPr>
                                <w:rFonts w:ascii="Arial Nova Light" w:hAnsi="Arial Nova Light" w:cs="Arial"/>
                                <w:color w:val="FFFFFF" w:themeColor="background1"/>
                                <w:sz w:val="28"/>
                                <w:szCs w:val="30"/>
                              </w:rPr>
                              <w:t xml:space="preserve">&amp; </w:t>
                            </w:r>
                          </w:p>
                          <w:p w14:paraId="5E4C7056" w14:textId="77777777" w:rsidR="003E083B" w:rsidRPr="00597241" w:rsidRDefault="003E083B" w:rsidP="003E083B">
                            <w:pPr>
                              <w:spacing w:after="120"/>
                              <w:jc w:val="right"/>
                              <w:rPr>
                                <w:rFonts w:ascii="Arial Nova Light" w:hAnsi="Arial Nova Light" w:cs="Arial"/>
                                <w:color w:val="FFFFFF" w:themeColor="background1"/>
                                <w:sz w:val="28"/>
                                <w:szCs w:val="30"/>
                              </w:rPr>
                            </w:pPr>
                            <w:r w:rsidRPr="00597241">
                              <w:rPr>
                                <w:rFonts w:ascii="Arial Nova Light" w:hAnsi="Arial Nova Light" w:cs="Arial"/>
                                <w:b/>
                                <w:color w:val="FFFFFF" w:themeColor="background1"/>
                                <w:sz w:val="28"/>
                                <w:szCs w:val="30"/>
                              </w:rPr>
                              <w:t>Act 213</w:t>
                            </w:r>
                            <w:r w:rsidRPr="00597241">
                              <w:rPr>
                                <w:rFonts w:ascii="Arial Nova Light" w:hAnsi="Arial Nova Light" w:cs="Arial"/>
                                <w:color w:val="FFFFFF" w:themeColor="background1"/>
                                <w:sz w:val="28"/>
                                <w:szCs w:val="30"/>
                              </w:rPr>
                              <w:t xml:space="preserve"> Alternative Energy Portfolio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CF525" id="_x0000_t202" coordsize="21600,21600" o:spt="202" path="m,l,21600r21600,l21600,xe">
                <v:stroke joinstyle="miter"/>
                <v:path gradientshapeok="t" o:connecttype="rect"/>
              </v:shapetype>
              <v:shape id="Text Box 5" o:spid="_x0000_s1028" type="#_x0000_t202" style="position:absolute;margin-left:-77.75pt;margin-top:232.8pt;width:417.75pt;height:9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" filled="f" stroked="f">
                <v:textbox>
                  <w:txbxContent>
                    <w:p w14:paraId="79067FDB" w14:textId="77777777" w:rsidR="003E083B" w:rsidRPr="00597241" w:rsidRDefault="003E083B" w:rsidP="003E083B">
                      <w:pPr>
                        <w:spacing w:after="120"/>
                        <w:jc w:val="right"/>
                        <w:rPr>
                          <w:rFonts w:ascii="Arial Nova Light" w:hAnsi="Arial Nova Light" w:cs="Arial"/>
                          <w:b/>
                          <w:color w:val="FFFFFF" w:themeColor="background1"/>
                          <w:sz w:val="28"/>
                          <w:szCs w:val="30"/>
                        </w:rPr>
                      </w:pPr>
                      <w:r w:rsidRPr="00597241">
                        <w:rPr>
                          <w:rFonts w:ascii="Arial Nova Light" w:hAnsi="Arial Nova Light" w:cs="Arial"/>
                          <w:b/>
                          <w:color w:val="FFFFFF" w:themeColor="background1"/>
                          <w:sz w:val="28"/>
                          <w:szCs w:val="30"/>
                        </w:rPr>
                        <w:t>State of Pennsylvania</w:t>
                      </w:r>
                    </w:p>
                    <w:p w14:paraId="0963DF2F" w14:textId="77777777" w:rsidR="003E083B" w:rsidRPr="00597241" w:rsidRDefault="003E083B" w:rsidP="003E083B">
                      <w:pPr>
                        <w:spacing w:after="120"/>
                        <w:jc w:val="right"/>
                        <w:rPr>
                          <w:rFonts w:ascii="Arial Nova Light" w:hAnsi="Arial Nova Light" w:cs="Arial"/>
                          <w:color w:val="FFFFFF" w:themeColor="background1"/>
                          <w:sz w:val="28"/>
                          <w:szCs w:val="30"/>
                        </w:rPr>
                      </w:pPr>
                      <w:r w:rsidRPr="00597241">
                        <w:rPr>
                          <w:rFonts w:ascii="Arial Nova Light" w:hAnsi="Arial Nova Light" w:cs="Arial"/>
                          <w:b/>
                          <w:color w:val="FFFFFF" w:themeColor="background1"/>
                          <w:sz w:val="28"/>
                          <w:szCs w:val="30"/>
                        </w:rPr>
                        <w:t>Act 129</w:t>
                      </w:r>
                      <w:r w:rsidRPr="00597241">
                        <w:rPr>
                          <w:rFonts w:ascii="Arial Nova Light" w:hAnsi="Arial Nova Light" w:cs="Arial"/>
                          <w:color w:val="FFFFFF" w:themeColor="background1"/>
                          <w:sz w:val="28"/>
                          <w:szCs w:val="30"/>
                        </w:rPr>
                        <w:t xml:space="preserve"> Energy Efficiency and Conservation Program </w:t>
                      </w:r>
                    </w:p>
                    <w:p w14:paraId="5775D3D5" w14:textId="77777777" w:rsidR="003E083B" w:rsidRPr="00597241" w:rsidRDefault="003E083B" w:rsidP="003E083B">
                      <w:pPr>
                        <w:spacing w:after="120"/>
                        <w:jc w:val="right"/>
                        <w:rPr>
                          <w:rFonts w:ascii="Arial Nova Light" w:hAnsi="Arial Nova Light" w:cs="Arial"/>
                          <w:color w:val="FFFFFF" w:themeColor="background1"/>
                          <w:sz w:val="28"/>
                          <w:szCs w:val="30"/>
                        </w:rPr>
                      </w:pPr>
                      <w:r w:rsidRPr="00597241">
                        <w:rPr>
                          <w:rFonts w:ascii="Arial Nova Light" w:hAnsi="Arial Nova Light" w:cs="Arial"/>
                          <w:color w:val="FFFFFF" w:themeColor="background1"/>
                          <w:sz w:val="28"/>
                          <w:szCs w:val="30"/>
                        </w:rPr>
                        <w:t xml:space="preserve">&amp; </w:t>
                      </w:r>
                    </w:p>
                    <w:p w14:paraId="5E4C7056" w14:textId="77777777" w:rsidR="003E083B" w:rsidRPr="00597241" w:rsidRDefault="003E083B" w:rsidP="003E083B">
                      <w:pPr>
                        <w:spacing w:after="120"/>
                        <w:jc w:val="right"/>
                        <w:rPr>
                          <w:rFonts w:ascii="Arial Nova Light" w:hAnsi="Arial Nova Light" w:cs="Arial"/>
                          <w:color w:val="FFFFFF" w:themeColor="background1"/>
                          <w:sz w:val="28"/>
                          <w:szCs w:val="30"/>
                        </w:rPr>
                      </w:pPr>
                      <w:r w:rsidRPr="00597241">
                        <w:rPr>
                          <w:rFonts w:ascii="Arial Nova Light" w:hAnsi="Arial Nova Light" w:cs="Arial"/>
                          <w:b/>
                          <w:color w:val="FFFFFF" w:themeColor="background1"/>
                          <w:sz w:val="28"/>
                          <w:szCs w:val="30"/>
                        </w:rPr>
                        <w:t>Act 213</w:t>
                      </w:r>
                      <w:r w:rsidRPr="00597241">
                        <w:rPr>
                          <w:rFonts w:ascii="Arial Nova Light" w:hAnsi="Arial Nova Light" w:cs="Arial"/>
                          <w:color w:val="FFFFFF" w:themeColor="background1"/>
                          <w:sz w:val="28"/>
                          <w:szCs w:val="30"/>
                        </w:rPr>
                        <w:t xml:space="preserve"> Alternative Energy Portfolio Standards</w:t>
                      </w:r>
                    </w:p>
                  </w:txbxContent>
                </v:textbox>
              </v:shape>
            </w:pict>
          </mc:Fallback>
        </mc:AlternateContent>
      </w:r>
      <w:r w:rsidRPr="00AD50A6">
        <w:rPr>
          <w:b/>
          <w:noProof/>
          <w:color w:val="FF0000"/>
          <w:sz w:val="28"/>
        </w:rPr>
        <mc:AlternateContent>
          <mc:Choice Requires="wps">
            <w:drawing>
              <wp:anchor distT="0" distB="0" distL="114300" distR="114300" simplePos="0" relativeHeight="251658245" behindDoc="0" locked="0" layoutInCell="1" allowOverlap="1" wp14:anchorId="6BDC5413" wp14:editId="3657F211">
                <wp:simplePos x="0" y="0"/>
                <wp:positionH relativeFrom="column">
                  <wp:posOffset>-987425</wp:posOffset>
                </wp:positionH>
                <wp:positionV relativeFrom="paragraph">
                  <wp:posOffset>563245</wp:posOffset>
                </wp:positionV>
                <wp:extent cx="5305425" cy="2175510"/>
                <wp:effectExtent l="0" t="0" r="0" b="0"/>
                <wp:wrapNone/>
                <wp:docPr id="1576412406" name="Text Box 1576412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175510"/>
                        </a:xfrm>
                        <a:prstGeom prst="rect">
                          <a:avLst/>
                        </a:prstGeom>
                        <a:noFill/>
                        <a:ln w="9525">
                          <a:noFill/>
                          <a:miter lim="800000"/>
                          <a:headEnd/>
                          <a:tailEnd/>
                        </a:ln>
                      </wps:spPr>
                      <wps:txbx>
                        <w:txbxContent>
                          <w:p w14:paraId="1D9DA4B4" w14:textId="77777777" w:rsidR="003E083B" w:rsidRPr="003E083B" w:rsidRDefault="003E083B" w:rsidP="003E083B">
                            <w:pPr>
                              <w:jc w:val="right"/>
                              <w:rPr>
                                <w:rFonts w:cs="Arial"/>
                                <w:b/>
                                <w:color w:val="FFFFFF" w:themeColor="background1"/>
                                <w:sz w:val="72"/>
                              </w:rPr>
                            </w:pPr>
                            <w:r w:rsidRPr="003E083B">
                              <w:rPr>
                                <w:rFonts w:cs="Arial"/>
                                <w:b/>
                                <w:color w:val="FFFFFF" w:themeColor="background1"/>
                                <w:sz w:val="72"/>
                              </w:rPr>
                              <w:t>TECHNICAL REFERENCE MANUAL</w:t>
                            </w:r>
                          </w:p>
                          <w:p w14:paraId="43C46236" w14:textId="55FBA437" w:rsidR="003E083B" w:rsidRPr="003E083B" w:rsidRDefault="003E083B" w:rsidP="003E083B">
                            <w:pPr>
                              <w:jc w:val="right"/>
                              <w:rPr>
                                <w:rFonts w:cs="Arial"/>
                                <w:b/>
                                <w:color w:val="FFFFFF" w:themeColor="background1"/>
                                <w:sz w:val="40"/>
                                <w:szCs w:val="40"/>
                              </w:rPr>
                            </w:pPr>
                            <w:r w:rsidRPr="003E083B">
                              <w:rPr>
                                <w:rFonts w:cs="Arial"/>
                                <w:b/>
                                <w:color w:val="FFFFFF" w:themeColor="background1"/>
                                <w:sz w:val="40"/>
                                <w:szCs w:val="40"/>
                              </w:rPr>
                              <w:t xml:space="preserve">Volume </w:t>
                            </w:r>
                            <w:r>
                              <w:rPr>
                                <w:rFonts w:cs="Arial"/>
                                <w:b/>
                                <w:color w:val="FFFFFF" w:themeColor="background1"/>
                                <w:sz w:val="40"/>
                                <w:szCs w:val="40"/>
                              </w:rPr>
                              <w:t>2</w:t>
                            </w:r>
                            <w:r w:rsidRPr="003E083B">
                              <w:rPr>
                                <w:rFonts w:cs="Arial"/>
                                <w:b/>
                                <w:color w:val="FFFFFF" w:themeColor="background1"/>
                                <w:sz w:val="40"/>
                                <w:szCs w:val="40"/>
                              </w:rPr>
                              <w:t>:</w:t>
                            </w:r>
                          </w:p>
                          <w:p w14:paraId="5FF87CC5" w14:textId="31D7C7EB" w:rsidR="003E083B" w:rsidRPr="003E083B" w:rsidRDefault="003E083B" w:rsidP="003E083B">
                            <w:pPr>
                              <w:jc w:val="right"/>
                              <w:rPr>
                                <w:rFonts w:cs="Arial"/>
                                <w:b/>
                                <w:color w:val="FFFFFF" w:themeColor="background1"/>
                                <w:sz w:val="40"/>
                                <w:szCs w:val="40"/>
                              </w:rPr>
                            </w:pPr>
                            <w:r>
                              <w:rPr>
                                <w:rFonts w:cs="Arial"/>
                                <w:b/>
                                <w:color w:val="FFFFFF" w:themeColor="background1"/>
                                <w:sz w:val="40"/>
                                <w:szCs w:val="40"/>
                              </w:rPr>
                              <w:t xml:space="preserve">Residential </w:t>
                            </w:r>
                            <w:r w:rsidR="005C5154" w:rsidRPr="005C5154">
                              <w:rPr>
                                <w:rFonts w:cs="Arial"/>
                                <w:b/>
                                <w:color w:val="FFFFFF" w:themeColor="background1"/>
                                <w:sz w:val="40"/>
                                <w:szCs w:val="40"/>
                              </w:rPr>
                              <w:t>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C5413" id="Text Box 1576412406" o:spid="_x0000_s1029" type="#_x0000_t202" style="position:absolute;margin-left:-77.75pt;margin-top:44.35pt;width:417.75pt;height:171.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" filled="f" stroked="f">
                <v:textbox>
                  <w:txbxContent>
                    <w:p w14:paraId="1D9DA4B4" w14:textId="77777777" w:rsidR="003E083B" w:rsidRPr="003E083B" w:rsidRDefault="003E083B" w:rsidP="003E083B">
                      <w:pPr>
                        <w:jc w:val="right"/>
                        <w:rPr>
                          <w:rFonts w:cs="Arial"/>
                          <w:b/>
                          <w:color w:val="FFFFFF" w:themeColor="background1"/>
                          <w:sz w:val="72"/>
                        </w:rPr>
                      </w:pPr>
                      <w:r w:rsidRPr="003E083B">
                        <w:rPr>
                          <w:rFonts w:cs="Arial"/>
                          <w:b/>
                          <w:color w:val="FFFFFF" w:themeColor="background1"/>
                          <w:sz w:val="72"/>
                        </w:rPr>
                        <w:t>TECHNICAL REFERENCE MANUAL</w:t>
                      </w:r>
                    </w:p>
                    <w:p w14:paraId="43C46236" w14:textId="55FBA437" w:rsidR="003E083B" w:rsidRPr="003E083B" w:rsidRDefault="003E083B" w:rsidP="003E083B">
                      <w:pPr>
                        <w:jc w:val="right"/>
                        <w:rPr>
                          <w:rFonts w:cs="Arial"/>
                          <w:b/>
                          <w:color w:val="FFFFFF" w:themeColor="background1"/>
                          <w:sz w:val="40"/>
                          <w:szCs w:val="40"/>
                        </w:rPr>
                      </w:pPr>
                      <w:r w:rsidRPr="003E083B">
                        <w:rPr>
                          <w:rFonts w:cs="Arial"/>
                          <w:b/>
                          <w:color w:val="FFFFFF" w:themeColor="background1"/>
                          <w:sz w:val="40"/>
                          <w:szCs w:val="40"/>
                        </w:rPr>
                        <w:t xml:space="preserve">Volume </w:t>
                      </w:r>
                      <w:r>
                        <w:rPr>
                          <w:rFonts w:cs="Arial"/>
                          <w:b/>
                          <w:color w:val="FFFFFF" w:themeColor="background1"/>
                          <w:sz w:val="40"/>
                          <w:szCs w:val="40"/>
                        </w:rPr>
                        <w:t>2</w:t>
                      </w:r>
                      <w:r w:rsidRPr="003E083B">
                        <w:rPr>
                          <w:rFonts w:cs="Arial"/>
                          <w:b/>
                          <w:color w:val="FFFFFF" w:themeColor="background1"/>
                          <w:sz w:val="40"/>
                          <w:szCs w:val="40"/>
                        </w:rPr>
                        <w:t>:</w:t>
                      </w:r>
                    </w:p>
                    <w:p w14:paraId="5FF87CC5" w14:textId="31D7C7EB" w:rsidR="003E083B" w:rsidRPr="003E083B" w:rsidRDefault="003E083B" w:rsidP="003E083B">
                      <w:pPr>
                        <w:jc w:val="right"/>
                        <w:rPr>
                          <w:rFonts w:cs="Arial"/>
                          <w:b/>
                          <w:color w:val="FFFFFF" w:themeColor="background1"/>
                          <w:sz w:val="40"/>
                          <w:szCs w:val="40"/>
                        </w:rPr>
                      </w:pPr>
                      <w:r>
                        <w:rPr>
                          <w:rFonts w:cs="Arial"/>
                          <w:b/>
                          <w:color w:val="FFFFFF" w:themeColor="background1"/>
                          <w:sz w:val="40"/>
                          <w:szCs w:val="40"/>
                        </w:rPr>
                        <w:t xml:space="preserve">Residential </w:t>
                      </w:r>
                      <w:r w:rsidR="005C5154" w:rsidRPr="005C5154">
                        <w:rPr>
                          <w:rFonts w:cs="Arial"/>
                          <w:b/>
                          <w:color w:val="FFFFFF" w:themeColor="background1"/>
                          <w:sz w:val="40"/>
                          <w:szCs w:val="40"/>
                        </w:rPr>
                        <w:t>Measures</w:t>
                      </w:r>
                    </w:p>
                  </w:txbxContent>
                </v:textbox>
              </v:shape>
            </w:pict>
          </mc:Fallback>
        </mc:AlternateContent>
      </w:r>
      <w:r w:rsidRPr="00AD50A6">
        <w:rPr>
          <w:b/>
          <w:noProof/>
          <w:color w:val="FF0000"/>
          <w:sz w:val="28"/>
        </w:rPr>
        <mc:AlternateContent>
          <mc:Choice Requires="wps">
            <w:drawing>
              <wp:anchor distT="0" distB="0" distL="114300" distR="114300" simplePos="0" relativeHeight="251658244" behindDoc="0" locked="0" layoutInCell="1" allowOverlap="1" wp14:anchorId="4D19C2A8" wp14:editId="3CC03FAF">
                <wp:simplePos x="0" y="0"/>
                <wp:positionH relativeFrom="column">
                  <wp:posOffset>-987425</wp:posOffset>
                </wp:positionH>
                <wp:positionV relativeFrom="paragraph">
                  <wp:posOffset>4488180</wp:posOffset>
                </wp:positionV>
                <wp:extent cx="5305425" cy="9429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942975"/>
                        </a:xfrm>
                        <a:prstGeom prst="rect">
                          <a:avLst/>
                        </a:prstGeom>
                        <a:noFill/>
                        <a:ln w="9525">
                          <a:noFill/>
                          <a:miter lim="800000"/>
                          <a:headEnd/>
                          <a:tailEnd/>
                        </a:ln>
                      </wps:spPr>
                      <wps:txbx>
                        <w:txbxContent>
                          <w:p w14:paraId="52A39CD4" w14:textId="77777777" w:rsidR="003E083B" w:rsidRPr="003E083B" w:rsidRDefault="003E083B" w:rsidP="003E083B">
                            <w:pPr>
                              <w:spacing w:after="120"/>
                              <w:jc w:val="right"/>
                              <w:rPr>
                                <w:rFonts w:cs="Arial"/>
                                <w:b/>
                                <w:color w:val="FFFFFF" w:themeColor="background1"/>
                                <w:sz w:val="24"/>
                                <w:szCs w:val="30"/>
                              </w:rPr>
                            </w:pPr>
                            <w:r w:rsidRPr="003E083B">
                              <w:rPr>
                                <w:rFonts w:cs="Arial"/>
                                <w:b/>
                                <w:color w:val="FFFFFF" w:themeColor="background1"/>
                                <w:sz w:val="24"/>
                                <w:szCs w:val="30"/>
                              </w:rPr>
                              <w:t>Issued May 2024</w:t>
                            </w:r>
                          </w:p>
                          <w:p w14:paraId="69C453D8" w14:textId="77777777" w:rsidR="003E083B" w:rsidRDefault="003E083B" w:rsidP="003E083B">
                            <w:pPr>
                              <w:spacing w:after="120"/>
                              <w:jc w:val="right"/>
                              <w:rPr>
                                <w:rFonts w:cs="Arial"/>
                                <w:b/>
                                <w:color w:val="FFFFFF" w:themeColor="background1"/>
                                <w:sz w:val="24"/>
                                <w:szCs w:val="3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9C2A8" id="Text Box 8" o:spid="_x0000_s1030" type="#_x0000_t202" style="position:absolute;margin-left:-77.75pt;margin-top:353.4pt;width:417.75pt;height:7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" filled="f" stroked="f">
                <v:textbox>
                  <w:txbxContent>
                    <w:p w14:paraId="52A39CD4" w14:textId="77777777" w:rsidR="003E083B" w:rsidRPr="003E083B" w:rsidRDefault="003E083B" w:rsidP="003E083B">
                      <w:pPr>
                        <w:spacing w:after="120"/>
                        <w:jc w:val="right"/>
                        <w:rPr>
                          <w:rFonts w:cs="Arial"/>
                          <w:b/>
                          <w:color w:val="FFFFFF" w:themeColor="background1"/>
                          <w:sz w:val="24"/>
                          <w:szCs w:val="30"/>
                        </w:rPr>
                      </w:pPr>
                      <w:r w:rsidRPr="003E083B">
                        <w:rPr>
                          <w:rFonts w:cs="Arial"/>
                          <w:b/>
                          <w:color w:val="FFFFFF" w:themeColor="background1"/>
                          <w:sz w:val="24"/>
                          <w:szCs w:val="30"/>
                        </w:rPr>
                        <w:t>Issued May 2024</w:t>
                      </w:r>
                    </w:p>
                    <w:p w14:paraId="69C453D8" w14:textId="77777777" w:rsidR="003E083B" w:rsidRDefault="003E083B" w:rsidP="003E083B">
                      <w:pPr>
                        <w:spacing w:after="120"/>
                        <w:jc w:val="right"/>
                        <w:rPr>
                          <w:rFonts w:cs="Arial"/>
                          <w:b/>
                          <w:color w:val="FFFFFF" w:themeColor="background1"/>
                          <w:sz w:val="24"/>
                          <w:szCs w:val="30"/>
                        </w:rPr>
                      </w:pPr>
                    </w:p>
                  </w:txbxContent>
                </v:textbox>
              </v:shape>
            </w:pict>
          </mc:Fallback>
        </mc:AlternateContent>
      </w:r>
      <w:r w:rsidR="00764CF2">
        <w:br w:type="page"/>
      </w:r>
    </w:p>
    <w:p w14:paraId="0117024D" w14:textId="3D2FEE2E" w:rsidR="00CA0771" w:rsidRDefault="00CA0771" w:rsidP="009F0721">
      <w:pPr>
        <w:sectPr w:rsidR="00CA0771" w:rsidSect="002D556C">
          <w:headerReference w:type="default" r:id="rId12"/>
          <w:footerReference w:type="default" r:id="rId13"/>
          <w:footerReference w:type="first" r:id="rId14"/>
          <w:pgSz w:w="12240" w:h="15840" w:code="1"/>
          <w:pgMar w:top="1440" w:right="1800" w:bottom="1440" w:left="1800" w:header="720" w:footer="504" w:gutter="0"/>
          <w:pgNumType w:start="1"/>
          <w:cols w:space="720"/>
        </w:sectPr>
      </w:pPr>
    </w:p>
    <w:sdt>
      <w:sdtPr>
        <w:id w:val="-868303832"/>
        <w:docPartObj>
          <w:docPartGallery w:val="Table of Contents"/>
          <w:docPartUnique/>
        </w:docPartObj>
      </w:sdtPr>
      <w:sdtEndPr>
        <w:rPr>
          <w:b/>
          <w:bCs/>
          <w:noProof/>
        </w:rPr>
      </w:sdtEndPr>
      <w:sdtContent>
        <w:p w14:paraId="6A063ACB" w14:textId="77777777" w:rsidR="005C5154" w:rsidRPr="00AD50A6" w:rsidRDefault="005C5154" w:rsidP="005C5154">
          <w:pPr>
            <w:shd w:val="clear" w:color="auto" w:fill="123663"/>
            <w:spacing w:after="240"/>
            <w:jc w:val="right"/>
            <w:rPr>
              <w:rFonts w:ascii="Arial Bold" w:hAnsi="Arial Bold"/>
              <w:b/>
              <w:smallCaps/>
              <w:sz w:val="30"/>
              <w:szCs w:val="32"/>
            </w:rPr>
          </w:pPr>
          <w:r w:rsidRPr="00AD50A6">
            <w:rPr>
              <w:rFonts w:ascii="Arial Bold" w:hAnsi="Arial Bold"/>
              <w:b/>
              <w:smallCaps/>
              <w:sz w:val="30"/>
              <w:szCs w:val="32"/>
            </w:rPr>
            <w:t>Table of Contents</w:t>
          </w:r>
        </w:p>
        <w:p w14:paraId="70A266EE" w14:textId="2F0D5A5D" w:rsidR="005C5154" w:rsidRDefault="005C5154">
          <w:pPr>
            <w:pStyle w:val="TOC1"/>
            <w:tabs>
              <w:tab w:val="right" w:leader="dot" w:pos="8630"/>
            </w:tabs>
            <w:rPr>
              <w:rFonts w:asciiTheme="minorHAnsi" w:eastAsiaTheme="minorEastAsia" w:hAnsiTheme="minorHAnsi" w:cstheme="minorBidi"/>
              <w:b w:val="0"/>
              <w:smallCaps w:val="0"/>
              <w:noProof/>
              <w:kern w:val="2"/>
              <w:sz w:val="24"/>
              <w:szCs w:val="24"/>
              <w14:ligatures w14:val="standardContextual"/>
            </w:rPr>
          </w:pPr>
          <w:r>
            <w:fldChar w:fldCharType="begin"/>
          </w:r>
          <w:r>
            <w:instrText xml:space="preserve"> TOC \o "1-3" \h \z \u </w:instrText>
          </w:r>
          <w:r>
            <w:fldChar w:fldCharType="separate"/>
          </w:r>
          <w:hyperlink w:anchor="_Toc164786627" w:history="1">
            <w:r w:rsidRPr="000A3736">
              <w:rPr>
                <w:rStyle w:val="Hyperlink"/>
                <w:noProof/>
              </w:rPr>
              <w:t>2</w:t>
            </w:r>
            <w:r>
              <w:rPr>
                <w:rFonts w:asciiTheme="minorHAnsi" w:eastAsiaTheme="minorEastAsia" w:hAnsiTheme="minorHAnsi" w:cstheme="minorBidi"/>
                <w:b w:val="0"/>
                <w:smallCaps w:val="0"/>
                <w:noProof/>
                <w:kern w:val="2"/>
                <w:sz w:val="24"/>
                <w:szCs w:val="24"/>
                <w14:ligatures w14:val="standardContextual"/>
              </w:rPr>
              <w:tab/>
            </w:r>
            <w:r w:rsidRPr="000A3736">
              <w:rPr>
                <w:rStyle w:val="Hyperlink"/>
                <w:noProof/>
              </w:rPr>
              <w:t>Residential Measures</w:t>
            </w:r>
            <w:r>
              <w:rPr>
                <w:noProof/>
                <w:webHidden/>
              </w:rPr>
              <w:tab/>
            </w:r>
            <w:r>
              <w:rPr>
                <w:noProof/>
                <w:webHidden/>
              </w:rPr>
              <w:fldChar w:fldCharType="begin"/>
            </w:r>
            <w:r>
              <w:rPr>
                <w:noProof/>
                <w:webHidden/>
              </w:rPr>
              <w:instrText xml:space="preserve"> PAGEREF _Toc164786627 \h </w:instrText>
            </w:r>
            <w:r>
              <w:rPr>
                <w:noProof/>
                <w:webHidden/>
              </w:rPr>
            </w:r>
            <w:r>
              <w:rPr>
                <w:noProof/>
                <w:webHidden/>
              </w:rPr>
              <w:fldChar w:fldCharType="separate"/>
            </w:r>
            <w:r>
              <w:rPr>
                <w:noProof/>
                <w:webHidden/>
              </w:rPr>
              <w:t>1</w:t>
            </w:r>
            <w:r>
              <w:rPr>
                <w:noProof/>
                <w:webHidden/>
              </w:rPr>
              <w:fldChar w:fldCharType="end"/>
            </w:r>
          </w:hyperlink>
        </w:p>
        <w:p w14:paraId="2153B525" w14:textId="03201982" w:rsidR="005C5154" w:rsidRDefault="003B5E04">
          <w:pPr>
            <w:pStyle w:val="TOC2"/>
            <w:rPr>
              <w:rFonts w:asciiTheme="minorHAnsi" w:eastAsiaTheme="minorEastAsia" w:hAnsiTheme="minorHAnsi" w:cstheme="minorBidi"/>
              <w:b w:val="0"/>
              <w:kern w:val="2"/>
              <w:sz w:val="24"/>
              <w:szCs w:val="24"/>
              <w14:ligatures w14:val="standardContextual"/>
            </w:rPr>
          </w:pPr>
          <w:hyperlink w:anchor="_Toc164786628" w:history="1">
            <w:r w:rsidR="005C5154" w:rsidRPr="000A3736">
              <w:rPr>
                <w:rStyle w:val="Hyperlink"/>
              </w:rPr>
              <w:t>2.1</w:t>
            </w:r>
            <w:r w:rsidR="005C5154">
              <w:rPr>
                <w:rFonts w:asciiTheme="minorHAnsi" w:eastAsiaTheme="minorEastAsia" w:hAnsiTheme="minorHAnsi" w:cstheme="minorBidi"/>
                <w:b w:val="0"/>
                <w:kern w:val="2"/>
                <w:sz w:val="24"/>
                <w:szCs w:val="24"/>
                <w14:ligatures w14:val="standardContextual"/>
              </w:rPr>
              <w:tab/>
            </w:r>
            <w:r w:rsidR="005C5154" w:rsidRPr="000A3736">
              <w:rPr>
                <w:rStyle w:val="Hyperlink"/>
              </w:rPr>
              <w:t>Lighting</w:t>
            </w:r>
            <w:r w:rsidR="005C5154">
              <w:rPr>
                <w:webHidden/>
              </w:rPr>
              <w:tab/>
            </w:r>
            <w:r w:rsidR="005C5154">
              <w:rPr>
                <w:webHidden/>
              </w:rPr>
              <w:fldChar w:fldCharType="begin"/>
            </w:r>
            <w:r w:rsidR="005C5154">
              <w:rPr>
                <w:webHidden/>
              </w:rPr>
              <w:instrText xml:space="preserve"> PAGEREF _Toc164786628 \h </w:instrText>
            </w:r>
            <w:r w:rsidR="005C5154">
              <w:rPr>
                <w:webHidden/>
              </w:rPr>
            </w:r>
            <w:r w:rsidR="005C5154">
              <w:rPr>
                <w:webHidden/>
              </w:rPr>
              <w:fldChar w:fldCharType="separate"/>
            </w:r>
            <w:r w:rsidR="005C5154">
              <w:rPr>
                <w:webHidden/>
              </w:rPr>
              <w:t>1</w:t>
            </w:r>
            <w:r w:rsidR="005C5154">
              <w:rPr>
                <w:webHidden/>
              </w:rPr>
              <w:fldChar w:fldCharType="end"/>
            </w:r>
          </w:hyperlink>
        </w:p>
        <w:p w14:paraId="23590983" w14:textId="0B2CB73A"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29" w:history="1">
            <w:r w:rsidR="005C5154" w:rsidRPr="000A3736">
              <w:rPr>
                <w:rStyle w:val="Hyperlink"/>
                <w:noProof/>
              </w:rPr>
              <w:t>2.1.1</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Residential LED Lighting</w:t>
            </w:r>
            <w:r w:rsidR="005C5154">
              <w:rPr>
                <w:noProof/>
                <w:webHidden/>
              </w:rPr>
              <w:tab/>
            </w:r>
            <w:r w:rsidR="005C5154">
              <w:rPr>
                <w:noProof/>
                <w:webHidden/>
              </w:rPr>
              <w:fldChar w:fldCharType="begin"/>
            </w:r>
            <w:r w:rsidR="005C5154">
              <w:rPr>
                <w:noProof/>
                <w:webHidden/>
              </w:rPr>
              <w:instrText xml:space="preserve"> PAGEREF _Toc164786629 \h </w:instrText>
            </w:r>
            <w:r w:rsidR="005C5154">
              <w:rPr>
                <w:noProof/>
                <w:webHidden/>
              </w:rPr>
            </w:r>
            <w:r w:rsidR="005C5154">
              <w:rPr>
                <w:noProof/>
                <w:webHidden/>
              </w:rPr>
              <w:fldChar w:fldCharType="separate"/>
            </w:r>
            <w:r w:rsidR="005C5154">
              <w:rPr>
                <w:noProof/>
                <w:webHidden/>
              </w:rPr>
              <w:t>1</w:t>
            </w:r>
            <w:r w:rsidR="005C5154">
              <w:rPr>
                <w:noProof/>
                <w:webHidden/>
              </w:rPr>
              <w:fldChar w:fldCharType="end"/>
            </w:r>
          </w:hyperlink>
        </w:p>
        <w:p w14:paraId="29CE9B7E" w14:textId="2CB7AA95"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30" w:history="1">
            <w:r w:rsidR="005C5154" w:rsidRPr="000A3736">
              <w:rPr>
                <w:rStyle w:val="Hyperlink"/>
                <w:noProof/>
              </w:rPr>
              <w:t>2.1.2</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Residential Occupancy Sensors</w:t>
            </w:r>
            <w:r w:rsidR="005C5154">
              <w:rPr>
                <w:noProof/>
                <w:webHidden/>
              </w:rPr>
              <w:tab/>
            </w:r>
            <w:r w:rsidR="005C5154">
              <w:rPr>
                <w:noProof/>
                <w:webHidden/>
              </w:rPr>
              <w:fldChar w:fldCharType="begin"/>
            </w:r>
            <w:r w:rsidR="005C5154">
              <w:rPr>
                <w:noProof/>
                <w:webHidden/>
              </w:rPr>
              <w:instrText xml:space="preserve"> PAGEREF _Toc164786630 \h </w:instrText>
            </w:r>
            <w:r w:rsidR="005C5154">
              <w:rPr>
                <w:noProof/>
                <w:webHidden/>
              </w:rPr>
            </w:r>
            <w:r w:rsidR="005C5154">
              <w:rPr>
                <w:noProof/>
                <w:webHidden/>
              </w:rPr>
              <w:fldChar w:fldCharType="separate"/>
            </w:r>
            <w:r w:rsidR="005C5154">
              <w:rPr>
                <w:noProof/>
                <w:webHidden/>
              </w:rPr>
              <w:t>6</w:t>
            </w:r>
            <w:r w:rsidR="005C5154">
              <w:rPr>
                <w:noProof/>
                <w:webHidden/>
              </w:rPr>
              <w:fldChar w:fldCharType="end"/>
            </w:r>
          </w:hyperlink>
        </w:p>
        <w:p w14:paraId="762FED63" w14:textId="616A5916"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31" w:history="1">
            <w:r w:rsidR="005C5154" w:rsidRPr="000A3736">
              <w:rPr>
                <w:rStyle w:val="Hyperlink"/>
                <w:noProof/>
              </w:rPr>
              <w:t>2.1.3</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LED and Electroluminescent Nightlights</w:t>
            </w:r>
            <w:r w:rsidR="005C5154">
              <w:rPr>
                <w:noProof/>
                <w:webHidden/>
              </w:rPr>
              <w:tab/>
            </w:r>
            <w:r w:rsidR="005C5154">
              <w:rPr>
                <w:noProof/>
                <w:webHidden/>
              </w:rPr>
              <w:fldChar w:fldCharType="begin"/>
            </w:r>
            <w:r w:rsidR="005C5154">
              <w:rPr>
                <w:noProof/>
                <w:webHidden/>
              </w:rPr>
              <w:instrText xml:space="preserve"> PAGEREF _Toc164786631 \h </w:instrText>
            </w:r>
            <w:r w:rsidR="005C5154">
              <w:rPr>
                <w:noProof/>
                <w:webHidden/>
              </w:rPr>
            </w:r>
            <w:r w:rsidR="005C5154">
              <w:rPr>
                <w:noProof/>
                <w:webHidden/>
              </w:rPr>
              <w:fldChar w:fldCharType="separate"/>
            </w:r>
            <w:r w:rsidR="005C5154">
              <w:rPr>
                <w:noProof/>
                <w:webHidden/>
              </w:rPr>
              <w:t>9</w:t>
            </w:r>
            <w:r w:rsidR="005C5154">
              <w:rPr>
                <w:noProof/>
                <w:webHidden/>
              </w:rPr>
              <w:fldChar w:fldCharType="end"/>
            </w:r>
          </w:hyperlink>
        </w:p>
        <w:p w14:paraId="27B2ED25" w14:textId="4CF62694"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32" w:history="1">
            <w:r w:rsidR="005C5154" w:rsidRPr="000A3736">
              <w:rPr>
                <w:rStyle w:val="Hyperlink"/>
                <w:noProof/>
              </w:rPr>
              <w:t>2.1.4</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Holiday Lights</w:t>
            </w:r>
            <w:r w:rsidR="005C5154">
              <w:rPr>
                <w:noProof/>
                <w:webHidden/>
              </w:rPr>
              <w:tab/>
            </w:r>
            <w:r w:rsidR="005C5154">
              <w:rPr>
                <w:noProof/>
                <w:webHidden/>
              </w:rPr>
              <w:fldChar w:fldCharType="begin"/>
            </w:r>
            <w:r w:rsidR="005C5154">
              <w:rPr>
                <w:noProof/>
                <w:webHidden/>
              </w:rPr>
              <w:instrText xml:space="preserve"> PAGEREF _Toc164786632 \h </w:instrText>
            </w:r>
            <w:r w:rsidR="005C5154">
              <w:rPr>
                <w:noProof/>
                <w:webHidden/>
              </w:rPr>
            </w:r>
            <w:r w:rsidR="005C5154">
              <w:rPr>
                <w:noProof/>
                <w:webHidden/>
              </w:rPr>
              <w:fldChar w:fldCharType="separate"/>
            </w:r>
            <w:r w:rsidR="005C5154">
              <w:rPr>
                <w:noProof/>
                <w:webHidden/>
              </w:rPr>
              <w:t>11</w:t>
            </w:r>
            <w:r w:rsidR="005C5154">
              <w:rPr>
                <w:noProof/>
                <w:webHidden/>
              </w:rPr>
              <w:fldChar w:fldCharType="end"/>
            </w:r>
          </w:hyperlink>
        </w:p>
        <w:p w14:paraId="164079CA" w14:textId="3EF3C2CD" w:rsidR="005C5154" w:rsidRDefault="003B5E04">
          <w:pPr>
            <w:pStyle w:val="TOC2"/>
            <w:rPr>
              <w:rFonts w:asciiTheme="minorHAnsi" w:eastAsiaTheme="minorEastAsia" w:hAnsiTheme="minorHAnsi" w:cstheme="minorBidi"/>
              <w:b w:val="0"/>
              <w:kern w:val="2"/>
              <w:sz w:val="24"/>
              <w:szCs w:val="24"/>
              <w14:ligatures w14:val="standardContextual"/>
            </w:rPr>
          </w:pPr>
          <w:hyperlink w:anchor="_Toc164786633" w:history="1">
            <w:r w:rsidR="005C5154" w:rsidRPr="000A3736">
              <w:rPr>
                <w:rStyle w:val="Hyperlink"/>
              </w:rPr>
              <w:t>2.2</w:t>
            </w:r>
            <w:r w:rsidR="005C5154">
              <w:rPr>
                <w:rFonts w:asciiTheme="minorHAnsi" w:eastAsiaTheme="minorEastAsia" w:hAnsiTheme="minorHAnsi" w:cstheme="minorBidi"/>
                <w:b w:val="0"/>
                <w:kern w:val="2"/>
                <w:sz w:val="24"/>
                <w:szCs w:val="24"/>
                <w14:ligatures w14:val="standardContextual"/>
              </w:rPr>
              <w:tab/>
            </w:r>
            <w:r w:rsidR="005C5154" w:rsidRPr="000A3736">
              <w:rPr>
                <w:rStyle w:val="Hyperlink"/>
              </w:rPr>
              <w:t>HVAC</w:t>
            </w:r>
            <w:r w:rsidR="005C5154">
              <w:rPr>
                <w:webHidden/>
              </w:rPr>
              <w:tab/>
            </w:r>
            <w:r w:rsidR="005C5154">
              <w:rPr>
                <w:webHidden/>
              </w:rPr>
              <w:fldChar w:fldCharType="begin"/>
            </w:r>
            <w:r w:rsidR="005C5154">
              <w:rPr>
                <w:webHidden/>
              </w:rPr>
              <w:instrText xml:space="preserve"> PAGEREF _Toc164786633 \h </w:instrText>
            </w:r>
            <w:r w:rsidR="005C5154">
              <w:rPr>
                <w:webHidden/>
              </w:rPr>
            </w:r>
            <w:r w:rsidR="005C5154">
              <w:rPr>
                <w:webHidden/>
              </w:rPr>
              <w:fldChar w:fldCharType="separate"/>
            </w:r>
            <w:r w:rsidR="005C5154">
              <w:rPr>
                <w:webHidden/>
              </w:rPr>
              <w:t>14</w:t>
            </w:r>
            <w:r w:rsidR="005C5154">
              <w:rPr>
                <w:webHidden/>
              </w:rPr>
              <w:fldChar w:fldCharType="end"/>
            </w:r>
          </w:hyperlink>
        </w:p>
        <w:p w14:paraId="428CE996" w14:textId="5319EBBC"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34" w:history="1">
            <w:r w:rsidR="005C5154" w:rsidRPr="000A3736">
              <w:rPr>
                <w:rStyle w:val="Hyperlink"/>
                <w:noProof/>
              </w:rPr>
              <w:t>2.2.1</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High Efficiency Equipment: ASHP, CAC, GSHP, PTAC, PTHP</w:t>
            </w:r>
            <w:r w:rsidR="005C5154">
              <w:rPr>
                <w:noProof/>
                <w:webHidden/>
              </w:rPr>
              <w:tab/>
            </w:r>
            <w:r w:rsidR="005C5154">
              <w:rPr>
                <w:noProof/>
                <w:webHidden/>
              </w:rPr>
              <w:fldChar w:fldCharType="begin"/>
            </w:r>
            <w:r w:rsidR="005C5154">
              <w:rPr>
                <w:noProof/>
                <w:webHidden/>
              </w:rPr>
              <w:instrText xml:space="preserve"> PAGEREF _Toc164786634 \h </w:instrText>
            </w:r>
            <w:r w:rsidR="005C5154">
              <w:rPr>
                <w:noProof/>
                <w:webHidden/>
              </w:rPr>
            </w:r>
            <w:r w:rsidR="005C5154">
              <w:rPr>
                <w:noProof/>
                <w:webHidden/>
              </w:rPr>
              <w:fldChar w:fldCharType="separate"/>
            </w:r>
            <w:r w:rsidR="005C5154">
              <w:rPr>
                <w:noProof/>
                <w:webHidden/>
              </w:rPr>
              <w:t>14</w:t>
            </w:r>
            <w:r w:rsidR="005C5154">
              <w:rPr>
                <w:noProof/>
                <w:webHidden/>
              </w:rPr>
              <w:fldChar w:fldCharType="end"/>
            </w:r>
          </w:hyperlink>
        </w:p>
        <w:p w14:paraId="32EA09F7" w14:textId="004CE38F"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35" w:history="1">
            <w:r w:rsidR="005C5154" w:rsidRPr="000A3736">
              <w:rPr>
                <w:rStyle w:val="Hyperlink"/>
                <w:noProof/>
              </w:rPr>
              <w:t>2.2.2</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High Efficiency Equipment for Midstream Delivery: ASHP, CAC, PTAC, PTHP</w:t>
            </w:r>
            <w:r w:rsidR="005C5154">
              <w:rPr>
                <w:noProof/>
                <w:webHidden/>
              </w:rPr>
              <w:tab/>
            </w:r>
            <w:r w:rsidR="005C5154">
              <w:rPr>
                <w:noProof/>
                <w:webHidden/>
              </w:rPr>
              <w:fldChar w:fldCharType="begin"/>
            </w:r>
            <w:r w:rsidR="005C5154">
              <w:rPr>
                <w:noProof/>
                <w:webHidden/>
              </w:rPr>
              <w:instrText xml:space="preserve"> PAGEREF _Toc164786635 \h </w:instrText>
            </w:r>
            <w:r w:rsidR="005C5154">
              <w:rPr>
                <w:noProof/>
                <w:webHidden/>
              </w:rPr>
            </w:r>
            <w:r w:rsidR="005C5154">
              <w:rPr>
                <w:noProof/>
                <w:webHidden/>
              </w:rPr>
              <w:fldChar w:fldCharType="separate"/>
            </w:r>
            <w:r w:rsidR="005C5154">
              <w:rPr>
                <w:noProof/>
                <w:webHidden/>
              </w:rPr>
              <w:t>21</w:t>
            </w:r>
            <w:r w:rsidR="005C5154">
              <w:rPr>
                <w:noProof/>
                <w:webHidden/>
              </w:rPr>
              <w:fldChar w:fldCharType="end"/>
            </w:r>
          </w:hyperlink>
        </w:p>
        <w:p w14:paraId="578D26D7" w14:textId="4CF0C0BA"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36" w:history="1">
            <w:r w:rsidR="005C5154" w:rsidRPr="000A3736">
              <w:rPr>
                <w:rStyle w:val="Hyperlink"/>
                <w:noProof/>
              </w:rPr>
              <w:t>2.2.3</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High Efficiency Equipment: Ductless Heat Pumps with Midstream Delivery Option</w:t>
            </w:r>
            <w:r w:rsidR="005C5154">
              <w:rPr>
                <w:noProof/>
                <w:webHidden/>
              </w:rPr>
              <w:tab/>
            </w:r>
            <w:r w:rsidR="005C5154">
              <w:rPr>
                <w:noProof/>
                <w:webHidden/>
              </w:rPr>
              <w:fldChar w:fldCharType="begin"/>
            </w:r>
            <w:r w:rsidR="005C5154">
              <w:rPr>
                <w:noProof/>
                <w:webHidden/>
              </w:rPr>
              <w:instrText xml:space="preserve"> PAGEREF _Toc164786636 \h </w:instrText>
            </w:r>
            <w:r w:rsidR="005C5154">
              <w:rPr>
                <w:noProof/>
                <w:webHidden/>
              </w:rPr>
            </w:r>
            <w:r w:rsidR="005C5154">
              <w:rPr>
                <w:noProof/>
                <w:webHidden/>
              </w:rPr>
              <w:fldChar w:fldCharType="separate"/>
            </w:r>
            <w:r w:rsidR="005C5154">
              <w:rPr>
                <w:noProof/>
                <w:webHidden/>
              </w:rPr>
              <w:t>26</w:t>
            </w:r>
            <w:r w:rsidR="005C5154">
              <w:rPr>
                <w:noProof/>
                <w:webHidden/>
              </w:rPr>
              <w:fldChar w:fldCharType="end"/>
            </w:r>
          </w:hyperlink>
        </w:p>
        <w:p w14:paraId="5D17E556" w14:textId="557959B7"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37" w:history="1">
            <w:r w:rsidR="005C5154" w:rsidRPr="000A3736">
              <w:rPr>
                <w:rStyle w:val="Hyperlink"/>
                <w:noProof/>
              </w:rPr>
              <w:t>2.2.4</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ECM Circulation Fans</w:t>
            </w:r>
            <w:r w:rsidR="005C5154">
              <w:rPr>
                <w:noProof/>
                <w:webHidden/>
              </w:rPr>
              <w:tab/>
            </w:r>
            <w:r w:rsidR="005C5154">
              <w:rPr>
                <w:noProof/>
                <w:webHidden/>
              </w:rPr>
              <w:fldChar w:fldCharType="begin"/>
            </w:r>
            <w:r w:rsidR="005C5154">
              <w:rPr>
                <w:noProof/>
                <w:webHidden/>
              </w:rPr>
              <w:instrText xml:space="preserve"> PAGEREF _Toc164786637 \h </w:instrText>
            </w:r>
            <w:r w:rsidR="005C5154">
              <w:rPr>
                <w:noProof/>
                <w:webHidden/>
              </w:rPr>
            </w:r>
            <w:r w:rsidR="005C5154">
              <w:rPr>
                <w:noProof/>
                <w:webHidden/>
              </w:rPr>
              <w:fldChar w:fldCharType="separate"/>
            </w:r>
            <w:r w:rsidR="005C5154">
              <w:rPr>
                <w:noProof/>
                <w:webHidden/>
              </w:rPr>
              <w:t>34</w:t>
            </w:r>
            <w:r w:rsidR="005C5154">
              <w:rPr>
                <w:noProof/>
                <w:webHidden/>
              </w:rPr>
              <w:fldChar w:fldCharType="end"/>
            </w:r>
          </w:hyperlink>
        </w:p>
        <w:p w14:paraId="78C60F45" w14:textId="0C2E4340"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38" w:history="1">
            <w:r w:rsidR="005C5154" w:rsidRPr="000A3736">
              <w:rPr>
                <w:rStyle w:val="Hyperlink"/>
                <w:noProof/>
              </w:rPr>
              <w:t>2.2.5</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GSHP Desuperheaters</w:t>
            </w:r>
            <w:r w:rsidR="005C5154">
              <w:rPr>
                <w:noProof/>
                <w:webHidden/>
              </w:rPr>
              <w:tab/>
            </w:r>
            <w:r w:rsidR="005C5154">
              <w:rPr>
                <w:noProof/>
                <w:webHidden/>
              </w:rPr>
              <w:fldChar w:fldCharType="begin"/>
            </w:r>
            <w:r w:rsidR="005C5154">
              <w:rPr>
                <w:noProof/>
                <w:webHidden/>
              </w:rPr>
              <w:instrText xml:space="preserve"> PAGEREF _Toc164786638 \h </w:instrText>
            </w:r>
            <w:r w:rsidR="005C5154">
              <w:rPr>
                <w:noProof/>
                <w:webHidden/>
              </w:rPr>
            </w:r>
            <w:r w:rsidR="005C5154">
              <w:rPr>
                <w:noProof/>
                <w:webHidden/>
              </w:rPr>
              <w:fldChar w:fldCharType="separate"/>
            </w:r>
            <w:r w:rsidR="005C5154">
              <w:rPr>
                <w:noProof/>
                <w:webHidden/>
              </w:rPr>
              <w:t>36</w:t>
            </w:r>
            <w:r w:rsidR="005C5154">
              <w:rPr>
                <w:noProof/>
                <w:webHidden/>
              </w:rPr>
              <w:fldChar w:fldCharType="end"/>
            </w:r>
          </w:hyperlink>
        </w:p>
        <w:p w14:paraId="6144D402" w14:textId="08B811CA"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39" w:history="1">
            <w:r w:rsidR="005C5154" w:rsidRPr="000A3736">
              <w:rPr>
                <w:rStyle w:val="Hyperlink"/>
                <w:noProof/>
              </w:rPr>
              <w:t>2.2.6</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Air Conditioner &amp; Heat Pump Maintenance</w:t>
            </w:r>
            <w:r w:rsidR="005C5154">
              <w:rPr>
                <w:noProof/>
                <w:webHidden/>
              </w:rPr>
              <w:tab/>
            </w:r>
            <w:r w:rsidR="005C5154">
              <w:rPr>
                <w:noProof/>
                <w:webHidden/>
              </w:rPr>
              <w:fldChar w:fldCharType="begin"/>
            </w:r>
            <w:r w:rsidR="005C5154">
              <w:rPr>
                <w:noProof/>
                <w:webHidden/>
              </w:rPr>
              <w:instrText xml:space="preserve"> PAGEREF _Toc164786639 \h </w:instrText>
            </w:r>
            <w:r w:rsidR="005C5154">
              <w:rPr>
                <w:noProof/>
                <w:webHidden/>
              </w:rPr>
            </w:r>
            <w:r w:rsidR="005C5154">
              <w:rPr>
                <w:noProof/>
                <w:webHidden/>
              </w:rPr>
              <w:fldChar w:fldCharType="separate"/>
            </w:r>
            <w:r w:rsidR="005C5154">
              <w:rPr>
                <w:noProof/>
                <w:webHidden/>
              </w:rPr>
              <w:t>38</w:t>
            </w:r>
            <w:r w:rsidR="005C5154">
              <w:rPr>
                <w:noProof/>
                <w:webHidden/>
              </w:rPr>
              <w:fldChar w:fldCharType="end"/>
            </w:r>
          </w:hyperlink>
        </w:p>
        <w:p w14:paraId="28863A01" w14:textId="7BC3DED3"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40" w:history="1">
            <w:r w:rsidR="005C5154" w:rsidRPr="000A3736">
              <w:rPr>
                <w:rStyle w:val="Hyperlink"/>
                <w:noProof/>
              </w:rPr>
              <w:t>2.2.7</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Room Air Conditioners</w:t>
            </w:r>
            <w:r w:rsidR="005C5154">
              <w:rPr>
                <w:noProof/>
                <w:webHidden/>
              </w:rPr>
              <w:tab/>
            </w:r>
            <w:r w:rsidR="005C5154">
              <w:rPr>
                <w:noProof/>
                <w:webHidden/>
              </w:rPr>
              <w:fldChar w:fldCharType="begin"/>
            </w:r>
            <w:r w:rsidR="005C5154">
              <w:rPr>
                <w:noProof/>
                <w:webHidden/>
              </w:rPr>
              <w:instrText xml:space="preserve"> PAGEREF _Toc164786640 \h </w:instrText>
            </w:r>
            <w:r w:rsidR="005C5154">
              <w:rPr>
                <w:noProof/>
                <w:webHidden/>
              </w:rPr>
            </w:r>
            <w:r w:rsidR="005C5154">
              <w:rPr>
                <w:noProof/>
                <w:webHidden/>
              </w:rPr>
              <w:fldChar w:fldCharType="separate"/>
            </w:r>
            <w:r w:rsidR="005C5154">
              <w:rPr>
                <w:noProof/>
                <w:webHidden/>
              </w:rPr>
              <w:t>41</w:t>
            </w:r>
            <w:r w:rsidR="005C5154">
              <w:rPr>
                <w:noProof/>
                <w:webHidden/>
              </w:rPr>
              <w:fldChar w:fldCharType="end"/>
            </w:r>
          </w:hyperlink>
        </w:p>
        <w:p w14:paraId="406BF3B5" w14:textId="4070CB9B"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41" w:history="1">
            <w:r w:rsidR="005C5154" w:rsidRPr="000A3736">
              <w:rPr>
                <w:rStyle w:val="Hyperlink"/>
                <w:noProof/>
              </w:rPr>
              <w:t>2.2.8</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Room AC (RAC) Retirement</w:t>
            </w:r>
            <w:r w:rsidR="005C5154">
              <w:rPr>
                <w:noProof/>
                <w:webHidden/>
              </w:rPr>
              <w:tab/>
            </w:r>
            <w:r w:rsidR="005C5154">
              <w:rPr>
                <w:noProof/>
                <w:webHidden/>
              </w:rPr>
              <w:fldChar w:fldCharType="begin"/>
            </w:r>
            <w:r w:rsidR="005C5154">
              <w:rPr>
                <w:noProof/>
                <w:webHidden/>
              </w:rPr>
              <w:instrText xml:space="preserve"> PAGEREF _Toc164786641 \h </w:instrText>
            </w:r>
            <w:r w:rsidR="005C5154">
              <w:rPr>
                <w:noProof/>
                <w:webHidden/>
              </w:rPr>
            </w:r>
            <w:r w:rsidR="005C5154">
              <w:rPr>
                <w:noProof/>
                <w:webHidden/>
              </w:rPr>
              <w:fldChar w:fldCharType="separate"/>
            </w:r>
            <w:r w:rsidR="005C5154">
              <w:rPr>
                <w:noProof/>
                <w:webHidden/>
              </w:rPr>
              <w:t>44</w:t>
            </w:r>
            <w:r w:rsidR="005C5154">
              <w:rPr>
                <w:noProof/>
                <w:webHidden/>
              </w:rPr>
              <w:fldChar w:fldCharType="end"/>
            </w:r>
          </w:hyperlink>
        </w:p>
        <w:p w14:paraId="08713B34" w14:textId="55798F39"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42" w:history="1">
            <w:r w:rsidR="005C5154" w:rsidRPr="000A3736">
              <w:rPr>
                <w:rStyle w:val="Hyperlink"/>
                <w:noProof/>
              </w:rPr>
              <w:t>2.2.9</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Window Heat Pump</w:t>
            </w:r>
            <w:r w:rsidR="005C5154">
              <w:rPr>
                <w:noProof/>
                <w:webHidden/>
              </w:rPr>
              <w:tab/>
            </w:r>
            <w:r w:rsidR="005C5154">
              <w:rPr>
                <w:noProof/>
                <w:webHidden/>
              </w:rPr>
              <w:fldChar w:fldCharType="begin"/>
            </w:r>
            <w:r w:rsidR="005C5154">
              <w:rPr>
                <w:noProof/>
                <w:webHidden/>
              </w:rPr>
              <w:instrText xml:space="preserve"> PAGEREF _Toc164786642 \h </w:instrText>
            </w:r>
            <w:r w:rsidR="005C5154">
              <w:rPr>
                <w:noProof/>
                <w:webHidden/>
              </w:rPr>
            </w:r>
            <w:r w:rsidR="005C5154">
              <w:rPr>
                <w:noProof/>
                <w:webHidden/>
              </w:rPr>
              <w:fldChar w:fldCharType="separate"/>
            </w:r>
            <w:r w:rsidR="005C5154">
              <w:rPr>
                <w:noProof/>
                <w:webHidden/>
              </w:rPr>
              <w:t>47</w:t>
            </w:r>
            <w:r w:rsidR="005C5154">
              <w:rPr>
                <w:noProof/>
                <w:webHidden/>
              </w:rPr>
              <w:fldChar w:fldCharType="end"/>
            </w:r>
          </w:hyperlink>
        </w:p>
        <w:p w14:paraId="7AF8E233" w14:textId="03DB5DA5" w:rsidR="005C5154" w:rsidRDefault="003B5E04">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164786643" w:history="1">
            <w:r w:rsidR="005C5154" w:rsidRPr="000A3736">
              <w:rPr>
                <w:rStyle w:val="Hyperlink"/>
                <w:noProof/>
              </w:rPr>
              <w:t>2.2.10</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Duct Sealing &amp; Duct Insulation</w:t>
            </w:r>
            <w:r w:rsidR="005C5154">
              <w:rPr>
                <w:noProof/>
                <w:webHidden/>
              </w:rPr>
              <w:tab/>
            </w:r>
            <w:r w:rsidR="005C5154">
              <w:rPr>
                <w:noProof/>
                <w:webHidden/>
              </w:rPr>
              <w:fldChar w:fldCharType="begin"/>
            </w:r>
            <w:r w:rsidR="005C5154">
              <w:rPr>
                <w:noProof/>
                <w:webHidden/>
              </w:rPr>
              <w:instrText xml:space="preserve"> PAGEREF _Toc164786643 \h </w:instrText>
            </w:r>
            <w:r w:rsidR="005C5154">
              <w:rPr>
                <w:noProof/>
                <w:webHidden/>
              </w:rPr>
            </w:r>
            <w:r w:rsidR="005C5154">
              <w:rPr>
                <w:noProof/>
                <w:webHidden/>
              </w:rPr>
              <w:fldChar w:fldCharType="separate"/>
            </w:r>
            <w:r w:rsidR="005C5154">
              <w:rPr>
                <w:noProof/>
                <w:webHidden/>
              </w:rPr>
              <w:t>51</w:t>
            </w:r>
            <w:r w:rsidR="005C5154">
              <w:rPr>
                <w:noProof/>
                <w:webHidden/>
              </w:rPr>
              <w:fldChar w:fldCharType="end"/>
            </w:r>
          </w:hyperlink>
        </w:p>
        <w:p w14:paraId="390AB417" w14:textId="3065C00F" w:rsidR="005C5154" w:rsidRDefault="003B5E04">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164786644" w:history="1">
            <w:r w:rsidR="005C5154" w:rsidRPr="000A3736">
              <w:rPr>
                <w:rStyle w:val="Hyperlink"/>
                <w:noProof/>
              </w:rPr>
              <w:t>2.2.11</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Air Handler Filter Whistles</w:t>
            </w:r>
            <w:r w:rsidR="005C5154">
              <w:rPr>
                <w:noProof/>
                <w:webHidden/>
              </w:rPr>
              <w:tab/>
            </w:r>
            <w:r w:rsidR="005C5154">
              <w:rPr>
                <w:noProof/>
                <w:webHidden/>
              </w:rPr>
              <w:fldChar w:fldCharType="begin"/>
            </w:r>
            <w:r w:rsidR="005C5154">
              <w:rPr>
                <w:noProof/>
                <w:webHidden/>
              </w:rPr>
              <w:instrText xml:space="preserve"> PAGEREF _Toc164786644 \h </w:instrText>
            </w:r>
            <w:r w:rsidR="005C5154">
              <w:rPr>
                <w:noProof/>
                <w:webHidden/>
              </w:rPr>
            </w:r>
            <w:r w:rsidR="005C5154">
              <w:rPr>
                <w:noProof/>
                <w:webHidden/>
              </w:rPr>
              <w:fldChar w:fldCharType="separate"/>
            </w:r>
            <w:r w:rsidR="005C5154">
              <w:rPr>
                <w:noProof/>
                <w:webHidden/>
              </w:rPr>
              <w:t>55</w:t>
            </w:r>
            <w:r w:rsidR="005C5154">
              <w:rPr>
                <w:noProof/>
                <w:webHidden/>
              </w:rPr>
              <w:fldChar w:fldCharType="end"/>
            </w:r>
          </w:hyperlink>
        </w:p>
        <w:p w14:paraId="6AABB00B" w14:textId="580E0FCA" w:rsidR="005C5154" w:rsidRDefault="003B5E04">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164786645" w:history="1">
            <w:r w:rsidR="005C5154" w:rsidRPr="000A3736">
              <w:rPr>
                <w:rStyle w:val="Hyperlink"/>
                <w:noProof/>
              </w:rPr>
              <w:t>2.2.12</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ENERGY STAR® Certified Connected Thermostats</w:t>
            </w:r>
            <w:r w:rsidR="005C5154">
              <w:rPr>
                <w:noProof/>
                <w:webHidden/>
              </w:rPr>
              <w:tab/>
            </w:r>
            <w:r w:rsidR="005C5154">
              <w:rPr>
                <w:noProof/>
                <w:webHidden/>
              </w:rPr>
              <w:fldChar w:fldCharType="begin"/>
            </w:r>
            <w:r w:rsidR="005C5154">
              <w:rPr>
                <w:noProof/>
                <w:webHidden/>
              </w:rPr>
              <w:instrText xml:space="preserve"> PAGEREF _Toc164786645 \h </w:instrText>
            </w:r>
            <w:r w:rsidR="005C5154">
              <w:rPr>
                <w:noProof/>
                <w:webHidden/>
              </w:rPr>
            </w:r>
            <w:r w:rsidR="005C5154">
              <w:rPr>
                <w:noProof/>
                <w:webHidden/>
              </w:rPr>
              <w:fldChar w:fldCharType="separate"/>
            </w:r>
            <w:r w:rsidR="005C5154">
              <w:rPr>
                <w:noProof/>
                <w:webHidden/>
              </w:rPr>
              <w:t>57</w:t>
            </w:r>
            <w:r w:rsidR="005C5154">
              <w:rPr>
                <w:noProof/>
                <w:webHidden/>
              </w:rPr>
              <w:fldChar w:fldCharType="end"/>
            </w:r>
          </w:hyperlink>
        </w:p>
        <w:p w14:paraId="578D8018" w14:textId="4921B0A4" w:rsidR="005C5154" w:rsidRDefault="003B5E04">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164786646" w:history="1">
            <w:r w:rsidR="005C5154" w:rsidRPr="000A3736">
              <w:rPr>
                <w:rStyle w:val="Hyperlink"/>
                <w:noProof/>
              </w:rPr>
              <w:t>2.2.13</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Furnace Maintenance</w:t>
            </w:r>
            <w:r w:rsidR="005C5154">
              <w:rPr>
                <w:noProof/>
                <w:webHidden/>
              </w:rPr>
              <w:tab/>
            </w:r>
            <w:r w:rsidR="005C5154">
              <w:rPr>
                <w:noProof/>
                <w:webHidden/>
              </w:rPr>
              <w:fldChar w:fldCharType="begin"/>
            </w:r>
            <w:r w:rsidR="005C5154">
              <w:rPr>
                <w:noProof/>
                <w:webHidden/>
              </w:rPr>
              <w:instrText xml:space="preserve"> PAGEREF _Toc164786646 \h </w:instrText>
            </w:r>
            <w:r w:rsidR="005C5154">
              <w:rPr>
                <w:noProof/>
                <w:webHidden/>
              </w:rPr>
            </w:r>
            <w:r w:rsidR="005C5154">
              <w:rPr>
                <w:noProof/>
                <w:webHidden/>
              </w:rPr>
              <w:fldChar w:fldCharType="separate"/>
            </w:r>
            <w:r w:rsidR="005C5154">
              <w:rPr>
                <w:noProof/>
                <w:webHidden/>
              </w:rPr>
              <w:t>66</w:t>
            </w:r>
            <w:r w:rsidR="005C5154">
              <w:rPr>
                <w:noProof/>
                <w:webHidden/>
              </w:rPr>
              <w:fldChar w:fldCharType="end"/>
            </w:r>
          </w:hyperlink>
        </w:p>
        <w:p w14:paraId="6A77FA59" w14:textId="238ACFEC" w:rsidR="005C5154" w:rsidRDefault="003B5E04">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164786647" w:history="1">
            <w:r w:rsidR="005C5154" w:rsidRPr="000A3736">
              <w:rPr>
                <w:rStyle w:val="Hyperlink"/>
                <w:noProof/>
              </w:rPr>
              <w:t>2.2.14</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ENERGY STAR Bathroom Exhaust Fan</w:t>
            </w:r>
            <w:r w:rsidR="005C5154">
              <w:rPr>
                <w:noProof/>
                <w:webHidden/>
              </w:rPr>
              <w:tab/>
            </w:r>
            <w:r w:rsidR="005C5154">
              <w:rPr>
                <w:noProof/>
                <w:webHidden/>
              </w:rPr>
              <w:fldChar w:fldCharType="begin"/>
            </w:r>
            <w:r w:rsidR="005C5154">
              <w:rPr>
                <w:noProof/>
                <w:webHidden/>
              </w:rPr>
              <w:instrText xml:space="preserve"> PAGEREF _Toc164786647 \h </w:instrText>
            </w:r>
            <w:r w:rsidR="005C5154">
              <w:rPr>
                <w:noProof/>
                <w:webHidden/>
              </w:rPr>
            </w:r>
            <w:r w:rsidR="005C5154">
              <w:rPr>
                <w:noProof/>
                <w:webHidden/>
              </w:rPr>
              <w:fldChar w:fldCharType="separate"/>
            </w:r>
            <w:r w:rsidR="005C5154">
              <w:rPr>
                <w:noProof/>
                <w:webHidden/>
              </w:rPr>
              <w:t>68</w:t>
            </w:r>
            <w:r w:rsidR="005C5154">
              <w:rPr>
                <w:noProof/>
                <w:webHidden/>
              </w:rPr>
              <w:fldChar w:fldCharType="end"/>
            </w:r>
          </w:hyperlink>
        </w:p>
        <w:p w14:paraId="17CC1C2D" w14:textId="29227365" w:rsidR="005C5154" w:rsidRDefault="003B5E04">
          <w:pPr>
            <w:pStyle w:val="TOC2"/>
            <w:rPr>
              <w:rFonts w:asciiTheme="minorHAnsi" w:eastAsiaTheme="minorEastAsia" w:hAnsiTheme="minorHAnsi" w:cstheme="minorBidi"/>
              <w:b w:val="0"/>
              <w:kern w:val="2"/>
              <w:sz w:val="24"/>
              <w:szCs w:val="24"/>
              <w14:ligatures w14:val="standardContextual"/>
            </w:rPr>
          </w:pPr>
          <w:hyperlink w:anchor="_Toc164786648" w:history="1">
            <w:r w:rsidR="005C5154" w:rsidRPr="000A3736">
              <w:rPr>
                <w:rStyle w:val="Hyperlink"/>
              </w:rPr>
              <w:t>2.3</w:t>
            </w:r>
            <w:r w:rsidR="005C5154">
              <w:rPr>
                <w:rFonts w:asciiTheme="minorHAnsi" w:eastAsiaTheme="minorEastAsia" w:hAnsiTheme="minorHAnsi" w:cstheme="minorBidi"/>
                <w:b w:val="0"/>
                <w:kern w:val="2"/>
                <w:sz w:val="24"/>
                <w:szCs w:val="24"/>
                <w14:ligatures w14:val="standardContextual"/>
              </w:rPr>
              <w:tab/>
            </w:r>
            <w:r w:rsidR="005C5154" w:rsidRPr="000A3736">
              <w:rPr>
                <w:rStyle w:val="Hyperlink"/>
              </w:rPr>
              <w:t>Domestic Hot Water</w:t>
            </w:r>
            <w:r w:rsidR="005C5154">
              <w:rPr>
                <w:webHidden/>
              </w:rPr>
              <w:tab/>
            </w:r>
            <w:r w:rsidR="005C5154">
              <w:rPr>
                <w:webHidden/>
              </w:rPr>
              <w:fldChar w:fldCharType="begin"/>
            </w:r>
            <w:r w:rsidR="005C5154">
              <w:rPr>
                <w:webHidden/>
              </w:rPr>
              <w:instrText xml:space="preserve"> PAGEREF _Toc164786648 \h </w:instrText>
            </w:r>
            <w:r w:rsidR="005C5154">
              <w:rPr>
                <w:webHidden/>
              </w:rPr>
            </w:r>
            <w:r w:rsidR="005C5154">
              <w:rPr>
                <w:webHidden/>
              </w:rPr>
              <w:fldChar w:fldCharType="separate"/>
            </w:r>
            <w:r w:rsidR="005C5154">
              <w:rPr>
                <w:webHidden/>
              </w:rPr>
              <w:t>71</w:t>
            </w:r>
            <w:r w:rsidR="005C5154">
              <w:rPr>
                <w:webHidden/>
              </w:rPr>
              <w:fldChar w:fldCharType="end"/>
            </w:r>
          </w:hyperlink>
        </w:p>
        <w:p w14:paraId="0C6196C9" w14:textId="27CE6824"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49" w:history="1">
            <w:r w:rsidR="005C5154" w:rsidRPr="000A3736">
              <w:rPr>
                <w:rStyle w:val="Hyperlink"/>
                <w:noProof/>
              </w:rPr>
              <w:t>2.3.1</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Heat Pump Water Heaters</w:t>
            </w:r>
            <w:r w:rsidR="005C5154">
              <w:rPr>
                <w:noProof/>
                <w:webHidden/>
              </w:rPr>
              <w:tab/>
            </w:r>
            <w:r w:rsidR="005C5154">
              <w:rPr>
                <w:noProof/>
                <w:webHidden/>
              </w:rPr>
              <w:fldChar w:fldCharType="begin"/>
            </w:r>
            <w:r w:rsidR="005C5154">
              <w:rPr>
                <w:noProof/>
                <w:webHidden/>
              </w:rPr>
              <w:instrText xml:space="preserve"> PAGEREF _Toc164786649 \h </w:instrText>
            </w:r>
            <w:r w:rsidR="005C5154">
              <w:rPr>
                <w:noProof/>
                <w:webHidden/>
              </w:rPr>
            </w:r>
            <w:r w:rsidR="005C5154">
              <w:rPr>
                <w:noProof/>
                <w:webHidden/>
              </w:rPr>
              <w:fldChar w:fldCharType="separate"/>
            </w:r>
            <w:r w:rsidR="005C5154">
              <w:rPr>
                <w:noProof/>
                <w:webHidden/>
              </w:rPr>
              <w:t>71</w:t>
            </w:r>
            <w:r w:rsidR="005C5154">
              <w:rPr>
                <w:noProof/>
                <w:webHidden/>
              </w:rPr>
              <w:fldChar w:fldCharType="end"/>
            </w:r>
          </w:hyperlink>
        </w:p>
        <w:p w14:paraId="16E2457C" w14:textId="4AC920D5"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50" w:history="1">
            <w:r w:rsidR="005C5154" w:rsidRPr="000A3736">
              <w:rPr>
                <w:rStyle w:val="Hyperlink"/>
                <w:noProof/>
              </w:rPr>
              <w:t>2.3.2</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Solar Water Heaters</w:t>
            </w:r>
            <w:r w:rsidR="005C5154">
              <w:rPr>
                <w:noProof/>
                <w:webHidden/>
              </w:rPr>
              <w:tab/>
            </w:r>
            <w:r w:rsidR="005C5154">
              <w:rPr>
                <w:noProof/>
                <w:webHidden/>
              </w:rPr>
              <w:fldChar w:fldCharType="begin"/>
            </w:r>
            <w:r w:rsidR="005C5154">
              <w:rPr>
                <w:noProof/>
                <w:webHidden/>
              </w:rPr>
              <w:instrText xml:space="preserve"> PAGEREF _Toc164786650 \h </w:instrText>
            </w:r>
            <w:r w:rsidR="005C5154">
              <w:rPr>
                <w:noProof/>
                <w:webHidden/>
              </w:rPr>
            </w:r>
            <w:r w:rsidR="005C5154">
              <w:rPr>
                <w:noProof/>
                <w:webHidden/>
              </w:rPr>
              <w:fldChar w:fldCharType="separate"/>
            </w:r>
            <w:r w:rsidR="005C5154">
              <w:rPr>
                <w:noProof/>
                <w:webHidden/>
              </w:rPr>
              <w:t>76</w:t>
            </w:r>
            <w:r w:rsidR="005C5154">
              <w:rPr>
                <w:noProof/>
                <w:webHidden/>
              </w:rPr>
              <w:fldChar w:fldCharType="end"/>
            </w:r>
          </w:hyperlink>
        </w:p>
        <w:p w14:paraId="01905CD3" w14:textId="7F24110E"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51" w:history="1">
            <w:r w:rsidR="005C5154" w:rsidRPr="000A3736">
              <w:rPr>
                <w:rStyle w:val="Hyperlink"/>
                <w:noProof/>
              </w:rPr>
              <w:t>2.3.3</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Water Heater Tank Wrap</w:t>
            </w:r>
            <w:r w:rsidR="005C5154">
              <w:rPr>
                <w:noProof/>
                <w:webHidden/>
              </w:rPr>
              <w:tab/>
            </w:r>
            <w:r w:rsidR="005C5154">
              <w:rPr>
                <w:noProof/>
                <w:webHidden/>
              </w:rPr>
              <w:fldChar w:fldCharType="begin"/>
            </w:r>
            <w:r w:rsidR="005C5154">
              <w:rPr>
                <w:noProof/>
                <w:webHidden/>
              </w:rPr>
              <w:instrText xml:space="preserve"> PAGEREF _Toc164786651 \h </w:instrText>
            </w:r>
            <w:r w:rsidR="005C5154">
              <w:rPr>
                <w:noProof/>
                <w:webHidden/>
              </w:rPr>
            </w:r>
            <w:r w:rsidR="005C5154">
              <w:rPr>
                <w:noProof/>
                <w:webHidden/>
              </w:rPr>
              <w:fldChar w:fldCharType="separate"/>
            </w:r>
            <w:r w:rsidR="005C5154">
              <w:rPr>
                <w:noProof/>
                <w:webHidden/>
              </w:rPr>
              <w:t>79</w:t>
            </w:r>
            <w:r w:rsidR="005C5154">
              <w:rPr>
                <w:noProof/>
                <w:webHidden/>
              </w:rPr>
              <w:fldChar w:fldCharType="end"/>
            </w:r>
          </w:hyperlink>
        </w:p>
        <w:p w14:paraId="1A45B5AA" w14:textId="580049C3"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52" w:history="1">
            <w:r w:rsidR="005C5154" w:rsidRPr="000A3736">
              <w:rPr>
                <w:rStyle w:val="Hyperlink"/>
                <w:noProof/>
              </w:rPr>
              <w:t>2.3.4</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Water Heater Temperature Setback</w:t>
            </w:r>
            <w:r w:rsidR="005C5154">
              <w:rPr>
                <w:noProof/>
                <w:webHidden/>
              </w:rPr>
              <w:tab/>
            </w:r>
            <w:r w:rsidR="005C5154">
              <w:rPr>
                <w:noProof/>
                <w:webHidden/>
              </w:rPr>
              <w:fldChar w:fldCharType="begin"/>
            </w:r>
            <w:r w:rsidR="005C5154">
              <w:rPr>
                <w:noProof/>
                <w:webHidden/>
              </w:rPr>
              <w:instrText xml:space="preserve"> PAGEREF _Toc164786652 \h </w:instrText>
            </w:r>
            <w:r w:rsidR="005C5154">
              <w:rPr>
                <w:noProof/>
                <w:webHidden/>
              </w:rPr>
            </w:r>
            <w:r w:rsidR="005C5154">
              <w:rPr>
                <w:noProof/>
                <w:webHidden/>
              </w:rPr>
              <w:fldChar w:fldCharType="separate"/>
            </w:r>
            <w:r w:rsidR="005C5154">
              <w:rPr>
                <w:noProof/>
                <w:webHidden/>
              </w:rPr>
              <w:t>82</w:t>
            </w:r>
            <w:r w:rsidR="005C5154">
              <w:rPr>
                <w:noProof/>
                <w:webHidden/>
              </w:rPr>
              <w:fldChar w:fldCharType="end"/>
            </w:r>
          </w:hyperlink>
        </w:p>
        <w:p w14:paraId="7F56F846" w14:textId="38951CBA"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53" w:history="1">
            <w:r w:rsidR="005C5154" w:rsidRPr="000A3736">
              <w:rPr>
                <w:rStyle w:val="Hyperlink"/>
                <w:noProof/>
              </w:rPr>
              <w:t>2.3.5</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Water Heater Pipe Insulation</w:t>
            </w:r>
            <w:r w:rsidR="005C5154">
              <w:rPr>
                <w:noProof/>
                <w:webHidden/>
              </w:rPr>
              <w:tab/>
            </w:r>
            <w:r w:rsidR="005C5154">
              <w:rPr>
                <w:noProof/>
                <w:webHidden/>
              </w:rPr>
              <w:fldChar w:fldCharType="begin"/>
            </w:r>
            <w:r w:rsidR="005C5154">
              <w:rPr>
                <w:noProof/>
                <w:webHidden/>
              </w:rPr>
              <w:instrText xml:space="preserve"> PAGEREF _Toc164786653 \h </w:instrText>
            </w:r>
            <w:r w:rsidR="005C5154">
              <w:rPr>
                <w:noProof/>
                <w:webHidden/>
              </w:rPr>
            </w:r>
            <w:r w:rsidR="005C5154">
              <w:rPr>
                <w:noProof/>
                <w:webHidden/>
              </w:rPr>
              <w:fldChar w:fldCharType="separate"/>
            </w:r>
            <w:r w:rsidR="005C5154">
              <w:rPr>
                <w:noProof/>
                <w:webHidden/>
              </w:rPr>
              <w:t>86</w:t>
            </w:r>
            <w:r w:rsidR="005C5154">
              <w:rPr>
                <w:noProof/>
                <w:webHidden/>
              </w:rPr>
              <w:fldChar w:fldCharType="end"/>
            </w:r>
          </w:hyperlink>
        </w:p>
        <w:p w14:paraId="467F7FA4" w14:textId="13F1CB91"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54" w:history="1">
            <w:r w:rsidR="005C5154" w:rsidRPr="000A3736">
              <w:rPr>
                <w:rStyle w:val="Hyperlink"/>
                <w:noProof/>
              </w:rPr>
              <w:t>2.3.6</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Low-Flow Faucet Aerators</w:t>
            </w:r>
            <w:r w:rsidR="005C5154">
              <w:rPr>
                <w:noProof/>
                <w:webHidden/>
              </w:rPr>
              <w:tab/>
            </w:r>
            <w:r w:rsidR="005C5154">
              <w:rPr>
                <w:noProof/>
                <w:webHidden/>
              </w:rPr>
              <w:fldChar w:fldCharType="begin"/>
            </w:r>
            <w:r w:rsidR="005C5154">
              <w:rPr>
                <w:noProof/>
                <w:webHidden/>
              </w:rPr>
              <w:instrText xml:space="preserve"> PAGEREF _Toc164786654 \h </w:instrText>
            </w:r>
            <w:r w:rsidR="005C5154">
              <w:rPr>
                <w:noProof/>
                <w:webHidden/>
              </w:rPr>
            </w:r>
            <w:r w:rsidR="005C5154">
              <w:rPr>
                <w:noProof/>
                <w:webHidden/>
              </w:rPr>
              <w:fldChar w:fldCharType="separate"/>
            </w:r>
            <w:r w:rsidR="005C5154">
              <w:rPr>
                <w:noProof/>
                <w:webHidden/>
              </w:rPr>
              <w:t>89</w:t>
            </w:r>
            <w:r w:rsidR="005C5154">
              <w:rPr>
                <w:noProof/>
                <w:webHidden/>
              </w:rPr>
              <w:fldChar w:fldCharType="end"/>
            </w:r>
          </w:hyperlink>
        </w:p>
        <w:p w14:paraId="24508F85" w14:textId="6AFC9714"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55" w:history="1">
            <w:r w:rsidR="005C5154" w:rsidRPr="000A3736">
              <w:rPr>
                <w:rStyle w:val="Hyperlink"/>
                <w:noProof/>
              </w:rPr>
              <w:t>2.3.7</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Low-Flow Showerheads</w:t>
            </w:r>
            <w:r w:rsidR="005C5154">
              <w:rPr>
                <w:noProof/>
                <w:webHidden/>
              </w:rPr>
              <w:tab/>
            </w:r>
            <w:r w:rsidR="005C5154">
              <w:rPr>
                <w:noProof/>
                <w:webHidden/>
              </w:rPr>
              <w:fldChar w:fldCharType="begin"/>
            </w:r>
            <w:r w:rsidR="005C5154">
              <w:rPr>
                <w:noProof/>
                <w:webHidden/>
              </w:rPr>
              <w:instrText xml:space="preserve"> PAGEREF _Toc164786655 \h </w:instrText>
            </w:r>
            <w:r w:rsidR="005C5154">
              <w:rPr>
                <w:noProof/>
                <w:webHidden/>
              </w:rPr>
            </w:r>
            <w:r w:rsidR="005C5154">
              <w:rPr>
                <w:noProof/>
                <w:webHidden/>
              </w:rPr>
              <w:fldChar w:fldCharType="separate"/>
            </w:r>
            <w:r w:rsidR="005C5154">
              <w:rPr>
                <w:noProof/>
                <w:webHidden/>
              </w:rPr>
              <w:t>92</w:t>
            </w:r>
            <w:r w:rsidR="005C5154">
              <w:rPr>
                <w:noProof/>
                <w:webHidden/>
              </w:rPr>
              <w:fldChar w:fldCharType="end"/>
            </w:r>
          </w:hyperlink>
        </w:p>
        <w:p w14:paraId="419EAC18" w14:textId="6315D9E0"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56" w:history="1">
            <w:r w:rsidR="005C5154" w:rsidRPr="000A3736">
              <w:rPr>
                <w:rStyle w:val="Hyperlink"/>
                <w:noProof/>
              </w:rPr>
              <w:t>2.3.8</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Thermostatic Shower Restriction Valves</w:t>
            </w:r>
            <w:r w:rsidR="005C5154">
              <w:rPr>
                <w:noProof/>
                <w:webHidden/>
              </w:rPr>
              <w:tab/>
            </w:r>
            <w:r w:rsidR="005C5154">
              <w:rPr>
                <w:noProof/>
                <w:webHidden/>
              </w:rPr>
              <w:fldChar w:fldCharType="begin"/>
            </w:r>
            <w:r w:rsidR="005C5154">
              <w:rPr>
                <w:noProof/>
                <w:webHidden/>
              </w:rPr>
              <w:instrText xml:space="preserve"> PAGEREF _Toc164786656 \h </w:instrText>
            </w:r>
            <w:r w:rsidR="005C5154">
              <w:rPr>
                <w:noProof/>
                <w:webHidden/>
              </w:rPr>
            </w:r>
            <w:r w:rsidR="005C5154">
              <w:rPr>
                <w:noProof/>
                <w:webHidden/>
              </w:rPr>
              <w:fldChar w:fldCharType="separate"/>
            </w:r>
            <w:r w:rsidR="005C5154">
              <w:rPr>
                <w:noProof/>
                <w:webHidden/>
              </w:rPr>
              <w:t>95</w:t>
            </w:r>
            <w:r w:rsidR="005C5154">
              <w:rPr>
                <w:noProof/>
                <w:webHidden/>
              </w:rPr>
              <w:fldChar w:fldCharType="end"/>
            </w:r>
          </w:hyperlink>
        </w:p>
        <w:p w14:paraId="7F3CF932" w14:textId="5161A7F8"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57" w:history="1">
            <w:r w:rsidR="005C5154" w:rsidRPr="000A3736">
              <w:rPr>
                <w:rStyle w:val="Hyperlink"/>
                <w:noProof/>
              </w:rPr>
              <w:t>2.3.9</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Drain Water Heat Recovery Units</w:t>
            </w:r>
            <w:r w:rsidR="005C5154">
              <w:rPr>
                <w:noProof/>
                <w:webHidden/>
              </w:rPr>
              <w:tab/>
            </w:r>
            <w:r w:rsidR="005C5154">
              <w:rPr>
                <w:noProof/>
                <w:webHidden/>
              </w:rPr>
              <w:fldChar w:fldCharType="begin"/>
            </w:r>
            <w:r w:rsidR="005C5154">
              <w:rPr>
                <w:noProof/>
                <w:webHidden/>
              </w:rPr>
              <w:instrText xml:space="preserve"> PAGEREF _Toc164786657 \h </w:instrText>
            </w:r>
            <w:r w:rsidR="005C5154">
              <w:rPr>
                <w:noProof/>
                <w:webHidden/>
              </w:rPr>
            </w:r>
            <w:r w:rsidR="005C5154">
              <w:rPr>
                <w:noProof/>
                <w:webHidden/>
              </w:rPr>
              <w:fldChar w:fldCharType="separate"/>
            </w:r>
            <w:r w:rsidR="005C5154">
              <w:rPr>
                <w:noProof/>
                <w:webHidden/>
              </w:rPr>
              <w:t>98</w:t>
            </w:r>
            <w:r w:rsidR="005C5154">
              <w:rPr>
                <w:noProof/>
                <w:webHidden/>
              </w:rPr>
              <w:fldChar w:fldCharType="end"/>
            </w:r>
          </w:hyperlink>
        </w:p>
        <w:p w14:paraId="6130E341" w14:textId="2605DD03" w:rsidR="005C5154" w:rsidRDefault="003B5E04">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164786658" w:history="1">
            <w:r w:rsidR="005C5154" w:rsidRPr="000A3736">
              <w:rPr>
                <w:rStyle w:val="Hyperlink"/>
                <w:noProof/>
              </w:rPr>
              <w:t>2.3.10</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Smart Water Heater Controls</w:t>
            </w:r>
            <w:r w:rsidR="005C5154">
              <w:rPr>
                <w:noProof/>
                <w:webHidden/>
              </w:rPr>
              <w:tab/>
            </w:r>
            <w:r w:rsidR="005C5154">
              <w:rPr>
                <w:noProof/>
                <w:webHidden/>
              </w:rPr>
              <w:fldChar w:fldCharType="begin"/>
            </w:r>
            <w:r w:rsidR="005C5154">
              <w:rPr>
                <w:noProof/>
                <w:webHidden/>
              </w:rPr>
              <w:instrText xml:space="preserve"> PAGEREF _Toc164786658 \h </w:instrText>
            </w:r>
            <w:r w:rsidR="005C5154">
              <w:rPr>
                <w:noProof/>
                <w:webHidden/>
              </w:rPr>
            </w:r>
            <w:r w:rsidR="005C5154">
              <w:rPr>
                <w:noProof/>
                <w:webHidden/>
              </w:rPr>
              <w:fldChar w:fldCharType="separate"/>
            </w:r>
            <w:r w:rsidR="005C5154">
              <w:rPr>
                <w:noProof/>
                <w:webHidden/>
              </w:rPr>
              <w:t>101</w:t>
            </w:r>
            <w:r w:rsidR="005C5154">
              <w:rPr>
                <w:noProof/>
                <w:webHidden/>
              </w:rPr>
              <w:fldChar w:fldCharType="end"/>
            </w:r>
          </w:hyperlink>
        </w:p>
        <w:p w14:paraId="2B8B2AA0" w14:textId="31739794" w:rsidR="005C5154" w:rsidRDefault="003B5E04">
          <w:pPr>
            <w:pStyle w:val="TOC2"/>
            <w:rPr>
              <w:rFonts w:asciiTheme="minorHAnsi" w:eastAsiaTheme="minorEastAsia" w:hAnsiTheme="minorHAnsi" w:cstheme="minorBidi"/>
              <w:b w:val="0"/>
              <w:kern w:val="2"/>
              <w:sz w:val="24"/>
              <w:szCs w:val="24"/>
              <w14:ligatures w14:val="standardContextual"/>
            </w:rPr>
          </w:pPr>
          <w:hyperlink w:anchor="_Toc164786659" w:history="1">
            <w:r w:rsidR="005C5154" w:rsidRPr="000A3736">
              <w:rPr>
                <w:rStyle w:val="Hyperlink"/>
              </w:rPr>
              <w:t>2.4</w:t>
            </w:r>
            <w:r w:rsidR="005C5154">
              <w:rPr>
                <w:rFonts w:asciiTheme="minorHAnsi" w:eastAsiaTheme="minorEastAsia" w:hAnsiTheme="minorHAnsi" w:cstheme="minorBidi"/>
                <w:b w:val="0"/>
                <w:kern w:val="2"/>
                <w:sz w:val="24"/>
                <w:szCs w:val="24"/>
                <w14:ligatures w14:val="standardContextual"/>
              </w:rPr>
              <w:tab/>
            </w:r>
            <w:r w:rsidR="005C5154" w:rsidRPr="000A3736">
              <w:rPr>
                <w:rStyle w:val="Hyperlink"/>
              </w:rPr>
              <w:t>Appliances</w:t>
            </w:r>
            <w:r w:rsidR="005C5154">
              <w:rPr>
                <w:webHidden/>
              </w:rPr>
              <w:tab/>
            </w:r>
            <w:r w:rsidR="005C5154">
              <w:rPr>
                <w:webHidden/>
              </w:rPr>
              <w:fldChar w:fldCharType="begin"/>
            </w:r>
            <w:r w:rsidR="005C5154">
              <w:rPr>
                <w:webHidden/>
              </w:rPr>
              <w:instrText xml:space="preserve"> PAGEREF _Toc164786659 \h </w:instrText>
            </w:r>
            <w:r w:rsidR="005C5154">
              <w:rPr>
                <w:webHidden/>
              </w:rPr>
            </w:r>
            <w:r w:rsidR="005C5154">
              <w:rPr>
                <w:webHidden/>
              </w:rPr>
              <w:fldChar w:fldCharType="separate"/>
            </w:r>
            <w:r w:rsidR="005C5154">
              <w:rPr>
                <w:webHidden/>
              </w:rPr>
              <w:t>104</w:t>
            </w:r>
            <w:r w:rsidR="005C5154">
              <w:rPr>
                <w:webHidden/>
              </w:rPr>
              <w:fldChar w:fldCharType="end"/>
            </w:r>
          </w:hyperlink>
        </w:p>
        <w:p w14:paraId="14EF1930" w14:textId="04B69D23"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60" w:history="1">
            <w:r w:rsidR="005C5154" w:rsidRPr="000A3736">
              <w:rPr>
                <w:rStyle w:val="Hyperlink"/>
                <w:noProof/>
              </w:rPr>
              <w:t>2.4.1</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ENERGY STAR Refrigerators</w:t>
            </w:r>
            <w:r w:rsidR="005C5154">
              <w:rPr>
                <w:noProof/>
                <w:webHidden/>
              </w:rPr>
              <w:tab/>
            </w:r>
            <w:r w:rsidR="005C5154">
              <w:rPr>
                <w:noProof/>
                <w:webHidden/>
              </w:rPr>
              <w:fldChar w:fldCharType="begin"/>
            </w:r>
            <w:r w:rsidR="005C5154">
              <w:rPr>
                <w:noProof/>
                <w:webHidden/>
              </w:rPr>
              <w:instrText xml:space="preserve"> PAGEREF _Toc164786660 \h </w:instrText>
            </w:r>
            <w:r w:rsidR="005C5154">
              <w:rPr>
                <w:noProof/>
                <w:webHidden/>
              </w:rPr>
            </w:r>
            <w:r w:rsidR="005C5154">
              <w:rPr>
                <w:noProof/>
                <w:webHidden/>
              </w:rPr>
              <w:fldChar w:fldCharType="separate"/>
            </w:r>
            <w:r w:rsidR="005C5154">
              <w:rPr>
                <w:noProof/>
                <w:webHidden/>
              </w:rPr>
              <w:t>104</w:t>
            </w:r>
            <w:r w:rsidR="005C5154">
              <w:rPr>
                <w:noProof/>
                <w:webHidden/>
              </w:rPr>
              <w:fldChar w:fldCharType="end"/>
            </w:r>
          </w:hyperlink>
        </w:p>
        <w:p w14:paraId="33A610D8" w14:textId="4B7193FE"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61" w:history="1">
            <w:r w:rsidR="005C5154" w:rsidRPr="000A3736">
              <w:rPr>
                <w:rStyle w:val="Hyperlink"/>
                <w:noProof/>
              </w:rPr>
              <w:t>2.4.2</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ENERGY STAR Freezers</w:t>
            </w:r>
            <w:r w:rsidR="005C5154">
              <w:rPr>
                <w:noProof/>
                <w:webHidden/>
              </w:rPr>
              <w:tab/>
            </w:r>
            <w:r w:rsidR="005C5154">
              <w:rPr>
                <w:noProof/>
                <w:webHidden/>
              </w:rPr>
              <w:fldChar w:fldCharType="begin"/>
            </w:r>
            <w:r w:rsidR="005C5154">
              <w:rPr>
                <w:noProof/>
                <w:webHidden/>
              </w:rPr>
              <w:instrText xml:space="preserve"> PAGEREF _Toc164786661 \h </w:instrText>
            </w:r>
            <w:r w:rsidR="005C5154">
              <w:rPr>
                <w:noProof/>
                <w:webHidden/>
              </w:rPr>
            </w:r>
            <w:r w:rsidR="005C5154">
              <w:rPr>
                <w:noProof/>
                <w:webHidden/>
              </w:rPr>
              <w:fldChar w:fldCharType="separate"/>
            </w:r>
            <w:r w:rsidR="005C5154">
              <w:rPr>
                <w:noProof/>
                <w:webHidden/>
              </w:rPr>
              <w:t>116</w:t>
            </w:r>
            <w:r w:rsidR="005C5154">
              <w:rPr>
                <w:noProof/>
                <w:webHidden/>
              </w:rPr>
              <w:fldChar w:fldCharType="end"/>
            </w:r>
          </w:hyperlink>
        </w:p>
        <w:p w14:paraId="04E0F01C" w14:textId="76E003E1"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62" w:history="1">
            <w:r w:rsidR="005C5154" w:rsidRPr="000A3736">
              <w:rPr>
                <w:rStyle w:val="Hyperlink"/>
                <w:noProof/>
              </w:rPr>
              <w:t>2.4.3</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Refrigerator / Freezer Recycling with and without Replacement</w:t>
            </w:r>
            <w:r w:rsidR="005C5154">
              <w:rPr>
                <w:noProof/>
                <w:webHidden/>
              </w:rPr>
              <w:tab/>
            </w:r>
            <w:r w:rsidR="005C5154">
              <w:rPr>
                <w:noProof/>
                <w:webHidden/>
              </w:rPr>
              <w:fldChar w:fldCharType="begin"/>
            </w:r>
            <w:r w:rsidR="005C5154">
              <w:rPr>
                <w:noProof/>
                <w:webHidden/>
              </w:rPr>
              <w:instrText xml:space="preserve"> PAGEREF _Toc164786662 \h </w:instrText>
            </w:r>
            <w:r w:rsidR="005C5154">
              <w:rPr>
                <w:noProof/>
                <w:webHidden/>
              </w:rPr>
            </w:r>
            <w:r w:rsidR="005C5154">
              <w:rPr>
                <w:noProof/>
                <w:webHidden/>
              </w:rPr>
              <w:fldChar w:fldCharType="separate"/>
            </w:r>
            <w:r w:rsidR="005C5154">
              <w:rPr>
                <w:noProof/>
                <w:webHidden/>
              </w:rPr>
              <w:t>121</w:t>
            </w:r>
            <w:r w:rsidR="005C5154">
              <w:rPr>
                <w:noProof/>
                <w:webHidden/>
              </w:rPr>
              <w:fldChar w:fldCharType="end"/>
            </w:r>
          </w:hyperlink>
        </w:p>
        <w:p w14:paraId="44681A25" w14:textId="0508C716"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63" w:history="1">
            <w:r w:rsidR="005C5154" w:rsidRPr="000A3736">
              <w:rPr>
                <w:rStyle w:val="Hyperlink"/>
                <w:noProof/>
              </w:rPr>
              <w:t>2.4.4</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Low-Capacity Refrigerator / Freezer Recycling without Replacement</w:t>
            </w:r>
            <w:r w:rsidR="005C5154">
              <w:rPr>
                <w:noProof/>
                <w:webHidden/>
              </w:rPr>
              <w:tab/>
            </w:r>
            <w:r w:rsidR="005C5154">
              <w:rPr>
                <w:noProof/>
                <w:webHidden/>
              </w:rPr>
              <w:fldChar w:fldCharType="begin"/>
            </w:r>
            <w:r w:rsidR="005C5154">
              <w:rPr>
                <w:noProof/>
                <w:webHidden/>
              </w:rPr>
              <w:instrText xml:space="preserve"> PAGEREF _Toc164786663 \h </w:instrText>
            </w:r>
            <w:r w:rsidR="005C5154">
              <w:rPr>
                <w:noProof/>
                <w:webHidden/>
              </w:rPr>
            </w:r>
            <w:r w:rsidR="005C5154">
              <w:rPr>
                <w:noProof/>
                <w:webHidden/>
              </w:rPr>
              <w:fldChar w:fldCharType="separate"/>
            </w:r>
            <w:r w:rsidR="005C5154">
              <w:rPr>
                <w:noProof/>
                <w:webHidden/>
              </w:rPr>
              <w:t>126</w:t>
            </w:r>
            <w:r w:rsidR="005C5154">
              <w:rPr>
                <w:noProof/>
                <w:webHidden/>
              </w:rPr>
              <w:fldChar w:fldCharType="end"/>
            </w:r>
          </w:hyperlink>
        </w:p>
        <w:p w14:paraId="68BFCB37" w14:textId="04CED2AE"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64" w:history="1">
            <w:r w:rsidR="005C5154" w:rsidRPr="000A3736">
              <w:rPr>
                <w:rStyle w:val="Hyperlink"/>
                <w:noProof/>
              </w:rPr>
              <w:t>2.4.5</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ENERGY STAR Coolers</w:t>
            </w:r>
            <w:r w:rsidR="005C5154">
              <w:rPr>
                <w:noProof/>
                <w:webHidden/>
              </w:rPr>
              <w:tab/>
            </w:r>
            <w:r w:rsidR="005C5154">
              <w:rPr>
                <w:noProof/>
                <w:webHidden/>
              </w:rPr>
              <w:fldChar w:fldCharType="begin"/>
            </w:r>
            <w:r w:rsidR="005C5154">
              <w:rPr>
                <w:noProof/>
                <w:webHidden/>
              </w:rPr>
              <w:instrText xml:space="preserve"> PAGEREF _Toc164786664 \h </w:instrText>
            </w:r>
            <w:r w:rsidR="005C5154">
              <w:rPr>
                <w:noProof/>
                <w:webHidden/>
              </w:rPr>
            </w:r>
            <w:r w:rsidR="005C5154">
              <w:rPr>
                <w:noProof/>
                <w:webHidden/>
              </w:rPr>
              <w:fldChar w:fldCharType="separate"/>
            </w:r>
            <w:r w:rsidR="005C5154">
              <w:rPr>
                <w:noProof/>
                <w:webHidden/>
              </w:rPr>
              <w:t>133</w:t>
            </w:r>
            <w:r w:rsidR="005C5154">
              <w:rPr>
                <w:noProof/>
                <w:webHidden/>
              </w:rPr>
              <w:fldChar w:fldCharType="end"/>
            </w:r>
          </w:hyperlink>
        </w:p>
        <w:p w14:paraId="20E3EBA7" w14:textId="1B69DDFE"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65" w:history="1">
            <w:r w:rsidR="005C5154" w:rsidRPr="000A3736">
              <w:rPr>
                <w:rStyle w:val="Hyperlink"/>
                <w:noProof/>
              </w:rPr>
              <w:t>2.4.6</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Cooler Recycling with and without Replacement</w:t>
            </w:r>
            <w:r w:rsidR="005C5154">
              <w:rPr>
                <w:noProof/>
                <w:webHidden/>
              </w:rPr>
              <w:tab/>
            </w:r>
            <w:r w:rsidR="005C5154">
              <w:rPr>
                <w:noProof/>
                <w:webHidden/>
              </w:rPr>
              <w:fldChar w:fldCharType="begin"/>
            </w:r>
            <w:r w:rsidR="005C5154">
              <w:rPr>
                <w:noProof/>
                <w:webHidden/>
              </w:rPr>
              <w:instrText xml:space="preserve"> PAGEREF _Toc164786665 \h </w:instrText>
            </w:r>
            <w:r w:rsidR="005C5154">
              <w:rPr>
                <w:noProof/>
                <w:webHidden/>
              </w:rPr>
            </w:r>
            <w:r w:rsidR="005C5154">
              <w:rPr>
                <w:noProof/>
                <w:webHidden/>
              </w:rPr>
              <w:fldChar w:fldCharType="separate"/>
            </w:r>
            <w:r w:rsidR="005C5154">
              <w:rPr>
                <w:noProof/>
                <w:webHidden/>
              </w:rPr>
              <w:t>136</w:t>
            </w:r>
            <w:r w:rsidR="005C5154">
              <w:rPr>
                <w:noProof/>
                <w:webHidden/>
              </w:rPr>
              <w:fldChar w:fldCharType="end"/>
            </w:r>
          </w:hyperlink>
        </w:p>
        <w:p w14:paraId="62D42402" w14:textId="7EE6CD33"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66" w:history="1">
            <w:r w:rsidR="005C5154" w:rsidRPr="000A3736">
              <w:rPr>
                <w:rStyle w:val="Hyperlink"/>
                <w:noProof/>
              </w:rPr>
              <w:t>2.4.7</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Residential Induction Cooktop</w:t>
            </w:r>
            <w:r w:rsidR="005C5154">
              <w:rPr>
                <w:noProof/>
                <w:webHidden/>
              </w:rPr>
              <w:tab/>
            </w:r>
            <w:r w:rsidR="005C5154">
              <w:rPr>
                <w:noProof/>
                <w:webHidden/>
              </w:rPr>
              <w:fldChar w:fldCharType="begin"/>
            </w:r>
            <w:r w:rsidR="005C5154">
              <w:rPr>
                <w:noProof/>
                <w:webHidden/>
              </w:rPr>
              <w:instrText xml:space="preserve"> PAGEREF _Toc164786666 \h </w:instrText>
            </w:r>
            <w:r w:rsidR="005C5154">
              <w:rPr>
                <w:noProof/>
                <w:webHidden/>
              </w:rPr>
            </w:r>
            <w:r w:rsidR="005C5154">
              <w:rPr>
                <w:noProof/>
                <w:webHidden/>
              </w:rPr>
              <w:fldChar w:fldCharType="separate"/>
            </w:r>
            <w:r w:rsidR="005C5154">
              <w:rPr>
                <w:noProof/>
                <w:webHidden/>
              </w:rPr>
              <w:t>142</w:t>
            </w:r>
            <w:r w:rsidR="005C5154">
              <w:rPr>
                <w:noProof/>
                <w:webHidden/>
              </w:rPr>
              <w:fldChar w:fldCharType="end"/>
            </w:r>
          </w:hyperlink>
        </w:p>
        <w:p w14:paraId="7F763F5C" w14:textId="5C802A87"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67" w:history="1">
            <w:r w:rsidR="005C5154" w:rsidRPr="000A3736">
              <w:rPr>
                <w:rStyle w:val="Hyperlink"/>
                <w:noProof/>
              </w:rPr>
              <w:t>2.4.8</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ENERGY STAR Clothes Washers</w:t>
            </w:r>
            <w:r w:rsidR="005C5154">
              <w:rPr>
                <w:noProof/>
                <w:webHidden/>
              </w:rPr>
              <w:tab/>
            </w:r>
            <w:r w:rsidR="005C5154">
              <w:rPr>
                <w:noProof/>
                <w:webHidden/>
              </w:rPr>
              <w:fldChar w:fldCharType="begin"/>
            </w:r>
            <w:r w:rsidR="005C5154">
              <w:rPr>
                <w:noProof/>
                <w:webHidden/>
              </w:rPr>
              <w:instrText xml:space="preserve"> PAGEREF _Toc164786667 \h </w:instrText>
            </w:r>
            <w:r w:rsidR="005C5154">
              <w:rPr>
                <w:noProof/>
                <w:webHidden/>
              </w:rPr>
            </w:r>
            <w:r w:rsidR="005C5154">
              <w:rPr>
                <w:noProof/>
                <w:webHidden/>
              </w:rPr>
              <w:fldChar w:fldCharType="separate"/>
            </w:r>
            <w:r w:rsidR="005C5154">
              <w:rPr>
                <w:noProof/>
                <w:webHidden/>
              </w:rPr>
              <w:t>145</w:t>
            </w:r>
            <w:r w:rsidR="005C5154">
              <w:rPr>
                <w:noProof/>
                <w:webHidden/>
              </w:rPr>
              <w:fldChar w:fldCharType="end"/>
            </w:r>
          </w:hyperlink>
        </w:p>
        <w:p w14:paraId="76699611" w14:textId="0729CCD4"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68" w:history="1">
            <w:r w:rsidR="005C5154" w:rsidRPr="000A3736">
              <w:rPr>
                <w:rStyle w:val="Hyperlink"/>
                <w:noProof/>
              </w:rPr>
              <w:t>2.4.9</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ENERGY STAR Clothes Dryers</w:t>
            </w:r>
            <w:r w:rsidR="005C5154">
              <w:rPr>
                <w:noProof/>
                <w:webHidden/>
              </w:rPr>
              <w:tab/>
            </w:r>
            <w:r w:rsidR="005C5154">
              <w:rPr>
                <w:noProof/>
                <w:webHidden/>
              </w:rPr>
              <w:fldChar w:fldCharType="begin"/>
            </w:r>
            <w:r w:rsidR="005C5154">
              <w:rPr>
                <w:noProof/>
                <w:webHidden/>
              </w:rPr>
              <w:instrText xml:space="preserve"> PAGEREF _Toc164786668 \h </w:instrText>
            </w:r>
            <w:r w:rsidR="005C5154">
              <w:rPr>
                <w:noProof/>
                <w:webHidden/>
              </w:rPr>
            </w:r>
            <w:r w:rsidR="005C5154">
              <w:rPr>
                <w:noProof/>
                <w:webHidden/>
              </w:rPr>
              <w:fldChar w:fldCharType="separate"/>
            </w:r>
            <w:r w:rsidR="005C5154">
              <w:rPr>
                <w:noProof/>
                <w:webHidden/>
              </w:rPr>
              <w:t>150</w:t>
            </w:r>
            <w:r w:rsidR="005C5154">
              <w:rPr>
                <w:noProof/>
                <w:webHidden/>
              </w:rPr>
              <w:fldChar w:fldCharType="end"/>
            </w:r>
          </w:hyperlink>
        </w:p>
        <w:p w14:paraId="4BAF0EE0" w14:textId="04C29728" w:rsidR="005C5154" w:rsidRDefault="003B5E04">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164786669" w:history="1">
            <w:r w:rsidR="005C5154" w:rsidRPr="000A3736">
              <w:rPr>
                <w:rStyle w:val="Hyperlink"/>
                <w:noProof/>
              </w:rPr>
              <w:t>2.4.10</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ENERGY STAR Dishwashers</w:t>
            </w:r>
            <w:r w:rsidR="005C5154">
              <w:rPr>
                <w:noProof/>
                <w:webHidden/>
              </w:rPr>
              <w:tab/>
            </w:r>
            <w:r w:rsidR="005C5154">
              <w:rPr>
                <w:noProof/>
                <w:webHidden/>
              </w:rPr>
              <w:fldChar w:fldCharType="begin"/>
            </w:r>
            <w:r w:rsidR="005C5154">
              <w:rPr>
                <w:noProof/>
                <w:webHidden/>
              </w:rPr>
              <w:instrText xml:space="preserve"> PAGEREF _Toc164786669 \h </w:instrText>
            </w:r>
            <w:r w:rsidR="005C5154">
              <w:rPr>
                <w:noProof/>
                <w:webHidden/>
              </w:rPr>
            </w:r>
            <w:r w:rsidR="005C5154">
              <w:rPr>
                <w:noProof/>
                <w:webHidden/>
              </w:rPr>
              <w:fldChar w:fldCharType="separate"/>
            </w:r>
            <w:r w:rsidR="005C5154">
              <w:rPr>
                <w:noProof/>
                <w:webHidden/>
              </w:rPr>
              <w:t>154</w:t>
            </w:r>
            <w:r w:rsidR="005C5154">
              <w:rPr>
                <w:noProof/>
                <w:webHidden/>
              </w:rPr>
              <w:fldChar w:fldCharType="end"/>
            </w:r>
          </w:hyperlink>
        </w:p>
        <w:p w14:paraId="15DA753A" w14:textId="1C03FB1E" w:rsidR="005C5154" w:rsidRDefault="003B5E04">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164786670" w:history="1">
            <w:r w:rsidR="005C5154" w:rsidRPr="000A3736">
              <w:rPr>
                <w:rStyle w:val="Hyperlink"/>
                <w:noProof/>
              </w:rPr>
              <w:t>2.4.11</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ENERGY STAR Dehumidifiers</w:t>
            </w:r>
            <w:r w:rsidR="005C5154">
              <w:rPr>
                <w:noProof/>
                <w:webHidden/>
              </w:rPr>
              <w:tab/>
            </w:r>
            <w:r w:rsidR="005C5154">
              <w:rPr>
                <w:noProof/>
                <w:webHidden/>
              </w:rPr>
              <w:fldChar w:fldCharType="begin"/>
            </w:r>
            <w:r w:rsidR="005C5154">
              <w:rPr>
                <w:noProof/>
                <w:webHidden/>
              </w:rPr>
              <w:instrText xml:space="preserve"> PAGEREF _Toc164786670 \h </w:instrText>
            </w:r>
            <w:r w:rsidR="005C5154">
              <w:rPr>
                <w:noProof/>
                <w:webHidden/>
              </w:rPr>
            </w:r>
            <w:r w:rsidR="005C5154">
              <w:rPr>
                <w:noProof/>
                <w:webHidden/>
              </w:rPr>
              <w:fldChar w:fldCharType="separate"/>
            </w:r>
            <w:r w:rsidR="005C5154">
              <w:rPr>
                <w:noProof/>
                <w:webHidden/>
              </w:rPr>
              <w:t>157</w:t>
            </w:r>
            <w:r w:rsidR="005C5154">
              <w:rPr>
                <w:noProof/>
                <w:webHidden/>
              </w:rPr>
              <w:fldChar w:fldCharType="end"/>
            </w:r>
          </w:hyperlink>
        </w:p>
        <w:p w14:paraId="78D00157" w14:textId="05A3C094" w:rsidR="005C5154" w:rsidRDefault="003B5E04">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164786671" w:history="1">
            <w:r w:rsidR="005C5154" w:rsidRPr="000A3736">
              <w:rPr>
                <w:rStyle w:val="Hyperlink"/>
                <w:noProof/>
              </w:rPr>
              <w:t>2.4.12</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Dehumidifier Retirement</w:t>
            </w:r>
            <w:r w:rsidR="005C5154">
              <w:rPr>
                <w:noProof/>
                <w:webHidden/>
              </w:rPr>
              <w:tab/>
            </w:r>
            <w:r w:rsidR="005C5154">
              <w:rPr>
                <w:noProof/>
                <w:webHidden/>
              </w:rPr>
              <w:fldChar w:fldCharType="begin"/>
            </w:r>
            <w:r w:rsidR="005C5154">
              <w:rPr>
                <w:noProof/>
                <w:webHidden/>
              </w:rPr>
              <w:instrText xml:space="preserve"> PAGEREF _Toc164786671 \h </w:instrText>
            </w:r>
            <w:r w:rsidR="005C5154">
              <w:rPr>
                <w:noProof/>
                <w:webHidden/>
              </w:rPr>
            </w:r>
            <w:r w:rsidR="005C5154">
              <w:rPr>
                <w:noProof/>
                <w:webHidden/>
              </w:rPr>
              <w:fldChar w:fldCharType="separate"/>
            </w:r>
            <w:r w:rsidR="005C5154">
              <w:rPr>
                <w:noProof/>
                <w:webHidden/>
              </w:rPr>
              <w:t>160</w:t>
            </w:r>
            <w:r w:rsidR="005C5154">
              <w:rPr>
                <w:noProof/>
                <w:webHidden/>
              </w:rPr>
              <w:fldChar w:fldCharType="end"/>
            </w:r>
          </w:hyperlink>
        </w:p>
        <w:p w14:paraId="5ED06D8D" w14:textId="3E72D427" w:rsidR="005C5154" w:rsidRDefault="003B5E04">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164786672" w:history="1">
            <w:r w:rsidR="005C5154" w:rsidRPr="000A3736">
              <w:rPr>
                <w:rStyle w:val="Hyperlink"/>
                <w:noProof/>
              </w:rPr>
              <w:t>2.4.13</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ENERGY STAR Ceiling Fans</w:t>
            </w:r>
            <w:r w:rsidR="005C5154">
              <w:rPr>
                <w:noProof/>
                <w:webHidden/>
              </w:rPr>
              <w:tab/>
            </w:r>
            <w:r w:rsidR="005C5154">
              <w:rPr>
                <w:noProof/>
                <w:webHidden/>
              </w:rPr>
              <w:fldChar w:fldCharType="begin"/>
            </w:r>
            <w:r w:rsidR="005C5154">
              <w:rPr>
                <w:noProof/>
                <w:webHidden/>
              </w:rPr>
              <w:instrText xml:space="preserve"> PAGEREF _Toc164786672 \h </w:instrText>
            </w:r>
            <w:r w:rsidR="005C5154">
              <w:rPr>
                <w:noProof/>
                <w:webHidden/>
              </w:rPr>
            </w:r>
            <w:r w:rsidR="005C5154">
              <w:rPr>
                <w:noProof/>
                <w:webHidden/>
              </w:rPr>
              <w:fldChar w:fldCharType="separate"/>
            </w:r>
            <w:r w:rsidR="005C5154">
              <w:rPr>
                <w:noProof/>
                <w:webHidden/>
              </w:rPr>
              <w:t>163</w:t>
            </w:r>
            <w:r w:rsidR="005C5154">
              <w:rPr>
                <w:noProof/>
                <w:webHidden/>
              </w:rPr>
              <w:fldChar w:fldCharType="end"/>
            </w:r>
          </w:hyperlink>
        </w:p>
        <w:p w14:paraId="7D07994E" w14:textId="18003ECC" w:rsidR="005C5154" w:rsidRDefault="003B5E04">
          <w:pPr>
            <w:pStyle w:val="TOC3"/>
            <w:tabs>
              <w:tab w:val="left" w:pos="1440"/>
              <w:tab w:val="right" w:leader="dot" w:pos="8630"/>
            </w:tabs>
            <w:rPr>
              <w:rFonts w:asciiTheme="minorHAnsi" w:eastAsiaTheme="minorEastAsia" w:hAnsiTheme="minorHAnsi" w:cstheme="minorBidi"/>
              <w:noProof/>
              <w:kern w:val="2"/>
              <w:sz w:val="24"/>
              <w:szCs w:val="24"/>
              <w14:ligatures w14:val="standardContextual"/>
            </w:rPr>
          </w:pPr>
          <w:hyperlink w:anchor="_Toc164786673" w:history="1">
            <w:r w:rsidR="005C5154" w:rsidRPr="000A3736">
              <w:rPr>
                <w:rStyle w:val="Hyperlink"/>
                <w:noProof/>
              </w:rPr>
              <w:t>2.4.14</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ENERGY STAR Air Purifiers</w:t>
            </w:r>
            <w:r w:rsidR="005C5154">
              <w:rPr>
                <w:noProof/>
                <w:webHidden/>
              </w:rPr>
              <w:tab/>
            </w:r>
            <w:r w:rsidR="005C5154">
              <w:rPr>
                <w:noProof/>
                <w:webHidden/>
              </w:rPr>
              <w:fldChar w:fldCharType="begin"/>
            </w:r>
            <w:r w:rsidR="005C5154">
              <w:rPr>
                <w:noProof/>
                <w:webHidden/>
              </w:rPr>
              <w:instrText xml:space="preserve"> PAGEREF _Toc164786673 \h </w:instrText>
            </w:r>
            <w:r w:rsidR="005C5154">
              <w:rPr>
                <w:noProof/>
                <w:webHidden/>
              </w:rPr>
            </w:r>
            <w:r w:rsidR="005C5154">
              <w:rPr>
                <w:noProof/>
                <w:webHidden/>
              </w:rPr>
              <w:fldChar w:fldCharType="separate"/>
            </w:r>
            <w:r w:rsidR="005C5154">
              <w:rPr>
                <w:noProof/>
                <w:webHidden/>
              </w:rPr>
              <w:t>166</w:t>
            </w:r>
            <w:r w:rsidR="005C5154">
              <w:rPr>
                <w:noProof/>
                <w:webHidden/>
              </w:rPr>
              <w:fldChar w:fldCharType="end"/>
            </w:r>
          </w:hyperlink>
        </w:p>
        <w:p w14:paraId="2791326F" w14:textId="08F1F068" w:rsidR="005C5154" w:rsidRDefault="003B5E04">
          <w:pPr>
            <w:pStyle w:val="TOC2"/>
            <w:rPr>
              <w:rFonts w:asciiTheme="minorHAnsi" w:eastAsiaTheme="minorEastAsia" w:hAnsiTheme="minorHAnsi" w:cstheme="minorBidi"/>
              <w:b w:val="0"/>
              <w:kern w:val="2"/>
              <w:sz w:val="24"/>
              <w:szCs w:val="24"/>
              <w14:ligatures w14:val="standardContextual"/>
            </w:rPr>
          </w:pPr>
          <w:hyperlink w:anchor="_Toc164786674" w:history="1">
            <w:r w:rsidR="005C5154" w:rsidRPr="000A3736">
              <w:rPr>
                <w:rStyle w:val="Hyperlink"/>
              </w:rPr>
              <w:t>2.5</w:t>
            </w:r>
            <w:r w:rsidR="005C5154">
              <w:rPr>
                <w:rFonts w:asciiTheme="minorHAnsi" w:eastAsiaTheme="minorEastAsia" w:hAnsiTheme="minorHAnsi" w:cstheme="minorBidi"/>
                <w:b w:val="0"/>
                <w:kern w:val="2"/>
                <w:sz w:val="24"/>
                <w:szCs w:val="24"/>
                <w14:ligatures w14:val="standardContextual"/>
              </w:rPr>
              <w:tab/>
            </w:r>
            <w:r w:rsidR="005C5154" w:rsidRPr="000A3736">
              <w:rPr>
                <w:rStyle w:val="Hyperlink"/>
              </w:rPr>
              <w:t>Consumer Electronics</w:t>
            </w:r>
            <w:r w:rsidR="005C5154">
              <w:rPr>
                <w:webHidden/>
              </w:rPr>
              <w:tab/>
            </w:r>
            <w:r w:rsidR="005C5154">
              <w:rPr>
                <w:webHidden/>
              </w:rPr>
              <w:fldChar w:fldCharType="begin"/>
            </w:r>
            <w:r w:rsidR="005C5154">
              <w:rPr>
                <w:webHidden/>
              </w:rPr>
              <w:instrText xml:space="preserve"> PAGEREF _Toc164786674 \h </w:instrText>
            </w:r>
            <w:r w:rsidR="005C5154">
              <w:rPr>
                <w:webHidden/>
              </w:rPr>
            </w:r>
            <w:r w:rsidR="005C5154">
              <w:rPr>
                <w:webHidden/>
              </w:rPr>
              <w:fldChar w:fldCharType="separate"/>
            </w:r>
            <w:r w:rsidR="005C5154">
              <w:rPr>
                <w:webHidden/>
              </w:rPr>
              <w:t>168</w:t>
            </w:r>
            <w:r w:rsidR="005C5154">
              <w:rPr>
                <w:webHidden/>
              </w:rPr>
              <w:fldChar w:fldCharType="end"/>
            </w:r>
          </w:hyperlink>
        </w:p>
        <w:p w14:paraId="084891C9" w14:textId="342D9668"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75" w:history="1">
            <w:r w:rsidR="005C5154" w:rsidRPr="000A3736">
              <w:rPr>
                <w:rStyle w:val="Hyperlink"/>
                <w:noProof/>
              </w:rPr>
              <w:t>2.5.1</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Advanced Power Strips</w:t>
            </w:r>
            <w:r w:rsidR="005C5154">
              <w:rPr>
                <w:noProof/>
                <w:webHidden/>
              </w:rPr>
              <w:tab/>
            </w:r>
            <w:r w:rsidR="005C5154">
              <w:rPr>
                <w:noProof/>
                <w:webHidden/>
              </w:rPr>
              <w:fldChar w:fldCharType="begin"/>
            </w:r>
            <w:r w:rsidR="005C5154">
              <w:rPr>
                <w:noProof/>
                <w:webHidden/>
              </w:rPr>
              <w:instrText xml:space="preserve"> PAGEREF _Toc164786675 \h </w:instrText>
            </w:r>
            <w:r w:rsidR="005C5154">
              <w:rPr>
                <w:noProof/>
                <w:webHidden/>
              </w:rPr>
            </w:r>
            <w:r w:rsidR="005C5154">
              <w:rPr>
                <w:noProof/>
                <w:webHidden/>
              </w:rPr>
              <w:fldChar w:fldCharType="separate"/>
            </w:r>
            <w:r w:rsidR="005C5154">
              <w:rPr>
                <w:noProof/>
                <w:webHidden/>
              </w:rPr>
              <w:t>168</w:t>
            </w:r>
            <w:r w:rsidR="005C5154">
              <w:rPr>
                <w:noProof/>
                <w:webHidden/>
              </w:rPr>
              <w:fldChar w:fldCharType="end"/>
            </w:r>
          </w:hyperlink>
        </w:p>
        <w:p w14:paraId="630D8E1B" w14:textId="28EA5A2E" w:rsidR="005C5154" w:rsidRDefault="003B5E04">
          <w:pPr>
            <w:pStyle w:val="TOC2"/>
            <w:rPr>
              <w:rFonts w:asciiTheme="minorHAnsi" w:eastAsiaTheme="minorEastAsia" w:hAnsiTheme="minorHAnsi" w:cstheme="minorBidi"/>
              <w:b w:val="0"/>
              <w:kern w:val="2"/>
              <w:sz w:val="24"/>
              <w:szCs w:val="24"/>
              <w14:ligatures w14:val="standardContextual"/>
            </w:rPr>
          </w:pPr>
          <w:hyperlink w:anchor="_Toc164786676" w:history="1">
            <w:r w:rsidR="005C5154" w:rsidRPr="000A3736">
              <w:rPr>
                <w:rStyle w:val="Hyperlink"/>
              </w:rPr>
              <w:t>2.6</w:t>
            </w:r>
            <w:r w:rsidR="005C5154">
              <w:rPr>
                <w:rFonts w:asciiTheme="minorHAnsi" w:eastAsiaTheme="minorEastAsia" w:hAnsiTheme="minorHAnsi" w:cstheme="minorBidi"/>
                <w:b w:val="0"/>
                <w:kern w:val="2"/>
                <w:sz w:val="24"/>
                <w:szCs w:val="24"/>
                <w14:ligatures w14:val="standardContextual"/>
              </w:rPr>
              <w:tab/>
            </w:r>
            <w:r w:rsidR="005C5154" w:rsidRPr="000A3736">
              <w:rPr>
                <w:rStyle w:val="Hyperlink"/>
              </w:rPr>
              <w:t>Building Shell</w:t>
            </w:r>
            <w:r w:rsidR="005C5154">
              <w:rPr>
                <w:webHidden/>
              </w:rPr>
              <w:tab/>
            </w:r>
            <w:r w:rsidR="005C5154">
              <w:rPr>
                <w:webHidden/>
              </w:rPr>
              <w:fldChar w:fldCharType="begin"/>
            </w:r>
            <w:r w:rsidR="005C5154">
              <w:rPr>
                <w:webHidden/>
              </w:rPr>
              <w:instrText xml:space="preserve"> PAGEREF _Toc164786676 \h </w:instrText>
            </w:r>
            <w:r w:rsidR="005C5154">
              <w:rPr>
                <w:webHidden/>
              </w:rPr>
            </w:r>
            <w:r w:rsidR="005C5154">
              <w:rPr>
                <w:webHidden/>
              </w:rPr>
              <w:fldChar w:fldCharType="separate"/>
            </w:r>
            <w:r w:rsidR="005C5154">
              <w:rPr>
                <w:webHidden/>
              </w:rPr>
              <w:t>171</w:t>
            </w:r>
            <w:r w:rsidR="005C5154">
              <w:rPr>
                <w:webHidden/>
              </w:rPr>
              <w:fldChar w:fldCharType="end"/>
            </w:r>
          </w:hyperlink>
        </w:p>
        <w:p w14:paraId="1A118398" w14:textId="6883E9DE"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77" w:history="1">
            <w:r w:rsidR="005C5154" w:rsidRPr="000A3736">
              <w:rPr>
                <w:rStyle w:val="Hyperlink"/>
                <w:noProof/>
              </w:rPr>
              <w:t>2.6.1</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Residential Air Sealing</w:t>
            </w:r>
            <w:r w:rsidR="005C5154">
              <w:rPr>
                <w:noProof/>
                <w:webHidden/>
              </w:rPr>
              <w:tab/>
            </w:r>
            <w:r w:rsidR="005C5154">
              <w:rPr>
                <w:noProof/>
                <w:webHidden/>
              </w:rPr>
              <w:fldChar w:fldCharType="begin"/>
            </w:r>
            <w:r w:rsidR="005C5154">
              <w:rPr>
                <w:noProof/>
                <w:webHidden/>
              </w:rPr>
              <w:instrText xml:space="preserve"> PAGEREF _Toc164786677 \h </w:instrText>
            </w:r>
            <w:r w:rsidR="005C5154">
              <w:rPr>
                <w:noProof/>
                <w:webHidden/>
              </w:rPr>
            </w:r>
            <w:r w:rsidR="005C5154">
              <w:rPr>
                <w:noProof/>
                <w:webHidden/>
              </w:rPr>
              <w:fldChar w:fldCharType="separate"/>
            </w:r>
            <w:r w:rsidR="005C5154">
              <w:rPr>
                <w:noProof/>
                <w:webHidden/>
              </w:rPr>
              <w:t>171</w:t>
            </w:r>
            <w:r w:rsidR="005C5154">
              <w:rPr>
                <w:noProof/>
                <w:webHidden/>
              </w:rPr>
              <w:fldChar w:fldCharType="end"/>
            </w:r>
          </w:hyperlink>
        </w:p>
        <w:p w14:paraId="2CF21345" w14:textId="2C560878"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78" w:history="1">
            <w:r w:rsidR="005C5154" w:rsidRPr="000A3736">
              <w:rPr>
                <w:rStyle w:val="Hyperlink"/>
                <w:noProof/>
              </w:rPr>
              <w:t>2.6.2</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Weather Stripping, Caulking, and Outlet Gaskets</w:t>
            </w:r>
            <w:r w:rsidR="005C5154">
              <w:rPr>
                <w:noProof/>
                <w:webHidden/>
              </w:rPr>
              <w:tab/>
            </w:r>
            <w:r w:rsidR="005C5154">
              <w:rPr>
                <w:noProof/>
                <w:webHidden/>
              </w:rPr>
              <w:fldChar w:fldCharType="begin"/>
            </w:r>
            <w:r w:rsidR="005C5154">
              <w:rPr>
                <w:noProof/>
                <w:webHidden/>
              </w:rPr>
              <w:instrText xml:space="preserve"> PAGEREF _Toc164786678 \h </w:instrText>
            </w:r>
            <w:r w:rsidR="005C5154">
              <w:rPr>
                <w:noProof/>
                <w:webHidden/>
              </w:rPr>
            </w:r>
            <w:r w:rsidR="005C5154">
              <w:rPr>
                <w:noProof/>
                <w:webHidden/>
              </w:rPr>
              <w:fldChar w:fldCharType="separate"/>
            </w:r>
            <w:r w:rsidR="005C5154">
              <w:rPr>
                <w:noProof/>
                <w:webHidden/>
              </w:rPr>
              <w:t>177</w:t>
            </w:r>
            <w:r w:rsidR="005C5154">
              <w:rPr>
                <w:noProof/>
                <w:webHidden/>
              </w:rPr>
              <w:fldChar w:fldCharType="end"/>
            </w:r>
          </w:hyperlink>
        </w:p>
        <w:p w14:paraId="5DDA089E" w14:textId="28D4523D"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79" w:history="1">
            <w:r w:rsidR="005C5154" w:rsidRPr="000A3736">
              <w:rPr>
                <w:rStyle w:val="Hyperlink"/>
                <w:noProof/>
              </w:rPr>
              <w:t>2.6.3</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Ceiling/Attic, Wall, Floor and Rim Joist Insulation</w:t>
            </w:r>
            <w:r w:rsidR="005C5154">
              <w:rPr>
                <w:noProof/>
                <w:webHidden/>
              </w:rPr>
              <w:tab/>
            </w:r>
            <w:r w:rsidR="005C5154">
              <w:rPr>
                <w:noProof/>
                <w:webHidden/>
              </w:rPr>
              <w:fldChar w:fldCharType="begin"/>
            </w:r>
            <w:r w:rsidR="005C5154">
              <w:rPr>
                <w:noProof/>
                <w:webHidden/>
              </w:rPr>
              <w:instrText xml:space="preserve"> PAGEREF _Toc164786679 \h </w:instrText>
            </w:r>
            <w:r w:rsidR="005C5154">
              <w:rPr>
                <w:noProof/>
                <w:webHidden/>
              </w:rPr>
            </w:r>
            <w:r w:rsidR="005C5154">
              <w:rPr>
                <w:noProof/>
                <w:webHidden/>
              </w:rPr>
              <w:fldChar w:fldCharType="separate"/>
            </w:r>
            <w:r w:rsidR="005C5154">
              <w:rPr>
                <w:noProof/>
                <w:webHidden/>
              </w:rPr>
              <w:t>185</w:t>
            </w:r>
            <w:r w:rsidR="005C5154">
              <w:rPr>
                <w:noProof/>
                <w:webHidden/>
              </w:rPr>
              <w:fldChar w:fldCharType="end"/>
            </w:r>
          </w:hyperlink>
        </w:p>
        <w:p w14:paraId="10898B57" w14:textId="5FF3266D"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80" w:history="1">
            <w:r w:rsidR="005C5154" w:rsidRPr="000A3736">
              <w:rPr>
                <w:rStyle w:val="Hyperlink"/>
                <w:noProof/>
              </w:rPr>
              <w:t>2.6.4</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Basement or Crawl Space Wall Insulation</w:t>
            </w:r>
            <w:r w:rsidR="005C5154">
              <w:rPr>
                <w:noProof/>
                <w:webHidden/>
              </w:rPr>
              <w:tab/>
            </w:r>
            <w:r w:rsidR="005C5154">
              <w:rPr>
                <w:noProof/>
                <w:webHidden/>
              </w:rPr>
              <w:fldChar w:fldCharType="begin"/>
            </w:r>
            <w:r w:rsidR="005C5154">
              <w:rPr>
                <w:noProof/>
                <w:webHidden/>
              </w:rPr>
              <w:instrText xml:space="preserve"> PAGEREF _Toc164786680 \h </w:instrText>
            </w:r>
            <w:r w:rsidR="005C5154">
              <w:rPr>
                <w:noProof/>
                <w:webHidden/>
              </w:rPr>
            </w:r>
            <w:r w:rsidR="005C5154">
              <w:rPr>
                <w:noProof/>
                <w:webHidden/>
              </w:rPr>
              <w:fldChar w:fldCharType="separate"/>
            </w:r>
            <w:r w:rsidR="005C5154">
              <w:rPr>
                <w:noProof/>
                <w:webHidden/>
              </w:rPr>
              <w:t>190</w:t>
            </w:r>
            <w:r w:rsidR="005C5154">
              <w:rPr>
                <w:noProof/>
                <w:webHidden/>
              </w:rPr>
              <w:fldChar w:fldCharType="end"/>
            </w:r>
          </w:hyperlink>
        </w:p>
        <w:p w14:paraId="07B33857" w14:textId="25F6FC08"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81" w:history="1">
            <w:r w:rsidR="005C5154" w:rsidRPr="000A3736">
              <w:rPr>
                <w:rStyle w:val="Hyperlink"/>
                <w:noProof/>
              </w:rPr>
              <w:t>2.6.5</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ENERGY STAR Windows</w:t>
            </w:r>
            <w:r w:rsidR="005C5154">
              <w:rPr>
                <w:noProof/>
                <w:webHidden/>
              </w:rPr>
              <w:tab/>
            </w:r>
            <w:r w:rsidR="005C5154">
              <w:rPr>
                <w:noProof/>
                <w:webHidden/>
              </w:rPr>
              <w:fldChar w:fldCharType="begin"/>
            </w:r>
            <w:r w:rsidR="005C5154">
              <w:rPr>
                <w:noProof/>
                <w:webHidden/>
              </w:rPr>
              <w:instrText xml:space="preserve"> PAGEREF _Toc164786681 \h </w:instrText>
            </w:r>
            <w:r w:rsidR="005C5154">
              <w:rPr>
                <w:noProof/>
                <w:webHidden/>
              </w:rPr>
            </w:r>
            <w:r w:rsidR="005C5154">
              <w:rPr>
                <w:noProof/>
                <w:webHidden/>
              </w:rPr>
              <w:fldChar w:fldCharType="separate"/>
            </w:r>
            <w:r w:rsidR="005C5154">
              <w:rPr>
                <w:noProof/>
                <w:webHidden/>
              </w:rPr>
              <w:t>195</w:t>
            </w:r>
            <w:r w:rsidR="005C5154">
              <w:rPr>
                <w:noProof/>
                <w:webHidden/>
              </w:rPr>
              <w:fldChar w:fldCharType="end"/>
            </w:r>
          </w:hyperlink>
        </w:p>
        <w:p w14:paraId="018509C5" w14:textId="583F47F4" w:rsidR="005C5154" w:rsidRDefault="003B5E04">
          <w:pPr>
            <w:pStyle w:val="TOC2"/>
            <w:rPr>
              <w:rFonts w:asciiTheme="minorHAnsi" w:eastAsiaTheme="minorEastAsia" w:hAnsiTheme="minorHAnsi" w:cstheme="minorBidi"/>
              <w:b w:val="0"/>
              <w:kern w:val="2"/>
              <w:sz w:val="24"/>
              <w:szCs w:val="24"/>
              <w14:ligatures w14:val="standardContextual"/>
            </w:rPr>
          </w:pPr>
          <w:hyperlink w:anchor="_Toc164786682" w:history="1">
            <w:r w:rsidR="005C5154" w:rsidRPr="000A3736">
              <w:rPr>
                <w:rStyle w:val="Hyperlink"/>
              </w:rPr>
              <w:t>2.7</w:t>
            </w:r>
            <w:r w:rsidR="005C5154">
              <w:rPr>
                <w:rFonts w:asciiTheme="minorHAnsi" w:eastAsiaTheme="minorEastAsia" w:hAnsiTheme="minorHAnsi" w:cstheme="minorBidi"/>
                <w:b w:val="0"/>
                <w:kern w:val="2"/>
                <w:sz w:val="24"/>
                <w:szCs w:val="24"/>
                <w14:ligatures w14:val="standardContextual"/>
              </w:rPr>
              <w:tab/>
            </w:r>
            <w:r w:rsidR="005C5154" w:rsidRPr="000A3736">
              <w:rPr>
                <w:rStyle w:val="Hyperlink"/>
              </w:rPr>
              <w:t>Whole Home</w:t>
            </w:r>
            <w:r w:rsidR="005C5154">
              <w:rPr>
                <w:webHidden/>
              </w:rPr>
              <w:tab/>
            </w:r>
            <w:r w:rsidR="005C5154">
              <w:rPr>
                <w:webHidden/>
              </w:rPr>
              <w:fldChar w:fldCharType="begin"/>
            </w:r>
            <w:r w:rsidR="005C5154">
              <w:rPr>
                <w:webHidden/>
              </w:rPr>
              <w:instrText xml:space="preserve"> PAGEREF _Toc164786682 \h </w:instrText>
            </w:r>
            <w:r w:rsidR="005C5154">
              <w:rPr>
                <w:webHidden/>
              </w:rPr>
            </w:r>
            <w:r w:rsidR="005C5154">
              <w:rPr>
                <w:webHidden/>
              </w:rPr>
              <w:fldChar w:fldCharType="separate"/>
            </w:r>
            <w:r w:rsidR="005C5154">
              <w:rPr>
                <w:webHidden/>
              </w:rPr>
              <w:t>198</w:t>
            </w:r>
            <w:r w:rsidR="005C5154">
              <w:rPr>
                <w:webHidden/>
              </w:rPr>
              <w:fldChar w:fldCharType="end"/>
            </w:r>
          </w:hyperlink>
        </w:p>
        <w:p w14:paraId="67D48BD4" w14:textId="13A9A0B9"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83" w:history="1">
            <w:r w:rsidR="005C5154" w:rsidRPr="000A3736">
              <w:rPr>
                <w:rStyle w:val="Hyperlink"/>
                <w:noProof/>
              </w:rPr>
              <w:t>2.7.1</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Residential New Construction</w:t>
            </w:r>
            <w:r w:rsidR="005C5154">
              <w:rPr>
                <w:noProof/>
                <w:webHidden/>
              </w:rPr>
              <w:tab/>
            </w:r>
            <w:r w:rsidR="005C5154">
              <w:rPr>
                <w:noProof/>
                <w:webHidden/>
              </w:rPr>
              <w:fldChar w:fldCharType="begin"/>
            </w:r>
            <w:r w:rsidR="005C5154">
              <w:rPr>
                <w:noProof/>
                <w:webHidden/>
              </w:rPr>
              <w:instrText xml:space="preserve"> PAGEREF _Toc164786683 \h </w:instrText>
            </w:r>
            <w:r w:rsidR="005C5154">
              <w:rPr>
                <w:noProof/>
                <w:webHidden/>
              </w:rPr>
            </w:r>
            <w:r w:rsidR="005C5154">
              <w:rPr>
                <w:noProof/>
                <w:webHidden/>
              </w:rPr>
              <w:fldChar w:fldCharType="separate"/>
            </w:r>
            <w:r w:rsidR="005C5154">
              <w:rPr>
                <w:noProof/>
                <w:webHidden/>
              </w:rPr>
              <w:t>198</w:t>
            </w:r>
            <w:r w:rsidR="005C5154">
              <w:rPr>
                <w:noProof/>
                <w:webHidden/>
              </w:rPr>
              <w:fldChar w:fldCharType="end"/>
            </w:r>
          </w:hyperlink>
        </w:p>
        <w:p w14:paraId="600525DF" w14:textId="674F9845"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84" w:history="1">
            <w:r w:rsidR="005C5154" w:rsidRPr="000A3736">
              <w:rPr>
                <w:rStyle w:val="Hyperlink"/>
                <w:noProof/>
              </w:rPr>
              <w:t>2.7.2</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ENERGY STAR Manufactured Homes</w:t>
            </w:r>
            <w:r w:rsidR="005C5154">
              <w:rPr>
                <w:noProof/>
                <w:webHidden/>
              </w:rPr>
              <w:tab/>
            </w:r>
            <w:r w:rsidR="005C5154">
              <w:rPr>
                <w:noProof/>
                <w:webHidden/>
              </w:rPr>
              <w:fldChar w:fldCharType="begin"/>
            </w:r>
            <w:r w:rsidR="005C5154">
              <w:rPr>
                <w:noProof/>
                <w:webHidden/>
              </w:rPr>
              <w:instrText xml:space="preserve"> PAGEREF _Toc164786684 \h </w:instrText>
            </w:r>
            <w:r w:rsidR="005C5154">
              <w:rPr>
                <w:noProof/>
                <w:webHidden/>
              </w:rPr>
            </w:r>
            <w:r w:rsidR="005C5154">
              <w:rPr>
                <w:noProof/>
                <w:webHidden/>
              </w:rPr>
              <w:fldChar w:fldCharType="separate"/>
            </w:r>
            <w:r w:rsidR="005C5154">
              <w:rPr>
                <w:noProof/>
                <w:webHidden/>
              </w:rPr>
              <w:t>205</w:t>
            </w:r>
            <w:r w:rsidR="005C5154">
              <w:rPr>
                <w:noProof/>
                <w:webHidden/>
              </w:rPr>
              <w:fldChar w:fldCharType="end"/>
            </w:r>
          </w:hyperlink>
        </w:p>
        <w:p w14:paraId="408AC9DB" w14:textId="266E4482"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85" w:history="1">
            <w:r w:rsidR="005C5154" w:rsidRPr="000A3736">
              <w:rPr>
                <w:rStyle w:val="Hyperlink"/>
                <w:noProof/>
              </w:rPr>
              <w:t>2.7.3</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Home Energy Reports</w:t>
            </w:r>
            <w:r w:rsidR="005C5154">
              <w:rPr>
                <w:noProof/>
                <w:webHidden/>
              </w:rPr>
              <w:tab/>
            </w:r>
            <w:r w:rsidR="005C5154">
              <w:rPr>
                <w:noProof/>
                <w:webHidden/>
              </w:rPr>
              <w:fldChar w:fldCharType="begin"/>
            </w:r>
            <w:r w:rsidR="005C5154">
              <w:rPr>
                <w:noProof/>
                <w:webHidden/>
              </w:rPr>
              <w:instrText xml:space="preserve"> PAGEREF _Toc164786685 \h </w:instrText>
            </w:r>
            <w:r w:rsidR="005C5154">
              <w:rPr>
                <w:noProof/>
                <w:webHidden/>
              </w:rPr>
            </w:r>
            <w:r w:rsidR="005C5154">
              <w:rPr>
                <w:noProof/>
                <w:webHidden/>
              </w:rPr>
              <w:fldChar w:fldCharType="separate"/>
            </w:r>
            <w:r w:rsidR="005C5154">
              <w:rPr>
                <w:noProof/>
                <w:webHidden/>
              </w:rPr>
              <w:t>210</w:t>
            </w:r>
            <w:r w:rsidR="005C5154">
              <w:rPr>
                <w:noProof/>
                <w:webHidden/>
              </w:rPr>
              <w:fldChar w:fldCharType="end"/>
            </w:r>
          </w:hyperlink>
        </w:p>
        <w:p w14:paraId="276EBB57" w14:textId="7EE19202" w:rsidR="005C5154" w:rsidRDefault="003B5E04">
          <w:pPr>
            <w:pStyle w:val="TOC2"/>
            <w:rPr>
              <w:rFonts w:asciiTheme="minorHAnsi" w:eastAsiaTheme="minorEastAsia" w:hAnsiTheme="minorHAnsi" w:cstheme="minorBidi"/>
              <w:b w:val="0"/>
              <w:kern w:val="2"/>
              <w:sz w:val="24"/>
              <w:szCs w:val="24"/>
              <w14:ligatures w14:val="standardContextual"/>
            </w:rPr>
          </w:pPr>
          <w:hyperlink w:anchor="_Toc164786686" w:history="1">
            <w:r w:rsidR="005C5154" w:rsidRPr="000A3736">
              <w:rPr>
                <w:rStyle w:val="Hyperlink"/>
              </w:rPr>
              <w:t>2.8</w:t>
            </w:r>
            <w:r w:rsidR="005C5154">
              <w:rPr>
                <w:rFonts w:asciiTheme="minorHAnsi" w:eastAsiaTheme="minorEastAsia" w:hAnsiTheme="minorHAnsi" w:cstheme="minorBidi"/>
                <w:b w:val="0"/>
                <w:kern w:val="2"/>
                <w:sz w:val="24"/>
                <w:szCs w:val="24"/>
                <w14:ligatures w14:val="standardContextual"/>
              </w:rPr>
              <w:tab/>
            </w:r>
            <w:r w:rsidR="005C5154" w:rsidRPr="000A3736">
              <w:rPr>
                <w:rStyle w:val="Hyperlink"/>
              </w:rPr>
              <w:t>Miscellaneous</w:t>
            </w:r>
            <w:r w:rsidR="005C5154">
              <w:rPr>
                <w:webHidden/>
              </w:rPr>
              <w:tab/>
            </w:r>
            <w:r w:rsidR="005C5154">
              <w:rPr>
                <w:webHidden/>
              </w:rPr>
              <w:fldChar w:fldCharType="begin"/>
            </w:r>
            <w:r w:rsidR="005C5154">
              <w:rPr>
                <w:webHidden/>
              </w:rPr>
              <w:instrText xml:space="preserve"> PAGEREF _Toc164786686 \h </w:instrText>
            </w:r>
            <w:r w:rsidR="005C5154">
              <w:rPr>
                <w:webHidden/>
              </w:rPr>
            </w:r>
            <w:r w:rsidR="005C5154">
              <w:rPr>
                <w:webHidden/>
              </w:rPr>
              <w:fldChar w:fldCharType="separate"/>
            </w:r>
            <w:r w:rsidR="005C5154">
              <w:rPr>
                <w:webHidden/>
              </w:rPr>
              <w:t>215</w:t>
            </w:r>
            <w:r w:rsidR="005C5154">
              <w:rPr>
                <w:webHidden/>
              </w:rPr>
              <w:fldChar w:fldCharType="end"/>
            </w:r>
          </w:hyperlink>
        </w:p>
        <w:p w14:paraId="5E15B7D8" w14:textId="45B08733"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87" w:history="1">
            <w:r w:rsidR="005C5154" w:rsidRPr="000A3736">
              <w:rPr>
                <w:rStyle w:val="Hyperlink"/>
                <w:noProof/>
              </w:rPr>
              <w:t>2.8.1</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ENERGY STAR Pool Pumps</w:t>
            </w:r>
            <w:r w:rsidR="005C5154">
              <w:rPr>
                <w:noProof/>
                <w:webHidden/>
              </w:rPr>
              <w:tab/>
            </w:r>
            <w:r w:rsidR="005C5154">
              <w:rPr>
                <w:noProof/>
                <w:webHidden/>
              </w:rPr>
              <w:fldChar w:fldCharType="begin"/>
            </w:r>
            <w:r w:rsidR="005C5154">
              <w:rPr>
                <w:noProof/>
                <w:webHidden/>
              </w:rPr>
              <w:instrText xml:space="preserve"> PAGEREF _Toc164786687 \h </w:instrText>
            </w:r>
            <w:r w:rsidR="005C5154">
              <w:rPr>
                <w:noProof/>
                <w:webHidden/>
              </w:rPr>
            </w:r>
            <w:r w:rsidR="005C5154">
              <w:rPr>
                <w:noProof/>
                <w:webHidden/>
              </w:rPr>
              <w:fldChar w:fldCharType="separate"/>
            </w:r>
            <w:r w:rsidR="005C5154">
              <w:rPr>
                <w:noProof/>
                <w:webHidden/>
              </w:rPr>
              <w:t>215</w:t>
            </w:r>
            <w:r w:rsidR="005C5154">
              <w:rPr>
                <w:noProof/>
                <w:webHidden/>
              </w:rPr>
              <w:fldChar w:fldCharType="end"/>
            </w:r>
          </w:hyperlink>
        </w:p>
        <w:p w14:paraId="023ABF00" w14:textId="6343CDAD"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88" w:history="1">
            <w:r w:rsidR="005C5154" w:rsidRPr="000A3736">
              <w:rPr>
                <w:rStyle w:val="Hyperlink"/>
                <w:noProof/>
              </w:rPr>
              <w:t>2.8.2</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Single Speed Pool Pump Replacement</w:t>
            </w:r>
            <w:r w:rsidR="005C5154">
              <w:rPr>
                <w:noProof/>
                <w:webHidden/>
              </w:rPr>
              <w:tab/>
            </w:r>
            <w:r w:rsidR="005C5154">
              <w:rPr>
                <w:noProof/>
                <w:webHidden/>
              </w:rPr>
              <w:fldChar w:fldCharType="begin"/>
            </w:r>
            <w:r w:rsidR="005C5154">
              <w:rPr>
                <w:noProof/>
                <w:webHidden/>
              </w:rPr>
              <w:instrText xml:space="preserve"> PAGEREF _Toc164786688 \h </w:instrText>
            </w:r>
            <w:r w:rsidR="005C5154">
              <w:rPr>
                <w:noProof/>
                <w:webHidden/>
              </w:rPr>
            </w:r>
            <w:r w:rsidR="005C5154">
              <w:rPr>
                <w:noProof/>
                <w:webHidden/>
              </w:rPr>
              <w:fldChar w:fldCharType="separate"/>
            </w:r>
            <w:r w:rsidR="005C5154">
              <w:rPr>
                <w:noProof/>
                <w:webHidden/>
              </w:rPr>
              <w:t>218</w:t>
            </w:r>
            <w:r w:rsidR="005C5154">
              <w:rPr>
                <w:noProof/>
                <w:webHidden/>
              </w:rPr>
              <w:fldChar w:fldCharType="end"/>
            </w:r>
          </w:hyperlink>
        </w:p>
        <w:p w14:paraId="22BE1B33" w14:textId="1CF32908"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89" w:history="1">
            <w:r w:rsidR="005C5154" w:rsidRPr="000A3736">
              <w:rPr>
                <w:rStyle w:val="Hyperlink"/>
                <w:noProof/>
              </w:rPr>
              <w:t>2.8.3</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Photovoltaic (PV) Solar Generation</w:t>
            </w:r>
            <w:r w:rsidR="005C5154">
              <w:rPr>
                <w:noProof/>
                <w:webHidden/>
              </w:rPr>
              <w:tab/>
            </w:r>
            <w:r w:rsidR="005C5154">
              <w:rPr>
                <w:noProof/>
                <w:webHidden/>
              </w:rPr>
              <w:fldChar w:fldCharType="begin"/>
            </w:r>
            <w:r w:rsidR="005C5154">
              <w:rPr>
                <w:noProof/>
                <w:webHidden/>
              </w:rPr>
              <w:instrText xml:space="preserve"> PAGEREF _Toc164786689 \h </w:instrText>
            </w:r>
            <w:r w:rsidR="005C5154">
              <w:rPr>
                <w:noProof/>
                <w:webHidden/>
              </w:rPr>
            </w:r>
            <w:r w:rsidR="005C5154">
              <w:rPr>
                <w:noProof/>
                <w:webHidden/>
              </w:rPr>
              <w:fldChar w:fldCharType="separate"/>
            </w:r>
            <w:r w:rsidR="005C5154">
              <w:rPr>
                <w:noProof/>
                <w:webHidden/>
              </w:rPr>
              <w:t>222</w:t>
            </w:r>
            <w:r w:rsidR="005C5154">
              <w:rPr>
                <w:noProof/>
                <w:webHidden/>
              </w:rPr>
              <w:fldChar w:fldCharType="end"/>
            </w:r>
          </w:hyperlink>
        </w:p>
        <w:p w14:paraId="72262FD8" w14:textId="7595788A" w:rsidR="005C5154" w:rsidRDefault="003B5E04">
          <w:pPr>
            <w:pStyle w:val="TOC2"/>
            <w:rPr>
              <w:rFonts w:asciiTheme="minorHAnsi" w:eastAsiaTheme="minorEastAsia" w:hAnsiTheme="minorHAnsi" w:cstheme="minorBidi"/>
              <w:b w:val="0"/>
              <w:kern w:val="2"/>
              <w:sz w:val="24"/>
              <w:szCs w:val="24"/>
              <w14:ligatures w14:val="standardContextual"/>
            </w:rPr>
          </w:pPr>
          <w:hyperlink w:anchor="_Toc164786690" w:history="1">
            <w:r w:rsidR="005C5154" w:rsidRPr="000A3736">
              <w:rPr>
                <w:rStyle w:val="Hyperlink"/>
              </w:rPr>
              <w:t>2.9</w:t>
            </w:r>
            <w:r w:rsidR="005C5154">
              <w:rPr>
                <w:rFonts w:asciiTheme="minorHAnsi" w:eastAsiaTheme="minorEastAsia" w:hAnsiTheme="minorHAnsi" w:cstheme="minorBidi"/>
                <w:b w:val="0"/>
                <w:kern w:val="2"/>
                <w:sz w:val="24"/>
                <w:szCs w:val="24"/>
                <w14:ligatures w14:val="standardContextual"/>
              </w:rPr>
              <w:tab/>
            </w:r>
            <w:r w:rsidR="005C5154" w:rsidRPr="000A3736">
              <w:rPr>
                <w:rStyle w:val="Hyperlink"/>
              </w:rPr>
              <w:t>Demand Response</w:t>
            </w:r>
            <w:r w:rsidR="005C5154">
              <w:rPr>
                <w:webHidden/>
              </w:rPr>
              <w:tab/>
            </w:r>
            <w:r w:rsidR="005C5154">
              <w:rPr>
                <w:webHidden/>
              </w:rPr>
              <w:fldChar w:fldCharType="begin"/>
            </w:r>
            <w:r w:rsidR="005C5154">
              <w:rPr>
                <w:webHidden/>
              </w:rPr>
              <w:instrText xml:space="preserve"> PAGEREF _Toc164786690 \h </w:instrText>
            </w:r>
            <w:r w:rsidR="005C5154">
              <w:rPr>
                <w:webHidden/>
              </w:rPr>
            </w:r>
            <w:r w:rsidR="005C5154">
              <w:rPr>
                <w:webHidden/>
              </w:rPr>
              <w:fldChar w:fldCharType="separate"/>
            </w:r>
            <w:r w:rsidR="005C5154">
              <w:rPr>
                <w:webHidden/>
              </w:rPr>
              <w:t>227</w:t>
            </w:r>
            <w:r w:rsidR="005C5154">
              <w:rPr>
                <w:webHidden/>
              </w:rPr>
              <w:fldChar w:fldCharType="end"/>
            </w:r>
          </w:hyperlink>
        </w:p>
        <w:p w14:paraId="3E066AC7" w14:textId="5EA787AE" w:rsidR="005C5154" w:rsidRDefault="003B5E04">
          <w:pPr>
            <w:pStyle w:val="TOC3"/>
            <w:tabs>
              <w:tab w:val="left" w:pos="1200"/>
              <w:tab w:val="right" w:leader="dot" w:pos="8630"/>
            </w:tabs>
            <w:rPr>
              <w:rFonts w:asciiTheme="minorHAnsi" w:eastAsiaTheme="minorEastAsia" w:hAnsiTheme="minorHAnsi" w:cstheme="minorBidi"/>
              <w:noProof/>
              <w:kern w:val="2"/>
              <w:sz w:val="24"/>
              <w:szCs w:val="24"/>
              <w14:ligatures w14:val="standardContextual"/>
            </w:rPr>
          </w:pPr>
          <w:hyperlink w:anchor="_Toc164786691" w:history="1">
            <w:r w:rsidR="005C5154" w:rsidRPr="000A3736">
              <w:rPr>
                <w:rStyle w:val="Hyperlink"/>
                <w:noProof/>
              </w:rPr>
              <w:t>2.9.1</w:t>
            </w:r>
            <w:r w:rsidR="005C5154">
              <w:rPr>
                <w:rFonts w:asciiTheme="minorHAnsi" w:eastAsiaTheme="minorEastAsia" w:hAnsiTheme="minorHAnsi" w:cstheme="minorBidi"/>
                <w:noProof/>
                <w:kern w:val="2"/>
                <w:sz w:val="24"/>
                <w:szCs w:val="24"/>
                <w14:ligatures w14:val="standardContextual"/>
              </w:rPr>
              <w:tab/>
            </w:r>
            <w:r w:rsidR="005C5154" w:rsidRPr="000A3736">
              <w:rPr>
                <w:rStyle w:val="Hyperlink"/>
                <w:noProof/>
              </w:rPr>
              <w:t>Direct Load Control and Behavior-Based Demand Response Programs</w:t>
            </w:r>
            <w:r w:rsidR="005C5154">
              <w:rPr>
                <w:noProof/>
                <w:webHidden/>
              </w:rPr>
              <w:tab/>
            </w:r>
            <w:r w:rsidR="005C5154">
              <w:rPr>
                <w:noProof/>
                <w:webHidden/>
              </w:rPr>
              <w:fldChar w:fldCharType="begin"/>
            </w:r>
            <w:r w:rsidR="005C5154">
              <w:rPr>
                <w:noProof/>
                <w:webHidden/>
              </w:rPr>
              <w:instrText xml:space="preserve"> PAGEREF _Toc164786691 \h </w:instrText>
            </w:r>
            <w:r w:rsidR="005C5154">
              <w:rPr>
                <w:noProof/>
                <w:webHidden/>
              </w:rPr>
            </w:r>
            <w:r w:rsidR="005C5154">
              <w:rPr>
                <w:noProof/>
                <w:webHidden/>
              </w:rPr>
              <w:fldChar w:fldCharType="separate"/>
            </w:r>
            <w:r w:rsidR="005C5154">
              <w:rPr>
                <w:noProof/>
                <w:webHidden/>
              </w:rPr>
              <w:t>227</w:t>
            </w:r>
            <w:r w:rsidR="005C5154">
              <w:rPr>
                <w:noProof/>
                <w:webHidden/>
              </w:rPr>
              <w:fldChar w:fldCharType="end"/>
            </w:r>
          </w:hyperlink>
        </w:p>
        <w:p w14:paraId="011F3FA8" w14:textId="5C0CFE1E" w:rsidR="005C5154" w:rsidRDefault="005C5154">
          <w:r>
            <w:rPr>
              <w:b/>
              <w:bCs/>
              <w:noProof/>
            </w:rPr>
            <w:fldChar w:fldCharType="end"/>
          </w:r>
        </w:p>
      </w:sdtContent>
    </w:sdt>
    <w:p w14:paraId="739F2DDF" w14:textId="77777777" w:rsidR="00FA6A07" w:rsidRDefault="00FA6A07" w:rsidP="009F0721"/>
    <w:p w14:paraId="0EC40296" w14:textId="77777777" w:rsidR="005C5154" w:rsidRDefault="005C5154" w:rsidP="009F0721"/>
    <w:p w14:paraId="4C4C0336" w14:textId="77777777" w:rsidR="005C5154" w:rsidRDefault="005C5154" w:rsidP="009F0721"/>
    <w:p w14:paraId="0525405A" w14:textId="77777777" w:rsidR="005C5154" w:rsidRDefault="005C5154" w:rsidP="009F0721">
      <w:pPr>
        <w:sectPr w:rsidR="005C5154" w:rsidSect="002D556C">
          <w:headerReference w:type="default" r:id="rId15"/>
          <w:footerReference w:type="default" r:id="rId16"/>
          <w:pgSz w:w="12240" w:h="15840" w:code="1"/>
          <w:pgMar w:top="1440" w:right="1800" w:bottom="1440" w:left="1800" w:header="720" w:footer="504" w:gutter="0"/>
          <w:pgNumType w:fmt="lowerRoman" w:start="1"/>
          <w:cols w:space="720"/>
        </w:sectPr>
      </w:pPr>
    </w:p>
    <w:p w14:paraId="53534037" w14:textId="621BE4C5" w:rsidR="009F0721" w:rsidRPr="001570EA" w:rsidRDefault="009F0721" w:rsidP="009F0721">
      <w:pPr>
        <w:pStyle w:val="Heading1"/>
      </w:pPr>
      <w:bookmarkStart w:id="16" w:name="_Toc164786627"/>
      <w:r w:rsidRPr="001570EA">
        <w:t>Residential Measures</w:t>
      </w:r>
      <w:bookmarkEnd w:id="0"/>
      <w:bookmarkEnd w:id="1"/>
      <w:bookmarkEnd w:id="2"/>
      <w:bookmarkEnd w:id="3"/>
      <w:bookmarkEnd w:id="4"/>
      <w:bookmarkEnd w:id="5"/>
      <w:bookmarkEnd w:id="6"/>
      <w:bookmarkEnd w:id="16"/>
    </w:p>
    <w:p w14:paraId="1BF51CF9" w14:textId="2F6291EB" w:rsidR="00FA5174" w:rsidRPr="001570EA" w:rsidRDefault="00FA5174" w:rsidP="00FA5174">
      <w:pPr>
        <w:pStyle w:val="Heading2"/>
        <w:ind w:left="900" w:hanging="900"/>
      </w:pPr>
      <w:bookmarkStart w:id="17" w:name="_Ref163980512"/>
      <w:bookmarkStart w:id="18" w:name="_Toc164786628"/>
      <w:r w:rsidRPr="001570EA">
        <w:t>Lighting</w:t>
      </w:r>
      <w:bookmarkEnd w:id="7"/>
      <w:bookmarkEnd w:id="8"/>
      <w:bookmarkEnd w:id="9"/>
      <w:bookmarkEnd w:id="10"/>
      <w:bookmarkEnd w:id="17"/>
      <w:bookmarkEnd w:id="18"/>
    </w:p>
    <w:p w14:paraId="25652C6A" w14:textId="50CD6FAA" w:rsidR="00FA5174" w:rsidRPr="001570EA" w:rsidRDefault="00FE5F1E" w:rsidP="00462D97">
      <w:pPr>
        <w:pStyle w:val="Heading3"/>
      </w:pPr>
      <w:bookmarkStart w:id="19" w:name="_ENERGY_STAR_Lighting"/>
      <w:bookmarkStart w:id="20" w:name="_Ref303086637"/>
      <w:bookmarkStart w:id="21" w:name="_Toc364420805"/>
      <w:bookmarkStart w:id="22" w:name="_Toc373320443"/>
      <w:bookmarkStart w:id="23" w:name="_Toc364760920"/>
      <w:bookmarkStart w:id="24" w:name="_Toc530141457"/>
      <w:bookmarkStart w:id="25" w:name="_Toc48143011"/>
      <w:bookmarkStart w:id="26" w:name="_Toc164786629"/>
      <w:bookmarkEnd w:id="19"/>
      <w:r w:rsidRPr="001570EA">
        <w:t xml:space="preserve">Residential LED </w:t>
      </w:r>
      <w:r w:rsidR="00FA5174" w:rsidRPr="001570EA">
        <w:t>Lighting</w:t>
      </w:r>
      <w:bookmarkEnd w:id="20"/>
      <w:bookmarkEnd w:id="21"/>
      <w:bookmarkEnd w:id="22"/>
      <w:bookmarkEnd w:id="23"/>
      <w:bookmarkEnd w:id="24"/>
      <w:bookmarkEnd w:id="25"/>
      <w:bookmarkEnd w:id="26"/>
      <w:r w:rsidR="00FA5174" w:rsidRPr="001570EA">
        <w:t xml:space="preserve"> </w:t>
      </w:r>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8"/>
        <w:gridCol w:w="4964"/>
      </w:tblGrid>
      <w:tr w:rsidR="00FA5174" w:rsidRPr="001570EA" w14:paraId="399429BD" w14:textId="77777777" w:rsidTr="00BD2C4C">
        <w:tc>
          <w:tcPr>
            <w:tcW w:w="3548" w:type="dxa"/>
            <w:tcBorders>
              <w:top w:val="single" w:sz="8" w:space="0" w:color="404040"/>
              <w:left w:val="single" w:sz="8" w:space="0" w:color="404040"/>
              <w:bottom w:val="single" w:sz="8" w:space="0" w:color="404040"/>
              <w:right w:val="single" w:sz="8" w:space="0" w:color="404040"/>
            </w:tcBorders>
            <w:shd w:val="clear" w:color="auto" w:fill="FFFFFF"/>
          </w:tcPr>
          <w:p w14:paraId="35659B93" w14:textId="77777777" w:rsidR="00FA5174" w:rsidRPr="001570EA" w:rsidRDefault="00FA5174" w:rsidP="00BD2C4C">
            <w:pPr>
              <w:pStyle w:val="TableCell"/>
              <w:spacing w:before="60" w:after="60"/>
              <w:rPr>
                <w:b/>
                <w:bCs/>
                <w:color w:val="000000"/>
              </w:rPr>
            </w:pPr>
            <w:r w:rsidRPr="001570EA">
              <w:rPr>
                <w:b/>
                <w:bCs/>
                <w:color w:val="000000"/>
              </w:rPr>
              <w:t>Target Sector</w:t>
            </w:r>
          </w:p>
        </w:tc>
        <w:tc>
          <w:tcPr>
            <w:tcW w:w="4964" w:type="dxa"/>
            <w:tcBorders>
              <w:top w:val="single" w:sz="8" w:space="0" w:color="404040"/>
              <w:left w:val="single" w:sz="8" w:space="0" w:color="404040"/>
              <w:bottom w:val="single" w:sz="8" w:space="0" w:color="404040"/>
              <w:right w:val="single" w:sz="8" w:space="0" w:color="404040"/>
            </w:tcBorders>
            <w:shd w:val="clear" w:color="auto" w:fill="FFFFFF"/>
          </w:tcPr>
          <w:p w14:paraId="160E31AB" w14:textId="154AD123" w:rsidR="00FA5174" w:rsidRPr="001570EA" w:rsidRDefault="00FA5174" w:rsidP="00BD2C4C">
            <w:pPr>
              <w:pStyle w:val="TableCell"/>
              <w:spacing w:before="60" w:after="60"/>
              <w:jc w:val="center"/>
              <w:rPr>
                <w:color w:val="000000"/>
              </w:rPr>
            </w:pPr>
            <w:r w:rsidRPr="001570EA">
              <w:rPr>
                <w:color w:val="000000"/>
              </w:rPr>
              <w:t>Residential</w:t>
            </w:r>
          </w:p>
        </w:tc>
      </w:tr>
      <w:tr w:rsidR="00FA5174" w:rsidRPr="001570EA" w14:paraId="4C029F53" w14:textId="77777777" w:rsidTr="00BD2C4C">
        <w:tc>
          <w:tcPr>
            <w:tcW w:w="3548" w:type="dxa"/>
            <w:tcBorders>
              <w:top w:val="single" w:sz="8" w:space="0" w:color="404040"/>
              <w:left w:val="single" w:sz="8" w:space="0" w:color="404040"/>
              <w:bottom w:val="single" w:sz="8" w:space="0" w:color="404040"/>
              <w:right w:val="single" w:sz="8" w:space="0" w:color="404040"/>
            </w:tcBorders>
            <w:shd w:val="clear" w:color="auto" w:fill="auto"/>
          </w:tcPr>
          <w:p w14:paraId="04120F7B" w14:textId="77777777" w:rsidR="00FA5174" w:rsidRPr="001570EA" w:rsidRDefault="00FA5174" w:rsidP="00BD2C4C">
            <w:pPr>
              <w:pStyle w:val="TableCell"/>
              <w:spacing w:before="60" w:after="60"/>
              <w:rPr>
                <w:b/>
                <w:bCs/>
                <w:color w:val="000000"/>
              </w:rPr>
            </w:pPr>
            <w:r w:rsidRPr="001570EA">
              <w:rPr>
                <w:b/>
                <w:bCs/>
                <w:color w:val="000000"/>
              </w:rPr>
              <w:t>Measure Unit</w:t>
            </w:r>
          </w:p>
        </w:tc>
        <w:tc>
          <w:tcPr>
            <w:tcW w:w="4964" w:type="dxa"/>
            <w:tcBorders>
              <w:top w:val="single" w:sz="8" w:space="0" w:color="404040"/>
              <w:left w:val="single" w:sz="8" w:space="0" w:color="404040"/>
              <w:bottom w:val="single" w:sz="8" w:space="0" w:color="404040"/>
              <w:right w:val="single" w:sz="8" w:space="0" w:color="404040"/>
            </w:tcBorders>
            <w:shd w:val="clear" w:color="auto" w:fill="auto"/>
          </w:tcPr>
          <w:p w14:paraId="43E890AA" w14:textId="77777777" w:rsidR="00FA5174" w:rsidRPr="001570EA" w:rsidRDefault="00FA5174" w:rsidP="00BD2C4C">
            <w:pPr>
              <w:pStyle w:val="TableCell"/>
              <w:spacing w:before="60" w:after="60"/>
              <w:jc w:val="center"/>
              <w:rPr>
                <w:color w:val="000000"/>
              </w:rPr>
            </w:pPr>
            <w:r w:rsidRPr="001570EA">
              <w:rPr>
                <w:color w:val="000000"/>
              </w:rPr>
              <w:t>Light Bulb or Fixture</w:t>
            </w:r>
          </w:p>
        </w:tc>
      </w:tr>
      <w:tr w:rsidR="00FA5174" w:rsidRPr="001570EA" w14:paraId="29271A08" w14:textId="77777777" w:rsidTr="00BD2C4C">
        <w:tc>
          <w:tcPr>
            <w:tcW w:w="3548" w:type="dxa"/>
            <w:tcBorders>
              <w:top w:val="single" w:sz="8" w:space="0" w:color="404040"/>
              <w:left w:val="single" w:sz="8" w:space="0" w:color="404040"/>
              <w:bottom w:val="single" w:sz="8" w:space="0" w:color="404040"/>
              <w:right w:val="single" w:sz="8" w:space="0" w:color="404040"/>
            </w:tcBorders>
            <w:shd w:val="clear" w:color="auto" w:fill="FFFFFF"/>
            <w:vAlign w:val="center"/>
          </w:tcPr>
          <w:p w14:paraId="1BA71DA1" w14:textId="77777777" w:rsidR="00FA5174" w:rsidRPr="001570EA" w:rsidRDefault="00FA5174" w:rsidP="00BD2C4C">
            <w:pPr>
              <w:pStyle w:val="TableCell"/>
              <w:spacing w:before="60" w:after="60"/>
              <w:jc w:val="left"/>
              <w:rPr>
                <w:b/>
                <w:bCs/>
                <w:color w:val="000000"/>
              </w:rPr>
            </w:pPr>
            <w:r w:rsidRPr="001570EA">
              <w:rPr>
                <w:b/>
                <w:bCs/>
                <w:color w:val="000000"/>
              </w:rPr>
              <w:t>Measure Life</w:t>
            </w:r>
          </w:p>
        </w:tc>
        <w:tc>
          <w:tcPr>
            <w:tcW w:w="4964" w:type="dxa"/>
            <w:tcBorders>
              <w:top w:val="single" w:sz="8" w:space="0" w:color="404040"/>
              <w:left w:val="single" w:sz="8" w:space="0" w:color="404040"/>
              <w:bottom w:val="single" w:sz="8" w:space="0" w:color="404040"/>
              <w:right w:val="single" w:sz="8" w:space="0" w:color="404040"/>
            </w:tcBorders>
            <w:shd w:val="clear" w:color="auto" w:fill="FFFFFF"/>
          </w:tcPr>
          <w:p w14:paraId="325166F1" w14:textId="4D837546" w:rsidR="00FA5174" w:rsidRPr="001570EA" w:rsidRDefault="0096411C" w:rsidP="00BD2C4C">
            <w:pPr>
              <w:pStyle w:val="TableCell"/>
              <w:spacing w:before="60" w:after="60"/>
              <w:jc w:val="center"/>
              <w:rPr>
                <w:i/>
                <w:iCs/>
                <w:color w:val="000000"/>
                <w:vertAlign w:val="superscript"/>
              </w:rPr>
            </w:pPr>
            <w:r w:rsidRPr="001570EA">
              <w:rPr>
                <w:color w:val="000000"/>
              </w:rPr>
              <w:t>Replace on Burnout</w:t>
            </w:r>
            <w:r w:rsidR="00FA5174" w:rsidRPr="001570EA">
              <w:rPr>
                <w:color w:val="000000"/>
              </w:rPr>
              <w:t>: 15 years</w:t>
            </w:r>
            <w:r w:rsidR="00661550" w:rsidRPr="001570EA">
              <w:rPr>
                <w:color w:val="000000"/>
                <w:vertAlign w:val="superscript"/>
              </w:rPr>
              <w:t>Source 1</w:t>
            </w:r>
          </w:p>
          <w:p w14:paraId="7528613B" w14:textId="5FC94012" w:rsidR="0096411C" w:rsidRPr="001570EA" w:rsidRDefault="0096411C" w:rsidP="00BD2C4C">
            <w:pPr>
              <w:pStyle w:val="TableCell"/>
              <w:spacing w:before="60" w:after="60"/>
              <w:jc w:val="center"/>
              <w:rPr>
                <w:i/>
                <w:iCs/>
                <w:color w:val="000000"/>
                <w:vertAlign w:val="superscript"/>
              </w:rPr>
            </w:pPr>
            <w:r w:rsidRPr="001570EA">
              <w:rPr>
                <w:color w:val="000000"/>
              </w:rPr>
              <w:t xml:space="preserve">Early Replacement: </w:t>
            </w:r>
            <w:r w:rsidR="00B80077" w:rsidRPr="001570EA">
              <w:rPr>
                <w:color w:val="000000"/>
              </w:rPr>
              <w:t>2</w:t>
            </w:r>
            <w:r w:rsidR="00E9094A" w:rsidRPr="001570EA">
              <w:rPr>
                <w:color w:val="000000"/>
              </w:rPr>
              <w:t xml:space="preserve"> </w:t>
            </w:r>
            <w:r w:rsidR="00F84896" w:rsidRPr="001570EA">
              <w:rPr>
                <w:color w:val="000000"/>
              </w:rPr>
              <w:t>year</w:t>
            </w:r>
            <w:r w:rsidR="00B80077" w:rsidRPr="001570EA">
              <w:rPr>
                <w:color w:val="000000"/>
              </w:rPr>
              <w:t>s</w:t>
            </w:r>
            <w:r w:rsidR="00F84896" w:rsidRPr="001570EA">
              <w:rPr>
                <w:color w:val="000000"/>
                <w:vertAlign w:val="superscript"/>
              </w:rPr>
              <w:t>Source 2</w:t>
            </w:r>
          </w:p>
        </w:tc>
      </w:tr>
      <w:tr w:rsidR="00FA5174" w:rsidRPr="001570EA" w14:paraId="2E25F346" w14:textId="77777777" w:rsidTr="00BD2C4C">
        <w:tc>
          <w:tcPr>
            <w:tcW w:w="3548" w:type="dxa"/>
            <w:tcBorders>
              <w:top w:val="single" w:sz="8" w:space="0" w:color="404040"/>
              <w:left w:val="single" w:sz="8" w:space="0" w:color="404040"/>
              <w:bottom w:val="single" w:sz="8" w:space="0" w:color="404040"/>
              <w:right w:val="single" w:sz="8" w:space="0" w:color="404040"/>
            </w:tcBorders>
            <w:shd w:val="clear" w:color="auto" w:fill="FFFFFF"/>
            <w:vAlign w:val="center"/>
          </w:tcPr>
          <w:p w14:paraId="5C1E79A6" w14:textId="77777777" w:rsidR="00FA5174" w:rsidRPr="001570EA" w:rsidRDefault="00FA5174" w:rsidP="00BD2C4C">
            <w:pPr>
              <w:pStyle w:val="TableCell"/>
              <w:spacing w:before="60" w:after="60"/>
              <w:jc w:val="left"/>
              <w:rPr>
                <w:b/>
                <w:bCs/>
                <w:color w:val="000000"/>
              </w:rPr>
            </w:pPr>
            <w:r w:rsidRPr="001570EA">
              <w:rPr>
                <w:b/>
                <w:bCs/>
                <w:color w:val="000000"/>
              </w:rPr>
              <w:t>Vintage</w:t>
            </w:r>
          </w:p>
        </w:tc>
        <w:tc>
          <w:tcPr>
            <w:tcW w:w="4964" w:type="dxa"/>
            <w:tcBorders>
              <w:top w:val="single" w:sz="8" w:space="0" w:color="404040"/>
              <w:left w:val="single" w:sz="8" w:space="0" w:color="404040"/>
              <w:bottom w:val="single" w:sz="8" w:space="0" w:color="404040"/>
              <w:right w:val="single" w:sz="8" w:space="0" w:color="404040"/>
            </w:tcBorders>
            <w:shd w:val="clear" w:color="auto" w:fill="FFFFFF"/>
          </w:tcPr>
          <w:p w14:paraId="182DBFDB" w14:textId="2EE5A02A" w:rsidR="00FA5174" w:rsidRPr="001570EA" w:rsidRDefault="00FA5174" w:rsidP="00BD2C4C">
            <w:pPr>
              <w:pStyle w:val="TableCell"/>
              <w:spacing w:before="60" w:after="60"/>
              <w:jc w:val="center"/>
              <w:rPr>
                <w:color w:val="000000"/>
              </w:rPr>
            </w:pPr>
            <w:r w:rsidRPr="001570EA">
              <w:rPr>
                <w:color w:val="000000"/>
              </w:rPr>
              <w:t>Replace on Burnout (Upstream</w:t>
            </w:r>
            <w:r w:rsidR="00817EDF" w:rsidRPr="001570EA">
              <w:rPr>
                <w:color w:val="000000"/>
              </w:rPr>
              <w:t>, Kit</w:t>
            </w:r>
            <w:r w:rsidRPr="001570EA">
              <w:rPr>
                <w:color w:val="000000"/>
              </w:rPr>
              <w:t>)</w:t>
            </w:r>
            <w:r w:rsidRPr="001570EA">
              <w:rPr>
                <w:color w:val="000000"/>
              </w:rPr>
              <w:br/>
              <w:t>Early Replacement (Direct Install)</w:t>
            </w:r>
          </w:p>
        </w:tc>
      </w:tr>
    </w:tbl>
    <w:p w14:paraId="00F29F8C" w14:textId="77777777" w:rsidR="00FA5174" w:rsidRPr="001570EA" w:rsidRDefault="00FA5174" w:rsidP="00FA5174"/>
    <w:p w14:paraId="098FFB66" w14:textId="7147EC48" w:rsidR="0055596F" w:rsidRPr="001570EA" w:rsidRDefault="00FA5174" w:rsidP="00FA5174">
      <w:r w:rsidRPr="001570EA">
        <w:t xml:space="preserve">Savings for residential </w:t>
      </w:r>
      <w:r w:rsidR="009449E3" w:rsidRPr="001570EA">
        <w:t>LED</w:t>
      </w:r>
      <w:r w:rsidRPr="001570EA">
        <w:t xml:space="preserve"> lighting products are based on a straightforward algorithm that calculates the difference between baseline and new wattage and the average daily hours of usage for the lighting unit being replaced. </w:t>
      </w:r>
      <w:r w:rsidR="0055596F" w:rsidRPr="001570EA">
        <w:t xml:space="preserve">Screw-based general service LED lamps are </w:t>
      </w:r>
      <w:r w:rsidR="0092319C" w:rsidRPr="001570EA">
        <w:t>limited to direct install programs</w:t>
      </w:r>
      <w:r w:rsidR="0055596F" w:rsidRPr="001570EA">
        <w:t xml:space="preserve"> due to the US Department of Energy’s codification of the 45 lumen per </w:t>
      </w:r>
      <w:r w:rsidR="005D400E" w:rsidRPr="001570EA">
        <w:t>w</w:t>
      </w:r>
      <w:r w:rsidR="0055596F" w:rsidRPr="001570EA">
        <w:t>att “backstop” requirement for general service lamps</w:t>
      </w:r>
      <w:r w:rsidR="0092319C" w:rsidRPr="001570EA">
        <w:t xml:space="preserve"> (GSLs)</w:t>
      </w:r>
      <w:r w:rsidR="003C7502" w:rsidRPr="001570EA">
        <w:t>. Linear LED fixtures are eligible</w:t>
      </w:r>
      <w:r w:rsidR="00E42D93" w:rsidRPr="001570EA">
        <w:t xml:space="preserve"> measures while</w:t>
      </w:r>
      <w:r w:rsidR="003C7502" w:rsidRPr="001570EA">
        <w:t xml:space="preserve"> LED fixtures that effectively replace GSLs, such as downlighting, are not eligible</w:t>
      </w:r>
      <w:r w:rsidR="005A1B52" w:rsidRPr="001570EA">
        <w:t>.</w:t>
      </w:r>
    </w:p>
    <w:p w14:paraId="7453CA30" w14:textId="77777777" w:rsidR="00FA5174" w:rsidRPr="001570EA" w:rsidRDefault="00FA5174" w:rsidP="00FA5174"/>
    <w:p w14:paraId="4D8099EF" w14:textId="77777777" w:rsidR="00FA5174" w:rsidRPr="001570EA" w:rsidRDefault="00FA5174" w:rsidP="00FA5174">
      <w:pPr>
        <w:pStyle w:val="SubStyle"/>
      </w:pPr>
      <w:r w:rsidRPr="001570EA">
        <w:t>Eligibility</w:t>
      </w:r>
    </w:p>
    <w:p w14:paraId="599E4176" w14:textId="77777777" w:rsidR="00FA5174" w:rsidRPr="001570EA" w:rsidRDefault="00FA5174" w:rsidP="00FA5174">
      <w:pPr>
        <w:pStyle w:val="3ptheading"/>
      </w:pPr>
      <w:r w:rsidRPr="001570EA">
        <w:t>Definition of Efficient Equipment</w:t>
      </w:r>
    </w:p>
    <w:p w14:paraId="27422B54" w14:textId="1B49B954" w:rsidR="00FA5174" w:rsidRPr="001570EA" w:rsidRDefault="007B65E1" w:rsidP="00FA5174">
      <w:r w:rsidRPr="001570EA">
        <w:fldChar w:fldCharType="begin"/>
      </w:r>
      <w:r w:rsidRPr="001570EA">
        <w:instrText xml:space="preserve"> REF _Ref157446632 \h </w:instrText>
      </w:r>
      <w:r w:rsidR="001570EA">
        <w:instrText xml:space="preserve"> \* MERGEFORMAT </w:instrText>
      </w:r>
      <w:r w:rsidRPr="001570EA">
        <w:fldChar w:fldCharType="separate"/>
      </w:r>
      <w:r w:rsidR="00384D95" w:rsidRPr="001570EA">
        <w:t xml:space="preserve">Table </w:t>
      </w:r>
      <w:r w:rsidR="00384D95" w:rsidRPr="001570EA">
        <w:rPr>
          <w:noProof/>
        </w:rPr>
        <w:t>2</w:t>
      </w:r>
      <w:r w:rsidR="00384D95" w:rsidRPr="001570EA">
        <w:noBreakHyphen/>
      </w:r>
      <w:r w:rsidR="00384D95" w:rsidRPr="001570EA">
        <w:rPr>
          <w:noProof/>
        </w:rPr>
        <w:t>1</w:t>
      </w:r>
      <w:r w:rsidRPr="001570EA">
        <w:fldChar w:fldCharType="end"/>
      </w:r>
      <w:r w:rsidR="008864A8" w:rsidRPr="001570EA">
        <w:t xml:space="preserve"> provides a summary of the </w:t>
      </w:r>
      <w:r w:rsidR="000E1196" w:rsidRPr="001570EA">
        <w:t>eligibility for residential LED lighting measures and program delivery channel</w:t>
      </w:r>
      <w:r w:rsidR="00D14662" w:rsidRPr="001570EA">
        <w:t>s</w:t>
      </w:r>
      <w:r w:rsidR="000E1196" w:rsidRPr="001570EA">
        <w:t>.</w:t>
      </w:r>
    </w:p>
    <w:p w14:paraId="3084F8BA" w14:textId="77777777" w:rsidR="00FA5174" w:rsidRPr="001570EA" w:rsidRDefault="00FA5174" w:rsidP="00FA5174">
      <w:pPr>
        <w:rPr>
          <w:b/>
        </w:rPr>
      </w:pPr>
    </w:p>
    <w:p w14:paraId="4CAC6291" w14:textId="20253AD8" w:rsidR="008864A8" w:rsidRPr="001570EA" w:rsidRDefault="008864A8" w:rsidP="008A6654">
      <w:pPr>
        <w:pStyle w:val="Caption"/>
      </w:pPr>
      <w:bookmarkStart w:id="27" w:name="_Ref15744663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w:t>
      </w:r>
      <w:r w:rsidR="002E093A" w:rsidRPr="001570EA">
        <w:fldChar w:fldCharType="end"/>
      </w:r>
      <w:bookmarkEnd w:id="27"/>
      <w:r w:rsidRPr="001570EA">
        <w:t xml:space="preserve">: </w:t>
      </w:r>
      <w:r w:rsidRPr="001570EA">
        <w:rPr>
          <w:rFonts w:cs="Arial"/>
        </w:rPr>
        <w:t>Eligibility for</w:t>
      </w:r>
      <w:r w:rsidRPr="001570EA">
        <w:t xml:space="preserve"> Residential LED Lighting</w:t>
      </w:r>
      <w:r w:rsidR="009971CC" w:rsidRPr="001570EA">
        <w:t xml:space="preserve"> </w:t>
      </w:r>
    </w:p>
    <w:tbl>
      <w:tblPr>
        <w:tblW w:w="7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350"/>
        <w:gridCol w:w="1980"/>
        <w:gridCol w:w="1440"/>
      </w:tblGrid>
      <w:tr w:rsidR="001F05A0" w:rsidRPr="001570EA" w14:paraId="34FED3C9" w14:textId="77777777" w:rsidTr="006B0F72">
        <w:trPr>
          <w:trHeight w:val="809"/>
          <w:tblHeader/>
        </w:trPr>
        <w:tc>
          <w:tcPr>
            <w:tcW w:w="2245" w:type="dxa"/>
            <w:shd w:val="clear" w:color="auto" w:fill="BFBFBF" w:themeFill="background1" w:themeFillShade="BF"/>
            <w:noWrap/>
            <w:vAlign w:val="center"/>
            <w:hideMark/>
          </w:tcPr>
          <w:p w14:paraId="4FB18E59" w14:textId="7B635565" w:rsidR="001F05A0" w:rsidRPr="001570EA" w:rsidRDefault="001F05A0">
            <w:pPr>
              <w:spacing w:before="120"/>
              <w:jc w:val="left"/>
              <w:rPr>
                <w:rFonts w:cs="Arial"/>
                <w:b/>
                <w:bCs/>
                <w:color w:val="000000"/>
                <w:sz w:val="18"/>
                <w:szCs w:val="18"/>
              </w:rPr>
            </w:pPr>
            <w:r w:rsidRPr="001570EA">
              <w:rPr>
                <w:rFonts w:cs="Arial"/>
                <w:b/>
                <w:bCs/>
                <w:color w:val="000000"/>
                <w:sz w:val="18"/>
                <w:szCs w:val="18"/>
              </w:rPr>
              <w:t>Efficient LED Lighting Product</w:t>
            </w:r>
          </w:p>
        </w:tc>
        <w:tc>
          <w:tcPr>
            <w:tcW w:w="1350" w:type="dxa"/>
            <w:shd w:val="clear" w:color="auto" w:fill="BFBFBF" w:themeFill="background1" w:themeFillShade="BF"/>
            <w:vAlign w:val="center"/>
          </w:tcPr>
          <w:p w14:paraId="69AED142" w14:textId="77777777" w:rsidR="001F05A0" w:rsidRPr="001570EA" w:rsidRDefault="001F05A0">
            <w:pPr>
              <w:spacing w:before="120"/>
              <w:jc w:val="center"/>
              <w:rPr>
                <w:rFonts w:cs="Arial"/>
                <w:b/>
                <w:bCs/>
                <w:color w:val="000000"/>
                <w:sz w:val="18"/>
                <w:szCs w:val="18"/>
              </w:rPr>
            </w:pPr>
            <w:r w:rsidRPr="001570EA">
              <w:rPr>
                <w:rFonts w:cs="Arial"/>
                <w:b/>
                <w:bCs/>
                <w:color w:val="000000"/>
                <w:sz w:val="18"/>
                <w:szCs w:val="18"/>
              </w:rPr>
              <w:t>Lumen Range</w:t>
            </w:r>
          </w:p>
        </w:tc>
        <w:tc>
          <w:tcPr>
            <w:tcW w:w="1980" w:type="dxa"/>
            <w:shd w:val="clear" w:color="auto" w:fill="BFBFBF" w:themeFill="background1" w:themeFillShade="BF"/>
            <w:vAlign w:val="center"/>
            <w:hideMark/>
          </w:tcPr>
          <w:p w14:paraId="729EC483" w14:textId="77777777" w:rsidR="001F05A0" w:rsidRPr="001570EA" w:rsidRDefault="001F05A0">
            <w:pPr>
              <w:spacing w:before="120"/>
              <w:jc w:val="center"/>
              <w:rPr>
                <w:rFonts w:cs="Arial"/>
                <w:b/>
                <w:bCs/>
                <w:color w:val="000000"/>
                <w:sz w:val="18"/>
                <w:szCs w:val="18"/>
              </w:rPr>
            </w:pPr>
            <w:r w:rsidRPr="001570EA">
              <w:rPr>
                <w:rFonts w:cs="Arial"/>
                <w:b/>
                <w:bCs/>
                <w:color w:val="000000"/>
                <w:sz w:val="18"/>
                <w:szCs w:val="18"/>
              </w:rPr>
              <w:t>Program Delivery</w:t>
            </w:r>
          </w:p>
        </w:tc>
        <w:tc>
          <w:tcPr>
            <w:tcW w:w="1440" w:type="dxa"/>
            <w:shd w:val="clear" w:color="auto" w:fill="BFBFBF" w:themeFill="background1" w:themeFillShade="BF"/>
            <w:vAlign w:val="center"/>
            <w:hideMark/>
          </w:tcPr>
          <w:p w14:paraId="4FE5D93D" w14:textId="708403F9" w:rsidR="001F05A0" w:rsidRPr="001570EA" w:rsidRDefault="001F05A0">
            <w:pPr>
              <w:spacing w:before="120"/>
              <w:jc w:val="center"/>
              <w:rPr>
                <w:rFonts w:cs="Arial"/>
                <w:b/>
                <w:bCs/>
                <w:color w:val="000000"/>
                <w:sz w:val="18"/>
                <w:szCs w:val="18"/>
              </w:rPr>
            </w:pPr>
            <w:r w:rsidRPr="001570EA">
              <w:rPr>
                <w:rFonts w:cs="Arial"/>
                <w:b/>
                <w:bCs/>
                <w:color w:val="000000"/>
                <w:sz w:val="18"/>
                <w:szCs w:val="18"/>
              </w:rPr>
              <w:t xml:space="preserve">Eligibility </w:t>
            </w:r>
          </w:p>
        </w:tc>
      </w:tr>
      <w:tr w:rsidR="001F05A0" w:rsidRPr="001570EA" w14:paraId="46E6734A" w14:textId="77777777" w:rsidTr="006B0F72">
        <w:trPr>
          <w:trHeight w:val="288"/>
        </w:trPr>
        <w:tc>
          <w:tcPr>
            <w:tcW w:w="2245" w:type="dxa"/>
            <w:shd w:val="clear" w:color="auto" w:fill="auto"/>
            <w:noWrap/>
            <w:vAlign w:val="center"/>
          </w:tcPr>
          <w:p w14:paraId="2F0F899B" w14:textId="77777777" w:rsidR="001F05A0" w:rsidRPr="001570EA" w:rsidRDefault="001F05A0" w:rsidP="000C38D9">
            <w:pPr>
              <w:jc w:val="left"/>
              <w:rPr>
                <w:rFonts w:cs="Arial"/>
                <w:color w:val="000000"/>
                <w:sz w:val="18"/>
                <w:szCs w:val="18"/>
              </w:rPr>
            </w:pPr>
            <w:r w:rsidRPr="001570EA">
              <w:rPr>
                <w:rFonts w:cs="Arial"/>
                <w:color w:val="000000"/>
                <w:sz w:val="18"/>
                <w:szCs w:val="18"/>
              </w:rPr>
              <w:t xml:space="preserve">GSL bulb type, below 310 lumens </w:t>
            </w:r>
          </w:p>
        </w:tc>
        <w:tc>
          <w:tcPr>
            <w:tcW w:w="1350" w:type="dxa"/>
            <w:vAlign w:val="center"/>
          </w:tcPr>
          <w:p w14:paraId="021ED302" w14:textId="77777777" w:rsidR="001F05A0" w:rsidRPr="001570EA" w:rsidRDefault="001F05A0">
            <w:pPr>
              <w:jc w:val="center"/>
              <w:rPr>
                <w:rFonts w:cs="Arial"/>
                <w:sz w:val="18"/>
                <w:szCs w:val="18"/>
              </w:rPr>
            </w:pPr>
            <w:r w:rsidRPr="001570EA">
              <w:rPr>
                <w:rFonts w:cs="Arial"/>
                <w:sz w:val="18"/>
                <w:szCs w:val="18"/>
              </w:rPr>
              <w:t>Less than 310</w:t>
            </w:r>
          </w:p>
        </w:tc>
        <w:tc>
          <w:tcPr>
            <w:tcW w:w="1980" w:type="dxa"/>
            <w:shd w:val="clear" w:color="auto" w:fill="auto"/>
            <w:vAlign w:val="center"/>
          </w:tcPr>
          <w:p w14:paraId="7391A314" w14:textId="77777777" w:rsidR="001F05A0" w:rsidRPr="001570EA" w:rsidRDefault="001F05A0">
            <w:pPr>
              <w:jc w:val="center"/>
              <w:rPr>
                <w:rFonts w:cs="Arial"/>
                <w:sz w:val="18"/>
                <w:szCs w:val="18"/>
              </w:rPr>
            </w:pPr>
            <w:r w:rsidRPr="001570EA">
              <w:rPr>
                <w:rFonts w:cs="Arial"/>
                <w:sz w:val="18"/>
                <w:szCs w:val="18"/>
              </w:rPr>
              <w:t xml:space="preserve">All  </w:t>
            </w:r>
          </w:p>
        </w:tc>
        <w:tc>
          <w:tcPr>
            <w:tcW w:w="1440" w:type="dxa"/>
            <w:shd w:val="clear" w:color="auto" w:fill="auto"/>
            <w:noWrap/>
            <w:vAlign w:val="center"/>
          </w:tcPr>
          <w:p w14:paraId="352A2EAE" w14:textId="58771224" w:rsidR="001F05A0" w:rsidRPr="001570EA" w:rsidRDefault="001F05A0">
            <w:pPr>
              <w:jc w:val="center"/>
              <w:rPr>
                <w:rFonts w:cs="Arial"/>
                <w:sz w:val="18"/>
                <w:szCs w:val="18"/>
              </w:rPr>
            </w:pPr>
            <w:r w:rsidRPr="001570EA">
              <w:rPr>
                <w:rFonts w:cs="Arial"/>
                <w:sz w:val="18"/>
                <w:szCs w:val="18"/>
              </w:rPr>
              <w:t>Yes</w:t>
            </w:r>
          </w:p>
        </w:tc>
      </w:tr>
      <w:tr w:rsidR="001F05A0" w:rsidRPr="001570EA" w14:paraId="6AB65785" w14:textId="77777777" w:rsidTr="006B0F72">
        <w:trPr>
          <w:trHeight w:val="288"/>
        </w:trPr>
        <w:tc>
          <w:tcPr>
            <w:tcW w:w="2245" w:type="dxa"/>
            <w:vMerge w:val="restart"/>
            <w:shd w:val="clear" w:color="auto" w:fill="auto"/>
            <w:noWrap/>
            <w:vAlign w:val="center"/>
          </w:tcPr>
          <w:p w14:paraId="11E1BE9E" w14:textId="77777777" w:rsidR="001F05A0" w:rsidRPr="001570EA" w:rsidRDefault="001F05A0" w:rsidP="000C38D9">
            <w:pPr>
              <w:jc w:val="left"/>
              <w:rPr>
                <w:rFonts w:cs="Arial"/>
                <w:color w:val="000000"/>
                <w:sz w:val="18"/>
                <w:szCs w:val="18"/>
              </w:rPr>
            </w:pPr>
            <w:r w:rsidRPr="001570EA">
              <w:rPr>
                <w:rFonts w:cs="Arial"/>
                <w:color w:val="000000"/>
                <w:sz w:val="18"/>
                <w:szCs w:val="18"/>
              </w:rPr>
              <w:t>GSL</w:t>
            </w:r>
          </w:p>
        </w:tc>
        <w:tc>
          <w:tcPr>
            <w:tcW w:w="1350" w:type="dxa"/>
            <w:vMerge w:val="restart"/>
            <w:vAlign w:val="center"/>
          </w:tcPr>
          <w:p w14:paraId="1C5A79FC" w14:textId="77777777" w:rsidR="001F05A0" w:rsidRPr="001570EA" w:rsidRDefault="001F05A0">
            <w:pPr>
              <w:jc w:val="center"/>
              <w:rPr>
                <w:rFonts w:cs="Arial"/>
                <w:sz w:val="18"/>
                <w:szCs w:val="18"/>
              </w:rPr>
            </w:pPr>
            <w:r w:rsidRPr="001570EA">
              <w:rPr>
                <w:rFonts w:cs="Arial"/>
                <w:sz w:val="18"/>
                <w:szCs w:val="18"/>
              </w:rPr>
              <w:t xml:space="preserve">310 to 3,300 </w:t>
            </w:r>
          </w:p>
        </w:tc>
        <w:tc>
          <w:tcPr>
            <w:tcW w:w="1980" w:type="dxa"/>
            <w:shd w:val="clear" w:color="auto" w:fill="auto"/>
            <w:vAlign w:val="center"/>
          </w:tcPr>
          <w:p w14:paraId="56067011" w14:textId="06223F82" w:rsidR="001F05A0" w:rsidRPr="001570EA" w:rsidRDefault="001F05A0">
            <w:pPr>
              <w:jc w:val="center"/>
              <w:rPr>
                <w:rFonts w:cs="Arial"/>
                <w:sz w:val="18"/>
                <w:szCs w:val="18"/>
              </w:rPr>
            </w:pPr>
            <w:r w:rsidRPr="001570EA">
              <w:rPr>
                <w:rFonts w:cs="Arial"/>
                <w:sz w:val="18"/>
                <w:szCs w:val="18"/>
              </w:rPr>
              <w:t>Retail</w:t>
            </w:r>
            <w:r w:rsidR="003A1236" w:rsidRPr="001570EA">
              <w:rPr>
                <w:rFonts w:cs="Arial"/>
                <w:sz w:val="18"/>
                <w:szCs w:val="18"/>
              </w:rPr>
              <w:t xml:space="preserve"> / upstream</w:t>
            </w:r>
          </w:p>
        </w:tc>
        <w:tc>
          <w:tcPr>
            <w:tcW w:w="1440" w:type="dxa"/>
            <w:shd w:val="clear" w:color="auto" w:fill="auto"/>
            <w:noWrap/>
          </w:tcPr>
          <w:p w14:paraId="50062CDE" w14:textId="3E23B128" w:rsidR="001F05A0" w:rsidRPr="001570EA" w:rsidRDefault="001F05A0">
            <w:pPr>
              <w:jc w:val="center"/>
              <w:rPr>
                <w:rFonts w:cs="Arial"/>
                <w:sz w:val="18"/>
                <w:szCs w:val="18"/>
              </w:rPr>
            </w:pPr>
            <w:r w:rsidRPr="001570EA">
              <w:rPr>
                <w:rFonts w:cs="Arial"/>
                <w:sz w:val="18"/>
                <w:szCs w:val="18"/>
              </w:rPr>
              <w:t>No</w:t>
            </w:r>
          </w:p>
        </w:tc>
      </w:tr>
      <w:tr w:rsidR="001F05A0" w:rsidRPr="001570EA" w14:paraId="1F3600B9" w14:textId="77777777" w:rsidTr="006B0F72">
        <w:trPr>
          <w:trHeight w:val="288"/>
        </w:trPr>
        <w:tc>
          <w:tcPr>
            <w:tcW w:w="2245" w:type="dxa"/>
            <w:vMerge/>
            <w:shd w:val="clear" w:color="auto" w:fill="auto"/>
            <w:noWrap/>
            <w:vAlign w:val="center"/>
          </w:tcPr>
          <w:p w14:paraId="70487B81" w14:textId="77777777" w:rsidR="001F05A0" w:rsidRPr="001570EA" w:rsidRDefault="001F05A0" w:rsidP="000C38D9">
            <w:pPr>
              <w:jc w:val="left"/>
              <w:rPr>
                <w:rFonts w:cs="Arial"/>
                <w:color w:val="000000"/>
                <w:sz w:val="18"/>
                <w:szCs w:val="18"/>
              </w:rPr>
            </w:pPr>
          </w:p>
        </w:tc>
        <w:tc>
          <w:tcPr>
            <w:tcW w:w="1350" w:type="dxa"/>
            <w:vMerge/>
            <w:vAlign w:val="center"/>
          </w:tcPr>
          <w:p w14:paraId="27B6FD2D" w14:textId="77777777" w:rsidR="001F05A0" w:rsidRPr="001570EA" w:rsidRDefault="001F05A0">
            <w:pPr>
              <w:jc w:val="center"/>
              <w:rPr>
                <w:rFonts w:cs="Arial"/>
                <w:sz w:val="18"/>
                <w:szCs w:val="18"/>
              </w:rPr>
            </w:pPr>
          </w:p>
        </w:tc>
        <w:tc>
          <w:tcPr>
            <w:tcW w:w="1980" w:type="dxa"/>
            <w:shd w:val="clear" w:color="auto" w:fill="auto"/>
            <w:vAlign w:val="center"/>
          </w:tcPr>
          <w:p w14:paraId="321B5DD2" w14:textId="77777777" w:rsidR="001F05A0" w:rsidRPr="001570EA" w:rsidRDefault="001F05A0">
            <w:pPr>
              <w:jc w:val="center"/>
              <w:rPr>
                <w:rFonts w:cs="Arial"/>
                <w:sz w:val="18"/>
                <w:szCs w:val="18"/>
              </w:rPr>
            </w:pPr>
            <w:r w:rsidRPr="001570EA">
              <w:rPr>
                <w:rFonts w:cs="Arial"/>
                <w:sz w:val="18"/>
                <w:szCs w:val="18"/>
              </w:rPr>
              <w:t>Kit</w:t>
            </w:r>
          </w:p>
        </w:tc>
        <w:tc>
          <w:tcPr>
            <w:tcW w:w="1440" w:type="dxa"/>
            <w:shd w:val="clear" w:color="auto" w:fill="auto"/>
            <w:noWrap/>
          </w:tcPr>
          <w:p w14:paraId="5EEB1D26" w14:textId="7139EC7A" w:rsidR="001F05A0" w:rsidRPr="001570EA" w:rsidRDefault="001F05A0">
            <w:pPr>
              <w:jc w:val="center"/>
              <w:rPr>
                <w:rFonts w:cs="Arial"/>
                <w:sz w:val="18"/>
                <w:szCs w:val="18"/>
              </w:rPr>
            </w:pPr>
            <w:r w:rsidRPr="001570EA">
              <w:rPr>
                <w:rFonts w:cs="Arial"/>
                <w:sz w:val="18"/>
                <w:szCs w:val="18"/>
              </w:rPr>
              <w:t>No</w:t>
            </w:r>
          </w:p>
        </w:tc>
      </w:tr>
      <w:tr w:rsidR="001F05A0" w:rsidRPr="001570EA" w14:paraId="532D704D" w14:textId="77777777" w:rsidTr="006B0F72">
        <w:trPr>
          <w:trHeight w:val="288"/>
        </w:trPr>
        <w:tc>
          <w:tcPr>
            <w:tcW w:w="2245" w:type="dxa"/>
            <w:vMerge/>
            <w:shd w:val="clear" w:color="auto" w:fill="auto"/>
            <w:noWrap/>
            <w:vAlign w:val="center"/>
          </w:tcPr>
          <w:p w14:paraId="75C672AD" w14:textId="77777777" w:rsidR="001F05A0" w:rsidRPr="001570EA" w:rsidRDefault="001F05A0" w:rsidP="000C38D9">
            <w:pPr>
              <w:jc w:val="left"/>
              <w:rPr>
                <w:rFonts w:cs="Arial"/>
                <w:color w:val="000000"/>
                <w:sz w:val="18"/>
                <w:szCs w:val="18"/>
              </w:rPr>
            </w:pPr>
          </w:p>
        </w:tc>
        <w:tc>
          <w:tcPr>
            <w:tcW w:w="1350" w:type="dxa"/>
            <w:vMerge/>
            <w:vAlign w:val="center"/>
          </w:tcPr>
          <w:p w14:paraId="592A3CE6" w14:textId="77777777" w:rsidR="001F05A0" w:rsidRPr="001570EA" w:rsidRDefault="001F05A0">
            <w:pPr>
              <w:jc w:val="center"/>
              <w:rPr>
                <w:rFonts w:cs="Arial"/>
                <w:sz w:val="18"/>
                <w:szCs w:val="18"/>
              </w:rPr>
            </w:pPr>
          </w:p>
        </w:tc>
        <w:tc>
          <w:tcPr>
            <w:tcW w:w="1980" w:type="dxa"/>
            <w:shd w:val="clear" w:color="auto" w:fill="auto"/>
            <w:vAlign w:val="center"/>
          </w:tcPr>
          <w:p w14:paraId="446F2CAE" w14:textId="77777777" w:rsidR="001F05A0" w:rsidRPr="001570EA" w:rsidRDefault="001F05A0">
            <w:pPr>
              <w:jc w:val="center"/>
              <w:rPr>
                <w:rFonts w:cs="Arial"/>
                <w:sz w:val="18"/>
                <w:szCs w:val="18"/>
              </w:rPr>
            </w:pPr>
            <w:r w:rsidRPr="001570EA">
              <w:rPr>
                <w:rFonts w:cs="Arial"/>
                <w:sz w:val="18"/>
                <w:szCs w:val="18"/>
              </w:rPr>
              <w:t>Direct Install</w:t>
            </w:r>
          </w:p>
        </w:tc>
        <w:tc>
          <w:tcPr>
            <w:tcW w:w="1440" w:type="dxa"/>
            <w:shd w:val="clear" w:color="auto" w:fill="auto"/>
            <w:noWrap/>
          </w:tcPr>
          <w:p w14:paraId="7811E2FA" w14:textId="74809024" w:rsidR="001F05A0" w:rsidRPr="001570EA" w:rsidRDefault="001F05A0">
            <w:pPr>
              <w:jc w:val="center"/>
              <w:rPr>
                <w:rFonts w:cs="Arial"/>
                <w:sz w:val="18"/>
                <w:szCs w:val="18"/>
              </w:rPr>
            </w:pPr>
            <w:r w:rsidRPr="001570EA">
              <w:rPr>
                <w:rFonts w:cs="Arial"/>
                <w:sz w:val="18"/>
                <w:szCs w:val="18"/>
              </w:rPr>
              <w:t>Yes</w:t>
            </w:r>
          </w:p>
        </w:tc>
      </w:tr>
      <w:tr w:rsidR="001F05A0" w:rsidRPr="001570EA" w14:paraId="699BAE8F" w14:textId="77777777" w:rsidTr="006B0F72">
        <w:trPr>
          <w:trHeight w:val="288"/>
        </w:trPr>
        <w:tc>
          <w:tcPr>
            <w:tcW w:w="2245" w:type="dxa"/>
            <w:shd w:val="clear" w:color="auto" w:fill="auto"/>
            <w:noWrap/>
            <w:vAlign w:val="center"/>
          </w:tcPr>
          <w:p w14:paraId="113A1251" w14:textId="77777777" w:rsidR="001F05A0" w:rsidRPr="001570EA" w:rsidRDefault="001F05A0" w:rsidP="000C38D9">
            <w:pPr>
              <w:jc w:val="left"/>
              <w:rPr>
                <w:rFonts w:cs="Arial"/>
                <w:color w:val="000000"/>
                <w:sz w:val="18"/>
                <w:szCs w:val="18"/>
              </w:rPr>
            </w:pPr>
            <w:r w:rsidRPr="001570EA">
              <w:rPr>
                <w:rFonts w:cs="Arial"/>
                <w:color w:val="000000"/>
                <w:sz w:val="18"/>
                <w:szCs w:val="18"/>
              </w:rPr>
              <w:t>GSL bulb type, above 3,300 lumens</w:t>
            </w:r>
          </w:p>
        </w:tc>
        <w:tc>
          <w:tcPr>
            <w:tcW w:w="1350" w:type="dxa"/>
            <w:vAlign w:val="center"/>
          </w:tcPr>
          <w:p w14:paraId="7BDD66D1" w14:textId="77777777" w:rsidR="001F05A0" w:rsidRPr="001570EA" w:rsidRDefault="001F05A0">
            <w:pPr>
              <w:jc w:val="center"/>
              <w:rPr>
                <w:rFonts w:cs="Arial"/>
                <w:sz w:val="18"/>
                <w:szCs w:val="18"/>
              </w:rPr>
            </w:pPr>
            <w:r w:rsidRPr="001570EA">
              <w:rPr>
                <w:rFonts w:cs="Arial"/>
                <w:sz w:val="18"/>
                <w:szCs w:val="18"/>
              </w:rPr>
              <w:t>Greater than 3,300</w:t>
            </w:r>
          </w:p>
        </w:tc>
        <w:tc>
          <w:tcPr>
            <w:tcW w:w="1980" w:type="dxa"/>
            <w:shd w:val="clear" w:color="auto" w:fill="auto"/>
            <w:vAlign w:val="center"/>
          </w:tcPr>
          <w:p w14:paraId="77BE655F" w14:textId="5BB8BBA0" w:rsidR="001F05A0" w:rsidRPr="001570EA" w:rsidRDefault="001F05A0">
            <w:pPr>
              <w:jc w:val="center"/>
              <w:rPr>
                <w:rFonts w:cs="Arial"/>
                <w:sz w:val="18"/>
                <w:szCs w:val="18"/>
              </w:rPr>
            </w:pPr>
            <w:r w:rsidRPr="001570EA">
              <w:rPr>
                <w:rFonts w:cs="Arial"/>
                <w:sz w:val="18"/>
                <w:szCs w:val="18"/>
              </w:rPr>
              <w:t>All</w:t>
            </w:r>
          </w:p>
        </w:tc>
        <w:tc>
          <w:tcPr>
            <w:tcW w:w="1440" w:type="dxa"/>
            <w:shd w:val="clear" w:color="auto" w:fill="auto"/>
            <w:noWrap/>
            <w:vAlign w:val="center"/>
          </w:tcPr>
          <w:p w14:paraId="5E43DAAE" w14:textId="724DD719" w:rsidR="001F05A0" w:rsidRPr="001570EA" w:rsidRDefault="001F05A0">
            <w:pPr>
              <w:jc w:val="center"/>
              <w:rPr>
                <w:rFonts w:cs="Arial"/>
                <w:sz w:val="18"/>
                <w:szCs w:val="18"/>
              </w:rPr>
            </w:pPr>
            <w:r w:rsidRPr="001570EA">
              <w:rPr>
                <w:rFonts w:cs="Arial"/>
                <w:sz w:val="18"/>
                <w:szCs w:val="18"/>
              </w:rPr>
              <w:t>Yes</w:t>
            </w:r>
          </w:p>
        </w:tc>
      </w:tr>
      <w:tr w:rsidR="001F05A0" w:rsidRPr="001570EA" w14:paraId="35B5FCE3" w14:textId="77777777" w:rsidTr="006B0F72">
        <w:trPr>
          <w:trHeight w:val="288"/>
        </w:trPr>
        <w:tc>
          <w:tcPr>
            <w:tcW w:w="2245" w:type="dxa"/>
            <w:shd w:val="clear" w:color="auto" w:fill="auto"/>
            <w:noWrap/>
            <w:vAlign w:val="center"/>
          </w:tcPr>
          <w:p w14:paraId="1484A295" w14:textId="77777777" w:rsidR="001F05A0" w:rsidRPr="001570EA" w:rsidRDefault="001F05A0" w:rsidP="000C38D9">
            <w:pPr>
              <w:jc w:val="left"/>
              <w:rPr>
                <w:rFonts w:cs="Arial"/>
                <w:color w:val="000000"/>
                <w:sz w:val="18"/>
                <w:szCs w:val="18"/>
              </w:rPr>
            </w:pPr>
            <w:r w:rsidRPr="001570EA">
              <w:rPr>
                <w:rFonts w:cs="Arial"/>
                <w:color w:val="000000"/>
                <w:sz w:val="18"/>
                <w:szCs w:val="18"/>
              </w:rPr>
              <w:t>GSL, exempt bulb type / category</w:t>
            </w:r>
          </w:p>
        </w:tc>
        <w:tc>
          <w:tcPr>
            <w:tcW w:w="1350" w:type="dxa"/>
            <w:vAlign w:val="center"/>
          </w:tcPr>
          <w:p w14:paraId="3F5DE08E" w14:textId="77777777" w:rsidR="001F05A0" w:rsidRPr="001570EA" w:rsidRDefault="001F05A0">
            <w:pPr>
              <w:jc w:val="center"/>
              <w:rPr>
                <w:rFonts w:cs="Arial"/>
                <w:sz w:val="18"/>
                <w:szCs w:val="18"/>
              </w:rPr>
            </w:pPr>
            <w:r w:rsidRPr="001570EA">
              <w:rPr>
                <w:rFonts w:cs="Arial"/>
                <w:sz w:val="18"/>
                <w:szCs w:val="18"/>
              </w:rPr>
              <w:t>NA</w:t>
            </w:r>
          </w:p>
        </w:tc>
        <w:tc>
          <w:tcPr>
            <w:tcW w:w="1980" w:type="dxa"/>
            <w:shd w:val="clear" w:color="auto" w:fill="auto"/>
            <w:vAlign w:val="center"/>
          </w:tcPr>
          <w:p w14:paraId="0F7C8ACB" w14:textId="77777777" w:rsidR="001F05A0" w:rsidRPr="001570EA" w:rsidRDefault="001F05A0">
            <w:pPr>
              <w:jc w:val="center"/>
              <w:rPr>
                <w:rFonts w:cs="Arial"/>
                <w:sz w:val="18"/>
                <w:szCs w:val="18"/>
              </w:rPr>
            </w:pPr>
            <w:r w:rsidRPr="001570EA">
              <w:rPr>
                <w:rFonts w:cs="Arial"/>
                <w:sz w:val="18"/>
                <w:szCs w:val="18"/>
              </w:rPr>
              <w:t xml:space="preserve">All </w:t>
            </w:r>
          </w:p>
        </w:tc>
        <w:tc>
          <w:tcPr>
            <w:tcW w:w="1440" w:type="dxa"/>
            <w:shd w:val="clear" w:color="auto" w:fill="auto"/>
            <w:noWrap/>
            <w:vAlign w:val="center"/>
          </w:tcPr>
          <w:p w14:paraId="37E5541B" w14:textId="67402BDF" w:rsidR="001F05A0" w:rsidRPr="001570EA" w:rsidRDefault="001F05A0">
            <w:pPr>
              <w:jc w:val="center"/>
              <w:rPr>
                <w:rFonts w:cs="Arial"/>
                <w:sz w:val="18"/>
                <w:szCs w:val="18"/>
              </w:rPr>
            </w:pPr>
            <w:r w:rsidRPr="001570EA">
              <w:rPr>
                <w:rFonts w:cs="Arial"/>
                <w:sz w:val="18"/>
                <w:szCs w:val="18"/>
              </w:rPr>
              <w:t>Yes</w:t>
            </w:r>
          </w:p>
        </w:tc>
      </w:tr>
      <w:tr w:rsidR="001F05A0" w:rsidRPr="001570EA" w14:paraId="074F18A3" w14:textId="77777777" w:rsidTr="006B0F72">
        <w:trPr>
          <w:trHeight w:val="288"/>
        </w:trPr>
        <w:tc>
          <w:tcPr>
            <w:tcW w:w="2245" w:type="dxa"/>
            <w:shd w:val="clear" w:color="auto" w:fill="auto"/>
            <w:noWrap/>
            <w:vAlign w:val="center"/>
          </w:tcPr>
          <w:p w14:paraId="3600CE33" w14:textId="1C3D696E" w:rsidR="001F05A0" w:rsidRPr="001570EA" w:rsidRDefault="001F05A0" w:rsidP="000C38D9">
            <w:pPr>
              <w:jc w:val="left"/>
              <w:rPr>
                <w:rFonts w:cs="Arial"/>
                <w:color w:val="000000"/>
                <w:sz w:val="18"/>
                <w:szCs w:val="18"/>
              </w:rPr>
            </w:pPr>
            <w:r w:rsidRPr="001570EA">
              <w:rPr>
                <w:sz w:val="18"/>
                <w:szCs w:val="18"/>
              </w:rPr>
              <w:t>Linear</w:t>
            </w:r>
            <w:r w:rsidR="00C04335" w:rsidRPr="001570EA">
              <w:rPr>
                <w:sz w:val="18"/>
                <w:szCs w:val="18"/>
              </w:rPr>
              <w:t xml:space="preserve"> LED</w:t>
            </w:r>
            <w:r w:rsidRPr="001570EA">
              <w:rPr>
                <w:sz w:val="18"/>
                <w:szCs w:val="18"/>
              </w:rPr>
              <w:t xml:space="preserve"> fixture</w:t>
            </w:r>
          </w:p>
        </w:tc>
        <w:tc>
          <w:tcPr>
            <w:tcW w:w="1350" w:type="dxa"/>
          </w:tcPr>
          <w:p w14:paraId="57F33DA9" w14:textId="1FCB61C6" w:rsidR="001F05A0" w:rsidRPr="001570EA" w:rsidRDefault="001F05A0" w:rsidP="00C86E61">
            <w:pPr>
              <w:jc w:val="center"/>
              <w:rPr>
                <w:rFonts w:cs="Arial"/>
                <w:sz w:val="18"/>
                <w:szCs w:val="18"/>
              </w:rPr>
            </w:pPr>
            <w:r w:rsidRPr="001570EA">
              <w:rPr>
                <w:sz w:val="18"/>
                <w:szCs w:val="18"/>
              </w:rPr>
              <w:t>NA</w:t>
            </w:r>
          </w:p>
        </w:tc>
        <w:tc>
          <w:tcPr>
            <w:tcW w:w="1980" w:type="dxa"/>
            <w:shd w:val="clear" w:color="auto" w:fill="auto"/>
          </w:tcPr>
          <w:p w14:paraId="29917302" w14:textId="5872A997" w:rsidR="001F05A0" w:rsidRPr="001570EA" w:rsidRDefault="001F05A0" w:rsidP="00C86E61">
            <w:pPr>
              <w:jc w:val="center"/>
              <w:rPr>
                <w:rFonts w:cs="Arial"/>
                <w:sz w:val="18"/>
                <w:szCs w:val="18"/>
              </w:rPr>
            </w:pPr>
            <w:r w:rsidRPr="001570EA">
              <w:rPr>
                <w:sz w:val="18"/>
                <w:szCs w:val="18"/>
              </w:rPr>
              <w:t>All</w:t>
            </w:r>
          </w:p>
        </w:tc>
        <w:tc>
          <w:tcPr>
            <w:tcW w:w="1440" w:type="dxa"/>
            <w:shd w:val="clear" w:color="auto" w:fill="auto"/>
            <w:noWrap/>
          </w:tcPr>
          <w:p w14:paraId="4BF5DBCF" w14:textId="41E0FCB1" w:rsidR="001F05A0" w:rsidRPr="001570EA" w:rsidRDefault="001F05A0" w:rsidP="00C86E61">
            <w:pPr>
              <w:jc w:val="center"/>
              <w:rPr>
                <w:rFonts w:cs="Arial"/>
                <w:sz w:val="18"/>
                <w:szCs w:val="18"/>
              </w:rPr>
            </w:pPr>
            <w:r w:rsidRPr="001570EA">
              <w:rPr>
                <w:sz w:val="18"/>
                <w:szCs w:val="18"/>
              </w:rPr>
              <w:t>Yes</w:t>
            </w:r>
          </w:p>
        </w:tc>
      </w:tr>
      <w:tr w:rsidR="001F05A0" w:rsidRPr="001570EA" w14:paraId="4F4095D1" w14:textId="77777777" w:rsidTr="006B0F72">
        <w:trPr>
          <w:trHeight w:val="288"/>
        </w:trPr>
        <w:tc>
          <w:tcPr>
            <w:tcW w:w="2245" w:type="dxa"/>
            <w:shd w:val="clear" w:color="auto" w:fill="auto"/>
            <w:noWrap/>
            <w:vAlign w:val="center"/>
          </w:tcPr>
          <w:p w14:paraId="216DECBA" w14:textId="6F4AEF49" w:rsidR="001F05A0" w:rsidRPr="001570EA" w:rsidRDefault="001F05A0" w:rsidP="000C38D9">
            <w:pPr>
              <w:jc w:val="left"/>
              <w:rPr>
                <w:rFonts w:cs="Arial"/>
                <w:color w:val="000000"/>
                <w:sz w:val="18"/>
                <w:szCs w:val="18"/>
              </w:rPr>
            </w:pPr>
            <w:r w:rsidRPr="001570EA">
              <w:rPr>
                <w:sz w:val="18"/>
                <w:szCs w:val="18"/>
              </w:rPr>
              <w:t>All other fixtures</w:t>
            </w:r>
          </w:p>
        </w:tc>
        <w:tc>
          <w:tcPr>
            <w:tcW w:w="1350" w:type="dxa"/>
          </w:tcPr>
          <w:p w14:paraId="111F5532" w14:textId="28CAAD52" w:rsidR="001F05A0" w:rsidRPr="001570EA" w:rsidRDefault="001F05A0" w:rsidP="00C86E61">
            <w:pPr>
              <w:jc w:val="center"/>
              <w:rPr>
                <w:rFonts w:cs="Arial"/>
                <w:sz w:val="18"/>
                <w:szCs w:val="18"/>
              </w:rPr>
            </w:pPr>
            <w:r w:rsidRPr="001570EA">
              <w:rPr>
                <w:sz w:val="18"/>
                <w:szCs w:val="18"/>
              </w:rPr>
              <w:t>NA</w:t>
            </w:r>
          </w:p>
        </w:tc>
        <w:tc>
          <w:tcPr>
            <w:tcW w:w="1980" w:type="dxa"/>
            <w:shd w:val="clear" w:color="auto" w:fill="auto"/>
          </w:tcPr>
          <w:p w14:paraId="7A141D6D" w14:textId="5863D3BD" w:rsidR="001F05A0" w:rsidRPr="001570EA" w:rsidRDefault="001F05A0" w:rsidP="00C86E61">
            <w:pPr>
              <w:jc w:val="center"/>
              <w:rPr>
                <w:rFonts w:cs="Arial"/>
                <w:sz w:val="18"/>
                <w:szCs w:val="18"/>
              </w:rPr>
            </w:pPr>
            <w:r w:rsidRPr="001570EA">
              <w:rPr>
                <w:sz w:val="18"/>
                <w:szCs w:val="18"/>
              </w:rPr>
              <w:t>All</w:t>
            </w:r>
          </w:p>
        </w:tc>
        <w:tc>
          <w:tcPr>
            <w:tcW w:w="1440" w:type="dxa"/>
            <w:shd w:val="clear" w:color="auto" w:fill="auto"/>
            <w:noWrap/>
          </w:tcPr>
          <w:p w14:paraId="70B9DCA0" w14:textId="675120D1" w:rsidR="001F05A0" w:rsidRPr="001570EA" w:rsidRDefault="001F05A0" w:rsidP="00C86E61">
            <w:pPr>
              <w:jc w:val="center"/>
              <w:rPr>
                <w:rFonts w:cs="Arial"/>
                <w:sz w:val="18"/>
                <w:szCs w:val="18"/>
              </w:rPr>
            </w:pPr>
            <w:r w:rsidRPr="001570EA">
              <w:rPr>
                <w:sz w:val="18"/>
                <w:szCs w:val="18"/>
              </w:rPr>
              <w:t>No</w:t>
            </w:r>
          </w:p>
        </w:tc>
      </w:tr>
    </w:tbl>
    <w:p w14:paraId="48AD5656" w14:textId="77777777" w:rsidR="00232E8B" w:rsidRPr="001570EA" w:rsidRDefault="00232E8B" w:rsidP="00FA5174">
      <w:pPr>
        <w:rPr>
          <w:b/>
        </w:rPr>
      </w:pPr>
    </w:p>
    <w:p w14:paraId="7846CEC9" w14:textId="77777777" w:rsidR="00FA5174" w:rsidRPr="001570EA" w:rsidRDefault="00FA5174" w:rsidP="00FA5174">
      <w:pPr>
        <w:pStyle w:val="3ptheading"/>
      </w:pPr>
      <w:r w:rsidRPr="001570EA">
        <w:t>Definition of Baseline Equipment</w:t>
      </w:r>
    </w:p>
    <w:p w14:paraId="7C9EDAB3" w14:textId="46ABCDA7" w:rsidR="00000DCC" w:rsidRPr="001570EA" w:rsidRDefault="00FA5174" w:rsidP="00FA5174">
      <w:r w:rsidRPr="001570EA">
        <w:t>The baseline equipment</w:t>
      </w:r>
      <w:r w:rsidR="00506B7A" w:rsidRPr="001570EA">
        <w:t xml:space="preserve"> varies by lighting product and delivery</w:t>
      </w:r>
      <w:r w:rsidR="002458F6" w:rsidRPr="001570EA">
        <w:t xml:space="preserve"> channel</w:t>
      </w:r>
      <w:r w:rsidR="00FF2FF7" w:rsidRPr="001570EA">
        <w:t>. GSLs</w:t>
      </w:r>
      <w:r w:rsidR="00FF2FF7" w:rsidRPr="001570EA">
        <w:rPr>
          <w:vertAlign w:val="superscript"/>
        </w:rPr>
        <w:t xml:space="preserve">Source </w:t>
      </w:r>
      <w:r w:rsidR="004113A8" w:rsidRPr="001570EA">
        <w:rPr>
          <w:vertAlign w:val="superscript"/>
        </w:rPr>
        <w:t>3</w:t>
      </w:r>
      <w:r w:rsidR="00FF2FF7" w:rsidRPr="001570EA">
        <w:t xml:space="preserve"> </w:t>
      </w:r>
      <w:r w:rsidR="003B51F3" w:rsidRPr="001570EA">
        <w:t xml:space="preserve">are only eligible for </w:t>
      </w:r>
      <w:r w:rsidRPr="001570EA">
        <w:t>direct install programs where</w:t>
      </w:r>
      <w:r w:rsidR="003B51F3" w:rsidRPr="001570EA">
        <w:t xml:space="preserve"> the</w:t>
      </w:r>
      <w:r w:rsidRPr="001570EA">
        <w:t xml:space="preserve"> wattage of the existing bulb is known, and the existing bulb was in working condition</w:t>
      </w:r>
      <w:r w:rsidR="003B51F3" w:rsidRPr="001570EA">
        <w:t xml:space="preserve">; the baseline wattage is </w:t>
      </w:r>
      <w:r w:rsidR="007B0EAE" w:rsidRPr="001570EA">
        <w:t>the</w:t>
      </w:r>
      <w:r w:rsidRPr="001570EA">
        <w:t xml:space="preserve"> wattage of the existing lamp removed by the program</w:t>
      </w:r>
      <w:r w:rsidR="007B0EAE" w:rsidRPr="001570EA">
        <w:t xml:space="preserve">. For </w:t>
      </w:r>
      <w:r w:rsidR="008616CE" w:rsidRPr="001570EA">
        <w:t>LED lamps outside the GSL lumen range (below 310 l</w:t>
      </w:r>
      <w:r w:rsidR="003831FF" w:rsidRPr="001570EA">
        <w:t>u</w:t>
      </w:r>
      <w:r w:rsidR="008616CE" w:rsidRPr="001570EA">
        <w:t>m</w:t>
      </w:r>
      <w:r w:rsidR="003831FF" w:rsidRPr="001570EA">
        <w:t>ens</w:t>
      </w:r>
      <w:r w:rsidR="008616CE" w:rsidRPr="001570EA">
        <w:t xml:space="preserve"> or above 3,300 l</w:t>
      </w:r>
      <w:r w:rsidR="003831FF" w:rsidRPr="001570EA">
        <w:t>u</w:t>
      </w:r>
      <w:r w:rsidR="008616CE" w:rsidRPr="001570EA">
        <w:t>m</w:t>
      </w:r>
      <w:r w:rsidR="003831FF" w:rsidRPr="001570EA">
        <w:t>ens</w:t>
      </w:r>
      <w:r w:rsidR="008616CE" w:rsidRPr="001570EA">
        <w:t>) and/or exempt bulb type/categor</w:t>
      </w:r>
      <w:r w:rsidR="00A35063" w:rsidRPr="001570EA">
        <w:t xml:space="preserve">ies, the baseline wattage is the </w:t>
      </w:r>
      <w:r w:rsidR="004E5F03" w:rsidRPr="001570EA">
        <w:t xml:space="preserve">manufacturer rated comparable wattage. Baseline wattages for linear LED fixtures are defined in </w:t>
      </w:r>
      <w:r w:rsidR="00951E6C" w:rsidRPr="001570EA">
        <w:fldChar w:fldCharType="begin"/>
      </w:r>
      <w:r w:rsidR="00951E6C" w:rsidRPr="001570EA">
        <w:instrText xml:space="preserve"> REF _Ref157507593 \h </w:instrText>
      </w:r>
      <w:r w:rsidR="001570EA">
        <w:instrText xml:space="preserve"> \* MERGEFORMAT </w:instrText>
      </w:r>
      <w:r w:rsidR="00951E6C" w:rsidRPr="001570EA">
        <w:fldChar w:fldCharType="separate"/>
      </w:r>
      <w:r w:rsidR="00384D95" w:rsidRPr="001570EA">
        <w:t xml:space="preserve">Table </w:t>
      </w:r>
      <w:r w:rsidR="00384D95" w:rsidRPr="001570EA">
        <w:rPr>
          <w:noProof/>
        </w:rPr>
        <w:t>2</w:t>
      </w:r>
      <w:r w:rsidR="00384D95" w:rsidRPr="001570EA">
        <w:noBreakHyphen/>
      </w:r>
      <w:r w:rsidR="00384D95" w:rsidRPr="001570EA">
        <w:rPr>
          <w:noProof/>
        </w:rPr>
        <w:t>3</w:t>
      </w:r>
      <w:r w:rsidR="00951E6C" w:rsidRPr="001570EA">
        <w:fldChar w:fldCharType="end"/>
      </w:r>
      <w:r w:rsidR="004E5F03" w:rsidRPr="001570EA">
        <w:t xml:space="preserve">. </w:t>
      </w:r>
      <w:r w:rsidR="00307BDB" w:rsidRPr="001570EA">
        <w:t>GSLs</w:t>
      </w:r>
      <w:r w:rsidR="00A3314D" w:rsidRPr="001570EA">
        <w:t xml:space="preserve"> </w:t>
      </w:r>
      <w:r w:rsidR="00AA1C82" w:rsidRPr="001570EA">
        <w:t xml:space="preserve">are defined in accordance with </w:t>
      </w:r>
      <w:r w:rsidR="00307BDB" w:rsidRPr="001570EA">
        <w:t xml:space="preserve">the US DOE’s updated definition of GSLs effective July 8, 2022, which </w:t>
      </w:r>
      <w:r w:rsidR="006C0FEC" w:rsidRPr="001570EA">
        <w:t>expanded GSLs to include</w:t>
      </w:r>
      <w:r w:rsidR="00795C11" w:rsidRPr="001570EA">
        <w:t xml:space="preserve"> previously exempt bulb types such as, but not limited to, </w:t>
      </w:r>
      <w:r w:rsidR="00EE7297" w:rsidRPr="001570EA">
        <w:t>reflector lamps</w:t>
      </w:r>
      <w:r w:rsidR="00795C11" w:rsidRPr="001570EA">
        <w:t xml:space="preserve">, </w:t>
      </w:r>
      <w:r w:rsidR="00EE7297" w:rsidRPr="001570EA">
        <w:t>rough service lamps</w:t>
      </w:r>
      <w:r w:rsidR="00795C11" w:rsidRPr="001570EA">
        <w:t xml:space="preserve">, </w:t>
      </w:r>
      <w:r w:rsidR="00EE7297" w:rsidRPr="001570EA">
        <w:t>shatter-resistant lamps</w:t>
      </w:r>
      <w:r w:rsidR="00795C11" w:rsidRPr="001570EA">
        <w:t xml:space="preserve">, </w:t>
      </w:r>
      <w:r w:rsidR="00EE7297" w:rsidRPr="001570EA">
        <w:t>3-way lamps</w:t>
      </w:r>
      <w:r w:rsidR="00A10D74" w:rsidRPr="001570EA">
        <w:t>, candelabra lamps,</w:t>
      </w:r>
      <w:r w:rsidR="00795C11" w:rsidRPr="001570EA">
        <w:t xml:space="preserve"> and </w:t>
      </w:r>
      <w:r w:rsidR="00EE7297" w:rsidRPr="001570EA">
        <w:t>vibration service lamps</w:t>
      </w:r>
      <w:r w:rsidR="00966B91" w:rsidRPr="001570EA">
        <w:t>.</w:t>
      </w:r>
      <w:r w:rsidR="00966B91" w:rsidRPr="001570EA">
        <w:rPr>
          <w:vertAlign w:val="superscript"/>
        </w:rPr>
        <w:t>Source 4</w:t>
      </w:r>
      <w:r w:rsidR="00966B91" w:rsidRPr="001570EA">
        <w:t xml:space="preserve"> </w:t>
      </w:r>
      <w:r w:rsidR="00B53A4D" w:rsidRPr="001570EA">
        <w:t xml:space="preserve">  </w:t>
      </w:r>
    </w:p>
    <w:p w14:paraId="44C00338" w14:textId="77777777" w:rsidR="00FA5174" w:rsidRPr="001570EA" w:rsidRDefault="00FA5174" w:rsidP="00FA5174">
      <w:pPr>
        <w:pStyle w:val="SubStyle"/>
      </w:pPr>
    </w:p>
    <w:p w14:paraId="1548436D" w14:textId="77777777" w:rsidR="00FA5174" w:rsidRPr="001570EA" w:rsidRDefault="00FA5174" w:rsidP="00FA5174">
      <w:pPr>
        <w:pStyle w:val="SubStyle"/>
      </w:pPr>
      <w:r w:rsidRPr="001570EA">
        <w:t>Algorithms</w:t>
      </w:r>
    </w:p>
    <w:p w14:paraId="104F7C66" w14:textId="75E854ED" w:rsidR="00FA5174" w:rsidRPr="001570EA" w:rsidRDefault="00FA5174" w:rsidP="00FA5174">
      <w:pPr>
        <w:spacing w:after="120"/>
      </w:pPr>
      <w:r w:rsidRPr="001570EA">
        <w:t>The general form of the equation for the</w:t>
      </w:r>
      <w:r w:rsidR="006605F8" w:rsidRPr="001570EA">
        <w:t xml:space="preserve"> residential LED lighting </w:t>
      </w:r>
      <w:r w:rsidRPr="001570EA">
        <w:t>energy savings algorithm is:</w:t>
      </w:r>
    </w:p>
    <w:p w14:paraId="546419B0" w14:textId="77777777" w:rsidR="00FA5174" w:rsidRPr="001570EA" w:rsidRDefault="00FA5174" w:rsidP="00FA5174">
      <w:pPr>
        <w:pStyle w:val="Equation"/>
        <w:tabs>
          <w:tab w:val="clear" w:pos="2880"/>
          <w:tab w:val="left" w:pos="2160"/>
        </w:tabs>
        <w:rPr>
          <w:rFonts w:cs="Arial"/>
          <w:szCs w:val="20"/>
        </w:rPr>
      </w:pPr>
      <w:r w:rsidRPr="001570EA">
        <w:rPr>
          <w:rFonts w:cs="Arial"/>
          <w:szCs w:val="20"/>
        </w:rPr>
        <w:t xml:space="preserve">Total Savings </w:t>
      </w:r>
      <w:r w:rsidRPr="001570EA">
        <w:rPr>
          <w:rFonts w:cs="Arial"/>
          <w:szCs w:val="20"/>
        </w:rPr>
        <w:tab/>
        <w:t xml:space="preserve">= </w:t>
      </w:r>
      <m:oMath>
        <m:r>
          <w:rPr>
            <w:rFonts w:ascii="Cambria Math" w:hAnsi="Cambria Math" w:cs="Arial"/>
            <w:szCs w:val="20"/>
          </w:rPr>
          <m:t>Number of Units × Savings per Unit</m:t>
        </m:r>
      </m:oMath>
    </w:p>
    <w:p w14:paraId="1F3A5D77" w14:textId="77777777" w:rsidR="00FA5174" w:rsidRPr="001570EA" w:rsidRDefault="00FA5174" w:rsidP="00FA5174">
      <w:pPr>
        <w:rPr>
          <w:b/>
        </w:rPr>
      </w:pPr>
    </w:p>
    <w:p w14:paraId="7E2764B0" w14:textId="77777777" w:rsidR="00FA5174" w:rsidRPr="001570EA" w:rsidRDefault="00FA5174" w:rsidP="00FA5174"/>
    <w:p w14:paraId="484EA53B" w14:textId="4CFDADF8" w:rsidR="00FA5174" w:rsidRPr="001570EA" w:rsidRDefault="00BB0BC8" w:rsidP="00FA5174">
      <w:pPr>
        <w:pStyle w:val="3ptheading"/>
        <w:rPr>
          <w:b w:val="0"/>
          <w:bCs/>
        </w:rPr>
      </w:pPr>
      <m:oMathPara>
        <m:oMathParaPr>
          <m:jc m:val="left"/>
        </m:oMathParaPr>
        <m:oMath>
          <m:r>
            <m:rPr>
              <m:sty m:val="b"/>
            </m:rPr>
            <w:rPr>
              <w:rFonts w:ascii="Cambria Math" w:hAnsi="Cambria Math" w:cs="Arial"/>
            </w:rPr>
            <m:t>∆</m:t>
          </m:r>
          <m:r>
            <m:rPr>
              <m:sty m:val="bi"/>
            </m:rPr>
            <w:rPr>
              <w:rFonts w:ascii="Cambria Math" w:hAnsi="Cambria Math" w:cs="Arial"/>
            </w:rPr>
            <m:t>kWh</m:t>
          </m:r>
          <m:r>
            <m:rPr>
              <m:sty m:val="b"/>
            </m:rPr>
            <w:rPr>
              <w:rFonts w:ascii="Cambria Math" w:hAnsi="Cambria Math" w:cs="Arial"/>
            </w:rPr>
            <m:t>=</m:t>
          </m:r>
          <m:f>
            <m:fPr>
              <m:ctrlPr>
                <w:rPr>
                  <w:rFonts w:ascii="Cambria Math" w:eastAsia="Calibri" w:hAnsi="Cambria Math" w:cs="Arial"/>
                  <w:b w:val="0"/>
                  <w:bCs/>
                  <w:i/>
                </w:rPr>
              </m:ctrlPr>
            </m:fPr>
            <m:num>
              <m:sSub>
                <m:sSubPr>
                  <m:ctrlPr>
                    <w:rPr>
                      <w:rFonts w:ascii="Cambria Math" w:eastAsia="Calibri" w:hAnsi="Cambria Math" w:cs="Arial"/>
                      <w:b w:val="0"/>
                      <w:bCs/>
                      <w:i/>
                    </w:rPr>
                  </m:ctrlPr>
                </m:sSubPr>
                <m:e>
                  <m:r>
                    <m:rPr>
                      <m:sty m:val="bi"/>
                    </m:rPr>
                    <w:rPr>
                      <w:rFonts w:ascii="Cambria Math" w:hAnsi="Cambria Math" w:cs="Arial"/>
                    </w:rPr>
                    <m:t>Watts</m:t>
                  </m:r>
                </m:e>
                <m:sub>
                  <m:r>
                    <m:rPr>
                      <m:sty m:val="bi"/>
                    </m:rPr>
                    <w:rPr>
                      <w:rFonts w:ascii="Cambria Math" w:hAnsi="Cambria Math" w:cs="Arial"/>
                    </w:rPr>
                    <m:t>base</m:t>
                  </m:r>
                </m:sub>
              </m:sSub>
              <m:r>
                <m:rPr>
                  <m:sty m:val="b"/>
                </m:rPr>
                <w:rPr>
                  <w:rFonts w:ascii="Cambria Math" w:hAnsi="Cambria Math" w:cs="Arial"/>
                </w:rPr>
                <m:t>-</m:t>
              </m:r>
              <m:sSub>
                <m:sSubPr>
                  <m:ctrlPr>
                    <w:rPr>
                      <w:rFonts w:ascii="Cambria Math" w:eastAsia="Calibri" w:hAnsi="Cambria Math" w:cs="Arial"/>
                      <w:b w:val="0"/>
                      <w:bCs/>
                      <w:i/>
                    </w:rPr>
                  </m:ctrlPr>
                </m:sSubPr>
                <m:e>
                  <m:r>
                    <m:rPr>
                      <m:sty m:val="bi"/>
                    </m:rPr>
                    <w:rPr>
                      <w:rFonts w:ascii="Cambria Math" w:hAnsi="Cambria Math" w:cs="Arial"/>
                    </w:rPr>
                    <m:t>Watts</m:t>
                  </m:r>
                  <m:ctrlPr>
                    <w:rPr>
                      <w:rFonts w:ascii="Cambria Math" w:hAnsi="Cambria Math" w:cs="Arial"/>
                      <w:b w:val="0"/>
                      <w:bCs/>
                    </w:rPr>
                  </m:ctrlPr>
                </m:e>
                <m:sub>
                  <m:r>
                    <m:rPr>
                      <m:sty m:val="bi"/>
                    </m:rPr>
                    <w:rPr>
                      <w:rFonts w:ascii="Cambria Math" w:hAnsi="Cambria Math" w:cs="Arial"/>
                    </w:rPr>
                    <m:t>EE</m:t>
                  </m:r>
                </m:sub>
              </m:sSub>
            </m:num>
            <m:den>
              <m:r>
                <m:rPr>
                  <m:sty m:val="b"/>
                </m:rPr>
                <w:rPr>
                  <w:rFonts w:ascii="Cambria Math" w:hAnsi="Cambria Math" w:cs="Arial"/>
                </w:rPr>
                <m:t>1,000</m:t>
              </m:r>
            </m:den>
          </m:f>
          <m:r>
            <m:rPr>
              <m:sty m:val="b"/>
            </m:rPr>
            <w:rPr>
              <w:rFonts w:ascii="Cambria Math" w:hAnsi="Cambria Math" w:cs="Arial"/>
            </w:rPr>
            <m:t>×</m:t>
          </m:r>
          <m:d>
            <m:dPr>
              <m:ctrlPr>
                <w:rPr>
                  <w:rFonts w:ascii="Cambria Math" w:eastAsia="Calibri" w:hAnsi="Cambria Math" w:cs="Arial"/>
                  <w:b w:val="0"/>
                  <w:bCs/>
                  <w:i/>
                </w:rPr>
              </m:ctrlPr>
            </m:dPr>
            <m:e>
              <m:r>
                <m:rPr>
                  <m:sty m:val="b"/>
                </m:rPr>
                <w:rPr>
                  <w:rFonts w:ascii="Cambria Math" w:hAnsi="Cambria Math" w:cs="Arial"/>
                </w:rPr>
                <m:t>1+L×</m:t>
              </m:r>
              <m:sSub>
                <m:sSubPr>
                  <m:ctrlPr>
                    <w:rPr>
                      <w:rFonts w:ascii="Cambria Math" w:eastAsia="Calibri" w:hAnsi="Cambria Math" w:cs="Arial"/>
                      <w:b w:val="0"/>
                      <w:bCs/>
                      <w:i/>
                    </w:rPr>
                  </m:ctrlPr>
                </m:sSubPr>
                <m:e>
                  <m:r>
                    <m:rPr>
                      <m:sty m:val="bi"/>
                    </m:rPr>
                    <w:rPr>
                      <w:rFonts w:ascii="Cambria Math" w:hAnsi="Cambria Math" w:cs="Arial"/>
                    </w:rPr>
                    <m:t>IE</m:t>
                  </m:r>
                  <m:ctrlPr>
                    <w:rPr>
                      <w:rFonts w:ascii="Cambria Math" w:hAnsi="Cambria Math" w:cs="Arial"/>
                      <w:b w:val="0"/>
                      <w:bCs/>
                    </w:rPr>
                  </m:ctrlPr>
                </m:e>
                <m:sub>
                  <m:r>
                    <m:rPr>
                      <m:sty m:val="bi"/>
                    </m:rPr>
                    <w:rPr>
                      <w:rFonts w:ascii="Cambria Math" w:hAnsi="Cambria Math" w:cs="Arial"/>
                    </w:rPr>
                    <m:t>kWh</m:t>
                  </m:r>
                </m:sub>
              </m:sSub>
            </m:e>
          </m:d>
          <m:r>
            <m:rPr>
              <m:sty m:val="b"/>
            </m:rPr>
            <w:rPr>
              <w:rFonts w:ascii="Cambria Math" w:hAnsi="Cambria Math" w:cs="Arial"/>
            </w:rPr>
            <m:t>×ISR×</m:t>
          </m:r>
          <m:r>
            <m:rPr>
              <m:sty m:val="bi"/>
            </m:rPr>
            <w:rPr>
              <w:rFonts w:ascii="Cambria Math" w:hAnsi="Cambria Math" w:cs="Arial"/>
            </w:rPr>
            <m:t>HOU</m:t>
          </m:r>
          <m:r>
            <m:rPr>
              <m:sty m:val="b"/>
            </m:rPr>
            <w:rPr>
              <w:rFonts w:ascii="Cambria Math" w:hAnsi="Cambria Math" w:cs="Arial"/>
            </w:rPr>
            <m:t>×365</m:t>
          </m:r>
        </m:oMath>
      </m:oMathPara>
    </w:p>
    <w:p w14:paraId="0C25947D" w14:textId="77777777" w:rsidR="00FA5174" w:rsidRPr="001570EA" w:rsidRDefault="00FA5174" w:rsidP="00FA5174">
      <w:pPr>
        <w:pStyle w:val="3ptheading"/>
        <w:rPr>
          <w:b w:val="0"/>
        </w:rPr>
      </w:pPr>
    </w:p>
    <w:p w14:paraId="55CC87F4" w14:textId="77777777" w:rsidR="00FA5174" w:rsidRPr="001570EA" w:rsidRDefault="00FA5174" w:rsidP="00FA5174"/>
    <w:p w14:paraId="228871A9" w14:textId="063D186D" w:rsidR="00FA5174" w:rsidRPr="001570EA" w:rsidRDefault="00FA5174" w:rsidP="00FA5174">
      <w:pPr>
        <w:pStyle w:val="Equation"/>
        <w:tabs>
          <w:tab w:val="clear" w:pos="2880"/>
          <w:tab w:val="left" w:pos="2160"/>
        </w:tabs>
        <w:ind w:left="0" w:firstLine="0"/>
        <w:rPr>
          <w:rFonts w:cs="Arial"/>
          <w:szCs w:val="20"/>
        </w:rPr>
      </w:pPr>
      <m:oMathPara>
        <m:oMathParaPr>
          <m:jc m:val="left"/>
        </m:oMathParaPr>
        <m:oMath>
          <m:r>
            <w:rPr>
              <w:rFonts w:ascii="Cambria Math" w:hAnsi="Cambria Math" w:cs="Arial"/>
            </w:rPr>
            <m:t>∆</m:t>
          </m:r>
          <m:sSub>
            <m:sSubPr>
              <m:ctrlPr>
                <w:rPr>
                  <w:rFonts w:ascii="Cambria Math" w:hAnsi="Cambria Math" w:cs="Arial"/>
                  <w:i w:val="0"/>
                </w:rPr>
              </m:ctrlPr>
            </m:sSubPr>
            <m:e>
              <m:r>
                <w:rPr>
                  <w:rFonts w:ascii="Cambria Math" w:hAnsi="Cambria Math" w:cs="Arial"/>
                </w:rPr>
                <m:t>kW</m:t>
              </m:r>
            </m:e>
            <m:sub>
              <m:r>
                <w:rPr>
                  <w:rFonts w:ascii="Cambria Math" w:hAnsi="Cambria Math" w:cs="Arial"/>
                </w:rPr>
                <m:t>summer peak</m:t>
              </m:r>
            </m:sub>
          </m:sSub>
          <m:r>
            <w:rPr>
              <w:rFonts w:ascii="Cambria Math" w:hAnsi="Cambria Math" w:cs="Arial"/>
            </w:rPr>
            <m:t>=</m:t>
          </m:r>
          <m:f>
            <m:fPr>
              <m:ctrlPr>
                <w:rPr>
                  <w:rFonts w:ascii="Cambria Math" w:hAnsi="Cambria Math" w:cs="Arial"/>
                  <w:i w:val="0"/>
                </w:rPr>
              </m:ctrlPr>
            </m:fPr>
            <m:num>
              <m:sSub>
                <m:sSubPr>
                  <m:ctrlPr>
                    <w:rPr>
                      <w:rFonts w:ascii="Cambria Math" w:hAnsi="Cambria Math" w:cs="Arial"/>
                      <w:i w:val="0"/>
                    </w:rPr>
                  </m:ctrlPr>
                </m:sSubPr>
                <m:e>
                  <m:r>
                    <w:rPr>
                      <w:rFonts w:ascii="Cambria Math" w:hAnsi="Cambria Math" w:cs="Arial"/>
                    </w:rPr>
                    <m:t>Watts</m:t>
                  </m:r>
                </m:e>
                <m:sub>
                  <m:r>
                    <w:rPr>
                      <w:rFonts w:ascii="Cambria Math" w:hAnsi="Cambria Math" w:cs="Arial"/>
                    </w:rPr>
                    <m:t>base</m:t>
                  </m:r>
                </m:sub>
              </m:sSub>
              <m:r>
                <w:rPr>
                  <w:rFonts w:ascii="Cambria Math" w:hAnsi="Cambria Math" w:cs="Arial"/>
                </w:rPr>
                <m:t>-</m:t>
              </m:r>
              <m:sSub>
                <m:sSubPr>
                  <m:ctrlPr>
                    <w:rPr>
                      <w:rFonts w:ascii="Cambria Math" w:hAnsi="Cambria Math" w:cs="Arial"/>
                      <w:i w:val="0"/>
                    </w:rPr>
                  </m:ctrlPr>
                </m:sSubPr>
                <m:e>
                  <m:r>
                    <w:rPr>
                      <w:rFonts w:ascii="Cambria Math" w:hAnsi="Cambria Math" w:cs="Arial"/>
                    </w:rPr>
                    <m:t>Watts</m:t>
                  </m:r>
                </m:e>
                <m:sub>
                  <m:r>
                    <w:rPr>
                      <w:rFonts w:ascii="Cambria Math" w:hAnsi="Cambria Math" w:cs="Arial"/>
                    </w:rPr>
                    <m:t>EE</m:t>
                  </m:r>
                </m:sub>
              </m:sSub>
            </m:num>
            <m:den>
              <m:r>
                <w:rPr>
                  <w:rFonts w:ascii="Cambria Math" w:hAnsi="Cambria Math" w:cs="Arial"/>
                </w:rPr>
                <m:t>1,000</m:t>
              </m:r>
            </m:den>
          </m:f>
          <m:r>
            <w:rPr>
              <w:rFonts w:ascii="Cambria Math" w:hAnsi="Cambria Math" w:cs="Arial"/>
            </w:rPr>
            <m:t>×</m:t>
          </m:r>
          <m:d>
            <m:dPr>
              <m:ctrlPr>
                <w:rPr>
                  <w:rFonts w:ascii="Cambria Math" w:hAnsi="Cambria Math" w:cs="Arial"/>
                  <w:i w:val="0"/>
                </w:rPr>
              </m:ctrlPr>
            </m:dPr>
            <m:e>
              <m:r>
                <w:rPr>
                  <w:rFonts w:ascii="Cambria Math" w:hAnsi="Cambria Math" w:cs="Arial"/>
                </w:rPr>
                <m:t>1+</m:t>
              </m:r>
              <m:sSub>
                <m:sSubPr>
                  <m:ctrlPr>
                    <w:rPr>
                      <w:rFonts w:ascii="Cambria Math" w:hAnsi="Cambria Math" w:cs="Arial"/>
                      <w:i w:val="0"/>
                    </w:rPr>
                  </m:ctrlPr>
                </m:sSubPr>
                <m:e>
                  <m:r>
                    <w:rPr>
                      <w:rFonts w:ascii="Cambria Math" w:hAnsi="Cambria Math" w:cs="Arial"/>
                    </w:rPr>
                    <m:t>L</m:t>
                  </m:r>
                  <m:r>
                    <m:rPr>
                      <m:sty m:val="bi"/>
                    </m:rPr>
                    <w:rPr>
                      <w:rFonts w:ascii="Cambria Math" w:hAnsi="Cambria Math" w:cs="Arial"/>
                    </w:rPr>
                    <m:t>×</m:t>
                  </m:r>
                  <m:r>
                    <w:rPr>
                      <w:rFonts w:ascii="Cambria Math" w:hAnsi="Cambria Math" w:cs="Arial"/>
                    </w:rPr>
                    <m:t>IE</m:t>
                  </m:r>
                </m:e>
                <m:sub>
                  <m:r>
                    <w:rPr>
                      <w:rFonts w:ascii="Cambria Math" w:hAnsi="Cambria Math" w:cs="Arial"/>
                    </w:rPr>
                    <m:t>kW_s</m:t>
                  </m:r>
                </m:sub>
              </m:sSub>
            </m:e>
          </m:d>
          <m:r>
            <w:rPr>
              <w:rFonts w:ascii="Cambria Math" w:hAnsi="Cambria Math" w:cs="Arial"/>
            </w:rPr>
            <m:t>×ISR×</m:t>
          </m:r>
          <m:sSub>
            <m:sSubPr>
              <m:ctrlPr>
                <w:rPr>
                  <w:rFonts w:ascii="Cambria Math" w:hAnsi="Cambria Math" w:cs="Arial"/>
                  <w:i w:val="0"/>
                </w:rPr>
              </m:ctrlPr>
            </m:sSubPr>
            <m:e>
              <m:r>
                <w:rPr>
                  <w:rFonts w:ascii="Cambria Math" w:hAnsi="Cambria Math" w:cs="Arial"/>
                </w:rPr>
                <m:t>CF</m:t>
              </m:r>
            </m:e>
            <m:sub>
              <m:r>
                <w:rPr>
                  <w:rFonts w:ascii="Cambria Math" w:hAnsi="Cambria Math" w:cs="Arial"/>
                </w:rPr>
                <m:t>s</m:t>
              </m:r>
            </m:sub>
          </m:sSub>
        </m:oMath>
      </m:oMathPara>
    </w:p>
    <w:p w14:paraId="677D27F3" w14:textId="77777777" w:rsidR="00FA5174" w:rsidRPr="001570EA" w:rsidRDefault="00FA5174" w:rsidP="00FA5174"/>
    <w:p w14:paraId="47728106" w14:textId="3976AE91" w:rsidR="00FA5174" w:rsidRPr="001570EA" w:rsidRDefault="00FA5174" w:rsidP="00FA5174">
      <w:pPr>
        <w:pStyle w:val="Equation"/>
        <w:tabs>
          <w:tab w:val="clear" w:pos="2880"/>
          <w:tab w:val="left" w:pos="2160"/>
        </w:tabs>
        <w:ind w:left="0" w:firstLine="0"/>
        <w:rPr>
          <w:rFonts w:cs="Arial"/>
          <w:szCs w:val="20"/>
        </w:rPr>
      </w:pPr>
      <m:oMathPara>
        <m:oMathParaPr>
          <m:jc m:val="left"/>
        </m:oMathParaPr>
        <m:oMath>
          <m:r>
            <w:rPr>
              <w:rFonts w:ascii="Cambria Math" w:hAnsi="Cambria Math" w:cs="Arial"/>
            </w:rPr>
            <m:t>∆</m:t>
          </m:r>
          <m:sSub>
            <m:sSubPr>
              <m:ctrlPr>
                <w:rPr>
                  <w:rFonts w:ascii="Cambria Math" w:hAnsi="Cambria Math" w:cs="Arial"/>
                  <w:i w:val="0"/>
                </w:rPr>
              </m:ctrlPr>
            </m:sSubPr>
            <m:e>
              <m:r>
                <w:rPr>
                  <w:rFonts w:ascii="Cambria Math" w:hAnsi="Cambria Math" w:cs="Arial"/>
                </w:rPr>
                <m:t>kW</m:t>
              </m:r>
            </m:e>
            <m:sub>
              <m:r>
                <w:rPr>
                  <w:rFonts w:ascii="Cambria Math" w:hAnsi="Cambria Math" w:cs="Arial"/>
                </w:rPr>
                <m:t>winter peak</m:t>
              </m:r>
            </m:sub>
          </m:sSub>
          <m:r>
            <w:rPr>
              <w:rFonts w:ascii="Cambria Math" w:hAnsi="Cambria Math" w:cs="Arial"/>
            </w:rPr>
            <m:t>=</m:t>
          </m:r>
          <m:f>
            <m:fPr>
              <m:ctrlPr>
                <w:rPr>
                  <w:rFonts w:ascii="Cambria Math" w:hAnsi="Cambria Math" w:cs="Arial"/>
                  <w:i w:val="0"/>
                </w:rPr>
              </m:ctrlPr>
            </m:fPr>
            <m:num>
              <m:sSub>
                <m:sSubPr>
                  <m:ctrlPr>
                    <w:rPr>
                      <w:rFonts w:ascii="Cambria Math" w:hAnsi="Cambria Math" w:cs="Arial"/>
                      <w:i w:val="0"/>
                    </w:rPr>
                  </m:ctrlPr>
                </m:sSubPr>
                <m:e>
                  <m:r>
                    <w:rPr>
                      <w:rFonts w:ascii="Cambria Math" w:hAnsi="Cambria Math" w:cs="Arial"/>
                    </w:rPr>
                    <m:t>Watts</m:t>
                  </m:r>
                </m:e>
                <m:sub>
                  <m:r>
                    <w:rPr>
                      <w:rFonts w:ascii="Cambria Math" w:hAnsi="Cambria Math" w:cs="Arial"/>
                    </w:rPr>
                    <m:t>base</m:t>
                  </m:r>
                </m:sub>
              </m:sSub>
              <m:r>
                <w:rPr>
                  <w:rFonts w:ascii="Cambria Math" w:hAnsi="Cambria Math" w:cs="Arial"/>
                </w:rPr>
                <m:t>-</m:t>
              </m:r>
              <m:sSub>
                <m:sSubPr>
                  <m:ctrlPr>
                    <w:rPr>
                      <w:rFonts w:ascii="Cambria Math" w:hAnsi="Cambria Math" w:cs="Arial"/>
                      <w:i w:val="0"/>
                    </w:rPr>
                  </m:ctrlPr>
                </m:sSubPr>
                <m:e>
                  <m:r>
                    <w:rPr>
                      <w:rFonts w:ascii="Cambria Math" w:hAnsi="Cambria Math" w:cs="Arial"/>
                    </w:rPr>
                    <m:t>Watts</m:t>
                  </m:r>
                </m:e>
                <m:sub>
                  <m:r>
                    <w:rPr>
                      <w:rFonts w:ascii="Cambria Math" w:hAnsi="Cambria Math" w:cs="Arial"/>
                    </w:rPr>
                    <m:t>EE</m:t>
                  </m:r>
                </m:sub>
              </m:sSub>
            </m:num>
            <m:den>
              <m:r>
                <w:rPr>
                  <w:rFonts w:ascii="Cambria Math" w:hAnsi="Cambria Math" w:cs="Arial"/>
                </w:rPr>
                <m:t>1,000</m:t>
              </m:r>
            </m:den>
          </m:f>
          <m:r>
            <w:rPr>
              <w:rFonts w:ascii="Cambria Math" w:hAnsi="Cambria Math" w:cs="Arial"/>
            </w:rPr>
            <m:t>×</m:t>
          </m:r>
          <m:d>
            <m:dPr>
              <m:ctrlPr>
                <w:rPr>
                  <w:rFonts w:ascii="Cambria Math" w:hAnsi="Cambria Math" w:cs="Arial"/>
                  <w:i w:val="0"/>
                </w:rPr>
              </m:ctrlPr>
            </m:dPr>
            <m:e>
              <m:r>
                <w:rPr>
                  <w:rFonts w:ascii="Cambria Math" w:hAnsi="Cambria Math" w:cs="Arial"/>
                </w:rPr>
                <m:t>1+</m:t>
              </m:r>
              <m:sSub>
                <m:sSubPr>
                  <m:ctrlPr>
                    <w:rPr>
                      <w:rFonts w:ascii="Cambria Math" w:hAnsi="Cambria Math" w:cs="Arial"/>
                      <w:i w:val="0"/>
                    </w:rPr>
                  </m:ctrlPr>
                </m:sSubPr>
                <m:e>
                  <m:r>
                    <w:rPr>
                      <w:rFonts w:ascii="Cambria Math" w:hAnsi="Cambria Math" w:cs="Arial"/>
                    </w:rPr>
                    <m:t>L</m:t>
                  </m:r>
                  <m:r>
                    <m:rPr>
                      <m:sty m:val="bi"/>
                    </m:rPr>
                    <w:rPr>
                      <w:rFonts w:ascii="Cambria Math" w:hAnsi="Cambria Math" w:cs="Arial"/>
                    </w:rPr>
                    <m:t>×</m:t>
                  </m:r>
                  <m:r>
                    <w:rPr>
                      <w:rFonts w:ascii="Cambria Math" w:hAnsi="Cambria Math" w:cs="Arial"/>
                    </w:rPr>
                    <m:t>IE</m:t>
                  </m:r>
                </m:e>
                <m:sub>
                  <m:r>
                    <w:rPr>
                      <w:rFonts w:ascii="Cambria Math" w:hAnsi="Cambria Math" w:cs="Arial"/>
                    </w:rPr>
                    <m:t>kW_w</m:t>
                  </m:r>
                </m:sub>
              </m:sSub>
            </m:e>
          </m:d>
          <m:r>
            <w:rPr>
              <w:rFonts w:ascii="Cambria Math" w:hAnsi="Cambria Math" w:cs="Arial"/>
            </w:rPr>
            <m:t>×ISR×</m:t>
          </m:r>
          <m:sSub>
            <m:sSubPr>
              <m:ctrlPr>
                <w:rPr>
                  <w:rFonts w:ascii="Cambria Math" w:hAnsi="Cambria Math" w:cs="Arial"/>
                  <w:i w:val="0"/>
                </w:rPr>
              </m:ctrlPr>
            </m:sSubPr>
            <m:e>
              <m:r>
                <w:rPr>
                  <w:rFonts w:ascii="Cambria Math" w:hAnsi="Cambria Math" w:cs="Arial"/>
                </w:rPr>
                <m:t>CF</m:t>
              </m:r>
            </m:e>
            <m:sub>
              <m:r>
                <w:rPr>
                  <w:rFonts w:ascii="Cambria Math" w:hAnsi="Cambria Math" w:cs="Arial"/>
                </w:rPr>
                <m:t>w</m:t>
              </m:r>
            </m:sub>
          </m:sSub>
        </m:oMath>
      </m:oMathPara>
    </w:p>
    <w:p w14:paraId="0ECCA4AA" w14:textId="77777777" w:rsidR="00FA5174" w:rsidRPr="001570EA" w:rsidRDefault="00FA5174" w:rsidP="00FA5174"/>
    <w:p w14:paraId="28321680" w14:textId="48FA8F78" w:rsidR="00C04335" w:rsidRPr="001570EA" w:rsidRDefault="00C04335" w:rsidP="00C04335">
      <w:pPr>
        <w:rPr>
          <w:rFonts w:eastAsia="Calibri"/>
        </w:rPr>
      </w:pPr>
      <w:r w:rsidRPr="001570EA">
        <w:rPr>
          <w:rFonts w:eastAsia="Calibri"/>
        </w:rPr>
        <w:t>For linear LED fixtures</w:t>
      </w:r>
      <w:r w:rsidR="00BA7D24" w:rsidRPr="001570EA">
        <w:rPr>
          <w:rFonts w:eastAsia="Calibri"/>
        </w:rPr>
        <w:t xml:space="preserve">, </w:t>
      </w:r>
      <w:r w:rsidRPr="001570EA">
        <w:rPr>
          <w:rFonts w:eastAsia="Calibri"/>
        </w:rPr>
        <w:t>the following algorithm is used to calculate W</w:t>
      </w:r>
      <w:r w:rsidR="004F4ADE" w:rsidRPr="001570EA">
        <w:rPr>
          <w:rFonts w:eastAsia="Calibri"/>
        </w:rPr>
        <w:t>atts</w:t>
      </w:r>
      <w:r w:rsidRPr="001570EA">
        <w:rPr>
          <w:rFonts w:eastAsia="Calibri"/>
          <w:vertAlign w:val="subscript"/>
        </w:rPr>
        <w:t xml:space="preserve">base </w:t>
      </w:r>
      <w:r w:rsidRPr="001570EA">
        <w:rPr>
          <w:rFonts w:eastAsia="Calibri"/>
        </w:rPr>
        <w:t>for use in the above formulas:</w:t>
      </w:r>
    </w:p>
    <w:tbl>
      <w:tblPr>
        <w:tblW w:w="0" w:type="auto"/>
        <w:tblLook w:val="04A0" w:firstRow="1" w:lastRow="0" w:firstColumn="1" w:lastColumn="0" w:noHBand="0" w:noVBand="1"/>
      </w:tblPr>
      <w:tblGrid>
        <w:gridCol w:w="1456"/>
        <w:gridCol w:w="7184"/>
      </w:tblGrid>
      <w:tr w:rsidR="00C04335" w:rsidRPr="001570EA" w14:paraId="6C002D4C" w14:textId="77777777">
        <w:trPr>
          <w:trHeight w:val="576"/>
        </w:trPr>
        <w:tc>
          <w:tcPr>
            <w:tcW w:w="1456" w:type="dxa"/>
            <w:vAlign w:val="center"/>
          </w:tcPr>
          <w:p w14:paraId="2495F3C2" w14:textId="6980D6BC" w:rsidR="00C04335" w:rsidRPr="001570EA" w:rsidRDefault="003B5E04">
            <w:pPr>
              <w:keepNext/>
              <w:tabs>
                <w:tab w:val="left" w:pos="720"/>
              </w:tabs>
              <w:spacing w:before="120" w:after="120"/>
              <w:jc w:val="center"/>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Watts</m:t>
                    </m:r>
                  </m:e>
                  <m:sub>
                    <m:r>
                      <w:rPr>
                        <w:rFonts w:ascii="Cambria Math" w:hAnsi="Cambria Math"/>
                        <w:sz w:val="18"/>
                        <w:szCs w:val="18"/>
                      </w:rPr>
                      <m:t>base</m:t>
                    </m:r>
                  </m:sub>
                </m:sSub>
              </m:oMath>
            </m:oMathPara>
          </w:p>
        </w:tc>
        <w:tc>
          <w:tcPr>
            <w:tcW w:w="7184" w:type="dxa"/>
            <w:vAlign w:val="bottom"/>
          </w:tcPr>
          <w:p w14:paraId="27B5295A" w14:textId="4EA9DE31" w:rsidR="00C04335" w:rsidRPr="001570EA" w:rsidRDefault="00C04335">
            <w:pPr>
              <w:keepNext/>
              <w:tabs>
                <w:tab w:val="left" w:pos="720"/>
              </w:tabs>
              <w:spacing w:before="120" w:after="120"/>
              <w:rPr>
                <w:rFonts w:ascii="Cambria Math" w:hAnsi="Cambria Math"/>
                <w:sz w:val="18"/>
              </w:rPr>
            </w:pPr>
            <m:oMathPara>
              <m:oMathParaPr>
                <m:jc m:val="left"/>
              </m:oMathParaPr>
              <m:oMath>
                <m:r>
                  <m:rPr>
                    <m:sty m:val="p"/>
                  </m:rPr>
                  <w:rPr>
                    <w:rFonts w:ascii="Cambria Math" w:hAnsi="Cambria Math"/>
                    <w:sz w:val="18"/>
                  </w:rPr>
                  <m:t>=</m:t>
                </m:r>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Lumens</m:t>
                        </m:r>
                      </m:e>
                      <m:sub>
                        <m:r>
                          <w:rPr>
                            <w:rFonts w:ascii="Cambria Math" w:hAnsi="Cambria Math"/>
                            <w:sz w:val="18"/>
                          </w:rPr>
                          <m:t>ee</m:t>
                        </m:r>
                      </m:sub>
                    </m:sSub>
                  </m:num>
                  <m:den>
                    <m:sSub>
                      <m:sSubPr>
                        <m:ctrlPr>
                          <w:rPr>
                            <w:rFonts w:ascii="Cambria Math" w:hAnsi="Cambria Math"/>
                            <w:i/>
                            <w:sz w:val="18"/>
                          </w:rPr>
                        </m:ctrlPr>
                      </m:sSubPr>
                      <m:e>
                        <m:r>
                          <w:rPr>
                            <w:rFonts w:ascii="Cambria Math" w:hAnsi="Cambria Math"/>
                            <w:sz w:val="18"/>
                          </w:rPr>
                          <m:t>Efficacy</m:t>
                        </m:r>
                      </m:e>
                      <m:sub>
                        <m:r>
                          <w:rPr>
                            <w:rFonts w:ascii="Cambria Math" w:hAnsi="Cambria Math"/>
                            <w:sz w:val="18"/>
                          </w:rPr>
                          <m:t>base</m:t>
                        </m:r>
                      </m:sub>
                    </m:sSub>
                  </m:den>
                </m:f>
              </m:oMath>
            </m:oMathPara>
          </w:p>
        </w:tc>
      </w:tr>
    </w:tbl>
    <w:p w14:paraId="124B7CBD" w14:textId="77777777" w:rsidR="00C04335" w:rsidRPr="001570EA" w:rsidRDefault="00C04335" w:rsidP="00FA5174"/>
    <w:p w14:paraId="5BD5CD4C" w14:textId="77777777" w:rsidR="00FA5174" w:rsidRPr="001570EA" w:rsidRDefault="00FA5174" w:rsidP="00FA5174">
      <w:pPr>
        <w:pStyle w:val="SubStyle"/>
        <w:keepNext/>
      </w:pPr>
      <w:r w:rsidRPr="001570EA">
        <w:t>Definition of Terms</w:t>
      </w:r>
    </w:p>
    <w:p w14:paraId="3431B7A6" w14:textId="75561A34" w:rsidR="00FA5174" w:rsidRPr="001570EA" w:rsidRDefault="00FA5174" w:rsidP="00FA5174">
      <w:pPr>
        <w:pStyle w:val="Caption"/>
      </w:pPr>
      <w:bookmarkStart w:id="28" w:name="_Ref364166254"/>
      <w:bookmarkStart w:id="29" w:name="_Toc364438102"/>
      <w:bookmarkStart w:id="30" w:name="_Toc373320230"/>
      <w:bookmarkStart w:id="31" w:name="_Toc364420934"/>
      <w:bookmarkStart w:id="32" w:name="_Toc364760704"/>
      <w:bookmarkStart w:id="33" w:name="_Toc377465526"/>
      <w:bookmarkStart w:id="34" w:name="_Toc473645780"/>
      <w:bookmarkStart w:id="35" w:name="_Toc47598246"/>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2</w:t>
      </w:r>
      <w:r w:rsidR="002E093A" w:rsidRPr="001570EA">
        <w:fldChar w:fldCharType="end"/>
      </w:r>
      <w:bookmarkEnd w:id="28"/>
      <w:r w:rsidRPr="001570EA">
        <w:t xml:space="preserve">: </w:t>
      </w:r>
      <w:r w:rsidRPr="001570EA">
        <w:rPr>
          <w:rFonts w:cs="Arial"/>
        </w:rPr>
        <w:t>Terms, Values, and References for</w:t>
      </w:r>
      <w:r w:rsidRPr="001570EA">
        <w:t xml:space="preserve"> </w:t>
      </w:r>
      <w:r w:rsidR="008864A8" w:rsidRPr="001570EA">
        <w:t xml:space="preserve">Residential LED </w:t>
      </w:r>
      <w:r w:rsidRPr="001570EA">
        <w:t>Lighting</w:t>
      </w:r>
      <w:bookmarkEnd w:id="29"/>
      <w:bookmarkEnd w:id="30"/>
      <w:bookmarkEnd w:id="31"/>
      <w:bookmarkEnd w:id="32"/>
      <w:bookmarkEnd w:id="33"/>
      <w:bookmarkEnd w:id="34"/>
      <w:bookmarkEnd w:id="35"/>
    </w:p>
    <w:tbl>
      <w:tblPr>
        <w:tblW w:w="8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117"/>
        <w:gridCol w:w="1260"/>
        <w:gridCol w:w="2070"/>
        <w:gridCol w:w="1260"/>
      </w:tblGrid>
      <w:tr w:rsidR="00FA5174" w:rsidRPr="001570EA" w14:paraId="5B32E9DD" w14:textId="77777777" w:rsidTr="00BD2C4C">
        <w:trPr>
          <w:trHeight w:val="317"/>
          <w:tblHeader/>
        </w:trPr>
        <w:tc>
          <w:tcPr>
            <w:tcW w:w="4117" w:type="dxa"/>
            <w:shd w:val="clear" w:color="auto" w:fill="BFBFBF"/>
          </w:tcPr>
          <w:p w14:paraId="725F2961" w14:textId="77777777" w:rsidR="00FA5174" w:rsidRPr="001570EA" w:rsidRDefault="00FA5174" w:rsidP="00BD2C4C">
            <w:pPr>
              <w:pStyle w:val="TableCell"/>
              <w:keepNext w:val="0"/>
              <w:spacing w:before="60" w:after="60"/>
              <w:jc w:val="left"/>
              <w:rPr>
                <w:b/>
              </w:rPr>
            </w:pPr>
            <w:r w:rsidRPr="001570EA">
              <w:rPr>
                <w:b/>
              </w:rPr>
              <w:t>Term</w:t>
            </w:r>
          </w:p>
        </w:tc>
        <w:tc>
          <w:tcPr>
            <w:tcW w:w="1260" w:type="dxa"/>
            <w:shd w:val="clear" w:color="auto" w:fill="BFBFBF"/>
          </w:tcPr>
          <w:p w14:paraId="47C3526B" w14:textId="77777777" w:rsidR="00FA5174" w:rsidRPr="001570EA" w:rsidRDefault="00FA5174" w:rsidP="00BD2C4C">
            <w:pPr>
              <w:pStyle w:val="TableCell"/>
              <w:spacing w:before="60" w:after="60"/>
              <w:jc w:val="center"/>
              <w:rPr>
                <w:b/>
              </w:rPr>
            </w:pPr>
            <w:r w:rsidRPr="001570EA">
              <w:rPr>
                <w:b/>
              </w:rPr>
              <w:t>Unit</w:t>
            </w:r>
          </w:p>
        </w:tc>
        <w:tc>
          <w:tcPr>
            <w:tcW w:w="2070" w:type="dxa"/>
            <w:shd w:val="clear" w:color="auto" w:fill="BFBFBF"/>
          </w:tcPr>
          <w:p w14:paraId="2B3DA72B" w14:textId="77777777" w:rsidR="00FA5174" w:rsidRPr="001570EA" w:rsidRDefault="00FA5174" w:rsidP="00BD2C4C">
            <w:pPr>
              <w:pStyle w:val="TableCell"/>
              <w:spacing w:before="60" w:after="60"/>
              <w:jc w:val="center"/>
              <w:rPr>
                <w:b/>
              </w:rPr>
            </w:pPr>
            <w:r w:rsidRPr="001570EA">
              <w:rPr>
                <w:b/>
              </w:rPr>
              <w:t>Value</w:t>
            </w:r>
          </w:p>
        </w:tc>
        <w:tc>
          <w:tcPr>
            <w:tcW w:w="1260" w:type="dxa"/>
            <w:shd w:val="clear" w:color="auto" w:fill="BFBFBF"/>
          </w:tcPr>
          <w:p w14:paraId="7742DD5B" w14:textId="77777777" w:rsidR="00FA5174" w:rsidRPr="001570EA" w:rsidRDefault="00FA5174" w:rsidP="00BD2C4C">
            <w:pPr>
              <w:pStyle w:val="TableCell"/>
              <w:spacing w:before="60" w:after="60"/>
              <w:jc w:val="center"/>
              <w:rPr>
                <w:b/>
              </w:rPr>
            </w:pPr>
            <w:r w:rsidRPr="001570EA">
              <w:rPr>
                <w:b/>
              </w:rPr>
              <w:t>Sources</w:t>
            </w:r>
          </w:p>
        </w:tc>
      </w:tr>
      <w:tr w:rsidR="00FA5174" w:rsidRPr="001570EA" w14:paraId="43645D65" w14:textId="77777777" w:rsidTr="00BD2C4C">
        <w:trPr>
          <w:trHeight w:val="317"/>
        </w:trPr>
        <w:tc>
          <w:tcPr>
            <w:tcW w:w="4117" w:type="dxa"/>
            <w:vAlign w:val="center"/>
          </w:tcPr>
          <w:p w14:paraId="4B429C3A" w14:textId="47FD54B6" w:rsidR="00FA5174" w:rsidRPr="001570EA" w:rsidRDefault="00FA5174" w:rsidP="00BD2C4C">
            <w:pPr>
              <w:pStyle w:val="TableCell"/>
              <w:keepNext w:val="0"/>
              <w:spacing w:before="60" w:after="60"/>
              <w:jc w:val="left"/>
            </w:pPr>
            <w:r w:rsidRPr="001570EA">
              <w:rPr>
                <w:i/>
              </w:rPr>
              <w:t>Watts</w:t>
            </w:r>
            <w:r w:rsidRPr="001570EA">
              <w:rPr>
                <w:i/>
                <w:vertAlign w:val="subscript"/>
              </w:rPr>
              <w:t>base</w:t>
            </w:r>
            <w:r w:rsidRPr="001570EA">
              <w:t xml:space="preserve">, </w:t>
            </w:r>
            <w:r w:rsidRPr="001570EA">
              <w:rPr>
                <w:rFonts w:cs="Arial"/>
              </w:rPr>
              <w:t>Wattage of baseline case lamp/fixture</w:t>
            </w:r>
          </w:p>
        </w:tc>
        <w:tc>
          <w:tcPr>
            <w:tcW w:w="1260" w:type="dxa"/>
            <w:vAlign w:val="center"/>
          </w:tcPr>
          <w:p w14:paraId="557027D9" w14:textId="77777777" w:rsidR="00FA5174" w:rsidRPr="001570EA" w:rsidRDefault="00FA5174" w:rsidP="00BD2C4C">
            <w:pPr>
              <w:pStyle w:val="TableCell"/>
              <w:spacing w:before="60" w:after="60"/>
              <w:jc w:val="center"/>
              <w:rPr>
                <w:i/>
              </w:rPr>
            </w:pPr>
            <w:r w:rsidRPr="001570EA">
              <w:rPr>
                <w:i/>
              </w:rPr>
              <w:t>Watts</w:t>
            </w:r>
          </w:p>
        </w:tc>
        <w:tc>
          <w:tcPr>
            <w:tcW w:w="2070" w:type="dxa"/>
            <w:vAlign w:val="center"/>
          </w:tcPr>
          <w:p w14:paraId="35F1B097" w14:textId="77777777" w:rsidR="00707507" w:rsidRPr="001570EA" w:rsidRDefault="00707507" w:rsidP="00BD2C4C">
            <w:pPr>
              <w:pStyle w:val="TableCell"/>
              <w:spacing w:before="60" w:after="60"/>
              <w:jc w:val="center"/>
            </w:pPr>
            <w:r w:rsidRPr="001570EA">
              <w:t xml:space="preserve">Direct install: </w:t>
            </w:r>
            <w:r w:rsidR="00FA5174" w:rsidRPr="001570EA">
              <w:t>EDC Data Gathering</w:t>
            </w:r>
          </w:p>
          <w:p w14:paraId="43CB2BA6" w14:textId="77777777" w:rsidR="00A96AD5" w:rsidRPr="001570EA" w:rsidRDefault="0061062D" w:rsidP="00A96AD5">
            <w:pPr>
              <w:pStyle w:val="TableCell"/>
              <w:spacing w:before="60" w:after="60"/>
              <w:jc w:val="center"/>
              <w:rPr>
                <w:szCs w:val="18"/>
                <w:lang w:eastAsia="ja-JP"/>
              </w:rPr>
            </w:pPr>
            <w:r w:rsidRPr="001570EA">
              <w:t xml:space="preserve">GSLs outside of EISA lumen range or exempt bulb </w:t>
            </w:r>
            <w:r w:rsidR="00A96AD5" w:rsidRPr="001570EA">
              <w:t>type</w:t>
            </w:r>
            <w:r w:rsidRPr="001570EA">
              <w:t xml:space="preserve">: </w:t>
            </w:r>
            <w:r w:rsidRPr="001570EA">
              <w:rPr>
                <w:szCs w:val="18"/>
                <w:lang w:eastAsia="ja-JP"/>
              </w:rPr>
              <w:t>Manufacturer rated comparable wattage</w:t>
            </w:r>
          </w:p>
          <w:p w14:paraId="4AB5944F" w14:textId="1A3613D4" w:rsidR="00FA5174" w:rsidRPr="001570EA" w:rsidRDefault="00A96AD5" w:rsidP="00A96AD5">
            <w:pPr>
              <w:pStyle w:val="TableCell"/>
              <w:spacing w:before="60" w:after="60"/>
              <w:jc w:val="center"/>
              <w:rPr>
                <w:szCs w:val="18"/>
                <w:lang w:eastAsia="ja-JP"/>
              </w:rPr>
            </w:pPr>
            <w:r w:rsidRPr="001570EA">
              <w:rPr>
                <w:szCs w:val="18"/>
                <w:lang w:eastAsia="ja-JP"/>
              </w:rPr>
              <w:t xml:space="preserve">Linear LED fixture: </w:t>
            </w:r>
            <w:r w:rsidR="00FA5174" w:rsidRPr="001570EA">
              <w:t xml:space="preserve"> </w:t>
            </w:r>
            <w:r w:rsidR="00BF1B48" w:rsidRPr="001570EA">
              <w:t>EDC Data Gathering (</w:t>
            </w:r>
            <w:r w:rsidR="00C97595" w:rsidRPr="001570EA">
              <w:rPr>
                <w:i/>
                <w:szCs w:val="18"/>
              </w:rPr>
              <w:t>Lumens</w:t>
            </w:r>
            <w:r w:rsidR="00C97595" w:rsidRPr="001570EA">
              <w:rPr>
                <w:i/>
                <w:szCs w:val="18"/>
                <w:vertAlign w:val="subscript"/>
              </w:rPr>
              <w:t>ee</w:t>
            </w:r>
            <w:r w:rsidR="00BF1B48" w:rsidRPr="001570EA">
              <w:t xml:space="preserve">) and </w:t>
            </w:r>
            <w:r w:rsidR="00BF1B48" w:rsidRPr="001570EA">
              <w:fldChar w:fldCharType="begin"/>
            </w:r>
            <w:r w:rsidR="00BF1B48" w:rsidRPr="001570EA">
              <w:instrText xml:space="preserve"> REF _Ref157507593 \h </w:instrText>
            </w:r>
            <w:r w:rsidR="001570EA">
              <w:instrText xml:space="preserve"> \* MERGEFORMAT </w:instrText>
            </w:r>
            <w:r w:rsidR="00BF1B48" w:rsidRPr="001570EA">
              <w:fldChar w:fldCharType="separate"/>
            </w:r>
            <w:r w:rsidR="00384D95" w:rsidRPr="001570EA">
              <w:t xml:space="preserve">Table </w:t>
            </w:r>
            <w:r w:rsidR="00384D95" w:rsidRPr="001570EA">
              <w:rPr>
                <w:noProof/>
              </w:rPr>
              <w:t>2</w:t>
            </w:r>
            <w:r w:rsidR="00384D95" w:rsidRPr="001570EA">
              <w:noBreakHyphen/>
            </w:r>
            <w:r w:rsidR="00384D95" w:rsidRPr="001570EA">
              <w:rPr>
                <w:noProof/>
              </w:rPr>
              <w:t>3</w:t>
            </w:r>
            <w:r w:rsidR="00BF1B48" w:rsidRPr="001570EA">
              <w:fldChar w:fldCharType="end"/>
            </w:r>
            <w:r w:rsidR="00BF1B48" w:rsidRPr="001570EA">
              <w:t xml:space="preserve"> (</w:t>
            </w:r>
            <w:r w:rsidR="00C97595" w:rsidRPr="001570EA">
              <w:rPr>
                <w:i/>
                <w:szCs w:val="18"/>
              </w:rPr>
              <w:t>Efficacy</w:t>
            </w:r>
            <w:r w:rsidR="00C97595" w:rsidRPr="001570EA">
              <w:rPr>
                <w:i/>
                <w:szCs w:val="18"/>
                <w:vertAlign w:val="subscript"/>
              </w:rPr>
              <w:t>base</w:t>
            </w:r>
            <w:r w:rsidR="00BF1B48" w:rsidRPr="001570EA">
              <w:t>)</w:t>
            </w:r>
            <w:r w:rsidR="00535284" w:rsidRPr="001570EA">
              <w:t xml:space="preserve"> </w:t>
            </w:r>
            <w:r w:rsidR="00FA5174" w:rsidRPr="001570EA">
              <w:t xml:space="preserve"> </w:t>
            </w:r>
          </w:p>
        </w:tc>
        <w:tc>
          <w:tcPr>
            <w:tcW w:w="1260" w:type="dxa"/>
            <w:vAlign w:val="center"/>
          </w:tcPr>
          <w:p w14:paraId="33078ACB" w14:textId="7475DBCD" w:rsidR="00FA5174" w:rsidRPr="001570EA" w:rsidRDefault="002226E8" w:rsidP="00BD2C4C">
            <w:pPr>
              <w:pStyle w:val="TableCell"/>
              <w:spacing w:before="60" w:after="60"/>
              <w:jc w:val="center"/>
            </w:pPr>
            <w:r w:rsidRPr="001570EA">
              <w:t xml:space="preserve">EDC data gathering, </w:t>
            </w:r>
            <w:r w:rsidR="00D87960" w:rsidRPr="001570EA">
              <w:t>3</w:t>
            </w:r>
            <w:r w:rsidR="00EE0CD5" w:rsidRPr="001570EA">
              <w:t xml:space="preserve"> and </w:t>
            </w:r>
            <w:r w:rsidR="00D87960" w:rsidRPr="001570EA">
              <w:t>4</w:t>
            </w:r>
          </w:p>
        </w:tc>
      </w:tr>
      <w:tr w:rsidR="00FA5174" w:rsidRPr="001570EA" w14:paraId="7348ECF3" w14:textId="77777777" w:rsidTr="00BD2C4C">
        <w:trPr>
          <w:trHeight w:val="317"/>
        </w:trPr>
        <w:tc>
          <w:tcPr>
            <w:tcW w:w="4117" w:type="dxa"/>
            <w:vAlign w:val="center"/>
          </w:tcPr>
          <w:p w14:paraId="7C5FC8C0" w14:textId="5CA7AA2D" w:rsidR="00FA5174" w:rsidRPr="001570EA" w:rsidRDefault="00FA5174" w:rsidP="00BD2C4C">
            <w:pPr>
              <w:pStyle w:val="TableCell"/>
              <w:keepNext w:val="0"/>
              <w:tabs>
                <w:tab w:val="center" w:pos="1341"/>
              </w:tabs>
              <w:spacing w:before="60" w:after="60"/>
              <w:jc w:val="left"/>
            </w:pPr>
            <w:r w:rsidRPr="001570EA">
              <w:rPr>
                <w:i/>
              </w:rPr>
              <w:t>Watts</w:t>
            </w:r>
            <w:r w:rsidRPr="001570EA">
              <w:rPr>
                <w:i/>
                <w:vertAlign w:val="subscript"/>
              </w:rPr>
              <w:t>EE</w:t>
            </w:r>
            <w:r w:rsidRPr="001570EA">
              <w:t xml:space="preserve">, </w:t>
            </w:r>
            <w:r w:rsidRPr="001570EA">
              <w:rPr>
                <w:rFonts w:cs="Arial"/>
              </w:rPr>
              <w:t>Wattage of efficient case lamp/fixture</w:t>
            </w:r>
          </w:p>
        </w:tc>
        <w:tc>
          <w:tcPr>
            <w:tcW w:w="1260" w:type="dxa"/>
            <w:vAlign w:val="center"/>
          </w:tcPr>
          <w:p w14:paraId="01A55E85" w14:textId="77777777" w:rsidR="00FA5174" w:rsidRPr="001570EA" w:rsidDel="005F6651" w:rsidRDefault="00FA5174" w:rsidP="00BD2C4C">
            <w:pPr>
              <w:pStyle w:val="TableCell"/>
              <w:spacing w:before="60" w:after="60"/>
              <w:jc w:val="center"/>
              <w:rPr>
                <w:i/>
              </w:rPr>
            </w:pPr>
            <w:r w:rsidRPr="001570EA">
              <w:rPr>
                <w:i/>
              </w:rPr>
              <w:t>Watts</w:t>
            </w:r>
          </w:p>
        </w:tc>
        <w:tc>
          <w:tcPr>
            <w:tcW w:w="2070" w:type="dxa"/>
            <w:vAlign w:val="center"/>
          </w:tcPr>
          <w:p w14:paraId="4027D607" w14:textId="77777777" w:rsidR="00FA5174" w:rsidRPr="001570EA" w:rsidRDefault="00FA5174" w:rsidP="00BD2C4C">
            <w:pPr>
              <w:pStyle w:val="TableCell"/>
              <w:spacing w:before="60" w:after="60"/>
              <w:jc w:val="center"/>
            </w:pPr>
            <w:r w:rsidRPr="001570EA">
              <w:t>EDC Data Gathering</w:t>
            </w:r>
          </w:p>
        </w:tc>
        <w:tc>
          <w:tcPr>
            <w:tcW w:w="1260" w:type="dxa"/>
            <w:vAlign w:val="center"/>
          </w:tcPr>
          <w:p w14:paraId="534AAFD9" w14:textId="77777777" w:rsidR="00FA5174" w:rsidRPr="001570EA" w:rsidRDefault="00FA5174" w:rsidP="00BD2C4C">
            <w:pPr>
              <w:pStyle w:val="TableCell"/>
              <w:spacing w:before="60" w:after="60"/>
              <w:jc w:val="center"/>
            </w:pPr>
            <w:r w:rsidRPr="001570EA">
              <w:t>EDC Data Gathering</w:t>
            </w:r>
          </w:p>
        </w:tc>
      </w:tr>
      <w:tr w:rsidR="00FA5174" w:rsidRPr="001570EA" w14:paraId="4A67DA56" w14:textId="77777777" w:rsidTr="00BD2C4C">
        <w:trPr>
          <w:trHeight w:val="317"/>
        </w:trPr>
        <w:tc>
          <w:tcPr>
            <w:tcW w:w="4117" w:type="dxa"/>
            <w:vAlign w:val="center"/>
          </w:tcPr>
          <w:p w14:paraId="4FB70D4E" w14:textId="687E45F3" w:rsidR="00FA5174" w:rsidRPr="001570EA" w:rsidRDefault="00FA5174" w:rsidP="00BD2C4C">
            <w:pPr>
              <w:pStyle w:val="TableCell"/>
              <w:keepNext w:val="0"/>
              <w:spacing w:before="60" w:after="60"/>
              <w:jc w:val="left"/>
            </w:pPr>
            <w:r w:rsidRPr="001570EA">
              <w:rPr>
                <w:i/>
              </w:rPr>
              <w:t>HOU</w:t>
            </w:r>
            <w:r w:rsidRPr="001570EA">
              <w:t xml:space="preserve">, </w:t>
            </w:r>
            <w:r w:rsidRPr="001570EA">
              <w:rPr>
                <w:rFonts w:cs="Arial"/>
              </w:rPr>
              <w:t>Average hours of use per day per unit installed for residential use</w:t>
            </w:r>
          </w:p>
        </w:tc>
        <w:tc>
          <w:tcPr>
            <w:tcW w:w="1260" w:type="dxa"/>
            <w:vAlign w:val="center"/>
          </w:tcPr>
          <w:p w14:paraId="3C8639E2" w14:textId="77777777" w:rsidR="00FA5174" w:rsidRPr="001570EA" w:rsidRDefault="003B5E04" w:rsidP="00BD2C4C">
            <w:pPr>
              <w:pStyle w:val="TableCell"/>
              <w:spacing w:before="60" w:after="60"/>
              <w:jc w:val="center"/>
              <w:rPr>
                <w:i/>
              </w:rPr>
            </w:pPr>
            <m:oMathPara>
              <m:oMath>
                <m:f>
                  <m:fPr>
                    <m:ctrlPr>
                      <w:rPr>
                        <w:rFonts w:ascii="Cambria Math" w:hAnsi="Cambria Math"/>
                        <w:i/>
                      </w:rPr>
                    </m:ctrlPr>
                  </m:fPr>
                  <m:num>
                    <m:r>
                      <w:rPr>
                        <w:rFonts w:ascii="Cambria Math" w:hAnsi="Cambria Math"/>
                      </w:rPr>
                      <m:t>hours</m:t>
                    </m:r>
                  </m:num>
                  <m:den>
                    <m:r>
                      <w:rPr>
                        <w:rFonts w:ascii="Cambria Math" w:hAnsi="Cambria Math"/>
                      </w:rPr>
                      <m:t>day</m:t>
                    </m:r>
                  </m:den>
                </m:f>
              </m:oMath>
            </m:oMathPara>
          </w:p>
        </w:tc>
        <w:tc>
          <w:tcPr>
            <w:tcW w:w="2070" w:type="dxa"/>
            <w:vAlign w:val="center"/>
          </w:tcPr>
          <w:p w14:paraId="0467770F" w14:textId="061256D7" w:rsidR="00FA5174" w:rsidRPr="001570EA" w:rsidRDefault="00FA5174" w:rsidP="00BD2C4C">
            <w:pPr>
              <w:pStyle w:val="TableCell"/>
              <w:spacing w:before="60" w:after="60"/>
              <w:jc w:val="center"/>
            </w:pPr>
            <w:r w:rsidRPr="001570EA">
              <w:fldChar w:fldCharType="begin"/>
            </w:r>
            <w:r w:rsidRPr="001570EA">
              <w:instrText xml:space="preserve"> REF _Ref411524069 \h  \* MERGEFORMAT </w:instrText>
            </w:r>
            <w:r w:rsidRPr="001570EA">
              <w:fldChar w:fldCharType="separate"/>
            </w:r>
            <w:r w:rsidR="00384D95" w:rsidRPr="001570EA">
              <w:t xml:space="preserve">Table </w:t>
            </w:r>
            <w:r w:rsidR="00384D95" w:rsidRPr="001570EA">
              <w:rPr>
                <w:noProof/>
              </w:rPr>
              <w:t>2</w:t>
            </w:r>
            <w:r w:rsidR="00384D95" w:rsidRPr="001570EA">
              <w:rPr>
                <w:noProof/>
              </w:rPr>
              <w:noBreakHyphen/>
              <w:t>4</w:t>
            </w:r>
            <w:r w:rsidRPr="001570EA">
              <w:fldChar w:fldCharType="end"/>
            </w:r>
          </w:p>
        </w:tc>
        <w:tc>
          <w:tcPr>
            <w:tcW w:w="1260" w:type="dxa"/>
            <w:vAlign w:val="center"/>
          </w:tcPr>
          <w:p w14:paraId="104F39C4" w14:textId="0EA50939" w:rsidR="00FA5174" w:rsidRPr="001570EA" w:rsidRDefault="00C009C0" w:rsidP="00BD2C4C">
            <w:pPr>
              <w:pStyle w:val="TableCell"/>
              <w:spacing w:before="60" w:after="60"/>
              <w:jc w:val="center"/>
            </w:pPr>
            <w:r w:rsidRPr="001570EA">
              <w:t>7</w:t>
            </w:r>
          </w:p>
        </w:tc>
      </w:tr>
      <w:tr w:rsidR="00160186" w:rsidRPr="001570EA" w14:paraId="4574E691" w14:textId="77777777" w:rsidTr="00BD2C4C">
        <w:trPr>
          <w:trHeight w:val="317"/>
        </w:trPr>
        <w:tc>
          <w:tcPr>
            <w:tcW w:w="4117" w:type="dxa"/>
            <w:vAlign w:val="center"/>
          </w:tcPr>
          <w:p w14:paraId="7E9BA7E5" w14:textId="6CBEF41D" w:rsidR="00160186" w:rsidRPr="001570EA" w:rsidRDefault="00160186" w:rsidP="00160186">
            <w:pPr>
              <w:pStyle w:val="TableCell"/>
              <w:keepNext w:val="0"/>
              <w:spacing w:before="60" w:after="60"/>
              <w:jc w:val="left"/>
              <w:rPr>
                <w:rFonts w:cs="Arial"/>
                <w:i/>
              </w:rPr>
            </w:pPr>
            <w:r w:rsidRPr="001570EA">
              <w:rPr>
                <w:rFonts w:cs="Arial"/>
                <w:i/>
              </w:rPr>
              <w:t xml:space="preserve">L, </w:t>
            </w:r>
            <w:r w:rsidRPr="001570EA">
              <w:rPr>
                <w:rFonts w:cs="Arial"/>
                <w:iCs/>
              </w:rPr>
              <w:t xml:space="preserve">Factor to adjust interactive </w:t>
            </w:r>
            <w:r w:rsidR="008E5E0D" w:rsidRPr="001570EA">
              <w:rPr>
                <w:rFonts w:cs="Arial"/>
                <w:iCs/>
              </w:rPr>
              <w:t xml:space="preserve">effect factors </w:t>
            </w:r>
            <w:r w:rsidR="00817343" w:rsidRPr="001570EA">
              <w:rPr>
                <w:rFonts w:cs="Arial"/>
                <w:iCs/>
              </w:rPr>
              <w:t xml:space="preserve">to account for proportion of </w:t>
            </w:r>
            <w:r w:rsidR="00C64CD9" w:rsidRPr="001570EA">
              <w:rPr>
                <w:rFonts w:cs="Arial"/>
                <w:iCs/>
              </w:rPr>
              <w:t xml:space="preserve">LEDs </w:t>
            </w:r>
            <w:r w:rsidR="00285865" w:rsidRPr="001570EA">
              <w:rPr>
                <w:rFonts w:cs="Arial"/>
                <w:iCs/>
              </w:rPr>
              <w:t>installed in interior locations</w:t>
            </w:r>
          </w:p>
        </w:tc>
        <w:tc>
          <w:tcPr>
            <w:tcW w:w="1260" w:type="dxa"/>
            <w:vAlign w:val="center"/>
          </w:tcPr>
          <w:p w14:paraId="3484E697" w14:textId="398D4A35" w:rsidR="00160186" w:rsidRPr="001570EA" w:rsidRDefault="000E490C" w:rsidP="00160186">
            <w:pPr>
              <w:pStyle w:val="TableCell"/>
              <w:spacing w:before="60" w:after="60"/>
              <w:jc w:val="center"/>
              <w:rPr>
                <w:i/>
              </w:rPr>
            </w:pPr>
            <w:r w:rsidRPr="001570EA">
              <w:rPr>
                <w:i/>
              </w:rPr>
              <w:t>%</w:t>
            </w:r>
          </w:p>
        </w:tc>
        <w:tc>
          <w:tcPr>
            <w:tcW w:w="2070" w:type="dxa"/>
            <w:vAlign w:val="center"/>
          </w:tcPr>
          <w:p w14:paraId="51DD7BFF" w14:textId="77777777" w:rsidR="00160186" w:rsidRPr="001570EA" w:rsidRDefault="00160186" w:rsidP="00160186">
            <w:pPr>
              <w:pStyle w:val="TableCell"/>
              <w:spacing w:before="60" w:after="60"/>
              <w:jc w:val="center"/>
              <w:rPr>
                <w:bCs/>
              </w:rPr>
            </w:pPr>
            <w:r w:rsidRPr="001570EA">
              <w:rPr>
                <w:bCs/>
              </w:rPr>
              <w:t>Interior: 100%</w:t>
            </w:r>
          </w:p>
          <w:p w14:paraId="38EACD6A" w14:textId="77777777" w:rsidR="00160186" w:rsidRPr="001570EA" w:rsidRDefault="00160186" w:rsidP="00160186">
            <w:pPr>
              <w:pStyle w:val="TableCell"/>
              <w:spacing w:before="60" w:after="60"/>
              <w:jc w:val="center"/>
              <w:rPr>
                <w:bCs/>
              </w:rPr>
            </w:pPr>
            <w:r w:rsidRPr="001570EA">
              <w:rPr>
                <w:bCs/>
              </w:rPr>
              <w:t>Exterior: 0%</w:t>
            </w:r>
          </w:p>
          <w:p w14:paraId="698F05FF" w14:textId="22D724F1" w:rsidR="00160186" w:rsidRPr="001570EA" w:rsidRDefault="00160186" w:rsidP="00160186">
            <w:pPr>
              <w:pStyle w:val="TableCell"/>
              <w:spacing w:before="60" w:after="60"/>
              <w:jc w:val="center"/>
            </w:pPr>
            <w:r w:rsidRPr="001570EA">
              <w:rPr>
                <w:bCs/>
              </w:rPr>
              <w:t>Unknown: 90.3%</w:t>
            </w:r>
          </w:p>
        </w:tc>
        <w:tc>
          <w:tcPr>
            <w:tcW w:w="1260" w:type="dxa"/>
            <w:vAlign w:val="center"/>
          </w:tcPr>
          <w:p w14:paraId="2EE5EAFE" w14:textId="71C6052C" w:rsidR="00160186" w:rsidRPr="001570EA" w:rsidDel="00F57AE3" w:rsidRDefault="000D486D" w:rsidP="00160186">
            <w:pPr>
              <w:pStyle w:val="TableCell"/>
              <w:spacing w:before="60" w:after="60"/>
              <w:jc w:val="center"/>
            </w:pPr>
            <w:r w:rsidRPr="001570EA">
              <w:t>10</w:t>
            </w:r>
          </w:p>
        </w:tc>
      </w:tr>
      <w:tr w:rsidR="00FA5174" w:rsidRPr="001570EA" w14:paraId="271C49D6" w14:textId="77777777" w:rsidTr="00BD2C4C">
        <w:trPr>
          <w:trHeight w:val="317"/>
        </w:trPr>
        <w:tc>
          <w:tcPr>
            <w:tcW w:w="4117" w:type="dxa"/>
            <w:vAlign w:val="center"/>
          </w:tcPr>
          <w:p w14:paraId="70C26EF7" w14:textId="273854F2" w:rsidR="00FA5174" w:rsidRPr="001570EA" w:rsidRDefault="00FA5174" w:rsidP="00BD2C4C">
            <w:pPr>
              <w:pStyle w:val="TableCell"/>
              <w:keepNext w:val="0"/>
              <w:spacing w:before="60" w:after="60"/>
              <w:jc w:val="left"/>
            </w:pPr>
            <w:r w:rsidRPr="001570EA">
              <w:rPr>
                <w:rFonts w:cs="Arial"/>
                <w:i/>
              </w:rPr>
              <w:t>IE</w:t>
            </w:r>
            <w:r w:rsidRPr="001570EA">
              <w:rPr>
                <w:rFonts w:cs="Arial"/>
                <w:i/>
                <w:vertAlign w:val="subscript"/>
              </w:rPr>
              <w:t>kWh</w:t>
            </w:r>
            <w:r w:rsidRPr="001570EA">
              <w:rPr>
                <w:rFonts w:cs="Arial"/>
              </w:rPr>
              <w:t>, HVAC Interactive Effect for LED energy for residential use</w:t>
            </w:r>
          </w:p>
        </w:tc>
        <w:tc>
          <w:tcPr>
            <w:tcW w:w="1260" w:type="dxa"/>
            <w:vAlign w:val="center"/>
          </w:tcPr>
          <w:p w14:paraId="6E27DAC3" w14:textId="77777777" w:rsidR="00FA5174" w:rsidRPr="001570EA" w:rsidRDefault="00FA5174" w:rsidP="00BD2C4C">
            <w:pPr>
              <w:pStyle w:val="TableCell"/>
              <w:spacing w:before="60" w:after="60"/>
              <w:jc w:val="center"/>
              <w:rPr>
                <w:i/>
              </w:rPr>
            </w:pPr>
            <w:r w:rsidRPr="001570EA">
              <w:rPr>
                <w:i/>
              </w:rPr>
              <w:t>None</w:t>
            </w:r>
          </w:p>
        </w:tc>
        <w:tc>
          <w:tcPr>
            <w:tcW w:w="2070" w:type="dxa"/>
            <w:vAlign w:val="center"/>
          </w:tcPr>
          <w:p w14:paraId="0A004D60" w14:textId="77777777" w:rsidR="00FA5174" w:rsidRPr="001570EA" w:rsidRDefault="00FA5174" w:rsidP="00BD2C4C">
            <w:pPr>
              <w:pStyle w:val="TableCell"/>
              <w:spacing w:before="60" w:after="60"/>
              <w:jc w:val="center"/>
            </w:pPr>
            <w:r w:rsidRPr="001570EA">
              <w:t>EDC Data Gathering</w:t>
            </w:r>
          </w:p>
          <w:p w14:paraId="7E7BCAAD" w14:textId="6ED09796" w:rsidR="00FA5174" w:rsidRPr="001570EA" w:rsidRDefault="00FA5174" w:rsidP="000E490C">
            <w:pPr>
              <w:pStyle w:val="TableCell"/>
              <w:spacing w:before="60" w:after="60"/>
              <w:jc w:val="center"/>
            </w:pPr>
            <w:r w:rsidRPr="001570EA">
              <w:t xml:space="preserve">Default = </w:t>
            </w:r>
            <w:r w:rsidRPr="001570EA">
              <w:rPr>
                <w:b/>
                <w:bCs/>
              </w:rPr>
              <w:fldChar w:fldCharType="begin"/>
            </w:r>
            <w:r w:rsidRPr="001570EA">
              <w:instrText xml:space="preserve"> REF _Ref395116944 \h </w:instrText>
            </w:r>
            <w:r w:rsidRPr="001570EA">
              <w:rPr>
                <w:b/>
                <w:bCs/>
              </w:rPr>
              <w:instrText xml:space="preserve"> \* MERGEFORMAT </w:instrText>
            </w:r>
            <w:r w:rsidRPr="001570EA">
              <w:rPr>
                <w:b/>
                <w:bCs/>
              </w:rPr>
            </w:r>
            <w:r w:rsidRPr="001570EA">
              <w:rPr>
                <w:b/>
                <w:bCs/>
              </w:rPr>
              <w:fldChar w:fldCharType="separate"/>
            </w:r>
            <w:r w:rsidR="00384D95" w:rsidRPr="001570EA">
              <w:t xml:space="preserve">Table </w:t>
            </w:r>
            <w:r w:rsidR="00384D95" w:rsidRPr="001570EA">
              <w:rPr>
                <w:noProof/>
              </w:rPr>
              <w:t>2</w:t>
            </w:r>
            <w:r w:rsidR="00384D95" w:rsidRPr="001570EA">
              <w:rPr>
                <w:noProof/>
              </w:rPr>
              <w:noBreakHyphen/>
              <w:t>5</w:t>
            </w:r>
            <w:r w:rsidRPr="001570EA">
              <w:rPr>
                <w:b/>
                <w:bCs/>
              </w:rPr>
              <w:fldChar w:fldCharType="end"/>
            </w:r>
          </w:p>
        </w:tc>
        <w:tc>
          <w:tcPr>
            <w:tcW w:w="1260" w:type="dxa"/>
            <w:vAlign w:val="center"/>
          </w:tcPr>
          <w:p w14:paraId="6E1B4468" w14:textId="10202E3E" w:rsidR="00FA5174" w:rsidRPr="001570EA" w:rsidRDefault="00356D39" w:rsidP="00BD2C4C">
            <w:pPr>
              <w:pStyle w:val="TableCell"/>
              <w:spacing w:before="60" w:after="60"/>
              <w:jc w:val="center"/>
            </w:pPr>
            <w:r w:rsidRPr="001570EA">
              <w:t>6</w:t>
            </w:r>
          </w:p>
        </w:tc>
      </w:tr>
      <w:tr w:rsidR="00FA5174" w:rsidRPr="001570EA" w14:paraId="7D9097A2" w14:textId="77777777" w:rsidTr="00BD2C4C">
        <w:trPr>
          <w:trHeight w:val="317"/>
        </w:trPr>
        <w:tc>
          <w:tcPr>
            <w:tcW w:w="4117" w:type="dxa"/>
            <w:vAlign w:val="center"/>
          </w:tcPr>
          <w:p w14:paraId="03495A8E" w14:textId="587DEED0" w:rsidR="00914C5D" w:rsidRPr="001570EA" w:rsidRDefault="00FA5174" w:rsidP="006F5C9F">
            <w:pPr>
              <w:pStyle w:val="TableCell"/>
              <w:keepNext w:val="0"/>
              <w:spacing w:before="60" w:after="60"/>
              <w:jc w:val="left"/>
            </w:pPr>
            <w:r w:rsidRPr="001570EA">
              <w:rPr>
                <w:rFonts w:cs="Arial"/>
                <w:i/>
              </w:rPr>
              <w:t>IE</w:t>
            </w:r>
            <w:r w:rsidRPr="001570EA">
              <w:rPr>
                <w:rFonts w:cs="Arial"/>
                <w:i/>
                <w:vertAlign w:val="subscript"/>
              </w:rPr>
              <w:t>kW</w:t>
            </w:r>
            <w:r w:rsidR="00F14170" w:rsidRPr="001570EA">
              <w:rPr>
                <w:rFonts w:cs="Arial"/>
                <w:i/>
                <w:vertAlign w:val="subscript"/>
              </w:rPr>
              <w:t>_s</w:t>
            </w:r>
            <w:r w:rsidRPr="001570EA">
              <w:rPr>
                <w:rFonts w:cs="Arial"/>
              </w:rPr>
              <w:t xml:space="preserve">, </w:t>
            </w:r>
            <w:r w:rsidR="006F5C9F" w:rsidRPr="001570EA">
              <w:rPr>
                <w:rFonts w:cs="Arial"/>
              </w:rPr>
              <w:t>S</w:t>
            </w:r>
            <w:r w:rsidR="00914C5D" w:rsidRPr="001570EA">
              <w:rPr>
                <w:rFonts w:cs="Arial"/>
              </w:rPr>
              <w:t xml:space="preserve">ummer Interactive Demand Factor – </w:t>
            </w:r>
            <w:r w:rsidR="006F5C9F" w:rsidRPr="001570EA">
              <w:rPr>
                <w:rFonts w:cs="Arial"/>
              </w:rPr>
              <w:t>applies to residential lighting in conditioned residential spaces.</w:t>
            </w:r>
          </w:p>
        </w:tc>
        <w:tc>
          <w:tcPr>
            <w:tcW w:w="1260" w:type="dxa"/>
            <w:vAlign w:val="center"/>
          </w:tcPr>
          <w:p w14:paraId="3023BBD3" w14:textId="77777777" w:rsidR="00FA5174" w:rsidRPr="001570EA" w:rsidRDefault="00FA5174" w:rsidP="00BD2C4C">
            <w:pPr>
              <w:pStyle w:val="TableCell"/>
              <w:spacing w:before="60" w:after="60"/>
              <w:jc w:val="center"/>
              <w:rPr>
                <w:i/>
              </w:rPr>
            </w:pPr>
            <w:r w:rsidRPr="001570EA">
              <w:rPr>
                <w:i/>
              </w:rPr>
              <w:t>None</w:t>
            </w:r>
          </w:p>
        </w:tc>
        <w:tc>
          <w:tcPr>
            <w:tcW w:w="2070" w:type="dxa"/>
            <w:vAlign w:val="center"/>
          </w:tcPr>
          <w:p w14:paraId="65E95702" w14:textId="77777777" w:rsidR="00FA5174" w:rsidRPr="001570EA" w:rsidRDefault="00FA5174" w:rsidP="00BD2C4C">
            <w:pPr>
              <w:pStyle w:val="TableCell"/>
              <w:spacing w:before="60" w:after="60"/>
              <w:jc w:val="center"/>
            </w:pPr>
            <w:r w:rsidRPr="001570EA">
              <w:t>EDC Data Gathering</w:t>
            </w:r>
          </w:p>
          <w:p w14:paraId="17704D28" w14:textId="27A37A51" w:rsidR="00FA5174" w:rsidRPr="001570EA" w:rsidRDefault="00FA5174" w:rsidP="000E490C">
            <w:pPr>
              <w:pStyle w:val="TableCell"/>
              <w:spacing w:before="60" w:after="60"/>
              <w:jc w:val="center"/>
            </w:pPr>
            <w:r w:rsidRPr="001570EA">
              <w:t>Default =</w:t>
            </w:r>
            <w:r w:rsidRPr="001570EA">
              <w:rPr>
                <w:b/>
                <w:bCs/>
              </w:rPr>
              <w:fldChar w:fldCharType="begin"/>
            </w:r>
            <w:r w:rsidRPr="001570EA">
              <w:instrText xml:space="preserve"> REF _Ref395116944 \h </w:instrText>
            </w:r>
            <w:r w:rsidR="001570EA">
              <w:rPr>
                <w:b/>
                <w:bCs/>
              </w:rPr>
              <w:instrText xml:space="preserve"> \* MERGEFORMAT </w:instrText>
            </w:r>
            <w:r w:rsidRPr="001570EA">
              <w:rPr>
                <w:b/>
                <w:bCs/>
              </w:rPr>
            </w:r>
            <w:r w:rsidRPr="001570EA">
              <w:rPr>
                <w:b/>
                <w:bCs/>
              </w:rPr>
              <w:fldChar w:fldCharType="separate"/>
            </w:r>
            <w:r w:rsidR="00384D95" w:rsidRPr="001570EA">
              <w:t xml:space="preserve">Table </w:t>
            </w:r>
            <w:r w:rsidR="00384D95" w:rsidRPr="001570EA">
              <w:rPr>
                <w:noProof/>
              </w:rPr>
              <w:t>2</w:t>
            </w:r>
            <w:r w:rsidR="00384D95" w:rsidRPr="001570EA">
              <w:noBreakHyphen/>
            </w:r>
            <w:r w:rsidR="00384D95" w:rsidRPr="001570EA">
              <w:rPr>
                <w:noProof/>
              </w:rPr>
              <w:t>5</w:t>
            </w:r>
            <w:r w:rsidRPr="001570EA">
              <w:rPr>
                <w:b/>
                <w:bCs/>
              </w:rPr>
              <w:fldChar w:fldCharType="end"/>
            </w:r>
          </w:p>
        </w:tc>
        <w:tc>
          <w:tcPr>
            <w:tcW w:w="1260" w:type="dxa"/>
            <w:vAlign w:val="center"/>
          </w:tcPr>
          <w:p w14:paraId="4A4CC0E3" w14:textId="3B76C853" w:rsidR="00FA5174" w:rsidRPr="001570EA" w:rsidRDefault="00356D39" w:rsidP="00BD2C4C">
            <w:pPr>
              <w:pStyle w:val="TableCell"/>
              <w:spacing w:before="60" w:after="60"/>
              <w:jc w:val="center"/>
            </w:pPr>
            <w:r w:rsidRPr="001570EA">
              <w:t>6</w:t>
            </w:r>
          </w:p>
        </w:tc>
      </w:tr>
      <w:tr w:rsidR="00F57AE3" w:rsidRPr="001570EA" w14:paraId="178059B4" w14:textId="77777777" w:rsidTr="00BD2C4C">
        <w:trPr>
          <w:trHeight w:val="317"/>
        </w:trPr>
        <w:tc>
          <w:tcPr>
            <w:tcW w:w="4117" w:type="dxa"/>
            <w:vAlign w:val="center"/>
          </w:tcPr>
          <w:p w14:paraId="711440B4" w14:textId="45F88D25" w:rsidR="000B7485" w:rsidRPr="001570EA" w:rsidRDefault="00F57AE3" w:rsidP="006F5C9F">
            <w:pPr>
              <w:pStyle w:val="TableCell"/>
              <w:keepNext w:val="0"/>
              <w:spacing w:before="60" w:after="60"/>
              <w:jc w:val="left"/>
              <w:rPr>
                <w:rFonts w:cs="Arial"/>
                <w:i/>
              </w:rPr>
            </w:pPr>
            <w:r w:rsidRPr="001570EA">
              <w:rPr>
                <w:rFonts w:cs="Arial"/>
                <w:i/>
              </w:rPr>
              <w:t>IE</w:t>
            </w:r>
            <w:r w:rsidRPr="001570EA">
              <w:rPr>
                <w:rFonts w:cs="Arial"/>
                <w:i/>
                <w:vertAlign w:val="subscript"/>
              </w:rPr>
              <w:t>kW</w:t>
            </w:r>
            <w:r w:rsidR="00F14170" w:rsidRPr="001570EA">
              <w:rPr>
                <w:rFonts w:cs="Arial"/>
                <w:i/>
                <w:vertAlign w:val="subscript"/>
              </w:rPr>
              <w:t>_w</w:t>
            </w:r>
            <w:r w:rsidRPr="001570EA">
              <w:rPr>
                <w:rFonts w:cs="Arial"/>
              </w:rPr>
              <w:t xml:space="preserve">, </w:t>
            </w:r>
            <w:r w:rsidR="000B7485" w:rsidRPr="001570EA">
              <w:rPr>
                <w:rFonts w:cs="Arial"/>
              </w:rPr>
              <w:t xml:space="preserve">Winter Interactive Demand Factor – applies to residential lighting in conditioned </w:t>
            </w:r>
            <w:r w:rsidR="0082236F" w:rsidRPr="001570EA">
              <w:rPr>
                <w:rFonts w:cs="Arial"/>
              </w:rPr>
              <w:t xml:space="preserve">residential </w:t>
            </w:r>
            <w:r w:rsidR="000B7485" w:rsidRPr="001570EA">
              <w:rPr>
                <w:rFonts w:cs="Arial"/>
              </w:rPr>
              <w:t>spaces.</w:t>
            </w:r>
            <w:r w:rsidR="006F5C9F" w:rsidRPr="001570EA">
              <w:rPr>
                <w:rFonts w:cs="Arial"/>
              </w:rPr>
              <w:t xml:space="preserve">  </w:t>
            </w:r>
          </w:p>
        </w:tc>
        <w:tc>
          <w:tcPr>
            <w:tcW w:w="1260" w:type="dxa"/>
            <w:vAlign w:val="center"/>
          </w:tcPr>
          <w:p w14:paraId="31033540" w14:textId="58E79435" w:rsidR="00F57AE3" w:rsidRPr="001570EA" w:rsidRDefault="00F57AE3" w:rsidP="00F57AE3">
            <w:pPr>
              <w:pStyle w:val="TableCell"/>
              <w:spacing w:before="60" w:after="60"/>
              <w:jc w:val="center"/>
              <w:rPr>
                <w:i/>
              </w:rPr>
            </w:pPr>
            <w:r w:rsidRPr="001570EA">
              <w:rPr>
                <w:i/>
              </w:rPr>
              <w:t>None</w:t>
            </w:r>
          </w:p>
        </w:tc>
        <w:tc>
          <w:tcPr>
            <w:tcW w:w="2070" w:type="dxa"/>
            <w:vAlign w:val="center"/>
          </w:tcPr>
          <w:p w14:paraId="472D8FD8" w14:textId="77777777" w:rsidR="00F57AE3" w:rsidRPr="001570EA" w:rsidRDefault="00F57AE3" w:rsidP="00F57AE3">
            <w:pPr>
              <w:pStyle w:val="TableCell"/>
              <w:spacing w:before="60" w:after="60"/>
              <w:jc w:val="center"/>
            </w:pPr>
            <w:r w:rsidRPr="001570EA">
              <w:t>EDC Data Gathering</w:t>
            </w:r>
          </w:p>
          <w:p w14:paraId="631E9577" w14:textId="45984826" w:rsidR="00F57AE3" w:rsidRPr="001570EA" w:rsidRDefault="00F57AE3" w:rsidP="000E490C">
            <w:pPr>
              <w:pStyle w:val="TableCell"/>
              <w:spacing w:before="60" w:after="60"/>
              <w:jc w:val="center"/>
            </w:pPr>
            <w:r w:rsidRPr="001570EA">
              <w:t>Default =</w:t>
            </w:r>
            <w:r w:rsidRPr="001570EA">
              <w:rPr>
                <w:b/>
                <w:bCs/>
              </w:rPr>
              <w:fldChar w:fldCharType="begin"/>
            </w:r>
            <w:r w:rsidRPr="001570EA">
              <w:instrText xml:space="preserve"> REF _Ref395116944 \h </w:instrText>
            </w:r>
            <w:r w:rsidR="001570EA">
              <w:rPr>
                <w:b/>
                <w:bCs/>
              </w:rPr>
              <w:instrText xml:space="preserve"> \* MERGEFORMAT </w:instrText>
            </w:r>
            <w:r w:rsidRPr="001570EA">
              <w:rPr>
                <w:b/>
                <w:bCs/>
              </w:rPr>
            </w:r>
            <w:r w:rsidRPr="001570EA">
              <w:rPr>
                <w:b/>
                <w:bCs/>
              </w:rPr>
              <w:fldChar w:fldCharType="separate"/>
            </w:r>
            <w:r w:rsidR="00384D95" w:rsidRPr="001570EA">
              <w:t xml:space="preserve">Table </w:t>
            </w:r>
            <w:r w:rsidR="00384D95" w:rsidRPr="001570EA">
              <w:rPr>
                <w:noProof/>
              </w:rPr>
              <w:t>2</w:t>
            </w:r>
            <w:r w:rsidR="00384D95" w:rsidRPr="001570EA">
              <w:noBreakHyphen/>
            </w:r>
            <w:r w:rsidR="00384D95" w:rsidRPr="001570EA">
              <w:rPr>
                <w:noProof/>
              </w:rPr>
              <w:t>5</w:t>
            </w:r>
            <w:r w:rsidRPr="001570EA">
              <w:rPr>
                <w:b/>
                <w:bCs/>
              </w:rPr>
              <w:fldChar w:fldCharType="end"/>
            </w:r>
          </w:p>
        </w:tc>
        <w:tc>
          <w:tcPr>
            <w:tcW w:w="1260" w:type="dxa"/>
            <w:vAlign w:val="center"/>
          </w:tcPr>
          <w:p w14:paraId="2758DF6E" w14:textId="21899303" w:rsidR="00F57AE3" w:rsidRPr="001570EA" w:rsidRDefault="00356D39" w:rsidP="00F57AE3">
            <w:pPr>
              <w:pStyle w:val="TableCell"/>
              <w:spacing w:before="60" w:after="60"/>
              <w:jc w:val="center"/>
            </w:pPr>
            <w:r w:rsidRPr="001570EA">
              <w:t>6</w:t>
            </w:r>
          </w:p>
        </w:tc>
      </w:tr>
      <w:tr w:rsidR="00F57AE3" w:rsidRPr="001570EA" w14:paraId="5FE6937D" w14:textId="77777777" w:rsidTr="00BD2C4C">
        <w:trPr>
          <w:trHeight w:val="317"/>
        </w:trPr>
        <w:tc>
          <w:tcPr>
            <w:tcW w:w="4117" w:type="dxa"/>
            <w:vAlign w:val="center"/>
          </w:tcPr>
          <w:p w14:paraId="41140D29" w14:textId="62908393" w:rsidR="00F57AE3" w:rsidRPr="001570EA" w:rsidRDefault="00F57AE3" w:rsidP="00F57AE3">
            <w:pPr>
              <w:pStyle w:val="TableCell"/>
              <w:keepNext w:val="0"/>
              <w:spacing w:before="60" w:after="60"/>
              <w:jc w:val="left"/>
            </w:pPr>
            <w:r w:rsidRPr="001570EA">
              <w:rPr>
                <w:i/>
              </w:rPr>
              <w:t>ISR</w:t>
            </w:r>
            <w:r w:rsidRPr="001570EA">
              <w:t xml:space="preserve">, </w:t>
            </w:r>
            <w:r w:rsidRPr="001570EA">
              <w:rPr>
                <w:rFonts w:cs="Arial"/>
              </w:rPr>
              <w:t>In-service rate per incented product for residential use</w:t>
            </w:r>
          </w:p>
        </w:tc>
        <w:tc>
          <w:tcPr>
            <w:tcW w:w="1260" w:type="dxa"/>
            <w:vAlign w:val="center"/>
          </w:tcPr>
          <w:p w14:paraId="3949B82F" w14:textId="77777777" w:rsidR="00F57AE3" w:rsidRPr="001570EA" w:rsidRDefault="00F57AE3" w:rsidP="00F57AE3">
            <w:pPr>
              <w:pStyle w:val="TableCell"/>
              <w:spacing w:before="60" w:after="60"/>
              <w:jc w:val="center"/>
              <w:rPr>
                <w:i/>
              </w:rPr>
            </w:pPr>
            <w:r w:rsidRPr="001570EA">
              <w:rPr>
                <w:i/>
              </w:rPr>
              <w:t>%</w:t>
            </w:r>
          </w:p>
        </w:tc>
        <w:tc>
          <w:tcPr>
            <w:tcW w:w="2070" w:type="dxa"/>
            <w:vAlign w:val="center"/>
          </w:tcPr>
          <w:p w14:paraId="4962F7B7" w14:textId="77777777" w:rsidR="00F57AE3" w:rsidRPr="001570EA" w:rsidRDefault="00F57AE3" w:rsidP="00F57AE3">
            <w:pPr>
              <w:pStyle w:val="TableCell"/>
              <w:spacing w:before="60" w:after="60"/>
              <w:jc w:val="center"/>
            </w:pPr>
            <w:r w:rsidRPr="001570EA">
              <w:t>Direct Install: 100%</w:t>
            </w:r>
          </w:p>
          <w:p w14:paraId="5C2BB831" w14:textId="422D02B2" w:rsidR="00F57AE3" w:rsidRPr="001570EA" w:rsidRDefault="00F57AE3" w:rsidP="00F57AE3">
            <w:pPr>
              <w:pStyle w:val="TableCell"/>
              <w:spacing w:before="60" w:after="60"/>
              <w:jc w:val="center"/>
            </w:pPr>
            <w:r w:rsidRPr="001570EA">
              <w:t>All other program deliver</w:t>
            </w:r>
            <w:r w:rsidR="00A56FFF" w:rsidRPr="001570EA">
              <w:t>y</w:t>
            </w:r>
            <w:r w:rsidRPr="001570EA">
              <w:t>: EDC Data Gathering</w:t>
            </w:r>
            <w:r w:rsidRPr="001570EA">
              <w:rPr>
                <w:rStyle w:val="FootnoteReference"/>
              </w:rPr>
              <w:footnoteReference w:id="2"/>
            </w:r>
            <w:r w:rsidRPr="001570EA">
              <w:t xml:space="preserve"> </w:t>
            </w:r>
          </w:p>
        </w:tc>
        <w:tc>
          <w:tcPr>
            <w:tcW w:w="1260" w:type="dxa"/>
            <w:vAlign w:val="center"/>
          </w:tcPr>
          <w:p w14:paraId="144616D5" w14:textId="53CD3E7B" w:rsidR="00F57AE3" w:rsidRPr="001570EA" w:rsidRDefault="00F57AE3" w:rsidP="00F57AE3">
            <w:pPr>
              <w:pStyle w:val="TableCell"/>
              <w:spacing w:before="60" w:after="60"/>
              <w:jc w:val="center"/>
            </w:pPr>
            <w:r w:rsidRPr="001570EA">
              <w:rPr>
                <w:szCs w:val="18"/>
              </w:rPr>
              <w:t>EDC Data Gathering</w:t>
            </w:r>
            <w:r w:rsidRPr="001570EA" w:rsidDel="00EF4E52">
              <w:t xml:space="preserve"> </w:t>
            </w:r>
          </w:p>
        </w:tc>
      </w:tr>
      <w:tr w:rsidR="00F57AE3" w:rsidRPr="001570EA" w14:paraId="24130BF8" w14:textId="77777777" w:rsidTr="00BD2C4C">
        <w:trPr>
          <w:trHeight w:val="317"/>
        </w:trPr>
        <w:tc>
          <w:tcPr>
            <w:tcW w:w="4117" w:type="dxa"/>
            <w:vAlign w:val="center"/>
          </w:tcPr>
          <w:p w14:paraId="516F7653" w14:textId="4FB2F146" w:rsidR="00F57AE3" w:rsidRPr="001570EA" w:rsidRDefault="00F57AE3" w:rsidP="00F57AE3">
            <w:pPr>
              <w:pStyle w:val="TableCell"/>
              <w:keepNext w:val="0"/>
              <w:spacing w:before="60" w:after="60"/>
              <w:jc w:val="left"/>
              <w:rPr>
                <w:i/>
              </w:rPr>
            </w:pPr>
            <w:r w:rsidRPr="001570EA">
              <w:rPr>
                <w:i/>
              </w:rPr>
              <w:t>CF</w:t>
            </w:r>
            <w:r w:rsidR="00E416BF" w:rsidRPr="001570EA">
              <w:rPr>
                <w:i/>
                <w:vertAlign w:val="subscript"/>
              </w:rPr>
              <w:t>s</w:t>
            </w:r>
            <w:r w:rsidRPr="001570EA">
              <w:t xml:space="preserve">, </w:t>
            </w:r>
            <w:r w:rsidR="00131C48" w:rsidRPr="001570EA">
              <w:rPr>
                <w:rFonts w:cs="Arial"/>
              </w:rPr>
              <w:t xml:space="preserve">Summer </w:t>
            </w:r>
            <w:r w:rsidRPr="001570EA">
              <w:rPr>
                <w:rFonts w:cs="Arial"/>
              </w:rPr>
              <w:t>Coincidence Factor</w:t>
            </w:r>
          </w:p>
        </w:tc>
        <w:tc>
          <w:tcPr>
            <w:tcW w:w="1260" w:type="dxa"/>
            <w:vAlign w:val="center"/>
          </w:tcPr>
          <w:p w14:paraId="3C1B30FC" w14:textId="1EDEE46C" w:rsidR="00F57AE3" w:rsidRPr="001570EA" w:rsidRDefault="00B367BB" w:rsidP="00F57AE3">
            <w:pPr>
              <w:pStyle w:val="TableCell"/>
              <w:spacing w:before="60" w:after="60"/>
              <w:jc w:val="center"/>
              <w:rPr>
                <w:i/>
              </w:rPr>
            </w:pPr>
            <w:r w:rsidRPr="001570EA">
              <w:rPr>
                <w:i/>
              </w:rPr>
              <w:t>None</w:t>
            </w:r>
          </w:p>
        </w:tc>
        <w:tc>
          <w:tcPr>
            <w:tcW w:w="2070" w:type="dxa"/>
            <w:vAlign w:val="center"/>
          </w:tcPr>
          <w:p w14:paraId="7A32FD6C" w14:textId="67EDBC7A" w:rsidR="00F57AE3" w:rsidRPr="001570EA" w:rsidRDefault="00AC02C1" w:rsidP="00F57AE3">
            <w:pPr>
              <w:pStyle w:val="TableCell"/>
              <w:spacing w:before="60" w:after="60"/>
              <w:jc w:val="center"/>
            </w:pPr>
            <w:r w:rsidRPr="001570EA">
              <w:rPr>
                <w:szCs w:val="18"/>
              </w:rPr>
              <w:t>0.101</w:t>
            </w:r>
          </w:p>
        </w:tc>
        <w:tc>
          <w:tcPr>
            <w:tcW w:w="1260" w:type="dxa"/>
            <w:vAlign w:val="center"/>
          </w:tcPr>
          <w:p w14:paraId="11311C30" w14:textId="7A55395A" w:rsidR="00F57AE3" w:rsidRPr="001570EA" w:rsidRDefault="00356D39" w:rsidP="00F57AE3">
            <w:pPr>
              <w:pStyle w:val="TableCell"/>
              <w:spacing w:before="60" w:after="60"/>
              <w:jc w:val="center"/>
            </w:pPr>
            <w:r w:rsidRPr="001570EA">
              <w:t>5</w:t>
            </w:r>
          </w:p>
        </w:tc>
      </w:tr>
      <w:tr w:rsidR="00131C48" w:rsidRPr="001570EA" w14:paraId="064F4DD7" w14:textId="77777777" w:rsidTr="00BD2C4C">
        <w:trPr>
          <w:trHeight w:val="317"/>
        </w:trPr>
        <w:tc>
          <w:tcPr>
            <w:tcW w:w="4117" w:type="dxa"/>
            <w:vAlign w:val="center"/>
          </w:tcPr>
          <w:p w14:paraId="0E5C814A" w14:textId="5A7E5636" w:rsidR="00131C48" w:rsidRPr="001570EA" w:rsidRDefault="00131C48" w:rsidP="00131C48">
            <w:pPr>
              <w:pStyle w:val="TableCell"/>
              <w:keepNext w:val="0"/>
              <w:spacing w:before="60" w:after="60"/>
              <w:jc w:val="left"/>
              <w:rPr>
                <w:i/>
              </w:rPr>
            </w:pPr>
            <w:r w:rsidRPr="001570EA">
              <w:rPr>
                <w:i/>
              </w:rPr>
              <w:t>CF</w:t>
            </w:r>
            <w:r w:rsidRPr="001570EA">
              <w:rPr>
                <w:i/>
                <w:vertAlign w:val="subscript"/>
              </w:rPr>
              <w:t xml:space="preserve">w , </w:t>
            </w:r>
            <w:r w:rsidRPr="001570EA">
              <w:rPr>
                <w:iCs/>
              </w:rPr>
              <w:t>Winter coincidence factor</w:t>
            </w:r>
          </w:p>
        </w:tc>
        <w:tc>
          <w:tcPr>
            <w:tcW w:w="1260" w:type="dxa"/>
            <w:vAlign w:val="center"/>
          </w:tcPr>
          <w:p w14:paraId="0DD8BE11" w14:textId="3BBE48DC" w:rsidR="00131C48" w:rsidRPr="001570EA" w:rsidRDefault="00131C48" w:rsidP="00131C48">
            <w:pPr>
              <w:pStyle w:val="TableCell"/>
              <w:spacing w:before="60" w:after="60"/>
              <w:jc w:val="center"/>
              <w:rPr>
                <w:i/>
              </w:rPr>
            </w:pPr>
            <w:r w:rsidRPr="001570EA">
              <w:rPr>
                <w:i/>
              </w:rPr>
              <w:t>None</w:t>
            </w:r>
          </w:p>
        </w:tc>
        <w:tc>
          <w:tcPr>
            <w:tcW w:w="2070" w:type="dxa"/>
            <w:vAlign w:val="center"/>
          </w:tcPr>
          <w:p w14:paraId="4F003EE8" w14:textId="0DFDE156" w:rsidR="00131C48" w:rsidRPr="001570EA" w:rsidRDefault="00131C48" w:rsidP="00131C48">
            <w:pPr>
              <w:pStyle w:val="TableCell"/>
              <w:spacing w:before="60" w:after="60"/>
              <w:jc w:val="center"/>
            </w:pPr>
            <w:r w:rsidRPr="001570EA">
              <w:t>0.121</w:t>
            </w:r>
          </w:p>
        </w:tc>
        <w:tc>
          <w:tcPr>
            <w:tcW w:w="1260" w:type="dxa"/>
            <w:vAlign w:val="center"/>
          </w:tcPr>
          <w:p w14:paraId="577A34FA" w14:textId="4B5B6B96" w:rsidR="00131C48" w:rsidRPr="001570EA" w:rsidDel="002C1EC4" w:rsidRDefault="00356D39" w:rsidP="00131C48">
            <w:pPr>
              <w:pStyle w:val="TableCell"/>
              <w:spacing w:before="60" w:after="60"/>
              <w:jc w:val="center"/>
            </w:pPr>
            <w:r w:rsidRPr="001570EA">
              <w:t>5</w:t>
            </w:r>
          </w:p>
        </w:tc>
      </w:tr>
      <w:tr w:rsidR="00F57AE3" w:rsidRPr="001570EA" w14:paraId="251B04DD" w14:textId="77777777" w:rsidTr="00BD2C4C">
        <w:trPr>
          <w:trHeight w:val="317"/>
        </w:trPr>
        <w:tc>
          <w:tcPr>
            <w:tcW w:w="4117" w:type="dxa"/>
            <w:vAlign w:val="center"/>
          </w:tcPr>
          <w:p w14:paraId="3C407104" w14:textId="61403CF8" w:rsidR="00F57AE3" w:rsidRPr="001570EA" w:rsidRDefault="00F57AE3" w:rsidP="00F57AE3">
            <w:pPr>
              <w:pStyle w:val="TableCell"/>
              <w:keepNext w:val="0"/>
              <w:spacing w:before="60" w:after="60"/>
              <w:jc w:val="left"/>
              <w:rPr>
                <w:i/>
                <w:strike/>
              </w:rPr>
            </w:pPr>
            <w:r w:rsidRPr="001570EA">
              <w:rPr>
                <w:i/>
                <w:szCs w:val="18"/>
              </w:rPr>
              <w:t>Lumens</w:t>
            </w:r>
            <w:r w:rsidRPr="001570EA">
              <w:rPr>
                <w:i/>
                <w:szCs w:val="18"/>
                <w:vertAlign w:val="subscript"/>
              </w:rPr>
              <w:t>ee</w:t>
            </w:r>
            <w:r w:rsidRPr="001570EA">
              <w:rPr>
                <w:i/>
                <w:szCs w:val="18"/>
              </w:rPr>
              <w:t xml:space="preserve">, </w:t>
            </w:r>
            <w:r w:rsidRPr="001570EA">
              <w:rPr>
                <w:iCs/>
                <w:szCs w:val="18"/>
              </w:rPr>
              <w:t>Lumen rating of the incentivized lighting product</w:t>
            </w:r>
          </w:p>
        </w:tc>
        <w:tc>
          <w:tcPr>
            <w:tcW w:w="1260" w:type="dxa"/>
            <w:vAlign w:val="center"/>
          </w:tcPr>
          <w:p w14:paraId="0F3C8038" w14:textId="786FEF1A" w:rsidR="00F57AE3" w:rsidRPr="001570EA" w:rsidRDefault="00F57AE3" w:rsidP="00F57AE3">
            <w:pPr>
              <w:pStyle w:val="TableCell"/>
              <w:spacing w:before="60" w:after="60"/>
              <w:jc w:val="center"/>
              <w:rPr>
                <w:i/>
                <w:strike/>
              </w:rPr>
            </w:pPr>
            <w:r w:rsidRPr="001570EA">
              <w:rPr>
                <w:i/>
                <w:szCs w:val="18"/>
              </w:rPr>
              <w:t>Lumens</w:t>
            </w:r>
          </w:p>
        </w:tc>
        <w:tc>
          <w:tcPr>
            <w:tcW w:w="2070" w:type="dxa"/>
            <w:vAlign w:val="center"/>
          </w:tcPr>
          <w:p w14:paraId="1F0FAF0D" w14:textId="79349FB1" w:rsidR="00F57AE3" w:rsidRPr="001570EA" w:rsidRDefault="00F57AE3" w:rsidP="00F57AE3">
            <w:pPr>
              <w:pStyle w:val="TableCell"/>
              <w:spacing w:before="60" w:after="60"/>
              <w:jc w:val="center"/>
              <w:rPr>
                <w:strike/>
              </w:rPr>
            </w:pPr>
            <w:r w:rsidRPr="001570EA">
              <w:rPr>
                <w:szCs w:val="18"/>
              </w:rPr>
              <w:t>EDC Data Gathering</w:t>
            </w:r>
          </w:p>
        </w:tc>
        <w:tc>
          <w:tcPr>
            <w:tcW w:w="1260" w:type="dxa"/>
            <w:vAlign w:val="center"/>
          </w:tcPr>
          <w:p w14:paraId="37BB3CDF" w14:textId="72DF5530" w:rsidR="00F57AE3" w:rsidRPr="001570EA" w:rsidRDefault="00F57AE3" w:rsidP="00F57AE3">
            <w:pPr>
              <w:pStyle w:val="TableCell"/>
              <w:spacing w:before="60" w:after="60"/>
              <w:jc w:val="center"/>
              <w:rPr>
                <w:strike/>
              </w:rPr>
            </w:pPr>
            <w:r w:rsidRPr="001570EA">
              <w:rPr>
                <w:szCs w:val="18"/>
              </w:rPr>
              <w:t>EDC Data Gathering</w:t>
            </w:r>
          </w:p>
        </w:tc>
      </w:tr>
      <w:tr w:rsidR="00F57AE3" w:rsidRPr="001570EA" w14:paraId="57562580" w14:textId="77777777" w:rsidTr="00BD2C4C">
        <w:trPr>
          <w:trHeight w:val="317"/>
        </w:trPr>
        <w:tc>
          <w:tcPr>
            <w:tcW w:w="4117" w:type="dxa"/>
            <w:vAlign w:val="center"/>
          </w:tcPr>
          <w:p w14:paraId="5EDE9BE8" w14:textId="4CFABF0E" w:rsidR="00F57AE3" w:rsidRPr="001570EA" w:rsidRDefault="00F57AE3" w:rsidP="00F57AE3">
            <w:pPr>
              <w:pStyle w:val="TableCell"/>
              <w:keepNext w:val="0"/>
              <w:spacing w:before="60" w:after="60"/>
              <w:jc w:val="left"/>
              <w:rPr>
                <w:i/>
                <w:strike/>
              </w:rPr>
            </w:pPr>
            <w:r w:rsidRPr="001570EA">
              <w:rPr>
                <w:i/>
                <w:szCs w:val="18"/>
              </w:rPr>
              <w:t>Efficacy</w:t>
            </w:r>
            <w:r w:rsidRPr="001570EA">
              <w:rPr>
                <w:i/>
                <w:szCs w:val="18"/>
                <w:vertAlign w:val="subscript"/>
              </w:rPr>
              <w:t>base</w:t>
            </w:r>
            <w:r w:rsidRPr="001570EA">
              <w:rPr>
                <w:i/>
                <w:szCs w:val="18"/>
              </w:rPr>
              <w:t xml:space="preserve">, </w:t>
            </w:r>
            <w:r w:rsidRPr="001570EA">
              <w:rPr>
                <w:iCs/>
                <w:szCs w:val="18"/>
              </w:rPr>
              <w:t>Efficacy of the baseline fixture type for linear fluorescents</w:t>
            </w:r>
          </w:p>
        </w:tc>
        <w:tc>
          <w:tcPr>
            <w:tcW w:w="1260" w:type="dxa"/>
            <w:vAlign w:val="center"/>
          </w:tcPr>
          <w:p w14:paraId="1D100ACB" w14:textId="6F93E70C" w:rsidR="00F57AE3" w:rsidRPr="001570EA" w:rsidRDefault="00F57AE3" w:rsidP="00F57AE3">
            <w:pPr>
              <w:pStyle w:val="TableCell"/>
              <w:spacing w:before="60" w:after="60"/>
              <w:jc w:val="center"/>
              <w:rPr>
                <w:i/>
                <w:strike/>
              </w:rPr>
            </w:pPr>
            <w:r w:rsidRPr="001570EA">
              <w:rPr>
                <w:i/>
                <w:szCs w:val="18"/>
              </w:rPr>
              <w:t>Lumens/watt</w:t>
            </w:r>
          </w:p>
        </w:tc>
        <w:tc>
          <w:tcPr>
            <w:tcW w:w="2070" w:type="dxa"/>
            <w:vAlign w:val="center"/>
          </w:tcPr>
          <w:p w14:paraId="0B7ADCB9" w14:textId="7E14A1A8" w:rsidR="00F57AE3" w:rsidRPr="001570EA" w:rsidRDefault="00EB4532" w:rsidP="00F57AE3">
            <w:pPr>
              <w:pStyle w:val="TableCell"/>
              <w:spacing w:before="60" w:after="60"/>
              <w:jc w:val="center"/>
              <w:rPr>
                <w:strike/>
              </w:rPr>
            </w:pPr>
            <w:r w:rsidRPr="001570EA">
              <w:rPr>
                <w:szCs w:val="18"/>
              </w:rPr>
              <w:fldChar w:fldCharType="begin"/>
            </w:r>
            <w:r w:rsidRPr="001570EA">
              <w:rPr>
                <w:szCs w:val="18"/>
              </w:rPr>
              <w:instrText xml:space="preserve"> REF _Ref157507593 \h </w:instrText>
            </w:r>
            <w:r w:rsidR="001570EA">
              <w:rPr>
                <w:szCs w:val="18"/>
              </w:rPr>
              <w:instrText xml:space="preserve"> \* MERGEFORMAT </w:instrText>
            </w:r>
            <w:r w:rsidRPr="001570EA">
              <w:rPr>
                <w:szCs w:val="18"/>
              </w:rPr>
            </w:r>
            <w:r w:rsidRPr="001570EA">
              <w:rPr>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3</w:t>
            </w:r>
            <w:r w:rsidRPr="001570EA">
              <w:rPr>
                <w:szCs w:val="18"/>
              </w:rPr>
              <w:fldChar w:fldCharType="end"/>
            </w:r>
            <w:r w:rsidR="00F57AE3" w:rsidRPr="001570EA">
              <w:rPr>
                <w:szCs w:val="18"/>
              </w:rPr>
              <w:t xml:space="preserve"> </w:t>
            </w:r>
            <w:r w:rsidR="00F57AE3" w:rsidRPr="001570EA">
              <w:rPr>
                <w:strike/>
              </w:rPr>
              <w:t xml:space="preserve"> </w:t>
            </w:r>
          </w:p>
        </w:tc>
        <w:tc>
          <w:tcPr>
            <w:tcW w:w="1260" w:type="dxa"/>
            <w:vAlign w:val="center"/>
          </w:tcPr>
          <w:p w14:paraId="037269EC" w14:textId="1DE281F0" w:rsidR="00F57AE3" w:rsidRPr="001570EA" w:rsidRDefault="0077727E" w:rsidP="00F57AE3">
            <w:pPr>
              <w:pStyle w:val="TableCell"/>
              <w:spacing w:before="60" w:after="60"/>
              <w:jc w:val="center"/>
              <w:rPr>
                <w:strike/>
              </w:rPr>
            </w:pPr>
            <w:r w:rsidRPr="001570EA">
              <w:rPr>
                <w:rFonts w:cs="Arial"/>
                <w:szCs w:val="18"/>
              </w:rPr>
              <w:t>8, 9</w:t>
            </w:r>
          </w:p>
        </w:tc>
      </w:tr>
    </w:tbl>
    <w:p w14:paraId="06943F30" w14:textId="77777777" w:rsidR="00FA5174" w:rsidRPr="001570EA" w:rsidRDefault="00FA5174" w:rsidP="00FA5174"/>
    <w:p w14:paraId="0048BE54" w14:textId="77777777" w:rsidR="00FA5174" w:rsidRPr="001570EA" w:rsidRDefault="00FA5174" w:rsidP="00FA5174">
      <w:pPr>
        <w:pStyle w:val="SubStyle"/>
      </w:pPr>
      <w:r w:rsidRPr="001570EA">
        <w:t>Variable Input Values</w:t>
      </w:r>
    </w:p>
    <w:p w14:paraId="01BA3E3D" w14:textId="231D3E5D" w:rsidR="00FA5174" w:rsidRPr="001570EA" w:rsidRDefault="00FA5174" w:rsidP="00FA5174">
      <w:pPr>
        <w:pStyle w:val="3ptheading"/>
      </w:pPr>
      <w:r w:rsidRPr="001570EA">
        <w:t>Baseline Wattage Values</w:t>
      </w:r>
      <w:r w:rsidR="002718D6" w:rsidRPr="001570EA">
        <w:t xml:space="preserve">, </w:t>
      </w:r>
      <w:r w:rsidR="002931D3" w:rsidRPr="001570EA">
        <w:t>Linear LEDs</w:t>
      </w:r>
    </w:p>
    <w:p w14:paraId="0D507865" w14:textId="788AB1A6" w:rsidR="002718D6" w:rsidRPr="001570EA" w:rsidRDefault="002718D6" w:rsidP="00FA5174">
      <w:pPr>
        <w:spacing w:after="120"/>
      </w:pPr>
      <w:r w:rsidRPr="001570EA">
        <w:t xml:space="preserve">For </w:t>
      </w:r>
      <w:r w:rsidR="002931D3" w:rsidRPr="001570EA">
        <w:t>linear LEDs</w:t>
      </w:r>
      <w:r w:rsidRPr="001570EA">
        <w:t>, baseline wattage is the least-efficient, commercially-available, commonly-installed technology available in the market</w:t>
      </w:r>
      <w:r w:rsidR="000D1EF5" w:rsidRPr="001570EA">
        <w:t xml:space="preserve">. </w:t>
      </w:r>
      <w:r w:rsidR="00781048" w:rsidRPr="001570EA">
        <w:t>Linear LED baseline wattage (</w:t>
      </w:r>
      <w:r w:rsidR="000D1EF5" w:rsidRPr="001570EA">
        <w:t>Watts</w:t>
      </w:r>
      <w:r w:rsidR="000D1EF5" w:rsidRPr="001570EA">
        <w:rPr>
          <w:vertAlign w:val="subscript"/>
        </w:rPr>
        <w:t>base</w:t>
      </w:r>
      <w:r w:rsidR="00781048" w:rsidRPr="001570EA">
        <w:t xml:space="preserve">) </w:t>
      </w:r>
      <w:r w:rsidR="00AB3E07" w:rsidRPr="001570EA">
        <w:t xml:space="preserve">is calculated by dividing </w:t>
      </w:r>
      <w:r w:rsidR="002942CE" w:rsidRPr="001570EA">
        <w:t>Lumens</w:t>
      </w:r>
      <w:r w:rsidR="002942CE" w:rsidRPr="001570EA">
        <w:rPr>
          <w:vertAlign w:val="subscript"/>
        </w:rPr>
        <w:t>ee</w:t>
      </w:r>
      <w:r w:rsidR="007F7C69" w:rsidRPr="001570EA">
        <w:t xml:space="preserve"> by Efficacy</w:t>
      </w:r>
      <w:r w:rsidR="007F7C69" w:rsidRPr="001570EA">
        <w:rPr>
          <w:vertAlign w:val="subscript"/>
        </w:rPr>
        <w:t>base</w:t>
      </w:r>
      <w:r w:rsidR="002931D3" w:rsidRPr="001570EA">
        <w:t xml:space="preserve"> (</w:t>
      </w:r>
      <w:r w:rsidR="007F7C69" w:rsidRPr="001570EA">
        <w:fldChar w:fldCharType="begin"/>
      </w:r>
      <w:r w:rsidR="007F7C69" w:rsidRPr="001570EA">
        <w:instrText xml:space="preserve"> REF _Ref157507593 \h </w:instrText>
      </w:r>
      <w:r w:rsidR="001570EA">
        <w:instrText xml:space="preserve"> \* MERGEFORMAT </w:instrText>
      </w:r>
      <w:r w:rsidR="007F7C69" w:rsidRPr="001570EA">
        <w:fldChar w:fldCharType="separate"/>
      </w:r>
      <w:r w:rsidR="00384D95" w:rsidRPr="001570EA">
        <w:t xml:space="preserve">Table </w:t>
      </w:r>
      <w:r w:rsidR="00384D95" w:rsidRPr="001570EA">
        <w:rPr>
          <w:noProof/>
        </w:rPr>
        <w:t>2</w:t>
      </w:r>
      <w:r w:rsidR="00384D95" w:rsidRPr="001570EA">
        <w:noBreakHyphen/>
      </w:r>
      <w:r w:rsidR="00384D95" w:rsidRPr="001570EA">
        <w:rPr>
          <w:noProof/>
        </w:rPr>
        <w:t>3</w:t>
      </w:r>
      <w:r w:rsidR="007F7C69" w:rsidRPr="001570EA">
        <w:fldChar w:fldCharType="end"/>
      </w:r>
      <w:r w:rsidR="002931D3" w:rsidRPr="001570EA">
        <w:t>)</w:t>
      </w:r>
      <w:r w:rsidRPr="001570EA">
        <w:t>.</w:t>
      </w:r>
    </w:p>
    <w:p w14:paraId="6095D317" w14:textId="77777777" w:rsidR="00FA5174" w:rsidRPr="001570EA" w:rsidRDefault="00FA5174" w:rsidP="00FA5174">
      <w:pPr>
        <w:rPr>
          <w:rFonts w:eastAsiaTheme="minorHAnsi"/>
        </w:rPr>
      </w:pPr>
    </w:p>
    <w:p w14:paraId="41420938" w14:textId="2907B325" w:rsidR="00C160B4" w:rsidRPr="001570EA" w:rsidRDefault="00C160B4" w:rsidP="008A6654">
      <w:pPr>
        <w:pStyle w:val="Caption"/>
        <w:rPr>
          <w:rFonts w:eastAsiaTheme="minorHAnsi"/>
        </w:rPr>
      </w:pPr>
      <w:bookmarkStart w:id="36" w:name="_Ref15750759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3</w:t>
      </w:r>
      <w:r w:rsidR="002E093A" w:rsidRPr="001570EA">
        <w:fldChar w:fldCharType="end"/>
      </w:r>
      <w:bookmarkEnd w:id="36"/>
      <w:r w:rsidRPr="001570EA">
        <w:t>: Baseline Wattage, Linear Lamps &amp; Fixtures</w:t>
      </w:r>
    </w:p>
    <w:tbl>
      <w:tblPr>
        <w:tblW w:w="3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33"/>
        <w:gridCol w:w="1749"/>
      </w:tblGrid>
      <w:tr w:rsidR="002F20A5" w:rsidRPr="001570EA" w14:paraId="7143037D" w14:textId="77777777" w:rsidTr="008A6654">
        <w:trPr>
          <w:trHeight w:val="576"/>
          <w:tblHeader/>
        </w:trPr>
        <w:tc>
          <w:tcPr>
            <w:tcW w:w="3729" w:type="pct"/>
            <w:shd w:val="clear" w:color="auto" w:fill="BFBFBF" w:themeFill="background1" w:themeFillShade="BF"/>
            <w:vAlign w:val="center"/>
            <w:hideMark/>
          </w:tcPr>
          <w:p w14:paraId="4AB9F119" w14:textId="77777777" w:rsidR="002F20A5" w:rsidRPr="001570EA" w:rsidRDefault="002F20A5">
            <w:pPr>
              <w:keepNext/>
              <w:spacing w:before="60" w:after="60"/>
              <w:jc w:val="left"/>
              <w:rPr>
                <w:rFonts w:cs="Arial"/>
                <w:b/>
                <w:bCs/>
                <w:color w:val="000000"/>
                <w:sz w:val="18"/>
                <w:szCs w:val="18"/>
              </w:rPr>
            </w:pPr>
            <w:r w:rsidRPr="001570EA">
              <w:rPr>
                <w:rFonts w:cs="Arial"/>
                <w:b/>
                <w:bCs/>
                <w:color w:val="000000"/>
                <w:sz w:val="18"/>
                <w:szCs w:val="18"/>
              </w:rPr>
              <w:t>Efficient Lamp or Fixture</w:t>
            </w:r>
          </w:p>
        </w:tc>
        <w:tc>
          <w:tcPr>
            <w:tcW w:w="1271" w:type="pct"/>
            <w:shd w:val="clear" w:color="auto" w:fill="BFBFBF" w:themeFill="background1" w:themeFillShade="BF"/>
            <w:vAlign w:val="center"/>
            <w:hideMark/>
          </w:tcPr>
          <w:p w14:paraId="5A633368" w14:textId="77777777" w:rsidR="002F20A5" w:rsidRPr="001570EA" w:rsidRDefault="002F20A5">
            <w:pPr>
              <w:keepNext/>
              <w:spacing w:before="60" w:after="60"/>
              <w:jc w:val="center"/>
              <w:rPr>
                <w:rFonts w:cs="Arial"/>
                <w:b/>
                <w:bCs/>
                <w:color w:val="000000"/>
                <w:sz w:val="18"/>
                <w:szCs w:val="18"/>
              </w:rPr>
            </w:pPr>
            <w:r w:rsidRPr="001570EA">
              <w:rPr>
                <w:rFonts w:cs="Arial"/>
                <w:b/>
                <w:bCs/>
                <w:color w:val="000000"/>
                <w:sz w:val="18"/>
                <w:szCs w:val="18"/>
              </w:rPr>
              <w:t>Efficacy</w:t>
            </w:r>
            <w:r w:rsidRPr="001570EA">
              <w:rPr>
                <w:rFonts w:cs="Arial"/>
                <w:b/>
                <w:bCs/>
                <w:color w:val="000000"/>
                <w:sz w:val="18"/>
                <w:szCs w:val="18"/>
                <w:vertAlign w:val="subscript"/>
              </w:rPr>
              <w:t>base</w:t>
            </w:r>
            <w:r w:rsidRPr="001570EA">
              <w:rPr>
                <w:rFonts w:cs="Arial"/>
                <w:b/>
                <w:bCs/>
                <w:color w:val="000000"/>
                <w:sz w:val="18"/>
                <w:szCs w:val="18"/>
              </w:rPr>
              <w:br/>
              <w:t>(Lumens/watt)</w:t>
            </w:r>
          </w:p>
        </w:tc>
      </w:tr>
      <w:tr w:rsidR="002F20A5" w:rsidRPr="001570EA" w14:paraId="5C849818" w14:textId="77777777" w:rsidTr="008A6654">
        <w:trPr>
          <w:trHeight w:val="300"/>
        </w:trPr>
        <w:tc>
          <w:tcPr>
            <w:tcW w:w="3729" w:type="pct"/>
            <w:shd w:val="clear" w:color="auto" w:fill="auto"/>
            <w:vAlign w:val="center"/>
          </w:tcPr>
          <w:p w14:paraId="32E9BDB5" w14:textId="77777777" w:rsidR="002F20A5" w:rsidRPr="001570EA" w:rsidRDefault="002F20A5">
            <w:pPr>
              <w:keepNext/>
              <w:spacing w:before="60" w:after="60"/>
              <w:rPr>
                <w:rFonts w:cs="Arial"/>
                <w:color w:val="000000"/>
                <w:sz w:val="18"/>
                <w:szCs w:val="18"/>
              </w:rPr>
            </w:pPr>
            <w:r w:rsidRPr="001570EA">
              <w:rPr>
                <w:rFonts w:cs="Arial"/>
                <w:color w:val="000000"/>
                <w:sz w:val="18"/>
                <w:szCs w:val="18"/>
              </w:rPr>
              <w:t>Linear Lamps, Fixtures, and Retrofit Kits, 2 ft</w:t>
            </w:r>
          </w:p>
        </w:tc>
        <w:tc>
          <w:tcPr>
            <w:tcW w:w="1271" w:type="pct"/>
            <w:shd w:val="clear" w:color="auto" w:fill="auto"/>
          </w:tcPr>
          <w:p w14:paraId="4C1FA6CA" w14:textId="77777777" w:rsidR="002F20A5" w:rsidRPr="001570EA" w:rsidRDefault="002F20A5">
            <w:pPr>
              <w:keepNext/>
              <w:spacing w:before="60" w:after="60"/>
              <w:jc w:val="center"/>
              <w:rPr>
                <w:rFonts w:cs="Arial"/>
                <w:color w:val="000000"/>
                <w:sz w:val="18"/>
                <w:szCs w:val="18"/>
              </w:rPr>
            </w:pPr>
            <w:r w:rsidRPr="001570EA">
              <w:rPr>
                <w:sz w:val="18"/>
                <w:szCs w:val="18"/>
              </w:rPr>
              <w:t>67.4</w:t>
            </w:r>
          </w:p>
        </w:tc>
      </w:tr>
      <w:tr w:rsidR="002F20A5" w:rsidRPr="001570EA" w14:paraId="57D3C1F1" w14:textId="77777777" w:rsidTr="008A6654">
        <w:trPr>
          <w:trHeight w:val="268"/>
        </w:trPr>
        <w:tc>
          <w:tcPr>
            <w:tcW w:w="3729" w:type="pct"/>
            <w:shd w:val="clear" w:color="auto" w:fill="auto"/>
            <w:vAlign w:val="center"/>
            <w:hideMark/>
          </w:tcPr>
          <w:p w14:paraId="65CBB3FF" w14:textId="77777777" w:rsidR="002F20A5" w:rsidRPr="001570EA" w:rsidRDefault="002F20A5" w:rsidP="008723A6">
            <w:pPr>
              <w:keepNext/>
              <w:spacing w:before="60" w:after="60"/>
              <w:rPr>
                <w:rFonts w:cs="Arial"/>
                <w:color w:val="000000"/>
                <w:sz w:val="18"/>
                <w:szCs w:val="18"/>
              </w:rPr>
            </w:pPr>
            <w:r w:rsidRPr="001570EA">
              <w:rPr>
                <w:rFonts w:cs="Arial"/>
                <w:color w:val="000000"/>
                <w:sz w:val="18"/>
                <w:szCs w:val="18"/>
              </w:rPr>
              <w:t>Linear Lamps, Fixtures, and Retrofit Kits, 3 ft</w:t>
            </w:r>
          </w:p>
        </w:tc>
        <w:tc>
          <w:tcPr>
            <w:tcW w:w="1271" w:type="pct"/>
            <w:shd w:val="clear" w:color="auto" w:fill="auto"/>
            <w:hideMark/>
          </w:tcPr>
          <w:p w14:paraId="52C53153" w14:textId="77777777" w:rsidR="002F20A5" w:rsidRPr="001570EA" w:rsidRDefault="002F20A5" w:rsidP="008723A6">
            <w:pPr>
              <w:keepNext/>
              <w:spacing w:before="60" w:after="60"/>
              <w:jc w:val="center"/>
              <w:rPr>
                <w:rFonts w:cs="Arial"/>
                <w:color w:val="000000"/>
                <w:sz w:val="18"/>
                <w:szCs w:val="18"/>
              </w:rPr>
            </w:pPr>
            <w:r w:rsidRPr="001570EA">
              <w:rPr>
                <w:sz w:val="18"/>
                <w:szCs w:val="18"/>
              </w:rPr>
              <w:t>72.5</w:t>
            </w:r>
          </w:p>
        </w:tc>
      </w:tr>
      <w:tr w:rsidR="002F20A5" w:rsidRPr="001570EA" w14:paraId="341CC898" w14:textId="77777777" w:rsidTr="008A6654">
        <w:trPr>
          <w:trHeight w:val="315"/>
        </w:trPr>
        <w:tc>
          <w:tcPr>
            <w:tcW w:w="3729" w:type="pct"/>
            <w:shd w:val="clear" w:color="auto" w:fill="auto"/>
            <w:vAlign w:val="center"/>
            <w:hideMark/>
          </w:tcPr>
          <w:p w14:paraId="71C41716" w14:textId="77777777" w:rsidR="002F20A5" w:rsidRPr="001570EA" w:rsidRDefault="002F20A5" w:rsidP="008723A6">
            <w:pPr>
              <w:keepNext/>
              <w:spacing w:before="60" w:after="60"/>
              <w:rPr>
                <w:rFonts w:cs="Arial"/>
                <w:color w:val="000000"/>
                <w:sz w:val="18"/>
                <w:szCs w:val="18"/>
              </w:rPr>
            </w:pPr>
            <w:r w:rsidRPr="001570EA">
              <w:rPr>
                <w:rFonts w:cs="Arial"/>
                <w:color w:val="000000"/>
                <w:sz w:val="18"/>
                <w:szCs w:val="18"/>
              </w:rPr>
              <w:t>Linear Lamps, Fixtures, and Retrofit Kits, 4 ft</w:t>
            </w:r>
          </w:p>
        </w:tc>
        <w:tc>
          <w:tcPr>
            <w:tcW w:w="1271" w:type="pct"/>
            <w:shd w:val="clear" w:color="auto" w:fill="auto"/>
            <w:noWrap/>
            <w:hideMark/>
          </w:tcPr>
          <w:p w14:paraId="0AB68D59" w14:textId="77777777" w:rsidR="002F20A5" w:rsidRPr="001570EA" w:rsidRDefault="002F20A5" w:rsidP="008723A6">
            <w:pPr>
              <w:keepNext/>
              <w:spacing w:before="60" w:after="60"/>
              <w:jc w:val="center"/>
              <w:rPr>
                <w:rFonts w:cs="Arial"/>
                <w:color w:val="000000"/>
                <w:sz w:val="18"/>
                <w:szCs w:val="18"/>
              </w:rPr>
            </w:pPr>
            <w:r w:rsidRPr="001570EA">
              <w:rPr>
                <w:sz w:val="18"/>
                <w:szCs w:val="18"/>
              </w:rPr>
              <w:t>75.8</w:t>
            </w:r>
          </w:p>
        </w:tc>
      </w:tr>
      <w:tr w:rsidR="002F20A5" w:rsidRPr="001570EA" w14:paraId="06518CA8" w14:textId="77777777" w:rsidTr="008A6654">
        <w:trPr>
          <w:trHeight w:val="315"/>
        </w:trPr>
        <w:tc>
          <w:tcPr>
            <w:tcW w:w="3729" w:type="pct"/>
            <w:shd w:val="clear" w:color="auto" w:fill="auto"/>
            <w:vAlign w:val="center"/>
          </w:tcPr>
          <w:p w14:paraId="4F484D67" w14:textId="77777777" w:rsidR="002F20A5" w:rsidRPr="001570EA" w:rsidRDefault="002F20A5" w:rsidP="008723A6">
            <w:pPr>
              <w:keepNext/>
              <w:spacing w:before="60" w:after="60"/>
              <w:rPr>
                <w:rFonts w:eastAsia="Arial Unicode MS" w:cs="Arial"/>
                <w:color w:val="000000"/>
                <w:sz w:val="18"/>
                <w:szCs w:val="18"/>
              </w:rPr>
            </w:pPr>
            <w:r w:rsidRPr="001570EA">
              <w:rPr>
                <w:rFonts w:cs="Arial"/>
                <w:color w:val="000000"/>
                <w:sz w:val="18"/>
                <w:szCs w:val="18"/>
              </w:rPr>
              <w:t>Linear Lamps, Fixtures, and Retrofit Kits, 5 ft</w:t>
            </w:r>
          </w:p>
        </w:tc>
        <w:tc>
          <w:tcPr>
            <w:tcW w:w="1271" w:type="pct"/>
            <w:shd w:val="clear" w:color="auto" w:fill="auto"/>
            <w:noWrap/>
            <w:vAlign w:val="center"/>
          </w:tcPr>
          <w:p w14:paraId="23CE4E9F" w14:textId="77777777" w:rsidR="002F20A5" w:rsidRPr="001570EA" w:rsidRDefault="002F20A5" w:rsidP="008723A6">
            <w:pPr>
              <w:keepNext/>
              <w:spacing w:before="60" w:after="60"/>
              <w:jc w:val="center"/>
              <w:rPr>
                <w:rFonts w:eastAsia="Arial Unicode MS" w:cs="Arial"/>
                <w:color w:val="000000"/>
                <w:sz w:val="18"/>
                <w:szCs w:val="18"/>
              </w:rPr>
            </w:pPr>
            <w:r w:rsidRPr="001570EA">
              <w:rPr>
                <w:rFonts w:cs="Arial"/>
                <w:color w:val="000000"/>
                <w:sz w:val="18"/>
                <w:szCs w:val="18"/>
              </w:rPr>
              <w:t>80.4</w:t>
            </w:r>
          </w:p>
        </w:tc>
      </w:tr>
      <w:tr w:rsidR="002F20A5" w:rsidRPr="001570EA" w14:paraId="197705A5" w14:textId="77777777" w:rsidTr="008A6654">
        <w:trPr>
          <w:trHeight w:val="315"/>
        </w:trPr>
        <w:tc>
          <w:tcPr>
            <w:tcW w:w="3729" w:type="pct"/>
            <w:shd w:val="clear" w:color="auto" w:fill="auto"/>
            <w:vAlign w:val="center"/>
          </w:tcPr>
          <w:p w14:paraId="018DC85A" w14:textId="77777777" w:rsidR="002F20A5" w:rsidRPr="001570EA" w:rsidRDefault="002F20A5" w:rsidP="008723A6">
            <w:pPr>
              <w:keepNext/>
              <w:spacing w:before="60" w:after="60"/>
              <w:rPr>
                <w:rFonts w:cs="Arial"/>
                <w:color w:val="000000"/>
                <w:sz w:val="18"/>
                <w:szCs w:val="18"/>
              </w:rPr>
            </w:pPr>
            <w:r w:rsidRPr="001570EA">
              <w:rPr>
                <w:rFonts w:cs="Arial"/>
                <w:color w:val="000000"/>
                <w:sz w:val="18"/>
                <w:szCs w:val="18"/>
              </w:rPr>
              <w:t>Linear Lamps, Fixtures, and Retrofit Kits, 8 ft</w:t>
            </w:r>
          </w:p>
        </w:tc>
        <w:tc>
          <w:tcPr>
            <w:tcW w:w="1271" w:type="pct"/>
            <w:shd w:val="clear" w:color="auto" w:fill="auto"/>
            <w:noWrap/>
          </w:tcPr>
          <w:p w14:paraId="374BC477" w14:textId="77777777" w:rsidR="002F20A5" w:rsidRPr="001570EA" w:rsidRDefault="002F20A5" w:rsidP="008723A6">
            <w:pPr>
              <w:keepNext/>
              <w:spacing w:before="60" w:after="60"/>
              <w:jc w:val="center"/>
              <w:rPr>
                <w:rFonts w:cs="Arial"/>
                <w:color w:val="000000"/>
                <w:sz w:val="18"/>
                <w:szCs w:val="18"/>
              </w:rPr>
            </w:pPr>
            <w:r w:rsidRPr="001570EA">
              <w:rPr>
                <w:sz w:val="18"/>
                <w:szCs w:val="18"/>
              </w:rPr>
              <w:t>82.3</w:t>
            </w:r>
          </w:p>
        </w:tc>
      </w:tr>
    </w:tbl>
    <w:p w14:paraId="3D9F2C1F" w14:textId="77777777" w:rsidR="001E2A2D" w:rsidRPr="001570EA" w:rsidRDefault="001E2A2D" w:rsidP="00FA5174">
      <w:pPr>
        <w:rPr>
          <w:rFonts w:eastAsiaTheme="minorHAnsi"/>
        </w:rPr>
      </w:pPr>
    </w:p>
    <w:p w14:paraId="6ECFF30B" w14:textId="5181BB20" w:rsidR="00FA5174" w:rsidRPr="001570EA" w:rsidRDefault="00FA5174" w:rsidP="00FA5174">
      <w:pPr>
        <w:rPr>
          <w:rFonts w:eastAsiaTheme="minorHAnsi"/>
          <w:b/>
        </w:rPr>
      </w:pPr>
      <w:r w:rsidRPr="001570EA">
        <w:rPr>
          <w:rFonts w:eastAsiaTheme="minorHAnsi"/>
          <w:b/>
        </w:rPr>
        <w:t>Hours of Use</w:t>
      </w:r>
    </w:p>
    <w:p w14:paraId="3AABD718" w14:textId="11E16832" w:rsidR="00FA5174" w:rsidRPr="001570EA" w:rsidRDefault="004912FC" w:rsidP="00FA5174">
      <w:pPr>
        <w:rPr>
          <w:rFonts w:eastAsiaTheme="minorHAnsi"/>
        </w:rPr>
      </w:pPr>
      <w:r w:rsidRPr="001570EA">
        <w:rPr>
          <w:rFonts w:eastAsiaTheme="minorHAnsi"/>
        </w:rPr>
        <w:t>D</w:t>
      </w:r>
      <w:r w:rsidR="00FA5174" w:rsidRPr="001570EA">
        <w:rPr>
          <w:rFonts w:eastAsiaTheme="minorHAnsi"/>
        </w:rPr>
        <w:t xml:space="preserve">aily hours of use (HOU) are </w:t>
      </w:r>
      <w:r w:rsidR="00D56375" w:rsidRPr="001570EA">
        <w:rPr>
          <w:rFonts w:eastAsiaTheme="minorHAnsi"/>
        </w:rPr>
        <w:t xml:space="preserve">provided </w:t>
      </w:r>
      <w:r w:rsidR="00FA5174" w:rsidRPr="001570EA">
        <w:rPr>
          <w:rFonts w:eastAsiaTheme="minorHAnsi"/>
        </w:rPr>
        <w:t xml:space="preserve">in </w:t>
      </w:r>
      <w:r w:rsidR="00FA5174" w:rsidRPr="001570EA">
        <w:rPr>
          <w:rFonts w:eastAsiaTheme="minorHAnsi"/>
        </w:rPr>
        <w:fldChar w:fldCharType="begin"/>
      </w:r>
      <w:r w:rsidR="00FA5174" w:rsidRPr="001570EA">
        <w:rPr>
          <w:rFonts w:eastAsiaTheme="minorHAnsi"/>
        </w:rPr>
        <w:instrText xml:space="preserve"> REF _Ref411524069 \h  \* MERGEFORMAT </w:instrText>
      </w:r>
      <w:r w:rsidR="00FA5174" w:rsidRPr="001570EA">
        <w:rPr>
          <w:rFonts w:eastAsiaTheme="minorHAnsi"/>
        </w:rPr>
      </w:r>
      <w:r w:rsidR="00FA5174" w:rsidRPr="001570EA">
        <w:rPr>
          <w:rFonts w:eastAsiaTheme="minorHAnsi"/>
        </w:rPr>
        <w:fldChar w:fldCharType="separate"/>
      </w:r>
      <w:r w:rsidR="00384D95" w:rsidRPr="001570EA">
        <w:t xml:space="preserve">Table </w:t>
      </w:r>
      <w:r w:rsidR="00384D95" w:rsidRPr="001570EA">
        <w:rPr>
          <w:noProof/>
        </w:rPr>
        <w:t>2</w:t>
      </w:r>
      <w:r w:rsidR="00384D95" w:rsidRPr="001570EA">
        <w:rPr>
          <w:noProof/>
        </w:rPr>
        <w:noBreakHyphen/>
        <w:t>4</w:t>
      </w:r>
      <w:r w:rsidR="00FA5174" w:rsidRPr="001570EA">
        <w:rPr>
          <w:rFonts w:eastAsiaTheme="minorHAnsi"/>
        </w:rPr>
        <w:fldChar w:fldCharType="end"/>
      </w:r>
      <w:r w:rsidR="00FA5174" w:rsidRPr="001570EA">
        <w:rPr>
          <w:rFonts w:eastAsiaTheme="minorHAnsi"/>
        </w:rPr>
        <w:t>. Specific room-based HOU may be used for programs where the room-type of installation is known and recorded</w:t>
      </w:r>
      <w:r w:rsidR="005F3D15" w:rsidRPr="001570EA">
        <w:rPr>
          <w:rFonts w:eastAsiaTheme="minorHAnsi"/>
        </w:rPr>
        <w:t>;</w:t>
      </w:r>
      <w:r w:rsidR="00FA5174" w:rsidRPr="001570EA">
        <w:rPr>
          <w:rFonts w:eastAsiaTheme="minorHAnsi"/>
        </w:rPr>
        <w:t xml:space="preserve"> </w:t>
      </w:r>
      <w:r w:rsidR="00176A15" w:rsidRPr="001570EA">
        <w:rPr>
          <w:rFonts w:eastAsiaTheme="minorHAnsi"/>
        </w:rPr>
        <w:t>otherwise,</w:t>
      </w:r>
      <w:r w:rsidR="00FA5174" w:rsidRPr="001570EA">
        <w:rPr>
          <w:rFonts w:eastAsiaTheme="minorHAnsi"/>
        </w:rPr>
        <w:t xml:space="preserve"> the </w:t>
      </w:r>
      <w:r w:rsidR="002A753E" w:rsidRPr="001570EA">
        <w:rPr>
          <w:rFonts w:eastAsiaTheme="minorHAnsi"/>
        </w:rPr>
        <w:t xml:space="preserve">overall </w:t>
      </w:r>
      <w:r w:rsidR="00FA5174" w:rsidRPr="001570EA">
        <w:rPr>
          <w:rFonts w:eastAsiaTheme="minorHAnsi"/>
        </w:rPr>
        <w:t>house</w:t>
      </w:r>
      <w:r w:rsidR="002A753E" w:rsidRPr="001570EA">
        <w:rPr>
          <w:rFonts w:eastAsiaTheme="minorHAnsi"/>
        </w:rPr>
        <w:t>hold</w:t>
      </w:r>
      <w:r w:rsidR="00FA5174" w:rsidRPr="001570EA">
        <w:rPr>
          <w:rFonts w:eastAsiaTheme="minorHAnsi"/>
        </w:rPr>
        <w:t xml:space="preserve"> or unknown room value should serve as the estimate. </w:t>
      </w:r>
      <w:r w:rsidR="0098635D" w:rsidRPr="001570EA">
        <w:rPr>
          <w:rFonts w:eastAsiaTheme="minorHAnsi"/>
        </w:rPr>
        <w:t xml:space="preserve"> </w:t>
      </w:r>
    </w:p>
    <w:p w14:paraId="6D679559" w14:textId="77777777" w:rsidR="00FA5174" w:rsidRPr="001570EA" w:rsidRDefault="00FA5174" w:rsidP="00FA5174"/>
    <w:p w14:paraId="39D96B2C" w14:textId="3A902E42" w:rsidR="00FA5174" w:rsidRPr="001570EA" w:rsidRDefault="00FA5174" w:rsidP="00FA5174">
      <w:pPr>
        <w:pStyle w:val="Caption"/>
      </w:pPr>
      <w:bookmarkStart w:id="37" w:name="_Ref411524069"/>
      <w:bookmarkStart w:id="38" w:name="_Toc473645784"/>
      <w:bookmarkStart w:id="39" w:name="_Toc47598247"/>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4</w:t>
      </w:r>
      <w:r w:rsidR="002E093A" w:rsidRPr="001570EA">
        <w:fldChar w:fldCharType="end"/>
      </w:r>
      <w:bookmarkEnd w:id="37"/>
      <w:r w:rsidRPr="001570EA">
        <w:t>: Bulb and Fixture Hours of Use by Room</w:t>
      </w:r>
      <w:bookmarkEnd w:id="38"/>
      <w:bookmarkEnd w:id="39"/>
    </w:p>
    <w:tbl>
      <w:tblPr>
        <w:tblW w:w="4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1440"/>
      </w:tblGrid>
      <w:tr w:rsidR="003325C9" w:rsidRPr="001570EA" w14:paraId="05C8B0F5" w14:textId="77777777" w:rsidTr="008A6654">
        <w:trPr>
          <w:trHeight w:val="315"/>
          <w:tblHeader/>
        </w:trPr>
        <w:tc>
          <w:tcPr>
            <w:tcW w:w="3307" w:type="dxa"/>
            <w:shd w:val="clear" w:color="auto" w:fill="BFBFBF"/>
            <w:vAlign w:val="center"/>
            <w:hideMark/>
          </w:tcPr>
          <w:p w14:paraId="64F149EE" w14:textId="77777777" w:rsidR="003325C9" w:rsidRPr="001570EA" w:rsidRDefault="003325C9" w:rsidP="00BD2C4C">
            <w:pPr>
              <w:keepNext/>
              <w:rPr>
                <w:rFonts w:cs="Arial"/>
                <w:b/>
                <w:bCs/>
                <w:color w:val="000000"/>
                <w:sz w:val="18"/>
                <w:szCs w:val="18"/>
              </w:rPr>
            </w:pPr>
            <w:r w:rsidRPr="001570EA">
              <w:rPr>
                <w:rFonts w:cs="Arial"/>
                <w:b/>
                <w:bCs/>
                <w:color w:val="000000"/>
                <w:sz w:val="18"/>
                <w:szCs w:val="18"/>
              </w:rPr>
              <w:t>Room</w:t>
            </w:r>
          </w:p>
        </w:tc>
        <w:tc>
          <w:tcPr>
            <w:tcW w:w="1440" w:type="dxa"/>
            <w:shd w:val="clear" w:color="auto" w:fill="BFBFBF"/>
            <w:vAlign w:val="center"/>
          </w:tcPr>
          <w:p w14:paraId="2884D512" w14:textId="4C0C5CA4" w:rsidR="003325C9" w:rsidRPr="001570EA" w:rsidRDefault="003325C9" w:rsidP="00BD2C4C">
            <w:pPr>
              <w:keepNext/>
              <w:jc w:val="center"/>
              <w:rPr>
                <w:rFonts w:cs="Arial"/>
                <w:b/>
                <w:bCs/>
                <w:color w:val="000000"/>
                <w:sz w:val="18"/>
                <w:szCs w:val="18"/>
                <w:vertAlign w:val="subscript"/>
              </w:rPr>
            </w:pPr>
            <w:r w:rsidRPr="001570EA">
              <w:rPr>
                <w:rFonts w:cs="Arial"/>
                <w:b/>
                <w:bCs/>
                <w:color w:val="000000"/>
                <w:sz w:val="18"/>
                <w:szCs w:val="18"/>
              </w:rPr>
              <w:t>HOU</w:t>
            </w:r>
          </w:p>
        </w:tc>
      </w:tr>
      <w:tr w:rsidR="003325C9" w:rsidRPr="001570EA" w14:paraId="4F698179" w14:textId="77777777" w:rsidTr="008A6654">
        <w:trPr>
          <w:trHeight w:val="320"/>
        </w:trPr>
        <w:tc>
          <w:tcPr>
            <w:tcW w:w="3307" w:type="dxa"/>
            <w:noWrap/>
            <w:vAlign w:val="center"/>
            <w:hideMark/>
          </w:tcPr>
          <w:p w14:paraId="7F394EA3" w14:textId="77777777" w:rsidR="003325C9" w:rsidRPr="001570EA" w:rsidRDefault="003325C9" w:rsidP="00BD2C4C">
            <w:pPr>
              <w:keepNext/>
              <w:rPr>
                <w:rFonts w:cs="Arial"/>
                <w:color w:val="000000"/>
                <w:sz w:val="18"/>
                <w:szCs w:val="18"/>
              </w:rPr>
            </w:pPr>
            <w:r w:rsidRPr="001570EA">
              <w:rPr>
                <w:rFonts w:cs="Arial"/>
                <w:color w:val="000000"/>
                <w:sz w:val="18"/>
                <w:szCs w:val="18"/>
              </w:rPr>
              <w:t>Basement</w:t>
            </w:r>
          </w:p>
        </w:tc>
        <w:tc>
          <w:tcPr>
            <w:tcW w:w="1440" w:type="dxa"/>
            <w:vAlign w:val="center"/>
          </w:tcPr>
          <w:p w14:paraId="6F4397F6" w14:textId="77777777" w:rsidR="003325C9" w:rsidRPr="001570EA" w:rsidRDefault="003325C9" w:rsidP="00BD2C4C">
            <w:pPr>
              <w:keepNext/>
              <w:jc w:val="center"/>
              <w:rPr>
                <w:sz w:val="18"/>
                <w:szCs w:val="18"/>
              </w:rPr>
            </w:pPr>
            <w:r w:rsidRPr="001570EA">
              <w:rPr>
                <w:sz w:val="18"/>
                <w:szCs w:val="18"/>
              </w:rPr>
              <w:t>1.7</w:t>
            </w:r>
          </w:p>
        </w:tc>
      </w:tr>
      <w:tr w:rsidR="003325C9" w:rsidRPr="001570EA" w14:paraId="3ACEC227" w14:textId="77777777" w:rsidTr="008A6654">
        <w:trPr>
          <w:trHeight w:val="320"/>
        </w:trPr>
        <w:tc>
          <w:tcPr>
            <w:tcW w:w="3307" w:type="dxa"/>
            <w:noWrap/>
            <w:vAlign w:val="center"/>
            <w:hideMark/>
          </w:tcPr>
          <w:p w14:paraId="1D98E982" w14:textId="77777777" w:rsidR="003325C9" w:rsidRPr="001570EA" w:rsidRDefault="003325C9" w:rsidP="00BD2C4C">
            <w:pPr>
              <w:keepNext/>
              <w:rPr>
                <w:rFonts w:cs="Arial"/>
                <w:color w:val="000000"/>
                <w:sz w:val="18"/>
                <w:szCs w:val="18"/>
              </w:rPr>
            </w:pPr>
            <w:r w:rsidRPr="001570EA">
              <w:rPr>
                <w:rFonts w:cs="Arial"/>
                <w:color w:val="000000"/>
                <w:sz w:val="18"/>
                <w:szCs w:val="18"/>
              </w:rPr>
              <w:t>Bathroom</w:t>
            </w:r>
          </w:p>
        </w:tc>
        <w:tc>
          <w:tcPr>
            <w:tcW w:w="1440" w:type="dxa"/>
            <w:vAlign w:val="center"/>
          </w:tcPr>
          <w:p w14:paraId="7326B4CC" w14:textId="77777777" w:rsidR="003325C9" w:rsidRPr="001570EA" w:rsidRDefault="003325C9" w:rsidP="00BD2C4C">
            <w:pPr>
              <w:keepNext/>
              <w:jc w:val="center"/>
              <w:rPr>
                <w:sz w:val="18"/>
                <w:szCs w:val="18"/>
              </w:rPr>
            </w:pPr>
            <w:r w:rsidRPr="001570EA">
              <w:rPr>
                <w:sz w:val="18"/>
                <w:szCs w:val="18"/>
              </w:rPr>
              <w:t>2.3</w:t>
            </w:r>
          </w:p>
        </w:tc>
      </w:tr>
      <w:tr w:rsidR="003325C9" w:rsidRPr="001570EA" w14:paraId="721FA2E5" w14:textId="77777777" w:rsidTr="008A6654">
        <w:trPr>
          <w:trHeight w:val="320"/>
        </w:trPr>
        <w:tc>
          <w:tcPr>
            <w:tcW w:w="3307" w:type="dxa"/>
            <w:noWrap/>
            <w:vAlign w:val="center"/>
            <w:hideMark/>
          </w:tcPr>
          <w:p w14:paraId="28FB165B" w14:textId="77777777" w:rsidR="003325C9" w:rsidRPr="001570EA" w:rsidRDefault="003325C9" w:rsidP="00BD2C4C">
            <w:pPr>
              <w:keepNext/>
              <w:rPr>
                <w:rFonts w:cs="Arial"/>
                <w:color w:val="000000"/>
                <w:sz w:val="18"/>
                <w:szCs w:val="18"/>
              </w:rPr>
            </w:pPr>
            <w:r w:rsidRPr="001570EA">
              <w:rPr>
                <w:rFonts w:cs="Arial"/>
                <w:color w:val="000000"/>
                <w:sz w:val="18"/>
                <w:szCs w:val="18"/>
              </w:rPr>
              <w:t>Bedroom</w:t>
            </w:r>
          </w:p>
        </w:tc>
        <w:tc>
          <w:tcPr>
            <w:tcW w:w="1440" w:type="dxa"/>
            <w:vAlign w:val="center"/>
          </w:tcPr>
          <w:p w14:paraId="01F61D0B" w14:textId="77777777" w:rsidR="003325C9" w:rsidRPr="001570EA" w:rsidRDefault="003325C9" w:rsidP="00BD2C4C">
            <w:pPr>
              <w:keepNext/>
              <w:jc w:val="center"/>
              <w:rPr>
                <w:sz w:val="18"/>
                <w:szCs w:val="18"/>
              </w:rPr>
            </w:pPr>
            <w:r w:rsidRPr="001570EA">
              <w:rPr>
                <w:sz w:val="18"/>
                <w:szCs w:val="18"/>
              </w:rPr>
              <w:t>1.8</w:t>
            </w:r>
          </w:p>
        </w:tc>
      </w:tr>
      <w:tr w:rsidR="003325C9" w:rsidRPr="001570EA" w14:paraId="45D23C98" w14:textId="77777777" w:rsidTr="008A6654">
        <w:trPr>
          <w:trHeight w:val="320"/>
        </w:trPr>
        <w:tc>
          <w:tcPr>
            <w:tcW w:w="3307" w:type="dxa"/>
            <w:noWrap/>
            <w:vAlign w:val="center"/>
            <w:hideMark/>
          </w:tcPr>
          <w:p w14:paraId="42B91ECE" w14:textId="77777777" w:rsidR="003325C9" w:rsidRPr="001570EA" w:rsidRDefault="003325C9" w:rsidP="00BD2C4C">
            <w:pPr>
              <w:keepNext/>
              <w:rPr>
                <w:rFonts w:cs="Arial"/>
                <w:color w:val="000000"/>
                <w:sz w:val="18"/>
                <w:szCs w:val="18"/>
              </w:rPr>
            </w:pPr>
            <w:r w:rsidRPr="001570EA">
              <w:rPr>
                <w:rFonts w:cs="Arial"/>
                <w:color w:val="000000"/>
                <w:sz w:val="18"/>
                <w:szCs w:val="18"/>
              </w:rPr>
              <w:t>Closet</w:t>
            </w:r>
          </w:p>
        </w:tc>
        <w:tc>
          <w:tcPr>
            <w:tcW w:w="1440" w:type="dxa"/>
            <w:vAlign w:val="center"/>
          </w:tcPr>
          <w:p w14:paraId="1222C467" w14:textId="77777777" w:rsidR="003325C9" w:rsidRPr="001570EA" w:rsidRDefault="003325C9" w:rsidP="00BD2C4C">
            <w:pPr>
              <w:keepNext/>
              <w:jc w:val="center"/>
              <w:rPr>
                <w:sz w:val="18"/>
                <w:szCs w:val="18"/>
              </w:rPr>
            </w:pPr>
            <w:r w:rsidRPr="001570EA">
              <w:rPr>
                <w:sz w:val="18"/>
                <w:szCs w:val="18"/>
              </w:rPr>
              <w:t>0.6</w:t>
            </w:r>
          </w:p>
        </w:tc>
      </w:tr>
      <w:tr w:rsidR="003325C9" w:rsidRPr="001570EA" w14:paraId="6FC643A7" w14:textId="77777777" w:rsidTr="008A6654">
        <w:trPr>
          <w:trHeight w:val="320"/>
        </w:trPr>
        <w:tc>
          <w:tcPr>
            <w:tcW w:w="3307" w:type="dxa"/>
            <w:noWrap/>
            <w:vAlign w:val="center"/>
            <w:hideMark/>
          </w:tcPr>
          <w:p w14:paraId="2D6B7E11" w14:textId="77777777" w:rsidR="003325C9" w:rsidRPr="001570EA" w:rsidRDefault="003325C9" w:rsidP="00BD2C4C">
            <w:pPr>
              <w:keepNext/>
              <w:rPr>
                <w:rFonts w:cs="Arial"/>
                <w:color w:val="000000"/>
                <w:sz w:val="18"/>
                <w:szCs w:val="18"/>
              </w:rPr>
            </w:pPr>
            <w:r w:rsidRPr="001570EA">
              <w:rPr>
                <w:rFonts w:cs="Arial"/>
                <w:color w:val="000000"/>
                <w:sz w:val="18"/>
                <w:szCs w:val="18"/>
              </w:rPr>
              <w:t>Dining Room</w:t>
            </w:r>
          </w:p>
        </w:tc>
        <w:tc>
          <w:tcPr>
            <w:tcW w:w="1440" w:type="dxa"/>
            <w:vAlign w:val="center"/>
          </w:tcPr>
          <w:p w14:paraId="2A8232EC" w14:textId="77777777" w:rsidR="003325C9" w:rsidRPr="001570EA" w:rsidRDefault="003325C9" w:rsidP="00BD2C4C">
            <w:pPr>
              <w:keepNext/>
              <w:jc w:val="center"/>
              <w:rPr>
                <w:sz w:val="18"/>
                <w:szCs w:val="18"/>
              </w:rPr>
            </w:pPr>
            <w:r w:rsidRPr="001570EA">
              <w:rPr>
                <w:sz w:val="18"/>
                <w:szCs w:val="18"/>
              </w:rPr>
              <w:t>2.7</w:t>
            </w:r>
          </w:p>
        </w:tc>
      </w:tr>
      <w:tr w:rsidR="003325C9" w:rsidRPr="001570EA" w14:paraId="79317E68" w14:textId="77777777" w:rsidTr="008A6654">
        <w:trPr>
          <w:trHeight w:val="320"/>
        </w:trPr>
        <w:tc>
          <w:tcPr>
            <w:tcW w:w="3307" w:type="dxa"/>
            <w:noWrap/>
            <w:vAlign w:val="center"/>
            <w:hideMark/>
          </w:tcPr>
          <w:p w14:paraId="241E41C6" w14:textId="77777777" w:rsidR="003325C9" w:rsidRPr="001570EA" w:rsidRDefault="003325C9" w:rsidP="00BD2C4C">
            <w:pPr>
              <w:keepNext/>
              <w:rPr>
                <w:rFonts w:cs="Arial"/>
                <w:color w:val="000000"/>
                <w:sz w:val="18"/>
                <w:szCs w:val="18"/>
              </w:rPr>
            </w:pPr>
            <w:r w:rsidRPr="001570EA">
              <w:rPr>
                <w:rFonts w:cs="Arial"/>
                <w:color w:val="000000"/>
                <w:sz w:val="18"/>
                <w:szCs w:val="18"/>
              </w:rPr>
              <w:t>Exterior</w:t>
            </w:r>
          </w:p>
        </w:tc>
        <w:tc>
          <w:tcPr>
            <w:tcW w:w="1440" w:type="dxa"/>
            <w:vAlign w:val="center"/>
          </w:tcPr>
          <w:p w14:paraId="421ECCEB" w14:textId="77777777" w:rsidR="003325C9" w:rsidRPr="001570EA" w:rsidRDefault="003325C9" w:rsidP="00BD2C4C">
            <w:pPr>
              <w:keepNext/>
              <w:jc w:val="center"/>
              <w:rPr>
                <w:sz w:val="18"/>
                <w:szCs w:val="18"/>
              </w:rPr>
            </w:pPr>
            <w:r w:rsidRPr="001570EA">
              <w:rPr>
                <w:sz w:val="18"/>
                <w:szCs w:val="18"/>
              </w:rPr>
              <w:t>3.9</w:t>
            </w:r>
          </w:p>
        </w:tc>
      </w:tr>
      <w:tr w:rsidR="003325C9" w:rsidRPr="001570EA" w14:paraId="7E72F819" w14:textId="77777777" w:rsidTr="008A6654">
        <w:trPr>
          <w:trHeight w:val="320"/>
        </w:trPr>
        <w:tc>
          <w:tcPr>
            <w:tcW w:w="3307" w:type="dxa"/>
            <w:noWrap/>
            <w:vAlign w:val="center"/>
            <w:hideMark/>
          </w:tcPr>
          <w:p w14:paraId="7ACB52FD" w14:textId="77777777" w:rsidR="003325C9" w:rsidRPr="001570EA" w:rsidRDefault="003325C9" w:rsidP="00BD2C4C">
            <w:pPr>
              <w:rPr>
                <w:rFonts w:cs="Arial"/>
                <w:color w:val="000000"/>
                <w:sz w:val="18"/>
                <w:szCs w:val="18"/>
              </w:rPr>
            </w:pPr>
            <w:r w:rsidRPr="001570EA">
              <w:rPr>
                <w:rFonts w:cs="Arial"/>
                <w:color w:val="000000"/>
                <w:sz w:val="18"/>
                <w:szCs w:val="18"/>
              </w:rPr>
              <w:t>Hallway</w:t>
            </w:r>
          </w:p>
        </w:tc>
        <w:tc>
          <w:tcPr>
            <w:tcW w:w="1440" w:type="dxa"/>
            <w:vAlign w:val="center"/>
          </w:tcPr>
          <w:p w14:paraId="1F3A98F4" w14:textId="77777777" w:rsidR="003325C9" w:rsidRPr="001570EA" w:rsidRDefault="003325C9" w:rsidP="00BD2C4C">
            <w:pPr>
              <w:keepNext/>
              <w:jc w:val="center"/>
              <w:rPr>
                <w:sz w:val="18"/>
                <w:szCs w:val="18"/>
              </w:rPr>
            </w:pPr>
            <w:r w:rsidRPr="001570EA">
              <w:rPr>
                <w:sz w:val="18"/>
                <w:szCs w:val="18"/>
              </w:rPr>
              <w:t>1.9</w:t>
            </w:r>
          </w:p>
        </w:tc>
      </w:tr>
      <w:tr w:rsidR="003325C9" w:rsidRPr="001570EA" w14:paraId="47FEF18D" w14:textId="77777777" w:rsidTr="008A6654">
        <w:trPr>
          <w:trHeight w:val="320"/>
        </w:trPr>
        <w:tc>
          <w:tcPr>
            <w:tcW w:w="3307" w:type="dxa"/>
            <w:noWrap/>
            <w:vAlign w:val="center"/>
          </w:tcPr>
          <w:p w14:paraId="1BA4CB99" w14:textId="77777777" w:rsidR="003325C9" w:rsidRPr="001570EA" w:rsidRDefault="003325C9" w:rsidP="00BD2C4C">
            <w:pPr>
              <w:rPr>
                <w:rFonts w:cs="Arial"/>
                <w:color w:val="000000"/>
                <w:sz w:val="18"/>
                <w:szCs w:val="18"/>
              </w:rPr>
            </w:pPr>
            <w:r w:rsidRPr="001570EA">
              <w:rPr>
                <w:rFonts w:cs="Arial"/>
                <w:color w:val="000000"/>
                <w:sz w:val="18"/>
                <w:szCs w:val="18"/>
              </w:rPr>
              <w:t>Kitchen</w:t>
            </w:r>
          </w:p>
        </w:tc>
        <w:tc>
          <w:tcPr>
            <w:tcW w:w="1440" w:type="dxa"/>
            <w:vAlign w:val="center"/>
          </w:tcPr>
          <w:p w14:paraId="71870248" w14:textId="77777777" w:rsidR="003325C9" w:rsidRPr="001570EA" w:rsidRDefault="003325C9" w:rsidP="00BD2C4C">
            <w:pPr>
              <w:keepNext/>
              <w:jc w:val="center"/>
              <w:rPr>
                <w:sz w:val="18"/>
                <w:szCs w:val="18"/>
              </w:rPr>
            </w:pPr>
            <w:r w:rsidRPr="001570EA">
              <w:rPr>
                <w:sz w:val="18"/>
                <w:szCs w:val="18"/>
              </w:rPr>
              <w:t>3.9</w:t>
            </w:r>
          </w:p>
        </w:tc>
      </w:tr>
      <w:tr w:rsidR="003325C9" w:rsidRPr="001570EA" w14:paraId="43C4976A" w14:textId="77777777" w:rsidTr="008A6654">
        <w:trPr>
          <w:trHeight w:val="320"/>
        </w:trPr>
        <w:tc>
          <w:tcPr>
            <w:tcW w:w="3307" w:type="dxa"/>
            <w:noWrap/>
            <w:vAlign w:val="center"/>
          </w:tcPr>
          <w:p w14:paraId="1A858930" w14:textId="77777777" w:rsidR="003325C9" w:rsidRPr="001570EA" w:rsidRDefault="003325C9" w:rsidP="00BD2C4C">
            <w:pPr>
              <w:rPr>
                <w:rFonts w:cs="Arial"/>
                <w:color w:val="000000"/>
                <w:sz w:val="18"/>
                <w:szCs w:val="18"/>
              </w:rPr>
            </w:pPr>
            <w:r w:rsidRPr="001570EA">
              <w:rPr>
                <w:rFonts w:cs="Arial"/>
                <w:color w:val="000000"/>
                <w:sz w:val="18"/>
                <w:szCs w:val="18"/>
              </w:rPr>
              <w:t>Living Room</w:t>
            </w:r>
          </w:p>
        </w:tc>
        <w:tc>
          <w:tcPr>
            <w:tcW w:w="1440" w:type="dxa"/>
            <w:vAlign w:val="center"/>
          </w:tcPr>
          <w:p w14:paraId="43BE16F4" w14:textId="77777777" w:rsidR="003325C9" w:rsidRPr="001570EA" w:rsidRDefault="003325C9" w:rsidP="00BD2C4C">
            <w:pPr>
              <w:keepNext/>
              <w:jc w:val="center"/>
              <w:rPr>
                <w:sz w:val="18"/>
                <w:szCs w:val="18"/>
              </w:rPr>
            </w:pPr>
            <w:r w:rsidRPr="001570EA">
              <w:rPr>
                <w:sz w:val="18"/>
                <w:szCs w:val="18"/>
              </w:rPr>
              <w:t>3.7</w:t>
            </w:r>
          </w:p>
        </w:tc>
      </w:tr>
      <w:tr w:rsidR="003325C9" w:rsidRPr="001570EA" w14:paraId="19E17468" w14:textId="77777777" w:rsidTr="008A6654">
        <w:trPr>
          <w:trHeight w:val="320"/>
        </w:trPr>
        <w:tc>
          <w:tcPr>
            <w:tcW w:w="3307" w:type="dxa"/>
            <w:noWrap/>
            <w:vAlign w:val="center"/>
          </w:tcPr>
          <w:p w14:paraId="67F19433" w14:textId="77777777" w:rsidR="003325C9" w:rsidRPr="001570EA" w:rsidRDefault="003325C9" w:rsidP="00BD2C4C">
            <w:pPr>
              <w:rPr>
                <w:rFonts w:cs="Arial"/>
                <w:color w:val="000000"/>
                <w:sz w:val="18"/>
                <w:szCs w:val="18"/>
              </w:rPr>
            </w:pPr>
            <w:r w:rsidRPr="001570EA">
              <w:rPr>
                <w:rFonts w:cs="Arial"/>
                <w:color w:val="000000"/>
                <w:sz w:val="18"/>
                <w:szCs w:val="18"/>
              </w:rPr>
              <w:t>Other</w:t>
            </w:r>
          </w:p>
        </w:tc>
        <w:tc>
          <w:tcPr>
            <w:tcW w:w="1440" w:type="dxa"/>
            <w:vAlign w:val="center"/>
          </w:tcPr>
          <w:p w14:paraId="7BF88FD2" w14:textId="77777777" w:rsidR="003325C9" w:rsidRPr="001570EA" w:rsidRDefault="003325C9" w:rsidP="00BD2C4C">
            <w:pPr>
              <w:keepNext/>
              <w:jc w:val="center"/>
              <w:rPr>
                <w:sz w:val="18"/>
                <w:szCs w:val="18"/>
              </w:rPr>
            </w:pPr>
            <w:r w:rsidRPr="001570EA">
              <w:rPr>
                <w:sz w:val="18"/>
                <w:szCs w:val="18"/>
              </w:rPr>
              <w:t>1.7</w:t>
            </w:r>
          </w:p>
        </w:tc>
      </w:tr>
      <w:tr w:rsidR="003325C9" w:rsidRPr="001570EA" w14:paraId="3C5B6123" w14:textId="77777777" w:rsidTr="008A6654">
        <w:trPr>
          <w:trHeight w:val="320"/>
        </w:trPr>
        <w:tc>
          <w:tcPr>
            <w:tcW w:w="3307" w:type="dxa"/>
            <w:noWrap/>
            <w:vAlign w:val="center"/>
          </w:tcPr>
          <w:p w14:paraId="793B7951" w14:textId="218DBB02" w:rsidR="003325C9" w:rsidRPr="001570EA" w:rsidRDefault="003325C9" w:rsidP="00BD2C4C">
            <w:pPr>
              <w:rPr>
                <w:rFonts w:cs="Arial"/>
                <w:color w:val="000000"/>
                <w:sz w:val="18"/>
                <w:szCs w:val="18"/>
              </w:rPr>
            </w:pPr>
            <w:r w:rsidRPr="001570EA">
              <w:rPr>
                <w:rFonts w:cs="Arial"/>
                <w:color w:val="000000"/>
                <w:sz w:val="18"/>
                <w:szCs w:val="18"/>
              </w:rPr>
              <w:t xml:space="preserve">Overall Household or </w:t>
            </w:r>
            <w:r w:rsidR="002A753E" w:rsidRPr="001570EA">
              <w:rPr>
                <w:rFonts w:cs="Arial"/>
                <w:color w:val="000000"/>
                <w:sz w:val="18"/>
                <w:szCs w:val="18"/>
              </w:rPr>
              <w:t>Unknown Room</w:t>
            </w:r>
          </w:p>
        </w:tc>
        <w:tc>
          <w:tcPr>
            <w:tcW w:w="1440" w:type="dxa"/>
            <w:vAlign w:val="center"/>
          </w:tcPr>
          <w:p w14:paraId="5A193E7B" w14:textId="77777777" w:rsidR="003325C9" w:rsidRPr="001570EA" w:rsidRDefault="003325C9" w:rsidP="00BD2C4C">
            <w:pPr>
              <w:keepNext/>
              <w:jc w:val="center"/>
              <w:rPr>
                <w:sz w:val="18"/>
                <w:szCs w:val="18"/>
              </w:rPr>
            </w:pPr>
            <w:r w:rsidRPr="001570EA">
              <w:rPr>
                <w:sz w:val="18"/>
                <w:szCs w:val="18"/>
              </w:rPr>
              <w:t>2.5</w:t>
            </w:r>
          </w:p>
        </w:tc>
      </w:tr>
    </w:tbl>
    <w:p w14:paraId="18AA5422" w14:textId="77777777" w:rsidR="00FA5174" w:rsidRPr="001570EA" w:rsidRDefault="00FA5174" w:rsidP="00FA5174"/>
    <w:p w14:paraId="596A5CB7" w14:textId="77777777" w:rsidR="00FA5174" w:rsidRPr="001570EA" w:rsidRDefault="00FA5174" w:rsidP="00FA5174">
      <w:pPr>
        <w:rPr>
          <w:rFonts w:eastAsiaTheme="minorHAnsi"/>
          <w:b/>
        </w:rPr>
      </w:pPr>
      <w:r w:rsidRPr="001570EA">
        <w:rPr>
          <w:rFonts w:eastAsiaTheme="minorHAnsi"/>
          <w:b/>
        </w:rPr>
        <w:t>Interactive Effects Values</w:t>
      </w:r>
    </w:p>
    <w:p w14:paraId="6073B371" w14:textId="7BCE24D0" w:rsidR="00FA5174" w:rsidRPr="001570EA" w:rsidRDefault="00B11415" w:rsidP="00FA5174">
      <w:pPr>
        <w:rPr>
          <w:rFonts w:eastAsiaTheme="minorHAnsi"/>
          <w:b/>
          <w:bCs/>
        </w:rPr>
      </w:pPr>
      <w:r w:rsidRPr="001570EA">
        <w:rPr>
          <w:rFonts w:eastAsiaTheme="minorHAnsi"/>
        </w:rPr>
        <w:t>Default</w:t>
      </w:r>
      <w:r w:rsidR="00FA5174" w:rsidRPr="001570EA">
        <w:rPr>
          <w:rFonts w:eastAsiaTheme="minorHAnsi"/>
        </w:rPr>
        <w:t xml:space="preserve"> Energy and Demand HVAC Interactive Effects are </w:t>
      </w:r>
      <w:r w:rsidRPr="001570EA">
        <w:rPr>
          <w:rFonts w:eastAsiaTheme="minorHAnsi"/>
        </w:rPr>
        <w:t xml:space="preserve">provided in </w:t>
      </w:r>
      <w:r w:rsidRPr="001570EA">
        <w:rPr>
          <w:rFonts w:eastAsiaTheme="minorHAnsi"/>
        </w:rPr>
        <w:fldChar w:fldCharType="begin"/>
      </w:r>
      <w:r w:rsidRPr="001570EA">
        <w:rPr>
          <w:rFonts w:eastAsiaTheme="minorHAnsi"/>
        </w:rPr>
        <w:instrText xml:space="preserve"> REF _Ref395116944 \h </w:instrText>
      </w:r>
      <w:r w:rsidR="001570EA">
        <w:rPr>
          <w:rFonts w:eastAsiaTheme="minorHAnsi"/>
        </w:rPr>
        <w:instrText xml:space="preserve"> \* MERGEFORMAT </w:instrText>
      </w:r>
      <w:r w:rsidRPr="001570EA">
        <w:rPr>
          <w:rFonts w:eastAsiaTheme="minorHAnsi"/>
        </w:rPr>
      </w:r>
      <w:r w:rsidRPr="001570EA">
        <w:rPr>
          <w:rFonts w:eastAsiaTheme="minorHAnsi"/>
        </w:rPr>
        <w:fldChar w:fldCharType="separate"/>
      </w:r>
      <w:r w:rsidR="00384D95" w:rsidRPr="001570EA">
        <w:t xml:space="preserve">Table </w:t>
      </w:r>
      <w:r w:rsidR="00384D95" w:rsidRPr="001570EA">
        <w:rPr>
          <w:noProof/>
        </w:rPr>
        <w:t>2</w:t>
      </w:r>
      <w:r w:rsidR="00384D95" w:rsidRPr="001570EA">
        <w:noBreakHyphen/>
      </w:r>
      <w:r w:rsidR="00384D95" w:rsidRPr="001570EA">
        <w:rPr>
          <w:noProof/>
        </w:rPr>
        <w:t>5</w:t>
      </w:r>
      <w:r w:rsidRPr="001570EA">
        <w:rPr>
          <w:rFonts w:eastAsiaTheme="minorHAnsi"/>
        </w:rPr>
        <w:fldChar w:fldCharType="end"/>
      </w:r>
      <w:r w:rsidR="00FA5174" w:rsidRPr="001570EA">
        <w:rPr>
          <w:rFonts w:eastAsiaTheme="minorHAnsi"/>
        </w:rPr>
        <w:t xml:space="preserve">. </w:t>
      </w:r>
    </w:p>
    <w:p w14:paraId="51B7E385" w14:textId="77777777" w:rsidR="00FA5174" w:rsidRPr="001570EA" w:rsidRDefault="00FA5174" w:rsidP="00FA5174">
      <w:bookmarkStart w:id="40" w:name="_Ref376519636"/>
      <w:bookmarkStart w:id="41" w:name="_Toc377465530"/>
    </w:p>
    <w:p w14:paraId="16A04D9F" w14:textId="6A2EB91F" w:rsidR="00FA5174" w:rsidRPr="001570EA" w:rsidRDefault="00FA5174" w:rsidP="00FA5174">
      <w:pPr>
        <w:pStyle w:val="Caption"/>
      </w:pPr>
      <w:bookmarkStart w:id="42" w:name="_Ref395116944"/>
      <w:bookmarkStart w:id="43" w:name="_Toc473645785"/>
      <w:bookmarkStart w:id="44" w:name="_Toc4759824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5</w:t>
      </w:r>
      <w:r w:rsidR="002E093A" w:rsidRPr="001570EA">
        <w:fldChar w:fldCharType="end"/>
      </w:r>
      <w:bookmarkEnd w:id="40"/>
      <w:bookmarkEnd w:id="42"/>
      <w:r w:rsidRPr="001570EA">
        <w:t>: Energy and Demand HVAC Interactive Effects by EDC</w:t>
      </w:r>
      <w:bookmarkEnd w:id="41"/>
      <w:bookmarkEnd w:id="43"/>
      <w:bookmarkEnd w:id="44"/>
    </w:p>
    <w:tbl>
      <w:tblPr>
        <w:tblW w:w="6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890"/>
        <w:gridCol w:w="1620"/>
        <w:gridCol w:w="1620"/>
      </w:tblGrid>
      <w:tr w:rsidR="00F87052" w:rsidRPr="001570EA" w14:paraId="4AD354A5" w14:textId="0E56860F" w:rsidTr="008A6654">
        <w:trPr>
          <w:trHeight w:val="315"/>
        </w:trPr>
        <w:tc>
          <w:tcPr>
            <w:tcW w:w="1777" w:type="dxa"/>
            <w:shd w:val="clear" w:color="auto" w:fill="BFBFBF"/>
            <w:vAlign w:val="center"/>
            <w:hideMark/>
          </w:tcPr>
          <w:p w14:paraId="1ECE7A3F" w14:textId="77777777" w:rsidR="00F87052" w:rsidRPr="001570EA" w:rsidRDefault="00F87052" w:rsidP="00F87052">
            <w:pPr>
              <w:keepNext/>
              <w:rPr>
                <w:rFonts w:cs="Arial"/>
                <w:b/>
                <w:bCs/>
                <w:color w:val="000000"/>
                <w:sz w:val="18"/>
                <w:szCs w:val="18"/>
              </w:rPr>
            </w:pPr>
            <w:r w:rsidRPr="001570EA">
              <w:rPr>
                <w:rFonts w:cs="Arial"/>
                <w:b/>
                <w:bCs/>
                <w:color w:val="000000"/>
                <w:sz w:val="18"/>
                <w:szCs w:val="18"/>
              </w:rPr>
              <w:t>EDC</w:t>
            </w:r>
          </w:p>
        </w:tc>
        <w:tc>
          <w:tcPr>
            <w:tcW w:w="1890" w:type="dxa"/>
            <w:shd w:val="clear" w:color="auto" w:fill="BFBFBF"/>
            <w:vAlign w:val="center"/>
            <w:hideMark/>
          </w:tcPr>
          <w:p w14:paraId="7234802D" w14:textId="7D317CE3" w:rsidR="00F87052" w:rsidRPr="001570EA" w:rsidRDefault="00F87052" w:rsidP="00F87052">
            <w:pPr>
              <w:keepNext/>
              <w:jc w:val="center"/>
              <w:rPr>
                <w:rFonts w:cs="Arial"/>
                <w:b/>
                <w:bCs/>
                <w:color w:val="000000"/>
                <w:sz w:val="18"/>
                <w:szCs w:val="18"/>
              </w:rPr>
            </w:pPr>
            <w:r w:rsidRPr="001570EA">
              <w:rPr>
                <w:rFonts w:cs="Arial"/>
                <w:b/>
                <w:bCs/>
                <w:color w:val="000000"/>
                <w:sz w:val="18"/>
                <w:szCs w:val="18"/>
              </w:rPr>
              <w:t>IE</w:t>
            </w:r>
            <w:r w:rsidRPr="001570EA">
              <w:rPr>
                <w:rFonts w:cs="Arial"/>
                <w:color w:val="000000"/>
                <w:vertAlign w:val="subscript"/>
              </w:rPr>
              <w:t>kWh</w:t>
            </w:r>
          </w:p>
        </w:tc>
        <w:tc>
          <w:tcPr>
            <w:tcW w:w="1620" w:type="dxa"/>
            <w:shd w:val="clear" w:color="auto" w:fill="BFBFBF"/>
            <w:vAlign w:val="center"/>
            <w:hideMark/>
          </w:tcPr>
          <w:p w14:paraId="63262E83" w14:textId="4BDD9D07" w:rsidR="00F87052" w:rsidRPr="001570EA" w:rsidRDefault="00F87052" w:rsidP="00F87052">
            <w:pPr>
              <w:keepNext/>
              <w:jc w:val="center"/>
              <w:rPr>
                <w:rFonts w:cs="Arial"/>
                <w:b/>
                <w:bCs/>
                <w:color w:val="000000"/>
                <w:sz w:val="18"/>
                <w:szCs w:val="18"/>
              </w:rPr>
            </w:pPr>
            <w:r w:rsidRPr="001570EA">
              <w:rPr>
                <w:rFonts w:cs="Arial"/>
                <w:b/>
                <w:bCs/>
                <w:color w:val="000000"/>
                <w:sz w:val="18"/>
                <w:szCs w:val="18"/>
              </w:rPr>
              <w:t>IE</w:t>
            </w:r>
            <w:r w:rsidRPr="001570EA">
              <w:rPr>
                <w:rFonts w:cs="Arial"/>
                <w:color w:val="000000"/>
                <w:vertAlign w:val="subscript"/>
              </w:rPr>
              <w:t>kW</w:t>
            </w:r>
            <w:r w:rsidR="003C1DE1" w:rsidRPr="001570EA">
              <w:rPr>
                <w:rFonts w:cs="Arial"/>
                <w:color w:val="000000"/>
                <w:vertAlign w:val="subscript"/>
              </w:rPr>
              <w:t>_</w:t>
            </w:r>
            <w:r w:rsidRPr="001570EA">
              <w:rPr>
                <w:rFonts w:cs="Arial"/>
                <w:color w:val="000000"/>
                <w:vertAlign w:val="subscript"/>
              </w:rPr>
              <w:t>s</w:t>
            </w:r>
          </w:p>
        </w:tc>
        <w:tc>
          <w:tcPr>
            <w:tcW w:w="1620" w:type="dxa"/>
            <w:shd w:val="clear" w:color="auto" w:fill="BFBFBF"/>
            <w:vAlign w:val="center"/>
          </w:tcPr>
          <w:p w14:paraId="28619829" w14:textId="62D4C5A9" w:rsidR="00F87052" w:rsidRPr="001570EA" w:rsidRDefault="00F87052" w:rsidP="00F87052">
            <w:pPr>
              <w:keepNext/>
              <w:jc w:val="center"/>
              <w:rPr>
                <w:rFonts w:cs="Arial"/>
                <w:b/>
                <w:bCs/>
                <w:color w:val="000000"/>
                <w:sz w:val="18"/>
                <w:szCs w:val="18"/>
              </w:rPr>
            </w:pPr>
            <w:r w:rsidRPr="001570EA">
              <w:rPr>
                <w:rFonts w:cs="Arial"/>
                <w:b/>
                <w:bCs/>
                <w:color w:val="000000"/>
                <w:sz w:val="18"/>
                <w:szCs w:val="18"/>
              </w:rPr>
              <w:t>IE</w:t>
            </w:r>
            <w:r w:rsidRPr="001570EA">
              <w:rPr>
                <w:rFonts w:cs="Arial"/>
                <w:color w:val="000000"/>
                <w:vertAlign w:val="subscript"/>
              </w:rPr>
              <w:t>kW</w:t>
            </w:r>
            <w:r w:rsidR="003C1DE1" w:rsidRPr="001570EA">
              <w:rPr>
                <w:rFonts w:cs="Arial"/>
                <w:color w:val="000000"/>
                <w:vertAlign w:val="subscript"/>
              </w:rPr>
              <w:t>_</w:t>
            </w:r>
            <w:r w:rsidRPr="001570EA">
              <w:rPr>
                <w:rFonts w:cs="Arial"/>
                <w:color w:val="000000"/>
                <w:vertAlign w:val="subscript"/>
              </w:rPr>
              <w:t>w</w:t>
            </w:r>
          </w:p>
        </w:tc>
      </w:tr>
      <w:tr w:rsidR="006B3714" w:rsidRPr="001570EA" w14:paraId="0FAE5315" w14:textId="2344E082" w:rsidTr="008A6654">
        <w:trPr>
          <w:trHeight w:val="300"/>
        </w:trPr>
        <w:tc>
          <w:tcPr>
            <w:tcW w:w="1777" w:type="dxa"/>
            <w:noWrap/>
            <w:vAlign w:val="center"/>
            <w:hideMark/>
          </w:tcPr>
          <w:p w14:paraId="28631DDA" w14:textId="0FDDE50C" w:rsidR="006B3714" w:rsidRPr="001570EA" w:rsidRDefault="006B3714" w:rsidP="008A6654">
            <w:pPr>
              <w:keepNext/>
              <w:jc w:val="left"/>
              <w:rPr>
                <w:rFonts w:cs="Arial"/>
                <w:color w:val="000000"/>
                <w:sz w:val="18"/>
                <w:szCs w:val="18"/>
              </w:rPr>
            </w:pPr>
            <w:r w:rsidRPr="001570EA">
              <w:t>PECO</w:t>
            </w:r>
          </w:p>
        </w:tc>
        <w:tc>
          <w:tcPr>
            <w:tcW w:w="1890" w:type="dxa"/>
            <w:noWrap/>
            <w:vAlign w:val="center"/>
            <w:hideMark/>
          </w:tcPr>
          <w:p w14:paraId="7D7CFAD9" w14:textId="36F9C5E9" w:rsidR="006B3714" w:rsidRPr="001570EA" w:rsidRDefault="006B3714" w:rsidP="006B3714">
            <w:pPr>
              <w:keepNext/>
              <w:jc w:val="center"/>
              <w:rPr>
                <w:rFonts w:cs="Arial"/>
                <w:color w:val="000000"/>
                <w:sz w:val="18"/>
                <w:szCs w:val="18"/>
              </w:rPr>
            </w:pPr>
            <w:r w:rsidRPr="001570EA">
              <w:t>-0.0007</w:t>
            </w:r>
          </w:p>
        </w:tc>
        <w:tc>
          <w:tcPr>
            <w:tcW w:w="1620" w:type="dxa"/>
            <w:noWrap/>
            <w:vAlign w:val="center"/>
            <w:hideMark/>
          </w:tcPr>
          <w:p w14:paraId="3EB0620D" w14:textId="1A6112C9" w:rsidR="006B3714" w:rsidRPr="001570EA" w:rsidRDefault="006B3714" w:rsidP="006B3714">
            <w:pPr>
              <w:keepNext/>
              <w:jc w:val="center"/>
              <w:rPr>
                <w:rFonts w:cs="Arial"/>
                <w:color w:val="000000"/>
                <w:sz w:val="18"/>
                <w:szCs w:val="18"/>
              </w:rPr>
            </w:pPr>
            <w:r w:rsidRPr="001570EA">
              <w:t>0.1193</w:t>
            </w:r>
          </w:p>
        </w:tc>
        <w:tc>
          <w:tcPr>
            <w:tcW w:w="1620" w:type="dxa"/>
            <w:vAlign w:val="center"/>
          </w:tcPr>
          <w:p w14:paraId="24659D04" w14:textId="191A79A5" w:rsidR="006B3714" w:rsidRPr="001570EA" w:rsidRDefault="006B3714" w:rsidP="006B3714">
            <w:pPr>
              <w:keepNext/>
              <w:jc w:val="center"/>
              <w:rPr>
                <w:rFonts w:cs="Arial"/>
                <w:color w:val="000000"/>
                <w:sz w:val="18"/>
                <w:szCs w:val="18"/>
              </w:rPr>
            </w:pPr>
            <w:r w:rsidRPr="001570EA">
              <w:t>-0.0581</w:t>
            </w:r>
          </w:p>
        </w:tc>
      </w:tr>
      <w:tr w:rsidR="006B3714" w:rsidRPr="001570EA" w14:paraId="19005B8D" w14:textId="77777777" w:rsidTr="008A6654">
        <w:trPr>
          <w:trHeight w:val="300"/>
        </w:trPr>
        <w:tc>
          <w:tcPr>
            <w:tcW w:w="1777" w:type="dxa"/>
            <w:noWrap/>
            <w:vAlign w:val="center"/>
          </w:tcPr>
          <w:p w14:paraId="280FF805" w14:textId="35BDCD9D" w:rsidR="006B3714" w:rsidRPr="001570EA" w:rsidRDefault="006B3714" w:rsidP="008A6654">
            <w:pPr>
              <w:keepNext/>
              <w:jc w:val="left"/>
              <w:rPr>
                <w:rFonts w:cs="Arial"/>
                <w:color w:val="000000"/>
                <w:sz w:val="18"/>
                <w:szCs w:val="18"/>
              </w:rPr>
            </w:pPr>
            <w:r w:rsidRPr="001570EA">
              <w:t>PPL</w:t>
            </w:r>
          </w:p>
        </w:tc>
        <w:tc>
          <w:tcPr>
            <w:tcW w:w="1890" w:type="dxa"/>
            <w:noWrap/>
            <w:vAlign w:val="center"/>
          </w:tcPr>
          <w:p w14:paraId="07AAA8AB" w14:textId="27B97381" w:rsidR="006B3714" w:rsidRPr="001570EA" w:rsidRDefault="006B3714" w:rsidP="006B3714">
            <w:pPr>
              <w:keepNext/>
              <w:jc w:val="center"/>
              <w:rPr>
                <w:rFonts w:cs="Arial"/>
                <w:color w:val="000000"/>
                <w:sz w:val="18"/>
                <w:szCs w:val="18"/>
              </w:rPr>
            </w:pPr>
            <w:r w:rsidRPr="001570EA">
              <w:t>-0.0681</w:t>
            </w:r>
          </w:p>
        </w:tc>
        <w:tc>
          <w:tcPr>
            <w:tcW w:w="1620" w:type="dxa"/>
            <w:noWrap/>
            <w:vAlign w:val="center"/>
          </w:tcPr>
          <w:p w14:paraId="39155B39" w14:textId="1090D70F" w:rsidR="006B3714" w:rsidRPr="001570EA" w:rsidDel="002A08C8" w:rsidRDefault="006B3714" w:rsidP="006B3714">
            <w:pPr>
              <w:keepNext/>
              <w:jc w:val="center"/>
              <w:rPr>
                <w:rFonts w:cs="Arial"/>
                <w:color w:val="000000"/>
                <w:sz w:val="18"/>
                <w:szCs w:val="18"/>
              </w:rPr>
            </w:pPr>
            <w:r w:rsidRPr="001570EA">
              <w:t>0.1046</w:t>
            </w:r>
          </w:p>
        </w:tc>
        <w:tc>
          <w:tcPr>
            <w:tcW w:w="1620" w:type="dxa"/>
            <w:vAlign w:val="center"/>
          </w:tcPr>
          <w:p w14:paraId="03596EE8" w14:textId="1F9720F6" w:rsidR="006B3714" w:rsidRPr="001570EA" w:rsidRDefault="006B3714" w:rsidP="006B3714">
            <w:pPr>
              <w:keepNext/>
              <w:jc w:val="center"/>
              <w:rPr>
                <w:rFonts w:cs="Arial"/>
                <w:color w:val="000000"/>
                <w:sz w:val="18"/>
                <w:szCs w:val="18"/>
              </w:rPr>
            </w:pPr>
            <w:r w:rsidRPr="001570EA">
              <w:t>-0.1480</w:t>
            </w:r>
          </w:p>
        </w:tc>
      </w:tr>
      <w:tr w:rsidR="006B3714" w:rsidRPr="001570EA" w14:paraId="57378011" w14:textId="77777777" w:rsidTr="008A6654">
        <w:trPr>
          <w:trHeight w:val="300"/>
        </w:trPr>
        <w:tc>
          <w:tcPr>
            <w:tcW w:w="1777" w:type="dxa"/>
            <w:noWrap/>
            <w:vAlign w:val="center"/>
          </w:tcPr>
          <w:p w14:paraId="598FA727" w14:textId="62E95462" w:rsidR="006B3714" w:rsidRPr="001570EA" w:rsidRDefault="006B3714" w:rsidP="008A6654">
            <w:pPr>
              <w:keepNext/>
              <w:jc w:val="left"/>
              <w:rPr>
                <w:rFonts w:cs="Arial"/>
                <w:color w:val="000000"/>
                <w:sz w:val="18"/>
                <w:szCs w:val="18"/>
              </w:rPr>
            </w:pPr>
            <w:r w:rsidRPr="001570EA">
              <w:t>Duquesne Light</w:t>
            </w:r>
          </w:p>
        </w:tc>
        <w:tc>
          <w:tcPr>
            <w:tcW w:w="1890" w:type="dxa"/>
            <w:noWrap/>
            <w:vAlign w:val="center"/>
          </w:tcPr>
          <w:p w14:paraId="770C6A31" w14:textId="03D82DED" w:rsidR="006B3714" w:rsidRPr="001570EA" w:rsidRDefault="006B3714" w:rsidP="006B3714">
            <w:pPr>
              <w:keepNext/>
              <w:jc w:val="center"/>
              <w:rPr>
                <w:rFonts w:cs="Arial"/>
                <w:color w:val="000000"/>
                <w:sz w:val="18"/>
                <w:szCs w:val="18"/>
              </w:rPr>
            </w:pPr>
            <w:r w:rsidRPr="001570EA">
              <w:t>0.0005</w:t>
            </w:r>
          </w:p>
        </w:tc>
        <w:tc>
          <w:tcPr>
            <w:tcW w:w="1620" w:type="dxa"/>
            <w:noWrap/>
            <w:vAlign w:val="center"/>
          </w:tcPr>
          <w:p w14:paraId="3252D0A3" w14:textId="17668530" w:rsidR="006B3714" w:rsidRPr="001570EA" w:rsidDel="002A08C8" w:rsidRDefault="006B3714" w:rsidP="006B3714">
            <w:pPr>
              <w:keepNext/>
              <w:jc w:val="center"/>
              <w:rPr>
                <w:rFonts w:cs="Arial"/>
                <w:color w:val="000000"/>
                <w:sz w:val="18"/>
                <w:szCs w:val="18"/>
              </w:rPr>
            </w:pPr>
            <w:r w:rsidRPr="001570EA">
              <w:t>0.0957</w:t>
            </w:r>
          </w:p>
        </w:tc>
        <w:tc>
          <w:tcPr>
            <w:tcW w:w="1620" w:type="dxa"/>
            <w:vAlign w:val="center"/>
          </w:tcPr>
          <w:p w14:paraId="2E1ADA5A" w14:textId="53103CBB" w:rsidR="006B3714" w:rsidRPr="001570EA" w:rsidRDefault="006B3714" w:rsidP="006B3714">
            <w:pPr>
              <w:keepNext/>
              <w:jc w:val="center"/>
              <w:rPr>
                <w:rFonts w:cs="Arial"/>
                <w:color w:val="000000"/>
                <w:sz w:val="18"/>
                <w:szCs w:val="18"/>
              </w:rPr>
            </w:pPr>
            <w:r w:rsidRPr="001570EA">
              <w:t>-0.0291</w:t>
            </w:r>
          </w:p>
        </w:tc>
      </w:tr>
      <w:tr w:rsidR="006B3714" w:rsidRPr="001570EA" w14:paraId="779F3E52" w14:textId="67F17BD8" w:rsidTr="008A6654">
        <w:trPr>
          <w:trHeight w:val="300"/>
        </w:trPr>
        <w:tc>
          <w:tcPr>
            <w:tcW w:w="1777" w:type="dxa"/>
            <w:noWrap/>
            <w:vAlign w:val="center"/>
            <w:hideMark/>
          </w:tcPr>
          <w:p w14:paraId="2DB6159C" w14:textId="77777777" w:rsidR="006B3714" w:rsidRPr="001570EA" w:rsidRDefault="006B3714" w:rsidP="008A6654">
            <w:pPr>
              <w:keepNext/>
              <w:jc w:val="left"/>
              <w:rPr>
                <w:rFonts w:cs="Arial"/>
                <w:color w:val="000000"/>
                <w:sz w:val="18"/>
                <w:szCs w:val="18"/>
              </w:rPr>
            </w:pPr>
            <w:r w:rsidRPr="001570EA">
              <w:rPr>
                <w:rFonts w:cs="Arial"/>
                <w:color w:val="000000"/>
                <w:sz w:val="18"/>
                <w:szCs w:val="18"/>
              </w:rPr>
              <w:t>FE (Met-Ed)</w:t>
            </w:r>
          </w:p>
        </w:tc>
        <w:tc>
          <w:tcPr>
            <w:tcW w:w="1890" w:type="dxa"/>
            <w:noWrap/>
            <w:vAlign w:val="center"/>
            <w:hideMark/>
          </w:tcPr>
          <w:p w14:paraId="3D67D85D" w14:textId="03FA47A8" w:rsidR="006B3714" w:rsidRPr="001570EA" w:rsidRDefault="006B3714" w:rsidP="006B3714">
            <w:pPr>
              <w:keepNext/>
              <w:jc w:val="center"/>
              <w:rPr>
                <w:rFonts w:cs="Arial"/>
                <w:color w:val="000000"/>
                <w:sz w:val="18"/>
                <w:szCs w:val="18"/>
              </w:rPr>
            </w:pPr>
            <w:r w:rsidRPr="001570EA">
              <w:t>-0.0448</w:t>
            </w:r>
          </w:p>
        </w:tc>
        <w:tc>
          <w:tcPr>
            <w:tcW w:w="1620" w:type="dxa"/>
            <w:noWrap/>
            <w:vAlign w:val="center"/>
            <w:hideMark/>
          </w:tcPr>
          <w:p w14:paraId="53E447B1" w14:textId="73AE0750" w:rsidR="006B3714" w:rsidRPr="001570EA" w:rsidRDefault="006B3714" w:rsidP="006B3714">
            <w:pPr>
              <w:keepNext/>
              <w:jc w:val="center"/>
              <w:rPr>
                <w:rFonts w:cs="Arial"/>
                <w:color w:val="000000"/>
                <w:sz w:val="18"/>
                <w:szCs w:val="18"/>
              </w:rPr>
            </w:pPr>
            <w:r w:rsidRPr="001570EA">
              <w:t>0.1193</w:t>
            </w:r>
          </w:p>
        </w:tc>
        <w:tc>
          <w:tcPr>
            <w:tcW w:w="1620" w:type="dxa"/>
            <w:vAlign w:val="center"/>
          </w:tcPr>
          <w:p w14:paraId="3628EB21" w14:textId="765B7F1F" w:rsidR="006B3714" w:rsidRPr="001570EA" w:rsidRDefault="006B3714" w:rsidP="006B3714">
            <w:pPr>
              <w:keepNext/>
              <w:jc w:val="center"/>
              <w:rPr>
                <w:rFonts w:cs="Arial"/>
                <w:color w:val="000000"/>
                <w:sz w:val="18"/>
                <w:szCs w:val="18"/>
              </w:rPr>
            </w:pPr>
            <w:r w:rsidRPr="001570EA">
              <w:t>-0.1242</w:t>
            </w:r>
          </w:p>
        </w:tc>
      </w:tr>
      <w:tr w:rsidR="006B3714" w:rsidRPr="001570EA" w14:paraId="2786357C" w14:textId="5C00727C" w:rsidTr="008A6654">
        <w:trPr>
          <w:trHeight w:val="300"/>
        </w:trPr>
        <w:tc>
          <w:tcPr>
            <w:tcW w:w="1777" w:type="dxa"/>
            <w:noWrap/>
            <w:vAlign w:val="center"/>
            <w:hideMark/>
          </w:tcPr>
          <w:p w14:paraId="3326B4A5" w14:textId="77777777" w:rsidR="006B3714" w:rsidRPr="001570EA" w:rsidRDefault="006B3714" w:rsidP="008A6654">
            <w:pPr>
              <w:keepNext/>
              <w:jc w:val="left"/>
              <w:rPr>
                <w:rFonts w:cs="Arial"/>
                <w:color w:val="000000"/>
                <w:sz w:val="18"/>
                <w:szCs w:val="18"/>
              </w:rPr>
            </w:pPr>
            <w:r w:rsidRPr="001570EA">
              <w:rPr>
                <w:rFonts w:cs="Arial"/>
                <w:color w:val="000000"/>
                <w:sz w:val="18"/>
                <w:szCs w:val="18"/>
              </w:rPr>
              <w:t>FE (Penelec)</w:t>
            </w:r>
          </w:p>
        </w:tc>
        <w:tc>
          <w:tcPr>
            <w:tcW w:w="1890" w:type="dxa"/>
            <w:noWrap/>
            <w:vAlign w:val="center"/>
            <w:hideMark/>
          </w:tcPr>
          <w:p w14:paraId="6EECE44C" w14:textId="487D278D" w:rsidR="006B3714" w:rsidRPr="001570EA" w:rsidRDefault="006B3714" w:rsidP="006B3714">
            <w:pPr>
              <w:keepNext/>
              <w:jc w:val="center"/>
              <w:rPr>
                <w:rFonts w:cs="Arial"/>
                <w:color w:val="000000"/>
                <w:sz w:val="18"/>
                <w:szCs w:val="18"/>
              </w:rPr>
            </w:pPr>
            <w:r w:rsidRPr="001570EA">
              <w:t>-0.0442</w:t>
            </w:r>
          </w:p>
        </w:tc>
        <w:tc>
          <w:tcPr>
            <w:tcW w:w="1620" w:type="dxa"/>
            <w:noWrap/>
            <w:vAlign w:val="center"/>
            <w:hideMark/>
          </w:tcPr>
          <w:p w14:paraId="10FF26F5" w14:textId="684E014A" w:rsidR="006B3714" w:rsidRPr="001570EA" w:rsidRDefault="006B3714" w:rsidP="006B3714">
            <w:pPr>
              <w:keepNext/>
              <w:jc w:val="center"/>
              <w:rPr>
                <w:rFonts w:cs="Arial"/>
                <w:color w:val="000000"/>
                <w:sz w:val="18"/>
                <w:szCs w:val="18"/>
              </w:rPr>
            </w:pPr>
            <w:r w:rsidRPr="001570EA">
              <w:t>0.0736</w:t>
            </w:r>
          </w:p>
        </w:tc>
        <w:tc>
          <w:tcPr>
            <w:tcW w:w="1620" w:type="dxa"/>
            <w:vAlign w:val="center"/>
          </w:tcPr>
          <w:p w14:paraId="1834D704" w14:textId="139450F2" w:rsidR="006B3714" w:rsidRPr="001570EA" w:rsidRDefault="006B3714" w:rsidP="006B3714">
            <w:pPr>
              <w:keepNext/>
              <w:jc w:val="center"/>
              <w:rPr>
                <w:rFonts w:cs="Arial"/>
                <w:color w:val="000000"/>
                <w:sz w:val="18"/>
                <w:szCs w:val="18"/>
              </w:rPr>
            </w:pPr>
            <w:r w:rsidRPr="001570EA">
              <w:t>-0.0872</w:t>
            </w:r>
          </w:p>
        </w:tc>
      </w:tr>
      <w:tr w:rsidR="006B3714" w:rsidRPr="001570EA" w14:paraId="3160415B" w14:textId="2D4BFAF7" w:rsidTr="008A6654">
        <w:trPr>
          <w:trHeight w:val="300"/>
        </w:trPr>
        <w:tc>
          <w:tcPr>
            <w:tcW w:w="1777" w:type="dxa"/>
            <w:noWrap/>
            <w:vAlign w:val="center"/>
            <w:hideMark/>
          </w:tcPr>
          <w:p w14:paraId="62BE9D87" w14:textId="77777777" w:rsidR="006B3714" w:rsidRPr="001570EA" w:rsidRDefault="006B3714" w:rsidP="008A6654">
            <w:pPr>
              <w:keepNext/>
              <w:jc w:val="left"/>
              <w:rPr>
                <w:rFonts w:cs="Arial"/>
                <w:color w:val="000000"/>
                <w:sz w:val="18"/>
                <w:szCs w:val="18"/>
              </w:rPr>
            </w:pPr>
            <w:r w:rsidRPr="001570EA">
              <w:rPr>
                <w:rFonts w:cs="Arial"/>
                <w:color w:val="000000"/>
                <w:sz w:val="18"/>
                <w:szCs w:val="18"/>
              </w:rPr>
              <w:t>FE (Penn Power)</w:t>
            </w:r>
          </w:p>
        </w:tc>
        <w:tc>
          <w:tcPr>
            <w:tcW w:w="1890" w:type="dxa"/>
            <w:noWrap/>
            <w:vAlign w:val="center"/>
            <w:hideMark/>
          </w:tcPr>
          <w:p w14:paraId="45AE28D2" w14:textId="5281F16D" w:rsidR="006B3714" w:rsidRPr="001570EA" w:rsidRDefault="006B3714" w:rsidP="006B3714">
            <w:pPr>
              <w:keepNext/>
              <w:jc w:val="center"/>
              <w:rPr>
                <w:rFonts w:cs="Arial"/>
                <w:color w:val="000000"/>
                <w:sz w:val="18"/>
                <w:szCs w:val="18"/>
              </w:rPr>
            </w:pPr>
            <w:r w:rsidRPr="001570EA">
              <w:t>-0.0102</w:t>
            </w:r>
          </w:p>
        </w:tc>
        <w:tc>
          <w:tcPr>
            <w:tcW w:w="1620" w:type="dxa"/>
            <w:noWrap/>
            <w:vAlign w:val="center"/>
            <w:hideMark/>
          </w:tcPr>
          <w:p w14:paraId="4560E5E4" w14:textId="50515E99" w:rsidR="006B3714" w:rsidRPr="001570EA" w:rsidRDefault="006B3714" w:rsidP="006B3714">
            <w:pPr>
              <w:keepNext/>
              <w:jc w:val="center"/>
              <w:rPr>
                <w:rFonts w:cs="Arial"/>
                <w:color w:val="000000"/>
                <w:sz w:val="18"/>
                <w:szCs w:val="18"/>
              </w:rPr>
            </w:pPr>
            <w:r w:rsidRPr="001570EA">
              <w:t>0.1311</w:t>
            </w:r>
          </w:p>
        </w:tc>
        <w:tc>
          <w:tcPr>
            <w:tcW w:w="1620" w:type="dxa"/>
            <w:vAlign w:val="center"/>
          </w:tcPr>
          <w:p w14:paraId="56E7ACCC" w14:textId="5CA70240" w:rsidR="006B3714" w:rsidRPr="001570EA" w:rsidRDefault="006B3714" w:rsidP="006B3714">
            <w:pPr>
              <w:keepNext/>
              <w:jc w:val="center"/>
              <w:rPr>
                <w:rFonts w:cs="Arial"/>
                <w:color w:val="000000"/>
                <w:sz w:val="18"/>
                <w:szCs w:val="18"/>
              </w:rPr>
            </w:pPr>
            <w:r w:rsidRPr="001570EA">
              <w:t>-0.0555</w:t>
            </w:r>
          </w:p>
        </w:tc>
      </w:tr>
      <w:tr w:rsidR="006B3714" w:rsidRPr="001570EA" w14:paraId="425B29DE" w14:textId="1D2C21F4" w:rsidTr="008A6654">
        <w:trPr>
          <w:trHeight w:val="300"/>
        </w:trPr>
        <w:tc>
          <w:tcPr>
            <w:tcW w:w="1777" w:type="dxa"/>
            <w:noWrap/>
            <w:vAlign w:val="center"/>
            <w:hideMark/>
          </w:tcPr>
          <w:p w14:paraId="54B81E9E" w14:textId="77777777" w:rsidR="006B3714" w:rsidRPr="001570EA" w:rsidRDefault="006B3714" w:rsidP="008A6654">
            <w:pPr>
              <w:keepNext/>
              <w:jc w:val="left"/>
              <w:rPr>
                <w:rFonts w:cs="Arial"/>
                <w:color w:val="000000"/>
                <w:sz w:val="18"/>
                <w:szCs w:val="18"/>
              </w:rPr>
            </w:pPr>
            <w:r w:rsidRPr="001570EA">
              <w:rPr>
                <w:rFonts w:cs="Arial"/>
                <w:color w:val="000000"/>
                <w:sz w:val="18"/>
                <w:szCs w:val="18"/>
              </w:rPr>
              <w:t>FE (WPP)</w:t>
            </w:r>
          </w:p>
        </w:tc>
        <w:tc>
          <w:tcPr>
            <w:tcW w:w="1890" w:type="dxa"/>
            <w:noWrap/>
            <w:vAlign w:val="center"/>
            <w:hideMark/>
          </w:tcPr>
          <w:p w14:paraId="367B7614" w14:textId="5238B046" w:rsidR="006B3714" w:rsidRPr="001570EA" w:rsidRDefault="006B3714" w:rsidP="006B3714">
            <w:pPr>
              <w:keepNext/>
              <w:jc w:val="center"/>
              <w:rPr>
                <w:rFonts w:cs="Arial"/>
                <w:color w:val="000000"/>
                <w:sz w:val="18"/>
                <w:szCs w:val="18"/>
              </w:rPr>
            </w:pPr>
            <w:r w:rsidRPr="001570EA">
              <w:t>-0.0537</w:t>
            </w:r>
          </w:p>
        </w:tc>
        <w:tc>
          <w:tcPr>
            <w:tcW w:w="1620" w:type="dxa"/>
            <w:noWrap/>
            <w:vAlign w:val="center"/>
            <w:hideMark/>
          </w:tcPr>
          <w:p w14:paraId="396DBF93" w14:textId="244C7874" w:rsidR="006B3714" w:rsidRPr="001570EA" w:rsidRDefault="006B3714" w:rsidP="006B3714">
            <w:pPr>
              <w:keepNext/>
              <w:jc w:val="center"/>
              <w:rPr>
                <w:rFonts w:cs="Arial"/>
                <w:color w:val="000000"/>
                <w:sz w:val="18"/>
                <w:szCs w:val="18"/>
              </w:rPr>
            </w:pPr>
            <w:r w:rsidRPr="001570EA">
              <w:t>0.1001</w:t>
            </w:r>
          </w:p>
        </w:tc>
        <w:tc>
          <w:tcPr>
            <w:tcW w:w="1620" w:type="dxa"/>
            <w:vAlign w:val="center"/>
          </w:tcPr>
          <w:p w14:paraId="411F423E" w14:textId="24B5B9FB" w:rsidR="006B3714" w:rsidRPr="001570EA" w:rsidRDefault="006B3714" w:rsidP="006B3714">
            <w:pPr>
              <w:keepNext/>
              <w:jc w:val="center"/>
              <w:rPr>
                <w:rFonts w:cs="Arial"/>
                <w:color w:val="000000"/>
                <w:sz w:val="18"/>
                <w:szCs w:val="18"/>
              </w:rPr>
            </w:pPr>
            <w:r w:rsidRPr="001570EA">
              <w:t>-0.1163</w:t>
            </w:r>
          </w:p>
        </w:tc>
      </w:tr>
    </w:tbl>
    <w:p w14:paraId="62244F9A" w14:textId="77777777" w:rsidR="00FA5174" w:rsidRPr="001570EA" w:rsidRDefault="00FA5174" w:rsidP="00FA5174"/>
    <w:p w14:paraId="260EC01B" w14:textId="77777777" w:rsidR="00FA5174" w:rsidRPr="001570EA" w:rsidRDefault="00FA5174" w:rsidP="00FA5174">
      <w:pPr>
        <w:pStyle w:val="SubStyle"/>
      </w:pPr>
      <w:r w:rsidRPr="001570EA">
        <w:t>Evaluation Protocols</w:t>
      </w:r>
    </w:p>
    <w:p w14:paraId="1EEC9AA3" w14:textId="0C1CE96E" w:rsidR="00FA5174" w:rsidRPr="001570EA" w:rsidRDefault="00FA5174" w:rsidP="00FA5174">
      <w:pPr>
        <w:pStyle w:val="BodyText"/>
        <w:spacing w:after="120"/>
        <w:ind w:right="0"/>
        <w:rPr>
          <w:rFonts w:cs="Arial"/>
        </w:rPr>
      </w:pPr>
      <w:r w:rsidRPr="001570EA">
        <w:t xml:space="preserve">For most projects, the appropriate evaluation protocol is to verify installation and proper selection of default values. For projects using </w:t>
      </w:r>
      <w:r w:rsidR="005E60EE" w:rsidRPr="001570EA">
        <w:t>customer-</w:t>
      </w:r>
      <w:r w:rsidRPr="001570EA">
        <w:t>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75F515FC" w14:textId="77777777" w:rsidR="00FA5174" w:rsidRPr="001570EA" w:rsidRDefault="00FA5174" w:rsidP="00FA5174">
      <w:pPr>
        <w:pStyle w:val="SubStyle"/>
      </w:pPr>
      <w:r w:rsidRPr="001570EA">
        <w:t>Sources</w:t>
      </w:r>
    </w:p>
    <w:p w14:paraId="24657DAE" w14:textId="5FDC04F7" w:rsidR="00BA751C" w:rsidRPr="001570EA" w:rsidRDefault="00BA751C" w:rsidP="002614D2">
      <w:pPr>
        <w:numPr>
          <w:ilvl w:val="0"/>
          <w:numId w:val="24"/>
        </w:numPr>
        <w:tabs>
          <w:tab w:val="clear" w:pos="720"/>
          <w:tab w:val="num" w:pos="360"/>
        </w:tabs>
        <w:overflowPunct w:val="0"/>
        <w:autoSpaceDE w:val="0"/>
        <w:autoSpaceDN w:val="0"/>
        <w:adjustRightInd w:val="0"/>
        <w:spacing w:after="120"/>
        <w:ind w:left="360"/>
        <w:textAlignment w:val="baseline"/>
      </w:pPr>
      <w:r w:rsidRPr="001570EA">
        <w:t>Act 129 Legislation caps measure life at 15 years. Assuming 3 hours of use a day, 15 years equals 16,425 hours. As of January 20</w:t>
      </w:r>
      <w:r w:rsidR="004E2234" w:rsidRPr="001570EA">
        <w:t>24</w:t>
      </w:r>
      <w:r w:rsidRPr="001570EA">
        <w:t>, average rated life hours for ENERGY STAR</w:t>
      </w:r>
      <w:r w:rsidR="00691F0E" w:rsidRPr="001570EA">
        <w:t>-</w:t>
      </w:r>
      <w:r w:rsidRPr="001570EA">
        <w:t>qualified LEDs was &gt;2</w:t>
      </w:r>
      <w:r w:rsidR="004E2234" w:rsidRPr="001570EA">
        <w:t>1</w:t>
      </w:r>
      <w:r w:rsidRPr="001570EA">
        <w:t>,</w:t>
      </w:r>
      <w:r w:rsidR="004E2234" w:rsidRPr="001570EA">
        <w:t>8</w:t>
      </w:r>
      <w:r w:rsidRPr="001570EA">
        <w:t>00 hours</w:t>
      </w:r>
      <w:r w:rsidR="004E2234" w:rsidRPr="001570EA">
        <w:t xml:space="preserve">. </w:t>
      </w:r>
      <w:r w:rsidR="00691F0E" w:rsidRPr="001570EA">
        <w:t>Accessed January 2024.</w:t>
      </w:r>
      <w:r w:rsidR="00C90B81" w:rsidRPr="001570EA">
        <w:t xml:space="preserve"> </w:t>
      </w:r>
      <w:hyperlink r:id="rId17" w:history="1">
        <w:r w:rsidR="00691F0E" w:rsidRPr="001570EA">
          <w:rPr>
            <w:rStyle w:val="Hyperlink"/>
          </w:rPr>
          <w:t>Weblink</w:t>
        </w:r>
      </w:hyperlink>
    </w:p>
    <w:p w14:paraId="2A3A5C4B" w14:textId="1153E4A1" w:rsidR="00FC5A39" w:rsidRPr="001570EA" w:rsidRDefault="00040806" w:rsidP="002614D2">
      <w:pPr>
        <w:numPr>
          <w:ilvl w:val="0"/>
          <w:numId w:val="24"/>
        </w:numPr>
        <w:tabs>
          <w:tab w:val="clear" w:pos="720"/>
          <w:tab w:val="num" w:pos="360"/>
        </w:tabs>
        <w:overflowPunct w:val="0"/>
        <w:autoSpaceDE w:val="0"/>
        <w:autoSpaceDN w:val="0"/>
        <w:adjustRightInd w:val="0"/>
        <w:spacing w:after="120"/>
        <w:ind w:left="360"/>
        <w:textAlignment w:val="baseline"/>
      </w:pPr>
      <w:r w:rsidRPr="001570EA">
        <w:t xml:space="preserve">Early replacement measure life calculated by multiplying one-half (the assumed proportion of remaining life) times the product of (1) the distribution of incandescent, halogen, and CFL bulbs from the </w:t>
      </w:r>
      <w:r w:rsidR="00DE51FA">
        <w:t>Act 129</w:t>
      </w:r>
      <w:r w:rsidRPr="001570EA">
        <w:t xml:space="preserve"> 2023 P</w:t>
      </w:r>
      <w:r w:rsidR="007F7330">
        <w:t>ennsylvania</w:t>
      </w:r>
      <w:r w:rsidRPr="001570EA">
        <w:t xml:space="preserve"> </w:t>
      </w:r>
      <w:r w:rsidR="007F7330" w:rsidRPr="001570EA">
        <w:t>Residential Baseline Study</w:t>
      </w:r>
      <w:r w:rsidR="00F6186C">
        <w:t xml:space="preserve"> (</w:t>
      </w:r>
      <w:hyperlink r:id="rId18" w:history="1">
        <w:r w:rsidR="00F6186C" w:rsidRPr="00F6186C">
          <w:rPr>
            <w:rStyle w:val="Hyperlink"/>
          </w:rPr>
          <w:t>Weblink</w:t>
        </w:r>
      </w:hyperlink>
      <w:r w:rsidR="00F6186C">
        <w:t>)</w:t>
      </w:r>
      <w:r w:rsidRPr="001570EA">
        <w:t xml:space="preserve"> and (2) the service lifetimes for incandescent, halogen, and CFL bulbs assumed in DOE Impact Statement for US Department of Energy Appliance and Equipment Standards Rulemakings and Notices. July 25, 2022. </w:t>
      </w:r>
      <w:hyperlink r:id="rId19" w:history="1">
        <w:r w:rsidRPr="001570EA">
          <w:rPr>
            <w:rStyle w:val="Hyperlink"/>
          </w:rPr>
          <w:t>Weblink</w:t>
        </w:r>
      </w:hyperlink>
    </w:p>
    <w:p w14:paraId="1A26FBE0" w14:textId="4F268B1B" w:rsidR="00B364B0" w:rsidRPr="001570EA" w:rsidRDefault="00CE2C51" w:rsidP="002614D2">
      <w:pPr>
        <w:pStyle w:val="ListParagraph"/>
        <w:numPr>
          <w:ilvl w:val="0"/>
          <w:numId w:val="24"/>
        </w:numPr>
        <w:tabs>
          <w:tab w:val="clear" w:pos="720"/>
          <w:tab w:val="num" w:pos="360"/>
        </w:tabs>
        <w:spacing w:after="120"/>
        <w:ind w:left="360"/>
        <w:jc w:val="left"/>
      </w:pPr>
      <w:r w:rsidRPr="001570EA">
        <w:t xml:space="preserve">US Department of Energy Appliance and Equipment Standards Rulemakings and Notices. July 25, 2022. </w:t>
      </w:r>
      <w:bookmarkStart w:id="45" w:name="_Hlk165896990"/>
      <w:r>
        <w:fldChar w:fldCharType="begin"/>
      </w:r>
      <w:r>
        <w:instrText>HYPERLINK "https://www.regulations.gov/document/EERE-2021-BT-STD-0005-0070"</w:instrText>
      </w:r>
      <w:r>
        <w:fldChar w:fldCharType="separate"/>
      </w:r>
      <w:r w:rsidRPr="001570EA">
        <w:rPr>
          <w:rStyle w:val="Hyperlink"/>
        </w:rPr>
        <w:t>Weblink</w:t>
      </w:r>
      <w:r>
        <w:rPr>
          <w:rStyle w:val="Hyperlink"/>
        </w:rPr>
        <w:fldChar w:fldCharType="end"/>
      </w:r>
      <w:bookmarkEnd w:id="45"/>
      <w:r w:rsidRPr="001570EA">
        <w:t xml:space="preserve"> </w:t>
      </w:r>
      <w:r w:rsidR="008723A6" w:rsidRPr="001570EA">
        <w:t xml:space="preserve">   </w:t>
      </w:r>
    </w:p>
    <w:p w14:paraId="5ACBB455" w14:textId="14B35EBC" w:rsidR="00B364B0" w:rsidRPr="001570EA" w:rsidRDefault="00B364B0" w:rsidP="002614D2">
      <w:pPr>
        <w:pStyle w:val="ListParagraph"/>
        <w:numPr>
          <w:ilvl w:val="0"/>
          <w:numId w:val="24"/>
        </w:numPr>
        <w:tabs>
          <w:tab w:val="clear" w:pos="720"/>
          <w:tab w:val="num" w:pos="360"/>
        </w:tabs>
        <w:spacing w:after="120"/>
        <w:ind w:left="360"/>
        <w:jc w:val="left"/>
      </w:pPr>
      <w:r w:rsidRPr="001570EA">
        <w:t xml:space="preserve">US Department of Energy Appliance and Equipment Standards Rulemakings and Notices. July </w:t>
      </w:r>
      <w:r w:rsidR="008723A6" w:rsidRPr="001570EA">
        <w:t>8</w:t>
      </w:r>
      <w:r w:rsidRPr="001570EA">
        <w:t>, 2022</w:t>
      </w:r>
      <w:r w:rsidR="008723A6" w:rsidRPr="001570EA">
        <w:t xml:space="preserve">. </w:t>
      </w:r>
      <w:hyperlink r:id="rId20" w:history="1">
        <w:r w:rsidRPr="001570EA">
          <w:rPr>
            <w:rStyle w:val="Hyperlink"/>
          </w:rPr>
          <w:t>Weblink</w:t>
        </w:r>
      </w:hyperlink>
    </w:p>
    <w:p w14:paraId="3D361A30" w14:textId="40460732" w:rsidR="00FA5174" w:rsidRPr="001570EA" w:rsidRDefault="00A36A0D" w:rsidP="002614D2">
      <w:pPr>
        <w:pStyle w:val="ListParagraph"/>
        <w:numPr>
          <w:ilvl w:val="0"/>
          <w:numId w:val="24"/>
        </w:numPr>
        <w:tabs>
          <w:tab w:val="clear" w:pos="720"/>
          <w:tab w:val="num" w:pos="360"/>
        </w:tabs>
        <w:spacing w:after="120"/>
        <w:ind w:left="360"/>
      </w:pPr>
      <w:r w:rsidRPr="001570EA">
        <w:t xml:space="preserve">Average “all bulb” probably of operation during PJM summer and winter peak periods calculated using load shapes from Statewide Evaluation Team for Pennsylvania Public Utilities Commission. (2014, January). Pennsylvania Statewide Act 129 2014 Commercial &amp; Residential Light Metering Study. Appendix A Residential Load Shapes. </w:t>
      </w:r>
      <w:hyperlink r:id="rId21" w:history="1">
        <w:r w:rsidRPr="001570EA">
          <w:rPr>
            <w:rStyle w:val="Hyperlink"/>
            <w:rFonts w:cs="Arial"/>
          </w:rPr>
          <w:t>Weblink</w:t>
        </w:r>
      </w:hyperlink>
    </w:p>
    <w:p w14:paraId="3D025E79" w14:textId="7E7046B6" w:rsidR="00847B36" w:rsidRPr="001570EA" w:rsidRDefault="00847B36" w:rsidP="002614D2">
      <w:pPr>
        <w:pStyle w:val="ListParagraph"/>
        <w:numPr>
          <w:ilvl w:val="0"/>
          <w:numId w:val="24"/>
        </w:numPr>
        <w:tabs>
          <w:tab w:val="clear" w:pos="720"/>
        </w:tabs>
        <w:ind w:left="360"/>
      </w:pPr>
      <w:r w:rsidRPr="001570EA">
        <w:t>SWE Interactive Effect Calculator</w:t>
      </w:r>
      <w:r w:rsidR="00D970AC" w:rsidRPr="001570EA">
        <w:t>.</w:t>
      </w:r>
    </w:p>
    <w:p w14:paraId="13213681" w14:textId="598EEC25" w:rsidR="003B42FF" w:rsidRPr="001570EA" w:rsidRDefault="003B42FF" w:rsidP="002614D2">
      <w:pPr>
        <w:pStyle w:val="ListParagraph"/>
        <w:numPr>
          <w:ilvl w:val="0"/>
          <w:numId w:val="24"/>
        </w:numPr>
        <w:tabs>
          <w:tab w:val="clear" w:pos="720"/>
          <w:tab w:val="num" w:pos="360"/>
        </w:tabs>
        <w:spacing w:after="120"/>
        <w:ind w:left="360"/>
      </w:pPr>
      <w:r w:rsidRPr="001570EA">
        <w:t>Statewide Evaluation Team (GDS Associates, Inc, Nexant, Research into Action, Apex Analytics LLC) for Pennsylvania Public Utilities Commission. (2014, January). 2014 Commercial &amp; Residential Light Metering Study.</w:t>
      </w:r>
      <w:r w:rsidR="00C13A9E" w:rsidRPr="001570EA">
        <w:t xml:space="preserve"> P</w:t>
      </w:r>
      <w:r w:rsidR="0057175E">
        <w:t>a</w:t>
      </w:r>
      <w:r w:rsidR="00C13A9E" w:rsidRPr="001570EA">
        <w:t>g</w:t>
      </w:r>
      <w:r w:rsidR="0057175E">
        <w:t>e</w:t>
      </w:r>
      <w:r w:rsidR="00C13A9E" w:rsidRPr="001570EA">
        <w:t xml:space="preserve"> 4, </w:t>
      </w:r>
      <w:r w:rsidR="0057175E" w:rsidRPr="001570EA">
        <w:t>Table</w:t>
      </w:r>
      <w:r w:rsidR="00C13A9E" w:rsidRPr="001570EA">
        <w:t xml:space="preserve"> </w:t>
      </w:r>
      <w:r w:rsidR="0096081D" w:rsidRPr="001570EA">
        <w:t>1-1.</w:t>
      </w:r>
      <w:r w:rsidRPr="001570EA">
        <w:t xml:space="preserve"> </w:t>
      </w:r>
      <w:hyperlink r:id="rId22" w:history="1">
        <w:r w:rsidRPr="001570EA">
          <w:rPr>
            <w:rStyle w:val="Hyperlink"/>
          </w:rPr>
          <w:t>Weblink</w:t>
        </w:r>
      </w:hyperlink>
      <w:r w:rsidRPr="001570EA">
        <w:t xml:space="preserve"> </w:t>
      </w:r>
    </w:p>
    <w:p w14:paraId="3F75470C" w14:textId="14E9FC53" w:rsidR="00023A96" w:rsidRPr="001570EA" w:rsidRDefault="00023A96" w:rsidP="002614D2">
      <w:pPr>
        <w:pStyle w:val="ListParagraph"/>
        <w:numPr>
          <w:ilvl w:val="0"/>
          <w:numId w:val="24"/>
        </w:numPr>
        <w:tabs>
          <w:tab w:val="clear" w:pos="720"/>
          <w:tab w:val="num" w:pos="360"/>
        </w:tabs>
        <w:spacing w:after="120"/>
        <w:ind w:left="360"/>
        <w:jc w:val="left"/>
      </w:pPr>
      <w:r w:rsidRPr="001570EA">
        <w:t xml:space="preserve">Grainger Lighting Product Web Pages: </w:t>
      </w:r>
      <w:hyperlink r:id="rId23" w:history="1">
        <w:r w:rsidRPr="001570EA">
          <w:rPr>
            <w:rStyle w:val="Hyperlink"/>
          </w:rPr>
          <w:t>Weblink1</w:t>
        </w:r>
      </w:hyperlink>
      <w:r w:rsidRPr="001570EA">
        <w:t xml:space="preserve">, </w:t>
      </w:r>
      <w:hyperlink r:id="rId24" w:history="1">
        <w:r w:rsidRPr="001570EA">
          <w:rPr>
            <w:rStyle w:val="Hyperlink"/>
          </w:rPr>
          <w:t>Weblink2</w:t>
        </w:r>
      </w:hyperlink>
    </w:p>
    <w:p w14:paraId="78E76911" w14:textId="6F81AB5B" w:rsidR="00023A96" w:rsidRPr="001570EA" w:rsidRDefault="00023A96" w:rsidP="002614D2">
      <w:pPr>
        <w:pStyle w:val="ListParagraph"/>
        <w:numPr>
          <w:ilvl w:val="0"/>
          <w:numId w:val="24"/>
        </w:numPr>
        <w:tabs>
          <w:tab w:val="clear" w:pos="720"/>
          <w:tab w:val="num" w:pos="360"/>
        </w:tabs>
        <w:spacing w:after="120"/>
        <w:ind w:left="360"/>
        <w:jc w:val="left"/>
        <w:rPr>
          <w:rStyle w:val="Hyperlink"/>
          <w:color w:val="auto"/>
          <w:u w:val="none"/>
        </w:rPr>
      </w:pPr>
      <w:r w:rsidRPr="001570EA">
        <w:t xml:space="preserve">PA </w:t>
      </w:r>
      <w:r w:rsidR="00C52985" w:rsidRPr="001570EA">
        <w:t xml:space="preserve">2026 </w:t>
      </w:r>
      <w:r w:rsidRPr="001570EA">
        <w:t xml:space="preserve">TRM Appendix C. </w:t>
      </w:r>
      <w:hyperlink r:id="rId25" w:history="1">
        <w:r w:rsidRPr="001570EA">
          <w:rPr>
            <w:rStyle w:val="Hyperlink"/>
          </w:rPr>
          <w:t>Weblink</w:t>
        </w:r>
      </w:hyperlink>
    </w:p>
    <w:p w14:paraId="291653D2" w14:textId="5C97AC88" w:rsidR="00023A96" w:rsidRPr="001570EA" w:rsidRDefault="000279CE" w:rsidP="002614D2">
      <w:pPr>
        <w:pStyle w:val="ListParagraph"/>
        <w:numPr>
          <w:ilvl w:val="0"/>
          <w:numId w:val="24"/>
        </w:numPr>
        <w:tabs>
          <w:tab w:val="clear" w:pos="720"/>
          <w:tab w:val="num" w:pos="360"/>
        </w:tabs>
        <w:spacing w:after="120"/>
        <w:ind w:left="360"/>
        <w:jc w:val="left"/>
      </w:pPr>
      <w:r w:rsidRPr="001570EA">
        <w:t xml:space="preserve">9.7% </w:t>
      </w:r>
      <w:r w:rsidR="00296E62" w:rsidRPr="001570EA">
        <w:t>of</w:t>
      </w:r>
      <w:r w:rsidRPr="001570EA">
        <w:t xml:space="preserve"> LEDs observed </w:t>
      </w:r>
      <w:r w:rsidR="00EF7FCE" w:rsidRPr="001570EA">
        <w:t xml:space="preserve">for </w:t>
      </w:r>
      <w:r w:rsidR="00104DBC" w:rsidRPr="001570EA">
        <w:t xml:space="preserve">Act 129 </w:t>
      </w:r>
      <w:r w:rsidR="00EF7FCE" w:rsidRPr="001570EA">
        <w:t xml:space="preserve">2023 Pennsylvania Residential Baseline </w:t>
      </w:r>
      <w:r w:rsidR="00104DBC" w:rsidRPr="001570EA">
        <w:t>Study</w:t>
      </w:r>
      <w:r w:rsidR="00296E62" w:rsidRPr="001570EA">
        <w:t xml:space="preserve"> were exterior</w:t>
      </w:r>
      <w:r w:rsidR="00EF7FCE" w:rsidRPr="001570EA">
        <w:t>.</w:t>
      </w:r>
      <w:r w:rsidR="00F6186C">
        <w:t xml:space="preserve"> </w:t>
      </w:r>
      <w:hyperlink r:id="rId26" w:history="1">
        <w:r w:rsidR="00F6186C" w:rsidRPr="00F6186C">
          <w:rPr>
            <w:rStyle w:val="Hyperlink"/>
          </w:rPr>
          <w:t>Weblink</w:t>
        </w:r>
      </w:hyperlink>
    </w:p>
    <w:p w14:paraId="1B0ABE0F" w14:textId="657161A7" w:rsidR="000C1EC2" w:rsidRPr="001570EA" w:rsidRDefault="000C1EC2" w:rsidP="000C1EC2">
      <w:pPr>
        <w:rPr>
          <w:rStyle w:val="Hyperlink"/>
        </w:rPr>
      </w:pPr>
    </w:p>
    <w:p w14:paraId="643C7D4E" w14:textId="77777777" w:rsidR="000C1EC2" w:rsidRPr="001570EA" w:rsidRDefault="000C1EC2" w:rsidP="000C1EC2">
      <w:pPr>
        <w:rPr>
          <w:rStyle w:val="Hyperlink"/>
        </w:rPr>
      </w:pPr>
    </w:p>
    <w:p w14:paraId="46B96111" w14:textId="0132E3DD" w:rsidR="00AC189A" w:rsidRPr="001570EA" w:rsidRDefault="00AC189A" w:rsidP="008A6654">
      <w:pPr>
        <w:rPr>
          <w:rStyle w:val="Hyperlink"/>
        </w:rPr>
      </w:pPr>
      <w:r w:rsidRPr="001570EA">
        <w:rPr>
          <w:rStyle w:val="Hyperlink"/>
        </w:rPr>
        <w:br w:type="page"/>
      </w:r>
    </w:p>
    <w:p w14:paraId="45230BDE" w14:textId="77777777" w:rsidR="00FA5174" w:rsidRPr="001570EA" w:rsidRDefault="00FA5174" w:rsidP="00462D97">
      <w:pPr>
        <w:pStyle w:val="Heading3"/>
      </w:pPr>
      <w:bookmarkStart w:id="46" w:name="_Toc48143012"/>
      <w:bookmarkStart w:id="47" w:name="_Toc164786630"/>
      <w:r w:rsidRPr="001570EA">
        <w:t>Residential Occupancy Sensors</w:t>
      </w:r>
      <w:bookmarkEnd w:id="46"/>
      <w:bookmarkEnd w:id="47"/>
      <w:r w:rsidRPr="001570EA">
        <w:t xml:space="preserve"> </w:t>
      </w:r>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8"/>
        <w:gridCol w:w="4964"/>
      </w:tblGrid>
      <w:tr w:rsidR="00FA5174" w:rsidRPr="001570EA" w14:paraId="64AE3069" w14:textId="77777777" w:rsidTr="00BD2C4C">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C8B104C" w14:textId="77777777" w:rsidR="00FA5174" w:rsidRPr="001570EA" w:rsidRDefault="00FA5174" w:rsidP="00BD2C4C">
            <w:pPr>
              <w:pStyle w:val="TableCell"/>
              <w:spacing w:before="60" w:after="60"/>
              <w:rPr>
                <w:b/>
                <w:bCs/>
                <w:color w:val="000000"/>
              </w:rPr>
            </w:pPr>
            <w:r w:rsidRPr="001570EA">
              <w:rPr>
                <w:b/>
                <w:bCs/>
                <w:color w:val="000000"/>
              </w:rPr>
              <w:t>Target Sector</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2DFD2CD8" w14:textId="540C3022" w:rsidR="00FA5174" w:rsidRPr="001570EA" w:rsidRDefault="00FA5174" w:rsidP="00BD2C4C">
            <w:pPr>
              <w:pStyle w:val="TableCell"/>
              <w:spacing w:before="60" w:after="60"/>
              <w:jc w:val="center"/>
              <w:rPr>
                <w:color w:val="000000"/>
              </w:rPr>
            </w:pPr>
            <w:r w:rsidRPr="001570EA">
              <w:rPr>
                <w:color w:val="000000"/>
              </w:rPr>
              <w:t>Residential</w:t>
            </w:r>
          </w:p>
        </w:tc>
      </w:tr>
      <w:tr w:rsidR="00FA5174" w:rsidRPr="001570EA" w14:paraId="0C0EAE9A" w14:textId="77777777" w:rsidTr="00BD2C4C">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0984131A" w14:textId="77777777" w:rsidR="00FA5174" w:rsidRPr="001570EA" w:rsidRDefault="00FA5174" w:rsidP="00BD2C4C">
            <w:pPr>
              <w:pStyle w:val="TableCell"/>
              <w:spacing w:before="60" w:after="60"/>
              <w:rPr>
                <w:b/>
                <w:bCs/>
                <w:color w:val="000000"/>
              </w:rPr>
            </w:pPr>
            <w:r w:rsidRPr="001570EA">
              <w:rPr>
                <w:b/>
                <w:bCs/>
                <w:color w:val="000000"/>
              </w:rPr>
              <w:t>Measure Unit</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2ADD6F97" w14:textId="77777777" w:rsidR="00FA5174" w:rsidRPr="001570EA" w:rsidRDefault="00FA5174" w:rsidP="00BD2C4C">
            <w:pPr>
              <w:pStyle w:val="TableCell"/>
              <w:spacing w:before="60" w:after="60"/>
              <w:jc w:val="center"/>
              <w:rPr>
                <w:color w:val="000000"/>
              </w:rPr>
            </w:pPr>
            <w:r w:rsidRPr="001570EA">
              <w:rPr>
                <w:color w:val="000000"/>
              </w:rPr>
              <w:t>Occupancy Sensor</w:t>
            </w:r>
          </w:p>
        </w:tc>
      </w:tr>
      <w:tr w:rsidR="00FA5174" w:rsidRPr="001570EA" w14:paraId="2C2A4BEE" w14:textId="77777777" w:rsidTr="00BD2C4C">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2A4D0D02" w14:textId="77777777" w:rsidR="00FA5174" w:rsidRPr="001570EA" w:rsidRDefault="00FA5174" w:rsidP="00BD2C4C">
            <w:pPr>
              <w:pStyle w:val="TableCell"/>
              <w:spacing w:before="60" w:after="60"/>
              <w:rPr>
                <w:b/>
                <w:bCs/>
                <w:color w:val="000000"/>
              </w:rPr>
            </w:pPr>
            <w:r w:rsidRPr="001570EA">
              <w:rPr>
                <w:b/>
                <w:bCs/>
                <w:color w:val="000000"/>
              </w:rPr>
              <w:t>Measure Life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8F8CF01" w14:textId="38B9CE67" w:rsidR="00FA5174" w:rsidRPr="001570EA" w:rsidRDefault="00B37A04" w:rsidP="00BD2C4C">
            <w:pPr>
              <w:pStyle w:val="TableCell"/>
              <w:spacing w:before="60" w:after="60"/>
              <w:jc w:val="center"/>
              <w:rPr>
                <w:color w:val="000000"/>
                <w:vertAlign w:val="superscript"/>
              </w:rPr>
            </w:pPr>
            <w:r w:rsidRPr="001570EA">
              <w:rPr>
                <w:color w:val="000000"/>
              </w:rPr>
              <w:t>8</w:t>
            </w:r>
            <w:r w:rsidR="00FA5174" w:rsidRPr="001570EA">
              <w:rPr>
                <w:color w:val="000000"/>
              </w:rPr>
              <w:t xml:space="preserve"> years</w:t>
            </w:r>
            <w:r w:rsidR="00FA5174" w:rsidRPr="001570EA">
              <w:rPr>
                <w:vertAlign w:val="superscript"/>
              </w:rPr>
              <w:t>Source 3</w:t>
            </w:r>
          </w:p>
        </w:tc>
      </w:tr>
      <w:tr w:rsidR="00FA5174" w:rsidRPr="001570EA" w14:paraId="0F3C3E9B" w14:textId="77777777" w:rsidTr="00BD2C4C">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6DAFB8E2" w14:textId="77777777" w:rsidR="00FA5174" w:rsidRPr="001570EA" w:rsidRDefault="00FA5174" w:rsidP="00BD2C4C">
            <w:pPr>
              <w:pStyle w:val="TableCell"/>
              <w:spacing w:before="60" w:after="60"/>
              <w:rPr>
                <w:b/>
                <w:bCs/>
                <w:color w:val="000000"/>
              </w:rPr>
            </w:pPr>
            <w:r w:rsidRPr="001570EA">
              <w:rPr>
                <w:b/>
                <w:bCs/>
                <w:color w:val="000000"/>
              </w:rPr>
              <w:t>Vintage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954A4A0" w14:textId="77777777" w:rsidR="00FA5174" w:rsidRPr="001570EA" w:rsidRDefault="00FA5174" w:rsidP="00BD2C4C">
            <w:pPr>
              <w:pStyle w:val="TableCell"/>
              <w:spacing w:before="60" w:after="60"/>
              <w:jc w:val="center"/>
              <w:rPr>
                <w:color w:val="000000"/>
              </w:rPr>
            </w:pPr>
            <w:r w:rsidRPr="001570EA">
              <w:rPr>
                <w:color w:val="000000"/>
              </w:rPr>
              <w:t>Retrofit</w:t>
            </w:r>
          </w:p>
        </w:tc>
      </w:tr>
    </w:tbl>
    <w:p w14:paraId="153A87CB" w14:textId="77777777" w:rsidR="00FA5174" w:rsidRPr="001570EA" w:rsidRDefault="00FA5174" w:rsidP="00FA5174"/>
    <w:p w14:paraId="0178352A" w14:textId="0BF3EDA1" w:rsidR="00FA5174" w:rsidRPr="001570EA" w:rsidRDefault="00FA5174" w:rsidP="00FA5174">
      <w:r w:rsidRPr="001570EA">
        <w:t xml:space="preserve">Savings for residential occupancy sensors inside residential homes are based on a straightforward algorithm that calculates savings based on the wattage of the </w:t>
      </w:r>
      <w:r w:rsidR="00757702" w:rsidRPr="001570EA">
        <w:t>bulb</w:t>
      </w:r>
      <w:r w:rsidR="00071597" w:rsidRPr="001570EA">
        <w:t>(</w:t>
      </w:r>
      <w:r w:rsidR="00757702" w:rsidRPr="001570EA">
        <w:t>s</w:t>
      </w:r>
      <w:r w:rsidR="00071597" w:rsidRPr="001570EA">
        <w:t>)</w:t>
      </w:r>
      <w:r w:rsidR="00757702" w:rsidRPr="001570EA">
        <w:t xml:space="preserve"> or </w:t>
      </w:r>
      <w:r w:rsidRPr="001570EA">
        <w:t>fixture(s) being controlled by the occupancy sensor, the daily run hours before installation</w:t>
      </w:r>
      <w:r w:rsidR="009F5BF2" w:rsidRPr="001570EA">
        <w:t>,</w:t>
      </w:r>
      <w:r w:rsidRPr="001570EA">
        <w:t xml:space="preserve"> and </w:t>
      </w:r>
      <w:r w:rsidRPr="001570EA">
        <w:rPr>
          <w:rFonts w:cs="Arial"/>
        </w:rPr>
        <w:t xml:space="preserve">the daily run hours after installation. </w:t>
      </w:r>
    </w:p>
    <w:p w14:paraId="7B9C4B7E" w14:textId="77777777" w:rsidR="00FA5174" w:rsidRPr="001570EA" w:rsidRDefault="00FA5174" w:rsidP="002C10C7"/>
    <w:p w14:paraId="36092CAB" w14:textId="77777777" w:rsidR="00FA5174" w:rsidRPr="001570EA" w:rsidRDefault="00FA5174" w:rsidP="00FA5174">
      <w:pPr>
        <w:pStyle w:val="SubStyle"/>
      </w:pPr>
      <w:r w:rsidRPr="001570EA">
        <w:t>Eligibility</w:t>
      </w:r>
    </w:p>
    <w:p w14:paraId="19035FEF" w14:textId="37B72219" w:rsidR="00FA5174" w:rsidRPr="001570EA" w:rsidRDefault="00FA5174" w:rsidP="00FA5174">
      <w:r w:rsidRPr="001570EA">
        <w:t xml:space="preserve">This protocol is for the installation of </w:t>
      </w:r>
      <w:r w:rsidR="00BD66A9" w:rsidRPr="001570EA">
        <w:t xml:space="preserve">hard-wired or plug-in </w:t>
      </w:r>
      <w:r w:rsidRPr="001570EA">
        <w:t>occupancy sensors</w:t>
      </w:r>
      <w:r w:rsidR="00730F53" w:rsidRPr="001570EA">
        <w:t xml:space="preserve"> in single-family homes or in</w:t>
      </w:r>
      <w:r w:rsidR="001B2E84" w:rsidRPr="001570EA">
        <w:t>side</w:t>
      </w:r>
      <w:r w:rsidR="00730F53" w:rsidRPr="001570EA">
        <w:t xml:space="preserve"> multifamily units</w:t>
      </w:r>
      <w:r w:rsidR="00BD66A9" w:rsidRPr="001570EA">
        <w:t xml:space="preserve">. It can also be used </w:t>
      </w:r>
      <w:r w:rsidR="00673C5B" w:rsidRPr="001570EA">
        <w:t>to estimate savings</w:t>
      </w:r>
      <w:r w:rsidRPr="001570EA">
        <w:t xml:space="preserve"> </w:t>
      </w:r>
      <w:r w:rsidR="0003673A" w:rsidRPr="001570EA">
        <w:t>from</w:t>
      </w:r>
      <w:r w:rsidRPr="001570EA">
        <w:t xml:space="preserve"> connected (aka “smart”) lighting inside homes.</w:t>
      </w:r>
      <w:r w:rsidR="002F1533" w:rsidRPr="001570EA">
        <w:t xml:space="preserve"> </w:t>
      </w:r>
      <w:r w:rsidR="00D67C7C" w:rsidRPr="001570EA">
        <w:t>O</w:t>
      </w:r>
      <w:r w:rsidR="00AC5BF0" w:rsidRPr="001570EA">
        <w:t xml:space="preserve">ccupancy sensors installed </w:t>
      </w:r>
      <w:r w:rsidR="00D67C7C" w:rsidRPr="001570EA">
        <w:t xml:space="preserve">outdoors </w:t>
      </w:r>
      <w:r w:rsidR="001B2E84" w:rsidRPr="001570EA">
        <w:t xml:space="preserve">or </w:t>
      </w:r>
      <w:r w:rsidR="00AC5BF0" w:rsidRPr="001570EA">
        <w:t>in multi</w:t>
      </w:r>
      <w:r w:rsidR="007B17F6" w:rsidRPr="001570EA">
        <w:t>family common areas</w:t>
      </w:r>
      <w:r w:rsidR="001B2E84" w:rsidRPr="001570EA">
        <w:t xml:space="preserve"> are not eligible under this protocol.</w:t>
      </w:r>
      <w:r w:rsidR="007B17F6" w:rsidRPr="001570EA">
        <w:t xml:space="preserve"> </w:t>
      </w:r>
    </w:p>
    <w:p w14:paraId="31841610" w14:textId="77777777" w:rsidR="00FA5174" w:rsidRPr="001570EA" w:rsidRDefault="00FA5174" w:rsidP="002C10C7"/>
    <w:p w14:paraId="334F2D2B" w14:textId="77777777" w:rsidR="00FA5174" w:rsidRPr="001570EA" w:rsidRDefault="00FA5174" w:rsidP="00FA5174">
      <w:pPr>
        <w:pStyle w:val="SubStyle"/>
      </w:pPr>
      <w:r w:rsidRPr="001570EA">
        <w:t>Algorithms</w:t>
      </w:r>
    </w:p>
    <w:p w14:paraId="7F849DCA" w14:textId="2D38889C" w:rsidR="00FA5174" w:rsidRPr="001570EA" w:rsidRDefault="00010AEE" w:rsidP="00FA5174">
      <w:pPr>
        <w:pStyle w:val="Equation"/>
        <w:ind w:left="0" w:firstLine="0"/>
        <w:rPr>
          <w:rFonts w:cs="Arial"/>
          <w:szCs w:val="20"/>
        </w:rPr>
      </w:pPr>
      <m:oMathPara>
        <m:oMathParaPr>
          <m:jc m:val="left"/>
        </m:oMathParaPr>
        <m:oMath>
          <m:r>
            <w:rPr>
              <w:rFonts w:ascii="Cambria Math" w:hAnsi="Cambria Math" w:cs="Arial"/>
              <w:szCs w:val="20"/>
            </w:rPr>
            <m:t>∆kWh                            =</m:t>
          </m:r>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szCs w:val="20"/>
                    </w:rPr>
                    <m:t>Watts</m:t>
                  </m:r>
                </m:e>
                <m:sub>
                  <m:r>
                    <w:rPr>
                      <w:rFonts w:ascii="Cambria Math" w:hAnsi="Cambria Math" w:cs="Arial"/>
                      <w:szCs w:val="20"/>
                    </w:rPr>
                    <m:t>controlled</m:t>
                  </m:r>
                </m:sub>
              </m:sSub>
            </m:num>
            <m:den>
              <m:r>
                <w:rPr>
                  <w:rFonts w:ascii="Cambria Math" w:hAnsi="Cambria Math" w:cs="Arial"/>
                  <w:szCs w:val="20"/>
                </w:rPr>
                <m:t>1,000</m:t>
              </m:r>
            </m:den>
          </m:f>
          <m:r>
            <w:rPr>
              <w:rFonts w:ascii="Cambria Math" w:hAnsi="Cambria Math" w:cs="Arial"/>
              <w:szCs w:val="20"/>
            </w:rPr>
            <m:t xml:space="preserve"> ×</m:t>
          </m:r>
          <m:d>
            <m:dPr>
              <m:ctrlPr>
                <w:rPr>
                  <w:rFonts w:ascii="Cambria Math" w:hAnsi="Cambria Math" w:cs="Arial"/>
                  <w:szCs w:val="20"/>
                </w:rPr>
              </m:ctrlPr>
            </m:dPr>
            <m:e>
              <m:r>
                <w:rPr>
                  <w:rFonts w:ascii="Cambria Math" w:hAnsi="Cambria Math" w:cs="Arial"/>
                  <w:szCs w:val="20"/>
                </w:rPr>
                <m:t>1+</m:t>
              </m:r>
              <m:sSub>
                <m:sSubPr>
                  <m:ctrlPr>
                    <w:rPr>
                      <w:rFonts w:ascii="Cambria Math" w:hAnsi="Cambria Math" w:cs="Arial"/>
                    </w:rPr>
                  </m:ctrlPr>
                </m:sSubPr>
                <m:e>
                  <m:r>
                    <w:rPr>
                      <w:rFonts w:ascii="Cambria Math" w:hAnsi="Cambria Math" w:cs="Arial"/>
                    </w:rPr>
                    <m:t>IE</m:t>
                  </m:r>
                </m:e>
                <m:sub>
                  <m:r>
                    <w:rPr>
                      <w:rFonts w:ascii="Cambria Math" w:hAnsi="Cambria Math" w:cs="Arial"/>
                    </w:rPr>
                    <m:t>kWh</m:t>
                  </m:r>
                </m:sub>
              </m:sSub>
            </m:e>
          </m:d>
          <m:r>
            <w:rPr>
              <w:rFonts w:ascii="Cambria Math" w:hAnsi="Cambria Math" w:cs="Arial"/>
              <w:szCs w:val="20"/>
            </w:rPr>
            <m:t>×</m:t>
          </m:r>
          <m:d>
            <m:dPr>
              <m:ctrlPr>
                <w:rPr>
                  <w:rFonts w:ascii="Cambria Math" w:hAnsi="Cambria Math" w:cs="Arial"/>
                  <w:i w:val="0"/>
                  <w:szCs w:val="20"/>
                </w:rPr>
              </m:ctrlPr>
            </m:dPr>
            <m:e>
              <m:sSub>
                <m:sSubPr>
                  <m:ctrlPr>
                    <w:rPr>
                      <w:rFonts w:ascii="Cambria Math" w:hAnsi="Cambria Math" w:cs="Arial"/>
                      <w:i w:val="0"/>
                      <w:szCs w:val="20"/>
                    </w:rPr>
                  </m:ctrlPr>
                </m:sSubPr>
                <m:e>
                  <m:r>
                    <w:rPr>
                      <w:rFonts w:ascii="Cambria Math" w:hAnsi="Cambria Math" w:cs="Arial"/>
                      <w:szCs w:val="20"/>
                    </w:rPr>
                    <m:t>RH</m:t>
                  </m:r>
                </m:e>
                <m:sub>
                  <m:r>
                    <w:rPr>
                      <w:rFonts w:ascii="Cambria Math" w:hAnsi="Cambria Math" w:cs="Arial"/>
                      <w:szCs w:val="20"/>
                    </w:rPr>
                    <m:t>old</m:t>
                  </m:r>
                </m:sub>
              </m:sSub>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RH</m:t>
                  </m:r>
                </m:e>
                <m:sub>
                  <m:r>
                    <w:rPr>
                      <w:rFonts w:ascii="Cambria Math" w:hAnsi="Cambria Math" w:cs="Arial"/>
                      <w:szCs w:val="20"/>
                    </w:rPr>
                    <m:t>new</m:t>
                  </m:r>
                </m:sub>
              </m:sSub>
            </m:e>
          </m:d>
          <m:r>
            <w:rPr>
              <w:rFonts w:ascii="Cambria Math" w:hAnsi="Cambria Math" w:cs="Arial"/>
              <w:szCs w:val="20"/>
            </w:rPr>
            <m:t xml:space="preserve"> ×365×ISR</m:t>
          </m:r>
        </m:oMath>
      </m:oMathPara>
    </w:p>
    <w:p w14:paraId="3484B7DB" w14:textId="77777777" w:rsidR="00AC5911" w:rsidRPr="001570EA" w:rsidRDefault="00AC5911" w:rsidP="00FA5174">
      <w:pPr>
        <w:pStyle w:val="Equation"/>
        <w:ind w:left="0" w:firstLine="0"/>
        <w:rPr>
          <w:rFonts w:cs="Arial"/>
          <w:szCs w:val="20"/>
        </w:rPr>
      </w:pPr>
    </w:p>
    <w:p w14:paraId="4C5677DB" w14:textId="1EBCB649" w:rsidR="00AC5911" w:rsidRPr="001570EA" w:rsidRDefault="00AC5911" w:rsidP="00FA5174">
      <w:pPr>
        <w:pStyle w:val="Equation"/>
        <w:ind w:left="0" w:firstLine="0"/>
        <w:rPr>
          <w:rFonts w:cs="Arial"/>
          <w:szCs w:val="20"/>
        </w:rPr>
      </w:pPr>
      <m:oMathPara>
        <m:oMathParaPr>
          <m:jc m:val="left"/>
        </m:oMathParaPr>
        <m:oMath>
          <m:r>
            <w:rPr>
              <w:rFonts w:ascii="Cambria Math" w:hAnsi="Cambria Math" w:cs="Arial"/>
            </w:rPr>
            <m:t>∆</m:t>
          </m:r>
          <m:sSub>
            <m:sSubPr>
              <m:ctrlPr>
                <w:rPr>
                  <w:rFonts w:ascii="Cambria Math" w:hAnsi="Cambria Math" w:cs="Arial"/>
                  <w:i w:val="0"/>
                </w:rPr>
              </m:ctrlPr>
            </m:sSubPr>
            <m:e>
              <m:r>
                <w:rPr>
                  <w:rFonts w:ascii="Cambria Math" w:hAnsi="Cambria Math" w:cs="Arial"/>
                </w:rPr>
                <m:t>kW</m:t>
              </m:r>
            </m:e>
            <m:sub>
              <m:r>
                <w:rPr>
                  <w:rFonts w:ascii="Cambria Math" w:hAnsi="Cambria Math" w:cs="Arial"/>
                </w:rPr>
                <m:t>summer peak</m:t>
              </m:r>
            </m:sub>
          </m:sSub>
          <m:r>
            <w:rPr>
              <w:rFonts w:ascii="Cambria Math" w:hAnsi="Cambria Math" w:cs="Arial"/>
            </w:rPr>
            <m:t xml:space="preserve">          =</m:t>
          </m:r>
          <m:r>
            <w:rPr>
              <w:rFonts w:ascii="Cambria Math" w:hAnsi="Cambria Math" w:cs="Arial"/>
              <w:szCs w:val="20"/>
            </w:rPr>
            <m:t xml:space="preserve"> </m:t>
          </m:r>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szCs w:val="20"/>
                    </w:rPr>
                    <m:t>Watts</m:t>
                  </m:r>
                </m:e>
                <m:sub>
                  <m:r>
                    <w:rPr>
                      <w:rFonts w:ascii="Cambria Math" w:hAnsi="Cambria Math" w:cs="Arial"/>
                      <w:szCs w:val="20"/>
                    </w:rPr>
                    <m:t>controlled</m:t>
                  </m:r>
                </m:sub>
              </m:sSub>
            </m:num>
            <m:den>
              <m:r>
                <w:rPr>
                  <w:rFonts w:ascii="Cambria Math" w:hAnsi="Cambria Math" w:cs="Arial"/>
                  <w:szCs w:val="20"/>
                </w:rPr>
                <m:t>1,000</m:t>
              </m:r>
            </m:den>
          </m:f>
          <m:r>
            <w:rPr>
              <w:rFonts w:ascii="Cambria Math" w:hAnsi="Cambria Math" w:cs="Arial"/>
              <w:szCs w:val="20"/>
            </w:rPr>
            <m:t xml:space="preserve"> ×</m:t>
          </m:r>
          <m:d>
            <m:dPr>
              <m:ctrlPr>
                <w:rPr>
                  <w:rFonts w:ascii="Cambria Math" w:hAnsi="Cambria Math" w:cs="Arial"/>
                  <w:szCs w:val="20"/>
                </w:rPr>
              </m:ctrlPr>
            </m:dPr>
            <m:e>
              <m:r>
                <w:rPr>
                  <w:rFonts w:ascii="Cambria Math" w:hAnsi="Cambria Math" w:cs="Arial"/>
                  <w:szCs w:val="20"/>
                </w:rPr>
                <m:t>1+</m:t>
              </m:r>
              <m:sSub>
                <m:sSubPr>
                  <m:ctrlPr>
                    <w:rPr>
                      <w:rFonts w:ascii="Cambria Math" w:hAnsi="Cambria Math" w:cs="Arial"/>
                    </w:rPr>
                  </m:ctrlPr>
                </m:sSubPr>
                <m:e>
                  <m:r>
                    <w:rPr>
                      <w:rFonts w:ascii="Cambria Math" w:hAnsi="Cambria Math" w:cs="Arial"/>
                    </w:rPr>
                    <m:t>IE</m:t>
                  </m:r>
                </m:e>
                <m:sub>
                  <m:r>
                    <w:rPr>
                      <w:rFonts w:ascii="Cambria Math" w:hAnsi="Cambria Math" w:cs="Arial"/>
                    </w:rPr>
                    <m:t>kW_s</m:t>
                  </m:r>
                </m:sub>
              </m:sSub>
            </m:e>
          </m:d>
          <m:r>
            <w:rPr>
              <w:rFonts w:ascii="Cambria Math" w:hAnsi="Cambria Math" w:cs="Arial"/>
              <w:szCs w:val="20"/>
            </w:rPr>
            <m:t>×</m:t>
          </m:r>
          <m:d>
            <m:dPr>
              <m:ctrlPr>
                <w:rPr>
                  <w:rFonts w:ascii="Cambria Math" w:hAnsi="Cambria Math" w:cs="Arial"/>
                  <w:szCs w:val="20"/>
                </w:rPr>
              </m:ctrlPr>
            </m:dPr>
            <m:e>
              <m:f>
                <m:fPr>
                  <m:ctrlPr>
                    <w:rPr>
                      <w:rFonts w:ascii="Cambria Math" w:hAnsi="Cambria Math" w:cs="Arial"/>
                      <w:szCs w:val="20"/>
                    </w:rPr>
                  </m:ctrlPr>
                </m:fPr>
                <m:num>
                  <m:sSub>
                    <m:sSubPr>
                      <m:ctrlPr>
                        <w:rPr>
                          <w:rFonts w:ascii="Cambria Math" w:hAnsi="Cambria Math" w:cs="Arial"/>
                          <w:i w:val="0"/>
                          <w:szCs w:val="20"/>
                        </w:rPr>
                      </m:ctrlPr>
                    </m:sSubPr>
                    <m:e>
                      <m:r>
                        <w:rPr>
                          <w:rFonts w:ascii="Cambria Math" w:hAnsi="Cambria Math" w:cs="Arial"/>
                          <w:szCs w:val="20"/>
                        </w:rPr>
                        <m:t>RH</m:t>
                      </m:r>
                    </m:e>
                    <m:sub>
                      <m:r>
                        <w:rPr>
                          <w:rFonts w:ascii="Cambria Math" w:hAnsi="Cambria Math" w:cs="Arial"/>
                          <w:szCs w:val="20"/>
                        </w:rPr>
                        <m:t>old</m:t>
                      </m:r>
                    </m:sub>
                  </m:sSub>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RH</m:t>
                      </m:r>
                    </m:e>
                    <m:sub>
                      <m:r>
                        <w:rPr>
                          <w:rFonts w:ascii="Cambria Math" w:hAnsi="Cambria Math" w:cs="Arial"/>
                          <w:szCs w:val="20"/>
                        </w:rPr>
                        <m:t>new</m:t>
                      </m:r>
                    </m:sub>
                  </m:sSub>
                </m:num>
                <m:den>
                  <m:sSub>
                    <m:sSubPr>
                      <m:ctrlPr>
                        <w:rPr>
                          <w:rFonts w:ascii="Cambria Math" w:hAnsi="Cambria Math" w:cs="Arial"/>
                          <w:i w:val="0"/>
                          <w:szCs w:val="20"/>
                        </w:rPr>
                      </m:ctrlPr>
                    </m:sSubPr>
                    <m:e>
                      <m:r>
                        <w:rPr>
                          <w:rFonts w:ascii="Cambria Math" w:hAnsi="Cambria Math" w:cs="Arial"/>
                          <w:szCs w:val="20"/>
                        </w:rPr>
                        <m:t>RH</m:t>
                      </m:r>
                    </m:e>
                    <m:sub>
                      <m:r>
                        <w:rPr>
                          <w:rFonts w:ascii="Cambria Math" w:hAnsi="Cambria Math" w:cs="Arial"/>
                          <w:szCs w:val="20"/>
                        </w:rPr>
                        <m:t>old</m:t>
                      </m:r>
                    </m:sub>
                  </m:sSub>
                </m:den>
              </m:f>
            </m:e>
          </m:d>
          <m:r>
            <w:rPr>
              <w:rFonts w:ascii="Cambria Math" w:hAnsi="Cambria Math" w:cs="Arial"/>
              <w:szCs w:val="20"/>
            </w:rPr>
            <m:t xml:space="preserve"> ×ISR</m:t>
          </m:r>
          <m:r>
            <w:rPr>
              <w:rFonts w:ascii="Cambria Math" w:hAnsi="Cambria Math" w:cs="Arial"/>
            </w:rPr>
            <m:t>×</m:t>
          </m:r>
          <m:r>
            <w:rPr>
              <w:rFonts w:ascii="Cambria Math" w:hAnsi="Cambria Math" w:cs="Arial"/>
              <w:sz w:val="18"/>
              <w:szCs w:val="20"/>
            </w:rPr>
            <m:t>C</m:t>
          </m:r>
          <m:sSub>
            <m:sSubPr>
              <m:ctrlPr>
                <w:rPr>
                  <w:rFonts w:ascii="Cambria Math" w:hAnsi="Cambria Math" w:cs="Arial"/>
                  <w:sz w:val="18"/>
                  <w:szCs w:val="20"/>
                </w:rPr>
              </m:ctrlPr>
            </m:sSubPr>
            <m:e>
              <m:r>
                <w:rPr>
                  <w:rFonts w:ascii="Cambria Math" w:hAnsi="Cambria Math" w:cs="Arial"/>
                  <w:sz w:val="18"/>
                  <w:szCs w:val="20"/>
                </w:rPr>
                <m:t>F</m:t>
              </m:r>
            </m:e>
            <m:sub>
              <m:r>
                <w:rPr>
                  <w:rFonts w:ascii="Cambria Math" w:hAnsi="Cambria Math" w:cs="Arial"/>
                  <w:sz w:val="18"/>
                  <w:szCs w:val="20"/>
                </w:rPr>
                <m:t>s</m:t>
              </m:r>
            </m:sub>
          </m:sSub>
        </m:oMath>
      </m:oMathPara>
    </w:p>
    <w:p w14:paraId="70022D62" w14:textId="77777777" w:rsidR="0077173D" w:rsidRPr="001570EA" w:rsidRDefault="0077173D" w:rsidP="00FA5174">
      <w:pPr>
        <w:pStyle w:val="Equation"/>
        <w:ind w:left="0" w:firstLine="0"/>
        <w:rPr>
          <w:rFonts w:cs="Arial"/>
          <w:szCs w:val="20"/>
        </w:rPr>
      </w:pPr>
    </w:p>
    <w:p w14:paraId="75AE5DEF" w14:textId="778A1853" w:rsidR="00862DD2" w:rsidRPr="001570EA" w:rsidRDefault="00862DD2" w:rsidP="00862DD2">
      <w:pPr>
        <w:pStyle w:val="Equation"/>
        <w:tabs>
          <w:tab w:val="clear" w:pos="2880"/>
          <w:tab w:val="left" w:pos="2160"/>
        </w:tabs>
        <w:ind w:left="0" w:firstLine="0"/>
        <w:rPr>
          <w:rFonts w:cs="Arial"/>
          <w:sz w:val="18"/>
          <w:szCs w:val="20"/>
        </w:rPr>
      </w:pPr>
      <m:oMathPara>
        <m:oMathParaPr>
          <m:jc m:val="left"/>
        </m:oMathParaPr>
        <m:oMath>
          <m:r>
            <w:rPr>
              <w:rFonts w:ascii="Cambria Math" w:hAnsi="Cambria Math" w:cs="Arial"/>
            </w:rPr>
            <m:t>∆</m:t>
          </m:r>
          <m:sSub>
            <m:sSubPr>
              <m:ctrlPr>
                <w:rPr>
                  <w:rFonts w:ascii="Cambria Math" w:hAnsi="Cambria Math" w:cs="Arial"/>
                  <w:i w:val="0"/>
                </w:rPr>
              </m:ctrlPr>
            </m:sSubPr>
            <m:e>
              <m:r>
                <w:rPr>
                  <w:rFonts w:ascii="Cambria Math" w:hAnsi="Cambria Math" w:cs="Arial"/>
                </w:rPr>
                <m:t>kW</m:t>
              </m:r>
            </m:e>
            <m:sub>
              <m:r>
                <w:rPr>
                  <w:rFonts w:ascii="Cambria Math" w:hAnsi="Cambria Math" w:cs="Arial"/>
                </w:rPr>
                <m:t>winter peak</m:t>
              </m:r>
            </m:sub>
          </m:sSub>
          <m:r>
            <w:rPr>
              <w:rFonts w:ascii="Cambria Math" w:hAnsi="Cambria Math" w:cs="Arial"/>
            </w:rPr>
            <m:t xml:space="preserve">            =</m:t>
          </m:r>
          <m:r>
            <w:rPr>
              <w:rFonts w:ascii="Cambria Math" w:hAnsi="Cambria Math" w:cs="Arial"/>
              <w:szCs w:val="20"/>
            </w:rPr>
            <m:t xml:space="preserve"> </m:t>
          </m:r>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szCs w:val="20"/>
                    </w:rPr>
                    <m:t>Watts</m:t>
                  </m:r>
                </m:e>
                <m:sub>
                  <m:r>
                    <w:rPr>
                      <w:rFonts w:ascii="Cambria Math" w:hAnsi="Cambria Math" w:cs="Arial"/>
                      <w:szCs w:val="20"/>
                    </w:rPr>
                    <m:t>controlled</m:t>
                  </m:r>
                </m:sub>
              </m:sSub>
            </m:num>
            <m:den>
              <m:r>
                <w:rPr>
                  <w:rFonts w:ascii="Cambria Math" w:hAnsi="Cambria Math" w:cs="Arial"/>
                  <w:szCs w:val="20"/>
                </w:rPr>
                <m:t>1,000</m:t>
              </m:r>
            </m:den>
          </m:f>
          <m:r>
            <w:rPr>
              <w:rFonts w:ascii="Cambria Math" w:hAnsi="Cambria Math" w:cs="Arial"/>
              <w:szCs w:val="20"/>
            </w:rPr>
            <m:t xml:space="preserve"> ×</m:t>
          </m:r>
          <m:d>
            <m:dPr>
              <m:ctrlPr>
                <w:rPr>
                  <w:rFonts w:ascii="Cambria Math" w:hAnsi="Cambria Math" w:cs="Arial"/>
                  <w:szCs w:val="20"/>
                </w:rPr>
              </m:ctrlPr>
            </m:dPr>
            <m:e>
              <m:r>
                <w:rPr>
                  <w:rFonts w:ascii="Cambria Math" w:hAnsi="Cambria Math" w:cs="Arial"/>
                  <w:szCs w:val="20"/>
                </w:rPr>
                <m:t>1+</m:t>
              </m:r>
              <m:sSub>
                <m:sSubPr>
                  <m:ctrlPr>
                    <w:rPr>
                      <w:rFonts w:ascii="Cambria Math" w:hAnsi="Cambria Math" w:cs="Arial"/>
                    </w:rPr>
                  </m:ctrlPr>
                </m:sSubPr>
                <m:e>
                  <m:r>
                    <w:rPr>
                      <w:rFonts w:ascii="Cambria Math" w:hAnsi="Cambria Math" w:cs="Arial"/>
                    </w:rPr>
                    <m:t>IE</m:t>
                  </m:r>
                </m:e>
                <m:sub>
                  <m:r>
                    <w:rPr>
                      <w:rFonts w:ascii="Cambria Math" w:hAnsi="Cambria Math" w:cs="Arial"/>
                    </w:rPr>
                    <m:t>kW_w</m:t>
                  </m:r>
                </m:sub>
              </m:sSub>
            </m:e>
          </m:d>
          <m:r>
            <w:rPr>
              <w:rFonts w:ascii="Cambria Math" w:hAnsi="Cambria Math" w:cs="Arial"/>
              <w:szCs w:val="20"/>
            </w:rPr>
            <m:t>×</m:t>
          </m:r>
          <m:d>
            <m:dPr>
              <m:ctrlPr>
                <w:rPr>
                  <w:rFonts w:ascii="Cambria Math" w:hAnsi="Cambria Math" w:cs="Arial"/>
                  <w:szCs w:val="20"/>
                </w:rPr>
              </m:ctrlPr>
            </m:dPr>
            <m:e>
              <m:f>
                <m:fPr>
                  <m:ctrlPr>
                    <w:rPr>
                      <w:rFonts w:ascii="Cambria Math" w:hAnsi="Cambria Math" w:cs="Arial"/>
                      <w:szCs w:val="20"/>
                    </w:rPr>
                  </m:ctrlPr>
                </m:fPr>
                <m:num>
                  <m:sSub>
                    <m:sSubPr>
                      <m:ctrlPr>
                        <w:rPr>
                          <w:rFonts w:ascii="Cambria Math" w:hAnsi="Cambria Math" w:cs="Arial"/>
                          <w:i w:val="0"/>
                          <w:szCs w:val="20"/>
                        </w:rPr>
                      </m:ctrlPr>
                    </m:sSubPr>
                    <m:e>
                      <m:r>
                        <w:rPr>
                          <w:rFonts w:ascii="Cambria Math" w:hAnsi="Cambria Math" w:cs="Arial"/>
                          <w:szCs w:val="20"/>
                        </w:rPr>
                        <m:t>RH</m:t>
                      </m:r>
                    </m:e>
                    <m:sub>
                      <m:r>
                        <w:rPr>
                          <w:rFonts w:ascii="Cambria Math" w:hAnsi="Cambria Math" w:cs="Arial"/>
                          <w:szCs w:val="20"/>
                        </w:rPr>
                        <m:t>old</m:t>
                      </m:r>
                    </m:sub>
                  </m:sSub>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RH</m:t>
                      </m:r>
                    </m:e>
                    <m:sub>
                      <m:r>
                        <w:rPr>
                          <w:rFonts w:ascii="Cambria Math" w:hAnsi="Cambria Math" w:cs="Arial"/>
                          <w:szCs w:val="20"/>
                        </w:rPr>
                        <m:t>new</m:t>
                      </m:r>
                    </m:sub>
                  </m:sSub>
                </m:num>
                <m:den>
                  <m:sSub>
                    <m:sSubPr>
                      <m:ctrlPr>
                        <w:rPr>
                          <w:rFonts w:ascii="Cambria Math" w:hAnsi="Cambria Math" w:cs="Arial"/>
                          <w:i w:val="0"/>
                          <w:szCs w:val="20"/>
                        </w:rPr>
                      </m:ctrlPr>
                    </m:sSubPr>
                    <m:e>
                      <m:r>
                        <w:rPr>
                          <w:rFonts w:ascii="Cambria Math" w:hAnsi="Cambria Math" w:cs="Arial"/>
                          <w:szCs w:val="20"/>
                        </w:rPr>
                        <m:t>RH</m:t>
                      </m:r>
                    </m:e>
                    <m:sub>
                      <m:r>
                        <w:rPr>
                          <w:rFonts w:ascii="Cambria Math" w:hAnsi="Cambria Math" w:cs="Arial"/>
                          <w:szCs w:val="20"/>
                        </w:rPr>
                        <m:t>old</m:t>
                      </m:r>
                    </m:sub>
                  </m:sSub>
                </m:den>
              </m:f>
            </m:e>
          </m:d>
          <m:r>
            <w:rPr>
              <w:rFonts w:ascii="Cambria Math" w:hAnsi="Cambria Math" w:cs="Arial"/>
              <w:szCs w:val="20"/>
            </w:rPr>
            <m:t xml:space="preserve"> ×ISR</m:t>
          </m:r>
          <m:r>
            <w:rPr>
              <w:rFonts w:ascii="Cambria Math" w:hAnsi="Cambria Math" w:cs="Arial"/>
            </w:rPr>
            <m:t>×</m:t>
          </m:r>
          <m:r>
            <w:rPr>
              <w:rFonts w:ascii="Cambria Math" w:hAnsi="Cambria Math" w:cs="Arial"/>
              <w:sz w:val="18"/>
              <w:szCs w:val="20"/>
            </w:rPr>
            <m:t>C</m:t>
          </m:r>
          <m:sSub>
            <m:sSubPr>
              <m:ctrlPr>
                <w:rPr>
                  <w:rFonts w:ascii="Cambria Math" w:hAnsi="Cambria Math" w:cs="Arial"/>
                  <w:sz w:val="18"/>
                  <w:szCs w:val="20"/>
                </w:rPr>
              </m:ctrlPr>
            </m:sSubPr>
            <m:e>
              <m:r>
                <w:rPr>
                  <w:rFonts w:ascii="Cambria Math" w:hAnsi="Cambria Math" w:cs="Arial"/>
                  <w:sz w:val="18"/>
                  <w:szCs w:val="20"/>
                </w:rPr>
                <m:t>F</m:t>
              </m:r>
            </m:e>
            <m:sub>
              <m:r>
                <w:rPr>
                  <w:rFonts w:ascii="Cambria Math" w:hAnsi="Cambria Math" w:cs="Arial"/>
                  <w:sz w:val="18"/>
                  <w:szCs w:val="20"/>
                </w:rPr>
                <m:t>w</m:t>
              </m:r>
            </m:sub>
          </m:sSub>
        </m:oMath>
      </m:oMathPara>
    </w:p>
    <w:p w14:paraId="0DF3FB55" w14:textId="77777777" w:rsidR="00FA5174" w:rsidRPr="001570EA" w:rsidRDefault="00FA5174" w:rsidP="00FA5174">
      <w:pPr>
        <w:pStyle w:val="SubStyle"/>
      </w:pPr>
    </w:p>
    <w:p w14:paraId="63FD9FBA" w14:textId="508AFAB5" w:rsidR="00FA5174" w:rsidRPr="001570EA" w:rsidRDefault="00FA5174" w:rsidP="00597241">
      <w:pPr>
        <w:pStyle w:val="SubStyle"/>
        <w:keepNext/>
        <w:keepLines/>
      </w:pPr>
      <w:r w:rsidRPr="001570EA">
        <w:t>Definition of Terms</w:t>
      </w:r>
    </w:p>
    <w:p w14:paraId="13E59716" w14:textId="3609DA88" w:rsidR="00FA5174" w:rsidRPr="001570EA" w:rsidRDefault="00FA5174" w:rsidP="00597241">
      <w:pPr>
        <w:pStyle w:val="Caption"/>
        <w:keepLines/>
      </w:pPr>
      <w:bookmarkStart w:id="48" w:name="_Toc377465539"/>
      <w:bookmarkStart w:id="49" w:name="_Toc47598249"/>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6</w:t>
      </w:r>
      <w:r w:rsidR="002E093A" w:rsidRPr="001570EA">
        <w:fldChar w:fldCharType="end"/>
      </w:r>
      <w:r w:rsidRPr="001570EA">
        <w:t xml:space="preserve">: </w:t>
      </w:r>
      <w:r w:rsidRPr="001570EA">
        <w:rPr>
          <w:rFonts w:cs="Arial"/>
        </w:rPr>
        <w:t>Terms, Values, and References for</w:t>
      </w:r>
      <w:r w:rsidRPr="001570EA">
        <w:t xml:space="preserve"> Residential Occupancy Sensors</w:t>
      </w:r>
      <w:bookmarkEnd w:id="48"/>
      <w:bookmarkEnd w:id="49"/>
    </w:p>
    <w:tbl>
      <w:tblPr>
        <w:tblW w:w="4870" w:type="pct"/>
        <w:tblInd w:w="115" w:type="dxa"/>
        <w:tblCellMar>
          <w:left w:w="115" w:type="dxa"/>
          <w:right w:w="115" w:type="dxa"/>
        </w:tblCellMar>
        <w:tblLook w:val="00A0" w:firstRow="1" w:lastRow="0" w:firstColumn="1" w:lastColumn="0" w:noHBand="0" w:noVBand="0"/>
      </w:tblPr>
      <w:tblGrid>
        <w:gridCol w:w="3579"/>
        <w:gridCol w:w="955"/>
        <w:gridCol w:w="2722"/>
        <w:gridCol w:w="1140"/>
      </w:tblGrid>
      <w:tr w:rsidR="00F35EE1" w:rsidRPr="001570EA" w14:paraId="36C048E8" w14:textId="77777777" w:rsidTr="00EB056F">
        <w:trPr>
          <w:trHeight w:val="317"/>
        </w:trPr>
        <w:tc>
          <w:tcPr>
            <w:tcW w:w="2131" w:type="pct"/>
            <w:tcBorders>
              <w:top w:val="single" w:sz="8" w:space="0" w:color="auto"/>
              <w:left w:val="single" w:sz="8" w:space="0" w:color="auto"/>
              <w:bottom w:val="single" w:sz="8" w:space="0" w:color="auto"/>
              <w:right w:val="single" w:sz="8" w:space="0" w:color="auto"/>
            </w:tcBorders>
            <w:shd w:val="clear" w:color="auto" w:fill="BFBFBF"/>
            <w:vAlign w:val="center"/>
          </w:tcPr>
          <w:p w14:paraId="69E1EBC6" w14:textId="77777777" w:rsidR="00FA5174" w:rsidRPr="001570EA" w:rsidRDefault="00FA5174" w:rsidP="00597241">
            <w:pPr>
              <w:pStyle w:val="TableCell"/>
              <w:keepLines/>
              <w:spacing w:before="60" w:after="60"/>
              <w:jc w:val="left"/>
              <w:rPr>
                <w:b/>
              </w:rPr>
            </w:pPr>
            <w:r w:rsidRPr="001570EA">
              <w:rPr>
                <w:b/>
              </w:rPr>
              <w:t>Term</w:t>
            </w:r>
          </w:p>
        </w:tc>
        <w:tc>
          <w:tcPr>
            <w:tcW w:w="569" w:type="pct"/>
            <w:tcBorders>
              <w:top w:val="single" w:sz="8" w:space="0" w:color="auto"/>
              <w:left w:val="nil"/>
              <w:bottom w:val="single" w:sz="8" w:space="0" w:color="auto"/>
              <w:right w:val="single" w:sz="8" w:space="0" w:color="auto"/>
            </w:tcBorders>
            <w:shd w:val="clear" w:color="auto" w:fill="BFBFBF"/>
            <w:vAlign w:val="center"/>
          </w:tcPr>
          <w:p w14:paraId="1B1F0165" w14:textId="77777777" w:rsidR="00FA5174" w:rsidRPr="001570EA" w:rsidRDefault="00FA5174" w:rsidP="00597241">
            <w:pPr>
              <w:pStyle w:val="TableCell"/>
              <w:keepLines/>
              <w:spacing w:before="60" w:after="60"/>
              <w:jc w:val="center"/>
              <w:rPr>
                <w:b/>
              </w:rPr>
            </w:pPr>
            <w:r w:rsidRPr="001570EA">
              <w:rPr>
                <w:b/>
              </w:rPr>
              <w:t>Unit</w:t>
            </w:r>
          </w:p>
        </w:tc>
        <w:tc>
          <w:tcPr>
            <w:tcW w:w="1621" w:type="pct"/>
            <w:tcBorders>
              <w:top w:val="single" w:sz="8" w:space="0" w:color="auto"/>
              <w:left w:val="nil"/>
              <w:bottom w:val="single" w:sz="8" w:space="0" w:color="auto"/>
              <w:right w:val="single" w:sz="8" w:space="0" w:color="auto"/>
            </w:tcBorders>
            <w:shd w:val="clear" w:color="auto" w:fill="BFBFBF"/>
            <w:vAlign w:val="center"/>
          </w:tcPr>
          <w:p w14:paraId="0F8539D7" w14:textId="77777777" w:rsidR="00FA5174" w:rsidRPr="001570EA" w:rsidRDefault="00FA5174" w:rsidP="00597241">
            <w:pPr>
              <w:pStyle w:val="TableCell"/>
              <w:keepLines/>
              <w:spacing w:before="60" w:after="60"/>
              <w:jc w:val="center"/>
              <w:rPr>
                <w:b/>
              </w:rPr>
            </w:pPr>
            <w:r w:rsidRPr="001570EA">
              <w:rPr>
                <w:b/>
              </w:rPr>
              <w:t>Value</w:t>
            </w:r>
          </w:p>
        </w:tc>
        <w:tc>
          <w:tcPr>
            <w:tcW w:w="679" w:type="pct"/>
            <w:tcBorders>
              <w:top w:val="single" w:sz="8" w:space="0" w:color="auto"/>
              <w:left w:val="nil"/>
              <w:bottom w:val="single" w:sz="8" w:space="0" w:color="auto"/>
              <w:right w:val="single" w:sz="8" w:space="0" w:color="auto"/>
            </w:tcBorders>
            <w:shd w:val="clear" w:color="auto" w:fill="BFBFBF"/>
            <w:vAlign w:val="center"/>
          </w:tcPr>
          <w:p w14:paraId="05089EC9" w14:textId="77777777" w:rsidR="00FA5174" w:rsidRPr="001570EA" w:rsidRDefault="00FA5174" w:rsidP="00597241">
            <w:pPr>
              <w:pStyle w:val="TableCell"/>
              <w:keepLines/>
              <w:spacing w:before="60" w:after="60"/>
              <w:jc w:val="center"/>
              <w:rPr>
                <w:b/>
              </w:rPr>
            </w:pPr>
            <w:r w:rsidRPr="001570EA">
              <w:rPr>
                <w:b/>
              </w:rPr>
              <w:t>Source</w:t>
            </w:r>
          </w:p>
        </w:tc>
      </w:tr>
      <w:tr w:rsidR="00FA5174" w:rsidRPr="001570EA" w14:paraId="0B40DE38" w14:textId="77777777" w:rsidTr="008A6654">
        <w:trPr>
          <w:trHeight w:val="741"/>
        </w:trPr>
        <w:tc>
          <w:tcPr>
            <w:tcW w:w="2131" w:type="pct"/>
            <w:tcBorders>
              <w:top w:val="single" w:sz="8" w:space="0" w:color="auto"/>
              <w:left w:val="single" w:sz="8" w:space="0" w:color="auto"/>
              <w:bottom w:val="single" w:sz="8" w:space="0" w:color="auto"/>
              <w:right w:val="single" w:sz="8" w:space="0" w:color="auto"/>
            </w:tcBorders>
            <w:vAlign w:val="center"/>
          </w:tcPr>
          <w:p w14:paraId="09B9B57D" w14:textId="411FD88F" w:rsidR="00FA5174" w:rsidRPr="001570EA" w:rsidRDefault="00FA5174" w:rsidP="00597241">
            <w:pPr>
              <w:pStyle w:val="TableCell"/>
              <w:keepLines/>
              <w:spacing w:before="60" w:after="60"/>
              <w:jc w:val="left"/>
            </w:pPr>
            <w:r w:rsidRPr="001570EA">
              <w:rPr>
                <w:i/>
              </w:rPr>
              <w:t>Watts</w:t>
            </w:r>
            <w:r w:rsidRPr="001570EA">
              <w:rPr>
                <w:i/>
                <w:vertAlign w:val="subscript"/>
              </w:rPr>
              <w:t>controlled</w:t>
            </w:r>
            <w:r w:rsidRPr="001570EA">
              <w:t xml:space="preserve">, </w:t>
            </w:r>
            <w:r w:rsidRPr="001570EA">
              <w:rPr>
                <w:rFonts w:cs="Arial"/>
              </w:rPr>
              <w:t xml:space="preserve">Wattage of the </w:t>
            </w:r>
            <w:r w:rsidR="00BB68B5" w:rsidRPr="001570EA">
              <w:rPr>
                <w:rFonts w:cs="Arial"/>
              </w:rPr>
              <w:t xml:space="preserve">bulb(s) or </w:t>
            </w:r>
            <w:r w:rsidRPr="001570EA">
              <w:rPr>
                <w:rFonts w:cs="Arial"/>
              </w:rPr>
              <w:t>fixture(s) being controlled by the occupancy sensor</w:t>
            </w:r>
          </w:p>
        </w:tc>
        <w:tc>
          <w:tcPr>
            <w:tcW w:w="569" w:type="pct"/>
            <w:tcBorders>
              <w:top w:val="single" w:sz="8" w:space="0" w:color="auto"/>
              <w:left w:val="nil"/>
              <w:bottom w:val="single" w:sz="8" w:space="0" w:color="auto"/>
              <w:right w:val="single" w:sz="8" w:space="0" w:color="auto"/>
            </w:tcBorders>
            <w:vAlign w:val="center"/>
          </w:tcPr>
          <w:p w14:paraId="347441A5" w14:textId="77777777" w:rsidR="00FA5174" w:rsidRPr="001570EA" w:rsidRDefault="00FA5174" w:rsidP="00597241">
            <w:pPr>
              <w:pStyle w:val="TableCell"/>
              <w:keepLines/>
              <w:spacing w:before="60" w:after="60"/>
              <w:jc w:val="center"/>
              <w:rPr>
                <w:i/>
              </w:rPr>
            </w:pPr>
            <w:r w:rsidRPr="001570EA">
              <w:rPr>
                <w:i/>
              </w:rPr>
              <w:t>W</w:t>
            </w:r>
          </w:p>
        </w:tc>
        <w:tc>
          <w:tcPr>
            <w:tcW w:w="1621" w:type="pct"/>
            <w:tcBorders>
              <w:top w:val="single" w:sz="8" w:space="0" w:color="auto"/>
              <w:left w:val="nil"/>
              <w:bottom w:val="single" w:sz="8" w:space="0" w:color="auto"/>
              <w:right w:val="single" w:sz="8" w:space="0" w:color="auto"/>
            </w:tcBorders>
            <w:vAlign w:val="center"/>
          </w:tcPr>
          <w:p w14:paraId="6B072A7C" w14:textId="3B104DEA" w:rsidR="00FA5174" w:rsidRPr="001570EA" w:rsidRDefault="00FA5174" w:rsidP="00597241">
            <w:pPr>
              <w:pStyle w:val="TableCell"/>
              <w:keepLines/>
              <w:spacing w:before="60" w:after="60"/>
              <w:jc w:val="center"/>
            </w:pPr>
            <w:r w:rsidRPr="001570EA">
              <w:t>EDC Data Gathering</w:t>
            </w:r>
            <w:r w:rsidR="004B326D" w:rsidRPr="001570EA">
              <w:t>,</w:t>
            </w:r>
          </w:p>
          <w:p w14:paraId="015DE6F9" w14:textId="3511D839" w:rsidR="00FA5174" w:rsidRPr="001570EA" w:rsidRDefault="00760E17" w:rsidP="00597241">
            <w:pPr>
              <w:pStyle w:val="TableCell"/>
              <w:keepLines/>
              <w:spacing w:before="60" w:after="60"/>
              <w:jc w:val="center"/>
            </w:pPr>
            <w:r w:rsidRPr="001570EA">
              <w:t>Hard</w:t>
            </w:r>
            <w:r w:rsidR="00545203" w:rsidRPr="001570EA">
              <w:t>-</w:t>
            </w:r>
            <w:r w:rsidRPr="001570EA">
              <w:t xml:space="preserve">wired </w:t>
            </w:r>
            <w:r w:rsidR="00FA5174" w:rsidRPr="001570EA">
              <w:t>Default</w:t>
            </w:r>
            <w:r w:rsidR="00545203" w:rsidRPr="001570EA">
              <w:t>:</w:t>
            </w:r>
            <w:r w:rsidR="00FA5174" w:rsidRPr="001570EA">
              <w:t xml:space="preserve"> 10</w:t>
            </w:r>
            <w:r w:rsidR="00A9066E" w:rsidRPr="001570EA">
              <w:t>8</w:t>
            </w:r>
            <w:r w:rsidR="00FA5174" w:rsidRPr="001570EA">
              <w:t>W</w:t>
            </w:r>
          </w:p>
          <w:p w14:paraId="0CF5C532" w14:textId="126024FA" w:rsidR="00545203" w:rsidRPr="001570EA" w:rsidRDefault="00545203" w:rsidP="00597241">
            <w:pPr>
              <w:pStyle w:val="TableCell"/>
              <w:keepLines/>
              <w:spacing w:before="60" w:after="60"/>
              <w:jc w:val="center"/>
            </w:pPr>
            <w:r w:rsidRPr="001570EA">
              <w:t xml:space="preserve">Plug-in Default: </w:t>
            </w:r>
            <w:r w:rsidR="00525FC9" w:rsidRPr="001570EA">
              <w:t>9</w:t>
            </w:r>
            <w:r w:rsidR="00EA70B4" w:rsidRPr="001570EA">
              <w:t>W</w:t>
            </w:r>
          </w:p>
        </w:tc>
        <w:tc>
          <w:tcPr>
            <w:tcW w:w="679" w:type="pct"/>
            <w:tcBorders>
              <w:top w:val="single" w:sz="8" w:space="0" w:color="auto"/>
              <w:left w:val="nil"/>
              <w:bottom w:val="single" w:sz="8" w:space="0" w:color="auto"/>
              <w:right w:val="single" w:sz="8" w:space="0" w:color="auto"/>
            </w:tcBorders>
            <w:vAlign w:val="center"/>
          </w:tcPr>
          <w:p w14:paraId="4B9AC33D" w14:textId="059BF54F" w:rsidR="00FA5174" w:rsidRPr="001570EA" w:rsidRDefault="00FA5174" w:rsidP="00597241">
            <w:pPr>
              <w:pStyle w:val="TableCell"/>
              <w:keepLines/>
              <w:spacing w:before="60" w:after="60"/>
              <w:jc w:val="center"/>
            </w:pPr>
            <w:r w:rsidRPr="001570EA">
              <w:t>EDC Data Gathering</w:t>
            </w:r>
            <w:r w:rsidR="00B92958" w:rsidRPr="001570EA">
              <w:t xml:space="preserve">, </w:t>
            </w:r>
            <w:r w:rsidR="0015639A" w:rsidRPr="001570EA">
              <w:t>7</w:t>
            </w:r>
            <w:r w:rsidR="002E5274" w:rsidRPr="001570EA">
              <w:t>, 8</w:t>
            </w:r>
          </w:p>
        </w:tc>
      </w:tr>
      <w:tr w:rsidR="00400599" w:rsidRPr="001570EA" w14:paraId="20B12129" w14:textId="77777777" w:rsidTr="00EB056F">
        <w:trPr>
          <w:trHeight w:val="741"/>
        </w:trPr>
        <w:tc>
          <w:tcPr>
            <w:tcW w:w="2131" w:type="pct"/>
            <w:tcBorders>
              <w:top w:val="single" w:sz="8" w:space="0" w:color="auto"/>
              <w:left w:val="single" w:sz="8" w:space="0" w:color="auto"/>
              <w:bottom w:val="single" w:sz="8" w:space="0" w:color="auto"/>
              <w:right w:val="single" w:sz="8" w:space="0" w:color="auto"/>
            </w:tcBorders>
            <w:vAlign w:val="center"/>
          </w:tcPr>
          <w:p w14:paraId="62D9739D" w14:textId="7DC3CF38" w:rsidR="00AE1AE4" w:rsidRPr="001570EA" w:rsidRDefault="00AE1AE4" w:rsidP="00597241">
            <w:pPr>
              <w:pStyle w:val="TableCell"/>
              <w:keepLines/>
              <w:spacing w:before="60" w:after="60"/>
              <w:jc w:val="left"/>
              <w:rPr>
                <w:i/>
              </w:rPr>
            </w:pPr>
            <w:r w:rsidRPr="001570EA">
              <w:rPr>
                <w:i/>
              </w:rPr>
              <w:t>IE</w:t>
            </w:r>
            <w:r w:rsidR="00C941F6" w:rsidRPr="001570EA">
              <w:rPr>
                <w:i/>
                <w:vertAlign w:val="subscript"/>
              </w:rPr>
              <w:t>kWh</w:t>
            </w:r>
            <w:r w:rsidR="00BB68B5" w:rsidRPr="001570EA">
              <w:rPr>
                <w:i/>
                <w:vertAlign w:val="subscript"/>
              </w:rPr>
              <w:t xml:space="preserve">, </w:t>
            </w:r>
            <w:r w:rsidR="00BB68B5" w:rsidRPr="001570EA">
              <w:rPr>
                <w:rFonts w:cs="Arial"/>
              </w:rPr>
              <w:t>HVAC Interactive Effect for lighting energy</w:t>
            </w:r>
          </w:p>
        </w:tc>
        <w:tc>
          <w:tcPr>
            <w:tcW w:w="569" w:type="pct"/>
            <w:tcBorders>
              <w:top w:val="single" w:sz="8" w:space="0" w:color="auto"/>
              <w:left w:val="nil"/>
              <w:bottom w:val="single" w:sz="8" w:space="0" w:color="auto"/>
              <w:right w:val="single" w:sz="8" w:space="0" w:color="auto"/>
            </w:tcBorders>
            <w:vAlign w:val="center"/>
          </w:tcPr>
          <w:p w14:paraId="4B35294C" w14:textId="3B28E633" w:rsidR="00AE1AE4" w:rsidRPr="001570EA" w:rsidRDefault="00C941F6" w:rsidP="00597241">
            <w:pPr>
              <w:pStyle w:val="TableCell"/>
              <w:keepLines/>
              <w:spacing w:before="60" w:after="60"/>
              <w:jc w:val="center"/>
              <w:rPr>
                <w:i/>
              </w:rPr>
            </w:pPr>
            <w:r w:rsidRPr="001570EA">
              <w:rPr>
                <w:i/>
              </w:rPr>
              <w:t>None</w:t>
            </w:r>
          </w:p>
        </w:tc>
        <w:tc>
          <w:tcPr>
            <w:tcW w:w="1621" w:type="pct"/>
            <w:tcBorders>
              <w:top w:val="single" w:sz="8" w:space="0" w:color="auto"/>
              <w:left w:val="nil"/>
              <w:bottom w:val="single" w:sz="8" w:space="0" w:color="auto"/>
              <w:right w:val="single" w:sz="8" w:space="0" w:color="auto"/>
            </w:tcBorders>
            <w:vAlign w:val="center"/>
          </w:tcPr>
          <w:p w14:paraId="517E2B97" w14:textId="1AE921E8" w:rsidR="00AE1AE4" w:rsidRPr="001570EA" w:rsidRDefault="008E7FD6" w:rsidP="00597241">
            <w:pPr>
              <w:pStyle w:val="TableCell"/>
              <w:keepLines/>
              <w:spacing w:before="60" w:after="60"/>
              <w:jc w:val="center"/>
              <w:rPr>
                <w:b/>
                <w:bCs/>
              </w:rPr>
            </w:pPr>
            <w:r w:rsidRPr="001570EA">
              <w:rPr>
                <w:b/>
                <w:bCs/>
              </w:rPr>
              <w:fldChar w:fldCharType="begin"/>
            </w:r>
            <w:r w:rsidRPr="001570EA">
              <w:instrText xml:space="preserve"> REF _Ref395116944 \h </w:instrText>
            </w:r>
            <w:r w:rsidRPr="001570EA">
              <w:rPr>
                <w:b/>
                <w:bCs/>
              </w:rPr>
              <w:instrText xml:space="preserve"> \* MERGEFORMAT </w:instrText>
            </w:r>
            <w:r w:rsidRPr="001570EA">
              <w:rPr>
                <w:b/>
                <w:bCs/>
              </w:rPr>
            </w:r>
            <w:r w:rsidRPr="001570EA">
              <w:rPr>
                <w:b/>
                <w:bCs/>
              </w:rPr>
              <w:fldChar w:fldCharType="separate"/>
            </w:r>
            <w:r w:rsidR="00384D95" w:rsidRPr="001570EA">
              <w:t xml:space="preserve">Table </w:t>
            </w:r>
            <w:r w:rsidR="00384D95" w:rsidRPr="001570EA">
              <w:rPr>
                <w:noProof/>
              </w:rPr>
              <w:t>2</w:t>
            </w:r>
            <w:r w:rsidR="00384D95" w:rsidRPr="001570EA">
              <w:rPr>
                <w:noProof/>
              </w:rPr>
              <w:noBreakHyphen/>
              <w:t>5</w:t>
            </w:r>
            <w:r w:rsidRPr="001570EA">
              <w:rPr>
                <w:b/>
                <w:bCs/>
              </w:rPr>
              <w:fldChar w:fldCharType="end"/>
            </w:r>
          </w:p>
        </w:tc>
        <w:tc>
          <w:tcPr>
            <w:tcW w:w="679" w:type="pct"/>
            <w:tcBorders>
              <w:top w:val="single" w:sz="8" w:space="0" w:color="auto"/>
              <w:left w:val="nil"/>
              <w:bottom w:val="single" w:sz="8" w:space="0" w:color="auto"/>
              <w:right w:val="single" w:sz="8" w:space="0" w:color="auto"/>
            </w:tcBorders>
            <w:vAlign w:val="center"/>
          </w:tcPr>
          <w:p w14:paraId="705B17AB" w14:textId="65F97EA7" w:rsidR="00AE1AE4" w:rsidRPr="001570EA" w:rsidRDefault="00D970AC" w:rsidP="00597241">
            <w:pPr>
              <w:pStyle w:val="TableCell"/>
              <w:keepLines/>
              <w:spacing w:before="60" w:after="60"/>
              <w:jc w:val="center"/>
            </w:pPr>
            <w:r w:rsidRPr="001570EA">
              <w:t>9</w:t>
            </w:r>
          </w:p>
        </w:tc>
      </w:tr>
      <w:tr w:rsidR="009E15A2" w:rsidRPr="001570EA" w14:paraId="3229BA74" w14:textId="77777777" w:rsidTr="00EA17EF">
        <w:trPr>
          <w:trHeight w:val="741"/>
        </w:trPr>
        <w:tc>
          <w:tcPr>
            <w:tcW w:w="2131" w:type="pct"/>
            <w:tcBorders>
              <w:top w:val="single" w:sz="8" w:space="0" w:color="auto"/>
              <w:left w:val="single" w:sz="8" w:space="0" w:color="auto"/>
              <w:bottom w:val="single" w:sz="8" w:space="0" w:color="auto"/>
              <w:right w:val="single" w:sz="8" w:space="0" w:color="auto"/>
            </w:tcBorders>
            <w:vAlign w:val="center"/>
          </w:tcPr>
          <w:p w14:paraId="7EFF9B84" w14:textId="2C61E57C" w:rsidR="00EA17EF" w:rsidRPr="001570EA" w:rsidRDefault="00EA17EF" w:rsidP="00597241">
            <w:pPr>
              <w:pStyle w:val="TableCell"/>
              <w:keepLines/>
              <w:spacing w:before="60" w:after="60"/>
              <w:jc w:val="left"/>
              <w:rPr>
                <w:i/>
              </w:rPr>
            </w:pPr>
            <w:r w:rsidRPr="001570EA">
              <w:rPr>
                <w:rFonts w:cs="Arial"/>
                <w:i/>
              </w:rPr>
              <w:t>IE</w:t>
            </w:r>
            <w:r w:rsidRPr="001570EA">
              <w:rPr>
                <w:rFonts w:cs="Arial"/>
                <w:i/>
                <w:vertAlign w:val="subscript"/>
              </w:rPr>
              <w:t>kW_s</w:t>
            </w:r>
            <w:r w:rsidRPr="001570EA">
              <w:rPr>
                <w:rFonts w:cs="Arial"/>
              </w:rPr>
              <w:t>, Summer Interactive Demand Factor – applies to residential lighting in conditioned residential spaces.</w:t>
            </w:r>
          </w:p>
        </w:tc>
        <w:tc>
          <w:tcPr>
            <w:tcW w:w="569" w:type="pct"/>
            <w:tcBorders>
              <w:top w:val="single" w:sz="8" w:space="0" w:color="auto"/>
              <w:left w:val="nil"/>
              <w:bottom w:val="single" w:sz="8" w:space="0" w:color="auto"/>
              <w:right w:val="single" w:sz="8" w:space="0" w:color="auto"/>
            </w:tcBorders>
            <w:vAlign w:val="center"/>
          </w:tcPr>
          <w:p w14:paraId="2EFE0BC5" w14:textId="62B453D2" w:rsidR="00EA17EF" w:rsidRPr="001570EA" w:rsidRDefault="00EA17EF" w:rsidP="00597241">
            <w:pPr>
              <w:pStyle w:val="TableCell"/>
              <w:keepLines/>
              <w:spacing w:before="60" w:after="60"/>
              <w:jc w:val="center"/>
              <w:rPr>
                <w:i/>
              </w:rPr>
            </w:pPr>
            <w:r w:rsidRPr="001570EA">
              <w:rPr>
                <w:i/>
              </w:rPr>
              <w:t>None</w:t>
            </w:r>
          </w:p>
        </w:tc>
        <w:tc>
          <w:tcPr>
            <w:tcW w:w="1621" w:type="pct"/>
            <w:tcBorders>
              <w:top w:val="single" w:sz="8" w:space="0" w:color="auto"/>
              <w:left w:val="nil"/>
              <w:bottom w:val="single" w:sz="8" w:space="0" w:color="auto"/>
              <w:right w:val="single" w:sz="8" w:space="0" w:color="auto"/>
            </w:tcBorders>
            <w:vAlign w:val="center"/>
          </w:tcPr>
          <w:p w14:paraId="63163EEF" w14:textId="521BDE19" w:rsidR="00EA17EF" w:rsidRPr="001570EA" w:rsidRDefault="00EA17EF" w:rsidP="00597241">
            <w:pPr>
              <w:pStyle w:val="TableCell"/>
              <w:keepLines/>
              <w:spacing w:before="60" w:after="60"/>
              <w:jc w:val="center"/>
              <w:rPr>
                <w:b/>
                <w:bCs/>
              </w:rPr>
            </w:pPr>
            <w:r w:rsidRPr="001570EA">
              <w:rPr>
                <w:b/>
                <w:bCs/>
              </w:rPr>
              <w:fldChar w:fldCharType="begin"/>
            </w:r>
            <w:r w:rsidRPr="001570EA">
              <w:instrText xml:space="preserve"> REF _Ref395116944 \h </w:instrText>
            </w:r>
            <w:r w:rsidRPr="001570EA">
              <w:rPr>
                <w:b/>
                <w:bCs/>
              </w:rPr>
              <w:instrText xml:space="preserve"> \* MERGEFORMAT </w:instrText>
            </w:r>
            <w:r w:rsidRPr="001570EA">
              <w:rPr>
                <w:b/>
                <w:bCs/>
              </w:rPr>
            </w:r>
            <w:r w:rsidRPr="001570EA">
              <w:rPr>
                <w:b/>
                <w:bCs/>
              </w:rPr>
              <w:fldChar w:fldCharType="separate"/>
            </w:r>
            <w:r w:rsidR="00384D95" w:rsidRPr="001570EA">
              <w:t xml:space="preserve">Table </w:t>
            </w:r>
            <w:r w:rsidR="00384D95" w:rsidRPr="001570EA">
              <w:rPr>
                <w:noProof/>
              </w:rPr>
              <w:t>2</w:t>
            </w:r>
            <w:r w:rsidR="00384D95" w:rsidRPr="001570EA">
              <w:rPr>
                <w:noProof/>
              </w:rPr>
              <w:noBreakHyphen/>
              <w:t>5</w:t>
            </w:r>
            <w:r w:rsidRPr="001570EA">
              <w:rPr>
                <w:b/>
                <w:bCs/>
              </w:rPr>
              <w:fldChar w:fldCharType="end"/>
            </w:r>
          </w:p>
        </w:tc>
        <w:tc>
          <w:tcPr>
            <w:tcW w:w="679" w:type="pct"/>
            <w:tcBorders>
              <w:top w:val="single" w:sz="8" w:space="0" w:color="auto"/>
              <w:left w:val="nil"/>
              <w:bottom w:val="single" w:sz="8" w:space="0" w:color="auto"/>
              <w:right w:val="single" w:sz="8" w:space="0" w:color="auto"/>
            </w:tcBorders>
            <w:vAlign w:val="center"/>
          </w:tcPr>
          <w:p w14:paraId="677943C5" w14:textId="08941FE9" w:rsidR="00EA17EF" w:rsidRPr="001570EA" w:rsidRDefault="00D970AC" w:rsidP="00597241">
            <w:pPr>
              <w:pStyle w:val="TableCell"/>
              <w:keepLines/>
              <w:spacing w:before="60" w:after="60"/>
              <w:jc w:val="center"/>
            </w:pPr>
            <w:r w:rsidRPr="001570EA">
              <w:t>9</w:t>
            </w:r>
          </w:p>
        </w:tc>
      </w:tr>
      <w:tr w:rsidR="009E15A2" w:rsidRPr="001570EA" w14:paraId="446BEE6A" w14:textId="77777777" w:rsidTr="00EA17EF">
        <w:trPr>
          <w:trHeight w:val="741"/>
        </w:trPr>
        <w:tc>
          <w:tcPr>
            <w:tcW w:w="2131" w:type="pct"/>
            <w:tcBorders>
              <w:top w:val="single" w:sz="8" w:space="0" w:color="auto"/>
              <w:left w:val="single" w:sz="8" w:space="0" w:color="auto"/>
              <w:bottom w:val="single" w:sz="8" w:space="0" w:color="auto"/>
              <w:right w:val="single" w:sz="8" w:space="0" w:color="auto"/>
            </w:tcBorders>
            <w:vAlign w:val="center"/>
          </w:tcPr>
          <w:p w14:paraId="4AE29D79" w14:textId="42AD99D1" w:rsidR="00EA17EF" w:rsidRPr="001570EA" w:rsidRDefault="00EA17EF" w:rsidP="00597241">
            <w:pPr>
              <w:pStyle w:val="TableCell"/>
              <w:keepLines/>
              <w:spacing w:before="60" w:after="60"/>
              <w:jc w:val="left"/>
              <w:rPr>
                <w:i/>
              </w:rPr>
            </w:pPr>
            <w:r w:rsidRPr="001570EA">
              <w:rPr>
                <w:rFonts w:cs="Arial"/>
                <w:i/>
              </w:rPr>
              <w:t>IE</w:t>
            </w:r>
            <w:r w:rsidRPr="001570EA">
              <w:rPr>
                <w:rFonts w:cs="Arial"/>
                <w:i/>
                <w:vertAlign w:val="subscript"/>
              </w:rPr>
              <w:t>kW_w</w:t>
            </w:r>
            <w:r w:rsidRPr="001570EA">
              <w:rPr>
                <w:rFonts w:cs="Arial"/>
              </w:rPr>
              <w:t xml:space="preserve">, Winter Interactive Demand Factor – applies to residential lighting in conditioned residential spaces.  </w:t>
            </w:r>
          </w:p>
        </w:tc>
        <w:tc>
          <w:tcPr>
            <w:tcW w:w="569" w:type="pct"/>
            <w:tcBorders>
              <w:top w:val="single" w:sz="8" w:space="0" w:color="auto"/>
              <w:left w:val="nil"/>
              <w:bottom w:val="single" w:sz="8" w:space="0" w:color="auto"/>
              <w:right w:val="single" w:sz="8" w:space="0" w:color="auto"/>
            </w:tcBorders>
            <w:vAlign w:val="center"/>
          </w:tcPr>
          <w:p w14:paraId="72C00A1E" w14:textId="3B007887" w:rsidR="00EA17EF" w:rsidRPr="001570EA" w:rsidRDefault="00EA17EF" w:rsidP="00597241">
            <w:pPr>
              <w:pStyle w:val="TableCell"/>
              <w:keepLines/>
              <w:spacing w:before="60" w:after="60"/>
              <w:jc w:val="center"/>
              <w:rPr>
                <w:i/>
              </w:rPr>
            </w:pPr>
            <w:r w:rsidRPr="001570EA">
              <w:rPr>
                <w:i/>
              </w:rPr>
              <w:t>None</w:t>
            </w:r>
          </w:p>
        </w:tc>
        <w:tc>
          <w:tcPr>
            <w:tcW w:w="1621" w:type="pct"/>
            <w:tcBorders>
              <w:top w:val="single" w:sz="8" w:space="0" w:color="auto"/>
              <w:left w:val="nil"/>
              <w:bottom w:val="single" w:sz="8" w:space="0" w:color="auto"/>
              <w:right w:val="single" w:sz="8" w:space="0" w:color="auto"/>
            </w:tcBorders>
            <w:vAlign w:val="center"/>
          </w:tcPr>
          <w:p w14:paraId="4C51059A" w14:textId="23D75AC6" w:rsidR="00EA17EF" w:rsidRPr="001570EA" w:rsidRDefault="00EA17EF" w:rsidP="00597241">
            <w:pPr>
              <w:pStyle w:val="TableCell"/>
              <w:keepLines/>
              <w:spacing w:before="60" w:after="60"/>
              <w:jc w:val="center"/>
              <w:rPr>
                <w:b/>
                <w:bCs/>
              </w:rPr>
            </w:pPr>
            <w:r w:rsidRPr="001570EA">
              <w:rPr>
                <w:b/>
                <w:bCs/>
              </w:rPr>
              <w:fldChar w:fldCharType="begin"/>
            </w:r>
            <w:r w:rsidRPr="001570EA">
              <w:instrText xml:space="preserve"> REF _Ref395116944 \h </w:instrText>
            </w:r>
            <w:r w:rsidRPr="001570EA">
              <w:rPr>
                <w:b/>
                <w:bCs/>
              </w:rPr>
              <w:instrText xml:space="preserve"> \* MERGEFORMAT </w:instrText>
            </w:r>
            <w:r w:rsidRPr="001570EA">
              <w:rPr>
                <w:b/>
                <w:bCs/>
              </w:rPr>
            </w:r>
            <w:r w:rsidRPr="001570EA">
              <w:rPr>
                <w:b/>
                <w:bCs/>
              </w:rPr>
              <w:fldChar w:fldCharType="separate"/>
            </w:r>
            <w:r w:rsidR="00384D95" w:rsidRPr="001570EA">
              <w:t xml:space="preserve">Table </w:t>
            </w:r>
            <w:r w:rsidR="00384D95" w:rsidRPr="001570EA">
              <w:rPr>
                <w:noProof/>
              </w:rPr>
              <w:t>2</w:t>
            </w:r>
            <w:r w:rsidR="00384D95" w:rsidRPr="001570EA">
              <w:rPr>
                <w:noProof/>
              </w:rPr>
              <w:noBreakHyphen/>
              <w:t>5</w:t>
            </w:r>
            <w:r w:rsidRPr="001570EA">
              <w:rPr>
                <w:b/>
                <w:bCs/>
              </w:rPr>
              <w:fldChar w:fldCharType="end"/>
            </w:r>
          </w:p>
        </w:tc>
        <w:tc>
          <w:tcPr>
            <w:tcW w:w="679" w:type="pct"/>
            <w:tcBorders>
              <w:top w:val="single" w:sz="8" w:space="0" w:color="auto"/>
              <w:left w:val="nil"/>
              <w:bottom w:val="single" w:sz="8" w:space="0" w:color="auto"/>
              <w:right w:val="single" w:sz="8" w:space="0" w:color="auto"/>
            </w:tcBorders>
            <w:vAlign w:val="center"/>
          </w:tcPr>
          <w:p w14:paraId="5B50C394" w14:textId="289E428F" w:rsidR="00EA17EF" w:rsidRPr="001570EA" w:rsidRDefault="00D970AC" w:rsidP="00597241">
            <w:pPr>
              <w:pStyle w:val="TableCell"/>
              <w:keepLines/>
              <w:spacing w:before="60" w:after="60"/>
              <w:jc w:val="center"/>
            </w:pPr>
            <w:r w:rsidRPr="001570EA">
              <w:t>9</w:t>
            </w:r>
          </w:p>
        </w:tc>
      </w:tr>
      <w:tr w:rsidR="00FA5174" w:rsidRPr="001570EA" w14:paraId="73F22B5D" w14:textId="77777777" w:rsidTr="008A6654">
        <w:trPr>
          <w:trHeight w:val="741"/>
        </w:trPr>
        <w:tc>
          <w:tcPr>
            <w:tcW w:w="2131" w:type="pct"/>
            <w:tcBorders>
              <w:top w:val="single" w:sz="8" w:space="0" w:color="auto"/>
              <w:left w:val="single" w:sz="8" w:space="0" w:color="auto"/>
              <w:bottom w:val="single" w:sz="8" w:space="0" w:color="auto"/>
              <w:right w:val="single" w:sz="8" w:space="0" w:color="auto"/>
            </w:tcBorders>
            <w:vAlign w:val="center"/>
          </w:tcPr>
          <w:p w14:paraId="5299C2C4" w14:textId="5BF19F6A" w:rsidR="00FA5174" w:rsidRPr="001570EA" w:rsidRDefault="00FA5174" w:rsidP="00597241">
            <w:pPr>
              <w:pStyle w:val="TableCell"/>
              <w:keepLines/>
              <w:spacing w:before="60" w:after="60"/>
              <w:jc w:val="left"/>
            </w:pPr>
            <w:r w:rsidRPr="001570EA">
              <w:rPr>
                <w:i/>
              </w:rPr>
              <w:t>RH</w:t>
            </w:r>
            <w:r w:rsidRPr="001570EA">
              <w:rPr>
                <w:i/>
                <w:vertAlign w:val="subscript"/>
              </w:rPr>
              <w:t>old</w:t>
            </w:r>
            <w:r w:rsidRPr="001570EA">
              <w:t>,</w:t>
            </w:r>
            <w:r w:rsidRPr="001570EA">
              <w:rPr>
                <w:rFonts w:cs="Arial"/>
              </w:rPr>
              <w:t xml:space="preserve"> Daily run hours before installation</w:t>
            </w:r>
          </w:p>
        </w:tc>
        <w:tc>
          <w:tcPr>
            <w:tcW w:w="569" w:type="pct"/>
            <w:tcBorders>
              <w:top w:val="single" w:sz="8" w:space="0" w:color="auto"/>
              <w:left w:val="nil"/>
              <w:bottom w:val="single" w:sz="8" w:space="0" w:color="auto"/>
              <w:right w:val="single" w:sz="8" w:space="0" w:color="auto"/>
            </w:tcBorders>
            <w:vAlign w:val="center"/>
          </w:tcPr>
          <w:p w14:paraId="6FD1AA6C" w14:textId="77777777" w:rsidR="00FA5174" w:rsidRPr="001570EA" w:rsidRDefault="00FA5174" w:rsidP="00597241">
            <w:pPr>
              <w:pStyle w:val="TableCell"/>
              <w:keepLines/>
              <w:spacing w:before="60" w:after="60"/>
              <w:jc w:val="center"/>
              <w:rPr>
                <w:i/>
              </w:rPr>
            </w:pPr>
            <w:r w:rsidRPr="001570EA">
              <w:rPr>
                <w:i/>
              </w:rPr>
              <w:t>Hours</w:t>
            </w:r>
          </w:p>
        </w:tc>
        <w:tc>
          <w:tcPr>
            <w:tcW w:w="1621" w:type="pct"/>
            <w:tcBorders>
              <w:top w:val="single" w:sz="8" w:space="0" w:color="auto"/>
              <w:left w:val="nil"/>
              <w:bottom w:val="single" w:sz="8" w:space="0" w:color="auto"/>
              <w:right w:val="single" w:sz="8" w:space="0" w:color="auto"/>
            </w:tcBorders>
            <w:vAlign w:val="center"/>
          </w:tcPr>
          <w:p w14:paraId="5983ED8A" w14:textId="77777777" w:rsidR="00FA5174" w:rsidRPr="001570EA" w:rsidRDefault="00FA5174" w:rsidP="00597241">
            <w:pPr>
              <w:pStyle w:val="TableCell"/>
              <w:keepLines/>
              <w:spacing w:before="60" w:after="60"/>
              <w:jc w:val="center"/>
            </w:pPr>
            <w:r w:rsidRPr="001570EA">
              <w:t>2.5</w:t>
            </w:r>
          </w:p>
        </w:tc>
        <w:tc>
          <w:tcPr>
            <w:tcW w:w="679" w:type="pct"/>
            <w:tcBorders>
              <w:top w:val="single" w:sz="8" w:space="0" w:color="auto"/>
              <w:left w:val="nil"/>
              <w:bottom w:val="single" w:sz="8" w:space="0" w:color="auto"/>
              <w:right w:val="single" w:sz="8" w:space="0" w:color="auto"/>
            </w:tcBorders>
            <w:vAlign w:val="center"/>
          </w:tcPr>
          <w:p w14:paraId="353CAE29" w14:textId="77777777" w:rsidR="00FA5174" w:rsidRPr="001570EA" w:rsidRDefault="00FA5174" w:rsidP="00597241">
            <w:pPr>
              <w:pStyle w:val="TableCell"/>
              <w:keepLines/>
              <w:spacing w:before="60" w:after="60"/>
              <w:jc w:val="center"/>
            </w:pPr>
            <w:r w:rsidRPr="001570EA">
              <w:t>1</w:t>
            </w:r>
          </w:p>
        </w:tc>
      </w:tr>
      <w:tr w:rsidR="00FA5174" w:rsidRPr="001570EA" w14:paraId="50767C06" w14:textId="77777777" w:rsidTr="008A6654">
        <w:trPr>
          <w:trHeight w:val="741"/>
        </w:trPr>
        <w:tc>
          <w:tcPr>
            <w:tcW w:w="2131" w:type="pct"/>
            <w:tcBorders>
              <w:top w:val="single" w:sz="8" w:space="0" w:color="auto"/>
              <w:left w:val="single" w:sz="8" w:space="0" w:color="auto"/>
              <w:bottom w:val="single" w:sz="8" w:space="0" w:color="auto"/>
              <w:right w:val="single" w:sz="8" w:space="0" w:color="auto"/>
            </w:tcBorders>
            <w:vAlign w:val="center"/>
          </w:tcPr>
          <w:p w14:paraId="2C769223" w14:textId="5F7D79F3" w:rsidR="00FA5174" w:rsidRPr="001570EA" w:rsidRDefault="00FA5174" w:rsidP="00597241">
            <w:pPr>
              <w:pStyle w:val="TableCell"/>
              <w:keepLines/>
              <w:spacing w:before="60" w:after="60"/>
              <w:jc w:val="left"/>
            </w:pPr>
            <w:r w:rsidRPr="001570EA">
              <w:rPr>
                <w:i/>
              </w:rPr>
              <w:t>RH</w:t>
            </w:r>
            <w:r w:rsidRPr="001570EA">
              <w:rPr>
                <w:i/>
                <w:vertAlign w:val="subscript"/>
              </w:rPr>
              <w:t>new</w:t>
            </w:r>
            <w:r w:rsidRPr="001570EA">
              <w:t xml:space="preserve">, </w:t>
            </w:r>
            <w:r w:rsidRPr="001570EA">
              <w:rPr>
                <w:rFonts w:cs="Arial"/>
              </w:rPr>
              <w:t>Daily run hours after installation</w:t>
            </w:r>
          </w:p>
        </w:tc>
        <w:tc>
          <w:tcPr>
            <w:tcW w:w="569" w:type="pct"/>
            <w:tcBorders>
              <w:top w:val="single" w:sz="8" w:space="0" w:color="auto"/>
              <w:left w:val="nil"/>
              <w:bottom w:val="single" w:sz="8" w:space="0" w:color="auto"/>
              <w:right w:val="single" w:sz="8" w:space="0" w:color="auto"/>
            </w:tcBorders>
            <w:vAlign w:val="center"/>
          </w:tcPr>
          <w:p w14:paraId="5BD10C39" w14:textId="77777777" w:rsidR="00FA5174" w:rsidRPr="001570EA" w:rsidRDefault="00FA5174" w:rsidP="00597241">
            <w:pPr>
              <w:pStyle w:val="TableCell"/>
              <w:keepLines/>
              <w:spacing w:before="60" w:after="60"/>
              <w:jc w:val="center"/>
              <w:rPr>
                <w:i/>
              </w:rPr>
            </w:pPr>
            <w:r w:rsidRPr="001570EA">
              <w:rPr>
                <w:i/>
              </w:rPr>
              <w:t>Hours</w:t>
            </w:r>
          </w:p>
        </w:tc>
        <w:tc>
          <w:tcPr>
            <w:tcW w:w="1621" w:type="pct"/>
            <w:tcBorders>
              <w:top w:val="single" w:sz="8" w:space="0" w:color="auto"/>
              <w:left w:val="nil"/>
              <w:bottom w:val="single" w:sz="8" w:space="0" w:color="auto"/>
              <w:right w:val="single" w:sz="8" w:space="0" w:color="auto"/>
            </w:tcBorders>
            <w:vAlign w:val="center"/>
          </w:tcPr>
          <w:p w14:paraId="7DCED9CB" w14:textId="1B93570E" w:rsidR="00FA5174" w:rsidRPr="001570EA" w:rsidRDefault="00FA5174" w:rsidP="00597241">
            <w:pPr>
              <w:keepNext/>
              <w:keepLines/>
              <w:jc w:val="center"/>
              <w:rPr>
                <w:sz w:val="18"/>
              </w:rPr>
            </w:pPr>
            <w:bookmarkStart w:id="50" w:name="_Toc395197131"/>
            <w:r w:rsidRPr="001570EA">
              <w:rPr>
                <w:sz w:val="18"/>
              </w:rPr>
              <w:t>1.5 (</w:t>
            </w:r>
            <w:r w:rsidR="003A27ED" w:rsidRPr="001570EA">
              <w:rPr>
                <w:sz w:val="18"/>
              </w:rPr>
              <w:t>60</w:t>
            </w:r>
            <w:r w:rsidRPr="001570EA">
              <w:rPr>
                <w:sz w:val="18"/>
              </w:rPr>
              <w:t>% of RH</w:t>
            </w:r>
            <w:r w:rsidRPr="001570EA">
              <w:rPr>
                <w:sz w:val="18"/>
                <w:vertAlign w:val="subscript"/>
              </w:rPr>
              <w:t>old</w:t>
            </w:r>
            <w:r w:rsidRPr="001570EA">
              <w:rPr>
                <w:sz w:val="18"/>
              </w:rPr>
              <w:t>)</w:t>
            </w:r>
            <w:bookmarkEnd w:id="50"/>
          </w:p>
        </w:tc>
        <w:tc>
          <w:tcPr>
            <w:tcW w:w="679" w:type="pct"/>
            <w:tcBorders>
              <w:top w:val="single" w:sz="8" w:space="0" w:color="auto"/>
              <w:left w:val="nil"/>
              <w:bottom w:val="single" w:sz="8" w:space="0" w:color="auto"/>
              <w:right w:val="single" w:sz="8" w:space="0" w:color="auto"/>
            </w:tcBorders>
            <w:vAlign w:val="center"/>
          </w:tcPr>
          <w:p w14:paraId="038640F4" w14:textId="77777777" w:rsidR="00FA5174" w:rsidRPr="001570EA" w:rsidRDefault="00FA5174" w:rsidP="00597241">
            <w:pPr>
              <w:pStyle w:val="TableCell"/>
              <w:keepLines/>
              <w:spacing w:before="60" w:after="60"/>
              <w:jc w:val="center"/>
            </w:pPr>
            <w:r w:rsidRPr="001570EA">
              <w:t>2</w:t>
            </w:r>
          </w:p>
        </w:tc>
      </w:tr>
      <w:tr w:rsidR="007F3FB0" w:rsidRPr="001570EA" w14:paraId="016355E3" w14:textId="77777777" w:rsidTr="00EB056F">
        <w:trPr>
          <w:trHeight w:val="741"/>
        </w:trPr>
        <w:tc>
          <w:tcPr>
            <w:tcW w:w="2131" w:type="pct"/>
            <w:tcBorders>
              <w:top w:val="single" w:sz="8" w:space="0" w:color="auto"/>
              <w:left w:val="single" w:sz="8" w:space="0" w:color="auto"/>
              <w:bottom w:val="single" w:sz="8" w:space="0" w:color="auto"/>
              <w:right w:val="single" w:sz="8" w:space="0" w:color="auto"/>
            </w:tcBorders>
            <w:vAlign w:val="center"/>
          </w:tcPr>
          <w:p w14:paraId="079D0CED" w14:textId="2EED8034" w:rsidR="00F310D2" w:rsidRPr="001570EA" w:rsidRDefault="00F310D2" w:rsidP="00597241">
            <w:pPr>
              <w:pStyle w:val="TableCell"/>
              <w:keepLines/>
              <w:spacing w:before="60" w:after="60"/>
              <w:jc w:val="left"/>
              <w:rPr>
                <w:i/>
              </w:rPr>
            </w:pPr>
            <w:r w:rsidRPr="001570EA">
              <w:rPr>
                <w:i/>
              </w:rPr>
              <w:t>ISR</w:t>
            </w:r>
            <w:r w:rsidR="008F194C" w:rsidRPr="001570EA">
              <w:rPr>
                <w:i/>
              </w:rPr>
              <w:t xml:space="preserve">, </w:t>
            </w:r>
            <w:r w:rsidR="008F194C" w:rsidRPr="001570EA">
              <w:rPr>
                <w:iCs/>
              </w:rPr>
              <w:t>In-service rate</w:t>
            </w:r>
          </w:p>
        </w:tc>
        <w:tc>
          <w:tcPr>
            <w:tcW w:w="569" w:type="pct"/>
            <w:tcBorders>
              <w:top w:val="single" w:sz="8" w:space="0" w:color="auto"/>
              <w:left w:val="nil"/>
              <w:bottom w:val="single" w:sz="8" w:space="0" w:color="auto"/>
              <w:right w:val="single" w:sz="8" w:space="0" w:color="auto"/>
            </w:tcBorders>
            <w:vAlign w:val="center"/>
          </w:tcPr>
          <w:p w14:paraId="2F05A628" w14:textId="592DC18A" w:rsidR="00F310D2" w:rsidRPr="001570EA" w:rsidRDefault="00F310D2" w:rsidP="00597241">
            <w:pPr>
              <w:pStyle w:val="TableCell"/>
              <w:keepLines/>
              <w:spacing w:before="60" w:after="60"/>
              <w:jc w:val="center"/>
              <w:rPr>
                <w:i/>
              </w:rPr>
            </w:pPr>
            <w:r w:rsidRPr="001570EA">
              <w:rPr>
                <w:i/>
              </w:rPr>
              <w:t>%</w:t>
            </w:r>
          </w:p>
        </w:tc>
        <w:tc>
          <w:tcPr>
            <w:tcW w:w="1621" w:type="pct"/>
            <w:tcBorders>
              <w:top w:val="single" w:sz="8" w:space="0" w:color="auto"/>
              <w:left w:val="nil"/>
              <w:bottom w:val="single" w:sz="8" w:space="0" w:color="auto"/>
              <w:right w:val="single" w:sz="8" w:space="0" w:color="auto"/>
            </w:tcBorders>
            <w:vAlign w:val="center"/>
          </w:tcPr>
          <w:p w14:paraId="6E4AAA33" w14:textId="77777777" w:rsidR="00597AF4" w:rsidRPr="001570EA" w:rsidRDefault="00F310D2" w:rsidP="00597241">
            <w:pPr>
              <w:pStyle w:val="TableCell"/>
              <w:keepLines/>
              <w:spacing w:before="60" w:after="60"/>
              <w:jc w:val="center"/>
              <w:rPr>
                <w:szCs w:val="18"/>
              </w:rPr>
            </w:pPr>
            <w:r w:rsidRPr="001570EA">
              <w:rPr>
                <w:szCs w:val="18"/>
              </w:rPr>
              <w:t>EDC Data Gathering</w:t>
            </w:r>
            <w:r w:rsidR="00597AF4" w:rsidRPr="001570EA">
              <w:rPr>
                <w:szCs w:val="18"/>
              </w:rPr>
              <w:t>,</w:t>
            </w:r>
            <w:r w:rsidR="00D36779" w:rsidRPr="001570EA">
              <w:rPr>
                <w:szCs w:val="18"/>
              </w:rPr>
              <w:t xml:space="preserve"> </w:t>
            </w:r>
          </w:p>
          <w:p w14:paraId="0D64B234" w14:textId="007AB5D3" w:rsidR="00597AF4" w:rsidRPr="001570EA" w:rsidRDefault="00597AF4" w:rsidP="00597241">
            <w:pPr>
              <w:pStyle w:val="TableCell"/>
              <w:keepLines/>
              <w:spacing w:before="60" w:after="60"/>
              <w:jc w:val="center"/>
            </w:pPr>
            <w:r w:rsidRPr="001570EA">
              <w:t xml:space="preserve">Upstream Default: </w:t>
            </w:r>
            <w:r w:rsidR="00357E9F" w:rsidRPr="001570EA">
              <w:t>95%</w:t>
            </w:r>
          </w:p>
          <w:p w14:paraId="5B04458D" w14:textId="1D3CD390" w:rsidR="00597AF4" w:rsidRPr="001570EA" w:rsidRDefault="00597AF4" w:rsidP="00597241">
            <w:pPr>
              <w:pStyle w:val="TableCell"/>
              <w:keepLines/>
              <w:spacing w:before="60" w:after="60"/>
              <w:jc w:val="center"/>
            </w:pPr>
            <w:r w:rsidRPr="001570EA">
              <w:t xml:space="preserve">Kit </w:t>
            </w:r>
            <w:r w:rsidR="009C45DB" w:rsidRPr="001570EA">
              <w:t xml:space="preserve">Hard-wired </w:t>
            </w:r>
            <w:r w:rsidRPr="001570EA">
              <w:t xml:space="preserve">Default: </w:t>
            </w:r>
            <w:r w:rsidR="00B248BB" w:rsidRPr="001570EA">
              <w:t>16</w:t>
            </w:r>
            <w:r w:rsidRPr="001570EA">
              <w:t>%</w:t>
            </w:r>
          </w:p>
          <w:p w14:paraId="64380406" w14:textId="24157E7E" w:rsidR="009C45DB" w:rsidRPr="001570EA" w:rsidRDefault="009C45DB" w:rsidP="00597241">
            <w:pPr>
              <w:pStyle w:val="TableCell"/>
              <w:keepLines/>
              <w:spacing w:before="60" w:after="60"/>
              <w:jc w:val="center"/>
            </w:pPr>
            <w:r w:rsidRPr="001570EA">
              <w:t xml:space="preserve">Kit Plug-in: </w:t>
            </w:r>
            <w:r w:rsidR="005C5D81" w:rsidRPr="001570EA">
              <w:rPr>
                <w:szCs w:val="18"/>
              </w:rPr>
              <w:t>EDC Data Gathering</w:t>
            </w:r>
          </w:p>
          <w:p w14:paraId="06C42001" w14:textId="4DED241D" w:rsidR="00F310D2" w:rsidRPr="001570EA" w:rsidRDefault="00597AF4" w:rsidP="00597241">
            <w:pPr>
              <w:keepNext/>
              <w:keepLines/>
              <w:jc w:val="center"/>
              <w:rPr>
                <w:sz w:val="18"/>
                <w:szCs w:val="18"/>
              </w:rPr>
            </w:pPr>
            <w:r w:rsidRPr="001570EA">
              <w:rPr>
                <w:sz w:val="18"/>
                <w:szCs w:val="18"/>
              </w:rPr>
              <w:t>Direct Install Default: 100%</w:t>
            </w:r>
          </w:p>
        </w:tc>
        <w:tc>
          <w:tcPr>
            <w:tcW w:w="679" w:type="pct"/>
            <w:tcBorders>
              <w:top w:val="single" w:sz="8" w:space="0" w:color="auto"/>
              <w:left w:val="nil"/>
              <w:bottom w:val="single" w:sz="8" w:space="0" w:color="auto"/>
              <w:right w:val="single" w:sz="8" w:space="0" w:color="auto"/>
            </w:tcBorders>
            <w:vAlign w:val="center"/>
          </w:tcPr>
          <w:p w14:paraId="2D0C872E" w14:textId="2D600F7A" w:rsidR="00F310D2" w:rsidRPr="001570EA" w:rsidRDefault="00B868B6" w:rsidP="00597241">
            <w:pPr>
              <w:pStyle w:val="TableCell"/>
              <w:keepLines/>
              <w:spacing w:before="60" w:after="60"/>
              <w:jc w:val="center"/>
            </w:pPr>
            <w:r w:rsidRPr="001570EA">
              <w:t>5, 6</w:t>
            </w:r>
            <w:r w:rsidR="009C45DB" w:rsidRPr="001570EA">
              <w:t>, 7</w:t>
            </w:r>
          </w:p>
        </w:tc>
      </w:tr>
      <w:tr w:rsidR="007F3FB0" w:rsidRPr="001570EA" w14:paraId="64AAB8D3" w14:textId="77777777" w:rsidTr="00EB056F">
        <w:trPr>
          <w:trHeight w:val="741"/>
        </w:trPr>
        <w:tc>
          <w:tcPr>
            <w:tcW w:w="2131" w:type="pct"/>
            <w:tcBorders>
              <w:top w:val="single" w:sz="8" w:space="0" w:color="auto"/>
              <w:left w:val="single" w:sz="8" w:space="0" w:color="auto"/>
              <w:bottom w:val="single" w:sz="8" w:space="0" w:color="auto"/>
              <w:right w:val="single" w:sz="8" w:space="0" w:color="auto"/>
            </w:tcBorders>
            <w:vAlign w:val="center"/>
          </w:tcPr>
          <w:p w14:paraId="584A19CE" w14:textId="5780FD4F" w:rsidR="0015191D" w:rsidRPr="001570EA" w:rsidRDefault="00561B32" w:rsidP="00597241">
            <w:pPr>
              <w:pStyle w:val="TableCell"/>
              <w:keepLines/>
              <w:spacing w:before="60" w:after="60"/>
              <w:jc w:val="left"/>
              <w:rPr>
                <w:i/>
              </w:rPr>
            </w:pPr>
            <w:r w:rsidRPr="001570EA">
              <w:rPr>
                <w:i/>
              </w:rPr>
              <w:t>CF</w:t>
            </w:r>
            <w:r w:rsidR="0015191D" w:rsidRPr="001570EA">
              <w:rPr>
                <w:i/>
                <w:vertAlign w:val="subscript"/>
              </w:rPr>
              <w:t>s</w:t>
            </w:r>
            <w:r w:rsidR="004B745C" w:rsidRPr="001570EA">
              <w:rPr>
                <w:i/>
                <w:vertAlign w:val="subscript"/>
              </w:rPr>
              <w:t xml:space="preserve">, </w:t>
            </w:r>
            <w:r w:rsidR="004B745C" w:rsidRPr="001570EA">
              <w:rPr>
                <w:iCs/>
              </w:rPr>
              <w:t>Summer</w:t>
            </w:r>
            <w:r w:rsidR="00F454CE" w:rsidRPr="001570EA">
              <w:rPr>
                <w:iCs/>
              </w:rPr>
              <w:t xml:space="preserve"> coincidence factor</w:t>
            </w:r>
          </w:p>
        </w:tc>
        <w:tc>
          <w:tcPr>
            <w:tcW w:w="569" w:type="pct"/>
            <w:tcBorders>
              <w:top w:val="single" w:sz="8" w:space="0" w:color="auto"/>
              <w:left w:val="nil"/>
              <w:bottom w:val="single" w:sz="8" w:space="0" w:color="auto"/>
              <w:right w:val="single" w:sz="8" w:space="0" w:color="auto"/>
            </w:tcBorders>
            <w:vAlign w:val="center"/>
          </w:tcPr>
          <w:p w14:paraId="2DCCEA99" w14:textId="42D6DB12" w:rsidR="0015191D" w:rsidRPr="001570EA" w:rsidRDefault="0015191D" w:rsidP="00597241">
            <w:pPr>
              <w:pStyle w:val="TableCell"/>
              <w:keepLines/>
              <w:spacing w:before="60" w:after="60"/>
              <w:jc w:val="center"/>
              <w:rPr>
                <w:i/>
              </w:rPr>
            </w:pPr>
            <w:r w:rsidRPr="001570EA">
              <w:rPr>
                <w:i/>
              </w:rPr>
              <w:t>None</w:t>
            </w:r>
          </w:p>
        </w:tc>
        <w:tc>
          <w:tcPr>
            <w:tcW w:w="1621" w:type="pct"/>
            <w:tcBorders>
              <w:top w:val="single" w:sz="8" w:space="0" w:color="auto"/>
              <w:left w:val="nil"/>
              <w:bottom w:val="single" w:sz="8" w:space="0" w:color="auto"/>
              <w:right w:val="single" w:sz="8" w:space="0" w:color="auto"/>
            </w:tcBorders>
            <w:vAlign w:val="center"/>
          </w:tcPr>
          <w:p w14:paraId="2950C59A" w14:textId="371934E5" w:rsidR="0015191D" w:rsidRPr="001570EA" w:rsidRDefault="00424B63" w:rsidP="00597241">
            <w:pPr>
              <w:keepNext/>
              <w:keepLines/>
              <w:jc w:val="center"/>
              <w:rPr>
                <w:sz w:val="18"/>
              </w:rPr>
            </w:pPr>
            <w:r w:rsidRPr="001570EA">
              <w:rPr>
                <w:sz w:val="18"/>
                <w:szCs w:val="18"/>
              </w:rPr>
              <w:t>0.101</w:t>
            </w:r>
          </w:p>
        </w:tc>
        <w:tc>
          <w:tcPr>
            <w:tcW w:w="679" w:type="pct"/>
            <w:tcBorders>
              <w:top w:val="single" w:sz="8" w:space="0" w:color="auto"/>
              <w:left w:val="nil"/>
              <w:bottom w:val="single" w:sz="8" w:space="0" w:color="auto"/>
              <w:right w:val="single" w:sz="8" w:space="0" w:color="auto"/>
            </w:tcBorders>
            <w:vAlign w:val="center"/>
          </w:tcPr>
          <w:p w14:paraId="1AB96C81" w14:textId="79ACE0AA" w:rsidR="0015191D" w:rsidRPr="001570EA" w:rsidRDefault="00B84443" w:rsidP="00597241">
            <w:pPr>
              <w:pStyle w:val="TableCell"/>
              <w:keepLines/>
              <w:spacing w:before="60" w:after="60"/>
              <w:jc w:val="center"/>
            </w:pPr>
            <w:r w:rsidRPr="001570EA">
              <w:t>4</w:t>
            </w:r>
          </w:p>
        </w:tc>
      </w:tr>
      <w:tr w:rsidR="007F3FB0" w:rsidRPr="001570EA" w14:paraId="3CF2F8A0" w14:textId="77777777" w:rsidTr="00EB056F">
        <w:trPr>
          <w:trHeight w:val="741"/>
        </w:trPr>
        <w:tc>
          <w:tcPr>
            <w:tcW w:w="2131" w:type="pct"/>
            <w:tcBorders>
              <w:top w:val="single" w:sz="8" w:space="0" w:color="auto"/>
              <w:left w:val="single" w:sz="8" w:space="0" w:color="auto"/>
              <w:bottom w:val="single" w:sz="8" w:space="0" w:color="auto"/>
              <w:right w:val="single" w:sz="8" w:space="0" w:color="auto"/>
            </w:tcBorders>
            <w:vAlign w:val="center"/>
          </w:tcPr>
          <w:p w14:paraId="2D6A8B26" w14:textId="701AC868" w:rsidR="004C5C83" w:rsidRPr="001570EA" w:rsidRDefault="00F454CE" w:rsidP="00597241">
            <w:pPr>
              <w:pStyle w:val="TableCell"/>
              <w:keepLines/>
              <w:spacing w:before="60" w:after="60"/>
              <w:jc w:val="left"/>
              <w:rPr>
                <w:i/>
              </w:rPr>
            </w:pPr>
            <w:r w:rsidRPr="001570EA">
              <w:rPr>
                <w:i/>
              </w:rPr>
              <w:t>C</w:t>
            </w:r>
            <w:r w:rsidR="00AC5911" w:rsidRPr="001570EA">
              <w:rPr>
                <w:i/>
              </w:rPr>
              <w:t>F</w:t>
            </w:r>
            <w:r w:rsidR="00085718" w:rsidRPr="001570EA">
              <w:rPr>
                <w:i/>
                <w:vertAlign w:val="subscript"/>
              </w:rPr>
              <w:t>w</w:t>
            </w:r>
            <w:r w:rsidR="00E206AB" w:rsidRPr="001570EA">
              <w:rPr>
                <w:i/>
                <w:vertAlign w:val="subscript"/>
              </w:rPr>
              <w:t xml:space="preserve"> </w:t>
            </w:r>
            <w:r w:rsidR="004B745C" w:rsidRPr="001570EA">
              <w:rPr>
                <w:i/>
                <w:vertAlign w:val="subscript"/>
              </w:rPr>
              <w:t xml:space="preserve">, </w:t>
            </w:r>
            <w:r w:rsidR="004B745C" w:rsidRPr="001570EA">
              <w:rPr>
                <w:iCs/>
              </w:rPr>
              <w:t xml:space="preserve">Winter </w:t>
            </w:r>
            <w:r w:rsidRPr="001570EA">
              <w:rPr>
                <w:iCs/>
              </w:rPr>
              <w:t>coincidence factor</w:t>
            </w:r>
          </w:p>
        </w:tc>
        <w:tc>
          <w:tcPr>
            <w:tcW w:w="569" w:type="pct"/>
            <w:tcBorders>
              <w:top w:val="single" w:sz="8" w:space="0" w:color="auto"/>
              <w:left w:val="nil"/>
              <w:bottom w:val="single" w:sz="8" w:space="0" w:color="auto"/>
              <w:right w:val="single" w:sz="8" w:space="0" w:color="auto"/>
            </w:tcBorders>
            <w:vAlign w:val="center"/>
          </w:tcPr>
          <w:p w14:paraId="6B690A0B" w14:textId="7B3C5013" w:rsidR="004C5C83" w:rsidRPr="001570EA" w:rsidRDefault="006144DA" w:rsidP="00597241">
            <w:pPr>
              <w:pStyle w:val="TableCell"/>
              <w:keepLines/>
              <w:spacing w:before="60" w:after="60"/>
              <w:jc w:val="center"/>
              <w:rPr>
                <w:i/>
              </w:rPr>
            </w:pPr>
            <w:r w:rsidRPr="001570EA">
              <w:rPr>
                <w:i/>
              </w:rPr>
              <w:t>None</w:t>
            </w:r>
          </w:p>
        </w:tc>
        <w:tc>
          <w:tcPr>
            <w:tcW w:w="1621" w:type="pct"/>
            <w:tcBorders>
              <w:top w:val="single" w:sz="8" w:space="0" w:color="auto"/>
              <w:left w:val="nil"/>
              <w:bottom w:val="single" w:sz="8" w:space="0" w:color="auto"/>
              <w:right w:val="single" w:sz="8" w:space="0" w:color="auto"/>
            </w:tcBorders>
            <w:vAlign w:val="center"/>
          </w:tcPr>
          <w:p w14:paraId="37B32EA6" w14:textId="3B52EF32" w:rsidR="004C5C83" w:rsidRPr="001570EA" w:rsidRDefault="0015191D" w:rsidP="00597241">
            <w:pPr>
              <w:keepNext/>
              <w:keepLines/>
              <w:jc w:val="center"/>
              <w:rPr>
                <w:sz w:val="18"/>
              </w:rPr>
            </w:pPr>
            <w:r w:rsidRPr="001570EA">
              <w:rPr>
                <w:sz w:val="18"/>
              </w:rPr>
              <w:t>0.</w:t>
            </w:r>
            <w:r w:rsidR="00590745" w:rsidRPr="001570EA">
              <w:rPr>
                <w:sz w:val="18"/>
              </w:rPr>
              <w:t>121</w:t>
            </w:r>
          </w:p>
        </w:tc>
        <w:tc>
          <w:tcPr>
            <w:tcW w:w="679" w:type="pct"/>
            <w:tcBorders>
              <w:top w:val="single" w:sz="8" w:space="0" w:color="auto"/>
              <w:left w:val="nil"/>
              <w:bottom w:val="single" w:sz="8" w:space="0" w:color="auto"/>
              <w:right w:val="single" w:sz="8" w:space="0" w:color="auto"/>
            </w:tcBorders>
            <w:vAlign w:val="center"/>
          </w:tcPr>
          <w:p w14:paraId="70116A72" w14:textId="686FF515" w:rsidR="004C5C83" w:rsidRPr="001570EA" w:rsidRDefault="00B84443" w:rsidP="00597241">
            <w:pPr>
              <w:pStyle w:val="TableCell"/>
              <w:keepLines/>
              <w:spacing w:before="60" w:after="60"/>
              <w:jc w:val="center"/>
            </w:pPr>
            <w:r w:rsidRPr="001570EA">
              <w:t>4</w:t>
            </w:r>
          </w:p>
        </w:tc>
      </w:tr>
    </w:tbl>
    <w:p w14:paraId="7B4E02C7" w14:textId="77777777" w:rsidR="00E42134" w:rsidRPr="001570EA" w:rsidRDefault="00E42134" w:rsidP="00FA5174"/>
    <w:p w14:paraId="31A07CC6" w14:textId="77777777" w:rsidR="00FA5174" w:rsidRPr="001570EA" w:rsidRDefault="00FA5174" w:rsidP="00410F0D">
      <w:pPr>
        <w:pStyle w:val="SubStyle"/>
        <w:keepNext/>
        <w:keepLines/>
      </w:pPr>
      <w:r w:rsidRPr="001570EA">
        <w:t>Evaluation Protocols</w:t>
      </w:r>
    </w:p>
    <w:p w14:paraId="74DF8EB2" w14:textId="77777777" w:rsidR="00FA5174" w:rsidRPr="001570EA" w:rsidRDefault="00FA5174" w:rsidP="00FA5174">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3F72298A" w14:textId="77777777" w:rsidR="00FA5174" w:rsidRPr="001570EA" w:rsidRDefault="00FA5174" w:rsidP="00FA5174"/>
    <w:p w14:paraId="19B07C1C" w14:textId="77777777" w:rsidR="00FA5174" w:rsidRPr="001570EA" w:rsidRDefault="00FA5174" w:rsidP="00597241">
      <w:pPr>
        <w:pStyle w:val="SubStyle"/>
        <w:keepNext/>
        <w:keepLines/>
      </w:pPr>
      <w:r w:rsidRPr="001570EA">
        <w:t>Sources</w:t>
      </w:r>
    </w:p>
    <w:p w14:paraId="22960402" w14:textId="41C2BB97" w:rsidR="00FA5174" w:rsidRPr="001570EA" w:rsidRDefault="00FA5174" w:rsidP="00597241">
      <w:pPr>
        <w:pStyle w:val="ListParagraph"/>
        <w:keepNext/>
        <w:keepLines/>
        <w:numPr>
          <w:ilvl w:val="0"/>
          <w:numId w:val="25"/>
        </w:numPr>
        <w:ind w:left="360"/>
        <w:jc w:val="left"/>
      </w:pPr>
      <w:r w:rsidRPr="001570EA">
        <w:t>Statewide Evaluation Team (GDS Associates, Inc, Nexant, Research into Action, Apex Analytics LLC)</w:t>
      </w:r>
      <w:r w:rsidR="00FD2F59" w:rsidRPr="001570EA">
        <w:t xml:space="preserve"> for </w:t>
      </w:r>
      <w:r w:rsidR="00477AC4" w:rsidRPr="001570EA">
        <w:t>Pennsylvania Public Utilities Commission. (2014, January).</w:t>
      </w:r>
      <w:r w:rsidRPr="001570EA">
        <w:t xml:space="preserve"> 2014 Commercial &amp; Residential Light Metering Study. </w:t>
      </w:r>
      <w:hyperlink r:id="rId27" w:history="1">
        <w:r w:rsidR="0087012B" w:rsidRPr="001570EA">
          <w:rPr>
            <w:rStyle w:val="Hyperlink"/>
          </w:rPr>
          <w:t>Weblink</w:t>
        </w:r>
      </w:hyperlink>
      <w:r w:rsidRPr="001570EA">
        <w:t xml:space="preserve"> </w:t>
      </w:r>
    </w:p>
    <w:p w14:paraId="70247F4A" w14:textId="2B3F99CF" w:rsidR="00FA5174" w:rsidRPr="001570EA" w:rsidRDefault="00250F7E" w:rsidP="00597241">
      <w:pPr>
        <w:pStyle w:val="ListParagraph"/>
        <w:keepNext/>
        <w:keepLines/>
        <w:numPr>
          <w:ilvl w:val="0"/>
          <w:numId w:val="25"/>
        </w:numPr>
        <w:ind w:left="360"/>
        <w:jc w:val="left"/>
      </w:pPr>
      <w:r w:rsidRPr="001570EA">
        <w:t xml:space="preserve">Weighted average </w:t>
      </w:r>
      <w:r w:rsidR="00B64576" w:rsidRPr="001570EA">
        <w:t xml:space="preserve">of percentage reduction by hours </w:t>
      </w:r>
      <w:r w:rsidR="001141EE" w:rsidRPr="001570EA">
        <w:t xml:space="preserve">of use </w:t>
      </w:r>
      <w:r w:rsidR="003E042F" w:rsidRPr="001570EA">
        <w:t xml:space="preserve">per </w:t>
      </w:r>
      <w:r w:rsidR="00B64576" w:rsidRPr="001570EA">
        <w:t xml:space="preserve">room </w:t>
      </w:r>
      <w:r w:rsidR="007E0AA9" w:rsidRPr="001570EA">
        <w:t>(excluding exterior and other)</w:t>
      </w:r>
      <w:r w:rsidR="003E042F" w:rsidRPr="001570EA">
        <w:t>.</w:t>
      </w:r>
      <w:r w:rsidR="007E0AA9" w:rsidRPr="001570EA">
        <w:t xml:space="preserve"> </w:t>
      </w:r>
      <w:r w:rsidR="009315AD" w:rsidRPr="001570EA">
        <w:t>Navigant</w:t>
      </w:r>
      <w:r w:rsidR="00D65049" w:rsidRPr="001570EA">
        <w:t xml:space="preserve"> for </w:t>
      </w:r>
      <w:r w:rsidR="009315AD" w:rsidRPr="001570EA">
        <w:t>Consortium for Energy Efficiency</w:t>
      </w:r>
      <w:r w:rsidR="00D65049" w:rsidRPr="001570EA">
        <w:t>. (</w:t>
      </w:r>
      <w:r w:rsidR="009315AD" w:rsidRPr="001570EA">
        <w:t>2014</w:t>
      </w:r>
      <w:r w:rsidR="00D65049" w:rsidRPr="001570EA">
        <w:t xml:space="preserve">, </w:t>
      </w:r>
      <w:r w:rsidR="009315AD" w:rsidRPr="001570EA">
        <w:t>January</w:t>
      </w:r>
      <w:r w:rsidR="00D65049" w:rsidRPr="001570EA">
        <w:t xml:space="preserve">). </w:t>
      </w:r>
      <w:r w:rsidR="009315AD" w:rsidRPr="001570EA">
        <w:t>Residential Lighting Controls Market Characterization</w:t>
      </w:r>
      <w:r w:rsidR="00D65049" w:rsidRPr="001570EA">
        <w:t xml:space="preserve">. </w:t>
      </w:r>
      <w:r w:rsidR="00FE3847" w:rsidRPr="001570EA">
        <w:t>P</w:t>
      </w:r>
      <w:r w:rsidR="00324C49">
        <w:t>a</w:t>
      </w:r>
      <w:r w:rsidR="00D65049" w:rsidRPr="001570EA">
        <w:t>g</w:t>
      </w:r>
      <w:r w:rsidR="00324C49">
        <w:t>e</w:t>
      </w:r>
      <w:r w:rsidR="00D65049" w:rsidRPr="001570EA">
        <w:t xml:space="preserve"> 19, </w:t>
      </w:r>
      <w:r w:rsidR="007960F9" w:rsidRPr="001570EA">
        <w:t>Table</w:t>
      </w:r>
      <w:r w:rsidR="00D65049" w:rsidRPr="001570EA">
        <w:t xml:space="preserve"> 7. </w:t>
      </w:r>
    </w:p>
    <w:p w14:paraId="43342D6C" w14:textId="58C80674" w:rsidR="00FA5174" w:rsidRPr="001570EA" w:rsidRDefault="00B37A04" w:rsidP="00597241">
      <w:pPr>
        <w:pStyle w:val="source10"/>
        <w:keepNext/>
        <w:keepLines/>
        <w:numPr>
          <w:ilvl w:val="0"/>
          <w:numId w:val="25"/>
        </w:numPr>
        <w:ind w:left="360"/>
        <w:jc w:val="left"/>
      </w:pPr>
      <w:r w:rsidRPr="001570EA">
        <w:rPr>
          <w:rFonts w:cs="Times New Roman"/>
        </w:rPr>
        <w:t>California Public Utilities Commission Database for Energy Efficient Resources (DEER) EUL Support Table for 2020.</w:t>
      </w:r>
    </w:p>
    <w:p w14:paraId="3F224BE1" w14:textId="66A3760E" w:rsidR="00634770" w:rsidRPr="001570EA" w:rsidRDefault="009D73F4" w:rsidP="002614D2">
      <w:pPr>
        <w:pStyle w:val="source10"/>
        <w:numPr>
          <w:ilvl w:val="0"/>
          <w:numId w:val="25"/>
        </w:numPr>
        <w:ind w:left="360"/>
        <w:jc w:val="left"/>
      </w:pPr>
      <w:r w:rsidRPr="001570EA">
        <w:t xml:space="preserve">Average </w:t>
      </w:r>
      <w:r w:rsidR="00074C62" w:rsidRPr="001570EA">
        <w:t xml:space="preserve">“all bulb” </w:t>
      </w:r>
      <w:r w:rsidRPr="001570EA">
        <w:t>probably of operation during PJM summer and winter peak</w:t>
      </w:r>
      <w:r w:rsidR="0024250C" w:rsidRPr="001570EA">
        <w:t xml:space="preserve"> periods</w:t>
      </w:r>
      <w:r w:rsidR="00024B76" w:rsidRPr="001570EA">
        <w:t xml:space="preserve"> </w:t>
      </w:r>
      <w:r w:rsidR="002D183D" w:rsidRPr="001570EA">
        <w:t xml:space="preserve">calculated using </w:t>
      </w:r>
      <w:r w:rsidR="00024B76" w:rsidRPr="001570EA">
        <w:t>load shapes</w:t>
      </w:r>
      <w:r w:rsidR="00074C62" w:rsidRPr="001570EA">
        <w:t xml:space="preserve"> from</w:t>
      </w:r>
      <w:r w:rsidR="00412A44" w:rsidRPr="001570EA">
        <w:t xml:space="preserve"> </w:t>
      </w:r>
      <w:r w:rsidR="006F48D1" w:rsidRPr="001570EA">
        <w:t>Statewide Evaluation Team for Pennsylvania Public Utilities Commission. (</w:t>
      </w:r>
      <w:r w:rsidR="00570464" w:rsidRPr="001570EA">
        <w:t>2014</w:t>
      </w:r>
      <w:r w:rsidR="006F48D1" w:rsidRPr="001570EA">
        <w:t xml:space="preserve">, </w:t>
      </w:r>
      <w:r w:rsidR="00570464" w:rsidRPr="001570EA">
        <w:t>January</w:t>
      </w:r>
      <w:r w:rsidR="006F48D1" w:rsidRPr="001570EA">
        <w:t xml:space="preserve">). </w:t>
      </w:r>
      <w:r w:rsidR="00570464" w:rsidRPr="001570EA">
        <w:t>Pennsylvania Statewide Act 129 2014 Commercial &amp; Residential Light Metering Study</w:t>
      </w:r>
      <w:r w:rsidR="006F48D1" w:rsidRPr="001570EA">
        <w:t xml:space="preserve">. </w:t>
      </w:r>
      <w:r w:rsidR="00B844FC" w:rsidRPr="001570EA">
        <w:t>Appendix A Residential Load Shapes</w:t>
      </w:r>
      <w:r w:rsidR="006F48D1" w:rsidRPr="001570EA">
        <w:t xml:space="preserve">. </w:t>
      </w:r>
      <w:hyperlink r:id="rId28" w:history="1">
        <w:r w:rsidR="006F48D1" w:rsidRPr="001570EA">
          <w:rPr>
            <w:rStyle w:val="Hyperlink"/>
            <w:rFonts w:cs="Arial"/>
          </w:rPr>
          <w:t>Weblink</w:t>
        </w:r>
      </w:hyperlink>
    </w:p>
    <w:p w14:paraId="7D5971A5" w14:textId="203FA5A2" w:rsidR="00634770" w:rsidRPr="001570EA" w:rsidRDefault="00EC4A93" w:rsidP="002614D2">
      <w:pPr>
        <w:pStyle w:val="source10"/>
        <w:numPr>
          <w:ilvl w:val="0"/>
          <w:numId w:val="25"/>
        </w:numPr>
        <w:ind w:left="360"/>
        <w:jc w:val="left"/>
      </w:pPr>
      <w:r w:rsidRPr="001570EA">
        <w:t>Maryland EmPOWER Technical Reference Manual Volume 2 – Residential Measures</w:t>
      </w:r>
      <w:r w:rsidR="002D5309" w:rsidRPr="001570EA">
        <w:t>. (20</w:t>
      </w:r>
      <w:r w:rsidRPr="001570EA">
        <w:t>23</w:t>
      </w:r>
      <w:r w:rsidR="002D5309" w:rsidRPr="001570EA">
        <w:t xml:space="preserve">, version </w:t>
      </w:r>
      <w:r w:rsidR="001258FE" w:rsidRPr="001570EA">
        <w:t>11</w:t>
      </w:r>
      <w:r w:rsidR="002D5309" w:rsidRPr="001570EA">
        <w:t>.0). “</w:t>
      </w:r>
      <w:r w:rsidR="0020074C" w:rsidRPr="001570EA">
        <w:t>Occupancy Sensor – Wall-Mounted</w:t>
      </w:r>
      <w:r w:rsidR="002D5309" w:rsidRPr="001570EA">
        <w:t xml:space="preserve">”. </w:t>
      </w:r>
    </w:p>
    <w:p w14:paraId="27AC5BFD" w14:textId="3C044395" w:rsidR="004711DE" w:rsidRPr="001570EA" w:rsidRDefault="008D3FD4" w:rsidP="002614D2">
      <w:pPr>
        <w:pStyle w:val="source10"/>
        <w:numPr>
          <w:ilvl w:val="0"/>
          <w:numId w:val="25"/>
        </w:numPr>
        <w:ind w:left="360"/>
        <w:jc w:val="left"/>
      </w:pPr>
      <w:r w:rsidRPr="001570EA">
        <w:t xml:space="preserve">Weighted average of </w:t>
      </w:r>
      <w:r w:rsidR="007851A7" w:rsidRPr="001570EA">
        <w:t>evaluated</w:t>
      </w:r>
      <w:r w:rsidR="00006A09" w:rsidRPr="001570EA">
        <w:t xml:space="preserve"> </w:t>
      </w:r>
      <w:r w:rsidR="00DF446B" w:rsidRPr="001570EA">
        <w:t xml:space="preserve">PY13 and PY14 </w:t>
      </w:r>
      <w:r w:rsidR="00006A09" w:rsidRPr="001570EA">
        <w:t>outlet gasket</w:t>
      </w:r>
      <w:r w:rsidRPr="001570EA">
        <w:t xml:space="preserve"> ISR</w:t>
      </w:r>
      <w:r w:rsidR="00006A09" w:rsidRPr="001570EA">
        <w:t>s</w:t>
      </w:r>
      <w:r w:rsidRPr="001570EA">
        <w:t xml:space="preserve"> from </w:t>
      </w:r>
      <w:r w:rsidR="0019098E" w:rsidRPr="001570EA">
        <w:t xml:space="preserve">FirstEnergy </w:t>
      </w:r>
      <w:r w:rsidR="00DF446B" w:rsidRPr="001570EA">
        <w:t>k</w:t>
      </w:r>
      <w:r w:rsidR="006667AC" w:rsidRPr="001570EA">
        <w:t>its.</w:t>
      </w:r>
    </w:p>
    <w:p w14:paraId="45FE4A60" w14:textId="6B7BF82D" w:rsidR="002E5274" w:rsidRPr="001570EA" w:rsidRDefault="00A57873" w:rsidP="002614D2">
      <w:pPr>
        <w:pStyle w:val="source10"/>
        <w:numPr>
          <w:ilvl w:val="0"/>
          <w:numId w:val="25"/>
        </w:numPr>
        <w:ind w:left="360"/>
        <w:jc w:val="left"/>
      </w:pPr>
      <w:r w:rsidRPr="001570EA">
        <w:t>C</w:t>
      </w:r>
      <w:r w:rsidR="00CF23F8" w:rsidRPr="001570EA">
        <w:t xml:space="preserve">alculated as </w:t>
      </w:r>
      <w:r w:rsidR="00AD32ED" w:rsidRPr="001570EA">
        <w:t>average</w:t>
      </w:r>
      <w:r w:rsidR="00793484" w:rsidRPr="001570EA">
        <w:t xml:space="preserve"> number of</w:t>
      </w:r>
      <w:r w:rsidR="00AD32ED" w:rsidRPr="001570EA">
        <w:t xml:space="preserve"> </w:t>
      </w:r>
      <w:r w:rsidR="00CF23F8" w:rsidRPr="001570EA">
        <w:t>bulbs</w:t>
      </w:r>
      <w:r w:rsidR="00A64E21">
        <w:t>-</w:t>
      </w:r>
      <w:r w:rsidR="00CF23F8" w:rsidRPr="001570EA">
        <w:t>controlled times average bulb wattage</w:t>
      </w:r>
      <w:r w:rsidR="00890F57" w:rsidRPr="001570EA">
        <w:t>.</w:t>
      </w:r>
      <w:r w:rsidR="00CF23F8" w:rsidRPr="001570EA">
        <w:t xml:space="preserve"> </w:t>
      </w:r>
      <w:r w:rsidR="00890F57" w:rsidRPr="001570EA">
        <w:t>Av</w:t>
      </w:r>
      <w:r w:rsidR="001940A3" w:rsidRPr="001570EA">
        <w:t xml:space="preserve">erage bulbs controlled is </w:t>
      </w:r>
      <w:r w:rsidR="006A08AB" w:rsidRPr="001570EA">
        <w:t xml:space="preserve">assumed to be </w:t>
      </w:r>
      <w:r w:rsidR="00890F57" w:rsidRPr="001570EA">
        <w:t xml:space="preserve">the </w:t>
      </w:r>
      <w:r w:rsidR="001940A3" w:rsidRPr="001570EA">
        <w:t xml:space="preserve">average </w:t>
      </w:r>
      <w:r w:rsidR="00C97ACA" w:rsidRPr="001570EA">
        <w:t xml:space="preserve">bulbs per room found in the </w:t>
      </w:r>
      <w:r w:rsidR="002A1226" w:rsidRPr="002A1226">
        <w:t>Act 129 2023 Pennsylvania Residential Baseline Study</w:t>
      </w:r>
      <w:r w:rsidR="00B802FD" w:rsidRPr="001570EA">
        <w:t>. A</w:t>
      </w:r>
      <w:r w:rsidR="00C97ACA" w:rsidRPr="001570EA">
        <w:t>verage</w:t>
      </w:r>
      <w:r w:rsidR="00B802FD" w:rsidRPr="001570EA">
        <w:t xml:space="preserve"> bulb watta</w:t>
      </w:r>
      <w:r w:rsidR="00684296" w:rsidRPr="001570EA">
        <w:t xml:space="preserve">ge </w:t>
      </w:r>
      <w:r w:rsidR="004865B6" w:rsidRPr="001570EA">
        <w:t xml:space="preserve">is </w:t>
      </w:r>
      <w:r w:rsidR="00684296" w:rsidRPr="001570EA">
        <w:t>calculated by multiplying the distribution of bulb technologies (</w:t>
      </w:r>
      <w:r w:rsidR="00DE4EB2" w:rsidRPr="001570EA">
        <w:t xml:space="preserve">LED, </w:t>
      </w:r>
      <w:r w:rsidR="00684296" w:rsidRPr="001570EA">
        <w:t xml:space="preserve">CFL, </w:t>
      </w:r>
      <w:r w:rsidR="00DE4EB2" w:rsidRPr="001570EA">
        <w:t>linear f</w:t>
      </w:r>
      <w:r w:rsidR="00684296" w:rsidRPr="001570EA">
        <w:t>luorescent</w:t>
      </w:r>
      <w:r w:rsidR="00E62744" w:rsidRPr="001570EA">
        <w:t xml:space="preserve">, incandescent, </w:t>
      </w:r>
      <w:r w:rsidR="00DE4EB2" w:rsidRPr="001570EA">
        <w:t xml:space="preserve">and </w:t>
      </w:r>
      <w:r w:rsidR="00E62744" w:rsidRPr="001570EA">
        <w:t>halogen)</w:t>
      </w:r>
      <w:r w:rsidR="00C1667A" w:rsidRPr="001570EA">
        <w:t xml:space="preserve"> </w:t>
      </w:r>
      <w:r w:rsidR="004865B6" w:rsidRPr="001570EA">
        <w:t xml:space="preserve">found in </w:t>
      </w:r>
      <w:r w:rsidR="00C1667A" w:rsidRPr="001570EA">
        <w:t xml:space="preserve">the </w:t>
      </w:r>
      <w:r w:rsidR="002A1226" w:rsidRPr="002A1226">
        <w:t>Act 129 2023 Pennsylvania Residential Baseline Study</w:t>
      </w:r>
      <w:r w:rsidR="00C1667A" w:rsidRPr="001570EA">
        <w:t xml:space="preserve"> </w:t>
      </w:r>
      <w:r w:rsidR="00DE4EB2" w:rsidRPr="001570EA">
        <w:t xml:space="preserve">by the average wattage </w:t>
      </w:r>
      <w:r w:rsidR="00C1667A" w:rsidRPr="001570EA">
        <w:t xml:space="preserve">per technology </w:t>
      </w:r>
      <w:r w:rsidR="00256A0C" w:rsidRPr="001570EA">
        <w:t>reported in</w:t>
      </w:r>
      <w:r w:rsidR="00AB09EA" w:rsidRPr="001570EA">
        <w:t xml:space="preserve"> </w:t>
      </w:r>
      <w:r w:rsidR="00A565DF" w:rsidRPr="001570EA">
        <w:t>Buccitelli</w:t>
      </w:r>
      <w:r w:rsidR="00D90D63" w:rsidRPr="001570EA">
        <w:t xml:space="preserve">, N., Elliott, C., Schober, S., </w:t>
      </w:r>
      <w:r w:rsidR="00D82889" w:rsidRPr="001570EA">
        <w:t xml:space="preserve">and </w:t>
      </w:r>
      <w:r w:rsidR="00D90D63" w:rsidRPr="001570EA">
        <w:t>Yamada, M.</w:t>
      </w:r>
      <w:r w:rsidR="004D269B" w:rsidRPr="001570EA">
        <w:t xml:space="preserve"> (</w:t>
      </w:r>
      <w:r w:rsidR="00D82889" w:rsidRPr="001570EA">
        <w:t>2017</w:t>
      </w:r>
      <w:r w:rsidR="004D269B" w:rsidRPr="001570EA">
        <w:t xml:space="preserve">, </w:t>
      </w:r>
      <w:r w:rsidR="00D82889" w:rsidRPr="001570EA">
        <w:t>November</w:t>
      </w:r>
      <w:r w:rsidR="004D269B" w:rsidRPr="001570EA">
        <w:t>). “</w:t>
      </w:r>
      <w:r w:rsidR="00D82889" w:rsidRPr="001570EA">
        <w:t>2015 U.S. Lighting Market Characterization</w:t>
      </w:r>
      <w:r w:rsidR="004D269B" w:rsidRPr="001570EA">
        <w:t xml:space="preserve">”. </w:t>
      </w:r>
      <w:r w:rsidR="005D0A25" w:rsidRPr="001570EA">
        <w:t>P</w:t>
      </w:r>
      <w:r w:rsidR="00324C49">
        <w:t>a</w:t>
      </w:r>
      <w:r w:rsidR="004D269B" w:rsidRPr="001570EA">
        <w:t>g</w:t>
      </w:r>
      <w:r w:rsidR="00324C49">
        <w:t>e</w:t>
      </w:r>
      <w:r w:rsidR="005D0A25" w:rsidRPr="001570EA">
        <w:t xml:space="preserve"> 54</w:t>
      </w:r>
      <w:r w:rsidR="00126466" w:rsidRPr="001570EA">
        <w:t xml:space="preserve">, </w:t>
      </w:r>
      <w:r w:rsidR="00C042EB" w:rsidRPr="001570EA">
        <w:t>Table</w:t>
      </w:r>
      <w:r w:rsidR="00126466" w:rsidRPr="001570EA">
        <w:t xml:space="preserve"> 4.5</w:t>
      </w:r>
      <w:r w:rsidR="004D269B" w:rsidRPr="001570EA">
        <w:t xml:space="preserve">. </w:t>
      </w:r>
      <w:r w:rsidR="00EA6DEA" w:rsidRPr="001570EA">
        <w:t>Navigant Consulting</w:t>
      </w:r>
      <w:r w:rsidR="004D269B" w:rsidRPr="001570EA">
        <w:t xml:space="preserve">. </w:t>
      </w:r>
      <w:bookmarkStart w:id="51" w:name="_Hlk165897197"/>
      <w:r>
        <w:fldChar w:fldCharType="begin"/>
      </w:r>
      <w:r>
        <w:instrText>HYPERLINK "https://www.energy.gov/sites/default/files/2017/12/f46/lmc2015_nov17.pdf"</w:instrText>
      </w:r>
      <w:r>
        <w:fldChar w:fldCharType="separate"/>
      </w:r>
      <w:r w:rsidR="004D269B" w:rsidRPr="001570EA">
        <w:rPr>
          <w:rStyle w:val="Hyperlink"/>
          <w:rFonts w:cs="Arial"/>
        </w:rPr>
        <w:t>Weblink</w:t>
      </w:r>
      <w:r>
        <w:rPr>
          <w:rStyle w:val="Hyperlink"/>
          <w:rFonts w:cs="Arial"/>
        </w:rPr>
        <w:fldChar w:fldCharType="end"/>
      </w:r>
      <w:bookmarkEnd w:id="51"/>
    </w:p>
    <w:p w14:paraId="37F43E75" w14:textId="2EAD70F2" w:rsidR="002E5274" w:rsidRPr="001570EA" w:rsidRDefault="00583E37" w:rsidP="002614D2">
      <w:pPr>
        <w:pStyle w:val="source10"/>
        <w:numPr>
          <w:ilvl w:val="0"/>
          <w:numId w:val="25"/>
        </w:numPr>
        <w:ind w:left="360"/>
        <w:jc w:val="left"/>
      </w:pPr>
      <w:r w:rsidRPr="001570EA">
        <w:t xml:space="preserve">Mean, median, and mode </w:t>
      </w:r>
      <w:r w:rsidR="00AF312D" w:rsidRPr="001570EA">
        <w:t xml:space="preserve">wattage </w:t>
      </w:r>
      <w:r w:rsidR="006B77B3" w:rsidRPr="001570EA">
        <w:t xml:space="preserve">of </w:t>
      </w:r>
      <w:r w:rsidR="00CB5EC3" w:rsidRPr="001570EA">
        <w:t xml:space="preserve">ENERGY STAR-certified </w:t>
      </w:r>
      <w:r w:rsidR="006B77B3" w:rsidRPr="001570EA">
        <w:t xml:space="preserve">60w equivalent </w:t>
      </w:r>
      <w:r w:rsidR="00AF312D" w:rsidRPr="001570EA">
        <w:t>LEDs</w:t>
      </w:r>
      <w:r w:rsidR="006B77B3" w:rsidRPr="001570EA">
        <w:t xml:space="preserve">. </w:t>
      </w:r>
      <w:r w:rsidR="00CB5EC3" w:rsidRPr="001570EA">
        <w:t xml:space="preserve">Accessed August 2023. </w:t>
      </w:r>
      <w:bookmarkStart w:id="52" w:name="_Hlk165897207"/>
      <w:r>
        <w:fldChar w:fldCharType="begin"/>
      </w:r>
      <w:r>
        <w:instrText>HYPERLINK "https://www.energystar.gov/productfinder/product/certified-light-bulbs/results"</w:instrText>
      </w:r>
      <w:r>
        <w:fldChar w:fldCharType="separate"/>
      </w:r>
      <w:r w:rsidR="00CB5EC3" w:rsidRPr="001570EA">
        <w:rPr>
          <w:rStyle w:val="Hyperlink"/>
          <w:rFonts w:cs="Arial"/>
        </w:rPr>
        <w:t>Weblink</w:t>
      </w:r>
      <w:r>
        <w:rPr>
          <w:rStyle w:val="Hyperlink"/>
          <w:rFonts w:cs="Arial"/>
        </w:rPr>
        <w:fldChar w:fldCharType="end"/>
      </w:r>
      <w:bookmarkEnd w:id="52"/>
    </w:p>
    <w:p w14:paraId="7AFE2B30" w14:textId="30D8F373" w:rsidR="00D970AC" w:rsidRPr="001570EA" w:rsidRDefault="00D970AC" w:rsidP="002614D2">
      <w:pPr>
        <w:pStyle w:val="source10"/>
        <w:numPr>
          <w:ilvl w:val="0"/>
          <w:numId w:val="25"/>
        </w:numPr>
        <w:ind w:left="360"/>
        <w:jc w:val="left"/>
      </w:pPr>
      <w:r w:rsidRPr="001570EA">
        <w:t>SWE Interactive Effect Calculator</w:t>
      </w:r>
      <w:r w:rsidR="00C1358F" w:rsidRPr="001570EA">
        <w:t>.</w:t>
      </w:r>
    </w:p>
    <w:p w14:paraId="20AC3E5E" w14:textId="77777777" w:rsidR="00FA5174" w:rsidRPr="001570EA" w:rsidRDefault="00FA5174" w:rsidP="00FA5174">
      <w:pPr>
        <w:pStyle w:val="source10"/>
        <w:jc w:val="left"/>
        <w:rPr>
          <w:color w:val="000000"/>
          <w:shd w:val="clear" w:color="auto" w:fill="FFFFFF"/>
        </w:rPr>
      </w:pPr>
    </w:p>
    <w:p w14:paraId="0AE16F8C" w14:textId="77777777" w:rsidR="00FA5174" w:rsidRPr="001570EA" w:rsidRDefault="00FA5174" w:rsidP="00FA5174">
      <w:pPr>
        <w:pStyle w:val="source10"/>
        <w:jc w:val="left"/>
        <w:rPr>
          <w:color w:val="000000"/>
          <w:shd w:val="clear" w:color="auto" w:fill="FFFFFF"/>
        </w:rPr>
        <w:sectPr w:rsidR="00FA5174" w:rsidRPr="001570EA" w:rsidSect="002D556C">
          <w:pgSz w:w="12240" w:h="15840" w:code="1"/>
          <w:pgMar w:top="1440" w:right="1800" w:bottom="1440" w:left="1800" w:header="720" w:footer="504" w:gutter="0"/>
          <w:pgNumType w:start="1"/>
          <w:cols w:space="720"/>
        </w:sectPr>
      </w:pPr>
    </w:p>
    <w:p w14:paraId="058107B5" w14:textId="77777777" w:rsidR="00FA5174" w:rsidRPr="001570EA" w:rsidRDefault="00FA5174" w:rsidP="00462D97">
      <w:pPr>
        <w:pStyle w:val="Heading3"/>
      </w:pPr>
      <w:bookmarkStart w:id="53" w:name="_Toc48143013"/>
      <w:bookmarkStart w:id="54" w:name="_Toc164786631"/>
      <w:bookmarkStart w:id="55" w:name="_Toc271723504"/>
      <w:bookmarkStart w:id="56" w:name="_Toc364420780"/>
      <w:bookmarkStart w:id="57" w:name="_Ref364434140"/>
      <w:bookmarkStart w:id="58" w:name="_Ref364434145"/>
      <w:bookmarkStart w:id="59" w:name="_Toc373320417"/>
      <w:bookmarkStart w:id="60" w:name="_Toc364760895"/>
      <w:r w:rsidRPr="001570EA">
        <w:t>LED and Electroluminescent Nightlights</w:t>
      </w:r>
      <w:bookmarkEnd w:id="53"/>
      <w:bookmarkEnd w:id="54"/>
    </w:p>
    <w:tbl>
      <w:tblPr>
        <w:tblW w:w="48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4912"/>
      </w:tblGrid>
      <w:tr w:rsidR="00FA5174" w:rsidRPr="001570EA" w14:paraId="74F61383" w14:textId="77777777" w:rsidTr="00BD2C4C">
        <w:tc>
          <w:tcPr>
            <w:tcW w:w="2083" w:type="pct"/>
            <w:shd w:val="clear" w:color="auto" w:fill="auto"/>
            <w:vAlign w:val="center"/>
          </w:tcPr>
          <w:p w14:paraId="421166EC" w14:textId="77777777" w:rsidR="00FA5174" w:rsidRPr="001570EA" w:rsidRDefault="00FA5174" w:rsidP="00BD2C4C">
            <w:pPr>
              <w:pStyle w:val="TableCell"/>
              <w:spacing w:before="60" w:after="60"/>
              <w:rPr>
                <w:b/>
                <w:bCs/>
              </w:rPr>
            </w:pPr>
            <w:r w:rsidRPr="001570EA">
              <w:rPr>
                <w:b/>
                <w:bCs/>
              </w:rPr>
              <w:t>Target Sector</w:t>
            </w:r>
          </w:p>
        </w:tc>
        <w:tc>
          <w:tcPr>
            <w:tcW w:w="2917" w:type="pct"/>
            <w:shd w:val="clear" w:color="auto" w:fill="auto"/>
            <w:vAlign w:val="center"/>
          </w:tcPr>
          <w:p w14:paraId="30A6401B" w14:textId="7AE87A2D" w:rsidR="00FA5174" w:rsidRPr="001570EA" w:rsidRDefault="00FA5174" w:rsidP="00BD2C4C">
            <w:pPr>
              <w:pStyle w:val="TableCell"/>
              <w:spacing w:before="60" w:after="60"/>
              <w:jc w:val="center"/>
            </w:pPr>
            <w:r w:rsidRPr="001570EA">
              <w:t>Residential</w:t>
            </w:r>
          </w:p>
        </w:tc>
      </w:tr>
      <w:tr w:rsidR="00FA5174" w:rsidRPr="001570EA" w14:paraId="1E13D6C6" w14:textId="77777777" w:rsidTr="00BD2C4C">
        <w:tc>
          <w:tcPr>
            <w:tcW w:w="2083" w:type="pct"/>
            <w:shd w:val="clear" w:color="auto" w:fill="auto"/>
            <w:vAlign w:val="center"/>
          </w:tcPr>
          <w:p w14:paraId="1F578247" w14:textId="77777777" w:rsidR="00FA5174" w:rsidRPr="001570EA" w:rsidRDefault="00FA5174" w:rsidP="00BD2C4C">
            <w:pPr>
              <w:pStyle w:val="TableCell"/>
              <w:spacing w:before="60" w:after="60"/>
              <w:rPr>
                <w:b/>
                <w:bCs/>
              </w:rPr>
            </w:pPr>
            <w:r w:rsidRPr="001570EA">
              <w:rPr>
                <w:b/>
                <w:bCs/>
              </w:rPr>
              <w:t>Measure Unit</w:t>
            </w:r>
          </w:p>
        </w:tc>
        <w:tc>
          <w:tcPr>
            <w:tcW w:w="2917" w:type="pct"/>
            <w:shd w:val="clear" w:color="auto" w:fill="auto"/>
            <w:vAlign w:val="center"/>
          </w:tcPr>
          <w:p w14:paraId="7B2D90AA" w14:textId="77777777" w:rsidR="00FA5174" w:rsidRPr="001570EA" w:rsidRDefault="00FA5174" w:rsidP="00BD2C4C">
            <w:pPr>
              <w:pStyle w:val="TableCell"/>
              <w:spacing w:before="60" w:after="60"/>
              <w:jc w:val="center"/>
            </w:pPr>
            <w:r w:rsidRPr="001570EA">
              <w:t>Nightlight</w:t>
            </w:r>
          </w:p>
        </w:tc>
      </w:tr>
      <w:tr w:rsidR="00FA5174" w:rsidRPr="001570EA" w14:paraId="70A0C402" w14:textId="77777777" w:rsidTr="00BD2C4C">
        <w:tc>
          <w:tcPr>
            <w:tcW w:w="2083" w:type="pct"/>
            <w:shd w:val="clear" w:color="auto" w:fill="auto"/>
            <w:vAlign w:val="center"/>
          </w:tcPr>
          <w:p w14:paraId="7A233E12" w14:textId="77777777" w:rsidR="00FA5174" w:rsidRPr="001570EA" w:rsidRDefault="00FA5174" w:rsidP="00BD2C4C">
            <w:pPr>
              <w:pStyle w:val="TableCell"/>
              <w:spacing w:before="60" w:after="60"/>
              <w:rPr>
                <w:b/>
                <w:bCs/>
              </w:rPr>
            </w:pPr>
            <w:r w:rsidRPr="001570EA">
              <w:rPr>
                <w:b/>
                <w:bCs/>
              </w:rPr>
              <w:t>Measure Life</w:t>
            </w:r>
          </w:p>
        </w:tc>
        <w:tc>
          <w:tcPr>
            <w:tcW w:w="2917" w:type="pct"/>
            <w:shd w:val="clear" w:color="auto" w:fill="auto"/>
            <w:vAlign w:val="center"/>
          </w:tcPr>
          <w:p w14:paraId="35113811" w14:textId="77777777" w:rsidR="00FA5174" w:rsidRPr="001570EA" w:rsidRDefault="00FA5174" w:rsidP="00BD2C4C">
            <w:pPr>
              <w:pStyle w:val="TableCell"/>
              <w:spacing w:before="60" w:after="60"/>
              <w:jc w:val="center"/>
            </w:pPr>
            <w:r w:rsidRPr="001570EA">
              <w:t>8 years</w:t>
            </w:r>
            <w:r w:rsidRPr="001570EA">
              <w:rPr>
                <w:vertAlign w:val="superscript"/>
              </w:rPr>
              <w:t>Source 1</w:t>
            </w:r>
          </w:p>
        </w:tc>
      </w:tr>
      <w:tr w:rsidR="00FA5174" w:rsidRPr="001570EA" w14:paraId="72EEE1A3" w14:textId="77777777" w:rsidTr="00BD2C4C">
        <w:tc>
          <w:tcPr>
            <w:tcW w:w="2083" w:type="pct"/>
            <w:shd w:val="clear" w:color="auto" w:fill="auto"/>
            <w:vAlign w:val="center"/>
          </w:tcPr>
          <w:p w14:paraId="628C66C7" w14:textId="77777777" w:rsidR="00FA5174" w:rsidRPr="001570EA" w:rsidRDefault="00FA5174" w:rsidP="00BD2C4C">
            <w:pPr>
              <w:pStyle w:val="TableCell"/>
              <w:spacing w:before="60" w:after="60"/>
              <w:rPr>
                <w:b/>
                <w:bCs/>
              </w:rPr>
            </w:pPr>
            <w:r w:rsidRPr="001570EA">
              <w:rPr>
                <w:b/>
                <w:bCs/>
              </w:rPr>
              <w:t>Vintage</w:t>
            </w:r>
          </w:p>
        </w:tc>
        <w:tc>
          <w:tcPr>
            <w:tcW w:w="2917" w:type="pct"/>
            <w:shd w:val="clear" w:color="auto" w:fill="auto"/>
            <w:vAlign w:val="center"/>
          </w:tcPr>
          <w:p w14:paraId="3F4FC96B" w14:textId="77777777" w:rsidR="00FA5174" w:rsidRPr="001570EA" w:rsidRDefault="00FA5174" w:rsidP="00BD2C4C">
            <w:pPr>
              <w:pStyle w:val="TableCell"/>
              <w:spacing w:before="60" w:after="60"/>
              <w:jc w:val="center"/>
            </w:pPr>
            <w:r w:rsidRPr="001570EA">
              <w:t>Replace on Burnout</w:t>
            </w:r>
          </w:p>
        </w:tc>
      </w:tr>
    </w:tbl>
    <w:p w14:paraId="51532D44" w14:textId="77777777" w:rsidR="00FA5174" w:rsidRPr="001570EA" w:rsidRDefault="00FA5174" w:rsidP="00FA5174"/>
    <w:p w14:paraId="7EFC57B3" w14:textId="1B419464" w:rsidR="00FA5174" w:rsidRPr="001570EA" w:rsidRDefault="00FA5174" w:rsidP="00FA5174">
      <w:r w:rsidRPr="001570EA">
        <w:t xml:space="preserve">Savings from installation of plug-in LED and electroluminescent nightlights are based on a straightforward algorithm that calculates the difference between existing and new wattage and the average daily hours of usage for the lighting unit being replaced. </w:t>
      </w:r>
      <w:r w:rsidR="004E1356" w:rsidRPr="001570EA">
        <w:t>Zero d</w:t>
      </w:r>
      <w:r w:rsidRPr="001570EA">
        <w:t xml:space="preserve">emand savings </w:t>
      </w:r>
      <w:r w:rsidR="004E1356" w:rsidRPr="001570EA">
        <w:t xml:space="preserve">are </w:t>
      </w:r>
      <w:r w:rsidRPr="001570EA">
        <w:t>assumed for this measure.</w:t>
      </w:r>
      <w:r w:rsidRPr="001570EA">
        <w:rPr>
          <w:rFonts w:eastAsia="Arial" w:cs="Arial"/>
        </w:rPr>
        <w:t xml:space="preserve"> </w:t>
      </w:r>
    </w:p>
    <w:p w14:paraId="31BD719A" w14:textId="77777777" w:rsidR="00FA5174" w:rsidRPr="001570EA" w:rsidRDefault="00FA5174" w:rsidP="005D4360"/>
    <w:p w14:paraId="4BBBF949" w14:textId="77777777" w:rsidR="00FA5174" w:rsidRPr="001570EA" w:rsidRDefault="00FA5174" w:rsidP="00FA5174">
      <w:pPr>
        <w:pStyle w:val="SubStyle"/>
      </w:pPr>
      <w:r w:rsidRPr="001570EA">
        <w:t>Eligibility</w:t>
      </w:r>
    </w:p>
    <w:p w14:paraId="05574548" w14:textId="1EC5B14B" w:rsidR="00FA5174" w:rsidRPr="001570EA" w:rsidRDefault="00FA5174" w:rsidP="00FA5174">
      <w:r w:rsidRPr="001570EA">
        <w:t>This measure documents the energy savings resulting from the installation of an LED or electroluminescent nightlight instead of a standard nightlight.</w:t>
      </w:r>
    </w:p>
    <w:p w14:paraId="000993E2" w14:textId="77777777" w:rsidR="00FA5174" w:rsidRPr="001570EA" w:rsidRDefault="00FA5174" w:rsidP="005D4360"/>
    <w:p w14:paraId="0A7AE579" w14:textId="77777777" w:rsidR="00FA5174" w:rsidRPr="001570EA" w:rsidRDefault="00FA5174" w:rsidP="00FA5174">
      <w:pPr>
        <w:pStyle w:val="SubStyle"/>
      </w:pPr>
      <w:r w:rsidRPr="001570EA">
        <w:t>Algorithms</w:t>
      </w:r>
    </w:p>
    <w:p w14:paraId="27C2186B" w14:textId="77777777" w:rsidR="00FA5174" w:rsidRPr="001570EA" w:rsidRDefault="00FA5174" w:rsidP="00FA5174">
      <w:pPr>
        <w:spacing w:after="120"/>
      </w:pPr>
      <w:r w:rsidRPr="001570EA">
        <w:t>The general form of the equation for the nightlight energy savings algorithm is:</w:t>
      </w:r>
    </w:p>
    <w:p w14:paraId="5C2F909D" w14:textId="7F749479" w:rsidR="00FA5174" w:rsidRPr="001570EA" w:rsidRDefault="00FA5174" w:rsidP="00FA5174">
      <w:pPr>
        <w:pStyle w:val="Equation"/>
        <w:ind w:left="0" w:firstLine="0"/>
        <w:rPr>
          <w:rFonts w:cs="Arial"/>
          <w:szCs w:val="20"/>
        </w:rPr>
      </w:pPr>
      <m:oMathPara>
        <m:oMathParaPr>
          <m:jc m:val="left"/>
        </m:oMathParaPr>
        <m:oMath>
          <m:r>
            <w:rPr>
              <w:rFonts w:ascii="Cambria Math" w:hAnsi="Cambria Math" w:cs="Arial"/>
              <w:szCs w:val="20"/>
            </w:rPr>
            <m:t>∆kWh                  =</m:t>
          </m:r>
          <m:f>
            <m:fPr>
              <m:ctrlPr>
                <w:rPr>
                  <w:rFonts w:ascii="Cambria Math" w:hAnsi="Cambria Math" w:cs="Arial"/>
                  <w:i w:val="0"/>
                  <w:szCs w:val="20"/>
                </w:rPr>
              </m:ctrlPr>
            </m:fPr>
            <m:num>
              <m:d>
                <m:dPr>
                  <m:ctrlPr>
                    <w:rPr>
                      <w:rFonts w:ascii="Cambria Math" w:hAnsi="Cambria Math" w:cs="Arial"/>
                      <w:i w:val="0"/>
                      <w:szCs w:val="20"/>
                    </w:rPr>
                  </m:ctrlPr>
                </m:dPr>
                <m:e>
                  <m:sSub>
                    <m:sSubPr>
                      <m:ctrlPr>
                        <w:rPr>
                          <w:rFonts w:ascii="Cambria Math" w:hAnsi="Cambria Math" w:cs="Arial"/>
                          <w:i w:val="0"/>
                          <w:szCs w:val="20"/>
                        </w:rPr>
                      </m:ctrlPr>
                    </m:sSubPr>
                    <m:e>
                      <m:r>
                        <w:rPr>
                          <w:rFonts w:ascii="Cambria Math" w:hAnsi="Cambria Math" w:cs="Arial"/>
                          <w:szCs w:val="20"/>
                        </w:rPr>
                        <m:t>W</m:t>
                      </m:r>
                    </m:e>
                    <m:sub>
                      <m:r>
                        <w:rPr>
                          <w:rFonts w:ascii="Cambria Math" w:hAnsi="Cambria Math" w:cs="Arial"/>
                          <w:szCs w:val="20"/>
                        </w:rPr>
                        <m:t>base</m:t>
                      </m:r>
                    </m:sub>
                  </m:sSub>
                  <m:r>
                    <w:rPr>
                      <w:rFonts w:ascii="Cambria Math" w:hAnsi="Cambria Math" w:cs="Arial"/>
                      <w:szCs w:val="20"/>
                    </w:rPr>
                    <m:t xml:space="preserve"> × </m:t>
                  </m:r>
                  <m:sSub>
                    <m:sSubPr>
                      <m:ctrlPr>
                        <w:rPr>
                          <w:rFonts w:ascii="Cambria Math" w:hAnsi="Cambria Math" w:cs="Arial"/>
                          <w:i w:val="0"/>
                          <w:szCs w:val="20"/>
                        </w:rPr>
                      </m:ctrlPr>
                    </m:sSubPr>
                    <m:e>
                      <m:r>
                        <w:rPr>
                          <w:rFonts w:ascii="Cambria Math" w:hAnsi="Cambria Math" w:cs="Arial"/>
                          <w:szCs w:val="20"/>
                        </w:rPr>
                        <m:t>HOU</m:t>
                      </m:r>
                    </m:e>
                    <m:sub>
                      <m:r>
                        <w:rPr>
                          <w:rFonts w:ascii="Cambria Math" w:hAnsi="Cambria Math" w:cs="Arial"/>
                          <w:szCs w:val="20"/>
                        </w:rPr>
                        <m:t>base</m:t>
                      </m:r>
                    </m:sub>
                  </m:sSub>
                  <m:r>
                    <w:rPr>
                      <w:rFonts w:ascii="Cambria Math" w:hAnsi="Cambria Math" w:cs="Arial"/>
                      <w:szCs w:val="20"/>
                    </w:rPr>
                    <m:t xml:space="preserve"> – </m:t>
                  </m:r>
                  <m:sSub>
                    <m:sSubPr>
                      <m:ctrlPr>
                        <w:rPr>
                          <w:rFonts w:ascii="Cambria Math" w:hAnsi="Cambria Math" w:cs="Arial"/>
                          <w:i w:val="0"/>
                          <w:szCs w:val="20"/>
                        </w:rPr>
                      </m:ctrlPr>
                    </m:sSubPr>
                    <m:e>
                      <m:r>
                        <w:rPr>
                          <w:rFonts w:ascii="Cambria Math" w:hAnsi="Cambria Math" w:cs="Arial"/>
                          <w:szCs w:val="20"/>
                        </w:rPr>
                        <m:t>W</m:t>
                      </m:r>
                    </m:e>
                    <m:sub>
                      <m:r>
                        <w:rPr>
                          <w:rFonts w:ascii="Cambria Math" w:hAnsi="Cambria Math" w:cs="Arial"/>
                          <w:szCs w:val="20"/>
                        </w:rPr>
                        <m:t>ee</m:t>
                      </m:r>
                    </m:sub>
                  </m:sSub>
                  <m:r>
                    <w:rPr>
                      <w:rFonts w:ascii="Cambria Math" w:hAnsi="Cambria Math" w:cs="Arial"/>
                      <w:szCs w:val="20"/>
                    </w:rPr>
                    <m:t xml:space="preserve"> × </m:t>
                  </m:r>
                  <m:sSub>
                    <m:sSubPr>
                      <m:ctrlPr>
                        <w:rPr>
                          <w:rFonts w:ascii="Cambria Math" w:hAnsi="Cambria Math" w:cs="Arial"/>
                          <w:i w:val="0"/>
                          <w:szCs w:val="20"/>
                        </w:rPr>
                      </m:ctrlPr>
                    </m:sSubPr>
                    <m:e>
                      <m:r>
                        <w:rPr>
                          <w:rFonts w:ascii="Cambria Math" w:hAnsi="Cambria Math" w:cs="Arial"/>
                          <w:szCs w:val="20"/>
                        </w:rPr>
                        <m:t>HOU</m:t>
                      </m:r>
                    </m:e>
                    <m:sub>
                      <m:r>
                        <w:rPr>
                          <w:rFonts w:ascii="Cambria Math" w:hAnsi="Cambria Math" w:cs="Arial"/>
                          <w:szCs w:val="20"/>
                        </w:rPr>
                        <m:t>ee</m:t>
                      </m:r>
                    </m:sub>
                  </m:sSub>
                </m:e>
              </m:d>
            </m:num>
            <m:den>
              <m:r>
                <w:rPr>
                  <w:rFonts w:ascii="Cambria Math" w:hAnsi="Cambria Math" w:cs="Arial"/>
                  <w:szCs w:val="20"/>
                </w:rPr>
                <m:t>1,000</m:t>
              </m:r>
            </m:den>
          </m:f>
          <m:r>
            <w:rPr>
              <w:rFonts w:ascii="Cambria Math" w:hAnsi="Cambria Math" w:cs="Arial"/>
              <w:szCs w:val="20"/>
            </w:rPr>
            <m:t xml:space="preserve">× </m:t>
          </m:r>
          <m:sSub>
            <m:sSubPr>
              <m:ctrlPr>
                <w:rPr>
                  <w:rFonts w:ascii="Cambria Math" w:hAnsi="Cambria Math" w:cs="Arial"/>
                  <w:i w:val="0"/>
                  <w:szCs w:val="20"/>
                </w:rPr>
              </m:ctrlPr>
            </m:sSubPr>
            <m:e>
              <m:r>
                <w:rPr>
                  <w:rFonts w:ascii="Cambria Math" w:hAnsi="Cambria Math" w:cs="Arial"/>
                  <w:szCs w:val="20"/>
                </w:rPr>
                <m:t>ISR</m:t>
              </m:r>
            </m:e>
            <m:sub>
              <m:r>
                <w:rPr>
                  <w:rFonts w:ascii="Cambria Math" w:hAnsi="Cambria Math" w:cs="Arial"/>
                  <w:szCs w:val="20"/>
                </w:rPr>
                <m:t>NL</m:t>
              </m:r>
            </m:sub>
          </m:sSub>
          <m:r>
            <w:rPr>
              <w:rFonts w:ascii="Cambria Math" w:hAnsi="Cambria Math" w:cs="Arial"/>
              <w:szCs w:val="20"/>
            </w:rPr>
            <m:t>×365</m:t>
          </m:r>
        </m:oMath>
      </m:oMathPara>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6407"/>
      </w:tblGrid>
      <w:tr w:rsidR="00426412" w:rsidRPr="001570EA" w14:paraId="146ED55B" w14:textId="77777777">
        <w:tc>
          <w:tcPr>
            <w:tcW w:w="2233" w:type="dxa"/>
            <w:vAlign w:val="center"/>
          </w:tcPr>
          <w:p w14:paraId="37917FC6" w14:textId="77777777" w:rsidR="00426412" w:rsidRPr="001570EA" w:rsidRDefault="003B5E04">
            <w:pPr>
              <w:pStyle w:val="TableCell"/>
              <w:jc w:val="left"/>
            </w:pPr>
            <m:oMathPara>
              <m:oMathParaPr>
                <m:jc m:val="left"/>
              </m:oMathParaPr>
              <m:oMath>
                <m:sSub>
                  <m:sSubPr>
                    <m:ctrlPr>
                      <w:rPr>
                        <w:rFonts w:ascii="Cambria Math" w:hAnsi="Cambria Math"/>
                        <w:i/>
                      </w:rPr>
                    </m:ctrlPr>
                  </m:sSubPr>
                  <m:e>
                    <m:r>
                      <m:rPr>
                        <m:sty m:val="p"/>
                      </m:rPr>
                      <w:rPr>
                        <w:rFonts w:ascii="Cambria Math" w:hAnsi="Cambria Math"/>
                      </w:rPr>
                      <w:sym w:font="Symbol" w:char="F044"/>
                    </m:r>
                    <m:r>
                      <w:rPr>
                        <w:rFonts w:ascii="Cambria Math" w:hAnsi="Cambria Math"/>
                      </w:rPr>
                      <m:t>kW</m:t>
                    </m:r>
                  </m:e>
                  <m:sub>
                    <m:r>
                      <w:rPr>
                        <w:rFonts w:ascii="Cambria Math" w:hAnsi="Cambria Math"/>
                      </w:rPr>
                      <m:t>summer peak</m:t>
                    </m:r>
                  </m:sub>
                </m:sSub>
              </m:oMath>
            </m:oMathPara>
          </w:p>
        </w:tc>
        <w:tc>
          <w:tcPr>
            <w:tcW w:w="6407" w:type="dxa"/>
            <w:vAlign w:val="center"/>
          </w:tcPr>
          <w:p w14:paraId="63DF9BF4" w14:textId="77777777" w:rsidR="00426412" w:rsidRPr="001570EA" w:rsidRDefault="00426412">
            <w:pPr>
              <w:pStyle w:val="TableCell"/>
              <w:jc w:val="left"/>
            </w:pPr>
            <m:oMathPara>
              <m:oMath>
                <m:r>
                  <m:rPr>
                    <m:sty m:val="p"/>
                  </m:rPr>
                  <w:rPr>
                    <w:rFonts w:ascii="Cambria Math" w:hAnsi="Cambria Math"/>
                  </w:rPr>
                  <m:t>= 0</m:t>
                </m:r>
              </m:oMath>
            </m:oMathPara>
          </w:p>
        </w:tc>
      </w:tr>
      <w:tr w:rsidR="00426412" w:rsidRPr="001570EA" w14:paraId="2C847E82" w14:textId="77777777">
        <w:tc>
          <w:tcPr>
            <w:tcW w:w="2233" w:type="dxa"/>
          </w:tcPr>
          <w:p w14:paraId="7AFBC53E" w14:textId="77777777" w:rsidR="00426412" w:rsidRPr="001570EA" w:rsidRDefault="003B5E04">
            <w:pPr>
              <w:pStyle w:val="TableCell"/>
              <w:jc w:val="left"/>
            </w:pPr>
            <m:oMathPara>
              <m:oMathParaPr>
                <m:jc m:val="left"/>
              </m:oMathParaPr>
              <m:oMath>
                <m:sSub>
                  <m:sSubPr>
                    <m:ctrlPr>
                      <w:rPr>
                        <w:rFonts w:ascii="Cambria Math" w:hAnsi="Cambria Math"/>
                      </w:rPr>
                    </m:ctrlPr>
                  </m:sSubPr>
                  <m:e>
                    <m:r>
                      <m:rPr>
                        <m:sty m:val="p"/>
                      </m:rPr>
                      <w:rPr>
                        <w:rFonts w:ascii="Cambria Math" w:hAnsi="Cambria Math"/>
                      </w:rPr>
                      <w:sym w:font="Symbol" w:char="F044"/>
                    </m:r>
                    <m:r>
                      <w:rPr>
                        <w:rFonts w:ascii="Cambria Math" w:hAnsi="Cambria Math"/>
                      </w:rPr>
                      <m:t>kW</m:t>
                    </m:r>
                  </m:e>
                  <m:sub>
                    <m:r>
                      <w:rPr>
                        <w:rFonts w:ascii="Cambria Math" w:hAnsi="Cambria Math"/>
                      </w:rPr>
                      <m:t>winter peak</m:t>
                    </m:r>
                  </m:sub>
                </m:sSub>
              </m:oMath>
            </m:oMathPara>
          </w:p>
        </w:tc>
        <w:tc>
          <w:tcPr>
            <w:tcW w:w="6407" w:type="dxa"/>
          </w:tcPr>
          <w:p w14:paraId="27CADCC7" w14:textId="77777777" w:rsidR="00426412" w:rsidRPr="001570EA" w:rsidRDefault="00426412">
            <w:pPr>
              <w:pStyle w:val="TableCell"/>
              <w:jc w:val="left"/>
            </w:pPr>
            <m:oMathPara>
              <m:oMath>
                <m:r>
                  <m:rPr>
                    <m:sty m:val="p"/>
                  </m:rPr>
                  <w:rPr>
                    <w:rFonts w:ascii="Cambria Math" w:hAnsi="Cambria Math"/>
                  </w:rPr>
                  <m:t>= 0</m:t>
                </m:r>
              </m:oMath>
            </m:oMathPara>
          </w:p>
        </w:tc>
      </w:tr>
    </w:tbl>
    <w:p w14:paraId="4CA66F0A" w14:textId="77777777" w:rsidR="00FA5174" w:rsidRPr="001570EA" w:rsidRDefault="00FA5174" w:rsidP="00FA5174">
      <w:pPr>
        <w:pStyle w:val="SubStyle"/>
      </w:pPr>
    </w:p>
    <w:p w14:paraId="27FE9F5C" w14:textId="77777777" w:rsidR="00FA5174" w:rsidRPr="001570EA" w:rsidRDefault="00FA5174" w:rsidP="00FA5174">
      <w:pPr>
        <w:pStyle w:val="SubStyle"/>
      </w:pPr>
      <w:r w:rsidRPr="001570EA">
        <w:t>Definition of Terms</w:t>
      </w:r>
    </w:p>
    <w:p w14:paraId="6E346642" w14:textId="2681080B" w:rsidR="00FA5174" w:rsidRPr="001570EA" w:rsidRDefault="00FA5174" w:rsidP="00FA5174">
      <w:pPr>
        <w:pStyle w:val="Caption"/>
      </w:pPr>
      <w:bookmarkStart w:id="61" w:name="_Toc4759825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7</w:t>
      </w:r>
      <w:r w:rsidR="002E093A" w:rsidRPr="001570EA">
        <w:fldChar w:fldCharType="end"/>
      </w:r>
      <w:r w:rsidRPr="001570EA">
        <w:t xml:space="preserve">: </w:t>
      </w:r>
      <w:r w:rsidRPr="001570EA">
        <w:rPr>
          <w:rFonts w:cs="Arial"/>
        </w:rPr>
        <w:t>Terms, Values, and References for</w:t>
      </w:r>
      <w:r w:rsidRPr="001570EA">
        <w:t xml:space="preserve"> LED and Electroluminescent Nightlights</w:t>
      </w:r>
      <w:bookmarkEnd w:id="6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080"/>
        <w:gridCol w:w="3240"/>
        <w:gridCol w:w="1075"/>
      </w:tblGrid>
      <w:tr w:rsidR="00FA5174" w:rsidRPr="001570EA" w14:paraId="5860DF54" w14:textId="77777777" w:rsidTr="00BD2C4C">
        <w:trPr>
          <w:trHeight w:val="305"/>
          <w:tblHeader/>
        </w:trPr>
        <w:tc>
          <w:tcPr>
            <w:tcW w:w="3240" w:type="dxa"/>
            <w:shd w:val="clear" w:color="auto" w:fill="BFBFBF" w:themeFill="background1" w:themeFillShade="BF"/>
          </w:tcPr>
          <w:p w14:paraId="6B43EA02" w14:textId="77777777" w:rsidR="00FA5174" w:rsidRPr="001570EA" w:rsidRDefault="00FA5174" w:rsidP="00BD2C4C">
            <w:pPr>
              <w:rPr>
                <w:rFonts w:eastAsia="Arial" w:cs="Arial"/>
                <w:sz w:val="18"/>
                <w:szCs w:val="18"/>
              </w:rPr>
            </w:pPr>
            <w:r w:rsidRPr="001570EA">
              <w:rPr>
                <w:b/>
                <w:bCs/>
                <w:sz w:val="18"/>
                <w:szCs w:val="18"/>
              </w:rPr>
              <w:t>Term</w:t>
            </w:r>
          </w:p>
        </w:tc>
        <w:tc>
          <w:tcPr>
            <w:tcW w:w="1080" w:type="dxa"/>
            <w:shd w:val="clear" w:color="auto" w:fill="BFBFBF" w:themeFill="background1" w:themeFillShade="BF"/>
          </w:tcPr>
          <w:p w14:paraId="27754EA2" w14:textId="77777777" w:rsidR="00FA5174" w:rsidRPr="001570EA" w:rsidRDefault="00FA5174" w:rsidP="00BD2C4C">
            <w:pPr>
              <w:jc w:val="center"/>
              <w:rPr>
                <w:rFonts w:eastAsia="Arial" w:cs="Arial"/>
                <w:sz w:val="18"/>
                <w:szCs w:val="18"/>
              </w:rPr>
            </w:pPr>
            <w:r w:rsidRPr="001570EA">
              <w:rPr>
                <w:b/>
                <w:bCs/>
                <w:sz w:val="18"/>
                <w:szCs w:val="18"/>
              </w:rPr>
              <w:t>Unit</w:t>
            </w:r>
          </w:p>
        </w:tc>
        <w:tc>
          <w:tcPr>
            <w:tcW w:w="3240" w:type="dxa"/>
            <w:shd w:val="clear" w:color="auto" w:fill="BFBFBF" w:themeFill="background1" w:themeFillShade="BF"/>
          </w:tcPr>
          <w:p w14:paraId="5A5652B9" w14:textId="77777777" w:rsidR="00FA5174" w:rsidRPr="001570EA" w:rsidRDefault="00FA5174" w:rsidP="00BD2C4C">
            <w:pPr>
              <w:jc w:val="center"/>
              <w:rPr>
                <w:rFonts w:eastAsia="Arial" w:cs="Arial"/>
                <w:sz w:val="18"/>
                <w:szCs w:val="18"/>
              </w:rPr>
            </w:pPr>
            <w:r w:rsidRPr="001570EA">
              <w:rPr>
                <w:b/>
                <w:bCs/>
                <w:sz w:val="18"/>
                <w:szCs w:val="18"/>
              </w:rPr>
              <w:t>Value</w:t>
            </w:r>
          </w:p>
        </w:tc>
        <w:tc>
          <w:tcPr>
            <w:tcW w:w="1075" w:type="dxa"/>
            <w:shd w:val="clear" w:color="auto" w:fill="BFBFBF" w:themeFill="background1" w:themeFillShade="BF"/>
          </w:tcPr>
          <w:p w14:paraId="3CB0740D" w14:textId="77777777" w:rsidR="00FA5174" w:rsidRPr="001570EA" w:rsidRDefault="00FA5174" w:rsidP="00BD2C4C">
            <w:pPr>
              <w:jc w:val="center"/>
              <w:rPr>
                <w:rFonts w:eastAsia="Arial" w:cs="Arial"/>
                <w:sz w:val="18"/>
                <w:szCs w:val="18"/>
              </w:rPr>
            </w:pPr>
            <w:r w:rsidRPr="001570EA">
              <w:rPr>
                <w:b/>
                <w:bCs/>
                <w:sz w:val="18"/>
                <w:szCs w:val="18"/>
              </w:rPr>
              <w:t>Sources</w:t>
            </w:r>
          </w:p>
        </w:tc>
      </w:tr>
      <w:tr w:rsidR="00FA5174" w:rsidRPr="001570EA" w14:paraId="36EAE2C9" w14:textId="77777777" w:rsidTr="00BD2C4C">
        <w:tc>
          <w:tcPr>
            <w:tcW w:w="3240" w:type="dxa"/>
            <w:vAlign w:val="center"/>
          </w:tcPr>
          <w:p w14:paraId="176473BB" w14:textId="42E6D68E" w:rsidR="00FA5174" w:rsidRPr="001570EA" w:rsidRDefault="003B5E04" w:rsidP="00BD2C4C">
            <w:pPr>
              <w:rPr>
                <w:sz w:val="18"/>
                <w:szCs w:val="18"/>
              </w:rPr>
            </w:pPr>
            <m:oMath>
              <m:sSub>
                <m:sSubPr>
                  <m:ctrlPr>
                    <w:rPr>
                      <w:rFonts w:ascii="Cambria Math" w:hAnsi="Cambria Math" w:cs="Arial"/>
                      <w:i/>
                      <w:sz w:val="18"/>
                      <w:szCs w:val="18"/>
                    </w:rPr>
                  </m:ctrlPr>
                </m:sSubPr>
                <m:e>
                  <m:r>
                    <w:rPr>
                      <w:rFonts w:ascii="Cambria Math" w:hAnsi="Cambria Math" w:cs="Arial"/>
                      <w:sz w:val="18"/>
                      <w:szCs w:val="18"/>
                    </w:rPr>
                    <m:t>W</m:t>
                  </m:r>
                </m:e>
                <m:sub>
                  <m:r>
                    <w:rPr>
                      <w:rFonts w:ascii="Cambria Math" w:hAnsi="Cambria Math" w:cs="Arial"/>
                      <w:sz w:val="18"/>
                      <w:szCs w:val="18"/>
                    </w:rPr>
                    <m:t>base</m:t>
                  </m:r>
                </m:sub>
              </m:sSub>
            </m:oMath>
            <w:r w:rsidR="00FA5174" w:rsidRPr="001570EA">
              <w:rPr>
                <w:sz w:val="18"/>
                <w:szCs w:val="18"/>
              </w:rPr>
              <w:t>, Watts per baseline nightlight</w:t>
            </w:r>
          </w:p>
        </w:tc>
        <w:tc>
          <w:tcPr>
            <w:tcW w:w="1080" w:type="dxa"/>
            <w:vAlign w:val="center"/>
          </w:tcPr>
          <w:p w14:paraId="03B89B16" w14:textId="77777777" w:rsidR="00FA5174" w:rsidRPr="001570EA" w:rsidRDefault="00FA5174" w:rsidP="00BD2C4C">
            <w:pPr>
              <w:jc w:val="center"/>
              <w:rPr>
                <w:rFonts w:eastAsia="Arial" w:cs="Arial"/>
                <w:i/>
                <w:iCs/>
                <w:sz w:val="18"/>
                <w:szCs w:val="18"/>
              </w:rPr>
            </w:pPr>
            <w:r w:rsidRPr="001570EA">
              <w:rPr>
                <w:i/>
                <w:iCs/>
                <w:sz w:val="18"/>
                <w:szCs w:val="18"/>
              </w:rPr>
              <w:t>Watts</w:t>
            </w:r>
          </w:p>
        </w:tc>
        <w:tc>
          <w:tcPr>
            <w:tcW w:w="3240" w:type="dxa"/>
            <w:vAlign w:val="center"/>
          </w:tcPr>
          <w:p w14:paraId="5C225FC6" w14:textId="77777777" w:rsidR="00FA5174" w:rsidRPr="001570EA" w:rsidRDefault="00FA5174" w:rsidP="00BD2C4C">
            <w:pPr>
              <w:pStyle w:val="TableCell"/>
              <w:spacing w:before="60" w:after="60"/>
              <w:jc w:val="center"/>
              <w:rPr>
                <w:rFonts w:eastAsia="Arial" w:cs="Arial"/>
              </w:rPr>
            </w:pPr>
            <w:r w:rsidRPr="001570EA">
              <w:t>EDC Data Gathering</w:t>
            </w:r>
          </w:p>
          <w:p w14:paraId="2DC12565" w14:textId="77777777" w:rsidR="00FA5174" w:rsidRPr="001570EA" w:rsidRDefault="00FA5174" w:rsidP="00BD2C4C">
            <w:pPr>
              <w:pStyle w:val="TableCell"/>
              <w:spacing w:before="60" w:after="60"/>
              <w:jc w:val="center"/>
              <w:rPr>
                <w:rFonts w:eastAsia="Arial" w:cs="Arial"/>
              </w:rPr>
            </w:pPr>
            <w:r w:rsidRPr="001570EA">
              <w:t>Default = 7</w:t>
            </w:r>
          </w:p>
        </w:tc>
        <w:tc>
          <w:tcPr>
            <w:tcW w:w="1075" w:type="dxa"/>
            <w:vAlign w:val="center"/>
          </w:tcPr>
          <w:p w14:paraId="65C44DD5" w14:textId="77777777" w:rsidR="00FA5174" w:rsidRPr="001570EA" w:rsidRDefault="00FA5174" w:rsidP="00BD2C4C">
            <w:pPr>
              <w:jc w:val="center"/>
              <w:rPr>
                <w:rFonts w:cs="Arial"/>
                <w:sz w:val="18"/>
                <w:szCs w:val="18"/>
              </w:rPr>
            </w:pPr>
            <w:r w:rsidRPr="001570EA">
              <w:rPr>
                <w:rFonts w:cs="Arial"/>
                <w:sz w:val="18"/>
                <w:szCs w:val="18"/>
              </w:rPr>
              <w:t>1</w:t>
            </w:r>
          </w:p>
        </w:tc>
      </w:tr>
      <w:tr w:rsidR="00FA5174" w:rsidRPr="001570EA" w14:paraId="350D1D76" w14:textId="77777777" w:rsidTr="00BD2C4C">
        <w:tc>
          <w:tcPr>
            <w:tcW w:w="3240" w:type="dxa"/>
            <w:vAlign w:val="center"/>
          </w:tcPr>
          <w:p w14:paraId="6C0AFCE7" w14:textId="1DBD2600" w:rsidR="00FA5174" w:rsidRPr="001570EA" w:rsidRDefault="003B5E04" w:rsidP="00BD2C4C">
            <w:pPr>
              <w:rPr>
                <w:rFonts w:eastAsia="Arial" w:cs="Arial"/>
                <w:sz w:val="18"/>
                <w:szCs w:val="18"/>
              </w:rPr>
            </w:pPr>
            <m:oMath>
              <m:sSub>
                <m:sSubPr>
                  <m:ctrlPr>
                    <w:rPr>
                      <w:rFonts w:ascii="Cambria Math" w:hAnsi="Cambria Math" w:cs="Arial"/>
                      <w:i/>
                      <w:sz w:val="18"/>
                      <w:szCs w:val="18"/>
                    </w:rPr>
                  </m:ctrlPr>
                </m:sSubPr>
                <m:e>
                  <m:r>
                    <w:rPr>
                      <w:rFonts w:ascii="Cambria Math" w:hAnsi="Cambria Math" w:cs="Arial"/>
                      <w:sz w:val="18"/>
                      <w:szCs w:val="18"/>
                    </w:rPr>
                    <m:t>W</m:t>
                  </m:r>
                </m:e>
                <m:sub>
                  <m:r>
                    <w:rPr>
                      <w:rFonts w:ascii="Cambria Math" w:hAnsi="Cambria Math" w:cs="Arial"/>
                      <w:sz w:val="18"/>
                      <w:szCs w:val="18"/>
                    </w:rPr>
                    <m:t>ee</m:t>
                  </m:r>
                </m:sub>
              </m:sSub>
            </m:oMath>
            <w:r w:rsidR="00FA5174" w:rsidRPr="001570EA">
              <w:rPr>
                <w:sz w:val="18"/>
                <w:szCs w:val="18"/>
              </w:rPr>
              <w:t>, Watts per efficient nightlight</w:t>
            </w:r>
          </w:p>
        </w:tc>
        <w:tc>
          <w:tcPr>
            <w:tcW w:w="1080" w:type="dxa"/>
            <w:vAlign w:val="center"/>
          </w:tcPr>
          <w:p w14:paraId="7C95197C" w14:textId="77777777" w:rsidR="00FA5174" w:rsidRPr="001570EA" w:rsidRDefault="00FA5174" w:rsidP="00BD2C4C">
            <w:pPr>
              <w:jc w:val="center"/>
              <w:rPr>
                <w:rFonts w:eastAsia="Arial" w:cs="Arial"/>
                <w:sz w:val="18"/>
                <w:szCs w:val="18"/>
              </w:rPr>
            </w:pPr>
            <w:r w:rsidRPr="001570EA">
              <w:rPr>
                <w:i/>
                <w:iCs/>
                <w:sz w:val="18"/>
                <w:szCs w:val="18"/>
              </w:rPr>
              <w:t>Watts</w:t>
            </w:r>
          </w:p>
        </w:tc>
        <w:tc>
          <w:tcPr>
            <w:tcW w:w="3240" w:type="dxa"/>
            <w:vAlign w:val="center"/>
          </w:tcPr>
          <w:p w14:paraId="7EFF95B7" w14:textId="77777777" w:rsidR="00FA5174" w:rsidRPr="001570EA" w:rsidRDefault="00FA5174" w:rsidP="00BD2C4C">
            <w:pPr>
              <w:pStyle w:val="TableCell"/>
              <w:spacing w:before="60" w:after="60"/>
              <w:jc w:val="center"/>
              <w:rPr>
                <w:rFonts w:eastAsia="Arial" w:cs="Arial"/>
              </w:rPr>
            </w:pPr>
            <w:r w:rsidRPr="001570EA">
              <w:t>EDC Data Gathering</w:t>
            </w:r>
          </w:p>
          <w:p w14:paraId="2E1F8E6F" w14:textId="77777777" w:rsidR="00FA5174" w:rsidRPr="001570EA" w:rsidRDefault="00FA5174" w:rsidP="00BD2C4C">
            <w:pPr>
              <w:pStyle w:val="TableCell"/>
              <w:spacing w:before="60" w:after="60"/>
              <w:jc w:val="center"/>
              <w:rPr>
                <w:rFonts w:eastAsia="Arial" w:cs="Arial"/>
              </w:rPr>
            </w:pPr>
            <w:r w:rsidRPr="001570EA">
              <w:t>Default values:</w:t>
            </w:r>
          </w:p>
          <w:p w14:paraId="0BA80308" w14:textId="77777777" w:rsidR="00FA5174" w:rsidRPr="001570EA" w:rsidRDefault="00FA5174" w:rsidP="00BD2C4C">
            <w:pPr>
              <w:jc w:val="center"/>
              <w:rPr>
                <w:rFonts w:eastAsia="Arial" w:cs="Arial"/>
                <w:sz w:val="18"/>
                <w:szCs w:val="18"/>
              </w:rPr>
            </w:pPr>
            <w:r w:rsidRPr="001570EA">
              <w:rPr>
                <w:sz w:val="18"/>
                <w:szCs w:val="18"/>
              </w:rPr>
              <w:t>LED = 1</w:t>
            </w:r>
          </w:p>
          <w:p w14:paraId="4789010E" w14:textId="77777777" w:rsidR="00FA5174" w:rsidRPr="001570EA" w:rsidRDefault="00FA5174" w:rsidP="00BD2C4C">
            <w:pPr>
              <w:jc w:val="center"/>
              <w:rPr>
                <w:rFonts w:eastAsia="Arial" w:cs="Arial"/>
                <w:i/>
                <w:iCs/>
                <w:sz w:val="18"/>
                <w:szCs w:val="18"/>
              </w:rPr>
            </w:pPr>
            <w:r w:rsidRPr="001570EA">
              <w:rPr>
                <w:sz w:val="18"/>
                <w:szCs w:val="18"/>
              </w:rPr>
              <w:t>Electroluminescent = 0.03</w:t>
            </w:r>
          </w:p>
        </w:tc>
        <w:tc>
          <w:tcPr>
            <w:tcW w:w="1075" w:type="dxa"/>
            <w:vAlign w:val="center"/>
          </w:tcPr>
          <w:p w14:paraId="6DFA43EF" w14:textId="77777777" w:rsidR="00FA5174" w:rsidRPr="001570EA" w:rsidRDefault="00FA5174" w:rsidP="00BD2C4C">
            <w:pPr>
              <w:jc w:val="center"/>
              <w:rPr>
                <w:rFonts w:cs="Arial"/>
                <w:sz w:val="18"/>
                <w:szCs w:val="18"/>
              </w:rPr>
            </w:pPr>
            <w:r w:rsidRPr="001570EA">
              <w:rPr>
                <w:rFonts w:cs="Arial"/>
                <w:sz w:val="18"/>
                <w:szCs w:val="18"/>
              </w:rPr>
              <w:t>2</w:t>
            </w:r>
          </w:p>
        </w:tc>
      </w:tr>
      <w:tr w:rsidR="00FA5174" w:rsidRPr="001570EA" w14:paraId="4CA2DC49" w14:textId="77777777" w:rsidTr="00BD2C4C">
        <w:tc>
          <w:tcPr>
            <w:tcW w:w="3240" w:type="dxa"/>
            <w:vAlign w:val="center"/>
          </w:tcPr>
          <w:p w14:paraId="53301899" w14:textId="1AC761C9" w:rsidR="00FA5174" w:rsidRPr="001570EA" w:rsidRDefault="003B5E04" w:rsidP="00BD2C4C">
            <w:pPr>
              <w:rPr>
                <w:sz w:val="18"/>
                <w:szCs w:val="18"/>
              </w:rPr>
            </w:pPr>
            <m:oMath>
              <m:sSub>
                <m:sSubPr>
                  <m:ctrlPr>
                    <w:rPr>
                      <w:rFonts w:ascii="Cambria Math" w:hAnsi="Cambria Math" w:cs="Arial"/>
                      <w:i/>
                      <w:sz w:val="18"/>
                      <w:szCs w:val="18"/>
                    </w:rPr>
                  </m:ctrlPr>
                </m:sSubPr>
                <m:e>
                  <m:r>
                    <w:rPr>
                      <w:rFonts w:ascii="Cambria Math" w:hAnsi="Cambria Math" w:cs="Arial"/>
                      <w:sz w:val="18"/>
                      <w:szCs w:val="18"/>
                    </w:rPr>
                    <m:t>HOU</m:t>
                  </m:r>
                </m:e>
                <m:sub>
                  <m:r>
                    <w:rPr>
                      <w:rFonts w:ascii="Cambria Math" w:hAnsi="Cambria Math" w:cs="Arial"/>
                      <w:sz w:val="18"/>
                      <w:szCs w:val="18"/>
                    </w:rPr>
                    <m:t>base</m:t>
                  </m:r>
                </m:sub>
              </m:sSub>
            </m:oMath>
            <w:r w:rsidR="00FA5174" w:rsidRPr="001570EA">
              <w:rPr>
                <w:rFonts w:eastAsia="Arial" w:cs="Arial"/>
                <w:sz w:val="18"/>
                <w:szCs w:val="18"/>
              </w:rPr>
              <w:t xml:space="preserve">, </w:t>
            </w:r>
            <w:r w:rsidR="00FA5174" w:rsidRPr="001570EA">
              <w:rPr>
                <w:sz w:val="18"/>
                <w:szCs w:val="18"/>
              </w:rPr>
              <w:t>Daily hours of use</w:t>
            </w:r>
            <w:r w:rsidR="00FA5174" w:rsidRPr="001570EA">
              <w:rPr>
                <w:rFonts w:eastAsia="Arial" w:cs="Arial"/>
                <w:sz w:val="18"/>
                <w:szCs w:val="18"/>
              </w:rPr>
              <w:t xml:space="preserve"> </w:t>
            </w:r>
            <w:r w:rsidR="00FA5174" w:rsidRPr="001570EA">
              <w:rPr>
                <w:sz w:val="18"/>
                <w:szCs w:val="18"/>
              </w:rPr>
              <w:t>for baseline nightlight</w:t>
            </w:r>
          </w:p>
        </w:tc>
        <w:tc>
          <w:tcPr>
            <w:tcW w:w="1080" w:type="dxa"/>
            <w:vAlign w:val="center"/>
          </w:tcPr>
          <w:p w14:paraId="772C9286" w14:textId="77777777" w:rsidR="00FA5174" w:rsidRPr="001570EA" w:rsidRDefault="003B5E04" w:rsidP="00BD2C4C">
            <w:pPr>
              <w:jc w:val="center"/>
              <w:rPr>
                <w:rFonts w:cs="Arial"/>
                <w:sz w:val="18"/>
                <w:szCs w:val="18"/>
              </w:rPr>
            </w:pPr>
            <m:oMathPara>
              <m:oMath>
                <m:f>
                  <m:fPr>
                    <m:ctrlPr>
                      <w:rPr>
                        <w:rFonts w:ascii="Cambria Math" w:hAnsi="Cambria Math" w:cs="Arial"/>
                        <w:i/>
                        <w:sz w:val="18"/>
                        <w:szCs w:val="18"/>
                      </w:rPr>
                    </m:ctrlPr>
                  </m:fPr>
                  <m:num>
                    <m:r>
                      <w:rPr>
                        <w:rFonts w:ascii="Cambria Math" w:hAnsi="Cambria Math" w:cs="Arial"/>
                        <w:sz w:val="18"/>
                        <w:szCs w:val="18"/>
                      </w:rPr>
                      <m:t>hours</m:t>
                    </m:r>
                  </m:num>
                  <m:den>
                    <m:r>
                      <w:rPr>
                        <w:rFonts w:ascii="Cambria Math" w:hAnsi="Cambria Math" w:cs="Arial"/>
                        <w:sz w:val="18"/>
                        <w:szCs w:val="18"/>
                      </w:rPr>
                      <m:t>day</m:t>
                    </m:r>
                  </m:den>
                </m:f>
              </m:oMath>
            </m:oMathPara>
          </w:p>
        </w:tc>
        <w:tc>
          <w:tcPr>
            <w:tcW w:w="3240" w:type="dxa"/>
            <w:vAlign w:val="center"/>
          </w:tcPr>
          <w:p w14:paraId="03FE22EF" w14:textId="77777777" w:rsidR="00FA5174" w:rsidRPr="001570EA" w:rsidRDefault="00FA5174" w:rsidP="00BD2C4C">
            <w:pPr>
              <w:jc w:val="center"/>
              <w:rPr>
                <w:rFonts w:cs="Arial"/>
                <w:sz w:val="18"/>
                <w:szCs w:val="18"/>
              </w:rPr>
            </w:pPr>
            <w:r w:rsidRPr="001570EA">
              <w:rPr>
                <w:rFonts w:cs="Arial"/>
                <w:sz w:val="18"/>
                <w:szCs w:val="18"/>
              </w:rPr>
              <w:t>12</w:t>
            </w:r>
          </w:p>
        </w:tc>
        <w:tc>
          <w:tcPr>
            <w:tcW w:w="1075" w:type="dxa"/>
            <w:vAlign w:val="center"/>
          </w:tcPr>
          <w:p w14:paraId="478ECEDD" w14:textId="77777777" w:rsidR="00FA5174" w:rsidRPr="001570EA" w:rsidRDefault="00FA5174" w:rsidP="00BD2C4C">
            <w:pPr>
              <w:jc w:val="center"/>
              <w:rPr>
                <w:rFonts w:cs="Arial"/>
                <w:sz w:val="18"/>
                <w:szCs w:val="18"/>
              </w:rPr>
            </w:pPr>
            <w:r w:rsidRPr="001570EA">
              <w:rPr>
                <w:rFonts w:cs="Arial"/>
                <w:sz w:val="18"/>
                <w:szCs w:val="18"/>
              </w:rPr>
              <w:t>1</w:t>
            </w:r>
          </w:p>
        </w:tc>
      </w:tr>
      <w:tr w:rsidR="00FA5174" w:rsidRPr="001570EA" w14:paraId="642506A3" w14:textId="77777777" w:rsidTr="00BD2C4C">
        <w:tc>
          <w:tcPr>
            <w:tcW w:w="3240" w:type="dxa"/>
            <w:vAlign w:val="center"/>
          </w:tcPr>
          <w:p w14:paraId="1EE9BADB" w14:textId="72F9AFD5" w:rsidR="00FA5174" w:rsidRPr="001570EA" w:rsidRDefault="003B5E04" w:rsidP="00BD2C4C">
            <w:pPr>
              <w:rPr>
                <w:rFonts w:eastAsia="Arial" w:cs="Arial"/>
                <w:sz w:val="18"/>
                <w:szCs w:val="18"/>
              </w:rPr>
            </w:pPr>
            <m:oMath>
              <m:sSub>
                <m:sSubPr>
                  <m:ctrlPr>
                    <w:rPr>
                      <w:rFonts w:ascii="Cambria Math" w:hAnsi="Cambria Math" w:cs="Arial"/>
                      <w:sz w:val="18"/>
                      <w:szCs w:val="18"/>
                    </w:rPr>
                  </m:ctrlPr>
                </m:sSubPr>
                <m:e>
                  <m:r>
                    <w:rPr>
                      <w:rFonts w:ascii="Cambria Math" w:hAnsi="Cambria Math" w:cs="Arial"/>
                      <w:sz w:val="18"/>
                      <w:szCs w:val="18"/>
                    </w:rPr>
                    <m:t>HOU</m:t>
                  </m:r>
                </m:e>
                <m:sub>
                  <m:r>
                    <w:rPr>
                      <w:rFonts w:ascii="Cambria Math" w:hAnsi="Cambria Math" w:cs="Arial"/>
                      <w:sz w:val="18"/>
                      <w:szCs w:val="18"/>
                    </w:rPr>
                    <m:t>ee</m:t>
                  </m:r>
                </m:sub>
              </m:sSub>
            </m:oMath>
            <w:r w:rsidR="00FA5174" w:rsidRPr="001570EA">
              <w:rPr>
                <w:rFonts w:eastAsia="Arial" w:cs="Arial"/>
                <w:sz w:val="18"/>
                <w:szCs w:val="18"/>
              </w:rPr>
              <w:t xml:space="preserve">, </w:t>
            </w:r>
            <w:r w:rsidR="00FA5174" w:rsidRPr="001570EA">
              <w:rPr>
                <w:sz w:val="18"/>
                <w:szCs w:val="18"/>
              </w:rPr>
              <w:t>Daily hours of use</w:t>
            </w:r>
            <w:r w:rsidR="00FA5174" w:rsidRPr="001570EA">
              <w:rPr>
                <w:rFonts w:eastAsia="Arial" w:cs="Arial"/>
                <w:sz w:val="18"/>
                <w:szCs w:val="18"/>
              </w:rPr>
              <w:t xml:space="preserve"> </w:t>
            </w:r>
            <w:r w:rsidR="00FA5174" w:rsidRPr="001570EA">
              <w:rPr>
                <w:sz w:val="18"/>
                <w:szCs w:val="18"/>
              </w:rPr>
              <w:t>for</w:t>
            </w:r>
            <w:r w:rsidR="00FA5174" w:rsidRPr="001570EA">
              <w:rPr>
                <w:rFonts w:eastAsia="Arial" w:cs="Arial"/>
                <w:sz w:val="18"/>
                <w:szCs w:val="18"/>
              </w:rPr>
              <w:t xml:space="preserve"> </w:t>
            </w:r>
            <w:r w:rsidR="00FA5174" w:rsidRPr="001570EA">
              <w:rPr>
                <w:sz w:val="18"/>
                <w:szCs w:val="18"/>
              </w:rPr>
              <w:t>efficient nightlight</w:t>
            </w:r>
          </w:p>
        </w:tc>
        <w:tc>
          <w:tcPr>
            <w:tcW w:w="1080" w:type="dxa"/>
            <w:vAlign w:val="center"/>
          </w:tcPr>
          <w:p w14:paraId="07B23157" w14:textId="77777777" w:rsidR="00FA5174" w:rsidRPr="001570EA" w:rsidRDefault="003B5E04" w:rsidP="00BD2C4C">
            <w:pPr>
              <w:jc w:val="center"/>
              <w:rPr>
                <w:rFonts w:cs="Arial"/>
                <w:sz w:val="18"/>
                <w:szCs w:val="18"/>
              </w:rPr>
            </w:pPr>
            <m:oMathPara>
              <m:oMath>
                <m:f>
                  <m:fPr>
                    <m:ctrlPr>
                      <w:rPr>
                        <w:rFonts w:ascii="Cambria Math" w:hAnsi="Cambria Math" w:cs="Arial"/>
                        <w:i/>
                        <w:sz w:val="18"/>
                        <w:szCs w:val="18"/>
                      </w:rPr>
                    </m:ctrlPr>
                  </m:fPr>
                  <m:num>
                    <m:r>
                      <w:rPr>
                        <w:rFonts w:ascii="Cambria Math" w:hAnsi="Cambria Math" w:cs="Arial"/>
                        <w:sz w:val="18"/>
                        <w:szCs w:val="18"/>
                      </w:rPr>
                      <m:t>hours</m:t>
                    </m:r>
                  </m:num>
                  <m:den>
                    <m:r>
                      <w:rPr>
                        <w:rFonts w:ascii="Cambria Math" w:hAnsi="Cambria Math" w:cs="Arial"/>
                        <w:sz w:val="18"/>
                        <w:szCs w:val="18"/>
                      </w:rPr>
                      <m:t>day</m:t>
                    </m:r>
                  </m:den>
                </m:f>
              </m:oMath>
            </m:oMathPara>
          </w:p>
        </w:tc>
        <w:tc>
          <w:tcPr>
            <w:tcW w:w="3240" w:type="dxa"/>
            <w:vAlign w:val="center"/>
          </w:tcPr>
          <w:p w14:paraId="5A1B788C" w14:textId="77777777" w:rsidR="00FA5174" w:rsidRPr="001570EA" w:rsidRDefault="00FA5174" w:rsidP="00BD2C4C">
            <w:pPr>
              <w:jc w:val="center"/>
              <w:rPr>
                <w:rFonts w:eastAsia="Arial" w:cs="Arial"/>
                <w:sz w:val="18"/>
                <w:szCs w:val="18"/>
              </w:rPr>
            </w:pPr>
            <w:r w:rsidRPr="001570EA">
              <w:rPr>
                <w:sz w:val="18"/>
                <w:szCs w:val="18"/>
              </w:rPr>
              <w:t>LED = 12</w:t>
            </w:r>
          </w:p>
          <w:p w14:paraId="6AEC7790" w14:textId="77777777" w:rsidR="00FA5174" w:rsidRPr="001570EA" w:rsidRDefault="00FA5174" w:rsidP="00BD2C4C">
            <w:pPr>
              <w:jc w:val="center"/>
              <w:rPr>
                <w:rFonts w:eastAsia="Arial" w:cs="Arial"/>
                <w:sz w:val="18"/>
                <w:szCs w:val="18"/>
              </w:rPr>
            </w:pPr>
            <w:r w:rsidRPr="001570EA">
              <w:rPr>
                <w:sz w:val="18"/>
                <w:szCs w:val="18"/>
              </w:rPr>
              <w:t>Electroluminescent = 24</w:t>
            </w:r>
          </w:p>
        </w:tc>
        <w:tc>
          <w:tcPr>
            <w:tcW w:w="1075" w:type="dxa"/>
            <w:vAlign w:val="center"/>
          </w:tcPr>
          <w:p w14:paraId="0CB3ADF3" w14:textId="77777777" w:rsidR="00FA5174" w:rsidRPr="001570EA" w:rsidRDefault="00FA5174" w:rsidP="00BD2C4C">
            <w:pPr>
              <w:jc w:val="center"/>
              <w:rPr>
                <w:rFonts w:cs="Arial"/>
                <w:sz w:val="18"/>
                <w:szCs w:val="18"/>
              </w:rPr>
            </w:pPr>
            <w:r w:rsidRPr="001570EA">
              <w:rPr>
                <w:rFonts w:cs="Arial"/>
                <w:sz w:val="18"/>
                <w:szCs w:val="18"/>
              </w:rPr>
              <w:t>3</w:t>
            </w:r>
          </w:p>
        </w:tc>
      </w:tr>
      <w:tr w:rsidR="00FA5174" w:rsidRPr="001570EA" w14:paraId="58F2CBEE" w14:textId="77777777" w:rsidTr="00BD2C4C">
        <w:tc>
          <w:tcPr>
            <w:tcW w:w="3240" w:type="dxa"/>
            <w:vAlign w:val="center"/>
          </w:tcPr>
          <w:p w14:paraId="7B7C805D" w14:textId="77777777" w:rsidR="00FA5174" w:rsidRPr="001570EA" w:rsidRDefault="00FA5174" w:rsidP="00BD2C4C">
            <w:pPr>
              <w:rPr>
                <w:rFonts w:eastAsia="Arial" w:cs="Arial"/>
                <w:sz w:val="18"/>
                <w:szCs w:val="18"/>
              </w:rPr>
            </w:pPr>
            <w:r w:rsidRPr="001570EA">
              <w:rPr>
                <w:i/>
                <w:iCs/>
                <w:sz w:val="18"/>
                <w:szCs w:val="18"/>
              </w:rPr>
              <w:t>ISR</w:t>
            </w:r>
            <w:r w:rsidRPr="001570EA">
              <w:rPr>
                <w:i/>
                <w:iCs/>
                <w:sz w:val="18"/>
                <w:szCs w:val="18"/>
                <w:vertAlign w:val="subscript"/>
              </w:rPr>
              <w:t>NL</w:t>
            </w:r>
            <w:r w:rsidRPr="001570EA">
              <w:rPr>
                <w:rFonts w:eastAsia="Arial" w:cs="Arial"/>
                <w:sz w:val="18"/>
                <w:szCs w:val="18"/>
                <w:vertAlign w:val="subscript"/>
              </w:rPr>
              <w:t xml:space="preserve">, </w:t>
            </w:r>
            <w:r w:rsidRPr="001570EA">
              <w:rPr>
                <w:sz w:val="18"/>
                <w:szCs w:val="18"/>
              </w:rPr>
              <w:t>In-Service Rate per efficient nightlight</w:t>
            </w:r>
          </w:p>
        </w:tc>
        <w:tc>
          <w:tcPr>
            <w:tcW w:w="1080" w:type="dxa"/>
            <w:vAlign w:val="center"/>
          </w:tcPr>
          <w:p w14:paraId="7255783A" w14:textId="77777777" w:rsidR="00FA5174" w:rsidRPr="001570EA" w:rsidRDefault="00FA5174" w:rsidP="00BD2C4C">
            <w:pPr>
              <w:jc w:val="center"/>
              <w:rPr>
                <w:rFonts w:eastAsia="Arial" w:cs="Arial"/>
                <w:sz w:val="18"/>
                <w:szCs w:val="18"/>
              </w:rPr>
            </w:pPr>
            <w:r w:rsidRPr="001570EA">
              <w:rPr>
                <w:i/>
                <w:iCs/>
                <w:sz w:val="18"/>
                <w:szCs w:val="18"/>
              </w:rPr>
              <w:t>None</w:t>
            </w:r>
          </w:p>
        </w:tc>
        <w:tc>
          <w:tcPr>
            <w:tcW w:w="3240" w:type="dxa"/>
            <w:vAlign w:val="center"/>
          </w:tcPr>
          <w:p w14:paraId="53F2406E" w14:textId="77777777" w:rsidR="00FA5174" w:rsidRPr="001570EA" w:rsidRDefault="00FA5174" w:rsidP="00BD2C4C">
            <w:pPr>
              <w:pStyle w:val="TableCell"/>
              <w:spacing w:before="60" w:after="60"/>
              <w:jc w:val="center"/>
              <w:rPr>
                <w:rFonts w:eastAsia="Arial" w:cs="Arial"/>
              </w:rPr>
            </w:pPr>
            <w:r w:rsidRPr="001570EA">
              <w:t>EDC Data Gathering</w:t>
            </w:r>
          </w:p>
          <w:p w14:paraId="0F9EA371" w14:textId="53D39573" w:rsidR="00FA5174" w:rsidRPr="001570EA" w:rsidRDefault="00FA5174" w:rsidP="00BD2C4C">
            <w:pPr>
              <w:jc w:val="center"/>
              <w:rPr>
                <w:rFonts w:eastAsia="Arial" w:cs="Arial"/>
                <w:sz w:val="18"/>
                <w:szCs w:val="18"/>
              </w:rPr>
            </w:pPr>
            <w:r w:rsidRPr="001570EA">
              <w:rPr>
                <w:sz w:val="18"/>
                <w:szCs w:val="18"/>
              </w:rPr>
              <w:t>Default = 0.</w:t>
            </w:r>
            <w:r w:rsidR="00F67055" w:rsidRPr="001570EA">
              <w:rPr>
                <w:sz w:val="18"/>
                <w:szCs w:val="18"/>
              </w:rPr>
              <w:t>14</w:t>
            </w:r>
          </w:p>
        </w:tc>
        <w:tc>
          <w:tcPr>
            <w:tcW w:w="1075" w:type="dxa"/>
            <w:vAlign w:val="center"/>
          </w:tcPr>
          <w:p w14:paraId="53F0D39B" w14:textId="77777777" w:rsidR="00FA5174" w:rsidRPr="001570EA" w:rsidRDefault="00FA5174" w:rsidP="00BD2C4C">
            <w:pPr>
              <w:jc w:val="center"/>
              <w:rPr>
                <w:rFonts w:eastAsia="Arial" w:cs="Arial"/>
                <w:sz w:val="18"/>
                <w:szCs w:val="18"/>
              </w:rPr>
            </w:pPr>
            <w:r w:rsidRPr="001570EA">
              <w:rPr>
                <w:sz w:val="18"/>
                <w:szCs w:val="18"/>
              </w:rPr>
              <w:t>4</w:t>
            </w:r>
          </w:p>
        </w:tc>
      </w:tr>
    </w:tbl>
    <w:p w14:paraId="4A082530" w14:textId="77777777" w:rsidR="00D320D2" w:rsidRPr="001570EA" w:rsidRDefault="00D320D2" w:rsidP="00FA5174"/>
    <w:p w14:paraId="3D8B3338" w14:textId="1CCCE306" w:rsidR="00FA5174" w:rsidRPr="001570EA" w:rsidRDefault="0017460E" w:rsidP="00D320D2">
      <w:pPr>
        <w:pStyle w:val="SubStyle"/>
        <w:keepNext/>
        <w:keepLines/>
      </w:pPr>
      <w:r w:rsidRPr="001570EA">
        <w:t xml:space="preserve">Default </w:t>
      </w:r>
      <w:r w:rsidR="00FA5174" w:rsidRPr="001570EA">
        <w:t>Energy Savings</w:t>
      </w:r>
    </w:p>
    <w:p w14:paraId="2038C0D7" w14:textId="18ACB356" w:rsidR="00FA5174" w:rsidRPr="001570EA" w:rsidRDefault="00FA5174" w:rsidP="00D320D2">
      <w:pPr>
        <w:pStyle w:val="Equation"/>
        <w:keepNext/>
        <w:keepLines/>
        <w:tabs>
          <w:tab w:val="clear" w:pos="720"/>
          <w:tab w:val="clear" w:pos="2880"/>
        </w:tabs>
        <w:ind w:left="2610" w:hanging="2610"/>
        <w:rPr>
          <w:rFonts w:cs="Arial"/>
        </w:rPr>
      </w:pPr>
      <w:r w:rsidRPr="001570EA">
        <w:rPr>
          <w:rFonts w:cs="Arial"/>
        </w:rPr>
        <w:t xml:space="preserve">LED </w:t>
      </w:r>
      <w:r w:rsidRPr="001570EA">
        <w:rPr>
          <w:rFonts w:ascii="Symbol" w:eastAsia="Symbol" w:hAnsi="Symbol" w:cs="Symbol"/>
          <w:szCs w:val="20"/>
        </w:rPr>
        <w:t>D</w:t>
      </w:r>
      <w:r w:rsidRPr="001570EA">
        <w:rPr>
          <w:rFonts w:cs="Arial"/>
        </w:rPr>
        <w:t>kWh</w:t>
      </w:r>
      <w:r w:rsidRPr="001570EA">
        <w:rPr>
          <w:rFonts w:cs="Arial"/>
        </w:rPr>
        <w:tab/>
      </w:r>
      <m:oMath>
        <m:r>
          <w:rPr>
            <w:rFonts w:ascii="Cambria Math" w:hAnsi="Cambria Math" w:cs="Arial"/>
            <w:szCs w:val="20"/>
          </w:rPr>
          <m:t>=</m:t>
        </m:r>
        <m:f>
          <m:fPr>
            <m:ctrlPr>
              <w:rPr>
                <w:rFonts w:ascii="Cambria Math" w:hAnsi="Cambria Math" w:cs="Arial"/>
                <w:i w:val="0"/>
                <w:szCs w:val="20"/>
              </w:rPr>
            </m:ctrlPr>
          </m:fPr>
          <m:num>
            <m:d>
              <m:dPr>
                <m:ctrlPr>
                  <w:rPr>
                    <w:rFonts w:ascii="Cambria Math" w:hAnsi="Cambria Math" w:cs="Arial"/>
                    <w:i w:val="0"/>
                    <w:szCs w:val="20"/>
                  </w:rPr>
                </m:ctrlPr>
              </m:dPr>
              <m:e>
                <m:r>
                  <w:rPr>
                    <w:rFonts w:ascii="Cambria Math" w:hAnsi="Cambria Math" w:cs="Arial"/>
                    <w:szCs w:val="20"/>
                  </w:rPr>
                  <m:t>7 × 12– 1 × 12</m:t>
                </m:r>
              </m:e>
            </m:d>
          </m:num>
          <m:den>
            <m:r>
              <w:rPr>
                <w:rFonts w:ascii="Cambria Math" w:hAnsi="Cambria Math" w:cs="Arial"/>
                <w:szCs w:val="20"/>
              </w:rPr>
              <m:t>1,000</m:t>
            </m:r>
          </m:den>
        </m:f>
        <m:r>
          <w:rPr>
            <w:rFonts w:ascii="Cambria Math" w:hAnsi="Cambria Math" w:cs="Arial"/>
            <w:szCs w:val="20"/>
          </w:rPr>
          <m:t>× 0.14× 365</m:t>
        </m:r>
        <m:f>
          <m:fPr>
            <m:ctrlPr>
              <w:rPr>
                <w:rFonts w:ascii="Cambria Math" w:hAnsi="Cambria Math" w:cs="Arial"/>
                <w:i w:val="0"/>
                <w:szCs w:val="20"/>
              </w:rPr>
            </m:ctrlPr>
          </m:fPr>
          <m:num>
            <m:r>
              <w:rPr>
                <w:rFonts w:ascii="Cambria Math" w:hAnsi="Cambria Math" w:cs="Arial"/>
                <w:szCs w:val="20"/>
              </w:rPr>
              <m:t>days</m:t>
            </m:r>
          </m:num>
          <m:den>
            <m:r>
              <w:rPr>
                <w:rFonts w:ascii="Cambria Math" w:hAnsi="Cambria Math" w:cs="Arial"/>
                <w:szCs w:val="20"/>
              </w:rPr>
              <m:t>yr</m:t>
            </m:r>
          </m:den>
        </m:f>
        <m:r>
          <w:rPr>
            <w:rFonts w:ascii="Cambria Math" w:hAnsi="Cambria Math" w:cs="Arial"/>
            <w:szCs w:val="20"/>
          </w:rPr>
          <m:t xml:space="preserve"> =3.7 kWh</m:t>
        </m:r>
      </m:oMath>
    </w:p>
    <w:p w14:paraId="3C4AB53F" w14:textId="77777777" w:rsidR="00FA5174" w:rsidRPr="001570EA" w:rsidRDefault="00FA5174" w:rsidP="00FA5174">
      <w:pPr>
        <w:pStyle w:val="Equation"/>
        <w:rPr>
          <w:rFonts w:cs="Arial"/>
          <w:szCs w:val="20"/>
        </w:rPr>
      </w:pPr>
    </w:p>
    <w:p w14:paraId="1918141F" w14:textId="57517880" w:rsidR="00FA5174" w:rsidRPr="001570EA" w:rsidRDefault="00FA5174" w:rsidP="00FA5174">
      <w:pPr>
        <w:pStyle w:val="Equation"/>
        <w:rPr>
          <w:rFonts w:cs="Arial"/>
        </w:rPr>
      </w:pPr>
      <w:r w:rsidRPr="001570EA">
        <w:rPr>
          <w:rFonts w:cs="Arial"/>
        </w:rPr>
        <w:t xml:space="preserve">Electroluminescent </w:t>
      </w:r>
      <w:r w:rsidRPr="001570EA">
        <w:rPr>
          <w:rFonts w:ascii="Symbol" w:eastAsia="Symbol" w:hAnsi="Symbol" w:cs="Symbol"/>
          <w:szCs w:val="20"/>
        </w:rPr>
        <w:t>D</w:t>
      </w:r>
      <w:r w:rsidRPr="001570EA">
        <w:rPr>
          <w:rFonts w:cs="Arial"/>
        </w:rPr>
        <w:t xml:space="preserve">kWh  </w:t>
      </w:r>
      <m:oMath>
        <m:r>
          <w:rPr>
            <w:rFonts w:ascii="Cambria Math" w:hAnsi="Cambria Math" w:cs="Arial"/>
            <w:szCs w:val="20"/>
          </w:rPr>
          <m:t>=</m:t>
        </m:r>
        <m:f>
          <m:fPr>
            <m:ctrlPr>
              <w:rPr>
                <w:rFonts w:ascii="Cambria Math" w:hAnsi="Cambria Math" w:cs="Arial"/>
                <w:i w:val="0"/>
                <w:szCs w:val="20"/>
              </w:rPr>
            </m:ctrlPr>
          </m:fPr>
          <m:num>
            <m:d>
              <m:dPr>
                <m:ctrlPr>
                  <w:rPr>
                    <w:rFonts w:ascii="Cambria Math" w:hAnsi="Cambria Math" w:cs="Arial"/>
                    <w:i w:val="0"/>
                    <w:szCs w:val="20"/>
                  </w:rPr>
                </m:ctrlPr>
              </m:dPr>
              <m:e>
                <m:r>
                  <w:rPr>
                    <w:rFonts w:ascii="Cambria Math" w:hAnsi="Cambria Math" w:cs="Arial"/>
                    <w:szCs w:val="20"/>
                  </w:rPr>
                  <m:t>7 × 12– 0.03 × 24</m:t>
                </m:r>
              </m:e>
            </m:d>
          </m:num>
          <m:den>
            <m:r>
              <w:rPr>
                <w:rFonts w:ascii="Cambria Math" w:hAnsi="Cambria Math" w:cs="Arial"/>
                <w:szCs w:val="20"/>
              </w:rPr>
              <m:t>1,000</m:t>
            </m:r>
          </m:den>
        </m:f>
        <m:r>
          <w:rPr>
            <w:rFonts w:ascii="Cambria Math" w:hAnsi="Cambria Math" w:cs="Arial"/>
            <w:szCs w:val="20"/>
          </w:rPr>
          <m:t>×  0.14× 365</m:t>
        </m:r>
        <m:f>
          <m:fPr>
            <m:ctrlPr>
              <w:rPr>
                <w:rFonts w:ascii="Cambria Math" w:hAnsi="Cambria Math" w:cs="Arial"/>
                <w:i w:val="0"/>
                <w:szCs w:val="20"/>
              </w:rPr>
            </m:ctrlPr>
          </m:fPr>
          <m:num>
            <m:r>
              <w:rPr>
                <w:rFonts w:ascii="Cambria Math" w:hAnsi="Cambria Math" w:cs="Arial"/>
                <w:szCs w:val="20"/>
              </w:rPr>
              <m:t>days</m:t>
            </m:r>
          </m:num>
          <m:den>
            <m:r>
              <w:rPr>
                <w:rFonts w:ascii="Cambria Math" w:hAnsi="Cambria Math" w:cs="Arial"/>
                <w:szCs w:val="20"/>
              </w:rPr>
              <m:t>yr</m:t>
            </m:r>
          </m:den>
        </m:f>
        <m:r>
          <w:rPr>
            <w:rFonts w:ascii="Cambria Math" w:hAnsi="Cambria Math" w:cs="Arial"/>
            <w:szCs w:val="20"/>
          </w:rPr>
          <m:t xml:space="preserve"> =4.3 kWh</m:t>
        </m:r>
      </m:oMath>
    </w:p>
    <w:p w14:paraId="4BC8A1C2" w14:textId="77777777" w:rsidR="00FA5174" w:rsidRPr="001570EA" w:rsidRDefault="00FA5174" w:rsidP="005D4360"/>
    <w:p w14:paraId="6AF267AA" w14:textId="77777777" w:rsidR="00FA5174" w:rsidRPr="001570EA" w:rsidRDefault="00FA5174" w:rsidP="00FA5174">
      <w:pPr>
        <w:pStyle w:val="SubStyle"/>
      </w:pPr>
      <w:r w:rsidRPr="001570EA">
        <w:t>Evaluation Protocols</w:t>
      </w:r>
    </w:p>
    <w:p w14:paraId="707FDCF1" w14:textId="0DA3F850" w:rsidR="00FA5174" w:rsidRPr="001570EA" w:rsidRDefault="00FA5174" w:rsidP="00FA5174">
      <w:pPr>
        <w:pStyle w:val="BodyText"/>
        <w:ind w:right="0"/>
        <w:rPr>
          <w:rFonts w:eastAsia="Arial" w:cs="Arial"/>
        </w:rPr>
      </w:pPr>
      <w:r w:rsidRPr="001570EA">
        <w:t xml:space="preserve">For most projects, the appropriate evaluation protocol is to verify installation and proper selection of default values. For projects using </w:t>
      </w:r>
      <w:r w:rsidR="003E6F21" w:rsidRPr="001570EA">
        <w:t>customer-</w:t>
      </w:r>
      <w:r w:rsidRPr="001570EA">
        <w:t>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744BF0E0" w14:textId="77777777" w:rsidR="00FA5174" w:rsidRPr="001570EA" w:rsidRDefault="00FA5174" w:rsidP="005D4360"/>
    <w:p w14:paraId="2064ADCC" w14:textId="77777777" w:rsidR="00FA5174" w:rsidRPr="001570EA" w:rsidRDefault="00FA5174" w:rsidP="00FA5174">
      <w:pPr>
        <w:pStyle w:val="SubStyle"/>
      </w:pPr>
      <w:r w:rsidRPr="001570EA">
        <w:t>Sources</w:t>
      </w:r>
    </w:p>
    <w:p w14:paraId="516C3EA7" w14:textId="18F31B0F" w:rsidR="00FA5174" w:rsidRPr="001570EA" w:rsidRDefault="00FA5174" w:rsidP="002614D2">
      <w:pPr>
        <w:pStyle w:val="source10"/>
        <w:numPr>
          <w:ilvl w:val="0"/>
          <w:numId w:val="26"/>
        </w:numPr>
        <w:spacing w:line="288" w:lineRule="auto"/>
        <w:ind w:left="360"/>
      </w:pPr>
      <w:r w:rsidRPr="001570EA">
        <w:t>Southern California Edison Company</w:t>
      </w:r>
      <w:r w:rsidR="000B6AC6" w:rsidRPr="001570EA">
        <w:t xml:space="preserve">. (2009, February). </w:t>
      </w:r>
      <w:r w:rsidRPr="001570EA">
        <w:t xml:space="preserve">“LED, Electroluminescent &amp; Fluorescent Night Lights”, Work Paper WPSCRELG0029 Rev. 1, </w:t>
      </w:r>
      <w:r w:rsidR="00005EDA" w:rsidRPr="001570EA">
        <w:t>p</w:t>
      </w:r>
      <w:r w:rsidR="00542747">
        <w:t>a</w:t>
      </w:r>
      <w:r w:rsidR="00005EDA" w:rsidRPr="001570EA">
        <w:t>g</w:t>
      </w:r>
      <w:r w:rsidR="00542747">
        <w:t>es</w:t>
      </w:r>
      <w:r w:rsidRPr="001570EA">
        <w:t xml:space="preserve"> 2–3.</w:t>
      </w:r>
    </w:p>
    <w:p w14:paraId="40AC7AD0" w14:textId="248C3B03" w:rsidR="00FA5174" w:rsidRPr="001570EA" w:rsidRDefault="00FA5174" w:rsidP="002614D2">
      <w:pPr>
        <w:pStyle w:val="source10"/>
        <w:numPr>
          <w:ilvl w:val="0"/>
          <w:numId w:val="26"/>
        </w:numPr>
        <w:spacing w:line="288" w:lineRule="auto"/>
        <w:ind w:left="360"/>
      </w:pPr>
      <w:r w:rsidRPr="001570EA">
        <w:t>Limelite Equipment Specification. Personal Communication, Ralph Ruffin, EL Products, 512-357-2776/ralph@limelite.com.</w:t>
      </w:r>
    </w:p>
    <w:p w14:paraId="33F057DA" w14:textId="77777777" w:rsidR="00FA5174" w:rsidRPr="001570EA" w:rsidRDefault="00FA5174" w:rsidP="002614D2">
      <w:pPr>
        <w:pStyle w:val="source10"/>
        <w:numPr>
          <w:ilvl w:val="0"/>
          <w:numId w:val="26"/>
        </w:numPr>
        <w:spacing w:line="288" w:lineRule="auto"/>
        <w:ind w:left="360"/>
      </w:pPr>
      <w:r w:rsidRPr="001570EA">
        <w:t>Electroluminescent nightlights are assumed to operate continuously.</w:t>
      </w:r>
    </w:p>
    <w:p w14:paraId="26671B51" w14:textId="640728BD" w:rsidR="00FA5174" w:rsidRPr="001570EA" w:rsidRDefault="007735DB" w:rsidP="002614D2">
      <w:pPr>
        <w:pStyle w:val="source10"/>
        <w:numPr>
          <w:ilvl w:val="0"/>
          <w:numId w:val="26"/>
        </w:numPr>
        <w:spacing w:line="288" w:lineRule="auto"/>
        <w:ind w:left="360"/>
      </w:pPr>
      <w:r w:rsidRPr="001570EA">
        <w:t>Weighted average of</w:t>
      </w:r>
      <w:r w:rsidR="00FA5174" w:rsidRPr="001570EA">
        <w:t xml:space="preserve"> ISR</w:t>
      </w:r>
      <w:r w:rsidR="00B73279" w:rsidRPr="001570EA">
        <w:t>s</w:t>
      </w:r>
      <w:r w:rsidR="00FA5174" w:rsidRPr="001570EA">
        <w:t xml:space="preserve"> </w:t>
      </w:r>
      <w:r w:rsidR="002926BB" w:rsidRPr="001570EA">
        <w:t xml:space="preserve">from surveys </w:t>
      </w:r>
      <w:r w:rsidR="005D771E" w:rsidRPr="001570EA">
        <w:t xml:space="preserve">of </w:t>
      </w:r>
      <w:r w:rsidR="00D11F54" w:rsidRPr="001570EA">
        <w:t>FirstEnergy</w:t>
      </w:r>
      <w:r w:rsidR="00FA5174" w:rsidRPr="001570EA">
        <w:t xml:space="preserve"> </w:t>
      </w:r>
      <w:r w:rsidR="005D771E" w:rsidRPr="001570EA">
        <w:t xml:space="preserve">customers </w:t>
      </w:r>
      <w:r w:rsidR="00A55E45" w:rsidRPr="001570EA">
        <w:t xml:space="preserve">that </w:t>
      </w:r>
      <w:r w:rsidR="005D771E" w:rsidRPr="001570EA">
        <w:t>receiv</w:t>
      </w:r>
      <w:r w:rsidR="00A55E45" w:rsidRPr="001570EA">
        <w:t>ed</w:t>
      </w:r>
      <w:r w:rsidR="005D771E" w:rsidRPr="001570EA">
        <w:t xml:space="preserve"> </w:t>
      </w:r>
      <w:r w:rsidR="00FA5174" w:rsidRPr="001570EA">
        <w:t xml:space="preserve">nightlights in kits </w:t>
      </w:r>
      <w:r w:rsidR="00A55E45" w:rsidRPr="001570EA">
        <w:t xml:space="preserve">in </w:t>
      </w:r>
      <w:r w:rsidR="00F67055" w:rsidRPr="001570EA">
        <w:t>PY13 and PY14</w:t>
      </w:r>
      <w:r w:rsidR="00FA5174" w:rsidRPr="001570EA">
        <w:t>.</w:t>
      </w:r>
    </w:p>
    <w:p w14:paraId="5C8FB316" w14:textId="77777777" w:rsidR="00FA5174" w:rsidRPr="001570EA" w:rsidRDefault="00FA5174" w:rsidP="00FA5174"/>
    <w:p w14:paraId="0FD649D5" w14:textId="77777777" w:rsidR="00FA5174" w:rsidRPr="001570EA" w:rsidRDefault="00FA5174" w:rsidP="00FA5174">
      <w:pPr>
        <w:sectPr w:rsidR="00FA5174" w:rsidRPr="001570EA" w:rsidSect="002D556C">
          <w:pgSz w:w="12240" w:h="15840"/>
          <w:pgMar w:top="1440" w:right="1800" w:bottom="1440" w:left="1800" w:header="720" w:footer="501" w:gutter="0"/>
          <w:cols w:space="720"/>
        </w:sectPr>
      </w:pPr>
    </w:p>
    <w:p w14:paraId="2ADB2701" w14:textId="77777777" w:rsidR="00FA5174" w:rsidRPr="001570EA" w:rsidRDefault="00FA5174" w:rsidP="00462D97">
      <w:pPr>
        <w:pStyle w:val="Heading3"/>
      </w:pPr>
      <w:bookmarkStart w:id="62" w:name="_Toc275878780"/>
      <w:bookmarkStart w:id="63" w:name="_Toc275902919"/>
      <w:bookmarkStart w:id="64" w:name="_Toc275942693"/>
      <w:bookmarkStart w:id="65" w:name="_Toc275942976"/>
      <w:bookmarkStart w:id="66" w:name="_Toc275943359"/>
      <w:bookmarkStart w:id="67" w:name="_Toc276630881"/>
      <w:bookmarkStart w:id="68" w:name="_Toc276631100"/>
      <w:bookmarkStart w:id="69" w:name="_Toc276631324"/>
      <w:bookmarkStart w:id="70" w:name="_Toc276631543"/>
      <w:bookmarkStart w:id="71" w:name="_Toc283146691"/>
      <w:bookmarkStart w:id="72" w:name="_Toc283154174"/>
      <w:bookmarkStart w:id="73" w:name="_Toc283715923"/>
      <w:bookmarkStart w:id="74" w:name="_Toc283719058"/>
      <w:bookmarkStart w:id="75" w:name="_Toc283719234"/>
      <w:bookmarkStart w:id="76" w:name="_Toc283719410"/>
      <w:bookmarkStart w:id="77" w:name="_Toc283738907"/>
      <w:bookmarkStart w:id="78" w:name="_Toc283739259"/>
      <w:bookmarkStart w:id="79" w:name="_Toc283739610"/>
      <w:bookmarkStart w:id="80" w:name="_Toc283739961"/>
      <w:bookmarkStart w:id="81" w:name="_Toc283740302"/>
      <w:bookmarkStart w:id="82" w:name="_Toc283740635"/>
      <w:bookmarkStart w:id="83" w:name="_Toc283740964"/>
      <w:bookmarkStart w:id="84" w:name="_Toc283741287"/>
      <w:bookmarkStart w:id="85" w:name="_Toc283741604"/>
      <w:bookmarkStart w:id="86" w:name="_Toc283741913"/>
      <w:bookmarkStart w:id="87" w:name="_Toc283742450"/>
      <w:bookmarkStart w:id="88" w:name="_Toc283742715"/>
      <w:bookmarkStart w:id="89" w:name="_Toc283742976"/>
      <w:bookmarkStart w:id="90" w:name="_Toc283743154"/>
      <w:bookmarkStart w:id="91" w:name="_Toc283743330"/>
      <w:bookmarkStart w:id="92" w:name="_Toc283743507"/>
      <w:bookmarkStart w:id="93" w:name="_Toc283743683"/>
      <w:bookmarkStart w:id="94" w:name="_Toc275867038"/>
      <w:bookmarkStart w:id="95" w:name="_Toc275867533"/>
      <w:bookmarkStart w:id="96" w:name="_Toc275878781"/>
      <w:bookmarkStart w:id="97" w:name="_Toc275902920"/>
      <w:bookmarkStart w:id="98" w:name="_Toc275942694"/>
      <w:bookmarkStart w:id="99" w:name="_Toc275942977"/>
      <w:bookmarkStart w:id="100" w:name="_Toc275943360"/>
      <w:bookmarkStart w:id="101" w:name="_Toc276630882"/>
      <w:bookmarkStart w:id="102" w:name="_Toc276631101"/>
      <w:bookmarkStart w:id="103" w:name="_Toc276631325"/>
      <w:bookmarkStart w:id="104" w:name="_Toc276631544"/>
      <w:bookmarkStart w:id="105" w:name="_Toc283146692"/>
      <w:bookmarkStart w:id="106" w:name="_Toc283154175"/>
      <w:bookmarkStart w:id="107" w:name="_Toc283715924"/>
      <w:bookmarkStart w:id="108" w:name="_Toc283719059"/>
      <w:bookmarkStart w:id="109" w:name="_Toc283719235"/>
      <w:bookmarkStart w:id="110" w:name="_Toc283719411"/>
      <w:bookmarkStart w:id="111" w:name="_Toc283738908"/>
      <w:bookmarkStart w:id="112" w:name="_Toc283739260"/>
      <w:bookmarkStart w:id="113" w:name="_Toc283739611"/>
      <w:bookmarkStart w:id="114" w:name="_Toc283739962"/>
      <w:bookmarkStart w:id="115" w:name="_Toc283740303"/>
      <w:bookmarkStart w:id="116" w:name="_Toc283740636"/>
      <w:bookmarkStart w:id="117" w:name="_Toc283740965"/>
      <w:bookmarkStart w:id="118" w:name="_Toc283741288"/>
      <w:bookmarkStart w:id="119" w:name="_Toc283741605"/>
      <w:bookmarkStart w:id="120" w:name="_Toc283741914"/>
      <w:bookmarkStart w:id="121" w:name="_Toc283742451"/>
      <w:bookmarkStart w:id="122" w:name="_Toc283742716"/>
      <w:bookmarkStart w:id="123" w:name="_Toc283742977"/>
      <w:bookmarkStart w:id="124" w:name="_Toc283743155"/>
      <w:bookmarkStart w:id="125" w:name="_Toc283743331"/>
      <w:bookmarkStart w:id="126" w:name="_Toc283743508"/>
      <w:bookmarkStart w:id="127" w:name="_Toc283743684"/>
      <w:bookmarkStart w:id="128" w:name="_Toc364420813"/>
      <w:bookmarkStart w:id="129" w:name="_Toc373320450"/>
      <w:bookmarkStart w:id="130" w:name="_Toc364760928"/>
      <w:bookmarkStart w:id="131" w:name="_Toc48143014"/>
      <w:bookmarkStart w:id="132" w:name="_Toc164786632"/>
      <w:bookmarkEnd w:id="55"/>
      <w:bookmarkEnd w:id="56"/>
      <w:bookmarkEnd w:id="57"/>
      <w:bookmarkEnd w:id="58"/>
      <w:bookmarkEnd w:id="59"/>
      <w:bookmarkEnd w:id="6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1570EA">
        <w:t>Holiday Lights</w:t>
      </w:r>
      <w:bookmarkStart w:id="133" w:name="_Toc405537536"/>
      <w:bookmarkStart w:id="134" w:name="_Toc405545750"/>
      <w:bookmarkStart w:id="135" w:name="_Toc405551220"/>
      <w:bookmarkStart w:id="136" w:name="_Toc405558766"/>
      <w:bookmarkStart w:id="137" w:name="_Toc405560445"/>
      <w:bookmarkStart w:id="138" w:name="_Toc405561447"/>
      <w:bookmarkStart w:id="139" w:name="_Toc405537537"/>
      <w:bookmarkStart w:id="140" w:name="_Toc405545751"/>
      <w:bookmarkStart w:id="141" w:name="_Toc405551221"/>
      <w:bookmarkStart w:id="142" w:name="_Toc405558767"/>
      <w:bookmarkStart w:id="143" w:name="_Toc405560446"/>
      <w:bookmarkStart w:id="144" w:name="_Toc405561448"/>
      <w:bookmarkStart w:id="145" w:name="_Toc405537538"/>
      <w:bookmarkStart w:id="146" w:name="_Toc405545752"/>
      <w:bookmarkStart w:id="147" w:name="_Toc405551222"/>
      <w:bookmarkStart w:id="148" w:name="_Toc405558768"/>
      <w:bookmarkStart w:id="149" w:name="_Toc405560447"/>
      <w:bookmarkStart w:id="150" w:name="_Toc405561449"/>
      <w:bookmarkStart w:id="151" w:name="_Toc405537539"/>
      <w:bookmarkStart w:id="152" w:name="_Toc405545753"/>
      <w:bookmarkStart w:id="153" w:name="_Toc405551223"/>
      <w:bookmarkStart w:id="154" w:name="_Toc405558769"/>
      <w:bookmarkStart w:id="155" w:name="_Toc405560448"/>
      <w:bookmarkStart w:id="156" w:name="_Toc405561450"/>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9"/>
        <w:gridCol w:w="4910"/>
      </w:tblGrid>
      <w:tr w:rsidR="00FA5174" w:rsidRPr="001570EA" w14:paraId="3C7E2F65" w14:textId="77777777" w:rsidTr="00BD2C4C">
        <w:tc>
          <w:tcPr>
            <w:tcW w:w="2084" w:type="pct"/>
            <w:vAlign w:val="center"/>
          </w:tcPr>
          <w:p w14:paraId="347414CD" w14:textId="77777777" w:rsidR="00FA5174" w:rsidRPr="001570EA" w:rsidRDefault="00FA5174" w:rsidP="00BD2C4C">
            <w:pPr>
              <w:pStyle w:val="Title"/>
              <w:spacing w:before="60" w:after="60"/>
              <w:jc w:val="left"/>
              <w:rPr>
                <w:rFonts w:ascii="Arial" w:hAnsi="Arial" w:cs="Arial"/>
                <w:sz w:val="18"/>
                <w:szCs w:val="18"/>
              </w:rPr>
            </w:pPr>
            <w:r w:rsidRPr="001570EA">
              <w:rPr>
                <w:rFonts w:ascii="Arial" w:hAnsi="Arial" w:cs="Arial"/>
                <w:sz w:val="18"/>
                <w:szCs w:val="18"/>
              </w:rPr>
              <w:t>Target Sector</w:t>
            </w:r>
          </w:p>
        </w:tc>
        <w:tc>
          <w:tcPr>
            <w:tcW w:w="2916" w:type="pct"/>
            <w:vAlign w:val="center"/>
          </w:tcPr>
          <w:p w14:paraId="644EC23B" w14:textId="18991F61" w:rsidR="00FA5174" w:rsidRPr="001570EA" w:rsidRDefault="00FA5174" w:rsidP="00BD2C4C">
            <w:pPr>
              <w:pStyle w:val="Title"/>
              <w:spacing w:before="60" w:after="60"/>
              <w:rPr>
                <w:rFonts w:ascii="Arial" w:hAnsi="Arial" w:cs="Arial"/>
                <w:b w:val="0"/>
                <w:sz w:val="18"/>
                <w:szCs w:val="18"/>
              </w:rPr>
            </w:pPr>
            <w:r w:rsidRPr="001570EA">
              <w:rPr>
                <w:rFonts w:ascii="Arial" w:hAnsi="Arial" w:cs="Arial"/>
                <w:b w:val="0"/>
                <w:sz w:val="18"/>
                <w:szCs w:val="18"/>
              </w:rPr>
              <w:t>Residential</w:t>
            </w:r>
          </w:p>
        </w:tc>
      </w:tr>
      <w:tr w:rsidR="00FA5174" w:rsidRPr="001570EA" w14:paraId="3E89FF1F" w14:textId="77777777" w:rsidTr="00BD2C4C">
        <w:tc>
          <w:tcPr>
            <w:tcW w:w="2084" w:type="pct"/>
            <w:vAlign w:val="center"/>
          </w:tcPr>
          <w:p w14:paraId="4FED06FD" w14:textId="77777777" w:rsidR="00FA5174" w:rsidRPr="001570EA" w:rsidRDefault="00FA5174" w:rsidP="00BD2C4C">
            <w:pPr>
              <w:pStyle w:val="Title"/>
              <w:spacing w:before="60" w:after="60"/>
              <w:jc w:val="left"/>
              <w:rPr>
                <w:rFonts w:ascii="Arial" w:hAnsi="Arial" w:cs="Arial"/>
                <w:sz w:val="18"/>
                <w:szCs w:val="18"/>
              </w:rPr>
            </w:pPr>
            <w:r w:rsidRPr="001570EA">
              <w:rPr>
                <w:rFonts w:ascii="Arial" w:hAnsi="Arial" w:cs="Arial"/>
                <w:sz w:val="18"/>
                <w:szCs w:val="18"/>
              </w:rPr>
              <w:t>Measure Unit</w:t>
            </w:r>
          </w:p>
        </w:tc>
        <w:tc>
          <w:tcPr>
            <w:tcW w:w="2916" w:type="pct"/>
            <w:vAlign w:val="center"/>
          </w:tcPr>
          <w:p w14:paraId="5331F4D2" w14:textId="3BB6EB0C" w:rsidR="00FA5174" w:rsidRPr="001570EA" w:rsidRDefault="00FA5174" w:rsidP="00BD2C4C">
            <w:pPr>
              <w:pStyle w:val="Title"/>
              <w:spacing w:before="60" w:after="60"/>
              <w:rPr>
                <w:rFonts w:ascii="Arial" w:hAnsi="Arial" w:cs="Arial"/>
                <w:b w:val="0"/>
                <w:sz w:val="18"/>
                <w:szCs w:val="18"/>
              </w:rPr>
            </w:pPr>
            <w:r w:rsidRPr="001570EA">
              <w:rPr>
                <w:rFonts w:ascii="Arial" w:hAnsi="Arial" w:cs="Arial"/>
                <w:b w:val="0"/>
                <w:sz w:val="18"/>
                <w:szCs w:val="18"/>
              </w:rPr>
              <w:t>One Strand of Holiday lights</w:t>
            </w:r>
          </w:p>
        </w:tc>
      </w:tr>
      <w:tr w:rsidR="00FA5174" w:rsidRPr="001570EA" w14:paraId="4C216A94" w14:textId="77777777" w:rsidTr="00BD2C4C">
        <w:tc>
          <w:tcPr>
            <w:tcW w:w="2084" w:type="pct"/>
            <w:vAlign w:val="center"/>
          </w:tcPr>
          <w:p w14:paraId="4F0D1224" w14:textId="77777777" w:rsidR="00FA5174" w:rsidRPr="001570EA" w:rsidRDefault="00FA5174" w:rsidP="00BD2C4C">
            <w:pPr>
              <w:pStyle w:val="Title"/>
              <w:spacing w:before="60" w:after="60"/>
              <w:jc w:val="left"/>
              <w:rPr>
                <w:rFonts w:ascii="Arial" w:hAnsi="Arial" w:cs="Arial"/>
                <w:sz w:val="18"/>
                <w:szCs w:val="18"/>
              </w:rPr>
            </w:pPr>
            <w:r w:rsidRPr="001570EA">
              <w:rPr>
                <w:rFonts w:ascii="Arial" w:hAnsi="Arial" w:cs="Arial"/>
                <w:sz w:val="18"/>
                <w:szCs w:val="18"/>
              </w:rPr>
              <w:t>Measure Life</w:t>
            </w:r>
          </w:p>
        </w:tc>
        <w:tc>
          <w:tcPr>
            <w:tcW w:w="2916" w:type="pct"/>
            <w:vAlign w:val="center"/>
          </w:tcPr>
          <w:p w14:paraId="437DCCAA" w14:textId="18DC4E2D" w:rsidR="00FA5174" w:rsidRPr="001570EA" w:rsidRDefault="00B34679" w:rsidP="00BD2C4C">
            <w:pPr>
              <w:pStyle w:val="Title"/>
              <w:spacing w:before="60" w:after="60"/>
              <w:rPr>
                <w:rFonts w:ascii="Arial" w:hAnsi="Arial" w:cs="Arial"/>
                <w:b w:val="0"/>
                <w:sz w:val="18"/>
                <w:szCs w:val="18"/>
                <w:vertAlign w:val="superscript"/>
              </w:rPr>
            </w:pPr>
            <w:r w:rsidRPr="001570EA">
              <w:rPr>
                <w:rFonts w:ascii="Arial" w:hAnsi="Arial" w:cs="Arial"/>
                <w:b w:val="0"/>
                <w:sz w:val="18"/>
                <w:szCs w:val="18"/>
              </w:rPr>
              <w:t>1</w:t>
            </w:r>
            <w:r w:rsidR="009B5DF4" w:rsidRPr="001570EA">
              <w:rPr>
                <w:rFonts w:ascii="Arial" w:hAnsi="Arial" w:cs="Arial"/>
                <w:b w:val="0"/>
                <w:sz w:val="18"/>
                <w:szCs w:val="18"/>
              </w:rPr>
              <w:t>0</w:t>
            </w:r>
            <w:r w:rsidR="00FA5174" w:rsidRPr="001570EA">
              <w:rPr>
                <w:rFonts w:ascii="Arial" w:hAnsi="Arial" w:cs="Arial"/>
                <w:b w:val="0"/>
                <w:sz w:val="18"/>
                <w:szCs w:val="18"/>
              </w:rPr>
              <w:t xml:space="preserve"> years</w:t>
            </w:r>
            <w:r w:rsidR="00FA5174" w:rsidRPr="001570EA">
              <w:rPr>
                <w:rFonts w:ascii="Arial" w:hAnsi="Arial" w:cs="Arial"/>
                <w:b w:val="0"/>
                <w:sz w:val="18"/>
                <w:szCs w:val="18"/>
                <w:vertAlign w:val="superscript"/>
              </w:rPr>
              <w:t xml:space="preserve">Source </w:t>
            </w:r>
            <w:r w:rsidR="009F63F2" w:rsidRPr="001570EA">
              <w:rPr>
                <w:rFonts w:ascii="Arial" w:hAnsi="Arial" w:cs="Arial"/>
                <w:b w:val="0"/>
                <w:sz w:val="18"/>
                <w:szCs w:val="18"/>
                <w:vertAlign w:val="superscript"/>
              </w:rPr>
              <w:t>2</w:t>
            </w:r>
          </w:p>
        </w:tc>
      </w:tr>
      <w:tr w:rsidR="00FA5174" w:rsidRPr="001570EA" w14:paraId="3C25F401" w14:textId="77777777" w:rsidTr="00BD2C4C">
        <w:tc>
          <w:tcPr>
            <w:tcW w:w="2084" w:type="pct"/>
            <w:vAlign w:val="center"/>
          </w:tcPr>
          <w:p w14:paraId="39027AEB" w14:textId="77777777" w:rsidR="00FA5174" w:rsidRPr="001570EA" w:rsidRDefault="00FA5174" w:rsidP="00BD2C4C">
            <w:pPr>
              <w:pStyle w:val="Title"/>
              <w:spacing w:before="60" w:after="60"/>
              <w:jc w:val="left"/>
              <w:rPr>
                <w:rFonts w:ascii="Arial" w:hAnsi="Arial" w:cs="Arial"/>
                <w:sz w:val="18"/>
                <w:szCs w:val="18"/>
              </w:rPr>
            </w:pPr>
            <w:r w:rsidRPr="001570EA">
              <w:rPr>
                <w:rFonts w:ascii="Arial" w:hAnsi="Arial" w:cs="Arial"/>
                <w:sz w:val="18"/>
                <w:szCs w:val="18"/>
              </w:rPr>
              <w:t>Vintage</w:t>
            </w:r>
          </w:p>
        </w:tc>
        <w:tc>
          <w:tcPr>
            <w:tcW w:w="2916" w:type="pct"/>
            <w:vAlign w:val="center"/>
          </w:tcPr>
          <w:p w14:paraId="2F326A54" w14:textId="77777777" w:rsidR="00FA5174" w:rsidRPr="001570EA" w:rsidRDefault="00FA5174" w:rsidP="00BD2C4C">
            <w:pPr>
              <w:pStyle w:val="Title"/>
              <w:spacing w:before="60" w:after="60"/>
              <w:rPr>
                <w:rFonts w:ascii="Arial" w:hAnsi="Arial" w:cs="Arial"/>
                <w:b w:val="0"/>
                <w:sz w:val="18"/>
                <w:szCs w:val="18"/>
              </w:rPr>
            </w:pPr>
            <w:r w:rsidRPr="001570EA">
              <w:rPr>
                <w:rFonts w:ascii="Arial" w:hAnsi="Arial" w:cs="Arial"/>
                <w:b w:val="0"/>
                <w:sz w:val="18"/>
                <w:szCs w:val="18"/>
              </w:rPr>
              <w:t>Replace on Burnout</w:t>
            </w:r>
          </w:p>
        </w:tc>
      </w:tr>
    </w:tbl>
    <w:p w14:paraId="170E9BE3" w14:textId="77777777" w:rsidR="00FA5174" w:rsidRPr="001570EA" w:rsidRDefault="00FA5174" w:rsidP="00FA5174"/>
    <w:p w14:paraId="56AEBF9E" w14:textId="10F17008" w:rsidR="00F0392D" w:rsidRPr="001570EA" w:rsidRDefault="00FA5174" w:rsidP="00F0392D">
      <w:r w:rsidRPr="001570EA">
        <w:t xml:space="preserve">LED holiday lights reduce light strand energy consumption by up to 90%. Up to 25 strands can be connected end-to-end in terms of residential grade lights. </w:t>
      </w:r>
      <w:r w:rsidRPr="001570EA">
        <w:rPr>
          <w:rFonts w:cs="Arial"/>
        </w:rPr>
        <w:t>Commercial grade lights require different power adapters and as a result, more strands can be connected end-to-end.</w:t>
      </w:r>
      <w:r w:rsidR="00F0392D" w:rsidRPr="001570EA">
        <w:t xml:space="preserve"> There are no demand savings as holiday lights </w:t>
      </w:r>
      <w:r w:rsidR="007E2EF6" w:rsidRPr="001570EA">
        <w:t xml:space="preserve">are assumed to </w:t>
      </w:r>
      <w:r w:rsidR="00F0392D" w:rsidRPr="001570EA">
        <w:t xml:space="preserve">operate </w:t>
      </w:r>
      <w:r w:rsidR="005D4D35" w:rsidRPr="001570EA">
        <w:t xml:space="preserve">only </w:t>
      </w:r>
      <w:r w:rsidR="00F0392D" w:rsidRPr="001570EA">
        <w:t>at night</w:t>
      </w:r>
      <w:r w:rsidR="007E2EF6" w:rsidRPr="001570EA">
        <w:t xml:space="preserve"> </w:t>
      </w:r>
      <w:r w:rsidR="005D4D35" w:rsidRPr="001570EA">
        <w:t>during the holiday season</w:t>
      </w:r>
      <w:r w:rsidR="00F0392D" w:rsidRPr="001570EA">
        <w:t>.</w:t>
      </w:r>
    </w:p>
    <w:p w14:paraId="267F1EEB" w14:textId="08F9E2C0" w:rsidR="00FA5174" w:rsidRPr="001570EA" w:rsidRDefault="00FA5174" w:rsidP="00FA5174"/>
    <w:p w14:paraId="12844A1D" w14:textId="77777777" w:rsidR="00FA5174" w:rsidRPr="001570EA" w:rsidRDefault="00FA5174" w:rsidP="00FA5174">
      <w:pPr>
        <w:pStyle w:val="SubStyle"/>
      </w:pPr>
      <w:r w:rsidRPr="001570EA">
        <w:t>Eligibility</w:t>
      </w:r>
    </w:p>
    <w:p w14:paraId="781BE744" w14:textId="5BBC668B" w:rsidR="00FA5174" w:rsidRPr="001570EA" w:rsidRDefault="00FA5174" w:rsidP="00FA5174">
      <w:r w:rsidRPr="001570EA">
        <w:rPr>
          <w:rFonts w:eastAsia="Calibri"/>
        </w:rPr>
        <w:t>This protocol documents the energy savings attributed to the installation of LED holiday lights indoors and outdoors</w:t>
      </w:r>
      <w:r w:rsidR="00010AEE" w:rsidRPr="001570EA">
        <w:rPr>
          <w:rFonts w:eastAsia="Calibri"/>
        </w:rPr>
        <w:t xml:space="preserve"> in</w:t>
      </w:r>
      <w:r w:rsidR="00F4606A" w:rsidRPr="001570EA">
        <w:rPr>
          <w:rFonts w:eastAsia="Calibri"/>
        </w:rPr>
        <w:t xml:space="preserve">stead </w:t>
      </w:r>
      <w:r w:rsidR="00010AEE" w:rsidRPr="001570EA">
        <w:rPr>
          <w:rFonts w:eastAsia="Calibri"/>
        </w:rPr>
        <w:t>of</w:t>
      </w:r>
      <w:r w:rsidRPr="001570EA">
        <w:t xml:space="preserve"> incandescent holiday lights.</w:t>
      </w:r>
    </w:p>
    <w:p w14:paraId="61840666" w14:textId="77777777" w:rsidR="00FA5174" w:rsidRPr="001570EA" w:rsidRDefault="00FA5174" w:rsidP="005D4360"/>
    <w:p w14:paraId="20F66A12" w14:textId="77777777" w:rsidR="00FA5174" w:rsidRPr="001570EA" w:rsidRDefault="00FA5174" w:rsidP="00FA5174">
      <w:pPr>
        <w:pStyle w:val="SubStyle"/>
      </w:pPr>
      <w:r w:rsidRPr="001570EA">
        <w:t>Algorithms</w:t>
      </w:r>
    </w:p>
    <w:p w14:paraId="28500769" w14:textId="77777777" w:rsidR="00FA5174" w:rsidRPr="001570EA" w:rsidRDefault="00FA5174" w:rsidP="00FA5174">
      <w:pPr>
        <w:pStyle w:val="NoSpacing"/>
      </w:pPr>
      <w:r w:rsidRPr="001570EA">
        <w:t>Algorithms yield kWh savings results per package (kWh/yr per package of LED holiday lights).</w:t>
      </w:r>
    </w:p>
    <w:p w14:paraId="21391CF1" w14:textId="77777777" w:rsidR="00FA5174" w:rsidRPr="001570EA" w:rsidRDefault="00FA5174" w:rsidP="00FA5174"/>
    <w:p w14:paraId="2717FC34" w14:textId="304A9AC5" w:rsidR="00FA5174" w:rsidRPr="001570EA" w:rsidRDefault="00FA5174" w:rsidP="00FA5174">
      <w:pPr>
        <w:pStyle w:val="Equation"/>
        <w:ind w:left="0" w:firstLine="0"/>
        <w:rPr>
          <w:rFonts w:ascii="Cambria Math" w:hAnsi="Cambria Math" w:cs="Arial"/>
          <w:szCs w:val="20"/>
          <w:oMath/>
        </w:rPr>
      </w:pPr>
      <m:oMathPara>
        <m:oMathParaPr>
          <m:jc m:val="left"/>
        </m:oMathParaPr>
        <m:oMath>
          <m:r>
            <w:rPr>
              <w:rFonts w:ascii="Cambria Math" w:hAnsi="Cambria Math" w:cs="Arial"/>
              <w:szCs w:val="20"/>
            </w:rPr>
            <m:t>∆ 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C9</m:t>
              </m:r>
            </m:sub>
          </m:sSub>
          <m:r>
            <w:rPr>
              <w:rFonts w:ascii="Cambria Math" w:hAnsi="Cambria Math" w:cs="Arial"/>
              <w:szCs w:val="20"/>
            </w:rPr>
            <m:t xml:space="preserve">                         =</m:t>
          </m:r>
          <m:f>
            <m:fPr>
              <m:ctrlPr>
                <w:rPr>
                  <w:rFonts w:ascii="Cambria Math" w:hAnsi="Cambria Math" w:cs="Arial"/>
                  <w:i w:val="0"/>
                  <w:szCs w:val="20"/>
                </w:rPr>
              </m:ctrlPr>
            </m:fPr>
            <m:num>
              <m:d>
                <m:dPr>
                  <m:begChr m:val="["/>
                  <m:endChr m:val="]"/>
                  <m:ctrlPr>
                    <w:rPr>
                      <w:rFonts w:ascii="Cambria Math" w:hAnsi="Cambria Math" w:cs="Arial"/>
                      <w:i w:val="0"/>
                      <w:szCs w:val="20"/>
                    </w:rPr>
                  </m:ctrlPr>
                </m:dPr>
                <m:e>
                  <m:d>
                    <m:dPr>
                      <m:ctrlPr>
                        <w:rPr>
                          <w:rFonts w:ascii="Cambria Math" w:hAnsi="Cambria Math" w:cs="Arial"/>
                          <w:i w:val="0"/>
                          <w:szCs w:val="20"/>
                        </w:rPr>
                      </m:ctrlPr>
                    </m:dPr>
                    <m:e>
                      <m:sSub>
                        <m:sSubPr>
                          <m:ctrlPr>
                            <w:rPr>
                              <w:rFonts w:ascii="Cambria Math" w:hAnsi="Cambria Math" w:cs="Arial"/>
                              <w:i w:val="0"/>
                              <w:szCs w:val="20"/>
                            </w:rPr>
                          </m:ctrlPr>
                        </m:sSubPr>
                        <m:e>
                          <m:r>
                            <w:rPr>
                              <w:rFonts w:ascii="Cambria Math" w:hAnsi="Cambria Math" w:cs="Arial"/>
                              <w:szCs w:val="20"/>
                            </w:rPr>
                            <m:t>INC</m:t>
                          </m:r>
                        </m:e>
                        <m:sub>
                          <m:r>
                            <w:rPr>
                              <w:rFonts w:ascii="Cambria Math" w:hAnsi="Cambria Math" w:cs="Arial"/>
                              <w:szCs w:val="20"/>
                            </w:rPr>
                            <m:t>C9</m:t>
                          </m:r>
                        </m:sub>
                      </m:sSub>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LED</m:t>
                          </m:r>
                        </m:e>
                        <m:sub>
                          <m:r>
                            <w:rPr>
                              <w:rFonts w:ascii="Cambria Math" w:hAnsi="Cambria Math" w:cs="Arial"/>
                              <w:szCs w:val="20"/>
                            </w:rPr>
                            <m:t>C9</m:t>
                          </m:r>
                        </m:sub>
                      </m:sSub>
                    </m:e>
                  </m:d>
                  <m:r>
                    <w:rPr>
                      <w:rFonts w:ascii="Cambria Math" w:hAnsi="Cambria Math" w:cs="Arial"/>
                      <w:szCs w:val="20"/>
                    </w:rPr>
                    <m:t xml:space="preserve"> × #Bulbs × #Strands × HOU</m:t>
                  </m:r>
                </m:e>
              </m:d>
            </m:num>
            <m:den>
              <m:r>
                <w:rPr>
                  <w:rFonts w:ascii="Cambria Math" w:hAnsi="Cambria Math" w:cs="Arial"/>
                  <w:szCs w:val="20"/>
                </w:rPr>
                <m:t>1,000</m:t>
              </m:r>
            </m:den>
          </m:f>
        </m:oMath>
      </m:oMathPara>
    </w:p>
    <w:p w14:paraId="5E3328A3" w14:textId="77777777" w:rsidR="00FA5174" w:rsidRPr="001570EA" w:rsidRDefault="00FA5174" w:rsidP="00FA5174"/>
    <w:p w14:paraId="6BAAD592" w14:textId="49AB198D" w:rsidR="00FA5174" w:rsidRPr="001570EA" w:rsidRDefault="00FA5174" w:rsidP="00FA5174">
      <w:pPr>
        <w:pStyle w:val="Equation"/>
        <w:ind w:left="0" w:firstLine="0"/>
        <w:rPr>
          <w:rFonts w:ascii="Cambria Math" w:hAnsi="Cambria Math" w:cs="Arial"/>
          <w:szCs w:val="20"/>
          <w:oMath/>
        </w:rPr>
      </w:pPr>
      <m:oMathPara>
        <m:oMathParaPr>
          <m:jc m:val="left"/>
        </m:oMathParaPr>
        <m:oMath>
          <m:r>
            <w:rPr>
              <w:rFonts w:ascii="Cambria Math" w:hAnsi="Cambria Math" w:cs="Arial"/>
              <w:szCs w:val="20"/>
            </w:rPr>
            <m:t>∆ 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C7</m:t>
              </m:r>
            </m:sub>
          </m:sSub>
          <m:r>
            <w:rPr>
              <w:rFonts w:ascii="Cambria Math" w:hAnsi="Cambria Math" w:cs="Arial"/>
              <w:szCs w:val="20"/>
            </w:rPr>
            <m:t xml:space="preserve">                         =</m:t>
          </m:r>
          <m:f>
            <m:fPr>
              <m:ctrlPr>
                <w:rPr>
                  <w:rFonts w:ascii="Cambria Math" w:hAnsi="Cambria Math" w:cs="Arial"/>
                  <w:i w:val="0"/>
                  <w:szCs w:val="20"/>
                </w:rPr>
              </m:ctrlPr>
            </m:fPr>
            <m:num>
              <m:d>
                <m:dPr>
                  <m:begChr m:val="["/>
                  <m:endChr m:val="]"/>
                  <m:ctrlPr>
                    <w:rPr>
                      <w:rFonts w:ascii="Cambria Math" w:hAnsi="Cambria Math" w:cs="Arial"/>
                      <w:i w:val="0"/>
                      <w:szCs w:val="20"/>
                    </w:rPr>
                  </m:ctrlPr>
                </m:dPr>
                <m:e>
                  <m:d>
                    <m:dPr>
                      <m:ctrlPr>
                        <w:rPr>
                          <w:rFonts w:ascii="Cambria Math" w:hAnsi="Cambria Math" w:cs="Arial"/>
                          <w:i w:val="0"/>
                          <w:szCs w:val="20"/>
                        </w:rPr>
                      </m:ctrlPr>
                    </m:dPr>
                    <m:e>
                      <m:sSub>
                        <m:sSubPr>
                          <m:ctrlPr>
                            <w:rPr>
                              <w:rFonts w:ascii="Cambria Math" w:hAnsi="Cambria Math" w:cs="Arial"/>
                              <w:i w:val="0"/>
                              <w:szCs w:val="20"/>
                            </w:rPr>
                          </m:ctrlPr>
                        </m:sSubPr>
                        <m:e>
                          <m:r>
                            <w:rPr>
                              <w:rFonts w:ascii="Cambria Math" w:hAnsi="Cambria Math" w:cs="Arial"/>
                              <w:szCs w:val="20"/>
                            </w:rPr>
                            <m:t>INC</m:t>
                          </m:r>
                        </m:e>
                        <m:sub>
                          <m:r>
                            <w:rPr>
                              <w:rFonts w:ascii="Cambria Math" w:hAnsi="Cambria Math" w:cs="Arial"/>
                              <w:szCs w:val="20"/>
                            </w:rPr>
                            <m:t>C7</m:t>
                          </m:r>
                        </m:sub>
                      </m:sSub>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LED</m:t>
                          </m:r>
                        </m:e>
                        <m:sub>
                          <m:r>
                            <w:rPr>
                              <w:rFonts w:ascii="Cambria Math" w:hAnsi="Cambria Math" w:cs="Arial"/>
                              <w:szCs w:val="20"/>
                            </w:rPr>
                            <m:t>C7</m:t>
                          </m:r>
                        </m:sub>
                      </m:sSub>
                    </m:e>
                  </m:d>
                  <m:r>
                    <w:rPr>
                      <w:rFonts w:ascii="Cambria Math" w:hAnsi="Cambria Math" w:cs="Arial"/>
                      <w:szCs w:val="20"/>
                    </w:rPr>
                    <m:t xml:space="preserve"> × #Bulbs × #Strands × HOU</m:t>
                  </m:r>
                </m:e>
              </m:d>
            </m:num>
            <m:den>
              <m:r>
                <w:rPr>
                  <w:rFonts w:ascii="Cambria Math" w:hAnsi="Cambria Math" w:cs="Arial"/>
                  <w:szCs w:val="20"/>
                </w:rPr>
                <m:t>1,000</m:t>
              </m:r>
            </m:den>
          </m:f>
        </m:oMath>
      </m:oMathPara>
    </w:p>
    <w:p w14:paraId="13D03282" w14:textId="77777777" w:rsidR="00FA5174" w:rsidRPr="001570EA" w:rsidRDefault="00FA5174" w:rsidP="00FA5174">
      <w:pPr>
        <w:pStyle w:val="Equation"/>
        <w:ind w:left="0" w:firstLine="0"/>
        <w:rPr>
          <w:rFonts w:cs="Arial"/>
          <w:szCs w:val="20"/>
        </w:rPr>
      </w:pPr>
    </w:p>
    <w:p w14:paraId="352E716E" w14:textId="72F02C21" w:rsidR="00FA5174" w:rsidRPr="001570EA" w:rsidRDefault="00FA5174" w:rsidP="00FA5174">
      <w:pPr>
        <w:pStyle w:val="Equation"/>
        <w:ind w:left="0" w:firstLine="0"/>
        <w:rPr>
          <w:rFonts w:cs="Arial"/>
          <w:szCs w:val="20"/>
          <w:vertAlign w:val="subscript"/>
        </w:rPr>
      </w:pPr>
      <m:oMathPara>
        <m:oMathParaPr>
          <m:jc m:val="left"/>
        </m:oMathParaPr>
        <m:oMath>
          <m:r>
            <w:rPr>
              <w:rFonts w:ascii="Cambria Math" w:hAnsi="Cambria Math" w:cs="Arial"/>
              <w:szCs w:val="20"/>
            </w:rPr>
            <m:t>∆ 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mini</m:t>
              </m:r>
            </m:sub>
          </m:sSub>
          <m:r>
            <w:rPr>
              <w:rFonts w:ascii="Cambria Math" w:hAnsi="Cambria Math" w:cs="Arial"/>
              <w:szCs w:val="20"/>
            </w:rPr>
            <m:t xml:space="preserve">                      =</m:t>
          </m:r>
          <m:f>
            <m:fPr>
              <m:ctrlPr>
                <w:rPr>
                  <w:rFonts w:ascii="Cambria Math" w:hAnsi="Cambria Math" w:cs="Arial"/>
                  <w:i w:val="0"/>
                  <w:szCs w:val="20"/>
                </w:rPr>
              </m:ctrlPr>
            </m:fPr>
            <m:num>
              <m:d>
                <m:dPr>
                  <m:begChr m:val="["/>
                  <m:endChr m:val="]"/>
                  <m:ctrlPr>
                    <w:rPr>
                      <w:rFonts w:ascii="Cambria Math" w:hAnsi="Cambria Math" w:cs="Arial"/>
                      <w:i w:val="0"/>
                      <w:szCs w:val="20"/>
                    </w:rPr>
                  </m:ctrlPr>
                </m:dPr>
                <m:e>
                  <m:d>
                    <m:dPr>
                      <m:ctrlPr>
                        <w:rPr>
                          <w:rFonts w:ascii="Cambria Math" w:hAnsi="Cambria Math" w:cs="Arial"/>
                          <w:i w:val="0"/>
                          <w:szCs w:val="20"/>
                        </w:rPr>
                      </m:ctrlPr>
                    </m:dPr>
                    <m:e>
                      <m:sSub>
                        <m:sSubPr>
                          <m:ctrlPr>
                            <w:rPr>
                              <w:rFonts w:ascii="Cambria Math" w:hAnsi="Cambria Math" w:cs="Arial"/>
                              <w:i w:val="0"/>
                              <w:szCs w:val="20"/>
                            </w:rPr>
                          </m:ctrlPr>
                        </m:sSubPr>
                        <m:e>
                          <m:r>
                            <w:rPr>
                              <w:rFonts w:ascii="Cambria Math" w:hAnsi="Cambria Math" w:cs="Arial"/>
                              <w:szCs w:val="20"/>
                            </w:rPr>
                            <m:t>INC</m:t>
                          </m:r>
                        </m:e>
                        <m:sub>
                          <m:r>
                            <w:rPr>
                              <w:rFonts w:ascii="Cambria Math" w:hAnsi="Cambria Math" w:cs="Arial"/>
                              <w:szCs w:val="20"/>
                            </w:rPr>
                            <m:t>mini</m:t>
                          </m:r>
                        </m:sub>
                      </m:sSub>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LED</m:t>
                          </m:r>
                        </m:e>
                        <m:sub>
                          <m:r>
                            <w:rPr>
                              <w:rFonts w:ascii="Cambria Math" w:hAnsi="Cambria Math" w:cs="Arial"/>
                              <w:szCs w:val="20"/>
                            </w:rPr>
                            <m:t>mini</m:t>
                          </m:r>
                        </m:sub>
                      </m:sSub>
                    </m:e>
                  </m:d>
                  <m:r>
                    <w:rPr>
                      <w:rFonts w:ascii="Cambria Math" w:hAnsi="Cambria Math" w:cs="Arial"/>
                      <w:szCs w:val="20"/>
                    </w:rPr>
                    <m:t xml:space="preserve"> × #Bulbs × #Strands × HOU</m:t>
                  </m:r>
                </m:e>
              </m:d>
            </m:num>
            <m:den>
              <m:r>
                <w:rPr>
                  <w:rFonts w:ascii="Cambria Math" w:hAnsi="Cambria Math" w:cs="Arial"/>
                  <w:szCs w:val="20"/>
                </w:rPr>
                <m:t>1,000</m:t>
              </m:r>
            </m:den>
          </m:f>
        </m:oMath>
      </m:oMathPara>
    </w:p>
    <w:p w14:paraId="3267F9B1" w14:textId="77777777" w:rsidR="00261781" w:rsidRPr="001570EA" w:rsidRDefault="00261781" w:rsidP="00C82FF6">
      <w:pPr>
        <w:pStyle w:val="Equation"/>
        <w:tabs>
          <w:tab w:val="clear" w:pos="2880"/>
          <w:tab w:val="left" w:pos="2160"/>
        </w:tabs>
        <w:rPr>
          <w:rFonts w:ascii="Symbol" w:eastAsia="Symbol" w:hAnsi="Symbol" w:cs="Symbo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6407"/>
      </w:tblGrid>
      <w:tr w:rsidR="00D32941" w:rsidRPr="001570EA" w14:paraId="27E0A9D2" w14:textId="77777777">
        <w:tc>
          <w:tcPr>
            <w:tcW w:w="2233" w:type="dxa"/>
            <w:vAlign w:val="center"/>
          </w:tcPr>
          <w:p w14:paraId="170BDE0F" w14:textId="77777777" w:rsidR="00D32941" w:rsidRPr="001570EA" w:rsidRDefault="003B5E04">
            <w:pPr>
              <w:pStyle w:val="TableCell"/>
              <w:jc w:val="left"/>
            </w:pPr>
            <m:oMathPara>
              <m:oMathParaPr>
                <m:jc m:val="left"/>
              </m:oMathParaPr>
              <m:oMath>
                <m:sSub>
                  <m:sSubPr>
                    <m:ctrlPr>
                      <w:rPr>
                        <w:rFonts w:ascii="Cambria Math" w:hAnsi="Cambria Math"/>
                        <w:i/>
                      </w:rPr>
                    </m:ctrlPr>
                  </m:sSubPr>
                  <m:e>
                    <m:r>
                      <m:rPr>
                        <m:sty m:val="p"/>
                      </m:rPr>
                      <w:rPr>
                        <w:rFonts w:ascii="Cambria Math" w:hAnsi="Cambria Math"/>
                      </w:rPr>
                      <w:sym w:font="Symbol" w:char="F044"/>
                    </m:r>
                    <m:r>
                      <w:rPr>
                        <w:rFonts w:ascii="Cambria Math" w:hAnsi="Cambria Math"/>
                      </w:rPr>
                      <m:t>kW</m:t>
                    </m:r>
                  </m:e>
                  <m:sub>
                    <m:r>
                      <w:rPr>
                        <w:rFonts w:ascii="Cambria Math" w:hAnsi="Cambria Math"/>
                      </w:rPr>
                      <m:t>summer peak</m:t>
                    </m:r>
                  </m:sub>
                </m:sSub>
              </m:oMath>
            </m:oMathPara>
          </w:p>
        </w:tc>
        <w:tc>
          <w:tcPr>
            <w:tcW w:w="6407" w:type="dxa"/>
            <w:vAlign w:val="center"/>
          </w:tcPr>
          <w:p w14:paraId="3D52ADC1" w14:textId="77777777" w:rsidR="00D32941" w:rsidRPr="001570EA" w:rsidRDefault="00D32941">
            <w:pPr>
              <w:pStyle w:val="TableCell"/>
              <w:jc w:val="left"/>
            </w:pPr>
            <m:oMathPara>
              <m:oMath>
                <m:r>
                  <m:rPr>
                    <m:sty m:val="p"/>
                  </m:rPr>
                  <w:rPr>
                    <w:rFonts w:ascii="Cambria Math" w:hAnsi="Cambria Math"/>
                  </w:rPr>
                  <m:t>= 0</m:t>
                </m:r>
              </m:oMath>
            </m:oMathPara>
          </w:p>
        </w:tc>
      </w:tr>
      <w:tr w:rsidR="00D32941" w:rsidRPr="001570EA" w14:paraId="6B1463EA" w14:textId="77777777">
        <w:tc>
          <w:tcPr>
            <w:tcW w:w="2233" w:type="dxa"/>
          </w:tcPr>
          <w:p w14:paraId="70DF958F" w14:textId="77777777" w:rsidR="00D32941" w:rsidRPr="001570EA" w:rsidRDefault="003B5E04">
            <w:pPr>
              <w:pStyle w:val="TableCell"/>
              <w:jc w:val="left"/>
            </w:pPr>
            <m:oMathPara>
              <m:oMathParaPr>
                <m:jc m:val="left"/>
              </m:oMathParaPr>
              <m:oMath>
                <m:sSub>
                  <m:sSubPr>
                    <m:ctrlPr>
                      <w:rPr>
                        <w:rFonts w:ascii="Cambria Math" w:hAnsi="Cambria Math"/>
                      </w:rPr>
                    </m:ctrlPr>
                  </m:sSubPr>
                  <m:e>
                    <m:r>
                      <m:rPr>
                        <m:sty m:val="p"/>
                      </m:rPr>
                      <w:rPr>
                        <w:rFonts w:ascii="Cambria Math" w:hAnsi="Cambria Math"/>
                      </w:rPr>
                      <w:sym w:font="Symbol" w:char="F044"/>
                    </m:r>
                    <m:r>
                      <w:rPr>
                        <w:rFonts w:ascii="Cambria Math" w:hAnsi="Cambria Math"/>
                      </w:rPr>
                      <m:t>kW</m:t>
                    </m:r>
                  </m:e>
                  <m:sub>
                    <m:r>
                      <w:rPr>
                        <w:rFonts w:ascii="Cambria Math" w:hAnsi="Cambria Math"/>
                      </w:rPr>
                      <m:t>winter peak</m:t>
                    </m:r>
                  </m:sub>
                </m:sSub>
              </m:oMath>
            </m:oMathPara>
          </w:p>
        </w:tc>
        <w:tc>
          <w:tcPr>
            <w:tcW w:w="6407" w:type="dxa"/>
          </w:tcPr>
          <w:p w14:paraId="4C797899" w14:textId="77777777" w:rsidR="00D32941" w:rsidRPr="001570EA" w:rsidRDefault="00D32941">
            <w:pPr>
              <w:pStyle w:val="TableCell"/>
              <w:jc w:val="left"/>
            </w:pPr>
            <m:oMathPara>
              <m:oMath>
                <m:r>
                  <m:rPr>
                    <m:sty m:val="p"/>
                  </m:rPr>
                  <w:rPr>
                    <w:rFonts w:ascii="Cambria Math" w:hAnsi="Cambria Math"/>
                  </w:rPr>
                  <m:t>= 0</m:t>
                </m:r>
              </m:oMath>
            </m:oMathPara>
          </w:p>
        </w:tc>
      </w:tr>
    </w:tbl>
    <w:p w14:paraId="51C25862" w14:textId="77777777" w:rsidR="00FA5174" w:rsidRPr="001570EA" w:rsidRDefault="00FA5174" w:rsidP="00FA5174"/>
    <w:p w14:paraId="27C5961F" w14:textId="77777777" w:rsidR="00FA5174" w:rsidRPr="001570EA" w:rsidRDefault="00FA5174" w:rsidP="00FA5174">
      <w:pPr>
        <w:spacing w:after="120"/>
        <w:rPr>
          <w:b/>
        </w:rPr>
      </w:pPr>
      <w:r w:rsidRPr="001570EA">
        <w:rPr>
          <w:b/>
        </w:rPr>
        <w:t>Key assumptions</w:t>
      </w:r>
    </w:p>
    <w:p w14:paraId="621CFA07" w14:textId="65B6D882" w:rsidR="00FA5174" w:rsidRPr="001570EA" w:rsidRDefault="00FA5174" w:rsidP="002614D2">
      <w:pPr>
        <w:pStyle w:val="ListParagraph"/>
        <w:numPr>
          <w:ilvl w:val="0"/>
          <w:numId w:val="9"/>
        </w:numPr>
        <w:spacing w:after="120"/>
        <w:ind w:left="360"/>
      </w:pPr>
      <w:r w:rsidRPr="001570EA">
        <w:t>All estimated values reflect the use of residential LED bulb holiday lighting.</w:t>
      </w:r>
    </w:p>
    <w:p w14:paraId="0CB0C56C" w14:textId="77777777" w:rsidR="00FA5174" w:rsidRPr="001570EA" w:rsidRDefault="00FA5174" w:rsidP="002614D2">
      <w:pPr>
        <w:pStyle w:val="ListParagraph"/>
        <w:numPr>
          <w:ilvl w:val="0"/>
          <w:numId w:val="9"/>
        </w:numPr>
        <w:spacing w:after="120"/>
        <w:ind w:left="360"/>
      </w:pPr>
      <w:r w:rsidRPr="001570EA">
        <w:t>Secondary impacts for heating and cooling were not evaluated.</w:t>
      </w:r>
    </w:p>
    <w:p w14:paraId="749282C5" w14:textId="77777777" w:rsidR="00FA5174" w:rsidRPr="001570EA" w:rsidRDefault="00FA5174" w:rsidP="002614D2">
      <w:pPr>
        <w:pStyle w:val="ListParagraph"/>
        <w:numPr>
          <w:ilvl w:val="0"/>
          <w:numId w:val="9"/>
        </w:numPr>
        <w:spacing w:after="200"/>
        <w:ind w:left="360"/>
        <w:contextualSpacing/>
      </w:pPr>
      <w:r w:rsidRPr="001570EA">
        <w:t>It is assumed that 50% of rebated lamps are of the “mini” variety, 25% are of the C7 variety, and 25% are of the C9 variety. If the lamp type is known or fixed by program design, then the savings can be calculated as described by the algorithms above. Otherwise, the savings for the mini, C7, and C9 varieties should be weighted by 0.5, 0.25 and 0.25, respectively, as in the algorithm below.</w:t>
      </w:r>
    </w:p>
    <w:p w14:paraId="33AFA4CC" w14:textId="77777777" w:rsidR="00FA5174" w:rsidRPr="001570EA" w:rsidRDefault="00FA5174" w:rsidP="00FA5174">
      <w:pPr>
        <w:spacing w:after="200"/>
        <w:contextualSpacing/>
      </w:pPr>
      <m:oMathPara>
        <m:oMath>
          <m:r>
            <w:rPr>
              <w:rFonts w:ascii="Cambria Math" w:hAnsi="Cambria Math" w:cs="Arial"/>
            </w:rPr>
            <m:t>∆ kW</m:t>
          </m:r>
          <m:sSub>
            <m:sSubPr>
              <m:ctrlPr>
                <w:rPr>
                  <w:rFonts w:ascii="Cambria Math" w:hAnsi="Cambria Math" w:cs="Arial"/>
                </w:rPr>
              </m:ctrlPr>
            </m:sSubPr>
            <m:e>
              <m:r>
                <w:rPr>
                  <w:rFonts w:ascii="Cambria Math" w:hAnsi="Cambria Math" w:cs="Arial"/>
                </w:rPr>
                <m:t>h</m:t>
              </m:r>
              <m:ctrlPr>
                <w:rPr>
                  <w:rFonts w:ascii="Cambria Math" w:hAnsi="Cambria Math" w:cs="Arial"/>
                  <w:i/>
                </w:rPr>
              </m:ctrlPr>
            </m:e>
            <m:sub>
              <m:r>
                <w:rPr>
                  <w:rFonts w:ascii="Cambria Math" w:hAnsi="Cambria Math" w:cs="Arial"/>
                </w:rPr>
                <m:t>Default</m:t>
              </m:r>
            </m:sub>
          </m:sSub>
          <m:r>
            <w:rPr>
              <w:rFonts w:ascii="Cambria Math" w:hAnsi="Cambria Math" w:cs="Arial"/>
            </w:rPr>
            <m:t xml:space="preserve">               =</m:t>
          </m:r>
          <m:d>
            <m:dPr>
              <m:begChr m:val="["/>
              <m:endChr m:val="]"/>
              <m:ctrlPr>
                <w:rPr>
                  <w:rFonts w:ascii="Cambria Math" w:hAnsi="Cambria Math" w:cs="Arial"/>
                  <w:i/>
                </w:rPr>
              </m:ctrlPr>
            </m:dPr>
            <m:e>
              <m:sSub>
                <m:sSubPr>
                  <m:ctrlPr>
                    <w:rPr>
                      <w:rFonts w:ascii="Cambria Math" w:hAnsi="Cambria Math" w:cs="Arial"/>
                      <w:i/>
                      <w:sz w:val="18"/>
                      <w:szCs w:val="18"/>
                    </w:rPr>
                  </m:ctrlPr>
                </m:sSubPr>
                <m:e>
                  <m:r>
                    <w:rPr>
                      <w:rFonts w:ascii="Cambria Math" w:hAnsi="Cambria Math" w:cs="Arial"/>
                      <w:sz w:val="18"/>
                      <w:szCs w:val="18"/>
                    </w:rPr>
                    <m:t>%</m:t>
                  </m:r>
                </m:e>
                <m:sub>
                  <m:r>
                    <w:rPr>
                      <w:rFonts w:ascii="Cambria Math" w:hAnsi="Cambria Math" w:cs="Arial"/>
                      <w:sz w:val="18"/>
                      <w:szCs w:val="18"/>
                    </w:rPr>
                    <m:t>C9</m:t>
                  </m:r>
                </m:sub>
              </m:sSub>
              <m:r>
                <w:rPr>
                  <w:rFonts w:ascii="Cambria Math" w:hAnsi="Cambria Math" w:cs="Arial"/>
                  <w:sz w:val="18"/>
                  <w:szCs w:val="18"/>
                  <w:vertAlign w:val="subscript"/>
                </w:rPr>
                <m:t xml:space="preserve"> ×</m:t>
              </m:r>
              <m:r>
                <w:rPr>
                  <w:rFonts w:ascii="Cambria Math" w:hAnsi="Cambria Math" w:cs="Arial"/>
                </w:rPr>
                <m:t>∆</m:t>
              </m:r>
              <m:f>
                <m:fPr>
                  <m:type m:val="lin"/>
                  <m:ctrlPr>
                    <w:rPr>
                      <w:rFonts w:ascii="Cambria Math" w:hAnsi="Cambria Math" w:cs="Arial"/>
                    </w:rPr>
                  </m:ctrlPr>
                </m:fPr>
                <m:num>
                  <m:r>
                    <w:rPr>
                      <w:rFonts w:ascii="Cambria Math" w:hAnsi="Cambria Math" w:cs="Arial"/>
                    </w:rPr>
                    <m:t>kWh</m:t>
                  </m:r>
                  <m:ctrlPr>
                    <w:rPr>
                      <w:rFonts w:ascii="Cambria Math" w:hAnsi="Cambria Math" w:cs="Arial"/>
                      <w:i/>
                    </w:rPr>
                  </m:ctrlPr>
                </m:num>
                <m:den>
                  <m:sSub>
                    <m:sSubPr>
                      <m:ctrlPr>
                        <w:rPr>
                          <w:rFonts w:ascii="Cambria Math" w:hAnsi="Cambria Math" w:cs="Arial"/>
                        </w:rPr>
                      </m:ctrlPr>
                    </m:sSubPr>
                    <m:e>
                      <m:r>
                        <w:rPr>
                          <w:rFonts w:ascii="Cambria Math" w:hAnsi="Cambria Math" w:cs="Arial"/>
                        </w:rPr>
                        <m:t>yr</m:t>
                      </m:r>
                    </m:e>
                    <m:sub>
                      <m:r>
                        <w:rPr>
                          <w:rFonts w:ascii="Cambria Math" w:hAnsi="Cambria Math" w:cs="Arial"/>
                        </w:rPr>
                        <m:t>C9</m:t>
                      </m:r>
                    </m:sub>
                  </m:sSub>
                </m:den>
              </m:f>
            </m:e>
          </m:d>
          <m:r>
            <w:rPr>
              <w:rFonts w:ascii="Cambria Math" w:hAnsi="Cambria Math" w:cs="Arial"/>
            </w:rPr>
            <m:t>+</m:t>
          </m:r>
          <m:d>
            <m:dPr>
              <m:begChr m:val="["/>
              <m:endChr m:val="]"/>
              <m:ctrlPr>
                <w:rPr>
                  <w:rFonts w:ascii="Cambria Math" w:hAnsi="Cambria Math" w:cs="Arial"/>
                  <w:i/>
                </w:rPr>
              </m:ctrlPr>
            </m:dPr>
            <m:e>
              <m:sSub>
                <m:sSubPr>
                  <m:ctrlPr>
                    <w:rPr>
                      <w:rFonts w:ascii="Cambria Math" w:hAnsi="Cambria Math" w:cs="Arial"/>
                      <w:i/>
                      <w:sz w:val="18"/>
                      <w:szCs w:val="18"/>
                    </w:rPr>
                  </m:ctrlPr>
                </m:sSubPr>
                <m:e>
                  <m:r>
                    <w:rPr>
                      <w:rFonts w:ascii="Cambria Math" w:hAnsi="Cambria Math" w:cs="Arial"/>
                      <w:sz w:val="18"/>
                      <w:szCs w:val="18"/>
                    </w:rPr>
                    <m:t>%</m:t>
                  </m:r>
                </m:e>
                <m:sub>
                  <m:r>
                    <w:rPr>
                      <w:rFonts w:ascii="Cambria Math" w:hAnsi="Cambria Math" w:cs="Arial"/>
                      <w:sz w:val="18"/>
                      <w:szCs w:val="18"/>
                    </w:rPr>
                    <m:t>C7</m:t>
                  </m:r>
                </m:sub>
              </m:sSub>
              <m:r>
                <w:rPr>
                  <w:rFonts w:ascii="Cambria Math" w:hAnsi="Cambria Math" w:cs="Arial"/>
                  <w:sz w:val="18"/>
                  <w:szCs w:val="18"/>
                  <w:vertAlign w:val="subscript"/>
                </w:rPr>
                <m:t xml:space="preserve"> ×</m:t>
              </m:r>
              <m:r>
                <w:rPr>
                  <w:rFonts w:ascii="Cambria Math" w:hAnsi="Cambria Math" w:cs="Arial"/>
                </w:rPr>
                <m:t>∆</m:t>
              </m:r>
              <m:f>
                <m:fPr>
                  <m:type m:val="lin"/>
                  <m:ctrlPr>
                    <w:rPr>
                      <w:rFonts w:ascii="Cambria Math" w:hAnsi="Cambria Math" w:cs="Arial"/>
                    </w:rPr>
                  </m:ctrlPr>
                </m:fPr>
                <m:num>
                  <m:r>
                    <w:rPr>
                      <w:rFonts w:ascii="Cambria Math" w:hAnsi="Cambria Math" w:cs="Arial"/>
                    </w:rPr>
                    <m:t>kWh</m:t>
                  </m:r>
                  <m:ctrlPr>
                    <w:rPr>
                      <w:rFonts w:ascii="Cambria Math" w:hAnsi="Cambria Math" w:cs="Arial"/>
                      <w:i/>
                    </w:rPr>
                  </m:ctrlPr>
                </m:num>
                <m:den>
                  <m:sSub>
                    <m:sSubPr>
                      <m:ctrlPr>
                        <w:rPr>
                          <w:rFonts w:ascii="Cambria Math" w:hAnsi="Cambria Math" w:cs="Arial"/>
                        </w:rPr>
                      </m:ctrlPr>
                    </m:sSubPr>
                    <m:e>
                      <m:r>
                        <w:rPr>
                          <w:rFonts w:ascii="Cambria Math" w:hAnsi="Cambria Math" w:cs="Arial"/>
                        </w:rPr>
                        <m:t>yr</m:t>
                      </m:r>
                    </m:e>
                    <m:sub>
                      <m:r>
                        <w:rPr>
                          <w:rFonts w:ascii="Cambria Math" w:hAnsi="Cambria Math" w:cs="Arial"/>
                        </w:rPr>
                        <m:t>C7</m:t>
                      </m:r>
                    </m:sub>
                  </m:sSub>
                </m:den>
              </m:f>
            </m:e>
          </m:d>
          <m:r>
            <w:rPr>
              <w:rFonts w:ascii="Cambria Math" w:hAnsi="Cambria Math" w:cs="Arial"/>
            </w:rPr>
            <m:t>+</m:t>
          </m:r>
          <m:d>
            <m:dPr>
              <m:begChr m:val="["/>
              <m:endChr m:val="]"/>
              <m:ctrlPr>
                <w:rPr>
                  <w:rFonts w:ascii="Cambria Math" w:hAnsi="Cambria Math" w:cs="Arial"/>
                  <w:i/>
                </w:rPr>
              </m:ctrlPr>
            </m:dPr>
            <m:e>
              <m:sSub>
                <m:sSubPr>
                  <m:ctrlPr>
                    <w:rPr>
                      <w:rFonts w:ascii="Cambria Math" w:hAnsi="Cambria Math" w:cs="Arial"/>
                      <w:i/>
                      <w:sz w:val="18"/>
                      <w:szCs w:val="18"/>
                    </w:rPr>
                  </m:ctrlPr>
                </m:sSubPr>
                <m:e>
                  <m:r>
                    <w:rPr>
                      <w:rFonts w:ascii="Cambria Math" w:hAnsi="Cambria Math" w:cs="Arial"/>
                      <w:sz w:val="18"/>
                      <w:szCs w:val="18"/>
                    </w:rPr>
                    <m:t>%</m:t>
                  </m:r>
                </m:e>
                <m:sub>
                  <m:r>
                    <w:rPr>
                      <w:rFonts w:ascii="Cambria Math" w:hAnsi="Cambria Math" w:cs="Arial"/>
                      <w:sz w:val="18"/>
                      <w:szCs w:val="18"/>
                    </w:rPr>
                    <m:t>mini</m:t>
                  </m:r>
                </m:sub>
              </m:sSub>
              <m:r>
                <w:rPr>
                  <w:rFonts w:ascii="Cambria Math" w:hAnsi="Cambria Math" w:cs="Arial"/>
                  <w:sz w:val="18"/>
                  <w:szCs w:val="18"/>
                  <w:vertAlign w:val="subscript"/>
                </w:rPr>
                <m:t xml:space="preserve"> ×</m:t>
              </m:r>
              <m:r>
                <w:rPr>
                  <w:rFonts w:ascii="Cambria Math" w:hAnsi="Cambria Math" w:cs="Arial"/>
                </w:rPr>
                <m:t>∆</m:t>
              </m:r>
              <m:f>
                <m:fPr>
                  <m:type m:val="lin"/>
                  <m:ctrlPr>
                    <w:rPr>
                      <w:rFonts w:ascii="Cambria Math" w:hAnsi="Cambria Math" w:cs="Arial"/>
                    </w:rPr>
                  </m:ctrlPr>
                </m:fPr>
                <m:num>
                  <m:r>
                    <w:rPr>
                      <w:rFonts w:ascii="Cambria Math" w:hAnsi="Cambria Math" w:cs="Arial"/>
                    </w:rPr>
                    <m:t>kWh</m:t>
                  </m:r>
                  <m:ctrlPr>
                    <w:rPr>
                      <w:rFonts w:ascii="Cambria Math" w:hAnsi="Cambria Math" w:cs="Arial"/>
                      <w:i/>
                    </w:rPr>
                  </m:ctrlPr>
                </m:num>
                <m:den>
                  <m:sSub>
                    <m:sSubPr>
                      <m:ctrlPr>
                        <w:rPr>
                          <w:rFonts w:ascii="Cambria Math" w:hAnsi="Cambria Math" w:cs="Arial"/>
                        </w:rPr>
                      </m:ctrlPr>
                    </m:sSubPr>
                    <m:e>
                      <m:r>
                        <w:rPr>
                          <w:rFonts w:ascii="Cambria Math" w:hAnsi="Cambria Math" w:cs="Arial"/>
                        </w:rPr>
                        <m:t>yr</m:t>
                      </m:r>
                    </m:e>
                    <m:sub>
                      <m:r>
                        <w:rPr>
                          <w:rFonts w:ascii="Cambria Math" w:hAnsi="Cambria Math" w:cs="Arial"/>
                        </w:rPr>
                        <m:t>mini</m:t>
                      </m:r>
                    </m:sub>
                  </m:sSub>
                </m:den>
              </m:f>
            </m:e>
          </m:d>
        </m:oMath>
      </m:oMathPara>
    </w:p>
    <w:p w14:paraId="7451E8DE" w14:textId="77777777" w:rsidR="00FA5174" w:rsidRPr="001570EA" w:rsidRDefault="00FA5174" w:rsidP="00FA5174"/>
    <w:p w14:paraId="055F86C9" w14:textId="77777777" w:rsidR="00FA5174" w:rsidRPr="001570EA" w:rsidRDefault="00FA5174" w:rsidP="00597241">
      <w:pPr>
        <w:pStyle w:val="SubStyle"/>
        <w:keepNext/>
      </w:pPr>
      <w:r w:rsidRPr="001570EA">
        <w:t>Definition of Terms</w:t>
      </w:r>
    </w:p>
    <w:p w14:paraId="3CC2837E" w14:textId="5E02A5D5" w:rsidR="00FA5174" w:rsidRPr="001570EA" w:rsidRDefault="00FA5174" w:rsidP="00427533">
      <w:pPr>
        <w:pStyle w:val="Caption"/>
      </w:pPr>
      <w:bookmarkStart w:id="157" w:name="_Ref163831985"/>
      <w:bookmarkStart w:id="158" w:name="_Toc364420952"/>
      <w:bookmarkStart w:id="159" w:name="_Toc373320244"/>
      <w:bookmarkStart w:id="160" w:name="_Toc364760722"/>
      <w:bookmarkStart w:id="161" w:name="_Toc377465540"/>
      <w:bookmarkStart w:id="162" w:name="_Toc47598251"/>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8</w:t>
      </w:r>
      <w:r w:rsidR="002E093A" w:rsidRPr="001570EA">
        <w:fldChar w:fldCharType="end"/>
      </w:r>
      <w:bookmarkEnd w:id="157"/>
      <w:r w:rsidRPr="001570EA">
        <w:t xml:space="preserve">: </w:t>
      </w:r>
      <w:r w:rsidRPr="001570EA">
        <w:rPr>
          <w:rFonts w:cs="Arial"/>
        </w:rPr>
        <w:t>Terms, Values, and References for</w:t>
      </w:r>
      <w:r w:rsidRPr="001570EA">
        <w:t xml:space="preserve"> Holiday Lights</w:t>
      </w:r>
      <w:bookmarkEnd w:id="158"/>
      <w:bookmarkEnd w:id="159"/>
      <w:bookmarkEnd w:id="160"/>
      <w:bookmarkEnd w:id="161"/>
      <w:bookmarkEnd w:id="162"/>
    </w:p>
    <w:tbl>
      <w:tblPr>
        <w:tblW w:w="4870" w:type="pct"/>
        <w:tblInd w:w="115" w:type="dxa"/>
        <w:tblCellMar>
          <w:left w:w="115" w:type="dxa"/>
          <w:right w:w="115" w:type="dxa"/>
        </w:tblCellMar>
        <w:tblLook w:val="00A0" w:firstRow="1" w:lastRow="0" w:firstColumn="1" w:lastColumn="0" w:noHBand="0" w:noVBand="0"/>
      </w:tblPr>
      <w:tblGrid>
        <w:gridCol w:w="3631"/>
        <w:gridCol w:w="1581"/>
        <w:gridCol w:w="2077"/>
        <w:gridCol w:w="1107"/>
      </w:tblGrid>
      <w:tr w:rsidR="00FA5174" w:rsidRPr="001570EA" w14:paraId="5916A2D6" w14:textId="77777777" w:rsidTr="00BD2C4C">
        <w:trPr>
          <w:trHeight w:val="317"/>
        </w:trPr>
        <w:tc>
          <w:tcPr>
            <w:tcW w:w="2168" w:type="pct"/>
            <w:tcBorders>
              <w:top w:val="single" w:sz="8" w:space="0" w:color="auto"/>
              <w:left w:val="single" w:sz="8" w:space="0" w:color="auto"/>
              <w:bottom w:val="single" w:sz="8" w:space="0" w:color="auto"/>
              <w:right w:val="single" w:sz="8" w:space="0" w:color="auto"/>
            </w:tcBorders>
            <w:shd w:val="clear" w:color="auto" w:fill="BFBFBF"/>
            <w:vAlign w:val="bottom"/>
          </w:tcPr>
          <w:p w14:paraId="0D3B54A4" w14:textId="77777777" w:rsidR="00FA5174" w:rsidRPr="001570EA" w:rsidRDefault="00FA5174" w:rsidP="00427533">
            <w:pPr>
              <w:pStyle w:val="TableCell"/>
              <w:spacing w:before="0" w:after="0"/>
              <w:jc w:val="left"/>
              <w:rPr>
                <w:b/>
              </w:rPr>
            </w:pPr>
            <w:r w:rsidRPr="001570EA">
              <w:rPr>
                <w:b/>
              </w:rPr>
              <w:t>Parameter</w:t>
            </w:r>
          </w:p>
        </w:tc>
        <w:tc>
          <w:tcPr>
            <w:tcW w:w="924" w:type="pct"/>
            <w:tcBorders>
              <w:top w:val="single" w:sz="8" w:space="0" w:color="auto"/>
              <w:left w:val="nil"/>
              <w:bottom w:val="single" w:sz="8" w:space="0" w:color="auto"/>
              <w:right w:val="single" w:sz="8" w:space="0" w:color="auto"/>
            </w:tcBorders>
            <w:shd w:val="clear" w:color="auto" w:fill="BFBFBF"/>
            <w:vAlign w:val="bottom"/>
          </w:tcPr>
          <w:p w14:paraId="382ABF37" w14:textId="77777777" w:rsidR="00FA5174" w:rsidRPr="001570EA" w:rsidRDefault="00FA5174" w:rsidP="00427533">
            <w:pPr>
              <w:pStyle w:val="TableCell"/>
              <w:spacing w:before="0" w:after="0"/>
              <w:jc w:val="center"/>
              <w:rPr>
                <w:b/>
              </w:rPr>
            </w:pPr>
            <w:r w:rsidRPr="001570EA">
              <w:rPr>
                <w:b/>
              </w:rPr>
              <w:t>Unit</w:t>
            </w:r>
          </w:p>
        </w:tc>
        <w:tc>
          <w:tcPr>
            <w:tcW w:w="1243" w:type="pct"/>
            <w:tcBorders>
              <w:top w:val="single" w:sz="8" w:space="0" w:color="auto"/>
              <w:left w:val="nil"/>
              <w:bottom w:val="single" w:sz="8" w:space="0" w:color="auto"/>
              <w:right w:val="single" w:sz="8" w:space="0" w:color="auto"/>
            </w:tcBorders>
            <w:shd w:val="clear" w:color="auto" w:fill="BFBFBF"/>
            <w:vAlign w:val="bottom"/>
          </w:tcPr>
          <w:p w14:paraId="5AF67E31" w14:textId="77777777" w:rsidR="00FA5174" w:rsidRPr="001570EA" w:rsidRDefault="00FA5174" w:rsidP="00427533">
            <w:pPr>
              <w:pStyle w:val="TableCell"/>
              <w:spacing w:before="0" w:after="0"/>
              <w:jc w:val="center"/>
              <w:rPr>
                <w:b/>
              </w:rPr>
            </w:pPr>
            <w:r w:rsidRPr="001570EA">
              <w:rPr>
                <w:b/>
              </w:rPr>
              <w:t>Value</w:t>
            </w:r>
          </w:p>
        </w:tc>
        <w:tc>
          <w:tcPr>
            <w:tcW w:w="665" w:type="pct"/>
            <w:tcBorders>
              <w:top w:val="single" w:sz="8" w:space="0" w:color="auto"/>
              <w:left w:val="single" w:sz="8" w:space="0" w:color="auto"/>
              <w:bottom w:val="single" w:sz="8" w:space="0" w:color="auto"/>
              <w:right w:val="single" w:sz="8" w:space="0" w:color="auto"/>
            </w:tcBorders>
            <w:shd w:val="clear" w:color="auto" w:fill="BFBFBF"/>
            <w:vAlign w:val="bottom"/>
          </w:tcPr>
          <w:p w14:paraId="3D53F624" w14:textId="77777777" w:rsidR="00FA5174" w:rsidRPr="001570EA" w:rsidRDefault="00FA5174" w:rsidP="00427533">
            <w:pPr>
              <w:pStyle w:val="TableCell"/>
              <w:spacing w:before="0" w:after="0"/>
              <w:jc w:val="center"/>
              <w:rPr>
                <w:b/>
              </w:rPr>
            </w:pPr>
            <w:r w:rsidRPr="001570EA">
              <w:rPr>
                <w:b/>
              </w:rPr>
              <w:t>Source</w:t>
            </w:r>
          </w:p>
        </w:tc>
      </w:tr>
      <w:tr w:rsidR="00FA5174" w:rsidRPr="001570EA" w14:paraId="1CD0742D" w14:textId="77777777" w:rsidTr="00BD2C4C">
        <w:trPr>
          <w:trHeight w:val="621"/>
        </w:trPr>
        <w:tc>
          <w:tcPr>
            <w:tcW w:w="2168" w:type="pct"/>
            <w:tcBorders>
              <w:top w:val="single" w:sz="8" w:space="0" w:color="auto"/>
              <w:left w:val="single" w:sz="8" w:space="0" w:color="auto"/>
              <w:bottom w:val="single" w:sz="8" w:space="0" w:color="auto"/>
              <w:right w:val="single" w:sz="8" w:space="0" w:color="auto"/>
            </w:tcBorders>
            <w:vAlign w:val="center"/>
          </w:tcPr>
          <w:p w14:paraId="5471CAD3" w14:textId="0F7409DE" w:rsidR="00FA5174" w:rsidRPr="001570EA" w:rsidRDefault="00FA5174" w:rsidP="00597241">
            <w:pPr>
              <w:keepNext/>
              <w:tabs>
                <w:tab w:val="left" w:pos="720"/>
              </w:tabs>
              <w:rPr>
                <w:rFonts w:cs="Arial"/>
                <w:sz w:val="18"/>
                <w:szCs w:val="18"/>
              </w:rPr>
            </w:pPr>
            <w:r w:rsidRPr="001570EA">
              <w:rPr>
                <w:rFonts w:cs="Arial"/>
                <w:i/>
                <w:sz w:val="18"/>
                <w:szCs w:val="18"/>
              </w:rPr>
              <w:t>LED</w:t>
            </w:r>
            <w:r w:rsidRPr="001570EA">
              <w:rPr>
                <w:rFonts w:cs="Arial"/>
                <w:i/>
                <w:sz w:val="18"/>
                <w:szCs w:val="18"/>
                <w:vertAlign w:val="subscript"/>
              </w:rPr>
              <w:t>mini</w:t>
            </w:r>
            <w:r w:rsidRPr="001570EA">
              <w:rPr>
                <w:rFonts w:cs="Arial"/>
                <w:sz w:val="18"/>
                <w:szCs w:val="18"/>
              </w:rPr>
              <w:t xml:space="preserve">, </w:t>
            </w:r>
            <w:r w:rsidRPr="001570EA">
              <w:t>Wattage of LED mini bulbs</w:t>
            </w:r>
          </w:p>
        </w:tc>
        <w:tc>
          <w:tcPr>
            <w:tcW w:w="924" w:type="pct"/>
            <w:tcBorders>
              <w:top w:val="single" w:sz="8" w:space="0" w:color="auto"/>
              <w:left w:val="nil"/>
              <w:bottom w:val="single" w:sz="8" w:space="0" w:color="auto"/>
              <w:right w:val="single" w:sz="8" w:space="0" w:color="auto"/>
            </w:tcBorders>
            <w:vAlign w:val="center"/>
          </w:tcPr>
          <w:p w14:paraId="2C7EEDC0" w14:textId="77777777" w:rsidR="00FA5174" w:rsidRPr="001570EA" w:rsidRDefault="00FA5174" w:rsidP="00597241">
            <w:pPr>
              <w:keepNext/>
              <w:tabs>
                <w:tab w:val="left" w:pos="720"/>
              </w:tabs>
              <w:jc w:val="center"/>
              <w:rPr>
                <w:rFonts w:cs="Arial"/>
                <w:i/>
                <w:sz w:val="18"/>
                <w:szCs w:val="18"/>
              </w:rPr>
            </w:pPr>
            <w:r w:rsidRPr="001570EA">
              <w:rPr>
                <w:rFonts w:cs="Arial"/>
                <w:i/>
                <w:sz w:val="18"/>
                <w:szCs w:val="18"/>
              </w:rPr>
              <w:t>Watts/Bulb</w:t>
            </w:r>
          </w:p>
        </w:tc>
        <w:tc>
          <w:tcPr>
            <w:tcW w:w="1243" w:type="pct"/>
            <w:tcBorders>
              <w:top w:val="single" w:sz="8" w:space="0" w:color="auto"/>
              <w:left w:val="nil"/>
              <w:bottom w:val="single" w:sz="8" w:space="0" w:color="auto"/>
              <w:right w:val="single" w:sz="8" w:space="0" w:color="auto"/>
            </w:tcBorders>
            <w:vAlign w:val="center"/>
          </w:tcPr>
          <w:p w14:paraId="1C73A436" w14:textId="77777777" w:rsidR="00FA5174" w:rsidRPr="001570EA" w:rsidRDefault="00FA5174" w:rsidP="00597241">
            <w:pPr>
              <w:keepNext/>
              <w:tabs>
                <w:tab w:val="left" w:pos="720"/>
              </w:tabs>
              <w:jc w:val="center"/>
              <w:rPr>
                <w:rFonts w:cs="Arial"/>
                <w:sz w:val="18"/>
                <w:szCs w:val="18"/>
              </w:rPr>
            </w:pPr>
            <w:r w:rsidRPr="001570EA">
              <w:rPr>
                <w:rFonts w:cs="Arial"/>
                <w:sz w:val="18"/>
                <w:szCs w:val="18"/>
              </w:rPr>
              <w:t>0.08</w:t>
            </w:r>
          </w:p>
        </w:tc>
        <w:tc>
          <w:tcPr>
            <w:tcW w:w="665" w:type="pct"/>
            <w:tcBorders>
              <w:top w:val="single" w:sz="8" w:space="0" w:color="auto"/>
              <w:left w:val="single" w:sz="8" w:space="0" w:color="auto"/>
              <w:bottom w:val="single" w:sz="8" w:space="0" w:color="auto"/>
              <w:right w:val="single" w:sz="8" w:space="0" w:color="auto"/>
            </w:tcBorders>
            <w:vAlign w:val="center"/>
          </w:tcPr>
          <w:p w14:paraId="1B6F6DB5" w14:textId="77777777" w:rsidR="00FA5174" w:rsidRPr="001570EA" w:rsidRDefault="00FA5174" w:rsidP="00597241">
            <w:pPr>
              <w:keepNext/>
              <w:tabs>
                <w:tab w:val="left" w:pos="720"/>
              </w:tabs>
              <w:jc w:val="center"/>
              <w:rPr>
                <w:rFonts w:cs="Arial"/>
                <w:sz w:val="18"/>
                <w:szCs w:val="18"/>
              </w:rPr>
            </w:pPr>
            <w:r w:rsidRPr="001570EA">
              <w:rPr>
                <w:rFonts w:cs="Arial"/>
                <w:sz w:val="18"/>
                <w:szCs w:val="18"/>
              </w:rPr>
              <w:t>1</w:t>
            </w:r>
          </w:p>
        </w:tc>
      </w:tr>
      <w:tr w:rsidR="00FA5174" w:rsidRPr="001570EA" w14:paraId="1F3D2FB6" w14:textId="77777777" w:rsidTr="00BD2C4C">
        <w:trPr>
          <w:trHeight w:val="621"/>
        </w:trPr>
        <w:tc>
          <w:tcPr>
            <w:tcW w:w="2168" w:type="pct"/>
            <w:tcBorders>
              <w:top w:val="single" w:sz="8" w:space="0" w:color="auto"/>
              <w:left w:val="single" w:sz="8" w:space="0" w:color="auto"/>
              <w:bottom w:val="single" w:sz="8" w:space="0" w:color="auto"/>
              <w:right w:val="single" w:sz="8" w:space="0" w:color="auto"/>
            </w:tcBorders>
            <w:vAlign w:val="center"/>
          </w:tcPr>
          <w:p w14:paraId="04059767" w14:textId="71AB52ED" w:rsidR="00FA5174" w:rsidRPr="001570EA" w:rsidRDefault="00FA5174" w:rsidP="00597241">
            <w:pPr>
              <w:keepNext/>
              <w:tabs>
                <w:tab w:val="left" w:pos="720"/>
              </w:tabs>
              <w:rPr>
                <w:rFonts w:cs="Arial"/>
                <w:sz w:val="18"/>
                <w:szCs w:val="18"/>
              </w:rPr>
            </w:pPr>
            <w:r w:rsidRPr="001570EA">
              <w:rPr>
                <w:rFonts w:cs="Arial"/>
                <w:i/>
                <w:sz w:val="18"/>
                <w:szCs w:val="18"/>
              </w:rPr>
              <w:t>INC</w:t>
            </w:r>
            <w:r w:rsidRPr="001570EA">
              <w:rPr>
                <w:rFonts w:cs="Arial"/>
                <w:i/>
                <w:sz w:val="18"/>
                <w:szCs w:val="18"/>
                <w:vertAlign w:val="subscript"/>
              </w:rPr>
              <w:t>mini</w:t>
            </w:r>
            <w:r w:rsidRPr="001570EA">
              <w:rPr>
                <w:rFonts w:cs="Arial"/>
                <w:sz w:val="18"/>
                <w:szCs w:val="18"/>
              </w:rPr>
              <w:t xml:space="preserve">, </w:t>
            </w:r>
            <w:r w:rsidRPr="001570EA">
              <w:rPr>
                <w:sz w:val="18"/>
                <w:szCs w:val="18"/>
              </w:rPr>
              <w:t>Wattage of incandescent mini bulbs</w:t>
            </w:r>
          </w:p>
        </w:tc>
        <w:tc>
          <w:tcPr>
            <w:tcW w:w="924" w:type="pct"/>
            <w:tcBorders>
              <w:top w:val="single" w:sz="8" w:space="0" w:color="auto"/>
              <w:left w:val="nil"/>
              <w:bottom w:val="single" w:sz="8" w:space="0" w:color="auto"/>
              <w:right w:val="single" w:sz="8" w:space="0" w:color="auto"/>
            </w:tcBorders>
            <w:vAlign w:val="center"/>
          </w:tcPr>
          <w:p w14:paraId="658DEE9B" w14:textId="77777777" w:rsidR="00FA5174" w:rsidRPr="001570EA" w:rsidRDefault="00FA5174" w:rsidP="00597241">
            <w:pPr>
              <w:keepNext/>
              <w:tabs>
                <w:tab w:val="left" w:pos="720"/>
              </w:tabs>
              <w:jc w:val="center"/>
              <w:rPr>
                <w:rFonts w:cs="Arial"/>
                <w:i/>
                <w:sz w:val="18"/>
                <w:szCs w:val="18"/>
              </w:rPr>
            </w:pPr>
            <w:r w:rsidRPr="001570EA">
              <w:rPr>
                <w:rFonts w:cs="Arial"/>
                <w:i/>
                <w:sz w:val="18"/>
                <w:szCs w:val="18"/>
              </w:rPr>
              <w:t>Watts/Bulb</w:t>
            </w:r>
          </w:p>
        </w:tc>
        <w:tc>
          <w:tcPr>
            <w:tcW w:w="1243" w:type="pct"/>
            <w:tcBorders>
              <w:top w:val="single" w:sz="8" w:space="0" w:color="auto"/>
              <w:left w:val="nil"/>
              <w:bottom w:val="single" w:sz="8" w:space="0" w:color="auto"/>
              <w:right w:val="single" w:sz="8" w:space="0" w:color="auto"/>
            </w:tcBorders>
            <w:vAlign w:val="center"/>
          </w:tcPr>
          <w:p w14:paraId="1107A640" w14:textId="329CD04A" w:rsidR="00FA5174" w:rsidRPr="001570EA" w:rsidRDefault="00FA5174" w:rsidP="00597241">
            <w:pPr>
              <w:keepNext/>
              <w:tabs>
                <w:tab w:val="left" w:pos="720"/>
              </w:tabs>
              <w:jc w:val="center"/>
              <w:rPr>
                <w:rFonts w:cs="Arial"/>
                <w:sz w:val="18"/>
                <w:szCs w:val="18"/>
              </w:rPr>
            </w:pPr>
            <w:r w:rsidRPr="001570EA">
              <w:rPr>
                <w:rFonts w:cs="Arial"/>
                <w:sz w:val="18"/>
                <w:szCs w:val="18"/>
              </w:rPr>
              <w:t>0.</w:t>
            </w:r>
            <w:r w:rsidR="00CF44D4" w:rsidRPr="001570EA">
              <w:rPr>
                <w:rFonts w:cs="Arial"/>
                <w:sz w:val="18"/>
                <w:szCs w:val="18"/>
              </w:rPr>
              <w:t>35</w:t>
            </w:r>
          </w:p>
        </w:tc>
        <w:tc>
          <w:tcPr>
            <w:tcW w:w="665" w:type="pct"/>
            <w:tcBorders>
              <w:top w:val="single" w:sz="8" w:space="0" w:color="auto"/>
              <w:left w:val="single" w:sz="8" w:space="0" w:color="auto"/>
              <w:bottom w:val="single" w:sz="8" w:space="0" w:color="auto"/>
              <w:right w:val="single" w:sz="8" w:space="0" w:color="auto"/>
            </w:tcBorders>
            <w:vAlign w:val="center"/>
          </w:tcPr>
          <w:p w14:paraId="6D8194FA" w14:textId="77777777" w:rsidR="00FA5174" w:rsidRPr="001570EA" w:rsidRDefault="00FA5174" w:rsidP="00597241">
            <w:pPr>
              <w:keepNext/>
              <w:tabs>
                <w:tab w:val="left" w:pos="720"/>
              </w:tabs>
              <w:jc w:val="center"/>
              <w:rPr>
                <w:rFonts w:cs="Arial"/>
                <w:sz w:val="18"/>
                <w:szCs w:val="18"/>
              </w:rPr>
            </w:pPr>
            <w:r w:rsidRPr="001570EA">
              <w:rPr>
                <w:rFonts w:cs="Arial"/>
                <w:sz w:val="18"/>
                <w:szCs w:val="18"/>
              </w:rPr>
              <w:t>1</w:t>
            </w:r>
          </w:p>
        </w:tc>
      </w:tr>
      <w:tr w:rsidR="00FA5174" w:rsidRPr="001570EA" w14:paraId="30268AB0" w14:textId="77777777" w:rsidTr="00BD2C4C">
        <w:trPr>
          <w:trHeight w:val="621"/>
        </w:trPr>
        <w:tc>
          <w:tcPr>
            <w:tcW w:w="2168" w:type="pct"/>
            <w:tcBorders>
              <w:top w:val="single" w:sz="8" w:space="0" w:color="auto"/>
              <w:left w:val="single" w:sz="8" w:space="0" w:color="auto"/>
              <w:bottom w:val="single" w:sz="8" w:space="0" w:color="auto"/>
              <w:right w:val="single" w:sz="8" w:space="0" w:color="auto"/>
            </w:tcBorders>
            <w:vAlign w:val="center"/>
          </w:tcPr>
          <w:p w14:paraId="095C1A62" w14:textId="549940A9" w:rsidR="00FA5174" w:rsidRPr="001570EA" w:rsidRDefault="00FA5174" w:rsidP="00597241">
            <w:pPr>
              <w:keepNext/>
              <w:tabs>
                <w:tab w:val="left" w:pos="720"/>
              </w:tabs>
              <w:rPr>
                <w:rFonts w:cs="Arial"/>
                <w:sz w:val="18"/>
                <w:szCs w:val="18"/>
              </w:rPr>
            </w:pPr>
            <w:r w:rsidRPr="001570EA">
              <w:rPr>
                <w:rFonts w:cs="Arial"/>
                <w:i/>
                <w:sz w:val="18"/>
                <w:szCs w:val="18"/>
              </w:rPr>
              <w:t>LED</w:t>
            </w:r>
            <w:r w:rsidRPr="001570EA">
              <w:rPr>
                <w:rFonts w:cs="Arial"/>
                <w:i/>
                <w:sz w:val="18"/>
                <w:szCs w:val="18"/>
                <w:vertAlign w:val="subscript"/>
              </w:rPr>
              <w:t>C7</w:t>
            </w:r>
            <w:r w:rsidRPr="001570EA">
              <w:rPr>
                <w:rFonts w:cs="Arial"/>
                <w:sz w:val="18"/>
                <w:szCs w:val="18"/>
              </w:rPr>
              <w:t xml:space="preserve">, </w:t>
            </w:r>
            <w:r w:rsidRPr="001570EA">
              <w:rPr>
                <w:sz w:val="18"/>
                <w:szCs w:val="18"/>
              </w:rPr>
              <w:t>Wattage of LED C7 bulbs</w:t>
            </w:r>
          </w:p>
        </w:tc>
        <w:tc>
          <w:tcPr>
            <w:tcW w:w="924" w:type="pct"/>
            <w:tcBorders>
              <w:top w:val="single" w:sz="8" w:space="0" w:color="auto"/>
              <w:left w:val="nil"/>
              <w:bottom w:val="single" w:sz="8" w:space="0" w:color="auto"/>
              <w:right w:val="single" w:sz="8" w:space="0" w:color="auto"/>
            </w:tcBorders>
            <w:vAlign w:val="center"/>
          </w:tcPr>
          <w:p w14:paraId="2D6CDD19" w14:textId="77777777" w:rsidR="00FA5174" w:rsidRPr="001570EA" w:rsidRDefault="00FA5174" w:rsidP="00597241">
            <w:pPr>
              <w:keepNext/>
              <w:tabs>
                <w:tab w:val="left" w:pos="720"/>
              </w:tabs>
              <w:jc w:val="center"/>
              <w:rPr>
                <w:rFonts w:cs="Arial"/>
                <w:i/>
                <w:sz w:val="18"/>
                <w:szCs w:val="18"/>
              </w:rPr>
            </w:pPr>
            <w:r w:rsidRPr="001570EA">
              <w:rPr>
                <w:rFonts w:cs="Arial"/>
                <w:i/>
                <w:sz w:val="18"/>
                <w:szCs w:val="18"/>
              </w:rPr>
              <w:t>Watts/Bulb</w:t>
            </w:r>
          </w:p>
        </w:tc>
        <w:tc>
          <w:tcPr>
            <w:tcW w:w="1243" w:type="pct"/>
            <w:tcBorders>
              <w:top w:val="single" w:sz="8" w:space="0" w:color="auto"/>
              <w:left w:val="nil"/>
              <w:bottom w:val="single" w:sz="8" w:space="0" w:color="auto"/>
              <w:right w:val="single" w:sz="8" w:space="0" w:color="auto"/>
            </w:tcBorders>
            <w:vAlign w:val="center"/>
          </w:tcPr>
          <w:p w14:paraId="446AC41A" w14:textId="44EF7149" w:rsidR="00FA5174" w:rsidRPr="001570EA" w:rsidRDefault="00FA5174" w:rsidP="00597241">
            <w:pPr>
              <w:keepNext/>
              <w:tabs>
                <w:tab w:val="left" w:pos="720"/>
              </w:tabs>
              <w:jc w:val="center"/>
              <w:rPr>
                <w:rFonts w:cs="Arial"/>
                <w:sz w:val="18"/>
                <w:szCs w:val="18"/>
              </w:rPr>
            </w:pPr>
            <w:r w:rsidRPr="001570EA">
              <w:rPr>
                <w:rFonts w:cs="Arial"/>
                <w:sz w:val="18"/>
                <w:szCs w:val="18"/>
              </w:rPr>
              <w:t>0.</w:t>
            </w:r>
            <w:r w:rsidR="004D1B05" w:rsidRPr="001570EA">
              <w:rPr>
                <w:rFonts w:cs="Arial"/>
                <w:sz w:val="18"/>
                <w:szCs w:val="18"/>
              </w:rPr>
              <w:t>08</w:t>
            </w:r>
          </w:p>
        </w:tc>
        <w:tc>
          <w:tcPr>
            <w:tcW w:w="665" w:type="pct"/>
            <w:tcBorders>
              <w:top w:val="single" w:sz="8" w:space="0" w:color="auto"/>
              <w:left w:val="single" w:sz="8" w:space="0" w:color="auto"/>
              <w:bottom w:val="single" w:sz="8" w:space="0" w:color="auto"/>
              <w:right w:val="single" w:sz="8" w:space="0" w:color="auto"/>
            </w:tcBorders>
            <w:vAlign w:val="center"/>
          </w:tcPr>
          <w:p w14:paraId="4EF1DFE1" w14:textId="77777777" w:rsidR="00FA5174" w:rsidRPr="001570EA" w:rsidRDefault="00FA5174" w:rsidP="00597241">
            <w:pPr>
              <w:keepNext/>
              <w:tabs>
                <w:tab w:val="left" w:pos="720"/>
              </w:tabs>
              <w:jc w:val="center"/>
              <w:rPr>
                <w:rFonts w:cs="Arial"/>
                <w:sz w:val="18"/>
                <w:szCs w:val="18"/>
              </w:rPr>
            </w:pPr>
            <w:r w:rsidRPr="001570EA">
              <w:rPr>
                <w:rFonts w:cs="Arial"/>
                <w:sz w:val="18"/>
                <w:szCs w:val="18"/>
              </w:rPr>
              <w:t>1</w:t>
            </w:r>
          </w:p>
        </w:tc>
      </w:tr>
      <w:tr w:rsidR="00FA5174" w:rsidRPr="001570EA" w14:paraId="020DC961" w14:textId="77777777" w:rsidTr="00BD2C4C">
        <w:trPr>
          <w:trHeight w:val="621"/>
        </w:trPr>
        <w:tc>
          <w:tcPr>
            <w:tcW w:w="2168" w:type="pct"/>
            <w:tcBorders>
              <w:top w:val="single" w:sz="8" w:space="0" w:color="auto"/>
              <w:left w:val="single" w:sz="8" w:space="0" w:color="auto"/>
              <w:bottom w:val="single" w:sz="8" w:space="0" w:color="auto"/>
              <w:right w:val="single" w:sz="8" w:space="0" w:color="auto"/>
            </w:tcBorders>
            <w:vAlign w:val="center"/>
          </w:tcPr>
          <w:p w14:paraId="51A35482" w14:textId="16528942" w:rsidR="00FA5174" w:rsidRPr="001570EA" w:rsidRDefault="00FA5174" w:rsidP="00597241">
            <w:pPr>
              <w:keepNext/>
              <w:tabs>
                <w:tab w:val="left" w:pos="720"/>
              </w:tabs>
              <w:rPr>
                <w:rFonts w:cs="Arial"/>
                <w:sz w:val="18"/>
                <w:szCs w:val="18"/>
              </w:rPr>
            </w:pPr>
            <w:r w:rsidRPr="001570EA">
              <w:rPr>
                <w:rFonts w:cs="Arial"/>
                <w:i/>
                <w:sz w:val="18"/>
                <w:szCs w:val="18"/>
              </w:rPr>
              <w:t>INC</w:t>
            </w:r>
            <w:r w:rsidRPr="001570EA">
              <w:rPr>
                <w:rFonts w:cs="Arial"/>
                <w:i/>
                <w:sz w:val="18"/>
                <w:szCs w:val="18"/>
                <w:vertAlign w:val="subscript"/>
              </w:rPr>
              <w:t>C7</w:t>
            </w:r>
            <w:r w:rsidRPr="001570EA">
              <w:rPr>
                <w:rFonts w:cs="Arial"/>
                <w:sz w:val="18"/>
                <w:szCs w:val="18"/>
              </w:rPr>
              <w:t xml:space="preserve">, </w:t>
            </w:r>
            <w:r w:rsidRPr="001570EA">
              <w:rPr>
                <w:sz w:val="18"/>
                <w:szCs w:val="18"/>
              </w:rPr>
              <w:t>Wattage of incandescent C7bulbs</w:t>
            </w:r>
          </w:p>
        </w:tc>
        <w:tc>
          <w:tcPr>
            <w:tcW w:w="924" w:type="pct"/>
            <w:tcBorders>
              <w:top w:val="single" w:sz="8" w:space="0" w:color="auto"/>
              <w:left w:val="nil"/>
              <w:bottom w:val="single" w:sz="8" w:space="0" w:color="auto"/>
              <w:right w:val="single" w:sz="8" w:space="0" w:color="auto"/>
            </w:tcBorders>
            <w:vAlign w:val="center"/>
          </w:tcPr>
          <w:p w14:paraId="01EDDF83" w14:textId="77777777" w:rsidR="00FA5174" w:rsidRPr="001570EA" w:rsidRDefault="00FA5174" w:rsidP="00597241">
            <w:pPr>
              <w:keepNext/>
              <w:tabs>
                <w:tab w:val="left" w:pos="720"/>
              </w:tabs>
              <w:jc w:val="center"/>
              <w:rPr>
                <w:rFonts w:cs="Arial"/>
                <w:i/>
                <w:sz w:val="18"/>
                <w:szCs w:val="18"/>
              </w:rPr>
            </w:pPr>
            <w:r w:rsidRPr="001570EA">
              <w:rPr>
                <w:rFonts w:cs="Arial"/>
                <w:i/>
                <w:sz w:val="18"/>
                <w:szCs w:val="18"/>
              </w:rPr>
              <w:t>Watts/Bulb</w:t>
            </w:r>
          </w:p>
        </w:tc>
        <w:tc>
          <w:tcPr>
            <w:tcW w:w="1243" w:type="pct"/>
            <w:tcBorders>
              <w:top w:val="single" w:sz="8" w:space="0" w:color="auto"/>
              <w:left w:val="nil"/>
              <w:bottom w:val="single" w:sz="8" w:space="0" w:color="auto"/>
              <w:right w:val="single" w:sz="8" w:space="0" w:color="auto"/>
            </w:tcBorders>
            <w:vAlign w:val="center"/>
          </w:tcPr>
          <w:p w14:paraId="1DA467BA" w14:textId="30D9E585" w:rsidR="00FA5174" w:rsidRPr="001570EA" w:rsidRDefault="004D1B05" w:rsidP="00597241">
            <w:pPr>
              <w:keepNext/>
              <w:tabs>
                <w:tab w:val="left" w:pos="720"/>
              </w:tabs>
              <w:jc w:val="center"/>
              <w:rPr>
                <w:rFonts w:cs="Arial"/>
                <w:sz w:val="18"/>
                <w:szCs w:val="18"/>
              </w:rPr>
            </w:pPr>
            <w:r w:rsidRPr="001570EA">
              <w:rPr>
                <w:rFonts w:cs="Arial"/>
                <w:sz w:val="18"/>
                <w:szCs w:val="18"/>
              </w:rPr>
              <w:t>5.25</w:t>
            </w:r>
          </w:p>
        </w:tc>
        <w:tc>
          <w:tcPr>
            <w:tcW w:w="665" w:type="pct"/>
            <w:tcBorders>
              <w:top w:val="single" w:sz="8" w:space="0" w:color="auto"/>
              <w:left w:val="single" w:sz="8" w:space="0" w:color="auto"/>
              <w:bottom w:val="single" w:sz="8" w:space="0" w:color="auto"/>
              <w:right w:val="single" w:sz="8" w:space="0" w:color="auto"/>
            </w:tcBorders>
            <w:vAlign w:val="center"/>
          </w:tcPr>
          <w:p w14:paraId="472C1AD2" w14:textId="77777777" w:rsidR="00FA5174" w:rsidRPr="001570EA" w:rsidRDefault="00FA5174" w:rsidP="00597241">
            <w:pPr>
              <w:keepNext/>
              <w:tabs>
                <w:tab w:val="left" w:pos="720"/>
              </w:tabs>
              <w:jc w:val="center"/>
              <w:rPr>
                <w:rFonts w:cs="Arial"/>
                <w:sz w:val="18"/>
                <w:szCs w:val="18"/>
              </w:rPr>
            </w:pPr>
            <w:r w:rsidRPr="001570EA">
              <w:rPr>
                <w:rFonts w:cs="Arial"/>
                <w:sz w:val="18"/>
                <w:szCs w:val="18"/>
              </w:rPr>
              <w:t>1</w:t>
            </w:r>
          </w:p>
        </w:tc>
      </w:tr>
      <w:tr w:rsidR="00FA5174" w:rsidRPr="001570EA" w14:paraId="19F80B71" w14:textId="77777777" w:rsidTr="00BD2C4C">
        <w:trPr>
          <w:trHeight w:val="621"/>
        </w:trPr>
        <w:tc>
          <w:tcPr>
            <w:tcW w:w="2168" w:type="pct"/>
            <w:tcBorders>
              <w:top w:val="single" w:sz="8" w:space="0" w:color="auto"/>
              <w:left w:val="single" w:sz="8" w:space="0" w:color="auto"/>
              <w:bottom w:val="single" w:sz="8" w:space="0" w:color="auto"/>
              <w:right w:val="single" w:sz="8" w:space="0" w:color="auto"/>
            </w:tcBorders>
            <w:vAlign w:val="center"/>
          </w:tcPr>
          <w:p w14:paraId="65F32E9B" w14:textId="77687819" w:rsidR="00FA5174" w:rsidRPr="001570EA" w:rsidRDefault="00FA5174" w:rsidP="00597241">
            <w:pPr>
              <w:keepNext/>
              <w:tabs>
                <w:tab w:val="left" w:pos="720"/>
              </w:tabs>
              <w:rPr>
                <w:rFonts w:cs="Arial"/>
                <w:sz w:val="18"/>
                <w:szCs w:val="18"/>
              </w:rPr>
            </w:pPr>
            <w:r w:rsidRPr="001570EA">
              <w:rPr>
                <w:rFonts w:cs="Arial"/>
                <w:i/>
                <w:sz w:val="18"/>
                <w:szCs w:val="18"/>
              </w:rPr>
              <w:t>LED</w:t>
            </w:r>
            <w:r w:rsidRPr="001570EA">
              <w:rPr>
                <w:rFonts w:cs="Arial"/>
                <w:i/>
                <w:sz w:val="18"/>
                <w:szCs w:val="18"/>
                <w:vertAlign w:val="subscript"/>
              </w:rPr>
              <w:t>C9</w:t>
            </w:r>
            <w:r w:rsidRPr="001570EA">
              <w:rPr>
                <w:rFonts w:cs="Arial"/>
                <w:sz w:val="18"/>
                <w:szCs w:val="18"/>
              </w:rPr>
              <w:t xml:space="preserve">, </w:t>
            </w:r>
            <w:r w:rsidRPr="001570EA">
              <w:rPr>
                <w:sz w:val="18"/>
                <w:szCs w:val="18"/>
              </w:rPr>
              <w:t>Wattage of LED C9 bulbs</w:t>
            </w:r>
          </w:p>
        </w:tc>
        <w:tc>
          <w:tcPr>
            <w:tcW w:w="924" w:type="pct"/>
            <w:tcBorders>
              <w:top w:val="single" w:sz="8" w:space="0" w:color="auto"/>
              <w:left w:val="nil"/>
              <w:bottom w:val="single" w:sz="8" w:space="0" w:color="auto"/>
              <w:right w:val="single" w:sz="8" w:space="0" w:color="auto"/>
            </w:tcBorders>
            <w:vAlign w:val="center"/>
          </w:tcPr>
          <w:p w14:paraId="3D4FDC22" w14:textId="77777777" w:rsidR="00FA5174" w:rsidRPr="001570EA" w:rsidRDefault="00FA5174" w:rsidP="00597241">
            <w:pPr>
              <w:keepNext/>
              <w:tabs>
                <w:tab w:val="left" w:pos="720"/>
              </w:tabs>
              <w:jc w:val="center"/>
              <w:rPr>
                <w:rFonts w:cs="Arial"/>
                <w:i/>
                <w:sz w:val="18"/>
                <w:szCs w:val="18"/>
              </w:rPr>
            </w:pPr>
            <w:r w:rsidRPr="001570EA">
              <w:rPr>
                <w:rFonts w:cs="Arial"/>
                <w:i/>
                <w:sz w:val="18"/>
                <w:szCs w:val="18"/>
              </w:rPr>
              <w:t>Watts/Bulb</w:t>
            </w:r>
          </w:p>
        </w:tc>
        <w:tc>
          <w:tcPr>
            <w:tcW w:w="1243" w:type="pct"/>
            <w:tcBorders>
              <w:top w:val="single" w:sz="8" w:space="0" w:color="auto"/>
              <w:left w:val="nil"/>
              <w:bottom w:val="single" w:sz="8" w:space="0" w:color="auto"/>
              <w:right w:val="single" w:sz="8" w:space="0" w:color="auto"/>
            </w:tcBorders>
            <w:vAlign w:val="center"/>
          </w:tcPr>
          <w:p w14:paraId="3BBCDD71" w14:textId="3246FDA7" w:rsidR="00FA5174" w:rsidRPr="001570EA" w:rsidRDefault="00230DC3" w:rsidP="00597241">
            <w:pPr>
              <w:keepNext/>
              <w:tabs>
                <w:tab w:val="left" w:pos="720"/>
              </w:tabs>
              <w:jc w:val="center"/>
              <w:rPr>
                <w:rFonts w:cs="Arial"/>
                <w:sz w:val="18"/>
                <w:szCs w:val="18"/>
              </w:rPr>
            </w:pPr>
            <w:r w:rsidRPr="001570EA">
              <w:rPr>
                <w:rFonts w:cs="Arial"/>
                <w:sz w:val="18"/>
                <w:szCs w:val="18"/>
              </w:rPr>
              <w:t>0.28</w:t>
            </w:r>
          </w:p>
        </w:tc>
        <w:tc>
          <w:tcPr>
            <w:tcW w:w="665" w:type="pct"/>
            <w:tcBorders>
              <w:top w:val="single" w:sz="8" w:space="0" w:color="auto"/>
              <w:left w:val="single" w:sz="8" w:space="0" w:color="auto"/>
              <w:bottom w:val="single" w:sz="8" w:space="0" w:color="auto"/>
              <w:right w:val="single" w:sz="8" w:space="0" w:color="auto"/>
            </w:tcBorders>
            <w:vAlign w:val="center"/>
          </w:tcPr>
          <w:p w14:paraId="578810C4" w14:textId="77777777" w:rsidR="00FA5174" w:rsidRPr="001570EA" w:rsidRDefault="00FA5174" w:rsidP="00597241">
            <w:pPr>
              <w:keepNext/>
              <w:tabs>
                <w:tab w:val="left" w:pos="720"/>
              </w:tabs>
              <w:jc w:val="center"/>
              <w:rPr>
                <w:rFonts w:cs="Arial"/>
                <w:sz w:val="18"/>
                <w:szCs w:val="18"/>
              </w:rPr>
            </w:pPr>
            <w:r w:rsidRPr="001570EA">
              <w:rPr>
                <w:rFonts w:cs="Arial"/>
                <w:sz w:val="18"/>
                <w:szCs w:val="18"/>
              </w:rPr>
              <w:t>1</w:t>
            </w:r>
          </w:p>
        </w:tc>
      </w:tr>
      <w:tr w:rsidR="00FA5174" w:rsidRPr="001570EA" w14:paraId="0BE2C533" w14:textId="77777777" w:rsidTr="00BD2C4C">
        <w:trPr>
          <w:trHeight w:val="621"/>
        </w:trPr>
        <w:tc>
          <w:tcPr>
            <w:tcW w:w="2168" w:type="pct"/>
            <w:tcBorders>
              <w:top w:val="single" w:sz="8" w:space="0" w:color="auto"/>
              <w:left w:val="single" w:sz="8" w:space="0" w:color="auto"/>
              <w:bottom w:val="single" w:sz="8" w:space="0" w:color="auto"/>
              <w:right w:val="single" w:sz="8" w:space="0" w:color="auto"/>
            </w:tcBorders>
            <w:vAlign w:val="center"/>
          </w:tcPr>
          <w:p w14:paraId="5BDBB887" w14:textId="7DD45016" w:rsidR="00FA5174" w:rsidRPr="001570EA" w:rsidRDefault="00FA5174" w:rsidP="00597241">
            <w:pPr>
              <w:keepNext/>
              <w:tabs>
                <w:tab w:val="left" w:pos="720"/>
              </w:tabs>
              <w:rPr>
                <w:rFonts w:cs="Arial"/>
                <w:sz w:val="18"/>
                <w:szCs w:val="18"/>
              </w:rPr>
            </w:pPr>
            <w:r w:rsidRPr="001570EA">
              <w:rPr>
                <w:rFonts w:cs="Arial"/>
                <w:i/>
                <w:sz w:val="18"/>
                <w:szCs w:val="18"/>
              </w:rPr>
              <w:t>INC</w:t>
            </w:r>
            <w:r w:rsidRPr="001570EA">
              <w:rPr>
                <w:rFonts w:cs="Arial"/>
                <w:i/>
                <w:sz w:val="18"/>
                <w:szCs w:val="18"/>
                <w:vertAlign w:val="subscript"/>
              </w:rPr>
              <w:t>C9</w:t>
            </w:r>
            <w:r w:rsidRPr="001570EA">
              <w:rPr>
                <w:rFonts w:cs="Arial"/>
                <w:sz w:val="18"/>
                <w:szCs w:val="18"/>
              </w:rPr>
              <w:t xml:space="preserve">, </w:t>
            </w:r>
            <w:r w:rsidRPr="001570EA">
              <w:rPr>
                <w:sz w:val="18"/>
                <w:szCs w:val="18"/>
              </w:rPr>
              <w:t>Wattage of incandescent C9 bulbs</w:t>
            </w:r>
          </w:p>
        </w:tc>
        <w:tc>
          <w:tcPr>
            <w:tcW w:w="924" w:type="pct"/>
            <w:tcBorders>
              <w:top w:val="single" w:sz="8" w:space="0" w:color="auto"/>
              <w:left w:val="nil"/>
              <w:bottom w:val="single" w:sz="8" w:space="0" w:color="auto"/>
              <w:right w:val="single" w:sz="8" w:space="0" w:color="auto"/>
            </w:tcBorders>
            <w:vAlign w:val="center"/>
          </w:tcPr>
          <w:p w14:paraId="17430204" w14:textId="77777777" w:rsidR="00FA5174" w:rsidRPr="001570EA" w:rsidRDefault="00FA5174" w:rsidP="00597241">
            <w:pPr>
              <w:keepNext/>
              <w:tabs>
                <w:tab w:val="left" w:pos="720"/>
              </w:tabs>
              <w:jc w:val="center"/>
              <w:rPr>
                <w:rFonts w:cs="Arial"/>
                <w:i/>
                <w:sz w:val="18"/>
                <w:szCs w:val="18"/>
              </w:rPr>
            </w:pPr>
            <w:r w:rsidRPr="001570EA">
              <w:rPr>
                <w:rFonts w:cs="Arial"/>
                <w:i/>
                <w:sz w:val="18"/>
                <w:szCs w:val="18"/>
              </w:rPr>
              <w:t>Watts/Bulb</w:t>
            </w:r>
          </w:p>
        </w:tc>
        <w:tc>
          <w:tcPr>
            <w:tcW w:w="1243" w:type="pct"/>
            <w:tcBorders>
              <w:top w:val="single" w:sz="8" w:space="0" w:color="auto"/>
              <w:left w:val="nil"/>
              <w:bottom w:val="single" w:sz="8" w:space="0" w:color="auto"/>
              <w:right w:val="single" w:sz="8" w:space="0" w:color="auto"/>
            </w:tcBorders>
            <w:vAlign w:val="center"/>
          </w:tcPr>
          <w:p w14:paraId="00B1074F" w14:textId="77777777" w:rsidR="00FA5174" w:rsidRPr="001570EA" w:rsidRDefault="00FA5174" w:rsidP="00597241">
            <w:pPr>
              <w:keepNext/>
              <w:tabs>
                <w:tab w:val="left" w:pos="720"/>
              </w:tabs>
              <w:jc w:val="center"/>
              <w:rPr>
                <w:rFonts w:cs="Arial"/>
                <w:sz w:val="18"/>
                <w:szCs w:val="18"/>
              </w:rPr>
            </w:pPr>
            <w:r w:rsidRPr="001570EA">
              <w:rPr>
                <w:rFonts w:cs="Arial"/>
                <w:sz w:val="18"/>
                <w:szCs w:val="18"/>
              </w:rPr>
              <w:t>7.0</w:t>
            </w:r>
          </w:p>
        </w:tc>
        <w:tc>
          <w:tcPr>
            <w:tcW w:w="665" w:type="pct"/>
            <w:tcBorders>
              <w:top w:val="single" w:sz="8" w:space="0" w:color="auto"/>
              <w:left w:val="single" w:sz="8" w:space="0" w:color="auto"/>
              <w:bottom w:val="single" w:sz="8" w:space="0" w:color="auto"/>
              <w:right w:val="single" w:sz="8" w:space="0" w:color="auto"/>
            </w:tcBorders>
            <w:vAlign w:val="center"/>
          </w:tcPr>
          <w:p w14:paraId="2272097D" w14:textId="77777777" w:rsidR="00FA5174" w:rsidRPr="001570EA" w:rsidRDefault="00FA5174" w:rsidP="00597241">
            <w:pPr>
              <w:keepNext/>
              <w:tabs>
                <w:tab w:val="left" w:pos="720"/>
              </w:tabs>
              <w:jc w:val="center"/>
              <w:rPr>
                <w:rFonts w:cs="Arial"/>
                <w:sz w:val="18"/>
                <w:szCs w:val="18"/>
              </w:rPr>
            </w:pPr>
            <w:r w:rsidRPr="001570EA">
              <w:rPr>
                <w:rFonts w:cs="Arial"/>
                <w:sz w:val="18"/>
                <w:szCs w:val="18"/>
              </w:rPr>
              <w:t>1</w:t>
            </w:r>
          </w:p>
        </w:tc>
      </w:tr>
      <w:tr w:rsidR="00623E78" w:rsidRPr="001570EA" w14:paraId="0F58B4B0" w14:textId="77777777" w:rsidTr="008A6654">
        <w:trPr>
          <w:trHeight w:val="621"/>
        </w:trPr>
        <w:tc>
          <w:tcPr>
            <w:tcW w:w="2168" w:type="pct"/>
            <w:tcBorders>
              <w:top w:val="single" w:sz="8" w:space="0" w:color="auto"/>
              <w:left w:val="single" w:sz="8" w:space="0" w:color="auto"/>
              <w:bottom w:val="single" w:sz="8" w:space="0" w:color="auto"/>
              <w:right w:val="single" w:sz="8" w:space="0" w:color="auto"/>
            </w:tcBorders>
            <w:vAlign w:val="center"/>
          </w:tcPr>
          <w:p w14:paraId="15B3EAC4" w14:textId="551169AE" w:rsidR="00623E78" w:rsidRPr="001570EA" w:rsidRDefault="00623E78" w:rsidP="00597241">
            <w:pPr>
              <w:keepNext/>
              <w:tabs>
                <w:tab w:val="left" w:pos="720"/>
              </w:tabs>
              <w:rPr>
                <w:rFonts w:cs="Arial"/>
                <w:sz w:val="18"/>
                <w:szCs w:val="18"/>
              </w:rPr>
            </w:pPr>
            <w:r w:rsidRPr="001570EA">
              <w:rPr>
                <w:rFonts w:cs="Arial"/>
                <w:i/>
                <w:sz w:val="18"/>
                <w:szCs w:val="18"/>
              </w:rPr>
              <w:t>%</w:t>
            </w:r>
            <w:r w:rsidRPr="001570EA">
              <w:rPr>
                <w:rFonts w:cs="Arial"/>
                <w:i/>
                <w:sz w:val="18"/>
                <w:szCs w:val="18"/>
                <w:vertAlign w:val="subscript"/>
              </w:rPr>
              <w:t xml:space="preserve">Mini, </w:t>
            </w:r>
            <w:r w:rsidRPr="001570EA">
              <w:rPr>
                <w:rFonts w:cs="Arial"/>
                <w:sz w:val="18"/>
                <w:szCs w:val="18"/>
              </w:rPr>
              <w:t>Percentage of holiday lights that are “mini”</w:t>
            </w:r>
          </w:p>
        </w:tc>
        <w:tc>
          <w:tcPr>
            <w:tcW w:w="924" w:type="pct"/>
            <w:tcBorders>
              <w:top w:val="single" w:sz="8" w:space="0" w:color="auto"/>
              <w:left w:val="nil"/>
              <w:bottom w:val="single" w:sz="8" w:space="0" w:color="auto"/>
              <w:right w:val="single" w:sz="8" w:space="0" w:color="auto"/>
            </w:tcBorders>
            <w:vAlign w:val="center"/>
          </w:tcPr>
          <w:p w14:paraId="324229FF" w14:textId="77777777" w:rsidR="00623E78" w:rsidRPr="001570EA" w:rsidRDefault="00623E78" w:rsidP="00597241">
            <w:pPr>
              <w:keepNext/>
              <w:tabs>
                <w:tab w:val="left" w:pos="720"/>
              </w:tabs>
              <w:jc w:val="center"/>
              <w:rPr>
                <w:rFonts w:cs="Arial"/>
                <w:i/>
                <w:sz w:val="18"/>
                <w:szCs w:val="18"/>
              </w:rPr>
            </w:pPr>
            <w:r w:rsidRPr="001570EA">
              <w:rPr>
                <w:rFonts w:cs="Arial"/>
                <w:i/>
                <w:sz w:val="18"/>
                <w:szCs w:val="18"/>
              </w:rPr>
              <w:t>%</w:t>
            </w:r>
          </w:p>
        </w:tc>
        <w:tc>
          <w:tcPr>
            <w:tcW w:w="1243" w:type="pct"/>
            <w:tcBorders>
              <w:top w:val="single" w:sz="8" w:space="0" w:color="auto"/>
              <w:left w:val="nil"/>
              <w:bottom w:val="single" w:sz="8" w:space="0" w:color="auto"/>
              <w:right w:val="single" w:sz="8" w:space="0" w:color="auto"/>
            </w:tcBorders>
            <w:vAlign w:val="center"/>
          </w:tcPr>
          <w:p w14:paraId="2F51F417" w14:textId="77777777" w:rsidR="00623E78" w:rsidRPr="001570EA" w:rsidRDefault="00623E78" w:rsidP="00597241">
            <w:pPr>
              <w:keepNext/>
              <w:tabs>
                <w:tab w:val="left" w:pos="720"/>
              </w:tabs>
              <w:jc w:val="center"/>
              <w:rPr>
                <w:rFonts w:cs="Arial"/>
                <w:sz w:val="18"/>
                <w:szCs w:val="18"/>
              </w:rPr>
            </w:pPr>
            <w:r w:rsidRPr="001570EA">
              <w:rPr>
                <w:rFonts w:cs="Arial"/>
                <w:sz w:val="18"/>
                <w:szCs w:val="18"/>
              </w:rPr>
              <w:t>50%</w:t>
            </w:r>
          </w:p>
        </w:tc>
        <w:tc>
          <w:tcPr>
            <w:tcW w:w="665" w:type="pct"/>
            <w:tcBorders>
              <w:top w:val="single" w:sz="8" w:space="0" w:color="auto"/>
              <w:left w:val="single" w:sz="8" w:space="0" w:color="auto"/>
              <w:bottom w:val="single" w:sz="8" w:space="0" w:color="auto"/>
              <w:right w:val="single" w:sz="8" w:space="0" w:color="auto"/>
            </w:tcBorders>
            <w:vAlign w:val="center"/>
          </w:tcPr>
          <w:p w14:paraId="760DED62" w14:textId="687DBD71" w:rsidR="00623E78" w:rsidRPr="001570EA" w:rsidRDefault="00623E78" w:rsidP="00597241">
            <w:pPr>
              <w:keepNext/>
              <w:tabs>
                <w:tab w:val="left" w:pos="720"/>
              </w:tabs>
              <w:jc w:val="center"/>
              <w:rPr>
                <w:rFonts w:cs="Arial"/>
                <w:sz w:val="18"/>
                <w:szCs w:val="18"/>
              </w:rPr>
            </w:pPr>
            <w:r w:rsidRPr="001570EA">
              <w:rPr>
                <w:rFonts w:cs="Arial"/>
                <w:sz w:val="18"/>
                <w:szCs w:val="18"/>
              </w:rPr>
              <w:t>2</w:t>
            </w:r>
          </w:p>
        </w:tc>
      </w:tr>
      <w:tr w:rsidR="00623E78" w:rsidRPr="001570EA" w14:paraId="2AB93A64" w14:textId="77777777" w:rsidTr="008A6654">
        <w:trPr>
          <w:trHeight w:val="621"/>
        </w:trPr>
        <w:tc>
          <w:tcPr>
            <w:tcW w:w="2168" w:type="pct"/>
            <w:tcBorders>
              <w:top w:val="single" w:sz="8" w:space="0" w:color="auto"/>
              <w:left w:val="single" w:sz="8" w:space="0" w:color="auto"/>
              <w:bottom w:val="single" w:sz="8" w:space="0" w:color="auto"/>
              <w:right w:val="single" w:sz="8" w:space="0" w:color="auto"/>
            </w:tcBorders>
            <w:vAlign w:val="center"/>
          </w:tcPr>
          <w:p w14:paraId="59188B58" w14:textId="181024A3" w:rsidR="00623E78" w:rsidRPr="001570EA" w:rsidRDefault="00623E78" w:rsidP="00597241">
            <w:pPr>
              <w:keepNext/>
              <w:tabs>
                <w:tab w:val="left" w:pos="720"/>
              </w:tabs>
              <w:rPr>
                <w:rFonts w:cs="Arial"/>
                <w:i/>
                <w:sz w:val="18"/>
                <w:szCs w:val="18"/>
              </w:rPr>
            </w:pPr>
            <w:r w:rsidRPr="001570EA">
              <w:rPr>
                <w:rFonts w:cs="Arial"/>
                <w:i/>
                <w:sz w:val="18"/>
                <w:szCs w:val="18"/>
              </w:rPr>
              <w:t>%</w:t>
            </w:r>
            <w:r w:rsidRPr="001570EA">
              <w:rPr>
                <w:rFonts w:cs="Arial"/>
                <w:i/>
                <w:sz w:val="18"/>
                <w:szCs w:val="18"/>
                <w:vertAlign w:val="subscript"/>
              </w:rPr>
              <w:t>C7</w:t>
            </w:r>
            <w:r w:rsidRPr="001570EA">
              <w:rPr>
                <w:rFonts w:cs="Arial"/>
                <w:i/>
                <w:sz w:val="18"/>
                <w:szCs w:val="18"/>
              </w:rPr>
              <w:t xml:space="preserve">, </w:t>
            </w:r>
            <w:r w:rsidRPr="001570EA">
              <w:rPr>
                <w:rFonts w:cs="Arial"/>
                <w:sz w:val="18"/>
                <w:szCs w:val="18"/>
              </w:rPr>
              <w:t>Percentage of holiday lights that are “C7”</w:t>
            </w:r>
          </w:p>
        </w:tc>
        <w:tc>
          <w:tcPr>
            <w:tcW w:w="924" w:type="pct"/>
            <w:tcBorders>
              <w:top w:val="single" w:sz="8" w:space="0" w:color="auto"/>
              <w:left w:val="nil"/>
              <w:bottom w:val="single" w:sz="8" w:space="0" w:color="auto"/>
              <w:right w:val="single" w:sz="8" w:space="0" w:color="auto"/>
            </w:tcBorders>
            <w:vAlign w:val="center"/>
          </w:tcPr>
          <w:p w14:paraId="1DA68CC8" w14:textId="77777777" w:rsidR="00623E78" w:rsidRPr="001570EA" w:rsidRDefault="00623E78" w:rsidP="00597241">
            <w:pPr>
              <w:keepNext/>
              <w:tabs>
                <w:tab w:val="left" w:pos="720"/>
              </w:tabs>
              <w:jc w:val="center"/>
              <w:rPr>
                <w:rFonts w:cs="Arial"/>
                <w:i/>
                <w:sz w:val="18"/>
                <w:szCs w:val="18"/>
              </w:rPr>
            </w:pPr>
            <w:r w:rsidRPr="001570EA">
              <w:rPr>
                <w:rFonts w:cs="Arial"/>
                <w:i/>
                <w:sz w:val="18"/>
                <w:szCs w:val="18"/>
              </w:rPr>
              <w:t>%</w:t>
            </w:r>
          </w:p>
        </w:tc>
        <w:tc>
          <w:tcPr>
            <w:tcW w:w="1243" w:type="pct"/>
            <w:tcBorders>
              <w:top w:val="single" w:sz="8" w:space="0" w:color="auto"/>
              <w:left w:val="nil"/>
              <w:bottom w:val="single" w:sz="8" w:space="0" w:color="auto"/>
              <w:right w:val="single" w:sz="8" w:space="0" w:color="auto"/>
            </w:tcBorders>
            <w:vAlign w:val="center"/>
          </w:tcPr>
          <w:p w14:paraId="19739805" w14:textId="77777777" w:rsidR="00623E78" w:rsidRPr="001570EA" w:rsidRDefault="00623E78" w:rsidP="00597241">
            <w:pPr>
              <w:keepNext/>
              <w:tabs>
                <w:tab w:val="left" w:pos="720"/>
              </w:tabs>
              <w:jc w:val="center"/>
              <w:rPr>
                <w:rFonts w:cs="Arial"/>
                <w:sz w:val="18"/>
                <w:szCs w:val="18"/>
              </w:rPr>
            </w:pPr>
            <w:r w:rsidRPr="001570EA">
              <w:rPr>
                <w:rFonts w:cs="Arial"/>
                <w:sz w:val="18"/>
                <w:szCs w:val="18"/>
              </w:rPr>
              <w:t>25%</w:t>
            </w:r>
          </w:p>
        </w:tc>
        <w:tc>
          <w:tcPr>
            <w:tcW w:w="665" w:type="pct"/>
            <w:tcBorders>
              <w:top w:val="single" w:sz="8" w:space="0" w:color="auto"/>
              <w:left w:val="single" w:sz="8" w:space="0" w:color="auto"/>
              <w:bottom w:val="single" w:sz="8" w:space="0" w:color="auto"/>
              <w:right w:val="single" w:sz="8" w:space="0" w:color="auto"/>
            </w:tcBorders>
            <w:vAlign w:val="center"/>
          </w:tcPr>
          <w:p w14:paraId="029BB69C" w14:textId="3AD986B8" w:rsidR="00623E78" w:rsidRPr="001570EA" w:rsidRDefault="00623E78" w:rsidP="00597241">
            <w:pPr>
              <w:keepNext/>
              <w:tabs>
                <w:tab w:val="left" w:pos="720"/>
              </w:tabs>
              <w:jc w:val="center"/>
              <w:rPr>
                <w:rFonts w:cs="Arial"/>
                <w:sz w:val="18"/>
                <w:szCs w:val="18"/>
              </w:rPr>
            </w:pPr>
            <w:r w:rsidRPr="001570EA">
              <w:rPr>
                <w:rFonts w:cs="Arial"/>
                <w:sz w:val="18"/>
                <w:szCs w:val="18"/>
              </w:rPr>
              <w:t>2</w:t>
            </w:r>
          </w:p>
        </w:tc>
      </w:tr>
      <w:tr w:rsidR="00623E78" w:rsidRPr="001570EA" w14:paraId="37EC3825" w14:textId="77777777" w:rsidTr="008A6654">
        <w:trPr>
          <w:trHeight w:val="621"/>
        </w:trPr>
        <w:tc>
          <w:tcPr>
            <w:tcW w:w="2168" w:type="pct"/>
            <w:tcBorders>
              <w:top w:val="single" w:sz="8" w:space="0" w:color="auto"/>
              <w:left w:val="single" w:sz="8" w:space="0" w:color="auto"/>
              <w:bottom w:val="single" w:sz="8" w:space="0" w:color="auto"/>
              <w:right w:val="single" w:sz="8" w:space="0" w:color="auto"/>
            </w:tcBorders>
            <w:vAlign w:val="center"/>
          </w:tcPr>
          <w:p w14:paraId="1F01DF41" w14:textId="3E5A2E52" w:rsidR="00623E78" w:rsidRPr="001570EA" w:rsidRDefault="00623E78" w:rsidP="00597241">
            <w:pPr>
              <w:keepNext/>
              <w:tabs>
                <w:tab w:val="left" w:pos="720"/>
              </w:tabs>
              <w:rPr>
                <w:rFonts w:cs="Arial"/>
                <w:i/>
                <w:sz w:val="18"/>
                <w:szCs w:val="18"/>
              </w:rPr>
            </w:pPr>
            <w:r w:rsidRPr="001570EA">
              <w:rPr>
                <w:rFonts w:cs="Arial"/>
                <w:i/>
                <w:sz w:val="18"/>
                <w:szCs w:val="18"/>
              </w:rPr>
              <w:t>%</w:t>
            </w:r>
            <w:r w:rsidRPr="001570EA">
              <w:rPr>
                <w:rFonts w:cs="Arial"/>
                <w:i/>
                <w:sz w:val="18"/>
                <w:szCs w:val="18"/>
                <w:vertAlign w:val="subscript"/>
              </w:rPr>
              <w:t>C9</w:t>
            </w:r>
            <w:r w:rsidRPr="001570EA">
              <w:rPr>
                <w:rFonts w:cs="Arial"/>
                <w:i/>
                <w:sz w:val="18"/>
                <w:szCs w:val="18"/>
              </w:rPr>
              <w:t xml:space="preserve">, </w:t>
            </w:r>
            <w:r w:rsidRPr="001570EA">
              <w:rPr>
                <w:rFonts w:cs="Arial"/>
                <w:sz w:val="18"/>
                <w:szCs w:val="18"/>
              </w:rPr>
              <w:t>Percentage of holiday lights that are “C9”</w:t>
            </w:r>
          </w:p>
        </w:tc>
        <w:tc>
          <w:tcPr>
            <w:tcW w:w="924" w:type="pct"/>
            <w:tcBorders>
              <w:top w:val="single" w:sz="8" w:space="0" w:color="auto"/>
              <w:left w:val="nil"/>
              <w:bottom w:val="single" w:sz="8" w:space="0" w:color="auto"/>
              <w:right w:val="single" w:sz="8" w:space="0" w:color="auto"/>
            </w:tcBorders>
            <w:vAlign w:val="center"/>
          </w:tcPr>
          <w:p w14:paraId="25DE91B0" w14:textId="77777777" w:rsidR="00623E78" w:rsidRPr="001570EA" w:rsidRDefault="00623E78" w:rsidP="00597241">
            <w:pPr>
              <w:keepNext/>
              <w:tabs>
                <w:tab w:val="left" w:pos="720"/>
              </w:tabs>
              <w:jc w:val="center"/>
              <w:rPr>
                <w:rFonts w:cs="Arial"/>
                <w:i/>
                <w:sz w:val="18"/>
                <w:szCs w:val="18"/>
              </w:rPr>
            </w:pPr>
            <w:r w:rsidRPr="001570EA">
              <w:rPr>
                <w:rFonts w:cs="Arial"/>
                <w:i/>
                <w:sz w:val="18"/>
                <w:szCs w:val="18"/>
              </w:rPr>
              <w:t>%</w:t>
            </w:r>
          </w:p>
        </w:tc>
        <w:tc>
          <w:tcPr>
            <w:tcW w:w="1243" w:type="pct"/>
            <w:tcBorders>
              <w:top w:val="single" w:sz="8" w:space="0" w:color="auto"/>
              <w:left w:val="nil"/>
              <w:bottom w:val="single" w:sz="8" w:space="0" w:color="auto"/>
              <w:right w:val="single" w:sz="8" w:space="0" w:color="auto"/>
            </w:tcBorders>
            <w:vAlign w:val="center"/>
          </w:tcPr>
          <w:p w14:paraId="6687D4F1" w14:textId="77777777" w:rsidR="00623E78" w:rsidRPr="001570EA" w:rsidRDefault="00623E78" w:rsidP="00597241">
            <w:pPr>
              <w:keepNext/>
              <w:tabs>
                <w:tab w:val="left" w:pos="720"/>
              </w:tabs>
              <w:jc w:val="center"/>
              <w:rPr>
                <w:rFonts w:cs="Arial"/>
                <w:sz w:val="18"/>
                <w:szCs w:val="18"/>
              </w:rPr>
            </w:pPr>
            <w:r w:rsidRPr="001570EA">
              <w:rPr>
                <w:rFonts w:cs="Arial"/>
                <w:sz w:val="18"/>
                <w:szCs w:val="18"/>
              </w:rPr>
              <w:t>25%</w:t>
            </w:r>
          </w:p>
        </w:tc>
        <w:tc>
          <w:tcPr>
            <w:tcW w:w="665" w:type="pct"/>
            <w:tcBorders>
              <w:top w:val="single" w:sz="8" w:space="0" w:color="auto"/>
              <w:left w:val="single" w:sz="8" w:space="0" w:color="auto"/>
              <w:bottom w:val="single" w:sz="8" w:space="0" w:color="auto"/>
              <w:right w:val="single" w:sz="8" w:space="0" w:color="auto"/>
            </w:tcBorders>
            <w:vAlign w:val="center"/>
          </w:tcPr>
          <w:p w14:paraId="040110C0" w14:textId="4612258C" w:rsidR="00623E78" w:rsidRPr="001570EA" w:rsidRDefault="00623E78" w:rsidP="00597241">
            <w:pPr>
              <w:keepNext/>
              <w:tabs>
                <w:tab w:val="left" w:pos="720"/>
              </w:tabs>
              <w:jc w:val="center"/>
              <w:rPr>
                <w:rFonts w:cs="Arial"/>
                <w:sz w:val="18"/>
                <w:szCs w:val="18"/>
              </w:rPr>
            </w:pPr>
            <w:r w:rsidRPr="001570EA">
              <w:rPr>
                <w:rFonts w:cs="Arial"/>
                <w:sz w:val="18"/>
                <w:szCs w:val="18"/>
              </w:rPr>
              <w:t>2</w:t>
            </w:r>
          </w:p>
        </w:tc>
      </w:tr>
      <w:tr w:rsidR="00FA5174" w:rsidRPr="001570EA" w14:paraId="45587BE5" w14:textId="77777777" w:rsidTr="00BD2C4C">
        <w:trPr>
          <w:trHeight w:val="621"/>
        </w:trPr>
        <w:tc>
          <w:tcPr>
            <w:tcW w:w="2168" w:type="pct"/>
            <w:tcBorders>
              <w:top w:val="single" w:sz="8" w:space="0" w:color="auto"/>
              <w:left w:val="single" w:sz="8" w:space="0" w:color="auto"/>
              <w:right w:val="single" w:sz="8" w:space="0" w:color="auto"/>
            </w:tcBorders>
            <w:vAlign w:val="center"/>
          </w:tcPr>
          <w:p w14:paraId="7C32A53A" w14:textId="24AFE6F8" w:rsidR="00FA5174" w:rsidRPr="001570EA" w:rsidRDefault="00FA5174" w:rsidP="00597241">
            <w:pPr>
              <w:keepNext/>
              <w:tabs>
                <w:tab w:val="left" w:pos="720"/>
              </w:tabs>
              <w:rPr>
                <w:rFonts w:cs="Arial"/>
                <w:sz w:val="18"/>
                <w:szCs w:val="18"/>
              </w:rPr>
            </w:pPr>
            <w:r w:rsidRPr="001570EA">
              <w:rPr>
                <w:rFonts w:cs="Arial"/>
                <w:i/>
                <w:sz w:val="18"/>
                <w:szCs w:val="18"/>
              </w:rPr>
              <w:t>#</w:t>
            </w:r>
            <w:r w:rsidRPr="001570EA">
              <w:rPr>
                <w:rFonts w:cs="Arial"/>
                <w:i/>
                <w:sz w:val="18"/>
                <w:szCs w:val="18"/>
                <w:vertAlign w:val="subscript"/>
              </w:rPr>
              <w:t>Bulbs</w:t>
            </w:r>
            <w:r w:rsidRPr="001570EA">
              <w:rPr>
                <w:rFonts w:cs="Arial"/>
                <w:sz w:val="18"/>
                <w:szCs w:val="18"/>
              </w:rPr>
              <w:t xml:space="preserve">, </w:t>
            </w:r>
            <w:r w:rsidRPr="001570EA">
              <w:rPr>
                <w:sz w:val="18"/>
                <w:szCs w:val="18"/>
              </w:rPr>
              <w:t>Number of bulbs per strand</w:t>
            </w:r>
          </w:p>
        </w:tc>
        <w:tc>
          <w:tcPr>
            <w:tcW w:w="924" w:type="pct"/>
            <w:tcBorders>
              <w:top w:val="single" w:sz="8" w:space="0" w:color="auto"/>
              <w:left w:val="nil"/>
              <w:right w:val="single" w:sz="8" w:space="0" w:color="auto"/>
            </w:tcBorders>
            <w:vAlign w:val="center"/>
          </w:tcPr>
          <w:p w14:paraId="3DF98E58" w14:textId="77777777" w:rsidR="00FA5174" w:rsidRPr="001570EA" w:rsidRDefault="00FA5174" w:rsidP="00597241">
            <w:pPr>
              <w:keepNext/>
              <w:tabs>
                <w:tab w:val="left" w:pos="720"/>
              </w:tabs>
              <w:jc w:val="center"/>
              <w:rPr>
                <w:rFonts w:cs="Arial"/>
                <w:i/>
                <w:sz w:val="18"/>
                <w:szCs w:val="18"/>
              </w:rPr>
            </w:pPr>
            <w:r w:rsidRPr="001570EA">
              <w:rPr>
                <w:rFonts w:cs="Arial"/>
                <w:i/>
                <w:sz w:val="18"/>
                <w:szCs w:val="18"/>
              </w:rPr>
              <w:t>Bulbs/strand</w:t>
            </w:r>
          </w:p>
        </w:tc>
        <w:tc>
          <w:tcPr>
            <w:tcW w:w="1243" w:type="pct"/>
            <w:tcBorders>
              <w:top w:val="single" w:sz="8" w:space="0" w:color="auto"/>
              <w:left w:val="nil"/>
              <w:right w:val="single" w:sz="8" w:space="0" w:color="auto"/>
            </w:tcBorders>
            <w:vAlign w:val="center"/>
          </w:tcPr>
          <w:p w14:paraId="29D68B94" w14:textId="77777777" w:rsidR="00FA5174" w:rsidRPr="001570EA" w:rsidRDefault="00FA5174" w:rsidP="00427533">
            <w:pPr>
              <w:pStyle w:val="TableCell"/>
              <w:spacing w:before="0" w:after="0"/>
              <w:jc w:val="center"/>
              <w:rPr>
                <w:szCs w:val="18"/>
              </w:rPr>
            </w:pPr>
            <w:r w:rsidRPr="001570EA">
              <w:rPr>
                <w:szCs w:val="18"/>
              </w:rPr>
              <w:t>EDC Data Gathering</w:t>
            </w:r>
          </w:p>
          <w:p w14:paraId="24C034F8" w14:textId="0131AD6D" w:rsidR="00FA5174" w:rsidRPr="001570EA" w:rsidRDefault="00FA5174" w:rsidP="00597241">
            <w:pPr>
              <w:keepNext/>
              <w:tabs>
                <w:tab w:val="left" w:pos="720"/>
              </w:tabs>
              <w:jc w:val="center"/>
              <w:rPr>
                <w:rFonts w:cs="Arial"/>
                <w:sz w:val="18"/>
                <w:szCs w:val="18"/>
              </w:rPr>
            </w:pPr>
            <w:r w:rsidRPr="001570EA">
              <w:rPr>
                <w:rFonts w:cs="Arial"/>
                <w:sz w:val="18"/>
                <w:szCs w:val="18"/>
              </w:rPr>
              <w:t>Default</w:t>
            </w:r>
            <w:r w:rsidR="00DC1CCD" w:rsidRPr="001570EA">
              <w:rPr>
                <w:rFonts w:cs="Arial"/>
                <w:sz w:val="18"/>
                <w:szCs w:val="18"/>
              </w:rPr>
              <w:t xml:space="preserve"> Mini</w:t>
            </w:r>
            <w:r w:rsidRPr="001570EA">
              <w:rPr>
                <w:rFonts w:cs="Arial"/>
                <w:sz w:val="18"/>
                <w:szCs w:val="18"/>
              </w:rPr>
              <w:t xml:space="preserve">: </w:t>
            </w:r>
            <w:r w:rsidR="009620FE" w:rsidRPr="001570EA">
              <w:rPr>
                <w:rFonts w:cs="Arial"/>
                <w:sz w:val="18"/>
                <w:szCs w:val="18"/>
              </w:rPr>
              <w:t>100</w:t>
            </w:r>
          </w:p>
          <w:p w14:paraId="244113AD" w14:textId="77777777" w:rsidR="009620FE" w:rsidRPr="001570EA" w:rsidRDefault="009620FE" w:rsidP="00597241">
            <w:pPr>
              <w:keepNext/>
              <w:tabs>
                <w:tab w:val="left" w:pos="720"/>
              </w:tabs>
              <w:jc w:val="center"/>
              <w:rPr>
                <w:rFonts w:cs="Arial"/>
                <w:sz w:val="18"/>
                <w:szCs w:val="18"/>
              </w:rPr>
            </w:pPr>
            <w:r w:rsidRPr="001570EA">
              <w:rPr>
                <w:rFonts w:cs="Arial"/>
                <w:sz w:val="18"/>
                <w:szCs w:val="18"/>
              </w:rPr>
              <w:t>Default C7: 25</w:t>
            </w:r>
          </w:p>
          <w:p w14:paraId="26B57CCA" w14:textId="37CEC2CE" w:rsidR="009620FE" w:rsidRPr="001570EA" w:rsidRDefault="009620FE" w:rsidP="00597241">
            <w:pPr>
              <w:keepNext/>
              <w:tabs>
                <w:tab w:val="left" w:pos="720"/>
              </w:tabs>
              <w:jc w:val="center"/>
              <w:rPr>
                <w:rFonts w:cs="Arial"/>
                <w:sz w:val="18"/>
                <w:szCs w:val="18"/>
              </w:rPr>
            </w:pPr>
            <w:r w:rsidRPr="001570EA">
              <w:rPr>
                <w:rFonts w:cs="Arial"/>
                <w:sz w:val="18"/>
                <w:szCs w:val="18"/>
              </w:rPr>
              <w:t>Default C9: 25</w:t>
            </w:r>
          </w:p>
        </w:tc>
        <w:tc>
          <w:tcPr>
            <w:tcW w:w="665" w:type="pct"/>
            <w:tcBorders>
              <w:top w:val="single" w:sz="8" w:space="0" w:color="auto"/>
              <w:left w:val="single" w:sz="8" w:space="0" w:color="auto"/>
              <w:right w:val="single" w:sz="8" w:space="0" w:color="auto"/>
            </w:tcBorders>
            <w:vAlign w:val="center"/>
          </w:tcPr>
          <w:p w14:paraId="1B812AED" w14:textId="69D6E66B" w:rsidR="00FA5174" w:rsidRPr="001570EA" w:rsidRDefault="00CC0BC3" w:rsidP="00597241">
            <w:pPr>
              <w:keepNext/>
              <w:tabs>
                <w:tab w:val="left" w:pos="720"/>
              </w:tabs>
              <w:jc w:val="center"/>
              <w:rPr>
                <w:rFonts w:cs="Arial"/>
                <w:sz w:val="18"/>
                <w:szCs w:val="18"/>
              </w:rPr>
            </w:pPr>
            <w:r w:rsidRPr="001570EA">
              <w:rPr>
                <w:rFonts w:cs="Arial"/>
                <w:sz w:val="18"/>
                <w:szCs w:val="18"/>
              </w:rPr>
              <w:t>1</w:t>
            </w:r>
          </w:p>
        </w:tc>
      </w:tr>
      <w:tr w:rsidR="00FA5174" w:rsidRPr="001570EA" w14:paraId="09209C65" w14:textId="77777777" w:rsidTr="00BD2C4C">
        <w:trPr>
          <w:trHeight w:val="621"/>
        </w:trPr>
        <w:tc>
          <w:tcPr>
            <w:tcW w:w="2168" w:type="pct"/>
            <w:tcBorders>
              <w:top w:val="single" w:sz="8" w:space="0" w:color="auto"/>
              <w:left w:val="single" w:sz="8" w:space="0" w:color="auto"/>
              <w:right w:val="single" w:sz="8" w:space="0" w:color="auto"/>
            </w:tcBorders>
            <w:vAlign w:val="center"/>
          </w:tcPr>
          <w:p w14:paraId="6E95EA10" w14:textId="0B3C7025" w:rsidR="00FA5174" w:rsidRPr="001570EA" w:rsidRDefault="00FA5174" w:rsidP="00597241">
            <w:pPr>
              <w:keepNext/>
              <w:tabs>
                <w:tab w:val="left" w:pos="720"/>
              </w:tabs>
              <w:rPr>
                <w:rFonts w:cs="Arial"/>
                <w:sz w:val="18"/>
                <w:szCs w:val="18"/>
              </w:rPr>
            </w:pPr>
            <w:r w:rsidRPr="001570EA">
              <w:rPr>
                <w:rFonts w:cs="Arial"/>
                <w:i/>
                <w:sz w:val="18"/>
                <w:szCs w:val="18"/>
              </w:rPr>
              <w:t>#</w:t>
            </w:r>
            <w:r w:rsidRPr="001570EA">
              <w:rPr>
                <w:rFonts w:cs="Arial"/>
                <w:i/>
                <w:sz w:val="18"/>
                <w:szCs w:val="18"/>
                <w:vertAlign w:val="subscript"/>
              </w:rPr>
              <w:t>Strands</w:t>
            </w:r>
            <w:r w:rsidRPr="001570EA">
              <w:rPr>
                <w:rFonts w:cs="Arial"/>
                <w:sz w:val="18"/>
                <w:szCs w:val="18"/>
              </w:rPr>
              <w:t xml:space="preserve">, </w:t>
            </w:r>
            <w:r w:rsidRPr="001570EA">
              <w:rPr>
                <w:sz w:val="18"/>
                <w:szCs w:val="18"/>
              </w:rPr>
              <w:t>Number of strands of lights per package</w:t>
            </w:r>
          </w:p>
        </w:tc>
        <w:tc>
          <w:tcPr>
            <w:tcW w:w="924" w:type="pct"/>
            <w:tcBorders>
              <w:top w:val="single" w:sz="8" w:space="0" w:color="auto"/>
              <w:left w:val="nil"/>
              <w:right w:val="single" w:sz="8" w:space="0" w:color="auto"/>
            </w:tcBorders>
            <w:vAlign w:val="center"/>
          </w:tcPr>
          <w:p w14:paraId="08415AE8" w14:textId="3F4FBE96" w:rsidR="00FA5174" w:rsidRPr="001570EA" w:rsidRDefault="00E0242A" w:rsidP="00597241">
            <w:pPr>
              <w:keepNext/>
              <w:tabs>
                <w:tab w:val="left" w:pos="720"/>
              </w:tabs>
              <w:jc w:val="center"/>
              <w:rPr>
                <w:rFonts w:cs="Arial"/>
                <w:i/>
                <w:sz w:val="18"/>
                <w:szCs w:val="18"/>
              </w:rPr>
            </w:pPr>
            <w:r w:rsidRPr="001570EA">
              <w:rPr>
                <w:rFonts w:cs="Arial"/>
                <w:i/>
                <w:sz w:val="18"/>
                <w:szCs w:val="18"/>
              </w:rPr>
              <w:t>Strands</w:t>
            </w:r>
            <w:r w:rsidR="00FA5174" w:rsidRPr="001570EA">
              <w:rPr>
                <w:rFonts w:cs="Arial"/>
                <w:i/>
                <w:sz w:val="18"/>
                <w:szCs w:val="18"/>
              </w:rPr>
              <w:t>/package</w:t>
            </w:r>
          </w:p>
        </w:tc>
        <w:tc>
          <w:tcPr>
            <w:tcW w:w="1243" w:type="pct"/>
            <w:tcBorders>
              <w:top w:val="single" w:sz="8" w:space="0" w:color="auto"/>
              <w:left w:val="nil"/>
              <w:right w:val="single" w:sz="8" w:space="0" w:color="auto"/>
            </w:tcBorders>
            <w:vAlign w:val="center"/>
          </w:tcPr>
          <w:p w14:paraId="4E4929C2" w14:textId="77777777" w:rsidR="00FA5174" w:rsidRPr="001570EA" w:rsidRDefault="00FA5174" w:rsidP="00427533">
            <w:pPr>
              <w:pStyle w:val="TableCell"/>
              <w:spacing w:before="0" w:after="0"/>
              <w:jc w:val="center"/>
              <w:rPr>
                <w:szCs w:val="18"/>
              </w:rPr>
            </w:pPr>
            <w:r w:rsidRPr="001570EA">
              <w:rPr>
                <w:szCs w:val="18"/>
              </w:rPr>
              <w:t>EDC Data Gathering</w:t>
            </w:r>
          </w:p>
          <w:p w14:paraId="67D3C925" w14:textId="77777777" w:rsidR="00FA5174" w:rsidRPr="001570EA" w:rsidRDefault="00FA5174" w:rsidP="00597241">
            <w:pPr>
              <w:keepNext/>
              <w:tabs>
                <w:tab w:val="left" w:pos="720"/>
              </w:tabs>
              <w:jc w:val="center"/>
              <w:rPr>
                <w:rFonts w:cs="Arial"/>
                <w:sz w:val="18"/>
                <w:szCs w:val="18"/>
              </w:rPr>
            </w:pPr>
            <w:r w:rsidRPr="001570EA">
              <w:rPr>
                <w:rFonts w:cs="Arial"/>
                <w:sz w:val="18"/>
                <w:szCs w:val="18"/>
              </w:rPr>
              <w:t>Default: 1 strand</w:t>
            </w:r>
          </w:p>
        </w:tc>
        <w:tc>
          <w:tcPr>
            <w:tcW w:w="665" w:type="pct"/>
            <w:tcBorders>
              <w:top w:val="single" w:sz="8" w:space="0" w:color="auto"/>
              <w:left w:val="single" w:sz="8" w:space="0" w:color="auto"/>
              <w:right w:val="single" w:sz="8" w:space="0" w:color="auto"/>
            </w:tcBorders>
            <w:vAlign w:val="center"/>
          </w:tcPr>
          <w:p w14:paraId="42D89032" w14:textId="74527D12" w:rsidR="00FA5174" w:rsidRPr="001570EA" w:rsidRDefault="00CC0BC3" w:rsidP="00597241">
            <w:pPr>
              <w:keepNext/>
              <w:tabs>
                <w:tab w:val="left" w:pos="720"/>
              </w:tabs>
              <w:jc w:val="center"/>
              <w:rPr>
                <w:rFonts w:cs="Arial"/>
                <w:sz w:val="18"/>
                <w:szCs w:val="18"/>
              </w:rPr>
            </w:pPr>
            <w:r w:rsidRPr="001570EA">
              <w:rPr>
                <w:rFonts w:cs="Arial"/>
                <w:sz w:val="18"/>
                <w:szCs w:val="18"/>
              </w:rPr>
              <w:t>1</w:t>
            </w:r>
          </w:p>
        </w:tc>
      </w:tr>
      <w:tr w:rsidR="00FA5174" w:rsidRPr="001570EA" w14:paraId="67BBB76E" w14:textId="77777777" w:rsidTr="008A6654">
        <w:trPr>
          <w:trHeight w:val="621"/>
        </w:trPr>
        <w:tc>
          <w:tcPr>
            <w:tcW w:w="2168" w:type="pct"/>
            <w:tcBorders>
              <w:top w:val="single" w:sz="8" w:space="0" w:color="auto"/>
              <w:left w:val="single" w:sz="8" w:space="0" w:color="auto"/>
              <w:bottom w:val="single" w:sz="8" w:space="0" w:color="auto"/>
              <w:right w:val="single" w:sz="8" w:space="0" w:color="auto"/>
            </w:tcBorders>
            <w:vAlign w:val="center"/>
          </w:tcPr>
          <w:p w14:paraId="431C7415" w14:textId="28A6E9D3" w:rsidR="00FA5174" w:rsidRPr="001570EA" w:rsidRDefault="00FA5174" w:rsidP="00597241">
            <w:pPr>
              <w:keepNext/>
              <w:tabs>
                <w:tab w:val="left" w:pos="720"/>
              </w:tabs>
              <w:rPr>
                <w:rFonts w:cs="Arial"/>
                <w:sz w:val="18"/>
                <w:szCs w:val="18"/>
                <w:vertAlign w:val="subscript"/>
              </w:rPr>
            </w:pPr>
            <w:r w:rsidRPr="001570EA">
              <w:rPr>
                <w:rFonts w:cs="Arial"/>
                <w:i/>
                <w:sz w:val="18"/>
                <w:szCs w:val="18"/>
              </w:rPr>
              <w:t>HOU</w:t>
            </w:r>
            <w:r w:rsidRPr="001570EA">
              <w:rPr>
                <w:rFonts w:cs="Arial"/>
                <w:sz w:val="18"/>
                <w:szCs w:val="18"/>
              </w:rPr>
              <w:t xml:space="preserve">, </w:t>
            </w:r>
            <w:r w:rsidRPr="001570EA">
              <w:rPr>
                <w:sz w:val="18"/>
                <w:szCs w:val="18"/>
              </w:rPr>
              <w:t>Annual hours of operation</w:t>
            </w:r>
          </w:p>
        </w:tc>
        <w:tc>
          <w:tcPr>
            <w:tcW w:w="924" w:type="pct"/>
            <w:tcBorders>
              <w:top w:val="single" w:sz="8" w:space="0" w:color="auto"/>
              <w:left w:val="nil"/>
              <w:bottom w:val="single" w:sz="8" w:space="0" w:color="auto"/>
              <w:right w:val="single" w:sz="8" w:space="0" w:color="auto"/>
            </w:tcBorders>
            <w:vAlign w:val="center"/>
          </w:tcPr>
          <w:p w14:paraId="359E159B" w14:textId="77777777" w:rsidR="00FA5174" w:rsidRPr="001570EA" w:rsidRDefault="00FA5174" w:rsidP="00597241">
            <w:pPr>
              <w:keepNext/>
              <w:tabs>
                <w:tab w:val="left" w:pos="720"/>
              </w:tabs>
              <w:jc w:val="center"/>
              <w:rPr>
                <w:rFonts w:cs="Arial"/>
                <w:i/>
                <w:sz w:val="18"/>
                <w:szCs w:val="18"/>
              </w:rPr>
            </w:pPr>
            <w:r w:rsidRPr="001570EA">
              <w:rPr>
                <w:rFonts w:cs="Arial"/>
                <w:i/>
                <w:sz w:val="18"/>
                <w:szCs w:val="18"/>
              </w:rPr>
              <w:t>Hours/yr</w:t>
            </w:r>
          </w:p>
        </w:tc>
        <w:tc>
          <w:tcPr>
            <w:tcW w:w="1243" w:type="pct"/>
            <w:tcBorders>
              <w:top w:val="single" w:sz="8" w:space="0" w:color="auto"/>
              <w:left w:val="nil"/>
              <w:bottom w:val="single" w:sz="8" w:space="0" w:color="auto"/>
              <w:right w:val="single" w:sz="8" w:space="0" w:color="auto"/>
            </w:tcBorders>
            <w:vAlign w:val="center"/>
          </w:tcPr>
          <w:p w14:paraId="0CAFBC32" w14:textId="42A975F2" w:rsidR="00FA5174" w:rsidRPr="001570EA" w:rsidRDefault="00780501" w:rsidP="00597241">
            <w:pPr>
              <w:keepNext/>
              <w:tabs>
                <w:tab w:val="left" w:pos="720"/>
              </w:tabs>
              <w:jc w:val="center"/>
              <w:rPr>
                <w:rFonts w:cs="Arial"/>
                <w:sz w:val="18"/>
                <w:szCs w:val="18"/>
              </w:rPr>
            </w:pPr>
            <w:r w:rsidRPr="001570EA">
              <w:rPr>
                <w:rFonts w:cs="Arial"/>
                <w:sz w:val="18"/>
                <w:szCs w:val="18"/>
              </w:rPr>
              <w:t>150</w:t>
            </w:r>
          </w:p>
        </w:tc>
        <w:tc>
          <w:tcPr>
            <w:tcW w:w="665" w:type="pct"/>
            <w:tcBorders>
              <w:top w:val="single" w:sz="8" w:space="0" w:color="auto"/>
              <w:left w:val="single" w:sz="8" w:space="0" w:color="auto"/>
              <w:bottom w:val="single" w:sz="8" w:space="0" w:color="auto"/>
              <w:right w:val="single" w:sz="8" w:space="0" w:color="auto"/>
            </w:tcBorders>
            <w:vAlign w:val="center"/>
          </w:tcPr>
          <w:p w14:paraId="4CD37852" w14:textId="7A1E99E1" w:rsidR="00FA5174" w:rsidRPr="001570EA" w:rsidRDefault="00CC0BC3" w:rsidP="00597241">
            <w:pPr>
              <w:keepNext/>
              <w:tabs>
                <w:tab w:val="left" w:pos="720"/>
              </w:tabs>
              <w:jc w:val="center"/>
              <w:rPr>
                <w:rFonts w:cs="Arial"/>
                <w:sz w:val="18"/>
                <w:szCs w:val="18"/>
              </w:rPr>
            </w:pPr>
            <w:r w:rsidRPr="001570EA">
              <w:rPr>
                <w:rFonts w:cs="Arial"/>
                <w:sz w:val="18"/>
                <w:szCs w:val="18"/>
              </w:rPr>
              <w:t>2</w:t>
            </w:r>
          </w:p>
        </w:tc>
      </w:tr>
    </w:tbl>
    <w:p w14:paraId="2778E867" w14:textId="77777777" w:rsidR="00FA5174" w:rsidRPr="001570EA" w:rsidRDefault="00FA5174" w:rsidP="00FA5174"/>
    <w:p w14:paraId="64789168" w14:textId="35030D8A" w:rsidR="00FA5174" w:rsidRPr="001570EA" w:rsidRDefault="00FA5174" w:rsidP="00FA5174">
      <w:pPr>
        <w:pStyle w:val="SubStyle"/>
      </w:pPr>
      <w:r w:rsidRPr="001570EA">
        <w:t>D</w:t>
      </w:r>
      <w:r w:rsidR="00E75F6B" w:rsidRPr="001570EA">
        <w:t>efault</w:t>
      </w:r>
      <w:r w:rsidRPr="001570EA">
        <w:t xml:space="preserve"> Savings</w:t>
      </w:r>
    </w:p>
    <w:p w14:paraId="006F2265" w14:textId="477FEDB7" w:rsidR="00FA5174" w:rsidRPr="001570EA" w:rsidRDefault="00FA5174" w:rsidP="00FA5174">
      <w:r w:rsidRPr="001570EA">
        <w:t>The de</w:t>
      </w:r>
      <w:r w:rsidR="00E75F6B" w:rsidRPr="001570EA">
        <w:t>fault</w:t>
      </w:r>
      <w:r w:rsidRPr="001570EA">
        <w:t xml:space="preserve"> savings for installation of LED C9, C7, and mini lights is </w:t>
      </w:r>
      <w:r w:rsidR="00A4490A" w:rsidRPr="001570EA">
        <w:t>25</w:t>
      </w:r>
      <w:r w:rsidR="00E262F2" w:rsidRPr="001570EA">
        <w:t>.</w:t>
      </w:r>
      <w:r w:rsidR="00A4490A" w:rsidRPr="001570EA">
        <w:t>2</w:t>
      </w:r>
      <w:r w:rsidR="00E262F2" w:rsidRPr="001570EA">
        <w:t xml:space="preserve"> kWh, </w:t>
      </w:r>
      <w:r w:rsidR="00C72314" w:rsidRPr="001570EA">
        <w:t>19</w:t>
      </w:r>
      <w:r w:rsidR="00E262F2" w:rsidRPr="001570EA">
        <w:t>.</w:t>
      </w:r>
      <w:r w:rsidR="00C72314" w:rsidRPr="001570EA">
        <w:t>4</w:t>
      </w:r>
      <w:r w:rsidR="00E262F2" w:rsidRPr="001570EA">
        <w:t xml:space="preserve"> kWh, and </w:t>
      </w:r>
      <w:r w:rsidR="00C72314" w:rsidRPr="001570EA">
        <w:t>4</w:t>
      </w:r>
      <w:r w:rsidR="0002255E" w:rsidRPr="001570EA">
        <w:t>.</w:t>
      </w:r>
      <w:r w:rsidR="00C72314" w:rsidRPr="001570EA">
        <w:t>1</w:t>
      </w:r>
      <w:r w:rsidR="00E262F2" w:rsidRPr="001570EA">
        <w:t xml:space="preserve"> kWh, respectively</w:t>
      </w:r>
      <w:r w:rsidRPr="001570EA">
        <w:t xml:space="preserve">. The weighted average savings are </w:t>
      </w:r>
      <w:r w:rsidR="00C72314" w:rsidRPr="001570EA">
        <w:t>13</w:t>
      </w:r>
      <w:r w:rsidRPr="001570EA">
        <w:t>.</w:t>
      </w:r>
      <w:r w:rsidR="00857B7E" w:rsidRPr="001570EA">
        <w:t xml:space="preserve">2 </w:t>
      </w:r>
      <w:r w:rsidRPr="001570EA">
        <w:t xml:space="preserve">kWh per strand. </w:t>
      </w:r>
    </w:p>
    <w:p w14:paraId="4287277A" w14:textId="77777777" w:rsidR="00FA5174" w:rsidRPr="001570EA" w:rsidRDefault="00FA5174" w:rsidP="00FA5174"/>
    <w:p w14:paraId="5602424B" w14:textId="77777777" w:rsidR="00FA5174" w:rsidRPr="001570EA" w:rsidRDefault="00FA5174" w:rsidP="00FA5174">
      <w:pPr>
        <w:pStyle w:val="SubStyle"/>
      </w:pPr>
      <w:r w:rsidRPr="001570EA">
        <w:t>Evaluation Protocol</w:t>
      </w:r>
    </w:p>
    <w:p w14:paraId="2FB62DC9" w14:textId="6A065897" w:rsidR="00FA5174" w:rsidRPr="001570EA" w:rsidRDefault="00FA5174" w:rsidP="00FA5174">
      <w:r w:rsidRPr="001570EA">
        <w:t>The most appropriate evaluation protocol for this measure is verification of installation coupled with assignment of stipulated energy savings.</w:t>
      </w:r>
      <w:r w:rsidR="005D4360" w:rsidRPr="001570EA">
        <w:t xml:space="preserve"> </w:t>
      </w:r>
      <w:r w:rsidRPr="001570EA">
        <w:t xml:space="preserve">As these lights are used on a seasonal basis, verification must occur in the winter holiday season. Given the relatively small amount of impact evaluation risk that this measure </w:t>
      </w:r>
      <w:r w:rsidR="005D4360" w:rsidRPr="001570EA">
        <w:t>represents and</w:t>
      </w:r>
      <w:r w:rsidRPr="001570EA">
        <w:t xml:space="preserve"> given that the savings hinge as heavily on the actual wattage of the supplanted lights than the usage of the efficient LED lights, customer interviews should be considered as an appropriate channel for verification</w:t>
      </w:r>
      <w:bookmarkStart w:id="163" w:name="_Toc363810239"/>
      <w:bookmarkStart w:id="164" w:name="_Toc363810279"/>
      <w:bookmarkStart w:id="165" w:name="_Toc363810285"/>
      <w:bookmarkStart w:id="166" w:name="_Toc363810339"/>
      <w:bookmarkEnd w:id="163"/>
      <w:bookmarkEnd w:id="164"/>
      <w:bookmarkEnd w:id="165"/>
      <w:bookmarkEnd w:id="166"/>
      <w:r w:rsidRPr="001570EA">
        <w:t>.</w:t>
      </w:r>
    </w:p>
    <w:p w14:paraId="7B073921" w14:textId="77777777" w:rsidR="00FA5174" w:rsidRPr="001570EA" w:rsidRDefault="00FA5174" w:rsidP="00FA5174"/>
    <w:p w14:paraId="5F27A145" w14:textId="77777777" w:rsidR="00FA5174" w:rsidRPr="001570EA" w:rsidRDefault="00FA5174" w:rsidP="00597241">
      <w:pPr>
        <w:pStyle w:val="SubStyle"/>
        <w:keepNext/>
      </w:pPr>
      <w:r w:rsidRPr="001570EA">
        <w:t>Sources</w:t>
      </w:r>
    </w:p>
    <w:p w14:paraId="38937A6C" w14:textId="3C5F141B" w:rsidR="00DA75DD" w:rsidRPr="001570EA" w:rsidRDefault="00F00A89" w:rsidP="00597241">
      <w:pPr>
        <w:pStyle w:val="source10"/>
        <w:keepNext/>
        <w:numPr>
          <w:ilvl w:val="0"/>
          <w:numId w:val="10"/>
        </w:numPr>
        <w:spacing w:after="120"/>
        <w:ind w:left="360"/>
      </w:pPr>
      <w:r w:rsidRPr="001570EA">
        <w:t>S</w:t>
      </w:r>
      <w:r w:rsidR="00FF6217" w:rsidRPr="001570EA">
        <w:t xml:space="preserve">ample of </w:t>
      </w:r>
      <w:r w:rsidR="00F34B1D" w:rsidRPr="001570EA">
        <w:t>18</w:t>
      </w:r>
      <w:r w:rsidR="0077437C" w:rsidRPr="001570EA">
        <w:t>0</w:t>
      </w:r>
      <w:r w:rsidR="00F34B1D" w:rsidRPr="001570EA">
        <w:t xml:space="preserve"> holiday </w:t>
      </w:r>
      <w:r w:rsidR="00287583" w:rsidRPr="001570EA">
        <w:t>lights gathered from Home</w:t>
      </w:r>
      <w:r w:rsidR="0077437C" w:rsidRPr="001570EA">
        <w:t>Depot.com and Walmart.com</w:t>
      </w:r>
      <w:r w:rsidR="00A46DCB" w:rsidRPr="001570EA">
        <w:t xml:space="preserve">. </w:t>
      </w:r>
      <w:r w:rsidR="00C11946" w:rsidRPr="001570EA">
        <w:t>Accessed March 2024.</w:t>
      </w:r>
    </w:p>
    <w:p w14:paraId="6DF3CDB0" w14:textId="28555B36" w:rsidR="00FA5174" w:rsidRPr="001570EA" w:rsidRDefault="001307DB" w:rsidP="00597241">
      <w:pPr>
        <w:pStyle w:val="source10"/>
        <w:keepNext/>
        <w:numPr>
          <w:ilvl w:val="0"/>
          <w:numId w:val="10"/>
        </w:numPr>
        <w:spacing w:after="120"/>
        <w:ind w:left="360"/>
        <w:rPr>
          <w:rStyle w:val="Hyperlink"/>
          <w:rFonts w:cs="Arial"/>
          <w:color w:val="auto"/>
          <w:u w:val="none"/>
        </w:rPr>
      </w:pPr>
      <w:r w:rsidRPr="001570EA">
        <w:t>Michigan Energy Measures Database</w:t>
      </w:r>
      <w:r w:rsidR="00BA0B0A" w:rsidRPr="001570EA">
        <w:t xml:space="preserve">. </w:t>
      </w:r>
      <w:r w:rsidR="007E2DD6" w:rsidRPr="001570EA">
        <w:t xml:space="preserve">Accessed </w:t>
      </w:r>
      <w:r w:rsidR="0045521F" w:rsidRPr="001570EA">
        <w:t xml:space="preserve">January 2024. </w:t>
      </w:r>
      <w:hyperlink r:id="rId29" w:history="1">
        <w:r w:rsidR="00BA0B0A" w:rsidRPr="001570EA">
          <w:rPr>
            <w:rStyle w:val="Hyperlink"/>
            <w:rFonts w:cs="Arial"/>
          </w:rPr>
          <w:t>Weblink</w:t>
        </w:r>
      </w:hyperlink>
      <w:bookmarkEnd w:id="11"/>
      <w:bookmarkEnd w:id="12"/>
      <w:bookmarkEnd w:id="13"/>
      <w:bookmarkEnd w:id="14"/>
      <w:bookmarkEnd w:id="15"/>
    </w:p>
    <w:p w14:paraId="7457CCEF" w14:textId="77777777" w:rsidR="00CF212E" w:rsidRPr="001570EA" w:rsidRDefault="00CF212E" w:rsidP="00350AEA">
      <w:pPr>
        <w:pStyle w:val="source10"/>
        <w:spacing w:after="120"/>
        <w:sectPr w:rsidR="00CF212E" w:rsidRPr="001570EA" w:rsidSect="002D556C">
          <w:footerReference w:type="first" r:id="rId30"/>
          <w:pgSz w:w="12240" w:h="15840"/>
          <w:pgMar w:top="1440" w:right="1800" w:bottom="1440" w:left="1800" w:header="720" w:footer="720" w:gutter="0"/>
          <w:cols w:space="720"/>
        </w:sectPr>
      </w:pPr>
    </w:p>
    <w:p w14:paraId="235F7755" w14:textId="77777777" w:rsidR="007376E1" w:rsidRPr="001570EA" w:rsidRDefault="007376E1" w:rsidP="002614D2">
      <w:pPr>
        <w:pStyle w:val="Heading2"/>
        <w:numPr>
          <w:ilvl w:val="1"/>
          <w:numId w:val="50"/>
        </w:numPr>
      </w:pPr>
      <w:bookmarkStart w:id="167" w:name="_Toc164786633"/>
      <w:bookmarkStart w:id="168" w:name="_Toc48143015"/>
      <w:r w:rsidRPr="001570EA">
        <w:t>HVAC</w:t>
      </w:r>
      <w:bookmarkEnd w:id="167"/>
    </w:p>
    <w:p w14:paraId="43A23569" w14:textId="77777777" w:rsidR="007376E1" w:rsidRPr="001570EA" w:rsidRDefault="007376E1" w:rsidP="00462D97">
      <w:pPr>
        <w:pStyle w:val="Heading3"/>
      </w:pPr>
      <w:bookmarkStart w:id="169" w:name="_Toc295990611"/>
      <w:bookmarkStart w:id="170" w:name="_Toc295999379"/>
      <w:bookmarkStart w:id="171" w:name="_Toc298621122"/>
      <w:bookmarkStart w:id="172" w:name="_Toc298621201"/>
      <w:bookmarkStart w:id="173" w:name="_Toc298621388"/>
      <w:bookmarkStart w:id="174" w:name="_Toc303086178"/>
      <w:bookmarkStart w:id="175" w:name="_Toc303339041"/>
      <w:bookmarkStart w:id="176" w:name="_Toc303347538"/>
      <w:bookmarkStart w:id="177" w:name="_Toc303352476"/>
      <w:bookmarkStart w:id="178" w:name="_Toc310868407"/>
      <w:bookmarkStart w:id="179" w:name="_Ref534295897"/>
      <w:bookmarkStart w:id="180" w:name="_Ref534371343"/>
      <w:bookmarkStart w:id="181" w:name="_Ref534371933"/>
      <w:bookmarkStart w:id="182" w:name="_Toc48143016"/>
      <w:bookmarkStart w:id="183" w:name="_Toc164786634"/>
      <w:bookmarkStart w:id="184" w:name="_Toc364420778"/>
      <w:bookmarkStart w:id="185" w:name="_Toc373320415"/>
      <w:bookmarkStart w:id="186" w:name="_Toc364760893"/>
      <w:bookmarkStart w:id="187" w:name="_Ref394572206"/>
      <w:bookmarkEnd w:id="168"/>
      <w:bookmarkEnd w:id="169"/>
      <w:bookmarkEnd w:id="170"/>
      <w:bookmarkEnd w:id="171"/>
      <w:bookmarkEnd w:id="172"/>
      <w:bookmarkEnd w:id="173"/>
      <w:bookmarkEnd w:id="174"/>
      <w:bookmarkEnd w:id="175"/>
      <w:bookmarkEnd w:id="176"/>
      <w:bookmarkEnd w:id="177"/>
      <w:bookmarkEnd w:id="178"/>
      <w:r w:rsidRPr="001570EA">
        <w:t>High Efficiency Equipment: ASHP, CAC, GSHP, PTAC, PTHP</w:t>
      </w:r>
      <w:bookmarkEnd w:id="179"/>
      <w:bookmarkEnd w:id="180"/>
      <w:bookmarkEnd w:id="181"/>
      <w:bookmarkEnd w:id="182"/>
      <w:bookmarkEnd w:id="183"/>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51"/>
        <w:gridCol w:w="4961"/>
      </w:tblGrid>
      <w:tr w:rsidR="007376E1" w:rsidRPr="001570EA" w14:paraId="23C7E132"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0E7E5BF" w14:textId="77777777" w:rsidR="007376E1" w:rsidRPr="001570EA" w:rsidRDefault="007376E1">
            <w:pPr>
              <w:pStyle w:val="TableCell"/>
              <w:spacing w:before="60" w:after="60"/>
              <w:rPr>
                <w:b/>
                <w:bCs/>
                <w:color w:val="000000"/>
              </w:rPr>
            </w:pPr>
            <w:r w:rsidRPr="001570EA">
              <w:rPr>
                <w:b/>
                <w:bCs/>
                <w:color w:val="000000"/>
              </w:rPr>
              <w:t>Target Sector</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1B6599BE" w14:textId="77777777" w:rsidR="007376E1" w:rsidRPr="001570EA" w:rsidRDefault="007376E1">
            <w:pPr>
              <w:pStyle w:val="TableCell"/>
              <w:spacing w:before="60" w:after="60"/>
              <w:jc w:val="center"/>
              <w:rPr>
                <w:color w:val="000000"/>
              </w:rPr>
            </w:pPr>
            <w:r w:rsidRPr="001570EA">
              <w:rPr>
                <w:color w:val="000000"/>
              </w:rPr>
              <w:t>Residential</w:t>
            </w:r>
          </w:p>
        </w:tc>
      </w:tr>
      <w:tr w:rsidR="007376E1" w:rsidRPr="001570EA" w14:paraId="07D888E0"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46170678" w14:textId="77777777" w:rsidR="007376E1" w:rsidRPr="001570EA" w:rsidRDefault="007376E1">
            <w:pPr>
              <w:pStyle w:val="TableCell"/>
              <w:spacing w:before="60" w:after="60"/>
              <w:rPr>
                <w:b/>
                <w:bCs/>
                <w:color w:val="000000"/>
              </w:rPr>
            </w:pPr>
            <w:r w:rsidRPr="001570EA">
              <w:rPr>
                <w:b/>
                <w:bCs/>
                <w:color w:val="000000"/>
              </w:rPr>
              <w:t>Measure Unit</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7C5FF21F" w14:textId="77777777" w:rsidR="007376E1" w:rsidRPr="001570EA" w:rsidRDefault="007376E1">
            <w:pPr>
              <w:pStyle w:val="TableCell"/>
              <w:spacing w:before="60" w:after="60"/>
              <w:jc w:val="center"/>
              <w:rPr>
                <w:color w:val="000000"/>
              </w:rPr>
            </w:pPr>
            <w:r w:rsidRPr="001570EA">
              <w:rPr>
                <w:color w:val="000000"/>
              </w:rPr>
              <w:t>Central AC, ASHP, GSHP, PTAC or PTHP Unit</w:t>
            </w:r>
          </w:p>
        </w:tc>
      </w:tr>
      <w:tr w:rsidR="007376E1" w:rsidRPr="001570EA" w14:paraId="4C9CD8F9"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1907A55C" w14:textId="77777777" w:rsidR="007376E1" w:rsidRPr="001570EA" w:rsidRDefault="007376E1">
            <w:pPr>
              <w:pStyle w:val="TableCell"/>
              <w:spacing w:before="60" w:after="60"/>
              <w:rPr>
                <w:b/>
                <w:bCs/>
                <w:color w:val="000000"/>
              </w:rPr>
            </w:pPr>
            <w:r w:rsidRPr="001570EA">
              <w:rPr>
                <w:b/>
                <w:bCs/>
                <w:color w:val="000000"/>
              </w:rPr>
              <w:t>Measure Life</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555F85CC" w14:textId="77777777" w:rsidR="007376E1" w:rsidRPr="001570EA" w:rsidRDefault="007376E1">
            <w:pPr>
              <w:pStyle w:val="TableCell"/>
              <w:spacing w:before="60" w:after="60"/>
              <w:jc w:val="center"/>
              <w:rPr>
                <w:color w:val="000000"/>
                <w:vertAlign w:val="superscript"/>
              </w:rPr>
            </w:pPr>
            <w:r w:rsidRPr="001570EA">
              <w:rPr>
                <w:color w:val="000000"/>
              </w:rPr>
              <w:t>15</w:t>
            </w:r>
            <w:r w:rsidRPr="001570EA">
              <w:rPr>
                <w:color w:val="000000"/>
                <w:vertAlign w:val="superscript"/>
              </w:rPr>
              <w:t>Source 1</w:t>
            </w:r>
          </w:p>
        </w:tc>
      </w:tr>
      <w:tr w:rsidR="007376E1" w:rsidRPr="001570EA" w14:paraId="3AA0F02E"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383C9795" w14:textId="77777777" w:rsidR="007376E1" w:rsidRPr="001570EA" w:rsidRDefault="007376E1">
            <w:pPr>
              <w:pStyle w:val="TableCell"/>
              <w:spacing w:before="60" w:after="60"/>
              <w:rPr>
                <w:b/>
                <w:bCs/>
                <w:color w:val="000000"/>
              </w:rPr>
            </w:pPr>
            <w:r w:rsidRPr="001570EA">
              <w:rPr>
                <w:b/>
                <w:bCs/>
                <w:color w:val="000000"/>
              </w:rPr>
              <w:t>Vintage</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79001C7" w14:textId="77777777" w:rsidR="007376E1" w:rsidRPr="001570EA" w:rsidRDefault="007376E1">
            <w:pPr>
              <w:pStyle w:val="TableCell"/>
              <w:spacing w:before="60" w:after="60"/>
              <w:jc w:val="center"/>
              <w:rPr>
                <w:color w:val="000000"/>
              </w:rPr>
            </w:pPr>
            <w:r w:rsidRPr="001570EA">
              <w:rPr>
                <w:color w:val="000000"/>
              </w:rPr>
              <w:t>Early Replacement, Replace on Burnout, New Construction</w:t>
            </w:r>
          </w:p>
        </w:tc>
      </w:tr>
    </w:tbl>
    <w:p w14:paraId="4B2AFA17" w14:textId="77777777" w:rsidR="007376E1" w:rsidRPr="001570EA" w:rsidRDefault="007376E1" w:rsidP="007376E1"/>
    <w:p w14:paraId="4AC914FA" w14:textId="77777777" w:rsidR="007376E1" w:rsidRPr="001570EA" w:rsidRDefault="007376E1" w:rsidP="007376E1">
      <w:r w:rsidRPr="001570EA">
        <w:t>This measure defines the methods for determining energy impact savings from installation of residential high-efficiency cooling and heating equipment. Input data to savings algorithms are based both on fixed assumptions and data supplied from the high-efficiency equipment AEPS application form or EDC data gathering.</w:t>
      </w:r>
    </w:p>
    <w:p w14:paraId="1F36A5BF" w14:textId="77777777" w:rsidR="007376E1" w:rsidRPr="001570EA" w:rsidRDefault="007376E1" w:rsidP="007376E1"/>
    <w:p w14:paraId="0E814B95" w14:textId="77777777" w:rsidR="007376E1" w:rsidRPr="001570EA" w:rsidRDefault="007376E1" w:rsidP="007376E1">
      <w:r w:rsidRPr="001570EA">
        <w:t>Cooling savings may also be claimed under this measure for quality installation of properly sized new equipment.</w:t>
      </w:r>
    </w:p>
    <w:p w14:paraId="113D59A4" w14:textId="77777777" w:rsidR="007376E1" w:rsidRPr="001570EA" w:rsidRDefault="007376E1" w:rsidP="007376E1">
      <w:pPr>
        <w:numPr>
          <w:ilvl w:val="12"/>
          <w:numId w:val="0"/>
        </w:numPr>
      </w:pPr>
    </w:p>
    <w:p w14:paraId="79A49921" w14:textId="77777777" w:rsidR="007376E1" w:rsidRPr="001570EA" w:rsidRDefault="007376E1" w:rsidP="007376E1">
      <w:r w:rsidRPr="001570EA">
        <w:t>Larger commercial air conditioning and heat pump applications are addressed in Section 3 of Volume 3: Commercial and Industrial Measures of this Manual, including GSHP systems over 65 </w:t>
      </w:r>
      <m:oMath>
        <m:f>
          <m:fPr>
            <m:ctrlPr>
              <w:rPr>
                <w:rFonts w:ascii="Cambria Math" w:eastAsia="Arial Unicode MS" w:hAnsi="Cambria Math"/>
                <w:i/>
                <w:sz w:val="18"/>
                <w:szCs w:val="18"/>
              </w:rPr>
            </m:ctrlPr>
          </m:fPr>
          <m:num>
            <m:r>
              <w:rPr>
                <w:rFonts w:ascii="Cambria Math" w:eastAsia="Arial Unicode MS" w:hAnsi="Cambria Math"/>
                <w:sz w:val="18"/>
                <w:szCs w:val="18"/>
              </w:rPr>
              <m:t>kBTU</m:t>
            </m:r>
          </m:num>
          <m:den>
            <m:r>
              <w:rPr>
                <w:rFonts w:ascii="Cambria Math" w:eastAsia="Arial Unicode MS" w:hAnsi="Cambria Math"/>
                <w:sz w:val="18"/>
                <w:szCs w:val="18"/>
              </w:rPr>
              <m:t>hr</m:t>
            </m:r>
          </m:den>
        </m:f>
      </m:oMath>
      <w:r w:rsidRPr="001570EA">
        <w:t>.</w:t>
      </w:r>
    </w:p>
    <w:p w14:paraId="3A937BCD" w14:textId="77777777" w:rsidR="007376E1" w:rsidRPr="001570EA" w:rsidRDefault="007376E1" w:rsidP="007376E1"/>
    <w:p w14:paraId="47014834" w14:textId="77777777" w:rsidR="007376E1" w:rsidRPr="001570EA" w:rsidRDefault="007376E1" w:rsidP="007376E1">
      <w:pPr>
        <w:pStyle w:val="SubStyle"/>
      </w:pPr>
      <w:r w:rsidRPr="001570EA">
        <w:t>Eligibility</w:t>
      </w:r>
    </w:p>
    <w:p w14:paraId="173BDFD7" w14:textId="5F85B447" w:rsidR="007376E1" w:rsidRPr="001570EA" w:rsidRDefault="007376E1" w:rsidP="007376E1">
      <w:pPr>
        <w:pStyle w:val="BodyText"/>
        <w:spacing w:after="120"/>
        <w:ind w:right="0"/>
      </w:pPr>
      <w:r w:rsidRPr="001570EA">
        <w:t>This measure requires the purchase of a high-efficiency Central Air Conditioner (CAC), Air Source Heat Pump (ASHP), Ground Source Heat Pump (GSHP), Packaged Terminal Air Conditioner (PTAC) or Packaged Terminal Heat Pump (PTHP). Cooling and heating savings claimed from proper sizing requires Manual J calculations, following of ENERGY STAR HVAC Quality Installation procedures, or similar calculations. Residential buildings with properly sized baseline equipment are excluded from claiming savings from proper sizing.</w:t>
      </w:r>
    </w:p>
    <w:p w14:paraId="6F06F2A0" w14:textId="77777777" w:rsidR="007376E1" w:rsidRPr="001570EA" w:rsidRDefault="007376E1" w:rsidP="007376E1">
      <w:pPr>
        <w:jc w:val="left"/>
      </w:pPr>
      <w:r w:rsidRPr="001570EA">
        <w:br w:type="page"/>
      </w:r>
    </w:p>
    <w:p w14:paraId="7896D4D0" w14:textId="77777777" w:rsidR="007376E1" w:rsidRPr="001570EA" w:rsidRDefault="007376E1" w:rsidP="007376E1"/>
    <w:p w14:paraId="4D6F36F5" w14:textId="77777777" w:rsidR="007376E1" w:rsidRPr="001570EA" w:rsidRDefault="007376E1" w:rsidP="007376E1">
      <w:pPr>
        <w:pStyle w:val="SubStyle"/>
      </w:pPr>
      <w:r w:rsidRPr="001570EA">
        <w:t>Algorithms</w:t>
      </w:r>
    </w:p>
    <w:p w14:paraId="3E9C3789" w14:textId="77777777" w:rsidR="007376E1" w:rsidRPr="001570EA" w:rsidRDefault="007376E1" w:rsidP="007376E1">
      <w:pPr>
        <w:spacing w:after="120"/>
      </w:pPr>
      <w:r w:rsidRPr="001570EA">
        <w:t xml:space="preserve">This algorithm is used for the installation of </w:t>
      </w:r>
      <w:r w:rsidRPr="001570EA">
        <w:rPr>
          <w:u w:val="single"/>
        </w:rPr>
        <w:t>ASHP and CAC</w:t>
      </w:r>
      <w:r w:rsidRPr="001570EA">
        <w:t xml:space="preserve"> measures</w:t>
      </w:r>
      <w:r w:rsidRPr="001570EA">
        <w:rPr>
          <w:u w:val="single"/>
          <w:lang w:bidi="en-US"/>
        </w:rPr>
        <w:t xml:space="preserve">: </w:t>
      </w:r>
    </w:p>
    <w:p w14:paraId="0A0B5724" w14:textId="77777777" w:rsidR="007376E1" w:rsidRPr="001570EA" w:rsidRDefault="007376E1" w:rsidP="007376E1">
      <w:pPr>
        <w:spacing w:after="120"/>
      </w:pPr>
    </w:p>
    <w:p w14:paraId="701AC7C8" w14:textId="77777777" w:rsidR="007376E1" w:rsidRPr="001570EA" w:rsidRDefault="007376E1" w:rsidP="007376E1">
      <w:pPr>
        <w:tabs>
          <w:tab w:val="left" w:pos="1440"/>
        </w:tabs>
        <w:rPr>
          <w:rFonts w:cs="Arial"/>
        </w:rPr>
      </w:pPr>
      <w:r w:rsidRPr="001570EA">
        <w:rPr>
          <w:rFonts w:ascii="Cambria Math" w:hAnsi="Cambria Math" w:cs="Arial"/>
          <w:i/>
          <w:iCs/>
        </w:rPr>
        <w:t>ΔkWh</w:t>
      </w:r>
      <w:r w:rsidRPr="001570EA">
        <w:rPr>
          <w:rFonts w:ascii="Cambria Math" w:hAnsi="Cambria Math" w:cs="Arial"/>
          <w:i/>
          <w:iCs/>
        </w:rPr>
        <w:tab/>
      </w:r>
      <m:oMath>
        <m:r>
          <w:rPr>
            <w:rFonts w:ascii="Cambria Math" w:hAnsi="Cambria Math" w:cs="Arial"/>
          </w:rPr>
          <m:t>=</m:t>
        </m:r>
        <m:sSub>
          <m:sSubPr>
            <m:ctrlPr>
              <w:rPr>
                <w:rFonts w:ascii="Cambria Math" w:hAnsi="Cambria Math" w:cs="Arial"/>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cool</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heat</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PSF</m:t>
            </m:r>
          </m:sub>
        </m:sSub>
      </m:oMath>
    </w:p>
    <w:p w14:paraId="4E6F3D57" w14:textId="77777777" w:rsidR="007376E1" w:rsidRPr="001570EA" w:rsidRDefault="007376E1" w:rsidP="007376E1">
      <w:pPr>
        <w:pStyle w:val="Equation"/>
        <w:tabs>
          <w:tab w:val="left" w:pos="1440"/>
        </w:tabs>
        <w:rPr>
          <w:rFonts w:cs="Arial"/>
          <w:szCs w:val="20"/>
          <w:vertAlign w:val="subscript"/>
        </w:rPr>
      </w:pPr>
    </w:p>
    <w:p w14:paraId="1C910BD9" w14:textId="77777777" w:rsidR="007376E1" w:rsidRPr="001570EA" w:rsidRDefault="007376E1" w:rsidP="007376E1">
      <w:pPr>
        <w:tabs>
          <w:tab w:val="left" w:pos="1440"/>
        </w:tabs>
        <w:rPr>
          <w:rFonts w:cs="Arial"/>
        </w:rPr>
      </w:pPr>
      <w:r w:rsidRPr="001570EA">
        <w:rPr>
          <w:rFonts w:ascii="Cambria Math" w:hAnsi="Cambria Math" w:cs="Arial"/>
          <w:i/>
          <w:iCs/>
        </w:rPr>
        <w:tab/>
        <w:t>ΔkWh</w:t>
      </w:r>
      <w:r w:rsidRPr="001570EA">
        <w:rPr>
          <w:rFonts w:ascii="Cambria Math" w:hAnsi="Cambria Math" w:cs="Arial"/>
          <w:i/>
          <w:iCs/>
          <w:vertAlign w:val="subscript"/>
        </w:rPr>
        <w:t>cool</w:t>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SEER2</m:t>
                    </m:r>
                  </m:e>
                  <m:sub>
                    <m:r>
                      <w:rPr>
                        <w:rFonts w:ascii="Cambria Math" w:hAnsi="Cambria Math" w:cs="Arial"/>
                      </w:rPr>
                      <m:t xml:space="preserve">base </m:t>
                    </m:r>
                  </m:sub>
                </m:sSub>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SEER2</m:t>
                    </m:r>
                  </m:e>
                  <m:sub>
                    <m:r>
                      <w:rPr>
                        <w:rFonts w:ascii="Cambria Math" w:hAnsi="Cambria Math" w:cs="Arial"/>
                      </w:rPr>
                      <m:t>ee</m:t>
                    </m:r>
                  </m:sub>
                </m:sSub>
              </m:den>
            </m:f>
          </m:e>
        </m:d>
        <m:r>
          <w:rPr>
            <w:rFonts w:ascii="Cambria Math" w:hAnsi="Cambria Math" w:cs="Arial"/>
          </w:rPr>
          <m:t>×</m:t>
        </m:r>
        <m:sSub>
          <m:sSubPr>
            <m:ctrlPr>
              <w:rPr>
                <w:rFonts w:ascii="Cambria Math" w:hAnsi="Cambria Math" w:cs="Arial"/>
                <w:i/>
              </w:rPr>
            </m:ctrlPr>
          </m:sSubPr>
          <m:e>
            <m:r>
              <w:rPr>
                <w:rFonts w:ascii="Cambria Math" w:hAnsi="Cambria Math" w:cs="Arial"/>
              </w:rPr>
              <m:t>EFLH</m:t>
            </m:r>
          </m:e>
          <m:sub>
            <m:r>
              <w:rPr>
                <w:rFonts w:ascii="Cambria Math" w:hAnsi="Cambria Math" w:cs="Arial"/>
              </w:rPr>
              <m:t>cool</m:t>
            </m:r>
          </m:sub>
        </m:sSub>
      </m:oMath>
    </w:p>
    <w:p w14:paraId="03804420" w14:textId="77777777" w:rsidR="007376E1" w:rsidRPr="001570EA" w:rsidRDefault="007376E1" w:rsidP="007376E1">
      <w:pPr>
        <w:pStyle w:val="Equation"/>
        <w:tabs>
          <w:tab w:val="left" w:pos="1440"/>
        </w:tabs>
        <w:rPr>
          <w:rFonts w:cs="Arial"/>
          <w:szCs w:val="20"/>
          <w:vertAlign w:val="subscript"/>
        </w:rPr>
      </w:pPr>
    </w:p>
    <w:p w14:paraId="6AC22D41" w14:textId="77777777" w:rsidR="007376E1" w:rsidRPr="001570EA" w:rsidRDefault="007376E1" w:rsidP="007376E1">
      <w:pPr>
        <w:pStyle w:val="BodyText"/>
        <w:tabs>
          <w:tab w:val="left" w:pos="1440"/>
        </w:tabs>
        <w:jc w:val="left"/>
        <w:rPr>
          <w:rFonts w:ascii="Cambria Math" w:hAnsi="Cambria Math" w:cs="Arial"/>
          <w:i/>
        </w:rPr>
      </w:pPr>
      <w:r w:rsidRPr="001570EA">
        <w:rPr>
          <w:rFonts w:ascii="Cambria Math" w:hAnsi="Cambria Math" w:cs="Arial"/>
          <w:i/>
          <w:iCs/>
        </w:rPr>
        <w:tab/>
        <w:t>ΔkWh</w:t>
      </w:r>
      <w:r w:rsidRPr="001570EA">
        <w:rPr>
          <w:rFonts w:ascii="Cambria Math" w:hAnsi="Cambria Math" w:cs="Arial"/>
          <w:i/>
          <w:iCs/>
          <w:vertAlign w:val="subscript"/>
        </w:rPr>
        <w:t>heat</w:t>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r>
          <w:rPr>
            <w:rFonts w:ascii="Cambria Math" w:hAnsi="Cambria Math" w:cs="Arial"/>
          </w:rPr>
          <m:t>×</m:t>
        </m:r>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heat</m:t>
                    </m:r>
                  </m:sub>
                </m:sSub>
              </m:num>
              <m:den>
                <m:sSub>
                  <m:sSubPr>
                    <m:ctrlPr>
                      <w:rPr>
                        <w:rFonts w:ascii="Cambria Math" w:hAnsi="Cambria Math" w:cs="Arial"/>
                      </w:rPr>
                    </m:ctrlPr>
                  </m:sSubPr>
                  <m:e>
                    <m:r>
                      <w:rPr>
                        <w:rFonts w:ascii="Cambria Math" w:hAnsi="Cambria Math" w:cs="Arial"/>
                      </w:rPr>
                      <m:t>HSPF2</m:t>
                    </m:r>
                  </m:e>
                  <m:sub>
                    <m:r>
                      <w:rPr>
                        <w:rFonts w:ascii="Cambria Math" w:hAnsi="Cambria Math" w:cs="Arial"/>
                      </w:rPr>
                      <m:t>base</m:t>
                    </m:r>
                  </m:sub>
                </m:sSub>
                <m:r>
                  <w:rPr>
                    <w:rFonts w:ascii="Cambria Math" w:hAnsi="Cambria Math" w:cs="Arial"/>
                  </w:rPr>
                  <m:t xml:space="preserve">  </m:t>
                </m:r>
              </m:den>
            </m:f>
            <m:r>
              <w:rPr>
                <w:rFonts w:ascii="Cambria Math" w:hAnsi="Cambria Math" w:cs="Arial"/>
              </w:rPr>
              <m:t>-</m:t>
            </m:r>
            <m:f>
              <m:fPr>
                <m:ctrlPr>
                  <w:rPr>
                    <w:rFonts w:ascii="Cambria Math" w:hAnsi="Cambria Math" w:cs="Arial"/>
                  </w:rPr>
                </m:ctrlPr>
              </m:fPr>
              <m:num>
                <m:r>
                  <w:rPr>
                    <w:rFonts w:ascii="Cambria Math" w:hAnsi="Cambria Math" w:cs="Arial"/>
                  </w:rPr>
                  <m:t>1</m:t>
                </m:r>
              </m:num>
              <m:den>
                <m:sSub>
                  <m:sSubPr>
                    <m:ctrlPr>
                      <w:rPr>
                        <w:rFonts w:ascii="Cambria Math" w:hAnsi="Cambria Math" w:cs="Arial"/>
                      </w:rPr>
                    </m:ctrlPr>
                  </m:sSubPr>
                  <m:e>
                    <m:r>
                      <w:rPr>
                        <w:rFonts w:ascii="Cambria Math" w:hAnsi="Cambria Math" w:cs="Arial"/>
                      </w:rPr>
                      <m:t>HSPF2</m:t>
                    </m:r>
                  </m:e>
                  <m:sub>
                    <m:r>
                      <w:rPr>
                        <w:rFonts w:ascii="Cambria Math" w:hAnsi="Cambria Math" w:cs="Arial"/>
                      </w:rPr>
                      <m:t>ee</m:t>
                    </m:r>
                  </m:sub>
                </m:sSub>
              </m:den>
            </m:f>
          </m:e>
        </m:d>
        <m:r>
          <w:rPr>
            <w:rFonts w:ascii="Cambria Math" w:hAnsi="Cambria Math" w:cs="Arial"/>
          </w:rPr>
          <m:t>×</m:t>
        </m:r>
        <m:sSub>
          <m:sSubPr>
            <m:ctrlPr>
              <w:rPr>
                <w:rFonts w:ascii="Cambria Math" w:hAnsi="Cambria Math" w:cs="Arial"/>
              </w:rPr>
            </m:ctrlPr>
          </m:sSubPr>
          <m:e>
            <m:r>
              <w:rPr>
                <w:rFonts w:ascii="Cambria Math" w:hAnsi="Cambria Math" w:cs="Arial"/>
              </w:rPr>
              <m:t>EFLH</m:t>
            </m:r>
          </m:e>
          <m:sub>
            <m:r>
              <w:rPr>
                <w:rFonts w:ascii="Cambria Math" w:hAnsi="Cambria Math" w:cs="Arial"/>
              </w:rPr>
              <m:t>heat</m:t>
            </m:r>
          </m:sub>
        </m:sSub>
      </m:oMath>
    </w:p>
    <w:p w14:paraId="364F0835" w14:textId="77777777" w:rsidR="007376E1" w:rsidRPr="001570EA" w:rsidRDefault="007376E1" w:rsidP="007376E1">
      <w:pPr>
        <w:pStyle w:val="BodyText"/>
        <w:tabs>
          <w:tab w:val="left" w:pos="1440"/>
        </w:tabs>
        <w:jc w:val="left"/>
        <w:rPr>
          <w:rFonts w:cs="Arial"/>
          <w:vertAlign w:val="subscript"/>
        </w:rPr>
      </w:pPr>
    </w:p>
    <w:p w14:paraId="10FA9AD2" w14:textId="77777777" w:rsidR="007376E1" w:rsidRPr="001570EA" w:rsidRDefault="007376E1" w:rsidP="007376E1">
      <w:pPr>
        <w:pStyle w:val="BodyText"/>
        <w:tabs>
          <w:tab w:val="left" w:pos="1440"/>
        </w:tabs>
        <w:jc w:val="left"/>
        <w:rPr>
          <w:rFonts w:ascii="Cambria Math" w:hAnsi="Cambria Math" w:cs="Arial"/>
          <w:i/>
        </w:rPr>
      </w:pPr>
      <w:r w:rsidRPr="001570EA">
        <w:rPr>
          <w:rFonts w:ascii="Cambria Math" w:hAnsi="Cambria Math" w:cs="Arial"/>
          <w:i/>
          <w:iCs/>
        </w:rPr>
        <w:tab/>
        <w:t>ΔkWh</w:t>
      </w:r>
      <w:r w:rsidRPr="001570EA">
        <w:rPr>
          <w:rFonts w:ascii="Cambria Math" w:hAnsi="Cambria Math" w:cs="Arial"/>
          <w:i/>
          <w:iCs/>
          <w:vertAlign w:val="subscript"/>
        </w:rPr>
        <w:t>PSF</w:t>
      </w:r>
      <w:r w:rsidRPr="001570EA">
        <w:rPr>
          <w:rFonts w:ascii="Cambria Math" w:hAnsi="Cambria Math" w:cs="Arial"/>
          <w:i/>
          <w:iCs/>
          <w:vertAlign w:val="subscript"/>
        </w:rPr>
        <w:tab/>
      </w:r>
      <m:oMath>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SEER2</m:t>
                </m:r>
              </m:e>
              <m:sub>
                <m:r>
                  <w:rPr>
                    <w:rFonts w:ascii="Cambria Math" w:hAnsi="Cambria Math" w:cs="Arial"/>
                  </w:rPr>
                  <m:t>ee</m:t>
                </m:r>
              </m:sub>
            </m:sSub>
          </m:den>
        </m:f>
        <m:r>
          <w:rPr>
            <w:rFonts w:ascii="Cambria Math" w:hAnsi="Cambria Math" w:cs="Arial"/>
          </w:rPr>
          <m:t>×PSF×</m:t>
        </m:r>
        <m:sSub>
          <m:sSubPr>
            <m:ctrlPr>
              <w:rPr>
                <w:rFonts w:ascii="Cambria Math" w:hAnsi="Cambria Math" w:cs="Arial"/>
              </w:rPr>
            </m:ctrlPr>
          </m:sSubPr>
          <m:e>
            <m:r>
              <w:rPr>
                <w:rFonts w:ascii="Cambria Math" w:hAnsi="Cambria Math" w:cs="Arial"/>
              </w:rPr>
              <m:t>EFLH</m:t>
            </m:r>
          </m:e>
          <m:sub>
            <m:r>
              <w:rPr>
                <w:rFonts w:ascii="Cambria Math" w:hAnsi="Cambria Math" w:cs="Arial"/>
              </w:rPr>
              <m:t>cool</m:t>
            </m:r>
          </m:sub>
        </m:sSub>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num>
          <m:den>
            <m:sSub>
              <m:sSubPr>
                <m:ctrlPr>
                  <w:rPr>
                    <w:rFonts w:ascii="Cambria Math" w:hAnsi="Cambria Math" w:cs="Arial"/>
                    <w:i/>
                  </w:rPr>
                </m:ctrlPr>
              </m:sSubPr>
              <m:e>
                <m:r>
                  <w:rPr>
                    <w:rFonts w:ascii="Cambria Math" w:hAnsi="Cambria Math" w:cs="Arial"/>
                  </w:rPr>
                  <m:t>HSPF2</m:t>
                </m:r>
              </m:e>
              <m:sub>
                <m:r>
                  <w:rPr>
                    <w:rFonts w:ascii="Cambria Math" w:hAnsi="Cambria Math" w:cs="Arial"/>
                  </w:rPr>
                  <m:t>ee</m:t>
                </m:r>
              </m:sub>
            </m:sSub>
          </m:den>
        </m:f>
        <m:r>
          <w:rPr>
            <w:rFonts w:ascii="Cambria Math" w:hAnsi="Cambria Math" w:cs="Arial"/>
          </w:rPr>
          <m:t>×PSF×</m:t>
        </m:r>
        <m:sSub>
          <m:sSubPr>
            <m:ctrlPr>
              <w:rPr>
                <w:rFonts w:ascii="Cambria Math" w:hAnsi="Cambria Math" w:cs="Arial"/>
              </w:rPr>
            </m:ctrlPr>
          </m:sSubPr>
          <m:e>
            <m:r>
              <w:rPr>
                <w:rFonts w:ascii="Cambria Math" w:hAnsi="Cambria Math" w:cs="Arial"/>
              </w:rPr>
              <m:t>EFLH</m:t>
            </m:r>
          </m:e>
          <m:sub>
            <m:r>
              <w:rPr>
                <w:rFonts w:ascii="Cambria Math" w:hAnsi="Cambria Math" w:cs="Arial"/>
              </w:rPr>
              <m:t>heat</m:t>
            </m:r>
          </m:sub>
        </m:sSub>
      </m:oMath>
    </w:p>
    <w:p w14:paraId="79121B4A" w14:textId="77777777" w:rsidR="007376E1" w:rsidRPr="001570EA" w:rsidRDefault="007376E1" w:rsidP="007376E1">
      <w:pPr>
        <w:pStyle w:val="BodyText"/>
        <w:tabs>
          <w:tab w:val="left" w:pos="1440"/>
        </w:tabs>
        <w:jc w:val="left"/>
        <w:rPr>
          <w:rFonts w:ascii="Cambria Math" w:hAnsi="Cambria Math" w:cs="Arial"/>
          <w:i/>
        </w:rPr>
      </w:pPr>
    </w:p>
    <w:p w14:paraId="46ADDE25" w14:textId="77777777" w:rsidR="007376E1" w:rsidRPr="001570EA" w:rsidRDefault="007376E1" w:rsidP="007376E1">
      <w:pPr>
        <w:pStyle w:val="Equation"/>
        <w:tabs>
          <w:tab w:val="left" w:pos="1440"/>
        </w:tabs>
        <w:rPr>
          <w:rFonts w:cs="Arial"/>
          <w:szCs w:val="20"/>
          <w:vertAlign w:val="subscript"/>
        </w:rPr>
      </w:pPr>
    </w:p>
    <w:p w14:paraId="172FF973" w14:textId="77777777" w:rsidR="007376E1" w:rsidRPr="001570EA" w:rsidRDefault="007376E1" w:rsidP="007376E1">
      <w:pPr>
        <w:tabs>
          <w:tab w:val="left" w:pos="1440"/>
        </w:tabs>
        <w:rPr>
          <w:rFonts w:ascii="Cambria Math" w:hAnsi="Cambria Math" w:cs="Arial"/>
          <w:i/>
        </w:rPr>
      </w:pPr>
      <w:r w:rsidRPr="001570EA">
        <w:rPr>
          <w:rFonts w:ascii="Cambria Math" w:hAnsi="Cambria Math" w:cs="Arial"/>
          <w:i/>
          <w:iCs/>
        </w:rPr>
        <w:t>ΔkW</w:t>
      </w:r>
      <w:r w:rsidRPr="001570EA">
        <w:rPr>
          <w:rFonts w:ascii="Cambria Math" w:hAnsi="Cambria Math" w:cs="Arial"/>
          <w:i/>
          <w:iCs/>
          <w:vertAlign w:val="subscript"/>
        </w:rPr>
        <w:t>summer peak</w:t>
      </w:r>
      <w:r w:rsidRPr="001570EA">
        <w:rPr>
          <w:rFonts w:ascii="Cambria Math" w:hAnsi="Cambria Math" w:cs="Arial"/>
          <w:i/>
          <w:iCs/>
        </w:rPr>
        <w:tab/>
      </w:r>
      <m:oMath>
        <m:r>
          <w:rPr>
            <w:rFonts w:ascii="Cambria Math" w:hAnsi="Cambria Math" w:cs="Arial"/>
          </w:rPr>
          <m:t>=</m:t>
        </m:r>
        <m:sSub>
          <m:sSubPr>
            <m:ctrlPr>
              <w:rPr>
                <w:rFonts w:ascii="Cambria Math" w:hAnsi="Cambria Math" w:cs="Arial"/>
                <w:i/>
              </w:rPr>
            </m:ctrlPr>
          </m:sSubPr>
          <m:e>
            <m:r>
              <w:rPr>
                <w:rFonts w:ascii="Cambria Math" w:hAnsi="Cambria Math" w:cs="Arial"/>
              </w:rPr>
              <m:t>∆kW</m:t>
            </m:r>
          </m:e>
          <m:sub>
            <m:r>
              <w:rPr>
                <w:rFonts w:ascii="Cambria Math" w:hAnsi="Cambria Math" w:cs="Arial"/>
              </w:rPr>
              <m:t>cool</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∆kW</m:t>
            </m:r>
          </m:e>
          <m:sub>
            <m:r>
              <w:rPr>
                <w:rFonts w:ascii="Cambria Math" w:hAnsi="Cambria Math" w:cs="Arial"/>
              </w:rPr>
              <m:t>PSF cool</m:t>
            </m:r>
          </m:sub>
        </m:sSub>
      </m:oMath>
    </w:p>
    <w:p w14:paraId="2681799C" w14:textId="77777777" w:rsidR="007376E1" w:rsidRPr="001570EA" w:rsidRDefault="007376E1" w:rsidP="007376E1">
      <w:pPr>
        <w:tabs>
          <w:tab w:val="left" w:pos="1440"/>
        </w:tabs>
        <w:rPr>
          <w:rFonts w:ascii="Cambria Math" w:hAnsi="Cambria Math" w:cs="Arial"/>
          <w:i/>
        </w:rPr>
      </w:pPr>
    </w:p>
    <w:p w14:paraId="50231E6D" w14:textId="77777777" w:rsidR="007376E1" w:rsidRPr="001570EA" w:rsidRDefault="007376E1" w:rsidP="007376E1">
      <w:pPr>
        <w:pStyle w:val="BodyText"/>
        <w:tabs>
          <w:tab w:val="left" w:pos="1440"/>
        </w:tabs>
        <w:jc w:val="left"/>
        <w:rPr>
          <w:rFonts w:ascii="Cambria Math" w:hAnsi="Cambria Math" w:cs="Arial"/>
          <w:i/>
        </w:rPr>
      </w:pPr>
      <w:r w:rsidRPr="001570EA">
        <w:rPr>
          <w:rFonts w:ascii="Cambria Math" w:hAnsi="Cambria Math" w:cs="Arial"/>
          <w:i/>
          <w:iCs/>
        </w:rPr>
        <w:tab/>
        <w:t>ΔkW</w:t>
      </w:r>
      <w:r w:rsidRPr="001570EA">
        <w:rPr>
          <w:rFonts w:ascii="Cambria Math" w:hAnsi="Cambria Math" w:cs="Arial"/>
          <w:i/>
          <w:iCs/>
          <w:vertAlign w:val="subscript"/>
        </w:rPr>
        <w:t>cool</w:t>
      </w:r>
      <w:r w:rsidRPr="001570EA">
        <w:rPr>
          <w:rFonts w:ascii="Cambria Math" w:hAnsi="Cambria Math" w:cs="Arial"/>
          <w:i/>
          <w:iCs/>
          <w:vertAlign w:val="subscript"/>
        </w:rPr>
        <w:tab/>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EER2</m:t>
                    </m:r>
                  </m:e>
                  <m:sub>
                    <m:r>
                      <w:rPr>
                        <w:rFonts w:ascii="Cambria Math" w:hAnsi="Cambria Math" w:cs="Arial"/>
                      </w:rPr>
                      <m:t>base</m:t>
                    </m:r>
                  </m:sub>
                </m:sSub>
                <m:r>
                  <w:rPr>
                    <w:rFonts w:ascii="Cambria Math" w:hAnsi="Cambria Math" w:cs="Arial"/>
                  </w:rPr>
                  <m:t xml:space="preserve"> </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EER2</m:t>
                    </m:r>
                  </m:e>
                  <m:sub>
                    <m:r>
                      <w:rPr>
                        <w:rFonts w:ascii="Cambria Math" w:hAnsi="Cambria Math" w:cs="Arial"/>
                      </w:rPr>
                      <m:t>ee</m:t>
                    </m:r>
                  </m:sub>
                </m:sSub>
                <m:r>
                  <w:rPr>
                    <w:rFonts w:ascii="Cambria Math" w:hAnsi="Cambria Math" w:cs="Arial"/>
                  </w:rPr>
                  <m:t xml:space="preserve"> </m:t>
                </m:r>
              </m:den>
            </m:f>
          </m:e>
        </m:d>
        <m:r>
          <w:rPr>
            <w:rFonts w:ascii="Cambria Math" w:hAnsi="Cambria Math" w:cs="Arial"/>
          </w:rPr>
          <m:t>×</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p>
    <w:p w14:paraId="6E5323BF" w14:textId="77777777" w:rsidR="007376E1" w:rsidRPr="001570EA" w:rsidRDefault="007376E1" w:rsidP="007376E1">
      <w:pPr>
        <w:pStyle w:val="BodyText"/>
        <w:tabs>
          <w:tab w:val="left" w:pos="1440"/>
        </w:tabs>
        <w:jc w:val="left"/>
        <w:rPr>
          <w:rFonts w:ascii="Cambria Math" w:hAnsi="Cambria Math" w:cs="Arial"/>
          <w:i/>
        </w:rPr>
      </w:pPr>
    </w:p>
    <w:p w14:paraId="068F42A9" w14:textId="77777777" w:rsidR="007376E1" w:rsidRPr="001570EA" w:rsidRDefault="007376E1" w:rsidP="007376E1">
      <w:pPr>
        <w:tabs>
          <w:tab w:val="left" w:pos="1440"/>
        </w:tabs>
        <w:rPr>
          <w:rFonts w:ascii="Cambria Math" w:hAnsi="Cambria Math" w:cs="Arial"/>
          <w:i/>
          <w:iCs/>
        </w:rPr>
      </w:pPr>
      <w:r w:rsidRPr="001570EA">
        <w:rPr>
          <w:rFonts w:ascii="Cambria Math" w:hAnsi="Cambria Math" w:cs="Arial"/>
          <w:i/>
          <w:iCs/>
        </w:rPr>
        <w:tab/>
        <w:t>ΔkW</w:t>
      </w:r>
      <w:r w:rsidRPr="001570EA">
        <w:rPr>
          <w:rFonts w:ascii="Cambria Math" w:hAnsi="Cambria Math" w:cs="Arial"/>
          <w:i/>
          <w:iCs/>
          <w:vertAlign w:val="subscript"/>
        </w:rPr>
        <w:t>PSF cool</w:t>
      </w:r>
      <w:r w:rsidRPr="001570EA">
        <w:rPr>
          <w:rFonts w:ascii="Cambria Math" w:hAnsi="Cambria Math" w:cs="Arial"/>
          <w:i/>
          <w:iCs/>
          <w:vertAlign w:val="subscript"/>
        </w:rPr>
        <w:tab/>
      </w:r>
      <m:oMath>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EER2</m:t>
                </m:r>
              </m:e>
              <m:sub>
                <m:r>
                  <w:rPr>
                    <w:rFonts w:ascii="Cambria Math" w:hAnsi="Cambria Math" w:cs="Arial"/>
                  </w:rPr>
                  <m:t>ee</m:t>
                </m:r>
              </m:sub>
            </m:sSub>
          </m:den>
        </m:f>
        <m:r>
          <w:rPr>
            <w:rFonts w:ascii="Cambria Math" w:hAnsi="Cambria Math" w:cs="Arial"/>
          </w:rPr>
          <m:t>×PSF×</m:t>
        </m:r>
        <m:sSub>
          <m:sSubPr>
            <m:ctrlPr>
              <w:rPr>
                <w:rFonts w:ascii="Cambria Math" w:hAnsi="Cambria Math" w:cs="Arial"/>
                <w:i/>
                <w:szCs w:val="20"/>
              </w:rPr>
            </m:ctrlPr>
          </m:sSubPr>
          <m:e>
            <m:r>
              <w:rPr>
                <w:rFonts w:ascii="Cambria Math" w:hAnsi="Cambria Math" w:cs="Arial"/>
              </w:rPr>
              <m:t>CF</m:t>
            </m:r>
          </m:e>
          <m:sub>
            <m:r>
              <w:rPr>
                <w:rFonts w:ascii="Cambria Math" w:hAnsi="Cambria Math" w:cs="Arial"/>
              </w:rPr>
              <m:t>summer</m:t>
            </m:r>
          </m:sub>
        </m:sSub>
      </m:oMath>
    </w:p>
    <w:p w14:paraId="40FD1301" w14:textId="77777777" w:rsidR="007376E1" w:rsidRPr="001570EA" w:rsidRDefault="007376E1" w:rsidP="007376E1">
      <w:pPr>
        <w:tabs>
          <w:tab w:val="left" w:pos="1440"/>
        </w:tabs>
        <w:rPr>
          <w:rFonts w:ascii="Cambria Math" w:hAnsi="Cambria Math" w:cs="Arial"/>
          <w:i/>
        </w:rPr>
      </w:pPr>
    </w:p>
    <w:p w14:paraId="47CEDD63" w14:textId="77777777" w:rsidR="007376E1" w:rsidRPr="001570EA" w:rsidRDefault="007376E1" w:rsidP="007376E1">
      <w:pPr>
        <w:tabs>
          <w:tab w:val="left" w:pos="1440"/>
        </w:tabs>
        <w:rPr>
          <w:rFonts w:ascii="Cambria Math" w:hAnsi="Cambria Math" w:cs="Arial"/>
          <w:i/>
        </w:rPr>
      </w:pPr>
      <w:r w:rsidRPr="001570EA">
        <w:rPr>
          <w:rFonts w:ascii="Cambria Math" w:hAnsi="Cambria Math" w:cs="Arial"/>
          <w:i/>
          <w:iCs/>
        </w:rPr>
        <w:t>ΔkW</w:t>
      </w:r>
      <w:r w:rsidRPr="001570EA">
        <w:rPr>
          <w:rFonts w:ascii="Cambria Math" w:hAnsi="Cambria Math" w:cs="Arial"/>
          <w:i/>
          <w:iCs/>
          <w:vertAlign w:val="subscript"/>
        </w:rPr>
        <w:t>winter peak</w:t>
      </w:r>
      <w:r w:rsidRPr="001570EA">
        <w:rPr>
          <w:rFonts w:ascii="Cambria Math" w:hAnsi="Cambria Math" w:cs="Arial"/>
          <w:i/>
          <w:iCs/>
        </w:rPr>
        <w:tab/>
      </w:r>
      <m:oMath>
        <m:r>
          <w:rPr>
            <w:rFonts w:ascii="Cambria Math" w:hAnsi="Cambria Math" w:cs="Arial"/>
          </w:rPr>
          <m:t>=</m:t>
        </m:r>
        <m:sSub>
          <m:sSubPr>
            <m:ctrlPr>
              <w:rPr>
                <w:rFonts w:ascii="Cambria Math" w:hAnsi="Cambria Math" w:cs="Arial"/>
                <w:i/>
              </w:rPr>
            </m:ctrlPr>
          </m:sSubPr>
          <m:e>
            <m:r>
              <w:rPr>
                <w:rFonts w:ascii="Cambria Math" w:hAnsi="Cambria Math" w:cs="Arial"/>
              </w:rPr>
              <m:t>∆kW</m:t>
            </m:r>
          </m:e>
          <m:sub>
            <m:r>
              <w:rPr>
                <w:rFonts w:ascii="Cambria Math" w:hAnsi="Cambria Math" w:cs="Arial"/>
              </w:rPr>
              <m:t>heat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∆kW</m:t>
            </m:r>
          </m:e>
          <m:sub>
            <m:r>
              <w:rPr>
                <w:rFonts w:ascii="Cambria Math" w:hAnsi="Cambria Math" w:cs="Arial"/>
              </w:rPr>
              <m:t>PSF_heat</m:t>
            </m:r>
          </m:sub>
        </m:sSub>
      </m:oMath>
    </w:p>
    <w:p w14:paraId="660FF881" w14:textId="77777777" w:rsidR="007376E1" w:rsidRPr="001570EA" w:rsidRDefault="007376E1" w:rsidP="007376E1">
      <w:pPr>
        <w:tabs>
          <w:tab w:val="left" w:pos="1440"/>
        </w:tabs>
        <w:rPr>
          <w:rFonts w:ascii="Cambria Math" w:hAnsi="Cambria Math" w:cs="Arial"/>
          <w:i/>
          <w:iCs/>
        </w:rPr>
      </w:pPr>
    </w:p>
    <w:p w14:paraId="0DBD4907" w14:textId="77777777" w:rsidR="007376E1" w:rsidRPr="001570EA" w:rsidRDefault="007376E1" w:rsidP="007376E1">
      <w:pPr>
        <w:tabs>
          <w:tab w:val="left" w:pos="1440"/>
        </w:tabs>
        <w:rPr>
          <w:rFonts w:ascii="Cambria Math" w:hAnsi="Cambria Math" w:cs="Arial"/>
          <w:i/>
        </w:rPr>
      </w:pPr>
      <w:r w:rsidRPr="001570EA">
        <w:rPr>
          <w:rFonts w:ascii="Cambria Math" w:hAnsi="Cambria Math" w:cs="Arial"/>
          <w:i/>
        </w:rPr>
        <w:tab/>
      </w:r>
      <w:r w:rsidRPr="001570EA">
        <w:rPr>
          <w:rFonts w:ascii="Cambria Math" w:hAnsi="Cambria Math" w:cs="Arial"/>
          <w:i/>
          <w:iCs/>
        </w:rPr>
        <w:t>ΔkW</w:t>
      </w:r>
      <w:r w:rsidRPr="001570EA">
        <w:rPr>
          <w:rFonts w:ascii="Cambria Math" w:hAnsi="Cambria Math" w:cs="Arial"/>
          <w:i/>
          <w:iCs/>
          <w:vertAlign w:val="subscript"/>
        </w:rPr>
        <w:t>heat</w:t>
      </w:r>
      <w:r w:rsidRPr="001570EA">
        <w:rPr>
          <w:rFonts w:ascii="Cambria Math" w:hAnsi="Cambria Math" w:cs="Arial"/>
          <w:i/>
          <w:iCs/>
          <w:vertAlign w:val="subscript"/>
        </w:rPr>
        <w:tab/>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heat</m:t>
                    </m:r>
                  </m:sub>
                </m:sSub>
              </m:num>
              <m:den>
                <m:sSub>
                  <m:sSubPr>
                    <m:ctrlPr>
                      <w:rPr>
                        <w:rFonts w:ascii="Cambria Math" w:hAnsi="Cambria Math" w:cs="Arial"/>
                        <w:i/>
                      </w:rPr>
                    </m:ctrlPr>
                  </m:sSubPr>
                  <m:e>
                    <m:r>
                      <w:rPr>
                        <w:rFonts w:ascii="Cambria Math" w:hAnsi="Cambria Math" w:cs="Arial"/>
                      </w:rPr>
                      <m:t>COP</m:t>
                    </m:r>
                  </m:e>
                  <m:sub>
                    <m:r>
                      <w:rPr>
                        <w:rFonts w:ascii="Cambria Math" w:hAnsi="Cambria Math" w:cs="Arial"/>
                      </w:rPr>
                      <m:t>base</m:t>
                    </m:r>
                  </m:sub>
                </m:sSub>
                <m:r>
                  <w:rPr>
                    <w:rFonts w:ascii="Cambria Math" w:hAnsi="Cambria Math" w:cs="Arial"/>
                  </w:rPr>
                  <m:t xml:space="preserve"> </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COP</m:t>
                    </m:r>
                  </m:e>
                  <m:sub>
                    <m:r>
                      <w:rPr>
                        <w:rFonts w:ascii="Cambria Math" w:hAnsi="Cambria Math" w:cs="Arial"/>
                      </w:rPr>
                      <m:t>ee</m:t>
                    </m:r>
                  </m:sub>
                </m:sSub>
                <m:r>
                  <w:rPr>
                    <w:rFonts w:ascii="Cambria Math" w:hAnsi="Cambria Math" w:cs="Arial"/>
                  </w:rPr>
                  <m:t xml:space="preserve"> </m:t>
                </m:r>
              </m:den>
            </m:f>
          </m:e>
        </m:d>
        <m:r>
          <w:rPr>
            <w:rFonts w:ascii="Cambria Math" w:hAnsi="Cambria Math" w:cs="Arial"/>
          </w:rPr>
          <m:t xml:space="preserve">× </m:t>
        </m:r>
        <m:f>
          <m:fPr>
            <m:ctrlPr>
              <w:rPr>
                <w:rFonts w:ascii="Cambria Math" w:hAnsi="Cambria Math"/>
              </w:rPr>
            </m:ctrlPr>
          </m:fPr>
          <m:num>
            <m:r>
              <w:rPr>
                <w:rFonts w:ascii="Cambria Math" w:hAnsi="Cambria Math"/>
              </w:rPr>
              <m:t>1</m:t>
            </m:r>
          </m:num>
          <m:den>
            <m:r>
              <m:rPr>
                <m:sty m:val="p"/>
              </m:rPr>
              <w:rPr>
                <w:rFonts w:ascii="Cambria Math" w:hAnsi="Cambria Math"/>
              </w:rPr>
              <m:t>3.412</m:t>
            </m:r>
            <m:f>
              <m:fPr>
                <m:ctrlPr>
                  <w:rPr>
                    <w:rFonts w:ascii="Cambria Math" w:hAnsi="Cambria Math" w:cs="Arial"/>
                  </w:rPr>
                </m:ctrlPr>
              </m:fPr>
              <m:num>
                <m:r>
                  <m:rPr>
                    <m:sty m:val="p"/>
                  </m:rPr>
                  <w:rPr>
                    <w:rFonts w:ascii="Cambria Math" w:hAnsi="Cambria Math" w:cs="Arial"/>
                  </w:rPr>
                  <m:t>BTU</m:t>
                </m:r>
                <m:ctrlPr>
                  <w:rPr>
                    <w:rFonts w:ascii="Cambria Math" w:hAnsi="Cambria Math" w:cs="Arial"/>
                    <w:iCs/>
                  </w:rPr>
                </m:ctrlPr>
              </m:num>
              <m:den>
                <m:r>
                  <m:rPr>
                    <m:sty m:val="p"/>
                  </m:rPr>
                  <w:rPr>
                    <w:rFonts w:ascii="Cambria Math" w:hAnsi="Cambria Math" w:cs="Arial"/>
                  </w:rPr>
                  <m:t>W∙h</m:t>
                </m:r>
              </m:den>
            </m:f>
          </m:den>
        </m:f>
        <m:r>
          <w:rPr>
            <w:rFonts w:ascii="Cambria Math" w:hAnsi="Cambria Math" w:cs="Arial"/>
          </w:rPr>
          <m:t>×</m:t>
        </m:r>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r>
          <w:rPr>
            <w:rFonts w:ascii="Cambria Math" w:hAnsi="Cambria Math" w:cs="Arial"/>
          </w:rPr>
          <m:t xml:space="preserve"> </m:t>
        </m:r>
      </m:oMath>
    </w:p>
    <w:p w14:paraId="31A7550E" w14:textId="77777777" w:rsidR="007376E1" w:rsidRPr="001570EA" w:rsidRDefault="007376E1" w:rsidP="007376E1">
      <w:pPr>
        <w:tabs>
          <w:tab w:val="left" w:pos="1440"/>
        </w:tabs>
        <w:rPr>
          <w:rFonts w:ascii="Cambria Math" w:hAnsi="Cambria Math" w:cs="Arial"/>
          <w:i/>
          <w:iCs/>
          <w:vertAlign w:val="subscript"/>
        </w:rPr>
      </w:pPr>
    </w:p>
    <w:p w14:paraId="7B76C6CF" w14:textId="77777777" w:rsidR="007376E1" w:rsidRPr="001570EA" w:rsidRDefault="007376E1" w:rsidP="007376E1">
      <w:pPr>
        <w:tabs>
          <w:tab w:val="left" w:pos="1440"/>
        </w:tabs>
        <w:rPr>
          <w:rFonts w:ascii="Cambria Math" w:hAnsi="Cambria Math" w:cs="Arial"/>
          <w:i/>
        </w:rPr>
      </w:pPr>
      <w:r w:rsidRPr="001570EA">
        <w:rPr>
          <w:rFonts w:ascii="Cambria Math" w:hAnsi="Cambria Math" w:cs="Arial"/>
          <w:i/>
          <w:iCs/>
          <w:vertAlign w:val="subscript"/>
        </w:rPr>
        <w:tab/>
      </w:r>
      <w:r w:rsidRPr="001570EA">
        <w:rPr>
          <w:rFonts w:ascii="Cambria Math" w:hAnsi="Cambria Math" w:cs="Arial"/>
          <w:i/>
          <w:iCs/>
        </w:rPr>
        <w:t>ΔkW</w:t>
      </w:r>
      <w:r w:rsidRPr="001570EA">
        <w:rPr>
          <w:rFonts w:ascii="Cambria Math" w:hAnsi="Cambria Math" w:cs="Arial"/>
          <w:i/>
          <w:iCs/>
          <w:vertAlign w:val="subscript"/>
        </w:rPr>
        <w:t>PSF heat</w:t>
      </w:r>
      <w:r w:rsidRPr="001570EA">
        <w:rPr>
          <w:rFonts w:ascii="Cambria Math" w:hAnsi="Cambria Math" w:cs="Arial"/>
          <w:i/>
          <w:iCs/>
          <w:vertAlign w:val="subscript"/>
        </w:rPr>
        <w:tab/>
      </w:r>
      <m:oMath>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num>
          <m:den>
            <m:sSub>
              <m:sSubPr>
                <m:ctrlPr>
                  <w:rPr>
                    <w:rFonts w:ascii="Cambria Math" w:hAnsi="Cambria Math" w:cs="Arial"/>
                    <w:i/>
                  </w:rPr>
                </m:ctrlPr>
              </m:sSubPr>
              <m:e>
                <m:r>
                  <w:rPr>
                    <w:rFonts w:ascii="Cambria Math" w:hAnsi="Cambria Math" w:cs="Arial"/>
                  </w:rPr>
                  <m:t>COP</m:t>
                </m:r>
              </m:e>
              <m:sub>
                <m:r>
                  <w:rPr>
                    <w:rFonts w:ascii="Cambria Math" w:hAnsi="Cambria Math" w:cs="Arial"/>
                  </w:rPr>
                  <m:t>ee</m:t>
                </m:r>
              </m:sub>
            </m:sSub>
            <m:r>
              <w:rPr>
                <w:rFonts w:ascii="Cambria Math" w:hAnsi="Cambria Math" w:cs="Arial"/>
              </w:rPr>
              <m:t xml:space="preserve"> × </m:t>
            </m:r>
            <m:r>
              <m:rPr>
                <m:sty m:val="p"/>
              </m:rPr>
              <w:rPr>
                <w:rFonts w:ascii="Cambria Math" w:hAnsi="Cambria Math"/>
              </w:rPr>
              <m:t>3.412</m:t>
            </m:r>
            <m:f>
              <m:fPr>
                <m:ctrlPr>
                  <w:rPr>
                    <w:rFonts w:ascii="Cambria Math" w:hAnsi="Cambria Math" w:cs="Arial"/>
                  </w:rPr>
                </m:ctrlPr>
              </m:fPr>
              <m:num>
                <m:r>
                  <m:rPr>
                    <m:sty m:val="p"/>
                  </m:rPr>
                  <w:rPr>
                    <w:rFonts w:ascii="Cambria Math" w:hAnsi="Cambria Math" w:cs="Arial"/>
                  </w:rPr>
                  <m:t>BTU</m:t>
                </m:r>
                <m:ctrlPr>
                  <w:rPr>
                    <w:rFonts w:ascii="Cambria Math" w:hAnsi="Cambria Math" w:cs="Arial"/>
                    <w:iCs/>
                  </w:rPr>
                </m:ctrlPr>
              </m:num>
              <m:den>
                <m:r>
                  <m:rPr>
                    <m:sty m:val="p"/>
                  </m:rPr>
                  <w:rPr>
                    <w:rFonts w:ascii="Cambria Math" w:hAnsi="Cambria Math" w:cs="Arial"/>
                  </w:rPr>
                  <m:t>W∙h</m:t>
                </m:r>
              </m:den>
            </m:f>
          </m:den>
        </m:f>
        <m:r>
          <w:rPr>
            <w:rFonts w:ascii="Cambria Math" w:hAnsi="Cambria Math" w:cs="Arial"/>
          </w:rPr>
          <m:t>×PSF×</m:t>
        </m:r>
        <m:sSub>
          <m:sSubPr>
            <m:ctrlPr>
              <w:rPr>
                <w:rFonts w:ascii="Cambria Math" w:hAnsi="Cambria Math" w:cs="Arial"/>
                <w:i/>
                <w:szCs w:val="20"/>
              </w:rPr>
            </m:ctrlPr>
          </m:sSubPr>
          <m:e>
            <m:r>
              <w:rPr>
                <w:rFonts w:ascii="Cambria Math" w:hAnsi="Cambria Math" w:cs="Arial"/>
              </w:rPr>
              <m:t>CF</m:t>
            </m:r>
          </m:e>
          <m:sub>
            <m:r>
              <w:rPr>
                <w:rFonts w:ascii="Cambria Math" w:hAnsi="Cambria Math" w:cs="Arial"/>
              </w:rPr>
              <m:t>winter</m:t>
            </m:r>
          </m:sub>
        </m:sSub>
      </m:oMath>
    </w:p>
    <w:p w14:paraId="16B5F368" w14:textId="77777777" w:rsidR="007376E1" w:rsidRPr="001570EA" w:rsidRDefault="007376E1" w:rsidP="007376E1">
      <w:pPr>
        <w:tabs>
          <w:tab w:val="left" w:pos="1440"/>
        </w:tabs>
        <w:rPr>
          <w:rFonts w:ascii="Cambria Math" w:hAnsi="Cambria Math" w:cs="Arial"/>
          <w:i/>
        </w:rPr>
      </w:pPr>
    </w:p>
    <w:p w14:paraId="5D47882A" w14:textId="77777777" w:rsidR="007376E1" w:rsidRPr="001570EA" w:rsidRDefault="007376E1" w:rsidP="007376E1">
      <w:pPr>
        <w:spacing w:after="120"/>
      </w:pPr>
      <w:r w:rsidRPr="001570EA">
        <w:t xml:space="preserve"> This algorithm is used for the installation of </w:t>
      </w:r>
      <w:r w:rsidRPr="001570EA">
        <w:rPr>
          <w:u w:val="single"/>
        </w:rPr>
        <w:t>GSHP, PTAC and PTHP</w:t>
      </w:r>
      <w:r w:rsidRPr="001570EA">
        <w:t xml:space="preserve"> measures</w:t>
      </w:r>
      <w:r w:rsidRPr="001570EA">
        <w:rPr>
          <w:u w:val="single"/>
          <w:lang w:bidi="en-US"/>
        </w:rPr>
        <w:t xml:space="preserve">: </w:t>
      </w:r>
    </w:p>
    <w:p w14:paraId="1C3F939E" w14:textId="77777777" w:rsidR="007376E1" w:rsidRPr="001570EA" w:rsidRDefault="007376E1" w:rsidP="007376E1">
      <w:pPr>
        <w:tabs>
          <w:tab w:val="left" w:pos="1440"/>
        </w:tabs>
        <w:rPr>
          <w:rFonts w:cs="Arial"/>
        </w:rPr>
      </w:pPr>
      <w:r w:rsidRPr="001570EA">
        <w:rPr>
          <w:rFonts w:ascii="Cambria Math" w:hAnsi="Cambria Math" w:cs="Arial"/>
          <w:i/>
          <w:iCs/>
        </w:rPr>
        <w:t>ΔkWh</w:t>
      </w:r>
      <w:r w:rsidRPr="001570EA">
        <w:rPr>
          <w:rFonts w:ascii="Cambria Math" w:hAnsi="Cambria Math" w:cs="Arial"/>
          <w:i/>
          <w:iCs/>
        </w:rPr>
        <w:tab/>
      </w:r>
      <m:oMath>
        <m:r>
          <w:rPr>
            <w:rFonts w:ascii="Cambria Math" w:hAnsi="Cambria Math" w:cs="Arial"/>
          </w:rPr>
          <m:t>=</m:t>
        </m:r>
        <m:sSub>
          <m:sSubPr>
            <m:ctrlPr>
              <w:rPr>
                <w:rFonts w:ascii="Cambria Math" w:hAnsi="Cambria Math" w:cs="Arial"/>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cool</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heat</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PSF</m:t>
            </m:r>
          </m:sub>
        </m:sSub>
      </m:oMath>
    </w:p>
    <w:p w14:paraId="4E0EDE81" w14:textId="77777777" w:rsidR="007376E1" w:rsidRPr="001570EA" w:rsidRDefault="007376E1" w:rsidP="007376E1">
      <w:pPr>
        <w:pStyle w:val="Equation"/>
        <w:tabs>
          <w:tab w:val="left" w:pos="1440"/>
        </w:tabs>
        <w:rPr>
          <w:rFonts w:cs="Arial"/>
          <w:szCs w:val="20"/>
          <w:vertAlign w:val="subscript"/>
        </w:rPr>
      </w:pPr>
    </w:p>
    <w:p w14:paraId="2B7AC6FE" w14:textId="77777777" w:rsidR="007376E1" w:rsidRPr="001570EA" w:rsidRDefault="007376E1" w:rsidP="007376E1">
      <w:pPr>
        <w:tabs>
          <w:tab w:val="left" w:pos="1440"/>
        </w:tabs>
        <w:rPr>
          <w:rFonts w:cs="Arial"/>
        </w:rPr>
      </w:pPr>
      <w:r w:rsidRPr="001570EA">
        <w:rPr>
          <w:rFonts w:ascii="Cambria Math" w:hAnsi="Cambria Math" w:cs="Arial"/>
          <w:i/>
          <w:iCs/>
        </w:rPr>
        <w:tab/>
        <w:t>ΔkWh</w:t>
      </w:r>
      <w:r w:rsidRPr="001570EA">
        <w:rPr>
          <w:rFonts w:ascii="Cambria Math" w:hAnsi="Cambria Math" w:cs="Arial"/>
          <w:i/>
          <w:iCs/>
          <w:vertAlign w:val="subscript"/>
        </w:rPr>
        <w:t>cool</w:t>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SEER</m:t>
                    </m:r>
                  </m:e>
                  <m:sub>
                    <m:r>
                      <w:rPr>
                        <w:rFonts w:ascii="Cambria Math" w:hAnsi="Cambria Math" w:cs="Arial"/>
                      </w:rPr>
                      <m:t xml:space="preserve">base </m:t>
                    </m:r>
                  </m:sub>
                </m:sSub>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SEER</m:t>
                    </m:r>
                  </m:e>
                  <m:sub>
                    <m:r>
                      <w:rPr>
                        <w:rFonts w:ascii="Cambria Math" w:hAnsi="Cambria Math" w:cs="Arial"/>
                      </w:rPr>
                      <m:t>ee</m:t>
                    </m:r>
                  </m:sub>
                </m:sSub>
              </m:den>
            </m:f>
          </m:e>
        </m:d>
        <m:r>
          <w:rPr>
            <w:rFonts w:ascii="Cambria Math" w:hAnsi="Cambria Math" w:cs="Arial"/>
          </w:rPr>
          <m:t>×</m:t>
        </m:r>
        <m:sSub>
          <m:sSubPr>
            <m:ctrlPr>
              <w:rPr>
                <w:rFonts w:ascii="Cambria Math" w:hAnsi="Cambria Math" w:cs="Arial"/>
                <w:i/>
              </w:rPr>
            </m:ctrlPr>
          </m:sSubPr>
          <m:e>
            <m:r>
              <w:rPr>
                <w:rFonts w:ascii="Cambria Math" w:hAnsi="Cambria Math" w:cs="Arial"/>
              </w:rPr>
              <m:t>EFLH</m:t>
            </m:r>
          </m:e>
          <m:sub>
            <m:r>
              <w:rPr>
                <w:rFonts w:ascii="Cambria Math" w:hAnsi="Cambria Math" w:cs="Arial"/>
              </w:rPr>
              <m:t>cool</m:t>
            </m:r>
          </m:sub>
        </m:sSub>
      </m:oMath>
    </w:p>
    <w:p w14:paraId="2030C6BB" w14:textId="77777777" w:rsidR="007376E1" w:rsidRPr="001570EA" w:rsidRDefault="007376E1" w:rsidP="007376E1">
      <w:pPr>
        <w:pStyle w:val="Equation"/>
        <w:tabs>
          <w:tab w:val="left" w:pos="1440"/>
        </w:tabs>
        <w:rPr>
          <w:rFonts w:cs="Arial"/>
          <w:szCs w:val="20"/>
          <w:vertAlign w:val="subscript"/>
        </w:rPr>
      </w:pPr>
    </w:p>
    <w:p w14:paraId="0A44C037" w14:textId="77777777" w:rsidR="007376E1" w:rsidRPr="001570EA" w:rsidRDefault="007376E1" w:rsidP="007376E1">
      <w:pPr>
        <w:pStyle w:val="BodyText"/>
        <w:tabs>
          <w:tab w:val="left" w:pos="1440"/>
        </w:tabs>
        <w:jc w:val="left"/>
        <w:rPr>
          <w:rFonts w:ascii="Cambria Math" w:hAnsi="Cambria Math" w:cs="Arial"/>
          <w:i/>
        </w:rPr>
      </w:pPr>
      <w:r w:rsidRPr="001570EA">
        <w:rPr>
          <w:rFonts w:ascii="Cambria Math" w:hAnsi="Cambria Math" w:cs="Arial"/>
          <w:i/>
          <w:iCs/>
        </w:rPr>
        <w:tab/>
        <w:t>ΔkWh</w:t>
      </w:r>
      <w:r w:rsidRPr="001570EA">
        <w:rPr>
          <w:rFonts w:ascii="Cambria Math" w:hAnsi="Cambria Math" w:cs="Arial"/>
          <w:i/>
          <w:iCs/>
          <w:vertAlign w:val="subscript"/>
        </w:rPr>
        <w:t>heat</w:t>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r>
          <w:rPr>
            <w:rFonts w:ascii="Cambria Math" w:hAnsi="Cambria Math" w:cs="Arial"/>
          </w:rPr>
          <m:t>×</m:t>
        </m:r>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heat</m:t>
                    </m:r>
                  </m:sub>
                </m:sSub>
              </m:num>
              <m:den>
                <m:sSub>
                  <m:sSubPr>
                    <m:ctrlPr>
                      <w:rPr>
                        <w:rFonts w:ascii="Cambria Math" w:hAnsi="Cambria Math" w:cs="Arial"/>
                      </w:rPr>
                    </m:ctrlPr>
                  </m:sSubPr>
                  <m:e>
                    <m:r>
                      <w:rPr>
                        <w:rFonts w:ascii="Cambria Math" w:hAnsi="Cambria Math" w:cs="Arial"/>
                      </w:rPr>
                      <m:t>HSPF</m:t>
                    </m:r>
                  </m:e>
                  <m:sub>
                    <m:r>
                      <w:rPr>
                        <w:rFonts w:ascii="Cambria Math" w:hAnsi="Cambria Math" w:cs="Arial"/>
                      </w:rPr>
                      <m:t>base</m:t>
                    </m:r>
                  </m:sub>
                </m:sSub>
                <m:r>
                  <w:rPr>
                    <w:rFonts w:ascii="Cambria Math" w:hAnsi="Cambria Math" w:cs="Arial"/>
                  </w:rPr>
                  <m:t xml:space="preserve">  </m:t>
                </m:r>
              </m:den>
            </m:f>
            <m:r>
              <w:rPr>
                <w:rFonts w:ascii="Cambria Math" w:hAnsi="Cambria Math" w:cs="Arial"/>
              </w:rPr>
              <m:t>-</m:t>
            </m:r>
            <m:f>
              <m:fPr>
                <m:ctrlPr>
                  <w:rPr>
                    <w:rFonts w:ascii="Cambria Math" w:hAnsi="Cambria Math" w:cs="Arial"/>
                  </w:rPr>
                </m:ctrlPr>
              </m:fPr>
              <m:num>
                <m:r>
                  <w:rPr>
                    <w:rFonts w:ascii="Cambria Math" w:hAnsi="Cambria Math" w:cs="Arial"/>
                  </w:rPr>
                  <m:t>1</m:t>
                </m:r>
              </m:num>
              <m:den>
                <m:sSub>
                  <m:sSubPr>
                    <m:ctrlPr>
                      <w:rPr>
                        <w:rFonts w:ascii="Cambria Math" w:hAnsi="Cambria Math" w:cs="Arial"/>
                      </w:rPr>
                    </m:ctrlPr>
                  </m:sSubPr>
                  <m:e>
                    <m:r>
                      <w:rPr>
                        <w:rFonts w:ascii="Cambria Math" w:hAnsi="Cambria Math" w:cs="Arial"/>
                      </w:rPr>
                      <m:t>HSPF</m:t>
                    </m:r>
                  </m:e>
                  <m:sub>
                    <m:r>
                      <w:rPr>
                        <w:rFonts w:ascii="Cambria Math" w:hAnsi="Cambria Math" w:cs="Arial"/>
                      </w:rPr>
                      <m:t>ee</m:t>
                    </m:r>
                  </m:sub>
                </m:sSub>
              </m:den>
            </m:f>
          </m:e>
        </m:d>
        <m:r>
          <w:rPr>
            <w:rFonts w:ascii="Cambria Math" w:hAnsi="Cambria Math" w:cs="Arial"/>
          </w:rPr>
          <m:t>×</m:t>
        </m:r>
        <m:sSub>
          <m:sSubPr>
            <m:ctrlPr>
              <w:rPr>
                <w:rFonts w:ascii="Cambria Math" w:hAnsi="Cambria Math" w:cs="Arial"/>
              </w:rPr>
            </m:ctrlPr>
          </m:sSubPr>
          <m:e>
            <m:r>
              <w:rPr>
                <w:rFonts w:ascii="Cambria Math" w:hAnsi="Cambria Math" w:cs="Arial"/>
              </w:rPr>
              <m:t>EFLH</m:t>
            </m:r>
          </m:e>
          <m:sub>
            <m:r>
              <w:rPr>
                <w:rFonts w:ascii="Cambria Math" w:hAnsi="Cambria Math" w:cs="Arial"/>
              </w:rPr>
              <m:t>heat</m:t>
            </m:r>
          </m:sub>
        </m:sSub>
      </m:oMath>
    </w:p>
    <w:p w14:paraId="0A8EAE03" w14:textId="77777777" w:rsidR="007376E1" w:rsidRPr="001570EA" w:rsidRDefault="007376E1" w:rsidP="007376E1">
      <w:pPr>
        <w:pStyle w:val="BodyText"/>
        <w:tabs>
          <w:tab w:val="left" w:pos="1440"/>
        </w:tabs>
        <w:jc w:val="left"/>
        <w:rPr>
          <w:rFonts w:cs="Arial"/>
          <w:vertAlign w:val="subscript"/>
        </w:rPr>
      </w:pPr>
    </w:p>
    <w:p w14:paraId="1EB66D21" w14:textId="77777777" w:rsidR="007376E1" w:rsidRPr="001570EA" w:rsidRDefault="007376E1" w:rsidP="007376E1">
      <w:pPr>
        <w:pStyle w:val="BodyText"/>
        <w:tabs>
          <w:tab w:val="left" w:pos="1440"/>
        </w:tabs>
        <w:jc w:val="left"/>
        <w:rPr>
          <w:rFonts w:ascii="Cambria Math" w:hAnsi="Cambria Math" w:cs="Arial"/>
          <w:i/>
        </w:rPr>
      </w:pPr>
      <w:r w:rsidRPr="001570EA">
        <w:rPr>
          <w:rFonts w:ascii="Cambria Math" w:hAnsi="Cambria Math" w:cs="Arial"/>
          <w:i/>
          <w:iCs/>
        </w:rPr>
        <w:tab/>
        <w:t>ΔkWh</w:t>
      </w:r>
      <w:r w:rsidRPr="001570EA">
        <w:rPr>
          <w:rFonts w:ascii="Cambria Math" w:hAnsi="Cambria Math" w:cs="Arial"/>
          <w:i/>
          <w:iCs/>
          <w:vertAlign w:val="subscript"/>
        </w:rPr>
        <w:t>PSF</w:t>
      </w:r>
      <w:r w:rsidRPr="001570EA">
        <w:rPr>
          <w:rFonts w:ascii="Cambria Math" w:hAnsi="Cambria Math" w:cs="Arial"/>
          <w:i/>
          <w:iCs/>
          <w:vertAlign w:val="subscript"/>
        </w:rPr>
        <w:tab/>
      </w:r>
      <m:oMath>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SEER</m:t>
                </m:r>
              </m:e>
              <m:sub>
                <m:r>
                  <w:rPr>
                    <w:rFonts w:ascii="Cambria Math" w:hAnsi="Cambria Math" w:cs="Arial"/>
                  </w:rPr>
                  <m:t>ee</m:t>
                </m:r>
              </m:sub>
            </m:sSub>
          </m:den>
        </m:f>
        <m:r>
          <w:rPr>
            <w:rFonts w:ascii="Cambria Math" w:hAnsi="Cambria Math" w:cs="Arial"/>
          </w:rPr>
          <m:t>×PSF×</m:t>
        </m:r>
        <m:sSub>
          <m:sSubPr>
            <m:ctrlPr>
              <w:rPr>
                <w:rFonts w:ascii="Cambria Math" w:hAnsi="Cambria Math" w:cs="Arial"/>
              </w:rPr>
            </m:ctrlPr>
          </m:sSubPr>
          <m:e>
            <m:r>
              <w:rPr>
                <w:rFonts w:ascii="Cambria Math" w:hAnsi="Cambria Math" w:cs="Arial"/>
              </w:rPr>
              <m:t>EFLH</m:t>
            </m:r>
          </m:e>
          <m:sub>
            <m:r>
              <w:rPr>
                <w:rFonts w:ascii="Cambria Math" w:hAnsi="Cambria Math" w:cs="Arial"/>
              </w:rPr>
              <m:t>cool</m:t>
            </m:r>
          </m:sub>
        </m:sSub>
        <m:r>
          <w:rPr>
            <w:rFonts w:ascii="Cambria Math" w:hAnsi="Cambria Math" w:cs="Arial"/>
          </w:rPr>
          <m:t xml:space="preserve"> +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num>
          <m:den>
            <m:sSub>
              <m:sSubPr>
                <m:ctrlPr>
                  <w:rPr>
                    <w:rFonts w:ascii="Cambria Math" w:hAnsi="Cambria Math" w:cs="Arial"/>
                    <w:i/>
                  </w:rPr>
                </m:ctrlPr>
              </m:sSubPr>
              <m:e>
                <m:r>
                  <w:rPr>
                    <w:rFonts w:ascii="Cambria Math" w:hAnsi="Cambria Math" w:cs="Arial"/>
                  </w:rPr>
                  <m:t>HSPF</m:t>
                </m:r>
              </m:e>
              <m:sub>
                <m:r>
                  <w:rPr>
                    <w:rFonts w:ascii="Cambria Math" w:hAnsi="Cambria Math" w:cs="Arial"/>
                  </w:rPr>
                  <m:t>ee</m:t>
                </m:r>
              </m:sub>
            </m:sSub>
          </m:den>
        </m:f>
        <m:r>
          <w:rPr>
            <w:rFonts w:ascii="Cambria Math" w:hAnsi="Cambria Math" w:cs="Arial"/>
          </w:rPr>
          <m:t>×PSF×</m:t>
        </m:r>
        <m:sSub>
          <m:sSubPr>
            <m:ctrlPr>
              <w:rPr>
                <w:rFonts w:ascii="Cambria Math" w:hAnsi="Cambria Math" w:cs="Arial"/>
              </w:rPr>
            </m:ctrlPr>
          </m:sSubPr>
          <m:e>
            <m:r>
              <w:rPr>
                <w:rFonts w:ascii="Cambria Math" w:hAnsi="Cambria Math" w:cs="Arial"/>
              </w:rPr>
              <m:t>EFLH</m:t>
            </m:r>
          </m:e>
          <m:sub>
            <m:r>
              <w:rPr>
                <w:rFonts w:ascii="Cambria Math" w:hAnsi="Cambria Math" w:cs="Arial"/>
              </w:rPr>
              <m:t>heat</m:t>
            </m:r>
          </m:sub>
        </m:sSub>
      </m:oMath>
    </w:p>
    <w:p w14:paraId="57853BC4" w14:textId="77777777" w:rsidR="007376E1" w:rsidRPr="001570EA" w:rsidRDefault="007376E1" w:rsidP="007376E1">
      <w:pPr>
        <w:pStyle w:val="Equation"/>
        <w:tabs>
          <w:tab w:val="left" w:pos="1440"/>
        </w:tabs>
        <w:ind w:left="0" w:firstLine="0"/>
        <w:rPr>
          <w:rFonts w:cs="Arial"/>
          <w:szCs w:val="20"/>
          <w:vertAlign w:val="subscript"/>
        </w:rPr>
      </w:pPr>
    </w:p>
    <w:p w14:paraId="2D52B18F" w14:textId="77777777" w:rsidR="007376E1" w:rsidRPr="001570EA" w:rsidRDefault="007376E1" w:rsidP="007376E1">
      <w:pPr>
        <w:tabs>
          <w:tab w:val="left" w:pos="1440"/>
        </w:tabs>
        <w:rPr>
          <w:rFonts w:ascii="Cambria Math" w:hAnsi="Cambria Math" w:cs="Arial"/>
          <w:i/>
          <w:vertAlign w:val="subscript"/>
        </w:rPr>
      </w:pPr>
      <w:r w:rsidRPr="001570EA">
        <w:rPr>
          <w:rFonts w:ascii="Cambria Math" w:hAnsi="Cambria Math" w:cs="Arial"/>
          <w:i/>
          <w:iCs/>
        </w:rPr>
        <w:t>ΔkW</w:t>
      </w:r>
      <w:r w:rsidRPr="001570EA">
        <w:rPr>
          <w:rFonts w:ascii="Cambria Math" w:hAnsi="Cambria Math" w:cs="Arial"/>
          <w:i/>
          <w:iCs/>
          <w:vertAlign w:val="subscript"/>
        </w:rPr>
        <w:t>summer peak</w:t>
      </w:r>
      <w:r w:rsidRPr="001570EA">
        <w:rPr>
          <w:rFonts w:ascii="Cambria Math" w:hAnsi="Cambria Math" w:cs="Arial"/>
          <w:i/>
          <w:iCs/>
        </w:rPr>
        <w:tab/>
      </w:r>
      <m:oMath>
        <m:r>
          <w:rPr>
            <w:rFonts w:ascii="Cambria Math" w:hAnsi="Cambria Math" w:cs="Arial"/>
          </w:rPr>
          <m:t>=</m:t>
        </m:r>
        <m:sSub>
          <m:sSubPr>
            <m:ctrlPr>
              <w:rPr>
                <w:rFonts w:ascii="Cambria Math" w:hAnsi="Cambria Math" w:cs="Arial"/>
                <w:i/>
              </w:rPr>
            </m:ctrlPr>
          </m:sSubPr>
          <m:e>
            <m:r>
              <w:rPr>
                <w:rFonts w:ascii="Cambria Math" w:hAnsi="Cambria Math" w:cs="Arial"/>
              </w:rPr>
              <m:t>∆kW</m:t>
            </m:r>
          </m:e>
          <m:sub>
            <m:r>
              <w:rPr>
                <w:rFonts w:ascii="Cambria Math" w:hAnsi="Cambria Math" w:cs="Arial"/>
              </w:rPr>
              <m:t>cool</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∆kW</m:t>
            </m:r>
          </m:e>
          <m:sub>
            <m:r>
              <w:rPr>
                <w:rFonts w:ascii="Cambria Math" w:hAnsi="Cambria Math" w:cs="Arial"/>
              </w:rPr>
              <m:t>PSF_cool</m:t>
            </m:r>
          </m:sub>
        </m:sSub>
      </m:oMath>
    </w:p>
    <w:p w14:paraId="58728F3E" w14:textId="77777777" w:rsidR="007376E1" w:rsidRPr="001570EA" w:rsidRDefault="007376E1" w:rsidP="007376E1">
      <w:pPr>
        <w:tabs>
          <w:tab w:val="left" w:pos="1440"/>
        </w:tabs>
        <w:rPr>
          <w:rFonts w:ascii="Cambria Math" w:hAnsi="Cambria Math" w:cs="Arial"/>
          <w:i/>
          <w:iCs/>
          <w:vertAlign w:val="subscript"/>
        </w:rPr>
      </w:pPr>
    </w:p>
    <w:p w14:paraId="3DEE24A0" w14:textId="77777777" w:rsidR="007376E1" w:rsidRPr="001570EA" w:rsidRDefault="007376E1" w:rsidP="007376E1">
      <w:pPr>
        <w:pStyle w:val="BodyText"/>
        <w:tabs>
          <w:tab w:val="left" w:pos="1440"/>
        </w:tabs>
        <w:jc w:val="left"/>
        <w:rPr>
          <w:rFonts w:ascii="Cambria Math" w:hAnsi="Cambria Math" w:cs="Arial"/>
          <w:i/>
        </w:rPr>
      </w:pPr>
      <w:r w:rsidRPr="001570EA">
        <w:rPr>
          <w:rFonts w:ascii="Cambria Math" w:hAnsi="Cambria Math" w:cs="Arial"/>
          <w:i/>
          <w:iCs/>
        </w:rPr>
        <w:tab/>
        <w:t>ΔkW</w:t>
      </w:r>
      <w:r w:rsidRPr="001570EA">
        <w:rPr>
          <w:rFonts w:ascii="Cambria Math" w:hAnsi="Cambria Math" w:cs="Arial"/>
          <w:i/>
          <w:iCs/>
          <w:vertAlign w:val="subscript"/>
        </w:rPr>
        <w:t>cool</w:t>
      </w:r>
      <w:r w:rsidRPr="001570EA">
        <w:rPr>
          <w:rFonts w:ascii="Cambria Math" w:hAnsi="Cambria Math" w:cs="Arial"/>
          <w:i/>
          <w:iCs/>
          <w:vertAlign w:val="subscript"/>
        </w:rPr>
        <w:tab/>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EER</m:t>
                    </m:r>
                  </m:e>
                  <m:sub>
                    <m:r>
                      <w:rPr>
                        <w:rFonts w:ascii="Cambria Math" w:hAnsi="Cambria Math" w:cs="Arial"/>
                      </w:rPr>
                      <m:t>base</m:t>
                    </m:r>
                  </m:sub>
                </m:sSub>
                <m:r>
                  <w:rPr>
                    <w:rFonts w:ascii="Cambria Math" w:hAnsi="Cambria Math" w:cs="Arial"/>
                  </w:rPr>
                  <m:t xml:space="preserve"> </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EER</m:t>
                    </m:r>
                  </m:e>
                  <m:sub>
                    <m:r>
                      <w:rPr>
                        <w:rFonts w:ascii="Cambria Math" w:hAnsi="Cambria Math" w:cs="Arial"/>
                      </w:rPr>
                      <m:t>ee</m:t>
                    </m:r>
                  </m:sub>
                </m:sSub>
                <m:r>
                  <w:rPr>
                    <w:rFonts w:ascii="Cambria Math" w:hAnsi="Cambria Math" w:cs="Arial"/>
                  </w:rPr>
                  <m:t xml:space="preserve"> </m:t>
                </m:r>
              </m:den>
            </m:f>
          </m:e>
        </m:d>
        <m:r>
          <w:rPr>
            <w:rFonts w:ascii="Cambria Math" w:hAnsi="Cambria Math" w:cs="Arial"/>
          </w:rPr>
          <m:t>×</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p>
    <w:p w14:paraId="73FFE590" w14:textId="77777777" w:rsidR="007376E1" w:rsidRPr="001570EA" w:rsidRDefault="007376E1" w:rsidP="007376E1">
      <w:pPr>
        <w:tabs>
          <w:tab w:val="left" w:pos="1440"/>
        </w:tabs>
        <w:rPr>
          <w:rFonts w:ascii="Cambria Math" w:hAnsi="Cambria Math" w:cs="Arial"/>
          <w:i/>
        </w:rPr>
      </w:pPr>
    </w:p>
    <w:p w14:paraId="3B16C48B" w14:textId="77777777" w:rsidR="007376E1" w:rsidRPr="001570EA" w:rsidRDefault="007376E1" w:rsidP="007376E1">
      <w:pPr>
        <w:tabs>
          <w:tab w:val="left" w:pos="1440"/>
        </w:tabs>
        <w:rPr>
          <w:rFonts w:ascii="Cambria Math" w:hAnsi="Cambria Math" w:cs="Arial"/>
          <w:i/>
          <w:iCs/>
        </w:rPr>
      </w:pPr>
      <w:r w:rsidRPr="001570EA">
        <w:rPr>
          <w:rFonts w:ascii="Cambria Math" w:hAnsi="Cambria Math" w:cs="Arial"/>
          <w:i/>
          <w:iCs/>
        </w:rPr>
        <w:tab/>
        <w:t>ΔkW</w:t>
      </w:r>
      <w:r w:rsidRPr="001570EA">
        <w:rPr>
          <w:rFonts w:ascii="Cambria Math" w:hAnsi="Cambria Math" w:cs="Arial"/>
          <w:i/>
          <w:iCs/>
          <w:vertAlign w:val="subscript"/>
        </w:rPr>
        <w:t>PSF cool</w:t>
      </w:r>
      <w:r w:rsidRPr="001570EA">
        <w:rPr>
          <w:rFonts w:ascii="Cambria Math" w:hAnsi="Cambria Math" w:cs="Arial"/>
          <w:i/>
          <w:iCs/>
          <w:vertAlign w:val="subscript"/>
        </w:rPr>
        <w:tab/>
      </w:r>
      <m:oMath>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EER</m:t>
                </m:r>
              </m:e>
              <m:sub>
                <m:r>
                  <w:rPr>
                    <w:rFonts w:ascii="Cambria Math" w:hAnsi="Cambria Math" w:cs="Arial"/>
                  </w:rPr>
                  <m:t>ee</m:t>
                </m:r>
              </m:sub>
            </m:sSub>
          </m:den>
        </m:f>
        <m:r>
          <w:rPr>
            <w:rFonts w:ascii="Cambria Math" w:hAnsi="Cambria Math" w:cs="Arial"/>
          </w:rPr>
          <m:t>×PSF×</m:t>
        </m:r>
        <m:sSub>
          <m:sSubPr>
            <m:ctrlPr>
              <w:rPr>
                <w:rFonts w:ascii="Cambria Math" w:hAnsi="Cambria Math" w:cs="Arial"/>
                <w:i/>
              </w:rPr>
            </m:ctrlPr>
          </m:sSubPr>
          <m:e>
            <m:r>
              <w:rPr>
                <w:rFonts w:ascii="Cambria Math" w:hAnsi="Cambria Math" w:cs="Arial"/>
              </w:rPr>
              <m:t>CF</m:t>
            </m:r>
          </m:e>
          <m:sub>
            <m:r>
              <w:rPr>
                <w:rFonts w:ascii="Cambria Math" w:hAnsi="Cambria Math" w:cs="Arial"/>
              </w:rPr>
              <m:t>summer</m:t>
            </m:r>
          </m:sub>
        </m:sSub>
      </m:oMath>
    </w:p>
    <w:p w14:paraId="737ECC74" w14:textId="77777777" w:rsidR="007376E1" w:rsidRPr="001570EA" w:rsidRDefault="007376E1" w:rsidP="007376E1">
      <w:pPr>
        <w:tabs>
          <w:tab w:val="left" w:pos="1440"/>
        </w:tabs>
        <w:rPr>
          <w:rFonts w:ascii="Cambria Math" w:hAnsi="Cambria Math" w:cs="Arial"/>
          <w:i/>
        </w:rPr>
      </w:pPr>
    </w:p>
    <w:p w14:paraId="627674AD" w14:textId="77777777" w:rsidR="007376E1" w:rsidRPr="001570EA" w:rsidRDefault="007376E1" w:rsidP="007376E1">
      <w:pPr>
        <w:tabs>
          <w:tab w:val="left" w:pos="1440"/>
        </w:tabs>
        <w:rPr>
          <w:rFonts w:ascii="Cambria Math" w:hAnsi="Cambria Math" w:cs="Arial"/>
          <w:i/>
        </w:rPr>
      </w:pPr>
      <w:r w:rsidRPr="001570EA">
        <w:rPr>
          <w:rFonts w:ascii="Cambria Math" w:hAnsi="Cambria Math" w:cs="Arial"/>
          <w:i/>
          <w:iCs/>
        </w:rPr>
        <w:t>ΔkW</w:t>
      </w:r>
      <w:r w:rsidRPr="001570EA">
        <w:rPr>
          <w:rFonts w:ascii="Cambria Math" w:hAnsi="Cambria Math" w:cs="Arial"/>
          <w:i/>
          <w:iCs/>
          <w:vertAlign w:val="subscript"/>
        </w:rPr>
        <w:t>winter peak</w:t>
      </w:r>
      <w:r w:rsidRPr="001570EA">
        <w:rPr>
          <w:rFonts w:ascii="Cambria Math" w:hAnsi="Cambria Math" w:cs="Arial"/>
          <w:i/>
          <w:iCs/>
        </w:rPr>
        <w:tab/>
      </w:r>
      <m:oMath>
        <m:r>
          <w:rPr>
            <w:rFonts w:ascii="Cambria Math" w:hAnsi="Cambria Math" w:cs="Arial"/>
          </w:rPr>
          <m:t>=</m:t>
        </m:r>
        <m:sSub>
          <m:sSubPr>
            <m:ctrlPr>
              <w:rPr>
                <w:rFonts w:ascii="Cambria Math" w:hAnsi="Cambria Math" w:cs="Arial"/>
                <w:i/>
              </w:rPr>
            </m:ctrlPr>
          </m:sSubPr>
          <m:e>
            <m:r>
              <w:rPr>
                <w:rFonts w:ascii="Cambria Math" w:hAnsi="Cambria Math" w:cs="Arial"/>
              </w:rPr>
              <m:t>∆kW</m:t>
            </m:r>
          </m:e>
          <m:sub>
            <m:r>
              <w:rPr>
                <w:rFonts w:ascii="Cambria Math" w:hAnsi="Cambria Math" w:cs="Arial"/>
              </w:rPr>
              <m:t>heat</m:t>
            </m:r>
          </m:sub>
        </m:sSub>
        <m:r>
          <w:rPr>
            <w:rFonts w:ascii="Cambria Math" w:hAnsi="Cambria Math" w:cs="Arial"/>
          </w:rPr>
          <m:t xml:space="preserve"> + </m:t>
        </m:r>
        <m:sSub>
          <m:sSubPr>
            <m:ctrlPr>
              <w:rPr>
                <w:rFonts w:ascii="Cambria Math" w:hAnsi="Cambria Math" w:cs="Arial"/>
              </w:rPr>
            </m:ctrlPr>
          </m:sSubPr>
          <m:e>
            <m:r>
              <w:rPr>
                <w:rFonts w:ascii="Cambria Math" w:hAnsi="Cambria Math" w:cs="Arial"/>
              </w:rPr>
              <m:t>∆kW</m:t>
            </m:r>
          </m:e>
          <m:sub>
            <m:r>
              <w:rPr>
                <w:rFonts w:ascii="Cambria Math" w:hAnsi="Cambria Math" w:cs="Arial"/>
              </w:rPr>
              <m:t>PSF_heat</m:t>
            </m:r>
          </m:sub>
        </m:sSub>
      </m:oMath>
    </w:p>
    <w:p w14:paraId="7566F878" w14:textId="77777777" w:rsidR="007376E1" w:rsidRPr="001570EA" w:rsidRDefault="007376E1" w:rsidP="007376E1">
      <w:pPr>
        <w:tabs>
          <w:tab w:val="left" w:pos="1440"/>
        </w:tabs>
        <w:rPr>
          <w:rFonts w:ascii="Cambria Math" w:hAnsi="Cambria Math" w:cs="Arial"/>
          <w:i/>
        </w:rPr>
      </w:pPr>
      <w:r w:rsidRPr="001570EA">
        <w:rPr>
          <w:rFonts w:ascii="Cambria Math" w:hAnsi="Cambria Math" w:cs="Arial"/>
          <w:i/>
          <w:iCs/>
        </w:rPr>
        <w:tab/>
        <w:t>ΔkW</w:t>
      </w:r>
      <w:r w:rsidRPr="001570EA">
        <w:rPr>
          <w:rFonts w:ascii="Cambria Math" w:hAnsi="Cambria Math" w:cs="Arial"/>
          <w:i/>
          <w:iCs/>
          <w:vertAlign w:val="subscript"/>
        </w:rPr>
        <w:t>heat</w:t>
      </w:r>
      <w:r w:rsidRPr="001570EA">
        <w:rPr>
          <w:rFonts w:ascii="Cambria Math" w:hAnsi="Cambria Math" w:cs="Arial"/>
          <w:i/>
          <w:iCs/>
          <w:vertAlign w:val="subscript"/>
        </w:rPr>
        <w:tab/>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heat</m:t>
                    </m:r>
                  </m:sub>
                </m:sSub>
              </m:num>
              <m:den>
                <m:sSub>
                  <m:sSubPr>
                    <m:ctrlPr>
                      <w:rPr>
                        <w:rFonts w:ascii="Cambria Math" w:hAnsi="Cambria Math" w:cs="Arial"/>
                        <w:i/>
                      </w:rPr>
                    </m:ctrlPr>
                  </m:sSubPr>
                  <m:e>
                    <m:r>
                      <w:rPr>
                        <w:rFonts w:ascii="Cambria Math" w:hAnsi="Cambria Math" w:cs="Arial"/>
                      </w:rPr>
                      <m:t>COP</m:t>
                    </m:r>
                  </m:e>
                  <m:sub>
                    <m:r>
                      <w:rPr>
                        <w:rFonts w:ascii="Cambria Math" w:hAnsi="Cambria Math" w:cs="Arial"/>
                      </w:rPr>
                      <m:t>base</m:t>
                    </m:r>
                  </m:sub>
                </m:sSub>
                <m:r>
                  <w:rPr>
                    <w:rFonts w:ascii="Cambria Math" w:hAnsi="Cambria Math" w:cs="Arial"/>
                  </w:rPr>
                  <m:t xml:space="preserve"> </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COP</m:t>
                    </m:r>
                  </m:e>
                  <m:sub>
                    <m:r>
                      <w:rPr>
                        <w:rFonts w:ascii="Cambria Math" w:hAnsi="Cambria Math" w:cs="Arial"/>
                      </w:rPr>
                      <m:t>ee</m:t>
                    </m:r>
                  </m:sub>
                </m:sSub>
                <m:r>
                  <w:rPr>
                    <w:rFonts w:ascii="Cambria Math" w:hAnsi="Cambria Math" w:cs="Arial"/>
                  </w:rPr>
                  <m:t xml:space="preserve"> </m:t>
                </m:r>
              </m:den>
            </m:f>
          </m:e>
        </m:d>
        <m:r>
          <w:rPr>
            <w:rFonts w:ascii="Cambria Math" w:hAnsi="Cambria Math" w:cs="Arial"/>
          </w:rPr>
          <m:t xml:space="preserve">× </m:t>
        </m:r>
        <m:f>
          <m:fPr>
            <m:ctrlPr>
              <w:rPr>
                <w:rFonts w:ascii="Cambria Math" w:hAnsi="Cambria Math"/>
              </w:rPr>
            </m:ctrlPr>
          </m:fPr>
          <m:num>
            <m:r>
              <w:rPr>
                <w:rFonts w:ascii="Cambria Math" w:hAnsi="Cambria Math"/>
              </w:rPr>
              <m:t>1</m:t>
            </m:r>
          </m:num>
          <m:den>
            <m:r>
              <m:rPr>
                <m:sty m:val="p"/>
              </m:rPr>
              <w:rPr>
                <w:rFonts w:ascii="Cambria Math" w:hAnsi="Cambria Math"/>
              </w:rPr>
              <m:t>3.412</m:t>
            </m:r>
            <m:f>
              <m:fPr>
                <m:ctrlPr>
                  <w:rPr>
                    <w:rFonts w:ascii="Cambria Math" w:hAnsi="Cambria Math" w:cs="Arial"/>
                  </w:rPr>
                </m:ctrlPr>
              </m:fPr>
              <m:num>
                <m:r>
                  <m:rPr>
                    <m:sty m:val="p"/>
                  </m:rPr>
                  <w:rPr>
                    <w:rFonts w:ascii="Cambria Math" w:hAnsi="Cambria Math" w:cs="Arial"/>
                  </w:rPr>
                  <m:t>BTU</m:t>
                </m:r>
                <m:ctrlPr>
                  <w:rPr>
                    <w:rFonts w:ascii="Cambria Math" w:hAnsi="Cambria Math" w:cs="Arial"/>
                    <w:iCs/>
                  </w:rPr>
                </m:ctrlPr>
              </m:num>
              <m:den>
                <m:r>
                  <m:rPr>
                    <m:sty m:val="p"/>
                  </m:rPr>
                  <w:rPr>
                    <w:rFonts w:ascii="Cambria Math" w:hAnsi="Cambria Math" w:cs="Arial"/>
                  </w:rPr>
                  <m:t>W∙h</m:t>
                </m:r>
              </m:den>
            </m:f>
          </m:den>
        </m:f>
        <m:r>
          <w:rPr>
            <w:rFonts w:ascii="Cambria Math" w:hAnsi="Cambria Math" w:cs="Arial"/>
          </w:rPr>
          <m:t>×</m:t>
        </m:r>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r>
          <w:rPr>
            <w:rFonts w:ascii="Cambria Math" w:hAnsi="Cambria Math" w:cs="Arial"/>
          </w:rPr>
          <m:t xml:space="preserve"> </m:t>
        </m:r>
      </m:oMath>
    </w:p>
    <w:p w14:paraId="0A571BD1" w14:textId="77777777" w:rsidR="007376E1" w:rsidRPr="001570EA" w:rsidRDefault="007376E1" w:rsidP="007376E1">
      <w:pPr>
        <w:tabs>
          <w:tab w:val="left" w:pos="1440"/>
        </w:tabs>
        <w:rPr>
          <w:rFonts w:ascii="Cambria Math" w:hAnsi="Cambria Math" w:cs="Arial"/>
          <w:i/>
          <w:iCs/>
          <w:vertAlign w:val="subscript"/>
        </w:rPr>
      </w:pPr>
    </w:p>
    <w:p w14:paraId="4AD2DD18" w14:textId="77777777" w:rsidR="007376E1" w:rsidRPr="001570EA" w:rsidRDefault="007376E1" w:rsidP="007376E1">
      <w:pPr>
        <w:tabs>
          <w:tab w:val="left" w:pos="1440"/>
        </w:tabs>
        <w:rPr>
          <w:rFonts w:ascii="Cambria Math" w:hAnsi="Cambria Math" w:cs="Arial"/>
          <w:i/>
        </w:rPr>
      </w:pPr>
      <w:r w:rsidRPr="001570EA">
        <w:rPr>
          <w:rFonts w:ascii="Cambria Math" w:hAnsi="Cambria Math" w:cs="Arial"/>
          <w:i/>
          <w:iCs/>
          <w:vertAlign w:val="subscript"/>
        </w:rPr>
        <w:tab/>
      </w:r>
      <w:r w:rsidRPr="001570EA">
        <w:rPr>
          <w:rFonts w:ascii="Cambria Math" w:hAnsi="Cambria Math" w:cs="Arial"/>
          <w:i/>
          <w:iCs/>
        </w:rPr>
        <w:t>ΔkW</w:t>
      </w:r>
      <w:r w:rsidRPr="001570EA">
        <w:rPr>
          <w:rFonts w:ascii="Cambria Math" w:hAnsi="Cambria Math" w:cs="Arial"/>
          <w:i/>
          <w:iCs/>
          <w:vertAlign w:val="subscript"/>
        </w:rPr>
        <w:t>PSF heat</w:t>
      </w:r>
      <w:r w:rsidRPr="001570EA">
        <w:rPr>
          <w:rFonts w:ascii="Cambria Math" w:hAnsi="Cambria Math" w:cs="Arial"/>
          <w:i/>
          <w:iCs/>
          <w:vertAlign w:val="subscript"/>
        </w:rPr>
        <w:tab/>
      </w:r>
      <m:oMath>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num>
          <m:den>
            <m:sSub>
              <m:sSubPr>
                <m:ctrlPr>
                  <w:rPr>
                    <w:rFonts w:ascii="Cambria Math" w:hAnsi="Cambria Math" w:cs="Arial"/>
                    <w:i/>
                  </w:rPr>
                </m:ctrlPr>
              </m:sSubPr>
              <m:e>
                <m:r>
                  <w:rPr>
                    <w:rFonts w:ascii="Cambria Math" w:hAnsi="Cambria Math" w:cs="Arial"/>
                  </w:rPr>
                  <m:t>COP</m:t>
                </m:r>
              </m:e>
              <m:sub>
                <m:r>
                  <w:rPr>
                    <w:rFonts w:ascii="Cambria Math" w:hAnsi="Cambria Math" w:cs="Arial"/>
                  </w:rPr>
                  <m:t>ee</m:t>
                </m:r>
              </m:sub>
            </m:sSub>
            <m:r>
              <w:rPr>
                <w:rFonts w:ascii="Cambria Math" w:hAnsi="Cambria Math" w:cs="Arial"/>
              </w:rPr>
              <m:t xml:space="preserve"> × </m:t>
            </m:r>
            <m:r>
              <m:rPr>
                <m:sty m:val="p"/>
              </m:rPr>
              <w:rPr>
                <w:rFonts w:ascii="Cambria Math" w:hAnsi="Cambria Math"/>
              </w:rPr>
              <m:t>3.412</m:t>
            </m:r>
            <m:f>
              <m:fPr>
                <m:ctrlPr>
                  <w:rPr>
                    <w:rFonts w:ascii="Cambria Math" w:hAnsi="Cambria Math" w:cs="Arial"/>
                  </w:rPr>
                </m:ctrlPr>
              </m:fPr>
              <m:num>
                <m:r>
                  <m:rPr>
                    <m:sty m:val="p"/>
                  </m:rPr>
                  <w:rPr>
                    <w:rFonts w:ascii="Cambria Math" w:hAnsi="Cambria Math" w:cs="Arial"/>
                  </w:rPr>
                  <m:t>BTU</m:t>
                </m:r>
                <m:ctrlPr>
                  <w:rPr>
                    <w:rFonts w:ascii="Cambria Math" w:hAnsi="Cambria Math" w:cs="Arial"/>
                    <w:iCs/>
                  </w:rPr>
                </m:ctrlPr>
              </m:num>
              <m:den>
                <m:r>
                  <m:rPr>
                    <m:sty m:val="p"/>
                  </m:rPr>
                  <w:rPr>
                    <w:rFonts w:ascii="Cambria Math" w:hAnsi="Cambria Math" w:cs="Arial"/>
                  </w:rPr>
                  <m:t>W∙h</m:t>
                </m:r>
              </m:den>
            </m:f>
          </m:den>
        </m:f>
        <m:r>
          <w:rPr>
            <w:rFonts w:ascii="Cambria Math" w:hAnsi="Cambria Math" w:cs="Arial"/>
          </w:rPr>
          <m:t>×PSF×</m:t>
        </m:r>
        <m:sSub>
          <m:sSubPr>
            <m:ctrlPr>
              <w:rPr>
                <w:rFonts w:ascii="Cambria Math" w:hAnsi="Cambria Math" w:cs="Arial"/>
                <w:i/>
                <w:szCs w:val="20"/>
              </w:rPr>
            </m:ctrlPr>
          </m:sSubPr>
          <m:e>
            <m:r>
              <w:rPr>
                <w:rFonts w:ascii="Cambria Math" w:hAnsi="Cambria Math" w:cs="Arial"/>
              </w:rPr>
              <m:t>CF</m:t>
            </m:r>
          </m:e>
          <m:sub>
            <m:r>
              <w:rPr>
                <w:rFonts w:ascii="Cambria Math" w:hAnsi="Cambria Math" w:cs="Arial"/>
              </w:rPr>
              <m:t>winter</m:t>
            </m:r>
          </m:sub>
        </m:sSub>
      </m:oMath>
    </w:p>
    <w:p w14:paraId="1678B617" w14:textId="77777777" w:rsidR="007376E1" w:rsidRPr="001570EA" w:rsidRDefault="007376E1" w:rsidP="007376E1">
      <w:pPr>
        <w:tabs>
          <w:tab w:val="left" w:pos="1440"/>
        </w:tabs>
        <w:rPr>
          <w:rFonts w:ascii="Cambria Math" w:hAnsi="Cambria Math" w:cs="Arial"/>
          <w:i/>
        </w:rPr>
      </w:pPr>
    </w:p>
    <w:p w14:paraId="2FEE5810" w14:textId="77777777" w:rsidR="007376E1" w:rsidRPr="001570EA" w:rsidRDefault="007376E1" w:rsidP="007376E1">
      <w:pPr>
        <w:pStyle w:val="3ptheading"/>
      </w:pPr>
      <w:r w:rsidRPr="001570EA">
        <w:rPr>
          <w:rFonts w:cs="Arial"/>
        </w:rPr>
        <w:t>Baseline: Room Air Conditioner(s)</w:t>
      </w:r>
    </w:p>
    <w:p w14:paraId="65B53121" w14:textId="77777777" w:rsidR="007376E1" w:rsidRPr="001570EA" w:rsidRDefault="007376E1" w:rsidP="007376E1">
      <w:r w:rsidRPr="001570EA">
        <w:t>EDCs may collect information about the total capacity of the (kBTU/hr) of existing RACs (</w:t>
      </w:r>
      <w:r w:rsidRPr="001570EA">
        <w:rPr>
          <w:rFonts w:ascii="Cambria Math" w:hAnsi="Cambria Math"/>
          <w:i/>
        </w:rPr>
        <w:t>CAPY</w:t>
      </w:r>
      <w:r w:rsidRPr="001570EA">
        <w:rPr>
          <w:rFonts w:ascii="Cambria Math" w:hAnsi="Cambria Math"/>
          <w:i/>
          <w:vertAlign w:val="subscript"/>
        </w:rPr>
        <w:t>RAC</w:t>
      </w:r>
      <w:r w:rsidRPr="001570EA">
        <w:t>) in use in the home to determine the replaced capacity. An oversizing factor is calculated from the ratio of baseline to qualifying capacity:</w:t>
      </w:r>
    </w:p>
    <w:p w14:paraId="732ABE97" w14:textId="77777777" w:rsidR="007376E1" w:rsidRPr="001570EA" w:rsidRDefault="007376E1" w:rsidP="007376E1"/>
    <w:p w14:paraId="49DE8D82" w14:textId="77777777" w:rsidR="007376E1" w:rsidRPr="001570EA" w:rsidRDefault="007376E1" w:rsidP="007376E1">
      <w:pPr>
        <w:tabs>
          <w:tab w:val="left" w:pos="1440"/>
          <w:tab w:val="left" w:pos="2880"/>
        </w:tabs>
      </w:pPr>
      <w:r w:rsidRPr="001570EA">
        <w:rPr>
          <w:rFonts w:ascii="Cambria Math" w:hAnsi="Cambria Math"/>
          <w:i/>
        </w:rPr>
        <w:t>OF</w:t>
      </w:r>
      <w:r w:rsidRPr="001570EA">
        <w:rPr>
          <w:rFonts w:ascii="Cambria Math" w:hAnsi="Cambria Math"/>
          <w:i/>
          <w:vertAlign w:val="subscript"/>
        </w:rPr>
        <w:t>cool</w:t>
      </w:r>
      <w:r w:rsidRPr="001570EA">
        <w:rPr>
          <w:rFonts w:ascii="Cambria Math" w:hAnsi="Cambria Math"/>
          <w:i/>
          <w:vertAlign w:val="subscript"/>
        </w:rPr>
        <w:tab/>
      </w:r>
      <m:oMath>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CAPY</m:t>
                    </m:r>
                  </m:e>
                  <m:sub>
                    <m:r>
                      <w:rPr>
                        <w:rFonts w:ascii="Cambria Math" w:hAnsi="Cambria Math"/>
                      </w:rPr>
                      <m:t>RAC</m:t>
                    </m:r>
                  </m:sub>
                </m:sSub>
              </m:e>
            </m:nary>
          </m:num>
          <m:den>
            <m:sSub>
              <m:sSubPr>
                <m:ctrlPr>
                  <w:rPr>
                    <w:rFonts w:ascii="Cambria Math" w:hAnsi="Cambria Math"/>
                    <w:i/>
                  </w:rPr>
                </m:ctrlPr>
              </m:sSubPr>
              <m:e>
                <m:r>
                  <w:rPr>
                    <w:rFonts w:ascii="Cambria Math" w:hAnsi="Cambria Math"/>
                  </w:rPr>
                  <m:t>CAPY</m:t>
                </m:r>
              </m:e>
              <m:sub>
                <m:r>
                  <w:rPr>
                    <w:rFonts w:ascii="Cambria Math" w:hAnsi="Cambria Math"/>
                  </w:rPr>
                  <m:t>cool</m:t>
                </m:r>
              </m:sub>
            </m:sSub>
          </m:den>
        </m:f>
      </m:oMath>
    </w:p>
    <w:p w14:paraId="79E7885E" w14:textId="77777777" w:rsidR="007376E1" w:rsidRPr="001570EA" w:rsidRDefault="007376E1" w:rsidP="007376E1">
      <w:pPr>
        <w:rPr>
          <w:rFonts w:eastAsia="Calibri" w:cs="Arial"/>
        </w:rPr>
      </w:pPr>
    </w:p>
    <w:p w14:paraId="42677DAD" w14:textId="77777777" w:rsidR="007376E1" w:rsidRPr="001570EA" w:rsidRDefault="007376E1" w:rsidP="007376E1">
      <w:pPr>
        <w:pStyle w:val="3ptheading"/>
        <w:rPr>
          <w:rFonts w:cs="Arial"/>
        </w:rPr>
      </w:pPr>
      <w:r w:rsidRPr="001570EA">
        <w:rPr>
          <w:rFonts w:cs="Arial"/>
        </w:rPr>
        <w:t>Baseline: Spaceheater(s), Electric Baseboards</w:t>
      </w:r>
    </w:p>
    <w:p w14:paraId="174D35AF" w14:textId="77777777" w:rsidR="007376E1" w:rsidRPr="001570EA" w:rsidRDefault="007376E1" w:rsidP="007376E1">
      <w:r w:rsidRPr="001570EA">
        <w:t xml:space="preserve">EDCs may collect information about the capacity of the existing space heaters, electric furnaces, or electric baseboards. Capacity is determined using the total wattage of electric heat in use, where </w:t>
      </w:r>
      <w:r w:rsidRPr="001570EA">
        <w:rPr>
          <w:rFonts w:ascii="Cambria Math" w:hAnsi="Cambria Math"/>
          <w:i/>
          <w:iCs/>
        </w:rPr>
        <w:t>OF</w:t>
      </w:r>
      <w:r w:rsidRPr="001570EA">
        <w:rPr>
          <w:rFonts w:ascii="Cambria Math" w:hAnsi="Cambria Math"/>
          <w:i/>
          <w:iCs/>
          <w:vertAlign w:val="subscript"/>
        </w:rPr>
        <w:t>heat</w:t>
      </w:r>
      <w:r w:rsidRPr="001570EA">
        <w:t xml:space="preserve"> is the ratio of the existing electric capacity to the capacity of the new equipment:</w:t>
      </w:r>
    </w:p>
    <w:p w14:paraId="08113A44" w14:textId="77777777" w:rsidR="007376E1" w:rsidRPr="001570EA" w:rsidRDefault="007376E1" w:rsidP="007376E1">
      <w:pPr>
        <w:tabs>
          <w:tab w:val="left" w:pos="1440"/>
        </w:tabs>
        <w:spacing w:before="120"/>
      </w:pPr>
      <w:r w:rsidRPr="001570EA">
        <w:rPr>
          <w:rFonts w:ascii="Cambria Math" w:hAnsi="Cambria Math"/>
          <w:i/>
        </w:rPr>
        <w:t>OF</w:t>
      </w:r>
      <w:r w:rsidRPr="001570EA">
        <w:rPr>
          <w:rFonts w:ascii="Cambria Math" w:hAnsi="Cambria Math"/>
          <w:i/>
          <w:vertAlign w:val="subscript"/>
        </w:rPr>
        <w:t>heat</w:t>
      </w:r>
      <w:r w:rsidRPr="001570EA">
        <w:rPr>
          <w:rFonts w:ascii="Cambria Math" w:hAnsi="Cambria Math"/>
          <w:i/>
        </w:rPr>
        <w:tab/>
      </w:r>
      <m:oMath>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kW</m:t>
                    </m:r>
                  </m:e>
                  <m:sub>
                    <m:r>
                      <w:rPr>
                        <w:rFonts w:ascii="Cambria Math" w:hAnsi="Cambria Math"/>
                      </w:rPr>
                      <m:t>Spaceheat</m:t>
                    </m:r>
                  </m:sub>
                </m:sSub>
              </m:e>
            </m:nary>
            <m:r>
              <w:rPr>
                <w:rFonts w:ascii="Cambria Math" w:hAnsi="Cambria Math"/>
              </w:rPr>
              <m:t xml:space="preserve"> ×</m:t>
            </m:r>
            <m:r>
              <m:rPr>
                <m:nor/>
              </m:rPr>
              <w:rPr>
                <w:rFonts w:ascii="Cambria Math" w:hAnsi="Cambria Math" w:cs="Arial"/>
              </w:rPr>
              <m:t>3.412</m:t>
            </m:r>
            <m:f>
              <m:fPr>
                <m:ctrlPr>
                  <w:rPr>
                    <w:rFonts w:ascii="Cambria Math" w:hAnsi="Cambria Math" w:cs="Arial"/>
                  </w:rPr>
                </m:ctrlPr>
              </m:fPr>
              <m:num>
                <m:r>
                  <m:rPr>
                    <m:nor/>
                  </m:rPr>
                  <w:rPr>
                    <w:rFonts w:ascii="Cambria Math" w:hAnsi="Cambria Math" w:cs="Arial"/>
                    <w:iCs/>
                  </w:rPr>
                  <m:t>BTU</m:t>
                </m:r>
              </m:num>
              <m:den>
                <m:r>
                  <m:rPr>
                    <m:nor/>
                  </m:rPr>
                  <w:rPr>
                    <w:rFonts w:ascii="Cambria Math" w:hAnsi="Cambria Math" w:cs="Arial"/>
                    <w:iCs/>
                  </w:rPr>
                  <m:t>W∙h</m:t>
                </m:r>
              </m:den>
            </m:f>
          </m:num>
          <m:den>
            <m:sSub>
              <m:sSubPr>
                <m:ctrlPr>
                  <w:rPr>
                    <w:rFonts w:ascii="Cambria Math" w:hAnsi="Cambria Math"/>
                    <w:i/>
                  </w:rPr>
                </m:ctrlPr>
              </m:sSubPr>
              <m:e>
                <m:r>
                  <w:rPr>
                    <w:rFonts w:ascii="Cambria Math" w:hAnsi="Cambria Math"/>
                  </w:rPr>
                  <m:t>CAPY</m:t>
                </m:r>
              </m:e>
              <m:sub>
                <m:r>
                  <w:rPr>
                    <w:rFonts w:ascii="Cambria Math" w:hAnsi="Cambria Math"/>
                  </w:rPr>
                  <m:t>Heat</m:t>
                </m:r>
              </m:sub>
            </m:sSub>
          </m:den>
        </m:f>
      </m:oMath>
    </w:p>
    <w:p w14:paraId="17F50551" w14:textId="77777777" w:rsidR="007376E1" w:rsidRPr="001570EA" w:rsidRDefault="007376E1" w:rsidP="007376E1">
      <w:pPr>
        <w:pStyle w:val="3ptheading"/>
        <w:rPr>
          <w:rFonts w:cs="Arial"/>
        </w:rPr>
      </w:pPr>
    </w:p>
    <w:p w14:paraId="2DD9BA43" w14:textId="77777777" w:rsidR="007376E1" w:rsidRPr="001570EA" w:rsidRDefault="007376E1" w:rsidP="007376E1">
      <w:pPr>
        <w:pStyle w:val="3ptheading"/>
      </w:pPr>
      <w:r w:rsidRPr="001570EA">
        <w:rPr>
          <w:rFonts w:cs="Arial"/>
        </w:rPr>
        <w:t>Qualifying: Gr</w:t>
      </w:r>
      <w:r w:rsidRPr="001570EA">
        <w:t>ound Source Heat Pump</w:t>
      </w:r>
    </w:p>
    <w:p w14:paraId="14CB5AE8" w14:textId="77777777" w:rsidR="007376E1" w:rsidRPr="001570EA" w:rsidRDefault="007376E1" w:rsidP="007376E1">
      <w:r w:rsidRPr="001570EA">
        <w:t>GSHP efficiencies are typically calculated differently than air-source units, baseline and qualifying unit efficiencies should be converted as follows</w:t>
      </w:r>
      <w:r w:rsidRPr="001570EA">
        <w:rPr>
          <w:i/>
        </w:rPr>
        <w:t>:</w:t>
      </w:r>
    </w:p>
    <w:p w14:paraId="586B4375" w14:textId="77777777" w:rsidR="007376E1" w:rsidRPr="001570EA" w:rsidRDefault="007376E1" w:rsidP="007376E1">
      <w:pPr>
        <w:tabs>
          <w:tab w:val="left" w:pos="1440"/>
        </w:tabs>
        <w:spacing w:before="120"/>
        <w:rPr>
          <w:rFonts w:ascii="Cambria Math" w:hAnsi="Cambria Math"/>
          <w:i/>
        </w:rPr>
      </w:pPr>
      <w:r w:rsidRPr="001570EA">
        <w:rPr>
          <w:rFonts w:ascii="Cambria Math" w:hAnsi="Cambria Math"/>
          <w:i/>
        </w:rPr>
        <w:t>SEER</w:t>
      </w:r>
      <w:r w:rsidRPr="001570EA">
        <w:rPr>
          <w:rFonts w:ascii="Cambria Math" w:hAnsi="Cambria Math"/>
          <w:i/>
          <w:vertAlign w:val="subscript"/>
        </w:rPr>
        <w:tab/>
      </w:r>
      <w:r w:rsidRPr="001570EA">
        <w:rPr>
          <w:rFonts w:ascii="Cambria Math" w:hAnsi="Cambria Math"/>
          <w:i/>
        </w:rPr>
        <w:t>= EER</w:t>
      </w:r>
      <w:r w:rsidRPr="001570EA">
        <w:rPr>
          <w:rFonts w:ascii="Cambria Math" w:hAnsi="Cambria Math"/>
          <w:i/>
          <w:vertAlign w:val="subscript"/>
        </w:rPr>
        <w:t>g</w:t>
      </w:r>
      <w:r w:rsidRPr="001570EA">
        <w:rPr>
          <w:rFonts w:ascii="Cambria Math" w:hAnsi="Cambria Math"/>
          <w:i/>
        </w:rPr>
        <w:t xml:space="preserve"> </w:t>
      </w:r>
      <w:r w:rsidRPr="001570EA">
        <w:rPr>
          <w:rFonts w:ascii="Cambria Math" w:hAnsi="Cambria Math"/>
        </w:rPr>
        <w:t>×</w:t>
      </w:r>
      <w:r w:rsidRPr="001570EA">
        <w:rPr>
          <w:rFonts w:ascii="Cambria Math" w:hAnsi="Cambria Math"/>
          <w:i/>
        </w:rPr>
        <w:t xml:space="preserve"> GSER</w:t>
      </w:r>
    </w:p>
    <w:p w14:paraId="2607BCCB" w14:textId="77777777" w:rsidR="007376E1" w:rsidRPr="001570EA" w:rsidRDefault="007376E1" w:rsidP="007376E1">
      <w:pPr>
        <w:tabs>
          <w:tab w:val="left" w:pos="1440"/>
        </w:tabs>
        <w:spacing w:before="120"/>
        <w:rPr>
          <w:rFonts w:ascii="Cambria Math" w:hAnsi="Cambria Math"/>
          <w:i/>
        </w:rPr>
      </w:pPr>
      <w:r w:rsidRPr="001570EA">
        <w:rPr>
          <w:rFonts w:ascii="Cambria Math" w:hAnsi="Cambria Math"/>
          <w:i/>
        </w:rPr>
        <w:t>EER</w:t>
      </w:r>
      <w:r w:rsidRPr="001570EA">
        <w:rPr>
          <w:rFonts w:ascii="Cambria Math" w:hAnsi="Cambria Math"/>
          <w:i/>
          <w:vertAlign w:val="subscript"/>
        </w:rPr>
        <w:tab/>
      </w:r>
      <w:r w:rsidRPr="001570EA">
        <w:rPr>
          <w:rFonts w:ascii="Cambria Math" w:hAnsi="Cambria Math"/>
          <w:b/>
          <w:i/>
        </w:rPr>
        <w:t xml:space="preserve">= </w:t>
      </w:r>
      <w:r w:rsidRPr="001570EA">
        <w:rPr>
          <w:rFonts w:ascii="Cambria Math" w:hAnsi="Cambria Math"/>
          <w:i/>
        </w:rPr>
        <w:t>EER</w:t>
      </w:r>
      <w:r w:rsidRPr="001570EA">
        <w:rPr>
          <w:rFonts w:ascii="Cambria Math" w:hAnsi="Cambria Math"/>
          <w:i/>
          <w:vertAlign w:val="subscript"/>
        </w:rPr>
        <w:t>g</w:t>
      </w:r>
      <w:r w:rsidRPr="001570EA">
        <w:rPr>
          <w:rFonts w:ascii="Cambria Math" w:hAnsi="Cambria Math"/>
          <w:i/>
        </w:rPr>
        <w:t xml:space="preserve"> </w:t>
      </w:r>
    </w:p>
    <w:p w14:paraId="11E270B2" w14:textId="77777777" w:rsidR="007376E1" w:rsidRPr="001570EA" w:rsidRDefault="007376E1" w:rsidP="007376E1">
      <w:pPr>
        <w:tabs>
          <w:tab w:val="left" w:pos="1440"/>
        </w:tabs>
        <w:spacing w:before="60"/>
        <w:rPr>
          <w:rFonts w:ascii="Cambria Math" w:hAnsi="Cambria Math"/>
          <w:i/>
        </w:rPr>
      </w:pPr>
      <w:r w:rsidRPr="001570EA">
        <w:rPr>
          <w:rFonts w:ascii="Cambria Math" w:hAnsi="Cambria Math"/>
          <w:i/>
        </w:rPr>
        <w:t>HSPF</w:t>
      </w:r>
      <w:r w:rsidRPr="001570EA">
        <w:rPr>
          <w:rFonts w:ascii="Cambria Math" w:hAnsi="Cambria Math"/>
          <w:b/>
          <w:i/>
          <w:vertAlign w:val="subscript"/>
        </w:rPr>
        <w:tab/>
      </w:r>
      <w:r w:rsidRPr="001570EA">
        <w:rPr>
          <w:rFonts w:ascii="Cambria Math" w:hAnsi="Cambria Math"/>
          <w:b/>
          <w:i/>
        </w:rPr>
        <w:t>=</w:t>
      </w:r>
      <w:r w:rsidRPr="001570EA">
        <w:rPr>
          <w:rFonts w:ascii="Cambria Math" w:hAnsi="Cambria Math"/>
          <w:i/>
        </w:rPr>
        <w:t xml:space="preserve"> COP</w:t>
      </w:r>
      <w:r w:rsidRPr="001570EA">
        <w:rPr>
          <w:rFonts w:ascii="Cambria Math" w:hAnsi="Cambria Math"/>
          <w:i/>
          <w:vertAlign w:val="subscript"/>
        </w:rPr>
        <w:t>g</w:t>
      </w:r>
      <w:r w:rsidRPr="001570EA">
        <w:rPr>
          <w:rFonts w:ascii="Cambria Math" w:hAnsi="Cambria Math"/>
          <w:i/>
        </w:rPr>
        <w:t xml:space="preserve"> </w:t>
      </w:r>
      <w:r w:rsidRPr="001570EA">
        <w:rPr>
          <w:rFonts w:ascii="Cambria Math" w:hAnsi="Cambria Math"/>
        </w:rPr>
        <w:t>× 3.412</w:t>
      </w:r>
      <m:oMath>
        <m:f>
          <m:fPr>
            <m:ctrlPr>
              <w:rPr>
                <w:rFonts w:ascii="Cambria Math" w:hAnsi="Cambria Math" w:cs="Arial"/>
              </w:rPr>
            </m:ctrlPr>
          </m:fPr>
          <m:num>
            <m:r>
              <m:rPr>
                <m:nor/>
              </m:rPr>
              <w:rPr>
                <w:rFonts w:ascii="Cambria Math" w:hAnsi="Cambria Math" w:cs="Arial"/>
                <w:iCs/>
              </w:rPr>
              <m:t>BTU</m:t>
            </m:r>
            <m:ctrlPr>
              <w:rPr>
                <w:rFonts w:ascii="Cambria Math" w:hAnsi="Cambria Math" w:cs="Arial"/>
                <w:iCs/>
              </w:rPr>
            </m:ctrlPr>
          </m:num>
          <m:den>
            <m:r>
              <m:rPr>
                <m:nor/>
              </m:rPr>
              <w:rPr>
                <w:rFonts w:ascii="Cambria Math" w:hAnsi="Cambria Math" w:cs="Arial"/>
                <w:iCs/>
              </w:rPr>
              <m:t>W∙h</m:t>
            </m:r>
          </m:den>
        </m:f>
      </m:oMath>
      <w:r w:rsidRPr="001570EA">
        <w:rPr>
          <w:rFonts w:ascii="Cambria Math" w:hAnsi="Cambria Math"/>
          <w:iCs/>
        </w:rPr>
        <w:t xml:space="preserve"> </w:t>
      </w:r>
      <w:r w:rsidRPr="001570EA">
        <w:rPr>
          <w:rFonts w:ascii="Cambria Math" w:hAnsi="Cambria Math"/>
        </w:rPr>
        <w:t xml:space="preserve">× </w:t>
      </w:r>
      <w:r w:rsidRPr="001570EA">
        <w:rPr>
          <w:rFonts w:ascii="Cambria Math" w:hAnsi="Cambria Math"/>
          <w:i/>
        </w:rPr>
        <w:t>GSOP</w:t>
      </w:r>
    </w:p>
    <w:p w14:paraId="370A11F0" w14:textId="77777777" w:rsidR="007376E1" w:rsidRPr="001570EA" w:rsidRDefault="007376E1" w:rsidP="007376E1">
      <w:pPr>
        <w:tabs>
          <w:tab w:val="left" w:pos="1440"/>
        </w:tabs>
        <w:spacing w:before="120"/>
        <w:rPr>
          <w:rFonts w:ascii="Cambria Math" w:hAnsi="Cambria Math"/>
          <w:i/>
        </w:rPr>
      </w:pPr>
      <w:r w:rsidRPr="001570EA">
        <w:rPr>
          <w:rFonts w:ascii="Cambria Math" w:hAnsi="Cambria Math"/>
          <w:i/>
        </w:rPr>
        <w:t>COP</w:t>
      </w:r>
      <w:r w:rsidRPr="001570EA">
        <w:rPr>
          <w:rFonts w:ascii="Cambria Math" w:hAnsi="Cambria Math"/>
          <w:b/>
          <w:i/>
          <w:vertAlign w:val="subscript"/>
        </w:rPr>
        <w:tab/>
      </w:r>
      <w:r w:rsidRPr="001570EA">
        <w:rPr>
          <w:rFonts w:ascii="Cambria Math" w:hAnsi="Cambria Math"/>
          <w:b/>
          <w:i/>
        </w:rPr>
        <w:t>=</w:t>
      </w:r>
      <w:r w:rsidRPr="001570EA">
        <w:rPr>
          <w:rFonts w:ascii="Cambria Math" w:hAnsi="Cambria Math"/>
          <w:i/>
        </w:rPr>
        <w:t>COP</w:t>
      </w:r>
      <w:r w:rsidRPr="001570EA">
        <w:rPr>
          <w:rFonts w:ascii="Cambria Math" w:hAnsi="Cambria Math"/>
          <w:i/>
          <w:vertAlign w:val="subscript"/>
        </w:rPr>
        <w:t>g</w:t>
      </w:r>
      <w:r w:rsidRPr="001570EA">
        <w:rPr>
          <w:rFonts w:ascii="Cambria Math" w:hAnsi="Cambria Math"/>
          <w:i/>
        </w:rPr>
        <w:t xml:space="preserve"> </w:t>
      </w:r>
    </w:p>
    <w:p w14:paraId="185F03A6" w14:textId="77777777" w:rsidR="007376E1" w:rsidRPr="001570EA" w:rsidRDefault="007376E1" w:rsidP="007376E1">
      <w:pPr>
        <w:rPr>
          <w:rFonts w:cs="Arial"/>
        </w:rPr>
      </w:pPr>
    </w:p>
    <w:p w14:paraId="101BBA85" w14:textId="77777777" w:rsidR="007376E1" w:rsidRPr="001570EA" w:rsidRDefault="007376E1" w:rsidP="007376E1">
      <w:pPr>
        <w:rPr>
          <w:rFonts w:cs="Arial"/>
          <w:b/>
        </w:rPr>
      </w:pPr>
      <w:r w:rsidRPr="001570EA">
        <w:rPr>
          <w:rFonts w:cs="Arial"/>
          <w:b/>
        </w:rPr>
        <w:t>Qualifying: Package Terminal Heat Pumps, Package Terminal Air Conditioners</w:t>
      </w:r>
    </w:p>
    <w:p w14:paraId="12CF312C" w14:textId="77777777" w:rsidR="007376E1" w:rsidRPr="001570EA" w:rsidRDefault="007376E1" w:rsidP="007376E1">
      <w:pPr>
        <w:pStyle w:val="3ptheading"/>
        <w:tabs>
          <w:tab w:val="left" w:pos="1440"/>
        </w:tabs>
        <w:spacing w:before="120"/>
        <w:rPr>
          <w:rFonts w:ascii="Cambria Math" w:hAnsi="Cambria Math"/>
          <w:b w:val="0"/>
          <w:i/>
        </w:rPr>
      </w:pPr>
      <w:r w:rsidRPr="001570EA">
        <w:rPr>
          <w:rFonts w:ascii="Cambria Math" w:hAnsi="Cambria Math"/>
          <w:b w:val="0"/>
          <w:i/>
        </w:rPr>
        <w:t>SEER</w:t>
      </w:r>
      <w:r w:rsidRPr="001570EA">
        <w:rPr>
          <w:rFonts w:ascii="Cambria Math" w:hAnsi="Cambria Math"/>
          <w:b w:val="0"/>
          <w:i/>
          <w:vertAlign w:val="subscript"/>
        </w:rPr>
        <w:tab/>
      </w:r>
      <w:r w:rsidRPr="001570EA">
        <w:rPr>
          <w:rFonts w:ascii="Cambria Math" w:hAnsi="Cambria Math"/>
          <w:b w:val="0"/>
          <w:i/>
        </w:rPr>
        <w:t>= EER</w:t>
      </w:r>
    </w:p>
    <w:p w14:paraId="319E28F2" w14:textId="77777777" w:rsidR="007376E1" w:rsidRPr="001570EA" w:rsidRDefault="007376E1" w:rsidP="007376E1">
      <w:pPr>
        <w:rPr>
          <w:rFonts w:cs="Arial"/>
        </w:rPr>
      </w:pPr>
      <w:r w:rsidRPr="001570EA">
        <w:rPr>
          <w:rFonts w:ascii="Cambria Math" w:hAnsi="Cambria Math"/>
          <w:i/>
        </w:rPr>
        <w:t>HSPF</w:t>
      </w:r>
      <w:r w:rsidRPr="001570EA">
        <w:rPr>
          <w:rFonts w:ascii="Cambria Math" w:hAnsi="Cambria Math"/>
          <w:i/>
          <w:vertAlign w:val="subscript"/>
        </w:rPr>
        <w:tab/>
      </w:r>
      <w:r w:rsidRPr="001570EA">
        <w:rPr>
          <w:rFonts w:ascii="Cambria Math" w:hAnsi="Cambria Math"/>
          <w:i/>
          <w:vertAlign w:val="subscript"/>
        </w:rPr>
        <w:tab/>
        <w:t>=</w:t>
      </w:r>
      <w:r w:rsidRPr="001570EA">
        <w:rPr>
          <w:rFonts w:ascii="Cambria Math" w:hAnsi="Cambria Math"/>
          <w:i/>
        </w:rPr>
        <w:t xml:space="preserve"> COP </w:t>
      </w:r>
      <w:r w:rsidRPr="001570EA">
        <w:rPr>
          <w:rFonts w:ascii="Cambria Math" w:hAnsi="Cambria Math"/>
        </w:rPr>
        <w:t>× 3.412</w:t>
      </w:r>
      <m:oMath>
        <m:f>
          <m:fPr>
            <m:ctrlPr>
              <w:rPr>
                <w:rFonts w:ascii="Cambria Math" w:hAnsi="Cambria Math" w:cs="Arial"/>
              </w:rPr>
            </m:ctrlPr>
          </m:fPr>
          <m:num>
            <m:r>
              <m:rPr>
                <m:nor/>
              </m:rPr>
              <w:rPr>
                <w:rFonts w:ascii="Cambria Math" w:hAnsi="Cambria Math" w:cs="Arial"/>
                <w:iCs/>
              </w:rPr>
              <m:t>BTU</m:t>
            </m:r>
          </m:num>
          <m:den>
            <m:r>
              <m:rPr>
                <m:nor/>
              </m:rPr>
              <w:rPr>
                <w:rFonts w:ascii="Cambria Math" w:hAnsi="Cambria Math" w:cs="Arial"/>
                <w:iCs/>
              </w:rPr>
              <m:t>W∙h</m:t>
            </m:r>
          </m:den>
        </m:f>
      </m:oMath>
    </w:p>
    <w:p w14:paraId="1B959C17" w14:textId="77777777" w:rsidR="007376E1" w:rsidRPr="001570EA" w:rsidRDefault="007376E1" w:rsidP="007376E1">
      <w:pPr>
        <w:pStyle w:val="SubStyle"/>
      </w:pPr>
    </w:p>
    <w:p w14:paraId="5591DF78" w14:textId="77777777" w:rsidR="007376E1" w:rsidRPr="001570EA" w:rsidRDefault="007376E1" w:rsidP="007376E1">
      <w:pPr>
        <w:pStyle w:val="SubStyle"/>
      </w:pPr>
      <w:r w:rsidRPr="001570EA">
        <w:t>Definition of Terms</w:t>
      </w:r>
    </w:p>
    <w:p w14:paraId="5836D283" w14:textId="6FAA8E01" w:rsidR="007376E1" w:rsidRPr="001570EA" w:rsidRDefault="006B3852" w:rsidP="006B3852">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9</w:t>
      </w:r>
      <w:r w:rsidR="002E093A" w:rsidRPr="001570EA">
        <w:fldChar w:fldCharType="end"/>
      </w:r>
      <w:r w:rsidRPr="001570EA">
        <w:t>: Terms, Values, and References for High Efficiency Equipment: ASHP, CAC, GSHP, PTAC, PTHP</w:t>
      </w:r>
    </w:p>
    <w:tbl>
      <w:tblPr>
        <w:tblStyle w:val="TableGrid"/>
        <w:tblW w:w="8640" w:type="dxa"/>
        <w:tblInd w:w="108" w:type="dxa"/>
        <w:tblLayout w:type="fixed"/>
        <w:tblLook w:val="04A0" w:firstRow="1" w:lastRow="0" w:firstColumn="1" w:lastColumn="0" w:noHBand="0" w:noVBand="1"/>
      </w:tblPr>
      <w:tblGrid>
        <w:gridCol w:w="3690"/>
        <w:gridCol w:w="1147"/>
        <w:gridCol w:w="2093"/>
        <w:gridCol w:w="1710"/>
      </w:tblGrid>
      <w:tr w:rsidR="007376E1" w:rsidRPr="001570EA" w14:paraId="41F73228" w14:textId="77777777">
        <w:trPr>
          <w:trHeight w:val="242"/>
          <w:tblHeader/>
        </w:trPr>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6D636" w14:textId="77777777" w:rsidR="007376E1" w:rsidRPr="001570EA" w:rsidRDefault="007376E1">
            <w:pPr>
              <w:rPr>
                <w:sz w:val="18"/>
                <w:szCs w:val="18"/>
              </w:rPr>
            </w:pPr>
            <w:r w:rsidRPr="001570EA">
              <w:rPr>
                <w:b/>
                <w:bCs/>
                <w:sz w:val="18"/>
                <w:szCs w:val="18"/>
              </w:rPr>
              <w:t>Term</w:t>
            </w:r>
          </w:p>
        </w:tc>
        <w:tc>
          <w:tcPr>
            <w:tcW w:w="11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C4C1AA" w14:textId="77777777" w:rsidR="007376E1" w:rsidRPr="001570EA" w:rsidRDefault="007376E1">
            <w:pPr>
              <w:jc w:val="center"/>
              <w:rPr>
                <w:sz w:val="18"/>
                <w:szCs w:val="18"/>
              </w:rPr>
            </w:pPr>
            <w:r w:rsidRPr="001570EA">
              <w:rPr>
                <w:b/>
                <w:bCs/>
                <w:sz w:val="18"/>
                <w:szCs w:val="18"/>
              </w:rPr>
              <w:t>Unit</w:t>
            </w:r>
          </w:p>
        </w:tc>
        <w:tc>
          <w:tcPr>
            <w:tcW w:w="20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466DBF" w14:textId="77777777" w:rsidR="007376E1" w:rsidRPr="001570EA" w:rsidRDefault="007376E1">
            <w:pPr>
              <w:jc w:val="center"/>
              <w:rPr>
                <w:sz w:val="18"/>
                <w:szCs w:val="18"/>
              </w:rPr>
            </w:pPr>
            <w:r w:rsidRPr="001570EA">
              <w:rPr>
                <w:b/>
                <w:bCs/>
                <w:sz w:val="18"/>
                <w:szCs w:val="18"/>
              </w:rPr>
              <w:t>Value</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ED342B" w14:textId="77777777" w:rsidR="007376E1" w:rsidRPr="001570EA" w:rsidRDefault="007376E1">
            <w:pPr>
              <w:jc w:val="center"/>
              <w:rPr>
                <w:sz w:val="18"/>
                <w:szCs w:val="18"/>
              </w:rPr>
            </w:pPr>
            <w:r w:rsidRPr="001570EA">
              <w:rPr>
                <w:b/>
                <w:bCs/>
                <w:sz w:val="18"/>
                <w:szCs w:val="18"/>
              </w:rPr>
              <w:t>Sources</w:t>
            </w:r>
          </w:p>
        </w:tc>
      </w:tr>
      <w:tr w:rsidR="007376E1" w:rsidRPr="001570EA" w14:paraId="72BF9054" w14:textId="77777777">
        <w:trPr>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434C0EE2" w14:textId="11F1F068" w:rsidR="007376E1" w:rsidRPr="001570EA" w:rsidRDefault="007376E1">
            <w:pPr>
              <w:rPr>
                <w:sz w:val="18"/>
                <w:szCs w:val="18"/>
              </w:rPr>
            </w:pPr>
            <w:r w:rsidRPr="001570EA">
              <w:rPr>
                <w:i/>
                <w:iCs/>
                <w:sz w:val="18"/>
                <w:szCs w:val="18"/>
              </w:rPr>
              <w:t>CAPY</w:t>
            </w:r>
            <w:r w:rsidRPr="001570EA">
              <w:rPr>
                <w:i/>
                <w:iCs/>
                <w:sz w:val="18"/>
                <w:szCs w:val="18"/>
                <w:vertAlign w:val="subscript"/>
              </w:rPr>
              <w:t>cool</w:t>
            </w:r>
            <w:r w:rsidRPr="001570EA">
              <w:rPr>
                <w:sz w:val="18"/>
                <w:szCs w:val="18"/>
              </w:rPr>
              <w:t xml:space="preserve">, </w:t>
            </w:r>
            <w:r w:rsidRPr="001570EA">
              <w:rPr>
                <w:rFonts w:cs="Arial"/>
                <w:sz w:val="18"/>
                <w:szCs w:val="18"/>
              </w:rPr>
              <w:t>The cooling capacity of the equipment being installed</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7E3D296" w14:textId="77777777" w:rsidR="007376E1" w:rsidRPr="001570EA" w:rsidRDefault="007376E1">
            <w:pPr>
              <w:jc w:val="center"/>
              <w:rPr>
                <w:rFonts w:ascii="Cambria Math" w:hAnsi="Cambria Math"/>
                <w:sz w:val="18"/>
                <w:szCs w:val="18"/>
              </w:rPr>
            </w:pPr>
            <w:r w:rsidRPr="001570EA">
              <w:rPr>
                <w:rFonts w:ascii="Cambria Math" w:hAnsi="Cambria Math" w:cs="Arial"/>
                <w:i/>
                <w:iCs/>
                <w:sz w:val="18"/>
                <w:szCs w:val="18"/>
              </w:rPr>
              <w:t>kBTU/hr</w:t>
            </w:r>
          </w:p>
        </w:tc>
        <w:tc>
          <w:tcPr>
            <w:tcW w:w="2093" w:type="dxa"/>
            <w:tcBorders>
              <w:top w:val="single" w:sz="4" w:space="0" w:color="auto"/>
              <w:left w:val="single" w:sz="4" w:space="0" w:color="auto"/>
              <w:bottom w:val="single" w:sz="4" w:space="0" w:color="auto"/>
              <w:right w:val="single" w:sz="4" w:space="0" w:color="auto"/>
            </w:tcBorders>
            <w:vAlign w:val="center"/>
          </w:tcPr>
          <w:p w14:paraId="5A12A034" w14:textId="77777777" w:rsidR="007376E1" w:rsidRPr="001570EA" w:rsidRDefault="007376E1">
            <w:pPr>
              <w:pStyle w:val="TableCell"/>
              <w:spacing w:before="60" w:after="60"/>
              <w:jc w:val="center"/>
              <w:rPr>
                <w:szCs w:val="18"/>
              </w:rPr>
            </w:pPr>
            <w:r w:rsidRPr="001570EA">
              <w:rPr>
                <w:szCs w:val="18"/>
              </w:rPr>
              <w:t>EDC Data Gathering</w:t>
            </w:r>
          </w:p>
          <w:p w14:paraId="1798D152" w14:textId="77777777" w:rsidR="007376E1" w:rsidRPr="001570EA" w:rsidRDefault="007376E1">
            <w:pPr>
              <w:jc w:val="center"/>
              <w:rPr>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5CA2F5E1"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32161411" w14:textId="77777777">
        <w:trPr>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3A10CD51" w14:textId="09A072BE" w:rsidR="007376E1" w:rsidRPr="001570EA" w:rsidRDefault="007376E1">
            <w:pPr>
              <w:rPr>
                <w:sz w:val="18"/>
                <w:szCs w:val="18"/>
              </w:rPr>
            </w:pPr>
            <w:r w:rsidRPr="001570EA">
              <w:rPr>
                <w:i/>
                <w:iCs/>
                <w:sz w:val="18"/>
                <w:szCs w:val="18"/>
              </w:rPr>
              <w:t>CAPY</w:t>
            </w:r>
            <w:r w:rsidRPr="001570EA">
              <w:rPr>
                <w:i/>
                <w:iCs/>
                <w:sz w:val="18"/>
                <w:szCs w:val="18"/>
                <w:vertAlign w:val="subscript"/>
              </w:rPr>
              <w:t>heat</w:t>
            </w:r>
            <w:r w:rsidRPr="001570EA">
              <w:rPr>
                <w:sz w:val="18"/>
                <w:szCs w:val="18"/>
              </w:rPr>
              <w:t xml:space="preserve">, </w:t>
            </w:r>
            <w:r w:rsidRPr="001570EA">
              <w:rPr>
                <w:rFonts w:cs="Arial"/>
                <w:sz w:val="18"/>
                <w:szCs w:val="18"/>
              </w:rPr>
              <w:t>The heating capacity of the heat pump being installed (Auxiliary electric resistance heat is not included)</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1A17E5C" w14:textId="77777777" w:rsidR="007376E1" w:rsidRPr="001570EA" w:rsidRDefault="007376E1">
            <w:pPr>
              <w:jc w:val="center"/>
              <w:rPr>
                <w:rFonts w:ascii="Cambria Math" w:hAnsi="Cambria Math"/>
                <w:sz w:val="18"/>
                <w:szCs w:val="18"/>
              </w:rPr>
            </w:pPr>
            <w:r w:rsidRPr="001570EA">
              <w:rPr>
                <w:rFonts w:ascii="Cambria Math" w:hAnsi="Cambria Math" w:cs="Arial"/>
                <w:i/>
                <w:iCs/>
                <w:sz w:val="18"/>
                <w:szCs w:val="18"/>
              </w:rPr>
              <w:t>kBTU/hr</w:t>
            </w:r>
          </w:p>
        </w:tc>
        <w:tc>
          <w:tcPr>
            <w:tcW w:w="2093" w:type="dxa"/>
            <w:tcBorders>
              <w:top w:val="single" w:sz="4" w:space="0" w:color="auto"/>
              <w:left w:val="single" w:sz="4" w:space="0" w:color="auto"/>
              <w:bottom w:val="single" w:sz="4" w:space="0" w:color="auto"/>
              <w:right w:val="single" w:sz="4" w:space="0" w:color="auto"/>
            </w:tcBorders>
            <w:vAlign w:val="center"/>
          </w:tcPr>
          <w:p w14:paraId="1B795269" w14:textId="77777777" w:rsidR="007376E1" w:rsidRPr="001570EA" w:rsidRDefault="007376E1">
            <w:pPr>
              <w:pStyle w:val="TableCell"/>
              <w:spacing w:before="60" w:after="60"/>
              <w:jc w:val="center"/>
              <w:rPr>
                <w:szCs w:val="18"/>
              </w:rPr>
            </w:pPr>
            <w:r w:rsidRPr="001570EA">
              <w:rPr>
                <w:szCs w:val="18"/>
              </w:rPr>
              <w:t>EDC Data Gathering</w:t>
            </w:r>
          </w:p>
          <w:p w14:paraId="185B4875" w14:textId="77777777" w:rsidR="007376E1" w:rsidRPr="001570EA" w:rsidRDefault="007376E1">
            <w:pPr>
              <w:jc w:val="center"/>
              <w:rPr>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00F780D5"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0F145E6A" w14:textId="77777777">
        <w:trPr>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140C9BDC" w14:textId="6B5E95E6" w:rsidR="007376E1" w:rsidRPr="001570EA" w:rsidRDefault="007376E1">
            <w:pPr>
              <w:rPr>
                <w:sz w:val="18"/>
                <w:szCs w:val="18"/>
              </w:rPr>
            </w:pPr>
            <w:r w:rsidRPr="001570EA">
              <w:rPr>
                <w:i/>
                <w:iCs/>
                <w:sz w:val="18"/>
                <w:szCs w:val="18"/>
              </w:rPr>
              <w:t>CAPY</w:t>
            </w:r>
            <w:r w:rsidRPr="001570EA">
              <w:rPr>
                <w:i/>
                <w:iCs/>
                <w:sz w:val="18"/>
                <w:szCs w:val="18"/>
                <w:vertAlign w:val="subscript"/>
              </w:rPr>
              <w:t>RAC</w:t>
            </w:r>
            <w:r w:rsidRPr="001570EA">
              <w:rPr>
                <w:sz w:val="18"/>
                <w:szCs w:val="18"/>
              </w:rPr>
              <w:t>, The cooling capacity of the room AC for the RAC cooling baseline</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2C3F112" w14:textId="77777777" w:rsidR="007376E1" w:rsidRPr="001570EA" w:rsidRDefault="007376E1">
            <w:pPr>
              <w:jc w:val="center"/>
              <w:rPr>
                <w:rFonts w:ascii="Cambria Math" w:hAnsi="Cambria Math"/>
                <w:sz w:val="18"/>
                <w:szCs w:val="18"/>
              </w:rPr>
            </w:pPr>
            <w:r w:rsidRPr="001570EA">
              <w:rPr>
                <w:rFonts w:ascii="Cambria Math" w:hAnsi="Cambria Math" w:cs="Arial"/>
                <w:i/>
                <w:iCs/>
                <w:sz w:val="18"/>
                <w:szCs w:val="18"/>
              </w:rPr>
              <w:t>kBTU/hr</w:t>
            </w:r>
          </w:p>
        </w:tc>
        <w:tc>
          <w:tcPr>
            <w:tcW w:w="2093" w:type="dxa"/>
            <w:tcBorders>
              <w:top w:val="single" w:sz="4" w:space="0" w:color="auto"/>
              <w:left w:val="single" w:sz="4" w:space="0" w:color="auto"/>
              <w:bottom w:val="single" w:sz="4" w:space="0" w:color="auto"/>
              <w:right w:val="single" w:sz="4" w:space="0" w:color="auto"/>
            </w:tcBorders>
            <w:vAlign w:val="center"/>
            <w:hideMark/>
          </w:tcPr>
          <w:p w14:paraId="72040CD3" w14:textId="77777777" w:rsidR="007376E1" w:rsidRPr="001570EA" w:rsidRDefault="007376E1">
            <w:pPr>
              <w:jc w:val="center"/>
              <w:rPr>
                <w:sz w:val="18"/>
                <w:szCs w:val="18"/>
              </w:rPr>
            </w:pPr>
            <w:r w:rsidRPr="001570EA">
              <w:rPr>
                <w:sz w:val="18"/>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06CF589" w14:textId="77777777" w:rsidR="007376E1" w:rsidRPr="001570EA" w:rsidRDefault="007376E1">
            <w:pPr>
              <w:jc w:val="center"/>
              <w:rPr>
                <w:sz w:val="18"/>
                <w:szCs w:val="18"/>
              </w:rPr>
            </w:pPr>
            <w:r w:rsidRPr="001570EA">
              <w:rPr>
                <w:sz w:val="18"/>
                <w:szCs w:val="18"/>
              </w:rPr>
              <w:t>EDC Data Gathering</w:t>
            </w:r>
          </w:p>
        </w:tc>
      </w:tr>
      <w:tr w:rsidR="007376E1" w:rsidRPr="001570EA" w14:paraId="174F2CBE" w14:textId="77777777">
        <w:trPr>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1B76D397" w14:textId="26A97F35" w:rsidR="007376E1" w:rsidRPr="001570EA" w:rsidRDefault="007376E1">
            <w:pPr>
              <w:rPr>
                <w:sz w:val="18"/>
                <w:szCs w:val="18"/>
              </w:rPr>
            </w:pPr>
            <w:r w:rsidRPr="001570EA">
              <w:rPr>
                <w:i/>
                <w:iCs/>
                <w:sz w:val="18"/>
                <w:szCs w:val="18"/>
              </w:rPr>
              <w:t>kW</w:t>
            </w:r>
            <w:r w:rsidRPr="001570EA">
              <w:rPr>
                <w:i/>
                <w:iCs/>
                <w:sz w:val="18"/>
                <w:szCs w:val="18"/>
                <w:vertAlign w:val="subscript"/>
              </w:rPr>
              <w:t>spaceheat</w:t>
            </w:r>
            <w:r w:rsidRPr="001570EA">
              <w:rPr>
                <w:sz w:val="18"/>
                <w:szCs w:val="18"/>
              </w:rPr>
              <w:t>, The heating capacity of the space heaters in kilowatts.</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89FFB7B" w14:textId="77777777" w:rsidR="007376E1" w:rsidRPr="001570EA" w:rsidRDefault="007376E1">
            <w:pPr>
              <w:jc w:val="center"/>
              <w:rPr>
                <w:rFonts w:ascii="Cambria Math" w:hAnsi="Cambria Math"/>
                <w:sz w:val="18"/>
                <w:szCs w:val="18"/>
              </w:rPr>
            </w:pPr>
            <w:r w:rsidRPr="001570EA">
              <w:rPr>
                <w:rFonts w:ascii="Cambria Math" w:hAnsi="Cambria Math"/>
                <w:i/>
                <w:iCs/>
                <w:sz w:val="18"/>
                <w:szCs w:val="18"/>
              </w:rPr>
              <w:t>kW</w:t>
            </w:r>
          </w:p>
        </w:tc>
        <w:tc>
          <w:tcPr>
            <w:tcW w:w="2093" w:type="dxa"/>
            <w:tcBorders>
              <w:top w:val="single" w:sz="4" w:space="0" w:color="auto"/>
              <w:left w:val="single" w:sz="4" w:space="0" w:color="auto"/>
              <w:bottom w:val="single" w:sz="4" w:space="0" w:color="auto"/>
              <w:right w:val="single" w:sz="4" w:space="0" w:color="auto"/>
            </w:tcBorders>
            <w:vAlign w:val="center"/>
            <w:hideMark/>
          </w:tcPr>
          <w:p w14:paraId="6C7F7D4A" w14:textId="77777777" w:rsidR="007376E1" w:rsidRPr="001570EA" w:rsidRDefault="007376E1">
            <w:pPr>
              <w:jc w:val="center"/>
              <w:rPr>
                <w:sz w:val="18"/>
                <w:szCs w:val="18"/>
              </w:rPr>
            </w:pPr>
            <w:r w:rsidRPr="001570EA">
              <w:rPr>
                <w:sz w:val="18"/>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1F67764" w14:textId="77777777" w:rsidR="007376E1" w:rsidRPr="001570EA" w:rsidRDefault="007376E1">
            <w:pPr>
              <w:jc w:val="center"/>
              <w:rPr>
                <w:sz w:val="18"/>
                <w:szCs w:val="18"/>
              </w:rPr>
            </w:pPr>
            <w:r w:rsidRPr="001570EA">
              <w:rPr>
                <w:sz w:val="18"/>
                <w:szCs w:val="18"/>
              </w:rPr>
              <w:t>EDC Data Gathering</w:t>
            </w:r>
          </w:p>
        </w:tc>
      </w:tr>
      <w:tr w:rsidR="007376E1" w:rsidRPr="001570EA" w14:paraId="320572C1" w14:textId="77777777">
        <w:trPr>
          <w:trHeight w:val="323"/>
        </w:trPr>
        <w:tc>
          <w:tcPr>
            <w:tcW w:w="3690" w:type="dxa"/>
            <w:vMerge w:val="restart"/>
            <w:tcBorders>
              <w:top w:val="single" w:sz="4" w:space="0" w:color="auto"/>
              <w:left w:val="single" w:sz="4" w:space="0" w:color="auto"/>
              <w:right w:val="single" w:sz="4" w:space="0" w:color="auto"/>
            </w:tcBorders>
            <w:vAlign w:val="center"/>
          </w:tcPr>
          <w:p w14:paraId="537440C6" w14:textId="77777777" w:rsidR="007376E1" w:rsidRPr="001570EA" w:rsidRDefault="007376E1">
            <w:pPr>
              <w:rPr>
                <w:i/>
                <w:iCs/>
                <w:sz w:val="18"/>
                <w:szCs w:val="18"/>
              </w:rPr>
            </w:pPr>
            <w:r w:rsidRPr="001570EA">
              <w:rPr>
                <w:i/>
                <w:iCs/>
                <w:sz w:val="18"/>
                <w:szCs w:val="18"/>
              </w:rPr>
              <w:t>SEER2</w:t>
            </w:r>
            <w:r w:rsidRPr="001570EA">
              <w:rPr>
                <w:i/>
                <w:iCs/>
                <w:sz w:val="18"/>
                <w:szCs w:val="18"/>
                <w:vertAlign w:val="subscript"/>
              </w:rPr>
              <w:t>base</w:t>
            </w:r>
            <w:r w:rsidRPr="001570EA">
              <w:rPr>
                <w:i/>
                <w:iCs/>
                <w:sz w:val="18"/>
                <w:szCs w:val="18"/>
              </w:rPr>
              <w:t>, SEER</w:t>
            </w:r>
            <w:r w:rsidRPr="001570EA">
              <w:rPr>
                <w:i/>
                <w:iCs/>
                <w:sz w:val="18"/>
                <w:szCs w:val="18"/>
                <w:vertAlign w:val="subscript"/>
              </w:rPr>
              <w:t>base</w:t>
            </w:r>
            <w:r w:rsidRPr="001570EA">
              <w:rPr>
                <w:i/>
                <w:iCs/>
                <w:sz w:val="18"/>
                <w:szCs w:val="18"/>
              </w:rPr>
              <w:t xml:space="preserve">, </w:t>
            </w:r>
            <w:r w:rsidRPr="001570EA">
              <w:rPr>
                <w:rFonts w:cs="Arial"/>
                <w:sz w:val="18"/>
                <w:szCs w:val="18"/>
              </w:rPr>
              <w:t>Seasonal Energy Efficiency Ratio of the Baseline Unit</w:t>
            </w:r>
          </w:p>
        </w:tc>
        <w:tc>
          <w:tcPr>
            <w:tcW w:w="1147" w:type="dxa"/>
            <w:vMerge w:val="restart"/>
            <w:tcBorders>
              <w:top w:val="single" w:sz="4" w:space="0" w:color="auto"/>
              <w:left w:val="single" w:sz="4" w:space="0" w:color="auto"/>
              <w:right w:val="single" w:sz="4" w:space="0" w:color="auto"/>
            </w:tcBorders>
            <w:vAlign w:val="center"/>
          </w:tcPr>
          <w:p w14:paraId="2DE5DE46" w14:textId="77777777" w:rsidR="007376E1" w:rsidRPr="001570EA" w:rsidRDefault="003B5E04">
            <w:pPr>
              <w:jc w:val="center"/>
              <w:rPr>
                <w:rFonts w:ascii="Cambria Math" w:hAnsi="Cambria Math" w:cs="Arial"/>
                <w:i/>
                <w:iCs/>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93" w:type="dxa"/>
            <w:tcBorders>
              <w:top w:val="single" w:sz="4" w:space="0" w:color="auto"/>
              <w:left w:val="single" w:sz="4" w:space="0" w:color="auto"/>
              <w:bottom w:val="single" w:sz="4" w:space="0" w:color="auto"/>
              <w:right w:val="single" w:sz="4" w:space="0" w:color="auto"/>
            </w:tcBorders>
            <w:vAlign w:val="center"/>
          </w:tcPr>
          <w:p w14:paraId="668CDDF2" w14:textId="77777777" w:rsidR="007376E1" w:rsidRPr="001570EA" w:rsidRDefault="007376E1">
            <w:pPr>
              <w:pStyle w:val="TableCell"/>
              <w:spacing w:before="60" w:after="60"/>
              <w:jc w:val="center"/>
              <w:rPr>
                <w:szCs w:val="18"/>
              </w:rPr>
            </w:pPr>
            <w:r w:rsidRPr="001570EA">
              <w:rPr>
                <w:szCs w:val="18"/>
              </w:rPr>
              <w:t xml:space="preserve">EDC Data Gathering, </w:t>
            </w:r>
          </w:p>
        </w:tc>
        <w:tc>
          <w:tcPr>
            <w:tcW w:w="1710" w:type="dxa"/>
            <w:tcBorders>
              <w:top w:val="single" w:sz="4" w:space="0" w:color="auto"/>
              <w:left w:val="single" w:sz="4" w:space="0" w:color="auto"/>
              <w:right w:val="single" w:sz="4" w:space="0" w:color="auto"/>
            </w:tcBorders>
            <w:vAlign w:val="center"/>
          </w:tcPr>
          <w:p w14:paraId="452B87CC" w14:textId="77777777" w:rsidR="007376E1" w:rsidRPr="001570EA" w:rsidRDefault="007376E1">
            <w:pPr>
              <w:jc w:val="center"/>
              <w:rPr>
                <w:sz w:val="18"/>
                <w:szCs w:val="18"/>
              </w:rPr>
            </w:pPr>
            <w:r w:rsidRPr="001570EA">
              <w:rPr>
                <w:sz w:val="18"/>
                <w:szCs w:val="18"/>
              </w:rPr>
              <w:t>EDC Data Gathering</w:t>
            </w:r>
          </w:p>
        </w:tc>
      </w:tr>
      <w:tr w:rsidR="007376E1" w:rsidRPr="001570EA" w14:paraId="6590E535" w14:textId="77777777">
        <w:trPr>
          <w:trHeight w:val="322"/>
        </w:trPr>
        <w:tc>
          <w:tcPr>
            <w:tcW w:w="3690" w:type="dxa"/>
            <w:vMerge/>
            <w:tcBorders>
              <w:left w:val="single" w:sz="4" w:space="0" w:color="auto"/>
              <w:right w:val="single" w:sz="4" w:space="0" w:color="auto"/>
            </w:tcBorders>
            <w:vAlign w:val="center"/>
          </w:tcPr>
          <w:p w14:paraId="16102132" w14:textId="77777777" w:rsidR="007376E1" w:rsidRPr="001570EA" w:rsidRDefault="007376E1">
            <w:pPr>
              <w:rPr>
                <w:i/>
                <w:iCs/>
                <w:sz w:val="18"/>
                <w:szCs w:val="18"/>
              </w:rPr>
            </w:pPr>
          </w:p>
        </w:tc>
        <w:tc>
          <w:tcPr>
            <w:tcW w:w="1147" w:type="dxa"/>
            <w:vMerge/>
            <w:tcBorders>
              <w:left w:val="single" w:sz="4" w:space="0" w:color="auto"/>
              <w:bottom w:val="single" w:sz="4" w:space="0" w:color="auto"/>
              <w:right w:val="single" w:sz="4" w:space="0" w:color="auto"/>
            </w:tcBorders>
            <w:vAlign w:val="center"/>
          </w:tcPr>
          <w:p w14:paraId="03D62ECB" w14:textId="77777777" w:rsidR="007376E1" w:rsidRPr="001570EA" w:rsidRDefault="007376E1">
            <w:pPr>
              <w:jc w:val="center"/>
              <w:rPr>
                <w:i/>
                <w:sz w:val="18"/>
                <w:szCs w:val="18"/>
              </w:rPr>
            </w:pPr>
          </w:p>
        </w:tc>
        <w:tc>
          <w:tcPr>
            <w:tcW w:w="2093" w:type="dxa"/>
            <w:tcBorders>
              <w:top w:val="single" w:sz="4" w:space="0" w:color="auto"/>
              <w:left w:val="single" w:sz="4" w:space="0" w:color="auto"/>
              <w:bottom w:val="single" w:sz="4" w:space="0" w:color="auto"/>
              <w:right w:val="single" w:sz="4" w:space="0" w:color="auto"/>
            </w:tcBorders>
            <w:vAlign w:val="center"/>
          </w:tcPr>
          <w:p w14:paraId="4ACDDAFE" w14:textId="29B6AA2C" w:rsidR="007376E1" w:rsidRPr="001570EA" w:rsidRDefault="007376E1">
            <w:pPr>
              <w:pStyle w:val="TableCell"/>
              <w:spacing w:before="60" w:after="60"/>
              <w:jc w:val="center"/>
              <w:rPr>
                <w:szCs w:val="18"/>
              </w:rPr>
            </w:pPr>
            <w:r w:rsidRPr="001570EA">
              <w:rPr>
                <w:szCs w:val="18"/>
              </w:rPr>
              <w:t xml:space="preserve">Default: see </w:t>
            </w:r>
            <w:r w:rsidRPr="001570EA">
              <w:rPr>
                <w:szCs w:val="18"/>
              </w:rPr>
              <w:fldChar w:fldCharType="begin"/>
            </w:r>
            <w:r w:rsidRPr="001570EA">
              <w:rPr>
                <w:szCs w:val="18"/>
              </w:rPr>
              <w:instrText xml:space="preserve"> REF _Ref531779526 \h  \* MERGEFORMAT </w:instrText>
            </w:r>
            <w:r w:rsidRPr="001570EA">
              <w:rPr>
                <w:szCs w:val="18"/>
              </w:rPr>
            </w:r>
            <w:r w:rsidRPr="001570EA">
              <w:rPr>
                <w:szCs w:val="18"/>
              </w:rPr>
              <w:fldChar w:fldCharType="separate"/>
            </w:r>
            <w:r w:rsidR="00384D95" w:rsidRPr="001570EA">
              <w:rPr>
                <w:szCs w:val="18"/>
              </w:rPr>
              <w:t>Table 2</w:t>
            </w:r>
            <w:r w:rsidR="00384D95" w:rsidRPr="001570EA">
              <w:rPr>
                <w:szCs w:val="18"/>
              </w:rPr>
              <w:noBreakHyphen/>
              <w:t>10</w:t>
            </w:r>
            <w:r w:rsidRPr="001570EA">
              <w:rPr>
                <w:szCs w:val="18"/>
              </w:rPr>
              <w:fldChar w:fldCharType="end"/>
            </w:r>
          </w:p>
        </w:tc>
        <w:tc>
          <w:tcPr>
            <w:tcW w:w="1710" w:type="dxa"/>
            <w:tcBorders>
              <w:left w:val="single" w:sz="4" w:space="0" w:color="auto"/>
              <w:bottom w:val="single" w:sz="4" w:space="0" w:color="auto"/>
              <w:right w:val="single" w:sz="4" w:space="0" w:color="auto"/>
            </w:tcBorders>
            <w:vAlign w:val="center"/>
          </w:tcPr>
          <w:p w14:paraId="5657136B" w14:textId="77777777" w:rsidR="007376E1" w:rsidRPr="001570EA" w:rsidRDefault="007376E1">
            <w:pPr>
              <w:jc w:val="center"/>
              <w:rPr>
                <w:sz w:val="18"/>
                <w:szCs w:val="18"/>
              </w:rPr>
            </w:pPr>
            <w:r w:rsidRPr="001570EA">
              <w:rPr>
                <w:sz w:val="18"/>
                <w:szCs w:val="18"/>
              </w:rPr>
              <w:t>2</w:t>
            </w:r>
          </w:p>
        </w:tc>
      </w:tr>
      <w:tr w:rsidR="007376E1" w:rsidRPr="001570EA" w14:paraId="5648BD88" w14:textId="77777777">
        <w:trPr>
          <w:trHeight w:val="650"/>
        </w:trPr>
        <w:tc>
          <w:tcPr>
            <w:tcW w:w="3690" w:type="dxa"/>
            <w:tcBorders>
              <w:top w:val="single" w:sz="4" w:space="0" w:color="auto"/>
              <w:left w:val="single" w:sz="4" w:space="0" w:color="auto"/>
              <w:bottom w:val="single" w:sz="4" w:space="0" w:color="auto"/>
              <w:right w:val="single" w:sz="4" w:space="0" w:color="auto"/>
            </w:tcBorders>
            <w:vAlign w:val="center"/>
          </w:tcPr>
          <w:p w14:paraId="02B60D55" w14:textId="77777777" w:rsidR="007376E1" w:rsidRPr="001570EA" w:rsidRDefault="007376E1">
            <w:pPr>
              <w:rPr>
                <w:i/>
                <w:iCs/>
                <w:sz w:val="18"/>
                <w:szCs w:val="18"/>
              </w:rPr>
            </w:pPr>
            <w:r w:rsidRPr="001570EA">
              <w:rPr>
                <w:i/>
                <w:iCs/>
                <w:sz w:val="18"/>
                <w:szCs w:val="18"/>
              </w:rPr>
              <w:t>SEER2</w:t>
            </w:r>
            <w:r w:rsidRPr="001570EA">
              <w:rPr>
                <w:i/>
                <w:iCs/>
                <w:sz w:val="18"/>
                <w:szCs w:val="18"/>
                <w:vertAlign w:val="subscript"/>
              </w:rPr>
              <w:t>ee</w:t>
            </w:r>
            <w:r w:rsidRPr="001570EA">
              <w:rPr>
                <w:i/>
                <w:iCs/>
                <w:sz w:val="18"/>
                <w:szCs w:val="18"/>
              </w:rPr>
              <w:t>, SEER</w:t>
            </w:r>
            <w:r w:rsidRPr="001570EA">
              <w:rPr>
                <w:i/>
                <w:iCs/>
                <w:sz w:val="18"/>
                <w:szCs w:val="18"/>
                <w:vertAlign w:val="subscript"/>
              </w:rPr>
              <w:t>ee</w:t>
            </w:r>
            <w:r w:rsidRPr="001570EA">
              <w:rPr>
                <w:i/>
                <w:iCs/>
                <w:sz w:val="18"/>
                <w:szCs w:val="18"/>
              </w:rPr>
              <w:t xml:space="preserve">, </w:t>
            </w:r>
            <w:r w:rsidRPr="001570EA">
              <w:rPr>
                <w:rFonts w:cs="Arial"/>
                <w:sz w:val="18"/>
                <w:szCs w:val="18"/>
              </w:rPr>
              <w:t>Seasonal Energy Efficiency Ratio of the qualifying unit being installed</w:t>
            </w:r>
          </w:p>
        </w:tc>
        <w:tc>
          <w:tcPr>
            <w:tcW w:w="1147" w:type="dxa"/>
            <w:tcBorders>
              <w:top w:val="single" w:sz="4" w:space="0" w:color="auto"/>
              <w:left w:val="single" w:sz="4" w:space="0" w:color="auto"/>
              <w:bottom w:val="single" w:sz="4" w:space="0" w:color="auto"/>
              <w:right w:val="single" w:sz="4" w:space="0" w:color="auto"/>
            </w:tcBorders>
            <w:vAlign w:val="center"/>
          </w:tcPr>
          <w:p w14:paraId="1D2A18A6" w14:textId="77777777" w:rsidR="007376E1" w:rsidRPr="001570EA" w:rsidRDefault="003B5E04">
            <w:pPr>
              <w:jc w:val="center"/>
              <w:rPr>
                <w:rFonts w:ascii="Cambria Math" w:hAnsi="Cambria Math" w:cs="Arial"/>
                <w:i/>
                <w:iCs/>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93" w:type="dxa"/>
            <w:tcBorders>
              <w:top w:val="single" w:sz="4" w:space="0" w:color="auto"/>
              <w:left w:val="single" w:sz="4" w:space="0" w:color="auto"/>
              <w:bottom w:val="single" w:sz="4" w:space="0" w:color="auto"/>
              <w:right w:val="single" w:sz="4" w:space="0" w:color="auto"/>
            </w:tcBorders>
            <w:vAlign w:val="center"/>
          </w:tcPr>
          <w:p w14:paraId="73005692" w14:textId="77777777" w:rsidR="007376E1" w:rsidRPr="001570EA" w:rsidRDefault="007376E1">
            <w:pPr>
              <w:pStyle w:val="TableCell"/>
              <w:spacing w:before="60" w:after="60"/>
              <w:jc w:val="center"/>
              <w:rPr>
                <w:szCs w:val="18"/>
              </w:rPr>
            </w:pPr>
            <w:r w:rsidRPr="001570EA">
              <w:rPr>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tcPr>
          <w:p w14:paraId="6F060DB5"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6E13EB95" w14:textId="77777777">
        <w:trPr>
          <w:trHeight w:val="210"/>
        </w:trPr>
        <w:tc>
          <w:tcPr>
            <w:tcW w:w="3690" w:type="dxa"/>
            <w:vMerge w:val="restart"/>
            <w:tcBorders>
              <w:top w:val="single" w:sz="4" w:space="0" w:color="auto"/>
              <w:left w:val="single" w:sz="4" w:space="0" w:color="auto"/>
              <w:right w:val="single" w:sz="4" w:space="0" w:color="auto"/>
            </w:tcBorders>
            <w:vAlign w:val="center"/>
            <w:hideMark/>
          </w:tcPr>
          <w:p w14:paraId="3F9BF016" w14:textId="77777777" w:rsidR="007376E1" w:rsidRPr="001570EA" w:rsidRDefault="007376E1">
            <w:pPr>
              <w:rPr>
                <w:sz w:val="18"/>
                <w:szCs w:val="18"/>
              </w:rPr>
            </w:pPr>
            <w:r w:rsidRPr="001570EA">
              <w:rPr>
                <w:i/>
                <w:iCs/>
                <w:sz w:val="18"/>
                <w:szCs w:val="18"/>
              </w:rPr>
              <w:t>EER2</w:t>
            </w:r>
            <w:r w:rsidRPr="001570EA">
              <w:rPr>
                <w:i/>
                <w:iCs/>
                <w:sz w:val="18"/>
                <w:szCs w:val="18"/>
                <w:vertAlign w:val="subscript"/>
              </w:rPr>
              <w:t>base</w:t>
            </w:r>
            <w:r w:rsidRPr="001570EA">
              <w:rPr>
                <w:i/>
                <w:iCs/>
                <w:sz w:val="18"/>
                <w:szCs w:val="18"/>
              </w:rPr>
              <w:t>, EER</w:t>
            </w:r>
            <w:r w:rsidRPr="001570EA">
              <w:rPr>
                <w:i/>
                <w:iCs/>
                <w:sz w:val="18"/>
                <w:szCs w:val="18"/>
                <w:vertAlign w:val="subscript"/>
              </w:rPr>
              <w:t>base</w:t>
            </w:r>
            <w:r w:rsidRPr="001570EA">
              <w:rPr>
                <w:i/>
                <w:iCs/>
                <w:sz w:val="18"/>
                <w:szCs w:val="18"/>
              </w:rPr>
              <w:t xml:space="preserve">, </w:t>
            </w:r>
            <w:r w:rsidRPr="001570EA">
              <w:rPr>
                <w:rFonts w:cs="Arial"/>
                <w:sz w:val="18"/>
                <w:szCs w:val="18"/>
              </w:rPr>
              <w:t>Energy Efficiency Ratio of the Baseline Unit</w:t>
            </w:r>
          </w:p>
        </w:tc>
        <w:tc>
          <w:tcPr>
            <w:tcW w:w="1147" w:type="dxa"/>
            <w:vMerge w:val="restart"/>
            <w:tcBorders>
              <w:top w:val="single" w:sz="4" w:space="0" w:color="auto"/>
              <w:left w:val="single" w:sz="4" w:space="0" w:color="auto"/>
              <w:right w:val="single" w:sz="4" w:space="0" w:color="auto"/>
            </w:tcBorders>
            <w:vAlign w:val="center"/>
            <w:hideMark/>
          </w:tcPr>
          <w:p w14:paraId="5C564220" w14:textId="77777777" w:rsidR="007376E1" w:rsidRPr="001570EA" w:rsidRDefault="003B5E04">
            <w:pPr>
              <w:jc w:val="center"/>
              <w:rPr>
                <w:rFonts w:ascii="Cambria Math" w:hAnsi="Cambria Math"/>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93" w:type="dxa"/>
            <w:tcBorders>
              <w:top w:val="single" w:sz="4" w:space="0" w:color="auto"/>
              <w:left w:val="single" w:sz="4" w:space="0" w:color="auto"/>
              <w:bottom w:val="single" w:sz="4" w:space="0" w:color="auto"/>
              <w:right w:val="single" w:sz="4" w:space="0" w:color="auto"/>
            </w:tcBorders>
            <w:vAlign w:val="center"/>
            <w:hideMark/>
          </w:tcPr>
          <w:p w14:paraId="7433A010" w14:textId="77777777" w:rsidR="007376E1" w:rsidRPr="001570EA" w:rsidRDefault="007376E1">
            <w:pPr>
              <w:jc w:val="center"/>
              <w:rPr>
                <w:sz w:val="18"/>
                <w:szCs w:val="18"/>
              </w:rPr>
            </w:pPr>
            <w:r w:rsidRPr="001570EA">
              <w:rPr>
                <w:sz w:val="18"/>
                <w:szCs w:val="18"/>
              </w:rPr>
              <w:t xml:space="preserve">EDC Data Gathering, </w:t>
            </w:r>
          </w:p>
        </w:tc>
        <w:tc>
          <w:tcPr>
            <w:tcW w:w="1710" w:type="dxa"/>
            <w:tcBorders>
              <w:top w:val="single" w:sz="4" w:space="0" w:color="auto"/>
              <w:left w:val="single" w:sz="4" w:space="0" w:color="auto"/>
              <w:right w:val="single" w:sz="4" w:space="0" w:color="auto"/>
            </w:tcBorders>
            <w:vAlign w:val="center"/>
            <w:hideMark/>
          </w:tcPr>
          <w:p w14:paraId="7B9068DD" w14:textId="77777777" w:rsidR="007376E1" w:rsidRPr="001570EA" w:rsidRDefault="007376E1">
            <w:pPr>
              <w:jc w:val="center"/>
              <w:rPr>
                <w:sz w:val="18"/>
                <w:szCs w:val="18"/>
              </w:rPr>
            </w:pPr>
            <w:r w:rsidRPr="001570EA">
              <w:rPr>
                <w:sz w:val="18"/>
                <w:szCs w:val="18"/>
              </w:rPr>
              <w:t>EDC Data Gathering</w:t>
            </w:r>
          </w:p>
        </w:tc>
      </w:tr>
      <w:tr w:rsidR="007376E1" w:rsidRPr="001570EA" w14:paraId="0E190FF1" w14:textId="77777777">
        <w:trPr>
          <w:trHeight w:val="210"/>
        </w:trPr>
        <w:tc>
          <w:tcPr>
            <w:tcW w:w="3690" w:type="dxa"/>
            <w:vMerge/>
            <w:tcBorders>
              <w:left w:val="single" w:sz="4" w:space="0" w:color="auto"/>
              <w:bottom w:val="single" w:sz="4" w:space="0" w:color="auto"/>
              <w:right w:val="single" w:sz="4" w:space="0" w:color="auto"/>
            </w:tcBorders>
            <w:vAlign w:val="center"/>
          </w:tcPr>
          <w:p w14:paraId="0D41925E" w14:textId="77777777" w:rsidR="007376E1" w:rsidRPr="001570EA" w:rsidRDefault="007376E1">
            <w:pPr>
              <w:rPr>
                <w:i/>
                <w:iCs/>
                <w:sz w:val="18"/>
                <w:szCs w:val="18"/>
              </w:rPr>
            </w:pPr>
          </w:p>
        </w:tc>
        <w:tc>
          <w:tcPr>
            <w:tcW w:w="1147" w:type="dxa"/>
            <w:vMerge/>
            <w:tcBorders>
              <w:left w:val="single" w:sz="4" w:space="0" w:color="auto"/>
              <w:bottom w:val="single" w:sz="4" w:space="0" w:color="auto"/>
              <w:right w:val="single" w:sz="4" w:space="0" w:color="auto"/>
            </w:tcBorders>
            <w:vAlign w:val="center"/>
          </w:tcPr>
          <w:p w14:paraId="2798CE88" w14:textId="77777777" w:rsidR="007376E1" w:rsidRPr="001570EA" w:rsidRDefault="007376E1">
            <w:pPr>
              <w:jc w:val="center"/>
              <w:rPr>
                <w:sz w:val="18"/>
                <w:szCs w:val="18"/>
              </w:rPr>
            </w:pPr>
          </w:p>
        </w:tc>
        <w:tc>
          <w:tcPr>
            <w:tcW w:w="2093" w:type="dxa"/>
            <w:tcBorders>
              <w:top w:val="single" w:sz="4" w:space="0" w:color="auto"/>
              <w:left w:val="single" w:sz="4" w:space="0" w:color="auto"/>
              <w:bottom w:val="single" w:sz="4" w:space="0" w:color="auto"/>
              <w:right w:val="single" w:sz="4" w:space="0" w:color="auto"/>
            </w:tcBorders>
            <w:vAlign w:val="center"/>
          </w:tcPr>
          <w:p w14:paraId="2C37FB98" w14:textId="28108353" w:rsidR="007376E1" w:rsidRPr="001570EA" w:rsidRDefault="007376E1">
            <w:pPr>
              <w:jc w:val="center"/>
              <w:rPr>
                <w:sz w:val="18"/>
                <w:szCs w:val="18"/>
              </w:rPr>
            </w:pPr>
            <w:r w:rsidRPr="001570EA">
              <w:rPr>
                <w:sz w:val="18"/>
                <w:szCs w:val="18"/>
              </w:rPr>
              <w:t xml:space="preserve">Default: see </w:t>
            </w:r>
            <w:r w:rsidRPr="001570EA">
              <w:rPr>
                <w:sz w:val="18"/>
                <w:szCs w:val="18"/>
              </w:rPr>
              <w:fldChar w:fldCharType="begin"/>
            </w:r>
            <w:r w:rsidRPr="001570EA">
              <w:rPr>
                <w:sz w:val="18"/>
                <w:szCs w:val="18"/>
              </w:rPr>
              <w:instrText xml:space="preserve"> REF _Ref531779526 \h  \* MERGEFORMAT </w:instrText>
            </w:r>
            <w:r w:rsidRPr="001570EA">
              <w:rPr>
                <w:sz w:val="18"/>
                <w:szCs w:val="18"/>
              </w:rPr>
            </w:r>
            <w:r w:rsidRPr="001570EA">
              <w:rPr>
                <w:sz w:val="18"/>
                <w:szCs w:val="18"/>
              </w:rPr>
              <w:fldChar w:fldCharType="separate"/>
            </w:r>
            <w:r w:rsidR="00384D95" w:rsidRPr="001570EA">
              <w:rPr>
                <w:sz w:val="18"/>
                <w:szCs w:val="18"/>
              </w:rPr>
              <w:t>Table 2</w:t>
            </w:r>
            <w:r w:rsidR="00384D95" w:rsidRPr="001570EA">
              <w:rPr>
                <w:sz w:val="18"/>
                <w:szCs w:val="18"/>
              </w:rPr>
              <w:noBreakHyphen/>
              <w:t>10</w:t>
            </w:r>
            <w:r w:rsidRPr="001570EA">
              <w:rPr>
                <w:sz w:val="18"/>
                <w:szCs w:val="18"/>
              </w:rPr>
              <w:fldChar w:fldCharType="end"/>
            </w:r>
          </w:p>
        </w:tc>
        <w:tc>
          <w:tcPr>
            <w:tcW w:w="1710" w:type="dxa"/>
            <w:tcBorders>
              <w:left w:val="single" w:sz="4" w:space="0" w:color="auto"/>
              <w:bottom w:val="single" w:sz="4" w:space="0" w:color="auto"/>
              <w:right w:val="single" w:sz="4" w:space="0" w:color="auto"/>
            </w:tcBorders>
            <w:vAlign w:val="center"/>
          </w:tcPr>
          <w:p w14:paraId="7ABBB4EE" w14:textId="77777777" w:rsidR="007376E1" w:rsidRPr="001570EA" w:rsidRDefault="007376E1">
            <w:pPr>
              <w:jc w:val="center"/>
              <w:rPr>
                <w:sz w:val="18"/>
                <w:szCs w:val="18"/>
              </w:rPr>
            </w:pPr>
            <w:r w:rsidRPr="001570EA">
              <w:rPr>
                <w:sz w:val="18"/>
                <w:szCs w:val="18"/>
              </w:rPr>
              <w:t>2</w:t>
            </w:r>
          </w:p>
        </w:tc>
      </w:tr>
      <w:tr w:rsidR="007376E1" w:rsidRPr="001570EA" w14:paraId="1FC443A4" w14:textId="77777777">
        <w:trPr>
          <w:trHeight w:val="510"/>
        </w:trPr>
        <w:tc>
          <w:tcPr>
            <w:tcW w:w="3690" w:type="dxa"/>
            <w:vMerge w:val="restart"/>
            <w:tcBorders>
              <w:top w:val="single" w:sz="4" w:space="0" w:color="auto"/>
              <w:left w:val="single" w:sz="4" w:space="0" w:color="auto"/>
              <w:right w:val="single" w:sz="4" w:space="0" w:color="auto"/>
            </w:tcBorders>
            <w:vAlign w:val="center"/>
            <w:hideMark/>
          </w:tcPr>
          <w:p w14:paraId="72853F3A" w14:textId="77777777" w:rsidR="007376E1" w:rsidRPr="001570EA" w:rsidRDefault="007376E1">
            <w:pPr>
              <w:rPr>
                <w:rFonts w:cs="Arial"/>
                <w:sz w:val="18"/>
                <w:szCs w:val="18"/>
              </w:rPr>
            </w:pPr>
            <w:r w:rsidRPr="001570EA">
              <w:rPr>
                <w:i/>
                <w:iCs/>
                <w:sz w:val="18"/>
                <w:szCs w:val="18"/>
              </w:rPr>
              <w:t>EER2</w:t>
            </w:r>
            <w:r w:rsidRPr="001570EA">
              <w:rPr>
                <w:i/>
                <w:iCs/>
                <w:sz w:val="18"/>
                <w:szCs w:val="18"/>
                <w:vertAlign w:val="subscript"/>
              </w:rPr>
              <w:t>ee</w:t>
            </w:r>
            <w:r w:rsidRPr="001570EA">
              <w:rPr>
                <w:i/>
                <w:iCs/>
                <w:sz w:val="18"/>
                <w:szCs w:val="18"/>
              </w:rPr>
              <w:t>, EER</w:t>
            </w:r>
            <w:r w:rsidRPr="001570EA">
              <w:rPr>
                <w:i/>
                <w:iCs/>
                <w:sz w:val="18"/>
                <w:szCs w:val="18"/>
                <w:vertAlign w:val="subscript"/>
              </w:rPr>
              <w:t>ee</w:t>
            </w:r>
            <w:r w:rsidRPr="001570EA">
              <w:rPr>
                <w:i/>
                <w:iCs/>
                <w:sz w:val="18"/>
                <w:szCs w:val="18"/>
              </w:rPr>
              <w:t xml:space="preserve">, </w:t>
            </w:r>
            <w:r w:rsidRPr="001570EA">
              <w:rPr>
                <w:rFonts w:cs="Arial"/>
                <w:sz w:val="18"/>
                <w:szCs w:val="18"/>
              </w:rPr>
              <w:t>Energy Efficiency Ratio of the unit being installed</w:t>
            </w:r>
          </w:p>
        </w:tc>
        <w:tc>
          <w:tcPr>
            <w:tcW w:w="1147" w:type="dxa"/>
            <w:vMerge w:val="restart"/>
            <w:tcBorders>
              <w:top w:val="single" w:sz="4" w:space="0" w:color="auto"/>
              <w:left w:val="single" w:sz="4" w:space="0" w:color="auto"/>
              <w:right w:val="single" w:sz="4" w:space="0" w:color="auto"/>
            </w:tcBorders>
            <w:vAlign w:val="center"/>
            <w:hideMark/>
          </w:tcPr>
          <w:p w14:paraId="7CD79A7D" w14:textId="77777777" w:rsidR="007376E1" w:rsidRPr="001570EA" w:rsidRDefault="003B5E04">
            <w:pPr>
              <w:jc w:val="center"/>
              <w:rPr>
                <w:rFonts w:ascii="Cambria Math" w:hAnsi="Cambria Math"/>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93" w:type="dxa"/>
            <w:tcBorders>
              <w:top w:val="single" w:sz="4" w:space="0" w:color="auto"/>
              <w:left w:val="single" w:sz="4" w:space="0" w:color="auto"/>
              <w:bottom w:val="single" w:sz="4" w:space="0" w:color="auto"/>
              <w:right w:val="single" w:sz="4" w:space="0" w:color="auto"/>
            </w:tcBorders>
            <w:vAlign w:val="center"/>
          </w:tcPr>
          <w:p w14:paraId="764EA884" w14:textId="77777777" w:rsidR="007376E1" w:rsidRPr="001570EA" w:rsidRDefault="007376E1">
            <w:pPr>
              <w:pStyle w:val="TableCell"/>
              <w:keepNext w:val="0"/>
              <w:spacing w:before="60" w:after="60"/>
              <w:jc w:val="center"/>
              <w:rPr>
                <w:szCs w:val="18"/>
              </w:rPr>
            </w:pPr>
            <w:r w:rsidRPr="001570EA">
              <w:rPr>
                <w:szCs w:val="18"/>
              </w:rPr>
              <w:t>EDC Data Gathering</w:t>
            </w:r>
          </w:p>
          <w:p w14:paraId="42A3BA94" w14:textId="77777777" w:rsidR="007376E1" w:rsidRPr="001570EA" w:rsidRDefault="007376E1">
            <w:pPr>
              <w:pStyle w:val="TableCell"/>
              <w:keepNext w:val="0"/>
              <w:spacing w:before="60" w:after="60"/>
              <w:jc w:val="center"/>
              <w:rPr>
                <w:szCs w:val="18"/>
              </w:rPr>
            </w:pPr>
          </w:p>
        </w:tc>
        <w:tc>
          <w:tcPr>
            <w:tcW w:w="1710" w:type="dxa"/>
            <w:tcBorders>
              <w:top w:val="single" w:sz="4" w:space="0" w:color="auto"/>
              <w:left w:val="single" w:sz="4" w:space="0" w:color="auto"/>
              <w:right w:val="single" w:sz="4" w:space="0" w:color="auto"/>
            </w:tcBorders>
            <w:vAlign w:val="center"/>
            <w:hideMark/>
          </w:tcPr>
          <w:p w14:paraId="1E398587" w14:textId="77777777" w:rsidR="007376E1" w:rsidRPr="001570EA" w:rsidRDefault="007376E1">
            <w:pPr>
              <w:jc w:val="center"/>
              <w:rPr>
                <w:sz w:val="18"/>
                <w:szCs w:val="18"/>
              </w:rPr>
            </w:pPr>
            <w:r w:rsidRPr="001570EA">
              <w:rPr>
                <w:sz w:val="18"/>
                <w:szCs w:val="18"/>
              </w:rPr>
              <w:t>EDC Data Gathering; AEPS Application</w:t>
            </w:r>
          </w:p>
        </w:tc>
      </w:tr>
      <w:tr w:rsidR="007376E1" w:rsidRPr="001570EA" w14:paraId="640ECEFC" w14:textId="77777777">
        <w:trPr>
          <w:trHeight w:val="510"/>
        </w:trPr>
        <w:tc>
          <w:tcPr>
            <w:tcW w:w="3690" w:type="dxa"/>
            <w:vMerge/>
            <w:tcBorders>
              <w:left w:val="single" w:sz="4" w:space="0" w:color="auto"/>
              <w:bottom w:val="single" w:sz="4" w:space="0" w:color="auto"/>
              <w:right w:val="single" w:sz="4" w:space="0" w:color="auto"/>
            </w:tcBorders>
            <w:vAlign w:val="center"/>
          </w:tcPr>
          <w:p w14:paraId="4763BBE0" w14:textId="77777777" w:rsidR="007376E1" w:rsidRPr="001570EA" w:rsidRDefault="007376E1">
            <w:pPr>
              <w:rPr>
                <w:i/>
                <w:iCs/>
                <w:sz w:val="18"/>
                <w:szCs w:val="18"/>
              </w:rPr>
            </w:pPr>
          </w:p>
        </w:tc>
        <w:tc>
          <w:tcPr>
            <w:tcW w:w="1147" w:type="dxa"/>
            <w:vMerge/>
            <w:tcBorders>
              <w:left w:val="single" w:sz="4" w:space="0" w:color="auto"/>
              <w:bottom w:val="single" w:sz="4" w:space="0" w:color="auto"/>
              <w:right w:val="single" w:sz="4" w:space="0" w:color="auto"/>
            </w:tcBorders>
            <w:vAlign w:val="center"/>
          </w:tcPr>
          <w:p w14:paraId="582B5D49" w14:textId="77777777" w:rsidR="007376E1" w:rsidRPr="001570EA" w:rsidRDefault="007376E1">
            <w:pPr>
              <w:jc w:val="center"/>
              <w:rPr>
                <w:rFonts w:cs="Arial"/>
                <w:sz w:val="18"/>
                <w:szCs w:val="18"/>
              </w:rPr>
            </w:pPr>
          </w:p>
        </w:tc>
        <w:tc>
          <w:tcPr>
            <w:tcW w:w="2093" w:type="dxa"/>
            <w:tcBorders>
              <w:top w:val="single" w:sz="4" w:space="0" w:color="auto"/>
              <w:left w:val="single" w:sz="4" w:space="0" w:color="auto"/>
              <w:bottom w:val="single" w:sz="4" w:space="0" w:color="auto"/>
              <w:right w:val="single" w:sz="4" w:space="0" w:color="auto"/>
            </w:tcBorders>
            <w:vAlign w:val="center"/>
          </w:tcPr>
          <w:p w14:paraId="12A69C5A" w14:textId="77777777" w:rsidR="007376E1" w:rsidRPr="001570EA" w:rsidRDefault="007376E1">
            <w:pPr>
              <w:pStyle w:val="TableCell"/>
              <w:keepNext w:val="0"/>
              <w:spacing w:before="60" w:after="60"/>
              <w:jc w:val="center"/>
              <w:rPr>
                <w:szCs w:val="18"/>
              </w:rPr>
            </w:pPr>
            <w:r w:rsidRPr="001570EA">
              <w:rPr>
                <w:szCs w:val="18"/>
              </w:rPr>
              <w:t>Default: EERee:</w:t>
            </w:r>
            <m:oMath>
              <m:r>
                <w:rPr>
                  <w:rFonts w:ascii="Cambria Math" w:hAnsi="Cambria Math"/>
                  <w:szCs w:val="18"/>
                </w:rPr>
                <m:t xml:space="preserve">-0.02 × </m:t>
              </m:r>
              <m:sSup>
                <m:sSupPr>
                  <m:ctrlPr>
                    <w:rPr>
                      <w:rFonts w:ascii="Cambria Math" w:hAnsi="Cambria Math"/>
                      <w:i/>
                      <w:szCs w:val="18"/>
                    </w:rPr>
                  </m:ctrlPr>
                </m:sSupPr>
                <m:e>
                  <m:r>
                    <w:rPr>
                      <w:rFonts w:ascii="Cambria Math" w:hAnsi="Cambria Math"/>
                      <w:szCs w:val="18"/>
                    </w:rPr>
                    <m:t>SEER</m:t>
                  </m:r>
                </m:e>
                <m:sup>
                  <m:r>
                    <w:rPr>
                      <w:rFonts w:ascii="Cambria Math" w:hAnsi="Cambria Math"/>
                      <w:szCs w:val="18"/>
                    </w:rPr>
                    <m:t>2</m:t>
                  </m:r>
                </m:sup>
              </m:sSup>
              <m:r>
                <w:rPr>
                  <w:rFonts w:ascii="Cambria Math" w:hAnsi="Cambria Math"/>
                  <w:szCs w:val="18"/>
                </w:rPr>
                <m:t xml:space="preserve"> + 1.12 × SEER</m:t>
              </m:r>
            </m:oMath>
          </w:p>
        </w:tc>
        <w:tc>
          <w:tcPr>
            <w:tcW w:w="1710" w:type="dxa"/>
            <w:tcBorders>
              <w:left w:val="single" w:sz="4" w:space="0" w:color="auto"/>
              <w:bottom w:val="single" w:sz="4" w:space="0" w:color="auto"/>
              <w:right w:val="single" w:sz="4" w:space="0" w:color="auto"/>
            </w:tcBorders>
            <w:vAlign w:val="center"/>
          </w:tcPr>
          <w:p w14:paraId="1CC8F294" w14:textId="77777777" w:rsidR="007376E1" w:rsidRPr="001570EA" w:rsidRDefault="007376E1">
            <w:pPr>
              <w:jc w:val="center"/>
              <w:rPr>
                <w:sz w:val="18"/>
                <w:szCs w:val="18"/>
              </w:rPr>
            </w:pPr>
            <w:r w:rsidRPr="001570EA">
              <w:rPr>
                <w:sz w:val="18"/>
                <w:szCs w:val="18"/>
              </w:rPr>
              <w:t>3,4</w:t>
            </w:r>
          </w:p>
        </w:tc>
      </w:tr>
      <w:tr w:rsidR="007376E1" w:rsidRPr="001570EA" w14:paraId="626CB6B9" w14:textId="77777777">
        <w:tc>
          <w:tcPr>
            <w:tcW w:w="3690" w:type="dxa"/>
            <w:tcBorders>
              <w:top w:val="single" w:sz="4" w:space="0" w:color="auto"/>
              <w:left w:val="single" w:sz="4" w:space="0" w:color="auto"/>
              <w:bottom w:val="single" w:sz="4" w:space="0" w:color="auto"/>
              <w:right w:val="single" w:sz="4" w:space="0" w:color="auto"/>
            </w:tcBorders>
            <w:vAlign w:val="center"/>
          </w:tcPr>
          <w:p w14:paraId="272794BB" w14:textId="4F81E866" w:rsidR="007376E1" w:rsidRPr="001570EA" w:rsidRDefault="007376E1">
            <w:pPr>
              <w:rPr>
                <w:i/>
                <w:iCs/>
                <w:sz w:val="18"/>
                <w:szCs w:val="18"/>
              </w:rPr>
            </w:pPr>
            <w:r w:rsidRPr="001570EA">
              <w:rPr>
                <w:i/>
                <w:iCs/>
                <w:sz w:val="18"/>
                <w:szCs w:val="18"/>
              </w:rPr>
              <w:t>EER</w:t>
            </w:r>
            <w:r w:rsidRPr="001570EA">
              <w:rPr>
                <w:i/>
                <w:iCs/>
                <w:sz w:val="18"/>
                <w:szCs w:val="18"/>
                <w:vertAlign w:val="subscript"/>
              </w:rPr>
              <w:t>g</w:t>
            </w:r>
            <w:r w:rsidRPr="001570EA">
              <w:rPr>
                <w:i/>
                <w:iCs/>
                <w:sz w:val="18"/>
                <w:szCs w:val="18"/>
              </w:rPr>
              <w:t xml:space="preserve">, </w:t>
            </w:r>
            <w:r w:rsidRPr="001570EA">
              <w:rPr>
                <w:rFonts w:cs="Arial"/>
                <w:sz w:val="18"/>
                <w:szCs w:val="18"/>
              </w:rPr>
              <w:t>Energy Efficiency Ratio of a GSHP, this is measured differently than EER of an air source heat pump and must be converted</w:t>
            </w:r>
          </w:p>
        </w:tc>
        <w:tc>
          <w:tcPr>
            <w:tcW w:w="1147" w:type="dxa"/>
            <w:tcBorders>
              <w:top w:val="single" w:sz="4" w:space="0" w:color="auto"/>
              <w:left w:val="single" w:sz="4" w:space="0" w:color="auto"/>
              <w:bottom w:val="single" w:sz="4" w:space="0" w:color="auto"/>
              <w:right w:val="single" w:sz="4" w:space="0" w:color="auto"/>
            </w:tcBorders>
            <w:vAlign w:val="center"/>
          </w:tcPr>
          <w:p w14:paraId="34819516" w14:textId="77777777" w:rsidR="007376E1" w:rsidRPr="001570EA" w:rsidRDefault="003B5E04">
            <w:pPr>
              <w:jc w:val="center"/>
              <w:rPr>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93" w:type="dxa"/>
            <w:tcBorders>
              <w:top w:val="single" w:sz="4" w:space="0" w:color="auto"/>
              <w:left w:val="single" w:sz="4" w:space="0" w:color="auto"/>
              <w:bottom w:val="single" w:sz="4" w:space="0" w:color="auto"/>
              <w:right w:val="single" w:sz="4" w:space="0" w:color="auto"/>
            </w:tcBorders>
            <w:vAlign w:val="center"/>
          </w:tcPr>
          <w:p w14:paraId="6A414DF2" w14:textId="77777777" w:rsidR="007376E1" w:rsidRPr="001570EA" w:rsidRDefault="007376E1">
            <w:pPr>
              <w:pStyle w:val="TableCell"/>
              <w:keepNext w:val="0"/>
              <w:spacing w:before="60" w:after="60"/>
              <w:jc w:val="center"/>
              <w:rPr>
                <w:szCs w:val="18"/>
              </w:rPr>
            </w:pPr>
            <w:r w:rsidRPr="001570EA">
              <w:rPr>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tcPr>
          <w:p w14:paraId="66583EC3" w14:textId="77777777" w:rsidR="007376E1" w:rsidRPr="001570EA" w:rsidRDefault="007376E1">
            <w:pPr>
              <w:jc w:val="center"/>
              <w:rPr>
                <w:sz w:val="18"/>
                <w:szCs w:val="18"/>
              </w:rPr>
            </w:pPr>
            <w:r w:rsidRPr="001570EA">
              <w:rPr>
                <w:sz w:val="18"/>
                <w:szCs w:val="18"/>
              </w:rPr>
              <w:t>EDC Data Gathering</w:t>
            </w:r>
          </w:p>
        </w:tc>
      </w:tr>
      <w:tr w:rsidR="007376E1" w:rsidRPr="001570EA" w14:paraId="7504B75A" w14:textId="77777777">
        <w:trPr>
          <w:trHeight w:val="323"/>
        </w:trPr>
        <w:tc>
          <w:tcPr>
            <w:tcW w:w="3690" w:type="dxa"/>
            <w:vMerge w:val="restart"/>
            <w:tcBorders>
              <w:top w:val="single" w:sz="4" w:space="0" w:color="auto"/>
              <w:left w:val="single" w:sz="4" w:space="0" w:color="auto"/>
              <w:right w:val="single" w:sz="4" w:space="0" w:color="auto"/>
            </w:tcBorders>
            <w:vAlign w:val="center"/>
          </w:tcPr>
          <w:p w14:paraId="7FAAC905" w14:textId="77777777" w:rsidR="007376E1" w:rsidRPr="001570EA" w:rsidRDefault="007376E1">
            <w:pPr>
              <w:rPr>
                <w:i/>
                <w:iCs/>
                <w:sz w:val="18"/>
                <w:szCs w:val="18"/>
              </w:rPr>
            </w:pPr>
            <w:r w:rsidRPr="001570EA">
              <w:rPr>
                <w:i/>
                <w:iCs/>
                <w:sz w:val="18"/>
                <w:szCs w:val="18"/>
              </w:rPr>
              <w:t>HSPF2</w:t>
            </w:r>
            <w:r w:rsidRPr="001570EA">
              <w:rPr>
                <w:i/>
                <w:iCs/>
                <w:sz w:val="18"/>
                <w:szCs w:val="18"/>
                <w:vertAlign w:val="subscript"/>
              </w:rPr>
              <w:t>base</w:t>
            </w:r>
            <w:r w:rsidRPr="001570EA">
              <w:rPr>
                <w:i/>
                <w:iCs/>
                <w:sz w:val="18"/>
                <w:szCs w:val="18"/>
              </w:rPr>
              <w:t>, HSPF</w:t>
            </w:r>
            <w:r w:rsidRPr="001570EA">
              <w:rPr>
                <w:i/>
                <w:iCs/>
                <w:sz w:val="18"/>
                <w:szCs w:val="18"/>
                <w:vertAlign w:val="subscript"/>
              </w:rPr>
              <w:t>base</w:t>
            </w:r>
            <w:r w:rsidRPr="001570EA">
              <w:rPr>
                <w:i/>
                <w:iCs/>
                <w:sz w:val="18"/>
                <w:szCs w:val="18"/>
              </w:rPr>
              <w:t xml:space="preserve">, </w:t>
            </w:r>
            <w:r w:rsidRPr="001570EA">
              <w:rPr>
                <w:rFonts w:cs="Arial"/>
                <w:sz w:val="18"/>
                <w:szCs w:val="18"/>
              </w:rPr>
              <w:t>Heating Seasonal Performance Factor of the Baseline Unit</w:t>
            </w:r>
          </w:p>
        </w:tc>
        <w:tc>
          <w:tcPr>
            <w:tcW w:w="1147" w:type="dxa"/>
            <w:vMerge w:val="restart"/>
            <w:tcBorders>
              <w:top w:val="single" w:sz="4" w:space="0" w:color="auto"/>
              <w:left w:val="single" w:sz="4" w:space="0" w:color="auto"/>
              <w:right w:val="single" w:sz="4" w:space="0" w:color="auto"/>
            </w:tcBorders>
            <w:vAlign w:val="center"/>
          </w:tcPr>
          <w:p w14:paraId="55EEC1A5" w14:textId="77777777" w:rsidR="007376E1" w:rsidRPr="001570EA" w:rsidRDefault="003B5E04">
            <w:pPr>
              <w:jc w:val="center"/>
              <w:rPr>
                <w:rFonts w:ascii="Cambria Math" w:hAnsi="Cambria Math" w:cs="Arial"/>
                <w:i/>
                <w:iCs/>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93" w:type="dxa"/>
            <w:tcBorders>
              <w:top w:val="single" w:sz="4" w:space="0" w:color="auto"/>
              <w:left w:val="single" w:sz="4" w:space="0" w:color="auto"/>
              <w:bottom w:val="single" w:sz="4" w:space="0" w:color="auto"/>
              <w:right w:val="single" w:sz="4" w:space="0" w:color="auto"/>
            </w:tcBorders>
            <w:vAlign w:val="center"/>
          </w:tcPr>
          <w:p w14:paraId="4387C875" w14:textId="77777777" w:rsidR="007376E1" w:rsidRPr="001570EA" w:rsidRDefault="007376E1">
            <w:pPr>
              <w:pStyle w:val="TableCell"/>
              <w:spacing w:before="60" w:after="60"/>
              <w:jc w:val="center"/>
              <w:rPr>
                <w:szCs w:val="18"/>
              </w:rPr>
            </w:pPr>
            <w:r w:rsidRPr="001570EA">
              <w:rPr>
                <w:szCs w:val="18"/>
              </w:rPr>
              <w:t xml:space="preserve">EDC Data Gathering, </w:t>
            </w:r>
          </w:p>
        </w:tc>
        <w:tc>
          <w:tcPr>
            <w:tcW w:w="1710" w:type="dxa"/>
            <w:tcBorders>
              <w:top w:val="single" w:sz="4" w:space="0" w:color="auto"/>
              <w:left w:val="single" w:sz="4" w:space="0" w:color="auto"/>
              <w:right w:val="single" w:sz="4" w:space="0" w:color="auto"/>
            </w:tcBorders>
            <w:vAlign w:val="center"/>
          </w:tcPr>
          <w:p w14:paraId="4B221176" w14:textId="77777777" w:rsidR="007376E1" w:rsidRPr="001570EA" w:rsidRDefault="007376E1">
            <w:pPr>
              <w:jc w:val="center"/>
              <w:rPr>
                <w:sz w:val="18"/>
                <w:szCs w:val="18"/>
              </w:rPr>
            </w:pPr>
            <w:r w:rsidRPr="001570EA">
              <w:rPr>
                <w:sz w:val="18"/>
                <w:szCs w:val="18"/>
              </w:rPr>
              <w:t>EDC Data Gathering</w:t>
            </w:r>
          </w:p>
        </w:tc>
      </w:tr>
      <w:tr w:rsidR="007376E1" w:rsidRPr="001570EA" w14:paraId="56F8D983" w14:textId="77777777">
        <w:trPr>
          <w:trHeight w:val="322"/>
        </w:trPr>
        <w:tc>
          <w:tcPr>
            <w:tcW w:w="3690" w:type="dxa"/>
            <w:vMerge/>
            <w:tcBorders>
              <w:left w:val="single" w:sz="4" w:space="0" w:color="auto"/>
              <w:right w:val="single" w:sz="4" w:space="0" w:color="auto"/>
            </w:tcBorders>
            <w:vAlign w:val="center"/>
          </w:tcPr>
          <w:p w14:paraId="50FAEF94" w14:textId="77777777" w:rsidR="007376E1" w:rsidRPr="001570EA" w:rsidRDefault="007376E1">
            <w:pPr>
              <w:rPr>
                <w:i/>
                <w:iCs/>
                <w:sz w:val="18"/>
                <w:szCs w:val="18"/>
              </w:rPr>
            </w:pPr>
          </w:p>
        </w:tc>
        <w:tc>
          <w:tcPr>
            <w:tcW w:w="1147" w:type="dxa"/>
            <w:vMerge/>
            <w:tcBorders>
              <w:left w:val="single" w:sz="4" w:space="0" w:color="auto"/>
              <w:bottom w:val="single" w:sz="4" w:space="0" w:color="auto"/>
              <w:right w:val="single" w:sz="4" w:space="0" w:color="auto"/>
            </w:tcBorders>
            <w:vAlign w:val="center"/>
          </w:tcPr>
          <w:p w14:paraId="45C5F295" w14:textId="77777777" w:rsidR="007376E1" w:rsidRPr="001570EA" w:rsidRDefault="007376E1">
            <w:pPr>
              <w:jc w:val="center"/>
              <w:rPr>
                <w:i/>
                <w:sz w:val="18"/>
                <w:szCs w:val="18"/>
              </w:rPr>
            </w:pPr>
          </w:p>
        </w:tc>
        <w:tc>
          <w:tcPr>
            <w:tcW w:w="2093" w:type="dxa"/>
            <w:tcBorders>
              <w:top w:val="single" w:sz="4" w:space="0" w:color="auto"/>
              <w:left w:val="single" w:sz="4" w:space="0" w:color="auto"/>
              <w:bottom w:val="single" w:sz="4" w:space="0" w:color="auto"/>
              <w:right w:val="single" w:sz="4" w:space="0" w:color="auto"/>
            </w:tcBorders>
            <w:vAlign w:val="center"/>
          </w:tcPr>
          <w:p w14:paraId="55F81498" w14:textId="41C29F50" w:rsidR="007376E1" w:rsidRPr="001570EA" w:rsidRDefault="007376E1">
            <w:pPr>
              <w:pStyle w:val="TableCell"/>
              <w:spacing w:before="60" w:after="60"/>
              <w:jc w:val="center"/>
              <w:rPr>
                <w:szCs w:val="18"/>
              </w:rPr>
            </w:pPr>
            <w:r w:rsidRPr="001570EA">
              <w:rPr>
                <w:szCs w:val="18"/>
              </w:rPr>
              <w:t xml:space="preserve">Default: see </w:t>
            </w:r>
            <w:r w:rsidRPr="001570EA">
              <w:rPr>
                <w:szCs w:val="18"/>
              </w:rPr>
              <w:fldChar w:fldCharType="begin"/>
            </w:r>
            <w:r w:rsidRPr="001570EA">
              <w:rPr>
                <w:szCs w:val="18"/>
              </w:rPr>
              <w:instrText xml:space="preserve"> REF _Ref531779526 \h  \* MERGEFORMAT </w:instrText>
            </w:r>
            <w:r w:rsidRPr="001570EA">
              <w:rPr>
                <w:szCs w:val="18"/>
              </w:rPr>
            </w:r>
            <w:r w:rsidRPr="001570EA">
              <w:rPr>
                <w:szCs w:val="18"/>
              </w:rPr>
              <w:fldChar w:fldCharType="separate"/>
            </w:r>
            <w:r w:rsidR="00384D95" w:rsidRPr="001570EA">
              <w:rPr>
                <w:szCs w:val="18"/>
              </w:rPr>
              <w:t>Table 2</w:t>
            </w:r>
            <w:r w:rsidR="00384D95" w:rsidRPr="001570EA">
              <w:rPr>
                <w:szCs w:val="18"/>
              </w:rPr>
              <w:noBreakHyphen/>
              <w:t>10</w:t>
            </w:r>
            <w:r w:rsidRPr="001570EA">
              <w:rPr>
                <w:szCs w:val="18"/>
              </w:rPr>
              <w:fldChar w:fldCharType="end"/>
            </w:r>
          </w:p>
        </w:tc>
        <w:tc>
          <w:tcPr>
            <w:tcW w:w="1710" w:type="dxa"/>
            <w:tcBorders>
              <w:left w:val="single" w:sz="4" w:space="0" w:color="auto"/>
              <w:bottom w:val="single" w:sz="4" w:space="0" w:color="auto"/>
              <w:right w:val="single" w:sz="4" w:space="0" w:color="auto"/>
            </w:tcBorders>
            <w:vAlign w:val="center"/>
          </w:tcPr>
          <w:p w14:paraId="293AFC96" w14:textId="77777777" w:rsidR="007376E1" w:rsidRPr="001570EA" w:rsidRDefault="007376E1">
            <w:pPr>
              <w:jc w:val="center"/>
              <w:rPr>
                <w:sz w:val="18"/>
                <w:szCs w:val="18"/>
              </w:rPr>
            </w:pPr>
            <w:r w:rsidRPr="001570EA">
              <w:rPr>
                <w:sz w:val="18"/>
                <w:szCs w:val="18"/>
              </w:rPr>
              <w:t>2</w:t>
            </w:r>
          </w:p>
        </w:tc>
      </w:tr>
      <w:tr w:rsidR="007376E1" w:rsidRPr="001570EA" w14:paraId="78EE4735" w14:textId="77777777">
        <w:trPr>
          <w:trHeight w:val="650"/>
        </w:trPr>
        <w:tc>
          <w:tcPr>
            <w:tcW w:w="3690" w:type="dxa"/>
            <w:tcBorders>
              <w:top w:val="single" w:sz="4" w:space="0" w:color="auto"/>
              <w:left w:val="single" w:sz="4" w:space="0" w:color="auto"/>
              <w:bottom w:val="single" w:sz="4" w:space="0" w:color="auto"/>
              <w:right w:val="single" w:sz="4" w:space="0" w:color="auto"/>
            </w:tcBorders>
            <w:vAlign w:val="center"/>
          </w:tcPr>
          <w:p w14:paraId="23BD5A52" w14:textId="77777777" w:rsidR="007376E1" w:rsidRPr="001570EA" w:rsidRDefault="007376E1">
            <w:pPr>
              <w:rPr>
                <w:i/>
                <w:iCs/>
                <w:sz w:val="18"/>
                <w:szCs w:val="18"/>
              </w:rPr>
            </w:pPr>
            <w:r w:rsidRPr="001570EA">
              <w:rPr>
                <w:i/>
                <w:iCs/>
                <w:sz w:val="18"/>
                <w:szCs w:val="18"/>
              </w:rPr>
              <w:t>HSPF2</w:t>
            </w:r>
            <w:r w:rsidRPr="001570EA">
              <w:rPr>
                <w:i/>
                <w:iCs/>
                <w:sz w:val="18"/>
                <w:szCs w:val="18"/>
                <w:vertAlign w:val="subscript"/>
              </w:rPr>
              <w:t>ee</w:t>
            </w:r>
            <w:r w:rsidRPr="001570EA">
              <w:rPr>
                <w:i/>
                <w:iCs/>
                <w:sz w:val="18"/>
                <w:szCs w:val="18"/>
              </w:rPr>
              <w:t>, HSPF</w:t>
            </w:r>
            <w:r w:rsidRPr="001570EA">
              <w:rPr>
                <w:i/>
                <w:iCs/>
                <w:sz w:val="18"/>
                <w:szCs w:val="18"/>
                <w:vertAlign w:val="subscript"/>
              </w:rPr>
              <w:t>ee</w:t>
            </w:r>
            <w:r w:rsidRPr="001570EA">
              <w:rPr>
                <w:i/>
                <w:sz w:val="18"/>
                <w:szCs w:val="18"/>
              </w:rPr>
              <w:t>,</w:t>
            </w:r>
            <w:r w:rsidRPr="001570EA">
              <w:rPr>
                <w:sz w:val="18"/>
                <w:szCs w:val="18"/>
                <w:vertAlign w:val="subscript"/>
              </w:rPr>
              <w:t xml:space="preserve"> </w:t>
            </w:r>
            <w:r w:rsidRPr="001570EA">
              <w:rPr>
                <w:rFonts w:cs="Arial"/>
                <w:sz w:val="18"/>
                <w:szCs w:val="18"/>
              </w:rPr>
              <w:t>Heating Seasonal Performance Factor of the unit being installed</w:t>
            </w:r>
          </w:p>
        </w:tc>
        <w:tc>
          <w:tcPr>
            <w:tcW w:w="1147" w:type="dxa"/>
            <w:tcBorders>
              <w:top w:val="single" w:sz="4" w:space="0" w:color="auto"/>
              <w:left w:val="single" w:sz="4" w:space="0" w:color="auto"/>
              <w:bottom w:val="single" w:sz="4" w:space="0" w:color="auto"/>
              <w:right w:val="single" w:sz="4" w:space="0" w:color="auto"/>
            </w:tcBorders>
            <w:vAlign w:val="center"/>
          </w:tcPr>
          <w:p w14:paraId="323ECC90" w14:textId="77777777" w:rsidR="007376E1" w:rsidRPr="001570EA" w:rsidRDefault="003B5E04">
            <w:pPr>
              <w:jc w:val="center"/>
              <w:rPr>
                <w:rFonts w:ascii="Cambria Math" w:hAnsi="Cambria Math"/>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93" w:type="dxa"/>
            <w:tcBorders>
              <w:top w:val="single" w:sz="4" w:space="0" w:color="auto"/>
              <w:left w:val="single" w:sz="4" w:space="0" w:color="auto"/>
              <w:bottom w:val="single" w:sz="4" w:space="0" w:color="auto"/>
              <w:right w:val="single" w:sz="4" w:space="0" w:color="auto"/>
            </w:tcBorders>
            <w:vAlign w:val="center"/>
          </w:tcPr>
          <w:p w14:paraId="2E3A82CF" w14:textId="77777777" w:rsidR="007376E1" w:rsidRPr="001570EA" w:rsidRDefault="007376E1">
            <w:pPr>
              <w:pStyle w:val="TableCell"/>
              <w:keepNext w:val="0"/>
              <w:spacing w:before="60" w:after="60"/>
              <w:jc w:val="center"/>
              <w:rPr>
                <w:szCs w:val="18"/>
              </w:rPr>
            </w:pPr>
            <w:r w:rsidRPr="001570EA">
              <w:rPr>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tcPr>
          <w:p w14:paraId="15B91884"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155030F2" w14:textId="77777777">
        <w:trPr>
          <w:trHeight w:val="650"/>
        </w:trPr>
        <w:tc>
          <w:tcPr>
            <w:tcW w:w="3690" w:type="dxa"/>
            <w:tcBorders>
              <w:top w:val="single" w:sz="4" w:space="0" w:color="auto"/>
              <w:left w:val="single" w:sz="4" w:space="0" w:color="auto"/>
              <w:bottom w:val="single" w:sz="4" w:space="0" w:color="auto"/>
              <w:right w:val="single" w:sz="4" w:space="0" w:color="auto"/>
            </w:tcBorders>
            <w:vAlign w:val="center"/>
          </w:tcPr>
          <w:p w14:paraId="682EB27D" w14:textId="45BD6A38" w:rsidR="007376E1" w:rsidRPr="001570EA" w:rsidRDefault="007376E1">
            <w:pPr>
              <w:rPr>
                <w:i/>
                <w:iCs/>
                <w:sz w:val="18"/>
                <w:szCs w:val="18"/>
              </w:rPr>
            </w:pPr>
            <w:r w:rsidRPr="001570EA">
              <w:rPr>
                <w:i/>
                <w:iCs/>
                <w:sz w:val="18"/>
                <w:szCs w:val="18"/>
              </w:rPr>
              <w:t>PSF</w:t>
            </w:r>
            <w:r w:rsidRPr="001570EA">
              <w:rPr>
                <w:sz w:val="18"/>
                <w:szCs w:val="18"/>
              </w:rPr>
              <w:t>, Proper Sizing Factor or the assumed savings due to proper sizing and proper installation</w:t>
            </w:r>
          </w:p>
        </w:tc>
        <w:tc>
          <w:tcPr>
            <w:tcW w:w="1147" w:type="dxa"/>
            <w:tcBorders>
              <w:top w:val="single" w:sz="4" w:space="0" w:color="auto"/>
              <w:left w:val="single" w:sz="4" w:space="0" w:color="auto"/>
              <w:bottom w:val="single" w:sz="4" w:space="0" w:color="auto"/>
              <w:right w:val="single" w:sz="4" w:space="0" w:color="auto"/>
            </w:tcBorders>
            <w:vAlign w:val="center"/>
          </w:tcPr>
          <w:p w14:paraId="62825786" w14:textId="77777777" w:rsidR="007376E1" w:rsidRPr="001570EA" w:rsidRDefault="007376E1">
            <w:pPr>
              <w:jc w:val="center"/>
              <w:rPr>
                <w:i/>
                <w:sz w:val="18"/>
                <w:szCs w:val="18"/>
              </w:rPr>
            </w:pPr>
            <w:r w:rsidRPr="001570EA">
              <w:rPr>
                <w:i/>
                <w:iCs/>
                <w:sz w:val="18"/>
                <w:szCs w:val="18"/>
              </w:rPr>
              <w:t>Proportion</w:t>
            </w:r>
          </w:p>
        </w:tc>
        <w:tc>
          <w:tcPr>
            <w:tcW w:w="2093" w:type="dxa"/>
            <w:tcBorders>
              <w:top w:val="single" w:sz="4" w:space="0" w:color="auto"/>
              <w:left w:val="single" w:sz="4" w:space="0" w:color="auto"/>
              <w:bottom w:val="single" w:sz="4" w:space="0" w:color="auto"/>
              <w:right w:val="single" w:sz="4" w:space="0" w:color="auto"/>
            </w:tcBorders>
            <w:vAlign w:val="center"/>
          </w:tcPr>
          <w:p w14:paraId="3D64A205" w14:textId="77777777" w:rsidR="007376E1" w:rsidRPr="001570EA" w:rsidDel="003B4AE7" w:rsidRDefault="007376E1">
            <w:pPr>
              <w:pStyle w:val="TableCell"/>
              <w:keepNext w:val="0"/>
              <w:spacing w:before="60" w:after="60"/>
              <w:jc w:val="center"/>
              <w:rPr>
                <w:szCs w:val="18"/>
              </w:rPr>
            </w:pPr>
            <w:r w:rsidRPr="001570EA" w:rsidDel="003B4AE7">
              <w:rPr>
                <w:szCs w:val="18"/>
              </w:rPr>
              <w:t>Not properly sized or properly sized baseline equipment: 0</w:t>
            </w:r>
          </w:p>
          <w:p w14:paraId="58A87AB3" w14:textId="77777777" w:rsidR="007376E1" w:rsidRPr="001570EA" w:rsidDel="003B4AE7" w:rsidRDefault="007376E1">
            <w:pPr>
              <w:pStyle w:val="TableCell"/>
              <w:keepNext w:val="0"/>
              <w:spacing w:before="60" w:after="60"/>
              <w:jc w:val="center"/>
              <w:rPr>
                <w:szCs w:val="18"/>
              </w:rPr>
            </w:pPr>
          </w:p>
          <w:p w14:paraId="5277F98C" w14:textId="77777777" w:rsidR="007376E1" w:rsidRPr="001570EA" w:rsidRDefault="007376E1">
            <w:pPr>
              <w:pStyle w:val="TableCell"/>
              <w:keepNext w:val="0"/>
              <w:spacing w:before="60" w:after="60"/>
              <w:jc w:val="center"/>
              <w:rPr>
                <w:szCs w:val="18"/>
              </w:rPr>
            </w:pPr>
            <w:r w:rsidRPr="001570EA" w:rsidDel="003B4AE7">
              <w:rPr>
                <w:szCs w:val="18"/>
              </w:rPr>
              <w:t>Properly sized: 0.05</w:t>
            </w:r>
          </w:p>
        </w:tc>
        <w:tc>
          <w:tcPr>
            <w:tcW w:w="1710" w:type="dxa"/>
            <w:tcBorders>
              <w:top w:val="single" w:sz="4" w:space="0" w:color="auto"/>
              <w:left w:val="single" w:sz="4" w:space="0" w:color="auto"/>
              <w:bottom w:val="single" w:sz="4" w:space="0" w:color="auto"/>
              <w:right w:val="single" w:sz="4" w:space="0" w:color="auto"/>
            </w:tcBorders>
            <w:vAlign w:val="center"/>
          </w:tcPr>
          <w:p w14:paraId="5FAD4580" w14:textId="77777777" w:rsidR="007376E1" w:rsidRPr="001570EA" w:rsidRDefault="007376E1">
            <w:pPr>
              <w:jc w:val="center"/>
              <w:rPr>
                <w:sz w:val="18"/>
                <w:szCs w:val="18"/>
              </w:rPr>
            </w:pPr>
            <w:r w:rsidRPr="001570EA">
              <w:rPr>
                <w:sz w:val="18"/>
                <w:szCs w:val="18"/>
              </w:rPr>
              <w:t>5</w:t>
            </w:r>
          </w:p>
        </w:tc>
      </w:tr>
      <w:tr w:rsidR="007376E1" w:rsidRPr="001570EA" w14:paraId="511881F2" w14:textId="77777777">
        <w:trPr>
          <w:trHeight w:val="828"/>
        </w:trPr>
        <w:tc>
          <w:tcPr>
            <w:tcW w:w="3690" w:type="dxa"/>
            <w:vMerge w:val="restart"/>
            <w:tcBorders>
              <w:top w:val="single" w:sz="4" w:space="0" w:color="auto"/>
              <w:left w:val="single" w:sz="4" w:space="0" w:color="auto"/>
              <w:right w:val="single" w:sz="4" w:space="0" w:color="auto"/>
            </w:tcBorders>
            <w:vAlign w:val="center"/>
          </w:tcPr>
          <w:p w14:paraId="4072678A" w14:textId="0EA0C608" w:rsidR="007376E1" w:rsidRPr="001570EA" w:rsidRDefault="007376E1">
            <w:pPr>
              <w:rPr>
                <w:i/>
                <w:iCs/>
                <w:sz w:val="18"/>
                <w:szCs w:val="18"/>
              </w:rPr>
            </w:pPr>
            <w:r w:rsidRPr="001570EA">
              <w:rPr>
                <w:i/>
                <w:iCs/>
                <w:sz w:val="18"/>
                <w:szCs w:val="18"/>
              </w:rPr>
              <w:t>COP</w:t>
            </w:r>
            <w:r w:rsidRPr="001570EA">
              <w:rPr>
                <w:i/>
                <w:iCs/>
                <w:sz w:val="18"/>
                <w:szCs w:val="18"/>
                <w:vertAlign w:val="subscript"/>
              </w:rPr>
              <w:t>base</w:t>
            </w:r>
            <w:r w:rsidRPr="001570EA">
              <w:rPr>
                <w:i/>
                <w:iCs/>
                <w:sz w:val="18"/>
                <w:szCs w:val="18"/>
              </w:rPr>
              <w:t xml:space="preserve">, </w:t>
            </w:r>
            <w:r w:rsidRPr="001570EA">
              <w:rPr>
                <w:rFonts w:cs="Arial"/>
                <w:sz w:val="18"/>
                <w:szCs w:val="18"/>
              </w:rPr>
              <w:t>Coefficient of Performance of the baseline unit. This is a measure of the efficiency of a heat pump</w:t>
            </w:r>
          </w:p>
        </w:tc>
        <w:tc>
          <w:tcPr>
            <w:tcW w:w="1147" w:type="dxa"/>
            <w:vMerge w:val="restart"/>
            <w:tcBorders>
              <w:top w:val="single" w:sz="4" w:space="0" w:color="auto"/>
              <w:left w:val="single" w:sz="4" w:space="0" w:color="auto"/>
              <w:right w:val="single" w:sz="4" w:space="0" w:color="auto"/>
            </w:tcBorders>
            <w:vAlign w:val="center"/>
          </w:tcPr>
          <w:p w14:paraId="7FFAF8BD" w14:textId="77777777" w:rsidR="007376E1" w:rsidRPr="001570EA" w:rsidRDefault="007376E1">
            <w:pPr>
              <w:jc w:val="center"/>
              <w:rPr>
                <w:i/>
                <w:iCs/>
                <w:sz w:val="18"/>
                <w:szCs w:val="18"/>
              </w:rPr>
            </w:pPr>
            <w:r w:rsidRPr="001570EA">
              <w:rPr>
                <w:i/>
                <w:iCs/>
                <w:sz w:val="18"/>
                <w:szCs w:val="18"/>
              </w:rPr>
              <w:t>Proportion</w:t>
            </w:r>
          </w:p>
        </w:tc>
        <w:tc>
          <w:tcPr>
            <w:tcW w:w="2093" w:type="dxa"/>
            <w:tcBorders>
              <w:top w:val="single" w:sz="4" w:space="0" w:color="auto"/>
              <w:left w:val="single" w:sz="4" w:space="0" w:color="auto"/>
              <w:bottom w:val="single" w:sz="4" w:space="0" w:color="auto"/>
              <w:right w:val="single" w:sz="4" w:space="0" w:color="auto"/>
            </w:tcBorders>
            <w:vAlign w:val="center"/>
          </w:tcPr>
          <w:p w14:paraId="5A25622B" w14:textId="77777777" w:rsidR="007376E1" w:rsidRPr="001570EA" w:rsidRDefault="007376E1">
            <w:pPr>
              <w:jc w:val="center"/>
              <w:rPr>
                <w:sz w:val="18"/>
                <w:szCs w:val="18"/>
              </w:rPr>
            </w:pPr>
            <w:r w:rsidRPr="001570EA">
              <w:rPr>
                <w:sz w:val="18"/>
                <w:szCs w:val="18"/>
              </w:rPr>
              <w:t xml:space="preserve">EDC Data Gathering </w:t>
            </w:r>
          </w:p>
        </w:tc>
        <w:tc>
          <w:tcPr>
            <w:tcW w:w="1710" w:type="dxa"/>
            <w:tcBorders>
              <w:top w:val="single" w:sz="4" w:space="0" w:color="auto"/>
              <w:left w:val="single" w:sz="4" w:space="0" w:color="auto"/>
              <w:bottom w:val="single" w:sz="4" w:space="0" w:color="auto"/>
              <w:right w:val="single" w:sz="4" w:space="0" w:color="auto"/>
            </w:tcBorders>
            <w:vAlign w:val="center"/>
          </w:tcPr>
          <w:p w14:paraId="67340108" w14:textId="77777777" w:rsidR="007376E1" w:rsidRPr="001570EA" w:rsidRDefault="007376E1">
            <w:pPr>
              <w:jc w:val="center"/>
              <w:rPr>
                <w:sz w:val="18"/>
                <w:szCs w:val="18"/>
              </w:rPr>
            </w:pPr>
            <w:r w:rsidRPr="001570EA">
              <w:rPr>
                <w:sz w:val="18"/>
                <w:szCs w:val="18"/>
              </w:rPr>
              <w:t>EDC Data Gathering</w:t>
            </w:r>
          </w:p>
        </w:tc>
      </w:tr>
      <w:tr w:rsidR="007376E1" w:rsidRPr="001570EA" w14:paraId="1676899D" w14:textId="77777777">
        <w:trPr>
          <w:trHeight w:val="828"/>
        </w:trPr>
        <w:tc>
          <w:tcPr>
            <w:tcW w:w="3690" w:type="dxa"/>
            <w:vMerge/>
            <w:tcBorders>
              <w:left w:val="single" w:sz="4" w:space="0" w:color="auto"/>
              <w:bottom w:val="single" w:sz="4" w:space="0" w:color="auto"/>
              <w:right w:val="single" w:sz="4" w:space="0" w:color="auto"/>
            </w:tcBorders>
            <w:vAlign w:val="center"/>
          </w:tcPr>
          <w:p w14:paraId="343E0C4A" w14:textId="77777777" w:rsidR="007376E1" w:rsidRPr="001570EA" w:rsidRDefault="007376E1">
            <w:pPr>
              <w:rPr>
                <w:i/>
                <w:iCs/>
                <w:sz w:val="18"/>
                <w:szCs w:val="18"/>
              </w:rPr>
            </w:pPr>
          </w:p>
        </w:tc>
        <w:tc>
          <w:tcPr>
            <w:tcW w:w="1147" w:type="dxa"/>
            <w:vMerge/>
            <w:tcBorders>
              <w:left w:val="single" w:sz="4" w:space="0" w:color="auto"/>
              <w:bottom w:val="single" w:sz="4" w:space="0" w:color="auto"/>
              <w:right w:val="single" w:sz="4" w:space="0" w:color="auto"/>
            </w:tcBorders>
            <w:vAlign w:val="center"/>
          </w:tcPr>
          <w:p w14:paraId="4B6A3186" w14:textId="77777777" w:rsidR="007376E1" w:rsidRPr="001570EA" w:rsidRDefault="007376E1">
            <w:pPr>
              <w:jc w:val="center"/>
              <w:rPr>
                <w:i/>
                <w:iCs/>
                <w:sz w:val="18"/>
                <w:szCs w:val="18"/>
              </w:rPr>
            </w:pPr>
          </w:p>
        </w:tc>
        <w:tc>
          <w:tcPr>
            <w:tcW w:w="2093" w:type="dxa"/>
            <w:tcBorders>
              <w:top w:val="single" w:sz="4" w:space="0" w:color="auto"/>
              <w:left w:val="single" w:sz="4" w:space="0" w:color="auto"/>
              <w:bottom w:val="single" w:sz="4" w:space="0" w:color="auto"/>
              <w:right w:val="single" w:sz="4" w:space="0" w:color="auto"/>
            </w:tcBorders>
            <w:vAlign w:val="center"/>
          </w:tcPr>
          <w:p w14:paraId="43FAB5D3" w14:textId="3C6E4BAB" w:rsidR="007376E1" w:rsidRPr="001570EA" w:rsidRDefault="007376E1">
            <w:pPr>
              <w:jc w:val="center"/>
              <w:rPr>
                <w:sz w:val="18"/>
                <w:szCs w:val="18"/>
              </w:rPr>
            </w:pPr>
            <w:r w:rsidRPr="001570EA">
              <w:rPr>
                <w:sz w:val="18"/>
                <w:szCs w:val="18"/>
              </w:rPr>
              <w:t xml:space="preserve">Default: see </w:t>
            </w:r>
            <w:r w:rsidRPr="001570EA">
              <w:rPr>
                <w:sz w:val="18"/>
                <w:szCs w:val="18"/>
              </w:rPr>
              <w:fldChar w:fldCharType="begin"/>
            </w:r>
            <w:r w:rsidRPr="001570EA">
              <w:rPr>
                <w:sz w:val="18"/>
                <w:szCs w:val="18"/>
              </w:rPr>
              <w:instrText xml:space="preserve"> REF _Ref531779526 \h  \* MERGEFORMAT </w:instrText>
            </w:r>
            <w:r w:rsidRPr="001570EA">
              <w:rPr>
                <w:sz w:val="18"/>
                <w:szCs w:val="18"/>
              </w:rPr>
            </w:r>
            <w:r w:rsidRPr="001570EA">
              <w:rPr>
                <w:sz w:val="18"/>
                <w:szCs w:val="18"/>
              </w:rPr>
              <w:fldChar w:fldCharType="separate"/>
            </w:r>
            <w:r w:rsidR="00384D95" w:rsidRPr="001570EA">
              <w:rPr>
                <w:sz w:val="18"/>
                <w:szCs w:val="18"/>
              </w:rPr>
              <w:t>Table 2</w:t>
            </w:r>
            <w:r w:rsidR="00384D95" w:rsidRPr="001570EA">
              <w:rPr>
                <w:sz w:val="18"/>
                <w:szCs w:val="18"/>
              </w:rPr>
              <w:noBreakHyphen/>
              <w:t>10</w:t>
            </w:r>
            <w:r w:rsidRPr="001570EA">
              <w:rPr>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41E38D2" w14:textId="77777777" w:rsidR="007376E1" w:rsidRPr="001570EA" w:rsidRDefault="007376E1">
            <w:pPr>
              <w:jc w:val="center"/>
              <w:rPr>
                <w:sz w:val="18"/>
                <w:szCs w:val="18"/>
              </w:rPr>
            </w:pPr>
            <w:r w:rsidRPr="001570EA">
              <w:rPr>
                <w:sz w:val="18"/>
                <w:szCs w:val="18"/>
              </w:rPr>
              <w:t>2</w:t>
            </w:r>
          </w:p>
        </w:tc>
      </w:tr>
      <w:tr w:rsidR="007376E1" w:rsidRPr="001570EA" w14:paraId="1438442A" w14:textId="77777777">
        <w:trPr>
          <w:trHeight w:val="828"/>
        </w:trPr>
        <w:tc>
          <w:tcPr>
            <w:tcW w:w="3690" w:type="dxa"/>
            <w:tcBorders>
              <w:top w:val="single" w:sz="4" w:space="0" w:color="auto"/>
              <w:left w:val="single" w:sz="4" w:space="0" w:color="auto"/>
              <w:bottom w:val="single" w:sz="4" w:space="0" w:color="auto"/>
              <w:right w:val="single" w:sz="4" w:space="0" w:color="auto"/>
            </w:tcBorders>
            <w:vAlign w:val="center"/>
            <w:hideMark/>
          </w:tcPr>
          <w:p w14:paraId="5C89FDC9" w14:textId="48D9D2A9" w:rsidR="007376E1" w:rsidRPr="001570EA" w:rsidRDefault="007376E1">
            <w:pPr>
              <w:rPr>
                <w:sz w:val="18"/>
                <w:szCs w:val="18"/>
              </w:rPr>
            </w:pPr>
            <w:r w:rsidRPr="001570EA">
              <w:rPr>
                <w:i/>
                <w:iCs/>
                <w:sz w:val="18"/>
                <w:szCs w:val="18"/>
              </w:rPr>
              <w:t>COP</w:t>
            </w:r>
            <w:r w:rsidRPr="001570EA">
              <w:rPr>
                <w:i/>
                <w:iCs/>
                <w:sz w:val="18"/>
                <w:szCs w:val="18"/>
                <w:vertAlign w:val="subscript"/>
              </w:rPr>
              <w:t>ee</w:t>
            </w:r>
            <w:r w:rsidRPr="001570EA">
              <w:rPr>
                <w:i/>
                <w:iCs/>
                <w:sz w:val="18"/>
                <w:szCs w:val="18"/>
              </w:rPr>
              <w:t xml:space="preserve">, </w:t>
            </w:r>
            <w:r w:rsidRPr="001570EA">
              <w:rPr>
                <w:rFonts w:cs="Arial"/>
                <w:sz w:val="18"/>
                <w:szCs w:val="18"/>
              </w:rPr>
              <w:t>Coefficient of Performance of the unit being installed. This is a measure of the efficiency of a heat pump</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4D9F93D" w14:textId="77777777" w:rsidR="007376E1" w:rsidRPr="001570EA" w:rsidRDefault="007376E1">
            <w:pPr>
              <w:jc w:val="center"/>
              <w:rPr>
                <w:sz w:val="18"/>
                <w:szCs w:val="18"/>
              </w:rPr>
            </w:pPr>
            <w:r w:rsidRPr="001570EA">
              <w:rPr>
                <w:i/>
                <w:iCs/>
                <w:sz w:val="18"/>
                <w:szCs w:val="18"/>
              </w:rPr>
              <w:t>Proportion</w:t>
            </w:r>
          </w:p>
        </w:tc>
        <w:tc>
          <w:tcPr>
            <w:tcW w:w="2093" w:type="dxa"/>
            <w:tcBorders>
              <w:top w:val="single" w:sz="4" w:space="0" w:color="auto"/>
              <w:left w:val="single" w:sz="4" w:space="0" w:color="auto"/>
              <w:bottom w:val="single" w:sz="4" w:space="0" w:color="auto"/>
              <w:right w:val="single" w:sz="4" w:space="0" w:color="auto"/>
            </w:tcBorders>
            <w:vAlign w:val="center"/>
            <w:hideMark/>
          </w:tcPr>
          <w:p w14:paraId="293B5E3F" w14:textId="77777777" w:rsidR="007376E1" w:rsidRPr="001570EA" w:rsidRDefault="007376E1">
            <w:pPr>
              <w:jc w:val="center"/>
              <w:rPr>
                <w:sz w:val="18"/>
                <w:szCs w:val="18"/>
              </w:rPr>
            </w:pPr>
            <w:r w:rsidRPr="001570EA">
              <w:rPr>
                <w:sz w:val="18"/>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59B5C7E"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5C5780B4" w14:textId="77777777">
        <w:trPr>
          <w:trHeight w:val="323"/>
        </w:trPr>
        <w:tc>
          <w:tcPr>
            <w:tcW w:w="3690" w:type="dxa"/>
            <w:vMerge w:val="restart"/>
            <w:tcBorders>
              <w:top w:val="single" w:sz="4" w:space="0" w:color="auto"/>
              <w:left w:val="single" w:sz="4" w:space="0" w:color="auto"/>
              <w:right w:val="single" w:sz="4" w:space="0" w:color="auto"/>
            </w:tcBorders>
            <w:vAlign w:val="center"/>
          </w:tcPr>
          <w:p w14:paraId="4D9BB26F" w14:textId="6773683F" w:rsidR="007376E1" w:rsidRPr="001570EA" w:rsidRDefault="007376E1">
            <w:pPr>
              <w:rPr>
                <w:i/>
                <w:iCs/>
                <w:sz w:val="18"/>
                <w:szCs w:val="18"/>
              </w:rPr>
            </w:pPr>
            <w:r w:rsidRPr="001570EA">
              <w:rPr>
                <w:i/>
                <w:iCs/>
                <w:sz w:val="18"/>
                <w:szCs w:val="18"/>
              </w:rPr>
              <w:t>OF</w:t>
            </w:r>
            <w:r w:rsidRPr="001570EA">
              <w:rPr>
                <w:i/>
                <w:iCs/>
                <w:sz w:val="18"/>
                <w:szCs w:val="18"/>
                <w:vertAlign w:val="subscript"/>
              </w:rPr>
              <w:t>cool</w:t>
            </w:r>
            <w:r w:rsidRPr="001570EA">
              <w:rPr>
                <w:sz w:val="18"/>
                <w:szCs w:val="18"/>
              </w:rPr>
              <w:t>, Oversize factor</w:t>
            </w:r>
          </w:p>
        </w:tc>
        <w:tc>
          <w:tcPr>
            <w:tcW w:w="1147" w:type="dxa"/>
            <w:vMerge w:val="restart"/>
            <w:tcBorders>
              <w:top w:val="single" w:sz="4" w:space="0" w:color="auto"/>
              <w:left w:val="single" w:sz="4" w:space="0" w:color="auto"/>
              <w:right w:val="single" w:sz="4" w:space="0" w:color="auto"/>
            </w:tcBorders>
            <w:vAlign w:val="center"/>
          </w:tcPr>
          <w:p w14:paraId="6919287C" w14:textId="77777777" w:rsidR="007376E1" w:rsidRPr="001570EA" w:rsidRDefault="007376E1">
            <w:pPr>
              <w:jc w:val="center"/>
              <w:rPr>
                <w:rFonts w:cs="Arial"/>
                <w:i/>
                <w:iCs/>
                <w:sz w:val="18"/>
                <w:szCs w:val="18"/>
              </w:rPr>
            </w:pPr>
            <w:r w:rsidRPr="001570EA">
              <w:rPr>
                <w:i/>
                <w:sz w:val="18"/>
                <w:szCs w:val="18"/>
              </w:rPr>
              <w:t>None</w:t>
            </w:r>
          </w:p>
        </w:tc>
        <w:tc>
          <w:tcPr>
            <w:tcW w:w="2093" w:type="dxa"/>
            <w:tcBorders>
              <w:top w:val="single" w:sz="4" w:space="0" w:color="auto"/>
              <w:left w:val="single" w:sz="4" w:space="0" w:color="auto"/>
              <w:bottom w:val="single" w:sz="4" w:space="0" w:color="auto"/>
              <w:right w:val="single" w:sz="4" w:space="0" w:color="auto"/>
            </w:tcBorders>
            <w:vAlign w:val="center"/>
          </w:tcPr>
          <w:p w14:paraId="053306ED" w14:textId="77777777" w:rsidR="007376E1" w:rsidRPr="001570EA" w:rsidRDefault="007376E1">
            <w:pPr>
              <w:pStyle w:val="TableCell"/>
              <w:keepNext w:val="0"/>
              <w:spacing w:before="60" w:after="60"/>
              <w:jc w:val="center"/>
              <w:rPr>
                <w:szCs w:val="18"/>
              </w:rPr>
            </w:pPr>
            <w:r w:rsidRPr="001570EA">
              <w:rPr>
                <w:szCs w:val="18"/>
              </w:rPr>
              <w:t xml:space="preserve">EDC Data Gathering </w:t>
            </w:r>
          </w:p>
        </w:tc>
        <w:tc>
          <w:tcPr>
            <w:tcW w:w="1710" w:type="dxa"/>
            <w:tcBorders>
              <w:top w:val="single" w:sz="4" w:space="0" w:color="auto"/>
              <w:left w:val="single" w:sz="4" w:space="0" w:color="auto"/>
              <w:right w:val="single" w:sz="4" w:space="0" w:color="auto"/>
            </w:tcBorders>
            <w:vAlign w:val="center"/>
          </w:tcPr>
          <w:p w14:paraId="119D5877" w14:textId="77777777" w:rsidR="007376E1" w:rsidRPr="001570EA" w:rsidRDefault="007376E1">
            <w:pPr>
              <w:jc w:val="center"/>
              <w:rPr>
                <w:sz w:val="18"/>
                <w:szCs w:val="18"/>
              </w:rPr>
            </w:pPr>
            <w:r w:rsidRPr="001570EA">
              <w:rPr>
                <w:sz w:val="18"/>
                <w:szCs w:val="18"/>
              </w:rPr>
              <w:t xml:space="preserve">EDC Data Gathering </w:t>
            </w:r>
          </w:p>
        </w:tc>
      </w:tr>
      <w:tr w:rsidR="007376E1" w:rsidRPr="001570EA" w14:paraId="0CE91413" w14:textId="77777777">
        <w:trPr>
          <w:trHeight w:val="322"/>
        </w:trPr>
        <w:tc>
          <w:tcPr>
            <w:tcW w:w="3690" w:type="dxa"/>
            <w:vMerge/>
            <w:tcBorders>
              <w:left w:val="single" w:sz="4" w:space="0" w:color="auto"/>
              <w:bottom w:val="single" w:sz="4" w:space="0" w:color="auto"/>
              <w:right w:val="single" w:sz="4" w:space="0" w:color="auto"/>
            </w:tcBorders>
            <w:vAlign w:val="center"/>
          </w:tcPr>
          <w:p w14:paraId="23F1716E" w14:textId="77777777" w:rsidR="007376E1" w:rsidRPr="001570EA" w:rsidRDefault="007376E1">
            <w:pPr>
              <w:rPr>
                <w:i/>
                <w:iCs/>
                <w:sz w:val="18"/>
                <w:szCs w:val="18"/>
              </w:rPr>
            </w:pPr>
          </w:p>
        </w:tc>
        <w:tc>
          <w:tcPr>
            <w:tcW w:w="1147" w:type="dxa"/>
            <w:vMerge/>
            <w:tcBorders>
              <w:left w:val="single" w:sz="4" w:space="0" w:color="auto"/>
              <w:bottom w:val="single" w:sz="4" w:space="0" w:color="auto"/>
              <w:right w:val="single" w:sz="4" w:space="0" w:color="auto"/>
            </w:tcBorders>
            <w:vAlign w:val="center"/>
          </w:tcPr>
          <w:p w14:paraId="00993BFE" w14:textId="77777777" w:rsidR="007376E1" w:rsidRPr="001570EA" w:rsidRDefault="007376E1">
            <w:pPr>
              <w:jc w:val="center"/>
              <w:rPr>
                <w:i/>
                <w:sz w:val="18"/>
                <w:szCs w:val="18"/>
              </w:rPr>
            </w:pPr>
          </w:p>
        </w:tc>
        <w:tc>
          <w:tcPr>
            <w:tcW w:w="2093" w:type="dxa"/>
            <w:tcBorders>
              <w:top w:val="single" w:sz="4" w:space="0" w:color="auto"/>
              <w:left w:val="single" w:sz="4" w:space="0" w:color="auto"/>
              <w:bottom w:val="single" w:sz="4" w:space="0" w:color="auto"/>
              <w:right w:val="single" w:sz="4" w:space="0" w:color="auto"/>
            </w:tcBorders>
            <w:vAlign w:val="center"/>
          </w:tcPr>
          <w:p w14:paraId="433806ED" w14:textId="2E6734FA" w:rsidR="005B33AB" w:rsidRPr="001570EA" w:rsidRDefault="007376E1" w:rsidP="005B33AB">
            <w:pPr>
              <w:pStyle w:val="TableCell"/>
              <w:keepNext w:val="0"/>
              <w:spacing w:before="60" w:after="60"/>
              <w:jc w:val="center"/>
              <w:rPr>
                <w:szCs w:val="18"/>
              </w:rPr>
            </w:pPr>
            <w:r w:rsidRPr="001570EA">
              <w:rPr>
                <w:szCs w:val="18"/>
              </w:rPr>
              <w:t>Default: see</w:t>
            </w:r>
            <w:r w:rsidR="000F6BB9" w:rsidRPr="001570EA">
              <w:rPr>
                <w:szCs w:val="18"/>
              </w:rPr>
              <w:t xml:space="preserve"> </w:t>
            </w:r>
            <w:r w:rsidR="000F6BB9" w:rsidRPr="001570EA">
              <w:rPr>
                <w:szCs w:val="18"/>
              </w:rPr>
              <w:fldChar w:fldCharType="begin"/>
            </w:r>
            <w:r w:rsidR="000F6BB9" w:rsidRPr="001570EA">
              <w:rPr>
                <w:szCs w:val="18"/>
              </w:rPr>
              <w:instrText xml:space="preserve"> REF _Ref163903226 \h </w:instrText>
            </w:r>
            <w:r w:rsidR="001570EA">
              <w:rPr>
                <w:szCs w:val="18"/>
              </w:rPr>
              <w:instrText xml:space="preserve"> \* MERGEFORMAT </w:instrText>
            </w:r>
            <w:r w:rsidR="000F6BB9" w:rsidRPr="001570EA">
              <w:rPr>
                <w:szCs w:val="18"/>
              </w:rPr>
            </w:r>
            <w:r w:rsidR="000F6BB9" w:rsidRPr="001570EA">
              <w:rPr>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12</w:t>
            </w:r>
            <w:r w:rsidR="000F6BB9" w:rsidRPr="001570EA">
              <w:rPr>
                <w:szCs w:val="18"/>
              </w:rPr>
              <w:fldChar w:fldCharType="end"/>
            </w:r>
            <w:r w:rsidR="005B33AB" w:rsidRPr="001570EA">
              <w:rPr>
                <w:szCs w:val="18"/>
              </w:rPr>
              <w:t xml:space="preserve"> </w:t>
            </w:r>
          </w:p>
          <w:p w14:paraId="30A88FD4" w14:textId="77777777" w:rsidR="005B33AB" w:rsidRPr="001570EA" w:rsidRDefault="005B33AB" w:rsidP="005B33AB">
            <w:pPr>
              <w:pStyle w:val="TableCell"/>
              <w:keepNext w:val="0"/>
              <w:spacing w:before="60" w:after="60"/>
              <w:jc w:val="center"/>
              <w:rPr>
                <w:szCs w:val="18"/>
              </w:rPr>
            </w:pPr>
          </w:p>
          <w:p w14:paraId="119F2723" w14:textId="0392E389" w:rsidR="007376E1" w:rsidRPr="001570EA" w:rsidRDefault="007376E1" w:rsidP="005B33AB">
            <w:pPr>
              <w:pStyle w:val="TableCell"/>
              <w:keepNext w:val="0"/>
              <w:spacing w:before="60" w:after="60"/>
              <w:jc w:val="center"/>
              <w:rPr>
                <w:szCs w:val="18"/>
              </w:rPr>
            </w:pPr>
            <w:r w:rsidRPr="001570EA">
              <w:rPr>
                <w:szCs w:val="18"/>
              </w:rPr>
              <w:t xml:space="preserve"> </w:t>
            </w:r>
          </w:p>
        </w:tc>
        <w:tc>
          <w:tcPr>
            <w:tcW w:w="1710" w:type="dxa"/>
            <w:tcBorders>
              <w:left w:val="single" w:sz="4" w:space="0" w:color="auto"/>
              <w:bottom w:val="single" w:sz="4" w:space="0" w:color="auto"/>
              <w:right w:val="single" w:sz="4" w:space="0" w:color="auto"/>
            </w:tcBorders>
            <w:vAlign w:val="center"/>
          </w:tcPr>
          <w:p w14:paraId="21AD3578" w14:textId="77777777" w:rsidR="007376E1" w:rsidRPr="001570EA" w:rsidDel="00DA3286" w:rsidRDefault="007376E1">
            <w:pPr>
              <w:jc w:val="center"/>
              <w:rPr>
                <w:sz w:val="18"/>
                <w:szCs w:val="18"/>
              </w:rPr>
            </w:pPr>
            <w:r w:rsidRPr="001570EA">
              <w:rPr>
                <w:sz w:val="18"/>
                <w:szCs w:val="18"/>
              </w:rPr>
              <w:t>6</w:t>
            </w:r>
          </w:p>
        </w:tc>
      </w:tr>
      <w:tr w:rsidR="007376E1" w:rsidRPr="001570EA" w14:paraId="4C58CD45" w14:textId="77777777">
        <w:trPr>
          <w:trHeight w:val="323"/>
        </w:trPr>
        <w:tc>
          <w:tcPr>
            <w:tcW w:w="3690" w:type="dxa"/>
            <w:vMerge w:val="restart"/>
            <w:tcBorders>
              <w:top w:val="single" w:sz="4" w:space="0" w:color="auto"/>
              <w:left w:val="single" w:sz="4" w:space="0" w:color="auto"/>
              <w:right w:val="single" w:sz="4" w:space="0" w:color="auto"/>
            </w:tcBorders>
            <w:vAlign w:val="center"/>
          </w:tcPr>
          <w:p w14:paraId="64B3E611" w14:textId="51732455" w:rsidR="007376E1" w:rsidRPr="001570EA" w:rsidRDefault="007376E1">
            <w:pPr>
              <w:rPr>
                <w:i/>
                <w:iCs/>
                <w:sz w:val="18"/>
                <w:szCs w:val="18"/>
              </w:rPr>
            </w:pPr>
            <w:r w:rsidRPr="001570EA">
              <w:rPr>
                <w:i/>
                <w:iCs/>
                <w:sz w:val="18"/>
                <w:szCs w:val="18"/>
              </w:rPr>
              <w:t>OF</w:t>
            </w:r>
            <w:r w:rsidRPr="001570EA">
              <w:rPr>
                <w:i/>
                <w:iCs/>
                <w:sz w:val="18"/>
                <w:szCs w:val="18"/>
                <w:vertAlign w:val="subscript"/>
              </w:rPr>
              <w:t>heat</w:t>
            </w:r>
            <w:r w:rsidRPr="001570EA">
              <w:rPr>
                <w:sz w:val="18"/>
                <w:szCs w:val="18"/>
              </w:rPr>
              <w:t>, Oversize factor</w:t>
            </w:r>
          </w:p>
        </w:tc>
        <w:tc>
          <w:tcPr>
            <w:tcW w:w="1147" w:type="dxa"/>
            <w:vMerge w:val="restart"/>
            <w:tcBorders>
              <w:top w:val="single" w:sz="4" w:space="0" w:color="auto"/>
              <w:left w:val="single" w:sz="4" w:space="0" w:color="auto"/>
              <w:right w:val="single" w:sz="4" w:space="0" w:color="auto"/>
            </w:tcBorders>
            <w:vAlign w:val="center"/>
          </w:tcPr>
          <w:p w14:paraId="648E1578" w14:textId="77777777" w:rsidR="007376E1" w:rsidRPr="001570EA" w:rsidRDefault="007376E1">
            <w:pPr>
              <w:jc w:val="center"/>
              <w:rPr>
                <w:rFonts w:cs="Arial"/>
                <w:i/>
                <w:iCs/>
                <w:sz w:val="18"/>
                <w:szCs w:val="18"/>
              </w:rPr>
            </w:pPr>
            <w:r w:rsidRPr="001570EA">
              <w:rPr>
                <w:i/>
                <w:sz w:val="18"/>
                <w:szCs w:val="18"/>
              </w:rPr>
              <w:t>None</w:t>
            </w:r>
          </w:p>
        </w:tc>
        <w:tc>
          <w:tcPr>
            <w:tcW w:w="2093" w:type="dxa"/>
            <w:tcBorders>
              <w:top w:val="single" w:sz="4" w:space="0" w:color="auto"/>
              <w:left w:val="single" w:sz="4" w:space="0" w:color="auto"/>
              <w:right w:val="single" w:sz="4" w:space="0" w:color="auto"/>
            </w:tcBorders>
            <w:vAlign w:val="center"/>
          </w:tcPr>
          <w:p w14:paraId="39DA8558" w14:textId="77777777" w:rsidR="007376E1" w:rsidRPr="001570EA" w:rsidRDefault="007376E1">
            <w:pPr>
              <w:pStyle w:val="TableCell"/>
              <w:keepNext w:val="0"/>
              <w:spacing w:before="60" w:after="60"/>
              <w:jc w:val="center"/>
              <w:rPr>
                <w:szCs w:val="18"/>
              </w:rPr>
            </w:pPr>
            <w:r w:rsidRPr="001570EA">
              <w:rPr>
                <w:szCs w:val="18"/>
              </w:rPr>
              <w:t xml:space="preserve">EDC Data Gathering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F3A5843" w14:textId="77777777" w:rsidR="007376E1" w:rsidRPr="001570EA" w:rsidRDefault="007376E1">
            <w:pPr>
              <w:jc w:val="center"/>
              <w:rPr>
                <w:sz w:val="18"/>
                <w:szCs w:val="18"/>
              </w:rPr>
            </w:pPr>
            <w:r w:rsidRPr="001570EA">
              <w:rPr>
                <w:sz w:val="18"/>
                <w:szCs w:val="18"/>
              </w:rPr>
              <w:t xml:space="preserve">EDC Data Gathering </w:t>
            </w:r>
          </w:p>
        </w:tc>
      </w:tr>
      <w:tr w:rsidR="007376E1" w:rsidRPr="001570EA" w14:paraId="5B179135" w14:textId="77777777">
        <w:trPr>
          <w:trHeight w:val="322"/>
        </w:trPr>
        <w:tc>
          <w:tcPr>
            <w:tcW w:w="3690" w:type="dxa"/>
            <w:vMerge/>
            <w:tcBorders>
              <w:left w:val="single" w:sz="4" w:space="0" w:color="auto"/>
              <w:bottom w:val="single" w:sz="4" w:space="0" w:color="auto"/>
              <w:right w:val="single" w:sz="4" w:space="0" w:color="auto"/>
            </w:tcBorders>
            <w:vAlign w:val="center"/>
          </w:tcPr>
          <w:p w14:paraId="05C79C1F" w14:textId="77777777" w:rsidR="007376E1" w:rsidRPr="001570EA" w:rsidRDefault="007376E1">
            <w:pPr>
              <w:rPr>
                <w:i/>
                <w:iCs/>
                <w:sz w:val="18"/>
                <w:szCs w:val="18"/>
              </w:rPr>
            </w:pPr>
          </w:p>
        </w:tc>
        <w:tc>
          <w:tcPr>
            <w:tcW w:w="1147" w:type="dxa"/>
            <w:vMerge/>
            <w:tcBorders>
              <w:left w:val="single" w:sz="4" w:space="0" w:color="auto"/>
              <w:bottom w:val="single" w:sz="4" w:space="0" w:color="auto"/>
              <w:right w:val="single" w:sz="4" w:space="0" w:color="auto"/>
            </w:tcBorders>
            <w:vAlign w:val="center"/>
          </w:tcPr>
          <w:p w14:paraId="55BD12C0" w14:textId="77777777" w:rsidR="007376E1" w:rsidRPr="001570EA" w:rsidRDefault="007376E1">
            <w:pPr>
              <w:jc w:val="center"/>
              <w:rPr>
                <w:i/>
                <w:sz w:val="18"/>
                <w:szCs w:val="18"/>
              </w:rPr>
            </w:pPr>
          </w:p>
        </w:tc>
        <w:tc>
          <w:tcPr>
            <w:tcW w:w="2093" w:type="dxa"/>
            <w:tcBorders>
              <w:left w:val="single" w:sz="4" w:space="0" w:color="auto"/>
              <w:bottom w:val="single" w:sz="4" w:space="0" w:color="auto"/>
              <w:right w:val="single" w:sz="4" w:space="0" w:color="auto"/>
            </w:tcBorders>
            <w:vAlign w:val="center"/>
          </w:tcPr>
          <w:p w14:paraId="51852026" w14:textId="48682693" w:rsidR="007376E1" w:rsidRPr="001570EA" w:rsidRDefault="007376E1" w:rsidP="00601149">
            <w:pPr>
              <w:pStyle w:val="TableCell"/>
              <w:keepNext w:val="0"/>
              <w:spacing w:before="60" w:after="60"/>
              <w:jc w:val="center"/>
              <w:rPr>
                <w:szCs w:val="18"/>
              </w:rPr>
            </w:pPr>
            <w:r w:rsidRPr="001570EA">
              <w:rPr>
                <w:szCs w:val="18"/>
              </w:rPr>
              <w:t xml:space="preserve">Default: see </w:t>
            </w:r>
            <w:r w:rsidR="00601149" w:rsidRPr="001570EA">
              <w:rPr>
                <w:szCs w:val="18"/>
              </w:rPr>
              <w:t xml:space="preserve"> </w:t>
            </w:r>
            <w:r w:rsidR="000F6BB9" w:rsidRPr="001570EA">
              <w:rPr>
                <w:szCs w:val="18"/>
              </w:rPr>
              <w:fldChar w:fldCharType="begin"/>
            </w:r>
            <w:r w:rsidR="000F6BB9" w:rsidRPr="001570EA">
              <w:rPr>
                <w:szCs w:val="18"/>
              </w:rPr>
              <w:instrText xml:space="preserve"> REF _Ref163903226 \h </w:instrText>
            </w:r>
            <w:r w:rsidR="001570EA">
              <w:rPr>
                <w:szCs w:val="18"/>
              </w:rPr>
              <w:instrText xml:space="preserve"> \* MERGEFORMAT </w:instrText>
            </w:r>
            <w:r w:rsidR="000F6BB9" w:rsidRPr="001570EA">
              <w:rPr>
                <w:szCs w:val="18"/>
              </w:rPr>
            </w:r>
            <w:r w:rsidR="000F6BB9" w:rsidRPr="001570EA">
              <w:rPr>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12</w:t>
            </w:r>
            <w:r w:rsidR="000F6BB9" w:rsidRPr="001570EA">
              <w:rPr>
                <w:szCs w:val="18"/>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B2F27D2" w14:textId="77777777" w:rsidR="007376E1" w:rsidRPr="001570EA" w:rsidDel="00DA3286" w:rsidRDefault="007376E1">
            <w:pPr>
              <w:jc w:val="center"/>
              <w:rPr>
                <w:sz w:val="18"/>
                <w:szCs w:val="18"/>
              </w:rPr>
            </w:pPr>
            <w:r w:rsidRPr="001570EA">
              <w:rPr>
                <w:sz w:val="18"/>
                <w:szCs w:val="18"/>
              </w:rPr>
              <w:t>7</w:t>
            </w:r>
          </w:p>
        </w:tc>
      </w:tr>
      <w:tr w:rsidR="007376E1" w:rsidRPr="001570EA" w14:paraId="311BEADA" w14:textId="77777777">
        <w:trPr>
          <w:trHeight w:val="602"/>
        </w:trPr>
        <w:tc>
          <w:tcPr>
            <w:tcW w:w="3690" w:type="dxa"/>
            <w:tcBorders>
              <w:top w:val="single" w:sz="4" w:space="0" w:color="auto"/>
              <w:left w:val="single" w:sz="4" w:space="0" w:color="auto"/>
              <w:bottom w:val="single" w:sz="4" w:space="0" w:color="auto"/>
              <w:right w:val="single" w:sz="4" w:space="0" w:color="auto"/>
            </w:tcBorders>
            <w:vAlign w:val="center"/>
          </w:tcPr>
          <w:p w14:paraId="322A8A14" w14:textId="4945BCDA" w:rsidR="007376E1" w:rsidRPr="001570EA" w:rsidRDefault="007376E1">
            <w:pPr>
              <w:rPr>
                <w:i/>
                <w:iCs/>
                <w:sz w:val="18"/>
                <w:szCs w:val="18"/>
              </w:rPr>
            </w:pPr>
            <w:r w:rsidRPr="001570EA">
              <w:rPr>
                <w:i/>
                <w:iCs/>
                <w:sz w:val="18"/>
                <w:szCs w:val="18"/>
              </w:rPr>
              <w:t>GSER</w:t>
            </w:r>
            <w:r w:rsidRPr="001570EA">
              <w:rPr>
                <w:sz w:val="18"/>
                <w:szCs w:val="18"/>
              </w:rPr>
              <w:t xml:space="preserve">, </w:t>
            </w:r>
            <w:r w:rsidRPr="001570EA">
              <w:rPr>
                <w:rFonts w:cs="Arial"/>
                <w:sz w:val="18"/>
                <w:szCs w:val="18"/>
              </w:rPr>
              <w:t>Factor to convert EER</w:t>
            </w:r>
            <w:r w:rsidRPr="001570EA">
              <w:rPr>
                <w:rFonts w:cs="Arial"/>
                <w:sz w:val="18"/>
                <w:szCs w:val="18"/>
                <w:vertAlign w:val="subscript"/>
              </w:rPr>
              <w:t>g</w:t>
            </w:r>
            <w:r w:rsidRPr="001570EA">
              <w:rPr>
                <w:rFonts w:cs="Arial"/>
                <w:sz w:val="18"/>
                <w:szCs w:val="18"/>
              </w:rPr>
              <w:t xml:space="preserve"> to the equivalent HSPF of an air-source unit to enable comparisons to the baseline unit </w:t>
            </w:r>
          </w:p>
        </w:tc>
        <w:tc>
          <w:tcPr>
            <w:tcW w:w="1147" w:type="dxa"/>
            <w:tcBorders>
              <w:top w:val="single" w:sz="4" w:space="0" w:color="auto"/>
              <w:left w:val="single" w:sz="4" w:space="0" w:color="auto"/>
              <w:bottom w:val="single" w:sz="4" w:space="0" w:color="auto"/>
              <w:right w:val="single" w:sz="4" w:space="0" w:color="auto"/>
            </w:tcBorders>
            <w:vAlign w:val="center"/>
          </w:tcPr>
          <w:p w14:paraId="24FFE35B" w14:textId="77777777" w:rsidR="007376E1" w:rsidRPr="001570EA" w:rsidRDefault="003B5E04">
            <w:pPr>
              <w:jc w:val="center"/>
              <w:rPr>
                <w:rFonts w:ascii="Cambria Math" w:hAnsi="Cambria Math"/>
                <w:i/>
                <w:iCs/>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93" w:type="dxa"/>
            <w:tcBorders>
              <w:top w:val="single" w:sz="4" w:space="0" w:color="auto"/>
              <w:left w:val="single" w:sz="4" w:space="0" w:color="auto"/>
              <w:bottom w:val="single" w:sz="4" w:space="0" w:color="auto"/>
              <w:right w:val="single" w:sz="4" w:space="0" w:color="auto"/>
            </w:tcBorders>
            <w:vAlign w:val="center"/>
          </w:tcPr>
          <w:p w14:paraId="07C1D57B" w14:textId="5575D16E" w:rsidR="007376E1" w:rsidRPr="001570EA" w:rsidRDefault="007376E1">
            <w:pPr>
              <w:jc w:val="center"/>
              <w:rPr>
                <w:sz w:val="18"/>
                <w:szCs w:val="18"/>
              </w:rPr>
            </w:pPr>
            <w:r w:rsidRPr="001570EA">
              <w:rPr>
                <w:sz w:val="18"/>
                <w:szCs w:val="18"/>
              </w:rPr>
              <w:t>See</w:t>
            </w:r>
            <w:r w:rsidR="000F6BB9" w:rsidRPr="001570EA">
              <w:rPr>
                <w:sz w:val="18"/>
                <w:szCs w:val="18"/>
              </w:rPr>
              <w:t xml:space="preserve"> </w:t>
            </w:r>
            <w:r w:rsidR="000F6BB9" w:rsidRPr="001570EA">
              <w:rPr>
                <w:sz w:val="18"/>
                <w:szCs w:val="18"/>
              </w:rPr>
              <w:fldChar w:fldCharType="begin"/>
            </w:r>
            <w:r w:rsidR="000F6BB9" w:rsidRPr="001570EA">
              <w:rPr>
                <w:sz w:val="18"/>
                <w:szCs w:val="18"/>
              </w:rPr>
              <w:instrText xml:space="preserve"> REF _Ref163903267 \h  \* MERGEFORMAT </w:instrText>
            </w:r>
            <w:r w:rsidR="000F6BB9" w:rsidRPr="001570EA">
              <w:rPr>
                <w:sz w:val="18"/>
                <w:szCs w:val="18"/>
              </w:rPr>
            </w:r>
            <w:r w:rsidR="000F6BB9" w:rsidRPr="001570EA">
              <w:rPr>
                <w:sz w:val="18"/>
                <w:szCs w:val="18"/>
              </w:rPr>
              <w:fldChar w:fldCharType="separate"/>
            </w:r>
            <w:r w:rsidR="00384D95" w:rsidRPr="001570EA">
              <w:rPr>
                <w:sz w:val="18"/>
                <w:szCs w:val="18"/>
              </w:rPr>
              <w:t xml:space="preserve">Table </w:t>
            </w:r>
            <w:r w:rsidR="00384D95" w:rsidRPr="001570EA">
              <w:rPr>
                <w:noProof/>
                <w:sz w:val="18"/>
                <w:szCs w:val="18"/>
              </w:rPr>
              <w:t>2</w:t>
            </w:r>
            <w:r w:rsidR="00384D95" w:rsidRPr="001570EA">
              <w:rPr>
                <w:noProof/>
                <w:sz w:val="18"/>
                <w:szCs w:val="18"/>
              </w:rPr>
              <w:noBreakHyphen/>
              <w:t>13</w:t>
            </w:r>
            <w:r w:rsidR="000F6BB9" w:rsidRPr="001570EA">
              <w:rPr>
                <w:sz w:val="18"/>
                <w:szCs w:val="18"/>
              </w:rPr>
              <w:fldChar w:fldCharType="end"/>
            </w:r>
            <w:r w:rsidRPr="001570EA">
              <w:rPr>
                <w:sz w:val="18"/>
                <w:szCs w:val="18"/>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322784BC" w14:textId="77777777" w:rsidR="007376E1" w:rsidRPr="001570EA" w:rsidRDefault="007376E1">
            <w:pPr>
              <w:pStyle w:val="TableCell"/>
              <w:keepNext w:val="0"/>
              <w:spacing w:before="60" w:after="60"/>
              <w:jc w:val="center"/>
              <w:rPr>
                <w:szCs w:val="18"/>
              </w:rPr>
            </w:pPr>
            <w:r w:rsidRPr="001570EA">
              <w:rPr>
                <w:szCs w:val="18"/>
              </w:rPr>
              <w:t>8</w:t>
            </w:r>
          </w:p>
        </w:tc>
      </w:tr>
      <w:tr w:rsidR="007376E1" w:rsidRPr="001570EA" w14:paraId="1540EA7F" w14:textId="77777777">
        <w:trPr>
          <w:trHeight w:val="621"/>
        </w:trPr>
        <w:tc>
          <w:tcPr>
            <w:tcW w:w="3690" w:type="dxa"/>
            <w:tcBorders>
              <w:top w:val="single" w:sz="4" w:space="0" w:color="auto"/>
              <w:left w:val="single" w:sz="4" w:space="0" w:color="auto"/>
              <w:bottom w:val="single" w:sz="4" w:space="0" w:color="auto"/>
              <w:right w:val="single" w:sz="4" w:space="0" w:color="auto"/>
            </w:tcBorders>
            <w:vAlign w:val="center"/>
            <w:hideMark/>
          </w:tcPr>
          <w:p w14:paraId="170D7CC6" w14:textId="136AC739" w:rsidR="007376E1" w:rsidRPr="001570EA" w:rsidRDefault="007376E1">
            <w:pPr>
              <w:rPr>
                <w:sz w:val="18"/>
                <w:szCs w:val="18"/>
              </w:rPr>
            </w:pPr>
            <w:r w:rsidRPr="001570EA">
              <w:rPr>
                <w:i/>
                <w:iCs/>
                <w:sz w:val="18"/>
                <w:szCs w:val="18"/>
              </w:rPr>
              <w:t>GSOP</w:t>
            </w:r>
            <w:r w:rsidRPr="001570EA">
              <w:rPr>
                <w:sz w:val="18"/>
                <w:szCs w:val="18"/>
              </w:rPr>
              <w:t xml:space="preserve">, </w:t>
            </w:r>
            <w:r w:rsidRPr="001570EA">
              <w:rPr>
                <w:rFonts w:cs="Arial"/>
                <w:sz w:val="18"/>
                <w:szCs w:val="18"/>
              </w:rPr>
              <w:t>Factor to convert COP</w:t>
            </w:r>
            <w:r w:rsidRPr="001570EA">
              <w:rPr>
                <w:rFonts w:cs="Arial"/>
                <w:sz w:val="18"/>
                <w:szCs w:val="18"/>
                <w:vertAlign w:val="subscript"/>
              </w:rPr>
              <w:t>g</w:t>
            </w:r>
            <w:r w:rsidRPr="001570EA">
              <w:rPr>
                <w:rFonts w:cs="Arial"/>
                <w:sz w:val="18"/>
                <w:szCs w:val="18"/>
              </w:rPr>
              <w:t xml:space="preserve"> to the equivalent COP of an air-source unit to enable comparisons to the baseline unit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B7867A8" w14:textId="77777777" w:rsidR="007376E1" w:rsidRPr="001570EA" w:rsidRDefault="007376E1">
            <w:pPr>
              <w:jc w:val="center"/>
              <w:rPr>
                <w:sz w:val="18"/>
                <w:szCs w:val="18"/>
              </w:rPr>
            </w:pPr>
            <w:r w:rsidRPr="001570EA">
              <w:rPr>
                <w:i/>
                <w:iCs/>
                <w:sz w:val="18"/>
                <w:szCs w:val="18"/>
              </w:rPr>
              <w:t>Proportion</w:t>
            </w:r>
          </w:p>
        </w:tc>
        <w:tc>
          <w:tcPr>
            <w:tcW w:w="2093" w:type="dxa"/>
            <w:tcBorders>
              <w:top w:val="single" w:sz="4" w:space="0" w:color="auto"/>
              <w:left w:val="single" w:sz="4" w:space="0" w:color="auto"/>
              <w:bottom w:val="single" w:sz="4" w:space="0" w:color="auto"/>
              <w:right w:val="single" w:sz="4" w:space="0" w:color="auto"/>
            </w:tcBorders>
            <w:vAlign w:val="center"/>
            <w:hideMark/>
          </w:tcPr>
          <w:p w14:paraId="552D8CEB" w14:textId="23F058FB" w:rsidR="007376E1" w:rsidRPr="001570EA" w:rsidRDefault="007376E1">
            <w:pPr>
              <w:jc w:val="center"/>
              <w:rPr>
                <w:sz w:val="18"/>
                <w:szCs w:val="18"/>
              </w:rPr>
            </w:pPr>
            <w:r w:rsidRPr="001570EA">
              <w:rPr>
                <w:sz w:val="18"/>
                <w:szCs w:val="18"/>
              </w:rPr>
              <w:t xml:space="preserve">See </w:t>
            </w:r>
            <w:r w:rsidR="000F6BB9" w:rsidRPr="001570EA">
              <w:rPr>
                <w:sz w:val="18"/>
                <w:szCs w:val="18"/>
              </w:rPr>
              <w:fldChar w:fldCharType="begin"/>
            </w:r>
            <w:r w:rsidR="000F6BB9" w:rsidRPr="001570EA">
              <w:rPr>
                <w:sz w:val="18"/>
                <w:szCs w:val="18"/>
              </w:rPr>
              <w:instrText xml:space="preserve"> REF _Ref163903267 \h  \* MERGEFORMAT </w:instrText>
            </w:r>
            <w:r w:rsidR="000F6BB9" w:rsidRPr="001570EA">
              <w:rPr>
                <w:sz w:val="18"/>
                <w:szCs w:val="18"/>
              </w:rPr>
            </w:r>
            <w:r w:rsidR="000F6BB9" w:rsidRPr="001570EA">
              <w:rPr>
                <w:sz w:val="18"/>
                <w:szCs w:val="18"/>
              </w:rPr>
              <w:fldChar w:fldCharType="separate"/>
            </w:r>
            <w:r w:rsidR="00384D95" w:rsidRPr="001570EA">
              <w:rPr>
                <w:sz w:val="18"/>
                <w:szCs w:val="18"/>
              </w:rPr>
              <w:t xml:space="preserve">Table </w:t>
            </w:r>
            <w:r w:rsidR="00384D95" w:rsidRPr="001570EA">
              <w:rPr>
                <w:noProof/>
                <w:sz w:val="18"/>
                <w:szCs w:val="18"/>
              </w:rPr>
              <w:t>2</w:t>
            </w:r>
            <w:r w:rsidR="00384D95" w:rsidRPr="001570EA">
              <w:rPr>
                <w:noProof/>
                <w:sz w:val="18"/>
                <w:szCs w:val="18"/>
              </w:rPr>
              <w:noBreakHyphen/>
              <w:t>13</w:t>
            </w:r>
            <w:r w:rsidR="000F6BB9" w:rsidRPr="001570EA">
              <w:rPr>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4F83FAFF" w14:textId="77777777" w:rsidR="007376E1" w:rsidRPr="001570EA" w:rsidRDefault="007376E1">
            <w:pPr>
              <w:jc w:val="center"/>
              <w:rPr>
                <w:sz w:val="18"/>
                <w:szCs w:val="18"/>
              </w:rPr>
            </w:pPr>
            <w:r w:rsidRPr="001570EA">
              <w:rPr>
                <w:sz w:val="18"/>
                <w:szCs w:val="18"/>
              </w:rPr>
              <w:t>8</w:t>
            </w:r>
          </w:p>
        </w:tc>
      </w:tr>
      <w:tr w:rsidR="007376E1" w:rsidRPr="001570EA" w14:paraId="5C692EF0" w14:textId="77777777">
        <w:trPr>
          <w:trHeight w:val="104"/>
        </w:trPr>
        <w:tc>
          <w:tcPr>
            <w:tcW w:w="3690" w:type="dxa"/>
            <w:tcBorders>
              <w:top w:val="single" w:sz="4" w:space="0" w:color="auto"/>
              <w:left w:val="single" w:sz="4" w:space="0" w:color="auto"/>
              <w:bottom w:val="single" w:sz="4" w:space="0" w:color="auto"/>
              <w:right w:val="single" w:sz="4" w:space="0" w:color="auto"/>
            </w:tcBorders>
            <w:vAlign w:val="center"/>
            <w:hideMark/>
          </w:tcPr>
          <w:p w14:paraId="7670C627" w14:textId="026988E3" w:rsidR="007376E1" w:rsidRPr="001570EA" w:rsidRDefault="007376E1">
            <w:pPr>
              <w:rPr>
                <w:sz w:val="18"/>
                <w:szCs w:val="18"/>
              </w:rPr>
            </w:pPr>
            <w:r w:rsidRPr="001570EA">
              <w:rPr>
                <w:i/>
                <w:iCs/>
                <w:sz w:val="18"/>
                <w:szCs w:val="18"/>
              </w:rPr>
              <w:t>EFLH</w:t>
            </w:r>
            <w:r w:rsidRPr="001570EA">
              <w:rPr>
                <w:i/>
                <w:iCs/>
                <w:sz w:val="18"/>
                <w:szCs w:val="18"/>
                <w:vertAlign w:val="subscript"/>
              </w:rPr>
              <w:t>cool</w:t>
            </w:r>
            <w:r w:rsidRPr="001570EA">
              <w:rPr>
                <w:sz w:val="18"/>
                <w:szCs w:val="18"/>
              </w:rPr>
              <w:t xml:space="preserve">, </w:t>
            </w:r>
            <w:r w:rsidRPr="001570EA">
              <w:rPr>
                <w:rFonts w:cs="Arial"/>
                <w:sz w:val="18"/>
                <w:szCs w:val="18"/>
              </w:rPr>
              <w:t>Equivalent Full Load Hours of operation during the cooling season for the average unit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F6EB2F6" w14:textId="77777777" w:rsidR="007376E1" w:rsidRPr="001570EA" w:rsidRDefault="003B5E04">
            <w:pPr>
              <w:jc w:val="center"/>
              <w:rPr>
                <w:rFonts w:ascii="Cambria Math" w:hAnsi="Cambria Math"/>
                <w:sz w:val="18"/>
                <w:szCs w:val="18"/>
              </w:rPr>
            </w:pPr>
            <m:oMathPara>
              <m:oMath>
                <m:f>
                  <m:fPr>
                    <m:ctrlPr>
                      <w:rPr>
                        <w:rFonts w:ascii="Cambria Math" w:hAnsi="Cambria Math"/>
                        <w:i/>
                        <w:sz w:val="18"/>
                        <w:szCs w:val="18"/>
                      </w:rPr>
                    </m:ctrlPr>
                  </m:fPr>
                  <m:num>
                    <m:r>
                      <w:rPr>
                        <w:rFonts w:ascii="Cambria Math" w:hAnsi="Cambria Math"/>
                        <w:sz w:val="18"/>
                        <w:szCs w:val="18"/>
                      </w:rPr>
                      <m:t>hours</m:t>
                    </m:r>
                  </m:num>
                  <m:den>
                    <m:r>
                      <w:rPr>
                        <w:rFonts w:ascii="Cambria Math" w:hAnsi="Cambria Math"/>
                        <w:sz w:val="18"/>
                        <w:szCs w:val="18"/>
                      </w:rPr>
                      <m:t>yr</m:t>
                    </m:r>
                  </m:den>
                </m:f>
              </m:oMath>
            </m:oMathPara>
          </w:p>
        </w:tc>
        <w:tc>
          <w:tcPr>
            <w:tcW w:w="2093" w:type="dxa"/>
            <w:tcBorders>
              <w:top w:val="single" w:sz="4" w:space="0" w:color="auto"/>
              <w:left w:val="single" w:sz="4" w:space="0" w:color="auto"/>
              <w:bottom w:val="single" w:sz="4" w:space="0" w:color="auto"/>
              <w:right w:val="single" w:sz="4" w:space="0" w:color="auto"/>
            </w:tcBorders>
            <w:vAlign w:val="center"/>
            <w:hideMark/>
          </w:tcPr>
          <w:p w14:paraId="34D47DAE" w14:textId="77777777" w:rsidR="007376E1" w:rsidRPr="001570EA" w:rsidRDefault="007376E1">
            <w:pPr>
              <w:ind w:left="51" w:firstLine="3"/>
              <w:jc w:val="center"/>
              <w:rPr>
                <w:sz w:val="18"/>
                <w:szCs w:val="18"/>
              </w:rPr>
            </w:pPr>
            <w:r w:rsidRPr="001570EA">
              <w:rPr>
                <w:sz w:val="18"/>
                <w:szCs w:val="18"/>
              </w:rPr>
              <w:t xml:space="preserve">See </w:t>
            </w:r>
            <w:r w:rsidRPr="001570EA">
              <w:rPr>
                <w:i/>
                <w:sz w:val="18"/>
                <w:szCs w:val="18"/>
              </w:rPr>
              <w:t>EFLH</w:t>
            </w:r>
            <w:r w:rsidRPr="001570EA">
              <w:rPr>
                <w:i/>
                <w:sz w:val="18"/>
                <w:szCs w:val="18"/>
                <w:vertAlign w:val="subscript"/>
              </w:rPr>
              <w:t>cool</w:t>
            </w:r>
            <w:r w:rsidRPr="001570EA">
              <w:rPr>
                <w:sz w:val="18"/>
                <w:szCs w:val="18"/>
              </w:rPr>
              <w:t xml:space="preserve"> in Vol. 1, App. 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6E64EC8" w14:textId="77777777" w:rsidR="007376E1" w:rsidRPr="001570EA" w:rsidRDefault="007376E1">
            <w:pPr>
              <w:jc w:val="center"/>
              <w:rPr>
                <w:sz w:val="18"/>
                <w:szCs w:val="18"/>
              </w:rPr>
            </w:pPr>
            <w:r w:rsidRPr="001570EA">
              <w:rPr>
                <w:sz w:val="18"/>
                <w:szCs w:val="18"/>
              </w:rPr>
              <w:t>9</w:t>
            </w:r>
          </w:p>
        </w:tc>
      </w:tr>
      <w:tr w:rsidR="007376E1" w:rsidRPr="001570EA" w14:paraId="3C203089" w14:textId="77777777">
        <w:trPr>
          <w:trHeight w:val="104"/>
        </w:trPr>
        <w:tc>
          <w:tcPr>
            <w:tcW w:w="3690" w:type="dxa"/>
            <w:tcBorders>
              <w:top w:val="single" w:sz="4" w:space="0" w:color="auto"/>
              <w:left w:val="single" w:sz="4" w:space="0" w:color="auto"/>
              <w:bottom w:val="single" w:sz="4" w:space="0" w:color="auto"/>
              <w:right w:val="single" w:sz="4" w:space="0" w:color="auto"/>
            </w:tcBorders>
            <w:vAlign w:val="center"/>
            <w:hideMark/>
          </w:tcPr>
          <w:p w14:paraId="4A3A96B0" w14:textId="25B52244" w:rsidR="007376E1" w:rsidRPr="001570EA" w:rsidRDefault="007376E1">
            <w:pPr>
              <w:rPr>
                <w:sz w:val="18"/>
                <w:szCs w:val="18"/>
              </w:rPr>
            </w:pPr>
            <w:r w:rsidRPr="001570EA">
              <w:rPr>
                <w:i/>
                <w:iCs/>
                <w:sz w:val="18"/>
                <w:szCs w:val="18"/>
              </w:rPr>
              <w:t>EFLH</w:t>
            </w:r>
            <w:r w:rsidRPr="001570EA">
              <w:rPr>
                <w:i/>
                <w:iCs/>
                <w:sz w:val="18"/>
                <w:szCs w:val="18"/>
                <w:vertAlign w:val="subscript"/>
              </w:rPr>
              <w:t>heat</w:t>
            </w:r>
            <w:r w:rsidRPr="001570EA">
              <w:rPr>
                <w:sz w:val="18"/>
                <w:szCs w:val="18"/>
                <w:vertAlign w:val="subscript"/>
              </w:rPr>
              <w:t xml:space="preserve">, </w:t>
            </w:r>
            <w:r w:rsidRPr="001570EA">
              <w:rPr>
                <w:rFonts w:cs="Arial"/>
                <w:sz w:val="18"/>
                <w:szCs w:val="18"/>
              </w:rPr>
              <w:t>Equivalent Full Load Hours of operation during the heating season for the average unit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4B3AE30" w14:textId="77777777" w:rsidR="007376E1" w:rsidRPr="001570EA" w:rsidRDefault="003B5E04">
            <w:pPr>
              <w:jc w:val="center"/>
              <w:rPr>
                <w:rFonts w:ascii="Cambria Math" w:hAnsi="Cambria Math"/>
                <w:sz w:val="18"/>
                <w:szCs w:val="18"/>
              </w:rPr>
            </w:pPr>
            <m:oMathPara>
              <m:oMath>
                <m:f>
                  <m:fPr>
                    <m:ctrlPr>
                      <w:rPr>
                        <w:rFonts w:ascii="Cambria Math" w:hAnsi="Cambria Math"/>
                        <w:i/>
                        <w:sz w:val="18"/>
                        <w:szCs w:val="18"/>
                      </w:rPr>
                    </m:ctrlPr>
                  </m:fPr>
                  <m:num>
                    <m:r>
                      <w:rPr>
                        <w:rFonts w:ascii="Cambria Math" w:hAnsi="Cambria Math"/>
                        <w:sz w:val="18"/>
                        <w:szCs w:val="18"/>
                      </w:rPr>
                      <m:t>hours</m:t>
                    </m:r>
                  </m:num>
                  <m:den>
                    <m:r>
                      <w:rPr>
                        <w:rFonts w:ascii="Cambria Math" w:hAnsi="Cambria Math"/>
                        <w:sz w:val="18"/>
                        <w:szCs w:val="18"/>
                      </w:rPr>
                      <m:t>yr</m:t>
                    </m:r>
                  </m:den>
                </m:f>
              </m:oMath>
            </m:oMathPara>
          </w:p>
        </w:tc>
        <w:tc>
          <w:tcPr>
            <w:tcW w:w="2093" w:type="dxa"/>
            <w:tcBorders>
              <w:top w:val="single" w:sz="4" w:space="0" w:color="auto"/>
              <w:left w:val="single" w:sz="4" w:space="0" w:color="auto"/>
              <w:bottom w:val="single" w:sz="4" w:space="0" w:color="auto"/>
              <w:right w:val="single" w:sz="4" w:space="0" w:color="auto"/>
            </w:tcBorders>
            <w:vAlign w:val="center"/>
            <w:hideMark/>
          </w:tcPr>
          <w:p w14:paraId="3C2E2F85" w14:textId="77777777" w:rsidR="007376E1" w:rsidRPr="001570EA" w:rsidRDefault="007376E1">
            <w:pPr>
              <w:ind w:firstLine="54"/>
              <w:jc w:val="center"/>
              <w:rPr>
                <w:sz w:val="18"/>
                <w:szCs w:val="18"/>
              </w:rPr>
            </w:pPr>
            <w:r w:rsidRPr="001570EA">
              <w:rPr>
                <w:sz w:val="18"/>
                <w:szCs w:val="18"/>
              </w:rPr>
              <w:t xml:space="preserve">See </w:t>
            </w:r>
            <w:r w:rsidRPr="001570EA">
              <w:rPr>
                <w:i/>
                <w:sz w:val="18"/>
                <w:szCs w:val="18"/>
              </w:rPr>
              <w:t>EFLH</w:t>
            </w:r>
            <w:r w:rsidRPr="001570EA">
              <w:rPr>
                <w:i/>
                <w:sz w:val="18"/>
                <w:szCs w:val="18"/>
                <w:vertAlign w:val="subscript"/>
              </w:rPr>
              <w:t>heat</w:t>
            </w:r>
            <w:r w:rsidRPr="001570EA">
              <w:rPr>
                <w:sz w:val="18"/>
                <w:szCs w:val="18"/>
              </w:rPr>
              <w:t xml:space="preserve"> in Vol. 1, App. 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2E1D11D" w14:textId="77777777" w:rsidR="007376E1" w:rsidRPr="001570EA" w:rsidRDefault="007376E1">
            <w:pPr>
              <w:jc w:val="center"/>
              <w:rPr>
                <w:sz w:val="18"/>
                <w:szCs w:val="18"/>
              </w:rPr>
            </w:pPr>
            <w:r w:rsidRPr="001570EA">
              <w:rPr>
                <w:sz w:val="18"/>
                <w:szCs w:val="18"/>
              </w:rPr>
              <w:t>9</w:t>
            </w:r>
          </w:p>
        </w:tc>
      </w:tr>
      <w:tr w:rsidR="007376E1" w:rsidRPr="001570EA" w14:paraId="14DD5A75" w14:textId="77777777">
        <w:trPr>
          <w:trHeight w:val="621"/>
        </w:trPr>
        <w:tc>
          <w:tcPr>
            <w:tcW w:w="3690" w:type="dxa"/>
            <w:tcBorders>
              <w:top w:val="single" w:sz="4" w:space="0" w:color="auto"/>
              <w:left w:val="single" w:sz="4" w:space="0" w:color="auto"/>
              <w:bottom w:val="single" w:sz="4" w:space="0" w:color="auto"/>
              <w:right w:val="single" w:sz="4" w:space="0" w:color="auto"/>
            </w:tcBorders>
            <w:vAlign w:val="center"/>
            <w:hideMark/>
          </w:tcPr>
          <w:p w14:paraId="39F2B9EF" w14:textId="30F04E38" w:rsidR="007376E1" w:rsidRPr="001570EA" w:rsidRDefault="003B5E04">
            <w:pPr>
              <w:rPr>
                <w:sz w:val="18"/>
                <w:szCs w:val="18"/>
              </w:rPr>
            </w:pPr>
            <m:oMath>
              <m:sSub>
                <m:sSubPr>
                  <m:ctrlPr>
                    <w:rPr>
                      <w:rFonts w:ascii="Cambria Math" w:hAnsi="Cambria Math" w:cs="Arial"/>
                      <w:sz w:val="18"/>
                      <w:szCs w:val="18"/>
                    </w:rPr>
                  </m:ctrlPr>
                </m:sSubPr>
                <m:e>
                  <m:r>
                    <w:rPr>
                      <w:rFonts w:ascii="Cambria Math" w:hAnsi="Cambria Math" w:cs="Arial"/>
                      <w:sz w:val="18"/>
                      <w:szCs w:val="18"/>
                    </w:rPr>
                    <m:t>CF</m:t>
                  </m:r>
                </m:e>
                <m:sub>
                  <m:r>
                    <w:rPr>
                      <w:rFonts w:ascii="Cambria Math" w:hAnsi="Cambria Math" w:cs="Arial"/>
                      <w:sz w:val="18"/>
                      <w:szCs w:val="18"/>
                    </w:rPr>
                    <m:t>summer</m:t>
                  </m:r>
                </m:sub>
              </m:sSub>
            </m:oMath>
            <w:r w:rsidR="007376E1" w:rsidRPr="001570EA">
              <w:rPr>
                <w:sz w:val="18"/>
                <w:szCs w:val="18"/>
              </w:rPr>
              <w:t>, Demand Coincidence Factor during the summer months</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FD3C836" w14:textId="77777777" w:rsidR="007376E1" w:rsidRPr="001570EA" w:rsidRDefault="007376E1">
            <w:pPr>
              <w:jc w:val="center"/>
              <w:rPr>
                <w:sz w:val="18"/>
                <w:szCs w:val="18"/>
              </w:rPr>
            </w:pPr>
            <w:r w:rsidRPr="001570EA">
              <w:rPr>
                <w:i/>
                <w:iCs/>
                <w:sz w:val="18"/>
                <w:szCs w:val="18"/>
              </w:rPr>
              <w:t>Proportion</w:t>
            </w:r>
          </w:p>
        </w:tc>
        <w:tc>
          <w:tcPr>
            <w:tcW w:w="2093" w:type="dxa"/>
            <w:tcBorders>
              <w:top w:val="single" w:sz="4" w:space="0" w:color="auto"/>
              <w:left w:val="single" w:sz="4" w:space="0" w:color="auto"/>
              <w:bottom w:val="single" w:sz="4" w:space="0" w:color="auto"/>
              <w:right w:val="single" w:sz="4" w:space="0" w:color="auto"/>
            </w:tcBorders>
            <w:vAlign w:val="center"/>
            <w:hideMark/>
          </w:tcPr>
          <w:p w14:paraId="6AB496E8" w14:textId="77777777" w:rsidR="007376E1" w:rsidRPr="001570EA" w:rsidRDefault="007376E1">
            <w:pPr>
              <w:jc w:val="center"/>
              <w:rPr>
                <w:sz w:val="18"/>
                <w:szCs w:val="18"/>
              </w:rPr>
            </w:pPr>
            <w:r w:rsidRPr="001570EA">
              <w:rPr>
                <w:sz w:val="18"/>
                <w:szCs w:val="18"/>
              </w:rPr>
              <w:t xml:space="preserve">See </w:t>
            </w:r>
            <w:r w:rsidRPr="001570EA">
              <w:rPr>
                <w:i/>
                <w:sz w:val="18"/>
                <w:szCs w:val="18"/>
              </w:rPr>
              <w:t>CF</w:t>
            </w:r>
            <w:r w:rsidRPr="001570EA">
              <w:rPr>
                <w:sz w:val="18"/>
                <w:szCs w:val="18"/>
              </w:rPr>
              <w:t xml:space="preserve"> in Vol. 1, App. 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D0E3393" w14:textId="77777777" w:rsidR="007376E1" w:rsidRPr="001570EA" w:rsidRDefault="007376E1">
            <w:pPr>
              <w:jc w:val="center"/>
              <w:rPr>
                <w:sz w:val="18"/>
                <w:szCs w:val="18"/>
              </w:rPr>
            </w:pPr>
            <w:r w:rsidRPr="001570EA">
              <w:rPr>
                <w:sz w:val="18"/>
                <w:szCs w:val="18"/>
              </w:rPr>
              <w:t>9</w:t>
            </w:r>
          </w:p>
        </w:tc>
      </w:tr>
      <w:tr w:rsidR="007376E1" w:rsidRPr="001570EA" w14:paraId="5586E79E" w14:textId="77777777">
        <w:trPr>
          <w:trHeight w:val="621"/>
        </w:trPr>
        <w:tc>
          <w:tcPr>
            <w:tcW w:w="3690" w:type="dxa"/>
            <w:tcBorders>
              <w:top w:val="single" w:sz="4" w:space="0" w:color="auto"/>
              <w:left w:val="single" w:sz="4" w:space="0" w:color="auto"/>
              <w:bottom w:val="single" w:sz="4" w:space="0" w:color="auto"/>
              <w:right w:val="single" w:sz="4" w:space="0" w:color="auto"/>
            </w:tcBorders>
            <w:vAlign w:val="center"/>
          </w:tcPr>
          <w:p w14:paraId="0AE3FBFF" w14:textId="0DF577B7" w:rsidR="007376E1" w:rsidRPr="001570EA" w:rsidRDefault="003B5E04">
            <w:pPr>
              <w:rPr>
                <w:sz w:val="18"/>
                <w:szCs w:val="18"/>
              </w:rPr>
            </w:pPr>
            <m:oMath>
              <m:sSub>
                <m:sSubPr>
                  <m:ctrlPr>
                    <w:rPr>
                      <w:rFonts w:ascii="Cambria Math" w:hAnsi="Cambria Math" w:cs="Arial"/>
                      <w:sz w:val="18"/>
                      <w:szCs w:val="18"/>
                    </w:rPr>
                  </m:ctrlPr>
                </m:sSubPr>
                <m:e>
                  <m:r>
                    <w:rPr>
                      <w:rFonts w:ascii="Cambria Math" w:hAnsi="Cambria Math" w:cs="Arial"/>
                      <w:sz w:val="18"/>
                      <w:szCs w:val="18"/>
                    </w:rPr>
                    <m:t>CF</m:t>
                  </m:r>
                </m:e>
                <m:sub>
                  <m:r>
                    <w:rPr>
                      <w:rFonts w:ascii="Cambria Math" w:hAnsi="Cambria Math" w:cs="Arial"/>
                      <w:sz w:val="18"/>
                      <w:szCs w:val="18"/>
                    </w:rPr>
                    <m:t>winter</m:t>
                  </m:r>
                </m:sub>
              </m:sSub>
            </m:oMath>
            <w:r w:rsidR="007376E1" w:rsidRPr="001570EA">
              <w:rPr>
                <w:sz w:val="18"/>
                <w:szCs w:val="18"/>
              </w:rPr>
              <w:t>, Demand Coincidence Factor during the winter months</w:t>
            </w:r>
          </w:p>
        </w:tc>
        <w:tc>
          <w:tcPr>
            <w:tcW w:w="1147" w:type="dxa"/>
            <w:tcBorders>
              <w:top w:val="single" w:sz="4" w:space="0" w:color="auto"/>
              <w:left w:val="single" w:sz="4" w:space="0" w:color="auto"/>
              <w:bottom w:val="single" w:sz="4" w:space="0" w:color="auto"/>
              <w:right w:val="single" w:sz="4" w:space="0" w:color="auto"/>
            </w:tcBorders>
            <w:vAlign w:val="center"/>
          </w:tcPr>
          <w:p w14:paraId="67470FAB" w14:textId="77777777" w:rsidR="007376E1" w:rsidRPr="001570EA" w:rsidRDefault="007376E1">
            <w:pPr>
              <w:jc w:val="center"/>
              <w:rPr>
                <w:i/>
                <w:iCs/>
                <w:sz w:val="18"/>
                <w:szCs w:val="18"/>
              </w:rPr>
            </w:pPr>
            <w:r w:rsidRPr="001570EA">
              <w:rPr>
                <w:i/>
                <w:iCs/>
                <w:sz w:val="18"/>
                <w:szCs w:val="18"/>
              </w:rPr>
              <w:t>Proportion</w:t>
            </w:r>
          </w:p>
        </w:tc>
        <w:tc>
          <w:tcPr>
            <w:tcW w:w="2093" w:type="dxa"/>
            <w:tcBorders>
              <w:top w:val="single" w:sz="4" w:space="0" w:color="auto"/>
              <w:left w:val="single" w:sz="4" w:space="0" w:color="auto"/>
              <w:bottom w:val="single" w:sz="4" w:space="0" w:color="auto"/>
              <w:right w:val="single" w:sz="4" w:space="0" w:color="auto"/>
            </w:tcBorders>
            <w:vAlign w:val="center"/>
          </w:tcPr>
          <w:p w14:paraId="2C310F81" w14:textId="77777777" w:rsidR="007376E1" w:rsidRPr="001570EA" w:rsidRDefault="007376E1">
            <w:pPr>
              <w:jc w:val="center"/>
              <w:rPr>
                <w:sz w:val="18"/>
                <w:szCs w:val="18"/>
              </w:rPr>
            </w:pPr>
            <w:r w:rsidRPr="001570EA">
              <w:rPr>
                <w:sz w:val="18"/>
                <w:szCs w:val="18"/>
              </w:rPr>
              <w:t xml:space="preserve">See </w:t>
            </w:r>
            <w:r w:rsidRPr="001570EA">
              <w:rPr>
                <w:i/>
                <w:sz w:val="18"/>
                <w:szCs w:val="18"/>
              </w:rPr>
              <w:t>CF</w:t>
            </w:r>
            <w:r w:rsidRPr="001570EA">
              <w:rPr>
                <w:sz w:val="18"/>
                <w:szCs w:val="18"/>
              </w:rPr>
              <w:t xml:space="preserve"> in Vol. 1, App. A</w:t>
            </w:r>
          </w:p>
        </w:tc>
        <w:tc>
          <w:tcPr>
            <w:tcW w:w="1710" w:type="dxa"/>
            <w:tcBorders>
              <w:top w:val="single" w:sz="4" w:space="0" w:color="auto"/>
              <w:left w:val="single" w:sz="4" w:space="0" w:color="auto"/>
              <w:bottom w:val="single" w:sz="4" w:space="0" w:color="auto"/>
              <w:right w:val="single" w:sz="4" w:space="0" w:color="auto"/>
            </w:tcBorders>
            <w:vAlign w:val="center"/>
          </w:tcPr>
          <w:p w14:paraId="712C8F6B" w14:textId="77777777" w:rsidR="007376E1" w:rsidRPr="001570EA" w:rsidRDefault="007376E1">
            <w:pPr>
              <w:jc w:val="center"/>
              <w:rPr>
                <w:sz w:val="18"/>
                <w:szCs w:val="18"/>
              </w:rPr>
            </w:pPr>
            <w:r w:rsidRPr="001570EA">
              <w:rPr>
                <w:sz w:val="18"/>
                <w:szCs w:val="18"/>
              </w:rPr>
              <w:t>9</w:t>
            </w:r>
          </w:p>
        </w:tc>
      </w:tr>
    </w:tbl>
    <w:p w14:paraId="5FA67CDF" w14:textId="77777777" w:rsidR="00242D94" w:rsidRPr="001570EA" w:rsidRDefault="00242D94" w:rsidP="007376E1"/>
    <w:p w14:paraId="33707A08" w14:textId="0A452DB3" w:rsidR="007376E1" w:rsidRPr="001570EA" w:rsidRDefault="007376E1" w:rsidP="007376E1">
      <w:r w:rsidRPr="001570EA">
        <w:t>Note: Where appropriate, nameplate data collected for usage in savings calculations (i.e., SEER, EER, HSPF) should be converted to new efficiency metrics (i.e., SEER2, EER2, HSPF2) using conversion equations laid out in Vol. 1 App. A</w:t>
      </w:r>
      <w:r w:rsidR="001973AE" w:rsidRPr="001570EA">
        <w:t>.</w:t>
      </w:r>
    </w:p>
    <w:p w14:paraId="7D065261" w14:textId="77777777" w:rsidR="007376E1" w:rsidRPr="001570EA" w:rsidRDefault="007376E1" w:rsidP="007376E1"/>
    <w:p w14:paraId="76934C65" w14:textId="1BE72C8D" w:rsidR="007376E1" w:rsidRPr="001570EA" w:rsidRDefault="007376E1" w:rsidP="007376E1">
      <w:pPr>
        <w:pStyle w:val="Caption"/>
      </w:pPr>
      <w:bookmarkStart w:id="188" w:name="_Ref531779526"/>
      <w:bookmarkStart w:id="189" w:name="_Toc4759825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10</w:t>
      </w:r>
      <w:r w:rsidR="002E093A" w:rsidRPr="001570EA">
        <w:fldChar w:fldCharType="end"/>
      </w:r>
      <w:bookmarkEnd w:id="188"/>
      <w:r w:rsidRPr="001570EA">
        <w:t>: Default Baseline Equipment Efficiency for High Efficiency Equipment</w:t>
      </w:r>
      <w:bookmarkEnd w:id="189"/>
      <w:r w:rsidRPr="001570EA">
        <w:t xml:space="preserve"> </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990"/>
        <w:gridCol w:w="1080"/>
        <w:gridCol w:w="1035"/>
        <w:gridCol w:w="1070"/>
        <w:gridCol w:w="990"/>
        <w:gridCol w:w="1080"/>
        <w:gridCol w:w="960"/>
        <w:gridCol w:w="1070"/>
        <w:gridCol w:w="987"/>
      </w:tblGrid>
      <w:tr w:rsidR="007376E1" w:rsidRPr="001570EA" w14:paraId="76518A5B" w14:textId="77777777" w:rsidTr="001973AE">
        <w:trPr>
          <w:trHeight w:val="395"/>
        </w:trPr>
        <w:tc>
          <w:tcPr>
            <w:tcW w:w="1350" w:type="dxa"/>
            <w:gridSpan w:val="2"/>
            <w:vMerge w:val="restart"/>
            <w:tcBorders>
              <w:top w:val="single" w:sz="4" w:space="0" w:color="auto"/>
              <w:left w:val="single" w:sz="4" w:space="0" w:color="auto"/>
            </w:tcBorders>
            <w:shd w:val="clear" w:color="auto" w:fill="BFBFBF" w:themeFill="background1" w:themeFillShade="BF"/>
            <w:vAlign w:val="center"/>
          </w:tcPr>
          <w:p w14:paraId="0BE6B3F5" w14:textId="77777777" w:rsidR="007376E1" w:rsidRPr="001570EA" w:rsidRDefault="007376E1">
            <w:pPr>
              <w:jc w:val="left"/>
              <w:rPr>
                <w:rFonts w:cs="Arial"/>
                <w:b/>
                <w:bCs/>
                <w:color w:val="000000"/>
                <w:sz w:val="18"/>
                <w:szCs w:val="18"/>
              </w:rPr>
            </w:pPr>
            <w:r w:rsidRPr="001570EA">
              <w:rPr>
                <w:rFonts w:cs="Arial"/>
                <w:b/>
                <w:bCs/>
                <w:color w:val="000000"/>
                <w:sz w:val="18"/>
                <w:szCs w:val="18"/>
              </w:rPr>
              <w:t>Baseline Equip.</w:t>
            </w:r>
          </w:p>
        </w:tc>
        <w:tc>
          <w:tcPr>
            <w:tcW w:w="4175" w:type="dxa"/>
            <w:gridSpan w:val="4"/>
            <w:tcBorders>
              <w:top w:val="single" w:sz="4" w:space="0" w:color="auto"/>
            </w:tcBorders>
            <w:shd w:val="clear" w:color="auto" w:fill="BFBFBF" w:themeFill="background1" w:themeFillShade="BF"/>
            <w:vAlign w:val="center"/>
          </w:tcPr>
          <w:p w14:paraId="2C927BD2" w14:textId="77777777" w:rsidR="007376E1" w:rsidRPr="001570EA" w:rsidRDefault="007376E1">
            <w:pPr>
              <w:jc w:val="center"/>
              <w:rPr>
                <w:rFonts w:cs="Arial"/>
                <w:b/>
                <w:bCs/>
                <w:color w:val="000000"/>
                <w:sz w:val="18"/>
                <w:szCs w:val="18"/>
              </w:rPr>
            </w:pPr>
            <w:r w:rsidRPr="001570EA">
              <w:rPr>
                <w:rFonts w:cs="Arial"/>
                <w:b/>
                <w:bCs/>
                <w:color w:val="000000"/>
                <w:sz w:val="18"/>
                <w:szCs w:val="18"/>
              </w:rPr>
              <w:t>Early Replacement</w:t>
            </w:r>
          </w:p>
        </w:tc>
        <w:tc>
          <w:tcPr>
            <w:tcW w:w="4097" w:type="dxa"/>
            <w:gridSpan w:val="4"/>
            <w:shd w:val="clear" w:color="auto" w:fill="BFBFBF" w:themeFill="background1" w:themeFillShade="BF"/>
            <w:vAlign w:val="center"/>
          </w:tcPr>
          <w:p w14:paraId="0AA4FB83" w14:textId="77777777" w:rsidR="007376E1" w:rsidRPr="001570EA" w:rsidRDefault="007376E1">
            <w:pPr>
              <w:jc w:val="center"/>
              <w:rPr>
                <w:rFonts w:cs="Arial"/>
                <w:b/>
                <w:bCs/>
                <w:color w:val="000000"/>
                <w:sz w:val="18"/>
                <w:szCs w:val="18"/>
              </w:rPr>
            </w:pPr>
            <w:r w:rsidRPr="001570EA">
              <w:rPr>
                <w:rFonts w:cs="Arial"/>
                <w:b/>
                <w:bCs/>
                <w:color w:val="000000"/>
                <w:sz w:val="18"/>
                <w:szCs w:val="18"/>
              </w:rPr>
              <w:t>Replace on Burnout / New Construction</w:t>
            </w:r>
          </w:p>
        </w:tc>
      </w:tr>
      <w:tr w:rsidR="007376E1" w:rsidRPr="001570EA" w14:paraId="5943193A" w14:textId="77777777" w:rsidTr="001973AE">
        <w:trPr>
          <w:trHeight w:val="395"/>
        </w:trPr>
        <w:tc>
          <w:tcPr>
            <w:tcW w:w="1350" w:type="dxa"/>
            <w:gridSpan w:val="2"/>
            <w:vMerge/>
            <w:tcBorders>
              <w:left w:val="single" w:sz="4" w:space="0" w:color="auto"/>
            </w:tcBorders>
            <w:shd w:val="clear" w:color="auto" w:fill="BFBFBF" w:themeFill="background1" w:themeFillShade="BF"/>
            <w:hideMark/>
          </w:tcPr>
          <w:p w14:paraId="3135C6FC" w14:textId="77777777" w:rsidR="007376E1" w:rsidRPr="001570EA" w:rsidRDefault="007376E1">
            <w:pPr>
              <w:jc w:val="left"/>
              <w:rPr>
                <w:rFonts w:cs="Arial"/>
                <w:b/>
                <w:bCs/>
                <w:color w:val="000000"/>
                <w:sz w:val="18"/>
                <w:szCs w:val="18"/>
              </w:rPr>
            </w:pPr>
          </w:p>
        </w:tc>
        <w:tc>
          <w:tcPr>
            <w:tcW w:w="1080" w:type="dxa"/>
            <w:shd w:val="clear" w:color="auto" w:fill="BFBFBF" w:themeFill="background1" w:themeFillShade="BF"/>
            <w:vAlign w:val="center"/>
            <w:hideMark/>
          </w:tcPr>
          <w:p w14:paraId="771F8A2F"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SEER2</w:t>
            </w:r>
            <w:r w:rsidRPr="001570EA">
              <w:rPr>
                <w:rFonts w:cs="Arial"/>
                <w:b/>
                <w:bCs/>
                <w:i/>
                <w:iCs/>
                <w:color w:val="000000"/>
                <w:sz w:val="18"/>
                <w:szCs w:val="18"/>
                <w:vertAlign w:val="subscript"/>
              </w:rPr>
              <w:t>base</w:t>
            </w:r>
          </w:p>
        </w:tc>
        <w:tc>
          <w:tcPr>
            <w:tcW w:w="1035" w:type="dxa"/>
            <w:shd w:val="clear" w:color="auto" w:fill="BFBFBF" w:themeFill="background1" w:themeFillShade="BF"/>
            <w:vAlign w:val="center"/>
            <w:hideMark/>
          </w:tcPr>
          <w:p w14:paraId="100528B6"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EER2</w:t>
            </w:r>
            <w:r w:rsidRPr="001570EA">
              <w:rPr>
                <w:rFonts w:cs="Arial"/>
                <w:b/>
                <w:bCs/>
                <w:i/>
                <w:iCs/>
                <w:color w:val="000000"/>
                <w:sz w:val="18"/>
                <w:szCs w:val="18"/>
                <w:vertAlign w:val="subscript"/>
              </w:rPr>
              <w:t>base</w:t>
            </w:r>
          </w:p>
        </w:tc>
        <w:tc>
          <w:tcPr>
            <w:tcW w:w="1070" w:type="dxa"/>
            <w:shd w:val="clear" w:color="auto" w:fill="BFBFBF" w:themeFill="background1" w:themeFillShade="BF"/>
            <w:vAlign w:val="center"/>
            <w:hideMark/>
          </w:tcPr>
          <w:p w14:paraId="30F77681"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HSPF2</w:t>
            </w:r>
            <w:r w:rsidRPr="001570EA">
              <w:rPr>
                <w:rFonts w:cs="Arial"/>
                <w:b/>
                <w:bCs/>
                <w:i/>
                <w:iCs/>
                <w:color w:val="000000"/>
                <w:sz w:val="18"/>
                <w:szCs w:val="18"/>
                <w:vertAlign w:val="subscript"/>
              </w:rPr>
              <w:t>base</w:t>
            </w:r>
          </w:p>
        </w:tc>
        <w:tc>
          <w:tcPr>
            <w:tcW w:w="990" w:type="dxa"/>
            <w:shd w:val="clear" w:color="auto" w:fill="BFBFBF" w:themeFill="background1" w:themeFillShade="BF"/>
            <w:vAlign w:val="center"/>
            <w:hideMark/>
          </w:tcPr>
          <w:p w14:paraId="208A0908"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COP</w:t>
            </w:r>
            <w:r w:rsidRPr="001570EA">
              <w:rPr>
                <w:rFonts w:cs="Arial"/>
                <w:b/>
                <w:bCs/>
                <w:i/>
                <w:iCs/>
                <w:color w:val="000000"/>
                <w:sz w:val="18"/>
                <w:szCs w:val="18"/>
                <w:vertAlign w:val="subscript"/>
              </w:rPr>
              <w:t>base</w:t>
            </w:r>
          </w:p>
        </w:tc>
        <w:tc>
          <w:tcPr>
            <w:tcW w:w="1080" w:type="dxa"/>
            <w:shd w:val="clear" w:color="auto" w:fill="BFBFBF" w:themeFill="background1" w:themeFillShade="BF"/>
            <w:vAlign w:val="center"/>
            <w:hideMark/>
          </w:tcPr>
          <w:p w14:paraId="6A894D66"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SEER2</w:t>
            </w:r>
            <w:r w:rsidRPr="001570EA">
              <w:rPr>
                <w:rFonts w:cs="Arial"/>
                <w:b/>
                <w:bCs/>
                <w:i/>
                <w:iCs/>
                <w:color w:val="000000"/>
                <w:sz w:val="18"/>
                <w:szCs w:val="18"/>
                <w:vertAlign w:val="subscript"/>
              </w:rPr>
              <w:t>base</w:t>
            </w:r>
          </w:p>
        </w:tc>
        <w:tc>
          <w:tcPr>
            <w:tcW w:w="960" w:type="dxa"/>
            <w:shd w:val="clear" w:color="auto" w:fill="BFBFBF" w:themeFill="background1" w:themeFillShade="BF"/>
            <w:vAlign w:val="center"/>
            <w:hideMark/>
          </w:tcPr>
          <w:p w14:paraId="306B2590"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EER2</w:t>
            </w:r>
            <w:r w:rsidRPr="001570EA">
              <w:rPr>
                <w:rFonts w:cs="Arial"/>
                <w:b/>
                <w:bCs/>
                <w:i/>
                <w:iCs/>
                <w:color w:val="000000"/>
                <w:sz w:val="18"/>
                <w:szCs w:val="18"/>
                <w:vertAlign w:val="subscript"/>
              </w:rPr>
              <w:t>base</w:t>
            </w:r>
          </w:p>
        </w:tc>
        <w:tc>
          <w:tcPr>
            <w:tcW w:w="1070" w:type="dxa"/>
            <w:shd w:val="clear" w:color="auto" w:fill="BFBFBF" w:themeFill="background1" w:themeFillShade="BF"/>
            <w:vAlign w:val="center"/>
            <w:hideMark/>
          </w:tcPr>
          <w:p w14:paraId="198CC12F"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HSPF2</w:t>
            </w:r>
            <w:r w:rsidRPr="001570EA">
              <w:rPr>
                <w:rFonts w:cs="Arial"/>
                <w:b/>
                <w:bCs/>
                <w:i/>
                <w:iCs/>
                <w:color w:val="000000"/>
                <w:sz w:val="18"/>
                <w:szCs w:val="18"/>
                <w:vertAlign w:val="subscript"/>
              </w:rPr>
              <w:t>base</w:t>
            </w:r>
          </w:p>
        </w:tc>
        <w:tc>
          <w:tcPr>
            <w:tcW w:w="987" w:type="dxa"/>
            <w:shd w:val="clear" w:color="auto" w:fill="BFBFBF" w:themeFill="background1" w:themeFillShade="BF"/>
            <w:vAlign w:val="center"/>
            <w:hideMark/>
          </w:tcPr>
          <w:p w14:paraId="47DBE092"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COP</w:t>
            </w:r>
            <w:r w:rsidRPr="001570EA">
              <w:rPr>
                <w:rFonts w:cs="Arial"/>
                <w:b/>
                <w:bCs/>
                <w:i/>
                <w:iCs/>
                <w:color w:val="000000"/>
                <w:sz w:val="18"/>
                <w:szCs w:val="18"/>
                <w:vertAlign w:val="subscript"/>
              </w:rPr>
              <w:t>base</w:t>
            </w:r>
          </w:p>
        </w:tc>
      </w:tr>
      <w:tr w:rsidR="007376E1" w:rsidRPr="001570EA" w14:paraId="2865EDF9" w14:textId="77777777" w:rsidTr="001973AE">
        <w:trPr>
          <w:trHeight w:val="315"/>
        </w:trPr>
        <w:tc>
          <w:tcPr>
            <w:tcW w:w="1350" w:type="dxa"/>
            <w:gridSpan w:val="2"/>
            <w:hideMark/>
          </w:tcPr>
          <w:p w14:paraId="7E2BBE40" w14:textId="77777777" w:rsidR="007376E1" w:rsidRPr="001570EA" w:rsidRDefault="007376E1">
            <w:pPr>
              <w:jc w:val="left"/>
              <w:rPr>
                <w:rFonts w:cs="Arial"/>
                <w:color w:val="000000"/>
                <w:sz w:val="18"/>
                <w:szCs w:val="18"/>
              </w:rPr>
            </w:pPr>
            <w:r w:rsidRPr="001570EA">
              <w:rPr>
                <w:rFonts w:cs="Arial"/>
                <w:color w:val="000000"/>
                <w:sz w:val="18"/>
                <w:szCs w:val="18"/>
              </w:rPr>
              <w:t>ASHP (Split systems)</w:t>
            </w:r>
          </w:p>
        </w:tc>
        <w:tc>
          <w:tcPr>
            <w:tcW w:w="1080" w:type="dxa"/>
            <w:vMerge w:val="restart"/>
            <w:vAlign w:val="center"/>
            <w:hideMark/>
          </w:tcPr>
          <w:p w14:paraId="6F2EAAF0" w14:textId="77777777" w:rsidR="007376E1" w:rsidRPr="001570EA" w:rsidRDefault="007376E1">
            <w:pPr>
              <w:jc w:val="center"/>
              <w:rPr>
                <w:rFonts w:cs="Arial"/>
                <w:color w:val="000000"/>
                <w:sz w:val="18"/>
                <w:szCs w:val="18"/>
                <w:vertAlign w:val="superscript"/>
              </w:rPr>
            </w:pPr>
            <w:r w:rsidRPr="001570EA">
              <w:rPr>
                <w:rFonts w:cs="Arial"/>
                <w:color w:val="000000"/>
                <w:sz w:val="18"/>
                <w:szCs w:val="18"/>
              </w:rPr>
              <w:t>14.1</w:t>
            </w:r>
            <w:r w:rsidRPr="001570EA">
              <w:rPr>
                <w:rFonts w:cs="Arial"/>
                <w:color w:val="000000"/>
                <w:sz w:val="18"/>
                <w:szCs w:val="18"/>
                <w:vertAlign w:val="superscript"/>
              </w:rPr>
              <w:t>a</w:t>
            </w:r>
          </w:p>
        </w:tc>
        <w:tc>
          <w:tcPr>
            <w:tcW w:w="1035" w:type="dxa"/>
            <w:vMerge w:val="restart"/>
            <w:vAlign w:val="center"/>
            <w:hideMark/>
          </w:tcPr>
          <w:p w14:paraId="6C60A59B" w14:textId="77777777" w:rsidR="007376E1" w:rsidRPr="001570EA" w:rsidRDefault="007376E1">
            <w:pPr>
              <w:jc w:val="center"/>
              <w:rPr>
                <w:rFonts w:cs="Arial"/>
                <w:color w:val="000000"/>
                <w:sz w:val="18"/>
                <w:szCs w:val="18"/>
                <w:vertAlign w:val="superscript"/>
              </w:rPr>
            </w:pPr>
            <w:r w:rsidRPr="001570EA">
              <w:rPr>
                <w:rFonts w:cs="Arial"/>
                <w:color w:val="000000"/>
                <w:sz w:val="18"/>
                <w:szCs w:val="18"/>
              </w:rPr>
              <w:t>11.7</w:t>
            </w:r>
            <w:r w:rsidRPr="001570EA">
              <w:rPr>
                <w:rFonts w:cs="Arial"/>
                <w:color w:val="000000"/>
                <w:sz w:val="18"/>
                <w:szCs w:val="18"/>
                <w:vertAlign w:val="superscript"/>
              </w:rPr>
              <w:t>b</w:t>
            </w:r>
          </w:p>
        </w:tc>
        <w:tc>
          <w:tcPr>
            <w:tcW w:w="1070" w:type="dxa"/>
            <w:vMerge w:val="restart"/>
            <w:vAlign w:val="center"/>
            <w:hideMark/>
          </w:tcPr>
          <w:p w14:paraId="52BE2537" w14:textId="77777777" w:rsidR="007376E1" w:rsidRPr="001570EA" w:rsidRDefault="007376E1">
            <w:pPr>
              <w:jc w:val="center"/>
              <w:rPr>
                <w:rFonts w:cs="Arial"/>
                <w:color w:val="000000"/>
                <w:sz w:val="18"/>
                <w:szCs w:val="18"/>
              </w:rPr>
            </w:pPr>
            <w:r w:rsidRPr="001570EA">
              <w:rPr>
                <w:rFonts w:cs="Arial"/>
                <w:color w:val="000000"/>
                <w:sz w:val="18"/>
                <w:szCs w:val="18"/>
              </w:rPr>
              <w:t>7.2</w:t>
            </w:r>
          </w:p>
        </w:tc>
        <w:tc>
          <w:tcPr>
            <w:tcW w:w="990" w:type="dxa"/>
            <w:vMerge w:val="restart"/>
            <w:noWrap/>
            <w:vAlign w:val="center"/>
            <w:hideMark/>
          </w:tcPr>
          <w:p w14:paraId="63A69D33" w14:textId="77777777" w:rsidR="007376E1" w:rsidRPr="001570EA" w:rsidRDefault="007376E1">
            <w:pPr>
              <w:jc w:val="center"/>
              <w:rPr>
                <w:rFonts w:ascii="Aptos Narrow" w:hAnsi="Aptos Narrow"/>
                <w:color w:val="000000"/>
                <w:sz w:val="22"/>
                <w:szCs w:val="22"/>
                <w:vertAlign w:val="superscript"/>
              </w:rPr>
            </w:pPr>
            <w:r w:rsidRPr="001570EA">
              <w:rPr>
                <w:rFonts w:ascii="Aptos Narrow" w:hAnsi="Aptos Narrow"/>
                <w:color w:val="000000"/>
                <w:sz w:val="22"/>
                <w:szCs w:val="22"/>
              </w:rPr>
              <w:t>2.5</w:t>
            </w:r>
            <w:r w:rsidRPr="001570EA">
              <w:rPr>
                <w:rFonts w:ascii="Aptos Narrow" w:hAnsi="Aptos Narrow"/>
                <w:color w:val="000000"/>
                <w:sz w:val="22"/>
                <w:szCs w:val="22"/>
                <w:vertAlign w:val="superscript"/>
              </w:rPr>
              <w:t>c</w:t>
            </w:r>
          </w:p>
        </w:tc>
        <w:tc>
          <w:tcPr>
            <w:tcW w:w="1080" w:type="dxa"/>
            <w:vAlign w:val="center"/>
            <w:hideMark/>
          </w:tcPr>
          <w:p w14:paraId="09E98ECA" w14:textId="77777777" w:rsidR="007376E1" w:rsidRPr="001570EA" w:rsidRDefault="007376E1">
            <w:pPr>
              <w:jc w:val="center"/>
              <w:rPr>
                <w:rFonts w:cs="Arial"/>
                <w:color w:val="000000"/>
                <w:sz w:val="18"/>
                <w:szCs w:val="18"/>
              </w:rPr>
            </w:pPr>
            <w:r w:rsidRPr="001570EA">
              <w:rPr>
                <w:rFonts w:cs="Arial"/>
                <w:color w:val="000000"/>
                <w:sz w:val="18"/>
                <w:szCs w:val="18"/>
              </w:rPr>
              <w:t>14.3</w:t>
            </w:r>
          </w:p>
        </w:tc>
        <w:tc>
          <w:tcPr>
            <w:tcW w:w="960" w:type="dxa"/>
            <w:vAlign w:val="center"/>
            <w:hideMark/>
          </w:tcPr>
          <w:p w14:paraId="60178604" w14:textId="77777777" w:rsidR="007376E1" w:rsidRPr="001570EA" w:rsidRDefault="007376E1">
            <w:pPr>
              <w:jc w:val="center"/>
              <w:rPr>
                <w:rFonts w:cs="Arial"/>
                <w:color w:val="000000"/>
                <w:sz w:val="18"/>
                <w:szCs w:val="18"/>
                <w:vertAlign w:val="superscript"/>
              </w:rPr>
            </w:pPr>
            <w:r w:rsidRPr="001570EA">
              <w:rPr>
                <w:rFonts w:cs="Arial"/>
                <w:color w:val="000000"/>
                <w:sz w:val="18"/>
                <w:szCs w:val="18"/>
              </w:rPr>
              <w:t>11.8</w:t>
            </w:r>
            <w:r w:rsidRPr="001570EA">
              <w:rPr>
                <w:rFonts w:cs="Arial"/>
                <w:color w:val="000000"/>
                <w:sz w:val="18"/>
                <w:szCs w:val="18"/>
                <w:vertAlign w:val="superscript"/>
              </w:rPr>
              <w:t>b</w:t>
            </w:r>
          </w:p>
        </w:tc>
        <w:tc>
          <w:tcPr>
            <w:tcW w:w="1070" w:type="dxa"/>
            <w:vAlign w:val="center"/>
            <w:hideMark/>
          </w:tcPr>
          <w:p w14:paraId="017D2EDC" w14:textId="77777777" w:rsidR="007376E1" w:rsidRPr="001570EA" w:rsidRDefault="007376E1">
            <w:pPr>
              <w:jc w:val="center"/>
              <w:rPr>
                <w:rFonts w:cs="Arial"/>
                <w:color w:val="000000"/>
                <w:sz w:val="18"/>
                <w:szCs w:val="18"/>
              </w:rPr>
            </w:pPr>
            <w:r w:rsidRPr="001570EA">
              <w:rPr>
                <w:rFonts w:cs="Arial"/>
                <w:color w:val="000000"/>
                <w:sz w:val="18"/>
                <w:szCs w:val="18"/>
              </w:rPr>
              <w:t>7.5</w:t>
            </w:r>
          </w:p>
        </w:tc>
        <w:tc>
          <w:tcPr>
            <w:tcW w:w="987" w:type="dxa"/>
            <w:noWrap/>
            <w:vAlign w:val="center"/>
            <w:hideMark/>
          </w:tcPr>
          <w:p w14:paraId="3A7B5483" w14:textId="77777777" w:rsidR="007376E1" w:rsidRPr="001570EA" w:rsidRDefault="007376E1">
            <w:pPr>
              <w:jc w:val="center"/>
              <w:rPr>
                <w:rFonts w:ascii="Aptos Narrow" w:hAnsi="Aptos Narrow"/>
                <w:color w:val="000000"/>
                <w:sz w:val="22"/>
                <w:szCs w:val="22"/>
                <w:vertAlign w:val="superscript"/>
              </w:rPr>
            </w:pPr>
            <w:r w:rsidRPr="001570EA">
              <w:rPr>
                <w:rFonts w:ascii="Aptos Narrow" w:hAnsi="Aptos Narrow"/>
                <w:color w:val="000000"/>
                <w:sz w:val="22"/>
                <w:szCs w:val="22"/>
              </w:rPr>
              <w:t>2.6</w:t>
            </w:r>
            <w:r w:rsidRPr="001570EA">
              <w:rPr>
                <w:rFonts w:ascii="Aptos Narrow" w:hAnsi="Aptos Narrow"/>
                <w:color w:val="000000"/>
                <w:sz w:val="22"/>
                <w:szCs w:val="22"/>
                <w:vertAlign w:val="superscript"/>
              </w:rPr>
              <w:t>c</w:t>
            </w:r>
          </w:p>
        </w:tc>
      </w:tr>
      <w:tr w:rsidR="007376E1" w:rsidRPr="001570EA" w14:paraId="4BDFAB43" w14:textId="77777777" w:rsidTr="001973AE">
        <w:trPr>
          <w:trHeight w:val="315"/>
        </w:trPr>
        <w:tc>
          <w:tcPr>
            <w:tcW w:w="1350" w:type="dxa"/>
            <w:gridSpan w:val="2"/>
            <w:hideMark/>
          </w:tcPr>
          <w:p w14:paraId="69673A3A" w14:textId="77777777" w:rsidR="007376E1" w:rsidRPr="001570EA" w:rsidRDefault="007376E1">
            <w:pPr>
              <w:jc w:val="left"/>
              <w:rPr>
                <w:rFonts w:cs="Arial"/>
                <w:color w:val="000000"/>
                <w:sz w:val="18"/>
                <w:szCs w:val="18"/>
              </w:rPr>
            </w:pPr>
            <w:r w:rsidRPr="001570EA">
              <w:rPr>
                <w:rFonts w:cs="Arial"/>
                <w:color w:val="000000"/>
                <w:sz w:val="18"/>
                <w:szCs w:val="18"/>
              </w:rPr>
              <w:t>ASHP (Single-Package)</w:t>
            </w:r>
          </w:p>
        </w:tc>
        <w:tc>
          <w:tcPr>
            <w:tcW w:w="1080" w:type="dxa"/>
            <w:vMerge/>
            <w:vAlign w:val="center"/>
            <w:hideMark/>
          </w:tcPr>
          <w:p w14:paraId="3831BBEE" w14:textId="77777777" w:rsidR="007376E1" w:rsidRPr="001570EA" w:rsidRDefault="007376E1">
            <w:pPr>
              <w:jc w:val="center"/>
              <w:rPr>
                <w:rFonts w:cs="Arial"/>
                <w:color w:val="000000"/>
                <w:sz w:val="18"/>
                <w:szCs w:val="18"/>
              </w:rPr>
            </w:pPr>
          </w:p>
        </w:tc>
        <w:tc>
          <w:tcPr>
            <w:tcW w:w="1035" w:type="dxa"/>
            <w:vMerge/>
            <w:vAlign w:val="center"/>
            <w:hideMark/>
          </w:tcPr>
          <w:p w14:paraId="670372C6" w14:textId="77777777" w:rsidR="007376E1" w:rsidRPr="001570EA" w:rsidRDefault="007376E1">
            <w:pPr>
              <w:jc w:val="center"/>
              <w:rPr>
                <w:rFonts w:cs="Arial"/>
                <w:color w:val="000000"/>
                <w:sz w:val="18"/>
                <w:szCs w:val="18"/>
              </w:rPr>
            </w:pPr>
          </w:p>
        </w:tc>
        <w:tc>
          <w:tcPr>
            <w:tcW w:w="1070" w:type="dxa"/>
            <w:vMerge/>
            <w:vAlign w:val="center"/>
            <w:hideMark/>
          </w:tcPr>
          <w:p w14:paraId="0A57038E" w14:textId="77777777" w:rsidR="007376E1" w:rsidRPr="001570EA" w:rsidRDefault="007376E1">
            <w:pPr>
              <w:jc w:val="center"/>
              <w:rPr>
                <w:rFonts w:cs="Arial"/>
                <w:color w:val="000000"/>
                <w:sz w:val="18"/>
                <w:szCs w:val="18"/>
              </w:rPr>
            </w:pPr>
          </w:p>
        </w:tc>
        <w:tc>
          <w:tcPr>
            <w:tcW w:w="990" w:type="dxa"/>
            <w:vMerge/>
            <w:vAlign w:val="center"/>
            <w:hideMark/>
          </w:tcPr>
          <w:p w14:paraId="47300819" w14:textId="77777777" w:rsidR="007376E1" w:rsidRPr="001570EA" w:rsidRDefault="007376E1">
            <w:pPr>
              <w:jc w:val="center"/>
              <w:rPr>
                <w:rFonts w:ascii="Aptos Narrow" w:hAnsi="Aptos Narrow"/>
                <w:color w:val="000000"/>
                <w:sz w:val="22"/>
                <w:szCs w:val="22"/>
              </w:rPr>
            </w:pPr>
          </w:p>
        </w:tc>
        <w:tc>
          <w:tcPr>
            <w:tcW w:w="1080" w:type="dxa"/>
            <w:vAlign w:val="center"/>
            <w:hideMark/>
          </w:tcPr>
          <w:p w14:paraId="18B372B0" w14:textId="77777777" w:rsidR="007376E1" w:rsidRPr="001570EA" w:rsidRDefault="007376E1">
            <w:pPr>
              <w:jc w:val="center"/>
              <w:rPr>
                <w:rFonts w:cs="Arial"/>
                <w:color w:val="000000"/>
                <w:sz w:val="18"/>
                <w:szCs w:val="18"/>
              </w:rPr>
            </w:pPr>
            <w:r w:rsidRPr="001570EA">
              <w:rPr>
                <w:rFonts w:cs="Arial"/>
                <w:color w:val="000000"/>
                <w:sz w:val="18"/>
                <w:szCs w:val="18"/>
              </w:rPr>
              <w:t>13.4</w:t>
            </w:r>
          </w:p>
        </w:tc>
        <w:tc>
          <w:tcPr>
            <w:tcW w:w="960" w:type="dxa"/>
            <w:vAlign w:val="center"/>
            <w:hideMark/>
          </w:tcPr>
          <w:p w14:paraId="374387FB" w14:textId="77777777" w:rsidR="007376E1" w:rsidRPr="001570EA" w:rsidRDefault="007376E1">
            <w:pPr>
              <w:jc w:val="center"/>
              <w:rPr>
                <w:rFonts w:cs="Arial"/>
                <w:color w:val="000000"/>
                <w:sz w:val="18"/>
                <w:szCs w:val="18"/>
                <w:vertAlign w:val="superscript"/>
              </w:rPr>
            </w:pPr>
            <w:r w:rsidRPr="001570EA">
              <w:rPr>
                <w:rFonts w:cs="Arial"/>
                <w:color w:val="000000"/>
                <w:sz w:val="18"/>
                <w:szCs w:val="18"/>
              </w:rPr>
              <w:t>11.2</w:t>
            </w:r>
            <w:r w:rsidRPr="001570EA">
              <w:rPr>
                <w:rFonts w:cs="Arial"/>
                <w:color w:val="000000"/>
                <w:sz w:val="18"/>
                <w:szCs w:val="18"/>
                <w:vertAlign w:val="superscript"/>
              </w:rPr>
              <w:t>b</w:t>
            </w:r>
          </w:p>
        </w:tc>
        <w:tc>
          <w:tcPr>
            <w:tcW w:w="1070" w:type="dxa"/>
            <w:vAlign w:val="center"/>
            <w:hideMark/>
          </w:tcPr>
          <w:p w14:paraId="34C46AF2" w14:textId="77777777" w:rsidR="007376E1" w:rsidRPr="001570EA" w:rsidRDefault="007376E1">
            <w:pPr>
              <w:jc w:val="center"/>
              <w:rPr>
                <w:rFonts w:cs="Arial"/>
                <w:color w:val="000000"/>
                <w:sz w:val="18"/>
                <w:szCs w:val="18"/>
              </w:rPr>
            </w:pPr>
            <w:r w:rsidRPr="001570EA">
              <w:rPr>
                <w:rFonts w:cs="Arial"/>
                <w:color w:val="000000"/>
                <w:sz w:val="18"/>
                <w:szCs w:val="18"/>
              </w:rPr>
              <w:t>6.7</w:t>
            </w:r>
          </w:p>
        </w:tc>
        <w:tc>
          <w:tcPr>
            <w:tcW w:w="987" w:type="dxa"/>
            <w:noWrap/>
            <w:vAlign w:val="center"/>
            <w:hideMark/>
          </w:tcPr>
          <w:p w14:paraId="6E4799AE" w14:textId="77777777" w:rsidR="007376E1" w:rsidRPr="001570EA" w:rsidRDefault="007376E1">
            <w:pPr>
              <w:jc w:val="center"/>
              <w:rPr>
                <w:rFonts w:ascii="Aptos Narrow" w:hAnsi="Aptos Narrow"/>
                <w:color w:val="000000"/>
                <w:sz w:val="22"/>
                <w:szCs w:val="22"/>
                <w:vertAlign w:val="superscript"/>
              </w:rPr>
            </w:pPr>
            <w:r w:rsidRPr="001570EA">
              <w:rPr>
                <w:rFonts w:ascii="Aptos Narrow" w:hAnsi="Aptos Narrow"/>
                <w:color w:val="000000"/>
                <w:sz w:val="22"/>
                <w:szCs w:val="22"/>
              </w:rPr>
              <w:t>2.3</w:t>
            </w:r>
            <w:r w:rsidRPr="001570EA">
              <w:rPr>
                <w:rFonts w:ascii="Aptos Narrow" w:hAnsi="Aptos Narrow"/>
                <w:color w:val="000000"/>
                <w:sz w:val="22"/>
                <w:szCs w:val="22"/>
                <w:vertAlign w:val="superscript"/>
              </w:rPr>
              <w:t>c</w:t>
            </w:r>
          </w:p>
        </w:tc>
      </w:tr>
      <w:tr w:rsidR="007376E1" w:rsidRPr="001570EA" w14:paraId="4117FB75" w14:textId="77777777" w:rsidTr="001973AE">
        <w:trPr>
          <w:trHeight w:val="300"/>
        </w:trPr>
        <w:tc>
          <w:tcPr>
            <w:tcW w:w="1350" w:type="dxa"/>
            <w:gridSpan w:val="2"/>
            <w:tcBorders>
              <w:bottom w:val="single" w:sz="4" w:space="0" w:color="auto"/>
            </w:tcBorders>
            <w:hideMark/>
          </w:tcPr>
          <w:p w14:paraId="5EB9F757" w14:textId="77777777" w:rsidR="007376E1" w:rsidRPr="001570EA" w:rsidRDefault="007376E1">
            <w:pPr>
              <w:jc w:val="left"/>
              <w:rPr>
                <w:rFonts w:cs="Arial"/>
                <w:color w:val="000000"/>
                <w:sz w:val="18"/>
                <w:szCs w:val="18"/>
              </w:rPr>
            </w:pPr>
            <w:r w:rsidRPr="001570EA">
              <w:rPr>
                <w:rFonts w:cs="Arial"/>
                <w:color w:val="000000"/>
                <w:sz w:val="18"/>
                <w:szCs w:val="18"/>
              </w:rPr>
              <w:t>CAC (Split systems and Single-package)</w:t>
            </w:r>
          </w:p>
        </w:tc>
        <w:tc>
          <w:tcPr>
            <w:tcW w:w="1080" w:type="dxa"/>
            <w:tcBorders>
              <w:bottom w:val="single" w:sz="4" w:space="0" w:color="auto"/>
            </w:tcBorders>
            <w:vAlign w:val="center"/>
            <w:hideMark/>
          </w:tcPr>
          <w:p w14:paraId="1F52A1D2" w14:textId="77777777" w:rsidR="007376E1" w:rsidRPr="001570EA" w:rsidRDefault="007376E1">
            <w:pPr>
              <w:jc w:val="center"/>
              <w:rPr>
                <w:rFonts w:cs="Arial"/>
                <w:color w:val="000000"/>
                <w:sz w:val="18"/>
                <w:szCs w:val="18"/>
              </w:rPr>
            </w:pPr>
            <w:r w:rsidRPr="001570EA">
              <w:rPr>
                <w:rFonts w:cs="Arial"/>
                <w:color w:val="000000"/>
                <w:sz w:val="18"/>
                <w:szCs w:val="18"/>
              </w:rPr>
              <w:t>13.2</w:t>
            </w:r>
          </w:p>
        </w:tc>
        <w:tc>
          <w:tcPr>
            <w:tcW w:w="1035" w:type="dxa"/>
            <w:tcBorders>
              <w:bottom w:val="single" w:sz="4" w:space="0" w:color="auto"/>
            </w:tcBorders>
            <w:vAlign w:val="center"/>
            <w:hideMark/>
          </w:tcPr>
          <w:p w14:paraId="4016A744" w14:textId="77777777" w:rsidR="007376E1" w:rsidRPr="001570EA" w:rsidRDefault="007376E1">
            <w:pPr>
              <w:jc w:val="center"/>
              <w:rPr>
                <w:rFonts w:cs="Arial"/>
                <w:sz w:val="18"/>
                <w:szCs w:val="18"/>
                <w:vertAlign w:val="superscript"/>
              </w:rPr>
            </w:pPr>
            <w:r w:rsidRPr="001570EA">
              <w:rPr>
                <w:rFonts w:cs="Arial"/>
                <w:sz w:val="18"/>
                <w:szCs w:val="18"/>
              </w:rPr>
              <w:t>11.1</w:t>
            </w:r>
            <w:r w:rsidRPr="001570EA">
              <w:rPr>
                <w:rFonts w:cs="Arial"/>
                <w:sz w:val="18"/>
                <w:szCs w:val="18"/>
                <w:vertAlign w:val="superscript"/>
              </w:rPr>
              <w:t>b</w:t>
            </w:r>
          </w:p>
        </w:tc>
        <w:tc>
          <w:tcPr>
            <w:tcW w:w="1070" w:type="dxa"/>
            <w:tcBorders>
              <w:bottom w:val="single" w:sz="4" w:space="0" w:color="auto"/>
            </w:tcBorders>
            <w:vAlign w:val="center"/>
            <w:hideMark/>
          </w:tcPr>
          <w:p w14:paraId="401BBB76"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990" w:type="dxa"/>
            <w:tcBorders>
              <w:bottom w:val="single" w:sz="4" w:space="0" w:color="auto"/>
            </w:tcBorders>
            <w:vAlign w:val="center"/>
            <w:hideMark/>
          </w:tcPr>
          <w:p w14:paraId="02F37CF5"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1080" w:type="dxa"/>
            <w:vAlign w:val="center"/>
            <w:hideMark/>
          </w:tcPr>
          <w:p w14:paraId="520D635F" w14:textId="77777777" w:rsidR="007376E1" w:rsidRPr="001570EA" w:rsidRDefault="007376E1">
            <w:pPr>
              <w:jc w:val="center"/>
              <w:rPr>
                <w:rFonts w:cs="Arial"/>
                <w:color w:val="000000"/>
                <w:sz w:val="18"/>
                <w:szCs w:val="18"/>
              </w:rPr>
            </w:pPr>
            <w:r w:rsidRPr="001570EA">
              <w:rPr>
                <w:rFonts w:cs="Arial"/>
                <w:color w:val="000000"/>
                <w:sz w:val="18"/>
                <w:szCs w:val="18"/>
              </w:rPr>
              <w:t>13.4</w:t>
            </w:r>
          </w:p>
        </w:tc>
        <w:tc>
          <w:tcPr>
            <w:tcW w:w="960" w:type="dxa"/>
            <w:vAlign w:val="center"/>
            <w:hideMark/>
          </w:tcPr>
          <w:p w14:paraId="66AA1F55" w14:textId="77777777" w:rsidR="007376E1" w:rsidRPr="001570EA" w:rsidRDefault="007376E1">
            <w:pPr>
              <w:jc w:val="center"/>
              <w:rPr>
                <w:rFonts w:cs="Arial"/>
                <w:color w:val="000000"/>
                <w:sz w:val="18"/>
                <w:szCs w:val="18"/>
                <w:vertAlign w:val="superscript"/>
              </w:rPr>
            </w:pPr>
            <w:r w:rsidRPr="001570EA">
              <w:rPr>
                <w:rFonts w:cs="Arial"/>
                <w:color w:val="000000"/>
                <w:sz w:val="18"/>
                <w:szCs w:val="18"/>
              </w:rPr>
              <w:t>11.2</w:t>
            </w:r>
            <w:r w:rsidRPr="001570EA">
              <w:rPr>
                <w:rFonts w:cs="Arial"/>
                <w:color w:val="000000"/>
                <w:sz w:val="18"/>
                <w:szCs w:val="18"/>
                <w:vertAlign w:val="superscript"/>
              </w:rPr>
              <w:t>b</w:t>
            </w:r>
          </w:p>
        </w:tc>
        <w:tc>
          <w:tcPr>
            <w:tcW w:w="1070" w:type="dxa"/>
            <w:vAlign w:val="center"/>
            <w:hideMark/>
          </w:tcPr>
          <w:p w14:paraId="2780FF55"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987" w:type="dxa"/>
            <w:vAlign w:val="center"/>
            <w:hideMark/>
          </w:tcPr>
          <w:p w14:paraId="1AD03899" w14:textId="77777777" w:rsidR="007376E1" w:rsidRPr="001570EA" w:rsidRDefault="007376E1">
            <w:pPr>
              <w:jc w:val="center"/>
              <w:rPr>
                <w:rFonts w:cs="Arial"/>
                <w:color w:val="000000"/>
                <w:sz w:val="18"/>
                <w:szCs w:val="18"/>
              </w:rPr>
            </w:pPr>
            <w:r w:rsidRPr="001570EA">
              <w:rPr>
                <w:rFonts w:cs="Arial"/>
                <w:color w:val="000000"/>
                <w:sz w:val="18"/>
                <w:szCs w:val="18"/>
              </w:rPr>
              <w:t>–</w:t>
            </w:r>
          </w:p>
        </w:tc>
      </w:tr>
      <w:tr w:rsidR="007376E1" w:rsidRPr="001570EA" w14:paraId="4F9698C0" w14:textId="77777777" w:rsidTr="001973AE">
        <w:trPr>
          <w:trHeight w:val="300"/>
        </w:trPr>
        <w:tc>
          <w:tcPr>
            <w:tcW w:w="1350" w:type="dxa"/>
            <w:gridSpan w:val="2"/>
            <w:tcBorders>
              <w:top w:val="single" w:sz="4" w:space="0" w:color="auto"/>
              <w:left w:val="single" w:sz="4" w:space="0" w:color="auto"/>
            </w:tcBorders>
            <w:shd w:val="clear" w:color="auto" w:fill="BFBFBF" w:themeFill="background1" w:themeFillShade="BF"/>
            <w:vAlign w:val="center"/>
          </w:tcPr>
          <w:p w14:paraId="501681FB" w14:textId="77777777" w:rsidR="007376E1" w:rsidRPr="001570EA" w:rsidRDefault="007376E1">
            <w:pPr>
              <w:jc w:val="left"/>
              <w:rPr>
                <w:rFonts w:cs="Arial"/>
                <w:b/>
                <w:bCs/>
                <w:color w:val="000000"/>
                <w:sz w:val="18"/>
                <w:szCs w:val="18"/>
              </w:rPr>
            </w:pPr>
            <w:r w:rsidRPr="001570EA">
              <w:rPr>
                <w:rFonts w:cs="Arial"/>
                <w:b/>
                <w:bCs/>
                <w:color w:val="000000"/>
                <w:sz w:val="18"/>
                <w:szCs w:val="18"/>
              </w:rPr>
              <w:t>Baseline Equip.</w:t>
            </w:r>
          </w:p>
        </w:tc>
        <w:tc>
          <w:tcPr>
            <w:tcW w:w="4175" w:type="dxa"/>
            <w:gridSpan w:val="4"/>
            <w:shd w:val="clear" w:color="auto" w:fill="BFBFBF" w:themeFill="background1" w:themeFillShade="BF"/>
            <w:vAlign w:val="center"/>
          </w:tcPr>
          <w:p w14:paraId="0A856928" w14:textId="77777777" w:rsidR="007376E1" w:rsidRPr="001570EA" w:rsidRDefault="007376E1">
            <w:pPr>
              <w:jc w:val="center"/>
              <w:rPr>
                <w:rFonts w:cs="Arial"/>
                <w:b/>
                <w:bCs/>
                <w:color w:val="000000"/>
                <w:sz w:val="18"/>
                <w:szCs w:val="18"/>
              </w:rPr>
            </w:pPr>
            <w:r w:rsidRPr="001570EA">
              <w:rPr>
                <w:rFonts w:cs="Arial"/>
                <w:b/>
                <w:bCs/>
                <w:color w:val="000000"/>
                <w:sz w:val="18"/>
                <w:szCs w:val="18"/>
              </w:rPr>
              <w:t>Early Replacement</w:t>
            </w:r>
          </w:p>
        </w:tc>
        <w:tc>
          <w:tcPr>
            <w:tcW w:w="4097" w:type="dxa"/>
            <w:gridSpan w:val="4"/>
            <w:shd w:val="clear" w:color="auto" w:fill="BFBFBF" w:themeFill="background1" w:themeFillShade="BF"/>
            <w:vAlign w:val="center"/>
          </w:tcPr>
          <w:p w14:paraId="3B1FD762" w14:textId="77777777" w:rsidR="007376E1" w:rsidRPr="001570EA" w:rsidRDefault="007376E1">
            <w:pPr>
              <w:jc w:val="center"/>
              <w:rPr>
                <w:rFonts w:cs="Arial"/>
                <w:b/>
                <w:bCs/>
                <w:color w:val="000000"/>
                <w:sz w:val="18"/>
                <w:szCs w:val="18"/>
              </w:rPr>
            </w:pPr>
            <w:r w:rsidRPr="001570EA">
              <w:rPr>
                <w:rFonts w:cs="Arial"/>
                <w:b/>
                <w:bCs/>
                <w:color w:val="000000"/>
                <w:sz w:val="18"/>
                <w:szCs w:val="18"/>
              </w:rPr>
              <w:t>Replace on Burnout / New Construction</w:t>
            </w:r>
          </w:p>
        </w:tc>
      </w:tr>
      <w:tr w:rsidR="007376E1" w:rsidRPr="001570EA" w14:paraId="0654A31A" w14:textId="77777777" w:rsidTr="001973AE">
        <w:trPr>
          <w:trHeight w:val="300"/>
        </w:trPr>
        <w:tc>
          <w:tcPr>
            <w:tcW w:w="1350" w:type="dxa"/>
            <w:gridSpan w:val="2"/>
            <w:shd w:val="clear" w:color="auto" w:fill="BFBFBF" w:themeFill="background1" w:themeFillShade="BF"/>
            <w:hideMark/>
          </w:tcPr>
          <w:p w14:paraId="5F6EE8E5" w14:textId="77777777" w:rsidR="007376E1" w:rsidRPr="001570EA" w:rsidRDefault="007376E1">
            <w:pPr>
              <w:jc w:val="left"/>
              <w:rPr>
                <w:rFonts w:cs="Arial"/>
                <w:b/>
                <w:bCs/>
                <w:color w:val="000000"/>
                <w:sz w:val="18"/>
                <w:szCs w:val="18"/>
              </w:rPr>
            </w:pPr>
          </w:p>
        </w:tc>
        <w:tc>
          <w:tcPr>
            <w:tcW w:w="1080" w:type="dxa"/>
            <w:shd w:val="clear" w:color="auto" w:fill="BFBFBF" w:themeFill="background1" w:themeFillShade="BF"/>
            <w:vAlign w:val="center"/>
            <w:hideMark/>
          </w:tcPr>
          <w:p w14:paraId="3CE98FA7"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SEER</w:t>
            </w:r>
            <w:r w:rsidRPr="001570EA">
              <w:rPr>
                <w:rFonts w:cs="Arial"/>
                <w:b/>
                <w:bCs/>
                <w:i/>
                <w:iCs/>
                <w:color w:val="000000"/>
                <w:sz w:val="18"/>
                <w:szCs w:val="18"/>
                <w:vertAlign w:val="subscript"/>
              </w:rPr>
              <w:t>base</w:t>
            </w:r>
          </w:p>
        </w:tc>
        <w:tc>
          <w:tcPr>
            <w:tcW w:w="1035" w:type="dxa"/>
            <w:shd w:val="clear" w:color="auto" w:fill="BFBFBF" w:themeFill="background1" w:themeFillShade="BF"/>
            <w:vAlign w:val="center"/>
            <w:hideMark/>
          </w:tcPr>
          <w:p w14:paraId="6738DA2C"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EER</w:t>
            </w:r>
            <w:r w:rsidRPr="001570EA">
              <w:rPr>
                <w:rFonts w:cs="Arial"/>
                <w:b/>
                <w:bCs/>
                <w:i/>
                <w:iCs/>
                <w:color w:val="000000"/>
                <w:sz w:val="18"/>
                <w:szCs w:val="18"/>
                <w:vertAlign w:val="subscript"/>
              </w:rPr>
              <w:t>base</w:t>
            </w:r>
          </w:p>
        </w:tc>
        <w:tc>
          <w:tcPr>
            <w:tcW w:w="1070" w:type="dxa"/>
            <w:shd w:val="clear" w:color="auto" w:fill="BFBFBF" w:themeFill="background1" w:themeFillShade="BF"/>
            <w:vAlign w:val="center"/>
            <w:hideMark/>
          </w:tcPr>
          <w:p w14:paraId="0B16C864"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HSPF</w:t>
            </w:r>
            <w:r w:rsidRPr="001570EA">
              <w:rPr>
                <w:rFonts w:cs="Arial"/>
                <w:b/>
                <w:bCs/>
                <w:i/>
                <w:iCs/>
                <w:color w:val="000000"/>
                <w:sz w:val="18"/>
                <w:szCs w:val="18"/>
                <w:vertAlign w:val="subscript"/>
              </w:rPr>
              <w:t>base</w:t>
            </w:r>
          </w:p>
        </w:tc>
        <w:tc>
          <w:tcPr>
            <w:tcW w:w="990" w:type="dxa"/>
            <w:shd w:val="clear" w:color="auto" w:fill="BFBFBF" w:themeFill="background1" w:themeFillShade="BF"/>
            <w:vAlign w:val="center"/>
            <w:hideMark/>
          </w:tcPr>
          <w:p w14:paraId="04126838"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COP</w:t>
            </w:r>
            <w:r w:rsidRPr="001570EA">
              <w:rPr>
                <w:rFonts w:cs="Arial"/>
                <w:b/>
                <w:bCs/>
                <w:i/>
                <w:iCs/>
                <w:color w:val="000000"/>
                <w:sz w:val="18"/>
                <w:szCs w:val="18"/>
                <w:vertAlign w:val="subscript"/>
              </w:rPr>
              <w:t>base</w:t>
            </w:r>
          </w:p>
        </w:tc>
        <w:tc>
          <w:tcPr>
            <w:tcW w:w="1080" w:type="dxa"/>
            <w:shd w:val="clear" w:color="auto" w:fill="BFBFBF" w:themeFill="background1" w:themeFillShade="BF"/>
            <w:vAlign w:val="center"/>
            <w:hideMark/>
          </w:tcPr>
          <w:p w14:paraId="5134CF2F"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SEER</w:t>
            </w:r>
            <w:r w:rsidRPr="001570EA">
              <w:rPr>
                <w:rFonts w:cs="Arial"/>
                <w:b/>
                <w:bCs/>
                <w:i/>
                <w:iCs/>
                <w:color w:val="000000"/>
                <w:sz w:val="18"/>
                <w:szCs w:val="18"/>
                <w:vertAlign w:val="subscript"/>
              </w:rPr>
              <w:t>base</w:t>
            </w:r>
          </w:p>
        </w:tc>
        <w:tc>
          <w:tcPr>
            <w:tcW w:w="960" w:type="dxa"/>
            <w:shd w:val="clear" w:color="auto" w:fill="BFBFBF" w:themeFill="background1" w:themeFillShade="BF"/>
            <w:vAlign w:val="center"/>
            <w:hideMark/>
          </w:tcPr>
          <w:p w14:paraId="71FD29AB"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EER</w:t>
            </w:r>
            <w:r w:rsidRPr="001570EA">
              <w:rPr>
                <w:rFonts w:cs="Arial"/>
                <w:b/>
                <w:bCs/>
                <w:i/>
                <w:iCs/>
                <w:color w:val="000000"/>
                <w:sz w:val="18"/>
                <w:szCs w:val="18"/>
                <w:vertAlign w:val="subscript"/>
              </w:rPr>
              <w:t>base</w:t>
            </w:r>
          </w:p>
        </w:tc>
        <w:tc>
          <w:tcPr>
            <w:tcW w:w="1070" w:type="dxa"/>
            <w:shd w:val="clear" w:color="auto" w:fill="BFBFBF" w:themeFill="background1" w:themeFillShade="BF"/>
            <w:vAlign w:val="center"/>
            <w:hideMark/>
          </w:tcPr>
          <w:p w14:paraId="18347F08"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HSPF</w:t>
            </w:r>
            <w:r w:rsidRPr="001570EA">
              <w:rPr>
                <w:rFonts w:cs="Arial"/>
                <w:b/>
                <w:bCs/>
                <w:i/>
                <w:iCs/>
                <w:color w:val="000000"/>
                <w:sz w:val="18"/>
                <w:szCs w:val="18"/>
                <w:vertAlign w:val="subscript"/>
              </w:rPr>
              <w:t>base</w:t>
            </w:r>
          </w:p>
        </w:tc>
        <w:tc>
          <w:tcPr>
            <w:tcW w:w="987" w:type="dxa"/>
            <w:shd w:val="clear" w:color="auto" w:fill="BFBFBF" w:themeFill="background1" w:themeFillShade="BF"/>
            <w:vAlign w:val="center"/>
            <w:hideMark/>
          </w:tcPr>
          <w:p w14:paraId="30FA1DC4" w14:textId="77777777" w:rsidR="007376E1" w:rsidRPr="001570EA" w:rsidRDefault="007376E1">
            <w:pPr>
              <w:jc w:val="center"/>
              <w:rPr>
                <w:rFonts w:cs="Arial"/>
                <w:b/>
                <w:bCs/>
                <w:i/>
                <w:iCs/>
                <w:color w:val="000000"/>
                <w:sz w:val="18"/>
                <w:szCs w:val="18"/>
              </w:rPr>
            </w:pPr>
            <w:r w:rsidRPr="001570EA">
              <w:rPr>
                <w:rFonts w:cs="Arial"/>
                <w:b/>
                <w:bCs/>
                <w:i/>
                <w:iCs/>
                <w:color w:val="000000"/>
                <w:sz w:val="18"/>
                <w:szCs w:val="18"/>
              </w:rPr>
              <w:t>COP</w:t>
            </w:r>
            <w:r w:rsidRPr="001570EA">
              <w:rPr>
                <w:rFonts w:cs="Arial"/>
                <w:b/>
                <w:bCs/>
                <w:i/>
                <w:iCs/>
                <w:color w:val="000000"/>
                <w:sz w:val="18"/>
                <w:szCs w:val="18"/>
                <w:vertAlign w:val="subscript"/>
              </w:rPr>
              <w:t>base</w:t>
            </w:r>
          </w:p>
        </w:tc>
      </w:tr>
      <w:tr w:rsidR="007376E1" w:rsidRPr="001570EA" w14:paraId="2EE1A94B" w14:textId="77777777" w:rsidTr="001973AE">
        <w:trPr>
          <w:trHeight w:val="315"/>
        </w:trPr>
        <w:tc>
          <w:tcPr>
            <w:tcW w:w="1350" w:type="dxa"/>
            <w:gridSpan w:val="2"/>
            <w:hideMark/>
          </w:tcPr>
          <w:p w14:paraId="7801C714" w14:textId="77777777" w:rsidR="007376E1" w:rsidRPr="001570EA" w:rsidRDefault="007376E1">
            <w:pPr>
              <w:jc w:val="left"/>
              <w:rPr>
                <w:rFonts w:cs="Arial"/>
                <w:color w:val="000000"/>
                <w:sz w:val="18"/>
                <w:szCs w:val="18"/>
              </w:rPr>
            </w:pPr>
            <w:r w:rsidRPr="001570EA">
              <w:rPr>
                <w:rFonts w:cs="Arial"/>
                <w:color w:val="000000"/>
                <w:sz w:val="18"/>
                <w:szCs w:val="18"/>
              </w:rPr>
              <w:t>Elec. Baseboard</w:t>
            </w:r>
            <w:r w:rsidRPr="001570EA">
              <w:rPr>
                <w:rFonts w:cs="Arial"/>
                <w:color w:val="000000"/>
                <w:sz w:val="16"/>
                <w:szCs w:val="16"/>
              </w:rPr>
              <w:t> </w:t>
            </w:r>
          </w:p>
        </w:tc>
        <w:tc>
          <w:tcPr>
            <w:tcW w:w="1080" w:type="dxa"/>
            <w:vAlign w:val="center"/>
            <w:hideMark/>
          </w:tcPr>
          <w:p w14:paraId="773F31AA"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1035" w:type="dxa"/>
            <w:vAlign w:val="center"/>
            <w:hideMark/>
          </w:tcPr>
          <w:p w14:paraId="4E613A12"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1070" w:type="dxa"/>
            <w:noWrap/>
            <w:vAlign w:val="center"/>
            <w:hideMark/>
          </w:tcPr>
          <w:p w14:paraId="02FDB35D" w14:textId="77777777" w:rsidR="007376E1" w:rsidRPr="001570EA" w:rsidRDefault="007376E1">
            <w:pPr>
              <w:jc w:val="center"/>
              <w:rPr>
                <w:rFonts w:ascii="Aptos Narrow" w:hAnsi="Aptos Narrow"/>
                <w:color w:val="000000"/>
                <w:sz w:val="22"/>
                <w:szCs w:val="22"/>
                <w:vertAlign w:val="superscript"/>
              </w:rPr>
            </w:pPr>
            <w:r w:rsidRPr="001570EA">
              <w:rPr>
                <w:rFonts w:ascii="Aptos Narrow" w:hAnsi="Aptos Narrow"/>
                <w:color w:val="000000"/>
                <w:sz w:val="22"/>
                <w:szCs w:val="22"/>
              </w:rPr>
              <w:t>3.4</w:t>
            </w:r>
            <w:r w:rsidRPr="001570EA">
              <w:rPr>
                <w:rFonts w:ascii="Aptos Narrow" w:hAnsi="Aptos Narrow"/>
                <w:color w:val="000000"/>
                <w:sz w:val="22"/>
                <w:szCs w:val="22"/>
                <w:vertAlign w:val="superscript"/>
              </w:rPr>
              <w:t>d</w:t>
            </w:r>
          </w:p>
        </w:tc>
        <w:tc>
          <w:tcPr>
            <w:tcW w:w="990" w:type="dxa"/>
            <w:vAlign w:val="center"/>
            <w:hideMark/>
          </w:tcPr>
          <w:p w14:paraId="59D69CB3" w14:textId="77777777" w:rsidR="007376E1" w:rsidRPr="001570EA" w:rsidRDefault="007376E1">
            <w:pPr>
              <w:jc w:val="center"/>
              <w:rPr>
                <w:rFonts w:cs="Arial"/>
                <w:color w:val="000000"/>
                <w:sz w:val="18"/>
                <w:szCs w:val="18"/>
              </w:rPr>
            </w:pPr>
            <w:r w:rsidRPr="001570EA">
              <w:rPr>
                <w:rFonts w:cs="Arial"/>
                <w:color w:val="000000"/>
                <w:sz w:val="18"/>
                <w:szCs w:val="18"/>
              </w:rPr>
              <w:t>1.0</w:t>
            </w:r>
          </w:p>
        </w:tc>
        <w:tc>
          <w:tcPr>
            <w:tcW w:w="1080" w:type="dxa"/>
            <w:vAlign w:val="center"/>
            <w:hideMark/>
          </w:tcPr>
          <w:p w14:paraId="1946556D"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960" w:type="dxa"/>
            <w:vAlign w:val="center"/>
            <w:hideMark/>
          </w:tcPr>
          <w:p w14:paraId="3A47EB46"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1070" w:type="dxa"/>
            <w:vAlign w:val="center"/>
            <w:hideMark/>
          </w:tcPr>
          <w:p w14:paraId="7419AA81"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987" w:type="dxa"/>
            <w:vAlign w:val="center"/>
            <w:hideMark/>
          </w:tcPr>
          <w:p w14:paraId="17AEFB0C" w14:textId="77777777" w:rsidR="007376E1" w:rsidRPr="001570EA" w:rsidRDefault="007376E1">
            <w:pPr>
              <w:jc w:val="center"/>
              <w:rPr>
                <w:rFonts w:cs="Arial"/>
                <w:color w:val="000000"/>
                <w:sz w:val="18"/>
                <w:szCs w:val="18"/>
              </w:rPr>
            </w:pPr>
            <w:r w:rsidRPr="001570EA">
              <w:rPr>
                <w:rFonts w:cs="Arial"/>
                <w:color w:val="000000"/>
                <w:sz w:val="18"/>
                <w:szCs w:val="18"/>
              </w:rPr>
              <w:t>–</w:t>
            </w:r>
          </w:p>
        </w:tc>
      </w:tr>
      <w:tr w:rsidR="007376E1" w:rsidRPr="001570EA" w14:paraId="1703A483" w14:textId="77777777" w:rsidTr="001973AE">
        <w:trPr>
          <w:trHeight w:val="300"/>
        </w:trPr>
        <w:tc>
          <w:tcPr>
            <w:tcW w:w="1350" w:type="dxa"/>
            <w:gridSpan w:val="2"/>
            <w:hideMark/>
          </w:tcPr>
          <w:p w14:paraId="222862FC" w14:textId="77777777" w:rsidR="007376E1" w:rsidRPr="001570EA" w:rsidRDefault="007376E1">
            <w:pPr>
              <w:jc w:val="left"/>
              <w:rPr>
                <w:rFonts w:cs="Arial"/>
                <w:color w:val="000000"/>
                <w:sz w:val="18"/>
                <w:szCs w:val="18"/>
              </w:rPr>
            </w:pPr>
            <w:r w:rsidRPr="001570EA">
              <w:rPr>
                <w:rFonts w:cs="Arial"/>
                <w:color w:val="000000"/>
                <w:sz w:val="18"/>
                <w:szCs w:val="18"/>
              </w:rPr>
              <w:t>Elec. Furnace</w:t>
            </w:r>
          </w:p>
        </w:tc>
        <w:tc>
          <w:tcPr>
            <w:tcW w:w="1080" w:type="dxa"/>
            <w:vAlign w:val="center"/>
            <w:hideMark/>
          </w:tcPr>
          <w:p w14:paraId="026A34FE"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1035" w:type="dxa"/>
            <w:vAlign w:val="center"/>
            <w:hideMark/>
          </w:tcPr>
          <w:p w14:paraId="3F7FA6C7"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1070" w:type="dxa"/>
            <w:noWrap/>
            <w:vAlign w:val="center"/>
            <w:hideMark/>
          </w:tcPr>
          <w:p w14:paraId="1F2DE41C" w14:textId="77777777" w:rsidR="007376E1" w:rsidRPr="001570EA" w:rsidRDefault="007376E1">
            <w:pPr>
              <w:jc w:val="center"/>
              <w:rPr>
                <w:rFonts w:ascii="Aptos Narrow" w:hAnsi="Aptos Narrow"/>
                <w:color w:val="000000"/>
                <w:sz w:val="22"/>
                <w:szCs w:val="22"/>
                <w:vertAlign w:val="superscript"/>
              </w:rPr>
            </w:pPr>
            <w:r w:rsidRPr="001570EA">
              <w:rPr>
                <w:rFonts w:ascii="Aptos Narrow" w:hAnsi="Aptos Narrow"/>
                <w:color w:val="000000"/>
                <w:sz w:val="22"/>
                <w:szCs w:val="22"/>
              </w:rPr>
              <w:t>3.2</w:t>
            </w:r>
            <w:r w:rsidRPr="001570EA">
              <w:rPr>
                <w:rFonts w:ascii="Aptos Narrow" w:hAnsi="Aptos Narrow"/>
                <w:color w:val="000000"/>
                <w:sz w:val="22"/>
                <w:szCs w:val="22"/>
                <w:vertAlign w:val="superscript"/>
              </w:rPr>
              <w:t>d</w:t>
            </w:r>
          </w:p>
        </w:tc>
        <w:tc>
          <w:tcPr>
            <w:tcW w:w="990" w:type="dxa"/>
            <w:vAlign w:val="center"/>
            <w:hideMark/>
          </w:tcPr>
          <w:p w14:paraId="3E94B90C" w14:textId="77777777" w:rsidR="007376E1" w:rsidRPr="001570EA" w:rsidRDefault="007376E1">
            <w:pPr>
              <w:jc w:val="center"/>
              <w:rPr>
                <w:rFonts w:cs="Arial"/>
                <w:color w:val="000000"/>
                <w:sz w:val="18"/>
                <w:szCs w:val="18"/>
              </w:rPr>
            </w:pPr>
            <w:r w:rsidRPr="001570EA">
              <w:rPr>
                <w:rFonts w:cs="Arial"/>
                <w:color w:val="000000"/>
                <w:sz w:val="18"/>
                <w:szCs w:val="18"/>
              </w:rPr>
              <w:t>0.95</w:t>
            </w:r>
          </w:p>
        </w:tc>
        <w:tc>
          <w:tcPr>
            <w:tcW w:w="1080" w:type="dxa"/>
            <w:vAlign w:val="center"/>
            <w:hideMark/>
          </w:tcPr>
          <w:p w14:paraId="6A8BE802"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960" w:type="dxa"/>
            <w:vAlign w:val="center"/>
            <w:hideMark/>
          </w:tcPr>
          <w:p w14:paraId="14508F16"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1070" w:type="dxa"/>
            <w:vAlign w:val="center"/>
            <w:hideMark/>
          </w:tcPr>
          <w:p w14:paraId="718E0A38"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987" w:type="dxa"/>
            <w:vAlign w:val="center"/>
            <w:hideMark/>
          </w:tcPr>
          <w:p w14:paraId="712AEE44" w14:textId="77777777" w:rsidR="007376E1" w:rsidRPr="001570EA" w:rsidRDefault="007376E1">
            <w:pPr>
              <w:jc w:val="center"/>
              <w:rPr>
                <w:rFonts w:cs="Arial"/>
                <w:color w:val="000000"/>
                <w:sz w:val="18"/>
                <w:szCs w:val="18"/>
              </w:rPr>
            </w:pPr>
            <w:r w:rsidRPr="001570EA">
              <w:rPr>
                <w:rFonts w:cs="Arial"/>
                <w:color w:val="000000"/>
                <w:sz w:val="18"/>
                <w:szCs w:val="18"/>
              </w:rPr>
              <w:t>–</w:t>
            </w:r>
          </w:p>
        </w:tc>
      </w:tr>
      <w:tr w:rsidR="007376E1" w:rsidRPr="001570EA" w14:paraId="0DA413B2" w14:textId="77777777" w:rsidTr="001973AE">
        <w:trPr>
          <w:trHeight w:val="315"/>
        </w:trPr>
        <w:tc>
          <w:tcPr>
            <w:tcW w:w="1350" w:type="dxa"/>
            <w:gridSpan w:val="2"/>
            <w:hideMark/>
          </w:tcPr>
          <w:p w14:paraId="01CAE82C" w14:textId="77777777" w:rsidR="007376E1" w:rsidRPr="001570EA" w:rsidRDefault="007376E1">
            <w:pPr>
              <w:jc w:val="left"/>
              <w:rPr>
                <w:rFonts w:cs="Arial"/>
                <w:color w:val="000000"/>
                <w:sz w:val="18"/>
                <w:szCs w:val="18"/>
              </w:rPr>
            </w:pPr>
            <w:r w:rsidRPr="001570EA">
              <w:rPr>
                <w:rFonts w:cs="Arial"/>
                <w:color w:val="000000"/>
                <w:sz w:val="18"/>
                <w:szCs w:val="18"/>
              </w:rPr>
              <w:t>Space Heaters</w:t>
            </w:r>
            <w:r w:rsidRPr="001570EA">
              <w:rPr>
                <w:rFonts w:cs="Arial"/>
                <w:color w:val="000000"/>
                <w:sz w:val="16"/>
                <w:szCs w:val="16"/>
              </w:rPr>
              <w:t> </w:t>
            </w:r>
          </w:p>
        </w:tc>
        <w:tc>
          <w:tcPr>
            <w:tcW w:w="1080" w:type="dxa"/>
            <w:vAlign w:val="center"/>
            <w:hideMark/>
          </w:tcPr>
          <w:p w14:paraId="60398466"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1035" w:type="dxa"/>
            <w:vAlign w:val="center"/>
            <w:hideMark/>
          </w:tcPr>
          <w:p w14:paraId="1999218A"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1070" w:type="dxa"/>
            <w:noWrap/>
            <w:vAlign w:val="center"/>
            <w:hideMark/>
          </w:tcPr>
          <w:p w14:paraId="22A86581" w14:textId="77777777" w:rsidR="007376E1" w:rsidRPr="001570EA" w:rsidRDefault="007376E1">
            <w:pPr>
              <w:jc w:val="center"/>
              <w:rPr>
                <w:rFonts w:ascii="Aptos Narrow" w:hAnsi="Aptos Narrow"/>
                <w:color w:val="000000"/>
                <w:sz w:val="22"/>
                <w:szCs w:val="22"/>
                <w:vertAlign w:val="superscript"/>
              </w:rPr>
            </w:pPr>
            <w:r w:rsidRPr="001570EA">
              <w:rPr>
                <w:rFonts w:ascii="Aptos Narrow" w:hAnsi="Aptos Narrow"/>
                <w:color w:val="000000"/>
                <w:sz w:val="22"/>
                <w:szCs w:val="22"/>
              </w:rPr>
              <w:t>3.4</w:t>
            </w:r>
            <w:r w:rsidRPr="001570EA">
              <w:rPr>
                <w:rFonts w:ascii="Aptos Narrow" w:hAnsi="Aptos Narrow"/>
                <w:color w:val="000000"/>
                <w:sz w:val="22"/>
                <w:szCs w:val="22"/>
                <w:vertAlign w:val="superscript"/>
              </w:rPr>
              <w:t>d</w:t>
            </w:r>
          </w:p>
        </w:tc>
        <w:tc>
          <w:tcPr>
            <w:tcW w:w="990" w:type="dxa"/>
            <w:vAlign w:val="center"/>
            <w:hideMark/>
          </w:tcPr>
          <w:p w14:paraId="314ACC72" w14:textId="77777777" w:rsidR="007376E1" w:rsidRPr="001570EA" w:rsidRDefault="007376E1">
            <w:pPr>
              <w:jc w:val="center"/>
              <w:rPr>
                <w:rFonts w:cs="Arial"/>
                <w:color w:val="000000"/>
                <w:sz w:val="18"/>
                <w:szCs w:val="18"/>
              </w:rPr>
            </w:pPr>
            <w:r w:rsidRPr="001570EA">
              <w:rPr>
                <w:rFonts w:cs="Arial"/>
                <w:color w:val="000000"/>
                <w:sz w:val="18"/>
                <w:szCs w:val="18"/>
              </w:rPr>
              <w:t>1.0</w:t>
            </w:r>
          </w:p>
        </w:tc>
        <w:tc>
          <w:tcPr>
            <w:tcW w:w="1080" w:type="dxa"/>
            <w:vAlign w:val="center"/>
            <w:hideMark/>
          </w:tcPr>
          <w:p w14:paraId="1D920F4D"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960" w:type="dxa"/>
            <w:vAlign w:val="center"/>
            <w:hideMark/>
          </w:tcPr>
          <w:p w14:paraId="0761C74E"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1070" w:type="dxa"/>
            <w:vAlign w:val="center"/>
            <w:hideMark/>
          </w:tcPr>
          <w:p w14:paraId="4D27B601"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987" w:type="dxa"/>
            <w:vAlign w:val="center"/>
            <w:hideMark/>
          </w:tcPr>
          <w:p w14:paraId="077E26D3" w14:textId="77777777" w:rsidR="007376E1" w:rsidRPr="001570EA" w:rsidRDefault="007376E1">
            <w:pPr>
              <w:jc w:val="center"/>
              <w:rPr>
                <w:rFonts w:cs="Arial"/>
                <w:color w:val="000000"/>
                <w:sz w:val="18"/>
                <w:szCs w:val="18"/>
              </w:rPr>
            </w:pPr>
            <w:r w:rsidRPr="001570EA">
              <w:rPr>
                <w:rFonts w:cs="Arial"/>
                <w:color w:val="000000"/>
                <w:sz w:val="18"/>
                <w:szCs w:val="18"/>
              </w:rPr>
              <w:t>–</w:t>
            </w:r>
          </w:p>
        </w:tc>
      </w:tr>
      <w:tr w:rsidR="007376E1" w:rsidRPr="001570EA" w14:paraId="29D9A075" w14:textId="77777777" w:rsidTr="001973AE">
        <w:trPr>
          <w:trHeight w:val="495"/>
        </w:trPr>
        <w:tc>
          <w:tcPr>
            <w:tcW w:w="360" w:type="dxa"/>
            <w:vMerge w:val="restart"/>
            <w:textDirection w:val="btLr"/>
            <w:hideMark/>
          </w:tcPr>
          <w:p w14:paraId="6A943920" w14:textId="77777777" w:rsidR="007376E1" w:rsidRPr="001570EA" w:rsidRDefault="007376E1">
            <w:pPr>
              <w:jc w:val="center"/>
              <w:rPr>
                <w:rFonts w:cs="Arial"/>
                <w:color w:val="000000"/>
                <w:sz w:val="18"/>
                <w:szCs w:val="18"/>
              </w:rPr>
            </w:pPr>
            <w:r w:rsidRPr="001570EA">
              <w:rPr>
                <w:rFonts w:cs="Arial"/>
                <w:color w:val="000000"/>
                <w:sz w:val="18"/>
                <w:szCs w:val="18"/>
              </w:rPr>
              <w:t>GSHP</w:t>
            </w:r>
            <w:r w:rsidRPr="001570EA">
              <w:rPr>
                <w:rFonts w:cs="Arial"/>
                <w:color w:val="000000"/>
                <w:sz w:val="16"/>
                <w:szCs w:val="16"/>
              </w:rPr>
              <w:t> </w:t>
            </w:r>
          </w:p>
        </w:tc>
        <w:tc>
          <w:tcPr>
            <w:tcW w:w="990" w:type="dxa"/>
            <w:hideMark/>
          </w:tcPr>
          <w:p w14:paraId="536079EF" w14:textId="77777777" w:rsidR="007376E1" w:rsidRPr="001570EA" w:rsidRDefault="007376E1">
            <w:pPr>
              <w:jc w:val="left"/>
              <w:rPr>
                <w:rFonts w:cs="Arial"/>
                <w:color w:val="000000"/>
                <w:sz w:val="16"/>
                <w:szCs w:val="16"/>
              </w:rPr>
            </w:pPr>
            <w:r w:rsidRPr="001570EA">
              <w:rPr>
                <w:rFonts w:cs="Arial"/>
                <w:color w:val="000000"/>
                <w:sz w:val="16"/>
                <w:szCs w:val="16"/>
              </w:rPr>
              <w:t>Water-to-air, ground water</w:t>
            </w:r>
          </w:p>
        </w:tc>
        <w:tc>
          <w:tcPr>
            <w:tcW w:w="1080" w:type="dxa"/>
            <w:vMerge w:val="restart"/>
            <w:vAlign w:val="center"/>
            <w:hideMark/>
          </w:tcPr>
          <w:p w14:paraId="3732A296" w14:textId="77777777" w:rsidR="007376E1" w:rsidRPr="001570EA" w:rsidRDefault="007376E1">
            <w:pPr>
              <w:jc w:val="center"/>
              <w:rPr>
                <w:rFonts w:cs="Arial"/>
                <w:color w:val="000000"/>
                <w:sz w:val="18"/>
                <w:szCs w:val="18"/>
              </w:rPr>
            </w:pPr>
            <w:r w:rsidRPr="001570EA">
              <w:rPr>
                <w:rFonts w:cs="Arial"/>
                <w:color w:val="000000"/>
                <w:sz w:val="18"/>
                <w:szCs w:val="18"/>
              </w:rPr>
              <w:t>18.5</w:t>
            </w:r>
            <w:r w:rsidRPr="001570EA">
              <w:rPr>
                <w:rFonts w:cs="Arial"/>
                <w:color w:val="000000"/>
                <w:sz w:val="18"/>
                <w:szCs w:val="18"/>
                <w:vertAlign w:val="superscript"/>
              </w:rPr>
              <w:t>e</w:t>
            </w:r>
          </w:p>
        </w:tc>
        <w:tc>
          <w:tcPr>
            <w:tcW w:w="1035" w:type="dxa"/>
            <w:vMerge w:val="restart"/>
            <w:vAlign w:val="center"/>
            <w:hideMark/>
          </w:tcPr>
          <w:p w14:paraId="2C942963" w14:textId="77777777" w:rsidR="007376E1" w:rsidRPr="001570EA" w:rsidRDefault="007376E1">
            <w:pPr>
              <w:jc w:val="center"/>
              <w:rPr>
                <w:rFonts w:cs="Arial"/>
                <w:color w:val="000000"/>
                <w:sz w:val="18"/>
                <w:szCs w:val="18"/>
              </w:rPr>
            </w:pPr>
            <w:r w:rsidRPr="001570EA">
              <w:rPr>
                <w:rFonts w:cs="Arial"/>
                <w:color w:val="000000"/>
                <w:sz w:val="18"/>
                <w:szCs w:val="18"/>
              </w:rPr>
              <w:t>18.0</w:t>
            </w:r>
            <w:r w:rsidRPr="001570EA">
              <w:rPr>
                <w:rFonts w:cs="Arial"/>
                <w:color w:val="000000"/>
                <w:sz w:val="18"/>
                <w:szCs w:val="18"/>
                <w:vertAlign w:val="superscript"/>
              </w:rPr>
              <w:t>f</w:t>
            </w:r>
          </w:p>
        </w:tc>
        <w:tc>
          <w:tcPr>
            <w:tcW w:w="1070" w:type="dxa"/>
            <w:vMerge w:val="restart"/>
            <w:noWrap/>
            <w:vAlign w:val="center"/>
            <w:hideMark/>
          </w:tcPr>
          <w:p w14:paraId="4B048D16" w14:textId="77777777" w:rsidR="007376E1" w:rsidRPr="001570EA" w:rsidRDefault="007376E1">
            <w:pPr>
              <w:jc w:val="center"/>
              <w:rPr>
                <w:rFonts w:cs="Arial"/>
                <w:color w:val="000000"/>
                <w:sz w:val="18"/>
                <w:szCs w:val="18"/>
              </w:rPr>
            </w:pPr>
            <w:r w:rsidRPr="001570EA">
              <w:rPr>
                <w:rFonts w:cs="Arial"/>
                <w:color w:val="000000"/>
                <w:sz w:val="18"/>
                <w:szCs w:val="18"/>
              </w:rPr>
              <w:t>10.8</w:t>
            </w:r>
            <w:r w:rsidRPr="001570EA">
              <w:rPr>
                <w:rFonts w:cs="Arial"/>
                <w:color w:val="000000"/>
                <w:sz w:val="18"/>
                <w:szCs w:val="18"/>
                <w:vertAlign w:val="superscript"/>
              </w:rPr>
              <w:t>g</w:t>
            </w:r>
          </w:p>
        </w:tc>
        <w:tc>
          <w:tcPr>
            <w:tcW w:w="990" w:type="dxa"/>
            <w:vMerge w:val="restart"/>
            <w:vAlign w:val="center"/>
            <w:hideMark/>
          </w:tcPr>
          <w:p w14:paraId="08A561D5" w14:textId="77777777" w:rsidR="007376E1" w:rsidRPr="001570EA" w:rsidRDefault="007376E1">
            <w:pPr>
              <w:jc w:val="center"/>
              <w:rPr>
                <w:rFonts w:cs="Arial"/>
                <w:color w:val="000000"/>
                <w:sz w:val="18"/>
                <w:szCs w:val="18"/>
              </w:rPr>
            </w:pPr>
            <w:r w:rsidRPr="001570EA">
              <w:rPr>
                <w:rFonts w:cs="Arial"/>
                <w:color w:val="000000"/>
                <w:sz w:val="18"/>
                <w:szCs w:val="18"/>
              </w:rPr>
              <w:t>3.7</w:t>
            </w:r>
            <w:r w:rsidRPr="001570EA">
              <w:rPr>
                <w:rFonts w:cs="Arial"/>
                <w:color w:val="000000"/>
                <w:sz w:val="18"/>
                <w:szCs w:val="18"/>
                <w:vertAlign w:val="superscript"/>
              </w:rPr>
              <w:t>f</w:t>
            </w:r>
          </w:p>
        </w:tc>
        <w:tc>
          <w:tcPr>
            <w:tcW w:w="1080" w:type="dxa"/>
            <w:vAlign w:val="center"/>
            <w:hideMark/>
          </w:tcPr>
          <w:p w14:paraId="4BA6DDE1" w14:textId="77777777" w:rsidR="007376E1" w:rsidRPr="001570EA" w:rsidRDefault="007376E1">
            <w:pPr>
              <w:jc w:val="center"/>
              <w:rPr>
                <w:rFonts w:cs="Arial"/>
                <w:color w:val="000000"/>
                <w:sz w:val="18"/>
                <w:szCs w:val="18"/>
              </w:rPr>
            </w:pPr>
            <w:r w:rsidRPr="001570EA">
              <w:rPr>
                <w:rFonts w:cs="Arial"/>
                <w:color w:val="000000"/>
                <w:sz w:val="18"/>
                <w:szCs w:val="18"/>
              </w:rPr>
              <w:t>18.7</w:t>
            </w:r>
            <w:r w:rsidRPr="001570EA">
              <w:rPr>
                <w:rFonts w:cs="Arial"/>
                <w:color w:val="000000"/>
                <w:sz w:val="18"/>
                <w:szCs w:val="18"/>
                <w:vertAlign w:val="superscript"/>
              </w:rPr>
              <w:t>h</w:t>
            </w:r>
          </w:p>
        </w:tc>
        <w:tc>
          <w:tcPr>
            <w:tcW w:w="960" w:type="dxa"/>
            <w:vAlign w:val="center"/>
            <w:hideMark/>
          </w:tcPr>
          <w:p w14:paraId="5B9ACEBD" w14:textId="77777777" w:rsidR="007376E1" w:rsidRPr="001570EA" w:rsidRDefault="007376E1">
            <w:pPr>
              <w:jc w:val="center"/>
              <w:rPr>
                <w:rFonts w:cs="Arial"/>
                <w:color w:val="000000"/>
                <w:sz w:val="18"/>
                <w:szCs w:val="18"/>
              </w:rPr>
            </w:pPr>
            <w:r w:rsidRPr="001570EA">
              <w:rPr>
                <w:rFonts w:cs="Arial"/>
                <w:color w:val="000000"/>
                <w:sz w:val="18"/>
                <w:szCs w:val="18"/>
              </w:rPr>
              <w:t>18.0</w:t>
            </w:r>
          </w:p>
        </w:tc>
        <w:tc>
          <w:tcPr>
            <w:tcW w:w="1070" w:type="dxa"/>
            <w:noWrap/>
            <w:vAlign w:val="center"/>
            <w:hideMark/>
          </w:tcPr>
          <w:p w14:paraId="5CFA05DF" w14:textId="77777777" w:rsidR="007376E1" w:rsidRPr="001570EA" w:rsidRDefault="007376E1">
            <w:pPr>
              <w:jc w:val="center"/>
              <w:rPr>
                <w:rFonts w:cs="Arial"/>
                <w:color w:val="000000"/>
                <w:sz w:val="18"/>
                <w:szCs w:val="18"/>
              </w:rPr>
            </w:pPr>
            <w:r w:rsidRPr="001570EA">
              <w:rPr>
                <w:rFonts w:cs="Arial"/>
                <w:color w:val="000000"/>
                <w:sz w:val="18"/>
                <w:szCs w:val="18"/>
              </w:rPr>
              <w:t>10.2</w:t>
            </w:r>
            <w:r w:rsidRPr="001570EA">
              <w:rPr>
                <w:rFonts w:cs="Arial"/>
                <w:color w:val="000000"/>
                <w:sz w:val="18"/>
                <w:szCs w:val="18"/>
                <w:vertAlign w:val="superscript"/>
              </w:rPr>
              <w:t>i</w:t>
            </w:r>
          </w:p>
        </w:tc>
        <w:tc>
          <w:tcPr>
            <w:tcW w:w="987" w:type="dxa"/>
            <w:vAlign w:val="center"/>
            <w:hideMark/>
          </w:tcPr>
          <w:p w14:paraId="7EC01459" w14:textId="77777777" w:rsidR="007376E1" w:rsidRPr="001570EA" w:rsidRDefault="007376E1">
            <w:pPr>
              <w:jc w:val="center"/>
              <w:rPr>
                <w:rFonts w:cs="Arial"/>
                <w:color w:val="000000"/>
                <w:sz w:val="18"/>
                <w:szCs w:val="18"/>
              </w:rPr>
            </w:pPr>
            <w:r w:rsidRPr="001570EA">
              <w:rPr>
                <w:rFonts w:cs="Arial"/>
                <w:color w:val="000000"/>
                <w:sz w:val="18"/>
                <w:szCs w:val="18"/>
              </w:rPr>
              <w:t>3.7</w:t>
            </w:r>
          </w:p>
        </w:tc>
      </w:tr>
      <w:tr w:rsidR="007376E1" w:rsidRPr="001570EA" w14:paraId="18C64E3B" w14:textId="77777777" w:rsidTr="001973AE">
        <w:trPr>
          <w:trHeight w:val="315"/>
        </w:trPr>
        <w:tc>
          <w:tcPr>
            <w:tcW w:w="360" w:type="dxa"/>
            <w:vMerge/>
            <w:hideMark/>
          </w:tcPr>
          <w:p w14:paraId="1CED6160" w14:textId="77777777" w:rsidR="007376E1" w:rsidRPr="001570EA" w:rsidRDefault="007376E1">
            <w:pPr>
              <w:jc w:val="left"/>
              <w:rPr>
                <w:rFonts w:cs="Arial"/>
                <w:color w:val="000000"/>
                <w:sz w:val="18"/>
                <w:szCs w:val="18"/>
              </w:rPr>
            </w:pPr>
          </w:p>
        </w:tc>
        <w:tc>
          <w:tcPr>
            <w:tcW w:w="990" w:type="dxa"/>
            <w:hideMark/>
          </w:tcPr>
          <w:p w14:paraId="59BD748B" w14:textId="77777777" w:rsidR="007376E1" w:rsidRPr="001570EA" w:rsidRDefault="007376E1">
            <w:pPr>
              <w:jc w:val="left"/>
              <w:rPr>
                <w:rFonts w:cs="Arial"/>
                <w:color w:val="000000"/>
                <w:sz w:val="16"/>
                <w:szCs w:val="16"/>
              </w:rPr>
            </w:pPr>
            <w:r w:rsidRPr="001570EA">
              <w:rPr>
                <w:rFonts w:cs="Arial"/>
                <w:color w:val="000000"/>
                <w:sz w:val="16"/>
                <w:szCs w:val="16"/>
              </w:rPr>
              <w:t>Brine-to-air, ground loop</w:t>
            </w:r>
          </w:p>
        </w:tc>
        <w:tc>
          <w:tcPr>
            <w:tcW w:w="1080" w:type="dxa"/>
            <w:vMerge/>
            <w:vAlign w:val="center"/>
            <w:hideMark/>
          </w:tcPr>
          <w:p w14:paraId="542CDC13" w14:textId="77777777" w:rsidR="007376E1" w:rsidRPr="001570EA" w:rsidRDefault="007376E1">
            <w:pPr>
              <w:jc w:val="center"/>
              <w:rPr>
                <w:rFonts w:cs="Arial"/>
                <w:color w:val="000000"/>
                <w:sz w:val="18"/>
                <w:szCs w:val="18"/>
              </w:rPr>
            </w:pPr>
          </w:p>
        </w:tc>
        <w:tc>
          <w:tcPr>
            <w:tcW w:w="1035" w:type="dxa"/>
            <w:vMerge/>
            <w:vAlign w:val="center"/>
            <w:hideMark/>
          </w:tcPr>
          <w:p w14:paraId="5803AE1A" w14:textId="77777777" w:rsidR="007376E1" w:rsidRPr="001570EA" w:rsidRDefault="007376E1">
            <w:pPr>
              <w:jc w:val="center"/>
              <w:rPr>
                <w:rFonts w:cs="Arial"/>
                <w:color w:val="000000"/>
                <w:sz w:val="18"/>
                <w:szCs w:val="18"/>
              </w:rPr>
            </w:pPr>
          </w:p>
        </w:tc>
        <w:tc>
          <w:tcPr>
            <w:tcW w:w="1070" w:type="dxa"/>
            <w:vMerge/>
            <w:vAlign w:val="center"/>
            <w:hideMark/>
          </w:tcPr>
          <w:p w14:paraId="203AF630" w14:textId="77777777" w:rsidR="007376E1" w:rsidRPr="001570EA" w:rsidRDefault="007376E1">
            <w:pPr>
              <w:jc w:val="center"/>
              <w:rPr>
                <w:rFonts w:cs="Arial"/>
                <w:color w:val="000000"/>
                <w:sz w:val="18"/>
                <w:szCs w:val="18"/>
              </w:rPr>
            </w:pPr>
          </w:p>
        </w:tc>
        <w:tc>
          <w:tcPr>
            <w:tcW w:w="990" w:type="dxa"/>
            <w:vMerge/>
            <w:vAlign w:val="center"/>
            <w:hideMark/>
          </w:tcPr>
          <w:p w14:paraId="110341A5" w14:textId="77777777" w:rsidR="007376E1" w:rsidRPr="001570EA" w:rsidRDefault="007376E1">
            <w:pPr>
              <w:jc w:val="center"/>
              <w:rPr>
                <w:rFonts w:cs="Arial"/>
                <w:color w:val="000000"/>
                <w:sz w:val="18"/>
                <w:szCs w:val="18"/>
              </w:rPr>
            </w:pPr>
          </w:p>
        </w:tc>
        <w:tc>
          <w:tcPr>
            <w:tcW w:w="1080" w:type="dxa"/>
            <w:vAlign w:val="center"/>
            <w:hideMark/>
          </w:tcPr>
          <w:p w14:paraId="44F9FEE1" w14:textId="77777777" w:rsidR="007376E1" w:rsidRPr="001570EA" w:rsidRDefault="007376E1">
            <w:pPr>
              <w:jc w:val="center"/>
              <w:rPr>
                <w:rFonts w:cs="Arial"/>
                <w:color w:val="000000"/>
                <w:sz w:val="18"/>
                <w:szCs w:val="18"/>
              </w:rPr>
            </w:pPr>
            <w:r w:rsidRPr="001570EA">
              <w:rPr>
                <w:rFonts w:cs="Arial"/>
                <w:color w:val="000000"/>
                <w:sz w:val="18"/>
                <w:szCs w:val="18"/>
              </w:rPr>
              <w:t>14.5</w:t>
            </w:r>
            <w:r w:rsidRPr="001570EA">
              <w:rPr>
                <w:rFonts w:cs="Arial"/>
                <w:color w:val="000000"/>
                <w:sz w:val="18"/>
                <w:szCs w:val="18"/>
                <w:vertAlign w:val="superscript"/>
              </w:rPr>
              <w:t>h</w:t>
            </w:r>
          </w:p>
        </w:tc>
        <w:tc>
          <w:tcPr>
            <w:tcW w:w="960" w:type="dxa"/>
            <w:vAlign w:val="center"/>
            <w:hideMark/>
          </w:tcPr>
          <w:p w14:paraId="45B3D076" w14:textId="77777777" w:rsidR="007376E1" w:rsidRPr="001570EA" w:rsidRDefault="007376E1">
            <w:pPr>
              <w:jc w:val="center"/>
              <w:rPr>
                <w:rFonts w:cs="Arial"/>
                <w:color w:val="000000"/>
                <w:sz w:val="18"/>
                <w:szCs w:val="18"/>
              </w:rPr>
            </w:pPr>
            <w:r w:rsidRPr="001570EA">
              <w:rPr>
                <w:rFonts w:cs="Arial"/>
                <w:color w:val="000000"/>
                <w:sz w:val="18"/>
                <w:szCs w:val="18"/>
              </w:rPr>
              <w:t>14.1</w:t>
            </w:r>
          </w:p>
        </w:tc>
        <w:tc>
          <w:tcPr>
            <w:tcW w:w="1070" w:type="dxa"/>
            <w:noWrap/>
            <w:vAlign w:val="center"/>
            <w:hideMark/>
          </w:tcPr>
          <w:p w14:paraId="1E5106BA" w14:textId="77777777" w:rsidR="007376E1" w:rsidRPr="001570EA" w:rsidRDefault="007376E1">
            <w:pPr>
              <w:jc w:val="center"/>
              <w:rPr>
                <w:rFonts w:cs="Arial"/>
                <w:color w:val="000000"/>
                <w:sz w:val="18"/>
                <w:szCs w:val="18"/>
              </w:rPr>
            </w:pPr>
            <w:r w:rsidRPr="001570EA">
              <w:rPr>
                <w:rFonts w:cs="Arial"/>
                <w:color w:val="000000"/>
                <w:sz w:val="18"/>
                <w:szCs w:val="18"/>
              </w:rPr>
              <w:t>9.5</w:t>
            </w:r>
            <w:r w:rsidRPr="001570EA">
              <w:rPr>
                <w:rFonts w:cs="Arial"/>
                <w:color w:val="000000"/>
                <w:sz w:val="18"/>
                <w:szCs w:val="18"/>
                <w:vertAlign w:val="superscript"/>
              </w:rPr>
              <w:t>i</w:t>
            </w:r>
          </w:p>
        </w:tc>
        <w:tc>
          <w:tcPr>
            <w:tcW w:w="987" w:type="dxa"/>
            <w:vAlign w:val="center"/>
            <w:hideMark/>
          </w:tcPr>
          <w:p w14:paraId="257BC877" w14:textId="77777777" w:rsidR="007376E1" w:rsidRPr="001570EA" w:rsidRDefault="007376E1">
            <w:pPr>
              <w:jc w:val="center"/>
              <w:rPr>
                <w:rFonts w:cs="Arial"/>
                <w:color w:val="000000"/>
                <w:sz w:val="18"/>
                <w:szCs w:val="18"/>
              </w:rPr>
            </w:pPr>
            <w:r w:rsidRPr="001570EA">
              <w:rPr>
                <w:rFonts w:cs="Arial"/>
                <w:color w:val="000000"/>
                <w:sz w:val="18"/>
                <w:szCs w:val="18"/>
              </w:rPr>
              <w:t>3.2</w:t>
            </w:r>
          </w:p>
        </w:tc>
      </w:tr>
      <w:tr w:rsidR="007376E1" w:rsidRPr="001570EA" w14:paraId="4F8DA384" w14:textId="77777777" w:rsidTr="001973AE">
        <w:trPr>
          <w:trHeight w:val="480"/>
        </w:trPr>
        <w:tc>
          <w:tcPr>
            <w:tcW w:w="360" w:type="dxa"/>
            <w:vMerge/>
            <w:hideMark/>
          </w:tcPr>
          <w:p w14:paraId="0AB3EE7A" w14:textId="77777777" w:rsidR="007376E1" w:rsidRPr="001570EA" w:rsidRDefault="007376E1">
            <w:pPr>
              <w:jc w:val="left"/>
              <w:rPr>
                <w:rFonts w:cs="Arial"/>
                <w:color w:val="000000"/>
                <w:sz w:val="18"/>
                <w:szCs w:val="18"/>
              </w:rPr>
            </w:pPr>
          </w:p>
        </w:tc>
        <w:tc>
          <w:tcPr>
            <w:tcW w:w="990" w:type="dxa"/>
            <w:hideMark/>
          </w:tcPr>
          <w:p w14:paraId="33D064E9" w14:textId="77777777" w:rsidR="007376E1" w:rsidRPr="001570EA" w:rsidRDefault="007376E1">
            <w:pPr>
              <w:jc w:val="left"/>
              <w:rPr>
                <w:rFonts w:cs="Arial"/>
                <w:color w:val="000000"/>
                <w:sz w:val="16"/>
                <w:szCs w:val="16"/>
              </w:rPr>
            </w:pPr>
            <w:r w:rsidRPr="001570EA">
              <w:rPr>
                <w:rFonts w:cs="Arial"/>
                <w:color w:val="000000"/>
                <w:sz w:val="16"/>
                <w:szCs w:val="16"/>
              </w:rPr>
              <w:t>Water-to-water, ground water</w:t>
            </w:r>
          </w:p>
        </w:tc>
        <w:tc>
          <w:tcPr>
            <w:tcW w:w="1080" w:type="dxa"/>
            <w:vMerge/>
            <w:vAlign w:val="center"/>
            <w:hideMark/>
          </w:tcPr>
          <w:p w14:paraId="5CBC0706" w14:textId="77777777" w:rsidR="007376E1" w:rsidRPr="001570EA" w:rsidRDefault="007376E1">
            <w:pPr>
              <w:jc w:val="center"/>
              <w:rPr>
                <w:rFonts w:cs="Arial"/>
                <w:color w:val="000000"/>
                <w:sz w:val="18"/>
                <w:szCs w:val="18"/>
              </w:rPr>
            </w:pPr>
          </w:p>
        </w:tc>
        <w:tc>
          <w:tcPr>
            <w:tcW w:w="1035" w:type="dxa"/>
            <w:vMerge/>
            <w:vAlign w:val="center"/>
            <w:hideMark/>
          </w:tcPr>
          <w:p w14:paraId="34665CDA" w14:textId="77777777" w:rsidR="007376E1" w:rsidRPr="001570EA" w:rsidRDefault="007376E1">
            <w:pPr>
              <w:jc w:val="center"/>
              <w:rPr>
                <w:rFonts w:cs="Arial"/>
                <w:color w:val="000000"/>
                <w:sz w:val="18"/>
                <w:szCs w:val="18"/>
              </w:rPr>
            </w:pPr>
          </w:p>
        </w:tc>
        <w:tc>
          <w:tcPr>
            <w:tcW w:w="1070" w:type="dxa"/>
            <w:vMerge/>
            <w:vAlign w:val="center"/>
            <w:hideMark/>
          </w:tcPr>
          <w:p w14:paraId="5604F1B5" w14:textId="77777777" w:rsidR="007376E1" w:rsidRPr="001570EA" w:rsidRDefault="007376E1">
            <w:pPr>
              <w:jc w:val="center"/>
              <w:rPr>
                <w:rFonts w:cs="Arial"/>
                <w:color w:val="000000"/>
                <w:sz w:val="18"/>
                <w:szCs w:val="18"/>
              </w:rPr>
            </w:pPr>
          </w:p>
        </w:tc>
        <w:tc>
          <w:tcPr>
            <w:tcW w:w="990" w:type="dxa"/>
            <w:vMerge/>
            <w:vAlign w:val="center"/>
            <w:hideMark/>
          </w:tcPr>
          <w:p w14:paraId="16B996C8" w14:textId="77777777" w:rsidR="007376E1" w:rsidRPr="001570EA" w:rsidRDefault="007376E1">
            <w:pPr>
              <w:jc w:val="center"/>
              <w:rPr>
                <w:rFonts w:cs="Arial"/>
                <w:color w:val="000000"/>
                <w:sz w:val="18"/>
                <w:szCs w:val="18"/>
              </w:rPr>
            </w:pPr>
          </w:p>
        </w:tc>
        <w:tc>
          <w:tcPr>
            <w:tcW w:w="1080" w:type="dxa"/>
            <w:vAlign w:val="center"/>
            <w:hideMark/>
          </w:tcPr>
          <w:p w14:paraId="68DA2AF4" w14:textId="77777777" w:rsidR="007376E1" w:rsidRPr="001570EA" w:rsidRDefault="007376E1">
            <w:pPr>
              <w:jc w:val="center"/>
              <w:rPr>
                <w:rFonts w:cs="Arial"/>
                <w:color w:val="000000"/>
                <w:sz w:val="18"/>
                <w:szCs w:val="18"/>
              </w:rPr>
            </w:pPr>
            <w:r w:rsidRPr="001570EA">
              <w:rPr>
                <w:rFonts w:cs="Arial"/>
                <w:color w:val="000000"/>
                <w:sz w:val="18"/>
                <w:szCs w:val="18"/>
              </w:rPr>
              <w:t>15.2</w:t>
            </w:r>
            <w:r w:rsidRPr="001570EA">
              <w:rPr>
                <w:rFonts w:cs="Arial"/>
                <w:color w:val="000000"/>
                <w:sz w:val="18"/>
                <w:szCs w:val="18"/>
                <w:vertAlign w:val="superscript"/>
              </w:rPr>
              <w:t>h</w:t>
            </w:r>
          </w:p>
        </w:tc>
        <w:tc>
          <w:tcPr>
            <w:tcW w:w="960" w:type="dxa"/>
            <w:vAlign w:val="center"/>
            <w:hideMark/>
          </w:tcPr>
          <w:p w14:paraId="14AECA9B" w14:textId="77777777" w:rsidR="007376E1" w:rsidRPr="001570EA" w:rsidRDefault="007376E1">
            <w:pPr>
              <w:jc w:val="center"/>
              <w:rPr>
                <w:rFonts w:cs="Arial"/>
                <w:color w:val="000000"/>
                <w:sz w:val="18"/>
                <w:szCs w:val="18"/>
              </w:rPr>
            </w:pPr>
            <w:r w:rsidRPr="001570EA">
              <w:rPr>
                <w:rFonts w:cs="Arial"/>
                <w:color w:val="000000"/>
                <w:sz w:val="18"/>
                <w:szCs w:val="18"/>
              </w:rPr>
              <w:t>16.3</w:t>
            </w:r>
          </w:p>
        </w:tc>
        <w:tc>
          <w:tcPr>
            <w:tcW w:w="1070" w:type="dxa"/>
            <w:noWrap/>
            <w:vAlign w:val="center"/>
            <w:hideMark/>
          </w:tcPr>
          <w:p w14:paraId="109F485F" w14:textId="77777777" w:rsidR="007376E1" w:rsidRPr="001570EA" w:rsidRDefault="007376E1">
            <w:pPr>
              <w:jc w:val="center"/>
              <w:rPr>
                <w:rFonts w:cs="Arial"/>
                <w:color w:val="000000"/>
                <w:sz w:val="18"/>
                <w:szCs w:val="18"/>
              </w:rPr>
            </w:pPr>
            <w:r w:rsidRPr="001570EA">
              <w:rPr>
                <w:rFonts w:cs="Arial"/>
                <w:color w:val="000000"/>
                <w:sz w:val="18"/>
                <w:szCs w:val="18"/>
              </w:rPr>
              <w:t>8.9</w:t>
            </w:r>
            <w:r w:rsidRPr="001570EA">
              <w:rPr>
                <w:rFonts w:cs="Arial"/>
                <w:color w:val="000000"/>
                <w:sz w:val="18"/>
                <w:szCs w:val="18"/>
                <w:vertAlign w:val="superscript"/>
              </w:rPr>
              <w:t>i</w:t>
            </w:r>
          </w:p>
        </w:tc>
        <w:tc>
          <w:tcPr>
            <w:tcW w:w="987" w:type="dxa"/>
            <w:vAlign w:val="center"/>
            <w:hideMark/>
          </w:tcPr>
          <w:p w14:paraId="49A8107F" w14:textId="77777777" w:rsidR="007376E1" w:rsidRPr="001570EA" w:rsidRDefault="007376E1">
            <w:pPr>
              <w:jc w:val="center"/>
              <w:rPr>
                <w:rFonts w:cs="Arial"/>
                <w:color w:val="000000"/>
                <w:sz w:val="18"/>
                <w:szCs w:val="18"/>
              </w:rPr>
            </w:pPr>
            <w:r w:rsidRPr="001570EA">
              <w:rPr>
                <w:rFonts w:cs="Arial"/>
                <w:color w:val="000000"/>
                <w:sz w:val="18"/>
                <w:szCs w:val="18"/>
              </w:rPr>
              <w:t>3.1</w:t>
            </w:r>
          </w:p>
        </w:tc>
      </w:tr>
      <w:tr w:rsidR="007376E1" w:rsidRPr="001570EA" w14:paraId="5285708B" w14:textId="77777777" w:rsidTr="001973AE">
        <w:trPr>
          <w:trHeight w:val="495"/>
        </w:trPr>
        <w:tc>
          <w:tcPr>
            <w:tcW w:w="360" w:type="dxa"/>
            <w:vMerge/>
            <w:hideMark/>
          </w:tcPr>
          <w:p w14:paraId="07C6CE75" w14:textId="77777777" w:rsidR="007376E1" w:rsidRPr="001570EA" w:rsidRDefault="007376E1">
            <w:pPr>
              <w:jc w:val="left"/>
              <w:rPr>
                <w:rFonts w:cs="Arial"/>
                <w:color w:val="000000"/>
                <w:sz w:val="18"/>
                <w:szCs w:val="18"/>
              </w:rPr>
            </w:pPr>
          </w:p>
        </w:tc>
        <w:tc>
          <w:tcPr>
            <w:tcW w:w="990" w:type="dxa"/>
            <w:hideMark/>
          </w:tcPr>
          <w:p w14:paraId="70EB0743" w14:textId="77777777" w:rsidR="007376E1" w:rsidRPr="001570EA" w:rsidRDefault="007376E1">
            <w:pPr>
              <w:jc w:val="left"/>
              <w:rPr>
                <w:rFonts w:cs="Arial"/>
                <w:color w:val="000000"/>
                <w:sz w:val="16"/>
                <w:szCs w:val="16"/>
              </w:rPr>
            </w:pPr>
            <w:r w:rsidRPr="001570EA">
              <w:rPr>
                <w:rFonts w:cs="Arial"/>
                <w:color w:val="000000"/>
                <w:sz w:val="16"/>
                <w:szCs w:val="16"/>
              </w:rPr>
              <w:t>Brine-to-water, ground loop</w:t>
            </w:r>
          </w:p>
        </w:tc>
        <w:tc>
          <w:tcPr>
            <w:tcW w:w="1080" w:type="dxa"/>
            <w:vMerge/>
            <w:vAlign w:val="center"/>
            <w:hideMark/>
          </w:tcPr>
          <w:p w14:paraId="03828E5A" w14:textId="77777777" w:rsidR="007376E1" w:rsidRPr="001570EA" w:rsidRDefault="007376E1">
            <w:pPr>
              <w:jc w:val="center"/>
              <w:rPr>
                <w:rFonts w:cs="Arial"/>
                <w:color w:val="000000"/>
                <w:sz w:val="18"/>
                <w:szCs w:val="18"/>
              </w:rPr>
            </w:pPr>
          </w:p>
        </w:tc>
        <w:tc>
          <w:tcPr>
            <w:tcW w:w="1035" w:type="dxa"/>
            <w:vMerge/>
            <w:vAlign w:val="center"/>
            <w:hideMark/>
          </w:tcPr>
          <w:p w14:paraId="429BD3A9" w14:textId="77777777" w:rsidR="007376E1" w:rsidRPr="001570EA" w:rsidRDefault="007376E1">
            <w:pPr>
              <w:jc w:val="center"/>
              <w:rPr>
                <w:rFonts w:cs="Arial"/>
                <w:color w:val="000000"/>
                <w:sz w:val="18"/>
                <w:szCs w:val="18"/>
              </w:rPr>
            </w:pPr>
          </w:p>
        </w:tc>
        <w:tc>
          <w:tcPr>
            <w:tcW w:w="1070" w:type="dxa"/>
            <w:vMerge/>
            <w:vAlign w:val="center"/>
            <w:hideMark/>
          </w:tcPr>
          <w:p w14:paraId="6F13C060" w14:textId="77777777" w:rsidR="007376E1" w:rsidRPr="001570EA" w:rsidRDefault="007376E1">
            <w:pPr>
              <w:jc w:val="center"/>
              <w:rPr>
                <w:rFonts w:cs="Arial"/>
                <w:color w:val="000000"/>
                <w:sz w:val="18"/>
                <w:szCs w:val="18"/>
              </w:rPr>
            </w:pPr>
          </w:p>
        </w:tc>
        <w:tc>
          <w:tcPr>
            <w:tcW w:w="990" w:type="dxa"/>
            <w:vMerge/>
            <w:vAlign w:val="center"/>
            <w:hideMark/>
          </w:tcPr>
          <w:p w14:paraId="63C815BD" w14:textId="77777777" w:rsidR="007376E1" w:rsidRPr="001570EA" w:rsidRDefault="007376E1">
            <w:pPr>
              <w:jc w:val="center"/>
              <w:rPr>
                <w:rFonts w:cs="Arial"/>
                <w:color w:val="000000"/>
                <w:sz w:val="18"/>
                <w:szCs w:val="18"/>
              </w:rPr>
            </w:pPr>
          </w:p>
        </w:tc>
        <w:tc>
          <w:tcPr>
            <w:tcW w:w="1080" w:type="dxa"/>
            <w:vAlign w:val="center"/>
            <w:hideMark/>
          </w:tcPr>
          <w:p w14:paraId="0DF6DF09" w14:textId="77777777" w:rsidR="007376E1" w:rsidRPr="001570EA" w:rsidRDefault="007376E1">
            <w:pPr>
              <w:jc w:val="center"/>
              <w:rPr>
                <w:rFonts w:cs="Arial"/>
                <w:color w:val="000000"/>
                <w:sz w:val="18"/>
                <w:szCs w:val="18"/>
              </w:rPr>
            </w:pPr>
            <w:r w:rsidRPr="001570EA">
              <w:rPr>
                <w:rFonts w:cs="Arial"/>
                <w:color w:val="000000"/>
                <w:sz w:val="18"/>
                <w:szCs w:val="18"/>
              </w:rPr>
              <w:t>11.6</w:t>
            </w:r>
            <w:r w:rsidRPr="001570EA">
              <w:rPr>
                <w:rFonts w:cs="Arial"/>
                <w:color w:val="000000"/>
                <w:sz w:val="18"/>
                <w:szCs w:val="18"/>
                <w:vertAlign w:val="superscript"/>
              </w:rPr>
              <w:t>h</w:t>
            </w:r>
          </w:p>
        </w:tc>
        <w:tc>
          <w:tcPr>
            <w:tcW w:w="960" w:type="dxa"/>
            <w:vAlign w:val="center"/>
            <w:hideMark/>
          </w:tcPr>
          <w:p w14:paraId="52D71AE9" w14:textId="77777777" w:rsidR="007376E1" w:rsidRPr="001570EA" w:rsidRDefault="007376E1">
            <w:pPr>
              <w:jc w:val="center"/>
              <w:rPr>
                <w:rFonts w:cs="Arial"/>
                <w:color w:val="000000"/>
                <w:sz w:val="18"/>
                <w:szCs w:val="18"/>
              </w:rPr>
            </w:pPr>
            <w:r w:rsidRPr="001570EA">
              <w:rPr>
                <w:rFonts w:cs="Arial"/>
                <w:color w:val="000000"/>
                <w:sz w:val="18"/>
                <w:szCs w:val="18"/>
              </w:rPr>
              <w:t>12.1</w:t>
            </w:r>
          </w:p>
        </w:tc>
        <w:tc>
          <w:tcPr>
            <w:tcW w:w="1070" w:type="dxa"/>
            <w:noWrap/>
            <w:vAlign w:val="center"/>
            <w:hideMark/>
          </w:tcPr>
          <w:p w14:paraId="213030CB" w14:textId="77777777" w:rsidR="007376E1" w:rsidRPr="001570EA" w:rsidRDefault="007376E1">
            <w:pPr>
              <w:jc w:val="center"/>
              <w:rPr>
                <w:rFonts w:cs="Arial"/>
                <w:color w:val="000000"/>
                <w:sz w:val="18"/>
                <w:szCs w:val="18"/>
              </w:rPr>
            </w:pPr>
            <w:r w:rsidRPr="001570EA">
              <w:rPr>
                <w:rFonts w:cs="Arial"/>
                <w:color w:val="000000"/>
                <w:sz w:val="18"/>
                <w:szCs w:val="18"/>
              </w:rPr>
              <w:t>7.6</w:t>
            </w:r>
            <w:r w:rsidRPr="001570EA">
              <w:rPr>
                <w:rFonts w:cs="Arial"/>
                <w:color w:val="000000"/>
                <w:sz w:val="18"/>
                <w:szCs w:val="18"/>
                <w:vertAlign w:val="superscript"/>
              </w:rPr>
              <w:t>i</w:t>
            </w:r>
          </w:p>
        </w:tc>
        <w:tc>
          <w:tcPr>
            <w:tcW w:w="987" w:type="dxa"/>
            <w:vAlign w:val="center"/>
            <w:hideMark/>
          </w:tcPr>
          <w:p w14:paraId="50CC8E8C" w14:textId="77777777" w:rsidR="007376E1" w:rsidRPr="001570EA" w:rsidRDefault="007376E1">
            <w:pPr>
              <w:jc w:val="center"/>
              <w:rPr>
                <w:rFonts w:cs="Arial"/>
                <w:color w:val="000000"/>
                <w:sz w:val="18"/>
                <w:szCs w:val="18"/>
              </w:rPr>
            </w:pPr>
            <w:r w:rsidRPr="001570EA">
              <w:rPr>
                <w:rFonts w:cs="Arial"/>
                <w:color w:val="000000"/>
                <w:sz w:val="18"/>
                <w:szCs w:val="18"/>
              </w:rPr>
              <w:t>2.5</w:t>
            </w:r>
          </w:p>
        </w:tc>
      </w:tr>
      <w:tr w:rsidR="007376E1" w:rsidRPr="001570EA" w14:paraId="1782EB3B" w14:textId="77777777" w:rsidTr="001973AE">
        <w:trPr>
          <w:trHeight w:val="315"/>
        </w:trPr>
        <w:tc>
          <w:tcPr>
            <w:tcW w:w="1350" w:type="dxa"/>
            <w:gridSpan w:val="2"/>
            <w:hideMark/>
          </w:tcPr>
          <w:p w14:paraId="643B5C9C" w14:textId="77777777" w:rsidR="007376E1" w:rsidRPr="001570EA" w:rsidRDefault="007376E1">
            <w:pPr>
              <w:jc w:val="left"/>
              <w:rPr>
                <w:rFonts w:cs="Arial"/>
                <w:color w:val="000000"/>
                <w:sz w:val="18"/>
                <w:szCs w:val="18"/>
              </w:rPr>
            </w:pPr>
            <w:r w:rsidRPr="001570EA">
              <w:rPr>
                <w:rFonts w:cs="Arial"/>
                <w:color w:val="000000"/>
                <w:sz w:val="18"/>
                <w:szCs w:val="18"/>
              </w:rPr>
              <w:t>PTAC</w:t>
            </w:r>
            <w:r w:rsidRPr="001570EA">
              <w:rPr>
                <w:rFonts w:cs="Arial"/>
                <w:color w:val="000000"/>
                <w:sz w:val="18"/>
                <w:szCs w:val="18"/>
                <w:vertAlign w:val="superscript"/>
              </w:rPr>
              <w:t>i</w:t>
            </w:r>
          </w:p>
        </w:tc>
        <w:tc>
          <w:tcPr>
            <w:tcW w:w="2115" w:type="dxa"/>
            <w:gridSpan w:val="2"/>
            <w:vAlign w:val="center"/>
            <w:hideMark/>
          </w:tcPr>
          <w:p w14:paraId="545CBDE3" w14:textId="77777777" w:rsidR="007376E1" w:rsidRPr="001570EA" w:rsidRDefault="007376E1">
            <w:pPr>
              <w:jc w:val="center"/>
              <w:rPr>
                <w:rFonts w:cs="Arial"/>
                <w:color w:val="000000"/>
                <w:sz w:val="18"/>
                <w:szCs w:val="18"/>
              </w:rPr>
            </w:pPr>
            <w:r w:rsidRPr="001570EA">
              <w:rPr>
                <w:rFonts w:cs="Arial"/>
                <w:color w:val="000000"/>
                <w:sz w:val="18"/>
                <w:szCs w:val="18"/>
              </w:rPr>
              <w:t>13.8 - (0.3 x CAPY</w:t>
            </w:r>
            <w:r w:rsidRPr="001570EA">
              <w:rPr>
                <w:rFonts w:cs="Arial"/>
                <w:color w:val="000000"/>
                <w:sz w:val="18"/>
                <w:szCs w:val="18"/>
                <w:vertAlign w:val="subscript"/>
              </w:rPr>
              <w:t>cool</w:t>
            </w:r>
            <w:r w:rsidRPr="001570EA">
              <w:rPr>
                <w:rFonts w:cs="Arial"/>
                <w:color w:val="000000"/>
                <w:sz w:val="18"/>
                <w:szCs w:val="18"/>
              </w:rPr>
              <w:t>)</w:t>
            </w:r>
          </w:p>
        </w:tc>
        <w:tc>
          <w:tcPr>
            <w:tcW w:w="1070" w:type="dxa"/>
            <w:vAlign w:val="center"/>
            <w:hideMark/>
          </w:tcPr>
          <w:p w14:paraId="04ED98EA"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990" w:type="dxa"/>
            <w:vAlign w:val="center"/>
            <w:hideMark/>
          </w:tcPr>
          <w:p w14:paraId="2A100E9E"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2040" w:type="dxa"/>
            <w:gridSpan w:val="2"/>
            <w:vAlign w:val="center"/>
            <w:hideMark/>
          </w:tcPr>
          <w:p w14:paraId="450D936C" w14:textId="77777777" w:rsidR="007376E1" w:rsidRPr="001570EA" w:rsidRDefault="007376E1">
            <w:pPr>
              <w:jc w:val="center"/>
              <w:rPr>
                <w:rFonts w:cs="Arial"/>
                <w:color w:val="000000"/>
                <w:sz w:val="18"/>
                <w:szCs w:val="18"/>
              </w:rPr>
            </w:pPr>
            <w:r w:rsidRPr="001570EA">
              <w:rPr>
                <w:rFonts w:cs="Arial"/>
                <w:color w:val="000000"/>
                <w:sz w:val="18"/>
                <w:szCs w:val="18"/>
              </w:rPr>
              <w:t>13.8 - (0.3 x CAPY</w:t>
            </w:r>
            <w:r w:rsidRPr="001570EA">
              <w:rPr>
                <w:rFonts w:cs="Arial"/>
                <w:color w:val="000000"/>
                <w:sz w:val="18"/>
                <w:szCs w:val="18"/>
                <w:vertAlign w:val="subscript"/>
              </w:rPr>
              <w:t>cool</w:t>
            </w:r>
            <w:r w:rsidRPr="001570EA">
              <w:rPr>
                <w:rFonts w:cs="Arial"/>
                <w:color w:val="000000"/>
                <w:sz w:val="18"/>
                <w:szCs w:val="18"/>
              </w:rPr>
              <w:t>)</w:t>
            </w:r>
          </w:p>
        </w:tc>
        <w:tc>
          <w:tcPr>
            <w:tcW w:w="1070" w:type="dxa"/>
            <w:vAlign w:val="center"/>
            <w:hideMark/>
          </w:tcPr>
          <w:p w14:paraId="34DD6FC6" w14:textId="77777777" w:rsidR="007376E1" w:rsidRPr="001570EA" w:rsidRDefault="007376E1">
            <w:pPr>
              <w:jc w:val="center"/>
              <w:rPr>
                <w:rFonts w:cs="Arial"/>
                <w:color w:val="000000"/>
                <w:sz w:val="18"/>
                <w:szCs w:val="18"/>
              </w:rPr>
            </w:pPr>
            <w:r w:rsidRPr="001570EA">
              <w:rPr>
                <w:rFonts w:cs="Arial"/>
                <w:color w:val="000000"/>
                <w:sz w:val="18"/>
                <w:szCs w:val="18"/>
              </w:rPr>
              <w:t>–</w:t>
            </w:r>
          </w:p>
        </w:tc>
        <w:tc>
          <w:tcPr>
            <w:tcW w:w="987" w:type="dxa"/>
            <w:vAlign w:val="center"/>
            <w:hideMark/>
          </w:tcPr>
          <w:p w14:paraId="2E15DB18" w14:textId="77777777" w:rsidR="007376E1" w:rsidRPr="001570EA" w:rsidRDefault="007376E1">
            <w:pPr>
              <w:jc w:val="center"/>
              <w:rPr>
                <w:rFonts w:cs="Arial"/>
                <w:color w:val="000000"/>
                <w:sz w:val="18"/>
                <w:szCs w:val="18"/>
              </w:rPr>
            </w:pPr>
            <w:r w:rsidRPr="001570EA">
              <w:rPr>
                <w:rFonts w:cs="Arial"/>
                <w:color w:val="000000"/>
                <w:sz w:val="18"/>
                <w:szCs w:val="18"/>
              </w:rPr>
              <w:t>–</w:t>
            </w:r>
          </w:p>
        </w:tc>
      </w:tr>
      <w:tr w:rsidR="007376E1" w:rsidRPr="001570EA" w14:paraId="4055C77A" w14:textId="77777777" w:rsidTr="001973AE">
        <w:trPr>
          <w:trHeight w:val="690"/>
        </w:trPr>
        <w:tc>
          <w:tcPr>
            <w:tcW w:w="1350" w:type="dxa"/>
            <w:gridSpan w:val="2"/>
            <w:hideMark/>
          </w:tcPr>
          <w:p w14:paraId="1487032A" w14:textId="77777777" w:rsidR="007376E1" w:rsidRPr="001570EA" w:rsidRDefault="007376E1">
            <w:pPr>
              <w:jc w:val="left"/>
              <w:rPr>
                <w:rFonts w:cs="Arial"/>
                <w:color w:val="000000"/>
                <w:sz w:val="18"/>
                <w:szCs w:val="18"/>
              </w:rPr>
            </w:pPr>
            <w:r w:rsidRPr="001570EA">
              <w:rPr>
                <w:rFonts w:cs="Arial"/>
                <w:color w:val="000000"/>
                <w:sz w:val="18"/>
                <w:szCs w:val="18"/>
              </w:rPr>
              <w:t>PTHP</w:t>
            </w:r>
            <w:r w:rsidRPr="001570EA">
              <w:rPr>
                <w:rFonts w:cs="Arial"/>
                <w:color w:val="000000"/>
                <w:sz w:val="18"/>
                <w:szCs w:val="18"/>
                <w:vertAlign w:val="superscript"/>
              </w:rPr>
              <w:t>i</w:t>
            </w:r>
          </w:p>
        </w:tc>
        <w:tc>
          <w:tcPr>
            <w:tcW w:w="2115" w:type="dxa"/>
            <w:gridSpan w:val="2"/>
            <w:vAlign w:val="center"/>
            <w:hideMark/>
          </w:tcPr>
          <w:p w14:paraId="1A9115BC" w14:textId="77777777" w:rsidR="007376E1" w:rsidRPr="001570EA" w:rsidRDefault="007376E1">
            <w:pPr>
              <w:jc w:val="center"/>
              <w:rPr>
                <w:rFonts w:cs="Arial"/>
                <w:color w:val="000000"/>
                <w:sz w:val="18"/>
                <w:szCs w:val="18"/>
              </w:rPr>
            </w:pPr>
            <w:r w:rsidRPr="001570EA">
              <w:rPr>
                <w:rFonts w:cs="Arial"/>
                <w:color w:val="000000"/>
                <w:sz w:val="18"/>
                <w:szCs w:val="18"/>
              </w:rPr>
              <w:t>14.0 - (0.3 x CAPY</w:t>
            </w:r>
            <w:r w:rsidRPr="001570EA">
              <w:rPr>
                <w:rFonts w:cs="Arial"/>
                <w:color w:val="000000"/>
                <w:sz w:val="18"/>
                <w:szCs w:val="18"/>
                <w:vertAlign w:val="subscript"/>
              </w:rPr>
              <w:t>cool</w:t>
            </w:r>
            <w:r w:rsidRPr="001570EA">
              <w:rPr>
                <w:rFonts w:cs="Arial"/>
                <w:color w:val="000000"/>
                <w:sz w:val="18"/>
                <w:szCs w:val="18"/>
              </w:rPr>
              <w:t>)</w:t>
            </w:r>
          </w:p>
        </w:tc>
        <w:tc>
          <w:tcPr>
            <w:tcW w:w="1070" w:type="dxa"/>
            <w:vAlign w:val="center"/>
            <w:hideMark/>
          </w:tcPr>
          <w:p w14:paraId="4AFB9EF8" w14:textId="77777777" w:rsidR="007376E1" w:rsidRPr="001570EA" w:rsidRDefault="007376E1">
            <w:pPr>
              <w:jc w:val="center"/>
              <w:rPr>
                <w:rFonts w:cs="Arial"/>
                <w:color w:val="000000"/>
                <w:sz w:val="18"/>
                <w:szCs w:val="18"/>
              </w:rPr>
            </w:pPr>
            <w:r w:rsidRPr="001570EA">
              <w:rPr>
                <w:rFonts w:cs="Arial"/>
                <w:color w:val="000000"/>
                <w:sz w:val="18"/>
                <w:szCs w:val="18"/>
              </w:rPr>
              <w:t>3.412 x (3.7 - 0.052 x CAPY</w:t>
            </w:r>
            <w:r w:rsidRPr="001570EA">
              <w:rPr>
                <w:rFonts w:cs="Arial"/>
                <w:color w:val="000000"/>
                <w:sz w:val="18"/>
                <w:szCs w:val="18"/>
                <w:vertAlign w:val="subscript"/>
              </w:rPr>
              <w:t>cool</w:t>
            </w:r>
            <w:r w:rsidRPr="001570EA">
              <w:rPr>
                <w:rFonts w:cs="Arial"/>
                <w:color w:val="000000"/>
                <w:sz w:val="18"/>
                <w:szCs w:val="18"/>
              </w:rPr>
              <w:t>)</w:t>
            </w:r>
          </w:p>
        </w:tc>
        <w:tc>
          <w:tcPr>
            <w:tcW w:w="990" w:type="dxa"/>
            <w:vAlign w:val="center"/>
            <w:hideMark/>
          </w:tcPr>
          <w:p w14:paraId="320E697C" w14:textId="77777777" w:rsidR="007376E1" w:rsidRPr="001570EA" w:rsidRDefault="007376E1">
            <w:pPr>
              <w:jc w:val="center"/>
              <w:rPr>
                <w:rFonts w:cs="Arial"/>
                <w:color w:val="000000"/>
                <w:sz w:val="18"/>
                <w:szCs w:val="18"/>
              </w:rPr>
            </w:pPr>
            <w:r w:rsidRPr="001570EA">
              <w:rPr>
                <w:rFonts w:cs="Arial"/>
                <w:color w:val="000000"/>
                <w:sz w:val="18"/>
                <w:szCs w:val="18"/>
              </w:rPr>
              <w:t>3.7 - (0.052 x CAPY</w:t>
            </w:r>
            <w:r w:rsidRPr="001570EA">
              <w:rPr>
                <w:rFonts w:cs="Arial"/>
                <w:color w:val="000000"/>
                <w:sz w:val="18"/>
                <w:szCs w:val="18"/>
                <w:vertAlign w:val="subscript"/>
              </w:rPr>
              <w:t>cool</w:t>
            </w:r>
            <w:r w:rsidRPr="001570EA">
              <w:rPr>
                <w:rFonts w:cs="Arial"/>
                <w:color w:val="000000"/>
                <w:sz w:val="18"/>
                <w:szCs w:val="18"/>
              </w:rPr>
              <w:t>)</w:t>
            </w:r>
          </w:p>
        </w:tc>
        <w:tc>
          <w:tcPr>
            <w:tcW w:w="2040" w:type="dxa"/>
            <w:gridSpan w:val="2"/>
            <w:vAlign w:val="center"/>
            <w:hideMark/>
          </w:tcPr>
          <w:p w14:paraId="6DF18845" w14:textId="77777777" w:rsidR="007376E1" w:rsidRPr="001570EA" w:rsidRDefault="007376E1">
            <w:pPr>
              <w:jc w:val="center"/>
              <w:rPr>
                <w:rFonts w:cs="Arial"/>
                <w:color w:val="000000"/>
                <w:sz w:val="18"/>
                <w:szCs w:val="18"/>
              </w:rPr>
            </w:pPr>
            <w:r w:rsidRPr="001570EA">
              <w:rPr>
                <w:rFonts w:cs="Arial"/>
                <w:color w:val="000000"/>
                <w:sz w:val="18"/>
                <w:szCs w:val="18"/>
              </w:rPr>
              <w:t>14.0 - (0.3 x CAPY</w:t>
            </w:r>
            <w:r w:rsidRPr="001570EA">
              <w:rPr>
                <w:rFonts w:cs="Arial"/>
                <w:color w:val="000000"/>
                <w:sz w:val="18"/>
                <w:szCs w:val="18"/>
                <w:vertAlign w:val="subscript"/>
              </w:rPr>
              <w:t>cool</w:t>
            </w:r>
            <w:r w:rsidRPr="001570EA">
              <w:rPr>
                <w:rFonts w:cs="Arial"/>
                <w:color w:val="000000"/>
                <w:sz w:val="18"/>
                <w:szCs w:val="18"/>
              </w:rPr>
              <w:t>)</w:t>
            </w:r>
          </w:p>
        </w:tc>
        <w:tc>
          <w:tcPr>
            <w:tcW w:w="1070" w:type="dxa"/>
            <w:vAlign w:val="center"/>
            <w:hideMark/>
          </w:tcPr>
          <w:p w14:paraId="6605B12E" w14:textId="77777777" w:rsidR="007376E1" w:rsidRPr="001570EA" w:rsidRDefault="007376E1">
            <w:pPr>
              <w:jc w:val="center"/>
              <w:rPr>
                <w:rFonts w:cs="Arial"/>
                <w:color w:val="000000"/>
                <w:sz w:val="18"/>
                <w:szCs w:val="18"/>
              </w:rPr>
            </w:pPr>
            <w:r w:rsidRPr="001570EA">
              <w:rPr>
                <w:rFonts w:cs="Arial"/>
                <w:color w:val="000000"/>
                <w:sz w:val="18"/>
                <w:szCs w:val="18"/>
              </w:rPr>
              <w:t>3.412 x (3.7 - 0.052 x CAPY</w:t>
            </w:r>
            <w:r w:rsidRPr="001570EA">
              <w:rPr>
                <w:rFonts w:cs="Arial"/>
                <w:color w:val="000000"/>
                <w:sz w:val="18"/>
                <w:szCs w:val="18"/>
                <w:vertAlign w:val="subscript"/>
              </w:rPr>
              <w:t>cool</w:t>
            </w:r>
            <w:r w:rsidRPr="001570EA">
              <w:rPr>
                <w:rFonts w:cs="Arial"/>
                <w:color w:val="000000"/>
                <w:sz w:val="18"/>
                <w:szCs w:val="18"/>
              </w:rPr>
              <w:t>)</w:t>
            </w:r>
          </w:p>
        </w:tc>
        <w:tc>
          <w:tcPr>
            <w:tcW w:w="987" w:type="dxa"/>
            <w:vAlign w:val="center"/>
            <w:hideMark/>
          </w:tcPr>
          <w:p w14:paraId="036B2421" w14:textId="77777777" w:rsidR="007376E1" w:rsidRPr="001570EA" w:rsidRDefault="007376E1">
            <w:pPr>
              <w:jc w:val="center"/>
              <w:rPr>
                <w:rFonts w:cs="Arial"/>
                <w:color w:val="000000"/>
                <w:sz w:val="18"/>
                <w:szCs w:val="18"/>
              </w:rPr>
            </w:pPr>
            <w:r w:rsidRPr="001570EA">
              <w:rPr>
                <w:rFonts w:cs="Arial"/>
                <w:color w:val="000000"/>
                <w:sz w:val="18"/>
                <w:szCs w:val="18"/>
              </w:rPr>
              <w:t>3.7 - (0.052 x CAPY</w:t>
            </w:r>
            <w:r w:rsidRPr="001570EA">
              <w:rPr>
                <w:rFonts w:cs="Arial"/>
                <w:color w:val="000000"/>
                <w:sz w:val="18"/>
                <w:szCs w:val="18"/>
                <w:vertAlign w:val="subscript"/>
              </w:rPr>
              <w:t>cool</w:t>
            </w:r>
            <w:r w:rsidRPr="001570EA">
              <w:rPr>
                <w:rFonts w:cs="Arial"/>
                <w:color w:val="000000"/>
                <w:sz w:val="18"/>
                <w:szCs w:val="18"/>
              </w:rPr>
              <w:t>)</w:t>
            </w:r>
          </w:p>
        </w:tc>
      </w:tr>
    </w:tbl>
    <w:p w14:paraId="35D263B8" w14:textId="09701B03" w:rsidR="007376E1" w:rsidRPr="001570EA" w:rsidRDefault="007376E1" w:rsidP="007376E1">
      <w:pPr>
        <w:rPr>
          <w:sz w:val="18"/>
          <w:szCs w:val="22"/>
        </w:rPr>
      </w:pPr>
      <w:bookmarkStart w:id="190" w:name="_Hlk159421989"/>
      <w:r w:rsidRPr="001570EA">
        <w:rPr>
          <w:sz w:val="18"/>
          <w:szCs w:val="22"/>
          <w:vertAlign w:val="superscript"/>
        </w:rPr>
        <w:t xml:space="preserve">a </w:t>
      </w:r>
      <w:r w:rsidRPr="001570EA">
        <w:rPr>
          <w:sz w:val="18"/>
          <w:szCs w:val="22"/>
        </w:rPr>
        <w:t xml:space="preserve">Disaggregated ASHP values from the </w:t>
      </w:r>
      <w:r w:rsidR="008D5F0D">
        <w:rPr>
          <w:sz w:val="18"/>
          <w:szCs w:val="22"/>
        </w:rPr>
        <w:t xml:space="preserve">Act 129 </w:t>
      </w:r>
      <w:r w:rsidRPr="001570EA">
        <w:rPr>
          <w:sz w:val="18"/>
          <w:szCs w:val="22"/>
        </w:rPr>
        <w:t xml:space="preserve">2023 </w:t>
      </w:r>
      <w:r w:rsidR="008D5F0D">
        <w:rPr>
          <w:sz w:val="18"/>
          <w:szCs w:val="22"/>
        </w:rPr>
        <w:t>Pennsylvania</w:t>
      </w:r>
      <w:r w:rsidR="008D5F0D" w:rsidRPr="001570EA">
        <w:rPr>
          <w:sz w:val="18"/>
          <w:szCs w:val="22"/>
        </w:rPr>
        <w:t xml:space="preserve"> </w:t>
      </w:r>
      <w:r w:rsidRPr="001570EA">
        <w:rPr>
          <w:sz w:val="18"/>
          <w:szCs w:val="22"/>
        </w:rPr>
        <w:t xml:space="preserve">Residential Baseline </w:t>
      </w:r>
      <w:r w:rsidR="008D5F0D" w:rsidRPr="001570EA">
        <w:rPr>
          <w:sz w:val="18"/>
          <w:szCs w:val="22"/>
        </w:rPr>
        <w:t>Study</w:t>
      </w:r>
    </w:p>
    <w:p w14:paraId="63485FDC" w14:textId="77777777" w:rsidR="007376E1" w:rsidRPr="001570EA" w:rsidRDefault="007376E1" w:rsidP="007376E1">
      <w:pPr>
        <w:rPr>
          <w:sz w:val="18"/>
          <w:szCs w:val="22"/>
        </w:rPr>
      </w:pPr>
      <w:r w:rsidRPr="001570EA">
        <w:rPr>
          <w:sz w:val="18"/>
          <w:szCs w:val="22"/>
          <w:vertAlign w:val="superscript"/>
        </w:rPr>
        <w:t xml:space="preserve">b </w:t>
      </w:r>
      <w:r w:rsidRPr="001570EA">
        <w:rPr>
          <w:sz w:val="18"/>
          <w:szCs w:val="22"/>
        </w:rPr>
        <w:t>Value is calculated based on conversion equations laid out in Vol 1. Appendix A and EER = -0.02 x SEER</w:t>
      </w:r>
      <w:r w:rsidRPr="001570EA">
        <w:rPr>
          <w:sz w:val="18"/>
          <w:szCs w:val="22"/>
          <w:vertAlign w:val="superscript"/>
        </w:rPr>
        <w:t xml:space="preserve">2 </w:t>
      </w:r>
      <w:r w:rsidRPr="001570EA">
        <w:rPr>
          <w:sz w:val="18"/>
          <w:szCs w:val="22"/>
        </w:rPr>
        <w:t>+ 1.12 x SEER</w:t>
      </w:r>
    </w:p>
    <w:p w14:paraId="6A9268D7" w14:textId="77777777" w:rsidR="007376E1" w:rsidRPr="001570EA" w:rsidRDefault="007376E1" w:rsidP="007376E1">
      <w:pPr>
        <w:rPr>
          <w:sz w:val="18"/>
          <w:szCs w:val="22"/>
        </w:rPr>
      </w:pPr>
      <w:r w:rsidRPr="001570EA">
        <w:rPr>
          <w:sz w:val="18"/>
          <w:szCs w:val="22"/>
          <w:vertAlign w:val="superscript"/>
        </w:rPr>
        <w:t>c</w:t>
      </w:r>
      <w:r w:rsidRPr="001570EA">
        <w:rPr>
          <w:sz w:val="18"/>
          <w:szCs w:val="22"/>
        </w:rPr>
        <w:t xml:space="preserve"> Value is calculated based on conversion equations laid out in Vol 1. Appendix A and COP = HSPF / 3.412.</w:t>
      </w:r>
    </w:p>
    <w:p w14:paraId="0DCCEBDB" w14:textId="77777777" w:rsidR="007376E1" w:rsidRPr="001570EA" w:rsidRDefault="007376E1" w:rsidP="007376E1">
      <w:pPr>
        <w:rPr>
          <w:sz w:val="18"/>
          <w:szCs w:val="22"/>
        </w:rPr>
      </w:pPr>
      <w:r w:rsidRPr="001570EA">
        <w:rPr>
          <w:sz w:val="18"/>
          <w:szCs w:val="22"/>
          <w:vertAlign w:val="superscript"/>
        </w:rPr>
        <w:t>d</w:t>
      </w:r>
      <w:r w:rsidRPr="001570EA">
        <w:rPr>
          <w:sz w:val="18"/>
          <w:szCs w:val="22"/>
        </w:rPr>
        <w:t xml:space="preserve"> Equipment COPs vary between 0.95 and 1.00. Using the formula HSPF = COP x 3.412, a COP of 0.95 therefore equates to an HSPF of 3.241.</w:t>
      </w:r>
    </w:p>
    <w:p w14:paraId="0980EBAE" w14:textId="77777777" w:rsidR="007376E1" w:rsidRPr="001570EA" w:rsidRDefault="007376E1" w:rsidP="007376E1">
      <w:pPr>
        <w:rPr>
          <w:sz w:val="18"/>
          <w:szCs w:val="22"/>
        </w:rPr>
      </w:pPr>
      <w:r w:rsidRPr="001570EA">
        <w:rPr>
          <w:sz w:val="18"/>
          <w:szCs w:val="22"/>
          <w:vertAlign w:val="superscript"/>
        </w:rPr>
        <w:t>e</w:t>
      </w:r>
      <w:r w:rsidRPr="001570EA">
        <w:rPr>
          <w:sz w:val="18"/>
          <w:szCs w:val="22"/>
        </w:rPr>
        <w:t xml:space="preserve"> Value calculated using the average of the GSER values listed in Table 2-11 and the following formula: SEER = EER x GSER.</w:t>
      </w:r>
    </w:p>
    <w:p w14:paraId="31DE31C0" w14:textId="1CFE51E4" w:rsidR="007376E1" w:rsidRPr="001570EA" w:rsidRDefault="007376E1" w:rsidP="007376E1">
      <w:pPr>
        <w:rPr>
          <w:sz w:val="18"/>
          <w:szCs w:val="22"/>
        </w:rPr>
      </w:pPr>
      <w:r w:rsidRPr="001570EA">
        <w:rPr>
          <w:sz w:val="18"/>
          <w:szCs w:val="22"/>
          <w:vertAlign w:val="superscript"/>
        </w:rPr>
        <w:t>f</w:t>
      </w:r>
      <w:r w:rsidRPr="001570EA">
        <w:rPr>
          <w:sz w:val="18"/>
          <w:szCs w:val="22"/>
        </w:rPr>
        <w:t xml:space="preserve"> Value is from </w:t>
      </w:r>
      <w:r w:rsidR="00A31362" w:rsidRPr="001570EA">
        <w:rPr>
          <w:sz w:val="18"/>
          <w:szCs w:val="22"/>
        </w:rPr>
        <w:t xml:space="preserve">Act 129 </w:t>
      </w:r>
      <w:r w:rsidRPr="001570EA">
        <w:rPr>
          <w:sz w:val="18"/>
          <w:szCs w:val="22"/>
        </w:rPr>
        <w:t>2023 Pennsylvania Residential Baseline Study, but capped to current federal efficiency</w:t>
      </w:r>
    </w:p>
    <w:p w14:paraId="34276DCA" w14:textId="77777777" w:rsidR="007376E1" w:rsidRPr="001570EA" w:rsidRDefault="007376E1" w:rsidP="007376E1">
      <w:pPr>
        <w:rPr>
          <w:sz w:val="18"/>
          <w:szCs w:val="22"/>
        </w:rPr>
      </w:pPr>
      <w:r w:rsidRPr="001570EA">
        <w:rPr>
          <w:sz w:val="18"/>
          <w:szCs w:val="22"/>
          <w:vertAlign w:val="superscript"/>
        </w:rPr>
        <w:t>g</w:t>
      </w:r>
      <w:r w:rsidRPr="001570EA">
        <w:rPr>
          <w:sz w:val="18"/>
          <w:szCs w:val="22"/>
        </w:rPr>
        <w:t xml:space="preserve"> Value calculated using the average of the GSOP values listed in Table 2-11 and the following formula: HSPF = COP x 3.412 x GSOP</w:t>
      </w:r>
    </w:p>
    <w:p w14:paraId="67ABAC75" w14:textId="77777777" w:rsidR="007376E1" w:rsidRPr="001570EA" w:rsidRDefault="007376E1" w:rsidP="007376E1">
      <w:pPr>
        <w:rPr>
          <w:sz w:val="18"/>
          <w:szCs w:val="22"/>
        </w:rPr>
      </w:pPr>
      <w:r w:rsidRPr="001570EA">
        <w:rPr>
          <w:sz w:val="18"/>
          <w:szCs w:val="22"/>
          <w:vertAlign w:val="superscript"/>
        </w:rPr>
        <w:t>h</w:t>
      </w:r>
      <w:r w:rsidRPr="001570EA">
        <w:rPr>
          <w:sz w:val="18"/>
          <w:szCs w:val="22"/>
        </w:rPr>
        <w:t xml:space="preserve"> Value calculated using the corresponding GSER value listed in Table 2-11 and the following formula: SEER = EER x GSER.</w:t>
      </w:r>
    </w:p>
    <w:p w14:paraId="4003E8AF" w14:textId="77777777" w:rsidR="007376E1" w:rsidRPr="001570EA" w:rsidRDefault="007376E1" w:rsidP="007376E1">
      <w:pPr>
        <w:rPr>
          <w:sz w:val="18"/>
          <w:szCs w:val="22"/>
        </w:rPr>
      </w:pPr>
      <w:r w:rsidRPr="001570EA">
        <w:rPr>
          <w:sz w:val="18"/>
          <w:szCs w:val="22"/>
          <w:vertAlign w:val="superscript"/>
        </w:rPr>
        <w:t>i</w:t>
      </w:r>
      <w:r w:rsidRPr="001570EA">
        <w:rPr>
          <w:sz w:val="18"/>
          <w:szCs w:val="22"/>
        </w:rPr>
        <w:t xml:space="preserve"> Value calculated using the corresponding GSOP value listed in Table 2-11 and the following formula: HSPF = COP x 3.412 x GSOP</w:t>
      </w:r>
    </w:p>
    <w:p w14:paraId="710255CA" w14:textId="77777777" w:rsidR="007376E1" w:rsidRPr="001570EA" w:rsidRDefault="007376E1" w:rsidP="007376E1">
      <w:pPr>
        <w:rPr>
          <w:sz w:val="18"/>
          <w:szCs w:val="22"/>
        </w:rPr>
      </w:pPr>
      <w:r w:rsidRPr="001570EA">
        <w:rPr>
          <w:sz w:val="18"/>
          <w:szCs w:val="22"/>
          <w:vertAlign w:val="superscript"/>
        </w:rPr>
        <w:t>j</w:t>
      </w:r>
      <w:r w:rsidRPr="001570EA">
        <w:rPr>
          <w:sz w:val="18"/>
          <w:szCs w:val="22"/>
        </w:rPr>
        <w:t xml:space="preserve"> </w:t>
      </w:r>
      <w:r w:rsidRPr="001570EA">
        <w:rPr>
          <w:rFonts w:cs="Arial"/>
          <w:sz w:val="18"/>
          <w:szCs w:val="18"/>
        </w:rPr>
        <w:t xml:space="preserve"> </w:t>
      </w:r>
      <w:r w:rsidRPr="001570EA">
        <w:rPr>
          <w:rStyle w:val="FootnoteReference"/>
          <w:rFonts w:cs="Arial"/>
          <w:sz w:val="18"/>
          <w:szCs w:val="18"/>
          <w:vertAlign w:val="baseline"/>
        </w:rPr>
        <w:t xml:space="preserve">If the unit’s capacity is less than 7 kBTU/hr, </w:t>
      </w:r>
      <w:r w:rsidRPr="001570EA">
        <w:rPr>
          <w:rFonts w:cs="Arial"/>
          <w:sz w:val="18"/>
          <w:szCs w:val="18"/>
        </w:rPr>
        <w:t xml:space="preserve">use </w:t>
      </w:r>
      <w:r w:rsidRPr="001570EA">
        <w:rPr>
          <w:rStyle w:val="FootnoteReference"/>
          <w:rFonts w:cs="Arial"/>
          <w:sz w:val="18"/>
          <w:szCs w:val="18"/>
          <w:vertAlign w:val="baseline"/>
        </w:rPr>
        <w:t xml:space="preserve">7 </w:t>
      </w:r>
      <w:r w:rsidRPr="001570EA">
        <w:rPr>
          <w:rFonts w:cs="Arial"/>
          <w:sz w:val="18"/>
          <w:szCs w:val="18"/>
        </w:rPr>
        <w:t>k</w:t>
      </w:r>
      <w:r w:rsidRPr="001570EA">
        <w:rPr>
          <w:rStyle w:val="FootnoteReference"/>
          <w:rFonts w:cs="Arial"/>
          <w:sz w:val="18"/>
          <w:szCs w:val="18"/>
          <w:vertAlign w:val="baseline"/>
        </w:rPr>
        <w:t>BTU/hr in the calculation. If the unit’s capacity is greater than 15 kBTU/h, use 15 kBTU/hr in the calculation</w:t>
      </w:r>
      <w:r w:rsidRPr="001570EA">
        <w:rPr>
          <w:rFonts w:cs="Arial"/>
          <w:sz w:val="18"/>
          <w:szCs w:val="18"/>
        </w:rPr>
        <w:t>.</w:t>
      </w:r>
    </w:p>
    <w:bookmarkEnd w:id="190"/>
    <w:p w14:paraId="01A22CE2" w14:textId="77777777" w:rsidR="007376E1" w:rsidRPr="001570EA" w:rsidRDefault="007376E1" w:rsidP="007376E1">
      <w:pPr>
        <w:pStyle w:val="Caption"/>
        <w:jc w:val="left"/>
        <w:rPr>
          <w:b w:val="0"/>
        </w:rPr>
      </w:pPr>
    </w:p>
    <w:p w14:paraId="45A08F60" w14:textId="067514EB" w:rsidR="007376E1" w:rsidRPr="001570EA" w:rsidRDefault="007376E1" w:rsidP="007376E1">
      <w:pPr>
        <w:pStyle w:val="Caption"/>
      </w:pPr>
      <w:bookmarkStart w:id="191" w:name="_Ref163903060"/>
      <w:bookmarkStart w:id="192" w:name="_Ref527537901"/>
      <w:bookmarkStart w:id="193" w:name="_Toc47598254"/>
      <w:bookmarkStart w:id="194" w:name="_Hlk14888431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11</w:t>
      </w:r>
      <w:r w:rsidR="002E093A" w:rsidRPr="001570EA">
        <w:fldChar w:fldCharType="end"/>
      </w:r>
      <w:bookmarkEnd w:id="191"/>
      <w:r w:rsidRPr="001570EA">
        <w:t>: Proper Size Factors for High Efficiency Equipment</w:t>
      </w:r>
    </w:p>
    <w:tbl>
      <w:tblPr>
        <w:tblStyle w:val="TableGrid"/>
        <w:tblW w:w="8616" w:type="dxa"/>
        <w:tblInd w:w="115" w:type="dxa"/>
        <w:tblLook w:val="04A0" w:firstRow="1" w:lastRow="0" w:firstColumn="1" w:lastColumn="0" w:noHBand="0" w:noVBand="1"/>
      </w:tblPr>
      <w:tblGrid>
        <w:gridCol w:w="1624"/>
        <w:gridCol w:w="1428"/>
        <w:gridCol w:w="1295"/>
        <w:gridCol w:w="1326"/>
        <w:gridCol w:w="1548"/>
        <w:gridCol w:w="1395"/>
      </w:tblGrid>
      <w:tr w:rsidR="007376E1" w:rsidRPr="001570EA" w14:paraId="68658941" w14:textId="77777777">
        <w:trPr>
          <w:trHeight w:val="636"/>
        </w:trPr>
        <w:tc>
          <w:tcPr>
            <w:tcW w:w="1624" w:type="dxa"/>
            <w:shd w:val="clear" w:color="auto" w:fill="BFBFBF" w:themeFill="background1" w:themeFillShade="BF"/>
            <w:vAlign w:val="center"/>
          </w:tcPr>
          <w:p w14:paraId="3BA93556" w14:textId="77777777" w:rsidR="007376E1" w:rsidRPr="001570EA" w:rsidRDefault="007376E1">
            <w:pPr>
              <w:jc w:val="center"/>
              <w:rPr>
                <w:b/>
                <w:sz w:val="18"/>
                <w:szCs w:val="18"/>
              </w:rPr>
            </w:pPr>
            <w:r w:rsidRPr="001570EA">
              <w:rPr>
                <w:b/>
                <w:sz w:val="18"/>
                <w:szCs w:val="18"/>
              </w:rPr>
              <w:t>Proper Size Factor</w:t>
            </w:r>
          </w:p>
        </w:tc>
        <w:tc>
          <w:tcPr>
            <w:tcW w:w="1428" w:type="dxa"/>
            <w:shd w:val="clear" w:color="auto" w:fill="BFBFBF" w:themeFill="background1" w:themeFillShade="BF"/>
            <w:vAlign w:val="center"/>
          </w:tcPr>
          <w:p w14:paraId="656FF2EA" w14:textId="77777777" w:rsidR="007376E1" w:rsidRPr="001570EA" w:rsidRDefault="007376E1">
            <w:pPr>
              <w:jc w:val="center"/>
              <w:rPr>
                <w:b/>
                <w:sz w:val="18"/>
                <w:szCs w:val="18"/>
              </w:rPr>
            </w:pPr>
            <w:r w:rsidRPr="001570EA">
              <w:rPr>
                <w:rFonts w:cs="Arial"/>
                <w:b/>
                <w:sz w:val="18"/>
                <w:szCs w:val="18"/>
              </w:rPr>
              <w:t>ASHP</w:t>
            </w:r>
          </w:p>
        </w:tc>
        <w:tc>
          <w:tcPr>
            <w:tcW w:w="1295" w:type="dxa"/>
            <w:shd w:val="clear" w:color="auto" w:fill="BFBFBF" w:themeFill="background1" w:themeFillShade="BF"/>
            <w:vAlign w:val="center"/>
          </w:tcPr>
          <w:p w14:paraId="12C6F093" w14:textId="77777777" w:rsidR="007376E1" w:rsidRPr="001570EA" w:rsidRDefault="007376E1">
            <w:pPr>
              <w:jc w:val="center"/>
              <w:rPr>
                <w:b/>
                <w:sz w:val="18"/>
                <w:szCs w:val="18"/>
              </w:rPr>
            </w:pPr>
            <w:r w:rsidRPr="001570EA">
              <w:rPr>
                <w:rFonts w:cs="Arial"/>
                <w:b/>
                <w:sz w:val="18"/>
                <w:szCs w:val="18"/>
              </w:rPr>
              <w:t>CAC</w:t>
            </w:r>
          </w:p>
        </w:tc>
        <w:tc>
          <w:tcPr>
            <w:tcW w:w="1326" w:type="dxa"/>
            <w:shd w:val="clear" w:color="auto" w:fill="BFBFBF" w:themeFill="background1" w:themeFillShade="BF"/>
            <w:vAlign w:val="center"/>
          </w:tcPr>
          <w:p w14:paraId="7507EAA6" w14:textId="77777777" w:rsidR="007376E1" w:rsidRPr="001570EA" w:rsidRDefault="007376E1">
            <w:pPr>
              <w:jc w:val="center"/>
              <w:rPr>
                <w:b/>
                <w:sz w:val="18"/>
                <w:szCs w:val="18"/>
              </w:rPr>
            </w:pPr>
            <w:r w:rsidRPr="001570EA">
              <w:rPr>
                <w:rFonts w:cs="Arial"/>
                <w:b/>
                <w:sz w:val="18"/>
                <w:szCs w:val="18"/>
              </w:rPr>
              <w:t>PTAC</w:t>
            </w:r>
          </w:p>
        </w:tc>
        <w:tc>
          <w:tcPr>
            <w:tcW w:w="1548" w:type="dxa"/>
            <w:shd w:val="clear" w:color="auto" w:fill="BFBFBF" w:themeFill="background1" w:themeFillShade="BF"/>
            <w:vAlign w:val="center"/>
          </w:tcPr>
          <w:p w14:paraId="4BC1EBCC" w14:textId="77777777" w:rsidR="007376E1" w:rsidRPr="001570EA" w:rsidRDefault="007376E1">
            <w:pPr>
              <w:jc w:val="center"/>
              <w:rPr>
                <w:b/>
                <w:sz w:val="18"/>
                <w:szCs w:val="18"/>
              </w:rPr>
            </w:pPr>
            <w:r w:rsidRPr="001570EA">
              <w:rPr>
                <w:rFonts w:cs="Arial"/>
                <w:b/>
                <w:sz w:val="18"/>
                <w:szCs w:val="18"/>
              </w:rPr>
              <w:t>PTHP</w:t>
            </w:r>
          </w:p>
        </w:tc>
        <w:tc>
          <w:tcPr>
            <w:tcW w:w="1395" w:type="dxa"/>
            <w:shd w:val="clear" w:color="auto" w:fill="BFBFBF" w:themeFill="background1" w:themeFillShade="BF"/>
            <w:vAlign w:val="center"/>
          </w:tcPr>
          <w:p w14:paraId="697FD6EF" w14:textId="77777777" w:rsidR="007376E1" w:rsidRPr="001570EA" w:rsidRDefault="007376E1">
            <w:pPr>
              <w:jc w:val="center"/>
              <w:rPr>
                <w:rFonts w:cs="Arial"/>
                <w:b/>
                <w:sz w:val="18"/>
                <w:szCs w:val="18"/>
              </w:rPr>
            </w:pPr>
            <w:r w:rsidRPr="001570EA">
              <w:rPr>
                <w:rFonts w:cs="Arial"/>
                <w:b/>
                <w:sz w:val="18"/>
                <w:szCs w:val="18"/>
              </w:rPr>
              <w:t>GSHP</w:t>
            </w:r>
          </w:p>
        </w:tc>
      </w:tr>
      <w:tr w:rsidR="007376E1" w:rsidRPr="001570EA" w14:paraId="41C3C8FF" w14:textId="77777777">
        <w:trPr>
          <w:trHeight w:val="293"/>
        </w:trPr>
        <w:tc>
          <w:tcPr>
            <w:tcW w:w="1624" w:type="dxa"/>
            <w:vAlign w:val="center"/>
          </w:tcPr>
          <w:p w14:paraId="1A4F7B2D" w14:textId="77777777" w:rsidR="007376E1" w:rsidRPr="001570EA" w:rsidRDefault="007376E1">
            <w:pPr>
              <w:jc w:val="center"/>
              <w:rPr>
                <w:rFonts w:ascii="Cambria Math" w:hAnsi="Cambria Math"/>
                <w:sz w:val="18"/>
                <w:szCs w:val="18"/>
              </w:rPr>
            </w:pPr>
            <w:r w:rsidRPr="001570EA">
              <w:rPr>
                <w:rFonts w:ascii="Cambria Math" w:hAnsi="Cambria Math" w:cs="Arial"/>
                <w:i/>
                <w:iCs/>
              </w:rPr>
              <w:t>ΔkW</w:t>
            </w:r>
            <w:r w:rsidRPr="001570EA">
              <w:rPr>
                <w:rFonts w:ascii="Cambria Math" w:hAnsi="Cambria Math" w:cs="Arial"/>
                <w:i/>
                <w:iCs/>
                <w:vertAlign w:val="subscript"/>
              </w:rPr>
              <w:t>PSF cool</w:t>
            </w:r>
          </w:p>
        </w:tc>
        <w:tc>
          <w:tcPr>
            <w:tcW w:w="1428" w:type="dxa"/>
            <w:vAlign w:val="center"/>
          </w:tcPr>
          <w:p w14:paraId="76352AC9" w14:textId="77777777" w:rsidR="007376E1" w:rsidRPr="001570EA" w:rsidRDefault="007376E1">
            <w:pPr>
              <w:jc w:val="center"/>
              <w:rPr>
                <w:sz w:val="18"/>
                <w:szCs w:val="18"/>
              </w:rPr>
            </w:pPr>
            <w:r w:rsidRPr="001570EA">
              <w:rPr>
                <w:sz w:val="18"/>
                <w:szCs w:val="18"/>
              </w:rPr>
              <w:t>0</w:t>
            </w:r>
          </w:p>
        </w:tc>
        <w:tc>
          <w:tcPr>
            <w:tcW w:w="1295" w:type="dxa"/>
            <w:vAlign w:val="center"/>
          </w:tcPr>
          <w:p w14:paraId="70B75F1F" w14:textId="77777777" w:rsidR="007376E1" w:rsidRPr="001570EA" w:rsidRDefault="007376E1">
            <w:pPr>
              <w:jc w:val="center"/>
              <w:rPr>
                <w:sz w:val="18"/>
                <w:szCs w:val="18"/>
              </w:rPr>
            </w:pPr>
            <w:r w:rsidRPr="001570EA">
              <w:rPr>
                <w:sz w:val="18"/>
                <w:szCs w:val="18"/>
              </w:rPr>
              <w:t>0.05</w:t>
            </w:r>
          </w:p>
        </w:tc>
        <w:tc>
          <w:tcPr>
            <w:tcW w:w="1326" w:type="dxa"/>
            <w:vAlign w:val="center"/>
          </w:tcPr>
          <w:p w14:paraId="45C91D13" w14:textId="77777777" w:rsidR="007376E1" w:rsidRPr="001570EA" w:rsidRDefault="007376E1">
            <w:pPr>
              <w:jc w:val="center"/>
              <w:rPr>
                <w:sz w:val="18"/>
                <w:szCs w:val="18"/>
              </w:rPr>
            </w:pPr>
            <w:r w:rsidRPr="001570EA">
              <w:rPr>
                <w:sz w:val="18"/>
                <w:szCs w:val="18"/>
              </w:rPr>
              <w:t>0.05</w:t>
            </w:r>
          </w:p>
        </w:tc>
        <w:tc>
          <w:tcPr>
            <w:tcW w:w="1548" w:type="dxa"/>
            <w:vAlign w:val="center"/>
          </w:tcPr>
          <w:p w14:paraId="4F6D42A2" w14:textId="77777777" w:rsidR="007376E1" w:rsidRPr="001570EA" w:rsidRDefault="007376E1">
            <w:pPr>
              <w:jc w:val="center"/>
              <w:rPr>
                <w:sz w:val="18"/>
                <w:szCs w:val="18"/>
              </w:rPr>
            </w:pPr>
            <w:r w:rsidRPr="001570EA">
              <w:rPr>
                <w:sz w:val="18"/>
                <w:szCs w:val="18"/>
              </w:rPr>
              <w:t>0</w:t>
            </w:r>
          </w:p>
        </w:tc>
        <w:tc>
          <w:tcPr>
            <w:tcW w:w="1395" w:type="dxa"/>
            <w:vAlign w:val="center"/>
          </w:tcPr>
          <w:p w14:paraId="2DA22DCC" w14:textId="77777777" w:rsidR="007376E1" w:rsidRPr="001570EA" w:rsidRDefault="007376E1">
            <w:pPr>
              <w:jc w:val="center"/>
              <w:rPr>
                <w:sz w:val="18"/>
                <w:szCs w:val="18"/>
              </w:rPr>
            </w:pPr>
            <w:r w:rsidRPr="001570EA">
              <w:rPr>
                <w:sz w:val="18"/>
                <w:szCs w:val="18"/>
              </w:rPr>
              <w:t>0</w:t>
            </w:r>
          </w:p>
        </w:tc>
      </w:tr>
      <w:tr w:rsidR="007376E1" w:rsidRPr="001570EA" w14:paraId="5773D67B" w14:textId="77777777">
        <w:trPr>
          <w:trHeight w:val="293"/>
        </w:trPr>
        <w:tc>
          <w:tcPr>
            <w:tcW w:w="1624" w:type="dxa"/>
            <w:vAlign w:val="center"/>
          </w:tcPr>
          <w:p w14:paraId="0F02A8F8" w14:textId="77777777" w:rsidR="007376E1" w:rsidRPr="001570EA" w:rsidRDefault="007376E1">
            <w:pPr>
              <w:jc w:val="center"/>
              <w:rPr>
                <w:rFonts w:ascii="Cambria Math" w:hAnsi="Cambria Math" w:cs="Arial"/>
                <w:i/>
                <w:sz w:val="18"/>
                <w:szCs w:val="18"/>
              </w:rPr>
            </w:pPr>
            <w:r w:rsidRPr="001570EA">
              <w:rPr>
                <w:rFonts w:ascii="Cambria Math" w:hAnsi="Cambria Math" w:cs="Arial"/>
                <w:i/>
                <w:iCs/>
              </w:rPr>
              <w:t>ΔkW</w:t>
            </w:r>
            <w:r w:rsidRPr="001570EA">
              <w:rPr>
                <w:rFonts w:ascii="Cambria Math" w:hAnsi="Cambria Math" w:cs="Arial"/>
                <w:i/>
                <w:iCs/>
                <w:vertAlign w:val="subscript"/>
              </w:rPr>
              <w:t>PSF heat</w:t>
            </w:r>
          </w:p>
        </w:tc>
        <w:tc>
          <w:tcPr>
            <w:tcW w:w="1428" w:type="dxa"/>
            <w:vAlign w:val="center"/>
          </w:tcPr>
          <w:p w14:paraId="7418ECC2" w14:textId="77777777" w:rsidR="007376E1" w:rsidRPr="001570EA" w:rsidRDefault="007376E1">
            <w:pPr>
              <w:jc w:val="center"/>
              <w:rPr>
                <w:sz w:val="18"/>
                <w:szCs w:val="18"/>
              </w:rPr>
            </w:pPr>
            <w:r w:rsidRPr="001570EA">
              <w:rPr>
                <w:sz w:val="18"/>
                <w:szCs w:val="18"/>
              </w:rPr>
              <w:t>0.05</w:t>
            </w:r>
          </w:p>
        </w:tc>
        <w:tc>
          <w:tcPr>
            <w:tcW w:w="1295" w:type="dxa"/>
            <w:vAlign w:val="center"/>
          </w:tcPr>
          <w:p w14:paraId="7B3FD74B" w14:textId="77777777" w:rsidR="007376E1" w:rsidRPr="001570EA" w:rsidRDefault="007376E1">
            <w:pPr>
              <w:jc w:val="center"/>
              <w:rPr>
                <w:sz w:val="18"/>
                <w:szCs w:val="18"/>
              </w:rPr>
            </w:pPr>
            <w:r w:rsidRPr="001570EA">
              <w:rPr>
                <w:sz w:val="18"/>
                <w:szCs w:val="18"/>
              </w:rPr>
              <w:t>0</w:t>
            </w:r>
          </w:p>
        </w:tc>
        <w:tc>
          <w:tcPr>
            <w:tcW w:w="1326" w:type="dxa"/>
            <w:vAlign w:val="center"/>
          </w:tcPr>
          <w:p w14:paraId="5B334C29" w14:textId="77777777" w:rsidR="007376E1" w:rsidRPr="001570EA" w:rsidRDefault="007376E1">
            <w:pPr>
              <w:jc w:val="center"/>
              <w:rPr>
                <w:sz w:val="18"/>
                <w:szCs w:val="18"/>
              </w:rPr>
            </w:pPr>
            <w:r w:rsidRPr="001570EA">
              <w:rPr>
                <w:sz w:val="18"/>
                <w:szCs w:val="18"/>
              </w:rPr>
              <w:t>0</w:t>
            </w:r>
          </w:p>
        </w:tc>
        <w:tc>
          <w:tcPr>
            <w:tcW w:w="1548" w:type="dxa"/>
            <w:vAlign w:val="center"/>
          </w:tcPr>
          <w:p w14:paraId="59FD9ABB" w14:textId="77777777" w:rsidR="007376E1" w:rsidRPr="001570EA" w:rsidRDefault="007376E1">
            <w:pPr>
              <w:jc w:val="center"/>
              <w:rPr>
                <w:sz w:val="18"/>
                <w:szCs w:val="18"/>
              </w:rPr>
            </w:pPr>
            <w:r w:rsidRPr="001570EA">
              <w:rPr>
                <w:sz w:val="18"/>
                <w:szCs w:val="18"/>
              </w:rPr>
              <w:t>0.05</w:t>
            </w:r>
          </w:p>
        </w:tc>
        <w:tc>
          <w:tcPr>
            <w:tcW w:w="1395" w:type="dxa"/>
            <w:vAlign w:val="center"/>
          </w:tcPr>
          <w:p w14:paraId="7125EFF7" w14:textId="77777777" w:rsidR="007376E1" w:rsidRPr="001570EA" w:rsidRDefault="007376E1">
            <w:pPr>
              <w:jc w:val="center"/>
              <w:rPr>
                <w:sz w:val="18"/>
                <w:szCs w:val="18"/>
              </w:rPr>
            </w:pPr>
            <w:r w:rsidRPr="001570EA">
              <w:rPr>
                <w:sz w:val="18"/>
                <w:szCs w:val="18"/>
              </w:rPr>
              <w:t>0.05</w:t>
            </w:r>
          </w:p>
        </w:tc>
      </w:tr>
    </w:tbl>
    <w:p w14:paraId="12E18986" w14:textId="77777777" w:rsidR="00242D94" w:rsidRPr="001570EA" w:rsidRDefault="00242D94" w:rsidP="007376E1">
      <w:pPr>
        <w:rPr>
          <w:rFonts w:cs="Arial"/>
          <w:szCs w:val="20"/>
        </w:rPr>
      </w:pPr>
    </w:p>
    <w:p w14:paraId="11F8215A" w14:textId="1BDD4660" w:rsidR="007376E1" w:rsidRPr="001570EA" w:rsidRDefault="007376E1" w:rsidP="007376E1">
      <w:pPr>
        <w:rPr>
          <w:rFonts w:cs="Arial"/>
          <w:szCs w:val="20"/>
        </w:rPr>
      </w:pPr>
      <w:r w:rsidRPr="001570EA">
        <w:rPr>
          <w:rFonts w:cs="Arial"/>
          <w:szCs w:val="20"/>
        </w:rPr>
        <w:t xml:space="preserve">Note: The implicit assumption is that ASHP, GSHP and PTHP have been sized to meet the heating load of the residential establishment and standalone AC systems have been sized to meet the cooling load </w:t>
      </w:r>
    </w:p>
    <w:p w14:paraId="7724260D" w14:textId="77777777" w:rsidR="007376E1" w:rsidRPr="001570EA" w:rsidRDefault="007376E1" w:rsidP="007376E1">
      <w:pPr>
        <w:rPr>
          <w:rFonts w:cs="Arial"/>
        </w:rPr>
      </w:pPr>
    </w:p>
    <w:p w14:paraId="40D4AEF1" w14:textId="0AF4BC84" w:rsidR="007376E1" w:rsidRPr="001570EA" w:rsidRDefault="008D728A" w:rsidP="008D728A">
      <w:pPr>
        <w:pStyle w:val="Caption"/>
      </w:pPr>
      <w:bookmarkStart w:id="195" w:name="_Ref163903226"/>
      <w:bookmarkEnd w:id="192"/>
      <w:bookmarkEnd w:id="19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12</w:t>
      </w:r>
      <w:r w:rsidR="002E093A" w:rsidRPr="001570EA">
        <w:fldChar w:fldCharType="end"/>
      </w:r>
      <w:bookmarkEnd w:id="195"/>
      <w:r w:rsidRPr="001570EA">
        <w:t>: Default Oversize Factors for High Efficiency Equipment</w:t>
      </w:r>
    </w:p>
    <w:tbl>
      <w:tblPr>
        <w:tblStyle w:val="TableGrid"/>
        <w:tblW w:w="0" w:type="auto"/>
        <w:tblInd w:w="115" w:type="dxa"/>
        <w:tblLook w:val="04A0" w:firstRow="1" w:lastRow="0" w:firstColumn="1" w:lastColumn="0" w:noHBand="0" w:noVBand="1"/>
      </w:tblPr>
      <w:tblGrid>
        <w:gridCol w:w="1097"/>
        <w:gridCol w:w="967"/>
        <w:gridCol w:w="854"/>
        <w:gridCol w:w="785"/>
        <w:gridCol w:w="1147"/>
        <w:gridCol w:w="972"/>
        <w:gridCol w:w="965"/>
        <w:gridCol w:w="784"/>
        <w:gridCol w:w="944"/>
      </w:tblGrid>
      <w:tr w:rsidR="007376E1" w:rsidRPr="001570EA" w14:paraId="404792E8" w14:textId="77777777">
        <w:tc>
          <w:tcPr>
            <w:tcW w:w="1097" w:type="dxa"/>
            <w:vMerge w:val="restart"/>
            <w:shd w:val="clear" w:color="auto" w:fill="BFBFBF" w:themeFill="background1" w:themeFillShade="BF"/>
            <w:vAlign w:val="center"/>
          </w:tcPr>
          <w:bookmarkEnd w:id="194"/>
          <w:p w14:paraId="3A4834E2" w14:textId="77777777" w:rsidR="007376E1" w:rsidRPr="001570EA" w:rsidRDefault="007376E1">
            <w:pPr>
              <w:jc w:val="center"/>
              <w:rPr>
                <w:b/>
                <w:sz w:val="18"/>
                <w:szCs w:val="18"/>
              </w:rPr>
            </w:pPr>
            <w:r w:rsidRPr="001570EA">
              <w:rPr>
                <w:b/>
                <w:sz w:val="18"/>
                <w:szCs w:val="18"/>
              </w:rPr>
              <w:t>Qualifying</w:t>
            </w:r>
          </w:p>
        </w:tc>
        <w:tc>
          <w:tcPr>
            <w:tcW w:w="917" w:type="dxa"/>
            <w:vMerge w:val="restart"/>
            <w:shd w:val="clear" w:color="auto" w:fill="BFBFBF" w:themeFill="background1" w:themeFillShade="BF"/>
            <w:vAlign w:val="center"/>
          </w:tcPr>
          <w:p w14:paraId="7F219A10" w14:textId="77777777" w:rsidR="007376E1" w:rsidRPr="001570EA" w:rsidRDefault="007376E1">
            <w:pPr>
              <w:jc w:val="center"/>
              <w:rPr>
                <w:b/>
                <w:sz w:val="18"/>
                <w:szCs w:val="18"/>
              </w:rPr>
            </w:pPr>
            <w:r w:rsidRPr="001570EA">
              <w:rPr>
                <w:b/>
                <w:sz w:val="18"/>
                <w:szCs w:val="18"/>
              </w:rPr>
              <w:t>Oversize Factor</w:t>
            </w:r>
          </w:p>
        </w:tc>
        <w:tc>
          <w:tcPr>
            <w:tcW w:w="6501" w:type="dxa"/>
            <w:gridSpan w:val="7"/>
            <w:shd w:val="clear" w:color="auto" w:fill="BFBFBF" w:themeFill="background1" w:themeFillShade="BF"/>
            <w:vAlign w:val="center"/>
          </w:tcPr>
          <w:p w14:paraId="47206175" w14:textId="77777777" w:rsidR="007376E1" w:rsidRPr="001570EA" w:rsidRDefault="007376E1">
            <w:pPr>
              <w:jc w:val="center"/>
              <w:rPr>
                <w:rFonts w:cs="Arial"/>
                <w:b/>
                <w:sz w:val="18"/>
                <w:szCs w:val="18"/>
              </w:rPr>
            </w:pPr>
            <w:r w:rsidRPr="001570EA">
              <w:rPr>
                <w:rFonts w:cs="Arial"/>
                <w:b/>
                <w:sz w:val="18"/>
                <w:szCs w:val="18"/>
              </w:rPr>
              <w:t>Existing</w:t>
            </w:r>
          </w:p>
        </w:tc>
      </w:tr>
      <w:tr w:rsidR="007376E1" w:rsidRPr="001570EA" w14:paraId="4F3876E9" w14:textId="77777777">
        <w:tc>
          <w:tcPr>
            <w:tcW w:w="1097" w:type="dxa"/>
            <w:vMerge/>
            <w:shd w:val="clear" w:color="auto" w:fill="BFBFBF" w:themeFill="background1" w:themeFillShade="BF"/>
            <w:vAlign w:val="center"/>
          </w:tcPr>
          <w:p w14:paraId="14DB9A1D" w14:textId="77777777" w:rsidR="007376E1" w:rsidRPr="001570EA" w:rsidRDefault="007376E1">
            <w:pPr>
              <w:jc w:val="center"/>
              <w:rPr>
                <w:b/>
                <w:sz w:val="18"/>
                <w:szCs w:val="18"/>
              </w:rPr>
            </w:pPr>
          </w:p>
        </w:tc>
        <w:tc>
          <w:tcPr>
            <w:tcW w:w="917" w:type="dxa"/>
            <w:vMerge/>
            <w:shd w:val="clear" w:color="auto" w:fill="BFBFBF" w:themeFill="background1" w:themeFillShade="BF"/>
            <w:vAlign w:val="center"/>
          </w:tcPr>
          <w:p w14:paraId="47B3F71E" w14:textId="77777777" w:rsidR="007376E1" w:rsidRPr="001570EA" w:rsidRDefault="007376E1">
            <w:pPr>
              <w:jc w:val="center"/>
              <w:rPr>
                <w:b/>
                <w:sz w:val="18"/>
                <w:szCs w:val="18"/>
              </w:rPr>
            </w:pPr>
          </w:p>
        </w:tc>
        <w:tc>
          <w:tcPr>
            <w:tcW w:w="862" w:type="dxa"/>
            <w:shd w:val="clear" w:color="auto" w:fill="BFBFBF" w:themeFill="background1" w:themeFillShade="BF"/>
            <w:vAlign w:val="center"/>
          </w:tcPr>
          <w:p w14:paraId="5E1C16A8" w14:textId="77777777" w:rsidR="007376E1" w:rsidRPr="001570EA" w:rsidRDefault="007376E1">
            <w:pPr>
              <w:jc w:val="center"/>
              <w:rPr>
                <w:b/>
                <w:sz w:val="18"/>
                <w:szCs w:val="18"/>
              </w:rPr>
            </w:pPr>
            <w:r w:rsidRPr="001570EA">
              <w:rPr>
                <w:rFonts w:cs="Arial"/>
                <w:b/>
                <w:sz w:val="18"/>
                <w:szCs w:val="18"/>
              </w:rPr>
              <w:t>ASHP</w:t>
            </w:r>
          </w:p>
        </w:tc>
        <w:tc>
          <w:tcPr>
            <w:tcW w:w="796" w:type="dxa"/>
            <w:shd w:val="clear" w:color="auto" w:fill="BFBFBF" w:themeFill="background1" w:themeFillShade="BF"/>
            <w:vAlign w:val="center"/>
          </w:tcPr>
          <w:p w14:paraId="769E2649" w14:textId="77777777" w:rsidR="007376E1" w:rsidRPr="001570EA" w:rsidRDefault="007376E1">
            <w:pPr>
              <w:jc w:val="center"/>
              <w:rPr>
                <w:b/>
                <w:sz w:val="18"/>
                <w:szCs w:val="18"/>
              </w:rPr>
            </w:pPr>
            <w:r w:rsidRPr="001570EA">
              <w:rPr>
                <w:rFonts w:cs="Arial"/>
                <w:b/>
                <w:sz w:val="18"/>
                <w:szCs w:val="18"/>
              </w:rPr>
              <w:t>CAC</w:t>
            </w:r>
          </w:p>
        </w:tc>
        <w:tc>
          <w:tcPr>
            <w:tcW w:w="1147" w:type="dxa"/>
            <w:shd w:val="clear" w:color="auto" w:fill="BFBFBF" w:themeFill="background1" w:themeFillShade="BF"/>
            <w:vAlign w:val="center"/>
          </w:tcPr>
          <w:p w14:paraId="2C2FB701" w14:textId="77777777" w:rsidR="007376E1" w:rsidRPr="001570EA" w:rsidRDefault="007376E1">
            <w:pPr>
              <w:jc w:val="center"/>
              <w:rPr>
                <w:b/>
                <w:sz w:val="18"/>
                <w:szCs w:val="18"/>
              </w:rPr>
            </w:pPr>
            <w:r w:rsidRPr="001570EA">
              <w:rPr>
                <w:rFonts w:cs="Arial"/>
                <w:b/>
                <w:sz w:val="18"/>
                <w:szCs w:val="18"/>
              </w:rPr>
              <w:t>Electric Baseboard</w:t>
            </w:r>
          </w:p>
        </w:tc>
        <w:tc>
          <w:tcPr>
            <w:tcW w:w="975" w:type="dxa"/>
            <w:shd w:val="clear" w:color="auto" w:fill="BFBFBF" w:themeFill="background1" w:themeFillShade="BF"/>
            <w:vAlign w:val="center"/>
          </w:tcPr>
          <w:p w14:paraId="3D8C7E33" w14:textId="77777777" w:rsidR="007376E1" w:rsidRPr="001570EA" w:rsidRDefault="007376E1">
            <w:pPr>
              <w:jc w:val="center"/>
              <w:rPr>
                <w:b/>
                <w:sz w:val="18"/>
                <w:szCs w:val="18"/>
              </w:rPr>
            </w:pPr>
            <w:r w:rsidRPr="001570EA">
              <w:rPr>
                <w:rFonts w:cs="Arial"/>
                <w:b/>
                <w:sz w:val="18"/>
                <w:szCs w:val="18"/>
              </w:rPr>
              <w:t>Electric Furnace</w:t>
            </w:r>
          </w:p>
        </w:tc>
        <w:tc>
          <w:tcPr>
            <w:tcW w:w="979" w:type="dxa"/>
            <w:shd w:val="clear" w:color="auto" w:fill="BFBFBF" w:themeFill="background1" w:themeFillShade="BF"/>
            <w:vAlign w:val="center"/>
          </w:tcPr>
          <w:p w14:paraId="51D24663" w14:textId="77777777" w:rsidR="007376E1" w:rsidRPr="001570EA" w:rsidRDefault="007376E1">
            <w:pPr>
              <w:jc w:val="center"/>
              <w:rPr>
                <w:b/>
                <w:sz w:val="18"/>
                <w:szCs w:val="18"/>
              </w:rPr>
            </w:pPr>
            <w:r w:rsidRPr="001570EA">
              <w:rPr>
                <w:rFonts w:cs="Arial"/>
                <w:b/>
                <w:sz w:val="18"/>
                <w:szCs w:val="18"/>
              </w:rPr>
              <w:t>GSHP</w:t>
            </w:r>
          </w:p>
        </w:tc>
        <w:tc>
          <w:tcPr>
            <w:tcW w:w="794" w:type="dxa"/>
            <w:shd w:val="clear" w:color="auto" w:fill="BFBFBF" w:themeFill="background1" w:themeFillShade="BF"/>
            <w:vAlign w:val="center"/>
          </w:tcPr>
          <w:p w14:paraId="0AE33855" w14:textId="77777777" w:rsidR="007376E1" w:rsidRPr="001570EA" w:rsidRDefault="007376E1">
            <w:pPr>
              <w:jc w:val="center"/>
              <w:rPr>
                <w:b/>
                <w:sz w:val="18"/>
                <w:szCs w:val="18"/>
              </w:rPr>
            </w:pPr>
            <w:r w:rsidRPr="001570EA">
              <w:rPr>
                <w:rFonts w:cs="Arial"/>
                <w:b/>
                <w:sz w:val="18"/>
                <w:szCs w:val="18"/>
              </w:rPr>
              <w:t>RAC</w:t>
            </w:r>
          </w:p>
        </w:tc>
        <w:tc>
          <w:tcPr>
            <w:tcW w:w="948" w:type="dxa"/>
            <w:shd w:val="clear" w:color="auto" w:fill="BFBFBF" w:themeFill="background1" w:themeFillShade="BF"/>
            <w:vAlign w:val="center"/>
          </w:tcPr>
          <w:p w14:paraId="49F4CBBA" w14:textId="77777777" w:rsidR="007376E1" w:rsidRPr="001570EA" w:rsidRDefault="007376E1">
            <w:pPr>
              <w:jc w:val="center"/>
              <w:rPr>
                <w:b/>
                <w:sz w:val="18"/>
                <w:szCs w:val="18"/>
              </w:rPr>
            </w:pPr>
            <w:r w:rsidRPr="001570EA">
              <w:rPr>
                <w:rFonts w:cs="Arial"/>
                <w:b/>
                <w:sz w:val="18"/>
                <w:szCs w:val="18"/>
              </w:rPr>
              <w:t>Space Heaters</w:t>
            </w:r>
          </w:p>
        </w:tc>
      </w:tr>
      <w:tr w:rsidR="007376E1" w:rsidRPr="001570EA" w14:paraId="727044A6" w14:textId="77777777">
        <w:trPr>
          <w:trHeight w:val="288"/>
        </w:trPr>
        <w:tc>
          <w:tcPr>
            <w:tcW w:w="1097" w:type="dxa"/>
            <w:vAlign w:val="center"/>
          </w:tcPr>
          <w:p w14:paraId="4436A867" w14:textId="77777777" w:rsidR="007376E1" w:rsidRPr="001570EA" w:rsidRDefault="007376E1">
            <w:pPr>
              <w:jc w:val="center"/>
              <w:rPr>
                <w:sz w:val="18"/>
                <w:szCs w:val="18"/>
              </w:rPr>
            </w:pPr>
            <w:r w:rsidRPr="001570EA">
              <w:rPr>
                <w:sz w:val="18"/>
                <w:szCs w:val="18"/>
              </w:rPr>
              <w:t>CAC, PTAC</w:t>
            </w:r>
          </w:p>
        </w:tc>
        <w:tc>
          <w:tcPr>
            <w:tcW w:w="917" w:type="dxa"/>
          </w:tcPr>
          <w:p w14:paraId="7FE75680" w14:textId="77777777" w:rsidR="007376E1" w:rsidRPr="001570EA" w:rsidRDefault="007376E1">
            <w:pPr>
              <w:jc w:val="center"/>
              <w:rPr>
                <w:rFonts w:ascii="Cambria Math" w:hAnsi="Cambria Math"/>
                <w:sz w:val="18"/>
                <w:szCs w:val="18"/>
              </w:rPr>
            </w:pPr>
            <w:r w:rsidRPr="001570EA">
              <w:rPr>
                <w:rFonts w:ascii="Cambria Math" w:hAnsi="Cambria Math" w:cs="Arial"/>
                <w:i/>
                <w:sz w:val="18"/>
                <w:szCs w:val="18"/>
              </w:rPr>
              <w:t>OF</w:t>
            </w:r>
            <w:r w:rsidRPr="001570EA">
              <w:rPr>
                <w:rFonts w:ascii="Cambria Math" w:hAnsi="Cambria Math" w:cs="Arial"/>
                <w:i/>
                <w:sz w:val="18"/>
                <w:szCs w:val="18"/>
                <w:vertAlign w:val="subscript"/>
              </w:rPr>
              <w:t>cool</w:t>
            </w:r>
          </w:p>
        </w:tc>
        <w:tc>
          <w:tcPr>
            <w:tcW w:w="862" w:type="dxa"/>
            <w:vAlign w:val="center"/>
          </w:tcPr>
          <w:p w14:paraId="68EE5998" w14:textId="77777777" w:rsidR="007376E1" w:rsidRPr="001570EA" w:rsidRDefault="007376E1">
            <w:pPr>
              <w:jc w:val="center"/>
              <w:rPr>
                <w:sz w:val="18"/>
                <w:szCs w:val="18"/>
              </w:rPr>
            </w:pPr>
            <w:r w:rsidRPr="001570EA">
              <w:rPr>
                <w:sz w:val="18"/>
                <w:szCs w:val="18"/>
              </w:rPr>
              <w:t>1</w:t>
            </w:r>
          </w:p>
        </w:tc>
        <w:tc>
          <w:tcPr>
            <w:tcW w:w="796" w:type="dxa"/>
            <w:vAlign w:val="center"/>
          </w:tcPr>
          <w:p w14:paraId="1AF0080B" w14:textId="77777777" w:rsidR="007376E1" w:rsidRPr="001570EA" w:rsidRDefault="007376E1">
            <w:pPr>
              <w:jc w:val="center"/>
              <w:rPr>
                <w:sz w:val="18"/>
                <w:szCs w:val="18"/>
              </w:rPr>
            </w:pPr>
            <w:r w:rsidRPr="001570EA">
              <w:rPr>
                <w:sz w:val="18"/>
                <w:szCs w:val="18"/>
              </w:rPr>
              <w:t>1</w:t>
            </w:r>
          </w:p>
        </w:tc>
        <w:tc>
          <w:tcPr>
            <w:tcW w:w="1147" w:type="dxa"/>
            <w:vAlign w:val="center"/>
          </w:tcPr>
          <w:p w14:paraId="05715016" w14:textId="77777777" w:rsidR="007376E1" w:rsidRPr="001570EA" w:rsidRDefault="007376E1">
            <w:pPr>
              <w:jc w:val="center"/>
              <w:rPr>
                <w:sz w:val="18"/>
                <w:szCs w:val="18"/>
              </w:rPr>
            </w:pPr>
            <w:r w:rsidRPr="001570EA">
              <w:rPr>
                <w:sz w:val="18"/>
                <w:szCs w:val="18"/>
              </w:rPr>
              <w:t>0</w:t>
            </w:r>
          </w:p>
        </w:tc>
        <w:tc>
          <w:tcPr>
            <w:tcW w:w="975" w:type="dxa"/>
            <w:vAlign w:val="center"/>
          </w:tcPr>
          <w:p w14:paraId="671A1769" w14:textId="77777777" w:rsidR="007376E1" w:rsidRPr="001570EA" w:rsidRDefault="007376E1">
            <w:pPr>
              <w:jc w:val="center"/>
              <w:rPr>
                <w:sz w:val="18"/>
                <w:szCs w:val="18"/>
              </w:rPr>
            </w:pPr>
            <w:r w:rsidRPr="001570EA">
              <w:rPr>
                <w:sz w:val="18"/>
                <w:szCs w:val="18"/>
              </w:rPr>
              <w:t>0</w:t>
            </w:r>
          </w:p>
        </w:tc>
        <w:tc>
          <w:tcPr>
            <w:tcW w:w="979" w:type="dxa"/>
            <w:vAlign w:val="center"/>
          </w:tcPr>
          <w:p w14:paraId="6F00F28E" w14:textId="77777777" w:rsidR="007376E1" w:rsidRPr="001570EA" w:rsidRDefault="007376E1">
            <w:pPr>
              <w:jc w:val="center"/>
              <w:rPr>
                <w:sz w:val="18"/>
                <w:szCs w:val="18"/>
              </w:rPr>
            </w:pPr>
            <w:r w:rsidRPr="001570EA">
              <w:rPr>
                <w:sz w:val="18"/>
                <w:szCs w:val="18"/>
              </w:rPr>
              <w:t>1</w:t>
            </w:r>
          </w:p>
        </w:tc>
        <w:tc>
          <w:tcPr>
            <w:tcW w:w="794" w:type="dxa"/>
            <w:vAlign w:val="center"/>
          </w:tcPr>
          <w:p w14:paraId="12662282" w14:textId="77777777" w:rsidR="007376E1" w:rsidRPr="001570EA" w:rsidRDefault="007376E1">
            <w:pPr>
              <w:jc w:val="center"/>
              <w:rPr>
                <w:sz w:val="18"/>
                <w:szCs w:val="18"/>
              </w:rPr>
            </w:pPr>
            <w:r w:rsidRPr="001570EA">
              <w:rPr>
                <w:sz w:val="18"/>
                <w:szCs w:val="18"/>
              </w:rPr>
              <w:t>1</w:t>
            </w:r>
          </w:p>
        </w:tc>
        <w:tc>
          <w:tcPr>
            <w:tcW w:w="948" w:type="dxa"/>
            <w:vAlign w:val="center"/>
          </w:tcPr>
          <w:p w14:paraId="73467E82" w14:textId="77777777" w:rsidR="007376E1" w:rsidRPr="001570EA" w:rsidRDefault="007376E1">
            <w:pPr>
              <w:jc w:val="center"/>
              <w:rPr>
                <w:sz w:val="18"/>
                <w:szCs w:val="18"/>
              </w:rPr>
            </w:pPr>
            <w:r w:rsidRPr="001570EA">
              <w:rPr>
                <w:sz w:val="18"/>
                <w:szCs w:val="18"/>
              </w:rPr>
              <w:t>0</w:t>
            </w:r>
          </w:p>
        </w:tc>
      </w:tr>
      <w:tr w:rsidR="007376E1" w:rsidRPr="001570EA" w14:paraId="285AD0C0" w14:textId="77777777">
        <w:trPr>
          <w:trHeight w:val="288"/>
        </w:trPr>
        <w:tc>
          <w:tcPr>
            <w:tcW w:w="1097" w:type="dxa"/>
            <w:vMerge w:val="restart"/>
            <w:vAlign w:val="center"/>
          </w:tcPr>
          <w:p w14:paraId="58068538" w14:textId="77777777" w:rsidR="007376E1" w:rsidRPr="001570EA" w:rsidRDefault="007376E1">
            <w:pPr>
              <w:jc w:val="center"/>
              <w:rPr>
                <w:sz w:val="18"/>
                <w:szCs w:val="18"/>
              </w:rPr>
            </w:pPr>
            <w:r w:rsidRPr="001570EA">
              <w:rPr>
                <w:sz w:val="18"/>
                <w:szCs w:val="18"/>
              </w:rPr>
              <w:t>HP</w:t>
            </w:r>
          </w:p>
        </w:tc>
        <w:tc>
          <w:tcPr>
            <w:tcW w:w="917" w:type="dxa"/>
          </w:tcPr>
          <w:p w14:paraId="0D31AB5C" w14:textId="77777777" w:rsidR="007376E1" w:rsidRPr="001570EA" w:rsidRDefault="007376E1">
            <w:pPr>
              <w:jc w:val="center"/>
              <w:rPr>
                <w:rFonts w:ascii="Cambria Math" w:hAnsi="Cambria Math"/>
                <w:sz w:val="18"/>
                <w:szCs w:val="18"/>
              </w:rPr>
            </w:pPr>
            <w:r w:rsidRPr="001570EA">
              <w:rPr>
                <w:rFonts w:ascii="Cambria Math" w:hAnsi="Cambria Math" w:cs="Arial"/>
                <w:i/>
                <w:sz w:val="18"/>
                <w:szCs w:val="18"/>
              </w:rPr>
              <w:t>OF</w:t>
            </w:r>
            <w:r w:rsidRPr="001570EA">
              <w:rPr>
                <w:rFonts w:ascii="Cambria Math" w:hAnsi="Cambria Math" w:cs="Arial"/>
                <w:i/>
                <w:sz w:val="18"/>
                <w:szCs w:val="18"/>
                <w:vertAlign w:val="subscript"/>
              </w:rPr>
              <w:t>heat</w:t>
            </w:r>
          </w:p>
        </w:tc>
        <w:tc>
          <w:tcPr>
            <w:tcW w:w="862" w:type="dxa"/>
            <w:vAlign w:val="center"/>
          </w:tcPr>
          <w:p w14:paraId="45879F1F" w14:textId="77777777" w:rsidR="007376E1" w:rsidRPr="001570EA" w:rsidRDefault="007376E1">
            <w:pPr>
              <w:jc w:val="center"/>
              <w:rPr>
                <w:sz w:val="18"/>
                <w:szCs w:val="18"/>
              </w:rPr>
            </w:pPr>
            <w:r w:rsidRPr="001570EA">
              <w:rPr>
                <w:sz w:val="18"/>
                <w:szCs w:val="18"/>
              </w:rPr>
              <w:t>1</w:t>
            </w:r>
          </w:p>
        </w:tc>
        <w:tc>
          <w:tcPr>
            <w:tcW w:w="796" w:type="dxa"/>
            <w:vAlign w:val="center"/>
          </w:tcPr>
          <w:p w14:paraId="7EF032A9" w14:textId="77777777" w:rsidR="007376E1" w:rsidRPr="001570EA" w:rsidRDefault="007376E1">
            <w:pPr>
              <w:jc w:val="center"/>
              <w:rPr>
                <w:sz w:val="18"/>
                <w:szCs w:val="18"/>
              </w:rPr>
            </w:pPr>
            <w:r w:rsidRPr="001570EA">
              <w:rPr>
                <w:sz w:val="18"/>
                <w:szCs w:val="18"/>
              </w:rPr>
              <w:t>1</w:t>
            </w:r>
          </w:p>
        </w:tc>
        <w:tc>
          <w:tcPr>
            <w:tcW w:w="1147" w:type="dxa"/>
            <w:vAlign w:val="center"/>
          </w:tcPr>
          <w:p w14:paraId="5FD48BC2" w14:textId="77777777" w:rsidR="007376E1" w:rsidRPr="001570EA" w:rsidRDefault="007376E1">
            <w:pPr>
              <w:jc w:val="center"/>
              <w:rPr>
                <w:sz w:val="18"/>
                <w:szCs w:val="18"/>
              </w:rPr>
            </w:pPr>
            <w:r w:rsidRPr="001570EA">
              <w:rPr>
                <w:sz w:val="18"/>
                <w:szCs w:val="18"/>
              </w:rPr>
              <w:t>1</w:t>
            </w:r>
          </w:p>
        </w:tc>
        <w:tc>
          <w:tcPr>
            <w:tcW w:w="975" w:type="dxa"/>
            <w:vAlign w:val="center"/>
          </w:tcPr>
          <w:p w14:paraId="78026FCF" w14:textId="77777777" w:rsidR="007376E1" w:rsidRPr="001570EA" w:rsidRDefault="007376E1">
            <w:pPr>
              <w:jc w:val="center"/>
              <w:rPr>
                <w:sz w:val="18"/>
                <w:szCs w:val="18"/>
              </w:rPr>
            </w:pPr>
            <w:r w:rsidRPr="001570EA">
              <w:rPr>
                <w:sz w:val="18"/>
                <w:szCs w:val="18"/>
              </w:rPr>
              <w:t>1</w:t>
            </w:r>
          </w:p>
        </w:tc>
        <w:tc>
          <w:tcPr>
            <w:tcW w:w="979" w:type="dxa"/>
            <w:vAlign w:val="center"/>
          </w:tcPr>
          <w:p w14:paraId="10884C57" w14:textId="77777777" w:rsidR="007376E1" w:rsidRPr="001570EA" w:rsidRDefault="007376E1">
            <w:pPr>
              <w:jc w:val="center"/>
              <w:rPr>
                <w:sz w:val="18"/>
                <w:szCs w:val="18"/>
              </w:rPr>
            </w:pPr>
            <w:r w:rsidRPr="001570EA">
              <w:rPr>
                <w:sz w:val="18"/>
                <w:szCs w:val="18"/>
              </w:rPr>
              <w:t>1</w:t>
            </w:r>
          </w:p>
        </w:tc>
        <w:tc>
          <w:tcPr>
            <w:tcW w:w="794" w:type="dxa"/>
            <w:vAlign w:val="center"/>
          </w:tcPr>
          <w:p w14:paraId="57E56E0F" w14:textId="77777777" w:rsidR="007376E1" w:rsidRPr="001570EA" w:rsidRDefault="007376E1">
            <w:pPr>
              <w:jc w:val="center"/>
              <w:rPr>
                <w:sz w:val="18"/>
                <w:szCs w:val="18"/>
              </w:rPr>
            </w:pPr>
            <w:r w:rsidRPr="001570EA">
              <w:rPr>
                <w:sz w:val="18"/>
                <w:szCs w:val="18"/>
              </w:rPr>
              <w:t>0</w:t>
            </w:r>
          </w:p>
        </w:tc>
        <w:tc>
          <w:tcPr>
            <w:tcW w:w="948" w:type="dxa"/>
            <w:vAlign w:val="center"/>
          </w:tcPr>
          <w:p w14:paraId="17BC2818" w14:textId="77777777" w:rsidR="007376E1" w:rsidRPr="001570EA" w:rsidRDefault="007376E1">
            <w:pPr>
              <w:jc w:val="center"/>
              <w:rPr>
                <w:sz w:val="18"/>
                <w:szCs w:val="18"/>
              </w:rPr>
            </w:pPr>
            <w:r w:rsidRPr="001570EA">
              <w:rPr>
                <w:sz w:val="18"/>
                <w:szCs w:val="18"/>
              </w:rPr>
              <w:t>0.6</w:t>
            </w:r>
          </w:p>
        </w:tc>
      </w:tr>
      <w:tr w:rsidR="007376E1" w:rsidRPr="001570EA" w14:paraId="51C5CB10" w14:textId="77777777">
        <w:trPr>
          <w:trHeight w:val="288"/>
        </w:trPr>
        <w:tc>
          <w:tcPr>
            <w:tcW w:w="1097" w:type="dxa"/>
            <w:vMerge/>
          </w:tcPr>
          <w:p w14:paraId="3F0719C9" w14:textId="77777777" w:rsidR="007376E1" w:rsidRPr="001570EA" w:rsidRDefault="007376E1">
            <w:pPr>
              <w:rPr>
                <w:sz w:val="18"/>
                <w:szCs w:val="18"/>
              </w:rPr>
            </w:pPr>
          </w:p>
        </w:tc>
        <w:tc>
          <w:tcPr>
            <w:tcW w:w="917" w:type="dxa"/>
          </w:tcPr>
          <w:p w14:paraId="0E750B2A" w14:textId="77777777" w:rsidR="007376E1" w:rsidRPr="001570EA" w:rsidRDefault="007376E1">
            <w:pPr>
              <w:jc w:val="center"/>
              <w:rPr>
                <w:rFonts w:ascii="Cambria Math" w:hAnsi="Cambria Math"/>
                <w:sz w:val="18"/>
                <w:szCs w:val="18"/>
              </w:rPr>
            </w:pPr>
            <w:r w:rsidRPr="001570EA">
              <w:rPr>
                <w:rFonts w:ascii="Cambria Math" w:hAnsi="Cambria Math" w:cs="Arial"/>
                <w:i/>
                <w:sz w:val="18"/>
                <w:szCs w:val="18"/>
              </w:rPr>
              <w:t>OF</w:t>
            </w:r>
            <w:r w:rsidRPr="001570EA">
              <w:rPr>
                <w:rFonts w:ascii="Cambria Math" w:hAnsi="Cambria Math" w:cs="Arial"/>
                <w:i/>
                <w:sz w:val="18"/>
                <w:szCs w:val="18"/>
                <w:vertAlign w:val="subscript"/>
              </w:rPr>
              <w:t>cool</w:t>
            </w:r>
          </w:p>
        </w:tc>
        <w:tc>
          <w:tcPr>
            <w:tcW w:w="862" w:type="dxa"/>
            <w:vAlign w:val="center"/>
          </w:tcPr>
          <w:p w14:paraId="3B3A0740" w14:textId="77777777" w:rsidR="007376E1" w:rsidRPr="001570EA" w:rsidRDefault="007376E1">
            <w:pPr>
              <w:jc w:val="center"/>
              <w:rPr>
                <w:sz w:val="18"/>
                <w:szCs w:val="18"/>
              </w:rPr>
            </w:pPr>
            <w:r w:rsidRPr="001570EA">
              <w:rPr>
                <w:sz w:val="18"/>
                <w:szCs w:val="18"/>
              </w:rPr>
              <w:t>1</w:t>
            </w:r>
          </w:p>
        </w:tc>
        <w:tc>
          <w:tcPr>
            <w:tcW w:w="796" w:type="dxa"/>
            <w:vAlign w:val="center"/>
          </w:tcPr>
          <w:p w14:paraId="3C34F68B" w14:textId="77777777" w:rsidR="007376E1" w:rsidRPr="001570EA" w:rsidRDefault="007376E1">
            <w:pPr>
              <w:jc w:val="center"/>
              <w:rPr>
                <w:sz w:val="18"/>
                <w:szCs w:val="18"/>
              </w:rPr>
            </w:pPr>
            <w:r w:rsidRPr="001570EA">
              <w:rPr>
                <w:sz w:val="18"/>
                <w:szCs w:val="18"/>
              </w:rPr>
              <w:t>1</w:t>
            </w:r>
          </w:p>
        </w:tc>
        <w:tc>
          <w:tcPr>
            <w:tcW w:w="1147" w:type="dxa"/>
            <w:vAlign w:val="center"/>
          </w:tcPr>
          <w:p w14:paraId="56E31999" w14:textId="77777777" w:rsidR="007376E1" w:rsidRPr="001570EA" w:rsidRDefault="007376E1">
            <w:pPr>
              <w:jc w:val="center"/>
              <w:rPr>
                <w:sz w:val="18"/>
                <w:szCs w:val="18"/>
              </w:rPr>
            </w:pPr>
            <w:r w:rsidRPr="001570EA">
              <w:rPr>
                <w:sz w:val="18"/>
                <w:szCs w:val="18"/>
              </w:rPr>
              <w:t>0</w:t>
            </w:r>
          </w:p>
        </w:tc>
        <w:tc>
          <w:tcPr>
            <w:tcW w:w="975" w:type="dxa"/>
            <w:vAlign w:val="center"/>
          </w:tcPr>
          <w:p w14:paraId="6159DA06" w14:textId="77777777" w:rsidR="007376E1" w:rsidRPr="001570EA" w:rsidRDefault="007376E1">
            <w:pPr>
              <w:jc w:val="center"/>
              <w:rPr>
                <w:sz w:val="18"/>
                <w:szCs w:val="18"/>
              </w:rPr>
            </w:pPr>
            <w:r w:rsidRPr="001570EA">
              <w:rPr>
                <w:sz w:val="18"/>
                <w:szCs w:val="18"/>
              </w:rPr>
              <w:t>0</w:t>
            </w:r>
          </w:p>
        </w:tc>
        <w:tc>
          <w:tcPr>
            <w:tcW w:w="979" w:type="dxa"/>
            <w:vAlign w:val="center"/>
          </w:tcPr>
          <w:p w14:paraId="4F0DF10B" w14:textId="77777777" w:rsidR="007376E1" w:rsidRPr="001570EA" w:rsidRDefault="007376E1">
            <w:pPr>
              <w:jc w:val="center"/>
              <w:rPr>
                <w:sz w:val="18"/>
                <w:szCs w:val="18"/>
              </w:rPr>
            </w:pPr>
            <w:r w:rsidRPr="001570EA">
              <w:rPr>
                <w:sz w:val="18"/>
                <w:szCs w:val="18"/>
              </w:rPr>
              <w:t>1</w:t>
            </w:r>
          </w:p>
        </w:tc>
        <w:tc>
          <w:tcPr>
            <w:tcW w:w="794" w:type="dxa"/>
            <w:vAlign w:val="center"/>
          </w:tcPr>
          <w:p w14:paraId="64E51D2B" w14:textId="77777777" w:rsidR="007376E1" w:rsidRPr="001570EA" w:rsidRDefault="007376E1">
            <w:pPr>
              <w:jc w:val="center"/>
              <w:rPr>
                <w:sz w:val="18"/>
                <w:szCs w:val="18"/>
              </w:rPr>
            </w:pPr>
            <w:r w:rsidRPr="001570EA">
              <w:rPr>
                <w:sz w:val="18"/>
                <w:szCs w:val="18"/>
              </w:rPr>
              <w:t>1</w:t>
            </w:r>
          </w:p>
        </w:tc>
        <w:tc>
          <w:tcPr>
            <w:tcW w:w="948" w:type="dxa"/>
            <w:vAlign w:val="center"/>
          </w:tcPr>
          <w:p w14:paraId="449CE339" w14:textId="77777777" w:rsidR="007376E1" w:rsidRPr="001570EA" w:rsidRDefault="007376E1">
            <w:pPr>
              <w:jc w:val="center"/>
              <w:rPr>
                <w:sz w:val="18"/>
                <w:szCs w:val="18"/>
              </w:rPr>
            </w:pPr>
            <w:r w:rsidRPr="001570EA">
              <w:rPr>
                <w:sz w:val="18"/>
                <w:szCs w:val="18"/>
              </w:rPr>
              <w:t>0</w:t>
            </w:r>
          </w:p>
        </w:tc>
      </w:tr>
    </w:tbl>
    <w:p w14:paraId="2C0BF7FC" w14:textId="77777777" w:rsidR="007376E1" w:rsidRPr="001570EA" w:rsidRDefault="007376E1" w:rsidP="007376E1">
      <w:pPr>
        <w:pStyle w:val="Equation"/>
        <w:tabs>
          <w:tab w:val="clear" w:pos="2880"/>
          <w:tab w:val="left" w:pos="2160"/>
        </w:tabs>
        <w:ind w:left="0" w:firstLine="0"/>
        <w:rPr>
          <w:i w:val="0"/>
        </w:rPr>
      </w:pPr>
    </w:p>
    <w:p w14:paraId="623549D9" w14:textId="6C686251" w:rsidR="007376E1" w:rsidRPr="001570EA" w:rsidRDefault="008D728A" w:rsidP="008D728A">
      <w:pPr>
        <w:pStyle w:val="Caption"/>
      </w:pPr>
      <w:bookmarkStart w:id="196" w:name="_Ref163903267"/>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13</w:t>
      </w:r>
      <w:r w:rsidR="002E093A" w:rsidRPr="001570EA">
        <w:fldChar w:fldCharType="end"/>
      </w:r>
      <w:bookmarkEnd w:id="196"/>
      <w:r w:rsidRPr="001570EA">
        <w:t>: Conversion factors to derive Air-source equivalent metrics of a Ground source heat pump</w:t>
      </w:r>
    </w:p>
    <w:tbl>
      <w:tblPr>
        <w:tblStyle w:val="TableGrid"/>
        <w:tblW w:w="0" w:type="auto"/>
        <w:tblInd w:w="115" w:type="dxa"/>
        <w:tblLook w:val="04A0" w:firstRow="1" w:lastRow="0" w:firstColumn="1" w:lastColumn="0" w:noHBand="0" w:noVBand="1"/>
      </w:tblPr>
      <w:tblGrid>
        <w:gridCol w:w="2559"/>
        <w:gridCol w:w="1371"/>
        <w:gridCol w:w="1260"/>
      </w:tblGrid>
      <w:tr w:rsidR="007376E1" w:rsidRPr="001570EA" w14:paraId="446E16F0" w14:textId="77777777">
        <w:trPr>
          <w:trHeight w:val="428"/>
        </w:trPr>
        <w:tc>
          <w:tcPr>
            <w:tcW w:w="2559" w:type="dxa"/>
            <w:shd w:val="clear" w:color="auto" w:fill="BFBFBF" w:themeFill="background1" w:themeFillShade="BF"/>
            <w:vAlign w:val="center"/>
          </w:tcPr>
          <w:p w14:paraId="315EF8BA" w14:textId="77777777" w:rsidR="007376E1" w:rsidRPr="001570EA" w:rsidRDefault="007376E1">
            <w:pPr>
              <w:jc w:val="center"/>
              <w:rPr>
                <w:b/>
                <w:sz w:val="18"/>
                <w:szCs w:val="18"/>
              </w:rPr>
            </w:pPr>
            <w:r w:rsidRPr="001570EA">
              <w:rPr>
                <w:b/>
                <w:sz w:val="18"/>
                <w:szCs w:val="18"/>
              </w:rPr>
              <w:t>GSHP Type</w:t>
            </w:r>
          </w:p>
        </w:tc>
        <w:tc>
          <w:tcPr>
            <w:tcW w:w="1371" w:type="dxa"/>
            <w:shd w:val="clear" w:color="auto" w:fill="BFBFBF" w:themeFill="background1" w:themeFillShade="BF"/>
            <w:vAlign w:val="center"/>
          </w:tcPr>
          <w:p w14:paraId="2378CAD1" w14:textId="77777777" w:rsidR="007376E1" w:rsidRPr="001570EA" w:rsidRDefault="007376E1">
            <w:pPr>
              <w:jc w:val="center"/>
              <w:rPr>
                <w:rFonts w:cs="Arial"/>
                <w:b/>
                <w:sz w:val="18"/>
                <w:szCs w:val="18"/>
              </w:rPr>
            </w:pPr>
            <w:r w:rsidRPr="001570EA">
              <w:rPr>
                <w:rFonts w:cs="Arial"/>
                <w:b/>
                <w:sz w:val="18"/>
                <w:szCs w:val="18"/>
              </w:rPr>
              <w:t>GSER</w:t>
            </w:r>
          </w:p>
        </w:tc>
        <w:tc>
          <w:tcPr>
            <w:tcW w:w="1260" w:type="dxa"/>
            <w:shd w:val="clear" w:color="auto" w:fill="BFBFBF" w:themeFill="background1" w:themeFillShade="BF"/>
            <w:vAlign w:val="center"/>
          </w:tcPr>
          <w:p w14:paraId="6C098632" w14:textId="77777777" w:rsidR="007376E1" w:rsidRPr="001570EA" w:rsidRDefault="007376E1">
            <w:pPr>
              <w:jc w:val="center"/>
              <w:rPr>
                <w:rFonts w:cs="Arial"/>
                <w:b/>
                <w:sz w:val="18"/>
                <w:szCs w:val="18"/>
              </w:rPr>
            </w:pPr>
            <w:r w:rsidRPr="001570EA">
              <w:rPr>
                <w:b/>
                <w:sz w:val="18"/>
                <w:szCs w:val="18"/>
              </w:rPr>
              <w:t>GSOP</w:t>
            </w:r>
          </w:p>
        </w:tc>
      </w:tr>
      <w:tr w:rsidR="007376E1" w:rsidRPr="001570EA" w14:paraId="787C0E1B" w14:textId="77777777">
        <w:trPr>
          <w:trHeight w:val="299"/>
        </w:trPr>
        <w:tc>
          <w:tcPr>
            <w:tcW w:w="2559" w:type="dxa"/>
            <w:vAlign w:val="center"/>
          </w:tcPr>
          <w:p w14:paraId="4E72C8E2" w14:textId="77777777" w:rsidR="007376E1" w:rsidRPr="001570EA" w:rsidRDefault="007376E1">
            <w:pPr>
              <w:jc w:val="center"/>
              <w:rPr>
                <w:sz w:val="18"/>
                <w:szCs w:val="18"/>
              </w:rPr>
            </w:pPr>
            <w:r w:rsidRPr="001570EA">
              <w:rPr>
                <w:sz w:val="18"/>
                <w:szCs w:val="18"/>
              </w:rPr>
              <w:t>Water-to-Air: Ground water</w:t>
            </w:r>
          </w:p>
        </w:tc>
        <w:tc>
          <w:tcPr>
            <w:tcW w:w="1371" w:type="dxa"/>
            <w:vAlign w:val="center"/>
          </w:tcPr>
          <w:p w14:paraId="24915BD2" w14:textId="77777777" w:rsidR="007376E1" w:rsidRPr="001570EA" w:rsidRDefault="007376E1">
            <w:pPr>
              <w:jc w:val="center"/>
              <w:rPr>
                <w:sz w:val="18"/>
                <w:szCs w:val="18"/>
              </w:rPr>
            </w:pPr>
            <w:r w:rsidRPr="001570EA">
              <w:rPr>
                <w:sz w:val="18"/>
                <w:szCs w:val="18"/>
              </w:rPr>
              <w:t>1.04</w:t>
            </w:r>
          </w:p>
        </w:tc>
        <w:tc>
          <w:tcPr>
            <w:tcW w:w="1260" w:type="dxa"/>
            <w:vAlign w:val="center"/>
          </w:tcPr>
          <w:p w14:paraId="777C5955" w14:textId="77777777" w:rsidR="007376E1" w:rsidRPr="001570EA" w:rsidRDefault="007376E1">
            <w:pPr>
              <w:jc w:val="center"/>
              <w:rPr>
                <w:sz w:val="18"/>
                <w:szCs w:val="18"/>
              </w:rPr>
            </w:pPr>
            <w:r w:rsidRPr="001570EA">
              <w:rPr>
                <w:sz w:val="18"/>
                <w:szCs w:val="18"/>
              </w:rPr>
              <w:t>0.81</w:t>
            </w:r>
          </w:p>
        </w:tc>
      </w:tr>
      <w:tr w:rsidR="007376E1" w:rsidRPr="001570EA" w14:paraId="4397F895" w14:textId="77777777">
        <w:trPr>
          <w:trHeight w:val="299"/>
        </w:trPr>
        <w:tc>
          <w:tcPr>
            <w:tcW w:w="2559" w:type="dxa"/>
            <w:vAlign w:val="center"/>
          </w:tcPr>
          <w:p w14:paraId="4A36284E" w14:textId="77777777" w:rsidR="007376E1" w:rsidRPr="001570EA" w:rsidRDefault="007376E1">
            <w:pPr>
              <w:jc w:val="center"/>
              <w:rPr>
                <w:sz w:val="18"/>
                <w:szCs w:val="18"/>
              </w:rPr>
            </w:pPr>
            <w:r w:rsidRPr="001570EA">
              <w:rPr>
                <w:sz w:val="18"/>
                <w:szCs w:val="18"/>
              </w:rPr>
              <w:t>Brine-to-Air: Ground loop</w:t>
            </w:r>
          </w:p>
        </w:tc>
        <w:tc>
          <w:tcPr>
            <w:tcW w:w="1371" w:type="dxa"/>
            <w:vAlign w:val="center"/>
          </w:tcPr>
          <w:p w14:paraId="1AB513FA" w14:textId="77777777" w:rsidR="007376E1" w:rsidRPr="001570EA" w:rsidRDefault="007376E1">
            <w:pPr>
              <w:jc w:val="center"/>
              <w:rPr>
                <w:sz w:val="18"/>
                <w:szCs w:val="18"/>
              </w:rPr>
            </w:pPr>
            <w:r w:rsidRPr="001570EA">
              <w:rPr>
                <w:sz w:val="18"/>
                <w:szCs w:val="18"/>
              </w:rPr>
              <w:t>1.03</w:t>
            </w:r>
          </w:p>
        </w:tc>
        <w:tc>
          <w:tcPr>
            <w:tcW w:w="1260" w:type="dxa"/>
            <w:vAlign w:val="center"/>
          </w:tcPr>
          <w:p w14:paraId="2FCC16EB" w14:textId="77777777" w:rsidR="007376E1" w:rsidRPr="001570EA" w:rsidRDefault="007376E1">
            <w:pPr>
              <w:jc w:val="center"/>
              <w:rPr>
                <w:sz w:val="18"/>
                <w:szCs w:val="18"/>
              </w:rPr>
            </w:pPr>
            <w:r w:rsidRPr="001570EA">
              <w:rPr>
                <w:sz w:val="18"/>
                <w:szCs w:val="18"/>
              </w:rPr>
              <w:t>0.87</w:t>
            </w:r>
          </w:p>
        </w:tc>
      </w:tr>
      <w:tr w:rsidR="007376E1" w:rsidRPr="001570EA" w14:paraId="3D99627F" w14:textId="77777777">
        <w:trPr>
          <w:trHeight w:val="299"/>
        </w:trPr>
        <w:tc>
          <w:tcPr>
            <w:tcW w:w="2559" w:type="dxa"/>
            <w:vAlign w:val="center"/>
          </w:tcPr>
          <w:p w14:paraId="38284359" w14:textId="77777777" w:rsidR="007376E1" w:rsidRPr="001570EA" w:rsidRDefault="007376E1">
            <w:pPr>
              <w:jc w:val="center"/>
              <w:rPr>
                <w:sz w:val="18"/>
                <w:szCs w:val="18"/>
              </w:rPr>
            </w:pPr>
            <w:r w:rsidRPr="001570EA">
              <w:rPr>
                <w:sz w:val="18"/>
                <w:szCs w:val="18"/>
              </w:rPr>
              <w:t>Water-to-Water: Ground water</w:t>
            </w:r>
          </w:p>
        </w:tc>
        <w:tc>
          <w:tcPr>
            <w:tcW w:w="1371" w:type="dxa"/>
            <w:vAlign w:val="center"/>
          </w:tcPr>
          <w:p w14:paraId="7BAC714A" w14:textId="77777777" w:rsidR="007376E1" w:rsidRPr="001570EA" w:rsidRDefault="007376E1">
            <w:pPr>
              <w:jc w:val="center"/>
              <w:rPr>
                <w:sz w:val="18"/>
                <w:szCs w:val="18"/>
              </w:rPr>
            </w:pPr>
            <w:r w:rsidRPr="001570EA">
              <w:rPr>
                <w:sz w:val="18"/>
                <w:szCs w:val="18"/>
              </w:rPr>
              <w:t>0.93</w:t>
            </w:r>
          </w:p>
        </w:tc>
        <w:tc>
          <w:tcPr>
            <w:tcW w:w="1260" w:type="dxa"/>
            <w:vAlign w:val="center"/>
          </w:tcPr>
          <w:p w14:paraId="21831A6C" w14:textId="77777777" w:rsidR="007376E1" w:rsidRPr="001570EA" w:rsidRDefault="007376E1">
            <w:pPr>
              <w:jc w:val="center"/>
              <w:rPr>
                <w:sz w:val="18"/>
                <w:szCs w:val="18"/>
              </w:rPr>
            </w:pPr>
            <w:r w:rsidRPr="001570EA">
              <w:rPr>
                <w:sz w:val="18"/>
                <w:szCs w:val="18"/>
              </w:rPr>
              <w:t>0.84</w:t>
            </w:r>
          </w:p>
        </w:tc>
      </w:tr>
      <w:tr w:rsidR="007376E1" w:rsidRPr="001570EA" w14:paraId="60F27D2D" w14:textId="77777777">
        <w:trPr>
          <w:trHeight w:val="299"/>
        </w:trPr>
        <w:tc>
          <w:tcPr>
            <w:tcW w:w="2559" w:type="dxa"/>
            <w:vAlign w:val="center"/>
          </w:tcPr>
          <w:p w14:paraId="406483FE" w14:textId="77777777" w:rsidR="007376E1" w:rsidRPr="001570EA" w:rsidRDefault="007376E1">
            <w:pPr>
              <w:jc w:val="center"/>
              <w:rPr>
                <w:sz w:val="18"/>
                <w:szCs w:val="18"/>
              </w:rPr>
            </w:pPr>
            <w:r w:rsidRPr="001570EA">
              <w:rPr>
                <w:sz w:val="18"/>
                <w:szCs w:val="18"/>
              </w:rPr>
              <w:t>Brine-to-Water: Ground loop</w:t>
            </w:r>
          </w:p>
        </w:tc>
        <w:tc>
          <w:tcPr>
            <w:tcW w:w="1371" w:type="dxa"/>
            <w:vAlign w:val="center"/>
          </w:tcPr>
          <w:p w14:paraId="6B2889A7" w14:textId="77777777" w:rsidR="007376E1" w:rsidRPr="001570EA" w:rsidRDefault="007376E1">
            <w:pPr>
              <w:jc w:val="center"/>
              <w:rPr>
                <w:sz w:val="18"/>
                <w:szCs w:val="18"/>
              </w:rPr>
            </w:pPr>
            <w:r w:rsidRPr="001570EA">
              <w:rPr>
                <w:sz w:val="18"/>
                <w:szCs w:val="18"/>
              </w:rPr>
              <w:t>0.96</w:t>
            </w:r>
          </w:p>
        </w:tc>
        <w:tc>
          <w:tcPr>
            <w:tcW w:w="1260" w:type="dxa"/>
            <w:vAlign w:val="center"/>
          </w:tcPr>
          <w:p w14:paraId="0D35B878" w14:textId="77777777" w:rsidR="007376E1" w:rsidRPr="001570EA" w:rsidRDefault="007376E1">
            <w:pPr>
              <w:jc w:val="center"/>
              <w:rPr>
                <w:sz w:val="18"/>
                <w:szCs w:val="18"/>
              </w:rPr>
            </w:pPr>
            <w:r w:rsidRPr="001570EA">
              <w:rPr>
                <w:sz w:val="18"/>
                <w:szCs w:val="18"/>
              </w:rPr>
              <w:t>0.89</w:t>
            </w:r>
          </w:p>
        </w:tc>
      </w:tr>
    </w:tbl>
    <w:p w14:paraId="46184A70" w14:textId="77777777" w:rsidR="007376E1" w:rsidRPr="001570EA" w:rsidRDefault="007376E1" w:rsidP="007376E1">
      <w:pPr>
        <w:pStyle w:val="Equation"/>
        <w:tabs>
          <w:tab w:val="clear" w:pos="2880"/>
          <w:tab w:val="left" w:pos="2160"/>
        </w:tabs>
        <w:ind w:left="0" w:firstLine="0"/>
        <w:rPr>
          <w:i w:val="0"/>
        </w:rPr>
      </w:pPr>
    </w:p>
    <w:p w14:paraId="2CEC9430" w14:textId="77777777" w:rsidR="007376E1" w:rsidRPr="001570EA" w:rsidRDefault="007376E1" w:rsidP="007376E1">
      <w:pPr>
        <w:pStyle w:val="SubStyle"/>
      </w:pPr>
      <w:r w:rsidRPr="001570EA">
        <w:t>Evaluation Protocols</w:t>
      </w:r>
    </w:p>
    <w:p w14:paraId="0AFDC5B0" w14:textId="77777777" w:rsidR="007376E1" w:rsidRPr="001570EA" w:rsidRDefault="007376E1" w:rsidP="007376E1">
      <w:r w:rsidRPr="001570EA">
        <w:t>The most appropriate evaluation protocol for this measure is verification of installation coupled with assignment of stipulated energy savings.</w:t>
      </w:r>
    </w:p>
    <w:p w14:paraId="4495B905" w14:textId="77777777" w:rsidR="007376E1" w:rsidRDefault="007376E1" w:rsidP="007376E1"/>
    <w:p w14:paraId="102BCB8A" w14:textId="77777777" w:rsidR="00D52FAA" w:rsidRDefault="00D52FAA" w:rsidP="007376E1"/>
    <w:p w14:paraId="77B57B42" w14:textId="77777777" w:rsidR="00D52FAA" w:rsidRPr="001570EA" w:rsidRDefault="00D52FAA" w:rsidP="007376E1"/>
    <w:p w14:paraId="3EE7C49E" w14:textId="77777777" w:rsidR="007376E1" w:rsidRPr="001570EA" w:rsidRDefault="007376E1" w:rsidP="00597241">
      <w:pPr>
        <w:pStyle w:val="SubStyle"/>
        <w:keepNext/>
        <w:keepLines/>
      </w:pPr>
      <w:r w:rsidRPr="001570EA">
        <w:t>Sources</w:t>
      </w:r>
    </w:p>
    <w:p w14:paraId="5C6EA608" w14:textId="22CE94B8" w:rsidR="007376E1" w:rsidRPr="001570EA" w:rsidRDefault="007376E1" w:rsidP="00597241">
      <w:pPr>
        <w:pStyle w:val="ListParagraph"/>
        <w:keepNext/>
        <w:keepLines/>
        <w:numPr>
          <w:ilvl w:val="0"/>
          <w:numId w:val="35"/>
        </w:numPr>
        <w:overflowPunct/>
        <w:autoSpaceDE/>
        <w:autoSpaceDN/>
        <w:adjustRightInd/>
        <w:ind w:left="360"/>
        <w:textAlignment w:val="auto"/>
      </w:pPr>
      <w:bookmarkStart w:id="197" w:name="_Hlk531873305"/>
      <w:r w:rsidRPr="001570EA">
        <w:t xml:space="preserve">California Electronic Technical Reference Manual. “SEER Rated AC and HP HVAC Equipment, Residential”. Accessed February 2024. </w:t>
      </w:r>
      <w:hyperlink r:id="rId31" w:history="1">
        <w:r w:rsidRPr="001570EA">
          <w:rPr>
            <w:rStyle w:val="Hyperlink"/>
          </w:rPr>
          <w:t>Weblink</w:t>
        </w:r>
      </w:hyperlink>
      <w:r w:rsidRPr="001570EA">
        <w:t xml:space="preserve"> </w:t>
      </w:r>
    </w:p>
    <w:p w14:paraId="1BE4696F" w14:textId="63986A53" w:rsidR="007376E1" w:rsidRPr="001570EA" w:rsidRDefault="007376E1" w:rsidP="00597241">
      <w:pPr>
        <w:pStyle w:val="ListParagraph"/>
        <w:keepNext/>
        <w:keepLines/>
        <w:numPr>
          <w:ilvl w:val="0"/>
          <w:numId w:val="35"/>
        </w:numPr>
        <w:overflowPunct/>
        <w:autoSpaceDE/>
        <w:autoSpaceDN/>
        <w:adjustRightInd/>
        <w:ind w:left="360"/>
        <w:textAlignment w:val="auto"/>
      </w:pPr>
      <w:r w:rsidRPr="001570EA">
        <w:t xml:space="preserve">For early replacement ASHP/CAC: NMR Group for the Pennsylvania Public Utility Commission. (2024, March). 2023 Pennsylvania Statewide Act 129 Residential Baseline Study. Sec 8.1.4 Table 87 and Sec 8.2.1 Table 97 </w:t>
      </w:r>
      <w:r w:rsidR="00FD0AF6" w:rsidRPr="001570EA">
        <w:t xml:space="preserve">and </w:t>
      </w:r>
      <w:r w:rsidRPr="001570EA">
        <w:t xml:space="preserve">98. Baseline findings are capped to current Federal Standards. </w:t>
      </w:r>
      <w:hyperlink r:id="rId32" w:history="1">
        <w:r w:rsidRPr="001570EA">
          <w:rPr>
            <w:rStyle w:val="Hyperlink"/>
          </w:rPr>
          <w:t>Weblink</w:t>
        </w:r>
      </w:hyperlink>
      <w:r w:rsidRPr="001570EA">
        <w:t xml:space="preserve"> </w:t>
      </w:r>
      <w:r w:rsidR="00DD3F70" w:rsidRPr="001570EA">
        <w:tab/>
      </w:r>
      <w:r w:rsidRPr="001570EA">
        <w:br/>
        <w:t xml:space="preserve">For new construction ASHP/CAC: Federal Code of Regulations 10 CFR 430.32(c). </w:t>
      </w:r>
      <w:hyperlink r:id="rId33" w:anchor="p-430.32(c)" w:history="1">
        <w:r w:rsidRPr="001570EA">
          <w:rPr>
            <w:rStyle w:val="Hyperlink"/>
          </w:rPr>
          <w:t>Weblink</w:t>
        </w:r>
      </w:hyperlink>
      <w:r w:rsidRPr="001570EA">
        <w:br/>
        <w:t>For early replacement GSHP: existing systems were assumed to be two-thirds through an assumed 15</w:t>
      </w:r>
      <w:r w:rsidR="00AF6E67">
        <w:t>-</w:t>
      </w:r>
      <w:r w:rsidRPr="001570EA">
        <w:t xml:space="preserve">year equipment life. Therefore, the minimum required efficiency at the date of installation for an existing GSHP system is estimated to have been set by IECC 2015 requirements. The values in the table represent the minimum efficiency values from IECC 2015. </w:t>
      </w:r>
      <w:hyperlink r:id="rId34" w:anchor="IECC2015_Pt01_Ch04_SecC403.2" w:history="1">
        <w:r w:rsidRPr="001570EA">
          <w:rPr>
            <w:rStyle w:val="Hyperlink"/>
          </w:rPr>
          <w:t>Weblink</w:t>
        </w:r>
      </w:hyperlink>
      <w:r w:rsidRPr="001570EA">
        <w:t xml:space="preserve"> . </w:t>
      </w:r>
      <w:r w:rsidRPr="001570EA" w:rsidDel="00A72A78">
        <w:t xml:space="preserve"> </w:t>
      </w:r>
      <w:r w:rsidRPr="001570EA">
        <w:br/>
        <w:t xml:space="preserve">For New Construction GSHP: IECC 2021 - </w:t>
      </w:r>
      <w:hyperlink r:id="rId35" w:anchor="IECC2021P2_CE_Ch04_SecC403.3.2" w:history="1">
        <w:r w:rsidRPr="001570EA">
          <w:rPr>
            <w:rStyle w:val="Hyperlink"/>
          </w:rPr>
          <w:t>Weblink</w:t>
        </w:r>
      </w:hyperlink>
      <w:r w:rsidRPr="001570EA">
        <w:t xml:space="preserve"> Table 14</w:t>
      </w:r>
      <w:r w:rsidRPr="001570EA">
        <w:br/>
        <w:t xml:space="preserve">All PTAC and PTHP: Standard sizing minimums, Federal Code of Regulations 10 CFR 431.97(c): </w:t>
      </w:r>
      <w:hyperlink r:id="rId36" w:anchor="p-431.97(c)" w:history="1">
        <w:r w:rsidRPr="001570EA">
          <w:rPr>
            <w:rStyle w:val="Hyperlink"/>
          </w:rPr>
          <w:t>Weblink</w:t>
        </w:r>
      </w:hyperlink>
      <w:r w:rsidRPr="001570EA">
        <w:t xml:space="preserve">  </w:t>
      </w:r>
      <w:r w:rsidRPr="001570EA">
        <w:br/>
        <w:t xml:space="preserve">As per IECC Residential code (Section R403.7), the requirements for all mechanical systems are stipulated to be federal minimums. Since there are no federal standards for Residential GSHP/PTAC/PTHPs, the C&amp;I standards acts as a proxy. </w:t>
      </w:r>
    </w:p>
    <w:p w14:paraId="24AD89B6" w14:textId="287BCFA6" w:rsidR="007376E1" w:rsidRPr="001570EA" w:rsidRDefault="007376E1" w:rsidP="002614D2">
      <w:pPr>
        <w:pStyle w:val="ListParagraph"/>
        <w:numPr>
          <w:ilvl w:val="0"/>
          <w:numId w:val="35"/>
        </w:numPr>
        <w:overflowPunct/>
        <w:autoSpaceDE/>
        <w:autoSpaceDN/>
        <w:adjustRightInd/>
        <w:ind w:left="360"/>
        <w:jc w:val="left"/>
        <w:textAlignment w:val="auto"/>
      </w:pPr>
      <w:r w:rsidRPr="001570EA">
        <w:rPr>
          <w:rFonts w:ascii="ArialMT" w:hAnsi="ArialMT"/>
          <w:color w:val="000000"/>
        </w:rPr>
        <w:t xml:space="preserve">Average EER for SEER 13 units as calculated by EER = -0.02 × SEER² + 1.12 × SEER based on Wassmer, M., (2003), “A Component-Based Model for Residential Air Conditioner and Heat Pump Energy Calculations” as cited in U.S. DOE Building America House Simulation Protocol, Revised 2010. </w:t>
      </w:r>
      <w:hyperlink r:id="rId37" w:history="1">
        <w:r w:rsidRPr="001570EA">
          <w:rPr>
            <w:rStyle w:val="Hyperlink"/>
            <w:rFonts w:ascii="ArialMT" w:hAnsi="ArialMT"/>
          </w:rPr>
          <w:t>Weblink</w:t>
        </w:r>
      </w:hyperlink>
    </w:p>
    <w:p w14:paraId="3088E269" w14:textId="2FA5A191" w:rsidR="007376E1" w:rsidRPr="001570EA" w:rsidRDefault="007376E1" w:rsidP="002614D2">
      <w:pPr>
        <w:pStyle w:val="ListParagraph"/>
        <w:numPr>
          <w:ilvl w:val="0"/>
          <w:numId w:val="35"/>
        </w:numPr>
        <w:overflowPunct/>
        <w:autoSpaceDE/>
        <w:autoSpaceDN/>
        <w:adjustRightInd/>
        <w:ind w:left="360"/>
        <w:jc w:val="left"/>
        <w:textAlignment w:val="auto"/>
      </w:pPr>
      <w:r w:rsidRPr="001570EA">
        <w:rPr>
          <w:rFonts w:ascii="ArialMT" w:hAnsi="ArialMT"/>
          <w:color w:val="000000"/>
        </w:rPr>
        <w:t xml:space="preserve">“Methodology for Calculating Cooling and Heating Energy Input-Ratio (EIR) from the Rated Seasonal Performance Efficiency (SEER OR HSPF)” (Kim, </w:t>
      </w:r>
      <w:r w:rsidRPr="001570EA">
        <w:t xml:space="preserve">Baltazar, Haberl). April 2013 Accessed December 2018. </w:t>
      </w:r>
      <w:hyperlink r:id="rId38" w:history="1">
        <w:r w:rsidRPr="001570EA">
          <w:rPr>
            <w:rStyle w:val="Hyperlink"/>
          </w:rPr>
          <w:t>Weblink</w:t>
        </w:r>
      </w:hyperlink>
    </w:p>
    <w:p w14:paraId="0E62A114" w14:textId="6933CB77" w:rsidR="007376E1" w:rsidRPr="001570EA" w:rsidRDefault="007376E1" w:rsidP="002614D2">
      <w:pPr>
        <w:pStyle w:val="source10"/>
        <w:numPr>
          <w:ilvl w:val="0"/>
          <w:numId w:val="35"/>
        </w:numPr>
        <w:spacing w:after="120"/>
        <w:ind w:left="360"/>
        <w:textAlignment w:val="auto"/>
      </w:pPr>
      <w:r w:rsidRPr="001570EA">
        <w:t>Northeast Energy Efficiency Partnerships, Inc., “Strategies to Increase Residential HVAC Efficiency in the Northeast”, (February 2006): Appendix C Benefits of HVAC Contractor Training: Field Research Results 03-STAC-01, p</w:t>
      </w:r>
      <w:r w:rsidR="00CC5841">
        <w:t>age</w:t>
      </w:r>
      <w:r w:rsidR="00CC5841" w:rsidRPr="001570EA">
        <w:t xml:space="preserve"> </w:t>
      </w:r>
      <w:r w:rsidRPr="001570EA">
        <w:t>4.</w:t>
      </w:r>
      <w:r w:rsidRPr="001570EA" w:rsidDel="00DA3286">
        <w:t xml:space="preserve"> </w:t>
      </w:r>
    </w:p>
    <w:p w14:paraId="78CA21F4" w14:textId="5ED8EF2C" w:rsidR="007376E1" w:rsidRPr="001570EA" w:rsidRDefault="007376E1" w:rsidP="002614D2">
      <w:pPr>
        <w:pStyle w:val="source10"/>
        <w:numPr>
          <w:ilvl w:val="0"/>
          <w:numId w:val="35"/>
        </w:numPr>
        <w:spacing w:after="120"/>
        <w:ind w:left="360"/>
        <w:jc w:val="left"/>
      </w:pPr>
      <w:r w:rsidRPr="001570EA">
        <w:t>Based on REM/Rate modeling using models from the PA 2012 Potential Study. EFLH calculated from kWh consumption for cooling and heating. Models assume 50% over-sizing of air conditioners and 40% oversizing of heat pumps.</w:t>
      </w:r>
      <w:r w:rsidRPr="001570EA" w:rsidDel="004111A0">
        <w:t xml:space="preserve"> </w:t>
      </w:r>
      <w:r w:rsidRPr="001570EA">
        <w:t>Thus</w:t>
      </w:r>
      <w:r w:rsidR="009A28FA">
        <w:t>,</w:t>
      </w:r>
      <w:r w:rsidRPr="001570EA">
        <w:t xml:space="preserve"> assuming for most</w:t>
      </w:r>
      <w:r w:rsidRPr="001570EA">
        <w:rPr>
          <w:vertAlign w:val="superscript"/>
        </w:rPr>
        <w:t xml:space="preserve"> </w:t>
      </w:r>
      <w:r w:rsidRPr="001570EA">
        <w:t>baseline oversize factors to be unitary.</w:t>
      </w:r>
      <w:r w:rsidRPr="001570EA" w:rsidDel="004111A0">
        <w:rPr>
          <w:vertAlign w:val="superscript"/>
        </w:rPr>
        <w:t xml:space="preserve"> </w:t>
      </w:r>
      <w:r w:rsidRPr="001570EA">
        <w:br/>
      </w:r>
      <w:r w:rsidRPr="001570EA">
        <w:rPr>
          <w:szCs w:val="16"/>
        </w:rPr>
        <w:t xml:space="preserve">Neme, Proctor, Nadal, “National Energy Savings Potential From Addressing Residential HVAC Installation Problems”. ACEEE, February 1, 1999. </w:t>
      </w:r>
      <w:hyperlink r:id="rId39" w:history="1">
        <w:r w:rsidRPr="001570EA">
          <w:rPr>
            <w:rStyle w:val="Hyperlink"/>
            <w:rFonts w:cs="Arial"/>
            <w:spacing w:val="-2"/>
            <w:szCs w:val="16"/>
          </w:rPr>
          <w:t>Weblink</w:t>
        </w:r>
      </w:hyperlink>
      <w:r w:rsidRPr="001570EA">
        <w:rPr>
          <w:spacing w:val="-2"/>
          <w:szCs w:val="16"/>
        </w:rPr>
        <w:br/>
      </w:r>
      <w:r w:rsidRPr="001570EA">
        <w:rPr>
          <w:szCs w:val="16"/>
        </w:rPr>
        <w:t xml:space="preserve">Confirmed also by </w:t>
      </w:r>
      <w:r w:rsidRPr="001570EA">
        <w:rPr>
          <w:i/>
          <w:szCs w:val="16"/>
        </w:rPr>
        <w:t xml:space="preserve">Central Air Conditioning in Wisconsin, a compilation of recent field research. </w:t>
      </w:r>
      <w:r w:rsidRPr="001570EA">
        <w:rPr>
          <w:szCs w:val="16"/>
        </w:rPr>
        <w:t xml:space="preserve">Energy Center of Wisconsin. May 2008, </w:t>
      </w:r>
      <w:r w:rsidR="009D5B70" w:rsidRPr="001570EA">
        <w:rPr>
          <w:szCs w:val="16"/>
        </w:rPr>
        <w:t>amended</w:t>
      </w:r>
      <w:r w:rsidRPr="001570EA">
        <w:rPr>
          <w:szCs w:val="16"/>
        </w:rPr>
        <w:t xml:space="preserve"> December 15, 2010. </w:t>
      </w:r>
      <w:hyperlink r:id="rId40" w:history="1">
        <w:r w:rsidRPr="001570EA">
          <w:rPr>
            <w:rStyle w:val="Hyperlink"/>
            <w:rFonts w:cs="Arial"/>
            <w:szCs w:val="16"/>
          </w:rPr>
          <w:t>Weblink</w:t>
        </w:r>
      </w:hyperlink>
      <w:r w:rsidRPr="001570EA">
        <w:rPr>
          <w:rStyle w:val="Hyperlink"/>
          <w:rFonts w:cs="Arial"/>
          <w:szCs w:val="16"/>
        </w:rPr>
        <w:br/>
      </w:r>
      <w:r w:rsidRPr="001570EA">
        <w:rPr>
          <w:szCs w:val="16"/>
        </w:rPr>
        <w:t xml:space="preserve">ACCA, “Verifying ACCA Manual S Procedures,” </w:t>
      </w:r>
      <w:hyperlink r:id="rId41" w:history="1">
        <w:r w:rsidRPr="001570EA">
          <w:rPr>
            <w:rStyle w:val="Hyperlink"/>
            <w:rFonts w:cs="Arial"/>
            <w:szCs w:val="16"/>
          </w:rPr>
          <w:t>Weblink</w:t>
        </w:r>
      </w:hyperlink>
    </w:p>
    <w:p w14:paraId="7D85757D" w14:textId="77777777" w:rsidR="007376E1" w:rsidRPr="001570EA" w:rsidRDefault="007376E1" w:rsidP="002614D2">
      <w:pPr>
        <w:pStyle w:val="ListParagraph"/>
        <w:numPr>
          <w:ilvl w:val="0"/>
          <w:numId w:val="35"/>
        </w:numPr>
        <w:overflowPunct/>
        <w:autoSpaceDE/>
        <w:autoSpaceDN/>
        <w:adjustRightInd/>
        <w:ind w:left="360"/>
        <w:textAlignment w:val="auto"/>
      </w:pPr>
      <w:r w:rsidRPr="001570EA">
        <w:rPr>
          <w:rFonts w:ascii="ArialMT" w:hAnsi="ArialMT"/>
          <w:color w:val="000000"/>
        </w:rPr>
        <w:t xml:space="preserve">Assumptions used to calculate a default value for de facto heating system OF: Four (4) 1500W portable electric space heaters in use in the home with capacity of </w:t>
      </w:r>
      <m:oMath>
        <m:r>
          <w:rPr>
            <w:rFonts w:ascii="Cambria Math" w:hAnsi="Cambria Math"/>
            <w:color w:val="000000"/>
          </w:rPr>
          <m:t>4×1.5kW×3412</m:t>
        </m:r>
        <m:f>
          <m:fPr>
            <m:ctrlPr>
              <w:rPr>
                <w:rFonts w:ascii="Cambria Math" w:hAnsi="Cambria Math"/>
                <w:i/>
                <w:color w:val="000000"/>
              </w:rPr>
            </m:ctrlPr>
          </m:fPr>
          <m:num>
            <m:r>
              <w:rPr>
                <w:rFonts w:ascii="Cambria Math" w:hAnsi="Cambria Math"/>
                <w:color w:val="000000"/>
              </w:rPr>
              <m:t>BTU</m:t>
            </m:r>
          </m:num>
          <m:den>
            <m:r>
              <m:rPr>
                <m:nor/>
              </m:rPr>
              <w:rPr>
                <w:rFonts w:ascii="Cambria Math" w:hAnsi="Cambria Math" w:cs="Arial"/>
                <w:i/>
                <w:iCs/>
              </w:rPr>
              <m:t>kW∙h</m:t>
            </m:r>
          </m:den>
        </m:f>
        <m:r>
          <w:rPr>
            <w:rFonts w:ascii="Cambria Math" w:hAnsi="Cambria Math"/>
            <w:color w:val="000000"/>
          </w:rPr>
          <m:t>= 20,472 BTU</m:t>
        </m:r>
      </m:oMath>
      <w:r w:rsidRPr="001570EA">
        <w:rPr>
          <w:rFonts w:ascii="ArialMT" w:hAnsi="ArialMT"/>
          <w:color w:val="000000"/>
        </w:rPr>
        <w:t xml:space="preserve">, replaced by DHP with combined heating capacity of 36kBTU. </w:t>
      </w:r>
      <m:oMath>
        <m:r>
          <w:rPr>
            <w:rFonts w:ascii="Cambria Math" w:hAnsi="Cambria Math"/>
            <w:color w:val="000000"/>
          </w:rPr>
          <m:t>OF=</m:t>
        </m:r>
        <m:f>
          <m:fPr>
            <m:ctrlPr>
              <w:rPr>
                <w:rFonts w:ascii="Cambria Math" w:hAnsi="Cambria Math"/>
                <w:i/>
                <w:color w:val="000000"/>
              </w:rPr>
            </m:ctrlPr>
          </m:fPr>
          <m:num>
            <m:r>
              <w:rPr>
                <w:rFonts w:ascii="Cambria Math" w:hAnsi="Cambria Math"/>
                <w:color w:val="000000"/>
              </w:rPr>
              <m:t>20,472</m:t>
            </m:r>
          </m:num>
          <m:den>
            <m:r>
              <w:rPr>
                <w:rFonts w:ascii="Cambria Math" w:hAnsi="Cambria Math"/>
                <w:color w:val="000000"/>
              </w:rPr>
              <m:t>36,000</m:t>
            </m:r>
          </m:den>
        </m:f>
        <m:r>
          <w:rPr>
            <w:rFonts w:ascii="Cambria Math" w:hAnsi="Cambria Math"/>
            <w:color w:val="000000"/>
          </w:rPr>
          <m:t>≈0.6</m:t>
        </m:r>
      </m:oMath>
    </w:p>
    <w:p w14:paraId="03F93353" w14:textId="4B760F8D" w:rsidR="007376E1" w:rsidRPr="001570EA" w:rsidRDefault="007376E1" w:rsidP="002614D2">
      <w:pPr>
        <w:pStyle w:val="ListParagraph"/>
        <w:numPr>
          <w:ilvl w:val="0"/>
          <w:numId w:val="35"/>
        </w:numPr>
        <w:ind w:left="360"/>
        <w:jc w:val="left"/>
      </w:pPr>
      <w:r w:rsidRPr="001570EA">
        <w:rPr>
          <w:rFonts w:ascii="ArialMT" w:hAnsi="ArialMT"/>
          <w:color w:val="000000"/>
        </w:rPr>
        <w:t xml:space="preserve">Factors are derived from the conversion algorithms depicted in the Heat Pump – Water-to-air Ground Source (GSHP) Measure of the Version 11 of the NY TRM </w:t>
      </w:r>
      <w:hyperlink r:id="rId42" w:history="1">
        <w:r w:rsidRPr="001570EA">
          <w:rPr>
            <w:rStyle w:val="Hyperlink"/>
            <w:rFonts w:ascii="ArialMT" w:hAnsi="ArialMT"/>
          </w:rPr>
          <w:t>Weblink</w:t>
        </w:r>
      </w:hyperlink>
      <w:r w:rsidRPr="001570EA">
        <w:rPr>
          <w:rFonts w:ascii="ArialMT" w:hAnsi="ArialMT"/>
          <w:color w:val="000000"/>
        </w:rPr>
        <w:t xml:space="preserve"> </w:t>
      </w:r>
      <w:r w:rsidR="00E879FB" w:rsidRPr="001570EA">
        <w:rPr>
          <w:rFonts w:ascii="ArialMT" w:hAnsi="ArialMT"/>
          <w:color w:val="000000"/>
        </w:rPr>
        <w:t>Substituting</w:t>
      </w:r>
      <w:r w:rsidRPr="001570EA">
        <w:rPr>
          <w:rFonts w:ascii="ArialMT" w:hAnsi="ArialMT"/>
          <w:color w:val="000000"/>
        </w:rPr>
        <w:t xml:space="preserve"> for defaults where applicable and borrowing current market data from the AHRI Database</w:t>
      </w:r>
      <w:r w:rsidR="000B60BE" w:rsidRPr="001570EA">
        <w:rPr>
          <w:rFonts w:ascii="ArialMT" w:hAnsi="ArialMT"/>
          <w:color w:val="000000"/>
        </w:rPr>
        <w:t>.</w:t>
      </w:r>
      <w:r w:rsidRPr="001570EA">
        <w:rPr>
          <w:rFonts w:ascii="ArialMT" w:hAnsi="ArialMT"/>
          <w:color w:val="000000"/>
        </w:rPr>
        <w:t xml:space="preserve"> </w:t>
      </w:r>
      <w:hyperlink r:id="rId43" w:history="1">
        <w:r w:rsidRPr="001570EA">
          <w:rPr>
            <w:rStyle w:val="Hyperlink"/>
            <w:rFonts w:ascii="ArialMT" w:hAnsi="ArialMT"/>
          </w:rPr>
          <w:t>Weblink</w:t>
        </w:r>
      </w:hyperlink>
      <w:r w:rsidRPr="001570EA">
        <w:rPr>
          <w:rFonts w:ascii="ArialMT" w:hAnsi="ArialMT"/>
          <w:color w:val="000000"/>
        </w:rPr>
        <w:t xml:space="preserve"> </w:t>
      </w:r>
    </w:p>
    <w:bookmarkEnd w:id="197"/>
    <w:p w14:paraId="0A32B4D2" w14:textId="7F54A588" w:rsidR="007376E1" w:rsidRPr="001570EA" w:rsidRDefault="007376E1" w:rsidP="002614D2">
      <w:pPr>
        <w:pStyle w:val="ListParagraph"/>
        <w:numPr>
          <w:ilvl w:val="0"/>
          <w:numId w:val="35"/>
        </w:numPr>
        <w:overflowPunct/>
        <w:autoSpaceDE/>
        <w:autoSpaceDN/>
        <w:adjustRightInd/>
        <w:ind w:left="360"/>
        <w:textAlignment w:val="auto"/>
      </w:pPr>
      <w:r w:rsidRPr="001570EA">
        <w:t>Based on the Phase III SWE team’s analysis of regional HVAC runtime data collected from ecobee’s Donate Your Data research service (</w:t>
      </w:r>
      <w:hyperlink r:id="rId44" w:history="1">
        <w:r w:rsidRPr="001570EA">
          <w:rPr>
            <w:rStyle w:val="Hyperlink"/>
          </w:rPr>
          <w:t>Weblink</w:t>
        </w:r>
      </w:hyperlink>
      <w:r w:rsidRPr="001570EA">
        <w:t>) and updated based on the latest CDD and HDD values from NOAA’s 15-year annual climate Normals (2006–2020) (</w:t>
      </w:r>
      <w:hyperlink r:id="rId45" w:history="1">
        <w:r w:rsidRPr="001570EA">
          <w:rPr>
            <w:rStyle w:val="Hyperlink"/>
          </w:rPr>
          <w:t>Weblink</w:t>
        </w:r>
      </w:hyperlink>
      <w:r w:rsidRPr="001570EA">
        <w:t>)</w:t>
      </w:r>
    </w:p>
    <w:p w14:paraId="481CA36A" w14:textId="77777777" w:rsidR="007376E1" w:rsidRPr="001570EA" w:rsidRDefault="007376E1" w:rsidP="007376E1"/>
    <w:p w14:paraId="0DB5F453" w14:textId="77777777" w:rsidR="007376E1" w:rsidRPr="001570EA" w:rsidRDefault="007376E1" w:rsidP="007376E1">
      <w:r w:rsidRPr="001570EA">
        <w:br w:type="page"/>
      </w:r>
    </w:p>
    <w:p w14:paraId="186ACD53" w14:textId="77777777" w:rsidR="007376E1" w:rsidRPr="001570EA" w:rsidRDefault="007376E1" w:rsidP="00462D97">
      <w:pPr>
        <w:pStyle w:val="Heading3"/>
      </w:pPr>
      <w:bookmarkStart w:id="198" w:name="_Toc164786635"/>
      <w:r w:rsidRPr="001570EA">
        <w:t>High Efficiency Equipment for Midstream Delivery: ASHP, CAC, PTAC, PTHP</w:t>
      </w:r>
      <w:bookmarkEnd w:id="198"/>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51"/>
        <w:gridCol w:w="4961"/>
      </w:tblGrid>
      <w:tr w:rsidR="007376E1" w:rsidRPr="001570EA" w14:paraId="4C93B928"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5453B355" w14:textId="77777777" w:rsidR="007376E1" w:rsidRPr="001570EA" w:rsidRDefault="007376E1">
            <w:pPr>
              <w:pStyle w:val="TableCell"/>
              <w:spacing w:before="60" w:after="60"/>
              <w:rPr>
                <w:b/>
                <w:bCs/>
                <w:color w:val="000000"/>
                <w:lang w:eastAsia="ja-JP"/>
              </w:rPr>
            </w:pPr>
            <w:r w:rsidRPr="001570EA">
              <w:rPr>
                <w:b/>
                <w:bCs/>
                <w:color w:val="000000"/>
                <w:lang w:eastAsia="ja-JP"/>
              </w:rPr>
              <w:t>Target Sector</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2A1396FA" w14:textId="77777777" w:rsidR="007376E1" w:rsidRPr="001570EA" w:rsidRDefault="007376E1">
            <w:pPr>
              <w:pStyle w:val="TableCell"/>
              <w:spacing w:before="60" w:after="60"/>
              <w:jc w:val="center"/>
              <w:rPr>
                <w:color w:val="000000"/>
                <w:lang w:eastAsia="ja-JP"/>
              </w:rPr>
            </w:pPr>
            <w:r w:rsidRPr="001570EA">
              <w:rPr>
                <w:color w:val="000000"/>
                <w:lang w:eastAsia="ja-JP"/>
              </w:rPr>
              <w:t>Residential</w:t>
            </w:r>
          </w:p>
        </w:tc>
      </w:tr>
      <w:tr w:rsidR="007376E1" w:rsidRPr="001570EA" w14:paraId="5D4162B5"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hideMark/>
          </w:tcPr>
          <w:p w14:paraId="5A33002E" w14:textId="77777777" w:rsidR="007376E1" w:rsidRPr="001570EA" w:rsidRDefault="007376E1">
            <w:pPr>
              <w:pStyle w:val="TableCell"/>
              <w:spacing w:before="60" w:after="60"/>
              <w:rPr>
                <w:b/>
                <w:bCs/>
                <w:color w:val="000000"/>
                <w:lang w:eastAsia="ja-JP"/>
              </w:rPr>
            </w:pPr>
            <w:r w:rsidRPr="001570EA">
              <w:rPr>
                <w:b/>
                <w:bCs/>
                <w:color w:val="000000"/>
                <w:lang w:eastAsia="ja-JP"/>
              </w:rPr>
              <w:t>Measure Unit</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hideMark/>
          </w:tcPr>
          <w:p w14:paraId="719ADDF1" w14:textId="77777777" w:rsidR="007376E1" w:rsidRPr="001570EA" w:rsidRDefault="007376E1">
            <w:pPr>
              <w:pStyle w:val="TableCell"/>
              <w:spacing w:before="60" w:after="60"/>
              <w:jc w:val="center"/>
              <w:rPr>
                <w:color w:val="000000"/>
                <w:lang w:eastAsia="ja-JP"/>
              </w:rPr>
            </w:pPr>
            <w:r w:rsidRPr="001570EA">
              <w:rPr>
                <w:color w:val="000000"/>
                <w:lang w:eastAsia="ja-JP"/>
              </w:rPr>
              <w:t>CAC, ASHP, PTAC or PTHP Unit</w:t>
            </w:r>
          </w:p>
        </w:tc>
      </w:tr>
      <w:tr w:rsidR="007376E1" w:rsidRPr="001570EA" w14:paraId="39FB8450"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hideMark/>
          </w:tcPr>
          <w:p w14:paraId="307492D8" w14:textId="77777777" w:rsidR="007376E1" w:rsidRPr="001570EA" w:rsidRDefault="007376E1">
            <w:pPr>
              <w:pStyle w:val="TableCell"/>
              <w:spacing w:before="60" w:after="60"/>
              <w:rPr>
                <w:b/>
                <w:bCs/>
                <w:color w:val="000000"/>
                <w:lang w:eastAsia="ja-JP"/>
              </w:rPr>
            </w:pPr>
            <w:r w:rsidRPr="001570EA">
              <w:rPr>
                <w:b/>
                <w:bCs/>
                <w:color w:val="000000"/>
                <w:lang w:eastAsia="ja-JP"/>
              </w:rPr>
              <w:t>Measure Life</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03324130" w14:textId="77777777" w:rsidR="007376E1" w:rsidRPr="001570EA" w:rsidRDefault="007376E1">
            <w:pPr>
              <w:pStyle w:val="TableCell"/>
              <w:spacing w:before="60" w:after="60"/>
              <w:jc w:val="center"/>
              <w:rPr>
                <w:color w:val="000000"/>
                <w:vertAlign w:val="superscript"/>
                <w:lang w:eastAsia="ja-JP"/>
              </w:rPr>
            </w:pPr>
            <w:r w:rsidRPr="001570EA">
              <w:rPr>
                <w:color w:val="000000"/>
                <w:lang w:eastAsia="ja-JP"/>
              </w:rPr>
              <w:t>15</w:t>
            </w:r>
            <w:r w:rsidRPr="001570EA">
              <w:rPr>
                <w:color w:val="000000"/>
                <w:vertAlign w:val="superscript"/>
                <w:lang w:eastAsia="ja-JP"/>
              </w:rPr>
              <w:t>Source 1</w:t>
            </w:r>
          </w:p>
        </w:tc>
      </w:tr>
      <w:tr w:rsidR="007376E1" w:rsidRPr="001570EA" w14:paraId="6E7013F4"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hideMark/>
          </w:tcPr>
          <w:p w14:paraId="010FBB8C" w14:textId="77777777" w:rsidR="007376E1" w:rsidRPr="001570EA" w:rsidRDefault="007376E1">
            <w:pPr>
              <w:pStyle w:val="TableCell"/>
              <w:spacing w:before="60" w:after="60"/>
              <w:rPr>
                <w:b/>
                <w:bCs/>
                <w:color w:val="000000"/>
                <w:lang w:eastAsia="ja-JP"/>
              </w:rPr>
            </w:pPr>
            <w:r w:rsidRPr="001570EA">
              <w:rPr>
                <w:b/>
                <w:bCs/>
                <w:color w:val="000000"/>
                <w:lang w:eastAsia="ja-JP"/>
              </w:rPr>
              <w:t>Vintage</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539AA31B" w14:textId="77777777" w:rsidR="007376E1" w:rsidRPr="001570EA" w:rsidRDefault="007376E1">
            <w:pPr>
              <w:pStyle w:val="TableCell"/>
              <w:spacing w:before="60" w:after="60"/>
              <w:jc w:val="center"/>
              <w:rPr>
                <w:color w:val="000000"/>
                <w:lang w:eastAsia="ja-JP"/>
              </w:rPr>
            </w:pPr>
            <w:r w:rsidRPr="001570EA">
              <w:rPr>
                <w:color w:val="000000"/>
                <w:lang w:eastAsia="ja-JP"/>
              </w:rPr>
              <w:t>Replace on Burnout, New Construction</w:t>
            </w:r>
          </w:p>
        </w:tc>
      </w:tr>
    </w:tbl>
    <w:p w14:paraId="5CBA7871" w14:textId="77777777" w:rsidR="007376E1" w:rsidRPr="001570EA" w:rsidRDefault="007376E1" w:rsidP="007376E1">
      <w:pPr>
        <w:rPr>
          <w:rFonts w:cstheme="minorBidi"/>
          <w:sz w:val="22"/>
          <w:szCs w:val="22"/>
          <w:lang w:bidi="en-US"/>
        </w:rPr>
      </w:pPr>
    </w:p>
    <w:p w14:paraId="78AB6A2E" w14:textId="77777777" w:rsidR="007376E1" w:rsidRPr="001570EA" w:rsidRDefault="007376E1" w:rsidP="007376E1">
      <w:r w:rsidRPr="001570EA">
        <w:t>This protocol defines the methods for determining the annual electric energy and peak demand savings from installation of residential high-efficiency cooling and heating equipment that is sold to trade allies and customers through commercial channels such as HVAC distributors, dealers, supply houses, and direct relationships with manufacturers. This complements other delivery channels (such as downstream rebates to trade allies and customers) by providing incentives to encourage distributors to stock, promote, and sell more-efficient HVAC equipment. Input data to savings algorithms are based both on stipulated code minimum baselines and operating assumption in combination with actual equipment properties recorded by the participating distributors. EDCs, their implementation CSPs, and participating distributors are expected to collect AHRI reference numbers and use the AHRI rated capacity and efficiency metrics to calculate savings. The algorithms for this measure path assume a 1:1 installation of a high-efficiency unit in lieu of a code minimum piece of HVAC equipment with the same capacity. Larger commercial air conditioning and heat pump applications are dealt with in Section 3 of Volume 3: Commercial and Industrial Measures of the 2026 Technical Reference Manual.</w:t>
      </w:r>
    </w:p>
    <w:p w14:paraId="63154C76" w14:textId="77777777" w:rsidR="007376E1" w:rsidRPr="001570EA" w:rsidRDefault="007376E1" w:rsidP="007376E1"/>
    <w:p w14:paraId="43233E7B" w14:textId="77777777" w:rsidR="007376E1" w:rsidRPr="001570EA" w:rsidRDefault="007376E1" w:rsidP="007376E1">
      <w:pPr>
        <w:pStyle w:val="SubStyle"/>
      </w:pPr>
      <w:r w:rsidRPr="001570EA">
        <w:t>Eligibility</w:t>
      </w:r>
    </w:p>
    <w:p w14:paraId="3A20D8F0" w14:textId="77777777" w:rsidR="007376E1" w:rsidRPr="001570EA" w:rsidRDefault="007376E1" w:rsidP="007376E1">
      <w:pPr>
        <w:pStyle w:val="BodyText"/>
        <w:spacing w:after="120"/>
        <w:ind w:right="0"/>
        <w:rPr>
          <w:rFonts w:cs="Arial"/>
        </w:rPr>
      </w:pPr>
      <w:r w:rsidRPr="001570EA">
        <w:rPr>
          <w:rFonts w:cs="Arial"/>
        </w:rPr>
        <w:t xml:space="preserve">This protocol requires the purchase of a high-efficiency Central Air Conditioner (CAC), Air Source Heat Pump (ASHP), Cold Climate Heat Pump (ccHP), Packaged Terminal Air Conditioner (PTAC) or Packaged Terminal Heat Pump (PTHP). To be eligible under this protocol, the qualifying equipment must be purchased through a commercial channel (such as an HVAC contractor or distributor) for installation in a residential setting. The distributor will need to collect information on the installation address for verification purposes. </w:t>
      </w:r>
    </w:p>
    <w:p w14:paraId="192F4A61" w14:textId="6A706EF1" w:rsidR="007376E1" w:rsidRPr="001570EA" w:rsidRDefault="007376E1" w:rsidP="007376E1">
      <w:pPr>
        <w:pStyle w:val="BodyText"/>
        <w:spacing w:after="120"/>
        <w:ind w:right="0"/>
        <w:rPr>
          <w:rFonts w:cs="Arial"/>
        </w:rPr>
      </w:pPr>
      <w:r w:rsidRPr="001570EA">
        <w:rPr>
          <w:rFonts w:cs="Arial"/>
        </w:rPr>
        <w:t>For the purposes of the midstream protocol, the minimum efficiency levels for each eligible unit type are defined by ENERGY STAR version 6.1 requirements as follows</w:t>
      </w:r>
      <w:r w:rsidRPr="00597241">
        <w:rPr>
          <w:rFonts w:cs="Arial"/>
        </w:rPr>
        <w:t>:</w:t>
      </w:r>
      <w:r w:rsidRPr="001570EA">
        <w:rPr>
          <w:rFonts w:cs="Arial"/>
          <w:vertAlign w:val="superscript"/>
        </w:rPr>
        <w:t>Source 2</w:t>
      </w:r>
    </w:p>
    <w:p w14:paraId="464520E3" w14:textId="77777777" w:rsidR="007376E1" w:rsidRPr="001570EA" w:rsidRDefault="007376E1" w:rsidP="002614D2">
      <w:pPr>
        <w:pStyle w:val="BodyText"/>
        <w:numPr>
          <w:ilvl w:val="0"/>
          <w:numId w:val="44"/>
        </w:numPr>
        <w:spacing w:after="120"/>
        <w:ind w:right="0"/>
        <w:textAlignment w:val="auto"/>
        <w:rPr>
          <w:rFonts w:cs="Arial"/>
        </w:rPr>
      </w:pPr>
      <w:r w:rsidRPr="001570EA">
        <w:rPr>
          <w:rFonts w:cs="Arial"/>
          <w:b/>
        </w:rPr>
        <w:t>CAC</w:t>
      </w:r>
      <w:r w:rsidRPr="001570EA">
        <w:rPr>
          <w:rFonts w:cs="Arial"/>
        </w:rPr>
        <w:t>: greater than or equal to 15.2 SEER2</w:t>
      </w:r>
    </w:p>
    <w:p w14:paraId="650B8066" w14:textId="77777777" w:rsidR="007376E1" w:rsidRPr="001570EA" w:rsidRDefault="007376E1" w:rsidP="002614D2">
      <w:pPr>
        <w:pStyle w:val="BodyText"/>
        <w:numPr>
          <w:ilvl w:val="0"/>
          <w:numId w:val="44"/>
        </w:numPr>
        <w:spacing w:after="120"/>
        <w:ind w:right="0"/>
        <w:textAlignment w:val="auto"/>
        <w:rPr>
          <w:rFonts w:cs="Arial"/>
        </w:rPr>
      </w:pPr>
      <w:r w:rsidRPr="001570EA">
        <w:rPr>
          <w:rFonts w:cs="Arial"/>
          <w:b/>
        </w:rPr>
        <w:t>ASHP</w:t>
      </w:r>
      <w:r w:rsidRPr="001570EA">
        <w:rPr>
          <w:rFonts w:cs="Arial"/>
        </w:rPr>
        <w:t xml:space="preserve">: Greater than or equal to 15.2 SEER2 </w:t>
      </w:r>
      <w:r w:rsidRPr="001570EA">
        <w:rPr>
          <w:rFonts w:cs="Arial"/>
          <w:i/>
        </w:rPr>
        <w:t>or</w:t>
      </w:r>
      <w:r w:rsidRPr="001570EA">
        <w:rPr>
          <w:rFonts w:cs="Arial"/>
        </w:rPr>
        <w:t xml:space="preserve"> 7.8 HSPF2 (Split systems)/7.2 HSPF2 (Single package systems)</w:t>
      </w:r>
    </w:p>
    <w:p w14:paraId="0549C464" w14:textId="77777777" w:rsidR="007376E1" w:rsidRPr="001570EA" w:rsidRDefault="007376E1" w:rsidP="002614D2">
      <w:pPr>
        <w:pStyle w:val="BodyText"/>
        <w:numPr>
          <w:ilvl w:val="0"/>
          <w:numId w:val="44"/>
        </w:numPr>
        <w:spacing w:after="120"/>
        <w:ind w:right="0"/>
        <w:textAlignment w:val="auto"/>
        <w:rPr>
          <w:rFonts w:cs="Arial"/>
        </w:rPr>
      </w:pPr>
      <w:r w:rsidRPr="001570EA">
        <w:rPr>
          <w:rFonts w:cs="Arial"/>
          <w:b/>
        </w:rPr>
        <w:t>ccHP</w:t>
      </w:r>
      <w:r w:rsidRPr="001570EA">
        <w:rPr>
          <w:rFonts w:cs="Arial"/>
        </w:rPr>
        <w:t xml:space="preserve">:  Greater than or equal to 15.2 SEER2 </w:t>
      </w:r>
      <w:r w:rsidRPr="001570EA">
        <w:rPr>
          <w:rFonts w:cs="Arial"/>
          <w:i/>
        </w:rPr>
        <w:t>or</w:t>
      </w:r>
      <w:r w:rsidRPr="001570EA">
        <w:rPr>
          <w:rFonts w:cs="Arial"/>
        </w:rPr>
        <w:t xml:space="preserve"> 8.5 HSPF2 (Non-ducted split systems)/8.1 HPSF2 (All other systems)</w:t>
      </w:r>
    </w:p>
    <w:p w14:paraId="79FFE30D" w14:textId="77777777" w:rsidR="007376E1" w:rsidRPr="001570EA" w:rsidRDefault="007376E1" w:rsidP="002614D2">
      <w:pPr>
        <w:pStyle w:val="BodyText"/>
        <w:numPr>
          <w:ilvl w:val="0"/>
          <w:numId w:val="44"/>
        </w:numPr>
        <w:spacing w:after="120"/>
        <w:ind w:right="0"/>
        <w:textAlignment w:val="auto"/>
      </w:pPr>
      <w:r w:rsidRPr="001570EA">
        <w:rPr>
          <w:rFonts w:cs="Arial"/>
          <w:b/>
        </w:rPr>
        <w:t>PTAC</w:t>
      </w:r>
      <w:r w:rsidRPr="001570EA">
        <w:rPr>
          <w:rFonts w:cs="Arial"/>
        </w:rPr>
        <w:t xml:space="preserve">: </w:t>
      </w:r>
      <w:r w:rsidRPr="001570EA">
        <w:t>EER</w:t>
      </w:r>
      <w:r w:rsidRPr="001570EA">
        <w:rPr>
          <w:vertAlign w:val="subscript"/>
        </w:rPr>
        <w:t xml:space="preserve"> </w:t>
      </w:r>
      <w:r w:rsidRPr="001570EA">
        <w:rPr>
          <w:rFonts w:cs="Arial"/>
        </w:rPr>
        <w:t>≥</w:t>
      </w:r>
      <w:r w:rsidRPr="001570EA">
        <w:t xml:space="preserve"> </w:t>
      </w:r>
      <m:oMath>
        <m:r>
          <m:rPr>
            <m:sty m:val="p"/>
          </m:rPr>
          <w:rPr>
            <w:rFonts w:ascii="Cambria Math" w:hAnsi="Cambria Math" w:cs="Arial"/>
          </w:rPr>
          <m:t>14.0-</m:t>
        </m:r>
        <m:d>
          <m:dPr>
            <m:ctrlPr>
              <w:rPr>
                <w:rFonts w:ascii="Cambria Math" w:hAnsi="Cambria Math" w:cs="Arial"/>
              </w:rPr>
            </m:ctrlPr>
          </m:dPr>
          <m:e>
            <m:r>
              <m:rPr>
                <m:sty m:val="p"/>
              </m:rPr>
              <w:rPr>
                <w:rFonts w:ascii="Cambria Math" w:hAnsi="Cambria Math" w:cs="Arial"/>
              </w:rPr>
              <m:t>0.3×</m:t>
            </m:r>
            <m:sSub>
              <m:sSubPr>
                <m:ctrlPr>
                  <w:rPr>
                    <w:rFonts w:ascii="Cambria Math" w:hAnsi="Cambria Math"/>
                    <w:i/>
                    <w:sz w:val="24"/>
                    <w:szCs w:val="24"/>
                  </w:rPr>
                </m:ctrlPr>
              </m:sSubPr>
              <m:e>
                <m:r>
                  <w:rPr>
                    <w:rFonts w:ascii="Cambria Math" w:hAnsi="Cambria Math"/>
                  </w:rPr>
                  <m:t>CAPY</m:t>
                </m:r>
              </m:e>
              <m:sub>
                <m:r>
                  <w:rPr>
                    <w:rFonts w:ascii="Cambria Math" w:hAnsi="Cambria Math"/>
                  </w:rPr>
                  <m:t xml:space="preserve">cool </m:t>
                </m:r>
              </m:sub>
            </m:sSub>
            <m:ctrlPr>
              <w:rPr>
                <w:rFonts w:ascii="Cambria Math" w:hAnsi="Cambria Math"/>
                <w:i/>
              </w:rPr>
            </m:ctrlPr>
          </m:e>
        </m:d>
      </m:oMath>
    </w:p>
    <w:p w14:paraId="68B668CD" w14:textId="77777777" w:rsidR="007376E1" w:rsidRPr="001570EA" w:rsidRDefault="007376E1" w:rsidP="002614D2">
      <w:pPr>
        <w:pStyle w:val="BodyText"/>
        <w:numPr>
          <w:ilvl w:val="0"/>
          <w:numId w:val="44"/>
        </w:numPr>
        <w:spacing w:after="120"/>
        <w:ind w:right="0"/>
        <w:textAlignment w:val="auto"/>
      </w:pPr>
      <w:r w:rsidRPr="001570EA">
        <w:rPr>
          <w:rFonts w:cs="Arial"/>
          <w:b/>
        </w:rPr>
        <w:t>PTHP</w:t>
      </w:r>
      <w:r w:rsidRPr="001570EA">
        <w:rPr>
          <w:rFonts w:cs="Arial"/>
        </w:rPr>
        <w:t xml:space="preserve">: </w:t>
      </w:r>
      <w:r w:rsidRPr="001570EA">
        <w:t>EER</w:t>
      </w:r>
      <w:r w:rsidRPr="001570EA">
        <w:rPr>
          <w:vertAlign w:val="subscript"/>
        </w:rPr>
        <w:t xml:space="preserve"> </w:t>
      </w:r>
      <w:r w:rsidRPr="001570EA">
        <w:rPr>
          <w:rFonts w:cs="Arial"/>
        </w:rPr>
        <w:t>≥</w:t>
      </w:r>
      <w:r w:rsidRPr="001570EA">
        <w:t xml:space="preserve"> </w:t>
      </w:r>
      <m:oMath>
        <m:r>
          <m:rPr>
            <m:sty m:val="p"/>
          </m:rPr>
          <w:rPr>
            <w:rFonts w:ascii="Cambria Math" w:hAnsi="Cambria Math" w:cs="Arial"/>
            <w:sz w:val="18"/>
            <w:szCs w:val="18"/>
          </w:rPr>
          <m:t>14.0-(0.3×</m:t>
        </m:r>
        <m:sSub>
          <m:sSubPr>
            <m:ctrlPr>
              <w:rPr>
                <w:rFonts w:ascii="Cambria Math" w:hAnsi="Cambria Math"/>
                <w:i/>
                <w:sz w:val="18"/>
                <w:szCs w:val="18"/>
              </w:rPr>
            </m:ctrlPr>
          </m:sSubPr>
          <m:e>
            <m:r>
              <w:rPr>
                <w:rFonts w:ascii="Cambria Math" w:hAnsi="Cambria Math"/>
                <w:sz w:val="18"/>
                <w:szCs w:val="18"/>
              </w:rPr>
              <m:t>CAPY</m:t>
            </m:r>
          </m:e>
          <m:sub>
            <m:r>
              <w:rPr>
                <w:rFonts w:ascii="Cambria Math" w:hAnsi="Cambria Math"/>
                <w:sz w:val="18"/>
                <w:szCs w:val="18"/>
              </w:rPr>
              <m:t xml:space="preserve">cool </m:t>
            </m:r>
          </m:sub>
        </m:sSub>
        <m:r>
          <w:rPr>
            <w:rFonts w:ascii="Cambria Math" w:hAnsi="Cambria Math"/>
            <w:sz w:val="18"/>
            <w:szCs w:val="18"/>
          </w:rPr>
          <m:t>)</m:t>
        </m:r>
      </m:oMath>
      <w:r w:rsidRPr="001570EA">
        <w:rPr>
          <w:sz w:val="18"/>
          <w:szCs w:val="18"/>
        </w:rPr>
        <w:t xml:space="preserve"> </w:t>
      </w:r>
      <w:r w:rsidRPr="001570EA">
        <w:rPr>
          <w:i/>
          <w:sz w:val="18"/>
          <w:szCs w:val="18"/>
        </w:rPr>
        <w:t>or</w:t>
      </w:r>
      <w:r w:rsidRPr="001570EA">
        <w:rPr>
          <w:sz w:val="18"/>
          <w:szCs w:val="18"/>
        </w:rPr>
        <w:t xml:space="preserve"> </w:t>
      </w:r>
      <w:r w:rsidRPr="001570EA">
        <w:t xml:space="preserve">HSPF = </w:t>
      </w:r>
      <m:oMath>
        <m:r>
          <m:rPr>
            <m:sty m:val="p"/>
          </m:rPr>
          <w:rPr>
            <w:rFonts w:ascii="Cambria Math" w:hAnsi="Cambria Math" w:cs="Arial"/>
          </w:rPr>
          <m:t>3.412×</m:t>
        </m:r>
        <m:d>
          <m:dPr>
            <m:ctrlPr>
              <w:rPr>
                <w:rFonts w:ascii="Cambria Math" w:hAnsi="Cambria Math" w:cs="Arial"/>
              </w:rPr>
            </m:ctrlPr>
          </m:dPr>
          <m:e>
            <m:r>
              <m:rPr>
                <m:sty m:val="p"/>
              </m:rPr>
              <w:rPr>
                <w:rFonts w:ascii="Cambria Math" w:hAnsi="Cambria Math" w:cs="Arial"/>
              </w:rPr>
              <m:t>3.7-0.052×</m:t>
            </m:r>
            <m:sSub>
              <m:sSubPr>
                <m:ctrlPr>
                  <w:rPr>
                    <w:rFonts w:ascii="Cambria Math" w:hAnsi="Cambria Math"/>
                    <w:i/>
                  </w:rPr>
                </m:ctrlPr>
              </m:sSubPr>
              <m:e>
                <m:r>
                  <w:rPr>
                    <w:rFonts w:ascii="Cambria Math" w:hAnsi="Cambria Math"/>
                  </w:rPr>
                  <m:t>CAPY</m:t>
                </m:r>
              </m:e>
              <m:sub>
                <m:r>
                  <w:rPr>
                    <w:rFonts w:ascii="Cambria Math" w:hAnsi="Cambria Math"/>
                  </w:rPr>
                  <m:t xml:space="preserve">cool </m:t>
                </m:r>
              </m:sub>
            </m:sSub>
          </m:e>
        </m:d>
      </m:oMath>
    </w:p>
    <w:p w14:paraId="38DF5CB6" w14:textId="77777777" w:rsidR="007376E1" w:rsidRPr="001570EA" w:rsidRDefault="007376E1" w:rsidP="007376E1">
      <w:pPr>
        <w:pStyle w:val="BodyText"/>
        <w:spacing w:after="120"/>
        <w:ind w:right="0"/>
        <w:textAlignment w:val="auto"/>
        <w:rPr>
          <w:rFonts w:cs="Arial"/>
        </w:rPr>
      </w:pPr>
    </w:p>
    <w:p w14:paraId="6BF47C98" w14:textId="77777777" w:rsidR="007376E1" w:rsidRPr="001570EA" w:rsidRDefault="007376E1" w:rsidP="007376E1">
      <w:pPr>
        <w:pStyle w:val="BodyText"/>
        <w:spacing w:after="120"/>
        <w:ind w:right="0"/>
        <w:textAlignment w:val="auto"/>
        <w:rPr>
          <w:rFonts w:cs="Arial"/>
        </w:rPr>
      </w:pPr>
      <w:r w:rsidRPr="001570EA">
        <w:rPr>
          <w:rFonts w:cs="Arial"/>
        </w:rPr>
        <w:t>Heat pump equipment (ASHP and PTHP) must meet at least one of the cooling or heating minimum efficiencies.  This will allow EDCs to incentivize equipment which are engineered for heating performance over cooling efficiency.</w:t>
      </w:r>
    </w:p>
    <w:p w14:paraId="1D5CC231" w14:textId="77777777" w:rsidR="007376E1" w:rsidRPr="001570EA" w:rsidRDefault="007376E1" w:rsidP="007376E1">
      <w:pPr>
        <w:rPr>
          <w:rFonts w:cstheme="minorBidi"/>
          <w:sz w:val="22"/>
          <w:szCs w:val="22"/>
        </w:rPr>
      </w:pPr>
    </w:p>
    <w:p w14:paraId="0A9285BB" w14:textId="77777777" w:rsidR="007376E1" w:rsidRPr="001570EA" w:rsidRDefault="007376E1" w:rsidP="00597241">
      <w:pPr>
        <w:pStyle w:val="SubStyle"/>
        <w:keepNext/>
      </w:pPr>
      <w:r w:rsidRPr="001570EA">
        <w:t>Algorithms</w:t>
      </w:r>
    </w:p>
    <w:p w14:paraId="322105B1" w14:textId="77777777" w:rsidR="007376E1" w:rsidRPr="001570EA" w:rsidRDefault="007376E1" w:rsidP="00597241">
      <w:pPr>
        <w:keepNext/>
        <w:spacing w:after="120"/>
      </w:pPr>
      <w:r w:rsidRPr="001570EA">
        <w:t>This algorithm is used for the installation of ASHP and CAC measures:</w:t>
      </w:r>
    </w:p>
    <w:p w14:paraId="37E417F7" w14:textId="77777777" w:rsidR="007376E1" w:rsidRPr="001570EA" w:rsidRDefault="007376E1" w:rsidP="00597241">
      <w:pPr>
        <w:keepNext/>
        <w:tabs>
          <w:tab w:val="left" w:pos="1440"/>
        </w:tabs>
        <w:rPr>
          <w:rFonts w:cs="Arial"/>
          <w:szCs w:val="20"/>
          <w:vertAlign w:val="subscript"/>
        </w:rPr>
      </w:pPr>
      <w:r w:rsidRPr="001570EA">
        <w:rPr>
          <w:rFonts w:ascii="Cambria Math" w:hAnsi="Cambria Math" w:cs="Arial"/>
          <w:i/>
          <w:iCs/>
        </w:rPr>
        <w:t>ΔkWh</w:t>
      </w:r>
      <w:r w:rsidRPr="001570EA">
        <w:rPr>
          <w:rFonts w:ascii="Cambria Math" w:hAnsi="Cambria Math" w:cs="Arial"/>
          <w:i/>
          <w:iCs/>
        </w:rPr>
        <w:tab/>
      </w:r>
      <m:oMath>
        <m:r>
          <w:rPr>
            <w:rFonts w:ascii="Cambria Math" w:hAnsi="Cambria Math" w:cs="Arial"/>
          </w:rPr>
          <m:t>=</m:t>
        </m:r>
        <m:sSub>
          <m:sSubPr>
            <m:ctrlPr>
              <w:rPr>
                <w:rFonts w:ascii="Cambria Math" w:hAnsi="Cambria Math" w:cs="Arial"/>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cool</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heat</m:t>
            </m:r>
          </m:sub>
        </m:sSub>
      </m:oMath>
    </w:p>
    <w:p w14:paraId="44782F34" w14:textId="77777777" w:rsidR="007376E1" w:rsidRPr="001570EA" w:rsidRDefault="007376E1" w:rsidP="00597241">
      <w:pPr>
        <w:keepNext/>
        <w:tabs>
          <w:tab w:val="left" w:pos="1440"/>
        </w:tabs>
        <w:rPr>
          <w:rFonts w:cs="Arial"/>
        </w:rPr>
      </w:pPr>
      <w:r w:rsidRPr="001570EA">
        <w:rPr>
          <w:rFonts w:ascii="Cambria Math" w:hAnsi="Cambria Math" w:cs="Arial"/>
          <w:i/>
          <w:iCs/>
        </w:rPr>
        <w:tab/>
        <w:t>ΔkWh</w:t>
      </w:r>
      <w:r w:rsidRPr="001570EA">
        <w:rPr>
          <w:rFonts w:ascii="Cambria Math" w:hAnsi="Cambria Math" w:cs="Arial"/>
          <w:i/>
          <w:iCs/>
          <w:vertAlign w:val="subscript"/>
        </w:rPr>
        <w:t>cool</w:t>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SEER2</m:t>
                    </m:r>
                  </m:e>
                  <m:sub>
                    <m:r>
                      <w:rPr>
                        <w:rFonts w:ascii="Cambria Math" w:hAnsi="Cambria Math" w:cs="Arial"/>
                      </w:rPr>
                      <m:t xml:space="preserve">base </m:t>
                    </m:r>
                  </m:sub>
                </m:sSub>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SEER2</m:t>
                    </m:r>
                  </m:e>
                  <m:sub>
                    <m:r>
                      <w:rPr>
                        <w:rFonts w:ascii="Cambria Math" w:hAnsi="Cambria Math" w:cs="Arial"/>
                      </w:rPr>
                      <m:t>ee</m:t>
                    </m:r>
                  </m:sub>
                </m:sSub>
              </m:den>
            </m:f>
          </m:e>
        </m:d>
        <m:r>
          <w:rPr>
            <w:rFonts w:ascii="Cambria Math" w:hAnsi="Cambria Math" w:cs="Arial"/>
          </w:rPr>
          <m:t>×</m:t>
        </m:r>
        <m:sSub>
          <m:sSubPr>
            <m:ctrlPr>
              <w:rPr>
                <w:rFonts w:ascii="Cambria Math" w:hAnsi="Cambria Math" w:cs="Arial"/>
                <w:i/>
              </w:rPr>
            </m:ctrlPr>
          </m:sSubPr>
          <m:e>
            <m:r>
              <w:rPr>
                <w:rFonts w:ascii="Cambria Math" w:hAnsi="Cambria Math" w:cs="Arial"/>
              </w:rPr>
              <m:t>EFLH</m:t>
            </m:r>
          </m:e>
          <m:sub>
            <m:r>
              <w:rPr>
                <w:rFonts w:ascii="Cambria Math" w:hAnsi="Cambria Math" w:cs="Arial"/>
              </w:rPr>
              <m:t>cool</m:t>
            </m:r>
          </m:sub>
        </m:sSub>
      </m:oMath>
    </w:p>
    <w:p w14:paraId="51B7BAE0" w14:textId="77777777" w:rsidR="007376E1" w:rsidRPr="001570EA" w:rsidRDefault="007376E1" w:rsidP="00597241">
      <w:pPr>
        <w:pStyle w:val="Equation"/>
        <w:keepNext/>
        <w:tabs>
          <w:tab w:val="left" w:pos="1440"/>
        </w:tabs>
        <w:rPr>
          <w:rFonts w:cs="Arial"/>
          <w:szCs w:val="20"/>
          <w:vertAlign w:val="subscript"/>
        </w:rPr>
      </w:pPr>
    </w:p>
    <w:p w14:paraId="10890D2D" w14:textId="77777777" w:rsidR="007376E1" w:rsidRPr="001570EA" w:rsidRDefault="007376E1" w:rsidP="00597241">
      <w:pPr>
        <w:pStyle w:val="BodyText"/>
        <w:keepNext/>
        <w:tabs>
          <w:tab w:val="left" w:pos="1440"/>
        </w:tabs>
        <w:jc w:val="left"/>
        <w:rPr>
          <w:rFonts w:ascii="Cambria Math" w:hAnsi="Cambria Math" w:cs="Arial"/>
          <w:i/>
        </w:rPr>
      </w:pPr>
      <w:r w:rsidRPr="001570EA">
        <w:rPr>
          <w:rFonts w:ascii="Cambria Math" w:hAnsi="Cambria Math" w:cs="Arial"/>
          <w:i/>
          <w:iCs/>
        </w:rPr>
        <w:tab/>
        <w:t>ΔkWh</w:t>
      </w:r>
      <w:r w:rsidRPr="001570EA">
        <w:rPr>
          <w:rFonts w:ascii="Cambria Math" w:hAnsi="Cambria Math" w:cs="Arial"/>
          <w:i/>
          <w:iCs/>
          <w:vertAlign w:val="subscript"/>
        </w:rPr>
        <w:t>heat</w:t>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r>
          <w:rPr>
            <w:rFonts w:ascii="Cambria Math" w:hAnsi="Cambria Math" w:cs="Arial"/>
          </w:rPr>
          <m:t>×</m:t>
        </m:r>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heat</m:t>
                    </m:r>
                  </m:sub>
                </m:sSub>
              </m:num>
              <m:den>
                <m:sSub>
                  <m:sSubPr>
                    <m:ctrlPr>
                      <w:rPr>
                        <w:rFonts w:ascii="Cambria Math" w:hAnsi="Cambria Math" w:cs="Arial"/>
                      </w:rPr>
                    </m:ctrlPr>
                  </m:sSubPr>
                  <m:e>
                    <m:r>
                      <w:rPr>
                        <w:rFonts w:ascii="Cambria Math" w:hAnsi="Cambria Math" w:cs="Arial"/>
                      </w:rPr>
                      <m:t>HSPF2</m:t>
                    </m:r>
                  </m:e>
                  <m:sub>
                    <m:r>
                      <w:rPr>
                        <w:rFonts w:ascii="Cambria Math" w:hAnsi="Cambria Math" w:cs="Arial"/>
                      </w:rPr>
                      <m:t>base</m:t>
                    </m:r>
                  </m:sub>
                </m:sSub>
                <m:r>
                  <w:rPr>
                    <w:rFonts w:ascii="Cambria Math" w:hAnsi="Cambria Math" w:cs="Arial"/>
                  </w:rPr>
                  <m:t xml:space="preserve">  </m:t>
                </m:r>
              </m:den>
            </m:f>
            <m:r>
              <w:rPr>
                <w:rFonts w:ascii="Cambria Math" w:hAnsi="Cambria Math" w:cs="Arial"/>
              </w:rPr>
              <m:t>-</m:t>
            </m:r>
            <m:f>
              <m:fPr>
                <m:ctrlPr>
                  <w:rPr>
                    <w:rFonts w:ascii="Cambria Math" w:hAnsi="Cambria Math" w:cs="Arial"/>
                  </w:rPr>
                </m:ctrlPr>
              </m:fPr>
              <m:num>
                <m:r>
                  <w:rPr>
                    <w:rFonts w:ascii="Cambria Math" w:hAnsi="Cambria Math" w:cs="Arial"/>
                  </w:rPr>
                  <m:t>1</m:t>
                </m:r>
              </m:num>
              <m:den>
                <m:sSub>
                  <m:sSubPr>
                    <m:ctrlPr>
                      <w:rPr>
                        <w:rFonts w:ascii="Cambria Math" w:hAnsi="Cambria Math" w:cs="Arial"/>
                      </w:rPr>
                    </m:ctrlPr>
                  </m:sSubPr>
                  <m:e>
                    <m:r>
                      <w:rPr>
                        <w:rFonts w:ascii="Cambria Math" w:hAnsi="Cambria Math" w:cs="Arial"/>
                      </w:rPr>
                      <m:t>HSPF2</m:t>
                    </m:r>
                  </m:e>
                  <m:sub>
                    <m:r>
                      <w:rPr>
                        <w:rFonts w:ascii="Cambria Math" w:hAnsi="Cambria Math" w:cs="Arial"/>
                      </w:rPr>
                      <m:t>ee</m:t>
                    </m:r>
                  </m:sub>
                </m:sSub>
              </m:den>
            </m:f>
          </m:e>
        </m:d>
        <m:r>
          <w:rPr>
            <w:rFonts w:ascii="Cambria Math" w:hAnsi="Cambria Math" w:cs="Arial"/>
          </w:rPr>
          <m:t>×</m:t>
        </m:r>
        <m:sSub>
          <m:sSubPr>
            <m:ctrlPr>
              <w:rPr>
                <w:rFonts w:ascii="Cambria Math" w:hAnsi="Cambria Math" w:cs="Arial"/>
              </w:rPr>
            </m:ctrlPr>
          </m:sSubPr>
          <m:e>
            <m:r>
              <w:rPr>
                <w:rFonts w:ascii="Cambria Math" w:hAnsi="Cambria Math" w:cs="Arial"/>
              </w:rPr>
              <m:t>EFLH</m:t>
            </m:r>
          </m:e>
          <m:sub>
            <m:r>
              <w:rPr>
                <w:rFonts w:ascii="Cambria Math" w:hAnsi="Cambria Math" w:cs="Arial"/>
              </w:rPr>
              <m:t>heat</m:t>
            </m:r>
          </m:sub>
        </m:sSub>
      </m:oMath>
    </w:p>
    <w:p w14:paraId="74CB3D1A" w14:textId="77777777" w:rsidR="007376E1" w:rsidRPr="001570EA" w:rsidRDefault="007376E1" w:rsidP="00597241">
      <w:pPr>
        <w:pStyle w:val="Equation"/>
        <w:keepNext/>
        <w:tabs>
          <w:tab w:val="left" w:pos="1440"/>
        </w:tabs>
        <w:ind w:left="0" w:firstLine="0"/>
        <w:rPr>
          <w:rFonts w:cs="Arial"/>
          <w:szCs w:val="20"/>
          <w:vertAlign w:val="subscript"/>
        </w:rPr>
      </w:pPr>
    </w:p>
    <w:p w14:paraId="33F412C5" w14:textId="77777777" w:rsidR="007376E1" w:rsidRPr="001570EA" w:rsidRDefault="007376E1" w:rsidP="00597241">
      <w:pPr>
        <w:keepNext/>
        <w:tabs>
          <w:tab w:val="left" w:pos="1440"/>
        </w:tabs>
        <w:rPr>
          <w:rFonts w:ascii="Cambria Math" w:hAnsi="Cambria Math" w:cs="Arial"/>
          <w:i/>
        </w:rPr>
      </w:pPr>
      <w:r w:rsidRPr="001570EA">
        <w:rPr>
          <w:rFonts w:ascii="Cambria Math" w:hAnsi="Cambria Math" w:cs="Arial"/>
          <w:i/>
          <w:iCs/>
        </w:rPr>
        <w:t>ΔkW</w:t>
      </w:r>
      <w:r w:rsidRPr="001570EA">
        <w:rPr>
          <w:rFonts w:ascii="Cambria Math" w:hAnsi="Cambria Math" w:cs="Arial"/>
          <w:i/>
          <w:iCs/>
          <w:vertAlign w:val="subscript"/>
        </w:rPr>
        <w:t>summer peak</w:t>
      </w:r>
      <w:r w:rsidRPr="001570EA">
        <w:rPr>
          <w:rFonts w:ascii="Cambria Math" w:hAnsi="Cambria Math" w:cs="Arial"/>
          <w:i/>
          <w:iCs/>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EER2</m:t>
                    </m:r>
                  </m:e>
                  <m:sub>
                    <m:r>
                      <w:rPr>
                        <w:rFonts w:ascii="Cambria Math" w:hAnsi="Cambria Math" w:cs="Arial"/>
                      </w:rPr>
                      <m:t>base</m:t>
                    </m:r>
                  </m:sub>
                </m:sSub>
                <m:r>
                  <w:rPr>
                    <w:rFonts w:ascii="Cambria Math" w:hAnsi="Cambria Math" w:cs="Arial"/>
                  </w:rPr>
                  <m:t xml:space="preserve"> </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EER2</m:t>
                    </m:r>
                  </m:e>
                  <m:sub>
                    <m:r>
                      <w:rPr>
                        <w:rFonts w:ascii="Cambria Math" w:hAnsi="Cambria Math" w:cs="Arial"/>
                      </w:rPr>
                      <m:t>ee</m:t>
                    </m:r>
                  </m:sub>
                </m:sSub>
                <m:r>
                  <w:rPr>
                    <w:rFonts w:ascii="Cambria Math" w:hAnsi="Cambria Math" w:cs="Arial"/>
                  </w:rPr>
                  <m:t xml:space="preserve"> </m:t>
                </m:r>
              </m:den>
            </m:f>
          </m:e>
        </m:d>
        <m:r>
          <w:rPr>
            <w:rFonts w:ascii="Cambria Math" w:hAnsi="Cambria Math" w:cs="Arial"/>
          </w:rPr>
          <m:t>×</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p>
    <w:p w14:paraId="3580E104" w14:textId="77777777" w:rsidR="007376E1" w:rsidRPr="001570EA" w:rsidRDefault="007376E1" w:rsidP="00597241">
      <w:pPr>
        <w:keepNext/>
        <w:tabs>
          <w:tab w:val="left" w:pos="1440"/>
        </w:tabs>
        <w:rPr>
          <w:rFonts w:ascii="Cambria Math" w:hAnsi="Cambria Math" w:cs="Arial"/>
          <w:i/>
        </w:rPr>
      </w:pPr>
    </w:p>
    <w:p w14:paraId="2C451AF0" w14:textId="77777777" w:rsidR="007376E1" w:rsidRPr="001570EA" w:rsidRDefault="007376E1" w:rsidP="00597241">
      <w:pPr>
        <w:keepNext/>
        <w:tabs>
          <w:tab w:val="left" w:pos="1440"/>
        </w:tabs>
        <w:rPr>
          <w:rFonts w:ascii="Cambria Math" w:hAnsi="Cambria Math" w:cs="Arial"/>
          <w:i/>
        </w:rPr>
      </w:pPr>
      <w:r w:rsidRPr="001570EA">
        <w:rPr>
          <w:rFonts w:ascii="Cambria Math" w:hAnsi="Cambria Math" w:cs="Arial"/>
          <w:i/>
          <w:iCs/>
        </w:rPr>
        <w:t>ΔkW</w:t>
      </w:r>
      <w:r w:rsidRPr="001570EA">
        <w:rPr>
          <w:rFonts w:ascii="Cambria Math" w:hAnsi="Cambria Math" w:cs="Arial"/>
          <w:i/>
          <w:iCs/>
          <w:vertAlign w:val="subscript"/>
        </w:rPr>
        <w:t>winter peak</w:t>
      </w:r>
      <w:r w:rsidRPr="001570EA">
        <w:rPr>
          <w:rFonts w:ascii="Cambria Math" w:hAnsi="Cambria Math" w:cs="Arial"/>
          <w:i/>
          <w:iCs/>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COP</m:t>
                    </m:r>
                  </m:e>
                  <m:sub>
                    <m:r>
                      <w:rPr>
                        <w:rFonts w:ascii="Cambria Math" w:hAnsi="Cambria Math" w:cs="Arial"/>
                      </w:rPr>
                      <m:t>base</m:t>
                    </m:r>
                  </m:sub>
                </m:sSub>
                <m:r>
                  <w:rPr>
                    <w:rFonts w:ascii="Cambria Math" w:hAnsi="Cambria Math" w:cs="Arial"/>
                  </w:rPr>
                  <m:t xml:space="preserve"> </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COP</m:t>
                    </m:r>
                  </m:e>
                  <m:sub>
                    <m:r>
                      <w:rPr>
                        <w:rFonts w:ascii="Cambria Math" w:hAnsi="Cambria Math" w:cs="Arial"/>
                      </w:rPr>
                      <m:t>ee</m:t>
                    </m:r>
                  </m:sub>
                </m:sSub>
                <m:r>
                  <w:rPr>
                    <w:rFonts w:ascii="Cambria Math" w:hAnsi="Cambria Math" w:cs="Arial"/>
                  </w:rPr>
                  <m:t xml:space="preserve"> </m:t>
                </m:r>
              </m:den>
            </m:f>
          </m:e>
        </m:d>
        <m:r>
          <w:rPr>
            <w:rFonts w:ascii="Cambria Math" w:hAnsi="Cambria Math" w:cs="Arial"/>
          </w:rPr>
          <m:t xml:space="preserve">× </m:t>
        </m:r>
        <m:f>
          <m:fPr>
            <m:ctrlPr>
              <w:rPr>
                <w:rFonts w:ascii="Cambria Math" w:hAnsi="Cambria Math"/>
              </w:rPr>
            </m:ctrlPr>
          </m:fPr>
          <m:num>
            <m:r>
              <w:rPr>
                <w:rFonts w:ascii="Cambria Math" w:hAnsi="Cambria Math"/>
              </w:rPr>
              <m:t>1</m:t>
            </m:r>
          </m:num>
          <m:den>
            <m:r>
              <m:rPr>
                <m:sty m:val="p"/>
              </m:rPr>
              <w:rPr>
                <w:rFonts w:ascii="Cambria Math" w:hAnsi="Cambria Math"/>
              </w:rPr>
              <m:t>3.412</m:t>
            </m:r>
            <m:f>
              <m:fPr>
                <m:ctrlPr>
                  <w:rPr>
                    <w:rFonts w:ascii="Cambria Math" w:hAnsi="Cambria Math" w:cs="Arial"/>
                  </w:rPr>
                </m:ctrlPr>
              </m:fPr>
              <m:num>
                <m:r>
                  <m:rPr>
                    <m:sty m:val="p"/>
                  </m:rPr>
                  <w:rPr>
                    <w:rFonts w:ascii="Cambria Math" w:hAnsi="Cambria Math" w:cs="Arial"/>
                  </w:rPr>
                  <m:t>BTU</m:t>
                </m:r>
                <m:ctrlPr>
                  <w:rPr>
                    <w:rFonts w:ascii="Cambria Math" w:hAnsi="Cambria Math" w:cs="Arial"/>
                    <w:iCs/>
                  </w:rPr>
                </m:ctrlPr>
              </m:num>
              <m:den>
                <m:r>
                  <m:rPr>
                    <m:sty m:val="p"/>
                  </m:rPr>
                  <w:rPr>
                    <w:rFonts w:ascii="Cambria Math" w:hAnsi="Cambria Math" w:cs="Arial"/>
                  </w:rPr>
                  <m:t>W∙h</m:t>
                </m:r>
              </m:den>
            </m:f>
          </m:den>
        </m:f>
        <m:sSub>
          <m:sSubPr>
            <m:ctrlPr>
              <w:rPr>
                <w:rFonts w:ascii="Cambria Math" w:hAnsi="Cambria Math" w:cs="Arial"/>
              </w:rPr>
            </m:ctrlPr>
          </m:sSubPr>
          <m:e>
            <m:r>
              <w:rPr>
                <w:rFonts w:ascii="Cambria Math" w:hAnsi="Cambria Math" w:cs="Arial"/>
              </w:rPr>
              <m:t>× CF</m:t>
            </m:r>
          </m:e>
          <m:sub>
            <m:r>
              <w:rPr>
                <w:rFonts w:ascii="Cambria Math" w:hAnsi="Cambria Math" w:cs="Arial"/>
              </w:rPr>
              <m:t>winter</m:t>
            </m:r>
          </m:sub>
        </m:sSub>
      </m:oMath>
    </w:p>
    <w:p w14:paraId="722743C6" w14:textId="77777777" w:rsidR="007376E1" w:rsidRPr="001570EA" w:rsidRDefault="007376E1" w:rsidP="00597241">
      <w:pPr>
        <w:keepNext/>
        <w:tabs>
          <w:tab w:val="left" w:pos="1440"/>
        </w:tabs>
        <w:rPr>
          <w:rFonts w:ascii="Cambria Math" w:hAnsi="Cambria Math" w:cs="Arial"/>
          <w:i/>
        </w:rPr>
      </w:pPr>
    </w:p>
    <w:p w14:paraId="675FF3EB" w14:textId="77777777" w:rsidR="007376E1" w:rsidRPr="001570EA" w:rsidRDefault="007376E1" w:rsidP="00597241">
      <w:pPr>
        <w:keepNext/>
        <w:spacing w:after="120"/>
      </w:pPr>
      <w:r w:rsidRPr="001570EA">
        <w:t>This algorithm is used for the installation of PTAC and PTHP measures:</w:t>
      </w:r>
      <w:r w:rsidRPr="001570EA">
        <w:rPr>
          <w:u w:val="single"/>
          <w:lang w:bidi="en-US"/>
        </w:rPr>
        <w:t xml:space="preserve"> </w:t>
      </w:r>
    </w:p>
    <w:p w14:paraId="671D7B46" w14:textId="77777777" w:rsidR="007376E1" w:rsidRPr="001570EA" w:rsidRDefault="007376E1" w:rsidP="00597241">
      <w:pPr>
        <w:keepNext/>
        <w:tabs>
          <w:tab w:val="left" w:pos="1440"/>
        </w:tabs>
        <w:rPr>
          <w:rFonts w:cs="Arial"/>
        </w:rPr>
      </w:pPr>
      <w:r w:rsidRPr="001570EA">
        <w:rPr>
          <w:rFonts w:ascii="Cambria Math" w:hAnsi="Cambria Math" w:cs="Arial"/>
          <w:i/>
          <w:iCs/>
        </w:rPr>
        <w:t>ΔkWh</w:t>
      </w:r>
      <w:r w:rsidRPr="001570EA">
        <w:rPr>
          <w:rFonts w:ascii="Cambria Math" w:hAnsi="Cambria Math" w:cs="Arial"/>
          <w:i/>
          <w:iCs/>
        </w:rPr>
        <w:tab/>
      </w:r>
      <m:oMath>
        <m:r>
          <w:rPr>
            <w:rFonts w:ascii="Cambria Math" w:hAnsi="Cambria Math" w:cs="Arial"/>
          </w:rPr>
          <m:t>=</m:t>
        </m:r>
        <m:sSub>
          <m:sSubPr>
            <m:ctrlPr>
              <w:rPr>
                <w:rFonts w:ascii="Cambria Math" w:hAnsi="Cambria Math" w:cs="Arial"/>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cool</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heat</m:t>
            </m:r>
          </m:sub>
        </m:sSub>
      </m:oMath>
    </w:p>
    <w:p w14:paraId="710F24C3" w14:textId="77777777" w:rsidR="007376E1" w:rsidRPr="001570EA" w:rsidRDefault="007376E1" w:rsidP="00597241">
      <w:pPr>
        <w:pStyle w:val="Equation"/>
        <w:keepNext/>
        <w:tabs>
          <w:tab w:val="left" w:pos="1440"/>
        </w:tabs>
        <w:rPr>
          <w:rFonts w:cs="Arial"/>
          <w:szCs w:val="20"/>
          <w:vertAlign w:val="subscript"/>
        </w:rPr>
      </w:pPr>
    </w:p>
    <w:p w14:paraId="6D02421A" w14:textId="77777777" w:rsidR="007376E1" w:rsidRPr="001570EA" w:rsidRDefault="007376E1" w:rsidP="00597241">
      <w:pPr>
        <w:keepNext/>
        <w:tabs>
          <w:tab w:val="left" w:pos="1440"/>
        </w:tabs>
        <w:rPr>
          <w:rFonts w:cs="Arial"/>
        </w:rPr>
      </w:pPr>
      <w:r w:rsidRPr="001570EA">
        <w:rPr>
          <w:rFonts w:ascii="Cambria Math" w:hAnsi="Cambria Math" w:cs="Arial"/>
          <w:i/>
          <w:iCs/>
        </w:rPr>
        <w:tab/>
        <w:t>ΔkWh</w:t>
      </w:r>
      <w:r w:rsidRPr="001570EA">
        <w:rPr>
          <w:rFonts w:ascii="Cambria Math" w:hAnsi="Cambria Math" w:cs="Arial"/>
          <w:i/>
          <w:iCs/>
          <w:vertAlign w:val="subscript"/>
        </w:rPr>
        <w:t>cool</w:t>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SEER</m:t>
                    </m:r>
                  </m:e>
                  <m:sub>
                    <m:r>
                      <w:rPr>
                        <w:rFonts w:ascii="Cambria Math" w:hAnsi="Cambria Math" w:cs="Arial"/>
                      </w:rPr>
                      <m:t xml:space="preserve">base </m:t>
                    </m:r>
                  </m:sub>
                </m:sSub>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SEER</m:t>
                    </m:r>
                  </m:e>
                  <m:sub>
                    <m:r>
                      <w:rPr>
                        <w:rFonts w:ascii="Cambria Math" w:hAnsi="Cambria Math" w:cs="Arial"/>
                      </w:rPr>
                      <m:t>ee</m:t>
                    </m:r>
                  </m:sub>
                </m:sSub>
              </m:den>
            </m:f>
          </m:e>
        </m:d>
        <m:r>
          <w:rPr>
            <w:rFonts w:ascii="Cambria Math" w:hAnsi="Cambria Math" w:cs="Arial"/>
          </w:rPr>
          <m:t>×</m:t>
        </m:r>
        <m:sSub>
          <m:sSubPr>
            <m:ctrlPr>
              <w:rPr>
                <w:rFonts w:ascii="Cambria Math" w:hAnsi="Cambria Math" w:cs="Arial"/>
                <w:i/>
              </w:rPr>
            </m:ctrlPr>
          </m:sSubPr>
          <m:e>
            <m:r>
              <w:rPr>
                <w:rFonts w:ascii="Cambria Math" w:hAnsi="Cambria Math" w:cs="Arial"/>
              </w:rPr>
              <m:t>EFLH</m:t>
            </m:r>
          </m:e>
          <m:sub>
            <m:r>
              <w:rPr>
                <w:rFonts w:ascii="Cambria Math" w:hAnsi="Cambria Math" w:cs="Arial"/>
              </w:rPr>
              <m:t>cool</m:t>
            </m:r>
          </m:sub>
        </m:sSub>
      </m:oMath>
    </w:p>
    <w:p w14:paraId="0AAEC3A1" w14:textId="77777777" w:rsidR="007376E1" w:rsidRPr="001570EA" w:rsidRDefault="007376E1" w:rsidP="00597241">
      <w:pPr>
        <w:pStyle w:val="Equation"/>
        <w:keepNext/>
        <w:tabs>
          <w:tab w:val="left" w:pos="1440"/>
        </w:tabs>
        <w:rPr>
          <w:rFonts w:cs="Arial"/>
          <w:szCs w:val="20"/>
          <w:vertAlign w:val="subscript"/>
        </w:rPr>
      </w:pPr>
    </w:p>
    <w:p w14:paraId="6D93A56B" w14:textId="77777777" w:rsidR="007376E1" w:rsidRPr="001570EA" w:rsidRDefault="007376E1" w:rsidP="00597241">
      <w:pPr>
        <w:pStyle w:val="BodyText"/>
        <w:keepNext/>
        <w:tabs>
          <w:tab w:val="left" w:pos="1440"/>
        </w:tabs>
        <w:jc w:val="left"/>
        <w:rPr>
          <w:rFonts w:ascii="Cambria Math" w:hAnsi="Cambria Math" w:cs="Arial"/>
          <w:i/>
        </w:rPr>
      </w:pPr>
      <w:r w:rsidRPr="001570EA">
        <w:rPr>
          <w:rFonts w:ascii="Cambria Math" w:hAnsi="Cambria Math" w:cs="Arial"/>
          <w:i/>
          <w:iCs/>
        </w:rPr>
        <w:tab/>
        <w:t>ΔkWh</w:t>
      </w:r>
      <w:r w:rsidRPr="001570EA">
        <w:rPr>
          <w:rFonts w:ascii="Cambria Math" w:hAnsi="Cambria Math" w:cs="Arial"/>
          <w:i/>
          <w:iCs/>
          <w:vertAlign w:val="subscript"/>
        </w:rPr>
        <w:t>heat</w:t>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r>
          <w:rPr>
            <w:rFonts w:ascii="Cambria Math" w:hAnsi="Cambria Math" w:cs="Arial"/>
          </w:rPr>
          <m:t>×</m:t>
        </m:r>
        <m:d>
          <m:dPr>
            <m:ctrlPr>
              <w:rPr>
                <w:rFonts w:ascii="Cambria Math" w:hAnsi="Cambria Math" w:cs="Arial"/>
              </w:rPr>
            </m:ctrlPr>
          </m:dPr>
          <m:e>
            <m:f>
              <m:fPr>
                <m:ctrlPr>
                  <w:rPr>
                    <w:rFonts w:ascii="Cambria Math" w:hAnsi="Cambria Math" w:cs="Arial"/>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heat</m:t>
                    </m:r>
                  </m:sub>
                </m:sSub>
              </m:num>
              <m:den>
                <m:sSub>
                  <m:sSubPr>
                    <m:ctrlPr>
                      <w:rPr>
                        <w:rFonts w:ascii="Cambria Math" w:hAnsi="Cambria Math" w:cs="Arial"/>
                      </w:rPr>
                    </m:ctrlPr>
                  </m:sSubPr>
                  <m:e>
                    <m:r>
                      <w:rPr>
                        <w:rFonts w:ascii="Cambria Math" w:hAnsi="Cambria Math" w:cs="Arial"/>
                      </w:rPr>
                      <m:t>HSPF</m:t>
                    </m:r>
                  </m:e>
                  <m:sub>
                    <m:r>
                      <w:rPr>
                        <w:rFonts w:ascii="Cambria Math" w:hAnsi="Cambria Math" w:cs="Arial"/>
                      </w:rPr>
                      <m:t>base</m:t>
                    </m:r>
                  </m:sub>
                </m:sSub>
                <m:r>
                  <w:rPr>
                    <w:rFonts w:ascii="Cambria Math" w:hAnsi="Cambria Math" w:cs="Arial"/>
                  </w:rPr>
                  <m:t xml:space="preserve">  </m:t>
                </m:r>
              </m:den>
            </m:f>
            <m:r>
              <w:rPr>
                <w:rFonts w:ascii="Cambria Math" w:hAnsi="Cambria Math" w:cs="Arial"/>
              </w:rPr>
              <m:t>-</m:t>
            </m:r>
            <m:f>
              <m:fPr>
                <m:ctrlPr>
                  <w:rPr>
                    <w:rFonts w:ascii="Cambria Math" w:hAnsi="Cambria Math" w:cs="Arial"/>
                  </w:rPr>
                </m:ctrlPr>
              </m:fPr>
              <m:num>
                <m:r>
                  <w:rPr>
                    <w:rFonts w:ascii="Cambria Math" w:hAnsi="Cambria Math" w:cs="Arial"/>
                  </w:rPr>
                  <m:t>1</m:t>
                </m:r>
              </m:num>
              <m:den>
                <m:sSub>
                  <m:sSubPr>
                    <m:ctrlPr>
                      <w:rPr>
                        <w:rFonts w:ascii="Cambria Math" w:hAnsi="Cambria Math" w:cs="Arial"/>
                      </w:rPr>
                    </m:ctrlPr>
                  </m:sSubPr>
                  <m:e>
                    <m:r>
                      <w:rPr>
                        <w:rFonts w:ascii="Cambria Math" w:hAnsi="Cambria Math" w:cs="Arial"/>
                      </w:rPr>
                      <m:t>HSPF</m:t>
                    </m:r>
                  </m:e>
                  <m:sub>
                    <m:r>
                      <w:rPr>
                        <w:rFonts w:ascii="Cambria Math" w:hAnsi="Cambria Math" w:cs="Arial"/>
                      </w:rPr>
                      <m:t>ee</m:t>
                    </m:r>
                  </m:sub>
                </m:sSub>
              </m:den>
            </m:f>
          </m:e>
        </m:d>
        <m:r>
          <w:rPr>
            <w:rFonts w:ascii="Cambria Math" w:hAnsi="Cambria Math" w:cs="Arial"/>
          </w:rPr>
          <m:t>×</m:t>
        </m:r>
        <m:sSub>
          <m:sSubPr>
            <m:ctrlPr>
              <w:rPr>
                <w:rFonts w:ascii="Cambria Math" w:hAnsi="Cambria Math" w:cs="Arial"/>
              </w:rPr>
            </m:ctrlPr>
          </m:sSubPr>
          <m:e>
            <m:r>
              <w:rPr>
                <w:rFonts w:ascii="Cambria Math" w:hAnsi="Cambria Math" w:cs="Arial"/>
              </w:rPr>
              <m:t>EFLH</m:t>
            </m:r>
          </m:e>
          <m:sub>
            <m:r>
              <w:rPr>
                <w:rFonts w:ascii="Cambria Math" w:hAnsi="Cambria Math" w:cs="Arial"/>
              </w:rPr>
              <m:t>heat</m:t>
            </m:r>
          </m:sub>
        </m:sSub>
      </m:oMath>
    </w:p>
    <w:p w14:paraId="543DE0F9" w14:textId="77777777" w:rsidR="007376E1" w:rsidRPr="001570EA" w:rsidRDefault="007376E1" w:rsidP="00597241">
      <w:pPr>
        <w:pStyle w:val="Equation"/>
        <w:keepNext/>
        <w:tabs>
          <w:tab w:val="left" w:pos="1440"/>
        </w:tabs>
        <w:ind w:left="0" w:firstLine="0"/>
        <w:rPr>
          <w:rFonts w:cs="Arial"/>
          <w:szCs w:val="20"/>
          <w:vertAlign w:val="subscript"/>
        </w:rPr>
      </w:pPr>
    </w:p>
    <w:p w14:paraId="64EC87E5" w14:textId="77777777" w:rsidR="007376E1" w:rsidRPr="001570EA" w:rsidRDefault="007376E1" w:rsidP="00597241">
      <w:pPr>
        <w:keepNext/>
        <w:tabs>
          <w:tab w:val="left" w:pos="1440"/>
        </w:tabs>
        <w:rPr>
          <w:rFonts w:ascii="Cambria Math" w:hAnsi="Cambria Math" w:cs="Arial"/>
          <w:i/>
        </w:rPr>
      </w:pPr>
      <w:r w:rsidRPr="001570EA">
        <w:rPr>
          <w:rFonts w:ascii="Cambria Math" w:hAnsi="Cambria Math" w:cs="Arial"/>
          <w:i/>
          <w:iCs/>
        </w:rPr>
        <w:t>ΔkW</w:t>
      </w:r>
      <w:r w:rsidRPr="001570EA">
        <w:rPr>
          <w:rFonts w:ascii="Cambria Math" w:hAnsi="Cambria Math" w:cs="Arial"/>
          <w:i/>
          <w:iCs/>
          <w:vertAlign w:val="subscript"/>
        </w:rPr>
        <w:t>summer peak</w:t>
      </w:r>
      <w:r w:rsidRPr="001570EA">
        <w:rPr>
          <w:rFonts w:ascii="Cambria Math" w:hAnsi="Cambria Math" w:cs="Arial"/>
          <w:i/>
          <w:iCs/>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EER</m:t>
                    </m:r>
                  </m:e>
                  <m:sub>
                    <m:r>
                      <w:rPr>
                        <w:rFonts w:ascii="Cambria Math" w:hAnsi="Cambria Math" w:cs="Arial"/>
                      </w:rPr>
                      <m:t>base</m:t>
                    </m:r>
                  </m:sub>
                </m:sSub>
                <m:r>
                  <w:rPr>
                    <w:rFonts w:ascii="Cambria Math" w:hAnsi="Cambria Math" w:cs="Arial"/>
                  </w:rPr>
                  <m:t xml:space="preserve"> </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EER</m:t>
                    </m:r>
                  </m:e>
                  <m:sub>
                    <m:r>
                      <w:rPr>
                        <w:rFonts w:ascii="Cambria Math" w:hAnsi="Cambria Math" w:cs="Arial"/>
                      </w:rPr>
                      <m:t>ee</m:t>
                    </m:r>
                  </m:sub>
                </m:sSub>
                <m:r>
                  <w:rPr>
                    <w:rFonts w:ascii="Cambria Math" w:hAnsi="Cambria Math" w:cs="Arial"/>
                  </w:rPr>
                  <m:t xml:space="preserve"> </m:t>
                </m:r>
              </m:den>
            </m:f>
          </m:e>
        </m:d>
        <m:r>
          <w:rPr>
            <w:rFonts w:ascii="Cambria Math" w:hAnsi="Cambria Math" w:cs="Arial"/>
          </w:rPr>
          <m:t>×</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p>
    <w:p w14:paraId="61265B6B" w14:textId="77777777" w:rsidR="007376E1" w:rsidRPr="001570EA" w:rsidRDefault="007376E1" w:rsidP="00597241">
      <w:pPr>
        <w:keepNext/>
        <w:tabs>
          <w:tab w:val="left" w:pos="1440"/>
        </w:tabs>
        <w:rPr>
          <w:rFonts w:ascii="Cambria Math" w:hAnsi="Cambria Math" w:cs="Arial"/>
          <w:i/>
        </w:rPr>
      </w:pPr>
    </w:p>
    <w:p w14:paraId="178E020C" w14:textId="77777777" w:rsidR="007376E1" w:rsidRPr="001570EA" w:rsidRDefault="007376E1" w:rsidP="00597241">
      <w:pPr>
        <w:keepNext/>
        <w:tabs>
          <w:tab w:val="left" w:pos="1440"/>
        </w:tabs>
        <w:rPr>
          <w:rFonts w:ascii="Cambria Math" w:hAnsi="Cambria Math" w:cs="Arial"/>
          <w:i/>
        </w:rPr>
      </w:pPr>
      <w:r w:rsidRPr="001570EA">
        <w:rPr>
          <w:rFonts w:ascii="Cambria Math" w:hAnsi="Cambria Math" w:cs="Arial"/>
          <w:i/>
          <w:iCs/>
        </w:rPr>
        <w:t>ΔkW</w:t>
      </w:r>
      <w:r w:rsidRPr="001570EA">
        <w:rPr>
          <w:rFonts w:ascii="Cambria Math" w:hAnsi="Cambria Math" w:cs="Arial"/>
          <w:i/>
          <w:iCs/>
          <w:vertAlign w:val="subscript"/>
        </w:rPr>
        <w:t>winter peak</w:t>
      </w:r>
      <w:r w:rsidRPr="001570EA">
        <w:rPr>
          <w:rFonts w:ascii="Cambria Math" w:hAnsi="Cambria Math" w:cs="Arial"/>
          <w:i/>
          <w:iCs/>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OF</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COP</m:t>
                    </m:r>
                  </m:e>
                  <m:sub>
                    <m:r>
                      <w:rPr>
                        <w:rFonts w:ascii="Cambria Math" w:hAnsi="Cambria Math" w:cs="Arial"/>
                      </w:rPr>
                      <m:t>base</m:t>
                    </m:r>
                  </m:sub>
                </m:sSub>
                <m:r>
                  <w:rPr>
                    <w:rFonts w:ascii="Cambria Math" w:hAnsi="Cambria Math" w:cs="Arial"/>
                  </w:rPr>
                  <m:t xml:space="preserve"> </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COP</m:t>
                    </m:r>
                  </m:e>
                  <m:sub>
                    <m:r>
                      <w:rPr>
                        <w:rFonts w:ascii="Cambria Math" w:hAnsi="Cambria Math" w:cs="Arial"/>
                      </w:rPr>
                      <m:t>ee</m:t>
                    </m:r>
                  </m:sub>
                </m:sSub>
                <m:r>
                  <w:rPr>
                    <w:rFonts w:ascii="Cambria Math" w:hAnsi="Cambria Math" w:cs="Arial"/>
                  </w:rPr>
                  <m:t xml:space="preserve"> </m:t>
                </m:r>
              </m:den>
            </m:f>
          </m:e>
        </m:d>
        <m:r>
          <w:rPr>
            <w:rFonts w:ascii="Cambria Math" w:hAnsi="Cambria Math" w:cs="Arial"/>
          </w:rPr>
          <m:t xml:space="preserve">× </m:t>
        </m:r>
        <m:f>
          <m:fPr>
            <m:ctrlPr>
              <w:rPr>
                <w:rFonts w:ascii="Cambria Math" w:hAnsi="Cambria Math"/>
              </w:rPr>
            </m:ctrlPr>
          </m:fPr>
          <m:num>
            <m:r>
              <w:rPr>
                <w:rFonts w:ascii="Cambria Math" w:hAnsi="Cambria Math"/>
              </w:rPr>
              <m:t>1</m:t>
            </m:r>
          </m:num>
          <m:den>
            <m:r>
              <m:rPr>
                <m:sty m:val="p"/>
              </m:rPr>
              <w:rPr>
                <w:rFonts w:ascii="Cambria Math" w:hAnsi="Cambria Math"/>
              </w:rPr>
              <m:t>3.412</m:t>
            </m:r>
            <m:f>
              <m:fPr>
                <m:ctrlPr>
                  <w:rPr>
                    <w:rFonts w:ascii="Cambria Math" w:hAnsi="Cambria Math" w:cs="Arial"/>
                  </w:rPr>
                </m:ctrlPr>
              </m:fPr>
              <m:num>
                <m:r>
                  <m:rPr>
                    <m:sty m:val="p"/>
                  </m:rPr>
                  <w:rPr>
                    <w:rFonts w:ascii="Cambria Math" w:hAnsi="Cambria Math" w:cs="Arial"/>
                  </w:rPr>
                  <m:t>BTU</m:t>
                </m:r>
                <m:ctrlPr>
                  <w:rPr>
                    <w:rFonts w:ascii="Cambria Math" w:hAnsi="Cambria Math" w:cs="Arial"/>
                    <w:iCs/>
                  </w:rPr>
                </m:ctrlPr>
              </m:num>
              <m:den>
                <m:r>
                  <m:rPr>
                    <m:sty m:val="p"/>
                  </m:rPr>
                  <w:rPr>
                    <w:rFonts w:ascii="Cambria Math" w:hAnsi="Cambria Math" w:cs="Arial"/>
                  </w:rPr>
                  <m:t>W∙h</m:t>
                </m:r>
              </m:den>
            </m:f>
          </m:den>
        </m:f>
        <m:r>
          <w:rPr>
            <w:rFonts w:ascii="Cambria Math" w:hAnsi="Cambria Math" w:cs="Arial"/>
          </w:rPr>
          <m:t>×</m:t>
        </m:r>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w:p>
    <w:p w14:paraId="3DF14899" w14:textId="77777777" w:rsidR="007376E1" w:rsidRPr="001570EA" w:rsidRDefault="007376E1" w:rsidP="007376E1">
      <w:pPr>
        <w:tabs>
          <w:tab w:val="left" w:pos="1440"/>
        </w:tabs>
        <w:rPr>
          <w:rFonts w:ascii="Cambria Math" w:hAnsi="Cambria Math" w:cs="Arial"/>
          <w:i/>
        </w:rPr>
      </w:pPr>
    </w:p>
    <w:p w14:paraId="6C7ADEEF" w14:textId="77777777" w:rsidR="007376E1" w:rsidRPr="001570EA" w:rsidRDefault="007376E1" w:rsidP="007376E1">
      <w:pPr>
        <w:tabs>
          <w:tab w:val="left" w:pos="1440"/>
        </w:tabs>
        <w:rPr>
          <w:rFonts w:ascii="Cambria Math" w:hAnsi="Cambria Math" w:cs="Arial"/>
          <w:i/>
        </w:rPr>
      </w:pPr>
    </w:p>
    <w:p w14:paraId="40C7705C" w14:textId="77777777" w:rsidR="007376E1" w:rsidRPr="001570EA" w:rsidRDefault="007376E1" w:rsidP="007376E1">
      <w:pPr>
        <w:rPr>
          <w:rFonts w:cs="Arial"/>
          <w:b/>
          <w:sz w:val="22"/>
          <w:szCs w:val="22"/>
        </w:rPr>
      </w:pPr>
      <w:r w:rsidRPr="001570EA">
        <w:rPr>
          <w:rFonts w:cs="Arial"/>
          <w:b/>
        </w:rPr>
        <w:t>Qualifying: Package Terminal Heat Pumps, Package Terminal Air Conditioners</w:t>
      </w:r>
    </w:p>
    <w:p w14:paraId="3E2E44E0" w14:textId="77777777" w:rsidR="007376E1" w:rsidRPr="001570EA" w:rsidRDefault="007376E1" w:rsidP="007376E1">
      <w:pPr>
        <w:pStyle w:val="3ptheading"/>
        <w:tabs>
          <w:tab w:val="left" w:pos="1440"/>
        </w:tabs>
        <w:spacing w:before="120"/>
        <w:rPr>
          <w:rFonts w:ascii="Cambria Math" w:hAnsi="Cambria Math"/>
          <w:b w:val="0"/>
          <w:i/>
        </w:rPr>
      </w:pPr>
      <w:r w:rsidRPr="001570EA">
        <w:rPr>
          <w:rFonts w:ascii="Cambria Math" w:hAnsi="Cambria Math"/>
          <w:b w:val="0"/>
          <w:i/>
        </w:rPr>
        <w:t>SEER</w:t>
      </w:r>
      <w:r w:rsidRPr="001570EA">
        <w:rPr>
          <w:rFonts w:ascii="Cambria Math" w:hAnsi="Cambria Math"/>
          <w:b w:val="0"/>
          <w:i/>
          <w:vertAlign w:val="subscript"/>
        </w:rPr>
        <w:tab/>
      </w:r>
      <w:r w:rsidRPr="001570EA">
        <w:rPr>
          <w:rFonts w:ascii="Cambria Math" w:hAnsi="Cambria Math"/>
          <w:b w:val="0"/>
          <w:i/>
        </w:rPr>
        <w:t>= EER</w:t>
      </w:r>
    </w:p>
    <w:p w14:paraId="10151BD8" w14:textId="77777777" w:rsidR="007376E1" w:rsidRPr="001570EA" w:rsidRDefault="007376E1" w:rsidP="007376E1">
      <w:pPr>
        <w:pStyle w:val="3ptheading"/>
        <w:tabs>
          <w:tab w:val="left" w:pos="1440"/>
        </w:tabs>
      </w:pPr>
      <w:r w:rsidRPr="001570EA">
        <w:rPr>
          <w:rFonts w:ascii="Cambria Math" w:hAnsi="Cambria Math"/>
          <w:b w:val="0"/>
          <w:i/>
        </w:rPr>
        <w:t>HSPF</w:t>
      </w:r>
      <w:r w:rsidRPr="001570EA">
        <w:rPr>
          <w:rFonts w:ascii="Cambria Math" w:hAnsi="Cambria Math"/>
          <w:b w:val="0"/>
          <w:i/>
          <w:vertAlign w:val="subscript"/>
        </w:rPr>
        <w:tab/>
        <w:t>=</w:t>
      </w:r>
      <w:r w:rsidRPr="001570EA">
        <w:rPr>
          <w:rFonts w:ascii="Cambria Math" w:hAnsi="Cambria Math"/>
          <w:b w:val="0"/>
          <w:i/>
        </w:rPr>
        <w:t xml:space="preserve"> COP </w:t>
      </w:r>
      <w:r w:rsidRPr="001570EA">
        <w:rPr>
          <w:rFonts w:ascii="Cambria Math" w:hAnsi="Cambria Math"/>
          <w:b w:val="0"/>
        </w:rPr>
        <w:t>× 3.412</w:t>
      </w:r>
      <m:oMath>
        <m:f>
          <m:fPr>
            <m:ctrlPr>
              <w:rPr>
                <w:rFonts w:ascii="Cambria Math" w:hAnsi="Cambria Math" w:cs="Arial"/>
              </w:rPr>
            </m:ctrlPr>
          </m:fPr>
          <m:num>
            <m:r>
              <m:rPr>
                <m:nor/>
              </m:rPr>
              <w:rPr>
                <w:rFonts w:ascii="Cambria Math" w:hAnsi="Cambria Math" w:cs="Arial"/>
                <w:b w:val="0"/>
                <w:iCs/>
              </w:rPr>
              <m:t>BTU</m:t>
            </m:r>
            <m:ctrlPr>
              <w:rPr>
                <w:rFonts w:ascii="Cambria Math" w:hAnsi="Cambria Math" w:cs="Arial"/>
                <w:iCs/>
              </w:rPr>
            </m:ctrlPr>
          </m:num>
          <m:den>
            <m:r>
              <m:rPr>
                <m:nor/>
              </m:rPr>
              <w:rPr>
                <w:rFonts w:ascii="Cambria Math" w:hAnsi="Cambria Math" w:cs="Arial"/>
                <w:b w:val="0"/>
                <w:iCs/>
              </w:rPr>
              <m:t>W∙h</m:t>
            </m:r>
          </m:den>
        </m:f>
      </m:oMath>
    </w:p>
    <w:p w14:paraId="14D9F87A" w14:textId="77777777" w:rsidR="007376E1" w:rsidRPr="001570EA" w:rsidRDefault="007376E1" w:rsidP="007376E1">
      <w:pPr>
        <w:pStyle w:val="SubStyle"/>
      </w:pPr>
    </w:p>
    <w:p w14:paraId="091E0CFB" w14:textId="77777777" w:rsidR="007376E1" w:rsidRPr="001570EA" w:rsidRDefault="007376E1" w:rsidP="007376E1">
      <w:pPr>
        <w:pStyle w:val="SubStyle"/>
      </w:pPr>
      <w:r w:rsidRPr="001570EA">
        <w:t>Definition of Terms</w:t>
      </w:r>
    </w:p>
    <w:p w14:paraId="60E4B68C" w14:textId="1664AD5C" w:rsidR="007376E1" w:rsidRPr="001570EA" w:rsidRDefault="008D728A" w:rsidP="008D728A">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14</w:t>
      </w:r>
      <w:r w:rsidR="002E093A" w:rsidRPr="001570EA">
        <w:fldChar w:fldCharType="end"/>
      </w:r>
      <w:r w:rsidRPr="001570EA">
        <w:t>: Terms, Values, and References for High Efficiency Equipment: ASHP, ccHP, CAC, PTAC, PTHP</w:t>
      </w:r>
    </w:p>
    <w:tbl>
      <w:tblPr>
        <w:tblStyle w:val="TableGrid"/>
        <w:tblW w:w="8640" w:type="dxa"/>
        <w:tblInd w:w="108" w:type="dxa"/>
        <w:tblLayout w:type="fixed"/>
        <w:tblLook w:val="04A0" w:firstRow="1" w:lastRow="0" w:firstColumn="1" w:lastColumn="0" w:noHBand="0" w:noVBand="1"/>
      </w:tblPr>
      <w:tblGrid>
        <w:gridCol w:w="3690"/>
        <w:gridCol w:w="1170"/>
        <w:gridCol w:w="2070"/>
        <w:gridCol w:w="1710"/>
      </w:tblGrid>
      <w:tr w:rsidR="007376E1" w:rsidRPr="001570EA" w14:paraId="1874691D" w14:textId="77777777">
        <w:trPr>
          <w:trHeight w:val="242"/>
          <w:tblHeader/>
        </w:trPr>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3C0FFF" w14:textId="77777777" w:rsidR="007376E1" w:rsidRPr="001570EA" w:rsidRDefault="007376E1">
            <w:pPr>
              <w:rPr>
                <w:sz w:val="18"/>
                <w:szCs w:val="18"/>
              </w:rPr>
            </w:pPr>
            <w:r w:rsidRPr="001570EA">
              <w:rPr>
                <w:b/>
                <w:bCs/>
                <w:sz w:val="18"/>
                <w:szCs w:val="18"/>
              </w:rPr>
              <w:t>Term</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3E7C22" w14:textId="77777777" w:rsidR="007376E1" w:rsidRPr="001570EA" w:rsidRDefault="007376E1">
            <w:pPr>
              <w:jc w:val="center"/>
              <w:rPr>
                <w:sz w:val="18"/>
                <w:szCs w:val="18"/>
              </w:rPr>
            </w:pPr>
            <w:r w:rsidRPr="001570EA">
              <w:rPr>
                <w:b/>
                <w:bCs/>
                <w:sz w:val="18"/>
                <w:szCs w:val="18"/>
              </w:rPr>
              <w:t>Unit</w:t>
            </w:r>
          </w:p>
        </w:tc>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2CFDAA" w14:textId="77777777" w:rsidR="007376E1" w:rsidRPr="001570EA" w:rsidRDefault="007376E1">
            <w:pPr>
              <w:jc w:val="center"/>
              <w:rPr>
                <w:sz w:val="18"/>
                <w:szCs w:val="18"/>
              </w:rPr>
            </w:pPr>
            <w:r w:rsidRPr="001570EA">
              <w:rPr>
                <w:b/>
                <w:bCs/>
                <w:sz w:val="18"/>
                <w:szCs w:val="18"/>
              </w:rPr>
              <w:t>Value</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0C5060" w14:textId="77777777" w:rsidR="007376E1" w:rsidRPr="001570EA" w:rsidRDefault="007376E1">
            <w:pPr>
              <w:jc w:val="center"/>
              <w:rPr>
                <w:sz w:val="18"/>
                <w:szCs w:val="18"/>
              </w:rPr>
            </w:pPr>
            <w:r w:rsidRPr="001570EA">
              <w:rPr>
                <w:b/>
                <w:bCs/>
                <w:sz w:val="18"/>
                <w:szCs w:val="18"/>
              </w:rPr>
              <w:t>Sources</w:t>
            </w:r>
          </w:p>
        </w:tc>
      </w:tr>
      <w:tr w:rsidR="007376E1" w:rsidRPr="001570EA" w14:paraId="0D28437B" w14:textId="77777777">
        <w:trPr>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44F14923" w14:textId="765D0F54" w:rsidR="007376E1" w:rsidRPr="001570EA" w:rsidRDefault="007376E1">
            <w:pPr>
              <w:jc w:val="left"/>
              <w:rPr>
                <w:sz w:val="18"/>
                <w:szCs w:val="18"/>
              </w:rPr>
            </w:pPr>
            <w:r w:rsidRPr="001570EA">
              <w:rPr>
                <w:i/>
                <w:iCs/>
                <w:sz w:val="18"/>
                <w:szCs w:val="18"/>
              </w:rPr>
              <w:t>CAPY</w:t>
            </w:r>
            <w:r w:rsidRPr="001570EA">
              <w:rPr>
                <w:i/>
                <w:iCs/>
                <w:sz w:val="18"/>
                <w:szCs w:val="18"/>
                <w:vertAlign w:val="subscript"/>
              </w:rPr>
              <w:t>cool</w:t>
            </w:r>
            <w:r w:rsidRPr="001570EA">
              <w:rPr>
                <w:sz w:val="18"/>
                <w:szCs w:val="18"/>
              </w:rPr>
              <w:t xml:space="preserve">, </w:t>
            </w:r>
            <w:r w:rsidRPr="001570EA">
              <w:rPr>
                <w:rFonts w:cs="Arial"/>
                <w:sz w:val="18"/>
                <w:szCs w:val="18"/>
              </w:rPr>
              <w:t>The cooling capacity of the equipment being installed</w:t>
            </w:r>
            <w:r w:rsidRPr="001570EA">
              <w:rPr>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8FA81E" w14:textId="77777777" w:rsidR="007376E1" w:rsidRPr="001570EA" w:rsidRDefault="007376E1">
            <w:pPr>
              <w:jc w:val="center"/>
              <w:rPr>
                <w:rFonts w:ascii="Cambria Math" w:hAnsi="Cambria Math"/>
                <w:sz w:val="18"/>
                <w:szCs w:val="18"/>
              </w:rPr>
            </w:pPr>
            <w:r w:rsidRPr="001570EA">
              <w:rPr>
                <w:rFonts w:ascii="Cambria Math" w:hAnsi="Cambria Math" w:cs="Arial"/>
                <w:i/>
                <w:iCs/>
                <w:sz w:val="18"/>
                <w:szCs w:val="18"/>
              </w:rPr>
              <w:t>kBTU/hr</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D317005" w14:textId="77777777" w:rsidR="007376E1" w:rsidRPr="001570EA" w:rsidRDefault="007376E1">
            <w:pPr>
              <w:pStyle w:val="TableCell"/>
              <w:spacing w:before="60" w:after="60"/>
              <w:jc w:val="center"/>
              <w:rPr>
                <w:szCs w:val="18"/>
                <w:lang w:bidi="en-US"/>
              </w:rPr>
            </w:pPr>
            <w:r w:rsidRPr="001570EA">
              <w:rPr>
                <w:szCs w:val="18"/>
                <w:lang w:bidi="en-US"/>
              </w:rPr>
              <w:t>Rated Value from AHRI Certificate</w:t>
            </w:r>
          </w:p>
          <w:p w14:paraId="4CA36A06" w14:textId="77777777" w:rsidR="007376E1" w:rsidRPr="001570EA" w:rsidRDefault="007376E1" w:rsidP="002614D2">
            <w:pPr>
              <w:pStyle w:val="TableCell"/>
              <w:numPr>
                <w:ilvl w:val="0"/>
                <w:numId w:val="45"/>
              </w:numPr>
              <w:spacing w:before="60" w:after="60"/>
              <w:jc w:val="center"/>
              <w:textAlignment w:val="auto"/>
              <w:rPr>
                <w:szCs w:val="18"/>
                <w:lang w:bidi="en-US"/>
              </w:rPr>
            </w:pPr>
            <w:r w:rsidRPr="001570EA">
              <w:rPr>
                <w:b/>
                <w:szCs w:val="18"/>
                <w:lang w:bidi="en-US"/>
              </w:rPr>
              <w:t>CAC, ASHP. ccHP</w:t>
            </w:r>
            <w:r w:rsidRPr="001570EA">
              <w:rPr>
                <w:szCs w:val="18"/>
                <w:lang w:bidi="en-US"/>
              </w:rPr>
              <w:t xml:space="preserve">: </w:t>
            </w:r>
            <w:r w:rsidRPr="001570EA">
              <w:rPr>
                <w:iCs/>
                <w:szCs w:val="18"/>
                <w:lang w:bidi="en-US"/>
              </w:rPr>
              <w:t xml:space="preserve">Cooling Capacity </w:t>
            </w:r>
            <w:r w:rsidRPr="001570EA">
              <w:rPr>
                <w:szCs w:val="18"/>
                <w:lang w:bidi="en-US"/>
              </w:rPr>
              <w:t>at 95 degrees (F)</w:t>
            </w:r>
          </w:p>
          <w:p w14:paraId="34274BD6" w14:textId="77777777" w:rsidR="007376E1" w:rsidRPr="001570EA" w:rsidRDefault="007376E1" w:rsidP="002614D2">
            <w:pPr>
              <w:pStyle w:val="TableCell"/>
              <w:numPr>
                <w:ilvl w:val="0"/>
                <w:numId w:val="45"/>
              </w:numPr>
              <w:spacing w:before="60" w:after="60"/>
              <w:jc w:val="center"/>
              <w:textAlignment w:val="auto"/>
              <w:rPr>
                <w:szCs w:val="18"/>
                <w:lang w:bidi="en-US"/>
              </w:rPr>
            </w:pPr>
            <w:r w:rsidRPr="001570EA">
              <w:rPr>
                <w:b/>
                <w:szCs w:val="18"/>
                <w:lang w:bidi="en-US"/>
              </w:rPr>
              <w:t>PTAC, PTHP</w:t>
            </w:r>
            <w:r w:rsidRPr="001570EA">
              <w:rPr>
                <w:szCs w:val="18"/>
                <w:lang w:bidi="en-US"/>
              </w:rPr>
              <w:t xml:space="preserve">: </w:t>
            </w:r>
            <w:r w:rsidRPr="001570EA">
              <w:rPr>
                <w:iCs/>
                <w:szCs w:val="18"/>
                <w:lang w:bidi="en-US"/>
              </w:rPr>
              <w:t>Cooling Capacity at 230V if dual voltage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2951A8B" w14:textId="77777777" w:rsidR="007376E1" w:rsidRPr="001570EA" w:rsidRDefault="007376E1">
            <w:pPr>
              <w:jc w:val="center"/>
              <w:rPr>
                <w:sz w:val="18"/>
                <w:szCs w:val="18"/>
                <w:lang w:bidi="en-US"/>
              </w:rPr>
            </w:pPr>
            <w:r w:rsidRPr="001570EA">
              <w:rPr>
                <w:sz w:val="18"/>
                <w:szCs w:val="18"/>
              </w:rPr>
              <w:t>3, EDC Data Gathering</w:t>
            </w:r>
          </w:p>
        </w:tc>
      </w:tr>
      <w:tr w:rsidR="007376E1" w:rsidRPr="001570EA" w14:paraId="44F00B57" w14:textId="77777777">
        <w:trPr>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5CB17842" w14:textId="6B220C6A" w:rsidR="007376E1" w:rsidRPr="001570EA" w:rsidRDefault="007376E1">
            <w:pPr>
              <w:jc w:val="left"/>
              <w:rPr>
                <w:sz w:val="18"/>
                <w:szCs w:val="18"/>
              </w:rPr>
            </w:pPr>
            <w:r w:rsidRPr="001570EA">
              <w:rPr>
                <w:i/>
                <w:iCs/>
                <w:sz w:val="18"/>
                <w:szCs w:val="18"/>
              </w:rPr>
              <w:t>CAPY</w:t>
            </w:r>
            <w:r w:rsidRPr="001570EA">
              <w:rPr>
                <w:i/>
                <w:iCs/>
                <w:sz w:val="18"/>
                <w:szCs w:val="18"/>
                <w:vertAlign w:val="subscript"/>
              </w:rPr>
              <w:t>heat</w:t>
            </w:r>
            <w:r w:rsidRPr="001570EA">
              <w:rPr>
                <w:sz w:val="18"/>
                <w:szCs w:val="18"/>
              </w:rPr>
              <w:t xml:space="preserve">, </w:t>
            </w:r>
            <w:r w:rsidRPr="001570EA">
              <w:rPr>
                <w:rFonts w:cs="Arial"/>
                <w:sz w:val="18"/>
                <w:szCs w:val="18"/>
              </w:rPr>
              <w:t>The heating capacity of the heat pump being installed</w:t>
            </w:r>
            <w:r w:rsidRPr="001570EA">
              <w:rPr>
                <w:sz w:val="18"/>
                <w:szCs w:val="18"/>
              </w:rPr>
              <w:t xml:space="preserve"> (Auxiliary electric heat resistance not included)</w:t>
            </w:r>
            <w:r w:rsidRPr="001570EA">
              <w:rPr>
                <w:rFonts w:cs="Arial"/>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5F6D1F" w14:textId="77777777" w:rsidR="007376E1" w:rsidRPr="001570EA" w:rsidRDefault="007376E1">
            <w:pPr>
              <w:jc w:val="center"/>
              <w:rPr>
                <w:rFonts w:ascii="Cambria Math" w:hAnsi="Cambria Math"/>
                <w:sz w:val="18"/>
                <w:szCs w:val="18"/>
              </w:rPr>
            </w:pPr>
            <w:r w:rsidRPr="001570EA">
              <w:rPr>
                <w:rFonts w:ascii="Cambria Math" w:hAnsi="Cambria Math" w:cs="Arial"/>
                <w:i/>
                <w:iCs/>
                <w:sz w:val="18"/>
                <w:szCs w:val="18"/>
              </w:rPr>
              <w:t>kBTU/hr</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AE9FC61" w14:textId="77777777" w:rsidR="007376E1" w:rsidRPr="001570EA" w:rsidRDefault="007376E1">
            <w:pPr>
              <w:pStyle w:val="TableCell"/>
              <w:spacing w:before="60" w:after="60"/>
              <w:jc w:val="center"/>
              <w:rPr>
                <w:szCs w:val="18"/>
                <w:lang w:bidi="en-US"/>
              </w:rPr>
            </w:pPr>
            <w:r w:rsidRPr="001570EA">
              <w:rPr>
                <w:szCs w:val="18"/>
                <w:lang w:bidi="en-US"/>
              </w:rPr>
              <w:t>Rated Value from AHRI Certificate</w:t>
            </w:r>
          </w:p>
          <w:p w14:paraId="6D83DEF7" w14:textId="77777777" w:rsidR="007376E1" w:rsidRPr="001570EA" w:rsidRDefault="007376E1" w:rsidP="002614D2">
            <w:pPr>
              <w:pStyle w:val="TableCell"/>
              <w:numPr>
                <w:ilvl w:val="0"/>
                <w:numId w:val="46"/>
              </w:numPr>
              <w:spacing w:before="60" w:after="60"/>
              <w:jc w:val="center"/>
              <w:textAlignment w:val="auto"/>
              <w:rPr>
                <w:szCs w:val="18"/>
                <w:lang w:bidi="en-US"/>
              </w:rPr>
            </w:pPr>
            <w:r w:rsidRPr="001570EA">
              <w:rPr>
                <w:b/>
                <w:szCs w:val="18"/>
                <w:lang w:bidi="en-US"/>
              </w:rPr>
              <w:t>ASHP, ccHP</w:t>
            </w:r>
            <w:r w:rsidRPr="001570EA">
              <w:rPr>
                <w:szCs w:val="18"/>
                <w:lang w:bidi="en-US"/>
              </w:rPr>
              <w:t xml:space="preserve">: </w:t>
            </w:r>
            <w:r w:rsidRPr="001570EA">
              <w:rPr>
                <w:iCs/>
                <w:szCs w:val="18"/>
                <w:lang w:bidi="en-US"/>
              </w:rPr>
              <w:t xml:space="preserve">Heating Capacity </w:t>
            </w:r>
            <w:r w:rsidRPr="001570EA">
              <w:rPr>
                <w:szCs w:val="18"/>
                <w:lang w:bidi="en-US"/>
              </w:rPr>
              <w:t>at 47 degrees (F)</w:t>
            </w:r>
          </w:p>
          <w:p w14:paraId="770D9FBD" w14:textId="77777777" w:rsidR="007376E1" w:rsidRPr="001570EA" w:rsidRDefault="007376E1" w:rsidP="002614D2">
            <w:pPr>
              <w:pStyle w:val="ListParagraph"/>
              <w:numPr>
                <w:ilvl w:val="0"/>
                <w:numId w:val="46"/>
              </w:numPr>
              <w:jc w:val="center"/>
              <w:rPr>
                <w:sz w:val="18"/>
                <w:szCs w:val="18"/>
                <w:lang w:bidi="en-US"/>
              </w:rPr>
            </w:pPr>
            <w:r w:rsidRPr="001570EA">
              <w:rPr>
                <w:b/>
                <w:sz w:val="18"/>
                <w:szCs w:val="18"/>
              </w:rPr>
              <w:t>PTHP</w:t>
            </w:r>
            <w:r w:rsidRPr="001570EA">
              <w:rPr>
                <w:sz w:val="18"/>
                <w:szCs w:val="18"/>
              </w:rPr>
              <w:t xml:space="preserve">: </w:t>
            </w:r>
            <w:r w:rsidRPr="001570EA">
              <w:rPr>
                <w:iCs/>
                <w:sz w:val="18"/>
                <w:szCs w:val="18"/>
              </w:rPr>
              <w:t>Heating Capacity at 230V if dual voltage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0B61928" w14:textId="77777777" w:rsidR="007376E1" w:rsidRPr="001570EA" w:rsidRDefault="007376E1">
            <w:pPr>
              <w:jc w:val="center"/>
              <w:rPr>
                <w:sz w:val="18"/>
                <w:szCs w:val="18"/>
              </w:rPr>
            </w:pPr>
            <w:r w:rsidRPr="001570EA">
              <w:rPr>
                <w:sz w:val="18"/>
                <w:szCs w:val="18"/>
              </w:rPr>
              <w:t>3, EDC Data Gathering</w:t>
            </w:r>
          </w:p>
        </w:tc>
      </w:tr>
      <w:tr w:rsidR="007376E1" w:rsidRPr="001570EA" w14:paraId="77270487" w14:textId="77777777">
        <w:trPr>
          <w:trHeight w:val="650"/>
        </w:trPr>
        <w:tc>
          <w:tcPr>
            <w:tcW w:w="3690" w:type="dxa"/>
            <w:tcBorders>
              <w:top w:val="single" w:sz="4" w:space="0" w:color="auto"/>
              <w:left w:val="single" w:sz="4" w:space="0" w:color="auto"/>
              <w:bottom w:val="single" w:sz="4" w:space="0" w:color="000000" w:themeColor="text1"/>
              <w:right w:val="single" w:sz="4" w:space="0" w:color="auto"/>
            </w:tcBorders>
            <w:vAlign w:val="center"/>
            <w:hideMark/>
          </w:tcPr>
          <w:p w14:paraId="47EFF374" w14:textId="77777777" w:rsidR="007376E1" w:rsidRPr="001570EA" w:rsidRDefault="007376E1">
            <w:pPr>
              <w:rPr>
                <w:i/>
                <w:iCs/>
                <w:sz w:val="18"/>
                <w:szCs w:val="18"/>
              </w:rPr>
            </w:pPr>
            <w:r w:rsidRPr="001570EA">
              <w:rPr>
                <w:i/>
                <w:iCs/>
                <w:sz w:val="18"/>
                <w:szCs w:val="18"/>
              </w:rPr>
              <w:t>SEER2</w:t>
            </w:r>
            <w:r w:rsidRPr="001570EA">
              <w:rPr>
                <w:i/>
                <w:iCs/>
                <w:sz w:val="18"/>
                <w:szCs w:val="18"/>
                <w:vertAlign w:val="subscript"/>
              </w:rPr>
              <w:t>base</w:t>
            </w:r>
            <w:r w:rsidRPr="001570EA">
              <w:rPr>
                <w:i/>
                <w:iCs/>
                <w:sz w:val="18"/>
                <w:szCs w:val="18"/>
              </w:rPr>
              <w:t>, SEER</w:t>
            </w:r>
            <w:r w:rsidRPr="001570EA">
              <w:rPr>
                <w:i/>
                <w:iCs/>
                <w:sz w:val="18"/>
                <w:szCs w:val="18"/>
                <w:vertAlign w:val="subscript"/>
              </w:rPr>
              <w:t>base</w:t>
            </w:r>
            <w:r w:rsidRPr="001570EA">
              <w:rPr>
                <w:i/>
                <w:iCs/>
                <w:sz w:val="18"/>
                <w:szCs w:val="18"/>
              </w:rPr>
              <w:t xml:space="preserve"> </w:t>
            </w:r>
            <w:r w:rsidRPr="001570EA">
              <w:rPr>
                <w:rFonts w:cs="Arial"/>
                <w:sz w:val="18"/>
                <w:szCs w:val="18"/>
              </w:rPr>
              <w:t>Seasonal Energy Efficiency Ratio of the Baseline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B5B83BA" w14:textId="77777777" w:rsidR="007376E1" w:rsidRPr="001570EA" w:rsidRDefault="003B5E04">
            <w:pPr>
              <w:jc w:val="center"/>
              <w:rPr>
                <w:rFonts w:ascii="Cambria Math" w:hAnsi="Cambria Math" w:cs="Arial"/>
                <w:i/>
                <w:iCs/>
                <w:sz w:val="18"/>
                <w:szCs w:val="18"/>
              </w:rPr>
            </w:pPr>
            <m:oMathPara>
              <m:oMath>
                <m:f>
                  <m:fPr>
                    <m:ctrlPr>
                      <w:rPr>
                        <w:rFonts w:ascii="Cambria Math" w:hAnsi="Cambria Math" w:cs="Arial"/>
                        <w:sz w:val="18"/>
                        <w:szCs w:val="18"/>
                        <w:lang w:bidi="en-US"/>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60D9678F" w14:textId="3E8C564D" w:rsidR="007376E1" w:rsidRPr="001570EA" w:rsidRDefault="007376E1">
            <w:pPr>
              <w:pStyle w:val="TableCell"/>
              <w:spacing w:before="60" w:after="60"/>
              <w:jc w:val="center"/>
              <w:rPr>
                <w:szCs w:val="18"/>
                <w:lang w:bidi="en-US"/>
              </w:rPr>
            </w:pPr>
            <w:r w:rsidRPr="001570EA">
              <w:rPr>
                <w:szCs w:val="18"/>
                <w:lang w:bidi="en-US"/>
              </w:rPr>
              <w:t xml:space="preserve">See </w:t>
            </w:r>
            <w:r w:rsidRPr="001570EA">
              <w:rPr>
                <w:szCs w:val="18"/>
                <w:lang w:bidi="en-US"/>
              </w:rPr>
              <w:fldChar w:fldCharType="begin"/>
            </w:r>
            <w:r w:rsidRPr="001570EA">
              <w:rPr>
                <w:szCs w:val="18"/>
                <w:lang w:bidi="en-US"/>
              </w:rPr>
              <w:instrText xml:space="preserve"> REF _Ref531779526 \h  \* MERGEFORMAT </w:instrText>
            </w:r>
            <w:r w:rsidRPr="001570EA">
              <w:rPr>
                <w:szCs w:val="18"/>
                <w:lang w:bidi="en-US"/>
              </w:rPr>
            </w:r>
            <w:r w:rsidRPr="001570EA">
              <w:rPr>
                <w:szCs w:val="18"/>
                <w:lang w:bidi="en-US"/>
              </w:rPr>
              <w:fldChar w:fldCharType="separate"/>
            </w:r>
            <w:r w:rsidR="00384D95" w:rsidRPr="001570EA">
              <w:rPr>
                <w:lang w:bidi="en-US"/>
              </w:rPr>
              <w:t xml:space="preserve">Table </w:t>
            </w:r>
            <w:r w:rsidR="00384D95" w:rsidRPr="001570EA">
              <w:rPr>
                <w:noProof/>
                <w:lang w:bidi="en-US"/>
              </w:rPr>
              <w:t>2</w:t>
            </w:r>
            <w:r w:rsidR="00384D95" w:rsidRPr="001570EA">
              <w:rPr>
                <w:noProof/>
                <w:lang w:bidi="en-US"/>
              </w:rPr>
              <w:noBreakHyphen/>
              <w:t>10</w:t>
            </w:r>
            <w:r w:rsidRPr="001570EA">
              <w:rPr>
                <w:szCs w:val="18"/>
                <w:lang w:bidi="en-US"/>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0F66D5DC" w14:textId="77777777" w:rsidR="007376E1" w:rsidRPr="001570EA" w:rsidRDefault="007376E1">
            <w:pPr>
              <w:jc w:val="center"/>
              <w:rPr>
                <w:sz w:val="18"/>
                <w:szCs w:val="18"/>
                <w:lang w:bidi="en-US"/>
              </w:rPr>
            </w:pPr>
            <w:r w:rsidRPr="001570EA">
              <w:rPr>
                <w:sz w:val="18"/>
                <w:szCs w:val="18"/>
              </w:rPr>
              <w:t>4</w:t>
            </w:r>
          </w:p>
        </w:tc>
      </w:tr>
      <w:tr w:rsidR="007376E1" w:rsidRPr="001570EA" w14:paraId="7E4C3675" w14:textId="77777777">
        <w:trPr>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2EE5A44F" w14:textId="77777777" w:rsidR="007376E1" w:rsidRPr="001570EA" w:rsidRDefault="007376E1">
            <w:pPr>
              <w:rPr>
                <w:i/>
                <w:iCs/>
                <w:sz w:val="18"/>
                <w:szCs w:val="18"/>
              </w:rPr>
            </w:pPr>
            <w:r w:rsidRPr="001570EA">
              <w:rPr>
                <w:i/>
                <w:iCs/>
                <w:sz w:val="18"/>
                <w:szCs w:val="18"/>
              </w:rPr>
              <w:t>SEER2</w:t>
            </w:r>
            <w:r w:rsidRPr="001570EA">
              <w:rPr>
                <w:i/>
                <w:iCs/>
                <w:sz w:val="18"/>
                <w:szCs w:val="18"/>
                <w:vertAlign w:val="subscript"/>
              </w:rPr>
              <w:t>ee</w:t>
            </w:r>
            <w:r w:rsidRPr="001570EA">
              <w:rPr>
                <w:i/>
                <w:iCs/>
                <w:sz w:val="18"/>
                <w:szCs w:val="18"/>
              </w:rPr>
              <w:t>, SEER</w:t>
            </w:r>
            <w:r w:rsidRPr="001570EA">
              <w:rPr>
                <w:i/>
                <w:iCs/>
                <w:sz w:val="18"/>
                <w:szCs w:val="18"/>
                <w:vertAlign w:val="subscript"/>
              </w:rPr>
              <w:t>ee</w:t>
            </w:r>
            <w:r w:rsidRPr="001570EA">
              <w:rPr>
                <w:i/>
                <w:iCs/>
                <w:sz w:val="18"/>
                <w:szCs w:val="18"/>
              </w:rPr>
              <w:t xml:space="preserve"> </w:t>
            </w:r>
            <w:r w:rsidRPr="001570EA">
              <w:rPr>
                <w:rFonts w:cs="Arial"/>
                <w:sz w:val="18"/>
                <w:szCs w:val="18"/>
              </w:rPr>
              <w:t>Seasonal Energy Efficiency Ratio of the qualifying unit being installed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ADD2884" w14:textId="77777777" w:rsidR="007376E1" w:rsidRPr="001570EA" w:rsidRDefault="003B5E04">
            <w:pPr>
              <w:jc w:val="center"/>
              <w:rPr>
                <w:rFonts w:ascii="Cambria Math" w:hAnsi="Cambria Math" w:cs="Arial"/>
                <w:i/>
                <w:iCs/>
                <w:sz w:val="18"/>
                <w:szCs w:val="18"/>
              </w:rPr>
            </w:pPr>
            <m:oMathPara>
              <m:oMath>
                <m:f>
                  <m:fPr>
                    <m:ctrlPr>
                      <w:rPr>
                        <w:rFonts w:ascii="Cambria Math" w:hAnsi="Cambria Math" w:cs="Arial"/>
                        <w:sz w:val="18"/>
                        <w:szCs w:val="18"/>
                        <w:lang w:bidi="en-US"/>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5168242C" w14:textId="77777777" w:rsidR="007376E1" w:rsidRPr="001570EA" w:rsidRDefault="007376E1">
            <w:pPr>
              <w:pStyle w:val="TableCell"/>
              <w:spacing w:before="60" w:after="60"/>
              <w:jc w:val="center"/>
              <w:rPr>
                <w:szCs w:val="18"/>
                <w:lang w:bidi="en-US"/>
              </w:rPr>
            </w:pPr>
            <w:r w:rsidRPr="001570EA">
              <w:rPr>
                <w:szCs w:val="18"/>
                <w:lang w:bidi="en-US"/>
              </w:rPr>
              <w:t>Rated Value from AHRI Certificate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3408C1F" w14:textId="77777777" w:rsidR="007376E1" w:rsidRPr="001570EA" w:rsidRDefault="007376E1">
            <w:pPr>
              <w:jc w:val="center"/>
              <w:rPr>
                <w:sz w:val="18"/>
                <w:szCs w:val="18"/>
                <w:lang w:bidi="en-US"/>
              </w:rPr>
            </w:pPr>
            <w:r w:rsidRPr="001570EA">
              <w:rPr>
                <w:sz w:val="18"/>
                <w:szCs w:val="18"/>
              </w:rPr>
              <w:t>3, EDC Data Gathering</w:t>
            </w:r>
          </w:p>
        </w:tc>
      </w:tr>
      <w:tr w:rsidR="007376E1" w:rsidRPr="001570EA" w14:paraId="1A95E71B" w14:textId="77777777">
        <w:trPr>
          <w:trHeight w:val="720"/>
        </w:trPr>
        <w:tc>
          <w:tcPr>
            <w:tcW w:w="3690" w:type="dxa"/>
            <w:tcBorders>
              <w:top w:val="single" w:sz="4" w:space="0" w:color="auto"/>
              <w:left w:val="single" w:sz="4" w:space="0" w:color="auto"/>
              <w:bottom w:val="single" w:sz="4" w:space="0" w:color="auto"/>
              <w:right w:val="single" w:sz="4" w:space="0" w:color="auto"/>
            </w:tcBorders>
            <w:vAlign w:val="center"/>
            <w:hideMark/>
          </w:tcPr>
          <w:p w14:paraId="4CD2255B" w14:textId="77777777" w:rsidR="007376E1" w:rsidRPr="001570EA" w:rsidRDefault="007376E1">
            <w:pPr>
              <w:rPr>
                <w:sz w:val="18"/>
                <w:szCs w:val="18"/>
              </w:rPr>
            </w:pPr>
            <w:r w:rsidRPr="001570EA">
              <w:rPr>
                <w:i/>
                <w:iCs/>
                <w:sz w:val="18"/>
                <w:szCs w:val="18"/>
              </w:rPr>
              <w:t>EER2</w:t>
            </w:r>
            <w:r w:rsidRPr="001570EA">
              <w:rPr>
                <w:i/>
                <w:iCs/>
                <w:sz w:val="18"/>
                <w:szCs w:val="18"/>
                <w:vertAlign w:val="subscript"/>
              </w:rPr>
              <w:t>base</w:t>
            </w:r>
            <w:r w:rsidRPr="001570EA">
              <w:rPr>
                <w:i/>
                <w:iCs/>
                <w:sz w:val="18"/>
                <w:szCs w:val="18"/>
              </w:rPr>
              <w:t>, EER</w:t>
            </w:r>
            <w:r w:rsidRPr="001570EA">
              <w:rPr>
                <w:i/>
                <w:iCs/>
                <w:sz w:val="18"/>
                <w:szCs w:val="18"/>
                <w:vertAlign w:val="subscript"/>
              </w:rPr>
              <w:t>base</w:t>
            </w:r>
            <w:r w:rsidRPr="001570EA">
              <w:rPr>
                <w:i/>
                <w:iCs/>
                <w:sz w:val="18"/>
                <w:szCs w:val="18"/>
              </w:rPr>
              <w:t xml:space="preserve"> </w:t>
            </w:r>
            <w:r w:rsidRPr="001570EA">
              <w:rPr>
                <w:rFonts w:cs="Arial"/>
                <w:sz w:val="18"/>
                <w:szCs w:val="18"/>
              </w:rPr>
              <w:t>Energy Efficiency Ratio of the Baseline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4F001D4" w14:textId="77777777" w:rsidR="007376E1" w:rsidRPr="001570EA" w:rsidRDefault="003B5E04">
            <w:pPr>
              <w:jc w:val="center"/>
              <w:rPr>
                <w:rFonts w:ascii="Cambria Math" w:hAnsi="Cambria Math"/>
                <w:sz w:val="18"/>
                <w:szCs w:val="18"/>
              </w:rPr>
            </w:pPr>
            <m:oMathPara>
              <m:oMath>
                <m:f>
                  <m:fPr>
                    <m:ctrlPr>
                      <w:rPr>
                        <w:rFonts w:ascii="Cambria Math" w:hAnsi="Cambria Math" w:cs="Arial"/>
                        <w:sz w:val="18"/>
                        <w:szCs w:val="18"/>
                        <w:lang w:bidi="en-US"/>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7682FFD3" w14:textId="4E345073" w:rsidR="007376E1" w:rsidRPr="001570EA" w:rsidRDefault="007376E1">
            <w:pPr>
              <w:jc w:val="center"/>
              <w:rPr>
                <w:sz w:val="18"/>
                <w:szCs w:val="18"/>
              </w:rPr>
            </w:pPr>
            <w:r w:rsidRPr="001570EA">
              <w:rPr>
                <w:sz w:val="18"/>
                <w:szCs w:val="18"/>
              </w:rPr>
              <w:t xml:space="preserve">See </w:t>
            </w:r>
            <w:r w:rsidRPr="001570EA">
              <w:rPr>
                <w:sz w:val="18"/>
                <w:szCs w:val="18"/>
              </w:rPr>
              <w:fldChar w:fldCharType="begin"/>
            </w:r>
            <w:r w:rsidRPr="001570EA">
              <w:rPr>
                <w:sz w:val="18"/>
                <w:szCs w:val="18"/>
              </w:rPr>
              <w:instrText xml:space="preserve"> REF _Ref531779526 \h  \* MERGEFORMAT </w:instrText>
            </w:r>
            <w:r w:rsidRPr="001570EA">
              <w:rPr>
                <w:sz w:val="18"/>
                <w:szCs w:val="18"/>
              </w:rPr>
            </w:r>
            <w:r w:rsidRPr="001570EA">
              <w:rPr>
                <w:sz w:val="18"/>
                <w:szCs w:val="18"/>
              </w:rPr>
              <w:fldChar w:fldCharType="separate"/>
            </w:r>
            <w:r w:rsidR="00384D95" w:rsidRPr="001570EA">
              <w:rPr>
                <w:sz w:val="18"/>
                <w:szCs w:val="18"/>
              </w:rPr>
              <w:t>Table 2</w:t>
            </w:r>
            <w:r w:rsidR="00384D95" w:rsidRPr="001570EA">
              <w:rPr>
                <w:sz w:val="18"/>
                <w:szCs w:val="18"/>
              </w:rPr>
              <w:noBreakHyphen/>
              <w:t>10</w:t>
            </w:r>
            <w:r w:rsidRPr="001570EA">
              <w:rPr>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1A9D2B61" w14:textId="77777777" w:rsidR="007376E1" w:rsidRPr="001570EA" w:rsidRDefault="007376E1">
            <w:pPr>
              <w:jc w:val="center"/>
              <w:rPr>
                <w:sz w:val="18"/>
                <w:szCs w:val="18"/>
              </w:rPr>
            </w:pPr>
            <w:r w:rsidRPr="001570EA">
              <w:rPr>
                <w:sz w:val="18"/>
                <w:szCs w:val="18"/>
              </w:rPr>
              <w:t>5</w:t>
            </w:r>
          </w:p>
        </w:tc>
      </w:tr>
      <w:tr w:rsidR="007376E1" w:rsidRPr="001570EA" w14:paraId="02D758BC" w14:textId="77777777">
        <w:tc>
          <w:tcPr>
            <w:tcW w:w="3690" w:type="dxa"/>
            <w:tcBorders>
              <w:top w:val="single" w:sz="4" w:space="0" w:color="auto"/>
              <w:left w:val="single" w:sz="4" w:space="0" w:color="auto"/>
              <w:bottom w:val="single" w:sz="4" w:space="0" w:color="auto"/>
              <w:right w:val="single" w:sz="4" w:space="0" w:color="auto"/>
            </w:tcBorders>
            <w:vAlign w:val="center"/>
            <w:hideMark/>
          </w:tcPr>
          <w:p w14:paraId="03CFB980" w14:textId="77777777" w:rsidR="007376E1" w:rsidRPr="001570EA" w:rsidRDefault="007376E1">
            <w:pPr>
              <w:rPr>
                <w:rFonts w:cs="Arial"/>
                <w:sz w:val="18"/>
                <w:szCs w:val="18"/>
              </w:rPr>
            </w:pPr>
            <w:r w:rsidRPr="001570EA">
              <w:rPr>
                <w:i/>
                <w:iCs/>
                <w:sz w:val="18"/>
                <w:szCs w:val="18"/>
              </w:rPr>
              <w:t>EER2</w:t>
            </w:r>
            <w:r w:rsidRPr="001570EA">
              <w:rPr>
                <w:i/>
                <w:iCs/>
                <w:sz w:val="18"/>
                <w:szCs w:val="18"/>
                <w:vertAlign w:val="subscript"/>
              </w:rPr>
              <w:t>ee</w:t>
            </w:r>
            <w:r w:rsidRPr="001570EA">
              <w:rPr>
                <w:i/>
                <w:iCs/>
                <w:sz w:val="18"/>
                <w:szCs w:val="18"/>
              </w:rPr>
              <w:t>, EER</w:t>
            </w:r>
            <w:r w:rsidRPr="001570EA">
              <w:rPr>
                <w:i/>
                <w:iCs/>
                <w:sz w:val="18"/>
                <w:szCs w:val="18"/>
                <w:vertAlign w:val="subscript"/>
              </w:rPr>
              <w:t>ee</w:t>
            </w:r>
            <w:r w:rsidRPr="001570EA">
              <w:rPr>
                <w:i/>
                <w:iCs/>
                <w:sz w:val="18"/>
                <w:szCs w:val="18"/>
              </w:rPr>
              <w:t xml:space="preserve"> </w:t>
            </w:r>
            <w:r w:rsidRPr="001570EA">
              <w:rPr>
                <w:rFonts w:cs="Arial"/>
                <w:sz w:val="18"/>
                <w:szCs w:val="18"/>
              </w:rPr>
              <w:t>Energy Efficiency Ratio of the unit being installed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0C09F0" w14:textId="77777777" w:rsidR="007376E1" w:rsidRPr="001570EA" w:rsidRDefault="003B5E04">
            <w:pPr>
              <w:jc w:val="center"/>
              <w:rPr>
                <w:rFonts w:ascii="Cambria Math" w:hAnsi="Cambria Math" w:cstheme="minorBidi"/>
                <w:sz w:val="18"/>
                <w:szCs w:val="18"/>
              </w:rPr>
            </w:pPr>
            <m:oMathPara>
              <m:oMath>
                <m:f>
                  <m:fPr>
                    <m:ctrlPr>
                      <w:rPr>
                        <w:rFonts w:ascii="Cambria Math" w:hAnsi="Cambria Math" w:cs="Arial"/>
                        <w:sz w:val="18"/>
                        <w:szCs w:val="18"/>
                        <w:lang w:bidi="en-US"/>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0FE61D00" w14:textId="77777777" w:rsidR="007376E1" w:rsidRPr="001570EA" w:rsidRDefault="007376E1">
            <w:pPr>
              <w:pStyle w:val="TableCell"/>
              <w:spacing w:before="60" w:after="60"/>
              <w:jc w:val="center"/>
              <w:rPr>
                <w:szCs w:val="18"/>
                <w:lang w:bidi="en-US"/>
              </w:rPr>
            </w:pPr>
            <w:r w:rsidRPr="001570EA">
              <w:rPr>
                <w:szCs w:val="18"/>
                <w:lang w:bidi="en-US"/>
              </w:rPr>
              <w:t xml:space="preserve">Rated Value from AHRI Certificate. At </w:t>
            </w:r>
          </w:p>
          <w:p w14:paraId="09F33031" w14:textId="77777777" w:rsidR="007376E1" w:rsidRPr="001570EA" w:rsidRDefault="007376E1" w:rsidP="002614D2">
            <w:pPr>
              <w:pStyle w:val="TableCell"/>
              <w:numPr>
                <w:ilvl w:val="0"/>
                <w:numId w:val="46"/>
              </w:numPr>
              <w:spacing w:before="60" w:after="60"/>
              <w:jc w:val="center"/>
              <w:textAlignment w:val="auto"/>
              <w:rPr>
                <w:szCs w:val="18"/>
                <w:lang w:bidi="en-US"/>
              </w:rPr>
            </w:pPr>
            <w:r w:rsidRPr="001570EA">
              <w:rPr>
                <w:b/>
                <w:szCs w:val="18"/>
                <w:lang w:bidi="en-US"/>
              </w:rPr>
              <w:t>CAC, ASHP, ccHP</w:t>
            </w:r>
            <w:r w:rsidRPr="001570EA">
              <w:rPr>
                <w:szCs w:val="18"/>
                <w:lang w:bidi="en-US"/>
              </w:rPr>
              <w:t xml:space="preserve">: </w:t>
            </w:r>
            <w:r w:rsidRPr="001570EA">
              <w:rPr>
                <w:iCs/>
                <w:szCs w:val="18"/>
                <w:lang w:bidi="en-US"/>
              </w:rPr>
              <w:t xml:space="preserve">EER </w:t>
            </w:r>
            <w:r w:rsidRPr="001570EA">
              <w:rPr>
                <w:szCs w:val="18"/>
                <w:lang w:bidi="en-US"/>
              </w:rPr>
              <w:t xml:space="preserve">at 95 degrees (F) </w:t>
            </w:r>
          </w:p>
          <w:p w14:paraId="518C7B33" w14:textId="77777777" w:rsidR="007376E1" w:rsidRPr="001570EA" w:rsidRDefault="007376E1" w:rsidP="002614D2">
            <w:pPr>
              <w:pStyle w:val="TableCell"/>
              <w:keepNext w:val="0"/>
              <w:numPr>
                <w:ilvl w:val="0"/>
                <w:numId w:val="46"/>
              </w:numPr>
              <w:spacing w:before="60" w:after="60"/>
              <w:jc w:val="center"/>
              <w:textAlignment w:val="auto"/>
              <w:rPr>
                <w:szCs w:val="18"/>
                <w:lang w:bidi="en-US"/>
              </w:rPr>
            </w:pPr>
            <w:r w:rsidRPr="001570EA">
              <w:rPr>
                <w:b/>
                <w:szCs w:val="18"/>
                <w:lang w:bidi="en-US"/>
              </w:rPr>
              <w:t>PTAC, PTHP</w:t>
            </w:r>
            <w:r w:rsidRPr="001570EA">
              <w:rPr>
                <w:szCs w:val="18"/>
                <w:lang w:bidi="en-US"/>
              </w:rPr>
              <w:t xml:space="preserve">: </w:t>
            </w:r>
            <w:r w:rsidRPr="001570EA">
              <w:rPr>
                <w:iCs/>
                <w:szCs w:val="18"/>
                <w:lang w:bidi="en-US"/>
              </w:rPr>
              <w:t>EER at 230V if dual voltage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55F4499" w14:textId="77777777" w:rsidR="007376E1" w:rsidRPr="001570EA" w:rsidRDefault="007376E1">
            <w:pPr>
              <w:jc w:val="center"/>
              <w:rPr>
                <w:sz w:val="18"/>
                <w:szCs w:val="18"/>
                <w:lang w:bidi="en-US"/>
              </w:rPr>
            </w:pPr>
            <w:r w:rsidRPr="001570EA">
              <w:rPr>
                <w:sz w:val="18"/>
                <w:szCs w:val="18"/>
              </w:rPr>
              <w:t>3; EDC Data Gathering</w:t>
            </w:r>
          </w:p>
        </w:tc>
      </w:tr>
      <w:tr w:rsidR="007376E1" w:rsidRPr="001570EA" w14:paraId="5A6282BD" w14:textId="77777777">
        <w:trPr>
          <w:trHeight w:val="650"/>
        </w:trPr>
        <w:tc>
          <w:tcPr>
            <w:tcW w:w="3690" w:type="dxa"/>
            <w:tcBorders>
              <w:top w:val="single" w:sz="4" w:space="0" w:color="auto"/>
              <w:left w:val="single" w:sz="4" w:space="0" w:color="auto"/>
              <w:bottom w:val="single" w:sz="4" w:space="0" w:color="000000" w:themeColor="text1"/>
              <w:right w:val="single" w:sz="4" w:space="0" w:color="auto"/>
            </w:tcBorders>
            <w:vAlign w:val="center"/>
            <w:hideMark/>
          </w:tcPr>
          <w:p w14:paraId="1A73CBC9" w14:textId="77777777" w:rsidR="007376E1" w:rsidRPr="001570EA" w:rsidRDefault="007376E1">
            <w:pPr>
              <w:rPr>
                <w:i/>
                <w:iCs/>
                <w:sz w:val="18"/>
                <w:szCs w:val="18"/>
              </w:rPr>
            </w:pPr>
            <w:r w:rsidRPr="001570EA">
              <w:rPr>
                <w:i/>
                <w:iCs/>
                <w:sz w:val="18"/>
                <w:szCs w:val="18"/>
              </w:rPr>
              <w:t>HSPF2</w:t>
            </w:r>
            <w:r w:rsidRPr="001570EA">
              <w:rPr>
                <w:i/>
                <w:iCs/>
                <w:sz w:val="18"/>
                <w:szCs w:val="18"/>
                <w:vertAlign w:val="subscript"/>
              </w:rPr>
              <w:t>base</w:t>
            </w:r>
            <w:r w:rsidRPr="001570EA">
              <w:rPr>
                <w:i/>
                <w:iCs/>
                <w:sz w:val="18"/>
                <w:szCs w:val="18"/>
              </w:rPr>
              <w:t>, HSPF</w:t>
            </w:r>
            <w:r w:rsidRPr="001570EA">
              <w:rPr>
                <w:i/>
                <w:iCs/>
                <w:sz w:val="18"/>
                <w:szCs w:val="18"/>
                <w:vertAlign w:val="subscript"/>
              </w:rPr>
              <w:t>base</w:t>
            </w:r>
            <w:r w:rsidRPr="001570EA">
              <w:rPr>
                <w:i/>
                <w:iCs/>
                <w:sz w:val="18"/>
                <w:szCs w:val="18"/>
              </w:rPr>
              <w:t xml:space="preserve"> </w:t>
            </w:r>
            <w:r w:rsidRPr="001570EA">
              <w:rPr>
                <w:rFonts w:cs="Arial"/>
                <w:sz w:val="18"/>
                <w:szCs w:val="18"/>
              </w:rPr>
              <w:t>Heating Seasonal Performance Factor of the Baseline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75DAD4B" w14:textId="77777777" w:rsidR="007376E1" w:rsidRPr="001570EA" w:rsidRDefault="003B5E04">
            <w:pPr>
              <w:jc w:val="center"/>
              <w:rPr>
                <w:rFonts w:ascii="Cambria Math" w:hAnsi="Cambria Math" w:cs="Arial"/>
                <w:i/>
                <w:iCs/>
                <w:sz w:val="18"/>
                <w:szCs w:val="18"/>
              </w:rPr>
            </w:pPr>
            <m:oMathPara>
              <m:oMath>
                <m:f>
                  <m:fPr>
                    <m:ctrlPr>
                      <w:rPr>
                        <w:rFonts w:ascii="Cambria Math" w:hAnsi="Cambria Math" w:cs="Arial"/>
                        <w:sz w:val="18"/>
                        <w:szCs w:val="18"/>
                        <w:lang w:bidi="en-US"/>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0FCE0DD6" w14:textId="4A210FFA" w:rsidR="007376E1" w:rsidRPr="001570EA" w:rsidRDefault="007376E1">
            <w:pPr>
              <w:pStyle w:val="TableCell"/>
              <w:spacing w:before="60" w:after="60"/>
              <w:jc w:val="center"/>
              <w:rPr>
                <w:szCs w:val="18"/>
                <w:lang w:bidi="en-US"/>
              </w:rPr>
            </w:pPr>
            <w:r w:rsidRPr="001570EA">
              <w:rPr>
                <w:szCs w:val="18"/>
                <w:lang w:bidi="en-US"/>
              </w:rPr>
              <w:t xml:space="preserve">See </w:t>
            </w:r>
            <w:r w:rsidRPr="001570EA">
              <w:rPr>
                <w:szCs w:val="18"/>
                <w:lang w:bidi="en-US"/>
              </w:rPr>
              <w:fldChar w:fldCharType="begin"/>
            </w:r>
            <w:r w:rsidRPr="001570EA">
              <w:rPr>
                <w:szCs w:val="18"/>
                <w:lang w:bidi="en-US"/>
              </w:rPr>
              <w:instrText xml:space="preserve"> REF _Ref531779526 \h  \* MERGEFORMAT </w:instrText>
            </w:r>
            <w:r w:rsidRPr="001570EA">
              <w:rPr>
                <w:szCs w:val="18"/>
                <w:lang w:bidi="en-US"/>
              </w:rPr>
            </w:r>
            <w:r w:rsidRPr="001570EA">
              <w:rPr>
                <w:szCs w:val="18"/>
                <w:lang w:bidi="en-US"/>
              </w:rPr>
              <w:fldChar w:fldCharType="separate"/>
            </w:r>
            <w:r w:rsidR="00384D95" w:rsidRPr="001570EA">
              <w:rPr>
                <w:szCs w:val="18"/>
                <w:lang w:bidi="en-US"/>
              </w:rPr>
              <w:t>Table 2</w:t>
            </w:r>
            <w:r w:rsidR="00384D95" w:rsidRPr="001570EA">
              <w:rPr>
                <w:szCs w:val="18"/>
                <w:lang w:bidi="en-US"/>
              </w:rPr>
              <w:noBreakHyphen/>
              <w:t>10</w:t>
            </w:r>
            <w:r w:rsidRPr="001570EA">
              <w:rPr>
                <w:szCs w:val="18"/>
                <w:lang w:bidi="en-US"/>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6EF57A52" w14:textId="77777777" w:rsidR="007376E1" w:rsidRPr="001570EA" w:rsidRDefault="007376E1">
            <w:pPr>
              <w:jc w:val="center"/>
              <w:rPr>
                <w:sz w:val="18"/>
                <w:szCs w:val="18"/>
                <w:lang w:bidi="en-US"/>
              </w:rPr>
            </w:pPr>
            <w:r w:rsidRPr="001570EA">
              <w:rPr>
                <w:sz w:val="18"/>
                <w:szCs w:val="18"/>
              </w:rPr>
              <w:t>4</w:t>
            </w:r>
          </w:p>
        </w:tc>
      </w:tr>
      <w:tr w:rsidR="007376E1" w:rsidRPr="001570EA" w14:paraId="387C826C" w14:textId="77777777">
        <w:trPr>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103E7CAE" w14:textId="77777777" w:rsidR="007376E1" w:rsidRPr="001570EA" w:rsidRDefault="007376E1">
            <w:pPr>
              <w:rPr>
                <w:i/>
                <w:iCs/>
                <w:sz w:val="18"/>
                <w:szCs w:val="18"/>
              </w:rPr>
            </w:pPr>
            <w:r w:rsidRPr="001570EA">
              <w:rPr>
                <w:i/>
                <w:iCs/>
                <w:sz w:val="18"/>
                <w:szCs w:val="18"/>
              </w:rPr>
              <w:t>HSPF2</w:t>
            </w:r>
            <w:r w:rsidRPr="001570EA">
              <w:rPr>
                <w:i/>
                <w:iCs/>
                <w:sz w:val="18"/>
                <w:szCs w:val="18"/>
                <w:vertAlign w:val="subscript"/>
              </w:rPr>
              <w:t>ee</w:t>
            </w:r>
            <w:r w:rsidRPr="001570EA">
              <w:rPr>
                <w:sz w:val="18"/>
                <w:szCs w:val="18"/>
                <w:vertAlign w:val="subscript"/>
              </w:rPr>
              <w:t>,</w:t>
            </w:r>
            <w:r w:rsidRPr="001570EA">
              <w:rPr>
                <w:i/>
                <w:iCs/>
                <w:sz w:val="18"/>
                <w:szCs w:val="18"/>
              </w:rPr>
              <w:t xml:space="preserve"> HSPF</w:t>
            </w:r>
            <w:r w:rsidRPr="001570EA">
              <w:rPr>
                <w:i/>
                <w:iCs/>
                <w:sz w:val="18"/>
                <w:szCs w:val="18"/>
                <w:vertAlign w:val="subscript"/>
              </w:rPr>
              <w:t>ee</w:t>
            </w:r>
            <w:r w:rsidRPr="001570EA">
              <w:rPr>
                <w:sz w:val="18"/>
                <w:szCs w:val="18"/>
                <w:vertAlign w:val="subscript"/>
              </w:rPr>
              <w:t xml:space="preserve"> </w:t>
            </w:r>
            <w:r w:rsidRPr="001570EA">
              <w:rPr>
                <w:rFonts w:cs="Arial"/>
                <w:sz w:val="18"/>
                <w:szCs w:val="18"/>
              </w:rPr>
              <w:t>Heating Seasonal Performance Factor of the unit being installed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841E7E4" w14:textId="77777777" w:rsidR="007376E1" w:rsidRPr="001570EA" w:rsidRDefault="003B5E04">
            <w:pPr>
              <w:jc w:val="center"/>
              <w:rPr>
                <w:rFonts w:ascii="Cambria Math" w:hAnsi="Cambria Math"/>
                <w:sz w:val="18"/>
                <w:szCs w:val="18"/>
              </w:rPr>
            </w:pPr>
            <m:oMathPara>
              <m:oMath>
                <m:f>
                  <m:fPr>
                    <m:ctrlPr>
                      <w:rPr>
                        <w:rFonts w:ascii="Cambria Math" w:hAnsi="Cambria Math" w:cs="Arial"/>
                        <w:sz w:val="18"/>
                        <w:szCs w:val="18"/>
                        <w:lang w:bidi="en-US"/>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2369F703" w14:textId="77777777" w:rsidR="007376E1" w:rsidRPr="001570EA" w:rsidRDefault="007376E1">
            <w:pPr>
              <w:pStyle w:val="TableCell"/>
              <w:keepNext w:val="0"/>
              <w:spacing w:before="60" w:after="60"/>
              <w:jc w:val="center"/>
              <w:rPr>
                <w:szCs w:val="18"/>
                <w:lang w:bidi="en-US"/>
              </w:rPr>
            </w:pPr>
            <w:r w:rsidRPr="001570EA">
              <w:rPr>
                <w:szCs w:val="18"/>
                <w:lang w:bidi="en-US"/>
              </w:rPr>
              <w:t>Rated Value from AHRI Certificate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335F81F" w14:textId="77777777" w:rsidR="007376E1" w:rsidRPr="001570EA" w:rsidRDefault="007376E1">
            <w:pPr>
              <w:jc w:val="center"/>
              <w:rPr>
                <w:sz w:val="18"/>
                <w:szCs w:val="18"/>
                <w:lang w:bidi="en-US"/>
              </w:rPr>
            </w:pPr>
            <w:r w:rsidRPr="001570EA">
              <w:rPr>
                <w:sz w:val="18"/>
                <w:szCs w:val="18"/>
              </w:rPr>
              <w:t>3, EDC Data Gathering</w:t>
            </w:r>
          </w:p>
        </w:tc>
      </w:tr>
      <w:tr w:rsidR="007376E1" w:rsidRPr="001570EA" w14:paraId="6716CDF8" w14:textId="77777777">
        <w:trPr>
          <w:trHeight w:val="828"/>
        </w:trPr>
        <w:tc>
          <w:tcPr>
            <w:tcW w:w="3690" w:type="dxa"/>
            <w:tcBorders>
              <w:top w:val="single" w:sz="4" w:space="0" w:color="auto"/>
              <w:left w:val="single" w:sz="4" w:space="0" w:color="auto"/>
              <w:bottom w:val="single" w:sz="4" w:space="0" w:color="auto"/>
              <w:right w:val="single" w:sz="4" w:space="0" w:color="auto"/>
            </w:tcBorders>
            <w:vAlign w:val="center"/>
            <w:hideMark/>
          </w:tcPr>
          <w:p w14:paraId="1BA435D0" w14:textId="144324F0" w:rsidR="007376E1" w:rsidRPr="001570EA" w:rsidRDefault="007376E1">
            <w:pPr>
              <w:rPr>
                <w:sz w:val="18"/>
                <w:szCs w:val="18"/>
              </w:rPr>
            </w:pPr>
            <w:r w:rsidRPr="001570EA">
              <w:rPr>
                <w:i/>
                <w:iCs/>
                <w:sz w:val="18"/>
                <w:szCs w:val="18"/>
              </w:rPr>
              <w:t>COP</w:t>
            </w:r>
            <w:r w:rsidRPr="001570EA">
              <w:rPr>
                <w:i/>
                <w:iCs/>
                <w:sz w:val="18"/>
                <w:szCs w:val="18"/>
                <w:vertAlign w:val="subscript"/>
              </w:rPr>
              <w:t>ee</w:t>
            </w:r>
            <w:r w:rsidRPr="001570EA">
              <w:rPr>
                <w:i/>
                <w:iCs/>
                <w:sz w:val="18"/>
                <w:szCs w:val="18"/>
              </w:rPr>
              <w:t xml:space="preserve">, </w:t>
            </w:r>
            <w:r w:rsidRPr="001570EA">
              <w:rPr>
                <w:rFonts w:cs="Arial"/>
                <w:sz w:val="18"/>
                <w:szCs w:val="18"/>
              </w:rPr>
              <w:t>Coefficient of Performance of the unit being installed. This is a measure of the efficiency of a PTHP</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B13878" w14:textId="77777777" w:rsidR="007376E1" w:rsidRPr="001570EA" w:rsidRDefault="007376E1">
            <w:pPr>
              <w:jc w:val="center"/>
              <w:rPr>
                <w:sz w:val="18"/>
                <w:szCs w:val="18"/>
              </w:rPr>
            </w:pPr>
            <w:r w:rsidRPr="001570EA">
              <w:rPr>
                <w:i/>
                <w:iCs/>
                <w:sz w:val="18"/>
                <w:szCs w:val="18"/>
              </w:rPr>
              <w:t>Proportion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AD00724" w14:textId="77777777" w:rsidR="007376E1" w:rsidRPr="001570EA" w:rsidRDefault="007376E1">
            <w:pPr>
              <w:jc w:val="center"/>
              <w:rPr>
                <w:sz w:val="18"/>
                <w:szCs w:val="18"/>
              </w:rPr>
            </w:pPr>
            <w:r w:rsidRPr="001570EA">
              <w:rPr>
                <w:sz w:val="18"/>
                <w:szCs w:val="18"/>
              </w:rPr>
              <w:t>Rated Value from AHRI Certificate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9AEEF16" w14:textId="77777777" w:rsidR="007376E1" w:rsidRPr="001570EA" w:rsidRDefault="007376E1">
            <w:pPr>
              <w:jc w:val="center"/>
              <w:rPr>
                <w:sz w:val="18"/>
                <w:szCs w:val="18"/>
              </w:rPr>
            </w:pPr>
            <w:r w:rsidRPr="001570EA">
              <w:rPr>
                <w:sz w:val="18"/>
                <w:szCs w:val="18"/>
              </w:rPr>
              <w:t>3, EDC Data Gathering</w:t>
            </w:r>
          </w:p>
        </w:tc>
      </w:tr>
      <w:tr w:rsidR="007376E1" w:rsidRPr="001570EA" w14:paraId="0BEBA99B" w14:textId="77777777">
        <w:trPr>
          <w:trHeight w:val="104"/>
        </w:trPr>
        <w:tc>
          <w:tcPr>
            <w:tcW w:w="3690" w:type="dxa"/>
            <w:tcBorders>
              <w:top w:val="single" w:sz="4" w:space="0" w:color="auto"/>
              <w:left w:val="single" w:sz="4" w:space="0" w:color="auto"/>
              <w:bottom w:val="single" w:sz="4" w:space="0" w:color="auto"/>
              <w:right w:val="single" w:sz="4" w:space="0" w:color="auto"/>
            </w:tcBorders>
            <w:vAlign w:val="center"/>
            <w:hideMark/>
          </w:tcPr>
          <w:p w14:paraId="70E89F06" w14:textId="6EECCA59" w:rsidR="007376E1" w:rsidRPr="001570EA" w:rsidRDefault="007376E1">
            <w:pPr>
              <w:rPr>
                <w:sz w:val="18"/>
                <w:szCs w:val="18"/>
              </w:rPr>
            </w:pPr>
            <w:r w:rsidRPr="001570EA">
              <w:rPr>
                <w:i/>
                <w:iCs/>
                <w:sz w:val="18"/>
                <w:szCs w:val="18"/>
              </w:rPr>
              <w:t>EFLH</w:t>
            </w:r>
            <w:r w:rsidRPr="001570EA">
              <w:rPr>
                <w:i/>
                <w:iCs/>
                <w:sz w:val="18"/>
                <w:szCs w:val="18"/>
                <w:vertAlign w:val="subscript"/>
              </w:rPr>
              <w:t>cool</w:t>
            </w:r>
            <w:r w:rsidRPr="001570EA">
              <w:rPr>
                <w:sz w:val="18"/>
                <w:szCs w:val="18"/>
              </w:rPr>
              <w:t xml:space="preserve">, </w:t>
            </w:r>
            <w:r w:rsidRPr="001570EA">
              <w:rPr>
                <w:rFonts w:cs="Arial"/>
                <w:sz w:val="18"/>
                <w:szCs w:val="18"/>
              </w:rPr>
              <w:t>Equivalent Full Load Hours of operation during the cooling season for the average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72993A8" w14:textId="77777777" w:rsidR="007376E1" w:rsidRPr="001570EA" w:rsidRDefault="003B5E04">
            <w:pPr>
              <w:jc w:val="center"/>
              <w:rPr>
                <w:rFonts w:ascii="Cambria Math" w:hAnsi="Cambria Math"/>
                <w:sz w:val="18"/>
                <w:szCs w:val="18"/>
              </w:rPr>
            </w:pPr>
            <m:oMathPara>
              <m:oMath>
                <m:f>
                  <m:fPr>
                    <m:ctrlPr>
                      <w:rPr>
                        <w:rFonts w:ascii="Cambria Math" w:hAnsi="Cambria Math" w:cstheme="minorBidi"/>
                        <w:i/>
                        <w:sz w:val="18"/>
                        <w:szCs w:val="18"/>
                        <w:lang w:bidi="en-US"/>
                      </w:rPr>
                    </m:ctrlPr>
                  </m:fPr>
                  <m:num>
                    <m:r>
                      <w:rPr>
                        <w:rFonts w:ascii="Cambria Math" w:hAnsi="Cambria Math"/>
                        <w:sz w:val="18"/>
                        <w:szCs w:val="18"/>
                      </w:rPr>
                      <m:t>hours</m:t>
                    </m:r>
                  </m:num>
                  <m:den>
                    <m:r>
                      <w:rPr>
                        <w:rFonts w:ascii="Cambria Math" w:hAnsi="Cambria Math"/>
                        <w:sz w:val="18"/>
                        <w:szCs w:val="18"/>
                      </w:rPr>
                      <m:t>yr</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01124BDB" w14:textId="5E9CA161" w:rsidR="007376E1" w:rsidRPr="001570EA" w:rsidRDefault="007376E1">
            <w:pPr>
              <w:ind w:left="51" w:firstLine="3"/>
              <w:jc w:val="center"/>
              <w:rPr>
                <w:sz w:val="18"/>
                <w:szCs w:val="18"/>
              </w:rPr>
            </w:pPr>
            <w:r w:rsidRPr="001570EA">
              <w:rPr>
                <w:sz w:val="18"/>
                <w:szCs w:val="18"/>
              </w:rPr>
              <w:t xml:space="preserve">See </w:t>
            </w:r>
            <w:r w:rsidR="0095003B" w:rsidRPr="001570EA">
              <w:rPr>
                <w:sz w:val="18"/>
                <w:szCs w:val="18"/>
              </w:rPr>
              <w:fldChar w:fldCharType="begin"/>
            </w:r>
            <w:r w:rsidR="0095003B" w:rsidRPr="001570EA">
              <w:rPr>
                <w:sz w:val="18"/>
                <w:szCs w:val="18"/>
              </w:rPr>
              <w:instrText xml:space="preserve"> REF _Ref163903698 \h </w:instrText>
            </w:r>
            <w:r w:rsidR="001570EA">
              <w:rPr>
                <w:sz w:val="18"/>
                <w:szCs w:val="18"/>
              </w:rPr>
              <w:instrText xml:space="preserve"> \* MERGEFORMAT </w:instrText>
            </w:r>
            <w:r w:rsidR="0095003B" w:rsidRPr="001570EA">
              <w:rPr>
                <w:sz w:val="18"/>
                <w:szCs w:val="18"/>
              </w:rPr>
            </w:r>
            <w:r w:rsidR="0095003B" w:rsidRPr="001570EA">
              <w:rPr>
                <w:sz w:val="18"/>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15</w:t>
            </w:r>
            <w:r w:rsidR="0095003B" w:rsidRPr="001570EA">
              <w:rPr>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35F4D066" w14:textId="77777777" w:rsidR="007376E1" w:rsidRPr="001570EA" w:rsidRDefault="007376E1">
            <w:pPr>
              <w:jc w:val="center"/>
              <w:rPr>
                <w:sz w:val="18"/>
                <w:szCs w:val="18"/>
              </w:rPr>
            </w:pPr>
            <w:r w:rsidRPr="001570EA">
              <w:rPr>
                <w:sz w:val="18"/>
                <w:szCs w:val="18"/>
              </w:rPr>
              <w:t>6</w:t>
            </w:r>
          </w:p>
        </w:tc>
      </w:tr>
      <w:tr w:rsidR="007376E1" w:rsidRPr="001570EA" w14:paraId="7BBBE1D8" w14:textId="77777777">
        <w:trPr>
          <w:trHeight w:val="104"/>
        </w:trPr>
        <w:tc>
          <w:tcPr>
            <w:tcW w:w="3690" w:type="dxa"/>
            <w:tcBorders>
              <w:top w:val="single" w:sz="4" w:space="0" w:color="auto"/>
              <w:left w:val="single" w:sz="4" w:space="0" w:color="auto"/>
              <w:bottom w:val="single" w:sz="4" w:space="0" w:color="auto"/>
              <w:right w:val="single" w:sz="4" w:space="0" w:color="auto"/>
            </w:tcBorders>
            <w:vAlign w:val="center"/>
            <w:hideMark/>
          </w:tcPr>
          <w:p w14:paraId="6AD6685D" w14:textId="0D1BBD42" w:rsidR="007376E1" w:rsidRPr="001570EA" w:rsidRDefault="007376E1">
            <w:pPr>
              <w:rPr>
                <w:sz w:val="18"/>
                <w:szCs w:val="18"/>
              </w:rPr>
            </w:pPr>
            <w:r w:rsidRPr="001570EA">
              <w:rPr>
                <w:i/>
                <w:iCs/>
                <w:sz w:val="18"/>
                <w:szCs w:val="18"/>
              </w:rPr>
              <w:t>EFLH</w:t>
            </w:r>
            <w:r w:rsidRPr="001570EA">
              <w:rPr>
                <w:i/>
                <w:iCs/>
                <w:sz w:val="18"/>
                <w:szCs w:val="18"/>
                <w:vertAlign w:val="subscript"/>
              </w:rPr>
              <w:t>heat</w:t>
            </w:r>
            <w:r w:rsidRPr="001570EA">
              <w:rPr>
                <w:sz w:val="18"/>
                <w:szCs w:val="18"/>
                <w:vertAlign w:val="subscript"/>
              </w:rPr>
              <w:t xml:space="preserve">, </w:t>
            </w:r>
            <w:r w:rsidRPr="001570EA">
              <w:rPr>
                <w:rFonts w:cs="Arial"/>
                <w:sz w:val="18"/>
                <w:szCs w:val="18"/>
              </w:rPr>
              <w:t>Equivalent Full Load Hours of operation during the heating season for the average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E6E9572" w14:textId="77777777" w:rsidR="007376E1" w:rsidRPr="001570EA" w:rsidRDefault="003B5E04">
            <w:pPr>
              <w:jc w:val="center"/>
              <w:rPr>
                <w:rFonts w:ascii="Cambria Math" w:hAnsi="Cambria Math"/>
                <w:sz w:val="18"/>
                <w:szCs w:val="18"/>
              </w:rPr>
            </w:pPr>
            <m:oMathPara>
              <m:oMath>
                <m:f>
                  <m:fPr>
                    <m:ctrlPr>
                      <w:rPr>
                        <w:rFonts w:ascii="Cambria Math" w:hAnsi="Cambria Math" w:cstheme="minorBidi"/>
                        <w:i/>
                        <w:sz w:val="18"/>
                        <w:szCs w:val="18"/>
                        <w:lang w:bidi="en-US"/>
                      </w:rPr>
                    </m:ctrlPr>
                  </m:fPr>
                  <m:num>
                    <m:r>
                      <w:rPr>
                        <w:rFonts w:ascii="Cambria Math" w:hAnsi="Cambria Math"/>
                        <w:sz w:val="18"/>
                        <w:szCs w:val="18"/>
                      </w:rPr>
                      <m:t>hours</m:t>
                    </m:r>
                  </m:num>
                  <m:den>
                    <m:r>
                      <w:rPr>
                        <w:rFonts w:ascii="Cambria Math" w:hAnsi="Cambria Math"/>
                        <w:sz w:val="18"/>
                        <w:szCs w:val="18"/>
                      </w:rPr>
                      <m:t>yr</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3368125A" w14:textId="39E7E71F" w:rsidR="007376E1" w:rsidRPr="001570EA" w:rsidRDefault="007376E1">
            <w:pPr>
              <w:ind w:firstLine="54"/>
              <w:jc w:val="center"/>
              <w:rPr>
                <w:sz w:val="18"/>
                <w:szCs w:val="18"/>
              </w:rPr>
            </w:pPr>
            <w:r w:rsidRPr="001570EA">
              <w:rPr>
                <w:sz w:val="18"/>
                <w:szCs w:val="18"/>
              </w:rPr>
              <w:t xml:space="preserve">See </w:t>
            </w:r>
            <w:r w:rsidR="0095003B" w:rsidRPr="001570EA">
              <w:rPr>
                <w:sz w:val="18"/>
                <w:szCs w:val="18"/>
              </w:rPr>
              <w:fldChar w:fldCharType="begin"/>
            </w:r>
            <w:r w:rsidR="0095003B" w:rsidRPr="001570EA">
              <w:rPr>
                <w:sz w:val="18"/>
                <w:szCs w:val="18"/>
              </w:rPr>
              <w:instrText xml:space="preserve"> REF _Ref163903698 \h </w:instrText>
            </w:r>
            <w:r w:rsidR="001570EA">
              <w:rPr>
                <w:sz w:val="18"/>
                <w:szCs w:val="18"/>
              </w:rPr>
              <w:instrText xml:space="preserve"> \* MERGEFORMAT </w:instrText>
            </w:r>
            <w:r w:rsidR="0095003B" w:rsidRPr="001570EA">
              <w:rPr>
                <w:sz w:val="18"/>
                <w:szCs w:val="18"/>
              </w:rPr>
            </w:r>
            <w:r w:rsidR="0095003B" w:rsidRPr="001570EA">
              <w:rPr>
                <w:sz w:val="18"/>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15</w:t>
            </w:r>
            <w:r w:rsidR="0095003B" w:rsidRPr="001570EA">
              <w:rPr>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3A94DBAA" w14:textId="77777777" w:rsidR="007376E1" w:rsidRPr="001570EA" w:rsidRDefault="007376E1">
            <w:pPr>
              <w:jc w:val="center"/>
              <w:rPr>
                <w:sz w:val="18"/>
                <w:szCs w:val="18"/>
              </w:rPr>
            </w:pPr>
            <w:r w:rsidRPr="001570EA">
              <w:rPr>
                <w:sz w:val="18"/>
                <w:szCs w:val="18"/>
              </w:rPr>
              <w:t>6</w:t>
            </w:r>
          </w:p>
        </w:tc>
      </w:tr>
      <w:tr w:rsidR="007376E1" w:rsidRPr="001570EA" w14:paraId="5BFDC558" w14:textId="77777777">
        <w:trPr>
          <w:trHeight w:val="621"/>
        </w:trPr>
        <w:tc>
          <w:tcPr>
            <w:tcW w:w="3690" w:type="dxa"/>
            <w:tcBorders>
              <w:top w:val="single" w:sz="4" w:space="0" w:color="auto"/>
              <w:left w:val="single" w:sz="4" w:space="0" w:color="auto"/>
              <w:bottom w:val="single" w:sz="4" w:space="0" w:color="auto"/>
              <w:right w:val="single" w:sz="4" w:space="0" w:color="auto"/>
            </w:tcBorders>
            <w:vAlign w:val="center"/>
            <w:hideMark/>
          </w:tcPr>
          <w:p w14:paraId="71D41A8B" w14:textId="7C384971" w:rsidR="007376E1" w:rsidRPr="001570EA" w:rsidRDefault="003B5E04">
            <w:pPr>
              <w:rPr>
                <w:sz w:val="18"/>
                <w:szCs w:val="18"/>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r w:rsidR="007376E1" w:rsidRPr="001570EA">
              <w:rPr>
                <w:sz w:val="18"/>
                <w:szCs w:val="18"/>
              </w:rPr>
              <w:t>, Demand Coincidence Factor during the summer months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0B4918" w14:textId="77777777" w:rsidR="007376E1" w:rsidRPr="001570EA" w:rsidRDefault="007376E1">
            <w:pPr>
              <w:jc w:val="center"/>
              <w:rPr>
                <w:sz w:val="18"/>
                <w:szCs w:val="18"/>
              </w:rPr>
            </w:pPr>
            <w:r w:rsidRPr="001570EA">
              <w:rPr>
                <w:i/>
                <w:iCs/>
                <w:sz w:val="18"/>
                <w:szCs w:val="18"/>
              </w:rPr>
              <w:t>Proportion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9000EA2" w14:textId="109A64C9" w:rsidR="007376E1" w:rsidRPr="001570EA" w:rsidRDefault="007376E1">
            <w:pPr>
              <w:jc w:val="center"/>
              <w:rPr>
                <w:sz w:val="18"/>
                <w:szCs w:val="18"/>
              </w:rPr>
            </w:pPr>
            <w:r w:rsidRPr="001570EA">
              <w:rPr>
                <w:sz w:val="18"/>
                <w:szCs w:val="18"/>
              </w:rPr>
              <w:t xml:space="preserve">See </w:t>
            </w:r>
            <w:r w:rsidR="0095003B" w:rsidRPr="001570EA">
              <w:rPr>
                <w:sz w:val="18"/>
                <w:szCs w:val="18"/>
              </w:rPr>
              <w:fldChar w:fldCharType="begin"/>
            </w:r>
            <w:r w:rsidR="0095003B" w:rsidRPr="001570EA">
              <w:rPr>
                <w:sz w:val="18"/>
                <w:szCs w:val="18"/>
              </w:rPr>
              <w:instrText xml:space="preserve"> REF _Ref163903698 \h </w:instrText>
            </w:r>
            <w:r w:rsidR="001570EA">
              <w:rPr>
                <w:sz w:val="18"/>
                <w:szCs w:val="18"/>
              </w:rPr>
              <w:instrText xml:space="preserve"> \* MERGEFORMAT </w:instrText>
            </w:r>
            <w:r w:rsidR="0095003B" w:rsidRPr="001570EA">
              <w:rPr>
                <w:sz w:val="18"/>
                <w:szCs w:val="18"/>
              </w:rPr>
            </w:r>
            <w:r w:rsidR="0095003B" w:rsidRPr="001570EA">
              <w:rPr>
                <w:sz w:val="18"/>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15</w:t>
            </w:r>
            <w:r w:rsidR="0095003B" w:rsidRPr="001570EA">
              <w:rPr>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723E52DC" w14:textId="77777777" w:rsidR="007376E1" w:rsidRPr="001570EA" w:rsidRDefault="007376E1">
            <w:pPr>
              <w:jc w:val="center"/>
              <w:rPr>
                <w:sz w:val="18"/>
                <w:szCs w:val="18"/>
              </w:rPr>
            </w:pPr>
            <w:r w:rsidRPr="001570EA">
              <w:rPr>
                <w:sz w:val="18"/>
                <w:szCs w:val="18"/>
              </w:rPr>
              <w:t>6</w:t>
            </w:r>
          </w:p>
        </w:tc>
      </w:tr>
      <w:tr w:rsidR="007376E1" w:rsidRPr="001570EA" w14:paraId="2A071859" w14:textId="77777777">
        <w:trPr>
          <w:trHeight w:val="621"/>
        </w:trPr>
        <w:tc>
          <w:tcPr>
            <w:tcW w:w="3690" w:type="dxa"/>
            <w:tcBorders>
              <w:top w:val="single" w:sz="4" w:space="0" w:color="auto"/>
              <w:left w:val="single" w:sz="4" w:space="0" w:color="auto"/>
              <w:bottom w:val="single" w:sz="4" w:space="0" w:color="auto"/>
              <w:right w:val="single" w:sz="4" w:space="0" w:color="auto"/>
            </w:tcBorders>
            <w:vAlign w:val="center"/>
          </w:tcPr>
          <w:p w14:paraId="3188B1E3" w14:textId="1666644C" w:rsidR="007376E1" w:rsidRPr="001570EA" w:rsidRDefault="003B5E04">
            <m:oMath>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w:r w:rsidR="007376E1" w:rsidRPr="001570EA">
              <w:rPr>
                <w:sz w:val="18"/>
                <w:szCs w:val="18"/>
              </w:rPr>
              <w:t>, Demand Coincidence Factor during the winter months</w:t>
            </w:r>
          </w:p>
        </w:tc>
        <w:tc>
          <w:tcPr>
            <w:tcW w:w="1170" w:type="dxa"/>
            <w:tcBorders>
              <w:top w:val="single" w:sz="4" w:space="0" w:color="auto"/>
              <w:left w:val="single" w:sz="4" w:space="0" w:color="auto"/>
              <w:bottom w:val="single" w:sz="4" w:space="0" w:color="auto"/>
              <w:right w:val="single" w:sz="4" w:space="0" w:color="auto"/>
            </w:tcBorders>
            <w:vAlign w:val="center"/>
          </w:tcPr>
          <w:p w14:paraId="641D2109" w14:textId="77777777" w:rsidR="007376E1" w:rsidRPr="001570EA" w:rsidRDefault="007376E1">
            <w:pPr>
              <w:jc w:val="center"/>
              <w:rPr>
                <w:i/>
                <w:iCs/>
                <w:sz w:val="18"/>
                <w:szCs w:val="18"/>
              </w:rPr>
            </w:pPr>
            <w:r w:rsidRPr="001570EA">
              <w:rPr>
                <w:i/>
                <w:iCs/>
                <w:sz w:val="18"/>
                <w:szCs w:val="18"/>
              </w:rPr>
              <w:t>Proportion</w:t>
            </w:r>
          </w:p>
        </w:tc>
        <w:tc>
          <w:tcPr>
            <w:tcW w:w="2070" w:type="dxa"/>
            <w:tcBorders>
              <w:top w:val="single" w:sz="4" w:space="0" w:color="auto"/>
              <w:left w:val="single" w:sz="4" w:space="0" w:color="auto"/>
              <w:bottom w:val="single" w:sz="4" w:space="0" w:color="auto"/>
              <w:right w:val="single" w:sz="4" w:space="0" w:color="auto"/>
            </w:tcBorders>
            <w:vAlign w:val="center"/>
          </w:tcPr>
          <w:p w14:paraId="4C8952BA" w14:textId="0E19224D" w:rsidR="007376E1" w:rsidRPr="001570EA" w:rsidRDefault="007376E1">
            <w:pPr>
              <w:jc w:val="center"/>
              <w:rPr>
                <w:sz w:val="18"/>
                <w:szCs w:val="18"/>
              </w:rPr>
            </w:pPr>
            <w:r w:rsidRPr="001570EA">
              <w:rPr>
                <w:sz w:val="18"/>
                <w:szCs w:val="18"/>
              </w:rPr>
              <w:t xml:space="preserve">See </w:t>
            </w:r>
            <w:r w:rsidR="0095003B" w:rsidRPr="001570EA">
              <w:rPr>
                <w:sz w:val="18"/>
                <w:szCs w:val="18"/>
              </w:rPr>
              <w:fldChar w:fldCharType="begin"/>
            </w:r>
            <w:r w:rsidR="0095003B" w:rsidRPr="001570EA">
              <w:rPr>
                <w:sz w:val="18"/>
                <w:szCs w:val="18"/>
              </w:rPr>
              <w:instrText xml:space="preserve"> REF _Ref163903698 \h </w:instrText>
            </w:r>
            <w:r w:rsidR="001570EA">
              <w:rPr>
                <w:sz w:val="18"/>
                <w:szCs w:val="18"/>
              </w:rPr>
              <w:instrText xml:space="preserve"> \* MERGEFORMAT </w:instrText>
            </w:r>
            <w:r w:rsidR="0095003B" w:rsidRPr="001570EA">
              <w:rPr>
                <w:sz w:val="18"/>
                <w:szCs w:val="18"/>
              </w:rPr>
            </w:r>
            <w:r w:rsidR="0095003B" w:rsidRPr="001570EA">
              <w:rPr>
                <w:sz w:val="18"/>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15</w:t>
            </w:r>
            <w:r w:rsidR="0095003B" w:rsidRPr="001570EA">
              <w:rPr>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B377818" w14:textId="77777777" w:rsidR="007376E1" w:rsidRPr="001570EA" w:rsidRDefault="007376E1">
            <w:pPr>
              <w:jc w:val="center"/>
              <w:rPr>
                <w:sz w:val="18"/>
                <w:szCs w:val="18"/>
              </w:rPr>
            </w:pPr>
            <w:r w:rsidRPr="001570EA">
              <w:rPr>
                <w:sz w:val="18"/>
                <w:szCs w:val="18"/>
              </w:rPr>
              <w:t>6</w:t>
            </w:r>
          </w:p>
        </w:tc>
      </w:tr>
    </w:tbl>
    <w:p w14:paraId="6D3DC9D3" w14:textId="77777777" w:rsidR="007376E1" w:rsidRPr="001570EA" w:rsidRDefault="007376E1" w:rsidP="007376E1">
      <w:r w:rsidRPr="001570EA">
        <w:t>Note: Where appropriate, nameplate data collected for usage in savings calculations (i.e., SEER, EER, HSPF) should be converted to new efficiency metrics (i.e., SEER2, EER2, HSPF2) using conversion equations laid out in Vol. 1 App. A</w:t>
      </w:r>
    </w:p>
    <w:p w14:paraId="76748608" w14:textId="77777777" w:rsidR="007376E1" w:rsidRPr="001570EA" w:rsidRDefault="007376E1" w:rsidP="007376E1">
      <w:pPr>
        <w:pStyle w:val="Equation"/>
        <w:tabs>
          <w:tab w:val="left" w:pos="2160"/>
        </w:tabs>
        <w:ind w:left="0" w:firstLine="0"/>
        <w:rPr>
          <w:i w:val="0"/>
          <w:sz w:val="22"/>
          <w:szCs w:val="22"/>
        </w:rPr>
      </w:pPr>
    </w:p>
    <w:p w14:paraId="6F46CDC6" w14:textId="77777777" w:rsidR="007376E1" w:rsidRPr="001570EA" w:rsidRDefault="007376E1" w:rsidP="007376E1">
      <w:pPr>
        <w:pStyle w:val="Equation"/>
        <w:tabs>
          <w:tab w:val="left" w:pos="2160"/>
        </w:tabs>
        <w:ind w:left="0" w:firstLine="0"/>
        <w:rPr>
          <w:i w:val="0"/>
          <w:sz w:val="22"/>
          <w:szCs w:val="22"/>
        </w:rPr>
      </w:pPr>
    </w:p>
    <w:p w14:paraId="0A51224A" w14:textId="5F4AC7DE" w:rsidR="007376E1" w:rsidRPr="001570EA" w:rsidRDefault="008D728A" w:rsidP="007376E1">
      <w:pPr>
        <w:pStyle w:val="Caption"/>
      </w:pPr>
      <w:bookmarkStart w:id="199" w:name="_Ref163903698"/>
      <w:bookmarkStart w:id="200" w:name="_Ref69212625"/>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15</w:t>
      </w:r>
      <w:r w:rsidR="002E093A" w:rsidRPr="001570EA">
        <w:fldChar w:fldCharType="end"/>
      </w:r>
      <w:bookmarkEnd w:id="199"/>
      <w:r w:rsidRPr="001570EA">
        <w:t>: EDC Climate Region Weighted Composite Factors</w:t>
      </w:r>
      <w:bookmarkEnd w:id="200"/>
    </w:p>
    <w:tbl>
      <w:tblPr>
        <w:tblW w:w="6200" w:type="dxa"/>
        <w:tblLook w:val="04A0" w:firstRow="1" w:lastRow="0" w:firstColumn="1" w:lastColumn="0" w:noHBand="0" w:noVBand="1"/>
      </w:tblPr>
      <w:tblGrid>
        <w:gridCol w:w="1720"/>
        <w:gridCol w:w="980"/>
        <w:gridCol w:w="1100"/>
        <w:gridCol w:w="1230"/>
        <w:gridCol w:w="1170"/>
      </w:tblGrid>
      <w:tr w:rsidR="007376E1" w:rsidRPr="001570EA" w14:paraId="01E7059B" w14:textId="77777777">
        <w:trPr>
          <w:trHeight w:val="492"/>
        </w:trPr>
        <w:tc>
          <w:tcPr>
            <w:tcW w:w="1720" w:type="dxa"/>
            <w:tcBorders>
              <w:top w:val="single" w:sz="8" w:space="0" w:color="000000"/>
              <w:left w:val="single" w:sz="8" w:space="0" w:color="000000"/>
              <w:bottom w:val="single" w:sz="8" w:space="0" w:color="000000"/>
              <w:right w:val="single" w:sz="8" w:space="0" w:color="000000"/>
            </w:tcBorders>
            <w:shd w:val="clear" w:color="000000" w:fill="BFBFBF"/>
            <w:noWrap/>
            <w:vAlign w:val="center"/>
            <w:hideMark/>
          </w:tcPr>
          <w:p w14:paraId="659D2003" w14:textId="77777777" w:rsidR="007376E1" w:rsidRPr="001570EA" w:rsidRDefault="007376E1">
            <w:pPr>
              <w:jc w:val="center"/>
              <w:rPr>
                <w:rFonts w:cs="Arial"/>
                <w:b/>
                <w:bCs/>
                <w:color w:val="000000"/>
                <w:sz w:val="18"/>
                <w:szCs w:val="18"/>
              </w:rPr>
            </w:pPr>
            <w:r w:rsidRPr="001570EA">
              <w:rPr>
                <w:rFonts w:cs="Arial"/>
                <w:b/>
                <w:bCs/>
                <w:color w:val="000000"/>
                <w:sz w:val="18"/>
                <w:szCs w:val="18"/>
              </w:rPr>
              <w:t>EDC</w:t>
            </w:r>
          </w:p>
        </w:tc>
        <w:tc>
          <w:tcPr>
            <w:tcW w:w="980" w:type="dxa"/>
            <w:tcBorders>
              <w:top w:val="single" w:sz="8" w:space="0" w:color="000000"/>
              <w:left w:val="nil"/>
              <w:bottom w:val="single" w:sz="8" w:space="0" w:color="000000"/>
              <w:right w:val="single" w:sz="8" w:space="0" w:color="000000"/>
            </w:tcBorders>
            <w:shd w:val="clear" w:color="000000" w:fill="BFBFBF"/>
            <w:noWrap/>
            <w:vAlign w:val="center"/>
            <w:hideMark/>
          </w:tcPr>
          <w:p w14:paraId="57E1F698" w14:textId="77777777" w:rsidR="007376E1" w:rsidRPr="001570EA" w:rsidRDefault="007376E1">
            <w:pPr>
              <w:jc w:val="center"/>
              <w:rPr>
                <w:rFonts w:cs="Arial"/>
                <w:b/>
                <w:bCs/>
                <w:color w:val="000000"/>
                <w:sz w:val="18"/>
                <w:szCs w:val="18"/>
              </w:rPr>
            </w:pPr>
            <w:r w:rsidRPr="001570EA">
              <w:rPr>
                <w:rFonts w:cs="Arial"/>
                <w:b/>
                <w:bCs/>
                <w:color w:val="000000"/>
                <w:sz w:val="18"/>
                <w:szCs w:val="18"/>
              </w:rPr>
              <w:t>EFLH</w:t>
            </w:r>
            <w:r w:rsidRPr="001570EA">
              <w:rPr>
                <w:rFonts w:cs="Arial"/>
                <w:b/>
                <w:bCs/>
                <w:color w:val="000000"/>
                <w:sz w:val="18"/>
                <w:szCs w:val="18"/>
                <w:vertAlign w:val="subscript"/>
              </w:rPr>
              <w:t>cool</w:t>
            </w:r>
          </w:p>
        </w:tc>
        <w:tc>
          <w:tcPr>
            <w:tcW w:w="1100" w:type="dxa"/>
            <w:tcBorders>
              <w:top w:val="single" w:sz="8" w:space="0" w:color="000000"/>
              <w:left w:val="nil"/>
              <w:bottom w:val="single" w:sz="8" w:space="0" w:color="000000"/>
              <w:right w:val="single" w:sz="8" w:space="0" w:color="000000"/>
            </w:tcBorders>
            <w:shd w:val="clear" w:color="000000" w:fill="BFBFBF"/>
            <w:noWrap/>
            <w:vAlign w:val="center"/>
            <w:hideMark/>
          </w:tcPr>
          <w:p w14:paraId="12BE0774" w14:textId="77777777" w:rsidR="007376E1" w:rsidRPr="001570EA" w:rsidRDefault="007376E1">
            <w:pPr>
              <w:jc w:val="center"/>
              <w:rPr>
                <w:rFonts w:cs="Arial"/>
                <w:b/>
                <w:bCs/>
                <w:color w:val="000000"/>
                <w:sz w:val="18"/>
                <w:szCs w:val="18"/>
              </w:rPr>
            </w:pPr>
            <w:r w:rsidRPr="001570EA">
              <w:rPr>
                <w:rFonts w:cs="Arial"/>
                <w:b/>
                <w:bCs/>
                <w:color w:val="000000"/>
                <w:sz w:val="18"/>
                <w:szCs w:val="18"/>
              </w:rPr>
              <w:t>EFLH</w:t>
            </w:r>
            <w:r w:rsidRPr="001570EA">
              <w:rPr>
                <w:rFonts w:cs="Arial"/>
                <w:b/>
                <w:bCs/>
                <w:color w:val="000000"/>
                <w:sz w:val="18"/>
                <w:szCs w:val="18"/>
                <w:vertAlign w:val="subscript"/>
              </w:rPr>
              <w:t>heat</w:t>
            </w:r>
          </w:p>
        </w:tc>
        <w:tc>
          <w:tcPr>
            <w:tcW w:w="1230" w:type="dxa"/>
            <w:tcBorders>
              <w:top w:val="single" w:sz="8" w:space="0" w:color="000000"/>
              <w:left w:val="nil"/>
              <w:bottom w:val="single" w:sz="8" w:space="0" w:color="000000"/>
              <w:right w:val="single" w:sz="8" w:space="0" w:color="000000"/>
            </w:tcBorders>
            <w:shd w:val="clear" w:color="000000" w:fill="BFBFBF"/>
            <w:noWrap/>
            <w:vAlign w:val="center"/>
            <w:hideMark/>
          </w:tcPr>
          <w:p w14:paraId="1F30A5A4" w14:textId="77777777" w:rsidR="007376E1" w:rsidRPr="001570EA" w:rsidRDefault="007376E1">
            <w:pPr>
              <w:jc w:val="center"/>
              <w:rPr>
                <w:rFonts w:cs="Arial"/>
                <w:b/>
                <w:bCs/>
                <w:color w:val="000000"/>
                <w:sz w:val="18"/>
                <w:szCs w:val="18"/>
              </w:rPr>
            </w:pPr>
            <w:r w:rsidRPr="001570EA">
              <w:rPr>
                <w:rFonts w:cs="Arial"/>
                <w:b/>
                <w:bCs/>
                <w:color w:val="000000"/>
                <w:sz w:val="18"/>
                <w:szCs w:val="18"/>
              </w:rPr>
              <w:t>Summer CF</w:t>
            </w:r>
          </w:p>
        </w:tc>
        <w:tc>
          <w:tcPr>
            <w:tcW w:w="1170" w:type="dxa"/>
            <w:tcBorders>
              <w:top w:val="single" w:sz="8" w:space="0" w:color="000000"/>
              <w:left w:val="nil"/>
              <w:bottom w:val="single" w:sz="8" w:space="0" w:color="000000"/>
              <w:right w:val="single" w:sz="8" w:space="0" w:color="000000"/>
            </w:tcBorders>
            <w:shd w:val="clear" w:color="000000" w:fill="BFBFBF"/>
            <w:noWrap/>
            <w:vAlign w:val="center"/>
            <w:hideMark/>
          </w:tcPr>
          <w:p w14:paraId="284F3668" w14:textId="77777777" w:rsidR="007376E1" w:rsidRPr="001570EA" w:rsidRDefault="007376E1">
            <w:pPr>
              <w:jc w:val="center"/>
              <w:rPr>
                <w:rFonts w:cs="Arial"/>
                <w:b/>
                <w:bCs/>
                <w:color w:val="000000"/>
                <w:sz w:val="18"/>
                <w:szCs w:val="18"/>
              </w:rPr>
            </w:pPr>
            <w:r w:rsidRPr="001570EA">
              <w:rPr>
                <w:rFonts w:cs="Arial"/>
                <w:b/>
                <w:bCs/>
                <w:color w:val="000000"/>
                <w:sz w:val="18"/>
                <w:szCs w:val="18"/>
              </w:rPr>
              <w:t>Winter CF</w:t>
            </w:r>
          </w:p>
        </w:tc>
      </w:tr>
      <w:tr w:rsidR="007376E1" w:rsidRPr="001570EA" w14:paraId="60E76A7E" w14:textId="77777777">
        <w:trPr>
          <w:trHeight w:val="300"/>
        </w:trPr>
        <w:tc>
          <w:tcPr>
            <w:tcW w:w="1720" w:type="dxa"/>
            <w:tcBorders>
              <w:top w:val="nil"/>
              <w:left w:val="single" w:sz="8" w:space="0" w:color="000000"/>
              <w:bottom w:val="single" w:sz="8" w:space="0" w:color="000000"/>
              <w:right w:val="single" w:sz="8" w:space="0" w:color="000000"/>
            </w:tcBorders>
            <w:shd w:val="clear" w:color="auto" w:fill="auto"/>
            <w:noWrap/>
            <w:vAlign w:val="center"/>
            <w:hideMark/>
          </w:tcPr>
          <w:p w14:paraId="16CECC46" w14:textId="77777777" w:rsidR="007376E1" w:rsidRPr="001570EA" w:rsidRDefault="007376E1">
            <w:pPr>
              <w:jc w:val="center"/>
              <w:rPr>
                <w:rFonts w:cs="Arial"/>
                <w:color w:val="000000"/>
                <w:sz w:val="18"/>
                <w:szCs w:val="18"/>
              </w:rPr>
            </w:pPr>
            <w:r w:rsidRPr="001570EA">
              <w:rPr>
                <w:rFonts w:cs="Arial"/>
                <w:color w:val="000000"/>
                <w:sz w:val="18"/>
                <w:szCs w:val="18"/>
              </w:rPr>
              <w:t>Duquesne</w:t>
            </w:r>
          </w:p>
        </w:tc>
        <w:tc>
          <w:tcPr>
            <w:tcW w:w="980" w:type="dxa"/>
            <w:tcBorders>
              <w:top w:val="nil"/>
              <w:left w:val="nil"/>
              <w:bottom w:val="single" w:sz="8" w:space="0" w:color="000000"/>
              <w:right w:val="single" w:sz="8" w:space="0" w:color="000000"/>
            </w:tcBorders>
            <w:shd w:val="clear" w:color="auto" w:fill="auto"/>
            <w:noWrap/>
            <w:vAlign w:val="center"/>
            <w:hideMark/>
          </w:tcPr>
          <w:p w14:paraId="167F5F6B" w14:textId="77777777" w:rsidR="007376E1" w:rsidRPr="001570EA" w:rsidRDefault="007376E1">
            <w:pPr>
              <w:jc w:val="center"/>
              <w:rPr>
                <w:rFonts w:cs="Arial"/>
                <w:color w:val="000000"/>
                <w:sz w:val="18"/>
                <w:szCs w:val="18"/>
              </w:rPr>
            </w:pPr>
            <w:r w:rsidRPr="001570EA">
              <w:rPr>
                <w:rFonts w:cs="Arial"/>
                <w:color w:val="000000"/>
                <w:sz w:val="18"/>
                <w:szCs w:val="18"/>
              </w:rPr>
              <w:t>670</w:t>
            </w:r>
          </w:p>
        </w:tc>
        <w:tc>
          <w:tcPr>
            <w:tcW w:w="1100" w:type="dxa"/>
            <w:tcBorders>
              <w:top w:val="nil"/>
              <w:left w:val="nil"/>
              <w:bottom w:val="single" w:sz="8" w:space="0" w:color="000000"/>
              <w:right w:val="single" w:sz="8" w:space="0" w:color="000000"/>
            </w:tcBorders>
            <w:shd w:val="clear" w:color="auto" w:fill="auto"/>
            <w:noWrap/>
            <w:vAlign w:val="center"/>
            <w:hideMark/>
          </w:tcPr>
          <w:p w14:paraId="2F7C4904" w14:textId="77777777" w:rsidR="007376E1" w:rsidRPr="001570EA" w:rsidRDefault="007376E1">
            <w:pPr>
              <w:jc w:val="center"/>
              <w:rPr>
                <w:rFonts w:cs="Arial"/>
                <w:color w:val="000000"/>
                <w:sz w:val="18"/>
                <w:szCs w:val="18"/>
              </w:rPr>
            </w:pPr>
            <w:r w:rsidRPr="001570EA">
              <w:rPr>
                <w:rFonts w:cs="Arial"/>
                <w:color w:val="000000"/>
                <w:sz w:val="18"/>
                <w:szCs w:val="18"/>
              </w:rPr>
              <w:t>1,262</w:t>
            </w:r>
          </w:p>
        </w:tc>
        <w:tc>
          <w:tcPr>
            <w:tcW w:w="1230" w:type="dxa"/>
            <w:tcBorders>
              <w:top w:val="nil"/>
              <w:left w:val="nil"/>
              <w:bottom w:val="single" w:sz="8" w:space="0" w:color="000000"/>
              <w:right w:val="single" w:sz="8" w:space="0" w:color="000000"/>
            </w:tcBorders>
            <w:shd w:val="clear" w:color="auto" w:fill="auto"/>
            <w:noWrap/>
            <w:vAlign w:val="center"/>
            <w:hideMark/>
          </w:tcPr>
          <w:p w14:paraId="4E09DA52" w14:textId="77777777" w:rsidR="007376E1" w:rsidRPr="001570EA" w:rsidRDefault="007376E1">
            <w:pPr>
              <w:jc w:val="center"/>
              <w:rPr>
                <w:rFonts w:cs="Arial"/>
                <w:color w:val="000000"/>
                <w:sz w:val="18"/>
                <w:szCs w:val="18"/>
              </w:rPr>
            </w:pPr>
            <w:r w:rsidRPr="001570EA">
              <w:rPr>
                <w:rFonts w:cs="Arial"/>
                <w:color w:val="000000"/>
                <w:sz w:val="18"/>
                <w:szCs w:val="18"/>
              </w:rPr>
              <w:t>0.37</w:t>
            </w:r>
          </w:p>
        </w:tc>
        <w:tc>
          <w:tcPr>
            <w:tcW w:w="1170" w:type="dxa"/>
            <w:tcBorders>
              <w:top w:val="nil"/>
              <w:left w:val="nil"/>
              <w:bottom w:val="single" w:sz="8" w:space="0" w:color="000000"/>
              <w:right w:val="single" w:sz="8" w:space="0" w:color="000000"/>
            </w:tcBorders>
            <w:shd w:val="clear" w:color="auto" w:fill="auto"/>
            <w:noWrap/>
            <w:vAlign w:val="center"/>
            <w:hideMark/>
          </w:tcPr>
          <w:p w14:paraId="6B095AA5" w14:textId="77777777" w:rsidR="007376E1" w:rsidRPr="001570EA" w:rsidRDefault="007376E1">
            <w:pPr>
              <w:jc w:val="center"/>
              <w:rPr>
                <w:rFonts w:cs="Arial"/>
                <w:color w:val="000000"/>
                <w:sz w:val="18"/>
                <w:szCs w:val="18"/>
              </w:rPr>
            </w:pPr>
            <w:r w:rsidRPr="001570EA">
              <w:rPr>
                <w:rFonts w:cs="Arial"/>
                <w:color w:val="000000"/>
                <w:sz w:val="18"/>
                <w:szCs w:val="18"/>
              </w:rPr>
              <w:t>0.36</w:t>
            </w:r>
          </w:p>
        </w:tc>
      </w:tr>
      <w:tr w:rsidR="007376E1" w:rsidRPr="001570EA" w14:paraId="0A21675F" w14:textId="77777777">
        <w:trPr>
          <w:trHeight w:val="300"/>
        </w:trPr>
        <w:tc>
          <w:tcPr>
            <w:tcW w:w="1720" w:type="dxa"/>
            <w:tcBorders>
              <w:top w:val="nil"/>
              <w:left w:val="single" w:sz="8" w:space="0" w:color="000000"/>
              <w:bottom w:val="single" w:sz="8" w:space="0" w:color="000000"/>
              <w:right w:val="single" w:sz="8" w:space="0" w:color="000000"/>
            </w:tcBorders>
            <w:shd w:val="clear" w:color="auto" w:fill="auto"/>
            <w:noWrap/>
            <w:vAlign w:val="center"/>
            <w:hideMark/>
          </w:tcPr>
          <w:p w14:paraId="28ED5C09" w14:textId="77777777" w:rsidR="007376E1" w:rsidRPr="001570EA" w:rsidRDefault="007376E1">
            <w:pPr>
              <w:jc w:val="center"/>
              <w:rPr>
                <w:rFonts w:cs="Arial"/>
                <w:color w:val="000000"/>
                <w:sz w:val="18"/>
                <w:szCs w:val="18"/>
              </w:rPr>
            </w:pPr>
            <w:r w:rsidRPr="001570EA">
              <w:rPr>
                <w:rFonts w:cs="Arial"/>
                <w:color w:val="000000"/>
                <w:sz w:val="18"/>
                <w:szCs w:val="18"/>
              </w:rPr>
              <w:t>Met-Ed</w:t>
            </w:r>
          </w:p>
        </w:tc>
        <w:tc>
          <w:tcPr>
            <w:tcW w:w="980" w:type="dxa"/>
            <w:tcBorders>
              <w:top w:val="nil"/>
              <w:left w:val="nil"/>
              <w:bottom w:val="single" w:sz="8" w:space="0" w:color="000000"/>
              <w:right w:val="single" w:sz="8" w:space="0" w:color="000000"/>
            </w:tcBorders>
            <w:shd w:val="clear" w:color="auto" w:fill="auto"/>
            <w:noWrap/>
            <w:vAlign w:val="center"/>
            <w:hideMark/>
          </w:tcPr>
          <w:p w14:paraId="34F08D34" w14:textId="77777777" w:rsidR="007376E1" w:rsidRPr="001570EA" w:rsidRDefault="007376E1">
            <w:pPr>
              <w:jc w:val="center"/>
              <w:rPr>
                <w:rFonts w:cs="Arial"/>
                <w:color w:val="000000"/>
                <w:sz w:val="18"/>
                <w:szCs w:val="18"/>
              </w:rPr>
            </w:pPr>
            <w:r w:rsidRPr="001570EA">
              <w:rPr>
                <w:rFonts w:cs="Arial"/>
                <w:color w:val="000000"/>
                <w:sz w:val="18"/>
                <w:szCs w:val="18"/>
              </w:rPr>
              <w:t>870</w:t>
            </w:r>
          </w:p>
        </w:tc>
        <w:tc>
          <w:tcPr>
            <w:tcW w:w="1100" w:type="dxa"/>
            <w:tcBorders>
              <w:top w:val="nil"/>
              <w:left w:val="nil"/>
              <w:bottom w:val="single" w:sz="8" w:space="0" w:color="000000"/>
              <w:right w:val="single" w:sz="8" w:space="0" w:color="000000"/>
            </w:tcBorders>
            <w:shd w:val="clear" w:color="auto" w:fill="auto"/>
            <w:noWrap/>
            <w:vAlign w:val="center"/>
            <w:hideMark/>
          </w:tcPr>
          <w:p w14:paraId="0B65C5C2" w14:textId="77777777" w:rsidR="007376E1" w:rsidRPr="001570EA" w:rsidRDefault="007376E1">
            <w:pPr>
              <w:jc w:val="center"/>
              <w:rPr>
                <w:rFonts w:cs="Arial"/>
                <w:color w:val="000000"/>
                <w:sz w:val="18"/>
                <w:szCs w:val="18"/>
              </w:rPr>
            </w:pPr>
            <w:r w:rsidRPr="001570EA">
              <w:rPr>
                <w:rFonts w:cs="Arial"/>
                <w:color w:val="000000"/>
                <w:sz w:val="18"/>
                <w:szCs w:val="18"/>
              </w:rPr>
              <w:t>1,122</w:t>
            </w:r>
          </w:p>
        </w:tc>
        <w:tc>
          <w:tcPr>
            <w:tcW w:w="1230" w:type="dxa"/>
            <w:tcBorders>
              <w:top w:val="nil"/>
              <w:left w:val="nil"/>
              <w:bottom w:val="single" w:sz="8" w:space="0" w:color="000000"/>
              <w:right w:val="single" w:sz="8" w:space="0" w:color="000000"/>
            </w:tcBorders>
            <w:shd w:val="clear" w:color="auto" w:fill="auto"/>
            <w:noWrap/>
            <w:vAlign w:val="center"/>
            <w:hideMark/>
          </w:tcPr>
          <w:p w14:paraId="5A6049FD" w14:textId="77777777" w:rsidR="007376E1" w:rsidRPr="001570EA" w:rsidRDefault="007376E1">
            <w:pPr>
              <w:jc w:val="center"/>
              <w:rPr>
                <w:rFonts w:cs="Arial"/>
                <w:color w:val="000000"/>
                <w:sz w:val="18"/>
                <w:szCs w:val="18"/>
              </w:rPr>
            </w:pPr>
            <w:r w:rsidRPr="001570EA">
              <w:rPr>
                <w:rFonts w:cs="Arial"/>
                <w:color w:val="000000"/>
                <w:sz w:val="18"/>
                <w:szCs w:val="18"/>
              </w:rPr>
              <w:t>0.44</w:t>
            </w:r>
          </w:p>
        </w:tc>
        <w:tc>
          <w:tcPr>
            <w:tcW w:w="1170" w:type="dxa"/>
            <w:tcBorders>
              <w:top w:val="nil"/>
              <w:left w:val="nil"/>
              <w:bottom w:val="single" w:sz="8" w:space="0" w:color="000000"/>
              <w:right w:val="single" w:sz="8" w:space="0" w:color="000000"/>
            </w:tcBorders>
            <w:shd w:val="clear" w:color="auto" w:fill="auto"/>
            <w:noWrap/>
            <w:vAlign w:val="center"/>
            <w:hideMark/>
          </w:tcPr>
          <w:p w14:paraId="3B0356B0" w14:textId="77777777" w:rsidR="007376E1" w:rsidRPr="001570EA" w:rsidRDefault="007376E1">
            <w:pPr>
              <w:jc w:val="center"/>
              <w:rPr>
                <w:rFonts w:cs="Arial"/>
                <w:color w:val="000000"/>
                <w:sz w:val="18"/>
                <w:szCs w:val="18"/>
              </w:rPr>
            </w:pPr>
            <w:r w:rsidRPr="001570EA">
              <w:rPr>
                <w:rFonts w:cs="Arial"/>
                <w:color w:val="000000"/>
                <w:sz w:val="18"/>
                <w:szCs w:val="18"/>
              </w:rPr>
              <w:t>0.33</w:t>
            </w:r>
          </w:p>
        </w:tc>
      </w:tr>
      <w:tr w:rsidR="007376E1" w:rsidRPr="001570EA" w14:paraId="5E0C08DA" w14:textId="77777777">
        <w:trPr>
          <w:trHeight w:val="412"/>
        </w:trPr>
        <w:tc>
          <w:tcPr>
            <w:tcW w:w="1720" w:type="dxa"/>
            <w:tcBorders>
              <w:top w:val="nil"/>
              <w:left w:val="single" w:sz="8" w:space="0" w:color="000000"/>
              <w:bottom w:val="single" w:sz="8" w:space="0" w:color="000000"/>
              <w:right w:val="single" w:sz="8" w:space="0" w:color="000000"/>
            </w:tcBorders>
            <w:shd w:val="clear" w:color="auto" w:fill="auto"/>
            <w:noWrap/>
            <w:vAlign w:val="center"/>
            <w:hideMark/>
          </w:tcPr>
          <w:p w14:paraId="3E875B4A" w14:textId="77777777" w:rsidR="007376E1" w:rsidRPr="001570EA" w:rsidRDefault="007376E1">
            <w:pPr>
              <w:jc w:val="center"/>
              <w:rPr>
                <w:rFonts w:cs="Arial"/>
                <w:color w:val="000000"/>
                <w:sz w:val="18"/>
                <w:szCs w:val="18"/>
              </w:rPr>
            </w:pPr>
            <w:r w:rsidRPr="001570EA">
              <w:rPr>
                <w:rFonts w:cs="Arial"/>
                <w:color w:val="000000"/>
                <w:sz w:val="18"/>
                <w:szCs w:val="18"/>
              </w:rPr>
              <w:t>Penelec</w:t>
            </w:r>
          </w:p>
        </w:tc>
        <w:tc>
          <w:tcPr>
            <w:tcW w:w="980" w:type="dxa"/>
            <w:tcBorders>
              <w:top w:val="nil"/>
              <w:left w:val="nil"/>
              <w:bottom w:val="single" w:sz="8" w:space="0" w:color="000000"/>
              <w:right w:val="single" w:sz="8" w:space="0" w:color="000000"/>
            </w:tcBorders>
            <w:shd w:val="clear" w:color="auto" w:fill="auto"/>
            <w:noWrap/>
            <w:vAlign w:val="center"/>
            <w:hideMark/>
          </w:tcPr>
          <w:p w14:paraId="69C5ED10" w14:textId="77777777" w:rsidR="007376E1" w:rsidRPr="001570EA" w:rsidRDefault="007376E1">
            <w:pPr>
              <w:jc w:val="center"/>
              <w:rPr>
                <w:rFonts w:cs="Arial"/>
                <w:color w:val="000000"/>
                <w:sz w:val="18"/>
                <w:szCs w:val="18"/>
              </w:rPr>
            </w:pPr>
            <w:r w:rsidRPr="001570EA">
              <w:rPr>
                <w:rFonts w:cs="Arial"/>
                <w:color w:val="000000"/>
                <w:sz w:val="18"/>
                <w:szCs w:val="18"/>
              </w:rPr>
              <w:t>612</w:t>
            </w:r>
          </w:p>
        </w:tc>
        <w:tc>
          <w:tcPr>
            <w:tcW w:w="1100" w:type="dxa"/>
            <w:tcBorders>
              <w:top w:val="nil"/>
              <w:left w:val="nil"/>
              <w:bottom w:val="single" w:sz="8" w:space="0" w:color="000000"/>
              <w:right w:val="single" w:sz="8" w:space="0" w:color="000000"/>
            </w:tcBorders>
            <w:shd w:val="clear" w:color="auto" w:fill="auto"/>
            <w:noWrap/>
            <w:vAlign w:val="center"/>
            <w:hideMark/>
          </w:tcPr>
          <w:p w14:paraId="69246E14" w14:textId="77777777" w:rsidR="007376E1" w:rsidRPr="001570EA" w:rsidRDefault="007376E1">
            <w:pPr>
              <w:jc w:val="center"/>
              <w:rPr>
                <w:rFonts w:cs="Arial"/>
                <w:color w:val="000000"/>
                <w:sz w:val="18"/>
                <w:szCs w:val="18"/>
              </w:rPr>
            </w:pPr>
            <w:r w:rsidRPr="001570EA">
              <w:rPr>
                <w:rFonts w:cs="Arial"/>
                <w:color w:val="000000"/>
                <w:sz w:val="18"/>
                <w:szCs w:val="18"/>
              </w:rPr>
              <w:t>1,321</w:t>
            </w:r>
          </w:p>
        </w:tc>
        <w:tc>
          <w:tcPr>
            <w:tcW w:w="1230" w:type="dxa"/>
            <w:tcBorders>
              <w:top w:val="nil"/>
              <w:left w:val="nil"/>
              <w:bottom w:val="single" w:sz="8" w:space="0" w:color="000000"/>
              <w:right w:val="single" w:sz="8" w:space="0" w:color="000000"/>
            </w:tcBorders>
            <w:shd w:val="clear" w:color="auto" w:fill="auto"/>
            <w:noWrap/>
            <w:vAlign w:val="center"/>
            <w:hideMark/>
          </w:tcPr>
          <w:p w14:paraId="359FEB5B" w14:textId="77777777" w:rsidR="007376E1" w:rsidRPr="001570EA" w:rsidRDefault="007376E1">
            <w:pPr>
              <w:jc w:val="center"/>
              <w:rPr>
                <w:rFonts w:cs="Arial"/>
                <w:color w:val="000000"/>
                <w:sz w:val="18"/>
                <w:szCs w:val="18"/>
              </w:rPr>
            </w:pPr>
            <w:r w:rsidRPr="001570EA">
              <w:rPr>
                <w:rFonts w:cs="Arial"/>
                <w:color w:val="000000"/>
                <w:sz w:val="18"/>
                <w:szCs w:val="18"/>
              </w:rPr>
              <w:t>0.33</w:t>
            </w:r>
          </w:p>
        </w:tc>
        <w:tc>
          <w:tcPr>
            <w:tcW w:w="1170" w:type="dxa"/>
            <w:tcBorders>
              <w:top w:val="nil"/>
              <w:left w:val="nil"/>
              <w:bottom w:val="single" w:sz="8" w:space="0" w:color="000000"/>
              <w:right w:val="single" w:sz="8" w:space="0" w:color="000000"/>
            </w:tcBorders>
            <w:shd w:val="clear" w:color="auto" w:fill="auto"/>
            <w:noWrap/>
            <w:vAlign w:val="center"/>
            <w:hideMark/>
          </w:tcPr>
          <w:p w14:paraId="5314BFB9" w14:textId="77777777" w:rsidR="007376E1" w:rsidRPr="001570EA" w:rsidRDefault="007376E1">
            <w:pPr>
              <w:jc w:val="center"/>
              <w:rPr>
                <w:rFonts w:cs="Arial"/>
                <w:color w:val="000000"/>
                <w:sz w:val="18"/>
                <w:szCs w:val="18"/>
              </w:rPr>
            </w:pPr>
            <w:r w:rsidRPr="001570EA">
              <w:rPr>
                <w:rFonts w:cs="Arial"/>
                <w:color w:val="000000"/>
                <w:sz w:val="18"/>
                <w:szCs w:val="18"/>
              </w:rPr>
              <w:t>0.38</w:t>
            </w:r>
          </w:p>
        </w:tc>
      </w:tr>
      <w:tr w:rsidR="007376E1" w:rsidRPr="001570EA" w14:paraId="12C2A014" w14:textId="77777777">
        <w:trPr>
          <w:trHeight w:val="250"/>
        </w:trPr>
        <w:tc>
          <w:tcPr>
            <w:tcW w:w="1720" w:type="dxa"/>
            <w:tcBorders>
              <w:top w:val="nil"/>
              <w:left w:val="single" w:sz="8" w:space="0" w:color="000000"/>
              <w:bottom w:val="single" w:sz="8" w:space="0" w:color="000000"/>
              <w:right w:val="single" w:sz="8" w:space="0" w:color="000000"/>
            </w:tcBorders>
            <w:shd w:val="clear" w:color="auto" w:fill="auto"/>
            <w:noWrap/>
            <w:vAlign w:val="center"/>
            <w:hideMark/>
          </w:tcPr>
          <w:p w14:paraId="0EBC7B93" w14:textId="77777777" w:rsidR="007376E1" w:rsidRPr="001570EA" w:rsidRDefault="007376E1">
            <w:pPr>
              <w:jc w:val="center"/>
              <w:rPr>
                <w:rFonts w:cs="Arial"/>
                <w:color w:val="000000"/>
                <w:sz w:val="18"/>
                <w:szCs w:val="18"/>
              </w:rPr>
            </w:pPr>
            <w:r w:rsidRPr="001570EA">
              <w:rPr>
                <w:rFonts w:cs="Arial"/>
                <w:color w:val="000000"/>
                <w:sz w:val="18"/>
                <w:szCs w:val="18"/>
              </w:rPr>
              <w:t>Penn Power</w:t>
            </w:r>
          </w:p>
        </w:tc>
        <w:tc>
          <w:tcPr>
            <w:tcW w:w="980" w:type="dxa"/>
            <w:tcBorders>
              <w:top w:val="nil"/>
              <w:left w:val="nil"/>
              <w:bottom w:val="single" w:sz="8" w:space="0" w:color="000000"/>
              <w:right w:val="single" w:sz="8" w:space="0" w:color="000000"/>
            </w:tcBorders>
            <w:shd w:val="clear" w:color="auto" w:fill="auto"/>
            <w:noWrap/>
            <w:vAlign w:val="center"/>
            <w:hideMark/>
          </w:tcPr>
          <w:p w14:paraId="6FDD6AD9" w14:textId="77777777" w:rsidR="007376E1" w:rsidRPr="001570EA" w:rsidRDefault="007376E1">
            <w:pPr>
              <w:jc w:val="center"/>
              <w:rPr>
                <w:rFonts w:cs="Arial"/>
                <w:color w:val="000000"/>
                <w:sz w:val="18"/>
                <w:szCs w:val="18"/>
              </w:rPr>
            </w:pPr>
            <w:r w:rsidRPr="001570EA">
              <w:rPr>
                <w:rFonts w:cs="Arial"/>
                <w:color w:val="000000"/>
                <w:sz w:val="18"/>
                <w:szCs w:val="18"/>
              </w:rPr>
              <w:t>657</w:t>
            </w:r>
          </w:p>
        </w:tc>
        <w:tc>
          <w:tcPr>
            <w:tcW w:w="1100" w:type="dxa"/>
            <w:tcBorders>
              <w:top w:val="nil"/>
              <w:left w:val="nil"/>
              <w:bottom w:val="single" w:sz="8" w:space="0" w:color="000000"/>
              <w:right w:val="single" w:sz="8" w:space="0" w:color="000000"/>
            </w:tcBorders>
            <w:shd w:val="clear" w:color="auto" w:fill="auto"/>
            <w:noWrap/>
            <w:vAlign w:val="center"/>
            <w:hideMark/>
          </w:tcPr>
          <w:p w14:paraId="1C590CBB" w14:textId="77777777" w:rsidR="007376E1" w:rsidRPr="001570EA" w:rsidRDefault="007376E1">
            <w:pPr>
              <w:jc w:val="center"/>
              <w:rPr>
                <w:rFonts w:cs="Arial"/>
                <w:color w:val="000000"/>
                <w:sz w:val="18"/>
                <w:szCs w:val="18"/>
              </w:rPr>
            </w:pPr>
            <w:r w:rsidRPr="001570EA">
              <w:rPr>
                <w:rFonts w:cs="Arial"/>
                <w:color w:val="000000"/>
                <w:sz w:val="18"/>
                <w:szCs w:val="18"/>
              </w:rPr>
              <w:t>1,283</w:t>
            </w:r>
          </w:p>
        </w:tc>
        <w:tc>
          <w:tcPr>
            <w:tcW w:w="1230" w:type="dxa"/>
            <w:tcBorders>
              <w:top w:val="nil"/>
              <w:left w:val="nil"/>
              <w:bottom w:val="single" w:sz="8" w:space="0" w:color="000000"/>
              <w:right w:val="single" w:sz="8" w:space="0" w:color="000000"/>
            </w:tcBorders>
            <w:shd w:val="clear" w:color="auto" w:fill="auto"/>
            <w:noWrap/>
            <w:vAlign w:val="center"/>
            <w:hideMark/>
          </w:tcPr>
          <w:p w14:paraId="1F4A2C31" w14:textId="77777777" w:rsidR="007376E1" w:rsidRPr="001570EA" w:rsidRDefault="007376E1">
            <w:pPr>
              <w:jc w:val="center"/>
              <w:rPr>
                <w:rFonts w:cs="Arial"/>
                <w:color w:val="000000"/>
                <w:sz w:val="18"/>
                <w:szCs w:val="18"/>
              </w:rPr>
            </w:pPr>
            <w:r w:rsidRPr="001570EA">
              <w:rPr>
                <w:rFonts w:cs="Arial"/>
                <w:color w:val="000000"/>
                <w:sz w:val="18"/>
                <w:szCs w:val="18"/>
              </w:rPr>
              <w:t>0.35</w:t>
            </w:r>
          </w:p>
        </w:tc>
        <w:tc>
          <w:tcPr>
            <w:tcW w:w="1170" w:type="dxa"/>
            <w:tcBorders>
              <w:top w:val="nil"/>
              <w:left w:val="nil"/>
              <w:bottom w:val="single" w:sz="8" w:space="0" w:color="000000"/>
              <w:right w:val="single" w:sz="8" w:space="0" w:color="000000"/>
            </w:tcBorders>
            <w:shd w:val="clear" w:color="auto" w:fill="auto"/>
            <w:noWrap/>
            <w:vAlign w:val="center"/>
            <w:hideMark/>
          </w:tcPr>
          <w:p w14:paraId="7B8E077F" w14:textId="77777777" w:rsidR="007376E1" w:rsidRPr="001570EA" w:rsidRDefault="007376E1">
            <w:pPr>
              <w:jc w:val="center"/>
              <w:rPr>
                <w:rFonts w:cs="Arial"/>
                <w:color w:val="000000"/>
                <w:sz w:val="18"/>
                <w:szCs w:val="18"/>
              </w:rPr>
            </w:pPr>
            <w:r w:rsidRPr="001570EA">
              <w:rPr>
                <w:rFonts w:cs="Arial"/>
                <w:color w:val="000000"/>
                <w:sz w:val="18"/>
                <w:szCs w:val="18"/>
              </w:rPr>
              <w:t>0.37</w:t>
            </w:r>
          </w:p>
        </w:tc>
      </w:tr>
      <w:tr w:rsidR="007376E1" w:rsidRPr="001570EA" w14:paraId="7CEAF8E7" w14:textId="77777777">
        <w:trPr>
          <w:trHeight w:val="268"/>
        </w:trPr>
        <w:tc>
          <w:tcPr>
            <w:tcW w:w="1720" w:type="dxa"/>
            <w:tcBorders>
              <w:top w:val="nil"/>
              <w:left w:val="single" w:sz="8" w:space="0" w:color="000000"/>
              <w:bottom w:val="single" w:sz="8" w:space="0" w:color="000000"/>
              <w:right w:val="single" w:sz="8" w:space="0" w:color="000000"/>
            </w:tcBorders>
            <w:shd w:val="clear" w:color="auto" w:fill="auto"/>
            <w:noWrap/>
            <w:vAlign w:val="center"/>
            <w:hideMark/>
          </w:tcPr>
          <w:p w14:paraId="4F83EC5E" w14:textId="77777777" w:rsidR="007376E1" w:rsidRPr="001570EA" w:rsidRDefault="007376E1">
            <w:pPr>
              <w:jc w:val="center"/>
              <w:rPr>
                <w:rFonts w:cs="Arial"/>
                <w:color w:val="000000"/>
                <w:sz w:val="18"/>
                <w:szCs w:val="18"/>
              </w:rPr>
            </w:pPr>
            <w:r w:rsidRPr="001570EA">
              <w:rPr>
                <w:rFonts w:cs="Arial"/>
                <w:color w:val="000000"/>
                <w:sz w:val="18"/>
                <w:szCs w:val="18"/>
              </w:rPr>
              <w:t>West Penn Power</w:t>
            </w:r>
          </w:p>
        </w:tc>
        <w:tc>
          <w:tcPr>
            <w:tcW w:w="980" w:type="dxa"/>
            <w:tcBorders>
              <w:top w:val="nil"/>
              <w:left w:val="nil"/>
              <w:bottom w:val="single" w:sz="8" w:space="0" w:color="000000"/>
              <w:right w:val="single" w:sz="8" w:space="0" w:color="000000"/>
            </w:tcBorders>
            <w:shd w:val="clear" w:color="auto" w:fill="auto"/>
            <w:noWrap/>
            <w:vAlign w:val="center"/>
            <w:hideMark/>
          </w:tcPr>
          <w:p w14:paraId="130FA878" w14:textId="77777777" w:rsidR="007376E1" w:rsidRPr="001570EA" w:rsidRDefault="007376E1">
            <w:pPr>
              <w:jc w:val="center"/>
              <w:rPr>
                <w:rFonts w:cs="Arial"/>
                <w:color w:val="000000"/>
                <w:sz w:val="18"/>
                <w:szCs w:val="18"/>
              </w:rPr>
            </w:pPr>
            <w:r w:rsidRPr="001570EA">
              <w:rPr>
                <w:rFonts w:cs="Arial"/>
                <w:color w:val="000000"/>
                <w:sz w:val="18"/>
                <w:szCs w:val="18"/>
              </w:rPr>
              <w:t>675</w:t>
            </w:r>
          </w:p>
        </w:tc>
        <w:tc>
          <w:tcPr>
            <w:tcW w:w="1100" w:type="dxa"/>
            <w:tcBorders>
              <w:top w:val="nil"/>
              <w:left w:val="nil"/>
              <w:bottom w:val="single" w:sz="8" w:space="0" w:color="000000"/>
              <w:right w:val="single" w:sz="8" w:space="0" w:color="000000"/>
            </w:tcBorders>
            <w:shd w:val="clear" w:color="auto" w:fill="auto"/>
            <w:noWrap/>
            <w:vAlign w:val="center"/>
            <w:hideMark/>
          </w:tcPr>
          <w:p w14:paraId="5ABEC0A9" w14:textId="77777777" w:rsidR="007376E1" w:rsidRPr="001570EA" w:rsidRDefault="007376E1">
            <w:pPr>
              <w:jc w:val="center"/>
              <w:rPr>
                <w:rFonts w:cs="Arial"/>
                <w:color w:val="000000"/>
                <w:sz w:val="18"/>
                <w:szCs w:val="18"/>
              </w:rPr>
            </w:pPr>
            <w:r w:rsidRPr="001570EA">
              <w:rPr>
                <w:rFonts w:cs="Arial"/>
                <w:color w:val="000000"/>
                <w:sz w:val="18"/>
                <w:szCs w:val="18"/>
              </w:rPr>
              <w:t>1,265</w:t>
            </w:r>
          </w:p>
        </w:tc>
        <w:tc>
          <w:tcPr>
            <w:tcW w:w="1230" w:type="dxa"/>
            <w:tcBorders>
              <w:top w:val="nil"/>
              <w:left w:val="nil"/>
              <w:bottom w:val="single" w:sz="8" w:space="0" w:color="000000"/>
              <w:right w:val="single" w:sz="8" w:space="0" w:color="000000"/>
            </w:tcBorders>
            <w:shd w:val="clear" w:color="auto" w:fill="auto"/>
            <w:noWrap/>
            <w:vAlign w:val="center"/>
            <w:hideMark/>
          </w:tcPr>
          <w:p w14:paraId="62F1EEA8" w14:textId="77777777" w:rsidR="007376E1" w:rsidRPr="001570EA" w:rsidRDefault="007376E1">
            <w:pPr>
              <w:jc w:val="center"/>
              <w:rPr>
                <w:rFonts w:cs="Arial"/>
                <w:color w:val="000000"/>
                <w:sz w:val="18"/>
                <w:szCs w:val="18"/>
              </w:rPr>
            </w:pPr>
            <w:r w:rsidRPr="001570EA">
              <w:rPr>
                <w:rFonts w:cs="Arial"/>
                <w:color w:val="000000"/>
                <w:sz w:val="18"/>
                <w:szCs w:val="18"/>
              </w:rPr>
              <w:t>0.37</w:t>
            </w:r>
          </w:p>
        </w:tc>
        <w:tc>
          <w:tcPr>
            <w:tcW w:w="1170" w:type="dxa"/>
            <w:tcBorders>
              <w:top w:val="nil"/>
              <w:left w:val="nil"/>
              <w:bottom w:val="single" w:sz="8" w:space="0" w:color="000000"/>
              <w:right w:val="single" w:sz="8" w:space="0" w:color="000000"/>
            </w:tcBorders>
            <w:shd w:val="clear" w:color="auto" w:fill="auto"/>
            <w:noWrap/>
            <w:vAlign w:val="center"/>
            <w:hideMark/>
          </w:tcPr>
          <w:p w14:paraId="765D8602" w14:textId="77777777" w:rsidR="007376E1" w:rsidRPr="001570EA" w:rsidRDefault="007376E1">
            <w:pPr>
              <w:jc w:val="center"/>
              <w:rPr>
                <w:rFonts w:cs="Arial"/>
                <w:color w:val="000000"/>
                <w:sz w:val="18"/>
                <w:szCs w:val="18"/>
              </w:rPr>
            </w:pPr>
            <w:r w:rsidRPr="001570EA">
              <w:rPr>
                <w:rFonts w:cs="Arial"/>
                <w:color w:val="000000"/>
                <w:sz w:val="18"/>
                <w:szCs w:val="18"/>
              </w:rPr>
              <w:t>0.37</w:t>
            </w:r>
          </w:p>
        </w:tc>
      </w:tr>
      <w:tr w:rsidR="007376E1" w:rsidRPr="001570EA" w14:paraId="5BC05C8E" w14:textId="77777777">
        <w:trPr>
          <w:trHeight w:val="187"/>
        </w:trPr>
        <w:tc>
          <w:tcPr>
            <w:tcW w:w="1720" w:type="dxa"/>
            <w:tcBorders>
              <w:top w:val="nil"/>
              <w:left w:val="single" w:sz="8" w:space="0" w:color="000000"/>
              <w:bottom w:val="single" w:sz="8" w:space="0" w:color="000000"/>
              <w:right w:val="single" w:sz="8" w:space="0" w:color="000000"/>
            </w:tcBorders>
            <w:shd w:val="clear" w:color="auto" w:fill="auto"/>
            <w:noWrap/>
            <w:vAlign w:val="center"/>
            <w:hideMark/>
          </w:tcPr>
          <w:p w14:paraId="5D5BB1A0" w14:textId="77777777" w:rsidR="007376E1" w:rsidRPr="001570EA" w:rsidRDefault="007376E1">
            <w:pPr>
              <w:jc w:val="center"/>
              <w:rPr>
                <w:rFonts w:cs="Arial"/>
                <w:color w:val="000000"/>
                <w:sz w:val="18"/>
                <w:szCs w:val="18"/>
              </w:rPr>
            </w:pPr>
            <w:r w:rsidRPr="001570EA">
              <w:rPr>
                <w:rFonts w:cs="Arial"/>
                <w:color w:val="000000"/>
                <w:sz w:val="18"/>
                <w:szCs w:val="18"/>
              </w:rPr>
              <w:t>PECO</w:t>
            </w:r>
          </w:p>
        </w:tc>
        <w:tc>
          <w:tcPr>
            <w:tcW w:w="980" w:type="dxa"/>
            <w:tcBorders>
              <w:top w:val="nil"/>
              <w:left w:val="nil"/>
              <w:bottom w:val="single" w:sz="8" w:space="0" w:color="000000"/>
              <w:right w:val="single" w:sz="8" w:space="0" w:color="000000"/>
            </w:tcBorders>
            <w:shd w:val="clear" w:color="auto" w:fill="auto"/>
            <w:noWrap/>
            <w:vAlign w:val="center"/>
            <w:hideMark/>
          </w:tcPr>
          <w:p w14:paraId="21BA1CC5" w14:textId="77777777" w:rsidR="007376E1" w:rsidRPr="001570EA" w:rsidRDefault="007376E1">
            <w:pPr>
              <w:jc w:val="center"/>
              <w:rPr>
                <w:rFonts w:cs="Arial"/>
                <w:color w:val="000000"/>
                <w:sz w:val="18"/>
                <w:szCs w:val="18"/>
              </w:rPr>
            </w:pPr>
            <w:r w:rsidRPr="001570EA">
              <w:rPr>
                <w:rFonts w:cs="Arial"/>
                <w:color w:val="000000"/>
                <w:sz w:val="18"/>
                <w:szCs w:val="18"/>
              </w:rPr>
              <w:t>972</w:t>
            </w:r>
          </w:p>
        </w:tc>
        <w:tc>
          <w:tcPr>
            <w:tcW w:w="1100" w:type="dxa"/>
            <w:tcBorders>
              <w:top w:val="nil"/>
              <w:left w:val="nil"/>
              <w:bottom w:val="single" w:sz="8" w:space="0" w:color="000000"/>
              <w:right w:val="single" w:sz="8" w:space="0" w:color="000000"/>
            </w:tcBorders>
            <w:shd w:val="clear" w:color="auto" w:fill="auto"/>
            <w:noWrap/>
            <w:vAlign w:val="center"/>
            <w:hideMark/>
          </w:tcPr>
          <w:p w14:paraId="7BEE7CA4" w14:textId="77777777" w:rsidR="007376E1" w:rsidRPr="001570EA" w:rsidRDefault="007376E1">
            <w:pPr>
              <w:jc w:val="center"/>
              <w:rPr>
                <w:rFonts w:cs="Arial"/>
                <w:color w:val="000000"/>
                <w:sz w:val="18"/>
                <w:szCs w:val="18"/>
              </w:rPr>
            </w:pPr>
            <w:r w:rsidRPr="001570EA">
              <w:rPr>
                <w:rFonts w:cs="Arial"/>
                <w:color w:val="000000"/>
                <w:sz w:val="18"/>
                <w:szCs w:val="18"/>
              </w:rPr>
              <w:t>1,027</w:t>
            </w:r>
          </w:p>
        </w:tc>
        <w:tc>
          <w:tcPr>
            <w:tcW w:w="1230" w:type="dxa"/>
            <w:tcBorders>
              <w:top w:val="nil"/>
              <w:left w:val="nil"/>
              <w:bottom w:val="single" w:sz="8" w:space="0" w:color="000000"/>
              <w:right w:val="single" w:sz="8" w:space="0" w:color="000000"/>
            </w:tcBorders>
            <w:shd w:val="clear" w:color="auto" w:fill="auto"/>
            <w:noWrap/>
            <w:vAlign w:val="center"/>
            <w:hideMark/>
          </w:tcPr>
          <w:p w14:paraId="07309FEF" w14:textId="77777777" w:rsidR="007376E1" w:rsidRPr="001570EA" w:rsidRDefault="007376E1">
            <w:pPr>
              <w:jc w:val="center"/>
              <w:rPr>
                <w:rFonts w:cs="Arial"/>
                <w:color w:val="000000"/>
                <w:sz w:val="18"/>
                <w:szCs w:val="18"/>
              </w:rPr>
            </w:pPr>
            <w:r w:rsidRPr="001570EA">
              <w:rPr>
                <w:rFonts w:cs="Arial"/>
                <w:color w:val="000000"/>
                <w:sz w:val="18"/>
                <w:szCs w:val="18"/>
              </w:rPr>
              <w:t>0.48</w:t>
            </w:r>
          </w:p>
        </w:tc>
        <w:tc>
          <w:tcPr>
            <w:tcW w:w="1170" w:type="dxa"/>
            <w:tcBorders>
              <w:top w:val="nil"/>
              <w:left w:val="nil"/>
              <w:bottom w:val="single" w:sz="8" w:space="0" w:color="000000"/>
              <w:right w:val="single" w:sz="8" w:space="0" w:color="000000"/>
            </w:tcBorders>
            <w:shd w:val="clear" w:color="auto" w:fill="auto"/>
            <w:noWrap/>
            <w:vAlign w:val="center"/>
            <w:hideMark/>
          </w:tcPr>
          <w:p w14:paraId="6F744D24" w14:textId="77777777" w:rsidR="007376E1" w:rsidRPr="001570EA" w:rsidRDefault="007376E1">
            <w:pPr>
              <w:jc w:val="center"/>
              <w:rPr>
                <w:rFonts w:cs="Arial"/>
                <w:color w:val="000000"/>
                <w:sz w:val="18"/>
                <w:szCs w:val="18"/>
              </w:rPr>
            </w:pPr>
            <w:r w:rsidRPr="001570EA">
              <w:rPr>
                <w:rFonts w:cs="Arial"/>
                <w:color w:val="000000"/>
                <w:sz w:val="18"/>
                <w:szCs w:val="18"/>
              </w:rPr>
              <w:t>0.29</w:t>
            </w:r>
          </w:p>
        </w:tc>
      </w:tr>
      <w:tr w:rsidR="007376E1" w:rsidRPr="001570EA" w14:paraId="415A1A22" w14:textId="77777777">
        <w:trPr>
          <w:trHeight w:val="205"/>
        </w:trPr>
        <w:tc>
          <w:tcPr>
            <w:tcW w:w="1720" w:type="dxa"/>
            <w:tcBorders>
              <w:top w:val="nil"/>
              <w:left w:val="single" w:sz="8" w:space="0" w:color="000000"/>
              <w:bottom w:val="single" w:sz="8" w:space="0" w:color="000000"/>
              <w:right w:val="single" w:sz="8" w:space="0" w:color="000000"/>
            </w:tcBorders>
            <w:shd w:val="clear" w:color="auto" w:fill="auto"/>
            <w:noWrap/>
            <w:vAlign w:val="center"/>
            <w:hideMark/>
          </w:tcPr>
          <w:p w14:paraId="7DABA4CD" w14:textId="77777777" w:rsidR="007376E1" w:rsidRPr="001570EA" w:rsidRDefault="007376E1">
            <w:pPr>
              <w:jc w:val="center"/>
              <w:rPr>
                <w:rFonts w:cs="Arial"/>
                <w:color w:val="000000"/>
                <w:sz w:val="18"/>
                <w:szCs w:val="18"/>
              </w:rPr>
            </w:pPr>
            <w:r w:rsidRPr="001570EA">
              <w:rPr>
                <w:rFonts w:cs="Arial"/>
                <w:color w:val="000000"/>
                <w:sz w:val="18"/>
                <w:szCs w:val="18"/>
              </w:rPr>
              <w:t>PPL</w:t>
            </w:r>
          </w:p>
        </w:tc>
        <w:tc>
          <w:tcPr>
            <w:tcW w:w="980" w:type="dxa"/>
            <w:tcBorders>
              <w:top w:val="nil"/>
              <w:left w:val="nil"/>
              <w:bottom w:val="single" w:sz="8" w:space="0" w:color="000000"/>
              <w:right w:val="single" w:sz="8" w:space="0" w:color="000000"/>
            </w:tcBorders>
            <w:shd w:val="clear" w:color="auto" w:fill="auto"/>
            <w:noWrap/>
            <w:vAlign w:val="center"/>
            <w:hideMark/>
          </w:tcPr>
          <w:p w14:paraId="3CDE37EC" w14:textId="77777777" w:rsidR="007376E1" w:rsidRPr="001570EA" w:rsidRDefault="007376E1">
            <w:pPr>
              <w:jc w:val="center"/>
              <w:rPr>
                <w:rFonts w:cs="Arial"/>
                <w:color w:val="000000"/>
                <w:sz w:val="18"/>
                <w:szCs w:val="18"/>
              </w:rPr>
            </w:pPr>
            <w:r w:rsidRPr="001570EA">
              <w:rPr>
                <w:rFonts w:cs="Arial"/>
                <w:color w:val="000000"/>
                <w:sz w:val="18"/>
                <w:szCs w:val="18"/>
              </w:rPr>
              <w:t>764</w:t>
            </w:r>
          </w:p>
        </w:tc>
        <w:tc>
          <w:tcPr>
            <w:tcW w:w="1100" w:type="dxa"/>
            <w:tcBorders>
              <w:top w:val="nil"/>
              <w:left w:val="nil"/>
              <w:bottom w:val="single" w:sz="8" w:space="0" w:color="000000"/>
              <w:right w:val="single" w:sz="8" w:space="0" w:color="000000"/>
            </w:tcBorders>
            <w:shd w:val="clear" w:color="auto" w:fill="auto"/>
            <w:noWrap/>
            <w:vAlign w:val="center"/>
            <w:hideMark/>
          </w:tcPr>
          <w:p w14:paraId="34141E7E" w14:textId="77777777" w:rsidR="007376E1" w:rsidRPr="001570EA" w:rsidRDefault="007376E1">
            <w:pPr>
              <w:jc w:val="center"/>
              <w:rPr>
                <w:rFonts w:cs="Arial"/>
                <w:color w:val="000000"/>
                <w:sz w:val="18"/>
                <w:szCs w:val="18"/>
              </w:rPr>
            </w:pPr>
            <w:r w:rsidRPr="001570EA">
              <w:rPr>
                <w:rFonts w:cs="Arial"/>
                <w:color w:val="000000"/>
                <w:sz w:val="18"/>
                <w:szCs w:val="18"/>
              </w:rPr>
              <w:t>1,198</w:t>
            </w:r>
          </w:p>
        </w:tc>
        <w:tc>
          <w:tcPr>
            <w:tcW w:w="1230" w:type="dxa"/>
            <w:tcBorders>
              <w:top w:val="nil"/>
              <w:left w:val="nil"/>
              <w:bottom w:val="single" w:sz="8" w:space="0" w:color="000000"/>
              <w:right w:val="single" w:sz="8" w:space="0" w:color="000000"/>
            </w:tcBorders>
            <w:shd w:val="clear" w:color="auto" w:fill="auto"/>
            <w:noWrap/>
            <w:vAlign w:val="center"/>
            <w:hideMark/>
          </w:tcPr>
          <w:p w14:paraId="02E2A5BD" w14:textId="77777777" w:rsidR="007376E1" w:rsidRPr="001570EA" w:rsidRDefault="007376E1">
            <w:pPr>
              <w:jc w:val="center"/>
              <w:rPr>
                <w:rFonts w:cs="Arial"/>
                <w:color w:val="000000"/>
                <w:sz w:val="18"/>
                <w:szCs w:val="18"/>
              </w:rPr>
            </w:pPr>
            <w:r w:rsidRPr="001570EA">
              <w:rPr>
                <w:rFonts w:cs="Arial"/>
                <w:color w:val="000000"/>
                <w:sz w:val="18"/>
                <w:szCs w:val="18"/>
              </w:rPr>
              <w:t>0.41</w:t>
            </w:r>
          </w:p>
        </w:tc>
        <w:tc>
          <w:tcPr>
            <w:tcW w:w="1170" w:type="dxa"/>
            <w:tcBorders>
              <w:top w:val="nil"/>
              <w:left w:val="nil"/>
              <w:bottom w:val="single" w:sz="8" w:space="0" w:color="000000"/>
              <w:right w:val="single" w:sz="8" w:space="0" w:color="000000"/>
            </w:tcBorders>
            <w:shd w:val="clear" w:color="auto" w:fill="auto"/>
            <w:noWrap/>
            <w:vAlign w:val="center"/>
            <w:hideMark/>
          </w:tcPr>
          <w:p w14:paraId="4BFCEE98" w14:textId="77777777" w:rsidR="007376E1" w:rsidRPr="001570EA" w:rsidRDefault="007376E1">
            <w:pPr>
              <w:jc w:val="center"/>
              <w:rPr>
                <w:rFonts w:cs="Arial"/>
                <w:color w:val="000000"/>
                <w:sz w:val="18"/>
                <w:szCs w:val="18"/>
              </w:rPr>
            </w:pPr>
            <w:r w:rsidRPr="001570EA">
              <w:rPr>
                <w:rFonts w:cs="Arial"/>
                <w:color w:val="000000"/>
                <w:sz w:val="18"/>
                <w:szCs w:val="18"/>
              </w:rPr>
              <w:t>0.35</w:t>
            </w:r>
          </w:p>
        </w:tc>
      </w:tr>
    </w:tbl>
    <w:p w14:paraId="38A95DD3" w14:textId="77777777" w:rsidR="007376E1" w:rsidRPr="001570EA" w:rsidRDefault="007376E1" w:rsidP="007376E1">
      <w:pPr>
        <w:pStyle w:val="Equation"/>
        <w:tabs>
          <w:tab w:val="left" w:pos="2160"/>
        </w:tabs>
        <w:ind w:left="0" w:firstLine="0"/>
        <w:rPr>
          <w:i w:val="0"/>
          <w:szCs w:val="20"/>
        </w:rPr>
      </w:pPr>
    </w:p>
    <w:p w14:paraId="54812877" w14:textId="7F9DD296" w:rsidR="007376E1" w:rsidRPr="001570EA" w:rsidRDefault="007376E1" w:rsidP="007376E1">
      <w:pPr>
        <w:pStyle w:val="Equation"/>
        <w:tabs>
          <w:tab w:val="left" w:pos="2160"/>
        </w:tabs>
        <w:ind w:left="0" w:firstLine="0"/>
      </w:pPr>
      <w:r w:rsidRPr="001570EA">
        <w:rPr>
          <w:i w:val="0"/>
          <w:szCs w:val="20"/>
        </w:rPr>
        <w:t xml:space="preserve">The composite factors in </w:t>
      </w:r>
      <w:r w:rsidRPr="001570EA">
        <w:rPr>
          <w:i w:val="0"/>
          <w:szCs w:val="20"/>
        </w:rPr>
        <w:fldChar w:fldCharType="begin"/>
      </w:r>
      <w:r w:rsidRPr="001570EA">
        <w:rPr>
          <w:i w:val="0"/>
          <w:szCs w:val="20"/>
        </w:rPr>
        <w:instrText xml:space="preserve"> REF _Ref69212625 \h  \* MERGEFORMAT </w:instrText>
      </w:r>
      <w:r w:rsidRPr="001570EA">
        <w:rPr>
          <w:i w:val="0"/>
          <w:szCs w:val="20"/>
        </w:rPr>
      </w:r>
      <w:r w:rsidRPr="001570EA">
        <w:rPr>
          <w:i w:val="0"/>
          <w:szCs w:val="20"/>
        </w:rPr>
        <w:fldChar w:fldCharType="separate"/>
      </w:r>
      <w:r w:rsidR="00384D95" w:rsidRPr="001570EA">
        <w:rPr>
          <w:i w:val="0"/>
          <w:szCs w:val="20"/>
        </w:rPr>
        <w:t xml:space="preserve">Table </w:t>
      </w:r>
      <w:r w:rsidR="00384D95" w:rsidRPr="001570EA">
        <w:rPr>
          <w:noProof/>
        </w:rPr>
        <w:t>2</w:t>
      </w:r>
      <w:r w:rsidR="00384D95" w:rsidRPr="001570EA">
        <w:rPr>
          <w:noProof/>
        </w:rPr>
        <w:noBreakHyphen/>
        <w:t>15</w:t>
      </w:r>
      <w:r w:rsidR="00384D95" w:rsidRPr="001570EA">
        <w:t>: EDC Climate Region Weighted Composite Factors</w:t>
      </w:r>
      <w:r w:rsidRPr="001570EA">
        <w:rPr>
          <w:i w:val="0"/>
          <w:szCs w:val="20"/>
        </w:rPr>
        <w:fldChar w:fldCharType="end"/>
      </w:r>
      <w:r w:rsidRPr="001570EA">
        <w:rPr>
          <w:i w:val="0"/>
          <w:szCs w:val="20"/>
        </w:rPr>
        <w:t xml:space="preserve"> are based on the climate dependent values from Appendix A of the 2026 Technical Reference Manual. Appendix A provides heating and cooling Equivalent Full Load Hours (EFLH) and Coincident Factors (CF) for each climate region, as well as climate region weights for each EDC, based on the overlap of the EDC territories and climate regions. EDCs are encouraged to use the factors for the installation location’s climate region, if it is possible to identify the region based on the premise address. Otherwise, the composite factors can be used as the default value for each EDC. The composite factors were developed as a weighted average of the EFLH and CF climate region values and the EDC weights for each climate region.</w:t>
      </w:r>
    </w:p>
    <w:p w14:paraId="79FA3BA3" w14:textId="77777777" w:rsidR="007376E1" w:rsidRPr="001570EA" w:rsidRDefault="007376E1" w:rsidP="007376E1">
      <w:pPr>
        <w:pStyle w:val="SubStyle"/>
      </w:pPr>
    </w:p>
    <w:p w14:paraId="0FCED753" w14:textId="77777777" w:rsidR="007376E1" w:rsidRPr="001570EA" w:rsidRDefault="007376E1" w:rsidP="007376E1">
      <w:pPr>
        <w:pStyle w:val="SubStyle"/>
      </w:pPr>
      <w:r w:rsidRPr="001570EA">
        <w:t>Evaluation Protocols</w:t>
      </w:r>
    </w:p>
    <w:p w14:paraId="0D274F6A" w14:textId="66A4A0A0" w:rsidR="007376E1" w:rsidRPr="001570EA" w:rsidRDefault="007376E1" w:rsidP="007376E1">
      <w:r w:rsidRPr="001570EA">
        <w:t xml:space="preserve">Midstream program delivery reduces the data collection requirements of EDCs, their implementation CSPs, and program participants. However, EDC evaluation contractors should validate the make and model of a statistically representative sample of program-supported equipment. The EDC evaluation contractor should also confirm that the installation premise is (a) served by the EDC that supplied the incentive (b) metered on a residential or master-metered multifamily electric tariff, using the installation address collected by the distributor. EDC evaluation contractors may also choose to recalculate the weighted average EFLH values in </w:t>
      </w:r>
      <w:r w:rsidRPr="001570EA">
        <w:fldChar w:fldCharType="begin"/>
      </w:r>
      <w:r w:rsidRPr="001570EA">
        <w:instrText xml:space="preserve"> REF _Ref69212625 \h  \* MERGEFORMAT </w:instrText>
      </w:r>
      <w:r w:rsidRPr="001570EA">
        <w:fldChar w:fldCharType="separate"/>
      </w:r>
      <w:r w:rsidR="00384D95" w:rsidRPr="001570EA">
        <w:t xml:space="preserve">Table </w:t>
      </w:r>
      <w:r w:rsidR="00384D95" w:rsidRPr="001570EA">
        <w:rPr>
          <w:noProof/>
        </w:rPr>
        <w:t>2</w:t>
      </w:r>
      <w:r w:rsidR="00384D95" w:rsidRPr="001570EA">
        <w:rPr>
          <w:noProof/>
        </w:rPr>
        <w:noBreakHyphen/>
        <w:t>15</w:t>
      </w:r>
      <w:r w:rsidR="00384D95" w:rsidRPr="001570EA">
        <w:t>: EDC Climate Region Weighted Composite Factors</w:t>
      </w:r>
      <w:r w:rsidRPr="001570EA">
        <w:fldChar w:fldCharType="end"/>
      </w:r>
      <w:r w:rsidRPr="001570EA">
        <w:t xml:space="preserve"> based on actual program participation. </w:t>
      </w:r>
    </w:p>
    <w:p w14:paraId="381E5B31" w14:textId="77777777" w:rsidR="007376E1" w:rsidRPr="001570EA" w:rsidRDefault="007376E1" w:rsidP="007376E1"/>
    <w:p w14:paraId="7F9D3DCA" w14:textId="77777777" w:rsidR="007376E1" w:rsidRPr="001570EA" w:rsidRDefault="007376E1" w:rsidP="007376E1">
      <w:pPr>
        <w:pStyle w:val="SubStyle"/>
      </w:pPr>
      <w:r w:rsidRPr="001570EA">
        <w:t>Sources</w:t>
      </w:r>
    </w:p>
    <w:p w14:paraId="4E586A2A" w14:textId="70B0779D" w:rsidR="007376E1" w:rsidRPr="001570EA" w:rsidRDefault="007376E1" w:rsidP="002614D2">
      <w:pPr>
        <w:pStyle w:val="ListParagraph"/>
        <w:numPr>
          <w:ilvl w:val="0"/>
          <w:numId w:val="47"/>
        </w:numPr>
        <w:overflowPunct/>
        <w:autoSpaceDE/>
        <w:autoSpaceDN/>
        <w:adjustRightInd/>
        <w:jc w:val="left"/>
        <w:textAlignment w:val="auto"/>
      </w:pPr>
      <w:r w:rsidRPr="001570EA">
        <w:t xml:space="preserve">California Electronic Technical Reference Manual. “SEER Rated AC and HP HVAC Equipment, Residential”. Accessed February 2024. </w:t>
      </w:r>
      <w:hyperlink r:id="rId46" w:history="1">
        <w:r w:rsidRPr="001570EA">
          <w:rPr>
            <w:rStyle w:val="Hyperlink"/>
          </w:rPr>
          <w:t>Weblink</w:t>
        </w:r>
      </w:hyperlink>
      <w:r w:rsidRPr="001570EA">
        <w:t xml:space="preserve"> </w:t>
      </w:r>
    </w:p>
    <w:p w14:paraId="30EDA9CC" w14:textId="6EE18F13" w:rsidR="007376E1" w:rsidRPr="001570EA" w:rsidRDefault="007376E1" w:rsidP="002614D2">
      <w:pPr>
        <w:pStyle w:val="source10"/>
        <w:numPr>
          <w:ilvl w:val="0"/>
          <w:numId w:val="47"/>
        </w:numPr>
        <w:tabs>
          <w:tab w:val="left" w:pos="720"/>
        </w:tabs>
        <w:spacing w:after="120"/>
        <w:jc w:val="left"/>
        <w:textAlignment w:val="auto"/>
      </w:pPr>
      <w:r w:rsidRPr="001570EA">
        <w:t xml:space="preserve">U.S. EPA. (2022). ENERGY STAR Program Requirements Product Specification for Central Air Conditioner and Heat Pump Equipment. Eligibility Criteria Version 6.1. </w:t>
      </w:r>
      <w:hyperlink r:id="rId47" w:history="1">
        <w:r w:rsidRPr="001570EA">
          <w:rPr>
            <w:rStyle w:val="Hyperlink"/>
          </w:rPr>
          <w:t>Weblink</w:t>
        </w:r>
      </w:hyperlink>
    </w:p>
    <w:p w14:paraId="2897B71A" w14:textId="71226EFB" w:rsidR="007376E1" w:rsidRPr="001570EA" w:rsidRDefault="007376E1" w:rsidP="002614D2">
      <w:pPr>
        <w:pStyle w:val="ListParagraph"/>
        <w:numPr>
          <w:ilvl w:val="0"/>
          <w:numId w:val="47"/>
        </w:numPr>
        <w:overflowPunct/>
        <w:autoSpaceDE/>
        <w:autoSpaceDN/>
        <w:adjustRightInd/>
        <w:jc w:val="left"/>
        <w:textAlignment w:val="auto"/>
        <w:rPr>
          <w:rFonts w:cs="Arial"/>
        </w:rPr>
      </w:pPr>
      <w:r w:rsidRPr="001570EA">
        <w:rPr>
          <w:rFonts w:cs="Arial"/>
        </w:rPr>
        <w:t>AHRI Institute Directory of Certified Product Performance</w:t>
      </w:r>
      <w:r w:rsidR="0047562B">
        <w:rPr>
          <w:rFonts w:cs="Arial"/>
        </w:rPr>
        <w:t>.</w:t>
      </w:r>
      <w:r w:rsidR="0047562B" w:rsidRPr="001570EA">
        <w:rPr>
          <w:rFonts w:cs="Arial"/>
        </w:rPr>
        <w:t xml:space="preserve"> </w:t>
      </w:r>
      <w:hyperlink r:id="rId48" w:history="1">
        <w:r w:rsidRPr="001570EA">
          <w:rPr>
            <w:rStyle w:val="Hyperlink"/>
            <w:rFonts w:cs="Arial"/>
          </w:rPr>
          <w:t>Weblink</w:t>
        </w:r>
      </w:hyperlink>
    </w:p>
    <w:p w14:paraId="5F581891" w14:textId="7066D8EA" w:rsidR="007376E1" w:rsidRPr="001570EA" w:rsidRDefault="007376E1" w:rsidP="002614D2">
      <w:pPr>
        <w:pStyle w:val="ListParagraph"/>
        <w:numPr>
          <w:ilvl w:val="0"/>
          <w:numId w:val="47"/>
        </w:numPr>
        <w:overflowPunct/>
        <w:autoSpaceDE/>
        <w:autoSpaceDN/>
        <w:adjustRightInd/>
        <w:jc w:val="left"/>
        <w:textAlignment w:val="auto"/>
        <w:rPr>
          <w:rFonts w:cs="Arial"/>
        </w:rPr>
      </w:pPr>
      <w:r w:rsidRPr="001570EA">
        <w:t xml:space="preserve">For ASHP, CAC: Federal Code of Regulations 10 CFR 430.32(c). Federal Code of Regulations 10 CFR 430.32(c). </w:t>
      </w:r>
      <w:hyperlink r:id="rId49" w:anchor="p-430.32(c)" w:history="1">
        <w:r w:rsidRPr="001570EA">
          <w:rPr>
            <w:rStyle w:val="Hyperlink"/>
          </w:rPr>
          <w:t>Weblink</w:t>
        </w:r>
      </w:hyperlink>
      <w:r w:rsidRPr="001570EA">
        <w:t xml:space="preserve"> </w:t>
      </w:r>
      <w:r w:rsidRPr="001570EA">
        <w:br/>
        <w:t xml:space="preserve">For PTAC/PTHPs: Federal Code of Regulations 10 CFR 431.97(c): </w:t>
      </w:r>
      <w:hyperlink r:id="rId50" w:anchor="p-431.97(c)" w:history="1">
        <w:r w:rsidRPr="001570EA">
          <w:rPr>
            <w:rStyle w:val="Hyperlink"/>
          </w:rPr>
          <w:t>Weblink</w:t>
        </w:r>
      </w:hyperlink>
      <w:r w:rsidRPr="001570EA">
        <w:t xml:space="preserve"> </w:t>
      </w:r>
      <w:r w:rsidRPr="001570EA">
        <w:br/>
        <w:t xml:space="preserve">As per IECC Residential code (Section R403.7), the requirements for all mechanical systems are stipulated to be federal minimums. Since there are no federal standards for Residential GSHP/PTAC/PTHPs, the C&amp;I standards act as a proxy. </w:t>
      </w:r>
    </w:p>
    <w:p w14:paraId="51B34E63" w14:textId="34F1F027" w:rsidR="007376E1" w:rsidRPr="001570EA" w:rsidRDefault="007376E1" w:rsidP="002614D2">
      <w:pPr>
        <w:pStyle w:val="ListParagraph"/>
        <w:numPr>
          <w:ilvl w:val="0"/>
          <w:numId w:val="47"/>
        </w:numPr>
        <w:overflowPunct/>
        <w:autoSpaceDE/>
        <w:autoSpaceDN/>
        <w:adjustRightInd/>
        <w:jc w:val="left"/>
        <w:textAlignment w:val="auto"/>
        <w:rPr>
          <w:rFonts w:cs="Arial"/>
        </w:rPr>
      </w:pPr>
      <w:bookmarkStart w:id="201" w:name="_Hlk162262897"/>
      <w:r w:rsidRPr="001570EA">
        <w:rPr>
          <w:rFonts w:cs="Arial"/>
          <w:color w:val="000000"/>
        </w:rPr>
        <w:t>Average EER for SEER 13 units as calculated by EER = -0.02 × SEER² + 1.12 × SEER based on Wassmer, M., (2003), “A Component-Based Model for Residential Air Conditioner and Heat Pump Energy Calculations” as cited in U.S. DOE Building America House Simulation Protocol, Revised 2010.</w:t>
      </w:r>
      <w:r w:rsidR="00045A65">
        <w:rPr>
          <w:rFonts w:cs="Arial"/>
          <w:color w:val="000000"/>
        </w:rPr>
        <w:t xml:space="preserve"> </w:t>
      </w:r>
      <w:hyperlink r:id="rId51" w:history="1">
        <w:r w:rsidRPr="001570EA">
          <w:rPr>
            <w:rStyle w:val="Hyperlink"/>
            <w:rFonts w:cs="Arial"/>
          </w:rPr>
          <w:t>Weblink</w:t>
        </w:r>
      </w:hyperlink>
    </w:p>
    <w:bookmarkEnd w:id="201"/>
    <w:p w14:paraId="66D31264" w14:textId="55EC7ABE" w:rsidR="007376E1" w:rsidRPr="001570EA" w:rsidRDefault="007376E1" w:rsidP="002614D2">
      <w:pPr>
        <w:pStyle w:val="ListParagraph"/>
        <w:numPr>
          <w:ilvl w:val="0"/>
          <w:numId w:val="47"/>
        </w:numPr>
        <w:overflowPunct/>
        <w:autoSpaceDE/>
        <w:autoSpaceDN/>
        <w:adjustRightInd/>
        <w:jc w:val="left"/>
        <w:textAlignment w:val="auto"/>
      </w:pPr>
      <w:r w:rsidRPr="001570EA">
        <w:t>Based on the Phase III SWE team’s analysis of regional HVAC runtime data collected from ecobee’s Donate Your Data research service (</w:t>
      </w:r>
      <w:hyperlink r:id="rId52" w:history="1">
        <w:r w:rsidRPr="001570EA">
          <w:rPr>
            <w:rStyle w:val="Hyperlink"/>
          </w:rPr>
          <w:t>Weblink</w:t>
        </w:r>
      </w:hyperlink>
      <w:r w:rsidRPr="001570EA">
        <w:t>) and updated based on the latest CDD and HDD values from NOAA’s 15-year annual climate Normals (2006–2020) (</w:t>
      </w:r>
      <w:hyperlink r:id="rId53" w:history="1">
        <w:r w:rsidRPr="001570EA">
          <w:rPr>
            <w:rStyle w:val="Hyperlink"/>
          </w:rPr>
          <w:t>Weblink</w:t>
        </w:r>
      </w:hyperlink>
      <w:r w:rsidRPr="001570EA">
        <w:t>)</w:t>
      </w:r>
      <w:r w:rsidRPr="001570EA">
        <w:rPr>
          <w:b/>
          <w:color w:val="FFFFFF" w:themeColor="background1"/>
        </w:rPr>
        <w:br w:type="page"/>
      </w:r>
    </w:p>
    <w:p w14:paraId="4A756BC8" w14:textId="77777777" w:rsidR="007376E1" w:rsidRPr="001570EA" w:rsidRDefault="007376E1" w:rsidP="007376E1">
      <w:pPr>
        <w:jc w:val="left"/>
        <w:sectPr w:rsidR="007376E1" w:rsidRPr="001570EA" w:rsidSect="002D556C">
          <w:footerReference w:type="default" r:id="rId54"/>
          <w:footerReference w:type="first" r:id="rId55"/>
          <w:pgSz w:w="12240" w:h="15840"/>
          <w:pgMar w:top="1440" w:right="1800" w:bottom="1440" w:left="1800" w:header="720" w:footer="501" w:gutter="0"/>
          <w:cols w:space="720"/>
        </w:sectPr>
      </w:pPr>
    </w:p>
    <w:p w14:paraId="15B4AF40" w14:textId="77777777" w:rsidR="007376E1" w:rsidRPr="001570EA" w:rsidRDefault="007376E1" w:rsidP="00462D97">
      <w:pPr>
        <w:pStyle w:val="Heading3"/>
      </w:pPr>
      <w:bookmarkStart w:id="202" w:name="_Ref531773997"/>
      <w:bookmarkStart w:id="203" w:name="_Ref534371356"/>
      <w:bookmarkStart w:id="204" w:name="_Ref534371975"/>
      <w:bookmarkStart w:id="205" w:name="_Toc48143017"/>
      <w:bookmarkStart w:id="206" w:name="_Toc164786636"/>
      <w:r w:rsidRPr="001570EA">
        <w:t>High Efficiency Equipment: Ductless Heat Pumps</w:t>
      </w:r>
      <w:bookmarkEnd w:id="202"/>
      <w:r w:rsidRPr="001570EA">
        <w:t xml:space="preserve"> with Midstream Delivery Option</w:t>
      </w:r>
      <w:bookmarkEnd w:id="203"/>
      <w:bookmarkEnd w:id="204"/>
      <w:bookmarkEnd w:id="205"/>
      <w:bookmarkEnd w:id="206"/>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51"/>
        <w:gridCol w:w="4961"/>
      </w:tblGrid>
      <w:tr w:rsidR="007376E1" w:rsidRPr="001570EA" w14:paraId="4A1B84FF"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FB3EAB0" w14:textId="77777777" w:rsidR="007376E1" w:rsidRPr="001570EA" w:rsidRDefault="007376E1">
            <w:pPr>
              <w:pStyle w:val="TableCell"/>
              <w:spacing w:before="60" w:after="60"/>
              <w:rPr>
                <w:b/>
                <w:bCs/>
                <w:color w:val="000000"/>
              </w:rPr>
            </w:pPr>
            <w:r w:rsidRPr="001570EA">
              <w:rPr>
                <w:b/>
                <w:bCs/>
                <w:color w:val="000000"/>
              </w:rPr>
              <w:t>Target Sector</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43F43DE" w14:textId="77777777" w:rsidR="007376E1" w:rsidRPr="001570EA" w:rsidRDefault="007376E1">
            <w:pPr>
              <w:pStyle w:val="TableCell"/>
              <w:spacing w:before="60" w:after="60"/>
              <w:jc w:val="center"/>
              <w:rPr>
                <w:color w:val="000000"/>
              </w:rPr>
            </w:pPr>
            <w:r w:rsidRPr="001570EA">
              <w:rPr>
                <w:color w:val="000000"/>
              </w:rPr>
              <w:t>Residential</w:t>
            </w:r>
          </w:p>
        </w:tc>
      </w:tr>
      <w:tr w:rsidR="007376E1" w:rsidRPr="001570EA" w14:paraId="193C0904"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1CCA1350" w14:textId="77777777" w:rsidR="007376E1" w:rsidRPr="001570EA" w:rsidRDefault="007376E1">
            <w:pPr>
              <w:pStyle w:val="TableCell"/>
              <w:spacing w:before="60" w:after="60"/>
              <w:rPr>
                <w:b/>
                <w:bCs/>
                <w:color w:val="000000"/>
              </w:rPr>
            </w:pPr>
            <w:r w:rsidRPr="001570EA">
              <w:rPr>
                <w:b/>
                <w:bCs/>
                <w:color w:val="000000"/>
              </w:rPr>
              <w:t>Measure Unit</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0F53B464" w14:textId="77777777" w:rsidR="007376E1" w:rsidRPr="001570EA" w:rsidRDefault="007376E1">
            <w:pPr>
              <w:pStyle w:val="TableCell"/>
              <w:spacing w:before="60" w:after="60"/>
              <w:jc w:val="center"/>
              <w:rPr>
                <w:color w:val="000000"/>
              </w:rPr>
            </w:pPr>
            <w:r w:rsidRPr="001570EA">
              <w:rPr>
                <w:color w:val="000000"/>
              </w:rPr>
              <w:t>Ductless Heat Pump Unit</w:t>
            </w:r>
          </w:p>
        </w:tc>
      </w:tr>
      <w:tr w:rsidR="007376E1" w:rsidRPr="001570EA" w14:paraId="63AF716C"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2F32AA22" w14:textId="77777777" w:rsidR="007376E1" w:rsidRPr="001570EA" w:rsidRDefault="007376E1">
            <w:pPr>
              <w:pStyle w:val="TableCell"/>
              <w:spacing w:before="60" w:after="60"/>
              <w:rPr>
                <w:b/>
                <w:bCs/>
                <w:color w:val="000000"/>
              </w:rPr>
            </w:pPr>
            <w:r w:rsidRPr="001570EA">
              <w:rPr>
                <w:b/>
                <w:bCs/>
                <w:color w:val="000000"/>
              </w:rPr>
              <w:t>Measure Life</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5B59F5C" w14:textId="77777777" w:rsidR="007376E1" w:rsidRPr="001570EA" w:rsidRDefault="007376E1">
            <w:pPr>
              <w:pStyle w:val="TableCell"/>
              <w:spacing w:before="60" w:after="60"/>
              <w:jc w:val="center"/>
              <w:rPr>
                <w:color w:val="000000"/>
                <w:vertAlign w:val="superscript"/>
              </w:rPr>
            </w:pPr>
            <w:r w:rsidRPr="001570EA">
              <w:rPr>
                <w:color w:val="000000"/>
              </w:rPr>
              <w:t>15 years</w:t>
            </w:r>
            <w:r w:rsidRPr="001570EA">
              <w:rPr>
                <w:color w:val="000000"/>
                <w:vertAlign w:val="superscript"/>
              </w:rPr>
              <w:t>Source 1</w:t>
            </w:r>
          </w:p>
        </w:tc>
      </w:tr>
      <w:tr w:rsidR="007376E1" w:rsidRPr="001570EA" w14:paraId="2922411F"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5C9F36BE" w14:textId="77777777" w:rsidR="007376E1" w:rsidRPr="001570EA" w:rsidRDefault="007376E1">
            <w:pPr>
              <w:pStyle w:val="TableCell"/>
              <w:spacing w:before="60" w:after="60"/>
              <w:rPr>
                <w:b/>
                <w:bCs/>
                <w:color w:val="000000"/>
              </w:rPr>
            </w:pPr>
            <w:r w:rsidRPr="001570EA">
              <w:rPr>
                <w:b/>
                <w:bCs/>
                <w:color w:val="000000"/>
              </w:rPr>
              <w:t>Vintage</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303F030" w14:textId="77777777" w:rsidR="007376E1" w:rsidRPr="001570EA" w:rsidRDefault="007376E1">
            <w:pPr>
              <w:pStyle w:val="TableCell"/>
              <w:spacing w:before="60" w:after="60"/>
              <w:jc w:val="center"/>
              <w:rPr>
                <w:color w:val="000000"/>
              </w:rPr>
            </w:pPr>
            <w:r w:rsidRPr="001570EA">
              <w:rPr>
                <w:color w:val="000000"/>
              </w:rPr>
              <w:t>Early Replacement, Replace on Burnout, New Construction</w:t>
            </w:r>
          </w:p>
        </w:tc>
      </w:tr>
    </w:tbl>
    <w:p w14:paraId="22291A61" w14:textId="77777777" w:rsidR="007376E1" w:rsidRPr="001570EA" w:rsidRDefault="007376E1" w:rsidP="007376E1"/>
    <w:p w14:paraId="1DE5C618" w14:textId="510875F0" w:rsidR="007376E1" w:rsidRPr="001570EA" w:rsidRDefault="007376E1" w:rsidP="007376E1">
      <w:r w:rsidRPr="001570EA">
        <w:t>ENERGY STAR Version 6.1 ductless “mini-split” heat pumps technology is typically used to convert an electric resistance heated home into an efficient single or multi-zonal ductless heat pump system. Equipment will be considered eligible if it meets the efficiency requirements in ENERGY STAR Version 6.1.</w:t>
      </w:r>
      <w:r w:rsidRPr="001570EA">
        <w:rPr>
          <w:color w:val="000000"/>
          <w:vertAlign w:val="superscript"/>
        </w:rPr>
        <w:t>Source 2</w:t>
      </w:r>
      <w:r w:rsidRPr="001570EA">
        <w:t xml:space="preserve"> </w:t>
      </w:r>
    </w:p>
    <w:p w14:paraId="12ED4BCE" w14:textId="77777777" w:rsidR="007376E1" w:rsidRPr="001570EA" w:rsidRDefault="007376E1" w:rsidP="007376E1"/>
    <w:p w14:paraId="3481E372" w14:textId="77777777" w:rsidR="007376E1" w:rsidRPr="001570EA" w:rsidRDefault="007376E1" w:rsidP="007376E1">
      <w:r w:rsidRPr="001570EA">
        <w:t>Cooling savings may also be claimed under this measure for quality installation of properly sized new equipment, though not for equipment delivered through midstream programs.</w:t>
      </w:r>
    </w:p>
    <w:p w14:paraId="75FF5C6F" w14:textId="77777777" w:rsidR="007376E1" w:rsidRPr="001570EA" w:rsidRDefault="007376E1" w:rsidP="007376E1"/>
    <w:p w14:paraId="608A0E3A" w14:textId="77777777" w:rsidR="007376E1" w:rsidRPr="001570EA" w:rsidRDefault="007376E1" w:rsidP="007376E1">
      <w:pPr>
        <w:pStyle w:val="SubStyle"/>
      </w:pPr>
      <w:r w:rsidRPr="001570EA">
        <w:t>Eligibility</w:t>
      </w:r>
    </w:p>
    <w:p w14:paraId="2B50A34F" w14:textId="77777777" w:rsidR="007376E1" w:rsidRPr="001570EA" w:rsidRDefault="007376E1" w:rsidP="007376E1">
      <w:pPr>
        <w:pStyle w:val="BodyText"/>
        <w:spacing w:after="120"/>
        <w:ind w:right="0"/>
      </w:pPr>
      <w:r w:rsidRPr="001570EA">
        <w:t xml:space="preserve">This protocol documents the energy savings attributed to ductless heat pumps. Eligible equipment must meet ENERGY STAR Version 6.1 requirements. </w:t>
      </w:r>
    </w:p>
    <w:p w14:paraId="4F95D82D" w14:textId="77777777" w:rsidR="007376E1" w:rsidRPr="001570EA" w:rsidRDefault="007376E1" w:rsidP="007376E1">
      <w:pPr>
        <w:spacing w:after="120"/>
      </w:pPr>
      <w:r w:rsidRPr="001570EA">
        <w:t>The baseline heating system could be:</w:t>
      </w:r>
    </w:p>
    <w:p w14:paraId="42932551" w14:textId="77777777" w:rsidR="007376E1" w:rsidRPr="001570EA" w:rsidRDefault="007376E1" w:rsidP="002614D2">
      <w:pPr>
        <w:pStyle w:val="ListParagraph"/>
        <w:numPr>
          <w:ilvl w:val="0"/>
          <w:numId w:val="27"/>
        </w:numPr>
        <w:ind w:left="360"/>
        <w:rPr>
          <w:rFonts w:cs="Arial"/>
        </w:rPr>
      </w:pPr>
      <w:r w:rsidRPr="001570EA">
        <w:t>Existing electric resistance heating</w:t>
      </w:r>
    </w:p>
    <w:p w14:paraId="220B6EA4" w14:textId="77777777" w:rsidR="007376E1" w:rsidRPr="001570EA" w:rsidRDefault="007376E1" w:rsidP="002614D2">
      <w:pPr>
        <w:pStyle w:val="ListParagraph"/>
        <w:numPr>
          <w:ilvl w:val="0"/>
          <w:numId w:val="27"/>
        </w:numPr>
        <w:ind w:left="360"/>
        <w:rPr>
          <w:rFonts w:cs="Arial"/>
        </w:rPr>
      </w:pPr>
      <w:r w:rsidRPr="001570EA">
        <w:t>Electric space heaters used as the primary heating source when fossil fuel (other than natural gas) heating systems failed (referred to as de facto heating)</w:t>
      </w:r>
      <w:r w:rsidRPr="001570EA">
        <w:rPr>
          <w:rStyle w:val="FootnoteReference"/>
          <w:sz w:val="18"/>
        </w:rPr>
        <w:t xml:space="preserve"> </w:t>
      </w:r>
    </w:p>
    <w:p w14:paraId="2BA057BB" w14:textId="77777777" w:rsidR="007376E1" w:rsidRPr="001570EA" w:rsidRDefault="007376E1" w:rsidP="002614D2">
      <w:pPr>
        <w:pStyle w:val="ListParagraph"/>
        <w:numPr>
          <w:ilvl w:val="0"/>
          <w:numId w:val="27"/>
        </w:numPr>
        <w:ind w:left="360"/>
        <w:rPr>
          <w:rFonts w:cs="Arial"/>
        </w:rPr>
      </w:pPr>
      <w:r w:rsidRPr="001570EA">
        <w:t>A lower-efficiency ductless heat pump system</w:t>
      </w:r>
    </w:p>
    <w:p w14:paraId="415265B8" w14:textId="77777777" w:rsidR="007376E1" w:rsidRPr="001570EA" w:rsidRDefault="007376E1" w:rsidP="002614D2">
      <w:pPr>
        <w:pStyle w:val="ListParagraph"/>
        <w:numPr>
          <w:ilvl w:val="0"/>
          <w:numId w:val="27"/>
        </w:numPr>
        <w:ind w:left="360"/>
        <w:rPr>
          <w:rFonts w:cs="Arial"/>
        </w:rPr>
      </w:pPr>
      <w:r w:rsidRPr="001570EA">
        <w:t>A ducted heat pump</w:t>
      </w:r>
    </w:p>
    <w:p w14:paraId="111513F2" w14:textId="77777777" w:rsidR="007376E1" w:rsidRPr="001570EA" w:rsidRDefault="007376E1" w:rsidP="002614D2">
      <w:pPr>
        <w:pStyle w:val="ListParagraph"/>
        <w:numPr>
          <w:ilvl w:val="0"/>
          <w:numId w:val="27"/>
        </w:numPr>
        <w:ind w:left="360"/>
        <w:rPr>
          <w:rFonts w:cs="Arial"/>
        </w:rPr>
      </w:pPr>
      <w:r w:rsidRPr="001570EA">
        <w:t>Electric furnace</w:t>
      </w:r>
    </w:p>
    <w:p w14:paraId="70AAE50E" w14:textId="77777777" w:rsidR="007376E1" w:rsidRPr="001570EA" w:rsidRDefault="007376E1" w:rsidP="002614D2">
      <w:pPr>
        <w:pStyle w:val="ListParagraph"/>
        <w:numPr>
          <w:ilvl w:val="0"/>
          <w:numId w:val="27"/>
        </w:numPr>
        <w:spacing w:after="0"/>
        <w:ind w:left="360"/>
        <w:rPr>
          <w:rFonts w:cs="Arial"/>
        </w:rPr>
      </w:pPr>
      <w:r w:rsidRPr="001570EA">
        <w:t>A non-electric fuel-based system (Implicit assumption in the Midstream route that a non-electric fuel/no heat baseline will be replaced with a minimum efficiency electric system).</w:t>
      </w:r>
    </w:p>
    <w:p w14:paraId="6722487D" w14:textId="77777777" w:rsidR="007376E1" w:rsidRPr="001570EA" w:rsidRDefault="007376E1" w:rsidP="007376E1"/>
    <w:p w14:paraId="2943CDBC" w14:textId="77777777" w:rsidR="007376E1" w:rsidRPr="001570EA" w:rsidRDefault="007376E1" w:rsidP="007376E1">
      <w:pPr>
        <w:spacing w:after="120"/>
        <w:rPr>
          <w:rFonts w:cs="Arial"/>
        </w:rPr>
      </w:pPr>
      <w:r w:rsidRPr="001570EA">
        <w:rPr>
          <w:rFonts w:cs="Arial"/>
        </w:rPr>
        <w:t>The baseline cooling system can be:</w:t>
      </w:r>
    </w:p>
    <w:p w14:paraId="29387579" w14:textId="77777777" w:rsidR="007376E1" w:rsidRPr="001570EA" w:rsidRDefault="007376E1" w:rsidP="002614D2">
      <w:pPr>
        <w:pStyle w:val="ListParagraph"/>
        <w:numPr>
          <w:ilvl w:val="0"/>
          <w:numId w:val="37"/>
        </w:numPr>
        <w:ind w:left="360"/>
        <w:rPr>
          <w:rFonts w:cs="Arial"/>
        </w:rPr>
      </w:pPr>
      <w:r w:rsidRPr="001570EA">
        <w:rPr>
          <w:rFonts w:cs="Arial"/>
        </w:rPr>
        <w:t>A standard efficiency heat pump system</w:t>
      </w:r>
    </w:p>
    <w:p w14:paraId="75FF6411" w14:textId="77777777" w:rsidR="007376E1" w:rsidRPr="001570EA" w:rsidRDefault="007376E1" w:rsidP="002614D2">
      <w:pPr>
        <w:pStyle w:val="ListParagraph"/>
        <w:numPr>
          <w:ilvl w:val="0"/>
          <w:numId w:val="37"/>
        </w:numPr>
        <w:ind w:left="360"/>
        <w:rPr>
          <w:rFonts w:cs="Arial"/>
        </w:rPr>
      </w:pPr>
      <w:r w:rsidRPr="001570EA">
        <w:rPr>
          <w:rFonts w:cs="Arial"/>
        </w:rPr>
        <w:t>A central air conditioning system</w:t>
      </w:r>
    </w:p>
    <w:p w14:paraId="61AEDA75" w14:textId="77777777" w:rsidR="007376E1" w:rsidRPr="001570EA" w:rsidRDefault="007376E1" w:rsidP="002614D2">
      <w:pPr>
        <w:pStyle w:val="ListParagraph"/>
        <w:numPr>
          <w:ilvl w:val="0"/>
          <w:numId w:val="37"/>
        </w:numPr>
        <w:spacing w:after="0"/>
        <w:ind w:left="360"/>
        <w:rPr>
          <w:rFonts w:cs="Arial"/>
        </w:rPr>
      </w:pPr>
      <w:r w:rsidRPr="001570EA">
        <w:rPr>
          <w:rFonts w:cs="Arial"/>
        </w:rPr>
        <w:t>A room air conditioner</w:t>
      </w:r>
    </w:p>
    <w:p w14:paraId="0BFFA521" w14:textId="77777777" w:rsidR="007376E1" w:rsidRPr="001570EA" w:rsidRDefault="007376E1" w:rsidP="008D728A">
      <w:pPr>
        <w:pStyle w:val="BodyText"/>
        <w:ind w:right="0"/>
      </w:pPr>
    </w:p>
    <w:p w14:paraId="696EA8AB" w14:textId="07F3C2CF" w:rsidR="007376E1" w:rsidRPr="001570EA" w:rsidRDefault="007376E1" w:rsidP="008D728A">
      <w:pPr>
        <w:pStyle w:val="BodyText"/>
        <w:ind w:right="0"/>
      </w:pPr>
      <w:r w:rsidRPr="001570EA">
        <w:t xml:space="preserve">For new construction or addition applications, the baseline assumption is a standard-efficiency ductless unit (See </w:t>
      </w:r>
      <w:r w:rsidR="000F46A4" w:rsidRPr="001570EA">
        <w:fldChar w:fldCharType="begin"/>
      </w:r>
      <w:r w:rsidR="000F46A4" w:rsidRPr="001570EA">
        <w:instrText xml:space="preserve"> REF _Ref163831888 \h  \* MERGEFORMAT </w:instrText>
      </w:r>
      <w:r w:rsidR="000F46A4" w:rsidRPr="001570EA">
        <w:fldChar w:fldCharType="separate"/>
      </w:r>
      <w:r w:rsidR="00384D95" w:rsidRPr="001570EA">
        <w:t xml:space="preserve">Table </w:t>
      </w:r>
      <w:r w:rsidR="00384D95" w:rsidRPr="001570EA">
        <w:rPr>
          <w:noProof/>
        </w:rPr>
        <w:t>2</w:t>
      </w:r>
      <w:r w:rsidR="00384D95" w:rsidRPr="001570EA">
        <w:rPr>
          <w:noProof/>
        </w:rPr>
        <w:noBreakHyphen/>
        <w:t>16</w:t>
      </w:r>
      <w:r w:rsidR="000F46A4" w:rsidRPr="001570EA">
        <w:fldChar w:fldCharType="end"/>
      </w:r>
      <w:r w:rsidRPr="001570EA">
        <w:t>)</w:t>
      </w:r>
      <w:r w:rsidRPr="001570EA">
        <w:rPr>
          <w:rFonts w:cs="Arial"/>
        </w:rPr>
        <w:t xml:space="preserve">. DHP systems may be installed as the primary heating or cooling system for the house or as a secondary heating or cooling system for a single room. </w:t>
      </w:r>
      <w:r w:rsidRPr="001570EA">
        <w:t>Cooling savings claimed from proper sizing requires Manual J calculations, following of ENERGY STAR HVAC Quality Installation procedures, or similar calculations. Residential buildings with properly sized baseline equipment are excluded from claiming savings from proper sizing.</w:t>
      </w:r>
    </w:p>
    <w:p w14:paraId="5549A57A" w14:textId="77777777" w:rsidR="007376E1" w:rsidRPr="001570EA" w:rsidRDefault="007376E1" w:rsidP="007376E1">
      <w:pPr>
        <w:rPr>
          <w:rFonts w:cs="Arial"/>
        </w:rPr>
      </w:pPr>
    </w:p>
    <w:p w14:paraId="055E0EBE" w14:textId="77777777" w:rsidR="007376E1" w:rsidRPr="001570EA" w:rsidRDefault="007376E1" w:rsidP="007376E1">
      <w:pPr>
        <w:pStyle w:val="SubStyle"/>
      </w:pPr>
      <w:r w:rsidRPr="001570EA">
        <w:t>Midstream HVAC Overview</w:t>
      </w:r>
    </w:p>
    <w:p w14:paraId="04684533" w14:textId="77777777" w:rsidR="007376E1" w:rsidRPr="001570EA" w:rsidRDefault="007376E1" w:rsidP="000F46A4">
      <w:r w:rsidRPr="001570EA">
        <w:t xml:space="preserve">Residential ductless mini-split heat pumps midstream delivery programs will offer incentives on eligible products sold to trade allies and customers through residential sales channels such as distributors of HVAC products. This complements other delivery channels (such as downstream rebates to trade allies and customers) by providing incentives to encourage distributors to stock, promote, and sell more efficient systems. </w:t>
      </w:r>
    </w:p>
    <w:p w14:paraId="2F337584" w14:textId="77777777" w:rsidR="007376E1" w:rsidRPr="001570EA" w:rsidRDefault="007376E1" w:rsidP="007376E1">
      <w:r w:rsidRPr="001570EA">
        <w:t>Midstream savings calculations rely on composite baseline information formulated by blending historical participant data from PECO’s downstream programs for PY8 to PY9 and PPL’s programs from PY8 to PY10Q1 with the existing PA TRM deemed values for the downstream incentive program. See “Midstream Composite Baseline Calculations” below. Cooling savings from proper sizing cannot be claimed under midstream delivery programs.</w:t>
      </w:r>
    </w:p>
    <w:p w14:paraId="64302770" w14:textId="77777777" w:rsidR="007376E1" w:rsidRPr="001570EA" w:rsidRDefault="007376E1" w:rsidP="007376E1">
      <w:pPr>
        <w:rPr>
          <w:rFonts w:cs="Arial"/>
        </w:rPr>
      </w:pPr>
    </w:p>
    <w:p w14:paraId="2665CF67" w14:textId="77777777" w:rsidR="007376E1" w:rsidRPr="001570EA" w:rsidRDefault="007376E1" w:rsidP="007376E1">
      <w:pPr>
        <w:pStyle w:val="SubStyle"/>
      </w:pPr>
      <w:r w:rsidRPr="001570EA">
        <w:t>Algorithms</w:t>
      </w:r>
    </w:p>
    <w:p w14:paraId="2AD2627C" w14:textId="77777777" w:rsidR="007376E1" w:rsidRPr="001570EA" w:rsidRDefault="007376E1" w:rsidP="007376E1">
      <w:pPr>
        <w:spacing w:after="120"/>
      </w:pPr>
      <w:r w:rsidRPr="001570EA">
        <w:rPr>
          <w:rFonts w:cs="Arial"/>
        </w:rPr>
        <w:t xml:space="preserve">The savings depend on three main factors: baseline condition, usage (primary or secondary heating system), and the capacity of the indoor unit. </w:t>
      </w:r>
      <w:r w:rsidRPr="001570EA">
        <w:t>This algorithm is used for the installation of new high efficiency air conditioners or heat pumps. For non-midstream delivery methods, if there are multiple zones, each zone should be calculated separately. For midstream delivery, composite values are provided.</w:t>
      </w:r>
    </w:p>
    <w:p w14:paraId="6418EE22" w14:textId="77777777" w:rsidR="007376E1" w:rsidRPr="001570EA" w:rsidRDefault="007376E1" w:rsidP="007376E1">
      <w:pPr>
        <w:pStyle w:val="Equation"/>
        <w:rPr>
          <w:rFonts w:cs="Arial"/>
          <w:sz w:val="16"/>
          <w:vertAlign w:val="subscript"/>
        </w:rPr>
      </w:pPr>
    </w:p>
    <w:p w14:paraId="2B748C4F" w14:textId="77777777" w:rsidR="007376E1" w:rsidRPr="001570EA" w:rsidRDefault="007376E1" w:rsidP="007376E1">
      <w:pPr>
        <w:tabs>
          <w:tab w:val="left" w:pos="1440"/>
        </w:tabs>
        <w:rPr>
          <w:rFonts w:cs="Arial"/>
        </w:rPr>
      </w:pPr>
      <w:r w:rsidRPr="001570EA">
        <w:rPr>
          <w:rFonts w:ascii="Cambria Math" w:hAnsi="Cambria Math" w:cs="Arial"/>
          <w:i/>
          <w:iCs/>
        </w:rPr>
        <w:t>ΔkWh</w:t>
      </w:r>
      <w:r w:rsidRPr="001570EA">
        <w:rPr>
          <w:rFonts w:ascii="Cambria Math" w:hAnsi="Cambria Math" w:cs="Arial"/>
          <w:i/>
          <w:iCs/>
        </w:rPr>
        <w:tab/>
      </w:r>
      <m:oMath>
        <m:r>
          <w:rPr>
            <w:rFonts w:ascii="Cambria Math" w:hAnsi="Cambria Math" w:cs="Arial"/>
          </w:rPr>
          <m:t>=</m:t>
        </m:r>
        <m:sSub>
          <m:sSubPr>
            <m:ctrlPr>
              <w:rPr>
                <w:rFonts w:ascii="Cambria Math" w:hAnsi="Cambria Math" w:cs="Arial"/>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cool</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heat</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PSF</m:t>
            </m:r>
          </m:sub>
        </m:sSub>
      </m:oMath>
    </w:p>
    <w:p w14:paraId="31377324" w14:textId="77777777" w:rsidR="007376E1" w:rsidRPr="001570EA" w:rsidRDefault="007376E1" w:rsidP="007376E1">
      <w:pPr>
        <w:pStyle w:val="Equation"/>
        <w:rPr>
          <w:rFonts w:cs="Arial"/>
          <w:sz w:val="16"/>
          <w:vertAlign w:val="subscript"/>
        </w:rPr>
      </w:pPr>
    </w:p>
    <w:p w14:paraId="3748E7A6" w14:textId="77777777" w:rsidR="007376E1" w:rsidRPr="001570EA" w:rsidRDefault="007376E1" w:rsidP="007376E1">
      <w:pPr>
        <w:tabs>
          <w:tab w:val="left" w:pos="1440"/>
        </w:tabs>
        <w:ind w:left="1440"/>
        <w:rPr>
          <w:rFonts w:cs="Arial"/>
          <w:vertAlign w:val="subscript"/>
        </w:rPr>
      </w:pPr>
      <w:r w:rsidRPr="001570EA">
        <w:rPr>
          <w:rFonts w:ascii="Cambria Math" w:hAnsi="Cambria Math" w:cs="Arial"/>
          <w:i/>
          <w:iCs/>
        </w:rPr>
        <w:t>ΔkWh</w:t>
      </w:r>
      <w:r w:rsidRPr="001570EA">
        <w:rPr>
          <w:rFonts w:ascii="Cambria Math" w:hAnsi="Cambria Math" w:cs="Arial"/>
          <w:i/>
          <w:iCs/>
          <w:vertAlign w:val="subscript"/>
        </w:rPr>
        <w:t>cool</w:t>
      </w:r>
      <w:r w:rsidRPr="001570EA">
        <w:rPr>
          <w:rFonts w:ascii="Cambria Math" w:hAnsi="Cambria Math" w:cs="Arial"/>
          <w:i/>
          <w:iCs/>
          <w:vertAlign w:val="subscript"/>
        </w:rPr>
        <w:tab/>
      </w:r>
      <m:oMath>
        <m:r>
          <w:rPr>
            <w:rFonts w:ascii="Cambria Math" w:hAnsi="Cambria Math" w:cs="Arial"/>
            <w:sz w:val="22"/>
            <w:szCs w:val="22"/>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r>
          <w:rPr>
            <w:rFonts w:ascii="Cambria Math" w:hAnsi="Cambria Math" w:cs="Arial"/>
            <w:sz w:val="22"/>
            <w:szCs w:val="22"/>
          </w:rPr>
          <m:t>×</m:t>
        </m:r>
        <m:d>
          <m:dPr>
            <m:ctrlPr>
              <w:rPr>
                <w:rFonts w:ascii="Cambria Math" w:hAnsi="Cambria Math" w:cs="Arial"/>
                <w:i/>
                <w:sz w:val="22"/>
                <w:szCs w:val="22"/>
              </w:rPr>
            </m:ctrlPr>
          </m:dPr>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OF</m:t>
                    </m:r>
                  </m:e>
                  <m:sub>
                    <m:r>
                      <w:rPr>
                        <w:rFonts w:ascii="Cambria Math" w:hAnsi="Cambria Math" w:cs="Arial"/>
                        <w:sz w:val="22"/>
                        <w:szCs w:val="22"/>
                      </w:rPr>
                      <m:t xml:space="preserve">cool </m:t>
                    </m:r>
                  </m:sub>
                </m:sSub>
                <m:r>
                  <w:rPr>
                    <w:rFonts w:ascii="Cambria Math" w:hAnsi="Cambria Math" w:cs="Arial"/>
                    <w:sz w:val="22"/>
                    <w:szCs w:val="22"/>
                  </w:rPr>
                  <m:t>× DLF</m:t>
                </m:r>
              </m:num>
              <m:den>
                <m:sSub>
                  <m:sSubPr>
                    <m:ctrlPr>
                      <w:rPr>
                        <w:rFonts w:ascii="Cambria Math" w:hAnsi="Cambria Math" w:cs="Arial"/>
                        <w:i/>
                        <w:sz w:val="22"/>
                        <w:szCs w:val="22"/>
                      </w:rPr>
                    </m:ctrlPr>
                  </m:sSubPr>
                  <m:e>
                    <m:r>
                      <w:rPr>
                        <w:rFonts w:ascii="Cambria Math" w:hAnsi="Cambria Math" w:cs="Arial"/>
                        <w:sz w:val="22"/>
                        <w:szCs w:val="22"/>
                      </w:rPr>
                      <m:t>SEER2</m:t>
                    </m:r>
                  </m:e>
                  <m:sub>
                    <m:r>
                      <w:rPr>
                        <w:rFonts w:ascii="Cambria Math" w:hAnsi="Cambria Math" w:cs="Arial"/>
                        <w:sz w:val="22"/>
                        <w:szCs w:val="22"/>
                      </w:rPr>
                      <m:t xml:space="preserve">base </m:t>
                    </m:r>
                  </m:sub>
                </m:sSub>
              </m:den>
            </m:f>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sSub>
                  <m:sSubPr>
                    <m:ctrlPr>
                      <w:rPr>
                        <w:rFonts w:ascii="Cambria Math" w:hAnsi="Cambria Math" w:cs="Arial"/>
                        <w:i/>
                        <w:sz w:val="22"/>
                        <w:szCs w:val="22"/>
                      </w:rPr>
                    </m:ctrlPr>
                  </m:sSubPr>
                  <m:e>
                    <m:r>
                      <w:rPr>
                        <w:rFonts w:ascii="Cambria Math" w:hAnsi="Cambria Math" w:cs="Arial"/>
                        <w:sz w:val="22"/>
                        <w:szCs w:val="22"/>
                      </w:rPr>
                      <m:t>SEER2</m:t>
                    </m:r>
                  </m:e>
                  <m:sub>
                    <m:r>
                      <w:rPr>
                        <w:rFonts w:ascii="Cambria Math" w:hAnsi="Cambria Math" w:cs="Arial"/>
                        <w:sz w:val="22"/>
                        <w:szCs w:val="22"/>
                      </w:rPr>
                      <m:t>ee</m:t>
                    </m:r>
                  </m:sub>
                </m:sSub>
              </m:den>
            </m:f>
          </m:e>
        </m:d>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EFLH</m:t>
            </m:r>
          </m:e>
          <m:sub>
            <m:r>
              <w:rPr>
                <w:rFonts w:ascii="Cambria Math" w:hAnsi="Cambria Math" w:cs="Arial"/>
                <w:sz w:val="22"/>
                <w:szCs w:val="22"/>
              </w:rPr>
              <m:t>cool,zone</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MS zones</m:t>
            </m:r>
          </m:sub>
        </m:sSub>
      </m:oMath>
    </w:p>
    <w:p w14:paraId="02EB8E4B" w14:textId="77777777" w:rsidR="007376E1" w:rsidRPr="001570EA" w:rsidRDefault="007376E1" w:rsidP="007376E1">
      <w:pPr>
        <w:tabs>
          <w:tab w:val="left" w:pos="1440"/>
        </w:tabs>
      </w:pPr>
    </w:p>
    <w:p w14:paraId="21BE958F" w14:textId="77777777" w:rsidR="007376E1" w:rsidRPr="001570EA" w:rsidRDefault="007376E1" w:rsidP="007376E1">
      <w:pPr>
        <w:pStyle w:val="BodyText"/>
        <w:tabs>
          <w:tab w:val="left" w:pos="1440"/>
        </w:tabs>
        <w:ind w:left="1440"/>
        <w:jc w:val="left"/>
        <w:rPr>
          <w:rFonts w:ascii="Cambria Math" w:hAnsi="Cambria Math" w:cs="Arial"/>
          <w:i/>
          <w:sz w:val="22"/>
          <w:szCs w:val="22"/>
        </w:rPr>
      </w:pPr>
      <w:r w:rsidRPr="001570EA">
        <w:rPr>
          <w:rFonts w:ascii="Cambria Math" w:hAnsi="Cambria Math" w:cs="Arial"/>
          <w:i/>
          <w:iCs/>
        </w:rPr>
        <w:t>ΔkWh</w:t>
      </w:r>
      <w:r w:rsidRPr="001570EA">
        <w:rPr>
          <w:rFonts w:ascii="Cambria Math" w:hAnsi="Cambria Math" w:cs="Arial"/>
          <w:i/>
          <w:iCs/>
          <w:vertAlign w:val="subscript"/>
        </w:rPr>
        <w:t>heat</w:t>
      </w:r>
      <w:r w:rsidRPr="001570EA">
        <w:rPr>
          <w:rFonts w:ascii="Cambria Math" w:hAnsi="Cambria Math" w:cs="Arial"/>
          <w:i/>
          <w:iCs/>
          <w:vertAlign w:val="subscript"/>
        </w:rPr>
        <w:tab/>
      </w:r>
      <m:oMath>
        <m:r>
          <w:rPr>
            <w:rFonts w:ascii="Cambria Math" w:hAnsi="Cambria Math" w:cs="Arial"/>
            <w:sz w:val="22"/>
            <w:szCs w:val="22"/>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r>
          <w:rPr>
            <w:rFonts w:ascii="Cambria Math" w:hAnsi="Cambria Math" w:cs="Arial"/>
            <w:sz w:val="22"/>
            <w:szCs w:val="22"/>
          </w:rPr>
          <m:t>×</m:t>
        </m:r>
        <m:d>
          <m:dPr>
            <m:ctrlPr>
              <w:rPr>
                <w:rFonts w:ascii="Cambria Math" w:hAnsi="Cambria Math" w:cs="Arial"/>
                <w:sz w:val="22"/>
                <w:szCs w:val="22"/>
              </w:rPr>
            </m:ctrlPr>
          </m:dPr>
          <m:e>
            <m:f>
              <m:fPr>
                <m:ctrlPr>
                  <w:rPr>
                    <w:rFonts w:ascii="Cambria Math" w:hAnsi="Cambria Math" w:cs="Arial"/>
                    <w:sz w:val="22"/>
                    <w:szCs w:val="22"/>
                  </w:rPr>
                </m:ctrlPr>
              </m:fPr>
              <m:num>
                <m:sSub>
                  <m:sSubPr>
                    <m:ctrlPr>
                      <w:rPr>
                        <w:rFonts w:ascii="Cambria Math" w:hAnsi="Cambria Math" w:cs="Arial"/>
                        <w:i/>
                        <w:sz w:val="22"/>
                        <w:szCs w:val="22"/>
                      </w:rPr>
                    </m:ctrlPr>
                  </m:sSubPr>
                  <m:e>
                    <m:r>
                      <w:rPr>
                        <w:rFonts w:ascii="Cambria Math" w:hAnsi="Cambria Math" w:cs="Arial"/>
                        <w:sz w:val="22"/>
                        <w:szCs w:val="22"/>
                      </w:rPr>
                      <m:t>OF</m:t>
                    </m:r>
                  </m:e>
                  <m:sub>
                    <m:r>
                      <w:rPr>
                        <w:rFonts w:ascii="Cambria Math" w:hAnsi="Cambria Math" w:cs="Arial"/>
                        <w:sz w:val="22"/>
                        <w:szCs w:val="22"/>
                      </w:rPr>
                      <m:t xml:space="preserve">heat </m:t>
                    </m:r>
                  </m:sub>
                </m:sSub>
                <m:r>
                  <w:rPr>
                    <w:rFonts w:ascii="Cambria Math" w:hAnsi="Cambria Math" w:cs="Arial"/>
                    <w:sz w:val="22"/>
                    <w:szCs w:val="22"/>
                  </w:rPr>
                  <m:t xml:space="preserve">× DLF </m:t>
                </m:r>
              </m:num>
              <m:den>
                <m:sSub>
                  <m:sSubPr>
                    <m:ctrlPr>
                      <w:rPr>
                        <w:rFonts w:ascii="Cambria Math" w:hAnsi="Cambria Math" w:cs="Arial"/>
                        <w:sz w:val="22"/>
                        <w:szCs w:val="22"/>
                      </w:rPr>
                    </m:ctrlPr>
                  </m:sSubPr>
                  <m:e>
                    <m:r>
                      <w:rPr>
                        <w:rFonts w:ascii="Cambria Math" w:hAnsi="Cambria Math" w:cs="Arial"/>
                        <w:sz w:val="22"/>
                        <w:szCs w:val="22"/>
                      </w:rPr>
                      <m:t>HSPF2</m:t>
                    </m:r>
                  </m:e>
                  <m:sub>
                    <m:r>
                      <w:rPr>
                        <w:rFonts w:ascii="Cambria Math" w:hAnsi="Cambria Math" w:cs="Arial"/>
                        <w:sz w:val="22"/>
                        <w:szCs w:val="22"/>
                      </w:rPr>
                      <m:t>base</m:t>
                    </m:r>
                  </m:sub>
                </m:sSub>
                <m:r>
                  <w:rPr>
                    <w:rFonts w:ascii="Cambria Math" w:hAnsi="Cambria Math" w:cs="Arial"/>
                    <w:sz w:val="22"/>
                    <w:szCs w:val="22"/>
                  </w:rPr>
                  <m:t xml:space="preserve">  </m:t>
                </m:r>
              </m:den>
            </m:f>
            <m:r>
              <w:rPr>
                <w:rFonts w:ascii="Cambria Math" w:hAnsi="Cambria Math" w:cs="Arial"/>
                <w:sz w:val="22"/>
                <w:szCs w:val="22"/>
              </w:rPr>
              <m:t>-</m:t>
            </m:r>
            <m:f>
              <m:fPr>
                <m:ctrlPr>
                  <w:rPr>
                    <w:rFonts w:ascii="Cambria Math" w:hAnsi="Cambria Math" w:cs="Arial"/>
                    <w:sz w:val="22"/>
                    <w:szCs w:val="22"/>
                  </w:rPr>
                </m:ctrlPr>
              </m:fPr>
              <m:num>
                <m:r>
                  <w:rPr>
                    <w:rFonts w:ascii="Cambria Math" w:hAnsi="Cambria Math" w:cs="Arial"/>
                    <w:sz w:val="22"/>
                    <w:szCs w:val="22"/>
                  </w:rPr>
                  <m:t>1</m:t>
                </m:r>
              </m:num>
              <m:den>
                <m:sSub>
                  <m:sSubPr>
                    <m:ctrlPr>
                      <w:rPr>
                        <w:rFonts w:ascii="Cambria Math" w:hAnsi="Cambria Math" w:cs="Arial"/>
                        <w:sz w:val="22"/>
                        <w:szCs w:val="22"/>
                      </w:rPr>
                    </m:ctrlPr>
                  </m:sSubPr>
                  <m:e>
                    <m:r>
                      <w:rPr>
                        <w:rFonts w:ascii="Cambria Math" w:hAnsi="Cambria Math" w:cs="Arial"/>
                        <w:sz w:val="22"/>
                        <w:szCs w:val="22"/>
                      </w:rPr>
                      <m:t>HSPF2</m:t>
                    </m:r>
                  </m:e>
                  <m:sub>
                    <m:r>
                      <w:rPr>
                        <w:rFonts w:ascii="Cambria Math" w:hAnsi="Cambria Math" w:cs="Arial"/>
                        <w:sz w:val="22"/>
                        <w:szCs w:val="22"/>
                      </w:rPr>
                      <m:t>ee</m:t>
                    </m:r>
                  </m:sub>
                </m:sSub>
              </m:den>
            </m:f>
          </m:e>
        </m:d>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EFLH</m:t>
            </m:r>
          </m:e>
          <m:sub>
            <m:r>
              <w:rPr>
                <w:rFonts w:ascii="Cambria Math" w:hAnsi="Cambria Math" w:cs="Arial"/>
                <w:sz w:val="22"/>
                <w:szCs w:val="22"/>
              </w:rPr>
              <m:t>heat,HP,zone</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MS zones</m:t>
            </m:r>
          </m:sub>
        </m:sSub>
      </m:oMath>
    </w:p>
    <w:p w14:paraId="277C5F47" w14:textId="77777777" w:rsidR="007376E1" w:rsidRPr="001570EA" w:rsidRDefault="007376E1" w:rsidP="007376E1">
      <w:pPr>
        <w:pStyle w:val="BodyText"/>
        <w:tabs>
          <w:tab w:val="left" w:pos="1440"/>
        </w:tabs>
        <w:jc w:val="left"/>
        <w:rPr>
          <w:rFonts w:ascii="Cambria Math" w:hAnsi="Cambria Math" w:cs="Arial"/>
          <w:i/>
          <w:sz w:val="22"/>
          <w:szCs w:val="22"/>
        </w:rPr>
      </w:pPr>
    </w:p>
    <w:p w14:paraId="695FE67B" w14:textId="77777777" w:rsidR="007376E1" w:rsidRPr="001570EA" w:rsidRDefault="007376E1" w:rsidP="007376E1">
      <w:pPr>
        <w:pStyle w:val="BodyText"/>
        <w:tabs>
          <w:tab w:val="left" w:pos="1440"/>
        </w:tabs>
        <w:jc w:val="left"/>
        <w:rPr>
          <w:rFonts w:ascii="Cambria Math" w:hAnsi="Cambria Math" w:cs="Arial"/>
          <w:i/>
        </w:rPr>
      </w:pPr>
      <w:r w:rsidRPr="001570EA">
        <w:rPr>
          <w:rFonts w:ascii="Cambria Math" w:hAnsi="Cambria Math" w:cs="Arial"/>
          <w:i/>
          <w:iCs/>
        </w:rPr>
        <w:tab/>
        <w:t>ΔkWh</w:t>
      </w:r>
      <w:r w:rsidRPr="001570EA">
        <w:rPr>
          <w:rFonts w:ascii="Cambria Math" w:hAnsi="Cambria Math" w:cs="Arial"/>
          <w:i/>
          <w:iCs/>
          <w:vertAlign w:val="subscript"/>
        </w:rPr>
        <w:t>PSF</w:t>
      </w:r>
      <w:r w:rsidRPr="001570EA">
        <w:rPr>
          <w:rFonts w:ascii="Cambria Math" w:hAnsi="Cambria Math" w:cs="Arial"/>
          <w:i/>
          <w:iCs/>
          <w:vertAlign w:val="subscript"/>
        </w:rPr>
        <w:tab/>
      </w:r>
      <m:oMath>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SEER</m:t>
                </m:r>
              </m:e>
              <m:sub>
                <m:r>
                  <w:rPr>
                    <w:rFonts w:ascii="Cambria Math" w:hAnsi="Cambria Math" w:cs="Arial"/>
                  </w:rPr>
                  <m:t>ee</m:t>
                </m:r>
              </m:sub>
            </m:sSub>
          </m:den>
        </m:f>
        <m:r>
          <w:rPr>
            <w:rFonts w:ascii="Cambria Math" w:hAnsi="Cambria Math" w:cs="Arial"/>
          </w:rPr>
          <m:t>×PSF×</m:t>
        </m:r>
        <m:sSub>
          <m:sSubPr>
            <m:ctrlPr>
              <w:rPr>
                <w:rFonts w:ascii="Cambria Math" w:hAnsi="Cambria Math" w:cs="Arial"/>
              </w:rPr>
            </m:ctrlPr>
          </m:sSubPr>
          <m:e>
            <m:r>
              <w:rPr>
                <w:rFonts w:ascii="Cambria Math" w:hAnsi="Cambria Math" w:cs="Arial"/>
              </w:rPr>
              <m:t>EFLH</m:t>
            </m:r>
          </m:e>
          <m:sub>
            <m:r>
              <w:rPr>
                <w:rFonts w:ascii="Cambria Math" w:hAnsi="Cambria Math" w:cs="Arial"/>
              </w:rPr>
              <m:t>cool</m:t>
            </m:r>
          </m:sub>
        </m:sSub>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num>
          <m:den>
            <m:sSub>
              <m:sSubPr>
                <m:ctrlPr>
                  <w:rPr>
                    <w:rFonts w:ascii="Cambria Math" w:hAnsi="Cambria Math" w:cs="Arial"/>
                    <w:i/>
                  </w:rPr>
                </m:ctrlPr>
              </m:sSubPr>
              <m:e>
                <m:r>
                  <w:rPr>
                    <w:rFonts w:ascii="Cambria Math" w:hAnsi="Cambria Math" w:cs="Arial"/>
                  </w:rPr>
                  <m:t>HSPF2</m:t>
                </m:r>
              </m:e>
              <m:sub>
                <m:r>
                  <w:rPr>
                    <w:rFonts w:ascii="Cambria Math" w:hAnsi="Cambria Math" w:cs="Arial"/>
                  </w:rPr>
                  <m:t>ee</m:t>
                </m:r>
              </m:sub>
            </m:sSub>
          </m:den>
        </m:f>
        <m:r>
          <w:rPr>
            <w:rFonts w:ascii="Cambria Math" w:hAnsi="Cambria Math" w:cs="Arial"/>
          </w:rPr>
          <m:t>×PSF×</m:t>
        </m:r>
        <m:sSub>
          <m:sSubPr>
            <m:ctrlPr>
              <w:rPr>
                <w:rFonts w:ascii="Cambria Math" w:hAnsi="Cambria Math" w:cs="Arial"/>
              </w:rPr>
            </m:ctrlPr>
          </m:sSubPr>
          <m:e>
            <m:r>
              <w:rPr>
                <w:rFonts w:ascii="Cambria Math" w:hAnsi="Cambria Math" w:cs="Arial"/>
              </w:rPr>
              <m:t>EFLH</m:t>
            </m:r>
          </m:e>
          <m:sub>
            <m:r>
              <w:rPr>
                <w:rFonts w:ascii="Cambria Math" w:hAnsi="Cambria Math" w:cs="Arial"/>
              </w:rPr>
              <m:t>heat</m:t>
            </m:r>
          </m:sub>
        </m:sSub>
      </m:oMath>
    </w:p>
    <w:p w14:paraId="1F19E5A9" w14:textId="77777777" w:rsidR="007376E1" w:rsidRPr="001570EA" w:rsidRDefault="007376E1" w:rsidP="007376E1">
      <w:pPr>
        <w:pStyle w:val="BodyText"/>
        <w:tabs>
          <w:tab w:val="left" w:pos="1440"/>
        </w:tabs>
        <w:jc w:val="left"/>
        <w:rPr>
          <w:rFonts w:ascii="Cambria Math" w:hAnsi="Cambria Math" w:cs="Arial"/>
        </w:rPr>
      </w:pPr>
    </w:p>
    <w:p w14:paraId="3F8C4A3A" w14:textId="77777777" w:rsidR="007376E1" w:rsidRPr="001570EA" w:rsidRDefault="007376E1" w:rsidP="007376E1">
      <w:pPr>
        <w:pStyle w:val="Equation"/>
        <w:tabs>
          <w:tab w:val="left" w:pos="1440"/>
        </w:tabs>
        <w:ind w:left="0" w:firstLine="0"/>
        <w:rPr>
          <w:rFonts w:cs="Arial"/>
          <w:szCs w:val="20"/>
          <w:vertAlign w:val="subscript"/>
        </w:rPr>
      </w:pPr>
    </w:p>
    <w:p w14:paraId="04087801" w14:textId="77777777" w:rsidR="007376E1" w:rsidRPr="001570EA" w:rsidRDefault="007376E1" w:rsidP="007376E1">
      <w:pPr>
        <w:tabs>
          <w:tab w:val="left" w:pos="1440"/>
        </w:tabs>
        <w:rPr>
          <w:rFonts w:ascii="Cambria Math" w:hAnsi="Cambria Math" w:cs="Arial"/>
          <w:i/>
          <w:sz w:val="22"/>
          <w:szCs w:val="22"/>
        </w:rPr>
      </w:pPr>
      <w:r w:rsidRPr="001570EA">
        <w:rPr>
          <w:rFonts w:ascii="Cambria Math" w:hAnsi="Cambria Math" w:cs="Arial"/>
          <w:i/>
          <w:iCs/>
        </w:rPr>
        <w:t>ΔkW</w:t>
      </w:r>
      <w:r w:rsidRPr="001570EA">
        <w:rPr>
          <w:rFonts w:ascii="Cambria Math" w:hAnsi="Cambria Math" w:cs="Arial"/>
          <w:i/>
          <w:iCs/>
          <w:vertAlign w:val="subscript"/>
        </w:rPr>
        <w:t>summer peak</w:t>
      </w:r>
      <w:r w:rsidRPr="001570EA">
        <w:rPr>
          <w:rFonts w:ascii="Cambria Math" w:hAnsi="Cambria Math" w:cs="Arial"/>
          <w:i/>
          <w:iCs/>
        </w:rPr>
        <w:tab/>
      </w:r>
      <m:oMath>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∆kW</m:t>
            </m:r>
          </m:e>
          <m:sub>
            <m:r>
              <w:rPr>
                <w:rFonts w:ascii="Cambria Math" w:hAnsi="Cambria Math" w:cs="Arial"/>
                <w:sz w:val="22"/>
                <w:szCs w:val="22"/>
              </w:rPr>
              <m:t>cool</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∆kW</m:t>
            </m:r>
          </m:e>
          <m:sub>
            <m:r>
              <w:rPr>
                <w:rFonts w:ascii="Cambria Math" w:hAnsi="Cambria Math" w:cs="Arial"/>
                <w:sz w:val="22"/>
                <w:szCs w:val="22"/>
              </w:rPr>
              <m:t>PSF,cool</m:t>
            </m:r>
          </m:sub>
        </m:sSub>
      </m:oMath>
    </w:p>
    <w:p w14:paraId="53F0652D" w14:textId="77777777" w:rsidR="007376E1" w:rsidRPr="001570EA" w:rsidRDefault="007376E1" w:rsidP="007376E1">
      <w:pPr>
        <w:tabs>
          <w:tab w:val="left" w:pos="1440"/>
        </w:tabs>
        <w:rPr>
          <w:rFonts w:ascii="Cambria Math" w:hAnsi="Cambria Math" w:cs="Arial"/>
          <w:i/>
          <w:sz w:val="22"/>
          <w:szCs w:val="22"/>
        </w:rPr>
      </w:pPr>
      <w:r w:rsidRPr="001570EA">
        <w:rPr>
          <w:rFonts w:ascii="Cambria Math" w:hAnsi="Cambria Math" w:cs="Arial"/>
          <w:i/>
          <w:iCs/>
        </w:rPr>
        <w:tab/>
        <w:t>ΔkW</w:t>
      </w:r>
      <w:r w:rsidRPr="001570EA">
        <w:rPr>
          <w:rFonts w:ascii="Cambria Math" w:hAnsi="Cambria Math" w:cs="Arial"/>
          <w:i/>
          <w:iCs/>
          <w:vertAlign w:val="subscript"/>
        </w:rPr>
        <w:t>cool</w:t>
      </w:r>
      <w:r w:rsidRPr="001570EA">
        <w:rPr>
          <w:rFonts w:ascii="Cambria Math" w:hAnsi="Cambria Math" w:cs="Arial"/>
          <w:i/>
          <w:iCs/>
          <w:vertAlign w:val="subscript"/>
        </w:rPr>
        <w:tab/>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r>
          <w:rPr>
            <w:rFonts w:ascii="Cambria Math" w:hAnsi="Cambria Math" w:cs="Arial"/>
            <w:sz w:val="22"/>
            <w:szCs w:val="22"/>
          </w:rPr>
          <m:t>×</m:t>
        </m:r>
        <m:d>
          <m:dPr>
            <m:ctrlPr>
              <w:rPr>
                <w:rFonts w:ascii="Cambria Math" w:hAnsi="Cambria Math" w:cs="Arial"/>
                <w:i/>
                <w:sz w:val="22"/>
                <w:szCs w:val="22"/>
              </w:rPr>
            </m:ctrlPr>
          </m:dPr>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OF</m:t>
                    </m:r>
                  </m:e>
                  <m:sub>
                    <m:r>
                      <w:rPr>
                        <w:rFonts w:ascii="Cambria Math" w:hAnsi="Cambria Math" w:cs="Arial"/>
                        <w:sz w:val="22"/>
                        <w:szCs w:val="22"/>
                      </w:rPr>
                      <m:t xml:space="preserve">cool </m:t>
                    </m:r>
                  </m:sub>
                </m:sSub>
                <m:r>
                  <w:rPr>
                    <w:rFonts w:ascii="Cambria Math" w:hAnsi="Cambria Math" w:cs="Arial"/>
                    <w:sz w:val="22"/>
                    <w:szCs w:val="22"/>
                  </w:rPr>
                  <m:t>× DLF</m:t>
                </m:r>
              </m:num>
              <m:den>
                <m:sSub>
                  <m:sSubPr>
                    <m:ctrlPr>
                      <w:rPr>
                        <w:rFonts w:ascii="Cambria Math" w:hAnsi="Cambria Math" w:cs="Arial"/>
                        <w:i/>
                        <w:sz w:val="22"/>
                        <w:szCs w:val="22"/>
                      </w:rPr>
                    </m:ctrlPr>
                  </m:sSubPr>
                  <m:e>
                    <m:r>
                      <w:rPr>
                        <w:rFonts w:ascii="Cambria Math" w:hAnsi="Cambria Math" w:cs="Arial"/>
                        <w:sz w:val="22"/>
                        <w:szCs w:val="22"/>
                      </w:rPr>
                      <m:t>EER2</m:t>
                    </m:r>
                  </m:e>
                  <m:sub>
                    <m:r>
                      <w:rPr>
                        <w:rFonts w:ascii="Cambria Math" w:hAnsi="Cambria Math" w:cs="Arial"/>
                        <w:sz w:val="22"/>
                        <w:szCs w:val="22"/>
                      </w:rPr>
                      <m:t>base</m:t>
                    </m:r>
                  </m:sub>
                </m:sSub>
                <m:r>
                  <w:rPr>
                    <w:rFonts w:ascii="Cambria Math" w:hAnsi="Cambria Math" w:cs="Arial"/>
                    <w:sz w:val="22"/>
                    <w:szCs w:val="22"/>
                  </w:rPr>
                  <m:t xml:space="preserve"> </m:t>
                </m:r>
              </m:den>
            </m:f>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sSub>
                  <m:sSubPr>
                    <m:ctrlPr>
                      <w:rPr>
                        <w:rFonts w:ascii="Cambria Math" w:hAnsi="Cambria Math" w:cs="Arial"/>
                        <w:i/>
                        <w:sz w:val="22"/>
                        <w:szCs w:val="22"/>
                      </w:rPr>
                    </m:ctrlPr>
                  </m:sSubPr>
                  <m:e>
                    <m:r>
                      <w:rPr>
                        <w:rFonts w:ascii="Cambria Math" w:hAnsi="Cambria Math" w:cs="Arial"/>
                        <w:sz w:val="22"/>
                        <w:szCs w:val="22"/>
                      </w:rPr>
                      <m:t>EER2</m:t>
                    </m:r>
                  </m:e>
                  <m:sub>
                    <m:r>
                      <w:rPr>
                        <w:rFonts w:ascii="Cambria Math" w:hAnsi="Cambria Math" w:cs="Arial"/>
                        <w:sz w:val="22"/>
                        <w:szCs w:val="22"/>
                      </w:rPr>
                      <m:t>ee</m:t>
                    </m:r>
                  </m:sub>
                </m:sSub>
                <m:r>
                  <w:rPr>
                    <w:rFonts w:ascii="Cambria Math" w:hAnsi="Cambria Math" w:cs="Arial"/>
                    <w:sz w:val="22"/>
                    <w:szCs w:val="22"/>
                  </w:rPr>
                  <m:t xml:space="preserve"> </m:t>
                </m:r>
              </m:den>
            </m:f>
          </m:e>
        </m:d>
        <m:r>
          <w:rPr>
            <w:rFonts w:ascii="Cambria Math" w:hAnsi="Cambria Math" w:cs="Arial"/>
            <w:sz w:val="22"/>
            <w:szCs w:val="22"/>
          </w:rPr>
          <m:t>×</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MS zones</m:t>
            </m:r>
          </m:sub>
        </m:sSub>
      </m:oMath>
    </w:p>
    <w:p w14:paraId="48664CA2" w14:textId="77777777" w:rsidR="007376E1" w:rsidRPr="001570EA" w:rsidRDefault="007376E1" w:rsidP="007376E1">
      <w:pPr>
        <w:tabs>
          <w:tab w:val="left" w:pos="1440"/>
        </w:tabs>
        <w:rPr>
          <w:rFonts w:ascii="Cambria Math" w:hAnsi="Cambria Math" w:cs="Arial"/>
          <w:i/>
          <w:sz w:val="22"/>
          <w:szCs w:val="22"/>
        </w:rPr>
      </w:pPr>
    </w:p>
    <w:p w14:paraId="1796C22A" w14:textId="77777777" w:rsidR="007376E1" w:rsidRPr="001570EA" w:rsidRDefault="007376E1" w:rsidP="007376E1">
      <w:pPr>
        <w:pStyle w:val="BodyText"/>
        <w:tabs>
          <w:tab w:val="left" w:pos="1440"/>
        </w:tabs>
        <w:jc w:val="left"/>
        <w:rPr>
          <w:rFonts w:ascii="Cambria Math" w:hAnsi="Cambria Math" w:cs="Arial"/>
          <w:i/>
        </w:rPr>
      </w:pPr>
      <w:r w:rsidRPr="001570EA">
        <w:rPr>
          <w:rFonts w:ascii="Cambria Math" w:hAnsi="Cambria Math" w:cs="Arial"/>
          <w:i/>
          <w:iCs/>
        </w:rPr>
        <w:tab/>
        <w:t>ΔkW</w:t>
      </w:r>
      <w:r w:rsidRPr="001570EA">
        <w:rPr>
          <w:rFonts w:ascii="Cambria Math" w:hAnsi="Cambria Math" w:cs="Arial"/>
          <w:i/>
          <w:iCs/>
          <w:vertAlign w:val="subscript"/>
        </w:rPr>
        <w:t>PSF,cool</w:t>
      </w:r>
      <w:r w:rsidRPr="001570EA">
        <w:rPr>
          <w:rFonts w:ascii="Cambria Math" w:hAnsi="Cambria Math" w:cs="Arial"/>
          <w:i/>
          <w:iCs/>
          <w:vertAlign w:val="subscript"/>
        </w:rPr>
        <w:tab/>
      </w:r>
      <m:oMath>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num>
          <m:den>
            <m:sSub>
              <m:sSubPr>
                <m:ctrlPr>
                  <w:rPr>
                    <w:rFonts w:ascii="Cambria Math" w:hAnsi="Cambria Math" w:cs="Arial"/>
                    <w:i/>
                  </w:rPr>
                </m:ctrlPr>
              </m:sSubPr>
              <m:e>
                <m:r>
                  <w:rPr>
                    <w:rFonts w:ascii="Cambria Math" w:hAnsi="Cambria Math" w:cs="Arial"/>
                  </w:rPr>
                  <m:t>EER</m:t>
                </m:r>
              </m:e>
              <m:sub>
                <m:r>
                  <w:rPr>
                    <w:rFonts w:ascii="Cambria Math" w:hAnsi="Cambria Math" w:cs="Arial"/>
                  </w:rPr>
                  <m:t>ee</m:t>
                </m:r>
              </m:sub>
            </m:sSub>
          </m:den>
        </m:f>
        <m:r>
          <w:rPr>
            <w:rFonts w:ascii="Cambria Math" w:hAnsi="Cambria Math" w:cs="Arial"/>
          </w:rPr>
          <m:t>×PSF×CF</m:t>
        </m:r>
      </m:oMath>
    </w:p>
    <w:p w14:paraId="0DA37A89" w14:textId="77777777" w:rsidR="007376E1" w:rsidRPr="001570EA" w:rsidRDefault="007376E1" w:rsidP="007376E1">
      <w:pPr>
        <w:tabs>
          <w:tab w:val="left" w:pos="1440"/>
        </w:tabs>
        <w:rPr>
          <w:rFonts w:ascii="Cambria Math" w:hAnsi="Cambria Math" w:cs="Arial"/>
          <w:i/>
          <w:iCs/>
        </w:rPr>
      </w:pPr>
    </w:p>
    <w:p w14:paraId="53A092DD" w14:textId="77777777" w:rsidR="007376E1" w:rsidRPr="001570EA" w:rsidRDefault="007376E1" w:rsidP="007376E1">
      <w:pPr>
        <w:tabs>
          <w:tab w:val="left" w:pos="1440"/>
        </w:tabs>
        <w:rPr>
          <w:rFonts w:ascii="Cambria Math" w:hAnsi="Cambria Math" w:cs="Arial"/>
        </w:rPr>
      </w:pPr>
      <w:r w:rsidRPr="001570EA">
        <w:rPr>
          <w:rFonts w:ascii="Cambria Math" w:hAnsi="Cambria Math" w:cs="Arial"/>
          <w:i/>
          <w:iCs/>
        </w:rPr>
        <w:t>ΔkW</w:t>
      </w:r>
      <w:r w:rsidRPr="001570EA">
        <w:rPr>
          <w:rFonts w:ascii="Cambria Math" w:hAnsi="Cambria Math" w:cs="Arial"/>
          <w:i/>
          <w:iCs/>
          <w:vertAlign w:val="subscript"/>
        </w:rPr>
        <w:t>winter peak</w:t>
      </w:r>
      <w:r w:rsidRPr="001570EA">
        <w:rPr>
          <w:rFonts w:ascii="Cambria Math" w:hAnsi="Cambria Math" w:cs="Arial"/>
          <w:i/>
          <w:iCs/>
        </w:rPr>
        <w:tab/>
      </w:r>
      <m:oMath>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∆kW</m:t>
            </m:r>
          </m:e>
          <m:sub>
            <m:r>
              <w:rPr>
                <w:rFonts w:ascii="Cambria Math" w:hAnsi="Cambria Math" w:cs="Arial"/>
                <w:sz w:val="22"/>
                <w:szCs w:val="22"/>
              </w:rPr>
              <m:t>heat</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∆kW</m:t>
            </m:r>
          </m:e>
          <m:sub>
            <m:r>
              <w:rPr>
                <w:rFonts w:ascii="Cambria Math" w:hAnsi="Cambria Math" w:cs="Arial"/>
                <w:sz w:val="22"/>
                <w:szCs w:val="22"/>
              </w:rPr>
              <m:t>PSF,heat</m:t>
            </m:r>
          </m:sub>
        </m:sSub>
      </m:oMath>
    </w:p>
    <w:p w14:paraId="522F11DC" w14:textId="77777777" w:rsidR="007376E1" w:rsidRPr="001570EA" w:rsidRDefault="007376E1" w:rsidP="007376E1">
      <w:pPr>
        <w:tabs>
          <w:tab w:val="left" w:pos="1440"/>
        </w:tabs>
        <w:ind w:left="1440" w:hanging="180"/>
        <w:rPr>
          <w:rFonts w:ascii="Cambria Math" w:hAnsi="Cambria Math" w:cs="Arial"/>
          <w:i/>
          <w:sz w:val="22"/>
          <w:szCs w:val="22"/>
        </w:rPr>
      </w:pPr>
      <w:r w:rsidRPr="001570EA">
        <w:rPr>
          <w:rFonts w:ascii="Cambria Math" w:hAnsi="Cambria Math" w:cs="Arial"/>
          <w:i/>
          <w:iCs/>
        </w:rPr>
        <w:tab/>
        <w:t>ΔkW</w:t>
      </w:r>
      <w:r w:rsidRPr="001570EA">
        <w:rPr>
          <w:rFonts w:ascii="Cambria Math" w:hAnsi="Cambria Math" w:cs="Arial"/>
          <w:i/>
          <w:iCs/>
          <w:vertAlign w:val="subscript"/>
        </w:rPr>
        <w:t>heat</w:t>
      </w:r>
      <w:r w:rsidRPr="001570EA">
        <w:rPr>
          <w:rFonts w:ascii="Cambria Math" w:hAnsi="Cambria Math" w:cs="Arial"/>
          <w:i/>
          <w:iCs/>
          <w:vertAlign w:val="subscript"/>
        </w:rPr>
        <w:tab/>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r>
          <w:rPr>
            <w:rFonts w:ascii="Cambria Math" w:hAnsi="Cambria Math" w:cs="Arial"/>
            <w:sz w:val="22"/>
            <w:szCs w:val="22"/>
          </w:rPr>
          <m:t>×</m:t>
        </m:r>
        <m:d>
          <m:dPr>
            <m:ctrlPr>
              <w:rPr>
                <w:rFonts w:ascii="Cambria Math" w:hAnsi="Cambria Math" w:cs="Arial"/>
                <w:i/>
                <w:sz w:val="22"/>
                <w:szCs w:val="22"/>
              </w:rPr>
            </m:ctrlPr>
          </m:dPr>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OF</m:t>
                    </m:r>
                  </m:e>
                  <m:sub>
                    <m:r>
                      <w:rPr>
                        <w:rFonts w:ascii="Cambria Math" w:hAnsi="Cambria Math" w:cs="Arial"/>
                        <w:sz w:val="22"/>
                        <w:szCs w:val="22"/>
                      </w:rPr>
                      <m:t xml:space="preserve">heat </m:t>
                    </m:r>
                  </m:sub>
                </m:sSub>
                <m:r>
                  <w:rPr>
                    <w:rFonts w:ascii="Cambria Math" w:hAnsi="Cambria Math" w:cs="Arial"/>
                    <w:sz w:val="22"/>
                    <w:szCs w:val="22"/>
                  </w:rPr>
                  <m:t>× DLF</m:t>
                </m:r>
              </m:num>
              <m:den>
                <m:sSub>
                  <m:sSubPr>
                    <m:ctrlPr>
                      <w:rPr>
                        <w:rFonts w:ascii="Cambria Math" w:hAnsi="Cambria Math" w:cs="Arial"/>
                        <w:i/>
                        <w:sz w:val="22"/>
                        <w:szCs w:val="22"/>
                      </w:rPr>
                    </m:ctrlPr>
                  </m:sSubPr>
                  <m:e>
                    <m:r>
                      <w:rPr>
                        <w:rFonts w:ascii="Cambria Math" w:hAnsi="Cambria Math" w:cs="Arial"/>
                        <w:sz w:val="22"/>
                        <w:szCs w:val="22"/>
                      </w:rPr>
                      <m:t>COP</m:t>
                    </m:r>
                  </m:e>
                  <m:sub>
                    <m:r>
                      <w:rPr>
                        <w:rFonts w:ascii="Cambria Math" w:hAnsi="Cambria Math" w:cs="Arial"/>
                        <w:sz w:val="22"/>
                        <w:szCs w:val="22"/>
                      </w:rPr>
                      <m:t>base</m:t>
                    </m:r>
                  </m:sub>
                </m:sSub>
                <m:r>
                  <w:rPr>
                    <w:rFonts w:ascii="Cambria Math" w:hAnsi="Cambria Math" w:cs="Arial"/>
                    <w:sz w:val="22"/>
                    <w:szCs w:val="22"/>
                  </w:rPr>
                  <m:t xml:space="preserve"> </m:t>
                </m:r>
              </m:den>
            </m:f>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sSub>
                  <m:sSubPr>
                    <m:ctrlPr>
                      <w:rPr>
                        <w:rFonts w:ascii="Cambria Math" w:hAnsi="Cambria Math" w:cs="Arial"/>
                        <w:i/>
                        <w:sz w:val="22"/>
                        <w:szCs w:val="22"/>
                      </w:rPr>
                    </m:ctrlPr>
                  </m:sSubPr>
                  <m:e>
                    <m:r>
                      <w:rPr>
                        <w:rFonts w:ascii="Cambria Math" w:hAnsi="Cambria Math" w:cs="Arial"/>
                        <w:sz w:val="22"/>
                        <w:szCs w:val="22"/>
                      </w:rPr>
                      <m:t>COP</m:t>
                    </m:r>
                  </m:e>
                  <m:sub>
                    <m:r>
                      <w:rPr>
                        <w:rFonts w:ascii="Cambria Math" w:hAnsi="Cambria Math" w:cs="Arial"/>
                        <w:sz w:val="22"/>
                        <w:szCs w:val="22"/>
                      </w:rPr>
                      <m:t>ee</m:t>
                    </m:r>
                  </m:sub>
                </m:sSub>
                <m:r>
                  <w:rPr>
                    <w:rFonts w:ascii="Cambria Math" w:hAnsi="Cambria Math" w:cs="Arial"/>
                    <w:sz w:val="22"/>
                    <w:szCs w:val="22"/>
                  </w:rPr>
                  <m:t xml:space="preserve"> </m:t>
                </m:r>
              </m:den>
            </m:f>
          </m:e>
        </m:d>
        <m:r>
          <w:rPr>
            <w:rFonts w:ascii="Cambria Math" w:hAnsi="Cambria Math" w:cs="Arial"/>
          </w:rPr>
          <m:t xml:space="preserve">× </m:t>
        </m:r>
        <m:f>
          <m:fPr>
            <m:ctrlPr>
              <w:rPr>
                <w:rFonts w:ascii="Cambria Math" w:hAnsi="Cambria Math"/>
              </w:rPr>
            </m:ctrlPr>
          </m:fPr>
          <m:num>
            <m:r>
              <w:rPr>
                <w:rFonts w:ascii="Cambria Math" w:hAnsi="Cambria Math"/>
              </w:rPr>
              <m:t>1</m:t>
            </m:r>
          </m:num>
          <m:den>
            <m:r>
              <m:rPr>
                <m:sty m:val="p"/>
              </m:rPr>
              <w:rPr>
                <w:rFonts w:ascii="Cambria Math" w:hAnsi="Cambria Math"/>
              </w:rPr>
              <m:t>3.412</m:t>
            </m:r>
            <m:f>
              <m:fPr>
                <m:ctrlPr>
                  <w:rPr>
                    <w:rFonts w:ascii="Cambria Math" w:hAnsi="Cambria Math" w:cs="Arial"/>
                  </w:rPr>
                </m:ctrlPr>
              </m:fPr>
              <m:num>
                <m:r>
                  <m:rPr>
                    <m:sty m:val="p"/>
                  </m:rPr>
                  <w:rPr>
                    <w:rFonts w:ascii="Cambria Math" w:hAnsi="Cambria Math" w:cs="Arial"/>
                  </w:rPr>
                  <m:t>BTU</m:t>
                </m:r>
                <m:ctrlPr>
                  <w:rPr>
                    <w:rFonts w:ascii="Cambria Math" w:hAnsi="Cambria Math" w:cs="Arial"/>
                    <w:iCs/>
                  </w:rPr>
                </m:ctrlPr>
              </m:num>
              <m:den>
                <m:r>
                  <m:rPr>
                    <m:sty m:val="p"/>
                  </m:rPr>
                  <w:rPr>
                    <w:rFonts w:ascii="Cambria Math" w:hAnsi="Cambria Math" w:cs="Arial"/>
                  </w:rPr>
                  <m:t>W∙h</m:t>
                </m:r>
              </m:den>
            </m:f>
          </m:den>
        </m:f>
        <m:r>
          <w:rPr>
            <w:rFonts w:ascii="Cambria Math" w:hAnsi="Cambria Math" w:cs="Arial"/>
            <w:sz w:val="22"/>
            <w:szCs w:val="22"/>
          </w:rPr>
          <m:t xml:space="preserve"> ×</m:t>
        </m:r>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MS zones</m:t>
            </m:r>
          </m:sub>
        </m:sSub>
      </m:oMath>
    </w:p>
    <w:p w14:paraId="72CCFC23" w14:textId="77777777" w:rsidR="007376E1" w:rsidRPr="001570EA" w:rsidRDefault="007376E1" w:rsidP="007376E1">
      <w:pPr>
        <w:tabs>
          <w:tab w:val="left" w:pos="1440"/>
        </w:tabs>
        <w:rPr>
          <w:rFonts w:ascii="Cambria Math" w:hAnsi="Cambria Math" w:cs="Arial"/>
          <w:i/>
          <w:sz w:val="22"/>
          <w:szCs w:val="22"/>
        </w:rPr>
      </w:pPr>
    </w:p>
    <w:p w14:paraId="3CF1B50A" w14:textId="77777777" w:rsidR="007376E1" w:rsidRPr="001570EA" w:rsidRDefault="007376E1" w:rsidP="007376E1">
      <w:pPr>
        <w:pStyle w:val="BodyText"/>
        <w:tabs>
          <w:tab w:val="left" w:pos="1440"/>
        </w:tabs>
        <w:jc w:val="left"/>
        <w:rPr>
          <w:rFonts w:ascii="Cambria Math" w:hAnsi="Cambria Math" w:cs="Arial"/>
          <w:i/>
        </w:rPr>
      </w:pPr>
      <w:r w:rsidRPr="001570EA">
        <w:rPr>
          <w:rFonts w:ascii="Cambria Math" w:hAnsi="Cambria Math" w:cs="Arial"/>
          <w:i/>
          <w:iCs/>
        </w:rPr>
        <w:tab/>
        <w:t>ΔkW</w:t>
      </w:r>
      <w:r w:rsidRPr="001570EA">
        <w:rPr>
          <w:rFonts w:ascii="Cambria Math" w:hAnsi="Cambria Math" w:cs="Arial"/>
          <w:i/>
          <w:iCs/>
          <w:vertAlign w:val="subscript"/>
        </w:rPr>
        <w:t>PSF,heat</w:t>
      </w:r>
      <w:r w:rsidRPr="001570EA">
        <w:rPr>
          <w:rFonts w:ascii="Cambria Math" w:hAnsi="Cambria Math" w:cs="Arial"/>
          <w:i/>
          <w:iCs/>
          <w:vertAlign w:val="subscript"/>
        </w:rPr>
        <w:tab/>
      </w:r>
      <m:oMath>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num>
          <m:den>
            <m:sSub>
              <m:sSubPr>
                <m:ctrlPr>
                  <w:rPr>
                    <w:rFonts w:ascii="Cambria Math" w:hAnsi="Cambria Math" w:cs="Arial"/>
                    <w:i/>
                  </w:rPr>
                </m:ctrlPr>
              </m:sSubPr>
              <m:e>
                <m:r>
                  <w:rPr>
                    <w:rFonts w:ascii="Cambria Math" w:hAnsi="Cambria Math" w:cs="Arial"/>
                  </w:rPr>
                  <m:t>COP</m:t>
                </m:r>
              </m:e>
              <m:sub>
                <m:r>
                  <w:rPr>
                    <w:rFonts w:ascii="Cambria Math" w:hAnsi="Cambria Math" w:cs="Arial"/>
                  </w:rPr>
                  <m:t>ee</m:t>
                </m:r>
              </m:sub>
            </m:sSub>
          </m:den>
        </m:f>
        <m:r>
          <w:rPr>
            <w:rFonts w:ascii="Cambria Math" w:hAnsi="Cambria Math" w:cs="Arial"/>
          </w:rPr>
          <m:t>×PSF×CF</m:t>
        </m:r>
      </m:oMath>
    </w:p>
    <w:p w14:paraId="1FBB10E2" w14:textId="77777777" w:rsidR="007376E1" w:rsidRPr="001570EA" w:rsidRDefault="007376E1" w:rsidP="007376E1">
      <w:pPr>
        <w:tabs>
          <w:tab w:val="left" w:pos="1440"/>
        </w:tabs>
        <w:rPr>
          <w:rFonts w:ascii="Cambria Math" w:hAnsi="Cambria Math" w:cs="Arial"/>
        </w:rPr>
      </w:pPr>
    </w:p>
    <w:p w14:paraId="5C59B8DF" w14:textId="77777777" w:rsidR="007376E1" w:rsidRPr="001570EA" w:rsidRDefault="007376E1" w:rsidP="007376E1">
      <w:pPr>
        <w:pStyle w:val="3ptheading"/>
      </w:pPr>
      <w:r w:rsidRPr="001570EA">
        <w:rPr>
          <w:rFonts w:cs="Arial"/>
        </w:rPr>
        <w:t>Baseline: Room Air Conditioner(s)</w:t>
      </w:r>
    </w:p>
    <w:p w14:paraId="79162E02" w14:textId="77777777" w:rsidR="007376E1" w:rsidRPr="001570EA" w:rsidRDefault="007376E1" w:rsidP="007376E1">
      <w:r w:rsidRPr="001570EA">
        <w:t>EDCs may collect information about the capacity of existing RACs (W</w:t>
      </w:r>
      <w:r w:rsidRPr="001570EA">
        <w:rPr>
          <w:vertAlign w:val="subscript"/>
        </w:rPr>
        <w:t>RAC</w:t>
      </w:r>
      <w:r w:rsidRPr="001570EA">
        <w:t>) in use in the home to determine the replaced capacity. An oversizing factor is calculated from the ratio of baseline to qualifying capacity:</w:t>
      </w:r>
    </w:p>
    <w:p w14:paraId="62EFEB40" w14:textId="77777777" w:rsidR="007376E1" w:rsidRPr="001570EA" w:rsidRDefault="007376E1" w:rsidP="007376E1">
      <w:pPr>
        <w:tabs>
          <w:tab w:val="left" w:pos="1440"/>
          <w:tab w:val="left" w:pos="2880"/>
        </w:tabs>
      </w:pPr>
      <w:r w:rsidRPr="001570EA">
        <w:rPr>
          <w:rFonts w:ascii="Cambria Math" w:hAnsi="Cambria Math"/>
          <w:i/>
        </w:rPr>
        <w:t>OF</w:t>
      </w:r>
      <w:r w:rsidRPr="001570EA">
        <w:rPr>
          <w:rFonts w:ascii="Cambria Math" w:hAnsi="Cambria Math"/>
          <w:i/>
          <w:vertAlign w:val="subscript"/>
        </w:rPr>
        <w:t>cool</w:t>
      </w:r>
      <w:r w:rsidRPr="001570EA">
        <w:rPr>
          <w:rFonts w:ascii="Cambria Math" w:hAnsi="Cambria Math"/>
          <w:i/>
          <w:vertAlign w:val="subscript"/>
        </w:rPr>
        <w:tab/>
      </w:r>
      <m:oMath>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CAPY</m:t>
                    </m:r>
                  </m:e>
                  <m:sub>
                    <m:r>
                      <w:rPr>
                        <w:rFonts w:ascii="Cambria Math" w:hAnsi="Cambria Math"/>
                      </w:rPr>
                      <m:t>RAC</m:t>
                    </m:r>
                  </m:sub>
                </m:sSub>
              </m:e>
            </m:nary>
            <m:r>
              <w:rPr>
                <w:rFonts w:ascii="Cambria Math" w:hAnsi="Cambria Math"/>
              </w:rPr>
              <m:t xml:space="preserve"> </m:t>
            </m:r>
          </m:num>
          <m:den>
            <m:sSub>
              <m:sSubPr>
                <m:ctrlPr>
                  <w:rPr>
                    <w:rFonts w:ascii="Cambria Math" w:hAnsi="Cambria Math"/>
                    <w:i/>
                  </w:rPr>
                </m:ctrlPr>
              </m:sSubPr>
              <m:e>
                <m:r>
                  <w:rPr>
                    <w:rFonts w:ascii="Cambria Math" w:hAnsi="Cambria Math"/>
                  </w:rPr>
                  <m:t>CAPY</m:t>
                </m:r>
              </m:e>
              <m:sub>
                <m:r>
                  <w:rPr>
                    <w:rFonts w:ascii="Cambria Math" w:hAnsi="Cambria Math"/>
                  </w:rPr>
                  <m:t>cool</m:t>
                </m:r>
              </m:sub>
            </m:sSub>
          </m:den>
        </m:f>
      </m:oMath>
    </w:p>
    <w:p w14:paraId="2920DF14" w14:textId="77777777" w:rsidR="007376E1" w:rsidRPr="001570EA" w:rsidRDefault="007376E1" w:rsidP="007376E1">
      <w:pPr>
        <w:pStyle w:val="Equation"/>
        <w:rPr>
          <w:rFonts w:cs="Arial"/>
          <w:i w:val="0"/>
          <w:szCs w:val="20"/>
        </w:rPr>
      </w:pPr>
    </w:p>
    <w:p w14:paraId="6D1ABA29" w14:textId="77777777" w:rsidR="007376E1" w:rsidRPr="001570EA" w:rsidRDefault="007376E1" w:rsidP="007376E1">
      <w:pPr>
        <w:pStyle w:val="3ptheading"/>
        <w:rPr>
          <w:rFonts w:cs="Arial"/>
        </w:rPr>
      </w:pPr>
      <w:r w:rsidRPr="001570EA">
        <w:rPr>
          <w:rFonts w:cs="Arial"/>
        </w:rPr>
        <w:t>Baseline: Spaceheater(s), Electric Baseboards</w:t>
      </w:r>
    </w:p>
    <w:p w14:paraId="3564A411" w14:textId="77777777" w:rsidR="007376E1" w:rsidRPr="001570EA" w:rsidRDefault="007376E1" w:rsidP="007376E1">
      <w:r w:rsidRPr="001570EA">
        <w:t xml:space="preserve">EDCs may collect information about the capacity of the existing space heaters, electric furnaces, or electric baseboards. Capacity is determined using the total wattage of wattage of electric heat in use, where </w:t>
      </w:r>
      <w:r w:rsidRPr="001570EA">
        <w:rPr>
          <w:rFonts w:ascii="Cambria Math" w:hAnsi="Cambria Math"/>
          <w:i/>
          <w:iCs/>
        </w:rPr>
        <w:t>OF</w:t>
      </w:r>
      <w:r w:rsidRPr="001570EA">
        <w:rPr>
          <w:rFonts w:ascii="Cambria Math" w:hAnsi="Cambria Math"/>
          <w:i/>
          <w:iCs/>
          <w:vertAlign w:val="subscript"/>
        </w:rPr>
        <w:t>heat</w:t>
      </w:r>
      <w:r w:rsidRPr="001570EA">
        <w:t xml:space="preserve"> is the ratio of the existing electric capacity to the capacity of the new equipment:</w:t>
      </w:r>
    </w:p>
    <w:p w14:paraId="70F6ECAD" w14:textId="77777777" w:rsidR="007376E1" w:rsidRPr="001570EA" w:rsidRDefault="007376E1" w:rsidP="007376E1"/>
    <w:p w14:paraId="4BE29425" w14:textId="77777777" w:rsidR="007376E1" w:rsidRPr="001570EA" w:rsidRDefault="007376E1" w:rsidP="007376E1">
      <w:pPr>
        <w:tabs>
          <w:tab w:val="left" w:pos="1440"/>
        </w:tabs>
      </w:pPr>
      <w:r w:rsidRPr="001570EA">
        <w:rPr>
          <w:rFonts w:ascii="Cambria Math" w:hAnsi="Cambria Math"/>
          <w:i/>
        </w:rPr>
        <w:t>OF</w:t>
      </w:r>
      <w:r w:rsidRPr="001570EA">
        <w:rPr>
          <w:rFonts w:ascii="Cambria Math" w:hAnsi="Cambria Math"/>
          <w:i/>
          <w:vertAlign w:val="subscript"/>
        </w:rPr>
        <w:t>heat</w:t>
      </w:r>
      <w:r w:rsidRPr="001570EA">
        <w:rPr>
          <w:rFonts w:ascii="Cambria Math" w:hAnsi="Cambria Math"/>
          <w:i/>
        </w:rPr>
        <w:tab/>
      </w:r>
      <m:oMath>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kW</m:t>
                    </m:r>
                  </m:e>
                  <m:sub>
                    <m:r>
                      <w:rPr>
                        <w:rFonts w:ascii="Cambria Math" w:hAnsi="Cambria Math"/>
                      </w:rPr>
                      <m:t>Spaceheat</m:t>
                    </m:r>
                  </m:sub>
                </m:sSub>
              </m:e>
            </m:nary>
            <m:r>
              <w:rPr>
                <w:rFonts w:ascii="Cambria Math" w:hAnsi="Cambria Math"/>
              </w:rPr>
              <m:t xml:space="preserve"> ×</m:t>
            </m:r>
            <m:r>
              <m:rPr>
                <m:nor/>
              </m:rPr>
              <w:rPr>
                <w:rFonts w:ascii="Cambria Math" w:hAnsi="Cambria Math" w:cs="Arial"/>
              </w:rPr>
              <m:t>3.412</m:t>
            </m:r>
            <m:f>
              <m:fPr>
                <m:ctrlPr>
                  <w:rPr>
                    <w:rFonts w:ascii="Cambria Math" w:hAnsi="Cambria Math" w:cs="Arial"/>
                    <w:i/>
                  </w:rPr>
                </m:ctrlPr>
              </m:fPr>
              <m:num>
                <m:r>
                  <m:rPr>
                    <m:nor/>
                  </m:rPr>
                  <w:rPr>
                    <w:rFonts w:ascii="Cambria Math" w:hAnsi="Cambria Math" w:cs="Arial"/>
                    <w:i/>
                    <w:iCs/>
                  </w:rPr>
                  <m:t>BTU</m:t>
                </m:r>
              </m:num>
              <m:den>
                <m:r>
                  <m:rPr>
                    <m:nor/>
                  </m:rPr>
                  <w:rPr>
                    <w:rFonts w:ascii="Cambria Math" w:hAnsi="Cambria Math" w:cs="Arial"/>
                    <w:i/>
                    <w:iCs/>
                  </w:rPr>
                  <m:t>W∙h</m:t>
                </m:r>
              </m:den>
            </m:f>
          </m:num>
          <m:den>
            <m:sSub>
              <m:sSubPr>
                <m:ctrlPr>
                  <w:rPr>
                    <w:rFonts w:ascii="Cambria Math" w:hAnsi="Cambria Math"/>
                    <w:i/>
                  </w:rPr>
                </m:ctrlPr>
              </m:sSubPr>
              <m:e>
                <m:r>
                  <w:rPr>
                    <w:rFonts w:ascii="Cambria Math" w:hAnsi="Cambria Math"/>
                  </w:rPr>
                  <m:t>CAPY</m:t>
                </m:r>
              </m:e>
              <m:sub>
                <m:r>
                  <w:rPr>
                    <w:rFonts w:ascii="Cambria Math" w:hAnsi="Cambria Math"/>
                  </w:rPr>
                  <m:t>Heat</m:t>
                </m:r>
              </m:sub>
            </m:sSub>
          </m:den>
        </m:f>
      </m:oMath>
    </w:p>
    <w:p w14:paraId="4E5A2D7A" w14:textId="77777777" w:rsidR="007376E1" w:rsidRPr="001570EA" w:rsidRDefault="007376E1" w:rsidP="007376E1">
      <w:pPr>
        <w:rPr>
          <w:rFonts w:cs="Arial"/>
        </w:rPr>
      </w:pPr>
    </w:p>
    <w:p w14:paraId="748F7995" w14:textId="77777777" w:rsidR="007376E1" w:rsidRPr="001570EA" w:rsidRDefault="007376E1" w:rsidP="007376E1">
      <w:pPr>
        <w:pStyle w:val="SubStyle"/>
        <w:keepNext/>
        <w:keepLines/>
      </w:pPr>
      <w:r w:rsidRPr="001570EA">
        <w:t>Definition of Terms</w:t>
      </w:r>
    </w:p>
    <w:p w14:paraId="6D39D56F" w14:textId="403B5AAD" w:rsidR="007376E1" w:rsidRPr="001570EA" w:rsidRDefault="007376E1" w:rsidP="007376E1">
      <w:pPr>
        <w:pStyle w:val="Caption"/>
      </w:pPr>
      <w:bookmarkStart w:id="207" w:name="_Ref163831888"/>
      <w:bookmarkStart w:id="208" w:name="_Toc47598255"/>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16</w:t>
      </w:r>
      <w:r w:rsidR="002E093A" w:rsidRPr="001570EA">
        <w:fldChar w:fldCharType="end"/>
      </w:r>
      <w:bookmarkEnd w:id="207"/>
      <w:r w:rsidRPr="001570EA">
        <w:t xml:space="preserve">: </w:t>
      </w:r>
      <w:r w:rsidRPr="001570EA">
        <w:rPr>
          <w:rFonts w:cs="Arial"/>
        </w:rPr>
        <w:t>Terms, Values, and References for</w:t>
      </w:r>
      <w:r w:rsidRPr="001570EA">
        <w:t xml:space="preserve"> High Efficiency Equipment: Ductless Heat Pump</w:t>
      </w:r>
      <w:bookmarkEnd w:id="208"/>
    </w:p>
    <w:tbl>
      <w:tblPr>
        <w:tblStyle w:val="TableGrid"/>
        <w:tblW w:w="8640" w:type="dxa"/>
        <w:tblInd w:w="108" w:type="dxa"/>
        <w:tblLayout w:type="fixed"/>
        <w:tblLook w:val="04A0" w:firstRow="1" w:lastRow="0" w:firstColumn="1" w:lastColumn="0" w:noHBand="0" w:noVBand="1"/>
      </w:tblPr>
      <w:tblGrid>
        <w:gridCol w:w="3690"/>
        <w:gridCol w:w="1170"/>
        <w:gridCol w:w="2070"/>
        <w:gridCol w:w="1710"/>
      </w:tblGrid>
      <w:tr w:rsidR="007376E1" w:rsidRPr="001570EA" w14:paraId="7654024A" w14:textId="77777777">
        <w:trPr>
          <w:cantSplit/>
          <w:trHeight w:val="242"/>
          <w:tblHeader/>
        </w:trPr>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BDF703" w14:textId="77777777" w:rsidR="007376E1" w:rsidRPr="001570EA" w:rsidRDefault="007376E1">
            <w:pPr>
              <w:rPr>
                <w:sz w:val="18"/>
                <w:szCs w:val="18"/>
              </w:rPr>
            </w:pPr>
            <w:r w:rsidRPr="001570EA">
              <w:rPr>
                <w:b/>
                <w:bCs/>
                <w:sz w:val="18"/>
                <w:szCs w:val="18"/>
              </w:rPr>
              <w:t>Term</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BA1950" w14:textId="77777777" w:rsidR="007376E1" w:rsidRPr="001570EA" w:rsidRDefault="007376E1">
            <w:pPr>
              <w:jc w:val="center"/>
              <w:rPr>
                <w:sz w:val="18"/>
                <w:szCs w:val="18"/>
              </w:rPr>
            </w:pPr>
            <w:r w:rsidRPr="001570EA">
              <w:rPr>
                <w:b/>
                <w:bCs/>
                <w:sz w:val="18"/>
                <w:szCs w:val="18"/>
              </w:rPr>
              <w:t>Unit</w:t>
            </w:r>
          </w:p>
        </w:tc>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69E921" w14:textId="77777777" w:rsidR="007376E1" w:rsidRPr="001570EA" w:rsidRDefault="007376E1">
            <w:pPr>
              <w:jc w:val="center"/>
              <w:rPr>
                <w:sz w:val="18"/>
                <w:szCs w:val="18"/>
              </w:rPr>
            </w:pPr>
            <w:r w:rsidRPr="001570EA">
              <w:rPr>
                <w:b/>
                <w:bCs/>
                <w:sz w:val="18"/>
                <w:szCs w:val="18"/>
              </w:rPr>
              <w:t>Value</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217360" w14:textId="77777777" w:rsidR="007376E1" w:rsidRPr="001570EA" w:rsidRDefault="007376E1">
            <w:pPr>
              <w:jc w:val="center"/>
              <w:rPr>
                <w:sz w:val="18"/>
                <w:szCs w:val="18"/>
              </w:rPr>
            </w:pPr>
            <w:r w:rsidRPr="001570EA">
              <w:rPr>
                <w:b/>
                <w:bCs/>
                <w:sz w:val="18"/>
                <w:szCs w:val="18"/>
              </w:rPr>
              <w:t>Sources</w:t>
            </w:r>
          </w:p>
        </w:tc>
      </w:tr>
      <w:tr w:rsidR="007376E1" w:rsidRPr="001570EA" w14:paraId="7FC27D7B"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0FE8B79D" w14:textId="4CA1619C" w:rsidR="007376E1" w:rsidRPr="001570EA" w:rsidRDefault="007376E1">
            <w:pPr>
              <w:rPr>
                <w:sz w:val="18"/>
                <w:szCs w:val="18"/>
              </w:rPr>
            </w:pPr>
            <w:r w:rsidRPr="001570EA">
              <w:rPr>
                <w:i/>
                <w:iCs/>
                <w:sz w:val="18"/>
                <w:szCs w:val="18"/>
              </w:rPr>
              <w:t>CAPY</w:t>
            </w:r>
            <w:r w:rsidRPr="001570EA">
              <w:rPr>
                <w:i/>
                <w:iCs/>
                <w:sz w:val="18"/>
                <w:szCs w:val="18"/>
                <w:vertAlign w:val="subscript"/>
              </w:rPr>
              <w:t>cool</w:t>
            </w:r>
            <w:r w:rsidRPr="001570EA">
              <w:rPr>
                <w:sz w:val="18"/>
                <w:szCs w:val="18"/>
              </w:rPr>
              <w:t xml:space="preserve">, </w:t>
            </w:r>
            <w:r w:rsidRPr="001570EA">
              <w:rPr>
                <w:rFonts w:cs="Arial"/>
                <w:sz w:val="18"/>
                <w:szCs w:val="18"/>
              </w:rPr>
              <w:t>The cooling capacity of the central air conditioner or heat pump being installed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D8B6B5" w14:textId="77777777" w:rsidR="007376E1" w:rsidRPr="001570EA" w:rsidRDefault="007376E1">
            <w:pPr>
              <w:jc w:val="center"/>
              <w:rPr>
                <w:rFonts w:ascii="Cambria Math" w:hAnsi="Cambria Math"/>
                <w:sz w:val="18"/>
                <w:szCs w:val="18"/>
              </w:rPr>
            </w:pPr>
            <w:r w:rsidRPr="001570EA">
              <w:rPr>
                <w:rFonts w:ascii="Cambria Math" w:hAnsi="Cambria Math" w:cs="Arial"/>
                <w:i/>
                <w:iCs/>
                <w:sz w:val="18"/>
                <w:szCs w:val="18"/>
              </w:rPr>
              <w:t>kBTU/hr</w:t>
            </w:r>
          </w:p>
        </w:tc>
        <w:tc>
          <w:tcPr>
            <w:tcW w:w="2070" w:type="dxa"/>
            <w:tcBorders>
              <w:top w:val="single" w:sz="4" w:space="0" w:color="auto"/>
              <w:left w:val="single" w:sz="4" w:space="0" w:color="auto"/>
              <w:bottom w:val="single" w:sz="4" w:space="0" w:color="auto"/>
              <w:right w:val="single" w:sz="4" w:space="0" w:color="auto"/>
            </w:tcBorders>
            <w:vAlign w:val="center"/>
          </w:tcPr>
          <w:p w14:paraId="2DE63232" w14:textId="77777777" w:rsidR="007376E1" w:rsidRPr="001570EA" w:rsidRDefault="007376E1">
            <w:pPr>
              <w:pStyle w:val="TableCell"/>
              <w:spacing w:before="60" w:after="60"/>
              <w:jc w:val="center"/>
              <w:rPr>
                <w:szCs w:val="18"/>
              </w:rPr>
            </w:pPr>
            <w:r w:rsidRPr="001570EA">
              <w:rPr>
                <w:szCs w:val="18"/>
              </w:rPr>
              <w:t>EDC Data Gathering</w:t>
            </w:r>
          </w:p>
          <w:p w14:paraId="73206621" w14:textId="77777777" w:rsidR="007376E1" w:rsidRPr="001570EA" w:rsidRDefault="007376E1">
            <w:pPr>
              <w:jc w:val="center"/>
              <w:rPr>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3CFAE225"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30F3A14F"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6354C1EE" w14:textId="662A8D50" w:rsidR="007376E1" w:rsidRPr="001570EA" w:rsidRDefault="007376E1">
            <w:pPr>
              <w:rPr>
                <w:sz w:val="18"/>
                <w:szCs w:val="18"/>
              </w:rPr>
            </w:pPr>
            <w:r w:rsidRPr="001570EA">
              <w:rPr>
                <w:i/>
                <w:iCs/>
                <w:sz w:val="18"/>
                <w:szCs w:val="18"/>
              </w:rPr>
              <w:t>CAPY</w:t>
            </w:r>
            <w:r w:rsidRPr="001570EA">
              <w:rPr>
                <w:i/>
                <w:iCs/>
                <w:sz w:val="18"/>
                <w:szCs w:val="18"/>
                <w:vertAlign w:val="subscript"/>
              </w:rPr>
              <w:t>heat</w:t>
            </w:r>
            <w:r w:rsidRPr="001570EA">
              <w:rPr>
                <w:sz w:val="18"/>
                <w:szCs w:val="18"/>
              </w:rPr>
              <w:t xml:space="preserve">, </w:t>
            </w:r>
            <w:r w:rsidRPr="001570EA">
              <w:rPr>
                <w:rFonts w:cs="Arial"/>
                <w:sz w:val="18"/>
                <w:szCs w:val="18"/>
              </w:rPr>
              <w:t>The heating capacity of the heat pump being installed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5A0B72E" w14:textId="77777777" w:rsidR="007376E1" w:rsidRPr="001570EA" w:rsidRDefault="007376E1">
            <w:pPr>
              <w:jc w:val="center"/>
              <w:rPr>
                <w:rFonts w:ascii="Cambria Math" w:hAnsi="Cambria Math"/>
                <w:sz w:val="18"/>
                <w:szCs w:val="18"/>
              </w:rPr>
            </w:pPr>
            <w:r w:rsidRPr="001570EA">
              <w:rPr>
                <w:rFonts w:ascii="Cambria Math" w:hAnsi="Cambria Math" w:cs="Arial"/>
                <w:i/>
                <w:iCs/>
                <w:sz w:val="18"/>
                <w:szCs w:val="18"/>
              </w:rPr>
              <w:t>kBTU/hr</w:t>
            </w:r>
          </w:p>
        </w:tc>
        <w:tc>
          <w:tcPr>
            <w:tcW w:w="2070" w:type="dxa"/>
            <w:tcBorders>
              <w:top w:val="single" w:sz="4" w:space="0" w:color="auto"/>
              <w:left w:val="single" w:sz="4" w:space="0" w:color="auto"/>
              <w:bottom w:val="single" w:sz="4" w:space="0" w:color="auto"/>
              <w:right w:val="single" w:sz="4" w:space="0" w:color="auto"/>
            </w:tcBorders>
            <w:vAlign w:val="center"/>
          </w:tcPr>
          <w:p w14:paraId="41A032E2" w14:textId="77777777" w:rsidR="007376E1" w:rsidRPr="001570EA" w:rsidRDefault="007376E1">
            <w:pPr>
              <w:pStyle w:val="TableCell"/>
              <w:spacing w:before="60" w:after="60"/>
              <w:jc w:val="center"/>
              <w:rPr>
                <w:szCs w:val="18"/>
              </w:rPr>
            </w:pPr>
            <w:r w:rsidRPr="001570EA">
              <w:rPr>
                <w:szCs w:val="18"/>
              </w:rPr>
              <w:t>EDC Data Gathering</w:t>
            </w:r>
          </w:p>
          <w:p w14:paraId="39CCD368" w14:textId="77777777" w:rsidR="007376E1" w:rsidRPr="001570EA" w:rsidRDefault="007376E1">
            <w:pPr>
              <w:jc w:val="center"/>
              <w:rPr>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01D70551"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759B3857"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0D8025FA" w14:textId="77777777" w:rsidR="007376E1" w:rsidRPr="001570EA" w:rsidRDefault="007376E1">
            <w:pPr>
              <w:rPr>
                <w:sz w:val="18"/>
                <w:szCs w:val="18"/>
              </w:rPr>
            </w:pPr>
            <w:r w:rsidRPr="001570EA">
              <w:rPr>
                <w:i/>
                <w:iCs/>
                <w:sz w:val="18"/>
                <w:szCs w:val="18"/>
              </w:rPr>
              <w:t>CAPY</w:t>
            </w:r>
            <w:r w:rsidRPr="001570EA">
              <w:rPr>
                <w:i/>
                <w:iCs/>
                <w:sz w:val="18"/>
                <w:szCs w:val="18"/>
                <w:vertAlign w:val="subscript"/>
              </w:rPr>
              <w:t xml:space="preserve">RAC </w:t>
            </w:r>
            <w:r w:rsidRPr="001570EA">
              <w:rPr>
                <w:sz w:val="18"/>
                <w:szCs w:val="18"/>
              </w:rPr>
              <w:t>, The cooling capacity of the room AC. Used only for the RAC cooling baseline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3D9CE0" w14:textId="77777777" w:rsidR="007376E1" w:rsidRPr="001570EA" w:rsidRDefault="007376E1">
            <w:pPr>
              <w:jc w:val="center"/>
              <w:rPr>
                <w:rFonts w:ascii="Cambria Math" w:hAnsi="Cambria Math"/>
                <w:sz w:val="18"/>
                <w:szCs w:val="18"/>
              </w:rPr>
            </w:pPr>
            <w:r w:rsidRPr="001570EA">
              <w:rPr>
                <w:rFonts w:ascii="Cambria Math" w:hAnsi="Cambria Math" w:cs="Arial"/>
                <w:i/>
                <w:iCs/>
                <w:sz w:val="18"/>
                <w:szCs w:val="18"/>
              </w:rPr>
              <w:t>kBTU/hr</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EB7E191" w14:textId="77777777" w:rsidR="007376E1" w:rsidRPr="001570EA" w:rsidRDefault="007376E1">
            <w:pPr>
              <w:jc w:val="center"/>
              <w:rPr>
                <w:sz w:val="18"/>
                <w:szCs w:val="18"/>
              </w:rPr>
            </w:pPr>
            <w:r w:rsidRPr="001570EA">
              <w:rPr>
                <w:sz w:val="18"/>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F554740" w14:textId="77777777" w:rsidR="007376E1" w:rsidRPr="001570EA" w:rsidRDefault="007376E1">
            <w:pPr>
              <w:jc w:val="center"/>
              <w:rPr>
                <w:sz w:val="18"/>
                <w:szCs w:val="18"/>
              </w:rPr>
            </w:pPr>
            <w:r w:rsidRPr="001570EA">
              <w:rPr>
                <w:sz w:val="18"/>
                <w:szCs w:val="18"/>
              </w:rPr>
              <w:t>EDC Data Gathering</w:t>
            </w:r>
          </w:p>
        </w:tc>
      </w:tr>
      <w:tr w:rsidR="007376E1" w:rsidRPr="001570EA" w14:paraId="48DC68FA"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5ECD567E" w14:textId="097C28A2" w:rsidR="007376E1" w:rsidRPr="001570EA" w:rsidRDefault="007376E1">
            <w:pPr>
              <w:rPr>
                <w:sz w:val="18"/>
                <w:szCs w:val="18"/>
              </w:rPr>
            </w:pPr>
            <w:r w:rsidRPr="001570EA">
              <w:rPr>
                <w:i/>
                <w:iCs/>
                <w:sz w:val="18"/>
                <w:szCs w:val="18"/>
              </w:rPr>
              <w:t>kW</w:t>
            </w:r>
            <w:r w:rsidRPr="001570EA">
              <w:rPr>
                <w:i/>
                <w:iCs/>
                <w:sz w:val="18"/>
                <w:szCs w:val="18"/>
                <w:vertAlign w:val="subscript"/>
              </w:rPr>
              <w:t>spaceheat</w:t>
            </w:r>
            <w:r w:rsidRPr="001570EA">
              <w:rPr>
                <w:sz w:val="18"/>
                <w:szCs w:val="18"/>
              </w:rPr>
              <w:t>, The heating capacity of the space heaters in watts.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67C0767" w14:textId="77777777" w:rsidR="007376E1" w:rsidRPr="001570EA" w:rsidRDefault="007376E1">
            <w:pPr>
              <w:jc w:val="center"/>
              <w:rPr>
                <w:rFonts w:ascii="Cambria Math" w:hAnsi="Cambria Math"/>
                <w:sz w:val="18"/>
                <w:szCs w:val="18"/>
              </w:rPr>
            </w:pPr>
            <w:r w:rsidRPr="001570EA">
              <w:rPr>
                <w:rFonts w:ascii="Cambria Math" w:hAnsi="Cambria Math"/>
                <w:i/>
                <w:iCs/>
                <w:sz w:val="18"/>
                <w:szCs w:val="18"/>
              </w:rPr>
              <w:t>kW</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F34B5E9" w14:textId="77777777" w:rsidR="007376E1" w:rsidRPr="001570EA" w:rsidRDefault="007376E1">
            <w:pPr>
              <w:spacing w:beforeLines="60" w:before="144" w:afterLines="60" w:after="144"/>
              <w:jc w:val="center"/>
              <w:rPr>
                <w:sz w:val="18"/>
                <w:szCs w:val="18"/>
              </w:rPr>
            </w:pPr>
            <w:r w:rsidRPr="001570EA">
              <w:rPr>
                <w:sz w:val="18"/>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4338E08" w14:textId="77777777" w:rsidR="007376E1" w:rsidRPr="001570EA" w:rsidRDefault="007376E1">
            <w:pPr>
              <w:jc w:val="center"/>
              <w:rPr>
                <w:sz w:val="18"/>
                <w:szCs w:val="18"/>
              </w:rPr>
            </w:pPr>
            <w:r w:rsidRPr="001570EA">
              <w:rPr>
                <w:sz w:val="18"/>
                <w:szCs w:val="18"/>
              </w:rPr>
              <w:t>EDC Data Gathering</w:t>
            </w:r>
          </w:p>
        </w:tc>
      </w:tr>
      <w:tr w:rsidR="007376E1" w:rsidRPr="001570EA" w14:paraId="465E07CA" w14:textId="77777777">
        <w:trPr>
          <w:cantSplit/>
          <w:trHeight w:val="650"/>
        </w:trPr>
        <w:tc>
          <w:tcPr>
            <w:tcW w:w="3690" w:type="dxa"/>
            <w:tcBorders>
              <w:top w:val="single" w:sz="4" w:space="0" w:color="auto"/>
              <w:left w:val="single" w:sz="4" w:space="0" w:color="auto"/>
              <w:right w:val="single" w:sz="4" w:space="0" w:color="auto"/>
            </w:tcBorders>
            <w:vAlign w:val="center"/>
          </w:tcPr>
          <w:p w14:paraId="4AB40EC5" w14:textId="7B2F77E9" w:rsidR="007376E1" w:rsidRPr="001570EA" w:rsidRDefault="007376E1">
            <w:pPr>
              <w:rPr>
                <w:i/>
                <w:iCs/>
                <w:sz w:val="18"/>
                <w:szCs w:val="18"/>
              </w:rPr>
            </w:pPr>
            <w:r w:rsidRPr="001570EA">
              <w:rPr>
                <w:i/>
                <w:iCs/>
                <w:sz w:val="18"/>
                <w:szCs w:val="18"/>
              </w:rPr>
              <w:t>SEER2</w:t>
            </w:r>
            <w:r w:rsidRPr="001570EA">
              <w:rPr>
                <w:i/>
                <w:iCs/>
                <w:sz w:val="18"/>
                <w:szCs w:val="18"/>
                <w:vertAlign w:val="subscript"/>
              </w:rPr>
              <w:t>base</w:t>
            </w:r>
            <w:r w:rsidRPr="001570EA">
              <w:rPr>
                <w:i/>
                <w:iCs/>
                <w:sz w:val="18"/>
                <w:szCs w:val="18"/>
              </w:rPr>
              <w:t xml:space="preserve">, </w:t>
            </w:r>
            <w:r w:rsidRPr="001570EA">
              <w:rPr>
                <w:rFonts w:cs="Arial"/>
                <w:sz w:val="18"/>
                <w:szCs w:val="18"/>
              </w:rPr>
              <w:t>Seasonal Energy Efficiency Ratio of the Baseline Unit</w:t>
            </w:r>
          </w:p>
        </w:tc>
        <w:tc>
          <w:tcPr>
            <w:tcW w:w="1170" w:type="dxa"/>
            <w:tcBorders>
              <w:top w:val="single" w:sz="4" w:space="0" w:color="auto"/>
              <w:left w:val="single" w:sz="4" w:space="0" w:color="auto"/>
              <w:bottom w:val="single" w:sz="4" w:space="0" w:color="auto"/>
              <w:right w:val="single" w:sz="4" w:space="0" w:color="auto"/>
            </w:tcBorders>
            <w:vAlign w:val="center"/>
          </w:tcPr>
          <w:p w14:paraId="78A76E22" w14:textId="77777777" w:rsidR="007376E1" w:rsidRPr="001570EA" w:rsidRDefault="003B5E04">
            <w:pPr>
              <w:jc w:val="center"/>
              <w:rPr>
                <w:rFonts w:ascii="Cambria Math" w:hAnsi="Cambria Math" w:cs="Arial"/>
                <w:i/>
                <w:iCs/>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vAlign w:val="center"/>
          </w:tcPr>
          <w:p w14:paraId="4A3914FF" w14:textId="77777777" w:rsidR="007376E1" w:rsidRPr="001570EA" w:rsidRDefault="007376E1">
            <w:pPr>
              <w:pStyle w:val="TableCell"/>
              <w:spacing w:beforeLines="60" w:before="144" w:afterLines="60" w:after="144"/>
              <w:jc w:val="center"/>
              <w:rPr>
                <w:szCs w:val="18"/>
              </w:rPr>
            </w:pPr>
            <w:r w:rsidRPr="001570EA">
              <w:rPr>
                <w:szCs w:val="18"/>
              </w:rPr>
              <w:t>EDC Data Gathering</w:t>
            </w:r>
          </w:p>
          <w:p w14:paraId="386008EC" w14:textId="77777777" w:rsidR="00384D95" w:rsidRPr="001570EA" w:rsidRDefault="007376E1" w:rsidP="00384D95">
            <w:pPr>
              <w:pStyle w:val="TableCell"/>
              <w:spacing w:beforeLines="60" w:before="144" w:afterLines="60" w:after="144"/>
              <w:jc w:val="center"/>
            </w:pPr>
            <w:r w:rsidRPr="001570EA">
              <w:rPr>
                <w:szCs w:val="18"/>
              </w:rPr>
              <w:t xml:space="preserve"> Default: </w:t>
            </w:r>
            <w:r w:rsidRPr="001570EA">
              <w:rPr>
                <w:szCs w:val="18"/>
              </w:rPr>
              <w:fldChar w:fldCharType="begin"/>
            </w:r>
            <w:r w:rsidRPr="001570EA">
              <w:rPr>
                <w:szCs w:val="18"/>
              </w:rPr>
              <w:instrText xml:space="preserve"> REF _Ref531963176 \h  \* MERGEFORMAT </w:instrText>
            </w:r>
            <w:r w:rsidRPr="001570EA">
              <w:rPr>
                <w:szCs w:val="18"/>
              </w:rPr>
            </w:r>
            <w:r w:rsidRPr="001570EA">
              <w:rPr>
                <w:szCs w:val="18"/>
              </w:rPr>
              <w:fldChar w:fldCharType="separate"/>
            </w:r>
          </w:p>
          <w:p w14:paraId="69FC42D5" w14:textId="3098CB0C" w:rsidR="007376E1" w:rsidRPr="001570EA" w:rsidRDefault="00384D95">
            <w:pPr>
              <w:pStyle w:val="TableCell"/>
              <w:spacing w:beforeLines="60" w:before="144" w:afterLines="60" w:after="144"/>
              <w:jc w:val="center"/>
              <w:rPr>
                <w:szCs w:val="18"/>
              </w:rPr>
            </w:pPr>
            <w:r w:rsidRPr="001570EA">
              <w:t>Table</w:t>
            </w:r>
            <w:r w:rsidRPr="001570EA">
              <w:rPr>
                <w:noProof/>
              </w:rPr>
              <w:t xml:space="preserve"> 2</w:t>
            </w:r>
            <w:r w:rsidRPr="001570EA">
              <w:rPr>
                <w:noProof/>
              </w:rPr>
              <w:noBreakHyphen/>
              <w:t>18</w:t>
            </w:r>
            <w:r w:rsidR="007376E1" w:rsidRPr="001570EA">
              <w:rPr>
                <w:szCs w:val="18"/>
              </w:rPr>
              <w:fldChar w:fldCharType="end"/>
            </w:r>
            <w:r w:rsidR="007376E1" w:rsidRPr="001570EA">
              <w:rPr>
                <w:szCs w:val="18"/>
              </w:rPr>
              <w:t xml:space="preserve"> or </w:t>
            </w:r>
            <w:r w:rsidR="007376E1" w:rsidRPr="001570EA">
              <w:rPr>
                <w:szCs w:val="18"/>
              </w:rPr>
              <w:fldChar w:fldCharType="begin"/>
            </w:r>
            <w:r w:rsidR="007376E1" w:rsidRPr="001570EA">
              <w:rPr>
                <w:szCs w:val="18"/>
              </w:rPr>
              <w:instrText xml:space="preserve"> REF _Ref531779526 \h  \* MERGEFORMAT </w:instrText>
            </w:r>
            <w:r w:rsidR="007376E1" w:rsidRPr="001570EA">
              <w:rPr>
                <w:szCs w:val="18"/>
              </w:rPr>
            </w:r>
            <w:r w:rsidR="007376E1" w:rsidRPr="001570EA">
              <w:rPr>
                <w:szCs w:val="18"/>
              </w:rPr>
              <w:fldChar w:fldCharType="separate"/>
            </w:r>
            <w:r w:rsidRPr="001570EA">
              <w:t xml:space="preserve">Table </w:t>
            </w:r>
            <w:r w:rsidRPr="001570EA">
              <w:rPr>
                <w:noProof/>
              </w:rPr>
              <w:t>2</w:t>
            </w:r>
            <w:r w:rsidRPr="001570EA">
              <w:rPr>
                <w:noProof/>
              </w:rPr>
              <w:noBreakHyphen/>
              <w:t>10</w:t>
            </w:r>
            <w:r w:rsidR="007376E1" w:rsidRPr="001570EA">
              <w:rPr>
                <w:szCs w:val="18"/>
              </w:rPr>
              <w:fldChar w:fldCharType="end"/>
            </w:r>
            <w:r w:rsidR="007376E1" w:rsidRPr="001570EA">
              <w:rPr>
                <w:szCs w:val="18"/>
              </w:rPr>
              <w:t xml:space="preserve"> in Sec. </w:t>
            </w:r>
            <w:r w:rsidR="007376E1" w:rsidRPr="001570EA">
              <w:rPr>
                <w:szCs w:val="18"/>
              </w:rPr>
              <w:fldChar w:fldCharType="begin"/>
            </w:r>
            <w:r w:rsidR="007376E1" w:rsidRPr="001570EA">
              <w:rPr>
                <w:szCs w:val="18"/>
              </w:rPr>
              <w:instrText xml:space="preserve"> REF _Ref534371933 \r \h  \* MERGEFORMAT </w:instrText>
            </w:r>
            <w:r w:rsidR="007376E1" w:rsidRPr="001570EA">
              <w:rPr>
                <w:szCs w:val="18"/>
              </w:rPr>
            </w:r>
            <w:r w:rsidR="007376E1" w:rsidRPr="001570EA">
              <w:rPr>
                <w:szCs w:val="18"/>
              </w:rPr>
              <w:fldChar w:fldCharType="separate"/>
            </w:r>
            <w:r w:rsidRPr="001570EA">
              <w:rPr>
                <w:szCs w:val="18"/>
              </w:rPr>
              <w:t>2.2.1</w:t>
            </w:r>
            <w:r w:rsidR="007376E1" w:rsidRPr="001570EA">
              <w:rPr>
                <w:szCs w:val="18"/>
              </w:rPr>
              <w:fldChar w:fldCharType="end"/>
            </w:r>
          </w:p>
          <w:p w14:paraId="0D9CCFB5" w14:textId="77777777" w:rsidR="007376E1" w:rsidRPr="001570EA" w:rsidRDefault="007376E1">
            <w:pPr>
              <w:pStyle w:val="TableCell"/>
              <w:spacing w:beforeLines="60" w:before="144" w:afterLines="60" w:after="144"/>
              <w:jc w:val="center"/>
              <w:rPr>
                <w:szCs w:val="18"/>
              </w:rPr>
            </w:pPr>
            <w:r w:rsidRPr="001570EA">
              <w:rPr>
                <w:szCs w:val="18"/>
              </w:rPr>
              <w:t>Midstream: 13.6</w:t>
            </w:r>
          </w:p>
        </w:tc>
        <w:tc>
          <w:tcPr>
            <w:tcW w:w="1710" w:type="dxa"/>
            <w:tcBorders>
              <w:top w:val="single" w:sz="4" w:space="0" w:color="auto"/>
              <w:left w:val="single" w:sz="4" w:space="0" w:color="auto"/>
              <w:bottom w:val="single" w:sz="4" w:space="0" w:color="auto"/>
              <w:right w:val="single" w:sz="4" w:space="0" w:color="auto"/>
            </w:tcBorders>
            <w:vAlign w:val="center"/>
          </w:tcPr>
          <w:p w14:paraId="53D8FC90" w14:textId="77777777" w:rsidR="007376E1" w:rsidRPr="001570EA" w:rsidRDefault="007376E1">
            <w:pPr>
              <w:jc w:val="center"/>
              <w:rPr>
                <w:sz w:val="18"/>
                <w:szCs w:val="18"/>
              </w:rPr>
            </w:pPr>
            <w:r w:rsidRPr="001570EA">
              <w:rPr>
                <w:sz w:val="18"/>
                <w:szCs w:val="18"/>
              </w:rPr>
              <w:t>EDC Data Gathering; 3, 10</w:t>
            </w:r>
          </w:p>
        </w:tc>
      </w:tr>
      <w:tr w:rsidR="007376E1" w:rsidRPr="001570EA" w14:paraId="6C46C028"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vAlign w:val="center"/>
          </w:tcPr>
          <w:p w14:paraId="205DA44E" w14:textId="67181429" w:rsidR="007376E1" w:rsidRPr="001570EA" w:rsidRDefault="007376E1">
            <w:pPr>
              <w:rPr>
                <w:i/>
                <w:iCs/>
                <w:sz w:val="18"/>
                <w:szCs w:val="18"/>
              </w:rPr>
            </w:pPr>
            <w:r w:rsidRPr="001570EA">
              <w:rPr>
                <w:i/>
                <w:iCs/>
                <w:sz w:val="18"/>
                <w:szCs w:val="18"/>
              </w:rPr>
              <w:t>SEER2</w:t>
            </w:r>
            <w:r w:rsidRPr="001570EA">
              <w:rPr>
                <w:i/>
                <w:iCs/>
                <w:sz w:val="18"/>
                <w:szCs w:val="18"/>
                <w:vertAlign w:val="subscript"/>
              </w:rPr>
              <w:t>ee</w:t>
            </w:r>
            <w:r w:rsidRPr="001570EA">
              <w:rPr>
                <w:i/>
                <w:iCs/>
                <w:sz w:val="18"/>
                <w:szCs w:val="18"/>
              </w:rPr>
              <w:t xml:space="preserve">, </w:t>
            </w:r>
            <w:r w:rsidRPr="001570EA">
              <w:rPr>
                <w:rFonts w:cs="Arial"/>
                <w:sz w:val="18"/>
                <w:szCs w:val="18"/>
              </w:rPr>
              <w:t>Seasonal Energy Efficiency Ratio of the qualifying unit being installed</w:t>
            </w:r>
          </w:p>
        </w:tc>
        <w:tc>
          <w:tcPr>
            <w:tcW w:w="1170" w:type="dxa"/>
            <w:tcBorders>
              <w:top w:val="single" w:sz="4" w:space="0" w:color="auto"/>
              <w:left w:val="single" w:sz="4" w:space="0" w:color="auto"/>
              <w:bottom w:val="single" w:sz="4" w:space="0" w:color="auto"/>
              <w:right w:val="single" w:sz="4" w:space="0" w:color="auto"/>
            </w:tcBorders>
            <w:vAlign w:val="center"/>
          </w:tcPr>
          <w:p w14:paraId="43750899" w14:textId="77777777" w:rsidR="007376E1" w:rsidRPr="001570EA" w:rsidRDefault="003B5E04">
            <w:pPr>
              <w:jc w:val="center"/>
              <w:rPr>
                <w:rFonts w:ascii="Cambria Math" w:hAnsi="Cambria Math" w:cs="Arial"/>
                <w:i/>
                <w:iCs/>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vAlign w:val="center"/>
          </w:tcPr>
          <w:p w14:paraId="7BD79B43" w14:textId="77777777" w:rsidR="007376E1" w:rsidRPr="001570EA" w:rsidRDefault="007376E1">
            <w:pPr>
              <w:pStyle w:val="TableCell"/>
              <w:spacing w:beforeLines="60" w:before="144" w:afterLines="60" w:after="144"/>
              <w:jc w:val="center"/>
              <w:rPr>
                <w:szCs w:val="18"/>
              </w:rPr>
            </w:pPr>
            <w:r w:rsidRPr="001570EA">
              <w:rPr>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tcPr>
          <w:p w14:paraId="196C56B3"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031DABFE" w14:textId="77777777">
        <w:trPr>
          <w:cantSplit/>
          <w:trHeight w:val="665"/>
        </w:trPr>
        <w:tc>
          <w:tcPr>
            <w:tcW w:w="3690" w:type="dxa"/>
            <w:tcBorders>
              <w:top w:val="single" w:sz="4" w:space="0" w:color="auto"/>
              <w:left w:val="single" w:sz="4" w:space="0" w:color="auto"/>
              <w:bottom w:val="single" w:sz="4" w:space="0" w:color="auto"/>
              <w:right w:val="single" w:sz="4" w:space="0" w:color="auto"/>
            </w:tcBorders>
            <w:vAlign w:val="center"/>
            <w:hideMark/>
          </w:tcPr>
          <w:p w14:paraId="7146A209" w14:textId="21CA661A" w:rsidR="007376E1" w:rsidRPr="001570EA" w:rsidRDefault="007376E1">
            <w:pPr>
              <w:rPr>
                <w:sz w:val="18"/>
                <w:szCs w:val="18"/>
              </w:rPr>
            </w:pPr>
            <w:r w:rsidRPr="001570EA">
              <w:rPr>
                <w:i/>
                <w:iCs/>
                <w:sz w:val="18"/>
                <w:szCs w:val="18"/>
              </w:rPr>
              <w:t>EER2</w:t>
            </w:r>
            <w:r w:rsidRPr="001570EA">
              <w:rPr>
                <w:i/>
                <w:iCs/>
                <w:sz w:val="18"/>
                <w:szCs w:val="18"/>
                <w:vertAlign w:val="subscript"/>
              </w:rPr>
              <w:t>base</w:t>
            </w:r>
            <w:r w:rsidRPr="001570EA">
              <w:rPr>
                <w:i/>
                <w:iCs/>
                <w:sz w:val="18"/>
                <w:szCs w:val="18"/>
              </w:rPr>
              <w:t xml:space="preserve">, </w:t>
            </w:r>
            <w:r w:rsidRPr="001570EA">
              <w:rPr>
                <w:rFonts w:cs="Arial"/>
                <w:sz w:val="18"/>
                <w:szCs w:val="18"/>
              </w:rPr>
              <w:t>Energy Efficiency Ratio of the Baseline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DC31580" w14:textId="77777777" w:rsidR="007376E1" w:rsidRPr="001570EA" w:rsidRDefault="003B5E04">
            <w:pPr>
              <w:jc w:val="center"/>
              <w:rPr>
                <w:rFonts w:ascii="Cambria Math" w:hAnsi="Cambria Math"/>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0033DAC1" w14:textId="77777777" w:rsidR="00384D95" w:rsidRPr="001570EA" w:rsidRDefault="007376E1" w:rsidP="00384D95">
            <w:pPr>
              <w:spacing w:beforeLines="60" w:before="144" w:afterLines="60" w:after="144"/>
              <w:jc w:val="center"/>
              <w:rPr>
                <w:sz w:val="18"/>
                <w:szCs w:val="18"/>
              </w:rPr>
            </w:pPr>
            <w:r w:rsidRPr="001570EA">
              <w:rPr>
                <w:sz w:val="18"/>
                <w:szCs w:val="18"/>
              </w:rPr>
              <w:t xml:space="preserve">EDC Data Gathering </w:t>
            </w:r>
            <w:r w:rsidRPr="001570EA">
              <w:rPr>
                <w:rFonts w:ascii="Arial Narrow" w:hAnsi="Arial Narrow"/>
                <w:b/>
                <w:bCs/>
                <w:sz w:val="18"/>
                <w:szCs w:val="18"/>
              </w:rPr>
              <w:fldChar w:fldCharType="begin"/>
            </w:r>
            <w:r w:rsidRPr="001570EA">
              <w:rPr>
                <w:sz w:val="18"/>
                <w:szCs w:val="18"/>
              </w:rPr>
              <w:instrText xml:space="preserve"> REF _Ref531963176 \h  \* MERGEFORMAT </w:instrText>
            </w:r>
            <w:r w:rsidRPr="001570EA">
              <w:rPr>
                <w:rFonts w:ascii="Arial Narrow" w:hAnsi="Arial Narrow"/>
                <w:b/>
                <w:bCs/>
                <w:sz w:val="18"/>
                <w:szCs w:val="18"/>
              </w:rPr>
            </w:r>
            <w:r w:rsidRPr="001570EA">
              <w:rPr>
                <w:rFonts w:ascii="Arial Narrow" w:hAnsi="Arial Narrow"/>
                <w:b/>
                <w:bCs/>
                <w:sz w:val="18"/>
                <w:szCs w:val="18"/>
              </w:rPr>
              <w:fldChar w:fldCharType="separate"/>
            </w:r>
          </w:p>
          <w:p w14:paraId="675CB77B" w14:textId="52A3D12D" w:rsidR="007376E1" w:rsidRPr="001570EA" w:rsidRDefault="00384D95">
            <w:pPr>
              <w:spacing w:beforeLines="60" w:before="144" w:afterLines="60" w:after="144"/>
              <w:jc w:val="center"/>
              <w:rPr>
                <w:sz w:val="18"/>
                <w:szCs w:val="18"/>
              </w:rPr>
            </w:pPr>
            <w:r w:rsidRPr="001570EA">
              <w:rPr>
                <w:sz w:val="18"/>
                <w:szCs w:val="18"/>
              </w:rPr>
              <w:t xml:space="preserve">Table </w:t>
            </w:r>
            <w:r w:rsidRPr="001570EA">
              <w:rPr>
                <w:noProof/>
                <w:sz w:val="18"/>
                <w:szCs w:val="18"/>
              </w:rPr>
              <w:t>2</w:t>
            </w:r>
            <w:r w:rsidRPr="001570EA">
              <w:rPr>
                <w:noProof/>
                <w:sz w:val="18"/>
                <w:szCs w:val="18"/>
              </w:rPr>
              <w:noBreakHyphen/>
              <w:t>18</w:t>
            </w:r>
            <w:r w:rsidR="007376E1" w:rsidRPr="001570EA">
              <w:rPr>
                <w:sz w:val="18"/>
                <w:szCs w:val="18"/>
              </w:rPr>
              <w:fldChar w:fldCharType="end"/>
            </w:r>
            <w:r w:rsidR="007376E1" w:rsidRPr="001570EA">
              <w:rPr>
                <w:sz w:val="18"/>
                <w:szCs w:val="18"/>
              </w:rPr>
              <w:t xml:space="preserve"> or </w:t>
            </w:r>
            <w:r w:rsidR="007376E1" w:rsidRPr="001570EA">
              <w:rPr>
                <w:sz w:val="18"/>
                <w:szCs w:val="18"/>
              </w:rPr>
              <w:fldChar w:fldCharType="begin"/>
            </w:r>
            <w:r w:rsidR="007376E1" w:rsidRPr="001570EA">
              <w:rPr>
                <w:sz w:val="18"/>
                <w:szCs w:val="18"/>
              </w:rPr>
              <w:instrText xml:space="preserve"> REF _Ref531779526 \h  \* MERGEFORMAT </w:instrText>
            </w:r>
            <w:r w:rsidR="007376E1" w:rsidRPr="001570EA">
              <w:rPr>
                <w:sz w:val="18"/>
                <w:szCs w:val="18"/>
              </w:rPr>
            </w:r>
            <w:r w:rsidR="007376E1" w:rsidRPr="001570EA">
              <w:rPr>
                <w:sz w:val="18"/>
                <w:szCs w:val="18"/>
              </w:rPr>
              <w:fldChar w:fldCharType="separate"/>
            </w:r>
            <w:r w:rsidRPr="001570EA">
              <w:rPr>
                <w:sz w:val="18"/>
                <w:szCs w:val="18"/>
              </w:rPr>
              <w:t xml:space="preserve">Table </w:t>
            </w:r>
            <w:r w:rsidRPr="001570EA">
              <w:rPr>
                <w:noProof/>
                <w:sz w:val="18"/>
                <w:szCs w:val="18"/>
              </w:rPr>
              <w:t>2</w:t>
            </w:r>
            <w:r w:rsidRPr="001570EA">
              <w:rPr>
                <w:noProof/>
                <w:sz w:val="18"/>
                <w:szCs w:val="18"/>
              </w:rPr>
              <w:noBreakHyphen/>
              <w:t>10</w:t>
            </w:r>
            <w:r w:rsidR="007376E1" w:rsidRPr="001570EA">
              <w:rPr>
                <w:sz w:val="18"/>
                <w:szCs w:val="18"/>
              </w:rPr>
              <w:fldChar w:fldCharType="end"/>
            </w:r>
            <w:r w:rsidR="007376E1" w:rsidRPr="001570EA">
              <w:rPr>
                <w:sz w:val="18"/>
                <w:szCs w:val="18"/>
              </w:rPr>
              <w:t xml:space="preserve"> in Sec. </w:t>
            </w:r>
            <w:r w:rsidR="007376E1" w:rsidRPr="001570EA">
              <w:rPr>
                <w:sz w:val="18"/>
                <w:szCs w:val="18"/>
              </w:rPr>
              <w:fldChar w:fldCharType="begin"/>
            </w:r>
            <w:r w:rsidR="007376E1" w:rsidRPr="001570EA">
              <w:rPr>
                <w:sz w:val="18"/>
                <w:szCs w:val="18"/>
              </w:rPr>
              <w:instrText xml:space="preserve"> REF _Ref534371933 \r \h  \* MERGEFORMAT </w:instrText>
            </w:r>
            <w:r w:rsidR="007376E1" w:rsidRPr="001570EA">
              <w:rPr>
                <w:sz w:val="18"/>
                <w:szCs w:val="18"/>
              </w:rPr>
            </w:r>
            <w:r w:rsidR="007376E1" w:rsidRPr="001570EA">
              <w:rPr>
                <w:sz w:val="18"/>
                <w:szCs w:val="18"/>
              </w:rPr>
              <w:fldChar w:fldCharType="separate"/>
            </w:r>
            <w:r w:rsidRPr="001570EA">
              <w:rPr>
                <w:sz w:val="18"/>
                <w:szCs w:val="18"/>
              </w:rPr>
              <w:t>2.2.1</w:t>
            </w:r>
            <w:r w:rsidR="007376E1" w:rsidRPr="001570EA">
              <w:rPr>
                <w:sz w:val="18"/>
                <w:szCs w:val="18"/>
              </w:rPr>
              <w:fldChar w:fldCharType="end"/>
            </w:r>
          </w:p>
          <w:p w14:paraId="6AF7DDBF" w14:textId="77777777" w:rsidR="007376E1" w:rsidRPr="001570EA" w:rsidRDefault="007376E1">
            <w:pPr>
              <w:spacing w:beforeLines="60" w:before="144" w:afterLines="60" w:after="144"/>
              <w:jc w:val="center"/>
              <w:rPr>
                <w:sz w:val="18"/>
                <w:szCs w:val="18"/>
              </w:rPr>
            </w:pPr>
            <w:r w:rsidRPr="001570EA">
              <w:rPr>
                <w:sz w:val="18"/>
                <w:szCs w:val="18"/>
              </w:rPr>
              <w:t>Midstream: 11.4</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202DE79" w14:textId="77777777" w:rsidR="007376E1" w:rsidRPr="001570EA" w:rsidRDefault="007376E1">
            <w:pPr>
              <w:jc w:val="center"/>
              <w:rPr>
                <w:sz w:val="18"/>
                <w:szCs w:val="18"/>
              </w:rPr>
            </w:pPr>
            <w:r w:rsidRPr="001570EA">
              <w:rPr>
                <w:sz w:val="18"/>
                <w:szCs w:val="18"/>
              </w:rPr>
              <w:t>EDC Data Gathering; 3, 4, 5</w:t>
            </w:r>
          </w:p>
        </w:tc>
      </w:tr>
      <w:tr w:rsidR="007376E1" w:rsidRPr="001570EA" w14:paraId="71FA4250" w14:textId="77777777">
        <w:trPr>
          <w:cantSplit/>
        </w:trPr>
        <w:tc>
          <w:tcPr>
            <w:tcW w:w="3690" w:type="dxa"/>
            <w:tcBorders>
              <w:top w:val="single" w:sz="4" w:space="0" w:color="auto"/>
              <w:left w:val="single" w:sz="4" w:space="0" w:color="auto"/>
              <w:bottom w:val="single" w:sz="4" w:space="0" w:color="auto"/>
              <w:right w:val="single" w:sz="4" w:space="0" w:color="auto"/>
            </w:tcBorders>
            <w:vAlign w:val="center"/>
            <w:hideMark/>
          </w:tcPr>
          <w:p w14:paraId="245BCF32" w14:textId="6CBBBAED" w:rsidR="007376E1" w:rsidRPr="001570EA" w:rsidRDefault="007376E1">
            <w:pPr>
              <w:rPr>
                <w:rFonts w:cs="Arial"/>
                <w:sz w:val="18"/>
                <w:szCs w:val="18"/>
              </w:rPr>
            </w:pPr>
            <w:r w:rsidRPr="001570EA">
              <w:rPr>
                <w:i/>
                <w:iCs/>
                <w:sz w:val="18"/>
                <w:szCs w:val="18"/>
              </w:rPr>
              <w:t>EER2</w:t>
            </w:r>
            <w:r w:rsidRPr="001570EA">
              <w:rPr>
                <w:i/>
                <w:iCs/>
                <w:sz w:val="18"/>
                <w:szCs w:val="18"/>
                <w:vertAlign w:val="subscript"/>
              </w:rPr>
              <w:t>ee</w:t>
            </w:r>
            <w:r w:rsidRPr="001570EA">
              <w:rPr>
                <w:i/>
                <w:iCs/>
                <w:sz w:val="18"/>
                <w:szCs w:val="18"/>
              </w:rPr>
              <w:t xml:space="preserve">, </w:t>
            </w:r>
            <w:r w:rsidRPr="001570EA">
              <w:rPr>
                <w:rFonts w:cs="Arial"/>
                <w:sz w:val="18"/>
                <w:szCs w:val="18"/>
              </w:rPr>
              <w:t>Energy Efficiency Ratio of the unit being installed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28732D" w14:textId="77777777" w:rsidR="007376E1" w:rsidRPr="001570EA" w:rsidRDefault="003B5E04">
            <w:pPr>
              <w:jc w:val="center"/>
              <w:rPr>
                <w:rFonts w:ascii="Cambria Math" w:hAnsi="Cambria Math"/>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vAlign w:val="center"/>
          </w:tcPr>
          <w:p w14:paraId="37D7772A" w14:textId="77777777" w:rsidR="007376E1" w:rsidRPr="001570EA" w:rsidRDefault="007376E1">
            <w:pPr>
              <w:pStyle w:val="TableCell"/>
              <w:keepNext w:val="0"/>
              <w:spacing w:beforeLines="60" w:before="144" w:afterLines="60" w:after="144"/>
              <w:jc w:val="center"/>
              <w:rPr>
                <w:szCs w:val="18"/>
              </w:rPr>
            </w:pPr>
            <w:r w:rsidRPr="001570EA">
              <w:rPr>
                <w:szCs w:val="18"/>
              </w:rPr>
              <w:t>EDC Data Gathering</w:t>
            </w:r>
          </w:p>
          <w:p w14:paraId="60035CCC" w14:textId="77777777" w:rsidR="007376E1" w:rsidRPr="001570EA" w:rsidRDefault="007376E1">
            <w:pPr>
              <w:pStyle w:val="TableCell"/>
              <w:keepNext w:val="0"/>
              <w:spacing w:beforeLines="60" w:before="144" w:afterLines="60" w:after="144"/>
              <w:jc w:val="center"/>
              <w:rPr>
                <w:szCs w:val="18"/>
              </w:rPr>
            </w:pPr>
            <w:r w:rsidRPr="001570EA">
              <w:rPr>
                <w:szCs w:val="18"/>
              </w:rPr>
              <w:t xml:space="preserve">Default </w:t>
            </w:r>
            <w:r w:rsidRPr="001570EA">
              <w:rPr>
                <w:i/>
                <w:iCs/>
                <w:szCs w:val="18"/>
              </w:rPr>
              <w:t>EER</w:t>
            </w:r>
            <w:r w:rsidRPr="001570EA">
              <w:rPr>
                <w:i/>
                <w:iCs/>
                <w:szCs w:val="18"/>
                <w:vertAlign w:val="subscript"/>
              </w:rPr>
              <w:t>ee</w:t>
            </w:r>
            <w:r w:rsidRPr="001570EA">
              <w:rPr>
                <w:szCs w:val="18"/>
              </w:rPr>
              <w:t xml:space="preserve">: </w:t>
            </w:r>
            <m:oMath>
              <m:r>
                <w:rPr>
                  <w:rFonts w:ascii="Cambria Math" w:hAnsi="Cambria Math"/>
                  <w:szCs w:val="18"/>
                </w:rPr>
                <m:t xml:space="preserve">-0.02 × </m:t>
              </m:r>
              <m:sSup>
                <m:sSupPr>
                  <m:ctrlPr>
                    <w:rPr>
                      <w:rFonts w:ascii="Cambria Math" w:hAnsi="Cambria Math"/>
                      <w:i/>
                      <w:szCs w:val="18"/>
                    </w:rPr>
                  </m:ctrlPr>
                </m:sSupPr>
                <m:e>
                  <m:sSub>
                    <m:sSubPr>
                      <m:ctrlPr>
                        <w:rPr>
                          <w:rFonts w:ascii="Cambria Math" w:hAnsi="Cambria Math"/>
                          <w:i/>
                          <w:szCs w:val="18"/>
                        </w:rPr>
                      </m:ctrlPr>
                    </m:sSubPr>
                    <m:e>
                      <m:r>
                        <w:rPr>
                          <w:rFonts w:ascii="Cambria Math" w:hAnsi="Cambria Math"/>
                          <w:szCs w:val="18"/>
                        </w:rPr>
                        <m:t xml:space="preserve">SEER </m:t>
                      </m:r>
                    </m:e>
                    <m:sub>
                      <m:r>
                        <w:rPr>
                          <w:rFonts w:ascii="Cambria Math" w:hAnsi="Cambria Math"/>
                          <w:szCs w:val="18"/>
                        </w:rPr>
                        <m:t>ee</m:t>
                      </m:r>
                    </m:sub>
                  </m:sSub>
                </m:e>
                <m:sup>
                  <m:r>
                    <w:rPr>
                      <w:rFonts w:ascii="Cambria Math" w:hAnsi="Cambria Math"/>
                      <w:szCs w:val="18"/>
                    </w:rPr>
                    <m:t>2</m:t>
                  </m:r>
                </m:sup>
              </m:sSup>
              <m:r>
                <w:rPr>
                  <w:rFonts w:ascii="Cambria Math" w:hAnsi="Cambria Math"/>
                  <w:szCs w:val="18"/>
                </w:rPr>
                <m:t xml:space="preserve"> + 1.12 × </m:t>
              </m:r>
              <m:sSub>
                <m:sSubPr>
                  <m:ctrlPr>
                    <w:rPr>
                      <w:rFonts w:ascii="Cambria Math" w:hAnsi="Cambria Math"/>
                      <w:i/>
                      <w:szCs w:val="18"/>
                    </w:rPr>
                  </m:ctrlPr>
                </m:sSubPr>
                <m:e>
                  <m:r>
                    <w:rPr>
                      <w:rFonts w:ascii="Cambria Math" w:hAnsi="Cambria Math"/>
                      <w:szCs w:val="18"/>
                    </w:rPr>
                    <m:t xml:space="preserve">SEER </m:t>
                  </m:r>
                </m:e>
                <m:sub>
                  <m:r>
                    <w:rPr>
                      <w:rFonts w:ascii="Cambria Math" w:hAnsi="Cambria Math"/>
                      <w:szCs w:val="18"/>
                    </w:rPr>
                    <m:t>ee</m:t>
                  </m:r>
                </m:sub>
              </m:sSub>
            </m:oMath>
          </w:p>
        </w:tc>
        <w:tc>
          <w:tcPr>
            <w:tcW w:w="1710" w:type="dxa"/>
            <w:tcBorders>
              <w:top w:val="single" w:sz="4" w:space="0" w:color="auto"/>
              <w:left w:val="single" w:sz="4" w:space="0" w:color="auto"/>
              <w:bottom w:val="single" w:sz="4" w:space="0" w:color="auto"/>
              <w:right w:val="single" w:sz="4" w:space="0" w:color="auto"/>
            </w:tcBorders>
            <w:vAlign w:val="center"/>
            <w:hideMark/>
          </w:tcPr>
          <w:p w14:paraId="7C0BF671" w14:textId="77777777" w:rsidR="007376E1" w:rsidRPr="001570EA" w:rsidRDefault="007376E1">
            <w:pPr>
              <w:jc w:val="center"/>
              <w:rPr>
                <w:sz w:val="18"/>
                <w:szCs w:val="18"/>
              </w:rPr>
            </w:pPr>
            <w:r w:rsidRPr="001570EA">
              <w:rPr>
                <w:sz w:val="18"/>
                <w:szCs w:val="18"/>
              </w:rPr>
              <w:t>EDC Data Gathering; AEPS Application; 4, 5</w:t>
            </w:r>
          </w:p>
        </w:tc>
      </w:tr>
      <w:tr w:rsidR="007376E1" w:rsidRPr="001570EA" w14:paraId="45F6448D" w14:textId="77777777">
        <w:trPr>
          <w:cantSplit/>
          <w:trHeight w:val="650"/>
        </w:trPr>
        <w:tc>
          <w:tcPr>
            <w:tcW w:w="3690" w:type="dxa"/>
            <w:tcBorders>
              <w:top w:val="single" w:sz="4" w:space="0" w:color="auto"/>
              <w:left w:val="single" w:sz="4" w:space="0" w:color="auto"/>
              <w:right w:val="single" w:sz="4" w:space="0" w:color="auto"/>
            </w:tcBorders>
            <w:vAlign w:val="center"/>
          </w:tcPr>
          <w:p w14:paraId="28CEDB3E" w14:textId="78FEFAE0" w:rsidR="007376E1" w:rsidRPr="001570EA" w:rsidRDefault="007376E1">
            <w:pPr>
              <w:rPr>
                <w:i/>
                <w:iCs/>
                <w:sz w:val="18"/>
                <w:szCs w:val="18"/>
              </w:rPr>
            </w:pPr>
            <w:r w:rsidRPr="001570EA">
              <w:rPr>
                <w:i/>
                <w:iCs/>
                <w:sz w:val="18"/>
                <w:szCs w:val="18"/>
              </w:rPr>
              <w:t>HSPF2</w:t>
            </w:r>
            <w:r w:rsidRPr="001570EA">
              <w:rPr>
                <w:i/>
                <w:iCs/>
                <w:sz w:val="18"/>
                <w:szCs w:val="18"/>
                <w:vertAlign w:val="subscript"/>
              </w:rPr>
              <w:t>base</w:t>
            </w:r>
            <w:r w:rsidRPr="001570EA">
              <w:rPr>
                <w:i/>
                <w:iCs/>
                <w:sz w:val="18"/>
                <w:szCs w:val="18"/>
              </w:rPr>
              <w:t xml:space="preserve">, </w:t>
            </w:r>
            <w:r w:rsidRPr="001570EA">
              <w:rPr>
                <w:rFonts w:cs="Arial"/>
                <w:sz w:val="18"/>
                <w:szCs w:val="18"/>
              </w:rPr>
              <w:t>Heating Seasonal Performance Factor of the Baseline Unit</w:t>
            </w:r>
          </w:p>
        </w:tc>
        <w:tc>
          <w:tcPr>
            <w:tcW w:w="1170" w:type="dxa"/>
            <w:tcBorders>
              <w:top w:val="single" w:sz="4" w:space="0" w:color="auto"/>
              <w:left w:val="single" w:sz="4" w:space="0" w:color="auto"/>
              <w:bottom w:val="single" w:sz="4" w:space="0" w:color="auto"/>
              <w:right w:val="single" w:sz="4" w:space="0" w:color="auto"/>
            </w:tcBorders>
            <w:vAlign w:val="center"/>
          </w:tcPr>
          <w:p w14:paraId="22BDADD2" w14:textId="77777777" w:rsidR="007376E1" w:rsidRPr="001570EA" w:rsidRDefault="003B5E04">
            <w:pPr>
              <w:jc w:val="center"/>
              <w:rPr>
                <w:rFonts w:ascii="Cambria Math" w:hAnsi="Cambria Math" w:cs="Arial"/>
                <w:i/>
                <w:iCs/>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vAlign w:val="center"/>
          </w:tcPr>
          <w:p w14:paraId="61C21206" w14:textId="77777777" w:rsidR="007376E1" w:rsidRPr="001570EA" w:rsidRDefault="007376E1">
            <w:pPr>
              <w:pStyle w:val="TableCell"/>
              <w:spacing w:beforeLines="60" w:before="144" w:afterLines="60" w:after="144"/>
              <w:jc w:val="center"/>
              <w:rPr>
                <w:szCs w:val="18"/>
              </w:rPr>
            </w:pPr>
            <w:r w:rsidRPr="001570EA">
              <w:rPr>
                <w:szCs w:val="18"/>
              </w:rPr>
              <w:t>EDC Data Gathering</w:t>
            </w:r>
          </w:p>
          <w:p w14:paraId="719457F1" w14:textId="77777777" w:rsidR="00384D95" w:rsidRPr="001570EA" w:rsidRDefault="007376E1" w:rsidP="00384D95">
            <w:pPr>
              <w:pStyle w:val="TableCell"/>
              <w:spacing w:beforeLines="60" w:before="144" w:afterLines="60" w:after="144"/>
              <w:jc w:val="center"/>
            </w:pPr>
            <w:r w:rsidRPr="001570EA">
              <w:rPr>
                <w:szCs w:val="18"/>
              </w:rPr>
              <w:t xml:space="preserve"> Default: </w:t>
            </w:r>
            <w:r w:rsidRPr="001570EA">
              <w:rPr>
                <w:szCs w:val="18"/>
              </w:rPr>
              <w:fldChar w:fldCharType="begin"/>
            </w:r>
            <w:r w:rsidRPr="001570EA">
              <w:rPr>
                <w:szCs w:val="18"/>
              </w:rPr>
              <w:instrText xml:space="preserve"> REF _Ref531963176 \h  \* MERGEFORMAT </w:instrText>
            </w:r>
            <w:r w:rsidRPr="001570EA">
              <w:rPr>
                <w:szCs w:val="18"/>
              </w:rPr>
            </w:r>
            <w:r w:rsidRPr="001570EA">
              <w:rPr>
                <w:szCs w:val="18"/>
              </w:rPr>
              <w:fldChar w:fldCharType="separate"/>
            </w:r>
          </w:p>
          <w:p w14:paraId="759A3569" w14:textId="0004EE0D" w:rsidR="007376E1" w:rsidRPr="001570EA" w:rsidRDefault="00384D95">
            <w:pPr>
              <w:pStyle w:val="TableCell"/>
              <w:spacing w:beforeLines="60" w:before="144" w:afterLines="60" w:after="144"/>
              <w:jc w:val="center"/>
              <w:rPr>
                <w:szCs w:val="18"/>
              </w:rPr>
            </w:pPr>
            <w:r w:rsidRPr="001570EA">
              <w:t>Table</w:t>
            </w:r>
            <w:r w:rsidRPr="001570EA">
              <w:rPr>
                <w:noProof/>
              </w:rPr>
              <w:t xml:space="preserve"> 2</w:t>
            </w:r>
            <w:r w:rsidRPr="001570EA">
              <w:rPr>
                <w:noProof/>
              </w:rPr>
              <w:noBreakHyphen/>
              <w:t>18</w:t>
            </w:r>
            <w:r w:rsidR="007376E1" w:rsidRPr="001570EA">
              <w:rPr>
                <w:szCs w:val="18"/>
              </w:rPr>
              <w:fldChar w:fldCharType="end"/>
            </w:r>
            <w:r w:rsidR="007376E1" w:rsidRPr="001570EA">
              <w:rPr>
                <w:szCs w:val="18"/>
              </w:rPr>
              <w:t xml:space="preserve"> or </w:t>
            </w:r>
            <w:r w:rsidR="007376E1" w:rsidRPr="001570EA">
              <w:rPr>
                <w:szCs w:val="18"/>
              </w:rPr>
              <w:fldChar w:fldCharType="begin"/>
            </w:r>
            <w:r w:rsidR="007376E1" w:rsidRPr="001570EA">
              <w:rPr>
                <w:szCs w:val="18"/>
              </w:rPr>
              <w:instrText xml:space="preserve"> REF _Ref531779526 \h  \* MERGEFORMAT </w:instrText>
            </w:r>
            <w:r w:rsidR="007376E1" w:rsidRPr="001570EA">
              <w:rPr>
                <w:szCs w:val="18"/>
              </w:rPr>
            </w:r>
            <w:r w:rsidR="007376E1" w:rsidRPr="001570EA">
              <w:rPr>
                <w:szCs w:val="18"/>
              </w:rPr>
              <w:fldChar w:fldCharType="separate"/>
            </w:r>
            <w:r w:rsidRPr="001570EA">
              <w:t xml:space="preserve">Table </w:t>
            </w:r>
            <w:r w:rsidRPr="001570EA">
              <w:rPr>
                <w:noProof/>
              </w:rPr>
              <w:t>2</w:t>
            </w:r>
            <w:r w:rsidRPr="001570EA">
              <w:rPr>
                <w:noProof/>
              </w:rPr>
              <w:noBreakHyphen/>
              <w:t>10</w:t>
            </w:r>
            <w:r w:rsidR="007376E1" w:rsidRPr="001570EA">
              <w:rPr>
                <w:szCs w:val="18"/>
              </w:rPr>
              <w:fldChar w:fldCharType="end"/>
            </w:r>
            <w:r w:rsidR="007376E1" w:rsidRPr="001570EA">
              <w:rPr>
                <w:szCs w:val="18"/>
              </w:rPr>
              <w:t xml:space="preserve"> in </w:t>
            </w:r>
            <w:r w:rsidR="007376E1" w:rsidRPr="001570EA">
              <w:rPr>
                <w:szCs w:val="18"/>
              </w:rPr>
              <w:fldChar w:fldCharType="begin"/>
            </w:r>
            <w:r w:rsidR="007376E1" w:rsidRPr="001570EA">
              <w:rPr>
                <w:szCs w:val="18"/>
              </w:rPr>
              <w:instrText xml:space="preserve"> REF _Ref534371933 \r \h  \* MERGEFORMAT </w:instrText>
            </w:r>
            <w:r w:rsidR="007376E1" w:rsidRPr="001570EA">
              <w:rPr>
                <w:szCs w:val="18"/>
              </w:rPr>
            </w:r>
            <w:r w:rsidR="007376E1" w:rsidRPr="001570EA">
              <w:rPr>
                <w:szCs w:val="18"/>
              </w:rPr>
              <w:fldChar w:fldCharType="separate"/>
            </w:r>
            <w:r w:rsidRPr="001570EA">
              <w:rPr>
                <w:szCs w:val="18"/>
              </w:rPr>
              <w:t>2.2.1</w:t>
            </w:r>
            <w:r w:rsidR="007376E1" w:rsidRPr="001570EA">
              <w:rPr>
                <w:szCs w:val="18"/>
              </w:rPr>
              <w:fldChar w:fldCharType="end"/>
            </w:r>
          </w:p>
          <w:p w14:paraId="37FFE778" w14:textId="77777777" w:rsidR="007376E1" w:rsidRPr="001570EA" w:rsidRDefault="007376E1">
            <w:pPr>
              <w:pStyle w:val="TableCell"/>
              <w:spacing w:beforeLines="60" w:before="144" w:afterLines="60" w:after="144"/>
              <w:jc w:val="center"/>
              <w:rPr>
                <w:szCs w:val="18"/>
              </w:rPr>
            </w:pPr>
            <w:r w:rsidRPr="001570EA">
              <w:rPr>
                <w:szCs w:val="18"/>
              </w:rPr>
              <w:t>Midstream: 6.0</w:t>
            </w:r>
          </w:p>
        </w:tc>
        <w:tc>
          <w:tcPr>
            <w:tcW w:w="1710" w:type="dxa"/>
            <w:tcBorders>
              <w:top w:val="single" w:sz="4" w:space="0" w:color="auto"/>
              <w:left w:val="single" w:sz="4" w:space="0" w:color="auto"/>
              <w:bottom w:val="single" w:sz="4" w:space="0" w:color="auto"/>
              <w:right w:val="single" w:sz="4" w:space="0" w:color="auto"/>
            </w:tcBorders>
            <w:vAlign w:val="center"/>
          </w:tcPr>
          <w:p w14:paraId="6F5FB6D7" w14:textId="77777777" w:rsidR="007376E1" w:rsidRPr="001570EA" w:rsidRDefault="007376E1">
            <w:pPr>
              <w:jc w:val="center"/>
              <w:rPr>
                <w:sz w:val="18"/>
                <w:szCs w:val="18"/>
              </w:rPr>
            </w:pPr>
            <w:r w:rsidRPr="001570EA">
              <w:rPr>
                <w:sz w:val="18"/>
                <w:szCs w:val="18"/>
              </w:rPr>
              <w:t>EDC Data Gathering; 3, 10</w:t>
            </w:r>
          </w:p>
        </w:tc>
      </w:tr>
      <w:tr w:rsidR="007376E1" w:rsidRPr="001570EA" w14:paraId="49167DEC"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vAlign w:val="center"/>
          </w:tcPr>
          <w:p w14:paraId="13B0A52D" w14:textId="68EB490D" w:rsidR="007376E1" w:rsidRPr="001570EA" w:rsidRDefault="007376E1">
            <w:pPr>
              <w:rPr>
                <w:i/>
                <w:iCs/>
                <w:sz w:val="18"/>
                <w:szCs w:val="18"/>
              </w:rPr>
            </w:pPr>
            <w:r w:rsidRPr="001570EA">
              <w:rPr>
                <w:i/>
                <w:iCs/>
                <w:sz w:val="18"/>
                <w:szCs w:val="18"/>
              </w:rPr>
              <w:t>HSPF2</w:t>
            </w:r>
            <w:r w:rsidRPr="001570EA">
              <w:rPr>
                <w:i/>
                <w:iCs/>
                <w:sz w:val="18"/>
                <w:szCs w:val="18"/>
                <w:vertAlign w:val="subscript"/>
              </w:rPr>
              <w:t>ee</w:t>
            </w:r>
            <w:r w:rsidRPr="001570EA">
              <w:rPr>
                <w:sz w:val="18"/>
                <w:szCs w:val="18"/>
                <w:vertAlign w:val="subscript"/>
              </w:rPr>
              <w:t xml:space="preserve">, </w:t>
            </w:r>
            <w:r w:rsidRPr="001570EA">
              <w:rPr>
                <w:rFonts w:cs="Arial"/>
                <w:sz w:val="18"/>
                <w:szCs w:val="18"/>
              </w:rPr>
              <w:t>Heating Seasonal Performance Factor of the unit being installed</w:t>
            </w:r>
          </w:p>
        </w:tc>
        <w:tc>
          <w:tcPr>
            <w:tcW w:w="1170" w:type="dxa"/>
            <w:tcBorders>
              <w:top w:val="single" w:sz="4" w:space="0" w:color="auto"/>
              <w:left w:val="single" w:sz="4" w:space="0" w:color="auto"/>
              <w:bottom w:val="single" w:sz="4" w:space="0" w:color="auto"/>
              <w:right w:val="single" w:sz="4" w:space="0" w:color="auto"/>
            </w:tcBorders>
            <w:vAlign w:val="center"/>
          </w:tcPr>
          <w:p w14:paraId="7ABD5B8D" w14:textId="77777777" w:rsidR="007376E1" w:rsidRPr="001570EA" w:rsidRDefault="003B5E04">
            <w:pPr>
              <w:jc w:val="center"/>
              <w:rPr>
                <w:rFonts w:ascii="Cambria Math" w:hAnsi="Cambria Math"/>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vAlign w:val="center"/>
          </w:tcPr>
          <w:p w14:paraId="4D6E36DE" w14:textId="77777777" w:rsidR="007376E1" w:rsidRPr="001570EA" w:rsidRDefault="007376E1">
            <w:pPr>
              <w:pStyle w:val="TableCell"/>
              <w:keepNext w:val="0"/>
              <w:spacing w:beforeLines="60" w:before="144" w:afterLines="60" w:after="144"/>
              <w:jc w:val="center"/>
              <w:rPr>
                <w:szCs w:val="18"/>
              </w:rPr>
            </w:pPr>
            <w:r w:rsidRPr="001570EA">
              <w:rPr>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tcPr>
          <w:p w14:paraId="183BCC3A"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22F5B0EB"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vAlign w:val="center"/>
          </w:tcPr>
          <w:p w14:paraId="7EE9B10E" w14:textId="255E644C" w:rsidR="007376E1" w:rsidRPr="001570EA" w:rsidRDefault="007376E1">
            <w:pPr>
              <w:rPr>
                <w:i/>
                <w:iCs/>
                <w:sz w:val="18"/>
                <w:szCs w:val="18"/>
              </w:rPr>
            </w:pPr>
            <w:r w:rsidRPr="001570EA">
              <w:rPr>
                <w:i/>
                <w:iCs/>
                <w:sz w:val="18"/>
                <w:szCs w:val="18"/>
              </w:rPr>
              <w:t>PSF</w:t>
            </w:r>
            <w:r w:rsidRPr="001570EA">
              <w:rPr>
                <w:sz w:val="18"/>
                <w:szCs w:val="18"/>
              </w:rPr>
              <w:t>, Proper Sizing Factor or the assumed savings due to proper sizing and proper installation</w:t>
            </w:r>
          </w:p>
        </w:tc>
        <w:tc>
          <w:tcPr>
            <w:tcW w:w="1170" w:type="dxa"/>
            <w:tcBorders>
              <w:top w:val="single" w:sz="4" w:space="0" w:color="auto"/>
              <w:left w:val="single" w:sz="4" w:space="0" w:color="auto"/>
              <w:bottom w:val="single" w:sz="4" w:space="0" w:color="auto"/>
              <w:right w:val="single" w:sz="4" w:space="0" w:color="auto"/>
            </w:tcBorders>
            <w:vAlign w:val="center"/>
          </w:tcPr>
          <w:p w14:paraId="663A5C9F" w14:textId="77777777" w:rsidR="007376E1" w:rsidRPr="001570EA" w:rsidRDefault="007376E1">
            <w:pPr>
              <w:jc w:val="center"/>
              <w:rPr>
                <w:i/>
                <w:sz w:val="18"/>
                <w:szCs w:val="18"/>
              </w:rPr>
            </w:pPr>
            <w:r w:rsidRPr="001570EA">
              <w:rPr>
                <w:i/>
                <w:iCs/>
                <w:sz w:val="18"/>
                <w:szCs w:val="18"/>
              </w:rPr>
              <w:t>Proportion</w:t>
            </w:r>
          </w:p>
        </w:tc>
        <w:tc>
          <w:tcPr>
            <w:tcW w:w="2070" w:type="dxa"/>
            <w:tcBorders>
              <w:top w:val="single" w:sz="4" w:space="0" w:color="auto"/>
              <w:left w:val="single" w:sz="4" w:space="0" w:color="auto"/>
              <w:bottom w:val="single" w:sz="4" w:space="0" w:color="auto"/>
              <w:right w:val="single" w:sz="4" w:space="0" w:color="auto"/>
            </w:tcBorders>
            <w:vAlign w:val="center"/>
          </w:tcPr>
          <w:p w14:paraId="68002763" w14:textId="77777777" w:rsidR="007376E1" w:rsidRPr="001570EA" w:rsidRDefault="007376E1">
            <w:pPr>
              <w:pStyle w:val="TableCell"/>
              <w:keepNext w:val="0"/>
              <w:spacing w:before="60" w:after="60"/>
              <w:jc w:val="center"/>
              <w:rPr>
                <w:szCs w:val="18"/>
              </w:rPr>
            </w:pPr>
            <w:r w:rsidRPr="001570EA">
              <w:rPr>
                <w:szCs w:val="18"/>
              </w:rPr>
              <w:t>Midstream Delivery, properly size baseline equipment, or not properly sized: 0</w:t>
            </w:r>
          </w:p>
          <w:p w14:paraId="68F3E2D2" w14:textId="77777777" w:rsidR="007376E1" w:rsidRPr="001570EA" w:rsidRDefault="007376E1">
            <w:pPr>
              <w:pStyle w:val="TableCell"/>
              <w:keepNext w:val="0"/>
              <w:spacing w:beforeLines="60" w:before="144" w:afterLines="60" w:after="144"/>
              <w:jc w:val="center"/>
              <w:rPr>
                <w:szCs w:val="18"/>
              </w:rPr>
            </w:pPr>
            <w:r w:rsidRPr="001570EA">
              <w:rPr>
                <w:szCs w:val="18"/>
              </w:rPr>
              <w:t>Properly sized: 0.05</w:t>
            </w:r>
          </w:p>
        </w:tc>
        <w:tc>
          <w:tcPr>
            <w:tcW w:w="1710" w:type="dxa"/>
            <w:tcBorders>
              <w:top w:val="single" w:sz="4" w:space="0" w:color="auto"/>
              <w:left w:val="single" w:sz="4" w:space="0" w:color="auto"/>
              <w:bottom w:val="single" w:sz="4" w:space="0" w:color="auto"/>
              <w:right w:val="single" w:sz="4" w:space="0" w:color="auto"/>
            </w:tcBorders>
            <w:vAlign w:val="center"/>
          </w:tcPr>
          <w:p w14:paraId="6F5174AB" w14:textId="77777777" w:rsidR="007376E1" w:rsidRPr="001570EA" w:rsidRDefault="007376E1">
            <w:pPr>
              <w:jc w:val="center"/>
              <w:rPr>
                <w:sz w:val="18"/>
                <w:szCs w:val="18"/>
              </w:rPr>
            </w:pPr>
            <w:r w:rsidRPr="001570EA">
              <w:rPr>
                <w:sz w:val="18"/>
                <w:szCs w:val="18"/>
              </w:rPr>
              <w:t>11</w:t>
            </w:r>
          </w:p>
        </w:tc>
      </w:tr>
      <w:tr w:rsidR="007376E1" w:rsidRPr="001570EA" w14:paraId="1352F249"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vAlign w:val="center"/>
          </w:tcPr>
          <w:p w14:paraId="4690F752" w14:textId="313A72A7" w:rsidR="007376E1" w:rsidRPr="001570EA" w:rsidRDefault="007376E1">
            <w:pPr>
              <w:rPr>
                <w:i/>
                <w:iCs/>
                <w:sz w:val="18"/>
                <w:szCs w:val="18"/>
              </w:rPr>
            </w:pPr>
            <w:r w:rsidRPr="001570EA">
              <w:rPr>
                <w:i/>
                <w:iCs/>
                <w:sz w:val="18"/>
                <w:szCs w:val="18"/>
              </w:rPr>
              <w:t>OF</w:t>
            </w:r>
            <w:r w:rsidRPr="001570EA">
              <w:rPr>
                <w:i/>
                <w:iCs/>
                <w:sz w:val="18"/>
                <w:szCs w:val="18"/>
                <w:vertAlign w:val="subscript"/>
              </w:rPr>
              <w:t>cool</w:t>
            </w:r>
            <w:r w:rsidRPr="001570EA">
              <w:rPr>
                <w:sz w:val="18"/>
                <w:szCs w:val="18"/>
              </w:rPr>
              <w:t>, Oversize factor</w:t>
            </w:r>
          </w:p>
        </w:tc>
        <w:tc>
          <w:tcPr>
            <w:tcW w:w="1170" w:type="dxa"/>
            <w:tcBorders>
              <w:top w:val="single" w:sz="4" w:space="0" w:color="auto"/>
              <w:left w:val="single" w:sz="4" w:space="0" w:color="auto"/>
              <w:bottom w:val="single" w:sz="4" w:space="0" w:color="auto"/>
              <w:right w:val="single" w:sz="4" w:space="0" w:color="auto"/>
            </w:tcBorders>
            <w:vAlign w:val="center"/>
          </w:tcPr>
          <w:p w14:paraId="426CD75C" w14:textId="77777777" w:rsidR="007376E1" w:rsidRPr="001570EA" w:rsidRDefault="007376E1">
            <w:pPr>
              <w:jc w:val="center"/>
              <w:rPr>
                <w:rFonts w:cs="Arial"/>
                <w:i/>
                <w:iCs/>
                <w:sz w:val="18"/>
                <w:szCs w:val="18"/>
              </w:rPr>
            </w:pPr>
            <w:r w:rsidRPr="001570EA">
              <w:rPr>
                <w:sz w:val="18"/>
                <w:szCs w:val="18"/>
              </w:rPr>
              <w:t>None</w:t>
            </w:r>
          </w:p>
        </w:tc>
        <w:tc>
          <w:tcPr>
            <w:tcW w:w="2070" w:type="dxa"/>
            <w:tcBorders>
              <w:top w:val="single" w:sz="4" w:space="0" w:color="auto"/>
              <w:left w:val="single" w:sz="4" w:space="0" w:color="auto"/>
              <w:bottom w:val="single" w:sz="4" w:space="0" w:color="auto"/>
              <w:right w:val="single" w:sz="4" w:space="0" w:color="auto"/>
            </w:tcBorders>
            <w:vAlign w:val="center"/>
          </w:tcPr>
          <w:p w14:paraId="648EC4B4" w14:textId="77777777" w:rsidR="007376E1" w:rsidRPr="001570EA" w:rsidRDefault="007376E1">
            <w:pPr>
              <w:pStyle w:val="TableCell"/>
              <w:keepNext w:val="0"/>
              <w:spacing w:beforeLines="60" w:before="144" w:afterLines="60" w:after="144"/>
              <w:jc w:val="center"/>
              <w:rPr>
                <w:szCs w:val="18"/>
              </w:rPr>
            </w:pPr>
            <w:r w:rsidRPr="001570EA">
              <w:rPr>
                <w:szCs w:val="18"/>
              </w:rPr>
              <w:t>EDC Data Gathering</w:t>
            </w:r>
          </w:p>
          <w:p w14:paraId="541D16E4" w14:textId="7545AF0C" w:rsidR="007376E1" w:rsidRPr="001570EA" w:rsidRDefault="007376E1">
            <w:pPr>
              <w:pStyle w:val="TableCell"/>
              <w:keepNext w:val="0"/>
              <w:spacing w:beforeLines="60" w:before="144" w:afterLines="60" w:after="144"/>
              <w:jc w:val="center"/>
              <w:rPr>
                <w:szCs w:val="18"/>
              </w:rPr>
            </w:pPr>
            <w:r w:rsidRPr="001570EA">
              <w:rPr>
                <w:szCs w:val="18"/>
              </w:rPr>
              <w:t xml:space="preserve"> Default: </w:t>
            </w:r>
            <w:r w:rsidRPr="001570EA">
              <w:rPr>
                <w:szCs w:val="18"/>
              </w:rPr>
              <w:fldChar w:fldCharType="begin"/>
            </w:r>
            <w:r w:rsidRPr="001570EA">
              <w:rPr>
                <w:szCs w:val="18"/>
              </w:rPr>
              <w:instrText xml:space="preserve"> REF _Ref10729467 \h </w:instrText>
            </w:r>
            <w:r w:rsidR="001570EA">
              <w:rPr>
                <w:szCs w:val="18"/>
              </w:rPr>
              <w:instrText xml:space="preserve"> \* MERGEFORMAT </w:instrText>
            </w:r>
            <w:r w:rsidRPr="001570EA">
              <w:rPr>
                <w:szCs w:val="18"/>
              </w:rPr>
            </w:r>
            <w:r w:rsidRPr="001570EA">
              <w:rPr>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19</w:t>
            </w:r>
            <w:r w:rsidRPr="001570EA">
              <w:rPr>
                <w:szCs w:val="18"/>
              </w:rPr>
              <w:fldChar w:fldCharType="end"/>
            </w:r>
          </w:p>
          <w:p w14:paraId="7B03F913" w14:textId="77777777" w:rsidR="007376E1" w:rsidRPr="001570EA" w:rsidRDefault="007376E1">
            <w:pPr>
              <w:pStyle w:val="TableCell"/>
              <w:keepNext w:val="0"/>
              <w:spacing w:beforeLines="60" w:before="144" w:afterLines="60" w:after="144"/>
              <w:jc w:val="center"/>
              <w:rPr>
                <w:szCs w:val="18"/>
              </w:rPr>
            </w:pPr>
            <w:r w:rsidRPr="001570EA">
              <w:rPr>
                <w:szCs w:val="18"/>
              </w:rPr>
              <w:t>Midstream: 1.0</w:t>
            </w:r>
          </w:p>
        </w:tc>
        <w:tc>
          <w:tcPr>
            <w:tcW w:w="1710" w:type="dxa"/>
            <w:tcBorders>
              <w:top w:val="single" w:sz="4" w:space="0" w:color="auto"/>
              <w:left w:val="single" w:sz="4" w:space="0" w:color="auto"/>
              <w:bottom w:val="single" w:sz="4" w:space="0" w:color="auto"/>
              <w:right w:val="single" w:sz="4" w:space="0" w:color="auto"/>
            </w:tcBorders>
            <w:vAlign w:val="center"/>
          </w:tcPr>
          <w:p w14:paraId="62773C58" w14:textId="77777777" w:rsidR="007376E1" w:rsidRPr="001570EA" w:rsidRDefault="007376E1">
            <w:pPr>
              <w:jc w:val="center"/>
              <w:rPr>
                <w:sz w:val="18"/>
                <w:szCs w:val="18"/>
              </w:rPr>
            </w:pPr>
            <w:r w:rsidRPr="001570EA">
              <w:rPr>
                <w:sz w:val="18"/>
                <w:szCs w:val="18"/>
              </w:rPr>
              <w:t>EDC Data Gathering; 6</w:t>
            </w:r>
          </w:p>
        </w:tc>
      </w:tr>
      <w:tr w:rsidR="007376E1" w:rsidRPr="001570EA" w14:paraId="001C1E8A"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vAlign w:val="center"/>
          </w:tcPr>
          <w:p w14:paraId="702586BA" w14:textId="2A4D4F9B" w:rsidR="007376E1" w:rsidRPr="001570EA" w:rsidRDefault="007376E1">
            <w:pPr>
              <w:rPr>
                <w:i/>
                <w:iCs/>
                <w:sz w:val="18"/>
                <w:szCs w:val="18"/>
              </w:rPr>
            </w:pPr>
            <w:r w:rsidRPr="001570EA">
              <w:rPr>
                <w:i/>
                <w:iCs/>
                <w:sz w:val="18"/>
                <w:szCs w:val="18"/>
              </w:rPr>
              <w:t>OF</w:t>
            </w:r>
            <w:r w:rsidRPr="001570EA">
              <w:rPr>
                <w:i/>
                <w:iCs/>
                <w:sz w:val="18"/>
                <w:szCs w:val="18"/>
                <w:vertAlign w:val="subscript"/>
              </w:rPr>
              <w:t>heat</w:t>
            </w:r>
            <w:r w:rsidRPr="001570EA">
              <w:rPr>
                <w:sz w:val="18"/>
                <w:szCs w:val="18"/>
              </w:rPr>
              <w:t>, Oversize factor</w:t>
            </w:r>
          </w:p>
        </w:tc>
        <w:tc>
          <w:tcPr>
            <w:tcW w:w="1170" w:type="dxa"/>
            <w:tcBorders>
              <w:top w:val="single" w:sz="4" w:space="0" w:color="auto"/>
              <w:left w:val="single" w:sz="4" w:space="0" w:color="auto"/>
              <w:bottom w:val="single" w:sz="4" w:space="0" w:color="auto"/>
              <w:right w:val="single" w:sz="4" w:space="0" w:color="auto"/>
            </w:tcBorders>
            <w:vAlign w:val="center"/>
          </w:tcPr>
          <w:p w14:paraId="6AAE6DDA" w14:textId="77777777" w:rsidR="007376E1" w:rsidRPr="001570EA" w:rsidRDefault="007376E1">
            <w:pPr>
              <w:jc w:val="center"/>
              <w:rPr>
                <w:rFonts w:cs="Arial"/>
                <w:i/>
                <w:iCs/>
                <w:sz w:val="18"/>
                <w:szCs w:val="18"/>
              </w:rPr>
            </w:pPr>
            <w:r w:rsidRPr="001570EA">
              <w:rPr>
                <w:sz w:val="18"/>
                <w:szCs w:val="18"/>
              </w:rPr>
              <w:t>None</w:t>
            </w:r>
          </w:p>
        </w:tc>
        <w:tc>
          <w:tcPr>
            <w:tcW w:w="2070" w:type="dxa"/>
            <w:tcBorders>
              <w:top w:val="single" w:sz="4" w:space="0" w:color="auto"/>
              <w:left w:val="single" w:sz="4" w:space="0" w:color="auto"/>
              <w:bottom w:val="single" w:sz="4" w:space="0" w:color="auto"/>
              <w:right w:val="single" w:sz="4" w:space="0" w:color="auto"/>
            </w:tcBorders>
            <w:vAlign w:val="center"/>
          </w:tcPr>
          <w:p w14:paraId="40B92DC5" w14:textId="77777777" w:rsidR="007376E1" w:rsidRPr="001570EA" w:rsidRDefault="007376E1">
            <w:pPr>
              <w:pStyle w:val="TableCell"/>
              <w:keepNext w:val="0"/>
              <w:spacing w:beforeLines="60" w:before="144" w:afterLines="60" w:after="144"/>
              <w:jc w:val="center"/>
              <w:rPr>
                <w:szCs w:val="18"/>
              </w:rPr>
            </w:pPr>
            <w:r w:rsidRPr="001570EA">
              <w:rPr>
                <w:szCs w:val="18"/>
              </w:rPr>
              <w:t>EDC Data Gathering</w:t>
            </w:r>
          </w:p>
          <w:p w14:paraId="1B1DB5C9" w14:textId="0D595FB7" w:rsidR="007376E1" w:rsidRPr="001570EA" w:rsidRDefault="007376E1">
            <w:pPr>
              <w:pStyle w:val="TableCell"/>
              <w:keepNext w:val="0"/>
              <w:spacing w:beforeLines="60" w:before="144" w:afterLines="60" w:after="144"/>
              <w:jc w:val="center"/>
              <w:rPr>
                <w:szCs w:val="18"/>
              </w:rPr>
            </w:pPr>
            <w:r w:rsidRPr="001570EA">
              <w:rPr>
                <w:szCs w:val="18"/>
              </w:rPr>
              <w:t xml:space="preserve">Default: </w:t>
            </w:r>
            <w:r w:rsidRPr="001570EA">
              <w:rPr>
                <w:szCs w:val="18"/>
              </w:rPr>
              <w:fldChar w:fldCharType="begin"/>
            </w:r>
            <w:r w:rsidRPr="001570EA">
              <w:rPr>
                <w:szCs w:val="18"/>
              </w:rPr>
              <w:instrText xml:space="preserve"> REF _Ref10729467 \h </w:instrText>
            </w:r>
            <w:r w:rsidR="001570EA">
              <w:rPr>
                <w:szCs w:val="18"/>
              </w:rPr>
              <w:instrText xml:space="preserve"> \* MERGEFORMAT </w:instrText>
            </w:r>
            <w:r w:rsidRPr="001570EA">
              <w:rPr>
                <w:szCs w:val="18"/>
              </w:rPr>
            </w:r>
            <w:r w:rsidRPr="001570EA">
              <w:rPr>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19</w:t>
            </w:r>
            <w:r w:rsidRPr="001570EA">
              <w:rPr>
                <w:szCs w:val="18"/>
              </w:rPr>
              <w:fldChar w:fldCharType="end"/>
            </w:r>
          </w:p>
          <w:p w14:paraId="5DD3A3FA" w14:textId="77777777" w:rsidR="007376E1" w:rsidRPr="001570EA" w:rsidRDefault="007376E1">
            <w:pPr>
              <w:pStyle w:val="TableCell"/>
              <w:keepNext w:val="0"/>
              <w:spacing w:beforeLines="60" w:before="144" w:afterLines="60" w:after="144"/>
              <w:jc w:val="center"/>
              <w:rPr>
                <w:szCs w:val="18"/>
              </w:rPr>
            </w:pPr>
            <w:r w:rsidRPr="001570EA">
              <w:rPr>
                <w:szCs w:val="18"/>
              </w:rPr>
              <w:t>Midstream: 1.0</w:t>
            </w:r>
          </w:p>
        </w:tc>
        <w:tc>
          <w:tcPr>
            <w:tcW w:w="1710" w:type="dxa"/>
            <w:tcBorders>
              <w:top w:val="single" w:sz="4" w:space="0" w:color="auto"/>
              <w:left w:val="single" w:sz="4" w:space="0" w:color="auto"/>
              <w:bottom w:val="single" w:sz="4" w:space="0" w:color="auto"/>
              <w:right w:val="single" w:sz="4" w:space="0" w:color="auto"/>
            </w:tcBorders>
            <w:vAlign w:val="center"/>
          </w:tcPr>
          <w:p w14:paraId="1B46A45C" w14:textId="77777777" w:rsidR="007376E1" w:rsidRPr="001570EA" w:rsidRDefault="007376E1">
            <w:pPr>
              <w:jc w:val="center"/>
              <w:rPr>
                <w:sz w:val="18"/>
                <w:szCs w:val="18"/>
              </w:rPr>
            </w:pPr>
            <w:r w:rsidRPr="001570EA">
              <w:rPr>
                <w:sz w:val="18"/>
                <w:szCs w:val="18"/>
              </w:rPr>
              <w:t>EDC Data Gathering ; 7</w:t>
            </w:r>
          </w:p>
        </w:tc>
      </w:tr>
      <w:tr w:rsidR="007376E1" w:rsidRPr="001570EA" w14:paraId="243B0121"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vAlign w:val="center"/>
          </w:tcPr>
          <w:p w14:paraId="51CC41B0" w14:textId="77777777" w:rsidR="007376E1" w:rsidRPr="001570EA" w:rsidRDefault="007376E1">
            <w:pPr>
              <w:rPr>
                <w:i/>
                <w:iCs/>
                <w:sz w:val="18"/>
                <w:szCs w:val="18"/>
              </w:rPr>
            </w:pPr>
            <w:r w:rsidRPr="001570EA">
              <w:rPr>
                <w:i/>
                <w:sz w:val="18"/>
                <w:szCs w:val="18"/>
              </w:rPr>
              <w:t>DLF</w:t>
            </w:r>
            <w:r w:rsidRPr="001570EA">
              <w:rPr>
                <w:sz w:val="18"/>
                <w:szCs w:val="18"/>
              </w:rPr>
              <w:t>, “Duct Leakage Factor” accounts for the fact that a % of the energy is lost to duct leakage and conduction for ducted systems, but not ductless ones</w:t>
            </w:r>
          </w:p>
        </w:tc>
        <w:tc>
          <w:tcPr>
            <w:tcW w:w="1170" w:type="dxa"/>
            <w:tcBorders>
              <w:top w:val="single" w:sz="4" w:space="0" w:color="auto"/>
              <w:left w:val="single" w:sz="4" w:space="0" w:color="auto"/>
              <w:bottom w:val="single" w:sz="4" w:space="0" w:color="auto"/>
              <w:right w:val="single" w:sz="4" w:space="0" w:color="auto"/>
            </w:tcBorders>
            <w:vAlign w:val="center"/>
          </w:tcPr>
          <w:p w14:paraId="2400E790" w14:textId="77777777" w:rsidR="007376E1" w:rsidRPr="001570EA" w:rsidRDefault="007376E1">
            <w:pPr>
              <w:jc w:val="center"/>
              <w:rPr>
                <w:sz w:val="18"/>
                <w:szCs w:val="18"/>
              </w:rPr>
            </w:pPr>
            <w:r w:rsidRPr="001570EA">
              <w:t>None</w:t>
            </w:r>
          </w:p>
        </w:tc>
        <w:tc>
          <w:tcPr>
            <w:tcW w:w="2070" w:type="dxa"/>
            <w:tcBorders>
              <w:top w:val="single" w:sz="4" w:space="0" w:color="auto"/>
              <w:left w:val="single" w:sz="4" w:space="0" w:color="auto"/>
              <w:bottom w:val="single" w:sz="4" w:space="0" w:color="auto"/>
              <w:right w:val="single" w:sz="4" w:space="0" w:color="auto"/>
            </w:tcBorders>
            <w:vAlign w:val="center"/>
          </w:tcPr>
          <w:p w14:paraId="51C05362" w14:textId="38C37489" w:rsidR="007376E1" w:rsidRPr="001570EA" w:rsidRDefault="007376E1">
            <w:pPr>
              <w:pStyle w:val="TableCell"/>
              <w:keepNext w:val="0"/>
              <w:spacing w:beforeLines="60" w:before="144" w:afterLines="60" w:after="144"/>
              <w:jc w:val="center"/>
            </w:pPr>
            <w:r w:rsidRPr="001570EA">
              <w:t xml:space="preserve">Depends on baseline &amp; efficient conditions: </w:t>
            </w:r>
            <w:r w:rsidRPr="001570EA">
              <w:fldChar w:fldCharType="begin"/>
            </w:r>
            <w:r w:rsidRPr="001570EA">
              <w:instrText xml:space="preserve"> REF _Ref531955110 \h  \* MERGEFORMAT </w:instrText>
            </w:r>
            <w:r w:rsidRPr="001570EA">
              <w:fldChar w:fldCharType="separate"/>
            </w:r>
            <w:r w:rsidR="00384D95" w:rsidRPr="001570EA">
              <w:t xml:space="preserve">Table </w:t>
            </w:r>
            <w:r w:rsidR="00384D95" w:rsidRPr="001570EA">
              <w:rPr>
                <w:noProof/>
              </w:rPr>
              <w:t>2</w:t>
            </w:r>
            <w:r w:rsidR="00384D95" w:rsidRPr="001570EA">
              <w:rPr>
                <w:noProof/>
              </w:rPr>
              <w:noBreakHyphen/>
              <w:t>19</w:t>
            </w:r>
            <w:r w:rsidRPr="001570EA">
              <w:fldChar w:fldCharType="end"/>
            </w:r>
          </w:p>
          <w:p w14:paraId="5A4BA8CC" w14:textId="77777777" w:rsidR="007376E1" w:rsidRPr="001570EA" w:rsidRDefault="007376E1">
            <w:pPr>
              <w:pStyle w:val="TableCell"/>
              <w:keepNext w:val="0"/>
              <w:spacing w:beforeLines="60" w:before="144" w:afterLines="60" w:after="144"/>
              <w:jc w:val="center"/>
            </w:pPr>
            <w:r w:rsidRPr="001570EA">
              <w:t>Midstream, cooling: 1.02</w:t>
            </w:r>
          </w:p>
          <w:p w14:paraId="23977DEA" w14:textId="77777777" w:rsidR="007376E1" w:rsidRPr="001570EA" w:rsidRDefault="007376E1">
            <w:pPr>
              <w:pStyle w:val="TableCell"/>
              <w:keepNext w:val="0"/>
              <w:spacing w:beforeLines="60" w:before="144" w:afterLines="60" w:after="144"/>
              <w:jc w:val="center"/>
              <w:rPr>
                <w:szCs w:val="18"/>
              </w:rPr>
            </w:pPr>
            <w:r w:rsidRPr="001570EA">
              <w:t>Midstream, heating: 1.02</w:t>
            </w:r>
          </w:p>
        </w:tc>
        <w:tc>
          <w:tcPr>
            <w:tcW w:w="1710" w:type="dxa"/>
            <w:tcBorders>
              <w:top w:val="single" w:sz="4" w:space="0" w:color="auto"/>
              <w:left w:val="single" w:sz="4" w:space="0" w:color="auto"/>
              <w:bottom w:val="single" w:sz="4" w:space="0" w:color="auto"/>
              <w:right w:val="single" w:sz="4" w:space="0" w:color="auto"/>
            </w:tcBorders>
            <w:vAlign w:val="center"/>
          </w:tcPr>
          <w:p w14:paraId="05C651C1" w14:textId="77777777" w:rsidR="007376E1" w:rsidRPr="001570EA" w:rsidRDefault="007376E1">
            <w:pPr>
              <w:jc w:val="center"/>
              <w:rPr>
                <w:sz w:val="18"/>
                <w:szCs w:val="18"/>
              </w:rPr>
            </w:pPr>
            <w:r w:rsidRPr="001570EA">
              <w:rPr>
                <w:sz w:val="18"/>
                <w:szCs w:val="18"/>
              </w:rPr>
              <w:t>8, 10</w:t>
            </w:r>
          </w:p>
        </w:tc>
      </w:tr>
      <w:tr w:rsidR="007376E1" w:rsidRPr="001570EA" w14:paraId="65C9841C" w14:textId="77777777">
        <w:trPr>
          <w:cantSplit/>
          <w:trHeight w:val="104"/>
        </w:trPr>
        <w:tc>
          <w:tcPr>
            <w:tcW w:w="3690" w:type="dxa"/>
            <w:tcBorders>
              <w:top w:val="single" w:sz="4" w:space="0" w:color="auto"/>
              <w:left w:val="single" w:sz="4" w:space="0" w:color="auto"/>
              <w:bottom w:val="single" w:sz="4" w:space="0" w:color="auto"/>
              <w:right w:val="single" w:sz="4" w:space="0" w:color="auto"/>
            </w:tcBorders>
            <w:vAlign w:val="center"/>
          </w:tcPr>
          <w:p w14:paraId="06A70251" w14:textId="77777777" w:rsidR="007376E1" w:rsidRPr="001570EA" w:rsidRDefault="007376E1">
            <w:pPr>
              <w:rPr>
                <w:iCs/>
                <w:sz w:val="18"/>
                <w:szCs w:val="18"/>
              </w:rPr>
            </w:pPr>
            <w:r w:rsidRPr="001570EA">
              <w:rPr>
                <w:i/>
                <w:iCs/>
                <w:sz w:val="18"/>
                <w:szCs w:val="18"/>
              </w:rPr>
              <w:t>zone,</w:t>
            </w:r>
            <w:r w:rsidRPr="001570EA">
              <w:rPr>
                <w:iCs/>
                <w:sz w:val="18"/>
                <w:szCs w:val="18"/>
              </w:rPr>
              <w:t xml:space="preserve"> Primary or secondary usage level of a space, this affects </w:t>
            </w:r>
            <w:r w:rsidRPr="001570EA">
              <w:rPr>
                <w:i/>
                <w:iCs/>
                <w:sz w:val="18"/>
                <w:szCs w:val="18"/>
              </w:rPr>
              <w:t>EFLH</w:t>
            </w:r>
            <w:r w:rsidRPr="001570EA">
              <w:rPr>
                <w:i/>
                <w:iCs/>
                <w:sz w:val="18"/>
                <w:szCs w:val="18"/>
                <w:vertAlign w:val="subscript"/>
              </w:rPr>
              <w:t>cool</w:t>
            </w:r>
            <w:r w:rsidRPr="001570EA">
              <w:rPr>
                <w:iCs/>
                <w:sz w:val="18"/>
                <w:szCs w:val="18"/>
              </w:rPr>
              <w:t xml:space="preserve"> and </w:t>
            </w:r>
            <w:r w:rsidRPr="001570EA">
              <w:rPr>
                <w:i/>
                <w:iCs/>
                <w:sz w:val="18"/>
                <w:szCs w:val="18"/>
              </w:rPr>
              <w:t>EFLH</w:t>
            </w:r>
            <w:r w:rsidRPr="001570EA">
              <w:rPr>
                <w:i/>
                <w:iCs/>
                <w:sz w:val="18"/>
                <w:szCs w:val="18"/>
                <w:vertAlign w:val="subscript"/>
              </w:rPr>
              <w:t>heat</w:t>
            </w:r>
            <w:r w:rsidRPr="001570EA">
              <w:rPr>
                <w:iCs/>
                <w:sz w:val="18"/>
                <w:szCs w:val="18"/>
              </w:rPr>
              <w:t xml:space="preserve">. For midstream delivery, use provided composite </w:t>
            </w:r>
            <w:r w:rsidRPr="001570EA">
              <w:rPr>
                <w:i/>
                <w:iCs/>
                <w:sz w:val="18"/>
                <w:szCs w:val="18"/>
              </w:rPr>
              <w:t>EFLH</w:t>
            </w:r>
            <w:r w:rsidRPr="001570EA">
              <w:rPr>
                <w:iCs/>
                <w:sz w:val="18"/>
                <w:szCs w:val="18"/>
              </w:rPr>
              <w:t xml:space="preserve"> values.</w:t>
            </w:r>
          </w:p>
        </w:tc>
        <w:tc>
          <w:tcPr>
            <w:tcW w:w="1170" w:type="dxa"/>
            <w:tcBorders>
              <w:top w:val="single" w:sz="4" w:space="0" w:color="auto"/>
              <w:left w:val="single" w:sz="4" w:space="0" w:color="auto"/>
              <w:bottom w:val="single" w:sz="4" w:space="0" w:color="auto"/>
              <w:right w:val="single" w:sz="4" w:space="0" w:color="auto"/>
            </w:tcBorders>
            <w:vAlign w:val="center"/>
          </w:tcPr>
          <w:p w14:paraId="5010A129" w14:textId="77777777" w:rsidR="007376E1" w:rsidRPr="001570EA" w:rsidRDefault="007376E1">
            <w:pPr>
              <w:jc w:val="center"/>
              <w:rPr>
                <w:sz w:val="18"/>
                <w:szCs w:val="18"/>
              </w:rPr>
            </w:pPr>
            <w:r w:rsidRPr="001570EA">
              <w:rPr>
                <w:sz w:val="18"/>
                <w:szCs w:val="18"/>
              </w:rPr>
              <w:t>None</w:t>
            </w:r>
          </w:p>
        </w:tc>
        <w:tc>
          <w:tcPr>
            <w:tcW w:w="2070" w:type="dxa"/>
            <w:tcBorders>
              <w:top w:val="single" w:sz="4" w:space="0" w:color="auto"/>
              <w:left w:val="single" w:sz="4" w:space="0" w:color="auto"/>
              <w:bottom w:val="single" w:sz="4" w:space="0" w:color="auto"/>
              <w:right w:val="single" w:sz="4" w:space="0" w:color="auto"/>
            </w:tcBorders>
            <w:vAlign w:val="center"/>
          </w:tcPr>
          <w:p w14:paraId="29038387" w14:textId="44A24C6E" w:rsidR="007376E1" w:rsidRPr="001570EA" w:rsidRDefault="007376E1">
            <w:pPr>
              <w:spacing w:beforeLines="60" w:before="144" w:afterLines="60" w:after="144"/>
              <w:jc w:val="center"/>
              <w:rPr>
                <w:sz w:val="18"/>
                <w:szCs w:val="18"/>
              </w:rPr>
            </w:pPr>
            <w:r w:rsidRPr="001570EA">
              <w:rPr>
                <w:sz w:val="18"/>
                <w:szCs w:val="18"/>
              </w:rPr>
              <w:t xml:space="preserve">See </w:t>
            </w:r>
            <w:r w:rsidRPr="001570EA">
              <w:rPr>
                <w:sz w:val="18"/>
                <w:szCs w:val="18"/>
              </w:rPr>
              <w:fldChar w:fldCharType="begin"/>
            </w:r>
            <w:r w:rsidRPr="001570EA">
              <w:rPr>
                <w:sz w:val="18"/>
                <w:szCs w:val="18"/>
              </w:rPr>
              <w:instrText xml:space="preserve"> REF _Ref534624069 \h  \* MERGEFORMAT </w:instrText>
            </w:r>
            <w:r w:rsidRPr="001570EA">
              <w:rPr>
                <w:sz w:val="18"/>
                <w:szCs w:val="18"/>
              </w:rPr>
            </w:r>
            <w:r w:rsidRPr="001570EA">
              <w:rPr>
                <w:sz w:val="18"/>
                <w:szCs w:val="18"/>
              </w:rPr>
              <w:fldChar w:fldCharType="separate"/>
            </w:r>
            <w:r w:rsidR="00384D95" w:rsidRPr="001570EA">
              <w:rPr>
                <w:sz w:val="18"/>
                <w:szCs w:val="18"/>
              </w:rPr>
              <w:t xml:space="preserve">Table </w:t>
            </w:r>
            <w:r w:rsidR="00384D95" w:rsidRPr="001570EA">
              <w:rPr>
                <w:noProof/>
                <w:sz w:val="18"/>
                <w:szCs w:val="18"/>
              </w:rPr>
              <w:t>2</w:t>
            </w:r>
            <w:r w:rsidR="00384D95" w:rsidRPr="001570EA">
              <w:rPr>
                <w:noProof/>
                <w:sz w:val="18"/>
                <w:szCs w:val="18"/>
              </w:rPr>
              <w:noBreakHyphen/>
              <w:t>17</w:t>
            </w:r>
            <w:r w:rsidRPr="001570EA">
              <w:rPr>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6D99F86" w14:textId="77777777" w:rsidR="007376E1" w:rsidRPr="001570EA" w:rsidRDefault="007376E1">
            <w:pPr>
              <w:jc w:val="center"/>
              <w:rPr>
                <w:sz w:val="18"/>
                <w:szCs w:val="18"/>
              </w:rPr>
            </w:pPr>
          </w:p>
        </w:tc>
      </w:tr>
      <w:tr w:rsidR="007376E1" w:rsidRPr="001570EA" w14:paraId="310D01B9" w14:textId="77777777">
        <w:trPr>
          <w:cantSplit/>
          <w:trHeight w:val="800"/>
        </w:trPr>
        <w:tc>
          <w:tcPr>
            <w:tcW w:w="3690" w:type="dxa"/>
            <w:tcBorders>
              <w:top w:val="single" w:sz="4" w:space="0" w:color="auto"/>
              <w:left w:val="single" w:sz="4" w:space="0" w:color="auto"/>
              <w:bottom w:val="single" w:sz="4" w:space="0" w:color="auto"/>
              <w:right w:val="single" w:sz="4" w:space="0" w:color="auto"/>
            </w:tcBorders>
            <w:vAlign w:val="center"/>
          </w:tcPr>
          <w:p w14:paraId="7EDE1B5B" w14:textId="77777777" w:rsidR="007376E1" w:rsidRPr="001570EA" w:rsidRDefault="007376E1">
            <w:pPr>
              <w:rPr>
                <w:iCs/>
                <w:sz w:val="18"/>
                <w:szCs w:val="18"/>
              </w:rPr>
            </w:pPr>
            <w:r w:rsidRPr="001570EA">
              <w:rPr>
                <w:i/>
                <w:iCs/>
                <w:sz w:val="18"/>
                <w:szCs w:val="18"/>
              </w:rPr>
              <w:t>n</w:t>
            </w:r>
            <w:r w:rsidRPr="001570EA">
              <w:rPr>
                <w:i/>
                <w:iCs/>
                <w:sz w:val="18"/>
                <w:szCs w:val="18"/>
                <w:vertAlign w:val="subscript"/>
              </w:rPr>
              <w:t>MS zones</w:t>
            </w:r>
            <w:r w:rsidRPr="001570EA">
              <w:rPr>
                <w:i/>
                <w:iCs/>
                <w:sz w:val="18"/>
                <w:szCs w:val="18"/>
              </w:rPr>
              <w:t>,</w:t>
            </w:r>
            <w:r w:rsidRPr="001570EA">
              <w:rPr>
                <w:iCs/>
                <w:sz w:val="18"/>
                <w:szCs w:val="18"/>
              </w:rPr>
              <w:t xml:space="preserve"> Average number of heating and cooling zones per site. Note: this factor applies to mid-stream delivery only.</w:t>
            </w:r>
          </w:p>
        </w:tc>
        <w:tc>
          <w:tcPr>
            <w:tcW w:w="1170" w:type="dxa"/>
            <w:tcBorders>
              <w:top w:val="single" w:sz="4" w:space="0" w:color="auto"/>
              <w:left w:val="single" w:sz="4" w:space="0" w:color="auto"/>
              <w:bottom w:val="single" w:sz="4" w:space="0" w:color="auto"/>
              <w:right w:val="single" w:sz="4" w:space="0" w:color="auto"/>
            </w:tcBorders>
            <w:vAlign w:val="center"/>
          </w:tcPr>
          <w:p w14:paraId="29CC758F" w14:textId="77777777" w:rsidR="007376E1" w:rsidRPr="001570EA" w:rsidRDefault="007376E1">
            <w:pPr>
              <w:jc w:val="center"/>
              <w:rPr>
                <w:sz w:val="18"/>
                <w:szCs w:val="18"/>
              </w:rPr>
            </w:pPr>
            <w:r w:rsidRPr="001570EA">
              <w:rPr>
                <w:sz w:val="18"/>
                <w:szCs w:val="18"/>
              </w:rPr>
              <w:t>None</w:t>
            </w:r>
          </w:p>
        </w:tc>
        <w:tc>
          <w:tcPr>
            <w:tcW w:w="2070" w:type="dxa"/>
            <w:tcBorders>
              <w:top w:val="single" w:sz="4" w:space="0" w:color="auto"/>
              <w:left w:val="single" w:sz="4" w:space="0" w:color="auto"/>
              <w:bottom w:val="single" w:sz="4" w:space="0" w:color="auto"/>
              <w:right w:val="single" w:sz="4" w:space="0" w:color="auto"/>
            </w:tcBorders>
            <w:vAlign w:val="center"/>
          </w:tcPr>
          <w:p w14:paraId="23C6C066" w14:textId="77777777" w:rsidR="007376E1" w:rsidRPr="001570EA" w:rsidRDefault="007376E1">
            <w:pPr>
              <w:spacing w:beforeLines="60" w:before="144" w:afterLines="60" w:after="144"/>
              <w:jc w:val="center"/>
              <w:rPr>
                <w:sz w:val="18"/>
                <w:szCs w:val="18"/>
              </w:rPr>
            </w:pPr>
            <w:r w:rsidRPr="001570EA">
              <w:rPr>
                <w:sz w:val="18"/>
                <w:szCs w:val="18"/>
              </w:rPr>
              <w:t>1.18</w:t>
            </w:r>
          </w:p>
        </w:tc>
        <w:tc>
          <w:tcPr>
            <w:tcW w:w="1710" w:type="dxa"/>
            <w:tcBorders>
              <w:top w:val="single" w:sz="4" w:space="0" w:color="auto"/>
              <w:left w:val="single" w:sz="4" w:space="0" w:color="auto"/>
              <w:bottom w:val="single" w:sz="4" w:space="0" w:color="auto"/>
              <w:right w:val="single" w:sz="4" w:space="0" w:color="auto"/>
            </w:tcBorders>
            <w:vAlign w:val="center"/>
          </w:tcPr>
          <w:p w14:paraId="1ACFCD8B" w14:textId="77777777" w:rsidR="007376E1" w:rsidRPr="001570EA" w:rsidRDefault="007376E1">
            <w:pPr>
              <w:jc w:val="center"/>
              <w:rPr>
                <w:sz w:val="18"/>
                <w:szCs w:val="18"/>
              </w:rPr>
            </w:pPr>
            <w:r w:rsidRPr="001570EA">
              <w:rPr>
                <w:sz w:val="18"/>
                <w:szCs w:val="18"/>
              </w:rPr>
              <w:t>10</w:t>
            </w:r>
          </w:p>
        </w:tc>
      </w:tr>
      <w:tr w:rsidR="007376E1" w:rsidRPr="001570EA" w14:paraId="2F6ADA10" w14:textId="77777777">
        <w:trPr>
          <w:cantSplit/>
          <w:trHeight w:val="1304"/>
        </w:trPr>
        <w:tc>
          <w:tcPr>
            <w:tcW w:w="3690" w:type="dxa"/>
            <w:tcBorders>
              <w:top w:val="single" w:sz="4" w:space="0" w:color="auto"/>
              <w:left w:val="single" w:sz="4" w:space="0" w:color="auto"/>
              <w:bottom w:val="single" w:sz="4" w:space="0" w:color="auto"/>
              <w:right w:val="single" w:sz="4" w:space="0" w:color="auto"/>
            </w:tcBorders>
            <w:vAlign w:val="center"/>
            <w:hideMark/>
          </w:tcPr>
          <w:p w14:paraId="5B07E0D6" w14:textId="72F3A61A" w:rsidR="007376E1" w:rsidRPr="001570EA" w:rsidRDefault="007376E1">
            <w:pPr>
              <w:rPr>
                <w:sz w:val="18"/>
                <w:szCs w:val="18"/>
              </w:rPr>
            </w:pPr>
            <w:r w:rsidRPr="001570EA">
              <w:rPr>
                <w:i/>
                <w:iCs/>
                <w:sz w:val="18"/>
                <w:szCs w:val="18"/>
              </w:rPr>
              <w:t>EFLH</w:t>
            </w:r>
            <w:r w:rsidRPr="001570EA">
              <w:rPr>
                <w:i/>
                <w:iCs/>
                <w:sz w:val="18"/>
                <w:szCs w:val="18"/>
                <w:vertAlign w:val="subscript"/>
              </w:rPr>
              <w:t>cool</w:t>
            </w:r>
            <w:r w:rsidRPr="001570EA">
              <w:rPr>
                <w:sz w:val="18"/>
                <w:szCs w:val="18"/>
              </w:rPr>
              <w:t xml:space="preserve">, </w:t>
            </w:r>
            <w:r w:rsidRPr="001570EA">
              <w:rPr>
                <w:rFonts w:cs="Arial"/>
                <w:sz w:val="18"/>
                <w:szCs w:val="18"/>
              </w:rPr>
              <w:t>Equivalent Full Load Hours of operation during the cooling season for the average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8494849" w14:textId="77777777" w:rsidR="007376E1" w:rsidRPr="001570EA" w:rsidRDefault="003B5E04">
            <w:pPr>
              <w:jc w:val="center"/>
              <w:rPr>
                <w:rFonts w:ascii="Cambria Math" w:hAnsi="Cambria Math"/>
                <w:sz w:val="18"/>
                <w:szCs w:val="18"/>
              </w:rPr>
            </w:pPr>
            <m:oMathPara>
              <m:oMath>
                <m:f>
                  <m:fPr>
                    <m:ctrlPr>
                      <w:rPr>
                        <w:rFonts w:ascii="Cambria Math" w:hAnsi="Cambria Math"/>
                        <w:i/>
                        <w:sz w:val="18"/>
                        <w:szCs w:val="18"/>
                      </w:rPr>
                    </m:ctrlPr>
                  </m:fPr>
                  <m:num>
                    <m:r>
                      <w:rPr>
                        <w:rFonts w:ascii="Cambria Math" w:hAnsi="Cambria Math"/>
                        <w:sz w:val="18"/>
                        <w:szCs w:val="18"/>
                      </w:rPr>
                      <m:t>hours</m:t>
                    </m:r>
                  </m:num>
                  <m:den>
                    <m:r>
                      <w:rPr>
                        <w:rFonts w:ascii="Cambria Math" w:hAnsi="Cambria Math"/>
                        <w:sz w:val="18"/>
                        <w:szCs w:val="18"/>
                      </w:rPr>
                      <m:t>yr</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0E66EA7F" w14:textId="77777777" w:rsidR="007376E1" w:rsidRPr="001570EA" w:rsidRDefault="007376E1">
            <w:pPr>
              <w:spacing w:beforeLines="60" w:before="144" w:afterLines="60" w:after="144"/>
              <w:jc w:val="center"/>
              <w:rPr>
                <w:sz w:val="18"/>
                <w:szCs w:val="18"/>
              </w:rPr>
            </w:pPr>
            <w:r w:rsidRPr="001570EA">
              <w:rPr>
                <w:sz w:val="18"/>
                <w:szCs w:val="18"/>
              </w:rPr>
              <w:t xml:space="preserve">See </w:t>
            </w:r>
            <w:r w:rsidRPr="001570EA">
              <w:rPr>
                <w:i/>
                <w:sz w:val="18"/>
                <w:szCs w:val="18"/>
              </w:rPr>
              <w:t>EFLH</w:t>
            </w:r>
            <w:r w:rsidRPr="001570EA">
              <w:rPr>
                <w:i/>
                <w:sz w:val="18"/>
                <w:szCs w:val="18"/>
                <w:vertAlign w:val="subscript"/>
              </w:rPr>
              <w:t>coo</w:t>
            </w:r>
            <w:r w:rsidRPr="001570EA">
              <w:rPr>
                <w:sz w:val="18"/>
                <w:szCs w:val="18"/>
                <w:vertAlign w:val="subscript"/>
              </w:rPr>
              <w:t>l</w:t>
            </w:r>
            <w:r w:rsidRPr="001570EA">
              <w:rPr>
                <w:sz w:val="18"/>
                <w:szCs w:val="18"/>
              </w:rPr>
              <w:t xml:space="preserve"> in Vol. 1, App. A</w:t>
            </w:r>
          </w:p>
          <w:p w14:paraId="1D3EB2AD" w14:textId="77777777" w:rsidR="007376E1" w:rsidRPr="001570EA" w:rsidRDefault="007376E1">
            <w:pPr>
              <w:spacing w:beforeLines="60" w:before="144" w:afterLines="60" w:after="144"/>
              <w:jc w:val="center"/>
              <w:rPr>
                <w:sz w:val="18"/>
                <w:szCs w:val="18"/>
              </w:rPr>
            </w:pPr>
            <w:r w:rsidRPr="001570EA">
              <w:rPr>
                <w:sz w:val="18"/>
                <w:szCs w:val="18"/>
              </w:rPr>
              <w:t>Use Room AC hours for secondary zones.</w:t>
            </w:r>
          </w:p>
          <w:p w14:paraId="09595498" w14:textId="38B9A8CD" w:rsidR="007376E1" w:rsidRPr="001570EA" w:rsidRDefault="007376E1">
            <w:pPr>
              <w:spacing w:beforeLines="60" w:before="144" w:afterLines="60" w:after="144"/>
              <w:jc w:val="center"/>
              <w:rPr>
                <w:sz w:val="18"/>
                <w:szCs w:val="18"/>
              </w:rPr>
            </w:pPr>
            <w:r w:rsidRPr="001570EA">
              <w:rPr>
                <w:sz w:val="18"/>
                <w:szCs w:val="18"/>
              </w:rPr>
              <w:t xml:space="preserve">Midstream: </w:t>
            </w:r>
            <w:r w:rsidR="00C82329" w:rsidRPr="001570EA">
              <w:rPr>
                <w:sz w:val="18"/>
                <w:szCs w:val="18"/>
              </w:rPr>
              <w:fldChar w:fldCharType="begin"/>
            </w:r>
            <w:r w:rsidR="00C82329" w:rsidRPr="001570EA">
              <w:rPr>
                <w:sz w:val="18"/>
                <w:szCs w:val="18"/>
              </w:rPr>
              <w:instrText xml:space="preserve"> REF _Ref163903836 \h </w:instrText>
            </w:r>
            <w:r w:rsidR="001570EA">
              <w:rPr>
                <w:sz w:val="18"/>
                <w:szCs w:val="18"/>
              </w:rPr>
              <w:instrText xml:space="preserve"> \* MERGEFORMAT </w:instrText>
            </w:r>
            <w:r w:rsidR="00C82329" w:rsidRPr="001570EA">
              <w:rPr>
                <w:sz w:val="18"/>
                <w:szCs w:val="18"/>
              </w:rPr>
            </w:r>
            <w:r w:rsidR="00C82329" w:rsidRPr="001570EA">
              <w:rPr>
                <w:sz w:val="18"/>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24</w:t>
            </w:r>
            <w:r w:rsidR="00C82329" w:rsidRPr="001570EA">
              <w:rPr>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430EF21B" w14:textId="77777777" w:rsidR="007376E1" w:rsidRPr="001570EA" w:rsidRDefault="007376E1">
            <w:pPr>
              <w:jc w:val="center"/>
              <w:rPr>
                <w:sz w:val="18"/>
                <w:szCs w:val="18"/>
              </w:rPr>
            </w:pPr>
            <w:r w:rsidRPr="001570EA">
              <w:rPr>
                <w:sz w:val="18"/>
                <w:szCs w:val="18"/>
              </w:rPr>
              <w:t>9</w:t>
            </w:r>
          </w:p>
        </w:tc>
      </w:tr>
      <w:tr w:rsidR="007376E1" w:rsidRPr="001570EA" w14:paraId="4FDD0E6D" w14:textId="77777777">
        <w:trPr>
          <w:cantSplit/>
          <w:trHeight w:val="1070"/>
        </w:trPr>
        <w:tc>
          <w:tcPr>
            <w:tcW w:w="3690" w:type="dxa"/>
            <w:tcBorders>
              <w:top w:val="single" w:sz="4" w:space="0" w:color="auto"/>
              <w:left w:val="single" w:sz="4" w:space="0" w:color="auto"/>
              <w:bottom w:val="single" w:sz="4" w:space="0" w:color="auto"/>
              <w:right w:val="single" w:sz="4" w:space="0" w:color="auto"/>
            </w:tcBorders>
            <w:vAlign w:val="center"/>
            <w:hideMark/>
          </w:tcPr>
          <w:p w14:paraId="313C7300" w14:textId="08382783" w:rsidR="007376E1" w:rsidRPr="001570EA" w:rsidRDefault="007376E1">
            <w:pPr>
              <w:rPr>
                <w:sz w:val="18"/>
                <w:szCs w:val="18"/>
              </w:rPr>
            </w:pPr>
            <w:r w:rsidRPr="001570EA">
              <w:rPr>
                <w:i/>
                <w:iCs/>
                <w:sz w:val="18"/>
                <w:szCs w:val="18"/>
              </w:rPr>
              <w:t>EFLH</w:t>
            </w:r>
            <w:r w:rsidRPr="001570EA">
              <w:rPr>
                <w:i/>
                <w:iCs/>
                <w:sz w:val="18"/>
                <w:szCs w:val="18"/>
                <w:vertAlign w:val="subscript"/>
              </w:rPr>
              <w:t>heat,HP</w:t>
            </w:r>
            <w:r w:rsidRPr="001570EA">
              <w:rPr>
                <w:sz w:val="18"/>
                <w:szCs w:val="18"/>
                <w:vertAlign w:val="subscript"/>
              </w:rPr>
              <w:t xml:space="preserve">, </w:t>
            </w:r>
            <w:r w:rsidRPr="001570EA">
              <w:rPr>
                <w:rFonts w:cs="Arial"/>
                <w:sz w:val="18"/>
                <w:szCs w:val="18"/>
              </w:rPr>
              <w:t>Equivalent Full Load Hours of operation during the heating season for the average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14A302" w14:textId="77777777" w:rsidR="007376E1" w:rsidRPr="001570EA" w:rsidRDefault="003B5E04">
            <w:pPr>
              <w:jc w:val="center"/>
              <w:rPr>
                <w:rFonts w:ascii="Cambria Math" w:hAnsi="Cambria Math"/>
                <w:sz w:val="18"/>
                <w:szCs w:val="18"/>
              </w:rPr>
            </w:pPr>
            <m:oMathPara>
              <m:oMath>
                <m:f>
                  <m:fPr>
                    <m:ctrlPr>
                      <w:rPr>
                        <w:rFonts w:ascii="Cambria Math" w:hAnsi="Cambria Math"/>
                        <w:i/>
                        <w:sz w:val="18"/>
                        <w:szCs w:val="18"/>
                      </w:rPr>
                    </m:ctrlPr>
                  </m:fPr>
                  <m:num>
                    <m:r>
                      <w:rPr>
                        <w:rFonts w:ascii="Cambria Math" w:hAnsi="Cambria Math"/>
                        <w:sz w:val="18"/>
                        <w:szCs w:val="18"/>
                      </w:rPr>
                      <m:t>hours</m:t>
                    </m:r>
                  </m:num>
                  <m:den>
                    <m:r>
                      <w:rPr>
                        <w:rFonts w:ascii="Cambria Math" w:hAnsi="Cambria Math"/>
                        <w:sz w:val="18"/>
                        <w:szCs w:val="18"/>
                      </w:rPr>
                      <m:t>yr</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6DBE8606" w14:textId="77777777" w:rsidR="007376E1" w:rsidRPr="001570EA" w:rsidRDefault="007376E1">
            <w:pPr>
              <w:spacing w:beforeLines="60" w:before="144" w:afterLines="60" w:after="144"/>
              <w:jc w:val="center"/>
              <w:rPr>
                <w:sz w:val="18"/>
                <w:szCs w:val="18"/>
              </w:rPr>
            </w:pPr>
            <w:r w:rsidRPr="001570EA">
              <w:rPr>
                <w:sz w:val="18"/>
                <w:szCs w:val="18"/>
              </w:rPr>
              <w:t xml:space="preserve">See </w:t>
            </w:r>
            <w:r w:rsidRPr="001570EA">
              <w:rPr>
                <w:i/>
                <w:sz w:val="18"/>
                <w:szCs w:val="18"/>
              </w:rPr>
              <w:t>EFLH</w:t>
            </w:r>
            <w:r w:rsidRPr="001570EA">
              <w:rPr>
                <w:i/>
                <w:sz w:val="18"/>
                <w:szCs w:val="18"/>
                <w:vertAlign w:val="subscript"/>
              </w:rPr>
              <w:t>heat</w:t>
            </w:r>
            <w:r w:rsidRPr="001570EA">
              <w:rPr>
                <w:sz w:val="18"/>
                <w:szCs w:val="18"/>
              </w:rPr>
              <w:t xml:space="preserve"> in Vol. 1, App. A</w:t>
            </w:r>
          </w:p>
          <w:p w14:paraId="41288F96" w14:textId="77777777" w:rsidR="007376E1" w:rsidRPr="001570EA" w:rsidRDefault="007376E1">
            <w:pPr>
              <w:spacing w:beforeLines="60" w:before="144" w:afterLines="60" w:after="144"/>
              <w:jc w:val="center"/>
              <w:rPr>
                <w:sz w:val="18"/>
                <w:szCs w:val="18"/>
              </w:rPr>
            </w:pPr>
            <w:r w:rsidRPr="001570EA">
              <w:rPr>
                <w:sz w:val="18"/>
                <w:szCs w:val="18"/>
              </w:rPr>
              <w:t>Use Secondary HP for secondary zones.</w:t>
            </w:r>
          </w:p>
          <w:p w14:paraId="4C194DA0" w14:textId="524EF7EB" w:rsidR="007376E1" w:rsidRPr="001570EA" w:rsidRDefault="007376E1">
            <w:pPr>
              <w:spacing w:beforeLines="60" w:before="144" w:afterLines="60" w:after="144"/>
              <w:jc w:val="center"/>
              <w:rPr>
                <w:sz w:val="18"/>
                <w:szCs w:val="18"/>
              </w:rPr>
            </w:pPr>
            <w:r w:rsidRPr="001570EA">
              <w:rPr>
                <w:sz w:val="18"/>
                <w:szCs w:val="18"/>
              </w:rPr>
              <w:t xml:space="preserve">Midstream: </w:t>
            </w:r>
            <w:r w:rsidRPr="001570EA">
              <w:rPr>
                <w:sz w:val="18"/>
                <w:szCs w:val="18"/>
              </w:rPr>
              <w:fldChar w:fldCharType="begin"/>
            </w:r>
            <w:r w:rsidRPr="001570EA">
              <w:rPr>
                <w:sz w:val="18"/>
                <w:szCs w:val="18"/>
              </w:rPr>
              <w:instrText xml:space="preserve"> REF _Ref535141298 \h  \* MERGEFORMAT </w:instrText>
            </w:r>
            <w:r w:rsidRPr="001570EA">
              <w:rPr>
                <w:sz w:val="18"/>
                <w:szCs w:val="18"/>
              </w:rPr>
            </w:r>
            <w:r w:rsidRPr="001570EA">
              <w:rPr>
                <w:sz w:val="18"/>
                <w:szCs w:val="18"/>
              </w:rPr>
              <w:fldChar w:fldCharType="separate"/>
            </w:r>
            <w:r w:rsidR="00384D95" w:rsidRPr="001570EA">
              <w:rPr>
                <w:sz w:val="18"/>
                <w:szCs w:val="18"/>
              </w:rPr>
              <w:t xml:space="preserve">Table </w:t>
            </w:r>
            <w:r w:rsidR="00384D95" w:rsidRPr="001570EA">
              <w:rPr>
                <w:noProof/>
                <w:sz w:val="18"/>
                <w:szCs w:val="18"/>
              </w:rPr>
              <w:t>2</w:t>
            </w:r>
            <w:r w:rsidR="00384D95" w:rsidRPr="001570EA">
              <w:rPr>
                <w:noProof/>
                <w:sz w:val="18"/>
                <w:szCs w:val="18"/>
              </w:rPr>
              <w:noBreakHyphen/>
              <w:t>24</w:t>
            </w:r>
            <w:r w:rsidR="00384D95" w:rsidRPr="001570EA">
              <w:t>: Midstream DHP – Composite EFLH Values</w:t>
            </w:r>
            <w:r w:rsidRPr="001570EA">
              <w:rPr>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01C3CEB1" w14:textId="77777777" w:rsidR="007376E1" w:rsidRPr="001570EA" w:rsidRDefault="007376E1">
            <w:pPr>
              <w:jc w:val="center"/>
              <w:rPr>
                <w:sz w:val="18"/>
                <w:szCs w:val="18"/>
              </w:rPr>
            </w:pPr>
            <w:r w:rsidRPr="001570EA">
              <w:rPr>
                <w:sz w:val="18"/>
                <w:szCs w:val="18"/>
              </w:rPr>
              <w:t>9</w:t>
            </w:r>
          </w:p>
        </w:tc>
      </w:tr>
      <w:tr w:rsidR="007376E1" w:rsidRPr="001570EA" w14:paraId="1EBC01F4" w14:textId="77777777">
        <w:trPr>
          <w:cantSplit/>
          <w:trHeight w:val="621"/>
        </w:trPr>
        <w:tc>
          <w:tcPr>
            <w:tcW w:w="3690" w:type="dxa"/>
            <w:tcBorders>
              <w:top w:val="single" w:sz="4" w:space="0" w:color="auto"/>
              <w:left w:val="single" w:sz="4" w:space="0" w:color="auto"/>
              <w:bottom w:val="single" w:sz="4" w:space="0" w:color="auto"/>
              <w:right w:val="single" w:sz="4" w:space="0" w:color="auto"/>
            </w:tcBorders>
            <w:vAlign w:val="center"/>
            <w:hideMark/>
          </w:tcPr>
          <w:p w14:paraId="6E7F594B" w14:textId="6D508E00" w:rsidR="007376E1" w:rsidRPr="001570EA" w:rsidRDefault="003B5E04">
            <w:pPr>
              <w:rPr>
                <w:sz w:val="18"/>
                <w:szCs w:val="18"/>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r w:rsidR="007376E1" w:rsidRPr="001570EA">
              <w:rPr>
                <w:sz w:val="18"/>
                <w:szCs w:val="18"/>
              </w:rPr>
              <w:t>, Demand Coincidence Factor during the summer months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6918018" w14:textId="77777777" w:rsidR="007376E1" w:rsidRPr="001570EA" w:rsidRDefault="007376E1">
            <w:pPr>
              <w:jc w:val="center"/>
              <w:rPr>
                <w:sz w:val="18"/>
                <w:szCs w:val="18"/>
              </w:rPr>
            </w:pPr>
            <w:r w:rsidRPr="001570EA">
              <w:rPr>
                <w:i/>
                <w:iCs/>
                <w:sz w:val="18"/>
                <w:szCs w:val="18"/>
              </w:rPr>
              <w:t>Proportion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6EBD749" w14:textId="77777777" w:rsidR="007376E1" w:rsidRPr="001570EA" w:rsidRDefault="007376E1">
            <w:pPr>
              <w:spacing w:beforeLines="60" w:before="144" w:afterLines="60" w:after="144"/>
              <w:jc w:val="center"/>
              <w:rPr>
                <w:sz w:val="18"/>
                <w:szCs w:val="18"/>
              </w:rPr>
            </w:pPr>
            <w:r w:rsidRPr="001570EA">
              <w:rPr>
                <w:sz w:val="18"/>
                <w:szCs w:val="18"/>
              </w:rPr>
              <w:t xml:space="preserve">See </w:t>
            </w:r>
            <w:r w:rsidRPr="001570EA">
              <w:rPr>
                <w:i/>
                <w:sz w:val="18"/>
                <w:szCs w:val="18"/>
              </w:rPr>
              <w:t>CF</w:t>
            </w:r>
            <w:r w:rsidRPr="001570EA">
              <w:rPr>
                <w:sz w:val="18"/>
                <w:szCs w:val="18"/>
              </w:rPr>
              <w:t xml:space="preserve"> in Vol. 1, App. 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0AED8B3" w14:textId="77777777" w:rsidR="007376E1" w:rsidRPr="001570EA" w:rsidRDefault="007376E1">
            <w:pPr>
              <w:jc w:val="center"/>
              <w:rPr>
                <w:sz w:val="18"/>
                <w:szCs w:val="18"/>
              </w:rPr>
            </w:pPr>
            <w:r w:rsidRPr="001570EA">
              <w:rPr>
                <w:sz w:val="18"/>
                <w:szCs w:val="18"/>
              </w:rPr>
              <w:t>9</w:t>
            </w:r>
          </w:p>
        </w:tc>
      </w:tr>
      <w:tr w:rsidR="007376E1" w:rsidRPr="001570EA" w14:paraId="1F6113DF" w14:textId="77777777">
        <w:trPr>
          <w:cantSplit/>
          <w:trHeight w:val="621"/>
        </w:trPr>
        <w:tc>
          <w:tcPr>
            <w:tcW w:w="3690" w:type="dxa"/>
            <w:tcBorders>
              <w:top w:val="single" w:sz="4" w:space="0" w:color="auto"/>
              <w:left w:val="single" w:sz="4" w:space="0" w:color="auto"/>
              <w:bottom w:val="single" w:sz="4" w:space="0" w:color="auto"/>
              <w:right w:val="single" w:sz="4" w:space="0" w:color="auto"/>
            </w:tcBorders>
            <w:vAlign w:val="center"/>
          </w:tcPr>
          <w:p w14:paraId="2DA3A696" w14:textId="466485CB" w:rsidR="007376E1" w:rsidRPr="001570EA" w:rsidRDefault="003B5E04">
            <w:pPr>
              <w:rPr>
                <w:i/>
                <w:iCs/>
                <w:sz w:val="18"/>
                <w:szCs w:val="18"/>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w:r w:rsidR="007376E1" w:rsidRPr="001570EA">
              <w:rPr>
                <w:sz w:val="18"/>
                <w:szCs w:val="18"/>
              </w:rPr>
              <w:t>, Demand Coincidence Factor during the winter months</w:t>
            </w:r>
          </w:p>
        </w:tc>
        <w:tc>
          <w:tcPr>
            <w:tcW w:w="1170" w:type="dxa"/>
            <w:tcBorders>
              <w:top w:val="single" w:sz="4" w:space="0" w:color="auto"/>
              <w:left w:val="single" w:sz="4" w:space="0" w:color="auto"/>
              <w:bottom w:val="single" w:sz="4" w:space="0" w:color="auto"/>
              <w:right w:val="single" w:sz="4" w:space="0" w:color="auto"/>
            </w:tcBorders>
            <w:vAlign w:val="center"/>
          </w:tcPr>
          <w:p w14:paraId="7A3AA420" w14:textId="77777777" w:rsidR="007376E1" w:rsidRPr="001570EA" w:rsidRDefault="007376E1">
            <w:pPr>
              <w:jc w:val="center"/>
              <w:rPr>
                <w:i/>
                <w:iCs/>
                <w:sz w:val="18"/>
                <w:szCs w:val="18"/>
              </w:rPr>
            </w:pPr>
            <w:r w:rsidRPr="001570EA">
              <w:rPr>
                <w:i/>
                <w:iCs/>
                <w:sz w:val="18"/>
                <w:szCs w:val="18"/>
              </w:rPr>
              <w:t>Proportion</w:t>
            </w:r>
          </w:p>
        </w:tc>
        <w:tc>
          <w:tcPr>
            <w:tcW w:w="2070" w:type="dxa"/>
            <w:tcBorders>
              <w:top w:val="single" w:sz="4" w:space="0" w:color="auto"/>
              <w:left w:val="single" w:sz="4" w:space="0" w:color="auto"/>
              <w:bottom w:val="single" w:sz="4" w:space="0" w:color="auto"/>
              <w:right w:val="single" w:sz="4" w:space="0" w:color="auto"/>
            </w:tcBorders>
            <w:vAlign w:val="center"/>
          </w:tcPr>
          <w:p w14:paraId="36B76573" w14:textId="77777777" w:rsidR="007376E1" w:rsidRPr="001570EA" w:rsidRDefault="007376E1">
            <w:pPr>
              <w:spacing w:beforeLines="60" w:before="144" w:afterLines="60" w:after="144"/>
              <w:jc w:val="center"/>
              <w:rPr>
                <w:sz w:val="18"/>
                <w:szCs w:val="18"/>
              </w:rPr>
            </w:pPr>
            <w:r w:rsidRPr="001570EA">
              <w:rPr>
                <w:sz w:val="18"/>
                <w:szCs w:val="18"/>
              </w:rPr>
              <w:t xml:space="preserve">See </w:t>
            </w:r>
            <w:r w:rsidRPr="001570EA">
              <w:rPr>
                <w:i/>
                <w:sz w:val="18"/>
                <w:szCs w:val="18"/>
              </w:rPr>
              <w:t>CF</w:t>
            </w:r>
            <w:r w:rsidRPr="001570EA">
              <w:rPr>
                <w:sz w:val="18"/>
                <w:szCs w:val="18"/>
              </w:rPr>
              <w:t xml:space="preserve"> in Vol. 1, App. A</w:t>
            </w:r>
          </w:p>
        </w:tc>
        <w:tc>
          <w:tcPr>
            <w:tcW w:w="1710" w:type="dxa"/>
            <w:tcBorders>
              <w:top w:val="single" w:sz="4" w:space="0" w:color="auto"/>
              <w:left w:val="single" w:sz="4" w:space="0" w:color="auto"/>
              <w:bottom w:val="single" w:sz="4" w:space="0" w:color="auto"/>
              <w:right w:val="single" w:sz="4" w:space="0" w:color="auto"/>
            </w:tcBorders>
            <w:vAlign w:val="center"/>
          </w:tcPr>
          <w:p w14:paraId="34BBB024" w14:textId="77777777" w:rsidR="007376E1" w:rsidRPr="001570EA" w:rsidRDefault="007376E1">
            <w:pPr>
              <w:jc w:val="center"/>
              <w:rPr>
                <w:sz w:val="18"/>
                <w:szCs w:val="18"/>
              </w:rPr>
            </w:pPr>
            <w:r w:rsidRPr="001570EA">
              <w:rPr>
                <w:sz w:val="18"/>
                <w:szCs w:val="18"/>
              </w:rPr>
              <w:t>9</w:t>
            </w:r>
          </w:p>
        </w:tc>
      </w:tr>
    </w:tbl>
    <w:p w14:paraId="6A440DBA" w14:textId="77777777" w:rsidR="007376E1" w:rsidRPr="001570EA" w:rsidRDefault="007376E1" w:rsidP="007376E1">
      <w:r w:rsidRPr="001570EA">
        <w:t>Note: Where appropriate, nameplate data collected for usage in savings calculations (i.e., SEER, EER, HSPF) should be converted to new efficiency metrics (i.e., SEER2, EER2, HSPF2) using conversion equations laid out in Vol. 1 App. A</w:t>
      </w:r>
    </w:p>
    <w:p w14:paraId="68CEA4FD" w14:textId="77777777" w:rsidR="007376E1" w:rsidRPr="001570EA" w:rsidRDefault="007376E1" w:rsidP="007376E1"/>
    <w:p w14:paraId="5A9C7558" w14:textId="4D9AB39C" w:rsidR="007376E1" w:rsidRPr="001570EA" w:rsidRDefault="007376E1" w:rsidP="007376E1">
      <w:pPr>
        <w:pStyle w:val="Caption"/>
      </w:pPr>
      <w:bookmarkStart w:id="209" w:name="_Ref534624069"/>
      <w:bookmarkStart w:id="210" w:name="_Toc47598256"/>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17</w:t>
      </w:r>
      <w:r w:rsidR="002E093A" w:rsidRPr="001570EA">
        <w:fldChar w:fldCharType="end"/>
      </w:r>
      <w:bookmarkEnd w:id="209"/>
      <w:r w:rsidRPr="001570EA">
        <w:t>: Ductless Heat Pump Usage Zones</w:t>
      </w:r>
      <w:bookmarkEnd w:id="210"/>
    </w:p>
    <w:tbl>
      <w:tblPr>
        <w:tblW w:w="7352" w:type="dxa"/>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661"/>
        <w:gridCol w:w="3691"/>
      </w:tblGrid>
      <w:tr w:rsidR="007376E1" w:rsidRPr="001570EA" w14:paraId="29C8B272" w14:textId="77777777">
        <w:tc>
          <w:tcPr>
            <w:tcW w:w="2490" w:type="pct"/>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BFBFBF" w:themeFill="background1" w:themeFillShade="BF"/>
            <w:hideMark/>
          </w:tcPr>
          <w:p w14:paraId="3F4E9F57" w14:textId="77777777" w:rsidR="007376E1" w:rsidRPr="001570EA" w:rsidRDefault="007376E1">
            <w:pPr>
              <w:pStyle w:val="TableCell"/>
              <w:spacing w:before="60" w:after="60"/>
              <w:rPr>
                <w:b/>
                <w:bCs/>
              </w:rPr>
            </w:pPr>
            <w:r w:rsidRPr="001570EA">
              <w:rPr>
                <w:b/>
                <w:bCs/>
              </w:rPr>
              <w:t>Usage Zone</w:t>
            </w:r>
          </w:p>
        </w:tc>
        <w:tc>
          <w:tcPr>
            <w:tcW w:w="2510" w:type="pct"/>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BFBFBF" w:themeFill="background1" w:themeFillShade="BF"/>
            <w:hideMark/>
          </w:tcPr>
          <w:p w14:paraId="46439570" w14:textId="77777777" w:rsidR="007376E1" w:rsidRPr="001570EA" w:rsidRDefault="007376E1">
            <w:pPr>
              <w:pStyle w:val="TableCell"/>
              <w:spacing w:before="60" w:after="60"/>
              <w:jc w:val="center"/>
              <w:rPr>
                <w:b/>
                <w:bCs/>
              </w:rPr>
            </w:pPr>
            <w:r w:rsidRPr="001570EA">
              <w:rPr>
                <w:b/>
                <w:bCs/>
              </w:rPr>
              <w:t>Definition</w:t>
            </w:r>
          </w:p>
        </w:tc>
      </w:tr>
      <w:tr w:rsidR="007376E1" w:rsidRPr="001570EA" w14:paraId="0C281702" w14:textId="77777777">
        <w:tc>
          <w:tcPr>
            <w:tcW w:w="2490" w:type="pct"/>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13728134" w14:textId="77777777" w:rsidR="007376E1" w:rsidRPr="001570EA" w:rsidRDefault="007376E1">
            <w:pPr>
              <w:pStyle w:val="TableCell"/>
              <w:spacing w:before="60" w:after="60"/>
              <w:rPr>
                <w:b/>
                <w:bCs/>
                <w:color w:val="000000"/>
              </w:rPr>
            </w:pPr>
            <w:r w:rsidRPr="001570EA">
              <w:t>Primary</w:t>
            </w:r>
          </w:p>
        </w:tc>
        <w:tc>
          <w:tcPr>
            <w:tcW w:w="2510" w:type="pct"/>
            <w:tcBorders>
              <w:top w:val="single" w:sz="8" w:space="0" w:color="404040" w:themeColor="text1" w:themeTint="BF"/>
              <w:left w:val="single" w:sz="8" w:space="0" w:color="404040" w:themeColor="text1" w:themeTint="BF"/>
              <w:bottom w:val="single" w:sz="8" w:space="0" w:color="404040" w:themeColor="text1" w:themeTint="BF"/>
              <w:right w:val="single" w:sz="8" w:space="0" w:color="404040"/>
            </w:tcBorders>
            <w:shd w:val="clear" w:color="auto" w:fill="FFFFFF" w:themeFill="background1"/>
            <w:hideMark/>
          </w:tcPr>
          <w:p w14:paraId="2AD36DCD" w14:textId="77777777" w:rsidR="007376E1" w:rsidRPr="001570EA" w:rsidRDefault="007376E1">
            <w:pPr>
              <w:pStyle w:val="TableCell"/>
              <w:keepNext w:val="0"/>
              <w:spacing w:before="60" w:after="60"/>
              <w:jc w:val="center"/>
              <w:rPr>
                <w:color w:val="000000"/>
              </w:rPr>
            </w:pPr>
            <w:r w:rsidRPr="001570EA">
              <w:t>Dining room</w:t>
            </w:r>
            <w:r w:rsidRPr="001570EA">
              <w:br/>
              <w:t>Family room</w:t>
            </w:r>
            <w:r w:rsidRPr="001570EA">
              <w:br/>
              <w:t>House hallway</w:t>
            </w:r>
            <w:r w:rsidRPr="001570EA">
              <w:br/>
              <w:t>Living room</w:t>
            </w:r>
            <w:r w:rsidRPr="001570EA">
              <w:br/>
              <w:t>Kitchen areas</w:t>
            </w:r>
            <w:r w:rsidRPr="001570EA">
              <w:br/>
              <w:t>Recreation room</w:t>
            </w:r>
          </w:p>
        </w:tc>
      </w:tr>
      <w:tr w:rsidR="007376E1" w:rsidRPr="001570EA" w14:paraId="69F3AD5C" w14:textId="77777777">
        <w:trPr>
          <w:cantSplit/>
        </w:trPr>
        <w:tc>
          <w:tcPr>
            <w:tcW w:w="2490" w:type="pct"/>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hideMark/>
          </w:tcPr>
          <w:p w14:paraId="790770C7" w14:textId="77777777" w:rsidR="007376E1" w:rsidRPr="001570EA" w:rsidRDefault="007376E1">
            <w:pPr>
              <w:pStyle w:val="TableCell"/>
              <w:keepNext w:val="0"/>
              <w:spacing w:before="60" w:after="60"/>
              <w:rPr>
                <w:b/>
                <w:bCs/>
                <w:color w:val="000000"/>
              </w:rPr>
            </w:pPr>
            <w:r w:rsidRPr="001570EA">
              <w:t>Secondary</w:t>
            </w:r>
          </w:p>
        </w:tc>
        <w:tc>
          <w:tcPr>
            <w:tcW w:w="2510" w:type="pct"/>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hideMark/>
          </w:tcPr>
          <w:p w14:paraId="2D7E8651" w14:textId="77777777" w:rsidR="007376E1" w:rsidRPr="001570EA" w:rsidRDefault="007376E1">
            <w:pPr>
              <w:pStyle w:val="TableCell"/>
              <w:keepNext w:val="0"/>
              <w:spacing w:before="60" w:after="60"/>
              <w:jc w:val="center"/>
              <w:rPr>
                <w:color w:val="000000"/>
              </w:rPr>
            </w:pPr>
            <w:r w:rsidRPr="001570EA">
              <w:t>Basement</w:t>
            </w:r>
            <w:r w:rsidRPr="001570EA">
              <w:br/>
              <w:t>Bathroom</w:t>
            </w:r>
            <w:r w:rsidRPr="001570EA">
              <w:br/>
              <w:t>Bedroom</w:t>
            </w:r>
            <w:r w:rsidRPr="001570EA">
              <w:br/>
              <w:t>Laundry/Mudroom</w:t>
            </w:r>
            <w:r w:rsidRPr="001570EA">
              <w:br/>
              <w:t>Office/Study</w:t>
            </w:r>
            <w:r w:rsidRPr="001570EA">
              <w:br/>
              <w:t>Storage room</w:t>
            </w:r>
            <w:r w:rsidRPr="001570EA">
              <w:br/>
              <w:t>Sunroom/Seasonal room</w:t>
            </w:r>
          </w:p>
        </w:tc>
      </w:tr>
    </w:tbl>
    <w:p w14:paraId="444E9DC1" w14:textId="77777777" w:rsidR="007376E1" w:rsidRPr="001570EA" w:rsidRDefault="007376E1" w:rsidP="007376E1">
      <w:pPr>
        <w:pStyle w:val="Caption"/>
      </w:pPr>
      <w:bookmarkStart w:id="211" w:name="_Ref531963176"/>
    </w:p>
    <w:p w14:paraId="1706CE35" w14:textId="7418499F" w:rsidR="007376E1" w:rsidRPr="001570EA" w:rsidRDefault="007376E1" w:rsidP="007376E1">
      <w:pPr>
        <w:pStyle w:val="Caption"/>
      </w:pPr>
      <w:bookmarkStart w:id="212" w:name="_Ref10810016"/>
      <w:bookmarkStart w:id="213" w:name="_Ref535142514"/>
      <w:bookmarkStart w:id="214" w:name="_Toc47598257"/>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18</w:t>
      </w:r>
      <w:r w:rsidR="002E093A" w:rsidRPr="001570EA">
        <w:fldChar w:fldCharType="end"/>
      </w:r>
      <w:bookmarkEnd w:id="211"/>
      <w:bookmarkEnd w:id="212"/>
      <w:bookmarkEnd w:id="213"/>
      <w:r w:rsidRPr="001570EA">
        <w:t>: Default Ductless Heat Pump Efficiencies</w:t>
      </w:r>
      <w:bookmarkEnd w:id="214"/>
    </w:p>
    <w:tbl>
      <w:tblPr>
        <w:tblStyle w:val="TableGrid"/>
        <w:tblW w:w="0" w:type="auto"/>
        <w:tblInd w:w="115" w:type="dxa"/>
        <w:tblLook w:val="04A0" w:firstRow="1" w:lastRow="0" w:firstColumn="1" w:lastColumn="0" w:noHBand="0" w:noVBand="1"/>
      </w:tblPr>
      <w:tblGrid>
        <w:gridCol w:w="1557"/>
        <w:gridCol w:w="1080"/>
        <w:gridCol w:w="960"/>
        <w:gridCol w:w="1070"/>
        <w:gridCol w:w="1221"/>
        <w:gridCol w:w="1086"/>
        <w:gridCol w:w="1210"/>
      </w:tblGrid>
      <w:tr w:rsidR="007376E1" w:rsidRPr="001570EA" w14:paraId="2061E615" w14:textId="77777777">
        <w:trPr>
          <w:trHeight w:val="299"/>
        </w:trPr>
        <w:tc>
          <w:tcPr>
            <w:tcW w:w="0" w:type="auto"/>
            <w:vMerge w:val="restart"/>
            <w:shd w:val="clear" w:color="auto" w:fill="BFBFBF" w:themeFill="background1" w:themeFillShade="BF"/>
            <w:vAlign w:val="center"/>
          </w:tcPr>
          <w:p w14:paraId="7B21799A" w14:textId="77777777" w:rsidR="007376E1" w:rsidRPr="001570EA" w:rsidRDefault="007376E1">
            <w:pPr>
              <w:keepNext/>
              <w:rPr>
                <w:rFonts w:cs="Arial"/>
                <w:sz w:val="18"/>
                <w:szCs w:val="18"/>
              </w:rPr>
            </w:pPr>
            <w:r w:rsidRPr="001570EA">
              <w:rPr>
                <w:rFonts w:cs="Arial"/>
                <w:b/>
                <w:sz w:val="18"/>
                <w:szCs w:val="18"/>
              </w:rPr>
              <w:t>Baseline Equip.</w:t>
            </w:r>
          </w:p>
        </w:tc>
        <w:tc>
          <w:tcPr>
            <w:tcW w:w="0" w:type="auto"/>
            <w:gridSpan w:val="3"/>
            <w:shd w:val="clear" w:color="auto" w:fill="BFBFBF" w:themeFill="background1" w:themeFillShade="BF"/>
            <w:vAlign w:val="center"/>
          </w:tcPr>
          <w:p w14:paraId="4E430B8B" w14:textId="77777777" w:rsidR="007376E1" w:rsidRPr="001570EA" w:rsidRDefault="007376E1">
            <w:pPr>
              <w:keepNext/>
              <w:jc w:val="center"/>
              <w:rPr>
                <w:rFonts w:cs="Arial"/>
                <w:b/>
                <w:sz w:val="18"/>
                <w:szCs w:val="18"/>
              </w:rPr>
            </w:pPr>
            <w:r w:rsidRPr="001570EA">
              <w:rPr>
                <w:rFonts w:cs="Arial"/>
                <w:b/>
                <w:sz w:val="18"/>
                <w:szCs w:val="18"/>
              </w:rPr>
              <w:t>Early Replacement</w:t>
            </w:r>
          </w:p>
        </w:tc>
        <w:tc>
          <w:tcPr>
            <w:tcW w:w="0" w:type="auto"/>
            <w:gridSpan w:val="3"/>
            <w:shd w:val="clear" w:color="auto" w:fill="BFBFBF" w:themeFill="background1" w:themeFillShade="BF"/>
            <w:vAlign w:val="center"/>
          </w:tcPr>
          <w:p w14:paraId="7D1EC469" w14:textId="77777777" w:rsidR="007376E1" w:rsidRPr="001570EA" w:rsidRDefault="007376E1">
            <w:pPr>
              <w:keepNext/>
              <w:jc w:val="center"/>
              <w:rPr>
                <w:rFonts w:cs="Arial"/>
                <w:b/>
                <w:sz w:val="18"/>
                <w:szCs w:val="18"/>
              </w:rPr>
            </w:pPr>
            <w:r w:rsidRPr="001570EA">
              <w:rPr>
                <w:rFonts w:cs="Arial"/>
                <w:b/>
                <w:sz w:val="18"/>
                <w:szCs w:val="18"/>
              </w:rPr>
              <w:t>Replace on Burnout/New Construction</w:t>
            </w:r>
          </w:p>
        </w:tc>
      </w:tr>
      <w:tr w:rsidR="007376E1" w:rsidRPr="001570EA" w14:paraId="5439803A" w14:textId="77777777">
        <w:trPr>
          <w:trHeight w:val="299"/>
        </w:trPr>
        <w:tc>
          <w:tcPr>
            <w:tcW w:w="0" w:type="auto"/>
            <w:vMerge/>
            <w:shd w:val="clear" w:color="auto" w:fill="BFBFBF" w:themeFill="background1" w:themeFillShade="BF"/>
          </w:tcPr>
          <w:p w14:paraId="66C489DF" w14:textId="77777777" w:rsidR="007376E1" w:rsidRPr="001570EA" w:rsidRDefault="007376E1">
            <w:pPr>
              <w:keepNext/>
              <w:rPr>
                <w:rFonts w:cs="Arial"/>
                <w:b/>
                <w:sz w:val="18"/>
                <w:szCs w:val="18"/>
              </w:rPr>
            </w:pPr>
          </w:p>
        </w:tc>
        <w:tc>
          <w:tcPr>
            <w:tcW w:w="0" w:type="auto"/>
            <w:shd w:val="clear" w:color="auto" w:fill="BFBFBF" w:themeFill="background1" w:themeFillShade="BF"/>
            <w:vAlign w:val="center"/>
          </w:tcPr>
          <w:p w14:paraId="1CEA0C7A" w14:textId="77777777" w:rsidR="007376E1" w:rsidRPr="001570EA" w:rsidRDefault="007376E1">
            <w:pPr>
              <w:keepNext/>
              <w:jc w:val="center"/>
              <w:rPr>
                <w:rFonts w:cs="Arial"/>
                <w:b/>
                <w:sz w:val="18"/>
                <w:szCs w:val="18"/>
              </w:rPr>
            </w:pPr>
            <w:r w:rsidRPr="001570EA">
              <w:rPr>
                <w:rFonts w:cs="Arial"/>
                <w:b/>
                <w:sz w:val="18"/>
                <w:szCs w:val="18"/>
              </w:rPr>
              <w:t>SEER2</w:t>
            </w:r>
            <w:r w:rsidRPr="001570EA">
              <w:rPr>
                <w:rFonts w:cs="Arial"/>
                <w:b/>
                <w:sz w:val="18"/>
                <w:szCs w:val="18"/>
                <w:vertAlign w:val="subscript"/>
              </w:rPr>
              <w:t>base</w:t>
            </w:r>
          </w:p>
        </w:tc>
        <w:tc>
          <w:tcPr>
            <w:tcW w:w="0" w:type="auto"/>
            <w:shd w:val="clear" w:color="auto" w:fill="BFBFBF" w:themeFill="background1" w:themeFillShade="BF"/>
            <w:vAlign w:val="center"/>
          </w:tcPr>
          <w:p w14:paraId="59ED5D57" w14:textId="77777777" w:rsidR="007376E1" w:rsidRPr="001570EA" w:rsidRDefault="007376E1">
            <w:pPr>
              <w:keepNext/>
              <w:jc w:val="center"/>
              <w:rPr>
                <w:rFonts w:cs="Arial"/>
                <w:b/>
                <w:sz w:val="18"/>
                <w:szCs w:val="18"/>
              </w:rPr>
            </w:pPr>
            <w:r w:rsidRPr="001570EA">
              <w:rPr>
                <w:rFonts w:cs="Arial"/>
                <w:b/>
                <w:sz w:val="18"/>
                <w:szCs w:val="18"/>
              </w:rPr>
              <w:t>EER2</w:t>
            </w:r>
            <w:r w:rsidRPr="001570EA">
              <w:rPr>
                <w:rFonts w:cs="Arial"/>
                <w:b/>
                <w:sz w:val="18"/>
                <w:szCs w:val="18"/>
                <w:vertAlign w:val="subscript"/>
              </w:rPr>
              <w:t>base</w:t>
            </w:r>
          </w:p>
        </w:tc>
        <w:tc>
          <w:tcPr>
            <w:tcW w:w="0" w:type="auto"/>
            <w:shd w:val="clear" w:color="auto" w:fill="BFBFBF" w:themeFill="background1" w:themeFillShade="BF"/>
            <w:vAlign w:val="center"/>
          </w:tcPr>
          <w:p w14:paraId="0222B537" w14:textId="77777777" w:rsidR="007376E1" w:rsidRPr="001570EA" w:rsidRDefault="007376E1">
            <w:pPr>
              <w:keepNext/>
              <w:jc w:val="center"/>
              <w:rPr>
                <w:rFonts w:cs="Arial"/>
                <w:b/>
                <w:sz w:val="18"/>
                <w:szCs w:val="18"/>
              </w:rPr>
            </w:pPr>
            <w:r w:rsidRPr="001570EA">
              <w:rPr>
                <w:rFonts w:cs="Arial"/>
                <w:b/>
                <w:sz w:val="18"/>
                <w:szCs w:val="18"/>
              </w:rPr>
              <w:t>HSPF2</w:t>
            </w:r>
            <w:r w:rsidRPr="001570EA">
              <w:rPr>
                <w:rFonts w:cs="Arial"/>
                <w:b/>
                <w:sz w:val="18"/>
                <w:szCs w:val="18"/>
                <w:vertAlign w:val="subscript"/>
              </w:rPr>
              <w:t>base</w:t>
            </w:r>
          </w:p>
        </w:tc>
        <w:tc>
          <w:tcPr>
            <w:tcW w:w="0" w:type="auto"/>
            <w:shd w:val="clear" w:color="auto" w:fill="BFBFBF" w:themeFill="background1" w:themeFillShade="BF"/>
            <w:vAlign w:val="center"/>
          </w:tcPr>
          <w:p w14:paraId="088EB3F5" w14:textId="77777777" w:rsidR="007376E1" w:rsidRPr="001570EA" w:rsidRDefault="007376E1">
            <w:pPr>
              <w:keepNext/>
              <w:jc w:val="center"/>
              <w:rPr>
                <w:rFonts w:cs="Arial"/>
                <w:b/>
                <w:sz w:val="18"/>
                <w:szCs w:val="18"/>
              </w:rPr>
            </w:pPr>
            <w:r w:rsidRPr="001570EA">
              <w:rPr>
                <w:rFonts w:cs="Arial"/>
                <w:b/>
                <w:sz w:val="18"/>
                <w:szCs w:val="18"/>
              </w:rPr>
              <w:t>SEER2</w:t>
            </w:r>
            <w:r w:rsidRPr="001570EA">
              <w:rPr>
                <w:rFonts w:cs="Arial"/>
                <w:b/>
                <w:sz w:val="18"/>
                <w:szCs w:val="18"/>
                <w:vertAlign w:val="subscript"/>
              </w:rPr>
              <w:t>base</w:t>
            </w:r>
          </w:p>
        </w:tc>
        <w:tc>
          <w:tcPr>
            <w:tcW w:w="0" w:type="auto"/>
            <w:shd w:val="clear" w:color="auto" w:fill="BFBFBF" w:themeFill="background1" w:themeFillShade="BF"/>
            <w:vAlign w:val="center"/>
          </w:tcPr>
          <w:p w14:paraId="659A8197" w14:textId="77777777" w:rsidR="007376E1" w:rsidRPr="001570EA" w:rsidRDefault="007376E1">
            <w:pPr>
              <w:keepNext/>
              <w:jc w:val="center"/>
              <w:rPr>
                <w:rFonts w:cs="Arial"/>
                <w:b/>
                <w:sz w:val="18"/>
                <w:szCs w:val="18"/>
              </w:rPr>
            </w:pPr>
            <w:r w:rsidRPr="001570EA">
              <w:rPr>
                <w:rFonts w:cs="Arial"/>
                <w:b/>
                <w:sz w:val="18"/>
                <w:szCs w:val="18"/>
              </w:rPr>
              <w:t>EER2</w:t>
            </w:r>
            <w:r w:rsidRPr="001570EA">
              <w:rPr>
                <w:rFonts w:cs="Arial"/>
                <w:b/>
                <w:sz w:val="18"/>
                <w:szCs w:val="18"/>
                <w:vertAlign w:val="subscript"/>
              </w:rPr>
              <w:t>base</w:t>
            </w:r>
          </w:p>
        </w:tc>
        <w:tc>
          <w:tcPr>
            <w:tcW w:w="0" w:type="auto"/>
            <w:shd w:val="clear" w:color="auto" w:fill="BFBFBF" w:themeFill="background1" w:themeFillShade="BF"/>
            <w:vAlign w:val="center"/>
          </w:tcPr>
          <w:p w14:paraId="736A688B" w14:textId="77777777" w:rsidR="007376E1" w:rsidRPr="001570EA" w:rsidRDefault="007376E1">
            <w:pPr>
              <w:keepNext/>
              <w:jc w:val="center"/>
              <w:rPr>
                <w:rFonts w:cs="Arial"/>
                <w:b/>
                <w:sz w:val="18"/>
                <w:szCs w:val="18"/>
              </w:rPr>
            </w:pPr>
            <w:r w:rsidRPr="001570EA">
              <w:rPr>
                <w:rFonts w:cs="Arial"/>
                <w:b/>
                <w:sz w:val="18"/>
                <w:szCs w:val="18"/>
              </w:rPr>
              <w:t>HSPF2</w:t>
            </w:r>
            <w:r w:rsidRPr="001570EA">
              <w:rPr>
                <w:rFonts w:cs="Arial"/>
                <w:b/>
                <w:sz w:val="18"/>
                <w:szCs w:val="18"/>
                <w:vertAlign w:val="subscript"/>
              </w:rPr>
              <w:t>base</w:t>
            </w:r>
          </w:p>
        </w:tc>
      </w:tr>
      <w:tr w:rsidR="007376E1" w:rsidRPr="001570EA" w14:paraId="392954A3" w14:textId="77777777">
        <w:trPr>
          <w:trHeight w:val="299"/>
        </w:trPr>
        <w:tc>
          <w:tcPr>
            <w:tcW w:w="0" w:type="auto"/>
            <w:vAlign w:val="center"/>
          </w:tcPr>
          <w:p w14:paraId="3CF901EB" w14:textId="77777777" w:rsidR="007376E1" w:rsidRPr="001570EA" w:rsidRDefault="007376E1">
            <w:pPr>
              <w:keepNext/>
              <w:rPr>
                <w:rFonts w:cs="Arial"/>
                <w:sz w:val="18"/>
                <w:szCs w:val="18"/>
              </w:rPr>
            </w:pPr>
            <w:r w:rsidRPr="001570EA">
              <w:rPr>
                <w:rFonts w:cs="Arial"/>
                <w:sz w:val="18"/>
                <w:szCs w:val="18"/>
              </w:rPr>
              <w:t>Ductless</w:t>
            </w:r>
          </w:p>
        </w:tc>
        <w:tc>
          <w:tcPr>
            <w:tcW w:w="0" w:type="auto"/>
            <w:vAlign w:val="center"/>
          </w:tcPr>
          <w:p w14:paraId="37CB6DD6" w14:textId="77777777" w:rsidR="007376E1" w:rsidRPr="001570EA" w:rsidRDefault="007376E1">
            <w:pPr>
              <w:keepNext/>
              <w:tabs>
                <w:tab w:val="left" w:pos="522"/>
              </w:tabs>
              <w:jc w:val="center"/>
              <w:rPr>
                <w:rFonts w:cs="Arial"/>
                <w:sz w:val="18"/>
                <w:szCs w:val="18"/>
              </w:rPr>
            </w:pPr>
            <w:r w:rsidRPr="001570EA">
              <w:rPr>
                <w:rFonts w:cs="Arial"/>
                <w:sz w:val="18"/>
                <w:szCs w:val="18"/>
              </w:rPr>
              <w:t>14.3</w:t>
            </w:r>
          </w:p>
        </w:tc>
        <w:tc>
          <w:tcPr>
            <w:tcW w:w="0" w:type="auto"/>
            <w:vAlign w:val="center"/>
          </w:tcPr>
          <w:p w14:paraId="12417FF0" w14:textId="77777777" w:rsidR="007376E1" w:rsidRPr="001570EA" w:rsidRDefault="007376E1">
            <w:pPr>
              <w:keepNext/>
              <w:tabs>
                <w:tab w:val="left" w:pos="522"/>
              </w:tabs>
              <w:jc w:val="center"/>
              <w:rPr>
                <w:rFonts w:cs="Arial"/>
                <w:sz w:val="18"/>
                <w:szCs w:val="18"/>
              </w:rPr>
            </w:pPr>
            <w:r w:rsidRPr="001570EA">
              <w:rPr>
                <w:rFonts w:cs="Arial"/>
                <w:sz w:val="18"/>
                <w:szCs w:val="18"/>
              </w:rPr>
              <w:t>11.3</w:t>
            </w:r>
          </w:p>
        </w:tc>
        <w:tc>
          <w:tcPr>
            <w:tcW w:w="0" w:type="auto"/>
            <w:vAlign w:val="center"/>
          </w:tcPr>
          <w:p w14:paraId="75D5E1D1" w14:textId="77777777" w:rsidR="007376E1" w:rsidRPr="001570EA" w:rsidRDefault="007376E1">
            <w:pPr>
              <w:keepNext/>
              <w:tabs>
                <w:tab w:val="left" w:pos="522"/>
              </w:tabs>
              <w:jc w:val="center"/>
              <w:rPr>
                <w:rFonts w:cs="Arial"/>
                <w:sz w:val="18"/>
                <w:szCs w:val="18"/>
              </w:rPr>
            </w:pPr>
            <w:r w:rsidRPr="001570EA">
              <w:rPr>
                <w:rFonts w:cs="Arial"/>
                <w:sz w:val="18"/>
                <w:szCs w:val="18"/>
              </w:rPr>
              <w:t>7.5</w:t>
            </w:r>
          </w:p>
        </w:tc>
        <w:tc>
          <w:tcPr>
            <w:tcW w:w="0" w:type="auto"/>
            <w:vAlign w:val="center"/>
          </w:tcPr>
          <w:p w14:paraId="294501A5" w14:textId="77777777" w:rsidR="007376E1" w:rsidRPr="001570EA" w:rsidRDefault="007376E1">
            <w:pPr>
              <w:keepNext/>
              <w:tabs>
                <w:tab w:val="left" w:pos="522"/>
              </w:tabs>
              <w:jc w:val="center"/>
              <w:rPr>
                <w:rFonts w:cs="Arial"/>
                <w:sz w:val="18"/>
                <w:szCs w:val="18"/>
              </w:rPr>
            </w:pPr>
            <w:r w:rsidRPr="001570EA">
              <w:rPr>
                <w:rFonts w:cs="Arial"/>
                <w:sz w:val="18"/>
                <w:szCs w:val="18"/>
              </w:rPr>
              <w:t>14.3</w:t>
            </w:r>
          </w:p>
        </w:tc>
        <w:tc>
          <w:tcPr>
            <w:tcW w:w="0" w:type="auto"/>
            <w:vAlign w:val="center"/>
          </w:tcPr>
          <w:p w14:paraId="575CCE03" w14:textId="77777777" w:rsidR="007376E1" w:rsidRPr="001570EA" w:rsidRDefault="007376E1">
            <w:pPr>
              <w:keepNext/>
              <w:tabs>
                <w:tab w:val="left" w:pos="522"/>
              </w:tabs>
              <w:jc w:val="center"/>
              <w:rPr>
                <w:rFonts w:cs="Arial"/>
                <w:sz w:val="18"/>
                <w:szCs w:val="18"/>
              </w:rPr>
            </w:pPr>
            <w:r w:rsidRPr="001570EA">
              <w:rPr>
                <w:rFonts w:cs="Arial"/>
                <w:sz w:val="18"/>
                <w:szCs w:val="18"/>
              </w:rPr>
              <w:t>11.7</w:t>
            </w:r>
          </w:p>
        </w:tc>
        <w:tc>
          <w:tcPr>
            <w:tcW w:w="0" w:type="auto"/>
            <w:vAlign w:val="center"/>
          </w:tcPr>
          <w:p w14:paraId="1E583656" w14:textId="77777777" w:rsidR="007376E1" w:rsidRPr="001570EA" w:rsidRDefault="007376E1">
            <w:pPr>
              <w:keepNext/>
              <w:tabs>
                <w:tab w:val="left" w:pos="522"/>
              </w:tabs>
              <w:jc w:val="center"/>
              <w:rPr>
                <w:rFonts w:cs="Arial"/>
                <w:sz w:val="18"/>
                <w:szCs w:val="18"/>
              </w:rPr>
            </w:pPr>
            <w:r w:rsidRPr="001570EA">
              <w:rPr>
                <w:rFonts w:cs="Arial"/>
                <w:sz w:val="18"/>
                <w:szCs w:val="18"/>
              </w:rPr>
              <w:t>7.5</w:t>
            </w:r>
          </w:p>
        </w:tc>
      </w:tr>
    </w:tbl>
    <w:p w14:paraId="01A0D16D" w14:textId="1C4249A6" w:rsidR="007376E1" w:rsidRPr="001570EA" w:rsidRDefault="007376E1" w:rsidP="007376E1">
      <w:r w:rsidRPr="001570EA">
        <w:t xml:space="preserve">Note: Early </w:t>
      </w:r>
      <w:r w:rsidR="006738BD">
        <w:t>R</w:t>
      </w:r>
      <w:r w:rsidRPr="001570EA">
        <w:t xml:space="preserve">eplacement defaults, though stemming from the </w:t>
      </w:r>
      <w:r w:rsidR="00C2551A">
        <w:t xml:space="preserve">Act 129 2023 Pennsylvania Residential </w:t>
      </w:r>
      <w:r w:rsidRPr="001570EA">
        <w:t xml:space="preserve">Baseline </w:t>
      </w:r>
      <w:r w:rsidR="00C2551A" w:rsidRPr="001570EA">
        <w:t>Study</w:t>
      </w:r>
      <w:r w:rsidRPr="001570EA">
        <w:t xml:space="preserve">, have been capped to New </w:t>
      </w:r>
      <w:r w:rsidR="002943F3">
        <w:t>C</w:t>
      </w:r>
      <w:r w:rsidRPr="001570EA">
        <w:t>onstruction/Replace on Burnout values (Federal standards)</w:t>
      </w:r>
    </w:p>
    <w:p w14:paraId="118EFEC5" w14:textId="77777777" w:rsidR="007376E1" w:rsidRPr="001570EA" w:rsidRDefault="007376E1" w:rsidP="007376E1"/>
    <w:p w14:paraId="35D07993" w14:textId="45C31E97" w:rsidR="007376E1" w:rsidRPr="001570EA" w:rsidRDefault="007376E1" w:rsidP="007376E1">
      <w:pPr>
        <w:pStyle w:val="Caption"/>
      </w:pPr>
      <w:bookmarkStart w:id="215" w:name="_Ref531955110"/>
      <w:bookmarkStart w:id="216" w:name="_Ref10729467"/>
      <w:bookmarkStart w:id="217" w:name="_Toc4759825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19</w:t>
      </w:r>
      <w:r w:rsidR="002E093A" w:rsidRPr="001570EA">
        <w:fldChar w:fldCharType="end"/>
      </w:r>
      <w:bookmarkEnd w:id="215"/>
      <w:bookmarkEnd w:id="216"/>
      <w:r w:rsidRPr="001570EA">
        <w:t>: Oversize and Duct Leakage Factors for High Efficiency Equipment</w:t>
      </w:r>
      <w:bookmarkEnd w:id="217"/>
    </w:p>
    <w:tbl>
      <w:tblPr>
        <w:tblStyle w:val="TableGrid"/>
        <w:tblW w:w="8610" w:type="dxa"/>
        <w:tblInd w:w="115" w:type="dxa"/>
        <w:tblLayout w:type="fixed"/>
        <w:tblLook w:val="04A0" w:firstRow="1" w:lastRow="0" w:firstColumn="1" w:lastColumn="0" w:noHBand="0" w:noVBand="1"/>
      </w:tblPr>
      <w:tblGrid>
        <w:gridCol w:w="870"/>
        <w:gridCol w:w="720"/>
        <w:gridCol w:w="720"/>
        <w:gridCol w:w="990"/>
        <w:gridCol w:w="1170"/>
        <w:gridCol w:w="1080"/>
        <w:gridCol w:w="1350"/>
        <w:gridCol w:w="681"/>
        <w:gridCol w:w="1029"/>
      </w:tblGrid>
      <w:tr w:rsidR="007376E1" w:rsidRPr="001570EA" w14:paraId="48BFBB04" w14:textId="77777777">
        <w:tc>
          <w:tcPr>
            <w:tcW w:w="870" w:type="dxa"/>
            <w:shd w:val="clear" w:color="auto" w:fill="BFBFBF" w:themeFill="background1" w:themeFillShade="BF"/>
            <w:vAlign w:val="center"/>
          </w:tcPr>
          <w:p w14:paraId="19D4CF9D" w14:textId="77777777" w:rsidR="007376E1" w:rsidRPr="001570EA" w:rsidRDefault="007376E1">
            <w:pPr>
              <w:keepNext/>
              <w:jc w:val="center"/>
              <w:rPr>
                <w:rFonts w:cs="Arial"/>
                <w:b/>
                <w:sz w:val="18"/>
                <w:szCs w:val="18"/>
              </w:rPr>
            </w:pPr>
            <w:r w:rsidRPr="001570EA">
              <w:rPr>
                <w:rFonts w:cs="Arial"/>
                <w:b/>
                <w:sz w:val="18"/>
                <w:szCs w:val="18"/>
              </w:rPr>
              <w:t>Factors</w:t>
            </w:r>
          </w:p>
        </w:tc>
        <w:tc>
          <w:tcPr>
            <w:tcW w:w="720" w:type="dxa"/>
            <w:shd w:val="clear" w:color="auto" w:fill="BFBFBF" w:themeFill="background1" w:themeFillShade="BF"/>
            <w:vAlign w:val="center"/>
          </w:tcPr>
          <w:p w14:paraId="142D75AE" w14:textId="77777777" w:rsidR="007376E1" w:rsidRPr="001570EA" w:rsidRDefault="007376E1">
            <w:pPr>
              <w:keepNext/>
              <w:jc w:val="center"/>
              <w:rPr>
                <w:rFonts w:cs="Arial"/>
                <w:b/>
                <w:sz w:val="18"/>
                <w:szCs w:val="18"/>
              </w:rPr>
            </w:pPr>
            <w:r w:rsidRPr="001570EA">
              <w:rPr>
                <w:rFonts w:cs="Arial"/>
                <w:b/>
                <w:sz w:val="18"/>
                <w:szCs w:val="18"/>
              </w:rPr>
              <w:t>ASHP</w:t>
            </w:r>
          </w:p>
        </w:tc>
        <w:tc>
          <w:tcPr>
            <w:tcW w:w="720" w:type="dxa"/>
            <w:shd w:val="clear" w:color="auto" w:fill="BFBFBF" w:themeFill="background1" w:themeFillShade="BF"/>
            <w:vAlign w:val="center"/>
          </w:tcPr>
          <w:p w14:paraId="2F085E2B" w14:textId="77777777" w:rsidR="007376E1" w:rsidRPr="001570EA" w:rsidRDefault="007376E1">
            <w:pPr>
              <w:keepNext/>
              <w:jc w:val="center"/>
              <w:rPr>
                <w:rFonts w:cs="Arial"/>
                <w:b/>
                <w:sz w:val="18"/>
                <w:szCs w:val="18"/>
              </w:rPr>
            </w:pPr>
            <w:r w:rsidRPr="001570EA">
              <w:rPr>
                <w:rFonts w:cs="Arial"/>
                <w:b/>
                <w:sz w:val="18"/>
                <w:szCs w:val="18"/>
              </w:rPr>
              <w:t>CAC</w:t>
            </w:r>
          </w:p>
        </w:tc>
        <w:tc>
          <w:tcPr>
            <w:tcW w:w="990" w:type="dxa"/>
            <w:shd w:val="clear" w:color="auto" w:fill="BFBFBF" w:themeFill="background1" w:themeFillShade="BF"/>
            <w:vAlign w:val="center"/>
          </w:tcPr>
          <w:p w14:paraId="6F1155CF" w14:textId="77777777" w:rsidR="007376E1" w:rsidRPr="001570EA" w:rsidRDefault="007376E1">
            <w:pPr>
              <w:keepNext/>
              <w:jc w:val="center"/>
              <w:rPr>
                <w:rFonts w:cs="Arial"/>
                <w:b/>
                <w:sz w:val="18"/>
                <w:szCs w:val="18"/>
              </w:rPr>
            </w:pPr>
            <w:r w:rsidRPr="001570EA">
              <w:rPr>
                <w:rFonts w:cs="Arial"/>
                <w:b/>
                <w:sz w:val="18"/>
                <w:szCs w:val="18"/>
              </w:rPr>
              <w:t>Ductless</w:t>
            </w:r>
          </w:p>
        </w:tc>
        <w:tc>
          <w:tcPr>
            <w:tcW w:w="1170" w:type="dxa"/>
            <w:shd w:val="clear" w:color="auto" w:fill="BFBFBF" w:themeFill="background1" w:themeFillShade="BF"/>
            <w:vAlign w:val="center"/>
          </w:tcPr>
          <w:p w14:paraId="0715DD44" w14:textId="77777777" w:rsidR="007376E1" w:rsidRPr="001570EA" w:rsidRDefault="007376E1">
            <w:pPr>
              <w:keepNext/>
              <w:jc w:val="center"/>
              <w:rPr>
                <w:rFonts w:cs="Arial"/>
                <w:b/>
                <w:sz w:val="18"/>
                <w:szCs w:val="18"/>
              </w:rPr>
            </w:pPr>
            <w:r w:rsidRPr="001570EA">
              <w:rPr>
                <w:rFonts w:cs="Arial"/>
                <w:b/>
                <w:sz w:val="18"/>
                <w:szCs w:val="18"/>
              </w:rPr>
              <w:t>Electric Baseboard</w:t>
            </w:r>
          </w:p>
        </w:tc>
        <w:tc>
          <w:tcPr>
            <w:tcW w:w="1080" w:type="dxa"/>
            <w:shd w:val="clear" w:color="auto" w:fill="BFBFBF" w:themeFill="background1" w:themeFillShade="BF"/>
            <w:vAlign w:val="center"/>
          </w:tcPr>
          <w:p w14:paraId="6CD61EF1" w14:textId="77777777" w:rsidR="007376E1" w:rsidRPr="001570EA" w:rsidRDefault="007376E1">
            <w:pPr>
              <w:keepNext/>
              <w:jc w:val="center"/>
              <w:rPr>
                <w:rFonts w:cs="Arial"/>
                <w:b/>
                <w:sz w:val="18"/>
                <w:szCs w:val="18"/>
              </w:rPr>
            </w:pPr>
            <w:r w:rsidRPr="001570EA">
              <w:rPr>
                <w:rFonts w:cs="Arial"/>
                <w:b/>
                <w:sz w:val="18"/>
                <w:szCs w:val="18"/>
              </w:rPr>
              <w:t>Electric Furnace</w:t>
            </w:r>
          </w:p>
        </w:tc>
        <w:tc>
          <w:tcPr>
            <w:tcW w:w="1350" w:type="dxa"/>
            <w:shd w:val="clear" w:color="auto" w:fill="BFBFBF" w:themeFill="background1" w:themeFillShade="BF"/>
            <w:vAlign w:val="center"/>
          </w:tcPr>
          <w:p w14:paraId="6D6DE7F4" w14:textId="77777777" w:rsidR="007376E1" w:rsidRPr="001570EA" w:rsidRDefault="007376E1">
            <w:pPr>
              <w:keepNext/>
              <w:jc w:val="center"/>
              <w:rPr>
                <w:rFonts w:cs="Arial"/>
                <w:b/>
                <w:sz w:val="18"/>
                <w:szCs w:val="18"/>
              </w:rPr>
            </w:pPr>
            <w:r w:rsidRPr="001570EA">
              <w:rPr>
                <w:rFonts w:cs="Arial"/>
                <w:b/>
                <w:sz w:val="18"/>
                <w:szCs w:val="18"/>
              </w:rPr>
              <w:t>New Construction</w:t>
            </w:r>
          </w:p>
        </w:tc>
        <w:tc>
          <w:tcPr>
            <w:tcW w:w="681" w:type="dxa"/>
            <w:shd w:val="clear" w:color="auto" w:fill="BFBFBF" w:themeFill="background1" w:themeFillShade="BF"/>
            <w:vAlign w:val="center"/>
          </w:tcPr>
          <w:p w14:paraId="2C6864C4" w14:textId="77777777" w:rsidR="007376E1" w:rsidRPr="001570EA" w:rsidRDefault="007376E1">
            <w:pPr>
              <w:keepNext/>
              <w:jc w:val="center"/>
              <w:rPr>
                <w:rFonts w:cs="Arial"/>
                <w:b/>
                <w:sz w:val="18"/>
                <w:szCs w:val="18"/>
              </w:rPr>
            </w:pPr>
            <w:r w:rsidRPr="001570EA">
              <w:rPr>
                <w:rFonts w:cs="Arial"/>
                <w:b/>
                <w:sz w:val="18"/>
                <w:szCs w:val="18"/>
              </w:rPr>
              <w:t>RAC</w:t>
            </w:r>
          </w:p>
        </w:tc>
        <w:tc>
          <w:tcPr>
            <w:tcW w:w="1029" w:type="dxa"/>
            <w:shd w:val="clear" w:color="auto" w:fill="BFBFBF" w:themeFill="background1" w:themeFillShade="BF"/>
            <w:vAlign w:val="center"/>
          </w:tcPr>
          <w:p w14:paraId="3BEE870C" w14:textId="77777777" w:rsidR="007376E1" w:rsidRPr="001570EA" w:rsidRDefault="007376E1">
            <w:pPr>
              <w:keepNext/>
              <w:jc w:val="center"/>
              <w:rPr>
                <w:rFonts w:cs="Arial"/>
                <w:b/>
                <w:sz w:val="18"/>
                <w:szCs w:val="18"/>
              </w:rPr>
            </w:pPr>
            <w:r w:rsidRPr="001570EA">
              <w:rPr>
                <w:rFonts w:cs="Arial"/>
                <w:b/>
                <w:sz w:val="18"/>
                <w:szCs w:val="18"/>
              </w:rPr>
              <w:t>Space Heaters</w:t>
            </w:r>
          </w:p>
        </w:tc>
      </w:tr>
      <w:tr w:rsidR="007376E1" w:rsidRPr="001570EA" w14:paraId="6304ED8F" w14:textId="77777777">
        <w:tc>
          <w:tcPr>
            <w:tcW w:w="870" w:type="dxa"/>
            <w:vAlign w:val="center"/>
          </w:tcPr>
          <w:p w14:paraId="7E765241" w14:textId="77777777" w:rsidR="007376E1" w:rsidRPr="001570EA" w:rsidRDefault="007376E1">
            <w:pPr>
              <w:keepNext/>
              <w:rPr>
                <w:rFonts w:cs="Arial"/>
                <w:i/>
                <w:sz w:val="18"/>
                <w:szCs w:val="18"/>
              </w:rPr>
            </w:pPr>
            <w:r w:rsidRPr="001570EA">
              <w:rPr>
                <w:rFonts w:cs="Arial"/>
                <w:i/>
                <w:sz w:val="18"/>
                <w:szCs w:val="18"/>
              </w:rPr>
              <w:t>DLF</w:t>
            </w:r>
          </w:p>
        </w:tc>
        <w:tc>
          <w:tcPr>
            <w:tcW w:w="720" w:type="dxa"/>
          </w:tcPr>
          <w:p w14:paraId="1C3E8499" w14:textId="77777777" w:rsidR="007376E1" w:rsidRPr="001570EA" w:rsidRDefault="007376E1">
            <w:pPr>
              <w:keepNext/>
              <w:tabs>
                <w:tab w:val="left" w:pos="522"/>
              </w:tabs>
              <w:jc w:val="center"/>
              <w:rPr>
                <w:rFonts w:cs="Arial"/>
                <w:sz w:val="18"/>
                <w:szCs w:val="18"/>
              </w:rPr>
            </w:pPr>
            <w:r w:rsidRPr="001570EA">
              <w:rPr>
                <w:rFonts w:cs="Arial"/>
                <w:sz w:val="18"/>
                <w:szCs w:val="18"/>
              </w:rPr>
              <w:t>1.15</w:t>
            </w:r>
          </w:p>
        </w:tc>
        <w:tc>
          <w:tcPr>
            <w:tcW w:w="720" w:type="dxa"/>
          </w:tcPr>
          <w:p w14:paraId="25719429" w14:textId="77777777" w:rsidR="007376E1" w:rsidRPr="001570EA" w:rsidRDefault="007376E1">
            <w:pPr>
              <w:keepNext/>
              <w:tabs>
                <w:tab w:val="left" w:pos="522"/>
              </w:tabs>
              <w:jc w:val="center"/>
              <w:rPr>
                <w:rFonts w:cs="Arial"/>
                <w:sz w:val="18"/>
                <w:szCs w:val="18"/>
              </w:rPr>
            </w:pPr>
            <w:r w:rsidRPr="001570EA">
              <w:rPr>
                <w:rFonts w:cs="Arial"/>
                <w:sz w:val="18"/>
                <w:szCs w:val="18"/>
              </w:rPr>
              <w:t>1.15</w:t>
            </w:r>
          </w:p>
        </w:tc>
        <w:tc>
          <w:tcPr>
            <w:tcW w:w="990" w:type="dxa"/>
          </w:tcPr>
          <w:p w14:paraId="114DB3AD"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c>
          <w:tcPr>
            <w:tcW w:w="1170" w:type="dxa"/>
          </w:tcPr>
          <w:p w14:paraId="6CF2B1F6"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c>
          <w:tcPr>
            <w:tcW w:w="1080" w:type="dxa"/>
          </w:tcPr>
          <w:p w14:paraId="35A21A76" w14:textId="77777777" w:rsidR="007376E1" w:rsidRPr="001570EA" w:rsidRDefault="007376E1">
            <w:pPr>
              <w:keepNext/>
              <w:tabs>
                <w:tab w:val="left" w:pos="522"/>
              </w:tabs>
              <w:jc w:val="center"/>
              <w:rPr>
                <w:rFonts w:cs="Arial"/>
                <w:sz w:val="18"/>
                <w:szCs w:val="18"/>
              </w:rPr>
            </w:pPr>
            <w:r w:rsidRPr="001570EA">
              <w:rPr>
                <w:rFonts w:cs="Arial"/>
                <w:sz w:val="18"/>
                <w:szCs w:val="18"/>
              </w:rPr>
              <w:t>1.15</w:t>
            </w:r>
          </w:p>
        </w:tc>
        <w:tc>
          <w:tcPr>
            <w:tcW w:w="1350" w:type="dxa"/>
          </w:tcPr>
          <w:p w14:paraId="26DDF085"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c>
          <w:tcPr>
            <w:tcW w:w="681" w:type="dxa"/>
          </w:tcPr>
          <w:p w14:paraId="2B60D504"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c>
          <w:tcPr>
            <w:tcW w:w="1029" w:type="dxa"/>
          </w:tcPr>
          <w:p w14:paraId="3CD8C4DC"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r>
      <w:tr w:rsidR="007376E1" w:rsidRPr="001570EA" w14:paraId="11201A62" w14:textId="77777777">
        <w:tc>
          <w:tcPr>
            <w:tcW w:w="870" w:type="dxa"/>
            <w:vAlign w:val="center"/>
          </w:tcPr>
          <w:p w14:paraId="4F1A6549" w14:textId="77777777" w:rsidR="007376E1" w:rsidRPr="001570EA" w:rsidRDefault="007376E1">
            <w:pPr>
              <w:keepNext/>
              <w:rPr>
                <w:rFonts w:cs="Arial"/>
                <w:sz w:val="18"/>
                <w:szCs w:val="18"/>
              </w:rPr>
            </w:pPr>
            <w:r w:rsidRPr="001570EA">
              <w:rPr>
                <w:rFonts w:cs="Arial"/>
                <w:i/>
                <w:sz w:val="18"/>
                <w:szCs w:val="18"/>
              </w:rPr>
              <w:t>OF</w:t>
            </w:r>
            <w:r w:rsidRPr="001570EA">
              <w:rPr>
                <w:rFonts w:cs="Arial"/>
                <w:i/>
                <w:sz w:val="18"/>
                <w:szCs w:val="18"/>
                <w:vertAlign w:val="subscript"/>
              </w:rPr>
              <w:t>heat</w:t>
            </w:r>
          </w:p>
        </w:tc>
        <w:tc>
          <w:tcPr>
            <w:tcW w:w="720" w:type="dxa"/>
          </w:tcPr>
          <w:p w14:paraId="42AC6F4C"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c>
          <w:tcPr>
            <w:tcW w:w="720" w:type="dxa"/>
          </w:tcPr>
          <w:p w14:paraId="6C367EEA" w14:textId="77777777" w:rsidR="007376E1" w:rsidRPr="001570EA" w:rsidRDefault="007376E1">
            <w:pPr>
              <w:keepNext/>
              <w:tabs>
                <w:tab w:val="left" w:pos="522"/>
              </w:tabs>
              <w:jc w:val="center"/>
              <w:rPr>
                <w:rFonts w:cs="Arial"/>
                <w:sz w:val="18"/>
                <w:szCs w:val="18"/>
              </w:rPr>
            </w:pPr>
            <w:r w:rsidRPr="001570EA">
              <w:rPr>
                <w:rFonts w:cs="Arial"/>
                <w:sz w:val="18"/>
                <w:szCs w:val="18"/>
              </w:rPr>
              <w:t>0</w:t>
            </w:r>
          </w:p>
        </w:tc>
        <w:tc>
          <w:tcPr>
            <w:tcW w:w="990" w:type="dxa"/>
          </w:tcPr>
          <w:p w14:paraId="01AFBBB7"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c>
          <w:tcPr>
            <w:tcW w:w="1170" w:type="dxa"/>
          </w:tcPr>
          <w:p w14:paraId="4DC113C0"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c>
          <w:tcPr>
            <w:tcW w:w="1080" w:type="dxa"/>
          </w:tcPr>
          <w:p w14:paraId="031F9668"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c>
          <w:tcPr>
            <w:tcW w:w="1350" w:type="dxa"/>
          </w:tcPr>
          <w:p w14:paraId="6DD9BC3D"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c>
          <w:tcPr>
            <w:tcW w:w="681" w:type="dxa"/>
          </w:tcPr>
          <w:p w14:paraId="551773A9" w14:textId="77777777" w:rsidR="007376E1" w:rsidRPr="001570EA" w:rsidRDefault="007376E1">
            <w:pPr>
              <w:keepNext/>
              <w:tabs>
                <w:tab w:val="left" w:pos="522"/>
              </w:tabs>
              <w:jc w:val="center"/>
              <w:rPr>
                <w:rFonts w:cs="Arial"/>
                <w:sz w:val="18"/>
                <w:szCs w:val="18"/>
              </w:rPr>
            </w:pPr>
            <w:r w:rsidRPr="001570EA">
              <w:rPr>
                <w:rFonts w:cs="Arial"/>
                <w:sz w:val="18"/>
                <w:szCs w:val="18"/>
              </w:rPr>
              <w:t>0</w:t>
            </w:r>
          </w:p>
        </w:tc>
        <w:tc>
          <w:tcPr>
            <w:tcW w:w="1029" w:type="dxa"/>
          </w:tcPr>
          <w:p w14:paraId="7FBD02C4" w14:textId="77777777" w:rsidR="007376E1" w:rsidRPr="001570EA" w:rsidRDefault="007376E1">
            <w:pPr>
              <w:keepNext/>
              <w:tabs>
                <w:tab w:val="left" w:pos="522"/>
              </w:tabs>
              <w:jc w:val="center"/>
              <w:rPr>
                <w:rFonts w:cs="Arial"/>
                <w:sz w:val="18"/>
                <w:szCs w:val="18"/>
              </w:rPr>
            </w:pPr>
            <w:r w:rsidRPr="001570EA">
              <w:rPr>
                <w:rFonts w:cs="Arial"/>
                <w:sz w:val="18"/>
                <w:szCs w:val="18"/>
              </w:rPr>
              <w:t>0.6</w:t>
            </w:r>
          </w:p>
        </w:tc>
      </w:tr>
      <w:tr w:rsidR="007376E1" w:rsidRPr="001570EA" w14:paraId="4CE7CAF1" w14:textId="77777777">
        <w:tc>
          <w:tcPr>
            <w:tcW w:w="870" w:type="dxa"/>
            <w:vAlign w:val="center"/>
          </w:tcPr>
          <w:p w14:paraId="17A0DAC6" w14:textId="77777777" w:rsidR="007376E1" w:rsidRPr="001570EA" w:rsidRDefault="007376E1">
            <w:pPr>
              <w:keepNext/>
              <w:rPr>
                <w:rFonts w:cs="Arial"/>
                <w:sz w:val="18"/>
                <w:szCs w:val="18"/>
              </w:rPr>
            </w:pPr>
            <w:r w:rsidRPr="001570EA">
              <w:rPr>
                <w:rFonts w:cs="Arial"/>
                <w:i/>
                <w:sz w:val="18"/>
                <w:szCs w:val="18"/>
              </w:rPr>
              <w:t>OF</w:t>
            </w:r>
            <w:r w:rsidRPr="001570EA">
              <w:rPr>
                <w:rFonts w:cs="Arial"/>
                <w:i/>
                <w:sz w:val="18"/>
                <w:szCs w:val="18"/>
                <w:vertAlign w:val="subscript"/>
              </w:rPr>
              <w:t>cool</w:t>
            </w:r>
          </w:p>
        </w:tc>
        <w:tc>
          <w:tcPr>
            <w:tcW w:w="720" w:type="dxa"/>
          </w:tcPr>
          <w:p w14:paraId="10F5A81D"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c>
          <w:tcPr>
            <w:tcW w:w="720" w:type="dxa"/>
          </w:tcPr>
          <w:p w14:paraId="3B3F0D45"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c>
          <w:tcPr>
            <w:tcW w:w="990" w:type="dxa"/>
          </w:tcPr>
          <w:p w14:paraId="7CECD466"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c>
          <w:tcPr>
            <w:tcW w:w="1170" w:type="dxa"/>
          </w:tcPr>
          <w:p w14:paraId="249D4012" w14:textId="77777777" w:rsidR="007376E1" w:rsidRPr="001570EA" w:rsidRDefault="007376E1">
            <w:pPr>
              <w:keepNext/>
              <w:tabs>
                <w:tab w:val="left" w:pos="522"/>
              </w:tabs>
              <w:jc w:val="center"/>
              <w:rPr>
                <w:rFonts w:cs="Arial"/>
                <w:sz w:val="18"/>
                <w:szCs w:val="18"/>
              </w:rPr>
            </w:pPr>
            <w:r w:rsidRPr="001570EA">
              <w:rPr>
                <w:rFonts w:cs="Arial"/>
                <w:sz w:val="18"/>
                <w:szCs w:val="18"/>
              </w:rPr>
              <w:t>0</w:t>
            </w:r>
          </w:p>
        </w:tc>
        <w:tc>
          <w:tcPr>
            <w:tcW w:w="1080" w:type="dxa"/>
          </w:tcPr>
          <w:p w14:paraId="3FAFC57C" w14:textId="77777777" w:rsidR="007376E1" w:rsidRPr="001570EA" w:rsidRDefault="007376E1">
            <w:pPr>
              <w:keepNext/>
              <w:tabs>
                <w:tab w:val="left" w:pos="522"/>
              </w:tabs>
              <w:jc w:val="center"/>
              <w:rPr>
                <w:rFonts w:cs="Arial"/>
                <w:sz w:val="18"/>
                <w:szCs w:val="18"/>
              </w:rPr>
            </w:pPr>
            <w:r w:rsidRPr="001570EA">
              <w:rPr>
                <w:rFonts w:cs="Arial"/>
                <w:sz w:val="18"/>
                <w:szCs w:val="18"/>
              </w:rPr>
              <w:t>0</w:t>
            </w:r>
          </w:p>
        </w:tc>
        <w:tc>
          <w:tcPr>
            <w:tcW w:w="1350" w:type="dxa"/>
          </w:tcPr>
          <w:p w14:paraId="553802CF"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c>
          <w:tcPr>
            <w:tcW w:w="681" w:type="dxa"/>
          </w:tcPr>
          <w:p w14:paraId="60D09417" w14:textId="77777777" w:rsidR="007376E1" w:rsidRPr="001570EA" w:rsidRDefault="007376E1">
            <w:pPr>
              <w:keepNext/>
              <w:tabs>
                <w:tab w:val="left" w:pos="522"/>
              </w:tabs>
              <w:jc w:val="center"/>
              <w:rPr>
                <w:rFonts w:cs="Arial"/>
                <w:sz w:val="18"/>
                <w:szCs w:val="18"/>
              </w:rPr>
            </w:pPr>
            <w:r w:rsidRPr="001570EA">
              <w:rPr>
                <w:rFonts w:cs="Arial"/>
                <w:sz w:val="18"/>
                <w:szCs w:val="18"/>
              </w:rPr>
              <w:t>1</w:t>
            </w:r>
          </w:p>
        </w:tc>
        <w:tc>
          <w:tcPr>
            <w:tcW w:w="1029" w:type="dxa"/>
          </w:tcPr>
          <w:p w14:paraId="3CCE2ED7" w14:textId="77777777" w:rsidR="007376E1" w:rsidRPr="001570EA" w:rsidRDefault="007376E1">
            <w:pPr>
              <w:keepNext/>
              <w:tabs>
                <w:tab w:val="left" w:pos="522"/>
              </w:tabs>
              <w:jc w:val="center"/>
              <w:rPr>
                <w:rFonts w:cs="Arial"/>
                <w:sz w:val="18"/>
                <w:szCs w:val="18"/>
              </w:rPr>
            </w:pPr>
            <w:r w:rsidRPr="001570EA">
              <w:rPr>
                <w:rFonts w:cs="Arial"/>
                <w:sz w:val="18"/>
                <w:szCs w:val="18"/>
              </w:rPr>
              <w:t>0</w:t>
            </w:r>
          </w:p>
        </w:tc>
      </w:tr>
    </w:tbl>
    <w:p w14:paraId="73615B69" w14:textId="77777777" w:rsidR="007376E1" w:rsidRPr="001570EA" w:rsidRDefault="007376E1" w:rsidP="007376E1">
      <w:pPr>
        <w:pStyle w:val="Equation"/>
        <w:tabs>
          <w:tab w:val="clear" w:pos="2880"/>
          <w:tab w:val="left" w:pos="2160"/>
        </w:tabs>
        <w:rPr>
          <w:i w:val="0"/>
        </w:rPr>
      </w:pPr>
    </w:p>
    <w:p w14:paraId="78FCBF81" w14:textId="77777777" w:rsidR="007376E1" w:rsidRPr="001570EA" w:rsidRDefault="007376E1" w:rsidP="007376E1">
      <w:pPr>
        <w:pStyle w:val="SubStyle"/>
      </w:pPr>
      <w:r w:rsidRPr="001570EA">
        <w:t>Midstream Composite Baseline Calculations</w:t>
      </w:r>
    </w:p>
    <w:p w14:paraId="134BBB84" w14:textId="77777777" w:rsidR="007376E1" w:rsidRPr="001570EA" w:rsidRDefault="007376E1" w:rsidP="007376E1">
      <w:pPr>
        <w:pStyle w:val="FootnoteText"/>
        <w:rPr>
          <w:rFonts w:ascii="Arial" w:hAnsi="Arial" w:cs="Arial"/>
          <w:sz w:val="20"/>
        </w:rPr>
      </w:pPr>
      <w:r w:rsidRPr="001570EA">
        <w:rPr>
          <w:rFonts w:ascii="Arial" w:hAnsi="Arial" w:cs="Arial"/>
          <w:sz w:val="20"/>
        </w:rPr>
        <w:t xml:space="preserve">This measure estimates the baseline system using composite values calculated from historical participant data. </w:t>
      </w:r>
    </w:p>
    <w:p w14:paraId="5B656FF9" w14:textId="77777777" w:rsidR="007376E1" w:rsidRPr="001570EA" w:rsidRDefault="007376E1" w:rsidP="007376E1">
      <w:pPr>
        <w:pStyle w:val="FootnoteText"/>
        <w:rPr>
          <w:rFonts w:ascii="Arial" w:hAnsi="Arial" w:cs="Arial"/>
          <w:sz w:val="20"/>
        </w:rPr>
      </w:pPr>
    </w:p>
    <w:p w14:paraId="5D858610" w14:textId="36102E36" w:rsidR="007376E1" w:rsidRPr="001570EA" w:rsidRDefault="007376E1" w:rsidP="007376E1">
      <w:pPr>
        <w:pStyle w:val="FootnoteText"/>
        <w:rPr>
          <w:rFonts w:ascii="Arial" w:hAnsi="Arial" w:cs="Arial"/>
          <w:sz w:val="20"/>
        </w:rPr>
      </w:pPr>
      <w:r w:rsidRPr="001570EA">
        <w:rPr>
          <w:rFonts w:ascii="Arial" w:hAnsi="Arial" w:cs="Arial"/>
          <w:sz w:val="20"/>
        </w:rPr>
        <w:t xml:space="preserve">SEER2, EER2, and HSPF2 values are based on </w:t>
      </w:r>
      <w:r w:rsidR="004F53FD" w:rsidRPr="001570EA">
        <w:rPr>
          <w:rFonts w:ascii="Arial" w:hAnsi="Arial" w:cs="Arial"/>
          <w:sz w:val="20"/>
        </w:rPr>
        <w:fldChar w:fldCharType="begin"/>
      </w:r>
      <w:r w:rsidR="004F53FD" w:rsidRPr="001570EA">
        <w:rPr>
          <w:rFonts w:ascii="Arial" w:hAnsi="Arial" w:cs="Arial"/>
          <w:sz w:val="20"/>
        </w:rPr>
        <w:instrText xml:space="preserve"> REF _Ref163831985 \h  \* MERGEFORMAT </w:instrText>
      </w:r>
      <w:r w:rsidR="004F53FD" w:rsidRPr="001570EA">
        <w:rPr>
          <w:rFonts w:ascii="Arial" w:hAnsi="Arial" w:cs="Arial"/>
          <w:sz w:val="20"/>
        </w:rPr>
      </w:r>
      <w:r w:rsidR="004F53FD" w:rsidRPr="001570EA">
        <w:rPr>
          <w:rFonts w:ascii="Arial" w:hAnsi="Arial" w:cs="Arial"/>
          <w:sz w:val="20"/>
        </w:rPr>
        <w:fldChar w:fldCharType="separate"/>
      </w:r>
      <w:r w:rsidR="00384D95" w:rsidRPr="001570EA">
        <w:rPr>
          <w:rFonts w:ascii="Arial" w:hAnsi="Arial" w:cs="Arial"/>
          <w:sz w:val="20"/>
        </w:rPr>
        <w:t>Table 2</w:t>
      </w:r>
      <w:r w:rsidR="00384D95" w:rsidRPr="001570EA">
        <w:rPr>
          <w:rFonts w:ascii="Arial" w:hAnsi="Arial" w:cs="Arial"/>
          <w:sz w:val="20"/>
        </w:rPr>
        <w:noBreakHyphen/>
        <w:t>8</w:t>
      </w:r>
      <w:r w:rsidR="004F53FD" w:rsidRPr="001570EA">
        <w:rPr>
          <w:rFonts w:ascii="Arial" w:hAnsi="Arial" w:cs="Arial"/>
          <w:sz w:val="20"/>
        </w:rPr>
        <w:fldChar w:fldCharType="end"/>
      </w:r>
      <w:r w:rsidR="004F53FD" w:rsidRPr="001570EA">
        <w:rPr>
          <w:rFonts w:ascii="Arial" w:hAnsi="Arial" w:cs="Arial"/>
          <w:sz w:val="20"/>
        </w:rPr>
        <w:t xml:space="preserve"> </w:t>
      </w:r>
      <w:r w:rsidRPr="001570EA">
        <w:rPr>
          <w:rFonts w:ascii="Arial" w:hAnsi="Arial" w:cs="Arial"/>
          <w:sz w:val="20"/>
        </w:rPr>
        <w:t xml:space="preserve">new construction/replace on burnout vintages and the </w:t>
      </w:r>
      <w:r w:rsidR="00FD79B5">
        <w:rPr>
          <w:rFonts w:ascii="Arial" w:hAnsi="Arial" w:cs="Arial"/>
          <w:sz w:val="20"/>
        </w:rPr>
        <w:t>Act 129</w:t>
      </w:r>
      <w:r w:rsidR="004A6254">
        <w:rPr>
          <w:rFonts w:ascii="Arial" w:hAnsi="Arial" w:cs="Arial"/>
          <w:sz w:val="20"/>
        </w:rPr>
        <w:t xml:space="preserve"> </w:t>
      </w:r>
      <w:r w:rsidRPr="001570EA">
        <w:rPr>
          <w:rFonts w:ascii="Arial" w:hAnsi="Arial" w:cs="Arial"/>
          <w:sz w:val="20"/>
        </w:rPr>
        <w:t xml:space="preserve">2023 </w:t>
      </w:r>
      <w:r w:rsidR="004A6254">
        <w:rPr>
          <w:rFonts w:ascii="Arial" w:hAnsi="Arial" w:cs="Arial"/>
          <w:sz w:val="20"/>
        </w:rPr>
        <w:t>Pennsylvania</w:t>
      </w:r>
      <w:r w:rsidRPr="001570EA">
        <w:rPr>
          <w:rFonts w:ascii="Arial" w:hAnsi="Arial" w:cs="Arial"/>
          <w:sz w:val="20"/>
        </w:rPr>
        <w:t xml:space="preserve"> Residential Baseline Study for early replacement vintages.</w:t>
      </w:r>
      <w:r w:rsidRPr="001570EA">
        <w:rPr>
          <w:color w:val="000000"/>
          <w:vertAlign w:val="superscript"/>
        </w:rPr>
        <w:t>Source 3</w:t>
      </w:r>
      <w:r w:rsidRPr="001570EA">
        <w:t xml:space="preserve"> </w:t>
      </w:r>
      <w:r w:rsidRPr="001570EA">
        <w:rPr>
          <w:rFonts w:ascii="Arial" w:hAnsi="Arial" w:cs="Arial"/>
          <w:sz w:val="20"/>
        </w:rPr>
        <w:t xml:space="preserve"> </w:t>
      </w:r>
    </w:p>
    <w:p w14:paraId="6674EF26" w14:textId="77777777" w:rsidR="007376E1" w:rsidRPr="001570EA" w:rsidRDefault="007376E1" w:rsidP="007376E1">
      <w:pPr>
        <w:pStyle w:val="FootnoteText"/>
        <w:rPr>
          <w:rFonts w:ascii="Arial" w:hAnsi="Arial" w:cs="Arial"/>
          <w:sz w:val="20"/>
        </w:rPr>
      </w:pPr>
    </w:p>
    <w:p w14:paraId="2F076EC1" w14:textId="77777777" w:rsidR="007376E1" w:rsidRPr="001570EA" w:rsidRDefault="007376E1" w:rsidP="007376E1">
      <w:pPr>
        <w:pStyle w:val="FootnoteText"/>
        <w:rPr>
          <w:rFonts w:ascii="Arial" w:hAnsi="Arial" w:cs="Arial"/>
          <w:sz w:val="20"/>
        </w:rPr>
      </w:pPr>
      <w:r w:rsidRPr="001570EA">
        <w:rPr>
          <w:rFonts w:ascii="Arial" w:hAnsi="Arial" w:cs="Arial"/>
          <w:sz w:val="20"/>
        </w:rPr>
        <w:t xml:space="preserve">The composite EFLH values assume a 50/50 split between primary and secondary installations and are a weighted average of EFLH values in Appendix A: Climate Dependent Values. </w:t>
      </w:r>
    </w:p>
    <w:p w14:paraId="4B30B5CF" w14:textId="77777777" w:rsidR="007376E1" w:rsidRPr="001570EA" w:rsidRDefault="007376E1" w:rsidP="007376E1">
      <w:pPr>
        <w:pStyle w:val="FootnoteText"/>
        <w:rPr>
          <w:rFonts w:ascii="Arial" w:hAnsi="Arial" w:cs="Arial"/>
          <w:sz w:val="20"/>
        </w:rPr>
      </w:pPr>
    </w:p>
    <w:p w14:paraId="26BB9BEB" w14:textId="3F6384B6" w:rsidR="007376E1" w:rsidRPr="001570EA" w:rsidRDefault="007376E1" w:rsidP="007376E1">
      <w:pPr>
        <w:pStyle w:val="FootnoteText"/>
        <w:rPr>
          <w:rFonts w:ascii="Arial" w:hAnsi="Arial" w:cs="Arial"/>
          <w:sz w:val="20"/>
        </w:rPr>
      </w:pPr>
      <w:r w:rsidRPr="001570EA">
        <w:rPr>
          <w:rFonts w:ascii="Arial" w:hAnsi="Arial" w:cs="Arial"/>
          <w:sz w:val="20"/>
        </w:rPr>
        <w:fldChar w:fldCharType="begin"/>
      </w:r>
      <w:r w:rsidRPr="001570EA">
        <w:rPr>
          <w:rFonts w:ascii="Arial" w:hAnsi="Arial" w:cs="Arial"/>
          <w:sz w:val="20"/>
        </w:rPr>
        <w:instrText xml:space="preserve"> REF _Ref525115770 \h  \* MERGEFORMAT </w:instrText>
      </w:r>
      <w:r w:rsidRPr="001570EA">
        <w:rPr>
          <w:rFonts w:ascii="Arial" w:hAnsi="Arial" w:cs="Arial"/>
          <w:sz w:val="20"/>
        </w:rPr>
      </w:r>
      <w:r w:rsidRPr="001570EA">
        <w:rPr>
          <w:rFonts w:ascii="Arial" w:hAnsi="Arial" w:cs="Arial"/>
          <w:sz w:val="20"/>
        </w:rPr>
        <w:fldChar w:fldCharType="separate"/>
      </w:r>
      <w:r w:rsidR="00384D95" w:rsidRPr="001570EA">
        <w:rPr>
          <w:rFonts w:ascii="Arial" w:hAnsi="Arial" w:cs="Arial"/>
          <w:sz w:val="20"/>
        </w:rPr>
        <w:t>Table 2</w:t>
      </w:r>
      <w:r w:rsidR="00384D95" w:rsidRPr="001570EA">
        <w:rPr>
          <w:rFonts w:ascii="Arial" w:hAnsi="Arial" w:cs="Arial"/>
          <w:sz w:val="20"/>
        </w:rPr>
        <w:noBreakHyphen/>
        <w:t>20</w:t>
      </w:r>
      <w:r w:rsidR="00384D95" w:rsidRPr="001570EA">
        <w:t>: Midstream DHP – SEER2 and EER2 Baseline Splits</w:t>
      </w:r>
      <w:r w:rsidRPr="001570EA">
        <w:rPr>
          <w:rFonts w:ascii="Arial" w:hAnsi="Arial" w:cs="Arial"/>
          <w:sz w:val="20"/>
        </w:rPr>
        <w:fldChar w:fldCharType="end"/>
      </w:r>
      <w:r w:rsidRPr="001570EA">
        <w:rPr>
          <w:rFonts w:ascii="Arial" w:hAnsi="Arial" w:cs="Arial"/>
          <w:sz w:val="20"/>
        </w:rPr>
        <w:t xml:space="preserve"> through </w:t>
      </w:r>
      <w:r w:rsidRPr="001570EA">
        <w:rPr>
          <w:rFonts w:ascii="Arial" w:hAnsi="Arial" w:cs="Arial"/>
          <w:sz w:val="20"/>
        </w:rPr>
        <w:fldChar w:fldCharType="begin"/>
      </w:r>
      <w:r w:rsidRPr="001570EA">
        <w:rPr>
          <w:rFonts w:ascii="Arial" w:hAnsi="Arial" w:cs="Arial"/>
          <w:sz w:val="20"/>
        </w:rPr>
        <w:instrText xml:space="preserve"> REF _Ref535141298 \h  \* MERGEFORMAT </w:instrText>
      </w:r>
      <w:r w:rsidRPr="001570EA">
        <w:rPr>
          <w:rFonts w:ascii="Arial" w:hAnsi="Arial" w:cs="Arial"/>
          <w:sz w:val="20"/>
        </w:rPr>
      </w:r>
      <w:r w:rsidRPr="001570EA">
        <w:rPr>
          <w:rFonts w:ascii="Arial" w:hAnsi="Arial" w:cs="Arial"/>
          <w:sz w:val="20"/>
        </w:rPr>
        <w:fldChar w:fldCharType="separate"/>
      </w:r>
      <w:r w:rsidR="00384D95" w:rsidRPr="001570EA">
        <w:rPr>
          <w:rFonts w:ascii="Arial" w:hAnsi="Arial" w:cs="Arial"/>
          <w:sz w:val="20"/>
        </w:rPr>
        <w:t>Table 2</w:t>
      </w:r>
      <w:r w:rsidR="00384D95" w:rsidRPr="001570EA">
        <w:rPr>
          <w:rFonts w:ascii="Arial" w:hAnsi="Arial" w:cs="Arial"/>
          <w:sz w:val="20"/>
        </w:rPr>
        <w:noBreakHyphen/>
        <w:t>24</w:t>
      </w:r>
      <w:r w:rsidR="00384D95" w:rsidRPr="001570EA">
        <w:t>: Midstream DHP – Composite EFLH Values</w:t>
      </w:r>
      <w:r w:rsidRPr="001570EA">
        <w:rPr>
          <w:rFonts w:ascii="Arial" w:hAnsi="Arial" w:cs="Arial"/>
          <w:sz w:val="20"/>
        </w:rPr>
        <w:fldChar w:fldCharType="end"/>
      </w:r>
      <w:r w:rsidRPr="001570EA">
        <w:rPr>
          <w:rFonts w:ascii="Arial" w:hAnsi="Arial" w:cs="Arial"/>
          <w:sz w:val="20"/>
        </w:rPr>
        <w:t xml:space="preserve"> show the inputs for the calculation of each composite baseline value. The composite baseline values will be updated as needed from the downstream program participation data set. The split represents the approximate percentage of projects in the PECO and PPL territories that have the indicated Cooling Type. The split is calculated by dividing the number of projects with the indicated Cooling Type by the total number of projects in PECO PY8 to PY9 and PPL PY8 to PY10Q1 historical data set. The split is rounded to the nearest percent.</w:t>
      </w:r>
    </w:p>
    <w:p w14:paraId="0659586C" w14:textId="77777777" w:rsidR="007376E1" w:rsidRPr="001570EA" w:rsidRDefault="007376E1" w:rsidP="007376E1">
      <w:pPr>
        <w:pStyle w:val="FootnoteText"/>
        <w:rPr>
          <w:rFonts w:ascii="Arial" w:hAnsi="Arial" w:cs="Arial"/>
          <w:sz w:val="20"/>
        </w:rPr>
      </w:pPr>
    </w:p>
    <w:p w14:paraId="2CA1D6BE" w14:textId="32F1D629" w:rsidR="007376E1" w:rsidRPr="001570EA" w:rsidRDefault="007376E1" w:rsidP="007376E1">
      <w:pPr>
        <w:pStyle w:val="FootnoteText"/>
        <w:rPr>
          <w:rFonts w:ascii="Arial" w:hAnsi="Arial" w:cs="Arial"/>
          <w:sz w:val="20"/>
        </w:rPr>
      </w:pPr>
      <w:r w:rsidRPr="001570EA">
        <w:rPr>
          <w:rFonts w:ascii="Arial" w:hAnsi="Arial" w:cs="Arial"/>
          <w:sz w:val="20"/>
        </w:rPr>
        <w:t>The composite value</w:t>
      </w:r>
      <w:r w:rsidR="00045A65" w:rsidRPr="001570EA">
        <w:rPr>
          <w:rFonts w:ascii="Arial" w:hAnsi="Arial" w:cs="Arial"/>
          <w:sz w:val="20"/>
        </w:rPr>
        <w:t xml:space="preserve"> </w:t>
      </w:r>
      <w:r w:rsidRPr="001570EA">
        <w:rPr>
          <w:rFonts w:ascii="Arial" w:hAnsi="Arial" w:cs="Arial"/>
          <w:sz w:val="20"/>
        </w:rPr>
        <w:t xml:space="preserve">represents the weighted average of the system type based on the relative system splits. </w:t>
      </w:r>
    </w:p>
    <w:p w14:paraId="57B7F0A4" w14:textId="77777777" w:rsidR="007376E1" w:rsidRPr="001570EA" w:rsidRDefault="007376E1" w:rsidP="007376E1">
      <w:pPr>
        <w:pStyle w:val="FootnoteText"/>
        <w:rPr>
          <w:rFonts w:ascii="Arial" w:hAnsi="Arial" w:cs="Arial"/>
          <w:sz w:val="20"/>
        </w:rPr>
      </w:pPr>
    </w:p>
    <w:p w14:paraId="4697B791" w14:textId="25C99D58" w:rsidR="007376E1" w:rsidRPr="001570EA" w:rsidRDefault="007376E1" w:rsidP="007376E1">
      <w:pPr>
        <w:pStyle w:val="FootnoteText"/>
        <w:rPr>
          <w:rFonts w:ascii="Arial" w:hAnsi="Arial" w:cs="Arial"/>
          <w:sz w:val="20"/>
        </w:rPr>
      </w:pPr>
      <w:r w:rsidRPr="001570EA">
        <w:rPr>
          <w:rFonts w:ascii="Arial" w:hAnsi="Arial" w:cs="Arial"/>
          <w:sz w:val="20"/>
        </w:rPr>
        <w:t xml:space="preserve">For </w:t>
      </w:r>
      <w:r w:rsidR="00DE5B28" w:rsidRPr="001570EA">
        <w:rPr>
          <w:rFonts w:ascii="Arial" w:hAnsi="Arial" w:cs="Arial"/>
          <w:sz w:val="20"/>
        </w:rPr>
        <w:t>“</w:t>
      </w:r>
      <w:r w:rsidRPr="001570EA">
        <w:rPr>
          <w:rFonts w:ascii="Arial" w:hAnsi="Arial" w:cs="Arial"/>
          <w:sz w:val="20"/>
        </w:rPr>
        <w:t>No existing cooling</w:t>
      </w:r>
      <w:r w:rsidR="00DE5B28" w:rsidRPr="001570EA">
        <w:rPr>
          <w:rFonts w:ascii="Arial" w:hAnsi="Arial" w:cs="Arial"/>
          <w:sz w:val="20"/>
        </w:rPr>
        <w:t xml:space="preserve">” </w:t>
      </w:r>
      <w:r w:rsidRPr="001570EA">
        <w:rPr>
          <w:rFonts w:ascii="Arial" w:hAnsi="Arial" w:cs="Arial"/>
          <w:sz w:val="20"/>
        </w:rPr>
        <w:t xml:space="preserve">and </w:t>
      </w:r>
      <w:r w:rsidR="00DE5B28" w:rsidRPr="001570EA">
        <w:rPr>
          <w:rFonts w:ascii="Arial" w:hAnsi="Arial" w:cs="Arial"/>
          <w:sz w:val="20"/>
        </w:rPr>
        <w:t>“</w:t>
      </w:r>
      <w:r w:rsidRPr="001570EA">
        <w:rPr>
          <w:rFonts w:ascii="Arial" w:hAnsi="Arial" w:cs="Arial"/>
          <w:sz w:val="20"/>
        </w:rPr>
        <w:t>Room AC Cooling</w:t>
      </w:r>
      <w:r w:rsidR="00DE5B28" w:rsidRPr="001570EA">
        <w:rPr>
          <w:rFonts w:ascii="Arial" w:hAnsi="Arial" w:cs="Arial"/>
          <w:sz w:val="20"/>
        </w:rPr>
        <w:t xml:space="preserve">” </w:t>
      </w:r>
      <w:r w:rsidRPr="001570EA">
        <w:rPr>
          <w:rFonts w:ascii="Arial" w:hAnsi="Arial" w:cs="Arial"/>
          <w:sz w:val="20"/>
        </w:rPr>
        <w:t xml:space="preserve">Types, we </w:t>
      </w:r>
      <w:r w:rsidR="006738BD" w:rsidRPr="001570EA">
        <w:rPr>
          <w:rFonts w:ascii="Arial" w:hAnsi="Arial" w:cs="Arial"/>
          <w:sz w:val="20"/>
        </w:rPr>
        <w:t>assume</w:t>
      </w:r>
      <w:r w:rsidRPr="001570EA">
        <w:rPr>
          <w:rFonts w:ascii="Arial" w:hAnsi="Arial" w:cs="Arial"/>
          <w:sz w:val="20"/>
        </w:rPr>
        <w:t xml:space="preserve"> that the customer was initially upgrading to a Central Air Conditioning </w:t>
      </w:r>
      <w:r w:rsidR="00DE5B28" w:rsidRPr="001570EA">
        <w:rPr>
          <w:rFonts w:ascii="Arial" w:hAnsi="Arial" w:cs="Arial"/>
          <w:sz w:val="20"/>
        </w:rPr>
        <w:t>system and</w:t>
      </w:r>
      <w:r w:rsidRPr="001570EA">
        <w:rPr>
          <w:rFonts w:ascii="Arial" w:hAnsi="Arial" w:cs="Arial"/>
          <w:sz w:val="20"/>
        </w:rPr>
        <w:t xml:space="preserve"> is incentivized to upgrade to a DHP. Similarly, for </w:t>
      </w:r>
      <w:r w:rsidR="00DE5B28" w:rsidRPr="001570EA">
        <w:rPr>
          <w:rFonts w:ascii="Arial" w:hAnsi="Arial" w:cs="Arial"/>
          <w:sz w:val="20"/>
        </w:rPr>
        <w:t>“</w:t>
      </w:r>
      <w:r w:rsidRPr="001570EA">
        <w:rPr>
          <w:rFonts w:ascii="Arial" w:hAnsi="Arial" w:cs="Arial"/>
          <w:sz w:val="20"/>
        </w:rPr>
        <w:t>No existing or non-electric heating</w:t>
      </w:r>
      <w:r w:rsidR="00DE5B28" w:rsidRPr="001570EA">
        <w:rPr>
          <w:rFonts w:ascii="Arial" w:hAnsi="Arial" w:cs="Arial"/>
          <w:sz w:val="20"/>
        </w:rPr>
        <w:t xml:space="preserve">” </w:t>
      </w:r>
      <w:r w:rsidRPr="001570EA">
        <w:rPr>
          <w:rFonts w:ascii="Arial" w:hAnsi="Arial" w:cs="Arial"/>
          <w:sz w:val="20"/>
        </w:rPr>
        <w:t xml:space="preserve">and </w:t>
      </w:r>
      <w:r w:rsidR="00DE5B28" w:rsidRPr="001570EA">
        <w:rPr>
          <w:rFonts w:ascii="Arial" w:hAnsi="Arial" w:cs="Arial"/>
          <w:sz w:val="20"/>
        </w:rPr>
        <w:t>“</w:t>
      </w:r>
      <w:r w:rsidRPr="001570EA">
        <w:rPr>
          <w:rFonts w:ascii="Arial" w:hAnsi="Arial" w:cs="Arial"/>
          <w:sz w:val="20"/>
        </w:rPr>
        <w:t>Standard DHP</w:t>
      </w:r>
      <w:r w:rsidR="00DE5B28" w:rsidRPr="001570EA">
        <w:rPr>
          <w:rFonts w:ascii="Arial" w:hAnsi="Arial" w:cs="Arial"/>
          <w:sz w:val="20"/>
        </w:rPr>
        <w:t xml:space="preserve">” </w:t>
      </w:r>
      <w:r w:rsidRPr="001570EA">
        <w:rPr>
          <w:rFonts w:ascii="Arial" w:hAnsi="Arial" w:cs="Arial"/>
          <w:sz w:val="20"/>
        </w:rPr>
        <w:t xml:space="preserve">types, the assumption is that the customer was upgrading to an </w:t>
      </w:r>
      <w:r w:rsidR="00DE5B28" w:rsidRPr="001570EA">
        <w:rPr>
          <w:rFonts w:ascii="Arial" w:hAnsi="Arial" w:cs="Arial"/>
          <w:sz w:val="20"/>
        </w:rPr>
        <w:t>“</w:t>
      </w:r>
      <w:r w:rsidRPr="001570EA">
        <w:rPr>
          <w:rFonts w:ascii="Arial" w:hAnsi="Arial" w:cs="Arial"/>
          <w:sz w:val="20"/>
        </w:rPr>
        <w:t>Air Source Heat Pump</w:t>
      </w:r>
      <w:r w:rsidR="00DE5B28" w:rsidRPr="001570EA">
        <w:rPr>
          <w:rFonts w:ascii="Arial" w:hAnsi="Arial" w:cs="Arial"/>
          <w:sz w:val="20"/>
        </w:rPr>
        <w:t>.”</w:t>
      </w:r>
    </w:p>
    <w:p w14:paraId="11EA80BB" w14:textId="77777777" w:rsidR="007376E1" w:rsidRPr="001570EA" w:rsidRDefault="007376E1" w:rsidP="007376E1"/>
    <w:p w14:paraId="6C593D74" w14:textId="6C6315F5" w:rsidR="007376E1" w:rsidRPr="001570EA" w:rsidRDefault="00DE5B28" w:rsidP="007376E1">
      <w:pPr>
        <w:pStyle w:val="Caption"/>
        <w:jc w:val="left"/>
      </w:pPr>
      <w:bookmarkStart w:id="218" w:name="_Ref525115770"/>
      <w:bookmarkStart w:id="219" w:name="_Toc47598259"/>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20</w:t>
      </w:r>
      <w:r w:rsidR="002E093A" w:rsidRPr="001570EA">
        <w:fldChar w:fldCharType="end"/>
      </w:r>
      <w:r w:rsidRPr="001570EA">
        <w:t>: Midstream DHP – SEER2 and EER2 Baseline Splits</w:t>
      </w:r>
      <w:bookmarkEnd w:id="218"/>
      <w:bookmarkEnd w:id="219"/>
    </w:p>
    <w:tbl>
      <w:tblPr>
        <w:tblW w:w="64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85"/>
        <w:gridCol w:w="1452"/>
        <w:gridCol w:w="1296"/>
        <w:gridCol w:w="1128"/>
      </w:tblGrid>
      <w:tr w:rsidR="007376E1" w:rsidRPr="001570EA" w14:paraId="261513E7" w14:textId="77777777">
        <w:trPr>
          <w:trHeight w:val="288"/>
        </w:trPr>
        <w:tc>
          <w:tcPr>
            <w:tcW w:w="2585" w:type="dxa"/>
            <w:shd w:val="clear" w:color="000000" w:fill="BFBFBF"/>
            <w:vAlign w:val="center"/>
            <w:hideMark/>
          </w:tcPr>
          <w:p w14:paraId="36977BD5" w14:textId="77777777" w:rsidR="007376E1" w:rsidRPr="001570EA" w:rsidRDefault="007376E1">
            <w:pPr>
              <w:jc w:val="center"/>
              <w:rPr>
                <w:rFonts w:cs="Arial"/>
                <w:b/>
                <w:bCs/>
                <w:color w:val="000000"/>
                <w:sz w:val="18"/>
                <w:szCs w:val="18"/>
              </w:rPr>
            </w:pPr>
            <w:r w:rsidRPr="001570EA">
              <w:rPr>
                <w:rFonts w:cs="Arial"/>
                <w:b/>
                <w:bCs/>
                <w:color w:val="000000"/>
                <w:sz w:val="18"/>
                <w:szCs w:val="18"/>
              </w:rPr>
              <w:t>Cooling Type</w:t>
            </w:r>
          </w:p>
        </w:tc>
        <w:tc>
          <w:tcPr>
            <w:tcW w:w="1452" w:type="dxa"/>
            <w:shd w:val="clear" w:color="000000" w:fill="BFBFBF"/>
            <w:vAlign w:val="center"/>
          </w:tcPr>
          <w:p w14:paraId="6C767B69" w14:textId="77777777" w:rsidR="007376E1" w:rsidRPr="001570EA" w:rsidRDefault="007376E1">
            <w:pPr>
              <w:jc w:val="center"/>
              <w:rPr>
                <w:rFonts w:cs="Arial"/>
                <w:b/>
                <w:bCs/>
                <w:color w:val="000000"/>
                <w:sz w:val="18"/>
                <w:szCs w:val="18"/>
              </w:rPr>
            </w:pPr>
            <w:r w:rsidRPr="001570EA">
              <w:rPr>
                <w:rFonts w:cs="Arial"/>
                <w:b/>
                <w:bCs/>
                <w:color w:val="000000"/>
                <w:sz w:val="18"/>
                <w:szCs w:val="18"/>
              </w:rPr>
              <w:t>SEER2</w:t>
            </w:r>
            <w:r w:rsidRPr="001570EA">
              <w:rPr>
                <w:rFonts w:cs="Arial"/>
                <w:b/>
                <w:bCs/>
                <w:color w:val="000000"/>
                <w:sz w:val="18"/>
                <w:szCs w:val="18"/>
                <w:vertAlign w:val="subscript"/>
              </w:rPr>
              <w:t>base</w:t>
            </w:r>
          </w:p>
        </w:tc>
        <w:tc>
          <w:tcPr>
            <w:tcW w:w="1296" w:type="dxa"/>
            <w:shd w:val="clear" w:color="000000" w:fill="BFBFBF"/>
            <w:vAlign w:val="center"/>
          </w:tcPr>
          <w:p w14:paraId="18694D9A" w14:textId="77777777" w:rsidR="007376E1" w:rsidRPr="001570EA" w:rsidRDefault="007376E1">
            <w:pPr>
              <w:jc w:val="center"/>
              <w:rPr>
                <w:rFonts w:cs="Arial"/>
                <w:b/>
                <w:bCs/>
                <w:color w:val="000000"/>
                <w:sz w:val="18"/>
                <w:szCs w:val="18"/>
              </w:rPr>
            </w:pPr>
            <w:r w:rsidRPr="001570EA">
              <w:rPr>
                <w:rFonts w:cs="Arial"/>
                <w:b/>
                <w:bCs/>
                <w:color w:val="000000"/>
                <w:sz w:val="18"/>
                <w:szCs w:val="18"/>
              </w:rPr>
              <w:t>EER2</w:t>
            </w:r>
            <w:r w:rsidRPr="001570EA">
              <w:rPr>
                <w:rFonts w:cs="Arial"/>
                <w:b/>
                <w:bCs/>
                <w:color w:val="000000"/>
                <w:sz w:val="18"/>
                <w:szCs w:val="18"/>
                <w:vertAlign w:val="subscript"/>
              </w:rPr>
              <w:t>base</w:t>
            </w:r>
          </w:p>
        </w:tc>
        <w:tc>
          <w:tcPr>
            <w:tcW w:w="1128" w:type="dxa"/>
            <w:shd w:val="clear" w:color="000000" w:fill="BFBFBF"/>
            <w:vAlign w:val="center"/>
            <w:hideMark/>
          </w:tcPr>
          <w:p w14:paraId="1AD2DA80" w14:textId="77777777" w:rsidR="007376E1" w:rsidRPr="001570EA" w:rsidRDefault="007376E1">
            <w:pPr>
              <w:jc w:val="center"/>
              <w:rPr>
                <w:rFonts w:cs="Arial"/>
                <w:b/>
                <w:bCs/>
                <w:color w:val="000000"/>
                <w:sz w:val="18"/>
                <w:szCs w:val="18"/>
              </w:rPr>
            </w:pPr>
            <w:r w:rsidRPr="001570EA">
              <w:rPr>
                <w:rFonts w:cs="Arial"/>
                <w:b/>
                <w:bCs/>
                <w:color w:val="000000"/>
                <w:sz w:val="18"/>
                <w:szCs w:val="18"/>
              </w:rPr>
              <w:t>Split</w:t>
            </w:r>
          </w:p>
        </w:tc>
      </w:tr>
      <w:tr w:rsidR="007376E1" w:rsidRPr="001570EA" w14:paraId="5F10C88B" w14:textId="77777777">
        <w:trPr>
          <w:trHeight w:val="288"/>
        </w:trPr>
        <w:tc>
          <w:tcPr>
            <w:tcW w:w="2585" w:type="dxa"/>
            <w:shd w:val="clear" w:color="auto" w:fill="auto"/>
            <w:vAlign w:val="center"/>
            <w:hideMark/>
          </w:tcPr>
          <w:p w14:paraId="11A94FA0" w14:textId="77777777" w:rsidR="007376E1" w:rsidRPr="001570EA" w:rsidRDefault="007376E1">
            <w:pPr>
              <w:jc w:val="center"/>
              <w:rPr>
                <w:rFonts w:cs="Arial"/>
                <w:color w:val="000000"/>
                <w:sz w:val="18"/>
                <w:szCs w:val="18"/>
              </w:rPr>
            </w:pPr>
            <w:r w:rsidRPr="001570EA">
              <w:rPr>
                <w:rFonts w:cs="Arial"/>
                <w:color w:val="000000"/>
                <w:sz w:val="18"/>
                <w:szCs w:val="18"/>
              </w:rPr>
              <w:t>Central AC</w:t>
            </w:r>
          </w:p>
        </w:tc>
        <w:tc>
          <w:tcPr>
            <w:tcW w:w="1452" w:type="dxa"/>
            <w:vAlign w:val="center"/>
          </w:tcPr>
          <w:p w14:paraId="27606446" w14:textId="77777777" w:rsidR="007376E1" w:rsidRPr="001570EA" w:rsidRDefault="007376E1">
            <w:pPr>
              <w:jc w:val="center"/>
              <w:rPr>
                <w:rFonts w:cs="Arial"/>
                <w:bCs/>
                <w:color w:val="000000"/>
                <w:sz w:val="18"/>
                <w:szCs w:val="18"/>
              </w:rPr>
            </w:pPr>
            <w:r w:rsidRPr="001570EA">
              <w:rPr>
                <w:rFonts w:cs="Arial"/>
                <w:bCs/>
                <w:color w:val="000000"/>
                <w:sz w:val="18"/>
                <w:szCs w:val="18"/>
              </w:rPr>
              <w:t>13.4</w:t>
            </w:r>
          </w:p>
        </w:tc>
        <w:tc>
          <w:tcPr>
            <w:tcW w:w="1296" w:type="dxa"/>
            <w:vAlign w:val="center"/>
          </w:tcPr>
          <w:p w14:paraId="37F39F48" w14:textId="77777777" w:rsidR="007376E1" w:rsidRPr="001570EA" w:rsidRDefault="007376E1">
            <w:pPr>
              <w:jc w:val="center"/>
              <w:rPr>
                <w:rFonts w:cs="Arial"/>
                <w:color w:val="000000"/>
                <w:sz w:val="18"/>
                <w:szCs w:val="18"/>
              </w:rPr>
            </w:pPr>
            <w:r w:rsidRPr="001570EA">
              <w:rPr>
                <w:rFonts w:cs="Arial"/>
                <w:color w:val="000000"/>
                <w:sz w:val="18"/>
                <w:szCs w:val="18"/>
              </w:rPr>
              <w:t>11.2</w:t>
            </w:r>
          </w:p>
        </w:tc>
        <w:tc>
          <w:tcPr>
            <w:tcW w:w="1128" w:type="dxa"/>
            <w:shd w:val="clear" w:color="auto" w:fill="auto"/>
            <w:vAlign w:val="center"/>
            <w:hideMark/>
          </w:tcPr>
          <w:p w14:paraId="18325C6F" w14:textId="77777777" w:rsidR="007376E1" w:rsidRPr="001570EA" w:rsidRDefault="007376E1">
            <w:pPr>
              <w:jc w:val="center"/>
              <w:rPr>
                <w:rFonts w:cs="Arial"/>
                <w:color w:val="000000"/>
                <w:sz w:val="18"/>
                <w:szCs w:val="18"/>
              </w:rPr>
            </w:pPr>
            <w:r w:rsidRPr="001570EA">
              <w:rPr>
                <w:rFonts w:cs="Arial"/>
                <w:color w:val="000000"/>
                <w:sz w:val="18"/>
                <w:szCs w:val="18"/>
              </w:rPr>
              <w:t>4%</w:t>
            </w:r>
          </w:p>
        </w:tc>
      </w:tr>
      <w:tr w:rsidR="007376E1" w:rsidRPr="001570EA" w14:paraId="687B715E" w14:textId="77777777">
        <w:trPr>
          <w:trHeight w:val="288"/>
        </w:trPr>
        <w:tc>
          <w:tcPr>
            <w:tcW w:w="2585" w:type="dxa"/>
            <w:shd w:val="clear" w:color="auto" w:fill="auto"/>
            <w:vAlign w:val="center"/>
            <w:hideMark/>
          </w:tcPr>
          <w:p w14:paraId="21EA5B82" w14:textId="77777777" w:rsidR="007376E1" w:rsidRPr="001570EA" w:rsidRDefault="007376E1">
            <w:pPr>
              <w:jc w:val="center"/>
              <w:rPr>
                <w:rFonts w:cs="Arial"/>
                <w:color w:val="000000"/>
                <w:sz w:val="18"/>
                <w:szCs w:val="18"/>
              </w:rPr>
            </w:pPr>
            <w:r w:rsidRPr="001570EA">
              <w:rPr>
                <w:rFonts w:cs="Arial"/>
                <w:color w:val="000000"/>
                <w:sz w:val="18"/>
                <w:szCs w:val="18"/>
              </w:rPr>
              <w:t>DHP or ASHP</w:t>
            </w:r>
          </w:p>
        </w:tc>
        <w:tc>
          <w:tcPr>
            <w:tcW w:w="1452" w:type="dxa"/>
            <w:vAlign w:val="center"/>
          </w:tcPr>
          <w:p w14:paraId="36C549FE" w14:textId="77777777" w:rsidR="007376E1" w:rsidRPr="001570EA" w:rsidRDefault="007376E1">
            <w:pPr>
              <w:jc w:val="center"/>
              <w:rPr>
                <w:rFonts w:cs="Arial"/>
                <w:bCs/>
                <w:color w:val="000000"/>
                <w:sz w:val="18"/>
                <w:szCs w:val="18"/>
              </w:rPr>
            </w:pPr>
            <w:r w:rsidRPr="001570EA">
              <w:rPr>
                <w:rFonts w:cs="Arial"/>
                <w:bCs/>
                <w:color w:val="000000"/>
                <w:sz w:val="18"/>
                <w:szCs w:val="18"/>
              </w:rPr>
              <w:t>14.3</w:t>
            </w:r>
          </w:p>
        </w:tc>
        <w:tc>
          <w:tcPr>
            <w:tcW w:w="1296" w:type="dxa"/>
            <w:vAlign w:val="center"/>
          </w:tcPr>
          <w:p w14:paraId="49B45EDA" w14:textId="77777777" w:rsidR="007376E1" w:rsidRPr="001570EA" w:rsidRDefault="007376E1">
            <w:pPr>
              <w:jc w:val="center"/>
              <w:rPr>
                <w:rFonts w:cs="Arial"/>
                <w:color w:val="000000"/>
                <w:sz w:val="18"/>
                <w:szCs w:val="18"/>
              </w:rPr>
            </w:pPr>
            <w:r w:rsidRPr="001570EA">
              <w:rPr>
                <w:rFonts w:cs="Arial"/>
                <w:color w:val="000000"/>
                <w:sz w:val="18"/>
                <w:szCs w:val="18"/>
              </w:rPr>
              <w:t>11.8</w:t>
            </w:r>
          </w:p>
        </w:tc>
        <w:tc>
          <w:tcPr>
            <w:tcW w:w="1128" w:type="dxa"/>
            <w:shd w:val="clear" w:color="auto" w:fill="auto"/>
            <w:vAlign w:val="center"/>
            <w:hideMark/>
          </w:tcPr>
          <w:p w14:paraId="27A7B946" w14:textId="77777777" w:rsidR="007376E1" w:rsidRPr="001570EA" w:rsidRDefault="007376E1">
            <w:pPr>
              <w:jc w:val="center"/>
              <w:rPr>
                <w:rFonts w:cs="Arial"/>
                <w:color w:val="000000"/>
                <w:sz w:val="18"/>
                <w:szCs w:val="18"/>
              </w:rPr>
            </w:pPr>
            <w:r w:rsidRPr="001570EA">
              <w:rPr>
                <w:rFonts w:cs="Arial"/>
                <w:color w:val="000000"/>
                <w:sz w:val="18"/>
                <w:szCs w:val="18"/>
              </w:rPr>
              <w:t>8%</w:t>
            </w:r>
          </w:p>
        </w:tc>
      </w:tr>
      <w:tr w:rsidR="007376E1" w:rsidRPr="001570EA" w14:paraId="27408958" w14:textId="77777777">
        <w:trPr>
          <w:trHeight w:val="288"/>
        </w:trPr>
        <w:tc>
          <w:tcPr>
            <w:tcW w:w="2585" w:type="dxa"/>
            <w:shd w:val="clear" w:color="auto" w:fill="auto"/>
            <w:vAlign w:val="center"/>
            <w:hideMark/>
          </w:tcPr>
          <w:p w14:paraId="62B9132A" w14:textId="77777777" w:rsidR="007376E1" w:rsidRPr="001570EA" w:rsidRDefault="007376E1">
            <w:pPr>
              <w:jc w:val="center"/>
              <w:rPr>
                <w:rFonts w:cs="Arial"/>
                <w:color w:val="000000"/>
                <w:sz w:val="18"/>
                <w:szCs w:val="18"/>
              </w:rPr>
            </w:pPr>
            <w:r w:rsidRPr="001570EA">
              <w:rPr>
                <w:rFonts w:cs="Arial"/>
                <w:color w:val="000000"/>
                <w:sz w:val="18"/>
                <w:szCs w:val="18"/>
              </w:rPr>
              <w:t>No existing cooling for primary space</w:t>
            </w:r>
          </w:p>
        </w:tc>
        <w:tc>
          <w:tcPr>
            <w:tcW w:w="1452" w:type="dxa"/>
            <w:vAlign w:val="center"/>
          </w:tcPr>
          <w:p w14:paraId="7121214D" w14:textId="77777777" w:rsidR="007376E1" w:rsidRPr="001570EA" w:rsidRDefault="007376E1">
            <w:pPr>
              <w:jc w:val="center"/>
              <w:rPr>
                <w:rFonts w:cs="Arial"/>
                <w:bCs/>
                <w:color w:val="000000"/>
                <w:sz w:val="18"/>
                <w:szCs w:val="18"/>
              </w:rPr>
            </w:pPr>
            <w:r w:rsidRPr="001570EA">
              <w:rPr>
                <w:rFonts w:cs="Arial"/>
                <w:bCs/>
                <w:color w:val="000000"/>
                <w:sz w:val="18"/>
                <w:szCs w:val="18"/>
              </w:rPr>
              <w:t>13.4</w:t>
            </w:r>
          </w:p>
        </w:tc>
        <w:tc>
          <w:tcPr>
            <w:tcW w:w="1296" w:type="dxa"/>
            <w:vAlign w:val="center"/>
          </w:tcPr>
          <w:p w14:paraId="1F076828" w14:textId="77777777" w:rsidR="007376E1" w:rsidRPr="001570EA" w:rsidRDefault="007376E1">
            <w:pPr>
              <w:jc w:val="center"/>
              <w:rPr>
                <w:rFonts w:cs="Arial"/>
                <w:color w:val="000000"/>
                <w:sz w:val="18"/>
                <w:szCs w:val="18"/>
              </w:rPr>
            </w:pPr>
            <w:r w:rsidRPr="001570EA">
              <w:rPr>
                <w:rFonts w:cs="Arial"/>
                <w:color w:val="000000"/>
                <w:sz w:val="18"/>
                <w:szCs w:val="18"/>
              </w:rPr>
              <w:t>11.2</w:t>
            </w:r>
          </w:p>
        </w:tc>
        <w:tc>
          <w:tcPr>
            <w:tcW w:w="1128" w:type="dxa"/>
            <w:shd w:val="clear" w:color="auto" w:fill="auto"/>
            <w:vAlign w:val="center"/>
            <w:hideMark/>
          </w:tcPr>
          <w:p w14:paraId="7A3390A2" w14:textId="77777777" w:rsidR="007376E1" w:rsidRPr="001570EA" w:rsidRDefault="007376E1">
            <w:pPr>
              <w:jc w:val="center"/>
              <w:rPr>
                <w:rFonts w:cs="Arial"/>
                <w:color w:val="000000"/>
                <w:sz w:val="18"/>
                <w:szCs w:val="18"/>
              </w:rPr>
            </w:pPr>
            <w:r w:rsidRPr="001570EA">
              <w:rPr>
                <w:rFonts w:cs="Arial"/>
                <w:color w:val="000000"/>
                <w:sz w:val="18"/>
                <w:szCs w:val="18"/>
              </w:rPr>
              <w:t>29%</w:t>
            </w:r>
          </w:p>
        </w:tc>
      </w:tr>
      <w:tr w:rsidR="007376E1" w:rsidRPr="001570EA" w14:paraId="780FF4BC" w14:textId="77777777">
        <w:trPr>
          <w:trHeight w:val="288"/>
        </w:trPr>
        <w:tc>
          <w:tcPr>
            <w:tcW w:w="2585" w:type="dxa"/>
            <w:shd w:val="clear" w:color="auto" w:fill="auto"/>
            <w:vAlign w:val="center"/>
            <w:hideMark/>
          </w:tcPr>
          <w:p w14:paraId="71E1BD6C" w14:textId="77777777" w:rsidR="007376E1" w:rsidRPr="001570EA" w:rsidRDefault="007376E1">
            <w:pPr>
              <w:jc w:val="center"/>
              <w:rPr>
                <w:rFonts w:cs="Arial"/>
                <w:color w:val="000000"/>
                <w:sz w:val="18"/>
                <w:szCs w:val="18"/>
              </w:rPr>
            </w:pPr>
            <w:r w:rsidRPr="001570EA">
              <w:rPr>
                <w:rFonts w:cs="Arial"/>
                <w:color w:val="000000"/>
                <w:sz w:val="18"/>
                <w:szCs w:val="18"/>
              </w:rPr>
              <w:t>No existing cooling for secondary space</w:t>
            </w:r>
          </w:p>
        </w:tc>
        <w:tc>
          <w:tcPr>
            <w:tcW w:w="1452" w:type="dxa"/>
            <w:vAlign w:val="center"/>
          </w:tcPr>
          <w:p w14:paraId="7C2CCADF" w14:textId="77777777" w:rsidR="007376E1" w:rsidRPr="001570EA" w:rsidRDefault="007376E1">
            <w:pPr>
              <w:jc w:val="center"/>
              <w:rPr>
                <w:rFonts w:cs="Arial"/>
                <w:bCs/>
                <w:color w:val="000000"/>
                <w:sz w:val="18"/>
                <w:szCs w:val="18"/>
              </w:rPr>
            </w:pPr>
            <w:r w:rsidRPr="001570EA">
              <w:rPr>
                <w:rFonts w:cs="Arial"/>
                <w:bCs/>
                <w:color w:val="000000"/>
                <w:sz w:val="18"/>
                <w:szCs w:val="18"/>
              </w:rPr>
              <w:t>13.4</w:t>
            </w:r>
          </w:p>
        </w:tc>
        <w:tc>
          <w:tcPr>
            <w:tcW w:w="1296" w:type="dxa"/>
            <w:vAlign w:val="center"/>
          </w:tcPr>
          <w:p w14:paraId="5D6FC9EA" w14:textId="77777777" w:rsidR="007376E1" w:rsidRPr="001570EA" w:rsidRDefault="007376E1">
            <w:pPr>
              <w:jc w:val="center"/>
              <w:rPr>
                <w:rFonts w:cs="Arial"/>
                <w:color w:val="000000"/>
                <w:sz w:val="18"/>
                <w:szCs w:val="18"/>
              </w:rPr>
            </w:pPr>
            <w:r w:rsidRPr="001570EA">
              <w:rPr>
                <w:rFonts w:cs="Arial"/>
                <w:color w:val="000000"/>
                <w:sz w:val="18"/>
                <w:szCs w:val="18"/>
              </w:rPr>
              <w:t>11.2</w:t>
            </w:r>
          </w:p>
        </w:tc>
        <w:tc>
          <w:tcPr>
            <w:tcW w:w="1128" w:type="dxa"/>
            <w:shd w:val="clear" w:color="auto" w:fill="auto"/>
            <w:vAlign w:val="center"/>
            <w:hideMark/>
          </w:tcPr>
          <w:p w14:paraId="24A20E6B" w14:textId="77777777" w:rsidR="007376E1" w:rsidRPr="001570EA" w:rsidRDefault="007376E1">
            <w:pPr>
              <w:jc w:val="center"/>
              <w:rPr>
                <w:rFonts w:cs="Arial"/>
                <w:color w:val="000000"/>
                <w:sz w:val="18"/>
                <w:szCs w:val="18"/>
              </w:rPr>
            </w:pPr>
            <w:r w:rsidRPr="001570EA">
              <w:rPr>
                <w:rFonts w:cs="Arial"/>
                <w:color w:val="000000"/>
                <w:sz w:val="18"/>
                <w:szCs w:val="18"/>
              </w:rPr>
              <w:t>30%</w:t>
            </w:r>
          </w:p>
        </w:tc>
      </w:tr>
      <w:tr w:rsidR="007376E1" w:rsidRPr="001570EA" w14:paraId="069F53AA" w14:textId="77777777">
        <w:trPr>
          <w:trHeight w:val="288"/>
        </w:trPr>
        <w:tc>
          <w:tcPr>
            <w:tcW w:w="2585" w:type="dxa"/>
            <w:tcBorders>
              <w:bottom w:val="thinThickThinSmallGap" w:sz="12" w:space="0" w:color="auto"/>
            </w:tcBorders>
            <w:shd w:val="clear" w:color="auto" w:fill="auto"/>
            <w:vAlign w:val="center"/>
            <w:hideMark/>
          </w:tcPr>
          <w:p w14:paraId="172CD6A5" w14:textId="77777777" w:rsidR="007376E1" w:rsidRPr="001570EA" w:rsidRDefault="007376E1">
            <w:pPr>
              <w:jc w:val="center"/>
              <w:rPr>
                <w:rFonts w:cs="Arial"/>
                <w:color w:val="000000"/>
                <w:sz w:val="18"/>
                <w:szCs w:val="18"/>
              </w:rPr>
            </w:pPr>
            <w:r w:rsidRPr="001570EA">
              <w:rPr>
                <w:rFonts w:cs="Arial"/>
                <w:color w:val="000000"/>
                <w:sz w:val="18"/>
                <w:szCs w:val="18"/>
              </w:rPr>
              <w:t>Room AC</w:t>
            </w:r>
          </w:p>
        </w:tc>
        <w:tc>
          <w:tcPr>
            <w:tcW w:w="1452" w:type="dxa"/>
            <w:tcBorders>
              <w:bottom w:val="thinThickThinSmallGap" w:sz="12" w:space="0" w:color="auto"/>
            </w:tcBorders>
            <w:vAlign w:val="center"/>
          </w:tcPr>
          <w:p w14:paraId="2E3345A5" w14:textId="77777777" w:rsidR="007376E1" w:rsidRPr="001570EA" w:rsidRDefault="007376E1">
            <w:pPr>
              <w:jc w:val="center"/>
              <w:rPr>
                <w:rFonts w:cs="Arial"/>
                <w:bCs/>
                <w:color w:val="000000"/>
                <w:sz w:val="18"/>
                <w:szCs w:val="18"/>
              </w:rPr>
            </w:pPr>
            <w:r w:rsidRPr="001570EA">
              <w:rPr>
                <w:rFonts w:cs="Arial"/>
                <w:bCs/>
                <w:color w:val="000000"/>
                <w:sz w:val="18"/>
                <w:szCs w:val="18"/>
              </w:rPr>
              <w:t>13.4</w:t>
            </w:r>
          </w:p>
        </w:tc>
        <w:tc>
          <w:tcPr>
            <w:tcW w:w="1296" w:type="dxa"/>
            <w:tcBorders>
              <w:bottom w:val="thinThickThinSmallGap" w:sz="12" w:space="0" w:color="auto"/>
            </w:tcBorders>
            <w:vAlign w:val="center"/>
          </w:tcPr>
          <w:p w14:paraId="00038C48" w14:textId="77777777" w:rsidR="007376E1" w:rsidRPr="001570EA" w:rsidRDefault="007376E1">
            <w:pPr>
              <w:jc w:val="center"/>
              <w:rPr>
                <w:rFonts w:cs="Arial"/>
                <w:color w:val="000000"/>
                <w:sz w:val="18"/>
                <w:szCs w:val="18"/>
              </w:rPr>
            </w:pPr>
            <w:r w:rsidRPr="001570EA">
              <w:rPr>
                <w:rFonts w:cs="Arial"/>
                <w:color w:val="000000"/>
                <w:sz w:val="18"/>
                <w:szCs w:val="18"/>
              </w:rPr>
              <w:t>11.2</w:t>
            </w:r>
          </w:p>
        </w:tc>
        <w:tc>
          <w:tcPr>
            <w:tcW w:w="1128" w:type="dxa"/>
            <w:tcBorders>
              <w:bottom w:val="thinThickThinSmallGap" w:sz="12" w:space="0" w:color="auto"/>
            </w:tcBorders>
            <w:shd w:val="clear" w:color="auto" w:fill="auto"/>
            <w:vAlign w:val="center"/>
            <w:hideMark/>
          </w:tcPr>
          <w:p w14:paraId="2329689F" w14:textId="77777777" w:rsidR="007376E1" w:rsidRPr="001570EA" w:rsidRDefault="007376E1">
            <w:pPr>
              <w:jc w:val="center"/>
              <w:rPr>
                <w:rFonts w:cs="Arial"/>
                <w:color w:val="000000"/>
                <w:sz w:val="18"/>
                <w:szCs w:val="18"/>
              </w:rPr>
            </w:pPr>
            <w:r w:rsidRPr="001570EA">
              <w:rPr>
                <w:rFonts w:cs="Arial"/>
                <w:color w:val="000000"/>
                <w:sz w:val="18"/>
                <w:szCs w:val="18"/>
              </w:rPr>
              <w:t>30%</w:t>
            </w:r>
          </w:p>
        </w:tc>
      </w:tr>
      <w:tr w:rsidR="007376E1" w:rsidRPr="001570EA" w14:paraId="4BFA4F9A" w14:textId="77777777">
        <w:trPr>
          <w:trHeight w:val="288"/>
        </w:trPr>
        <w:tc>
          <w:tcPr>
            <w:tcW w:w="2585" w:type="dxa"/>
            <w:tcBorders>
              <w:top w:val="thinThickThinSmallGap" w:sz="12" w:space="0" w:color="auto"/>
            </w:tcBorders>
            <w:shd w:val="clear" w:color="auto" w:fill="F2F2F2" w:themeFill="background1" w:themeFillShade="F2"/>
            <w:vAlign w:val="center"/>
          </w:tcPr>
          <w:p w14:paraId="29594F07" w14:textId="77777777" w:rsidR="007376E1" w:rsidRPr="001570EA" w:rsidRDefault="007376E1">
            <w:pPr>
              <w:jc w:val="center"/>
              <w:rPr>
                <w:rFonts w:cs="Arial"/>
                <w:color w:val="000000"/>
                <w:sz w:val="18"/>
                <w:szCs w:val="18"/>
              </w:rPr>
            </w:pPr>
            <w:r w:rsidRPr="001570EA">
              <w:rPr>
                <w:rFonts w:cs="Arial"/>
                <w:color w:val="000000"/>
                <w:sz w:val="18"/>
                <w:szCs w:val="18"/>
              </w:rPr>
              <w:t>Composite</w:t>
            </w:r>
          </w:p>
        </w:tc>
        <w:tc>
          <w:tcPr>
            <w:tcW w:w="1452" w:type="dxa"/>
            <w:tcBorders>
              <w:top w:val="thinThickThinSmallGap" w:sz="12" w:space="0" w:color="auto"/>
            </w:tcBorders>
            <w:shd w:val="clear" w:color="auto" w:fill="F2F2F2" w:themeFill="background1" w:themeFillShade="F2"/>
            <w:vAlign w:val="center"/>
          </w:tcPr>
          <w:p w14:paraId="62398C75" w14:textId="77777777" w:rsidR="007376E1" w:rsidRPr="001570EA" w:rsidRDefault="007376E1">
            <w:pPr>
              <w:jc w:val="center"/>
              <w:rPr>
                <w:rFonts w:cs="Arial"/>
                <w:bCs/>
                <w:color w:val="000000"/>
                <w:sz w:val="18"/>
                <w:szCs w:val="18"/>
              </w:rPr>
            </w:pPr>
            <w:r w:rsidRPr="001570EA">
              <w:rPr>
                <w:rFonts w:cs="Arial"/>
                <w:bCs/>
                <w:color w:val="000000"/>
                <w:sz w:val="18"/>
                <w:szCs w:val="18"/>
              </w:rPr>
              <w:t>13.6</w:t>
            </w:r>
          </w:p>
        </w:tc>
        <w:tc>
          <w:tcPr>
            <w:tcW w:w="1296" w:type="dxa"/>
            <w:tcBorders>
              <w:top w:val="thinThickThinSmallGap" w:sz="12" w:space="0" w:color="auto"/>
            </w:tcBorders>
            <w:shd w:val="clear" w:color="auto" w:fill="F2F2F2" w:themeFill="background1" w:themeFillShade="F2"/>
            <w:vAlign w:val="center"/>
          </w:tcPr>
          <w:p w14:paraId="54CE3C95" w14:textId="77777777" w:rsidR="007376E1" w:rsidRPr="001570EA" w:rsidRDefault="007376E1">
            <w:pPr>
              <w:jc w:val="center"/>
              <w:rPr>
                <w:rFonts w:cs="Arial"/>
                <w:color w:val="000000"/>
                <w:sz w:val="18"/>
                <w:szCs w:val="18"/>
              </w:rPr>
            </w:pPr>
            <w:r w:rsidRPr="001570EA">
              <w:rPr>
                <w:rFonts w:cs="Arial"/>
                <w:color w:val="000000"/>
                <w:sz w:val="18"/>
                <w:szCs w:val="18"/>
              </w:rPr>
              <w:t>11.4</w:t>
            </w:r>
          </w:p>
        </w:tc>
        <w:tc>
          <w:tcPr>
            <w:tcW w:w="1128" w:type="dxa"/>
            <w:tcBorders>
              <w:top w:val="thinThickThinSmallGap" w:sz="12" w:space="0" w:color="auto"/>
            </w:tcBorders>
            <w:shd w:val="clear" w:color="auto" w:fill="F2F2F2" w:themeFill="background1" w:themeFillShade="F2"/>
            <w:vAlign w:val="center"/>
          </w:tcPr>
          <w:p w14:paraId="06F6FAA5" w14:textId="77777777" w:rsidR="007376E1" w:rsidRPr="001570EA" w:rsidRDefault="007376E1">
            <w:pPr>
              <w:jc w:val="center"/>
              <w:rPr>
                <w:rFonts w:cs="Arial"/>
                <w:color w:val="000000"/>
                <w:sz w:val="18"/>
                <w:szCs w:val="18"/>
              </w:rPr>
            </w:pPr>
            <w:r w:rsidRPr="001570EA">
              <w:rPr>
                <w:rFonts w:cs="Arial"/>
                <w:color w:val="000000"/>
                <w:sz w:val="18"/>
                <w:szCs w:val="18"/>
              </w:rPr>
              <w:t>100%</w:t>
            </w:r>
          </w:p>
        </w:tc>
      </w:tr>
    </w:tbl>
    <w:p w14:paraId="5CCCA19B" w14:textId="77777777" w:rsidR="007376E1" w:rsidRPr="001570EA" w:rsidRDefault="007376E1" w:rsidP="007376E1">
      <w:pPr>
        <w:pStyle w:val="Caption"/>
        <w:jc w:val="left"/>
      </w:pPr>
      <w:bookmarkStart w:id="220" w:name="_Ref525115761"/>
    </w:p>
    <w:p w14:paraId="3160AF45" w14:textId="424DF355" w:rsidR="007376E1" w:rsidRPr="001570EA" w:rsidRDefault="007376E1" w:rsidP="007376E1">
      <w:pPr>
        <w:pStyle w:val="Caption"/>
        <w:jc w:val="left"/>
      </w:pPr>
      <w:bookmarkStart w:id="221" w:name="_Toc4759826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21</w:t>
      </w:r>
      <w:r w:rsidR="002E093A" w:rsidRPr="001570EA">
        <w:fldChar w:fldCharType="end"/>
      </w:r>
      <w:bookmarkEnd w:id="220"/>
      <w:r w:rsidRPr="001570EA">
        <w:t>: Midstream DHP – HSPF2 Baseline Splits</w:t>
      </w:r>
      <w:bookmarkEnd w:id="221"/>
    </w:p>
    <w:tbl>
      <w:tblPr>
        <w:tblW w:w="61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73"/>
        <w:gridCol w:w="1407"/>
        <w:gridCol w:w="1527"/>
      </w:tblGrid>
      <w:tr w:rsidR="007376E1" w:rsidRPr="001570EA" w14:paraId="7AE34B0E" w14:textId="77777777">
        <w:trPr>
          <w:trHeight w:val="288"/>
        </w:trPr>
        <w:tc>
          <w:tcPr>
            <w:tcW w:w="3173" w:type="dxa"/>
            <w:shd w:val="clear" w:color="000000" w:fill="BFBFBF"/>
            <w:vAlign w:val="center"/>
            <w:hideMark/>
          </w:tcPr>
          <w:p w14:paraId="6530BC7C" w14:textId="77777777" w:rsidR="007376E1" w:rsidRPr="001570EA" w:rsidRDefault="007376E1">
            <w:pPr>
              <w:keepNext/>
              <w:jc w:val="center"/>
              <w:rPr>
                <w:rFonts w:cs="Arial"/>
                <w:b/>
                <w:bCs/>
                <w:color w:val="000000"/>
                <w:sz w:val="18"/>
                <w:szCs w:val="18"/>
              </w:rPr>
            </w:pPr>
            <w:r w:rsidRPr="001570EA">
              <w:rPr>
                <w:rFonts w:cs="Arial"/>
                <w:b/>
                <w:bCs/>
                <w:color w:val="000000"/>
                <w:sz w:val="18"/>
                <w:szCs w:val="18"/>
              </w:rPr>
              <w:t>Heating Type</w:t>
            </w:r>
          </w:p>
        </w:tc>
        <w:tc>
          <w:tcPr>
            <w:tcW w:w="1407" w:type="dxa"/>
            <w:shd w:val="clear" w:color="000000" w:fill="BFBFBF"/>
            <w:vAlign w:val="center"/>
          </w:tcPr>
          <w:p w14:paraId="19BBD9C2" w14:textId="77777777" w:rsidR="007376E1" w:rsidRPr="001570EA" w:rsidRDefault="007376E1">
            <w:pPr>
              <w:keepNext/>
              <w:jc w:val="center"/>
              <w:rPr>
                <w:rFonts w:cs="Arial"/>
                <w:b/>
                <w:bCs/>
                <w:color w:val="000000"/>
                <w:sz w:val="18"/>
                <w:szCs w:val="18"/>
              </w:rPr>
            </w:pPr>
            <w:r w:rsidRPr="001570EA">
              <w:rPr>
                <w:rFonts w:cs="Arial"/>
                <w:b/>
                <w:bCs/>
                <w:color w:val="000000"/>
                <w:sz w:val="18"/>
                <w:szCs w:val="18"/>
              </w:rPr>
              <w:t>HSPF2</w:t>
            </w:r>
            <w:r w:rsidRPr="001570EA">
              <w:rPr>
                <w:rFonts w:cs="Arial"/>
                <w:b/>
                <w:bCs/>
                <w:color w:val="000000"/>
                <w:sz w:val="18"/>
                <w:szCs w:val="18"/>
                <w:vertAlign w:val="subscript"/>
              </w:rPr>
              <w:t>base</w:t>
            </w:r>
          </w:p>
        </w:tc>
        <w:tc>
          <w:tcPr>
            <w:tcW w:w="1527" w:type="dxa"/>
            <w:shd w:val="clear" w:color="000000" w:fill="BFBFBF"/>
            <w:vAlign w:val="center"/>
            <w:hideMark/>
          </w:tcPr>
          <w:p w14:paraId="569DB2DA" w14:textId="77777777" w:rsidR="007376E1" w:rsidRPr="001570EA" w:rsidRDefault="007376E1">
            <w:pPr>
              <w:keepNext/>
              <w:jc w:val="center"/>
              <w:rPr>
                <w:rFonts w:cs="Arial"/>
                <w:b/>
                <w:bCs/>
                <w:color w:val="000000"/>
                <w:sz w:val="18"/>
                <w:szCs w:val="18"/>
              </w:rPr>
            </w:pPr>
            <w:r w:rsidRPr="001570EA">
              <w:rPr>
                <w:rFonts w:cs="Arial"/>
                <w:b/>
                <w:bCs/>
                <w:color w:val="000000"/>
                <w:sz w:val="18"/>
                <w:szCs w:val="18"/>
              </w:rPr>
              <w:t>Split</w:t>
            </w:r>
          </w:p>
        </w:tc>
      </w:tr>
      <w:tr w:rsidR="007376E1" w:rsidRPr="001570EA" w14:paraId="4857D7FF" w14:textId="77777777">
        <w:trPr>
          <w:trHeight w:val="288"/>
        </w:trPr>
        <w:tc>
          <w:tcPr>
            <w:tcW w:w="3173" w:type="dxa"/>
            <w:shd w:val="clear" w:color="auto" w:fill="auto"/>
            <w:vAlign w:val="center"/>
            <w:hideMark/>
          </w:tcPr>
          <w:p w14:paraId="7CC34D92" w14:textId="77777777" w:rsidR="007376E1" w:rsidRPr="001570EA" w:rsidRDefault="007376E1">
            <w:pPr>
              <w:keepNext/>
              <w:jc w:val="center"/>
              <w:rPr>
                <w:rFonts w:cs="Arial"/>
                <w:color w:val="000000"/>
                <w:sz w:val="18"/>
                <w:szCs w:val="18"/>
              </w:rPr>
            </w:pPr>
            <w:r w:rsidRPr="001570EA">
              <w:rPr>
                <w:rFonts w:cs="Arial"/>
                <w:color w:val="000000"/>
                <w:sz w:val="18"/>
                <w:szCs w:val="18"/>
              </w:rPr>
              <w:t>ASHP</w:t>
            </w:r>
          </w:p>
        </w:tc>
        <w:tc>
          <w:tcPr>
            <w:tcW w:w="1407" w:type="dxa"/>
            <w:vAlign w:val="center"/>
          </w:tcPr>
          <w:p w14:paraId="6B83D30C" w14:textId="77777777" w:rsidR="007376E1" w:rsidRPr="001570EA" w:rsidRDefault="007376E1">
            <w:pPr>
              <w:keepNext/>
              <w:jc w:val="center"/>
              <w:rPr>
                <w:rFonts w:cs="Arial"/>
                <w:color w:val="000000"/>
                <w:sz w:val="18"/>
                <w:szCs w:val="18"/>
              </w:rPr>
            </w:pPr>
            <w:r w:rsidRPr="001570EA">
              <w:rPr>
                <w:rFonts w:cs="Arial"/>
                <w:color w:val="000000"/>
                <w:sz w:val="18"/>
                <w:szCs w:val="18"/>
              </w:rPr>
              <w:t>7.5</w:t>
            </w:r>
          </w:p>
        </w:tc>
        <w:tc>
          <w:tcPr>
            <w:tcW w:w="1527" w:type="dxa"/>
            <w:shd w:val="clear" w:color="auto" w:fill="auto"/>
            <w:vAlign w:val="center"/>
            <w:hideMark/>
          </w:tcPr>
          <w:p w14:paraId="3B445AB0" w14:textId="77777777" w:rsidR="007376E1" w:rsidRPr="001570EA" w:rsidRDefault="007376E1">
            <w:pPr>
              <w:keepNext/>
              <w:jc w:val="center"/>
              <w:rPr>
                <w:rFonts w:cs="Arial"/>
                <w:color w:val="000000"/>
                <w:sz w:val="18"/>
                <w:szCs w:val="18"/>
              </w:rPr>
            </w:pPr>
            <w:r w:rsidRPr="001570EA">
              <w:rPr>
                <w:rFonts w:cs="Arial"/>
                <w:color w:val="000000"/>
                <w:sz w:val="18"/>
                <w:szCs w:val="18"/>
              </w:rPr>
              <w:t>3%</w:t>
            </w:r>
          </w:p>
        </w:tc>
      </w:tr>
      <w:tr w:rsidR="007376E1" w:rsidRPr="001570EA" w14:paraId="3E7DA39E" w14:textId="77777777">
        <w:trPr>
          <w:trHeight w:val="288"/>
        </w:trPr>
        <w:tc>
          <w:tcPr>
            <w:tcW w:w="3173" w:type="dxa"/>
            <w:shd w:val="clear" w:color="auto" w:fill="auto"/>
            <w:vAlign w:val="center"/>
            <w:hideMark/>
          </w:tcPr>
          <w:p w14:paraId="6D06251B" w14:textId="77777777" w:rsidR="007376E1" w:rsidRPr="001570EA" w:rsidRDefault="007376E1">
            <w:pPr>
              <w:keepNext/>
              <w:jc w:val="center"/>
              <w:rPr>
                <w:rFonts w:cs="Arial"/>
                <w:color w:val="000000"/>
                <w:sz w:val="18"/>
                <w:szCs w:val="18"/>
              </w:rPr>
            </w:pPr>
            <w:r w:rsidRPr="001570EA">
              <w:rPr>
                <w:rFonts w:cs="Arial"/>
                <w:color w:val="000000"/>
                <w:sz w:val="18"/>
                <w:szCs w:val="18"/>
              </w:rPr>
              <w:t>Electric furnace</w:t>
            </w:r>
          </w:p>
        </w:tc>
        <w:tc>
          <w:tcPr>
            <w:tcW w:w="1407" w:type="dxa"/>
            <w:vAlign w:val="center"/>
          </w:tcPr>
          <w:p w14:paraId="1FCA63FD" w14:textId="77777777" w:rsidR="007376E1" w:rsidRPr="001570EA" w:rsidRDefault="007376E1">
            <w:pPr>
              <w:keepNext/>
              <w:jc w:val="center"/>
              <w:rPr>
                <w:rFonts w:cs="Arial"/>
                <w:color w:val="000000"/>
                <w:sz w:val="18"/>
                <w:szCs w:val="18"/>
              </w:rPr>
            </w:pPr>
            <w:r w:rsidRPr="001570EA">
              <w:rPr>
                <w:rFonts w:cs="Arial"/>
                <w:color w:val="000000"/>
                <w:sz w:val="18"/>
                <w:szCs w:val="18"/>
              </w:rPr>
              <w:t>2.7</w:t>
            </w:r>
          </w:p>
        </w:tc>
        <w:tc>
          <w:tcPr>
            <w:tcW w:w="1527" w:type="dxa"/>
            <w:shd w:val="clear" w:color="auto" w:fill="auto"/>
            <w:vAlign w:val="center"/>
            <w:hideMark/>
          </w:tcPr>
          <w:p w14:paraId="326A9908" w14:textId="77777777" w:rsidR="007376E1" w:rsidRPr="001570EA" w:rsidRDefault="007376E1">
            <w:pPr>
              <w:keepNext/>
              <w:jc w:val="center"/>
              <w:rPr>
                <w:rFonts w:cs="Arial"/>
                <w:color w:val="000000"/>
                <w:sz w:val="18"/>
                <w:szCs w:val="18"/>
              </w:rPr>
            </w:pPr>
            <w:r w:rsidRPr="001570EA">
              <w:rPr>
                <w:rFonts w:cs="Arial"/>
                <w:color w:val="000000"/>
                <w:sz w:val="18"/>
                <w:szCs w:val="18"/>
              </w:rPr>
              <w:t>1%</w:t>
            </w:r>
          </w:p>
        </w:tc>
      </w:tr>
      <w:tr w:rsidR="007376E1" w:rsidRPr="001570EA" w14:paraId="5613FC99" w14:textId="77777777">
        <w:trPr>
          <w:trHeight w:val="288"/>
        </w:trPr>
        <w:tc>
          <w:tcPr>
            <w:tcW w:w="3173" w:type="dxa"/>
            <w:shd w:val="clear" w:color="auto" w:fill="auto"/>
            <w:vAlign w:val="center"/>
            <w:hideMark/>
          </w:tcPr>
          <w:p w14:paraId="74FACAD3" w14:textId="77777777" w:rsidR="007376E1" w:rsidRPr="001570EA" w:rsidRDefault="007376E1">
            <w:pPr>
              <w:keepNext/>
              <w:jc w:val="center"/>
              <w:rPr>
                <w:rFonts w:cs="Arial"/>
                <w:color w:val="000000"/>
                <w:sz w:val="18"/>
                <w:szCs w:val="18"/>
              </w:rPr>
            </w:pPr>
            <w:r w:rsidRPr="001570EA">
              <w:rPr>
                <w:rFonts w:cs="Arial"/>
                <w:color w:val="000000"/>
                <w:sz w:val="18"/>
                <w:szCs w:val="18"/>
              </w:rPr>
              <w:t>Electric resistance or de facto space heaters</w:t>
            </w:r>
          </w:p>
        </w:tc>
        <w:tc>
          <w:tcPr>
            <w:tcW w:w="1407" w:type="dxa"/>
            <w:vAlign w:val="center"/>
          </w:tcPr>
          <w:p w14:paraId="5443E61B" w14:textId="77777777" w:rsidR="007376E1" w:rsidRPr="001570EA" w:rsidRDefault="007376E1">
            <w:pPr>
              <w:keepNext/>
              <w:jc w:val="center"/>
              <w:rPr>
                <w:rFonts w:cs="Arial"/>
                <w:color w:val="000000"/>
                <w:sz w:val="18"/>
                <w:szCs w:val="18"/>
              </w:rPr>
            </w:pPr>
            <w:r w:rsidRPr="001570EA">
              <w:rPr>
                <w:rFonts w:cs="Arial"/>
                <w:color w:val="000000"/>
                <w:sz w:val="18"/>
                <w:szCs w:val="18"/>
              </w:rPr>
              <w:t>2.9</w:t>
            </w:r>
          </w:p>
        </w:tc>
        <w:tc>
          <w:tcPr>
            <w:tcW w:w="1527" w:type="dxa"/>
            <w:shd w:val="clear" w:color="auto" w:fill="auto"/>
            <w:vAlign w:val="center"/>
            <w:hideMark/>
          </w:tcPr>
          <w:p w14:paraId="4BDF718D" w14:textId="77777777" w:rsidR="007376E1" w:rsidRPr="001570EA" w:rsidRDefault="007376E1">
            <w:pPr>
              <w:keepNext/>
              <w:jc w:val="center"/>
              <w:rPr>
                <w:rFonts w:cs="Arial"/>
                <w:color w:val="000000"/>
                <w:sz w:val="18"/>
                <w:szCs w:val="18"/>
              </w:rPr>
            </w:pPr>
            <w:r w:rsidRPr="001570EA">
              <w:rPr>
                <w:rFonts w:cs="Arial"/>
                <w:color w:val="000000"/>
                <w:sz w:val="18"/>
                <w:szCs w:val="18"/>
              </w:rPr>
              <w:t>32%</w:t>
            </w:r>
          </w:p>
        </w:tc>
      </w:tr>
      <w:tr w:rsidR="007376E1" w:rsidRPr="001570EA" w14:paraId="09CC9C4F" w14:textId="77777777">
        <w:trPr>
          <w:trHeight w:val="288"/>
        </w:trPr>
        <w:tc>
          <w:tcPr>
            <w:tcW w:w="3173" w:type="dxa"/>
            <w:shd w:val="clear" w:color="auto" w:fill="auto"/>
            <w:vAlign w:val="center"/>
            <w:hideMark/>
          </w:tcPr>
          <w:p w14:paraId="57CE5345" w14:textId="77777777" w:rsidR="007376E1" w:rsidRPr="001570EA" w:rsidRDefault="007376E1">
            <w:pPr>
              <w:keepNext/>
              <w:jc w:val="center"/>
              <w:rPr>
                <w:rFonts w:cs="Arial"/>
                <w:color w:val="000000"/>
                <w:sz w:val="18"/>
                <w:szCs w:val="18"/>
              </w:rPr>
            </w:pPr>
            <w:r w:rsidRPr="001570EA">
              <w:rPr>
                <w:rFonts w:cs="Arial"/>
                <w:color w:val="000000"/>
                <w:sz w:val="18"/>
                <w:szCs w:val="18"/>
              </w:rPr>
              <w:t>No existing or non-electric heating</w:t>
            </w:r>
          </w:p>
        </w:tc>
        <w:tc>
          <w:tcPr>
            <w:tcW w:w="1407" w:type="dxa"/>
            <w:vAlign w:val="center"/>
          </w:tcPr>
          <w:p w14:paraId="215D682B" w14:textId="77777777" w:rsidR="007376E1" w:rsidRPr="001570EA" w:rsidRDefault="007376E1">
            <w:pPr>
              <w:keepNext/>
              <w:jc w:val="center"/>
              <w:rPr>
                <w:rFonts w:cs="Arial"/>
                <w:color w:val="000000"/>
                <w:sz w:val="18"/>
                <w:szCs w:val="18"/>
              </w:rPr>
            </w:pPr>
            <w:r w:rsidRPr="001570EA">
              <w:rPr>
                <w:rFonts w:cs="Arial"/>
                <w:color w:val="000000"/>
                <w:sz w:val="18"/>
                <w:szCs w:val="18"/>
              </w:rPr>
              <w:t>7.5</w:t>
            </w:r>
          </w:p>
        </w:tc>
        <w:tc>
          <w:tcPr>
            <w:tcW w:w="1527" w:type="dxa"/>
            <w:shd w:val="clear" w:color="auto" w:fill="auto"/>
            <w:vAlign w:val="center"/>
            <w:hideMark/>
          </w:tcPr>
          <w:p w14:paraId="1771F4E4" w14:textId="77777777" w:rsidR="007376E1" w:rsidRPr="001570EA" w:rsidRDefault="007376E1">
            <w:pPr>
              <w:keepNext/>
              <w:jc w:val="center"/>
              <w:rPr>
                <w:rFonts w:cs="Arial"/>
                <w:color w:val="000000"/>
                <w:sz w:val="18"/>
                <w:szCs w:val="18"/>
              </w:rPr>
            </w:pPr>
            <w:r w:rsidRPr="001570EA">
              <w:rPr>
                <w:rFonts w:cs="Arial"/>
                <w:color w:val="000000"/>
                <w:sz w:val="18"/>
                <w:szCs w:val="18"/>
              </w:rPr>
              <w:t>57%</w:t>
            </w:r>
          </w:p>
        </w:tc>
      </w:tr>
      <w:tr w:rsidR="007376E1" w:rsidRPr="001570EA" w14:paraId="257BFF6C" w14:textId="77777777">
        <w:trPr>
          <w:trHeight w:val="288"/>
        </w:trPr>
        <w:tc>
          <w:tcPr>
            <w:tcW w:w="3173" w:type="dxa"/>
            <w:tcBorders>
              <w:bottom w:val="thinThickThinSmallGap" w:sz="12" w:space="0" w:color="auto"/>
            </w:tcBorders>
            <w:shd w:val="clear" w:color="auto" w:fill="auto"/>
            <w:vAlign w:val="center"/>
            <w:hideMark/>
          </w:tcPr>
          <w:p w14:paraId="09952F23" w14:textId="77777777" w:rsidR="007376E1" w:rsidRPr="001570EA" w:rsidRDefault="007376E1">
            <w:pPr>
              <w:keepNext/>
              <w:jc w:val="center"/>
              <w:rPr>
                <w:rFonts w:cs="Arial"/>
                <w:color w:val="000000"/>
                <w:sz w:val="18"/>
                <w:szCs w:val="18"/>
              </w:rPr>
            </w:pPr>
            <w:r w:rsidRPr="001570EA">
              <w:rPr>
                <w:rFonts w:cs="Arial"/>
                <w:color w:val="000000"/>
                <w:sz w:val="18"/>
                <w:szCs w:val="18"/>
              </w:rPr>
              <w:t>Standard DHP</w:t>
            </w:r>
          </w:p>
        </w:tc>
        <w:tc>
          <w:tcPr>
            <w:tcW w:w="1407" w:type="dxa"/>
            <w:tcBorders>
              <w:bottom w:val="thinThickThinSmallGap" w:sz="12" w:space="0" w:color="auto"/>
            </w:tcBorders>
            <w:vAlign w:val="center"/>
          </w:tcPr>
          <w:p w14:paraId="3B3DFA2D" w14:textId="77777777" w:rsidR="007376E1" w:rsidRPr="001570EA" w:rsidRDefault="007376E1">
            <w:pPr>
              <w:keepNext/>
              <w:jc w:val="center"/>
              <w:rPr>
                <w:rFonts w:cs="Arial"/>
                <w:color w:val="000000"/>
                <w:sz w:val="18"/>
                <w:szCs w:val="18"/>
              </w:rPr>
            </w:pPr>
            <w:r w:rsidRPr="001570EA">
              <w:rPr>
                <w:rFonts w:cs="Arial"/>
                <w:color w:val="000000"/>
                <w:sz w:val="18"/>
                <w:szCs w:val="18"/>
              </w:rPr>
              <w:t>7.5</w:t>
            </w:r>
          </w:p>
        </w:tc>
        <w:tc>
          <w:tcPr>
            <w:tcW w:w="1527" w:type="dxa"/>
            <w:tcBorders>
              <w:bottom w:val="thinThickThinSmallGap" w:sz="12" w:space="0" w:color="auto"/>
            </w:tcBorders>
            <w:shd w:val="clear" w:color="auto" w:fill="auto"/>
            <w:vAlign w:val="center"/>
            <w:hideMark/>
          </w:tcPr>
          <w:p w14:paraId="53B36D7C" w14:textId="77777777" w:rsidR="007376E1" w:rsidRPr="001570EA" w:rsidRDefault="007376E1">
            <w:pPr>
              <w:keepNext/>
              <w:jc w:val="center"/>
              <w:rPr>
                <w:rFonts w:cs="Arial"/>
                <w:color w:val="000000"/>
                <w:sz w:val="18"/>
                <w:szCs w:val="18"/>
              </w:rPr>
            </w:pPr>
            <w:r w:rsidRPr="001570EA">
              <w:rPr>
                <w:rFonts w:cs="Arial"/>
                <w:color w:val="000000"/>
                <w:sz w:val="18"/>
                <w:szCs w:val="18"/>
              </w:rPr>
              <w:t>8%</w:t>
            </w:r>
          </w:p>
        </w:tc>
      </w:tr>
      <w:tr w:rsidR="007376E1" w:rsidRPr="001570EA" w14:paraId="6AA40366" w14:textId="77777777">
        <w:trPr>
          <w:trHeight w:val="288"/>
        </w:trPr>
        <w:tc>
          <w:tcPr>
            <w:tcW w:w="3173" w:type="dxa"/>
            <w:tcBorders>
              <w:top w:val="thinThickThinSmallGap" w:sz="12" w:space="0" w:color="auto"/>
            </w:tcBorders>
            <w:shd w:val="clear" w:color="auto" w:fill="F2F2F2" w:themeFill="background1" w:themeFillShade="F2"/>
            <w:vAlign w:val="center"/>
          </w:tcPr>
          <w:p w14:paraId="21028FC1" w14:textId="77777777" w:rsidR="007376E1" w:rsidRPr="001570EA" w:rsidRDefault="007376E1">
            <w:pPr>
              <w:keepNext/>
              <w:jc w:val="center"/>
              <w:rPr>
                <w:rFonts w:cs="Arial"/>
                <w:color w:val="000000"/>
                <w:sz w:val="18"/>
                <w:szCs w:val="18"/>
              </w:rPr>
            </w:pPr>
            <w:r w:rsidRPr="001570EA">
              <w:rPr>
                <w:rFonts w:cs="Arial"/>
                <w:color w:val="000000"/>
                <w:sz w:val="18"/>
                <w:szCs w:val="18"/>
              </w:rPr>
              <w:t>Composite</w:t>
            </w:r>
          </w:p>
        </w:tc>
        <w:tc>
          <w:tcPr>
            <w:tcW w:w="1407" w:type="dxa"/>
            <w:tcBorders>
              <w:top w:val="thinThickThinSmallGap" w:sz="12" w:space="0" w:color="auto"/>
            </w:tcBorders>
            <w:shd w:val="clear" w:color="auto" w:fill="F2F2F2" w:themeFill="background1" w:themeFillShade="F2"/>
            <w:vAlign w:val="center"/>
          </w:tcPr>
          <w:p w14:paraId="7A519775" w14:textId="77777777" w:rsidR="007376E1" w:rsidRPr="001570EA" w:rsidRDefault="007376E1">
            <w:pPr>
              <w:keepNext/>
              <w:jc w:val="center"/>
              <w:rPr>
                <w:rFonts w:cs="Arial"/>
                <w:color w:val="000000"/>
                <w:sz w:val="18"/>
                <w:szCs w:val="18"/>
              </w:rPr>
            </w:pPr>
            <w:r w:rsidRPr="001570EA">
              <w:rPr>
                <w:rFonts w:cs="Arial"/>
                <w:color w:val="000000"/>
                <w:sz w:val="18"/>
                <w:szCs w:val="18"/>
              </w:rPr>
              <w:t>6.0</w:t>
            </w:r>
          </w:p>
        </w:tc>
        <w:tc>
          <w:tcPr>
            <w:tcW w:w="1527" w:type="dxa"/>
            <w:tcBorders>
              <w:top w:val="thinThickThinSmallGap" w:sz="12" w:space="0" w:color="auto"/>
            </w:tcBorders>
            <w:shd w:val="clear" w:color="auto" w:fill="F2F2F2" w:themeFill="background1" w:themeFillShade="F2"/>
            <w:vAlign w:val="center"/>
          </w:tcPr>
          <w:p w14:paraId="272C541F" w14:textId="77777777" w:rsidR="007376E1" w:rsidRPr="001570EA" w:rsidRDefault="007376E1">
            <w:pPr>
              <w:keepNext/>
              <w:jc w:val="center"/>
              <w:rPr>
                <w:rFonts w:cs="Arial"/>
                <w:color w:val="000000"/>
                <w:sz w:val="18"/>
                <w:szCs w:val="18"/>
              </w:rPr>
            </w:pPr>
            <w:r w:rsidRPr="001570EA">
              <w:rPr>
                <w:rFonts w:cs="Arial"/>
                <w:color w:val="000000"/>
                <w:sz w:val="18"/>
                <w:szCs w:val="18"/>
              </w:rPr>
              <w:t>100%</w:t>
            </w:r>
          </w:p>
        </w:tc>
      </w:tr>
    </w:tbl>
    <w:p w14:paraId="31234D9A" w14:textId="77777777" w:rsidR="007376E1" w:rsidRPr="001570EA" w:rsidRDefault="007376E1" w:rsidP="007376E1">
      <w:pPr>
        <w:rPr>
          <w:rFonts w:cs="Arial"/>
        </w:rPr>
      </w:pPr>
    </w:p>
    <w:p w14:paraId="3264D5DA" w14:textId="7515C753" w:rsidR="007376E1" w:rsidRPr="001570EA" w:rsidRDefault="001C6937" w:rsidP="007376E1">
      <w:pPr>
        <w:pStyle w:val="Caption"/>
        <w:jc w:val="left"/>
      </w:pPr>
      <w:bookmarkStart w:id="222" w:name="_Ref525115781"/>
      <w:bookmarkStart w:id="223" w:name="_Toc47598261"/>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22</w:t>
      </w:r>
      <w:r w:rsidR="002E093A" w:rsidRPr="001570EA">
        <w:fldChar w:fldCharType="end"/>
      </w:r>
      <w:r w:rsidRPr="001570EA">
        <w:t>: Midstream DHP – DLFcool and O</w:t>
      </w:r>
      <w:r w:rsidR="00045A65" w:rsidRPr="001570EA">
        <w:t>f</w:t>
      </w:r>
      <w:r w:rsidRPr="001570EA">
        <w:t>cool Baseline Splits</w:t>
      </w:r>
      <w:bookmarkEnd w:id="222"/>
      <w:bookmarkEnd w:id="223"/>
    </w:p>
    <w:tbl>
      <w:tblPr>
        <w:tblW w:w="6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4"/>
        <w:gridCol w:w="1170"/>
        <w:gridCol w:w="1170"/>
        <w:gridCol w:w="1170"/>
      </w:tblGrid>
      <w:tr w:rsidR="007376E1" w:rsidRPr="001570EA" w14:paraId="1998283C" w14:textId="77777777">
        <w:trPr>
          <w:trHeight w:val="288"/>
        </w:trPr>
        <w:tc>
          <w:tcPr>
            <w:tcW w:w="2804" w:type="dxa"/>
            <w:shd w:val="clear" w:color="000000" w:fill="BFBFBF"/>
            <w:vAlign w:val="center"/>
            <w:hideMark/>
          </w:tcPr>
          <w:p w14:paraId="616CDBEB" w14:textId="77777777" w:rsidR="007376E1" w:rsidRPr="001570EA" w:rsidRDefault="007376E1">
            <w:pPr>
              <w:keepNext/>
              <w:jc w:val="center"/>
              <w:rPr>
                <w:rFonts w:cs="Arial"/>
                <w:b/>
                <w:bCs/>
                <w:color w:val="000000"/>
                <w:sz w:val="18"/>
                <w:szCs w:val="18"/>
              </w:rPr>
            </w:pPr>
            <w:r w:rsidRPr="001570EA">
              <w:rPr>
                <w:rFonts w:cs="Arial"/>
                <w:b/>
                <w:bCs/>
                <w:color w:val="000000"/>
                <w:sz w:val="18"/>
                <w:szCs w:val="18"/>
              </w:rPr>
              <w:t>Cooling Type</w:t>
            </w:r>
          </w:p>
        </w:tc>
        <w:tc>
          <w:tcPr>
            <w:tcW w:w="1170" w:type="dxa"/>
            <w:shd w:val="clear" w:color="000000" w:fill="BFBFBF"/>
            <w:vAlign w:val="center"/>
          </w:tcPr>
          <w:p w14:paraId="283DAA67" w14:textId="77777777" w:rsidR="007376E1" w:rsidRPr="001570EA" w:rsidRDefault="007376E1">
            <w:pPr>
              <w:keepNext/>
              <w:jc w:val="center"/>
              <w:rPr>
                <w:rFonts w:cs="Arial"/>
                <w:b/>
                <w:bCs/>
                <w:color w:val="000000"/>
                <w:sz w:val="18"/>
                <w:szCs w:val="18"/>
              </w:rPr>
            </w:pPr>
            <w:r w:rsidRPr="001570EA">
              <w:rPr>
                <w:rFonts w:cs="Arial"/>
                <w:b/>
                <w:bCs/>
                <w:color w:val="000000"/>
                <w:sz w:val="18"/>
                <w:szCs w:val="18"/>
              </w:rPr>
              <w:t>DLF</w:t>
            </w:r>
            <w:r w:rsidRPr="001570EA">
              <w:rPr>
                <w:rFonts w:cs="Arial"/>
                <w:b/>
                <w:bCs/>
                <w:color w:val="000000"/>
                <w:sz w:val="18"/>
                <w:szCs w:val="18"/>
                <w:vertAlign w:val="subscript"/>
              </w:rPr>
              <w:t>cool</w:t>
            </w:r>
          </w:p>
        </w:tc>
        <w:tc>
          <w:tcPr>
            <w:tcW w:w="1170" w:type="dxa"/>
            <w:shd w:val="clear" w:color="000000" w:fill="BFBFBF"/>
            <w:vAlign w:val="center"/>
          </w:tcPr>
          <w:p w14:paraId="60BEF7B3" w14:textId="77777777" w:rsidR="007376E1" w:rsidRPr="001570EA" w:rsidRDefault="007376E1">
            <w:pPr>
              <w:keepNext/>
              <w:jc w:val="center"/>
              <w:rPr>
                <w:rFonts w:cs="Arial"/>
                <w:b/>
                <w:bCs/>
                <w:color w:val="000000"/>
                <w:sz w:val="18"/>
                <w:szCs w:val="18"/>
              </w:rPr>
            </w:pPr>
            <w:r w:rsidRPr="001570EA">
              <w:rPr>
                <w:rFonts w:cs="Arial"/>
                <w:b/>
                <w:bCs/>
                <w:color w:val="000000"/>
                <w:sz w:val="18"/>
                <w:szCs w:val="18"/>
              </w:rPr>
              <w:t>OF</w:t>
            </w:r>
            <w:r w:rsidRPr="001570EA">
              <w:rPr>
                <w:rFonts w:cs="Arial"/>
                <w:b/>
                <w:bCs/>
                <w:color w:val="000000"/>
                <w:sz w:val="18"/>
                <w:szCs w:val="18"/>
                <w:vertAlign w:val="subscript"/>
              </w:rPr>
              <w:t>cool</w:t>
            </w:r>
          </w:p>
        </w:tc>
        <w:tc>
          <w:tcPr>
            <w:tcW w:w="1170" w:type="dxa"/>
            <w:shd w:val="clear" w:color="000000" w:fill="BFBFBF"/>
            <w:vAlign w:val="center"/>
            <w:hideMark/>
          </w:tcPr>
          <w:p w14:paraId="19317668" w14:textId="77777777" w:rsidR="007376E1" w:rsidRPr="001570EA" w:rsidRDefault="007376E1">
            <w:pPr>
              <w:keepNext/>
              <w:jc w:val="center"/>
              <w:rPr>
                <w:rFonts w:cs="Arial"/>
                <w:b/>
                <w:bCs/>
                <w:color w:val="000000"/>
                <w:sz w:val="18"/>
                <w:szCs w:val="18"/>
              </w:rPr>
            </w:pPr>
            <w:r w:rsidRPr="001570EA">
              <w:rPr>
                <w:rFonts w:cs="Arial"/>
                <w:b/>
                <w:bCs/>
                <w:color w:val="000000"/>
                <w:sz w:val="18"/>
                <w:szCs w:val="18"/>
              </w:rPr>
              <w:t>Split</w:t>
            </w:r>
          </w:p>
        </w:tc>
      </w:tr>
      <w:tr w:rsidR="007376E1" w:rsidRPr="001570EA" w14:paraId="46A9DE8B" w14:textId="77777777">
        <w:trPr>
          <w:trHeight w:val="288"/>
        </w:trPr>
        <w:tc>
          <w:tcPr>
            <w:tcW w:w="2804" w:type="dxa"/>
            <w:shd w:val="clear" w:color="auto" w:fill="auto"/>
            <w:vAlign w:val="center"/>
            <w:hideMark/>
          </w:tcPr>
          <w:p w14:paraId="7D4C3EF7" w14:textId="77777777" w:rsidR="007376E1" w:rsidRPr="001570EA" w:rsidRDefault="007376E1">
            <w:pPr>
              <w:keepNext/>
              <w:jc w:val="center"/>
              <w:rPr>
                <w:rFonts w:cs="Arial"/>
                <w:color w:val="000000"/>
                <w:sz w:val="18"/>
                <w:szCs w:val="18"/>
              </w:rPr>
            </w:pPr>
            <w:r w:rsidRPr="001570EA">
              <w:rPr>
                <w:rFonts w:cs="Arial"/>
                <w:color w:val="000000"/>
                <w:sz w:val="18"/>
                <w:szCs w:val="18"/>
              </w:rPr>
              <w:t>Central AC</w:t>
            </w:r>
          </w:p>
        </w:tc>
        <w:tc>
          <w:tcPr>
            <w:tcW w:w="1170" w:type="dxa"/>
            <w:vAlign w:val="center"/>
          </w:tcPr>
          <w:p w14:paraId="71187A45" w14:textId="77777777" w:rsidR="007376E1" w:rsidRPr="001570EA" w:rsidRDefault="007376E1">
            <w:pPr>
              <w:keepNext/>
              <w:jc w:val="center"/>
              <w:rPr>
                <w:rFonts w:cs="Arial"/>
                <w:color w:val="000000"/>
                <w:sz w:val="18"/>
                <w:szCs w:val="18"/>
              </w:rPr>
            </w:pPr>
            <w:r w:rsidRPr="001570EA">
              <w:rPr>
                <w:rFonts w:cs="Arial"/>
                <w:color w:val="000000"/>
                <w:sz w:val="18"/>
                <w:szCs w:val="18"/>
              </w:rPr>
              <w:t>1.15</w:t>
            </w:r>
          </w:p>
        </w:tc>
        <w:tc>
          <w:tcPr>
            <w:tcW w:w="1170" w:type="dxa"/>
            <w:vAlign w:val="center"/>
          </w:tcPr>
          <w:p w14:paraId="5317A2AD" w14:textId="77777777" w:rsidR="007376E1" w:rsidRPr="001570EA" w:rsidRDefault="007376E1">
            <w:pPr>
              <w:keepNext/>
              <w:jc w:val="center"/>
              <w:rPr>
                <w:rFonts w:cs="Arial"/>
                <w:color w:val="000000"/>
                <w:sz w:val="18"/>
                <w:szCs w:val="18"/>
              </w:rPr>
            </w:pPr>
            <w:r w:rsidRPr="001570EA">
              <w:rPr>
                <w:rFonts w:cs="Arial"/>
                <w:color w:val="000000"/>
                <w:sz w:val="18"/>
                <w:szCs w:val="18"/>
              </w:rPr>
              <w:t>1.0</w:t>
            </w:r>
          </w:p>
        </w:tc>
        <w:tc>
          <w:tcPr>
            <w:tcW w:w="1170" w:type="dxa"/>
            <w:shd w:val="clear" w:color="auto" w:fill="auto"/>
            <w:vAlign w:val="center"/>
            <w:hideMark/>
          </w:tcPr>
          <w:p w14:paraId="4CC89932" w14:textId="77777777" w:rsidR="007376E1" w:rsidRPr="001570EA" w:rsidRDefault="007376E1">
            <w:pPr>
              <w:keepNext/>
              <w:jc w:val="center"/>
              <w:rPr>
                <w:rFonts w:cs="Arial"/>
                <w:color w:val="000000"/>
                <w:sz w:val="18"/>
                <w:szCs w:val="18"/>
              </w:rPr>
            </w:pPr>
            <w:r w:rsidRPr="001570EA">
              <w:rPr>
                <w:rFonts w:cs="Arial"/>
                <w:color w:val="000000"/>
                <w:sz w:val="18"/>
                <w:szCs w:val="18"/>
              </w:rPr>
              <w:t>8%</w:t>
            </w:r>
          </w:p>
        </w:tc>
      </w:tr>
      <w:tr w:rsidR="007376E1" w:rsidRPr="001570EA" w14:paraId="555189DB" w14:textId="77777777">
        <w:trPr>
          <w:trHeight w:val="288"/>
        </w:trPr>
        <w:tc>
          <w:tcPr>
            <w:tcW w:w="2804" w:type="dxa"/>
            <w:shd w:val="clear" w:color="auto" w:fill="auto"/>
            <w:vAlign w:val="center"/>
            <w:hideMark/>
          </w:tcPr>
          <w:p w14:paraId="7DCB49FE" w14:textId="77777777" w:rsidR="007376E1" w:rsidRPr="001570EA" w:rsidRDefault="007376E1">
            <w:pPr>
              <w:keepNext/>
              <w:jc w:val="center"/>
              <w:rPr>
                <w:rFonts w:cs="Arial"/>
                <w:color w:val="000000"/>
                <w:sz w:val="18"/>
                <w:szCs w:val="18"/>
              </w:rPr>
            </w:pPr>
            <w:r w:rsidRPr="001570EA">
              <w:rPr>
                <w:rFonts w:cs="Arial"/>
                <w:color w:val="000000"/>
                <w:sz w:val="18"/>
                <w:szCs w:val="18"/>
              </w:rPr>
              <w:t>Central ASHP</w:t>
            </w:r>
          </w:p>
        </w:tc>
        <w:tc>
          <w:tcPr>
            <w:tcW w:w="1170" w:type="dxa"/>
            <w:vAlign w:val="center"/>
          </w:tcPr>
          <w:p w14:paraId="7AE28AC2" w14:textId="77777777" w:rsidR="007376E1" w:rsidRPr="001570EA" w:rsidRDefault="007376E1">
            <w:pPr>
              <w:keepNext/>
              <w:jc w:val="center"/>
              <w:rPr>
                <w:rFonts w:cs="Arial"/>
                <w:color w:val="000000"/>
                <w:sz w:val="18"/>
                <w:szCs w:val="18"/>
              </w:rPr>
            </w:pPr>
            <w:r w:rsidRPr="001570EA">
              <w:rPr>
                <w:rFonts w:cs="Arial"/>
                <w:color w:val="000000"/>
                <w:sz w:val="18"/>
                <w:szCs w:val="18"/>
              </w:rPr>
              <w:t>1.15</w:t>
            </w:r>
          </w:p>
        </w:tc>
        <w:tc>
          <w:tcPr>
            <w:tcW w:w="1170" w:type="dxa"/>
            <w:vAlign w:val="center"/>
          </w:tcPr>
          <w:p w14:paraId="5FF22D7C" w14:textId="77777777" w:rsidR="007376E1" w:rsidRPr="001570EA" w:rsidRDefault="007376E1">
            <w:pPr>
              <w:keepNext/>
              <w:jc w:val="center"/>
              <w:rPr>
                <w:rFonts w:cs="Arial"/>
                <w:color w:val="000000"/>
                <w:sz w:val="18"/>
                <w:szCs w:val="18"/>
              </w:rPr>
            </w:pPr>
            <w:r w:rsidRPr="001570EA">
              <w:rPr>
                <w:rFonts w:cs="Arial"/>
                <w:color w:val="000000"/>
                <w:sz w:val="18"/>
                <w:szCs w:val="18"/>
              </w:rPr>
              <w:t>1.0</w:t>
            </w:r>
          </w:p>
        </w:tc>
        <w:tc>
          <w:tcPr>
            <w:tcW w:w="1170" w:type="dxa"/>
            <w:shd w:val="clear" w:color="auto" w:fill="auto"/>
            <w:vAlign w:val="center"/>
            <w:hideMark/>
          </w:tcPr>
          <w:p w14:paraId="68C7D55F" w14:textId="77777777" w:rsidR="007376E1" w:rsidRPr="001570EA" w:rsidRDefault="007376E1">
            <w:pPr>
              <w:keepNext/>
              <w:jc w:val="center"/>
              <w:rPr>
                <w:rFonts w:cs="Arial"/>
                <w:color w:val="000000"/>
                <w:sz w:val="18"/>
                <w:szCs w:val="18"/>
              </w:rPr>
            </w:pPr>
            <w:r w:rsidRPr="001570EA">
              <w:rPr>
                <w:rFonts w:cs="Arial"/>
                <w:color w:val="000000"/>
                <w:sz w:val="18"/>
                <w:szCs w:val="18"/>
              </w:rPr>
              <w:t>5%</w:t>
            </w:r>
          </w:p>
        </w:tc>
      </w:tr>
      <w:tr w:rsidR="007376E1" w:rsidRPr="001570EA" w14:paraId="0144195F" w14:textId="77777777">
        <w:trPr>
          <w:trHeight w:val="288"/>
        </w:trPr>
        <w:tc>
          <w:tcPr>
            <w:tcW w:w="2804" w:type="dxa"/>
            <w:shd w:val="clear" w:color="auto" w:fill="auto"/>
            <w:vAlign w:val="center"/>
            <w:hideMark/>
          </w:tcPr>
          <w:p w14:paraId="3422896D" w14:textId="77777777" w:rsidR="007376E1" w:rsidRPr="001570EA" w:rsidRDefault="007376E1">
            <w:pPr>
              <w:keepNext/>
              <w:jc w:val="center"/>
              <w:rPr>
                <w:rFonts w:cs="Arial"/>
                <w:color w:val="000000"/>
                <w:sz w:val="18"/>
                <w:szCs w:val="18"/>
              </w:rPr>
            </w:pPr>
            <w:r w:rsidRPr="001570EA">
              <w:rPr>
                <w:rFonts w:cs="Arial"/>
                <w:color w:val="000000"/>
                <w:sz w:val="18"/>
                <w:szCs w:val="18"/>
              </w:rPr>
              <w:t>Ductless Heat Pump</w:t>
            </w:r>
          </w:p>
        </w:tc>
        <w:tc>
          <w:tcPr>
            <w:tcW w:w="1170" w:type="dxa"/>
            <w:vAlign w:val="center"/>
          </w:tcPr>
          <w:p w14:paraId="2BFEDF89" w14:textId="77777777" w:rsidR="007376E1" w:rsidRPr="001570EA" w:rsidRDefault="007376E1">
            <w:pPr>
              <w:keepNext/>
              <w:jc w:val="center"/>
              <w:rPr>
                <w:rFonts w:cs="Arial"/>
                <w:color w:val="000000"/>
                <w:sz w:val="18"/>
                <w:szCs w:val="18"/>
              </w:rPr>
            </w:pPr>
            <w:r w:rsidRPr="001570EA">
              <w:rPr>
                <w:rFonts w:cs="Arial"/>
                <w:color w:val="000000"/>
                <w:sz w:val="18"/>
                <w:szCs w:val="18"/>
              </w:rPr>
              <w:t>1.00</w:t>
            </w:r>
          </w:p>
        </w:tc>
        <w:tc>
          <w:tcPr>
            <w:tcW w:w="1170" w:type="dxa"/>
            <w:vAlign w:val="center"/>
          </w:tcPr>
          <w:p w14:paraId="6BD24270" w14:textId="77777777" w:rsidR="007376E1" w:rsidRPr="001570EA" w:rsidRDefault="007376E1">
            <w:pPr>
              <w:keepNext/>
              <w:jc w:val="center"/>
              <w:rPr>
                <w:rFonts w:cs="Arial"/>
                <w:color w:val="000000"/>
                <w:sz w:val="18"/>
                <w:szCs w:val="18"/>
              </w:rPr>
            </w:pPr>
            <w:r w:rsidRPr="001570EA">
              <w:rPr>
                <w:rFonts w:cs="Arial"/>
                <w:color w:val="000000"/>
                <w:sz w:val="18"/>
                <w:szCs w:val="18"/>
              </w:rPr>
              <w:t>1.0</w:t>
            </w:r>
          </w:p>
        </w:tc>
        <w:tc>
          <w:tcPr>
            <w:tcW w:w="1170" w:type="dxa"/>
            <w:shd w:val="clear" w:color="auto" w:fill="auto"/>
            <w:vAlign w:val="center"/>
            <w:hideMark/>
          </w:tcPr>
          <w:p w14:paraId="7C4BC150" w14:textId="77777777" w:rsidR="007376E1" w:rsidRPr="001570EA" w:rsidRDefault="007376E1">
            <w:pPr>
              <w:keepNext/>
              <w:jc w:val="center"/>
              <w:rPr>
                <w:rFonts w:cs="Arial"/>
                <w:color w:val="000000"/>
                <w:sz w:val="18"/>
                <w:szCs w:val="18"/>
              </w:rPr>
            </w:pPr>
            <w:r w:rsidRPr="001570EA">
              <w:rPr>
                <w:rFonts w:cs="Arial"/>
                <w:color w:val="000000"/>
                <w:sz w:val="18"/>
                <w:szCs w:val="18"/>
              </w:rPr>
              <w:t>19%</w:t>
            </w:r>
          </w:p>
        </w:tc>
      </w:tr>
      <w:tr w:rsidR="007376E1" w:rsidRPr="001570EA" w14:paraId="6BF9D899" w14:textId="77777777">
        <w:trPr>
          <w:trHeight w:val="288"/>
        </w:trPr>
        <w:tc>
          <w:tcPr>
            <w:tcW w:w="2804" w:type="dxa"/>
            <w:tcBorders>
              <w:bottom w:val="thinThickThinSmallGap" w:sz="12" w:space="0" w:color="auto"/>
            </w:tcBorders>
            <w:shd w:val="clear" w:color="auto" w:fill="auto"/>
            <w:vAlign w:val="center"/>
            <w:hideMark/>
          </w:tcPr>
          <w:p w14:paraId="2C8DF601" w14:textId="77777777" w:rsidR="007376E1" w:rsidRPr="001570EA" w:rsidRDefault="007376E1">
            <w:pPr>
              <w:keepNext/>
              <w:jc w:val="center"/>
              <w:rPr>
                <w:rFonts w:cs="Arial"/>
                <w:color w:val="000000"/>
                <w:sz w:val="18"/>
                <w:szCs w:val="18"/>
              </w:rPr>
            </w:pPr>
            <w:r w:rsidRPr="001570EA">
              <w:rPr>
                <w:rFonts w:cs="Arial"/>
                <w:color w:val="000000"/>
                <w:sz w:val="18"/>
                <w:szCs w:val="18"/>
              </w:rPr>
              <w:t>Room AC</w:t>
            </w:r>
          </w:p>
        </w:tc>
        <w:tc>
          <w:tcPr>
            <w:tcW w:w="1170" w:type="dxa"/>
            <w:tcBorders>
              <w:bottom w:val="thinThickThinSmallGap" w:sz="12" w:space="0" w:color="auto"/>
            </w:tcBorders>
            <w:vAlign w:val="center"/>
          </w:tcPr>
          <w:p w14:paraId="5D234972" w14:textId="77777777" w:rsidR="007376E1" w:rsidRPr="001570EA" w:rsidRDefault="007376E1">
            <w:pPr>
              <w:keepNext/>
              <w:jc w:val="center"/>
              <w:rPr>
                <w:rFonts w:cs="Arial"/>
                <w:color w:val="000000"/>
                <w:sz w:val="18"/>
                <w:szCs w:val="18"/>
              </w:rPr>
            </w:pPr>
            <w:r w:rsidRPr="001570EA">
              <w:rPr>
                <w:rFonts w:cs="Arial"/>
                <w:color w:val="000000"/>
                <w:sz w:val="18"/>
                <w:szCs w:val="18"/>
              </w:rPr>
              <w:t>1.00</w:t>
            </w:r>
          </w:p>
        </w:tc>
        <w:tc>
          <w:tcPr>
            <w:tcW w:w="1170" w:type="dxa"/>
            <w:tcBorders>
              <w:bottom w:val="thinThickThinSmallGap" w:sz="12" w:space="0" w:color="auto"/>
            </w:tcBorders>
            <w:vAlign w:val="center"/>
          </w:tcPr>
          <w:p w14:paraId="2DC591E3" w14:textId="77777777" w:rsidR="007376E1" w:rsidRPr="001570EA" w:rsidRDefault="007376E1">
            <w:pPr>
              <w:keepNext/>
              <w:jc w:val="center"/>
              <w:rPr>
                <w:rFonts w:cs="Arial"/>
                <w:color w:val="000000"/>
                <w:sz w:val="18"/>
                <w:szCs w:val="18"/>
              </w:rPr>
            </w:pPr>
            <w:r w:rsidRPr="001570EA">
              <w:rPr>
                <w:rFonts w:cs="Arial"/>
                <w:color w:val="000000"/>
                <w:sz w:val="18"/>
                <w:szCs w:val="18"/>
              </w:rPr>
              <w:t>1.0</w:t>
            </w:r>
          </w:p>
        </w:tc>
        <w:tc>
          <w:tcPr>
            <w:tcW w:w="1170" w:type="dxa"/>
            <w:tcBorders>
              <w:bottom w:val="thinThickThinSmallGap" w:sz="12" w:space="0" w:color="auto"/>
            </w:tcBorders>
            <w:shd w:val="clear" w:color="auto" w:fill="auto"/>
            <w:vAlign w:val="center"/>
            <w:hideMark/>
          </w:tcPr>
          <w:p w14:paraId="0F7A902D" w14:textId="77777777" w:rsidR="007376E1" w:rsidRPr="001570EA" w:rsidRDefault="007376E1">
            <w:pPr>
              <w:keepNext/>
              <w:jc w:val="center"/>
              <w:rPr>
                <w:rFonts w:cs="Arial"/>
                <w:color w:val="000000"/>
                <w:sz w:val="18"/>
                <w:szCs w:val="18"/>
              </w:rPr>
            </w:pPr>
            <w:r w:rsidRPr="001570EA">
              <w:rPr>
                <w:rFonts w:cs="Arial"/>
                <w:color w:val="000000"/>
                <w:sz w:val="18"/>
                <w:szCs w:val="18"/>
              </w:rPr>
              <w:t>69%</w:t>
            </w:r>
          </w:p>
        </w:tc>
      </w:tr>
      <w:tr w:rsidR="007376E1" w:rsidRPr="001570EA" w14:paraId="7CA3D732" w14:textId="77777777">
        <w:trPr>
          <w:trHeight w:val="288"/>
        </w:trPr>
        <w:tc>
          <w:tcPr>
            <w:tcW w:w="2804" w:type="dxa"/>
            <w:tcBorders>
              <w:top w:val="thinThickThinSmallGap" w:sz="12" w:space="0" w:color="auto"/>
            </w:tcBorders>
            <w:shd w:val="clear" w:color="auto" w:fill="F2F2F2" w:themeFill="background1" w:themeFillShade="F2"/>
            <w:vAlign w:val="center"/>
          </w:tcPr>
          <w:p w14:paraId="6AF76602" w14:textId="77777777" w:rsidR="007376E1" w:rsidRPr="001570EA" w:rsidRDefault="007376E1">
            <w:pPr>
              <w:keepNext/>
              <w:jc w:val="center"/>
              <w:rPr>
                <w:rFonts w:cs="Arial"/>
                <w:color w:val="000000"/>
                <w:sz w:val="18"/>
                <w:szCs w:val="18"/>
              </w:rPr>
            </w:pPr>
            <w:r w:rsidRPr="001570EA">
              <w:rPr>
                <w:rFonts w:cs="Arial"/>
                <w:color w:val="000000"/>
                <w:sz w:val="18"/>
                <w:szCs w:val="18"/>
              </w:rPr>
              <w:t>Composite</w:t>
            </w:r>
          </w:p>
        </w:tc>
        <w:tc>
          <w:tcPr>
            <w:tcW w:w="1170" w:type="dxa"/>
            <w:tcBorders>
              <w:top w:val="thinThickThinSmallGap" w:sz="12" w:space="0" w:color="auto"/>
            </w:tcBorders>
            <w:shd w:val="clear" w:color="auto" w:fill="F2F2F2" w:themeFill="background1" w:themeFillShade="F2"/>
            <w:vAlign w:val="center"/>
          </w:tcPr>
          <w:p w14:paraId="30114174" w14:textId="77777777" w:rsidR="007376E1" w:rsidRPr="001570EA" w:rsidRDefault="007376E1">
            <w:pPr>
              <w:keepNext/>
              <w:jc w:val="center"/>
              <w:rPr>
                <w:rFonts w:cs="Arial"/>
                <w:color w:val="000000"/>
                <w:sz w:val="18"/>
                <w:szCs w:val="18"/>
              </w:rPr>
            </w:pPr>
            <w:r w:rsidRPr="001570EA">
              <w:rPr>
                <w:rFonts w:cs="Arial"/>
                <w:color w:val="000000"/>
                <w:sz w:val="18"/>
                <w:szCs w:val="18"/>
              </w:rPr>
              <w:t>1.02</w:t>
            </w:r>
          </w:p>
        </w:tc>
        <w:tc>
          <w:tcPr>
            <w:tcW w:w="1170" w:type="dxa"/>
            <w:tcBorders>
              <w:top w:val="thinThickThinSmallGap" w:sz="12" w:space="0" w:color="auto"/>
              <w:bottom w:val="single" w:sz="8" w:space="0" w:color="auto"/>
            </w:tcBorders>
            <w:shd w:val="clear" w:color="auto" w:fill="F2F2F2" w:themeFill="background1" w:themeFillShade="F2"/>
            <w:vAlign w:val="center"/>
          </w:tcPr>
          <w:p w14:paraId="2108DA2E" w14:textId="77777777" w:rsidR="007376E1" w:rsidRPr="001570EA" w:rsidRDefault="007376E1">
            <w:pPr>
              <w:keepNext/>
              <w:jc w:val="center"/>
              <w:rPr>
                <w:rFonts w:cs="Arial"/>
                <w:color w:val="000000"/>
                <w:sz w:val="18"/>
                <w:szCs w:val="18"/>
              </w:rPr>
            </w:pPr>
            <w:r w:rsidRPr="001570EA">
              <w:rPr>
                <w:rFonts w:cs="Arial"/>
                <w:color w:val="000000"/>
                <w:sz w:val="18"/>
                <w:szCs w:val="18"/>
              </w:rPr>
              <w:t>1.0</w:t>
            </w:r>
          </w:p>
        </w:tc>
        <w:tc>
          <w:tcPr>
            <w:tcW w:w="1170" w:type="dxa"/>
            <w:tcBorders>
              <w:top w:val="thinThickThinSmallGap" w:sz="12" w:space="0" w:color="auto"/>
            </w:tcBorders>
            <w:shd w:val="clear" w:color="auto" w:fill="F2F2F2" w:themeFill="background1" w:themeFillShade="F2"/>
            <w:vAlign w:val="center"/>
          </w:tcPr>
          <w:p w14:paraId="6BA6E4C9" w14:textId="77777777" w:rsidR="007376E1" w:rsidRPr="001570EA" w:rsidRDefault="007376E1">
            <w:pPr>
              <w:keepNext/>
              <w:jc w:val="center"/>
              <w:rPr>
                <w:rFonts w:cs="Arial"/>
                <w:color w:val="000000"/>
                <w:sz w:val="18"/>
                <w:szCs w:val="18"/>
              </w:rPr>
            </w:pPr>
            <w:r w:rsidRPr="001570EA">
              <w:rPr>
                <w:rFonts w:cs="Arial"/>
                <w:color w:val="000000"/>
                <w:sz w:val="18"/>
                <w:szCs w:val="18"/>
              </w:rPr>
              <w:t>100%</w:t>
            </w:r>
          </w:p>
        </w:tc>
      </w:tr>
    </w:tbl>
    <w:p w14:paraId="348393D3" w14:textId="77777777" w:rsidR="007376E1" w:rsidRPr="001570EA" w:rsidRDefault="007376E1" w:rsidP="007376E1">
      <w:pPr>
        <w:pStyle w:val="Caption"/>
      </w:pPr>
      <w:bookmarkStart w:id="224" w:name="_Ref525115735"/>
    </w:p>
    <w:p w14:paraId="36CAC677" w14:textId="3161C453" w:rsidR="007376E1" w:rsidRPr="001570EA" w:rsidRDefault="001C6937" w:rsidP="007376E1">
      <w:pPr>
        <w:pStyle w:val="Caption"/>
        <w:jc w:val="left"/>
      </w:pPr>
      <w:bookmarkStart w:id="225" w:name="_Ref528136116"/>
      <w:bookmarkStart w:id="226" w:name="_Toc4759826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23</w:t>
      </w:r>
      <w:r w:rsidR="002E093A" w:rsidRPr="001570EA">
        <w:fldChar w:fldCharType="end"/>
      </w:r>
      <w:r w:rsidRPr="001570EA">
        <w:t>: Midstream DHP – DLFheat and O</w:t>
      </w:r>
      <w:r w:rsidR="00045A65" w:rsidRPr="001570EA">
        <w:t>f</w:t>
      </w:r>
      <w:r w:rsidRPr="001570EA">
        <w:t>heat Baseline Splits</w:t>
      </w:r>
      <w:bookmarkEnd w:id="225"/>
      <w:bookmarkEnd w:id="226"/>
    </w:p>
    <w:tbl>
      <w:tblPr>
        <w:tblW w:w="63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6"/>
        <w:gridCol w:w="1170"/>
        <w:gridCol w:w="1170"/>
        <w:gridCol w:w="1170"/>
      </w:tblGrid>
      <w:tr w:rsidR="007376E1" w:rsidRPr="001570EA" w14:paraId="038BD9A6" w14:textId="77777777">
        <w:trPr>
          <w:trHeight w:val="288"/>
        </w:trPr>
        <w:tc>
          <w:tcPr>
            <w:tcW w:w="2806" w:type="dxa"/>
            <w:shd w:val="clear" w:color="000000" w:fill="BFBFBF"/>
            <w:vAlign w:val="center"/>
            <w:hideMark/>
          </w:tcPr>
          <w:p w14:paraId="1C2CA1A5" w14:textId="77777777" w:rsidR="007376E1" w:rsidRPr="001570EA" w:rsidRDefault="007376E1">
            <w:pPr>
              <w:keepNext/>
              <w:jc w:val="center"/>
              <w:rPr>
                <w:rFonts w:cs="Arial"/>
                <w:b/>
                <w:bCs/>
                <w:color w:val="000000"/>
                <w:sz w:val="18"/>
                <w:szCs w:val="18"/>
              </w:rPr>
            </w:pPr>
            <w:r w:rsidRPr="001570EA">
              <w:rPr>
                <w:rFonts w:cs="Arial"/>
                <w:b/>
                <w:bCs/>
                <w:color w:val="000000"/>
                <w:sz w:val="18"/>
                <w:szCs w:val="18"/>
              </w:rPr>
              <w:t>Heating Type</w:t>
            </w:r>
          </w:p>
        </w:tc>
        <w:tc>
          <w:tcPr>
            <w:tcW w:w="1170" w:type="dxa"/>
            <w:shd w:val="clear" w:color="000000" w:fill="BFBFBF"/>
            <w:vAlign w:val="center"/>
          </w:tcPr>
          <w:p w14:paraId="7741E552" w14:textId="77777777" w:rsidR="007376E1" w:rsidRPr="001570EA" w:rsidRDefault="007376E1">
            <w:pPr>
              <w:keepNext/>
              <w:jc w:val="center"/>
              <w:rPr>
                <w:rFonts w:cs="Arial"/>
                <w:b/>
                <w:bCs/>
                <w:color w:val="000000"/>
                <w:sz w:val="18"/>
                <w:szCs w:val="18"/>
              </w:rPr>
            </w:pPr>
            <w:r w:rsidRPr="001570EA">
              <w:rPr>
                <w:rFonts w:cs="Arial"/>
                <w:b/>
                <w:bCs/>
                <w:color w:val="000000"/>
                <w:sz w:val="18"/>
                <w:szCs w:val="18"/>
              </w:rPr>
              <w:t>DLF</w:t>
            </w:r>
            <w:r w:rsidRPr="001570EA">
              <w:rPr>
                <w:rFonts w:cs="Arial"/>
                <w:b/>
                <w:bCs/>
                <w:color w:val="000000"/>
                <w:sz w:val="18"/>
                <w:szCs w:val="18"/>
                <w:vertAlign w:val="subscript"/>
              </w:rPr>
              <w:t>heat</w:t>
            </w:r>
          </w:p>
        </w:tc>
        <w:tc>
          <w:tcPr>
            <w:tcW w:w="1170" w:type="dxa"/>
            <w:shd w:val="clear" w:color="000000" w:fill="BFBFBF"/>
            <w:vAlign w:val="center"/>
          </w:tcPr>
          <w:p w14:paraId="36076557" w14:textId="77777777" w:rsidR="007376E1" w:rsidRPr="001570EA" w:rsidRDefault="007376E1">
            <w:pPr>
              <w:keepNext/>
              <w:jc w:val="center"/>
              <w:rPr>
                <w:rFonts w:cs="Arial"/>
                <w:b/>
                <w:bCs/>
                <w:color w:val="000000"/>
                <w:sz w:val="18"/>
                <w:szCs w:val="18"/>
              </w:rPr>
            </w:pPr>
            <w:r w:rsidRPr="001570EA">
              <w:rPr>
                <w:rFonts w:cs="Arial"/>
                <w:b/>
                <w:bCs/>
                <w:color w:val="000000"/>
                <w:sz w:val="18"/>
                <w:szCs w:val="18"/>
              </w:rPr>
              <w:t>OF</w:t>
            </w:r>
            <w:r w:rsidRPr="001570EA">
              <w:rPr>
                <w:rFonts w:cs="Arial"/>
                <w:b/>
                <w:bCs/>
                <w:color w:val="000000"/>
                <w:sz w:val="18"/>
                <w:szCs w:val="18"/>
                <w:vertAlign w:val="subscript"/>
              </w:rPr>
              <w:t>heat</w:t>
            </w:r>
          </w:p>
        </w:tc>
        <w:tc>
          <w:tcPr>
            <w:tcW w:w="1170" w:type="dxa"/>
            <w:shd w:val="clear" w:color="000000" w:fill="BFBFBF"/>
            <w:vAlign w:val="center"/>
            <w:hideMark/>
          </w:tcPr>
          <w:p w14:paraId="54C77978" w14:textId="77777777" w:rsidR="007376E1" w:rsidRPr="001570EA" w:rsidRDefault="007376E1">
            <w:pPr>
              <w:keepNext/>
              <w:jc w:val="center"/>
              <w:rPr>
                <w:rFonts w:cs="Arial"/>
                <w:b/>
                <w:bCs/>
                <w:color w:val="000000"/>
                <w:sz w:val="18"/>
                <w:szCs w:val="18"/>
              </w:rPr>
            </w:pPr>
            <w:r w:rsidRPr="001570EA">
              <w:rPr>
                <w:rFonts w:cs="Arial"/>
                <w:b/>
                <w:bCs/>
                <w:color w:val="000000"/>
                <w:sz w:val="18"/>
                <w:szCs w:val="18"/>
              </w:rPr>
              <w:t>Split</w:t>
            </w:r>
          </w:p>
        </w:tc>
      </w:tr>
      <w:tr w:rsidR="007376E1" w:rsidRPr="001570EA" w14:paraId="7DFBCFA4" w14:textId="77777777">
        <w:trPr>
          <w:trHeight w:val="288"/>
        </w:trPr>
        <w:tc>
          <w:tcPr>
            <w:tcW w:w="2806" w:type="dxa"/>
            <w:shd w:val="clear" w:color="auto" w:fill="auto"/>
            <w:vAlign w:val="center"/>
            <w:hideMark/>
          </w:tcPr>
          <w:p w14:paraId="27295BBF" w14:textId="77777777" w:rsidR="007376E1" w:rsidRPr="001570EA" w:rsidRDefault="007376E1">
            <w:pPr>
              <w:keepNext/>
              <w:jc w:val="center"/>
              <w:rPr>
                <w:rFonts w:cs="Arial"/>
                <w:color w:val="000000"/>
                <w:sz w:val="18"/>
                <w:szCs w:val="18"/>
              </w:rPr>
            </w:pPr>
            <w:r w:rsidRPr="001570EA">
              <w:rPr>
                <w:rFonts w:cs="Arial"/>
                <w:color w:val="000000"/>
                <w:sz w:val="18"/>
                <w:szCs w:val="18"/>
              </w:rPr>
              <w:t>Central ASHP</w:t>
            </w:r>
          </w:p>
        </w:tc>
        <w:tc>
          <w:tcPr>
            <w:tcW w:w="1170" w:type="dxa"/>
            <w:vAlign w:val="center"/>
          </w:tcPr>
          <w:p w14:paraId="78B168D4" w14:textId="77777777" w:rsidR="007376E1" w:rsidRPr="001570EA" w:rsidRDefault="007376E1">
            <w:pPr>
              <w:keepNext/>
              <w:jc w:val="center"/>
              <w:rPr>
                <w:rFonts w:cs="Arial"/>
                <w:color w:val="000000"/>
                <w:sz w:val="18"/>
                <w:szCs w:val="18"/>
              </w:rPr>
            </w:pPr>
            <w:r w:rsidRPr="001570EA">
              <w:rPr>
                <w:rFonts w:cs="Arial"/>
                <w:color w:val="000000"/>
                <w:sz w:val="18"/>
                <w:szCs w:val="18"/>
              </w:rPr>
              <w:t>1.15</w:t>
            </w:r>
          </w:p>
        </w:tc>
        <w:tc>
          <w:tcPr>
            <w:tcW w:w="1170" w:type="dxa"/>
            <w:vAlign w:val="center"/>
          </w:tcPr>
          <w:p w14:paraId="490F80EE" w14:textId="77777777" w:rsidR="007376E1" w:rsidRPr="001570EA" w:rsidRDefault="007376E1">
            <w:pPr>
              <w:keepNext/>
              <w:jc w:val="center"/>
              <w:rPr>
                <w:rFonts w:cs="Arial"/>
                <w:color w:val="000000"/>
                <w:sz w:val="18"/>
                <w:szCs w:val="18"/>
              </w:rPr>
            </w:pPr>
            <w:r w:rsidRPr="001570EA">
              <w:rPr>
                <w:rFonts w:cs="Arial"/>
                <w:color w:val="000000"/>
                <w:sz w:val="18"/>
                <w:szCs w:val="18"/>
              </w:rPr>
              <w:t>1.0</w:t>
            </w:r>
          </w:p>
        </w:tc>
        <w:tc>
          <w:tcPr>
            <w:tcW w:w="1170" w:type="dxa"/>
            <w:shd w:val="clear" w:color="auto" w:fill="auto"/>
            <w:vAlign w:val="center"/>
            <w:hideMark/>
          </w:tcPr>
          <w:p w14:paraId="72D2044C" w14:textId="77777777" w:rsidR="007376E1" w:rsidRPr="001570EA" w:rsidRDefault="007376E1">
            <w:pPr>
              <w:keepNext/>
              <w:jc w:val="center"/>
              <w:rPr>
                <w:rFonts w:cs="Arial"/>
                <w:color w:val="000000"/>
                <w:sz w:val="18"/>
                <w:szCs w:val="18"/>
              </w:rPr>
            </w:pPr>
            <w:r w:rsidRPr="001570EA">
              <w:rPr>
                <w:rFonts w:cs="Arial"/>
                <w:color w:val="000000"/>
                <w:sz w:val="18"/>
                <w:szCs w:val="18"/>
              </w:rPr>
              <w:t>6%</w:t>
            </w:r>
          </w:p>
        </w:tc>
      </w:tr>
      <w:tr w:rsidR="007376E1" w:rsidRPr="001570EA" w14:paraId="2E6302B5" w14:textId="77777777">
        <w:trPr>
          <w:trHeight w:val="288"/>
        </w:trPr>
        <w:tc>
          <w:tcPr>
            <w:tcW w:w="2806" w:type="dxa"/>
            <w:shd w:val="clear" w:color="auto" w:fill="auto"/>
            <w:vAlign w:val="center"/>
            <w:hideMark/>
          </w:tcPr>
          <w:p w14:paraId="4059C67B" w14:textId="77777777" w:rsidR="007376E1" w:rsidRPr="001570EA" w:rsidRDefault="007376E1">
            <w:pPr>
              <w:keepNext/>
              <w:jc w:val="center"/>
              <w:rPr>
                <w:rFonts w:cs="Arial"/>
                <w:color w:val="000000"/>
                <w:sz w:val="18"/>
                <w:szCs w:val="18"/>
              </w:rPr>
            </w:pPr>
            <w:r w:rsidRPr="001570EA">
              <w:rPr>
                <w:rFonts w:cs="Arial"/>
                <w:color w:val="000000"/>
                <w:sz w:val="18"/>
                <w:szCs w:val="18"/>
              </w:rPr>
              <w:t>De facto Space Heaters</w:t>
            </w:r>
          </w:p>
        </w:tc>
        <w:tc>
          <w:tcPr>
            <w:tcW w:w="1170" w:type="dxa"/>
            <w:vAlign w:val="center"/>
          </w:tcPr>
          <w:p w14:paraId="4F2038EB" w14:textId="77777777" w:rsidR="007376E1" w:rsidRPr="001570EA" w:rsidRDefault="007376E1">
            <w:pPr>
              <w:keepNext/>
              <w:jc w:val="center"/>
              <w:rPr>
                <w:rFonts w:cs="Arial"/>
                <w:color w:val="000000"/>
                <w:sz w:val="18"/>
                <w:szCs w:val="18"/>
              </w:rPr>
            </w:pPr>
            <w:r w:rsidRPr="001570EA">
              <w:rPr>
                <w:rFonts w:cs="Arial"/>
                <w:color w:val="000000"/>
                <w:sz w:val="18"/>
                <w:szCs w:val="18"/>
              </w:rPr>
              <w:t>1.00</w:t>
            </w:r>
          </w:p>
        </w:tc>
        <w:tc>
          <w:tcPr>
            <w:tcW w:w="1170" w:type="dxa"/>
            <w:vAlign w:val="center"/>
          </w:tcPr>
          <w:p w14:paraId="22348037" w14:textId="77777777" w:rsidR="007376E1" w:rsidRPr="001570EA" w:rsidRDefault="007376E1">
            <w:pPr>
              <w:keepNext/>
              <w:jc w:val="center"/>
              <w:rPr>
                <w:rFonts w:cs="Arial"/>
                <w:color w:val="000000"/>
                <w:sz w:val="18"/>
                <w:szCs w:val="18"/>
              </w:rPr>
            </w:pPr>
            <w:r w:rsidRPr="001570EA">
              <w:rPr>
                <w:rFonts w:cs="Arial"/>
                <w:color w:val="000000"/>
                <w:sz w:val="18"/>
                <w:szCs w:val="18"/>
              </w:rPr>
              <w:t>0.6</w:t>
            </w:r>
          </w:p>
        </w:tc>
        <w:tc>
          <w:tcPr>
            <w:tcW w:w="1170" w:type="dxa"/>
            <w:shd w:val="clear" w:color="auto" w:fill="auto"/>
            <w:vAlign w:val="center"/>
            <w:hideMark/>
          </w:tcPr>
          <w:p w14:paraId="53278696" w14:textId="77777777" w:rsidR="007376E1" w:rsidRPr="001570EA" w:rsidRDefault="007376E1">
            <w:pPr>
              <w:keepNext/>
              <w:jc w:val="center"/>
              <w:rPr>
                <w:rFonts w:cs="Arial"/>
                <w:color w:val="000000"/>
                <w:sz w:val="18"/>
                <w:szCs w:val="18"/>
              </w:rPr>
            </w:pPr>
            <w:r w:rsidRPr="001570EA">
              <w:rPr>
                <w:rFonts w:cs="Arial"/>
                <w:color w:val="000000"/>
                <w:sz w:val="18"/>
                <w:szCs w:val="18"/>
              </w:rPr>
              <w:t>5%</w:t>
            </w:r>
          </w:p>
        </w:tc>
      </w:tr>
      <w:tr w:rsidR="007376E1" w:rsidRPr="001570EA" w14:paraId="1980D83B" w14:textId="77777777">
        <w:trPr>
          <w:trHeight w:val="288"/>
        </w:trPr>
        <w:tc>
          <w:tcPr>
            <w:tcW w:w="2806" w:type="dxa"/>
            <w:shd w:val="clear" w:color="auto" w:fill="auto"/>
            <w:vAlign w:val="center"/>
            <w:hideMark/>
          </w:tcPr>
          <w:p w14:paraId="276BA7E8" w14:textId="77777777" w:rsidR="007376E1" w:rsidRPr="001570EA" w:rsidRDefault="007376E1">
            <w:pPr>
              <w:keepNext/>
              <w:jc w:val="center"/>
              <w:rPr>
                <w:rFonts w:cs="Arial"/>
                <w:color w:val="000000"/>
                <w:sz w:val="18"/>
                <w:szCs w:val="18"/>
              </w:rPr>
            </w:pPr>
            <w:r w:rsidRPr="001570EA">
              <w:rPr>
                <w:rFonts w:cs="Arial"/>
                <w:color w:val="000000"/>
                <w:sz w:val="18"/>
                <w:szCs w:val="18"/>
              </w:rPr>
              <w:t>Ductless Heat Pump</w:t>
            </w:r>
          </w:p>
        </w:tc>
        <w:tc>
          <w:tcPr>
            <w:tcW w:w="1170" w:type="dxa"/>
            <w:vAlign w:val="center"/>
          </w:tcPr>
          <w:p w14:paraId="68153410" w14:textId="77777777" w:rsidR="007376E1" w:rsidRPr="001570EA" w:rsidRDefault="007376E1">
            <w:pPr>
              <w:keepNext/>
              <w:jc w:val="center"/>
              <w:rPr>
                <w:rFonts w:cs="Arial"/>
                <w:color w:val="000000"/>
                <w:sz w:val="18"/>
                <w:szCs w:val="18"/>
              </w:rPr>
            </w:pPr>
            <w:r w:rsidRPr="001570EA">
              <w:rPr>
                <w:rFonts w:cs="Arial"/>
                <w:color w:val="000000"/>
                <w:sz w:val="18"/>
                <w:szCs w:val="18"/>
              </w:rPr>
              <w:t>1.00</w:t>
            </w:r>
          </w:p>
        </w:tc>
        <w:tc>
          <w:tcPr>
            <w:tcW w:w="1170" w:type="dxa"/>
            <w:vAlign w:val="center"/>
          </w:tcPr>
          <w:p w14:paraId="107B4047" w14:textId="77777777" w:rsidR="007376E1" w:rsidRPr="001570EA" w:rsidRDefault="007376E1">
            <w:pPr>
              <w:keepNext/>
              <w:jc w:val="center"/>
              <w:rPr>
                <w:rFonts w:cs="Arial"/>
                <w:color w:val="000000"/>
                <w:sz w:val="18"/>
                <w:szCs w:val="18"/>
              </w:rPr>
            </w:pPr>
            <w:r w:rsidRPr="001570EA">
              <w:rPr>
                <w:rFonts w:cs="Arial"/>
                <w:color w:val="000000"/>
                <w:sz w:val="18"/>
                <w:szCs w:val="18"/>
              </w:rPr>
              <w:t>1.0</w:t>
            </w:r>
          </w:p>
        </w:tc>
        <w:tc>
          <w:tcPr>
            <w:tcW w:w="1170" w:type="dxa"/>
            <w:shd w:val="clear" w:color="auto" w:fill="auto"/>
            <w:vAlign w:val="center"/>
            <w:hideMark/>
          </w:tcPr>
          <w:p w14:paraId="635D9DEF" w14:textId="77777777" w:rsidR="007376E1" w:rsidRPr="001570EA" w:rsidRDefault="007376E1">
            <w:pPr>
              <w:keepNext/>
              <w:jc w:val="center"/>
              <w:rPr>
                <w:rFonts w:cs="Arial"/>
                <w:color w:val="000000"/>
                <w:sz w:val="18"/>
                <w:szCs w:val="18"/>
              </w:rPr>
            </w:pPr>
            <w:r w:rsidRPr="001570EA">
              <w:rPr>
                <w:rFonts w:cs="Arial"/>
                <w:color w:val="000000"/>
                <w:sz w:val="18"/>
                <w:szCs w:val="18"/>
              </w:rPr>
              <w:t>26%</w:t>
            </w:r>
          </w:p>
        </w:tc>
      </w:tr>
      <w:tr w:rsidR="007376E1" w:rsidRPr="001570EA" w14:paraId="3637F57E" w14:textId="77777777">
        <w:trPr>
          <w:trHeight w:val="288"/>
        </w:trPr>
        <w:tc>
          <w:tcPr>
            <w:tcW w:w="2806" w:type="dxa"/>
            <w:shd w:val="clear" w:color="auto" w:fill="auto"/>
            <w:vAlign w:val="center"/>
            <w:hideMark/>
          </w:tcPr>
          <w:p w14:paraId="7EF41351" w14:textId="77777777" w:rsidR="007376E1" w:rsidRPr="001570EA" w:rsidRDefault="007376E1">
            <w:pPr>
              <w:keepNext/>
              <w:jc w:val="center"/>
              <w:rPr>
                <w:rFonts w:cs="Arial"/>
                <w:color w:val="000000"/>
                <w:sz w:val="18"/>
                <w:szCs w:val="18"/>
              </w:rPr>
            </w:pPr>
            <w:r w:rsidRPr="001570EA">
              <w:rPr>
                <w:rFonts w:cs="Arial"/>
                <w:color w:val="000000"/>
                <w:sz w:val="18"/>
                <w:szCs w:val="18"/>
              </w:rPr>
              <w:t>Electric Baseboard</w:t>
            </w:r>
          </w:p>
        </w:tc>
        <w:tc>
          <w:tcPr>
            <w:tcW w:w="1170" w:type="dxa"/>
            <w:vAlign w:val="center"/>
          </w:tcPr>
          <w:p w14:paraId="7495F9FE" w14:textId="77777777" w:rsidR="007376E1" w:rsidRPr="001570EA" w:rsidRDefault="007376E1">
            <w:pPr>
              <w:keepNext/>
              <w:jc w:val="center"/>
              <w:rPr>
                <w:rFonts w:cs="Arial"/>
                <w:color w:val="000000"/>
                <w:sz w:val="18"/>
                <w:szCs w:val="18"/>
              </w:rPr>
            </w:pPr>
            <w:r w:rsidRPr="001570EA">
              <w:rPr>
                <w:rFonts w:cs="Arial"/>
                <w:color w:val="000000"/>
                <w:sz w:val="18"/>
                <w:szCs w:val="18"/>
              </w:rPr>
              <w:t>1.00</w:t>
            </w:r>
          </w:p>
        </w:tc>
        <w:tc>
          <w:tcPr>
            <w:tcW w:w="1170" w:type="dxa"/>
            <w:vAlign w:val="center"/>
          </w:tcPr>
          <w:p w14:paraId="38A470F2" w14:textId="77777777" w:rsidR="007376E1" w:rsidRPr="001570EA" w:rsidRDefault="007376E1">
            <w:pPr>
              <w:keepNext/>
              <w:jc w:val="center"/>
              <w:rPr>
                <w:rFonts w:cs="Arial"/>
                <w:color w:val="000000"/>
                <w:sz w:val="18"/>
                <w:szCs w:val="18"/>
              </w:rPr>
            </w:pPr>
            <w:r w:rsidRPr="001570EA">
              <w:rPr>
                <w:rFonts w:cs="Arial"/>
                <w:color w:val="000000"/>
                <w:sz w:val="18"/>
                <w:szCs w:val="18"/>
              </w:rPr>
              <w:t>1.0</w:t>
            </w:r>
          </w:p>
        </w:tc>
        <w:tc>
          <w:tcPr>
            <w:tcW w:w="1170" w:type="dxa"/>
            <w:shd w:val="clear" w:color="auto" w:fill="auto"/>
            <w:vAlign w:val="center"/>
            <w:hideMark/>
          </w:tcPr>
          <w:p w14:paraId="178DCE81" w14:textId="77777777" w:rsidR="007376E1" w:rsidRPr="001570EA" w:rsidRDefault="007376E1">
            <w:pPr>
              <w:keepNext/>
              <w:jc w:val="center"/>
              <w:rPr>
                <w:rFonts w:cs="Arial"/>
                <w:color w:val="000000"/>
                <w:sz w:val="18"/>
                <w:szCs w:val="18"/>
              </w:rPr>
            </w:pPr>
            <w:r w:rsidRPr="001570EA">
              <w:rPr>
                <w:rFonts w:cs="Arial"/>
                <w:color w:val="000000"/>
                <w:sz w:val="18"/>
                <w:szCs w:val="18"/>
              </w:rPr>
              <w:t>62%</w:t>
            </w:r>
          </w:p>
        </w:tc>
      </w:tr>
      <w:tr w:rsidR="007376E1" w:rsidRPr="001570EA" w14:paraId="2FED71A4" w14:textId="77777777">
        <w:trPr>
          <w:trHeight w:val="288"/>
        </w:trPr>
        <w:tc>
          <w:tcPr>
            <w:tcW w:w="2806" w:type="dxa"/>
            <w:tcBorders>
              <w:bottom w:val="thinThickThinSmallGap" w:sz="12" w:space="0" w:color="auto"/>
            </w:tcBorders>
            <w:shd w:val="clear" w:color="auto" w:fill="auto"/>
            <w:vAlign w:val="center"/>
            <w:hideMark/>
          </w:tcPr>
          <w:p w14:paraId="1BD1B951" w14:textId="77777777" w:rsidR="007376E1" w:rsidRPr="001570EA" w:rsidRDefault="007376E1">
            <w:pPr>
              <w:keepNext/>
              <w:jc w:val="center"/>
              <w:rPr>
                <w:rFonts w:cs="Arial"/>
                <w:color w:val="000000"/>
                <w:sz w:val="18"/>
                <w:szCs w:val="18"/>
              </w:rPr>
            </w:pPr>
            <w:r w:rsidRPr="001570EA">
              <w:rPr>
                <w:rFonts w:cs="Arial"/>
                <w:color w:val="000000"/>
                <w:sz w:val="18"/>
                <w:szCs w:val="18"/>
              </w:rPr>
              <w:t>Electric Furnace</w:t>
            </w:r>
          </w:p>
        </w:tc>
        <w:tc>
          <w:tcPr>
            <w:tcW w:w="1170" w:type="dxa"/>
            <w:tcBorders>
              <w:bottom w:val="thinThickThinSmallGap" w:sz="12" w:space="0" w:color="auto"/>
            </w:tcBorders>
            <w:vAlign w:val="center"/>
          </w:tcPr>
          <w:p w14:paraId="57BF2A65" w14:textId="77777777" w:rsidR="007376E1" w:rsidRPr="001570EA" w:rsidRDefault="007376E1">
            <w:pPr>
              <w:keepNext/>
              <w:jc w:val="center"/>
              <w:rPr>
                <w:rFonts w:cs="Arial"/>
                <w:color w:val="000000"/>
                <w:sz w:val="18"/>
                <w:szCs w:val="18"/>
              </w:rPr>
            </w:pPr>
            <w:r w:rsidRPr="001570EA">
              <w:rPr>
                <w:rFonts w:cs="Arial"/>
                <w:color w:val="000000"/>
                <w:sz w:val="18"/>
                <w:szCs w:val="18"/>
              </w:rPr>
              <w:t>1.15</w:t>
            </w:r>
          </w:p>
        </w:tc>
        <w:tc>
          <w:tcPr>
            <w:tcW w:w="1170" w:type="dxa"/>
            <w:tcBorders>
              <w:bottom w:val="thinThickThinSmallGap" w:sz="12" w:space="0" w:color="auto"/>
            </w:tcBorders>
            <w:vAlign w:val="center"/>
          </w:tcPr>
          <w:p w14:paraId="5BCA59F4" w14:textId="77777777" w:rsidR="007376E1" w:rsidRPr="001570EA" w:rsidRDefault="007376E1">
            <w:pPr>
              <w:keepNext/>
              <w:jc w:val="center"/>
              <w:rPr>
                <w:rFonts w:cs="Arial"/>
                <w:color w:val="000000"/>
                <w:sz w:val="18"/>
                <w:szCs w:val="18"/>
              </w:rPr>
            </w:pPr>
            <w:r w:rsidRPr="001570EA">
              <w:rPr>
                <w:rFonts w:cs="Arial"/>
                <w:color w:val="000000"/>
                <w:sz w:val="18"/>
                <w:szCs w:val="18"/>
              </w:rPr>
              <w:t>1.0</w:t>
            </w:r>
          </w:p>
        </w:tc>
        <w:tc>
          <w:tcPr>
            <w:tcW w:w="1170" w:type="dxa"/>
            <w:tcBorders>
              <w:bottom w:val="thinThickThinSmallGap" w:sz="12" w:space="0" w:color="auto"/>
            </w:tcBorders>
            <w:shd w:val="clear" w:color="auto" w:fill="auto"/>
            <w:vAlign w:val="center"/>
            <w:hideMark/>
          </w:tcPr>
          <w:p w14:paraId="7CE9C9BE" w14:textId="77777777" w:rsidR="007376E1" w:rsidRPr="001570EA" w:rsidRDefault="007376E1">
            <w:pPr>
              <w:keepNext/>
              <w:jc w:val="center"/>
              <w:rPr>
                <w:rFonts w:cs="Arial"/>
                <w:color w:val="000000"/>
                <w:sz w:val="18"/>
                <w:szCs w:val="18"/>
              </w:rPr>
            </w:pPr>
            <w:r w:rsidRPr="001570EA">
              <w:rPr>
                <w:rFonts w:cs="Arial"/>
                <w:color w:val="000000"/>
                <w:sz w:val="18"/>
                <w:szCs w:val="18"/>
              </w:rPr>
              <w:t>1%</w:t>
            </w:r>
          </w:p>
        </w:tc>
      </w:tr>
      <w:tr w:rsidR="007376E1" w:rsidRPr="001570EA" w14:paraId="2DDD57CA" w14:textId="77777777">
        <w:trPr>
          <w:trHeight w:val="288"/>
        </w:trPr>
        <w:tc>
          <w:tcPr>
            <w:tcW w:w="2806" w:type="dxa"/>
            <w:tcBorders>
              <w:top w:val="thinThickThinSmallGap" w:sz="12" w:space="0" w:color="auto"/>
            </w:tcBorders>
            <w:shd w:val="clear" w:color="auto" w:fill="F2F2F2" w:themeFill="background1" w:themeFillShade="F2"/>
            <w:vAlign w:val="center"/>
          </w:tcPr>
          <w:p w14:paraId="432D5E8B" w14:textId="77777777" w:rsidR="007376E1" w:rsidRPr="001570EA" w:rsidRDefault="007376E1">
            <w:pPr>
              <w:keepNext/>
              <w:jc w:val="center"/>
              <w:rPr>
                <w:rFonts w:cs="Arial"/>
                <w:color w:val="000000"/>
                <w:sz w:val="18"/>
                <w:szCs w:val="18"/>
              </w:rPr>
            </w:pPr>
            <w:r w:rsidRPr="001570EA">
              <w:rPr>
                <w:rFonts w:cs="Arial"/>
                <w:color w:val="000000"/>
                <w:sz w:val="18"/>
                <w:szCs w:val="18"/>
              </w:rPr>
              <w:t>Composite</w:t>
            </w:r>
          </w:p>
        </w:tc>
        <w:tc>
          <w:tcPr>
            <w:tcW w:w="1170" w:type="dxa"/>
            <w:tcBorders>
              <w:top w:val="thinThickThinSmallGap" w:sz="12" w:space="0" w:color="auto"/>
            </w:tcBorders>
            <w:shd w:val="clear" w:color="auto" w:fill="F2F2F2" w:themeFill="background1" w:themeFillShade="F2"/>
            <w:vAlign w:val="center"/>
          </w:tcPr>
          <w:p w14:paraId="3E90DCA7" w14:textId="77777777" w:rsidR="007376E1" w:rsidRPr="001570EA" w:rsidRDefault="007376E1">
            <w:pPr>
              <w:keepNext/>
              <w:jc w:val="center"/>
              <w:rPr>
                <w:rFonts w:cs="Arial"/>
                <w:color w:val="000000"/>
                <w:sz w:val="18"/>
                <w:szCs w:val="18"/>
              </w:rPr>
            </w:pPr>
            <w:r w:rsidRPr="001570EA">
              <w:rPr>
                <w:rFonts w:cs="Arial"/>
                <w:color w:val="000000"/>
                <w:sz w:val="18"/>
                <w:szCs w:val="18"/>
              </w:rPr>
              <w:t>1.02</w:t>
            </w:r>
          </w:p>
        </w:tc>
        <w:tc>
          <w:tcPr>
            <w:tcW w:w="1170" w:type="dxa"/>
            <w:tcBorders>
              <w:top w:val="thinThickThinSmallGap" w:sz="12" w:space="0" w:color="auto"/>
            </w:tcBorders>
            <w:shd w:val="clear" w:color="auto" w:fill="F2F2F2" w:themeFill="background1" w:themeFillShade="F2"/>
            <w:vAlign w:val="center"/>
          </w:tcPr>
          <w:p w14:paraId="566DCA8F" w14:textId="77777777" w:rsidR="007376E1" w:rsidRPr="001570EA" w:rsidRDefault="007376E1">
            <w:pPr>
              <w:keepNext/>
              <w:jc w:val="center"/>
              <w:rPr>
                <w:rFonts w:cs="Arial"/>
                <w:color w:val="000000"/>
                <w:sz w:val="18"/>
                <w:szCs w:val="18"/>
              </w:rPr>
            </w:pPr>
            <w:r w:rsidRPr="001570EA">
              <w:rPr>
                <w:rFonts w:cs="Arial"/>
                <w:color w:val="000000"/>
                <w:sz w:val="18"/>
                <w:szCs w:val="18"/>
              </w:rPr>
              <w:t>1.0</w:t>
            </w:r>
          </w:p>
        </w:tc>
        <w:tc>
          <w:tcPr>
            <w:tcW w:w="1170" w:type="dxa"/>
            <w:tcBorders>
              <w:top w:val="thinThickThinSmallGap" w:sz="12" w:space="0" w:color="auto"/>
            </w:tcBorders>
            <w:shd w:val="clear" w:color="auto" w:fill="F2F2F2" w:themeFill="background1" w:themeFillShade="F2"/>
            <w:vAlign w:val="center"/>
          </w:tcPr>
          <w:p w14:paraId="4D00AC43" w14:textId="77777777" w:rsidR="007376E1" w:rsidRPr="001570EA" w:rsidRDefault="007376E1">
            <w:pPr>
              <w:keepNext/>
              <w:jc w:val="center"/>
              <w:rPr>
                <w:rFonts w:cs="Arial"/>
                <w:color w:val="000000"/>
                <w:sz w:val="18"/>
                <w:szCs w:val="18"/>
              </w:rPr>
            </w:pPr>
            <w:r w:rsidRPr="001570EA">
              <w:rPr>
                <w:rFonts w:cs="Arial"/>
                <w:color w:val="000000"/>
                <w:sz w:val="18"/>
                <w:szCs w:val="18"/>
              </w:rPr>
              <w:t>100%</w:t>
            </w:r>
          </w:p>
        </w:tc>
      </w:tr>
    </w:tbl>
    <w:p w14:paraId="1F7DA4DF" w14:textId="77777777" w:rsidR="007376E1" w:rsidRPr="001570EA" w:rsidRDefault="007376E1" w:rsidP="007376E1"/>
    <w:p w14:paraId="322AB33D" w14:textId="27B8F566" w:rsidR="007376E1" w:rsidRPr="001570EA" w:rsidRDefault="001C6937" w:rsidP="007376E1">
      <w:pPr>
        <w:pStyle w:val="Caption"/>
        <w:jc w:val="left"/>
      </w:pPr>
      <w:bookmarkStart w:id="227" w:name="_Ref163903836"/>
      <w:bookmarkStart w:id="228" w:name="_Ref535141298"/>
      <w:bookmarkStart w:id="229" w:name="_Toc4759826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24</w:t>
      </w:r>
      <w:r w:rsidR="002E093A" w:rsidRPr="001570EA">
        <w:fldChar w:fldCharType="end"/>
      </w:r>
      <w:bookmarkEnd w:id="227"/>
      <w:r w:rsidRPr="001570EA">
        <w:t>: Midstream DHP – Composite EFLH Values</w:t>
      </w:r>
      <w:bookmarkEnd w:id="224"/>
      <w:bookmarkEnd w:id="228"/>
      <w:bookmarkEnd w:id="229"/>
    </w:p>
    <w:tbl>
      <w:tblPr>
        <w:tblW w:w="6200" w:type="dxa"/>
        <w:tblLayout w:type="fixed"/>
        <w:tblLook w:val="04A0" w:firstRow="1" w:lastRow="0" w:firstColumn="1" w:lastColumn="0" w:noHBand="0" w:noVBand="1"/>
      </w:tblPr>
      <w:tblGrid>
        <w:gridCol w:w="1700"/>
        <w:gridCol w:w="1440"/>
        <w:gridCol w:w="1530"/>
        <w:gridCol w:w="1530"/>
      </w:tblGrid>
      <w:tr w:rsidR="007376E1" w:rsidRPr="001570EA" w14:paraId="0BEB9BCC" w14:textId="77777777">
        <w:trPr>
          <w:trHeight w:val="492"/>
        </w:trPr>
        <w:tc>
          <w:tcPr>
            <w:tcW w:w="17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B2AF5CA" w14:textId="77777777" w:rsidR="007376E1" w:rsidRPr="001570EA" w:rsidRDefault="007376E1">
            <w:pPr>
              <w:jc w:val="center"/>
              <w:rPr>
                <w:rFonts w:cs="Arial"/>
                <w:b/>
                <w:bCs/>
                <w:color w:val="000000"/>
                <w:sz w:val="18"/>
                <w:szCs w:val="18"/>
              </w:rPr>
            </w:pPr>
            <w:r w:rsidRPr="001570EA">
              <w:rPr>
                <w:rFonts w:cs="Arial"/>
                <w:b/>
                <w:bCs/>
                <w:color w:val="000000"/>
                <w:sz w:val="18"/>
                <w:szCs w:val="18"/>
              </w:rPr>
              <w:t>Reference City</w:t>
            </w:r>
          </w:p>
        </w:tc>
        <w:tc>
          <w:tcPr>
            <w:tcW w:w="1440" w:type="dxa"/>
            <w:tcBorders>
              <w:top w:val="single" w:sz="8" w:space="0" w:color="auto"/>
              <w:left w:val="nil"/>
              <w:bottom w:val="single" w:sz="8" w:space="0" w:color="auto"/>
              <w:right w:val="single" w:sz="8" w:space="0" w:color="auto"/>
            </w:tcBorders>
            <w:shd w:val="clear" w:color="000000" w:fill="BFBFBF"/>
            <w:vAlign w:val="center"/>
            <w:hideMark/>
          </w:tcPr>
          <w:p w14:paraId="2A241CED" w14:textId="77777777" w:rsidR="007376E1" w:rsidRPr="001570EA" w:rsidRDefault="007376E1">
            <w:pPr>
              <w:jc w:val="center"/>
              <w:rPr>
                <w:rFonts w:cs="Arial"/>
                <w:b/>
                <w:bCs/>
                <w:color w:val="000000"/>
                <w:sz w:val="18"/>
                <w:szCs w:val="18"/>
              </w:rPr>
            </w:pPr>
            <w:r w:rsidRPr="001570EA">
              <w:rPr>
                <w:rFonts w:cs="Arial"/>
                <w:b/>
                <w:bCs/>
                <w:color w:val="000000"/>
                <w:sz w:val="18"/>
                <w:szCs w:val="18"/>
              </w:rPr>
              <w:t>Climate Region</w:t>
            </w:r>
          </w:p>
        </w:tc>
        <w:tc>
          <w:tcPr>
            <w:tcW w:w="1530" w:type="dxa"/>
            <w:tcBorders>
              <w:top w:val="single" w:sz="8" w:space="0" w:color="auto"/>
              <w:left w:val="nil"/>
              <w:bottom w:val="single" w:sz="8" w:space="0" w:color="auto"/>
              <w:right w:val="single" w:sz="8" w:space="0" w:color="auto"/>
            </w:tcBorders>
            <w:shd w:val="clear" w:color="000000" w:fill="BFBFBF"/>
            <w:vAlign w:val="center"/>
            <w:hideMark/>
          </w:tcPr>
          <w:p w14:paraId="46768212" w14:textId="77777777" w:rsidR="007376E1" w:rsidRPr="001570EA" w:rsidRDefault="007376E1">
            <w:pPr>
              <w:jc w:val="center"/>
              <w:rPr>
                <w:rFonts w:cs="Arial"/>
                <w:b/>
                <w:bCs/>
                <w:color w:val="000000"/>
                <w:sz w:val="18"/>
                <w:szCs w:val="18"/>
              </w:rPr>
            </w:pPr>
            <w:r w:rsidRPr="001570EA">
              <w:rPr>
                <w:rFonts w:cs="Arial"/>
                <w:b/>
                <w:bCs/>
                <w:color w:val="000000"/>
                <w:sz w:val="18"/>
                <w:szCs w:val="18"/>
              </w:rPr>
              <w:t>Composite EFLH</w:t>
            </w:r>
            <w:r w:rsidRPr="001570EA">
              <w:rPr>
                <w:rFonts w:cs="Arial"/>
                <w:b/>
                <w:bCs/>
                <w:color w:val="000000"/>
                <w:sz w:val="12"/>
                <w:szCs w:val="12"/>
              </w:rPr>
              <w:t>cool</w:t>
            </w:r>
          </w:p>
        </w:tc>
        <w:tc>
          <w:tcPr>
            <w:tcW w:w="1530" w:type="dxa"/>
            <w:tcBorders>
              <w:top w:val="single" w:sz="8" w:space="0" w:color="auto"/>
              <w:left w:val="nil"/>
              <w:bottom w:val="single" w:sz="8" w:space="0" w:color="auto"/>
              <w:right w:val="single" w:sz="8" w:space="0" w:color="auto"/>
            </w:tcBorders>
            <w:shd w:val="clear" w:color="000000" w:fill="BFBFBF"/>
            <w:vAlign w:val="center"/>
            <w:hideMark/>
          </w:tcPr>
          <w:p w14:paraId="4B68BB70" w14:textId="77777777" w:rsidR="007376E1" w:rsidRPr="001570EA" w:rsidRDefault="007376E1">
            <w:pPr>
              <w:jc w:val="center"/>
              <w:rPr>
                <w:rFonts w:cs="Arial"/>
                <w:b/>
                <w:bCs/>
                <w:color w:val="000000"/>
                <w:sz w:val="18"/>
                <w:szCs w:val="18"/>
              </w:rPr>
            </w:pPr>
            <w:r w:rsidRPr="001570EA">
              <w:rPr>
                <w:rFonts w:cs="Arial"/>
                <w:b/>
                <w:bCs/>
                <w:color w:val="000000"/>
                <w:sz w:val="18"/>
                <w:szCs w:val="18"/>
              </w:rPr>
              <w:t>Composite EFLH</w:t>
            </w:r>
            <w:r w:rsidRPr="001570EA">
              <w:rPr>
                <w:rFonts w:cs="Arial"/>
                <w:b/>
                <w:bCs/>
                <w:color w:val="000000"/>
                <w:sz w:val="12"/>
                <w:szCs w:val="12"/>
              </w:rPr>
              <w:t>heat</w:t>
            </w:r>
          </w:p>
        </w:tc>
      </w:tr>
      <w:tr w:rsidR="007376E1" w:rsidRPr="001570EA" w14:paraId="54CCA12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0"/>
        </w:trPr>
        <w:tc>
          <w:tcPr>
            <w:tcW w:w="1700" w:type="dxa"/>
            <w:tcBorders>
              <w:top w:val="nil"/>
              <w:left w:val="single" w:sz="8" w:space="0" w:color="auto"/>
              <w:bottom w:val="single" w:sz="8" w:space="0" w:color="auto"/>
              <w:right w:val="single" w:sz="8" w:space="0" w:color="auto"/>
            </w:tcBorders>
            <w:shd w:val="clear" w:color="000000" w:fill="BFBFBF"/>
            <w:hideMark/>
          </w:tcPr>
          <w:p w14:paraId="68C487FF" w14:textId="77777777" w:rsidR="007376E1" w:rsidRPr="001570EA" w:rsidRDefault="007376E1">
            <w:pPr>
              <w:jc w:val="left"/>
              <w:rPr>
                <w:rFonts w:cs="Arial"/>
                <w:b/>
                <w:bCs/>
                <w:color w:val="000000"/>
                <w:sz w:val="18"/>
                <w:szCs w:val="18"/>
              </w:rPr>
            </w:pPr>
            <w:r w:rsidRPr="001570EA">
              <w:rPr>
                <w:sz w:val="18"/>
                <w:szCs w:val="18"/>
              </w:rPr>
              <w:t>Allentown</w:t>
            </w:r>
          </w:p>
        </w:tc>
        <w:tc>
          <w:tcPr>
            <w:tcW w:w="1440" w:type="dxa"/>
            <w:tcBorders>
              <w:top w:val="nil"/>
              <w:left w:val="nil"/>
              <w:bottom w:val="single" w:sz="8" w:space="0" w:color="auto"/>
              <w:right w:val="single" w:sz="8" w:space="0" w:color="auto"/>
            </w:tcBorders>
            <w:shd w:val="clear" w:color="auto" w:fill="auto"/>
            <w:noWrap/>
            <w:hideMark/>
          </w:tcPr>
          <w:p w14:paraId="56A225E4" w14:textId="77777777" w:rsidR="007376E1" w:rsidRPr="001570EA" w:rsidRDefault="007376E1">
            <w:pPr>
              <w:jc w:val="center"/>
              <w:rPr>
                <w:rFonts w:cs="Arial"/>
                <w:color w:val="000000"/>
                <w:sz w:val="18"/>
                <w:szCs w:val="18"/>
              </w:rPr>
            </w:pPr>
            <w:r w:rsidRPr="001570EA">
              <w:rPr>
                <w:sz w:val="18"/>
                <w:szCs w:val="18"/>
              </w:rPr>
              <w:t>C</w:t>
            </w:r>
          </w:p>
        </w:tc>
        <w:tc>
          <w:tcPr>
            <w:tcW w:w="1530" w:type="dxa"/>
            <w:tcBorders>
              <w:top w:val="nil"/>
              <w:left w:val="nil"/>
              <w:bottom w:val="single" w:sz="8" w:space="0" w:color="auto"/>
              <w:right w:val="single" w:sz="8" w:space="0" w:color="auto"/>
            </w:tcBorders>
            <w:shd w:val="clear" w:color="auto" w:fill="auto"/>
            <w:noWrap/>
            <w:hideMark/>
          </w:tcPr>
          <w:p w14:paraId="25947705" w14:textId="77777777" w:rsidR="007376E1" w:rsidRPr="001570EA" w:rsidRDefault="007376E1">
            <w:pPr>
              <w:jc w:val="center"/>
              <w:rPr>
                <w:rFonts w:ascii="Calibri" w:hAnsi="Calibri" w:cs="Calibri"/>
                <w:sz w:val="18"/>
                <w:szCs w:val="18"/>
              </w:rPr>
            </w:pPr>
            <w:r w:rsidRPr="001570EA">
              <w:rPr>
                <w:sz w:val="18"/>
                <w:szCs w:val="18"/>
              </w:rPr>
              <w:t>497</w:t>
            </w:r>
          </w:p>
        </w:tc>
        <w:tc>
          <w:tcPr>
            <w:tcW w:w="1530" w:type="dxa"/>
            <w:tcBorders>
              <w:top w:val="nil"/>
              <w:left w:val="nil"/>
              <w:bottom w:val="single" w:sz="8" w:space="0" w:color="auto"/>
              <w:right w:val="single" w:sz="8" w:space="0" w:color="auto"/>
            </w:tcBorders>
            <w:shd w:val="clear" w:color="auto" w:fill="auto"/>
            <w:noWrap/>
            <w:hideMark/>
          </w:tcPr>
          <w:p w14:paraId="4BA6B077" w14:textId="77777777" w:rsidR="007376E1" w:rsidRPr="001570EA" w:rsidRDefault="007376E1">
            <w:pPr>
              <w:jc w:val="center"/>
              <w:rPr>
                <w:rFonts w:ascii="Calibri" w:hAnsi="Calibri" w:cs="Calibri"/>
                <w:sz w:val="18"/>
                <w:szCs w:val="18"/>
              </w:rPr>
            </w:pPr>
            <w:r w:rsidRPr="001570EA">
              <w:rPr>
                <w:sz w:val="18"/>
                <w:szCs w:val="18"/>
              </w:rPr>
              <w:t>1,008</w:t>
            </w:r>
          </w:p>
        </w:tc>
      </w:tr>
      <w:tr w:rsidR="007376E1" w:rsidRPr="001570EA" w14:paraId="3F07C20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0"/>
        </w:trPr>
        <w:tc>
          <w:tcPr>
            <w:tcW w:w="1700" w:type="dxa"/>
            <w:tcBorders>
              <w:top w:val="nil"/>
              <w:left w:val="single" w:sz="8" w:space="0" w:color="auto"/>
              <w:bottom w:val="single" w:sz="8" w:space="0" w:color="auto"/>
              <w:right w:val="single" w:sz="8" w:space="0" w:color="auto"/>
            </w:tcBorders>
            <w:shd w:val="clear" w:color="000000" w:fill="BFBFBF"/>
            <w:hideMark/>
          </w:tcPr>
          <w:p w14:paraId="494FC397" w14:textId="77777777" w:rsidR="007376E1" w:rsidRPr="001570EA" w:rsidRDefault="007376E1">
            <w:pPr>
              <w:jc w:val="left"/>
              <w:rPr>
                <w:rFonts w:cs="Arial"/>
                <w:b/>
                <w:bCs/>
                <w:color w:val="000000"/>
                <w:sz w:val="18"/>
                <w:szCs w:val="18"/>
              </w:rPr>
            </w:pPr>
            <w:r w:rsidRPr="001570EA">
              <w:rPr>
                <w:sz w:val="18"/>
                <w:szCs w:val="18"/>
              </w:rPr>
              <w:t>Binghamton, NY</w:t>
            </w:r>
          </w:p>
        </w:tc>
        <w:tc>
          <w:tcPr>
            <w:tcW w:w="1440" w:type="dxa"/>
            <w:tcBorders>
              <w:top w:val="nil"/>
              <w:left w:val="nil"/>
              <w:bottom w:val="single" w:sz="8" w:space="0" w:color="auto"/>
              <w:right w:val="single" w:sz="8" w:space="0" w:color="auto"/>
            </w:tcBorders>
            <w:shd w:val="clear" w:color="auto" w:fill="auto"/>
            <w:noWrap/>
            <w:hideMark/>
          </w:tcPr>
          <w:p w14:paraId="140F50F3" w14:textId="77777777" w:rsidR="007376E1" w:rsidRPr="001570EA" w:rsidRDefault="007376E1">
            <w:pPr>
              <w:jc w:val="center"/>
              <w:rPr>
                <w:rFonts w:cs="Arial"/>
                <w:color w:val="000000"/>
                <w:sz w:val="18"/>
                <w:szCs w:val="18"/>
              </w:rPr>
            </w:pPr>
            <w:r w:rsidRPr="001570EA">
              <w:rPr>
                <w:sz w:val="18"/>
                <w:szCs w:val="18"/>
              </w:rPr>
              <w:t>A</w:t>
            </w:r>
          </w:p>
        </w:tc>
        <w:tc>
          <w:tcPr>
            <w:tcW w:w="1530" w:type="dxa"/>
            <w:tcBorders>
              <w:top w:val="nil"/>
              <w:left w:val="nil"/>
              <w:bottom w:val="single" w:sz="8" w:space="0" w:color="auto"/>
              <w:right w:val="single" w:sz="8" w:space="0" w:color="auto"/>
            </w:tcBorders>
            <w:shd w:val="clear" w:color="auto" w:fill="auto"/>
            <w:noWrap/>
            <w:hideMark/>
          </w:tcPr>
          <w:p w14:paraId="2AA12CA1" w14:textId="77777777" w:rsidR="007376E1" w:rsidRPr="001570EA" w:rsidRDefault="007376E1">
            <w:pPr>
              <w:jc w:val="center"/>
              <w:rPr>
                <w:rFonts w:ascii="Calibri" w:hAnsi="Calibri" w:cs="Calibri"/>
                <w:sz w:val="18"/>
                <w:szCs w:val="18"/>
              </w:rPr>
            </w:pPr>
            <w:r w:rsidRPr="001570EA">
              <w:rPr>
                <w:sz w:val="18"/>
                <w:szCs w:val="18"/>
              </w:rPr>
              <w:t>253</w:t>
            </w:r>
          </w:p>
        </w:tc>
        <w:tc>
          <w:tcPr>
            <w:tcW w:w="1530" w:type="dxa"/>
            <w:tcBorders>
              <w:top w:val="nil"/>
              <w:left w:val="nil"/>
              <w:bottom w:val="single" w:sz="8" w:space="0" w:color="auto"/>
              <w:right w:val="single" w:sz="8" w:space="0" w:color="auto"/>
            </w:tcBorders>
            <w:shd w:val="clear" w:color="auto" w:fill="auto"/>
            <w:noWrap/>
            <w:hideMark/>
          </w:tcPr>
          <w:p w14:paraId="0439F8BB" w14:textId="77777777" w:rsidR="007376E1" w:rsidRPr="001570EA" w:rsidRDefault="007376E1">
            <w:pPr>
              <w:jc w:val="center"/>
              <w:rPr>
                <w:rFonts w:ascii="Calibri" w:hAnsi="Calibri" w:cs="Calibri"/>
                <w:sz w:val="18"/>
                <w:szCs w:val="18"/>
              </w:rPr>
            </w:pPr>
            <w:r w:rsidRPr="001570EA">
              <w:rPr>
                <w:sz w:val="18"/>
                <w:szCs w:val="18"/>
              </w:rPr>
              <w:t>1,305</w:t>
            </w:r>
          </w:p>
        </w:tc>
      </w:tr>
      <w:tr w:rsidR="007376E1" w:rsidRPr="001570EA" w14:paraId="79DC5B6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0"/>
        </w:trPr>
        <w:tc>
          <w:tcPr>
            <w:tcW w:w="1700" w:type="dxa"/>
            <w:tcBorders>
              <w:top w:val="nil"/>
              <w:left w:val="single" w:sz="8" w:space="0" w:color="auto"/>
              <w:bottom w:val="single" w:sz="8" w:space="0" w:color="auto"/>
              <w:right w:val="single" w:sz="8" w:space="0" w:color="auto"/>
            </w:tcBorders>
            <w:shd w:val="clear" w:color="000000" w:fill="BFBFBF"/>
            <w:hideMark/>
          </w:tcPr>
          <w:p w14:paraId="27AC3554" w14:textId="77777777" w:rsidR="007376E1" w:rsidRPr="001570EA" w:rsidRDefault="007376E1">
            <w:pPr>
              <w:jc w:val="left"/>
              <w:rPr>
                <w:rFonts w:cs="Arial"/>
                <w:b/>
                <w:bCs/>
                <w:color w:val="000000"/>
                <w:sz w:val="18"/>
                <w:szCs w:val="18"/>
              </w:rPr>
            </w:pPr>
            <w:r w:rsidRPr="001570EA">
              <w:rPr>
                <w:sz w:val="18"/>
                <w:szCs w:val="18"/>
              </w:rPr>
              <w:t>Bradford</w:t>
            </w:r>
          </w:p>
        </w:tc>
        <w:tc>
          <w:tcPr>
            <w:tcW w:w="1440" w:type="dxa"/>
            <w:tcBorders>
              <w:top w:val="nil"/>
              <w:left w:val="nil"/>
              <w:bottom w:val="single" w:sz="8" w:space="0" w:color="auto"/>
              <w:right w:val="single" w:sz="8" w:space="0" w:color="auto"/>
            </w:tcBorders>
            <w:shd w:val="clear" w:color="auto" w:fill="auto"/>
            <w:noWrap/>
            <w:hideMark/>
          </w:tcPr>
          <w:p w14:paraId="1486B1BB" w14:textId="77777777" w:rsidR="007376E1" w:rsidRPr="001570EA" w:rsidRDefault="007376E1">
            <w:pPr>
              <w:jc w:val="center"/>
              <w:rPr>
                <w:rFonts w:cs="Arial"/>
                <w:color w:val="000000"/>
                <w:sz w:val="18"/>
                <w:szCs w:val="18"/>
              </w:rPr>
            </w:pPr>
            <w:r w:rsidRPr="001570EA">
              <w:rPr>
                <w:sz w:val="18"/>
                <w:szCs w:val="18"/>
              </w:rPr>
              <w:t>G</w:t>
            </w:r>
          </w:p>
        </w:tc>
        <w:tc>
          <w:tcPr>
            <w:tcW w:w="1530" w:type="dxa"/>
            <w:tcBorders>
              <w:top w:val="nil"/>
              <w:left w:val="nil"/>
              <w:bottom w:val="single" w:sz="8" w:space="0" w:color="auto"/>
              <w:right w:val="single" w:sz="8" w:space="0" w:color="auto"/>
            </w:tcBorders>
            <w:shd w:val="clear" w:color="auto" w:fill="auto"/>
            <w:noWrap/>
            <w:hideMark/>
          </w:tcPr>
          <w:p w14:paraId="0E5D2116" w14:textId="77777777" w:rsidR="007376E1" w:rsidRPr="001570EA" w:rsidRDefault="007376E1">
            <w:pPr>
              <w:jc w:val="center"/>
              <w:rPr>
                <w:rFonts w:ascii="Calibri" w:hAnsi="Calibri" w:cs="Calibri"/>
                <w:sz w:val="18"/>
                <w:szCs w:val="18"/>
              </w:rPr>
            </w:pPr>
            <w:r w:rsidRPr="001570EA">
              <w:rPr>
                <w:sz w:val="18"/>
                <w:szCs w:val="18"/>
              </w:rPr>
              <w:t>201</w:t>
            </w:r>
          </w:p>
        </w:tc>
        <w:tc>
          <w:tcPr>
            <w:tcW w:w="1530" w:type="dxa"/>
            <w:tcBorders>
              <w:top w:val="nil"/>
              <w:left w:val="nil"/>
              <w:bottom w:val="single" w:sz="8" w:space="0" w:color="auto"/>
              <w:right w:val="single" w:sz="8" w:space="0" w:color="auto"/>
            </w:tcBorders>
            <w:shd w:val="clear" w:color="auto" w:fill="auto"/>
            <w:noWrap/>
            <w:hideMark/>
          </w:tcPr>
          <w:p w14:paraId="25CB0DC7" w14:textId="77777777" w:rsidR="007376E1" w:rsidRPr="001570EA" w:rsidRDefault="007376E1">
            <w:pPr>
              <w:jc w:val="center"/>
              <w:rPr>
                <w:rFonts w:ascii="Calibri" w:hAnsi="Calibri" w:cs="Calibri"/>
                <w:sz w:val="18"/>
                <w:szCs w:val="18"/>
              </w:rPr>
            </w:pPr>
            <w:r w:rsidRPr="001570EA">
              <w:rPr>
                <w:sz w:val="18"/>
                <w:szCs w:val="18"/>
              </w:rPr>
              <w:t>1,325</w:t>
            </w:r>
          </w:p>
        </w:tc>
      </w:tr>
      <w:tr w:rsidR="007376E1" w:rsidRPr="001570EA" w14:paraId="23D893A5"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0"/>
        </w:trPr>
        <w:tc>
          <w:tcPr>
            <w:tcW w:w="1700" w:type="dxa"/>
            <w:tcBorders>
              <w:top w:val="nil"/>
              <w:left w:val="single" w:sz="8" w:space="0" w:color="auto"/>
              <w:bottom w:val="single" w:sz="8" w:space="0" w:color="auto"/>
              <w:right w:val="single" w:sz="8" w:space="0" w:color="auto"/>
            </w:tcBorders>
            <w:shd w:val="clear" w:color="000000" w:fill="BFBFBF"/>
            <w:hideMark/>
          </w:tcPr>
          <w:p w14:paraId="15AAEBD7" w14:textId="77777777" w:rsidR="007376E1" w:rsidRPr="001570EA" w:rsidRDefault="007376E1">
            <w:pPr>
              <w:jc w:val="left"/>
              <w:rPr>
                <w:rFonts w:cs="Arial"/>
                <w:b/>
                <w:bCs/>
                <w:color w:val="000000"/>
                <w:sz w:val="18"/>
                <w:szCs w:val="18"/>
              </w:rPr>
            </w:pPr>
            <w:r w:rsidRPr="001570EA">
              <w:rPr>
                <w:sz w:val="18"/>
                <w:szCs w:val="18"/>
              </w:rPr>
              <w:t>Erie</w:t>
            </w:r>
          </w:p>
        </w:tc>
        <w:tc>
          <w:tcPr>
            <w:tcW w:w="1440" w:type="dxa"/>
            <w:tcBorders>
              <w:top w:val="nil"/>
              <w:left w:val="nil"/>
              <w:bottom w:val="single" w:sz="8" w:space="0" w:color="auto"/>
              <w:right w:val="single" w:sz="8" w:space="0" w:color="auto"/>
            </w:tcBorders>
            <w:shd w:val="clear" w:color="auto" w:fill="auto"/>
            <w:noWrap/>
            <w:hideMark/>
          </w:tcPr>
          <w:p w14:paraId="592648C8" w14:textId="77777777" w:rsidR="007376E1" w:rsidRPr="001570EA" w:rsidRDefault="007376E1">
            <w:pPr>
              <w:jc w:val="center"/>
              <w:rPr>
                <w:rFonts w:cs="Arial"/>
                <w:color w:val="000000"/>
                <w:sz w:val="18"/>
                <w:szCs w:val="18"/>
              </w:rPr>
            </w:pPr>
            <w:r w:rsidRPr="001570EA">
              <w:rPr>
                <w:sz w:val="18"/>
                <w:szCs w:val="18"/>
              </w:rPr>
              <w:t>I</w:t>
            </w:r>
          </w:p>
        </w:tc>
        <w:tc>
          <w:tcPr>
            <w:tcW w:w="1530" w:type="dxa"/>
            <w:tcBorders>
              <w:top w:val="nil"/>
              <w:left w:val="nil"/>
              <w:bottom w:val="single" w:sz="8" w:space="0" w:color="auto"/>
              <w:right w:val="single" w:sz="8" w:space="0" w:color="auto"/>
            </w:tcBorders>
            <w:shd w:val="clear" w:color="auto" w:fill="auto"/>
            <w:noWrap/>
            <w:hideMark/>
          </w:tcPr>
          <w:p w14:paraId="2CC30AE8" w14:textId="77777777" w:rsidR="007376E1" w:rsidRPr="001570EA" w:rsidRDefault="007376E1">
            <w:pPr>
              <w:jc w:val="center"/>
              <w:rPr>
                <w:rFonts w:ascii="Calibri" w:hAnsi="Calibri" w:cs="Calibri"/>
                <w:sz w:val="18"/>
                <w:szCs w:val="18"/>
              </w:rPr>
            </w:pPr>
            <w:r w:rsidRPr="001570EA">
              <w:rPr>
                <w:sz w:val="18"/>
                <w:szCs w:val="18"/>
              </w:rPr>
              <w:t>410</w:t>
            </w:r>
          </w:p>
        </w:tc>
        <w:tc>
          <w:tcPr>
            <w:tcW w:w="1530" w:type="dxa"/>
            <w:tcBorders>
              <w:top w:val="nil"/>
              <w:left w:val="nil"/>
              <w:bottom w:val="single" w:sz="8" w:space="0" w:color="auto"/>
              <w:right w:val="single" w:sz="8" w:space="0" w:color="auto"/>
            </w:tcBorders>
            <w:shd w:val="clear" w:color="auto" w:fill="auto"/>
            <w:noWrap/>
            <w:hideMark/>
          </w:tcPr>
          <w:p w14:paraId="51862F7C" w14:textId="77777777" w:rsidR="007376E1" w:rsidRPr="001570EA" w:rsidRDefault="007376E1">
            <w:pPr>
              <w:jc w:val="center"/>
              <w:rPr>
                <w:rFonts w:ascii="Calibri" w:hAnsi="Calibri" w:cs="Calibri"/>
                <w:sz w:val="18"/>
                <w:szCs w:val="18"/>
              </w:rPr>
            </w:pPr>
            <w:r w:rsidRPr="001570EA">
              <w:rPr>
                <w:sz w:val="18"/>
                <w:szCs w:val="18"/>
              </w:rPr>
              <w:t>1,131</w:t>
            </w:r>
          </w:p>
        </w:tc>
      </w:tr>
      <w:tr w:rsidR="007376E1" w:rsidRPr="001570EA" w14:paraId="7E24D8FB"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0"/>
        </w:trPr>
        <w:tc>
          <w:tcPr>
            <w:tcW w:w="1700" w:type="dxa"/>
            <w:tcBorders>
              <w:top w:val="nil"/>
              <w:left w:val="single" w:sz="8" w:space="0" w:color="auto"/>
              <w:bottom w:val="single" w:sz="8" w:space="0" w:color="auto"/>
              <w:right w:val="single" w:sz="8" w:space="0" w:color="auto"/>
            </w:tcBorders>
            <w:shd w:val="clear" w:color="000000" w:fill="BFBFBF"/>
            <w:hideMark/>
          </w:tcPr>
          <w:p w14:paraId="46A4F47D" w14:textId="77777777" w:rsidR="007376E1" w:rsidRPr="001570EA" w:rsidRDefault="007376E1">
            <w:pPr>
              <w:jc w:val="left"/>
              <w:rPr>
                <w:rFonts w:cs="Arial"/>
                <w:b/>
                <w:bCs/>
                <w:color w:val="000000"/>
                <w:sz w:val="18"/>
                <w:szCs w:val="18"/>
              </w:rPr>
            </w:pPr>
            <w:r w:rsidRPr="001570EA">
              <w:rPr>
                <w:sz w:val="18"/>
                <w:szCs w:val="18"/>
              </w:rPr>
              <w:t>Harrisburg</w:t>
            </w:r>
          </w:p>
        </w:tc>
        <w:tc>
          <w:tcPr>
            <w:tcW w:w="1440" w:type="dxa"/>
            <w:tcBorders>
              <w:top w:val="nil"/>
              <w:left w:val="nil"/>
              <w:bottom w:val="single" w:sz="8" w:space="0" w:color="auto"/>
              <w:right w:val="single" w:sz="8" w:space="0" w:color="auto"/>
            </w:tcBorders>
            <w:shd w:val="clear" w:color="auto" w:fill="auto"/>
            <w:noWrap/>
            <w:hideMark/>
          </w:tcPr>
          <w:p w14:paraId="41442731" w14:textId="77777777" w:rsidR="007376E1" w:rsidRPr="001570EA" w:rsidRDefault="007376E1">
            <w:pPr>
              <w:jc w:val="center"/>
              <w:rPr>
                <w:rFonts w:cs="Arial"/>
                <w:color w:val="000000"/>
                <w:sz w:val="18"/>
                <w:szCs w:val="18"/>
              </w:rPr>
            </w:pPr>
            <w:r w:rsidRPr="001570EA">
              <w:rPr>
                <w:sz w:val="18"/>
                <w:szCs w:val="18"/>
              </w:rPr>
              <w:t>E</w:t>
            </w:r>
          </w:p>
        </w:tc>
        <w:tc>
          <w:tcPr>
            <w:tcW w:w="1530" w:type="dxa"/>
            <w:tcBorders>
              <w:top w:val="nil"/>
              <w:left w:val="nil"/>
              <w:bottom w:val="single" w:sz="8" w:space="0" w:color="auto"/>
              <w:right w:val="single" w:sz="8" w:space="0" w:color="auto"/>
            </w:tcBorders>
            <w:shd w:val="clear" w:color="auto" w:fill="auto"/>
            <w:noWrap/>
            <w:hideMark/>
          </w:tcPr>
          <w:p w14:paraId="6EA05D16" w14:textId="77777777" w:rsidR="007376E1" w:rsidRPr="001570EA" w:rsidRDefault="007376E1">
            <w:pPr>
              <w:jc w:val="center"/>
              <w:rPr>
                <w:rFonts w:ascii="Calibri" w:hAnsi="Calibri" w:cs="Calibri"/>
                <w:sz w:val="18"/>
                <w:szCs w:val="18"/>
              </w:rPr>
            </w:pPr>
            <w:r w:rsidRPr="001570EA">
              <w:rPr>
                <w:sz w:val="18"/>
                <w:szCs w:val="18"/>
              </w:rPr>
              <w:t>562</w:t>
            </w:r>
          </w:p>
        </w:tc>
        <w:tc>
          <w:tcPr>
            <w:tcW w:w="1530" w:type="dxa"/>
            <w:tcBorders>
              <w:top w:val="nil"/>
              <w:left w:val="nil"/>
              <w:bottom w:val="single" w:sz="8" w:space="0" w:color="auto"/>
              <w:right w:val="single" w:sz="8" w:space="0" w:color="auto"/>
            </w:tcBorders>
            <w:shd w:val="clear" w:color="auto" w:fill="auto"/>
            <w:noWrap/>
            <w:hideMark/>
          </w:tcPr>
          <w:p w14:paraId="1920107A" w14:textId="77777777" w:rsidR="007376E1" w:rsidRPr="001570EA" w:rsidRDefault="007376E1">
            <w:pPr>
              <w:jc w:val="center"/>
              <w:rPr>
                <w:rFonts w:ascii="Calibri" w:hAnsi="Calibri" w:cs="Calibri"/>
                <w:sz w:val="18"/>
                <w:szCs w:val="18"/>
              </w:rPr>
            </w:pPr>
            <w:r w:rsidRPr="001570EA">
              <w:rPr>
                <w:sz w:val="18"/>
                <w:szCs w:val="18"/>
              </w:rPr>
              <w:t>959</w:t>
            </w:r>
          </w:p>
        </w:tc>
      </w:tr>
      <w:tr w:rsidR="007376E1" w:rsidRPr="001570EA" w14:paraId="48A510C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0"/>
        </w:trPr>
        <w:tc>
          <w:tcPr>
            <w:tcW w:w="1700" w:type="dxa"/>
            <w:tcBorders>
              <w:top w:val="nil"/>
              <w:left w:val="single" w:sz="8" w:space="0" w:color="auto"/>
              <w:bottom w:val="single" w:sz="8" w:space="0" w:color="auto"/>
              <w:right w:val="single" w:sz="8" w:space="0" w:color="auto"/>
            </w:tcBorders>
            <w:shd w:val="clear" w:color="000000" w:fill="BFBFBF"/>
            <w:hideMark/>
          </w:tcPr>
          <w:p w14:paraId="66A50C05" w14:textId="77777777" w:rsidR="007376E1" w:rsidRPr="001570EA" w:rsidRDefault="007376E1">
            <w:pPr>
              <w:jc w:val="left"/>
              <w:rPr>
                <w:rFonts w:cs="Arial"/>
                <w:b/>
                <w:bCs/>
                <w:color w:val="000000"/>
                <w:sz w:val="18"/>
                <w:szCs w:val="18"/>
              </w:rPr>
            </w:pPr>
            <w:r w:rsidRPr="001570EA">
              <w:rPr>
                <w:sz w:val="18"/>
                <w:szCs w:val="18"/>
              </w:rPr>
              <w:t>Philadelphia</w:t>
            </w:r>
          </w:p>
        </w:tc>
        <w:tc>
          <w:tcPr>
            <w:tcW w:w="1440" w:type="dxa"/>
            <w:tcBorders>
              <w:top w:val="nil"/>
              <w:left w:val="nil"/>
              <w:bottom w:val="single" w:sz="8" w:space="0" w:color="auto"/>
              <w:right w:val="single" w:sz="8" w:space="0" w:color="auto"/>
            </w:tcBorders>
            <w:shd w:val="clear" w:color="auto" w:fill="auto"/>
            <w:noWrap/>
            <w:hideMark/>
          </w:tcPr>
          <w:p w14:paraId="64CAF8F3" w14:textId="77777777" w:rsidR="007376E1" w:rsidRPr="001570EA" w:rsidRDefault="007376E1">
            <w:pPr>
              <w:jc w:val="center"/>
              <w:rPr>
                <w:rFonts w:cs="Arial"/>
                <w:color w:val="000000"/>
                <w:sz w:val="18"/>
                <w:szCs w:val="18"/>
              </w:rPr>
            </w:pPr>
            <w:r w:rsidRPr="001570EA">
              <w:rPr>
                <w:sz w:val="18"/>
                <w:szCs w:val="18"/>
              </w:rPr>
              <w:t>D</w:t>
            </w:r>
          </w:p>
        </w:tc>
        <w:tc>
          <w:tcPr>
            <w:tcW w:w="1530" w:type="dxa"/>
            <w:tcBorders>
              <w:top w:val="nil"/>
              <w:left w:val="nil"/>
              <w:bottom w:val="single" w:sz="8" w:space="0" w:color="auto"/>
              <w:right w:val="single" w:sz="8" w:space="0" w:color="auto"/>
            </w:tcBorders>
            <w:shd w:val="clear" w:color="auto" w:fill="auto"/>
            <w:noWrap/>
            <w:hideMark/>
          </w:tcPr>
          <w:p w14:paraId="59BD7A03" w14:textId="77777777" w:rsidR="007376E1" w:rsidRPr="001570EA" w:rsidRDefault="007376E1">
            <w:pPr>
              <w:jc w:val="center"/>
              <w:rPr>
                <w:rFonts w:ascii="Calibri" w:hAnsi="Calibri" w:cs="Calibri"/>
                <w:sz w:val="18"/>
                <w:szCs w:val="18"/>
              </w:rPr>
            </w:pPr>
            <w:r w:rsidRPr="001570EA">
              <w:rPr>
                <w:sz w:val="18"/>
                <w:szCs w:val="18"/>
              </w:rPr>
              <w:t>637</w:t>
            </w:r>
          </w:p>
        </w:tc>
        <w:tc>
          <w:tcPr>
            <w:tcW w:w="1530" w:type="dxa"/>
            <w:tcBorders>
              <w:top w:val="nil"/>
              <w:left w:val="nil"/>
              <w:bottom w:val="single" w:sz="8" w:space="0" w:color="auto"/>
              <w:right w:val="single" w:sz="8" w:space="0" w:color="auto"/>
            </w:tcBorders>
            <w:shd w:val="clear" w:color="auto" w:fill="auto"/>
            <w:noWrap/>
            <w:hideMark/>
          </w:tcPr>
          <w:p w14:paraId="54FEA8F8" w14:textId="77777777" w:rsidR="007376E1" w:rsidRPr="001570EA" w:rsidRDefault="007376E1">
            <w:pPr>
              <w:jc w:val="center"/>
              <w:rPr>
                <w:rFonts w:ascii="Calibri" w:hAnsi="Calibri" w:cs="Calibri"/>
                <w:sz w:val="18"/>
                <w:szCs w:val="18"/>
              </w:rPr>
            </w:pPr>
            <w:r w:rsidRPr="001570EA">
              <w:rPr>
                <w:sz w:val="18"/>
                <w:szCs w:val="18"/>
              </w:rPr>
              <w:t>850</w:t>
            </w:r>
          </w:p>
        </w:tc>
      </w:tr>
      <w:tr w:rsidR="007376E1" w:rsidRPr="001570EA" w14:paraId="5CE155F7"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0"/>
        </w:trPr>
        <w:tc>
          <w:tcPr>
            <w:tcW w:w="1700" w:type="dxa"/>
            <w:tcBorders>
              <w:top w:val="nil"/>
              <w:left w:val="single" w:sz="8" w:space="0" w:color="auto"/>
              <w:bottom w:val="single" w:sz="8" w:space="0" w:color="auto"/>
              <w:right w:val="single" w:sz="8" w:space="0" w:color="auto"/>
            </w:tcBorders>
            <w:shd w:val="clear" w:color="000000" w:fill="BFBFBF"/>
            <w:hideMark/>
          </w:tcPr>
          <w:p w14:paraId="7F827916" w14:textId="77777777" w:rsidR="007376E1" w:rsidRPr="001570EA" w:rsidRDefault="007376E1">
            <w:pPr>
              <w:jc w:val="left"/>
              <w:rPr>
                <w:rFonts w:cs="Arial"/>
                <w:b/>
                <w:bCs/>
                <w:color w:val="000000"/>
                <w:sz w:val="18"/>
                <w:szCs w:val="18"/>
              </w:rPr>
            </w:pPr>
            <w:r w:rsidRPr="001570EA">
              <w:rPr>
                <w:sz w:val="18"/>
                <w:szCs w:val="18"/>
              </w:rPr>
              <w:t>Pittsburgh</w:t>
            </w:r>
          </w:p>
        </w:tc>
        <w:tc>
          <w:tcPr>
            <w:tcW w:w="1440" w:type="dxa"/>
            <w:tcBorders>
              <w:top w:val="nil"/>
              <w:left w:val="nil"/>
              <w:bottom w:val="single" w:sz="8" w:space="0" w:color="auto"/>
              <w:right w:val="single" w:sz="8" w:space="0" w:color="auto"/>
            </w:tcBorders>
            <w:shd w:val="clear" w:color="auto" w:fill="auto"/>
            <w:noWrap/>
            <w:hideMark/>
          </w:tcPr>
          <w:p w14:paraId="4B6C416B" w14:textId="77777777" w:rsidR="007376E1" w:rsidRPr="001570EA" w:rsidRDefault="007376E1">
            <w:pPr>
              <w:jc w:val="center"/>
              <w:rPr>
                <w:rFonts w:cs="Arial"/>
                <w:color w:val="000000"/>
                <w:sz w:val="18"/>
                <w:szCs w:val="18"/>
              </w:rPr>
            </w:pPr>
            <w:r w:rsidRPr="001570EA">
              <w:rPr>
                <w:sz w:val="18"/>
                <w:szCs w:val="18"/>
              </w:rPr>
              <w:t>H</w:t>
            </w:r>
          </w:p>
        </w:tc>
        <w:tc>
          <w:tcPr>
            <w:tcW w:w="1530" w:type="dxa"/>
            <w:tcBorders>
              <w:top w:val="nil"/>
              <w:left w:val="nil"/>
              <w:bottom w:val="single" w:sz="8" w:space="0" w:color="auto"/>
              <w:right w:val="single" w:sz="8" w:space="0" w:color="auto"/>
            </w:tcBorders>
            <w:shd w:val="clear" w:color="auto" w:fill="auto"/>
            <w:noWrap/>
            <w:hideMark/>
          </w:tcPr>
          <w:p w14:paraId="13168C9A" w14:textId="77777777" w:rsidR="007376E1" w:rsidRPr="001570EA" w:rsidRDefault="007376E1">
            <w:pPr>
              <w:jc w:val="center"/>
              <w:rPr>
                <w:rFonts w:ascii="Calibri" w:hAnsi="Calibri" w:cs="Calibri"/>
                <w:sz w:val="18"/>
                <w:szCs w:val="18"/>
              </w:rPr>
            </w:pPr>
            <w:r w:rsidRPr="001570EA">
              <w:rPr>
                <w:sz w:val="18"/>
                <w:szCs w:val="18"/>
              </w:rPr>
              <w:t>439</w:t>
            </w:r>
          </w:p>
        </w:tc>
        <w:tc>
          <w:tcPr>
            <w:tcW w:w="1530" w:type="dxa"/>
            <w:tcBorders>
              <w:top w:val="nil"/>
              <w:left w:val="nil"/>
              <w:bottom w:val="single" w:sz="8" w:space="0" w:color="auto"/>
              <w:right w:val="single" w:sz="8" w:space="0" w:color="auto"/>
            </w:tcBorders>
            <w:shd w:val="clear" w:color="auto" w:fill="auto"/>
            <w:noWrap/>
            <w:hideMark/>
          </w:tcPr>
          <w:p w14:paraId="631CA48B" w14:textId="77777777" w:rsidR="007376E1" w:rsidRPr="001570EA" w:rsidRDefault="007376E1">
            <w:pPr>
              <w:jc w:val="center"/>
              <w:rPr>
                <w:rFonts w:ascii="Calibri" w:hAnsi="Calibri" w:cs="Calibri"/>
                <w:sz w:val="18"/>
                <w:szCs w:val="18"/>
              </w:rPr>
            </w:pPr>
            <w:r w:rsidRPr="001570EA">
              <w:rPr>
                <w:sz w:val="18"/>
                <w:szCs w:val="18"/>
              </w:rPr>
              <w:t>1,069</w:t>
            </w:r>
          </w:p>
        </w:tc>
      </w:tr>
      <w:tr w:rsidR="007376E1" w:rsidRPr="001570EA" w14:paraId="4BBA001C"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0"/>
        </w:trPr>
        <w:tc>
          <w:tcPr>
            <w:tcW w:w="1700" w:type="dxa"/>
            <w:tcBorders>
              <w:top w:val="nil"/>
              <w:left w:val="single" w:sz="8" w:space="0" w:color="auto"/>
              <w:bottom w:val="single" w:sz="8" w:space="0" w:color="auto"/>
              <w:right w:val="single" w:sz="8" w:space="0" w:color="auto"/>
            </w:tcBorders>
            <w:shd w:val="clear" w:color="000000" w:fill="BFBFBF"/>
            <w:hideMark/>
          </w:tcPr>
          <w:p w14:paraId="4BABCD08" w14:textId="77777777" w:rsidR="007376E1" w:rsidRPr="001570EA" w:rsidRDefault="007376E1">
            <w:pPr>
              <w:jc w:val="left"/>
              <w:rPr>
                <w:rFonts w:cs="Arial"/>
                <w:b/>
                <w:bCs/>
                <w:color w:val="000000"/>
                <w:sz w:val="18"/>
                <w:szCs w:val="18"/>
              </w:rPr>
            </w:pPr>
            <w:r w:rsidRPr="001570EA">
              <w:rPr>
                <w:sz w:val="18"/>
                <w:szCs w:val="18"/>
              </w:rPr>
              <w:t>Scranton</w:t>
            </w:r>
          </w:p>
        </w:tc>
        <w:tc>
          <w:tcPr>
            <w:tcW w:w="1440" w:type="dxa"/>
            <w:tcBorders>
              <w:top w:val="nil"/>
              <w:left w:val="nil"/>
              <w:bottom w:val="single" w:sz="8" w:space="0" w:color="auto"/>
              <w:right w:val="single" w:sz="8" w:space="0" w:color="auto"/>
            </w:tcBorders>
            <w:shd w:val="clear" w:color="auto" w:fill="auto"/>
            <w:noWrap/>
            <w:hideMark/>
          </w:tcPr>
          <w:p w14:paraId="18E57FC1" w14:textId="77777777" w:rsidR="007376E1" w:rsidRPr="001570EA" w:rsidRDefault="007376E1">
            <w:pPr>
              <w:jc w:val="center"/>
              <w:rPr>
                <w:rFonts w:cs="Arial"/>
                <w:color w:val="000000"/>
                <w:sz w:val="18"/>
                <w:szCs w:val="18"/>
              </w:rPr>
            </w:pPr>
            <w:r w:rsidRPr="001570EA">
              <w:rPr>
                <w:sz w:val="18"/>
                <w:szCs w:val="18"/>
              </w:rPr>
              <w:t>B</w:t>
            </w:r>
          </w:p>
        </w:tc>
        <w:tc>
          <w:tcPr>
            <w:tcW w:w="1530" w:type="dxa"/>
            <w:tcBorders>
              <w:top w:val="nil"/>
              <w:left w:val="nil"/>
              <w:bottom w:val="single" w:sz="8" w:space="0" w:color="auto"/>
              <w:right w:val="single" w:sz="8" w:space="0" w:color="auto"/>
            </w:tcBorders>
            <w:shd w:val="clear" w:color="auto" w:fill="auto"/>
            <w:noWrap/>
            <w:hideMark/>
          </w:tcPr>
          <w:p w14:paraId="3762CC68" w14:textId="77777777" w:rsidR="007376E1" w:rsidRPr="001570EA" w:rsidRDefault="007376E1">
            <w:pPr>
              <w:jc w:val="center"/>
              <w:rPr>
                <w:rFonts w:ascii="Calibri" w:hAnsi="Calibri" w:cs="Calibri"/>
                <w:sz w:val="18"/>
                <w:szCs w:val="18"/>
              </w:rPr>
            </w:pPr>
            <w:r w:rsidRPr="001570EA">
              <w:rPr>
                <w:sz w:val="18"/>
                <w:szCs w:val="18"/>
              </w:rPr>
              <w:t>427</w:t>
            </w:r>
          </w:p>
        </w:tc>
        <w:tc>
          <w:tcPr>
            <w:tcW w:w="1530" w:type="dxa"/>
            <w:tcBorders>
              <w:top w:val="nil"/>
              <w:left w:val="nil"/>
              <w:bottom w:val="single" w:sz="8" w:space="0" w:color="auto"/>
              <w:right w:val="single" w:sz="8" w:space="0" w:color="auto"/>
            </w:tcBorders>
            <w:shd w:val="clear" w:color="auto" w:fill="auto"/>
            <w:noWrap/>
            <w:hideMark/>
          </w:tcPr>
          <w:p w14:paraId="64487B95" w14:textId="77777777" w:rsidR="007376E1" w:rsidRPr="001570EA" w:rsidRDefault="007376E1">
            <w:pPr>
              <w:jc w:val="center"/>
              <w:rPr>
                <w:rFonts w:ascii="Calibri" w:hAnsi="Calibri" w:cs="Calibri"/>
                <w:sz w:val="18"/>
                <w:szCs w:val="18"/>
              </w:rPr>
            </w:pPr>
            <w:r w:rsidRPr="001570EA">
              <w:rPr>
                <w:sz w:val="18"/>
                <w:szCs w:val="18"/>
              </w:rPr>
              <w:t>1,089</w:t>
            </w:r>
          </w:p>
        </w:tc>
      </w:tr>
      <w:tr w:rsidR="007376E1" w:rsidRPr="001570EA" w14:paraId="429C39B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0"/>
        </w:trPr>
        <w:tc>
          <w:tcPr>
            <w:tcW w:w="1700" w:type="dxa"/>
            <w:tcBorders>
              <w:top w:val="nil"/>
              <w:left w:val="single" w:sz="8" w:space="0" w:color="auto"/>
              <w:bottom w:val="single" w:sz="8" w:space="0" w:color="auto"/>
              <w:right w:val="single" w:sz="8" w:space="0" w:color="auto"/>
            </w:tcBorders>
            <w:shd w:val="clear" w:color="000000" w:fill="BFBFBF"/>
            <w:hideMark/>
          </w:tcPr>
          <w:p w14:paraId="39A30B1D" w14:textId="77777777" w:rsidR="007376E1" w:rsidRPr="001570EA" w:rsidRDefault="007376E1">
            <w:pPr>
              <w:jc w:val="left"/>
              <w:rPr>
                <w:rFonts w:cs="Arial"/>
                <w:b/>
                <w:bCs/>
                <w:color w:val="000000"/>
                <w:sz w:val="18"/>
                <w:szCs w:val="18"/>
              </w:rPr>
            </w:pPr>
            <w:r w:rsidRPr="001570EA">
              <w:rPr>
                <w:sz w:val="18"/>
                <w:szCs w:val="18"/>
              </w:rPr>
              <w:t>Williamsport</w:t>
            </w:r>
          </w:p>
        </w:tc>
        <w:tc>
          <w:tcPr>
            <w:tcW w:w="1440" w:type="dxa"/>
            <w:tcBorders>
              <w:top w:val="nil"/>
              <w:left w:val="nil"/>
              <w:bottom w:val="single" w:sz="8" w:space="0" w:color="auto"/>
              <w:right w:val="single" w:sz="8" w:space="0" w:color="auto"/>
            </w:tcBorders>
            <w:shd w:val="clear" w:color="auto" w:fill="auto"/>
            <w:noWrap/>
            <w:hideMark/>
          </w:tcPr>
          <w:p w14:paraId="3EEE2250" w14:textId="77777777" w:rsidR="007376E1" w:rsidRPr="001570EA" w:rsidRDefault="007376E1">
            <w:pPr>
              <w:jc w:val="center"/>
              <w:rPr>
                <w:rFonts w:cs="Arial"/>
                <w:color w:val="000000"/>
                <w:sz w:val="18"/>
                <w:szCs w:val="18"/>
              </w:rPr>
            </w:pPr>
            <w:r w:rsidRPr="001570EA">
              <w:rPr>
                <w:sz w:val="18"/>
                <w:szCs w:val="18"/>
              </w:rPr>
              <w:t>F</w:t>
            </w:r>
          </w:p>
        </w:tc>
        <w:tc>
          <w:tcPr>
            <w:tcW w:w="1530" w:type="dxa"/>
            <w:tcBorders>
              <w:top w:val="nil"/>
              <w:left w:val="nil"/>
              <w:bottom w:val="single" w:sz="8" w:space="0" w:color="auto"/>
              <w:right w:val="single" w:sz="8" w:space="0" w:color="auto"/>
            </w:tcBorders>
            <w:shd w:val="clear" w:color="auto" w:fill="auto"/>
            <w:noWrap/>
            <w:hideMark/>
          </w:tcPr>
          <w:p w14:paraId="50A73B8A" w14:textId="77777777" w:rsidR="007376E1" w:rsidRPr="001570EA" w:rsidRDefault="007376E1">
            <w:pPr>
              <w:jc w:val="center"/>
              <w:rPr>
                <w:rFonts w:ascii="Calibri" w:hAnsi="Calibri" w:cs="Calibri"/>
                <w:sz w:val="18"/>
                <w:szCs w:val="18"/>
              </w:rPr>
            </w:pPr>
            <w:r w:rsidRPr="001570EA">
              <w:rPr>
                <w:sz w:val="18"/>
                <w:szCs w:val="18"/>
              </w:rPr>
              <w:t>433</w:t>
            </w:r>
          </w:p>
        </w:tc>
        <w:tc>
          <w:tcPr>
            <w:tcW w:w="1530" w:type="dxa"/>
            <w:tcBorders>
              <w:top w:val="nil"/>
              <w:left w:val="nil"/>
              <w:bottom w:val="single" w:sz="8" w:space="0" w:color="auto"/>
              <w:right w:val="single" w:sz="8" w:space="0" w:color="auto"/>
            </w:tcBorders>
            <w:shd w:val="clear" w:color="auto" w:fill="auto"/>
            <w:noWrap/>
            <w:hideMark/>
          </w:tcPr>
          <w:p w14:paraId="3AA40D3A" w14:textId="77777777" w:rsidR="007376E1" w:rsidRPr="001570EA" w:rsidRDefault="007376E1">
            <w:pPr>
              <w:jc w:val="center"/>
              <w:rPr>
                <w:rFonts w:ascii="Calibri" w:hAnsi="Calibri" w:cs="Calibri"/>
                <w:sz w:val="18"/>
                <w:szCs w:val="18"/>
              </w:rPr>
            </w:pPr>
            <w:r w:rsidRPr="001570EA">
              <w:rPr>
                <w:sz w:val="18"/>
                <w:szCs w:val="18"/>
              </w:rPr>
              <w:t>1,083</w:t>
            </w:r>
          </w:p>
        </w:tc>
      </w:tr>
    </w:tbl>
    <w:p w14:paraId="7E5F24E7" w14:textId="77777777" w:rsidR="007376E1" w:rsidRPr="001570EA" w:rsidRDefault="007376E1" w:rsidP="007376E1">
      <w:pPr>
        <w:pStyle w:val="SubStyle"/>
      </w:pPr>
    </w:p>
    <w:p w14:paraId="2317A2B0" w14:textId="77777777" w:rsidR="007376E1" w:rsidRPr="001570EA" w:rsidRDefault="007376E1" w:rsidP="007376E1">
      <w:pPr>
        <w:pStyle w:val="SubStyle"/>
      </w:pPr>
      <w:r w:rsidRPr="001570EA">
        <w:t>Evaluation Protocols</w:t>
      </w:r>
    </w:p>
    <w:p w14:paraId="5CC8FBA6" w14:textId="77777777" w:rsidR="007376E1" w:rsidRPr="001570EA" w:rsidRDefault="007376E1" w:rsidP="007376E1">
      <w:r w:rsidRPr="001570EA">
        <w:t>The most appropriate evaluation protocol for this measure is verification of installation coupled with assignment of stipulated energy savings.</w:t>
      </w:r>
    </w:p>
    <w:p w14:paraId="256AF49C" w14:textId="77777777" w:rsidR="007376E1" w:rsidRPr="001570EA" w:rsidRDefault="007376E1" w:rsidP="007376E1"/>
    <w:p w14:paraId="1336CE54" w14:textId="77777777" w:rsidR="007376E1" w:rsidRPr="001570EA" w:rsidRDefault="007376E1" w:rsidP="007376E1">
      <w:pPr>
        <w:pStyle w:val="SubStyle"/>
      </w:pPr>
      <w:r w:rsidRPr="001570EA">
        <w:t>Sources</w:t>
      </w:r>
    </w:p>
    <w:p w14:paraId="38963532" w14:textId="12B43A69" w:rsidR="007376E1" w:rsidRPr="001570EA" w:rsidRDefault="007376E1" w:rsidP="002614D2">
      <w:pPr>
        <w:pStyle w:val="ListParagraph"/>
        <w:numPr>
          <w:ilvl w:val="0"/>
          <w:numId w:val="34"/>
        </w:numPr>
        <w:overflowPunct/>
        <w:autoSpaceDE/>
        <w:autoSpaceDN/>
        <w:adjustRightInd/>
        <w:ind w:left="360"/>
        <w:jc w:val="left"/>
        <w:textAlignment w:val="auto"/>
      </w:pPr>
      <w:r w:rsidRPr="001570EA" w:rsidDel="0010524E">
        <w:t xml:space="preserve">California </w:t>
      </w:r>
      <w:r w:rsidRPr="001570EA">
        <w:t>Electronic Technical Reference Manual. “</w:t>
      </w:r>
      <w:r w:rsidRPr="001570EA">
        <w:rPr>
          <w:rFonts w:cs="Arial"/>
        </w:rPr>
        <w:t>Ductless Heat Pump, Residential”. Accessed February 2024</w:t>
      </w:r>
      <w:r w:rsidR="00045A65">
        <w:rPr>
          <w:rFonts w:cs="Arial"/>
        </w:rPr>
        <w:t>.</w:t>
      </w:r>
      <w:r w:rsidRPr="001570EA">
        <w:rPr>
          <w:rFonts w:cs="Arial"/>
        </w:rPr>
        <w:t xml:space="preserve"> </w:t>
      </w:r>
      <w:hyperlink r:id="rId56" w:history="1">
        <w:r w:rsidRPr="001570EA">
          <w:rPr>
            <w:rStyle w:val="cf01"/>
            <w:rFonts w:ascii="Arial" w:hAnsi="Arial" w:cs="Arial"/>
            <w:color w:val="0000FF"/>
            <w:sz w:val="20"/>
            <w:szCs w:val="20"/>
            <w:u w:val="single"/>
          </w:rPr>
          <w:t>Weblink</w:t>
        </w:r>
      </w:hyperlink>
    </w:p>
    <w:p w14:paraId="7583A058" w14:textId="7C272259" w:rsidR="007376E1" w:rsidRPr="001570EA" w:rsidRDefault="007376E1" w:rsidP="002614D2">
      <w:pPr>
        <w:pStyle w:val="source10"/>
        <w:numPr>
          <w:ilvl w:val="0"/>
          <w:numId w:val="34"/>
        </w:numPr>
        <w:tabs>
          <w:tab w:val="left" w:pos="720"/>
        </w:tabs>
        <w:spacing w:after="120"/>
        <w:ind w:left="360"/>
        <w:jc w:val="left"/>
        <w:textAlignment w:val="auto"/>
      </w:pPr>
      <w:r w:rsidRPr="001570EA">
        <w:t xml:space="preserve">U.S. EPA. (2022). ENERGY STAR Program Requirements Product Specification for Central Air Conditioner and Heat Pump Equipment. Eligibility Criteria Version 6.1. </w:t>
      </w:r>
      <w:hyperlink r:id="rId57" w:history="1">
        <w:r w:rsidRPr="001570EA">
          <w:rPr>
            <w:rStyle w:val="Hyperlink"/>
          </w:rPr>
          <w:t>Weblink</w:t>
        </w:r>
      </w:hyperlink>
    </w:p>
    <w:p w14:paraId="55AB405C" w14:textId="0252ACF0" w:rsidR="007376E1" w:rsidRPr="001570EA" w:rsidRDefault="007376E1" w:rsidP="002614D2">
      <w:pPr>
        <w:pStyle w:val="ListParagraph"/>
        <w:numPr>
          <w:ilvl w:val="0"/>
          <w:numId w:val="34"/>
        </w:numPr>
        <w:overflowPunct/>
        <w:autoSpaceDE/>
        <w:autoSpaceDN/>
        <w:adjustRightInd/>
        <w:ind w:left="360"/>
        <w:jc w:val="left"/>
        <w:textAlignment w:val="auto"/>
      </w:pPr>
      <w:r w:rsidRPr="001570EA">
        <w:t>For Early Replacement: NMR Group for the Pennsylvania Public Utility Commission. (</w:t>
      </w:r>
      <w:r w:rsidR="005E44E0">
        <w:t>2024</w:t>
      </w:r>
      <w:r w:rsidRPr="001570EA">
        <w:t xml:space="preserve">, </w:t>
      </w:r>
      <w:r w:rsidR="005E44E0" w:rsidRPr="001570EA">
        <w:t>M</w:t>
      </w:r>
      <w:r w:rsidR="005E44E0">
        <w:t>arch</w:t>
      </w:r>
      <w:r w:rsidRPr="001570EA">
        <w:t xml:space="preserve">). 2023 Pennsylvania Statewide Act 129 Residential Baseline Study. </w:t>
      </w:r>
      <w:r w:rsidR="00C863F9">
        <w:rPr>
          <w:rFonts w:eastAsia="Calibri"/>
        </w:rPr>
        <w:t>Pages 105,114,115,116 Tables 87,96,97,98</w:t>
      </w:r>
      <w:r w:rsidR="00647781">
        <w:rPr>
          <w:rFonts w:eastAsia="Calibri"/>
        </w:rPr>
        <w:t>.</w:t>
      </w:r>
      <w:r w:rsidRPr="001570EA">
        <w:t xml:space="preserve"> </w:t>
      </w:r>
      <w:hyperlink r:id="rId58" w:history="1">
        <w:r w:rsidRPr="008E2E4D">
          <w:rPr>
            <w:rStyle w:val="Hyperlink"/>
          </w:rPr>
          <w:t>Weblink</w:t>
        </w:r>
      </w:hyperlink>
      <w:r w:rsidRPr="001570EA">
        <w:t xml:space="preserve"> </w:t>
      </w:r>
      <w:r w:rsidRPr="001570EA">
        <w:br/>
        <w:t xml:space="preserve">For new Construction: Federal Code of Regulations 10 CFR 430: </w:t>
      </w:r>
      <w:hyperlink r:id="rId59" w:anchor="subpart-C" w:history="1">
        <w:r w:rsidRPr="001570EA">
          <w:rPr>
            <w:rStyle w:val="Hyperlink"/>
          </w:rPr>
          <w:t>Weblink</w:t>
        </w:r>
      </w:hyperlink>
      <w:r w:rsidRPr="001570EA">
        <w:t xml:space="preserve">  </w:t>
      </w:r>
    </w:p>
    <w:p w14:paraId="25D0F4F2" w14:textId="08926C73" w:rsidR="007376E1" w:rsidRPr="001570EA" w:rsidRDefault="007376E1" w:rsidP="002614D2">
      <w:pPr>
        <w:pStyle w:val="ListParagraph"/>
        <w:numPr>
          <w:ilvl w:val="0"/>
          <w:numId w:val="34"/>
        </w:numPr>
        <w:overflowPunct/>
        <w:autoSpaceDE/>
        <w:autoSpaceDN/>
        <w:adjustRightInd/>
        <w:ind w:left="360"/>
        <w:jc w:val="left"/>
        <w:textAlignment w:val="auto"/>
        <w:rPr>
          <w:rFonts w:ascii="ArialMT" w:hAnsi="ArialMT"/>
          <w:color w:val="000000"/>
        </w:rPr>
      </w:pPr>
      <w:r w:rsidRPr="001570EA">
        <w:rPr>
          <w:rFonts w:ascii="ArialMT" w:hAnsi="ArialMT"/>
          <w:color w:val="000000"/>
        </w:rPr>
        <w:t>Average EER for SEER 13 units as calculated by EER = -0.02 × SEER² + 1.12 × SEER based on Wassmer, M., (2003), “A Component-Based Model for Residential Air Conditioner and Heat Pump Energy Calculations” as cited in U.S. DOE Building America House Simulation Protocol, Revised 2010.</w:t>
      </w:r>
      <w:r w:rsidR="00B65C98">
        <w:rPr>
          <w:rFonts w:ascii="ArialMT" w:hAnsi="ArialMT"/>
          <w:color w:val="000000"/>
        </w:rPr>
        <w:t xml:space="preserve"> </w:t>
      </w:r>
      <w:hyperlink r:id="rId60" w:history="1">
        <w:r w:rsidRPr="001570EA">
          <w:rPr>
            <w:rStyle w:val="Hyperlink"/>
            <w:rFonts w:ascii="ArialMT" w:hAnsi="ArialMT"/>
          </w:rPr>
          <w:t>Weblink</w:t>
        </w:r>
      </w:hyperlink>
    </w:p>
    <w:p w14:paraId="5C51B47D" w14:textId="1DA59AE0" w:rsidR="007376E1" w:rsidRPr="001570EA" w:rsidRDefault="007376E1" w:rsidP="002614D2">
      <w:pPr>
        <w:pStyle w:val="ListParagraph"/>
        <w:numPr>
          <w:ilvl w:val="0"/>
          <w:numId w:val="34"/>
        </w:numPr>
        <w:overflowPunct/>
        <w:autoSpaceDE/>
        <w:autoSpaceDN/>
        <w:adjustRightInd/>
        <w:ind w:left="360"/>
        <w:jc w:val="left"/>
        <w:textAlignment w:val="auto"/>
        <w:rPr>
          <w:rStyle w:val="Hyperlink"/>
          <w:color w:val="auto"/>
          <w:u w:val="none"/>
        </w:rPr>
      </w:pPr>
      <w:r w:rsidRPr="001570EA">
        <w:rPr>
          <w:rFonts w:ascii="ArialMT" w:hAnsi="ArialMT"/>
          <w:color w:val="000000"/>
        </w:rPr>
        <w:t xml:space="preserve">“Methodology for Calculating Cooling and Heating Energy Input-Ratio (EIR) from the Rated Seasonal Performance Efficiency (SEER OR HSPF)” (Kim, </w:t>
      </w:r>
      <w:r w:rsidRPr="001570EA">
        <w:t xml:space="preserve">Baltazar, Haberl). April 2013 Accessed December 2018. </w:t>
      </w:r>
      <w:hyperlink r:id="rId61" w:history="1">
        <w:r w:rsidRPr="001570EA">
          <w:rPr>
            <w:rStyle w:val="Hyperlink"/>
          </w:rPr>
          <w:t>Weblink</w:t>
        </w:r>
      </w:hyperlink>
    </w:p>
    <w:p w14:paraId="458611AD" w14:textId="77777777" w:rsidR="007376E1" w:rsidRPr="001570EA" w:rsidRDefault="007376E1" w:rsidP="002614D2">
      <w:pPr>
        <w:pStyle w:val="source10"/>
        <w:numPr>
          <w:ilvl w:val="0"/>
          <w:numId w:val="34"/>
        </w:numPr>
        <w:spacing w:after="120"/>
        <w:ind w:left="360"/>
        <w:jc w:val="left"/>
      </w:pPr>
      <w:r w:rsidRPr="001570EA">
        <w:t xml:space="preserve">Based on REM/Rate modeling using models from the PA 2012. Models assume 50% over-sizing of air conditioners and 40% oversizing of heat pumps. </w:t>
      </w:r>
    </w:p>
    <w:p w14:paraId="4360F3C3" w14:textId="4A8A76C9" w:rsidR="007376E1" w:rsidRPr="001570EA" w:rsidRDefault="007376E1" w:rsidP="007376E1">
      <w:pPr>
        <w:pStyle w:val="source10"/>
        <w:spacing w:after="120"/>
        <w:ind w:left="360"/>
        <w:jc w:val="left"/>
      </w:pPr>
      <w:r w:rsidRPr="001570EA">
        <w:rPr>
          <w:szCs w:val="16"/>
        </w:rPr>
        <w:t xml:space="preserve">Neme, Proctor, Nadal, “National Energy Savings Potential From Addressing Residential HVAC Installation Problems”. ACEEE, February 1, 1999. </w:t>
      </w:r>
      <w:hyperlink r:id="rId62" w:history="1">
        <w:r w:rsidRPr="001570EA">
          <w:rPr>
            <w:rStyle w:val="Hyperlink"/>
            <w:rFonts w:cs="Arial"/>
            <w:spacing w:val="-2"/>
            <w:szCs w:val="16"/>
          </w:rPr>
          <w:t>Weblink</w:t>
        </w:r>
      </w:hyperlink>
      <w:r w:rsidRPr="001570EA">
        <w:rPr>
          <w:spacing w:val="-2"/>
          <w:szCs w:val="16"/>
        </w:rPr>
        <w:br/>
      </w:r>
      <w:r w:rsidRPr="001570EA">
        <w:rPr>
          <w:i/>
          <w:szCs w:val="16"/>
        </w:rPr>
        <w:t xml:space="preserve">Central Air Conditioning in Wisconsin, a compilation of recent field research. </w:t>
      </w:r>
      <w:r w:rsidRPr="001570EA">
        <w:rPr>
          <w:szCs w:val="16"/>
        </w:rPr>
        <w:t xml:space="preserve">Energy Center of Wisconsin. May 2008, </w:t>
      </w:r>
      <w:r w:rsidR="00422A8C" w:rsidRPr="001570EA">
        <w:rPr>
          <w:szCs w:val="16"/>
        </w:rPr>
        <w:t>amended</w:t>
      </w:r>
      <w:r w:rsidRPr="001570EA">
        <w:rPr>
          <w:szCs w:val="16"/>
        </w:rPr>
        <w:t xml:space="preserve"> December 15, 2010. </w:t>
      </w:r>
      <w:hyperlink r:id="rId63" w:history="1">
        <w:r w:rsidRPr="001570EA">
          <w:rPr>
            <w:rStyle w:val="Hyperlink"/>
            <w:rFonts w:cs="Arial"/>
            <w:szCs w:val="16"/>
          </w:rPr>
          <w:t>Weblink</w:t>
        </w:r>
      </w:hyperlink>
      <w:r w:rsidRPr="001570EA">
        <w:rPr>
          <w:rStyle w:val="Hyperlink"/>
          <w:rFonts w:cs="Arial"/>
          <w:szCs w:val="16"/>
        </w:rPr>
        <w:br/>
      </w:r>
      <w:r w:rsidRPr="001570EA">
        <w:rPr>
          <w:szCs w:val="16"/>
        </w:rPr>
        <w:t xml:space="preserve">ACCA, “Verifying ACCA Manual S Procedures,” </w:t>
      </w:r>
      <w:hyperlink r:id="rId64" w:history="1">
        <w:r w:rsidRPr="001570EA">
          <w:rPr>
            <w:rStyle w:val="Hyperlink"/>
            <w:rFonts w:cs="Arial"/>
            <w:szCs w:val="16"/>
          </w:rPr>
          <w:t>Weblink</w:t>
        </w:r>
      </w:hyperlink>
    </w:p>
    <w:p w14:paraId="7974587A" w14:textId="77777777" w:rsidR="007376E1" w:rsidRPr="001570EA" w:rsidRDefault="007376E1" w:rsidP="002614D2">
      <w:pPr>
        <w:pStyle w:val="ListParagraph"/>
        <w:numPr>
          <w:ilvl w:val="0"/>
          <w:numId w:val="34"/>
        </w:numPr>
        <w:overflowPunct/>
        <w:autoSpaceDE/>
        <w:autoSpaceDN/>
        <w:adjustRightInd/>
        <w:ind w:left="360"/>
        <w:jc w:val="left"/>
        <w:textAlignment w:val="auto"/>
      </w:pPr>
      <w:r w:rsidRPr="001570EA">
        <w:rPr>
          <w:rFonts w:cs="Arial"/>
          <w:color w:val="000000"/>
        </w:rPr>
        <w:t>Assumptions used to calculate a default value for de facto heating system OF: Four (4) 1500W portable electric space heaters in use in the home with capacity of</w:t>
      </w:r>
      <w:r w:rsidRPr="001570EA">
        <w:rPr>
          <w:rFonts w:ascii="ArialMT" w:hAnsi="ArialMT"/>
          <w:color w:val="000000"/>
        </w:rPr>
        <w:t xml:space="preserve"> </w:t>
      </w:r>
      <m:oMath>
        <m:r>
          <w:rPr>
            <w:rFonts w:ascii="Cambria Math" w:hAnsi="Cambria Math"/>
            <w:color w:val="000000"/>
          </w:rPr>
          <m:t>4×1.5kW×3412</m:t>
        </m:r>
        <m:f>
          <m:fPr>
            <m:ctrlPr>
              <w:rPr>
                <w:rFonts w:ascii="Cambria Math" w:hAnsi="Cambria Math"/>
                <w:i/>
                <w:color w:val="000000"/>
              </w:rPr>
            </m:ctrlPr>
          </m:fPr>
          <m:num>
            <m:r>
              <w:rPr>
                <w:rFonts w:ascii="Cambria Math" w:hAnsi="Cambria Math"/>
                <w:color w:val="000000"/>
              </w:rPr>
              <m:t>BTU</m:t>
            </m:r>
          </m:num>
          <m:den>
            <m:r>
              <m:rPr>
                <m:nor/>
              </m:rPr>
              <w:rPr>
                <w:rFonts w:ascii="Cambria Math" w:hAnsi="Cambria Math" w:cs="Arial"/>
                <w:i/>
                <w:iCs/>
              </w:rPr>
              <m:t>kW∙h</m:t>
            </m:r>
          </m:den>
        </m:f>
        <m:r>
          <w:rPr>
            <w:rFonts w:ascii="Cambria Math" w:hAnsi="Cambria Math"/>
            <w:color w:val="000000"/>
          </w:rPr>
          <m:t>= 20,472 BTU</m:t>
        </m:r>
      </m:oMath>
      <w:r w:rsidRPr="001570EA">
        <w:rPr>
          <w:rFonts w:ascii="ArialMT" w:hAnsi="ArialMT"/>
          <w:color w:val="000000"/>
        </w:rPr>
        <w:t xml:space="preserve">, replaced by DHP with combined heating capacity of 36kBTU. </w:t>
      </w:r>
      <m:oMath>
        <m:r>
          <w:rPr>
            <w:rFonts w:ascii="Cambria Math" w:hAnsi="Cambria Math"/>
            <w:color w:val="000000"/>
          </w:rPr>
          <m:t>OF=</m:t>
        </m:r>
        <m:f>
          <m:fPr>
            <m:ctrlPr>
              <w:rPr>
                <w:rFonts w:ascii="Cambria Math" w:hAnsi="Cambria Math"/>
                <w:i/>
                <w:color w:val="000000"/>
              </w:rPr>
            </m:ctrlPr>
          </m:fPr>
          <m:num>
            <m:r>
              <w:rPr>
                <w:rFonts w:ascii="Cambria Math" w:hAnsi="Cambria Math"/>
                <w:color w:val="000000"/>
              </w:rPr>
              <m:t>20,472</m:t>
            </m:r>
          </m:num>
          <m:den>
            <m:r>
              <w:rPr>
                <w:rFonts w:ascii="Cambria Math" w:hAnsi="Cambria Math"/>
                <w:color w:val="000000"/>
              </w:rPr>
              <m:t>36,000</m:t>
            </m:r>
          </m:den>
        </m:f>
        <m:r>
          <w:rPr>
            <w:rFonts w:ascii="Cambria Math" w:hAnsi="Cambria Math"/>
            <w:color w:val="000000"/>
          </w:rPr>
          <m:t>≈0.6</m:t>
        </m:r>
      </m:oMath>
    </w:p>
    <w:p w14:paraId="7F733BF3" w14:textId="0FF512DD" w:rsidR="007376E1" w:rsidRPr="001570EA" w:rsidRDefault="007376E1" w:rsidP="002614D2">
      <w:pPr>
        <w:pStyle w:val="source10"/>
        <w:numPr>
          <w:ilvl w:val="0"/>
          <w:numId w:val="34"/>
        </w:numPr>
        <w:spacing w:after="120"/>
        <w:ind w:left="360"/>
        <w:jc w:val="left"/>
        <w:rPr>
          <w:rStyle w:val="Hyperlink"/>
          <w:rFonts w:cs="Arial"/>
          <w:color w:val="auto"/>
          <w:u w:val="none"/>
        </w:rPr>
      </w:pPr>
      <w:r w:rsidRPr="001570EA">
        <w:t xml:space="preserve">Engineering judgement: Conservative assumption for duct leakage to be around 15%. ENERGY STAR. “Duct Sealing”. Accessed March 2024. CIEE/PG&amp;E. (2002, May). Residential HVAC and Distribution Research Implementation. Page 6. </w:t>
      </w:r>
      <w:hyperlink r:id="rId65" w:history="1">
        <w:r w:rsidRPr="001570EA">
          <w:rPr>
            <w:rStyle w:val="Hyperlink"/>
            <w:rFonts w:cs="Arial"/>
          </w:rPr>
          <w:t>Weblink</w:t>
        </w:r>
      </w:hyperlink>
    </w:p>
    <w:p w14:paraId="02CFCE65" w14:textId="32B8109F" w:rsidR="007376E1" w:rsidRPr="001570EA" w:rsidRDefault="007376E1" w:rsidP="002614D2">
      <w:pPr>
        <w:pStyle w:val="ListParagraph"/>
        <w:numPr>
          <w:ilvl w:val="0"/>
          <w:numId w:val="34"/>
        </w:numPr>
        <w:overflowPunct/>
        <w:autoSpaceDE/>
        <w:autoSpaceDN/>
        <w:adjustRightInd/>
        <w:ind w:left="360"/>
        <w:jc w:val="left"/>
        <w:textAlignment w:val="auto"/>
      </w:pPr>
      <w:r w:rsidRPr="001570EA">
        <w:t>Based on the Phase III SWE team’s analysis of regional HVAC runtime data collected from ecobee’s Donate Your Data research service (</w:t>
      </w:r>
      <w:hyperlink r:id="rId66" w:history="1">
        <w:r w:rsidRPr="001570EA">
          <w:rPr>
            <w:rStyle w:val="Hyperlink"/>
          </w:rPr>
          <w:t>Weblink</w:t>
        </w:r>
      </w:hyperlink>
      <w:r w:rsidRPr="001570EA">
        <w:t>) and updated based on the latest CDD and HDD values from NOAA’s 15-year annual climate Normals (2006–2020) (</w:t>
      </w:r>
      <w:hyperlink r:id="rId67" w:history="1">
        <w:r w:rsidRPr="001570EA">
          <w:rPr>
            <w:rStyle w:val="Hyperlink"/>
          </w:rPr>
          <w:t>Weblink</w:t>
        </w:r>
      </w:hyperlink>
      <w:r w:rsidRPr="001570EA">
        <w:t>)</w:t>
      </w:r>
    </w:p>
    <w:p w14:paraId="792DA891" w14:textId="13FC1D7B" w:rsidR="007376E1" w:rsidRPr="001570EA" w:rsidRDefault="007376E1" w:rsidP="002614D2">
      <w:pPr>
        <w:pStyle w:val="source10"/>
        <w:numPr>
          <w:ilvl w:val="0"/>
          <w:numId w:val="34"/>
        </w:numPr>
        <w:spacing w:after="120"/>
        <w:ind w:left="360"/>
        <w:textAlignment w:val="auto"/>
      </w:pPr>
      <w:r w:rsidRPr="001570EA">
        <w:t>PECO PY8 to PY9 Program Participation Data and PPL PY8 to PY10Q1 Program Participation Data</w:t>
      </w:r>
      <w:r w:rsidR="005D67CE">
        <w:t>.</w:t>
      </w:r>
    </w:p>
    <w:p w14:paraId="67A8C580" w14:textId="7B2019DB" w:rsidR="007376E1" w:rsidRPr="001570EA" w:rsidRDefault="007376E1" w:rsidP="002614D2">
      <w:pPr>
        <w:pStyle w:val="source10"/>
        <w:numPr>
          <w:ilvl w:val="0"/>
          <w:numId w:val="34"/>
        </w:numPr>
        <w:ind w:left="360"/>
      </w:pPr>
      <w:r w:rsidRPr="001570EA">
        <w:t>Northeast Energy Efficiency Partnerships, Inc., “Strategies to Increase Residential HVAC Efficiency in the Northeast”, (February 2006): Appendix C Benefits of HVAC Contractor Training: Field Research Results 03-STAC-01, p</w:t>
      </w:r>
      <w:r w:rsidR="00CC5841">
        <w:t>age</w:t>
      </w:r>
      <w:r w:rsidR="00CC5841" w:rsidRPr="001570EA">
        <w:t xml:space="preserve"> </w:t>
      </w:r>
      <w:r w:rsidRPr="001570EA">
        <w:t>4.</w:t>
      </w:r>
    </w:p>
    <w:p w14:paraId="50ADB5F6" w14:textId="77777777" w:rsidR="007376E1" w:rsidRPr="001570EA" w:rsidRDefault="007376E1" w:rsidP="007376E1">
      <w:pPr>
        <w:pStyle w:val="source10"/>
        <w:spacing w:after="120"/>
        <w:textAlignment w:val="auto"/>
        <w:rPr>
          <w:rStyle w:val="Hyperlink"/>
          <w:rFonts w:cs="Arial"/>
          <w:color w:val="auto"/>
          <w:u w:val="none"/>
        </w:rPr>
      </w:pPr>
    </w:p>
    <w:p w14:paraId="332A7EE0" w14:textId="77777777" w:rsidR="007376E1" w:rsidRPr="001570EA" w:rsidRDefault="007376E1" w:rsidP="007376E1">
      <w:pPr>
        <w:rPr>
          <w:rStyle w:val="Hyperlink"/>
          <w:rFonts w:cs="Arial"/>
          <w:color w:val="auto"/>
          <w:u w:val="none"/>
        </w:rPr>
        <w:sectPr w:rsidR="007376E1" w:rsidRPr="001570EA" w:rsidSect="002D556C">
          <w:pgSz w:w="12240" w:h="15840"/>
          <w:pgMar w:top="1440" w:right="1800" w:bottom="1440" w:left="1800" w:header="720" w:footer="501" w:gutter="0"/>
          <w:cols w:space="720"/>
        </w:sectPr>
      </w:pPr>
      <w:bookmarkStart w:id="230" w:name="_Properly_Sized_Cooling"/>
      <w:bookmarkEnd w:id="230"/>
    </w:p>
    <w:p w14:paraId="00522F6C" w14:textId="77777777" w:rsidR="007376E1" w:rsidRPr="001570EA" w:rsidRDefault="007376E1" w:rsidP="00462D97">
      <w:pPr>
        <w:pStyle w:val="Heading3"/>
      </w:pPr>
      <w:bookmarkStart w:id="231" w:name="_Toc48143018"/>
      <w:bookmarkStart w:id="232" w:name="_Toc164786637"/>
      <w:r w:rsidRPr="001570EA">
        <w:t>ECM Circulation Fans</w:t>
      </w:r>
      <w:bookmarkEnd w:id="231"/>
      <w:bookmarkEnd w:id="232"/>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51"/>
        <w:gridCol w:w="4961"/>
      </w:tblGrid>
      <w:tr w:rsidR="007376E1" w:rsidRPr="001570EA" w14:paraId="6368B344"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BF1DFC1" w14:textId="77777777" w:rsidR="007376E1" w:rsidRPr="001570EA" w:rsidRDefault="007376E1">
            <w:pPr>
              <w:pStyle w:val="TableCell"/>
              <w:spacing w:before="60" w:after="60"/>
              <w:rPr>
                <w:b/>
                <w:bCs/>
                <w:color w:val="000000"/>
              </w:rPr>
            </w:pPr>
            <w:r w:rsidRPr="001570EA">
              <w:rPr>
                <w:b/>
                <w:bCs/>
                <w:color w:val="000000"/>
              </w:rPr>
              <w:t>Target Sector</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3921DEAF" w14:textId="76E2DC75" w:rsidR="007376E1" w:rsidRPr="001570EA" w:rsidRDefault="007376E1">
            <w:pPr>
              <w:pStyle w:val="TableCell"/>
              <w:spacing w:before="60" w:after="60"/>
              <w:jc w:val="center"/>
              <w:rPr>
                <w:color w:val="000000"/>
              </w:rPr>
            </w:pPr>
            <w:r w:rsidRPr="001570EA">
              <w:rPr>
                <w:color w:val="000000" w:themeColor="text1"/>
              </w:rPr>
              <w:t>Residential</w:t>
            </w:r>
          </w:p>
        </w:tc>
      </w:tr>
      <w:tr w:rsidR="007376E1" w:rsidRPr="001570EA" w14:paraId="53FFFA0B"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42B233C9" w14:textId="77777777" w:rsidR="007376E1" w:rsidRPr="001570EA" w:rsidRDefault="007376E1">
            <w:pPr>
              <w:pStyle w:val="TableCell"/>
              <w:spacing w:before="60" w:after="60"/>
              <w:rPr>
                <w:b/>
                <w:bCs/>
                <w:color w:val="000000"/>
              </w:rPr>
            </w:pPr>
            <w:r w:rsidRPr="001570EA">
              <w:rPr>
                <w:b/>
                <w:bCs/>
                <w:color w:val="000000"/>
              </w:rPr>
              <w:t>Measure Unit</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49797811" w14:textId="77777777" w:rsidR="007376E1" w:rsidRPr="001570EA" w:rsidRDefault="007376E1">
            <w:pPr>
              <w:pStyle w:val="TableCell"/>
              <w:spacing w:before="60" w:after="60"/>
              <w:jc w:val="center"/>
              <w:rPr>
                <w:color w:val="000000"/>
              </w:rPr>
            </w:pPr>
            <w:r w:rsidRPr="001570EA">
              <w:t>ECM Circulation Fan</w:t>
            </w:r>
          </w:p>
        </w:tc>
      </w:tr>
      <w:tr w:rsidR="007376E1" w:rsidRPr="001570EA" w14:paraId="571FB6EE"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1E2857FB" w14:textId="77777777" w:rsidR="007376E1" w:rsidRPr="001570EA" w:rsidRDefault="007376E1">
            <w:pPr>
              <w:pStyle w:val="TableCell"/>
              <w:spacing w:before="60" w:after="60"/>
              <w:rPr>
                <w:b/>
                <w:bCs/>
                <w:color w:val="000000"/>
              </w:rPr>
            </w:pPr>
            <w:r w:rsidRPr="001570EA">
              <w:rPr>
                <w:b/>
                <w:bCs/>
                <w:color w:val="000000"/>
              </w:rPr>
              <w:t>Measure Life</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CC405D0" w14:textId="77777777" w:rsidR="007376E1" w:rsidRPr="001570EA" w:rsidRDefault="007376E1">
            <w:pPr>
              <w:pStyle w:val="TableCell"/>
              <w:spacing w:before="60" w:after="60"/>
              <w:jc w:val="center"/>
              <w:rPr>
                <w:color w:val="000000"/>
                <w:vertAlign w:val="superscript"/>
              </w:rPr>
            </w:pPr>
            <w:r w:rsidRPr="001570EA">
              <w:t>5 years</w:t>
            </w:r>
            <w:r w:rsidRPr="001570EA">
              <w:rPr>
                <w:vertAlign w:val="superscript"/>
              </w:rPr>
              <w:t>Source 1</w:t>
            </w:r>
          </w:p>
        </w:tc>
      </w:tr>
      <w:tr w:rsidR="007376E1" w:rsidRPr="001570EA" w14:paraId="0AFE4E87"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76B9B567" w14:textId="77777777" w:rsidR="007376E1" w:rsidRPr="001570EA" w:rsidRDefault="007376E1">
            <w:pPr>
              <w:pStyle w:val="TableCell"/>
              <w:spacing w:before="60" w:after="60"/>
              <w:rPr>
                <w:b/>
                <w:bCs/>
                <w:color w:val="000000"/>
              </w:rPr>
            </w:pPr>
            <w:r w:rsidRPr="001570EA">
              <w:rPr>
                <w:b/>
                <w:bCs/>
                <w:color w:val="000000"/>
              </w:rPr>
              <w:t>Measure Vintage</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D7134AA" w14:textId="77777777" w:rsidR="007376E1" w:rsidRPr="001570EA" w:rsidRDefault="007376E1">
            <w:pPr>
              <w:pStyle w:val="TableCell"/>
              <w:spacing w:before="60" w:after="60"/>
              <w:jc w:val="center"/>
              <w:rPr>
                <w:color w:val="000000"/>
              </w:rPr>
            </w:pPr>
            <w:r w:rsidRPr="001570EA">
              <w:t>Early Replacement, Replace on Burnout</w:t>
            </w:r>
          </w:p>
        </w:tc>
      </w:tr>
    </w:tbl>
    <w:p w14:paraId="591752AE" w14:textId="77777777" w:rsidR="007376E1" w:rsidRPr="001570EA" w:rsidRDefault="007376E1" w:rsidP="007376E1"/>
    <w:p w14:paraId="6ECBBB8B" w14:textId="77777777" w:rsidR="007376E1" w:rsidRPr="001570EA" w:rsidRDefault="007376E1" w:rsidP="007376E1">
      <w:pPr>
        <w:pStyle w:val="BodyText"/>
        <w:ind w:right="0"/>
      </w:pPr>
      <w:r w:rsidRPr="001570EA">
        <w:t>This protocol covers energy and demand savings associated with retrofit of permanent-split capacitor (PSC) evaporator fan motors in an air handling unit with an electronically commutated motor (ECM).</w:t>
      </w:r>
    </w:p>
    <w:p w14:paraId="18E6B7A3" w14:textId="77777777" w:rsidR="007376E1" w:rsidRPr="001570EA" w:rsidRDefault="007376E1" w:rsidP="007376E1">
      <w:pPr>
        <w:pStyle w:val="BodyText"/>
        <w:ind w:right="0"/>
      </w:pPr>
    </w:p>
    <w:p w14:paraId="661FB0AB" w14:textId="77777777" w:rsidR="007376E1" w:rsidRPr="001570EA" w:rsidRDefault="007376E1" w:rsidP="007376E1">
      <w:pPr>
        <w:pStyle w:val="SubStyle"/>
      </w:pPr>
      <w:r w:rsidRPr="001570EA">
        <w:t>Eligibility</w:t>
      </w:r>
    </w:p>
    <w:p w14:paraId="68C982C2" w14:textId="77777777" w:rsidR="007376E1" w:rsidRPr="001570EA" w:rsidRDefault="007376E1" w:rsidP="007376E1">
      <w:pPr>
        <w:pStyle w:val="BodyText"/>
        <w:ind w:right="0"/>
      </w:pPr>
      <w:r w:rsidRPr="001570EA">
        <w:t>This measure is targeted to residential customers whose air handling equipment currently uses a standard low-efficiency permanent split capacitor (PSC) fan motor rather than an ECM.</w:t>
      </w:r>
    </w:p>
    <w:p w14:paraId="15AA493C" w14:textId="77777777" w:rsidR="007376E1" w:rsidRPr="001570EA" w:rsidRDefault="007376E1" w:rsidP="007376E1">
      <w:pPr>
        <w:pStyle w:val="BodyText"/>
        <w:ind w:right="0"/>
      </w:pPr>
    </w:p>
    <w:p w14:paraId="40C846D5" w14:textId="77777777" w:rsidR="007376E1" w:rsidRPr="001570EA" w:rsidRDefault="007376E1" w:rsidP="007376E1">
      <w:pPr>
        <w:pStyle w:val="BodyText"/>
        <w:ind w:right="0"/>
      </w:pPr>
      <w:r w:rsidRPr="001570EA">
        <w:t>The targeted fan can supply heating or cooling only, or both heating and cooling. A default savings option is offered if motor input wattage is not known. However, these parameters should be collected by EDCs for greatest accuracy.</w:t>
      </w:r>
    </w:p>
    <w:p w14:paraId="5E523085" w14:textId="77777777" w:rsidR="007376E1" w:rsidRPr="001570EA" w:rsidRDefault="007376E1" w:rsidP="007376E1">
      <w:pPr>
        <w:pStyle w:val="BodyText"/>
        <w:ind w:right="0"/>
      </w:pPr>
    </w:p>
    <w:p w14:paraId="121C41AD" w14:textId="77777777" w:rsidR="007376E1" w:rsidRPr="001570EA" w:rsidRDefault="007376E1" w:rsidP="007376E1">
      <w:pPr>
        <w:pStyle w:val="BodyText"/>
        <w:ind w:right="0"/>
      </w:pPr>
      <w:r w:rsidRPr="001570EA">
        <w:t>Acceptable baseline conditions are an existing circulating fan with a PSC fan motor.</w:t>
      </w:r>
    </w:p>
    <w:p w14:paraId="611037C7" w14:textId="77777777" w:rsidR="007376E1" w:rsidRPr="001570EA" w:rsidRDefault="007376E1" w:rsidP="007376E1">
      <w:pPr>
        <w:pStyle w:val="BodyText"/>
        <w:ind w:right="0"/>
      </w:pPr>
    </w:p>
    <w:p w14:paraId="4638B465" w14:textId="77777777" w:rsidR="007376E1" w:rsidRPr="001570EA" w:rsidRDefault="007376E1" w:rsidP="007376E1">
      <w:pPr>
        <w:pStyle w:val="BodyText"/>
        <w:ind w:right="0"/>
      </w:pPr>
      <w:r w:rsidRPr="001570EA">
        <w:t>Efficient conditions are a circulating fan with an ECM.</w:t>
      </w:r>
    </w:p>
    <w:p w14:paraId="086D5E23" w14:textId="77777777" w:rsidR="007376E1" w:rsidRPr="001570EA" w:rsidRDefault="007376E1" w:rsidP="007376E1"/>
    <w:p w14:paraId="66C11737" w14:textId="77777777" w:rsidR="007376E1" w:rsidRPr="001570EA" w:rsidRDefault="007376E1" w:rsidP="007376E1">
      <w:pPr>
        <w:pStyle w:val="SubStyle"/>
      </w:pPr>
      <w:r w:rsidRPr="001570EA">
        <w:t>Algorithms</w:t>
      </w:r>
    </w:p>
    <w:p w14:paraId="18A48328" w14:textId="77777777" w:rsidR="007376E1" w:rsidRPr="001570EA" w:rsidRDefault="007376E1" w:rsidP="007376E1">
      <w:r w:rsidRPr="001570EA">
        <w:t>This algorithm is used for the installation of new high efficiency circulating fans, or air handler replacement that includes a high efficiency fan.</w:t>
      </w:r>
    </w:p>
    <w:p w14:paraId="7A4857C4" w14:textId="77777777" w:rsidR="007376E1" w:rsidRPr="001570EA" w:rsidRDefault="007376E1" w:rsidP="007376E1"/>
    <w:p w14:paraId="445BE9EC" w14:textId="77777777" w:rsidR="007376E1" w:rsidRPr="001570EA" w:rsidRDefault="007376E1" w:rsidP="007376E1">
      <w:pPr>
        <w:pStyle w:val="Equation"/>
        <w:tabs>
          <w:tab w:val="clear" w:pos="720"/>
          <w:tab w:val="left" w:pos="1440"/>
        </w:tabs>
        <w:rPr>
          <w:rFonts w:cs="Arial"/>
        </w:rPr>
      </w:pPr>
      <w:r w:rsidRPr="001570EA">
        <w:rPr>
          <w:rFonts w:ascii="Symbol" w:eastAsia="Symbol" w:hAnsi="Symbol" w:cs="Symbol"/>
          <w:szCs w:val="20"/>
        </w:rPr>
        <w:t>D</w:t>
      </w:r>
      <w:r w:rsidRPr="001570EA">
        <w:rPr>
          <w:rFonts w:cs="Arial"/>
        </w:rPr>
        <w:t>kWh</w:t>
      </w:r>
      <w:r w:rsidRPr="001570EA">
        <w:rPr>
          <w:rFonts w:cs="Arial"/>
          <w:vertAlign w:val="subscript"/>
        </w:rPr>
        <w:t>heat</w:t>
      </w:r>
      <w:r w:rsidRPr="001570EA">
        <w:rPr>
          <w:rFonts w:cs="Arial"/>
          <w:szCs w:val="20"/>
        </w:rPr>
        <w:tab/>
      </w:r>
      <w:r w:rsidRPr="001570EA">
        <w:rPr>
          <w:rFonts w:cs="Arial"/>
        </w:rPr>
        <w:t xml:space="preserve">= </w:t>
      </w:r>
      <m:oMath>
        <m:sSub>
          <m:sSubPr>
            <m:ctrlPr>
              <w:rPr>
                <w:rFonts w:ascii="Cambria Math" w:hAnsi="Cambria Math" w:cs="Arial"/>
                <w:i w:val="0"/>
              </w:rPr>
            </m:ctrlPr>
          </m:sSubPr>
          <m:e>
            <m:r>
              <w:rPr>
                <w:rFonts w:ascii="Cambria Math" w:hAnsi="Cambria Math" w:cs="Arial"/>
              </w:rPr>
              <m:t>ECM</m:t>
            </m:r>
          </m:e>
          <m:sub>
            <m:r>
              <w:rPr>
                <w:rFonts w:ascii="Cambria Math" w:hAnsi="Cambria Math" w:cs="Arial"/>
              </w:rPr>
              <m:t>kW</m:t>
            </m:r>
          </m:sub>
        </m:sSub>
        <m:r>
          <w:rPr>
            <w:rFonts w:ascii="Cambria Math" w:hAnsi="Cambria Math" w:cs="Arial"/>
          </w:rPr>
          <m:t>×</m:t>
        </m:r>
        <m:sSub>
          <m:sSubPr>
            <m:ctrlPr>
              <w:rPr>
                <w:rFonts w:ascii="Cambria Math" w:hAnsi="Cambria Math" w:cs="Arial"/>
                <w:i w:val="0"/>
              </w:rPr>
            </m:ctrlPr>
          </m:sSubPr>
          <m:e>
            <m:r>
              <w:rPr>
                <w:rFonts w:ascii="Cambria Math" w:hAnsi="Cambria Math" w:cs="Arial"/>
              </w:rPr>
              <m:t>EFLH</m:t>
            </m:r>
          </m:e>
          <m:sub>
            <m:r>
              <w:rPr>
                <w:rFonts w:ascii="Cambria Math" w:hAnsi="Cambria Math" w:cs="Arial"/>
              </w:rPr>
              <m:t>heat</m:t>
            </m:r>
          </m:sub>
        </m:sSub>
      </m:oMath>
    </w:p>
    <w:p w14:paraId="1529D5FC" w14:textId="77777777" w:rsidR="007376E1" w:rsidRPr="001570EA" w:rsidRDefault="007376E1" w:rsidP="007376E1">
      <w:pPr>
        <w:pStyle w:val="Equation"/>
        <w:tabs>
          <w:tab w:val="clear" w:pos="720"/>
          <w:tab w:val="left" w:pos="1440"/>
        </w:tabs>
        <w:spacing w:before="120" w:after="120"/>
        <w:rPr>
          <w:rFonts w:cs="Arial"/>
        </w:rPr>
      </w:pPr>
      <w:r w:rsidRPr="001570EA">
        <w:rPr>
          <w:rFonts w:ascii="Symbol" w:eastAsia="Symbol" w:hAnsi="Symbol" w:cs="Symbol"/>
          <w:szCs w:val="20"/>
        </w:rPr>
        <w:t>D</w:t>
      </w:r>
      <w:r w:rsidRPr="001570EA">
        <w:rPr>
          <w:rFonts w:cs="Arial"/>
        </w:rPr>
        <w:t>kWh</w:t>
      </w:r>
      <w:r w:rsidRPr="001570EA">
        <w:rPr>
          <w:rFonts w:cs="Arial"/>
          <w:vertAlign w:val="subscript"/>
        </w:rPr>
        <w:t>cool</w:t>
      </w:r>
      <w:r w:rsidRPr="001570EA">
        <w:rPr>
          <w:rFonts w:cs="Arial"/>
          <w:szCs w:val="20"/>
        </w:rPr>
        <w:tab/>
      </w:r>
      <w:r w:rsidRPr="001570EA">
        <w:rPr>
          <w:rFonts w:cs="Arial"/>
        </w:rPr>
        <w:t xml:space="preserve">= </w:t>
      </w:r>
      <m:oMath>
        <m:sSub>
          <m:sSubPr>
            <m:ctrlPr>
              <w:rPr>
                <w:rFonts w:ascii="Cambria Math" w:hAnsi="Cambria Math" w:cs="Arial"/>
                <w:i w:val="0"/>
              </w:rPr>
            </m:ctrlPr>
          </m:sSubPr>
          <m:e>
            <m:r>
              <w:rPr>
                <w:rFonts w:ascii="Cambria Math" w:hAnsi="Cambria Math" w:cs="Arial"/>
              </w:rPr>
              <m:t>ECM</m:t>
            </m:r>
          </m:e>
          <m:sub>
            <m:r>
              <w:rPr>
                <w:rFonts w:ascii="Cambria Math" w:hAnsi="Cambria Math" w:cs="Arial"/>
              </w:rPr>
              <m:t>kW</m:t>
            </m:r>
          </m:sub>
        </m:sSub>
        <m:r>
          <w:rPr>
            <w:rFonts w:ascii="Cambria Math" w:hAnsi="Cambria Math" w:cs="Arial"/>
          </w:rPr>
          <m:t>×</m:t>
        </m:r>
        <m:sSub>
          <m:sSubPr>
            <m:ctrlPr>
              <w:rPr>
                <w:rFonts w:ascii="Cambria Math" w:hAnsi="Cambria Math" w:cs="Arial"/>
                <w:i w:val="0"/>
              </w:rPr>
            </m:ctrlPr>
          </m:sSubPr>
          <m:e>
            <m:r>
              <w:rPr>
                <w:rFonts w:ascii="Cambria Math" w:hAnsi="Cambria Math" w:cs="Arial"/>
              </w:rPr>
              <m:t>EFLH</m:t>
            </m:r>
          </m:e>
          <m:sub>
            <m:r>
              <w:rPr>
                <w:rFonts w:ascii="Cambria Math" w:hAnsi="Cambria Math" w:cs="Arial"/>
              </w:rPr>
              <m:t>cool</m:t>
            </m:r>
          </m:sub>
        </m:sSub>
      </m:oMath>
    </w:p>
    <w:p w14:paraId="0102D076" w14:textId="77777777" w:rsidR="007376E1" w:rsidRPr="001570EA" w:rsidRDefault="007376E1" w:rsidP="007376E1">
      <w:pPr>
        <w:pStyle w:val="Equation"/>
        <w:tabs>
          <w:tab w:val="clear" w:pos="720"/>
          <w:tab w:val="left" w:pos="1440"/>
        </w:tabs>
        <w:rPr>
          <w:rFonts w:cs="Arial"/>
        </w:rPr>
      </w:pPr>
      <w:r w:rsidRPr="001570EA">
        <w:rPr>
          <w:rFonts w:ascii="Symbol" w:eastAsia="Symbol" w:hAnsi="Symbol" w:cs="Symbol"/>
          <w:szCs w:val="20"/>
        </w:rPr>
        <w:t>D</w:t>
      </w:r>
      <w:r w:rsidRPr="001570EA">
        <w:rPr>
          <w:rFonts w:cs="Arial"/>
        </w:rPr>
        <w:t>kW</w:t>
      </w:r>
      <w:r w:rsidRPr="001570EA">
        <w:rPr>
          <w:rFonts w:cs="Arial"/>
          <w:vertAlign w:val="subscript"/>
        </w:rPr>
        <w:t>summer peak</w:t>
      </w:r>
      <w:r w:rsidRPr="001570EA">
        <w:rPr>
          <w:rFonts w:cs="Arial"/>
          <w:szCs w:val="20"/>
        </w:rPr>
        <w:tab/>
      </w:r>
      <w:r w:rsidRPr="001570EA">
        <w:rPr>
          <w:rFonts w:cs="Arial"/>
        </w:rPr>
        <w:t xml:space="preserve">= </w:t>
      </w:r>
      <m:oMath>
        <m:sSub>
          <m:sSubPr>
            <m:ctrlPr>
              <w:rPr>
                <w:rFonts w:ascii="Cambria Math" w:hAnsi="Cambria Math" w:cs="Arial"/>
                <w:i w:val="0"/>
              </w:rPr>
            </m:ctrlPr>
          </m:sSubPr>
          <m:e>
            <m:r>
              <w:rPr>
                <w:rFonts w:ascii="Cambria Math" w:hAnsi="Cambria Math" w:cs="Arial"/>
              </w:rPr>
              <m:t>ECM</m:t>
            </m:r>
          </m:e>
          <m:sub>
            <m:r>
              <w:rPr>
                <w:rFonts w:ascii="Cambria Math" w:hAnsi="Cambria Math" w:cs="Arial"/>
              </w:rPr>
              <m:t>kW</m:t>
            </m:r>
          </m:sub>
        </m:sSub>
        <m:r>
          <w:rPr>
            <w:rFonts w:ascii="Cambria Math" w:hAnsi="Cambria Math" w:cs="Arial"/>
          </w:rPr>
          <m:t>×</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p>
    <w:p w14:paraId="6403DCE9" w14:textId="77777777" w:rsidR="007376E1" w:rsidRPr="001570EA" w:rsidRDefault="007376E1" w:rsidP="007376E1">
      <w:pPr>
        <w:pStyle w:val="Equation"/>
        <w:tabs>
          <w:tab w:val="clear" w:pos="720"/>
          <w:tab w:val="left" w:pos="1440"/>
        </w:tabs>
        <w:rPr>
          <w:rFonts w:cs="Arial"/>
        </w:rPr>
      </w:pPr>
      <w:r w:rsidRPr="001570EA">
        <w:rPr>
          <w:rFonts w:ascii="Symbol" w:eastAsia="Symbol" w:hAnsi="Symbol" w:cs="Symbol"/>
          <w:szCs w:val="20"/>
        </w:rPr>
        <w:t>D</w:t>
      </w:r>
      <w:r w:rsidRPr="001570EA">
        <w:rPr>
          <w:rFonts w:cs="Arial"/>
        </w:rPr>
        <w:t>kW</w:t>
      </w:r>
      <w:r w:rsidRPr="001570EA">
        <w:rPr>
          <w:rFonts w:cs="Arial"/>
          <w:vertAlign w:val="subscript"/>
        </w:rPr>
        <w:t>winter peak</w:t>
      </w:r>
      <w:r w:rsidRPr="001570EA">
        <w:rPr>
          <w:rFonts w:cs="Arial"/>
          <w:szCs w:val="20"/>
        </w:rPr>
        <w:tab/>
      </w:r>
      <w:r w:rsidRPr="001570EA">
        <w:rPr>
          <w:rFonts w:cs="Arial"/>
        </w:rPr>
        <w:t xml:space="preserve">= </w:t>
      </w:r>
      <m:oMath>
        <m:sSub>
          <m:sSubPr>
            <m:ctrlPr>
              <w:rPr>
                <w:rFonts w:ascii="Cambria Math" w:hAnsi="Cambria Math" w:cs="Arial"/>
                <w:i w:val="0"/>
              </w:rPr>
            </m:ctrlPr>
          </m:sSubPr>
          <m:e>
            <m:r>
              <w:rPr>
                <w:rFonts w:ascii="Cambria Math" w:hAnsi="Cambria Math" w:cs="Arial"/>
              </w:rPr>
              <m:t>ECM</m:t>
            </m:r>
          </m:e>
          <m:sub>
            <m:r>
              <w:rPr>
                <w:rFonts w:ascii="Cambria Math" w:hAnsi="Cambria Math" w:cs="Arial"/>
              </w:rPr>
              <m:t>kW</m:t>
            </m:r>
          </m:sub>
        </m:sSub>
        <m:r>
          <w:rPr>
            <w:rFonts w:ascii="Cambria Math" w:hAnsi="Cambria Math" w:cs="Arial"/>
          </w:rPr>
          <m:t>×</m:t>
        </m:r>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w:p>
    <w:p w14:paraId="1BD68AB4" w14:textId="77777777" w:rsidR="007376E1" w:rsidRPr="001570EA" w:rsidRDefault="007376E1" w:rsidP="00EC28C6">
      <w:pPr>
        <w:pStyle w:val="Equation"/>
        <w:tabs>
          <w:tab w:val="clear" w:pos="2880"/>
          <w:tab w:val="left" w:pos="2160"/>
        </w:tabs>
        <w:ind w:left="0" w:firstLine="0"/>
        <w:rPr>
          <w:rFonts w:cs="Arial"/>
          <w:i w:val="0"/>
          <w:szCs w:val="20"/>
        </w:rPr>
      </w:pPr>
    </w:p>
    <w:p w14:paraId="1093E98C" w14:textId="77777777" w:rsidR="007376E1" w:rsidRPr="001570EA" w:rsidRDefault="007376E1" w:rsidP="007376E1">
      <w:pPr>
        <w:pStyle w:val="SubStyle"/>
      </w:pPr>
      <w:r w:rsidRPr="001570EA">
        <w:t>Definition of Terms</w:t>
      </w:r>
    </w:p>
    <w:p w14:paraId="15735549" w14:textId="2E2C67AA" w:rsidR="007376E1" w:rsidRPr="001570EA" w:rsidRDefault="009B0738" w:rsidP="007376E1">
      <w:pPr>
        <w:pStyle w:val="Caption"/>
      </w:pPr>
      <w:bookmarkStart w:id="233" w:name="_Toc47598264"/>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25</w:t>
      </w:r>
      <w:r w:rsidR="002E093A" w:rsidRPr="001570EA">
        <w:fldChar w:fldCharType="end"/>
      </w:r>
      <w:r w:rsidRPr="001570EA">
        <w:t>: Terms, Values, and References for ECM Furnace Fan</w:t>
      </w:r>
      <w:bookmarkEnd w:id="233"/>
    </w:p>
    <w:tbl>
      <w:tblPr>
        <w:tblStyle w:val="TableGrid"/>
        <w:tblW w:w="8640" w:type="dxa"/>
        <w:tblInd w:w="108" w:type="dxa"/>
        <w:tblLayout w:type="fixed"/>
        <w:tblLook w:val="04A0" w:firstRow="1" w:lastRow="0" w:firstColumn="1" w:lastColumn="0" w:noHBand="0" w:noVBand="1"/>
      </w:tblPr>
      <w:tblGrid>
        <w:gridCol w:w="3690"/>
        <w:gridCol w:w="1170"/>
        <w:gridCol w:w="2070"/>
        <w:gridCol w:w="1710"/>
      </w:tblGrid>
      <w:tr w:rsidR="007376E1" w:rsidRPr="001570EA" w14:paraId="3F2A0F31" w14:textId="77777777">
        <w:trPr>
          <w:trHeight w:val="242"/>
          <w:tblHeader/>
        </w:trPr>
        <w:tc>
          <w:tcPr>
            <w:tcW w:w="3690" w:type="dxa"/>
            <w:shd w:val="clear" w:color="auto" w:fill="BFBFBF" w:themeFill="background1" w:themeFillShade="BF"/>
            <w:vAlign w:val="center"/>
          </w:tcPr>
          <w:p w14:paraId="049B988E" w14:textId="77777777" w:rsidR="007376E1" w:rsidRPr="001570EA" w:rsidRDefault="007376E1">
            <w:pPr>
              <w:rPr>
                <w:sz w:val="18"/>
                <w:szCs w:val="18"/>
              </w:rPr>
            </w:pPr>
            <w:r w:rsidRPr="001570EA">
              <w:rPr>
                <w:b/>
                <w:bCs/>
                <w:sz w:val="18"/>
                <w:szCs w:val="18"/>
              </w:rPr>
              <w:t>Term</w:t>
            </w:r>
          </w:p>
        </w:tc>
        <w:tc>
          <w:tcPr>
            <w:tcW w:w="1170" w:type="dxa"/>
            <w:shd w:val="clear" w:color="auto" w:fill="BFBFBF" w:themeFill="background1" w:themeFillShade="BF"/>
            <w:vAlign w:val="center"/>
          </w:tcPr>
          <w:p w14:paraId="60383A8E" w14:textId="77777777" w:rsidR="007376E1" w:rsidRPr="001570EA" w:rsidRDefault="007376E1">
            <w:pPr>
              <w:jc w:val="center"/>
              <w:rPr>
                <w:sz w:val="18"/>
                <w:szCs w:val="18"/>
              </w:rPr>
            </w:pPr>
            <w:r w:rsidRPr="001570EA">
              <w:rPr>
                <w:b/>
                <w:bCs/>
                <w:sz w:val="18"/>
                <w:szCs w:val="18"/>
              </w:rPr>
              <w:t>Unit</w:t>
            </w:r>
          </w:p>
        </w:tc>
        <w:tc>
          <w:tcPr>
            <w:tcW w:w="2070" w:type="dxa"/>
            <w:shd w:val="clear" w:color="auto" w:fill="BFBFBF" w:themeFill="background1" w:themeFillShade="BF"/>
            <w:vAlign w:val="center"/>
          </w:tcPr>
          <w:p w14:paraId="682B318D" w14:textId="77777777" w:rsidR="007376E1" w:rsidRPr="001570EA" w:rsidRDefault="007376E1">
            <w:pPr>
              <w:jc w:val="center"/>
              <w:rPr>
                <w:sz w:val="18"/>
                <w:szCs w:val="18"/>
              </w:rPr>
            </w:pPr>
            <w:r w:rsidRPr="001570EA">
              <w:rPr>
                <w:b/>
                <w:bCs/>
                <w:sz w:val="18"/>
                <w:szCs w:val="18"/>
              </w:rPr>
              <w:t>Value</w:t>
            </w:r>
          </w:p>
        </w:tc>
        <w:tc>
          <w:tcPr>
            <w:tcW w:w="1710" w:type="dxa"/>
            <w:shd w:val="clear" w:color="auto" w:fill="BFBFBF" w:themeFill="background1" w:themeFillShade="BF"/>
            <w:vAlign w:val="center"/>
          </w:tcPr>
          <w:p w14:paraId="5C18D180" w14:textId="77777777" w:rsidR="007376E1" w:rsidRPr="001570EA" w:rsidRDefault="007376E1">
            <w:pPr>
              <w:jc w:val="center"/>
              <w:rPr>
                <w:sz w:val="18"/>
                <w:szCs w:val="18"/>
              </w:rPr>
            </w:pPr>
            <w:r w:rsidRPr="001570EA">
              <w:rPr>
                <w:b/>
                <w:bCs/>
                <w:sz w:val="18"/>
                <w:szCs w:val="18"/>
              </w:rPr>
              <w:t>Sources</w:t>
            </w:r>
          </w:p>
        </w:tc>
      </w:tr>
      <w:tr w:rsidR="007376E1" w:rsidRPr="001570EA" w14:paraId="176CA309" w14:textId="77777777">
        <w:trPr>
          <w:trHeight w:val="620"/>
        </w:trPr>
        <w:tc>
          <w:tcPr>
            <w:tcW w:w="3690" w:type="dxa"/>
            <w:vAlign w:val="center"/>
          </w:tcPr>
          <w:p w14:paraId="4B958FA9" w14:textId="77777777" w:rsidR="007376E1" w:rsidRPr="001570EA" w:rsidRDefault="007376E1">
            <w:pPr>
              <w:rPr>
                <w:i/>
                <w:iCs/>
                <w:sz w:val="18"/>
                <w:szCs w:val="18"/>
              </w:rPr>
            </w:pPr>
            <w:r w:rsidRPr="001570EA">
              <w:rPr>
                <w:i/>
                <w:iCs/>
                <w:sz w:val="18"/>
                <w:szCs w:val="18"/>
              </w:rPr>
              <w:t>ECM</w:t>
            </w:r>
            <w:r w:rsidRPr="001570EA">
              <w:rPr>
                <w:i/>
                <w:iCs/>
                <w:sz w:val="18"/>
                <w:szCs w:val="18"/>
                <w:vertAlign w:val="subscript"/>
              </w:rPr>
              <w:t>kW</w:t>
            </w:r>
            <w:r w:rsidRPr="001570EA">
              <w:rPr>
                <w:i/>
                <w:iCs/>
                <w:sz w:val="18"/>
                <w:szCs w:val="18"/>
              </w:rPr>
              <w:t>, Reduced energy demand of the efficient ECM vs. baseline PSC motor.</w:t>
            </w:r>
          </w:p>
        </w:tc>
        <w:tc>
          <w:tcPr>
            <w:tcW w:w="1170" w:type="dxa"/>
            <w:vAlign w:val="center"/>
          </w:tcPr>
          <w:p w14:paraId="43B51D76" w14:textId="77777777" w:rsidR="007376E1" w:rsidRPr="001570EA" w:rsidRDefault="007376E1">
            <w:pPr>
              <w:jc w:val="center"/>
              <w:rPr>
                <w:i/>
                <w:iCs/>
                <w:sz w:val="18"/>
                <w:szCs w:val="18"/>
              </w:rPr>
            </w:pPr>
            <w:r w:rsidRPr="001570EA">
              <w:rPr>
                <w:i/>
                <w:iCs/>
                <w:sz w:val="18"/>
                <w:szCs w:val="18"/>
              </w:rPr>
              <w:t>kW</w:t>
            </w:r>
          </w:p>
        </w:tc>
        <w:tc>
          <w:tcPr>
            <w:tcW w:w="2070" w:type="dxa"/>
            <w:vAlign w:val="center"/>
          </w:tcPr>
          <w:p w14:paraId="16381442" w14:textId="77777777" w:rsidR="007376E1" w:rsidRPr="001570EA" w:rsidRDefault="007376E1">
            <w:pPr>
              <w:jc w:val="center"/>
              <w:rPr>
                <w:sz w:val="18"/>
                <w:szCs w:val="18"/>
              </w:rPr>
            </w:pPr>
            <w:r w:rsidRPr="001570EA">
              <w:rPr>
                <w:sz w:val="18"/>
                <w:szCs w:val="18"/>
              </w:rPr>
              <w:t>EDC Data Gathering,</w:t>
            </w:r>
          </w:p>
          <w:p w14:paraId="006DDA08" w14:textId="77777777" w:rsidR="007376E1" w:rsidRPr="001570EA" w:rsidRDefault="007376E1">
            <w:pPr>
              <w:jc w:val="center"/>
              <w:rPr>
                <w:sz w:val="18"/>
                <w:szCs w:val="18"/>
              </w:rPr>
            </w:pPr>
            <w:r w:rsidRPr="001570EA">
              <w:rPr>
                <w:sz w:val="18"/>
                <w:szCs w:val="18"/>
              </w:rPr>
              <w:t>Default: 0.116</w:t>
            </w:r>
          </w:p>
        </w:tc>
        <w:tc>
          <w:tcPr>
            <w:tcW w:w="1710" w:type="dxa"/>
            <w:vAlign w:val="center"/>
          </w:tcPr>
          <w:p w14:paraId="11522546" w14:textId="77777777" w:rsidR="007376E1" w:rsidRPr="001570EA" w:rsidRDefault="007376E1">
            <w:pPr>
              <w:jc w:val="center"/>
              <w:rPr>
                <w:sz w:val="18"/>
                <w:szCs w:val="18"/>
              </w:rPr>
            </w:pPr>
            <w:r w:rsidRPr="001570EA">
              <w:rPr>
                <w:sz w:val="18"/>
                <w:szCs w:val="18"/>
              </w:rPr>
              <w:t>2, EDC Data Gathering</w:t>
            </w:r>
          </w:p>
        </w:tc>
      </w:tr>
      <w:tr w:rsidR="007376E1" w:rsidRPr="001570EA" w14:paraId="47D01294" w14:textId="77777777">
        <w:trPr>
          <w:trHeight w:val="104"/>
        </w:trPr>
        <w:tc>
          <w:tcPr>
            <w:tcW w:w="3690" w:type="dxa"/>
            <w:vAlign w:val="center"/>
          </w:tcPr>
          <w:p w14:paraId="3DB73C84" w14:textId="198CDCA6" w:rsidR="007376E1" w:rsidRPr="001570EA" w:rsidRDefault="007376E1">
            <w:r w:rsidRPr="001570EA">
              <w:rPr>
                <w:i/>
                <w:iCs/>
                <w:sz w:val="18"/>
                <w:szCs w:val="18"/>
              </w:rPr>
              <w:t>EFLH</w:t>
            </w:r>
            <w:r w:rsidRPr="001570EA">
              <w:rPr>
                <w:i/>
                <w:iCs/>
                <w:sz w:val="18"/>
                <w:szCs w:val="18"/>
                <w:vertAlign w:val="subscript"/>
              </w:rPr>
              <w:t>cool</w:t>
            </w:r>
            <w:r w:rsidRPr="001570EA">
              <w:rPr>
                <w:sz w:val="18"/>
                <w:szCs w:val="18"/>
              </w:rPr>
              <w:t xml:space="preserve">, </w:t>
            </w:r>
            <w:r w:rsidRPr="001570EA">
              <w:rPr>
                <w:rFonts w:cs="Arial"/>
                <w:sz w:val="18"/>
                <w:szCs w:val="18"/>
              </w:rPr>
              <w:t>Equivalent Full Load Hours of operation during the cooling season for the average unit</w:t>
            </w:r>
          </w:p>
        </w:tc>
        <w:tc>
          <w:tcPr>
            <w:tcW w:w="1170" w:type="dxa"/>
            <w:vAlign w:val="center"/>
          </w:tcPr>
          <w:p w14:paraId="3999648A" w14:textId="77777777" w:rsidR="007376E1" w:rsidRPr="001570EA" w:rsidRDefault="003B5E04">
            <w:pPr>
              <w:jc w:val="center"/>
            </w:pPr>
            <m:oMathPara>
              <m:oMath>
                <m:f>
                  <m:fPr>
                    <m:ctrlPr>
                      <w:rPr>
                        <w:rFonts w:ascii="Cambria Math" w:hAnsi="Cambria Math"/>
                        <w:i/>
                        <w:sz w:val="18"/>
                        <w:szCs w:val="18"/>
                      </w:rPr>
                    </m:ctrlPr>
                  </m:fPr>
                  <m:num>
                    <m:r>
                      <w:rPr>
                        <w:rFonts w:ascii="Cambria Math" w:hAnsi="Cambria Math"/>
                        <w:sz w:val="18"/>
                        <w:szCs w:val="18"/>
                      </w:rPr>
                      <m:t>hours</m:t>
                    </m:r>
                  </m:num>
                  <m:den>
                    <m:r>
                      <w:rPr>
                        <w:rFonts w:ascii="Cambria Math" w:hAnsi="Cambria Math"/>
                        <w:sz w:val="18"/>
                        <w:szCs w:val="18"/>
                      </w:rPr>
                      <m:t>yr</m:t>
                    </m:r>
                  </m:den>
                </m:f>
              </m:oMath>
            </m:oMathPara>
          </w:p>
        </w:tc>
        <w:tc>
          <w:tcPr>
            <w:tcW w:w="2070" w:type="dxa"/>
            <w:vAlign w:val="center"/>
          </w:tcPr>
          <w:p w14:paraId="4CB2D65A" w14:textId="77777777" w:rsidR="007376E1" w:rsidRPr="001570EA" w:rsidRDefault="007376E1">
            <w:pPr>
              <w:jc w:val="center"/>
              <w:rPr>
                <w:sz w:val="18"/>
                <w:szCs w:val="18"/>
              </w:rPr>
            </w:pPr>
            <w:r w:rsidRPr="001570EA">
              <w:rPr>
                <w:sz w:val="18"/>
                <w:szCs w:val="18"/>
              </w:rPr>
              <w:t xml:space="preserve">See </w:t>
            </w:r>
            <w:r w:rsidRPr="001570EA">
              <w:rPr>
                <w:i/>
                <w:sz w:val="18"/>
                <w:szCs w:val="18"/>
              </w:rPr>
              <w:t>EFLH</w:t>
            </w:r>
            <w:r w:rsidRPr="001570EA">
              <w:rPr>
                <w:i/>
                <w:sz w:val="18"/>
                <w:szCs w:val="18"/>
                <w:vertAlign w:val="subscript"/>
              </w:rPr>
              <w:t>cool</w:t>
            </w:r>
            <w:r w:rsidRPr="001570EA">
              <w:rPr>
                <w:sz w:val="18"/>
                <w:szCs w:val="18"/>
              </w:rPr>
              <w:t xml:space="preserve"> in Vol. 1, App. A</w:t>
            </w:r>
          </w:p>
        </w:tc>
        <w:tc>
          <w:tcPr>
            <w:tcW w:w="1710" w:type="dxa"/>
            <w:vAlign w:val="center"/>
          </w:tcPr>
          <w:p w14:paraId="03D61AD5" w14:textId="77777777" w:rsidR="007376E1" w:rsidRPr="001570EA" w:rsidRDefault="007376E1">
            <w:pPr>
              <w:jc w:val="center"/>
            </w:pPr>
            <w:r w:rsidRPr="001570EA">
              <w:t>3</w:t>
            </w:r>
          </w:p>
        </w:tc>
      </w:tr>
      <w:tr w:rsidR="007376E1" w:rsidRPr="001570EA" w14:paraId="3666669A" w14:textId="77777777">
        <w:tc>
          <w:tcPr>
            <w:tcW w:w="3690" w:type="dxa"/>
            <w:vAlign w:val="center"/>
          </w:tcPr>
          <w:p w14:paraId="14659042" w14:textId="4BF989F8" w:rsidR="007376E1" w:rsidRPr="001570EA" w:rsidRDefault="007376E1">
            <w:pPr>
              <w:rPr>
                <w:sz w:val="18"/>
                <w:szCs w:val="18"/>
              </w:rPr>
            </w:pPr>
            <w:r w:rsidRPr="001570EA">
              <w:rPr>
                <w:i/>
                <w:iCs/>
                <w:sz w:val="18"/>
                <w:szCs w:val="18"/>
              </w:rPr>
              <w:t>EFLH</w:t>
            </w:r>
            <w:r w:rsidRPr="001570EA">
              <w:rPr>
                <w:i/>
                <w:iCs/>
                <w:sz w:val="18"/>
                <w:szCs w:val="18"/>
                <w:vertAlign w:val="subscript"/>
              </w:rPr>
              <w:t>heat</w:t>
            </w:r>
            <w:r w:rsidRPr="001570EA">
              <w:rPr>
                <w:sz w:val="18"/>
                <w:szCs w:val="18"/>
                <w:vertAlign w:val="subscript"/>
              </w:rPr>
              <w:t xml:space="preserve">, </w:t>
            </w:r>
            <w:r w:rsidRPr="001570EA">
              <w:rPr>
                <w:rFonts w:cs="Arial"/>
                <w:sz w:val="18"/>
                <w:szCs w:val="18"/>
              </w:rPr>
              <w:t>Equivalent Full Load Hours of operation during the heating season for the average unit</w:t>
            </w:r>
          </w:p>
        </w:tc>
        <w:tc>
          <w:tcPr>
            <w:tcW w:w="1170" w:type="dxa"/>
            <w:vAlign w:val="center"/>
          </w:tcPr>
          <w:p w14:paraId="175BFB50" w14:textId="77777777" w:rsidR="007376E1" w:rsidRPr="001570EA" w:rsidRDefault="003B5E04">
            <w:pPr>
              <w:jc w:val="center"/>
              <w:rPr>
                <w:sz w:val="18"/>
                <w:szCs w:val="18"/>
              </w:rPr>
            </w:pPr>
            <m:oMathPara>
              <m:oMath>
                <m:f>
                  <m:fPr>
                    <m:ctrlPr>
                      <w:rPr>
                        <w:rFonts w:ascii="Cambria Math" w:hAnsi="Cambria Math"/>
                        <w:i/>
                        <w:sz w:val="18"/>
                        <w:szCs w:val="18"/>
                      </w:rPr>
                    </m:ctrlPr>
                  </m:fPr>
                  <m:num>
                    <m:r>
                      <w:rPr>
                        <w:rFonts w:ascii="Cambria Math" w:hAnsi="Cambria Math"/>
                        <w:sz w:val="18"/>
                        <w:szCs w:val="18"/>
                      </w:rPr>
                      <m:t>hours</m:t>
                    </m:r>
                  </m:num>
                  <m:den>
                    <m:r>
                      <w:rPr>
                        <w:rFonts w:ascii="Cambria Math" w:hAnsi="Cambria Math"/>
                        <w:sz w:val="18"/>
                        <w:szCs w:val="18"/>
                      </w:rPr>
                      <m:t>yr</m:t>
                    </m:r>
                  </m:den>
                </m:f>
              </m:oMath>
            </m:oMathPara>
          </w:p>
        </w:tc>
        <w:tc>
          <w:tcPr>
            <w:tcW w:w="2070" w:type="dxa"/>
            <w:vAlign w:val="center"/>
          </w:tcPr>
          <w:p w14:paraId="3EC4DC8B" w14:textId="77777777" w:rsidR="007376E1" w:rsidRPr="001570EA" w:rsidRDefault="007376E1">
            <w:pPr>
              <w:pStyle w:val="TableCell"/>
              <w:spacing w:before="60" w:after="60"/>
              <w:jc w:val="center"/>
              <w:rPr>
                <w:szCs w:val="18"/>
              </w:rPr>
            </w:pPr>
            <w:r w:rsidRPr="001570EA">
              <w:rPr>
                <w:szCs w:val="18"/>
              </w:rPr>
              <w:t xml:space="preserve">See </w:t>
            </w:r>
            <w:r w:rsidRPr="001570EA">
              <w:rPr>
                <w:i/>
                <w:szCs w:val="18"/>
              </w:rPr>
              <w:t>EFLH</w:t>
            </w:r>
            <w:r w:rsidRPr="001570EA">
              <w:rPr>
                <w:i/>
                <w:szCs w:val="18"/>
                <w:vertAlign w:val="subscript"/>
              </w:rPr>
              <w:t>heat</w:t>
            </w:r>
            <w:r w:rsidRPr="001570EA">
              <w:rPr>
                <w:szCs w:val="18"/>
              </w:rPr>
              <w:t xml:space="preserve"> in Vol. 1, App. A</w:t>
            </w:r>
          </w:p>
        </w:tc>
        <w:tc>
          <w:tcPr>
            <w:tcW w:w="1710" w:type="dxa"/>
            <w:vAlign w:val="center"/>
          </w:tcPr>
          <w:p w14:paraId="214D87FB" w14:textId="77777777" w:rsidR="007376E1" w:rsidRPr="001570EA" w:rsidRDefault="007376E1">
            <w:pPr>
              <w:jc w:val="center"/>
              <w:rPr>
                <w:sz w:val="18"/>
                <w:szCs w:val="18"/>
              </w:rPr>
            </w:pPr>
            <w:r w:rsidRPr="001570EA">
              <w:rPr>
                <w:sz w:val="18"/>
                <w:szCs w:val="18"/>
              </w:rPr>
              <w:t>3</w:t>
            </w:r>
          </w:p>
        </w:tc>
      </w:tr>
      <w:tr w:rsidR="007376E1" w:rsidRPr="001570EA" w14:paraId="659F14CD" w14:textId="77777777">
        <w:trPr>
          <w:trHeight w:val="650"/>
        </w:trPr>
        <w:tc>
          <w:tcPr>
            <w:tcW w:w="3690" w:type="dxa"/>
            <w:vAlign w:val="center"/>
          </w:tcPr>
          <w:p w14:paraId="117AE130" w14:textId="3F2EDBBD" w:rsidR="007376E1" w:rsidRPr="001570EA" w:rsidRDefault="003B5E04">
            <w:pPr>
              <w:rPr>
                <w:sz w:val="18"/>
                <w:szCs w:val="18"/>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r w:rsidR="007376E1" w:rsidRPr="001570EA">
              <w:rPr>
                <w:sz w:val="18"/>
                <w:szCs w:val="18"/>
              </w:rPr>
              <w:t>, Demand Coincidence Factor during the summer months</w:t>
            </w:r>
          </w:p>
        </w:tc>
        <w:tc>
          <w:tcPr>
            <w:tcW w:w="1170" w:type="dxa"/>
            <w:vAlign w:val="center"/>
          </w:tcPr>
          <w:p w14:paraId="321DAD9A" w14:textId="77777777" w:rsidR="007376E1" w:rsidRPr="001570EA" w:rsidRDefault="007376E1">
            <w:pPr>
              <w:jc w:val="center"/>
              <w:rPr>
                <w:sz w:val="18"/>
                <w:szCs w:val="18"/>
              </w:rPr>
            </w:pPr>
            <w:r w:rsidRPr="001570EA">
              <w:rPr>
                <w:i/>
                <w:iCs/>
                <w:sz w:val="18"/>
                <w:szCs w:val="18"/>
              </w:rPr>
              <w:t>Proportion</w:t>
            </w:r>
          </w:p>
        </w:tc>
        <w:tc>
          <w:tcPr>
            <w:tcW w:w="2070" w:type="dxa"/>
            <w:vAlign w:val="center"/>
          </w:tcPr>
          <w:p w14:paraId="3799CB81" w14:textId="77777777" w:rsidR="007376E1" w:rsidRPr="001570EA" w:rsidRDefault="007376E1">
            <w:pPr>
              <w:jc w:val="center"/>
              <w:rPr>
                <w:sz w:val="18"/>
                <w:szCs w:val="18"/>
              </w:rPr>
            </w:pPr>
            <w:r w:rsidRPr="001570EA">
              <w:rPr>
                <w:sz w:val="18"/>
                <w:szCs w:val="18"/>
              </w:rPr>
              <w:t xml:space="preserve">See </w:t>
            </w:r>
            <w:r w:rsidRPr="001570EA">
              <w:rPr>
                <w:i/>
                <w:sz w:val="18"/>
                <w:szCs w:val="18"/>
              </w:rPr>
              <w:t>CF</w:t>
            </w:r>
            <w:r w:rsidRPr="001570EA">
              <w:rPr>
                <w:sz w:val="18"/>
                <w:szCs w:val="18"/>
              </w:rPr>
              <w:t xml:space="preserve"> in Vol. 1, App. A</w:t>
            </w:r>
          </w:p>
        </w:tc>
        <w:tc>
          <w:tcPr>
            <w:tcW w:w="1710" w:type="dxa"/>
            <w:vAlign w:val="center"/>
          </w:tcPr>
          <w:p w14:paraId="2220F68C" w14:textId="77777777" w:rsidR="007376E1" w:rsidRPr="001570EA" w:rsidRDefault="007376E1">
            <w:pPr>
              <w:jc w:val="center"/>
              <w:rPr>
                <w:sz w:val="18"/>
                <w:szCs w:val="18"/>
              </w:rPr>
            </w:pPr>
            <w:r w:rsidRPr="001570EA">
              <w:rPr>
                <w:sz w:val="18"/>
                <w:szCs w:val="18"/>
              </w:rPr>
              <w:t>3</w:t>
            </w:r>
          </w:p>
        </w:tc>
      </w:tr>
      <w:tr w:rsidR="007376E1" w:rsidRPr="001570EA" w14:paraId="6C41110C" w14:textId="77777777">
        <w:trPr>
          <w:trHeight w:val="650"/>
        </w:trPr>
        <w:tc>
          <w:tcPr>
            <w:tcW w:w="3690" w:type="dxa"/>
            <w:vAlign w:val="center"/>
          </w:tcPr>
          <w:p w14:paraId="22EDE24D" w14:textId="03B0CA0A" w:rsidR="007376E1" w:rsidRPr="001570EA" w:rsidRDefault="003B5E04">
            <w:pPr>
              <w:rPr>
                <w:i/>
                <w:iCs/>
                <w:sz w:val="18"/>
                <w:szCs w:val="18"/>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w:r w:rsidR="007376E1" w:rsidRPr="001570EA">
              <w:rPr>
                <w:sz w:val="18"/>
                <w:szCs w:val="18"/>
              </w:rPr>
              <w:t>, Demand Coincidence Factor during the winter months</w:t>
            </w:r>
          </w:p>
        </w:tc>
        <w:tc>
          <w:tcPr>
            <w:tcW w:w="1170" w:type="dxa"/>
            <w:vAlign w:val="center"/>
          </w:tcPr>
          <w:p w14:paraId="1B0F780B" w14:textId="77777777" w:rsidR="007376E1" w:rsidRPr="001570EA" w:rsidRDefault="007376E1">
            <w:pPr>
              <w:jc w:val="center"/>
              <w:rPr>
                <w:i/>
                <w:iCs/>
                <w:sz w:val="18"/>
                <w:szCs w:val="18"/>
              </w:rPr>
            </w:pPr>
            <w:r w:rsidRPr="001570EA">
              <w:rPr>
                <w:i/>
                <w:iCs/>
                <w:sz w:val="18"/>
                <w:szCs w:val="18"/>
              </w:rPr>
              <w:t>Proportion</w:t>
            </w:r>
          </w:p>
        </w:tc>
        <w:tc>
          <w:tcPr>
            <w:tcW w:w="2070" w:type="dxa"/>
            <w:vAlign w:val="center"/>
          </w:tcPr>
          <w:p w14:paraId="3B7D1031" w14:textId="77777777" w:rsidR="007376E1" w:rsidRPr="001570EA" w:rsidRDefault="007376E1">
            <w:pPr>
              <w:jc w:val="center"/>
              <w:rPr>
                <w:sz w:val="18"/>
                <w:szCs w:val="18"/>
              </w:rPr>
            </w:pPr>
            <w:r w:rsidRPr="001570EA">
              <w:rPr>
                <w:sz w:val="18"/>
                <w:szCs w:val="18"/>
              </w:rPr>
              <w:t xml:space="preserve">See </w:t>
            </w:r>
            <w:r w:rsidRPr="001570EA">
              <w:rPr>
                <w:i/>
                <w:sz w:val="18"/>
                <w:szCs w:val="18"/>
              </w:rPr>
              <w:t>CF</w:t>
            </w:r>
            <w:r w:rsidRPr="001570EA">
              <w:rPr>
                <w:sz w:val="18"/>
                <w:szCs w:val="18"/>
              </w:rPr>
              <w:t xml:space="preserve"> in Vol. 1, App. A</w:t>
            </w:r>
          </w:p>
        </w:tc>
        <w:tc>
          <w:tcPr>
            <w:tcW w:w="1710" w:type="dxa"/>
            <w:vAlign w:val="center"/>
          </w:tcPr>
          <w:p w14:paraId="47E30B9B" w14:textId="77777777" w:rsidR="007376E1" w:rsidRPr="001570EA" w:rsidRDefault="007376E1">
            <w:pPr>
              <w:jc w:val="center"/>
              <w:rPr>
                <w:sz w:val="18"/>
                <w:szCs w:val="18"/>
              </w:rPr>
            </w:pPr>
            <w:r w:rsidRPr="001570EA">
              <w:rPr>
                <w:sz w:val="18"/>
                <w:szCs w:val="18"/>
              </w:rPr>
              <w:t>3</w:t>
            </w:r>
          </w:p>
        </w:tc>
      </w:tr>
    </w:tbl>
    <w:p w14:paraId="1737EE1A" w14:textId="77777777" w:rsidR="007376E1" w:rsidRPr="001570EA" w:rsidRDefault="007376E1" w:rsidP="007376E1">
      <w:pPr>
        <w:pStyle w:val="Equation"/>
        <w:tabs>
          <w:tab w:val="clear" w:pos="2880"/>
          <w:tab w:val="left" w:pos="2160"/>
        </w:tabs>
        <w:rPr>
          <w:i w:val="0"/>
        </w:rPr>
      </w:pPr>
    </w:p>
    <w:p w14:paraId="57B60EEC" w14:textId="77777777" w:rsidR="007376E1" w:rsidRPr="001570EA" w:rsidRDefault="007376E1" w:rsidP="007376E1">
      <w:pPr>
        <w:pStyle w:val="SubStyle"/>
      </w:pPr>
      <w:r w:rsidRPr="001570EA">
        <w:t>Evaluation Protocols</w:t>
      </w:r>
    </w:p>
    <w:p w14:paraId="7E674567" w14:textId="77777777" w:rsidR="007376E1" w:rsidRPr="001570EA" w:rsidRDefault="007376E1" w:rsidP="007376E1">
      <w:pPr>
        <w:pStyle w:val="BodyText"/>
        <w:ind w:right="0"/>
      </w:pPr>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5ADE802B" w14:textId="77777777" w:rsidR="007376E1" w:rsidRPr="001570EA" w:rsidRDefault="007376E1" w:rsidP="007376E1">
      <w:pPr>
        <w:pStyle w:val="BodyText"/>
        <w:ind w:right="0"/>
      </w:pPr>
    </w:p>
    <w:p w14:paraId="24E7E649" w14:textId="77777777" w:rsidR="007376E1" w:rsidRPr="001570EA" w:rsidRDefault="007376E1" w:rsidP="007376E1">
      <w:pPr>
        <w:pStyle w:val="SubStyle"/>
      </w:pPr>
      <w:r w:rsidRPr="001570EA">
        <w:t>Sources</w:t>
      </w:r>
    </w:p>
    <w:p w14:paraId="6F7A513D" w14:textId="4A222FDA" w:rsidR="007376E1" w:rsidRPr="001570EA" w:rsidRDefault="007376E1" w:rsidP="002614D2">
      <w:pPr>
        <w:pStyle w:val="ListParagraph"/>
        <w:numPr>
          <w:ilvl w:val="0"/>
          <w:numId w:val="32"/>
        </w:numPr>
        <w:ind w:left="360"/>
        <w:rPr>
          <w:rFonts w:cs="Arial"/>
        </w:rPr>
      </w:pPr>
      <w:r w:rsidRPr="001570EA" w:rsidDel="0010524E">
        <w:t xml:space="preserve">California </w:t>
      </w:r>
      <w:r w:rsidRPr="001570EA">
        <w:t>Electronic Technical Reference Manual</w:t>
      </w:r>
      <w:r w:rsidRPr="001570EA">
        <w:rPr>
          <w:rFonts w:cs="Arial"/>
        </w:rPr>
        <w:t>. “Brushless Fan Motor Replacement”. Residential. Accessed January 2024.</w:t>
      </w:r>
      <w:hyperlink r:id="rId68" w:history="1">
        <w:r w:rsidRPr="001570EA">
          <w:rPr>
            <w:rStyle w:val="Hyperlink"/>
            <w:rFonts w:cs="Arial"/>
          </w:rPr>
          <w:t xml:space="preserve"> Weblink </w:t>
        </w:r>
      </w:hyperlink>
      <w:r w:rsidRPr="001570EA">
        <w:rPr>
          <w:rFonts w:cs="Arial"/>
        </w:rPr>
        <w:t xml:space="preserve"> </w:t>
      </w:r>
    </w:p>
    <w:p w14:paraId="428B7F61" w14:textId="3D94D1D0" w:rsidR="007376E1" w:rsidRPr="001570EA" w:rsidRDefault="007376E1" w:rsidP="002614D2">
      <w:pPr>
        <w:pStyle w:val="ListParagraph"/>
        <w:numPr>
          <w:ilvl w:val="0"/>
          <w:numId w:val="32"/>
        </w:numPr>
        <w:ind w:left="360"/>
        <w:rPr>
          <w:rFonts w:cs="Arial"/>
        </w:rPr>
      </w:pPr>
      <w:r w:rsidRPr="001570EA">
        <w:rPr>
          <w:rFonts w:cs="Arial"/>
        </w:rPr>
        <w:t xml:space="preserve">Cadmus for the Public Service Commission of Wisconsin. (2014, November). “Focus on Energy Evaluated Deemed Savings Changes”, Table 3 Description of Variables for Furnaces with ECM. </w:t>
      </w:r>
      <w:hyperlink r:id="rId69" w:history="1">
        <w:r w:rsidRPr="001570EA">
          <w:rPr>
            <w:rStyle w:val="Hyperlink"/>
          </w:rPr>
          <w:t>Weblink</w:t>
        </w:r>
      </w:hyperlink>
    </w:p>
    <w:p w14:paraId="7CA28D91" w14:textId="11E74319" w:rsidR="007376E1" w:rsidRPr="001570EA" w:rsidRDefault="007376E1" w:rsidP="002614D2">
      <w:pPr>
        <w:pStyle w:val="ListParagraph"/>
        <w:numPr>
          <w:ilvl w:val="0"/>
          <w:numId w:val="32"/>
        </w:numPr>
        <w:overflowPunct/>
        <w:autoSpaceDE/>
        <w:autoSpaceDN/>
        <w:adjustRightInd/>
        <w:ind w:left="360"/>
        <w:jc w:val="left"/>
        <w:textAlignment w:val="auto"/>
      </w:pPr>
      <w:r w:rsidRPr="001570EA">
        <w:t xml:space="preserve">Based on the Phase III SWE team’s analysis of regional HVAC runtime data collected from ecobee’s Donate Your Data research service. </w:t>
      </w:r>
      <w:hyperlink r:id="rId70" w:history="1">
        <w:r w:rsidRPr="001570EA">
          <w:rPr>
            <w:rStyle w:val="Hyperlink"/>
          </w:rPr>
          <w:t>Weblink</w:t>
        </w:r>
      </w:hyperlink>
      <w:r w:rsidRPr="001570EA">
        <w:t xml:space="preserve"> Updated based on the latest CDD and HDD values from NOAA’s 15-year annual climate Normals (2006–2020). </w:t>
      </w:r>
      <w:hyperlink r:id="rId71" w:history="1">
        <w:r w:rsidRPr="001570EA">
          <w:rPr>
            <w:rStyle w:val="Hyperlink"/>
          </w:rPr>
          <w:t>Weblink</w:t>
        </w:r>
      </w:hyperlink>
    </w:p>
    <w:p w14:paraId="031DF202" w14:textId="77777777" w:rsidR="007376E1" w:rsidRPr="001570EA" w:rsidRDefault="007376E1" w:rsidP="007376E1">
      <w:pPr>
        <w:pStyle w:val="source10"/>
        <w:spacing w:after="120"/>
        <w:jc w:val="left"/>
        <w:textAlignment w:val="auto"/>
        <w:rPr>
          <w:rStyle w:val="Hyperlink"/>
          <w:rFonts w:cs="Arial"/>
        </w:rPr>
      </w:pPr>
    </w:p>
    <w:p w14:paraId="2ED9F3CB" w14:textId="77777777" w:rsidR="007376E1" w:rsidRPr="001570EA" w:rsidRDefault="007376E1" w:rsidP="007376E1">
      <w:pPr>
        <w:pStyle w:val="source10"/>
        <w:spacing w:after="120"/>
        <w:jc w:val="left"/>
        <w:textAlignment w:val="auto"/>
        <w:rPr>
          <w:rStyle w:val="Hyperlink"/>
          <w:rFonts w:cs="Arial"/>
        </w:rPr>
        <w:sectPr w:rsidR="007376E1" w:rsidRPr="001570EA" w:rsidSect="002D556C">
          <w:pgSz w:w="12240" w:h="15840"/>
          <w:pgMar w:top="1440" w:right="1800" w:bottom="1440" w:left="1800" w:header="720" w:footer="501" w:gutter="0"/>
          <w:cols w:space="720"/>
        </w:sectPr>
      </w:pPr>
    </w:p>
    <w:p w14:paraId="7A6A8E02" w14:textId="77777777" w:rsidR="007376E1" w:rsidRPr="001570EA" w:rsidRDefault="007376E1" w:rsidP="00462D97">
      <w:pPr>
        <w:pStyle w:val="Heading3"/>
      </w:pPr>
      <w:bookmarkStart w:id="234" w:name="_Toc48143019"/>
      <w:bookmarkStart w:id="235" w:name="_Toc164786638"/>
      <w:r w:rsidRPr="001570EA">
        <w:t>GSHP Desuperheaters</w:t>
      </w:r>
      <w:bookmarkEnd w:id="234"/>
      <w:bookmarkEnd w:id="235"/>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51"/>
        <w:gridCol w:w="4961"/>
      </w:tblGrid>
      <w:tr w:rsidR="007376E1" w:rsidRPr="001570EA" w14:paraId="5CD41AD1"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4D6DCB5" w14:textId="77777777" w:rsidR="007376E1" w:rsidRPr="001570EA" w:rsidRDefault="007376E1">
            <w:pPr>
              <w:pStyle w:val="TableCell"/>
              <w:spacing w:before="60" w:after="60"/>
              <w:rPr>
                <w:b/>
                <w:bCs/>
                <w:color w:val="000000"/>
              </w:rPr>
            </w:pPr>
            <w:r w:rsidRPr="001570EA">
              <w:rPr>
                <w:b/>
                <w:bCs/>
                <w:color w:val="000000"/>
              </w:rPr>
              <w:t>Target Sector</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21DE00DE" w14:textId="75CC1791" w:rsidR="007376E1" w:rsidRPr="001570EA" w:rsidRDefault="007376E1">
            <w:pPr>
              <w:pStyle w:val="TableCell"/>
              <w:spacing w:before="60" w:after="60"/>
              <w:jc w:val="center"/>
              <w:rPr>
                <w:color w:val="000000"/>
              </w:rPr>
            </w:pPr>
            <w:r w:rsidRPr="001570EA">
              <w:rPr>
                <w:color w:val="000000"/>
              </w:rPr>
              <w:t>Residential</w:t>
            </w:r>
          </w:p>
        </w:tc>
      </w:tr>
      <w:tr w:rsidR="007376E1" w:rsidRPr="001570EA" w14:paraId="398F221B"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5015996B" w14:textId="77777777" w:rsidR="007376E1" w:rsidRPr="001570EA" w:rsidRDefault="007376E1">
            <w:pPr>
              <w:pStyle w:val="TableCell"/>
              <w:spacing w:before="60" w:after="60"/>
              <w:rPr>
                <w:b/>
                <w:bCs/>
                <w:color w:val="000000"/>
              </w:rPr>
            </w:pPr>
            <w:r w:rsidRPr="001570EA">
              <w:rPr>
                <w:b/>
                <w:bCs/>
                <w:color w:val="000000"/>
              </w:rPr>
              <w:t>Measure Unit</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67AB8160" w14:textId="77777777" w:rsidR="007376E1" w:rsidRPr="001570EA" w:rsidRDefault="007376E1">
            <w:pPr>
              <w:pStyle w:val="TableCell"/>
              <w:spacing w:before="60" w:after="60"/>
              <w:jc w:val="center"/>
              <w:rPr>
                <w:color w:val="000000"/>
              </w:rPr>
            </w:pPr>
            <w:r w:rsidRPr="001570EA">
              <w:rPr>
                <w:color w:val="000000"/>
              </w:rPr>
              <w:t>GSHP Desuperheater</w:t>
            </w:r>
          </w:p>
        </w:tc>
      </w:tr>
      <w:tr w:rsidR="007376E1" w:rsidRPr="001570EA" w14:paraId="7947CAE2"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431C44AB" w14:textId="77777777" w:rsidR="007376E1" w:rsidRPr="001570EA" w:rsidRDefault="007376E1">
            <w:pPr>
              <w:pStyle w:val="TableCell"/>
              <w:spacing w:before="60" w:after="60"/>
              <w:rPr>
                <w:b/>
                <w:bCs/>
                <w:color w:val="000000"/>
              </w:rPr>
            </w:pPr>
            <w:r w:rsidRPr="001570EA">
              <w:rPr>
                <w:b/>
                <w:bCs/>
                <w:color w:val="000000"/>
              </w:rPr>
              <w:t>Measure Life</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2E832C50" w14:textId="30439615" w:rsidR="007376E1" w:rsidRPr="001570EA" w:rsidRDefault="007376E1">
            <w:pPr>
              <w:pStyle w:val="TableCell"/>
              <w:spacing w:before="60" w:after="60"/>
              <w:jc w:val="center"/>
              <w:rPr>
                <w:color w:val="000000"/>
                <w:vertAlign w:val="superscript"/>
              </w:rPr>
            </w:pPr>
            <w:r w:rsidRPr="001570EA">
              <w:rPr>
                <w:color w:val="000000"/>
              </w:rPr>
              <w:t>15 years</w:t>
            </w:r>
            <w:r w:rsidRPr="001570EA">
              <w:rPr>
                <w:vertAlign w:val="superscript"/>
              </w:rPr>
              <w:t>Source 1</w:t>
            </w:r>
          </w:p>
        </w:tc>
      </w:tr>
      <w:tr w:rsidR="007376E1" w:rsidRPr="001570EA" w14:paraId="18DB2C4A" w14:textId="77777777">
        <w:tc>
          <w:tcPr>
            <w:tcW w:w="355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523F276D" w14:textId="77777777" w:rsidR="007376E1" w:rsidRPr="001570EA" w:rsidRDefault="007376E1">
            <w:pPr>
              <w:pStyle w:val="TableCell"/>
              <w:spacing w:before="60" w:after="60"/>
              <w:rPr>
                <w:b/>
                <w:bCs/>
                <w:color w:val="000000"/>
              </w:rPr>
            </w:pPr>
            <w:r w:rsidRPr="001570EA">
              <w:rPr>
                <w:b/>
                <w:bCs/>
                <w:color w:val="000000"/>
              </w:rPr>
              <w:t>Vintage</w:t>
            </w:r>
          </w:p>
        </w:tc>
        <w:tc>
          <w:tcPr>
            <w:tcW w:w="4961"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5BD86D04" w14:textId="77777777" w:rsidR="007376E1" w:rsidRPr="001570EA" w:rsidRDefault="007376E1">
            <w:pPr>
              <w:pStyle w:val="TableCell"/>
              <w:spacing w:before="60" w:after="60"/>
              <w:jc w:val="center"/>
              <w:rPr>
                <w:color w:val="000000"/>
              </w:rPr>
            </w:pPr>
            <w:r w:rsidRPr="001570EA">
              <w:rPr>
                <w:color w:val="000000"/>
              </w:rPr>
              <w:t>Retrofit</w:t>
            </w:r>
          </w:p>
        </w:tc>
      </w:tr>
    </w:tbl>
    <w:p w14:paraId="2B3ED3B3" w14:textId="77777777" w:rsidR="007376E1" w:rsidRPr="001570EA" w:rsidRDefault="007376E1" w:rsidP="007376E1"/>
    <w:p w14:paraId="244C3213" w14:textId="77777777" w:rsidR="007376E1" w:rsidRPr="001570EA" w:rsidRDefault="007376E1" w:rsidP="007376E1">
      <w:pPr>
        <w:pStyle w:val="SubStyle"/>
      </w:pPr>
      <w:r w:rsidRPr="001570EA">
        <w:t>Eligibility</w:t>
      </w:r>
    </w:p>
    <w:p w14:paraId="1A29D7A6" w14:textId="77777777" w:rsidR="007376E1" w:rsidRPr="001570EA" w:rsidRDefault="007376E1" w:rsidP="007376E1">
      <w:r w:rsidRPr="001570EA">
        <w:t>Installation of a desuperheater on a new or existing Ground Source Heat Pump to replace any type of electric water heater.</w:t>
      </w:r>
    </w:p>
    <w:p w14:paraId="5242BF7D" w14:textId="77777777" w:rsidR="007376E1" w:rsidRPr="001570EA" w:rsidRDefault="007376E1" w:rsidP="007376E1"/>
    <w:p w14:paraId="65B9037D" w14:textId="77777777" w:rsidR="007376E1" w:rsidRPr="001570EA" w:rsidRDefault="007376E1" w:rsidP="007376E1">
      <w:pPr>
        <w:pStyle w:val="SubStyle"/>
      </w:pPr>
      <w:r w:rsidRPr="001570EA">
        <w:t>Algorithms</w:t>
      </w:r>
    </w:p>
    <w:p w14:paraId="05C7AD87" w14:textId="77777777" w:rsidR="007376E1" w:rsidRPr="001570EA" w:rsidRDefault="007376E1" w:rsidP="007376E1">
      <w:pPr>
        <w:pStyle w:val="NoSpacing"/>
      </w:pPr>
      <w:r w:rsidRPr="001570EA">
        <w:t>This algorithm is used for the installation of a desuperheater for a GSHP unit.</w:t>
      </w:r>
    </w:p>
    <w:p w14:paraId="5858C2B9" w14:textId="77777777" w:rsidR="007376E1" w:rsidRPr="001570EA" w:rsidRDefault="007376E1" w:rsidP="007376E1">
      <w:pPr>
        <w:pStyle w:val="Equation"/>
        <w:tabs>
          <w:tab w:val="clear" w:pos="720"/>
          <w:tab w:val="left" w:pos="1440"/>
        </w:tabs>
        <w:rPr>
          <w:rFonts w:ascii="Arial Narrow"/>
        </w:rPr>
      </w:pPr>
      <w:r w:rsidRPr="001570EA">
        <w:rPr>
          <w:rFonts w:ascii="Cambria Math" w:hAnsi="Cambria Math"/>
        </w:rPr>
        <w:t>ΔkWh</w:t>
      </w:r>
      <w:r w:rsidRPr="001570EA">
        <w:tab/>
      </w:r>
      <m:oMath>
        <m:r>
          <w:rPr>
            <w:rFonts w:ascii="Cambria Math" w:eastAsiaTheme="minorEastAsia" w:hAnsi="Cambria Math"/>
            <w:sz w:val="24"/>
            <w:szCs w:val="24"/>
          </w:rPr>
          <m:t>=</m:t>
        </m:r>
        <m:f>
          <m:fPr>
            <m:ctrlPr>
              <w:rPr>
                <w:rFonts w:ascii="Cambria Math" w:hAnsi="Cambria Math"/>
                <w:i w:val="0"/>
                <w:sz w:val="24"/>
                <w:szCs w:val="24"/>
              </w:rPr>
            </m:ctrlPr>
          </m:fPr>
          <m:num>
            <m:r>
              <w:rPr>
                <w:rFonts w:ascii="Cambria Math" w:hAnsi="Cambria Math"/>
                <w:sz w:val="24"/>
                <w:szCs w:val="24"/>
              </w:rPr>
              <m:t xml:space="preserve"> </m:t>
            </m:r>
            <m:f>
              <m:fPr>
                <m:ctrlPr>
                  <w:rPr>
                    <w:rFonts w:ascii="Cambria Math" w:hAnsi="Cambria Math"/>
                    <w:i w:val="0"/>
                    <w:sz w:val="24"/>
                    <w:szCs w:val="24"/>
                  </w:rPr>
                </m:ctrlPr>
              </m:fPr>
              <m:num>
                <m:sSub>
                  <m:sSubPr>
                    <m:ctrlPr>
                      <w:rPr>
                        <w:rFonts w:ascii="Cambria Math" w:hAnsi="Cambria Math"/>
                        <w:i w:val="0"/>
                        <w:iCs/>
                        <w:sz w:val="24"/>
                        <w:szCs w:val="24"/>
                      </w:rPr>
                    </m:ctrlPr>
                  </m:sSubPr>
                  <m:e>
                    <m:r>
                      <w:rPr>
                        <w:rFonts w:ascii="Cambria Math" w:hAnsi="Cambria Math"/>
                        <w:sz w:val="24"/>
                        <w:szCs w:val="24"/>
                      </w:rPr>
                      <m:t>EF</m:t>
                    </m:r>
                    <m:ctrlPr>
                      <w:rPr>
                        <w:rFonts w:ascii="Cambria Math" w:hAnsi="Cambria Math"/>
                        <w:i w:val="0"/>
                        <w:sz w:val="24"/>
                        <w:szCs w:val="24"/>
                      </w:rPr>
                    </m:ctrlPr>
                  </m:e>
                  <m:sub>
                    <m:r>
                      <w:rPr>
                        <w:rFonts w:ascii="Cambria Math" w:hAnsi="Cambria Math"/>
                        <w:sz w:val="24"/>
                        <w:szCs w:val="24"/>
                      </w:rPr>
                      <m:t>SH</m:t>
                    </m:r>
                  </m:sub>
                </m:sSub>
              </m:num>
              <m:den>
                <m:sSub>
                  <m:sSubPr>
                    <m:ctrlPr>
                      <w:rPr>
                        <w:rFonts w:ascii="Cambria Math" w:hAnsi="Cambria Math"/>
                        <w:i w:val="0"/>
                        <w:sz w:val="24"/>
                        <w:szCs w:val="24"/>
                      </w:rPr>
                    </m:ctrlPr>
                  </m:sSubPr>
                  <m:e>
                    <m:r>
                      <w:rPr>
                        <w:rFonts w:ascii="Cambria Math" w:hAnsi="Cambria Math"/>
                        <w:sz w:val="24"/>
                        <w:szCs w:val="24"/>
                      </w:rPr>
                      <m:t xml:space="preserve">UEF </m:t>
                    </m:r>
                  </m:e>
                  <m:sub>
                    <m:r>
                      <w:rPr>
                        <w:rFonts w:ascii="Cambria Math" w:hAnsi="Cambria Math"/>
                        <w:sz w:val="24"/>
                        <w:szCs w:val="24"/>
                      </w:rPr>
                      <m:t>Base</m:t>
                    </m:r>
                  </m:sub>
                </m:sSub>
              </m:den>
            </m:f>
            <m:r>
              <w:rPr>
                <w:rFonts w:ascii="Cambria Math" w:hAnsi="Cambria Math"/>
                <w:sz w:val="24"/>
                <w:szCs w:val="24"/>
              </w:rPr>
              <m:t xml:space="preserve">    ×  HW ×  365</m:t>
            </m:r>
            <m:f>
              <m:fPr>
                <m:ctrlPr>
                  <w:rPr>
                    <w:rFonts w:ascii="Cambria Math" w:hAnsi="Cambria Math"/>
                    <w:i w:val="0"/>
                    <w:sz w:val="24"/>
                    <w:szCs w:val="24"/>
                  </w:rPr>
                </m:ctrlPr>
              </m:fPr>
              <m:num>
                <m:r>
                  <w:rPr>
                    <w:rFonts w:ascii="Cambria Math" w:hAnsi="Cambria Math"/>
                    <w:sz w:val="24"/>
                    <w:szCs w:val="24"/>
                  </w:rPr>
                  <m:t>days</m:t>
                </m:r>
              </m:num>
              <m:den>
                <m:r>
                  <w:rPr>
                    <w:rFonts w:ascii="Cambria Math" w:hAnsi="Cambria Math"/>
                    <w:sz w:val="24"/>
                    <w:szCs w:val="24"/>
                  </w:rPr>
                  <m:t>yr</m:t>
                </m:r>
              </m:den>
            </m:f>
            <m:r>
              <w:rPr>
                <w:rFonts w:ascii="Cambria Math" w:hAnsi="Cambria Math"/>
                <w:sz w:val="24"/>
                <w:szCs w:val="24"/>
              </w:rPr>
              <m:t xml:space="preserve"> ×  8.3</m:t>
            </m:r>
            <m:box>
              <m:boxPr>
                <m:ctrlPr>
                  <w:rPr>
                    <w:rFonts w:ascii="Cambria Math" w:hAnsi="Cambria Math"/>
                    <w:i w:val="0"/>
                    <w:sz w:val="24"/>
                    <w:szCs w:val="24"/>
                  </w:rPr>
                </m:ctrlPr>
              </m:boxPr>
              <m:e>
                <m:argPr>
                  <m:argSz m:val="-1"/>
                </m:argPr>
                <m:f>
                  <m:fPr>
                    <m:ctrlPr>
                      <w:rPr>
                        <w:rFonts w:ascii="Cambria Math" w:hAnsi="Cambria Math"/>
                        <w:i w:val="0"/>
                        <w:sz w:val="24"/>
                        <w:szCs w:val="24"/>
                      </w:rPr>
                    </m:ctrlPr>
                  </m:fPr>
                  <m:num>
                    <m:r>
                      <w:rPr>
                        <w:rFonts w:ascii="Cambria Math" w:hAnsi="Cambria Math"/>
                        <w:sz w:val="24"/>
                        <w:szCs w:val="24"/>
                      </w:rPr>
                      <m:t>BTU</m:t>
                    </m:r>
                  </m:num>
                  <m:den>
                    <m:r>
                      <w:rPr>
                        <w:rFonts w:ascii="Cambria Math" w:hAnsi="Cambria Math"/>
                        <w:sz w:val="24"/>
                        <w:szCs w:val="24"/>
                      </w:rPr>
                      <m:t>gal∙℉</m:t>
                    </m:r>
                  </m:den>
                </m:f>
              </m:e>
            </m:box>
            <m:r>
              <w:rPr>
                <w:rFonts w:ascii="Cambria Math" w:hAnsi="Cambria Math"/>
                <w:sz w:val="24"/>
                <w:szCs w:val="24"/>
              </w:rPr>
              <m:t xml:space="preserve"> ×  </m:t>
            </m:r>
            <m:d>
              <m:dPr>
                <m:ctrlPr>
                  <w:rPr>
                    <w:rFonts w:ascii="Cambria Math" w:hAnsi="Cambria Math"/>
                    <w:i w:val="0"/>
                    <w:sz w:val="24"/>
                    <w:szCs w:val="24"/>
                  </w:rPr>
                </m:ctrlPr>
              </m:dPr>
              <m:e>
                <m:sSub>
                  <m:sSubPr>
                    <m:ctrlPr>
                      <w:rPr>
                        <w:rFonts w:ascii="Cambria Math" w:hAnsi="Cambria Math"/>
                        <w:i w:val="0"/>
                        <w:sz w:val="24"/>
                        <w:szCs w:val="24"/>
                      </w:rPr>
                    </m:ctrlPr>
                  </m:sSubPr>
                  <m:e>
                    <m:r>
                      <w:rPr>
                        <w:rFonts w:ascii="Cambria Math" w:hAnsi="Cambria Math"/>
                        <w:sz w:val="24"/>
                        <w:szCs w:val="24"/>
                      </w:rPr>
                      <m:t>T</m:t>
                    </m:r>
                  </m:e>
                  <m:sub>
                    <m:r>
                      <w:rPr>
                        <w:rFonts w:ascii="Cambria Math" w:hAnsi="Cambria Math"/>
                        <w:sz w:val="24"/>
                        <w:szCs w:val="24"/>
                      </w:rPr>
                      <m:t>hot</m:t>
                    </m:r>
                  </m:sub>
                </m:sSub>
                <m:r>
                  <w:rPr>
                    <w:rFonts w:ascii="Cambria Math" w:hAnsi="Cambria Math"/>
                    <w:sz w:val="24"/>
                    <w:szCs w:val="24"/>
                  </w:rPr>
                  <m:t>-</m:t>
                </m:r>
                <m:sSub>
                  <m:sSubPr>
                    <m:ctrlPr>
                      <w:rPr>
                        <w:rFonts w:ascii="Cambria Math" w:hAnsi="Cambria Math"/>
                        <w:i w:val="0"/>
                        <w:sz w:val="24"/>
                        <w:szCs w:val="24"/>
                      </w:rPr>
                    </m:ctrlPr>
                  </m:sSubPr>
                  <m:e>
                    <m:r>
                      <w:rPr>
                        <w:rFonts w:ascii="Cambria Math" w:hAnsi="Cambria Math"/>
                        <w:sz w:val="24"/>
                        <w:szCs w:val="24"/>
                      </w:rPr>
                      <m:t>T</m:t>
                    </m:r>
                  </m:e>
                  <m:sub>
                    <m:r>
                      <w:rPr>
                        <w:rFonts w:ascii="Cambria Math" w:hAnsi="Cambria Math"/>
                        <w:sz w:val="24"/>
                        <w:szCs w:val="24"/>
                      </w:rPr>
                      <m:t>cold</m:t>
                    </m:r>
                  </m:sub>
                </m:sSub>
              </m:e>
            </m:d>
            <m:r>
              <w:rPr>
                <w:rFonts w:ascii="Cambria Math" w:hAnsi="Cambria Math"/>
                <w:sz w:val="24"/>
                <w:szCs w:val="24"/>
              </w:rPr>
              <m:t xml:space="preserve"> </m:t>
            </m:r>
            <m:ctrlPr>
              <w:rPr>
                <w:rFonts w:ascii="Cambria Math" w:eastAsiaTheme="minorEastAsia" w:hAnsi="Cambria Math"/>
                <w:i w:val="0"/>
                <w:sz w:val="24"/>
                <w:szCs w:val="24"/>
              </w:rPr>
            </m:ctrlPr>
          </m:num>
          <m:den>
            <m:r>
              <w:rPr>
                <w:rFonts w:ascii="Cambria Math" w:hAnsi="Cambria Math"/>
                <w:sz w:val="24"/>
                <w:szCs w:val="24"/>
              </w:rPr>
              <m:t xml:space="preserve">3,412  </m:t>
            </m:r>
            <m:f>
              <m:fPr>
                <m:ctrlPr>
                  <w:rPr>
                    <w:rFonts w:ascii="Cambria Math" w:hAnsi="Cambria Math"/>
                    <w:i w:val="0"/>
                    <w:sz w:val="24"/>
                    <w:szCs w:val="24"/>
                  </w:rPr>
                </m:ctrlPr>
              </m:fPr>
              <m:num>
                <m:r>
                  <w:rPr>
                    <w:rFonts w:ascii="Cambria Math" w:hAnsi="Cambria Math"/>
                    <w:sz w:val="24"/>
                    <w:szCs w:val="24"/>
                  </w:rPr>
                  <m:t>BTU</m:t>
                </m:r>
              </m:num>
              <m:den>
                <m:r>
                  <w:rPr>
                    <w:rFonts w:ascii="Cambria Math" w:hAnsi="Cambria Math"/>
                    <w:sz w:val="24"/>
                    <w:szCs w:val="24"/>
                  </w:rPr>
                  <m:t>kWh</m:t>
                </m:r>
              </m:den>
            </m:f>
            <m:r>
              <w:rPr>
                <w:rFonts w:ascii="Cambria Math" w:hAnsi="Cambria Math"/>
                <w:sz w:val="24"/>
                <w:szCs w:val="24"/>
              </w:rPr>
              <m:t xml:space="preserve"> </m:t>
            </m:r>
          </m:den>
        </m:f>
      </m:oMath>
    </w:p>
    <w:p w14:paraId="60331343" w14:textId="77777777" w:rsidR="007376E1" w:rsidRPr="001570EA" w:rsidRDefault="007376E1" w:rsidP="007376E1"/>
    <w:p w14:paraId="2276EC4D" w14:textId="77777777" w:rsidR="007376E1" w:rsidRPr="001570EA" w:rsidRDefault="003B5E04" w:rsidP="007376E1">
      <w:pPr>
        <w:pStyle w:val="TableCell"/>
        <w:jc w:val="left"/>
        <w:rPr>
          <w:sz w:val="20"/>
          <w:szCs w:val="22"/>
        </w:rPr>
      </w:pPr>
      <m:oMath>
        <m:sSub>
          <m:sSubPr>
            <m:ctrlPr>
              <w:rPr>
                <w:rFonts w:ascii="Cambria Math" w:hAnsi="Cambria Math"/>
                <w:sz w:val="20"/>
                <w:szCs w:val="22"/>
              </w:rPr>
            </m:ctrlPr>
          </m:sSubPr>
          <m:e>
            <m:r>
              <m:rPr>
                <m:sty m:val="p"/>
              </m:rPr>
              <w:rPr>
                <w:rFonts w:ascii="Cambria Math" w:hAnsi="Cambria Math"/>
                <w:sz w:val="20"/>
                <w:szCs w:val="22"/>
              </w:rPr>
              <m:t>∆</m:t>
            </m:r>
            <m:r>
              <w:rPr>
                <w:rFonts w:ascii="Cambria Math" w:hAnsi="Cambria Math"/>
                <w:sz w:val="20"/>
                <w:szCs w:val="22"/>
              </w:rPr>
              <m:t>kW</m:t>
            </m:r>
          </m:e>
          <m:sub>
            <m:r>
              <w:rPr>
                <w:rFonts w:ascii="Cambria Math" w:hAnsi="Cambria Math"/>
                <w:sz w:val="20"/>
                <w:szCs w:val="22"/>
              </w:rPr>
              <m:t>summer peak</m:t>
            </m:r>
          </m:sub>
        </m:sSub>
      </m:oMath>
      <w:r w:rsidR="007376E1" w:rsidRPr="001570EA">
        <w:rPr>
          <w:sz w:val="20"/>
          <w:szCs w:val="22"/>
        </w:rPr>
        <w:t xml:space="preserve">  </w:t>
      </w:r>
      <m:oMath>
        <m:r>
          <m:rPr>
            <m:sty m:val="p"/>
          </m:rPr>
          <w:rPr>
            <w:rStyle w:val="st"/>
            <w:rFonts w:ascii="Cambria Math" w:hAnsi="Cambria Math"/>
            <w:sz w:val="20"/>
            <w:szCs w:val="22"/>
          </w:rPr>
          <m:t>=</m:t>
        </m:r>
        <m:r>
          <m:rPr>
            <m:sty m:val="p"/>
          </m:rPr>
          <w:rPr>
            <w:rFonts w:ascii="Cambria Math" w:hAnsi="Cambria Math"/>
            <w:sz w:val="20"/>
            <w:szCs w:val="22"/>
          </w:rPr>
          <m:t>∆</m:t>
        </m:r>
        <m:r>
          <w:rPr>
            <w:rFonts w:ascii="Cambria Math" w:hAnsi="Cambria Math"/>
            <w:sz w:val="20"/>
            <w:szCs w:val="22"/>
          </w:rPr>
          <m:t>kWh</m:t>
        </m:r>
        <m:r>
          <m:rPr>
            <m:sty m:val="p"/>
          </m:rPr>
          <w:rPr>
            <w:rStyle w:val="st"/>
            <w:rFonts w:ascii="Cambria Math" w:hAnsi="Cambria Math"/>
            <w:sz w:val="20"/>
            <w:szCs w:val="22"/>
          </w:rPr>
          <m:t xml:space="preserve"> ×</m:t>
        </m:r>
        <m:sSub>
          <m:sSubPr>
            <m:ctrlPr>
              <w:rPr>
                <w:rFonts w:ascii="Cambria Math" w:hAnsi="Cambria Math"/>
                <w:i/>
                <w:iCs/>
                <w:sz w:val="20"/>
                <w:szCs w:val="22"/>
              </w:rPr>
            </m:ctrlPr>
          </m:sSubPr>
          <m:e>
            <m:r>
              <w:rPr>
                <w:rStyle w:val="st"/>
                <w:rFonts w:ascii="Cambria Math" w:hAnsi="Cambria Math"/>
                <w:sz w:val="20"/>
                <w:szCs w:val="22"/>
              </w:rPr>
              <m:t>ETDF</m:t>
            </m:r>
          </m:e>
          <m:sub>
            <m:r>
              <w:rPr>
                <w:rStyle w:val="st"/>
                <w:rFonts w:ascii="Cambria Math" w:hAnsi="Cambria Math"/>
                <w:sz w:val="20"/>
                <w:szCs w:val="22"/>
              </w:rPr>
              <m:t>summer</m:t>
            </m:r>
          </m:sub>
        </m:sSub>
      </m:oMath>
    </w:p>
    <w:p w14:paraId="4753FC38" w14:textId="77777777" w:rsidR="007376E1" w:rsidRPr="001570EA" w:rsidRDefault="007376E1" w:rsidP="007376E1">
      <w:pPr>
        <w:pStyle w:val="TableCell"/>
        <w:jc w:val="left"/>
        <w:rPr>
          <w:sz w:val="20"/>
          <w:szCs w:val="22"/>
        </w:rPr>
      </w:pPr>
    </w:p>
    <w:p w14:paraId="7BFFDDA9" w14:textId="77777777" w:rsidR="007376E1" w:rsidRPr="001570EA" w:rsidRDefault="003B5E04" w:rsidP="007376E1">
      <w:pPr>
        <w:pStyle w:val="TableCell"/>
        <w:jc w:val="left"/>
        <w:rPr>
          <w:sz w:val="20"/>
          <w:szCs w:val="22"/>
        </w:rPr>
      </w:pPr>
      <m:oMathPara>
        <m:oMathParaPr>
          <m:jc m:val="left"/>
        </m:oMathParaPr>
        <m:oMath>
          <m:sSub>
            <m:sSubPr>
              <m:ctrlPr>
                <w:rPr>
                  <w:rFonts w:ascii="Cambria Math" w:hAnsi="Cambria Math"/>
                  <w:sz w:val="20"/>
                  <w:szCs w:val="22"/>
                </w:rPr>
              </m:ctrlPr>
            </m:sSubPr>
            <m:e>
              <m:r>
                <m:rPr>
                  <m:sty m:val="p"/>
                </m:rPr>
                <w:rPr>
                  <w:rFonts w:ascii="Cambria Math" w:hAnsi="Cambria Math"/>
                  <w:sz w:val="20"/>
                  <w:szCs w:val="22"/>
                </w:rPr>
                <m:t>∆</m:t>
              </m:r>
              <m:r>
                <w:rPr>
                  <w:rFonts w:ascii="Cambria Math" w:hAnsi="Cambria Math"/>
                  <w:sz w:val="20"/>
                  <w:szCs w:val="22"/>
                </w:rPr>
                <m:t>kW</m:t>
              </m:r>
            </m:e>
            <m:sub>
              <m:r>
                <w:rPr>
                  <w:rFonts w:ascii="Cambria Math" w:hAnsi="Cambria Math"/>
                  <w:sz w:val="20"/>
                  <w:szCs w:val="22"/>
                </w:rPr>
                <m:t>winter peak</m:t>
              </m:r>
            </m:sub>
          </m:sSub>
          <m:r>
            <m:rPr>
              <m:sty m:val="p"/>
            </m:rPr>
            <w:rPr>
              <w:rStyle w:val="st"/>
              <w:rFonts w:ascii="Cambria Math" w:hAnsi="Cambria Math"/>
              <w:sz w:val="20"/>
              <w:szCs w:val="22"/>
            </w:rPr>
            <m:t xml:space="preserve">   =</m:t>
          </m:r>
          <m:r>
            <m:rPr>
              <m:sty m:val="p"/>
            </m:rPr>
            <w:rPr>
              <w:rFonts w:ascii="Cambria Math" w:hAnsi="Cambria Math"/>
              <w:sz w:val="20"/>
              <w:szCs w:val="22"/>
            </w:rPr>
            <m:t>0</m:t>
          </m:r>
        </m:oMath>
      </m:oMathPara>
    </w:p>
    <w:p w14:paraId="21E79D20" w14:textId="77777777" w:rsidR="007376E1" w:rsidRPr="001570EA" w:rsidRDefault="007376E1" w:rsidP="007376E1">
      <w:pPr>
        <w:pStyle w:val="BodyText"/>
        <w:keepNext/>
      </w:pPr>
    </w:p>
    <w:p w14:paraId="4D838A7F" w14:textId="77777777" w:rsidR="007376E1" w:rsidRPr="001570EA" w:rsidRDefault="007376E1" w:rsidP="007376E1"/>
    <w:p w14:paraId="4A651AFA" w14:textId="77777777" w:rsidR="007376E1" w:rsidRPr="001570EA" w:rsidRDefault="007376E1" w:rsidP="007376E1"/>
    <w:p w14:paraId="23C8D7CB" w14:textId="77777777" w:rsidR="007376E1" w:rsidRPr="001570EA" w:rsidRDefault="007376E1" w:rsidP="007376E1">
      <w:pPr>
        <w:pStyle w:val="SubStyle"/>
      </w:pPr>
      <w:r w:rsidRPr="001570EA">
        <w:t>Definition of Terms</w:t>
      </w:r>
    </w:p>
    <w:p w14:paraId="6B0B3A98" w14:textId="08F141A1" w:rsidR="007376E1" w:rsidRPr="001570EA" w:rsidRDefault="007376E1" w:rsidP="007376E1">
      <w:pPr>
        <w:pStyle w:val="Caption"/>
      </w:pPr>
      <w:bookmarkStart w:id="236" w:name="_Toc47598265"/>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26</w:t>
      </w:r>
      <w:r w:rsidR="002E093A" w:rsidRPr="001570EA">
        <w:fldChar w:fldCharType="end"/>
      </w:r>
      <w:r w:rsidRPr="001570EA">
        <w:t xml:space="preserve">: </w:t>
      </w:r>
      <w:r w:rsidRPr="001570EA">
        <w:rPr>
          <w:rFonts w:cs="Arial"/>
        </w:rPr>
        <w:t>Terms, Values, and References for</w:t>
      </w:r>
      <w:r w:rsidRPr="001570EA">
        <w:t xml:space="preserve"> GSHP Desuperheater</w:t>
      </w:r>
      <w:bookmarkEnd w:id="236"/>
    </w:p>
    <w:tbl>
      <w:tblPr>
        <w:tblStyle w:val="TableGrid"/>
        <w:tblW w:w="8640" w:type="dxa"/>
        <w:tblInd w:w="108" w:type="dxa"/>
        <w:tblLayout w:type="fixed"/>
        <w:tblLook w:val="04A0" w:firstRow="1" w:lastRow="0" w:firstColumn="1" w:lastColumn="0" w:noHBand="0" w:noVBand="1"/>
      </w:tblPr>
      <w:tblGrid>
        <w:gridCol w:w="3690"/>
        <w:gridCol w:w="1327"/>
        <w:gridCol w:w="1913"/>
        <w:gridCol w:w="1710"/>
      </w:tblGrid>
      <w:tr w:rsidR="007376E1" w:rsidRPr="001570EA" w14:paraId="2E8C5696" w14:textId="77777777">
        <w:trPr>
          <w:trHeight w:val="242"/>
          <w:tblHeader/>
        </w:trPr>
        <w:tc>
          <w:tcPr>
            <w:tcW w:w="3690" w:type="dxa"/>
            <w:shd w:val="clear" w:color="auto" w:fill="BFBFBF" w:themeFill="background1" w:themeFillShade="BF"/>
            <w:vAlign w:val="center"/>
          </w:tcPr>
          <w:p w14:paraId="28D3CDBC" w14:textId="77777777" w:rsidR="007376E1" w:rsidRPr="001570EA" w:rsidRDefault="007376E1">
            <w:pPr>
              <w:rPr>
                <w:sz w:val="18"/>
                <w:szCs w:val="18"/>
              </w:rPr>
            </w:pPr>
            <w:r w:rsidRPr="001570EA">
              <w:rPr>
                <w:b/>
                <w:bCs/>
                <w:sz w:val="18"/>
                <w:szCs w:val="18"/>
              </w:rPr>
              <w:t>Term</w:t>
            </w:r>
          </w:p>
        </w:tc>
        <w:tc>
          <w:tcPr>
            <w:tcW w:w="1327" w:type="dxa"/>
            <w:shd w:val="clear" w:color="auto" w:fill="BFBFBF" w:themeFill="background1" w:themeFillShade="BF"/>
            <w:vAlign w:val="center"/>
          </w:tcPr>
          <w:p w14:paraId="60886A28" w14:textId="77777777" w:rsidR="007376E1" w:rsidRPr="001570EA" w:rsidRDefault="007376E1">
            <w:pPr>
              <w:jc w:val="center"/>
              <w:rPr>
                <w:sz w:val="18"/>
                <w:szCs w:val="18"/>
              </w:rPr>
            </w:pPr>
            <w:r w:rsidRPr="001570EA">
              <w:rPr>
                <w:b/>
                <w:bCs/>
                <w:sz w:val="18"/>
                <w:szCs w:val="18"/>
              </w:rPr>
              <w:t>Unit</w:t>
            </w:r>
          </w:p>
        </w:tc>
        <w:tc>
          <w:tcPr>
            <w:tcW w:w="1913" w:type="dxa"/>
            <w:shd w:val="clear" w:color="auto" w:fill="BFBFBF" w:themeFill="background1" w:themeFillShade="BF"/>
            <w:vAlign w:val="center"/>
          </w:tcPr>
          <w:p w14:paraId="6C5D5798" w14:textId="77777777" w:rsidR="007376E1" w:rsidRPr="001570EA" w:rsidRDefault="007376E1">
            <w:pPr>
              <w:jc w:val="center"/>
              <w:rPr>
                <w:sz w:val="18"/>
                <w:szCs w:val="18"/>
              </w:rPr>
            </w:pPr>
            <w:r w:rsidRPr="001570EA">
              <w:rPr>
                <w:b/>
                <w:bCs/>
                <w:sz w:val="18"/>
                <w:szCs w:val="18"/>
              </w:rPr>
              <w:t>Value</w:t>
            </w:r>
          </w:p>
        </w:tc>
        <w:tc>
          <w:tcPr>
            <w:tcW w:w="1710" w:type="dxa"/>
            <w:shd w:val="clear" w:color="auto" w:fill="BFBFBF" w:themeFill="background1" w:themeFillShade="BF"/>
            <w:vAlign w:val="center"/>
          </w:tcPr>
          <w:p w14:paraId="53F664F8" w14:textId="77777777" w:rsidR="007376E1" w:rsidRPr="001570EA" w:rsidRDefault="007376E1">
            <w:pPr>
              <w:jc w:val="center"/>
              <w:rPr>
                <w:sz w:val="18"/>
                <w:szCs w:val="18"/>
              </w:rPr>
            </w:pPr>
            <w:r w:rsidRPr="001570EA">
              <w:rPr>
                <w:b/>
                <w:bCs/>
                <w:sz w:val="18"/>
                <w:szCs w:val="18"/>
              </w:rPr>
              <w:t>Sources</w:t>
            </w:r>
          </w:p>
        </w:tc>
      </w:tr>
      <w:tr w:rsidR="007376E1" w:rsidRPr="001570EA" w14:paraId="621E2CF3" w14:textId="77777777">
        <w:trPr>
          <w:trHeight w:val="332"/>
        </w:trPr>
        <w:tc>
          <w:tcPr>
            <w:tcW w:w="3690" w:type="dxa"/>
            <w:vAlign w:val="center"/>
          </w:tcPr>
          <w:p w14:paraId="58E27FD3" w14:textId="2BE1832A" w:rsidR="007376E1" w:rsidRPr="001570EA" w:rsidRDefault="007376E1">
            <w:pPr>
              <w:rPr>
                <w:i/>
                <w:iCs/>
                <w:sz w:val="18"/>
                <w:szCs w:val="18"/>
              </w:rPr>
            </w:pPr>
            <w:r w:rsidRPr="001570EA">
              <w:rPr>
                <w:rFonts w:ascii="Cambria Math" w:hAnsi="Cambria Math"/>
                <w:i/>
                <w:iCs/>
                <w:sz w:val="18"/>
                <w:szCs w:val="18"/>
              </w:rPr>
              <w:t>EF</w:t>
            </w:r>
            <w:r w:rsidRPr="001570EA">
              <w:rPr>
                <w:rFonts w:ascii="Cambria Math" w:hAnsi="Cambria Math"/>
                <w:i/>
                <w:iCs/>
                <w:sz w:val="18"/>
                <w:szCs w:val="18"/>
                <w:vertAlign w:val="subscript"/>
              </w:rPr>
              <w:t>SH</w:t>
            </w:r>
            <w:r w:rsidRPr="001570EA">
              <w:rPr>
                <w:sz w:val="18"/>
                <w:szCs w:val="18"/>
              </w:rPr>
              <w:t xml:space="preserve">, </w:t>
            </w:r>
            <w:r w:rsidRPr="001570EA">
              <w:rPr>
                <w:rFonts w:cs="Arial"/>
                <w:sz w:val="18"/>
                <w:szCs w:val="18"/>
              </w:rPr>
              <w:t>Energy Factor per desuperheater</w:t>
            </w:r>
          </w:p>
        </w:tc>
        <w:tc>
          <w:tcPr>
            <w:tcW w:w="1327" w:type="dxa"/>
            <w:vAlign w:val="center"/>
          </w:tcPr>
          <w:p w14:paraId="044E9880" w14:textId="77777777" w:rsidR="007376E1" w:rsidRPr="001570EA" w:rsidRDefault="007376E1">
            <w:pPr>
              <w:jc w:val="center"/>
              <w:rPr>
                <w:i/>
                <w:iCs/>
                <w:sz w:val="18"/>
                <w:szCs w:val="18"/>
              </w:rPr>
            </w:pPr>
            <w:r w:rsidRPr="001570EA">
              <w:rPr>
                <w:i/>
                <w:iCs/>
                <w:sz w:val="18"/>
                <w:szCs w:val="18"/>
              </w:rPr>
              <w:t>None</w:t>
            </w:r>
          </w:p>
        </w:tc>
        <w:tc>
          <w:tcPr>
            <w:tcW w:w="1913" w:type="dxa"/>
            <w:vAlign w:val="center"/>
          </w:tcPr>
          <w:p w14:paraId="563D079E" w14:textId="77777777" w:rsidR="007376E1" w:rsidRPr="001570EA" w:rsidRDefault="007376E1">
            <w:pPr>
              <w:jc w:val="center"/>
              <w:rPr>
                <w:sz w:val="18"/>
                <w:szCs w:val="18"/>
              </w:rPr>
            </w:pPr>
            <w:r w:rsidRPr="001570EA">
              <w:rPr>
                <w:sz w:val="18"/>
                <w:szCs w:val="18"/>
              </w:rPr>
              <w:t>0.17</w:t>
            </w:r>
          </w:p>
        </w:tc>
        <w:tc>
          <w:tcPr>
            <w:tcW w:w="1710" w:type="dxa"/>
            <w:vAlign w:val="center"/>
          </w:tcPr>
          <w:p w14:paraId="7E5A1D2C" w14:textId="77777777" w:rsidR="007376E1" w:rsidRPr="001570EA" w:rsidRDefault="007376E1">
            <w:pPr>
              <w:jc w:val="center"/>
              <w:rPr>
                <w:sz w:val="18"/>
                <w:szCs w:val="18"/>
              </w:rPr>
            </w:pPr>
            <w:r w:rsidRPr="001570EA">
              <w:rPr>
                <w:sz w:val="18"/>
                <w:szCs w:val="18"/>
              </w:rPr>
              <w:t>2, 3</w:t>
            </w:r>
          </w:p>
        </w:tc>
      </w:tr>
      <w:tr w:rsidR="007376E1" w:rsidRPr="001570EA" w14:paraId="78F9D6B2" w14:textId="77777777">
        <w:trPr>
          <w:trHeight w:val="332"/>
        </w:trPr>
        <w:tc>
          <w:tcPr>
            <w:tcW w:w="3690" w:type="dxa"/>
            <w:vAlign w:val="center"/>
          </w:tcPr>
          <w:p w14:paraId="3AAF4BCE" w14:textId="77777777" w:rsidR="007376E1" w:rsidRPr="001570EA" w:rsidRDefault="007376E1">
            <w:pPr>
              <w:rPr>
                <w:rFonts w:ascii="Cambria Math" w:hAnsi="Cambria Math"/>
                <w:i/>
                <w:iCs/>
                <w:sz w:val="18"/>
                <w:szCs w:val="18"/>
              </w:rPr>
            </w:pPr>
            <w:r w:rsidRPr="001570EA">
              <w:rPr>
                <w:rFonts w:ascii="Cambria Math" w:hAnsi="Cambria Math"/>
                <w:i/>
                <w:iCs/>
                <w:sz w:val="18"/>
                <w:szCs w:val="18"/>
              </w:rPr>
              <w:t xml:space="preserve">HW,  </w:t>
            </w:r>
            <w:r w:rsidRPr="001570EA">
              <w:rPr>
                <w:rFonts w:cs="Arial"/>
                <w:sz w:val="18"/>
                <w:szCs w:val="18"/>
              </w:rPr>
              <w:t>Daily hot water use</w:t>
            </w:r>
          </w:p>
        </w:tc>
        <w:tc>
          <w:tcPr>
            <w:tcW w:w="1327" w:type="dxa"/>
            <w:vAlign w:val="center"/>
          </w:tcPr>
          <w:p w14:paraId="71FBFC65" w14:textId="77777777" w:rsidR="007376E1" w:rsidRPr="001570EA" w:rsidRDefault="007376E1">
            <w:pPr>
              <w:jc w:val="center"/>
              <w:rPr>
                <w:i/>
                <w:iCs/>
                <w:sz w:val="18"/>
                <w:szCs w:val="18"/>
              </w:rPr>
            </w:pPr>
            <w:r w:rsidRPr="001570EA">
              <w:rPr>
                <w:i/>
                <w:iCs/>
                <w:sz w:val="18"/>
                <w:szCs w:val="18"/>
              </w:rPr>
              <w:t>Gallons/Day</w:t>
            </w:r>
          </w:p>
        </w:tc>
        <w:tc>
          <w:tcPr>
            <w:tcW w:w="1913" w:type="dxa"/>
            <w:vAlign w:val="center"/>
          </w:tcPr>
          <w:p w14:paraId="6B0E915F" w14:textId="77777777" w:rsidR="007376E1" w:rsidRPr="001570EA" w:rsidRDefault="007376E1">
            <w:pPr>
              <w:jc w:val="center"/>
              <w:rPr>
                <w:sz w:val="18"/>
                <w:szCs w:val="18"/>
              </w:rPr>
            </w:pPr>
            <w:r w:rsidRPr="001570EA">
              <w:rPr>
                <w:sz w:val="18"/>
                <w:szCs w:val="18"/>
              </w:rPr>
              <w:t>45.5</w:t>
            </w:r>
          </w:p>
        </w:tc>
        <w:tc>
          <w:tcPr>
            <w:tcW w:w="1710" w:type="dxa"/>
            <w:vAlign w:val="center"/>
          </w:tcPr>
          <w:p w14:paraId="28EBCBE5" w14:textId="77777777" w:rsidR="007376E1" w:rsidRPr="001570EA" w:rsidRDefault="007376E1">
            <w:pPr>
              <w:jc w:val="center"/>
              <w:rPr>
                <w:sz w:val="18"/>
                <w:szCs w:val="18"/>
              </w:rPr>
            </w:pPr>
            <w:r w:rsidRPr="001570EA">
              <w:rPr>
                <w:sz w:val="18"/>
                <w:szCs w:val="18"/>
              </w:rPr>
              <w:t>7</w:t>
            </w:r>
          </w:p>
        </w:tc>
      </w:tr>
      <w:tr w:rsidR="007376E1" w:rsidRPr="001570EA" w14:paraId="06FDD04B" w14:textId="77777777">
        <w:tc>
          <w:tcPr>
            <w:tcW w:w="3690" w:type="dxa"/>
            <w:vAlign w:val="center"/>
          </w:tcPr>
          <w:p w14:paraId="23AE67F2" w14:textId="77777777" w:rsidR="007376E1" w:rsidRPr="001570EA" w:rsidRDefault="003B5E04">
            <w:pPr>
              <w:rPr>
                <w:sz w:val="18"/>
                <w:szCs w:val="18"/>
              </w:rPr>
            </w:pPr>
            <m:oMath>
              <m:sSub>
                <m:sSubPr>
                  <m:ctrlPr>
                    <w:rPr>
                      <w:rFonts w:ascii="Cambria Math" w:hAnsi="Cambria Math"/>
                      <w:i/>
                    </w:rPr>
                  </m:ctrlPr>
                </m:sSubPr>
                <m:e>
                  <m:r>
                    <w:rPr>
                      <w:rFonts w:ascii="Cambria Math" w:hAnsi="Cambria Math"/>
                    </w:rPr>
                    <m:t>T</m:t>
                  </m:r>
                </m:e>
                <m:sub>
                  <m:r>
                    <w:rPr>
                      <w:rFonts w:ascii="Cambria Math" w:hAnsi="Cambria Math"/>
                    </w:rPr>
                    <m:t>hot</m:t>
                  </m:r>
                </m:sub>
              </m:sSub>
            </m:oMath>
            <w:r w:rsidR="007376E1" w:rsidRPr="001570EA">
              <w:t>,</w:t>
            </w:r>
            <w:r w:rsidR="007376E1" w:rsidRPr="001570EA">
              <w:rPr>
                <w:sz w:val="18"/>
                <w:szCs w:val="18"/>
              </w:rPr>
              <w:t xml:space="preserve"> Hot Water Temperature</w:t>
            </w:r>
          </w:p>
        </w:tc>
        <w:tc>
          <w:tcPr>
            <w:tcW w:w="1327" w:type="dxa"/>
            <w:vAlign w:val="center"/>
          </w:tcPr>
          <w:p w14:paraId="74D67D5C" w14:textId="77777777" w:rsidR="007376E1" w:rsidRPr="001570EA" w:rsidRDefault="007376E1">
            <w:pPr>
              <w:jc w:val="center"/>
              <w:rPr>
                <w:sz w:val="18"/>
                <w:szCs w:val="18"/>
              </w:rPr>
            </w:pPr>
            <w:r w:rsidRPr="001570EA">
              <w:rPr>
                <w:i/>
                <w:iCs/>
                <w:sz w:val="18"/>
                <w:szCs w:val="18"/>
              </w:rPr>
              <w:t>°F</w:t>
            </w:r>
          </w:p>
        </w:tc>
        <w:tc>
          <w:tcPr>
            <w:tcW w:w="1913" w:type="dxa"/>
            <w:vAlign w:val="center"/>
          </w:tcPr>
          <w:p w14:paraId="63943971" w14:textId="77777777" w:rsidR="007376E1" w:rsidRPr="001570EA" w:rsidRDefault="007376E1">
            <w:pPr>
              <w:pStyle w:val="TableCell"/>
              <w:keepNext w:val="0"/>
              <w:spacing w:before="60" w:after="60"/>
              <w:jc w:val="center"/>
              <w:rPr>
                <w:szCs w:val="18"/>
              </w:rPr>
            </w:pPr>
            <w:r w:rsidRPr="001570EA">
              <w:rPr>
                <w:szCs w:val="18"/>
              </w:rPr>
              <w:t>119</w:t>
            </w:r>
          </w:p>
        </w:tc>
        <w:tc>
          <w:tcPr>
            <w:tcW w:w="1710" w:type="dxa"/>
            <w:vAlign w:val="center"/>
          </w:tcPr>
          <w:p w14:paraId="486C8A2E" w14:textId="77777777" w:rsidR="007376E1" w:rsidRPr="001570EA" w:rsidRDefault="007376E1">
            <w:pPr>
              <w:jc w:val="center"/>
              <w:rPr>
                <w:sz w:val="18"/>
                <w:szCs w:val="18"/>
              </w:rPr>
            </w:pPr>
            <w:r w:rsidRPr="001570EA">
              <w:rPr>
                <w:sz w:val="18"/>
                <w:szCs w:val="18"/>
              </w:rPr>
              <w:t>4</w:t>
            </w:r>
          </w:p>
        </w:tc>
      </w:tr>
      <w:tr w:rsidR="007376E1" w:rsidRPr="001570EA" w14:paraId="5573ACD7" w14:textId="77777777">
        <w:trPr>
          <w:trHeight w:val="323"/>
        </w:trPr>
        <w:tc>
          <w:tcPr>
            <w:tcW w:w="3690" w:type="dxa"/>
            <w:vAlign w:val="center"/>
          </w:tcPr>
          <w:p w14:paraId="522C8EF5" w14:textId="77777777" w:rsidR="007376E1" w:rsidRPr="001570EA" w:rsidRDefault="003B5E04">
            <w:pPr>
              <w:rPr>
                <w:sz w:val="18"/>
                <w:szCs w:val="18"/>
              </w:rPr>
            </w:pPr>
            <m:oMath>
              <m:sSub>
                <m:sSubPr>
                  <m:ctrlPr>
                    <w:rPr>
                      <w:rFonts w:ascii="Cambria Math" w:hAnsi="Cambria Math"/>
                      <w:i/>
                    </w:rPr>
                  </m:ctrlPr>
                </m:sSubPr>
                <m:e>
                  <m:r>
                    <w:rPr>
                      <w:rFonts w:ascii="Cambria Math" w:hAnsi="Cambria Math"/>
                    </w:rPr>
                    <m:t>T</m:t>
                  </m:r>
                </m:e>
                <m:sub>
                  <m:r>
                    <w:rPr>
                      <w:rFonts w:ascii="Cambria Math" w:hAnsi="Cambria Math"/>
                    </w:rPr>
                    <m:t>cold</m:t>
                  </m:r>
                </m:sub>
              </m:sSub>
            </m:oMath>
            <w:r w:rsidR="007376E1" w:rsidRPr="001570EA">
              <w:t>,</w:t>
            </w:r>
            <w:r w:rsidR="007376E1" w:rsidRPr="001570EA">
              <w:rPr>
                <w:sz w:val="18"/>
                <w:szCs w:val="18"/>
                <w:vertAlign w:val="subscript"/>
              </w:rPr>
              <w:t xml:space="preserve"> </w:t>
            </w:r>
            <w:r w:rsidR="007376E1" w:rsidRPr="001570EA">
              <w:rPr>
                <w:sz w:val="18"/>
                <w:szCs w:val="18"/>
              </w:rPr>
              <w:t>Cold Water Temperature</w:t>
            </w:r>
          </w:p>
        </w:tc>
        <w:tc>
          <w:tcPr>
            <w:tcW w:w="1327" w:type="dxa"/>
            <w:vAlign w:val="center"/>
          </w:tcPr>
          <w:p w14:paraId="1275324F" w14:textId="77777777" w:rsidR="007376E1" w:rsidRPr="001570EA" w:rsidRDefault="007376E1">
            <w:pPr>
              <w:jc w:val="center"/>
              <w:rPr>
                <w:sz w:val="18"/>
                <w:szCs w:val="18"/>
              </w:rPr>
            </w:pPr>
            <w:r w:rsidRPr="001570EA">
              <w:rPr>
                <w:i/>
                <w:iCs/>
                <w:sz w:val="18"/>
                <w:szCs w:val="18"/>
              </w:rPr>
              <w:t>°F</w:t>
            </w:r>
          </w:p>
        </w:tc>
        <w:tc>
          <w:tcPr>
            <w:tcW w:w="1913" w:type="dxa"/>
            <w:vAlign w:val="center"/>
          </w:tcPr>
          <w:p w14:paraId="3517CA5B" w14:textId="77777777" w:rsidR="007376E1" w:rsidRPr="001570EA" w:rsidRDefault="007376E1">
            <w:pPr>
              <w:jc w:val="center"/>
              <w:rPr>
                <w:sz w:val="18"/>
                <w:szCs w:val="18"/>
              </w:rPr>
            </w:pPr>
            <w:r w:rsidRPr="001570EA">
              <w:rPr>
                <w:sz w:val="18"/>
                <w:szCs w:val="18"/>
              </w:rPr>
              <w:t>52</w:t>
            </w:r>
          </w:p>
        </w:tc>
        <w:tc>
          <w:tcPr>
            <w:tcW w:w="1710" w:type="dxa"/>
            <w:vAlign w:val="center"/>
          </w:tcPr>
          <w:p w14:paraId="6CBACDBD" w14:textId="77777777" w:rsidR="007376E1" w:rsidRPr="001570EA" w:rsidRDefault="007376E1">
            <w:pPr>
              <w:jc w:val="center"/>
              <w:rPr>
                <w:sz w:val="18"/>
                <w:szCs w:val="18"/>
              </w:rPr>
            </w:pPr>
            <w:r w:rsidRPr="001570EA">
              <w:rPr>
                <w:sz w:val="18"/>
                <w:szCs w:val="18"/>
              </w:rPr>
              <w:t>5</w:t>
            </w:r>
          </w:p>
        </w:tc>
      </w:tr>
      <w:tr w:rsidR="007376E1" w:rsidRPr="001570EA" w14:paraId="38639E88" w14:textId="77777777">
        <w:trPr>
          <w:trHeight w:val="650"/>
        </w:trPr>
        <w:tc>
          <w:tcPr>
            <w:tcW w:w="3690" w:type="dxa"/>
            <w:vAlign w:val="center"/>
          </w:tcPr>
          <w:p w14:paraId="51BAA492" w14:textId="0571AC71" w:rsidR="007376E1" w:rsidRPr="001570EA" w:rsidRDefault="007376E1">
            <w:r w:rsidRPr="001570EA">
              <w:rPr>
                <w:rFonts w:ascii="Cambria Math" w:hAnsi="Cambria Math"/>
                <w:i/>
                <w:iCs/>
                <w:sz w:val="18"/>
                <w:szCs w:val="18"/>
              </w:rPr>
              <w:t>UEF</w:t>
            </w:r>
            <w:r w:rsidRPr="001570EA">
              <w:rPr>
                <w:rFonts w:ascii="Cambria Math" w:hAnsi="Cambria Math"/>
                <w:i/>
                <w:iCs/>
                <w:sz w:val="18"/>
                <w:szCs w:val="18"/>
                <w:vertAlign w:val="subscript"/>
              </w:rPr>
              <w:t>base</w:t>
            </w:r>
            <w:r w:rsidRPr="001570EA">
              <w:rPr>
                <w:sz w:val="18"/>
                <w:szCs w:val="18"/>
              </w:rPr>
              <w:t xml:space="preserve">, Uniform </w:t>
            </w:r>
            <w:r w:rsidRPr="001570EA">
              <w:rPr>
                <w:rFonts w:cs="Arial"/>
                <w:sz w:val="18"/>
                <w:szCs w:val="18"/>
              </w:rPr>
              <w:t>Energy Factor of Electric Water Heater</w:t>
            </w:r>
          </w:p>
        </w:tc>
        <w:tc>
          <w:tcPr>
            <w:tcW w:w="1327" w:type="dxa"/>
            <w:vAlign w:val="center"/>
          </w:tcPr>
          <w:p w14:paraId="00486789" w14:textId="77777777" w:rsidR="007376E1" w:rsidRPr="001570EA" w:rsidRDefault="007376E1">
            <w:pPr>
              <w:jc w:val="center"/>
              <w:rPr>
                <w:i/>
                <w:iCs/>
                <w:sz w:val="18"/>
                <w:szCs w:val="18"/>
              </w:rPr>
            </w:pPr>
            <w:r w:rsidRPr="001570EA">
              <w:rPr>
                <w:i/>
                <w:iCs/>
                <w:sz w:val="18"/>
                <w:szCs w:val="18"/>
              </w:rPr>
              <w:t>None</w:t>
            </w:r>
          </w:p>
        </w:tc>
        <w:tc>
          <w:tcPr>
            <w:tcW w:w="1913" w:type="dxa"/>
            <w:vAlign w:val="center"/>
          </w:tcPr>
          <w:p w14:paraId="74B894DC" w14:textId="77777777" w:rsidR="007376E1" w:rsidRPr="001570EA" w:rsidRDefault="007376E1">
            <w:pPr>
              <w:jc w:val="center"/>
              <w:rPr>
                <w:sz w:val="18"/>
                <w:szCs w:val="18"/>
              </w:rPr>
            </w:pPr>
            <w:r w:rsidRPr="001570EA">
              <w:rPr>
                <w:sz w:val="18"/>
                <w:szCs w:val="18"/>
              </w:rPr>
              <w:t>EDC Data Gathering,</w:t>
            </w:r>
          </w:p>
          <w:p w14:paraId="6833AE90" w14:textId="77777777" w:rsidR="007376E1" w:rsidRPr="001570EA" w:rsidRDefault="007376E1">
            <w:pPr>
              <w:jc w:val="center"/>
              <w:rPr>
                <w:sz w:val="18"/>
                <w:szCs w:val="18"/>
              </w:rPr>
            </w:pPr>
            <w:r w:rsidRPr="001570EA">
              <w:rPr>
                <w:sz w:val="18"/>
                <w:szCs w:val="18"/>
              </w:rPr>
              <w:t>Default: 0.92</w:t>
            </w:r>
          </w:p>
        </w:tc>
        <w:tc>
          <w:tcPr>
            <w:tcW w:w="1710" w:type="dxa"/>
            <w:vAlign w:val="center"/>
          </w:tcPr>
          <w:p w14:paraId="21BCAF18" w14:textId="77777777" w:rsidR="007376E1" w:rsidRPr="001570EA" w:rsidRDefault="007376E1">
            <w:pPr>
              <w:jc w:val="center"/>
              <w:rPr>
                <w:sz w:val="18"/>
                <w:szCs w:val="18"/>
              </w:rPr>
            </w:pPr>
            <w:r w:rsidRPr="001570EA">
              <w:rPr>
                <w:sz w:val="18"/>
                <w:szCs w:val="18"/>
              </w:rPr>
              <w:t>EDC Data Gathering,</w:t>
            </w:r>
          </w:p>
          <w:p w14:paraId="5E95EAF5" w14:textId="77777777" w:rsidR="007376E1" w:rsidRPr="001570EA" w:rsidRDefault="007376E1">
            <w:pPr>
              <w:jc w:val="center"/>
            </w:pPr>
            <w:r w:rsidRPr="001570EA">
              <w:rPr>
                <w:sz w:val="18"/>
                <w:szCs w:val="18"/>
              </w:rPr>
              <w:t>6</w:t>
            </w:r>
          </w:p>
        </w:tc>
      </w:tr>
      <w:tr w:rsidR="007376E1" w:rsidRPr="001570EA" w14:paraId="76824C60" w14:textId="77777777">
        <w:trPr>
          <w:trHeight w:val="1310"/>
        </w:trPr>
        <w:tc>
          <w:tcPr>
            <w:tcW w:w="3690" w:type="dxa"/>
            <w:vAlign w:val="center"/>
          </w:tcPr>
          <w:p w14:paraId="019B91C9" w14:textId="77777777" w:rsidR="007B794B" w:rsidRPr="001570EA" w:rsidRDefault="003B5E04">
            <w:pPr>
              <w:rPr>
                <w:i/>
                <w:iCs/>
                <w:sz w:val="18"/>
                <w:szCs w:val="18"/>
              </w:rPr>
            </w:pPr>
            <m:oMath>
              <m:sSub>
                <m:sSubPr>
                  <m:ctrlPr>
                    <w:rPr>
                      <w:rFonts w:ascii="Cambria Math" w:hAnsi="Cambria Math"/>
                      <w:i/>
                    </w:rPr>
                  </m:ctrlPr>
                </m:sSubPr>
                <m:e>
                  <m:r>
                    <w:rPr>
                      <w:rFonts w:ascii="Cambria Math" w:hAnsi="Cambria Math"/>
                    </w:rPr>
                    <m:t>ETDF</m:t>
                  </m:r>
                </m:e>
                <m:sub>
                  <m:r>
                    <w:rPr>
                      <w:rFonts w:ascii="Cambria Math" w:hAnsi="Cambria Math"/>
                    </w:rPr>
                    <m:t>summer</m:t>
                  </m:r>
                </m:sub>
              </m:sSub>
            </m:oMath>
            <w:r w:rsidR="007376E1" w:rsidRPr="001570EA">
              <w:rPr>
                <w:rFonts w:cs="Arial"/>
                <w:sz w:val="18"/>
                <w:szCs w:val="18"/>
              </w:rPr>
              <w:t>, Energy to Demand Factor</w:t>
            </w:r>
          </w:p>
          <w:p w14:paraId="60C5A5F7" w14:textId="710031BA" w:rsidR="007376E1" w:rsidRPr="001570EA" w:rsidRDefault="007376E1">
            <w:pPr>
              <w:rPr>
                <w:i/>
                <w:iCs/>
                <w:sz w:val="18"/>
                <w:szCs w:val="18"/>
              </w:rPr>
            </w:pPr>
          </w:p>
        </w:tc>
        <w:tc>
          <w:tcPr>
            <w:tcW w:w="1327" w:type="dxa"/>
            <w:vAlign w:val="center"/>
          </w:tcPr>
          <w:p w14:paraId="197CD76A" w14:textId="77777777" w:rsidR="007376E1" w:rsidRPr="001570EA" w:rsidRDefault="007376E1">
            <w:pPr>
              <w:jc w:val="center"/>
              <w:rPr>
                <w:i/>
                <w:iCs/>
                <w:sz w:val="18"/>
                <w:szCs w:val="18"/>
              </w:rPr>
            </w:pPr>
            <w:r w:rsidRPr="001570EA">
              <w:rPr>
                <w:i/>
                <w:iCs/>
                <w:sz w:val="18"/>
                <w:szCs w:val="18"/>
              </w:rPr>
              <w:t>kW/kWh/year</w:t>
            </w:r>
          </w:p>
        </w:tc>
        <w:tc>
          <w:tcPr>
            <w:tcW w:w="1913" w:type="dxa"/>
            <w:vAlign w:val="center"/>
          </w:tcPr>
          <w:p w14:paraId="6560B973" w14:textId="458D9897" w:rsidR="007376E1" w:rsidRPr="001570EA" w:rsidRDefault="00F14BC8">
            <w:pPr>
              <w:jc w:val="center"/>
              <w:rPr>
                <w:sz w:val="18"/>
                <w:szCs w:val="18"/>
              </w:rPr>
            </w:pPr>
            <w:r w:rsidRPr="001570EA">
              <w:rPr>
                <w:sz w:val="18"/>
                <w:szCs w:val="18"/>
              </w:rPr>
              <w:fldChar w:fldCharType="begin"/>
            </w:r>
            <w:r w:rsidRPr="001570EA">
              <w:rPr>
                <w:sz w:val="18"/>
                <w:szCs w:val="18"/>
              </w:rPr>
              <w:instrText xml:space="preserve"> REF _Ref163904669 \h </w:instrText>
            </w:r>
            <w:r w:rsidR="001570EA">
              <w:rPr>
                <w:sz w:val="18"/>
                <w:szCs w:val="18"/>
              </w:rPr>
              <w:instrText xml:space="preserve"> \* MERGEFORMAT </w:instrText>
            </w:r>
            <w:r w:rsidRPr="001570EA">
              <w:rPr>
                <w:sz w:val="18"/>
                <w:szCs w:val="18"/>
              </w:rPr>
            </w:r>
            <w:r w:rsidRPr="001570EA">
              <w:rPr>
                <w:sz w:val="18"/>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27</w:t>
            </w:r>
            <w:r w:rsidRPr="001570EA">
              <w:rPr>
                <w:sz w:val="18"/>
                <w:szCs w:val="18"/>
              </w:rPr>
              <w:fldChar w:fldCharType="end"/>
            </w:r>
          </w:p>
        </w:tc>
        <w:tc>
          <w:tcPr>
            <w:tcW w:w="1710" w:type="dxa"/>
            <w:vAlign w:val="center"/>
          </w:tcPr>
          <w:p w14:paraId="4AB7569B" w14:textId="77777777" w:rsidR="007376E1" w:rsidRPr="001570EA" w:rsidRDefault="007376E1">
            <w:pPr>
              <w:jc w:val="center"/>
              <w:rPr>
                <w:sz w:val="18"/>
                <w:szCs w:val="18"/>
              </w:rPr>
            </w:pPr>
            <w:r w:rsidRPr="001570EA">
              <w:rPr>
                <w:sz w:val="18"/>
                <w:szCs w:val="18"/>
              </w:rPr>
              <w:t>8</w:t>
            </w:r>
          </w:p>
        </w:tc>
      </w:tr>
    </w:tbl>
    <w:p w14:paraId="0A029366" w14:textId="77777777" w:rsidR="007376E1" w:rsidRPr="001570EA" w:rsidRDefault="007376E1" w:rsidP="007376E1">
      <w:pPr>
        <w:pStyle w:val="Equation"/>
        <w:tabs>
          <w:tab w:val="clear" w:pos="2880"/>
          <w:tab w:val="left" w:pos="2160"/>
        </w:tabs>
        <w:rPr>
          <w:i w:val="0"/>
        </w:rPr>
      </w:pPr>
    </w:p>
    <w:p w14:paraId="1FDD75D1" w14:textId="77777777" w:rsidR="007376E1" w:rsidRPr="001570EA" w:rsidRDefault="007376E1" w:rsidP="007376E1">
      <w:pPr>
        <w:jc w:val="left"/>
        <w:rPr>
          <w:rFonts w:eastAsia="Calibri"/>
          <w:szCs w:val="16"/>
        </w:rPr>
      </w:pPr>
      <w:r w:rsidRPr="001570EA">
        <w:rPr>
          <w:i/>
        </w:rPr>
        <w:br w:type="page"/>
      </w:r>
    </w:p>
    <w:p w14:paraId="0DFD8A87" w14:textId="7444959E" w:rsidR="007376E1" w:rsidRPr="001570EA" w:rsidRDefault="00986BC6" w:rsidP="007376E1">
      <w:pPr>
        <w:pStyle w:val="Caption"/>
      </w:pPr>
      <w:bookmarkStart w:id="237" w:name="_Ref163904669"/>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27</w:t>
      </w:r>
      <w:r w:rsidR="002E093A" w:rsidRPr="001570EA">
        <w:fldChar w:fldCharType="end"/>
      </w:r>
      <w:bookmarkEnd w:id="237"/>
      <w:r w:rsidRPr="001570EA">
        <w:t xml:space="preserve">: </w:t>
      </w:r>
      <w:r w:rsidR="00D41283" w:rsidRPr="001570EA">
        <w:t xml:space="preserve">Energy to Demand Factor </w:t>
      </w:r>
      <w:r w:rsidR="00F14BC8" w:rsidRPr="001570EA">
        <w:t>f</w:t>
      </w:r>
      <w:r w:rsidRPr="001570EA">
        <w:t>or GSHP Desuperheater</w:t>
      </w:r>
    </w:p>
    <w:tbl>
      <w:tblPr>
        <w:tblStyle w:val="TableGrid"/>
        <w:tblW w:w="6860" w:type="dxa"/>
        <w:tblInd w:w="108" w:type="dxa"/>
        <w:tblLayout w:type="fixed"/>
        <w:tblLook w:val="04A0" w:firstRow="1" w:lastRow="0" w:firstColumn="1" w:lastColumn="0" w:noHBand="0" w:noVBand="1"/>
      </w:tblPr>
      <w:tblGrid>
        <w:gridCol w:w="4768"/>
        <w:gridCol w:w="2092"/>
      </w:tblGrid>
      <w:tr w:rsidR="007376E1" w:rsidRPr="001570EA" w14:paraId="7D6B8EC3" w14:textId="77777777">
        <w:trPr>
          <w:trHeight w:val="266"/>
          <w:tblHeader/>
        </w:trPr>
        <w:tc>
          <w:tcPr>
            <w:tcW w:w="4768" w:type="dxa"/>
            <w:shd w:val="clear" w:color="auto" w:fill="BFBFBF" w:themeFill="background1" w:themeFillShade="BF"/>
            <w:vAlign w:val="center"/>
          </w:tcPr>
          <w:p w14:paraId="52B807FA" w14:textId="77777777" w:rsidR="007376E1" w:rsidRPr="001570EA" w:rsidRDefault="007376E1">
            <w:pPr>
              <w:rPr>
                <w:sz w:val="18"/>
                <w:szCs w:val="18"/>
              </w:rPr>
            </w:pPr>
            <w:r w:rsidRPr="001570EA">
              <w:rPr>
                <w:b/>
                <w:bCs/>
                <w:sz w:val="18"/>
                <w:szCs w:val="18"/>
              </w:rPr>
              <w:t>Building Type</w:t>
            </w:r>
          </w:p>
        </w:tc>
        <w:tc>
          <w:tcPr>
            <w:tcW w:w="2092" w:type="dxa"/>
            <w:shd w:val="clear" w:color="auto" w:fill="BFBFBF" w:themeFill="background1" w:themeFillShade="BF"/>
            <w:vAlign w:val="center"/>
          </w:tcPr>
          <w:p w14:paraId="7916DEBA" w14:textId="77777777" w:rsidR="007376E1" w:rsidRPr="001570EA" w:rsidRDefault="003B5E04">
            <w:pPr>
              <w:jc w:val="center"/>
              <w:rPr>
                <w:b/>
                <w:bCs/>
                <w:sz w:val="18"/>
                <w:szCs w:val="18"/>
              </w:rPr>
            </w:pPr>
            <m:oMathPara>
              <m:oMath>
                <m:sSub>
                  <m:sSubPr>
                    <m:ctrlPr>
                      <w:rPr>
                        <w:rFonts w:ascii="Cambria Math" w:hAnsi="Cambria Math"/>
                        <w:b/>
                        <w:bCs/>
                        <w:i/>
                      </w:rPr>
                    </m:ctrlPr>
                  </m:sSubPr>
                  <m:e>
                    <m:r>
                      <m:rPr>
                        <m:sty m:val="bi"/>
                      </m:rPr>
                      <w:rPr>
                        <w:rFonts w:ascii="Cambria Math" w:hAnsi="Cambria Math"/>
                      </w:rPr>
                      <m:t>ETDF</m:t>
                    </m:r>
                  </m:e>
                  <m:sub>
                    <m:r>
                      <m:rPr>
                        <m:sty m:val="bi"/>
                      </m:rPr>
                      <w:rPr>
                        <w:rFonts w:ascii="Cambria Math" w:hAnsi="Cambria Math"/>
                      </w:rPr>
                      <m:t>summer</m:t>
                    </m:r>
                  </m:sub>
                </m:sSub>
              </m:oMath>
            </m:oMathPara>
          </w:p>
        </w:tc>
      </w:tr>
      <w:tr w:rsidR="007376E1" w:rsidRPr="001570EA" w14:paraId="4E0A6A8F" w14:textId="77777777">
        <w:trPr>
          <w:trHeight w:val="365"/>
        </w:trPr>
        <w:tc>
          <w:tcPr>
            <w:tcW w:w="4768" w:type="dxa"/>
            <w:vAlign w:val="center"/>
          </w:tcPr>
          <w:p w14:paraId="2250BF29" w14:textId="77777777" w:rsidR="007376E1" w:rsidRPr="001570EA" w:rsidRDefault="007376E1">
            <w:pPr>
              <w:rPr>
                <w:sz w:val="18"/>
                <w:szCs w:val="18"/>
              </w:rPr>
            </w:pPr>
            <w:r w:rsidRPr="001570EA">
              <w:rPr>
                <w:sz w:val="18"/>
                <w:szCs w:val="18"/>
              </w:rPr>
              <w:t>Mobile Home</w:t>
            </w:r>
          </w:p>
        </w:tc>
        <w:tc>
          <w:tcPr>
            <w:tcW w:w="2092" w:type="dxa"/>
            <w:vAlign w:val="bottom"/>
          </w:tcPr>
          <w:p w14:paraId="0EC2462A" w14:textId="77777777" w:rsidR="007376E1" w:rsidRPr="001570EA" w:rsidRDefault="007376E1">
            <w:pPr>
              <w:jc w:val="center"/>
              <w:rPr>
                <w:rFonts w:cs="Arial"/>
                <w:i/>
                <w:iCs/>
                <w:sz w:val="18"/>
                <w:szCs w:val="18"/>
              </w:rPr>
            </w:pPr>
            <w:r w:rsidRPr="001570EA">
              <w:rPr>
                <w:rFonts w:cs="Arial"/>
                <w:color w:val="000000"/>
                <w:sz w:val="18"/>
                <w:szCs w:val="18"/>
              </w:rPr>
              <w:t>0.0001011</w:t>
            </w:r>
          </w:p>
        </w:tc>
      </w:tr>
      <w:tr w:rsidR="007376E1" w:rsidRPr="001570EA" w14:paraId="10A32565" w14:textId="77777777">
        <w:trPr>
          <w:trHeight w:val="365"/>
        </w:trPr>
        <w:tc>
          <w:tcPr>
            <w:tcW w:w="4768" w:type="dxa"/>
            <w:vAlign w:val="center"/>
          </w:tcPr>
          <w:p w14:paraId="00A6DDB9" w14:textId="77777777" w:rsidR="007376E1" w:rsidRPr="001570EA" w:rsidRDefault="007376E1">
            <w:pPr>
              <w:rPr>
                <w:sz w:val="18"/>
                <w:szCs w:val="18"/>
              </w:rPr>
            </w:pPr>
            <w:r w:rsidRPr="001570EA">
              <w:rPr>
                <w:sz w:val="18"/>
                <w:szCs w:val="18"/>
              </w:rPr>
              <w:t>Multi-Family with 2 - 4 Units</w:t>
            </w:r>
          </w:p>
        </w:tc>
        <w:tc>
          <w:tcPr>
            <w:tcW w:w="2092" w:type="dxa"/>
            <w:vAlign w:val="bottom"/>
          </w:tcPr>
          <w:p w14:paraId="1C94B9A8" w14:textId="77777777" w:rsidR="007376E1" w:rsidRPr="001570EA" w:rsidRDefault="007376E1">
            <w:pPr>
              <w:jc w:val="center"/>
              <w:rPr>
                <w:rFonts w:cs="Arial"/>
                <w:i/>
                <w:iCs/>
                <w:sz w:val="18"/>
                <w:szCs w:val="18"/>
              </w:rPr>
            </w:pPr>
            <w:r w:rsidRPr="001570EA">
              <w:rPr>
                <w:rFonts w:cs="Arial"/>
                <w:color w:val="000000"/>
                <w:sz w:val="18"/>
                <w:szCs w:val="18"/>
              </w:rPr>
              <w:t>0.0001006</w:t>
            </w:r>
          </w:p>
        </w:tc>
      </w:tr>
      <w:tr w:rsidR="007376E1" w:rsidRPr="001570EA" w14:paraId="3EBB2061" w14:textId="77777777">
        <w:trPr>
          <w:trHeight w:val="290"/>
        </w:trPr>
        <w:tc>
          <w:tcPr>
            <w:tcW w:w="4768" w:type="dxa"/>
            <w:vAlign w:val="center"/>
          </w:tcPr>
          <w:p w14:paraId="5DDE5DFB" w14:textId="77777777" w:rsidR="007376E1" w:rsidRPr="001570EA" w:rsidRDefault="007376E1">
            <w:pPr>
              <w:rPr>
                <w:sz w:val="18"/>
                <w:szCs w:val="18"/>
              </w:rPr>
            </w:pPr>
            <w:r w:rsidRPr="001570EA">
              <w:rPr>
                <w:sz w:val="18"/>
                <w:szCs w:val="18"/>
              </w:rPr>
              <w:t>Multi-Family with 5+ Units</w:t>
            </w:r>
          </w:p>
        </w:tc>
        <w:tc>
          <w:tcPr>
            <w:tcW w:w="2092" w:type="dxa"/>
            <w:vAlign w:val="bottom"/>
          </w:tcPr>
          <w:p w14:paraId="36C856EA" w14:textId="77777777" w:rsidR="007376E1" w:rsidRPr="001570EA" w:rsidRDefault="007376E1">
            <w:pPr>
              <w:jc w:val="center"/>
              <w:rPr>
                <w:rFonts w:cs="Arial"/>
                <w:sz w:val="18"/>
                <w:szCs w:val="18"/>
              </w:rPr>
            </w:pPr>
            <w:r w:rsidRPr="001570EA">
              <w:rPr>
                <w:rFonts w:cs="Arial"/>
                <w:color w:val="000000"/>
                <w:sz w:val="18"/>
                <w:szCs w:val="18"/>
              </w:rPr>
              <w:t>0.0001007</w:t>
            </w:r>
          </w:p>
        </w:tc>
      </w:tr>
      <w:tr w:rsidR="007376E1" w:rsidRPr="001570EA" w14:paraId="29EA28ED" w14:textId="77777777">
        <w:trPr>
          <w:trHeight w:val="355"/>
        </w:trPr>
        <w:tc>
          <w:tcPr>
            <w:tcW w:w="4768" w:type="dxa"/>
            <w:vAlign w:val="center"/>
          </w:tcPr>
          <w:p w14:paraId="2BD60D1F" w14:textId="77777777" w:rsidR="007376E1" w:rsidRPr="001570EA" w:rsidRDefault="007376E1">
            <w:pPr>
              <w:rPr>
                <w:sz w:val="18"/>
                <w:szCs w:val="18"/>
              </w:rPr>
            </w:pPr>
            <w:r w:rsidRPr="001570EA">
              <w:rPr>
                <w:sz w:val="18"/>
                <w:szCs w:val="18"/>
              </w:rPr>
              <w:t>Single-Family Attached</w:t>
            </w:r>
          </w:p>
        </w:tc>
        <w:tc>
          <w:tcPr>
            <w:tcW w:w="2092" w:type="dxa"/>
            <w:vAlign w:val="bottom"/>
          </w:tcPr>
          <w:p w14:paraId="4DC2169B" w14:textId="77777777" w:rsidR="007376E1" w:rsidRPr="001570EA" w:rsidRDefault="007376E1">
            <w:pPr>
              <w:jc w:val="center"/>
              <w:rPr>
                <w:rFonts w:cs="Arial"/>
                <w:sz w:val="18"/>
                <w:szCs w:val="18"/>
              </w:rPr>
            </w:pPr>
            <w:r w:rsidRPr="001570EA">
              <w:rPr>
                <w:rFonts w:cs="Arial"/>
                <w:color w:val="000000"/>
                <w:sz w:val="18"/>
                <w:szCs w:val="18"/>
              </w:rPr>
              <w:t>0.0001026</w:t>
            </w:r>
          </w:p>
        </w:tc>
      </w:tr>
      <w:tr w:rsidR="007376E1" w:rsidRPr="001570EA" w14:paraId="2DDE83FC" w14:textId="77777777">
        <w:trPr>
          <w:trHeight w:val="394"/>
        </w:trPr>
        <w:tc>
          <w:tcPr>
            <w:tcW w:w="4768" w:type="dxa"/>
            <w:vAlign w:val="center"/>
          </w:tcPr>
          <w:p w14:paraId="1730E62A" w14:textId="77777777" w:rsidR="007376E1" w:rsidRPr="001570EA" w:rsidRDefault="007376E1">
            <w:pPr>
              <w:rPr>
                <w:sz w:val="18"/>
                <w:szCs w:val="18"/>
              </w:rPr>
            </w:pPr>
            <w:r w:rsidRPr="001570EA">
              <w:rPr>
                <w:sz w:val="18"/>
                <w:szCs w:val="18"/>
              </w:rPr>
              <w:t>Single-Family Detached</w:t>
            </w:r>
          </w:p>
        </w:tc>
        <w:tc>
          <w:tcPr>
            <w:tcW w:w="2092" w:type="dxa"/>
            <w:vAlign w:val="bottom"/>
          </w:tcPr>
          <w:p w14:paraId="49FA9979" w14:textId="77777777" w:rsidR="007376E1" w:rsidRPr="001570EA" w:rsidRDefault="007376E1">
            <w:pPr>
              <w:jc w:val="center"/>
              <w:rPr>
                <w:rFonts w:cs="Arial"/>
                <w:i/>
                <w:iCs/>
                <w:sz w:val="18"/>
                <w:szCs w:val="18"/>
              </w:rPr>
            </w:pPr>
            <w:r w:rsidRPr="001570EA">
              <w:rPr>
                <w:rFonts w:cs="Arial"/>
                <w:color w:val="000000"/>
                <w:sz w:val="18"/>
                <w:szCs w:val="18"/>
              </w:rPr>
              <w:t>0.0001070</w:t>
            </w:r>
          </w:p>
        </w:tc>
      </w:tr>
    </w:tbl>
    <w:p w14:paraId="4C7A29E5" w14:textId="77777777" w:rsidR="007376E1" w:rsidRPr="001570EA" w:rsidRDefault="007376E1" w:rsidP="007376E1">
      <w:pPr>
        <w:pStyle w:val="Equation"/>
        <w:tabs>
          <w:tab w:val="clear" w:pos="2880"/>
          <w:tab w:val="left" w:pos="2160"/>
        </w:tabs>
        <w:rPr>
          <w:i w:val="0"/>
        </w:rPr>
      </w:pPr>
    </w:p>
    <w:p w14:paraId="05A61DBF" w14:textId="77777777" w:rsidR="007376E1" w:rsidRPr="001570EA" w:rsidRDefault="007376E1" w:rsidP="007376E1">
      <w:pPr>
        <w:pStyle w:val="SubStyle"/>
      </w:pPr>
      <w:r w:rsidRPr="001570EA">
        <w:t>Evaluation Protocols</w:t>
      </w:r>
    </w:p>
    <w:p w14:paraId="515ABD25" w14:textId="09F59FC7" w:rsidR="007376E1" w:rsidRPr="001570EA" w:rsidRDefault="007376E1" w:rsidP="007376E1">
      <w:pPr>
        <w:pStyle w:val="BodyText"/>
        <w:ind w:right="0"/>
      </w:pPr>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211720DD" w14:textId="77777777" w:rsidR="007376E1" w:rsidRPr="001570EA" w:rsidRDefault="007376E1" w:rsidP="007376E1">
      <w:pPr>
        <w:pStyle w:val="BodyText"/>
        <w:ind w:right="0"/>
      </w:pPr>
    </w:p>
    <w:p w14:paraId="0F5491C2" w14:textId="77777777" w:rsidR="007376E1" w:rsidRPr="001570EA" w:rsidRDefault="007376E1" w:rsidP="007376E1">
      <w:pPr>
        <w:pStyle w:val="SubStyle"/>
      </w:pPr>
      <w:r w:rsidRPr="001570EA">
        <w:t>Sources</w:t>
      </w:r>
    </w:p>
    <w:p w14:paraId="3A68804A" w14:textId="74F117C8" w:rsidR="007376E1" w:rsidRPr="001570EA" w:rsidRDefault="007376E1" w:rsidP="002614D2">
      <w:pPr>
        <w:pStyle w:val="source10"/>
        <w:numPr>
          <w:ilvl w:val="0"/>
          <w:numId w:val="33"/>
        </w:numPr>
        <w:tabs>
          <w:tab w:val="clear" w:pos="810"/>
        </w:tabs>
        <w:spacing w:after="120"/>
        <w:ind w:left="360"/>
        <w:jc w:val="left"/>
        <w:textAlignment w:val="auto"/>
      </w:pPr>
      <w:r w:rsidRPr="001570EA">
        <w:t>NY TRM (October 2023, V11) Heat PUMP – Water-to-Air Ground Source (GSHP) Appendix P, Effective Useful Life (EUL, Single and Multi-Family Residential Measures, Heat Pump – Ground Source</w:t>
      </w:r>
      <w:r w:rsidR="00AB4371">
        <w:t>.</w:t>
      </w:r>
      <w:r w:rsidRPr="001570EA">
        <w:t xml:space="preserve"> </w:t>
      </w:r>
      <w:hyperlink r:id="rId72" w:history="1">
        <w:r w:rsidRPr="001570EA">
          <w:rPr>
            <w:rStyle w:val="Hyperlink"/>
            <w:rFonts w:cs="Arial"/>
          </w:rPr>
          <w:t>Weblink</w:t>
        </w:r>
      </w:hyperlink>
      <w:r w:rsidRPr="001570EA">
        <w:t xml:space="preserve"> </w:t>
      </w:r>
      <w:r w:rsidRPr="001570EA">
        <w:br/>
        <w:t xml:space="preserve">The Desuperheater is assumed to have an equal EUL of a GSHP (25 Years). With the rulings of Act 129 the EUL for this measure will be capped at 15 years. </w:t>
      </w:r>
    </w:p>
    <w:p w14:paraId="560E754B" w14:textId="77777777" w:rsidR="007376E1" w:rsidRPr="001570EA" w:rsidRDefault="007376E1" w:rsidP="002614D2">
      <w:pPr>
        <w:pStyle w:val="source10"/>
        <w:numPr>
          <w:ilvl w:val="0"/>
          <w:numId w:val="33"/>
        </w:numPr>
        <w:tabs>
          <w:tab w:val="clear" w:pos="810"/>
        </w:tabs>
        <w:spacing w:after="120"/>
        <w:ind w:left="360"/>
        <w:textAlignment w:val="auto"/>
      </w:pPr>
      <w:r w:rsidRPr="001570EA">
        <w:t>“Residential Ground Source Heat Pumps with Integrated Domestic Hot Water Generation: Performance Results from Long-Term Monitoring”, U.S. Department of Energy, November 2012.</w:t>
      </w:r>
    </w:p>
    <w:p w14:paraId="03B692FE" w14:textId="77777777" w:rsidR="007376E1" w:rsidRPr="001570EA" w:rsidRDefault="007376E1" w:rsidP="002614D2">
      <w:pPr>
        <w:pStyle w:val="source10"/>
        <w:numPr>
          <w:ilvl w:val="0"/>
          <w:numId w:val="33"/>
        </w:numPr>
        <w:tabs>
          <w:tab w:val="clear" w:pos="810"/>
        </w:tabs>
        <w:spacing w:after="120"/>
        <w:ind w:left="360"/>
        <w:textAlignment w:val="auto"/>
      </w:pPr>
      <w:r w:rsidRPr="001570EA">
        <w:t>Desuperheater Study, New England Electric System, 1998 42 U.S.C.A 6295(i) (West Supp. 2011) and 10 C.F.R. 430.32 (x) (2011).</w:t>
      </w:r>
    </w:p>
    <w:p w14:paraId="0E31DE76" w14:textId="532D19FD" w:rsidR="007376E1" w:rsidRPr="001570EA" w:rsidRDefault="007376E1" w:rsidP="002614D2">
      <w:pPr>
        <w:pStyle w:val="ListParagraph"/>
        <w:numPr>
          <w:ilvl w:val="0"/>
          <w:numId w:val="33"/>
        </w:numPr>
        <w:tabs>
          <w:tab w:val="clear" w:pos="810"/>
        </w:tabs>
        <w:ind w:left="360"/>
        <w:jc w:val="left"/>
        <w:rPr>
          <w:rFonts w:cs="Arial"/>
        </w:rPr>
      </w:pPr>
      <w:r w:rsidRPr="001570EA">
        <w:rPr>
          <w:rFonts w:cs="Arial"/>
        </w:rPr>
        <w:t>Pennsylvania Statewide Residential End-Use and Saturation Study, 2014</w:t>
      </w:r>
      <w:r w:rsidR="00AB4371">
        <w:rPr>
          <w:rFonts w:cs="Arial"/>
        </w:rPr>
        <w:t>.</w:t>
      </w:r>
      <w:r w:rsidR="00AB4371" w:rsidRPr="001570EA">
        <w:rPr>
          <w:rFonts w:cs="Arial"/>
        </w:rPr>
        <w:t xml:space="preserve"> </w:t>
      </w:r>
      <w:hyperlink r:id="rId73" w:history="1">
        <w:r w:rsidRPr="001570EA">
          <w:rPr>
            <w:rStyle w:val="Hyperlink"/>
            <w:rFonts w:cs="Arial"/>
          </w:rPr>
          <w:t>Weblink</w:t>
        </w:r>
      </w:hyperlink>
      <w:r w:rsidRPr="001570EA">
        <w:rPr>
          <w:rFonts w:cs="Arial"/>
        </w:rPr>
        <w:t xml:space="preserve">  </w:t>
      </w:r>
    </w:p>
    <w:p w14:paraId="2A301395" w14:textId="59208C66" w:rsidR="007376E1" w:rsidRPr="001570EA" w:rsidRDefault="007376E1" w:rsidP="002614D2">
      <w:pPr>
        <w:pStyle w:val="ListParagraph"/>
        <w:numPr>
          <w:ilvl w:val="0"/>
          <w:numId w:val="33"/>
        </w:numPr>
        <w:tabs>
          <w:tab w:val="clear" w:pos="810"/>
        </w:tabs>
        <w:ind w:left="360"/>
        <w:jc w:val="left"/>
        <w:rPr>
          <w:rFonts w:cs="Arial"/>
        </w:rPr>
      </w:pPr>
      <w:r w:rsidRPr="001570EA">
        <w:rPr>
          <w:rFonts w:cs="Arial"/>
        </w:rPr>
        <w:t xml:space="preserve">Using Rock Spring, PA (Site 2036) as a proxy, the mean of soil temperature at 40 inch depth is 51.861. Calculated using Daily SCAN Standard - Period of Record data from April 1999 to December 2018 from the Natural Resource Conservation Service Database. </w:t>
      </w:r>
      <w:hyperlink r:id="rId74" w:history="1">
        <w:r w:rsidRPr="001570EA">
          <w:rPr>
            <w:rStyle w:val="Hyperlink"/>
            <w:rFonts w:cs="Arial"/>
          </w:rPr>
          <w:t>Weblink</w:t>
        </w:r>
      </w:hyperlink>
      <w:r w:rsidRPr="001570EA">
        <w:rPr>
          <w:rFonts w:cs="Arial"/>
        </w:rPr>
        <w:t xml:space="preserve"> Methodology follows Missouri TRM 2017 Volume 2: Commercial and Industrial Measures. p</w:t>
      </w:r>
      <w:r w:rsidR="00FA1164">
        <w:rPr>
          <w:rFonts w:cs="Arial"/>
        </w:rPr>
        <w:t>age</w:t>
      </w:r>
      <w:r w:rsidRPr="001570EA">
        <w:rPr>
          <w:rFonts w:cs="Arial"/>
        </w:rPr>
        <w:t xml:space="preserve"> 78. </w:t>
      </w:r>
      <w:hyperlink r:id="rId75" w:history="1">
        <w:r w:rsidRPr="001570EA">
          <w:rPr>
            <w:rStyle w:val="Hyperlink"/>
            <w:rFonts w:cs="Arial"/>
          </w:rPr>
          <w:t>Weblink</w:t>
        </w:r>
      </w:hyperlink>
    </w:p>
    <w:p w14:paraId="116C163F" w14:textId="2595E4FC" w:rsidR="007376E1" w:rsidRPr="001570EA" w:rsidRDefault="007376E1" w:rsidP="002614D2">
      <w:pPr>
        <w:pStyle w:val="ListParagraph"/>
        <w:numPr>
          <w:ilvl w:val="0"/>
          <w:numId w:val="33"/>
        </w:numPr>
        <w:tabs>
          <w:tab w:val="clear" w:pos="810"/>
        </w:tabs>
        <w:overflowPunct/>
        <w:autoSpaceDE/>
        <w:autoSpaceDN/>
        <w:adjustRightInd/>
        <w:ind w:left="360"/>
        <w:jc w:val="left"/>
        <w:textAlignment w:val="auto"/>
        <w:rPr>
          <w:rFonts w:cs="Arial"/>
        </w:rPr>
      </w:pPr>
      <w:r w:rsidRPr="001570EA">
        <w:rPr>
          <w:rFonts w:cs="Arial"/>
        </w:rPr>
        <w:t xml:space="preserve">The default value of 0.92 UEF </w:t>
      </w:r>
      <w:r w:rsidR="00EA030F" w:rsidRPr="00E67FF9">
        <w:t>for</w:t>
      </w:r>
      <w:r w:rsidRPr="001570EA">
        <w:rPr>
          <w:rFonts w:cs="Arial"/>
        </w:rPr>
        <w:t xml:space="preserve"> electric water heater is from NMR Group for the Pennsylvania Public Utility Commission. (</w:t>
      </w:r>
      <w:r w:rsidR="004A6254">
        <w:rPr>
          <w:rFonts w:cs="Arial"/>
        </w:rPr>
        <w:t>2024</w:t>
      </w:r>
      <w:r w:rsidRPr="001570EA">
        <w:rPr>
          <w:rFonts w:cs="Arial"/>
        </w:rPr>
        <w:t xml:space="preserve">, </w:t>
      </w:r>
      <w:r w:rsidR="004A6254" w:rsidRPr="001570EA">
        <w:rPr>
          <w:rFonts w:cs="Arial"/>
        </w:rPr>
        <w:t>M</w:t>
      </w:r>
      <w:r w:rsidR="004A6254">
        <w:rPr>
          <w:rFonts w:cs="Arial"/>
        </w:rPr>
        <w:t>arch</w:t>
      </w:r>
      <w:r w:rsidRPr="001570EA">
        <w:rPr>
          <w:rFonts w:cs="Arial"/>
        </w:rPr>
        <w:t>). 2023 Pennsylvania Statewide Act 129 Residential Baseline Study</w:t>
      </w:r>
      <w:r w:rsidR="00647781">
        <w:rPr>
          <w:rFonts w:cs="Arial"/>
        </w:rPr>
        <w:t>.</w:t>
      </w:r>
      <w:r w:rsidRPr="001570EA">
        <w:rPr>
          <w:rFonts w:cs="Arial"/>
        </w:rPr>
        <w:t xml:space="preserve"> </w:t>
      </w:r>
      <w:r w:rsidR="00E5229E">
        <w:rPr>
          <w:rFonts w:cs="Arial"/>
        </w:rPr>
        <w:t>P</w:t>
      </w:r>
      <w:r w:rsidRPr="001570EA">
        <w:rPr>
          <w:rFonts w:cs="Arial"/>
        </w:rPr>
        <w:t>age</w:t>
      </w:r>
      <w:r w:rsidR="006E08E6">
        <w:rPr>
          <w:rFonts w:cs="Arial"/>
        </w:rPr>
        <w:t xml:space="preserve"> 128</w:t>
      </w:r>
      <w:r w:rsidRPr="001570EA">
        <w:rPr>
          <w:rFonts w:cs="Arial"/>
        </w:rPr>
        <w:t xml:space="preserve">, </w:t>
      </w:r>
      <w:r w:rsidR="006E08E6">
        <w:rPr>
          <w:rFonts w:cs="Arial"/>
        </w:rPr>
        <w:t>Table 110</w:t>
      </w:r>
      <w:r w:rsidRPr="001570EA">
        <w:rPr>
          <w:rFonts w:cs="Arial"/>
        </w:rPr>
        <w:t xml:space="preserve">. </w:t>
      </w:r>
      <w:hyperlink r:id="rId76" w:history="1">
        <w:r w:rsidRPr="004C427E">
          <w:rPr>
            <w:rStyle w:val="Hyperlink"/>
            <w:rFonts w:cs="Arial"/>
          </w:rPr>
          <w:t>Weblink</w:t>
        </w:r>
      </w:hyperlink>
    </w:p>
    <w:p w14:paraId="7A9E1D90" w14:textId="7530359D" w:rsidR="007376E1" w:rsidRPr="001570EA" w:rsidRDefault="007376E1" w:rsidP="002614D2">
      <w:pPr>
        <w:pStyle w:val="source10"/>
        <w:numPr>
          <w:ilvl w:val="0"/>
          <w:numId w:val="33"/>
        </w:numPr>
        <w:tabs>
          <w:tab w:val="clear" w:pos="810"/>
        </w:tabs>
        <w:spacing w:after="120"/>
        <w:ind w:left="360"/>
        <w:jc w:val="left"/>
        <w:rPr>
          <w:rStyle w:val="Hyperlink"/>
          <w:rFonts w:cs="Arial"/>
          <w:color w:val="auto"/>
          <w:u w:val="none"/>
        </w:rPr>
      </w:pPr>
      <w:r w:rsidRPr="001570EA">
        <w:t xml:space="preserve">“Residential End Uses of Water, Version 2.” </w:t>
      </w:r>
      <w:r w:rsidRPr="001570EA">
        <w:rPr>
          <w:i/>
        </w:rPr>
        <w:t xml:space="preserve">Water Research Foundation. </w:t>
      </w:r>
      <w:r w:rsidRPr="001570EA">
        <w:t>(Apr 2016), p</w:t>
      </w:r>
      <w:r w:rsidR="00FA1164">
        <w:t>age</w:t>
      </w:r>
      <w:r w:rsidRPr="001570EA">
        <w:t xml:space="preserve"> 5. </w:t>
      </w:r>
      <w:hyperlink r:id="rId77" w:history="1">
        <w:r w:rsidRPr="001570EA">
          <w:rPr>
            <w:rStyle w:val="Hyperlink"/>
            <w:rFonts w:cs="Arial"/>
          </w:rPr>
          <w:t>Weblink</w:t>
        </w:r>
      </w:hyperlink>
    </w:p>
    <w:p w14:paraId="1EE123BC" w14:textId="005259D3" w:rsidR="007376E1" w:rsidRPr="001570EA" w:rsidRDefault="007376E1" w:rsidP="002614D2">
      <w:pPr>
        <w:pStyle w:val="source10"/>
        <w:numPr>
          <w:ilvl w:val="0"/>
          <w:numId w:val="33"/>
        </w:numPr>
        <w:tabs>
          <w:tab w:val="clear" w:pos="810"/>
        </w:tabs>
        <w:spacing w:after="120"/>
        <w:ind w:left="360"/>
        <w:jc w:val="left"/>
      </w:pPr>
      <w:r w:rsidRPr="001570EA">
        <w:t xml:space="preserve">Wilson et al. 2021. End-Use Load Profiles for the U.S. Building Stock: Methodology and Results of Model Calibration, Validation, and Uncertainty Quantification. NREL/TP-5500-80889. </w:t>
      </w:r>
      <w:hyperlink r:id="rId78" w:history="1">
        <w:r w:rsidRPr="001570EA">
          <w:rPr>
            <w:rStyle w:val="Hyperlink"/>
            <w:rFonts w:cs="Arial"/>
          </w:rPr>
          <w:t>Weblink</w:t>
        </w:r>
      </w:hyperlink>
      <w:r w:rsidRPr="001570EA">
        <w:t xml:space="preserve"> </w:t>
      </w:r>
    </w:p>
    <w:p w14:paraId="3E24B80B" w14:textId="77777777" w:rsidR="007376E1" w:rsidRPr="001570EA" w:rsidRDefault="007376E1" w:rsidP="007376E1">
      <w:pPr>
        <w:pStyle w:val="source10"/>
        <w:spacing w:after="120"/>
        <w:jc w:val="left"/>
        <w:textAlignment w:val="auto"/>
        <w:rPr>
          <w:rStyle w:val="Hyperlink"/>
          <w:rFonts w:cs="Arial"/>
        </w:rPr>
      </w:pPr>
    </w:p>
    <w:p w14:paraId="21B5422F" w14:textId="77777777" w:rsidR="007376E1" w:rsidRPr="001570EA" w:rsidRDefault="007376E1" w:rsidP="007376E1">
      <w:pPr>
        <w:pStyle w:val="source10"/>
        <w:spacing w:after="120"/>
        <w:jc w:val="left"/>
        <w:textAlignment w:val="auto"/>
        <w:rPr>
          <w:rStyle w:val="Hyperlink"/>
          <w:rFonts w:cs="Arial"/>
        </w:rPr>
        <w:sectPr w:rsidR="007376E1" w:rsidRPr="001570EA" w:rsidSect="002D556C">
          <w:pgSz w:w="12240" w:h="15840"/>
          <w:pgMar w:top="1440" w:right="1800" w:bottom="1440" w:left="1800" w:header="720" w:footer="501" w:gutter="0"/>
          <w:cols w:space="720"/>
        </w:sectPr>
      </w:pPr>
    </w:p>
    <w:p w14:paraId="5C334F3A" w14:textId="77777777" w:rsidR="007376E1" w:rsidRPr="001570EA" w:rsidRDefault="007376E1" w:rsidP="00462D97">
      <w:pPr>
        <w:pStyle w:val="Heading3"/>
      </w:pPr>
      <w:bookmarkStart w:id="238" w:name="_Ref534885145"/>
      <w:bookmarkStart w:id="239" w:name="_Toc48143020"/>
      <w:bookmarkStart w:id="240" w:name="_Toc164786639"/>
      <w:r w:rsidRPr="001570EA">
        <w:t>Air Conditioner &amp; Heat Pump Maintenance</w:t>
      </w:r>
      <w:bookmarkEnd w:id="238"/>
      <w:bookmarkEnd w:id="239"/>
      <w:bookmarkEnd w:id="240"/>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8"/>
        <w:gridCol w:w="4964"/>
      </w:tblGrid>
      <w:tr w:rsidR="007376E1" w:rsidRPr="001570EA" w14:paraId="37CF1439"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37733C43" w14:textId="77777777" w:rsidR="007376E1" w:rsidRPr="001570EA" w:rsidRDefault="007376E1">
            <w:pPr>
              <w:pStyle w:val="TableCell"/>
              <w:spacing w:before="60" w:after="60"/>
              <w:rPr>
                <w:b/>
                <w:bCs/>
                <w:color w:val="000000"/>
              </w:rPr>
            </w:pPr>
            <w:r w:rsidRPr="001570EA">
              <w:rPr>
                <w:b/>
                <w:bCs/>
                <w:color w:val="000000"/>
              </w:rPr>
              <w:t>Target Sector</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5ADBA829" w14:textId="0140AD36" w:rsidR="007376E1" w:rsidRPr="001570EA" w:rsidRDefault="007376E1">
            <w:pPr>
              <w:pStyle w:val="TableCell"/>
              <w:spacing w:before="60" w:after="60"/>
              <w:jc w:val="center"/>
              <w:rPr>
                <w:color w:val="000000"/>
              </w:rPr>
            </w:pPr>
            <w:r w:rsidRPr="001570EA">
              <w:rPr>
                <w:color w:val="000000"/>
              </w:rPr>
              <w:t>Residential</w:t>
            </w:r>
          </w:p>
        </w:tc>
      </w:tr>
      <w:tr w:rsidR="007376E1" w:rsidRPr="001570EA" w14:paraId="5917A1C5"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1E4794B1" w14:textId="77777777" w:rsidR="007376E1" w:rsidRPr="001570EA" w:rsidRDefault="007376E1">
            <w:pPr>
              <w:pStyle w:val="TableCell"/>
              <w:spacing w:before="60" w:after="60"/>
              <w:rPr>
                <w:b/>
                <w:bCs/>
                <w:color w:val="000000"/>
              </w:rPr>
            </w:pPr>
            <w:r w:rsidRPr="001570EA">
              <w:rPr>
                <w:b/>
                <w:bCs/>
                <w:color w:val="000000"/>
              </w:rPr>
              <w:t>Measure Unit</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3B2016CE" w14:textId="77777777" w:rsidR="007376E1" w:rsidRPr="001570EA" w:rsidRDefault="007376E1">
            <w:pPr>
              <w:pStyle w:val="TableCell"/>
              <w:spacing w:before="60" w:after="60"/>
              <w:jc w:val="center"/>
              <w:rPr>
                <w:color w:val="000000"/>
              </w:rPr>
            </w:pPr>
            <w:r w:rsidRPr="001570EA">
              <w:rPr>
                <w:color w:val="000000"/>
              </w:rPr>
              <w:t>Central A/C, ASHP, Ductless Mini-Split HP, GSHP, PTAC or PTHP Unit</w:t>
            </w:r>
          </w:p>
        </w:tc>
      </w:tr>
      <w:tr w:rsidR="007376E1" w:rsidRPr="001570EA" w14:paraId="2EC68C8F"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7AA5E099" w14:textId="77777777" w:rsidR="007376E1" w:rsidRPr="001570EA" w:rsidRDefault="007376E1">
            <w:pPr>
              <w:pStyle w:val="TableCell"/>
              <w:spacing w:before="60" w:after="60"/>
              <w:rPr>
                <w:b/>
                <w:bCs/>
                <w:color w:val="000000"/>
              </w:rPr>
            </w:pPr>
            <w:r w:rsidRPr="001570EA">
              <w:rPr>
                <w:b/>
                <w:bCs/>
                <w:color w:val="000000"/>
              </w:rPr>
              <w:t>Measure Life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8A64C36" w14:textId="77777777" w:rsidR="007376E1" w:rsidRPr="001570EA" w:rsidRDefault="007376E1">
            <w:pPr>
              <w:pStyle w:val="TableCell"/>
              <w:spacing w:before="60" w:after="60"/>
              <w:jc w:val="center"/>
              <w:rPr>
                <w:color w:val="000000"/>
                <w:vertAlign w:val="superscript"/>
              </w:rPr>
            </w:pPr>
            <w:r w:rsidRPr="001570EA">
              <w:rPr>
                <w:color w:val="000000"/>
              </w:rPr>
              <w:t>3 years</w:t>
            </w:r>
            <w:r w:rsidRPr="001570EA">
              <w:rPr>
                <w:color w:val="000000"/>
                <w:vertAlign w:val="superscript"/>
              </w:rPr>
              <w:t>Source 1</w:t>
            </w:r>
          </w:p>
        </w:tc>
      </w:tr>
      <w:tr w:rsidR="007376E1" w:rsidRPr="001570EA" w14:paraId="4A6CA474"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120B14BB" w14:textId="77777777" w:rsidR="007376E1" w:rsidRPr="001570EA" w:rsidRDefault="007376E1">
            <w:pPr>
              <w:pStyle w:val="TableCell"/>
              <w:spacing w:before="60" w:after="60"/>
              <w:rPr>
                <w:b/>
                <w:bCs/>
                <w:color w:val="000000"/>
              </w:rPr>
            </w:pPr>
            <w:r w:rsidRPr="001570EA">
              <w:rPr>
                <w:b/>
                <w:bCs/>
                <w:color w:val="000000"/>
              </w:rPr>
              <w:t>Vintage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E27080C" w14:textId="77777777" w:rsidR="007376E1" w:rsidRPr="001570EA" w:rsidRDefault="007376E1">
            <w:pPr>
              <w:pStyle w:val="TableCell"/>
              <w:spacing w:before="60" w:after="60"/>
              <w:jc w:val="center"/>
              <w:rPr>
                <w:color w:val="000000"/>
              </w:rPr>
            </w:pPr>
            <w:r w:rsidRPr="001570EA">
              <w:rPr>
                <w:color w:val="000000"/>
              </w:rPr>
              <w:t>Retrofit</w:t>
            </w:r>
          </w:p>
        </w:tc>
      </w:tr>
    </w:tbl>
    <w:p w14:paraId="44EDC5CA" w14:textId="77777777" w:rsidR="007376E1" w:rsidRPr="001570EA" w:rsidRDefault="007376E1" w:rsidP="007376E1">
      <w:pPr>
        <w:spacing w:after="120"/>
      </w:pPr>
    </w:p>
    <w:p w14:paraId="70C9B371" w14:textId="77777777" w:rsidR="007376E1" w:rsidRPr="001570EA" w:rsidRDefault="007376E1" w:rsidP="007376E1">
      <w:pPr>
        <w:spacing w:after="120"/>
      </w:pPr>
      <w:r w:rsidRPr="001570EA">
        <w:t>This algorithm is used for measures providing services to maintain, service or tune-up refrigerant-driven Central A/C and heat pump units. The tune-up must include the following at a minimum:</w:t>
      </w:r>
    </w:p>
    <w:p w14:paraId="04F5E6D2" w14:textId="77777777" w:rsidR="007376E1" w:rsidRPr="001570EA" w:rsidRDefault="007376E1" w:rsidP="007376E1">
      <w:pPr>
        <w:pStyle w:val="ListParagraph"/>
        <w:numPr>
          <w:ilvl w:val="0"/>
          <w:numId w:val="5"/>
        </w:numPr>
        <w:spacing w:after="0"/>
        <w:ind w:left="360"/>
      </w:pPr>
      <w:r w:rsidRPr="001570EA">
        <w:t>Check refrigerant charge level and correct as necessary</w:t>
      </w:r>
    </w:p>
    <w:p w14:paraId="68A4C800" w14:textId="77777777" w:rsidR="007376E1" w:rsidRPr="001570EA" w:rsidRDefault="007376E1" w:rsidP="007376E1">
      <w:pPr>
        <w:pStyle w:val="ListParagraph"/>
        <w:numPr>
          <w:ilvl w:val="0"/>
          <w:numId w:val="5"/>
        </w:numPr>
        <w:spacing w:after="0"/>
        <w:ind w:left="360"/>
      </w:pPr>
      <w:r w:rsidRPr="001570EA">
        <w:t>Clean filters as needed</w:t>
      </w:r>
    </w:p>
    <w:p w14:paraId="14998D4E" w14:textId="77777777" w:rsidR="007376E1" w:rsidRPr="001570EA" w:rsidRDefault="007376E1" w:rsidP="007376E1">
      <w:pPr>
        <w:pStyle w:val="ListParagraph"/>
        <w:numPr>
          <w:ilvl w:val="0"/>
          <w:numId w:val="5"/>
        </w:numPr>
        <w:spacing w:after="0"/>
        <w:ind w:left="360"/>
      </w:pPr>
      <w:r w:rsidRPr="001570EA">
        <w:t>Inspect and lubricate bearings</w:t>
      </w:r>
    </w:p>
    <w:p w14:paraId="61CEB2FD" w14:textId="77777777" w:rsidR="007376E1" w:rsidRPr="001570EA" w:rsidRDefault="007376E1" w:rsidP="007376E1">
      <w:pPr>
        <w:pStyle w:val="ListParagraph"/>
        <w:numPr>
          <w:ilvl w:val="0"/>
          <w:numId w:val="5"/>
        </w:numPr>
        <w:spacing w:after="0"/>
        <w:ind w:left="360"/>
        <w:jc w:val="left"/>
      </w:pPr>
      <w:r w:rsidRPr="001570EA">
        <w:t>Inspect and clean condenser and, if accessible, evaporator coil</w:t>
      </w:r>
    </w:p>
    <w:p w14:paraId="51B582F4" w14:textId="77777777" w:rsidR="007376E1" w:rsidRPr="001570EA" w:rsidRDefault="007376E1" w:rsidP="007376E1"/>
    <w:p w14:paraId="3B6DABD3" w14:textId="77777777" w:rsidR="007376E1" w:rsidRPr="001570EA" w:rsidRDefault="007376E1" w:rsidP="007376E1">
      <w:pPr>
        <w:pStyle w:val="SubStyle"/>
      </w:pPr>
      <w:r w:rsidRPr="001570EA">
        <w:t>Eligibility</w:t>
      </w:r>
    </w:p>
    <w:p w14:paraId="796587AE" w14:textId="77777777" w:rsidR="007376E1" w:rsidRPr="001570EA" w:rsidRDefault="007376E1" w:rsidP="007376E1">
      <w:r w:rsidRPr="001570EA">
        <w:t>An existing central A/C, air source heat pump, ground source heat pump, ductless mini-split heat pump, PTAC, or PTHP unit.</w:t>
      </w:r>
    </w:p>
    <w:p w14:paraId="471309BC" w14:textId="77777777" w:rsidR="007376E1" w:rsidRPr="001570EA" w:rsidRDefault="007376E1" w:rsidP="007376E1"/>
    <w:p w14:paraId="40693DF3" w14:textId="77777777" w:rsidR="007376E1" w:rsidRPr="001570EA" w:rsidRDefault="007376E1" w:rsidP="007376E1">
      <w:pPr>
        <w:pStyle w:val="SubStyle"/>
      </w:pPr>
      <w:r w:rsidRPr="001570EA">
        <w:t>Algorithms</w:t>
      </w:r>
    </w:p>
    <w:p w14:paraId="207A6626" w14:textId="77777777" w:rsidR="007376E1" w:rsidRPr="001570EA" w:rsidRDefault="007376E1" w:rsidP="007376E1">
      <w:r w:rsidRPr="001570EA">
        <w:t xml:space="preserve">This algorithm is used for the maintenance of </w:t>
      </w:r>
      <w:r w:rsidRPr="001570EA">
        <w:rPr>
          <w:u w:val="single"/>
        </w:rPr>
        <w:t>ASHP, DHP and CAC</w:t>
      </w:r>
      <w:r w:rsidRPr="001570EA">
        <w:t xml:space="preserve"> measures:</w:t>
      </w:r>
    </w:p>
    <w:p w14:paraId="12AD959A" w14:textId="77777777" w:rsidR="007376E1" w:rsidRPr="001570EA" w:rsidRDefault="007376E1" w:rsidP="007376E1"/>
    <w:p w14:paraId="2850E799" w14:textId="77777777" w:rsidR="007376E1" w:rsidRPr="001570EA" w:rsidRDefault="007376E1" w:rsidP="007376E1">
      <w:pPr>
        <w:pStyle w:val="Equation"/>
        <w:tabs>
          <w:tab w:val="clear" w:pos="720"/>
          <w:tab w:val="left" w:pos="1440"/>
        </w:tabs>
        <w:rPr>
          <w:rFonts w:cs="Arial"/>
        </w:rPr>
      </w:pPr>
      <w:r w:rsidRPr="001570EA">
        <w:rPr>
          <w:rFonts w:ascii="Symbol" w:eastAsia="Symbol" w:hAnsi="Symbol" w:cs="Symbol"/>
          <w:szCs w:val="20"/>
        </w:rPr>
        <w:t>D</w:t>
      </w:r>
      <w:r w:rsidRPr="001570EA">
        <w:rPr>
          <w:rFonts w:cs="Arial"/>
        </w:rPr>
        <w:t>kWh</w:t>
      </w:r>
      <w:r w:rsidRPr="001570EA">
        <w:rPr>
          <w:rFonts w:cs="Arial"/>
        </w:rPr>
        <w:tab/>
      </w:r>
      <m:oMath>
        <m:r>
          <w:rPr>
            <w:rFonts w:ascii="Cambria Math" w:hAnsi="Cambria Math" w:cs="Arial"/>
            <w:szCs w:val="20"/>
          </w:rPr>
          <m:t>=</m:t>
        </m:r>
        <m:r>
          <w:rPr>
            <w:rFonts w:ascii="Cambria Math" w:hAnsi="Cambria Math" w:cs="Arial"/>
          </w:rPr>
          <m:t>Δ</m:t>
        </m:r>
        <m:sSub>
          <m:sSubPr>
            <m:ctrlPr>
              <w:rPr>
                <w:rFonts w:ascii="Cambria Math" w:hAnsi="Cambria Math" w:cs="Arial"/>
                <w:i w:val="0"/>
                <w:szCs w:val="20"/>
              </w:rPr>
            </m:ctrlPr>
          </m:sSubPr>
          <m:e>
            <m:r>
              <w:rPr>
                <w:rFonts w:ascii="Cambria Math" w:hAnsi="Cambria Math" w:cs="Arial"/>
                <w:szCs w:val="20"/>
              </w:rPr>
              <m:t>kWh</m:t>
            </m:r>
          </m:e>
          <m:sub>
            <m:r>
              <w:rPr>
                <w:rFonts w:ascii="Cambria Math" w:hAnsi="Cambria Math" w:cs="Arial"/>
                <w:szCs w:val="20"/>
              </w:rPr>
              <m:t>cool</m:t>
            </m:r>
          </m:sub>
        </m:sSub>
        <m:r>
          <w:rPr>
            <w:rFonts w:ascii="Cambria Math" w:hAnsi="Cambria Math" w:cs="Arial"/>
            <w:szCs w:val="20"/>
          </w:rPr>
          <m:t>+</m:t>
        </m:r>
        <m:r>
          <w:rPr>
            <w:rFonts w:ascii="Cambria Math" w:hAnsi="Cambria Math" w:cs="Arial"/>
          </w:rPr>
          <m:t>Δ</m:t>
        </m:r>
        <m:sSub>
          <m:sSubPr>
            <m:ctrlPr>
              <w:rPr>
                <w:rFonts w:ascii="Cambria Math" w:hAnsi="Cambria Math" w:cs="Arial"/>
                <w:i w:val="0"/>
                <w:szCs w:val="20"/>
              </w:rPr>
            </m:ctrlPr>
          </m:sSubPr>
          <m:e>
            <m:r>
              <w:rPr>
                <w:rFonts w:ascii="Cambria Math" w:hAnsi="Cambria Math" w:cs="Arial"/>
                <w:szCs w:val="20"/>
              </w:rPr>
              <m:t>kWh</m:t>
            </m:r>
          </m:e>
          <m:sub>
            <m:r>
              <w:rPr>
                <w:rFonts w:ascii="Cambria Math" w:hAnsi="Cambria Math" w:cs="Arial"/>
                <w:szCs w:val="20"/>
              </w:rPr>
              <m:t>heat</m:t>
            </m:r>
          </m:sub>
        </m:sSub>
        <m:r>
          <w:rPr>
            <w:rFonts w:ascii="Cambria Math" w:hAnsi="Cambria Math" w:cs="Arial"/>
            <w:szCs w:val="20"/>
          </w:rPr>
          <m:t xml:space="preserve"> </m:t>
        </m:r>
      </m:oMath>
    </w:p>
    <w:p w14:paraId="42D1AA54" w14:textId="77777777" w:rsidR="007376E1" w:rsidRPr="001570EA" w:rsidRDefault="007376E1" w:rsidP="007376E1">
      <w:pPr>
        <w:pStyle w:val="Equation"/>
        <w:tabs>
          <w:tab w:val="left" w:pos="1440"/>
        </w:tabs>
        <w:rPr>
          <w:rFonts w:cs="Arial"/>
          <w:szCs w:val="20"/>
          <w:vertAlign w:val="subscript"/>
        </w:rPr>
      </w:pPr>
    </w:p>
    <w:p w14:paraId="008038E1" w14:textId="77777777" w:rsidR="007376E1" w:rsidRPr="001570EA" w:rsidRDefault="007376E1" w:rsidP="007376E1">
      <w:pPr>
        <w:pStyle w:val="Equation"/>
        <w:tabs>
          <w:tab w:val="left" w:pos="1440"/>
        </w:tabs>
        <w:rPr>
          <w:rFonts w:ascii="Cambria Math" w:hAnsi="Cambria Math" w:cs="Arial"/>
          <w:i w:val="0"/>
          <w:szCs w:val="20"/>
        </w:rPr>
      </w:pPr>
      <w:r w:rsidRPr="001570EA">
        <w:rPr>
          <w:i w:val="0"/>
          <w:lang w:bidi="en-US"/>
        </w:rPr>
        <w:tab/>
      </w:r>
      <w:r w:rsidRPr="001570EA">
        <w:rPr>
          <w:rFonts w:ascii="Cambria Math" w:hAnsi="Cambria Math" w:cs="Arial"/>
        </w:rPr>
        <w:t>ΔkWh</w:t>
      </w:r>
      <w:r w:rsidRPr="001570EA">
        <w:rPr>
          <w:rFonts w:ascii="Cambria Math" w:hAnsi="Cambria Math" w:cs="Arial"/>
          <w:vertAlign w:val="subscript"/>
        </w:rPr>
        <w:t>cool</w:t>
      </w:r>
      <m:oMath>
        <m:r>
          <w:rPr>
            <w:rFonts w:ascii="Cambria Math" w:hAnsi="Cambria Math" w:cs="Arial"/>
            <w:szCs w:val="20"/>
          </w:rPr>
          <m:t>=</m:t>
        </m:r>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szCs w:val="20"/>
                  </w:rPr>
                  <m:t>CAPY</m:t>
                </m:r>
              </m:e>
              <m:sub>
                <m:r>
                  <w:rPr>
                    <w:rFonts w:ascii="Cambria Math" w:hAnsi="Cambria Math" w:cs="Arial"/>
                    <w:szCs w:val="20"/>
                  </w:rPr>
                  <m:t>cool</m:t>
                </m:r>
              </m:sub>
            </m:sSub>
          </m:num>
          <m:den>
            <m:sSub>
              <m:sSubPr>
                <m:ctrlPr>
                  <w:rPr>
                    <w:rFonts w:ascii="Cambria Math" w:hAnsi="Cambria Math" w:cs="Arial"/>
                    <w:i w:val="0"/>
                    <w:szCs w:val="20"/>
                  </w:rPr>
                </m:ctrlPr>
              </m:sSubPr>
              <m:e>
                <m:r>
                  <w:rPr>
                    <w:rFonts w:ascii="Cambria Math" w:hAnsi="Cambria Math" w:cs="Arial"/>
                    <w:szCs w:val="20"/>
                  </w:rPr>
                  <m:t>SEER2</m:t>
                </m:r>
              </m:e>
              <m:sub>
                <m:r>
                  <w:rPr>
                    <w:rFonts w:ascii="Cambria Math" w:hAnsi="Cambria Math" w:cs="Arial"/>
                    <w:szCs w:val="20"/>
                  </w:rPr>
                  <m:t>base</m:t>
                </m:r>
              </m:sub>
            </m:sSub>
          </m:den>
        </m:f>
        <m:r>
          <w:rPr>
            <w:rFonts w:ascii="Cambria Math" w:hAnsi="Cambria Math" w:cs="Arial"/>
            <w:szCs w:val="20"/>
          </w:rPr>
          <m:t>×MF×</m:t>
        </m:r>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cool</m:t>
            </m:r>
          </m:sub>
        </m:sSub>
      </m:oMath>
    </w:p>
    <w:p w14:paraId="5212B37A" w14:textId="77777777" w:rsidR="007376E1" w:rsidRPr="001570EA" w:rsidRDefault="007376E1" w:rsidP="007376E1">
      <w:pPr>
        <w:pStyle w:val="Equation"/>
        <w:tabs>
          <w:tab w:val="left" w:pos="1440"/>
        </w:tabs>
        <w:rPr>
          <w:rFonts w:ascii="Cambria Math" w:hAnsi="Cambria Math" w:cs="Arial"/>
          <w:i w:val="0"/>
          <w:szCs w:val="20"/>
        </w:rPr>
      </w:pPr>
    </w:p>
    <w:p w14:paraId="327C41D0" w14:textId="77777777" w:rsidR="007376E1" w:rsidRPr="001570EA" w:rsidRDefault="007376E1" w:rsidP="007376E1">
      <w:pPr>
        <w:pStyle w:val="Equation"/>
        <w:tabs>
          <w:tab w:val="left" w:pos="1440"/>
        </w:tabs>
        <w:rPr>
          <w:rFonts w:ascii="Cambria Math" w:hAnsi="Cambria Math" w:cs="Arial"/>
          <w:szCs w:val="20"/>
        </w:rPr>
      </w:pPr>
      <w:r w:rsidRPr="001570EA">
        <w:rPr>
          <w:rFonts w:ascii="Cambria Math" w:hAnsi="Cambria Math" w:cs="Arial"/>
        </w:rPr>
        <w:tab/>
        <w:t>ΔkWh</w:t>
      </w:r>
      <w:r w:rsidRPr="001570EA">
        <w:rPr>
          <w:rFonts w:ascii="Cambria Math" w:hAnsi="Cambria Math" w:cs="Arial"/>
          <w:vertAlign w:val="subscript"/>
        </w:rPr>
        <w:t>heat</w:t>
      </w:r>
      <m:oMath>
        <m:r>
          <w:rPr>
            <w:rFonts w:ascii="Cambria Math" w:hAnsi="Cambria Math" w:cs="Arial"/>
            <w:szCs w:val="20"/>
          </w:rPr>
          <m:t>=</m:t>
        </m:r>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szCs w:val="20"/>
                  </w:rPr>
                  <m:t>CAPY</m:t>
                </m:r>
              </m:e>
              <m:sub>
                <m:r>
                  <w:rPr>
                    <w:rFonts w:ascii="Cambria Math" w:hAnsi="Cambria Math" w:cs="Arial"/>
                    <w:szCs w:val="20"/>
                  </w:rPr>
                  <m:t>heat</m:t>
                </m:r>
              </m:sub>
            </m:sSub>
          </m:num>
          <m:den>
            <m:sSub>
              <m:sSubPr>
                <m:ctrlPr>
                  <w:rPr>
                    <w:rFonts w:ascii="Cambria Math" w:hAnsi="Cambria Math" w:cs="Arial"/>
                    <w:i w:val="0"/>
                    <w:szCs w:val="20"/>
                  </w:rPr>
                </m:ctrlPr>
              </m:sSubPr>
              <m:e>
                <m:r>
                  <w:rPr>
                    <w:rFonts w:ascii="Cambria Math" w:hAnsi="Cambria Math" w:cs="Arial"/>
                    <w:szCs w:val="20"/>
                  </w:rPr>
                  <m:t>HSPF2</m:t>
                </m:r>
              </m:e>
              <m:sub>
                <m:r>
                  <w:rPr>
                    <w:rFonts w:ascii="Cambria Math" w:hAnsi="Cambria Math" w:cs="Arial"/>
                    <w:szCs w:val="20"/>
                  </w:rPr>
                  <m:t>base</m:t>
                </m:r>
              </m:sub>
            </m:sSub>
          </m:den>
        </m:f>
        <m:r>
          <w:rPr>
            <w:rFonts w:ascii="Cambria Math" w:hAnsi="Cambria Math" w:cs="Arial"/>
            <w:szCs w:val="20"/>
          </w:rPr>
          <m:t xml:space="preserve">×MF× </m:t>
        </m:r>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heat,HP</m:t>
            </m:r>
          </m:sub>
        </m:sSub>
      </m:oMath>
    </w:p>
    <w:p w14:paraId="63F59C7B" w14:textId="77777777" w:rsidR="007376E1" w:rsidRPr="001570EA" w:rsidRDefault="007376E1" w:rsidP="007376E1">
      <w:pPr>
        <w:pStyle w:val="Equation"/>
        <w:tabs>
          <w:tab w:val="left" w:pos="1440"/>
        </w:tabs>
        <w:ind w:left="0" w:firstLine="0"/>
        <w:rPr>
          <w:rFonts w:ascii="Cambria Math" w:eastAsia="Times New Roman" w:hAnsi="Cambria Math" w:cs="Arial"/>
          <w:i w:val="0"/>
          <w:szCs w:val="20"/>
        </w:rPr>
      </w:pPr>
    </w:p>
    <w:p w14:paraId="6081054E" w14:textId="77777777" w:rsidR="007376E1" w:rsidRPr="001570EA" w:rsidRDefault="007376E1" w:rsidP="007376E1">
      <w:pPr>
        <w:tabs>
          <w:tab w:val="left" w:pos="1440"/>
          <w:tab w:val="left" w:pos="2880"/>
        </w:tabs>
        <w:rPr>
          <w:rFonts w:ascii="Cambria Math" w:hAnsi="Cambria Math" w:cs="Arial"/>
          <w:i/>
        </w:rPr>
      </w:pPr>
      <w:r w:rsidRPr="001570EA">
        <w:rPr>
          <w:rFonts w:ascii="Cambria Math" w:hAnsi="Cambria Math" w:cs="Arial"/>
          <w:i/>
          <w:iCs/>
        </w:rPr>
        <w:t>ΔkW</w:t>
      </w:r>
      <w:r w:rsidRPr="001570EA">
        <w:rPr>
          <w:rFonts w:cs="Arial"/>
          <w:i/>
          <w:iCs/>
          <w:vertAlign w:val="subscript"/>
        </w:rPr>
        <w:t>summer peak</w:t>
      </w:r>
      <w:r w:rsidRPr="001570EA">
        <w:rPr>
          <w:rFonts w:ascii="Cambria Math" w:hAnsi="Cambria Math" w:cs="Arial"/>
          <w:i/>
          <w:iCs/>
          <w:vertAlign w:val="subscript"/>
        </w:rPr>
        <w:tab/>
      </w:r>
      <m:oMath>
        <m:r>
          <w:rPr>
            <w:rFonts w:ascii="Cambria Math" w:hAnsi="Cambria Math" w:cs="Arial"/>
          </w:rPr>
          <m:t>=</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hAnsi="Cambria Math" w:cs="Arial"/>
                  </w:rPr>
                  <m:t>CAPY</m:t>
                </m:r>
              </m:e>
              <m:sub>
                <m:r>
                  <w:rPr>
                    <w:rFonts w:ascii="Cambria Math" w:hAnsi="Cambria Math" w:cs="Arial"/>
                  </w:rPr>
                  <m:t>cool</m:t>
                </m:r>
              </m:sub>
            </m:sSub>
          </m:num>
          <m:den>
            <m:sSub>
              <m:sSubPr>
                <m:ctrlPr>
                  <w:rPr>
                    <w:rFonts w:ascii="Cambria Math" w:eastAsia="Calibri" w:hAnsi="Cambria Math" w:cs="Arial"/>
                    <w:i/>
                  </w:rPr>
                </m:ctrlPr>
              </m:sSubPr>
              <m:e>
                <m:r>
                  <w:rPr>
                    <w:rFonts w:ascii="Cambria Math" w:hAnsi="Cambria Math" w:cs="Arial"/>
                  </w:rPr>
                  <m:t>EER2</m:t>
                </m:r>
              </m:e>
              <m:sub>
                <m:r>
                  <w:rPr>
                    <w:rFonts w:ascii="Cambria Math" w:eastAsia="Calibri" w:hAnsi="Cambria Math" w:cs="Arial"/>
                  </w:rPr>
                  <m:t>base</m:t>
                </m:r>
              </m:sub>
            </m:sSub>
          </m:den>
        </m:f>
        <m:r>
          <m:rPr>
            <m:sty m:val="p"/>
          </m:rPr>
          <w:rPr>
            <w:rFonts w:ascii="Cambria Math" w:hAnsi="Cambria Math" w:cs="Arial"/>
          </w:rPr>
          <m:t>×</m:t>
        </m:r>
        <m:r>
          <w:rPr>
            <w:rFonts w:ascii="Cambria Math" w:hAnsi="Cambria Math" w:cs="Arial"/>
          </w:rPr>
          <m:t xml:space="preserve">MF× </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p>
    <w:p w14:paraId="50B56D62" w14:textId="77777777" w:rsidR="007376E1" w:rsidRPr="001570EA" w:rsidRDefault="007376E1" w:rsidP="007376E1">
      <w:pPr>
        <w:tabs>
          <w:tab w:val="left" w:pos="1440"/>
          <w:tab w:val="left" w:pos="2880"/>
        </w:tabs>
        <w:rPr>
          <w:rFonts w:ascii="Cambria Math" w:hAnsi="Cambria Math" w:cs="Arial"/>
          <w:i/>
        </w:rPr>
      </w:pPr>
    </w:p>
    <w:p w14:paraId="5B321F98" w14:textId="77777777" w:rsidR="007376E1" w:rsidRPr="001570EA" w:rsidRDefault="007376E1" w:rsidP="007376E1">
      <w:pPr>
        <w:tabs>
          <w:tab w:val="left" w:pos="1440"/>
          <w:tab w:val="left" w:pos="2880"/>
        </w:tabs>
        <w:rPr>
          <w:rFonts w:ascii="Cambria Math" w:hAnsi="Cambria Math" w:cs="Arial"/>
          <w:i/>
        </w:rPr>
      </w:pPr>
      <w:r w:rsidRPr="001570EA">
        <w:rPr>
          <w:rFonts w:ascii="Cambria Math" w:hAnsi="Cambria Math" w:cs="Arial"/>
          <w:i/>
          <w:iCs/>
        </w:rPr>
        <w:t>ΔkW</w:t>
      </w:r>
      <w:r w:rsidRPr="001570EA">
        <w:rPr>
          <w:rFonts w:cs="Arial"/>
          <w:i/>
          <w:iCs/>
          <w:vertAlign w:val="subscript"/>
        </w:rPr>
        <w:t>winter peak</w:t>
      </w:r>
      <w:r w:rsidRPr="001570EA">
        <w:rPr>
          <w:rFonts w:ascii="Cambria Math" w:hAnsi="Cambria Math" w:cs="Arial"/>
          <w:i/>
          <w:iCs/>
          <w:vertAlign w:val="subscript"/>
        </w:rPr>
        <w:tab/>
      </w:r>
      <m:oMath>
        <m:r>
          <w:rPr>
            <w:rFonts w:ascii="Cambria Math" w:hAnsi="Cambria Math" w:cs="Arial"/>
          </w:rPr>
          <m:t>=</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hAnsi="Cambria Math" w:cs="Arial"/>
                  </w:rPr>
                  <m:t>CAPY</m:t>
                </m:r>
              </m:e>
              <m:sub>
                <m:r>
                  <w:rPr>
                    <w:rFonts w:ascii="Cambria Math" w:hAnsi="Cambria Math" w:cs="Arial"/>
                  </w:rPr>
                  <m:t>heat</m:t>
                </m:r>
              </m:sub>
            </m:sSub>
          </m:num>
          <m:den>
            <m:sSub>
              <m:sSubPr>
                <m:ctrlPr>
                  <w:rPr>
                    <w:rFonts w:ascii="Cambria Math" w:eastAsia="Calibri" w:hAnsi="Cambria Math" w:cs="Arial"/>
                    <w:i/>
                  </w:rPr>
                </m:ctrlPr>
              </m:sSubPr>
              <m:e>
                <m:r>
                  <w:rPr>
                    <w:rFonts w:ascii="Cambria Math" w:hAnsi="Cambria Math" w:cs="Arial"/>
                  </w:rPr>
                  <m:t>COP</m:t>
                </m:r>
              </m:e>
              <m:sub>
                <m:r>
                  <w:rPr>
                    <w:rFonts w:ascii="Cambria Math" w:eastAsia="Calibri" w:hAnsi="Cambria Math" w:cs="Arial"/>
                  </w:rPr>
                  <m:t>base</m:t>
                </m:r>
              </m:sub>
            </m:sSub>
          </m:den>
        </m:f>
        <m:r>
          <m:rPr>
            <m:sty m:val="p"/>
          </m:rPr>
          <w:rPr>
            <w:rFonts w:ascii="Cambria Math" w:hAnsi="Cambria Math" w:cs="Arial"/>
          </w:rPr>
          <m:t xml:space="preserve"> </m:t>
        </m:r>
        <m:r>
          <w:rPr>
            <w:rFonts w:ascii="Cambria Math" w:hAnsi="Cambria Math" w:cs="Arial"/>
          </w:rPr>
          <m:t xml:space="preserve">× </m:t>
        </m:r>
        <m:f>
          <m:fPr>
            <m:ctrlPr>
              <w:rPr>
                <w:rFonts w:ascii="Cambria Math" w:hAnsi="Cambria Math"/>
              </w:rPr>
            </m:ctrlPr>
          </m:fPr>
          <m:num>
            <m:r>
              <w:rPr>
                <w:rFonts w:ascii="Cambria Math" w:hAnsi="Cambria Math"/>
              </w:rPr>
              <m:t>1</m:t>
            </m:r>
          </m:num>
          <m:den>
            <m:r>
              <m:rPr>
                <m:sty m:val="p"/>
              </m:rPr>
              <w:rPr>
                <w:rFonts w:ascii="Cambria Math" w:hAnsi="Cambria Math"/>
              </w:rPr>
              <m:t>3.412</m:t>
            </m:r>
            <m:f>
              <m:fPr>
                <m:ctrlPr>
                  <w:rPr>
                    <w:rFonts w:ascii="Cambria Math" w:hAnsi="Cambria Math" w:cs="Arial"/>
                  </w:rPr>
                </m:ctrlPr>
              </m:fPr>
              <m:num>
                <m:r>
                  <m:rPr>
                    <m:sty m:val="p"/>
                  </m:rPr>
                  <w:rPr>
                    <w:rFonts w:ascii="Cambria Math" w:hAnsi="Cambria Math" w:cs="Arial"/>
                  </w:rPr>
                  <m:t>BTU</m:t>
                </m:r>
                <m:ctrlPr>
                  <w:rPr>
                    <w:rFonts w:ascii="Cambria Math" w:hAnsi="Cambria Math" w:cs="Arial"/>
                    <w:iCs/>
                  </w:rPr>
                </m:ctrlPr>
              </m:num>
              <m:den>
                <m:r>
                  <m:rPr>
                    <m:sty m:val="p"/>
                  </m:rPr>
                  <w:rPr>
                    <w:rFonts w:ascii="Cambria Math" w:hAnsi="Cambria Math" w:cs="Arial"/>
                  </w:rPr>
                  <m:t>W∙h</m:t>
                </m:r>
              </m:den>
            </m:f>
          </m:den>
        </m:f>
        <m:r>
          <m:rPr>
            <m:sty m:val="p"/>
          </m:rPr>
          <w:rPr>
            <w:rFonts w:ascii="Cambria Math" w:hAnsi="Cambria Math" w:cs="Arial"/>
          </w:rPr>
          <m:t>×</m:t>
        </m:r>
        <m:r>
          <w:rPr>
            <w:rFonts w:ascii="Cambria Math" w:hAnsi="Cambria Math" w:cs="Arial"/>
          </w:rPr>
          <m:t>MF×</m:t>
        </m:r>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w:p>
    <w:p w14:paraId="2CF2DFA3" w14:textId="77777777" w:rsidR="007376E1" w:rsidRPr="001570EA" w:rsidRDefault="007376E1" w:rsidP="007376E1">
      <w:pPr>
        <w:tabs>
          <w:tab w:val="left" w:pos="1440"/>
          <w:tab w:val="left" w:pos="2880"/>
        </w:tabs>
        <w:rPr>
          <w:rFonts w:ascii="Cambria Math" w:hAnsi="Cambria Math" w:cs="Arial"/>
          <w:i/>
        </w:rPr>
      </w:pPr>
    </w:p>
    <w:p w14:paraId="7C7A4CBF" w14:textId="77777777" w:rsidR="007376E1" w:rsidRPr="001570EA" w:rsidRDefault="007376E1" w:rsidP="007376E1">
      <w:r w:rsidRPr="001570EA">
        <w:t xml:space="preserve">This algorithm is used for the maintenance of </w:t>
      </w:r>
      <w:r w:rsidRPr="001570EA">
        <w:rPr>
          <w:u w:val="single"/>
        </w:rPr>
        <w:t>GSHP, PTAC and PTHP</w:t>
      </w:r>
      <w:r w:rsidRPr="001570EA">
        <w:t xml:space="preserve"> measures:</w:t>
      </w:r>
    </w:p>
    <w:p w14:paraId="7ADF4819" w14:textId="77777777" w:rsidR="007376E1" w:rsidRPr="001570EA" w:rsidRDefault="007376E1" w:rsidP="007376E1"/>
    <w:p w14:paraId="62DDEC14" w14:textId="77777777" w:rsidR="007376E1" w:rsidRPr="001570EA" w:rsidRDefault="007376E1" w:rsidP="007376E1">
      <w:pPr>
        <w:pStyle w:val="Equation"/>
        <w:tabs>
          <w:tab w:val="clear" w:pos="720"/>
          <w:tab w:val="left" w:pos="1440"/>
        </w:tabs>
        <w:rPr>
          <w:rFonts w:cs="Arial"/>
        </w:rPr>
      </w:pPr>
      <w:r w:rsidRPr="001570EA">
        <w:rPr>
          <w:rFonts w:ascii="Symbol" w:eastAsia="Symbol" w:hAnsi="Symbol" w:cs="Symbol"/>
          <w:szCs w:val="20"/>
        </w:rPr>
        <w:t>D</w:t>
      </w:r>
      <w:r w:rsidRPr="001570EA">
        <w:rPr>
          <w:rFonts w:cs="Arial"/>
        </w:rPr>
        <w:t>kWh</w:t>
      </w:r>
      <w:r w:rsidRPr="001570EA">
        <w:rPr>
          <w:rFonts w:cs="Arial"/>
        </w:rPr>
        <w:tab/>
      </w:r>
      <m:oMath>
        <m:r>
          <w:rPr>
            <w:rFonts w:ascii="Cambria Math" w:hAnsi="Cambria Math" w:cs="Arial"/>
            <w:szCs w:val="20"/>
          </w:rPr>
          <m:t>=</m:t>
        </m:r>
        <m:r>
          <w:rPr>
            <w:rFonts w:ascii="Cambria Math" w:hAnsi="Cambria Math" w:cs="Arial"/>
          </w:rPr>
          <m:t>Δ</m:t>
        </m:r>
        <m:sSub>
          <m:sSubPr>
            <m:ctrlPr>
              <w:rPr>
                <w:rFonts w:ascii="Cambria Math" w:hAnsi="Cambria Math" w:cs="Arial"/>
                <w:i w:val="0"/>
                <w:szCs w:val="20"/>
              </w:rPr>
            </m:ctrlPr>
          </m:sSubPr>
          <m:e>
            <m:r>
              <w:rPr>
                <w:rFonts w:ascii="Cambria Math" w:hAnsi="Cambria Math" w:cs="Arial"/>
                <w:szCs w:val="20"/>
              </w:rPr>
              <m:t>kWh</m:t>
            </m:r>
          </m:e>
          <m:sub>
            <m:r>
              <w:rPr>
                <w:rFonts w:ascii="Cambria Math" w:hAnsi="Cambria Math" w:cs="Arial"/>
                <w:szCs w:val="20"/>
              </w:rPr>
              <m:t>cool</m:t>
            </m:r>
          </m:sub>
        </m:sSub>
        <m:r>
          <w:rPr>
            <w:rFonts w:ascii="Cambria Math" w:hAnsi="Cambria Math" w:cs="Arial"/>
            <w:szCs w:val="20"/>
          </w:rPr>
          <m:t>+</m:t>
        </m:r>
        <m:r>
          <w:rPr>
            <w:rFonts w:ascii="Cambria Math" w:hAnsi="Cambria Math" w:cs="Arial"/>
          </w:rPr>
          <m:t>Δ</m:t>
        </m:r>
        <m:sSub>
          <m:sSubPr>
            <m:ctrlPr>
              <w:rPr>
                <w:rFonts w:ascii="Cambria Math" w:hAnsi="Cambria Math" w:cs="Arial"/>
                <w:i w:val="0"/>
                <w:szCs w:val="20"/>
              </w:rPr>
            </m:ctrlPr>
          </m:sSubPr>
          <m:e>
            <m:r>
              <w:rPr>
                <w:rFonts w:ascii="Cambria Math" w:hAnsi="Cambria Math" w:cs="Arial"/>
                <w:szCs w:val="20"/>
              </w:rPr>
              <m:t>kWh</m:t>
            </m:r>
          </m:e>
          <m:sub>
            <m:r>
              <w:rPr>
                <w:rFonts w:ascii="Cambria Math" w:hAnsi="Cambria Math" w:cs="Arial"/>
                <w:szCs w:val="20"/>
              </w:rPr>
              <m:t>heat</m:t>
            </m:r>
          </m:sub>
        </m:sSub>
        <m:r>
          <w:rPr>
            <w:rFonts w:ascii="Cambria Math" w:hAnsi="Cambria Math" w:cs="Arial"/>
            <w:szCs w:val="20"/>
          </w:rPr>
          <m:t xml:space="preserve"> </m:t>
        </m:r>
      </m:oMath>
    </w:p>
    <w:p w14:paraId="76B6A4FD" w14:textId="77777777" w:rsidR="007376E1" w:rsidRPr="001570EA" w:rsidRDefault="007376E1" w:rsidP="007376E1">
      <w:pPr>
        <w:pStyle w:val="Equation"/>
        <w:tabs>
          <w:tab w:val="left" w:pos="1440"/>
        </w:tabs>
        <w:rPr>
          <w:rFonts w:cs="Arial"/>
          <w:szCs w:val="20"/>
          <w:vertAlign w:val="subscript"/>
        </w:rPr>
      </w:pPr>
    </w:p>
    <w:p w14:paraId="57E46310" w14:textId="77777777" w:rsidR="007376E1" w:rsidRPr="001570EA" w:rsidRDefault="007376E1" w:rsidP="007376E1">
      <w:pPr>
        <w:pStyle w:val="Equation"/>
        <w:tabs>
          <w:tab w:val="left" w:pos="1440"/>
        </w:tabs>
        <w:rPr>
          <w:rFonts w:ascii="Cambria Math" w:hAnsi="Cambria Math" w:cs="Arial"/>
          <w:i w:val="0"/>
          <w:szCs w:val="20"/>
        </w:rPr>
      </w:pPr>
      <w:r w:rsidRPr="001570EA">
        <w:rPr>
          <w:lang w:bidi="en-US"/>
        </w:rPr>
        <w:tab/>
      </w:r>
      <w:r w:rsidRPr="001570EA">
        <w:rPr>
          <w:rFonts w:ascii="Cambria Math" w:hAnsi="Cambria Math" w:cs="Arial"/>
        </w:rPr>
        <w:t>ΔkWh</w:t>
      </w:r>
      <w:r w:rsidRPr="001570EA">
        <w:rPr>
          <w:rFonts w:ascii="Cambria Math" w:hAnsi="Cambria Math" w:cs="Arial"/>
          <w:vertAlign w:val="subscript"/>
        </w:rPr>
        <w:t>cool</w:t>
      </w:r>
      <m:oMath>
        <m:r>
          <w:rPr>
            <w:rFonts w:ascii="Cambria Math" w:hAnsi="Cambria Math" w:cs="Arial"/>
            <w:szCs w:val="20"/>
          </w:rPr>
          <m:t>=</m:t>
        </m:r>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szCs w:val="20"/>
                  </w:rPr>
                  <m:t>CAPY</m:t>
                </m:r>
              </m:e>
              <m:sub>
                <m:r>
                  <w:rPr>
                    <w:rFonts w:ascii="Cambria Math" w:hAnsi="Cambria Math" w:cs="Arial"/>
                    <w:szCs w:val="20"/>
                  </w:rPr>
                  <m:t>cool</m:t>
                </m:r>
              </m:sub>
            </m:sSub>
          </m:num>
          <m:den>
            <m:sSub>
              <m:sSubPr>
                <m:ctrlPr>
                  <w:rPr>
                    <w:rFonts w:ascii="Cambria Math" w:hAnsi="Cambria Math" w:cs="Arial"/>
                    <w:i w:val="0"/>
                    <w:szCs w:val="20"/>
                  </w:rPr>
                </m:ctrlPr>
              </m:sSubPr>
              <m:e>
                <m:r>
                  <w:rPr>
                    <w:rFonts w:ascii="Cambria Math" w:hAnsi="Cambria Math" w:cs="Arial"/>
                    <w:szCs w:val="20"/>
                  </w:rPr>
                  <m:t>SEER</m:t>
                </m:r>
              </m:e>
              <m:sub>
                <m:r>
                  <w:rPr>
                    <w:rFonts w:ascii="Cambria Math" w:hAnsi="Cambria Math" w:cs="Arial"/>
                    <w:szCs w:val="20"/>
                  </w:rPr>
                  <m:t>base</m:t>
                </m:r>
              </m:sub>
            </m:sSub>
          </m:den>
        </m:f>
        <m:r>
          <w:rPr>
            <w:rFonts w:ascii="Cambria Math" w:hAnsi="Cambria Math" w:cs="Arial"/>
            <w:szCs w:val="20"/>
          </w:rPr>
          <m:t>×MF×</m:t>
        </m:r>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cool</m:t>
            </m:r>
          </m:sub>
        </m:sSub>
      </m:oMath>
    </w:p>
    <w:p w14:paraId="6FB93F0A" w14:textId="77777777" w:rsidR="007376E1" w:rsidRPr="001570EA" w:rsidRDefault="007376E1" w:rsidP="007376E1">
      <w:pPr>
        <w:pStyle w:val="Equation"/>
        <w:tabs>
          <w:tab w:val="left" w:pos="1440"/>
        </w:tabs>
        <w:rPr>
          <w:rFonts w:ascii="Cambria Math" w:hAnsi="Cambria Math" w:cs="Arial"/>
          <w:i w:val="0"/>
          <w:szCs w:val="20"/>
        </w:rPr>
      </w:pPr>
    </w:p>
    <w:p w14:paraId="30B467DB" w14:textId="77777777" w:rsidR="007376E1" w:rsidRPr="001570EA" w:rsidRDefault="007376E1" w:rsidP="007376E1">
      <w:pPr>
        <w:pStyle w:val="Equation"/>
        <w:tabs>
          <w:tab w:val="left" w:pos="1440"/>
        </w:tabs>
        <w:rPr>
          <w:rFonts w:ascii="Cambria Math" w:hAnsi="Cambria Math" w:cs="Arial"/>
          <w:szCs w:val="20"/>
        </w:rPr>
      </w:pPr>
      <w:r w:rsidRPr="001570EA">
        <w:rPr>
          <w:rFonts w:ascii="Cambria Math" w:hAnsi="Cambria Math" w:cs="Arial"/>
        </w:rPr>
        <w:tab/>
        <w:t>ΔkWh</w:t>
      </w:r>
      <w:r w:rsidRPr="001570EA">
        <w:rPr>
          <w:rFonts w:ascii="Cambria Math" w:hAnsi="Cambria Math" w:cs="Arial"/>
          <w:vertAlign w:val="subscript"/>
        </w:rPr>
        <w:t>heat</w:t>
      </w:r>
      <m:oMath>
        <m:r>
          <w:rPr>
            <w:rFonts w:ascii="Cambria Math" w:hAnsi="Cambria Math" w:cs="Arial"/>
            <w:szCs w:val="20"/>
          </w:rPr>
          <m:t>=</m:t>
        </m:r>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szCs w:val="20"/>
                  </w:rPr>
                  <m:t>CAPY</m:t>
                </m:r>
              </m:e>
              <m:sub>
                <m:r>
                  <w:rPr>
                    <w:rFonts w:ascii="Cambria Math" w:hAnsi="Cambria Math" w:cs="Arial"/>
                    <w:szCs w:val="20"/>
                  </w:rPr>
                  <m:t>heat</m:t>
                </m:r>
              </m:sub>
            </m:sSub>
          </m:num>
          <m:den>
            <m:sSub>
              <m:sSubPr>
                <m:ctrlPr>
                  <w:rPr>
                    <w:rFonts w:ascii="Cambria Math" w:hAnsi="Cambria Math" w:cs="Arial"/>
                    <w:i w:val="0"/>
                    <w:szCs w:val="20"/>
                  </w:rPr>
                </m:ctrlPr>
              </m:sSubPr>
              <m:e>
                <m:r>
                  <w:rPr>
                    <w:rFonts w:ascii="Cambria Math" w:hAnsi="Cambria Math" w:cs="Arial"/>
                    <w:szCs w:val="20"/>
                  </w:rPr>
                  <m:t>HSPF</m:t>
                </m:r>
              </m:e>
              <m:sub>
                <m:r>
                  <w:rPr>
                    <w:rFonts w:ascii="Cambria Math" w:hAnsi="Cambria Math" w:cs="Arial"/>
                    <w:szCs w:val="20"/>
                  </w:rPr>
                  <m:t>base</m:t>
                </m:r>
              </m:sub>
            </m:sSub>
          </m:den>
        </m:f>
        <m:r>
          <w:rPr>
            <w:rFonts w:ascii="Cambria Math" w:hAnsi="Cambria Math" w:cs="Arial"/>
            <w:szCs w:val="20"/>
          </w:rPr>
          <m:t xml:space="preserve">×MF× </m:t>
        </m:r>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heat,HP</m:t>
            </m:r>
          </m:sub>
        </m:sSub>
      </m:oMath>
    </w:p>
    <w:p w14:paraId="140114E7" w14:textId="77777777" w:rsidR="007376E1" w:rsidRPr="001570EA" w:rsidRDefault="007376E1" w:rsidP="007376E1">
      <w:pPr>
        <w:pStyle w:val="Equation"/>
        <w:tabs>
          <w:tab w:val="left" w:pos="1440"/>
        </w:tabs>
        <w:ind w:left="0" w:firstLine="0"/>
        <w:rPr>
          <w:rFonts w:ascii="Cambria Math" w:eastAsia="Times New Roman" w:hAnsi="Cambria Math" w:cs="Arial"/>
          <w:i w:val="0"/>
          <w:szCs w:val="20"/>
        </w:rPr>
      </w:pPr>
    </w:p>
    <w:p w14:paraId="088B9B51" w14:textId="77777777" w:rsidR="007376E1" w:rsidRPr="001570EA" w:rsidRDefault="007376E1" w:rsidP="007376E1">
      <w:pPr>
        <w:tabs>
          <w:tab w:val="left" w:pos="1440"/>
          <w:tab w:val="left" w:pos="2880"/>
        </w:tabs>
        <w:rPr>
          <w:rFonts w:ascii="Cambria Math" w:hAnsi="Cambria Math" w:cs="Arial"/>
          <w:i/>
        </w:rPr>
      </w:pPr>
      <w:r w:rsidRPr="001570EA">
        <w:rPr>
          <w:rFonts w:ascii="Cambria Math" w:hAnsi="Cambria Math" w:cs="Arial"/>
          <w:i/>
          <w:iCs/>
        </w:rPr>
        <w:t>ΔkW</w:t>
      </w:r>
      <w:r w:rsidRPr="001570EA">
        <w:rPr>
          <w:rFonts w:cs="Arial"/>
          <w:i/>
          <w:iCs/>
          <w:vertAlign w:val="subscript"/>
        </w:rPr>
        <w:t>summer peak</w:t>
      </w:r>
      <w:r w:rsidRPr="001570EA">
        <w:rPr>
          <w:rFonts w:ascii="Cambria Math" w:hAnsi="Cambria Math" w:cs="Arial"/>
          <w:i/>
          <w:iCs/>
          <w:vertAlign w:val="subscript"/>
        </w:rPr>
        <w:tab/>
      </w:r>
      <m:oMath>
        <m:r>
          <w:rPr>
            <w:rFonts w:ascii="Cambria Math" w:hAnsi="Cambria Math" w:cs="Arial"/>
          </w:rPr>
          <m:t>=</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hAnsi="Cambria Math" w:cs="Arial"/>
                  </w:rPr>
                  <m:t>CAPY</m:t>
                </m:r>
              </m:e>
              <m:sub>
                <m:r>
                  <w:rPr>
                    <w:rFonts w:ascii="Cambria Math" w:hAnsi="Cambria Math" w:cs="Arial"/>
                  </w:rPr>
                  <m:t>cool</m:t>
                </m:r>
              </m:sub>
            </m:sSub>
          </m:num>
          <m:den>
            <m:sSub>
              <m:sSubPr>
                <m:ctrlPr>
                  <w:rPr>
                    <w:rFonts w:ascii="Cambria Math" w:eastAsia="Calibri" w:hAnsi="Cambria Math" w:cs="Arial"/>
                    <w:i/>
                  </w:rPr>
                </m:ctrlPr>
              </m:sSubPr>
              <m:e>
                <m:r>
                  <w:rPr>
                    <w:rFonts w:ascii="Cambria Math" w:hAnsi="Cambria Math" w:cs="Arial"/>
                  </w:rPr>
                  <m:t>EER</m:t>
                </m:r>
              </m:e>
              <m:sub>
                <m:r>
                  <w:rPr>
                    <w:rFonts w:ascii="Cambria Math" w:eastAsia="Calibri" w:hAnsi="Cambria Math" w:cs="Arial"/>
                  </w:rPr>
                  <m:t>base</m:t>
                </m:r>
              </m:sub>
            </m:sSub>
          </m:den>
        </m:f>
        <m:r>
          <m:rPr>
            <m:sty m:val="p"/>
          </m:rPr>
          <w:rPr>
            <w:rFonts w:ascii="Cambria Math" w:hAnsi="Cambria Math" w:cs="Arial"/>
          </w:rPr>
          <m:t>×</m:t>
        </m:r>
        <m:r>
          <w:rPr>
            <w:rFonts w:ascii="Cambria Math" w:hAnsi="Cambria Math" w:cs="Arial"/>
          </w:rPr>
          <m:t xml:space="preserve">MF× </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p>
    <w:p w14:paraId="6ED22B25" w14:textId="77777777" w:rsidR="007376E1" w:rsidRPr="001570EA" w:rsidRDefault="007376E1" w:rsidP="007376E1">
      <w:pPr>
        <w:tabs>
          <w:tab w:val="left" w:pos="1440"/>
          <w:tab w:val="left" w:pos="2880"/>
        </w:tabs>
        <w:rPr>
          <w:rFonts w:ascii="Cambria Math" w:hAnsi="Cambria Math" w:cs="Arial"/>
          <w:i/>
        </w:rPr>
      </w:pPr>
    </w:p>
    <w:p w14:paraId="0FCE178A" w14:textId="77777777" w:rsidR="007376E1" w:rsidRPr="001570EA" w:rsidRDefault="007376E1" w:rsidP="007376E1">
      <w:pPr>
        <w:tabs>
          <w:tab w:val="left" w:pos="1440"/>
          <w:tab w:val="left" w:pos="2880"/>
        </w:tabs>
        <w:rPr>
          <w:rFonts w:ascii="Cambria Math" w:hAnsi="Cambria Math" w:cs="Arial"/>
          <w:i/>
        </w:rPr>
      </w:pPr>
      <w:r w:rsidRPr="001570EA">
        <w:rPr>
          <w:rFonts w:ascii="Cambria Math" w:hAnsi="Cambria Math" w:cs="Arial"/>
          <w:i/>
          <w:iCs/>
        </w:rPr>
        <w:t>ΔkW</w:t>
      </w:r>
      <w:r w:rsidRPr="001570EA">
        <w:rPr>
          <w:rFonts w:cs="Arial"/>
          <w:i/>
          <w:iCs/>
          <w:vertAlign w:val="subscript"/>
        </w:rPr>
        <w:t>winter peak</w:t>
      </w:r>
      <w:r w:rsidRPr="001570EA">
        <w:rPr>
          <w:rFonts w:ascii="Cambria Math" w:hAnsi="Cambria Math" w:cs="Arial"/>
          <w:i/>
          <w:iCs/>
          <w:vertAlign w:val="subscript"/>
        </w:rPr>
        <w:tab/>
      </w:r>
      <m:oMath>
        <m:r>
          <w:rPr>
            <w:rFonts w:ascii="Cambria Math" w:hAnsi="Cambria Math" w:cs="Arial"/>
          </w:rPr>
          <m:t>=</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hAnsi="Cambria Math" w:cs="Arial"/>
                  </w:rPr>
                  <m:t>CAPY</m:t>
                </m:r>
              </m:e>
              <m:sub>
                <m:r>
                  <w:rPr>
                    <w:rFonts w:ascii="Cambria Math" w:hAnsi="Cambria Math" w:cs="Arial"/>
                  </w:rPr>
                  <m:t>heat</m:t>
                </m:r>
              </m:sub>
            </m:sSub>
          </m:num>
          <m:den>
            <m:sSub>
              <m:sSubPr>
                <m:ctrlPr>
                  <w:rPr>
                    <w:rFonts w:ascii="Cambria Math" w:eastAsia="Calibri" w:hAnsi="Cambria Math" w:cs="Arial"/>
                    <w:i/>
                  </w:rPr>
                </m:ctrlPr>
              </m:sSubPr>
              <m:e>
                <m:r>
                  <w:rPr>
                    <w:rFonts w:ascii="Cambria Math" w:hAnsi="Cambria Math" w:cs="Arial"/>
                  </w:rPr>
                  <m:t>COP</m:t>
                </m:r>
              </m:e>
              <m:sub>
                <m:r>
                  <w:rPr>
                    <w:rFonts w:ascii="Cambria Math" w:eastAsia="Calibri" w:hAnsi="Cambria Math" w:cs="Arial"/>
                  </w:rPr>
                  <m:t>base</m:t>
                </m:r>
              </m:sub>
            </m:sSub>
          </m:den>
        </m:f>
        <m:r>
          <w:rPr>
            <w:rFonts w:ascii="Cambria Math" w:hAnsi="Cambria Math" w:cs="Arial"/>
          </w:rPr>
          <m:t xml:space="preserve">× </m:t>
        </m:r>
        <m:f>
          <m:fPr>
            <m:ctrlPr>
              <w:rPr>
                <w:rFonts w:ascii="Cambria Math" w:hAnsi="Cambria Math"/>
              </w:rPr>
            </m:ctrlPr>
          </m:fPr>
          <m:num>
            <m:r>
              <w:rPr>
                <w:rFonts w:ascii="Cambria Math" w:hAnsi="Cambria Math"/>
              </w:rPr>
              <m:t>1</m:t>
            </m:r>
          </m:num>
          <m:den>
            <m:r>
              <m:rPr>
                <m:sty m:val="p"/>
              </m:rPr>
              <w:rPr>
                <w:rFonts w:ascii="Cambria Math" w:hAnsi="Cambria Math"/>
              </w:rPr>
              <m:t>3.412</m:t>
            </m:r>
            <m:f>
              <m:fPr>
                <m:ctrlPr>
                  <w:rPr>
                    <w:rFonts w:ascii="Cambria Math" w:hAnsi="Cambria Math" w:cs="Arial"/>
                  </w:rPr>
                </m:ctrlPr>
              </m:fPr>
              <m:num>
                <m:r>
                  <m:rPr>
                    <m:sty m:val="p"/>
                  </m:rPr>
                  <w:rPr>
                    <w:rFonts w:ascii="Cambria Math" w:hAnsi="Cambria Math" w:cs="Arial"/>
                  </w:rPr>
                  <m:t>BTU</m:t>
                </m:r>
                <m:ctrlPr>
                  <w:rPr>
                    <w:rFonts w:ascii="Cambria Math" w:hAnsi="Cambria Math" w:cs="Arial"/>
                    <w:iCs/>
                  </w:rPr>
                </m:ctrlPr>
              </m:num>
              <m:den>
                <m:r>
                  <m:rPr>
                    <m:sty m:val="p"/>
                  </m:rPr>
                  <w:rPr>
                    <w:rFonts w:ascii="Cambria Math" w:hAnsi="Cambria Math" w:cs="Arial"/>
                  </w:rPr>
                  <m:t>W∙h</m:t>
                </m:r>
              </m:den>
            </m:f>
          </m:den>
        </m:f>
        <m:r>
          <m:rPr>
            <m:sty m:val="p"/>
          </m:rPr>
          <w:rPr>
            <w:rFonts w:ascii="Cambria Math" w:hAnsi="Cambria Math" w:cs="Arial"/>
          </w:rPr>
          <m:t>×</m:t>
        </m:r>
        <m:r>
          <w:rPr>
            <w:rFonts w:ascii="Cambria Math" w:hAnsi="Cambria Math" w:cs="Arial"/>
          </w:rPr>
          <m:t>MF×</m:t>
        </m:r>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w:p>
    <w:p w14:paraId="7069CE97" w14:textId="77777777" w:rsidR="007376E1" w:rsidRPr="001570EA" w:rsidRDefault="007376E1" w:rsidP="007376E1">
      <w:pPr>
        <w:tabs>
          <w:tab w:val="left" w:pos="1440"/>
          <w:tab w:val="left" w:pos="2880"/>
        </w:tabs>
        <w:rPr>
          <w:rFonts w:ascii="Cambria Math" w:hAnsi="Cambria Math" w:cs="Arial"/>
          <w:i/>
        </w:rPr>
      </w:pPr>
    </w:p>
    <w:p w14:paraId="26275F4F" w14:textId="77777777" w:rsidR="007376E1" w:rsidRPr="001570EA" w:rsidRDefault="007376E1" w:rsidP="00597241">
      <w:pPr>
        <w:pStyle w:val="3ptheading"/>
        <w:keepNext/>
      </w:pPr>
      <w:r w:rsidRPr="001570EA">
        <w:rPr>
          <w:rFonts w:cs="Arial"/>
        </w:rPr>
        <w:t>Qualifying: Gr</w:t>
      </w:r>
      <w:r w:rsidRPr="001570EA">
        <w:t>ound Source Heat Pump</w:t>
      </w:r>
    </w:p>
    <w:p w14:paraId="4F801544" w14:textId="77777777" w:rsidR="007376E1" w:rsidRPr="001570EA" w:rsidRDefault="007376E1" w:rsidP="00597241">
      <w:pPr>
        <w:keepNext/>
      </w:pPr>
      <w:r w:rsidRPr="001570EA">
        <w:t>GSHP efficiencies are typically calculated differently than air-source units, baseline and qualifying unit efficiencies should be converted as follows</w:t>
      </w:r>
      <w:r w:rsidRPr="001570EA">
        <w:rPr>
          <w:i/>
        </w:rPr>
        <w:t>:</w:t>
      </w:r>
    </w:p>
    <w:p w14:paraId="7FBCBB0C" w14:textId="77777777" w:rsidR="007376E1" w:rsidRPr="001570EA" w:rsidRDefault="007376E1" w:rsidP="00597241">
      <w:pPr>
        <w:keepNext/>
        <w:tabs>
          <w:tab w:val="left" w:pos="1440"/>
        </w:tabs>
        <w:spacing w:before="120"/>
        <w:rPr>
          <w:rFonts w:ascii="Cambria Math" w:hAnsi="Cambria Math"/>
          <w:i/>
        </w:rPr>
      </w:pPr>
      <w:r w:rsidRPr="001570EA">
        <w:rPr>
          <w:rFonts w:ascii="Cambria Math" w:hAnsi="Cambria Math"/>
          <w:i/>
        </w:rPr>
        <w:t>SEER</w:t>
      </w:r>
      <w:r w:rsidRPr="001570EA">
        <w:rPr>
          <w:rFonts w:ascii="Cambria Math" w:hAnsi="Cambria Math"/>
          <w:i/>
          <w:vertAlign w:val="subscript"/>
        </w:rPr>
        <w:tab/>
      </w:r>
      <w:r w:rsidRPr="001570EA">
        <w:rPr>
          <w:rFonts w:ascii="Cambria Math" w:hAnsi="Cambria Math"/>
          <w:i/>
        </w:rPr>
        <w:t>= EER</w:t>
      </w:r>
      <w:r w:rsidRPr="001570EA">
        <w:rPr>
          <w:rFonts w:ascii="Cambria Math" w:hAnsi="Cambria Math"/>
          <w:i/>
          <w:vertAlign w:val="subscript"/>
        </w:rPr>
        <w:t>g</w:t>
      </w:r>
      <w:r w:rsidRPr="001570EA">
        <w:rPr>
          <w:rFonts w:ascii="Cambria Math" w:hAnsi="Cambria Math"/>
          <w:i/>
        </w:rPr>
        <w:t xml:space="preserve"> </w:t>
      </w:r>
      <w:r w:rsidRPr="001570EA">
        <w:rPr>
          <w:rFonts w:ascii="Cambria Math" w:hAnsi="Cambria Math"/>
        </w:rPr>
        <w:t>×</w:t>
      </w:r>
      <w:r w:rsidRPr="001570EA">
        <w:rPr>
          <w:rFonts w:ascii="Cambria Math" w:hAnsi="Cambria Math"/>
          <w:i/>
        </w:rPr>
        <w:t xml:space="preserve"> GSER</w:t>
      </w:r>
    </w:p>
    <w:p w14:paraId="0660CA67" w14:textId="77777777" w:rsidR="007376E1" w:rsidRPr="001570EA" w:rsidRDefault="007376E1" w:rsidP="00597241">
      <w:pPr>
        <w:keepNext/>
        <w:tabs>
          <w:tab w:val="left" w:pos="1440"/>
        </w:tabs>
        <w:spacing w:before="120"/>
        <w:rPr>
          <w:rFonts w:ascii="Cambria Math" w:hAnsi="Cambria Math"/>
          <w:i/>
        </w:rPr>
      </w:pPr>
      <w:r w:rsidRPr="001570EA">
        <w:rPr>
          <w:rFonts w:ascii="Cambria Math" w:hAnsi="Cambria Math"/>
          <w:i/>
        </w:rPr>
        <w:t>EER</w:t>
      </w:r>
      <w:r w:rsidRPr="001570EA">
        <w:rPr>
          <w:rFonts w:ascii="Cambria Math" w:hAnsi="Cambria Math"/>
          <w:i/>
          <w:vertAlign w:val="subscript"/>
        </w:rPr>
        <w:tab/>
      </w:r>
      <w:r w:rsidRPr="001570EA">
        <w:rPr>
          <w:rFonts w:ascii="Cambria Math" w:hAnsi="Cambria Math"/>
          <w:b/>
          <w:i/>
        </w:rPr>
        <w:t xml:space="preserve">= </w:t>
      </w:r>
      <w:r w:rsidRPr="001570EA">
        <w:rPr>
          <w:rFonts w:ascii="Cambria Math" w:hAnsi="Cambria Math"/>
          <w:i/>
        </w:rPr>
        <w:t>EER</w:t>
      </w:r>
      <w:r w:rsidRPr="001570EA">
        <w:rPr>
          <w:rFonts w:ascii="Cambria Math" w:hAnsi="Cambria Math"/>
          <w:i/>
          <w:vertAlign w:val="subscript"/>
        </w:rPr>
        <w:t>g</w:t>
      </w:r>
      <w:r w:rsidRPr="001570EA">
        <w:rPr>
          <w:rFonts w:ascii="Cambria Math" w:hAnsi="Cambria Math"/>
          <w:i/>
        </w:rPr>
        <w:t xml:space="preserve"> </w:t>
      </w:r>
    </w:p>
    <w:p w14:paraId="4A417B74" w14:textId="77777777" w:rsidR="007376E1" w:rsidRPr="001570EA" w:rsidRDefault="007376E1" w:rsidP="00597241">
      <w:pPr>
        <w:keepNext/>
        <w:tabs>
          <w:tab w:val="left" w:pos="1440"/>
        </w:tabs>
        <w:spacing w:before="60"/>
        <w:rPr>
          <w:rFonts w:ascii="Cambria Math" w:hAnsi="Cambria Math"/>
          <w:i/>
        </w:rPr>
      </w:pPr>
      <w:r w:rsidRPr="001570EA">
        <w:rPr>
          <w:rFonts w:ascii="Cambria Math" w:hAnsi="Cambria Math"/>
          <w:i/>
        </w:rPr>
        <w:t>HSPF</w:t>
      </w:r>
      <w:r w:rsidRPr="001570EA">
        <w:rPr>
          <w:rFonts w:ascii="Cambria Math" w:hAnsi="Cambria Math"/>
          <w:b/>
          <w:i/>
          <w:vertAlign w:val="subscript"/>
        </w:rPr>
        <w:tab/>
      </w:r>
      <w:r w:rsidRPr="001570EA">
        <w:rPr>
          <w:rFonts w:ascii="Cambria Math" w:hAnsi="Cambria Math"/>
          <w:b/>
          <w:i/>
        </w:rPr>
        <w:t>=</w:t>
      </w:r>
      <w:r w:rsidRPr="001570EA">
        <w:rPr>
          <w:rFonts w:ascii="Cambria Math" w:hAnsi="Cambria Math"/>
          <w:i/>
        </w:rPr>
        <w:t xml:space="preserve"> COP</w:t>
      </w:r>
      <w:r w:rsidRPr="001570EA">
        <w:rPr>
          <w:rFonts w:ascii="Cambria Math" w:hAnsi="Cambria Math"/>
          <w:i/>
          <w:vertAlign w:val="subscript"/>
        </w:rPr>
        <w:t>g</w:t>
      </w:r>
      <w:r w:rsidRPr="001570EA">
        <w:rPr>
          <w:rFonts w:ascii="Cambria Math" w:hAnsi="Cambria Math"/>
          <w:i/>
        </w:rPr>
        <w:t xml:space="preserve"> </w:t>
      </w:r>
      <w:r w:rsidRPr="001570EA">
        <w:rPr>
          <w:rFonts w:ascii="Cambria Math" w:hAnsi="Cambria Math"/>
        </w:rPr>
        <w:t>× 3.412</w:t>
      </w:r>
      <m:oMath>
        <m:f>
          <m:fPr>
            <m:ctrlPr>
              <w:rPr>
                <w:rFonts w:ascii="Cambria Math" w:hAnsi="Cambria Math" w:cs="Arial"/>
              </w:rPr>
            </m:ctrlPr>
          </m:fPr>
          <m:num>
            <m:r>
              <m:rPr>
                <m:nor/>
              </m:rPr>
              <w:rPr>
                <w:rFonts w:ascii="Cambria Math" w:hAnsi="Cambria Math" w:cs="Arial"/>
                <w:iCs/>
              </w:rPr>
              <m:t>BTU</m:t>
            </m:r>
            <m:ctrlPr>
              <w:rPr>
                <w:rFonts w:ascii="Cambria Math" w:hAnsi="Cambria Math" w:cs="Arial"/>
                <w:iCs/>
              </w:rPr>
            </m:ctrlPr>
          </m:num>
          <m:den>
            <m:r>
              <m:rPr>
                <m:nor/>
              </m:rPr>
              <w:rPr>
                <w:rFonts w:ascii="Cambria Math" w:hAnsi="Cambria Math" w:cs="Arial"/>
                <w:iCs/>
              </w:rPr>
              <m:t>W∙h</m:t>
            </m:r>
          </m:den>
        </m:f>
      </m:oMath>
      <w:r w:rsidRPr="001570EA">
        <w:rPr>
          <w:rFonts w:ascii="Cambria Math" w:hAnsi="Cambria Math"/>
          <w:iCs/>
        </w:rPr>
        <w:t xml:space="preserve"> </w:t>
      </w:r>
      <w:r w:rsidRPr="001570EA">
        <w:rPr>
          <w:rFonts w:ascii="Cambria Math" w:hAnsi="Cambria Math"/>
        </w:rPr>
        <w:t xml:space="preserve">× </w:t>
      </w:r>
      <w:r w:rsidRPr="001570EA">
        <w:rPr>
          <w:rFonts w:ascii="Cambria Math" w:hAnsi="Cambria Math"/>
          <w:i/>
        </w:rPr>
        <w:t>GSOP</w:t>
      </w:r>
    </w:p>
    <w:p w14:paraId="4D29E728" w14:textId="77777777" w:rsidR="007376E1" w:rsidRPr="001570EA" w:rsidRDefault="007376E1" w:rsidP="00597241">
      <w:pPr>
        <w:keepNext/>
        <w:tabs>
          <w:tab w:val="left" w:pos="1440"/>
        </w:tabs>
        <w:spacing w:before="60"/>
        <w:rPr>
          <w:rFonts w:ascii="Cambria Math" w:hAnsi="Cambria Math"/>
          <w:b/>
          <w:i/>
        </w:rPr>
      </w:pPr>
      <w:r w:rsidRPr="001570EA">
        <w:rPr>
          <w:rFonts w:ascii="Cambria Math" w:hAnsi="Cambria Math"/>
          <w:i/>
        </w:rPr>
        <w:t>COP</w:t>
      </w:r>
      <w:r w:rsidRPr="001570EA">
        <w:rPr>
          <w:rFonts w:ascii="Cambria Math" w:hAnsi="Cambria Math"/>
          <w:i/>
          <w:vertAlign w:val="subscript"/>
        </w:rPr>
        <w:tab/>
      </w:r>
      <w:r w:rsidRPr="001570EA">
        <w:rPr>
          <w:rFonts w:ascii="Cambria Math" w:hAnsi="Cambria Math"/>
          <w:i/>
        </w:rPr>
        <w:t>=COP</w:t>
      </w:r>
      <w:r w:rsidRPr="001570EA">
        <w:rPr>
          <w:rFonts w:ascii="Cambria Math" w:hAnsi="Cambria Math"/>
          <w:i/>
          <w:vertAlign w:val="subscript"/>
        </w:rPr>
        <w:t>g</w:t>
      </w:r>
      <w:r w:rsidRPr="001570EA">
        <w:rPr>
          <w:rFonts w:ascii="Cambria Math" w:hAnsi="Cambria Math"/>
          <w:i/>
        </w:rPr>
        <w:t xml:space="preserve"> </w:t>
      </w:r>
    </w:p>
    <w:p w14:paraId="5B95D773" w14:textId="77777777" w:rsidR="007376E1" w:rsidRPr="001570EA" w:rsidRDefault="007376E1" w:rsidP="007376E1">
      <w:pPr>
        <w:tabs>
          <w:tab w:val="left" w:pos="1440"/>
        </w:tabs>
        <w:rPr>
          <w:rFonts w:cs="Arial"/>
        </w:rPr>
      </w:pPr>
    </w:p>
    <w:p w14:paraId="1E774287" w14:textId="77777777" w:rsidR="007376E1" w:rsidRPr="001570EA" w:rsidRDefault="007376E1" w:rsidP="007376E1">
      <w:pPr>
        <w:tabs>
          <w:tab w:val="left" w:pos="1440"/>
        </w:tabs>
        <w:rPr>
          <w:rFonts w:cs="Arial"/>
          <w:b/>
        </w:rPr>
      </w:pPr>
      <w:r w:rsidRPr="001570EA">
        <w:rPr>
          <w:rFonts w:cs="Arial"/>
          <w:b/>
        </w:rPr>
        <w:t>PTAC and PTHP</w:t>
      </w:r>
    </w:p>
    <w:p w14:paraId="603FF029" w14:textId="77777777" w:rsidR="007376E1" w:rsidRPr="001570EA" w:rsidRDefault="007376E1" w:rsidP="007376E1">
      <w:pPr>
        <w:tabs>
          <w:tab w:val="left" w:pos="1440"/>
        </w:tabs>
        <w:rPr>
          <w:rFonts w:ascii="Cambria Math" w:hAnsi="Cambria Math"/>
          <w:i/>
          <w:vertAlign w:val="subscript"/>
        </w:rPr>
      </w:pPr>
      <w:r w:rsidRPr="001570EA">
        <w:rPr>
          <w:rFonts w:ascii="Cambria Math" w:hAnsi="Cambria Math"/>
          <w:i/>
        </w:rPr>
        <w:t>SEER</w:t>
      </w:r>
      <w:r w:rsidRPr="001570EA">
        <w:rPr>
          <w:rFonts w:ascii="Cambria Math" w:hAnsi="Cambria Math"/>
          <w:i/>
          <w:vertAlign w:val="subscript"/>
        </w:rPr>
        <w:t xml:space="preserve">base </w:t>
      </w:r>
      <w:r w:rsidRPr="001570EA">
        <w:rPr>
          <w:rFonts w:ascii="Cambria Math" w:hAnsi="Cambria Math"/>
          <w:i/>
        </w:rPr>
        <w:tab/>
      </w:r>
      <w:r w:rsidRPr="001570EA">
        <w:rPr>
          <w:rFonts w:ascii="Cambria Math" w:hAnsi="Cambria Math"/>
          <w:i/>
          <w:vertAlign w:val="subscript"/>
        </w:rPr>
        <w:t>=</w:t>
      </w:r>
      <w:r w:rsidRPr="001570EA">
        <w:rPr>
          <w:rFonts w:ascii="Cambria Math" w:hAnsi="Cambria Math"/>
          <w:i/>
        </w:rPr>
        <w:t xml:space="preserve"> EER</w:t>
      </w:r>
      <w:r w:rsidRPr="001570EA">
        <w:rPr>
          <w:rFonts w:ascii="Cambria Math" w:hAnsi="Cambria Math"/>
          <w:i/>
          <w:vertAlign w:val="subscript"/>
        </w:rPr>
        <w:t>base</w:t>
      </w:r>
    </w:p>
    <w:p w14:paraId="0FED3ACD" w14:textId="77777777" w:rsidR="007376E1" w:rsidRPr="001570EA" w:rsidRDefault="007376E1" w:rsidP="007376E1">
      <w:pPr>
        <w:tabs>
          <w:tab w:val="left" w:pos="1440"/>
        </w:tabs>
      </w:pPr>
    </w:p>
    <w:p w14:paraId="1AF57F26" w14:textId="77777777" w:rsidR="007376E1" w:rsidRPr="001570EA" w:rsidRDefault="007376E1" w:rsidP="007376E1">
      <w:pPr>
        <w:pStyle w:val="SubStyle"/>
      </w:pPr>
      <w:r w:rsidRPr="001570EA">
        <w:t>Definition of Terms</w:t>
      </w:r>
    </w:p>
    <w:p w14:paraId="571BA2E1" w14:textId="076DAF33" w:rsidR="007376E1" w:rsidRPr="001570EA" w:rsidRDefault="007376E1" w:rsidP="007376E1">
      <w:pPr>
        <w:pStyle w:val="Caption"/>
      </w:pPr>
      <w:bookmarkStart w:id="241" w:name="_Toc47598266"/>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28</w:t>
      </w:r>
      <w:r w:rsidR="002E093A" w:rsidRPr="001570EA">
        <w:fldChar w:fldCharType="end"/>
      </w:r>
      <w:r w:rsidRPr="001570EA">
        <w:t xml:space="preserve">: </w:t>
      </w:r>
      <w:r w:rsidRPr="001570EA">
        <w:rPr>
          <w:rFonts w:cs="Arial"/>
        </w:rPr>
        <w:t>Terms, Values, and References for</w:t>
      </w:r>
      <w:r w:rsidRPr="001570EA">
        <w:t xml:space="preserve"> Air Conditioner &amp; Heat Pump Maintenance</w:t>
      </w:r>
      <w:bookmarkEnd w:id="241"/>
      <w:r w:rsidRPr="001570EA">
        <w:t xml:space="preserve"> </w:t>
      </w:r>
    </w:p>
    <w:tbl>
      <w:tblPr>
        <w:tblStyle w:val="TableGrid"/>
        <w:tblW w:w="8573" w:type="dxa"/>
        <w:tblInd w:w="175" w:type="dxa"/>
        <w:tblLayout w:type="fixed"/>
        <w:tblLook w:val="04A0" w:firstRow="1" w:lastRow="0" w:firstColumn="1" w:lastColumn="0" w:noHBand="0" w:noVBand="1"/>
      </w:tblPr>
      <w:tblGrid>
        <w:gridCol w:w="3623"/>
        <w:gridCol w:w="1170"/>
        <w:gridCol w:w="2070"/>
        <w:gridCol w:w="1710"/>
      </w:tblGrid>
      <w:tr w:rsidR="007376E1" w:rsidRPr="001570EA" w14:paraId="08ACC773" w14:textId="77777777">
        <w:trPr>
          <w:trHeight w:val="242"/>
          <w:tblHeader/>
        </w:trPr>
        <w:tc>
          <w:tcPr>
            <w:tcW w:w="3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4475EB" w14:textId="77777777" w:rsidR="007376E1" w:rsidRPr="001570EA" w:rsidRDefault="007376E1">
            <w:pPr>
              <w:rPr>
                <w:sz w:val="18"/>
                <w:szCs w:val="18"/>
              </w:rPr>
            </w:pPr>
            <w:r w:rsidRPr="001570EA">
              <w:rPr>
                <w:b/>
                <w:bCs/>
                <w:sz w:val="18"/>
                <w:szCs w:val="18"/>
              </w:rPr>
              <w:t>Term</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6C8C98" w14:textId="77777777" w:rsidR="007376E1" w:rsidRPr="001570EA" w:rsidRDefault="007376E1">
            <w:pPr>
              <w:jc w:val="center"/>
              <w:rPr>
                <w:sz w:val="18"/>
                <w:szCs w:val="18"/>
              </w:rPr>
            </w:pPr>
            <w:r w:rsidRPr="001570EA">
              <w:rPr>
                <w:b/>
                <w:bCs/>
                <w:sz w:val="18"/>
                <w:szCs w:val="18"/>
              </w:rPr>
              <w:t>Unit</w:t>
            </w:r>
          </w:p>
        </w:tc>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5A5CFD" w14:textId="77777777" w:rsidR="007376E1" w:rsidRPr="001570EA" w:rsidRDefault="007376E1">
            <w:pPr>
              <w:jc w:val="center"/>
              <w:rPr>
                <w:sz w:val="18"/>
                <w:szCs w:val="18"/>
              </w:rPr>
            </w:pPr>
            <w:r w:rsidRPr="001570EA">
              <w:rPr>
                <w:b/>
                <w:bCs/>
                <w:sz w:val="18"/>
                <w:szCs w:val="18"/>
              </w:rPr>
              <w:t>Value</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AE3178" w14:textId="77777777" w:rsidR="007376E1" w:rsidRPr="001570EA" w:rsidRDefault="007376E1">
            <w:pPr>
              <w:jc w:val="center"/>
              <w:rPr>
                <w:sz w:val="18"/>
                <w:szCs w:val="18"/>
              </w:rPr>
            </w:pPr>
            <w:r w:rsidRPr="001570EA">
              <w:rPr>
                <w:b/>
                <w:bCs/>
                <w:sz w:val="18"/>
                <w:szCs w:val="18"/>
              </w:rPr>
              <w:t>Sources</w:t>
            </w:r>
          </w:p>
        </w:tc>
      </w:tr>
      <w:tr w:rsidR="007376E1" w:rsidRPr="001570EA" w14:paraId="6AC5244B" w14:textId="77777777">
        <w:trPr>
          <w:trHeight w:val="650"/>
        </w:trPr>
        <w:tc>
          <w:tcPr>
            <w:tcW w:w="3623" w:type="dxa"/>
            <w:tcBorders>
              <w:top w:val="single" w:sz="4" w:space="0" w:color="auto"/>
              <w:left w:val="single" w:sz="4" w:space="0" w:color="auto"/>
              <w:bottom w:val="single" w:sz="4" w:space="0" w:color="auto"/>
              <w:right w:val="single" w:sz="4" w:space="0" w:color="auto"/>
            </w:tcBorders>
            <w:vAlign w:val="center"/>
            <w:hideMark/>
          </w:tcPr>
          <w:p w14:paraId="676C4E2F" w14:textId="5585C743" w:rsidR="007376E1" w:rsidRPr="001570EA" w:rsidRDefault="007376E1">
            <w:pPr>
              <w:rPr>
                <w:sz w:val="18"/>
                <w:szCs w:val="18"/>
              </w:rPr>
            </w:pPr>
            <w:r w:rsidRPr="001570EA">
              <w:rPr>
                <w:i/>
                <w:iCs/>
                <w:sz w:val="18"/>
                <w:szCs w:val="18"/>
              </w:rPr>
              <w:t>CAPY</w:t>
            </w:r>
            <w:r w:rsidRPr="001570EA">
              <w:rPr>
                <w:i/>
                <w:iCs/>
                <w:sz w:val="18"/>
                <w:szCs w:val="18"/>
                <w:vertAlign w:val="subscript"/>
              </w:rPr>
              <w:t>cool</w:t>
            </w:r>
            <w:r w:rsidRPr="001570EA">
              <w:rPr>
                <w:sz w:val="18"/>
                <w:szCs w:val="18"/>
              </w:rPr>
              <w:t xml:space="preserve">, </w:t>
            </w:r>
            <w:r w:rsidRPr="001570EA">
              <w:rPr>
                <w:rFonts w:cs="Arial"/>
                <w:sz w:val="18"/>
                <w:szCs w:val="18"/>
              </w:rPr>
              <w:t>The cooling capacity of the central air conditioner or heat pump being installed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1003EE2" w14:textId="77777777" w:rsidR="007376E1" w:rsidRPr="001570EA" w:rsidRDefault="007376E1">
            <w:pPr>
              <w:jc w:val="center"/>
              <w:rPr>
                <w:rFonts w:ascii="Cambria Math" w:hAnsi="Cambria Math"/>
                <w:sz w:val="18"/>
                <w:szCs w:val="18"/>
              </w:rPr>
            </w:pPr>
            <w:r w:rsidRPr="001570EA">
              <w:rPr>
                <w:rFonts w:ascii="Cambria Math" w:hAnsi="Cambria Math" w:cs="Arial"/>
                <w:i/>
                <w:iCs/>
                <w:sz w:val="18"/>
                <w:szCs w:val="18"/>
              </w:rPr>
              <w:t>kBTU/hr</w:t>
            </w:r>
          </w:p>
        </w:tc>
        <w:tc>
          <w:tcPr>
            <w:tcW w:w="2070" w:type="dxa"/>
            <w:tcBorders>
              <w:top w:val="single" w:sz="4" w:space="0" w:color="auto"/>
              <w:left w:val="single" w:sz="4" w:space="0" w:color="auto"/>
              <w:bottom w:val="single" w:sz="4" w:space="0" w:color="auto"/>
              <w:right w:val="single" w:sz="4" w:space="0" w:color="auto"/>
            </w:tcBorders>
            <w:vAlign w:val="center"/>
          </w:tcPr>
          <w:p w14:paraId="41794DD3" w14:textId="77777777" w:rsidR="007376E1" w:rsidRPr="001570EA" w:rsidRDefault="007376E1">
            <w:pPr>
              <w:pStyle w:val="TableCell"/>
              <w:spacing w:before="60" w:after="60"/>
              <w:jc w:val="center"/>
              <w:rPr>
                <w:szCs w:val="18"/>
              </w:rPr>
            </w:pPr>
            <w:r w:rsidRPr="001570EA">
              <w:rPr>
                <w:szCs w:val="18"/>
              </w:rPr>
              <w:t>EDC Data Gathering</w:t>
            </w:r>
          </w:p>
          <w:p w14:paraId="65AB7CCE" w14:textId="77777777" w:rsidR="007376E1" w:rsidRPr="001570EA" w:rsidRDefault="007376E1">
            <w:pPr>
              <w:jc w:val="center"/>
              <w:rPr>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EDFCCEA"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22D9D782" w14:textId="77777777">
        <w:trPr>
          <w:trHeight w:val="650"/>
        </w:trPr>
        <w:tc>
          <w:tcPr>
            <w:tcW w:w="3623" w:type="dxa"/>
            <w:tcBorders>
              <w:top w:val="single" w:sz="4" w:space="0" w:color="auto"/>
              <w:left w:val="single" w:sz="4" w:space="0" w:color="auto"/>
              <w:bottom w:val="single" w:sz="4" w:space="0" w:color="auto"/>
              <w:right w:val="single" w:sz="4" w:space="0" w:color="auto"/>
            </w:tcBorders>
            <w:vAlign w:val="center"/>
            <w:hideMark/>
          </w:tcPr>
          <w:p w14:paraId="280E31AE" w14:textId="083A3FAB" w:rsidR="007376E1" w:rsidRPr="001570EA" w:rsidRDefault="007376E1">
            <w:pPr>
              <w:rPr>
                <w:sz w:val="18"/>
                <w:szCs w:val="18"/>
              </w:rPr>
            </w:pPr>
            <w:r w:rsidRPr="001570EA">
              <w:rPr>
                <w:i/>
                <w:iCs/>
                <w:sz w:val="18"/>
                <w:szCs w:val="18"/>
              </w:rPr>
              <w:t>CAPY</w:t>
            </w:r>
            <w:r w:rsidRPr="001570EA">
              <w:rPr>
                <w:i/>
                <w:iCs/>
                <w:sz w:val="18"/>
                <w:szCs w:val="18"/>
                <w:vertAlign w:val="subscript"/>
              </w:rPr>
              <w:t>heat</w:t>
            </w:r>
            <w:r w:rsidRPr="001570EA">
              <w:rPr>
                <w:sz w:val="18"/>
                <w:szCs w:val="18"/>
              </w:rPr>
              <w:t xml:space="preserve">, </w:t>
            </w:r>
            <w:r w:rsidRPr="001570EA">
              <w:rPr>
                <w:rFonts w:cs="Arial"/>
                <w:sz w:val="18"/>
                <w:szCs w:val="18"/>
              </w:rPr>
              <w:t>The heating capacity of the heat pump being installed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394B15C" w14:textId="77777777" w:rsidR="007376E1" w:rsidRPr="001570EA" w:rsidRDefault="007376E1">
            <w:pPr>
              <w:jc w:val="center"/>
              <w:rPr>
                <w:rFonts w:ascii="Cambria Math" w:hAnsi="Cambria Math"/>
                <w:sz w:val="18"/>
                <w:szCs w:val="18"/>
              </w:rPr>
            </w:pPr>
            <w:r w:rsidRPr="001570EA">
              <w:rPr>
                <w:rFonts w:ascii="Cambria Math" w:hAnsi="Cambria Math" w:cs="Arial"/>
                <w:i/>
                <w:iCs/>
                <w:sz w:val="18"/>
                <w:szCs w:val="18"/>
              </w:rPr>
              <w:t>kBTU/hr</w:t>
            </w:r>
          </w:p>
        </w:tc>
        <w:tc>
          <w:tcPr>
            <w:tcW w:w="2070" w:type="dxa"/>
            <w:tcBorders>
              <w:top w:val="single" w:sz="4" w:space="0" w:color="auto"/>
              <w:left w:val="single" w:sz="4" w:space="0" w:color="auto"/>
              <w:bottom w:val="single" w:sz="4" w:space="0" w:color="auto"/>
              <w:right w:val="single" w:sz="4" w:space="0" w:color="auto"/>
            </w:tcBorders>
            <w:vAlign w:val="center"/>
          </w:tcPr>
          <w:p w14:paraId="3A64E566" w14:textId="77777777" w:rsidR="007376E1" w:rsidRPr="001570EA" w:rsidRDefault="007376E1">
            <w:pPr>
              <w:pStyle w:val="TableCell"/>
              <w:spacing w:before="60" w:after="60"/>
              <w:jc w:val="center"/>
              <w:rPr>
                <w:szCs w:val="18"/>
              </w:rPr>
            </w:pPr>
            <w:r w:rsidRPr="001570EA">
              <w:rPr>
                <w:szCs w:val="18"/>
              </w:rPr>
              <w:t>EDC Data Gathering</w:t>
            </w:r>
          </w:p>
          <w:p w14:paraId="4BC13EC3" w14:textId="77777777" w:rsidR="007376E1" w:rsidRPr="001570EA" w:rsidRDefault="007376E1">
            <w:pPr>
              <w:jc w:val="center"/>
              <w:rPr>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4F91AE55"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29EB3DE1" w14:textId="77777777">
        <w:trPr>
          <w:trHeight w:val="104"/>
        </w:trPr>
        <w:tc>
          <w:tcPr>
            <w:tcW w:w="3623" w:type="dxa"/>
            <w:tcBorders>
              <w:top w:val="single" w:sz="4" w:space="0" w:color="auto"/>
              <w:left w:val="single" w:sz="4" w:space="0" w:color="auto"/>
              <w:bottom w:val="single" w:sz="4" w:space="0" w:color="auto"/>
              <w:right w:val="single" w:sz="4" w:space="0" w:color="auto"/>
            </w:tcBorders>
            <w:vAlign w:val="center"/>
          </w:tcPr>
          <w:p w14:paraId="1A2D6DE5" w14:textId="77777777" w:rsidR="007376E1" w:rsidRPr="001570EA" w:rsidRDefault="007376E1">
            <w:pPr>
              <w:rPr>
                <w:i/>
                <w:iCs/>
                <w:sz w:val="18"/>
                <w:szCs w:val="18"/>
              </w:rPr>
            </w:pPr>
            <w:r w:rsidRPr="001570EA">
              <w:rPr>
                <w:i/>
                <w:iCs/>
                <w:sz w:val="18"/>
                <w:szCs w:val="18"/>
              </w:rPr>
              <w:t>MF</w:t>
            </w:r>
            <w:r w:rsidRPr="001570EA">
              <w:rPr>
                <w:sz w:val="18"/>
                <w:szCs w:val="18"/>
              </w:rPr>
              <w:t xml:space="preserve">, </w:t>
            </w:r>
            <w:r w:rsidRPr="001570EA">
              <w:rPr>
                <w:rFonts w:cs="Arial"/>
                <w:sz w:val="18"/>
                <w:szCs w:val="18"/>
              </w:rPr>
              <w:t>Maintenance Factor or assumed savings due to completing recommended maintenance on installed cooling equipment</w:t>
            </w:r>
          </w:p>
        </w:tc>
        <w:tc>
          <w:tcPr>
            <w:tcW w:w="1170" w:type="dxa"/>
            <w:tcBorders>
              <w:top w:val="single" w:sz="4" w:space="0" w:color="auto"/>
              <w:left w:val="single" w:sz="4" w:space="0" w:color="auto"/>
              <w:bottom w:val="single" w:sz="4" w:space="0" w:color="auto"/>
              <w:right w:val="single" w:sz="4" w:space="0" w:color="auto"/>
            </w:tcBorders>
            <w:vAlign w:val="center"/>
          </w:tcPr>
          <w:p w14:paraId="5BDDB199" w14:textId="77777777" w:rsidR="007376E1" w:rsidRPr="001570EA" w:rsidRDefault="007376E1">
            <w:pPr>
              <w:jc w:val="center"/>
              <w:rPr>
                <w:sz w:val="18"/>
                <w:szCs w:val="18"/>
              </w:rPr>
            </w:pPr>
            <w:r w:rsidRPr="001570EA">
              <w:rPr>
                <w:i/>
                <w:iCs/>
                <w:sz w:val="18"/>
                <w:szCs w:val="18"/>
              </w:rPr>
              <w:t>Proportion</w:t>
            </w:r>
          </w:p>
        </w:tc>
        <w:tc>
          <w:tcPr>
            <w:tcW w:w="2070" w:type="dxa"/>
            <w:tcBorders>
              <w:top w:val="single" w:sz="4" w:space="0" w:color="auto"/>
              <w:left w:val="single" w:sz="4" w:space="0" w:color="auto"/>
              <w:bottom w:val="single" w:sz="4" w:space="0" w:color="auto"/>
              <w:right w:val="single" w:sz="4" w:space="0" w:color="auto"/>
            </w:tcBorders>
            <w:vAlign w:val="center"/>
          </w:tcPr>
          <w:p w14:paraId="62F31864" w14:textId="77777777" w:rsidR="007376E1" w:rsidRPr="001570EA" w:rsidRDefault="007376E1">
            <w:pPr>
              <w:jc w:val="center"/>
              <w:rPr>
                <w:sz w:val="18"/>
                <w:szCs w:val="18"/>
              </w:rPr>
            </w:pPr>
            <w:r w:rsidRPr="001570EA">
              <w:rPr>
                <w:sz w:val="18"/>
                <w:szCs w:val="18"/>
              </w:rPr>
              <w:t>0.05</w:t>
            </w:r>
          </w:p>
        </w:tc>
        <w:tc>
          <w:tcPr>
            <w:tcW w:w="1710" w:type="dxa"/>
            <w:tcBorders>
              <w:top w:val="single" w:sz="4" w:space="0" w:color="auto"/>
              <w:left w:val="single" w:sz="4" w:space="0" w:color="auto"/>
              <w:bottom w:val="single" w:sz="4" w:space="0" w:color="auto"/>
              <w:right w:val="single" w:sz="4" w:space="0" w:color="auto"/>
            </w:tcBorders>
            <w:vAlign w:val="center"/>
          </w:tcPr>
          <w:p w14:paraId="22FB9E0E" w14:textId="77777777" w:rsidR="007376E1" w:rsidRPr="001570EA" w:rsidRDefault="007376E1">
            <w:pPr>
              <w:jc w:val="center"/>
              <w:rPr>
                <w:sz w:val="18"/>
                <w:szCs w:val="18"/>
              </w:rPr>
            </w:pPr>
            <w:r w:rsidRPr="001570EA">
              <w:rPr>
                <w:sz w:val="18"/>
                <w:szCs w:val="18"/>
              </w:rPr>
              <w:t>2</w:t>
            </w:r>
          </w:p>
        </w:tc>
      </w:tr>
      <w:tr w:rsidR="007376E1" w:rsidRPr="001570EA" w14:paraId="076FDB10" w14:textId="77777777">
        <w:trPr>
          <w:trHeight w:val="104"/>
        </w:trPr>
        <w:tc>
          <w:tcPr>
            <w:tcW w:w="3623" w:type="dxa"/>
            <w:tcBorders>
              <w:top w:val="single" w:sz="4" w:space="0" w:color="auto"/>
              <w:left w:val="single" w:sz="4" w:space="0" w:color="auto"/>
              <w:bottom w:val="single" w:sz="4" w:space="0" w:color="auto"/>
              <w:right w:val="single" w:sz="4" w:space="0" w:color="auto"/>
            </w:tcBorders>
            <w:vAlign w:val="center"/>
            <w:hideMark/>
          </w:tcPr>
          <w:p w14:paraId="40B19C75" w14:textId="3DA92CEE" w:rsidR="007376E1" w:rsidRPr="001570EA" w:rsidRDefault="007376E1">
            <w:pPr>
              <w:rPr>
                <w:sz w:val="18"/>
                <w:szCs w:val="18"/>
              </w:rPr>
            </w:pPr>
            <w:r w:rsidRPr="001570EA">
              <w:rPr>
                <w:i/>
                <w:iCs/>
                <w:sz w:val="18"/>
                <w:szCs w:val="18"/>
              </w:rPr>
              <w:t>EFLH</w:t>
            </w:r>
            <w:r w:rsidRPr="001570EA">
              <w:rPr>
                <w:i/>
                <w:iCs/>
                <w:sz w:val="18"/>
                <w:szCs w:val="18"/>
                <w:vertAlign w:val="subscript"/>
              </w:rPr>
              <w:t>cool</w:t>
            </w:r>
            <w:r w:rsidRPr="001570EA">
              <w:rPr>
                <w:sz w:val="18"/>
                <w:szCs w:val="18"/>
              </w:rPr>
              <w:t xml:space="preserve">, </w:t>
            </w:r>
            <w:r w:rsidRPr="001570EA">
              <w:rPr>
                <w:rFonts w:cs="Arial"/>
                <w:sz w:val="18"/>
                <w:szCs w:val="18"/>
              </w:rPr>
              <w:t>Equivalent Full Load Hours of operation during the cooling season for the average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8CC056C" w14:textId="77777777" w:rsidR="007376E1" w:rsidRPr="001570EA" w:rsidRDefault="003B5E04">
            <w:pPr>
              <w:jc w:val="center"/>
              <w:rPr>
                <w:sz w:val="18"/>
                <w:szCs w:val="18"/>
              </w:rPr>
            </w:pPr>
            <m:oMathPara>
              <m:oMath>
                <m:f>
                  <m:fPr>
                    <m:ctrlPr>
                      <w:rPr>
                        <w:rFonts w:ascii="Cambria Math" w:hAnsi="Cambria Math"/>
                        <w:i/>
                        <w:sz w:val="18"/>
                        <w:szCs w:val="18"/>
                      </w:rPr>
                    </m:ctrlPr>
                  </m:fPr>
                  <m:num>
                    <m:r>
                      <w:rPr>
                        <w:rFonts w:ascii="Cambria Math" w:hAnsi="Cambria Math"/>
                        <w:sz w:val="18"/>
                        <w:szCs w:val="18"/>
                      </w:rPr>
                      <m:t>hours</m:t>
                    </m:r>
                  </m:num>
                  <m:den>
                    <m:r>
                      <w:rPr>
                        <w:rFonts w:ascii="Cambria Math" w:hAnsi="Cambria Math"/>
                        <w:sz w:val="18"/>
                        <w:szCs w:val="18"/>
                      </w:rPr>
                      <m:t>yr</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45F90708" w14:textId="68C125EA" w:rsidR="007376E1" w:rsidRPr="001570EA" w:rsidRDefault="007376E1">
            <w:pPr>
              <w:jc w:val="center"/>
              <w:rPr>
                <w:sz w:val="18"/>
                <w:szCs w:val="18"/>
              </w:rPr>
            </w:pPr>
            <w:r w:rsidRPr="001570EA">
              <w:rPr>
                <w:sz w:val="18"/>
                <w:szCs w:val="18"/>
              </w:rPr>
              <w:t xml:space="preserve">See </w:t>
            </w:r>
            <w:r w:rsidRPr="001570EA">
              <w:rPr>
                <w:i/>
                <w:sz w:val="18"/>
                <w:szCs w:val="18"/>
              </w:rPr>
              <w:t>EFLH</w:t>
            </w:r>
            <w:r w:rsidRPr="001570EA">
              <w:rPr>
                <w:i/>
                <w:sz w:val="18"/>
                <w:szCs w:val="18"/>
                <w:vertAlign w:val="subscript"/>
              </w:rPr>
              <w:t>cool</w:t>
            </w:r>
            <w:r w:rsidRPr="001570EA">
              <w:rPr>
                <w:sz w:val="18"/>
                <w:szCs w:val="18"/>
              </w:rPr>
              <w:t xml:space="preserve"> in Vol. 1, App. 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D8F8F0D" w14:textId="77777777" w:rsidR="007376E1" w:rsidRPr="001570EA" w:rsidRDefault="007376E1">
            <w:pPr>
              <w:jc w:val="center"/>
              <w:rPr>
                <w:sz w:val="18"/>
                <w:szCs w:val="18"/>
              </w:rPr>
            </w:pPr>
            <w:r w:rsidRPr="001570EA">
              <w:rPr>
                <w:sz w:val="18"/>
                <w:szCs w:val="18"/>
              </w:rPr>
              <w:t>3</w:t>
            </w:r>
          </w:p>
        </w:tc>
      </w:tr>
      <w:tr w:rsidR="007376E1" w:rsidRPr="001570EA" w14:paraId="6C39B517" w14:textId="77777777">
        <w:trPr>
          <w:trHeight w:val="104"/>
        </w:trPr>
        <w:tc>
          <w:tcPr>
            <w:tcW w:w="3623" w:type="dxa"/>
            <w:tcBorders>
              <w:top w:val="single" w:sz="4" w:space="0" w:color="auto"/>
              <w:left w:val="single" w:sz="4" w:space="0" w:color="auto"/>
              <w:bottom w:val="single" w:sz="4" w:space="0" w:color="auto"/>
              <w:right w:val="single" w:sz="4" w:space="0" w:color="auto"/>
            </w:tcBorders>
            <w:vAlign w:val="center"/>
            <w:hideMark/>
          </w:tcPr>
          <w:p w14:paraId="6933B9AB" w14:textId="1E2D8DF0" w:rsidR="007376E1" w:rsidRPr="001570EA" w:rsidRDefault="007376E1">
            <w:pPr>
              <w:rPr>
                <w:sz w:val="18"/>
                <w:szCs w:val="18"/>
              </w:rPr>
            </w:pPr>
            <w:r w:rsidRPr="001570EA">
              <w:rPr>
                <w:i/>
                <w:iCs/>
                <w:sz w:val="18"/>
                <w:szCs w:val="18"/>
              </w:rPr>
              <w:t>EFLH</w:t>
            </w:r>
            <w:r w:rsidRPr="001570EA">
              <w:rPr>
                <w:i/>
                <w:iCs/>
                <w:sz w:val="18"/>
                <w:szCs w:val="18"/>
                <w:vertAlign w:val="subscript"/>
              </w:rPr>
              <w:t>heat,HP</w:t>
            </w:r>
            <w:r w:rsidRPr="001570EA">
              <w:rPr>
                <w:sz w:val="18"/>
                <w:szCs w:val="18"/>
                <w:vertAlign w:val="subscript"/>
              </w:rPr>
              <w:t xml:space="preserve">, </w:t>
            </w:r>
            <w:r w:rsidRPr="001570EA">
              <w:rPr>
                <w:rFonts w:cs="Arial"/>
                <w:sz w:val="18"/>
                <w:szCs w:val="18"/>
              </w:rPr>
              <w:t>Equivalent Full Load Hours of operation during the heating season for the average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066D28E" w14:textId="77777777" w:rsidR="007376E1" w:rsidRPr="001570EA" w:rsidRDefault="003B5E04">
            <w:pPr>
              <w:jc w:val="center"/>
              <w:rPr>
                <w:sz w:val="18"/>
                <w:szCs w:val="18"/>
              </w:rPr>
            </w:pPr>
            <m:oMathPara>
              <m:oMath>
                <m:f>
                  <m:fPr>
                    <m:ctrlPr>
                      <w:rPr>
                        <w:rFonts w:ascii="Cambria Math" w:hAnsi="Cambria Math"/>
                        <w:i/>
                        <w:sz w:val="18"/>
                        <w:szCs w:val="18"/>
                      </w:rPr>
                    </m:ctrlPr>
                  </m:fPr>
                  <m:num>
                    <m:r>
                      <w:rPr>
                        <w:rFonts w:ascii="Cambria Math" w:hAnsi="Cambria Math"/>
                        <w:sz w:val="18"/>
                        <w:szCs w:val="18"/>
                      </w:rPr>
                      <m:t>hours</m:t>
                    </m:r>
                  </m:num>
                  <m:den>
                    <m:r>
                      <w:rPr>
                        <w:rFonts w:ascii="Cambria Math" w:hAnsi="Cambria Math"/>
                        <w:sz w:val="18"/>
                        <w:szCs w:val="18"/>
                      </w:rPr>
                      <m:t>yr</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03A8479D" w14:textId="77777777" w:rsidR="007376E1" w:rsidRPr="001570EA" w:rsidRDefault="007376E1">
            <w:pPr>
              <w:jc w:val="center"/>
              <w:rPr>
                <w:sz w:val="18"/>
                <w:szCs w:val="18"/>
              </w:rPr>
            </w:pPr>
            <w:r w:rsidRPr="001570EA">
              <w:rPr>
                <w:sz w:val="18"/>
                <w:szCs w:val="18"/>
              </w:rPr>
              <w:t xml:space="preserve">See </w:t>
            </w:r>
            <w:r w:rsidRPr="001570EA">
              <w:rPr>
                <w:i/>
                <w:sz w:val="18"/>
                <w:szCs w:val="18"/>
              </w:rPr>
              <w:t>EFLH</w:t>
            </w:r>
            <w:r w:rsidRPr="001570EA">
              <w:rPr>
                <w:i/>
                <w:sz w:val="18"/>
                <w:szCs w:val="18"/>
                <w:vertAlign w:val="subscript"/>
              </w:rPr>
              <w:t>heat</w:t>
            </w:r>
            <w:r w:rsidRPr="001570EA">
              <w:rPr>
                <w:sz w:val="18"/>
                <w:szCs w:val="18"/>
              </w:rPr>
              <w:t xml:space="preserve"> in Vol. 1, App. 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9D00416" w14:textId="77777777" w:rsidR="007376E1" w:rsidRPr="001570EA" w:rsidRDefault="007376E1">
            <w:pPr>
              <w:jc w:val="center"/>
              <w:rPr>
                <w:sz w:val="18"/>
                <w:szCs w:val="18"/>
              </w:rPr>
            </w:pPr>
            <w:r w:rsidRPr="001570EA">
              <w:rPr>
                <w:sz w:val="18"/>
                <w:szCs w:val="18"/>
              </w:rPr>
              <w:t>3</w:t>
            </w:r>
          </w:p>
        </w:tc>
      </w:tr>
      <w:tr w:rsidR="007376E1" w:rsidRPr="001570EA" w14:paraId="37BDB8C9" w14:textId="77777777">
        <w:trPr>
          <w:trHeight w:val="525"/>
        </w:trPr>
        <w:tc>
          <w:tcPr>
            <w:tcW w:w="3623" w:type="dxa"/>
            <w:vMerge w:val="restart"/>
            <w:tcBorders>
              <w:top w:val="single" w:sz="4" w:space="0" w:color="auto"/>
              <w:left w:val="single" w:sz="4" w:space="0" w:color="auto"/>
              <w:right w:val="single" w:sz="4" w:space="0" w:color="auto"/>
            </w:tcBorders>
            <w:vAlign w:val="center"/>
          </w:tcPr>
          <w:p w14:paraId="7CE51908" w14:textId="54AB041B" w:rsidR="007376E1" w:rsidRPr="001570EA" w:rsidRDefault="007376E1">
            <w:pPr>
              <w:rPr>
                <w:i/>
                <w:iCs/>
                <w:sz w:val="18"/>
                <w:szCs w:val="18"/>
              </w:rPr>
            </w:pPr>
            <w:r w:rsidRPr="001570EA">
              <w:rPr>
                <w:i/>
                <w:iCs/>
                <w:sz w:val="18"/>
                <w:szCs w:val="18"/>
              </w:rPr>
              <w:t>SEER</w:t>
            </w:r>
            <w:r w:rsidRPr="001570EA">
              <w:rPr>
                <w:i/>
                <w:iCs/>
                <w:sz w:val="18"/>
                <w:szCs w:val="18"/>
                <w:vertAlign w:val="subscript"/>
              </w:rPr>
              <w:t>base</w:t>
            </w:r>
            <w:r w:rsidRPr="001570EA">
              <w:rPr>
                <w:i/>
                <w:iCs/>
                <w:sz w:val="18"/>
                <w:szCs w:val="18"/>
              </w:rPr>
              <w:t xml:space="preserve">, </w:t>
            </w:r>
            <w:r w:rsidRPr="001570EA">
              <w:rPr>
                <w:rFonts w:cs="Arial"/>
                <w:sz w:val="18"/>
                <w:szCs w:val="18"/>
              </w:rPr>
              <w:t>Seasonal Energy Efficiency Ratio of the Baseline Unit</w:t>
            </w:r>
          </w:p>
        </w:tc>
        <w:tc>
          <w:tcPr>
            <w:tcW w:w="1170" w:type="dxa"/>
            <w:vMerge w:val="restart"/>
            <w:tcBorders>
              <w:top w:val="single" w:sz="4" w:space="0" w:color="auto"/>
              <w:left w:val="single" w:sz="4" w:space="0" w:color="auto"/>
              <w:right w:val="single" w:sz="4" w:space="0" w:color="auto"/>
            </w:tcBorders>
            <w:vAlign w:val="center"/>
          </w:tcPr>
          <w:p w14:paraId="7BFE3479" w14:textId="77777777" w:rsidR="007376E1" w:rsidRPr="001570EA" w:rsidRDefault="003B5E04">
            <w:pPr>
              <w:jc w:val="center"/>
              <w:rPr>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right w:val="single" w:sz="4" w:space="0" w:color="auto"/>
            </w:tcBorders>
            <w:vAlign w:val="center"/>
          </w:tcPr>
          <w:p w14:paraId="62300DCD" w14:textId="77777777" w:rsidR="007376E1" w:rsidRPr="001570EA" w:rsidRDefault="007376E1">
            <w:pPr>
              <w:pStyle w:val="TableCell"/>
              <w:keepNext w:val="0"/>
              <w:spacing w:before="0" w:afterLines="40" w:after="96"/>
              <w:jc w:val="center"/>
            </w:pPr>
            <w:r w:rsidRPr="001570EA">
              <w:rPr>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tcPr>
          <w:p w14:paraId="688E5773" w14:textId="77777777" w:rsidR="007376E1" w:rsidRPr="001570EA" w:rsidRDefault="007376E1">
            <w:pPr>
              <w:jc w:val="center"/>
              <w:rPr>
                <w:sz w:val="18"/>
                <w:szCs w:val="18"/>
              </w:rPr>
            </w:pPr>
            <w:r w:rsidRPr="001570EA">
              <w:rPr>
                <w:sz w:val="18"/>
                <w:szCs w:val="18"/>
              </w:rPr>
              <w:t>EDC Data Gathering</w:t>
            </w:r>
          </w:p>
        </w:tc>
      </w:tr>
      <w:tr w:rsidR="007376E1" w:rsidRPr="001570EA" w14:paraId="429DDBF4" w14:textId="77777777">
        <w:trPr>
          <w:trHeight w:val="525"/>
        </w:trPr>
        <w:tc>
          <w:tcPr>
            <w:tcW w:w="3623" w:type="dxa"/>
            <w:vMerge/>
            <w:tcBorders>
              <w:left w:val="single" w:sz="4" w:space="0" w:color="auto"/>
              <w:bottom w:val="single" w:sz="4" w:space="0" w:color="auto"/>
              <w:right w:val="single" w:sz="4" w:space="0" w:color="auto"/>
            </w:tcBorders>
            <w:vAlign w:val="center"/>
          </w:tcPr>
          <w:p w14:paraId="0466C0FA" w14:textId="77777777" w:rsidR="007376E1" w:rsidRPr="001570EA" w:rsidRDefault="007376E1">
            <w:pPr>
              <w:rPr>
                <w:i/>
                <w:iCs/>
                <w:sz w:val="18"/>
                <w:szCs w:val="18"/>
              </w:rPr>
            </w:pPr>
          </w:p>
        </w:tc>
        <w:tc>
          <w:tcPr>
            <w:tcW w:w="1170" w:type="dxa"/>
            <w:vMerge/>
            <w:tcBorders>
              <w:left w:val="single" w:sz="4" w:space="0" w:color="auto"/>
              <w:bottom w:val="single" w:sz="4" w:space="0" w:color="auto"/>
              <w:right w:val="single" w:sz="4" w:space="0" w:color="auto"/>
            </w:tcBorders>
            <w:vAlign w:val="center"/>
          </w:tcPr>
          <w:p w14:paraId="7505F502" w14:textId="77777777" w:rsidR="007376E1" w:rsidRPr="001570EA" w:rsidRDefault="007376E1">
            <w:pPr>
              <w:jc w:val="center"/>
              <w:rPr>
                <w:i/>
                <w:sz w:val="18"/>
                <w:szCs w:val="18"/>
              </w:rPr>
            </w:pPr>
          </w:p>
        </w:tc>
        <w:tc>
          <w:tcPr>
            <w:tcW w:w="2070" w:type="dxa"/>
            <w:tcBorders>
              <w:left w:val="single" w:sz="4" w:space="0" w:color="auto"/>
              <w:bottom w:val="single" w:sz="4" w:space="0" w:color="auto"/>
              <w:right w:val="single" w:sz="4" w:space="0" w:color="auto"/>
            </w:tcBorders>
            <w:vAlign w:val="center"/>
          </w:tcPr>
          <w:p w14:paraId="009544CB" w14:textId="42C036EB" w:rsidR="007376E1" w:rsidRPr="001570EA" w:rsidRDefault="007376E1">
            <w:pPr>
              <w:pStyle w:val="TableCell"/>
              <w:keepNext w:val="0"/>
              <w:spacing w:before="0" w:afterLines="40" w:after="96"/>
              <w:jc w:val="center"/>
              <w:rPr>
                <w:szCs w:val="18"/>
              </w:rPr>
            </w:pPr>
            <w:r w:rsidRPr="001570EA">
              <w:rPr>
                <w:szCs w:val="18"/>
              </w:rPr>
              <w:t xml:space="preserve">Default:  See Early Replacement values in </w:t>
            </w:r>
            <w:r w:rsidRPr="001570EA">
              <w:rPr>
                <w:szCs w:val="18"/>
              </w:rPr>
              <w:fldChar w:fldCharType="begin"/>
            </w:r>
            <w:r w:rsidRPr="001570EA">
              <w:rPr>
                <w:szCs w:val="18"/>
              </w:rPr>
              <w:instrText xml:space="preserve"> REF _Ref531779526 \h  \* MERGEFORMAT </w:instrText>
            </w:r>
            <w:r w:rsidRPr="001570EA">
              <w:rPr>
                <w:szCs w:val="18"/>
              </w:rPr>
            </w:r>
            <w:r w:rsidRPr="001570EA">
              <w:rPr>
                <w:szCs w:val="18"/>
              </w:rPr>
              <w:fldChar w:fldCharType="separate"/>
            </w:r>
            <w:r w:rsidR="00384D95" w:rsidRPr="001570EA">
              <w:rPr>
                <w:szCs w:val="18"/>
              </w:rPr>
              <w:t xml:space="preserve">Table </w:t>
            </w:r>
            <w:r w:rsidR="00384D95" w:rsidRPr="001570EA">
              <w:rPr>
                <w:noProof/>
                <w:szCs w:val="18"/>
              </w:rPr>
              <w:t>2</w:t>
            </w:r>
            <w:r w:rsidR="00384D95" w:rsidRPr="001570EA">
              <w:rPr>
                <w:noProof/>
                <w:szCs w:val="18"/>
              </w:rPr>
              <w:noBreakHyphen/>
              <w:t>10</w:t>
            </w:r>
            <w:r w:rsidRPr="001570EA">
              <w:rPr>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97CC4FB" w14:textId="77777777" w:rsidR="007376E1" w:rsidRPr="001570EA" w:rsidRDefault="007376E1">
            <w:pPr>
              <w:jc w:val="center"/>
              <w:rPr>
                <w:sz w:val="18"/>
                <w:szCs w:val="18"/>
              </w:rPr>
            </w:pPr>
            <w:r w:rsidRPr="001570EA">
              <w:rPr>
                <w:sz w:val="18"/>
                <w:szCs w:val="18"/>
              </w:rPr>
              <w:t>4</w:t>
            </w:r>
          </w:p>
        </w:tc>
      </w:tr>
      <w:tr w:rsidR="007376E1" w:rsidRPr="001570EA" w14:paraId="4099EA4A" w14:textId="77777777">
        <w:trPr>
          <w:trHeight w:val="548"/>
        </w:trPr>
        <w:tc>
          <w:tcPr>
            <w:tcW w:w="3623" w:type="dxa"/>
            <w:vMerge w:val="restart"/>
            <w:tcBorders>
              <w:top w:val="single" w:sz="4" w:space="0" w:color="auto"/>
              <w:left w:val="single" w:sz="4" w:space="0" w:color="auto"/>
              <w:right w:val="single" w:sz="4" w:space="0" w:color="auto"/>
            </w:tcBorders>
            <w:vAlign w:val="center"/>
          </w:tcPr>
          <w:p w14:paraId="3D0BEDF1" w14:textId="3FC96A6F" w:rsidR="007376E1" w:rsidRPr="001570EA" w:rsidRDefault="007376E1">
            <w:pPr>
              <w:rPr>
                <w:i/>
                <w:iCs/>
                <w:sz w:val="18"/>
                <w:szCs w:val="18"/>
              </w:rPr>
            </w:pPr>
            <w:r w:rsidRPr="001570EA">
              <w:rPr>
                <w:i/>
                <w:iCs/>
                <w:sz w:val="18"/>
                <w:szCs w:val="18"/>
              </w:rPr>
              <w:t>HSPF</w:t>
            </w:r>
            <w:r w:rsidRPr="001570EA">
              <w:rPr>
                <w:i/>
                <w:iCs/>
                <w:sz w:val="18"/>
                <w:szCs w:val="18"/>
                <w:vertAlign w:val="subscript"/>
              </w:rPr>
              <w:t>base</w:t>
            </w:r>
            <w:r w:rsidRPr="001570EA">
              <w:rPr>
                <w:i/>
                <w:iCs/>
                <w:sz w:val="18"/>
                <w:szCs w:val="18"/>
              </w:rPr>
              <w:t xml:space="preserve">, </w:t>
            </w:r>
            <w:r w:rsidRPr="001570EA">
              <w:rPr>
                <w:rFonts w:cs="Arial"/>
                <w:sz w:val="18"/>
                <w:szCs w:val="18"/>
              </w:rPr>
              <w:t>Heating Seasonal Performance Factor of the Baseline Unit</w:t>
            </w:r>
          </w:p>
        </w:tc>
        <w:tc>
          <w:tcPr>
            <w:tcW w:w="1170" w:type="dxa"/>
            <w:vMerge w:val="restart"/>
            <w:tcBorders>
              <w:top w:val="single" w:sz="4" w:space="0" w:color="auto"/>
              <w:left w:val="single" w:sz="4" w:space="0" w:color="auto"/>
              <w:right w:val="single" w:sz="4" w:space="0" w:color="auto"/>
            </w:tcBorders>
            <w:vAlign w:val="center"/>
          </w:tcPr>
          <w:p w14:paraId="0DB40946" w14:textId="77777777" w:rsidR="007376E1" w:rsidRPr="001570EA" w:rsidRDefault="003B5E04">
            <w:pPr>
              <w:jc w:val="center"/>
              <w:rPr>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right w:val="single" w:sz="4" w:space="0" w:color="auto"/>
            </w:tcBorders>
            <w:vAlign w:val="center"/>
          </w:tcPr>
          <w:p w14:paraId="4ED48A49" w14:textId="77777777" w:rsidR="007376E1" w:rsidRPr="001570EA" w:rsidRDefault="007376E1">
            <w:pPr>
              <w:pStyle w:val="TableCell"/>
              <w:keepNext w:val="0"/>
              <w:spacing w:before="0" w:afterLines="40" w:after="96"/>
              <w:jc w:val="center"/>
            </w:pPr>
            <w:r w:rsidRPr="001570EA">
              <w:rPr>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tcPr>
          <w:p w14:paraId="4AC9F3C7" w14:textId="77777777" w:rsidR="007376E1" w:rsidRPr="001570EA" w:rsidRDefault="007376E1">
            <w:pPr>
              <w:jc w:val="center"/>
              <w:rPr>
                <w:sz w:val="18"/>
                <w:szCs w:val="18"/>
              </w:rPr>
            </w:pPr>
            <w:r w:rsidRPr="001570EA">
              <w:rPr>
                <w:sz w:val="18"/>
                <w:szCs w:val="18"/>
              </w:rPr>
              <w:t>EDC Data Gathering</w:t>
            </w:r>
          </w:p>
        </w:tc>
      </w:tr>
      <w:tr w:rsidR="007376E1" w:rsidRPr="001570EA" w14:paraId="2CB17649" w14:textId="77777777">
        <w:trPr>
          <w:trHeight w:val="547"/>
        </w:trPr>
        <w:tc>
          <w:tcPr>
            <w:tcW w:w="3623" w:type="dxa"/>
            <w:vMerge/>
            <w:tcBorders>
              <w:left w:val="single" w:sz="4" w:space="0" w:color="auto"/>
              <w:bottom w:val="single" w:sz="4" w:space="0" w:color="auto"/>
              <w:right w:val="single" w:sz="4" w:space="0" w:color="auto"/>
            </w:tcBorders>
            <w:vAlign w:val="center"/>
          </w:tcPr>
          <w:p w14:paraId="6BBE0048" w14:textId="77777777" w:rsidR="007376E1" w:rsidRPr="001570EA" w:rsidRDefault="007376E1">
            <w:pPr>
              <w:rPr>
                <w:i/>
                <w:iCs/>
                <w:sz w:val="18"/>
                <w:szCs w:val="18"/>
              </w:rPr>
            </w:pPr>
          </w:p>
        </w:tc>
        <w:tc>
          <w:tcPr>
            <w:tcW w:w="1170" w:type="dxa"/>
            <w:vMerge/>
            <w:tcBorders>
              <w:left w:val="single" w:sz="4" w:space="0" w:color="auto"/>
              <w:bottom w:val="single" w:sz="4" w:space="0" w:color="auto"/>
              <w:right w:val="single" w:sz="4" w:space="0" w:color="auto"/>
            </w:tcBorders>
            <w:vAlign w:val="center"/>
          </w:tcPr>
          <w:p w14:paraId="731DBD78" w14:textId="77777777" w:rsidR="007376E1" w:rsidRPr="001570EA" w:rsidRDefault="007376E1">
            <w:pPr>
              <w:jc w:val="center"/>
              <w:rPr>
                <w:i/>
                <w:sz w:val="18"/>
                <w:szCs w:val="18"/>
              </w:rPr>
            </w:pPr>
          </w:p>
        </w:tc>
        <w:tc>
          <w:tcPr>
            <w:tcW w:w="2070" w:type="dxa"/>
            <w:tcBorders>
              <w:left w:val="single" w:sz="4" w:space="0" w:color="auto"/>
              <w:bottom w:val="single" w:sz="4" w:space="0" w:color="auto"/>
              <w:right w:val="single" w:sz="4" w:space="0" w:color="auto"/>
            </w:tcBorders>
            <w:vAlign w:val="center"/>
          </w:tcPr>
          <w:p w14:paraId="56FA9369" w14:textId="5401A94D" w:rsidR="007376E1" w:rsidRPr="001570EA" w:rsidRDefault="007376E1">
            <w:pPr>
              <w:pStyle w:val="TableCell"/>
              <w:keepNext w:val="0"/>
              <w:spacing w:before="0" w:afterLines="40" w:after="96"/>
              <w:jc w:val="center"/>
              <w:rPr>
                <w:szCs w:val="18"/>
              </w:rPr>
            </w:pPr>
            <w:r w:rsidRPr="001570EA">
              <w:rPr>
                <w:szCs w:val="18"/>
              </w:rPr>
              <w:t xml:space="preserve">Default:  See Early Replacement values in </w:t>
            </w:r>
            <w:r w:rsidRPr="001570EA">
              <w:rPr>
                <w:szCs w:val="18"/>
              </w:rPr>
              <w:fldChar w:fldCharType="begin"/>
            </w:r>
            <w:r w:rsidRPr="001570EA">
              <w:rPr>
                <w:szCs w:val="18"/>
              </w:rPr>
              <w:instrText xml:space="preserve"> REF _Ref531779526 \h  \* MERGEFORMAT </w:instrText>
            </w:r>
            <w:r w:rsidRPr="001570EA">
              <w:rPr>
                <w:szCs w:val="18"/>
              </w:rPr>
            </w:r>
            <w:r w:rsidRPr="001570EA">
              <w:rPr>
                <w:szCs w:val="18"/>
              </w:rPr>
              <w:fldChar w:fldCharType="separate"/>
            </w:r>
            <w:r w:rsidR="00384D95" w:rsidRPr="001570EA">
              <w:rPr>
                <w:szCs w:val="18"/>
              </w:rPr>
              <w:t xml:space="preserve">Table </w:t>
            </w:r>
            <w:r w:rsidR="00384D95" w:rsidRPr="001570EA">
              <w:rPr>
                <w:noProof/>
                <w:szCs w:val="18"/>
              </w:rPr>
              <w:t>2</w:t>
            </w:r>
            <w:r w:rsidR="00384D95" w:rsidRPr="001570EA">
              <w:rPr>
                <w:noProof/>
                <w:szCs w:val="18"/>
              </w:rPr>
              <w:noBreakHyphen/>
              <w:t>10</w:t>
            </w:r>
            <w:r w:rsidRPr="001570EA">
              <w:rPr>
                <w:szCs w:val="18"/>
              </w:rPr>
              <w:fldChar w:fldCharType="end"/>
            </w:r>
            <w:r w:rsidRPr="001570EA">
              <w:rPr>
                <w:szCs w:val="18"/>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65F615DC" w14:textId="77777777" w:rsidR="007376E1" w:rsidRPr="001570EA" w:rsidRDefault="007376E1">
            <w:pPr>
              <w:jc w:val="center"/>
              <w:rPr>
                <w:sz w:val="18"/>
                <w:szCs w:val="18"/>
              </w:rPr>
            </w:pPr>
            <w:r w:rsidRPr="001570EA">
              <w:rPr>
                <w:sz w:val="18"/>
                <w:szCs w:val="18"/>
              </w:rPr>
              <w:t>4</w:t>
            </w:r>
          </w:p>
        </w:tc>
      </w:tr>
      <w:tr w:rsidR="007376E1" w:rsidRPr="001570EA" w14:paraId="5C3AB022" w14:textId="77777777">
        <w:trPr>
          <w:trHeight w:val="413"/>
        </w:trPr>
        <w:tc>
          <w:tcPr>
            <w:tcW w:w="3623" w:type="dxa"/>
            <w:vMerge w:val="restart"/>
            <w:tcBorders>
              <w:top w:val="single" w:sz="4" w:space="0" w:color="auto"/>
              <w:left w:val="single" w:sz="4" w:space="0" w:color="auto"/>
              <w:right w:val="single" w:sz="4" w:space="0" w:color="auto"/>
            </w:tcBorders>
            <w:vAlign w:val="center"/>
          </w:tcPr>
          <w:p w14:paraId="2F138E6F" w14:textId="2D04EA02" w:rsidR="007376E1" w:rsidRPr="001570EA" w:rsidRDefault="007376E1">
            <w:pPr>
              <w:rPr>
                <w:i/>
                <w:iCs/>
                <w:sz w:val="18"/>
                <w:szCs w:val="18"/>
              </w:rPr>
            </w:pPr>
            <w:r w:rsidRPr="001570EA">
              <w:rPr>
                <w:i/>
                <w:iCs/>
                <w:sz w:val="18"/>
                <w:szCs w:val="18"/>
              </w:rPr>
              <w:t>EER</w:t>
            </w:r>
            <w:r w:rsidRPr="001570EA">
              <w:rPr>
                <w:i/>
                <w:iCs/>
                <w:sz w:val="18"/>
                <w:szCs w:val="18"/>
                <w:vertAlign w:val="subscript"/>
              </w:rPr>
              <w:t>g</w:t>
            </w:r>
            <w:r w:rsidRPr="001570EA">
              <w:rPr>
                <w:i/>
                <w:iCs/>
                <w:sz w:val="18"/>
                <w:szCs w:val="18"/>
              </w:rPr>
              <w:t xml:space="preserve">, </w:t>
            </w:r>
            <w:r w:rsidRPr="001570EA">
              <w:rPr>
                <w:rFonts w:cs="Arial"/>
                <w:sz w:val="18"/>
                <w:szCs w:val="18"/>
              </w:rPr>
              <w:t>Energy Efficiency Ratio of a GSHP, this is measured differently than EER of an air source heat pump and must be converted</w:t>
            </w:r>
          </w:p>
        </w:tc>
        <w:tc>
          <w:tcPr>
            <w:tcW w:w="1170" w:type="dxa"/>
            <w:vMerge w:val="restart"/>
            <w:tcBorders>
              <w:top w:val="single" w:sz="4" w:space="0" w:color="auto"/>
              <w:left w:val="single" w:sz="4" w:space="0" w:color="auto"/>
              <w:right w:val="single" w:sz="4" w:space="0" w:color="auto"/>
            </w:tcBorders>
            <w:vAlign w:val="center"/>
          </w:tcPr>
          <w:p w14:paraId="1C4C0FD8" w14:textId="77777777" w:rsidR="007376E1" w:rsidRPr="001570EA" w:rsidRDefault="003B5E04">
            <w:pPr>
              <w:jc w:val="center"/>
              <w:rPr>
                <w:i/>
                <w:iCs/>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vAlign w:val="center"/>
          </w:tcPr>
          <w:p w14:paraId="2D088AF1" w14:textId="77777777" w:rsidR="007376E1" w:rsidRPr="001570EA" w:rsidRDefault="007376E1">
            <w:pPr>
              <w:jc w:val="center"/>
              <w:rPr>
                <w:sz w:val="18"/>
                <w:szCs w:val="18"/>
              </w:rPr>
            </w:pPr>
            <w:r w:rsidRPr="001570EA">
              <w:rPr>
                <w:sz w:val="18"/>
                <w:szCs w:val="18"/>
              </w:rPr>
              <w:t>EDC Data Gathering</w:t>
            </w:r>
          </w:p>
        </w:tc>
        <w:tc>
          <w:tcPr>
            <w:tcW w:w="1710" w:type="dxa"/>
            <w:tcBorders>
              <w:top w:val="single" w:sz="4" w:space="0" w:color="auto"/>
              <w:left w:val="single" w:sz="4" w:space="0" w:color="auto"/>
              <w:right w:val="single" w:sz="4" w:space="0" w:color="auto"/>
            </w:tcBorders>
            <w:vAlign w:val="center"/>
          </w:tcPr>
          <w:p w14:paraId="3BC6FF3E" w14:textId="77777777" w:rsidR="007376E1" w:rsidRPr="001570EA" w:rsidRDefault="007376E1">
            <w:pPr>
              <w:jc w:val="center"/>
              <w:rPr>
                <w:sz w:val="18"/>
                <w:szCs w:val="18"/>
              </w:rPr>
            </w:pPr>
            <w:r w:rsidRPr="001570EA">
              <w:rPr>
                <w:sz w:val="18"/>
                <w:szCs w:val="18"/>
              </w:rPr>
              <w:t>EDC Data Gathering</w:t>
            </w:r>
          </w:p>
        </w:tc>
      </w:tr>
      <w:tr w:rsidR="007376E1" w:rsidRPr="001570EA" w14:paraId="5C8FCD1B" w14:textId="77777777">
        <w:trPr>
          <w:trHeight w:val="412"/>
        </w:trPr>
        <w:tc>
          <w:tcPr>
            <w:tcW w:w="3623" w:type="dxa"/>
            <w:vMerge/>
            <w:tcBorders>
              <w:left w:val="single" w:sz="4" w:space="0" w:color="auto"/>
              <w:bottom w:val="single" w:sz="4" w:space="0" w:color="auto"/>
              <w:right w:val="single" w:sz="4" w:space="0" w:color="auto"/>
            </w:tcBorders>
            <w:vAlign w:val="center"/>
          </w:tcPr>
          <w:p w14:paraId="5283F48C" w14:textId="77777777" w:rsidR="007376E1" w:rsidRPr="001570EA" w:rsidRDefault="007376E1">
            <w:pPr>
              <w:rPr>
                <w:i/>
                <w:iCs/>
                <w:sz w:val="18"/>
                <w:szCs w:val="18"/>
              </w:rPr>
            </w:pPr>
          </w:p>
        </w:tc>
        <w:tc>
          <w:tcPr>
            <w:tcW w:w="1170" w:type="dxa"/>
            <w:vMerge/>
            <w:tcBorders>
              <w:left w:val="single" w:sz="4" w:space="0" w:color="auto"/>
              <w:bottom w:val="single" w:sz="4" w:space="0" w:color="auto"/>
              <w:right w:val="single" w:sz="4" w:space="0" w:color="auto"/>
            </w:tcBorders>
            <w:vAlign w:val="center"/>
          </w:tcPr>
          <w:p w14:paraId="2B4983CA" w14:textId="77777777" w:rsidR="007376E1" w:rsidRPr="001570EA" w:rsidRDefault="007376E1">
            <w:pPr>
              <w:jc w:val="center"/>
              <w:rPr>
                <w:i/>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14:paraId="3E51A98F" w14:textId="77777777" w:rsidR="007376E1" w:rsidRPr="001570EA" w:rsidRDefault="007376E1">
            <w:pPr>
              <w:jc w:val="center"/>
              <w:rPr>
                <w:sz w:val="18"/>
                <w:szCs w:val="18"/>
              </w:rPr>
            </w:pPr>
            <w:r w:rsidRPr="001570EA">
              <w:rPr>
                <w:sz w:val="18"/>
                <w:szCs w:val="18"/>
              </w:rPr>
              <w:t>Default: 16.6</w:t>
            </w:r>
          </w:p>
        </w:tc>
        <w:tc>
          <w:tcPr>
            <w:tcW w:w="1710" w:type="dxa"/>
            <w:tcBorders>
              <w:left w:val="single" w:sz="4" w:space="0" w:color="auto"/>
              <w:bottom w:val="single" w:sz="4" w:space="0" w:color="auto"/>
              <w:right w:val="single" w:sz="4" w:space="0" w:color="auto"/>
            </w:tcBorders>
            <w:vAlign w:val="center"/>
          </w:tcPr>
          <w:p w14:paraId="5DE2B03C" w14:textId="77777777" w:rsidR="007376E1" w:rsidRPr="001570EA" w:rsidRDefault="007376E1">
            <w:pPr>
              <w:jc w:val="center"/>
              <w:rPr>
                <w:sz w:val="18"/>
                <w:szCs w:val="18"/>
              </w:rPr>
            </w:pPr>
            <w:r w:rsidRPr="001570EA">
              <w:rPr>
                <w:sz w:val="18"/>
                <w:szCs w:val="18"/>
              </w:rPr>
              <w:t>4</w:t>
            </w:r>
          </w:p>
        </w:tc>
      </w:tr>
      <w:tr w:rsidR="007376E1" w:rsidRPr="001570EA" w14:paraId="5E068F13" w14:textId="77777777">
        <w:trPr>
          <w:trHeight w:val="525"/>
        </w:trPr>
        <w:tc>
          <w:tcPr>
            <w:tcW w:w="3623" w:type="dxa"/>
            <w:vMerge w:val="restart"/>
            <w:tcBorders>
              <w:top w:val="single" w:sz="4" w:space="0" w:color="auto"/>
              <w:left w:val="single" w:sz="4" w:space="0" w:color="auto"/>
              <w:right w:val="single" w:sz="4" w:space="0" w:color="auto"/>
            </w:tcBorders>
            <w:vAlign w:val="center"/>
          </w:tcPr>
          <w:p w14:paraId="13BC6073" w14:textId="309225B8" w:rsidR="007376E1" w:rsidRPr="001570EA" w:rsidRDefault="007376E1">
            <w:pPr>
              <w:rPr>
                <w:i/>
                <w:iCs/>
                <w:sz w:val="18"/>
                <w:szCs w:val="18"/>
              </w:rPr>
            </w:pPr>
            <w:r w:rsidRPr="001570EA">
              <w:rPr>
                <w:i/>
                <w:iCs/>
                <w:sz w:val="18"/>
                <w:szCs w:val="18"/>
              </w:rPr>
              <w:t>EER</w:t>
            </w:r>
            <w:r w:rsidRPr="001570EA">
              <w:rPr>
                <w:i/>
                <w:iCs/>
                <w:sz w:val="18"/>
                <w:szCs w:val="18"/>
                <w:vertAlign w:val="subscript"/>
              </w:rPr>
              <w:t>base</w:t>
            </w:r>
            <w:r w:rsidRPr="001570EA">
              <w:rPr>
                <w:i/>
                <w:iCs/>
                <w:sz w:val="18"/>
                <w:szCs w:val="18"/>
              </w:rPr>
              <w:t xml:space="preserve">, </w:t>
            </w:r>
            <w:r w:rsidRPr="001570EA">
              <w:rPr>
                <w:rFonts w:cs="Arial"/>
                <w:sz w:val="18"/>
                <w:szCs w:val="18"/>
              </w:rPr>
              <w:t>Energy Efficiency Ratio of the Baseline Unit</w:t>
            </w:r>
          </w:p>
        </w:tc>
        <w:tc>
          <w:tcPr>
            <w:tcW w:w="1170" w:type="dxa"/>
            <w:vMerge w:val="restart"/>
            <w:tcBorders>
              <w:top w:val="single" w:sz="4" w:space="0" w:color="auto"/>
              <w:left w:val="single" w:sz="4" w:space="0" w:color="auto"/>
              <w:right w:val="single" w:sz="4" w:space="0" w:color="auto"/>
            </w:tcBorders>
            <w:vAlign w:val="center"/>
          </w:tcPr>
          <w:p w14:paraId="3CCCD4E0" w14:textId="77777777" w:rsidR="007376E1" w:rsidRPr="001570EA" w:rsidRDefault="003B5E04">
            <w:pPr>
              <w:jc w:val="center"/>
              <w:rPr>
                <w:i/>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right w:val="single" w:sz="4" w:space="0" w:color="auto"/>
            </w:tcBorders>
            <w:vAlign w:val="center"/>
          </w:tcPr>
          <w:p w14:paraId="190F5897" w14:textId="77777777" w:rsidR="007376E1" w:rsidRPr="001570EA" w:rsidRDefault="007376E1">
            <w:pPr>
              <w:pStyle w:val="TableCell"/>
              <w:keepNext w:val="0"/>
              <w:spacing w:before="0" w:afterLines="40" w:after="96"/>
              <w:jc w:val="center"/>
            </w:pPr>
            <w:r w:rsidRPr="001570EA">
              <w:rPr>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tcPr>
          <w:p w14:paraId="7CC649B5" w14:textId="77777777" w:rsidR="007376E1" w:rsidRPr="001570EA" w:rsidRDefault="007376E1">
            <w:pPr>
              <w:jc w:val="center"/>
              <w:rPr>
                <w:sz w:val="18"/>
                <w:szCs w:val="18"/>
              </w:rPr>
            </w:pPr>
            <w:r w:rsidRPr="001570EA">
              <w:rPr>
                <w:szCs w:val="18"/>
              </w:rPr>
              <w:t>EDC Data Gathering</w:t>
            </w:r>
          </w:p>
        </w:tc>
      </w:tr>
      <w:tr w:rsidR="007376E1" w:rsidRPr="001570EA" w14:paraId="10291E83" w14:textId="77777777">
        <w:trPr>
          <w:trHeight w:val="525"/>
        </w:trPr>
        <w:tc>
          <w:tcPr>
            <w:tcW w:w="3623" w:type="dxa"/>
            <w:vMerge/>
            <w:tcBorders>
              <w:left w:val="single" w:sz="4" w:space="0" w:color="auto"/>
              <w:bottom w:val="single" w:sz="4" w:space="0" w:color="auto"/>
              <w:right w:val="single" w:sz="4" w:space="0" w:color="auto"/>
            </w:tcBorders>
            <w:vAlign w:val="center"/>
          </w:tcPr>
          <w:p w14:paraId="3CABC284" w14:textId="77777777" w:rsidR="007376E1" w:rsidRPr="001570EA" w:rsidRDefault="007376E1">
            <w:pPr>
              <w:rPr>
                <w:i/>
                <w:iCs/>
                <w:sz w:val="18"/>
                <w:szCs w:val="18"/>
              </w:rPr>
            </w:pPr>
          </w:p>
        </w:tc>
        <w:tc>
          <w:tcPr>
            <w:tcW w:w="1170" w:type="dxa"/>
            <w:vMerge/>
            <w:tcBorders>
              <w:left w:val="single" w:sz="4" w:space="0" w:color="auto"/>
              <w:bottom w:val="single" w:sz="4" w:space="0" w:color="auto"/>
              <w:right w:val="single" w:sz="4" w:space="0" w:color="auto"/>
            </w:tcBorders>
            <w:vAlign w:val="center"/>
          </w:tcPr>
          <w:p w14:paraId="24520A09" w14:textId="77777777" w:rsidR="007376E1" w:rsidRPr="001570EA" w:rsidRDefault="007376E1">
            <w:pPr>
              <w:jc w:val="center"/>
              <w:rPr>
                <w:i/>
                <w:sz w:val="18"/>
                <w:szCs w:val="18"/>
              </w:rPr>
            </w:pPr>
          </w:p>
        </w:tc>
        <w:tc>
          <w:tcPr>
            <w:tcW w:w="2070" w:type="dxa"/>
            <w:tcBorders>
              <w:left w:val="single" w:sz="4" w:space="0" w:color="auto"/>
              <w:bottom w:val="single" w:sz="4" w:space="0" w:color="auto"/>
              <w:right w:val="single" w:sz="4" w:space="0" w:color="auto"/>
            </w:tcBorders>
            <w:vAlign w:val="center"/>
          </w:tcPr>
          <w:p w14:paraId="7A57CB11" w14:textId="613CB051" w:rsidR="007376E1" w:rsidRPr="001570EA" w:rsidRDefault="007376E1">
            <w:pPr>
              <w:pStyle w:val="TableCell"/>
              <w:keepNext w:val="0"/>
              <w:spacing w:before="0" w:afterLines="40" w:after="96"/>
              <w:jc w:val="center"/>
              <w:rPr>
                <w:szCs w:val="18"/>
              </w:rPr>
            </w:pPr>
            <w:r w:rsidRPr="001570EA">
              <w:rPr>
                <w:szCs w:val="18"/>
              </w:rPr>
              <w:t xml:space="preserve">Default:  See Early Replacement values in </w:t>
            </w:r>
            <w:r w:rsidRPr="001570EA">
              <w:rPr>
                <w:szCs w:val="18"/>
              </w:rPr>
              <w:fldChar w:fldCharType="begin"/>
            </w:r>
            <w:r w:rsidRPr="001570EA">
              <w:rPr>
                <w:szCs w:val="18"/>
              </w:rPr>
              <w:instrText xml:space="preserve"> REF _Ref531779526 \h  \* MERGEFORMAT </w:instrText>
            </w:r>
            <w:r w:rsidRPr="001570EA">
              <w:rPr>
                <w:szCs w:val="18"/>
              </w:rPr>
            </w:r>
            <w:r w:rsidRPr="001570EA">
              <w:rPr>
                <w:szCs w:val="18"/>
              </w:rPr>
              <w:fldChar w:fldCharType="separate"/>
            </w:r>
            <w:r w:rsidR="00384D95" w:rsidRPr="001570EA">
              <w:rPr>
                <w:szCs w:val="18"/>
              </w:rPr>
              <w:t xml:space="preserve">Table </w:t>
            </w:r>
            <w:r w:rsidR="00384D95" w:rsidRPr="001570EA">
              <w:rPr>
                <w:noProof/>
                <w:szCs w:val="18"/>
              </w:rPr>
              <w:t>2</w:t>
            </w:r>
            <w:r w:rsidR="00384D95" w:rsidRPr="001570EA">
              <w:rPr>
                <w:noProof/>
                <w:szCs w:val="18"/>
              </w:rPr>
              <w:noBreakHyphen/>
              <w:t>10</w:t>
            </w:r>
            <w:r w:rsidRPr="001570EA">
              <w:rPr>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1516362D" w14:textId="77777777" w:rsidR="007376E1" w:rsidRPr="001570EA" w:rsidRDefault="007376E1">
            <w:pPr>
              <w:jc w:val="center"/>
              <w:rPr>
                <w:sz w:val="18"/>
                <w:szCs w:val="18"/>
              </w:rPr>
            </w:pPr>
            <w:r w:rsidRPr="001570EA">
              <w:rPr>
                <w:sz w:val="18"/>
                <w:szCs w:val="18"/>
              </w:rPr>
              <w:t>4</w:t>
            </w:r>
          </w:p>
        </w:tc>
      </w:tr>
      <w:tr w:rsidR="007376E1" w:rsidRPr="001570EA" w14:paraId="35332220" w14:textId="77777777">
        <w:trPr>
          <w:trHeight w:val="413"/>
        </w:trPr>
        <w:tc>
          <w:tcPr>
            <w:tcW w:w="3623" w:type="dxa"/>
            <w:vMerge w:val="restart"/>
            <w:tcBorders>
              <w:top w:val="single" w:sz="4" w:space="0" w:color="auto"/>
              <w:left w:val="single" w:sz="4" w:space="0" w:color="auto"/>
              <w:right w:val="single" w:sz="4" w:space="0" w:color="auto"/>
            </w:tcBorders>
            <w:vAlign w:val="center"/>
            <w:hideMark/>
          </w:tcPr>
          <w:p w14:paraId="148449FB" w14:textId="71BDD942" w:rsidR="007376E1" w:rsidRPr="001570EA" w:rsidRDefault="007376E1">
            <w:pPr>
              <w:rPr>
                <w:sz w:val="18"/>
                <w:szCs w:val="18"/>
              </w:rPr>
            </w:pPr>
            <w:r w:rsidRPr="001570EA">
              <w:rPr>
                <w:i/>
                <w:iCs/>
                <w:sz w:val="18"/>
                <w:szCs w:val="18"/>
              </w:rPr>
              <w:t>COP</w:t>
            </w:r>
            <w:r w:rsidRPr="001570EA">
              <w:rPr>
                <w:i/>
                <w:iCs/>
                <w:sz w:val="18"/>
                <w:szCs w:val="18"/>
                <w:vertAlign w:val="subscript"/>
              </w:rPr>
              <w:t>g</w:t>
            </w:r>
            <w:r w:rsidRPr="001570EA">
              <w:rPr>
                <w:i/>
                <w:iCs/>
                <w:sz w:val="18"/>
                <w:szCs w:val="18"/>
              </w:rPr>
              <w:t xml:space="preserve">, </w:t>
            </w:r>
            <w:r w:rsidRPr="001570EA">
              <w:rPr>
                <w:rFonts w:cs="Arial"/>
                <w:sz w:val="18"/>
                <w:szCs w:val="18"/>
              </w:rPr>
              <w:t>Coefficient of Performance. This is a measure of the efficiency of a ground source heat pump</w:t>
            </w:r>
          </w:p>
        </w:tc>
        <w:tc>
          <w:tcPr>
            <w:tcW w:w="1170" w:type="dxa"/>
            <w:vMerge w:val="restart"/>
            <w:tcBorders>
              <w:top w:val="single" w:sz="4" w:space="0" w:color="auto"/>
              <w:left w:val="single" w:sz="4" w:space="0" w:color="auto"/>
              <w:right w:val="single" w:sz="4" w:space="0" w:color="auto"/>
            </w:tcBorders>
            <w:vAlign w:val="center"/>
            <w:hideMark/>
          </w:tcPr>
          <w:p w14:paraId="3216D31D" w14:textId="77777777" w:rsidR="007376E1" w:rsidRPr="001570EA" w:rsidRDefault="007376E1">
            <w:pPr>
              <w:jc w:val="center"/>
              <w:rPr>
                <w:sz w:val="18"/>
                <w:szCs w:val="18"/>
              </w:rPr>
            </w:pPr>
            <w:r w:rsidRPr="001570EA">
              <w:rPr>
                <w:i/>
                <w:iCs/>
                <w:sz w:val="18"/>
                <w:szCs w:val="18"/>
              </w:rPr>
              <w:t>None</w:t>
            </w:r>
          </w:p>
        </w:tc>
        <w:tc>
          <w:tcPr>
            <w:tcW w:w="2070" w:type="dxa"/>
            <w:tcBorders>
              <w:top w:val="single" w:sz="4" w:space="0" w:color="auto"/>
              <w:left w:val="single" w:sz="4" w:space="0" w:color="auto"/>
              <w:right w:val="single" w:sz="4" w:space="0" w:color="auto"/>
            </w:tcBorders>
            <w:vAlign w:val="center"/>
            <w:hideMark/>
          </w:tcPr>
          <w:p w14:paraId="30ADCA77" w14:textId="77777777" w:rsidR="007376E1" w:rsidRPr="001570EA" w:rsidRDefault="007376E1">
            <w:pPr>
              <w:jc w:val="center"/>
              <w:rPr>
                <w:sz w:val="18"/>
                <w:szCs w:val="18"/>
              </w:rPr>
            </w:pPr>
            <w:r w:rsidRPr="001570EA">
              <w:rPr>
                <w:sz w:val="18"/>
                <w:szCs w:val="18"/>
              </w:rPr>
              <w:t>EDC Data Gathering</w:t>
            </w:r>
          </w:p>
          <w:p w14:paraId="163D0349" w14:textId="77777777" w:rsidR="007376E1" w:rsidRPr="001570EA" w:rsidRDefault="007376E1">
            <w:pPr>
              <w:jc w:val="center"/>
              <w:rPr>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3DB3C902"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7CF897D8" w14:textId="77777777">
        <w:trPr>
          <w:trHeight w:val="412"/>
        </w:trPr>
        <w:tc>
          <w:tcPr>
            <w:tcW w:w="3623" w:type="dxa"/>
            <w:vMerge/>
            <w:tcBorders>
              <w:left w:val="single" w:sz="4" w:space="0" w:color="auto"/>
              <w:bottom w:val="single" w:sz="4" w:space="0" w:color="auto"/>
              <w:right w:val="single" w:sz="4" w:space="0" w:color="auto"/>
            </w:tcBorders>
            <w:vAlign w:val="center"/>
          </w:tcPr>
          <w:p w14:paraId="05B0FBA6" w14:textId="77777777" w:rsidR="007376E1" w:rsidRPr="001570EA" w:rsidRDefault="007376E1">
            <w:pPr>
              <w:rPr>
                <w:i/>
                <w:iCs/>
                <w:sz w:val="18"/>
                <w:szCs w:val="18"/>
              </w:rPr>
            </w:pPr>
          </w:p>
        </w:tc>
        <w:tc>
          <w:tcPr>
            <w:tcW w:w="1170" w:type="dxa"/>
            <w:vMerge/>
            <w:tcBorders>
              <w:left w:val="single" w:sz="4" w:space="0" w:color="auto"/>
              <w:bottom w:val="single" w:sz="4" w:space="0" w:color="auto"/>
              <w:right w:val="single" w:sz="4" w:space="0" w:color="auto"/>
            </w:tcBorders>
            <w:vAlign w:val="center"/>
          </w:tcPr>
          <w:p w14:paraId="71B2B07F" w14:textId="77777777" w:rsidR="007376E1" w:rsidRPr="001570EA" w:rsidRDefault="007376E1">
            <w:pPr>
              <w:jc w:val="center"/>
              <w:rPr>
                <w:i/>
                <w:iCs/>
                <w:sz w:val="18"/>
                <w:szCs w:val="18"/>
              </w:rPr>
            </w:pPr>
          </w:p>
        </w:tc>
        <w:tc>
          <w:tcPr>
            <w:tcW w:w="2070" w:type="dxa"/>
            <w:tcBorders>
              <w:left w:val="single" w:sz="4" w:space="0" w:color="auto"/>
              <w:bottom w:val="single" w:sz="4" w:space="0" w:color="auto"/>
              <w:right w:val="single" w:sz="4" w:space="0" w:color="auto"/>
            </w:tcBorders>
            <w:vAlign w:val="center"/>
          </w:tcPr>
          <w:p w14:paraId="6F29E3E2" w14:textId="77777777" w:rsidR="007376E1" w:rsidRPr="001570EA" w:rsidRDefault="007376E1">
            <w:pPr>
              <w:jc w:val="center"/>
              <w:rPr>
                <w:sz w:val="18"/>
                <w:szCs w:val="18"/>
              </w:rPr>
            </w:pPr>
            <w:r w:rsidRPr="001570EA">
              <w:rPr>
                <w:sz w:val="18"/>
                <w:szCs w:val="18"/>
              </w:rPr>
              <w:t>Default: 3.6</w:t>
            </w:r>
          </w:p>
        </w:tc>
        <w:tc>
          <w:tcPr>
            <w:tcW w:w="1710" w:type="dxa"/>
            <w:tcBorders>
              <w:top w:val="single" w:sz="4" w:space="0" w:color="auto"/>
              <w:left w:val="single" w:sz="4" w:space="0" w:color="auto"/>
              <w:bottom w:val="single" w:sz="4" w:space="0" w:color="auto"/>
              <w:right w:val="single" w:sz="4" w:space="0" w:color="auto"/>
            </w:tcBorders>
            <w:vAlign w:val="center"/>
          </w:tcPr>
          <w:p w14:paraId="351836BC" w14:textId="77777777" w:rsidR="007376E1" w:rsidRPr="001570EA" w:rsidRDefault="007376E1">
            <w:pPr>
              <w:jc w:val="center"/>
              <w:rPr>
                <w:sz w:val="18"/>
                <w:szCs w:val="18"/>
              </w:rPr>
            </w:pPr>
            <w:r w:rsidRPr="001570EA">
              <w:rPr>
                <w:sz w:val="18"/>
                <w:szCs w:val="18"/>
              </w:rPr>
              <w:t>4</w:t>
            </w:r>
          </w:p>
        </w:tc>
      </w:tr>
      <w:tr w:rsidR="007376E1" w:rsidRPr="001570EA" w14:paraId="3FF56128" w14:textId="77777777">
        <w:trPr>
          <w:trHeight w:val="602"/>
        </w:trPr>
        <w:tc>
          <w:tcPr>
            <w:tcW w:w="3623" w:type="dxa"/>
            <w:tcBorders>
              <w:top w:val="single" w:sz="4" w:space="0" w:color="auto"/>
              <w:left w:val="single" w:sz="4" w:space="0" w:color="auto"/>
              <w:bottom w:val="single" w:sz="4" w:space="0" w:color="auto"/>
              <w:right w:val="single" w:sz="4" w:space="0" w:color="auto"/>
            </w:tcBorders>
            <w:vAlign w:val="center"/>
          </w:tcPr>
          <w:p w14:paraId="67E63998" w14:textId="1B44BBE1" w:rsidR="007376E1" w:rsidRPr="001570EA" w:rsidRDefault="007376E1">
            <w:pPr>
              <w:rPr>
                <w:i/>
                <w:iCs/>
                <w:sz w:val="18"/>
                <w:szCs w:val="18"/>
              </w:rPr>
            </w:pPr>
            <w:r w:rsidRPr="001570EA">
              <w:rPr>
                <w:i/>
                <w:iCs/>
                <w:sz w:val="18"/>
                <w:szCs w:val="18"/>
              </w:rPr>
              <w:t>GSER</w:t>
            </w:r>
            <w:r w:rsidRPr="001570EA">
              <w:rPr>
                <w:sz w:val="18"/>
                <w:szCs w:val="18"/>
              </w:rPr>
              <w:t xml:space="preserve">, </w:t>
            </w:r>
            <w:r w:rsidRPr="001570EA">
              <w:rPr>
                <w:rFonts w:cs="Arial"/>
                <w:sz w:val="18"/>
                <w:szCs w:val="18"/>
              </w:rPr>
              <w:t>Factor used to determine the SEER of a GSHP based on its EER</w:t>
            </w:r>
            <w:r w:rsidRPr="001570EA">
              <w:rPr>
                <w:rFonts w:cs="Arial"/>
                <w:sz w:val="18"/>
                <w:szCs w:val="18"/>
                <w:vertAlign w:val="subscript"/>
              </w:rPr>
              <w:t>g</w:t>
            </w:r>
          </w:p>
        </w:tc>
        <w:tc>
          <w:tcPr>
            <w:tcW w:w="1170" w:type="dxa"/>
            <w:tcBorders>
              <w:top w:val="single" w:sz="4" w:space="0" w:color="auto"/>
              <w:left w:val="single" w:sz="4" w:space="0" w:color="auto"/>
              <w:bottom w:val="single" w:sz="4" w:space="0" w:color="auto"/>
              <w:right w:val="single" w:sz="4" w:space="0" w:color="auto"/>
            </w:tcBorders>
            <w:vAlign w:val="center"/>
          </w:tcPr>
          <w:p w14:paraId="063C6D70" w14:textId="77777777" w:rsidR="007376E1" w:rsidRPr="001570EA" w:rsidRDefault="003B5E04">
            <w:pPr>
              <w:jc w:val="center"/>
              <w:rPr>
                <w:rFonts w:ascii="Cambria Math" w:hAnsi="Cambria Math"/>
                <w:i/>
                <w:iCs/>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vAlign w:val="center"/>
          </w:tcPr>
          <w:p w14:paraId="573F26C5" w14:textId="2941A96A" w:rsidR="007376E1" w:rsidRPr="001570EA" w:rsidRDefault="007376E1">
            <w:pPr>
              <w:jc w:val="center"/>
              <w:rPr>
                <w:sz w:val="18"/>
                <w:szCs w:val="18"/>
              </w:rPr>
            </w:pPr>
            <w:r w:rsidRPr="001570EA">
              <w:rPr>
                <w:sz w:val="18"/>
                <w:szCs w:val="18"/>
              </w:rPr>
              <w:t xml:space="preserve">See </w:t>
            </w:r>
            <w:r w:rsidR="004D3022" w:rsidRPr="001570EA">
              <w:rPr>
                <w:sz w:val="18"/>
                <w:szCs w:val="18"/>
              </w:rPr>
              <w:fldChar w:fldCharType="begin"/>
            </w:r>
            <w:r w:rsidR="004D3022" w:rsidRPr="001570EA">
              <w:rPr>
                <w:sz w:val="18"/>
                <w:szCs w:val="18"/>
              </w:rPr>
              <w:instrText xml:space="preserve"> REF _Ref163903267 \h  \* MERGEFORMAT </w:instrText>
            </w:r>
            <w:r w:rsidR="004D3022" w:rsidRPr="001570EA">
              <w:rPr>
                <w:sz w:val="18"/>
                <w:szCs w:val="18"/>
              </w:rPr>
            </w:r>
            <w:r w:rsidR="004D3022" w:rsidRPr="001570EA">
              <w:rPr>
                <w:sz w:val="18"/>
                <w:szCs w:val="18"/>
              </w:rPr>
              <w:fldChar w:fldCharType="separate"/>
            </w:r>
            <w:r w:rsidR="00384D95" w:rsidRPr="001570EA">
              <w:rPr>
                <w:sz w:val="18"/>
                <w:szCs w:val="18"/>
              </w:rPr>
              <w:t xml:space="preserve">Table </w:t>
            </w:r>
            <w:r w:rsidR="00384D95" w:rsidRPr="001570EA">
              <w:rPr>
                <w:noProof/>
                <w:sz w:val="18"/>
                <w:szCs w:val="18"/>
              </w:rPr>
              <w:t>2</w:t>
            </w:r>
            <w:r w:rsidR="00384D95" w:rsidRPr="001570EA">
              <w:rPr>
                <w:noProof/>
                <w:sz w:val="18"/>
                <w:szCs w:val="18"/>
              </w:rPr>
              <w:noBreakHyphen/>
              <w:t>13</w:t>
            </w:r>
            <w:r w:rsidR="004D3022" w:rsidRPr="001570EA">
              <w:rPr>
                <w:sz w:val="18"/>
                <w:szCs w:val="18"/>
              </w:rPr>
              <w:fldChar w:fldCharType="end"/>
            </w:r>
            <w:r w:rsidR="004D3022" w:rsidRPr="001570EA">
              <w:rPr>
                <w:sz w:val="18"/>
                <w:szCs w:val="18"/>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14:paraId="2CBF3F8A" w14:textId="77777777" w:rsidR="007376E1" w:rsidRPr="001570EA" w:rsidRDefault="007376E1">
            <w:pPr>
              <w:pStyle w:val="TableCell"/>
              <w:keepNext w:val="0"/>
              <w:spacing w:before="60" w:after="60"/>
              <w:jc w:val="center"/>
              <w:rPr>
                <w:szCs w:val="18"/>
              </w:rPr>
            </w:pPr>
            <w:r w:rsidRPr="001570EA">
              <w:rPr>
                <w:szCs w:val="18"/>
              </w:rPr>
              <w:t>5</w:t>
            </w:r>
          </w:p>
        </w:tc>
      </w:tr>
      <w:tr w:rsidR="007376E1" w:rsidRPr="001570EA" w14:paraId="300B7CBA" w14:textId="77777777">
        <w:trPr>
          <w:trHeight w:val="621"/>
        </w:trPr>
        <w:tc>
          <w:tcPr>
            <w:tcW w:w="3623" w:type="dxa"/>
            <w:tcBorders>
              <w:top w:val="single" w:sz="4" w:space="0" w:color="auto"/>
              <w:left w:val="single" w:sz="4" w:space="0" w:color="auto"/>
              <w:bottom w:val="single" w:sz="4" w:space="0" w:color="auto"/>
              <w:right w:val="single" w:sz="4" w:space="0" w:color="auto"/>
            </w:tcBorders>
            <w:vAlign w:val="center"/>
            <w:hideMark/>
          </w:tcPr>
          <w:p w14:paraId="439D1512" w14:textId="36E866CE" w:rsidR="007376E1" w:rsidRPr="001570EA" w:rsidRDefault="007376E1">
            <w:pPr>
              <w:rPr>
                <w:sz w:val="18"/>
                <w:szCs w:val="18"/>
              </w:rPr>
            </w:pPr>
            <w:r w:rsidRPr="001570EA">
              <w:rPr>
                <w:i/>
                <w:iCs/>
                <w:sz w:val="18"/>
                <w:szCs w:val="18"/>
              </w:rPr>
              <w:t>GSOP</w:t>
            </w:r>
            <w:r w:rsidRPr="001570EA">
              <w:rPr>
                <w:sz w:val="18"/>
                <w:szCs w:val="18"/>
              </w:rPr>
              <w:t xml:space="preserve">, </w:t>
            </w:r>
            <w:r w:rsidRPr="001570EA">
              <w:rPr>
                <w:rFonts w:cs="Arial"/>
                <w:sz w:val="18"/>
                <w:szCs w:val="18"/>
              </w:rPr>
              <w:t>Factor to convert COP</w:t>
            </w:r>
            <w:r w:rsidRPr="001570EA">
              <w:rPr>
                <w:rFonts w:cs="Arial"/>
                <w:sz w:val="18"/>
                <w:szCs w:val="18"/>
                <w:vertAlign w:val="subscript"/>
              </w:rPr>
              <w:t>g</w:t>
            </w:r>
            <w:r w:rsidRPr="001570EA">
              <w:rPr>
                <w:rFonts w:cs="Arial"/>
                <w:sz w:val="18"/>
                <w:szCs w:val="18"/>
              </w:rPr>
              <w:t xml:space="preserve"> to the equivalent COP of an air-source unit to enable comparisons to the baseline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C3E2FB3" w14:textId="77777777" w:rsidR="007376E1" w:rsidRPr="001570EA" w:rsidRDefault="007376E1">
            <w:pPr>
              <w:jc w:val="center"/>
              <w:rPr>
                <w:sz w:val="18"/>
                <w:szCs w:val="18"/>
              </w:rPr>
            </w:pPr>
            <w:r w:rsidRPr="001570EA">
              <w:rPr>
                <w:i/>
                <w:iCs/>
                <w:sz w:val="18"/>
                <w:szCs w:val="18"/>
              </w:rPr>
              <w:t>Proportion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8B8CFE6" w14:textId="570D1535" w:rsidR="007376E1" w:rsidRPr="001570EA" w:rsidRDefault="007376E1">
            <w:pPr>
              <w:jc w:val="center"/>
              <w:rPr>
                <w:sz w:val="18"/>
                <w:szCs w:val="18"/>
              </w:rPr>
            </w:pPr>
            <w:r w:rsidRPr="001570EA">
              <w:rPr>
                <w:sz w:val="18"/>
                <w:szCs w:val="18"/>
              </w:rPr>
              <w:t xml:space="preserve">See </w:t>
            </w:r>
            <w:r w:rsidR="004D3022" w:rsidRPr="001570EA">
              <w:rPr>
                <w:sz w:val="18"/>
                <w:szCs w:val="18"/>
              </w:rPr>
              <w:fldChar w:fldCharType="begin"/>
            </w:r>
            <w:r w:rsidR="004D3022" w:rsidRPr="001570EA">
              <w:rPr>
                <w:sz w:val="18"/>
                <w:szCs w:val="18"/>
              </w:rPr>
              <w:instrText xml:space="preserve"> REF _Ref163903267 \h  \* MERGEFORMAT </w:instrText>
            </w:r>
            <w:r w:rsidR="004D3022" w:rsidRPr="001570EA">
              <w:rPr>
                <w:sz w:val="18"/>
                <w:szCs w:val="18"/>
              </w:rPr>
            </w:r>
            <w:r w:rsidR="004D3022" w:rsidRPr="001570EA">
              <w:rPr>
                <w:sz w:val="18"/>
                <w:szCs w:val="18"/>
              </w:rPr>
              <w:fldChar w:fldCharType="separate"/>
            </w:r>
            <w:r w:rsidR="00384D95" w:rsidRPr="001570EA">
              <w:rPr>
                <w:sz w:val="18"/>
                <w:szCs w:val="18"/>
              </w:rPr>
              <w:t xml:space="preserve">Table </w:t>
            </w:r>
            <w:r w:rsidR="00384D95" w:rsidRPr="001570EA">
              <w:rPr>
                <w:noProof/>
                <w:sz w:val="18"/>
                <w:szCs w:val="18"/>
              </w:rPr>
              <w:t>2</w:t>
            </w:r>
            <w:r w:rsidR="00384D95" w:rsidRPr="001570EA">
              <w:rPr>
                <w:noProof/>
                <w:sz w:val="18"/>
                <w:szCs w:val="18"/>
              </w:rPr>
              <w:noBreakHyphen/>
              <w:t>13</w:t>
            </w:r>
            <w:r w:rsidR="004D3022" w:rsidRPr="001570EA">
              <w:rPr>
                <w:sz w:val="18"/>
                <w:szCs w:val="18"/>
              </w:rPr>
              <w:fldChar w:fldCharType="end"/>
            </w:r>
            <w:r w:rsidR="004D3022" w:rsidRPr="001570EA">
              <w:rPr>
                <w:sz w:val="18"/>
                <w:szCs w:val="18"/>
              </w:rPr>
              <w:t xml:space="preserve">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50C9DB8" w14:textId="77777777" w:rsidR="007376E1" w:rsidRPr="001570EA" w:rsidRDefault="007376E1">
            <w:pPr>
              <w:jc w:val="center"/>
              <w:rPr>
                <w:sz w:val="18"/>
                <w:szCs w:val="18"/>
              </w:rPr>
            </w:pPr>
            <w:r w:rsidRPr="001570EA">
              <w:rPr>
                <w:sz w:val="18"/>
                <w:szCs w:val="18"/>
              </w:rPr>
              <w:t>5</w:t>
            </w:r>
          </w:p>
        </w:tc>
      </w:tr>
      <w:tr w:rsidR="007376E1" w:rsidRPr="001570EA" w14:paraId="43E2FD39" w14:textId="77777777">
        <w:trPr>
          <w:trHeight w:val="621"/>
        </w:trPr>
        <w:tc>
          <w:tcPr>
            <w:tcW w:w="3623" w:type="dxa"/>
            <w:tcBorders>
              <w:top w:val="single" w:sz="4" w:space="0" w:color="auto"/>
              <w:left w:val="single" w:sz="4" w:space="0" w:color="auto"/>
              <w:bottom w:val="single" w:sz="4" w:space="0" w:color="auto"/>
              <w:right w:val="single" w:sz="4" w:space="0" w:color="auto"/>
            </w:tcBorders>
            <w:vAlign w:val="center"/>
            <w:hideMark/>
          </w:tcPr>
          <w:p w14:paraId="43BCC017" w14:textId="0CBCABEE" w:rsidR="007376E1" w:rsidRPr="001570EA" w:rsidRDefault="003B5E04">
            <w:pPr>
              <w:rPr>
                <w:sz w:val="18"/>
                <w:szCs w:val="18"/>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r w:rsidR="007376E1" w:rsidRPr="001570EA">
              <w:rPr>
                <w:sz w:val="18"/>
                <w:szCs w:val="18"/>
              </w:rPr>
              <w:t>, Demand Coincidence Factor during the summer months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B220800" w14:textId="77777777" w:rsidR="007376E1" w:rsidRPr="001570EA" w:rsidRDefault="007376E1">
            <w:pPr>
              <w:jc w:val="center"/>
              <w:rPr>
                <w:sz w:val="18"/>
                <w:szCs w:val="18"/>
              </w:rPr>
            </w:pPr>
            <w:r w:rsidRPr="001570EA">
              <w:rPr>
                <w:i/>
                <w:iCs/>
                <w:sz w:val="18"/>
                <w:szCs w:val="18"/>
              </w:rPr>
              <w:t>Proportion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99B315" w14:textId="77777777" w:rsidR="007376E1" w:rsidRPr="001570EA" w:rsidRDefault="007376E1">
            <w:pPr>
              <w:jc w:val="center"/>
              <w:rPr>
                <w:sz w:val="18"/>
                <w:szCs w:val="18"/>
              </w:rPr>
            </w:pPr>
            <w:r w:rsidRPr="001570EA">
              <w:rPr>
                <w:sz w:val="18"/>
                <w:szCs w:val="18"/>
              </w:rPr>
              <w:t xml:space="preserve">See </w:t>
            </w:r>
            <w:r w:rsidRPr="001570EA">
              <w:rPr>
                <w:i/>
                <w:sz w:val="18"/>
                <w:szCs w:val="18"/>
              </w:rPr>
              <w:t>CF</w:t>
            </w:r>
            <w:r w:rsidRPr="001570EA">
              <w:rPr>
                <w:sz w:val="18"/>
                <w:szCs w:val="18"/>
              </w:rPr>
              <w:t xml:space="preserve"> in Vol. 1, App. 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A77E041" w14:textId="77777777" w:rsidR="007376E1" w:rsidRPr="001570EA" w:rsidRDefault="007376E1">
            <w:pPr>
              <w:jc w:val="center"/>
              <w:rPr>
                <w:sz w:val="18"/>
                <w:szCs w:val="18"/>
              </w:rPr>
            </w:pPr>
            <w:r w:rsidRPr="001570EA">
              <w:rPr>
                <w:sz w:val="18"/>
                <w:szCs w:val="18"/>
              </w:rPr>
              <w:t>3</w:t>
            </w:r>
          </w:p>
        </w:tc>
      </w:tr>
      <w:tr w:rsidR="007376E1" w:rsidRPr="001570EA" w14:paraId="2C5B2EF9" w14:textId="77777777">
        <w:trPr>
          <w:trHeight w:val="621"/>
        </w:trPr>
        <w:tc>
          <w:tcPr>
            <w:tcW w:w="3623" w:type="dxa"/>
            <w:tcBorders>
              <w:top w:val="single" w:sz="4" w:space="0" w:color="auto"/>
              <w:left w:val="single" w:sz="4" w:space="0" w:color="auto"/>
              <w:bottom w:val="single" w:sz="4" w:space="0" w:color="auto"/>
              <w:right w:val="single" w:sz="4" w:space="0" w:color="auto"/>
            </w:tcBorders>
            <w:vAlign w:val="center"/>
          </w:tcPr>
          <w:p w14:paraId="761944DA" w14:textId="3D1C7AB0" w:rsidR="007376E1" w:rsidRPr="001570EA" w:rsidRDefault="003B5E04">
            <w:pPr>
              <w:rPr>
                <w:i/>
                <w:iCs/>
                <w:sz w:val="18"/>
                <w:szCs w:val="18"/>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w:r w:rsidR="007376E1" w:rsidRPr="001570EA">
              <w:rPr>
                <w:sz w:val="18"/>
                <w:szCs w:val="18"/>
              </w:rPr>
              <w:t>, Demand Coincidence Factor during the winter months</w:t>
            </w:r>
          </w:p>
        </w:tc>
        <w:tc>
          <w:tcPr>
            <w:tcW w:w="1170" w:type="dxa"/>
            <w:tcBorders>
              <w:top w:val="single" w:sz="4" w:space="0" w:color="auto"/>
              <w:left w:val="single" w:sz="4" w:space="0" w:color="auto"/>
              <w:bottom w:val="single" w:sz="4" w:space="0" w:color="auto"/>
              <w:right w:val="single" w:sz="4" w:space="0" w:color="auto"/>
            </w:tcBorders>
            <w:vAlign w:val="center"/>
          </w:tcPr>
          <w:p w14:paraId="42735489" w14:textId="77777777" w:rsidR="007376E1" w:rsidRPr="001570EA" w:rsidRDefault="007376E1">
            <w:pPr>
              <w:jc w:val="center"/>
              <w:rPr>
                <w:i/>
                <w:iCs/>
                <w:sz w:val="18"/>
                <w:szCs w:val="18"/>
              </w:rPr>
            </w:pPr>
            <w:r w:rsidRPr="001570EA">
              <w:rPr>
                <w:i/>
                <w:iCs/>
                <w:sz w:val="18"/>
                <w:szCs w:val="18"/>
              </w:rPr>
              <w:t>Proportion</w:t>
            </w:r>
          </w:p>
        </w:tc>
        <w:tc>
          <w:tcPr>
            <w:tcW w:w="2070" w:type="dxa"/>
            <w:tcBorders>
              <w:top w:val="single" w:sz="4" w:space="0" w:color="auto"/>
              <w:left w:val="single" w:sz="4" w:space="0" w:color="auto"/>
              <w:bottom w:val="single" w:sz="4" w:space="0" w:color="auto"/>
              <w:right w:val="single" w:sz="4" w:space="0" w:color="auto"/>
            </w:tcBorders>
            <w:vAlign w:val="center"/>
          </w:tcPr>
          <w:p w14:paraId="5D7ED0A1" w14:textId="77777777" w:rsidR="007376E1" w:rsidRPr="001570EA" w:rsidRDefault="007376E1">
            <w:pPr>
              <w:jc w:val="center"/>
              <w:rPr>
                <w:sz w:val="18"/>
                <w:szCs w:val="18"/>
              </w:rPr>
            </w:pPr>
            <w:r w:rsidRPr="001570EA">
              <w:rPr>
                <w:sz w:val="18"/>
                <w:szCs w:val="18"/>
              </w:rPr>
              <w:t xml:space="preserve">See </w:t>
            </w:r>
            <w:r w:rsidRPr="001570EA">
              <w:rPr>
                <w:i/>
                <w:sz w:val="18"/>
                <w:szCs w:val="18"/>
              </w:rPr>
              <w:t>CF</w:t>
            </w:r>
            <w:r w:rsidRPr="001570EA">
              <w:rPr>
                <w:sz w:val="18"/>
                <w:szCs w:val="18"/>
              </w:rPr>
              <w:t xml:space="preserve"> in Vol. 1, App. A</w:t>
            </w:r>
          </w:p>
        </w:tc>
        <w:tc>
          <w:tcPr>
            <w:tcW w:w="1710" w:type="dxa"/>
            <w:tcBorders>
              <w:top w:val="single" w:sz="4" w:space="0" w:color="auto"/>
              <w:left w:val="single" w:sz="4" w:space="0" w:color="auto"/>
              <w:bottom w:val="single" w:sz="4" w:space="0" w:color="auto"/>
              <w:right w:val="single" w:sz="4" w:space="0" w:color="auto"/>
            </w:tcBorders>
            <w:vAlign w:val="center"/>
          </w:tcPr>
          <w:p w14:paraId="6516878E" w14:textId="77777777" w:rsidR="007376E1" w:rsidRPr="001570EA" w:rsidRDefault="007376E1">
            <w:pPr>
              <w:jc w:val="center"/>
              <w:rPr>
                <w:sz w:val="18"/>
                <w:szCs w:val="18"/>
              </w:rPr>
            </w:pPr>
            <w:r w:rsidRPr="001570EA">
              <w:rPr>
                <w:sz w:val="18"/>
                <w:szCs w:val="18"/>
              </w:rPr>
              <w:t>3</w:t>
            </w:r>
          </w:p>
        </w:tc>
      </w:tr>
    </w:tbl>
    <w:p w14:paraId="4125DEDF" w14:textId="77777777" w:rsidR="007376E1" w:rsidRPr="001570EA" w:rsidRDefault="007376E1" w:rsidP="007376E1">
      <w:r w:rsidRPr="001570EA">
        <w:t>Note: Where appropriate, nameplate data collected for usage in savings calculations (i.e., SEER, EER, HSPF) should be converted to new efficiency metrics (i.e., SEER2, EER2, HSPF2) using conversion equations laid out in Vol. 1 App. A</w:t>
      </w:r>
    </w:p>
    <w:p w14:paraId="64E3F7BD" w14:textId="77777777" w:rsidR="007376E1" w:rsidRPr="001570EA" w:rsidRDefault="007376E1" w:rsidP="007376E1">
      <w:pPr>
        <w:pStyle w:val="Equation"/>
        <w:tabs>
          <w:tab w:val="clear" w:pos="2880"/>
          <w:tab w:val="left" w:pos="2160"/>
        </w:tabs>
        <w:rPr>
          <w:i w:val="0"/>
        </w:rPr>
      </w:pPr>
    </w:p>
    <w:p w14:paraId="18A3E8A0" w14:textId="77777777" w:rsidR="007376E1" w:rsidRPr="001570EA" w:rsidRDefault="007376E1" w:rsidP="007376E1">
      <w:pPr>
        <w:pStyle w:val="SubStyle"/>
      </w:pPr>
      <w:r w:rsidRPr="001570EA">
        <w:t>Evaluation Protocols</w:t>
      </w:r>
    </w:p>
    <w:p w14:paraId="6320093B" w14:textId="77777777" w:rsidR="007376E1" w:rsidRPr="001570EA" w:rsidRDefault="007376E1" w:rsidP="007376E1">
      <w:pPr>
        <w:pStyle w:val="BodyText"/>
        <w:ind w:right="0"/>
      </w:pPr>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5F0F04BB" w14:textId="77777777" w:rsidR="007376E1" w:rsidRPr="001570EA" w:rsidRDefault="007376E1" w:rsidP="007376E1">
      <w:pPr>
        <w:pStyle w:val="BodyText"/>
        <w:ind w:right="0"/>
        <w:rPr>
          <w:rFonts w:eastAsia="Calibri"/>
          <w:szCs w:val="16"/>
        </w:rPr>
      </w:pPr>
    </w:p>
    <w:p w14:paraId="5E357424" w14:textId="77777777" w:rsidR="007376E1" w:rsidRPr="001570EA" w:rsidRDefault="007376E1" w:rsidP="007376E1">
      <w:pPr>
        <w:pStyle w:val="SubStyle"/>
      </w:pPr>
      <w:r w:rsidRPr="001570EA">
        <w:t>Sources</w:t>
      </w:r>
    </w:p>
    <w:p w14:paraId="43B56CBC" w14:textId="1ED2BDCD" w:rsidR="007376E1" w:rsidRPr="001570EA" w:rsidRDefault="007376E1" w:rsidP="002614D2">
      <w:pPr>
        <w:pStyle w:val="source10"/>
        <w:numPr>
          <w:ilvl w:val="0"/>
          <w:numId w:val="36"/>
        </w:numPr>
        <w:spacing w:after="120"/>
        <w:ind w:left="360"/>
        <w:jc w:val="left"/>
        <w:textAlignment w:val="auto"/>
      </w:pPr>
      <w:r w:rsidRPr="001570EA">
        <w:rPr>
          <w:bCs/>
          <w:szCs w:val="24"/>
        </w:rPr>
        <w:t xml:space="preserve">California Electronic Technical Reference Manual. “Refrigerant Charge – Residential” and “Clean Condenser Coils – Residential” listed in the CPUC Support Table “Effective Useful Life and Remaining Useful Life”. Accessed December 2023. </w:t>
      </w:r>
      <w:hyperlink r:id="rId79" w:history="1">
        <w:r w:rsidRPr="001570EA">
          <w:rPr>
            <w:rStyle w:val="Hyperlink"/>
            <w:rFonts w:cs="Arial"/>
            <w:bCs/>
            <w:szCs w:val="24"/>
          </w:rPr>
          <w:t>Weblink</w:t>
        </w:r>
      </w:hyperlink>
    </w:p>
    <w:p w14:paraId="2219321A" w14:textId="3A56A33D" w:rsidR="007376E1" w:rsidRPr="001570EA" w:rsidRDefault="007376E1" w:rsidP="002614D2">
      <w:pPr>
        <w:pStyle w:val="ListParagraph"/>
        <w:numPr>
          <w:ilvl w:val="0"/>
          <w:numId w:val="36"/>
        </w:numPr>
        <w:ind w:left="360"/>
        <w:jc w:val="left"/>
      </w:pPr>
      <w:r w:rsidRPr="001570EA">
        <w:t xml:space="preserve">Energy Center of Wisconsin. (2008, May). “Central Air Conditioning in Wisconsin, A Compilation of Recent Field Research”. </w:t>
      </w:r>
      <w:hyperlink r:id="rId80" w:history="1">
        <w:r w:rsidRPr="001570EA">
          <w:rPr>
            <w:rStyle w:val="Hyperlink"/>
          </w:rPr>
          <w:t>Weblink</w:t>
        </w:r>
      </w:hyperlink>
      <w:r w:rsidRPr="001570EA">
        <w:t xml:space="preserve"> </w:t>
      </w:r>
    </w:p>
    <w:p w14:paraId="3BA3E610" w14:textId="2FD1D333" w:rsidR="007376E1" w:rsidRPr="001570EA" w:rsidRDefault="007376E1" w:rsidP="002614D2">
      <w:pPr>
        <w:pStyle w:val="ListParagraph"/>
        <w:numPr>
          <w:ilvl w:val="0"/>
          <w:numId w:val="36"/>
        </w:numPr>
        <w:overflowPunct/>
        <w:autoSpaceDE/>
        <w:autoSpaceDN/>
        <w:adjustRightInd/>
        <w:ind w:left="360"/>
        <w:jc w:val="left"/>
        <w:textAlignment w:val="auto"/>
      </w:pPr>
      <w:r w:rsidRPr="001570EA">
        <w:t>Based on the Phase III SWE team’s analysis of regional HVAC runtime data collected from ecobee’s Donate Your Data research service (</w:t>
      </w:r>
      <w:hyperlink r:id="rId81" w:history="1">
        <w:r w:rsidRPr="001570EA">
          <w:rPr>
            <w:rStyle w:val="Hyperlink"/>
          </w:rPr>
          <w:t>Weblink</w:t>
        </w:r>
      </w:hyperlink>
      <w:r w:rsidRPr="001570EA">
        <w:t>) and updated based on the latest CDD and HDD values from NOAA’s 15-year annual climate Normals (2006–2020) (</w:t>
      </w:r>
      <w:hyperlink r:id="rId82" w:history="1">
        <w:r w:rsidRPr="001570EA">
          <w:rPr>
            <w:rStyle w:val="Hyperlink"/>
          </w:rPr>
          <w:t>Weblink</w:t>
        </w:r>
      </w:hyperlink>
      <w:r w:rsidRPr="001570EA">
        <w:t>)</w:t>
      </w:r>
    </w:p>
    <w:p w14:paraId="19BDCCC1" w14:textId="3CFBE253" w:rsidR="007376E1" w:rsidRPr="001570EA" w:rsidRDefault="007376E1" w:rsidP="002614D2">
      <w:pPr>
        <w:pStyle w:val="source10"/>
        <w:numPr>
          <w:ilvl w:val="0"/>
          <w:numId w:val="36"/>
        </w:numPr>
        <w:overflowPunct/>
        <w:autoSpaceDE/>
        <w:autoSpaceDN/>
        <w:spacing w:after="120"/>
        <w:ind w:left="360"/>
        <w:jc w:val="left"/>
        <w:textAlignment w:val="auto"/>
      </w:pPr>
      <w:r w:rsidRPr="001570EA">
        <w:t>NMR Group for the Pennsylvania Public Utility Commission. (</w:t>
      </w:r>
      <w:r w:rsidR="00205A57" w:rsidRPr="001570EA">
        <w:t>202</w:t>
      </w:r>
      <w:r w:rsidR="00F85246">
        <w:t>4</w:t>
      </w:r>
      <w:r w:rsidRPr="001570EA">
        <w:t>, M</w:t>
      </w:r>
      <w:r w:rsidR="00205A57" w:rsidRPr="001570EA">
        <w:t>arch</w:t>
      </w:r>
      <w:r w:rsidRPr="001570EA">
        <w:t xml:space="preserve">). 2023 Pennsylvania Statewide Act 129 Residential Baseline Study </w:t>
      </w:r>
      <w:hyperlink r:id="rId83" w:history="1">
        <w:r w:rsidRPr="001570EA">
          <w:rPr>
            <w:rStyle w:val="Hyperlink"/>
          </w:rPr>
          <w:t>Weblink.</w:t>
        </w:r>
      </w:hyperlink>
      <w:r w:rsidRPr="001570EA">
        <w:t xml:space="preserve"> </w:t>
      </w:r>
      <w:r w:rsidRPr="001570EA">
        <w:rPr>
          <w:color w:val="000000" w:themeColor="text1"/>
        </w:rPr>
        <w:t xml:space="preserve">Due to small sample size for GSHP in </w:t>
      </w:r>
      <w:r w:rsidRPr="001570EA">
        <w:t xml:space="preserve">Act 129 2023 </w:t>
      </w:r>
      <w:r w:rsidR="00F17724" w:rsidRPr="001570EA">
        <w:t xml:space="preserve">Pennsylvania </w:t>
      </w:r>
      <w:r w:rsidRPr="001570EA">
        <w:t xml:space="preserve">Residential Baseline Study this value is lowest efficiency value from BEopt v3.0.1.0. </w:t>
      </w:r>
    </w:p>
    <w:p w14:paraId="2164D2E5" w14:textId="6D8D28DE" w:rsidR="007376E1" w:rsidRPr="001570EA" w:rsidRDefault="007376E1" w:rsidP="002614D2">
      <w:pPr>
        <w:pStyle w:val="ListParagraph"/>
        <w:numPr>
          <w:ilvl w:val="0"/>
          <w:numId w:val="36"/>
        </w:numPr>
        <w:overflowPunct/>
        <w:autoSpaceDE/>
        <w:autoSpaceDN/>
        <w:adjustRightInd/>
        <w:ind w:left="360"/>
        <w:textAlignment w:val="auto"/>
      </w:pPr>
      <w:r w:rsidRPr="001570EA">
        <w:rPr>
          <w:rFonts w:ascii="ArialMT" w:hAnsi="ArialMT"/>
          <w:color w:val="000000"/>
        </w:rPr>
        <w:t xml:space="preserve">Factors are derived from the conversion algorithms depicted in the Heat Pump – Water-to-air Ground Source (GSHP) Measure of the Version 11 of the NY TRM </w:t>
      </w:r>
      <w:hyperlink r:id="rId84" w:history="1">
        <w:r w:rsidRPr="001570EA">
          <w:rPr>
            <w:rStyle w:val="Hyperlink"/>
            <w:rFonts w:ascii="ArialMT" w:hAnsi="ArialMT"/>
          </w:rPr>
          <w:t>Weblink</w:t>
        </w:r>
      </w:hyperlink>
    </w:p>
    <w:p w14:paraId="33FB594F" w14:textId="77777777" w:rsidR="007376E1" w:rsidRPr="001570EA" w:rsidRDefault="007376E1" w:rsidP="007376E1">
      <w:pPr>
        <w:pStyle w:val="source10"/>
        <w:spacing w:after="120"/>
        <w:jc w:val="left"/>
        <w:textAlignment w:val="auto"/>
        <w:rPr>
          <w:rStyle w:val="Hyperlink"/>
          <w:rFonts w:cs="Arial"/>
        </w:rPr>
        <w:sectPr w:rsidR="007376E1" w:rsidRPr="001570EA" w:rsidSect="002D556C">
          <w:pgSz w:w="12240" w:h="15840"/>
          <w:pgMar w:top="1440" w:right="1800" w:bottom="1440" w:left="1800" w:header="720" w:footer="501" w:gutter="0"/>
          <w:cols w:space="720"/>
        </w:sectPr>
      </w:pPr>
    </w:p>
    <w:p w14:paraId="4C9DF56E" w14:textId="77777777" w:rsidR="007376E1" w:rsidRPr="001570EA" w:rsidRDefault="007376E1" w:rsidP="00462D97">
      <w:pPr>
        <w:pStyle w:val="Heading3"/>
      </w:pPr>
      <w:bookmarkStart w:id="242" w:name="_Toc527023061"/>
      <w:bookmarkStart w:id="243" w:name="_Toc48143022"/>
      <w:bookmarkStart w:id="244" w:name="_Toc164786640"/>
      <w:r w:rsidRPr="001570EA">
        <w:t>Room Air Conditioners</w:t>
      </w:r>
      <w:bookmarkEnd w:id="242"/>
      <w:bookmarkEnd w:id="243"/>
      <w:bookmarkEnd w:id="244"/>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8"/>
        <w:gridCol w:w="4964"/>
      </w:tblGrid>
      <w:tr w:rsidR="007376E1" w:rsidRPr="001570EA" w14:paraId="0D3DCBB4"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2DD4C9C" w14:textId="77777777" w:rsidR="007376E1" w:rsidRPr="001570EA" w:rsidRDefault="007376E1">
            <w:pPr>
              <w:pStyle w:val="TableCell"/>
              <w:spacing w:before="60" w:after="60"/>
              <w:rPr>
                <w:b/>
                <w:bCs/>
                <w:color w:val="000000"/>
              </w:rPr>
            </w:pPr>
            <w:r w:rsidRPr="001570EA">
              <w:rPr>
                <w:b/>
                <w:bCs/>
                <w:color w:val="000000"/>
              </w:rPr>
              <w:t>Target Sector</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5ED0D9BB" w14:textId="77777777" w:rsidR="007376E1" w:rsidRPr="001570EA" w:rsidRDefault="007376E1">
            <w:pPr>
              <w:pStyle w:val="TableCell"/>
              <w:spacing w:before="60" w:after="60"/>
              <w:jc w:val="center"/>
              <w:rPr>
                <w:color w:val="000000"/>
              </w:rPr>
            </w:pPr>
            <w:r w:rsidRPr="001570EA">
              <w:rPr>
                <w:color w:val="000000"/>
              </w:rPr>
              <w:t>Residential</w:t>
            </w:r>
          </w:p>
        </w:tc>
      </w:tr>
      <w:tr w:rsidR="007376E1" w:rsidRPr="001570EA" w14:paraId="06065185"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16BC7A08" w14:textId="77777777" w:rsidR="007376E1" w:rsidRPr="001570EA" w:rsidRDefault="007376E1">
            <w:pPr>
              <w:pStyle w:val="TableCell"/>
              <w:spacing w:before="60" w:after="60"/>
              <w:rPr>
                <w:b/>
                <w:bCs/>
                <w:color w:val="000000"/>
              </w:rPr>
            </w:pPr>
            <w:r w:rsidRPr="001570EA">
              <w:rPr>
                <w:b/>
                <w:bCs/>
                <w:color w:val="000000"/>
              </w:rPr>
              <w:t>Measure Unit</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57A23CE0" w14:textId="77777777" w:rsidR="007376E1" w:rsidRPr="001570EA" w:rsidRDefault="007376E1">
            <w:pPr>
              <w:pStyle w:val="TableCell"/>
              <w:spacing w:before="60" w:after="60"/>
              <w:jc w:val="center"/>
              <w:rPr>
                <w:color w:val="000000"/>
              </w:rPr>
            </w:pPr>
            <w:r w:rsidRPr="001570EA">
              <w:rPr>
                <w:color w:val="000000"/>
              </w:rPr>
              <w:t>Room Air Conditioner</w:t>
            </w:r>
          </w:p>
        </w:tc>
      </w:tr>
      <w:tr w:rsidR="007376E1" w:rsidRPr="001570EA" w14:paraId="6B663ED8"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3B71FD42" w14:textId="77777777" w:rsidR="007376E1" w:rsidRPr="001570EA" w:rsidRDefault="007376E1">
            <w:pPr>
              <w:pStyle w:val="TableCell"/>
              <w:spacing w:before="60" w:after="60"/>
              <w:rPr>
                <w:b/>
                <w:bCs/>
                <w:color w:val="000000"/>
              </w:rPr>
            </w:pPr>
            <w:r w:rsidRPr="001570EA">
              <w:rPr>
                <w:b/>
                <w:bCs/>
                <w:color w:val="000000"/>
              </w:rPr>
              <w:t>Measure Life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1F0DB1AF" w14:textId="77777777" w:rsidR="007376E1" w:rsidRPr="001570EA" w:rsidRDefault="007376E1">
            <w:pPr>
              <w:pStyle w:val="TableCell"/>
              <w:spacing w:before="60" w:after="60"/>
              <w:jc w:val="center"/>
              <w:rPr>
                <w:color w:val="000000"/>
              </w:rPr>
            </w:pPr>
            <w:r w:rsidRPr="001570EA">
              <w:rPr>
                <w:color w:val="000000"/>
              </w:rPr>
              <w:t>9 years</w:t>
            </w:r>
            <w:r w:rsidRPr="001570EA">
              <w:rPr>
                <w:color w:val="000000"/>
                <w:vertAlign w:val="superscript"/>
              </w:rPr>
              <w:t>Source 1</w:t>
            </w:r>
          </w:p>
        </w:tc>
      </w:tr>
      <w:tr w:rsidR="007376E1" w:rsidRPr="001570EA" w14:paraId="14575293"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C85CE1E" w14:textId="77777777" w:rsidR="007376E1" w:rsidRPr="001570EA" w:rsidRDefault="007376E1">
            <w:pPr>
              <w:pStyle w:val="TableCell"/>
              <w:spacing w:before="60" w:after="60"/>
              <w:rPr>
                <w:b/>
                <w:bCs/>
                <w:color w:val="000000"/>
              </w:rPr>
            </w:pPr>
            <w:r w:rsidRPr="001570EA">
              <w:rPr>
                <w:b/>
                <w:bCs/>
                <w:color w:val="000000"/>
              </w:rPr>
              <w:t>Vintage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441333C" w14:textId="77777777" w:rsidR="007376E1" w:rsidRPr="001570EA" w:rsidRDefault="007376E1">
            <w:pPr>
              <w:pStyle w:val="TableCell"/>
              <w:spacing w:before="60" w:after="60"/>
              <w:jc w:val="center"/>
              <w:rPr>
                <w:color w:val="000000"/>
              </w:rPr>
            </w:pPr>
            <w:r w:rsidRPr="001570EA">
              <w:rPr>
                <w:color w:val="000000"/>
              </w:rPr>
              <w:t>Replace on Burnout</w:t>
            </w:r>
          </w:p>
        </w:tc>
      </w:tr>
    </w:tbl>
    <w:p w14:paraId="750799B5" w14:textId="77777777" w:rsidR="007376E1" w:rsidRPr="001570EA" w:rsidRDefault="007376E1" w:rsidP="007376E1"/>
    <w:p w14:paraId="3FA09975" w14:textId="77777777" w:rsidR="007376E1" w:rsidRPr="001570EA" w:rsidRDefault="007376E1" w:rsidP="007376E1">
      <w:pPr>
        <w:pStyle w:val="SubStyle"/>
      </w:pPr>
      <w:r w:rsidRPr="001570EA">
        <w:t xml:space="preserve">Eligibility </w:t>
      </w:r>
    </w:p>
    <w:p w14:paraId="0F2BFC24" w14:textId="77777777" w:rsidR="007376E1" w:rsidRPr="001570EA" w:rsidRDefault="007376E1" w:rsidP="007376E1">
      <w:pPr>
        <w:rPr>
          <w:rFonts w:cs="Arial"/>
          <w:szCs w:val="20"/>
        </w:rPr>
      </w:pPr>
      <w:r w:rsidRPr="001570EA">
        <w:rPr>
          <w:rFonts w:cs="Arial"/>
          <w:szCs w:val="20"/>
        </w:rPr>
        <w:t xml:space="preserve">This measure relates to the purchase and installation of a room air conditioner exceeding efficiency criteria prescribed by federal standards. </w:t>
      </w:r>
    </w:p>
    <w:p w14:paraId="2574B45E" w14:textId="77777777" w:rsidR="007376E1" w:rsidRPr="001570EA" w:rsidRDefault="007376E1" w:rsidP="007376E1"/>
    <w:p w14:paraId="093831F9" w14:textId="77777777" w:rsidR="007376E1" w:rsidRPr="001570EA" w:rsidRDefault="007376E1" w:rsidP="007376E1">
      <w:pPr>
        <w:pStyle w:val="SubStyle"/>
      </w:pPr>
      <w:r w:rsidRPr="001570EA">
        <w:t>Algorithms</w:t>
      </w:r>
    </w:p>
    <w:p w14:paraId="4BE1DD4C" w14:textId="77777777" w:rsidR="007376E1" w:rsidRPr="001570EA" w:rsidRDefault="007376E1" w:rsidP="007376E1">
      <w:r w:rsidRPr="001570EA">
        <w:t>To determine resource savings, the per-unit estimates in the algorithms will be multiplied by the number of room air conditioners.  The number of room air conditioners will be determined using market assessments and market tracking.</w:t>
      </w:r>
    </w:p>
    <w:p w14:paraId="32F37D29" w14:textId="77777777" w:rsidR="007376E1" w:rsidRPr="001570EA" w:rsidRDefault="007376E1" w:rsidP="007376E1"/>
    <w:p w14:paraId="42154B7C" w14:textId="77777777" w:rsidR="007376E1" w:rsidRPr="001570EA" w:rsidRDefault="007376E1" w:rsidP="007376E1">
      <w:pPr>
        <w:pStyle w:val="NoSpacing"/>
        <w:rPr>
          <w:rFonts w:cs="Arial"/>
          <w:szCs w:val="20"/>
        </w:rPr>
      </w:pPr>
      <w:r w:rsidRPr="001570EA">
        <w:rPr>
          <w:rFonts w:cs="Arial"/>
          <w:szCs w:val="20"/>
        </w:rPr>
        <w:t>RAC units are rated using a CEER (Combined Energy Efficiency Ratio), which incorporates standby power into the calculation. This will be the value used in the savings algorithm.</w:t>
      </w:r>
    </w:p>
    <w:p w14:paraId="45FDB9B9" w14:textId="77777777" w:rsidR="007376E1" w:rsidRPr="001570EA" w:rsidRDefault="007376E1" w:rsidP="007376E1">
      <w:pPr>
        <w:pStyle w:val="NoSpacing"/>
        <w:spacing w:line="360" w:lineRule="auto"/>
        <w:rPr>
          <w:rFonts w:eastAsiaTheme="minorEastAsia" w:cs="Arial"/>
          <w:i/>
          <w:szCs w:val="20"/>
          <w:vertAlign w:val="subscript"/>
        </w:rPr>
      </w:pPr>
      <m:oMathPara>
        <m:oMathParaPr>
          <m:jc m:val="left"/>
        </m:oMathParaPr>
        <m:oMath>
          <m:r>
            <w:rPr>
              <w:rFonts w:ascii="Cambria Math" w:hAnsi="Cambria Math" w:cs="Arial"/>
              <w:szCs w:val="20"/>
            </w:rPr>
            <m:t>∆ kWh                           =CAPY×</m:t>
          </m:r>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1</m:t>
                  </m:r>
                </m:num>
                <m:den>
                  <m:sSub>
                    <m:sSubPr>
                      <m:ctrlPr>
                        <w:rPr>
                          <w:rFonts w:ascii="Cambria Math" w:hAnsi="Cambria Math" w:cs="Arial"/>
                          <w:i/>
                          <w:szCs w:val="20"/>
                        </w:rPr>
                      </m:ctrlPr>
                    </m:sSubPr>
                    <m:e>
                      <m:r>
                        <w:rPr>
                          <w:rFonts w:ascii="Cambria Math" w:hAnsi="Cambria Math" w:cs="Arial"/>
                          <w:szCs w:val="20"/>
                        </w:rPr>
                        <m:t>CEER</m:t>
                      </m:r>
                    </m:e>
                    <m:sub>
                      <m:r>
                        <w:rPr>
                          <w:rFonts w:ascii="Cambria Math" w:hAnsi="Cambria Math" w:cs="Arial"/>
                          <w:szCs w:val="20"/>
                        </w:rPr>
                        <m:t>base</m:t>
                      </m:r>
                    </m:sub>
                  </m:sSub>
                </m:den>
              </m:f>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1</m:t>
                  </m:r>
                </m:num>
                <m:den>
                  <m:sSub>
                    <m:sSubPr>
                      <m:ctrlPr>
                        <w:rPr>
                          <w:rFonts w:ascii="Cambria Math" w:hAnsi="Cambria Math" w:cs="Arial"/>
                          <w:i/>
                          <w:szCs w:val="20"/>
                        </w:rPr>
                      </m:ctrlPr>
                    </m:sSubPr>
                    <m:e>
                      <m:r>
                        <w:rPr>
                          <w:rFonts w:ascii="Cambria Math" w:hAnsi="Cambria Math" w:cs="Arial"/>
                          <w:szCs w:val="20"/>
                        </w:rPr>
                        <m:t>CEER</m:t>
                      </m:r>
                    </m:e>
                    <m:sub>
                      <m:r>
                        <w:rPr>
                          <w:rFonts w:ascii="Cambria Math" w:hAnsi="Cambria Math" w:cs="Arial"/>
                          <w:szCs w:val="20"/>
                        </w:rPr>
                        <m:t>ee</m:t>
                      </m:r>
                    </m:sub>
                  </m:sSub>
                </m:den>
              </m:f>
            </m:e>
          </m:d>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EFLH</m:t>
              </m:r>
            </m:e>
            <m:sub>
              <m:r>
                <w:rPr>
                  <w:rFonts w:ascii="Cambria Math" w:hAnsi="Cambria Math" w:cs="Arial"/>
                  <w:szCs w:val="20"/>
                </w:rPr>
                <m:t>RAC</m:t>
              </m:r>
            </m:sub>
          </m:sSub>
          <m:r>
            <w:rPr>
              <w:rFonts w:ascii="Cambria Math" w:hAnsi="Cambria Math" w:cs="Arial"/>
              <w:szCs w:val="20"/>
              <w:vertAlign w:val="subscript"/>
            </w:rPr>
            <m:t xml:space="preserve"> </m:t>
          </m:r>
        </m:oMath>
      </m:oMathPara>
    </w:p>
    <w:p w14:paraId="31CADAB4" w14:textId="77777777" w:rsidR="007376E1" w:rsidRPr="001570EA" w:rsidRDefault="007376E1" w:rsidP="007376E1">
      <w:pPr>
        <w:pStyle w:val="NoSpacing"/>
        <w:spacing w:line="360" w:lineRule="auto"/>
        <w:rPr>
          <w:rFonts w:eastAsiaTheme="minorEastAsia" w:cs="Arial"/>
          <w:i/>
          <w:szCs w:val="20"/>
        </w:rPr>
      </w:pPr>
      <m:oMath>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kW</m:t>
            </m:r>
          </m:e>
          <m:sub>
            <m:r>
              <w:rPr>
                <w:rFonts w:ascii="Cambria Math" w:hAnsi="Cambria Math" w:cs="Arial"/>
                <w:szCs w:val="20"/>
              </w:rPr>
              <m:t>summer peak</m:t>
            </m:r>
          </m:sub>
        </m:sSub>
        <m:r>
          <w:rPr>
            <w:rFonts w:ascii="Cambria Math" w:hAnsi="Cambria Math" w:cs="Arial"/>
            <w:szCs w:val="20"/>
          </w:rPr>
          <m:t>=CAPY×</m:t>
        </m:r>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1</m:t>
                </m:r>
              </m:num>
              <m:den>
                <m:sSub>
                  <m:sSubPr>
                    <m:ctrlPr>
                      <w:rPr>
                        <w:rFonts w:ascii="Cambria Math" w:hAnsi="Cambria Math" w:cs="Arial"/>
                        <w:i/>
                        <w:szCs w:val="20"/>
                      </w:rPr>
                    </m:ctrlPr>
                  </m:sSubPr>
                  <m:e>
                    <m:r>
                      <w:rPr>
                        <w:rFonts w:ascii="Cambria Math" w:hAnsi="Cambria Math" w:cs="Arial"/>
                        <w:szCs w:val="20"/>
                      </w:rPr>
                      <m:t>CEER</m:t>
                    </m:r>
                  </m:e>
                  <m:sub>
                    <m:r>
                      <w:rPr>
                        <w:rFonts w:ascii="Cambria Math" w:hAnsi="Cambria Math" w:cs="Arial"/>
                        <w:szCs w:val="20"/>
                      </w:rPr>
                      <m:t>base</m:t>
                    </m:r>
                  </m:sub>
                </m:sSub>
              </m:den>
            </m:f>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1</m:t>
                </m:r>
              </m:num>
              <m:den>
                <m:r>
                  <w:rPr>
                    <w:rFonts w:ascii="Cambria Math" w:hAnsi="Cambria Math" w:cs="Arial"/>
                    <w:szCs w:val="20"/>
                  </w:rPr>
                  <m:t>C</m:t>
                </m:r>
                <m:sSub>
                  <m:sSubPr>
                    <m:ctrlPr>
                      <w:rPr>
                        <w:rFonts w:ascii="Cambria Math" w:hAnsi="Cambria Math" w:cs="Arial"/>
                        <w:i/>
                        <w:szCs w:val="20"/>
                      </w:rPr>
                    </m:ctrlPr>
                  </m:sSubPr>
                  <m:e>
                    <m:r>
                      <w:rPr>
                        <w:rFonts w:ascii="Cambria Math" w:hAnsi="Cambria Math" w:cs="Arial"/>
                        <w:szCs w:val="20"/>
                      </w:rPr>
                      <m:t>EER</m:t>
                    </m:r>
                  </m:e>
                  <m:sub>
                    <m:r>
                      <w:rPr>
                        <w:rFonts w:ascii="Cambria Math" w:hAnsi="Cambria Math" w:cs="Arial"/>
                        <w:szCs w:val="20"/>
                      </w:rPr>
                      <m:t>ee</m:t>
                    </m:r>
                  </m:sub>
                </m:sSub>
              </m:den>
            </m:f>
          </m:e>
        </m:d>
        <m:r>
          <w:rPr>
            <w:rFonts w:ascii="Cambria Math" w:hAnsi="Cambria Math" w:cs="Arial"/>
            <w:szCs w:val="20"/>
          </w:rPr>
          <m:t>×</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r w:rsidRPr="001570EA">
        <w:rPr>
          <w:rFonts w:eastAsiaTheme="minorEastAsia" w:cs="Arial"/>
          <w:i/>
          <w:szCs w:val="20"/>
        </w:rPr>
        <w:t xml:space="preserve"> </w:t>
      </w:r>
    </w:p>
    <w:p w14:paraId="4E3505D4" w14:textId="77777777" w:rsidR="007376E1" w:rsidRPr="001570EA" w:rsidRDefault="007376E1" w:rsidP="007376E1">
      <w:pPr>
        <w:pStyle w:val="NoSpacing"/>
        <w:spacing w:line="360" w:lineRule="auto"/>
        <w:rPr>
          <w:rFonts w:eastAsiaTheme="minorEastAsia" w:cs="Arial"/>
          <w:i/>
          <w:szCs w:val="20"/>
        </w:rPr>
      </w:pPr>
      <m:oMathPara>
        <m:oMathParaPr>
          <m:jc m:val="left"/>
        </m:oMathParaPr>
        <m:oMath>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kW</m:t>
              </m:r>
            </m:e>
            <m:sub>
              <m:r>
                <w:rPr>
                  <w:rFonts w:ascii="Cambria Math" w:hAnsi="Cambria Math" w:cs="Arial"/>
                  <w:szCs w:val="20"/>
                </w:rPr>
                <m:t>winter peak</m:t>
              </m:r>
            </m:sub>
          </m:sSub>
          <m:r>
            <w:rPr>
              <w:rFonts w:ascii="Cambria Math" w:hAnsi="Cambria Math" w:cs="Arial"/>
              <w:szCs w:val="20"/>
            </w:rPr>
            <m:t xml:space="preserve">   =0</m:t>
          </m:r>
        </m:oMath>
      </m:oMathPara>
    </w:p>
    <w:p w14:paraId="632D7912" w14:textId="77777777" w:rsidR="007376E1" w:rsidRPr="001570EA" w:rsidRDefault="007376E1" w:rsidP="007376E1">
      <w:pPr>
        <w:pStyle w:val="NoSpacing"/>
        <w:spacing w:line="360" w:lineRule="auto"/>
        <w:rPr>
          <w:rFonts w:cs="Arial"/>
          <w:i/>
          <w:szCs w:val="20"/>
        </w:rPr>
      </w:pPr>
    </w:p>
    <w:p w14:paraId="628A8652" w14:textId="77777777" w:rsidR="007376E1" w:rsidRPr="001570EA" w:rsidRDefault="007376E1" w:rsidP="007376E1">
      <w:pPr>
        <w:pStyle w:val="SubStyle"/>
      </w:pPr>
      <w:r w:rsidRPr="001570EA">
        <w:t>Definition of Terms</w:t>
      </w:r>
    </w:p>
    <w:p w14:paraId="774FEF5F" w14:textId="010D9B98" w:rsidR="007376E1" w:rsidRPr="001570EA" w:rsidRDefault="007376E1" w:rsidP="007376E1">
      <w:pPr>
        <w:pStyle w:val="Caption"/>
        <w:keepNext w:val="0"/>
      </w:pPr>
      <w:bookmarkStart w:id="245" w:name="_Toc4759826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29</w:t>
      </w:r>
      <w:r w:rsidR="002E093A" w:rsidRPr="001570EA">
        <w:fldChar w:fldCharType="end"/>
      </w:r>
      <w:r w:rsidRPr="001570EA">
        <w:t xml:space="preserve">: </w:t>
      </w:r>
      <w:r w:rsidRPr="001570EA">
        <w:rPr>
          <w:rFonts w:cs="Arial"/>
        </w:rPr>
        <w:t xml:space="preserve">Terms, Values, and References </w:t>
      </w:r>
      <w:bookmarkEnd w:id="245"/>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117"/>
        <w:gridCol w:w="1080"/>
        <w:gridCol w:w="2250"/>
        <w:gridCol w:w="1170"/>
      </w:tblGrid>
      <w:tr w:rsidR="007376E1" w:rsidRPr="001570EA" w14:paraId="168360BB" w14:textId="77777777">
        <w:trPr>
          <w:trHeight w:val="317"/>
        </w:trPr>
        <w:tc>
          <w:tcPr>
            <w:tcW w:w="4117" w:type="dxa"/>
            <w:shd w:val="clear" w:color="auto" w:fill="BFBFBF" w:themeFill="background1" w:themeFillShade="BF"/>
          </w:tcPr>
          <w:p w14:paraId="509F0BD1" w14:textId="77777777" w:rsidR="007376E1" w:rsidRPr="001570EA" w:rsidRDefault="007376E1">
            <w:pPr>
              <w:pStyle w:val="TableCell"/>
              <w:keepNext w:val="0"/>
              <w:spacing w:before="60" w:after="60"/>
              <w:jc w:val="left"/>
              <w:rPr>
                <w:b/>
              </w:rPr>
            </w:pPr>
            <w:r w:rsidRPr="001570EA">
              <w:rPr>
                <w:b/>
              </w:rPr>
              <w:t>Term</w:t>
            </w:r>
          </w:p>
        </w:tc>
        <w:tc>
          <w:tcPr>
            <w:tcW w:w="1080" w:type="dxa"/>
            <w:shd w:val="clear" w:color="auto" w:fill="BFBFBF" w:themeFill="background1" w:themeFillShade="BF"/>
            <w:vAlign w:val="center"/>
          </w:tcPr>
          <w:p w14:paraId="009537F5" w14:textId="77777777" w:rsidR="007376E1" w:rsidRPr="001570EA" w:rsidRDefault="007376E1">
            <w:pPr>
              <w:pStyle w:val="TableCell"/>
              <w:keepNext w:val="0"/>
              <w:spacing w:before="60" w:after="60"/>
              <w:jc w:val="center"/>
              <w:rPr>
                <w:b/>
              </w:rPr>
            </w:pPr>
            <w:r w:rsidRPr="001570EA">
              <w:rPr>
                <w:b/>
              </w:rPr>
              <w:t>Unit</w:t>
            </w:r>
          </w:p>
        </w:tc>
        <w:tc>
          <w:tcPr>
            <w:tcW w:w="2250" w:type="dxa"/>
            <w:shd w:val="clear" w:color="auto" w:fill="BFBFBF" w:themeFill="background1" w:themeFillShade="BF"/>
          </w:tcPr>
          <w:p w14:paraId="77905C1C" w14:textId="77777777" w:rsidR="007376E1" w:rsidRPr="001570EA" w:rsidRDefault="007376E1">
            <w:pPr>
              <w:pStyle w:val="TableCell"/>
              <w:keepNext w:val="0"/>
              <w:spacing w:before="60" w:after="60"/>
              <w:jc w:val="center"/>
              <w:rPr>
                <w:b/>
              </w:rPr>
            </w:pPr>
            <w:r w:rsidRPr="001570EA">
              <w:rPr>
                <w:b/>
              </w:rPr>
              <w:t>Value</w:t>
            </w:r>
          </w:p>
        </w:tc>
        <w:tc>
          <w:tcPr>
            <w:tcW w:w="1170" w:type="dxa"/>
            <w:shd w:val="clear" w:color="auto" w:fill="BFBFBF" w:themeFill="background1" w:themeFillShade="BF"/>
          </w:tcPr>
          <w:p w14:paraId="782AA185" w14:textId="77777777" w:rsidR="007376E1" w:rsidRPr="001570EA" w:rsidRDefault="007376E1">
            <w:pPr>
              <w:pStyle w:val="TableCell"/>
              <w:keepNext w:val="0"/>
              <w:spacing w:before="60" w:after="60"/>
              <w:jc w:val="center"/>
              <w:rPr>
                <w:b/>
              </w:rPr>
            </w:pPr>
            <w:r w:rsidRPr="001570EA">
              <w:rPr>
                <w:b/>
              </w:rPr>
              <w:t>Sources</w:t>
            </w:r>
          </w:p>
        </w:tc>
      </w:tr>
      <w:tr w:rsidR="007376E1" w:rsidRPr="001570EA" w14:paraId="5E7D5FF9" w14:textId="77777777">
        <w:trPr>
          <w:trHeight w:val="390"/>
        </w:trPr>
        <w:tc>
          <w:tcPr>
            <w:tcW w:w="4117" w:type="dxa"/>
            <w:vMerge w:val="restart"/>
          </w:tcPr>
          <w:p w14:paraId="4922B1B0" w14:textId="77777777" w:rsidR="007376E1" w:rsidRPr="001570EA" w:rsidRDefault="007376E1">
            <w:pPr>
              <w:pStyle w:val="TableCell"/>
              <w:keepNext w:val="0"/>
              <w:spacing w:before="60" w:after="60"/>
              <w:rPr>
                <w:szCs w:val="18"/>
              </w:rPr>
            </w:pPr>
            <w:r w:rsidRPr="001570EA">
              <w:rPr>
                <w:rFonts w:cs="Arial"/>
                <w:i/>
                <w:szCs w:val="18"/>
              </w:rPr>
              <w:t>CAPY</w:t>
            </w:r>
            <w:r w:rsidRPr="001570EA">
              <w:rPr>
                <w:rFonts w:cs="Arial"/>
                <w:szCs w:val="18"/>
              </w:rPr>
              <w:t>, The cooling capacity of the room air conditioner (RAC) being installed</w:t>
            </w:r>
          </w:p>
        </w:tc>
        <w:tc>
          <w:tcPr>
            <w:tcW w:w="1080" w:type="dxa"/>
            <w:vMerge w:val="restart"/>
            <w:vAlign w:val="center"/>
          </w:tcPr>
          <w:p w14:paraId="530778EA" w14:textId="77777777" w:rsidR="007376E1" w:rsidRPr="001570EA" w:rsidRDefault="003B5E04">
            <w:pPr>
              <w:pStyle w:val="TableCell"/>
              <w:keepNext w:val="0"/>
              <w:spacing w:before="60" w:after="60"/>
              <w:jc w:val="center"/>
              <w:rPr>
                <w:szCs w:val="18"/>
              </w:rPr>
            </w:pPr>
            <m:oMathPara>
              <m:oMath>
                <m:f>
                  <m:fPr>
                    <m:ctrlPr>
                      <w:rPr>
                        <w:rFonts w:ascii="Cambria Math" w:hAnsi="Cambria Math" w:cs="Arial"/>
                        <w:szCs w:val="18"/>
                      </w:rPr>
                    </m:ctrlPr>
                  </m:fPr>
                  <m:num>
                    <m:r>
                      <w:rPr>
                        <w:rFonts w:ascii="Cambria Math" w:hAnsi="Cambria Math" w:cs="Arial"/>
                        <w:szCs w:val="18"/>
                      </w:rPr>
                      <m:t>kBTU</m:t>
                    </m:r>
                  </m:num>
                  <m:den>
                    <m:r>
                      <w:rPr>
                        <w:rFonts w:ascii="Cambria Math" w:hAnsi="Cambria Math" w:cs="Arial"/>
                        <w:szCs w:val="18"/>
                      </w:rPr>
                      <m:t>h</m:t>
                    </m:r>
                  </m:den>
                </m:f>
              </m:oMath>
            </m:oMathPara>
          </w:p>
        </w:tc>
        <w:tc>
          <w:tcPr>
            <w:tcW w:w="2250" w:type="dxa"/>
            <w:vAlign w:val="center"/>
          </w:tcPr>
          <w:p w14:paraId="60B689E3" w14:textId="77777777" w:rsidR="007376E1" w:rsidRPr="001570EA" w:rsidRDefault="007376E1">
            <w:pPr>
              <w:pStyle w:val="TableCell"/>
              <w:keepNext w:val="0"/>
              <w:jc w:val="left"/>
              <w:rPr>
                <w:szCs w:val="18"/>
              </w:rPr>
            </w:pPr>
            <w:r w:rsidRPr="001570EA">
              <w:rPr>
                <w:szCs w:val="18"/>
              </w:rPr>
              <w:t>EDC Data Gathering</w:t>
            </w:r>
          </w:p>
        </w:tc>
        <w:tc>
          <w:tcPr>
            <w:tcW w:w="1170" w:type="dxa"/>
            <w:vAlign w:val="center"/>
          </w:tcPr>
          <w:p w14:paraId="55D4C459" w14:textId="77777777" w:rsidR="007376E1" w:rsidRPr="001570EA" w:rsidRDefault="007376E1">
            <w:pPr>
              <w:pStyle w:val="TableCell"/>
              <w:keepNext w:val="0"/>
              <w:jc w:val="center"/>
              <w:rPr>
                <w:szCs w:val="18"/>
              </w:rPr>
            </w:pPr>
            <w:r w:rsidRPr="001570EA">
              <w:rPr>
                <w:szCs w:val="18"/>
              </w:rPr>
              <w:t>EDC Data Gathering</w:t>
            </w:r>
          </w:p>
        </w:tc>
      </w:tr>
      <w:tr w:rsidR="007376E1" w:rsidRPr="001570EA" w14:paraId="588B5EFA" w14:textId="77777777">
        <w:trPr>
          <w:trHeight w:val="390"/>
        </w:trPr>
        <w:tc>
          <w:tcPr>
            <w:tcW w:w="4117" w:type="dxa"/>
            <w:vMerge/>
          </w:tcPr>
          <w:p w14:paraId="0AD7C4E7" w14:textId="77777777" w:rsidR="007376E1" w:rsidRPr="001570EA" w:rsidRDefault="007376E1">
            <w:pPr>
              <w:pStyle w:val="TableCell"/>
              <w:keepNext w:val="0"/>
              <w:spacing w:before="60" w:after="60"/>
              <w:rPr>
                <w:rFonts w:cs="Arial"/>
                <w:i/>
                <w:szCs w:val="18"/>
              </w:rPr>
            </w:pPr>
          </w:p>
        </w:tc>
        <w:tc>
          <w:tcPr>
            <w:tcW w:w="1080" w:type="dxa"/>
            <w:vMerge/>
            <w:vAlign w:val="center"/>
          </w:tcPr>
          <w:p w14:paraId="12A9858C" w14:textId="77777777" w:rsidR="007376E1" w:rsidRPr="001570EA" w:rsidRDefault="007376E1">
            <w:pPr>
              <w:pStyle w:val="TableCell"/>
              <w:keepNext w:val="0"/>
              <w:spacing w:before="60" w:after="60"/>
              <w:jc w:val="center"/>
              <w:rPr>
                <w:szCs w:val="18"/>
              </w:rPr>
            </w:pPr>
          </w:p>
        </w:tc>
        <w:tc>
          <w:tcPr>
            <w:tcW w:w="2250" w:type="dxa"/>
          </w:tcPr>
          <w:p w14:paraId="0C75051C" w14:textId="77777777" w:rsidR="007376E1" w:rsidRPr="001570EA" w:rsidRDefault="007376E1">
            <w:pPr>
              <w:pStyle w:val="TableCell"/>
              <w:keepNext w:val="0"/>
              <w:rPr>
                <w:szCs w:val="18"/>
              </w:rPr>
            </w:pPr>
            <w:r w:rsidRPr="001570EA">
              <w:rPr>
                <w:szCs w:val="18"/>
              </w:rPr>
              <w:t>Default = 7.2</w:t>
            </w:r>
          </w:p>
        </w:tc>
        <w:tc>
          <w:tcPr>
            <w:tcW w:w="1170" w:type="dxa"/>
            <w:vAlign w:val="center"/>
          </w:tcPr>
          <w:p w14:paraId="0051ADF6" w14:textId="77777777" w:rsidR="007376E1" w:rsidRPr="001570EA" w:rsidRDefault="007376E1">
            <w:pPr>
              <w:pStyle w:val="TableCell"/>
              <w:keepNext w:val="0"/>
              <w:spacing w:before="60" w:after="60"/>
              <w:jc w:val="center"/>
              <w:rPr>
                <w:szCs w:val="18"/>
              </w:rPr>
            </w:pPr>
            <w:r w:rsidRPr="001570EA">
              <w:rPr>
                <w:szCs w:val="18"/>
              </w:rPr>
              <w:t>2</w:t>
            </w:r>
          </w:p>
        </w:tc>
      </w:tr>
      <w:tr w:rsidR="007376E1" w:rsidRPr="001570EA" w14:paraId="79FDE6F4" w14:textId="77777777">
        <w:trPr>
          <w:trHeight w:val="317"/>
        </w:trPr>
        <w:tc>
          <w:tcPr>
            <w:tcW w:w="4117" w:type="dxa"/>
          </w:tcPr>
          <w:p w14:paraId="75C787E4" w14:textId="77777777" w:rsidR="007376E1" w:rsidRPr="001570EA" w:rsidRDefault="007376E1">
            <w:pPr>
              <w:pStyle w:val="TableCell"/>
              <w:keepNext w:val="0"/>
              <w:tabs>
                <w:tab w:val="center" w:pos="1341"/>
              </w:tabs>
              <w:spacing w:before="60" w:after="60"/>
              <w:rPr>
                <w:szCs w:val="18"/>
              </w:rPr>
            </w:pPr>
            <w:r w:rsidRPr="001570EA">
              <w:rPr>
                <w:rFonts w:cs="Arial"/>
                <w:i/>
                <w:szCs w:val="18"/>
              </w:rPr>
              <w:t>CEER</w:t>
            </w:r>
            <w:r w:rsidRPr="001570EA">
              <w:rPr>
                <w:rFonts w:cs="Arial"/>
                <w:i/>
                <w:szCs w:val="18"/>
                <w:vertAlign w:val="subscript"/>
              </w:rPr>
              <w:t>base</w:t>
            </w:r>
            <w:r w:rsidRPr="001570EA">
              <w:rPr>
                <w:rFonts w:cs="Arial"/>
                <w:szCs w:val="18"/>
              </w:rPr>
              <w:t>, Combined Energy Efficiency ratio of the baseline unit</w:t>
            </w:r>
          </w:p>
        </w:tc>
        <w:tc>
          <w:tcPr>
            <w:tcW w:w="1080" w:type="dxa"/>
            <w:vAlign w:val="center"/>
          </w:tcPr>
          <w:p w14:paraId="02B533B6" w14:textId="77777777" w:rsidR="007376E1" w:rsidRPr="001570EA" w:rsidDel="005F6651" w:rsidRDefault="003B5E04">
            <w:pPr>
              <w:pStyle w:val="TableCell"/>
              <w:keepNext w:val="0"/>
              <w:spacing w:before="60" w:after="60"/>
              <w:jc w:val="center"/>
              <w:rPr>
                <w:szCs w:val="18"/>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2250" w:type="dxa"/>
          </w:tcPr>
          <w:p w14:paraId="7C8D8695" w14:textId="464C4233" w:rsidR="007376E1" w:rsidRPr="001570EA" w:rsidRDefault="007376E1">
            <w:pPr>
              <w:pStyle w:val="TableCell"/>
              <w:keepNext w:val="0"/>
              <w:spacing w:before="60" w:after="60"/>
              <w:jc w:val="left"/>
              <w:rPr>
                <w:szCs w:val="18"/>
              </w:rPr>
            </w:pPr>
            <w:r w:rsidRPr="001570EA">
              <w:rPr>
                <w:szCs w:val="18"/>
              </w:rPr>
              <w:t xml:space="preserve">Federal Standard Values </w:t>
            </w:r>
            <w:r w:rsidR="00666494" w:rsidRPr="001570EA">
              <w:rPr>
                <w:szCs w:val="18"/>
              </w:rPr>
              <w:fldChar w:fldCharType="begin"/>
            </w:r>
            <w:r w:rsidR="00666494" w:rsidRPr="001570EA">
              <w:rPr>
                <w:szCs w:val="18"/>
              </w:rPr>
              <w:instrText xml:space="preserve"> REF _Ref164074039 \h </w:instrText>
            </w:r>
            <w:r w:rsidR="001570EA">
              <w:rPr>
                <w:szCs w:val="18"/>
              </w:rPr>
              <w:instrText xml:space="preserve"> \* MERGEFORMAT </w:instrText>
            </w:r>
            <w:r w:rsidR="00666494" w:rsidRPr="001570EA">
              <w:rPr>
                <w:szCs w:val="18"/>
              </w:rPr>
            </w:r>
            <w:r w:rsidR="00666494" w:rsidRPr="001570EA">
              <w:rPr>
                <w:szCs w:val="18"/>
              </w:rPr>
              <w:fldChar w:fldCharType="separate"/>
            </w:r>
            <w:r w:rsidR="00666494" w:rsidRPr="001570EA">
              <w:t xml:space="preserve">Table </w:t>
            </w:r>
            <w:r w:rsidR="00666494" w:rsidRPr="001570EA">
              <w:rPr>
                <w:noProof/>
              </w:rPr>
              <w:t>2</w:t>
            </w:r>
            <w:r w:rsidR="00666494" w:rsidRPr="001570EA">
              <w:noBreakHyphen/>
            </w:r>
            <w:r w:rsidR="00666494" w:rsidRPr="001570EA">
              <w:rPr>
                <w:noProof/>
              </w:rPr>
              <w:t>30</w:t>
            </w:r>
            <w:r w:rsidR="00666494" w:rsidRPr="001570EA">
              <w:rPr>
                <w:szCs w:val="18"/>
              </w:rPr>
              <w:fldChar w:fldCharType="end"/>
            </w:r>
            <w:r w:rsidRPr="001570EA">
              <w:rPr>
                <w:szCs w:val="18"/>
              </w:rPr>
              <w:fldChar w:fldCharType="begin"/>
            </w:r>
            <w:r w:rsidRPr="001570EA">
              <w:rPr>
                <w:szCs w:val="18"/>
              </w:rPr>
              <w:instrText xml:space="preserve"> REF _Ref532395153 \h  \* MERGEFORMAT </w:instrText>
            </w:r>
            <w:r w:rsidRPr="001570EA">
              <w:rPr>
                <w:szCs w:val="18"/>
              </w:rPr>
            </w:r>
            <w:r w:rsidRPr="001570EA">
              <w:rPr>
                <w:szCs w:val="18"/>
              </w:rPr>
              <w:fldChar w:fldCharType="end"/>
            </w:r>
            <w:r w:rsidRPr="001570EA">
              <w:rPr>
                <w:szCs w:val="18"/>
              </w:rPr>
              <w:t xml:space="preserve">, </w:t>
            </w:r>
            <w:r w:rsidRPr="001570EA">
              <w:rPr>
                <w:szCs w:val="18"/>
              </w:rPr>
              <w:fldChar w:fldCharType="begin"/>
            </w:r>
            <w:r w:rsidRPr="001570EA">
              <w:rPr>
                <w:szCs w:val="18"/>
              </w:rPr>
              <w:instrText xml:space="preserve"> REF _Ref532395131 \h  \* MERGEFORMAT </w:instrText>
            </w:r>
            <w:r w:rsidRPr="001570EA">
              <w:rPr>
                <w:szCs w:val="18"/>
              </w:rPr>
            </w:r>
            <w:r w:rsidRPr="001570EA">
              <w:rPr>
                <w:szCs w:val="18"/>
              </w:rPr>
              <w:fldChar w:fldCharType="separate"/>
            </w:r>
            <w:r w:rsidR="00384D95" w:rsidRPr="001570EA">
              <w:rPr>
                <w:szCs w:val="18"/>
              </w:rPr>
              <w:t xml:space="preserve">Table </w:t>
            </w:r>
            <w:r w:rsidR="00384D95" w:rsidRPr="001570EA">
              <w:rPr>
                <w:noProof/>
                <w:szCs w:val="18"/>
              </w:rPr>
              <w:t>2</w:t>
            </w:r>
            <w:r w:rsidR="00384D95" w:rsidRPr="001570EA">
              <w:rPr>
                <w:noProof/>
                <w:szCs w:val="18"/>
              </w:rPr>
              <w:noBreakHyphen/>
              <w:t>31</w:t>
            </w:r>
            <w:r w:rsidRPr="001570EA">
              <w:rPr>
                <w:szCs w:val="18"/>
              </w:rPr>
              <w:fldChar w:fldCharType="end"/>
            </w:r>
            <w:r w:rsidRPr="001570EA">
              <w:rPr>
                <w:szCs w:val="18"/>
              </w:rPr>
              <w:t xml:space="preserve">, or </w:t>
            </w:r>
            <w:r w:rsidR="00623EEF" w:rsidRPr="001570EA">
              <w:rPr>
                <w:szCs w:val="18"/>
              </w:rPr>
              <w:fldChar w:fldCharType="begin"/>
            </w:r>
            <w:r w:rsidR="00623EEF" w:rsidRPr="001570EA">
              <w:rPr>
                <w:szCs w:val="18"/>
              </w:rPr>
              <w:instrText xml:space="preserve"> REF _Ref163905207 \h </w:instrText>
            </w:r>
            <w:r w:rsidR="001570EA">
              <w:rPr>
                <w:szCs w:val="18"/>
              </w:rPr>
              <w:instrText xml:space="preserve"> \* MERGEFORMAT </w:instrText>
            </w:r>
            <w:r w:rsidR="00623EEF" w:rsidRPr="001570EA">
              <w:rPr>
                <w:szCs w:val="18"/>
              </w:rPr>
            </w:r>
            <w:r w:rsidR="00623EEF" w:rsidRPr="001570EA">
              <w:rPr>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32</w:t>
            </w:r>
            <w:r w:rsidR="00623EEF" w:rsidRPr="001570EA">
              <w:rPr>
                <w:szCs w:val="18"/>
              </w:rPr>
              <w:fldChar w:fldCharType="end"/>
            </w:r>
            <w:r w:rsidRPr="001570EA">
              <w:rPr>
                <w:szCs w:val="18"/>
              </w:rPr>
              <w:fldChar w:fldCharType="begin"/>
            </w:r>
            <w:r w:rsidRPr="001570EA">
              <w:rPr>
                <w:szCs w:val="18"/>
              </w:rPr>
              <w:instrText xml:space="preserve"> REF _Ref532395052 \h  \* MERGEFORMAT </w:instrText>
            </w:r>
            <w:r w:rsidRPr="001570EA">
              <w:rPr>
                <w:szCs w:val="18"/>
              </w:rPr>
            </w:r>
            <w:r w:rsidRPr="001570EA">
              <w:rPr>
                <w:szCs w:val="18"/>
              </w:rPr>
              <w:fldChar w:fldCharType="end"/>
            </w:r>
          </w:p>
          <w:p w14:paraId="5C710E8C" w14:textId="77777777" w:rsidR="007376E1" w:rsidRPr="001570EA" w:rsidRDefault="007376E1">
            <w:pPr>
              <w:pStyle w:val="TableCell"/>
              <w:keepNext w:val="0"/>
              <w:spacing w:before="60" w:after="60"/>
              <w:rPr>
                <w:szCs w:val="18"/>
              </w:rPr>
            </w:pPr>
            <w:r w:rsidRPr="001570EA">
              <w:rPr>
                <w:szCs w:val="18"/>
              </w:rPr>
              <w:t>Default = 16.0</w:t>
            </w:r>
          </w:p>
        </w:tc>
        <w:tc>
          <w:tcPr>
            <w:tcW w:w="1170" w:type="dxa"/>
            <w:vAlign w:val="center"/>
          </w:tcPr>
          <w:p w14:paraId="7847EA8C" w14:textId="77777777" w:rsidR="007376E1" w:rsidRPr="001570EA" w:rsidRDefault="007376E1">
            <w:pPr>
              <w:pStyle w:val="TableCell"/>
              <w:keepNext w:val="0"/>
              <w:spacing w:before="60" w:after="60"/>
              <w:jc w:val="center"/>
              <w:rPr>
                <w:szCs w:val="18"/>
              </w:rPr>
            </w:pPr>
            <w:r w:rsidRPr="001570EA">
              <w:rPr>
                <w:szCs w:val="18"/>
              </w:rPr>
              <w:t>3</w:t>
            </w:r>
          </w:p>
        </w:tc>
      </w:tr>
      <w:tr w:rsidR="007376E1" w:rsidRPr="001570EA" w14:paraId="79AC339E" w14:textId="77777777">
        <w:trPr>
          <w:trHeight w:val="317"/>
        </w:trPr>
        <w:tc>
          <w:tcPr>
            <w:tcW w:w="4117" w:type="dxa"/>
          </w:tcPr>
          <w:p w14:paraId="1C9226A3" w14:textId="77777777" w:rsidR="007376E1" w:rsidRPr="001570EA" w:rsidRDefault="007376E1">
            <w:pPr>
              <w:pStyle w:val="TableCell"/>
              <w:keepNext w:val="0"/>
              <w:spacing w:before="60" w:after="60"/>
              <w:rPr>
                <w:szCs w:val="18"/>
              </w:rPr>
            </w:pPr>
            <w:r w:rsidRPr="001570EA">
              <w:rPr>
                <w:rFonts w:cs="Arial"/>
                <w:i/>
                <w:szCs w:val="18"/>
              </w:rPr>
              <w:t>CEER</w:t>
            </w:r>
            <w:r w:rsidRPr="001570EA">
              <w:rPr>
                <w:rFonts w:cs="Arial"/>
                <w:i/>
                <w:szCs w:val="18"/>
                <w:vertAlign w:val="subscript"/>
              </w:rPr>
              <w:t>ee</w:t>
            </w:r>
            <w:r w:rsidRPr="001570EA">
              <w:rPr>
                <w:rFonts w:cs="Arial"/>
                <w:szCs w:val="18"/>
              </w:rPr>
              <w:t>, Combined Energy efficiency ratio of the RAC being installed</w:t>
            </w:r>
          </w:p>
        </w:tc>
        <w:tc>
          <w:tcPr>
            <w:tcW w:w="1080" w:type="dxa"/>
            <w:vAlign w:val="center"/>
          </w:tcPr>
          <w:p w14:paraId="2DE108C4" w14:textId="77777777" w:rsidR="007376E1" w:rsidRPr="001570EA" w:rsidRDefault="003B5E04">
            <w:pPr>
              <w:pStyle w:val="TableCell"/>
              <w:keepNext w:val="0"/>
              <w:spacing w:before="60" w:after="60"/>
              <w:jc w:val="center"/>
              <w:rPr>
                <w:szCs w:val="18"/>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2250" w:type="dxa"/>
          </w:tcPr>
          <w:p w14:paraId="2D1A20F8" w14:textId="77777777" w:rsidR="007376E1" w:rsidRPr="001570EA" w:rsidRDefault="007376E1">
            <w:pPr>
              <w:pStyle w:val="TableCell"/>
              <w:keepNext w:val="0"/>
              <w:jc w:val="left"/>
              <w:rPr>
                <w:szCs w:val="18"/>
              </w:rPr>
            </w:pPr>
            <w:r w:rsidRPr="001570EA">
              <w:rPr>
                <w:szCs w:val="18"/>
              </w:rPr>
              <w:t xml:space="preserve">EDC Data Gathering </w:t>
            </w:r>
          </w:p>
        </w:tc>
        <w:tc>
          <w:tcPr>
            <w:tcW w:w="1170" w:type="dxa"/>
          </w:tcPr>
          <w:p w14:paraId="5E6F94CC" w14:textId="77777777" w:rsidR="007376E1" w:rsidRPr="001570EA" w:rsidRDefault="007376E1">
            <w:pPr>
              <w:pStyle w:val="TableCell"/>
              <w:keepNext w:val="0"/>
              <w:spacing w:before="60" w:after="60"/>
              <w:jc w:val="center"/>
              <w:rPr>
                <w:szCs w:val="18"/>
              </w:rPr>
            </w:pPr>
            <w:r w:rsidRPr="001570EA">
              <w:rPr>
                <w:szCs w:val="18"/>
              </w:rPr>
              <w:t xml:space="preserve">EDC Data Gathering </w:t>
            </w:r>
          </w:p>
        </w:tc>
      </w:tr>
      <w:tr w:rsidR="007376E1" w:rsidRPr="001570EA" w14:paraId="1E03EB97" w14:textId="77777777">
        <w:trPr>
          <w:trHeight w:val="260"/>
        </w:trPr>
        <w:tc>
          <w:tcPr>
            <w:tcW w:w="4117" w:type="dxa"/>
          </w:tcPr>
          <w:p w14:paraId="5E45289C" w14:textId="77777777" w:rsidR="007376E1" w:rsidRPr="001570EA" w:rsidRDefault="007376E1">
            <w:pPr>
              <w:pStyle w:val="TableCell"/>
              <w:keepNext w:val="0"/>
              <w:spacing w:before="60" w:after="60"/>
              <w:rPr>
                <w:szCs w:val="18"/>
              </w:rPr>
            </w:pPr>
            <w:r w:rsidRPr="001570EA">
              <w:rPr>
                <w:rFonts w:cs="Arial"/>
                <w:i/>
                <w:szCs w:val="18"/>
              </w:rPr>
              <w:t>EFLH</w:t>
            </w:r>
            <w:r w:rsidRPr="001570EA">
              <w:rPr>
                <w:rFonts w:cs="Arial"/>
                <w:i/>
                <w:szCs w:val="18"/>
                <w:vertAlign w:val="subscript"/>
              </w:rPr>
              <w:t>RAC</w:t>
            </w:r>
            <w:r w:rsidRPr="001570EA">
              <w:rPr>
                <w:rFonts w:cs="Arial"/>
                <w:szCs w:val="18"/>
              </w:rPr>
              <w:t>, Equivalent full load hours of the RAC being installed</w:t>
            </w:r>
          </w:p>
        </w:tc>
        <w:tc>
          <w:tcPr>
            <w:tcW w:w="1080" w:type="dxa"/>
            <w:vAlign w:val="center"/>
          </w:tcPr>
          <w:p w14:paraId="1E33DE63" w14:textId="77777777" w:rsidR="007376E1" w:rsidRPr="001570EA" w:rsidRDefault="003B5E04">
            <w:pPr>
              <w:pStyle w:val="TableCell"/>
              <w:keepNext w:val="0"/>
              <w:spacing w:before="60" w:after="60"/>
              <w:jc w:val="center"/>
              <w:rPr>
                <w:szCs w:val="18"/>
              </w:rPr>
            </w:pPr>
            <m:oMathPara>
              <m:oMath>
                <m:f>
                  <m:fPr>
                    <m:ctrlPr>
                      <w:rPr>
                        <w:rFonts w:ascii="Cambria Math" w:hAnsi="Cambria Math" w:cs="Arial"/>
                        <w:szCs w:val="18"/>
                      </w:rPr>
                    </m:ctrlPr>
                  </m:fPr>
                  <m:num>
                    <m:r>
                      <w:rPr>
                        <w:rFonts w:ascii="Cambria Math" w:hAnsi="Cambria Math" w:cs="Arial"/>
                        <w:szCs w:val="18"/>
                      </w:rPr>
                      <m:t>hours</m:t>
                    </m:r>
                  </m:num>
                  <m:den>
                    <m:r>
                      <w:rPr>
                        <w:rFonts w:ascii="Cambria Math" w:hAnsi="Cambria Math" w:cs="Arial"/>
                        <w:szCs w:val="18"/>
                      </w:rPr>
                      <m:t>year</m:t>
                    </m:r>
                  </m:den>
                </m:f>
              </m:oMath>
            </m:oMathPara>
          </w:p>
        </w:tc>
        <w:tc>
          <w:tcPr>
            <w:tcW w:w="2250" w:type="dxa"/>
            <w:vAlign w:val="center"/>
          </w:tcPr>
          <w:p w14:paraId="46E73D27" w14:textId="77777777" w:rsidR="007376E1" w:rsidRPr="001570EA" w:rsidRDefault="007376E1">
            <w:pPr>
              <w:pStyle w:val="TableCell"/>
              <w:keepNext w:val="0"/>
              <w:spacing w:before="60" w:after="60"/>
              <w:jc w:val="left"/>
              <w:rPr>
                <w:szCs w:val="18"/>
              </w:rPr>
            </w:pPr>
            <w:r w:rsidRPr="001570EA">
              <w:rPr>
                <w:szCs w:val="18"/>
              </w:rPr>
              <w:t xml:space="preserve">See </w:t>
            </w:r>
            <w:r w:rsidRPr="001570EA">
              <w:rPr>
                <w:i/>
                <w:szCs w:val="18"/>
              </w:rPr>
              <w:t>EFLH</w:t>
            </w:r>
            <w:r w:rsidRPr="001570EA">
              <w:rPr>
                <w:i/>
                <w:szCs w:val="18"/>
                <w:vertAlign w:val="subscript"/>
              </w:rPr>
              <w:t>RAC</w:t>
            </w:r>
            <w:r w:rsidRPr="001570EA">
              <w:rPr>
                <w:szCs w:val="18"/>
              </w:rPr>
              <w:t xml:space="preserve"> in Vol. 1, App. A</w:t>
            </w:r>
          </w:p>
        </w:tc>
        <w:tc>
          <w:tcPr>
            <w:tcW w:w="1170" w:type="dxa"/>
            <w:vAlign w:val="center"/>
          </w:tcPr>
          <w:p w14:paraId="3021DC0F" w14:textId="77777777" w:rsidR="007376E1" w:rsidRPr="001570EA" w:rsidRDefault="007376E1">
            <w:pPr>
              <w:pStyle w:val="TableCell"/>
              <w:keepNext w:val="0"/>
              <w:spacing w:before="60" w:after="60"/>
              <w:jc w:val="center"/>
              <w:rPr>
                <w:szCs w:val="18"/>
              </w:rPr>
            </w:pPr>
            <w:r w:rsidRPr="001570EA">
              <w:rPr>
                <w:szCs w:val="18"/>
              </w:rPr>
              <w:t>4</w:t>
            </w:r>
          </w:p>
        </w:tc>
      </w:tr>
      <w:tr w:rsidR="007376E1" w:rsidRPr="001570EA" w14:paraId="7C3FA4AE" w14:textId="77777777">
        <w:trPr>
          <w:trHeight w:val="317"/>
        </w:trPr>
        <w:tc>
          <w:tcPr>
            <w:tcW w:w="4117" w:type="dxa"/>
            <w:vAlign w:val="center"/>
          </w:tcPr>
          <w:p w14:paraId="1771C5EB" w14:textId="543F6C97" w:rsidR="007376E1" w:rsidRPr="001570EA" w:rsidRDefault="003B5E04">
            <w:pPr>
              <w:pStyle w:val="TableCell"/>
              <w:keepNext w:val="0"/>
              <w:spacing w:before="60" w:after="60"/>
              <w:rPr>
                <w:szCs w:val="18"/>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r w:rsidR="007376E1" w:rsidRPr="001570EA">
              <w:rPr>
                <w:szCs w:val="18"/>
              </w:rPr>
              <w:t>, Demand Coincidence Factor during the summer months</w:t>
            </w:r>
          </w:p>
        </w:tc>
        <w:tc>
          <w:tcPr>
            <w:tcW w:w="1080" w:type="dxa"/>
            <w:vAlign w:val="center"/>
          </w:tcPr>
          <w:p w14:paraId="02C2757B" w14:textId="77777777" w:rsidR="007376E1" w:rsidRPr="001570EA" w:rsidRDefault="007376E1">
            <w:pPr>
              <w:pStyle w:val="TableCell"/>
              <w:keepNext w:val="0"/>
              <w:spacing w:before="60" w:after="60"/>
              <w:jc w:val="center"/>
              <w:rPr>
                <w:i/>
                <w:szCs w:val="18"/>
              </w:rPr>
            </w:pPr>
            <w:r w:rsidRPr="001570EA">
              <w:rPr>
                <w:i/>
                <w:iCs/>
                <w:szCs w:val="18"/>
              </w:rPr>
              <w:t>Proportion</w:t>
            </w:r>
          </w:p>
        </w:tc>
        <w:tc>
          <w:tcPr>
            <w:tcW w:w="2250" w:type="dxa"/>
            <w:vAlign w:val="center"/>
          </w:tcPr>
          <w:p w14:paraId="7921B07E" w14:textId="77777777" w:rsidR="007376E1" w:rsidRPr="001570EA" w:rsidRDefault="007376E1">
            <w:pPr>
              <w:pStyle w:val="TableCell"/>
              <w:keepNext w:val="0"/>
              <w:spacing w:before="60" w:after="60"/>
              <w:rPr>
                <w:szCs w:val="18"/>
              </w:rPr>
            </w:pPr>
            <w:r w:rsidRPr="001570EA">
              <w:rPr>
                <w:szCs w:val="18"/>
              </w:rPr>
              <w:t xml:space="preserve">See </w:t>
            </w:r>
            <w:r w:rsidRPr="001570EA">
              <w:rPr>
                <w:i/>
                <w:szCs w:val="18"/>
              </w:rPr>
              <w:t>CF</w:t>
            </w:r>
            <w:r w:rsidRPr="001570EA">
              <w:rPr>
                <w:szCs w:val="18"/>
              </w:rPr>
              <w:t xml:space="preserve"> in Vol. 1, App. A</w:t>
            </w:r>
          </w:p>
        </w:tc>
        <w:tc>
          <w:tcPr>
            <w:tcW w:w="1170" w:type="dxa"/>
            <w:vAlign w:val="center"/>
          </w:tcPr>
          <w:p w14:paraId="1C7CD68D" w14:textId="77777777" w:rsidR="007376E1" w:rsidRPr="001570EA" w:rsidRDefault="007376E1">
            <w:pPr>
              <w:pStyle w:val="TableCell"/>
              <w:keepNext w:val="0"/>
              <w:spacing w:before="60" w:after="60"/>
              <w:jc w:val="center"/>
              <w:rPr>
                <w:szCs w:val="18"/>
              </w:rPr>
            </w:pPr>
            <w:r w:rsidRPr="001570EA">
              <w:rPr>
                <w:szCs w:val="18"/>
              </w:rPr>
              <w:t>4</w:t>
            </w:r>
          </w:p>
        </w:tc>
      </w:tr>
    </w:tbl>
    <w:p w14:paraId="309D8FAA" w14:textId="3B922086" w:rsidR="007376E1" w:rsidRPr="001570EA" w:rsidRDefault="00666494" w:rsidP="007376E1">
      <w:pPr>
        <w:spacing w:before="120"/>
      </w:pPr>
      <w:r w:rsidRPr="001570EA">
        <w:rPr>
          <w:szCs w:val="18"/>
        </w:rPr>
        <w:fldChar w:fldCharType="begin"/>
      </w:r>
      <w:r w:rsidRPr="001570EA">
        <w:rPr>
          <w:szCs w:val="18"/>
        </w:rPr>
        <w:instrText xml:space="preserve"> REF _Ref164074039 \h </w:instrText>
      </w:r>
      <w:r w:rsidR="001570EA">
        <w:rPr>
          <w:szCs w:val="18"/>
        </w:rPr>
        <w:instrText xml:space="preserve"> \* MERGEFORMAT </w:instrText>
      </w:r>
      <w:r w:rsidRPr="001570EA">
        <w:rPr>
          <w:szCs w:val="18"/>
        </w:rPr>
      </w:r>
      <w:r w:rsidRPr="001570EA">
        <w:rPr>
          <w:szCs w:val="18"/>
        </w:rPr>
        <w:fldChar w:fldCharType="separate"/>
      </w:r>
      <w:r w:rsidRPr="001570EA">
        <w:t xml:space="preserve">Table </w:t>
      </w:r>
      <w:r w:rsidRPr="001570EA">
        <w:rPr>
          <w:noProof/>
        </w:rPr>
        <w:t>2</w:t>
      </w:r>
      <w:r w:rsidRPr="001570EA">
        <w:noBreakHyphen/>
      </w:r>
      <w:r w:rsidRPr="001570EA">
        <w:rPr>
          <w:noProof/>
        </w:rPr>
        <w:t>30</w:t>
      </w:r>
      <w:r w:rsidRPr="001570EA">
        <w:rPr>
          <w:szCs w:val="18"/>
        </w:rPr>
        <w:fldChar w:fldCharType="end"/>
      </w:r>
      <w:r w:rsidR="007376E1" w:rsidRPr="001570EA">
        <w:fldChar w:fldCharType="begin"/>
      </w:r>
      <w:r w:rsidR="007376E1" w:rsidRPr="001570EA">
        <w:instrText xml:space="preserve"> REF _Ref532395153 \h </w:instrText>
      </w:r>
      <w:r w:rsidR="001570EA">
        <w:instrText xml:space="preserve"> \* MERGEFORMAT </w:instrText>
      </w:r>
      <w:r w:rsidR="007376E1" w:rsidRPr="001570EA">
        <w:fldChar w:fldCharType="end"/>
      </w:r>
      <w:r w:rsidR="007376E1" w:rsidRPr="001570EA">
        <w:t xml:space="preserve"> lists the minimum federal efficiency standards as of May 2026 for RAC units of various capacity ranges and with and without louvered sides. Units without louvered sides are also referred to as “through the wall” units or “built-in” units. </w:t>
      </w:r>
    </w:p>
    <w:p w14:paraId="279D2854" w14:textId="77777777" w:rsidR="007376E1" w:rsidRPr="001570EA" w:rsidRDefault="007376E1" w:rsidP="007376E1"/>
    <w:p w14:paraId="5320E180" w14:textId="21A3E94B" w:rsidR="007376E1" w:rsidRPr="001570EA" w:rsidRDefault="007826B1" w:rsidP="007826B1">
      <w:pPr>
        <w:pStyle w:val="Caption"/>
        <w:keepNext w:val="0"/>
      </w:pPr>
      <w:bookmarkStart w:id="246" w:name="_Ref164074002"/>
      <w:bookmarkStart w:id="247" w:name="_Toc47598269"/>
      <w:bookmarkStart w:id="248" w:name="_Ref164074039"/>
      <w:r w:rsidRPr="001570EA">
        <w:t>Table</w:t>
      </w:r>
      <w:bookmarkEnd w:id="246"/>
      <w:r w:rsidRPr="001570EA">
        <w:t xml:space="preserv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30</w:t>
      </w:r>
      <w:r w:rsidR="002E093A" w:rsidRPr="001570EA">
        <w:fldChar w:fldCharType="end"/>
      </w:r>
      <w:r w:rsidRPr="001570EA">
        <w:t xml:space="preserve">: </w:t>
      </w:r>
      <w:r w:rsidR="007376E1" w:rsidRPr="001570EA">
        <w:t>RAC (without reverse cycle) Federal Minimum CEER Standards</w:t>
      </w:r>
      <w:bookmarkEnd w:id="247"/>
      <w:bookmarkEnd w:id="248"/>
    </w:p>
    <w:tbl>
      <w:tblPr>
        <w:tblW w:w="4547" w:type="dxa"/>
        <w:tblLook w:val="04A0" w:firstRow="1" w:lastRow="0" w:firstColumn="1" w:lastColumn="0" w:noHBand="0" w:noVBand="1"/>
      </w:tblPr>
      <w:tblGrid>
        <w:gridCol w:w="1253"/>
        <w:gridCol w:w="2067"/>
        <w:gridCol w:w="1227"/>
      </w:tblGrid>
      <w:tr w:rsidR="00CC375B" w:rsidRPr="001570EA" w14:paraId="1D6B1673" w14:textId="77777777" w:rsidTr="00CC375B">
        <w:trPr>
          <w:trHeight w:val="325"/>
        </w:trPr>
        <w:tc>
          <w:tcPr>
            <w:tcW w:w="1253" w:type="dxa"/>
            <w:tcBorders>
              <w:top w:val="single" w:sz="4" w:space="0" w:color="auto"/>
              <w:left w:val="single" w:sz="4" w:space="0" w:color="auto"/>
              <w:right w:val="single" w:sz="4" w:space="0" w:color="auto"/>
            </w:tcBorders>
            <w:shd w:val="clear" w:color="000000" w:fill="BFBFBF"/>
            <w:vAlign w:val="center"/>
          </w:tcPr>
          <w:p w14:paraId="2F77D42D" w14:textId="77777777" w:rsidR="00CC375B" w:rsidRPr="001570EA" w:rsidRDefault="00CC375B">
            <w:pPr>
              <w:jc w:val="center"/>
              <w:rPr>
                <w:rFonts w:cs="Arial"/>
                <w:b/>
                <w:bCs/>
                <w:color w:val="000000"/>
                <w:sz w:val="18"/>
                <w:szCs w:val="18"/>
              </w:rPr>
            </w:pPr>
            <w:r w:rsidRPr="001570EA">
              <w:rPr>
                <w:rFonts w:cs="Arial"/>
                <w:b/>
                <w:bCs/>
                <w:color w:val="000000"/>
                <w:sz w:val="18"/>
                <w:szCs w:val="18"/>
              </w:rPr>
              <w:t>Capacity (kBTU/h)</w:t>
            </w:r>
          </w:p>
        </w:tc>
        <w:tc>
          <w:tcPr>
            <w:tcW w:w="3294"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231392AC" w14:textId="77777777" w:rsidR="00CC375B" w:rsidRPr="001570EA" w:rsidDel="00EA2F59" w:rsidRDefault="00CC375B">
            <w:pPr>
              <w:jc w:val="center"/>
              <w:rPr>
                <w:rFonts w:cs="Arial"/>
                <w:b/>
                <w:bCs/>
                <w:color w:val="000000"/>
                <w:sz w:val="18"/>
                <w:szCs w:val="18"/>
              </w:rPr>
            </w:pPr>
            <w:r w:rsidRPr="001570EA">
              <w:rPr>
                <w:rFonts w:cs="Arial"/>
                <w:b/>
                <w:bCs/>
                <w:color w:val="000000"/>
                <w:sz w:val="18"/>
                <w:szCs w:val="18"/>
              </w:rPr>
              <w:t>Federal Minimum CEER</w:t>
            </w:r>
          </w:p>
        </w:tc>
      </w:tr>
      <w:tr w:rsidR="00CC375B" w:rsidRPr="001570EA" w14:paraId="52FAE3FB" w14:textId="77777777" w:rsidTr="00CC375B">
        <w:trPr>
          <w:trHeight w:val="325"/>
        </w:trPr>
        <w:tc>
          <w:tcPr>
            <w:tcW w:w="1253" w:type="dxa"/>
            <w:tcBorders>
              <w:left w:val="single" w:sz="4" w:space="0" w:color="auto"/>
              <w:bottom w:val="single" w:sz="4" w:space="0" w:color="auto"/>
              <w:right w:val="single" w:sz="4" w:space="0" w:color="auto"/>
            </w:tcBorders>
            <w:shd w:val="clear" w:color="000000" w:fill="BFBFBF"/>
            <w:vAlign w:val="center"/>
            <w:hideMark/>
          </w:tcPr>
          <w:p w14:paraId="3048FECA" w14:textId="77777777" w:rsidR="00CC375B" w:rsidRPr="001570EA" w:rsidRDefault="00CC375B">
            <w:pPr>
              <w:jc w:val="center"/>
              <w:rPr>
                <w:rFonts w:cs="Arial"/>
                <w:b/>
                <w:bCs/>
                <w:color w:val="000000"/>
                <w:sz w:val="18"/>
                <w:szCs w:val="18"/>
              </w:rPr>
            </w:pPr>
          </w:p>
        </w:tc>
        <w:tc>
          <w:tcPr>
            <w:tcW w:w="206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B634A05" w14:textId="77777777" w:rsidR="00CC375B" w:rsidRPr="001570EA" w:rsidRDefault="00CC375B">
            <w:pPr>
              <w:jc w:val="center"/>
              <w:rPr>
                <w:rFonts w:cs="Arial"/>
                <w:b/>
                <w:bCs/>
                <w:color w:val="000000"/>
                <w:sz w:val="18"/>
                <w:szCs w:val="18"/>
              </w:rPr>
            </w:pPr>
            <w:r w:rsidRPr="001570EA">
              <w:rPr>
                <w:rFonts w:cs="Arial"/>
                <w:b/>
                <w:bCs/>
                <w:color w:val="000000"/>
                <w:sz w:val="18"/>
                <w:szCs w:val="18"/>
              </w:rPr>
              <w:t>With Louvered Sides</w:t>
            </w:r>
          </w:p>
        </w:tc>
        <w:tc>
          <w:tcPr>
            <w:tcW w:w="122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B1B9C53" w14:textId="77777777" w:rsidR="00CC375B" w:rsidRPr="001570EA" w:rsidRDefault="00CC375B">
            <w:pPr>
              <w:jc w:val="center"/>
              <w:rPr>
                <w:rFonts w:cs="Arial"/>
                <w:b/>
                <w:bCs/>
                <w:color w:val="000000"/>
                <w:sz w:val="18"/>
                <w:szCs w:val="18"/>
              </w:rPr>
            </w:pPr>
            <w:r w:rsidRPr="001570EA">
              <w:rPr>
                <w:rFonts w:cs="Arial"/>
                <w:b/>
                <w:bCs/>
                <w:color w:val="000000"/>
                <w:sz w:val="18"/>
                <w:szCs w:val="18"/>
              </w:rPr>
              <w:t>Without Louvered Sides</w:t>
            </w:r>
          </w:p>
        </w:tc>
      </w:tr>
      <w:tr w:rsidR="00CC375B" w:rsidRPr="001570EA" w14:paraId="6C216CF6" w14:textId="77777777" w:rsidTr="00CC375B">
        <w:trPr>
          <w:trHeight w:val="325"/>
        </w:trPr>
        <w:tc>
          <w:tcPr>
            <w:tcW w:w="1253"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7E08E82D" w14:textId="77777777" w:rsidR="00CC375B" w:rsidRPr="001570EA" w:rsidRDefault="00CC375B">
            <w:pPr>
              <w:jc w:val="center"/>
              <w:rPr>
                <w:rFonts w:cs="Arial"/>
                <w:color w:val="000000"/>
                <w:sz w:val="18"/>
                <w:szCs w:val="18"/>
              </w:rPr>
            </w:pPr>
            <w:r w:rsidRPr="001570EA">
              <w:rPr>
                <w:rFonts w:cs="Arial"/>
                <w:color w:val="000000"/>
                <w:sz w:val="18"/>
                <w:szCs w:val="18"/>
              </w:rPr>
              <w:t>&lt;6</w:t>
            </w:r>
          </w:p>
        </w:tc>
        <w:tc>
          <w:tcPr>
            <w:tcW w:w="2067" w:type="dxa"/>
            <w:tcBorders>
              <w:top w:val="single" w:sz="4" w:space="0" w:color="auto"/>
              <w:left w:val="nil"/>
              <w:bottom w:val="single" w:sz="8" w:space="0" w:color="auto"/>
              <w:right w:val="single" w:sz="8" w:space="0" w:color="auto"/>
            </w:tcBorders>
            <w:shd w:val="clear" w:color="000000" w:fill="FFFFFF"/>
            <w:vAlign w:val="center"/>
            <w:hideMark/>
          </w:tcPr>
          <w:p w14:paraId="36BFF7F1" w14:textId="77777777" w:rsidR="00CC375B" w:rsidRPr="001570EA" w:rsidRDefault="00CC375B">
            <w:pPr>
              <w:jc w:val="center"/>
              <w:rPr>
                <w:rFonts w:cs="Arial"/>
                <w:color w:val="000000"/>
                <w:sz w:val="18"/>
                <w:szCs w:val="18"/>
              </w:rPr>
            </w:pPr>
            <w:r w:rsidRPr="001570EA">
              <w:rPr>
                <w:rFonts w:cs="Arial"/>
                <w:color w:val="000000"/>
                <w:sz w:val="18"/>
                <w:szCs w:val="18"/>
              </w:rPr>
              <w:t>13.1</w:t>
            </w:r>
          </w:p>
        </w:tc>
        <w:tc>
          <w:tcPr>
            <w:tcW w:w="1227"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7D979A1C" w14:textId="77777777" w:rsidR="00CC375B" w:rsidRPr="001570EA" w:rsidRDefault="00CC375B">
            <w:pPr>
              <w:jc w:val="center"/>
              <w:rPr>
                <w:rFonts w:cs="Arial"/>
                <w:color w:val="000000"/>
                <w:sz w:val="18"/>
                <w:szCs w:val="18"/>
              </w:rPr>
            </w:pPr>
            <w:r w:rsidRPr="001570EA">
              <w:rPr>
                <w:rFonts w:cs="Arial"/>
                <w:color w:val="000000"/>
                <w:sz w:val="18"/>
                <w:szCs w:val="18"/>
              </w:rPr>
              <w:t>12.8</w:t>
            </w:r>
          </w:p>
        </w:tc>
      </w:tr>
      <w:tr w:rsidR="00CC375B" w:rsidRPr="001570EA" w14:paraId="44FCF6BE" w14:textId="77777777" w:rsidTr="00CC375B">
        <w:trPr>
          <w:trHeight w:val="325"/>
        </w:trPr>
        <w:tc>
          <w:tcPr>
            <w:tcW w:w="1253" w:type="dxa"/>
            <w:tcBorders>
              <w:top w:val="nil"/>
              <w:left w:val="single" w:sz="8" w:space="0" w:color="auto"/>
              <w:bottom w:val="single" w:sz="8" w:space="0" w:color="auto"/>
              <w:right w:val="single" w:sz="8" w:space="0" w:color="auto"/>
            </w:tcBorders>
            <w:shd w:val="clear" w:color="000000" w:fill="FFFFFF"/>
            <w:vAlign w:val="center"/>
            <w:hideMark/>
          </w:tcPr>
          <w:p w14:paraId="595E1599" w14:textId="77777777" w:rsidR="00CC375B" w:rsidRPr="001570EA" w:rsidRDefault="00CC375B">
            <w:pPr>
              <w:jc w:val="center"/>
              <w:rPr>
                <w:rFonts w:cs="Arial"/>
                <w:color w:val="000000"/>
                <w:sz w:val="18"/>
                <w:szCs w:val="18"/>
              </w:rPr>
            </w:pPr>
            <w:r w:rsidRPr="001570EA">
              <w:rPr>
                <w:rFonts w:cs="Arial"/>
                <w:color w:val="000000"/>
                <w:sz w:val="18"/>
                <w:szCs w:val="18"/>
              </w:rPr>
              <w:t>6&lt;8</w:t>
            </w:r>
          </w:p>
        </w:tc>
        <w:tc>
          <w:tcPr>
            <w:tcW w:w="2067" w:type="dxa"/>
            <w:tcBorders>
              <w:top w:val="nil"/>
              <w:left w:val="nil"/>
              <w:bottom w:val="single" w:sz="8" w:space="0" w:color="auto"/>
              <w:right w:val="single" w:sz="8" w:space="0" w:color="auto"/>
            </w:tcBorders>
            <w:shd w:val="clear" w:color="000000" w:fill="FFFFFF"/>
            <w:vAlign w:val="center"/>
            <w:hideMark/>
          </w:tcPr>
          <w:p w14:paraId="096F6EB8" w14:textId="77777777" w:rsidR="00CC375B" w:rsidRPr="001570EA" w:rsidRDefault="00CC375B">
            <w:pPr>
              <w:jc w:val="center"/>
              <w:rPr>
                <w:rFonts w:cs="Arial"/>
                <w:color w:val="000000"/>
                <w:sz w:val="18"/>
                <w:szCs w:val="18"/>
              </w:rPr>
            </w:pPr>
            <w:r w:rsidRPr="001570EA">
              <w:rPr>
                <w:rFonts w:cs="Arial"/>
                <w:color w:val="000000"/>
                <w:sz w:val="18"/>
                <w:szCs w:val="18"/>
              </w:rPr>
              <w:t>13.7</w:t>
            </w:r>
          </w:p>
        </w:tc>
        <w:tc>
          <w:tcPr>
            <w:tcW w:w="1227" w:type="dxa"/>
            <w:vMerge/>
            <w:tcBorders>
              <w:top w:val="single" w:sz="8" w:space="0" w:color="auto"/>
              <w:left w:val="single" w:sz="8" w:space="0" w:color="auto"/>
              <w:bottom w:val="single" w:sz="8" w:space="0" w:color="000000"/>
              <w:right w:val="single" w:sz="8" w:space="0" w:color="auto"/>
            </w:tcBorders>
            <w:vAlign w:val="center"/>
            <w:hideMark/>
          </w:tcPr>
          <w:p w14:paraId="12F73E0C" w14:textId="77777777" w:rsidR="00CC375B" w:rsidRPr="001570EA" w:rsidRDefault="00CC375B">
            <w:pPr>
              <w:jc w:val="center"/>
              <w:rPr>
                <w:rFonts w:cs="Arial"/>
                <w:color w:val="000000"/>
                <w:sz w:val="18"/>
                <w:szCs w:val="18"/>
              </w:rPr>
            </w:pPr>
          </w:p>
        </w:tc>
      </w:tr>
      <w:tr w:rsidR="00CC375B" w:rsidRPr="001570EA" w14:paraId="3D3DF75D" w14:textId="77777777" w:rsidTr="00CC375B">
        <w:trPr>
          <w:trHeight w:val="325"/>
        </w:trPr>
        <w:tc>
          <w:tcPr>
            <w:tcW w:w="1253" w:type="dxa"/>
            <w:tcBorders>
              <w:top w:val="nil"/>
              <w:left w:val="single" w:sz="8" w:space="0" w:color="auto"/>
              <w:bottom w:val="single" w:sz="8" w:space="0" w:color="auto"/>
              <w:right w:val="single" w:sz="8" w:space="0" w:color="auto"/>
            </w:tcBorders>
            <w:shd w:val="clear" w:color="000000" w:fill="FFFFFF"/>
            <w:vAlign w:val="center"/>
            <w:hideMark/>
          </w:tcPr>
          <w:p w14:paraId="3792ADDE" w14:textId="77777777" w:rsidR="00CC375B" w:rsidRPr="001570EA" w:rsidRDefault="00CC375B">
            <w:pPr>
              <w:jc w:val="center"/>
              <w:rPr>
                <w:rFonts w:cs="Arial"/>
                <w:color w:val="000000"/>
                <w:sz w:val="18"/>
                <w:szCs w:val="18"/>
              </w:rPr>
            </w:pPr>
            <w:r w:rsidRPr="001570EA">
              <w:rPr>
                <w:rFonts w:cs="Arial"/>
                <w:color w:val="000000"/>
                <w:sz w:val="18"/>
                <w:szCs w:val="18"/>
              </w:rPr>
              <w:t>8&lt;11</w:t>
            </w:r>
          </w:p>
        </w:tc>
        <w:tc>
          <w:tcPr>
            <w:tcW w:w="206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124E522" w14:textId="77777777" w:rsidR="00CC375B" w:rsidRPr="001570EA" w:rsidRDefault="00CC375B">
            <w:pPr>
              <w:jc w:val="center"/>
              <w:rPr>
                <w:rFonts w:cs="Arial"/>
                <w:color w:val="000000"/>
                <w:sz w:val="18"/>
                <w:szCs w:val="18"/>
              </w:rPr>
            </w:pPr>
            <w:r w:rsidRPr="001570EA">
              <w:rPr>
                <w:rFonts w:cs="Arial"/>
                <w:color w:val="000000"/>
                <w:sz w:val="18"/>
                <w:szCs w:val="18"/>
              </w:rPr>
              <w:t>16.0</w:t>
            </w:r>
          </w:p>
        </w:tc>
        <w:tc>
          <w:tcPr>
            <w:tcW w:w="1227" w:type="dxa"/>
            <w:tcBorders>
              <w:top w:val="nil"/>
              <w:left w:val="nil"/>
              <w:bottom w:val="single" w:sz="8" w:space="0" w:color="auto"/>
              <w:right w:val="single" w:sz="8" w:space="0" w:color="auto"/>
            </w:tcBorders>
            <w:shd w:val="clear" w:color="000000" w:fill="FFFFFF"/>
            <w:vAlign w:val="center"/>
            <w:hideMark/>
          </w:tcPr>
          <w:p w14:paraId="4F7707C4" w14:textId="77777777" w:rsidR="00CC375B" w:rsidRPr="001570EA" w:rsidRDefault="00CC375B">
            <w:pPr>
              <w:jc w:val="center"/>
              <w:rPr>
                <w:rFonts w:cs="Arial"/>
                <w:color w:val="000000"/>
                <w:sz w:val="18"/>
                <w:szCs w:val="18"/>
              </w:rPr>
            </w:pPr>
            <w:r w:rsidRPr="001570EA">
              <w:rPr>
                <w:rFonts w:cs="Arial"/>
                <w:color w:val="000000"/>
                <w:sz w:val="18"/>
                <w:szCs w:val="18"/>
              </w:rPr>
              <w:t>14.1</w:t>
            </w:r>
          </w:p>
        </w:tc>
      </w:tr>
      <w:tr w:rsidR="00CC375B" w:rsidRPr="001570EA" w14:paraId="43A8F592" w14:textId="77777777" w:rsidTr="00CC375B">
        <w:trPr>
          <w:trHeight w:val="325"/>
        </w:trPr>
        <w:tc>
          <w:tcPr>
            <w:tcW w:w="1253" w:type="dxa"/>
            <w:tcBorders>
              <w:top w:val="nil"/>
              <w:left w:val="single" w:sz="8" w:space="0" w:color="auto"/>
              <w:bottom w:val="single" w:sz="8" w:space="0" w:color="auto"/>
              <w:right w:val="single" w:sz="8" w:space="0" w:color="auto"/>
            </w:tcBorders>
            <w:shd w:val="clear" w:color="000000" w:fill="FFFFFF"/>
            <w:vAlign w:val="center"/>
            <w:hideMark/>
          </w:tcPr>
          <w:p w14:paraId="0D478959" w14:textId="77777777" w:rsidR="00CC375B" w:rsidRPr="001570EA" w:rsidRDefault="00CC375B">
            <w:pPr>
              <w:jc w:val="center"/>
              <w:rPr>
                <w:rFonts w:cs="Arial"/>
                <w:color w:val="000000"/>
                <w:sz w:val="18"/>
                <w:szCs w:val="18"/>
              </w:rPr>
            </w:pPr>
            <w:r w:rsidRPr="001570EA">
              <w:rPr>
                <w:rFonts w:cs="Arial"/>
                <w:color w:val="000000"/>
                <w:sz w:val="18"/>
                <w:szCs w:val="18"/>
              </w:rPr>
              <w:t>11&lt;14</w:t>
            </w:r>
          </w:p>
        </w:tc>
        <w:tc>
          <w:tcPr>
            <w:tcW w:w="2067" w:type="dxa"/>
            <w:vMerge/>
            <w:tcBorders>
              <w:top w:val="nil"/>
              <w:left w:val="single" w:sz="8" w:space="0" w:color="auto"/>
              <w:bottom w:val="single" w:sz="8" w:space="0" w:color="000000"/>
              <w:right w:val="single" w:sz="8" w:space="0" w:color="auto"/>
            </w:tcBorders>
            <w:vAlign w:val="center"/>
            <w:hideMark/>
          </w:tcPr>
          <w:p w14:paraId="0C6CD7A7" w14:textId="77777777" w:rsidR="00CC375B" w:rsidRPr="001570EA" w:rsidRDefault="00CC375B">
            <w:pPr>
              <w:jc w:val="center"/>
              <w:rPr>
                <w:rFonts w:cs="Arial"/>
                <w:color w:val="000000"/>
                <w:sz w:val="18"/>
                <w:szCs w:val="18"/>
              </w:rPr>
            </w:pPr>
          </w:p>
        </w:tc>
        <w:tc>
          <w:tcPr>
            <w:tcW w:w="1227" w:type="dxa"/>
            <w:tcBorders>
              <w:top w:val="nil"/>
              <w:left w:val="nil"/>
              <w:bottom w:val="single" w:sz="8" w:space="0" w:color="auto"/>
              <w:right w:val="single" w:sz="8" w:space="0" w:color="auto"/>
            </w:tcBorders>
            <w:shd w:val="clear" w:color="000000" w:fill="FFFFFF"/>
            <w:vAlign w:val="center"/>
            <w:hideMark/>
          </w:tcPr>
          <w:p w14:paraId="4699DD9C" w14:textId="77777777" w:rsidR="00CC375B" w:rsidRPr="001570EA" w:rsidRDefault="00CC375B">
            <w:pPr>
              <w:jc w:val="center"/>
              <w:rPr>
                <w:rFonts w:cs="Arial"/>
                <w:color w:val="000000"/>
                <w:sz w:val="18"/>
                <w:szCs w:val="18"/>
              </w:rPr>
            </w:pPr>
            <w:r w:rsidRPr="001570EA">
              <w:rPr>
                <w:rFonts w:cs="Arial"/>
                <w:color w:val="000000"/>
                <w:sz w:val="18"/>
                <w:szCs w:val="18"/>
              </w:rPr>
              <w:t>13.9</w:t>
            </w:r>
          </w:p>
        </w:tc>
      </w:tr>
      <w:tr w:rsidR="00CC375B" w:rsidRPr="001570EA" w14:paraId="3EC068E7" w14:textId="77777777" w:rsidTr="00CC375B">
        <w:trPr>
          <w:trHeight w:val="325"/>
        </w:trPr>
        <w:tc>
          <w:tcPr>
            <w:tcW w:w="1253" w:type="dxa"/>
            <w:tcBorders>
              <w:top w:val="nil"/>
              <w:left w:val="single" w:sz="8" w:space="0" w:color="auto"/>
              <w:bottom w:val="single" w:sz="8" w:space="0" w:color="auto"/>
              <w:right w:val="single" w:sz="8" w:space="0" w:color="auto"/>
            </w:tcBorders>
            <w:shd w:val="clear" w:color="000000" w:fill="FFFFFF"/>
            <w:vAlign w:val="center"/>
            <w:hideMark/>
          </w:tcPr>
          <w:p w14:paraId="43E1B43C" w14:textId="77777777" w:rsidR="00CC375B" w:rsidRPr="001570EA" w:rsidRDefault="00CC375B">
            <w:pPr>
              <w:jc w:val="center"/>
              <w:rPr>
                <w:rFonts w:cs="Arial"/>
                <w:color w:val="000000"/>
                <w:sz w:val="18"/>
                <w:szCs w:val="18"/>
              </w:rPr>
            </w:pPr>
            <w:r w:rsidRPr="001570EA">
              <w:rPr>
                <w:rFonts w:cs="Arial"/>
                <w:color w:val="000000"/>
                <w:sz w:val="18"/>
                <w:szCs w:val="18"/>
              </w:rPr>
              <w:t>14&lt;20</w:t>
            </w:r>
          </w:p>
        </w:tc>
        <w:tc>
          <w:tcPr>
            <w:tcW w:w="2067" w:type="dxa"/>
            <w:vMerge/>
            <w:tcBorders>
              <w:top w:val="nil"/>
              <w:left w:val="single" w:sz="8" w:space="0" w:color="auto"/>
              <w:bottom w:val="single" w:sz="8" w:space="0" w:color="000000"/>
              <w:right w:val="single" w:sz="8" w:space="0" w:color="auto"/>
            </w:tcBorders>
            <w:vAlign w:val="center"/>
            <w:hideMark/>
          </w:tcPr>
          <w:p w14:paraId="44CC459A" w14:textId="77777777" w:rsidR="00CC375B" w:rsidRPr="001570EA" w:rsidRDefault="00CC375B">
            <w:pPr>
              <w:jc w:val="center"/>
              <w:rPr>
                <w:rFonts w:cs="Arial"/>
                <w:color w:val="000000"/>
                <w:sz w:val="18"/>
                <w:szCs w:val="18"/>
              </w:rPr>
            </w:pPr>
          </w:p>
        </w:tc>
        <w:tc>
          <w:tcPr>
            <w:tcW w:w="1227" w:type="dxa"/>
            <w:tcBorders>
              <w:top w:val="nil"/>
              <w:left w:val="nil"/>
              <w:bottom w:val="single" w:sz="8" w:space="0" w:color="auto"/>
              <w:right w:val="single" w:sz="8" w:space="0" w:color="auto"/>
            </w:tcBorders>
            <w:shd w:val="clear" w:color="000000" w:fill="FFFFFF"/>
            <w:vAlign w:val="center"/>
            <w:hideMark/>
          </w:tcPr>
          <w:p w14:paraId="6B96FCAF" w14:textId="77777777" w:rsidR="00CC375B" w:rsidRPr="001570EA" w:rsidRDefault="00CC375B">
            <w:pPr>
              <w:jc w:val="center"/>
              <w:rPr>
                <w:rFonts w:cs="Arial"/>
                <w:color w:val="000000"/>
                <w:sz w:val="18"/>
                <w:szCs w:val="18"/>
              </w:rPr>
            </w:pPr>
            <w:r w:rsidRPr="001570EA">
              <w:rPr>
                <w:rFonts w:cs="Arial"/>
                <w:color w:val="000000"/>
                <w:sz w:val="18"/>
                <w:szCs w:val="18"/>
              </w:rPr>
              <w:t>13.7</w:t>
            </w:r>
          </w:p>
        </w:tc>
      </w:tr>
      <w:tr w:rsidR="00CC375B" w:rsidRPr="001570EA" w14:paraId="24D200A0" w14:textId="77777777" w:rsidTr="00CC375B">
        <w:trPr>
          <w:trHeight w:val="325"/>
        </w:trPr>
        <w:tc>
          <w:tcPr>
            <w:tcW w:w="1253" w:type="dxa"/>
            <w:tcBorders>
              <w:top w:val="nil"/>
              <w:left w:val="single" w:sz="8" w:space="0" w:color="auto"/>
              <w:bottom w:val="single" w:sz="8" w:space="0" w:color="auto"/>
              <w:right w:val="single" w:sz="8" w:space="0" w:color="auto"/>
            </w:tcBorders>
            <w:shd w:val="clear" w:color="000000" w:fill="FFFFFF"/>
            <w:vAlign w:val="center"/>
            <w:hideMark/>
          </w:tcPr>
          <w:p w14:paraId="76853796" w14:textId="77777777" w:rsidR="00CC375B" w:rsidRPr="001570EA" w:rsidRDefault="00CC375B">
            <w:pPr>
              <w:jc w:val="center"/>
              <w:rPr>
                <w:rFonts w:cs="Arial"/>
                <w:color w:val="000000"/>
                <w:sz w:val="18"/>
                <w:szCs w:val="18"/>
              </w:rPr>
            </w:pPr>
            <w:r w:rsidRPr="001570EA">
              <w:rPr>
                <w:rFonts w:cs="Arial"/>
                <w:color w:val="000000"/>
                <w:sz w:val="18"/>
                <w:szCs w:val="18"/>
              </w:rPr>
              <w:t>20&lt;28</w:t>
            </w:r>
          </w:p>
        </w:tc>
        <w:tc>
          <w:tcPr>
            <w:tcW w:w="2067" w:type="dxa"/>
            <w:tcBorders>
              <w:top w:val="nil"/>
              <w:left w:val="nil"/>
              <w:bottom w:val="single" w:sz="8" w:space="0" w:color="auto"/>
              <w:right w:val="single" w:sz="8" w:space="0" w:color="auto"/>
            </w:tcBorders>
            <w:shd w:val="clear" w:color="000000" w:fill="FFFFFF"/>
            <w:vAlign w:val="center"/>
            <w:hideMark/>
          </w:tcPr>
          <w:p w14:paraId="6FB2753E" w14:textId="77777777" w:rsidR="00CC375B" w:rsidRPr="001570EA" w:rsidRDefault="00CC375B">
            <w:pPr>
              <w:jc w:val="center"/>
              <w:rPr>
                <w:rFonts w:cs="Arial"/>
                <w:color w:val="000000"/>
                <w:sz w:val="18"/>
                <w:szCs w:val="18"/>
              </w:rPr>
            </w:pPr>
            <w:r w:rsidRPr="001570EA">
              <w:rPr>
                <w:rFonts w:cs="Arial"/>
                <w:color w:val="000000"/>
                <w:sz w:val="18"/>
                <w:szCs w:val="18"/>
              </w:rPr>
              <w:t>13.8</w:t>
            </w:r>
          </w:p>
        </w:tc>
        <w:tc>
          <w:tcPr>
            <w:tcW w:w="122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48C030" w14:textId="77777777" w:rsidR="00CC375B" w:rsidRPr="001570EA" w:rsidRDefault="00CC375B">
            <w:pPr>
              <w:jc w:val="center"/>
              <w:rPr>
                <w:rFonts w:cs="Arial"/>
                <w:color w:val="000000"/>
                <w:sz w:val="18"/>
                <w:szCs w:val="18"/>
              </w:rPr>
            </w:pPr>
            <w:r w:rsidRPr="001570EA">
              <w:rPr>
                <w:rFonts w:cs="Arial"/>
                <w:color w:val="000000"/>
                <w:sz w:val="18"/>
                <w:szCs w:val="18"/>
              </w:rPr>
              <w:t>13.8</w:t>
            </w:r>
          </w:p>
        </w:tc>
      </w:tr>
      <w:tr w:rsidR="00CC375B" w:rsidRPr="001570EA" w14:paraId="6D6E03A8" w14:textId="77777777" w:rsidTr="00CC375B">
        <w:trPr>
          <w:trHeight w:val="325"/>
        </w:trPr>
        <w:tc>
          <w:tcPr>
            <w:tcW w:w="1253" w:type="dxa"/>
            <w:tcBorders>
              <w:top w:val="nil"/>
              <w:left w:val="single" w:sz="8" w:space="0" w:color="auto"/>
              <w:bottom w:val="single" w:sz="8" w:space="0" w:color="auto"/>
              <w:right w:val="single" w:sz="8" w:space="0" w:color="auto"/>
            </w:tcBorders>
            <w:shd w:val="clear" w:color="000000" w:fill="FFFFFF"/>
            <w:vAlign w:val="center"/>
            <w:hideMark/>
          </w:tcPr>
          <w:p w14:paraId="276EB0E6" w14:textId="77777777" w:rsidR="00CC375B" w:rsidRPr="001570EA" w:rsidRDefault="00CC375B">
            <w:pPr>
              <w:jc w:val="center"/>
              <w:rPr>
                <w:rFonts w:cs="Arial"/>
                <w:color w:val="000000"/>
                <w:sz w:val="18"/>
                <w:szCs w:val="18"/>
              </w:rPr>
            </w:pPr>
            <w:r w:rsidRPr="001570EA">
              <w:rPr>
                <w:rFonts w:cs="Arial"/>
                <w:color w:val="000000"/>
                <w:sz w:val="18"/>
                <w:szCs w:val="18"/>
              </w:rPr>
              <w:t>≥28</w:t>
            </w:r>
          </w:p>
        </w:tc>
        <w:tc>
          <w:tcPr>
            <w:tcW w:w="2067" w:type="dxa"/>
            <w:tcBorders>
              <w:top w:val="nil"/>
              <w:left w:val="nil"/>
              <w:bottom w:val="single" w:sz="8" w:space="0" w:color="auto"/>
              <w:right w:val="single" w:sz="8" w:space="0" w:color="auto"/>
            </w:tcBorders>
            <w:shd w:val="clear" w:color="000000" w:fill="FFFFFF"/>
            <w:vAlign w:val="center"/>
            <w:hideMark/>
          </w:tcPr>
          <w:p w14:paraId="5C8538ED" w14:textId="77777777" w:rsidR="00CC375B" w:rsidRPr="001570EA" w:rsidRDefault="00CC375B">
            <w:pPr>
              <w:jc w:val="center"/>
              <w:rPr>
                <w:rFonts w:cs="Arial"/>
                <w:color w:val="000000"/>
                <w:sz w:val="18"/>
                <w:szCs w:val="18"/>
              </w:rPr>
            </w:pPr>
            <w:r w:rsidRPr="001570EA">
              <w:rPr>
                <w:rFonts w:cs="Arial"/>
                <w:color w:val="000000"/>
                <w:sz w:val="18"/>
                <w:szCs w:val="18"/>
              </w:rPr>
              <w:t>13.2</w:t>
            </w:r>
          </w:p>
        </w:tc>
        <w:tc>
          <w:tcPr>
            <w:tcW w:w="1227" w:type="dxa"/>
            <w:vMerge/>
            <w:tcBorders>
              <w:top w:val="nil"/>
              <w:left w:val="single" w:sz="8" w:space="0" w:color="auto"/>
              <w:bottom w:val="single" w:sz="8" w:space="0" w:color="000000"/>
              <w:right w:val="single" w:sz="8" w:space="0" w:color="auto"/>
            </w:tcBorders>
            <w:vAlign w:val="center"/>
            <w:hideMark/>
          </w:tcPr>
          <w:p w14:paraId="7DE5BFF9" w14:textId="77777777" w:rsidR="00CC375B" w:rsidRPr="001570EA" w:rsidRDefault="00CC375B">
            <w:pPr>
              <w:jc w:val="center"/>
              <w:rPr>
                <w:rFonts w:cs="Arial"/>
                <w:color w:val="000000"/>
                <w:sz w:val="18"/>
                <w:szCs w:val="18"/>
              </w:rPr>
            </w:pPr>
          </w:p>
        </w:tc>
      </w:tr>
    </w:tbl>
    <w:p w14:paraId="308F4489" w14:textId="77777777" w:rsidR="007376E1" w:rsidRPr="001570EA" w:rsidRDefault="007376E1" w:rsidP="00A11E80">
      <w:pPr>
        <w:pStyle w:val="NoSpacing"/>
        <w:tabs>
          <w:tab w:val="left" w:pos="2265"/>
        </w:tabs>
        <w:spacing w:after="0"/>
        <w:ind w:left="2160" w:hanging="2160"/>
        <w:rPr>
          <w:rFonts w:cs="Arial"/>
          <w:szCs w:val="20"/>
        </w:rPr>
      </w:pPr>
    </w:p>
    <w:p w14:paraId="03450308" w14:textId="6FF68E37" w:rsidR="007376E1" w:rsidRPr="001570EA" w:rsidRDefault="007376E1" w:rsidP="007376E1">
      <w:r w:rsidRPr="001570EA">
        <w:fldChar w:fldCharType="begin"/>
      </w:r>
      <w:r w:rsidRPr="001570EA">
        <w:instrText xml:space="preserve"> REF _Ref532395131 \h </w:instrText>
      </w:r>
      <w:r w:rsidR="001570EA">
        <w:instrText xml:space="preserve"> \* MERGEFORMAT </w:instrText>
      </w:r>
      <w:r w:rsidRPr="001570EA">
        <w:fldChar w:fldCharType="separate"/>
      </w:r>
      <w:r w:rsidR="00384D95" w:rsidRPr="001570EA">
        <w:t xml:space="preserve">Table </w:t>
      </w:r>
      <w:r w:rsidR="00384D95" w:rsidRPr="001570EA">
        <w:rPr>
          <w:noProof/>
        </w:rPr>
        <w:t>2</w:t>
      </w:r>
      <w:r w:rsidR="00384D95" w:rsidRPr="001570EA">
        <w:noBreakHyphen/>
      </w:r>
      <w:r w:rsidR="00384D95" w:rsidRPr="001570EA">
        <w:rPr>
          <w:noProof/>
        </w:rPr>
        <w:t>31</w:t>
      </w:r>
      <w:r w:rsidRPr="001570EA">
        <w:fldChar w:fldCharType="end"/>
      </w:r>
      <w:r w:rsidRPr="001570EA">
        <w:t xml:space="preserve"> lists the minimum federal efficiency standards for casement-only and casement-slider RAC units. Casement-only refers to a RAC designed for mounting in a casement window with an encased assembly with a width of 14.8 inches or less and a height of 11.2 inches or less.  Casement-slider refers to a RAC with an encased assembly designed for mounting in a sliding or casement window with a width of 15.5 inches or less.</w:t>
      </w:r>
    </w:p>
    <w:p w14:paraId="0991F36C" w14:textId="77777777" w:rsidR="007376E1" w:rsidRPr="001570EA" w:rsidRDefault="007376E1" w:rsidP="007376E1"/>
    <w:p w14:paraId="4D0EEC5B" w14:textId="5FC49FCA" w:rsidR="007376E1" w:rsidRPr="001570EA" w:rsidRDefault="007376E1" w:rsidP="007F64EC">
      <w:pPr>
        <w:pStyle w:val="Caption"/>
      </w:pPr>
      <w:bookmarkStart w:id="249" w:name="_Ref532395131"/>
      <w:bookmarkStart w:id="250" w:name="_Toc4759827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31</w:t>
      </w:r>
      <w:r w:rsidR="002E093A" w:rsidRPr="001570EA">
        <w:fldChar w:fldCharType="end"/>
      </w:r>
      <w:bookmarkEnd w:id="249"/>
      <w:r w:rsidRPr="001570EA">
        <w:t>: Casement-Only and Casement-Slider RAC Federal Minimum CEER Standards</w:t>
      </w:r>
      <w:bookmarkEnd w:id="250"/>
      <w:r w:rsidR="008D6E42" w:rsidRPr="001570EA">
        <w:t xml:space="preserve"> </w:t>
      </w:r>
    </w:p>
    <w:tbl>
      <w:tblPr>
        <w:tblW w:w="2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282"/>
      </w:tblGrid>
      <w:tr w:rsidR="007376E1" w:rsidRPr="001570EA" w14:paraId="67D2FAB0" w14:textId="77777777">
        <w:trPr>
          <w:trHeight w:val="300"/>
        </w:trPr>
        <w:tc>
          <w:tcPr>
            <w:tcW w:w="1705" w:type="dxa"/>
            <w:shd w:val="clear" w:color="000000" w:fill="BFBFBF"/>
            <w:vAlign w:val="center"/>
            <w:hideMark/>
          </w:tcPr>
          <w:p w14:paraId="508E2FD5" w14:textId="77777777" w:rsidR="007376E1" w:rsidRPr="001570EA" w:rsidRDefault="007376E1">
            <w:pPr>
              <w:jc w:val="left"/>
              <w:rPr>
                <w:rFonts w:cs="Arial"/>
                <w:b/>
                <w:bCs/>
                <w:color w:val="000000"/>
                <w:sz w:val="18"/>
                <w:szCs w:val="18"/>
              </w:rPr>
            </w:pPr>
            <w:r w:rsidRPr="001570EA">
              <w:rPr>
                <w:rFonts w:cs="Arial"/>
                <w:b/>
                <w:bCs/>
                <w:color w:val="000000"/>
                <w:sz w:val="18"/>
                <w:szCs w:val="18"/>
              </w:rPr>
              <w:t>Casement</w:t>
            </w:r>
          </w:p>
        </w:tc>
        <w:tc>
          <w:tcPr>
            <w:tcW w:w="1282" w:type="dxa"/>
            <w:shd w:val="clear" w:color="000000" w:fill="BFBFBF"/>
            <w:vAlign w:val="center"/>
            <w:hideMark/>
          </w:tcPr>
          <w:p w14:paraId="79CDD0DF" w14:textId="77777777" w:rsidR="007376E1" w:rsidRPr="001570EA" w:rsidRDefault="007376E1">
            <w:pPr>
              <w:jc w:val="center"/>
              <w:rPr>
                <w:rFonts w:cs="Arial"/>
                <w:b/>
                <w:bCs/>
                <w:color w:val="000000"/>
                <w:sz w:val="18"/>
                <w:szCs w:val="18"/>
              </w:rPr>
            </w:pPr>
            <w:r w:rsidRPr="001570EA">
              <w:rPr>
                <w:rFonts w:cs="Arial"/>
                <w:b/>
                <w:bCs/>
                <w:color w:val="000000"/>
                <w:sz w:val="18"/>
                <w:szCs w:val="18"/>
              </w:rPr>
              <w:t>Federal Minimum CEER</w:t>
            </w:r>
          </w:p>
        </w:tc>
      </w:tr>
      <w:tr w:rsidR="007376E1" w:rsidRPr="001570EA" w14:paraId="3CCDEA41" w14:textId="77777777">
        <w:trPr>
          <w:trHeight w:val="300"/>
        </w:trPr>
        <w:tc>
          <w:tcPr>
            <w:tcW w:w="1705" w:type="dxa"/>
            <w:shd w:val="clear" w:color="000000" w:fill="FFFFFF"/>
            <w:noWrap/>
            <w:vAlign w:val="center"/>
            <w:hideMark/>
          </w:tcPr>
          <w:p w14:paraId="23E81F8F" w14:textId="77777777" w:rsidR="007376E1" w:rsidRPr="001570EA" w:rsidRDefault="007376E1">
            <w:pPr>
              <w:jc w:val="left"/>
              <w:rPr>
                <w:rFonts w:cs="Arial"/>
                <w:color w:val="000000"/>
                <w:sz w:val="18"/>
                <w:szCs w:val="18"/>
              </w:rPr>
            </w:pPr>
            <w:r w:rsidRPr="001570EA">
              <w:rPr>
                <w:rFonts w:cs="Arial"/>
                <w:color w:val="000000"/>
                <w:sz w:val="18"/>
                <w:szCs w:val="18"/>
              </w:rPr>
              <w:t>Casement-only</w:t>
            </w:r>
          </w:p>
        </w:tc>
        <w:tc>
          <w:tcPr>
            <w:tcW w:w="1282" w:type="dxa"/>
            <w:shd w:val="clear" w:color="000000" w:fill="FFFFFF"/>
            <w:noWrap/>
            <w:vAlign w:val="center"/>
            <w:hideMark/>
          </w:tcPr>
          <w:p w14:paraId="1B0F80D3" w14:textId="77777777" w:rsidR="007376E1" w:rsidRPr="001570EA" w:rsidRDefault="007376E1">
            <w:pPr>
              <w:jc w:val="center"/>
              <w:rPr>
                <w:rFonts w:cs="Arial"/>
                <w:color w:val="000000"/>
                <w:sz w:val="18"/>
                <w:szCs w:val="18"/>
              </w:rPr>
            </w:pPr>
            <w:r w:rsidRPr="001570EA">
              <w:rPr>
                <w:rFonts w:cs="Arial"/>
                <w:color w:val="000000"/>
                <w:sz w:val="18"/>
                <w:szCs w:val="18"/>
              </w:rPr>
              <w:t>13.9</w:t>
            </w:r>
          </w:p>
        </w:tc>
      </w:tr>
      <w:tr w:rsidR="007376E1" w:rsidRPr="001570EA" w14:paraId="358BFF89" w14:textId="77777777">
        <w:trPr>
          <w:trHeight w:val="300"/>
        </w:trPr>
        <w:tc>
          <w:tcPr>
            <w:tcW w:w="1705" w:type="dxa"/>
            <w:shd w:val="clear" w:color="000000" w:fill="FFFFFF"/>
            <w:noWrap/>
            <w:vAlign w:val="center"/>
            <w:hideMark/>
          </w:tcPr>
          <w:p w14:paraId="42A0A404" w14:textId="77777777" w:rsidR="007376E1" w:rsidRPr="001570EA" w:rsidRDefault="007376E1">
            <w:pPr>
              <w:jc w:val="left"/>
              <w:rPr>
                <w:rFonts w:cs="Arial"/>
                <w:color w:val="000000"/>
                <w:sz w:val="18"/>
                <w:szCs w:val="18"/>
              </w:rPr>
            </w:pPr>
            <w:r w:rsidRPr="001570EA">
              <w:rPr>
                <w:rFonts w:cs="Arial"/>
                <w:color w:val="000000"/>
                <w:sz w:val="18"/>
                <w:szCs w:val="18"/>
              </w:rPr>
              <w:t>Casement-slider</w:t>
            </w:r>
          </w:p>
        </w:tc>
        <w:tc>
          <w:tcPr>
            <w:tcW w:w="1282" w:type="dxa"/>
            <w:shd w:val="clear" w:color="000000" w:fill="FFFFFF"/>
            <w:noWrap/>
            <w:vAlign w:val="center"/>
            <w:hideMark/>
          </w:tcPr>
          <w:p w14:paraId="27C11694" w14:textId="77777777" w:rsidR="007376E1" w:rsidRPr="001570EA" w:rsidRDefault="007376E1">
            <w:pPr>
              <w:jc w:val="center"/>
              <w:rPr>
                <w:rFonts w:cs="Arial"/>
                <w:color w:val="000000"/>
                <w:sz w:val="18"/>
                <w:szCs w:val="18"/>
              </w:rPr>
            </w:pPr>
            <w:r w:rsidRPr="001570EA">
              <w:rPr>
                <w:rFonts w:cs="Arial"/>
                <w:color w:val="000000"/>
                <w:sz w:val="18"/>
                <w:szCs w:val="18"/>
              </w:rPr>
              <w:t>15.3</w:t>
            </w:r>
          </w:p>
        </w:tc>
      </w:tr>
    </w:tbl>
    <w:p w14:paraId="1245E16F" w14:textId="77777777" w:rsidR="007376E1" w:rsidRPr="001570EA" w:rsidRDefault="007376E1" w:rsidP="007376E1"/>
    <w:p w14:paraId="1DE60F35" w14:textId="7AC3FCE2" w:rsidR="007376E1" w:rsidRPr="001570EA" w:rsidRDefault="007826B1" w:rsidP="007376E1">
      <w:r w:rsidRPr="001570EA">
        <w:fldChar w:fldCharType="begin"/>
      </w:r>
      <w:r w:rsidRPr="001570EA">
        <w:instrText xml:space="preserve"> REF _Ref163905207 \h </w:instrText>
      </w:r>
      <w:r w:rsidR="001570EA">
        <w:instrText xml:space="preserve"> \* MERGEFORMAT </w:instrText>
      </w:r>
      <w:r w:rsidRPr="001570EA">
        <w:fldChar w:fldCharType="separate"/>
      </w:r>
      <w:r w:rsidR="00384D95" w:rsidRPr="001570EA">
        <w:t xml:space="preserve">Table </w:t>
      </w:r>
      <w:r w:rsidR="00384D95" w:rsidRPr="001570EA">
        <w:rPr>
          <w:noProof/>
        </w:rPr>
        <w:t>2</w:t>
      </w:r>
      <w:r w:rsidR="00384D95" w:rsidRPr="001570EA">
        <w:noBreakHyphen/>
      </w:r>
      <w:r w:rsidR="00384D95" w:rsidRPr="001570EA">
        <w:rPr>
          <w:noProof/>
        </w:rPr>
        <w:t>32</w:t>
      </w:r>
      <w:r w:rsidRPr="001570EA">
        <w:fldChar w:fldCharType="end"/>
      </w:r>
      <w:r w:rsidR="007376E1" w:rsidRPr="001570EA">
        <w:fldChar w:fldCharType="begin"/>
      </w:r>
      <w:r w:rsidR="007376E1" w:rsidRPr="001570EA">
        <w:instrText xml:space="preserve"> REF _Ref532395052 \h </w:instrText>
      </w:r>
      <w:r w:rsidR="001570EA">
        <w:instrText xml:space="preserve"> \* MERGEFORMAT </w:instrText>
      </w:r>
      <w:r w:rsidR="007376E1" w:rsidRPr="001570EA">
        <w:fldChar w:fldCharType="end"/>
      </w:r>
      <w:r w:rsidR="007376E1" w:rsidRPr="001570EA">
        <w:t xml:space="preserve"> lists the minimum federal efficiency standards for reverse-cycle RAC units.</w:t>
      </w:r>
    </w:p>
    <w:p w14:paraId="1DE21A5B" w14:textId="77777777" w:rsidR="007376E1" w:rsidRPr="001570EA" w:rsidRDefault="007376E1" w:rsidP="007376E1"/>
    <w:p w14:paraId="0619CE15" w14:textId="7B87D881" w:rsidR="007376E1" w:rsidRPr="001570EA" w:rsidRDefault="0064030B" w:rsidP="007376E1">
      <w:pPr>
        <w:pStyle w:val="Caption"/>
      </w:pPr>
      <w:bookmarkStart w:id="251" w:name="_Ref163905207"/>
      <w:bookmarkStart w:id="252" w:name="_Toc47598271"/>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32</w:t>
      </w:r>
      <w:r w:rsidR="002E093A" w:rsidRPr="001570EA">
        <w:fldChar w:fldCharType="end"/>
      </w:r>
      <w:bookmarkEnd w:id="251"/>
      <w:r w:rsidRPr="001570EA">
        <w:t>:</w:t>
      </w:r>
      <w:r w:rsidR="008C6F5D" w:rsidRPr="001570EA">
        <w:t xml:space="preserve"> </w:t>
      </w:r>
      <w:r w:rsidR="007376E1" w:rsidRPr="001570EA">
        <w:t xml:space="preserve">Reverse-Cycle RAC Federal Minimum CEER Standards </w:t>
      </w:r>
      <w:bookmarkEnd w:id="252"/>
    </w:p>
    <w:tbl>
      <w:tblPr>
        <w:tblW w:w="4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507"/>
        <w:gridCol w:w="1787"/>
      </w:tblGrid>
      <w:tr w:rsidR="008C542C" w:rsidRPr="001570EA" w14:paraId="42535D48" w14:textId="77777777" w:rsidTr="0053174F">
        <w:trPr>
          <w:trHeight w:val="451"/>
        </w:trPr>
        <w:tc>
          <w:tcPr>
            <w:tcW w:w="1069" w:type="dxa"/>
            <w:vMerge w:val="restart"/>
            <w:shd w:val="clear" w:color="000000" w:fill="BFBFBF"/>
            <w:vAlign w:val="center"/>
            <w:hideMark/>
          </w:tcPr>
          <w:p w14:paraId="2703B7E0" w14:textId="77777777" w:rsidR="007376E1" w:rsidRPr="001570EA" w:rsidRDefault="007376E1">
            <w:pPr>
              <w:jc w:val="center"/>
              <w:rPr>
                <w:rFonts w:cs="Arial"/>
                <w:b/>
                <w:bCs/>
                <w:color w:val="000000"/>
                <w:sz w:val="18"/>
                <w:szCs w:val="18"/>
              </w:rPr>
            </w:pPr>
            <w:r w:rsidRPr="001570EA">
              <w:rPr>
                <w:rFonts w:cs="Arial"/>
                <w:b/>
                <w:bCs/>
                <w:color w:val="000000"/>
                <w:sz w:val="18"/>
                <w:szCs w:val="18"/>
              </w:rPr>
              <w:t>Capacity (kBTU/h)</w:t>
            </w:r>
          </w:p>
        </w:tc>
        <w:tc>
          <w:tcPr>
            <w:tcW w:w="3294" w:type="dxa"/>
            <w:gridSpan w:val="2"/>
            <w:vMerge w:val="restart"/>
            <w:shd w:val="clear" w:color="000000" w:fill="BFBFBF"/>
            <w:vAlign w:val="center"/>
          </w:tcPr>
          <w:p w14:paraId="54B1C159" w14:textId="77777777" w:rsidR="007376E1" w:rsidRPr="001570EA" w:rsidRDefault="007376E1">
            <w:pPr>
              <w:jc w:val="center"/>
              <w:rPr>
                <w:rFonts w:cs="Arial"/>
                <w:b/>
                <w:bCs/>
                <w:color w:val="000000"/>
                <w:sz w:val="18"/>
                <w:szCs w:val="18"/>
              </w:rPr>
            </w:pPr>
            <w:r w:rsidRPr="001570EA">
              <w:rPr>
                <w:rFonts w:cs="Arial"/>
                <w:b/>
                <w:bCs/>
                <w:color w:val="000000"/>
                <w:sz w:val="18"/>
                <w:szCs w:val="18"/>
              </w:rPr>
              <w:t>Federal Minimum CEER</w:t>
            </w:r>
          </w:p>
        </w:tc>
      </w:tr>
      <w:tr w:rsidR="0053174F" w:rsidRPr="001570EA" w14:paraId="36F7E408" w14:textId="77777777" w:rsidTr="00597241">
        <w:trPr>
          <w:trHeight w:val="230"/>
        </w:trPr>
        <w:tc>
          <w:tcPr>
            <w:tcW w:w="1069" w:type="dxa"/>
            <w:vMerge/>
            <w:vAlign w:val="center"/>
            <w:hideMark/>
          </w:tcPr>
          <w:p w14:paraId="132E66DB" w14:textId="77777777" w:rsidR="0053174F" w:rsidRPr="001570EA" w:rsidRDefault="0053174F">
            <w:pPr>
              <w:jc w:val="left"/>
              <w:rPr>
                <w:rFonts w:cs="Arial"/>
                <w:b/>
                <w:bCs/>
                <w:color w:val="000000"/>
                <w:sz w:val="18"/>
                <w:szCs w:val="18"/>
              </w:rPr>
            </w:pPr>
          </w:p>
        </w:tc>
        <w:tc>
          <w:tcPr>
            <w:tcW w:w="3294" w:type="dxa"/>
            <w:gridSpan w:val="2"/>
            <w:vMerge/>
            <w:vAlign w:val="center"/>
          </w:tcPr>
          <w:p w14:paraId="762C8EE9" w14:textId="77777777" w:rsidR="0053174F" w:rsidRPr="001570EA" w:rsidRDefault="0053174F">
            <w:pPr>
              <w:jc w:val="left"/>
              <w:rPr>
                <w:rFonts w:cs="Arial"/>
                <w:b/>
                <w:bCs/>
                <w:color w:val="000000"/>
                <w:sz w:val="18"/>
                <w:szCs w:val="18"/>
              </w:rPr>
            </w:pPr>
          </w:p>
        </w:tc>
      </w:tr>
      <w:tr w:rsidR="008C542C" w:rsidRPr="001570EA" w14:paraId="6A802047" w14:textId="77777777" w:rsidTr="0053174F">
        <w:trPr>
          <w:trHeight w:val="322"/>
        </w:trPr>
        <w:tc>
          <w:tcPr>
            <w:tcW w:w="1069" w:type="dxa"/>
            <w:vMerge/>
            <w:vAlign w:val="center"/>
            <w:hideMark/>
          </w:tcPr>
          <w:p w14:paraId="5EF3C77E" w14:textId="77777777" w:rsidR="0053174F" w:rsidRPr="001570EA" w:rsidRDefault="0053174F">
            <w:pPr>
              <w:jc w:val="left"/>
              <w:rPr>
                <w:rFonts w:cs="Arial"/>
                <w:b/>
                <w:bCs/>
                <w:color w:val="000000"/>
                <w:sz w:val="18"/>
                <w:szCs w:val="18"/>
              </w:rPr>
            </w:pPr>
          </w:p>
        </w:tc>
        <w:tc>
          <w:tcPr>
            <w:tcW w:w="1507" w:type="dxa"/>
            <w:shd w:val="clear" w:color="000000" w:fill="BFBFBF"/>
            <w:vAlign w:val="center"/>
            <w:hideMark/>
          </w:tcPr>
          <w:p w14:paraId="49391CA4" w14:textId="77777777" w:rsidR="0053174F" w:rsidRPr="001570EA" w:rsidRDefault="0053174F">
            <w:pPr>
              <w:jc w:val="center"/>
              <w:rPr>
                <w:rFonts w:cs="Arial"/>
                <w:b/>
                <w:bCs/>
                <w:color w:val="000000"/>
                <w:sz w:val="18"/>
                <w:szCs w:val="18"/>
              </w:rPr>
            </w:pPr>
            <w:r w:rsidRPr="001570EA">
              <w:rPr>
                <w:rFonts w:cs="Arial"/>
                <w:b/>
                <w:bCs/>
                <w:color w:val="000000"/>
                <w:sz w:val="18"/>
                <w:szCs w:val="18"/>
              </w:rPr>
              <w:t>With Louvered Sides</w:t>
            </w:r>
          </w:p>
        </w:tc>
        <w:tc>
          <w:tcPr>
            <w:tcW w:w="1787" w:type="dxa"/>
            <w:shd w:val="clear" w:color="000000" w:fill="BFBFBF"/>
            <w:vAlign w:val="center"/>
            <w:hideMark/>
          </w:tcPr>
          <w:p w14:paraId="2F0CA0B0" w14:textId="77777777" w:rsidR="0053174F" w:rsidRPr="001570EA" w:rsidRDefault="0053174F">
            <w:pPr>
              <w:jc w:val="center"/>
              <w:rPr>
                <w:rFonts w:cs="Arial"/>
                <w:b/>
                <w:bCs/>
                <w:color w:val="000000"/>
                <w:sz w:val="18"/>
                <w:szCs w:val="18"/>
              </w:rPr>
            </w:pPr>
            <w:r w:rsidRPr="001570EA">
              <w:rPr>
                <w:rFonts w:cs="Arial"/>
                <w:b/>
                <w:bCs/>
                <w:color w:val="000000"/>
                <w:sz w:val="18"/>
                <w:szCs w:val="18"/>
              </w:rPr>
              <w:t>Without Louvered Sides</w:t>
            </w:r>
          </w:p>
        </w:tc>
      </w:tr>
      <w:tr w:rsidR="00E7359A" w:rsidRPr="001570EA" w14:paraId="62C14DB9" w14:textId="77777777" w:rsidTr="0053174F">
        <w:trPr>
          <w:trHeight w:val="322"/>
        </w:trPr>
        <w:tc>
          <w:tcPr>
            <w:tcW w:w="1069" w:type="dxa"/>
            <w:shd w:val="clear" w:color="000000" w:fill="FFFFFF"/>
            <w:noWrap/>
            <w:vAlign w:val="center"/>
            <w:hideMark/>
          </w:tcPr>
          <w:p w14:paraId="5063365C" w14:textId="77777777" w:rsidR="0053174F" w:rsidRPr="001570EA" w:rsidRDefault="0053174F">
            <w:pPr>
              <w:jc w:val="center"/>
              <w:rPr>
                <w:rFonts w:cs="Arial"/>
                <w:color w:val="000000"/>
                <w:sz w:val="18"/>
                <w:szCs w:val="18"/>
              </w:rPr>
            </w:pPr>
            <w:r w:rsidRPr="001570EA">
              <w:rPr>
                <w:rFonts w:cs="Arial"/>
                <w:color w:val="000000"/>
                <w:sz w:val="18"/>
                <w:szCs w:val="18"/>
              </w:rPr>
              <w:t>&lt; 14</w:t>
            </w:r>
          </w:p>
        </w:tc>
        <w:tc>
          <w:tcPr>
            <w:tcW w:w="1507" w:type="dxa"/>
            <w:vMerge w:val="restart"/>
            <w:shd w:val="clear" w:color="000000" w:fill="FFFFFF"/>
            <w:noWrap/>
            <w:vAlign w:val="center"/>
            <w:hideMark/>
          </w:tcPr>
          <w:p w14:paraId="092936D9" w14:textId="77777777" w:rsidR="0053174F" w:rsidRPr="001570EA" w:rsidRDefault="0053174F">
            <w:pPr>
              <w:jc w:val="center"/>
              <w:rPr>
                <w:rFonts w:cs="Arial"/>
                <w:color w:val="000000"/>
                <w:sz w:val="18"/>
                <w:szCs w:val="18"/>
              </w:rPr>
            </w:pPr>
            <w:r w:rsidRPr="001570EA">
              <w:rPr>
                <w:rFonts w:cs="Arial"/>
                <w:color w:val="000000"/>
                <w:sz w:val="18"/>
                <w:szCs w:val="18"/>
              </w:rPr>
              <w:t>n/a</w:t>
            </w:r>
          </w:p>
        </w:tc>
        <w:tc>
          <w:tcPr>
            <w:tcW w:w="1787" w:type="dxa"/>
            <w:shd w:val="clear" w:color="000000" w:fill="FFFFFF"/>
            <w:noWrap/>
            <w:vAlign w:val="center"/>
            <w:hideMark/>
          </w:tcPr>
          <w:p w14:paraId="0D29EAFE" w14:textId="77777777" w:rsidR="0053174F" w:rsidRPr="001570EA" w:rsidRDefault="0053174F">
            <w:pPr>
              <w:jc w:val="center"/>
              <w:rPr>
                <w:rFonts w:cs="Arial"/>
                <w:color w:val="000000"/>
                <w:sz w:val="18"/>
                <w:szCs w:val="18"/>
              </w:rPr>
            </w:pPr>
            <w:r w:rsidRPr="001570EA">
              <w:rPr>
                <w:rFonts w:cs="Arial"/>
                <w:color w:val="000000"/>
                <w:sz w:val="18"/>
                <w:szCs w:val="18"/>
              </w:rPr>
              <w:t>13.7</w:t>
            </w:r>
          </w:p>
        </w:tc>
      </w:tr>
      <w:tr w:rsidR="008C542C" w:rsidRPr="001570EA" w14:paraId="12E791AA" w14:textId="77777777" w:rsidTr="0053174F">
        <w:trPr>
          <w:trHeight w:val="322"/>
        </w:trPr>
        <w:tc>
          <w:tcPr>
            <w:tcW w:w="1069" w:type="dxa"/>
            <w:shd w:val="clear" w:color="000000" w:fill="FFFFFF"/>
            <w:noWrap/>
            <w:vAlign w:val="center"/>
            <w:hideMark/>
          </w:tcPr>
          <w:p w14:paraId="2CCF9B1C" w14:textId="77777777" w:rsidR="0053174F" w:rsidRPr="001570EA" w:rsidRDefault="0053174F">
            <w:pPr>
              <w:jc w:val="center"/>
              <w:rPr>
                <w:rFonts w:ascii="Calibri" w:hAnsi="Calibri" w:cs="Calibri"/>
                <w:color w:val="000000"/>
                <w:sz w:val="18"/>
                <w:szCs w:val="18"/>
              </w:rPr>
            </w:pPr>
            <w:r w:rsidRPr="001570EA">
              <w:rPr>
                <w:rFonts w:ascii="Calibri" w:hAnsi="Calibri" w:cs="Calibri"/>
                <w:color w:val="000000"/>
                <w:sz w:val="18"/>
                <w:szCs w:val="18"/>
              </w:rPr>
              <w:t>≥</w:t>
            </w:r>
            <w:r w:rsidRPr="001570EA">
              <w:rPr>
                <w:rFonts w:cs="Arial"/>
                <w:color w:val="000000"/>
                <w:sz w:val="18"/>
                <w:szCs w:val="18"/>
              </w:rPr>
              <w:t xml:space="preserve"> 14</w:t>
            </w:r>
          </w:p>
        </w:tc>
        <w:tc>
          <w:tcPr>
            <w:tcW w:w="1507" w:type="dxa"/>
            <w:vMerge/>
            <w:vAlign w:val="center"/>
            <w:hideMark/>
          </w:tcPr>
          <w:p w14:paraId="337E400A" w14:textId="77777777" w:rsidR="0053174F" w:rsidRPr="001570EA" w:rsidRDefault="0053174F">
            <w:pPr>
              <w:jc w:val="left"/>
              <w:rPr>
                <w:rFonts w:cs="Arial"/>
                <w:color w:val="000000"/>
                <w:sz w:val="18"/>
                <w:szCs w:val="18"/>
              </w:rPr>
            </w:pPr>
          </w:p>
        </w:tc>
        <w:tc>
          <w:tcPr>
            <w:tcW w:w="1787" w:type="dxa"/>
            <w:shd w:val="clear" w:color="000000" w:fill="FFFFFF"/>
            <w:noWrap/>
            <w:vAlign w:val="center"/>
            <w:hideMark/>
          </w:tcPr>
          <w:p w14:paraId="0D6B8253" w14:textId="77777777" w:rsidR="0053174F" w:rsidRPr="001570EA" w:rsidRDefault="0053174F">
            <w:pPr>
              <w:jc w:val="center"/>
              <w:rPr>
                <w:rFonts w:cs="Arial"/>
                <w:color w:val="000000"/>
                <w:sz w:val="18"/>
                <w:szCs w:val="18"/>
              </w:rPr>
            </w:pPr>
            <w:r w:rsidRPr="001570EA">
              <w:rPr>
                <w:rFonts w:cs="Arial"/>
                <w:color w:val="000000"/>
                <w:sz w:val="18"/>
                <w:szCs w:val="18"/>
              </w:rPr>
              <w:t>12.8</w:t>
            </w:r>
          </w:p>
        </w:tc>
      </w:tr>
      <w:tr w:rsidR="00E7359A" w:rsidRPr="001570EA" w14:paraId="2BB46218" w14:textId="77777777" w:rsidTr="0053174F">
        <w:trPr>
          <w:trHeight w:val="322"/>
        </w:trPr>
        <w:tc>
          <w:tcPr>
            <w:tcW w:w="1069" w:type="dxa"/>
            <w:shd w:val="clear" w:color="000000" w:fill="FFFFFF"/>
            <w:noWrap/>
            <w:vAlign w:val="center"/>
            <w:hideMark/>
          </w:tcPr>
          <w:p w14:paraId="58CBF44F" w14:textId="77777777" w:rsidR="0053174F" w:rsidRPr="001570EA" w:rsidRDefault="0053174F">
            <w:pPr>
              <w:jc w:val="center"/>
              <w:rPr>
                <w:rFonts w:cs="Arial"/>
                <w:color w:val="000000"/>
                <w:sz w:val="18"/>
                <w:szCs w:val="18"/>
              </w:rPr>
            </w:pPr>
            <w:r w:rsidRPr="001570EA">
              <w:rPr>
                <w:rFonts w:cs="Arial"/>
                <w:color w:val="000000"/>
                <w:sz w:val="18"/>
                <w:szCs w:val="18"/>
              </w:rPr>
              <w:t>&lt; 20</w:t>
            </w:r>
          </w:p>
        </w:tc>
        <w:tc>
          <w:tcPr>
            <w:tcW w:w="1507" w:type="dxa"/>
            <w:shd w:val="clear" w:color="000000" w:fill="FFFFFF"/>
            <w:noWrap/>
            <w:vAlign w:val="center"/>
            <w:hideMark/>
          </w:tcPr>
          <w:p w14:paraId="23685477" w14:textId="77777777" w:rsidR="0053174F" w:rsidRPr="001570EA" w:rsidRDefault="0053174F">
            <w:pPr>
              <w:jc w:val="center"/>
              <w:rPr>
                <w:rFonts w:cs="Arial"/>
                <w:color w:val="000000"/>
                <w:sz w:val="18"/>
                <w:szCs w:val="18"/>
              </w:rPr>
            </w:pPr>
            <w:r w:rsidRPr="001570EA">
              <w:rPr>
                <w:rFonts w:cs="Arial"/>
                <w:color w:val="000000"/>
                <w:sz w:val="18"/>
                <w:szCs w:val="18"/>
              </w:rPr>
              <w:t>14.4</w:t>
            </w:r>
          </w:p>
        </w:tc>
        <w:tc>
          <w:tcPr>
            <w:tcW w:w="1787" w:type="dxa"/>
            <w:vMerge w:val="restart"/>
            <w:shd w:val="clear" w:color="000000" w:fill="FFFFFF"/>
            <w:noWrap/>
            <w:vAlign w:val="center"/>
            <w:hideMark/>
          </w:tcPr>
          <w:p w14:paraId="747D23EE" w14:textId="77777777" w:rsidR="0053174F" w:rsidRPr="001570EA" w:rsidRDefault="0053174F">
            <w:pPr>
              <w:jc w:val="center"/>
              <w:rPr>
                <w:rFonts w:cs="Arial"/>
                <w:color w:val="000000"/>
                <w:sz w:val="18"/>
                <w:szCs w:val="18"/>
              </w:rPr>
            </w:pPr>
            <w:r w:rsidRPr="001570EA">
              <w:rPr>
                <w:rFonts w:cs="Arial"/>
                <w:color w:val="000000"/>
                <w:sz w:val="18"/>
                <w:szCs w:val="18"/>
              </w:rPr>
              <w:t>n/a</w:t>
            </w:r>
          </w:p>
        </w:tc>
      </w:tr>
      <w:tr w:rsidR="008C542C" w:rsidRPr="001570EA" w14:paraId="423D30A8" w14:textId="77777777" w:rsidTr="0053174F">
        <w:trPr>
          <w:trHeight w:val="322"/>
        </w:trPr>
        <w:tc>
          <w:tcPr>
            <w:tcW w:w="1069" w:type="dxa"/>
            <w:shd w:val="clear" w:color="000000" w:fill="FFFFFF"/>
            <w:noWrap/>
            <w:vAlign w:val="center"/>
            <w:hideMark/>
          </w:tcPr>
          <w:p w14:paraId="42240211" w14:textId="77777777" w:rsidR="0053174F" w:rsidRPr="001570EA" w:rsidRDefault="0053174F">
            <w:pPr>
              <w:jc w:val="center"/>
              <w:rPr>
                <w:rFonts w:ascii="Calibri" w:hAnsi="Calibri" w:cs="Calibri"/>
                <w:color w:val="000000"/>
                <w:sz w:val="18"/>
                <w:szCs w:val="18"/>
              </w:rPr>
            </w:pPr>
            <w:r w:rsidRPr="001570EA">
              <w:rPr>
                <w:rFonts w:ascii="Calibri" w:hAnsi="Calibri" w:cs="Calibri"/>
                <w:color w:val="000000"/>
                <w:sz w:val="18"/>
                <w:szCs w:val="18"/>
              </w:rPr>
              <w:t>≥</w:t>
            </w:r>
            <w:r w:rsidRPr="001570EA">
              <w:rPr>
                <w:rFonts w:cs="Arial"/>
                <w:color w:val="000000"/>
                <w:sz w:val="18"/>
                <w:szCs w:val="18"/>
              </w:rPr>
              <w:t xml:space="preserve"> 20</w:t>
            </w:r>
          </w:p>
        </w:tc>
        <w:tc>
          <w:tcPr>
            <w:tcW w:w="1507" w:type="dxa"/>
            <w:shd w:val="clear" w:color="000000" w:fill="FFFFFF"/>
            <w:noWrap/>
            <w:vAlign w:val="center"/>
            <w:hideMark/>
          </w:tcPr>
          <w:p w14:paraId="7A702DB9" w14:textId="77777777" w:rsidR="0053174F" w:rsidRPr="001570EA" w:rsidRDefault="0053174F">
            <w:pPr>
              <w:jc w:val="center"/>
              <w:rPr>
                <w:rFonts w:cs="Arial"/>
                <w:color w:val="000000"/>
                <w:sz w:val="18"/>
                <w:szCs w:val="18"/>
              </w:rPr>
            </w:pPr>
            <w:r w:rsidRPr="001570EA">
              <w:rPr>
                <w:rFonts w:cs="Arial"/>
                <w:color w:val="000000"/>
                <w:sz w:val="18"/>
                <w:szCs w:val="18"/>
              </w:rPr>
              <w:t>13.7</w:t>
            </w:r>
          </w:p>
        </w:tc>
        <w:tc>
          <w:tcPr>
            <w:tcW w:w="1787" w:type="dxa"/>
            <w:vMerge/>
            <w:vAlign w:val="center"/>
            <w:hideMark/>
          </w:tcPr>
          <w:p w14:paraId="3C971375" w14:textId="77777777" w:rsidR="0053174F" w:rsidRPr="001570EA" w:rsidRDefault="0053174F">
            <w:pPr>
              <w:jc w:val="left"/>
              <w:rPr>
                <w:rFonts w:cs="Arial"/>
                <w:color w:val="000000"/>
                <w:sz w:val="18"/>
                <w:szCs w:val="18"/>
              </w:rPr>
            </w:pPr>
          </w:p>
        </w:tc>
      </w:tr>
    </w:tbl>
    <w:p w14:paraId="40806C61" w14:textId="77777777" w:rsidR="007376E1" w:rsidRPr="001570EA" w:rsidRDefault="007376E1" w:rsidP="00A11E80"/>
    <w:p w14:paraId="19CAACCB" w14:textId="77777777" w:rsidR="007376E1" w:rsidRPr="001570EA" w:rsidRDefault="007376E1" w:rsidP="007376E1">
      <w:pPr>
        <w:pStyle w:val="SubStyle"/>
      </w:pPr>
      <w:r w:rsidRPr="001570EA">
        <w:t>Evaluation Protocols</w:t>
      </w:r>
    </w:p>
    <w:p w14:paraId="0F539C46" w14:textId="77777777" w:rsidR="007376E1" w:rsidRPr="001570EA" w:rsidRDefault="007376E1" w:rsidP="007376E1">
      <w:pPr>
        <w:pStyle w:val="BodyText"/>
        <w:ind w:right="0"/>
        <w:rPr>
          <w:rFonts w:cs="Arial"/>
        </w:rPr>
      </w:pPr>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159EE992" w14:textId="77777777" w:rsidR="007376E1" w:rsidRPr="001570EA" w:rsidRDefault="007376E1" w:rsidP="007376E1">
      <w:pPr>
        <w:pStyle w:val="SubStyle"/>
      </w:pPr>
    </w:p>
    <w:p w14:paraId="0C734C1A" w14:textId="77777777" w:rsidR="007376E1" w:rsidRPr="001570EA" w:rsidRDefault="007376E1" w:rsidP="007376E1">
      <w:pPr>
        <w:pStyle w:val="SubStyle"/>
        <w:tabs>
          <w:tab w:val="center" w:pos="4320"/>
        </w:tabs>
        <w:jc w:val="left"/>
      </w:pPr>
      <w:r w:rsidRPr="001570EA">
        <w:t>Sources</w:t>
      </w:r>
    </w:p>
    <w:p w14:paraId="3E3B2E8D" w14:textId="2035C635" w:rsidR="007376E1" w:rsidRPr="001570EA" w:rsidRDefault="007376E1" w:rsidP="002614D2">
      <w:pPr>
        <w:pStyle w:val="ListParagraph"/>
        <w:numPr>
          <w:ilvl w:val="0"/>
          <w:numId w:val="11"/>
        </w:numPr>
        <w:spacing w:after="200" w:line="288" w:lineRule="auto"/>
        <w:ind w:left="360"/>
        <w:contextualSpacing/>
        <w:jc w:val="left"/>
      </w:pPr>
      <w:r w:rsidRPr="001570EA">
        <w:t xml:space="preserve">California Electronic Technical Reference Manual. “Room Air Conditioner, Residential”. Accessed August 2023. </w:t>
      </w:r>
      <w:hyperlink r:id="rId85" w:history="1">
        <w:r w:rsidRPr="001570EA">
          <w:rPr>
            <w:rStyle w:val="Hyperlink"/>
          </w:rPr>
          <w:t>Weblink</w:t>
        </w:r>
      </w:hyperlink>
      <w:r w:rsidRPr="001570EA">
        <w:t xml:space="preserve">  </w:t>
      </w:r>
    </w:p>
    <w:p w14:paraId="7F75BE65" w14:textId="508131A6" w:rsidR="007376E1" w:rsidRPr="001570EA" w:rsidRDefault="007376E1" w:rsidP="002614D2">
      <w:pPr>
        <w:pStyle w:val="ListParagraph"/>
        <w:numPr>
          <w:ilvl w:val="0"/>
          <w:numId w:val="11"/>
        </w:numPr>
        <w:spacing w:after="200" w:line="288" w:lineRule="auto"/>
        <w:ind w:left="360"/>
        <w:contextualSpacing/>
        <w:jc w:val="left"/>
        <w:rPr>
          <w:rStyle w:val="Hyperlink"/>
          <w:color w:val="auto"/>
          <w:u w:val="none"/>
        </w:rPr>
      </w:pPr>
      <w:r w:rsidRPr="001570EA">
        <w:t xml:space="preserve">NMR Group for the Pennsylvania Public Utility Commission. </w:t>
      </w:r>
      <w:r w:rsidR="00205A57" w:rsidRPr="001570EA">
        <w:t>(</w:t>
      </w:r>
      <w:r w:rsidRPr="001570EA">
        <w:t>2024</w:t>
      </w:r>
      <w:r w:rsidR="00205A57" w:rsidRPr="001570EA">
        <w:t xml:space="preserve">, </w:t>
      </w:r>
      <w:r w:rsidRPr="001570EA">
        <w:t>March</w:t>
      </w:r>
      <w:r w:rsidR="0011026B" w:rsidRPr="001570EA">
        <w:t>)</w:t>
      </w:r>
      <w:r w:rsidRPr="001570EA">
        <w:t xml:space="preserve">. 2023 Pennsylvania Statewide Act 129 Residential Baseline Study. Sec 8.2.2 Table 104. Statewide </w:t>
      </w:r>
      <w:r w:rsidRPr="001570EA">
        <w:rPr>
          <w:color w:val="212121"/>
          <w:shd w:val="clear" w:color="auto" w:fill="FFFFFF"/>
        </w:rPr>
        <w:t>average</w:t>
      </w:r>
      <w:r w:rsidRPr="001570EA">
        <w:t xml:space="preserve"> for all housing types. </w:t>
      </w:r>
      <w:hyperlink r:id="rId86" w:history="1">
        <w:r w:rsidRPr="001570EA">
          <w:rPr>
            <w:rStyle w:val="Hyperlink"/>
            <w:rFonts w:cs="Arial"/>
          </w:rPr>
          <w:t>Weblink</w:t>
        </w:r>
      </w:hyperlink>
    </w:p>
    <w:p w14:paraId="63162D76" w14:textId="0A559911" w:rsidR="007376E1" w:rsidRPr="001570EA" w:rsidRDefault="007376E1" w:rsidP="002614D2">
      <w:pPr>
        <w:pStyle w:val="ListParagraph"/>
        <w:numPr>
          <w:ilvl w:val="0"/>
          <w:numId w:val="11"/>
        </w:numPr>
        <w:spacing w:after="200" w:line="288" w:lineRule="auto"/>
        <w:ind w:left="360"/>
        <w:contextualSpacing/>
        <w:jc w:val="left"/>
      </w:pPr>
      <w:r w:rsidRPr="001570EA">
        <w:t xml:space="preserve">Federal code of regulation. Room air conditioners. 10 C.F.R. § 430.32 (b)(2). </w:t>
      </w:r>
      <w:hyperlink r:id="rId87" w:anchor="p-430.32(b)(2)" w:history="1">
        <w:r w:rsidRPr="001570EA">
          <w:rPr>
            <w:rStyle w:val="Hyperlink"/>
          </w:rPr>
          <w:t>Weblink</w:t>
        </w:r>
      </w:hyperlink>
      <w:r w:rsidRPr="001570EA">
        <w:t xml:space="preserve"> </w:t>
      </w:r>
    </w:p>
    <w:p w14:paraId="64DB02F9" w14:textId="2589D9CE" w:rsidR="007376E1" w:rsidRPr="001570EA" w:rsidRDefault="007376E1" w:rsidP="002614D2">
      <w:pPr>
        <w:pStyle w:val="ListParagraph"/>
        <w:numPr>
          <w:ilvl w:val="0"/>
          <w:numId w:val="11"/>
        </w:numPr>
        <w:overflowPunct/>
        <w:autoSpaceDE/>
        <w:autoSpaceDN/>
        <w:adjustRightInd/>
        <w:ind w:left="360"/>
        <w:jc w:val="left"/>
        <w:textAlignment w:val="auto"/>
      </w:pPr>
      <w:r w:rsidRPr="001570EA">
        <w:t>Based on the Phase III SWE team’s analysis of regional HVAC runtime data collected from ecobee’s Donate Your Data research service (</w:t>
      </w:r>
      <w:hyperlink r:id="rId88" w:history="1">
        <w:r w:rsidRPr="001570EA">
          <w:rPr>
            <w:rStyle w:val="Hyperlink"/>
          </w:rPr>
          <w:t>Weblink</w:t>
        </w:r>
      </w:hyperlink>
      <w:r w:rsidRPr="001570EA">
        <w:t>) and updated based on the latest CDD and HDD values from NOAA’s 15-year annual climate Normals (2006–2020) (</w:t>
      </w:r>
      <w:hyperlink r:id="rId89" w:history="1">
        <w:r w:rsidRPr="001570EA">
          <w:rPr>
            <w:rStyle w:val="Hyperlink"/>
          </w:rPr>
          <w:t>Weblink</w:t>
        </w:r>
      </w:hyperlink>
      <w:r w:rsidRPr="001570EA">
        <w:t>)</w:t>
      </w:r>
    </w:p>
    <w:p w14:paraId="410DF501" w14:textId="77777777" w:rsidR="007376E1" w:rsidRPr="001570EA" w:rsidRDefault="007376E1" w:rsidP="007376E1"/>
    <w:p w14:paraId="4F7D0C71" w14:textId="77777777" w:rsidR="007376E1" w:rsidRPr="001570EA" w:rsidRDefault="007376E1" w:rsidP="002614D2">
      <w:pPr>
        <w:pStyle w:val="source10"/>
        <w:numPr>
          <w:ilvl w:val="0"/>
          <w:numId w:val="11"/>
        </w:numPr>
        <w:spacing w:after="120"/>
        <w:ind w:left="360"/>
        <w:jc w:val="left"/>
        <w:textAlignment w:val="auto"/>
        <w:rPr>
          <w:rStyle w:val="Hyperlink"/>
          <w:rFonts w:cs="Arial"/>
        </w:rPr>
        <w:sectPr w:rsidR="007376E1" w:rsidRPr="001570EA" w:rsidSect="002D556C">
          <w:pgSz w:w="12240" w:h="15840"/>
          <w:pgMar w:top="1440" w:right="1800" w:bottom="1440" w:left="1800" w:header="720" w:footer="501" w:gutter="0"/>
          <w:cols w:space="720"/>
        </w:sectPr>
      </w:pPr>
    </w:p>
    <w:p w14:paraId="0B53262B" w14:textId="77777777" w:rsidR="007376E1" w:rsidRPr="001570EA" w:rsidRDefault="007376E1" w:rsidP="00462D97">
      <w:pPr>
        <w:pStyle w:val="Heading3"/>
      </w:pPr>
      <w:bookmarkStart w:id="253" w:name="_Toc261851930"/>
      <w:bookmarkStart w:id="254" w:name="_Toc364420787"/>
      <w:bookmarkStart w:id="255" w:name="_Toc373320424"/>
      <w:bookmarkStart w:id="256" w:name="_Toc364760902"/>
      <w:bookmarkStart w:id="257" w:name="_Ref395128849"/>
      <w:bookmarkStart w:id="258" w:name="_Ref395189959"/>
      <w:bookmarkStart w:id="259" w:name="_Ref395189967"/>
      <w:bookmarkStart w:id="260" w:name="_Toc473645625"/>
      <w:bookmarkStart w:id="261" w:name="_Toc48143023"/>
      <w:bookmarkStart w:id="262" w:name="_Toc164786641"/>
      <w:r w:rsidRPr="001570EA">
        <w:t>Room AC (RAC) Retirement</w:t>
      </w:r>
      <w:bookmarkEnd w:id="253"/>
      <w:bookmarkEnd w:id="254"/>
      <w:bookmarkEnd w:id="255"/>
      <w:bookmarkEnd w:id="256"/>
      <w:bookmarkEnd w:id="257"/>
      <w:bookmarkEnd w:id="258"/>
      <w:bookmarkEnd w:id="259"/>
      <w:bookmarkEnd w:id="260"/>
      <w:bookmarkEnd w:id="261"/>
      <w:bookmarkEnd w:id="262"/>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8"/>
        <w:gridCol w:w="4964"/>
      </w:tblGrid>
      <w:tr w:rsidR="007376E1" w:rsidRPr="001570EA" w14:paraId="539C6780" w14:textId="77777777">
        <w:trPr>
          <w:trHeight w:val="288"/>
        </w:trPr>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FEBEE4E" w14:textId="77777777" w:rsidR="007376E1" w:rsidRPr="001570EA" w:rsidRDefault="007376E1">
            <w:pPr>
              <w:pStyle w:val="TableCell"/>
              <w:spacing w:before="60" w:after="60"/>
              <w:rPr>
                <w:b/>
                <w:bCs/>
                <w:caps/>
                <w:color w:val="000000"/>
              </w:rPr>
            </w:pPr>
            <w:r w:rsidRPr="001570EA">
              <w:rPr>
                <w:b/>
                <w:bCs/>
                <w:color w:val="000000"/>
              </w:rPr>
              <w:t>Target Sector</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921E007" w14:textId="77777777" w:rsidR="007376E1" w:rsidRPr="001570EA" w:rsidRDefault="007376E1">
            <w:pPr>
              <w:pStyle w:val="TableCell"/>
              <w:spacing w:before="60" w:after="60"/>
              <w:jc w:val="center"/>
              <w:rPr>
                <w:caps/>
                <w:color w:val="000000"/>
              </w:rPr>
            </w:pPr>
            <w:r w:rsidRPr="001570EA">
              <w:rPr>
                <w:color w:val="000000"/>
              </w:rPr>
              <w:t>Residential</w:t>
            </w:r>
          </w:p>
        </w:tc>
      </w:tr>
      <w:tr w:rsidR="007376E1" w:rsidRPr="001570EA" w14:paraId="5BBFA523" w14:textId="77777777">
        <w:trPr>
          <w:trHeight w:val="288"/>
        </w:trPr>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323B761D" w14:textId="77777777" w:rsidR="007376E1" w:rsidRPr="001570EA" w:rsidRDefault="007376E1">
            <w:pPr>
              <w:pStyle w:val="TableCell"/>
              <w:spacing w:before="60" w:after="60"/>
              <w:rPr>
                <w:b/>
                <w:bCs/>
                <w:caps/>
                <w:color w:val="000000"/>
              </w:rPr>
            </w:pPr>
            <w:r w:rsidRPr="001570EA">
              <w:rPr>
                <w:b/>
                <w:bCs/>
                <w:color w:val="000000"/>
              </w:rPr>
              <w:t>Measure Unit</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2E2EFD7E" w14:textId="77777777" w:rsidR="007376E1" w:rsidRPr="001570EA" w:rsidRDefault="007376E1">
            <w:pPr>
              <w:pStyle w:val="TableCell"/>
              <w:spacing w:before="60" w:after="60"/>
              <w:jc w:val="center"/>
              <w:rPr>
                <w:caps/>
                <w:color w:val="000000"/>
              </w:rPr>
            </w:pPr>
            <w:r w:rsidRPr="001570EA">
              <w:rPr>
                <w:color w:val="000000"/>
              </w:rPr>
              <w:t>Room A/C</w:t>
            </w:r>
          </w:p>
        </w:tc>
      </w:tr>
      <w:tr w:rsidR="007376E1" w:rsidRPr="001570EA" w14:paraId="7A034C15" w14:textId="77777777">
        <w:trPr>
          <w:trHeight w:val="288"/>
        </w:trPr>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22F0BCD" w14:textId="77777777" w:rsidR="007376E1" w:rsidRPr="001570EA" w:rsidRDefault="007376E1">
            <w:pPr>
              <w:pStyle w:val="TableCell"/>
              <w:spacing w:before="60" w:after="60"/>
              <w:rPr>
                <w:b/>
                <w:bCs/>
                <w:caps/>
                <w:color w:val="000000"/>
              </w:rPr>
            </w:pPr>
            <w:r w:rsidRPr="001570EA">
              <w:rPr>
                <w:b/>
                <w:bCs/>
                <w:color w:val="000000"/>
              </w:rPr>
              <w:t>Measure Life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1E49A61" w14:textId="4A01A191" w:rsidR="007376E1" w:rsidRPr="001570EA" w:rsidRDefault="007376E1">
            <w:pPr>
              <w:pStyle w:val="TableCell"/>
              <w:spacing w:before="60" w:after="60"/>
              <w:jc w:val="center"/>
              <w:rPr>
                <w:caps/>
                <w:color w:val="000000"/>
                <w:vertAlign w:val="superscript"/>
              </w:rPr>
            </w:pPr>
            <w:r w:rsidRPr="001570EA">
              <w:rPr>
                <w:color w:val="000000"/>
              </w:rPr>
              <w:t>3 years</w:t>
            </w:r>
            <w:r w:rsidRPr="001570EA">
              <w:rPr>
                <w:vertAlign w:val="superscript"/>
              </w:rPr>
              <w:t>Source 1</w:t>
            </w:r>
          </w:p>
        </w:tc>
      </w:tr>
      <w:tr w:rsidR="007376E1" w:rsidRPr="001570EA" w14:paraId="5671AC79" w14:textId="77777777">
        <w:trPr>
          <w:trHeight w:val="288"/>
        </w:trPr>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B8AC174" w14:textId="77777777" w:rsidR="007376E1" w:rsidRPr="001570EA" w:rsidRDefault="007376E1">
            <w:pPr>
              <w:pStyle w:val="TableCell"/>
              <w:spacing w:before="60" w:after="60"/>
              <w:rPr>
                <w:b/>
                <w:bCs/>
                <w:color w:val="000000"/>
              </w:rPr>
            </w:pPr>
            <w:r w:rsidRPr="001570EA">
              <w:rPr>
                <w:b/>
                <w:bCs/>
                <w:color w:val="000000"/>
              </w:rPr>
              <w:t>Vintage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52C7AD9" w14:textId="77777777" w:rsidR="007376E1" w:rsidRPr="001570EA" w:rsidRDefault="007376E1">
            <w:pPr>
              <w:pStyle w:val="TableCell"/>
              <w:spacing w:before="60" w:after="60"/>
              <w:jc w:val="center"/>
              <w:rPr>
                <w:color w:val="000000"/>
              </w:rPr>
            </w:pPr>
            <w:r w:rsidRPr="001570EA">
              <w:rPr>
                <w:color w:val="000000"/>
              </w:rPr>
              <w:t>Early Retirement, Early Replacement</w:t>
            </w:r>
          </w:p>
        </w:tc>
      </w:tr>
    </w:tbl>
    <w:p w14:paraId="61F28F66" w14:textId="77777777" w:rsidR="007376E1" w:rsidRPr="001570EA" w:rsidRDefault="007376E1" w:rsidP="007376E1"/>
    <w:p w14:paraId="3174160B" w14:textId="6411E582" w:rsidR="007376E1" w:rsidRPr="001570EA" w:rsidRDefault="007376E1" w:rsidP="007376E1">
      <w:pPr>
        <w:pStyle w:val="BodyText"/>
        <w:ind w:right="0"/>
      </w:pPr>
      <w:r w:rsidRPr="001570EA">
        <w:t xml:space="preserve">This measure is defined as retirement and recycling of an </w:t>
      </w:r>
      <w:r w:rsidRPr="001570EA">
        <w:rPr>
          <w:i/>
        </w:rPr>
        <w:t>operable</w:t>
      </w:r>
      <w:r w:rsidRPr="001570EA">
        <w:t xml:space="preserve"> but older and inefficient room AC (RAC) unit that would not have otherwise been recycled. The assumption is that these units will be permanently removed from the grid rather than handed down or sold for use in another location by another EDC customer, and furthermore that they would not have been recycled without this program. This measure is quite different from other energy-efficiency measures in that the energy/demand savings is not the difference between a pre- and post- </w:t>
      </w:r>
      <w:r w:rsidR="003E37E7" w:rsidRPr="001570EA">
        <w:t>configuration but</w:t>
      </w:r>
      <w:r w:rsidRPr="001570EA">
        <w:t xml:space="preserve"> is instead the result of complete elimination of the existing RAC.</w:t>
      </w:r>
    </w:p>
    <w:p w14:paraId="4D7E839B" w14:textId="77777777" w:rsidR="007376E1" w:rsidRPr="001570EA" w:rsidRDefault="007376E1" w:rsidP="007376E1">
      <w:pPr>
        <w:pStyle w:val="SubStyle"/>
      </w:pPr>
    </w:p>
    <w:p w14:paraId="098BA276" w14:textId="77777777" w:rsidR="007376E1" w:rsidRPr="001570EA" w:rsidRDefault="007376E1" w:rsidP="007376E1">
      <w:pPr>
        <w:pStyle w:val="SubStyle"/>
      </w:pPr>
      <w:r w:rsidRPr="001570EA">
        <w:t>Eligibility</w:t>
      </w:r>
    </w:p>
    <w:p w14:paraId="4CE4317A" w14:textId="77777777" w:rsidR="007376E1" w:rsidRPr="001570EA" w:rsidRDefault="007376E1" w:rsidP="007376E1">
      <w:pPr>
        <w:pStyle w:val="BodyText"/>
        <w:ind w:right="0"/>
      </w:pPr>
      <w:r w:rsidRPr="001570EA">
        <w:t xml:space="preserve">The savings are </w:t>
      </w:r>
      <w:r w:rsidRPr="001570EA">
        <w:rPr>
          <w:i/>
        </w:rPr>
        <w:t>not</w:t>
      </w:r>
      <w:r w:rsidRPr="001570EA">
        <w:t xml:space="preserve"> attributable to the customer that owned the RAC, but instead are attributed to a </w:t>
      </w:r>
      <w:r w:rsidRPr="001570EA">
        <w:rPr>
          <w:i/>
        </w:rPr>
        <w:t>hypothetical user of the equipment had it not been recycled</w:t>
      </w:r>
      <w:r w:rsidRPr="001570EA">
        <w:t xml:space="preserve">. Energy and demand savings is the estimated energy consumption of the retired unit over its remaining useful life (RUL). </w:t>
      </w:r>
    </w:p>
    <w:p w14:paraId="694B0064" w14:textId="77777777" w:rsidR="007376E1" w:rsidRPr="001570EA" w:rsidRDefault="007376E1" w:rsidP="007376E1">
      <w:pPr>
        <w:pStyle w:val="SubStyle"/>
      </w:pPr>
      <w:bookmarkStart w:id="263" w:name="_Toc261851931"/>
    </w:p>
    <w:p w14:paraId="7D5AEBD1" w14:textId="77777777" w:rsidR="007376E1" w:rsidRPr="001570EA" w:rsidRDefault="007376E1" w:rsidP="007376E1">
      <w:pPr>
        <w:pStyle w:val="SubStyle"/>
      </w:pPr>
      <w:r w:rsidRPr="001570EA">
        <w:t>Algorithms</w:t>
      </w:r>
      <w:bookmarkEnd w:id="263"/>
    </w:p>
    <w:p w14:paraId="02DF6CEA" w14:textId="66E8BC11" w:rsidR="007376E1" w:rsidRPr="001570EA" w:rsidRDefault="007376E1" w:rsidP="001973AE">
      <w:pPr>
        <w:pStyle w:val="BodyText"/>
        <w:ind w:right="0"/>
        <w:rPr>
          <w:b/>
          <w:bCs/>
        </w:rPr>
      </w:pPr>
      <w:r w:rsidRPr="001570EA">
        <w:rPr>
          <w:b/>
          <w:bCs/>
        </w:rPr>
        <w:t>Retirement-Only</w:t>
      </w:r>
    </w:p>
    <w:p w14:paraId="5062007C" w14:textId="77777777" w:rsidR="007376E1" w:rsidRPr="001570EA" w:rsidRDefault="007376E1" w:rsidP="007376E1">
      <w:pPr>
        <w:pStyle w:val="BodyText"/>
        <w:ind w:right="0"/>
      </w:pPr>
      <w:r w:rsidRPr="001570EA">
        <w:t>All EDC programs are currently operated under this scenario.  For this approach, impacts are based only on the existing unit, and savings apply</w:t>
      </w:r>
      <w:r w:rsidRPr="001570EA">
        <w:rPr>
          <w:i/>
        </w:rPr>
        <w:t xml:space="preserve"> only for the remaining useful life (RUL) of the unit</w:t>
      </w:r>
      <w:r w:rsidRPr="001570EA">
        <w:t>.</w:t>
      </w:r>
    </w:p>
    <w:p w14:paraId="5AB966B8" w14:textId="77777777" w:rsidR="007376E1" w:rsidRPr="001570EA" w:rsidRDefault="007376E1" w:rsidP="007376E1">
      <w:pPr>
        <w:pStyle w:val="Equation"/>
        <w:rPr>
          <w:rFonts w:cs="Arial"/>
          <w:noProof/>
          <w:szCs w:val="20"/>
        </w:rPr>
      </w:pPr>
    </w:p>
    <w:p w14:paraId="15A6913D" w14:textId="77777777" w:rsidR="007376E1" w:rsidRPr="001570EA" w:rsidRDefault="007376E1" w:rsidP="007376E1">
      <w:pPr>
        <w:pStyle w:val="Equation"/>
        <w:ind w:left="0" w:firstLine="0"/>
        <w:rPr>
          <w:rFonts w:ascii="Cambria Math" w:hAnsi="Cambria Math" w:cs="Arial"/>
          <w:szCs w:val="20"/>
        </w:rPr>
      </w:pPr>
      <m:oMathPara>
        <m:oMathParaPr>
          <m:jc m:val="left"/>
        </m:oMathParaPr>
        <m:oMath>
          <m:r>
            <w:rPr>
              <w:rFonts w:ascii="Cambria Math" w:hAnsi="Cambria Math" w:cs="Arial"/>
              <w:szCs w:val="20"/>
            </w:rPr>
            <m:t>∆ kWh      =</m:t>
          </m:r>
          <m:d>
            <m:dPr>
              <m:ctrlPr>
                <w:rPr>
                  <w:rFonts w:ascii="Cambria Math" w:hAnsi="Cambria Math" w:cs="Arial"/>
                  <w:i w:val="0"/>
                  <w:szCs w:val="20"/>
                </w:rPr>
              </m:ctrlPr>
            </m:dPr>
            <m:e>
              <m:f>
                <m:fPr>
                  <m:ctrlPr>
                    <w:rPr>
                      <w:rFonts w:ascii="Cambria Math" w:hAnsi="Cambria Math" w:cs="Arial"/>
                      <w:i w:val="0"/>
                      <w:szCs w:val="20"/>
                    </w:rPr>
                  </m:ctrlPr>
                </m:fPr>
                <m:num>
                  <m:r>
                    <w:rPr>
                      <w:rFonts w:ascii="Cambria Math" w:hAnsi="Cambria Math" w:cs="Arial"/>
                      <w:szCs w:val="20"/>
                    </w:rPr>
                    <m:t>CAPY</m:t>
                  </m:r>
                </m:num>
                <m:den>
                  <m:sSub>
                    <m:sSubPr>
                      <m:ctrlPr>
                        <w:rPr>
                          <w:rFonts w:ascii="Cambria Math" w:hAnsi="Cambria Math" w:cs="Arial"/>
                          <w:i w:val="0"/>
                          <w:szCs w:val="20"/>
                        </w:rPr>
                      </m:ctrlPr>
                    </m:sSubPr>
                    <m:e>
                      <m:r>
                        <w:rPr>
                          <w:rFonts w:ascii="Cambria Math" w:hAnsi="Cambria Math" w:cs="Arial"/>
                          <w:szCs w:val="20"/>
                        </w:rPr>
                        <m:t>EER</m:t>
                      </m:r>
                    </m:e>
                    <m:sub>
                      <m:r>
                        <w:rPr>
                          <w:rFonts w:ascii="Cambria Math" w:hAnsi="Cambria Math" w:cs="Arial"/>
                          <w:szCs w:val="20"/>
                        </w:rPr>
                        <m:t>RetRAC</m:t>
                      </m:r>
                    </m:sub>
                  </m:sSub>
                </m:den>
              </m:f>
            </m:e>
          </m:d>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RAC</m:t>
              </m:r>
            </m:sub>
          </m:sSub>
        </m:oMath>
      </m:oMathPara>
    </w:p>
    <w:p w14:paraId="321E9652" w14:textId="77777777" w:rsidR="007376E1" w:rsidRPr="001570EA" w:rsidRDefault="007376E1" w:rsidP="007376E1">
      <w:pPr>
        <w:pStyle w:val="Equation"/>
        <w:rPr>
          <w:rFonts w:cs="Arial"/>
          <w:noProof/>
          <w:szCs w:val="20"/>
          <w:vertAlign w:val="subscript"/>
        </w:rPr>
      </w:pPr>
    </w:p>
    <w:p w14:paraId="5A79945D" w14:textId="77777777" w:rsidR="007376E1" w:rsidRPr="001570EA" w:rsidRDefault="007376E1" w:rsidP="007376E1">
      <w:pPr>
        <w:rPr>
          <w:rFonts w:eastAsia="Calibri"/>
        </w:rPr>
      </w:pPr>
      <m:oMathPara>
        <m:oMath>
          <m:r>
            <m:rPr>
              <m:sty m:val="p"/>
            </m:rPr>
            <w:rPr>
              <w:rFonts w:ascii="Cambria Math" w:hAnsi="Cambria Math"/>
            </w:rPr>
            <m:t>∆</m:t>
          </m:r>
          <m:sSub>
            <m:sSubPr>
              <m:ctrlPr>
                <w:rPr>
                  <w:rFonts w:ascii="Cambria Math" w:hAnsi="Cambria Math"/>
                </w:rPr>
              </m:ctrlPr>
            </m:sSubPr>
            <m:e>
              <m:r>
                <w:rPr>
                  <w:rFonts w:ascii="Cambria Math" w:hAnsi="Cambria Math"/>
                </w:rPr>
                <m:t>kW</m:t>
              </m:r>
            </m:e>
            <m:sub>
              <m:r>
                <w:rPr>
                  <w:rFonts w:ascii="Cambria Math" w:hAnsi="Cambria Math"/>
                </w:rPr>
                <m:t>summer peak</m:t>
              </m:r>
            </m:sub>
          </m:sSub>
          <m:r>
            <m:rPr>
              <m:sty m:val="p"/>
            </m:rPr>
            <w:rPr>
              <w:rFonts w:ascii="Cambria Math" w:hAnsi="Cambria Math"/>
            </w:rPr>
            <m:t xml:space="preserve">   =</m:t>
          </m:r>
          <m:d>
            <m:dPr>
              <m:ctrlPr>
                <w:rPr>
                  <w:rFonts w:ascii="Cambria Math" w:eastAsia="Calibri" w:hAnsi="Cambria Math"/>
                </w:rPr>
              </m:ctrlPr>
            </m:dPr>
            <m:e>
              <m:f>
                <m:fPr>
                  <m:ctrlPr>
                    <w:rPr>
                      <w:rFonts w:ascii="Cambria Math" w:hAnsi="Cambria Math"/>
                    </w:rPr>
                  </m:ctrlPr>
                </m:fPr>
                <m:num>
                  <m:r>
                    <w:rPr>
                      <w:rFonts w:ascii="Cambria Math" w:hAnsi="Cambria Math"/>
                    </w:rPr>
                    <m:t>CAPY</m:t>
                  </m:r>
                  <m:ctrlPr>
                    <w:rPr>
                      <w:rFonts w:ascii="Cambria Math" w:eastAsia="Calibri" w:hAnsi="Cambria Math"/>
                    </w:rPr>
                  </m:ctrlPr>
                </m:num>
                <m:den>
                  <m:sSub>
                    <m:sSubPr>
                      <m:ctrlPr>
                        <w:rPr>
                          <w:rFonts w:ascii="Cambria Math" w:hAnsi="Cambria Math"/>
                        </w:rPr>
                      </m:ctrlPr>
                    </m:sSubPr>
                    <m:e>
                      <m:r>
                        <w:rPr>
                          <w:rFonts w:ascii="Cambria Math" w:hAnsi="Cambria Math"/>
                        </w:rPr>
                        <m:t>EER</m:t>
                      </m:r>
                    </m:e>
                    <m:sub>
                      <m:r>
                        <w:rPr>
                          <w:rFonts w:ascii="Cambria Math" w:hAnsi="Cambria Math"/>
                        </w:rPr>
                        <m:t>RetRAC</m:t>
                      </m:r>
                    </m:sub>
                  </m:sSub>
                </m:den>
              </m:f>
            </m:e>
          </m:d>
          <m:r>
            <m:rPr>
              <m:sty m:val="p"/>
            </m:rPr>
            <w:rPr>
              <w:rFonts w:ascii="Cambria Math" w:hAnsi="Cambria Math"/>
            </w:rPr>
            <m:t>×</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m:oMathPara>
    </w:p>
    <w:p w14:paraId="053DA60E" w14:textId="77777777" w:rsidR="007376E1" w:rsidRPr="001570EA" w:rsidRDefault="007376E1" w:rsidP="007376E1">
      <w:pPr>
        <w:rPr>
          <w:rFonts w:eastAsia="Calibri"/>
        </w:rPr>
      </w:pPr>
    </w:p>
    <w:p w14:paraId="29181AA3" w14:textId="77777777" w:rsidR="007376E1" w:rsidRPr="001570EA" w:rsidRDefault="007376E1" w:rsidP="007376E1">
      <w:pPr>
        <w:rPr>
          <w:rFonts w:eastAsia="Calibri"/>
        </w:rPr>
      </w:pPr>
      <m:oMathPara>
        <m:oMathParaPr>
          <m:jc m:val="left"/>
        </m:oMathParaPr>
        <m:oMath>
          <m:r>
            <m:rPr>
              <m:sty m:val="p"/>
            </m:rPr>
            <w:rPr>
              <w:rFonts w:ascii="Cambria Math" w:hAnsi="Cambria Math"/>
            </w:rPr>
            <m:t>∆</m:t>
          </m:r>
          <m:sSub>
            <m:sSubPr>
              <m:ctrlPr>
                <w:rPr>
                  <w:rFonts w:ascii="Cambria Math" w:hAnsi="Cambria Math"/>
                </w:rPr>
              </m:ctrlPr>
            </m:sSubPr>
            <m:e>
              <m:r>
                <w:rPr>
                  <w:rFonts w:ascii="Cambria Math" w:hAnsi="Cambria Math"/>
                </w:rPr>
                <m:t>kW</m:t>
              </m:r>
            </m:e>
            <m:sub>
              <m:r>
                <w:rPr>
                  <w:rFonts w:ascii="Cambria Math" w:hAnsi="Cambria Math"/>
                </w:rPr>
                <m:t>winter peak</m:t>
              </m:r>
            </m:sub>
          </m:sSub>
          <m:r>
            <m:rPr>
              <m:sty m:val="p"/>
            </m:rPr>
            <w:rPr>
              <w:rFonts w:ascii="Cambria Math" w:hAnsi="Cambria Math"/>
            </w:rPr>
            <m:t xml:space="preserve">   =</m:t>
          </m:r>
          <m:r>
            <m:rPr>
              <m:sty m:val="p"/>
            </m:rPr>
            <w:rPr>
              <w:rFonts w:ascii="Cambria Math" w:eastAsia="Calibri" w:hAnsi="Cambria Math"/>
            </w:rPr>
            <m:t>0</m:t>
          </m:r>
        </m:oMath>
      </m:oMathPara>
    </w:p>
    <w:p w14:paraId="1CC2B7DC" w14:textId="77777777" w:rsidR="007376E1" w:rsidRPr="001570EA" w:rsidRDefault="007376E1" w:rsidP="007376E1">
      <w:pPr>
        <w:rPr>
          <w:b/>
        </w:rPr>
      </w:pPr>
    </w:p>
    <w:p w14:paraId="751421D3" w14:textId="77777777" w:rsidR="007376E1" w:rsidRPr="001570EA" w:rsidRDefault="007376E1" w:rsidP="007376E1">
      <w:pPr>
        <w:pStyle w:val="3ptheading"/>
        <w:rPr>
          <w:rFonts w:eastAsia="Calibri"/>
        </w:rPr>
      </w:pPr>
      <w:r w:rsidRPr="001570EA">
        <w:t>Replacement and Recycling</w:t>
      </w:r>
    </w:p>
    <w:p w14:paraId="2062909E" w14:textId="7DE32FDF" w:rsidR="007376E1" w:rsidRPr="001570EA" w:rsidRDefault="007376E1" w:rsidP="007376E1">
      <w:pPr>
        <w:pStyle w:val="BodyText"/>
        <w:ind w:right="0"/>
      </w:pPr>
      <w:r w:rsidRPr="001570EA">
        <w:t xml:space="preserve">For this approach, the efficient RAC upgrade measure would have to be combined with recycling via a turn-in event at a retail appliance store, where the old RAC is turned in at the same time that a new one is purchased. Unlike the retirement-only measure, the savings here are attributed to the customer that owns the retired </w:t>
      </w:r>
      <w:r w:rsidR="001973AE" w:rsidRPr="001570EA">
        <w:t>RAC and</w:t>
      </w:r>
      <w:r w:rsidRPr="001570EA">
        <w:t xml:space="preserve"> are based on the old unit and original unit being of the same size and configuration. In this case, two savings calculations would be needed. One would be applied over the remaining life of the recycled unit, and another would be used for the rest of the effective useful life, as explained below.</w:t>
      </w:r>
    </w:p>
    <w:p w14:paraId="0052C5B5" w14:textId="77777777" w:rsidR="007376E1" w:rsidRPr="001570EA" w:rsidRDefault="007376E1" w:rsidP="007376E1">
      <w:pPr>
        <w:pStyle w:val="BodyText"/>
      </w:pPr>
    </w:p>
    <w:p w14:paraId="02776F19" w14:textId="77777777" w:rsidR="007376E1" w:rsidRPr="001570EA" w:rsidRDefault="007376E1" w:rsidP="007376E1">
      <w:pPr>
        <w:pStyle w:val="BodyText"/>
        <w:spacing w:after="120"/>
        <w:ind w:right="0"/>
        <w:rPr>
          <w:rFonts w:cs="Arial"/>
        </w:rPr>
      </w:pPr>
      <w:r w:rsidRPr="001570EA">
        <w:t xml:space="preserve">For the remaining useful life (RUL) of the existing RAC: The baseline value is the EER of the </w:t>
      </w:r>
      <w:r w:rsidRPr="001570EA">
        <w:rPr>
          <w:rFonts w:cs="Arial"/>
        </w:rPr>
        <w:t>retired unit.</w:t>
      </w:r>
    </w:p>
    <w:p w14:paraId="3AEDCA5B" w14:textId="77777777" w:rsidR="007376E1" w:rsidRPr="001570EA" w:rsidRDefault="007376E1" w:rsidP="007376E1">
      <w:pPr>
        <w:pStyle w:val="BodyText"/>
        <w:spacing w:after="120"/>
        <w:ind w:right="0"/>
        <w:rPr>
          <w:rFonts w:cs="Arial"/>
        </w:rPr>
      </w:pPr>
    </w:p>
    <w:p w14:paraId="4F78D6B8" w14:textId="77777777" w:rsidR="007376E1" w:rsidRPr="001570EA" w:rsidRDefault="007376E1" w:rsidP="007376E1">
      <w:pPr>
        <w:pStyle w:val="BodyText"/>
        <w:spacing w:after="120"/>
        <w:ind w:right="0"/>
        <w:rPr>
          <w:rFonts w:cs="Arial"/>
        </w:rPr>
      </w:pPr>
    </w:p>
    <w:p w14:paraId="69D22A4E" w14:textId="77777777" w:rsidR="007376E1" w:rsidRPr="001570EA" w:rsidRDefault="007376E1" w:rsidP="007376E1">
      <w:pPr>
        <w:pStyle w:val="BodyText"/>
        <w:keepNext/>
        <w:keepLines/>
        <w:rPr>
          <w:noProof/>
        </w:rPr>
      </w:pPr>
      <m:oMathPara>
        <m:oMathParaPr>
          <m:jc m:val="left"/>
        </m:oMathParaPr>
        <m:oMath>
          <m:r>
            <w:rPr>
              <w:rFonts w:ascii="Cambria Math" w:hAnsi="Cambria Math"/>
            </w:rPr>
            <m:t>∆ kWh      =CAPY×</m:t>
          </m:r>
          <m:d>
            <m:dPr>
              <m:ctrlPr>
                <w:rPr>
                  <w:rFonts w:ascii="Cambria Math" w:hAnsi="Cambria Math"/>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EER</m:t>
                      </m:r>
                    </m:e>
                    <m:sub>
                      <m:r>
                        <w:rPr>
                          <w:rFonts w:ascii="Cambria Math" w:hAnsi="Cambria Math"/>
                        </w:rPr>
                        <m:t>RetRAC</m:t>
                      </m:r>
                    </m:sub>
                  </m:sSub>
                </m:den>
              </m:f>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sSub>
                    <m:sSubPr>
                      <m:ctrlPr>
                        <w:rPr>
                          <w:rFonts w:ascii="Cambria Math" w:hAnsi="Cambria Math"/>
                        </w:rPr>
                      </m:ctrlPr>
                    </m:sSubPr>
                    <m:e>
                      <m:r>
                        <w:rPr>
                          <w:rFonts w:ascii="Cambria Math" w:hAnsi="Cambria Math"/>
                        </w:rPr>
                        <m:t>EER</m:t>
                      </m:r>
                    </m:e>
                    <m:sub>
                      <m:r>
                        <w:rPr>
                          <w:rFonts w:ascii="Cambria Math" w:hAnsi="Cambria Math"/>
                        </w:rPr>
                        <m:t>ee</m:t>
                      </m:r>
                    </m:sub>
                  </m:sSub>
                </m:den>
              </m:f>
            </m:e>
          </m:d>
          <m:r>
            <w:rPr>
              <w:rFonts w:ascii="Cambria Math" w:hAnsi="Cambria Math"/>
            </w:rPr>
            <m:t>×</m:t>
          </m:r>
          <m:sSub>
            <m:sSubPr>
              <m:ctrlPr>
                <w:rPr>
                  <w:rFonts w:ascii="Cambria Math" w:hAnsi="Cambria Math"/>
                </w:rPr>
              </m:ctrlPr>
            </m:sSubPr>
            <m:e>
              <m:r>
                <w:rPr>
                  <w:rFonts w:ascii="Cambria Math" w:hAnsi="Cambria Math"/>
                </w:rPr>
                <m:t>EFLH</m:t>
              </m:r>
              <m:ctrlPr>
                <w:rPr>
                  <w:rFonts w:ascii="Cambria Math" w:hAnsi="Cambria Math"/>
                  <w:i/>
                </w:rPr>
              </m:ctrlPr>
            </m:e>
            <m:sub>
              <m:r>
                <w:rPr>
                  <w:rFonts w:ascii="Cambria Math" w:hAnsi="Cambria Math"/>
                </w:rPr>
                <m:t>RAC</m:t>
              </m:r>
            </m:sub>
          </m:sSub>
        </m:oMath>
      </m:oMathPara>
    </w:p>
    <w:p w14:paraId="3EADEDE5" w14:textId="77777777" w:rsidR="007376E1" w:rsidRPr="001570EA" w:rsidRDefault="007376E1" w:rsidP="007376E1">
      <w:pPr>
        <w:pStyle w:val="BodyText"/>
        <w:rPr>
          <w:noProof/>
          <w:vertAlign w:val="subscript"/>
        </w:rPr>
      </w:pPr>
    </w:p>
    <w:p w14:paraId="318C31D3" w14:textId="77777777" w:rsidR="007376E1" w:rsidRPr="001570EA" w:rsidRDefault="007376E1" w:rsidP="007376E1">
      <w:pPr>
        <w:pStyle w:val="Equation"/>
        <w:ind w:left="0" w:firstLine="0"/>
        <w:rPr>
          <w:rFonts w:cs="Arial"/>
          <w:szCs w:val="20"/>
        </w:rPr>
      </w:pPr>
      <m:oMathPara>
        <m:oMath>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kW</m:t>
              </m:r>
              <m:ctrlPr>
                <w:rPr>
                  <w:rFonts w:ascii="Cambria Math" w:eastAsia="Cambria Math" w:hAnsi="Cambria Math" w:cs="Cambria Math"/>
                  <w:i w:val="0"/>
                  <w:szCs w:val="20"/>
                </w:rPr>
              </m:ctrlPr>
            </m:e>
            <m:sub>
              <m:r>
                <w:rPr>
                  <w:rFonts w:ascii="Cambria Math" w:hAnsi="Cambria Math" w:cs="Arial"/>
                  <w:szCs w:val="20"/>
                </w:rPr>
                <m:t>summer peak</m:t>
              </m:r>
            </m:sub>
          </m:sSub>
          <m:r>
            <w:rPr>
              <w:rFonts w:ascii="Cambria Math" w:hAnsi="Cambria Math" w:cs="Arial"/>
              <w:szCs w:val="20"/>
            </w:rPr>
            <m:t xml:space="preserve">   =</m:t>
          </m:r>
          <m:r>
            <w:rPr>
              <w:rFonts w:ascii="Cambria Math" w:hAnsi="Cambria Math"/>
            </w:rPr>
            <m:t>CAPY</m:t>
          </m:r>
          <m:r>
            <w:rPr>
              <w:rFonts w:ascii="Cambria Math" w:hAnsi="Cambria Math" w:cs="Arial"/>
              <w:szCs w:val="20"/>
            </w:rPr>
            <m:t>×</m:t>
          </m:r>
          <m:d>
            <m:dPr>
              <m:ctrlPr>
                <w:rPr>
                  <w:rFonts w:ascii="Cambria Math" w:hAnsi="Cambria Math" w:cs="Arial"/>
                  <w:i w:val="0"/>
                  <w:szCs w:val="20"/>
                </w:rPr>
              </m:ctrlPr>
            </m:dPr>
            <m:e>
              <m:f>
                <m:fPr>
                  <m:ctrlPr>
                    <w:rPr>
                      <w:rFonts w:ascii="Cambria Math" w:hAnsi="Cambria Math" w:cs="Arial"/>
                      <w:i w:val="0"/>
                      <w:szCs w:val="20"/>
                    </w:rPr>
                  </m:ctrlPr>
                </m:fPr>
                <m:num>
                  <m:r>
                    <w:rPr>
                      <w:rFonts w:ascii="Cambria Math" w:hAnsi="Cambria Math" w:cs="Arial"/>
                      <w:szCs w:val="20"/>
                    </w:rPr>
                    <m:t>1</m:t>
                  </m:r>
                </m:num>
                <m:den>
                  <m:sSub>
                    <m:sSubPr>
                      <m:ctrlPr>
                        <w:rPr>
                          <w:rFonts w:ascii="Cambria Math" w:hAnsi="Cambria Math" w:cs="Arial"/>
                          <w:i w:val="0"/>
                          <w:szCs w:val="20"/>
                        </w:rPr>
                      </m:ctrlPr>
                    </m:sSubPr>
                    <m:e>
                      <m:r>
                        <w:rPr>
                          <w:rFonts w:ascii="Cambria Math" w:hAnsi="Cambria Math" w:cs="Arial"/>
                          <w:szCs w:val="20"/>
                        </w:rPr>
                        <m:t>EER</m:t>
                      </m:r>
                    </m:e>
                    <m:sub>
                      <m:r>
                        <w:rPr>
                          <w:rFonts w:ascii="Cambria Math" w:hAnsi="Cambria Math" w:cs="Arial"/>
                          <w:szCs w:val="20"/>
                        </w:rPr>
                        <m:t>RetRAC</m:t>
                      </m:r>
                    </m:sub>
                  </m:sSub>
                </m:den>
              </m:f>
              <m:r>
                <w:rPr>
                  <w:rFonts w:ascii="Cambria Math" w:hAnsi="Cambria Math" w:cs="Arial"/>
                  <w:szCs w:val="20"/>
                </w:rPr>
                <m:t>-</m:t>
              </m:r>
              <m:f>
                <m:fPr>
                  <m:ctrlPr>
                    <w:rPr>
                      <w:rFonts w:ascii="Cambria Math" w:hAnsi="Cambria Math" w:cs="Arial"/>
                      <w:i w:val="0"/>
                      <w:szCs w:val="20"/>
                    </w:rPr>
                  </m:ctrlPr>
                </m:fPr>
                <m:num>
                  <m:r>
                    <w:rPr>
                      <w:rFonts w:ascii="Cambria Math" w:hAnsi="Cambria Math" w:cs="Arial"/>
                      <w:szCs w:val="20"/>
                    </w:rPr>
                    <m:t>1</m:t>
                  </m:r>
                </m:num>
                <m:den>
                  <m:sSub>
                    <m:sSubPr>
                      <m:ctrlPr>
                        <w:rPr>
                          <w:rFonts w:ascii="Cambria Math" w:hAnsi="Cambria Math" w:cs="Arial"/>
                          <w:i w:val="0"/>
                          <w:szCs w:val="20"/>
                        </w:rPr>
                      </m:ctrlPr>
                    </m:sSubPr>
                    <m:e>
                      <m:r>
                        <w:rPr>
                          <w:rFonts w:ascii="Cambria Math" w:hAnsi="Cambria Math" w:cs="Arial"/>
                          <w:szCs w:val="20"/>
                        </w:rPr>
                        <m:t>EER</m:t>
                      </m:r>
                    </m:e>
                    <m:sub>
                      <m:r>
                        <w:rPr>
                          <w:rFonts w:ascii="Cambria Math" w:hAnsi="Cambria Math" w:cs="Arial"/>
                          <w:szCs w:val="20"/>
                        </w:rPr>
                        <m:t>ee</m:t>
                      </m:r>
                    </m:sub>
                  </m:sSub>
                </m:den>
              </m:f>
            </m:e>
          </m:d>
          <m:r>
            <w:rPr>
              <w:rFonts w:ascii="Cambria Math" w:hAnsi="Cambria Math" w:cs="Arial"/>
              <w:szCs w:val="20"/>
            </w:rPr>
            <m:t>×</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m:oMathPara>
    </w:p>
    <w:p w14:paraId="6A603801" w14:textId="77777777" w:rsidR="007376E1" w:rsidRPr="001570EA" w:rsidRDefault="007376E1" w:rsidP="007376E1">
      <w:pPr>
        <w:pStyle w:val="Equation"/>
        <w:ind w:left="0" w:firstLine="0"/>
        <w:rPr>
          <w:rFonts w:cs="Arial"/>
          <w:noProof/>
          <w:szCs w:val="20"/>
        </w:rPr>
      </w:pPr>
    </w:p>
    <w:p w14:paraId="08515BBA" w14:textId="77777777" w:rsidR="007376E1" w:rsidRPr="001570EA" w:rsidRDefault="007376E1" w:rsidP="007376E1">
      <w:pPr>
        <w:rPr>
          <w:rFonts w:eastAsia="Calibri"/>
        </w:rPr>
      </w:pPr>
      <m:oMathPara>
        <m:oMathParaPr>
          <m:jc m:val="left"/>
        </m:oMathParaPr>
        <m:oMath>
          <m:r>
            <m:rPr>
              <m:sty m:val="p"/>
            </m:rPr>
            <w:rPr>
              <w:rFonts w:ascii="Cambria Math" w:hAnsi="Cambria Math"/>
            </w:rPr>
            <m:t>∆</m:t>
          </m:r>
          <m:sSub>
            <m:sSubPr>
              <m:ctrlPr>
                <w:rPr>
                  <w:rFonts w:ascii="Cambria Math" w:hAnsi="Cambria Math"/>
                </w:rPr>
              </m:ctrlPr>
            </m:sSubPr>
            <m:e>
              <m:r>
                <w:rPr>
                  <w:rFonts w:ascii="Cambria Math" w:hAnsi="Cambria Math"/>
                </w:rPr>
                <m:t>kW</m:t>
              </m:r>
            </m:e>
            <m:sub>
              <m:r>
                <w:rPr>
                  <w:rFonts w:ascii="Cambria Math" w:hAnsi="Cambria Math"/>
                </w:rPr>
                <m:t>winter peak</m:t>
              </m:r>
            </m:sub>
          </m:sSub>
          <m:r>
            <m:rPr>
              <m:sty m:val="p"/>
            </m:rPr>
            <w:rPr>
              <w:rFonts w:ascii="Cambria Math" w:hAnsi="Cambria Math"/>
            </w:rPr>
            <m:t xml:space="preserve">   =</m:t>
          </m:r>
          <m:r>
            <m:rPr>
              <m:sty m:val="p"/>
            </m:rPr>
            <w:rPr>
              <w:rFonts w:ascii="Cambria Math" w:eastAsia="Calibri" w:hAnsi="Cambria Math"/>
            </w:rPr>
            <m:t>0</m:t>
          </m:r>
        </m:oMath>
      </m:oMathPara>
    </w:p>
    <w:p w14:paraId="3438AE7C" w14:textId="77777777" w:rsidR="007376E1" w:rsidRPr="001570EA" w:rsidRDefault="007376E1" w:rsidP="007376E1">
      <w:pPr>
        <w:pStyle w:val="Equation"/>
        <w:ind w:left="0" w:firstLine="0"/>
        <w:rPr>
          <w:rFonts w:cs="Arial"/>
          <w:noProof/>
          <w:szCs w:val="20"/>
        </w:rPr>
      </w:pPr>
    </w:p>
    <w:p w14:paraId="7D8AA28F" w14:textId="77777777" w:rsidR="007376E1" w:rsidRPr="001570EA" w:rsidRDefault="007376E1" w:rsidP="007376E1">
      <w:pPr>
        <w:pStyle w:val="Equation"/>
        <w:ind w:left="0" w:firstLine="0"/>
        <w:rPr>
          <w:rFonts w:cs="Arial"/>
          <w:noProof/>
          <w:szCs w:val="20"/>
          <w:vertAlign w:val="subscript"/>
        </w:rPr>
      </w:pPr>
    </w:p>
    <w:p w14:paraId="4A8B4E25" w14:textId="77777777" w:rsidR="007376E1" w:rsidRPr="001570EA" w:rsidRDefault="007376E1" w:rsidP="007376E1">
      <w:pPr>
        <w:pStyle w:val="BodyText"/>
        <w:ind w:right="0"/>
        <w:rPr>
          <w:rFonts w:cs="Arial"/>
        </w:rPr>
      </w:pPr>
      <w:r w:rsidRPr="001570EA">
        <w:rPr>
          <w:b/>
        </w:rPr>
        <w:t>After the RUL for (EUL-RUL) years:</w:t>
      </w:r>
      <w:r w:rsidRPr="001570EA">
        <w:rPr>
          <w:rFonts w:cs="Arial"/>
        </w:rPr>
        <w:t xml:space="preserve"> The baseline EER would revert to the minimum Federal appliance standard CEER. RAC units have a “CEER” rating in addition to an “EER”. CEER is the “Combined Energy Efficiency Ratio”, which incorporates standby power into the calculation. This will be the value used in the </w:t>
      </w:r>
      <m:oMath>
        <m:r>
          <w:rPr>
            <w:rFonts w:ascii="Cambria Math" w:hAnsi="Cambria Math" w:cs="Arial"/>
          </w:rPr>
          <m:t>∆ kWh</m:t>
        </m:r>
      </m:oMath>
      <w:r w:rsidRPr="001570EA">
        <w:rPr>
          <w:rFonts w:cs="Arial"/>
        </w:rPr>
        <w:t xml:space="preserve"> calculation.</w:t>
      </w:r>
    </w:p>
    <w:p w14:paraId="5D41C791" w14:textId="77777777" w:rsidR="007376E1" w:rsidRPr="001570EA" w:rsidRDefault="007376E1" w:rsidP="007376E1">
      <w:pPr>
        <w:pStyle w:val="Equation"/>
        <w:rPr>
          <w:rFonts w:cs="Arial"/>
          <w:noProof/>
          <w:szCs w:val="20"/>
        </w:rPr>
      </w:pPr>
    </w:p>
    <w:p w14:paraId="3F91F59E" w14:textId="77777777" w:rsidR="007376E1" w:rsidRPr="001570EA" w:rsidRDefault="007376E1" w:rsidP="007376E1">
      <w:pPr>
        <w:pStyle w:val="Equation"/>
        <w:ind w:left="0" w:firstLine="0"/>
        <w:rPr>
          <w:rFonts w:cs="Arial"/>
          <w:noProof/>
          <w:szCs w:val="20"/>
        </w:rPr>
      </w:pPr>
      <m:oMathPara>
        <m:oMathParaPr>
          <m:jc m:val="left"/>
        </m:oMathParaPr>
        <m:oMath>
          <m:r>
            <w:rPr>
              <w:rFonts w:ascii="Cambria Math" w:hAnsi="Cambria Math" w:cs="Arial"/>
              <w:szCs w:val="20"/>
            </w:rPr>
            <m:t>∆ kWh       =</m:t>
          </m:r>
          <m:r>
            <w:rPr>
              <w:rFonts w:ascii="Cambria Math" w:hAnsi="Cambria Math"/>
            </w:rPr>
            <m:t>CAPY</m:t>
          </m:r>
          <m:r>
            <w:rPr>
              <w:rFonts w:ascii="Cambria Math" w:hAnsi="Cambria Math" w:cs="Arial"/>
              <w:szCs w:val="20"/>
            </w:rPr>
            <m:t>×</m:t>
          </m:r>
          <m:d>
            <m:dPr>
              <m:ctrlPr>
                <w:rPr>
                  <w:rFonts w:ascii="Cambria Math" w:hAnsi="Cambria Math" w:cs="Arial"/>
                  <w:i w:val="0"/>
                  <w:szCs w:val="20"/>
                </w:rPr>
              </m:ctrlPr>
            </m:dPr>
            <m:e>
              <m:f>
                <m:fPr>
                  <m:ctrlPr>
                    <w:rPr>
                      <w:rFonts w:ascii="Cambria Math" w:hAnsi="Cambria Math" w:cs="Arial"/>
                      <w:i w:val="0"/>
                      <w:szCs w:val="20"/>
                    </w:rPr>
                  </m:ctrlPr>
                </m:fPr>
                <m:num>
                  <m:r>
                    <w:rPr>
                      <w:rFonts w:ascii="Cambria Math" w:hAnsi="Cambria Math" w:cs="Arial"/>
                      <w:szCs w:val="20"/>
                    </w:rPr>
                    <m:t>1</m:t>
                  </m:r>
                </m:num>
                <m:den>
                  <m:sSub>
                    <m:sSubPr>
                      <m:ctrlPr>
                        <w:rPr>
                          <w:rFonts w:ascii="Cambria Math" w:hAnsi="Cambria Math" w:cs="Arial"/>
                          <w:i w:val="0"/>
                          <w:szCs w:val="20"/>
                        </w:rPr>
                      </m:ctrlPr>
                    </m:sSubPr>
                    <m:e>
                      <m:r>
                        <w:rPr>
                          <w:rFonts w:ascii="Cambria Math" w:hAnsi="Cambria Math" w:cs="Arial"/>
                          <w:szCs w:val="20"/>
                        </w:rPr>
                        <m:t>CEER</m:t>
                      </m:r>
                    </m:e>
                    <m:sub>
                      <m:r>
                        <w:rPr>
                          <w:rFonts w:ascii="Cambria Math" w:hAnsi="Cambria Math" w:cs="Arial"/>
                          <w:szCs w:val="20"/>
                        </w:rPr>
                        <m:t>base</m:t>
                      </m:r>
                    </m:sub>
                  </m:sSub>
                </m:den>
              </m:f>
              <m:r>
                <w:rPr>
                  <w:rFonts w:ascii="Cambria Math" w:hAnsi="Cambria Math" w:cs="Arial"/>
                  <w:szCs w:val="20"/>
                </w:rPr>
                <m:t>-</m:t>
              </m:r>
              <m:f>
                <m:fPr>
                  <m:ctrlPr>
                    <w:rPr>
                      <w:rFonts w:ascii="Cambria Math" w:hAnsi="Cambria Math" w:cs="Arial"/>
                      <w:i w:val="0"/>
                      <w:szCs w:val="20"/>
                    </w:rPr>
                  </m:ctrlPr>
                </m:fPr>
                <m:num>
                  <m:r>
                    <w:rPr>
                      <w:rFonts w:ascii="Cambria Math" w:hAnsi="Cambria Math" w:cs="Arial"/>
                      <w:szCs w:val="20"/>
                    </w:rPr>
                    <m:t>1</m:t>
                  </m:r>
                </m:num>
                <m:den>
                  <m:sSub>
                    <m:sSubPr>
                      <m:ctrlPr>
                        <w:rPr>
                          <w:rFonts w:ascii="Cambria Math" w:hAnsi="Cambria Math" w:cs="Arial"/>
                          <w:i w:val="0"/>
                          <w:szCs w:val="20"/>
                        </w:rPr>
                      </m:ctrlPr>
                    </m:sSubPr>
                    <m:e>
                      <m:r>
                        <w:rPr>
                          <w:rFonts w:ascii="Cambria Math" w:hAnsi="Cambria Math" w:cs="Arial"/>
                          <w:szCs w:val="20"/>
                        </w:rPr>
                        <m:t>CEER</m:t>
                      </m:r>
                    </m:e>
                    <m:sub>
                      <m:r>
                        <w:rPr>
                          <w:rFonts w:ascii="Cambria Math" w:hAnsi="Cambria Math" w:cs="Arial"/>
                          <w:szCs w:val="20"/>
                        </w:rPr>
                        <m:t>ee</m:t>
                      </m:r>
                    </m:sub>
                  </m:sSub>
                </m:den>
              </m:f>
            </m:e>
          </m:d>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RAC</m:t>
              </m:r>
            </m:sub>
          </m:sSub>
        </m:oMath>
      </m:oMathPara>
    </w:p>
    <w:p w14:paraId="5D889679" w14:textId="77777777" w:rsidR="007376E1" w:rsidRPr="001570EA" w:rsidRDefault="007376E1" w:rsidP="007376E1">
      <w:pPr>
        <w:pStyle w:val="Equation"/>
        <w:ind w:left="0" w:firstLine="0"/>
        <w:rPr>
          <w:rFonts w:cs="Arial"/>
          <w:noProof/>
          <w:szCs w:val="20"/>
          <w:vertAlign w:val="subscript"/>
        </w:rPr>
      </w:pPr>
    </w:p>
    <w:p w14:paraId="5C018542" w14:textId="77777777" w:rsidR="007376E1" w:rsidRPr="001570EA" w:rsidRDefault="007376E1" w:rsidP="007376E1">
      <m:oMathPara>
        <m:oMath>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kW</m:t>
              </m:r>
              <m:ctrlPr>
                <w:rPr>
                  <w:rFonts w:ascii="Cambria Math" w:eastAsia="Cambria Math" w:hAnsi="Cambria Math" w:cs="Cambria Math"/>
                  <w:szCs w:val="20"/>
                </w:rPr>
              </m:ctrlPr>
            </m:e>
            <m:sub>
              <m:r>
                <w:rPr>
                  <w:rFonts w:ascii="Cambria Math" w:hAnsi="Cambria Math" w:cs="Arial"/>
                  <w:szCs w:val="20"/>
                </w:rPr>
                <m:t>summer peak</m:t>
              </m:r>
            </m:sub>
          </m:sSub>
          <m:r>
            <w:rPr>
              <w:rFonts w:ascii="Cambria Math" w:hAnsi="Cambria Math" w:cs="Arial"/>
              <w:szCs w:val="20"/>
            </w:rPr>
            <m:t xml:space="preserve">   =</m:t>
          </m:r>
          <m:r>
            <w:rPr>
              <w:rFonts w:ascii="Cambria Math" w:hAnsi="Cambria Math"/>
            </w:rPr>
            <m:t>CAPY</m:t>
          </m:r>
          <m:r>
            <w:rPr>
              <w:rFonts w:ascii="Cambria Math" w:hAnsi="Cambria Math" w:cs="Arial"/>
              <w:szCs w:val="20"/>
            </w:rPr>
            <m:t>×</m:t>
          </m:r>
          <m:d>
            <m:dPr>
              <m:ctrlPr>
                <w:rPr>
                  <w:rFonts w:ascii="Cambria Math" w:hAnsi="Cambria Math" w:cs="Arial"/>
                  <w:szCs w:val="20"/>
                </w:rPr>
              </m:ctrlPr>
            </m:dPr>
            <m:e>
              <m:f>
                <m:fPr>
                  <m:ctrlPr>
                    <w:rPr>
                      <w:rFonts w:ascii="Cambria Math" w:hAnsi="Cambria Math" w:cs="Arial"/>
                      <w:szCs w:val="20"/>
                    </w:rPr>
                  </m:ctrlPr>
                </m:fPr>
                <m:num>
                  <m:r>
                    <w:rPr>
                      <w:rFonts w:ascii="Cambria Math" w:hAnsi="Cambria Math" w:cs="Arial"/>
                      <w:szCs w:val="20"/>
                    </w:rPr>
                    <m:t>1</m:t>
                  </m:r>
                </m:num>
                <m:den>
                  <m:sSub>
                    <m:sSubPr>
                      <m:ctrlPr>
                        <w:rPr>
                          <w:rFonts w:ascii="Cambria Math" w:hAnsi="Cambria Math" w:cs="Arial"/>
                          <w:szCs w:val="20"/>
                        </w:rPr>
                      </m:ctrlPr>
                    </m:sSubPr>
                    <m:e>
                      <m:r>
                        <w:rPr>
                          <w:rFonts w:ascii="Cambria Math" w:hAnsi="Cambria Math" w:cs="Arial"/>
                          <w:szCs w:val="20"/>
                        </w:rPr>
                        <m:t>CEER</m:t>
                      </m:r>
                    </m:e>
                    <m:sub>
                      <m:r>
                        <w:rPr>
                          <w:rFonts w:ascii="Cambria Math" w:hAnsi="Cambria Math" w:cs="Arial"/>
                          <w:szCs w:val="20"/>
                        </w:rPr>
                        <m:t>base</m:t>
                      </m:r>
                    </m:sub>
                  </m:sSub>
                </m:den>
              </m:f>
              <m:r>
                <w:rPr>
                  <w:rFonts w:ascii="Cambria Math" w:hAnsi="Cambria Math" w:cs="Arial"/>
                  <w:szCs w:val="20"/>
                </w:rPr>
                <m:t>-</m:t>
              </m:r>
              <m:f>
                <m:fPr>
                  <m:ctrlPr>
                    <w:rPr>
                      <w:rFonts w:ascii="Cambria Math" w:hAnsi="Cambria Math" w:cs="Arial"/>
                      <w:szCs w:val="20"/>
                    </w:rPr>
                  </m:ctrlPr>
                </m:fPr>
                <m:num>
                  <m:r>
                    <w:rPr>
                      <w:rFonts w:ascii="Cambria Math" w:hAnsi="Cambria Math" w:cs="Arial"/>
                      <w:szCs w:val="20"/>
                    </w:rPr>
                    <m:t>1</m:t>
                  </m:r>
                </m:num>
                <m:den>
                  <m:sSub>
                    <m:sSubPr>
                      <m:ctrlPr>
                        <w:rPr>
                          <w:rFonts w:ascii="Cambria Math" w:hAnsi="Cambria Math" w:cs="Arial"/>
                          <w:szCs w:val="20"/>
                        </w:rPr>
                      </m:ctrlPr>
                    </m:sSubPr>
                    <m:e>
                      <m:r>
                        <w:rPr>
                          <w:rFonts w:ascii="Cambria Math" w:hAnsi="Cambria Math" w:cs="Arial"/>
                          <w:szCs w:val="20"/>
                        </w:rPr>
                        <m:t>CEER</m:t>
                      </m:r>
                    </m:e>
                    <m:sub>
                      <m:r>
                        <w:rPr>
                          <w:rFonts w:ascii="Cambria Math" w:hAnsi="Cambria Math" w:cs="Arial"/>
                          <w:szCs w:val="20"/>
                        </w:rPr>
                        <m:t>ee</m:t>
                      </m:r>
                    </m:sub>
                  </m:sSub>
                </m:den>
              </m:f>
            </m:e>
          </m:d>
          <m:r>
            <w:rPr>
              <w:rFonts w:ascii="Cambria Math" w:hAnsi="Cambria Math" w:cs="Arial"/>
              <w:szCs w:val="20"/>
            </w:rPr>
            <m:t>×</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m:oMathPara>
    </w:p>
    <w:p w14:paraId="416224FF" w14:textId="77777777" w:rsidR="007376E1" w:rsidRPr="001570EA" w:rsidRDefault="007376E1" w:rsidP="007376E1"/>
    <w:p w14:paraId="6D321351" w14:textId="77777777" w:rsidR="007376E1" w:rsidRPr="001570EA" w:rsidRDefault="007376E1" w:rsidP="007376E1">
      <w:pPr>
        <w:rPr>
          <w:rFonts w:eastAsia="Calibri"/>
        </w:rPr>
      </w:pPr>
      <m:oMathPara>
        <m:oMathParaPr>
          <m:jc m:val="left"/>
        </m:oMathParaPr>
        <m:oMath>
          <m:r>
            <m:rPr>
              <m:sty m:val="p"/>
            </m:rPr>
            <w:rPr>
              <w:rFonts w:ascii="Cambria Math" w:hAnsi="Cambria Math"/>
            </w:rPr>
            <m:t>∆</m:t>
          </m:r>
          <m:sSub>
            <m:sSubPr>
              <m:ctrlPr>
                <w:rPr>
                  <w:rFonts w:ascii="Cambria Math" w:hAnsi="Cambria Math"/>
                </w:rPr>
              </m:ctrlPr>
            </m:sSubPr>
            <m:e>
              <m:r>
                <w:rPr>
                  <w:rFonts w:ascii="Cambria Math" w:hAnsi="Cambria Math"/>
                </w:rPr>
                <m:t>kW</m:t>
              </m:r>
            </m:e>
            <m:sub>
              <m:r>
                <w:rPr>
                  <w:rFonts w:ascii="Cambria Math" w:hAnsi="Cambria Math"/>
                </w:rPr>
                <m:t>winter peak</m:t>
              </m:r>
            </m:sub>
          </m:sSub>
          <m:r>
            <m:rPr>
              <m:sty m:val="p"/>
            </m:rPr>
            <w:rPr>
              <w:rFonts w:ascii="Cambria Math" w:hAnsi="Cambria Math"/>
            </w:rPr>
            <m:t xml:space="preserve">   =</m:t>
          </m:r>
          <m:r>
            <m:rPr>
              <m:sty m:val="p"/>
            </m:rPr>
            <w:rPr>
              <w:rFonts w:ascii="Cambria Math" w:eastAsia="Calibri" w:hAnsi="Cambria Math"/>
            </w:rPr>
            <m:t>0</m:t>
          </m:r>
        </m:oMath>
      </m:oMathPara>
    </w:p>
    <w:p w14:paraId="351BEB9C" w14:textId="77777777" w:rsidR="007376E1" w:rsidRPr="001570EA" w:rsidRDefault="007376E1" w:rsidP="007376E1"/>
    <w:p w14:paraId="0B2A89C8" w14:textId="77777777" w:rsidR="007376E1" w:rsidRPr="001570EA" w:rsidRDefault="007376E1" w:rsidP="007376E1">
      <w:pPr>
        <w:pStyle w:val="SubStyle"/>
      </w:pPr>
      <w:r w:rsidRPr="001570EA">
        <w:t>Definition of Terms</w:t>
      </w:r>
    </w:p>
    <w:p w14:paraId="79F4636B" w14:textId="4B739DB8" w:rsidR="007376E1" w:rsidRPr="001570EA" w:rsidRDefault="00540B03" w:rsidP="00597241">
      <w:pPr>
        <w:pStyle w:val="Caption"/>
        <w:keepNext w:val="0"/>
        <w:widowControl w:val="0"/>
      </w:pPr>
      <w:bookmarkStart w:id="264" w:name="_Toc47598273"/>
      <w:bookmarkStart w:id="265" w:name="_Toc373320183"/>
      <w:bookmarkStart w:id="266" w:name="_Toc364420885"/>
      <w:bookmarkStart w:id="267" w:name="_Toc364760653"/>
      <w:bookmarkStart w:id="268" w:name="_Toc377465475"/>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33</w:t>
      </w:r>
      <w:r w:rsidR="002E093A" w:rsidRPr="001570EA">
        <w:fldChar w:fldCharType="end"/>
      </w:r>
      <w:r w:rsidRPr="001570EA">
        <w:t>: Terms, Values, and References for Room AC Retirement</w:t>
      </w:r>
      <w:bookmarkEnd w:id="264"/>
      <w:bookmarkEnd w:id="265"/>
      <w:bookmarkEnd w:id="266"/>
      <w:bookmarkEnd w:id="267"/>
      <w:bookmarkEnd w:id="268"/>
    </w:p>
    <w:tbl>
      <w:tblPr>
        <w:tblW w:w="49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72"/>
        <w:gridCol w:w="1147"/>
        <w:gridCol w:w="1836"/>
        <w:gridCol w:w="1051"/>
      </w:tblGrid>
      <w:tr w:rsidR="007376E1" w:rsidRPr="001570EA" w14:paraId="110C25CF" w14:textId="77777777">
        <w:trPr>
          <w:trHeight w:val="317"/>
        </w:trPr>
        <w:tc>
          <w:tcPr>
            <w:tcW w:w="2629" w:type="pct"/>
            <w:shd w:val="clear" w:color="auto" w:fill="BFBFBF" w:themeFill="background1" w:themeFillShade="BF"/>
          </w:tcPr>
          <w:p w14:paraId="2F96EEB1" w14:textId="77777777" w:rsidR="007376E1" w:rsidRPr="001570EA" w:rsidRDefault="007376E1" w:rsidP="00597241">
            <w:pPr>
              <w:pStyle w:val="TableCell"/>
              <w:keepNext w:val="0"/>
              <w:widowControl w:val="0"/>
              <w:spacing w:before="60" w:after="60"/>
              <w:jc w:val="left"/>
              <w:rPr>
                <w:b/>
              </w:rPr>
            </w:pPr>
            <w:r w:rsidRPr="001570EA">
              <w:rPr>
                <w:b/>
              </w:rPr>
              <w:t>Term</w:t>
            </w:r>
          </w:p>
        </w:tc>
        <w:tc>
          <w:tcPr>
            <w:tcW w:w="674" w:type="pct"/>
            <w:shd w:val="clear" w:color="auto" w:fill="BFBFBF" w:themeFill="background1" w:themeFillShade="BF"/>
          </w:tcPr>
          <w:p w14:paraId="4C4FC8A7" w14:textId="77777777" w:rsidR="007376E1" w:rsidRPr="001570EA" w:rsidRDefault="007376E1" w:rsidP="00597241">
            <w:pPr>
              <w:pStyle w:val="TableCell"/>
              <w:keepNext w:val="0"/>
              <w:widowControl w:val="0"/>
              <w:spacing w:before="60" w:after="60"/>
              <w:jc w:val="center"/>
              <w:rPr>
                <w:b/>
              </w:rPr>
            </w:pPr>
            <w:r w:rsidRPr="001570EA">
              <w:rPr>
                <w:b/>
              </w:rPr>
              <w:t>Unit</w:t>
            </w:r>
          </w:p>
        </w:tc>
        <w:tc>
          <w:tcPr>
            <w:tcW w:w="1079" w:type="pct"/>
            <w:shd w:val="clear" w:color="auto" w:fill="BFBFBF" w:themeFill="background1" w:themeFillShade="BF"/>
          </w:tcPr>
          <w:p w14:paraId="2BD18C08" w14:textId="77777777" w:rsidR="007376E1" w:rsidRPr="001570EA" w:rsidRDefault="007376E1" w:rsidP="00597241">
            <w:pPr>
              <w:pStyle w:val="TableCell"/>
              <w:keepNext w:val="0"/>
              <w:widowControl w:val="0"/>
              <w:spacing w:before="60" w:after="60"/>
              <w:jc w:val="center"/>
              <w:rPr>
                <w:b/>
              </w:rPr>
            </w:pPr>
            <w:r w:rsidRPr="001570EA">
              <w:rPr>
                <w:b/>
              </w:rPr>
              <w:t>Value</w:t>
            </w:r>
          </w:p>
        </w:tc>
        <w:tc>
          <w:tcPr>
            <w:tcW w:w="618" w:type="pct"/>
            <w:shd w:val="clear" w:color="auto" w:fill="BFBFBF" w:themeFill="background1" w:themeFillShade="BF"/>
          </w:tcPr>
          <w:p w14:paraId="20F5CED3" w14:textId="77777777" w:rsidR="007376E1" w:rsidRPr="001570EA" w:rsidRDefault="007376E1" w:rsidP="00597241">
            <w:pPr>
              <w:pStyle w:val="TableCell"/>
              <w:keepNext w:val="0"/>
              <w:widowControl w:val="0"/>
              <w:spacing w:before="60" w:after="60"/>
              <w:jc w:val="center"/>
              <w:rPr>
                <w:b/>
              </w:rPr>
            </w:pPr>
            <w:r w:rsidRPr="001570EA">
              <w:rPr>
                <w:b/>
              </w:rPr>
              <w:t>Sources</w:t>
            </w:r>
          </w:p>
        </w:tc>
      </w:tr>
      <w:tr w:rsidR="007376E1" w:rsidRPr="001570EA" w14:paraId="76241D53" w14:textId="77777777">
        <w:trPr>
          <w:trHeight w:val="398"/>
        </w:trPr>
        <w:tc>
          <w:tcPr>
            <w:tcW w:w="2629" w:type="pct"/>
            <w:vMerge w:val="restart"/>
          </w:tcPr>
          <w:p w14:paraId="1A132FAC" w14:textId="3BA00800" w:rsidR="007376E1" w:rsidRPr="001570EA" w:rsidRDefault="007376E1" w:rsidP="00597241">
            <w:pPr>
              <w:pStyle w:val="FootnoteText"/>
              <w:widowControl w:val="0"/>
              <w:tabs>
                <w:tab w:val="left" w:pos="720"/>
              </w:tabs>
              <w:spacing w:before="60" w:after="60"/>
              <w:jc w:val="left"/>
              <w:rPr>
                <w:szCs w:val="18"/>
              </w:rPr>
            </w:pPr>
            <w:r w:rsidRPr="001570EA">
              <w:rPr>
                <w:i/>
                <w:szCs w:val="18"/>
              </w:rPr>
              <w:t>CAPY</w:t>
            </w:r>
            <w:r w:rsidRPr="001570EA">
              <w:rPr>
                <w:szCs w:val="18"/>
              </w:rPr>
              <w:t xml:space="preserve">, </w:t>
            </w:r>
            <w:r w:rsidRPr="001570EA">
              <w:rPr>
                <w:rFonts w:cs="Arial"/>
                <w:szCs w:val="18"/>
              </w:rPr>
              <w:t>Rated cooling capacity (size) of the RAC unit.</w:t>
            </w:r>
          </w:p>
        </w:tc>
        <w:tc>
          <w:tcPr>
            <w:tcW w:w="674" w:type="pct"/>
            <w:vMerge w:val="restart"/>
            <w:vAlign w:val="center"/>
          </w:tcPr>
          <w:p w14:paraId="6D18992C" w14:textId="77777777" w:rsidR="007376E1" w:rsidRPr="001570EA" w:rsidRDefault="003B5E04" w:rsidP="00597241">
            <w:pPr>
              <w:pStyle w:val="TableCell"/>
              <w:keepNext w:val="0"/>
              <w:widowControl w:val="0"/>
              <w:spacing w:before="60" w:after="60"/>
              <w:jc w:val="center"/>
              <w:rPr>
                <w:i/>
                <w:szCs w:val="18"/>
              </w:rPr>
            </w:pPr>
            <m:oMathPara>
              <m:oMath>
                <m:f>
                  <m:fPr>
                    <m:ctrlPr>
                      <w:rPr>
                        <w:rFonts w:ascii="Cambria Math" w:hAnsi="Cambria Math"/>
                        <w:i/>
                        <w:szCs w:val="18"/>
                      </w:rPr>
                    </m:ctrlPr>
                  </m:fPr>
                  <m:num>
                    <m:r>
                      <w:rPr>
                        <w:rFonts w:ascii="Cambria Math" w:hAnsi="Cambria Math"/>
                        <w:szCs w:val="18"/>
                      </w:rPr>
                      <m:t>kBTU</m:t>
                    </m:r>
                  </m:num>
                  <m:den>
                    <m:r>
                      <w:rPr>
                        <w:rFonts w:ascii="Cambria Math" w:hAnsi="Cambria Math"/>
                        <w:szCs w:val="18"/>
                      </w:rPr>
                      <m:t>h</m:t>
                    </m:r>
                  </m:den>
                </m:f>
              </m:oMath>
            </m:oMathPara>
          </w:p>
        </w:tc>
        <w:tc>
          <w:tcPr>
            <w:tcW w:w="1079" w:type="pct"/>
            <w:vAlign w:val="center"/>
          </w:tcPr>
          <w:p w14:paraId="63B915F5" w14:textId="77777777" w:rsidR="007376E1" w:rsidRPr="001570EA" w:rsidRDefault="007376E1" w:rsidP="00597241">
            <w:pPr>
              <w:pStyle w:val="TableCell"/>
              <w:keepNext w:val="0"/>
              <w:widowControl w:val="0"/>
              <w:spacing w:before="60" w:after="60"/>
              <w:jc w:val="center"/>
              <w:rPr>
                <w:szCs w:val="18"/>
              </w:rPr>
            </w:pPr>
            <w:r w:rsidRPr="001570EA">
              <w:rPr>
                <w:szCs w:val="18"/>
              </w:rPr>
              <w:t>EDC Data Gathering</w:t>
            </w:r>
          </w:p>
        </w:tc>
        <w:tc>
          <w:tcPr>
            <w:tcW w:w="618" w:type="pct"/>
          </w:tcPr>
          <w:p w14:paraId="4E8C4446" w14:textId="77777777" w:rsidR="007376E1" w:rsidRPr="001570EA" w:rsidRDefault="007376E1" w:rsidP="00597241">
            <w:pPr>
              <w:pStyle w:val="TableCell"/>
              <w:keepNext w:val="0"/>
              <w:widowControl w:val="0"/>
              <w:spacing w:before="60" w:after="60"/>
              <w:jc w:val="center"/>
              <w:rPr>
                <w:szCs w:val="18"/>
              </w:rPr>
            </w:pPr>
            <w:r w:rsidRPr="001570EA">
              <w:rPr>
                <w:szCs w:val="18"/>
              </w:rPr>
              <w:t>EDC Data Gathering</w:t>
            </w:r>
          </w:p>
        </w:tc>
      </w:tr>
      <w:tr w:rsidR="007376E1" w:rsidRPr="001570EA" w14:paraId="0E785C9E" w14:textId="77777777">
        <w:trPr>
          <w:trHeight w:val="397"/>
        </w:trPr>
        <w:tc>
          <w:tcPr>
            <w:tcW w:w="2629" w:type="pct"/>
            <w:vMerge/>
          </w:tcPr>
          <w:p w14:paraId="6285E892" w14:textId="77777777" w:rsidR="007376E1" w:rsidRPr="001570EA" w:rsidRDefault="007376E1" w:rsidP="00597241">
            <w:pPr>
              <w:pStyle w:val="FootnoteText"/>
              <w:widowControl w:val="0"/>
              <w:tabs>
                <w:tab w:val="left" w:pos="720"/>
              </w:tabs>
              <w:spacing w:before="60" w:after="60"/>
              <w:jc w:val="left"/>
              <w:rPr>
                <w:i/>
                <w:szCs w:val="18"/>
              </w:rPr>
            </w:pPr>
          </w:p>
        </w:tc>
        <w:tc>
          <w:tcPr>
            <w:tcW w:w="674" w:type="pct"/>
            <w:vMerge/>
          </w:tcPr>
          <w:p w14:paraId="463806C6" w14:textId="77777777" w:rsidR="007376E1" w:rsidRPr="001570EA" w:rsidRDefault="007376E1" w:rsidP="00597241">
            <w:pPr>
              <w:pStyle w:val="TableCell"/>
              <w:keepNext w:val="0"/>
              <w:widowControl w:val="0"/>
              <w:spacing w:before="60" w:after="60"/>
              <w:rPr>
                <w:rFonts w:ascii="Arial Narrow" w:hAnsi="Arial Narrow"/>
                <w:szCs w:val="18"/>
              </w:rPr>
            </w:pPr>
          </w:p>
        </w:tc>
        <w:tc>
          <w:tcPr>
            <w:tcW w:w="1079" w:type="pct"/>
            <w:vAlign w:val="center"/>
          </w:tcPr>
          <w:p w14:paraId="6E68BCAF" w14:textId="77777777" w:rsidR="007376E1" w:rsidRPr="001570EA" w:rsidRDefault="007376E1" w:rsidP="00597241">
            <w:pPr>
              <w:pStyle w:val="TableCell"/>
              <w:keepNext w:val="0"/>
              <w:widowControl w:val="0"/>
              <w:spacing w:before="60" w:after="60"/>
              <w:jc w:val="center"/>
              <w:rPr>
                <w:szCs w:val="18"/>
              </w:rPr>
            </w:pPr>
            <w:r w:rsidRPr="001570EA">
              <w:rPr>
                <w:szCs w:val="18"/>
              </w:rPr>
              <w:t>Default: 7.2</w:t>
            </w:r>
          </w:p>
        </w:tc>
        <w:tc>
          <w:tcPr>
            <w:tcW w:w="618" w:type="pct"/>
          </w:tcPr>
          <w:p w14:paraId="431B6ED9" w14:textId="77777777" w:rsidR="007376E1" w:rsidRPr="001570EA" w:rsidRDefault="007376E1" w:rsidP="00597241">
            <w:pPr>
              <w:pStyle w:val="TableCell"/>
              <w:keepNext w:val="0"/>
              <w:widowControl w:val="0"/>
              <w:spacing w:before="60" w:after="60"/>
              <w:jc w:val="center"/>
              <w:rPr>
                <w:szCs w:val="18"/>
              </w:rPr>
            </w:pPr>
            <w:r w:rsidRPr="001570EA">
              <w:rPr>
                <w:szCs w:val="18"/>
              </w:rPr>
              <w:t>2</w:t>
            </w:r>
          </w:p>
        </w:tc>
      </w:tr>
      <w:tr w:rsidR="007376E1" w:rsidRPr="001570EA" w14:paraId="54305C52" w14:textId="77777777">
        <w:trPr>
          <w:trHeight w:val="398"/>
        </w:trPr>
        <w:tc>
          <w:tcPr>
            <w:tcW w:w="2629" w:type="pct"/>
            <w:vMerge w:val="restart"/>
          </w:tcPr>
          <w:p w14:paraId="3A85CE73" w14:textId="055FB70E" w:rsidR="007376E1" w:rsidRPr="001570EA" w:rsidRDefault="007376E1" w:rsidP="00597241">
            <w:pPr>
              <w:pStyle w:val="FootnoteText"/>
              <w:widowControl w:val="0"/>
              <w:tabs>
                <w:tab w:val="left" w:pos="720"/>
              </w:tabs>
              <w:spacing w:before="60" w:after="60"/>
              <w:jc w:val="left"/>
              <w:rPr>
                <w:szCs w:val="18"/>
              </w:rPr>
            </w:pPr>
            <w:r w:rsidRPr="001570EA">
              <w:rPr>
                <w:i/>
                <w:szCs w:val="18"/>
              </w:rPr>
              <w:t>EER</w:t>
            </w:r>
            <w:r w:rsidRPr="001570EA">
              <w:rPr>
                <w:i/>
                <w:szCs w:val="18"/>
                <w:vertAlign w:val="subscript"/>
              </w:rPr>
              <w:t>RetRAC</w:t>
            </w:r>
            <w:r w:rsidRPr="001570EA">
              <w:rPr>
                <w:szCs w:val="18"/>
              </w:rPr>
              <w:t xml:space="preserve">, </w:t>
            </w:r>
            <w:r w:rsidRPr="001570EA">
              <w:rPr>
                <w:rFonts w:cs="Arial"/>
                <w:szCs w:val="18"/>
              </w:rPr>
              <w:t>The Energy Efficiency Ratio of the unit being retired-recycled</w:t>
            </w:r>
          </w:p>
        </w:tc>
        <w:tc>
          <w:tcPr>
            <w:tcW w:w="674" w:type="pct"/>
            <w:vMerge w:val="restart"/>
            <w:vAlign w:val="center"/>
          </w:tcPr>
          <w:p w14:paraId="3A4DDC55" w14:textId="77777777" w:rsidR="007376E1" w:rsidRPr="001570EA" w:rsidRDefault="003B5E04" w:rsidP="00597241">
            <w:pPr>
              <w:pStyle w:val="TableCell"/>
              <w:keepNext w:val="0"/>
              <w:widowControl w:val="0"/>
              <w:spacing w:before="60" w:after="60"/>
              <w:jc w:val="center"/>
              <w:rPr>
                <w:szCs w:val="18"/>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079" w:type="pct"/>
            <w:vAlign w:val="center"/>
          </w:tcPr>
          <w:p w14:paraId="580A7874" w14:textId="77777777" w:rsidR="007376E1" w:rsidRPr="001570EA" w:rsidRDefault="007376E1" w:rsidP="00597241">
            <w:pPr>
              <w:pStyle w:val="TableCell"/>
              <w:keepNext w:val="0"/>
              <w:widowControl w:val="0"/>
              <w:spacing w:before="60" w:after="60"/>
              <w:jc w:val="center"/>
              <w:rPr>
                <w:szCs w:val="18"/>
              </w:rPr>
            </w:pPr>
            <w:r w:rsidRPr="001570EA">
              <w:rPr>
                <w:szCs w:val="18"/>
              </w:rPr>
              <w:t>EDC Data Gathering</w:t>
            </w:r>
          </w:p>
        </w:tc>
        <w:tc>
          <w:tcPr>
            <w:tcW w:w="618" w:type="pct"/>
          </w:tcPr>
          <w:p w14:paraId="24BBD03C" w14:textId="77777777" w:rsidR="007376E1" w:rsidRPr="001570EA" w:rsidRDefault="007376E1" w:rsidP="00597241">
            <w:pPr>
              <w:pStyle w:val="TableCell"/>
              <w:keepNext w:val="0"/>
              <w:widowControl w:val="0"/>
              <w:spacing w:before="60" w:after="60"/>
              <w:jc w:val="center"/>
              <w:rPr>
                <w:szCs w:val="18"/>
              </w:rPr>
            </w:pPr>
            <w:r w:rsidRPr="001570EA">
              <w:rPr>
                <w:szCs w:val="18"/>
              </w:rPr>
              <w:t>EDC Data Gathering</w:t>
            </w:r>
          </w:p>
        </w:tc>
      </w:tr>
      <w:tr w:rsidR="007376E1" w:rsidRPr="001570EA" w14:paraId="79C02408" w14:textId="77777777">
        <w:trPr>
          <w:trHeight w:val="397"/>
        </w:trPr>
        <w:tc>
          <w:tcPr>
            <w:tcW w:w="2629" w:type="pct"/>
            <w:vMerge/>
          </w:tcPr>
          <w:p w14:paraId="5E529D6A" w14:textId="77777777" w:rsidR="007376E1" w:rsidRPr="001570EA" w:rsidRDefault="007376E1" w:rsidP="00597241">
            <w:pPr>
              <w:pStyle w:val="FootnoteText"/>
              <w:widowControl w:val="0"/>
              <w:tabs>
                <w:tab w:val="left" w:pos="720"/>
              </w:tabs>
              <w:spacing w:before="60" w:after="60"/>
              <w:jc w:val="left"/>
              <w:rPr>
                <w:i/>
                <w:szCs w:val="18"/>
              </w:rPr>
            </w:pPr>
          </w:p>
        </w:tc>
        <w:tc>
          <w:tcPr>
            <w:tcW w:w="674" w:type="pct"/>
            <w:vMerge/>
            <w:vAlign w:val="center"/>
          </w:tcPr>
          <w:p w14:paraId="226DCD5E" w14:textId="77777777" w:rsidR="007376E1" w:rsidRPr="001570EA" w:rsidRDefault="007376E1" w:rsidP="00597241">
            <w:pPr>
              <w:pStyle w:val="TableCell"/>
              <w:keepNext w:val="0"/>
              <w:widowControl w:val="0"/>
              <w:spacing w:before="60" w:after="60"/>
              <w:jc w:val="center"/>
              <w:rPr>
                <w:rFonts w:ascii="Arial Narrow" w:hAnsi="Arial Narrow"/>
                <w:szCs w:val="18"/>
              </w:rPr>
            </w:pPr>
          </w:p>
        </w:tc>
        <w:tc>
          <w:tcPr>
            <w:tcW w:w="1079" w:type="pct"/>
            <w:vAlign w:val="center"/>
          </w:tcPr>
          <w:p w14:paraId="696C4B2A" w14:textId="4B90435C" w:rsidR="007376E1" w:rsidRPr="001570EA" w:rsidRDefault="007376E1" w:rsidP="00597241">
            <w:pPr>
              <w:pStyle w:val="TableCell"/>
              <w:keepNext w:val="0"/>
              <w:widowControl w:val="0"/>
              <w:spacing w:before="60" w:after="60"/>
              <w:jc w:val="center"/>
              <w:rPr>
                <w:szCs w:val="18"/>
              </w:rPr>
            </w:pPr>
            <w:r w:rsidRPr="001570EA">
              <w:rPr>
                <w:szCs w:val="18"/>
              </w:rPr>
              <w:t>Default: 9.8</w:t>
            </w:r>
          </w:p>
        </w:tc>
        <w:tc>
          <w:tcPr>
            <w:tcW w:w="618" w:type="pct"/>
          </w:tcPr>
          <w:p w14:paraId="7A8C770D" w14:textId="77777777" w:rsidR="007376E1" w:rsidRPr="001570EA" w:rsidRDefault="007376E1" w:rsidP="00597241">
            <w:pPr>
              <w:pStyle w:val="TableCell"/>
              <w:keepNext w:val="0"/>
              <w:widowControl w:val="0"/>
              <w:spacing w:before="60" w:after="60"/>
              <w:jc w:val="center"/>
              <w:rPr>
                <w:szCs w:val="18"/>
              </w:rPr>
            </w:pPr>
            <w:r w:rsidRPr="001570EA">
              <w:rPr>
                <w:szCs w:val="18"/>
              </w:rPr>
              <w:t>2</w:t>
            </w:r>
          </w:p>
        </w:tc>
      </w:tr>
      <w:tr w:rsidR="007376E1" w:rsidRPr="001570EA" w14:paraId="4F492D56" w14:textId="77777777">
        <w:trPr>
          <w:trHeight w:val="317"/>
        </w:trPr>
        <w:tc>
          <w:tcPr>
            <w:tcW w:w="2629" w:type="pct"/>
          </w:tcPr>
          <w:p w14:paraId="5B333FEA" w14:textId="77777777" w:rsidR="007376E1" w:rsidRPr="001570EA" w:rsidRDefault="007376E1" w:rsidP="00597241">
            <w:pPr>
              <w:pStyle w:val="FootnoteText"/>
              <w:widowControl w:val="0"/>
              <w:tabs>
                <w:tab w:val="left" w:pos="720"/>
              </w:tabs>
              <w:spacing w:before="60" w:after="60"/>
              <w:jc w:val="left"/>
              <w:rPr>
                <w:i/>
                <w:szCs w:val="18"/>
              </w:rPr>
            </w:pPr>
            <w:r w:rsidRPr="001570EA">
              <w:rPr>
                <w:i/>
                <w:szCs w:val="18"/>
              </w:rPr>
              <w:t>EFLH</w:t>
            </w:r>
            <w:r w:rsidRPr="001570EA">
              <w:rPr>
                <w:i/>
                <w:szCs w:val="18"/>
                <w:vertAlign w:val="subscript"/>
              </w:rPr>
              <w:t>RAC</w:t>
            </w:r>
            <w:r w:rsidRPr="001570EA">
              <w:rPr>
                <w:szCs w:val="18"/>
                <w:vertAlign w:val="subscript"/>
              </w:rPr>
              <w:t xml:space="preserve"> , </w:t>
            </w:r>
            <w:r w:rsidRPr="001570EA">
              <w:rPr>
                <w:rFonts w:cs="Arial"/>
                <w:szCs w:val="18"/>
              </w:rPr>
              <w:t>Equivalent Full Load Hours of operation for the installed measure.  In actuality, the number of hours and time of operation can vary drastically depending on the RAC location (living room, bedroom, home office, etc.).</w:t>
            </w:r>
          </w:p>
        </w:tc>
        <w:tc>
          <w:tcPr>
            <w:tcW w:w="674" w:type="pct"/>
            <w:vAlign w:val="center"/>
          </w:tcPr>
          <w:p w14:paraId="5827DB55" w14:textId="77777777" w:rsidR="007376E1" w:rsidRPr="001570EA" w:rsidRDefault="003B5E04" w:rsidP="00597241">
            <w:pPr>
              <w:pStyle w:val="TableCell"/>
              <w:keepNext w:val="0"/>
              <w:widowControl w:val="0"/>
              <w:spacing w:before="60" w:after="60"/>
              <w:jc w:val="center"/>
              <w:rPr>
                <w:rFonts w:ascii="Arial Narrow" w:hAnsi="Arial Narrow"/>
                <w:szCs w:val="18"/>
              </w:rPr>
            </w:pPr>
            <m:oMathPara>
              <m:oMath>
                <m:f>
                  <m:fPr>
                    <m:ctrlPr>
                      <w:rPr>
                        <w:rFonts w:ascii="Cambria Math" w:hAnsi="Cambria Math"/>
                        <w:i/>
                        <w:szCs w:val="18"/>
                      </w:rPr>
                    </m:ctrlPr>
                  </m:fPr>
                  <m:num>
                    <m:r>
                      <w:rPr>
                        <w:rFonts w:ascii="Cambria Math" w:hAnsi="Cambria Math"/>
                        <w:szCs w:val="18"/>
                      </w:rPr>
                      <m:t xml:space="preserve">hours </m:t>
                    </m:r>
                  </m:num>
                  <m:den>
                    <m:r>
                      <w:rPr>
                        <w:rFonts w:ascii="Cambria Math" w:hAnsi="Cambria Math"/>
                        <w:szCs w:val="18"/>
                      </w:rPr>
                      <m:t>yr</m:t>
                    </m:r>
                  </m:den>
                </m:f>
              </m:oMath>
            </m:oMathPara>
          </w:p>
        </w:tc>
        <w:tc>
          <w:tcPr>
            <w:tcW w:w="1079" w:type="pct"/>
            <w:vAlign w:val="center"/>
          </w:tcPr>
          <w:p w14:paraId="0C16383B" w14:textId="77777777" w:rsidR="007376E1" w:rsidRPr="001570EA" w:rsidRDefault="007376E1" w:rsidP="00597241">
            <w:pPr>
              <w:pStyle w:val="TableCell"/>
              <w:keepNext w:val="0"/>
              <w:widowControl w:val="0"/>
              <w:spacing w:before="60" w:after="60"/>
              <w:jc w:val="center"/>
              <w:rPr>
                <w:szCs w:val="18"/>
              </w:rPr>
            </w:pPr>
            <w:r w:rsidRPr="001570EA">
              <w:t xml:space="preserve">See </w:t>
            </w:r>
            <w:r w:rsidRPr="001570EA">
              <w:rPr>
                <w:i/>
              </w:rPr>
              <w:t>EFLH</w:t>
            </w:r>
            <w:r w:rsidRPr="001570EA">
              <w:rPr>
                <w:i/>
                <w:vertAlign w:val="subscript"/>
              </w:rPr>
              <w:t>RAC</w:t>
            </w:r>
            <w:r w:rsidRPr="001570EA">
              <w:t xml:space="preserve"> in Vol. 1, App. A</w:t>
            </w:r>
          </w:p>
        </w:tc>
        <w:tc>
          <w:tcPr>
            <w:tcW w:w="618" w:type="pct"/>
          </w:tcPr>
          <w:p w14:paraId="4B77D592" w14:textId="77777777" w:rsidR="007376E1" w:rsidRPr="001570EA" w:rsidRDefault="007376E1" w:rsidP="00597241">
            <w:pPr>
              <w:pStyle w:val="TableCell"/>
              <w:keepNext w:val="0"/>
              <w:widowControl w:val="0"/>
              <w:spacing w:before="60" w:after="60"/>
              <w:jc w:val="center"/>
              <w:rPr>
                <w:szCs w:val="18"/>
              </w:rPr>
            </w:pPr>
            <w:r w:rsidRPr="001570EA">
              <w:rPr>
                <w:szCs w:val="18"/>
              </w:rPr>
              <w:t>3</w:t>
            </w:r>
          </w:p>
        </w:tc>
      </w:tr>
      <w:tr w:rsidR="007376E1" w:rsidRPr="001570EA" w14:paraId="6D84E581" w14:textId="77777777">
        <w:trPr>
          <w:trHeight w:val="317"/>
        </w:trPr>
        <w:tc>
          <w:tcPr>
            <w:tcW w:w="2629" w:type="pct"/>
            <w:vAlign w:val="center"/>
          </w:tcPr>
          <w:p w14:paraId="455D1A47" w14:textId="43FE3966" w:rsidR="007376E1" w:rsidRPr="001570EA" w:rsidRDefault="003B5E04" w:rsidP="00597241">
            <w:pPr>
              <w:pStyle w:val="FootnoteText"/>
              <w:widowControl w:val="0"/>
              <w:tabs>
                <w:tab w:val="left" w:pos="720"/>
              </w:tabs>
              <w:spacing w:before="60" w:after="60"/>
              <w:jc w:val="left"/>
              <w:rPr>
                <w:i/>
                <w:szCs w:val="18"/>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r w:rsidR="007376E1" w:rsidRPr="001570EA">
              <w:rPr>
                <w:szCs w:val="18"/>
              </w:rPr>
              <w:t>, Demand Coincidence Factor during the summer months</w:t>
            </w:r>
          </w:p>
        </w:tc>
        <w:tc>
          <w:tcPr>
            <w:tcW w:w="674" w:type="pct"/>
            <w:vAlign w:val="center"/>
          </w:tcPr>
          <w:p w14:paraId="1FC5EE10" w14:textId="77777777" w:rsidR="007376E1" w:rsidRPr="001570EA" w:rsidRDefault="007376E1" w:rsidP="00597241">
            <w:pPr>
              <w:pStyle w:val="TableCell"/>
              <w:keepNext w:val="0"/>
              <w:widowControl w:val="0"/>
              <w:spacing w:before="60" w:after="60"/>
              <w:jc w:val="center"/>
              <w:rPr>
                <w:rFonts w:ascii="Arial Narrow" w:hAnsi="Arial Narrow"/>
                <w:i/>
                <w:szCs w:val="18"/>
              </w:rPr>
            </w:pPr>
            <w:r w:rsidRPr="001570EA">
              <w:rPr>
                <w:i/>
                <w:iCs/>
                <w:szCs w:val="18"/>
              </w:rPr>
              <w:t>Proportion</w:t>
            </w:r>
          </w:p>
        </w:tc>
        <w:tc>
          <w:tcPr>
            <w:tcW w:w="1079" w:type="pct"/>
            <w:vAlign w:val="center"/>
          </w:tcPr>
          <w:p w14:paraId="074A8E3E" w14:textId="77777777" w:rsidR="007376E1" w:rsidRPr="001570EA" w:rsidDel="00226262" w:rsidRDefault="007376E1" w:rsidP="00597241">
            <w:pPr>
              <w:pStyle w:val="TableCell"/>
              <w:keepNext w:val="0"/>
              <w:widowControl w:val="0"/>
              <w:spacing w:before="60" w:after="60"/>
              <w:jc w:val="center"/>
              <w:rPr>
                <w:szCs w:val="18"/>
              </w:rPr>
            </w:pPr>
            <w:r w:rsidRPr="001570EA">
              <w:rPr>
                <w:szCs w:val="18"/>
              </w:rPr>
              <w:t xml:space="preserve">See </w:t>
            </w:r>
            <w:r w:rsidRPr="001570EA">
              <w:rPr>
                <w:i/>
                <w:szCs w:val="18"/>
              </w:rPr>
              <w:t>CF</w:t>
            </w:r>
            <w:r w:rsidRPr="001570EA">
              <w:rPr>
                <w:szCs w:val="18"/>
              </w:rPr>
              <w:t xml:space="preserve"> in Vol. 1, App. A</w:t>
            </w:r>
          </w:p>
        </w:tc>
        <w:tc>
          <w:tcPr>
            <w:tcW w:w="618" w:type="pct"/>
            <w:vAlign w:val="center"/>
          </w:tcPr>
          <w:p w14:paraId="523F9D5D" w14:textId="77777777" w:rsidR="007376E1" w:rsidRPr="001570EA" w:rsidDel="00D76F14" w:rsidRDefault="007376E1" w:rsidP="00597241">
            <w:pPr>
              <w:pStyle w:val="TableCell"/>
              <w:keepNext w:val="0"/>
              <w:widowControl w:val="0"/>
              <w:spacing w:before="60" w:after="60"/>
              <w:jc w:val="center"/>
              <w:rPr>
                <w:szCs w:val="18"/>
              </w:rPr>
            </w:pPr>
            <w:r w:rsidRPr="001570EA">
              <w:rPr>
                <w:szCs w:val="18"/>
              </w:rPr>
              <w:t>3</w:t>
            </w:r>
          </w:p>
        </w:tc>
      </w:tr>
      <w:tr w:rsidR="007376E1" w:rsidRPr="001570EA" w14:paraId="6002EFF5" w14:textId="77777777">
        <w:trPr>
          <w:trHeight w:val="317"/>
        </w:trPr>
        <w:tc>
          <w:tcPr>
            <w:tcW w:w="2629" w:type="pct"/>
          </w:tcPr>
          <w:p w14:paraId="1E657536" w14:textId="0AECE96E" w:rsidR="007376E1" w:rsidRPr="001570EA" w:rsidRDefault="007376E1" w:rsidP="00597241">
            <w:pPr>
              <w:pStyle w:val="FootnoteText"/>
              <w:widowControl w:val="0"/>
              <w:tabs>
                <w:tab w:val="left" w:pos="720"/>
              </w:tabs>
              <w:spacing w:before="60" w:after="60"/>
              <w:jc w:val="left"/>
              <w:rPr>
                <w:i/>
                <w:szCs w:val="18"/>
              </w:rPr>
            </w:pPr>
            <w:r w:rsidRPr="001570EA">
              <w:rPr>
                <w:i/>
                <w:szCs w:val="18"/>
              </w:rPr>
              <w:t>EER</w:t>
            </w:r>
            <w:r w:rsidRPr="001570EA">
              <w:rPr>
                <w:i/>
                <w:szCs w:val="18"/>
                <w:vertAlign w:val="subscript"/>
              </w:rPr>
              <w:t>ee</w:t>
            </w:r>
            <w:r w:rsidRPr="001570EA">
              <w:rPr>
                <w:szCs w:val="18"/>
              </w:rPr>
              <w:t xml:space="preserve">, </w:t>
            </w:r>
            <w:r w:rsidRPr="001570EA">
              <w:rPr>
                <w:rFonts w:cs="Arial"/>
                <w:szCs w:val="18"/>
              </w:rPr>
              <w:t>The Energy Efficiency Ratio for an energy efficient RAC</w:t>
            </w:r>
          </w:p>
        </w:tc>
        <w:tc>
          <w:tcPr>
            <w:tcW w:w="674" w:type="pct"/>
            <w:vAlign w:val="center"/>
          </w:tcPr>
          <w:p w14:paraId="354E4919" w14:textId="77777777" w:rsidR="007376E1" w:rsidRPr="001570EA" w:rsidRDefault="003B5E04" w:rsidP="00597241">
            <w:pPr>
              <w:pStyle w:val="TableCell"/>
              <w:keepNext w:val="0"/>
              <w:widowControl w:val="0"/>
              <w:spacing w:before="60" w:after="60"/>
              <w:jc w:val="center"/>
              <w:rPr>
                <w:szCs w:val="18"/>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079" w:type="pct"/>
            <w:vAlign w:val="center"/>
          </w:tcPr>
          <w:p w14:paraId="17570B91" w14:textId="77777777" w:rsidR="007376E1" w:rsidRPr="001570EA" w:rsidRDefault="007376E1" w:rsidP="00597241">
            <w:pPr>
              <w:pStyle w:val="TableCell"/>
              <w:keepNext w:val="0"/>
              <w:widowControl w:val="0"/>
              <w:spacing w:before="60" w:after="60"/>
              <w:jc w:val="center"/>
              <w:rPr>
                <w:szCs w:val="18"/>
              </w:rPr>
            </w:pPr>
            <w:r w:rsidRPr="001570EA">
              <w:rPr>
                <w:szCs w:val="18"/>
              </w:rPr>
              <w:t>EDC Data Gathering</w:t>
            </w:r>
          </w:p>
        </w:tc>
        <w:tc>
          <w:tcPr>
            <w:tcW w:w="618" w:type="pct"/>
          </w:tcPr>
          <w:p w14:paraId="01637818" w14:textId="77777777" w:rsidR="007376E1" w:rsidRPr="001570EA" w:rsidRDefault="007376E1" w:rsidP="00597241">
            <w:pPr>
              <w:pStyle w:val="TableCell"/>
              <w:keepNext w:val="0"/>
              <w:widowControl w:val="0"/>
              <w:spacing w:before="60" w:after="60"/>
              <w:jc w:val="center"/>
              <w:rPr>
                <w:szCs w:val="18"/>
              </w:rPr>
            </w:pPr>
            <w:r w:rsidRPr="001570EA">
              <w:rPr>
                <w:szCs w:val="18"/>
              </w:rPr>
              <w:t>EDC Data Gathering</w:t>
            </w:r>
          </w:p>
        </w:tc>
      </w:tr>
      <w:tr w:rsidR="003B0A86" w:rsidRPr="001570EA" w14:paraId="185BB497" w14:textId="77777777" w:rsidTr="007F64EC">
        <w:trPr>
          <w:trHeight w:val="317"/>
        </w:trPr>
        <w:tc>
          <w:tcPr>
            <w:tcW w:w="2629" w:type="pct"/>
          </w:tcPr>
          <w:p w14:paraId="0C4F5022" w14:textId="4AFC0C65" w:rsidR="003B0A86" w:rsidRPr="001570EA" w:rsidRDefault="003B0A86" w:rsidP="00597241">
            <w:pPr>
              <w:pStyle w:val="FootnoteText"/>
              <w:widowControl w:val="0"/>
              <w:tabs>
                <w:tab w:val="left" w:pos="720"/>
              </w:tabs>
              <w:spacing w:before="60" w:after="60"/>
              <w:jc w:val="left"/>
              <w:rPr>
                <w:i/>
                <w:szCs w:val="18"/>
              </w:rPr>
            </w:pPr>
            <w:r w:rsidRPr="001570EA">
              <w:rPr>
                <w:rFonts w:cs="Arial"/>
                <w:i/>
                <w:szCs w:val="18"/>
              </w:rPr>
              <w:t>CEER</w:t>
            </w:r>
            <w:r w:rsidRPr="001570EA">
              <w:rPr>
                <w:rFonts w:cs="Arial"/>
                <w:i/>
                <w:szCs w:val="18"/>
                <w:vertAlign w:val="subscript"/>
              </w:rPr>
              <w:t>base</w:t>
            </w:r>
            <w:r w:rsidRPr="001570EA">
              <w:rPr>
                <w:rFonts w:cs="Arial"/>
                <w:szCs w:val="18"/>
              </w:rPr>
              <w:t>, Combined Energy Efficiency ratio of the baseline unit</w:t>
            </w:r>
          </w:p>
        </w:tc>
        <w:tc>
          <w:tcPr>
            <w:tcW w:w="674" w:type="pct"/>
            <w:vAlign w:val="center"/>
          </w:tcPr>
          <w:p w14:paraId="59C1F2AE" w14:textId="42744D5E" w:rsidR="003B0A86" w:rsidRPr="001570EA" w:rsidRDefault="003B5E04" w:rsidP="00597241">
            <w:pPr>
              <w:pStyle w:val="TableCell"/>
              <w:keepNext w:val="0"/>
              <w:widowControl w:val="0"/>
              <w:spacing w:before="60" w:after="60"/>
              <w:jc w:val="center"/>
              <w:rPr>
                <w:rFonts w:ascii="Arial Narrow" w:hAnsi="Arial Narrow"/>
                <w:i/>
                <w:szCs w:val="18"/>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079" w:type="pct"/>
          </w:tcPr>
          <w:p w14:paraId="6F06D5F2" w14:textId="091FA2BD" w:rsidR="003B0A86" w:rsidRPr="001570EA" w:rsidRDefault="003B0A86" w:rsidP="00597241">
            <w:pPr>
              <w:pStyle w:val="TableCell"/>
              <w:keepNext w:val="0"/>
              <w:widowControl w:val="0"/>
              <w:spacing w:before="60" w:after="60"/>
              <w:jc w:val="center"/>
              <w:rPr>
                <w:szCs w:val="18"/>
              </w:rPr>
            </w:pPr>
            <w:r w:rsidRPr="001570EA">
              <w:rPr>
                <w:szCs w:val="18"/>
              </w:rPr>
              <w:t xml:space="preserve">Federal Standard Values in </w:t>
            </w:r>
            <w:r w:rsidR="00666494" w:rsidRPr="001570EA">
              <w:rPr>
                <w:szCs w:val="18"/>
              </w:rPr>
              <w:fldChar w:fldCharType="begin"/>
            </w:r>
            <w:r w:rsidR="00666494" w:rsidRPr="001570EA">
              <w:rPr>
                <w:szCs w:val="18"/>
              </w:rPr>
              <w:instrText xml:space="preserve"> REF _Ref164074039 \h </w:instrText>
            </w:r>
            <w:r w:rsidR="001570EA">
              <w:rPr>
                <w:szCs w:val="18"/>
              </w:rPr>
              <w:instrText xml:space="preserve"> \* MERGEFORMAT </w:instrText>
            </w:r>
            <w:r w:rsidR="00666494" w:rsidRPr="001570EA">
              <w:rPr>
                <w:szCs w:val="18"/>
              </w:rPr>
            </w:r>
            <w:r w:rsidR="00666494" w:rsidRPr="001570EA">
              <w:rPr>
                <w:szCs w:val="18"/>
              </w:rPr>
              <w:fldChar w:fldCharType="separate"/>
            </w:r>
            <w:r w:rsidR="00666494" w:rsidRPr="001570EA">
              <w:t xml:space="preserve">Table </w:t>
            </w:r>
            <w:r w:rsidR="00666494" w:rsidRPr="001570EA">
              <w:rPr>
                <w:noProof/>
              </w:rPr>
              <w:t>2</w:t>
            </w:r>
            <w:r w:rsidR="00666494" w:rsidRPr="001570EA">
              <w:noBreakHyphen/>
            </w:r>
            <w:r w:rsidR="00666494" w:rsidRPr="001570EA">
              <w:rPr>
                <w:noProof/>
              </w:rPr>
              <w:t>30</w:t>
            </w:r>
            <w:r w:rsidR="00666494" w:rsidRPr="001570EA">
              <w:rPr>
                <w:szCs w:val="18"/>
              </w:rPr>
              <w:fldChar w:fldCharType="end"/>
            </w:r>
            <w:r w:rsidRPr="001570EA">
              <w:rPr>
                <w:szCs w:val="18"/>
              </w:rPr>
              <w:fldChar w:fldCharType="begin"/>
            </w:r>
            <w:r w:rsidRPr="001570EA">
              <w:rPr>
                <w:szCs w:val="18"/>
              </w:rPr>
              <w:instrText xml:space="preserve"> REF _Ref532395153 \h  \* MERGEFORMAT </w:instrText>
            </w:r>
            <w:r w:rsidRPr="001570EA">
              <w:rPr>
                <w:szCs w:val="18"/>
              </w:rPr>
            </w:r>
            <w:r w:rsidRPr="001570EA">
              <w:rPr>
                <w:szCs w:val="18"/>
              </w:rPr>
              <w:fldChar w:fldCharType="end"/>
            </w:r>
            <w:r w:rsidRPr="001570EA">
              <w:rPr>
                <w:szCs w:val="18"/>
              </w:rPr>
              <w:t xml:space="preserve">, </w:t>
            </w:r>
            <w:r w:rsidRPr="001570EA">
              <w:rPr>
                <w:szCs w:val="18"/>
              </w:rPr>
              <w:fldChar w:fldCharType="begin"/>
            </w:r>
            <w:r w:rsidRPr="001570EA">
              <w:rPr>
                <w:szCs w:val="18"/>
              </w:rPr>
              <w:instrText xml:space="preserve"> REF _Ref532395131 \h  \* MERGEFORMAT </w:instrText>
            </w:r>
            <w:r w:rsidRPr="001570EA">
              <w:rPr>
                <w:szCs w:val="18"/>
              </w:rPr>
            </w:r>
            <w:r w:rsidRPr="001570EA">
              <w:rPr>
                <w:szCs w:val="18"/>
              </w:rPr>
              <w:fldChar w:fldCharType="separate"/>
            </w:r>
            <w:r w:rsidR="00384D95" w:rsidRPr="001570EA">
              <w:rPr>
                <w:szCs w:val="18"/>
              </w:rPr>
              <w:t xml:space="preserve">Table </w:t>
            </w:r>
            <w:r w:rsidR="00384D95" w:rsidRPr="001570EA">
              <w:rPr>
                <w:noProof/>
                <w:szCs w:val="18"/>
              </w:rPr>
              <w:t>2</w:t>
            </w:r>
            <w:r w:rsidR="00384D95" w:rsidRPr="001570EA">
              <w:rPr>
                <w:noProof/>
                <w:szCs w:val="18"/>
              </w:rPr>
              <w:noBreakHyphen/>
              <w:t>31</w:t>
            </w:r>
            <w:r w:rsidRPr="001570EA">
              <w:rPr>
                <w:szCs w:val="18"/>
              </w:rPr>
              <w:fldChar w:fldCharType="end"/>
            </w:r>
            <w:r w:rsidRPr="001570EA">
              <w:rPr>
                <w:szCs w:val="18"/>
              </w:rPr>
              <w:t xml:space="preserve">, or </w:t>
            </w:r>
            <w:r w:rsidRPr="001570EA">
              <w:rPr>
                <w:szCs w:val="18"/>
              </w:rPr>
              <w:fldChar w:fldCharType="begin"/>
            </w:r>
            <w:r w:rsidRPr="001570EA">
              <w:rPr>
                <w:szCs w:val="18"/>
              </w:rPr>
              <w:instrText xml:space="preserve"> REF _Ref163905207 \h </w:instrText>
            </w:r>
            <w:r w:rsidR="001570EA">
              <w:rPr>
                <w:szCs w:val="18"/>
              </w:rPr>
              <w:instrText xml:space="preserve"> \* MERGEFORMAT </w:instrText>
            </w:r>
            <w:r w:rsidRPr="001570EA">
              <w:rPr>
                <w:szCs w:val="18"/>
              </w:rPr>
            </w:r>
            <w:r w:rsidRPr="001570EA">
              <w:rPr>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32</w:t>
            </w:r>
            <w:r w:rsidRPr="001570EA">
              <w:rPr>
                <w:szCs w:val="18"/>
              </w:rPr>
              <w:fldChar w:fldCharType="end"/>
            </w:r>
            <w:r w:rsidRPr="001570EA">
              <w:rPr>
                <w:szCs w:val="18"/>
              </w:rPr>
              <w:fldChar w:fldCharType="begin"/>
            </w:r>
            <w:r w:rsidRPr="001570EA">
              <w:rPr>
                <w:szCs w:val="18"/>
              </w:rPr>
              <w:instrText xml:space="preserve"> REF _Ref532395052 \h  \* MERGEFORMAT </w:instrText>
            </w:r>
            <w:r w:rsidRPr="001570EA">
              <w:rPr>
                <w:szCs w:val="18"/>
              </w:rPr>
            </w:r>
            <w:r w:rsidRPr="001570EA">
              <w:rPr>
                <w:szCs w:val="18"/>
              </w:rPr>
              <w:fldChar w:fldCharType="end"/>
            </w:r>
          </w:p>
          <w:p w14:paraId="0087DE3F" w14:textId="744A880B" w:rsidR="003B0A86" w:rsidRPr="001570EA" w:rsidRDefault="003B0A86" w:rsidP="00597241">
            <w:pPr>
              <w:pStyle w:val="TableCell"/>
              <w:keepNext w:val="0"/>
              <w:widowControl w:val="0"/>
              <w:spacing w:before="60" w:after="60"/>
              <w:jc w:val="center"/>
              <w:rPr>
                <w:szCs w:val="18"/>
              </w:rPr>
            </w:pPr>
            <w:r w:rsidRPr="001570EA">
              <w:rPr>
                <w:szCs w:val="18"/>
              </w:rPr>
              <w:t>Default = 16.0</w:t>
            </w:r>
          </w:p>
        </w:tc>
        <w:tc>
          <w:tcPr>
            <w:tcW w:w="618" w:type="pct"/>
            <w:vAlign w:val="center"/>
          </w:tcPr>
          <w:p w14:paraId="7765D2FA" w14:textId="02150C90" w:rsidR="003B0A86" w:rsidRPr="001570EA" w:rsidRDefault="00C73C0F" w:rsidP="00597241">
            <w:pPr>
              <w:pStyle w:val="TableCell"/>
              <w:keepNext w:val="0"/>
              <w:widowControl w:val="0"/>
              <w:spacing w:before="60" w:after="60"/>
              <w:jc w:val="center"/>
              <w:rPr>
                <w:szCs w:val="18"/>
              </w:rPr>
            </w:pPr>
            <w:r w:rsidRPr="001570EA">
              <w:rPr>
                <w:szCs w:val="18"/>
              </w:rPr>
              <w:t>4</w:t>
            </w:r>
          </w:p>
        </w:tc>
      </w:tr>
      <w:tr w:rsidR="003B0A86" w:rsidRPr="001570EA" w14:paraId="77E16B8D" w14:textId="77777777" w:rsidTr="007F64EC">
        <w:trPr>
          <w:trHeight w:val="317"/>
        </w:trPr>
        <w:tc>
          <w:tcPr>
            <w:tcW w:w="2629" w:type="pct"/>
          </w:tcPr>
          <w:p w14:paraId="21BC8EDD" w14:textId="73785B28" w:rsidR="003B0A86" w:rsidRPr="001570EA" w:rsidRDefault="003B0A86" w:rsidP="00597241">
            <w:pPr>
              <w:pStyle w:val="FootnoteText"/>
              <w:widowControl w:val="0"/>
              <w:tabs>
                <w:tab w:val="left" w:pos="720"/>
              </w:tabs>
              <w:spacing w:before="60" w:after="60"/>
              <w:jc w:val="left"/>
              <w:rPr>
                <w:i/>
                <w:szCs w:val="18"/>
              </w:rPr>
            </w:pPr>
            <w:r w:rsidRPr="001570EA">
              <w:rPr>
                <w:rFonts w:cs="Arial"/>
                <w:i/>
                <w:szCs w:val="18"/>
              </w:rPr>
              <w:t>CEER</w:t>
            </w:r>
            <w:r w:rsidRPr="001570EA">
              <w:rPr>
                <w:rFonts w:cs="Arial"/>
                <w:i/>
                <w:szCs w:val="18"/>
                <w:vertAlign w:val="subscript"/>
              </w:rPr>
              <w:t>ee</w:t>
            </w:r>
            <w:r w:rsidRPr="001570EA">
              <w:rPr>
                <w:rFonts w:cs="Arial"/>
                <w:szCs w:val="18"/>
              </w:rPr>
              <w:t>, Combined Energy efficiency ratio of the RAC being installed</w:t>
            </w:r>
          </w:p>
        </w:tc>
        <w:tc>
          <w:tcPr>
            <w:tcW w:w="674" w:type="pct"/>
            <w:vAlign w:val="center"/>
          </w:tcPr>
          <w:p w14:paraId="59C179E4" w14:textId="6B4E0890" w:rsidR="003B0A86" w:rsidRPr="001570EA" w:rsidRDefault="003B5E04" w:rsidP="00597241">
            <w:pPr>
              <w:pStyle w:val="TableCell"/>
              <w:keepNext w:val="0"/>
              <w:widowControl w:val="0"/>
              <w:spacing w:before="60" w:after="60"/>
              <w:jc w:val="center"/>
              <w:rPr>
                <w:rFonts w:ascii="Arial Narrow" w:hAnsi="Arial Narrow"/>
                <w:i/>
                <w:szCs w:val="18"/>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079" w:type="pct"/>
          </w:tcPr>
          <w:p w14:paraId="6E6E1636" w14:textId="2BAB600B" w:rsidR="003B0A86" w:rsidRPr="001570EA" w:rsidRDefault="003B0A86" w:rsidP="00597241">
            <w:pPr>
              <w:pStyle w:val="TableCell"/>
              <w:keepNext w:val="0"/>
              <w:widowControl w:val="0"/>
              <w:spacing w:before="60" w:after="60"/>
              <w:jc w:val="center"/>
              <w:rPr>
                <w:szCs w:val="18"/>
              </w:rPr>
            </w:pPr>
            <w:r w:rsidRPr="001570EA">
              <w:rPr>
                <w:szCs w:val="18"/>
              </w:rPr>
              <w:t xml:space="preserve">EDC Data Gathering </w:t>
            </w:r>
          </w:p>
        </w:tc>
        <w:tc>
          <w:tcPr>
            <w:tcW w:w="618" w:type="pct"/>
          </w:tcPr>
          <w:p w14:paraId="10571586" w14:textId="689056D7" w:rsidR="003B0A86" w:rsidRPr="001570EA" w:rsidRDefault="003B0A86" w:rsidP="00597241">
            <w:pPr>
              <w:pStyle w:val="TableCell"/>
              <w:keepNext w:val="0"/>
              <w:widowControl w:val="0"/>
              <w:spacing w:before="60" w:after="60"/>
              <w:jc w:val="center"/>
              <w:rPr>
                <w:szCs w:val="18"/>
              </w:rPr>
            </w:pPr>
            <w:r w:rsidRPr="001570EA">
              <w:rPr>
                <w:szCs w:val="18"/>
              </w:rPr>
              <w:t xml:space="preserve">EDC Data Gathering </w:t>
            </w:r>
          </w:p>
        </w:tc>
      </w:tr>
    </w:tbl>
    <w:p w14:paraId="6D3DBCB2" w14:textId="04BE3C00" w:rsidR="007376E1" w:rsidRPr="001570EA" w:rsidRDefault="007376E1" w:rsidP="00597241">
      <w:pPr>
        <w:pStyle w:val="Caption"/>
        <w:keepNext w:val="0"/>
        <w:widowControl w:val="0"/>
      </w:pPr>
    </w:p>
    <w:p w14:paraId="55B3DF89" w14:textId="77777777" w:rsidR="00F67270" w:rsidRDefault="00F67270" w:rsidP="00F67270">
      <w:pPr>
        <w:pStyle w:val="SubStyle"/>
        <w:widowControl w:val="0"/>
      </w:pPr>
    </w:p>
    <w:p w14:paraId="747CF797" w14:textId="2ECEFC5A" w:rsidR="007376E1" w:rsidRPr="001570EA" w:rsidRDefault="007376E1" w:rsidP="00597241">
      <w:pPr>
        <w:pStyle w:val="SubStyle"/>
        <w:widowControl w:val="0"/>
      </w:pPr>
      <w:r w:rsidRPr="001570EA">
        <w:t>Evaluation Protocols</w:t>
      </w:r>
    </w:p>
    <w:p w14:paraId="793350AA" w14:textId="77777777" w:rsidR="007376E1" w:rsidRPr="001570EA" w:rsidRDefault="007376E1" w:rsidP="00597241">
      <w:pPr>
        <w:pStyle w:val="BodyText"/>
        <w:widowControl w:val="0"/>
        <w:ind w:right="0"/>
      </w:pPr>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40AA90DB" w14:textId="77777777" w:rsidR="007376E1" w:rsidRPr="001570EA" w:rsidRDefault="007376E1" w:rsidP="00597241">
      <w:pPr>
        <w:pStyle w:val="SubStyle"/>
        <w:keepNext/>
        <w:pBdr>
          <w:bottom w:val="none" w:sz="0" w:space="0" w:color="auto"/>
        </w:pBdr>
      </w:pPr>
    </w:p>
    <w:p w14:paraId="6A83E837" w14:textId="77777777" w:rsidR="007376E1" w:rsidRPr="001570EA" w:rsidRDefault="007376E1" w:rsidP="007376E1">
      <w:pPr>
        <w:pStyle w:val="SubStyle"/>
      </w:pPr>
      <w:r w:rsidRPr="001570EA">
        <w:t>Sources</w:t>
      </w:r>
    </w:p>
    <w:p w14:paraId="61706AD5" w14:textId="0983D3E3" w:rsidR="007376E1" w:rsidRPr="001570EA" w:rsidRDefault="007376E1" w:rsidP="002614D2">
      <w:pPr>
        <w:pStyle w:val="source10"/>
        <w:numPr>
          <w:ilvl w:val="0"/>
          <w:numId w:val="12"/>
        </w:numPr>
        <w:tabs>
          <w:tab w:val="clear" w:pos="720"/>
        </w:tabs>
        <w:spacing w:after="120"/>
        <w:ind w:left="360"/>
        <w:jc w:val="left"/>
      </w:pPr>
      <w:r w:rsidRPr="001570EA">
        <w:t xml:space="preserve">California Electronic Technical Reference Manual. “Room Air Conditioner, Residential”. Accessed August 2023. </w:t>
      </w:r>
      <w:hyperlink r:id="rId90" w:history="1">
        <w:r w:rsidRPr="001570EA">
          <w:rPr>
            <w:rStyle w:val="Hyperlink"/>
          </w:rPr>
          <w:t>Weblink</w:t>
        </w:r>
      </w:hyperlink>
      <w:r w:rsidRPr="001570EA">
        <w:t xml:space="preserve"> </w:t>
      </w:r>
    </w:p>
    <w:p w14:paraId="30BF59F4" w14:textId="21F73C99" w:rsidR="007376E1" w:rsidRPr="001570EA" w:rsidRDefault="007376E1" w:rsidP="002614D2">
      <w:pPr>
        <w:pStyle w:val="ListParagraph"/>
        <w:numPr>
          <w:ilvl w:val="0"/>
          <w:numId w:val="12"/>
        </w:numPr>
        <w:tabs>
          <w:tab w:val="clear" w:pos="720"/>
        </w:tabs>
        <w:spacing w:after="200" w:line="288" w:lineRule="auto"/>
        <w:ind w:left="360"/>
        <w:contextualSpacing/>
        <w:jc w:val="left"/>
        <w:rPr>
          <w:rStyle w:val="Hyperlink"/>
          <w:color w:val="auto"/>
          <w:u w:val="none"/>
        </w:rPr>
      </w:pPr>
      <w:r w:rsidRPr="001570EA">
        <w:t>NMR Group for the Pennsylvania Public Utility Commission. (</w:t>
      </w:r>
      <w:r w:rsidR="00ED3C1C" w:rsidRPr="001570EA">
        <w:t>2024</w:t>
      </w:r>
      <w:r w:rsidRPr="001570EA">
        <w:t xml:space="preserve">, </w:t>
      </w:r>
      <w:r w:rsidR="00ED3C1C" w:rsidRPr="001570EA">
        <w:t>March</w:t>
      </w:r>
      <w:r w:rsidRPr="001570EA">
        <w:t xml:space="preserve">). 2023 Pennsylvania Statewide Act 129 Residential Baseline Study. Sec 8.2.2 Table 104. Statewide </w:t>
      </w:r>
      <w:r w:rsidRPr="001570EA">
        <w:rPr>
          <w:color w:val="212121"/>
          <w:shd w:val="clear" w:color="auto" w:fill="FFFFFF"/>
        </w:rPr>
        <w:t>average</w:t>
      </w:r>
      <w:r w:rsidRPr="001570EA">
        <w:t xml:space="preserve"> for all housing types. </w:t>
      </w:r>
      <w:hyperlink r:id="rId91" w:history="1">
        <w:r w:rsidRPr="001570EA">
          <w:rPr>
            <w:rStyle w:val="Hyperlink"/>
            <w:rFonts w:cs="Arial"/>
          </w:rPr>
          <w:t>Weblink</w:t>
        </w:r>
      </w:hyperlink>
    </w:p>
    <w:p w14:paraId="37EAA0AF" w14:textId="3DC3DF9A" w:rsidR="007376E1" w:rsidRPr="001570EA" w:rsidRDefault="007376E1" w:rsidP="002614D2">
      <w:pPr>
        <w:pStyle w:val="source10"/>
        <w:numPr>
          <w:ilvl w:val="0"/>
          <w:numId w:val="12"/>
        </w:numPr>
        <w:tabs>
          <w:tab w:val="clear" w:pos="720"/>
        </w:tabs>
        <w:spacing w:after="120"/>
        <w:ind w:left="360"/>
        <w:jc w:val="left"/>
      </w:pPr>
      <w:r w:rsidRPr="001570EA">
        <w:rPr>
          <w:color w:val="212121"/>
          <w:shd w:val="clear" w:color="auto" w:fill="FFFFFF"/>
        </w:rPr>
        <w:t xml:space="preserve">Based on the Phase III SWE team’s analysis of regional HVAC runtime data collected from ecobee’s Donate Your Data research service, </w:t>
      </w:r>
      <w:hyperlink r:id="rId92" w:tgtFrame="_blank" w:history="1">
        <w:r w:rsidRPr="001570EA">
          <w:rPr>
            <w:rStyle w:val="Hyperlink"/>
            <w:color w:val="954F72"/>
            <w:shd w:val="clear" w:color="auto" w:fill="FFFFFF"/>
          </w:rPr>
          <w:t>Weblink</w:t>
        </w:r>
      </w:hyperlink>
      <w:r w:rsidRPr="001570EA">
        <w:rPr>
          <w:rStyle w:val="Hyperlink"/>
          <w:color w:val="954F72"/>
          <w:shd w:val="clear" w:color="auto" w:fill="FFFFFF"/>
        </w:rPr>
        <w:t xml:space="preserve"> </w:t>
      </w:r>
      <w:r w:rsidRPr="001570EA">
        <w:t>and updated based on the latest CDD and HDD values from NOAA’s 15-year annual climate Normals (2006–2020) (</w:t>
      </w:r>
      <w:hyperlink r:id="rId93" w:history="1">
        <w:r w:rsidRPr="001570EA">
          <w:rPr>
            <w:rStyle w:val="Hyperlink"/>
          </w:rPr>
          <w:t>Weblink</w:t>
        </w:r>
      </w:hyperlink>
      <w:r w:rsidRPr="001570EA">
        <w:t>)</w:t>
      </w:r>
    </w:p>
    <w:p w14:paraId="712A0178" w14:textId="435FF07E" w:rsidR="009A65D5" w:rsidRPr="001570EA" w:rsidDel="00016586" w:rsidRDefault="00C73C0F" w:rsidP="002614D2">
      <w:pPr>
        <w:pStyle w:val="source10"/>
        <w:numPr>
          <w:ilvl w:val="0"/>
          <w:numId w:val="12"/>
        </w:numPr>
        <w:tabs>
          <w:tab w:val="clear" w:pos="720"/>
        </w:tabs>
        <w:spacing w:after="120"/>
        <w:ind w:left="360"/>
        <w:jc w:val="left"/>
      </w:pPr>
      <w:r w:rsidRPr="001570EA">
        <w:t xml:space="preserve">Federal code of regulation. Room air conditioners. 10 C.F.R. § 430.32 (b)(2). </w:t>
      </w:r>
      <w:hyperlink r:id="rId94" w:anchor="p-430.32(b)(2)" w:history="1">
        <w:r w:rsidRPr="001570EA">
          <w:rPr>
            <w:rStyle w:val="Hyperlink"/>
          </w:rPr>
          <w:t>Weblink</w:t>
        </w:r>
      </w:hyperlink>
      <w:r w:rsidRPr="001570EA">
        <w:t xml:space="preserve">    </w:t>
      </w:r>
    </w:p>
    <w:p w14:paraId="3F233882" w14:textId="77777777" w:rsidR="007376E1" w:rsidRPr="001570EA" w:rsidRDefault="007376E1" w:rsidP="007376E1">
      <w:pPr>
        <w:pStyle w:val="source10"/>
        <w:spacing w:after="120"/>
        <w:jc w:val="left"/>
        <w:textAlignment w:val="auto"/>
        <w:rPr>
          <w:rStyle w:val="Hyperlink"/>
          <w:rFonts w:cs="Arial"/>
        </w:rPr>
      </w:pPr>
    </w:p>
    <w:p w14:paraId="453BB263" w14:textId="77777777" w:rsidR="007376E1" w:rsidRPr="001570EA" w:rsidRDefault="007376E1" w:rsidP="007376E1">
      <w:pPr>
        <w:pStyle w:val="source10"/>
        <w:spacing w:after="120"/>
        <w:jc w:val="left"/>
        <w:textAlignment w:val="auto"/>
        <w:rPr>
          <w:rStyle w:val="Hyperlink"/>
          <w:rFonts w:cs="Arial"/>
        </w:rPr>
      </w:pPr>
    </w:p>
    <w:p w14:paraId="1E374DAB" w14:textId="77777777" w:rsidR="007376E1" w:rsidRPr="001570EA" w:rsidRDefault="007376E1" w:rsidP="007376E1">
      <w:pPr>
        <w:jc w:val="left"/>
        <w:rPr>
          <w:rStyle w:val="Hyperlink"/>
          <w:rFonts w:cs="Arial"/>
        </w:rPr>
      </w:pPr>
      <w:r w:rsidRPr="001570EA">
        <w:rPr>
          <w:rStyle w:val="Hyperlink"/>
          <w:rFonts w:cs="Arial"/>
        </w:rPr>
        <w:br w:type="page"/>
      </w:r>
    </w:p>
    <w:p w14:paraId="4AAB5A75" w14:textId="77777777" w:rsidR="007376E1" w:rsidRPr="001570EA" w:rsidRDefault="007376E1" w:rsidP="00462D97">
      <w:pPr>
        <w:pStyle w:val="Heading3"/>
      </w:pPr>
      <w:bookmarkStart w:id="269" w:name="_Toc164786642"/>
      <w:r w:rsidRPr="001570EA">
        <w:t>Window Heat Pump</w:t>
      </w:r>
      <w:bookmarkEnd w:id="2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5797"/>
      </w:tblGrid>
      <w:tr w:rsidR="007376E1" w:rsidRPr="001570EA" w14:paraId="03DB09E0" w14:textId="77777777">
        <w:trPr>
          <w:trHeight w:val="360"/>
          <w:jc w:val="center"/>
        </w:trPr>
        <w:tc>
          <w:tcPr>
            <w:tcW w:w="2833" w:type="dxa"/>
            <w:tcBorders>
              <w:top w:val="single" w:sz="4" w:space="0" w:color="auto"/>
              <w:left w:val="single" w:sz="4" w:space="0" w:color="auto"/>
              <w:bottom w:val="single" w:sz="4" w:space="0" w:color="auto"/>
              <w:right w:val="single" w:sz="4" w:space="0" w:color="auto"/>
            </w:tcBorders>
            <w:hideMark/>
          </w:tcPr>
          <w:p w14:paraId="41EA2BC7" w14:textId="77777777" w:rsidR="007376E1" w:rsidRPr="001570EA" w:rsidRDefault="007376E1">
            <w:pPr>
              <w:pStyle w:val="TableCell"/>
              <w:spacing w:before="60" w:after="60" w:line="276" w:lineRule="auto"/>
              <w:rPr>
                <w:b/>
              </w:rPr>
            </w:pPr>
            <w:r w:rsidRPr="001570EA">
              <w:rPr>
                <w:b/>
              </w:rPr>
              <w:t>Target Sector</w:t>
            </w:r>
          </w:p>
        </w:tc>
        <w:tc>
          <w:tcPr>
            <w:tcW w:w="5797" w:type="dxa"/>
            <w:tcBorders>
              <w:top w:val="single" w:sz="4" w:space="0" w:color="auto"/>
              <w:left w:val="single" w:sz="4" w:space="0" w:color="auto"/>
              <w:bottom w:val="single" w:sz="4" w:space="0" w:color="auto"/>
              <w:right w:val="single" w:sz="4" w:space="0" w:color="auto"/>
            </w:tcBorders>
            <w:hideMark/>
          </w:tcPr>
          <w:p w14:paraId="4F9E3819" w14:textId="77777777" w:rsidR="007376E1" w:rsidRPr="001570EA" w:rsidRDefault="007376E1">
            <w:pPr>
              <w:pStyle w:val="TableCell"/>
              <w:spacing w:before="60" w:after="60" w:line="276" w:lineRule="auto"/>
              <w:jc w:val="center"/>
            </w:pPr>
            <w:r w:rsidRPr="001570EA">
              <w:t>Residential</w:t>
            </w:r>
          </w:p>
        </w:tc>
      </w:tr>
      <w:tr w:rsidR="007376E1" w:rsidRPr="001570EA" w14:paraId="6274A3BB" w14:textId="77777777">
        <w:trPr>
          <w:trHeight w:val="360"/>
          <w:jc w:val="center"/>
        </w:trPr>
        <w:tc>
          <w:tcPr>
            <w:tcW w:w="2833" w:type="dxa"/>
            <w:tcBorders>
              <w:top w:val="single" w:sz="4" w:space="0" w:color="auto"/>
              <w:left w:val="single" w:sz="4" w:space="0" w:color="auto"/>
              <w:bottom w:val="single" w:sz="4" w:space="0" w:color="auto"/>
              <w:right w:val="single" w:sz="4" w:space="0" w:color="auto"/>
            </w:tcBorders>
            <w:hideMark/>
          </w:tcPr>
          <w:p w14:paraId="05169458" w14:textId="77777777" w:rsidR="007376E1" w:rsidRPr="001570EA" w:rsidRDefault="007376E1">
            <w:pPr>
              <w:pStyle w:val="TableCell"/>
              <w:spacing w:before="60" w:after="60" w:line="276" w:lineRule="auto"/>
              <w:rPr>
                <w:b/>
                <w:sz w:val="20"/>
              </w:rPr>
            </w:pPr>
            <w:r w:rsidRPr="001570EA">
              <w:rPr>
                <w:b/>
              </w:rPr>
              <w:t>Measure Unit</w:t>
            </w:r>
          </w:p>
        </w:tc>
        <w:tc>
          <w:tcPr>
            <w:tcW w:w="5797" w:type="dxa"/>
            <w:tcBorders>
              <w:top w:val="single" w:sz="4" w:space="0" w:color="auto"/>
              <w:left w:val="single" w:sz="4" w:space="0" w:color="auto"/>
              <w:bottom w:val="single" w:sz="4" w:space="0" w:color="auto"/>
              <w:right w:val="single" w:sz="4" w:space="0" w:color="auto"/>
            </w:tcBorders>
            <w:hideMark/>
          </w:tcPr>
          <w:p w14:paraId="4E45AFC3" w14:textId="77777777" w:rsidR="007376E1" w:rsidRPr="001570EA" w:rsidRDefault="007376E1">
            <w:pPr>
              <w:pStyle w:val="TableCell"/>
              <w:spacing w:before="60" w:after="60" w:line="276" w:lineRule="auto"/>
              <w:jc w:val="center"/>
            </w:pPr>
            <w:r w:rsidRPr="001570EA">
              <w:t>Window Heat Pump</w:t>
            </w:r>
          </w:p>
        </w:tc>
      </w:tr>
      <w:tr w:rsidR="007376E1" w:rsidRPr="001570EA" w14:paraId="448E42BA" w14:textId="77777777">
        <w:trPr>
          <w:trHeight w:val="360"/>
          <w:jc w:val="center"/>
        </w:trPr>
        <w:tc>
          <w:tcPr>
            <w:tcW w:w="2833" w:type="dxa"/>
            <w:tcBorders>
              <w:top w:val="single" w:sz="4" w:space="0" w:color="auto"/>
              <w:left w:val="single" w:sz="4" w:space="0" w:color="auto"/>
              <w:bottom w:val="single" w:sz="4" w:space="0" w:color="auto"/>
              <w:right w:val="single" w:sz="4" w:space="0" w:color="auto"/>
            </w:tcBorders>
            <w:hideMark/>
          </w:tcPr>
          <w:p w14:paraId="2FBA193F" w14:textId="77777777" w:rsidR="007376E1" w:rsidRPr="001570EA" w:rsidRDefault="007376E1">
            <w:pPr>
              <w:pStyle w:val="TableCell"/>
              <w:spacing w:before="60" w:after="60" w:line="276" w:lineRule="auto"/>
              <w:rPr>
                <w:b/>
                <w:sz w:val="20"/>
              </w:rPr>
            </w:pPr>
            <w:r w:rsidRPr="001570EA">
              <w:rPr>
                <w:b/>
              </w:rPr>
              <w:t>Measure Life</w:t>
            </w:r>
          </w:p>
        </w:tc>
        <w:tc>
          <w:tcPr>
            <w:tcW w:w="5797" w:type="dxa"/>
            <w:tcBorders>
              <w:top w:val="single" w:sz="4" w:space="0" w:color="auto"/>
              <w:left w:val="single" w:sz="4" w:space="0" w:color="auto"/>
              <w:bottom w:val="single" w:sz="4" w:space="0" w:color="auto"/>
              <w:right w:val="single" w:sz="4" w:space="0" w:color="auto"/>
            </w:tcBorders>
            <w:hideMark/>
          </w:tcPr>
          <w:p w14:paraId="11675756" w14:textId="77777777" w:rsidR="007376E1" w:rsidRPr="001570EA" w:rsidRDefault="007376E1">
            <w:pPr>
              <w:pStyle w:val="TableCell"/>
              <w:spacing w:before="60" w:after="60" w:line="276" w:lineRule="auto"/>
              <w:jc w:val="center"/>
              <w:rPr>
                <w:vertAlign w:val="superscript"/>
              </w:rPr>
            </w:pPr>
            <w:r w:rsidRPr="001570EA">
              <w:t>9 years</w:t>
            </w:r>
            <w:r w:rsidRPr="001570EA">
              <w:rPr>
                <w:vertAlign w:val="superscript"/>
              </w:rPr>
              <w:t xml:space="preserve">Source </w:t>
            </w:r>
            <w:r w:rsidRPr="001570EA">
              <w:rPr>
                <w:rStyle w:val="FootnoteReference"/>
              </w:rPr>
              <w:t>1</w:t>
            </w:r>
          </w:p>
        </w:tc>
      </w:tr>
      <w:tr w:rsidR="007376E1" w:rsidRPr="001570EA" w14:paraId="4B1F1239" w14:textId="77777777">
        <w:trPr>
          <w:trHeight w:val="360"/>
          <w:jc w:val="center"/>
        </w:trPr>
        <w:tc>
          <w:tcPr>
            <w:tcW w:w="2833" w:type="dxa"/>
            <w:tcBorders>
              <w:top w:val="single" w:sz="4" w:space="0" w:color="auto"/>
              <w:left w:val="single" w:sz="4" w:space="0" w:color="auto"/>
              <w:bottom w:val="single" w:sz="4" w:space="0" w:color="auto"/>
              <w:right w:val="single" w:sz="4" w:space="0" w:color="auto"/>
            </w:tcBorders>
            <w:hideMark/>
          </w:tcPr>
          <w:p w14:paraId="20A2B429" w14:textId="77777777" w:rsidR="007376E1" w:rsidRPr="001570EA" w:rsidRDefault="007376E1">
            <w:pPr>
              <w:pStyle w:val="TableCell"/>
              <w:spacing w:before="60" w:after="60" w:line="276" w:lineRule="auto"/>
              <w:rPr>
                <w:b/>
              </w:rPr>
            </w:pPr>
            <w:r w:rsidRPr="001570EA">
              <w:rPr>
                <w:b/>
              </w:rPr>
              <w:t>Vintage</w:t>
            </w:r>
          </w:p>
        </w:tc>
        <w:tc>
          <w:tcPr>
            <w:tcW w:w="5797" w:type="dxa"/>
            <w:tcBorders>
              <w:top w:val="single" w:sz="4" w:space="0" w:color="auto"/>
              <w:left w:val="single" w:sz="4" w:space="0" w:color="auto"/>
              <w:bottom w:val="single" w:sz="4" w:space="0" w:color="auto"/>
              <w:right w:val="single" w:sz="4" w:space="0" w:color="auto"/>
            </w:tcBorders>
            <w:hideMark/>
          </w:tcPr>
          <w:p w14:paraId="1CE65387" w14:textId="77777777" w:rsidR="007376E1" w:rsidRPr="001570EA" w:rsidRDefault="007376E1">
            <w:pPr>
              <w:pStyle w:val="TableCell"/>
              <w:spacing w:before="60" w:after="60" w:line="276" w:lineRule="auto"/>
              <w:jc w:val="center"/>
            </w:pPr>
            <w:r w:rsidRPr="001570EA">
              <w:rPr>
                <w:color w:val="000000"/>
              </w:rPr>
              <w:t>Early Replacement</w:t>
            </w:r>
          </w:p>
        </w:tc>
      </w:tr>
    </w:tbl>
    <w:p w14:paraId="020AE6AF" w14:textId="77777777" w:rsidR="007376E1" w:rsidRPr="001570EA" w:rsidRDefault="007376E1" w:rsidP="003E37E7">
      <w:pPr>
        <w:pStyle w:val="BodyText"/>
        <w:ind w:right="0"/>
      </w:pPr>
    </w:p>
    <w:p w14:paraId="7740701B" w14:textId="77777777" w:rsidR="007376E1" w:rsidRPr="001570EA" w:rsidRDefault="007376E1" w:rsidP="007376E1">
      <w:pPr>
        <w:pStyle w:val="BodyText"/>
        <w:ind w:right="0"/>
      </w:pPr>
      <w:r w:rsidRPr="001570EA">
        <w:t xml:space="preserve">Window heat pumps for single-room applications could provide an energy-and-cost saving alternative to built-in or portable electric resistance heating in the residential market. Window heat pumps are more energy-efficient than resistance heaters because of their ability to extract thermal energy from the environment that is freely available. </w:t>
      </w:r>
    </w:p>
    <w:p w14:paraId="7E19C646" w14:textId="77777777" w:rsidR="007376E1" w:rsidRPr="001570EA" w:rsidRDefault="007376E1" w:rsidP="007376E1">
      <w:pPr>
        <w:pStyle w:val="BodyText"/>
        <w:ind w:right="0"/>
      </w:pPr>
    </w:p>
    <w:p w14:paraId="3DD8761F" w14:textId="77777777" w:rsidR="007376E1" w:rsidRPr="001570EA" w:rsidRDefault="007376E1" w:rsidP="007376E1">
      <w:pPr>
        <w:pStyle w:val="SubStyle"/>
      </w:pPr>
      <w:r w:rsidRPr="001570EA">
        <w:t>Eligibility</w:t>
      </w:r>
    </w:p>
    <w:p w14:paraId="3438657E" w14:textId="77777777" w:rsidR="007376E1" w:rsidRPr="001570EA" w:rsidRDefault="007376E1" w:rsidP="007376E1">
      <w:pPr>
        <w:spacing w:after="120"/>
      </w:pPr>
      <w:r w:rsidRPr="001570EA">
        <w:t>This protocol documents the energy savings attributed to window heat pumps. Eligible equipment must meet direct-install requirements. The baseline heating system could be:</w:t>
      </w:r>
    </w:p>
    <w:p w14:paraId="729A71A1" w14:textId="77777777" w:rsidR="007376E1" w:rsidRPr="001570EA" w:rsidRDefault="007376E1" w:rsidP="002614D2">
      <w:pPr>
        <w:pStyle w:val="ListParagraph"/>
        <w:numPr>
          <w:ilvl w:val="0"/>
          <w:numId w:val="48"/>
        </w:numPr>
        <w:ind w:left="360"/>
        <w:contextualSpacing/>
        <w:textAlignment w:val="auto"/>
        <w:rPr>
          <w:rFonts w:cs="Arial"/>
        </w:rPr>
      </w:pPr>
      <w:r w:rsidRPr="001570EA">
        <w:t>Existing electric resistance heating</w:t>
      </w:r>
    </w:p>
    <w:p w14:paraId="2A062C0B" w14:textId="77777777" w:rsidR="007376E1" w:rsidRPr="001570EA" w:rsidRDefault="007376E1" w:rsidP="002614D2">
      <w:pPr>
        <w:pStyle w:val="ListParagraph"/>
        <w:numPr>
          <w:ilvl w:val="0"/>
          <w:numId w:val="48"/>
        </w:numPr>
        <w:ind w:left="360"/>
        <w:contextualSpacing/>
        <w:textAlignment w:val="auto"/>
        <w:rPr>
          <w:rFonts w:cs="Arial"/>
        </w:rPr>
      </w:pPr>
      <w:r w:rsidRPr="001570EA">
        <w:t>Electric space heaters used as the primary heating source when fossil fuel (other than natural gas) heating systems failed (referred to as de facto heating)</w:t>
      </w:r>
    </w:p>
    <w:p w14:paraId="49D473E4" w14:textId="77777777" w:rsidR="007376E1" w:rsidRPr="001570EA" w:rsidRDefault="007376E1" w:rsidP="002614D2">
      <w:pPr>
        <w:pStyle w:val="ListParagraph"/>
        <w:numPr>
          <w:ilvl w:val="1"/>
          <w:numId w:val="48"/>
        </w:numPr>
        <w:contextualSpacing/>
        <w:textAlignment w:val="auto"/>
        <w:rPr>
          <w:rFonts w:cs="Arial"/>
        </w:rPr>
      </w:pPr>
      <w:r w:rsidRPr="001570EA">
        <w:rPr>
          <w:rFonts w:cs="Arial"/>
        </w:rPr>
        <w:t>This baseline is for participants with broken-beyond-repair oil heating systems who are heating their homes with portable electric space heaters.</w:t>
      </w:r>
    </w:p>
    <w:p w14:paraId="766EE01F" w14:textId="77777777" w:rsidR="007376E1" w:rsidRPr="001570EA" w:rsidRDefault="007376E1" w:rsidP="002614D2">
      <w:pPr>
        <w:pStyle w:val="ListParagraph"/>
        <w:numPr>
          <w:ilvl w:val="0"/>
          <w:numId w:val="48"/>
        </w:numPr>
        <w:ind w:left="360"/>
        <w:contextualSpacing/>
        <w:textAlignment w:val="auto"/>
        <w:rPr>
          <w:rFonts w:cs="Arial"/>
        </w:rPr>
      </w:pPr>
      <w:r w:rsidRPr="001570EA">
        <w:t>Electric furnace</w:t>
      </w:r>
    </w:p>
    <w:p w14:paraId="1698ED7D" w14:textId="77777777" w:rsidR="007376E1" w:rsidRPr="001570EA" w:rsidRDefault="007376E1" w:rsidP="007376E1">
      <w:pPr>
        <w:rPr>
          <w:rFonts w:cs="Arial"/>
        </w:rPr>
      </w:pPr>
      <w:r w:rsidRPr="001570EA">
        <w:rPr>
          <w:rFonts w:cs="Arial"/>
        </w:rPr>
        <w:t xml:space="preserve">Cooling savings may be claimed if the window heat pump exceeds efficiency criteria prescribed by federal standards. </w:t>
      </w:r>
    </w:p>
    <w:p w14:paraId="03DBA15E" w14:textId="77777777" w:rsidR="007376E1" w:rsidRPr="001570EA" w:rsidRDefault="007376E1" w:rsidP="007376E1">
      <w:pPr>
        <w:tabs>
          <w:tab w:val="left" w:pos="1296"/>
        </w:tabs>
        <w:spacing w:after="100"/>
        <w:rPr>
          <w:rFonts w:cs="Arial"/>
        </w:rPr>
      </w:pPr>
    </w:p>
    <w:p w14:paraId="1BCA352B" w14:textId="77777777" w:rsidR="007376E1" w:rsidRPr="001570EA" w:rsidRDefault="007376E1" w:rsidP="007376E1">
      <w:pPr>
        <w:pStyle w:val="SubStyle"/>
      </w:pPr>
      <w:r w:rsidRPr="001570EA">
        <w:t>Algorithms</w:t>
      </w:r>
    </w:p>
    <w:p w14:paraId="376677EE" w14:textId="77777777" w:rsidR="007376E1" w:rsidRPr="001570EA" w:rsidRDefault="007376E1" w:rsidP="007376E1">
      <w:pPr>
        <w:pStyle w:val="BodyText"/>
        <w:spacing w:before="200"/>
        <w:ind w:right="0"/>
      </w:pPr>
      <w:r w:rsidRPr="001570EA">
        <w:t>The energy savings algorithms depend on three main factors: baseline condition, usage (secondary heating system), and the capacity of the unit.</w:t>
      </w:r>
    </w:p>
    <w:p w14:paraId="7113BFF9" w14:textId="77777777" w:rsidR="007376E1" w:rsidRPr="001570EA" w:rsidRDefault="007376E1" w:rsidP="007376E1">
      <w:pPr>
        <w:pStyle w:val="BodyText"/>
        <w:tabs>
          <w:tab w:val="left" w:pos="1440"/>
        </w:tabs>
        <w:spacing w:before="200"/>
        <w:rPr>
          <w:rFonts w:ascii="Cambria Math" w:hAnsi="Cambria Math" w:cs="Arial"/>
          <w:i/>
          <w:iCs/>
        </w:rPr>
      </w:pPr>
      <w:r w:rsidRPr="001570EA">
        <w:rPr>
          <w:rFonts w:ascii="Cambria Math" w:hAnsi="Cambria Math" w:cs="Arial"/>
          <w:i/>
          <w:iCs/>
        </w:rPr>
        <w:t>ΔkWh</w:t>
      </w:r>
      <w:r w:rsidRPr="001570EA">
        <w:rPr>
          <w:rFonts w:ascii="Cambria Math" w:hAnsi="Cambria Math" w:cs="Arial"/>
          <w:i/>
          <w:iCs/>
        </w:rPr>
        <w:tab/>
      </w:r>
      <m:oMath>
        <m:r>
          <w:rPr>
            <w:rFonts w:ascii="Cambria Math" w:hAnsi="Cambria Math" w:cs="Arial"/>
          </w:rPr>
          <m:t>=</m:t>
        </m:r>
        <m:sSub>
          <m:sSubPr>
            <m:ctrlPr>
              <w:rPr>
                <w:rFonts w:ascii="Cambria Math" w:hAnsi="Cambria Math" w:cs="Arial"/>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cool</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Δ</m:t>
            </m:r>
            <m:r>
              <w:rPr>
                <w:rFonts w:ascii="Cambria Math" w:hAnsi="Cambria Math" w:cs="Arial"/>
              </w:rPr>
              <m:t>kWh</m:t>
            </m:r>
          </m:e>
          <m:sub>
            <m:r>
              <w:rPr>
                <w:rFonts w:ascii="Cambria Math" w:hAnsi="Cambria Math" w:cs="Arial"/>
              </w:rPr>
              <m:t>heat</m:t>
            </m:r>
          </m:sub>
        </m:sSub>
      </m:oMath>
    </w:p>
    <w:p w14:paraId="1DB89D7C" w14:textId="77777777" w:rsidR="007376E1" w:rsidRPr="001570EA" w:rsidRDefault="007376E1" w:rsidP="007376E1">
      <w:pPr>
        <w:pStyle w:val="BodyText"/>
        <w:tabs>
          <w:tab w:val="left" w:pos="1440"/>
        </w:tabs>
        <w:spacing w:before="200"/>
        <w:rPr>
          <w:rFonts w:ascii="Cambria Math" w:hAnsi="Cambria Math" w:cs="Arial"/>
          <w:i/>
          <w:iCs/>
        </w:rPr>
      </w:pPr>
      <w:r w:rsidRPr="001570EA">
        <w:rPr>
          <w:rFonts w:ascii="Cambria Math" w:hAnsi="Cambria Math" w:cs="Arial"/>
          <w:i/>
          <w:iCs/>
        </w:rPr>
        <w:tab/>
        <w:t>ΔkWh</w:t>
      </w:r>
      <w:r w:rsidRPr="001570EA">
        <w:rPr>
          <w:rFonts w:ascii="Cambria Math" w:hAnsi="Cambria Math" w:cs="Arial"/>
          <w:i/>
          <w:iCs/>
          <w:vertAlign w:val="subscript"/>
        </w:rPr>
        <w:t>heat</w:t>
      </w:r>
      <w:r w:rsidRPr="001570EA">
        <w:rPr>
          <w:rFonts w:ascii="Cambria Math" w:hAnsi="Cambria Math" w:cs="Arial"/>
          <w:i/>
          <w:iCs/>
        </w:rPr>
        <w:t xml:space="preserve"> </w:t>
      </w:r>
      <w:r w:rsidRPr="001570EA">
        <w:rPr>
          <w:rFonts w:ascii="Cambria Math" w:hAnsi="Cambria Math" w:cs="Arial"/>
          <w:i/>
          <w:iCs/>
          <w:vertAlign w:val="subscript"/>
        </w:rPr>
        <w:tab/>
      </w:r>
      <m:oMath>
        <m:r>
          <w:rPr>
            <w:rFonts w:ascii="Cambria Math" w:hAnsi="Cambria Math" w:cs="Arial"/>
          </w:rPr>
          <m:t>=</m:t>
        </m:r>
        <m:sSub>
          <m:sSubPr>
            <m:ctrlPr>
              <w:rPr>
                <w:rFonts w:ascii="Cambria Math" w:hAnsi="Cambria Math" w:cs="Arial"/>
                <w:i/>
                <w:iCs/>
              </w:rPr>
            </m:ctrlPr>
          </m:sSubPr>
          <m:e>
            <m:r>
              <w:rPr>
                <w:rFonts w:ascii="Cambria Math" w:hAnsi="Cambria Math" w:cs="Arial"/>
              </w:rPr>
              <m:t>CAPY</m:t>
            </m:r>
          </m:e>
          <m:sub>
            <m:r>
              <w:rPr>
                <w:rFonts w:ascii="Cambria Math" w:hAnsi="Cambria Math" w:cs="Arial"/>
              </w:rPr>
              <m:t>heat</m:t>
            </m:r>
          </m:sub>
        </m:sSub>
        <m:r>
          <w:rPr>
            <w:rFonts w:ascii="Cambria Math" w:hAnsi="Cambria Math" w:cs="Arial"/>
          </w:rPr>
          <m:t>×</m:t>
        </m:r>
        <m:f>
          <m:fPr>
            <m:ctrlPr>
              <w:rPr>
                <w:rFonts w:ascii="Cambria Math" w:hAnsi="Cambria Math" w:cs="Arial"/>
                <w:i/>
                <w:iCs/>
              </w:rPr>
            </m:ctrlPr>
          </m:fPr>
          <m:num>
            <m:r>
              <w:rPr>
                <w:rFonts w:ascii="Cambria Math" w:hAnsi="Cambria Math" w:cs="Arial"/>
              </w:rPr>
              <m:t>1</m:t>
            </m:r>
          </m:num>
          <m:den>
            <m:r>
              <w:rPr>
                <w:rFonts w:ascii="Cambria Math" w:hAnsi="Cambria Math" w:cs="Arial"/>
              </w:rPr>
              <m:t>3.412</m:t>
            </m:r>
          </m:den>
        </m:f>
        <m:r>
          <w:rPr>
            <w:rFonts w:ascii="Cambria Math" w:hAnsi="Cambria Math" w:cs="Arial"/>
          </w:rPr>
          <m:t>×</m:t>
        </m:r>
        <m:d>
          <m:dPr>
            <m:ctrlPr>
              <w:rPr>
                <w:rFonts w:ascii="Cambria Math" w:hAnsi="Cambria Math" w:cs="Arial"/>
                <w:i/>
                <w:iCs/>
              </w:rPr>
            </m:ctrlPr>
          </m:dPr>
          <m:e>
            <m:f>
              <m:fPr>
                <m:ctrlPr>
                  <w:rPr>
                    <w:rFonts w:ascii="Cambria Math" w:hAnsi="Cambria Math" w:cs="Arial"/>
                    <w:i/>
                    <w:iCs/>
                  </w:rPr>
                </m:ctrlPr>
              </m:fPr>
              <m:num>
                <m:sSub>
                  <m:sSubPr>
                    <m:ctrlPr>
                      <w:rPr>
                        <w:rFonts w:ascii="Cambria Math" w:hAnsi="Cambria Math" w:cs="Arial"/>
                        <w:i/>
                        <w:iCs/>
                      </w:rPr>
                    </m:ctrlPr>
                  </m:sSubPr>
                  <m:e>
                    <m:r>
                      <w:rPr>
                        <w:rFonts w:ascii="Cambria Math" w:hAnsi="Cambria Math" w:cs="Arial"/>
                      </w:rPr>
                      <m:t>OF</m:t>
                    </m:r>
                  </m:e>
                  <m:sub>
                    <m:r>
                      <w:rPr>
                        <w:rFonts w:ascii="Cambria Math" w:hAnsi="Cambria Math" w:cs="Arial"/>
                      </w:rPr>
                      <m:t xml:space="preserve">heat </m:t>
                    </m:r>
                  </m:sub>
                </m:sSub>
                <m:r>
                  <w:rPr>
                    <w:rFonts w:ascii="Cambria Math" w:hAnsi="Cambria Math" w:cs="Arial"/>
                  </w:rPr>
                  <m:t xml:space="preserve"> </m:t>
                </m:r>
              </m:num>
              <m:den>
                <m:sSub>
                  <m:sSubPr>
                    <m:ctrlPr>
                      <w:rPr>
                        <w:rFonts w:ascii="Cambria Math" w:hAnsi="Cambria Math" w:cs="Arial"/>
                        <w:i/>
                        <w:iCs/>
                      </w:rPr>
                    </m:ctrlPr>
                  </m:sSubPr>
                  <m:e>
                    <m:r>
                      <w:rPr>
                        <w:rFonts w:ascii="Cambria Math" w:hAnsi="Cambria Math" w:cs="Arial"/>
                      </w:rPr>
                      <m:t>COP</m:t>
                    </m:r>
                  </m:e>
                  <m:sub>
                    <m:r>
                      <w:rPr>
                        <w:rFonts w:ascii="Cambria Math" w:hAnsi="Cambria Math" w:cs="Arial"/>
                      </w:rPr>
                      <m:t>base</m:t>
                    </m:r>
                  </m:sub>
                </m:sSub>
                <m:r>
                  <w:rPr>
                    <w:rFonts w:ascii="Cambria Math" w:hAnsi="Cambria Math" w:cs="Arial"/>
                  </w:rPr>
                  <m:t xml:space="preserve">  </m:t>
                </m:r>
              </m:den>
            </m:f>
            <m:r>
              <w:rPr>
                <w:rFonts w:ascii="Cambria Math" w:hAnsi="Cambria Math" w:cs="Arial"/>
              </w:rPr>
              <m:t>-</m:t>
            </m:r>
            <m:f>
              <m:fPr>
                <m:ctrlPr>
                  <w:rPr>
                    <w:rFonts w:ascii="Cambria Math" w:hAnsi="Cambria Math" w:cs="Arial"/>
                    <w:i/>
                    <w:iCs/>
                  </w:rPr>
                </m:ctrlPr>
              </m:fPr>
              <m:num>
                <m:r>
                  <w:rPr>
                    <w:rFonts w:ascii="Cambria Math" w:hAnsi="Cambria Math" w:cs="Arial"/>
                  </w:rPr>
                  <m:t>1</m:t>
                </m:r>
              </m:num>
              <m:den>
                <m:sSub>
                  <m:sSubPr>
                    <m:ctrlPr>
                      <w:rPr>
                        <w:rFonts w:ascii="Cambria Math" w:hAnsi="Cambria Math" w:cs="Arial"/>
                        <w:i/>
                        <w:iCs/>
                      </w:rPr>
                    </m:ctrlPr>
                  </m:sSubPr>
                  <m:e>
                    <m:r>
                      <w:rPr>
                        <w:rFonts w:ascii="Cambria Math" w:hAnsi="Cambria Math" w:cs="Arial"/>
                      </w:rPr>
                      <m:t>COP</m:t>
                    </m:r>
                  </m:e>
                  <m:sub>
                    <m:r>
                      <w:rPr>
                        <w:rFonts w:ascii="Cambria Math" w:hAnsi="Cambria Math" w:cs="Arial"/>
                      </w:rPr>
                      <m:t>ee</m:t>
                    </m:r>
                  </m:sub>
                </m:sSub>
              </m:den>
            </m:f>
          </m:e>
        </m:d>
        <m:r>
          <w:rPr>
            <w:rFonts w:ascii="Cambria Math" w:hAnsi="Cambria Math" w:cs="Arial"/>
          </w:rPr>
          <m:t>×</m:t>
        </m:r>
        <m:sSub>
          <m:sSubPr>
            <m:ctrlPr>
              <w:rPr>
                <w:rFonts w:ascii="Cambria Math" w:hAnsi="Cambria Math" w:cs="Arial"/>
                <w:i/>
                <w:iCs/>
              </w:rPr>
            </m:ctrlPr>
          </m:sSubPr>
          <m:e>
            <m:r>
              <w:rPr>
                <w:rFonts w:ascii="Cambria Math" w:hAnsi="Cambria Math" w:cs="Arial"/>
              </w:rPr>
              <m:t>EFLH</m:t>
            </m:r>
          </m:e>
          <m:sub>
            <m:r>
              <w:rPr>
                <w:rFonts w:ascii="Cambria Math" w:hAnsi="Cambria Math" w:cs="Arial"/>
              </w:rPr>
              <m:t>heat,HP</m:t>
            </m:r>
          </m:sub>
        </m:sSub>
      </m:oMath>
      <w:r w:rsidRPr="001570EA">
        <w:rPr>
          <w:rFonts w:eastAsia="Calibri"/>
          <w:iCs/>
          <w:szCs w:val="16"/>
        </w:rPr>
        <w:t>.</w:t>
      </w:r>
    </w:p>
    <w:p w14:paraId="4E7E526C" w14:textId="77777777" w:rsidR="007376E1" w:rsidRPr="001570EA" w:rsidRDefault="007376E1" w:rsidP="007376E1">
      <w:pPr>
        <w:pStyle w:val="BodyText"/>
        <w:tabs>
          <w:tab w:val="left" w:pos="1440"/>
        </w:tabs>
        <w:spacing w:before="200"/>
        <w:rPr>
          <w:rFonts w:ascii="Cambria Math" w:hAnsi="Cambria Math" w:cs="Arial"/>
          <w:i/>
          <w:sz w:val="22"/>
          <w:szCs w:val="22"/>
        </w:rPr>
      </w:pPr>
      <w:r w:rsidRPr="001570EA">
        <w:rPr>
          <w:rFonts w:ascii="Cambria Math" w:hAnsi="Cambria Math" w:cs="Arial"/>
          <w:i/>
          <w:iCs/>
        </w:rPr>
        <w:tab/>
        <w:t>ΔkWh</w:t>
      </w:r>
      <w:r w:rsidRPr="001570EA">
        <w:rPr>
          <w:rFonts w:ascii="Cambria Math" w:hAnsi="Cambria Math" w:cs="Arial"/>
          <w:i/>
          <w:iCs/>
          <w:vertAlign w:val="subscript"/>
        </w:rPr>
        <w:t>cool</w:t>
      </w:r>
      <w:r w:rsidRPr="001570EA">
        <w:rPr>
          <w:rFonts w:ascii="Cambria Math" w:hAnsi="Cambria Math" w:cs="Arial"/>
          <w:i/>
          <w:iCs/>
          <w:vertAlign w:val="subscript"/>
        </w:rPr>
        <w:tab/>
      </w:r>
      <m:oMath>
        <m:r>
          <w:rPr>
            <w:rFonts w:ascii="Cambria Math" w:hAnsi="Cambria Math" w:cs="Arial"/>
            <w:sz w:val="22"/>
            <w:szCs w:val="22"/>
          </w:rPr>
          <m:t>=</m:t>
        </m:r>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r>
          <w:rPr>
            <w:rFonts w:ascii="Cambria Math" w:hAnsi="Cambria Math" w:cs="Arial"/>
            <w:sz w:val="22"/>
            <w:szCs w:val="22"/>
          </w:rPr>
          <m:t>×</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1</m:t>
                </m:r>
              </m:num>
              <m:den>
                <m:sSub>
                  <m:sSubPr>
                    <m:ctrlPr>
                      <w:rPr>
                        <w:rFonts w:ascii="Cambria Math" w:hAnsi="Cambria Math" w:cs="Arial"/>
                        <w:i/>
                        <w:sz w:val="22"/>
                        <w:szCs w:val="22"/>
                      </w:rPr>
                    </m:ctrlPr>
                  </m:sSubPr>
                  <m:e>
                    <m:r>
                      <w:rPr>
                        <w:rFonts w:ascii="Cambria Math" w:hAnsi="Cambria Math" w:cs="Arial"/>
                        <w:sz w:val="22"/>
                        <w:szCs w:val="22"/>
                      </w:rPr>
                      <m:t>CEER</m:t>
                    </m:r>
                  </m:e>
                  <m:sub>
                    <m:r>
                      <w:rPr>
                        <w:rFonts w:ascii="Cambria Math" w:hAnsi="Cambria Math" w:cs="Arial"/>
                        <w:sz w:val="22"/>
                        <w:szCs w:val="22"/>
                      </w:rPr>
                      <m:t xml:space="preserve">base </m:t>
                    </m:r>
                  </m:sub>
                </m:sSub>
              </m:den>
            </m:f>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sSub>
                  <m:sSubPr>
                    <m:ctrlPr>
                      <w:rPr>
                        <w:rFonts w:ascii="Cambria Math" w:hAnsi="Cambria Math" w:cs="Arial"/>
                        <w:i/>
                        <w:sz w:val="22"/>
                        <w:szCs w:val="22"/>
                      </w:rPr>
                    </m:ctrlPr>
                  </m:sSubPr>
                  <m:e>
                    <m:r>
                      <w:rPr>
                        <w:rFonts w:ascii="Cambria Math" w:hAnsi="Cambria Math" w:cs="Arial"/>
                        <w:sz w:val="22"/>
                        <w:szCs w:val="22"/>
                      </w:rPr>
                      <m:t>CEER</m:t>
                    </m:r>
                  </m:e>
                  <m:sub>
                    <m:r>
                      <w:rPr>
                        <w:rFonts w:ascii="Cambria Math" w:hAnsi="Cambria Math" w:cs="Arial"/>
                        <w:sz w:val="22"/>
                        <w:szCs w:val="22"/>
                      </w:rPr>
                      <m:t>ee</m:t>
                    </m:r>
                  </m:sub>
                </m:sSub>
              </m:den>
            </m:f>
          </m:e>
        </m:d>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EFLH</m:t>
            </m:r>
          </m:e>
          <m:sub>
            <m:r>
              <w:rPr>
                <w:rFonts w:ascii="Cambria Math" w:hAnsi="Cambria Math" w:cs="Arial"/>
                <w:sz w:val="22"/>
                <w:szCs w:val="22"/>
              </w:rPr>
              <m:t>RAC</m:t>
            </m:r>
          </m:sub>
        </m:sSub>
      </m:oMath>
    </w:p>
    <w:p w14:paraId="5F2CD1CC" w14:textId="77777777" w:rsidR="007376E1" w:rsidRPr="001570EA" w:rsidRDefault="007376E1" w:rsidP="007376E1">
      <w:pPr>
        <w:pStyle w:val="NoSpacing"/>
        <w:spacing w:line="360" w:lineRule="auto"/>
        <w:rPr>
          <w:rFonts w:cs="Arial"/>
          <w:i/>
          <w:szCs w:val="20"/>
        </w:rPr>
      </w:pPr>
      <m:oMathPara>
        <m:oMathParaPr>
          <m:jc m:val="left"/>
        </m:oMathParaPr>
        <m:oMath>
          <m:r>
            <w:rPr>
              <w:rFonts w:ascii="Cambria Math" w:hAnsi="Cambria Math" w:cs="Arial"/>
              <w:szCs w:val="20"/>
            </w:rPr>
            <m:t>∆</m:t>
          </m:r>
          <m:sSub>
            <m:sSubPr>
              <m:ctrlPr>
                <w:rPr>
                  <w:rFonts w:ascii="Cambria Math" w:eastAsia="Times New Roman" w:hAnsi="Cambria Math" w:cs="Arial"/>
                  <w:i/>
                  <w:szCs w:val="20"/>
                </w:rPr>
              </m:ctrlPr>
            </m:sSubPr>
            <m:e>
              <m:r>
                <w:rPr>
                  <w:rFonts w:ascii="Cambria Math" w:hAnsi="Cambria Math" w:cs="Arial"/>
                  <w:szCs w:val="20"/>
                </w:rPr>
                <m:t>kW</m:t>
              </m:r>
            </m:e>
            <m:sub>
              <m:r>
                <w:rPr>
                  <w:rFonts w:ascii="Cambria Math" w:hAnsi="Cambria Math" w:cs="Arial"/>
                  <w:szCs w:val="20"/>
                </w:rPr>
                <m:t>peak summer</m:t>
              </m:r>
            </m:sub>
          </m:sSub>
          <m:r>
            <w:rPr>
              <w:rFonts w:ascii="Cambria Math" w:hAnsi="Cambria Math" w:cs="Arial"/>
              <w:szCs w:val="20"/>
            </w:rPr>
            <m:t xml:space="preserve">                       =</m:t>
          </m:r>
          <m:sSub>
            <m:sSubPr>
              <m:ctrlPr>
                <w:rPr>
                  <w:rFonts w:ascii="Cambria Math" w:hAnsi="Cambria Math" w:cs="Arial"/>
                  <w:i/>
                  <w:szCs w:val="20"/>
                </w:rPr>
              </m:ctrlPr>
            </m:sSubPr>
            <m:e>
              <m:r>
                <w:rPr>
                  <w:rFonts w:ascii="Cambria Math" w:hAnsi="Cambria Math" w:cs="Arial"/>
                  <w:szCs w:val="20"/>
                </w:rPr>
                <m:t>CAPY</m:t>
              </m:r>
            </m:e>
            <m:sub>
              <m:r>
                <w:rPr>
                  <w:rFonts w:ascii="Cambria Math" w:hAnsi="Cambria Math" w:cs="Arial"/>
                  <w:szCs w:val="20"/>
                </w:rPr>
                <m:t>cool</m:t>
              </m:r>
            </m:sub>
          </m:sSub>
          <m:r>
            <w:rPr>
              <w:rFonts w:ascii="Cambria Math" w:hAnsi="Cambria Math" w:cs="Arial"/>
              <w:szCs w:val="20"/>
            </w:rPr>
            <m:t>×</m:t>
          </m:r>
          <m:d>
            <m:dPr>
              <m:ctrlPr>
                <w:rPr>
                  <w:rFonts w:ascii="Cambria Math" w:eastAsia="Times New Roman" w:hAnsi="Cambria Math" w:cs="Arial"/>
                  <w:i/>
                  <w:szCs w:val="20"/>
                </w:rPr>
              </m:ctrlPr>
            </m:dPr>
            <m:e>
              <m:f>
                <m:fPr>
                  <m:ctrlPr>
                    <w:rPr>
                      <w:rFonts w:ascii="Cambria Math" w:eastAsia="Times New Roman" w:hAnsi="Cambria Math" w:cs="Arial"/>
                      <w:i/>
                      <w:szCs w:val="20"/>
                    </w:rPr>
                  </m:ctrlPr>
                </m:fPr>
                <m:num>
                  <m:r>
                    <w:rPr>
                      <w:rFonts w:ascii="Cambria Math" w:hAnsi="Cambria Math" w:cs="Arial"/>
                      <w:szCs w:val="20"/>
                    </w:rPr>
                    <m:t>1</m:t>
                  </m:r>
                </m:num>
                <m:den>
                  <m:sSub>
                    <m:sSubPr>
                      <m:ctrlPr>
                        <w:rPr>
                          <w:rFonts w:ascii="Cambria Math" w:eastAsia="Times New Roman" w:hAnsi="Cambria Math" w:cs="Arial"/>
                          <w:i/>
                          <w:szCs w:val="20"/>
                        </w:rPr>
                      </m:ctrlPr>
                    </m:sSubPr>
                    <m:e>
                      <m:r>
                        <w:rPr>
                          <w:rFonts w:ascii="Cambria Math" w:hAnsi="Cambria Math" w:cs="Arial"/>
                          <w:szCs w:val="20"/>
                        </w:rPr>
                        <m:t>CEER</m:t>
                      </m:r>
                    </m:e>
                    <m:sub>
                      <m:r>
                        <w:rPr>
                          <w:rFonts w:ascii="Cambria Math" w:hAnsi="Cambria Math" w:cs="Arial"/>
                          <w:szCs w:val="20"/>
                        </w:rPr>
                        <m:t>base</m:t>
                      </m:r>
                    </m:sub>
                  </m:sSub>
                </m:den>
              </m:f>
              <m:r>
                <w:rPr>
                  <w:rFonts w:ascii="Cambria Math" w:hAnsi="Cambria Math" w:cs="Arial"/>
                  <w:szCs w:val="20"/>
                </w:rPr>
                <m:t>-</m:t>
              </m:r>
              <m:f>
                <m:fPr>
                  <m:ctrlPr>
                    <w:rPr>
                      <w:rFonts w:ascii="Cambria Math" w:eastAsia="Times New Roman" w:hAnsi="Cambria Math" w:cs="Arial"/>
                      <w:i/>
                      <w:szCs w:val="20"/>
                    </w:rPr>
                  </m:ctrlPr>
                </m:fPr>
                <m:num>
                  <m:r>
                    <w:rPr>
                      <w:rFonts w:ascii="Cambria Math" w:hAnsi="Cambria Math" w:cs="Arial"/>
                      <w:szCs w:val="20"/>
                    </w:rPr>
                    <m:t>1</m:t>
                  </m:r>
                </m:num>
                <m:den>
                  <m:r>
                    <w:rPr>
                      <w:rFonts w:ascii="Cambria Math" w:hAnsi="Cambria Math" w:cs="Arial"/>
                      <w:szCs w:val="20"/>
                    </w:rPr>
                    <m:t>C</m:t>
                  </m:r>
                  <m:sSub>
                    <m:sSubPr>
                      <m:ctrlPr>
                        <w:rPr>
                          <w:rFonts w:ascii="Cambria Math" w:eastAsia="Times New Roman" w:hAnsi="Cambria Math" w:cs="Arial"/>
                          <w:i/>
                          <w:szCs w:val="20"/>
                        </w:rPr>
                      </m:ctrlPr>
                    </m:sSubPr>
                    <m:e>
                      <m:r>
                        <w:rPr>
                          <w:rFonts w:ascii="Cambria Math" w:hAnsi="Cambria Math" w:cs="Arial"/>
                          <w:szCs w:val="20"/>
                        </w:rPr>
                        <m:t>EER</m:t>
                      </m:r>
                    </m:e>
                    <m:sub>
                      <m:r>
                        <w:rPr>
                          <w:rFonts w:ascii="Cambria Math" w:hAnsi="Cambria Math" w:cs="Arial"/>
                          <w:szCs w:val="20"/>
                        </w:rPr>
                        <m:t>ee</m:t>
                      </m:r>
                    </m:sub>
                  </m:sSub>
                </m:den>
              </m:f>
            </m:e>
          </m:d>
          <m:r>
            <w:rPr>
              <w:rFonts w:ascii="Cambria Math" w:hAnsi="Cambria Math" w:cs="Arial"/>
              <w:szCs w:val="20"/>
            </w:rPr>
            <m:t>×</m:t>
          </m:r>
          <m:sSub>
            <m:sSubPr>
              <m:ctrlPr>
                <w:rPr>
                  <w:rFonts w:ascii="Cambria Math" w:eastAsia="Times New Roman" w:hAnsi="Cambria Math" w:cs="Arial"/>
                  <w:i/>
                  <w:szCs w:val="20"/>
                </w:rPr>
              </m:ctrlPr>
            </m:sSubPr>
            <m:e>
              <m:r>
                <w:rPr>
                  <w:rFonts w:ascii="Cambria Math" w:hAnsi="Cambria Math" w:cs="Arial"/>
                  <w:szCs w:val="20"/>
                </w:rPr>
                <m:t>CF</m:t>
              </m:r>
            </m:e>
            <m:sub>
              <m:r>
                <w:rPr>
                  <w:rFonts w:ascii="Cambria Math" w:hAnsi="Cambria Math" w:cs="Arial"/>
                  <w:szCs w:val="20"/>
                </w:rPr>
                <m:t>summer</m:t>
              </m:r>
            </m:sub>
          </m:sSub>
        </m:oMath>
      </m:oMathPara>
    </w:p>
    <w:p w14:paraId="557973C6" w14:textId="77777777" w:rsidR="007376E1" w:rsidRPr="001570EA" w:rsidRDefault="007376E1" w:rsidP="007376E1">
      <w:pPr>
        <w:pStyle w:val="NoSpacing"/>
        <w:spacing w:line="360" w:lineRule="auto"/>
        <w:rPr>
          <w:rFonts w:cs="Arial"/>
          <w:i/>
        </w:rPr>
      </w:pPr>
      <m:oMathPara>
        <m:oMathParaPr>
          <m:jc m:val="left"/>
        </m:oMathParaPr>
        <m:oMath>
          <m:r>
            <w:rPr>
              <w:rFonts w:ascii="Cambria Math" w:hAnsi="Cambria Math" w:cs="Arial"/>
            </w:rPr>
            <m:t>∆</m:t>
          </m:r>
          <m:sSub>
            <m:sSubPr>
              <m:ctrlPr>
                <w:rPr>
                  <w:rFonts w:ascii="Cambria Math" w:eastAsia="Times New Roman" w:hAnsi="Cambria Math" w:cs="Arial"/>
                  <w:i/>
                </w:rPr>
              </m:ctrlPr>
            </m:sSubPr>
            <m:e>
              <m:r>
                <w:rPr>
                  <w:rFonts w:ascii="Cambria Math" w:hAnsi="Cambria Math" w:cs="Arial"/>
                </w:rPr>
                <m:t>kW</m:t>
              </m:r>
            </m:e>
            <m:sub>
              <m:r>
                <w:rPr>
                  <w:rFonts w:ascii="Cambria Math" w:hAnsi="Cambria Math" w:cs="Arial"/>
                </w:rPr>
                <m:t>peak winter</m:t>
              </m:r>
            </m:sub>
          </m:sSub>
          <m:r>
            <w:rPr>
              <w:rFonts w:ascii="Cambria Math" w:hAnsi="Cambria Math" w:cs="Arial"/>
            </w:rPr>
            <m:t xml:space="preserve">                       =0</m:t>
          </m:r>
        </m:oMath>
      </m:oMathPara>
    </w:p>
    <w:p w14:paraId="2F5B45A7" w14:textId="77777777" w:rsidR="007376E1" w:rsidRPr="001570EA" w:rsidRDefault="007376E1" w:rsidP="007376E1">
      <w:pPr>
        <w:pStyle w:val="3ptheading"/>
        <w:spacing w:before="200" w:after="200"/>
        <w:rPr>
          <w:rFonts w:cs="Arial"/>
        </w:rPr>
      </w:pPr>
      <w:r w:rsidRPr="001570EA">
        <w:rPr>
          <w:rFonts w:cs="Arial"/>
        </w:rPr>
        <w:t>Baseline: Spaceheater(s), Electric Baseboards</w:t>
      </w:r>
    </w:p>
    <w:p w14:paraId="5B8BDF86" w14:textId="77777777" w:rsidR="007376E1" w:rsidRPr="001570EA" w:rsidRDefault="007376E1" w:rsidP="007376E1">
      <w:pPr>
        <w:spacing w:before="200"/>
      </w:pPr>
      <w:r w:rsidRPr="001570EA">
        <w:t xml:space="preserve">EDCs may collect information about the capacity of the existing space heaters, electric furnaces, or electric baseboards. Capacity is determined using the total wattage of electric heat in use, where </w:t>
      </w:r>
      <w:r w:rsidRPr="001570EA">
        <w:rPr>
          <w:rFonts w:ascii="Cambria Math" w:hAnsi="Cambria Math"/>
          <w:i/>
          <w:iCs/>
        </w:rPr>
        <w:t>OF</w:t>
      </w:r>
      <w:r w:rsidRPr="001570EA">
        <w:rPr>
          <w:rFonts w:ascii="Cambria Math" w:hAnsi="Cambria Math"/>
          <w:i/>
          <w:iCs/>
          <w:vertAlign w:val="subscript"/>
        </w:rPr>
        <w:t>heat</w:t>
      </w:r>
      <w:r w:rsidRPr="001570EA">
        <w:t xml:space="preserve"> is the ratio of the existing electric capacity to the capacity of the new equipment:</w:t>
      </w:r>
    </w:p>
    <w:p w14:paraId="200AF8F0" w14:textId="77777777" w:rsidR="007376E1" w:rsidRPr="001570EA" w:rsidRDefault="007376E1" w:rsidP="007376E1">
      <w:pPr>
        <w:spacing w:before="200"/>
      </w:pPr>
      <w:r w:rsidRPr="001570EA">
        <w:rPr>
          <w:rFonts w:ascii="Cambria Math" w:hAnsi="Cambria Math"/>
          <w:i/>
        </w:rPr>
        <w:t>OF</w:t>
      </w:r>
      <w:r w:rsidRPr="001570EA">
        <w:rPr>
          <w:rFonts w:ascii="Cambria Math" w:hAnsi="Cambria Math"/>
          <w:i/>
          <w:vertAlign w:val="subscript"/>
        </w:rPr>
        <w:t>heat</w:t>
      </w:r>
      <w:r w:rsidRPr="001570EA">
        <w:rPr>
          <w:rFonts w:ascii="Cambria Math" w:hAnsi="Cambria Math"/>
          <w:i/>
        </w:rPr>
        <w:tab/>
      </w:r>
      <m:oMath>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kW</m:t>
                    </m:r>
                  </m:e>
                  <m:sub>
                    <m:r>
                      <w:rPr>
                        <w:rFonts w:ascii="Cambria Math" w:hAnsi="Cambria Math"/>
                      </w:rPr>
                      <m:t>Spaceheat</m:t>
                    </m:r>
                  </m:sub>
                </m:sSub>
              </m:e>
            </m:nary>
            <m:r>
              <w:rPr>
                <w:rFonts w:ascii="Cambria Math" w:hAnsi="Cambria Math"/>
              </w:rPr>
              <m:t xml:space="preserve"> ×</m:t>
            </m:r>
            <m:r>
              <m:rPr>
                <m:nor/>
              </m:rPr>
              <w:rPr>
                <w:rFonts w:ascii="Cambria Math" w:hAnsi="Cambria Math" w:cs="Arial"/>
              </w:rPr>
              <m:t>3.412</m:t>
            </m:r>
            <m:f>
              <m:fPr>
                <m:ctrlPr>
                  <w:rPr>
                    <w:rFonts w:ascii="Cambria Math" w:hAnsi="Cambria Math" w:cs="Arial"/>
                    <w:i/>
                  </w:rPr>
                </m:ctrlPr>
              </m:fPr>
              <m:num>
                <m:r>
                  <m:rPr>
                    <m:nor/>
                  </m:rPr>
                  <w:rPr>
                    <w:rFonts w:ascii="Cambria Math" w:hAnsi="Cambria Math" w:cs="Arial"/>
                    <w:i/>
                    <w:iCs/>
                  </w:rPr>
                  <m:t>BTU</m:t>
                </m:r>
              </m:num>
              <m:den>
                <m:r>
                  <m:rPr>
                    <m:nor/>
                  </m:rPr>
                  <w:rPr>
                    <w:rFonts w:ascii="Cambria Math" w:hAnsi="Cambria Math" w:cs="Arial"/>
                    <w:i/>
                    <w:iCs/>
                  </w:rPr>
                  <m:t>W∙h</m:t>
                </m:r>
              </m:den>
            </m:f>
          </m:num>
          <m:den>
            <m:sSub>
              <m:sSubPr>
                <m:ctrlPr>
                  <w:rPr>
                    <w:rFonts w:ascii="Cambria Math" w:hAnsi="Cambria Math"/>
                    <w:i/>
                  </w:rPr>
                </m:ctrlPr>
              </m:sSubPr>
              <m:e>
                <m:r>
                  <w:rPr>
                    <w:rFonts w:ascii="Cambria Math" w:hAnsi="Cambria Math"/>
                  </w:rPr>
                  <m:t>CAPY</m:t>
                </m:r>
              </m:e>
              <m:sub>
                <m:r>
                  <w:rPr>
                    <w:rFonts w:ascii="Cambria Math" w:hAnsi="Cambria Math"/>
                  </w:rPr>
                  <m:t>Heat</m:t>
                </m:r>
              </m:sub>
            </m:sSub>
          </m:den>
        </m:f>
      </m:oMath>
    </w:p>
    <w:p w14:paraId="152C5E04" w14:textId="77777777" w:rsidR="00F67270" w:rsidRDefault="00F67270" w:rsidP="007376E1">
      <w:pPr>
        <w:pStyle w:val="SubStyle"/>
      </w:pPr>
    </w:p>
    <w:p w14:paraId="5FFCE02F" w14:textId="784549C7" w:rsidR="007376E1" w:rsidRPr="001570EA" w:rsidRDefault="007376E1" w:rsidP="007376E1">
      <w:pPr>
        <w:pStyle w:val="SubStyle"/>
      </w:pPr>
      <w:r w:rsidRPr="001570EA">
        <w:t>Definition of Terms</w:t>
      </w:r>
    </w:p>
    <w:p w14:paraId="0331527B" w14:textId="0C226E24" w:rsidR="007376E1" w:rsidRPr="001570EA" w:rsidRDefault="00540B03" w:rsidP="007376E1">
      <w:pPr>
        <w:pStyle w:val="Caption"/>
        <w:jc w:val="left"/>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34</w:t>
      </w:r>
      <w:r w:rsidR="002E093A" w:rsidRPr="001570EA">
        <w:fldChar w:fldCharType="end"/>
      </w:r>
      <w:r w:rsidRPr="001570EA">
        <w:t>: Terms, Values, and References for Window Heat Pumps</w:t>
      </w:r>
    </w:p>
    <w:tbl>
      <w:tblPr>
        <w:tblStyle w:val="TableGrid"/>
        <w:tblW w:w="8640" w:type="dxa"/>
        <w:tblInd w:w="108" w:type="dxa"/>
        <w:tblLayout w:type="fixed"/>
        <w:tblLook w:val="04A0" w:firstRow="1" w:lastRow="0" w:firstColumn="1" w:lastColumn="0" w:noHBand="0" w:noVBand="1"/>
      </w:tblPr>
      <w:tblGrid>
        <w:gridCol w:w="3690"/>
        <w:gridCol w:w="1170"/>
        <w:gridCol w:w="2070"/>
        <w:gridCol w:w="1710"/>
      </w:tblGrid>
      <w:tr w:rsidR="007376E1" w:rsidRPr="001570EA" w14:paraId="305EE437" w14:textId="77777777">
        <w:trPr>
          <w:cantSplit/>
          <w:trHeight w:val="242"/>
          <w:tblHeader/>
        </w:trPr>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35DF46" w14:textId="77777777" w:rsidR="007376E1" w:rsidRPr="001570EA" w:rsidRDefault="007376E1">
            <w:pPr>
              <w:rPr>
                <w:sz w:val="18"/>
                <w:szCs w:val="18"/>
              </w:rPr>
            </w:pPr>
            <w:r w:rsidRPr="001570EA">
              <w:rPr>
                <w:b/>
                <w:bCs/>
                <w:sz w:val="18"/>
                <w:szCs w:val="18"/>
              </w:rPr>
              <w:t>Term</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C348D0" w14:textId="77777777" w:rsidR="007376E1" w:rsidRPr="001570EA" w:rsidRDefault="007376E1">
            <w:pPr>
              <w:jc w:val="center"/>
              <w:rPr>
                <w:sz w:val="18"/>
                <w:szCs w:val="18"/>
              </w:rPr>
            </w:pPr>
            <w:r w:rsidRPr="001570EA">
              <w:rPr>
                <w:b/>
                <w:bCs/>
                <w:sz w:val="18"/>
                <w:szCs w:val="18"/>
              </w:rPr>
              <w:t>Unit</w:t>
            </w:r>
          </w:p>
        </w:tc>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CD2FDF" w14:textId="77777777" w:rsidR="007376E1" w:rsidRPr="001570EA" w:rsidRDefault="007376E1">
            <w:pPr>
              <w:jc w:val="center"/>
              <w:rPr>
                <w:sz w:val="18"/>
                <w:szCs w:val="18"/>
              </w:rPr>
            </w:pPr>
            <w:r w:rsidRPr="001570EA">
              <w:rPr>
                <w:b/>
                <w:bCs/>
                <w:sz w:val="18"/>
                <w:szCs w:val="18"/>
              </w:rPr>
              <w:t>Value</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B275D2" w14:textId="77777777" w:rsidR="007376E1" w:rsidRPr="001570EA" w:rsidRDefault="007376E1">
            <w:pPr>
              <w:jc w:val="center"/>
              <w:rPr>
                <w:sz w:val="18"/>
                <w:szCs w:val="18"/>
              </w:rPr>
            </w:pPr>
            <w:r w:rsidRPr="001570EA">
              <w:rPr>
                <w:b/>
                <w:bCs/>
                <w:sz w:val="18"/>
                <w:szCs w:val="18"/>
              </w:rPr>
              <w:t>Sources</w:t>
            </w:r>
          </w:p>
        </w:tc>
      </w:tr>
      <w:tr w:rsidR="007376E1" w:rsidRPr="001570EA" w14:paraId="0B4099B0"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4365CD2D" w14:textId="1E65EB18" w:rsidR="007376E1" w:rsidRPr="001570EA" w:rsidRDefault="007376E1">
            <w:pPr>
              <w:rPr>
                <w:sz w:val="18"/>
                <w:szCs w:val="18"/>
              </w:rPr>
            </w:pPr>
            <w:r w:rsidRPr="001570EA">
              <w:rPr>
                <w:i/>
                <w:iCs/>
                <w:sz w:val="18"/>
                <w:szCs w:val="18"/>
              </w:rPr>
              <w:t>CAPY</w:t>
            </w:r>
            <w:r w:rsidRPr="001570EA">
              <w:rPr>
                <w:i/>
                <w:iCs/>
                <w:sz w:val="18"/>
                <w:szCs w:val="18"/>
                <w:vertAlign w:val="subscript"/>
              </w:rPr>
              <w:t>heat</w:t>
            </w:r>
            <w:r w:rsidRPr="001570EA">
              <w:rPr>
                <w:sz w:val="18"/>
                <w:szCs w:val="18"/>
              </w:rPr>
              <w:t xml:space="preserve">, </w:t>
            </w:r>
            <w:r w:rsidRPr="001570EA">
              <w:rPr>
                <w:rFonts w:cs="Arial"/>
                <w:sz w:val="18"/>
                <w:szCs w:val="18"/>
              </w:rPr>
              <w:t>The heating capacity of the heat pump being installed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37CFDDB" w14:textId="77777777" w:rsidR="007376E1" w:rsidRPr="001570EA" w:rsidRDefault="007376E1">
            <w:pPr>
              <w:jc w:val="center"/>
              <w:rPr>
                <w:rFonts w:ascii="Cambria Math" w:hAnsi="Cambria Math"/>
                <w:sz w:val="18"/>
                <w:szCs w:val="18"/>
              </w:rPr>
            </w:pPr>
            <w:r w:rsidRPr="001570EA">
              <w:rPr>
                <w:rFonts w:ascii="Cambria Math" w:hAnsi="Cambria Math" w:cs="Arial"/>
                <w:i/>
                <w:iCs/>
                <w:sz w:val="18"/>
                <w:szCs w:val="18"/>
              </w:rPr>
              <w:t>kBTU/hr</w:t>
            </w:r>
          </w:p>
        </w:tc>
        <w:tc>
          <w:tcPr>
            <w:tcW w:w="2070" w:type="dxa"/>
            <w:tcBorders>
              <w:top w:val="single" w:sz="4" w:space="0" w:color="auto"/>
              <w:left w:val="single" w:sz="4" w:space="0" w:color="auto"/>
              <w:bottom w:val="single" w:sz="4" w:space="0" w:color="auto"/>
              <w:right w:val="single" w:sz="4" w:space="0" w:color="auto"/>
            </w:tcBorders>
            <w:vAlign w:val="center"/>
          </w:tcPr>
          <w:p w14:paraId="5D239179" w14:textId="77777777" w:rsidR="007376E1" w:rsidRPr="001570EA" w:rsidRDefault="007376E1">
            <w:pPr>
              <w:pStyle w:val="TableCell"/>
              <w:spacing w:before="60" w:after="60"/>
              <w:jc w:val="center"/>
              <w:rPr>
                <w:szCs w:val="18"/>
              </w:rPr>
            </w:pPr>
            <w:r w:rsidRPr="001570EA">
              <w:rPr>
                <w:szCs w:val="18"/>
              </w:rPr>
              <w:t>EDC Data Gathering</w:t>
            </w:r>
          </w:p>
          <w:p w14:paraId="3890C3C5" w14:textId="77777777" w:rsidR="007376E1" w:rsidRPr="001570EA" w:rsidRDefault="007376E1">
            <w:pPr>
              <w:jc w:val="center"/>
              <w:rPr>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24B33D3A"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118D07B9"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4854B095" w14:textId="46F8AA85" w:rsidR="007376E1" w:rsidRPr="001570EA" w:rsidRDefault="007376E1">
            <w:pPr>
              <w:rPr>
                <w:i/>
                <w:iCs/>
                <w:sz w:val="18"/>
                <w:szCs w:val="18"/>
              </w:rPr>
            </w:pPr>
            <w:r w:rsidRPr="001570EA">
              <w:rPr>
                <w:i/>
                <w:iCs/>
                <w:sz w:val="18"/>
                <w:szCs w:val="18"/>
              </w:rPr>
              <w:t>CAPY</w:t>
            </w:r>
            <w:r w:rsidRPr="001570EA">
              <w:rPr>
                <w:i/>
                <w:iCs/>
                <w:sz w:val="18"/>
                <w:szCs w:val="18"/>
                <w:vertAlign w:val="subscript"/>
              </w:rPr>
              <w:t>cool</w:t>
            </w:r>
            <w:r w:rsidRPr="001570EA">
              <w:rPr>
                <w:sz w:val="18"/>
                <w:szCs w:val="18"/>
              </w:rPr>
              <w:t xml:space="preserve">, </w:t>
            </w:r>
            <w:r w:rsidRPr="001570EA">
              <w:rPr>
                <w:rFonts w:cs="Arial"/>
                <w:sz w:val="18"/>
                <w:szCs w:val="18"/>
              </w:rPr>
              <w:t>The cooling capacity of the heat pump being installed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4070E15" w14:textId="77777777" w:rsidR="007376E1" w:rsidRPr="001570EA" w:rsidRDefault="007376E1">
            <w:pPr>
              <w:jc w:val="center"/>
              <w:rPr>
                <w:rFonts w:ascii="Cambria Math" w:hAnsi="Cambria Math" w:cs="Arial"/>
                <w:i/>
                <w:iCs/>
                <w:sz w:val="18"/>
                <w:szCs w:val="18"/>
              </w:rPr>
            </w:pPr>
            <w:r w:rsidRPr="001570EA">
              <w:rPr>
                <w:rFonts w:ascii="Cambria Math" w:hAnsi="Cambria Math" w:cs="Arial"/>
                <w:i/>
                <w:iCs/>
                <w:sz w:val="18"/>
                <w:szCs w:val="18"/>
              </w:rPr>
              <w:t>kBTU/hr</w:t>
            </w:r>
          </w:p>
        </w:tc>
        <w:tc>
          <w:tcPr>
            <w:tcW w:w="2070" w:type="dxa"/>
            <w:tcBorders>
              <w:top w:val="single" w:sz="4" w:space="0" w:color="auto"/>
              <w:left w:val="single" w:sz="4" w:space="0" w:color="auto"/>
              <w:bottom w:val="single" w:sz="4" w:space="0" w:color="auto"/>
              <w:right w:val="single" w:sz="4" w:space="0" w:color="auto"/>
            </w:tcBorders>
            <w:vAlign w:val="center"/>
          </w:tcPr>
          <w:p w14:paraId="4DB4202F" w14:textId="77777777" w:rsidR="007376E1" w:rsidRPr="001570EA" w:rsidRDefault="007376E1">
            <w:pPr>
              <w:pStyle w:val="TableCell"/>
              <w:spacing w:before="60" w:after="60"/>
              <w:jc w:val="center"/>
              <w:rPr>
                <w:szCs w:val="18"/>
              </w:rPr>
            </w:pPr>
            <w:r w:rsidRPr="001570EA">
              <w:rPr>
                <w:szCs w:val="18"/>
              </w:rPr>
              <w:t>EDC Data Gathering</w:t>
            </w:r>
          </w:p>
          <w:p w14:paraId="12437BED" w14:textId="77777777" w:rsidR="007376E1" w:rsidRPr="001570EA" w:rsidRDefault="007376E1">
            <w:pPr>
              <w:pStyle w:val="TableCell"/>
              <w:spacing w:before="60" w:after="60"/>
              <w:jc w:val="center"/>
              <w:rPr>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41F5E633"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6F253BD4"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hideMark/>
          </w:tcPr>
          <w:p w14:paraId="6A6E0BD6" w14:textId="77777777" w:rsidR="007376E1" w:rsidRPr="001570EA" w:rsidRDefault="007376E1">
            <w:pPr>
              <w:rPr>
                <w:i/>
                <w:iCs/>
                <w:sz w:val="18"/>
                <w:szCs w:val="18"/>
              </w:rPr>
            </w:pPr>
            <w:r w:rsidRPr="001570EA">
              <w:rPr>
                <w:rFonts w:cs="Arial"/>
                <w:i/>
                <w:sz w:val="18"/>
                <w:szCs w:val="18"/>
              </w:rPr>
              <w:t>CEER</w:t>
            </w:r>
            <w:r w:rsidRPr="001570EA">
              <w:rPr>
                <w:rFonts w:cs="Arial"/>
                <w:i/>
                <w:sz w:val="18"/>
                <w:szCs w:val="18"/>
                <w:vertAlign w:val="subscript"/>
              </w:rPr>
              <w:t>base</w:t>
            </w:r>
            <w:r w:rsidRPr="001570EA">
              <w:rPr>
                <w:rFonts w:cs="Arial"/>
                <w:sz w:val="18"/>
                <w:szCs w:val="18"/>
              </w:rPr>
              <w:t>, Combined Energy Efficiency ratio of the baseline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AC90376" w14:textId="77777777" w:rsidR="007376E1" w:rsidRPr="001570EA" w:rsidRDefault="003B5E04">
            <w:pPr>
              <w:jc w:val="center"/>
              <w:rPr>
                <w:rFonts w:ascii="Cambria Math" w:hAnsi="Cambria Math" w:cs="Arial"/>
                <w:i/>
                <w:iCs/>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hideMark/>
          </w:tcPr>
          <w:p w14:paraId="2C967CDE" w14:textId="1DB2E6A8" w:rsidR="007376E1" w:rsidRPr="001570EA" w:rsidRDefault="007376E1">
            <w:pPr>
              <w:pStyle w:val="TableCell"/>
              <w:keepNext w:val="0"/>
              <w:spacing w:before="60" w:after="60"/>
              <w:jc w:val="center"/>
              <w:rPr>
                <w:rFonts w:cs="Arial"/>
                <w:szCs w:val="18"/>
              </w:rPr>
            </w:pPr>
            <w:r w:rsidRPr="001570EA">
              <w:rPr>
                <w:rFonts w:cs="Arial"/>
                <w:szCs w:val="18"/>
              </w:rPr>
              <w:t xml:space="preserve">Federal Standard Values in </w:t>
            </w:r>
            <w:r w:rsidR="00D22E0D" w:rsidRPr="001570EA">
              <w:rPr>
                <w:rFonts w:cs="Arial"/>
                <w:szCs w:val="18"/>
              </w:rPr>
              <w:fldChar w:fldCharType="begin"/>
            </w:r>
            <w:r w:rsidR="00D22E0D" w:rsidRPr="001570EA">
              <w:rPr>
                <w:rFonts w:cs="Arial"/>
                <w:szCs w:val="18"/>
              </w:rPr>
              <w:instrText xml:space="preserve"> REF _Ref163905908 \h </w:instrText>
            </w:r>
            <w:r w:rsidR="001570EA">
              <w:rPr>
                <w:rFonts w:cs="Arial"/>
                <w:szCs w:val="18"/>
              </w:rPr>
              <w:instrText xml:space="preserve"> \* MERGEFORMAT </w:instrText>
            </w:r>
            <w:r w:rsidR="00D22E0D" w:rsidRPr="001570EA">
              <w:rPr>
                <w:rFonts w:cs="Arial"/>
                <w:szCs w:val="18"/>
              </w:rPr>
            </w:r>
            <w:r w:rsidR="00D22E0D" w:rsidRPr="001570EA">
              <w:rPr>
                <w:rFonts w:cs="Arial"/>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37</w:t>
            </w:r>
            <w:r w:rsidR="00D22E0D" w:rsidRPr="001570EA">
              <w:rPr>
                <w:rFonts w:cs="Arial"/>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24411090" w14:textId="77777777" w:rsidR="007376E1" w:rsidRPr="001570EA" w:rsidRDefault="007376E1">
            <w:pPr>
              <w:jc w:val="center"/>
              <w:rPr>
                <w:sz w:val="18"/>
                <w:szCs w:val="18"/>
              </w:rPr>
            </w:pPr>
            <w:r w:rsidRPr="001570EA">
              <w:rPr>
                <w:sz w:val="18"/>
                <w:szCs w:val="18"/>
              </w:rPr>
              <w:t>2</w:t>
            </w:r>
          </w:p>
        </w:tc>
      </w:tr>
      <w:tr w:rsidR="007376E1" w:rsidRPr="001570EA" w14:paraId="0459D184"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hideMark/>
          </w:tcPr>
          <w:p w14:paraId="027513DA" w14:textId="77777777" w:rsidR="007376E1" w:rsidRPr="001570EA" w:rsidRDefault="007376E1">
            <w:pPr>
              <w:rPr>
                <w:i/>
                <w:iCs/>
                <w:sz w:val="18"/>
                <w:szCs w:val="18"/>
              </w:rPr>
            </w:pPr>
            <w:r w:rsidRPr="001570EA">
              <w:rPr>
                <w:rFonts w:cs="Arial"/>
                <w:i/>
                <w:sz w:val="18"/>
                <w:szCs w:val="18"/>
              </w:rPr>
              <w:t>CEER</w:t>
            </w:r>
            <w:r w:rsidRPr="001570EA">
              <w:rPr>
                <w:rFonts w:cs="Arial"/>
                <w:i/>
                <w:sz w:val="18"/>
                <w:szCs w:val="18"/>
                <w:vertAlign w:val="subscript"/>
              </w:rPr>
              <w:t>ee</w:t>
            </w:r>
            <w:r w:rsidRPr="001570EA">
              <w:rPr>
                <w:rFonts w:cs="Arial"/>
                <w:sz w:val="18"/>
                <w:szCs w:val="18"/>
              </w:rPr>
              <w:t>, Combined Energy efficiency ratio of the window heat pump (WHP) being installed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08751F5" w14:textId="77777777" w:rsidR="007376E1" w:rsidRPr="001570EA" w:rsidRDefault="003B5E04">
            <w:pPr>
              <w:jc w:val="center"/>
              <w:rPr>
                <w:rFonts w:ascii="Cambria Math" w:hAnsi="Cambria Math" w:cs="Arial"/>
                <w:i/>
                <w:iCs/>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070" w:type="dxa"/>
            <w:tcBorders>
              <w:top w:val="single" w:sz="4" w:space="0" w:color="auto"/>
              <w:left w:val="single" w:sz="4" w:space="0" w:color="auto"/>
              <w:bottom w:val="single" w:sz="4" w:space="0" w:color="auto"/>
              <w:right w:val="single" w:sz="4" w:space="0" w:color="auto"/>
            </w:tcBorders>
            <w:hideMark/>
          </w:tcPr>
          <w:p w14:paraId="426013F3" w14:textId="77777777" w:rsidR="007376E1" w:rsidRPr="001570EA" w:rsidRDefault="007376E1">
            <w:pPr>
              <w:pStyle w:val="TableCell"/>
              <w:keepNext w:val="0"/>
              <w:jc w:val="center"/>
              <w:rPr>
                <w:szCs w:val="18"/>
              </w:rPr>
            </w:pPr>
            <w:r w:rsidRPr="001570EA">
              <w:rPr>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AEA29FD" w14:textId="77777777" w:rsidR="007376E1" w:rsidRPr="001570EA" w:rsidRDefault="007376E1">
            <w:pPr>
              <w:jc w:val="center"/>
              <w:rPr>
                <w:sz w:val="18"/>
                <w:szCs w:val="18"/>
              </w:rPr>
            </w:pPr>
            <w:r w:rsidRPr="001570EA">
              <w:rPr>
                <w:sz w:val="18"/>
                <w:szCs w:val="18"/>
              </w:rPr>
              <w:t>EDC Data Gathering</w:t>
            </w:r>
          </w:p>
        </w:tc>
      </w:tr>
      <w:tr w:rsidR="007376E1" w:rsidRPr="001570EA" w14:paraId="603863B0" w14:textId="77777777">
        <w:trPr>
          <w:cantSplit/>
          <w:trHeight w:val="600"/>
        </w:trPr>
        <w:tc>
          <w:tcPr>
            <w:tcW w:w="3690" w:type="dxa"/>
            <w:vMerge w:val="restart"/>
            <w:tcBorders>
              <w:top w:val="single" w:sz="4" w:space="0" w:color="auto"/>
              <w:left w:val="single" w:sz="4" w:space="0" w:color="auto"/>
              <w:right w:val="single" w:sz="4" w:space="0" w:color="auto"/>
            </w:tcBorders>
            <w:vAlign w:val="center"/>
            <w:hideMark/>
          </w:tcPr>
          <w:p w14:paraId="04C75926" w14:textId="4CB29000" w:rsidR="007376E1" w:rsidRPr="001570EA" w:rsidRDefault="007376E1">
            <w:pPr>
              <w:rPr>
                <w:i/>
                <w:iCs/>
                <w:sz w:val="18"/>
                <w:szCs w:val="18"/>
              </w:rPr>
            </w:pPr>
            <w:r w:rsidRPr="001570EA">
              <w:rPr>
                <w:i/>
                <w:iCs/>
                <w:sz w:val="18"/>
                <w:szCs w:val="18"/>
              </w:rPr>
              <w:t>COP</w:t>
            </w:r>
            <w:r w:rsidRPr="001570EA">
              <w:rPr>
                <w:i/>
                <w:iCs/>
                <w:sz w:val="18"/>
                <w:szCs w:val="18"/>
                <w:vertAlign w:val="subscript"/>
              </w:rPr>
              <w:t>base</w:t>
            </w:r>
            <w:r w:rsidRPr="001570EA">
              <w:rPr>
                <w:i/>
                <w:iCs/>
                <w:sz w:val="18"/>
                <w:szCs w:val="18"/>
              </w:rPr>
              <w:t xml:space="preserve">, </w:t>
            </w:r>
            <w:r w:rsidRPr="001570EA">
              <w:rPr>
                <w:rFonts w:cs="Arial"/>
                <w:sz w:val="18"/>
                <w:szCs w:val="18"/>
              </w:rPr>
              <w:t>Heating Seasonal Performance Factor of the Baseline Unit</w:t>
            </w:r>
          </w:p>
        </w:tc>
        <w:tc>
          <w:tcPr>
            <w:tcW w:w="1170" w:type="dxa"/>
            <w:vMerge w:val="restart"/>
            <w:tcBorders>
              <w:top w:val="single" w:sz="4" w:space="0" w:color="auto"/>
              <w:left w:val="single" w:sz="4" w:space="0" w:color="auto"/>
              <w:right w:val="single" w:sz="4" w:space="0" w:color="auto"/>
            </w:tcBorders>
            <w:vAlign w:val="center"/>
          </w:tcPr>
          <w:p w14:paraId="6EB3B003" w14:textId="77777777" w:rsidR="007376E1" w:rsidRPr="001570EA" w:rsidRDefault="007376E1">
            <w:pPr>
              <w:jc w:val="center"/>
              <w:rPr>
                <w:rFonts w:ascii="Cambria Math" w:hAnsi="Cambria Math" w:cs="Arial"/>
                <w:sz w:val="18"/>
                <w:szCs w:val="18"/>
              </w:rPr>
            </w:pPr>
            <w:r w:rsidRPr="001570EA">
              <w:rPr>
                <w:iCs/>
                <w:sz w:val="18"/>
                <w:szCs w:val="18"/>
              </w:rPr>
              <w:t>Proportion</w:t>
            </w:r>
          </w:p>
        </w:tc>
        <w:tc>
          <w:tcPr>
            <w:tcW w:w="2070" w:type="dxa"/>
            <w:tcBorders>
              <w:top w:val="single" w:sz="4" w:space="0" w:color="auto"/>
              <w:left w:val="single" w:sz="4" w:space="0" w:color="auto"/>
              <w:right w:val="single" w:sz="4" w:space="0" w:color="auto"/>
            </w:tcBorders>
            <w:vAlign w:val="center"/>
            <w:hideMark/>
          </w:tcPr>
          <w:p w14:paraId="7E745F8B" w14:textId="77777777" w:rsidR="007376E1" w:rsidRPr="001570EA" w:rsidRDefault="007376E1">
            <w:pPr>
              <w:pStyle w:val="TableCell"/>
              <w:spacing w:beforeLines="60" w:before="144" w:afterLines="60" w:after="144"/>
              <w:jc w:val="center"/>
              <w:rPr>
                <w:szCs w:val="18"/>
              </w:rPr>
            </w:pPr>
            <w:r w:rsidRPr="001570EA">
              <w:rPr>
                <w:szCs w:val="18"/>
              </w:rPr>
              <w:t>EDC Data Gathering</w:t>
            </w:r>
          </w:p>
          <w:p w14:paraId="51824C75" w14:textId="77777777" w:rsidR="007376E1" w:rsidRPr="001570EA" w:rsidRDefault="007376E1">
            <w:pPr>
              <w:pStyle w:val="TableCell"/>
              <w:spacing w:beforeLines="60" w:before="144" w:afterLines="60" w:after="144"/>
              <w:jc w:val="center"/>
              <w:rPr>
                <w:szCs w:val="18"/>
              </w:rPr>
            </w:pPr>
            <w:r w:rsidRPr="001570EA">
              <w:rPr>
                <w:szCs w:val="18"/>
              </w:rPr>
              <w:t xml:space="preserve">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EBC132D" w14:textId="77777777" w:rsidR="007376E1" w:rsidRPr="001570EA" w:rsidRDefault="007376E1">
            <w:pPr>
              <w:jc w:val="center"/>
              <w:rPr>
                <w:sz w:val="18"/>
                <w:szCs w:val="18"/>
              </w:rPr>
            </w:pPr>
            <w:r w:rsidRPr="001570EA">
              <w:rPr>
                <w:sz w:val="18"/>
                <w:szCs w:val="18"/>
              </w:rPr>
              <w:t>EDC Data Gathering</w:t>
            </w:r>
          </w:p>
        </w:tc>
      </w:tr>
      <w:tr w:rsidR="007376E1" w:rsidRPr="001570EA" w14:paraId="60779BA7" w14:textId="77777777">
        <w:trPr>
          <w:cantSplit/>
          <w:trHeight w:val="600"/>
        </w:trPr>
        <w:tc>
          <w:tcPr>
            <w:tcW w:w="3690" w:type="dxa"/>
            <w:vMerge/>
            <w:tcBorders>
              <w:left w:val="single" w:sz="4" w:space="0" w:color="auto"/>
              <w:bottom w:val="single" w:sz="4" w:space="0" w:color="auto"/>
              <w:right w:val="single" w:sz="4" w:space="0" w:color="auto"/>
            </w:tcBorders>
            <w:vAlign w:val="center"/>
          </w:tcPr>
          <w:p w14:paraId="6E553592" w14:textId="77777777" w:rsidR="007376E1" w:rsidRPr="001570EA" w:rsidRDefault="007376E1">
            <w:pPr>
              <w:rPr>
                <w:i/>
                <w:iCs/>
                <w:sz w:val="18"/>
                <w:szCs w:val="18"/>
              </w:rPr>
            </w:pPr>
          </w:p>
        </w:tc>
        <w:tc>
          <w:tcPr>
            <w:tcW w:w="1170" w:type="dxa"/>
            <w:vMerge/>
            <w:tcBorders>
              <w:left w:val="single" w:sz="4" w:space="0" w:color="auto"/>
              <w:bottom w:val="single" w:sz="4" w:space="0" w:color="auto"/>
              <w:right w:val="single" w:sz="4" w:space="0" w:color="auto"/>
            </w:tcBorders>
            <w:vAlign w:val="center"/>
          </w:tcPr>
          <w:p w14:paraId="55F50BB0" w14:textId="77777777" w:rsidR="007376E1" w:rsidRPr="001570EA" w:rsidRDefault="007376E1">
            <w:pPr>
              <w:jc w:val="center"/>
              <w:rPr>
                <w:i/>
                <w:sz w:val="18"/>
                <w:szCs w:val="18"/>
              </w:rPr>
            </w:pPr>
          </w:p>
        </w:tc>
        <w:tc>
          <w:tcPr>
            <w:tcW w:w="2070" w:type="dxa"/>
            <w:tcBorders>
              <w:left w:val="single" w:sz="4" w:space="0" w:color="auto"/>
              <w:bottom w:val="single" w:sz="4" w:space="0" w:color="auto"/>
              <w:right w:val="single" w:sz="4" w:space="0" w:color="auto"/>
            </w:tcBorders>
            <w:vAlign w:val="center"/>
          </w:tcPr>
          <w:p w14:paraId="67117434" w14:textId="73478522" w:rsidR="007376E1" w:rsidRPr="001570EA" w:rsidRDefault="007376E1">
            <w:pPr>
              <w:pStyle w:val="TableCell"/>
              <w:spacing w:beforeLines="60" w:before="144" w:afterLines="60" w:after="144"/>
              <w:jc w:val="center"/>
              <w:rPr>
                <w:szCs w:val="18"/>
              </w:rPr>
            </w:pPr>
            <w:r w:rsidRPr="001570EA">
              <w:rPr>
                <w:szCs w:val="18"/>
              </w:rPr>
              <w:t>Default:</w:t>
            </w:r>
            <w:r w:rsidR="00F46B84" w:rsidRPr="001570EA" w:rsidDel="00F46B84">
              <w:rPr>
                <w:szCs w:val="18"/>
              </w:rPr>
              <w:t xml:space="preserve"> </w:t>
            </w:r>
            <w:r w:rsidR="00F46B84" w:rsidRPr="001570EA">
              <w:rPr>
                <w:szCs w:val="18"/>
              </w:rPr>
              <w:fldChar w:fldCharType="begin"/>
            </w:r>
            <w:r w:rsidR="00F46B84" w:rsidRPr="001570EA">
              <w:rPr>
                <w:szCs w:val="18"/>
              </w:rPr>
              <w:instrText xml:space="preserve"> REF _Ref163905947 \h </w:instrText>
            </w:r>
            <w:r w:rsidR="001570EA">
              <w:rPr>
                <w:szCs w:val="18"/>
              </w:rPr>
              <w:instrText xml:space="preserve"> \* MERGEFORMAT </w:instrText>
            </w:r>
            <w:r w:rsidR="00F46B84" w:rsidRPr="001570EA">
              <w:rPr>
                <w:szCs w:val="18"/>
              </w:rPr>
            </w:r>
            <w:r w:rsidR="00F46B84" w:rsidRPr="001570EA">
              <w:rPr>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35</w:t>
            </w:r>
            <w:r w:rsidR="00F46B84" w:rsidRPr="001570EA">
              <w:rPr>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3A3DD90" w14:textId="77777777" w:rsidR="007376E1" w:rsidRPr="001570EA" w:rsidRDefault="007376E1">
            <w:pPr>
              <w:jc w:val="center"/>
              <w:rPr>
                <w:sz w:val="18"/>
                <w:szCs w:val="18"/>
              </w:rPr>
            </w:pPr>
            <w:r w:rsidRPr="001570EA">
              <w:rPr>
                <w:sz w:val="18"/>
                <w:szCs w:val="18"/>
              </w:rPr>
              <w:t>3</w:t>
            </w:r>
          </w:p>
        </w:tc>
      </w:tr>
      <w:tr w:rsidR="007376E1" w:rsidRPr="001570EA" w14:paraId="2F993D73" w14:textId="77777777">
        <w:trPr>
          <w:cantSplit/>
          <w:trHeight w:val="650"/>
        </w:trPr>
        <w:tc>
          <w:tcPr>
            <w:tcW w:w="3690" w:type="dxa"/>
            <w:tcBorders>
              <w:top w:val="single" w:sz="4" w:space="0" w:color="auto"/>
              <w:left w:val="single" w:sz="4" w:space="0" w:color="auto"/>
              <w:bottom w:val="single" w:sz="4" w:space="0" w:color="auto"/>
              <w:right w:val="single" w:sz="4" w:space="0" w:color="auto"/>
            </w:tcBorders>
            <w:vAlign w:val="center"/>
            <w:hideMark/>
          </w:tcPr>
          <w:p w14:paraId="679B344D" w14:textId="794B281D" w:rsidR="007376E1" w:rsidRPr="001570EA" w:rsidRDefault="007376E1">
            <w:pPr>
              <w:rPr>
                <w:i/>
                <w:iCs/>
                <w:sz w:val="18"/>
                <w:szCs w:val="18"/>
              </w:rPr>
            </w:pPr>
            <w:r w:rsidRPr="001570EA">
              <w:rPr>
                <w:i/>
                <w:iCs/>
                <w:sz w:val="18"/>
                <w:szCs w:val="18"/>
              </w:rPr>
              <w:t>COP</w:t>
            </w:r>
            <w:r w:rsidRPr="001570EA">
              <w:rPr>
                <w:i/>
                <w:iCs/>
                <w:sz w:val="18"/>
                <w:szCs w:val="18"/>
                <w:vertAlign w:val="subscript"/>
              </w:rPr>
              <w:t>ee</w:t>
            </w:r>
            <w:r w:rsidRPr="001570EA">
              <w:rPr>
                <w:sz w:val="18"/>
                <w:szCs w:val="18"/>
                <w:vertAlign w:val="subscript"/>
              </w:rPr>
              <w:t xml:space="preserve">, </w:t>
            </w:r>
            <w:r w:rsidRPr="001570EA">
              <w:rPr>
                <w:rFonts w:cs="Arial"/>
                <w:sz w:val="18"/>
                <w:szCs w:val="18"/>
              </w:rPr>
              <w:t>Heating Seasonal Performance Factor of the unit being installed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832579F" w14:textId="77777777" w:rsidR="007376E1" w:rsidRPr="001570EA" w:rsidRDefault="007376E1">
            <w:pPr>
              <w:jc w:val="center"/>
              <w:rPr>
                <w:rFonts w:ascii="Cambria Math" w:hAnsi="Cambria Math"/>
                <w:sz w:val="18"/>
                <w:szCs w:val="18"/>
              </w:rPr>
            </w:pPr>
            <w:r w:rsidRPr="001570EA">
              <w:rPr>
                <w:iCs/>
                <w:sz w:val="18"/>
                <w:szCs w:val="18"/>
              </w:rPr>
              <w:t>Proportion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E584CF2" w14:textId="77777777" w:rsidR="007376E1" w:rsidRPr="001570EA" w:rsidRDefault="007376E1">
            <w:pPr>
              <w:pStyle w:val="TableCell"/>
              <w:keepNext w:val="0"/>
              <w:spacing w:beforeLines="60" w:before="144" w:afterLines="60" w:after="144"/>
              <w:jc w:val="center"/>
              <w:rPr>
                <w:szCs w:val="18"/>
              </w:rPr>
            </w:pPr>
            <w:r w:rsidRPr="001570EA">
              <w:rPr>
                <w:szCs w:val="18"/>
              </w:rPr>
              <w:t>EDC Data Gathering</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C8CC61E" w14:textId="77777777" w:rsidR="007376E1" w:rsidRPr="001570EA" w:rsidRDefault="007376E1">
            <w:pPr>
              <w:jc w:val="center"/>
              <w:rPr>
                <w:sz w:val="18"/>
                <w:szCs w:val="18"/>
              </w:rPr>
            </w:pPr>
            <w:r w:rsidRPr="001570EA">
              <w:rPr>
                <w:sz w:val="18"/>
                <w:szCs w:val="18"/>
              </w:rPr>
              <w:t>AEPS Application; EDC Data Gathering</w:t>
            </w:r>
          </w:p>
        </w:tc>
      </w:tr>
      <w:tr w:rsidR="007376E1" w:rsidRPr="001570EA" w14:paraId="563F8B85" w14:textId="77777777">
        <w:trPr>
          <w:cantSplit/>
          <w:trHeight w:val="600"/>
        </w:trPr>
        <w:tc>
          <w:tcPr>
            <w:tcW w:w="3690" w:type="dxa"/>
            <w:vMerge w:val="restart"/>
            <w:tcBorders>
              <w:top w:val="single" w:sz="4" w:space="0" w:color="auto"/>
              <w:left w:val="single" w:sz="4" w:space="0" w:color="auto"/>
              <w:right w:val="single" w:sz="4" w:space="0" w:color="auto"/>
            </w:tcBorders>
            <w:vAlign w:val="center"/>
            <w:hideMark/>
          </w:tcPr>
          <w:p w14:paraId="24D7225F" w14:textId="534ED1C0" w:rsidR="007376E1" w:rsidRPr="001570EA" w:rsidRDefault="007376E1">
            <w:pPr>
              <w:rPr>
                <w:i/>
                <w:iCs/>
                <w:sz w:val="18"/>
                <w:szCs w:val="18"/>
              </w:rPr>
            </w:pPr>
            <w:r w:rsidRPr="001570EA">
              <w:rPr>
                <w:i/>
                <w:iCs/>
                <w:sz w:val="18"/>
                <w:szCs w:val="18"/>
              </w:rPr>
              <w:t>OF</w:t>
            </w:r>
            <w:r w:rsidRPr="001570EA">
              <w:rPr>
                <w:i/>
                <w:iCs/>
                <w:sz w:val="18"/>
                <w:szCs w:val="18"/>
                <w:vertAlign w:val="subscript"/>
              </w:rPr>
              <w:t>heat</w:t>
            </w:r>
            <w:r w:rsidRPr="001570EA">
              <w:rPr>
                <w:sz w:val="18"/>
                <w:szCs w:val="18"/>
              </w:rPr>
              <w:t>, Oversize factor</w:t>
            </w:r>
          </w:p>
        </w:tc>
        <w:tc>
          <w:tcPr>
            <w:tcW w:w="1170" w:type="dxa"/>
            <w:vMerge w:val="restart"/>
            <w:tcBorders>
              <w:top w:val="single" w:sz="4" w:space="0" w:color="auto"/>
              <w:left w:val="single" w:sz="4" w:space="0" w:color="auto"/>
              <w:right w:val="single" w:sz="4" w:space="0" w:color="auto"/>
            </w:tcBorders>
            <w:vAlign w:val="center"/>
            <w:hideMark/>
          </w:tcPr>
          <w:p w14:paraId="6C4E55D3" w14:textId="77777777" w:rsidR="007376E1" w:rsidRPr="001570EA" w:rsidRDefault="007376E1">
            <w:pPr>
              <w:jc w:val="center"/>
              <w:rPr>
                <w:rFonts w:cs="Arial"/>
                <w:i/>
                <w:iCs/>
                <w:sz w:val="18"/>
                <w:szCs w:val="18"/>
              </w:rPr>
            </w:pPr>
            <w:r w:rsidRPr="001570EA">
              <w:rPr>
                <w:sz w:val="18"/>
                <w:szCs w:val="18"/>
              </w:rPr>
              <w:t>None</w:t>
            </w:r>
          </w:p>
        </w:tc>
        <w:tc>
          <w:tcPr>
            <w:tcW w:w="2070" w:type="dxa"/>
            <w:tcBorders>
              <w:top w:val="single" w:sz="4" w:space="0" w:color="auto"/>
              <w:left w:val="single" w:sz="4" w:space="0" w:color="auto"/>
              <w:right w:val="single" w:sz="4" w:space="0" w:color="auto"/>
            </w:tcBorders>
            <w:vAlign w:val="center"/>
            <w:hideMark/>
          </w:tcPr>
          <w:p w14:paraId="143F6C27" w14:textId="77777777" w:rsidR="007376E1" w:rsidRPr="001570EA" w:rsidRDefault="007376E1">
            <w:pPr>
              <w:pStyle w:val="TableCell"/>
              <w:keepNext w:val="0"/>
              <w:spacing w:beforeLines="60" w:before="144" w:afterLines="60" w:after="144"/>
              <w:jc w:val="center"/>
              <w:rPr>
                <w:szCs w:val="18"/>
              </w:rPr>
            </w:pPr>
            <w:r w:rsidRPr="001570EA">
              <w:rPr>
                <w:szCs w:val="18"/>
              </w:rPr>
              <w:t>EDC Data Gathering</w:t>
            </w:r>
          </w:p>
          <w:p w14:paraId="6024C83E" w14:textId="77777777" w:rsidR="007376E1" w:rsidRPr="001570EA" w:rsidRDefault="007376E1">
            <w:pPr>
              <w:pStyle w:val="TableCell"/>
              <w:keepNext w:val="0"/>
              <w:spacing w:beforeLines="60" w:before="144" w:afterLines="60" w:after="144"/>
              <w:jc w:val="center"/>
              <w:rPr>
                <w:szCs w:val="18"/>
              </w:rPr>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E22D593" w14:textId="77777777" w:rsidR="007376E1" w:rsidRPr="001570EA" w:rsidRDefault="007376E1">
            <w:pPr>
              <w:pStyle w:val="TableCell"/>
              <w:keepNext w:val="0"/>
              <w:spacing w:beforeLines="60" w:before="144" w:afterLines="60" w:after="144"/>
              <w:jc w:val="center"/>
              <w:rPr>
                <w:szCs w:val="18"/>
              </w:rPr>
            </w:pPr>
            <w:r w:rsidRPr="001570EA">
              <w:rPr>
                <w:szCs w:val="18"/>
              </w:rPr>
              <w:t>EDC Data Gathering</w:t>
            </w:r>
          </w:p>
          <w:p w14:paraId="19686D8D" w14:textId="77777777" w:rsidR="007376E1" w:rsidRPr="001570EA" w:rsidRDefault="007376E1">
            <w:pPr>
              <w:jc w:val="center"/>
              <w:rPr>
                <w:sz w:val="18"/>
                <w:szCs w:val="18"/>
              </w:rPr>
            </w:pPr>
          </w:p>
        </w:tc>
      </w:tr>
      <w:tr w:rsidR="007376E1" w:rsidRPr="001570EA" w14:paraId="1D680335" w14:textId="77777777">
        <w:trPr>
          <w:cantSplit/>
          <w:trHeight w:val="600"/>
        </w:trPr>
        <w:tc>
          <w:tcPr>
            <w:tcW w:w="3690" w:type="dxa"/>
            <w:vMerge/>
            <w:tcBorders>
              <w:left w:val="single" w:sz="4" w:space="0" w:color="auto"/>
              <w:bottom w:val="single" w:sz="4" w:space="0" w:color="auto"/>
              <w:right w:val="single" w:sz="4" w:space="0" w:color="auto"/>
            </w:tcBorders>
            <w:vAlign w:val="center"/>
          </w:tcPr>
          <w:p w14:paraId="5ED84A3A" w14:textId="77777777" w:rsidR="007376E1" w:rsidRPr="001570EA" w:rsidRDefault="007376E1">
            <w:pPr>
              <w:rPr>
                <w:i/>
                <w:iCs/>
                <w:sz w:val="18"/>
                <w:szCs w:val="18"/>
              </w:rPr>
            </w:pPr>
          </w:p>
        </w:tc>
        <w:tc>
          <w:tcPr>
            <w:tcW w:w="1170" w:type="dxa"/>
            <w:vMerge/>
            <w:tcBorders>
              <w:left w:val="single" w:sz="4" w:space="0" w:color="auto"/>
              <w:bottom w:val="single" w:sz="4" w:space="0" w:color="auto"/>
              <w:right w:val="single" w:sz="4" w:space="0" w:color="auto"/>
            </w:tcBorders>
            <w:vAlign w:val="center"/>
          </w:tcPr>
          <w:p w14:paraId="2AA475E7" w14:textId="77777777" w:rsidR="007376E1" w:rsidRPr="001570EA" w:rsidRDefault="007376E1">
            <w:pPr>
              <w:jc w:val="center"/>
              <w:rPr>
                <w:sz w:val="18"/>
                <w:szCs w:val="18"/>
              </w:rPr>
            </w:pPr>
          </w:p>
        </w:tc>
        <w:tc>
          <w:tcPr>
            <w:tcW w:w="2070" w:type="dxa"/>
            <w:tcBorders>
              <w:left w:val="single" w:sz="4" w:space="0" w:color="auto"/>
              <w:bottom w:val="single" w:sz="4" w:space="0" w:color="auto"/>
              <w:right w:val="single" w:sz="4" w:space="0" w:color="auto"/>
            </w:tcBorders>
            <w:vAlign w:val="center"/>
          </w:tcPr>
          <w:p w14:paraId="352EB7B2" w14:textId="19CB5BD8" w:rsidR="007376E1" w:rsidRPr="001570EA" w:rsidRDefault="007376E1">
            <w:pPr>
              <w:pStyle w:val="TableCell"/>
              <w:keepNext w:val="0"/>
              <w:spacing w:beforeLines="60" w:before="144" w:afterLines="60" w:after="144"/>
              <w:jc w:val="center"/>
              <w:rPr>
                <w:szCs w:val="18"/>
              </w:rPr>
            </w:pPr>
            <w:r w:rsidRPr="001570EA">
              <w:rPr>
                <w:szCs w:val="18"/>
              </w:rPr>
              <w:t xml:space="preserve">Default: </w:t>
            </w:r>
            <w:r w:rsidR="002D5A84" w:rsidRPr="001570EA">
              <w:rPr>
                <w:szCs w:val="18"/>
              </w:rPr>
              <w:fldChar w:fldCharType="begin"/>
            </w:r>
            <w:r w:rsidR="002D5A84" w:rsidRPr="001570EA">
              <w:rPr>
                <w:szCs w:val="18"/>
              </w:rPr>
              <w:instrText xml:space="preserve"> REF _Ref163906106 \h </w:instrText>
            </w:r>
            <w:r w:rsidR="001570EA">
              <w:rPr>
                <w:szCs w:val="18"/>
              </w:rPr>
              <w:instrText xml:space="preserve"> \* MERGEFORMAT </w:instrText>
            </w:r>
            <w:r w:rsidR="002D5A84" w:rsidRPr="001570EA">
              <w:rPr>
                <w:szCs w:val="18"/>
              </w:rPr>
            </w:r>
            <w:r w:rsidR="002D5A84" w:rsidRPr="001570EA">
              <w:rPr>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36</w:t>
            </w:r>
            <w:r w:rsidR="002D5A84" w:rsidRPr="001570EA">
              <w:rPr>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C49FC7C" w14:textId="77777777" w:rsidR="007376E1" w:rsidRPr="001570EA" w:rsidRDefault="007376E1">
            <w:pPr>
              <w:jc w:val="center"/>
              <w:rPr>
                <w:sz w:val="18"/>
                <w:szCs w:val="18"/>
              </w:rPr>
            </w:pPr>
            <w:r w:rsidRPr="001570EA">
              <w:rPr>
                <w:sz w:val="18"/>
                <w:szCs w:val="18"/>
              </w:rPr>
              <w:t>4</w:t>
            </w:r>
          </w:p>
        </w:tc>
      </w:tr>
      <w:tr w:rsidR="007376E1" w:rsidRPr="001570EA" w14:paraId="007EEFC7" w14:textId="77777777">
        <w:trPr>
          <w:cantSplit/>
          <w:trHeight w:val="1070"/>
        </w:trPr>
        <w:tc>
          <w:tcPr>
            <w:tcW w:w="3690" w:type="dxa"/>
            <w:tcBorders>
              <w:top w:val="single" w:sz="4" w:space="0" w:color="auto"/>
              <w:left w:val="single" w:sz="4" w:space="0" w:color="auto"/>
              <w:bottom w:val="single" w:sz="4" w:space="0" w:color="auto"/>
              <w:right w:val="single" w:sz="4" w:space="0" w:color="auto"/>
            </w:tcBorders>
            <w:vAlign w:val="center"/>
            <w:hideMark/>
          </w:tcPr>
          <w:p w14:paraId="3A4FB9C8" w14:textId="77777777" w:rsidR="007376E1" w:rsidRPr="001570EA" w:rsidRDefault="007376E1">
            <w:pPr>
              <w:rPr>
                <w:i/>
                <w:iCs/>
                <w:sz w:val="18"/>
                <w:szCs w:val="18"/>
              </w:rPr>
            </w:pPr>
            <w:r w:rsidRPr="001570EA">
              <w:rPr>
                <w:i/>
                <w:iCs/>
                <w:sz w:val="18"/>
                <w:szCs w:val="18"/>
              </w:rPr>
              <w:t>EFLH</w:t>
            </w:r>
            <w:r w:rsidRPr="001570EA">
              <w:rPr>
                <w:i/>
                <w:iCs/>
                <w:sz w:val="18"/>
                <w:szCs w:val="18"/>
                <w:vertAlign w:val="subscript"/>
              </w:rPr>
              <w:t>RAC</w:t>
            </w:r>
            <w:r w:rsidRPr="001570EA">
              <w:rPr>
                <w:sz w:val="18"/>
                <w:szCs w:val="18"/>
              </w:rPr>
              <w:t xml:space="preserve">, </w:t>
            </w:r>
            <w:r w:rsidRPr="001570EA">
              <w:rPr>
                <w:rFonts w:cs="Arial"/>
                <w:sz w:val="18"/>
                <w:szCs w:val="18"/>
              </w:rPr>
              <w:t>Equivalent Full Load Hours of operation during the cooling season for the average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9709F8" w14:textId="77777777" w:rsidR="007376E1" w:rsidRPr="001570EA" w:rsidRDefault="003B5E04">
            <w:pPr>
              <w:jc w:val="center"/>
              <w:rPr>
                <w:sz w:val="18"/>
                <w:szCs w:val="18"/>
              </w:rPr>
            </w:pPr>
            <m:oMathPara>
              <m:oMath>
                <m:f>
                  <m:fPr>
                    <m:ctrlPr>
                      <w:rPr>
                        <w:rFonts w:ascii="Cambria Math" w:hAnsi="Cambria Math"/>
                        <w:i/>
                        <w:sz w:val="18"/>
                        <w:szCs w:val="18"/>
                      </w:rPr>
                    </m:ctrlPr>
                  </m:fPr>
                  <m:num>
                    <m:r>
                      <w:rPr>
                        <w:rFonts w:ascii="Cambria Math" w:hAnsi="Cambria Math"/>
                        <w:sz w:val="18"/>
                        <w:szCs w:val="18"/>
                      </w:rPr>
                      <m:t>hours</m:t>
                    </m:r>
                  </m:num>
                  <m:den>
                    <m:r>
                      <w:rPr>
                        <w:rFonts w:ascii="Cambria Math" w:hAnsi="Cambria Math"/>
                        <w:sz w:val="18"/>
                        <w:szCs w:val="18"/>
                      </w:rPr>
                      <m:t>yr</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0066408C" w14:textId="77777777" w:rsidR="007376E1" w:rsidRPr="001570EA" w:rsidRDefault="007376E1">
            <w:pPr>
              <w:spacing w:beforeLines="60" w:before="144" w:afterLines="60" w:after="144"/>
              <w:jc w:val="center"/>
              <w:rPr>
                <w:sz w:val="18"/>
                <w:szCs w:val="18"/>
              </w:rPr>
            </w:pPr>
            <w:r w:rsidRPr="001570EA">
              <w:rPr>
                <w:sz w:val="18"/>
                <w:szCs w:val="18"/>
              </w:rPr>
              <w:t xml:space="preserve">See </w:t>
            </w:r>
            <w:r w:rsidRPr="001570EA">
              <w:rPr>
                <w:i/>
                <w:sz w:val="18"/>
                <w:szCs w:val="18"/>
              </w:rPr>
              <w:t>EFLH</w:t>
            </w:r>
            <w:r w:rsidRPr="001570EA">
              <w:rPr>
                <w:i/>
                <w:sz w:val="18"/>
                <w:szCs w:val="18"/>
                <w:vertAlign w:val="subscript"/>
              </w:rPr>
              <w:t>cool</w:t>
            </w:r>
            <w:r w:rsidRPr="001570EA">
              <w:rPr>
                <w:sz w:val="18"/>
                <w:szCs w:val="18"/>
              </w:rPr>
              <w:t xml:space="preserve"> in Vol. 1, App. 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DC6D8FA" w14:textId="77777777" w:rsidR="007376E1" w:rsidRPr="001570EA" w:rsidRDefault="007376E1">
            <w:pPr>
              <w:jc w:val="center"/>
              <w:rPr>
                <w:sz w:val="18"/>
                <w:szCs w:val="18"/>
              </w:rPr>
            </w:pPr>
            <w:r w:rsidRPr="001570EA">
              <w:rPr>
                <w:sz w:val="18"/>
                <w:szCs w:val="18"/>
              </w:rPr>
              <w:t>5</w:t>
            </w:r>
          </w:p>
        </w:tc>
      </w:tr>
      <w:tr w:rsidR="007376E1" w:rsidRPr="001570EA" w14:paraId="78F51F0E" w14:textId="77777777">
        <w:trPr>
          <w:cantSplit/>
          <w:trHeight w:val="1070"/>
        </w:trPr>
        <w:tc>
          <w:tcPr>
            <w:tcW w:w="3690" w:type="dxa"/>
            <w:tcBorders>
              <w:top w:val="single" w:sz="4" w:space="0" w:color="auto"/>
              <w:left w:val="single" w:sz="4" w:space="0" w:color="auto"/>
              <w:bottom w:val="single" w:sz="4" w:space="0" w:color="auto"/>
              <w:right w:val="single" w:sz="4" w:space="0" w:color="auto"/>
            </w:tcBorders>
            <w:vAlign w:val="center"/>
            <w:hideMark/>
          </w:tcPr>
          <w:p w14:paraId="20C15806" w14:textId="11D19E46" w:rsidR="007376E1" w:rsidRPr="001570EA" w:rsidRDefault="007376E1">
            <w:pPr>
              <w:rPr>
                <w:sz w:val="18"/>
                <w:szCs w:val="18"/>
              </w:rPr>
            </w:pPr>
            <w:r w:rsidRPr="001570EA">
              <w:rPr>
                <w:i/>
                <w:iCs/>
                <w:sz w:val="18"/>
                <w:szCs w:val="18"/>
              </w:rPr>
              <w:t>EFLH</w:t>
            </w:r>
            <w:r w:rsidRPr="001570EA">
              <w:rPr>
                <w:i/>
                <w:iCs/>
                <w:sz w:val="18"/>
                <w:szCs w:val="18"/>
                <w:vertAlign w:val="subscript"/>
              </w:rPr>
              <w:t>heat,HP</w:t>
            </w:r>
            <w:r w:rsidRPr="001570EA">
              <w:rPr>
                <w:sz w:val="18"/>
                <w:szCs w:val="18"/>
                <w:vertAlign w:val="subscript"/>
              </w:rPr>
              <w:t xml:space="preserve">, </w:t>
            </w:r>
            <w:r w:rsidRPr="001570EA">
              <w:rPr>
                <w:rFonts w:cs="Arial"/>
                <w:sz w:val="18"/>
                <w:szCs w:val="18"/>
              </w:rPr>
              <w:t>Equivalent Full Load Hours of operation during the heating season for the average unit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45A9089" w14:textId="77777777" w:rsidR="007376E1" w:rsidRPr="001570EA" w:rsidRDefault="003B5E04">
            <w:pPr>
              <w:jc w:val="center"/>
              <w:rPr>
                <w:rFonts w:ascii="Cambria Math" w:hAnsi="Cambria Math"/>
                <w:sz w:val="18"/>
                <w:szCs w:val="18"/>
              </w:rPr>
            </w:pPr>
            <m:oMathPara>
              <m:oMath>
                <m:f>
                  <m:fPr>
                    <m:ctrlPr>
                      <w:rPr>
                        <w:rFonts w:ascii="Cambria Math" w:hAnsi="Cambria Math"/>
                        <w:i/>
                        <w:sz w:val="18"/>
                        <w:szCs w:val="18"/>
                      </w:rPr>
                    </m:ctrlPr>
                  </m:fPr>
                  <m:num>
                    <m:r>
                      <w:rPr>
                        <w:rFonts w:ascii="Cambria Math" w:hAnsi="Cambria Math"/>
                        <w:sz w:val="18"/>
                        <w:szCs w:val="18"/>
                      </w:rPr>
                      <m:t>hours</m:t>
                    </m:r>
                  </m:num>
                  <m:den>
                    <m:r>
                      <w:rPr>
                        <w:rFonts w:ascii="Cambria Math" w:hAnsi="Cambria Math"/>
                        <w:sz w:val="18"/>
                        <w:szCs w:val="18"/>
                      </w:rPr>
                      <m:t>yr</m:t>
                    </m:r>
                  </m:den>
                </m:f>
              </m:oMath>
            </m:oMathPara>
          </w:p>
        </w:tc>
        <w:tc>
          <w:tcPr>
            <w:tcW w:w="2070" w:type="dxa"/>
            <w:tcBorders>
              <w:top w:val="single" w:sz="4" w:space="0" w:color="auto"/>
              <w:left w:val="single" w:sz="4" w:space="0" w:color="auto"/>
              <w:bottom w:val="single" w:sz="4" w:space="0" w:color="auto"/>
              <w:right w:val="single" w:sz="4" w:space="0" w:color="auto"/>
            </w:tcBorders>
            <w:vAlign w:val="center"/>
            <w:hideMark/>
          </w:tcPr>
          <w:p w14:paraId="11679926" w14:textId="298F35ED" w:rsidR="007376E1" w:rsidRPr="001570EA" w:rsidRDefault="007376E1">
            <w:pPr>
              <w:spacing w:beforeLines="60" w:before="144" w:afterLines="60" w:after="144"/>
              <w:jc w:val="center"/>
              <w:rPr>
                <w:sz w:val="18"/>
                <w:szCs w:val="18"/>
              </w:rPr>
            </w:pPr>
            <w:r w:rsidRPr="001570EA">
              <w:rPr>
                <w:sz w:val="18"/>
                <w:szCs w:val="18"/>
              </w:rPr>
              <w:t xml:space="preserve">See </w:t>
            </w:r>
            <w:r w:rsidR="002D5A84" w:rsidRPr="001570EA">
              <w:rPr>
                <w:sz w:val="18"/>
                <w:szCs w:val="18"/>
              </w:rPr>
              <w:fldChar w:fldCharType="begin"/>
            </w:r>
            <w:r w:rsidR="002D5A84" w:rsidRPr="001570EA">
              <w:rPr>
                <w:sz w:val="18"/>
                <w:szCs w:val="18"/>
              </w:rPr>
              <w:instrText xml:space="preserve"> REF _Ref163906130 \h </w:instrText>
            </w:r>
            <w:r w:rsidR="001570EA">
              <w:rPr>
                <w:sz w:val="18"/>
                <w:szCs w:val="18"/>
              </w:rPr>
              <w:instrText xml:space="preserve"> \* MERGEFORMAT </w:instrText>
            </w:r>
            <w:r w:rsidR="002D5A84" w:rsidRPr="001570EA">
              <w:rPr>
                <w:sz w:val="18"/>
                <w:szCs w:val="18"/>
              </w:rPr>
            </w:r>
            <w:r w:rsidR="002D5A84" w:rsidRPr="001570EA">
              <w:rPr>
                <w:sz w:val="18"/>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38</w:t>
            </w:r>
            <w:r w:rsidR="002D5A84" w:rsidRPr="001570EA">
              <w:rPr>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hideMark/>
          </w:tcPr>
          <w:p w14:paraId="4E6AF991" w14:textId="77777777" w:rsidR="007376E1" w:rsidRPr="001570EA" w:rsidRDefault="007376E1">
            <w:pPr>
              <w:jc w:val="center"/>
              <w:rPr>
                <w:sz w:val="18"/>
                <w:szCs w:val="18"/>
              </w:rPr>
            </w:pPr>
            <w:r w:rsidRPr="001570EA">
              <w:rPr>
                <w:sz w:val="18"/>
                <w:szCs w:val="18"/>
              </w:rPr>
              <w:t>6</w:t>
            </w:r>
          </w:p>
        </w:tc>
      </w:tr>
      <w:tr w:rsidR="007376E1" w:rsidRPr="001570EA" w14:paraId="0759AD63" w14:textId="77777777">
        <w:trPr>
          <w:cantSplit/>
          <w:trHeight w:val="621"/>
        </w:trPr>
        <w:tc>
          <w:tcPr>
            <w:tcW w:w="3690" w:type="dxa"/>
            <w:tcBorders>
              <w:top w:val="single" w:sz="4" w:space="0" w:color="auto"/>
              <w:left w:val="single" w:sz="4" w:space="0" w:color="auto"/>
              <w:bottom w:val="single" w:sz="4" w:space="0" w:color="auto"/>
              <w:right w:val="single" w:sz="4" w:space="0" w:color="auto"/>
            </w:tcBorders>
            <w:vAlign w:val="center"/>
            <w:hideMark/>
          </w:tcPr>
          <w:p w14:paraId="6EB5497B" w14:textId="31B1B002" w:rsidR="007376E1" w:rsidRPr="001570EA" w:rsidRDefault="003B5E04">
            <w:pPr>
              <w:rPr>
                <w:sz w:val="18"/>
                <w:szCs w:val="18"/>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r w:rsidR="007376E1" w:rsidRPr="001570EA">
              <w:rPr>
                <w:szCs w:val="18"/>
              </w:rPr>
              <w:t>, Demand Coincidence Factor during the summer months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BD0D504" w14:textId="77777777" w:rsidR="007376E1" w:rsidRPr="001570EA" w:rsidRDefault="007376E1">
            <w:pPr>
              <w:jc w:val="center"/>
              <w:rPr>
                <w:sz w:val="18"/>
                <w:szCs w:val="18"/>
              </w:rPr>
            </w:pPr>
            <w:r w:rsidRPr="001570EA">
              <w:rPr>
                <w:i/>
                <w:iCs/>
                <w:szCs w:val="18"/>
              </w:rPr>
              <w:t>Proportion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588D27E" w14:textId="77777777" w:rsidR="007376E1" w:rsidRPr="001570EA" w:rsidRDefault="007376E1">
            <w:pPr>
              <w:spacing w:beforeLines="60" w:before="144" w:afterLines="60" w:after="144"/>
              <w:jc w:val="center"/>
              <w:rPr>
                <w:sz w:val="18"/>
                <w:szCs w:val="18"/>
              </w:rPr>
            </w:pPr>
            <w:r w:rsidRPr="001570EA">
              <w:rPr>
                <w:szCs w:val="18"/>
              </w:rPr>
              <w:t xml:space="preserve">See </w:t>
            </w:r>
            <w:r w:rsidRPr="001570EA">
              <w:rPr>
                <w:i/>
                <w:szCs w:val="18"/>
              </w:rPr>
              <w:t>CF</w:t>
            </w:r>
            <w:r w:rsidRPr="001570EA">
              <w:rPr>
                <w:szCs w:val="18"/>
              </w:rPr>
              <w:t xml:space="preserve"> in Vol. 1, App. 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D001605" w14:textId="77777777" w:rsidR="007376E1" w:rsidRPr="001570EA" w:rsidRDefault="007376E1">
            <w:pPr>
              <w:jc w:val="center"/>
              <w:rPr>
                <w:sz w:val="18"/>
                <w:szCs w:val="18"/>
              </w:rPr>
            </w:pPr>
            <w:r w:rsidRPr="001570EA">
              <w:rPr>
                <w:szCs w:val="18"/>
              </w:rPr>
              <w:t>5</w:t>
            </w:r>
          </w:p>
        </w:tc>
      </w:tr>
      <w:tr w:rsidR="007376E1" w:rsidRPr="001570EA" w14:paraId="3D555DC6" w14:textId="77777777">
        <w:trPr>
          <w:cantSplit/>
          <w:trHeight w:val="621"/>
        </w:trPr>
        <w:tc>
          <w:tcPr>
            <w:tcW w:w="3690" w:type="dxa"/>
            <w:tcBorders>
              <w:top w:val="single" w:sz="4" w:space="0" w:color="auto"/>
              <w:left w:val="single" w:sz="4" w:space="0" w:color="auto"/>
              <w:bottom w:val="single" w:sz="4" w:space="0" w:color="auto"/>
              <w:right w:val="single" w:sz="4" w:space="0" w:color="auto"/>
            </w:tcBorders>
            <w:vAlign w:val="center"/>
          </w:tcPr>
          <w:p w14:paraId="165D7447" w14:textId="08BA08A2" w:rsidR="007376E1" w:rsidRPr="001570EA" w:rsidRDefault="003B5E04">
            <w:pPr>
              <w:rPr>
                <w:rFonts w:ascii="Calibri" w:eastAsia="Calibri" w:hAnsi="Calibri"/>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w:r w:rsidR="007376E1" w:rsidRPr="001570EA">
              <w:rPr>
                <w:szCs w:val="18"/>
              </w:rPr>
              <w:t>, Demand Coincidence Factor during the winter months</w:t>
            </w:r>
          </w:p>
        </w:tc>
        <w:tc>
          <w:tcPr>
            <w:tcW w:w="1170" w:type="dxa"/>
            <w:tcBorders>
              <w:top w:val="single" w:sz="4" w:space="0" w:color="auto"/>
              <w:left w:val="single" w:sz="4" w:space="0" w:color="auto"/>
              <w:bottom w:val="single" w:sz="4" w:space="0" w:color="auto"/>
              <w:right w:val="single" w:sz="4" w:space="0" w:color="auto"/>
            </w:tcBorders>
            <w:vAlign w:val="center"/>
          </w:tcPr>
          <w:p w14:paraId="1A427BF2" w14:textId="77777777" w:rsidR="007376E1" w:rsidRPr="001570EA" w:rsidRDefault="007376E1">
            <w:pPr>
              <w:jc w:val="center"/>
              <w:rPr>
                <w:i/>
                <w:iCs/>
                <w:szCs w:val="18"/>
              </w:rPr>
            </w:pPr>
            <w:r w:rsidRPr="001570EA">
              <w:rPr>
                <w:i/>
                <w:iCs/>
                <w:szCs w:val="18"/>
              </w:rPr>
              <w:t>Proportion</w:t>
            </w:r>
          </w:p>
        </w:tc>
        <w:tc>
          <w:tcPr>
            <w:tcW w:w="2070" w:type="dxa"/>
            <w:tcBorders>
              <w:top w:val="single" w:sz="4" w:space="0" w:color="auto"/>
              <w:left w:val="single" w:sz="4" w:space="0" w:color="auto"/>
              <w:bottom w:val="single" w:sz="4" w:space="0" w:color="auto"/>
              <w:right w:val="single" w:sz="4" w:space="0" w:color="auto"/>
            </w:tcBorders>
            <w:vAlign w:val="center"/>
          </w:tcPr>
          <w:p w14:paraId="0399B694" w14:textId="77777777" w:rsidR="007376E1" w:rsidRPr="001570EA" w:rsidRDefault="007376E1">
            <w:pPr>
              <w:spacing w:beforeLines="60" w:before="144" w:afterLines="60" w:after="144"/>
              <w:jc w:val="center"/>
              <w:rPr>
                <w:szCs w:val="18"/>
              </w:rPr>
            </w:pPr>
            <w:r w:rsidRPr="001570EA">
              <w:rPr>
                <w:szCs w:val="18"/>
              </w:rPr>
              <w:t xml:space="preserve">See </w:t>
            </w:r>
            <w:r w:rsidRPr="001570EA">
              <w:rPr>
                <w:i/>
                <w:szCs w:val="18"/>
              </w:rPr>
              <w:t>CF</w:t>
            </w:r>
            <w:r w:rsidRPr="001570EA">
              <w:rPr>
                <w:szCs w:val="18"/>
              </w:rPr>
              <w:t xml:space="preserve"> in Vol. 1, App. A</w:t>
            </w:r>
          </w:p>
        </w:tc>
        <w:tc>
          <w:tcPr>
            <w:tcW w:w="1710" w:type="dxa"/>
            <w:tcBorders>
              <w:top w:val="single" w:sz="4" w:space="0" w:color="auto"/>
              <w:left w:val="single" w:sz="4" w:space="0" w:color="auto"/>
              <w:bottom w:val="single" w:sz="4" w:space="0" w:color="auto"/>
              <w:right w:val="single" w:sz="4" w:space="0" w:color="auto"/>
            </w:tcBorders>
            <w:vAlign w:val="center"/>
          </w:tcPr>
          <w:p w14:paraId="3AFE0011" w14:textId="77777777" w:rsidR="007376E1" w:rsidRPr="001570EA" w:rsidRDefault="007376E1">
            <w:pPr>
              <w:jc w:val="center"/>
              <w:rPr>
                <w:szCs w:val="18"/>
              </w:rPr>
            </w:pPr>
            <w:r w:rsidRPr="001570EA">
              <w:rPr>
                <w:szCs w:val="18"/>
              </w:rPr>
              <w:t>5</w:t>
            </w:r>
          </w:p>
        </w:tc>
      </w:tr>
    </w:tbl>
    <w:p w14:paraId="58ED1A0A" w14:textId="77777777" w:rsidR="007376E1" w:rsidRPr="001570EA" w:rsidRDefault="007376E1" w:rsidP="007376E1">
      <w:pPr>
        <w:pStyle w:val="Caption"/>
        <w:spacing w:after="0"/>
        <w:jc w:val="left"/>
      </w:pPr>
    </w:p>
    <w:p w14:paraId="1B0CE360" w14:textId="65682C17" w:rsidR="007376E1" w:rsidRPr="001570EA" w:rsidRDefault="00540B03" w:rsidP="00540B03">
      <w:pPr>
        <w:pStyle w:val="Caption"/>
      </w:pPr>
      <w:bookmarkStart w:id="270" w:name="_Ref163905947"/>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35</w:t>
      </w:r>
      <w:r w:rsidR="002E093A" w:rsidRPr="001570EA">
        <w:fldChar w:fldCharType="end"/>
      </w:r>
      <w:bookmarkEnd w:id="270"/>
      <w:r w:rsidRPr="001570EA">
        <w:t>:  Default Baseline Equipment Efficiency</w:t>
      </w:r>
    </w:p>
    <w:tbl>
      <w:tblPr>
        <w:tblStyle w:val="TableGrid"/>
        <w:tblW w:w="3599" w:type="dxa"/>
        <w:tblInd w:w="86" w:type="dxa"/>
        <w:tblLayout w:type="fixed"/>
        <w:tblLook w:val="04A0" w:firstRow="1" w:lastRow="0" w:firstColumn="1" w:lastColumn="0" w:noHBand="0" w:noVBand="1"/>
      </w:tblPr>
      <w:tblGrid>
        <w:gridCol w:w="1590"/>
        <w:gridCol w:w="2009"/>
      </w:tblGrid>
      <w:tr w:rsidR="007376E1" w:rsidRPr="001570EA" w14:paraId="5936ADA5" w14:textId="77777777">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7BA95F" w14:textId="77777777" w:rsidR="007376E1" w:rsidRPr="001570EA" w:rsidRDefault="007376E1">
            <w:pPr>
              <w:keepNext/>
              <w:rPr>
                <w:rFonts w:cs="Arial"/>
                <w:sz w:val="18"/>
                <w:szCs w:val="18"/>
              </w:rPr>
            </w:pPr>
          </w:p>
        </w:tc>
        <w:tc>
          <w:tcPr>
            <w:tcW w:w="20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1D9700" w14:textId="77777777" w:rsidR="007376E1" w:rsidRPr="001570EA" w:rsidRDefault="007376E1">
            <w:pPr>
              <w:keepNext/>
              <w:jc w:val="center"/>
              <w:rPr>
                <w:rFonts w:cs="Arial"/>
                <w:b/>
                <w:sz w:val="18"/>
                <w:szCs w:val="18"/>
              </w:rPr>
            </w:pPr>
            <w:r w:rsidRPr="001570EA">
              <w:rPr>
                <w:rFonts w:cs="Arial"/>
                <w:b/>
                <w:sz w:val="18"/>
                <w:szCs w:val="18"/>
              </w:rPr>
              <w:t>Early Replacement</w:t>
            </w:r>
          </w:p>
        </w:tc>
      </w:tr>
      <w:tr w:rsidR="007376E1" w:rsidRPr="001570EA" w14:paraId="361DA856" w14:textId="77777777">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B07A32" w14:textId="77777777" w:rsidR="007376E1" w:rsidRPr="001570EA" w:rsidRDefault="007376E1">
            <w:pPr>
              <w:keepNext/>
              <w:rPr>
                <w:rFonts w:cs="Arial"/>
                <w:b/>
                <w:sz w:val="18"/>
                <w:szCs w:val="18"/>
              </w:rPr>
            </w:pPr>
            <w:r w:rsidRPr="001570EA">
              <w:rPr>
                <w:rFonts w:cs="Arial"/>
                <w:b/>
                <w:sz w:val="18"/>
                <w:szCs w:val="18"/>
              </w:rPr>
              <w:t>Baseline Equip.</w:t>
            </w:r>
          </w:p>
        </w:tc>
        <w:tc>
          <w:tcPr>
            <w:tcW w:w="20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58" w:type="dxa"/>
              <w:bottom w:w="0" w:type="dxa"/>
              <w:right w:w="58" w:type="dxa"/>
            </w:tcMar>
            <w:hideMark/>
          </w:tcPr>
          <w:p w14:paraId="0A4C8F2F" w14:textId="77777777" w:rsidR="007376E1" w:rsidRPr="001570EA" w:rsidRDefault="007376E1">
            <w:pPr>
              <w:jc w:val="center"/>
              <w:rPr>
                <w:rFonts w:cs="Arial"/>
                <w:b/>
                <w:i/>
                <w:sz w:val="18"/>
                <w:szCs w:val="18"/>
              </w:rPr>
            </w:pPr>
            <w:r w:rsidRPr="001570EA">
              <w:rPr>
                <w:rFonts w:cs="Arial"/>
                <w:b/>
                <w:i/>
                <w:sz w:val="18"/>
                <w:szCs w:val="18"/>
              </w:rPr>
              <w:t>COP</w:t>
            </w:r>
            <w:r w:rsidRPr="001570EA">
              <w:rPr>
                <w:rFonts w:cs="Arial"/>
                <w:b/>
                <w:i/>
                <w:sz w:val="18"/>
                <w:szCs w:val="18"/>
                <w:vertAlign w:val="subscript"/>
              </w:rPr>
              <w:t>base</w:t>
            </w:r>
          </w:p>
        </w:tc>
      </w:tr>
      <w:tr w:rsidR="007376E1" w:rsidRPr="001570EA" w14:paraId="75045269" w14:textId="77777777">
        <w:trPr>
          <w:trHeight w:val="288"/>
        </w:trPr>
        <w:tc>
          <w:tcPr>
            <w:tcW w:w="1590" w:type="dxa"/>
            <w:tcBorders>
              <w:top w:val="single" w:sz="4" w:space="0" w:color="auto"/>
              <w:left w:val="single" w:sz="4" w:space="0" w:color="auto"/>
              <w:bottom w:val="single" w:sz="4" w:space="0" w:color="auto"/>
              <w:right w:val="single" w:sz="4" w:space="0" w:color="auto"/>
            </w:tcBorders>
            <w:vAlign w:val="center"/>
            <w:hideMark/>
          </w:tcPr>
          <w:p w14:paraId="2ACFAFCE" w14:textId="77777777" w:rsidR="007376E1" w:rsidRPr="001570EA" w:rsidRDefault="007376E1">
            <w:pPr>
              <w:keepNext/>
              <w:rPr>
                <w:rFonts w:cs="Arial"/>
                <w:sz w:val="18"/>
                <w:szCs w:val="18"/>
              </w:rPr>
            </w:pPr>
            <w:r w:rsidRPr="001570EA">
              <w:rPr>
                <w:rFonts w:cs="Arial"/>
                <w:sz w:val="18"/>
                <w:szCs w:val="18"/>
              </w:rPr>
              <w:t>Elec. Baseboard</w:t>
            </w:r>
          </w:p>
        </w:tc>
        <w:tc>
          <w:tcPr>
            <w:tcW w:w="2009" w:type="dxa"/>
            <w:tcBorders>
              <w:top w:val="single" w:sz="4" w:space="0" w:color="auto"/>
              <w:left w:val="single" w:sz="4" w:space="0" w:color="auto"/>
              <w:bottom w:val="single" w:sz="4" w:space="0" w:color="auto"/>
              <w:right w:val="single" w:sz="4" w:space="0" w:color="auto"/>
            </w:tcBorders>
            <w:vAlign w:val="center"/>
            <w:hideMark/>
          </w:tcPr>
          <w:p w14:paraId="7C982D07" w14:textId="77777777" w:rsidR="007376E1" w:rsidRPr="001570EA" w:rsidRDefault="007376E1">
            <w:pPr>
              <w:tabs>
                <w:tab w:val="left" w:pos="522"/>
              </w:tabs>
              <w:jc w:val="center"/>
              <w:rPr>
                <w:rFonts w:cs="Arial"/>
                <w:sz w:val="18"/>
                <w:szCs w:val="18"/>
              </w:rPr>
            </w:pPr>
            <w:r w:rsidRPr="001570EA">
              <w:rPr>
                <w:rFonts w:cs="Arial"/>
                <w:sz w:val="18"/>
                <w:szCs w:val="18"/>
              </w:rPr>
              <w:t>1.00</w:t>
            </w:r>
          </w:p>
        </w:tc>
      </w:tr>
      <w:tr w:rsidR="007376E1" w:rsidRPr="001570EA" w14:paraId="7A8DE5C6" w14:textId="77777777">
        <w:trPr>
          <w:trHeight w:val="288"/>
        </w:trPr>
        <w:tc>
          <w:tcPr>
            <w:tcW w:w="1590" w:type="dxa"/>
            <w:tcBorders>
              <w:top w:val="single" w:sz="4" w:space="0" w:color="auto"/>
              <w:left w:val="single" w:sz="4" w:space="0" w:color="auto"/>
              <w:bottom w:val="single" w:sz="4" w:space="0" w:color="auto"/>
              <w:right w:val="single" w:sz="4" w:space="0" w:color="auto"/>
            </w:tcBorders>
            <w:vAlign w:val="center"/>
            <w:hideMark/>
          </w:tcPr>
          <w:p w14:paraId="41DA8380" w14:textId="77777777" w:rsidR="007376E1" w:rsidRPr="001570EA" w:rsidRDefault="007376E1">
            <w:pPr>
              <w:keepNext/>
              <w:rPr>
                <w:rFonts w:cs="Arial"/>
                <w:sz w:val="18"/>
                <w:szCs w:val="18"/>
              </w:rPr>
            </w:pPr>
            <w:r w:rsidRPr="001570EA">
              <w:rPr>
                <w:rFonts w:cs="Arial"/>
                <w:sz w:val="18"/>
                <w:szCs w:val="18"/>
              </w:rPr>
              <w:t>Elec. Furnace</w:t>
            </w:r>
          </w:p>
        </w:tc>
        <w:tc>
          <w:tcPr>
            <w:tcW w:w="2009" w:type="dxa"/>
            <w:tcBorders>
              <w:top w:val="single" w:sz="4" w:space="0" w:color="auto"/>
              <w:left w:val="single" w:sz="4" w:space="0" w:color="auto"/>
              <w:bottom w:val="single" w:sz="4" w:space="0" w:color="auto"/>
              <w:right w:val="single" w:sz="4" w:space="0" w:color="auto"/>
            </w:tcBorders>
            <w:vAlign w:val="center"/>
            <w:hideMark/>
          </w:tcPr>
          <w:p w14:paraId="76F39AFD" w14:textId="77777777" w:rsidR="007376E1" w:rsidRPr="001570EA" w:rsidRDefault="007376E1">
            <w:pPr>
              <w:tabs>
                <w:tab w:val="left" w:pos="522"/>
              </w:tabs>
              <w:jc w:val="center"/>
              <w:rPr>
                <w:rFonts w:cs="Arial"/>
                <w:sz w:val="18"/>
                <w:szCs w:val="18"/>
              </w:rPr>
            </w:pPr>
            <w:r w:rsidRPr="001570EA">
              <w:rPr>
                <w:rFonts w:cs="Arial"/>
                <w:sz w:val="18"/>
                <w:szCs w:val="18"/>
              </w:rPr>
              <w:t>0.95</w:t>
            </w:r>
          </w:p>
        </w:tc>
      </w:tr>
      <w:tr w:rsidR="007376E1" w:rsidRPr="001570EA" w14:paraId="00477A33" w14:textId="77777777">
        <w:trPr>
          <w:trHeight w:val="288"/>
        </w:trPr>
        <w:tc>
          <w:tcPr>
            <w:tcW w:w="1590" w:type="dxa"/>
            <w:tcBorders>
              <w:top w:val="single" w:sz="4" w:space="0" w:color="auto"/>
              <w:left w:val="single" w:sz="4" w:space="0" w:color="auto"/>
              <w:bottom w:val="single" w:sz="4" w:space="0" w:color="auto"/>
              <w:right w:val="single" w:sz="4" w:space="0" w:color="auto"/>
            </w:tcBorders>
            <w:vAlign w:val="center"/>
            <w:hideMark/>
          </w:tcPr>
          <w:p w14:paraId="30B4E586" w14:textId="77777777" w:rsidR="007376E1" w:rsidRPr="001570EA" w:rsidRDefault="007376E1">
            <w:pPr>
              <w:keepNext/>
              <w:rPr>
                <w:rFonts w:cs="Arial"/>
                <w:sz w:val="18"/>
                <w:szCs w:val="18"/>
              </w:rPr>
            </w:pPr>
            <w:r w:rsidRPr="001570EA">
              <w:rPr>
                <w:rFonts w:cs="Arial"/>
                <w:sz w:val="18"/>
                <w:szCs w:val="18"/>
              </w:rPr>
              <w:t>Space Heaters</w:t>
            </w:r>
          </w:p>
        </w:tc>
        <w:tc>
          <w:tcPr>
            <w:tcW w:w="2009" w:type="dxa"/>
            <w:tcBorders>
              <w:top w:val="single" w:sz="4" w:space="0" w:color="auto"/>
              <w:left w:val="single" w:sz="4" w:space="0" w:color="auto"/>
              <w:bottom w:val="single" w:sz="4" w:space="0" w:color="auto"/>
              <w:right w:val="single" w:sz="4" w:space="0" w:color="auto"/>
            </w:tcBorders>
            <w:vAlign w:val="center"/>
            <w:hideMark/>
          </w:tcPr>
          <w:p w14:paraId="26D6249E" w14:textId="77777777" w:rsidR="007376E1" w:rsidRPr="001570EA" w:rsidRDefault="007376E1">
            <w:pPr>
              <w:tabs>
                <w:tab w:val="left" w:pos="522"/>
              </w:tabs>
              <w:jc w:val="center"/>
              <w:rPr>
                <w:rFonts w:cs="Arial"/>
                <w:sz w:val="18"/>
                <w:szCs w:val="18"/>
              </w:rPr>
            </w:pPr>
            <w:r w:rsidRPr="001570EA">
              <w:rPr>
                <w:rFonts w:cs="Arial"/>
                <w:sz w:val="18"/>
                <w:szCs w:val="18"/>
              </w:rPr>
              <w:t>1.00</w:t>
            </w:r>
          </w:p>
        </w:tc>
      </w:tr>
    </w:tbl>
    <w:p w14:paraId="51279DDD" w14:textId="77777777" w:rsidR="007376E1" w:rsidRPr="001570EA" w:rsidRDefault="007376E1" w:rsidP="007376E1"/>
    <w:p w14:paraId="77E00EFC" w14:textId="208E5564" w:rsidR="007376E1" w:rsidRPr="001570EA" w:rsidRDefault="00540B03" w:rsidP="00540B03">
      <w:pPr>
        <w:pStyle w:val="Caption"/>
      </w:pPr>
      <w:bookmarkStart w:id="271" w:name="_Ref163906106"/>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36</w:t>
      </w:r>
      <w:r w:rsidR="002E093A" w:rsidRPr="001570EA">
        <w:fldChar w:fldCharType="end"/>
      </w:r>
      <w:bookmarkEnd w:id="271"/>
      <w:r w:rsidRPr="001570EA">
        <w:t>: Oversize Factors for High Efficiency Equipment</w:t>
      </w:r>
    </w:p>
    <w:tbl>
      <w:tblPr>
        <w:tblStyle w:val="TableGrid"/>
        <w:tblW w:w="0" w:type="auto"/>
        <w:tblInd w:w="115" w:type="dxa"/>
        <w:tblLook w:val="04A0" w:firstRow="1" w:lastRow="0" w:firstColumn="1" w:lastColumn="0" w:noHBand="0" w:noVBand="1"/>
      </w:tblPr>
      <w:tblGrid>
        <w:gridCol w:w="1181"/>
        <w:gridCol w:w="1147"/>
        <w:gridCol w:w="946"/>
        <w:gridCol w:w="913"/>
      </w:tblGrid>
      <w:tr w:rsidR="007376E1" w:rsidRPr="001570EA" w14:paraId="0A2A701E" w14:textId="77777777">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ABD0C1" w14:textId="77777777" w:rsidR="007376E1" w:rsidRPr="001570EA" w:rsidRDefault="007376E1">
            <w:pPr>
              <w:jc w:val="center"/>
              <w:rPr>
                <w:b/>
                <w:sz w:val="18"/>
                <w:szCs w:val="18"/>
              </w:rPr>
            </w:pPr>
          </w:p>
        </w:tc>
        <w:tc>
          <w:tcPr>
            <w:tcW w:w="11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747C03" w14:textId="77777777" w:rsidR="007376E1" w:rsidRPr="001570EA" w:rsidRDefault="007376E1">
            <w:pPr>
              <w:jc w:val="center"/>
              <w:rPr>
                <w:b/>
                <w:sz w:val="18"/>
                <w:szCs w:val="18"/>
              </w:rPr>
            </w:pPr>
            <w:r w:rsidRPr="001570EA">
              <w:rPr>
                <w:rFonts w:cs="Arial"/>
                <w:b/>
                <w:sz w:val="18"/>
                <w:szCs w:val="18"/>
              </w:rPr>
              <w:t>Electric Baseboard</w:t>
            </w:r>
          </w:p>
        </w:tc>
        <w:tc>
          <w:tcPr>
            <w:tcW w:w="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C6819E" w14:textId="77777777" w:rsidR="007376E1" w:rsidRPr="001570EA" w:rsidRDefault="007376E1">
            <w:pPr>
              <w:jc w:val="center"/>
              <w:rPr>
                <w:b/>
                <w:sz w:val="18"/>
                <w:szCs w:val="18"/>
              </w:rPr>
            </w:pPr>
            <w:r w:rsidRPr="001570EA">
              <w:rPr>
                <w:rFonts w:cs="Arial"/>
                <w:b/>
                <w:sz w:val="18"/>
                <w:szCs w:val="18"/>
              </w:rPr>
              <w:t>Electric Furnace</w:t>
            </w:r>
          </w:p>
        </w:tc>
        <w:tc>
          <w:tcPr>
            <w:tcW w:w="9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674E10" w14:textId="77777777" w:rsidR="007376E1" w:rsidRPr="001570EA" w:rsidRDefault="007376E1">
            <w:pPr>
              <w:jc w:val="center"/>
              <w:rPr>
                <w:b/>
                <w:sz w:val="18"/>
                <w:szCs w:val="18"/>
              </w:rPr>
            </w:pPr>
            <w:r w:rsidRPr="001570EA">
              <w:rPr>
                <w:rFonts w:cs="Arial"/>
                <w:b/>
                <w:sz w:val="18"/>
                <w:szCs w:val="18"/>
              </w:rPr>
              <w:t>Space Heaters</w:t>
            </w:r>
          </w:p>
        </w:tc>
      </w:tr>
      <w:tr w:rsidR="007376E1" w:rsidRPr="001570EA" w14:paraId="7B10347B" w14:textId="77777777">
        <w:trPr>
          <w:trHeight w:val="288"/>
        </w:trPr>
        <w:tc>
          <w:tcPr>
            <w:tcW w:w="1181" w:type="dxa"/>
            <w:tcBorders>
              <w:top w:val="single" w:sz="4" w:space="0" w:color="auto"/>
              <w:left w:val="single" w:sz="4" w:space="0" w:color="auto"/>
              <w:bottom w:val="single" w:sz="4" w:space="0" w:color="auto"/>
              <w:right w:val="single" w:sz="4" w:space="0" w:color="auto"/>
            </w:tcBorders>
            <w:hideMark/>
          </w:tcPr>
          <w:p w14:paraId="191BDA23" w14:textId="77777777" w:rsidR="007376E1" w:rsidRPr="001570EA" w:rsidRDefault="007376E1">
            <w:pPr>
              <w:jc w:val="center"/>
              <w:rPr>
                <w:rFonts w:ascii="Cambria Math" w:hAnsi="Cambria Math"/>
                <w:sz w:val="18"/>
                <w:szCs w:val="18"/>
              </w:rPr>
            </w:pPr>
            <w:r w:rsidRPr="001570EA">
              <w:rPr>
                <w:rFonts w:ascii="Cambria Math" w:hAnsi="Cambria Math" w:cs="Arial"/>
                <w:i/>
                <w:sz w:val="18"/>
                <w:szCs w:val="18"/>
              </w:rPr>
              <w:t>OF</w:t>
            </w:r>
            <w:r w:rsidRPr="001570EA">
              <w:rPr>
                <w:rFonts w:ascii="Cambria Math" w:hAnsi="Cambria Math" w:cs="Arial"/>
                <w:i/>
                <w:sz w:val="18"/>
                <w:szCs w:val="18"/>
                <w:vertAlign w:val="subscript"/>
              </w:rPr>
              <w:t>heat</w:t>
            </w:r>
          </w:p>
        </w:tc>
        <w:tc>
          <w:tcPr>
            <w:tcW w:w="1147" w:type="dxa"/>
            <w:tcBorders>
              <w:top w:val="single" w:sz="4" w:space="0" w:color="auto"/>
              <w:left w:val="single" w:sz="4" w:space="0" w:color="auto"/>
              <w:bottom w:val="single" w:sz="4" w:space="0" w:color="auto"/>
              <w:right w:val="single" w:sz="4" w:space="0" w:color="auto"/>
            </w:tcBorders>
            <w:hideMark/>
          </w:tcPr>
          <w:p w14:paraId="5C8C1CC5" w14:textId="77777777" w:rsidR="007376E1" w:rsidRPr="001570EA" w:rsidRDefault="007376E1">
            <w:pPr>
              <w:jc w:val="center"/>
              <w:rPr>
                <w:sz w:val="18"/>
                <w:szCs w:val="18"/>
              </w:rPr>
            </w:pPr>
            <w:r w:rsidRPr="001570EA">
              <w:rPr>
                <w:rFonts w:cs="Arial"/>
                <w:sz w:val="18"/>
                <w:szCs w:val="18"/>
              </w:rPr>
              <w:t>1.0</w:t>
            </w:r>
          </w:p>
        </w:tc>
        <w:tc>
          <w:tcPr>
            <w:tcW w:w="946" w:type="dxa"/>
            <w:tcBorders>
              <w:top w:val="single" w:sz="4" w:space="0" w:color="auto"/>
              <w:left w:val="single" w:sz="4" w:space="0" w:color="auto"/>
              <w:bottom w:val="single" w:sz="4" w:space="0" w:color="auto"/>
              <w:right w:val="single" w:sz="4" w:space="0" w:color="auto"/>
            </w:tcBorders>
            <w:hideMark/>
          </w:tcPr>
          <w:p w14:paraId="0638AA48" w14:textId="77777777" w:rsidR="007376E1" w:rsidRPr="001570EA" w:rsidRDefault="007376E1">
            <w:pPr>
              <w:jc w:val="center"/>
              <w:rPr>
                <w:sz w:val="18"/>
                <w:szCs w:val="18"/>
              </w:rPr>
            </w:pPr>
            <w:r w:rsidRPr="001570EA">
              <w:rPr>
                <w:rFonts w:cs="Arial"/>
                <w:sz w:val="18"/>
                <w:szCs w:val="18"/>
              </w:rPr>
              <w:t>1.0</w:t>
            </w:r>
          </w:p>
        </w:tc>
        <w:tc>
          <w:tcPr>
            <w:tcW w:w="913" w:type="dxa"/>
            <w:tcBorders>
              <w:top w:val="single" w:sz="4" w:space="0" w:color="auto"/>
              <w:left w:val="single" w:sz="4" w:space="0" w:color="auto"/>
              <w:bottom w:val="single" w:sz="4" w:space="0" w:color="auto"/>
              <w:right w:val="single" w:sz="4" w:space="0" w:color="auto"/>
            </w:tcBorders>
            <w:hideMark/>
          </w:tcPr>
          <w:p w14:paraId="46E9312C" w14:textId="77777777" w:rsidR="007376E1" w:rsidRPr="001570EA" w:rsidRDefault="007376E1">
            <w:pPr>
              <w:jc w:val="center"/>
              <w:rPr>
                <w:sz w:val="18"/>
                <w:szCs w:val="18"/>
              </w:rPr>
            </w:pPr>
            <w:r w:rsidRPr="001570EA">
              <w:rPr>
                <w:rFonts w:cs="Arial"/>
                <w:sz w:val="18"/>
                <w:szCs w:val="18"/>
              </w:rPr>
              <w:t>0.5</w:t>
            </w:r>
          </w:p>
        </w:tc>
      </w:tr>
    </w:tbl>
    <w:p w14:paraId="37BA482C" w14:textId="77777777" w:rsidR="007376E1" w:rsidRPr="001570EA" w:rsidRDefault="007376E1" w:rsidP="007376E1"/>
    <w:p w14:paraId="006F92A2" w14:textId="2B07E6E7" w:rsidR="007376E1" w:rsidRPr="001570EA" w:rsidRDefault="00540B03" w:rsidP="00540B03">
      <w:pPr>
        <w:pStyle w:val="Caption"/>
      </w:pPr>
      <w:bookmarkStart w:id="272" w:name="_Ref16390590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37</w:t>
      </w:r>
      <w:r w:rsidR="002E093A" w:rsidRPr="001570EA">
        <w:fldChar w:fldCharType="end"/>
      </w:r>
      <w:bookmarkEnd w:id="272"/>
      <w:r w:rsidRPr="001570EA">
        <w:t>: Reverse-Cycle RAC Federal Minimum Efficiency Standards</w:t>
      </w:r>
    </w:p>
    <w:tbl>
      <w:tblPr>
        <w:tblW w:w="5032" w:type="dxa"/>
        <w:tblLook w:val="04A0" w:firstRow="1" w:lastRow="0" w:firstColumn="1" w:lastColumn="0" w:noHBand="0" w:noVBand="1"/>
      </w:tblPr>
      <w:tblGrid>
        <w:gridCol w:w="1360"/>
        <w:gridCol w:w="1836"/>
        <w:gridCol w:w="1836"/>
      </w:tblGrid>
      <w:tr w:rsidR="007376E1" w:rsidRPr="001570EA" w14:paraId="539BD1C0" w14:textId="77777777">
        <w:trPr>
          <w:trHeight w:val="664"/>
        </w:trPr>
        <w:tc>
          <w:tcPr>
            <w:tcW w:w="1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5911BD" w14:textId="77777777" w:rsidR="007376E1" w:rsidRPr="001570EA" w:rsidRDefault="007376E1">
            <w:pPr>
              <w:jc w:val="center"/>
              <w:rPr>
                <w:rFonts w:cs="Arial"/>
                <w:b/>
                <w:bCs/>
                <w:color w:val="000000"/>
                <w:sz w:val="18"/>
                <w:szCs w:val="18"/>
              </w:rPr>
            </w:pPr>
            <w:r w:rsidRPr="001570EA">
              <w:rPr>
                <w:rFonts w:cs="Arial"/>
                <w:b/>
                <w:bCs/>
                <w:color w:val="000000"/>
                <w:sz w:val="18"/>
                <w:szCs w:val="18"/>
              </w:rPr>
              <w:t xml:space="preserve">Capacity </w:t>
            </w:r>
            <w:r w:rsidRPr="001570EA">
              <w:rPr>
                <w:rFonts w:cs="Arial"/>
                <w:b/>
                <w:bCs/>
                <w:color w:val="000000"/>
                <w:sz w:val="18"/>
                <w:szCs w:val="18"/>
              </w:rPr>
              <w:br/>
              <w:t>(kBTU/h)</w:t>
            </w:r>
          </w:p>
        </w:tc>
        <w:tc>
          <w:tcPr>
            <w:tcW w:w="1836"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1B0A650B" w14:textId="77777777" w:rsidR="007376E1" w:rsidRPr="001570EA" w:rsidRDefault="007376E1">
            <w:pPr>
              <w:jc w:val="center"/>
              <w:rPr>
                <w:rFonts w:cs="Arial"/>
                <w:b/>
                <w:bCs/>
                <w:color w:val="000000"/>
                <w:sz w:val="18"/>
                <w:szCs w:val="18"/>
              </w:rPr>
            </w:pPr>
            <w:r w:rsidRPr="001570EA">
              <w:rPr>
                <w:rFonts w:cs="Arial"/>
                <w:b/>
                <w:bCs/>
                <w:color w:val="000000"/>
                <w:sz w:val="18"/>
                <w:szCs w:val="18"/>
              </w:rPr>
              <w:t>Federal Standard CEER, with louvered sides</w:t>
            </w:r>
          </w:p>
        </w:tc>
        <w:tc>
          <w:tcPr>
            <w:tcW w:w="1836"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78D30CB7" w14:textId="77777777" w:rsidR="007376E1" w:rsidRPr="001570EA" w:rsidRDefault="007376E1">
            <w:pPr>
              <w:jc w:val="center"/>
              <w:rPr>
                <w:rFonts w:cs="Arial"/>
                <w:b/>
                <w:bCs/>
                <w:color w:val="000000"/>
                <w:sz w:val="18"/>
                <w:szCs w:val="18"/>
              </w:rPr>
            </w:pPr>
            <w:r w:rsidRPr="001570EA">
              <w:rPr>
                <w:rFonts w:cs="Arial"/>
                <w:b/>
                <w:bCs/>
                <w:color w:val="000000"/>
                <w:sz w:val="18"/>
                <w:szCs w:val="18"/>
              </w:rPr>
              <w:t>Federal Standard CEER, without louvered sides</w:t>
            </w:r>
          </w:p>
        </w:tc>
      </w:tr>
      <w:tr w:rsidR="007376E1" w:rsidRPr="001570EA" w14:paraId="07A75A39" w14:textId="77777777">
        <w:trPr>
          <w:trHeight w:val="222"/>
        </w:trPr>
        <w:tc>
          <w:tcPr>
            <w:tcW w:w="13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CA839A" w14:textId="77777777" w:rsidR="007376E1" w:rsidRPr="001570EA" w:rsidRDefault="007376E1">
            <w:pPr>
              <w:jc w:val="center"/>
              <w:rPr>
                <w:rFonts w:cs="Arial"/>
                <w:color w:val="000000"/>
                <w:sz w:val="18"/>
                <w:szCs w:val="18"/>
              </w:rPr>
            </w:pPr>
            <w:r w:rsidRPr="001570EA">
              <w:rPr>
                <w:rFonts w:cs="Arial"/>
                <w:color w:val="000000"/>
                <w:sz w:val="18"/>
                <w:szCs w:val="18"/>
              </w:rPr>
              <w:t>&lt; 14</w:t>
            </w:r>
          </w:p>
        </w:tc>
        <w:tc>
          <w:tcPr>
            <w:tcW w:w="18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275E0C" w14:textId="77777777" w:rsidR="007376E1" w:rsidRPr="001570EA" w:rsidRDefault="007376E1">
            <w:pPr>
              <w:jc w:val="center"/>
              <w:rPr>
                <w:rFonts w:cs="Arial"/>
                <w:color w:val="000000"/>
                <w:sz w:val="18"/>
                <w:szCs w:val="18"/>
              </w:rPr>
            </w:pPr>
            <w:r w:rsidRPr="001570EA">
              <w:rPr>
                <w:rFonts w:cs="Arial"/>
                <w:color w:val="000000"/>
                <w:sz w:val="18"/>
                <w:szCs w:val="18"/>
              </w:rPr>
              <w:t>n/a</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84FC78D" w14:textId="77777777" w:rsidR="007376E1" w:rsidRPr="001570EA" w:rsidRDefault="007376E1">
            <w:pPr>
              <w:jc w:val="center"/>
              <w:rPr>
                <w:rFonts w:cs="Arial"/>
                <w:color w:val="000000"/>
                <w:sz w:val="18"/>
                <w:szCs w:val="18"/>
              </w:rPr>
            </w:pPr>
            <w:r w:rsidRPr="001570EA">
              <w:rPr>
                <w:rFonts w:cs="Arial"/>
                <w:color w:val="000000"/>
                <w:sz w:val="18"/>
                <w:szCs w:val="18"/>
              </w:rPr>
              <w:t>13.7</w:t>
            </w:r>
          </w:p>
        </w:tc>
      </w:tr>
      <w:tr w:rsidR="007376E1" w:rsidRPr="001570EA" w14:paraId="6E174005" w14:textId="77777777">
        <w:trPr>
          <w:trHeight w:val="222"/>
        </w:trPr>
        <w:tc>
          <w:tcPr>
            <w:tcW w:w="13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3CE2B2" w14:textId="77777777" w:rsidR="007376E1" w:rsidRPr="001570EA" w:rsidRDefault="007376E1">
            <w:pPr>
              <w:jc w:val="center"/>
              <w:rPr>
                <w:rFonts w:cs="Arial"/>
                <w:color w:val="000000"/>
                <w:sz w:val="18"/>
                <w:szCs w:val="18"/>
              </w:rPr>
            </w:pPr>
            <w:r w:rsidRPr="001570EA">
              <w:rPr>
                <w:rFonts w:ascii="Calibri" w:hAnsi="Calibri" w:cs="Calibri"/>
                <w:color w:val="000000"/>
                <w:sz w:val="18"/>
                <w:szCs w:val="18"/>
              </w:rPr>
              <w:t>≥</w:t>
            </w:r>
            <w:r w:rsidRPr="001570EA">
              <w:rPr>
                <w:rFonts w:cs="Arial"/>
                <w:color w:val="000000"/>
                <w:sz w:val="18"/>
                <w:szCs w:val="18"/>
              </w:rPr>
              <w:t xml:space="preserve"> 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1A406" w14:textId="77777777" w:rsidR="007376E1" w:rsidRPr="001570EA" w:rsidRDefault="007376E1">
            <w:pPr>
              <w:spacing w:line="276" w:lineRule="auto"/>
              <w:rPr>
                <w:rFonts w:cs="Arial"/>
                <w:color w:val="000000"/>
                <w:sz w:val="18"/>
                <w:szCs w:val="18"/>
              </w:rPr>
            </w:pP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8E6076" w14:textId="77777777" w:rsidR="007376E1" w:rsidRPr="001570EA" w:rsidRDefault="007376E1">
            <w:pPr>
              <w:jc w:val="center"/>
              <w:rPr>
                <w:rFonts w:cs="Arial"/>
                <w:color w:val="000000"/>
                <w:sz w:val="18"/>
                <w:szCs w:val="18"/>
              </w:rPr>
            </w:pPr>
            <w:r w:rsidRPr="001570EA">
              <w:rPr>
                <w:rFonts w:cs="Arial"/>
                <w:color w:val="000000"/>
                <w:sz w:val="18"/>
                <w:szCs w:val="18"/>
              </w:rPr>
              <w:t>12.8</w:t>
            </w:r>
          </w:p>
        </w:tc>
      </w:tr>
      <w:tr w:rsidR="007376E1" w:rsidRPr="001570EA" w14:paraId="34CF35FF" w14:textId="77777777">
        <w:trPr>
          <w:trHeight w:val="222"/>
        </w:trPr>
        <w:tc>
          <w:tcPr>
            <w:tcW w:w="13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FFDFA7" w14:textId="77777777" w:rsidR="007376E1" w:rsidRPr="001570EA" w:rsidRDefault="007376E1">
            <w:pPr>
              <w:jc w:val="center"/>
              <w:rPr>
                <w:rFonts w:cs="Arial"/>
                <w:color w:val="000000"/>
                <w:sz w:val="18"/>
                <w:szCs w:val="18"/>
              </w:rPr>
            </w:pPr>
            <w:r w:rsidRPr="001570EA">
              <w:rPr>
                <w:rFonts w:cs="Arial"/>
                <w:color w:val="000000"/>
                <w:sz w:val="18"/>
                <w:szCs w:val="18"/>
              </w:rPr>
              <w:t>&lt; 20</w:t>
            </w:r>
          </w:p>
        </w:tc>
        <w:tc>
          <w:tcPr>
            <w:tcW w:w="183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F33C96E" w14:textId="77777777" w:rsidR="007376E1" w:rsidRPr="001570EA" w:rsidRDefault="007376E1">
            <w:pPr>
              <w:jc w:val="center"/>
              <w:rPr>
                <w:rFonts w:cs="Arial"/>
                <w:color w:val="000000"/>
                <w:sz w:val="18"/>
                <w:szCs w:val="18"/>
              </w:rPr>
            </w:pPr>
            <w:r w:rsidRPr="001570EA">
              <w:rPr>
                <w:rFonts w:cs="Arial"/>
                <w:color w:val="000000"/>
                <w:sz w:val="18"/>
                <w:szCs w:val="18"/>
              </w:rPr>
              <w:t>14.4</w:t>
            </w:r>
          </w:p>
        </w:tc>
        <w:tc>
          <w:tcPr>
            <w:tcW w:w="18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C370E8" w14:textId="77777777" w:rsidR="007376E1" w:rsidRPr="001570EA" w:rsidRDefault="007376E1">
            <w:pPr>
              <w:jc w:val="center"/>
              <w:rPr>
                <w:rFonts w:cs="Arial"/>
                <w:color w:val="000000"/>
                <w:sz w:val="18"/>
                <w:szCs w:val="18"/>
              </w:rPr>
            </w:pPr>
            <w:r w:rsidRPr="001570EA">
              <w:rPr>
                <w:rFonts w:cs="Arial"/>
                <w:color w:val="000000"/>
                <w:sz w:val="18"/>
                <w:szCs w:val="18"/>
              </w:rPr>
              <w:t>n/a</w:t>
            </w:r>
          </w:p>
        </w:tc>
      </w:tr>
      <w:tr w:rsidR="007376E1" w:rsidRPr="001570EA" w14:paraId="0B12AA32" w14:textId="77777777">
        <w:trPr>
          <w:trHeight w:val="222"/>
        </w:trPr>
        <w:tc>
          <w:tcPr>
            <w:tcW w:w="13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573694" w14:textId="77777777" w:rsidR="007376E1" w:rsidRPr="001570EA" w:rsidRDefault="007376E1">
            <w:pPr>
              <w:jc w:val="center"/>
              <w:rPr>
                <w:rFonts w:cs="Arial"/>
                <w:color w:val="000000"/>
                <w:sz w:val="18"/>
                <w:szCs w:val="18"/>
              </w:rPr>
            </w:pPr>
            <w:r w:rsidRPr="001570EA">
              <w:rPr>
                <w:rFonts w:ascii="Calibri" w:hAnsi="Calibri" w:cs="Calibri"/>
                <w:color w:val="000000"/>
                <w:sz w:val="18"/>
                <w:szCs w:val="18"/>
              </w:rPr>
              <w:t>≥</w:t>
            </w:r>
            <w:r w:rsidRPr="001570EA">
              <w:rPr>
                <w:rFonts w:cs="Arial"/>
                <w:color w:val="000000"/>
                <w:sz w:val="18"/>
                <w:szCs w:val="18"/>
              </w:rPr>
              <w:t xml:space="preserve"> 20</w:t>
            </w:r>
          </w:p>
        </w:tc>
        <w:tc>
          <w:tcPr>
            <w:tcW w:w="183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8D5956D" w14:textId="77777777" w:rsidR="007376E1" w:rsidRPr="001570EA" w:rsidRDefault="007376E1">
            <w:pPr>
              <w:jc w:val="center"/>
              <w:rPr>
                <w:rFonts w:cs="Arial"/>
                <w:color w:val="000000"/>
                <w:sz w:val="18"/>
                <w:szCs w:val="18"/>
              </w:rPr>
            </w:pPr>
            <w:r w:rsidRPr="001570EA">
              <w:rPr>
                <w:rFonts w:cs="Arial"/>
                <w:color w:val="000000"/>
                <w:sz w:val="18"/>
                <w:szCs w:val="18"/>
              </w:rPr>
              <w:t>13.7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218EB" w14:textId="77777777" w:rsidR="007376E1" w:rsidRPr="001570EA" w:rsidRDefault="007376E1">
            <w:pPr>
              <w:spacing w:line="276" w:lineRule="auto"/>
              <w:rPr>
                <w:rFonts w:cs="Arial"/>
                <w:color w:val="000000"/>
                <w:sz w:val="18"/>
                <w:szCs w:val="18"/>
              </w:rPr>
            </w:pPr>
          </w:p>
        </w:tc>
      </w:tr>
    </w:tbl>
    <w:p w14:paraId="3D8C278A" w14:textId="77777777" w:rsidR="007376E1" w:rsidRPr="001570EA" w:rsidRDefault="007376E1" w:rsidP="007376E1">
      <w:pPr>
        <w:rPr>
          <w:szCs w:val="20"/>
        </w:rPr>
      </w:pPr>
    </w:p>
    <w:p w14:paraId="44D5A5B6" w14:textId="4A783F71" w:rsidR="007376E1" w:rsidRPr="001570EA" w:rsidRDefault="00540B03" w:rsidP="00540B03">
      <w:pPr>
        <w:pStyle w:val="Caption"/>
      </w:pPr>
      <w:bookmarkStart w:id="273" w:name="_Ref16390613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38</w:t>
      </w:r>
      <w:r w:rsidR="002E093A" w:rsidRPr="001570EA">
        <w:fldChar w:fldCharType="end"/>
      </w:r>
      <w:bookmarkEnd w:id="273"/>
      <w:r w:rsidRPr="001570EA">
        <w:t>: EFLHheat for Window Heat Pumps</w:t>
      </w:r>
    </w:p>
    <w:tbl>
      <w:tblPr>
        <w:tblW w:w="5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36"/>
        <w:gridCol w:w="1836"/>
      </w:tblGrid>
      <w:tr w:rsidR="007376E1" w:rsidRPr="001570EA" w14:paraId="6C38B2AB" w14:textId="77777777">
        <w:trPr>
          <w:trHeight w:val="664"/>
        </w:trPr>
        <w:tc>
          <w:tcPr>
            <w:tcW w:w="1360" w:type="dxa"/>
            <w:shd w:val="clear" w:color="auto" w:fill="BFBFBF" w:themeFill="background1" w:themeFillShade="BF"/>
            <w:vAlign w:val="center"/>
            <w:hideMark/>
          </w:tcPr>
          <w:p w14:paraId="53430305" w14:textId="77777777" w:rsidR="007376E1" w:rsidRPr="001570EA" w:rsidRDefault="007376E1">
            <w:pPr>
              <w:jc w:val="left"/>
              <w:rPr>
                <w:rFonts w:cs="Arial"/>
                <w:b/>
                <w:bCs/>
                <w:color w:val="000000"/>
                <w:sz w:val="18"/>
                <w:szCs w:val="18"/>
              </w:rPr>
            </w:pPr>
            <w:r w:rsidRPr="001570EA">
              <w:rPr>
                <w:rFonts w:cs="Arial"/>
                <w:b/>
                <w:bCs/>
                <w:color w:val="000000"/>
                <w:sz w:val="18"/>
                <w:szCs w:val="18"/>
              </w:rPr>
              <w:t>Climate Region</w:t>
            </w:r>
          </w:p>
        </w:tc>
        <w:tc>
          <w:tcPr>
            <w:tcW w:w="1836" w:type="dxa"/>
            <w:shd w:val="clear" w:color="auto" w:fill="BFBFBF" w:themeFill="background1" w:themeFillShade="BF"/>
            <w:vAlign w:val="center"/>
            <w:hideMark/>
          </w:tcPr>
          <w:p w14:paraId="4CD7B0BB" w14:textId="77777777" w:rsidR="007376E1" w:rsidRPr="001570EA" w:rsidRDefault="007376E1">
            <w:pPr>
              <w:jc w:val="center"/>
              <w:rPr>
                <w:rFonts w:cs="Arial"/>
                <w:b/>
                <w:bCs/>
                <w:color w:val="000000"/>
                <w:sz w:val="18"/>
                <w:szCs w:val="18"/>
              </w:rPr>
            </w:pPr>
            <w:r w:rsidRPr="001570EA">
              <w:rPr>
                <w:rFonts w:cs="Arial"/>
                <w:b/>
                <w:bCs/>
                <w:color w:val="000000"/>
                <w:sz w:val="18"/>
                <w:szCs w:val="18"/>
              </w:rPr>
              <w:t>Reference City</w:t>
            </w:r>
          </w:p>
        </w:tc>
        <w:tc>
          <w:tcPr>
            <w:tcW w:w="1836" w:type="dxa"/>
            <w:shd w:val="clear" w:color="auto" w:fill="BFBFBF" w:themeFill="background1" w:themeFillShade="BF"/>
            <w:vAlign w:val="center"/>
            <w:hideMark/>
          </w:tcPr>
          <w:p w14:paraId="09A3CE94" w14:textId="77777777" w:rsidR="007376E1" w:rsidRPr="001570EA" w:rsidRDefault="007376E1">
            <w:pPr>
              <w:jc w:val="center"/>
              <w:rPr>
                <w:rFonts w:cs="Arial"/>
                <w:b/>
                <w:bCs/>
                <w:color w:val="000000"/>
                <w:sz w:val="18"/>
                <w:szCs w:val="18"/>
              </w:rPr>
            </w:pPr>
            <w:r w:rsidRPr="001570EA">
              <w:rPr>
                <w:rFonts w:cs="Arial"/>
                <w:b/>
                <w:bCs/>
                <w:i/>
                <w:iCs/>
                <w:color w:val="000000"/>
                <w:sz w:val="18"/>
                <w:szCs w:val="18"/>
              </w:rPr>
              <w:t>EFLH</w:t>
            </w:r>
            <w:r w:rsidRPr="001570EA">
              <w:rPr>
                <w:rFonts w:cs="Arial"/>
                <w:b/>
                <w:bCs/>
                <w:i/>
                <w:iCs/>
                <w:color w:val="000000"/>
                <w:sz w:val="18"/>
                <w:szCs w:val="18"/>
                <w:vertAlign w:val="subscript"/>
              </w:rPr>
              <w:t>heat,HP</w:t>
            </w:r>
          </w:p>
        </w:tc>
      </w:tr>
      <w:tr w:rsidR="007376E1" w:rsidRPr="001570EA" w14:paraId="7D0EF2B2" w14:textId="77777777">
        <w:trPr>
          <w:trHeight w:val="222"/>
        </w:trPr>
        <w:tc>
          <w:tcPr>
            <w:tcW w:w="1360" w:type="dxa"/>
            <w:shd w:val="clear" w:color="auto" w:fill="FFFFFF" w:themeFill="background1"/>
            <w:noWrap/>
            <w:vAlign w:val="center"/>
            <w:hideMark/>
          </w:tcPr>
          <w:p w14:paraId="562B3F15" w14:textId="77777777" w:rsidR="007376E1" w:rsidRPr="001570EA" w:rsidRDefault="007376E1">
            <w:pPr>
              <w:jc w:val="center"/>
              <w:rPr>
                <w:rFonts w:cs="Arial"/>
                <w:color w:val="000000"/>
                <w:sz w:val="18"/>
                <w:szCs w:val="18"/>
              </w:rPr>
            </w:pPr>
            <w:r w:rsidRPr="001570EA">
              <w:rPr>
                <w:rFonts w:cs="Arial"/>
                <w:b/>
                <w:bCs/>
                <w:color w:val="000000"/>
                <w:sz w:val="18"/>
                <w:szCs w:val="18"/>
              </w:rPr>
              <w:t>C</w:t>
            </w:r>
          </w:p>
        </w:tc>
        <w:tc>
          <w:tcPr>
            <w:tcW w:w="1836" w:type="dxa"/>
            <w:shd w:val="clear" w:color="auto" w:fill="FFFFFF" w:themeFill="background1"/>
            <w:noWrap/>
            <w:vAlign w:val="center"/>
            <w:hideMark/>
          </w:tcPr>
          <w:p w14:paraId="541FF74C" w14:textId="77777777" w:rsidR="007376E1" w:rsidRPr="001570EA" w:rsidRDefault="007376E1">
            <w:pPr>
              <w:jc w:val="center"/>
              <w:rPr>
                <w:rFonts w:cs="Arial"/>
                <w:color w:val="000000"/>
                <w:sz w:val="18"/>
                <w:szCs w:val="18"/>
              </w:rPr>
            </w:pPr>
            <w:r w:rsidRPr="001570EA">
              <w:rPr>
                <w:rFonts w:cs="Arial"/>
                <w:color w:val="000000"/>
                <w:sz w:val="18"/>
                <w:szCs w:val="18"/>
              </w:rPr>
              <w:t>Allentown</w:t>
            </w:r>
          </w:p>
        </w:tc>
        <w:tc>
          <w:tcPr>
            <w:tcW w:w="1836" w:type="dxa"/>
            <w:shd w:val="clear" w:color="auto" w:fill="FFFFFF" w:themeFill="background1"/>
            <w:noWrap/>
            <w:hideMark/>
          </w:tcPr>
          <w:p w14:paraId="695F0350" w14:textId="77777777" w:rsidR="007376E1" w:rsidRPr="001570EA" w:rsidRDefault="007376E1">
            <w:pPr>
              <w:jc w:val="center"/>
              <w:rPr>
                <w:rFonts w:cs="Arial"/>
                <w:color w:val="000000"/>
                <w:sz w:val="18"/>
                <w:szCs w:val="22"/>
              </w:rPr>
            </w:pPr>
            <w:r w:rsidRPr="001570EA">
              <w:rPr>
                <w:sz w:val="18"/>
                <w:szCs w:val="22"/>
              </w:rPr>
              <w:t>219</w:t>
            </w:r>
          </w:p>
        </w:tc>
      </w:tr>
      <w:tr w:rsidR="007376E1" w:rsidRPr="001570EA" w14:paraId="185F24B0" w14:textId="77777777">
        <w:trPr>
          <w:trHeight w:val="222"/>
        </w:trPr>
        <w:tc>
          <w:tcPr>
            <w:tcW w:w="1360" w:type="dxa"/>
            <w:shd w:val="clear" w:color="auto" w:fill="FFFFFF" w:themeFill="background1"/>
            <w:noWrap/>
            <w:vAlign w:val="center"/>
            <w:hideMark/>
          </w:tcPr>
          <w:p w14:paraId="41818050" w14:textId="77777777" w:rsidR="007376E1" w:rsidRPr="001570EA" w:rsidRDefault="007376E1">
            <w:pPr>
              <w:jc w:val="center"/>
              <w:rPr>
                <w:rFonts w:cs="Arial"/>
                <w:color w:val="000000"/>
                <w:sz w:val="18"/>
                <w:szCs w:val="18"/>
              </w:rPr>
            </w:pPr>
            <w:r w:rsidRPr="001570EA">
              <w:rPr>
                <w:rFonts w:cs="Arial"/>
                <w:b/>
                <w:bCs/>
                <w:color w:val="000000"/>
                <w:sz w:val="18"/>
                <w:szCs w:val="18"/>
              </w:rPr>
              <w:t>A</w:t>
            </w:r>
          </w:p>
        </w:tc>
        <w:tc>
          <w:tcPr>
            <w:tcW w:w="0" w:type="auto"/>
            <w:shd w:val="clear" w:color="auto" w:fill="FFFFFF" w:themeFill="background1"/>
            <w:vAlign w:val="center"/>
            <w:hideMark/>
          </w:tcPr>
          <w:p w14:paraId="20245B66" w14:textId="77777777" w:rsidR="007376E1" w:rsidRPr="001570EA" w:rsidRDefault="007376E1" w:rsidP="00E67FF9">
            <w:pPr>
              <w:spacing w:line="276" w:lineRule="auto"/>
              <w:jc w:val="center"/>
              <w:rPr>
                <w:rFonts w:cs="Arial"/>
                <w:color w:val="000000"/>
                <w:sz w:val="18"/>
                <w:szCs w:val="18"/>
              </w:rPr>
            </w:pPr>
            <w:r w:rsidRPr="001570EA">
              <w:rPr>
                <w:rFonts w:cs="Arial"/>
                <w:color w:val="000000"/>
                <w:sz w:val="18"/>
                <w:szCs w:val="18"/>
              </w:rPr>
              <w:t>Binghamton, NY</w:t>
            </w:r>
          </w:p>
        </w:tc>
        <w:tc>
          <w:tcPr>
            <w:tcW w:w="1836" w:type="dxa"/>
            <w:shd w:val="clear" w:color="auto" w:fill="FFFFFF" w:themeFill="background1"/>
            <w:noWrap/>
            <w:hideMark/>
          </w:tcPr>
          <w:p w14:paraId="2DD325D5" w14:textId="77777777" w:rsidR="007376E1" w:rsidRPr="001570EA" w:rsidRDefault="007376E1">
            <w:pPr>
              <w:jc w:val="center"/>
              <w:rPr>
                <w:rFonts w:cs="Arial"/>
                <w:color w:val="000000"/>
                <w:sz w:val="18"/>
                <w:szCs w:val="22"/>
              </w:rPr>
            </w:pPr>
            <w:r w:rsidRPr="001570EA">
              <w:rPr>
                <w:sz w:val="18"/>
                <w:szCs w:val="22"/>
              </w:rPr>
              <w:t>171</w:t>
            </w:r>
          </w:p>
        </w:tc>
      </w:tr>
      <w:tr w:rsidR="007376E1" w:rsidRPr="001570EA" w14:paraId="68DB3E12" w14:textId="77777777">
        <w:trPr>
          <w:trHeight w:val="222"/>
        </w:trPr>
        <w:tc>
          <w:tcPr>
            <w:tcW w:w="1360" w:type="dxa"/>
            <w:shd w:val="clear" w:color="auto" w:fill="FFFFFF" w:themeFill="background1"/>
            <w:noWrap/>
            <w:vAlign w:val="center"/>
            <w:hideMark/>
          </w:tcPr>
          <w:p w14:paraId="150F3248" w14:textId="77777777" w:rsidR="007376E1" w:rsidRPr="001570EA" w:rsidRDefault="007376E1">
            <w:pPr>
              <w:jc w:val="center"/>
              <w:rPr>
                <w:rFonts w:cs="Arial"/>
                <w:color w:val="000000"/>
                <w:sz w:val="18"/>
                <w:szCs w:val="18"/>
              </w:rPr>
            </w:pPr>
            <w:r w:rsidRPr="001570EA">
              <w:rPr>
                <w:rFonts w:cs="Arial"/>
                <w:b/>
                <w:bCs/>
                <w:color w:val="000000"/>
                <w:sz w:val="18"/>
                <w:szCs w:val="18"/>
              </w:rPr>
              <w:t>G</w:t>
            </w:r>
          </w:p>
        </w:tc>
        <w:tc>
          <w:tcPr>
            <w:tcW w:w="1836" w:type="dxa"/>
            <w:shd w:val="clear" w:color="auto" w:fill="FFFFFF" w:themeFill="background1"/>
            <w:noWrap/>
            <w:vAlign w:val="center"/>
            <w:hideMark/>
          </w:tcPr>
          <w:p w14:paraId="0308AC6E" w14:textId="77777777" w:rsidR="007376E1" w:rsidRPr="001570EA" w:rsidRDefault="007376E1">
            <w:pPr>
              <w:jc w:val="center"/>
              <w:rPr>
                <w:rFonts w:cs="Arial"/>
                <w:color w:val="000000"/>
                <w:sz w:val="18"/>
                <w:szCs w:val="18"/>
              </w:rPr>
            </w:pPr>
            <w:r w:rsidRPr="001570EA">
              <w:rPr>
                <w:rFonts w:cs="Arial"/>
                <w:color w:val="000000"/>
                <w:sz w:val="18"/>
                <w:szCs w:val="18"/>
              </w:rPr>
              <w:t>Bradford</w:t>
            </w:r>
          </w:p>
        </w:tc>
        <w:tc>
          <w:tcPr>
            <w:tcW w:w="1836" w:type="dxa"/>
            <w:shd w:val="clear" w:color="auto" w:fill="FFFFFF" w:themeFill="background1"/>
            <w:noWrap/>
            <w:hideMark/>
          </w:tcPr>
          <w:p w14:paraId="7ECBBB3E" w14:textId="77777777" w:rsidR="007376E1" w:rsidRPr="001570EA" w:rsidRDefault="007376E1">
            <w:pPr>
              <w:jc w:val="center"/>
              <w:rPr>
                <w:rFonts w:cs="Arial"/>
                <w:color w:val="000000"/>
                <w:sz w:val="18"/>
                <w:szCs w:val="22"/>
              </w:rPr>
            </w:pPr>
            <w:r w:rsidRPr="001570EA">
              <w:rPr>
                <w:sz w:val="18"/>
                <w:szCs w:val="22"/>
              </w:rPr>
              <w:t>164</w:t>
            </w:r>
          </w:p>
        </w:tc>
      </w:tr>
      <w:tr w:rsidR="007376E1" w:rsidRPr="001570EA" w14:paraId="68BD3F33" w14:textId="77777777">
        <w:trPr>
          <w:trHeight w:val="222"/>
        </w:trPr>
        <w:tc>
          <w:tcPr>
            <w:tcW w:w="1360" w:type="dxa"/>
            <w:shd w:val="clear" w:color="auto" w:fill="FFFFFF" w:themeFill="background1"/>
            <w:noWrap/>
            <w:vAlign w:val="center"/>
            <w:hideMark/>
          </w:tcPr>
          <w:p w14:paraId="3DE935BF" w14:textId="77777777" w:rsidR="007376E1" w:rsidRPr="001570EA" w:rsidRDefault="007376E1">
            <w:pPr>
              <w:jc w:val="center"/>
              <w:rPr>
                <w:rFonts w:cs="Arial"/>
                <w:color w:val="000000"/>
                <w:sz w:val="18"/>
                <w:szCs w:val="18"/>
              </w:rPr>
            </w:pPr>
            <w:r w:rsidRPr="001570EA">
              <w:rPr>
                <w:rFonts w:cs="Arial"/>
                <w:b/>
                <w:bCs/>
                <w:color w:val="000000"/>
                <w:sz w:val="18"/>
                <w:szCs w:val="18"/>
              </w:rPr>
              <w:t>I</w:t>
            </w:r>
          </w:p>
        </w:tc>
        <w:tc>
          <w:tcPr>
            <w:tcW w:w="1836" w:type="dxa"/>
            <w:shd w:val="clear" w:color="auto" w:fill="FFFFFF" w:themeFill="background1"/>
            <w:noWrap/>
            <w:vAlign w:val="center"/>
            <w:hideMark/>
          </w:tcPr>
          <w:p w14:paraId="36BFA7DF" w14:textId="77777777" w:rsidR="007376E1" w:rsidRPr="001570EA" w:rsidRDefault="007376E1">
            <w:pPr>
              <w:jc w:val="center"/>
              <w:rPr>
                <w:rFonts w:cs="Arial"/>
                <w:color w:val="000000"/>
                <w:sz w:val="18"/>
                <w:szCs w:val="18"/>
              </w:rPr>
            </w:pPr>
            <w:r w:rsidRPr="001570EA">
              <w:rPr>
                <w:rFonts w:cs="Arial"/>
                <w:color w:val="000000"/>
                <w:sz w:val="18"/>
                <w:szCs w:val="18"/>
              </w:rPr>
              <w:t>Erie</w:t>
            </w:r>
          </w:p>
        </w:tc>
        <w:tc>
          <w:tcPr>
            <w:tcW w:w="0" w:type="auto"/>
            <w:shd w:val="clear" w:color="auto" w:fill="FFFFFF" w:themeFill="background1"/>
            <w:hideMark/>
          </w:tcPr>
          <w:p w14:paraId="7197D46D" w14:textId="77777777" w:rsidR="007376E1" w:rsidRPr="001570EA" w:rsidRDefault="007376E1">
            <w:pPr>
              <w:spacing w:line="276" w:lineRule="auto"/>
              <w:jc w:val="center"/>
              <w:rPr>
                <w:rFonts w:cs="Arial"/>
                <w:color w:val="000000"/>
                <w:sz w:val="18"/>
                <w:szCs w:val="22"/>
              </w:rPr>
            </w:pPr>
            <w:r w:rsidRPr="001570EA">
              <w:rPr>
                <w:sz w:val="18"/>
                <w:szCs w:val="22"/>
              </w:rPr>
              <w:t>209</w:t>
            </w:r>
          </w:p>
        </w:tc>
      </w:tr>
      <w:tr w:rsidR="007376E1" w:rsidRPr="001570EA" w14:paraId="79217224" w14:textId="77777777">
        <w:trPr>
          <w:trHeight w:val="222"/>
        </w:trPr>
        <w:tc>
          <w:tcPr>
            <w:tcW w:w="1360" w:type="dxa"/>
            <w:shd w:val="clear" w:color="auto" w:fill="FFFFFF" w:themeFill="background1"/>
            <w:noWrap/>
            <w:vAlign w:val="center"/>
          </w:tcPr>
          <w:p w14:paraId="3F2E6D0E" w14:textId="77777777" w:rsidR="007376E1" w:rsidRPr="001570EA" w:rsidRDefault="007376E1">
            <w:pPr>
              <w:jc w:val="center"/>
              <w:rPr>
                <w:rFonts w:ascii="Calibri" w:hAnsi="Calibri" w:cs="Calibri"/>
                <w:color w:val="000000"/>
                <w:sz w:val="18"/>
                <w:szCs w:val="18"/>
              </w:rPr>
            </w:pPr>
            <w:r w:rsidRPr="001570EA">
              <w:rPr>
                <w:rFonts w:cs="Arial"/>
                <w:b/>
                <w:bCs/>
                <w:color w:val="000000"/>
                <w:sz w:val="18"/>
                <w:szCs w:val="18"/>
              </w:rPr>
              <w:t>E</w:t>
            </w:r>
          </w:p>
        </w:tc>
        <w:tc>
          <w:tcPr>
            <w:tcW w:w="1836" w:type="dxa"/>
            <w:shd w:val="clear" w:color="auto" w:fill="FFFFFF" w:themeFill="background1"/>
            <w:noWrap/>
            <w:vAlign w:val="center"/>
          </w:tcPr>
          <w:p w14:paraId="731A90A5" w14:textId="77777777" w:rsidR="007376E1" w:rsidRPr="001570EA" w:rsidRDefault="007376E1">
            <w:pPr>
              <w:jc w:val="center"/>
              <w:rPr>
                <w:rFonts w:cs="Arial"/>
                <w:color w:val="000000"/>
                <w:sz w:val="18"/>
                <w:szCs w:val="18"/>
              </w:rPr>
            </w:pPr>
            <w:r w:rsidRPr="001570EA">
              <w:rPr>
                <w:rFonts w:cs="Arial"/>
                <w:color w:val="000000"/>
                <w:sz w:val="18"/>
                <w:szCs w:val="18"/>
              </w:rPr>
              <w:t>Harrisburg</w:t>
            </w:r>
          </w:p>
        </w:tc>
        <w:tc>
          <w:tcPr>
            <w:tcW w:w="0" w:type="auto"/>
          </w:tcPr>
          <w:p w14:paraId="5D2BEC9F" w14:textId="77777777" w:rsidR="007376E1" w:rsidRPr="001570EA" w:rsidRDefault="007376E1">
            <w:pPr>
              <w:spacing w:line="276" w:lineRule="auto"/>
              <w:jc w:val="center"/>
              <w:rPr>
                <w:rFonts w:cs="Arial"/>
                <w:color w:val="000000"/>
                <w:sz w:val="18"/>
                <w:szCs w:val="22"/>
              </w:rPr>
            </w:pPr>
            <w:r w:rsidRPr="001570EA">
              <w:rPr>
                <w:sz w:val="18"/>
                <w:szCs w:val="22"/>
              </w:rPr>
              <w:t>238</w:t>
            </w:r>
          </w:p>
        </w:tc>
      </w:tr>
      <w:tr w:rsidR="007376E1" w:rsidRPr="001570EA" w14:paraId="59F8637E" w14:textId="77777777">
        <w:trPr>
          <w:trHeight w:val="222"/>
        </w:trPr>
        <w:tc>
          <w:tcPr>
            <w:tcW w:w="1360" w:type="dxa"/>
            <w:shd w:val="clear" w:color="auto" w:fill="FFFFFF" w:themeFill="background1"/>
            <w:noWrap/>
            <w:vAlign w:val="center"/>
          </w:tcPr>
          <w:p w14:paraId="1324BBE1" w14:textId="77777777" w:rsidR="007376E1" w:rsidRPr="001570EA" w:rsidRDefault="007376E1">
            <w:pPr>
              <w:jc w:val="center"/>
              <w:rPr>
                <w:rFonts w:ascii="Calibri" w:hAnsi="Calibri" w:cs="Calibri"/>
                <w:color w:val="000000"/>
                <w:sz w:val="18"/>
                <w:szCs w:val="18"/>
              </w:rPr>
            </w:pPr>
            <w:r w:rsidRPr="001570EA">
              <w:rPr>
                <w:rFonts w:cs="Arial"/>
                <w:b/>
                <w:bCs/>
                <w:color w:val="000000"/>
                <w:sz w:val="18"/>
                <w:szCs w:val="18"/>
              </w:rPr>
              <w:t>D</w:t>
            </w:r>
          </w:p>
        </w:tc>
        <w:tc>
          <w:tcPr>
            <w:tcW w:w="1836" w:type="dxa"/>
            <w:shd w:val="clear" w:color="auto" w:fill="FFFFFF" w:themeFill="background1"/>
            <w:noWrap/>
            <w:vAlign w:val="center"/>
          </w:tcPr>
          <w:p w14:paraId="03485054" w14:textId="77777777" w:rsidR="007376E1" w:rsidRPr="001570EA" w:rsidRDefault="007376E1">
            <w:pPr>
              <w:jc w:val="center"/>
              <w:rPr>
                <w:rFonts w:cs="Arial"/>
                <w:color w:val="000000"/>
                <w:sz w:val="18"/>
                <w:szCs w:val="18"/>
              </w:rPr>
            </w:pPr>
            <w:r w:rsidRPr="001570EA">
              <w:rPr>
                <w:rFonts w:cs="Arial"/>
                <w:color w:val="000000"/>
                <w:sz w:val="18"/>
                <w:szCs w:val="18"/>
              </w:rPr>
              <w:t>Philadelphia</w:t>
            </w:r>
          </w:p>
        </w:tc>
        <w:tc>
          <w:tcPr>
            <w:tcW w:w="0" w:type="auto"/>
          </w:tcPr>
          <w:p w14:paraId="083E52BA" w14:textId="77777777" w:rsidR="007376E1" w:rsidRPr="001570EA" w:rsidRDefault="007376E1">
            <w:pPr>
              <w:spacing w:line="276" w:lineRule="auto"/>
              <w:jc w:val="center"/>
              <w:rPr>
                <w:rFonts w:cs="Arial"/>
                <w:color w:val="000000"/>
                <w:sz w:val="18"/>
                <w:szCs w:val="22"/>
              </w:rPr>
            </w:pPr>
            <w:r w:rsidRPr="001570EA">
              <w:rPr>
                <w:sz w:val="18"/>
                <w:szCs w:val="22"/>
              </w:rPr>
              <w:t>257</w:t>
            </w:r>
          </w:p>
        </w:tc>
      </w:tr>
      <w:tr w:rsidR="007376E1" w:rsidRPr="001570EA" w14:paraId="7DD0AFBD" w14:textId="77777777">
        <w:trPr>
          <w:trHeight w:val="222"/>
        </w:trPr>
        <w:tc>
          <w:tcPr>
            <w:tcW w:w="1360" w:type="dxa"/>
            <w:shd w:val="clear" w:color="auto" w:fill="FFFFFF" w:themeFill="background1"/>
            <w:noWrap/>
            <w:vAlign w:val="center"/>
          </w:tcPr>
          <w:p w14:paraId="290DB2E8" w14:textId="77777777" w:rsidR="007376E1" w:rsidRPr="001570EA" w:rsidRDefault="007376E1">
            <w:pPr>
              <w:jc w:val="center"/>
              <w:rPr>
                <w:rFonts w:ascii="Calibri" w:hAnsi="Calibri" w:cs="Calibri"/>
                <w:color w:val="000000"/>
                <w:sz w:val="18"/>
                <w:szCs w:val="18"/>
              </w:rPr>
            </w:pPr>
            <w:r w:rsidRPr="001570EA">
              <w:rPr>
                <w:rFonts w:cs="Arial"/>
                <w:b/>
                <w:bCs/>
                <w:color w:val="000000"/>
                <w:sz w:val="18"/>
                <w:szCs w:val="18"/>
              </w:rPr>
              <w:t>H</w:t>
            </w:r>
          </w:p>
        </w:tc>
        <w:tc>
          <w:tcPr>
            <w:tcW w:w="1836" w:type="dxa"/>
            <w:shd w:val="clear" w:color="auto" w:fill="FFFFFF" w:themeFill="background1"/>
            <w:noWrap/>
            <w:vAlign w:val="center"/>
          </w:tcPr>
          <w:p w14:paraId="0D95262E" w14:textId="77777777" w:rsidR="007376E1" w:rsidRPr="001570EA" w:rsidRDefault="007376E1">
            <w:pPr>
              <w:jc w:val="center"/>
              <w:rPr>
                <w:rFonts w:cs="Arial"/>
                <w:color w:val="000000"/>
                <w:sz w:val="18"/>
                <w:szCs w:val="18"/>
              </w:rPr>
            </w:pPr>
            <w:r w:rsidRPr="001570EA">
              <w:rPr>
                <w:rFonts w:cs="Arial"/>
                <w:color w:val="000000"/>
                <w:sz w:val="18"/>
                <w:szCs w:val="18"/>
              </w:rPr>
              <w:t>Pittsburgh</w:t>
            </w:r>
          </w:p>
        </w:tc>
        <w:tc>
          <w:tcPr>
            <w:tcW w:w="0" w:type="auto"/>
          </w:tcPr>
          <w:p w14:paraId="2DE67985" w14:textId="77777777" w:rsidR="007376E1" w:rsidRPr="001570EA" w:rsidRDefault="007376E1">
            <w:pPr>
              <w:spacing w:line="276" w:lineRule="auto"/>
              <w:jc w:val="center"/>
              <w:rPr>
                <w:rFonts w:cs="Arial"/>
                <w:color w:val="000000"/>
                <w:sz w:val="18"/>
                <w:szCs w:val="22"/>
              </w:rPr>
            </w:pPr>
            <w:r w:rsidRPr="001570EA">
              <w:rPr>
                <w:sz w:val="18"/>
                <w:szCs w:val="22"/>
              </w:rPr>
              <w:t>211</w:t>
            </w:r>
          </w:p>
        </w:tc>
      </w:tr>
      <w:tr w:rsidR="007376E1" w:rsidRPr="001570EA" w14:paraId="18A9A732" w14:textId="77777777">
        <w:trPr>
          <w:trHeight w:val="222"/>
        </w:trPr>
        <w:tc>
          <w:tcPr>
            <w:tcW w:w="1360" w:type="dxa"/>
            <w:shd w:val="clear" w:color="auto" w:fill="FFFFFF" w:themeFill="background1"/>
            <w:noWrap/>
            <w:vAlign w:val="center"/>
          </w:tcPr>
          <w:p w14:paraId="49F2F05A" w14:textId="77777777" w:rsidR="007376E1" w:rsidRPr="001570EA" w:rsidRDefault="007376E1">
            <w:pPr>
              <w:jc w:val="center"/>
              <w:rPr>
                <w:rFonts w:ascii="Calibri" w:hAnsi="Calibri" w:cs="Calibri"/>
                <w:color w:val="000000"/>
                <w:sz w:val="18"/>
                <w:szCs w:val="18"/>
              </w:rPr>
            </w:pPr>
            <w:r w:rsidRPr="001570EA">
              <w:rPr>
                <w:rFonts w:cs="Arial"/>
                <w:b/>
                <w:bCs/>
                <w:color w:val="000000"/>
                <w:sz w:val="18"/>
                <w:szCs w:val="18"/>
              </w:rPr>
              <w:t>B</w:t>
            </w:r>
          </w:p>
        </w:tc>
        <w:tc>
          <w:tcPr>
            <w:tcW w:w="1836" w:type="dxa"/>
            <w:shd w:val="clear" w:color="auto" w:fill="FFFFFF" w:themeFill="background1"/>
            <w:noWrap/>
            <w:vAlign w:val="center"/>
          </w:tcPr>
          <w:p w14:paraId="07FB8EEE" w14:textId="77777777" w:rsidR="007376E1" w:rsidRPr="001570EA" w:rsidRDefault="007376E1">
            <w:pPr>
              <w:jc w:val="center"/>
              <w:rPr>
                <w:rFonts w:cs="Arial"/>
                <w:color w:val="000000"/>
                <w:sz w:val="18"/>
                <w:szCs w:val="18"/>
              </w:rPr>
            </w:pPr>
            <w:r w:rsidRPr="001570EA">
              <w:rPr>
                <w:rFonts w:cs="Arial"/>
                <w:color w:val="000000"/>
                <w:sz w:val="18"/>
                <w:szCs w:val="18"/>
              </w:rPr>
              <w:t>Scranton</w:t>
            </w:r>
          </w:p>
        </w:tc>
        <w:tc>
          <w:tcPr>
            <w:tcW w:w="0" w:type="auto"/>
          </w:tcPr>
          <w:p w14:paraId="58A6F8F5" w14:textId="77777777" w:rsidR="007376E1" w:rsidRPr="001570EA" w:rsidRDefault="007376E1">
            <w:pPr>
              <w:spacing w:line="276" w:lineRule="auto"/>
              <w:jc w:val="center"/>
              <w:rPr>
                <w:rFonts w:cs="Arial"/>
                <w:color w:val="000000"/>
                <w:sz w:val="18"/>
                <w:szCs w:val="22"/>
              </w:rPr>
            </w:pPr>
            <w:r w:rsidRPr="001570EA">
              <w:rPr>
                <w:sz w:val="18"/>
                <w:szCs w:val="22"/>
              </w:rPr>
              <w:t>201</w:t>
            </w:r>
          </w:p>
        </w:tc>
      </w:tr>
      <w:tr w:rsidR="007376E1" w:rsidRPr="001570EA" w14:paraId="3AF38CED" w14:textId="77777777">
        <w:trPr>
          <w:trHeight w:val="222"/>
        </w:trPr>
        <w:tc>
          <w:tcPr>
            <w:tcW w:w="1360" w:type="dxa"/>
            <w:shd w:val="clear" w:color="auto" w:fill="FFFFFF" w:themeFill="background1"/>
            <w:noWrap/>
            <w:vAlign w:val="center"/>
          </w:tcPr>
          <w:p w14:paraId="3F7FFAFC" w14:textId="77777777" w:rsidR="007376E1" w:rsidRPr="001570EA" w:rsidRDefault="007376E1">
            <w:pPr>
              <w:jc w:val="center"/>
              <w:rPr>
                <w:rFonts w:cs="Arial"/>
                <w:b/>
                <w:bCs/>
                <w:color w:val="000000"/>
                <w:sz w:val="18"/>
                <w:szCs w:val="18"/>
              </w:rPr>
            </w:pPr>
            <w:r w:rsidRPr="001570EA">
              <w:rPr>
                <w:rFonts w:cs="Arial"/>
                <w:b/>
                <w:bCs/>
                <w:color w:val="000000"/>
                <w:sz w:val="18"/>
                <w:szCs w:val="18"/>
              </w:rPr>
              <w:t>F</w:t>
            </w:r>
          </w:p>
        </w:tc>
        <w:tc>
          <w:tcPr>
            <w:tcW w:w="1836" w:type="dxa"/>
            <w:shd w:val="clear" w:color="auto" w:fill="FFFFFF" w:themeFill="background1"/>
            <w:noWrap/>
            <w:vAlign w:val="center"/>
          </w:tcPr>
          <w:p w14:paraId="2BCC7CE0" w14:textId="77777777" w:rsidR="007376E1" w:rsidRPr="001570EA" w:rsidRDefault="007376E1">
            <w:pPr>
              <w:jc w:val="center"/>
              <w:rPr>
                <w:rFonts w:cs="Arial"/>
                <w:color w:val="000000"/>
                <w:sz w:val="18"/>
                <w:szCs w:val="18"/>
              </w:rPr>
            </w:pPr>
            <w:r w:rsidRPr="001570EA">
              <w:rPr>
                <w:rFonts w:cs="Arial"/>
                <w:color w:val="000000"/>
                <w:sz w:val="18"/>
                <w:szCs w:val="18"/>
              </w:rPr>
              <w:t>Williamsport</w:t>
            </w:r>
          </w:p>
        </w:tc>
        <w:tc>
          <w:tcPr>
            <w:tcW w:w="0" w:type="auto"/>
          </w:tcPr>
          <w:p w14:paraId="5EDF635B" w14:textId="77777777" w:rsidR="007376E1" w:rsidRPr="001570EA" w:rsidRDefault="007376E1">
            <w:pPr>
              <w:spacing w:line="276" w:lineRule="auto"/>
              <w:jc w:val="center"/>
              <w:rPr>
                <w:sz w:val="18"/>
                <w:szCs w:val="22"/>
              </w:rPr>
            </w:pPr>
            <w:r w:rsidRPr="001570EA">
              <w:rPr>
                <w:sz w:val="18"/>
                <w:szCs w:val="22"/>
              </w:rPr>
              <w:t>208</w:t>
            </w:r>
          </w:p>
        </w:tc>
      </w:tr>
    </w:tbl>
    <w:p w14:paraId="320381F1" w14:textId="77777777" w:rsidR="007376E1" w:rsidRPr="001570EA" w:rsidRDefault="007376E1" w:rsidP="007376E1"/>
    <w:p w14:paraId="4B9CD2D1" w14:textId="77777777" w:rsidR="007376E1" w:rsidRPr="001570EA" w:rsidRDefault="007376E1" w:rsidP="007376E1">
      <w:pPr>
        <w:pStyle w:val="SubStyle"/>
        <w:spacing w:before="200"/>
      </w:pPr>
      <w:r w:rsidRPr="001570EA">
        <w:t>Default Savings</w:t>
      </w:r>
    </w:p>
    <w:p w14:paraId="5A5074B7" w14:textId="77777777" w:rsidR="007376E1" w:rsidRDefault="007376E1" w:rsidP="007376E1">
      <w:pPr>
        <w:rPr>
          <w:i/>
        </w:rPr>
      </w:pPr>
      <w:r w:rsidRPr="001570EA">
        <w:t>There are no default savings for this measure.</w:t>
      </w:r>
      <w:r w:rsidRPr="001570EA">
        <w:rPr>
          <w:i/>
        </w:rPr>
        <w:t xml:space="preserve"> </w:t>
      </w:r>
    </w:p>
    <w:p w14:paraId="600297D5" w14:textId="77777777" w:rsidR="004D5A33" w:rsidRPr="001570EA" w:rsidRDefault="004D5A33" w:rsidP="007376E1"/>
    <w:p w14:paraId="5B9A73AF" w14:textId="77777777" w:rsidR="007376E1" w:rsidRPr="001570EA" w:rsidRDefault="007376E1" w:rsidP="007376E1">
      <w:pPr>
        <w:pStyle w:val="SubStyle"/>
      </w:pPr>
      <w:r w:rsidRPr="001570EA">
        <w:t>Evaluation Protocols</w:t>
      </w:r>
    </w:p>
    <w:p w14:paraId="4F54ED4B" w14:textId="27952FC3" w:rsidR="007376E1" w:rsidRDefault="007376E1" w:rsidP="007376E1">
      <w:r w:rsidRPr="001570EA">
        <w:t>For most installation</w:t>
      </w:r>
      <w:r w:rsidR="004D5A33">
        <w:t>s</w:t>
      </w:r>
      <w:r w:rsidRPr="001570EA">
        <w:t>, the appropriate evaluation protocol is to verify installation coupled with assignment of stipulated energy savings. The Pennsylvania Evaluation Framework provides specific guidelines and requirements for evaluation procedures.</w:t>
      </w:r>
    </w:p>
    <w:p w14:paraId="0052E169" w14:textId="77777777" w:rsidR="004D5A33" w:rsidRPr="001570EA" w:rsidRDefault="004D5A33" w:rsidP="007376E1"/>
    <w:p w14:paraId="08204598" w14:textId="77777777" w:rsidR="007376E1" w:rsidRPr="001570EA" w:rsidRDefault="007376E1" w:rsidP="007376E1">
      <w:pPr>
        <w:pStyle w:val="SubStyle"/>
      </w:pPr>
      <w:r w:rsidRPr="001570EA">
        <w:t>Sources</w:t>
      </w:r>
    </w:p>
    <w:p w14:paraId="591A888C" w14:textId="63E9E266" w:rsidR="007376E1" w:rsidRPr="001570EA" w:rsidRDefault="007376E1" w:rsidP="002614D2">
      <w:pPr>
        <w:pStyle w:val="ListParagraph"/>
        <w:numPr>
          <w:ilvl w:val="0"/>
          <w:numId w:val="49"/>
        </w:numPr>
        <w:spacing w:after="200" w:line="288" w:lineRule="auto"/>
        <w:ind w:left="360"/>
        <w:contextualSpacing/>
        <w:jc w:val="left"/>
      </w:pPr>
      <w:r w:rsidRPr="001570EA">
        <w:t xml:space="preserve">California Electronic Technical Reference Manual. “Room Air Conditioner, Residential”. Accessed March 2024. </w:t>
      </w:r>
      <w:hyperlink r:id="rId95" w:history="1">
        <w:r w:rsidRPr="001570EA">
          <w:rPr>
            <w:rStyle w:val="Hyperlink"/>
          </w:rPr>
          <w:t>Weblink</w:t>
        </w:r>
      </w:hyperlink>
      <w:r w:rsidRPr="001570EA">
        <w:t xml:space="preserve">  </w:t>
      </w:r>
    </w:p>
    <w:p w14:paraId="69F542C4" w14:textId="70FC1F35" w:rsidR="007376E1" w:rsidRPr="001570EA" w:rsidRDefault="007376E1" w:rsidP="002614D2">
      <w:pPr>
        <w:pStyle w:val="ListParagraph"/>
        <w:numPr>
          <w:ilvl w:val="0"/>
          <w:numId w:val="49"/>
        </w:numPr>
        <w:ind w:left="360"/>
      </w:pPr>
      <w:r w:rsidRPr="001570EA">
        <w:t xml:space="preserve">Federal code of regulation. Room air conditioners. 10 C.F.R. § 430.32 (b)(2). </w:t>
      </w:r>
      <w:hyperlink r:id="rId96" w:anchor="p-430.32(b)(2)" w:history="1">
        <w:r w:rsidRPr="001570EA">
          <w:rPr>
            <w:rStyle w:val="Hyperlink"/>
          </w:rPr>
          <w:t>Weblink</w:t>
        </w:r>
      </w:hyperlink>
      <w:r w:rsidRPr="001570EA">
        <w:t xml:space="preserve"> </w:t>
      </w:r>
    </w:p>
    <w:p w14:paraId="010F463A" w14:textId="77777777" w:rsidR="007376E1" w:rsidRPr="001570EA" w:rsidRDefault="007376E1" w:rsidP="002614D2">
      <w:pPr>
        <w:pStyle w:val="ListParagraph"/>
        <w:numPr>
          <w:ilvl w:val="0"/>
          <w:numId w:val="49"/>
        </w:numPr>
        <w:overflowPunct/>
        <w:autoSpaceDE/>
        <w:autoSpaceDN/>
        <w:adjustRightInd/>
        <w:ind w:left="360"/>
        <w:jc w:val="left"/>
        <w:textAlignment w:val="auto"/>
      </w:pPr>
      <w:r w:rsidRPr="001570EA">
        <w:t>Using the relation HSPF=COP×3.412, where HSPF = 3.412 for electric resistance heating. Electric furnace efficiency typically varies from 0.95 to 1.00, therefore a COP of 0.95 equates to an HSPF of 3.241.</w:t>
      </w:r>
    </w:p>
    <w:p w14:paraId="4205DD90" w14:textId="77777777" w:rsidR="007376E1" w:rsidRPr="001570EA" w:rsidRDefault="007376E1" w:rsidP="002614D2">
      <w:pPr>
        <w:pStyle w:val="ListParagraph"/>
        <w:numPr>
          <w:ilvl w:val="0"/>
          <w:numId w:val="49"/>
        </w:numPr>
        <w:overflowPunct/>
        <w:autoSpaceDE/>
        <w:adjustRightInd/>
        <w:spacing w:before="100"/>
        <w:ind w:left="360"/>
        <w:contextualSpacing/>
        <w:textAlignment w:val="auto"/>
      </w:pPr>
      <w:r w:rsidRPr="001570EA">
        <w:rPr>
          <w:rFonts w:cs="Arial"/>
          <w:color w:val="000000"/>
        </w:rPr>
        <w:t>Assumptions used to calculate a default value for de facto heating system oversize factor: A 1500W portable electric space heater in use in the home with capacity of</w:t>
      </w:r>
      <w:r w:rsidRPr="001570EA">
        <w:rPr>
          <w:rFonts w:ascii="ArialMT" w:hAnsi="ArialMT"/>
          <w:color w:val="000000"/>
        </w:rPr>
        <w:t xml:space="preserve"> </w:t>
      </w:r>
      <m:oMath>
        <m:r>
          <w:rPr>
            <w:rFonts w:ascii="Cambria Math" w:hAnsi="Cambria Math"/>
            <w:color w:val="000000"/>
          </w:rPr>
          <m:t>1.5kW×3412</m:t>
        </m:r>
        <m:f>
          <m:fPr>
            <m:ctrlPr>
              <w:rPr>
                <w:rFonts w:ascii="Cambria Math" w:hAnsi="Cambria Math"/>
                <w:i/>
                <w:color w:val="000000"/>
              </w:rPr>
            </m:ctrlPr>
          </m:fPr>
          <m:num>
            <m:r>
              <w:rPr>
                <w:rFonts w:ascii="Cambria Math" w:hAnsi="Cambria Math"/>
                <w:color w:val="000000"/>
              </w:rPr>
              <m:t>BTU</m:t>
            </m:r>
          </m:num>
          <m:den>
            <m:r>
              <m:rPr>
                <m:nor/>
              </m:rPr>
              <w:rPr>
                <w:rFonts w:ascii="Cambria Math" w:hAnsi="Cambria Math" w:cs="Arial"/>
                <w:i/>
                <w:iCs/>
              </w:rPr>
              <m:t>kW∙h</m:t>
            </m:r>
          </m:den>
        </m:f>
        <m:r>
          <w:rPr>
            <w:rFonts w:ascii="Cambria Math" w:hAnsi="Cambria Math"/>
            <w:color w:val="000000"/>
          </w:rPr>
          <m:t>= 5,118 BTU/h</m:t>
        </m:r>
      </m:oMath>
      <w:r w:rsidRPr="001570EA">
        <w:rPr>
          <w:rFonts w:ascii="ArialMT" w:hAnsi="ArialMT"/>
          <w:color w:val="000000"/>
        </w:rPr>
        <w:t xml:space="preserve">, </w:t>
      </w:r>
      <w:r w:rsidRPr="001570EA">
        <w:rPr>
          <w:rFonts w:cs="Arial"/>
          <w:color w:val="000000"/>
        </w:rPr>
        <w:t>replaced by window heat pump with heating capacity of 10,000 Btu/h,</w:t>
      </w:r>
      <w:r w:rsidRPr="001570EA">
        <w:rPr>
          <w:rFonts w:ascii="ArialMT" w:hAnsi="ArialMT"/>
          <w:color w:val="000000"/>
        </w:rPr>
        <w:t xml:space="preserve"> </w:t>
      </w:r>
      <m:oMath>
        <m:r>
          <w:rPr>
            <w:rFonts w:ascii="Cambria Math" w:hAnsi="Cambria Math"/>
            <w:color w:val="000000"/>
          </w:rPr>
          <m:t>OF=</m:t>
        </m:r>
        <m:f>
          <m:fPr>
            <m:ctrlPr>
              <w:rPr>
                <w:rFonts w:ascii="Cambria Math" w:hAnsi="Cambria Math"/>
                <w:i/>
                <w:color w:val="000000"/>
              </w:rPr>
            </m:ctrlPr>
          </m:fPr>
          <m:num>
            <m:r>
              <w:rPr>
                <w:rFonts w:ascii="Cambria Math" w:hAnsi="Cambria Math"/>
                <w:color w:val="000000"/>
              </w:rPr>
              <m:t>5,118</m:t>
            </m:r>
          </m:num>
          <m:den>
            <m:r>
              <w:rPr>
                <w:rFonts w:ascii="Cambria Math" w:hAnsi="Cambria Math"/>
                <w:color w:val="000000"/>
              </w:rPr>
              <m:t>10,000</m:t>
            </m:r>
          </m:den>
        </m:f>
        <m:r>
          <w:rPr>
            <w:rFonts w:ascii="Cambria Math" w:hAnsi="Cambria Math"/>
            <w:color w:val="000000"/>
          </w:rPr>
          <m:t>≈0.5</m:t>
        </m:r>
      </m:oMath>
      <w:r w:rsidRPr="001570EA">
        <w:rPr>
          <w:rFonts w:ascii="ArialMT" w:hAnsi="ArialMT"/>
          <w:color w:val="000000"/>
        </w:rPr>
        <w:t>.</w:t>
      </w:r>
    </w:p>
    <w:p w14:paraId="7611A385" w14:textId="3B95445E" w:rsidR="007376E1" w:rsidRPr="001570EA" w:rsidRDefault="007376E1" w:rsidP="002614D2">
      <w:pPr>
        <w:pStyle w:val="ListParagraph"/>
        <w:numPr>
          <w:ilvl w:val="0"/>
          <w:numId w:val="49"/>
        </w:numPr>
        <w:overflowPunct/>
        <w:autoSpaceDE/>
        <w:autoSpaceDN/>
        <w:adjustRightInd/>
        <w:ind w:left="360"/>
        <w:jc w:val="left"/>
        <w:textAlignment w:val="auto"/>
      </w:pPr>
      <w:r w:rsidRPr="001570EA">
        <w:t>Based on the Phase III SWE team’s analysis of regional HVAC runtime data collected from ecobee’s Donate Your Data research service (</w:t>
      </w:r>
      <w:hyperlink r:id="rId97" w:history="1">
        <w:r w:rsidRPr="001570EA">
          <w:rPr>
            <w:rStyle w:val="Hyperlink"/>
          </w:rPr>
          <w:t>Weblink</w:t>
        </w:r>
      </w:hyperlink>
      <w:r w:rsidRPr="001570EA">
        <w:t>) and updated based on the latest CDD and HDD values from NOAA’s 15-year annual climate Normals (2006–2020) (</w:t>
      </w:r>
      <w:hyperlink r:id="rId98" w:history="1">
        <w:r w:rsidRPr="001570EA">
          <w:rPr>
            <w:rStyle w:val="Hyperlink"/>
          </w:rPr>
          <w:t>Weblink</w:t>
        </w:r>
      </w:hyperlink>
      <w:r w:rsidRPr="001570EA">
        <w:t>)</w:t>
      </w:r>
    </w:p>
    <w:p w14:paraId="1DBB1231" w14:textId="28AE4BAC" w:rsidR="007376E1" w:rsidRPr="001570EA" w:rsidRDefault="007376E1" w:rsidP="002614D2">
      <w:pPr>
        <w:pStyle w:val="ListParagraph"/>
        <w:numPr>
          <w:ilvl w:val="0"/>
          <w:numId w:val="49"/>
        </w:numPr>
        <w:overflowPunct/>
        <w:autoSpaceDE/>
        <w:autoSpaceDN/>
        <w:adjustRightInd/>
        <w:ind w:left="360"/>
        <w:jc w:val="left"/>
        <w:textAlignment w:val="auto"/>
      </w:pPr>
      <w:r w:rsidRPr="001570EA">
        <w:t>At outdoor air temperatures below 40</w:t>
      </w:r>
      <w:r w:rsidRPr="001570EA">
        <w:rPr>
          <w:rFonts w:cs="Arial"/>
        </w:rPr>
        <w:t>°</w:t>
      </w:r>
      <w:r w:rsidRPr="001570EA">
        <w:t>F, window heat pumps switch from heat pump heating to electric resistance heating. (</w:t>
      </w:r>
      <w:hyperlink r:id="rId99" w:history="1">
        <w:r w:rsidRPr="001570EA">
          <w:rPr>
            <w:rStyle w:val="Hyperlink"/>
          </w:rPr>
          <w:t>Weblink</w:t>
        </w:r>
      </w:hyperlink>
      <w:r w:rsidRPr="001570EA">
        <w:t>).  EFLH</w:t>
      </w:r>
      <w:r w:rsidRPr="001570EA">
        <w:rPr>
          <w:vertAlign w:val="subscript"/>
        </w:rPr>
        <w:t xml:space="preserve">heat,HP </w:t>
      </w:r>
      <w:r w:rsidRPr="001570EA">
        <w:t>values are calculated by multiplying Secondary HP EFLH</w:t>
      </w:r>
      <w:r w:rsidRPr="001570EA">
        <w:rPr>
          <w:vertAlign w:val="subscript"/>
        </w:rPr>
        <w:t>heat</w:t>
      </w:r>
      <w:r w:rsidRPr="001570EA">
        <w:t xml:space="preserve"> values presented in Volume 1 Appendix A by the ratio of annual heating degree hours (base 65</w:t>
      </w:r>
      <w:r w:rsidRPr="001570EA">
        <w:rPr>
          <w:rFonts w:cs="Arial"/>
        </w:rPr>
        <w:t>°</w:t>
      </w:r>
      <w:r w:rsidRPr="001570EA">
        <w:t>F) during times when outdoor air temperature is between 40</w:t>
      </w:r>
      <w:r w:rsidRPr="001570EA">
        <w:rPr>
          <w:rFonts w:cs="Arial"/>
        </w:rPr>
        <w:t>°</w:t>
      </w:r>
      <w:r w:rsidRPr="001570EA">
        <w:t>F and 65</w:t>
      </w:r>
      <w:r w:rsidRPr="001570EA">
        <w:rPr>
          <w:rFonts w:cs="Arial"/>
        </w:rPr>
        <w:t>°</w:t>
      </w:r>
      <w:r w:rsidRPr="001570EA">
        <w:t>F and the annual heating degree hours (base 65</w:t>
      </w:r>
      <w:r w:rsidRPr="001570EA">
        <w:rPr>
          <w:rFonts w:cs="Arial"/>
        </w:rPr>
        <w:t>°</w:t>
      </w:r>
      <w:r w:rsidRPr="001570EA">
        <w:t>F) during all times when outdoor air temperature is below 65</w:t>
      </w:r>
      <w:r w:rsidRPr="001570EA">
        <w:rPr>
          <w:rFonts w:cs="Arial"/>
        </w:rPr>
        <w:t>°</w:t>
      </w:r>
      <w:r w:rsidRPr="001570EA">
        <w:t>F.</w:t>
      </w:r>
    </w:p>
    <w:p w14:paraId="2CB5926E" w14:textId="77777777" w:rsidR="007376E1" w:rsidRPr="001570EA" w:rsidRDefault="007376E1" w:rsidP="007376E1">
      <w:pPr>
        <w:pStyle w:val="ListParagraph"/>
        <w:overflowPunct/>
        <w:autoSpaceDE/>
        <w:autoSpaceDN/>
        <w:adjustRightInd/>
        <w:ind w:left="360"/>
        <w:jc w:val="left"/>
        <w:textAlignment w:val="auto"/>
      </w:pPr>
    </w:p>
    <w:p w14:paraId="4CBF5B61" w14:textId="77777777" w:rsidR="007376E1" w:rsidRPr="001570EA" w:rsidRDefault="007376E1" w:rsidP="007376E1">
      <w:pPr>
        <w:pStyle w:val="source10"/>
        <w:spacing w:after="120"/>
        <w:jc w:val="left"/>
        <w:textAlignment w:val="auto"/>
        <w:rPr>
          <w:rStyle w:val="Hyperlink"/>
          <w:rFonts w:cs="Arial"/>
        </w:rPr>
        <w:sectPr w:rsidR="007376E1" w:rsidRPr="001570EA" w:rsidSect="002D556C">
          <w:pgSz w:w="12240" w:h="15840"/>
          <w:pgMar w:top="1440" w:right="1800" w:bottom="1440" w:left="1800" w:header="720" w:footer="501" w:gutter="0"/>
          <w:cols w:space="720"/>
        </w:sectPr>
      </w:pPr>
    </w:p>
    <w:p w14:paraId="642174C6" w14:textId="77777777" w:rsidR="007376E1" w:rsidRPr="001570EA" w:rsidRDefault="007376E1" w:rsidP="00462D97">
      <w:pPr>
        <w:pStyle w:val="Heading3"/>
      </w:pPr>
      <w:bookmarkStart w:id="274" w:name="_Toc364420817"/>
      <w:bookmarkStart w:id="275" w:name="_Toc373320454"/>
      <w:bookmarkStart w:id="276" w:name="_Toc364760932"/>
      <w:bookmarkStart w:id="277" w:name="_Ref12380838"/>
      <w:bookmarkStart w:id="278" w:name="_Toc48143024"/>
      <w:bookmarkStart w:id="279" w:name="_Toc164786643"/>
      <w:r w:rsidRPr="001570EA">
        <w:t>Duct Sealing</w:t>
      </w:r>
      <w:bookmarkEnd w:id="274"/>
      <w:bookmarkEnd w:id="275"/>
      <w:bookmarkEnd w:id="276"/>
      <w:r w:rsidRPr="001570EA">
        <w:t xml:space="preserve"> &amp; Duct Insulation</w:t>
      </w:r>
      <w:bookmarkEnd w:id="277"/>
      <w:bookmarkEnd w:id="278"/>
      <w:bookmarkEnd w:id="279"/>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8"/>
        <w:gridCol w:w="4964"/>
      </w:tblGrid>
      <w:tr w:rsidR="007376E1" w:rsidRPr="001570EA" w14:paraId="592B5D5D"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7289B647" w14:textId="77777777" w:rsidR="007376E1" w:rsidRPr="001570EA" w:rsidRDefault="007376E1">
            <w:pPr>
              <w:pStyle w:val="TableCell"/>
              <w:spacing w:before="60" w:after="60"/>
              <w:rPr>
                <w:b/>
                <w:bCs/>
                <w:color w:val="000000"/>
              </w:rPr>
            </w:pPr>
            <w:r w:rsidRPr="001570EA">
              <w:rPr>
                <w:b/>
                <w:bCs/>
                <w:color w:val="000000"/>
              </w:rPr>
              <w:t>Target Sector</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2822C6A5" w14:textId="6B7AD58E" w:rsidR="007376E1" w:rsidRPr="001570EA" w:rsidRDefault="007376E1">
            <w:pPr>
              <w:pStyle w:val="TableCell"/>
              <w:spacing w:before="60" w:after="60"/>
              <w:jc w:val="center"/>
              <w:rPr>
                <w:color w:val="000000"/>
              </w:rPr>
            </w:pPr>
            <w:r w:rsidRPr="001570EA">
              <w:rPr>
                <w:color w:val="000000"/>
              </w:rPr>
              <w:t>Residential</w:t>
            </w:r>
          </w:p>
        </w:tc>
      </w:tr>
      <w:tr w:rsidR="007376E1" w:rsidRPr="001570EA" w14:paraId="2662C20A"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6FA9A62E" w14:textId="77777777" w:rsidR="007376E1" w:rsidRPr="001570EA" w:rsidRDefault="007376E1">
            <w:pPr>
              <w:pStyle w:val="TableCell"/>
              <w:spacing w:before="60" w:after="60"/>
              <w:rPr>
                <w:b/>
                <w:bCs/>
                <w:color w:val="000000"/>
              </w:rPr>
            </w:pPr>
            <w:r w:rsidRPr="001570EA">
              <w:rPr>
                <w:b/>
                <w:bCs/>
                <w:color w:val="000000"/>
              </w:rPr>
              <w:t>Measure Unit</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5A59140B" w14:textId="77777777" w:rsidR="007376E1" w:rsidRPr="001570EA" w:rsidRDefault="007376E1">
            <w:pPr>
              <w:pStyle w:val="TableCell"/>
              <w:spacing w:before="60" w:after="60"/>
              <w:jc w:val="center"/>
              <w:rPr>
                <w:color w:val="000000"/>
              </w:rPr>
            </w:pPr>
            <w:r w:rsidRPr="001570EA">
              <w:rPr>
                <w:color w:val="000000"/>
              </w:rPr>
              <w:t>Duct Sealing and/or Insulation Project</w:t>
            </w:r>
          </w:p>
        </w:tc>
      </w:tr>
      <w:tr w:rsidR="007376E1" w:rsidRPr="001570EA" w14:paraId="6154B9E9"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35BABD85" w14:textId="77777777" w:rsidR="007376E1" w:rsidRPr="001570EA" w:rsidRDefault="007376E1">
            <w:pPr>
              <w:pStyle w:val="TableCell"/>
              <w:spacing w:before="60" w:after="60"/>
              <w:rPr>
                <w:b/>
                <w:bCs/>
                <w:color w:val="000000"/>
              </w:rPr>
            </w:pPr>
            <w:r w:rsidRPr="001570EA">
              <w:rPr>
                <w:b/>
                <w:bCs/>
                <w:color w:val="000000"/>
              </w:rPr>
              <w:t>Measure Life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58056085" w14:textId="77777777" w:rsidR="007376E1" w:rsidRPr="001570EA" w:rsidRDefault="007376E1">
            <w:pPr>
              <w:pStyle w:val="TableCell"/>
              <w:spacing w:before="60" w:after="60"/>
              <w:jc w:val="center"/>
              <w:rPr>
                <w:color w:val="000000"/>
                <w:vertAlign w:val="superscript"/>
              </w:rPr>
            </w:pPr>
            <w:r w:rsidRPr="001570EA">
              <w:rPr>
                <w:color w:val="000000"/>
              </w:rPr>
              <w:t>15 years</w:t>
            </w:r>
            <w:r w:rsidRPr="001570EA">
              <w:rPr>
                <w:vertAlign w:val="superscript"/>
              </w:rPr>
              <w:t>Source 1</w:t>
            </w:r>
          </w:p>
        </w:tc>
      </w:tr>
      <w:tr w:rsidR="007376E1" w:rsidRPr="001570EA" w14:paraId="66D2046F"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0A6D198E" w14:textId="77777777" w:rsidR="007376E1" w:rsidRPr="001570EA" w:rsidRDefault="007376E1">
            <w:pPr>
              <w:pStyle w:val="TableCell"/>
              <w:spacing w:before="60" w:after="60"/>
              <w:rPr>
                <w:b/>
                <w:bCs/>
                <w:color w:val="000000"/>
              </w:rPr>
            </w:pPr>
            <w:r w:rsidRPr="001570EA">
              <w:rPr>
                <w:b/>
                <w:bCs/>
                <w:color w:val="000000"/>
              </w:rPr>
              <w:t>Vintage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167A245F" w14:textId="77777777" w:rsidR="007376E1" w:rsidRPr="001570EA" w:rsidRDefault="007376E1">
            <w:pPr>
              <w:pStyle w:val="TableCell"/>
              <w:spacing w:before="60" w:after="60"/>
              <w:jc w:val="center"/>
              <w:rPr>
                <w:color w:val="000000"/>
              </w:rPr>
            </w:pPr>
            <w:r w:rsidRPr="001570EA">
              <w:rPr>
                <w:color w:val="000000"/>
              </w:rPr>
              <w:t>Retrofit</w:t>
            </w:r>
          </w:p>
        </w:tc>
      </w:tr>
    </w:tbl>
    <w:p w14:paraId="220111CF" w14:textId="77777777" w:rsidR="007376E1" w:rsidRPr="001570EA" w:rsidRDefault="007376E1" w:rsidP="007376E1"/>
    <w:p w14:paraId="1E14F2DD" w14:textId="77777777" w:rsidR="007376E1" w:rsidRPr="001570EA" w:rsidRDefault="007376E1" w:rsidP="007376E1">
      <w:r w:rsidRPr="001570EA">
        <w:t>This measure describes evaluating the savings associated with performing duct sealing using mastic sealant or metal tape to the distribution system of homes with either central air conditioning or a ducted heating system. The measure also applies to insulating ductwork in unconditioned and semi-conditioned spaces of residential buildings.</w:t>
      </w:r>
    </w:p>
    <w:p w14:paraId="24B5D8C3" w14:textId="77777777" w:rsidR="007376E1" w:rsidRPr="001570EA" w:rsidRDefault="007376E1" w:rsidP="007376E1"/>
    <w:p w14:paraId="6F496776" w14:textId="77777777" w:rsidR="007376E1" w:rsidRPr="001570EA" w:rsidRDefault="007376E1" w:rsidP="007376E1">
      <w:r w:rsidRPr="001570EA">
        <w:t>If duct insulation is involved with the improvement, the first method, “Evaluation of Distribution Efficiency,” must be used to estimate energy savings.</w:t>
      </w:r>
    </w:p>
    <w:p w14:paraId="6E1303AA" w14:textId="77777777" w:rsidR="007376E1" w:rsidRPr="001570EA" w:rsidRDefault="007376E1" w:rsidP="007376E1">
      <w:pPr>
        <w:rPr>
          <w:rFonts w:ascii="Arial Narrow" w:hAnsi="Arial Narrow"/>
          <w:b/>
          <w:bCs/>
        </w:rPr>
      </w:pPr>
    </w:p>
    <w:p w14:paraId="6A807CE1" w14:textId="0E19E645" w:rsidR="007376E1" w:rsidRPr="001570EA" w:rsidRDefault="007376E1" w:rsidP="002614D2">
      <w:pPr>
        <w:pStyle w:val="ListParagraph"/>
        <w:numPr>
          <w:ilvl w:val="0"/>
          <w:numId w:val="13"/>
        </w:numPr>
        <w:spacing w:after="120"/>
        <w:ind w:left="360"/>
      </w:pPr>
      <w:r w:rsidRPr="001570EA">
        <w:rPr>
          <w:b/>
        </w:rPr>
        <w:t>Evaluation of Distribution Efficiency</w:t>
      </w:r>
      <w:r w:rsidRPr="001570EA">
        <w:t xml:space="preserve"> – this methodology requires the evaluation of three duct characteristics below, and use of the Building Performance Institute’s (BPI) “Guidance on Estimating Distribution Efficiency”,</w:t>
      </w:r>
      <w:r w:rsidRPr="001570EA">
        <w:rPr>
          <w:vertAlign w:val="superscript"/>
        </w:rPr>
        <w:t>Source 2</w:t>
      </w:r>
      <w:r w:rsidRPr="001570EA">
        <w:t xml:space="preserve"> which are summarized in </w:t>
      </w:r>
      <w:r w:rsidRPr="001570EA">
        <w:fldChar w:fldCharType="begin"/>
      </w:r>
      <w:r w:rsidRPr="001570EA">
        <w:instrText xml:space="preserve"> REF _Ref531072530 \h </w:instrText>
      </w:r>
      <w:r w:rsidR="001570EA">
        <w:instrText xml:space="preserve"> \* MERGEFORMAT </w:instrText>
      </w:r>
      <w:r w:rsidRPr="001570EA">
        <w:fldChar w:fldCharType="separate"/>
      </w:r>
      <w:r w:rsidR="00384D95" w:rsidRPr="001570EA">
        <w:t xml:space="preserve">Table </w:t>
      </w:r>
      <w:r w:rsidR="00384D95" w:rsidRPr="001570EA">
        <w:rPr>
          <w:noProof/>
        </w:rPr>
        <w:t>2</w:t>
      </w:r>
      <w:r w:rsidR="00384D95" w:rsidRPr="001570EA">
        <w:noBreakHyphen/>
      </w:r>
      <w:r w:rsidR="00384D95" w:rsidRPr="001570EA">
        <w:rPr>
          <w:noProof/>
        </w:rPr>
        <w:t>40</w:t>
      </w:r>
      <w:r w:rsidRPr="001570EA">
        <w:fldChar w:fldCharType="end"/>
      </w:r>
      <w:r w:rsidRPr="001570EA">
        <w:t xml:space="preserve"> and </w:t>
      </w:r>
      <w:r w:rsidRPr="001570EA">
        <w:fldChar w:fldCharType="begin"/>
      </w:r>
      <w:r w:rsidRPr="001570EA">
        <w:instrText xml:space="preserve"> REF _Ref527037772 \h </w:instrText>
      </w:r>
      <w:r w:rsidR="001570EA">
        <w:instrText xml:space="preserve"> \* MERGEFORMAT </w:instrText>
      </w:r>
      <w:r w:rsidRPr="001570EA">
        <w:fldChar w:fldCharType="separate"/>
      </w:r>
      <w:r w:rsidR="00384D95" w:rsidRPr="001570EA">
        <w:t xml:space="preserve">Table </w:t>
      </w:r>
      <w:r w:rsidR="00384D95" w:rsidRPr="001570EA">
        <w:rPr>
          <w:noProof/>
        </w:rPr>
        <w:t>2</w:t>
      </w:r>
      <w:r w:rsidR="00384D95" w:rsidRPr="001570EA">
        <w:noBreakHyphen/>
      </w:r>
      <w:r w:rsidR="00384D95" w:rsidRPr="001570EA">
        <w:rPr>
          <w:noProof/>
        </w:rPr>
        <w:t>41</w:t>
      </w:r>
      <w:r w:rsidRPr="001570EA">
        <w:fldChar w:fldCharType="end"/>
      </w:r>
      <w:r w:rsidRPr="001570EA">
        <w:t xml:space="preserve"> for convenience.</w:t>
      </w:r>
    </w:p>
    <w:p w14:paraId="5E43A1C6" w14:textId="77777777" w:rsidR="007376E1" w:rsidRPr="001570EA" w:rsidRDefault="007376E1" w:rsidP="007376E1">
      <w:pPr>
        <w:pStyle w:val="ListParagraph"/>
        <w:numPr>
          <w:ilvl w:val="1"/>
          <w:numId w:val="6"/>
        </w:numPr>
        <w:spacing w:after="120"/>
        <w:ind w:left="1080"/>
      </w:pPr>
      <w:r w:rsidRPr="001570EA">
        <w:t>Duct location, including percentage of duct work found within the conditioned space</w:t>
      </w:r>
    </w:p>
    <w:p w14:paraId="63A20132" w14:textId="1B19D552" w:rsidR="007376E1" w:rsidRPr="001570EA" w:rsidRDefault="007376E1" w:rsidP="007376E1">
      <w:pPr>
        <w:pStyle w:val="ListParagraph"/>
        <w:numPr>
          <w:ilvl w:val="1"/>
          <w:numId w:val="6"/>
        </w:numPr>
        <w:spacing w:after="120"/>
        <w:ind w:left="1080"/>
      </w:pPr>
      <w:r w:rsidRPr="001570EA">
        <w:t>Duct leakage evaluation. The duct leakage assessment values are based on an assumption of 6.5% of assumed air handler flow (tight); 21% (average); or 35% (leaky).</w:t>
      </w:r>
      <w:r w:rsidRPr="001570EA">
        <w:rPr>
          <w:vertAlign w:val="superscript"/>
        </w:rPr>
        <w:t>Source</w:t>
      </w:r>
      <w:r w:rsidR="00BA7BF9">
        <w:rPr>
          <w:vertAlign w:val="superscript"/>
        </w:rPr>
        <w:t xml:space="preserve"> </w:t>
      </w:r>
      <w:r w:rsidRPr="001570EA">
        <w:rPr>
          <w:vertAlign w:val="superscript"/>
        </w:rPr>
        <w:t xml:space="preserve">6 </w:t>
      </w:r>
    </w:p>
    <w:p w14:paraId="5914B3F4" w14:textId="77777777" w:rsidR="007376E1" w:rsidRPr="001570EA" w:rsidRDefault="007376E1" w:rsidP="007376E1">
      <w:pPr>
        <w:pStyle w:val="ListParagraph"/>
        <w:numPr>
          <w:ilvl w:val="1"/>
          <w:numId w:val="6"/>
        </w:numPr>
        <w:spacing w:after="120"/>
        <w:ind w:left="1080"/>
      </w:pPr>
      <w:r w:rsidRPr="001570EA">
        <w:t>Duct insulation evaluation</w:t>
      </w:r>
    </w:p>
    <w:p w14:paraId="0A487AD9" w14:textId="0FE5EFD2" w:rsidR="007376E1" w:rsidRPr="001570EA" w:rsidRDefault="007376E1" w:rsidP="002614D2">
      <w:pPr>
        <w:pStyle w:val="ListParagraph"/>
        <w:numPr>
          <w:ilvl w:val="0"/>
          <w:numId w:val="13"/>
        </w:numPr>
        <w:spacing w:after="120"/>
        <w:ind w:left="360"/>
      </w:pPr>
      <w:r w:rsidRPr="001570EA">
        <w:rPr>
          <w:b/>
        </w:rPr>
        <w:t>RESNET Test 380 4.4.2</w:t>
      </w:r>
      <w:r w:rsidRPr="001570EA">
        <w:t xml:space="preserve"> – this method involves the pressurization of the house to 25 Pascals with reference to outside and a simultaneous pressurization of the duct system to reach equilibrium with the envelope or inside pressure of zero Pascals. A blower door is used to pressurize the building to 25 Pascals with reference to outside, when that is achieved the duct blaster is used to equalize the pressure difference between the duct system and the house. The amount of air required to bring the duct system to zero Pascals with reference to the building is the amount of air leaking through the ductwork to the outside. This technique is described in detail in section 4.4.2 of the ANSI/RESNET/ICC 380 - 2016 Standards: </w:t>
      </w:r>
      <w:hyperlink r:id="rId100" w:history="1">
        <w:r w:rsidRPr="001570EA">
          <w:rPr>
            <w:rStyle w:val="Hyperlink"/>
          </w:rPr>
          <w:t>http://www.resnet.us/professional/standards</w:t>
        </w:r>
      </w:hyperlink>
    </w:p>
    <w:p w14:paraId="199D9D31" w14:textId="77777777" w:rsidR="007376E1" w:rsidRPr="001570EA" w:rsidRDefault="007376E1" w:rsidP="007376E1">
      <w:pPr>
        <w:pStyle w:val="SubStyle"/>
      </w:pPr>
      <w:r w:rsidRPr="001570EA">
        <w:t>Eligibility</w:t>
      </w:r>
    </w:p>
    <w:p w14:paraId="4EA429C8" w14:textId="77777777" w:rsidR="007376E1" w:rsidRPr="001570EA" w:rsidRDefault="007376E1" w:rsidP="007376E1">
      <w:r w:rsidRPr="001570EA">
        <w:t>The efficient condition is sealed duct work throughout the unconditioned space in the home. The existing baseline condition is leaky duct work within the unconditioned space in the home.</w:t>
      </w:r>
    </w:p>
    <w:p w14:paraId="0AE3B45A" w14:textId="77777777" w:rsidR="007376E1" w:rsidRPr="001570EA" w:rsidRDefault="007376E1" w:rsidP="007376E1">
      <w:pPr>
        <w:pStyle w:val="SubStyle"/>
      </w:pPr>
    </w:p>
    <w:p w14:paraId="5C8A9A3D" w14:textId="77777777" w:rsidR="007376E1" w:rsidRPr="001570EA" w:rsidRDefault="007376E1" w:rsidP="007376E1">
      <w:pPr>
        <w:pStyle w:val="SubStyle"/>
      </w:pPr>
      <w:r w:rsidRPr="001570EA">
        <w:t>Algorithms</w:t>
      </w:r>
    </w:p>
    <w:p w14:paraId="4C4C032E" w14:textId="77777777" w:rsidR="007376E1" w:rsidRPr="001570EA" w:rsidRDefault="007376E1" w:rsidP="007376E1">
      <w:pPr>
        <w:spacing w:after="120"/>
        <w:rPr>
          <w:b/>
          <w:i/>
        </w:rPr>
      </w:pPr>
      <w:r w:rsidRPr="001570EA">
        <w:rPr>
          <w:b/>
          <w:i/>
        </w:rPr>
        <w:t>Methodology 1: Evaluation of Distribution Efficiency</w:t>
      </w:r>
    </w:p>
    <w:p w14:paraId="1B22E091" w14:textId="12A3A92E" w:rsidR="007376E1" w:rsidRPr="001570EA" w:rsidRDefault="007376E1" w:rsidP="007376E1">
      <w:r w:rsidRPr="001570EA">
        <w:t xml:space="preserve">Determine Distribution Efficiency by evaluating duct system before and after duct sealing using Building Performance Institute “Guidance on Estimating Distribution Efficiency” or the values reproduced from that document in </w:t>
      </w:r>
      <w:r w:rsidRPr="001570EA">
        <w:fldChar w:fldCharType="begin"/>
      </w:r>
      <w:r w:rsidRPr="001570EA">
        <w:instrText xml:space="preserve"> REF _Ref531072530 \h </w:instrText>
      </w:r>
      <w:r w:rsidR="001570EA">
        <w:instrText xml:space="preserve"> \* MERGEFORMAT </w:instrText>
      </w:r>
      <w:r w:rsidRPr="001570EA">
        <w:fldChar w:fldCharType="separate"/>
      </w:r>
      <w:r w:rsidR="00384D95" w:rsidRPr="001570EA">
        <w:t xml:space="preserve">Table </w:t>
      </w:r>
      <w:r w:rsidR="00384D95" w:rsidRPr="001570EA">
        <w:rPr>
          <w:noProof/>
        </w:rPr>
        <w:t>2</w:t>
      </w:r>
      <w:r w:rsidR="00384D95" w:rsidRPr="001570EA">
        <w:noBreakHyphen/>
      </w:r>
      <w:r w:rsidR="00384D95" w:rsidRPr="001570EA">
        <w:rPr>
          <w:noProof/>
        </w:rPr>
        <w:t>40</w:t>
      </w:r>
      <w:r w:rsidRPr="001570EA">
        <w:fldChar w:fldCharType="end"/>
      </w:r>
      <w:r w:rsidRPr="001570EA">
        <w:t xml:space="preserve"> that match the duct system, and if the majority of the duct system is in conditioned space add the matching value from </w:t>
      </w:r>
      <w:r w:rsidRPr="001570EA">
        <w:fldChar w:fldCharType="begin"/>
      </w:r>
      <w:r w:rsidRPr="001570EA">
        <w:instrText xml:space="preserve"> REF _Ref527037772 \h  \* MERGEFORMAT </w:instrText>
      </w:r>
      <w:r w:rsidRPr="001570EA">
        <w:fldChar w:fldCharType="separate"/>
      </w:r>
      <w:r w:rsidR="00384D95" w:rsidRPr="001570EA">
        <w:t xml:space="preserve">Table </w:t>
      </w:r>
      <w:r w:rsidR="00384D95" w:rsidRPr="001570EA">
        <w:rPr>
          <w:noProof/>
        </w:rPr>
        <w:t>2</w:t>
      </w:r>
      <w:r w:rsidR="00384D95" w:rsidRPr="001570EA">
        <w:rPr>
          <w:noProof/>
        </w:rPr>
        <w:noBreakHyphen/>
        <w:t>41</w:t>
      </w:r>
      <w:r w:rsidRPr="001570EA">
        <w:fldChar w:fldCharType="end"/>
      </w:r>
      <w:r w:rsidRPr="001570EA">
        <w:t>, not to exceed 100%.</w:t>
      </w:r>
    </w:p>
    <w:p w14:paraId="18BA9D2A" w14:textId="77777777" w:rsidR="007376E1" w:rsidRPr="001570EA" w:rsidRDefault="007376E1" w:rsidP="007376E1"/>
    <w:p w14:paraId="4A2C0D0E" w14:textId="299EC445" w:rsidR="007376E1" w:rsidRPr="001570EA" w:rsidRDefault="007376E1" w:rsidP="007376E1">
      <w:pPr>
        <w:pStyle w:val="Equation"/>
        <w:ind w:left="0" w:firstLine="0"/>
        <w:rPr>
          <w:rFonts w:cs="Arial"/>
          <w:szCs w:val="20"/>
        </w:rPr>
      </w:pPr>
      <m:oMathPara>
        <m:oMathParaPr>
          <m:jc m:val="left"/>
        </m:oMathParaPr>
        <m:oMath>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kWh</m:t>
              </m:r>
              <m:ctrlPr>
                <w:rPr>
                  <w:rFonts w:ascii="Cambria Math" w:eastAsia="Cambria Math" w:hAnsi="Cambria Math" w:cs="Cambria Math"/>
                  <w:i w:val="0"/>
                  <w:szCs w:val="20"/>
                </w:rPr>
              </m:ctrlPr>
            </m:e>
            <m:sub>
              <m:r>
                <w:rPr>
                  <w:rFonts w:ascii="Cambria Math" w:hAnsi="Cambria Math" w:cs="Arial"/>
                  <w:szCs w:val="20"/>
                </w:rPr>
                <m:t>cooling</m:t>
              </m:r>
            </m:sub>
          </m:sSub>
          <m:r>
            <w:rPr>
              <w:rFonts w:ascii="Cambria Math" w:hAnsi="Cambria Math" w:cs="Arial"/>
              <w:szCs w:val="20"/>
            </w:rPr>
            <m:t xml:space="preserve">               =</m:t>
          </m:r>
          <m:f>
            <m:fPr>
              <m:ctrlPr>
                <w:rPr>
                  <w:rFonts w:ascii="Cambria Math" w:hAnsi="Cambria Math" w:cs="Arial"/>
                  <w:i w:val="0"/>
                  <w:szCs w:val="20"/>
                </w:rPr>
              </m:ctrlPr>
            </m:fPr>
            <m:num>
              <m:d>
                <m:dPr>
                  <m:ctrlPr>
                    <w:rPr>
                      <w:rFonts w:ascii="Cambria Math" w:hAnsi="Cambria Math" w:cs="Arial"/>
                      <w:szCs w:val="20"/>
                    </w:rPr>
                  </m:ctrlPr>
                </m:dPr>
                <m:e>
                  <m:r>
                    <w:rPr>
                      <w:rFonts w:ascii="Cambria Math" w:hAnsi="Cambria Math" w:cs="Arial"/>
                      <w:szCs w:val="20"/>
                    </w:rPr>
                    <m:t>1-</m:t>
                  </m:r>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szCs w:val="20"/>
                            </w:rPr>
                            <m:t>DE</m:t>
                          </m:r>
                        </m:e>
                        <m:sub>
                          <m:r>
                            <w:rPr>
                              <w:rFonts w:ascii="Cambria Math" w:hAnsi="Cambria Math" w:cs="Arial"/>
                              <w:szCs w:val="20"/>
                            </w:rPr>
                            <m:t>pre</m:t>
                          </m:r>
                          <m:d>
                            <m:dPr>
                              <m:ctrlPr>
                                <w:rPr>
                                  <w:rFonts w:ascii="Cambria Math" w:hAnsi="Cambria Math" w:cs="Arial"/>
                                  <w:i w:val="0"/>
                                  <w:szCs w:val="20"/>
                                </w:rPr>
                              </m:ctrlPr>
                            </m:dPr>
                            <m:e>
                              <m:r>
                                <w:rPr>
                                  <w:rFonts w:ascii="Cambria Math" w:hAnsi="Cambria Math" w:cs="Arial"/>
                                  <w:szCs w:val="20"/>
                                </w:rPr>
                                <m:t>cool</m:t>
                              </m:r>
                            </m:e>
                          </m:d>
                        </m:sub>
                      </m:sSub>
                    </m:num>
                    <m:den>
                      <m:sSub>
                        <m:sSubPr>
                          <m:ctrlPr>
                            <w:rPr>
                              <w:rFonts w:ascii="Cambria Math" w:hAnsi="Cambria Math" w:cs="Arial"/>
                              <w:i w:val="0"/>
                              <w:szCs w:val="20"/>
                            </w:rPr>
                          </m:ctrlPr>
                        </m:sSubPr>
                        <m:e>
                          <m:r>
                            <w:rPr>
                              <w:rFonts w:ascii="Cambria Math" w:hAnsi="Cambria Math" w:cs="Arial"/>
                              <w:szCs w:val="20"/>
                            </w:rPr>
                            <m:t>DE</m:t>
                          </m:r>
                        </m:e>
                        <m:sub>
                          <m:r>
                            <w:rPr>
                              <w:rFonts w:ascii="Cambria Math" w:hAnsi="Cambria Math" w:cs="Arial"/>
                              <w:szCs w:val="20"/>
                            </w:rPr>
                            <m:t>post</m:t>
                          </m:r>
                          <m:d>
                            <m:dPr>
                              <m:ctrlPr>
                                <w:rPr>
                                  <w:rFonts w:ascii="Cambria Math" w:hAnsi="Cambria Math" w:cs="Arial"/>
                                  <w:i w:val="0"/>
                                  <w:szCs w:val="20"/>
                                </w:rPr>
                              </m:ctrlPr>
                            </m:dPr>
                            <m:e>
                              <m:r>
                                <w:rPr>
                                  <w:rFonts w:ascii="Cambria Math" w:hAnsi="Cambria Math" w:cs="Arial"/>
                                  <w:szCs w:val="20"/>
                                </w:rPr>
                                <m:t>cool</m:t>
                              </m:r>
                            </m:e>
                          </m:d>
                        </m:sub>
                      </m:sSub>
                    </m:den>
                  </m:f>
                </m:e>
              </m:d>
              <m:r>
                <w:rPr>
                  <w:rFonts w:ascii="Cambria Math" w:hAnsi="Cambria Math" w:cs="Arial"/>
                  <w:szCs w:val="20"/>
                </w:rPr>
                <m:t xml:space="preserve"> ×</m:t>
              </m:r>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 xml:space="preserve">cool </m:t>
                  </m:r>
                </m:sub>
              </m:sSub>
              <m:r>
                <w:rPr>
                  <w:rFonts w:ascii="Cambria Math" w:hAnsi="Cambria Math" w:cs="Arial"/>
                  <w:szCs w:val="20"/>
                </w:rPr>
                <m:t xml:space="preserve">× </m:t>
              </m:r>
              <m:sSub>
                <m:sSubPr>
                  <m:ctrlPr>
                    <w:rPr>
                      <w:rFonts w:ascii="Cambria Math" w:hAnsi="Cambria Math" w:cs="Arial"/>
                      <w:i w:val="0"/>
                      <w:szCs w:val="20"/>
                    </w:rPr>
                  </m:ctrlPr>
                </m:sSubPr>
                <m:e>
                  <m:r>
                    <w:rPr>
                      <w:rFonts w:ascii="Cambria Math" w:hAnsi="Cambria Math" w:cs="Arial"/>
                      <w:szCs w:val="20"/>
                    </w:rPr>
                    <m:t>CAPY</m:t>
                  </m:r>
                </m:e>
                <m:sub>
                  <m:r>
                    <w:rPr>
                      <w:rFonts w:ascii="Cambria Math" w:hAnsi="Cambria Math" w:cs="Arial"/>
                      <w:szCs w:val="20"/>
                    </w:rPr>
                    <m:t>cool</m:t>
                  </m:r>
                </m:sub>
              </m:sSub>
            </m:num>
            <m:den>
              <m:r>
                <w:rPr>
                  <w:rFonts w:ascii="Cambria Math" w:hAnsi="Cambria Math" w:cs="Arial"/>
                  <w:szCs w:val="20"/>
                </w:rPr>
                <m:t>SEER2</m:t>
              </m:r>
            </m:den>
          </m:f>
        </m:oMath>
      </m:oMathPara>
    </w:p>
    <w:p w14:paraId="16FD9FCA" w14:textId="77777777" w:rsidR="007376E1" w:rsidRPr="001570EA" w:rsidRDefault="007376E1" w:rsidP="007376E1">
      <w:pPr>
        <w:pStyle w:val="Equation"/>
        <w:ind w:left="0" w:firstLine="0"/>
        <w:rPr>
          <w:rFonts w:cs="Arial"/>
          <w:szCs w:val="20"/>
        </w:rPr>
      </w:pPr>
    </w:p>
    <w:p w14:paraId="1AE7C9B9" w14:textId="7BD28596" w:rsidR="007376E1" w:rsidRPr="001570EA" w:rsidRDefault="007376E1" w:rsidP="007376E1">
      <w:pPr>
        <w:rPr>
          <w:rFonts w:cs="Arial"/>
        </w:rPr>
      </w:pPr>
      <m:oMathPara>
        <m:oMathParaPr>
          <m:jc m:val="left"/>
        </m:oMathParaPr>
        <m:oMath>
          <m:r>
            <m:rPr>
              <m:sty m:val="p"/>
            </m:rPr>
            <w:rPr>
              <w:rFonts w:ascii="Cambria Math" w:hAnsi="Cambria Math" w:cs="Arial"/>
            </w:rPr>
            <m:t>∆</m:t>
          </m:r>
          <m:sSub>
            <m:sSubPr>
              <m:ctrlPr>
                <w:rPr>
                  <w:rFonts w:ascii="Cambria Math" w:eastAsia="Calibri" w:hAnsi="Cambria Math" w:cs="Arial"/>
                  <w:i/>
                </w:rPr>
              </m:ctrlPr>
            </m:sSubPr>
            <m:e>
              <m:r>
                <w:rPr>
                  <w:rFonts w:ascii="Cambria Math" w:hAnsi="Cambria Math" w:cs="Arial"/>
                </w:rPr>
                <m:t>kWh</m:t>
              </m:r>
              <m:ctrlPr>
                <w:rPr>
                  <w:rFonts w:ascii="Cambria Math" w:eastAsia="Cambria Math" w:hAnsi="Cambria Math" w:cs="Cambria Math"/>
                  <w:i/>
                </w:rPr>
              </m:ctrlPr>
            </m:e>
            <m:sub>
              <m:r>
                <w:rPr>
                  <w:rFonts w:ascii="Cambria Math" w:eastAsia="Calibri" w:hAnsi="Cambria Math" w:cs="Arial"/>
                </w:rPr>
                <m:t>heating</m:t>
              </m:r>
            </m:sub>
          </m:sSub>
          <m:r>
            <w:rPr>
              <w:rFonts w:ascii="Cambria Math" w:hAnsi="Cambria Math" w:cs="Arial"/>
            </w:rPr>
            <m:t xml:space="preserve">               =</m:t>
          </m:r>
          <m:f>
            <m:fPr>
              <m:ctrlPr>
                <w:rPr>
                  <w:rFonts w:ascii="Cambria Math" w:hAnsi="Cambria Math" w:cs="Arial"/>
                </w:rPr>
              </m:ctrlPr>
            </m:fPr>
            <m:num>
              <m:d>
                <m:dPr>
                  <m:ctrlPr>
                    <w:rPr>
                      <w:rFonts w:ascii="Cambria Math" w:hAnsi="Cambria Math" w:cs="Arial"/>
                      <w:i/>
                    </w:rPr>
                  </m:ctrlPr>
                </m:dPr>
                <m:e>
                  <m:r>
                    <w:rPr>
                      <w:rFonts w:ascii="Cambria Math" w:hAnsi="Cambria Math" w:cs="Arial"/>
                    </w:rPr>
                    <m:t>1-</m:t>
                  </m:r>
                  <m:f>
                    <m:fPr>
                      <m:ctrlPr>
                        <w:rPr>
                          <w:rFonts w:ascii="Cambria Math" w:hAnsi="Cambria Math" w:cs="Arial"/>
                        </w:rPr>
                      </m:ctrlPr>
                    </m:fPr>
                    <m:num>
                      <m:sSub>
                        <m:sSubPr>
                          <m:ctrlPr>
                            <w:rPr>
                              <w:rFonts w:ascii="Cambria Math" w:hAnsi="Cambria Math" w:cs="Arial"/>
                              <w:szCs w:val="20"/>
                            </w:rPr>
                          </m:ctrlPr>
                        </m:sSubPr>
                        <m:e>
                          <m:r>
                            <w:rPr>
                              <w:rFonts w:ascii="Cambria Math" w:hAnsi="Cambria Math" w:cs="Arial"/>
                              <w:szCs w:val="20"/>
                            </w:rPr>
                            <m:t>DE</m:t>
                          </m:r>
                        </m:e>
                        <m:sub>
                          <m:r>
                            <w:rPr>
                              <w:rFonts w:ascii="Cambria Math" w:hAnsi="Cambria Math" w:cs="Arial"/>
                              <w:szCs w:val="20"/>
                            </w:rPr>
                            <m:t>pre</m:t>
                          </m:r>
                          <m:d>
                            <m:dPr>
                              <m:ctrlPr>
                                <w:rPr>
                                  <w:rFonts w:ascii="Cambria Math" w:hAnsi="Cambria Math" w:cs="Arial"/>
                                  <w:szCs w:val="20"/>
                                </w:rPr>
                              </m:ctrlPr>
                            </m:dPr>
                            <m:e>
                              <m:r>
                                <w:rPr>
                                  <w:rFonts w:ascii="Cambria Math" w:hAnsi="Cambria Math" w:cs="Arial"/>
                                  <w:szCs w:val="20"/>
                                </w:rPr>
                                <m:t>heat</m:t>
                              </m:r>
                            </m:e>
                          </m:d>
                        </m:sub>
                      </m:sSub>
                    </m:num>
                    <m:den>
                      <m:sSub>
                        <m:sSubPr>
                          <m:ctrlPr>
                            <w:rPr>
                              <w:rFonts w:ascii="Cambria Math" w:hAnsi="Cambria Math" w:cs="Arial"/>
                            </w:rPr>
                          </m:ctrlPr>
                        </m:sSubPr>
                        <m:e>
                          <m:r>
                            <w:rPr>
                              <w:rFonts w:ascii="Cambria Math" w:hAnsi="Cambria Math" w:cs="Arial"/>
                            </w:rPr>
                            <m:t>DE</m:t>
                          </m:r>
                        </m:e>
                        <m:sub>
                          <m:r>
                            <w:rPr>
                              <w:rFonts w:ascii="Cambria Math" w:hAnsi="Cambria Math" w:cs="Arial"/>
                            </w:rPr>
                            <m:t>post</m:t>
                          </m:r>
                          <m:d>
                            <m:dPr>
                              <m:ctrlPr>
                                <w:rPr>
                                  <w:rFonts w:ascii="Cambria Math" w:hAnsi="Cambria Math" w:cs="Arial"/>
                                  <w:i/>
                                </w:rPr>
                              </m:ctrlPr>
                            </m:dPr>
                            <m:e>
                              <m:r>
                                <w:rPr>
                                  <w:rFonts w:ascii="Cambria Math" w:hAnsi="Cambria Math" w:cs="Arial"/>
                                </w:rPr>
                                <m:t>heat</m:t>
                              </m:r>
                            </m:e>
                          </m:d>
                        </m:sub>
                      </m:sSub>
                    </m:den>
                  </m:f>
                  <m:r>
                    <w:rPr>
                      <w:rFonts w:ascii="Cambria Math" w:hAnsi="Cambria Math" w:cs="Arial"/>
                    </w:rPr>
                    <m:t xml:space="preserve"> </m:t>
                  </m:r>
                </m:e>
              </m:d>
              <m:r>
                <w:rPr>
                  <w:rFonts w:ascii="Cambria Math" w:hAnsi="Cambria Math" w:cs="Arial"/>
                </w:rPr>
                <m:t>×</m:t>
              </m:r>
              <m:sSub>
                <m:sSubPr>
                  <m:ctrlPr>
                    <w:rPr>
                      <w:rFonts w:ascii="Cambria Math" w:hAnsi="Cambria Math" w:cs="Arial"/>
                    </w:rPr>
                  </m:ctrlPr>
                </m:sSubPr>
                <m:e>
                  <m:r>
                    <w:rPr>
                      <w:rFonts w:ascii="Cambria Math" w:hAnsi="Cambria Math" w:cs="Arial"/>
                    </w:rPr>
                    <m:t>EFLH</m:t>
                  </m:r>
                  <m:ctrlPr>
                    <w:rPr>
                      <w:rFonts w:ascii="Cambria Math" w:hAnsi="Cambria Math" w:cs="Arial"/>
                      <w:i/>
                    </w:rPr>
                  </m:ctrlPr>
                </m:e>
                <m:sub>
                  <m:r>
                    <w:rPr>
                      <w:rFonts w:ascii="Cambria Math" w:hAnsi="Cambria Math" w:cs="Arial"/>
                    </w:rPr>
                    <m:t xml:space="preserve">heat </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CAPY</m:t>
                  </m:r>
                  <m:ctrlPr>
                    <w:rPr>
                      <w:rFonts w:ascii="Cambria Math" w:hAnsi="Cambria Math" w:cs="Arial"/>
                      <w:i/>
                    </w:rPr>
                  </m:ctrlPr>
                </m:e>
                <m:sub>
                  <m:r>
                    <w:rPr>
                      <w:rFonts w:ascii="Cambria Math" w:hAnsi="Cambria Math" w:cs="Arial"/>
                    </w:rPr>
                    <m:t>heat</m:t>
                  </m:r>
                </m:sub>
              </m:sSub>
              <m:ctrlPr>
                <w:rPr>
                  <w:rFonts w:ascii="Cambria Math" w:hAnsi="Cambria Math" w:cs="Arial"/>
                  <w:i/>
                </w:rPr>
              </m:ctrlPr>
            </m:num>
            <m:den>
              <m:r>
                <w:rPr>
                  <w:rFonts w:ascii="Cambria Math" w:hAnsi="Cambria Math" w:cs="Arial"/>
                </w:rPr>
                <m:t>HSPF2</m:t>
              </m:r>
            </m:den>
          </m:f>
        </m:oMath>
      </m:oMathPara>
    </w:p>
    <w:p w14:paraId="317EFE62" w14:textId="77777777" w:rsidR="007376E1" w:rsidRPr="001570EA" w:rsidRDefault="007376E1" w:rsidP="007376E1">
      <w:pPr>
        <w:rPr>
          <w:b/>
          <w:i/>
        </w:rPr>
      </w:pPr>
    </w:p>
    <w:p w14:paraId="6FF1BC68" w14:textId="77777777" w:rsidR="007376E1" w:rsidRPr="001570EA" w:rsidRDefault="007376E1" w:rsidP="007376E1">
      <w:pPr>
        <w:spacing w:after="120"/>
        <w:rPr>
          <w:b/>
          <w:i/>
        </w:rPr>
      </w:pPr>
      <w:r w:rsidRPr="001570EA">
        <w:rPr>
          <w:b/>
          <w:i/>
        </w:rPr>
        <w:t xml:space="preserve">Methodology 2: RESNET Test 803.7 </w:t>
      </w:r>
    </w:p>
    <w:p w14:paraId="27D5D493" w14:textId="77777777" w:rsidR="007376E1" w:rsidRPr="001570EA" w:rsidRDefault="007376E1" w:rsidP="007376E1">
      <w:pPr>
        <w:pStyle w:val="ListParagraph"/>
        <w:numPr>
          <w:ilvl w:val="0"/>
          <w:numId w:val="7"/>
        </w:numPr>
        <w:spacing w:after="120"/>
        <w:ind w:left="360"/>
      </w:pPr>
      <w:r w:rsidRPr="001570EA">
        <w:t xml:space="preserve">Determine Duct Leakage rate before and after performing duct sealing </w:t>
      </w:r>
    </w:p>
    <w:p w14:paraId="5148C95E" w14:textId="77777777" w:rsidR="007376E1" w:rsidRPr="001570EA" w:rsidRDefault="007376E1" w:rsidP="007376E1">
      <w:pPr>
        <w:rPr>
          <w:rFonts w:cs="Arial"/>
          <w:b/>
          <w:bCs/>
          <w:i/>
          <w:iCs/>
          <w:sz w:val="18"/>
        </w:rPr>
      </w:pPr>
    </w:p>
    <w:p w14:paraId="7061FD4D" w14:textId="77777777" w:rsidR="007376E1" w:rsidRPr="001570EA" w:rsidRDefault="007376E1" w:rsidP="007376E1">
      <w:pPr>
        <w:rPr>
          <w:rFonts w:cs="Arial"/>
        </w:rPr>
      </w:pPr>
      <w:r w:rsidRPr="001570EA">
        <w:rPr>
          <w:rFonts w:cs="Arial"/>
        </w:rPr>
        <w:t>Δ</w:t>
      </w:r>
      <w:r w:rsidRPr="001570EA">
        <w:rPr>
          <w:rFonts w:cs="Arial"/>
          <w:bCs/>
          <w:i/>
          <w:iCs/>
        </w:rPr>
        <w:t>CFM</w:t>
      </w:r>
      <w:r w:rsidRPr="001570EA">
        <w:rPr>
          <w:rFonts w:cs="Arial"/>
          <w:bCs/>
          <w:i/>
          <w:iCs/>
          <w:vertAlign w:val="subscript"/>
        </w:rPr>
        <w:t>25DB</w:t>
      </w:r>
      <w:r w:rsidRPr="001570EA">
        <w:rPr>
          <w:rFonts w:cs="Arial"/>
          <w:bCs/>
          <w:i/>
          <w:iCs/>
          <w:vertAlign w:val="subscript"/>
        </w:rPr>
        <w:tab/>
      </w:r>
      <w:r w:rsidRPr="001570EA">
        <w:rPr>
          <w:rFonts w:cs="Arial"/>
          <w:bCs/>
          <w:i/>
          <w:iCs/>
          <w:vertAlign w:val="subscript"/>
        </w:rPr>
        <w:tab/>
      </w:r>
      <w:r w:rsidRPr="001570EA">
        <w:rPr>
          <w:rFonts w:cs="Arial"/>
        </w:rPr>
        <w:t>=</w:t>
      </w:r>
      <m:oMath>
        <m:sSub>
          <m:sSubPr>
            <m:ctrlPr>
              <w:rPr>
                <w:rFonts w:ascii="Cambria Math" w:hAnsi="Cambria Math" w:cs="Arial"/>
              </w:rPr>
            </m:ctrlPr>
          </m:sSubPr>
          <m:e>
            <m:r>
              <w:rPr>
                <w:rFonts w:ascii="Cambria Math" w:hAnsi="Cambria Math" w:cs="Arial"/>
              </w:rPr>
              <m:t>CFM</m:t>
            </m:r>
          </m:e>
          <m:sub>
            <m:r>
              <w:rPr>
                <w:rFonts w:ascii="Cambria Math" w:hAnsi="Cambria Math" w:cs="Arial"/>
              </w:rPr>
              <m:t>25BASE</m:t>
            </m:r>
          </m:sub>
        </m:sSub>
        <m:r>
          <w:rPr>
            <w:rFonts w:ascii="Cambria Math" w:hAnsi="Cambria Math" w:cs="Arial"/>
          </w:rPr>
          <m:t xml:space="preserve"> – </m:t>
        </m:r>
        <m:sSub>
          <m:sSubPr>
            <m:ctrlPr>
              <w:rPr>
                <w:rFonts w:ascii="Cambria Math" w:hAnsi="Cambria Math" w:cs="Arial"/>
              </w:rPr>
            </m:ctrlPr>
          </m:sSubPr>
          <m:e>
            <m:r>
              <w:rPr>
                <w:rFonts w:ascii="Cambria Math" w:hAnsi="Cambria Math" w:cs="Arial"/>
              </w:rPr>
              <m:t>CFM</m:t>
            </m:r>
          </m:e>
          <m:sub>
            <m:r>
              <w:rPr>
                <w:rFonts w:ascii="Cambria Math" w:hAnsi="Cambria Math" w:cs="Arial"/>
              </w:rPr>
              <m:t>25EE</m:t>
            </m:r>
          </m:sub>
        </m:sSub>
      </m:oMath>
    </w:p>
    <w:p w14:paraId="7A3F7139" w14:textId="77777777" w:rsidR="007376E1" w:rsidRPr="001570EA" w:rsidRDefault="007376E1" w:rsidP="007376E1">
      <w:pPr>
        <w:rPr>
          <w:rFonts w:cs="Arial"/>
          <w:bCs/>
          <w:i/>
          <w:iCs/>
          <w:vertAlign w:val="subscript"/>
        </w:rPr>
      </w:pPr>
    </w:p>
    <w:p w14:paraId="6EE79A74" w14:textId="77777777" w:rsidR="007376E1" w:rsidRPr="001570EA" w:rsidRDefault="007376E1" w:rsidP="007376E1">
      <w:pPr>
        <w:pStyle w:val="ListParagraph"/>
        <w:numPr>
          <w:ilvl w:val="0"/>
          <w:numId w:val="7"/>
        </w:numPr>
        <w:spacing w:after="120"/>
        <w:ind w:left="360"/>
      </w:pPr>
      <w:r w:rsidRPr="001570EA">
        <w:t xml:space="preserve">Calculate Energy Savings </w:t>
      </w:r>
    </w:p>
    <w:p w14:paraId="461D52FF" w14:textId="77777777" w:rsidR="007376E1" w:rsidRPr="001570EA" w:rsidRDefault="007376E1" w:rsidP="007376E1">
      <w:pPr>
        <w:pStyle w:val="Equation"/>
        <w:ind w:left="0" w:firstLine="0"/>
        <w:rPr>
          <w:rFonts w:ascii="Cambria Math" w:hAnsi="Cambria Math" w:cs="Arial"/>
          <w:szCs w:val="20"/>
        </w:rPr>
      </w:pPr>
      <m:oMathPara>
        <m:oMathParaPr>
          <m:jc m:val="left"/>
        </m:oMathParaPr>
        <m:oMath>
          <m:r>
            <w:rPr>
              <w:rFonts w:ascii="Cambria Math" w:hAnsi="Cambria Math" w:cs="Arial"/>
              <w:szCs w:val="20"/>
            </w:rPr>
            <m:t>∆</m:t>
          </m:r>
          <m:f>
            <m:fPr>
              <m:type m:val="lin"/>
              <m:ctrlPr>
                <w:rPr>
                  <w:rFonts w:ascii="Cambria Math" w:hAnsi="Cambria Math" w:cs="Arial"/>
                  <w:i w:val="0"/>
                  <w:szCs w:val="20"/>
                </w:rPr>
              </m:ctrlPr>
            </m:fPr>
            <m:num>
              <m:r>
                <w:rPr>
                  <w:rFonts w:ascii="Cambria Math" w:hAnsi="Cambria Math" w:cs="Arial"/>
                  <w:szCs w:val="20"/>
                </w:rPr>
                <m:t>kWh</m:t>
              </m:r>
            </m:num>
            <m:den>
              <m:sSub>
                <m:sSubPr>
                  <m:ctrlPr>
                    <w:rPr>
                      <w:rFonts w:ascii="Cambria Math" w:hAnsi="Cambria Math" w:cs="Arial"/>
                      <w:i w:val="0"/>
                      <w:szCs w:val="20"/>
                    </w:rPr>
                  </m:ctrlPr>
                </m:sSubPr>
                <m:e>
                  <m:r>
                    <w:rPr>
                      <w:rFonts w:ascii="Cambria Math" w:hAnsi="Cambria Math" w:cs="Arial"/>
                      <w:szCs w:val="20"/>
                    </w:rPr>
                    <m:t>yr</m:t>
                  </m:r>
                </m:e>
                <m:sub>
                  <m:r>
                    <w:rPr>
                      <w:rFonts w:ascii="Cambria Math" w:hAnsi="Cambria Math" w:cs="Arial"/>
                      <w:szCs w:val="20"/>
                    </w:rPr>
                    <m:t>cooling</m:t>
                  </m:r>
                </m:sub>
              </m:sSub>
            </m:den>
          </m:f>
          <m:r>
            <w:rPr>
              <w:rFonts w:ascii="Cambria Math" w:hAnsi="Cambria Math" w:cs="Arial"/>
              <w:szCs w:val="20"/>
            </w:rPr>
            <m:t xml:space="preserve">               = </m:t>
          </m:r>
          <m:f>
            <m:fPr>
              <m:ctrlPr>
                <w:rPr>
                  <w:rFonts w:ascii="Cambria Math" w:hAnsi="Cambria Math" w:cs="Arial"/>
                  <w:i w:val="0"/>
                  <w:szCs w:val="20"/>
                </w:rPr>
              </m:ctrlPr>
            </m:fPr>
            <m:num>
              <m:d>
                <m:dPr>
                  <m:ctrlPr>
                    <w:rPr>
                      <w:rFonts w:ascii="Cambria Math" w:hAnsi="Cambria Math" w:cs="Arial"/>
                      <w:i w:val="0"/>
                      <w:szCs w:val="20"/>
                    </w:rPr>
                  </m:ctrlPr>
                </m:dPr>
                <m:e>
                  <m:f>
                    <m:fPr>
                      <m:ctrlPr>
                        <w:rPr>
                          <w:rFonts w:ascii="Cambria Math" w:hAnsi="Cambria Math" w:cs="Arial"/>
                          <w:i w:val="0"/>
                          <w:szCs w:val="20"/>
                        </w:rPr>
                      </m:ctrlPr>
                    </m:fPr>
                    <m:num>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CFM25</m:t>
                          </m:r>
                        </m:e>
                        <m:sub>
                          <m:r>
                            <w:rPr>
                              <w:rFonts w:ascii="Cambria Math" w:hAnsi="Cambria Math" w:cs="Arial"/>
                              <w:szCs w:val="20"/>
                            </w:rPr>
                            <m:t>25DB</m:t>
                          </m:r>
                        </m:sub>
                      </m:sSub>
                    </m:num>
                    <m:den>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szCs w:val="20"/>
                                </w:rPr>
                                <m:t>CAPY</m:t>
                              </m:r>
                            </m:e>
                            <m:sub>
                              <m:r>
                                <w:rPr>
                                  <w:rFonts w:ascii="Cambria Math" w:hAnsi="Cambria Math" w:cs="Arial"/>
                                  <w:szCs w:val="20"/>
                                </w:rPr>
                                <m:t>cool</m:t>
                              </m:r>
                            </m:sub>
                          </m:sSub>
                          <m:r>
                            <w:rPr>
                              <w:rFonts w:ascii="Cambria Math" w:hAnsi="Cambria Math" w:cs="Arial"/>
                              <w:szCs w:val="20"/>
                            </w:rPr>
                            <m:t xml:space="preserve"> </m:t>
                          </m:r>
                        </m:num>
                        <m:den>
                          <m:r>
                            <w:rPr>
                              <w:rFonts w:ascii="Cambria Math" w:hAnsi="Cambria Math" w:cs="Arial"/>
                              <w:szCs w:val="20"/>
                            </w:rPr>
                            <m:t>12</m:t>
                          </m:r>
                          <m:box>
                            <m:boxPr>
                              <m:ctrlPr>
                                <w:rPr>
                                  <w:rFonts w:ascii="Cambria Math" w:hAnsi="Cambria Math" w:cs="Arial"/>
                                  <w:i w:val="0"/>
                                  <w:szCs w:val="20"/>
                                </w:rPr>
                              </m:ctrlPr>
                            </m:boxPr>
                            <m:e>
                              <m:argPr>
                                <m:argSz m:val="-1"/>
                              </m:argPr>
                              <m:f>
                                <m:fPr>
                                  <m:type m:val="skw"/>
                                  <m:ctrlPr>
                                    <w:rPr>
                                      <w:rFonts w:ascii="Cambria Math" w:hAnsi="Cambria Math" w:cs="Arial"/>
                                      <w:i w:val="0"/>
                                      <w:szCs w:val="20"/>
                                    </w:rPr>
                                  </m:ctrlPr>
                                </m:fPr>
                                <m:num>
                                  <m:r>
                                    <w:rPr>
                                      <w:rFonts w:ascii="Cambria Math" w:hAnsi="Cambria Math" w:cs="Arial"/>
                                      <w:szCs w:val="20"/>
                                    </w:rPr>
                                    <m:t>kBTUh</m:t>
                                  </m:r>
                                </m:num>
                                <m:den>
                                  <m:r>
                                    <w:rPr>
                                      <w:rFonts w:ascii="Cambria Math" w:hAnsi="Cambria Math" w:cs="Arial"/>
                                      <w:szCs w:val="20"/>
                                    </w:rPr>
                                    <m:t>ton</m:t>
                                  </m:r>
                                </m:den>
                              </m:f>
                            </m:e>
                          </m:box>
                        </m:den>
                      </m:f>
                      <m:r>
                        <w:rPr>
                          <w:rFonts w:ascii="Cambria Math" w:hAnsi="Cambria Math" w:cs="Arial"/>
                          <w:szCs w:val="20"/>
                        </w:rPr>
                        <m:t>×TCFM</m:t>
                      </m:r>
                    </m:den>
                  </m:f>
                  <m:r>
                    <w:rPr>
                      <w:rFonts w:ascii="Cambria Math" w:hAnsi="Cambria Math" w:cs="Arial"/>
                      <w:szCs w:val="20"/>
                    </w:rPr>
                    <m:t xml:space="preserve">  ×</m:t>
                  </m:r>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cool</m:t>
                      </m:r>
                    </m:sub>
                  </m:sSub>
                  <m:r>
                    <w:rPr>
                      <w:rFonts w:ascii="Cambria Math" w:hAnsi="Cambria Math" w:cs="Arial"/>
                      <w:szCs w:val="20"/>
                    </w:rPr>
                    <m:t xml:space="preserve"> × </m:t>
                  </m:r>
                  <m:sSub>
                    <m:sSubPr>
                      <m:ctrlPr>
                        <w:rPr>
                          <w:rFonts w:ascii="Cambria Math" w:hAnsi="Cambria Math" w:cs="Arial"/>
                          <w:i w:val="0"/>
                          <w:szCs w:val="20"/>
                        </w:rPr>
                      </m:ctrlPr>
                    </m:sSubPr>
                    <m:e>
                      <m:r>
                        <w:rPr>
                          <w:rFonts w:ascii="Cambria Math" w:hAnsi="Cambria Math" w:cs="Arial"/>
                          <w:szCs w:val="20"/>
                        </w:rPr>
                        <m:t>CAPY</m:t>
                      </m:r>
                    </m:e>
                    <m:sub>
                      <m:r>
                        <w:rPr>
                          <w:rFonts w:ascii="Cambria Math" w:hAnsi="Cambria Math" w:cs="Arial"/>
                          <w:szCs w:val="20"/>
                        </w:rPr>
                        <m:t>cool</m:t>
                      </m:r>
                    </m:sub>
                  </m:sSub>
                  <m:r>
                    <w:rPr>
                      <w:rFonts w:ascii="Cambria Math" w:hAnsi="Cambria Math" w:cs="Arial"/>
                      <w:szCs w:val="20"/>
                    </w:rPr>
                    <m:t xml:space="preserve"> </m:t>
                  </m:r>
                </m:e>
              </m:d>
            </m:num>
            <m:den>
              <m:r>
                <w:rPr>
                  <w:rFonts w:ascii="Cambria Math" w:hAnsi="Cambria Math" w:cs="Arial"/>
                  <w:szCs w:val="20"/>
                </w:rPr>
                <m:t>SEER2</m:t>
              </m:r>
            </m:den>
          </m:f>
        </m:oMath>
      </m:oMathPara>
    </w:p>
    <w:p w14:paraId="6E05C80A" w14:textId="77777777" w:rsidR="007376E1" w:rsidRPr="001570EA" w:rsidRDefault="007376E1" w:rsidP="007376E1">
      <w:pPr>
        <w:pStyle w:val="Equation"/>
        <w:rPr>
          <w:rFonts w:cs="Arial"/>
          <w:szCs w:val="20"/>
        </w:rPr>
      </w:pPr>
    </w:p>
    <w:p w14:paraId="6ED82BCE" w14:textId="77777777" w:rsidR="007376E1" w:rsidRPr="001570EA" w:rsidRDefault="007376E1" w:rsidP="007376E1">
      <w:pPr>
        <w:pStyle w:val="Equation"/>
        <w:ind w:left="0" w:firstLine="0"/>
        <w:rPr>
          <w:rFonts w:ascii="Cambria Math" w:hAnsi="Cambria Math" w:cs="Arial"/>
          <w:szCs w:val="20"/>
        </w:rPr>
      </w:pPr>
      <m:oMathPara>
        <m:oMathParaPr>
          <m:jc m:val="left"/>
        </m:oMathParaPr>
        <m:oMath>
          <m:r>
            <w:rPr>
              <w:rFonts w:ascii="Cambria Math" w:hAnsi="Cambria Math" w:cs="Arial"/>
              <w:szCs w:val="20"/>
            </w:rPr>
            <m:t>∆</m:t>
          </m:r>
          <m:f>
            <m:fPr>
              <m:type m:val="lin"/>
              <m:ctrlPr>
                <w:rPr>
                  <w:rFonts w:ascii="Cambria Math" w:hAnsi="Cambria Math" w:cs="Arial"/>
                  <w:i w:val="0"/>
                  <w:szCs w:val="20"/>
                </w:rPr>
              </m:ctrlPr>
            </m:fPr>
            <m:num>
              <m:r>
                <w:rPr>
                  <w:rFonts w:ascii="Cambria Math" w:hAnsi="Cambria Math" w:cs="Arial"/>
                  <w:szCs w:val="20"/>
                </w:rPr>
                <m:t>kWh</m:t>
              </m:r>
            </m:num>
            <m:den>
              <m:sSub>
                <m:sSubPr>
                  <m:ctrlPr>
                    <w:rPr>
                      <w:rFonts w:ascii="Cambria Math" w:hAnsi="Cambria Math" w:cs="Arial"/>
                      <w:i w:val="0"/>
                      <w:szCs w:val="20"/>
                    </w:rPr>
                  </m:ctrlPr>
                </m:sSubPr>
                <m:e>
                  <m:r>
                    <w:rPr>
                      <w:rFonts w:ascii="Cambria Math" w:hAnsi="Cambria Math" w:cs="Arial"/>
                      <w:szCs w:val="20"/>
                    </w:rPr>
                    <m:t>yr</m:t>
                  </m:r>
                </m:e>
                <m:sub>
                  <m:r>
                    <w:rPr>
                      <w:rFonts w:ascii="Cambria Math" w:hAnsi="Cambria Math" w:cs="Arial"/>
                      <w:szCs w:val="20"/>
                    </w:rPr>
                    <m:t>heating</m:t>
                  </m:r>
                </m:sub>
              </m:sSub>
            </m:den>
          </m:f>
          <m:r>
            <w:rPr>
              <w:rFonts w:ascii="Cambria Math" w:hAnsi="Cambria Math" w:cs="Arial"/>
              <w:szCs w:val="20"/>
            </w:rPr>
            <m:t xml:space="preserve">               = </m:t>
          </m:r>
          <m:f>
            <m:fPr>
              <m:ctrlPr>
                <w:rPr>
                  <w:rFonts w:ascii="Cambria Math" w:hAnsi="Cambria Math" w:cs="Arial"/>
                  <w:i w:val="0"/>
                  <w:szCs w:val="20"/>
                </w:rPr>
              </m:ctrlPr>
            </m:fPr>
            <m:num>
              <m:d>
                <m:dPr>
                  <m:ctrlPr>
                    <w:rPr>
                      <w:rFonts w:ascii="Cambria Math" w:hAnsi="Cambria Math" w:cs="Arial"/>
                      <w:i w:val="0"/>
                      <w:szCs w:val="20"/>
                    </w:rPr>
                  </m:ctrlPr>
                </m:dPr>
                <m:e>
                  <m:f>
                    <m:fPr>
                      <m:ctrlPr>
                        <w:rPr>
                          <w:rFonts w:ascii="Cambria Math" w:hAnsi="Cambria Math" w:cs="Arial"/>
                          <w:i w:val="0"/>
                          <w:szCs w:val="20"/>
                        </w:rPr>
                      </m:ctrlPr>
                    </m:fPr>
                    <m:num>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CFM25</m:t>
                          </m:r>
                        </m:e>
                        <m:sub>
                          <m:r>
                            <w:rPr>
                              <w:rFonts w:ascii="Cambria Math" w:hAnsi="Cambria Math" w:cs="Arial"/>
                              <w:szCs w:val="20"/>
                            </w:rPr>
                            <m:t>25DB</m:t>
                          </m:r>
                        </m:sub>
                      </m:sSub>
                    </m:num>
                    <m:den>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szCs w:val="20"/>
                                </w:rPr>
                                <m:t>CAPY</m:t>
                              </m:r>
                            </m:e>
                            <m:sub>
                              <m:r>
                                <w:rPr>
                                  <w:rFonts w:ascii="Cambria Math" w:hAnsi="Cambria Math" w:cs="Arial"/>
                                  <w:szCs w:val="20"/>
                                </w:rPr>
                                <m:t>heat</m:t>
                              </m:r>
                            </m:sub>
                          </m:sSub>
                          <m:r>
                            <w:rPr>
                              <w:rFonts w:ascii="Cambria Math" w:hAnsi="Cambria Math" w:cs="Arial"/>
                              <w:szCs w:val="20"/>
                            </w:rPr>
                            <m:t xml:space="preserve"> </m:t>
                          </m:r>
                        </m:num>
                        <m:den>
                          <m:r>
                            <w:rPr>
                              <w:rFonts w:ascii="Cambria Math" w:hAnsi="Cambria Math" w:cs="Arial"/>
                              <w:szCs w:val="20"/>
                            </w:rPr>
                            <m:t>12</m:t>
                          </m:r>
                          <m:box>
                            <m:boxPr>
                              <m:ctrlPr>
                                <w:rPr>
                                  <w:rFonts w:ascii="Cambria Math" w:hAnsi="Cambria Math" w:cs="Arial"/>
                                  <w:i w:val="0"/>
                                  <w:szCs w:val="20"/>
                                </w:rPr>
                              </m:ctrlPr>
                            </m:boxPr>
                            <m:e>
                              <m:argPr>
                                <m:argSz m:val="-1"/>
                              </m:argPr>
                              <m:f>
                                <m:fPr>
                                  <m:type m:val="skw"/>
                                  <m:ctrlPr>
                                    <w:rPr>
                                      <w:rFonts w:ascii="Cambria Math" w:hAnsi="Cambria Math" w:cs="Arial"/>
                                      <w:i w:val="0"/>
                                      <w:szCs w:val="20"/>
                                    </w:rPr>
                                  </m:ctrlPr>
                                </m:fPr>
                                <m:num>
                                  <m:r>
                                    <w:rPr>
                                      <w:rFonts w:ascii="Cambria Math" w:hAnsi="Cambria Math" w:cs="Arial"/>
                                      <w:szCs w:val="20"/>
                                    </w:rPr>
                                    <m:t>kBTUh</m:t>
                                  </m:r>
                                </m:num>
                                <m:den>
                                  <m:r>
                                    <w:rPr>
                                      <w:rFonts w:ascii="Cambria Math" w:hAnsi="Cambria Math" w:cs="Arial"/>
                                      <w:szCs w:val="20"/>
                                    </w:rPr>
                                    <m:t>ton</m:t>
                                  </m:r>
                                </m:den>
                              </m:f>
                            </m:e>
                          </m:box>
                        </m:den>
                      </m:f>
                      <m:r>
                        <w:rPr>
                          <w:rFonts w:ascii="Cambria Math" w:hAnsi="Cambria Math" w:cs="Arial"/>
                          <w:szCs w:val="20"/>
                        </w:rPr>
                        <m:t>×TCFM</m:t>
                      </m:r>
                    </m:den>
                  </m:f>
                  <m:r>
                    <w:rPr>
                      <w:rFonts w:ascii="Cambria Math" w:hAnsi="Cambria Math" w:cs="Arial"/>
                      <w:szCs w:val="20"/>
                    </w:rPr>
                    <m:t xml:space="preserve">  ×</m:t>
                  </m:r>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heat</m:t>
                      </m:r>
                    </m:sub>
                  </m:sSub>
                  <m:r>
                    <w:rPr>
                      <w:rFonts w:ascii="Cambria Math" w:hAnsi="Cambria Math" w:cs="Arial"/>
                      <w:szCs w:val="20"/>
                    </w:rPr>
                    <m:t xml:space="preserve"> × </m:t>
                  </m:r>
                  <m:sSub>
                    <m:sSubPr>
                      <m:ctrlPr>
                        <w:rPr>
                          <w:rFonts w:ascii="Cambria Math" w:hAnsi="Cambria Math" w:cs="Arial"/>
                          <w:i w:val="0"/>
                          <w:szCs w:val="20"/>
                        </w:rPr>
                      </m:ctrlPr>
                    </m:sSubPr>
                    <m:e>
                      <m:r>
                        <w:rPr>
                          <w:rFonts w:ascii="Cambria Math" w:hAnsi="Cambria Math" w:cs="Arial"/>
                          <w:szCs w:val="20"/>
                        </w:rPr>
                        <m:t>CAPY</m:t>
                      </m:r>
                    </m:e>
                    <m:sub>
                      <m:r>
                        <w:rPr>
                          <w:rFonts w:ascii="Cambria Math" w:hAnsi="Cambria Math" w:cs="Arial"/>
                          <w:szCs w:val="20"/>
                        </w:rPr>
                        <m:t>heat</m:t>
                      </m:r>
                    </m:sub>
                  </m:sSub>
                  <m:r>
                    <w:rPr>
                      <w:rFonts w:ascii="Cambria Math" w:hAnsi="Cambria Math" w:cs="Arial"/>
                      <w:szCs w:val="20"/>
                    </w:rPr>
                    <m:t xml:space="preserve"> </m:t>
                  </m:r>
                </m:e>
              </m:d>
            </m:num>
            <m:den>
              <m:r>
                <w:rPr>
                  <w:rFonts w:ascii="Cambria Math" w:hAnsi="Cambria Math" w:cs="Arial"/>
                  <w:szCs w:val="20"/>
                </w:rPr>
                <m:t>HSPF2</m:t>
              </m:r>
            </m:den>
          </m:f>
        </m:oMath>
      </m:oMathPara>
    </w:p>
    <w:p w14:paraId="7615678F" w14:textId="77777777" w:rsidR="007376E1" w:rsidRPr="001570EA" w:rsidRDefault="007376E1" w:rsidP="007376E1"/>
    <w:p w14:paraId="2E32BE2E" w14:textId="77777777" w:rsidR="007376E1" w:rsidRPr="001570EA" w:rsidRDefault="007376E1" w:rsidP="007376E1">
      <w:pPr>
        <w:spacing w:after="120"/>
        <w:rPr>
          <w:b/>
        </w:rPr>
      </w:pPr>
      <w:r w:rsidRPr="001570EA">
        <w:rPr>
          <w:b/>
        </w:rPr>
        <w:t>Summer Coincident Peak Demand Savings</w:t>
      </w:r>
    </w:p>
    <w:p w14:paraId="6BB6AD78" w14:textId="77777777" w:rsidR="007376E1" w:rsidRPr="001570EA" w:rsidRDefault="007376E1" w:rsidP="007376E1">
      <w:pPr>
        <w:pStyle w:val="Equation"/>
        <w:spacing w:after="120"/>
        <w:ind w:left="0" w:firstLine="0"/>
        <w:rPr>
          <w:rFonts w:eastAsia="Times New Roman"/>
          <w:i w:val="0"/>
          <w:szCs w:val="20"/>
        </w:rPr>
      </w:pPr>
      <m:oMathPara>
        <m:oMath>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kW</m:t>
              </m:r>
            </m:e>
            <m:sub>
              <m:r>
                <w:rPr>
                  <w:rFonts w:ascii="Cambria Math" w:hAnsi="Cambria Math" w:cs="Arial"/>
                  <w:szCs w:val="20"/>
                </w:rPr>
                <m:t>summer peak</m:t>
              </m:r>
            </m:sub>
          </m:sSub>
          <m:r>
            <w:rPr>
              <w:rFonts w:ascii="Cambria Math" w:hAnsi="Cambria Math" w:cs="Arial"/>
              <w:szCs w:val="20"/>
            </w:rPr>
            <m:t xml:space="preserve">                               = </m:t>
          </m:r>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szCs w:val="20"/>
                    </w:rPr>
                    <m:t>ΔkWh</m:t>
                  </m:r>
                </m:e>
                <m:sub>
                  <m:r>
                    <w:rPr>
                      <w:rFonts w:ascii="Cambria Math" w:hAnsi="Cambria Math" w:cs="Arial"/>
                      <w:szCs w:val="20"/>
                    </w:rPr>
                    <m:t>cooling</m:t>
                  </m:r>
                </m:sub>
              </m:sSub>
            </m:num>
            <m:den>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cool</m:t>
                  </m:r>
                </m:sub>
              </m:sSub>
              <m:r>
                <w:rPr>
                  <w:rFonts w:ascii="Cambria Math" w:hAnsi="Cambria Math" w:cs="Arial"/>
                  <w:szCs w:val="20"/>
                </w:rPr>
                <m:t xml:space="preserve"> </m:t>
              </m:r>
            </m:den>
          </m:f>
          <m:r>
            <w:rPr>
              <w:rFonts w:ascii="Cambria Math" w:hAnsi="Cambria Math" w:cs="Arial"/>
              <w:szCs w:val="20"/>
            </w:rPr>
            <m:t xml:space="preserve"> × </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m:oMathPara>
    </w:p>
    <w:p w14:paraId="5A29CEBA" w14:textId="77777777" w:rsidR="007376E1" w:rsidRPr="001570EA" w:rsidRDefault="007376E1" w:rsidP="007376E1">
      <w:pPr>
        <w:pStyle w:val="Equation"/>
        <w:spacing w:after="120"/>
        <w:ind w:left="0" w:firstLine="0"/>
        <w:rPr>
          <w:rFonts w:cs="Arial"/>
          <w:szCs w:val="20"/>
        </w:rPr>
      </w:pPr>
      <m:oMathPara>
        <m:oMathParaPr>
          <m:jc m:val="left"/>
        </m:oMathParaPr>
        <m:oMath>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kW</m:t>
              </m:r>
            </m:e>
            <m:sub>
              <m:r>
                <w:rPr>
                  <w:rFonts w:ascii="Cambria Math" w:hAnsi="Cambria Math" w:cs="Arial"/>
                  <w:szCs w:val="20"/>
                </w:rPr>
                <m:t>winter peak</m:t>
              </m:r>
            </m:sub>
          </m:sSub>
          <m:r>
            <w:rPr>
              <w:rFonts w:ascii="Cambria Math" w:hAnsi="Cambria Math" w:cs="Arial"/>
              <w:szCs w:val="20"/>
            </w:rPr>
            <m:t xml:space="preserve">                               = </m:t>
          </m:r>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szCs w:val="20"/>
                    </w:rPr>
                    <m:t>ΔkWh</m:t>
                  </m:r>
                </m:e>
                <m:sub>
                  <m:r>
                    <w:rPr>
                      <w:rFonts w:ascii="Cambria Math" w:hAnsi="Cambria Math" w:cs="Arial"/>
                      <w:szCs w:val="20"/>
                    </w:rPr>
                    <m:t>heating</m:t>
                  </m:r>
                </m:sub>
              </m:sSub>
            </m:num>
            <m:den>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heat</m:t>
                  </m:r>
                </m:sub>
              </m:sSub>
              <m:r>
                <w:rPr>
                  <w:rFonts w:ascii="Cambria Math" w:hAnsi="Cambria Math" w:cs="Arial"/>
                  <w:szCs w:val="20"/>
                </w:rPr>
                <m:t xml:space="preserve"> </m:t>
              </m:r>
            </m:den>
          </m:f>
          <m:r>
            <w:rPr>
              <w:rFonts w:ascii="Cambria Math" w:hAnsi="Cambria Math" w:cs="Arial"/>
              <w:szCs w:val="20"/>
            </w:rPr>
            <m:t xml:space="preserve"> ×</m:t>
          </m:r>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m:oMathPara>
    </w:p>
    <w:p w14:paraId="10EC9269" w14:textId="77777777" w:rsidR="007376E1" w:rsidRPr="001570EA" w:rsidRDefault="007376E1" w:rsidP="007376E1">
      <w:pPr>
        <w:pStyle w:val="Equation"/>
        <w:spacing w:after="120"/>
        <w:ind w:left="0" w:firstLine="0"/>
        <w:rPr>
          <w:rFonts w:cs="Arial"/>
          <w:szCs w:val="20"/>
        </w:rPr>
      </w:pPr>
    </w:p>
    <w:p w14:paraId="5EB97BA4" w14:textId="77777777" w:rsidR="007376E1" w:rsidRPr="001570EA" w:rsidRDefault="007376E1" w:rsidP="007376E1">
      <w:pPr>
        <w:pStyle w:val="SubStyle"/>
      </w:pPr>
      <w:r w:rsidRPr="001570EA">
        <w:t>Definition of Terms</w:t>
      </w:r>
      <w:r w:rsidRPr="001570EA">
        <w:tab/>
      </w:r>
    </w:p>
    <w:p w14:paraId="0CC936F2" w14:textId="771084A5" w:rsidR="007376E1" w:rsidRPr="001570EA" w:rsidRDefault="007376E1" w:rsidP="007376E1">
      <w:pPr>
        <w:pStyle w:val="Caption"/>
      </w:pPr>
      <w:bookmarkStart w:id="280" w:name="_Toc373320251"/>
      <w:bookmarkStart w:id="281" w:name="_Toc364420959"/>
      <w:bookmarkStart w:id="282" w:name="_Toc364760729"/>
      <w:bookmarkStart w:id="283" w:name="_Toc377465547"/>
      <w:bookmarkStart w:id="284" w:name="_Toc47598275"/>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39</w:t>
      </w:r>
      <w:r w:rsidR="002E093A" w:rsidRPr="001570EA">
        <w:fldChar w:fldCharType="end"/>
      </w:r>
      <w:r w:rsidRPr="001570EA">
        <w:t xml:space="preserve">: </w:t>
      </w:r>
      <w:r w:rsidRPr="001570EA">
        <w:rPr>
          <w:rFonts w:cs="Arial"/>
        </w:rPr>
        <w:t>Terms, Values, and References for</w:t>
      </w:r>
      <w:r w:rsidRPr="001570EA">
        <w:t xml:space="preserve"> Duct Sealing</w:t>
      </w:r>
      <w:bookmarkEnd w:id="280"/>
      <w:bookmarkEnd w:id="281"/>
      <w:bookmarkEnd w:id="282"/>
      <w:bookmarkEnd w:id="283"/>
      <w:bookmarkEnd w:id="284"/>
    </w:p>
    <w:tbl>
      <w:tblPr>
        <w:tblW w:w="48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7"/>
        <w:gridCol w:w="1140"/>
        <w:gridCol w:w="2231"/>
        <w:gridCol w:w="1451"/>
      </w:tblGrid>
      <w:tr w:rsidR="007376E1" w:rsidRPr="001570EA" w14:paraId="7D8C5CF1" w14:textId="77777777">
        <w:trPr>
          <w:tblHeader/>
        </w:trPr>
        <w:tc>
          <w:tcPr>
            <w:tcW w:w="2136" w:type="pct"/>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14:paraId="1E4D98C4" w14:textId="77777777" w:rsidR="007376E1" w:rsidRPr="001570EA" w:rsidRDefault="007376E1">
            <w:pPr>
              <w:pStyle w:val="TableCell"/>
              <w:keepNext w:val="0"/>
              <w:spacing w:before="60" w:after="60"/>
              <w:jc w:val="left"/>
              <w:rPr>
                <w:rFonts w:cs="Arial"/>
                <w:b/>
                <w:szCs w:val="18"/>
              </w:rPr>
            </w:pPr>
            <w:r w:rsidRPr="001570EA">
              <w:rPr>
                <w:rFonts w:cs="Arial"/>
                <w:b/>
                <w:szCs w:val="18"/>
              </w:rPr>
              <w:t>Term</w:t>
            </w:r>
          </w:p>
        </w:tc>
        <w:tc>
          <w:tcPr>
            <w:tcW w:w="677" w:type="pct"/>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14:paraId="21EA492F" w14:textId="77777777" w:rsidR="007376E1" w:rsidRPr="001570EA" w:rsidRDefault="007376E1">
            <w:pPr>
              <w:pStyle w:val="TableCell"/>
              <w:keepNext w:val="0"/>
              <w:spacing w:before="60" w:after="60"/>
              <w:jc w:val="center"/>
              <w:rPr>
                <w:rFonts w:cs="Arial"/>
                <w:b/>
                <w:szCs w:val="18"/>
              </w:rPr>
            </w:pPr>
            <w:r w:rsidRPr="001570EA">
              <w:rPr>
                <w:rFonts w:cs="Arial"/>
                <w:b/>
                <w:szCs w:val="18"/>
              </w:rPr>
              <w:t>Unit</w:t>
            </w:r>
          </w:p>
        </w:tc>
        <w:tc>
          <w:tcPr>
            <w:tcW w:w="1325" w:type="pct"/>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14:paraId="34064978" w14:textId="77777777" w:rsidR="007376E1" w:rsidRPr="001570EA" w:rsidRDefault="007376E1">
            <w:pPr>
              <w:pStyle w:val="TableCell"/>
              <w:keepNext w:val="0"/>
              <w:spacing w:before="60" w:after="60"/>
              <w:jc w:val="center"/>
              <w:rPr>
                <w:rFonts w:cs="Arial"/>
                <w:b/>
                <w:szCs w:val="18"/>
              </w:rPr>
            </w:pPr>
            <w:r w:rsidRPr="001570EA">
              <w:rPr>
                <w:rFonts w:cs="Arial"/>
                <w:b/>
                <w:szCs w:val="18"/>
              </w:rPr>
              <w:t>Value</w:t>
            </w:r>
          </w:p>
        </w:tc>
        <w:tc>
          <w:tcPr>
            <w:tcW w:w="862" w:type="pct"/>
            <w:tcBorders>
              <w:top w:val="single"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14:paraId="703D5FAD" w14:textId="77777777" w:rsidR="007376E1" w:rsidRPr="001570EA" w:rsidRDefault="007376E1">
            <w:pPr>
              <w:pStyle w:val="TableCell"/>
              <w:keepNext w:val="0"/>
              <w:spacing w:before="60" w:after="60"/>
              <w:jc w:val="center"/>
              <w:rPr>
                <w:rFonts w:cs="Arial"/>
                <w:b/>
                <w:szCs w:val="18"/>
              </w:rPr>
            </w:pPr>
            <w:r w:rsidRPr="001570EA">
              <w:rPr>
                <w:rFonts w:cs="Arial"/>
                <w:b/>
                <w:szCs w:val="18"/>
              </w:rPr>
              <w:t>Source</w:t>
            </w:r>
          </w:p>
        </w:tc>
      </w:tr>
      <w:tr w:rsidR="007376E1" w:rsidRPr="001570EA" w14:paraId="15EEE81A" w14:textId="77777777">
        <w:tc>
          <w:tcPr>
            <w:tcW w:w="2136" w:type="pct"/>
            <w:shd w:val="clear" w:color="auto" w:fill="auto"/>
            <w:vAlign w:val="center"/>
          </w:tcPr>
          <w:p w14:paraId="0CD67560" w14:textId="1E9F620F" w:rsidR="007376E1" w:rsidRPr="001570EA" w:rsidRDefault="003B5E04">
            <w:pPr>
              <w:pStyle w:val="TableCell"/>
              <w:keepNext w:val="0"/>
              <w:spacing w:before="60" w:after="60"/>
              <w:jc w:val="left"/>
              <w:rPr>
                <w:rFonts w:cs="Arial"/>
                <w:szCs w:val="18"/>
                <w:vertAlign w:val="subscript"/>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r w:rsidR="007376E1" w:rsidRPr="001570EA">
              <w:rPr>
                <w:szCs w:val="18"/>
              </w:rPr>
              <w:t>, Demand Coincidence Factor during the summer months</w:t>
            </w:r>
          </w:p>
        </w:tc>
        <w:tc>
          <w:tcPr>
            <w:tcW w:w="677" w:type="pct"/>
            <w:shd w:val="clear" w:color="auto" w:fill="auto"/>
            <w:vAlign w:val="center"/>
          </w:tcPr>
          <w:p w14:paraId="1A61A60A" w14:textId="77777777" w:rsidR="007376E1" w:rsidRPr="001570EA" w:rsidRDefault="007376E1">
            <w:pPr>
              <w:pStyle w:val="TableCell"/>
              <w:keepNext w:val="0"/>
              <w:spacing w:before="60" w:after="60"/>
              <w:jc w:val="center"/>
              <w:rPr>
                <w:rFonts w:cs="Arial"/>
                <w:i/>
                <w:szCs w:val="18"/>
              </w:rPr>
            </w:pPr>
            <w:r w:rsidRPr="001570EA">
              <w:rPr>
                <w:i/>
                <w:iCs/>
                <w:szCs w:val="18"/>
              </w:rPr>
              <w:t>Proportion</w:t>
            </w:r>
          </w:p>
        </w:tc>
        <w:tc>
          <w:tcPr>
            <w:tcW w:w="1325" w:type="pct"/>
            <w:shd w:val="clear" w:color="auto" w:fill="auto"/>
            <w:vAlign w:val="center"/>
          </w:tcPr>
          <w:p w14:paraId="2F2B9005" w14:textId="77777777" w:rsidR="007376E1" w:rsidRPr="001570EA" w:rsidRDefault="007376E1">
            <w:pPr>
              <w:pStyle w:val="TableCell"/>
              <w:keepNext w:val="0"/>
              <w:spacing w:before="60" w:after="60"/>
              <w:jc w:val="center"/>
              <w:rPr>
                <w:rFonts w:cs="Arial"/>
                <w:szCs w:val="18"/>
              </w:rPr>
            </w:pPr>
            <w:r w:rsidRPr="001570EA">
              <w:rPr>
                <w:szCs w:val="18"/>
              </w:rPr>
              <w:t xml:space="preserve">See </w:t>
            </w:r>
            <w:r w:rsidRPr="001570EA">
              <w:rPr>
                <w:i/>
                <w:szCs w:val="18"/>
              </w:rPr>
              <w:t>CF</w:t>
            </w:r>
            <w:r w:rsidRPr="001570EA">
              <w:rPr>
                <w:szCs w:val="18"/>
              </w:rPr>
              <w:t xml:space="preserve"> in Vol. 1, App. A</w:t>
            </w:r>
          </w:p>
        </w:tc>
        <w:tc>
          <w:tcPr>
            <w:tcW w:w="862" w:type="pct"/>
            <w:shd w:val="clear" w:color="auto" w:fill="auto"/>
            <w:vAlign w:val="center"/>
          </w:tcPr>
          <w:p w14:paraId="3540E71C" w14:textId="77777777" w:rsidR="007376E1" w:rsidRPr="001570EA" w:rsidRDefault="007376E1">
            <w:pPr>
              <w:pStyle w:val="TableCell"/>
              <w:keepNext w:val="0"/>
              <w:spacing w:before="60" w:after="60"/>
              <w:jc w:val="center"/>
              <w:rPr>
                <w:rFonts w:cs="Arial"/>
                <w:szCs w:val="18"/>
              </w:rPr>
            </w:pPr>
            <w:r w:rsidRPr="001570EA">
              <w:rPr>
                <w:szCs w:val="18"/>
              </w:rPr>
              <w:t>4</w:t>
            </w:r>
          </w:p>
        </w:tc>
      </w:tr>
      <w:tr w:rsidR="007376E1" w:rsidRPr="001570EA" w14:paraId="0888D467" w14:textId="77777777">
        <w:tc>
          <w:tcPr>
            <w:tcW w:w="2136" w:type="pct"/>
            <w:shd w:val="clear" w:color="auto" w:fill="auto"/>
            <w:vAlign w:val="center"/>
          </w:tcPr>
          <w:p w14:paraId="094AF980" w14:textId="6381AEB7" w:rsidR="007376E1" w:rsidRPr="001570EA" w:rsidRDefault="003B5E04">
            <w:pPr>
              <w:pStyle w:val="TableCell"/>
              <w:keepNext w:val="0"/>
              <w:spacing w:before="60" w:after="60"/>
              <w:jc w:val="left"/>
              <w:rPr>
                <w:rFonts w:cs="Arial"/>
                <w:i/>
                <w:szCs w:val="18"/>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w:r w:rsidR="007376E1" w:rsidRPr="001570EA">
              <w:rPr>
                <w:szCs w:val="18"/>
              </w:rPr>
              <w:t>, Demand Coincidence Factor during the winter months</w:t>
            </w:r>
          </w:p>
        </w:tc>
        <w:tc>
          <w:tcPr>
            <w:tcW w:w="677" w:type="pct"/>
            <w:shd w:val="clear" w:color="auto" w:fill="auto"/>
            <w:vAlign w:val="center"/>
          </w:tcPr>
          <w:p w14:paraId="1C5264FD" w14:textId="77777777" w:rsidR="007376E1" w:rsidRPr="001570EA" w:rsidRDefault="007376E1">
            <w:pPr>
              <w:pStyle w:val="TableCell"/>
              <w:keepNext w:val="0"/>
              <w:spacing w:before="60" w:after="60"/>
              <w:jc w:val="center"/>
              <w:rPr>
                <w:i/>
              </w:rPr>
            </w:pPr>
            <w:r w:rsidRPr="001570EA">
              <w:rPr>
                <w:i/>
                <w:iCs/>
                <w:szCs w:val="18"/>
              </w:rPr>
              <w:t>Proportion</w:t>
            </w:r>
          </w:p>
        </w:tc>
        <w:tc>
          <w:tcPr>
            <w:tcW w:w="1325" w:type="pct"/>
            <w:shd w:val="clear" w:color="auto" w:fill="auto"/>
            <w:vAlign w:val="center"/>
          </w:tcPr>
          <w:p w14:paraId="1FF90E4F" w14:textId="77777777" w:rsidR="007376E1" w:rsidRPr="001570EA" w:rsidRDefault="007376E1">
            <w:pPr>
              <w:pStyle w:val="TableCell"/>
              <w:keepNext w:val="0"/>
              <w:spacing w:before="60" w:after="60"/>
              <w:jc w:val="center"/>
            </w:pPr>
            <w:r w:rsidRPr="001570EA">
              <w:rPr>
                <w:szCs w:val="18"/>
              </w:rPr>
              <w:t xml:space="preserve">See </w:t>
            </w:r>
            <w:r w:rsidRPr="001570EA">
              <w:rPr>
                <w:i/>
                <w:szCs w:val="18"/>
              </w:rPr>
              <w:t>CF</w:t>
            </w:r>
            <w:r w:rsidRPr="001570EA">
              <w:rPr>
                <w:szCs w:val="18"/>
              </w:rPr>
              <w:t xml:space="preserve"> in Vol. 1, App. A</w:t>
            </w:r>
          </w:p>
        </w:tc>
        <w:tc>
          <w:tcPr>
            <w:tcW w:w="862" w:type="pct"/>
            <w:shd w:val="clear" w:color="auto" w:fill="auto"/>
            <w:vAlign w:val="center"/>
          </w:tcPr>
          <w:p w14:paraId="30A6C2B8" w14:textId="77777777" w:rsidR="007376E1" w:rsidRPr="001570EA" w:rsidRDefault="007376E1">
            <w:pPr>
              <w:pStyle w:val="TableCell"/>
              <w:keepNext w:val="0"/>
              <w:spacing w:before="60" w:after="60"/>
              <w:jc w:val="center"/>
              <w:rPr>
                <w:rFonts w:cs="Arial"/>
                <w:szCs w:val="18"/>
              </w:rPr>
            </w:pPr>
            <w:r w:rsidRPr="001570EA">
              <w:rPr>
                <w:szCs w:val="18"/>
              </w:rPr>
              <w:t>4</w:t>
            </w:r>
          </w:p>
        </w:tc>
      </w:tr>
      <w:tr w:rsidR="007376E1" w:rsidRPr="001570EA" w14:paraId="05FC43D9" w14:textId="77777777">
        <w:tc>
          <w:tcPr>
            <w:tcW w:w="2136" w:type="pct"/>
            <w:tcBorders>
              <w:top w:val="single" w:sz="4" w:space="0" w:color="auto"/>
              <w:left w:val="single" w:sz="4" w:space="0" w:color="auto"/>
              <w:bottom w:val="single" w:sz="4" w:space="0" w:color="auto"/>
              <w:right w:val="single" w:sz="4" w:space="0" w:color="auto"/>
            </w:tcBorders>
            <w:shd w:val="clear" w:color="auto" w:fill="auto"/>
          </w:tcPr>
          <w:p w14:paraId="044938CE" w14:textId="01189773" w:rsidR="007376E1" w:rsidRPr="001570EA" w:rsidRDefault="007376E1">
            <w:pPr>
              <w:pStyle w:val="TableCell"/>
              <w:keepNext w:val="0"/>
              <w:spacing w:before="60" w:after="60"/>
              <w:jc w:val="left"/>
              <w:rPr>
                <w:rFonts w:cs="Arial"/>
                <w:szCs w:val="18"/>
              </w:rPr>
            </w:pPr>
            <w:r w:rsidRPr="001570EA">
              <w:rPr>
                <w:rFonts w:cs="Arial"/>
                <w:i/>
                <w:szCs w:val="18"/>
              </w:rPr>
              <w:t>CFM</w:t>
            </w:r>
            <w:r w:rsidRPr="001570EA">
              <w:rPr>
                <w:rFonts w:cs="Arial"/>
                <w:i/>
                <w:szCs w:val="18"/>
                <w:vertAlign w:val="subscript"/>
              </w:rPr>
              <w:t>25BASE</w:t>
            </w:r>
            <w:r w:rsidRPr="001570EA">
              <w:rPr>
                <w:rFonts w:cs="Arial"/>
                <w:szCs w:val="18"/>
              </w:rPr>
              <w:t>, Standard Duct Leakage test result at 25 Pascal pressure differential of the duct system prior to sealing, calculated from the duct blaster fan flow chart</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814F1F5" w14:textId="77777777" w:rsidR="007376E1" w:rsidRPr="001570EA" w:rsidRDefault="003B5E04">
            <w:pPr>
              <w:pStyle w:val="TableCell"/>
              <w:keepNext w:val="0"/>
              <w:spacing w:before="60" w:after="60"/>
              <w:jc w:val="center"/>
              <w:rPr>
                <w:rFonts w:ascii="Cambria Math" w:hAnsi="Cambria Math" w:cs="Arial"/>
                <w:szCs w:val="18"/>
                <w:oMath/>
              </w:rPr>
            </w:pPr>
            <m:oMathPara>
              <m:oMath>
                <m:f>
                  <m:fPr>
                    <m:ctrlPr>
                      <w:rPr>
                        <w:rFonts w:ascii="Cambria Math" w:hAnsi="Cambria Math" w:cs="Arial"/>
                        <w:i/>
                        <w:szCs w:val="18"/>
                      </w:rPr>
                    </m:ctrlPr>
                  </m:fPr>
                  <m:num>
                    <m:sSup>
                      <m:sSupPr>
                        <m:ctrlPr>
                          <w:rPr>
                            <w:rFonts w:ascii="Cambria Math" w:hAnsi="Cambria Math" w:cs="Arial"/>
                            <w:i/>
                            <w:szCs w:val="18"/>
                          </w:rPr>
                        </m:ctrlPr>
                      </m:sSupPr>
                      <m:e>
                        <m:r>
                          <w:rPr>
                            <w:rFonts w:ascii="Cambria Math" w:hAnsi="Cambria Math" w:cs="Arial"/>
                            <w:szCs w:val="18"/>
                          </w:rPr>
                          <m:t>ft</m:t>
                        </m:r>
                      </m:e>
                      <m:sup>
                        <m:r>
                          <w:rPr>
                            <w:rFonts w:ascii="Cambria Math" w:hAnsi="Cambria Math" w:cs="Arial"/>
                            <w:szCs w:val="18"/>
                          </w:rPr>
                          <m:t>3</m:t>
                        </m:r>
                      </m:sup>
                    </m:sSup>
                  </m:num>
                  <m:den>
                    <m:r>
                      <w:rPr>
                        <w:rFonts w:ascii="Cambria Math" w:hAnsi="Cambria Math" w:cs="Arial"/>
                        <w:szCs w:val="18"/>
                      </w:rPr>
                      <m:t>min</m:t>
                    </m:r>
                  </m:den>
                </m:f>
              </m:oMath>
            </m:oMathPara>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2693038C" w14:textId="77777777" w:rsidR="007376E1" w:rsidRPr="001570EA" w:rsidRDefault="007376E1">
            <w:pPr>
              <w:pStyle w:val="TableCell"/>
              <w:keepNext w:val="0"/>
              <w:spacing w:before="60" w:after="60"/>
              <w:jc w:val="center"/>
              <w:rPr>
                <w:rFonts w:cs="Arial"/>
                <w:szCs w:val="18"/>
              </w:rPr>
            </w:pPr>
            <w:r w:rsidRPr="001570EA">
              <w:rPr>
                <w:rFonts w:cs="Arial"/>
                <w:szCs w:val="18"/>
              </w:rPr>
              <w:t>EDC Data Gathering</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70FBC688" w14:textId="77777777" w:rsidR="007376E1" w:rsidRPr="001570EA" w:rsidRDefault="007376E1">
            <w:pPr>
              <w:pStyle w:val="TableCell"/>
              <w:keepNext w:val="0"/>
              <w:spacing w:before="60" w:after="60"/>
              <w:jc w:val="center"/>
              <w:rPr>
                <w:rFonts w:cs="Arial"/>
                <w:szCs w:val="18"/>
              </w:rPr>
            </w:pPr>
            <w:r w:rsidRPr="001570EA">
              <w:rPr>
                <w:rFonts w:cs="Arial"/>
                <w:szCs w:val="18"/>
              </w:rPr>
              <w:t>3</w:t>
            </w:r>
          </w:p>
        </w:tc>
      </w:tr>
      <w:tr w:rsidR="007376E1" w:rsidRPr="001570EA" w14:paraId="10FADEDB" w14:textId="77777777">
        <w:tc>
          <w:tcPr>
            <w:tcW w:w="2136" w:type="pct"/>
            <w:tcBorders>
              <w:top w:val="single" w:sz="4" w:space="0" w:color="auto"/>
              <w:left w:val="single" w:sz="4" w:space="0" w:color="auto"/>
              <w:bottom w:val="single" w:sz="4" w:space="0" w:color="auto"/>
              <w:right w:val="single" w:sz="4" w:space="0" w:color="auto"/>
            </w:tcBorders>
            <w:shd w:val="clear" w:color="auto" w:fill="auto"/>
          </w:tcPr>
          <w:p w14:paraId="39C399CC" w14:textId="2776B8A6" w:rsidR="007376E1" w:rsidRPr="001570EA" w:rsidRDefault="007376E1">
            <w:pPr>
              <w:pStyle w:val="TableCell"/>
              <w:keepNext w:val="0"/>
              <w:spacing w:before="60" w:after="60"/>
              <w:jc w:val="left"/>
              <w:rPr>
                <w:rFonts w:cs="Arial"/>
                <w:szCs w:val="18"/>
              </w:rPr>
            </w:pPr>
            <w:r w:rsidRPr="001570EA">
              <w:rPr>
                <w:rFonts w:cs="Arial"/>
                <w:i/>
                <w:szCs w:val="18"/>
              </w:rPr>
              <w:t>CFM</w:t>
            </w:r>
            <w:r w:rsidRPr="001570EA">
              <w:rPr>
                <w:rFonts w:cs="Arial"/>
                <w:i/>
                <w:szCs w:val="18"/>
                <w:vertAlign w:val="subscript"/>
              </w:rPr>
              <w:t>25DB</w:t>
            </w:r>
            <w:r w:rsidRPr="001570EA">
              <w:rPr>
                <w:rFonts w:cs="Arial"/>
                <w:szCs w:val="18"/>
              </w:rPr>
              <w:t>, Cubic feet per minute of air leaving the duct system at 25 Pascals</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1FF00945" w14:textId="77777777" w:rsidR="007376E1" w:rsidRPr="001570EA" w:rsidRDefault="003B5E04">
            <w:pPr>
              <w:pStyle w:val="TableCell"/>
              <w:keepNext w:val="0"/>
              <w:spacing w:before="60" w:after="60"/>
              <w:jc w:val="center"/>
              <w:rPr>
                <w:rFonts w:ascii="Cambria Math" w:hAnsi="Cambria Math" w:cs="Arial"/>
                <w:szCs w:val="18"/>
                <w:oMath/>
              </w:rPr>
            </w:pPr>
            <m:oMathPara>
              <m:oMath>
                <m:f>
                  <m:fPr>
                    <m:ctrlPr>
                      <w:rPr>
                        <w:rFonts w:ascii="Cambria Math" w:hAnsi="Cambria Math" w:cs="Arial"/>
                        <w:i/>
                        <w:szCs w:val="18"/>
                      </w:rPr>
                    </m:ctrlPr>
                  </m:fPr>
                  <m:num>
                    <m:sSup>
                      <m:sSupPr>
                        <m:ctrlPr>
                          <w:rPr>
                            <w:rFonts w:ascii="Cambria Math" w:hAnsi="Cambria Math" w:cs="Arial"/>
                            <w:i/>
                            <w:szCs w:val="18"/>
                          </w:rPr>
                        </m:ctrlPr>
                      </m:sSupPr>
                      <m:e>
                        <m:r>
                          <w:rPr>
                            <w:rFonts w:ascii="Cambria Math" w:hAnsi="Cambria Math" w:cs="Arial"/>
                            <w:szCs w:val="18"/>
                          </w:rPr>
                          <m:t>ft</m:t>
                        </m:r>
                      </m:e>
                      <m:sup>
                        <m:r>
                          <w:rPr>
                            <w:rFonts w:ascii="Cambria Math" w:hAnsi="Cambria Math" w:cs="Arial"/>
                            <w:szCs w:val="18"/>
                          </w:rPr>
                          <m:t>3</m:t>
                        </m:r>
                      </m:sup>
                    </m:sSup>
                  </m:num>
                  <m:den>
                    <m:r>
                      <w:rPr>
                        <w:rFonts w:ascii="Cambria Math" w:hAnsi="Cambria Math" w:cs="Arial"/>
                        <w:szCs w:val="18"/>
                      </w:rPr>
                      <m:t>min</m:t>
                    </m:r>
                  </m:den>
                </m:f>
              </m:oMath>
            </m:oMathPara>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56A04D98" w14:textId="77777777" w:rsidR="007376E1" w:rsidRPr="001570EA" w:rsidRDefault="007376E1">
            <w:pPr>
              <w:pStyle w:val="TableCell"/>
              <w:keepNext w:val="0"/>
              <w:spacing w:before="60" w:after="60"/>
              <w:jc w:val="center"/>
              <w:rPr>
                <w:rFonts w:cs="Arial"/>
                <w:szCs w:val="18"/>
              </w:rPr>
            </w:pPr>
            <w:r w:rsidRPr="001570EA">
              <w:rPr>
                <w:rFonts w:cs="Arial"/>
                <w:szCs w:val="18"/>
              </w:rPr>
              <w:t>EDC Data Gathering</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5ECD9C87" w14:textId="77777777" w:rsidR="007376E1" w:rsidRPr="001570EA" w:rsidRDefault="007376E1">
            <w:pPr>
              <w:pStyle w:val="TableCell"/>
              <w:keepNext w:val="0"/>
              <w:spacing w:before="60" w:after="60"/>
              <w:jc w:val="center"/>
              <w:rPr>
                <w:rFonts w:cs="Arial"/>
                <w:szCs w:val="18"/>
              </w:rPr>
            </w:pPr>
            <w:r w:rsidRPr="001570EA">
              <w:rPr>
                <w:rFonts w:cs="Arial"/>
                <w:szCs w:val="18"/>
              </w:rPr>
              <w:t>3</w:t>
            </w:r>
          </w:p>
        </w:tc>
      </w:tr>
      <w:tr w:rsidR="007376E1" w:rsidRPr="001570EA" w14:paraId="5A0060F9" w14:textId="77777777">
        <w:tc>
          <w:tcPr>
            <w:tcW w:w="2136" w:type="pct"/>
            <w:tcBorders>
              <w:top w:val="single" w:sz="4" w:space="0" w:color="auto"/>
              <w:left w:val="single" w:sz="4" w:space="0" w:color="auto"/>
              <w:bottom w:val="single" w:sz="4" w:space="0" w:color="auto"/>
              <w:right w:val="single" w:sz="4" w:space="0" w:color="auto"/>
            </w:tcBorders>
            <w:shd w:val="clear" w:color="auto" w:fill="auto"/>
          </w:tcPr>
          <w:p w14:paraId="03443C0C" w14:textId="10966FAE" w:rsidR="007376E1" w:rsidRPr="001570EA" w:rsidRDefault="007376E1">
            <w:pPr>
              <w:pStyle w:val="TableCell"/>
              <w:keepNext w:val="0"/>
              <w:spacing w:before="60" w:after="60"/>
              <w:jc w:val="left"/>
              <w:rPr>
                <w:rFonts w:cs="Arial"/>
                <w:szCs w:val="18"/>
              </w:rPr>
            </w:pPr>
            <w:r w:rsidRPr="001570EA">
              <w:rPr>
                <w:rFonts w:cs="Arial"/>
                <w:i/>
                <w:szCs w:val="18"/>
              </w:rPr>
              <w:t>CFM</w:t>
            </w:r>
            <w:r w:rsidRPr="001570EA">
              <w:rPr>
                <w:rFonts w:cs="Arial"/>
                <w:i/>
                <w:szCs w:val="18"/>
                <w:vertAlign w:val="subscript"/>
              </w:rPr>
              <w:t>25EE</w:t>
            </w:r>
            <w:r w:rsidRPr="001570EA">
              <w:rPr>
                <w:rFonts w:cs="Arial"/>
                <w:szCs w:val="18"/>
              </w:rPr>
              <w:t>, Standard Duct Leakage test result at 25 Pascal pressure differential of the duct system after sealing, calculated from the duct blaster fan flow chart</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BC04C95" w14:textId="77777777" w:rsidR="007376E1" w:rsidRPr="001570EA" w:rsidRDefault="003B5E04">
            <w:pPr>
              <w:pStyle w:val="TableCell"/>
              <w:keepNext w:val="0"/>
              <w:spacing w:before="60" w:after="60"/>
              <w:jc w:val="center"/>
              <w:rPr>
                <w:rFonts w:ascii="Cambria Math" w:hAnsi="Cambria Math" w:cs="Arial"/>
                <w:szCs w:val="18"/>
                <w:oMath/>
              </w:rPr>
            </w:pPr>
            <m:oMathPara>
              <m:oMath>
                <m:f>
                  <m:fPr>
                    <m:ctrlPr>
                      <w:rPr>
                        <w:rFonts w:ascii="Cambria Math" w:hAnsi="Cambria Math" w:cs="Arial"/>
                        <w:i/>
                        <w:szCs w:val="18"/>
                      </w:rPr>
                    </m:ctrlPr>
                  </m:fPr>
                  <m:num>
                    <m:sSup>
                      <m:sSupPr>
                        <m:ctrlPr>
                          <w:rPr>
                            <w:rFonts w:ascii="Cambria Math" w:hAnsi="Cambria Math" w:cs="Arial"/>
                            <w:i/>
                            <w:szCs w:val="18"/>
                          </w:rPr>
                        </m:ctrlPr>
                      </m:sSupPr>
                      <m:e>
                        <m:r>
                          <w:rPr>
                            <w:rFonts w:ascii="Cambria Math" w:hAnsi="Cambria Math" w:cs="Arial"/>
                            <w:szCs w:val="18"/>
                          </w:rPr>
                          <m:t>ft</m:t>
                        </m:r>
                      </m:e>
                      <m:sup>
                        <m:r>
                          <w:rPr>
                            <w:rFonts w:ascii="Cambria Math" w:hAnsi="Cambria Math" w:cs="Arial"/>
                            <w:szCs w:val="18"/>
                          </w:rPr>
                          <m:t>3</m:t>
                        </m:r>
                      </m:sup>
                    </m:sSup>
                  </m:num>
                  <m:den>
                    <m:r>
                      <w:rPr>
                        <w:rFonts w:ascii="Cambria Math" w:hAnsi="Cambria Math" w:cs="Arial"/>
                        <w:szCs w:val="18"/>
                      </w:rPr>
                      <m:t>min</m:t>
                    </m:r>
                  </m:den>
                </m:f>
              </m:oMath>
            </m:oMathPara>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14:paraId="4B46E11F" w14:textId="77777777" w:rsidR="007376E1" w:rsidRPr="001570EA" w:rsidRDefault="007376E1">
            <w:pPr>
              <w:pStyle w:val="TableCell"/>
              <w:keepNext w:val="0"/>
              <w:spacing w:before="60" w:after="60"/>
              <w:jc w:val="center"/>
              <w:rPr>
                <w:rFonts w:cs="Arial"/>
                <w:szCs w:val="18"/>
              </w:rPr>
            </w:pPr>
            <w:r w:rsidRPr="001570EA">
              <w:rPr>
                <w:rFonts w:cs="Arial"/>
                <w:szCs w:val="18"/>
              </w:rPr>
              <w:t>EDC Data Gathering</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79374FE1" w14:textId="77777777" w:rsidR="007376E1" w:rsidRPr="001570EA" w:rsidRDefault="007376E1">
            <w:pPr>
              <w:pStyle w:val="TableCell"/>
              <w:keepNext w:val="0"/>
              <w:spacing w:before="60" w:after="60"/>
              <w:jc w:val="center"/>
              <w:rPr>
                <w:rFonts w:cs="Arial"/>
                <w:szCs w:val="18"/>
              </w:rPr>
            </w:pPr>
            <w:r w:rsidRPr="001570EA">
              <w:rPr>
                <w:rFonts w:cs="Arial"/>
                <w:szCs w:val="18"/>
              </w:rPr>
              <w:t>3</w:t>
            </w:r>
          </w:p>
        </w:tc>
      </w:tr>
      <w:tr w:rsidR="007376E1" w:rsidRPr="001570EA" w14:paraId="4F36DE4D" w14:textId="77777777">
        <w:tc>
          <w:tcPr>
            <w:tcW w:w="2136" w:type="pct"/>
            <w:shd w:val="clear" w:color="auto" w:fill="auto"/>
          </w:tcPr>
          <w:p w14:paraId="5B952292" w14:textId="76472E1A" w:rsidR="007376E1" w:rsidRPr="001570EA" w:rsidRDefault="007376E1">
            <w:pPr>
              <w:pStyle w:val="TableCell"/>
              <w:keepNext w:val="0"/>
              <w:spacing w:before="60" w:after="60"/>
              <w:jc w:val="left"/>
              <w:rPr>
                <w:rFonts w:cs="Arial"/>
                <w:szCs w:val="18"/>
              </w:rPr>
            </w:pPr>
            <w:r w:rsidRPr="001570EA">
              <w:rPr>
                <w:rFonts w:cs="Arial"/>
                <w:i/>
                <w:szCs w:val="18"/>
              </w:rPr>
              <w:t>CAPY</w:t>
            </w:r>
            <w:r w:rsidRPr="001570EA">
              <w:rPr>
                <w:rFonts w:cs="Arial"/>
                <w:i/>
                <w:szCs w:val="18"/>
                <w:vertAlign w:val="subscript"/>
              </w:rPr>
              <w:t>cool</w:t>
            </w:r>
            <w:r w:rsidRPr="001570EA">
              <w:rPr>
                <w:rFonts w:cs="Arial"/>
                <w:szCs w:val="18"/>
              </w:rPr>
              <w:t xml:space="preserve">, </w:t>
            </w:r>
            <w:r w:rsidRPr="001570EA">
              <w:rPr>
                <w:rFonts w:cs="Arial"/>
              </w:rPr>
              <w:t xml:space="preserve">Capacity of Air Cooling System </w:t>
            </w:r>
          </w:p>
        </w:tc>
        <w:tc>
          <w:tcPr>
            <w:tcW w:w="677" w:type="pct"/>
            <w:shd w:val="clear" w:color="auto" w:fill="auto"/>
          </w:tcPr>
          <w:p w14:paraId="035C2D62" w14:textId="77777777" w:rsidR="007376E1" w:rsidRPr="001570EA" w:rsidRDefault="007376E1">
            <w:pPr>
              <w:pStyle w:val="TableCell"/>
              <w:keepNext w:val="0"/>
              <w:spacing w:before="60" w:after="60"/>
              <w:jc w:val="center"/>
              <w:rPr>
                <w:rFonts w:cs="Arial"/>
                <w:i/>
                <w:szCs w:val="18"/>
              </w:rPr>
            </w:pPr>
            <w:r w:rsidRPr="001570EA">
              <w:rPr>
                <w:rFonts w:cs="Arial"/>
                <w:i/>
                <w:szCs w:val="18"/>
              </w:rPr>
              <w:t>kBTU/hr</w:t>
            </w:r>
          </w:p>
        </w:tc>
        <w:tc>
          <w:tcPr>
            <w:tcW w:w="1325" w:type="pct"/>
            <w:shd w:val="clear" w:color="auto" w:fill="auto"/>
          </w:tcPr>
          <w:p w14:paraId="0245C320" w14:textId="77777777" w:rsidR="007376E1" w:rsidRPr="001570EA" w:rsidRDefault="007376E1">
            <w:pPr>
              <w:pStyle w:val="TableCell"/>
              <w:keepNext w:val="0"/>
              <w:spacing w:before="60" w:after="60"/>
              <w:jc w:val="center"/>
              <w:rPr>
                <w:rFonts w:cs="Arial"/>
                <w:szCs w:val="18"/>
              </w:rPr>
            </w:pPr>
            <w:r w:rsidRPr="001570EA">
              <w:rPr>
                <w:rFonts w:cs="Arial"/>
                <w:szCs w:val="18"/>
              </w:rPr>
              <w:t>EDC Data Gathering</w:t>
            </w:r>
          </w:p>
        </w:tc>
        <w:tc>
          <w:tcPr>
            <w:tcW w:w="862" w:type="pct"/>
            <w:shd w:val="clear" w:color="auto" w:fill="auto"/>
          </w:tcPr>
          <w:p w14:paraId="495B50C8" w14:textId="77777777" w:rsidR="007376E1" w:rsidRPr="001570EA" w:rsidRDefault="007376E1">
            <w:pPr>
              <w:jc w:val="center"/>
              <w:rPr>
                <w:rFonts w:cs="Arial"/>
                <w:sz w:val="18"/>
                <w:szCs w:val="18"/>
              </w:rPr>
            </w:pPr>
            <w:r w:rsidRPr="001570EA">
              <w:rPr>
                <w:rFonts w:cs="Arial"/>
                <w:sz w:val="18"/>
                <w:szCs w:val="18"/>
              </w:rPr>
              <w:t>EDC Data Gathering</w:t>
            </w:r>
          </w:p>
        </w:tc>
      </w:tr>
      <w:tr w:rsidR="007376E1" w:rsidRPr="001570EA" w14:paraId="4F568C40" w14:textId="77777777">
        <w:tc>
          <w:tcPr>
            <w:tcW w:w="2136" w:type="pct"/>
            <w:shd w:val="clear" w:color="auto" w:fill="auto"/>
          </w:tcPr>
          <w:p w14:paraId="06FB120F" w14:textId="23C0935F" w:rsidR="007376E1" w:rsidRPr="001570EA" w:rsidRDefault="007376E1">
            <w:pPr>
              <w:pStyle w:val="TableCell"/>
              <w:keepNext w:val="0"/>
              <w:spacing w:before="60" w:after="60"/>
              <w:jc w:val="left"/>
              <w:rPr>
                <w:rFonts w:cs="Arial"/>
                <w:szCs w:val="18"/>
              </w:rPr>
            </w:pPr>
            <w:r w:rsidRPr="001570EA">
              <w:rPr>
                <w:rFonts w:cs="Arial"/>
                <w:i/>
                <w:szCs w:val="18"/>
              </w:rPr>
              <w:t>CAPY</w:t>
            </w:r>
            <w:r w:rsidRPr="001570EA">
              <w:rPr>
                <w:rFonts w:cs="Arial"/>
                <w:i/>
                <w:szCs w:val="18"/>
                <w:vertAlign w:val="subscript"/>
              </w:rPr>
              <w:t>heat</w:t>
            </w:r>
            <w:r w:rsidRPr="001570EA">
              <w:rPr>
                <w:rFonts w:cs="Arial"/>
                <w:szCs w:val="18"/>
              </w:rPr>
              <w:t xml:space="preserve">, </w:t>
            </w:r>
            <w:r w:rsidRPr="001570EA">
              <w:rPr>
                <w:rFonts w:cs="Arial"/>
              </w:rPr>
              <w:t>Capacity of Air Heating System</w:t>
            </w:r>
          </w:p>
        </w:tc>
        <w:tc>
          <w:tcPr>
            <w:tcW w:w="677" w:type="pct"/>
            <w:shd w:val="clear" w:color="auto" w:fill="auto"/>
          </w:tcPr>
          <w:p w14:paraId="68F07402" w14:textId="77777777" w:rsidR="007376E1" w:rsidRPr="001570EA" w:rsidDel="001C1928" w:rsidRDefault="007376E1">
            <w:pPr>
              <w:pStyle w:val="TableCell"/>
              <w:keepNext w:val="0"/>
              <w:spacing w:before="60" w:after="60"/>
              <w:jc w:val="center"/>
              <w:rPr>
                <w:rFonts w:cs="Arial"/>
                <w:i/>
                <w:szCs w:val="18"/>
              </w:rPr>
            </w:pPr>
            <w:r w:rsidRPr="001570EA">
              <w:rPr>
                <w:rFonts w:cs="Arial"/>
                <w:i/>
                <w:szCs w:val="18"/>
              </w:rPr>
              <w:t>kBTU/hr</w:t>
            </w:r>
          </w:p>
        </w:tc>
        <w:tc>
          <w:tcPr>
            <w:tcW w:w="1325" w:type="pct"/>
            <w:shd w:val="clear" w:color="auto" w:fill="auto"/>
          </w:tcPr>
          <w:p w14:paraId="6B9F5128" w14:textId="77777777" w:rsidR="007376E1" w:rsidRPr="001570EA" w:rsidRDefault="007376E1">
            <w:pPr>
              <w:pStyle w:val="TableCell"/>
              <w:keepNext w:val="0"/>
              <w:spacing w:before="60" w:after="60"/>
              <w:jc w:val="center"/>
              <w:rPr>
                <w:rFonts w:cs="Arial"/>
                <w:szCs w:val="18"/>
              </w:rPr>
            </w:pPr>
            <w:r w:rsidRPr="001570EA">
              <w:rPr>
                <w:rFonts w:cs="Arial"/>
                <w:szCs w:val="18"/>
              </w:rPr>
              <w:t>EDC Data Gathering</w:t>
            </w:r>
          </w:p>
        </w:tc>
        <w:tc>
          <w:tcPr>
            <w:tcW w:w="862" w:type="pct"/>
            <w:shd w:val="clear" w:color="auto" w:fill="auto"/>
          </w:tcPr>
          <w:p w14:paraId="59F962F7" w14:textId="77777777" w:rsidR="007376E1" w:rsidRPr="001570EA" w:rsidRDefault="007376E1">
            <w:pPr>
              <w:jc w:val="center"/>
              <w:rPr>
                <w:rFonts w:cs="Arial"/>
                <w:sz w:val="18"/>
                <w:szCs w:val="18"/>
              </w:rPr>
            </w:pPr>
            <w:r w:rsidRPr="001570EA">
              <w:rPr>
                <w:rFonts w:cs="Arial"/>
                <w:sz w:val="18"/>
                <w:szCs w:val="18"/>
              </w:rPr>
              <w:t>EDC Data Gathering</w:t>
            </w:r>
          </w:p>
        </w:tc>
      </w:tr>
      <w:tr w:rsidR="007376E1" w:rsidRPr="001570EA" w14:paraId="35B40159" w14:textId="77777777">
        <w:tc>
          <w:tcPr>
            <w:tcW w:w="2136" w:type="pct"/>
            <w:shd w:val="clear" w:color="auto" w:fill="auto"/>
          </w:tcPr>
          <w:p w14:paraId="464F4A04" w14:textId="2DE25F61" w:rsidR="007376E1" w:rsidRPr="001570EA" w:rsidRDefault="007376E1">
            <w:pPr>
              <w:pStyle w:val="TableCell"/>
              <w:keepNext w:val="0"/>
              <w:spacing w:before="60" w:after="60"/>
              <w:jc w:val="left"/>
              <w:rPr>
                <w:rFonts w:cs="Arial"/>
                <w:szCs w:val="18"/>
              </w:rPr>
            </w:pPr>
            <w:r w:rsidRPr="001570EA">
              <w:rPr>
                <w:rFonts w:cs="Arial"/>
                <w:i/>
                <w:szCs w:val="18"/>
              </w:rPr>
              <w:t>TCFM</w:t>
            </w:r>
            <w:r w:rsidRPr="001570EA">
              <w:rPr>
                <w:rFonts w:cs="Arial"/>
                <w:szCs w:val="18"/>
              </w:rPr>
              <w:t xml:space="preserve">, </w:t>
            </w:r>
            <w:r w:rsidRPr="001570EA">
              <w:rPr>
                <w:rFonts w:cs="Arial"/>
              </w:rPr>
              <w:t>Conversion from tons of cooling to CFM</w:t>
            </w:r>
          </w:p>
        </w:tc>
        <w:tc>
          <w:tcPr>
            <w:tcW w:w="677" w:type="pct"/>
            <w:shd w:val="clear" w:color="auto" w:fill="auto"/>
          </w:tcPr>
          <w:p w14:paraId="6AD76254" w14:textId="77777777" w:rsidR="007376E1" w:rsidRPr="001570EA" w:rsidRDefault="003B5E04">
            <w:pPr>
              <w:pStyle w:val="TableCell"/>
              <w:keepNext w:val="0"/>
              <w:spacing w:before="60" w:after="60"/>
              <w:jc w:val="center"/>
              <w:rPr>
                <w:rFonts w:cs="Arial"/>
                <w:szCs w:val="18"/>
              </w:rPr>
            </w:pPr>
            <m:oMathPara>
              <m:oMath>
                <m:f>
                  <m:fPr>
                    <m:ctrlPr>
                      <w:rPr>
                        <w:rFonts w:ascii="Cambria Math" w:hAnsi="Cambria Math" w:cs="Arial"/>
                        <w:i/>
                        <w:szCs w:val="18"/>
                      </w:rPr>
                    </m:ctrlPr>
                  </m:fPr>
                  <m:num>
                    <m:r>
                      <w:rPr>
                        <w:rFonts w:ascii="Cambria Math" w:hAnsi="Cambria Math" w:cs="Arial"/>
                        <w:szCs w:val="18"/>
                      </w:rPr>
                      <m:t>CFM</m:t>
                    </m:r>
                  </m:num>
                  <m:den>
                    <m:r>
                      <w:rPr>
                        <w:rFonts w:ascii="Cambria Math" w:hAnsi="Cambria Math" w:cs="Arial"/>
                        <w:szCs w:val="18"/>
                      </w:rPr>
                      <m:t>ton</m:t>
                    </m:r>
                  </m:den>
                </m:f>
              </m:oMath>
            </m:oMathPara>
          </w:p>
        </w:tc>
        <w:tc>
          <w:tcPr>
            <w:tcW w:w="1325" w:type="pct"/>
            <w:shd w:val="clear" w:color="auto" w:fill="auto"/>
            <w:vAlign w:val="center"/>
          </w:tcPr>
          <w:p w14:paraId="63E4196A" w14:textId="77777777" w:rsidR="007376E1" w:rsidRPr="001570EA" w:rsidRDefault="007376E1">
            <w:pPr>
              <w:pStyle w:val="TableCell"/>
              <w:keepNext w:val="0"/>
              <w:spacing w:before="60" w:after="60"/>
              <w:jc w:val="center"/>
              <w:rPr>
                <w:rFonts w:cs="Arial"/>
                <w:szCs w:val="18"/>
              </w:rPr>
            </w:pPr>
            <w:r w:rsidRPr="001570EA">
              <w:rPr>
                <w:rFonts w:cs="Arial"/>
                <w:szCs w:val="18"/>
              </w:rPr>
              <w:t>400</w:t>
            </w:r>
          </w:p>
        </w:tc>
        <w:tc>
          <w:tcPr>
            <w:tcW w:w="862" w:type="pct"/>
            <w:shd w:val="clear" w:color="auto" w:fill="auto"/>
            <w:vAlign w:val="center"/>
          </w:tcPr>
          <w:p w14:paraId="40AFDCBC" w14:textId="77777777" w:rsidR="007376E1" w:rsidRPr="001570EA" w:rsidRDefault="007376E1">
            <w:pPr>
              <w:jc w:val="center"/>
              <w:rPr>
                <w:rFonts w:cs="Arial"/>
                <w:sz w:val="18"/>
                <w:szCs w:val="18"/>
              </w:rPr>
            </w:pPr>
            <w:r w:rsidRPr="001570EA">
              <w:rPr>
                <w:rFonts w:cs="Arial"/>
                <w:sz w:val="18"/>
                <w:szCs w:val="18"/>
              </w:rPr>
              <w:t>Conversion factor</w:t>
            </w:r>
          </w:p>
        </w:tc>
      </w:tr>
      <w:tr w:rsidR="007376E1" w:rsidRPr="001570EA" w14:paraId="68C57D04" w14:textId="77777777">
        <w:trPr>
          <w:cantSplit/>
        </w:trPr>
        <w:tc>
          <w:tcPr>
            <w:tcW w:w="2136" w:type="pct"/>
            <w:shd w:val="clear" w:color="auto" w:fill="auto"/>
          </w:tcPr>
          <w:p w14:paraId="55A48022" w14:textId="6071EB19" w:rsidR="007376E1" w:rsidRPr="001570EA" w:rsidRDefault="007376E1">
            <w:pPr>
              <w:pStyle w:val="TableCell"/>
              <w:keepNext w:val="0"/>
              <w:spacing w:before="60" w:after="60"/>
              <w:jc w:val="left"/>
              <w:rPr>
                <w:rFonts w:cs="Arial"/>
                <w:szCs w:val="18"/>
              </w:rPr>
            </w:pPr>
            <w:r w:rsidRPr="001570EA">
              <w:rPr>
                <w:rFonts w:cs="Arial"/>
                <w:i/>
                <w:szCs w:val="18"/>
              </w:rPr>
              <w:t>SEER2, SEER</w:t>
            </w:r>
            <w:r w:rsidRPr="001570EA">
              <w:rPr>
                <w:rFonts w:cs="Arial"/>
                <w:szCs w:val="18"/>
              </w:rPr>
              <w:t xml:space="preserve">, </w:t>
            </w:r>
            <w:r w:rsidRPr="001570EA">
              <w:rPr>
                <w:rFonts w:cs="Arial"/>
              </w:rPr>
              <w:t>Efficiency of cooling equipment</w:t>
            </w:r>
          </w:p>
        </w:tc>
        <w:tc>
          <w:tcPr>
            <w:tcW w:w="677" w:type="pct"/>
            <w:shd w:val="clear" w:color="auto" w:fill="auto"/>
            <w:vAlign w:val="center"/>
          </w:tcPr>
          <w:p w14:paraId="22D47929" w14:textId="77777777" w:rsidR="007376E1" w:rsidRPr="001570EA" w:rsidRDefault="003B5E04">
            <w:pPr>
              <w:pStyle w:val="TableCell"/>
              <w:keepNext w:val="0"/>
              <w:spacing w:before="60" w:after="60"/>
              <w:jc w:val="center"/>
              <w:rPr>
                <w:rFonts w:cs="Arial"/>
                <w:szCs w:val="18"/>
              </w:rPr>
            </w:pPr>
            <m:oMathPara>
              <m:oMath>
                <m:f>
                  <m:fPr>
                    <m:ctrlPr>
                      <w:rPr>
                        <w:rFonts w:ascii="Cambria Math" w:hAnsi="Cambria Math" w:cs="Arial"/>
                      </w:rPr>
                    </m:ctrlPr>
                  </m:fPr>
                  <m:num>
                    <m:r>
                      <w:rPr>
                        <w:rFonts w:ascii="Cambria Math" w:hAnsi="Cambria Math" w:cs="Arial"/>
                      </w:rPr>
                      <m:t>BTU</m:t>
                    </m:r>
                  </m:num>
                  <m:den>
                    <m:r>
                      <w:rPr>
                        <w:rFonts w:ascii="Cambria Math" w:hAnsi="Cambria Math" w:cs="Arial"/>
                      </w:rPr>
                      <m:t>W∙h</m:t>
                    </m:r>
                  </m:den>
                </m:f>
              </m:oMath>
            </m:oMathPara>
          </w:p>
        </w:tc>
        <w:tc>
          <w:tcPr>
            <w:tcW w:w="1325" w:type="pct"/>
            <w:shd w:val="clear" w:color="auto" w:fill="auto"/>
          </w:tcPr>
          <w:p w14:paraId="4C38E772" w14:textId="77777777" w:rsidR="007376E1" w:rsidRPr="001570EA" w:rsidRDefault="007376E1">
            <w:pPr>
              <w:pStyle w:val="TableCell"/>
              <w:keepNext w:val="0"/>
              <w:spacing w:beforeLines="40" w:before="96" w:afterLines="40" w:after="96"/>
              <w:jc w:val="center"/>
              <w:rPr>
                <w:szCs w:val="18"/>
              </w:rPr>
            </w:pPr>
            <w:r w:rsidRPr="001570EA">
              <w:rPr>
                <w:szCs w:val="18"/>
              </w:rPr>
              <w:t>EDC Data Gathering</w:t>
            </w:r>
          </w:p>
          <w:p w14:paraId="3E13DA2E" w14:textId="29734307" w:rsidR="007376E1" w:rsidRPr="001570EA" w:rsidRDefault="007376E1">
            <w:pPr>
              <w:pStyle w:val="TableCell"/>
              <w:keepNext w:val="0"/>
              <w:spacing w:before="60" w:after="60"/>
              <w:jc w:val="center"/>
              <w:rPr>
                <w:rFonts w:cs="Arial"/>
                <w:szCs w:val="18"/>
              </w:rPr>
            </w:pPr>
            <w:r w:rsidRPr="001570EA">
              <w:rPr>
                <w:szCs w:val="18"/>
              </w:rPr>
              <w:t xml:space="preserve">Default:  See Early Replacement values in </w:t>
            </w:r>
            <w:r w:rsidRPr="001570EA">
              <w:rPr>
                <w:szCs w:val="18"/>
              </w:rPr>
              <w:fldChar w:fldCharType="begin"/>
            </w:r>
            <w:r w:rsidRPr="001570EA">
              <w:rPr>
                <w:szCs w:val="18"/>
              </w:rPr>
              <w:instrText xml:space="preserve"> REF _Ref531779526 \h  \* MERGEFORMAT </w:instrText>
            </w:r>
            <w:r w:rsidRPr="001570EA">
              <w:rPr>
                <w:szCs w:val="18"/>
              </w:rPr>
            </w:r>
            <w:r w:rsidRPr="001570EA">
              <w:rPr>
                <w:szCs w:val="18"/>
              </w:rPr>
              <w:fldChar w:fldCharType="separate"/>
            </w:r>
            <w:r w:rsidR="00384D95" w:rsidRPr="001570EA">
              <w:rPr>
                <w:szCs w:val="18"/>
              </w:rPr>
              <w:t xml:space="preserve">Table </w:t>
            </w:r>
            <w:r w:rsidR="00384D95" w:rsidRPr="001570EA">
              <w:rPr>
                <w:noProof/>
                <w:szCs w:val="18"/>
              </w:rPr>
              <w:t>2</w:t>
            </w:r>
            <w:r w:rsidR="00384D95" w:rsidRPr="001570EA">
              <w:rPr>
                <w:noProof/>
                <w:szCs w:val="18"/>
              </w:rPr>
              <w:noBreakHyphen/>
              <w:t>10</w:t>
            </w:r>
            <w:r w:rsidRPr="001570EA">
              <w:rPr>
                <w:szCs w:val="18"/>
              </w:rPr>
              <w:fldChar w:fldCharType="end"/>
            </w:r>
            <w:r w:rsidRPr="001570EA">
              <w:rPr>
                <w:szCs w:val="18"/>
              </w:rPr>
              <w:t xml:space="preserve"> in Sec. </w:t>
            </w:r>
            <w:r w:rsidRPr="001570EA">
              <w:rPr>
                <w:szCs w:val="18"/>
              </w:rPr>
              <w:fldChar w:fldCharType="begin"/>
            </w:r>
            <w:r w:rsidRPr="001570EA">
              <w:rPr>
                <w:szCs w:val="18"/>
              </w:rPr>
              <w:instrText xml:space="preserve"> REF _Ref534371933 \r \h  \* MERGEFORMAT </w:instrText>
            </w:r>
            <w:r w:rsidRPr="001570EA">
              <w:rPr>
                <w:szCs w:val="18"/>
              </w:rPr>
            </w:r>
            <w:r w:rsidRPr="001570EA">
              <w:rPr>
                <w:szCs w:val="18"/>
              </w:rPr>
              <w:fldChar w:fldCharType="separate"/>
            </w:r>
            <w:r w:rsidR="00384D95" w:rsidRPr="001570EA">
              <w:rPr>
                <w:szCs w:val="18"/>
              </w:rPr>
              <w:t>2.2.1</w:t>
            </w:r>
            <w:r w:rsidRPr="001570EA">
              <w:rPr>
                <w:szCs w:val="18"/>
              </w:rPr>
              <w:fldChar w:fldCharType="end"/>
            </w:r>
          </w:p>
        </w:tc>
        <w:tc>
          <w:tcPr>
            <w:tcW w:w="862" w:type="pct"/>
            <w:shd w:val="clear" w:color="auto" w:fill="auto"/>
            <w:vAlign w:val="center"/>
          </w:tcPr>
          <w:p w14:paraId="1AA5E16B" w14:textId="77777777" w:rsidR="007376E1" w:rsidRPr="001570EA" w:rsidRDefault="007376E1">
            <w:pPr>
              <w:jc w:val="center"/>
              <w:rPr>
                <w:rFonts w:cs="Arial"/>
                <w:sz w:val="18"/>
                <w:szCs w:val="18"/>
              </w:rPr>
            </w:pPr>
            <w:r w:rsidRPr="001570EA">
              <w:rPr>
                <w:rFonts w:cs="Arial"/>
                <w:sz w:val="18"/>
                <w:szCs w:val="18"/>
              </w:rPr>
              <w:t>5</w:t>
            </w:r>
          </w:p>
        </w:tc>
      </w:tr>
      <w:tr w:rsidR="007376E1" w:rsidRPr="001570EA" w14:paraId="17E43476" w14:textId="77777777">
        <w:tc>
          <w:tcPr>
            <w:tcW w:w="2136" w:type="pct"/>
            <w:shd w:val="clear" w:color="auto" w:fill="auto"/>
          </w:tcPr>
          <w:p w14:paraId="7B59F6AA" w14:textId="0D54F647" w:rsidR="007376E1" w:rsidRPr="001570EA" w:rsidRDefault="007376E1">
            <w:pPr>
              <w:pStyle w:val="TableCell"/>
              <w:keepNext w:val="0"/>
              <w:spacing w:before="60" w:after="60"/>
              <w:jc w:val="left"/>
              <w:rPr>
                <w:rFonts w:cs="Arial"/>
              </w:rPr>
            </w:pPr>
            <w:r w:rsidRPr="001570EA">
              <w:rPr>
                <w:rFonts w:cs="Arial"/>
                <w:i/>
                <w:szCs w:val="18"/>
              </w:rPr>
              <w:t>HSPF2, HSPF</w:t>
            </w:r>
            <w:r w:rsidRPr="001570EA">
              <w:rPr>
                <w:rFonts w:cs="Arial"/>
                <w:szCs w:val="18"/>
              </w:rPr>
              <w:t xml:space="preserve">, </w:t>
            </w:r>
            <w:r w:rsidRPr="001570EA">
              <w:rPr>
                <w:rFonts w:cs="Arial"/>
              </w:rPr>
              <w:t>Efficiency of Heating Equipment</w:t>
            </w:r>
          </w:p>
          <w:p w14:paraId="4558CD65" w14:textId="77777777" w:rsidR="007376E1" w:rsidRPr="001570EA" w:rsidRDefault="007376E1">
            <w:pPr>
              <w:pStyle w:val="TableCell"/>
              <w:keepNext w:val="0"/>
              <w:spacing w:before="60" w:after="60"/>
              <w:jc w:val="left"/>
              <w:rPr>
                <w:rFonts w:cs="Arial"/>
                <w:szCs w:val="18"/>
              </w:rPr>
            </w:pPr>
          </w:p>
        </w:tc>
        <w:tc>
          <w:tcPr>
            <w:tcW w:w="677" w:type="pct"/>
            <w:shd w:val="clear" w:color="auto" w:fill="auto"/>
          </w:tcPr>
          <w:p w14:paraId="7ACC7C6C" w14:textId="77777777" w:rsidR="007376E1" w:rsidRPr="001570EA" w:rsidRDefault="007376E1">
            <w:pPr>
              <w:pStyle w:val="TableCell"/>
              <w:keepNext w:val="0"/>
              <w:spacing w:before="60" w:after="60"/>
              <w:jc w:val="center"/>
              <w:rPr>
                <w:rFonts w:cs="Arial"/>
                <w:i/>
                <w:szCs w:val="18"/>
              </w:rPr>
            </w:pPr>
            <w:r w:rsidRPr="001570EA">
              <w:rPr>
                <w:rFonts w:cs="Arial"/>
                <w:i/>
                <w:szCs w:val="18"/>
              </w:rPr>
              <w:t>None</w:t>
            </w:r>
          </w:p>
        </w:tc>
        <w:tc>
          <w:tcPr>
            <w:tcW w:w="1325" w:type="pct"/>
            <w:shd w:val="clear" w:color="auto" w:fill="auto"/>
          </w:tcPr>
          <w:p w14:paraId="11CE282F" w14:textId="77777777" w:rsidR="007376E1" w:rsidRPr="001570EA" w:rsidRDefault="007376E1">
            <w:pPr>
              <w:pStyle w:val="TableCell"/>
              <w:keepNext w:val="0"/>
              <w:spacing w:beforeLines="40" w:before="96" w:afterLines="40" w:after="96"/>
              <w:jc w:val="center"/>
              <w:rPr>
                <w:szCs w:val="18"/>
              </w:rPr>
            </w:pPr>
            <w:r w:rsidRPr="001570EA">
              <w:rPr>
                <w:szCs w:val="18"/>
              </w:rPr>
              <w:t>EDC Data Gathering</w:t>
            </w:r>
          </w:p>
          <w:p w14:paraId="2CE84ABF" w14:textId="6620797A" w:rsidR="007376E1" w:rsidRPr="001570EA" w:rsidRDefault="007376E1">
            <w:pPr>
              <w:pStyle w:val="TableCell"/>
              <w:keepNext w:val="0"/>
              <w:spacing w:before="60" w:after="60"/>
              <w:jc w:val="center"/>
              <w:rPr>
                <w:rFonts w:cs="Arial"/>
                <w:szCs w:val="18"/>
              </w:rPr>
            </w:pPr>
            <w:r w:rsidRPr="001570EA">
              <w:rPr>
                <w:szCs w:val="18"/>
              </w:rPr>
              <w:t xml:space="preserve">Default:  See Early Replacement values in </w:t>
            </w:r>
            <w:r w:rsidRPr="001570EA">
              <w:rPr>
                <w:szCs w:val="18"/>
              </w:rPr>
              <w:fldChar w:fldCharType="begin"/>
            </w:r>
            <w:r w:rsidRPr="001570EA">
              <w:rPr>
                <w:szCs w:val="18"/>
              </w:rPr>
              <w:instrText xml:space="preserve"> REF _Ref531779526 \h  \* MERGEFORMAT </w:instrText>
            </w:r>
            <w:r w:rsidRPr="001570EA">
              <w:rPr>
                <w:szCs w:val="18"/>
              </w:rPr>
            </w:r>
            <w:r w:rsidRPr="001570EA">
              <w:rPr>
                <w:szCs w:val="18"/>
              </w:rPr>
              <w:fldChar w:fldCharType="separate"/>
            </w:r>
            <w:r w:rsidR="00384D95" w:rsidRPr="001570EA">
              <w:rPr>
                <w:szCs w:val="18"/>
              </w:rPr>
              <w:t xml:space="preserve">Table </w:t>
            </w:r>
            <w:r w:rsidR="00384D95" w:rsidRPr="001570EA">
              <w:rPr>
                <w:noProof/>
                <w:szCs w:val="18"/>
              </w:rPr>
              <w:t>2</w:t>
            </w:r>
            <w:r w:rsidR="00384D95" w:rsidRPr="001570EA">
              <w:rPr>
                <w:noProof/>
                <w:szCs w:val="18"/>
              </w:rPr>
              <w:noBreakHyphen/>
              <w:t>10</w:t>
            </w:r>
            <w:r w:rsidRPr="001570EA">
              <w:rPr>
                <w:szCs w:val="18"/>
              </w:rPr>
              <w:fldChar w:fldCharType="end"/>
            </w:r>
            <w:r w:rsidRPr="001570EA">
              <w:rPr>
                <w:szCs w:val="18"/>
              </w:rPr>
              <w:t xml:space="preserve"> in Sec. </w:t>
            </w:r>
            <w:r w:rsidRPr="001570EA">
              <w:rPr>
                <w:szCs w:val="18"/>
              </w:rPr>
              <w:fldChar w:fldCharType="begin"/>
            </w:r>
            <w:r w:rsidRPr="001570EA">
              <w:rPr>
                <w:szCs w:val="18"/>
              </w:rPr>
              <w:instrText xml:space="preserve"> REF _Ref534371933 \r \h  \* MERGEFORMAT </w:instrText>
            </w:r>
            <w:r w:rsidRPr="001570EA">
              <w:rPr>
                <w:szCs w:val="18"/>
              </w:rPr>
            </w:r>
            <w:r w:rsidRPr="001570EA">
              <w:rPr>
                <w:szCs w:val="18"/>
              </w:rPr>
              <w:fldChar w:fldCharType="separate"/>
            </w:r>
            <w:r w:rsidR="00384D95" w:rsidRPr="001570EA">
              <w:rPr>
                <w:szCs w:val="18"/>
              </w:rPr>
              <w:t>2.2.1</w:t>
            </w:r>
            <w:r w:rsidRPr="001570EA">
              <w:rPr>
                <w:szCs w:val="18"/>
              </w:rPr>
              <w:fldChar w:fldCharType="end"/>
            </w:r>
          </w:p>
        </w:tc>
        <w:tc>
          <w:tcPr>
            <w:tcW w:w="862" w:type="pct"/>
            <w:shd w:val="clear" w:color="auto" w:fill="auto"/>
            <w:vAlign w:val="center"/>
          </w:tcPr>
          <w:p w14:paraId="668859A6" w14:textId="77777777" w:rsidR="007376E1" w:rsidRPr="001570EA" w:rsidRDefault="007376E1">
            <w:pPr>
              <w:jc w:val="center"/>
              <w:rPr>
                <w:rFonts w:cs="Arial"/>
                <w:sz w:val="18"/>
                <w:szCs w:val="18"/>
              </w:rPr>
            </w:pPr>
            <w:r w:rsidRPr="001570EA">
              <w:rPr>
                <w:rFonts w:cs="Arial"/>
                <w:sz w:val="18"/>
                <w:szCs w:val="18"/>
              </w:rPr>
              <w:t>5</w:t>
            </w:r>
          </w:p>
        </w:tc>
      </w:tr>
      <w:tr w:rsidR="007376E1" w:rsidRPr="001570EA" w14:paraId="7DB1592A" w14:textId="77777777">
        <w:tc>
          <w:tcPr>
            <w:tcW w:w="2136" w:type="pct"/>
            <w:shd w:val="clear" w:color="auto" w:fill="auto"/>
            <w:vAlign w:val="center"/>
          </w:tcPr>
          <w:p w14:paraId="28BD4FB6" w14:textId="0F78AD41" w:rsidR="007376E1" w:rsidRPr="001570EA" w:rsidRDefault="007376E1">
            <w:pPr>
              <w:pStyle w:val="TableCell"/>
              <w:keepNext w:val="0"/>
              <w:spacing w:before="60" w:after="60"/>
              <w:jc w:val="left"/>
              <w:rPr>
                <w:rFonts w:cs="Arial"/>
                <w:szCs w:val="18"/>
              </w:rPr>
            </w:pPr>
            <w:r w:rsidRPr="001570EA">
              <w:rPr>
                <w:rFonts w:cs="Arial"/>
                <w:i/>
                <w:szCs w:val="18"/>
              </w:rPr>
              <w:t>EFLH</w:t>
            </w:r>
            <w:r w:rsidRPr="001570EA">
              <w:rPr>
                <w:rFonts w:cs="Arial"/>
                <w:i/>
                <w:szCs w:val="18"/>
                <w:vertAlign w:val="subscript"/>
              </w:rPr>
              <w:t>cool</w:t>
            </w:r>
            <w:r w:rsidRPr="001570EA">
              <w:rPr>
                <w:rFonts w:cs="Arial"/>
                <w:szCs w:val="18"/>
              </w:rPr>
              <w:t xml:space="preserve">, </w:t>
            </w:r>
            <w:r w:rsidRPr="001570EA">
              <w:rPr>
                <w:rFonts w:cs="Arial"/>
              </w:rPr>
              <w:t>Cooling equivalent full load hours</w:t>
            </w:r>
          </w:p>
        </w:tc>
        <w:tc>
          <w:tcPr>
            <w:tcW w:w="677" w:type="pct"/>
            <w:shd w:val="clear" w:color="auto" w:fill="auto"/>
            <w:vAlign w:val="center"/>
          </w:tcPr>
          <w:p w14:paraId="01A7BF7B" w14:textId="77777777" w:rsidR="007376E1" w:rsidRPr="001570EA" w:rsidRDefault="003B5E04">
            <w:pPr>
              <w:pStyle w:val="TableCell"/>
              <w:keepNext w:val="0"/>
              <w:spacing w:before="60" w:after="60"/>
              <w:jc w:val="center"/>
              <w:rPr>
                <w:rFonts w:cs="Arial"/>
                <w:szCs w:val="18"/>
              </w:rPr>
            </w:pPr>
            <m:oMathPara>
              <m:oMath>
                <m:f>
                  <m:fPr>
                    <m:ctrlPr>
                      <w:rPr>
                        <w:rFonts w:ascii="Cambria Math" w:hAnsi="Cambria Math" w:cs="Arial"/>
                      </w:rPr>
                    </m:ctrlPr>
                  </m:fPr>
                  <m:num>
                    <m:r>
                      <w:rPr>
                        <w:rFonts w:ascii="Cambria Math" w:hAnsi="Cambria Math" w:cs="Arial"/>
                      </w:rPr>
                      <m:t>hours</m:t>
                    </m:r>
                  </m:num>
                  <m:den>
                    <m:r>
                      <w:rPr>
                        <w:rFonts w:ascii="Cambria Math" w:hAnsi="Cambria Math" w:cs="Arial"/>
                      </w:rPr>
                      <m:t>year</m:t>
                    </m:r>
                  </m:den>
                </m:f>
              </m:oMath>
            </m:oMathPara>
          </w:p>
        </w:tc>
        <w:tc>
          <w:tcPr>
            <w:tcW w:w="1325" w:type="pct"/>
            <w:shd w:val="clear" w:color="auto" w:fill="auto"/>
            <w:vAlign w:val="center"/>
          </w:tcPr>
          <w:p w14:paraId="1B69744E" w14:textId="77777777" w:rsidR="007376E1" w:rsidRPr="001570EA" w:rsidRDefault="007376E1">
            <w:pPr>
              <w:pStyle w:val="TableCell"/>
              <w:keepNext w:val="0"/>
              <w:spacing w:before="60" w:after="60"/>
              <w:jc w:val="center"/>
              <w:rPr>
                <w:rFonts w:cs="Arial"/>
                <w:szCs w:val="18"/>
              </w:rPr>
            </w:pPr>
            <w:r w:rsidRPr="001570EA">
              <w:rPr>
                <w:rFonts w:cs="Arial"/>
                <w:szCs w:val="18"/>
              </w:rPr>
              <w:t xml:space="preserve">See </w:t>
            </w:r>
            <w:r w:rsidRPr="001570EA">
              <w:rPr>
                <w:rFonts w:cs="Arial"/>
                <w:i/>
                <w:szCs w:val="18"/>
              </w:rPr>
              <w:t>EFLH</w:t>
            </w:r>
            <w:r w:rsidRPr="001570EA">
              <w:rPr>
                <w:rFonts w:cs="Arial"/>
                <w:i/>
                <w:szCs w:val="18"/>
                <w:vertAlign w:val="subscript"/>
              </w:rPr>
              <w:t>cool</w:t>
            </w:r>
            <w:r w:rsidRPr="001570EA">
              <w:rPr>
                <w:rFonts w:cs="Arial"/>
                <w:szCs w:val="18"/>
              </w:rPr>
              <w:t xml:space="preserve"> in Vol. 1, App. A</w:t>
            </w:r>
          </w:p>
        </w:tc>
        <w:tc>
          <w:tcPr>
            <w:tcW w:w="862" w:type="pct"/>
            <w:shd w:val="clear" w:color="auto" w:fill="auto"/>
            <w:vAlign w:val="center"/>
          </w:tcPr>
          <w:p w14:paraId="379F84AB" w14:textId="77777777" w:rsidR="007376E1" w:rsidRPr="001570EA" w:rsidRDefault="007376E1">
            <w:pPr>
              <w:pStyle w:val="TableCell"/>
              <w:keepNext w:val="0"/>
              <w:spacing w:before="60" w:after="60"/>
              <w:jc w:val="center"/>
              <w:rPr>
                <w:rFonts w:cs="Arial"/>
                <w:szCs w:val="18"/>
              </w:rPr>
            </w:pPr>
            <w:r w:rsidRPr="001570EA">
              <w:rPr>
                <w:rFonts w:cs="Arial"/>
                <w:szCs w:val="18"/>
              </w:rPr>
              <w:t>4</w:t>
            </w:r>
          </w:p>
        </w:tc>
      </w:tr>
      <w:tr w:rsidR="007376E1" w:rsidRPr="001570EA" w14:paraId="430217EE" w14:textId="77777777">
        <w:trPr>
          <w:trHeight w:val="467"/>
        </w:trPr>
        <w:tc>
          <w:tcPr>
            <w:tcW w:w="2136" w:type="pct"/>
            <w:shd w:val="clear" w:color="auto" w:fill="auto"/>
            <w:vAlign w:val="center"/>
          </w:tcPr>
          <w:p w14:paraId="17B69BE4" w14:textId="239B5794" w:rsidR="007376E1" w:rsidRPr="001570EA" w:rsidRDefault="007376E1">
            <w:pPr>
              <w:pStyle w:val="TableCell"/>
              <w:keepNext w:val="0"/>
              <w:spacing w:before="60" w:after="60"/>
              <w:jc w:val="left"/>
              <w:rPr>
                <w:rFonts w:cs="Arial"/>
                <w:szCs w:val="18"/>
              </w:rPr>
            </w:pPr>
            <w:r w:rsidRPr="001570EA">
              <w:rPr>
                <w:rFonts w:cs="Arial"/>
                <w:i/>
                <w:szCs w:val="18"/>
              </w:rPr>
              <w:t>EFLH</w:t>
            </w:r>
            <w:r w:rsidRPr="001570EA">
              <w:rPr>
                <w:rFonts w:cs="Arial"/>
                <w:i/>
                <w:szCs w:val="18"/>
                <w:vertAlign w:val="subscript"/>
              </w:rPr>
              <w:t>heat</w:t>
            </w:r>
            <w:r w:rsidRPr="001570EA">
              <w:rPr>
                <w:rFonts w:cs="Arial"/>
                <w:szCs w:val="18"/>
                <w:vertAlign w:val="subscript"/>
              </w:rPr>
              <w:t>,</w:t>
            </w:r>
            <w:r w:rsidRPr="001570EA">
              <w:rPr>
                <w:rFonts w:cs="Arial"/>
                <w:szCs w:val="18"/>
              </w:rPr>
              <w:t xml:space="preserve"> </w:t>
            </w:r>
            <w:r w:rsidRPr="001570EA">
              <w:rPr>
                <w:rFonts w:cs="Arial"/>
              </w:rPr>
              <w:t>Heating equivalent full load hours</w:t>
            </w:r>
          </w:p>
        </w:tc>
        <w:tc>
          <w:tcPr>
            <w:tcW w:w="677" w:type="pct"/>
            <w:shd w:val="clear" w:color="auto" w:fill="auto"/>
            <w:vAlign w:val="center"/>
          </w:tcPr>
          <w:p w14:paraId="53874894" w14:textId="77777777" w:rsidR="007376E1" w:rsidRPr="001570EA" w:rsidRDefault="003B5E04">
            <w:pPr>
              <w:pStyle w:val="TableCell"/>
              <w:keepNext w:val="0"/>
              <w:spacing w:before="60" w:after="60"/>
              <w:jc w:val="center"/>
              <w:rPr>
                <w:rFonts w:cs="Arial"/>
                <w:szCs w:val="18"/>
              </w:rPr>
            </w:pPr>
            <m:oMathPara>
              <m:oMath>
                <m:f>
                  <m:fPr>
                    <m:ctrlPr>
                      <w:rPr>
                        <w:rFonts w:ascii="Cambria Math" w:hAnsi="Cambria Math" w:cs="Arial"/>
                      </w:rPr>
                    </m:ctrlPr>
                  </m:fPr>
                  <m:num>
                    <m:r>
                      <w:rPr>
                        <w:rFonts w:ascii="Cambria Math" w:hAnsi="Cambria Math" w:cs="Arial"/>
                      </w:rPr>
                      <m:t>hours</m:t>
                    </m:r>
                  </m:num>
                  <m:den>
                    <m:r>
                      <w:rPr>
                        <w:rFonts w:ascii="Cambria Math" w:hAnsi="Cambria Math" w:cs="Arial"/>
                      </w:rPr>
                      <m:t>year</m:t>
                    </m:r>
                  </m:den>
                </m:f>
              </m:oMath>
            </m:oMathPara>
          </w:p>
        </w:tc>
        <w:tc>
          <w:tcPr>
            <w:tcW w:w="1325" w:type="pct"/>
            <w:shd w:val="clear" w:color="auto" w:fill="auto"/>
            <w:vAlign w:val="center"/>
          </w:tcPr>
          <w:p w14:paraId="07F82BF0" w14:textId="77777777" w:rsidR="007376E1" w:rsidRPr="001570EA" w:rsidRDefault="007376E1">
            <w:pPr>
              <w:pStyle w:val="TableCell"/>
              <w:keepNext w:val="0"/>
              <w:spacing w:before="60" w:after="60"/>
              <w:jc w:val="center"/>
              <w:rPr>
                <w:rFonts w:cs="Arial"/>
              </w:rPr>
            </w:pPr>
            <w:r w:rsidRPr="001570EA">
              <w:rPr>
                <w:rFonts w:cs="Arial"/>
                <w:szCs w:val="18"/>
              </w:rPr>
              <w:t xml:space="preserve">See </w:t>
            </w:r>
            <w:r w:rsidRPr="001570EA">
              <w:rPr>
                <w:rFonts w:cs="Arial"/>
                <w:i/>
                <w:szCs w:val="18"/>
              </w:rPr>
              <w:t>EFLH</w:t>
            </w:r>
            <w:r w:rsidRPr="001570EA">
              <w:rPr>
                <w:rFonts w:cs="Arial"/>
                <w:i/>
                <w:szCs w:val="18"/>
                <w:vertAlign w:val="subscript"/>
              </w:rPr>
              <w:t>heat</w:t>
            </w:r>
            <w:r w:rsidRPr="001570EA">
              <w:rPr>
                <w:rFonts w:cs="Arial"/>
                <w:szCs w:val="18"/>
              </w:rPr>
              <w:t xml:space="preserve"> in Vol. 1, App. A</w:t>
            </w:r>
          </w:p>
        </w:tc>
        <w:tc>
          <w:tcPr>
            <w:tcW w:w="862" w:type="pct"/>
            <w:shd w:val="clear" w:color="auto" w:fill="auto"/>
            <w:vAlign w:val="center"/>
          </w:tcPr>
          <w:p w14:paraId="56BA4551" w14:textId="77777777" w:rsidR="007376E1" w:rsidRPr="001570EA" w:rsidRDefault="007376E1">
            <w:pPr>
              <w:pStyle w:val="TableCell"/>
              <w:keepNext w:val="0"/>
              <w:spacing w:before="60" w:after="60"/>
              <w:jc w:val="center"/>
              <w:rPr>
                <w:rFonts w:cs="Arial"/>
                <w:szCs w:val="18"/>
              </w:rPr>
            </w:pPr>
            <w:r w:rsidRPr="001570EA">
              <w:rPr>
                <w:rFonts w:cs="Arial"/>
                <w:szCs w:val="18"/>
              </w:rPr>
              <w:t>4</w:t>
            </w:r>
          </w:p>
        </w:tc>
      </w:tr>
      <w:tr w:rsidR="007376E1" w:rsidRPr="001570EA" w14:paraId="031E4D07" w14:textId="77777777">
        <w:trPr>
          <w:trHeight w:val="521"/>
        </w:trPr>
        <w:tc>
          <w:tcPr>
            <w:tcW w:w="2136" w:type="pct"/>
            <w:shd w:val="clear" w:color="auto" w:fill="auto"/>
            <w:vAlign w:val="center"/>
          </w:tcPr>
          <w:p w14:paraId="425CE7B1" w14:textId="197B8EC0" w:rsidR="007376E1" w:rsidRPr="001570EA" w:rsidRDefault="007376E1">
            <w:pPr>
              <w:pStyle w:val="TableCell"/>
              <w:keepNext w:val="0"/>
              <w:spacing w:before="60" w:after="60"/>
              <w:jc w:val="left"/>
              <w:rPr>
                <w:rFonts w:cs="Arial"/>
                <w:szCs w:val="18"/>
              </w:rPr>
            </w:pPr>
            <w:r w:rsidRPr="001570EA">
              <w:rPr>
                <w:rFonts w:cs="Arial"/>
                <w:i/>
                <w:szCs w:val="18"/>
              </w:rPr>
              <w:t>DE</w:t>
            </w:r>
            <w:r w:rsidRPr="001570EA">
              <w:rPr>
                <w:rFonts w:cs="Arial"/>
                <w:i/>
                <w:szCs w:val="18"/>
                <w:vertAlign w:val="subscript"/>
              </w:rPr>
              <w:t>post</w:t>
            </w:r>
            <w:r w:rsidRPr="001570EA">
              <w:rPr>
                <w:rFonts w:cs="Arial"/>
                <w:szCs w:val="18"/>
              </w:rPr>
              <w:t xml:space="preserve">, </w:t>
            </w:r>
            <w:r w:rsidRPr="001570EA">
              <w:rPr>
                <w:rFonts w:cs="Arial"/>
              </w:rPr>
              <w:t>Distribution efficiency after duct sealing and insulation</w:t>
            </w:r>
          </w:p>
        </w:tc>
        <w:tc>
          <w:tcPr>
            <w:tcW w:w="677" w:type="pct"/>
            <w:shd w:val="clear" w:color="auto" w:fill="auto"/>
            <w:vAlign w:val="center"/>
          </w:tcPr>
          <w:p w14:paraId="0131502A" w14:textId="77777777" w:rsidR="007376E1" w:rsidRPr="001570EA" w:rsidRDefault="007376E1">
            <w:pPr>
              <w:pStyle w:val="TableCell"/>
              <w:keepNext w:val="0"/>
              <w:spacing w:before="60" w:after="60"/>
              <w:jc w:val="center"/>
              <w:rPr>
                <w:rFonts w:cs="Arial"/>
                <w:i/>
                <w:szCs w:val="18"/>
              </w:rPr>
            </w:pPr>
            <w:r w:rsidRPr="001570EA">
              <w:rPr>
                <w:rFonts w:cs="Arial"/>
                <w:i/>
                <w:szCs w:val="18"/>
              </w:rPr>
              <w:t>None</w:t>
            </w:r>
          </w:p>
        </w:tc>
        <w:tc>
          <w:tcPr>
            <w:tcW w:w="1325" w:type="pct"/>
            <w:shd w:val="clear" w:color="auto" w:fill="auto"/>
            <w:vAlign w:val="center"/>
          </w:tcPr>
          <w:p w14:paraId="5BDD0D15" w14:textId="67AAC4BC" w:rsidR="007376E1" w:rsidRPr="001570EA" w:rsidRDefault="007376E1">
            <w:pPr>
              <w:pStyle w:val="TableCell"/>
              <w:keepNext w:val="0"/>
              <w:spacing w:before="60" w:after="60"/>
              <w:jc w:val="center"/>
              <w:rPr>
                <w:rFonts w:cs="Arial"/>
                <w:szCs w:val="18"/>
              </w:rPr>
            </w:pPr>
            <w:r w:rsidRPr="001570EA">
              <w:rPr>
                <w:rFonts w:cs="Arial"/>
                <w:szCs w:val="18"/>
              </w:rPr>
              <w:fldChar w:fldCharType="begin"/>
            </w:r>
            <w:r w:rsidRPr="001570EA">
              <w:rPr>
                <w:rFonts w:cs="Arial"/>
                <w:szCs w:val="18"/>
              </w:rPr>
              <w:instrText xml:space="preserve"> REF _Ref531072530 \h </w:instrText>
            </w:r>
            <w:r w:rsidR="001570EA">
              <w:rPr>
                <w:rFonts w:cs="Arial"/>
                <w:szCs w:val="18"/>
              </w:rPr>
              <w:instrText xml:space="preserve"> \* MERGEFORMAT </w:instrText>
            </w:r>
            <w:r w:rsidRPr="001570EA">
              <w:rPr>
                <w:rFonts w:cs="Arial"/>
                <w:szCs w:val="18"/>
              </w:rPr>
            </w:r>
            <w:r w:rsidRPr="001570EA">
              <w:rPr>
                <w:rFonts w:cs="Arial"/>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40</w:t>
            </w:r>
            <w:r w:rsidRPr="001570EA">
              <w:rPr>
                <w:rFonts w:cs="Arial"/>
                <w:szCs w:val="18"/>
              </w:rPr>
              <w:fldChar w:fldCharType="end"/>
            </w:r>
            <w:r w:rsidRPr="001570EA">
              <w:rPr>
                <w:rFonts w:cs="Arial"/>
                <w:szCs w:val="18"/>
              </w:rPr>
              <w:t xml:space="preserve">, </w:t>
            </w:r>
            <w:r w:rsidRPr="001570EA">
              <w:rPr>
                <w:rFonts w:cs="Arial"/>
                <w:szCs w:val="18"/>
              </w:rPr>
              <w:fldChar w:fldCharType="begin"/>
            </w:r>
            <w:r w:rsidRPr="001570EA">
              <w:rPr>
                <w:rFonts w:cs="Arial"/>
                <w:szCs w:val="18"/>
              </w:rPr>
              <w:instrText xml:space="preserve"> REF _Ref527037772 \h </w:instrText>
            </w:r>
            <w:r w:rsidR="001570EA">
              <w:rPr>
                <w:rFonts w:cs="Arial"/>
                <w:szCs w:val="18"/>
              </w:rPr>
              <w:instrText xml:space="preserve"> \* MERGEFORMAT </w:instrText>
            </w:r>
            <w:r w:rsidRPr="001570EA">
              <w:rPr>
                <w:rFonts w:cs="Arial"/>
                <w:szCs w:val="18"/>
              </w:rPr>
            </w:r>
            <w:r w:rsidRPr="001570EA">
              <w:rPr>
                <w:rFonts w:cs="Arial"/>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41</w:t>
            </w:r>
            <w:r w:rsidRPr="001570EA">
              <w:rPr>
                <w:rFonts w:cs="Arial"/>
                <w:szCs w:val="18"/>
              </w:rPr>
              <w:fldChar w:fldCharType="end"/>
            </w:r>
          </w:p>
          <w:p w14:paraId="4A4BD6D1" w14:textId="77777777" w:rsidR="007376E1" w:rsidRPr="001570EA" w:rsidRDefault="007376E1">
            <w:pPr>
              <w:pStyle w:val="TableCell"/>
              <w:keepNext w:val="0"/>
              <w:spacing w:before="60" w:after="60"/>
              <w:jc w:val="center"/>
              <w:rPr>
                <w:rFonts w:cs="Arial"/>
                <w:szCs w:val="18"/>
              </w:rPr>
            </w:pPr>
            <w:r w:rsidRPr="001570EA">
              <w:rPr>
                <w:rFonts w:cs="Arial"/>
                <w:szCs w:val="18"/>
              </w:rPr>
              <w:t>Not to exceed 100%</w:t>
            </w:r>
          </w:p>
        </w:tc>
        <w:tc>
          <w:tcPr>
            <w:tcW w:w="862" w:type="pct"/>
            <w:shd w:val="clear" w:color="auto" w:fill="auto"/>
            <w:vAlign w:val="center"/>
          </w:tcPr>
          <w:p w14:paraId="5A7CDC5A" w14:textId="77777777" w:rsidR="007376E1" w:rsidRPr="001570EA" w:rsidRDefault="007376E1">
            <w:pPr>
              <w:jc w:val="center"/>
              <w:rPr>
                <w:rFonts w:cs="Arial"/>
                <w:color w:val="0000FF"/>
                <w:sz w:val="18"/>
                <w:szCs w:val="18"/>
              </w:rPr>
            </w:pPr>
            <w:r w:rsidRPr="001570EA">
              <w:rPr>
                <w:rFonts w:cs="Arial"/>
                <w:sz w:val="18"/>
                <w:szCs w:val="18"/>
              </w:rPr>
              <w:t>2</w:t>
            </w:r>
          </w:p>
        </w:tc>
      </w:tr>
      <w:tr w:rsidR="007376E1" w:rsidRPr="001570EA" w14:paraId="10E11B80" w14:textId="77777777">
        <w:trPr>
          <w:trHeight w:val="476"/>
        </w:trPr>
        <w:tc>
          <w:tcPr>
            <w:tcW w:w="2136" w:type="pct"/>
            <w:shd w:val="clear" w:color="auto" w:fill="auto"/>
            <w:vAlign w:val="center"/>
          </w:tcPr>
          <w:p w14:paraId="3C7DC156" w14:textId="34202841" w:rsidR="007376E1" w:rsidRPr="001570EA" w:rsidRDefault="007376E1">
            <w:pPr>
              <w:pStyle w:val="TableCell"/>
              <w:keepNext w:val="0"/>
              <w:spacing w:before="60" w:after="60"/>
              <w:jc w:val="left"/>
              <w:rPr>
                <w:rFonts w:cs="Arial"/>
                <w:szCs w:val="18"/>
              </w:rPr>
            </w:pPr>
            <w:r w:rsidRPr="001570EA">
              <w:rPr>
                <w:rFonts w:cs="Arial"/>
                <w:i/>
                <w:szCs w:val="18"/>
              </w:rPr>
              <w:t>DE</w:t>
            </w:r>
            <w:r w:rsidRPr="001570EA">
              <w:rPr>
                <w:rFonts w:cs="Arial"/>
                <w:i/>
                <w:szCs w:val="18"/>
                <w:vertAlign w:val="subscript"/>
              </w:rPr>
              <w:t>pre</w:t>
            </w:r>
            <w:r w:rsidRPr="001570EA">
              <w:rPr>
                <w:rFonts w:cs="Arial"/>
                <w:szCs w:val="18"/>
              </w:rPr>
              <w:t xml:space="preserve">, </w:t>
            </w:r>
            <w:r w:rsidRPr="001570EA">
              <w:rPr>
                <w:rFonts w:cs="Arial"/>
              </w:rPr>
              <w:t>Distribution efficiency before duct sealing and insulation</w:t>
            </w:r>
          </w:p>
        </w:tc>
        <w:tc>
          <w:tcPr>
            <w:tcW w:w="677" w:type="pct"/>
            <w:shd w:val="clear" w:color="auto" w:fill="auto"/>
            <w:vAlign w:val="center"/>
          </w:tcPr>
          <w:p w14:paraId="3F6ED823" w14:textId="77777777" w:rsidR="007376E1" w:rsidRPr="001570EA" w:rsidRDefault="007376E1">
            <w:pPr>
              <w:pStyle w:val="TableCell"/>
              <w:keepNext w:val="0"/>
              <w:spacing w:before="60" w:after="60"/>
              <w:jc w:val="center"/>
              <w:rPr>
                <w:rFonts w:cs="Arial"/>
                <w:i/>
                <w:szCs w:val="18"/>
              </w:rPr>
            </w:pPr>
            <w:r w:rsidRPr="001570EA">
              <w:rPr>
                <w:rFonts w:cs="Arial"/>
                <w:i/>
                <w:szCs w:val="18"/>
              </w:rPr>
              <w:t>None</w:t>
            </w:r>
          </w:p>
        </w:tc>
        <w:tc>
          <w:tcPr>
            <w:tcW w:w="1325" w:type="pct"/>
            <w:shd w:val="clear" w:color="auto" w:fill="auto"/>
            <w:vAlign w:val="center"/>
          </w:tcPr>
          <w:p w14:paraId="1A6683AB" w14:textId="489E8918" w:rsidR="007376E1" w:rsidRPr="001570EA" w:rsidRDefault="007376E1">
            <w:pPr>
              <w:pStyle w:val="TableCell"/>
              <w:keepNext w:val="0"/>
              <w:spacing w:before="60" w:after="60"/>
              <w:jc w:val="center"/>
              <w:rPr>
                <w:rFonts w:cs="Arial"/>
                <w:szCs w:val="18"/>
              </w:rPr>
            </w:pPr>
            <w:r w:rsidRPr="001570EA">
              <w:rPr>
                <w:rFonts w:cs="Arial"/>
                <w:szCs w:val="18"/>
              </w:rPr>
              <w:fldChar w:fldCharType="begin"/>
            </w:r>
            <w:r w:rsidRPr="001570EA">
              <w:rPr>
                <w:rFonts w:cs="Arial"/>
                <w:szCs w:val="18"/>
              </w:rPr>
              <w:instrText xml:space="preserve"> REF _Ref531072530 \h </w:instrText>
            </w:r>
            <w:r w:rsidR="001570EA">
              <w:rPr>
                <w:rFonts w:cs="Arial"/>
                <w:szCs w:val="18"/>
              </w:rPr>
              <w:instrText xml:space="preserve"> \* MERGEFORMAT </w:instrText>
            </w:r>
            <w:r w:rsidRPr="001570EA">
              <w:rPr>
                <w:rFonts w:cs="Arial"/>
                <w:szCs w:val="18"/>
              </w:rPr>
            </w:r>
            <w:r w:rsidRPr="001570EA">
              <w:rPr>
                <w:rFonts w:cs="Arial"/>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40</w:t>
            </w:r>
            <w:r w:rsidRPr="001570EA">
              <w:rPr>
                <w:rFonts w:cs="Arial"/>
                <w:szCs w:val="18"/>
              </w:rPr>
              <w:fldChar w:fldCharType="end"/>
            </w:r>
            <w:r w:rsidRPr="001570EA">
              <w:rPr>
                <w:rFonts w:cs="Arial"/>
                <w:szCs w:val="18"/>
              </w:rPr>
              <w:t xml:space="preserve">, </w:t>
            </w:r>
            <w:r w:rsidRPr="001570EA">
              <w:rPr>
                <w:rFonts w:cs="Arial"/>
                <w:szCs w:val="18"/>
              </w:rPr>
              <w:fldChar w:fldCharType="begin"/>
            </w:r>
            <w:r w:rsidRPr="001570EA">
              <w:rPr>
                <w:rFonts w:cs="Arial"/>
                <w:szCs w:val="18"/>
              </w:rPr>
              <w:instrText xml:space="preserve"> REF _Ref527037772 \h </w:instrText>
            </w:r>
            <w:r w:rsidR="001570EA">
              <w:rPr>
                <w:rFonts w:cs="Arial"/>
                <w:szCs w:val="18"/>
              </w:rPr>
              <w:instrText xml:space="preserve"> \* MERGEFORMAT </w:instrText>
            </w:r>
            <w:r w:rsidRPr="001570EA">
              <w:rPr>
                <w:rFonts w:cs="Arial"/>
                <w:szCs w:val="18"/>
              </w:rPr>
            </w:r>
            <w:r w:rsidRPr="001570EA">
              <w:rPr>
                <w:rFonts w:cs="Arial"/>
                <w:szCs w:val="18"/>
              </w:rPr>
              <w:fldChar w:fldCharType="separate"/>
            </w:r>
            <w:r w:rsidR="00384D95" w:rsidRPr="001570EA">
              <w:t xml:space="preserve">Table </w:t>
            </w:r>
            <w:r w:rsidR="00384D95" w:rsidRPr="001570EA">
              <w:rPr>
                <w:noProof/>
              </w:rPr>
              <w:t>2</w:t>
            </w:r>
            <w:r w:rsidR="00384D95" w:rsidRPr="001570EA">
              <w:noBreakHyphen/>
            </w:r>
            <w:r w:rsidR="00384D95" w:rsidRPr="001570EA">
              <w:rPr>
                <w:noProof/>
              </w:rPr>
              <w:t>41</w:t>
            </w:r>
            <w:r w:rsidRPr="001570EA">
              <w:rPr>
                <w:rFonts w:cs="Arial"/>
                <w:szCs w:val="18"/>
              </w:rPr>
              <w:fldChar w:fldCharType="end"/>
            </w:r>
          </w:p>
          <w:p w14:paraId="69D5FF80" w14:textId="77777777" w:rsidR="007376E1" w:rsidRPr="001570EA" w:rsidRDefault="007376E1">
            <w:pPr>
              <w:pStyle w:val="TableCell"/>
              <w:keepNext w:val="0"/>
              <w:spacing w:before="60" w:after="60"/>
              <w:jc w:val="center"/>
              <w:rPr>
                <w:rFonts w:cs="Arial"/>
                <w:szCs w:val="18"/>
              </w:rPr>
            </w:pPr>
            <w:r w:rsidRPr="001570EA">
              <w:rPr>
                <w:rFonts w:cs="Arial"/>
                <w:szCs w:val="18"/>
              </w:rPr>
              <w:t>Not to exceed 100%</w:t>
            </w:r>
          </w:p>
        </w:tc>
        <w:tc>
          <w:tcPr>
            <w:tcW w:w="862" w:type="pct"/>
            <w:shd w:val="clear" w:color="auto" w:fill="auto"/>
            <w:vAlign w:val="center"/>
          </w:tcPr>
          <w:p w14:paraId="51B7BD2C" w14:textId="77777777" w:rsidR="007376E1" w:rsidRPr="001570EA" w:rsidRDefault="007376E1">
            <w:pPr>
              <w:jc w:val="center"/>
              <w:rPr>
                <w:sz w:val="18"/>
                <w:szCs w:val="18"/>
              </w:rPr>
            </w:pPr>
            <w:r w:rsidRPr="001570EA">
              <w:rPr>
                <w:sz w:val="18"/>
                <w:szCs w:val="18"/>
              </w:rPr>
              <w:t>2</w:t>
            </w:r>
          </w:p>
        </w:tc>
      </w:tr>
    </w:tbl>
    <w:p w14:paraId="26E8C129" w14:textId="77777777" w:rsidR="007376E1" w:rsidRPr="001570EA" w:rsidRDefault="007376E1" w:rsidP="007376E1">
      <w:bookmarkStart w:id="285" w:name="_Ref527036069"/>
      <w:r w:rsidRPr="001570EA">
        <w:t>Note: Where appropriate, nameplate data collected for usage in savings calculations (i.e., SEER, EER, HSPF) should be converted to new efficiency metrics (i.e., SEER2, EER2, HSPF2) using conversion equations laid out in Vol. 1 App. A</w:t>
      </w:r>
    </w:p>
    <w:p w14:paraId="2E54C2D8" w14:textId="77777777" w:rsidR="00540B03" w:rsidRPr="001570EA" w:rsidRDefault="00540B03" w:rsidP="007376E1"/>
    <w:p w14:paraId="4A471C8F" w14:textId="0CA1FEE1" w:rsidR="007376E1" w:rsidRPr="001570EA" w:rsidRDefault="007376E1" w:rsidP="007376E1">
      <w:pPr>
        <w:pStyle w:val="Caption"/>
      </w:pPr>
      <w:bookmarkStart w:id="286" w:name="_Ref531072530"/>
      <w:bookmarkStart w:id="287" w:name="_Toc47598276"/>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40</w:t>
      </w:r>
      <w:r w:rsidR="002E093A" w:rsidRPr="001570EA">
        <w:fldChar w:fldCharType="end"/>
      </w:r>
      <w:bookmarkEnd w:id="285"/>
      <w:bookmarkEnd w:id="286"/>
      <w:r w:rsidRPr="001570EA">
        <w:t>: Distribution Efficiency by Climate Zone; Conditioned Air Type; Duct Location, Leakage &amp; Insulation</w:t>
      </w:r>
      <w:bookmarkEnd w:id="287"/>
    </w:p>
    <w:tbl>
      <w:tblPr>
        <w:tblW w:w="9781" w:type="dxa"/>
        <w:jc w:val="center"/>
        <w:tblLook w:val="04A0" w:firstRow="1" w:lastRow="0" w:firstColumn="1" w:lastColumn="0" w:noHBand="0" w:noVBand="1"/>
      </w:tblPr>
      <w:tblGrid>
        <w:gridCol w:w="1066"/>
        <w:gridCol w:w="1269"/>
        <w:gridCol w:w="620"/>
        <w:gridCol w:w="620"/>
        <w:gridCol w:w="620"/>
        <w:gridCol w:w="620"/>
        <w:gridCol w:w="620"/>
        <w:gridCol w:w="620"/>
        <w:gridCol w:w="620"/>
        <w:gridCol w:w="620"/>
        <w:gridCol w:w="620"/>
        <w:gridCol w:w="620"/>
        <w:gridCol w:w="620"/>
        <w:gridCol w:w="620"/>
        <w:gridCol w:w="6"/>
      </w:tblGrid>
      <w:tr w:rsidR="007376E1" w:rsidRPr="001570EA" w14:paraId="35DDBF4E" w14:textId="77777777">
        <w:trPr>
          <w:gridAfter w:val="1"/>
          <w:wAfter w:w="6" w:type="dxa"/>
          <w:trHeight w:val="288"/>
          <w:jc w:val="center"/>
        </w:trPr>
        <w:tc>
          <w:tcPr>
            <w:tcW w:w="1066"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251F6B8C" w14:textId="77777777" w:rsidR="007376E1" w:rsidRPr="001570EA" w:rsidRDefault="007376E1">
            <w:pPr>
              <w:keepNext/>
              <w:jc w:val="center"/>
              <w:rPr>
                <w:rFonts w:cs="Arial"/>
                <w:b/>
                <w:color w:val="000000"/>
                <w:sz w:val="18"/>
                <w:szCs w:val="18"/>
              </w:rPr>
            </w:pPr>
            <w:r w:rsidRPr="001570EA">
              <w:rPr>
                <w:rFonts w:cs="Arial"/>
                <w:b/>
                <w:color w:val="000000"/>
                <w:sz w:val="18"/>
                <w:szCs w:val="18"/>
              </w:rPr>
              <w:t>Insulation</w:t>
            </w:r>
          </w:p>
        </w:tc>
        <w:tc>
          <w:tcPr>
            <w:tcW w:w="12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6DAC48" w14:textId="77777777" w:rsidR="007376E1" w:rsidRPr="001570EA" w:rsidRDefault="007376E1">
            <w:pPr>
              <w:keepNext/>
              <w:jc w:val="center"/>
              <w:rPr>
                <w:rFonts w:cs="Arial"/>
                <w:b/>
                <w:color w:val="000000"/>
                <w:sz w:val="18"/>
                <w:szCs w:val="18"/>
              </w:rPr>
            </w:pPr>
            <w:r w:rsidRPr="001570EA">
              <w:rPr>
                <w:rFonts w:cs="Arial"/>
                <w:b/>
                <w:color w:val="000000"/>
                <w:sz w:val="18"/>
                <w:szCs w:val="18"/>
              </w:rPr>
              <w:t>Location</w:t>
            </w:r>
          </w:p>
        </w:tc>
        <w:tc>
          <w:tcPr>
            <w:tcW w:w="2480" w:type="dxa"/>
            <w:gridSpan w:val="4"/>
            <w:tcBorders>
              <w:top w:val="single" w:sz="4" w:space="0" w:color="auto"/>
              <w:left w:val="nil"/>
              <w:bottom w:val="single" w:sz="4" w:space="0" w:color="auto"/>
              <w:right w:val="single" w:sz="12" w:space="0" w:color="auto"/>
            </w:tcBorders>
            <w:shd w:val="clear" w:color="auto" w:fill="BFBFBF" w:themeFill="background1" w:themeFillShade="BF"/>
            <w:noWrap/>
            <w:vAlign w:val="center"/>
            <w:hideMark/>
          </w:tcPr>
          <w:p w14:paraId="27771881" w14:textId="77777777" w:rsidR="007376E1" w:rsidRPr="001570EA" w:rsidRDefault="007376E1">
            <w:pPr>
              <w:keepNext/>
              <w:jc w:val="center"/>
              <w:rPr>
                <w:rFonts w:cs="Arial"/>
                <w:b/>
                <w:color w:val="000000"/>
                <w:sz w:val="18"/>
                <w:szCs w:val="18"/>
              </w:rPr>
            </w:pPr>
            <w:r w:rsidRPr="001570EA">
              <w:rPr>
                <w:rFonts w:cs="Arial"/>
                <w:b/>
                <w:color w:val="000000"/>
                <w:sz w:val="18"/>
                <w:szCs w:val="18"/>
              </w:rPr>
              <w:t>Attic</w:t>
            </w:r>
          </w:p>
        </w:tc>
        <w:tc>
          <w:tcPr>
            <w:tcW w:w="2480" w:type="dxa"/>
            <w:gridSpan w:val="4"/>
            <w:tcBorders>
              <w:top w:val="single" w:sz="8" w:space="0" w:color="auto"/>
              <w:left w:val="single" w:sz="12" w:space="0" w:color="auto"/>
              <w:bottom w:val="single" w:sz="4" w:space="0" w:color="auto"/>
              <w:right w:val="single" w:sz="12" w:space="0" w:color="auto"/>
            </w:tcBorders>
            <w:shd w:val="clear" w:color="auto" w:fill="BFBFBF" w:themeFill="background1" w:themeFillShade="BF"/>
            <w:noWrap/>
            <w:vAlign w:val="center"/>
            <w:hideMark/>
          </w:tcPr>
          <w:p w14:paraId="1EF3D83E" w14:textId="77777777" w:rsidR="007376E1" w:rsidRPr="001570EA" w:rsidRDefault="007376E1">
            <w:pPr>
              <w:keepNext/>
              <w:jc w:val="center"/>
              <w:rPr>
                <w:rFonts w:cs="Arial"/>
                <w:b/>
                <w:color w:val="000000"/>
                <w:sz w:val="18"/>
                <w:szCs w:val="18"/>
              </w:rPr>
            </w:pPr>
            <w:r w:rsidRPr="001570EA">
              <w:rPr>
                <w:rFonts w:cs="Arial"/>
                <w:b/>
                <w:color w:val="000000"/>
                <w:sz w:val="18"/>
                <w:szCs w:val="18"/>
              </w:rPr>
              <w:t>Basement</w:t>
            </w:r>
          </w:p>
        </w:tc>
        <w:tc>
          <w:tcPr>
            <w:tcW w:w="2480" w:type="dxa"/>
            <w:gridSpan w:val="4"/>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hideMark/>
          </w:tcPr>
          <w:p w14:paraId="0BBB9207" w14:textId="77777777" w:rsidR="007376E1" w:rsidRPr="001570EA" w:rsidRDefault="007376E1">
            <w:pPr>
              <w:keepNext/>
              <w:jc w:val="center"/>
              <w:rPr>
                <w:rFonts w:cs="Arial"/>
                <w:b/>
                <w:color w:val="000000"/>
                <w:sz w:val="18"/>
                <w:szCs w:val="18"/>
              </w:rPr>
            </w:pPr>
            <w:r w:rsidRPr="001570EA">
              <w:rPr>
                <w:rFonts w:cs="Arial"/>
                <w:b/>
                <w:color w:val="000000"/>
                <w:sz w:val="18"/>
                <w:szCs w:val="18"/>
              </w:rPr>
              <w:t>Vented Crawl</w:t>
            </w:r>
          </w:p>
        </w:tc>
      </w:tr>
      <w:tr w:rsidR="007376E1" w:rsidRPr="001570EA" w14:paraId="728CB921" w14:textId="77777777">
        <w:trPr>
          <w:gridAfter w:val="1"/>
          <w:wAfter w:w="6" w:type="dxa"/>
          <w:trHeight w:val="288"/>
          <w:jc w:val="center"/>
        </w:trPr>
        <w:tc>
          <w:tcPr>
            <w:tcW w:w="1066"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700E5FC" w14:textId="77777777" w:rsidR="007376E1" w:rsidRPr="001570EA" w:rsidRDefault="007376E1">
            <w:pPr>
              <w:keepNext/>
              <w:rPr>
                <w:rFonts w:cs="Arial"/>
                <w:b/>
                <w:color w:val="000000"/>
                <w:sz w:val="18"/>
                <w:szCs w:val="18"/>
              </w:rPr>
            </w:pPr>
          </w:p>
        </w:tc>
        <w:tc>
          <w:tcPr>
            <w:tcW w:w="126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883B570" w14:textId="77777777" w:rsidR="007376E1" w:rsidRPr="001570EA" w:rsidRDefault="007376E1">
            <w:pPr>
              <w:keepNext/>
              <w:jc w:val="center"/>
              <w:rPr>
                <w:rFonts w:cs="Arial"/>
                <w:b/>
                <w:color w:val="000000"/>
                <w:sz w:val="18"/>
                <w:szCs w:val="18"/>
              </w:rPr>
            </w:pPr>
            <w:r w:rsidRPr="001570EA">
              <w:rPr>
                <w:rFonts w:cs="Arial"/>
                <w:b/>
                <w:color w:val="000000"/>
                <w:sz w:val="18"/>
                <w:szCs w:val="18"/>
              </w:rPr>
              <w:t>HVAC Type</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D448B5" w14:textId="77777777" w:rsidR="007376E1" w:rsidRPr="001570EA" w:rsidRDefault="007376E1">
            <w:pPr>
              <w:keepNext/>
              <w:jc w:val="center"/>
              <w:rPr>
                <w:rFonts w:cs="Arial"/>
                <w:b/>
                <w:color w:val="000000"/>
                <w:sz w:val="18"/>
                <w:szCs w:val="18"/>
              </w:rPr>
            </w:pPr>
            <w:r w:rsidRPr="001570EA">
              <w:rPr>
                <w:rFonts w:cs="Arial"/>
                <w:b/>
                <w:color w:val="000000"/>
                <w:sz w:val="18"/>
                <w:szCs w:val="18"/>
              </w:rPr>
              <w:t>Heat</w:t>
            </w:r>
          </w:p>
        </w:tc>
        <w:tc>
          <w:tcPr>
            <w:tcW w:w="1240" w:type="dxa"/>
            <w:gridSpan w:val="2"/>
            <w:tcBorders>
              <w:top w:val="single" w:sz="4" w:space="0" w:color="auto"/>
              <w:left w:val="nil"/>
              <w:bottom w:val="single" w:sz="4" w:space="0" w:color="auto"/>
              <w:right w:val="single" w:sz="12" w:space="0" w:color="auto"/>
            </w:tcBorders>
            <w:shd w:val="clear" w:color="auto" w:fill="auto"/>
            <w:noWrap/>
            <w:vAlign w:val="center"/>
            <w:hideMark/>
          </w:tcPr>
          <w:p w14:paraId="5DF5F203" w14:textId="77777777" w:rsidR="007376E1" w:rsidRPr="001570EA" w:rsidRDefault="007376E1">
            <w:pPr>
              <w:keepNext/>
              <w:jc w:val="center"/>
              <w:rPr>
                <w:rFonts w:cs="Arial"/>
                <w:b/>
                <w:color w:val="000000"/>
                <w:sz w:val="18"/>
                <w:szCs w:val="18"/>
              </w:rPr>
            </w:pPr>
            <w:r w:rsidRPr="001570EA">
              <w:rPr>
                <w:rFonts w:cs="Arial"/>
                <w:b/>
                <w:color w:val="000000"/>
                <w:sz w:val="18"/>
                <w:szCs w:val="18"/>
              </w:rPr>
              <w:t>Cool</w:t>
            </w:r>
          </w:p>
        </w:tc>
        <w:tc>
          <w:tcPr>
            <w:tcW w:w="1240"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F524803" w14:textId="77777777" w:rsidR="007376E1" w:rsidRPr="001570EA" w:rsidRDefault="007376E1">
            <w:pPr>
              <w:keepNext/>
              <w:jc w:val="center"/>
              <w:rPr>
                <w:rFonts w:cs="Arial"/>
                <w:b/>
                <w:color w:val="000000"/>
                <w:sz w:val="18"/>
                <w:szCs w:val="18"/>
              </w:rPr>
            </w:pPr>
            <w:r w:rsidRPr="001570EA">
              <w:rPr>
                <w:rFonts w:cs="Arial"/>
                <w:b/>
                <w:color w:val="000000"/>
                <w:sz w:val="18"/>
                <w:szCs w:val="18"/>
              </w:rPr>
              <w:t>Heat</w:t>
            </w:r>
          </w:p>
        </w:tc>
        <w:tc>
          <w:tcPr>
            <w:tcW w:w="1240" w:type="dxa"/>
            <w:gridSpan w:val="2"/>
            <w:tcBorders>
              <w:top w:val="single" w:sz="4" w:space="0" w:color="auto"/>
              <w:left w:val="nil"/>
              <w:bottom w:val="single" w:sz="4" w:space="0" w:color="auto"/>
              <w:right w:val="single" w:sz="12" w:space="0" w:color="auto"/>
            </w:tcBorders>
            <w:shd w:val="clear" w:color="auto" w:fill="auto"/>
            <w:noWrap/>
            <w:vAlign w:val="center"/>
            <w:hideMark/>
          </w:tcPr>
          <w:p w14:paraId="52A17CA5" w14:textId="77777777" w:rsidR="007376E1" w:rsidRPr="001570EA" w:rsidRDefault="007376E1">
            <w:pPr>
              <w:keepNext/>
              <w:jc w:val="center"/>
              <w:rPr>
                <w:rFonts w:cs="Arial"/>
                <w:b/>
                <w:color w:val="000000"/>
                <w:sz w:val="18"/>
                <w:szCs w:val="18"/>
              </w:rPr>
            </w:pPr>
            <w:r w:rsidRPr="001570EA">
              <w:rPr>
                <w:rFonts w:cs="Arial"/>
                <w:b/>
                <w:color w:val="000000"/>
                <w:sz w:val="18"/>
                <w:szCs w:val="18"/>
              </w:rPr>
              <w:t>Cool</w:t>
            </w:r>
          </w:p>
        </w:tc>
        <w:tc>
          <w:tcPr>
            <w:tcW w:w="1240"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837B2D1" w14:textId="77777777" w:rsidR="007376E1" w:rsidRPr="001570EA" w:rsidRDefault="007376E1">
            <w:pPr>
              <w:keepNext/>
              <w:jc w:val="center"/>
              <w:rPr>
                <w:rFonts w:cs="Arial"/>
                <w:b/>
                <w:color w:val="000000"/>
                <w:sz w:val="18"/>
                <w:szCs w:val="18"/>
              </w:rPr>
            </w:pPr>
            <w:r w:rsidRPr="001570EA">
              <w:rPr>
                <w:rFonts w:cs="Arial"/>
                <w:b/>
                <w:color w:val="000000"/>
                <w:sz w:val="18"/>
                <w:szCs w:val="18"/>
              </w:rPr>
              <w:t>Heat</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D3AC7B" w14:textId="77777777" w:rsidR="007376E1" w:rsidRPr="001570EA" w:rsidRDefault="007376E1">
            <w:pPr>
              <w:keepNext/>
              <w:jc w:val="center"/>
              <w:rPr>
                <w:rFonts w:cs="Arial"/>
                <w:b/>
                <w:color w:val="000000"/>
                <w:sz w:val="18"/>
                <w:szCs w:val="18"/>
              </w:rPr>
            </w:pPr>
            <w:r w:rsidRPr="001570EA">
              <w:rPr>
                <w:rFonts w:cs="Arial"/>
                <w:b/>
                <w:color w:val="000000"/>
                <w:sz w:val="18"/>
                <w:szCs w:val="18"/>
              </w:rPr>
              <w:t>Cool</w:t>
            </w:r>
          </w:p>
        </w:tc>
      </w:tr>
      <w:tr w:rsidR="007376E1" w:rsidRPr="001570EA" w14:paraId="45B06072" w14:textId="77777777">
        <w:trPr>
          <w:gridAfter w:val="1"/>
          <w:wAfter w:w="6" w:type="dxa"/>
          <w:trHeight w:val="288"/>
          <w:jc w:val="center"/>
        </w:trPr>
        <w:tc>
          <w:tcPr>
            <w:tcW w:w="1066"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BA72E03" w14:textId="77777777" w:rsidR="007376E1" w:rsidRPr="001570EA" w:rsidRDefault="007376E1">
            <w:pPr>
              <w:keepNext/>
              <w:rPr>
                <w:rFonts w:cs="Arial"/>
                <w:b/>
                <w:color w:val="000000"/>
                <w:sz w:val="18"/>
                <w:szCs w:val="18"/>
              </w:rPr>
            </w:pPr>
          </w:p>
        </w:tc>
        <w:tc>
          <w:tcPr>
            <w:tcW w:w="1269" w:type="dxa"/>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779CE8DA" w14:textId="77777777" w:rsidR="007376E1" w:rsidRPr="001570EA" w:rsidRDefault="007376E1">
            <w:pPr>
              <w:keepNext/>
              <w:jc w:val="center"/>
              <w:rPr>
                <w:rFonts w:cs="Arial"/>
                <w:b/>
                <w:color w:val="000000"/>
                <w:sz w:val="18"/>
                <w:szCs w:val="18"/>
              </w:rPr>
            </w:pPr>
            <w:r w:rsidRPr="001570EA">
              <w:rPr>
                <w:rFonts w:cs="Arial"/>
                <w:b/>
                <w:color w:val="000000"/>
                <w:sz w:val="18"/>
                <w:szCs w:val="18"/>
              </w:rPr>
              <w:t>Leakage \ CZ*</w:t>
            </w:r>
          </w:p>
        </w:tc>
        <w:tc>
          <w:tcPr>
            <w:tcW w:w="620" w:type="dxa"/>
            <w:tcBorders>
              <w:top w:val="nil"/>
              <w:left w:val="nil"/>
              <w:bottom w:val="single" w:sz="4" w:space="0" w:color="auto"/>
              <w:right w:val="single" w:sz="4" w:space="0" w:color="auto"/>
            </w:tcBorders>
            <w:shd w:val="clear" w:color="auto" w:fill="BFBFBF" w:themeFill="background1" w:themeFillShade="BF"/>
            <w:noWrap/>
            <w:vAlign w:val="center"/>
            <w:hideMark/>
          </w:tcPr>
          <w:p w14:paraId="599DE323" w14:textId="77777777" w:rsidR="007376E1" w:rsidRPr="001570EA" w:rsidRDefault="007376E1">
            <w:pPr>
              <w:keepNext/>
              <w:jc w:val="center"/>
              <w:rPr>
                <w:rFonts w:cs="Arial"/>
                <w:b/>
                <w:color w:val="000000"/>
                <w:sz w:val="18"/>
                <w:szCs w:val="18"/>
              </w:rPr>
            </w:pPr>
            <w:r w:rsidRPr="001570EA">
              <w:rPr>
                <w:rFonts w:cs="Arial"/>
                <w:b/>
                <w:color w:val="000000"/>
                <w:sz w:val="18"/>
                <w:szCs w:val="18"/>
              </w:rPr>
              <w:t>4&amp;5</w:t>
            </w:r>
          </w:p>
        </w:tc>
        <w:tc>
          <w:tcPr>
            <w:tcW w:w="620" w:type="dxa"/>
            <w:tcBorders>
              <w:top w:val="nil"/>
              <w:left w:val="nil"/>
              <w:bottom w:val="single" w:sz="4" w:space="0" w:color="auto"/>
              <w:right w:val="single" w:sz="4" w:space="0" w:color="auto"/>
            </w:tcBorders>
            <w:shd w:val="clear" w:color="auto" w:fill="BFBFBF" w:themeFill="background1" w:themeFillShade="BF"/>
            <w:noWrap/>
            <w:vAlign w:val="center"/>
            <w:hideMark/>
          </w:tcPr>
          <w:p w14:paraId="191F9DF1" w14:textId="77777777" w:rsidR="007376E1" w:rsidRPr="001570EA" w:rsidRDefault="007376E1">
            <w:pPr>
              <w:keepNext/>
              <w:jc w:val="center"/>
              <w:rPr>
                <w:rFonts w:cs="Arial"/>
                <w:b/>
                <w:color w:val="000000"/>
                <w:sz w:val="18"/>
                <w:szCs w:val="18"/>
              </w:rPr>
            </w:pPr>
            <w:r w:rsidRPr="001570EA">
              <w:rPr>
                <w:rFonts w:cs="Arial"/>
                <w:b/>
                <w:color w:val="000000"/>
                <w:sz w:val="18"/>
                <w:szCs w:val="18"/>
              </w:rPr>
              <w:t>6</w:t>
            </w:r>
          </w:p>
        </w:tc>
        <w:tc>
          <w:tcPr>
            <w:tcW w:w="620" w:type="dxa"/>
            <w:tcBorders>
              <w:top w:val="nil"/>
              <w:left w:val="nil"/>
              <w:bottom w:val="single" w:sz="4" w:space="0" w:color="auto"/>
              <w:right w:val="single" w:sz="4" w:space="0" w:color="auto"/>
            </w:tcBorders>
            <w:shd w:val="clear" w:color="auto" w:fill="BFBFBF" w:themeFill="background1" w:themeFillShade="BF"/>
            <w:noWrap/>
            <w:vAlign w:val="center"/>
            <w:hideMark/>
          </w:tcPr>
          <w:p w14:paraId="6CFAF36D" w14:textId="77777777" w:rsidR="007376E1" w:rsidRPr="001570EA" w:rsidRDefault="007376E1">
            <w:pPr>
              <w:keepNext/>
              <w:jc w:val="center"/>
              <w:rPr>
                <w:rFonts w:cs="Arial"/>
                <w:b/>
                <w:color w:val="000000"/>
                <w:sz w:val="18"/>
                <w:szCs w:val="18"/>
              </w:rPr>
            </w:pPr>
            <w:r w:rsidRPr="001570EA">
              <w:rPr>
                <w:rFonts w:cs="Arial"/>
                <w:b/>
                <w:color w:val="000000"/>
                <w:sz w:val="18"/>
                <w:szCs w:val="18"/>
              </w:rPr>
              <w:t>4&amp;5</w:t>
            </w:r>
          </w:p>
        </w:tc>
        <w:tc>
          <w:tcPr>
            <w:tcW w:w="620" w:type="dxa"/>
            <w:tcBorders>
              <w:top w:val="nil"/>
              <w:left w:val="nil"/>
              <w:bottom w:val="single" w:sz="4" w:space="0" w:color="auto"/>
              <w:right w:val="single" w:sz="12" w:space="0" w:color="auto"/>
            </w:tcBorders>
            <w:shd w:val="clear" w:color="auto" w:fill="BFBFBF" w:themeFill="background1" w:themeFillShade="BF"/>
            <w:noWrap/>
            <w:vAlign w:val="center"/>
            <w:hideMark/>
          </w:tcPr>
          <w:p w14:paraId="7259845F" w14:textId="77777777" w:rsidR="007376E1" w:rsidRPr="001570EA" w:rsidRDefault="007376E1">
            <w:pPr>
              <w:keepNext/>
              <w:jc w:val="center"/>
              <w:rPr>
                <w:rFonts w:cs="Arial"/>
                <w:b/>
                <w:color w:val="000000"/>
                <w:sz w:val="18"/>
                <w:szCs w:val="18"/>
              </w:rPr>
            </w:pPr>
            <w:r w:rsidRPr="001570EA">
              <w:rPr>
                <w:rFonts w:cs="Arial"/>
                <w:b/>
                <w:color w:val="000000"/>
                <w:sz w:val="18"/>
                <w:szCs w:val="18"/>
              </w:rPr>
              <w:t>6</w:t>
            </w:r>
          </w:p>
        </w:tc>
        <w:tc>
          <w:tcPr>
            <w:tcW w:w="620" w:type="dxa"/>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6F382061" w14:textId="77777777" w:rsidR="007376E1" w:rsidRPr="001570EA" w:rsidRDefault="007376E1">
            <w:pPr>
              <w:keepNext/>
              <w:jc w:val="center"/>
              <w:rPr>
                <w:rFonts w:cs="Arial"/>
                <w:b/>
                <w:color w:val="000000"/>
                <w:sz w:val="18"/>
                <w:szCs w:val="18"/>
              </w:rPr>
            </w:pPr>
            <w:r w:rsidRPr="001570EA">
              <w:rPr>
                <w:rFonts w:cs="Arial"/>
                <w:b/>
                <w:color w:val="000000"/>
                <w:sz w:val="18"/>
                <w:szCs w:val="18"/>
              </w:rPr>
              <w:t>4&amp;5</w:t>
            </w:r>
          </w:p>
        </w:tc>
        <w:tc>
          <w:tcPr>
            <w:tcW w:w="620" w:type="dxa"/>
            <w:tcBorders>
              <w:top w:val="nil"/>
              <w:left w:val="nil"/>
              <w:bottom w:val="single" w:sz="4" w:space="0" w:color="auto"/>
              <w:right w:val="single" w:sz="4" w:space="0" w:color="auto"/>
            </w:tcBorders>
            <w:shd w:val="clear" w:color="auto" w:fill="BFBFBF" w:themeFill="background1" w:themeFillShade="BF"/>
            <w:noWrap/>
            <w:vAlign w:val="center"/>
            <w:hideMark/>
          </w:tcPr>
          <w:p w14:paraId="573F0A6B" w14:textId="77777777" w:rsidR="007376E1" w:rsidRPr="001570EA" w:rsidRDefault="007376E1">
            <w:pPr>
              <w:keepNext/>
              <w:jc w:val="center"/>
              <w:rPr>
                <w:rFonts w:cs="Arial"/>
                <w:b/>
                <w:color w:val="000000"/>
                <w:sz w:val="18"/>
                <w:szCs w:val="18"/>
              </w:rPr>
            </w:pPr>
            <w:r w:rsidRPr="001570EA">
              <w:rPr>
                <w:rFonts w:cs="Arial"/>
                <w:b/>
                <w:color w:val="000000"/>
                <w:sz w:val="18"/>
                <w:szCs w:val="18"/>
              </w:rPr>
              <w:t>6</w:t>
            </w:r>
          </w:p>
        </w:tc>
        <w:tc>
          <w:tcPr>
            <w:tcW w:w="620" w:type="dxa"/>
            <w:tcBorders>
              <w:top w:val="nil"/>
              <w:left w:val="nil"/>
              <w:bottom w:val="single" w:sz="4" w:space="0" w:color="auto"/>
              <w:right w:val="single" w:sz="4" w:space="0" w:color="auto"/>
            </w:tcBorders>
            <w:shd w:val="clear" w:color="auto" w:fill="BFBFBF" w:themeFill="background1" w:themeFillShade="BF"/>
            <w:noWrap/>
            <w:vAlign w:val="center"/>
            <w:hideMark/>
          </w:tcPr>
          <w:p w14:paraId="287F9B57" w14:textId="77777777" w:rsidR="007376E1" w:rsidRPr="001570EA" w:rsidRDefault="007376E1">
            <w:pPr>
              <w:keepNext/>
              <w:jc w:val="center"/>
              <w:rPr>
                <w:rFonts w:cs="Arial"/>
                <w:b/>
                <w:color w:val="000000"/>
                <w:sz w:val="18"/>
                <w:szCs w:val="18"/>
              </w:rPr>
            </w:pPr>
            <w:r w:rsidRPr="001570EA">
              <w:rPr>
                <w:rFonts w:cs="Arial"/>
                <w:b/>
                <w:color w:val="000000"/>
                <w:sz w:val="18"/>
                <w:szCs w:val="18"/>
              </w:rPr>
              <w:t>4&amp;5</w:t>
            </w:r>
          </w:p>
        </w:tc>
        <w:tc>
          <w:tcPr>
            <w:tcW w:w="620" w:type="dxa"/>
            <w:tcBorders>
              <w:top w:val="nil"/>
              <w:left w:val="nil"/>
              <w:bottom w:val="single" w:sz="4" w:space="0" w:color="auto"/>
              <w:right w:val="single" w:sz="12" w:space="0" w:color="auto"/>
            </w:tcBorders>
            <w:shd w:val="clear" w:color="auto" w:fill="BFBFBF" w:themeFill="background1" w:themeFillShade="BF"/>
            <w:noWrap/>
            <w:vAlign w:val="center"/>
            <w:hideMark/>
          </w:tcPr>
          <w:p w14:paraId="427724BC" w14:textId="77777777" w:rsidR="007376E1" w:rsidRPr="001570EA" w:rsidRDefault="007376E1">
            <w:pPr>
              <w:keepNext/>
              <w:jc w:val="center"/>
              <w:rPr>
                <w:rFonts w:cs="Arial"/>
                <w:b/>
                <w:color w:val="000000"/>
                <w:sz w:val="18"/>
                <w:szCs w:val="18"/>
              </w:rPr>
            </w:pPr>
            <w:r w:rsidRPr="001570EA">
              <w:rPr>
                <w:rFonts w:cs="Arial"/>
                <w:b/>
                <w:color w:val="000000"/>
                <w:sz w:val="18"/>
                <w:szCs w:val="18"/>
              </w:rPr>
              <w:t>6</w:t>
            </w:r>
          </w:p>
        </w:tc>
        <w:tc>
          <w:tcPr>
            <w:tcW w:w="620" w:type="dxa"/>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6FC908C0" w14:textId="77777777" w:rsidR="007376E1" w:rsidRPr="001570EA" w:rsidRDefault="007376E1">
            <w:pPr>
              <w:keepNext/>
              <w:jc w:val="center"/>
              <w:rPr>
                <w:rFonts w:cs="Arial"/>
                <w:b/>
                <w:color w:val="000000"/>
                <w:sz w:val="18"/>
                <w:szCs w:val="18"/>
              </w:rPr>
            </w:pPr>
            <w:r w:rsidRPr="001570EA">
              <w:rPr>
                <w:rFonts w:cs="Arial"/>
                <w:b/>
                <w:color w:val="000000"/>
                <w:sz w:val="18"/>
                <w:szCs w:val="18"/>
              </w:rPr>
              <w:t>4&amp;5</w:t>
            </w:r>
          </w:p>
        </w:tc>
        <w:tc>
          <w:tcPr>
            <w:tcW w:w="620" w:type="dxa"/>
            <w:tcBorders>
              <w:top w:val="nil"/>
              <w:left w:val="nil"/>
              <w:bottom w:val="single" w:sz="4" w:space="0" w:color="auto"/>
              <w:right w:val="single" w:sz="4" w:space="0" w:color="auto"/>
            </w:tcBorders>
            <w:shd w:val="clear" w:color="auto" w:fill="BFBFBF" w:themeFill="background1" w:themeFillShade="BF"/>
            <w:noWrap/>
            <w:vAlign w:val="center"/>
            <w:hideMark/>
          </w:tcPr>
          <w:p w14:paraId="0E61A065" w14:textId="77777777" w:rsidR="007376E1" w:rsidRPr="001570EA" w:rsidRDefault="007376E1">
            <w:pPr>
              <w:keepNext/>
              <w:jc w:val="center"/>
              <w:rPr>
                <w:rFonts w:cs="Arial"/>
                <w:b/>
                <w:color w:val="000000"/>
                <w:sz w:val="18"/>
                <w:szCs w:val="18"/>
              </w:rPr>
            </w:pPr>
            <w:r w:rsidRPr="001570EA">
              <w:rPr>
                <w:rFonts w:cs="Arial"/>
                <w:b/>
                <w:color w:val="000000"/>
                <w:sz w:val="18"/>
                <w:szCs w:val="18"/>
              </w:rPr>
              <w:t>6</w:t>
            </w:r>
          </w:p>
        </w:tc>
        <w:tc>
          <w:tcPr>
            <w:tcW w:w="620" w:type="dxa"/>
            <w:tcBorders>
              <w:top w:val="nil"/>
              <w:left w:val="nil"/>
              <w:bottom w:val="single" w:sz="4" w:space="0" w:color="auto"/>
              <w:right w:val="single" w:sz="4" w:space="0" w:color="auto"/>
            </w:tcBorders>
            <w:shd w:val="clear" w:color="auto" w:fill="BFBFBF" w:themeFill="background1" w:themeFillShade="BF"/>
            <w:noWrap/>
            <w:vAlign w:val="center"/>
            <w:hideMark/>
          </w:tcPr>
          <w:p w14:paraId="5252F2DF" w14:textId="77777777" w:rsidR="007376E1" w:rsidRPr="001570EA" w:rsidRDefault="007376E1">
            <w:pPr>
              <w:keepNext/>
              <w:jc w:val="center"/>
              <w:rPr>
                <w:rFonts w:cs="Arial"/>
                <w:b/>
                <w:color w:val="000000"/>
                <w:sz w:val="18"/>
                <w:szCs w:val="18"/>
              </w:rPr>
            </w:pPr>
            <w:r w:rsidRPr="001570EA">
              <w:rPr>
                <w:rFonts w:cs="Arial"/>
                <w:b/>
                <w:color w:val="000000"/>
                <w:sz w:val="18"/>
                <w:szCs w:val="18"/>
              </w:rPr>
              <w:t>4&amp;5</w:t>
            </w:r>
          </w:p>
        </w:tc>
        <w:tc>
          <w:tcPr>
            <w:tcW w:w="620" w:type="dxa"/>
            <w:tcBorders>
              <w:top w:val="nil"/>
              <w:left w:val="nil"/>
              <w:bottom w:val="single" w:sz="4" w:space="0" w:color="auto"/>
              <w:right w:val="single" w:sz="4" w:space="0" w:color="auto"/>
            </w:tcBorders>
            <w:shd w:val="clear" w:color="auto" w:fill="BFBFBF" w:themeFill="background1" w:themeFillShade="BF"/>
            <w:noWrap/>
            <w:vAlign w:val="center"/>
            <w:hideMark/>
          </w:tcPr>
          <w:p w14:paraId="533C26FC" w14:textId="77777777" w:rsidR="007376E1" w:rsidRPr="001570EA" w:rsidRDefault="007376E1">
            <w:pPr>
              <w:keepNext/>
              <w:jc w:val="center"/>
              <w:rPr>
                <w:rFonts w:cs="Arial"/>
                <w:b/>
                <w:color w:val="000000"/>
                <w:sz w:val="18"/>
                <w:szCs w:val="18"/>
              </w:rPr>
            </w:pPr>
            <w:r w:rsidRPr="001570EA">
              <w:rPr>
                <w:rFonts w:cs="Arial"/>
                <w:b/>
                <w:color w:val="000000"/>
                <w:sz w:val="18"/>
                <w:szCs w:val="18"/>
              </w:rPr>
              <w:t>6</w:t>
            </w:r>
          </w:p>
        </w:tc>
      </w:tr>
      <w:tr w:rsidR="007376E1" w:rsidRPr="001570EA" w14:paraId="0A9041D4" w14:textId="77777777">
        <w:trPr>
          <w:gridAfter w:val="1"/>
          <w:wAfter w:w="6" w:type="dxa"/>
          <w:trHeight w:val="288"/>
          <w:jc w:val="center"/>
        </w:trPr>
        <w:tc>
          <w:tcPr>
            <w:tcW w:w="10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70D985" w14:textId="77777777" w:rsidR="007376E1" w:rsidRPr="001570EA" w:rsidRDefault="007376E1">
            <w:pPr>
              <w:keepNext/>
              <w:jc w:val="center"/>
              <w:rPr>
                <w:rFonts w:cs="Arial"/>
                <w:color w:val="000000"/>
                <w:sz w:val="18"/>
                <w:szCs w:val="18"/>
              </w:rPr>
            </w:pPr>
            <w:r w:rsidRPr="001570EA">
              <w:rPr>
                <w:rFonts w:cs="Arial"/>
                <w:color w:val="000000"/>
                <w:sz w:val="18"/>
                <w:szCs w:val="18"/>
              </w:rPr>
              <w:t>R-0</w:t>
            </w:r>
          </w:p>
        </w:tc>
        <w:tc>
          <w:tcPr>
            <w:tcW w:w="1269" w:type="dxa"/>
            <w:tcBorders>
              <w:top w:val="nil"/>
              <w:left w:val="nil"/>
              <w:bottom w:val="single" w:sz="4" w:space="0" w:color="auto"/>
              <w:right w:val="single" w:sz="4" w:space="0" w:color="auto"/>
            </w:tcBorders>
            <w:shd w:val="clear" w:color="auto" w:fill="auto"/>
            <w:noWrap/>
            <w:vAlign w:val="center"/>
            <w:hideMark/>
          </w:tcPr>
          <w:p w14:paraId="76559091" w14:textId="77777777" w:rsidR="007376E1" w:rsidRPr="001570EA" w:rsidRDefault="007376E1">
            <w:pPr>
              <w:keepNext/>
              <w:rPr>
                <w:rFonts w:cs="Arial"/>
                <w:color w:val="000000"/>
                <w:sz w:val="18"/>
                <w:szCs w:val="18"/>
              </w:rPr>
            </w:pPr>
            <w:r w:rsidRPr="001570EA">
              <w:rPr>
                <w:rFonts w:cs="Arial"/>
                <w:color w:val="000000"/>
                <w:sz w:val="18"/>
                <w:szCs w:val="18"/>
              </w:rPr>
              <w:t>Leaky</w:t>
            </w:r>
          </w:p>
        </w:tc>
        <w:tc>
          <w:tcPr>
            <w:tcW w:w="620" w:type="dxa"/>
            <w:tcBorders>
              <w:top w:val="nil"/>
              <w:left w:val="nil"/>
              <w:bottom w:val="single" w:sz="4" w:space="0" w:color="auto"/>
              <w:right w:val="single" w:sz="4" w:space="0" w:color="auto"/>
            </w:tcBorders>
            <w:shd w:val="clear" w:color="auto" w:fill="auto"/>
            <w:noWrap/>
            <w:vAlign w:val="center"/>
            <w:hideMark/>
          </w:tcPr>
          <w:p w14:paraId="4B97EEEE" w14:textId="77777777" w:rsidR="007376E1" w:rsidRPr="001570EA" w:rsidRDefault="007376E1">
            <w:pPr>
              <w:keepNext/>
              <w:jc w:val="center"/>
              <w:rPr>
                <w:rFonts w:cs="Arial"/>
                <w:color w:val="000000"/>
                <w:sz w:val="18"/>
                <w:szCs w:val="18"/>
              </w:rPr>
            </w:pPr>
            <w:r w:rsidRPr="001570EA">
              <w:rPr>
                <w:rFonts w:cs="Arial"/>
                <w:color w:val="000000"/>
                <w:sz w:val="18"/>
                <w:szCs w:val="18"/>
              </w:rPr>
              <w:t>69%</w:t>
            </w:r>
          </w:p>
        </w:tc>
        <w:tc>
          <w:tcPr>
            <w:tcW w:w="620" w:type="dxa"/>
            <w:tcBorders>
              <w:top w:val="nil"/>
              <w:left w:val="nil"/>
              <w:bottom w:val="single" w:sz="4" w:space="0" w:color="auto"/>
              <w:right w:val="single" w:sz="4" w:space="0" w:color="auto"/>
            </w:tcBorders>
            <w:shd w:val="clear" w:color="auto" w:fill="auto"/>
            <w:noWrap/>
            <w:vAlign w:val="center"/>
            <w:hideMark/>
          </w:tcPr>
          <w:p w14:paraId="1EB5FBCD" w14:textId="77777777" w:rsidR="007376E1" w:rsidRPr="001570EA" w:rsidRDefault="007376E1">
            <w:pPr>
              <w:keepNext/>
              <w:jc w:val="center"/>
              <w:rPr>
                <w:rFonts w:cs="Arial"/>
                <w:color w:val="000000"/>
                <w:sz w:val="18"/>
                <w:szCs w:val="18"/>
              </w:rPr>
            </w:pPr>
            <w:r w:rsidRPr="001570EA">
              <w:rPr>
                <w:rFonts w:cs="Arial"/>
                <w:color w:val="000000"/>
                <w:sz w:val="18"/>
                <w:szCs w:val="18"/>
              </w:rPr>
              <w:t>64%</w:t>
            </w:r>
          </w:p>
        </w:tc>
        <w:tc>
          <w:tcPr>
            <w:tcW w:w="620" w:type="dxa"/>
            <w:tcBorders>
              <w:top w:val="nil"/>
              <w:left w:val="nil"/>
              <w:bottom w:val="single" w:sz="4" w:space="0" w:color="auto"/>
              <w:right w:val="single" w:sz="4" w:space="0" w:color="auto"/>
            </w:tcBorders>
            <w:shd w:val="clear" w:color="auto" w:fill="auto"/>
            <w:noWrap/>
            <w:vAlign w:val="center"/>
            <w:hideMark/>
          </w:tcPr>
          <w:p w14:paraId="4689AB0F" w14:textId="77777777" w:rsidR="007376E1" w:rsidRPr="001570EA" w:rsidRDefault="007376E1">
            <w:pPr>
              <w:keepNext/>
              <w:jc w:val="center"/>
              <w:rPr>
                <w:rFonts w:cs="Arial"/>
                <w:color w:val="000000"/>
                <w:sz w:val="18"/>
                <w:szCs w:val="18"/>
              </w:rPr>
            </w:pPr>
            <w:r w:rsidRPr="001570EA">
              <w:rPr>
                <w:rFonts w:cs="Arial"/>
                <w:color w:val="000000"/>
                <w:sz w:val="18"/>
                <w:szCs w:val="18"/>
              </w:rPr>
              <w:t>61%</w:t>
            </w:r>
          </w:p>
        </w:tc>
        <w:tc>
          <w:tcPr>
            <w:tcW w:w="620" w:type="dxa"/>
            <w:tcBorders>
              <w:top w:val="nil"/>
              <w:left w:val="nil"/>
              <w:bottom w:val="single" w:sz="4" w:space="0" w:color="auto"/>
              <w:right w:val="single" w:sz="12" w:space="0" w:color="auto"/>
            </w:tcBorders>
            <w:shd w:val="clear" w:color="auto" w:fill="auto"/>
            <w:noWrap/>
            <w:vAlign w:val="center"/>
            <w:hideMark/>
          </w:tcPr>
          <w:p w14:paraId="2A743225" w14:textId="77777777" w:rsidR="007376E1" w:rsidRPr="001570EA" w:rsidRDefault="007376E1">
            <w:pPr>
              <w:keepNext/>
              <w:jc w:val="center"/>
              <w:rPr>
                <w:rFonts w:cs="Arial"/>
                <w:color w:val="000000"/>
                <w:sz w:val="18"/>
                <w:szCs w:val="18"/>
              </w:rPr>
            </w:pPr>
            <w:r w:rsidRPr="001570EA">
              <w:rPr>
                <w:rFonts w:cs="Arial"/>
                <w:color w:val="000000"/>
                <w:sz w:val="18"/>
                <w:szCs w:val="18"/>
              </w:rPr>
              <w:t>61%</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46B48B29" w14:textId="77777777" w:rsidR="007376E1" w:rsidRPr="001570EA" w:rsidRDefault="007376E1">
            <w:pPr>
              <w:keepNext/>
              <w:jc w:val="center"/>
              <w:rPr>
                <w:rFonts w:cs="Arial"/>
                <w:color w:val="000000"/>
                <w:sz w:val="18"/>
                <w:szCs w:val="18"/>
              </w:rPr>
            </w:pPr>
            <w:r w:rsidRPr="001570EA">
              <w:rPr>
                <w:rFonts w:cs="Arial"/>
                <w:color w:val="000000"/>
                <w:sz w:val="18"/>
                <w:szCs w:val="18"/>
              </w:rPr>
              <w:t>93%</w:t>
            </w:r>
          </w:p>
        </w:tc>
        <w:tc>
          <w:tcPr>
            <w:tcW w:w="620" w:type="dxa"/>
            <w:tcBorders>
              <w:top w:val="nil"/>
              <w:left w:val="nil"/>
              <w:bottom w:val="single" w:sz="4" w:space="0" w:color="auto"/>
              <w:right w:val="single" w:sz="4" w:space="0" w:color="auto"/>
            </w:tcBorders>
            <w:shd w:val="clear" w:color="auto" w:fill="auto"/>
            <w:noWrap/>
            <w:vAlign w:val="center"/>
            <w:hideMark/>
          </w:tcPr>
          <w:p w14:paraId="174B75F2" w14:textId="77777777" w:rsidR="007376E1" w:rsidRPr="001570EA" w:rsidRDefault="007376E1">
            <w:pPr>
              <w:keepNext/>
              <w:jc w:val="center"/>
              <w:rPr>
                <w:rFonts w:cs="Arial"/>
                <w:color w:val="000000"/>
                <w:sz w:val="18"/>
                <w:szCs w:val="18"/>
              </w:rPr>
            </w:pPr>
            <w:r w:rsidRPr="001570EA">
              <w:rPr>
                <w:rFonts w:cs="Arial"/>
                <w:color w:val="000000"/>
                <w:sz w:val="18"/>
                <w:szCs w:val="18"/>
              </w:rPr>
              <w:t>92%</w:t>
            </w:r>
          </w:p>
        </w:tc>
        <w:tc>
          <w:tcPr>
            <w:tcW w:w="620" w:type="dxa"/>
            <w:tcBorders>
              <w:top w:val="nil"/>
              <w:left w:val="nil"/>
              <w:bottom w:val="single" w:sz="4" w:space="0" w:color="auto"/>
              <w:right w:val="single" w:sz="4" w:space="0" w:color="auto"/>
            </w:tcBorders>
            <w:shd w:val="clear" w:color="auto" w:fill="auto"/>
            <w:noWrap/>
            <w:vAlign w:val="center"/>
            <w:hideMark/>
          </w:tcPr>
          <w:p w14:paraId="44F8746B" w14:textId="77777777" w:rsidR="007376E1" w:rsidRPr="001570EA" w:rsidRDefault="007376E1">
            <w:pPr>
              <w:keepNext/>
              <w:jc w:val="center"/>
              <w:rPr>
                <w:rFonts w:cs="Arial"/>
                <w:color w:val="000000"/>
                <w:sz w:val="18"/>
                <w:szCs w:val="18"/>
              </w:rPr>
            </w:pPr>
            <w:r w:rsidRPr="001570EA">
              <w:rPr>
                <w:rFonts w:cs="Arial"/>
                <w:color w:val="000000"/>
                <w:sz w:val="18"/>
                <w:szCs w:val="18"/>
              </w:rPr>
              <w:t>81%</w:t>
            </w:r>
          </w:p>
        </w:tc>
        <w:tc>
          <w:tcPr>
            <w:tcW w:w="620" w:type="dxa"/>
            <w:tcBorders>
              <w:top w:val="nil"/>
              <w:left w:val="nil"/>
              <w:bottom w:val="single" w:sz="4" w:space="0" w:color="auto"/>
              <w:right w:val="single" w:sz="12" w:space="0" w:color="auto"/>
            </w:tcBorders>
            <w:shd w:val="clear" w:color="auto" w:fill="auto"/>
            <w:noWrap/>
            <w:vAlign w:val="center"/>
            <w:hideMark/>
          </w:tcPr>
          <w:p w14:paraId="0A970CDC" w14:textId="77777777" w:rsidR="007376E1" w:rsidRPr="001570EA" w:rsidRDefault="007376E1">
            <w:pPr>
              <w:keepNext/>
              <w:jc w:val="center"/>
              <w:rPr>
                <w:rFonts w:cs="Arial"/>
                <w:color w:val="000000"/>
                <w:sz w:val="18"/>
                <w:szCs w:val="18"/>
              </w:rPr>
            </w:pPr>
            <w:r w:rsidRPr="001570EA">
              <w:rPr>
                <w:rFonts w:cs="Arial"/>
                <w:color w:val="000000"/>
                <w:sz w:val="18"/>
                <w:szCs w:val="18"/>
              </w:rPr>
              <w:t>92%</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5FD4FB2F" w14:textId="77777777" w:rsidR="007376E1" w:rsidRPr="001570EA" w:rsidRDefault="007376E1">
            <w:pPr>
              <w:keepNext/>
              <w:jc w:val="center"/>
              <w:rPr>
                <w:rFonts w:cs="Arial"/>
                <w:color w:val="000000"/>
                <w:sz w:val="18"/>
                <w:szCs w:val="18"/>
              </w:rPr>
            </w:pPr>
            <w:r w:rsidRPr="001570EA">
              <w:rPr>
                <w:rFonts w:cs="Arial"/>
                <w:color w:val="000000"/>
                <w:sz w:val="18"/>
                <w:szCs w:val="18"/>
              </w:rPr>
              <w:t>74%</w:t>
            </w:r>
          </w:p>
        </w:tc>
        <w:tc>
          <w:tcPr>
            <w:tcW w:w="620" w:type="dxa"/>
            <w:tcBorders>
              <w:top w:val="nil"/>
              <w:left w:val="nil"/>
              <w:bottom w:val="single" w:sz="4" w:space="0" w:color="auto"/>
              <w:right w:val="single" w:sz="4" w:space="0" w:color="auto"/>
            </w:tcBorders>
            <w:shd w:val="clear" w:color="auto" w:fill="auto"/>
            <w:noWrap/>
            <w:vAlign w:val="center"/>
            <w:hideMark/>
          </w:tcPr>
          <w:p w14:paraId="08B51ACF" w14:textId="77777777" w:rsidR="007376E1" w:rsidRPr="001570EA" w:rsidRDefault="007376E1">
            <w:pPr>
              <w:keepNext/>
              <w:jc w:val="center"/>
              <w:rPr>
                <w:rFonts w:cs="Arial"/>
                <w:color w:val="000000"/>
                <w:sz w:val="18"/>
                <w:szCs w:val="18"/>
              </w:rPr>
            </w:pPr>
            <w:r w:rsidRPr="001570EA">
              <w:rPr>
                <w:rFonts w:cs="Arial"/>
                <w:color w:val="000000"/>
                <w:sz w:val="18"/>
                <w:szCs w:val="18"/>
              </w:rPr>
              <w:t>71%</w:t>
            </w:r>
          </w:p>
        </w:tc>
        <w:tc>
          <w:tcPr>
            <w:tcW w:w="620" w:type="dxa"/>
            <w:tcBorders>
              <w:top w:val="nil"/>
              <w:left w:val="nil"/>
              <w:bottom w:val="single" w:sz="4" w:space="0" w:color="auto"/>
              <w:right w:val="single" w:sz="4" w:space="0" w:color="auto"/>
            </w:tcBorders>
            <w:shd w:val="clear" w:color="auto" w:fill="auto"/>
            <w:noWrap/>
            <w:vAlign w:val="center"/>
            <w:hideMark/>
          </w:tcPr>
          <w:p w14:paraId="26D23DC9" w14:textId="77777777" w:rsidR="007376E1" w:rsidRPr="001570EA" w:rsidRDefault="007376E1">
            <w:pPr>
              <w:keepNext/>
              <w:jc w:val="center"/>
              <w:rPr>
                <w:rFonts w:cs="Arial"/>
                <w:color w:val="000000"/>
                <w:sz w:val="18"/>
                <w:szCs w:val="18"/>
              </w:rPr>
            </w:pPr>
            <w:r w:rsidRPr="001570EA">
              <w:rPr>
                <w:rFonts w:cs="Arial"/>
                <w:color w:val="000000"/>
                <w:sz w:val="18"/>
                <w:szCs w:val="18"/>
              </w:rPr>
              <w:t>76%</w:t>
            </w:r>
          </w:p>
        </w:tc>
        <w:tc>
          <w:tcPr>
            <w:tcW w:w="620" w:type="dxa"/>
            <w:tcBorders>
              <w:top w:val="nil"/>
              <w:left w:val="nil"/>
              <w:bottom w:val="single" w:sz="4" w:space="0" w:color="auto"/>
              <w:right w:val="single" w:sz="4" w:space="0" w:color="auto"/>
            </w:tcBorders>
            <w:shd w:val="clear" w:color="auto" w:fill="auto"/>
            <w:noWrap/>
            <w:vAlign w:val="center"/>
            <w:hideMark/>
          </w:tcPr>
          <w:p w14:paraId="6A98FF8A" w14:textId="77777777" w:rsidR="007376E1" w:rsidRPr="001570EA" w:rsidRDefault="007376E1">
            <w:pPr>
              <w:keepNext/>
              <w:jc w:val="center"/>
              <w:rPr>
                <w:rFonts w:cs="Arial"/>
                <w:color w:val="000000"/>
                <w:sz w:val="18"/>
                <w:szCs w:val="18"/>
              </w:rPr>
            </w:pPr>
            <w:r w:rsidRPr="001570EA">
              <w:rPr>
                <w:rFonts w:cs="Arial"/>
                <w:color w:val="000000"/>
                <w:sz w:val="18"/>
                <w:szCs w:val="18"/>
              </w:rPr>
              <w:t>90%</w:t>
            </w:r>
          </w:p>
        </w:tc>
      </w:tr>
      <w:tr w:rsidR="007376E1" w:rsidRPr="001570EA" w14:paraId="1013A502" w14:textId="77777777">
        <w:trPr>
          <w:gridAfter w:val="1"/>
          <w:wAfter w:w="6" w:type="dxa"/>
          <w:trHeight w:val="288"/>
          <w:jc w:val="center"/>
        </w:trPr>
        <w:tc>
          <w:tcPr>
            <w:tcW w:w="1066" w:type="dxa"/>
            <w:vMerge/>
            <w:tcBorders>
              <w:top w:val="nil"/>
              <w:left w:val="single" w:sz="4" w:space="0" w:color="auto"/>
              <w:bottom w:val="single" w:sz="4" w:space="0" w:color="auto"/>
              <w:right w:val="single" w:sz="4" w:space="0" w:color="auto"/>
            </w:tcBorders>
            <w:vAlign w:val="center"/>
            <w:hideMark/>
          </w:tcPr>
          <w:p w14:paraId="5B3A1CAF" w14:textId="77777777" w:rsidR="007376E1" w:rsidRPr="001570EA" w:rsidRDefault="007376E1">
            <w:pPr>
              <w:keepNext/>
              <w:rPr>
                <w:rFonts w:cs="Arial"/>
                <w:color w:val="000000"/>
                <w:sz w:val="18"/>
                <w:szCs w:val="18"/>
              </w:rPr>
            </w:pPr>
          </w:p>
        </w:tc>
        <w:tc>
          <w:tcPr>
            <w:tcW w:w="1269" w:type="dxa"/>
            <w:tcBorders>
              <w:top w:val="nil"/>
              <w:left w:val="nil"/>
              <w:bottom w:val="single" w:sz="4" w:space="0" w:color="auto"/>
              <w:right w:val="single" w:sz="4" w:space="0" w:color="auto"/>
            </w:tcBorders>
            <w:shd w:val="clear" w:color="auto" w:fill="auto"/>
            <w:noWrap/>
            <w:vAlign w:val="center"/>
            <w:hideMark/>
          </w:tcPr>
          <w:p w14:paraId="5F6B4807" w14:textId="77777777" w:rsidR="007376E1" w:rsidRPr="001570EA" w:rsidRDefault="007376E1">
            <w:pPr>
              <w:keepNext/>
              <w:rPr>
                <w:rFonts w:cs="Arial"/>
                <w:color w:val="000000"/>
                <w:sz w:val="18"/>
                <w:szCs w:val="18"/>
              </w:rPr>
            </w:pPr>
            <w:r w:rsidRPr="001570EA">
              <w:rPr>
                <w:rFonts w:cs="Arial"/>
                <w:color w:val="000000"/>
                <w:sz w:val="18"/>
                <w:szCs w:val="18"/>
              </w:rPr>
              <w:t>Average</w:t>
            </w:r>
          </w:p>
        </w:tc>
        <w:tc>
          <w:tcPr>
            <w:tcW w:w="620" w:type="dxa"/>
            <w:tcBorders>
              <w:top w:val="nil"/>
              <w:left w:val="nil"/>
              <w:bottom w:val="single" w:sz="4" w:space="0" w:color="auto"/>
              <w:right w:val="single" w:sz="4" w:space="0" w:color="auto"/>
            </w:tcBorders>
            <w:shd w:val="clear" w:color="auto" w:fill="auto"/>
            <w:noWrap/>
            <w:vAlign w:val="center"/>
            <w:hideMark/>
          </w:tcPr>
          <w:p w14:paraId="31B7284F" w14:textId="77777777" w:rsidR="007376E1" w:rsidRPr="001570EA" w:rsidRDefault="007376E1">
            <w:pPr>
              <w:keepNext/>
              <w:jc w:val="center"/>
              <w:rPr>
                <w:rFonts w:cs="Arial"/>
                <w:color w:val="000000"/>
                <w:sz w:val="18"/>
                <w:szCs w:val="18"/>
              </w:rPr>
            </w:pPr>
            <w:r w:rsidRPr="001570EA">
              <w:rPr>
                <w:rFonts w:cs="Arial"/>
                <w:color w:val="000000"/>
                <w:sz w:val="18"/>
                <w:szCs w:val="18"/>
              </w:rPr>
              <w:t>73%</w:t>
            </w:r>
          </w:p>
        </w:tc>
        <w:tc>
          <w:tcPr>
            <w:tcW w:w="620" w:type="dxa"/>
            <w:tcBorders>
              <w:top w:val="nil"/>
              <w:left w:val="nil"/>
              <w:bottom w:val="single" w:sz="4" w:space="0" w:color="auto"/>
              <w:right w:val="single" w:sz="4" w:space="0" w:color="auto"/>
            </w:tcBorders>
            <w:shd w:val="clear" w:color="auto" w:fill="auto"/>
            <w:noWrap/>
            <w:vAlign w:val="center"/>
            <w:hideMark/>
          </w:tcPr>
          <w:p w14:paraId="5A922A86" w14:textId="77777777" w:rsidR="007376E1" w:rsidRPr="001570EA" w:rsidRDefault="007376E1">
            <w:pPr>
              <w:keepNext/>
              <w:jc w:val="center"/>
              <w:rPr>
                <w:rFonts w:cs="Arial"/>
                <w:color w:val="000000"/>
                <w:sz w:val="18"/>
                <w:szCs w:val="18"/>
              </w:rPr>
            </w:pPr>
            <w:r w:rsidRPr="001570EA">
              <w:rPr>
                <w:rFonts w:cs="Arial"/>
                <w:color w:val="000000"/>
                <w:sz w:val="18"/>
                <w:szCs w:val="18"/>
              </w:rPr>
              <w:t>68%</w:t>
            </w:r>
          </w:p>
        </w:tc>
        <w:tc>
          <w:tcPr>
            <w:tcW w:w="620" w:type="dxa"/>
            <w:tcBorders>
              <w:top w:val="nil"/>
              <w:left w:val="nil"/>
              <w:bottom w:val="single" w:sz="4" w:space="0" w:color="auto"/>
              <w:right w:val="single" w:sz="4" w:space="0" w:color="auto"/>
            </w:tcBorders>
            <w:shd w:val="clear" w:color="auto" w:fill="auto"/>
            <w:noWrap/>
            <w:vAlign w:val="center"/>
            <w:hideMark/>
          </w:tcPr>
          <w:p w14:paraId="34764FFD" w14:textId="77777777" w:rsidR="007376E1" w:rsidRPr="001570EA" w:rsidRDefault="007376E1">
            <w:pPr>
              <w:keepNext/>
              <w:jc w:val="center"/>
              <w:rPr>
                <w:rFonts w:cs="Arial"/>
                <w:color w:val="000000"/>
                <w:sz w:val="18"/>
                <w:szCs w:val="18"/>
              </w:rPr>
            </w:pPr>
            <w:r w:rsidRPr="001570EA">
              <w:rPr>
                <w:rFonts w:cs="Arial"/>
                <w:color w:val="000000"/>
                <w:sz w:val="18"/>
                <w:szCs w:val="18"/>
              </w:rPr>
              <w:t>64%</w:t>
            </w:r>
          </w:p>
        </w:tc>
        <w:tc>
          <w:tcPr>
            <w:tcW w:w="620" w:type="dxa"/>
            <w:tcBorders>
              <w:top w:val="nil"/>
              <w:left w:val="nil"/>
              <w:bottom w:val="single" w:sz="4" w:space="0" w:color="auto"/>
              <w:right w:val="single" w:sz="12" w:space="0" w:color="auto"/>
            </w:tcBorders>
            <w:shd w:val="clear" w:color="auto" w:fill="auto"/>
            <w:noWrap/>
            <w:vAlign w:val="center"/>
            <w:hideMark/>
          </w:tcPr>
          <w:p w14:paraId="39E779AC" w14:textId="77777777" w:rsidR="007376E1" w:rsidRPr="001570EA" w:rsidRDefault="007376E1">
            <w:pPr>
              <w:keepNext/>
              <w:jc w:val="center"/>
              <w:rPr>
                <w:rFonts w:cs="Arial"/>
                <w:color w:val="000000"/>
                <w:sz w:val="18"/>
                <w:szCs w:val="18"/>
              </w:rPr>
            </w:pPr>
            <w:r w:rsidRPr="001570EA">
              <w:rPr>
                <w:rFonts w:cs="Arial"/>
                <w:color w:val="000000"/>
                <w:sz w:val="18"/>
                <w:szCs w:val="18"/>
              </w:rPr>
              <w:t>66%</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00339062" w14:textId="77777777" w:rsidR="007376E1" w:rsidRPr="001570EA" w:rsidRDefault="007376E1">
            <w:pPr>
              <w:keepNext/>
              <w:jc w:val="center"/>
              <w:rPr>
                <w:rFonts w:cs="Arial"/>
                <w:color w:val="000000"/>
                <w:sz w:val="18"/>
                <w:szCs w:val="18"/>
              </w:rPr>
            </w:pPr>
            <w:r w:rsidRPr="001570EA">
              <w:rPr>
                <w:rFonts w:cs="Arial"/>
                <w:color w:val="000000"/>
                <w:sz w:val="18"/>
                <w:szCs w:val="18"/>
              </w:rPr>
              <w:t>94%</w:t>
            </w:r>
          </w:p>
        </w:tc>
        <w:tc>
          <w:tcPr>
            <w:tcW w:w="620" w:type="dxa"/>
            <w:tcBorders>
              <w:top w:val="nil"/>
              <w:left w:val="nil"/>
              <w:bottom w:val="single" w:sz="4" w:space="0" w:color="auto"/>
              <w:right w:val="single" w:sz="4" w:space="0" w:color="auto"/>
            </w:tcBorders>
            <w:shd w:val="clear" w:color="auto" w:fill="auto"/>
            <w:noWrap/>
            <w:vAlign w:val="center"/>
            <w:hideMark/>
          </w:tcPr>
          <w:p w14:paraId="5536AB5C" w14:textId="77777777" w:rsidR="007376E1" w:rsidRPr="001570EA" w:rsidRDefault="007376E1">
            <w:pPr>
              <w:keepNext/>
              <w:jc w:val="center"/>
              <w:rPr>
                <w:rFonts w:cs="Arial"/>
                <w:color w:val="000000"/>
                <w:sz w:val="18"/>
                <w:szCs w:val="18"/>
              </w:rPr>
            </w:pPr>
            <w:r w:rsidRPr="001570EA">
              <w:rPr>
                <w:rFonts w:cs="Arial"/>
                <w:color w:val="000000"/>
                <w:sz w:val="18"/>
                <w:szCs w:val="18"/>
              </w:rPr>
              <w:t>94%</w:t>
            </w:r>
          </w:p>
        </w:tc>
        <w:tc>
          <w:tcPr>
            <w:tcW w:w="620" w:type="dxa"/>
            <w:tcBorders>
              <w:top w:val="nil"/>
              <w:left w:val="nil"/>
              <w:bottom w:val="single" w:sz="4" w:space="0" w:color="auto"/>
              <w:right w:val="single" w:sz="4" w:space="0" w:color="auto"/>
            </w:tcBorders>
            <w:shd w:val="clear" w:color="auto" w:fill="auto"/>
            <w:noWrap/>
            <w:vAlign w:val="center"/>
            <w:hideMark/>
          </w:tcPr>
          <w:p w14:paraId="2D58C543" w14:textId="77777777" w:rsidR="007376E1" w:rsidRPr="001570EA" w:rsidRDefault="007376E1">
            <w:pPr>
              <w:keepNext/>
              <w:jc w:val="center"/>
              <w:rPr>
                <w:rFonts w:cs="Arial"/>
                <w:color w:val="000000"/>
                <w:sz w:val="18"/>
                <w:szCs w:val="18"/>
              </w:rPr>
            </w:pPr>
            <w:r w:rsidRPr="001570EA">
              <w:rPr>
                <w:rFonts w:cs="Arial"/>
                <w:color w:val="000000"/>
                <w:sz w:val="18"/>
                <w:szCs w:val="18"/>
              </w:rPr>
              <w:t>87%</w:t>
            </w:r>
          </w:p>
        </w:tc>
        <w:tc>
          <w:tcPr>
            <w:tcW w:w="620" w:type="dxa"/>
            <w:tcBorders>
              <w:top w:val="nil"/>
              <w:left w:val="nil"/>
              <w:bottom w:val="single" w:sz="4" w:space="0" w:color="auto"/>
              <w:right w:val="single" w:sz="12" w:space="0" w:color="auto"/>
            </w:tcBorders>
            <w:shd w:val="clear" w:color="auto" w:fill="auto"/>
            <w:noWrap/>
            <w:vAlign w:val="center"/>
            <w:hideMark/>
          </w:tcPr>
          <w:p w14:paraId="41945F3A" w14:textId="77777777" w:rsidR="007376E1" w:rsidRPr="001570EA" w:rsidRDefault="007376E1">
            <w:pPr>
              <w:keepNext/>
              <w:jc w:val="center"/>
              <w:rPr>
                <w:rFonts w:cs="Arial"/>
                <w:color w:val="000000"/>
                <w:sz w:val="18"/>
                <w:szCs w:val="18"/>
              </w:rPr>
            </w:pPr>
            <w:r w:rsidRPr="001570EA">
              <w:rPr>
                <w:rFonts w:cs="Arial"/>
                <w:color w:val="000000"/>
                <w:sz w:val="18"/>
                <w:szCs w:val="18"/>
              </w:rPr>
              <w:t>95%</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7415FD46" w14:textId="77777777" w:rsidR="007376E1" w:rsidRPr="001570EA" w:rsidRDefault="007376E1">
            <w:pPr>
              <w:keepNext/>
              <w:jc w:val="center"/>
              <w:rPr>
                <w:rFonts w:cs="Arial"/>
                <w:color w:val="000000"/>
                <w:sz w:val="18"/>
                <w:szCs w:val="18"/>
              </w:rPr>
            </w:pPr>
            <w:r w:rsidRPr="001570EA">
              <w:rPr>
                <w:rFonts w:cs="Arial"/>
                <w:color w:val="000000"/>
                <w:sz w:val="18"/>
                <w:szCs w:val="18"/>
              </w:rPr>
              <w:t>78%</w:t>
            </w:r>
          </w:p>
        </w:tc>
        <w:tc>
          <w:tcPr>
            <w:tcW w:w="620" w:type="dxa"/>
            <w:tcBorders>
              <w:top w:val="nil"/>
              <w:left w:val="nil"/>
              <w:bottom w:val="single" w:sz="4" w:space="0" w:color="auto"/>
              <w:right w:val="single" w:sz="4" w:space="0" w:color="auto"/>
            </w:tcBorders>
            <w:shd w:val="clear" w:color="auto" w:fill="auto"/>
            <w:noWrap/>
            <w:vAlign w:val="center"/>
            <w:hideMark/>
          </w:tcPr>
          <w:p w14:paraId="0AA25208" w14:textId="77777777" w:rsidR="007376E1" w:rsidRPr="001570EA" w:rsidRDefault="007376E1">
            <w:pPr>
              <w:keepNext/>
              <w:jc w:val="center"/>
              <w:rPr>
                <w:rFonts w:cs="Arial"/>
                <w:color w:val="000000"/>
                <w:sz w:val="18"/>
                <w:szCs w:val="18"/>
              </w:rPr>
            </w:pPr>
            <w:r w:rsidRPr="001570EA">
              <w:rPr>
                <w:rFonts w:cs="Arial"/>
                <w:color w:val="000000"/>
                <w:sz w:val="18"/>
                <w:szCs w:val="18"/>
              </w:rPr>
              <w:t>74%</w:t>
            </w:r>
          </w:p>
        </w:tc>
        <w:tc>
          <w:tcPr>
            <w:tcW w:w="620" w:type="dxa"/>
            <w:tcBorders>
              <w:top w:val="nil"/>
              <w:left w:val="nil"/>
              <w:bottom w:val="single" w:sz="4" w:space="0" w:color="auto"/>
              <w:right w:val="single" w:sz="4" w:space="0" w:color="auto"/>
            </w:tcBorders>
            <w:shd w:val="clear" w:color="auto" w:fill="auto"/>
            <w:noWrap/>
            <w:vAlign w:val="center"/>
            <w:hideMark/>
          </w:tcPr>
          <w:p w14:paraId="1031AA17" w14:textId="77777777" w:rsidR="007376E1" w:rsidRPr="001570EA" w:rsidRDefault="007376E1">
            <w:pPr>
              <w:keepNext/>
              <w:jc w:val="center"/>
              <w:rPr>
                <w:rFonts w:cs="Arial"/>
                <w:color w:val="000000"/>
                <w:sz w:val="18"/>
                <w:szCs w:val="18"/>
              </w:rPr>
            </w:pPr>
            <w:r w:rsidRPr="001570EA">
              <w:rPr>
                <w:rFonts w:cs="Arial"/>
                <w:color w:val="000000"/>
                <w:sz w:val="18"/>
                <w:szCs w:val="18"/>
              </w:rPr>
              <w:t>83%</w:t>
            </w:r>
          </w:p>
        </w:tc>
        <w:tc>
          <w:tcPr>
            <w:tcW w:w="620" w:type="dxa"/>
            <w:tcBorders>
              <w:top w:val="nil"/>
              <w:left w:val="nil"/>
              <w:bottom w:val="single" w:sz="4" w:space="0" w:color="auto"/>
              <w:right w:val="single" w:sz="4" w:space="0" w:color="auto"/>
            </w:tcBorders>
            <w:shd w:val="clear" w:color="auto" w:fill="auto"/>
            <w:noWrap/>
            <w:vAlign w:val="center"/>
            <w:hideMark/>
          </w:tcPr>
          <w:p w14:paraId="5C56FC23" w14:textId="77777777" w:rsidR="007376E1" w:rsidRPr="001570EA" w:rsidRDefault="007376E1">
            <w:pPr>
              <w:keepNext/>
              <w:jc w:val="center"/>
              <w:rPr>
                <w:rFonts w:cs="Arial"/>
                <w:color w:val="000000"/>
                <w:sz w:val="18"/>
                <w:szCs w:val="18"/>
              </w:rPr>
            </w:pPr>
            <w:r w:rsidRPr="001570EA">
              <w:rPr>
                <w:rFonts w:cs="Arial"/>
                <w:color w:val="000000"/>
                <w:sz w:val="18"/>
                <w:szCs w:val="18"/>
              </w:rPr>
              <w:t>93%</w:t>
            </w:r>
          </w:p>
        </w:tc>
      </w:tr>
      <w:tr w:rsidR="007376E1" w:rsidRPr="001570EA" w14:paraId="6B214BAD" w14:textId="77777777">
        <w:trPr>
          <w:gridAfter w:val="1"/>
          <w:wAfter w:w="6" w:type="dxa"/>
          <w:trHeight w:val="288"/>
          <w:jc w:val="center"/>
        </w:trPr>
        <w:tc>
          <w:tcPr>
            <w:tcW w:w="1066" w:type="dxa"/>
            <w:vMerge/>
            <w:tcBorders>
              <w:top w:val="nil"/>
              <w:left w:val="single" w:sz="4" w:space="0" w:color="auto"/>
              <w:bottom w:val="single" w:sz="4" w:space="0" w:color="auto"/>
              <w:right w:val="single" w:sz="4" w:space="0" w:color="auto"/>
            </w:tcBorders>
            <w:vAlign w:val="center"/>
            <w:hideMark/>
          </w:tcPr>
          <w:p w14:paraId="5CADEC7B" w14:textId="77777777" w:rsidR="007376E1" w:rsidRPr="001570EA" w:rsidRDefault="007376E1">
            <w:pPr>
              <w:keepNext/>
              <w:rPr>
                <w:rFonts w:cs="Arial"/>
                <w:color w:val="000000"/>
                <w:sz w:val="18"/>
                <w:szCs w:val="18"/>
              </w:rPr>
            </w:pPr>
          </w:p>
        </w:tc>
        <w:tc>
          <w:tcPr>
            <w:tcW w:w="1269" w:type="dxa"/>
            <w:tcBorders>
              <w:top w:val="nil"/>
              <w:left w:val="nil"/>
              <w:bottom w:val="single" w:sz="4" w:space="0" w:color="auto"/>
              <w:right w:val="single" w:sz="4" w:space="0" w:color="auto"/>
            </w:tcBorders>
            <w:shd w:val="clear" w:color="auto" w:fill="auto"/>
            <w:noWrap/>
            <w:vAlign w:val="center"/>
            <w:hideMark/>
          </w:tcPr>
          <w:p w14:paraId="175611B6" w14:textId="77777777" w:rsidR="007376E1" w:rsidRPr="001570EA" w:rsidRDefault="007376E1">
            <w:pPr>
              <w:keepNext/>
              <w:rPr>
                <w:rFonts w:cs="Arial"/>
                <w:color w:val="000000"/>
                <w:sz w:val="18"/>
                <w:szCs w:val="18"/>
              </w:rPr>
            </w:pPr>
            <w:r w:rsidRPr="001570EA">
              <w:rPr>
                <w:rFonts w:cs="Arial"/>
                <w:color w:val="000000"/>
                <w:sz w:val="18"/>
                <w:szCs w:val="18"/>
              </w:rPr>
              <w:t>Tight</w:t>
            </w:r>
          </w:p>
        </w:tc>
        <w:tc>
          <w:tcPr>
            <w:tcW w:w="620" w:type="dxa"/>
            <w:tcBorders>
              <w:top w:val="nil"/>
              <w:left w:val="nil"/>
              <w:bottom w:val="single" w:sz="4" w:space="0" w:color="auto"/>
              <w:right w:val="single" w:sz="4" w:space="0" w:color="auto"/>
            </w:tcBorders>
            <w:shd w:val="clear" w:color="auto" w:fill="auto"/>
            <w:noWrap/>
            <w:vAlign w:val="center"/>
            <w:hideMark/>
          </w:tcPr>
          <w:p w14:paraId="5BF24397" w14:textId="77777777" w:rsidR="007376E1" w:rsidRPr="001570EA" w:rsidRDefault="007376E1">
            <w:pPr>
              <w:keepNext/>
              <w:jc w:val="center"/>
              <w:rPr>
                <w:rFonts w:cs="Arial"/>
                <w:color w:val="000000"/>
                <w:sz w:val="18"/>
                <w:szCs w:val="18"/>
              </w:rPr>
            </w:pPr>
            <w:r w:rsidRPr="001570EA">
              <w:rPr>
                <w:rFonts w:cs="Arial"/>
                <w:color w:val="000000"/>
                <w:sz w:val="18"/>
                <w:szCs w:val="18"/>
              </w:rPr>
              <w:t>77%</w:t>
            </w:r>
          </w:p>
        </w:tc>
        <w:tc>
          <w:tcPr>
            <w:tcW w:w="620" w:type="dxa"/>
            <w:tcBorders>
              <w:top w:val="nil"/>
              <w:left w:val="nil"/>
              <w:bottom w:val="single" w:sz="4" w:space="0" w:color="auto"/>
              <w:right w:val="single" w:sz="4" w:space="0" w:color="auto"/>
            </w:tcBorders>
            <w:shd w:val="clear" w:color="auto" w:fill="auto"/>
            <w:noWrap/>
            <w:vAlign w:val="center"/>
            <w:hideMark/>
          </w:tcPr>
          <w:p w14:paraId="7817D4D7" w14:textId="77777777" w:rsidR="007376E1" w:rsidRPr="001570EA" w:rsidRDefault="007376E1">
            <w:pPr>
              <w:keepNext/>
              <w:jc w:val="center"/>
              <w:rPr>
                <w:rFonts w:cs="Arial"/>
                <w:color w:val="000000"/>
                <w:sz w:val="18"/>
                <w:szCs w:val="18"/>
              </w:rPr>
            </w:pPr>
            <w:r w:rsidRPr="001570EA">
              <w:rPr>
                <w:rFonts w:cs="Arial"/>
                <w:color w:val="000000"/>
                <w:sz w:val="18"/>
                <w:szCs w:val="18"/>
              </w:rPr>
              <w:t>73%</w:t>
            </w:r>
          </w:p>
        </w:tc>
        <w:tc>
          <w:tcPr>
            <w:tcW w:w="620" w:type="dxa"/>
            <w:tcBorders>
              <w:top w:val="nil"/>
              <w:left w:val="nil"/>
              <w:bottom w:val="single" w:sz="4" w:space="0" w:color="auto"/>
              <w:right w:val="single" w:sz="4" w:space="0" w:color="auto"/>
            </w:tcBorders>
            <w:shd w:val="clear" w:color="auto" w:fill="auto"/>
            <w:noWrap/>
            <w:vAlign w:val="center"/>
            <w:hideMark/>
          </w:tcPr>
          <w:p w14:paraId="454D25E7" w14:textId="77777777" w:rsidR="007376E1" w:rsidRPr="001570EA" w:rsidRDefault="007376E1">
            <w:pPr>
              <w:keepNext/>
              <w:jc w:val="center"/>
              <w:rPr>
                <w:rFonts w:cs="Arial"/>
                <w:color w:val="000000"/>
                <w:sz w:val="18"/>
                <w:szCs w:val="18"/>
              </w:rPr>
            </w:pPr>
            <w:r w:rsidRPr="001570EA">
              <w:rPr>
                <w:rFonts w:cs="Arial"/>
                <w:color w:val="000000"/>
                <w:sz w:val="18"/>
                <w:szCs w:val="18"/>
              </w:rPr>
              <w:t>73%</w:t>
            </w:r>
          </w:p>
        </w:tc>
        <w:tc>
          <w:tcPr>
            <w:tcW w:w="620" w:type="dxa"/>
            <w:tcBorders>
              <w:top w:val="nil"/>
              <w:left w:val="nil"/>
              <w:bottom w:val="single" w:sz="4" w:space="0" w:color="auto"/>
              <w:right w:val="single" w:sz="12" w:space="0" w:color="auto"/>
            </w:tcBorders>
            <w:shd w:val="clear" w:color="auto" w:fill="auto"/>
            <w:noWrap/>
            <w:vAlign w:val="center"/>
            <w:hideMark/>
          </w:tcPr>
          <w:p w14:paraId="3BB3FB0A" w14:textId="77777777" w:rsidR="007376E1" w:rsidRPr="001570EA" w:rsidRDefault="007376E1">
            <w:pPr>
              <w:keepNext/>
              <w:jc w:val="center"/>
              <w:rPr>
                <w:rFonts w:cs="Arial"/>
                <w:color w:val="000000"/>
                <w:sz w:val="18"/>
                <w:szCs w:val="18"/>
              </w:rPr>
            </w:pPr>
            <w:r w:rsidRPr="001570EA">
              <w:rPr>
                <w:rFonts w:cs="Arial"/>
                <w:color w:val="000000"/>
                <w:sz w:val="18"/>
                <w:szCs w:val="18"/>
              </w:rPr>
              <w:t>74%</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02B28C99" w14:textId="77777777" w:rsidR="007376E1" w:rsidRPr="001570EA" w:rsidRDefault="007376E1">
            <w:pPr>
              <w:keepNext/>
              <w:jc w:val="center"/>
              <w:rPr>
                <w:rFonts w:cs="Arial"/>
                <w:color w:val="000000"/>
                <w:sz w:val="18"/>
                <w:szCs w:val="18"/>
              </w:rPr>
            </w:pPr>
            <w:r w:rsidRPr="001570EA">
              <w:rPr>
                <w:rFonts w:cs="Arial"/>
                <w:color w:val="000000"/>
                <w:sz w:val="18"/>
                <w:szCs w:val="18"/>
              </w:rPr>
              <w:t>95%</w:t>
            </w:r>
          </w:p>
        </w:tc>
        <w:tc>
          <w:tcPr>
            <w:tcW w:w="620" w:type="dxa"/>
            <w:tcBorders>
              <w:top w:val="nil"/>
              <w:left w:val="nil"/>
              <w:bottom w:val="single" w:sz="4" w:space="0" w:color="auto"/>
              <w:right w:val="single" w:sz="4" w:space="0" w:color="auto"/>
            </w:tcBorders>
            <w:shd w:val="clear" w:color="auto" w:fill="auto"/>
            <w:noWrap/>
            <w:vAlign w:val="center"/>
            <w:hideMark/>
          </w:tcPr>
          <w:p w14:paraId="16C87485" w14:textId="77777777" w:rsidR="007376E1" w:rsidRPr="001570EA" w:rsidRDefault="007376E1">
            <w:pPr>
              <w:keepNext/>
              <w:jc w:val="center"/>
              <w:rPr>
                <w:rFonts w:cs="Arial"/>
                <w:color w:val="000000"/>
                <w:sz w:val="18"/>
                <w:szCs w:val="18"/>
              </w:rPr>
            </w:pPr>
            <w:r w:rsidRPr="001570EA">
              <w:rPr>
                <w:rFonts w:cs="Arial"/>
                <w:color w:val="000000"/>
                <w:sz w:val="18"/>
                <w:szCs w:val="18"/>
              </w:rPr>
              <w:t>95%</w:t>
            </w:r>
          </w:p>
        </w:tc>
        <w:tc>
          <w:tcPr>
            <w:tcW w:w="620" w:type="dxa"/>
            <w:tcBorders>
              <w:top w:val="nil"/>
              <w:left w:val="nil"/>
              <w:bottom w:val="single" w:sz="4" w:space="0" w:color="auto"/>
              <w:right w:val="single" w:sz="4" w:space="0" w:color="auto"/>
            </w:tcBorders>
            <w:shd w:val="clear" w:color="auto" w:fill="auto"/>
            <w:noWrap/>
            <w:vAlign w:val="center"/>
            <w:hideMark/>
          </w:tcPr>
          <w:p w14:paraId="232AC8DE" w14:textId="77777777" w:rsidR="007376E1" w:rsidRPr="001570EA" w:rsidRDefault="007376E1">
            <w:pPr>
              <w:keepNext/>
              <w:jc w:val="center"/>
              <w:rPr>
                <w:rFonts w:cs="Arial"/>
                <w:color w:val="000000"/>
                <w:sz w:val="18"/>
                <w:szCs w:val="18"/>
              </w:rPr>
            </w:pPr>
            <w:r w:rsidRPr="001570EA">
              <w:rPr>
                <w:rFonts w:cs="Arial"/>
                <w:color w:val="000000"/>
                <w:sz w:val="18"/>
                <w:szCs w:val="18"/>
              </w:rPr>
              <w:t>94%</w:t>
            </w:r>
          </w:p>
        </w:tc>
        <w:tc>
          <w:tcPr>
            <w:tcW w:w="620" w:type="dxa"/>
            <w:tcBorders>
              <w:top w:val="nil"/>
              <w:left w:val="nil"/>
              <w:bottom w:val="single" w:sz="4" w:space="0" w:color="auto"/>
              <w:right w:val="single" w:sz="12" w:space="0" w:color="auto"/>
            </w:tcBorders>
            <w:shd w:val="clear" w:color="auto" w:fill="auto"/>
            <w:noWrap/>
            <w:vAlign w:val="center"/>
            <w:hideMark/>
          </w:tcPr>
          <w:p w14:paraId="3B68C01F" w14:textId="77777777" w:rsidR="007376E1" w:rsidRPr="001570EA" w:rsidRDefault="007376E1">
            <w:pPr>
              <w:keepNext/>
              <w:jc w:val="center"/>
              <w:rPr>
                <w:rFonts w:cs="Arial"/>
                <w:color w:val="000000"/>
                <w:sz w:val="18"/>
                <w:szCs w:val="18"/>
              </w:rPr>
            </w:pPr>
            <w:r w:rsidRPr="001570EA">
              <w:rPr>
                <w:rFonts w:cs="Arial"/>
                <w:color w:val="000000"/>
                <w:sz w:val="18"/>
                <w:szCs w:val="18"/>
              </w:rPr>
              <w:t>98%</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3C9F2613" w14:textId="77777777" w:rsidR="007376E1" w:rsidRPr="001570EA" w:rsidRDefault="007376E1">
            <w:pPr>
              <w:keepNext/>
              <w:jc w:val="center"/>
              <w:rPr>
                <w:rFonts w:cs="Arial"/>
                <w:color w:val="000000"/>
                <w:sz w:val="18"/>
                <w:szCs w:val="18"/>
              </w:rPr>
            </w:pPr>
            <w:r w:rsidRPr="001570EA">
              <w:rPr>
                <w:rFonts w:cs="Arial"/>
                <w:color w:val="000000"/>
                <w:sz w:val="18"/>
                <w:szCs w:val="18"/>
              </w:rPr>
              <w:t>82%</w:t>
            </w:r>
          </w:p>
        </w:tc>
        <w:tc>
          <w:tcPr>
            <w:tcW w:w="620" w:type="dxa"/>
            <w:tcBorders>
              <w:top w:val="nil"/>
              <w:left w:val="nil"/>
              <w:bottom w:val="single" w:sz="4" w:space="0" w:color="auto"/>
              <w:right w:val="single" w:sz="4" w:space="0" w:color="auto"/>
            </w:tcBorders>
            <w:shd w:val="clear" w:color="auto" w:fill="auto"/>
            <w:noWrap/>
            <w:vAlign w:val="center"/>
            <w:hideMark/>
          </w:tcPr>
          <w:p w14:paraId="40848550" w14:textId="77777777" w:rsidR="007376E1" w:rsidRPr="001570EA" w:rsidRDefault="007376E1">
            <w:pPr>
              <w:keepNext/>
              <w:jc w:val="center"/>
              <w:rPr>
                <w:rFonts w:cs="Arial"/>
                <w:color w:val="000000"/>
                <w:sz w:val="18"/>
                <w:szCs w:val="18"/>
              </w:rPr>
            </w:pPr>
            <w:r w:rsidRPr="001570EA">
              <w:rPr>
                <w:rFonts w:cs="Arial"/>
                <w:color w:val="000000"/>
                <w:sz w:val="18"/>
                <w:szCs w:val="18"/>
              </w:rPr>
              <w:t>78%</w:t>
            </w:r>
          </w:p>
        </w:tc>
        <w:tc>
          <w:tcPr>
            <w:tcW w:w="620" w:type="dxa"/>
            <w:tcBorders>
              <w:top w:val="nil"/>
              <w:left w:val="nil"/>
              <w:bottom w:val="single" w:sz="4" w:space="0" w:color="auto"/>
              <w:right w:val="single" w:sz="4" w:space="0" w:color="auto"/>
            </w:tcBorders>
            <w:shd w:val="clear" w:color="auto" w:fill="auto"/>
            <w:noWrap/>
            <w:vAlign w:val="center"/>
            <w:hideMark/>
          </w:tcPr>
          <w:p w14:paraId="36FB22CF" w14:textId="77777777" w:rsidR="007376E1" w:rsidRPr="001570EA" w:rsidRDefault="007376E1">
            <w:pPr>
              <w:keepNext/>
              <w:jc w:val="center"/>
              <w:rPr>
                <w:rFonts w:cs="Arial"/>
                <w:color w:val="000000"/>
                <w:sz w:val="18"/>
                <w:szCs w:val="18"/>
              </w:rPr>
            </w:pPr>
            <w:r w:rsidRPr="001570EA">
              <w:rPr>
                <w:rFonts w:cs="Arial"/>
                <w:color w:val="000000"/>
                <w:sz w:val="18"/>
                <w:szCs w:val="18"/>
              </w:rPr>
              <w:t>91%</w:t>
            </w:r>
          </w:p>
        </w:tc>
        <w:tc>
          <w:tcPr>
            <w:tcW w:w="620" w:type="dxa"/>
            <w:tcBorders>
              <w:top w:val="nil"/>
              <w:left w:val="nil"/>
              <w:bottom w:val="single" w:sz="4" w:space="0" w:color="auto"/>
              <w:right w:val="single" w:sz="4" w:space="0" w:color="auto"/>
            </w:tcBorders>
            <w:shd w:val="clear" w:color="auto" w:fill="auto"/>
            <w:noWrap/>
            <w:vAlign w:val="center"/>
            <w:hideMark/>
          </w:tcPr>
          <w:p w14:paraId="5B732362" w14:textId="77777777" w:rsidR="007376E1" w:rsidRPr="001570EA" w:rsidRDefault="007376E1">
            <w:pPr>
              <w:keepNext/>
              <w:jc w:val="center"/>
              <w:rPr>
                <w:rFonts w:cs="Arial"/>
                <w:color w:val="000000"/>
                <w:sz w:val="18"/>
                <w:szCs w:val="18"/>
              </w:rPr>
            </w:pPr>
            <w:r w:rsidRPr="001570EA">
              <w:rPr>
                <w:rFonts w:cs="Arial"/>
                <w:color w:val="000000"/>
                <w:sz w:val="18"/>
                <w:szCs w:val="18"/>
              </w:rPr>
              <w:t>97%</w:t>
            </w:r>
          </w:p>
        </w:tc>
      </w:tr>
      <w:tr w:rsidR="007376E1" w:rsidRPr="001570EA" w14:paraId="03E72F19" w14:textId="77777777">
        <w:trPr>
          <w:gridAfter w:val="1"/>
          <w:wAfter w:w="6" w:type="dxa"/>
          <w:trHeight w:val="288"/>
          <w:jc w:val="center"/>
        </w:trPr>
        <w:tc>
          <w:tcPr>
            <w:tcW w:w="10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612D52" w14:textId="77777777" w:rsidR="007376E1" w:rsidRPr="001570EA" w:rsidRDefault="007376E1">
            <w:pPr>
              <w:keepNext/>
              <w:jc w:val="center"/>
              <w:rPr>
                <w:rFonts w:cs="Arial"/>
                <w:color w:val="000000"/>
                <w:sz w:val="18"/>
                <w:szCs w:val="18"/>
              </w:rPr>
            </w:pPr>
            <w:r w:rsidRPr="001570EA">
              <w:rPr>
                <w:rFonts w:cs="Arial"/>
                <w:color w:val="000000"/>
                <w:sz w:val="18"/>
                <w:szCs w:val="18"/>
              </w:rPr>
              <w:t>R-2</w:t>
            </w:r>
          </w:p>
        </w:tc>
        <w:tc>
          <w:tcPr>
            <w:tcW w:w="1269" w:type="dxa"/>
            <w:tcBorders>
              <w:top w:val="nil"/>
              <w:left w:val="nil"/>
              <w:bottom w:val="single" w:sz="4" w:space="0" w:color="auto"/>
              <w:right w:val="single" w:sz="4" w:space="0" w:color="auto"/>
            </w:tcBorders>
            <w:shd w:val="clear" w:color="auto" w:fill="auto"/>
            <w:noWrap/>
            <w:vAlign w:val="center"/>
            <w:hideMark/>
          </w:tcPr>
          <w:p w14:paraId="66149E32" w14:textId="77777777" w:rsidR="007376E1" w:rsidRPr="001570EA" w:rsidRDefault="007376E1">
            <w:pPr>
              <w:keepNext/>
              <w:rPr>
                <w:rFonts w:cs="Arial"/>
                <w:color w:val="000000"/>
                <w:sz w:val="18"/>
                <w:szCs w:val="18"/>
              </w:rPr>
            </w:pPr>
            <w:r w:rsidRPr="001570EA">
              <w:rPr>
                <w:rFonts w:cs="Arial"/>
                <w:color w:val="000000"/>
                <w:sz w:val="18"/>
                <w:szCs w:val="18"/>
              </w:rPr>
              <w:t>Leaky</w:t>
            </w:r>
          </w:p>
        </w:tc>
        <w:tc>
          <w:tcPr>
            <w:tcW w:w="620" w:type="dxa"/>
            <w:tcBorders>
              <w:top w:val="nil"/>
              <w:left w:val="nil"/>
              <w:bottom w:val="single" w:sz="4" w:space="0" w:color="auto"/>
              <w:right w:val="single" w:sz="4" w:space="0" w:color="auto"/>
            </w:tcBorders>
            <w:shd w:val="clear" w:color="auto" w:fill="auto"/>
            <w:noWrap/>
            <w:vAlign w:val="center"/>
            <w:hideMark/>
          </w:tcPr>
          <w:p w14:paraId="4005C44C" w14:textId="77777777" w:rsidR="007376E1" w:rsidRPr="001570EA" w:rsidRDefault="007376E1">
            <w:pPr>
              <w:keepNext/>
              <w:jc w:val="center"/>
              <w:rPr>
                <w:rFonts w:cs="Arial"/>
                <w:color w:val="000000"/>
                <w:sz w:val="18"/>
                <w:szCs w:val="18"/>
              </w:rPr>
            </w:pPr>
            <w:r w:rsidRPr="001570EA">
              <w:rPr>
                <w:rFonts w:cs="Arial"/>
                <w:color w:val="000000"/>
                <w:sz w:val="18"/>
                <w:szCs w:val="18"/>
              </w:rPr>
              <w:t>76%</w:t>
            </w:r>
          </w:p>
        </w:tc>
        <w:tc>
          <w:tcPr>
            <w:tcW w:w="620" w:type="dxa"/>
            <w:tcBorders>
              <w:top w:val="nil"/>
              <w:left w:val="nil"/>
              <w:bottom w:val="single" w:sz="4" w:space="0" w:color="auto"/>
              <w:right w:val="single" w:sz="4" w:space="0" w:color="auto"/>
            </w:tcBorders>
            <w:shd w:val="clear" w:color="auto" w:fill="auto"/>
            <w:noWrap/>
            <w:vAlign w:val="center"/>
            <w:hideMark/>
          </w:tcPr>
          <w:p w14:paraId="3848732C" w14:textId="77777777" w:rsidR="007376E1" w:rsidRPr="001570EA" w:rsidRDefault="007376E1">
            <w:pPr>
              <w:keepNext/>
              <w:jc w:val="center"/>
              <w:rPr>
                <w:rFonts w:cs="Arial"/>
                <w:color w:val="000000"/>
                <w:sz w:val="18"/>
                <w:szCs w:val="18"/>
              </w:rPr>
            </w:pPr>
            <w:r w:rsidRPr="001570EA">
              <w:rPr>
                <w:rFonts w:cs="Arial"/>
                <w:color w:val="000000"/>
                <w:sz w:val="18"/>
                <w:szCs w:val="18"/>
              </w:rPr>
              <w:t>73%</w:t>
            </w:r>
          </w:p>
        </w:tc>
        <w:tc>
          <w:tcPr>
            <w:tcW w:w="620" w:type="dxa"/>
            <w:tcBorders>
              <w:top w:val="nil"/>
              <w:left w:val="nil"/>
              <w:bottom w:val="single" w:sz="4" w:space="0" w:color="auto"/>
              <w:right w:val="single" w:sz="4" w:space="0" w:color="auto"/>
            </w:tcBorders>
            <w:shd w:val="clear" w:color="auto" w:fill="auto"/>
            <w:noWrap/>
            <w:vAlign w:val="center"/>
            <w:hideMark/>
          </w:tcPr>
          <w:p w14:paraId="4E773779" w14:textId="77777777" w:rsidR="007376E1" w:rsidRPr="001570EA" w:rsidRDefault="007376E1">
            <w:pPr>
              <w:keepNext/>
              <w:jc w:val="center"/>
              <w:rPr>
                <w:rFonts w:cs="Arial"/>
                <w:color w:val="000000"/>
                <w:sz w:val="18"/>
                <w:szCs w:val="18"/>
              </w:rPr>
            </w:pPr>
            <w:r w:rsidRPr="001570EA">
              <w:rPr>
                <w:rFonts w:cs="Arial"/>
                <w:color w:val="000000"/>
                <w:sz w:val="18"/>
                <w:szCs w:val="18"/>
              </w:rPr>
              <w:t>65%</w:t>
            </w:r>
          </w:p>
        </w:tc>
        <w:tc>
          <w:tcPr>
            <w:tcW w:w="620" w:type="dxa"/>
            <w:tcBorders>
              <w:top w:val="nil"/>
              <w:left w:val="nil"/>
              <w:bottom w:val="single" w:sz="4" w:space="0" w:color="auto"/>
              <w:right w:val="single" w:sz="12" w:space="0" w:color="auto"/>
            </w:tcBorders>
            <w:shd w:val="clear" w:color="auto" w:fill="auto"/>
            <w:noWrap/>
            <w:vAlign w:val="center"/>
            <w:hideMark/>
          </w:tcPr>
          <w:p w14:paraId="4E980AA7" w14:textId="77777777" w:rsidR="007376E1" w:rsidRPr="001570EA" w:rsidRDefault="007376E1">
            <w:pPr>
              <w:keepNext/>
              <w:jc w:val="center"/>
              <w:rPr>
                <w:rFonts w:cs="Arial"/>
                <w:color w:val="000000"/>
                <w:sz w:val="18"/>
                <w:szCs w:val="18"/>
              </w:rPr>
            </w:pPr>
            <w:r w:rsidRPr="001570EA">
              <w:rPr>
                <w:rFonts w:cs="Arial"/>
                <w:color w:val="000000"/>
                <w:sz w:val="18"/>
                <w:szCs w:val="18"/>
              </w:rPr>
              <w:t>67%</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39DD7F83" w14:textId="77777777" w:rsidR="007376E1" w:rsidRPr="001570EA" w:rsidRDefault="007376E1">
            <w:pPr>
              <w:keepNext/>
              <w:jc w:val="center"/>
              <w:rPr>
                <w:rFonts w:cs="Arial"/>
                <w:color w:val="000000"/>
                <w:sz w:val="18"/>
                <w:szCs w:val="18"/>
              </w:rPr>
            </w:pPr>
            <w:r w:rsidRPr="001570EA">
              <w:rPr>
                <w:rFonts w:cs="Arial"/>
                <w:color w:val="000000"/>
                <w:sz w:val="18"/>
                <w:szCs w:val="18"/>
              </w:rPr>
              <w:t>94%</w:t>
            </w:r>
          </w:p>
        </w:tc>
        <w:tc>
          <w:tcPr>
            <w:tcW w:w="620" w:type="dxa"/>
            <w:tcBorders>
              <w:top w:val="nil"/>
              <w:left w:val="nil"/>
              <w:bottom w:val="single" w:sz="4" w:space="0" w:color="auto"/>
              <w:right w:val="single" w:sz="4" w:space="0" w:color="auto"/>
            </w:tcBorders>
            <w:shd w:val="clear" w:color="auto" w:fill="auto"/>
            <w:noWrap/>
            <w:vAlign w:val="center"/>
            <w:hideMark/>
          </w:tcPr>
          <w:p w14:paraId="01718C13" w14:textId="77777777" w:rsidR="007376E1" w:rsidRPr="001570EA" w:rsidRDefault="007376E1">
            <w:pPr>
              <w:keepNext/>
              <w:jc w:val="center"/>
              <w:rPr>
                <w:rFonts w:cs="Arial"/>
                <w:color w:val="000000"/>
                <w:sz w:val="18"/>
                <w:szCs w:val="18"/>
              </w:rPr>
            </w:pPr>
            <w:r w:rsidRPr="001570EA">
              <w:rPr>
                <w:rFonts w:cs="Arial"/>
                <w:color w:val="000000"/>
                <w:sz w:val="18"/>
                <w:szCs w:val="18"/>
              </w:rPr>
              <w:t>94%</w:t>
            </w:r>
          </w:p>
        </w:tc>
        <w:tc>
          <w:tcPr>
            <w:tcW w:w="620" w:type="dxa"/>
            <w:tcBorders>
              <w:top w:val="nil"/>
              <w:left w:val="nil"/>
              <w:bottom w:val="single" w:sz="4" w:space="0" w:color="auto"/>
              <w:right w:val="single" w:sz="4" w:space="0" w:color="auto"/>
            </w:tcBorders>
            <w:shd w:val="clear" w:color="auto" w:fill="auto"/>
            <w:noWrap/>
            <w:vAlign w:val="center"/>
            <w:hideMark/>
          </w:tcPr>
          <w:p w14:paraId="7C177350" w14:textId="77777777" w:rsidR="007376E1" w:rsidRPr="001570EA" w:rsidRDefault="007376E1">
            <w:pPr>
              <w:keepNext/>
              <w:jc w:val="center"/>
              <w:rPr>
                <w:rFonts w:cs="Arial"/>
                <w:color w:val="000000"/>
                <w:sz w:val="18"/>
                <w:szCs w:val="18"/>
              </w:rPr>
            </w:pPr>
            <w:r w:rsidRPr="001570EA">
              <w:rPr>
                <w:rFonts w:cs="Arial"/>
                <w:color w:val="000000"/>
                <w:sz w:val="18"/>
                <w:szCs w:val="18"/>
              </w:rPr>
              <w:t>83%</w:t>
            </w:r>
          </w:p>
        </w:tc>
        <w:tc>
          <w:tcPr>
            <w:tcW w:w="620" w:type="dxa"/>
            <w:tcBorders>
              <w:top w:val="nil"/>
              <w:left w:val="nil"/>
              <w:bottom w:val="single" w:sz="4" w:space="0" w:color="auto"/>
              <w:right w:val="single" w:sz="12" w:space="0" w:color="auto"/>
            </w:tcBorders>
            <w:shd w:val="clear" w:color="auto" w:fill="auto"/>
            <w:noWrap/>
            <w:vAlign w:val="center"/>
            <w:hideMark/>
          </w:tcPr>
          <w:p w14:paraId="2AAFD008" w14:textId="77777777" w:rsidR="007376E1" w:rsidRPr="001570EA" w:rsidRDefault="007376E1">
            <w:pPr>
              <w:keepNext/>
              <w:jc w:val="center"/>
              <w:rPr>
                <w:rFonts w:cs="Arial"/>
                <w:color w:val="000000"/>
                <w:sz w:val="18"/>
                <w:szCs w:val="18"/>
              </w:rPr>
            </w:pPr>
            <w:r w:rsidRPr="001570EA">
              <w:rPr>
                <w:rFonts w:cs="Arial"/>
                <w:color w:val="000000"/>
                <w:sz w:val="18"/>
                <w:szCs w:val="18"/>
              </w:rPr>
              <w:t>92%</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35CC8D9C" w14:textId="77777777" w:rsidR="007376E1" w:rsidRPr="001570EA" w:rsidRDefault="007376E1">
            <w:pPr>
              <w:keepNext/>
              <w:jc w:val="center"/>
              <w:rPr>
                <w:rFonts w:cs="Arial"/>
                <w:color w:val="000000"/>
                <w:sz w:val="18"/>
                <w:szCs w:val="18"/>
              </w:rPr>
            </w:pPr>
            <w:r w:rsidRPr="001570EA">
              <w:rPr>
                <w:rFonts w:cs="Arial"/>
                <w:color w:val="000000"/>
                <w:sz w:val="18"/>
                <w:szCs w:val="18"/>
              </w:rPr>
              <w:t>80%</w:t>
            </w:r>
          </w:p>
        </w:tc>
        <w:tc>
          <w:tcPr>
            <w:tcW w:w="620" w:type="dxa"/>
            <w:tcBorders>
              <w:top w:val="nil"/>
              <w:left w:val="nil"/>
              <w:bottom w:val="single" w:sz="4" w:space="0" w:color="auto"/>
              <w:right w:val="single" w:sz="4" w:space="0" w:color="auto"/>
            </w:tcBorders>
            <w:shd w:val="clear" w:color="auto" w:fill="auto"/>
            <w:noWrap/>
            <w:vAlign w:val="center"/>
            <w:hideMark/>
          </w:tcPr>
          <w:p w14:paraId="03617730" w14:textId="77777777" w:rsidR="007376E1" w:rsidRPr="001570EA" w:rsidRDefault="007376E1">
            <w:pPr>
              <w:keepNext/>
              <w:jc w:val="center"/>
              <w:rPr>
                <w:rFonts w:cs="Arial"/>
                <w:color w:val="000000"/>
                <w:sz w:val="18"/>
                <w:szCs w:val="18"/>
              </w:rPr>
            </w:pPr>
            <w:r w:rsidRPr="001570EA">
              <w:rPr>
                <w:rFonts w:cs="Arial"/>
                <w:color w:val="000000"/>
                <w:sz w:val="18"/>
                <w:szCs w:val="18"/>
              </w:rPr>
              <w:t>78%</w:t>
            </w:r>
          </w:p>
        </w:tc>
        <w:tc>
          <w:tcPr>
            <w:tcW w:w="620" w:type="dxa"/>
            <w:tcBorders>
              <w:top w:val="nil"/>
              <w:left w:val="nil"/>
              <w:bottom w:val="single" w:sz="4" w:space="0" w:color="auto"/>
              <w:right w:val="single" w:sz="4" w:space="0" w:color="auto"/>
            </w:tcBorders>
            <w:shd w:val="clear" w:color="auto" w:fill="auto"/>
            <w:noWrap/>
            <w:vAlign w:val="center"/>
            <w:hideMark/>
          </w:tcPr>
          <w:p w14:paraId="4D2613ED" w14:textId="77777777" w:rsidR="007376E1" w:rsidRPr="001570EA" w:rsidRDefault="007376E1">
            <w:pPr>
              <w:keepNext/>
              <w:jc w:val="center"/>
              <w:rPr>
                <w:rFonts w:cs="Arial"/>
                <w:color w:val="000000"/>
                <w:sz w:val="18"/>
                <w:szCs w:val="18"/>
              </w:rPr>
            </w:pPr>
            <w:r w:rsidRPr="001570EA">
              <w:rPr>
                <w:rFonts w:cs="Arial"/>
                <w:color w:val="000000"/>
                <w:sz w:val="18"/>
                <w:szCs w:val="18"/>
              </w:rPr>
              <w:t>78%</w:t>
            </w:r>
          </w:p>
        </w:tc>
        <w:tc>
          <w:tcPr>
            <w:tcW w:w="620" w:type="dxa"/>
            <w:tcBorders>
              <w:top w:val="nil"/>
              <w:left w:val="nil"/>
              <w:bottom w:val="single" w:sz="4" w:space="0" w:color="auto"/>
              <w:right w:val="single" w:sz="4" w:space="0" w:color="auto"/>
            </w:tcBorders>
            <w:shd w:val="clear" w:color="auto" w:fill="auto"/>
            <w:noWrap/>
            <w:vAlign w:val="center"/>
            <w:hideMark/>
          </w:tcPr>
          <w:p w14:paraId="48D73A5F" w14:textId="77777777" w:rsidR="007376E1" w:rsidRPr="001570EA" w:rsidRDefault="007376E1">
            <w:pPr>
              <w:keepNext/>
              <w:jc w:val="center"/>
              <w:rPr>
                <w:rFonts w:cs="Arial"/>
                <w:color w:val="000000"/>
                <w:sz w:val="18"/>
                <w:szCs w:val="18"/>
              </w:rPr>
            </w:pPr>
            <w:r w:rsidRPr="001570EA">
              <w:rPr>
                <w:rFonts w:cs="Arial"/>
                <w:color w:val="000000"/>
                <w:sz w:val="18"/>
                <w:szCs w:val="18"/>
              </w:rPr>
              <w:t>91%</w:t>
            </w:r>
          </w:p>
        </w:tc>
      </w:tr>
      <w:tr w:rsidR="007376E1" w:rsidRPr="001570EA" w14:paraId="4F71566F" w14:textId="77777777">
        <w:trPr>
          <w:gridAfter w:val="1"/>
          <w:wAfter w:w="6" w:type="dxa"/>
          <w:trHeight w:val="288"/>
          <w:jc w:val="center"/>
        </w:trPr>
        <w:tc>
          <w:tcPr>
            <w:tcW w:w="1066" w:type="dxa"/>
            <w:vMerge/>
            <w:tcBorders>
              <w:top w:val="nil"/>
              <w:left w:val="single" w:sz="4" w:space="0" w:color="auto"/>
              <w:bottom w:val="single" w:sz="4" w:space="0" w:color="auto"/>
              <w:right w:val="single" w:sz="4" w:space="0" w:color="auto"/>
            </w:tcBorders>
            <w:vAlign w:val="center"/>
            <w:hideMark/>
          </w:tcPr>
          <w:p w14:paraId="57068ABA" w14:textId="77777777" w:rsidR="007376E1" w:rsidRPr="001570EA" w:rsidRDefault="007376E1">
            <w:pPr>
              <w:keepNext/>
              <w:rPr>
                <w:rFonts w:cs="Arial"/>
                <w:color w:val="000000"/>
                <w:sz w:val="18"/>
                <w:szCs w:val="18"/>
              </w:rPr>
            </w:pPr>
          </w:p>
        </w:tc>
        <w:tc>
          <w:tcPr>
            <w:tcW w:w="1269" w:type="dxa"/>
            <w:tcBorders>
              <w:top w:val="nil"/>
              <w:left w:val="nil"/>
              <w:bottom w:val="single" w:sz="4" w:space="0" w:color="auto"/>
              <w:right w:val="single" w:sz="4" w:space="0" w:color="auto"/>
            </w:tcBorders>
            <w:shd w:val="clear" w:color="auto" w:fill="auto"/>
            <w:noWrap/>
            <w:vAlign w:val="center"/>
            <w:hideMark/>
          </w:tcPr>
          <w:p w14:paraId="3104E7B3" w14:textId="77777777" w:rsidR="007376E1" w:rsidRPr="001570EA" w:rsidRDefault="007376E1">
            <w:pPr>
              <w:keepNext/>
              <w:rPr>
                <w:rFonts w:cs="Arial"/>
                <w:color w:val="000000"/>
                <w:sz w:val="18"/>
                <w:szCs w:val="18"/>
              </w:rPr>
            </w:pPr>
            <w:r w:rsidRPr="001570EA">
              <w:rPr>
                <w:rFonts w:cs="Arial"/>
                <w:color w:val="000000"/>
                <w:sz w:val="18"/>
                <w:szCs w:val="18"/>
              </w:rPr>
              <w:t>Average</w:t>
            </w:r>
          </w:p>
        </w:tc>
        <w:tc>
          <w:tcPr>
            <w:tcW w:w="620" w:type="dxa"/>
            <w:tcBorders>
              <w:top w:val="nil"/>
              <w:left w:val="nil"/>
              <w:bottom w:val="single" w:sz="4" w:space="0" w:color="auto"/>
              <w:right w:val="single" w:sz="4" w:space="0" w:color="auto"/>
            </w:tcBorders>
            <w:shd w:val="clear" w:color="auto" w:fill="auto"/>
            <w:noWrap/>
            <w:vAlign w:val="center"/>
            <w:hideMark/>
          </w:tcPr>
          <w:p w14:paraId="2439879C" w14:textId="77777777" w:rsidR="007376E1" w:rsidRPr="001570EA" w:rsidRDefault="007376E1">
            <w:pPr>
              <w:keepNext/>
              <w:jc w:val="center"/>
              <w:rPr>
                <w:rFonts w:cs="Arial"/>
                <w:color w:val="000000"/>
                <w:sz w:val="18"/>
                <w:szCs w:val="18"/>
              </w:rPr>
            </w:pPr>
            <w:r w:rsidRPr="001570EA">
              <w:rPr>
                <w:rFonts w:cs="Arial"/>
                <w:color w:val="000000"/>
                <w:sz w:val="18"/>
                <w:szCs w:val="18"/>
              </w:rPr>
              <w:t>82%</w:t>
            </w:r>
          </w:p>
        </w:tc>
        <w:tc>
          <w:tcPr>
            <w:tcW w:w="620" w:type="dxa"/>
            <w:tcBorders>
              <w:top w:val="nil"/>
              <w:left w:val="nil"/>
              <w:bottom w:val="single" w:sz="4" w:space="0" w:color="auto"/>
              <w:right w:val="single" w:sz="4" w:space="0" w:color="auto"/>
            </w:tcBorders>
            <w:shd w:val="clear" w:color="auto" w:fill="auto"/>
            <w:noWrap/>
            <w:vAlign w:val="center"/>
            <w:hideMark/>
          </w:tcPr>
          <w:p w14:paraId="4E142D62" w14:textId="77777777" w:rsidR="007376E1" w:rsidRPr="001570EA" w:rsidRDefault="007376E1">
            <w:pPr>
              <w:keepNext/>
              <w:jc w:val="center"/>
              <w:rPr>
                <w:rFonts w:cs="Arial"/>
                <w:color w:val="000000"/>
                <w:sz w:val="18"/>
                <w:szCs w:val="18"/>
              </w:rPr>
            </w:pPr>
            <w:r w:rsidRPr="001570EA">
              <w:rPr>
                <w:rFonts w:cs="Arial"/>
                <w:color w:val="000000"/>
                <w:sz w:val="18"/>
                <w:szCs w:val="18"/>
              </w:rPr>
              <w:t>79%</w:t>
            </w:r>
          </w:p>
        </w:tc>
        <w:tc>
          <w:tcPr>
            <w:tcW w:w="620" w:type="dxa"/>
            <w:tcBorders>
              <w:top w:val="nil"/>
              <w:left w:val="nil"/>
              <w:bottom w:val="single" w:sz="4" w:space="0" w:color="auto"/>
              <w:right w:val="single" w:sz="4" w:space="0" w:color="auto"/>
            </w:tcBorders>
            <w:shd w:val="clear" w:color="auto" w:fill="auto"/>
            <w:noWrap/>
            <w:vAlign w:val="center"/>
            <w:hideMark/>
          </w:tcPr>
          <w:p w14:paraId="771DEDE7" w14:textId="77777777" w:rsidR="007376E1" w:rsidRPr="001570EA" w:rsidRDefault="007376E1">
            <w:pPr>
              <w:keepNext/>
              <w:jc w:val="center"/>
              <w:rPr>
                <w:rFonts w:cs="Arial"/>
                <w:color w:val="000000"/>
                <w:sz w:val="18"/>
                <w:szCs w:val="18"/>
              </w:rPr>
            </w:pPr>
            <w:r w:rsidRPr="001570EA">
              <w:rPr>
                <w:rFonts w:cs="Arial"/>
                <w:color w:val="000000"/>
                <w:sz w:val="18"/>
                <w:szCs w:val="18"/>
              </w:rPr>
              <w:t>74%</w:t>
            </w:r>
          </w:p>
        </w:tc>
        <w:tc>
          <w:tcPr>
            <w:tcW w:w="620" w:type="dxa"/>
            <w:tcBorders>
              <w:top w:val="nil"/>
              <w:left w:val="nil"/>
              <w:bottom w:val="single" w:sz="4" w:space="0" w:color="auto"/>
              <w:right w:val="single" w:sz="12" w:space="0" w:color="auto"/>
            </w:tcBorders>
            <w:shd w:val="clear" w:color="auto" w:fill="auto"/>
            <w:noWrap/>
            <w:vAlign w:val="center"/>
            <w:hideMark/>
          </w:tcPr>
          <w:p w14:paraId="523CA6EF" w14:textId="77777777" w:rsidR="007376E1" w:rsidRPr="001570EA" w:rsidRDefault="007376E1">
            <w:pPr>
              <w:keepNext/>
              <w:jc w:val="center"/>
              <w:rPr>
                <w:rFonts w:cs="Arial"/>
                <w:color w:val="000000"/>
                <w:sz w:val="18"/>
                <w:szCs w:val="18"/>
              </w:rPr>
            </w:pPr>
            <w:r w:rsidRPr="001570EA">
              <w:rPr>
                <w:rFonts w:cs="Arial"/>
                <w:color w:val="000000"/>
                <w:sz w:val="18"/>
                <w:szCs w:val="18"/>
              </w:rPr>
              <w:t>75%</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7BDD0DF1" w14:textId="77777777" w:rsidR="007376E1" w:rsidRPr="001570EA" w:rsidRDefault="007376E1">
            <w:pPr>
              <w:keepNext/>
              <w:jc w:val="center"/>
              <w:rPr>
                <w:rFonts w:cs="Arial"/>
                <w:color w:val="000000"/>
                <w:sz w:val="18"/>
                <w:szCs w:val="18"/>
              </w:rPr>
            </w:pPr>
            <w:r w:rsidRPr="001570EA">
              <w:rPr>
                <w:rFonts w:cs="Arial"/>
                <w:color w:val="000000"/>
                <w:sz w:val="18"/>
                <w:szCs w:val="18"/>
              </w:rPr>
              <w:t>96%</w:t>
            </w:r>
          </w:p>
        </w:tc>
        <w:tc>
          <w:tcPr>
            <w:tcW w:w="620" w:type="dxa"/>
            <w:tcBorders>
              <w:top w:val="nil"/>
              <w:left w:val="nil"/>
              <w:bottom w:val="single" w:sz="4" w:space="0" w:color="auto"/>
              <w:right w:val="single" w:sz="4" w:space="0" w:color="auto"/>
            </w:tcBorders>
            <w:shd w:val="clear" w:color="auto" w:fill="auto"/>
            <w:noWrap/>
            <w:vAlign w:val="center"/>
            <w:hideMark/>
          </w:tcPr>
          <w:p w14:paraId="6A6CBEB3" w14:textId="77777777" w:rsidR="007376E1" w:rsidRPr="001570EA" w:rsidRDefault="007376E1">
            <w:pPr>
              <w:keepNext/>
              <w:jc w:val="center"/>
              <w:rPr>
                <w:rFonts w:cs="Arial"/>
                <w:color w:val="000000"/>
                <w:sz w:val="18"/>
                <w:szCs w:val="18"/>
              </w:rPr>
            </w:pPr>
            <w:r w:rsidRPr="001570EA">
              <w:rPr>
                <w:rFonts w:cs="Arial"/>
                <w:color w:val="000000"/>
                <w:sz w:val="18"/>
                <w:szCs w:val="18"/>
              </w:rPr>
              <w:t>95%</w:t>
            </w:r>
          </w:p>
        </w:tc>
        <w:tc>
          <w:tcPr>
            <w:tcW w:w="620" w:type="dxa"/>
            <w:tcBorders>
              <w:top w:val="nil"/>
              <w:left w:val="nil"/>
              <w:bottom w:val="single" w:sz="4" w:space="0" w:color="auto"/>
              <w:right w:val="single" w:sz="4" w:space="0" w:color="auto"/>
            </w:tcBorders>
            <w:shd w:val="clear" w:color="auto" w:fill="auto"/>
            <w:noWrap/>
            <w:vAlign w:val="center"/>
            <w:hideMark/>
          </w:tcPr>
          <w:p w14:paraId="68DCC572" w14:textId="77777777" w:rsidR="007376E1" w:rsidRPr="001570EA" w:rsidRDefault="007376E1">
            <w:pPr>
              <w:keepNext/>
              <w:jc w:val="center"/>
              <w:rPr>
                <w:rFonts w:cs="Arial"/>
                <w:color w:val="000000"/>
                <w:sz w:val="18"/>
                <w:szCs w:val="18"/>
              </w:rPr>
            </w:pPr>
            <w:r w:rsidRPr="001570EA">
              <w:rPr>
                <w:rFonts w:cs="Arial"/>
                <w:color w:val="000000"/>
                <w:sz w:val="18"/>
                <w:szCs w:val="18"/>
              </w:rPr>
              <w:t>88%</w:t>
            </w:r>
          </w:p>
        </w:tc>
        <w:tc>
          <w:tcPr>
            <w:tcW w:w="620" w:type="dxa"/>
            <w:tcBorders>
              <w:top w:val="nil"/>
              <w:left w:val="nil"/>
              <w:bottom w:val="single" w:sz="4" w:space="0" w:color="auto"/>
              <w:right w:val="single" w:sz="12" w:space="0" w:color="auto"/>
            </w:tcBorders>
            <w:shd w:val="clear" w:color="auto" w:fill="auto"/>
            <w:noWrap/>
            <w:vAlign w:val="center"/>
            <w:hideMark/>
          </w:tcPr>
          <w:p w14:paraId="788FA03F" w14:textId="77777777" w:rsidR="007376E1" w:rsidRPr="001570EA" w:rsidRDefault="007376E1">
            <w:pPr>
              <w:keepNext/>
              <w:jc w:val="center"/>
              <w:rPr>
                <w:rFonts w:cs="Arial"/>
                <w:color w:val="000000"/>
                <w:sz w:val="18"/>
                <w:szCs w:val="18"/>
              </w:rPr>
            </w:pPr>
            <w:r w:rsidRPr="001570EA">
              <w:rPr>
                <w:rFonts w:cs="Arial"/>
                <w:color w:val="000000"/>
                <w:sz w:val="18"/>
                <w:szCs w:val="18"/>
              </w:rPr>
              <w:t>95%</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39037810" w14:textId="77777777" w:rsidR="007376E1" w:rsidRPr="001570EA" w:rsidRDefault="007376E1">
            <w:pPr>
              <w:keepNext/>
              <w:jc w:val="center"/>
              <w:rPr>
                <w:rFonts w:cs="Arial"/>
                <w:color w:val="000000"/>
                <w:sz w:val="18"/>
                <w:szCs w:val="18"/>
              </w:rPr>
            </w:pPr>
            <w:r w:rsidRPr="001570EA">
              <w:rPr>
                <w:rFonts w:cs="Arial"/>
                <w:color w:val="000000"/>
                <w:sz w:val="18"/>
                <w:szCs w:val="18"/>
              </w:rPr>
              <w:t>85%</w:t>
            </w:r>
          </w:p>
        </w:tc>
        <w:tc>
          <w:tcPr>
            <w:tcW w:w="620" w:type="dxa"/>
            <w:tcBorders>
              <w:top w:val="nil"/>
              <w:left w:val="nil"/>
              <w:bottom w:val="single" w:sz="4" w:space="0" w:color="auto"/>
              <w:right w:val="single" w:sz="4" w:space="0" w:color="auto"/>
            </w:tcBorders>
            <w:shd w:val="clear" w:color="auto" w:fill="auto"/>
            <w:noWrap/>
            <w:vAlign w:val="center"/>
            <w:hideMark/>
          </w:tcPr>
          <w:p w14:paraId="5521DC4C" w14:textId="77777777" w:rsidR="007376E1" w:rsidRPr="001570EA" w:rsidRDefault="007376E1">
            <w:pPr>
              <w:keepNext/>
              <w:jc w:val="center"/>
              <w:rPr>
                <w:rFonts w:cs="Arial"/>
                <w:color w:val="000000"/>
                <w:sz w:val="18"/>
                <w:szCs w:val="18"/>
              </w:rPr>
            </w:pPr>
            <w:r w:rsidRPr="001570EA">
              <w:rPr>
                <w:rFonts w:cs="Arial"/>
                <w:color w:val="000000"/>
                <w:sz w:val="18"/>
                <w:szCs w:val="18"/>
              </w:rPr>
              <w:t>83%</w:t>
            </w:r>
          </w:p>
        </w:tc>
        <w:tc>
          <w:tcPr>
            <w:tcW w:w="620" w:type="dxa"/>
            <w:tcBorders>
              <w:top w:val="nil"/>
              <w:left w:val="nil"/>
              <w:bottom w:val="single" w:sz="4" w:space="0" w:color="auto"/>
              <w:right w:val="single" w:sz="4" w:space="0" w:color="auto"/>
            </w:tcBorders>
            <w:shd w:val="clear" w:color="auto" w:fill="auto"/>
            <w:noWrap/>
            <w:vAlign w:val="center"/>
            <w:hideMark/>
          </w:tcPr>
          <w:p w14:paraId="0F0D2B53" w14:textId="77777777" w:rsidR="007376E1" w:rsidRPr="001570EA" w:rsidRDefault="007376E1">
            <w:pPr>
              <w:keepNext/>
              <w:jc w:val="center"/>
              <w:rPr>
                <w:rFonts w:cs="Arial"/>
                <w:color w:val="000000"/>
                <w:sz w:val="18"/>
                <w:szCs w:val="18"/>
              </w:rPr>
            </w:pPr>
            <w:r w:rsidRPr="001570EA">
              <w:rPr>
                <w:rFonts w:cs="Arial"/>
                <w:color w:val="000000"/>
                <w:sz w:val="18"/>
                <w:szCs w:val="18"/>
              </w:rPr>
              <w:t>85%</w:t>
            </w:r>
          </w:p>
        </w:tc>
        <w:tc>
          <w:tcPr>
            <w:tcW w:w="620" w:type="dxa"/>
            <w:tcBorders>
              <w:top w:val="nil"/>
              <w:left w:val="nil"/>
              <w:bottom w:val="single" w:sz="4" w:space="0" w:color="auto"/>
              <w:right w:val="single" w:sz="4" w:space="0" w:color="auto"/>
            </w:tcBorders>
            <w:shd w:val="clear" w:color="auto" w:fill="auto"/>
            <w:noWrap/>
            <w:vAlign w:val="center"/>
            <w:hideMark/>
          </w:tcPr>
          <w:p w14:paraId="0743CF38" w14:textId="77777777" w:rsidR="007376E1" w:rsidRPr="001570EA" w:rsidRDefault="007376E1">
            <w:pPr>
              <w:keepNext/>
              <w:jc w:val="center"/>
              <w:rPr>
                <w:rFonts w:cs="Arial"/>
                <w:color w:val="000000"/>
                <w:sz w:val="18"/>
                <w:szCs w:val="18"/>
              </w:rPr>
            </w:pPr>
            <w:r w:rsidRPr="001570EA">
              <w:rPr>
                <w:rFonts w:cs="Arial"/>
                <w:color w:val="000000"/>
                <w:sz w:val="18"/>
                <w:szCs w:val="18"/>
              </w:rPr>
              <w:t>94%</w:t>
            </w:r>
          </w:p>
        </w:tc>
      </w:tr>
      <w:tr w:rsidR="007376E1" w:rsidRPr="001570EA" w14:paraId="576906AA" w14:textId="77777777">
        <w:trPr>
          <w:gridAfter w:val="1"/>
          <w:wAfter w:w="6" w:type="dxa"/>
          <w:trHeight w:val="288"/>
          <w:jc w:val="center"/>
        </w:trPr>
        <w:tc>
          <w:tcPr>
            <w:tcW w:w="1066" w:type="dxa"/>
            <w:vMerge/>
            <w:tcBorders>
              <w:top w:val="nil"/>
              <w:left w:val="single" w:sz="4" w:space="0" w:color="auto"/>
              <w:bottom w:val="single" w:sz="4" w:space="0" w:color="auto"/>
              <w:right w:val="single" w:sz="4" w:space="0" w:color="auto"/>
            </w:tcBorders>
            <w:vAlign w:val="center"/>
            <w:hideMark/>
          </w:tcPr>
          <w:p w14:paraId="4A0DB7EA" w14:textId="77777777" w:rsidR="007376E1" w:rsidRPr="001570EA" w:rsidRDefault="007376E1">
            <w:pPr>
              <w:keepNext/>
              <w:rPr>
                <w:rFonts w:cs="Arial"/>
                <w:color w:val="000000"/>
                <w:sz w:val="18"/>
                <w:szCs w:val="18"/>
              </w:rPr>
            </w:pPr>
          </w:p>
        </w:tc>
        <w:tc>
          <w:tcPr>
            <w:tcW w:w="1269" w:type="dxa"/>
            <w:tcBorders>
              <w:top w:val="nil"/>
              <w:left w:val="nil"/>
              <w:bottom w:val="single" w:sz="4" w:space="0" w:color="auto"/>
              <w:right w:val="single" w:sz="4" w:space="0" w:color="auto"/>
            </w:tcBorders>
            <w:shd w:val="clear" w:color="auto" w:fill="auto"/>
            <w:noWrap/>
            <w:vAlign w:val="center"/>
            <w:hideMark/>
          </w:tcPr>
          <w:p w14:paraId="0B5572D0" w14:textId="77777777" w:rsidR="007376E1" w:rsidRPr="001570EA" w:rsidRDefault="007376E1">
            <w:pPr>
              <w:keepNext/>
              <w:rPr>
                <w:rFonts w:cs="Arial"/>
                <w:color w:val="000000"/>
                <w:sz w:val="18"/>
                <w:szCs w:val="18"/>
              </w:rPr>
            </w:pPr>
            <w:r w:rsidRPr="001570EA">
              <w:rPr>
                <w:rFonts w:cs="Arial"/>
                <w:color w:val="000000"/>
                <w:sz w:val="18"/>
                <w:szCs w:val="18"/>
              </w:rPr>
              <w:t>Tight</w:t>
            </w:r>
          </w:p>
        </w:tc>
        <w:tc>
          <w:tcPr>
            <w:tcW w:w="620" w:type="dxa"/>
            <w:tcBorders>
              <w:top w:val="nil"/>
              <w:left w:val="nil"/>
              <w:bottom w:val="single" w:sz="4" w:space="0" w:color="auto"/>
              <w:right w:val="single" w:sz="4" w:space="0" w:color="auto"/>
            </w:tcBorders>
            <w:shd w:val="clear" w:color="auto" w:fill="auto"/>
            <w:noWrap/>
            <w:vAlign w:val="center"/>
            <w:hideMark/>
          </w:tcPr>
          <w:p w14:paraId="68225121" w14:textId="77777777" w:rsidR="007376E1" w:rsidRPr="001570EA" w:rsidRDefault="007376E1">
            <w:pPr>
              <w:keepNext/>
              <w:jc w:val="center"/>
              <w:rPr>
                <w:rFonts w:cs="Arial"/>
                <w:color w:val="000000"/>
                <w:sz w:val="18"/>
                <w:szCs w:val="18"/>
              </w:rPr>
            </w:pPr>
            <w:r w:rsidRPr="001570EA">
              <w:rPr>
                <w:rFonts w:cs="Arial"/>
                <w:color w:val="000000"/>
                <w:sz w:val="18"/>
                <w:szCs w:val="18"/>
              </w:rPr>
              <w:t>87%</w:t>
            </w:r>
          </w:p>
        </w:tc>
        <w:tc>
          <w:tcPr>
            <w:tcW w:w="620" w:type="dxa"/>
            <w:tcBorders>
              <w:top w:val="nil"/>
              <w:left w:val="nil"/>
              <w:bottom w:val="single" w:sz="4" w:space="0" w:color="auto"/>
              <w:right w:val="single" w:sz="4" w:space="0" w:color="auto"/>
            </w:tcBorders>
            <w:shd w:val="clear" w:color="auto" w:fill="auto"/>
            <w:noWrap/>
            <w:vAlign w:val="center"/>
            <w:hideMark/>
          </w:tcPr>
          <w:p w14:paraId="078F4857" w14:textId="77777777" w:rsidR="007376E1" w:rsidRPr="001570EA" w:rsidRDefault="007376E1">
            <w:pPr>
              <w:keepNext/>
              <w:jc w:val="center"/>
              <w:rPr>
                <w:rFonts w:cs="Arial"/>
                <w:color w:val="000000"/>
                <w:sz w:val="18"/>
                <w:szCs w:val="18"/>
              </w:rPr>
            </w:pPr>
            <w:r w:rsidRPr="001570EA">
              <w:rPr>
                <w:rFonts w:cs="Arial"/>
                <w:color w:val="000000"/>
                <w:sz w:val="18"/>
                <w:szCs w:val="18"/>
              </w:rPr>
              <w:t>85%</w:t>
            </w:r>
          </w:p>
        </w:tc>
        <w:tc>
          <w:tcPr>
            <w:tcW w:w="620" w:type="dxa"/>
            <w:tcBorders>
              <w:top w:val="nil"/>
              <w:left w:val="nil"/>
              <w:bottom w:val="single" w:sz="4" w:space="0" w:color="auto"/>
              <w:right w:val="single" w:sz="4" w:space="0" w:color="auto"/>
            </w:tcBorders>
            <w:shd w:val="clear" w:color="auto" w:fill="auto"/>
            <w:noWrap/>
            <w:vAlign w:val="center"/>
            <w:hideMark/>
          </w:tcPr>
          <w:p w14:paraId="1ED6F3EB" w14:textId="77777777" w:rsidR="007376E1" w:rsidRPr="001570EA" w:rsidRDefault="007376E1">
            <w:pPr>
              <w:keepNext/>
              <w:jc w:val="center"/>
              <w:rPr>
                <w:rFonts w:cs="Arial"/>
                <w:color w:val="000000"/>
                <w:sz w:val="18"/>
                <w:szCs w:val="18"/>
              </w:rPr>
            </w:pPr>
            <w:r w:rsidRPr="001570EA">
              <w:rPr>
                <w:rFonts w:cs="Arial"/>
                <w:color w:val="000000"/>
                <w:sz w:val="18"/>
                <w:szCs w:val="18"/>
              </w:rPr>
              <w:t>84%</w:t>
            </w:r>
          </w:p>
        </w:tc>
        <w:tc>
          <w:tcPr>
            <w:tcW w:w="620" w:type="dxa"/>
            <w:tcBorders>
              <w:top w:val="nil"/>
              <w:left w:val="nil"/>
              <w:bottom w:val="single" w:sz="4" w:space="0" w:color="auto"/>
              <w:right w:val="single" w:sz="12" w:space="0" w:color="auto"/>
            </w:tcBorders>
            <w:shd w:val="clear" w:color="auto" w:fill="auto"/>
            <w:noWrap/>
            <w:vAlign w:val="center"/>
            <w:hideMark/>
          </w:tcPr>
          <w:p w14:paraId="37584EB2" w14:textId="77777777" w:rsidR="007376E1" w:rsidRPr="001570EA" w:rsidRDefault="007376E1">
            <w:pPr>
              <w:keepNext/>
              <w:jc w:val="center"/>
              <w:rPr>
                <w:rFonts w:cs="Arial"/>
                <w:color w:val="000000"/>
                <w:sz w:val="18"/>
                <w:szCs w:val="18"/>
              </w:rPr>
            </w:pPr>
            <w:r w:rsidRPr="001570EA">
              <w:rPr>
                <w:rFonts w:cs="Arial"/>
                <w:color w:val="000000"/>
                <w:sz w:val="18"/>
                <w:szCs w:val="18"/>
              </w:rPr>
              <w:t>85%</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51CFD1B6" w14:textId="77777777" w:rsidR="007376E1" w:rsidRPr="001570EA" w:rsidRDefault="007376E1">
            <w:pPr>
              <w:keepNext/>
              <w:jc w:val="center"/>
              <w:rPr>
                <w:rFonts w:cs="Arial"/>
                <w:color w:val="000000"/>
                <w:sz w:val="18"/>
                <w:szCs w:val="18"/>
              </w:rPr>
            </w:pPr>
            <w:r w:rsidRPr="001570EA">
              <w:rPr>
                <w:rFonts w:cs="Arial"/>
                <w:color w:val="000000"/>
                <w:sz w:val="18"/>
                <w:szCs w:val="18"/>
              </w:rPr>
              <w:t>97%</w:t>
            </w:r>
          </w:p>
        </w:tc>
        <w:tc>
          <w:tcPr>
            <w:tcW w:w="620" w:type="dxa"/>
            <w:tcBorders>
              <w:top w:val="nil"/>
              <w:left w:val="nil"/>
              <w:bottom w:val="single" w:sz="4" w:space="0" w:color="auto"/>
              <w:right w:val="single" w:sz="4" w:space="0" w:color="auto"/>
            </w:tcBorders>
            <w:shd w:val="clear" w:color="auto" w:fill="auto"/>
            <w:noWrap/>
            <w:vAlign w:val="center"/>
            <w:hideMark/>
          </w:tcPr>
          <w:p w14:paraId="2CAD2529" w14:textId="77777777" w:rsidR="007376E1" w:rsidRPr="001570EA" w:rsidRDefault="007376E1">
            <w:pPr>
              <w:keepNext/>
              <w:jc w:val="center"/>
              <w:rPr>
                <w:rFonts w:cs="Arial"/>
                <w:color w:val="000000"/>
                <w:sz w:val="18"/>
                <w:szCs w:val="18"/>
              </w:rPr>
            </w:pPr>
            <w:r w:rsidRPr="001570EA">
              <w:rPr>
                <w:rFonts w:cs="Arial"/>
                <w:color w:val="000000"/>
                <w:sz w:val="18"/>
                <w:szCs w:val="18"/>
              </w:rPr>
              <w:t>97%</w:t>
            </w:r>
          </w:p>
        </w:tc>
        <w:tc>
          <w:tcPr>
            <w:tcW w:w="620" w:type="dxa"/>
            <w:tcBorders>
              <w:top w:val="nil"/>
              <w:left w:val="nil"/>
              <w:bottom w:val="single" w:sz="4" w:space="0" w:color="auto"/>
              <w:right w:val="single" w:sz="4" w:space="0" w:color="auto"/>
            </w:tcBorders>
            <w:shd w:val="clear" w:color="auto" w:fill="auto"/>
            <w:noWrap/>
            <w:vAlign w:val="center"/>
            <w:hideMark/>
          </w:tcPr>
          <w:p w14:paraId="09775AE8" w14:textId="77777777" w:rsidR="007376E1" w:rsidRPr="001570EA" w:rsidRDefault="007376E1">
            <w:pPr>
              <w:keepNext/>
              <w:jc w:val="center"/>
              <w:rPr>
                <w:rFonts w:cs="Arial"/>
                <w:color w:val="000000"/>
                <w:sz w:val="18"/>
                <w:szCs w:val="18"/>
              </w:rPr>
            </w:pPr>
            <w:r w:rsidRPr="001570EA">
              <w:rPr>
                <w:rFonts w:cs="Arial"/>
                <w:color w:val="000000"/>
                <w:sz w:val="18"/>
                <w:szCs w:val="18"/>
              </w:rPr>
              <w:t>95%</w:t>
            </w:r>
          </w:p>
        </w:tc>
        <w:tc>
          <w:tcPr>
            <w:tcW w:w="620" w:type="dxa"/>
            <w:tcBorders>
              <w:top w:val="nil"/>
              <w:left w:val="nil"/>
              <w:bottom w:val="single" w:sz="4" w:space="0" w:color="auto"/>
              <w:right w:val="single" w:sz="12" w:space="0" w:color="auto"/>
            </w:tcBorders>
            <w:shd w:val="clear" w:color="auto" w:fill="auto"/>
            <w:noWrap/>
            <w:vAlign w:val="center"/>
            <w:hideMark/>
          </w:tcPr>
          <w:p w14:paraId="42E734EC" w14:textId="77777777" w:rsidR="007376E1" w:rsidRPr="001570EA" w:rsidRDefault="007376E1">
            <w:pPr>
              <w:keepNext/>
              <w:jc w:val="center"/>
              <w:rPr>
                <w:rFonts w:cs="Arial"/>
                <w:color w:val="000000"/>
                <w:sz w:val="18"/>
                <w:szCs w:val="18"/>
              </w:rPr>
            </w:pPr>
            <w:r w:rsidRPr="001570EA">
              <w:rPr>
                <w:rFonts w:cs="Arial"/>
                <w:color w:val="000000"/>
                <w:sz w:val="18"/>
                <w:szCs w:val="18"/>
              </w:rPr>
              <w:t>98%</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3AE615E1" w14:textId="77777777" w:rsidR="007376E1" w:rsidRPr="001570EA" w:rsidRDefault="007376E1">
            <w:pPr>
              <w:keepNext/>
              <w:jc w:val="center"/>
              <w:rPr>
                <w:rFonts w:cs="Arial"/>
                <w:color w:val="000000"/>
                <w:sz w:val="18"/>
                <w:szCs w:val="18"/>
              </w:rPr>
            </w:pPr>
            <w:r w:rsidRPr="001570EA">
              <w:rPr>
                <w:rFonts w:cs="Arial"/>
                <w:color w:val="000000"/>
                <w:sz w:val="18"/>
                <w:szCs w:val="18"/>
              </w:rPr>
              <w:t>90%</w:t>
            </w:r>
          </w:p>
        </w:tc>
        <w:tc>
          <w:tcPr>
            <w:tcW w:w="620" w:type="dxa"/>
            <w:tcBorders>
              <w:top w:val="nil"/>
              <w:left w:val="nil"/>
              <w:bottom w:val="single" w:sz="4" w:space="0" w:color="auto"/>
              <w:right w:val="single" w:sz="4" w:space="0" w:color="auto"/>
            </w:tcBorders>
            <w:shd w:val="clear" w:color="auto" w:fill="auto"/>
            <w:noWrap/>
            <w:vAlign w:val="center"/>
            <w:hideMark/>
          </w:tcPr>
          <w:p w14:paraId="27E231E8" w14:textId="77777777" w:rsidR="007376E1" w:rsidRPr="001570EA" w:rsidRDefault="007376E1">
            <w:pPr>
              <w:keepNext/>
              <w:jc w:val="center"/>
              <w:rPr>
                <w:rFonts w:cs="Arial"/>
                <w:color w:val="000000"/>
                <w:sz w:val="18"/>
                <w:szCs w:val="18"/>
              </w:rPr>
            </w:pPr>
            <w:r w:rsidRPr="001570EA">
              <w:rPr>
                <w:rFonts w:cs="Arial"/>
                <w:color w:val="000000"/>
                <w:sz w:val="18"/>
                <w:szCs w:val="18"/>
              </w:rPr>
              <w:t>88%</w:t>
            </w:r>
          </w:p>
        </w:tc>
        <w:tc>
          <w:tcPr>
            <w:tcW w:w="620" w:type="dxa"/>
            <w:tcBorders>
              <w:top w:val="nil"/>
              <w:left w:val="nil"/>
              <w:bottom w:val="single" w:sz="4" w:space="0" w:color="auto"/>
              <w:right w:val="single" w:sz="4" w:space="0" w:color="auto"/>
            </w:tcBorders>
            <w:shd w:val="clear" w:color="auto" w:fill="auto"/>
            <w:noWrap/>
            <w:vAlign w:val="center"/>
            <w:hideMark/>
          </w:tcPr>
          <w:p w14:paraId="2BA14A9A" w14:textId="77777777" w:rsidR="007376E1" w:rsidRPr="001570EA" w:rsidRDefault="007376E1">
            <w:pPr>
              <w:keepNext/>
              <w:jc w:val="center"/>
              <w:rPr>
                <w:rFonts w:cs="Arial"/>
                <w:color w:val="000000"/>
                <w:sz w:val="18"/>
                <w:szCs w:val="18"/>
              </w:rPr>
            </w:pPr>
            <w:r w:rsidRPr="001570EA">
              <w:rPr>
                <w:rFonts w:cs="Arial"/>
                <w:color w:val="000000"/>
                <w:sz w:val="18"/>
                <w:szCs w:val="18"/>
              </w:rPr>
              <w:t>93%</w:t>
            </w:r>
          </w:p>
        </w:tc>
        <w:tc>
          <w:tcPr>
            <w:tcW w:w="620" w:type="dxa"/>
            <w:tcBorders>
              <w:top w:val="nil"/>
              <w:left w:val="nil"/>
              <w:bottom w:val="single" w:sz="4" w:space="0" w:color="auto"/>
              <w:right w:val="single" w:sz="4" w:space="0" w:color="auto"/>
            </w:tcBorders>
            <w:shd w:val="clear" w:color="auto" w:fill="auto"/>
            <w:noWrap/>
            <w:vAlign w:val="center"/>
            <w:hideMark/>
          </w:tcPr>
          <w:p w14:paraId="65B7CE0F" w14:textId="77777777" w:rsidR="007376E1" w:rsidRPr="001570EA" w:rsidRDefault="007376E1">
            <w:pPr>
              <w:keepNext/>
              <w:jc w:val="center"/>
              <w:rPr>
                <w:rFonts w:cs="Arial"/>
                <w:color w:val="000000"/>
                <w:sz w:val="18"/>
                <w:szCs w:val="18"/>
              </w:rPr>
            </w:pPr>
            <w:r w:rsidRPr="001570EA">
              <w:rPr>
                <w:rFonts w:cs="Arial"/>
                <w:color w:val="000000"/>
                <w:sz w:val="18"/>
                <w:szCs w:val="18"/>
              </w:rPr>
              <w:t>97%</w:t>
            </w:r>
          </w:p>
        </w:tc>
      </w:tr>
      <w:tr w:rsidR="007376E1" w:rsidRPr="001570EA" w14:paraId="1CE2DB85" w14:textId="77777777">
        <w:trPr>
          <w:gridAfter w:val="1"/>
          <w:wAfter w:w="6" w:type="dxa"/>
          <w:trHeight w:val="288"/>
          <w:jc w:val="center"/>
        </w:trPr>
        <w:tc>
          <w:tcPr>
            <w:tcW w:w="10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319334" w14:textId="77777777" w:rsidR="007376E1" w:rsidRPr="001570EA" w:rsidRDefault="007376E1">
            <w:pPr>
              <w:keepNext/>
              <w:jc w:val="center"/>
              <w:rPr>
                <w:rFonts w:cs="Arial"/>
                <w:color w:val="000000"/>
                <w:sz w:val="18"/>
                <w:szCs w:val="18"/>
              </w:rPr>
            </w:pPr>
            <w:r w:rsidRPr="001570EA">
              <w:rPr>
                <w:rFonts w:cs="Arial"/>
                <w:color w:val="000000"/>
                <w:sz w:val="18"/>
                <w:szCs w:val="18"/>
              </w:rPr>
              <w:t>R-4+</w:t>
            </w:r>
          </w:p>
        </w:tc>
        <w:tc>
          <w:tcPr>
            <w:tcW w:w="1269" w:type="dxa"/>
            <w:tcBorders>
              <w:top w:val="nil"/>
              <w:left w:val="nil"/>
              <w:bottom w:val="single" w:sz="4" w:space="0" w:color="auto"/>
              <w:right w:val="single" w:sz="4" w:space="0" w:color="auto"/>
            </w:tcBorders>
            <w:shd w:val="clear" w:color="auto" w:fill="auto"/>
            <w:noWrap/>
            <w:vAlign w:val="center"/>
            <w:hideMark/>
          </w:tcPr>
          <w:p w14:paraId="4FE91DDD" w14:textId="77777777" w:rsidR="007376E1" w:rsidRPr="001570EA" w:rsidRDefault="007376E1">
            <w:pPr>
              <w:keepNext/>
              <w:rPr>
                <w:rFonts w:cs="Arial"/>
                <w:color w:val="000000"/>
                <w:sz w:val="18"/>
                <w:szCs w:val="18"/>
              </w:rPr>
            </w:pPr>
            <w:r w:rsidRPr="001570EA">
              <w:rPr>
                <w:rFonts w:cs="Arial"/>
                <w:color w:val="000000"/>
                <w:sz w:val="18"/>
                <w:szCs w:val="18"/>
              </w:rPr>
              <w:t>Leaky</w:t>
            </w:r>
          </w:p>
        </w:tc>
        <w:tc>
          <w:tcPr>
            <w:tcW w:w="620" w:type="dxa"/>
            <w:tcBorders>
              <w:top w:val="nil"/>
              <w:left w:val="nil"/>
              <w:bottom w:val="single" w:sz="4" w:space="0" w:color="auto"/>
              <w:right w:val="single" w:sz="4" w:space="0" w:color="auto"/>
            </w:tcBorders>
            <w:shd w:val="clear" w:color="auto" w:fill="auto"/>
            <w:noWrap/>
            <w:vAlign w:val="center"/>
            <w:hideMark/>
          </w:tcPr>
          <w:p w14:paraId="3D2B7762" w14:textId="77777777" w:rsidR="007376E1" w:rsidRPr="001570EA" w:rsidRDefault="007376E1">
            <w:pPr>
              <w:keepNext/>
              <w:jc w:val="center"/>
              <w:rPr>
                <w:rFonts w:cs="Arial"/>
                <w:color w:val="000000"/>
                <w:sz w:val="18"/>
                <w:szCs w:val="18"/>
              </w:rPr>
            </w:pPr>
            <w:r w:rsidRPr="001570EA">
              <w:rPr>
                <w:rFonts w:cs="Arial"/>
                <w:color w:val="000000"/>
                <w:sz w:val="18"/>
                <w:szCs w:val="18"/>
              </w:rPr>
              <w:t>79%</w:t>
            </w:r>
          </w:p>
        </w:tc>
        <w:tc>
          <w:tcPr>
            <w:tcW w:w="620" w:type="dxa"/>
            <w:tcBorders>
              <w:top w:val="nil"/>
              <w:left w:val="nil"/>
              <w:bottom w:val="single" w:sz="4" w:space="0" w:color="auto"/>
              <w:right w:val="single" w:sz="4" w:space="0" w:color="auto"/>
            </w:tcBorders>
            <w:shd w:val="clear" w:color="auto" w:fill="auto"/>
            <w:noWrap/>
            <w:vAlign w:val="center"/>
            <w:hideMark/>
          </w:tcPr>
          <w:p w14:paraId="478FCB1C" w14:textId="77777777" w:rsidR="007376E1" w:rsidRPr="001570EA" w:rsidRDefault="007376E1">
            <w:pPr>
              <w:keepNext/>
              <w:jc w:val="center"/>
              <w:rPr>
                <w:rFonts w:cs="Arial"/>
                <w:color w:val="000000"/>
                <w:sz w:val="18"/>
                <w:szCs w:val="18"/>
              </w:rPr>
            </w:pPr>
            <w:r w:rsidRPr="001570EA">
              <w:rPr>
                <w:rFonts w:cs="Arial"/>
                <w:color w:val="000000"/>
                <w:sz w:val="18"/>
                <w:szCs w:val="18"/>
              </w:rPr>
              <w:t>76%</w:t>
            </w:r>
          </w:p>
        </w:tc>
        <w:tc>
          <w:tcPr>
            <w:tcW w:w="620" w:type="dxa"/>
            <w:tcBorders>
              <w:top w:val="nil"/>
              <w:left w:val="nil"/>
              <w:bottom w:val="single" w:sz="4" w:space="0" w:color="auto"/>
              <w:right w:val="single" w:sz="4" w:space="0" w:color="auto"/>
            </w:tcBorders>
            <w:shd w:val="clear" w:color="auto" w:fill="auto"/>
            <w:noWrap/>
            <w:vAlign w:val="center"/>
            <w:hideMark/>
          </w:tcPr>
          <w:p w14:paraId="726FC936" w14:textId="77777777" w:rsidR="007376E1" w:rsidRPr="001570EA" w:rsidRDefault="007376E1">
            <w:pPr>
              <w:keepNext/>
              <w:jc w:val="center"/>
              <w:rPr>
                <w:rFonts w:cs="Arial"/>
                <w:color w:val="000000"/>
                <w:sz w:val="18"/>
                <w:szCs w:val="18"/>
              </w:rPr>
            </w:pPr>
            <w:r w:rsidRPr="001570EA">
              <w:rPr>
                <w:rFonts w:cs="Arial"/>
                <w:color w:val="000000"/>
                <w:sz w:val="18"/>
                <w:szCs w:val="18"/>
              </w:rPr>
              <w:t>67%</w:t>
            </w:r>
          </w:p>
        </w:tc>
        <w:tc>
          <w:tcPr>
            <w:tcW w:w="620" w:type="dxa"/>
            <w:tcBorders>
              <w:top w:val="nil"/>
              <w:left w:val="nil"/>
              <w:bottom w:val="single" w:sz="4" w:space="0" w:color="auto"/>
              <w:right w:val="single" w:sz="12" w:space="0" w:color="auto"/>
            </w:tcBorders>
            <w:shd w:val="clear" w:color="auto" w:fill="auto"/>
            <w:noWrap/>
            <w:vAlign w:val="center"/>
            <w:hideMark/>
          </w:tcPr>
          <w:p w14:paraId="458706DE" w14:textId="77777777" w:rsidR="007376E1" w:rsidRPr="001570EA" w:rsidRDefault="007376E1">
            <w:pPr>
              <w:keepNext/>
              <w:jc w:val="center"/>
              <w:rPr>
                <w:rFonts w:cs="Arial"/>
                <w:color w:val="000000"/>
                <w:sz w:val="18"/>
                <w:szCs w:val="18"/>
              </w:rPr>
            </w:pPr>
            <w:r w:rsidRPr="001570EA">
              <w:rPr>
                <w:rFonts w:cs="Arial"/>
                <w:color w:val="000000"/>
                <w:sz w:val="18"/>
                <w:szCs w:val="18"/>
              </w:rPr>
              <w:t>70%</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681F3C00" w14:textId="77777777" w:rsidR="007376E1" w:rsidRPr="001570EA" w:rsidRDefault="007376E1">
            <w:pPr>
              <w:keepNext/>
              <w:jc w:val="center"/>
              <w:rPr>
                <w:rFonts w:cs="Arial"/>
                <w:color w:val="000000"/>
                <w:sz w:val="18"/>
                <w:szCs w:val="18"/>
              </w:rPr>
            </w:pPr>
            <w:r w:rsidRPr="001570EA">
              <w:rPr>
                <w:rFonts w:cs="Arial"/>
                <w:color w:val="000000"/>
                <w:sz w:val="18"/>
                <w:szCs w:val="18"/>
              </w:rPr>
              <w:t>95%</w:t>
            </w:r>
          </w:p>
        </w:tc>
        <w:tc>
          <w:tcPr>
            <w:tcW w:w="620" w:type="dxa"/>
            <w:tcBorders>
              <w:top w:val="nil"/>
              <w:left w:val="nil"/>
              <w:bottom w:val="single" w:sz="4" w:space="0" w:color="auto"/>
              <w:right w:val="single" w:sz="4" w:space="0" w:color="auto"/>
            </w:tcBorders>
            <w:shd w:val="clear" w:color="auto" w:fill="auto"/>
            <w:noWrap/>
            <w:vAlign w:val="center"/>
            <w:hideMark/>
          </w:tcPr>
          <w:p w14:paraId="114DC589" w14:textId="77777777" w:rsidR="007376E1" w:rsidRPr="001570EA" w:rsidRDefault="007376E1">
            <w:pPr>
              <w:keepNext/>
              <w:jc w:val="center"/>
              <w:rPr>
                <w:rFonts w:cs="Arial"/>
                <w:color w:val="000000"/>
                <w:sz w:val="18"/>
                <w:szCs w:val="18"/>
              </w:rPr>
            </w:pPr>
            <w:r w:rsidRPr="001570EA">
              <w:rPr>
                <w:rFonts w:cs="Arial"/>
                <w:color w:val="000000"/>
                <w:sz w:val="18"/>
                <w:szCs w:val="18"/>
              </w:rPr>
              <w:t>95%</w:t>
            </w:r>
          </w:p>
        </w:tc>
        <w:tc>
          <w:tcPr>
            <w:tcW w:w="620" w:type="dxa"/>
            <w:tcBorders>
              <w:top w:val="nil"/>
              <w:left w:val="nil"/>
              <w:bottom w:val="single" w:sz="4" w:space="0" w:color="auto"/>
              <w:right w:val="single" w:sz="4" w:space="0" w:color="auto"/>
            </w:tcBorders>
            <w:shd w:val="clear" w:color="auto" w:fill="auto"/>
            <w:noWrap/>
            <w:vAlign w:val="center"/>
            <w:hideMark/>
          </w:tcPr>
          <w:p w14:paraId="6F9FE412" w14:textId="77777777" w:rsidR="007376E1" w:rsidRPr="001570EA" w:rsidRDefault="007376E1">
            <w:pPr>
              <w:keepNext/>
              <w:jc w:val="center"/>
              <w:rPr>
                <w:rFonts w:cs="Arial"/>
                <w:color w:val="000000"/>
                <w:sz w:val="18"/>
                <w:szCs w:val="18"/>
              </w:rPr>
            </w:pPr>
            <w:r w:rsidRPr="001570EA">
              <w:rPr>
                <w:rFonts w:cs="Arial"/>
                <w:color w:val="000000"/>
                <w:sz w:val="18"/>
                <w:szCs w:val="18"/>
              </w:rPr>
              <w:t>83%</w:t>
            </w:r>
          </w:p>
        </w:tc>
        <w:tc>
          <w:tcPr>
            <w:tcW w:w="620" w:type="dxa"/>
            <w:tcBorders>
              <w:top w:val="nil"/>
              <w:left w:val="nil"/>
              <w:bottom w:val="single" w:sz="4" w:space="0" w:color="auto"/>
              <w:right w:val="single" w:sz="12" w:space="0" w:color="auto"/>
            </w:tcBorders>
            <w:shd w:val="clear" w:color="auto" w:fill="auto"/>
            <w:noWrap/>
            <w:vAlign w:val="center"/>
            <w:hideMark/>
          </w:tcPr>
          <w:p w14:paraId="63FD756E" w14:textId="77777777" w:rsidR="007376E1" w:rsidRPr="001570EA" w:rsidRDefault="007376E1">
            <w:pPr>
              <w:keepNext/>
              <w:jc w:val="center"/>
              <w:rPr>
                <w:rFonts w:cs="Arial"/>
                <w:color w:val="000000"/>
                <w:sz w:val="18"/>
                <w:szCs w:val="18"/>
              </w:rPr>
            </w:pPr>
            <w:r w:rsidRPr="001570EA">
              <w:rPr>
                <w:rFonts w:cs="Arial"/>
                <w:color w:val="000000"/>
                <w:sz w:val="18"/>
                <w:szCs w:val="18"/>
              </w:rPr>
              <w:t>93%</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0D8EF693" w14:textId="77777777" w:rsidR="007376E1" w:rsidRPr="001570EA" w:rsidRDefault="007376E1">
            <w:pPr>
              <w:keepNext/>
              <w:jc w:val="center"/>
              <w:rPr>
                <w:rFonts w:cs="Arial"/>
                <w:color w:val="000000"/>
                <w:sz w:val="18"/>
                <w:szCs w:val="18"/>
              </w:rPr>
            </w:pPr>
            <w:r w:rsidRPr="001570EA">
              <w:rPr>
                <w:rFonts w:cs="Arial"/>
                <w:color w:val="000000"/>
                <w:sz w:val="18"/>
                <w:szCs w:val="18"/>
              </w:rPr>
              <w:t>82%</w:t>
            </w:r>
          </w:p>
        </w:tc>
        <w:tc>
          <w:tcPr>
            <w:tcW w:w="620" w:type="dxa"/>
            <w:tcBorders>
              <w:top w:val="nil"/>
              <w:left w:val="nil"/>
              <w:bottom w:val="single" w:sz="4" w:space="0" w:color="auto"/>
              <w:right w:val="single" w:sz="4" w:space="0" w:color="auto"/>
            </w:tcBorders>
            <w:shd w:val="clear" w:color="auto" w:fill="auto"/>
            <w:noWrap/>
            <w:vAlign w:val="center"/>
            <w:hideMark/>
          </w:tcPr>
          <w:p w14:paraId="40961150" w14:textId="77777777" w:rsidR="007376E1" w:rsidRPr="001570EA" w:rsidRDefault="007376E1">
            <w:pPr>
              <w:keepNext/>
              <w:jc w:val="center"/>
              <w:rPr>
                <w:rFonts w:cs="Arial"/>
                <w:color w:val="000000"/>
                <w:sz w:val="18"/>
                <w:szCs w:val="18"/>
              </w:rPr>
            </w:pPr>
            <w:r w:rsidRPr="001570EA">
              <w:rPr>
                <w:rFonts w:cs="Arial"/>
                <w:color w:val="000000"/>
                <w:sz w:val="18"/>
                <w:szCs w:val="18"/>
              </w:rPr>
              <w:t>80%</w:t>
            </w:r>
          </w:p>
        </w:tc>
        <w:tc>
          <w:tcPr>
            <w:tcW w:w="620" w:type="dxa"/>
            <w:tcBorders>
              <w:top w:val="nil"/>
              <w:left w:val="nil"/>
              <w:bottom w:val="single" w:sz="4" w:space="0" w:color="auto"/>
              <w:right w:val="single" w:sz="4" w:space="0" w:color="auto"/>
            </w:tcBorders>
            <w:shd w:val="clear" w:color="auto" w:fill="auto"/>
            <w:noWrap/>
            <w:vAlign w:val="center"/>
            <w:hideMark/>
          </w:tcPr>
          <w:p w14:paraId="5822EE79" w14:textId="77777777" w:rsidR="007376E1" w:rsidRPr="001570EA" w:rsidRDefault="007376E1">
            <w:pPr>
              <w:keepNext/>
              <w:jc w:val="center"/>
              <w:rPr>
                <w:rFonts w:cs="Arial"/>
                <w:color w:val="000000"/>
                <w:sz w:val="18"/>
                <w:szCs w:val="18"/>
              </w:rPr>
            </w:pPr>
            <w:r w:rsidRPr="001570EA">
              <w:rPr>
                <w:rFonts w:cs="Arial"/>
                <w:color w:val="000000"/>
                <w:sz w:val="18"/>
                <w:szCs w:val="18"/>
              </w:rPr>
              <w:t>79%</w:t>
            </w:r>
          </w:p>
        </w:tc>
        <w:tc>
          <w:tcPr>
            <w:tcW w:w="620" w:type="dxa"/>
            <w:tcBorders>
              <w:top w:val="nil"/>
              <w:left w:val="nil"/>
              <w:bottom w:val="single" w:sz="4" w:space="0" w:color="auto"/>
              <w:right w:val="single" w:sz="4" w:space="0" w:color="auto"/>
            </w:tcBorders>
            <w:shd w:val="clear" w:color="auto" w:fill="auto"/>
            <w:noWrap/>
            <w:vAlign w:val="center"/>
            <w:hideMark/>
          </w:tcPr>
          <w:p w14:paraId="4F236B94" w14:textId="77777777" w:rsidR="007376E1" w:rsidRPr="001570EA" w:rsidRDefault="007376E1">
            <w:pPr>
              <w:keepNext/>
              <w:jc w:val="center"/>
              <w:rPr>
                <w:rFonts w:cs="Arial"/>
                <w:color w:val="000000"/>
                <w:sz w:val="18"/>
                <w:szCs w:val="18"/>
              </w:rPr>
            </w:pPr>
            <w:r w:rsidRPr="001570EA">
              <w:rPr>
                <w:rFonts w:cs="Arial"/>
                <w:color w:val="000000"/>
                <w:sz w:val="18"/>
                <w:szCs w:val="18"/>
              </w:rPr>
              <w:t>91%</w:t>
            </w:r>
          </w:p>
        </w:tc>
      </w:tr>
      <w:tr w:rsidR="007376E1" w:rsidRPr="001570EA" w14:paraId="5365A580" w14:textId="77777777">
        <w:trPr>
          <w:gridAfter w:val="1"/>
          <w:wAfter w:w="6" w:type="dxa"/>
          <w:trHeight w:val="288"/>
          <w:jc w:val="center"/>
        </w:trPr>
        <w:tc>
          <w:tcPr>
            <w:tcW w:w="1066" w:type="dxa"/>
            <w:vMerge/>
            <w:tcBorders>
              <w:top w:val="nil"/>
              <w:left w:val="single" w:sz="4" w:space="0" w:color="auto"/>
              <w:bottom w:val="single" w:sz="4" w:space="0" w:color="auto"/>
              <w:right w:val="single" w:sz="4" w:space="0" w:color="auto"/>
            </w:tcBorders>
            <w:vAlign w:val="center"/>
            <w:hideMark/>
          </w:tcPr>
          <w:p w14:paraId="460C2D1F" w14:textId="77777777" w:rsidR="007376E1" w:rsidRPr="001570EA" w:rsidRDefault="007376E1">
            <w:pPr>
              <w:keepNext/>
              <w:rPr>
                <w:rFonts w:cs="Arial"/>
                <w:color w:val="000000"/>
                <w:sz w:val="18"/>
                <w:szCs w:val="18"/>
              </w:rPr>
            </w:pPr>
          </w:p>
        </w:tc>
        <w:tc>
          <w:tcPr>
            <w:tcW w:w="1269" w:type="dxa"/>
            <w:tcBorders>
              <w:top w:val="nil"/>
              <w:left w:val="nil"/>
              <w:bottom w:val="single" w:sz="4" w:space="0" w:color="auto"/>
              <w:right w:val="single" w:sz="4" w:space="0" w:color="auto"/>
            </w:tcBorders>
            <w:shd w:val="clear" w:color="auto" w:fill="auto"/>
            <w:noWrap/>
            <w:vAlign w:val="center"/>
            <w:hideMark/>
          </w:tcPr>
          <w:p w14:paraId="5C2BD3C1" w14:textId="77777777" w:rsidR="007376E1" w:rsidRPr="001570EA" w:rsidRDefault="007376E1">
            <w:pPr>
              <w:keepNext/>
              <w:rPr>
                <w:rFonts w:cs="Arial"/>
                <w:color w:val="000000"/>
                <w:sz w:val="18"/>
                <w:szCs w:val="18"/>
              </w:rPr>
            </w:pPr>
            <w:r w:rsidRPr="001570EA">
              <w:rPr>
                <w:rFonts w:cs="Arial"/>
                <w:color w:val="000000"/>
                <w:sz w:val="18"/>
                <w:szCs w:val="18"/>
              </w:rPr>
              <w:t>Average</w:t>
            </w:r>
          </w:p>
        </w:tc>
        <w:tc>
          <w:tcPr>
            <w:tcW w:w="620" w:type="dxa"/>
            <w:tcBorders>
              <w:top w:val="nil"/>
              <w:left w:val="nil"/>
              <w:bottom w:val="single" w:sz="4" w:space="0" w:color="auto"/>
              <w:right w:val="single" w:sz="4" w:space="0" w:color="auto"/>
            </w:tcBorders>
            <w:shd w:val="clear" w:color="auto" w:fill="auto"/>
            <w:noWrap/>
            <w:vAlign w:val="center"/>
            <w:hideMark/>
          </w:tcPr>
          <w:p w14:paraId="1867769F" w14:textId="77777777" w:rsidR="007376E1" w:rsidRPr="001570EA" w:rsidRDefault="007376E1">
            <w:pPr>
              <w:keepNext/>
              <w:jc w:val="center"/>
              <w:rPr>
                <w:rFonts w:cs="Arial"/>
                <w:color w:val="000000"/>
                <w:sz w:val="18"/>
                <w:szCs w:val="18"/>
              </w:rPr>
            </w:pPr>
            <w:r w:rsidRPr="001570EA">
              <w:rPr>
                <w:rFonts w:cs="Arial"/>
                <w:color w:val="000000"/>
                <w:sz w:val="18"/>
                <w:szCs w:val="18"/>
              </w:rPr>
              <w:t>84%</w:t>
            </w:r>
          </w:p>
        </w:tc>
        <w:tc>
          <w:tcPr>
            <w:tcW w:w="620" w:type="dxa"/>
            <w:tcBorders>
              <w:top w:val="nil"/>
              <w:left w:val="nil"/>
              <w:bottom w:val="single" w:sz="4" w:space="0" w:color="auto"/>
              <w:right w:val="single" w:sz="4" w:space="0" w:color="auto"/>
            </w:tcBorders>
            <w:shd w:val="clear" w:color="auto" w:fill="auto"/>
            <w:noWrap/>
            <w:vAlign w:val="center"/>
            <w:hideMark/>
          </w:tcPr>
          <w:p w14:paraId="543E6DA1" w14:textId="77777777" w:rsidR="007376E1" w:rsidRPr="001570EA" w:rsidRDefault="007376E1">
            <w:pPr>
              <w:keepNext/>
              <w:jc w:val="center"/>
              <w:rPr>
                <w:rFonts w:cs="Arial"/>
                <w:color w:val="000000"/>
                <w:sz w:val="18"/>
                <w:szCs w:val="18"/>
              </w:rPr>
            </w:pPr>
            <w:r w:rsidRPr="001570EA">
              <w:rPr>
                <w:rFonts w:cs="Arial"/>
                <w:color w:val="000000"/>
                <w:sz w:val="18"/>
                <w:szCs w:val="18"/>
              </w:rPr>
              <w:t>82%</w:t>
            </w:r>
          </w:p>
        </w:tc>
        <w:tc>
          <w:tcPr>
            <w:tcW w:w="620" w:type="dxa"/>
            <w:tcBorders>
              <w:top w:val="nil"/>
              <w:left w:val="nil"/>
              <w:bottom w:val="single" w:sz="4" w:space="0" w:color="auto"/>
              <w:right w:val="single" w:sz="4" w:space="0" w:color="auto"/>
            </w:tcBorders>
            <w:shd w:val="clear" w:color="auto" w:fill="auto"/>
            <w:noWrap/>
            <w:vAlign w:val="center"/>
            <w:hideMark/>
          </w:tcPr>
          <w:p w14:paraId="7A009858" w14:textId="77777777" w:rsidR="007376E1" w:rsidRPr="001570EA" w:rsidRDefault="007376E1">
            <w:pPr>
              <w:keepNext/>
              <w:jc w:val="center"/>
              <w:rPr>
                <w:rFonts w:cs="Arial"/>
                <w:color w:val="000000"/>
                <w:sz w:val="18"/>
                <w:szCs w:val="18"/>
              </w:rPr>
            </w:pPr>
            <w:r w:rsidRPr="001570EA">
              <w:rPr>
                <w:rFonts w:cs="Arial"/>
                <w:color w:val="000000"/>
                <w:sz w:val="18"/>
                <w:szCs w:val="18"/>
              </w:rPr>
              <w:t>77%</w:t>
            </w:r>
          </w:p>
        </w:tc>
        <w:tc>
          <w:tcPr>
            <w:tcW w:w="620" w:type="dxa"/>
            <w:tcBorders>
              <w:top w:val="nil"/>
              <w:left w:val="nil"/>
              <w:bottom w:val="single" w:sz="4" w:space="0" w:color="auto"/>
              <w:right w:val="single" w:sz="12" w:space="0" w:color="auto"/>
            </w:tcBorders>
            <w:shd w:val="clear" w:color="auto" w:fill="auto"/>
            <w:noWrap/>
            <w:vAlign w:val="center"/>
            <w:hideMark/>
          </w:tcPr>
          <w:p w14:paraId="03E16687" w14:textId="77777777" w:rsidR="007376E1" w:rsidRPr="001570EA" w:rsidRDefault="007376E1">
            <w:pPr>
              <w:keepNext/>
              <w:jc w:val="center"/>
              <w:rPr>
                <w:rFonts w:cs="Arial"/>
                <w:color w:val="000000"/>
                <w:sz w:val="18"/>
                <w:szCs w:val="18"/>
              </w:rPr>
            </w:pPr>
            <w:r w:rsidRPr="001570EA">
              <w:rPr>
                <w:rFonts w:cs="Arial"/>
                <w:color w:val="000000"/>
                <w:sz w:val="18"/>
                <w:szCs w:val="18"/>
              </w:rPr>
              <w:t>78%</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7926F493" w14:textId="77777777" w:rsidR="007376E1" w:rsidRPr="001570EA" w:rsidRDefault="007376E1">
            <w:pPr>
              <w:keepNext/>
              <w:jc w:val="center"/>
              <w:rPr>
                <w:rFonts w:cs="Arial"/>
                <w:color w:val="000000"/>
                <w:sz w:val="18"/>
                <w:szCs w:val="18"/>
              </w:rPr>
            </w:pPr>
            <w:r w:rsidRPr="001570EA">
              <w:rPr>
                <w:rFonts w:cs="Arial"/>
                <w:color w:val="000000"/>
                <w:sz w:val="18"/>
                <w:szCs w:val="18"/>
              </w:rPr>
              <w:t>96%</w:t>
            </w:r>
          </w:p>
        </w:tc>
        <w:tc>
          <w:tcPr>
            <w:tcW w:w="620" w:type="dxa"/>
            <w:tcBorders>
              <w:top w:val="nil"/>
              <w:left w:val="nil"/>
              <w:bottom w:val="single" w:sz="4" w:space="0" w:color="auto"/>
              <w:right w:val="single" w:sz="4" w:space="0" w:color="auto"/>
            </w:tcBorders>
            <w:shd w:val="clear" w:color="auto" w:fill="auto"/>
            <w:noWrap/>
            <w:vAlign w:val="center"/>
            <w:hideMark/>
          </w:tcPr>
          <w:p w14:paraId="668199B2" w14:textId="77777777" w:rsidR="007376E1" w:rsidRPr="001570EA" w:rsidRDefault="007376E1">
            <w:pPr>
              <w:keepNext/>
              <w:jc w:val="center"/>
              <w:rPr>
                <w:rFonts w:cs="Arial"/>
                <w:color w:val="000000"/>
                <w:sz w:val="18"/>
                <w:szCs w:val="18"/>
              </w:rPr>
            </w:pPr>
            <w:r w:rsidRPr="001570EA">
              <w:rPr>
                <w:rFonts w:cs="Arial"/>
                <w:color w:val="000000"/>
                <w:sz w:val="18"/>
                <w:szCs w:val="18"/>
              </w:rPr>
              <w:t>96%</w:t>
            </w:r>
          </w:p>
        </w:tc>
        <w:tc>
          <w:tcPr>
            <w:tcW w:w="620" w:type="dxa"/>
            <w:tcBorders>
              <w:top w:val="nil"/>
              <w:left w:val="nil"/>
              <w:bottom w:val="single" w:sz="4" w:space="0" w:color="auto"/>
              <w:right w:val="single" w:sz="4" w:space="0" w:color="auto"/>
            </w:tcBorders>
            <w:shd w:val="clear" w:color="auto" w:fill="auto"/>
            <w:noWrap/>
            <w:vAlign w:val="center"/>
            <w:hideMark/>
          </w:tcPr>
          <w:p w14:paraId="14F229E4" w14:textId="77777777" w:rsidR="007376E1" w:rsidRPr="001570EA" w:rsidRDefault="007376E1">
            <w:pPr>
              <w:keepNext/>
              <w:jc w:val="center"/>
              <w:rPr>
                <w:rFonts w:cs="Arial"/>
                <w:color w:val="000000"/>
                <w:sz w:val="18"/>
                <w:szCs w:val="18"/>
              </w:rPr>
            </w:pPr>
            <w:r w:rsidRPr="001570EA">
              <w:rPr>
                <w:rFonts w:cs="Arial"/>
                <w:color w:val="000000"/>
                <w:sz w:val="18"/>
                <w:szCs w:val="18"/>
              </w:rPr>
              <w:t>89%</w:t>
            </w:r>
          </w:p>
        </w:tc>
        <w:tc>
          <w:tcPr>
            <w:tcW w:w="620" w:type="dxa"/>
            <w:tcBorders>
              <w:top w:val="nil"/>
              <w:left w:val="nil"/>
              <w:bottom w:val="single" w:sz="4" w:space="0" w:color="auto"/>
              <w:right w:val="single" w:sz="12" w:space="0" w:color="auto"/>
            </w:tcBorders>
            <w:shd w:val="clear" w:color="auto" w:fill="auto"/>
            <w:noWrap/>
            <w:vAlign w:val="center"/>
            <w:hideMark/>
          </w:tcPr>
          <w:p w14:paraId="293DDCB5" w14:textId="77777777" w:rsidR="007376E1" w:rsidRPr="001570EA" w:rsidRDefault="007376E1">
            <w:pPr>
              <w:keepNext/>
              <w:jc w:val="center"/>
              <w:rPr>
                <w:rFonts w:cs="Arial"/>
                <w:color w:val="000000"/>
                <w:sz w:val="18"/>
                <w:szCs w:val="18"/>
              </w:rPr>
            </w:pPr>
            <w:r w:rsidRPr="001570EA">
              <w:rPr>
                <w:rFonts w:cs="Arial"/>
                <w:color w:val="000000"/>
                <w:sz w:val="18"/>
                <w:szCs w:val="18"/>
              </w:rPr>
              <w:t>95%</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4548CD2B" w14:textId="77777777" w:rsidR="007376E1" w:rsidRPr="001570EA" w:rsidRDefault="007376E1">
            <w:pPr>
              <w:keepNext/>
              <w:jc w:val="center"/>
              <w:rPr>
                <w:rFonts w:cs="Arial"/>
                <w:color w:val="000000"/>
                <w:sz w:val="18"/>
                <w:szCs w:val="18"/>
              </w:rPr>
            </w:pPr>
            <w:r w:rsidRPr="001570EA">
              <w:rPr>
                <w:rFonts w:cs="Arial"/>
                <w:color w:val="000000"/>
                <w:sz w:val="18"/>
                <w:szCs w:val="18"/>
              </w:rPr>
              <w:t>87%</w:t>
            </w:r>
          </w:p>
        </w:tc>
        <w:tc>
          <w:tcPr>
            <w:tcW w:w="620" w:type="dxa"/>
            <w:tcBorders>
              <w:top w:val="nil"/>
              <w:left w:val="nil"/>
              <w:bottom w:val="single" w:sz="4" w:space="0" w:color="auto"/>
              <w:right w:val="single" w:sz="4" w:space="0" w:color="auto"/>
            </w:tcBorders>
            <w:shd w:val="clear" w:color="auto" w:fill="auto"/>
            <w:noWrap/>
            <w:vAlign w:val="center"/>
            <w:hideMark/>
          </w:tcPr>
          <w:p w14:paraId="14F3B40E" w14:textId="77777777" w:rsidR="007376E1" w:rsidRPr="001570EA" w:rsidRDefault="007376E1">
            <w:pPr>
              <w:keepNext/>
              <w:jc w:val="center"/>
              <w:rPr>
                <w:rFonts w:cs="Arial"/>
                <w:color w:val="000000"/>
                <w:sz w:val="18"/>
                <w:szCs w:val="18"/>
              </w:rPr>
            </w:pPr>
            <w:r w:rsidRPr="001570EA">
              <w:rPr>
                <w:rFonts w:cs="Arial"/>
                <w:color w:val="000000"/>
                <w:sz w:val="18"/>
                <w:szCs w:val="18"/>
              </w:rPr>
              <w:t>85%</w:t>
            </w:r>
          </w:p>
        </w:tc>
        <w:tc>
          <w:tcPr>
            <w:tcW w:w="620" w:type="dxa"/>
            <w:tcBorders>
              <w:top w:val="nil"/>
              <w:left w:val="nil"/>
              <w:bottom w:val="single" w:sz="4" w:space="0" w:color="auto"/>
              <w:right w:val="single" w:sz="4" w:space="0" w:color="auto"/>
            </w:tcBorders>
            <w:shd w:val="clear" w:color="auto" w:fill="auto"/>
            <w:noWrap/>
            <w:vAlign w:val="center"/>
            <w:hideMark/>
          </w:tcPr>
          <w:p w14:paraId="644F30DC" w14:textId="77777777" w:rsidR="007376E1" w:rsidRPr="001570EA" w:rsidRDefault="007376E1">
            <w:pPr>
              <w:keepNext/>
              <w:jc w:val="center"/>
              <w:rPr>
                <w:rFonts w:cs="Arial"/>
                <w:color w:val="000000"/>
                <w:sz w:val="18"/>
                <w:szCs w:val="18"/>
              </w:rPr>
            </w:pPr>
            <w:r w:rsidRPr="001570EA">
              <w:rPr>
                <w:rFonts w:cs="Arial"/>
                <w:color w:val="000000"/>
                <w:sz w:val="18"/>
                <w:szCs w:val="18"/>
              </w:rPr>
              <w:t>86%</w:t>
            </w:r>
          </w:p>
        </w:tc>
        <w:tc>
          <w:tcPr>
            <w:tcW w:w="620" w:type="dxa"/>
            <w:tcBorders>
              <w:top w:val="nil"/>
              <w:left w:val="nil"/>
              <w:bottom w:val="single" w:sz="4" w:space="0" w:color="auto"/>
              <w:right w:val="single" w:sz="4" w:space="0" w:color="auto"/>
            </w:tcBorders>
            <w:shd w:val="clear" w:color="auto" w:fill="auto"/>
            <w:noWrap/>
            <w:vAlign w:val="center"/>
            <w:hideMark/>
          </w:tcPr>
          <w:p w14:paraId="4D125577" w14:textId="77777777" w:rsidR="007376E1" w:rsidRPr="001570EA" w:rsidRDefault="007376E1">
            <w:pPr>
              <w:keepNext/>
              <w:jc w:val="center"/>
              <w:rPr>
                <w:rFonts w:cs="Arial"/>
                <w:color w:val="000000"/>
                <w:sz w:val="18"/>
                <w:szCs w:val="18"/>
              </w:rPr>
            </w:pPr>
            <w:r w:rsidRPr="001570EA">
              <w:rPr>
                <w:rFonts w:cs="Arial"/>
                <w:color w:val="000000"/>
                <w:sz w:val="18"/>
                <w:szCs w:val="18"/>
              </w:rPr>
              <w:t>94%</w:t>
            </w:r>
          </w:p>
        </w:tc>
      </w:tr>
      <w:tr w:rsidR="007376E1" w:rsidRPr="001570EA" w14:paraId="46523849" w14:textId="77777777">
        <w:trPr>
          <w:gridAfter w:val="1"/>
          <w:wAfter w:w="6" w:type="dxa"/>
          <w:trHeight w:val="288"/>
          <w:jc w:val="center"/>
        </w:trPr>
        <w:tc>
          <w:tcPr>
            <w:tcW w:w="1066" w:type="dxa"/>
            <w:vMerge/>
            <w:tcBorders>
              <w:top w:val="nil"/>
              <w:left w:val="single" w:sz="4" w:space="0" w:color="auto"/>
              <w:bottom w:val="single" w:sz="4" w:space="0" w:color="auto"/>
              <w:right w:val="single" w:sz="4" w:space="0" w:color="auto"/>
            </w:tcBorders>
            <w:vAlign w:val="center"/>
            <w:hideMark/>
          </w:tcPr>
          <w:p w14:paraId="7D8AEF38" w14:textId="77777777" w:rsidR="007376E1" w:rsidRPr="001570EA" w:rsidRDefault="007376E1">
            <w:pPr>
              <w:keepNext/>
              <w:rPr>
                <w:rFonts w:cs="Arial"/>
                <w:color w:val="000000"/>
                <w:sz w:val="18"/>
                <w:szCs w:val="18"/>
              </w:rPr>
            </w:pPr>
          </w:p>
        </w:tc>
        <w:tc>
          <w:tcPr>
            <w:tcW w:w="1269" w:type="dxa"/>
            <w:tcBorders>
              <w:top w:val="nil"/>
              <w:left w:val="nil"/>
              <w:bottom w:val="single" w:sz="4" w:space="0" w:color="auto"/>
              <w:right w:val="single" w:sz="4" w:space="0" w:color="auto"/>
            </w:tcBorders>
            <w:shd w:val="clear" w:color="auto" w:fill="auto"/>
            <w:noWrap/>
            <w:vAlign w:val="center"/>
            <w:hideMark/>
          </w:tcPr>
          <w:p w14:paraId="560841BC" w14:textId="77777777" w:rsidR="007376E1" w:rsidRPr="001570EA" w:rsidRDefault="007376E1">
            <w:pPr>
              <w:keepNext/>
              <w:rPr>
                <w:rFonts w:cs="Arial"/>
                <w:color w:val="000000"/>
                <w:sz w:val="18"/>
                <w:szCs w:val="18"/>
              </w:rPr>
            </w:pPr>
            <w:r w:rsidRPr="001570EA">
              <w:rPr>
                <w:rFonts w:cs="Arial"/>
                <w:color w:val="000000"/>
                <w:sz w:val="18"/>
                <w:szCs w:val="18"/>
              </w:rPr>
              <w:t>Tight</w:t>
            </w:r>
          </w:p>
        </w:tc>
        <w:tc>
          <w:tcPr>
            <w:tcW w:w="620" w:type="dxa"/>
            <w:tcBorders>
              <w:top w:val="nil"/>
              <w:left w:val="nil"/>
              <w:bottom w:val="single" w:sz="4" w:space="0" w:color="auto"/>
              <w:right w:val="single" w:sz="4" w:space="0" w:color="auto"/>
            </w:tcBorders>
            <w:shd w:val="clear" w:color="auto" w:fill="auto"/>
            <w:noWrap/>
            <w:vAlign w:val="center"/>
            <w:hideMark/>
          </w:tcPr>
          <w:p w14:paraId="15CEB605" w14:textId="77777777" w:rsidR="007376E1" w:rsidRPr="001570EA" w:rsidRDefault="007376E1">
            <w:pPr>
              <w:keepNext/>
              <w:jc w:val="center"/>
              <w:rPr>
                <w:rFonts w:cs="Arial"/>
                <w:color w:val="000000"/>
                <w:sz w:val="18"/>
                <w:szCs w:val="18"/>
              </w:rPr>
            </w:pPr>
            <w:r w:rsidRPr="001570EA">
              <w:rPr>
                <w:rFonts w:cs="Arial"/>
                <w:color w:val="000000"/>
                <w:sz w:val="18"/>
                <w:szCs w:val="18"/>
              </w:rPr>
              <w:t>90%</w:t>
            </w:r>
          </w:p>
        </w:tc>
        <w:tc>
          <w:tcPr>
            <w:tcW w:w="620" w:type="dxa"/>
            <w:tcBorders>
              <w:top w:val="nil"/>
              <w:left w:val="nil"/>
              <w:bottom w:val="single" w:sz="4" w:space="0" w:color="auto"/>
              <w:right w:val="single" w:sz="4" w:space="0" w:color="auto"/>
            </w:tcBorders>
            <w:shd w:val="clear" w:color="auto" w:fill="auto"/>
            <w:noWrap/>
            <w:vAlign w:val="center"/>
            <w:hideMark/>
          </w:tcPr>
          <w:p w14:paraId="3629A6CC" w14:textId="77777777" w:rsidR="007376E1" w:rsidRPr="001570EA" w:rsidRDefault="007376E1">
            <w:pPr>
              <w:keepNext/>
              <w:jc w:val="center"/>
              <w:rPr>
                <w:rFonts w:cs="Arial"/>
                <w:color w:val="000000"/>
                <w:sz w:val="18"/>
                <w:szCs w:val="18"/>
              </w:rPr>
            </w:pPr>
            <w:r w:rsidRPr="001570EA">
              <w:rPr>
                <w:rFonts w:cs="Arial"/>
                <w:color w:val="000000"/>
                <w:sz w:val="18"/>
                <w:szCs w:val="18"/>
              </w:rPr>
              <w:t>89%</w:t>
            </w:r>
          </w:p>
        </w:tc>
        <w:tc>
          <w:tcPr>
            <w:tcW w:w="620" w:type="dxa"/>
            <w:tcBorders>
              <w:top w:val="nil"/>
              <w:left w:val="nil"/>
              <w:bottom w:val="single" w:sz="4" w:space="0" w:color="auto"/>
              <w:right w:val="single" w:sz="4" w:space="0" w:color="auto"/>
            </w:tcBorders>
            <w:shd w:val="clear" w:color="auto" w:fill="auto"/>
            <w:noWrap/>
            <w:vAlign w:val="center"/>
            <w:hideMark/>
          </w:tcPr>
          <w:p w14:paraId="76F0B6CC" w14:textId="77777777" w:rsidR="007376E1" w:rsidRPr="001570EA" w:rsidRDefault="007376E1">
            <w:pPr>
              <w:keepNext/>
              <w:jc w:val="center"/>
              <w:rPr>
                <w:rFonts w:cs="Arial"/>
                <w:color w:val="000000"/>
                <w:sz w:val="18"/>
                <w:szCs w:val="18"/>
              </w:rPr>
            </w:pPr>
            <w:r w:rsidRPr="001570EA">
              <w:rPr>
                <w:rFonts w:cs="Arial"/>
                <w:color w:val="000000"/>
                <w:sz w:val="18"/>
                <w:szCs w:val="18"/>
              </w:rPr>
              <w:t>87%</w:t>
            </w:r>
          </w:p>
        </w:tc>
        <w:tc>
          <w:tcPr>
            <w:tcW w:w="620" w:type="dxa"/>
            <w:tcBorders>
              <w:top w:val="nil"/>
              <w:left w:val="nil"/>
              <w:bottom w:val="single" w:sz="4" w:space="0" w:color="auto"/>
              <w:right w:val="single" w:sz="12" w:space="0" w:color="auto"/>
            </w:tcBorders>
            <w:shd w:val="clear" w:color="auto" w:fill="auto"/>
            <w:noWrap/>
            <w:vAlign w:val="center"/>
            <w:hideMark/>
          </w:tcPr>
          <w:p w14:paraId="0BA1B662" w14:textId="77777777" w:rsidR="007376E1" w:rsidRPr="001570EA" w:rsidRDefault="007376E1">
            <w:pPr>
              <w:keepNext/>
              <w:jc w:val="center"/>
              <w:rPr>
                <w:rFonts w:cs="Arial"/>
                <w:color w:val="000000"/>
                <w:sz w:val="18"/>
                <w:szCs w:val="18"/>
              </w:rPr>
            </w:pPr>
            <w:r w:rsidRPr="001570EA">
              <w:rPr>
                <w:rFonts w:cs="Arial"/>
                <w:color w:val="000000"/>
                <w:sz w:val="18"/>
                <w:szCs w:val="18"/>
              </w:rPr>
              <w:t>88%</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55DE9442" w14:textId="77777777" w:rsidR="007376E1" w:rsidRPr="001570EA" w:rsidRDefault="007376E1">
            <w:pPr>
              <w:keepNext/>
              <w:jc w:val="center"/>
              <w:rPr>
                <w:rFonts w:cs="Arial"/>
                <w:color w:val="000000"/>
                <w:sz w:val="18"/>
                <w:szCs w:val="18"/>
              </w:rPr>
            </w:pPr>
            <w:r w:rsidRPr="001570EA">
              <w:rPr>
                <w:rFonts w:cs="Arial"/>
                <w:color w:val="000000"/>
                <w:sz w:val="18"/>
                <w:szCs w:val="18"/>
              </w:rPr>
              <w:t>98%</w:t>
            </w:r>
          </w:p>
        </w:tc>
        <w:tc>
          <w:tcPr>
            <w:tcW w:w="620" w:type="dxa"/>
            <w:tcBorders>
              <w:top w:val="nil"/>
              <w:left w:val="nil"/>
              <w:bottom w:val="single" w:sz="4" w:space="0" w:color="auto"/>
              <w:right w:val="single" w:sz="4" w:space="0" w:color="auto"/>
            </w:tcBorders>
            <w:shd w:val="clear" w:color="auto" w:fill="auto"/>
            <w:noWrap/>
            <w:vAlign w:val="center"/>
            <w:hideMark/>
          </w:tcPr>
          <w:p w14:paraId="56EA8CD4" w14:textId="77777777" w:rsidR="007376E1" w:rsidRPr="001570EA" w:rsidRDefault="007376E1">
            <w:pPr>
              <w:keepNext/>
              <w:jc w:val="center"/>
              <w:rPr>
                <w:rFonts w:cs="Arial"/>
                <w:color w:val="000000"/>
                <w:sz w:val="18"/>
                <w:szCs w:val="18"/>
              </w:rPr>
            </w:pPr>
            <w:r w:rsidRPr="001570EA">
              <w:rPr>
                <w:rFonts w:cs="Arial"/>
                <w:color w:val="000000"/>
                <w:sz w:val="18"/>
                <w:szCs w:val="18"/>
              </w:rPr>
              <w:t>98%</w:t>
            </w:r>
          </w:p>
        </w:tc>
        <w:tc>
          <w:tcPr>
            <w:tcW w:w="620" w:type="dxa"/>
            <w:tcBorders>
              <w:top w:val="nil"/>
              <w:left w:val="nil"/>
              <w:bottom w:val="single" w:sz="4" w:space="0" w:color="auto"/>
              <w:right w:val="single" w:sz="4" w:space="0" w:color="auto"/>
            </w:tcBorders>
            <w:shd w:val="clear" w:color="auto" w:fill="auto"/>
            <w:noWrap/>
            <w:vAlign w:val="center"/>
            <w:hideMark/>
          </w:tcPr>
          <w:p w14:paraId="7F298D95" w14:textId="77777777" w:rsidR="007376E1" w:rsidRPr="001570EA" w:rsidRDefault="007376E1">
            <w:pPr>
              <w:keepNext/>
              <w:jc w:val="center"/>
              <w:rPr>
                <w:rFonts w:cs="Arial"/>
                <w:color w:val="000000"/>
                <w:sz w:val="18"/>
                <w:szCs w:val="18"/>
              </w:rPr>
            </w:pPr>
            <w:r w:rsidRPr="001570EA">
              <w:rPr>
                <w:rFonts w:cs="Arial"/>
                <w:color w:val="000000"/>
                <w:sz w:val="18"/>
                <w:szCs w:val="18"/>
              </w:rPr>
              <w:t>95%</w:t>
            </w:r>
          </w:p>
        </w:tc>
        <w:tc>
          <w:tcPr>
            <w:tcW w:w="620" w:type="dxa"/>
            <w:tcBorders>
              <w:top w:val="nil"/>
              <w:left w:val="nil"/>
              <w:bottom w:val="single" w:sz="4" w:space="0" w:color="auto"/>
              <w:right w:val="single" w:sz="12" w:space="0" w:color="auto"/>
            </w:tcBorders>
            <w:shd w:val="clear" w:color="auto" w:fill="auto"/>
            <w:noWrap/>
            <w:vAlign w:val="center"/>
            <w:hideMark/>
          </w:tcPr>
          <w:p w14:paraId="782994E5" w14:textId="77777777" w:rsidR="007376E1" w:rsidRPr="001570EA" w:rsidRDefault="007376E1">
            <w:pPr>
              <w:keepNext/>
              <w:jc w:val="center"/>
              <w:rPr>
                <w:rFonts w:cs="Arial"/>
                <w:color w:val="000000"/>
                <w:sz w:val="18"/>
                <w:szCs w:val="18"/>
              </w:rPr>
            </w:pPr>
            <w:r w:rsidRPr="001570EA">
              <w:rPr>
                <w:rFonts w:cs="Arial"/>
                <w:color w:val="000000"/>
                <w:sz w:val="18"/>
                <w:szCs w:val="18"/>
              </w:rPr>
              <w:t>98%</w:t>
            </w:r>
          </w:p>
        </w:tc>
        <w:tc>
          <w:tcPr>
            <w:tcW w:w="620" w:type="dxa"/>
            <w:tcBorders>
              <w:top w:val="nil"/>
              <w:left w:val="single" w:sz="12" w:space="0" w:color="auto"/>
              <w:bottom w:val="single" w:sz="4" w:space="0" w:color="auto"/>
              <w:right w:val="single" w:sz="4" w:space="0" w:color="auto"/>
            </w:tcBorders>
            <w:shd w:val="clear" w:color="auto" w:fill="auto"/>
            <w:noWrap/>
            <w:vAlign w:val="center"/>
            <w:hideMark/>
          </w:tcPr>
          <w:p w14:paraId="6E421A7D" w14:textId="77777777" w:rsidR="007376E1" w:rsidRPr="001570EA" w:rsidRDefault="007376E1">
            <w:pPr>
              <w:keepNext/>
              <w:jc w:val="center"/>
              <w:rPr>
                <w:rFonts w:cs="Arial"/>
                <w:color w:val="000000"/>
                <w:sz w:val="18"/>
                <w:szCs w:val="18"/>
              </w:rPr>
            </w:pPr>
            <w:r w:rsidRPr="001570EA">
              <w:rPr>
                <w:rFonts w:cs="Arial"/>
                <w:color w:val="000000"/>
                <w:sz w:val="18"/>
                <w:szCs w:val="18"/>
              </w:rPr>
              <w:t>92%</w:t>
            </w:r>
          </w:p>
        </w:tc>
        <w:tc>
          <w:tcPr>
            <w:tcW w:w="620" w:type="dxa"/>
            <w:tcBorders>
              <w:top w:val="nil"/>
              <w:left w:val="nil"/>
              <w:bottom w:val="single" w:sz="4" w:space="0" w:color="auto"/>
              <w:right w:val="single" w:sz="4" w:space="0" w:color="auto"/>
            </w:tcBorders>
            <w:shd w:val="clear" w:color="auto" w:fill="auto"/>
            <w:noWrap/>
            <w:vAlign w:val="center"/>
            <w:hideMark/>
          </w:tcPr>
          <w:p w14:paraId="78FF0CA4" w14:textId="77777777" w:rsidR="007376E1" w:rsidRPr="001570EA" w:rsidRDefault="007376E1">
            <w:pPr>
              <w:keepNext/>
              <w:jc w:val="center"/>
              <w:rPr>
                <w:rFonts w:cs="Arial"/>
                <w:color w:val="000000"/>
                <w:sz w:val="18"/>
                <w:szCs w:val="18"/>
              </w:rPr>
            </w:pPr>
            <w:r w:rsidRPr="001570EA">
              <w:rPr>
                <w:rFonts w:cs="Arial"/>
                <w:color w:val="000000"/>
                <w:sz w:val="18"/>
                <w:szCs w:val="18"/>
              </w:rPr>
              <w:t>91%</w:t>
            </w:r>
          </w:p>
        </w:tc>
        <w:tc>
          <w:tcPr>
            <w:tcW w:w="620" w:type="dxa"/>
            <w:tcBorders>
              <w:top w:val="nil"/>
              <w:left w:val="nil"/>
              <w:bottom w:val="single" w:sz="4" w:space="0" w:color="auto"/>
              <w:right w:val="single" w:sz="4" w:space="0" w:color="auto"/>
            </w:tcBorders>
            <w:shd w:val="clear" w:color="auto" w:fill="auto"/>
            <w:noWrap/>
            <w:vAlign w:val="center"/>
            <w:hideMark/>
          </w:tcPr>
          <w:p w14:paraId="6B94EAAF" w14:textId="77777777" w:rsidR="007376E1" w:rsidRPr="001570EA" w:rsidRDefault="007376E1">
            <w:pPr>
              <w:keepNext/>
              <w:jc w:val="center"/>
              <w:rPr>
                <w:rFonts w:cs="Arial"/>
                <w:color w:val="000000"/>
                <w:sz w:val="18"/>
                <w:szCs w:val="18"/>
              </w:rPr>
            </w:pPr>
            <w:r w:rsidRPr="001570EA">
              <w:rPr>
                <w:rFonts w:cs="Arial"/>
                <w:color w:val="000000"/>
                <w:sz w:val="18"/>
                <w:szCs w:val="18"/>
              </w:rPr>
              <w:t>94%</w:t>
            </w:r>
          </w:p>
        </w:tc>
        <w:tc>
          <w:tcPr>
            <w:tcW w:w="620" w:type="dxa"/>
            <w:tcBorders>
              <w:top w:val="nil"/>
              <w:left w:val="nil"/>
              <w:bottom w:val="single" w:sz="4" w:space="0" w:color="auto"/>
              <w:right w:val="single" w:sz="4" w:space="0" w:color="auto"/>
            </w:tcBorders>
            <w:shd w:val="clear" w:color="auto" w:fill="auto"/>
            <w:noWrap/>
            <w:vAlign w:val="center"/>
            <w:hideMark/>
          </w:tcPr>
          <w:p w14:paraId="4AFC2632" w14:textId="77777777" w:rsidR="007376E1" w:rsidRPr="001570EA" w:rsidRDefault="007376E1">
            <w:pPr>
              <w:keepNext/>
              <w:jc w:val="center"/>
              <w:rPr>
                <w:rFonts w:cs="Arial"/>
                <w:color w:val="000000"/>
                <w:sz w:val="18"/>
                <w:szCs w:val="18"/>
              </w:rPr>
            </w:pPr>
            <w:r w:rsidRPr="001570EA">
              <w:rPr>
                <w:rFonts w:cs="Arial"/>
                <w:color w:val="000000"/>
                <w:sz w:val="18"/>
                <w:szCs w:val="18"/>
              </w:rPr>
              <w:t>97%</w:t>
            </w:r>
          </w:p>
        </w:tc>
      </w:tr>
      <w:tr w:rsidR="007376E1" w:rsidRPr="001570EA" w14:paraId="22A83110" w14:textId="77777777">
        <w:trPr>
          <w:gridAfter w:val="1"/>
          <w:wAfter w:w="6" w:type="dxa"/>
          <w:trHeight w:val="288"/>
          <w:jc w:val="center"/>
        </w:trPr>
        <w:tc>
          <w:tcPr>
            <w:tcW w:w="10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6267A" w14:textId="77777777" w:rsidR="007376E1" w:rsidRPr="001570EA" w:rsidRDefault="007376E1">
            <w:pPr>
              <w:keepNext/>
              <w:jc w:val="center"/>
              <w:rPr>
                <w:rFonts w:cs="Arial"/>
                <w:color w:val="000000"/>
                <w:sz w:val="18"/>
                <w:szCs w:val="18"/>
              </w:rPr>
            </w:pPr>
            <w:r w:rsidRPr="001570EA">
              <w:rPr>
                <w:rFonts w:cs="Arial"/>
                <w:color w:val="000000"/>
                <w:sz w:val="18"/>
                <w:szCs w:val="18"/>
              </w:rPr>
              <w:t>R-8+</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14:paraId="2D3F0DFB" w14:textId="77777777" w:rsidR="007376E1" w:rsidRPr="001570EA" w:rsidRDefault="007376E1">
            <w:pPr>
              <w:keepNext/>
              <w:rPr>
                <w:rFonts w:cs="Arial"/>
                <w:color w:val="000000"/>
                <w:sz w:val="18"/>
                <w:szCs w:val="18"/>
              </w:rPr>
            </w:pPr>
            <w:r w:rsidRPr="001570EA">
              <w:rPr>
                <w:rFonts w:cs="Arial"/>
                <w:color w:val="000000"/>
                <w:sz w:val="18"/>
                <w:szCs w:val="18"/>
              </w:rPr>
              <w:t>Leaky</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67083318" w14:textId="77777777" w:rsidR="007376E1" w:rsidRPr="001570EA" w:rsidRDefault="007376E1">
            <w:pPr>
              <w:keepNext/>
              <w:jc w:val="center"/>
              <w:rPr>
                <w:rFonts w:cs="Arial"/>
                <w:color w:val="000000"/>
                <w:sz w:val="18"/>
                <w:szCs w:val="18"/>
              </w:rPr>
            </w:pPr>
            <w:r w:rsidRPr="001570EA">
              <w:rPr>
                <w:rFonts w:cs="Arial"/>
                <w:color w:val="000000"/>
                <w:sz w:val="18"/>
                <w:szCs w:val="18"/>
              </w:rPr>
              <w:t>80%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09D028D" w14:textId="77777777" w:rsidR="007376E1" w:rsidRPr="001570EA" w:rsidRDefault="007376E1">
            <w:pPr>
              <w:keepNext/>
              <w:jc w:val="center"/>
              <w:rPr>
                <w:rFonts w:cs="Arial"/>
                <w:color w:val="000000"/>
                <w:sz w:val="18"/>
                <w:szCs w:val="18"/>
              </w:rPr>
            </w:pPr>
            <w:r w:rsidRPr="001570EA">
              <w:rPr>
                <w:rFonts w:cs="Arial"/>
                <w:color w:val="000000"/>
                <w:sz w:val="18"/>
                <w:szCs w:val="18"/>
              </w:rPr>
              <w:t>78%</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6277A51A" w14:textId="77777777" w:rsidR="007376E1" w:rsidRPr="001570EA" w:rsidRDefault="007376E1">
            <w:pPr>
              <w:keepNext/>
              <w:jc w:val="center"/>
              <w:rPr>
                <w:rFonts w:cs="Arial"/>
                <w:color w:val="000000"/>
                <w:sz w:val="18"/>
                <w:szCs w:val="18"/>
              </w:rPr>
            </w:pPr>
            <w:r w:rsidRPr="001570EA">
              <w:rPr>
                <w:rFonts w:cs="Arial"/>
                <w:color w:val="000000"/>
                <w:sz w:val="18"/>
                <w:szCs w:val="18"/>
              </w:rPr>
              <w:t>69%</w:t>
            </w:r>
          </w:p>
        </w:tc>
        <w:tc>
          <w:tcPr>
            <w:tcW w:w="620" w:type="dxa"/>
            <w:tcBorders>
              <w:top w:val="single" w:sz="4" w:space="0" w:color="auto"/>
              <w:left w:val="nil"/>
              <w:bottom w:val="single" w:sz="4" w:space="0" w:color="auto"/>
              <w:right w:val="single" w:sz="12" w:space="0" w:color="auto"/>
            </w:tcBorders>
            <w:shd w:val="clear" w:color="auto" w:fill="auto"/>
            <w:noWrap/>
            <w:vAlign w:val="center"/>
            <w:hideMark/>
          </w:tcPr>
          <w:p w14:paraId="2305B408" w14:textId="77777777" w:rsidR="007376E1" w:rsidRPr="001570EA" w:rsidRDefault="007376E1">
            <w:pPr>
              <w:keepNext/>
              <w:jc w:val="center"/>
              <w:rPr>
                <w:rFonts w:cs="Arial"/>
                <w:color w:val="000000"/>
                <w:sz w:val="18"/>
                <w:szCs w:val="18"/>
              </w:rPr>
            </w:pPr>
            <w:r w:rsidRPr="001570EA">
              <w:rPr>
                <w:rFonts w:cs="Arial"/>
                <w:color w:val="000000"/>
                <w:sz w:val="18"/>
                <w:szCs w:val="18"/>
              </w:rPr>
              <w:t>71%</w:t>
            </w:r>
          </w:p>
        </w:tc>
        <w:tc>
          <w:tcPr>
            <w:tcW w:w="62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CD86BBA" w14:textId="77777777" w:rsidR="007376E1" w:rsidRPr="001570EA" w:rsidRDefault="007376E1">
            <w:pPr>
              <w:keepNext/>
              <w:jc w:val="center"/>
              <w:rPr>
                <w:rFonts w:cs="Arial"/>
                <w:color w:val="000000"/>
                <w:sz w:val="18"/>
                <w:szCs w:val="18"/>
              </w:rPr>
            </w:pPr>
            <w:r w:rsidRPr="001570EA">
              <w:rPr>
                <w:rFonts w:cs="Arial"/>
                <w:color w:val="000000"/>
                <w:sz w:val="18"/>
                <w:szCs w:val="18"/>
              </w:rPr>
              <w:t>95%</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5A989BA" w14:textId="77777777" w:rsidR="007376E1" w:rsidRPr="001570EA" w:rsidRDefault="007376E1">
            <w:pPr>
              <w:keepNext/>
              <w:jc w:val="center"/>
              <w:rPr>
                <w:rFonts w:cs="Arial"/>
                <w:color w:val="000000"/>
                <w:sz w:val="18"/>
                <w:szCs w:val="18"/>
              </w:rPr>
            </w:pPr>
            <w:r w:rsidRPr="001570EA">
              <w:rPr>
                <w:rFonts w:cs="Arial"/>
                <w:color w:val="000000"/>
                <w:sz w:val="18"/>
                <w:szCs w:val="18"/>
              </w:rPr>
              <w:t>95%</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54155F2A" w14:textId="77777777" w:rsidR="007376E1" w:rsidRPr="001570EA" w:rsidRDefault="007376E1">
            <w:pPr>
              <w:keepNext/>
              <w:jc w:val="center"/>
              <w:rPr>
                <w:rFonts w:cs="Arial"/>
                <w:color w:val="000000"/>
                <w:sz w:val="18"/>
                <w:szCs w:val="18"/>
              </w:rPr>
            </w:pPr>
            <w:r w:rsidRPr="001570EA">
              <w:rPr>
                <w:rFonts w:cs="Arial"/>
                <w:color w:val="000000"/>
                <w:sz w:val="18"/>
                <w:szCs w:val="18"/>
              </w:rPr>
              <w:t>83%</w:t>
            </w:r>
          </w:p>
        </w:tc>
        <w:tc>
          <w:tcPr>
            <w:tcW w:w="620" w:type="dxa"/>
            <w:tcBorders>
              <w:top w:val="single" w:sz="4" w:space="0" w:color="auto"/>
              <w:left w:val="nil"/>
              <w:bottom w:val="single" w:sz="4" w:space="0" w:color="auto"/>
              <w:right w:val="single" w:sz="12" w:space="0" w:color="auto"/>
            </w:tcBorders>
            <w:shd w:val="clear" w:color="auto" w:fill="auto"/>
            <w:noWrap/>
            <w:vAlign w:val="center"/>
            <w:hideMark/>
          </w:tcPr>
          <w:p w14:paraId="52F0A9BF" w14:textId="77777777" w:rsidR="007376E1" w:rsidRPr="001570EA" w:rsidRDefault="007376E1">
            <w:pPr>
              <w:keepNext/>
              <w:jc w:val="center"/>
              <w:rPr>
                <w:rFonts w:cs="Arial"/>
                <w:color w:val="000000"/>
                <w:sz w:val="18"/>
                <w:szCs w:val="18"/>
              </w:rPr>
            </w:pPr>
            <w:r w:rsidRPr="001570EA">
              <w:rPr>
                <w:rFonts w:cs="Arial"/>
                <w:color w:val="000000"/>
                <w:sz w:val="18"/>
                <w:szCs w:val="18"/>
              </w:rPr>
              <w:t>93%</w:t>
            </w:r>
          </w:p>
        </w:tc>
        <w:tc>
          <w:tcPr>
            <w:tcW w:w="62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5ACD5E8" w14:textId="77777777" w:rsidR="007376E1" w:rsidRPr="001570EA" w:rsidRDefault="007376E1">
            <w:pPr>
              <w:keepNext/>
              <w:jc w:val="center"/>
              <w:rPr>
                <w:rFonts w:cs="Arial"/>
                <w:color w:val="000000"/>
                <w:sz w:val="18"/>
                <w:szCs w:val="18"/>
              </w:rPr>
            </w:pPr>
            <w:r w:rsidRPr="001570EA">
              <w:rPr>
                <w:rFonts w:cs="Arial"/>
                <w:color w:val="000000"/>
                <w:sz w:val="18"/>
                <w:szCs w:val="18"/>
              </w:rPr>
              <w:t>84%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297171A" w14:textId="77777777" w:rsidR="007376E1" w:rsidRPr="001570EA" w:rsidRDefault="007376E1">
            <w:pPr>
              <w:keepNext/>
              <w:jc w:val="center"/>
              <w:rPr>
                <w:rFonts w:cs="Arial"/>
                <w:color w:val="000000"/>
                <w:sz w:val="18"/>
                <w:szCs w:val="18"/>
              </w:rPr>
            </w:pPr>
            <w:r w:rsidRPr="001570EA">
              <w:rPr>
                <w:rFonts w:cs="Arial"/>
                <w:color w:val="000000"/>
                <w:sz w:val="18"/>
                <w:szCs w:val="18"/>
              </w:rPr>
              <w:t>82%</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95DF09F" w14:textId="77777777" w:rsidR="007376E1" w:rsidRPr="001570EA" w:rsidRDefault="007376E1">
            <w:pPr>
              <w:keepNext/>
              <w:jc w:val="center"/>
              <w:rPr>
                <w:rFonts w:cs="Arial"/>
                <w:color w:val="000000"/>
                <w:sz w:val="18"/>
                <w:szCs w:val="18"/>
              </w:rPr>
            </w:pPr>
            <w:r w:rsidRPr="001570EA">
              <w:rPr>
                <w:rFonts w:cs="Arial"/>
                <w:color w:val="000000"/>
                <w:sz w:val="18"/>
                <w:szCs w:val="18"/>
              </w:rPr>
              <w:t>79%</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23E4FC1A" w14:textId="77777777" w:rsidR="007376E1" w:rsidRPr="001570EA" w:rsidRDefault="007376E1">
            <w:pPr>
              <w:keepNext/>
              <w:jc w:val="center"/>
              <w:rPr>
                <w:rFonts w:cs="Arial"/>
                <w:color w:val="000000"/>
                <w:sz w:val="18"/>
                <w:szCs w:val="18"/>
              </w:rPr>
            </w:pPr>
            <w:r w:rsidRPr="001570EA">
              <w:rPr>
                <w:rFonts w:cs="Arial"/>
                <w:color w:val="000000"/>
                <w:sz w:val="18"/>
                <w:szCs w:val="18"/>
              </w:rPr>
              <w:t>91%</w:t>
            </w:r>
          </w:p>
        </w:tc>
      </w:tr>
      <w:tr w:rsidR="007376E1" w:rsidRPr="001570EA" w14:paraId="1DEEAA65" w14:textId="77777777">
        <w:trPr>
          <w:gridAfter w:val="1"/>
          <w:wAfter w:w="6" w:type="dxa"/>
          <w:trHeight w:val="288"/>
          <w:jc w:val="center"/>
        </w:trPr>
        <w:tc>
          <w:tcPr>
            <w:tcW w:w="1066" w:type="dxa"/>
            <w:vMerge/>
            <w:tcBorders>
              <w:top w:val="single" w:sz="4" w:space="0" w:color="auto"/>
              <w:left w:val="single" w:sz="4" w:space="0" w:color="auto"/>
              <w:bottom w:val="single" w:sz="4" w:space="0" w:color="auto"/>
              <w:right w:val="single" w:sz="4" w:space="0" w:color="auto"/>
            </w:tcBorders>
            <w:vAlign w:val="center"/>
            <w:hideMark/>
          </w:tcPr>
          <w:p w14:paraId="296EEE75" w14:textId="77777777" w:rsidR="007376E1" w:rsidRPr="001570EA" w:rsidRDefault="007376E1">
            <w:pPr>
              <w:keepNext/>
              <w:rPr>
                <w:rFonts w:cs="Arial"/>
                <w:color w:val="000000"/>
                <w:sz w:val="18"/>
                <w:szCs w:val="18"/>
              </w:rPr>
            </w:pP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14:paraId="1FBEC876" w14:textId="77777777" w:rsidR="007376E1" w:rsidRPr="001570EA" w:rsidRDefault="007376E1">
            <w:pPr>
              <w:keepNext/>
              <w:rPr>
                <w:rFonts w:cs="Arial"/>
                <w:color w:val="000000"/>
                <w:sz w:val="18"/>
                <w:szCs w:val="18"/>
              </w:rPr>
            </w:pPr>
            <w:r w:rsidRPr="001570EA">
              <w:rPr>
                <w:rFonts w:cs="Arial"/>
                <w:color w:val="000000"/>
                <w:sz w:val="18"/>
                <w:szCs w:val="18"/>
              </w:rPr>
              <w:t>Average</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51D150E" w14:textId="77777777" w:rsidR="007376E1" w:rsidRPr="001570EA" w:rsidRDefault="007376E1">
            <w:pPr>
              <w:keepNext/>
              <w:jc w:val="center"/>
              <w:rPr>
                <w:rFonts w:cs="Arial"/>
                <w:color w:val="000000"/>
                <w:sz w:val="18"/>
                <w:szCs w:val="18"/>
              </w:rPr>
            </w:pPr>
            <w:r w:rsidRPr="001570EA">
              <w:rPr>
                <w:rFonts w:cs="Arial"/>
                <w:color w:val="000000"/>
                <w:sz w:val="18"/>
                <w:szCs w:val="18"/>
              </w:rPr>
              <w:t>86%</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7BDB125" w14:textId="77777777" w:rsidR="007376E1" w:rsidRPr="001570EA" w:rsidRDefault="007376E1">
            <w:pPr>
              <w:keepNext/>
              <w:jc w:val="center"/>
              <w:rPr>
                <w:rFonts w:cs="Arial"/>
                <w:color w:val="000000"/>
                <w:sz w:val="18"/>
                <w:szCs w:val="18"/>
              </w:rPr>
            </w:pPr>
            <w:r w:rsidRPr="001570EA">
              <w:rPr>
                <w:rFonts w:cs="Arial"/>
                <w:color w:val="000000"/>
                <w:sz w:val="18"/>
                <w:szCs w:val="18"/>
              </w:rPr>
              <w:t>84%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341CA68" w14:textId="77777777" w:rsidR="007376E1" w:rsidRPr="001570EA" w:rsidRDefault="007376E1">
            <w:pPr>
              <w:keepNext/>
              <w:jc w:val="center"/>
              <w:rPr>
                <w:rFonts w:cs="Arial"/>
                <w:color w:val="000000"/>
                <w:sz w:val="18"/>
                <w:szCs w:val="18"/>
              </w:rPr>
            </w:pPr>
            <w:r w:rsidRPr="001570EA">
              <w:rPr>
                <w:rFonts w:cs="Arial"/>
                <w:color w:val="000000"/>
                <w:sz w:val="18"/>
                <w:szCs w:val="18"/>
              </w:rPr>
              <w:t>79%</w:t>
            </w:r>
          </w:p>
        </w:tc>
        <w:tc>
          <w:tcPr>
            <w:tcW w:w="620" w:type="dxa"/>
            <w:tcBorders>
              <w:top w:val="single" w:sz="4" w:space="0" w:color="auto"/>
              <w:left w:val="nil"/>
              <w:bottom w:val="single" w:sz="4" w:space="0" w:color="auto"/>
              <w:right w:val="single" w:sz="12" w:space="0" w:color="auto"/>
            </w:tcBorders>
            <w:shd w:val="clear" w:color="auto" w:fill="auto"/>
            <w:noWrap/>
            <w:vAlign w:val="center"/>
            <w:hideMark/>
          </w:tcPr>
          <w:p w14:paraId="4DFEDC42" w14:textId="77777777" w:rsidR="007376E1" w:rsidRPr="001570EA" w:rsidRDefault="007376E1">
            <w:pPr>
              <w:keepNext/>
              <w:jc w:val="center"/>
              <w:rPr>
                <w:rFonts w:cs="Arial"/>
                <w:color w:val="000000"/>
                <w:sz w:val="18"/>
                <w:szCs w:val="18"/>
              </w:rPr>
            </w:pPr>
            <w:r w:rsidRPr="001570EA">
              <w:rPr>
                <w:rFonts w:cs="Arial"/>
                <w:color w:val="000000"/>
                <w:sz w:val="18"/>
                <w:szCs w:val="18"/>
              </w:rPr>
              <w:t>80%</w:t>
            </w:r>
          </w:p>
        </w:tc>
        <w:tc>
          <w:tcPr>
            <w:tcW w:w="62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554C012" w14:textId="77777777" w:rsidR="007376E1" w:rsidRPr="001570EA" w:rsidRDefault="007376E1">
            <w:pPr>
              <w:keepNext/>
              <w:jc w:val="center"/>
              <w:rPr>
                <w:rFonts w:cs="Arial"/>
                <w:color w:val="000000"/>
                <w:sz w:val="18"/>
                <w:szCs w:val="18"/>
              </w:rPr>
            </w:pPr>
            <w:r w:rsidRPr="001570EA">
              <w:rPr>
                <w:rFonts w:cs="Arial"/>
                <w:color w:val="000000"/>
                <w:sz w:val="18"/>
                <w:szCs w:val="18"/>
              </w:rPr>
              <w:t>97%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5F594230" w14:textId="77777777" w:rsidR="007376E1" w:rsidRPr="001570EA" w:rsidRDefault="007376E1">
            <w:pPr>
              <w:keepNext/>
              <w:jc w:val="center"/>
              <w:rPr>
                <w:rFonts w:cs="Arial"/>
                <w:color w:val="000000"/>
                <w:sz w:val="18"/>
                <w:szCs w:val="18"/>
              </w:rPr>
            </w:pPr>
            <w:r w:rsidRPr="001570EA">
              <w:rPr>
                <w:rFonts w:cs="Arial"/>
                <w:color w:val="000000"/>
                <w:sz w:val="18"/>
                <w:szCs w:val="18"/>
              </w:rPr>
              <w:t>97%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E4D087F" w14:textId="77777777" w:rsidR="007376E1" w:rsidRPr="001570EA" w:rsidRDefault="007376E1">
            <w:pPr>
              <w:keepNext/>
              <w:jc w:val="center"/>
              <w:rPr>
                <w:rFonts w:cs="Arial"/>
                <w:color w:val="000000"/>
                <w:sz w:val="18"/>
                <w:szCs w:val="18"/>
              </w:rPr>
            </w:pPr>
            <w:r w:rsidRPr="001570EA">
              <w:rPr>
                <w:rFonts w:cs="Arial"/>
                <w:color w:val="000000"/>
                <w:sz w:val="18"/>
                <w:szCs w:val="18"/>
              </w:rPr>
              <w:t>89%</w:t>
            </w:r>
          </w:p>
        </w:tc>
        <w:tc>
          <w:tcPr>
            <w:tcW w:w="620" w:type="dxa"/>
            <w:tcBorders>
              <w:top w:val="single" w:sz="4" w:space="0" w:color="auto"/>
              <w:left w:val="nil"/>
              <w:bottom w:val="single" w:sz="4" w:space="0" w:color="auto"/>
              <w:right w:val="single" w:sz="12" w:space="0" w:color="auto"/>
            </w:tcBorders>
            <w:shd w:val="clear" w:color="auto" w:fill="auto"/>
            <w:noWrap/>
            <w:vAlign w:val="center"/>
            <w:hideMark/>
          </w:tcPr>
          <w:p w14:paraId="6C4BE0E7" w14:textId="77777777" w:rsidR="007376E1" w:rsidRPr="001570EA" w:rsidRDefault="007376E1">
            <w:pPr>
              <w:keepNext/>
              <w:jc w:val="center"/>
              <w:rPr>
                <w:rFonts w:cs="Arial"/>
                <w:color w:val="000000"/>
                <w:sz w:val="18"/>
                <w:szCs w:val="18"/>
              </w:rPr>
            </w:pPr>
            <w:r w:rsidRPr="001570EA">
              <w:rPr>
                <w:rFonts w:cs="Arial"/>
                <w:color w:val="000000"/>
                <w:sz w:val="18"/>
                <w:szCs w:val="18"/>
              </w:rPr>
              <w:t>95%</w:t>
            </w:r>
          </w:p>
        </w:tc>
        <w:tc>
          <w:tcPr>
            <w:tcW w:w="62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5FFE5FF" w14:textId="77777777" w:rsidR="007376E1" w:rsidRPr="001570EA" w:rsidRDefault="007376E1">
            <w:pPr>
              <w:keepNext/>
              <w:jc w:val="center"/>
              <w:rPr>
                <w:rFonts w:cs="Arial"/>
                <w:color w:val="000000"/>
                <w:sz w:val="18"/>
                <w:szCs w:val="18"/>
              </w:rPr>
            </w:pPr>
            <w:r w:rsidRPr="001570EA">
              <w:rPr>
                <w:rFonts w:cs="Arial"/>
                <w:color w:val="000000"/>
                <w:sz w:val="18"/>
                <w:szCs w:val="18"/>
              </w:rPr>
              <w:t>89%</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352726A7" w14:textId="77777777" w:rsidR="007376E1" w:rsidRPr="001570EA" w:rsidRDefault="007376E1">
            <w:pPr>
              <w:keepNext/>
              <w:jc w:val="center"/>
              <w:rPr>
                <w:rFonts w:cs="Arial"/>
                <w:color w:val="000000"/>
                <w:sz w:val="18"/>
                <w:szCs w:val="18"/>
              </w:rPr>
            </w:pPr>
            <w:r w:rsidRPr="001570EA">
              <w:rPr>
                <w:rFonts w:cs="Arial"/>
                <w:color w:val="000000"/>
                <w:sz w:val="18"/>
                <w:szCs w:val="18"/>
              </w:rPr>
              <w:t>87%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3A02A54B" w14:textId="77777777" w:rsidR="007376E1" w:rsidRPr="001570EA" w:rsidRDefault="007376E1">
            <w:pPr>
              <w:keepNext/>
              <w:jc w:val="center"/>
              <w:rPr>
                <w:rFonts w:cs="Arial"/>
                <w:color w:val="000000"/>
                <w:sz w:val="18"/>
                <w:szCs w:val="18"/>
              </w:rPr>
            </w:pPr>
            <w:r w:rsidRPr="001570EA">
              <w:rPr>
                <w:rFonts w:cs="Arial"/>
                <w:color w:val="000000"/>
                <w:sz w:val="18"/>
                <w:szCs w:val="18"/>
              </w:rPr>
              <w:t>87%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128BF2CF" w14:textId="77777777" w:rsidR="007376E1" w:rsidRPr="001570EA" w:rsidRDefault="007376E1">
            <w:pPr>
              <w:keepNext/>
              <w:jc w:val="center"/>
              <w:rPr>
                <w:rFonts w:cs="Arial"/>
                <w:color w:val="000000"/>
                <w:sz w:val="18"/>
                <w:szCs w:val="18"/>
              </w:rPr>
            </w:pPr>
            <w:r w:rsidRPr="001570EA">
              <w:rPr>
                <w:rFonts w:cs="Arial"/>
                <w:color w:val="000000"/>
                <w:sz w:val="18"/>
                <w:szCs w:val="18"/>
              </w:rPr>
              <w:t>94%</w:t>
            </w:r>
          </w:p>
        </w:tc>
      </w:tr>
      <w:tr w:rsidR="007376E1" w:rsidRPr="001570EA" w14:paraId="08EABCDA" w14:textId="77777777">
        <w:trPr>
          <w:gridAfter w:val="1"/>
          <w:wAfter w:w="6" w:type="dxa"/>
          <w:trHeight w:val="300"/>
          <w:jc w:val="center"/>
        </w:trPr>
        <w:tc>
          <w:tcPr>
            <w:tcW w:w="1066" w:type="dxa"/>
            <w:vMerge/>
            <w:tcBorders>
              <w:top w:val="single" w:sz="4" w:space="0" w:color="auto"/>
              <w:left w:val="single" w:sz="4" w:space="0" w:color="auto"/>
              <w:bottom w:val="single" w:sz="4" w:space="0" w:color="auto"/>
              <w:right w:val="single" w:sz="4" w:space="0" w:color="auto"/>
            </w:tcBorders>
            <w:vAlign w:val="center"/>
            <w:hideMark/>
          </w:tcPr>
          <w:p w14:paraId="680BAB32" w14:textId="77777777" w:rsidR="007376E1" w:rsidRPr="001570EA" w:rsidRDefault="007376E1">
            <w:pPr>
              <w:keepNext/>
              <w:rPr>
                <w:rFonts w:cs="Arial"/>
                <w:color w:val="000000"/>
                <w:sz w:val="18"/>
                <w:szCs w:val="18"/>
              </w:rPr>
            </w:pP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14:paraId="22B39A72" w14:textId="77777777" w:rsidR="007376E1" w:rsidRPr="001570EA" w:rsidRDefault="007376E1">
            <w:pPr>
              <w:keepNext/>
              <w:rPr>
                <w:rFonts w:cs="Arial"/>
                <w:color w:val="000000"/>
                <w:sz w:val="18"/>
                <w:szCs w:val="18"/>
              </w:rPr>
            </w:pPr>
            <w:r w:rsidRPr="001570EA">
              <w:rPr>
                <w:rFonts w:cs="Arial"/>
                <w:color w:val="000000"/>
                <w:sz w:val="18"/>
                <w:szCs w:val="18"/>
              </w:rPr>
              <w:t>Tight</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5F38D5DD" w14:textId="77777777" w:rsidR="007376E1" w:rsidRPr="001570EA" w:rsidRDefault="007376E1">
            <w:pPr>
              <w:keepNext/>
              <w:jc w:val="center"/>
              <w:rPr>
                <w:rFonts w:cs="Arial"/>
                <w:color w:val="000000"/>
                <w:sz w:val="18"/>
                <w:szCs w:val="18"/>
              </w:rPr>
            </w:pPr>
            <w:r w:rsidRPr="001570EA">
              <w:rPr>
                <w:rFonts w:cs="Arial"/>
                <w:color w:val="000000"/>
                <w:sz w:val="18"/>
                <w:szCs w:val="18"/>
              </w:rPr>
              <w:t>92%</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22715FF2" w14:textId="77777777" w:rsidR="007376E1" w:rsidRPr="001570EA" w:rsidRDefault="007376E1">
            <w:pPr>
              <w:keepNext/>
              <w:jc w:val="center"/>
              <w:rPr>
                <w:rFonts w:cs="Arial"/>
                <w:color w:val="000000"/>
                <w:sz w:val="18"/>
                <w:szCs w:val="18"/>
              </w:rPr>
            </w:pPr>
            <w:r w:rsidRPr="001570EA">
              <w:rPr>
                <w:rFonts w:cs="Arial"/>
                <w:color w:val="000000"/>
                <w:sz w:val="18"/>
                <w:szCs w:val="18"/>
              </w:rPr>
              <w:t>91%</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27A8687" w14:textId="77777777" w:rsidR="007376E1" w:rsidRPr="001570EA" w:rsidRDefault="007376E1">
            <w:pPr>
              <w:keepNext/>
              <w:jc w:val="center"/>
              <w:rPr>
                <w:rFonts w:cs="Arial"/>
                <w:color w:val="000000"/>
                <w:sz w:val="18"/>
                <w:szCs w:val="18"/>
              </w:rPr>
            </w:pPr>
            <w:r w:rsidRPr="001570EA">
              <w:rPr>
                <w:rFonts w:cs="Arial"/>
                <w:color w:val="000000"/>
                <w:sz w:val="18"/>
                <w:szCs w:val="18"/>
              </w:rPr>
              <w:t>90%</w:t>
            </w:r>
          </w:p>
        </w:tc>
        <w:tc>
          <w:tcPr>
            <w:tcW w:w="620" w:type="dxa"/>
            <w:tcBorders>
              <w:top w:val="single" w:sz="4" w:space="0" w:color="auto"/>
              <w:left w:val="nil"/>
              <w:bottom w:val="single" w:sz="4" w:space="0" w:color="auto"/>
              <w:right w:val="single" w:sz="12" w:space="0" w:color="auto"/>
            </w:tcBorders>
            <w:shd w:val="clear" w:color="auto" w:fill="auto"/>
            <w:noWrap/>
            <w:vAlign w:val="center"/>
            <w:hideMark/>
          </w:tcPr>
          <w:p w14:paraId="6187CB0C" w14:textId="77777777" w:rsidR="007376E1" w:rsidRPr="001570EA" w:rsidRDefault="007376E1">
            <w:pPr>
              <w:keepNext/>
              <w:jc w:val="center"/>
              <w:rPr>
                <w:rFonts w:cs="Arial"/>
                <w:color w:val="000000"/>
                <w:sz w:val="18"/>
                <w:szCs w:val="18"/>
              </w:rPr>
            </w:pPr>
            <w:r w:rsidRPr="001570EA">
              <w:rPr>
                <w:rFonts w:cs="Arial"/>
                <w:color w:val="000000"/>
                <w:sz w:val="18"/>
                <w:szCs w:val="18"/>
              </w:rPr>
              <w:t>90%</w:t>
            </w:r>
          </w:p>
        </w:tc>
        <w:tc>
          <w:tcPr>
            <w:tcW w:w="62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1857BAE" w14:textId="77777777" w:rsidR="007376E1" w:rsidRPr="001570EA" w:rsidRDefault="007376E1">
            <w:pPr>
              <w:keepNext/>
              <w:jc w:val="center"/>
              <w:rPr>
                <w:rFonts w:cs="Arial"/>
                <w:color w:val="000000"/>
                <w:sz w:val="18"/>
                <w:szCs w:val="18"/>
              </w:rPr>
            </w:pPr>
            <w:r w:rsidRPr="001570EA">
              <w:rPr>
                <w:rFonts w:cs="Arial"/>
                <w:color w:val="000000"/>
                <w:sz w:val="18"/>
                <w:szCs w:val="18"/>
              </w:rPr>
              <w:t>98%</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68E68066" w14:textId="77777777" w:rsidR="007376E1" w:rsidRPr="001570EA" w:rsidRDefault="007376E1">
            <w:pPr>
              <w:keepNext/>
              <w:jc w:val="center"/>
              <w:rPr>
                <w:rFonts w:cs="Arial"/>
                <w:color w:val="000000"/>
                <w:sz w:val="18"/>
                <w:szCs w:val="18"/>
              </w:rPr>
            </w:pPr>
            <w:r w:rsidRPr="001570EA">
              <w:rPr>
                <w:rFonts w:cs="Arial"/>
                <w:color w:val="000000"/>
                <w:sz w:val="18"/>
                <w:szCs w:val="18"/>
              </w:rPr>
              <w:t>98%</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6DD8C01D" w14:textId="77777777" w:rsidR="007376E1" w:rsidRPr="001570EA" w:rsidRDefault="007376E1">
            <w:pPr>
              <w:keepNext/>
              <w:jc w:val="center"/>
              <w:rPr>
                <w:rFonts w:cs="Arial"/>
                <w:color w:val="000000"/>
                <w:sz w:val="18"/>
                <w:szCs w:val="18"/>
              </w:rPr>
            </w:pPr>
            <w:r w:rsidRPr="001570EA">
              <w:rPr>
                <w:rFonts w:cs="Arial"/>
                <w:color w:val="000000"/>
                <w:sz w:val="18"/>
                <w:szCs w:val="18"/>
              </w:rPr>
              <w:t>95%</w:t>
            </w:r>
          </w:p>
        </w:tc>
        <w:tc>
          <w:tcPr>
            <w:tcW w:w="620" w:type="dxa"/>
            <w:tcBorders>
              <w:top w:val="single" w:sz="4" w:space="0" w:color="auto"/>
              <w:left w:val="nil"/>
              <w:bottom w:val="single" w:sz="4" w:space="0" w:color="auto"/>
              <w:right w:val="single" w:sz="12" w:space="0" w:color="auto"/>
            </w:tcBorders>
            <w:shd w:val="clear" w:color="auto" w:fill="auto"/>
            <w:noWrap/>
            <w:vAlign w:val="center"/>
            <w:hideMark/>
          </w:tcPr>
          <w:p w14:paraId="2F4F0A6D" w14:textId="77777777" w:rsidR="007376E1" w:rsidRPr="001570EA" w:rsidRDefault="007376E1">
            <w:pPr>
              <w:keepNext/>
              <w:jc w:val="center"/>
              <w:rPr>
                <w:rFonts w:cs="Arial"/>
                <w:color w:val="000000"/>
                <w:sz w:val="18"/>
                <w:szCs w:val="18"/>
              </w:rPr>
            </w:pPr>
            <w:r w:rsidRPr="001570EA">
              <w:rPr>
                <w:rFonts w:cs="Arial"/>
                <w:color w:val="000000"/>
                <w:sz w:val="18"/>
                <w:szCs w:val="18"/>
              </w:rPr>
              <w:t>98%</w:t>
            </w:r>
          </w:p>
        </w:tc>
        <w:tc>
          <w:tcPr>
            <w:tcW w:w="62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4FD509" w14:textId="77777777" w:rsidR="007376E1" w:rsidRPr="001570EA" w:rsidRDefault="007376E1">
            <w:pPr>
              <w:keepNext/>
              <w:jc w:val="center"/>
              <w:rPr>
                <w:rFonts w:cs="Arial"/>
                <w:color w:val="000000"/>
                <w:sz w:val="18"/>
                <w:szCs w:val="18"/>
              </w:rPr>
            </w:pPr>
            <w:r w:rsidRPr="001570EA">
              <w:rPr>
                <w:rFonts w:cs="Arial"/>
                <w:color w:val="000000"/>
                <w:sz w:val="18"/>
                <w:szCs w:val="18"/>
              </w:rPr>
              <w:t>94%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3FAC8127" w14:textId="77777777" w:rsidR="007376E1" w:rsidRPr="001570EA" w:rsidRDefault="007376E1">
            <w:pPr>
              <w:keepNext/>
              <w:jc w:val="center"/>
              <w:rPr>
                <w:rFonts w:cs="Arial"/>
                <w:color w:val="000000"/>
                <w:sz w:val="18"/>
                <w:szCs w:val="18"/>
              </w:rPr>
            </w:pPr>
            <w:r w:rsidRPr="001570EA">
              <w:rPr>
                <w:rFonts w:cs="Arial"/>
                <w:color w:val="000000"/>
                <w:sz w:val="18"/>
                <w:szCs w:val="18"/>
              </w:rPr>
              <w:t>93%</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57E38890" w14:textId="77777777" w:rsidR="007376E1" w:rsidRPr="001570EA" w:rsidRDefault="007376E1">
            <w:pPr>
              <w:keepNext/>
              <w:jc w:val="center"/>
              <w:rPr>
                <w:rFonts w:cs="Arial"/>
                <w:color w:val="000000"/>
                <w:sz w:val="18"/>
                <w:szCs w:val="18"/>
              </w:rPr>
            </w:pPr>
            <w:r w:rsidRPr="001570EA">
              <w:rPr>
                <w:rFonts w:cs="Arial"/>
                <w:color w:val="000000"/>
                <w:sz w:val="18"/>
                <w:szCs w:val="18"/>
              </w:rPr>
              <w:t>94%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EFADC85" w14:textId="77777777" w:rsidR="007376E1" w:rsidRPr="001570EA" w:rsidRDefault="007376E1">
            <w:pPr>
              <w:keepNext/>
              <w:jc w:val="center"/>
              <w:rPr>
                <w:rFonts w:cs="Arial"/>
                <w:color w:val="000000"/>
                <w:sz w:val="18"/>
                <w:szCs w:val="18"/>
              </w:rPr>
            </w:pPr>
            <w:r w:rsidRPr="001570EA">
              <w:rPr>
                <w:rFonts w:cs="Arial"/>
                <w:color w:val="000000"/>
                <w:sz w:val="18"/>
                <w:szCs w:val="18"/>
              </w:rPr>
              <w:t>98%</w:t>
            </w:r>
          </w:p>
        </w:tc>
      </w:tr>
      <w:tr w:rsidR="007376E1" w:rsidRPr="001570EA" w14:paraId="46DD8399" w14:textId="77777777">
        <w:trPr>
          <w:trHeight w:val="300"/>
          <w:jc w:val="center"/>
        </w:trPr>
        <w:tc>
          <w:tcPr>
            <w:tcW w:w="9781" w:type="dxa"/>
            <w:gridSpan w:val="15"/>
            <w:tcBorders>
              <w:top w:val="single" w:sz="4" w:space="0" w:color="auto"/>
            </w:tcBorders>
            <w:vAlign w:val="center"/>
          </w:tcPr>
          <w:p w14:paraId="305BA534" w14:textId="77777777" w:rsidR="007376E1" w:rsidRPr="001570EA" w:rsidRDefault="007376E1">
            <w:pPr>
              <w:rPr>
                <w:rFonts w:cs="Arial"/>
                <w:color w:val="000000"/>
                <w:sz w:val="18"/>
                <w:szCs w:val="18"/>
              </w:rPr>
            </w:pPr>
            <w:r w:rsidRPr="001570EA">
              <w:rPr>
                <w:rFonts w:cs="Arial"/>
                <w:color w:val="000000"/>
                <w:sz w:val="18"/>
                <w:szCs w:val="18"/>
              </w:rPr>
              <w:t>* Climate Regions A and G correspond to IECC Climate Zone 6, the rest of the state is IECC Climate Zone 4 or 5.</w:t>
            </w:r>
          </w:p>
        </w:tc>
      </w:tr>
    </w:tbl>
    <w:p w14:paraId="3B0E57E7" w14:textId="6D74B59B" w:rsidR="007376E1" w:rsidRPr="001570EA" w:rsidRDefault="007376E1" w:rsidP="007376E1">
      <w:pPr>
        <w:pStyle w:val="Caption"/>
        <w:keepLines/>
        <w:ind w:right="-630"/>
      </w:pPr>
      <w:bookmarkStart w:id="288" w:name="_Ref527037772"/>
      <w:bookmarkStart w:id="289" w:name="_Ref527037765"/>
      <w:bookmarkStart w:id="290" w:name="_Toc47598277"/>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41</w:t>
      </w:r>
      <w:r w:rsidR="002E093A" w:rsidRPr="001570EA">
        <w:fldChar w:fldCharType="end"/>
      </w:r>
      <w:bookmarkEnd w:id="288"/>
      <w:r w:rsidRPr="001570EA">
        <w:t>: Distribution Efficiency Adders for Cond. Space (%) by Conditioned Air; Duct Location, Leakage &amp; Insulation</w:t>
      </w:r>
      <w:bookmarkEnd w:id="289"/>
      <w:bookmarkEnd w:id="290"/>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20"/>
        <w:gridCol w:w="620"/>
        <w:gridCol w:w="620"/>
        <w:gridCol w:w="620"/>
        <w:gridCol w:w="620"/>
        <w:gridCol w:w="620"/>
        <w:gridCol w:w="620"/>
        <w:gridCol w:w="620"/>
        <w:gridCol w:w="620"/>
        <w:gridCol w:w="620"/>
        <w:gridCol w:w="620"/>
        <w:gridCol w:w="625"/>
      </w:tblGrid>
      <w:tr w:rsidR="007376E1" w:rsidRPr="001570EA" w14:paraId="15A7F222" w14:textId="77777777">
        <w:trPr>
          <w:trHeight w:val="288"/>
          <w:jc w:val="center"/>
        </w:trPr>
        <w:tc>
          <w:tcPr>
            <w:tcW w:w="2335" w:type="dxa"/>
            <w:shd w:val="clear" w:color="auto" w:fill="BFBFBF" w:themeFill="background1" w:themeFillShade="BF"/>
            <w:noWrap/>
            <w:vAlign w:val="center"/>
          </w:tcPr>
          <w:p w14:paraId="304F1229" w14:textId="77777777" w:rsidR="007376E1" w:rsidRPr="001570EA" w:rsidRDefault="007376E1">
            <w:pPr>
              <w:keepNext/>
              <w:keepLines/>
              <w:jc w:val="center"/>
              <w:rPr>
                <w:rFonts w:cs="Arial"/>
                <w:b/>
                <w:sz w:val="18"/>
                <w:szCs w:val="18"/>
              </w:rPr>
            </w:pPr>
            <w:r w:rsidRPr="001570EA">
              <w:rPr>
                <w:rFonts w:cs="Arial"/>
                <w:b/>
                <w:color w:val="000000"/>
                <w:sz w:val="18"/>
                <w:szCs w:val="18"/>
              </w:rPr>
              <w:t>Location</w:t>
            </w:r>
          </w:p>
        </w:tc>
        <w:tc>
          <w:tcPr>
            <w:tcW w:w="2480" w:type="dxa"/>
            <w:gridSpan w:val="4"/>
            <w:tcBorders>
              <w:right w:val="single" w:sz="12" w:space="0" w:color="auto"/>
            </w:tcBorders>
            <w:shd w:val="clear" w:color="auto" w:fill="BFBFBF" w:themeFill="background1" w:themeFillShade="BF"/>
            <w:noWrap/>
            <w:vAlign w:val="center"/>
          </w:tcPr>
          <w:p w14:paraId="64786F2E" w14:textId="77777777" w:rsidR="007376E1" w:rsidRPr="001570EA" w:rsidRDefault="007376E1">
            <w:pPr>
              <w:keepNext/>
              <w:keepLines/>
              <w:jc w:val="center"/>
              <w:rPr>
                <w:rFonts w:cs="Arial"/>
                <w:b/>
                <w:sz w:val="18"/>
                <w:szCs w:val="18"/>
              </w:rPr>
            </w:pPr>
            <w:r w:rsidRPr="001570EA">
              <w:rPr>
                <w:rFonts w:cs="Arial"/>
                <w:b/>
                <w:color w:val="000000"/>
                <w:sz w:val="18"/>
                <w:szCs w:val="18"/>
              </w:rPr>
              <w:t>Attic</w:t>
            </w:r>
          </w:p>
        </w:tc>
        <w:tc>
          <w:tcPr>
            <w:tcW w:w="2480" w:type="dxa"/>
            <w:gridSpan w:val="4"/>
            <w:tcBorders>
              <w:left w:val="single" w:sz="12" w:space="0" w:color="auto"/>
              <w:right w:val="single" w:sz="12" w:space="0" w:color="auto"/>
            </w:tcBorders>
            <w:shd w:val="clear" w:color="auto" w:fill="BFBFBF" w:themeFill="background1" w:themeFillShade="BF"/>
            <w:noWrap/>
            <w:vAlign w:val="center"/>
          </w:tcPr>
          <w:p w14:paraId="7B4E3211" w14:textId="77777777" w:rsidR="007376E1" w:rsidRPr="001570EA" w:rsidRDefault="007376E1">
            <w:pPr>
              <w:keepNext/>
              <w:keepLines/>
              <w:jc w:val="center"/>
              <w:rPr>
                <w:rFonts w:cs="Arial"/>
                <w:b/>
                <w:sz w:val="18"/>
                <w:szCs w:val="18"/>
              </w:rPr>
            </w:pPr>
            <w:r w:rsidRPr="001570EA">
              <w:rPr>
                <w:rFonts w:cs="Arial"/>
                <w:b/>
                <w:color w:val="000000"/>
                <w:sz w:val="18"/>
                <w:szCs w:val="18"/>
              </w:rPr>
              <w:t>Basement</w:t>
            </w:r>
          </w:p>
        </w:tc>
        <w:tc>
          <w:tcPr>
            <w:tcW w:w="2480" w:type="dxa"/>
            <w:gridSpan w:val="4"/>
            <w:tcBorders>
              <w:left w:val="single" w:sz="12" w:space="0" w:color="auto"/>
            </w:tcBorders>
            <w:shd w:val="clear" w:color="auto" w:fill="BFBFBF" w:themeFill="background1" w:themeFillShade="BF"/>
            <w:noWrap/>
            <w:vAlign w:val="center"/>
          </w:tcPr>
          <w:p w14:paraId="01E3A7C5" w14:textId="77777777" w:rsidR="007376E1" w:rsidRPr="001570EA" w:rsidRDefault="007376E1">
            <w:pPr>
              <w:keepNext/>
              <w:keepLines/>
              <w:jc w:val="center"/>
              <w:rPr>
                <w:rFonts w:cs="Arial"/>
                <w:b/>
                <w:sz w:val="18"/>
                <w:szCs w:val="18"/>
              </w:rPr>
            </w:pPr>
            <w:r w:rsidRPr="001570EA">
              <w:rPr>
                <w:rFonts w:cs="Arial"/>
                <w:b/>
                <w:color w:val="000000"/>
                <w:sz w:val="18"/>
                <w:szCs w:val="18"/>
              </w:rPr>
              <w:t>Vented Crawl</w:t>
            </w:r>
          </w:p>
        </w:tc>
      </w:tr>
      <w:tr w:rsidR="007376E1" w:rsidRPr="001570EA" w14:paraId="4FF8A8C0" w14:textId="77777777">
        <w:trPr>
          <w:trHeight w:val="288"/>
          <w:jc w:val="center"/>
        </w:trPr>
        <w:tc>
          <w:tcPr>
            <w:tcW w:w="2335" w:type="dxa"/>
            <w:shd w:val="clear" w:color="auto" w:fill="BFBFBF" w:themeFill="background1" w:themeFillShade="BF"/>
            <w:noWrap/>
            <w:vAlign w:val="center"/>
            <w:hideMark/>
          </w:tcPr>
          <w:p w14:paraId="6700B35B" w14:textId="77777777" w:rsidR="007376E1" w:rsidRPr="001570EA" w:rsidRDefault="007376E1">
            <w:pPr>
              <w:keepNext/>
              <w:keepLines/>
              <w:jc w:val="center"/>
              <w:rPr>
                <w:rFonts w:cs="Arial"/>
                <w:b/>
                <w:sz w:val="18"/>
                <w:szCs w:val="18"/>
              </w:rPr>
            </w:pPr>
            <w:r w:rsidRPr="001570EA">
              <w:rPr>
                <w:rFonts w:cs="Arial"/>
                <w:b/>
                <w:sz w:val="18"/>
                <w:szCs w:val="18"/>
              </w:rPr>
              <w:t>HVAC Type</w:t>
            </w:r>
          </w:p>
        </w:tc>
        <w:tc>
          <w:tcPr>
            <w:tcW w:w="1240" w:type="dxa"/>
            <w:gridSpan w:val="2"/>
            <w:shd w:val="clear" w:color="auto" w:fill="auto"/>
            <w:noWrap/>
            <w:vAlign w:val="center"/>
            <w:hideMark/>
          </w:tcPr>
          <w:p w14:paraId="20ED92F6" w14:textId="77777777" w:rsidR="007376E1" w:rsidRPr="001570EA" w:rsidRDefault="007376E1">
            <w:pPr>
              <w:keepNext/>
              <w:keepLines/>
              <w:jc w:val="center"/>
              <w:rPr>
                <w:rFonts w:cs="Arial"/>
                <w:b/>
                <w:sz w:val="18"/>
                <w:szCs w:val="18"/>
              </w:rPr>
            </w:pPr>
            <w:r w:rsidRPr="001570EA">
              <w:rPr>
                <w:rFonts w:cs="Arial"/>
                <w:b/>
                <w:sz w:val="18"/>
                <w:szCs w:val="18"/>
              </w:rPr>
              <w:t>Heat</w:t>
            </w:r>
          </w:p>
        </w:tc>
        <w:tc>
          <w:tcPr>
            <w:tcW w:w="1240" w:type="dxa"/>
            <w:gridSpan w:val="2"/>
            <w:tcBorders>
              <w:right w:val="single" w:sz="12" w:space="0" w:color="auto"/>
            </w:tcBorders>
            <w:shd w:val="clear" w:color="auto" w:fill="auto"/>
            <w:noWrap/>
            <w:vAlign w:val="center"/>
            <w:hideMark/>
          </w:tcPr>
          <w:p w14:paraId="552BA63B" w14:textId="77777777" w:rsidR="007376E1" w:rsidRPr="001570EA" w:rsidRDefault="007376E1">
            <w:pPr>
              <w:keepNext/>
              <w:keepLines/>
              <w:jc w:val="center"/>
              <w:rPr>
                <w:rFonts w:cs="Arial"/>
                <w:b/>
                <w:sz w:val="18"/>
                <w:szCs w:val="18"/>
              </w:rPr>
            </w:pPr>
            <w:r w:rsidRPr="001570EA">
              <w:rPr>
                <w:rFonts w:cs="Arial"/>
                <w:b/>
                <w:sz w:val="18"/>
                <w:szCs w:val="18"/>
              </w:rPr>
              <w:t>Cool</w:t>
            </w:r>
          </w:p>
        </w:tc>
        <w:tc>
          <w:tcPr>
            <w:tcW w:w="1240" w:type="dxa"/>
            <w:gridSpan w:val="2"/>
            <w:tcBorders>
              <w:left w:val="single" w:sz="12" w:space="0" w:color="auto"/>
            </w:tcBorders>
            <w:shd w:val="clear" w:color="auto" w:fill="auto"/>
            <w:noWrap/>
            <w:vAlign w:val="center"/>
            <w:hideMark/>
          </w:tcPr>
          <w:p w14:paraId="06950E7D" w14:textId="77777777" w:rsidR="007376E1" w:rsidRPr="001570EA" w:rsidRDefault="007376E1">
            <w:pPr>
              <w:keepNext/>
              <w:keepLines/>
              <w:jc w:val="center"/>
              <w:rPr>
                <w:rFonts w:cs="Arial"/>
                <w:b/>
                <w:sz w:val="18"/>
                <w:szCs w:val="18"/>
              </w:rPr>
            </w:pPr>
            <w:r w:rsidRPr="001570EA">
              <w:rPr>
                <w:rFonts w:cs="Arial"/>
                <w:b/>
                <w:sz w:val="18"/>
                <w:szCs w:val="18"/>
              </w:rPr>
              <w:t>Heat</w:t>
            </w:r>
          </w:p>
        </w:tc>
        <w:tc>
          <w:tcPr>
            <w:tcW w:w="1240" w:type="dxa"/>
            <w:gridSpan w:val="2"/>
            <w:tcBorders>
              <w:right w:val="single" w:sz="12" w:space="0" w:color="auto"/>
            </w:tcBorders>
            <w:shd w:val="clear" w:color="auto" w:fill="auto"/>
            <w:noWrap/>
            <w:vAlign w:val="center"/>
            <w:hideMark/>
          </w:tcPr>
          <w:p w14:paraId="1F5977DA" w14:textId="77777777" w:rsidR="007376E1" w:rsidRPr="001570EA" w:rsidRDefault="007376E1">
            <w:pPr>
              <w:keepNext/>
              <w:keepLines/>
              <w:jc w:val="center"/>
              <w:rPr>
                <w:rFonts w:cs="Arial"/>
                <w:b/>
                <w:sz w:val="18"/>
                <w:szCs w:val="18"/>
              </w:rPr>
            </w:pPr>
            <w:r w:rsidRPr="001570EA">
              <w:rPr>
                <w:rFonts w:cs="Arial"/>
                <w:b/>
                <w:sz w:val="18"/>
                <w:szCs w:val="18"/>
              </w:rPr>
              <w:t>Cool</w:t>
            </w:r>
          </w:p>
        </w:tc>
        <w:tc>
          <w:tcPr>
            <w:tcW w:w="1240" w:type="dxa"/>
            <w:gridSpan w:val="2"/>
            <w:tcBorders>
              <w:left w:val="single" w:sz="12" w:space="0" w:color="auto"/>
            </w:tcBorders>
            <w:shd w:val="clear" w:color="auto" w:fill="auto"/>
            <w:noWrap/>
            <w:vAlign w:val="center"/>
            <w:hideMark/>
          </w:tcPr>
          <w:p w14:paraId="4657A0A4" w14:textId="77777777" w:rsidR="007376E1" w:rsidRPr="001570EA" w:rsidRDefault="007376E1">
            <w:pPr>
              <w:keepNext/>
              <w:keepLines/>
              <w:jc w:val="center"/>
              <w:rPr>
                <w:rFonts w:cs="Arial"/>
                <w:b/>
                <w:sz w:val="18"/>
                <w:szCs w:val="18"/>
              </w:rPr>
            </w:pPr>
            <w:r w:rsidRPr="001570EA">
              <w:rPr>
                <w:rFonts w:cs="Arial"/>
                <w:b/>
                <w:sz w:val="18"/>
                <w:szCs w:val="18"/>
              </w:rPr>
              <w:t>Heat</w:t>
            </w:r>
          </w:p>
        </w:tc>
        <w:tc>
          <w:tcPr>
            <w:tcW w:w="1240" w:type="dxa"/>
            <w:gridSpan w:val="2"/>
            <w:shd w:val="clear" w:color="auto" w:fill="auto"/>
            <w:noWrap/>
            <w:vAlign w:val="center"/>
            <w:hideMark/>
          </w:tcPr>
          <w:p w14:paraId="2ABA8121" w14:textId="77777777" w:rsidR="007376E1" w:rsidRPr="001570EA" w:rsidRDefault="007376E1">
            <w:pPr>
              <w:keepNext/>
              <w:keepLines/>
              <w:jc w:val="center"/>
              <w:rPr>
                <w:rFonts w:cs="Arial"/>
                <w:b/>
                <w:sz w:val="18"/>
                <w:szCs w:val="18"/>
              </w:rPr>
            </w:pPr>
            <w:r w:rsidRPr="001570EA">
              <w:rPr>
                <w:rFonts w:cs="Arial"/>
                <w:b/>
                <w:sz w:val="18"/>
                <w:szCs w:val="18"/>
              </w:rPr>
              <w:t>Cool*</w:t>
            </w:r>
          </w:p>
        </w:tc>
      </w:tr>
      <w:tr w:rsidR="007376E1" w:rsidRPr="001570EA" w14:paraId="6B2037EA" w14:textId="77777777">
        <w:trPr>
          <w:trHeight w:val="288"/>
          <w:jc w:val="center"/>
        </w:trPr>
        <w:tc>
          <w:tcPr>
            <w:tcW w:w="2335" w:type="dxa"/>
            <w:shd w:val="clear" w:color="auto" w:fill="BFBFBF" w:themeFill="background1" w:themeFillShade="BF"/>
            <w:noWrap/>
            <w:vAlign w:val="center"/>
            <w:hideMark/>
          </w:tcPr>
          <w:p w14:paraId="116EBED2" w14:textId="77777777" w:rsidR="007376E1" w:rsidRPr="001570EA" w:rsidRDefault="007376E1">
            <w:pPr>
              <w:keepNext/>
              <w:keepLines/>
              <w:jc w:val="center"/>
              <w:rPr>
                <w:rFonts w:cs="Arial"/>
                <w:b/>
                <w:sz w:val="18"/>
                <w:szCs w:val="18"/>
              </w:rPr>
            </w:pPr>
            <w:r w:rsidRPr="001570EA">
              <w:rPr>
                <w:rFonts w:cs="Arial"/>
                <w:b/>
                <w:sz w:val="18"/>
                <w:szCs w:val="18"/>
              </w:rPr>
              <w:t>Insulation \ Conditioned</w:t>
            </w:r>
          </w:p>
        </w:tc>
        <w:tc>
          <w:tcPr>
            <w:tcW w:w="620" w:type="dxa"/>
            <w:shd w:val="clear" w:color="auto" w:fill="BFBFBF" w:themeFill="background1" w:themeFillShade="BF"/>
            <w:noWrap/>
            <w:vAlign w:val="center"/>
            <w:hideMark/>
          </w:tcPr>
          <w:p w14:paraId="609B356F" w14:textId="77777777" w:rsidR="007376E1" w:rsidRPr="001570EA" w:rsidRDefault="007376E1">
            <w:pPr>
              <w:keepNext/>
              <w:keepLines/>
              <w:jc w:val="center"/>
              <w:rPr>
                <w:rFonts w:cs="Arial"/>
                <w:b/>
                <w:sz w:val="18"/>
                <w:szCs w:val="18"/>
              </w:rPr>
            </w:pPr>
            <w:r w:rsidRPr="001570EA">
              <w:rPr>
                <w:rFonts w:cs="Arial"/>
                <w:b/>
                <w:sz w:val="18"/>
                <w:szCs w:val="18"/>
              </w:rPr>
              <w:t>50%</w:t>
            </w:r>
          </w:p>
        </w:tc>
        <w:tc>
          <w:tcPr>
            <w:tcW w:w="620" w:type="dxa"/>
            <w:shd w:val="clear" w:color="auto" w:fill="BFBFBF" w:themeFill="background1" w:themeFillShade="BF"/>
            <w:noWrap/>
            <w:vAlign w:val="center"/>
            <w:hideMark/>
          </w:tcPr>
          <w:p w14:paraId="3D5DD78A" w14:textId="77777777" w:rsidR="007376E1" w:rsidRPr="001570EA" w:rsidRDefault="007376E1">
            <w:pPr>
              <w:keepNext/>
              <w:keepLines/>
              <w:jc w:val="center"/>
              <w:rPr>
                <w:rFonts w:cs="Arial"/>
                <w:b/>
                <w:sz w:val="18"/>
                <w:szCs w:val="18"/>
              </w:rPr>
            </w:pPr>
            <w:r w:rsidRPr="001570EA">
              <w:rPr>
                <w:rFonts w:cs="Arial"/>
                <w:b/>
                <w:sz w:val="18"/>
                <w:szCs w:val="18"/>
              </w:rPr>
              <w:t>80%</w:t>
            </w:r>
          </w:p>
        </w:tc>
        <w:tc>
          <w:tcPr>
            <w:tcW w:w="620" w:type="dxa"/>
            <w:shd w:val="clear" w:color="auto" w:fill="BFBFBF" w:themeFill="background1" w:themeFillShade="BF"/>
            <w:noWrap/>
            <w:vAlign w:val="center"/>
            <w:hideMark/>
          </w:tcPr>
          <w:p w14:paraId="54229868" w14:textId="77777777" w:rsidR="007376E1" w:rsidRPr="001570EA" w:rsidRDefault="007376E1">
            <w:pPr>
              <w:keepNext/>
              <w:keepLines/>
              <w:jc w:val="center"/>
              <w:rPr>
                <w:rFonts w:cs="Arial"/>
                <w:b/>
                <w:sz w:val="18"/>
                <w:szCs w:val="18"/>
              </w:rPr>
            </w:pPr>
            <w:r w:rsidRPr="001570EA">
              <w:rPr>
                <w:rFonts w:cs="Arial"/>
                <w:b/>
                <w:sz w:val="18"/>
                <w:szCs w:val="18"/>
              </w:rPr>
              <w:t>50%</w:t>
            </w:r>
          </w:p>
        </w:tc>
        <w:tc>
          <w:tcPr>
            <w:tcW w:w="620" w:type="dxa"/>
            <w:tcBorders>
              <w:right w:val="single" w:sz="12" w:space="0" w:color="auto"/>
            </w:tcBorders>
            <w:shd w:val="clear" w:color="auto" w:fill="BFBFBF" w:themeFill="background1" w:themeFillShade="BF"/>
            <w:noWrap/>
            <w:vAlign w:val="center"/>
            <w:hideMark/>
          </w:tcPr>
          <w:p w14:paraId="4E3DAE5D" w14:textId="77777777" w:rsidR="007376E1" w:rsidRPr="001570EA" w:rsidRDefault="007376E1">
            <w:pPr>
              <w:keepNext/>
              <w:keepLines/>
              <w:jc w:val="center"/>
              <w:rPr>
                <w:rFonts w:cs="Arial"/>
                <w:b/>
                <w:sz w:val="18"/>
                <w:szCs w:val="18"/>
              </w:rPr>
            </w:pPr>
            <w:r w:rsidRPr="001570EA">
              <w:rPr>
                <w:rFonts w:cs="Arial"/>
                <w:b/>
                <w:sz w:val="18"/>
                <w:szCs w:val="18"/>
              </w:rPr>
              <w:t>80%</w:t>
            </w:r>
          </w:p>
        </w:tc>
        <w:tc>
          <w:tcPr>
            <w:tcW w:w="620" w:type="dxa"/>
            <w:tcBorders>
              <w:left w:val="single" w:sz="12" w:space="0" w:color="auto"/>
            </w:tcBorders>
            <w:shd w:val="clear" w:color="auto" w:fill="BFBFBF" w:themeFill="background1" w:themeFillShade="BF"/>
            <w:noWrap/>
            <w:vAlign w:val="center"/>
            <w:hideMark/>
          </w:tcPr>
          <w:p w14:paraId="2F5704CC" w14:textId="77777777" w:rsidR="007376E1" w:rsidRPr="001570EA" w:rsidRDefault="007376E1">
            <w:pPr>
              <w:keepNext/>
              <w:keepLines/>
              <w:jc w:val="center"/>
              <w:rPr>
                <w:rFonts w:cs="Arial"/>
                <w:b/>
                <w:sz w:val="18"/>
                <w:szCs w:val="18"/>
              </w:rPr>
            </w:pPr>
            <w:r w:rsidRPr="001570EA">
              <w:rPr>
                <w:rFonts w:cs="Arial"/>
                <w:b/>
                <w:sz w:val="18"/>
                <w:szCs w:val="18"/>
              </w:rPr>
              <w:t>50%</w:t>
            </w:r>
          </w:p>
        </w:tc>
        <w:tc>
          <w:tcPr>
            <w:tcW w:w="620" w:type="dxa"/>
            <w:shd w:val="clear" w:color="auto" w:fill="BFBFBF" w:themeFill="background1" w:themeFillShade="BF"/>
            <w:noWrap/>
            <w:vAlign w:val="center"/>
            <w:hideMark/>
          </w:tcPr>
          <w:p w14:paraId="385FC5E0" w14:textId="77777777" w:rsidR="007376E1" w:rsidRPr="001570EA" w:rsidRDefault="007376E1">
            <w:pPr>
              <w:keepNext/>
              <w:keepLines/>
              <w:jc w:val="center"/>
              <w:rPr>
                <w:rFonts w:cs="Arial"/>
                <w:b/>
                <w:sz w:val="18"/>
                <w:szCs w:val="18"/>
              </w:rPr>
            </w:pPr>
            <w:r w:rsidRPr="001570EA">
              <w:rPr>
                <w:rFonts w:cs="Arial"/>
                <w:b/>
                <w:sz w:val="18"/>
                <w:szCs w:val="18"/>
              </w:rPr>
              <w:t>80%</w:t>
            </w:r>
          </w:p>
        </w:tc>
        <w:tc>
          <w:tcPr>
            <w:tcW w:w="620" w:type="dxa"/>
            <w:shd w:val="clear" w:color="auto" w:fill="BFBFBF" w:themeFill="background1" w:themeFillShade="BF"/>
            <w:noWrap/>
            <w:vAlign w:val="center"/>
            <w:hideMark/>
          </w:tcPr>
          <w:p w14:paraId="4D36EBF4" w14:textId="77777777" w:rsidR="007376E1" w:rsidRPr="001570EA" w:rsidRDefault="007376E1">
            <w:pPr>
              <w:keepNext/>
              <w:keepLines/>
              <w:jc w:val="center"/>
              <w:rPr>
                <w:rFonts w:cs="Arial"/>
                <w:b/>
                <w:sz w:val="18"/>
                <w:szCs w:val="18"/>
              </w:rPr>
            </w:pPr>
            <w:r w:rsidRPr="001570EA">
              <w:rPr>
                <w:rFonts w:cs="Arial"/>
                <w:b/>
                <w:sz w:val="18"/>
                <w:szCs w:val="18"/>
              </w:rPr>
              <w:t>50%</w:t>
            </w:r>
          </w:p>
        </w:tc>
        <w:tc>
          <w:tcPr>
            <w:tcW w:w="620" w:type="dxa"/>
            <w:tcBorders>
              <w:right w:val="single" w:sz="12" w:space="0" w:color="auto"/>
            </w:tcBorders>
            <w:shd w:val="clear" w:color="auto" w:fill="BFBFBF" w:themeFill="background1" w:themeFillShade="BF"/>
            <w:noWrap/>
            <w:vAlign w:val="center"/>
            <w:hideMark/>
          </w:tcPr>
          <w:p w14:paraId="4F06D7B7" w14:textId="77777777" w:rsidR="007376E1" w:rsidRPr="001570EA" w:rsidRDefault="007376E1">
            <w:pPr>
              <w:keepNext/>
              <w:keepLines/>
              <w:jc w:val="center"/>
              <w:rPr>
                <w:rFonts w:cs="Arial"/>
                <w:b/>
                <w:sz w:val="18"/>
                <w:szCs w:val="18"/>
              </w:rPr>
            </w:pPr>
            <w:r w:rsidRPr="001570EA">
              <w:rPr>
                <w:rFonts w:cs="Arial"/>
                <w:b/>
                <w:sz w:val="18"/>
                <w:szCs w:val="18"/>
              </w:rPr>
              <w:t>80%</w:t>
            </w:r>
          </w:p>
        </w:tc>
        <w:tc>
          <w:tcPr>
            <w:tcW w:w="620" w:type="dxa"/>
            <w:tcBorders>
              <w:left w:val="single" w:sz="12" w:space="0" w:color="auto"/>
            </w:tcBorders>
            <w:shd w:val="clear" w:color="auto" w:fill="BFBFBF" w:themeFill="background1" w:themeFillShade="BF"/>
            <w:noWrap/>
            <w:vAlign w:val="center"/>
            <w:hideMark/>
          </w:tcPr>
          <w:p w14:paraId="548E6CC8" w14:textId="77777777" w:rsidR="007376E1" w:rsidRPr="001570EA" w:rsidRDefault="007376E1">
            <w:pPr>
              <w:keepNext/>
              <w:keepLines/>
              <w:jc w:val="center"/>
              <w:rPr>
                <w:rFonts w:cs="Arial"/>
                <w:b/>
                <w:sz w:val="18"/>
                <w:szCs w:val="18"/>
              </w:rPr>
            </w:pPr>
            <w:r w:rsidRPr="001570EA">
              <w:rPr>
                <w:rFonts w:cs="Arial"/>
                <w:b/>
                <w:sz w:val="18"/>
                <w:szCs w:val="18"/>
              </w:rPr>
              <w:t>50%</w:t>
            </w:r>
          </w:p>
        </w:tc>
        <w:tc>
          <w:tcPr>
            <w:tcW w:w="620" w:type="dxa"/>
            <w:shd w:val="clear" w:color="auto" w:fill="BFBFBF" w:themeFill="background1" w:themeFillShade="BF"/>
            <w:noWrap/>
            <w:vAlign w:val="center"/>
            <w:hideMark/>
          </w:tcPr>
          <w:p w14:paraId="76F024AC" w14:textId="77777777" w:rsidR="007376E1" w:rsidRPr="001570EA" w:rsidRDefault="007376E1">
            <w:pPr>
              <w:keepNext/>
              <w:keepLines/>
              <w:jc w:val="center"/>
              <w:rPr>
                <w:rFonts w:cs="Arial"/>
                <w:b/>
                <w:sz w:val="18"/>
                <w:szCs w:val="18"/>
              </w:rPr>
            </w:pPr>
            <w:r w:rsidRPr="001570EA">
              <w:rPr>
                <w:rFonts w:cs="Arial"/>
                <w:b/>
                <w:sz w:val="18"/>
                <w:szCs w:val="18"/>
              </w:rPr>
              <w:t>80%</w:t>
            </w:r>
          </w:p>
        </w:tc>
        <w:tc>
          <w:tcPr>
            <w:tcW w:w="620" w:type="dxa"/>
            <w:shd w:val="clear" w:color="auto" w:fill="BFBFBF" w:themeFill="background1" w:themeFillShade="BF"/>
            <w:noWrap/>
            <w:vAlign w:val="center"/>
            <w:hideMark/>
          </w:tcPr>
          <w:p w14:paraId="75BBC986" w14:textId="77777777" w:rsidR="007376E1" w:rsidRPr="001570EA" w:rsidRDefault="007376E1">
            <w:pPr>
              <w:keepNext/>
              <w:keepLines/>
              <w:jc w:val="center"/>
              <w:rPr>
                <w:rFonts w:cs="Arial"/>
                <w:b/>
                <w:sz w:val="18"/>
                <w:szCs w:val="18"/>
              </w:rPr>
            </w:pPr>
            <w:r w:rsidRPr="001570EA">
              <w:rPr>
                <w:rFonts w:cs="Arial"/>
                <w:b/>
                <w:sz w:val="18"/>
                <w:szCs w:val="18"/>
              </w:rPr>
              <w:t>50%</w:t>
            </w:r>
          </w:p>
        </w:tc>
        <w:tc>
          <w:tcPr>
            <w:tcW w:w="620" w:type="dxa"/>
            <w:shd w:val="clear" w:color="auto" w:fill="BFBFBF" w:themeFill="background1" w:themeFillShade="BF"/>
            <w:noWrap/>
            <w:vAlign w:val="center"/>
            <w:hideMark/>
          </w:tcPr>
          <w:p w14:paraId="402F2160" w14:textId="77777777" w:rsidR="007376E1" w:rsidRPr="001570EA" w:rsidRDefault="007376E1">
            <w:pPr>
              <w:keepNext/>
              <w:keepLines/>
              <w:jc w:val="center"/>
              <w:rPr>
                <w:rFonts w:cs="Arial"/>
                <w:b/>
                <w:sz w:val="18"/>
                <w:szCs w:val="18"/>
              </w:rPr>
            </w:pPr>
            <w:r w:rsidRPr="001570EA">
              <w:rPr>
                <w:rFonts w:cs="Arial"/>
                <w:b/>
                <w:sz w:val="18"/>
                <w:szCs w:val="18"/>
              </w:rPr>
              <w:t>80%</w:t>
            </w:r>
          </w:p>
        </w:tc>
      </w:tr>
      <w:tr w:rsidR="007376E1" w:rsidRPr="001570EA" w14:paraId="7913A5EC" w14:textId="77777777">
        <w:trPr>
          <w:trHeight w:val="288"/>
          <w:jc w:val="center"/>
        </w:trPr>
        <w:tc>
          <w:tcPr>
            <w:tcW w:w="2335" w:type="dxa"/>
            <w:shd w:val="clear" w:color="auto" w:fill="auto"/>
            <w:noWrap/>
            <w:vAlign w:val="center"/>
            <w:hideMark/>
          </w:tcPr>
          <w:p w14:paraId="4E0DF641" w14:textId="77777777" w:rsidR="007376E1" w:rsidRPr="001570EA" w:rsidRDefault="007376E1">
            <w:pPr>
              <w:keepNext/>
              <w:keepLines/>
              <w:jc w:val="center"/>
              <w:rPr>
                <w:rFonts w:cs="Arial"/>
                <w:sz w:val="18"/>
                <w:szCs w:val="18"/>
              </w:rPr>
            </w:pPr>
            <w:r w:rsidRPr="001570EA">
              <w:rPr>
                <w:rFonts w:cs="Arial"/>
                <w:sz w:val="18"/>
                <w:szCs w:val="18"/>
              </w:rPr>
              <w:t>R-0</w:t>
            </w:r>
          </w:p>
        </w:tc>
        <w:tc>
          <w:tcPr>
            <w:tcW w:w="620" w:type="dxa"/>
            <w:shd w:val="clear" w:color="auto" w:fill="auto"/>
            <w:noWrap/>
            <w:vAlign w:val="center"/>
            <w:hideMark/>
          </w:tcPr>
          <w:p w14:paraId="08AD0B56" w14:textId="77777777" w:rsidR="007376E1" w:rsidRPr="001570EA" w:rsidRDefault="007376E1">
            <w:pPr>
              <w:keepNext/>
              <w:keepLines/>
              <w:jc w:val="center"/>
              <w:rPr>
                <w:rFonts w:cs="Arial"/>
                <w:sz w:val="18"/>
                <w:szCs w:val="18"/>
              </w:rPr>
            </w:pPr>
            <w:r w:rsidRPr="001570EA">
              <w:rPr>
                <w:rFonts w:cs="Arial"/>
                <w:sz w:val="18"/>
                <w:szCs w:val="18"/>
              </w:rPr>
              <w:t>6%</w:t>
            </w:r>
          </w:p>
        </w:tc>
        <w:tc>
          <w:tcPr>
            <w:tcW w:w="620" w:type="dxa"/>
            <w:shd w:val="clear" w:color="auto" w:fill="auto"/>
            <w:noWrap/>
            <w:vAlign w:val="center"/>
            <w:hideMark/>
          </w:tcPr>
          <w:p w14:paraId="71988F0C" w14:textId="77777777" w:rsidR="007376E1" w:rsidRPr="001570EA" w:rsidRDefault="007376E1">
            <w:pPr>
              <w:keepNext/>
              <w:keepLines/>
              <w:jc w:val="center"/>
              <w:rPr>
                <w:rFonts w:cs="Arial"/>
                <w:sz w:val="18"/>
                <w:szCs w:val="18"/>
              </w:rPr>
            </w:pPr>
            <w:r w:rsidRPr="001570EA">
              <w:rPr>
                <w:rFonts w:cs="Arial"/>
                <w:sz w:val="18"/>
                <w:szCs w:val="18"/>
              </w:rPr>
              <w:t>11%</w:t>
            </w:r>
          </w:p>
        </w:tc>
        <w:tc>
          <w:tcPr>
            <w:tcW w:w="620" w:type="dxa"/>
            <w:shd w:val="clear" w:color="auto" w:fill="auto"/>
            <w:noWrap/>
            <w:vAlign w:val="center"/>
            <w:hideMark/>
          </w:tcPr>
          <w:p w14:paraId="04B4B108" w14:textId="77777777" w:rsidR="007376E1" w:rsidRPr="001570EA" w:rsidRDefault="007376E1">
            <w:pPr>
              <w:keepNext/>
              <w:keepLines/>
              <w:jc w:val="center"/>
              <w:rPr>
                <w:rFonts w:cs="Arial"/>
                <w:sz w:val="18"/>
                <w:szCs w:val="18"/>
              </w:rPr>
            </w:pPr>
            <w:r w:rsidRPr="001570EA">
              <w:rPr>
                <w:rFonts w:cs="Arial"/>
                <w:sz w:val="18"/>
                <w:szCs w:val="18"/>
              </w:rPr>
              <w:t>4%</w:t>
            </w:r>
          </w:p>
        </w:tc>
        <w:tc>
          <w:tcPr>
            <w:tcW w:w="620" w:type="dxa"/>
            <w:tcBorders>
              <w:right w:val="single" w:sz="12" w:space="0" w:color="auto"/>
            </w:tcBorders>
            <w:shd w:val="clear" w:color="auto" w:fill="auto"/>
            <w:noWrap/>
            <w:vAlign w:val="center"/>
            <w:hideMark/>
          </w:tcPr>
          <w:p w14:paraId="22F82227" w14:textId="77777777" w:rsidR="007376E1" w:rsidRPr="001570EA" w:rsidRDefault="007376E1">
            <w:pPr>
              <w:keepNext/>
              <w:keepLines/>
              <w:jc w:val="center"/>
              <w:rPr>
                <w:rFonts w:cs="Arial"/>
                <w:sz w:val="18"/>
                <w:szCs w:val="18"/>
              </w:rPr>
            </w:pPr>
            <w:r w:rsidRPr="001570EA">
              <w:rPr>
                <w:rFonts w:cs="Arial"/>
                <w:sz w:val="18"/>
                <w:szCs w:val="18"/>
              </w:rPr>
              <w:t>9%</w:t>
            </w:r>
          </w:p>
        </w:tc>
        <w:tc>
          <w:tcPr>
            <w:tcW w:w="620" w:type="dxa"/>
            <w:tcBorders>
              <w:left w:val="single" w:sz="12" w:space="0" w:color="auto"/>
            </w:tcBorders>
            <w:shd w:val="clear" w:color="auto" w:fill="auto"/>
            <w:noWrap/>
            <w:vAlign w:val="center"/>
            <w:hideMark/>
          </w:tcPr>
          <w:p w14:paraId="2442E605" w14:textId="77777777" w:rsidR="007376E1" w:rsidRPr="001570EA" w:rsidRDefault="007376E1">
            <w:pPr>
              <w:keepNext/>
              <w:keepLines/>
              <w:jc w:val="center"/>
              <w:rPr>
                <w:rFonts w:cs="Arial"/>
                <w:sz w:val="18"/>
                <w:szCs w:val="18"/>
              </w:rPr>
            </w:pPr>
            <w:r w:rsidRPr="001570EA">
              <w:rPr>
                <w:rFonts w:cs="Arial"/>
                <w:sz w:val="18"/>
                <w:szCs w:val="18"/>
              </w:rPr>
              <w:t>2%</w:t>
            </w:r>
          </w:p>
        </w:tc>
        <w:tc>
          <w:tcPr>
            <w:tcW w:w="620" w:type="dxa"/>
            <w:shd w:val="clear" w:color="auto" w:fill="auto"/>
            <w:noWrap/>
            <w:vAlign w:val="center"/>
            <w:hideMark/>
          </w:tcPr>
          <w:p w14:paraId="357F1BF8" w14:textId="77777777" w:rsidR="007376E1" w:rsidRPr="001570EA" w:rsidRDefault="007376E1">
            <w:pPr>
              <w:keepNext/>
              <w:keepLines/>
              <w:jc w:val="center"/>
              <w:rPr>
                <w:rFonts w:cs="Arial"/>
                <w:sz w:val="18"/>
                <w:szCs w:val="18"/>
              </w:rPr>
            </w:pPr>
            <w:r w:rsidRPr="001570EA">
              <w:rPr>
                <w:rFonts w:cs="Arial"/>
                <w:sz w:val="18"/>
                <w:szCs w:val="18"/>
              </w:rPr>
              <w:t>2%</w:t>
            </w:r>
          </w:p>
        </w:tc>
        <w:tc>
          <w:tcPr>
            <w:tcW w:w="620" w:type="dxa"/>
            <w:shd w:val="clear" w:color="auto" w:fill="auto"/>
            <w:noWrap/>
            <w:vAlign w:val="center"/>
            <w:hideMark/>
          </w:tcPr>
          <w:p w14:paraId="6860BDE0" w14:textId="77777777" w:rsidR="007376E1" w:rsidRPr="001570EA" w:rsidRDefault="007376E1">
            <w:pPr>
              <w:keepNext/>
              <w:keepLines/>
              <w:jc w:val="center"/>
              <w:rPr>
                <w:rFonts w:cs="Arial"/>
                <w:sz w:val="18"/>
                <w:szCs w:val="18"/>
              </w:rPr>
            </w:pPr>
            <w:r w:rsidRPr="001570EA">
              <w:rPr>
                <w:rFonts w:cs="Arial"/>
                <w:sz w:val="18"/>
                <w:szCs w:val="18"/>
              </w:rPr>
              <w:t>3%</w:t>
            </w:r>
          </w:p>
        </w:tc>
        <w:tc>
          <w:tcPr>
            <w:tcW w:w="620" w:type="dxa"/>
            <w:tcBorders>
              <w:right w:val="single" w:sz="12" w:space="0" w:color="auto"/>
            </w:tcBorders>
            <w:shd w:val="clear" w:color="auto" w:fill="auto"/>
            <w:noWrap/>
            <w:vAlign w:val="center"/>
            <w:hideMark/>
          </w:tcPr>
          <w:p w14:paraId="626130D6" w14:textId="77777777" w:rsidR="007376E1" w:rsidRPr="001570EA" w:rsidRDefault="007376E1">
            <w:pPr>
              <w:keepNext/>
              <w:keepLines/>
              <w:jc w:val="center"/>
              <w:rPr>
                <w:rFonts w:cs="Arial"/>
                <w:sz w:val="18"/>
                <w:szCs w:val="18"/>
              </w:rPr>
            </w:pPr>
            <w:r w:rsidRPr="001570EA">
              <w:rPr>
                <w:rFonts w:cs="Arial"/>
                <w:sz w:val="18"/>
                <w:szCs w:val="18"/>
              </w:rPr>
              <w:t>3%</w:t>
            </w:r>
          </w:p>
        </w:tc>
        <w:tc>
          <w:tcPr>
            <w:tcW w:w="620" w:type="dxa"/>
            <w:tcBorders>
              <w:left w:val="single" w:sz="12" w:space="0" w:color="auto"/>
            </w:tcBorders>
            <w:shd w:val="clear" w:color="auto" w:fill="auto"/>
            <w:noWrap/>
            <w:vAlign w:val="center"/>
            <w:hideMark/>
          </w:tcPr>
          <w:p w14:paraId="459B6240" w14:textId="77777777" w:rsidR="007376E1" w:rsidRPr="001570EA" w:rsidRDefault="007376E1">
            <w:pPr>
              <w:keepNext/>
              <w:keepLines/>
              <w:jc w:val="center"/>
              <w:rPr>
                <w:rFonts w:cs="Arial"/>
                <w:sz w:val="18"/>
                <w:szCs w:val="18"/>
              </w:rPr>
            </w:pPr>
            <w:r w:rsidRPr="001570EA">
              <w:rPr>
                <w:rFonts w:cs="Arial"/>
                <w:sz w:val="18"/>
                <w:szCs w:val="18"/>
              </w:rPr>
              <w:t>6%</w:t>
            </w:r>
          </w:p>
        </w:tc>
        <w:tc>
          <w:tcPr>
            <w:tcW w:w="620" w:type="dxa"/>
            <w:shd w:val="clear" w:color="auto" w:fill="auto"/>
            <w:noWrap/>
            <w:vAlign w:val="center"/>
            <w:hideMark/>
          </w:tcPr>
          <w:p w14:paraId="7515094A" w14:textId="77777777" w:rsidR="007376E1" w:rsidRPr="001570EA" w:rsidRDefault="007376E1">
            <w:pPr>
              <w:keepNext/>
              <w:keepLines/>
              <w:jc w:val="center"/>
              <w:rPr>
                <w:rFonts w:cs="Arial"/>
                <w:sz w:val="18"/>
                <w:szCs w:val="18"/>
              </w:rPr>
            </w:pPr>
            <w:r w:rsidRPr="001570EA">
              <w:rPr>
                <w:rFonts w:cs="Arial"/>
                <w:sz w:val="18"/>
                <w:szCs w:val="18"/>
              </w:rPr>
              <w:t>11%</w:t>
            </w:r>
          </w:p>
        </w:tc>
        <w:tc>
          <w:tcPr>
            <w:tcW w:w="620" w:type="dxa"/>
            <w:shd w:val="clear" w:color="auto" w:fill="auto"/>
            <w:noWrap/>
            <w:vAlign w:val="center"/>
            <w:hideMark/>
          </w:tcPr>
          <w:p w14:paraId="43124622" w14:textId="77777777" w:rsidR="007376E1" w:rsidRPr="001570EA" w:rsidRDefault="007376E1">
            <w:pPr>
              <w:keepNext/>
              <w:keepLines/>
              <w:jc w:val="center"/>
              <w:rPr>
                <w:rFonts w:cs="Arial"/>
                <w:sz w:val="18"/>
                <w:szCs w:val="18"/>
              </w:rPr>
            </w:pPr>
            <w:r w:rsidRPr="001570EA">
              <w:rPr>
                <w:rFonts w:cs="Arial"/>
                <w:sz w:val="18"/>
                <w:szCs w:val="18"/>
              </w:rPr>
              <w:t>3%</w:t>
            </w:r>
          </w:p>
        </w:tc>
        <w:tc>
          <w:tcPr>
            <w:tcW w:w="620" w:type="dxa"/>
            <w:shd w:val="clear" w:color="auto" w:fill="auto"/>
            <w:noWrap/>
            <w:vAlign w:val="center"/>
            <w:hideMark/>
          </w:tcPr>
          <w:p w14:paraId="2F194FB5" w14:textId="77777777" w:rsidR="007376E1" w:rsidRPr="001570EA" w:rsidRDefault="007376E1">
            <w:pPr>
              <w:keepNext/>
              <w:keepLines/>
              <w:jc w:val="center"/>
              <w:rPr>
                <w:rFonts w:cs="Arial"/>
                <w:sz w:val="18"/>
                <w:szCs w:val="18"/>
              </w:rPr>
            </w:pPr>
            <w:r w:rsidRPr="001570EA">
              <w:rPr>
                <w:rFonts w:cs="Arial"/>
                <w:sz w:val="18"/>
                <w:szCs w:val="18"/>
              </w:rPr>
              <w:t>5%</w:t>
            </w:r>
          </w:p>
        </w:tc>
      </w:tr>
      <w:tr w:rsidR="007376E1" w:rsidRPr="001570EA" w14:paraId="4BDE2E8B" w14:textId="77777777">
        <w:trPr>
          <w:trHeight w:val="288"/>
          <w:jc w:val="center"/>
        </w:trPr>
        <w:tc>
          <w:tcPr>
            <w:tcW w:w="2335" w:type="dxa"/>
            <w:shd w:val="clear" w:color="auto" w:fill="auto"/>
            <w:noWrap/>
            <w:vAlign w:val="center"/>
            <w:hideMark/>
          </w:tcPr>
          <w:p w14:paraId="01D14068" w14:textId="77777777" w:rsidR="007376E1" w:rsidRPr="001570EA" w:rsidRDefault="007376E1">
            <w:pPr>
              <w:keepNext/>
              <w:keepLines/>
              <w:jc w:val="center"/>
              <w:rPr>
                <w:rFonts w:cs="Arial"/>
                <w:sz w:val="18"/>
                <w:szCs w:val="18"/>
              </w:rPr>
            </w:pPr>
            <w:r w:rsidRPr="001570EA">
              <w:rPr>
                <w:rFonts w:cs="Arial"/>
                <w:sz w:val="18"/>
                <w:szCs w:val="18"/>
              </w:rPr>
              <w:t>R-2</w:t>
            </w:r>
          </w:p>
        </w:tc>
        <w:tc>
          <w:tcPr>
            <w:tcW w:w="620" w:type="dxa"/>
            <w:shd w:val="clear" w:color="auto" w:fill="auto"/>
            <w:noWrap/>
            <w:vAlign w:val="center"/>
            <w:hideMark/>
          </w:tcPr>
          <w:p w14:paraId="53A07806" w14:textId="77777777" w:rsidR="007376E1" w:rsidRPr="001570EA" w:rsidRDefault="007376E1">
            <w:pPr>
              <w:keepNext/>
              <w:keepLines/>
              <w:jc w:val="center"/>
              <w:rPr>
                <w:rFonts w:cs="Arial"/>
                <w:sz w:val="18"/>
                <w:szCs w:val="18"/>
              </w:rPr>
            </w:pPr>
            <w:r w:rsidRPr="001570EA">
              <w:rPr>
                <w:rFonts w:cs="Arial"/>
                <w:sz w:val="18"/>
                <w:szCs w:val="18"/>
              </w:rPr>
              <w:t>4%</w:t>
            </w:r>
          </w:p>
        </w:tc>
        <w:tc>
          <w:tcPr>
            <w:tcW w:w="620" w:type="dxa"/>
            <w:shd w:val="clear" w:color="auto" w:fill="auto"/>
            <w:noWrap/>
            <w:vAlign w:val="center"/>
            <w:hideMark/>
          </w:tcPr>
          <w:p w14:paraId="4E295865" w14:textId="77777777" w:rsidR="007376E1" w:rsidRPr="001570EA" w:rsidRDefault="007376E1">
            <w:pPr>
              <w:keepNext/>
              <w:keepLines/>
              <w:jc w:val="center"/>
              <w:rPr>
                <w:rFonts w:cs="Arial"/>
                <w:sz w:val="18"/>
                <w:szCs w:val="18"/>
              </w:rPr>
            </w:pPr>
            <w:r w:rsidRPr="001570EA">
              <w:rPr>
                <w:rFonts w:cs="Arial"/>
                <w:sz w:val="18"/>
                <w:szCs w:val="18"/>
              </w:rPr>
              <w:t>6%</w:t>
            </w:r>
          </w:p>
        </w:tc>
        <w:tc>
          <w:tcPr>
            <w:tcW w:w="620" w:type="dxa"/>
            <w:shd w:val="clear" w:color="auto" w:fill="auto"/>
            <w:noWrap/>
            <w:vAlign w:val="center"/>
            <w:hideMark/>
          </w:tcPr>
          <w:p w14:paraId="2330FFD9" w14:textId="77777777" w:rsidR="007376E1" w:rsidRPr="001570EA" w:rsidRDefault="007376E1">
            <w:pPr>
              <w:keepNext/>
              <w:keepLines/>
              <w:jc w:val="center"/>
              <w:rPr>
                <w:rFonts w:cs="Arial"/>
                <w:sz w:val="18"/>
                <w:szCs w:val="18"/>
              </w:rPr>
            </w:pPr>
            <w:r w:rsidRPr="001570EA">
              <w:rPr>
                <w:rFonts w:cs="Arial"/>
                <w:sz w:val="18"/>
                <w:szCs w:val="18"/>
              </w:rPr>
              <w:t>5%</w:t>
            </w:r>
          </w:p>
        </w:tc>
        <w:tc>
          <w:tcPr>
            <w:tcW w:w="620" w:type="dxa"/>
            <w:tcBorders>
              <w:right w:val="single" w:sz="12" w:space="0" w:color="auto"/>
            </w:tcBorders>
            <w:shd w:val="clear" w:color="auto" w:fill="auto"/>
            <w:noWrap/>
            <w:vAlign w:val="center"/>
            <w:hideMark/>
          </w:tcPr>
          <w:p w14:paraId="29D3E38D" w14:textId="77777777" w:rsidR="007376E1" w:rsidRPr="001570EA" w:rsidRDefault="007376E1">
            <w:pPr>
              <w:keepNext/>
              <w:keepLines/>
              <w:jc w:val="center"/>
              <w:rPr>
                <w:rFonts w:cs="Arial"/>
                <w:sz w:val="18"/>
                <w:szCs w:val="18"/>
              </w:rPr>
            </w:pPr>
            <w:r w:rsidRPr="001570EA">
              <w:rPr>
                <w:rFonts w:cs="Arial"/>
                <w:sz w:val="18"/>
                <w:szCs w:val="18"/>
              </w:rPr>
              <w:t>7%</w:t>
            </w:r>
          </w:p>
        </w:tc>
        <w:tc>
          <w:tcPr>
            <w:tcW w:w="620" w:type="dxa"/>
            <w:tcBorders>
              <w:left w:val="single" w:sz="12" w:space="0" w:color="auto"/>
            </w:tcBorders>
            <w:shd w:val="clear" w:color="auto" w:fill="auto"/>
            <w:noWrap/>
            <w:vAlign w:val="center"/>
            <w:hideMark/>
          </w:tcPr>
          <w:p w14:paraId="40CD6925" w14:textId="77777777" w:rsidR="007376E1" w:rsidRPr="001570EA" w:rsidRDefault="007376E1">
            <w:pPr>
              <w:keepNext/>
              <w:keepLines/>
              <w:jc w:val="center"/>
              <w:rPr>
                <w:rFonts w:cs="Arial"/>
                <w:sz w:val="18"/>
                <w:szCs w:val="18"/>
              </w:rPr>
            </w:pPr>
            <w:r w:rsidRPr="001570EA">
              <w:rPr>
                <w:rFonts w:cs="Arial"/>
                <w:sz w:val="18"/>
                <w:szCs w:val="18"/>
              </w:rPr>
              <w:t>1%</w:t>
            </w:r>
          </w:p>
        </w:tc>
        <w:tc>
          <w:tcPr>
            <w:tcW w:w="620" w:type="dxa"/>
            <w:shd w:val="clear" w:color="auto" w:fill="auto"/>
            <w:noWrap/>
            <w:vAlign w:val="center"/>
            <w:hideMark/>
          </w:tcPr>
          <w:p w14:paraId="234790E0" w14:textId="77777777" w:rsidR="007376E1" w:rsidRPr="001570EA" w:rsidRDefault="007376E1">
            <w:pPr>
              <w:keepNext/>
              <w:keepLines/>
              <w:jc w:val="center"/>
              <w:rPr>
                <w:rFonts w:cs="Arial"/>
                <w:sz w:val="18"/>
                <w:szCs w:val="18"/>
              </w:rPr>
            </w:pPr>
            <w:r w:rsidRPr="001570EA">
              <w:rPr>
                <w:rFonts w:cs="Arial"/>
                <w:sz w:val="18"/>
                <w:szCs w:val="18"/>
              </w:rPr>
              <w:t>1%</w:t>
            </w:r>
          </w:p>
        </w:tc>
        <w:tc>
          <w:tcPr>
            <w:tcW w:w="620" w:type="dxa"/>
            <w:shd w:val="clear" w:color="auto" w:fill="auto"/>
            <w:noWrap/>
            <w:vAlign w:val="center"/>
            <w:hideMark/>
          </w:tcPr>
          <w:p w14:paraId="0B8DB273" w14:textId="77777777" w:rsidR="007376E1" w:rsidRPr="001570EA" w:rsidRDefault="007376E1">
            <w:pPr>
              <w:keepNext/>
              <w:keepLines/>
              <w:jc w:val="center"/>
              <w:rPr>
                <w:rFonts w:cs="Arial"/>
                <w:sz w:val="18"/>
                <w:szCs w:val="18"/>
              </w:rPr>
            </w:pPr>
            <w:r w:rsidRPr="001570EA">
              <w:rPr>
                <w:rFonts w:cs="Arial"/>
                <w:sz w:val="18"/>
                <w:szCs w:val="18"/>
              </w:rPr>
              <w:t>1%</w:t>
            </w:r>
          </w:p>
        </w:tc>
        <w:tc>
          <w:tcPr>
            <w:tcW w:w="620" w:type="dxa"/>
            <w:tcBorders>
              <w:right w:val="single" w:sz="12" w:space="0" w:color="auto"/>
            </w:tcBorders>
            <w:shd w:val="clear" w:color="auto" w:fill="auto"/>
            <w:noWrap/>
            <w:vAlign w:val="center"/>
            <w:hideMark/>
          </w:tcPr>
          <w:p w14:paraId="5603ADC8" w14:textId="77777777" w:rsidR="007376E1" w:rsidRPr="001570EA" w:rsidRDefault="007376E1">
            <w:pPr>
              <w:keepNext/>
              <w:keepLines/>
              <w:jc w:val="center"/>
              <w:rPr>
                <w:rFonts w:cs="Arial"/>
                <w:sz w:val="18"/>
                <w:szCs w:val="18"/>
              </w:rPr>
            </w:pPr>
            <w:r w:rsidRPr="001570EA">
              <w:rPr>
                <w:rFonts w:cs="Arial"/>
                <w:sz w:val="18"/>
                <w:szCs w:val="18"/>
              </w:rPr>
              <w:t>2%</w:t>
            </w:r>
          </w:p>
        </w:tc>
        <w:tc>
          <w:tcPr>
            <w:tcW w:w="620" w:type="dxa"/>
            <w:tcBorders>
              <w:left w:val="single" w:sz="12" w:space="0" w:color="auto"/>
            </w:tcBorders>
            <w:shd w:val="clear" w:color="auto" w:fill="auto"/>
            <w:noWrap/>
            <w:vAlign w:val="center"/>
            <w:hideMark/>
          </w:tcPr>
          <w:p w14:paraId="662EC0D9" w14:textId="77777777" w:rsidR="007376E1" w:rsidRPr="001570EA" w:rsidRDefault="007376E1">
            <w:pPr>
              <w:keepNext/>
              <w:keepLines/>
              <w:jc w:val="center"/>
              <w:rPr>
                <w:rFonts w:cs="Arial"/>
                <w:sz w:val="18"/>
                <w:szCs w:val="18"/>
              </w:rPr>
            </w:pPr>
            <w:r w:rsidRPr="001570EA">
              <w:rPr>
                <w:rFonts w:cs="Arial"/>
                <w:sz w:val="18"/>
                <w:szCs w:val="18"/>
              </w:rPr>
              <w:t>3%</w:t>
            </w:r>
          </w:p>
        </w:tc>
        <w:tc>
          <w:tcPr>
            <w:tcW w:w="620" w:type="dxa"/>
            <w:shd w:val="clear" w:color="auto" w:fill="auto"/>
            <w:noWrap/>
            <w:vAlign w:val="center"/>
            <w:hideMark/>
          </w:tcPr>
          <w:p w14:paraId="2AA933F4" w14:textId="77777777" w:rsidR="007376E1" w:rsidRPr="001570EA" w:rsidRDefault="007376E1">
            <w:pPr>
              <w:keepNext/>
              <w:keepLines/>
              <w:jc w:val="center"/>
              <w:rPr>
                <w:rFonts w:cs="Arial"/>
                <w:sz w:val="18"/>
                <w:szCs w:val="18"/>
              </w:rPr>
            </w:pPr>
            <w:r w:rsidRPr="001570EA">
              <w:rPr>
                <w:rFonts w:cs="Arial"/>
                <w:sz w:val="18"/>
                <w:szCs w:val="18"/>
              </w:rPr>
              <w:t>5%</w:t>
            </w:r>
          </w:p>
        </w:tc>
        <w:tc>
          <w:tcPr>
            <w:tcW w:w="620" w:type="dxa"/>
            <w:shd w:val="clear" w:color="auto" w:fill="auto"/>
            <w:noWrap/>
            <w:vAlign w:val="center"/>
            <w:hideMark/>
          </w:tcPr>
          <w:p w14:paraId="383AD96E" w14:textId="77777777" w:rsidR="007376E1" w:rsidRPr="001570EA" w:rsidRDefault="007376E1">
            <w:pPr>
              <w:keepNext/>
              <w:keepLines/>
              <w:jc w:val="center"/>
              <w:rPr>
                <w:rFonts w:cs="Arial"/>
                <w:sz w:val="18"/>
                <w:szCs w:val="18"/>
              </w:rPr>
            </w:pPr>
            <w:r w:rsidRPr="001570EA">
              <w:rPr>
                <w:rFonts w:cs="Arial"/>
                <w:sz w:val="18"/>
                <w:szCs w:val="18"/>
              </w:rPr>
              <w:t>2%</w:t>
            </w:r>
          </w:p>
        </w:tc>
        <w:tc>
          <w:tcPr>
            <w:tcW w:w="620" w:type="dxa"/>
            <w:shd w:val="clear" w:color="auto" w:fill="auto"/>
            <w:noWrap/>
            <w:vAlign w:val="center"/>
            <w:hideMark/>
          </w:tcPr>
          <w:p w14:paraId="44B416DE" w14:textId="77777777" w:rsidR="007376E1" w:rsidRPr="001570EA" w:rsidRDefault="007376E1">
            <w:pPr>
              <w:keepNext/>
              <w:keepLines/>
              <w:jc w:val="center"/>
              <w:rPr>
                <w:rFonts w:cs="Arial"/>
                <w:sz w:val="18"/>
                <w:szCs w:val="18"/>
              </w:rPr>
            </w:pPr>
            <w:r w:rsidRPr="001570EA">
              <w:rPr>
                <w:rFonts w:cs="Arial"/>
                <w:sz w:val="18"/>
                <w:szCs w:val="18"/>
              </w:rPr>
              <w:t>3%</w:t>
            </w:r>
          </w:p>
        </w:tc>
      </w:tr>
      <w:tr w:rsidR="007376E1" w:rsidRPr="001570EA" w14:paraId="271E1D4D" w14:textId="77777777">
        <w:trPr>
          <w:trHeight w:val="288"/>
          <w:jc w:val="center"/>
        </w:trPr>
        <w:tc>
          <w:tcPr>
            <w:tcW w:w="2335" w:type="dxa"/>
            <w:shd w:val="clear" w:color="auto" w:fill="auto"/>
            <w:noWrap/>
            <w:vAlign w:val="center"/>
            <w:hideMark/>
          </w:tcPr>
          <w:p w14:paraId="25AC79EB" w14:textId="77777777" w:rsidR="007376E1" w:rsidRPr="001570EA" w:rsidRDefault="007376E1">
            <w:pPr>
              <w:jc w:val="center"/>
              <w:rPr>
                <w:rFonts w:cs="Arial"/>
                <w:sz w:val="18"/>
                <w:szCs w:val="18"/>
              </w:rPr>
            </w:pPr>
            <w:r w:rsidRPr="001570EA">
              <w:rPr>
                <w:rFonts w:cs="Arial"/>
                <w:sz w:val="18"/>
                <w:szCs w:val="18"/>
              </w:rPr>
              <w:t>R-4+</w:t>
            </w:r>
          </w:p>
        </w:tc>
        <w:tc>
          <w:tcPr>
            <w:tcW w:w="620" w:type="dxa"/>
            <w:shd w:val="clear" w:color="auto" w:fill="auto"/>
            <w:noWrap/>
            <w:vAlign w:val="center"/>
            <w:hideMark/>
          </w:tcPr>
          <w:p w14:paraId="64CDE3AB" w14:textId="77777777" w:rsidR="007376E1" w:rsidRPr="001570EA" w:rsidRDefault="007376E1">
            <w:pPr>
              <w:jc w:val="center"/>
              <w:rPr>
                <w:rFonts w:cs="Arial"/>
                <w:sz w:val="18"/>
                <w:szCs w:val="18"/>
              </w:rPr>
            </w:pPr>
            <w:r w:rsidRPr="001570EA">
              <w:rPr>
                <w:rFonts w:cs="Arial"/>
                <w:sz w:val="18"/>
                <w:szCs w:val="18"/>
              </w:rPr>
              <w:t>3%</w:t>
            </w:r>
          </w:p>
        </w:tc>
        <w:tc>
          <w:tcPr>
            <w:tcW w:w="620" w:type="dxa"/>
            <w:shd w:val="clear" w:color="auto" w:fill="auto"/>
            <w:noWrap/>
            <w:vAlign w:val="center"/>
            <w:hideMark/>
          </w:tcPr>
          <w:p w14:paraId="49A3F2E8" w14:textId="77777777" w:rsidR="007376E1" w:rsidRPr="001570EA" w:rsidRDefault="007376E1">
            <w:pPr>
              <w:jc w:val="center"/>
              <w:rPr>
                <w:rFonts w:cs="Arial"/>
                <w:sz w:val="18"/>
                <w:szCs w:val="18"/>
              </w:rPr>
            </w:pPr>
            <w:r w:rsidRPr="001570EA">
              <w:rPr>
                <w:rFonts w:cs="Arial"/>
                <w:sz w:val="18"/>
                <w:szCs w:val="18"/>
              </w:rPr>
              <w:t>4%</w:t>
            </w:r>
          </w:p>
        </w:tc>
        <w:tc>
          <w:tcPr>
            <w:tcW w:w="620" w:type="dxa"/>
            <w:shd w:val="clear" w:color="auto" w:fill="auto"/>
            <w:noWrap/>
            <w:vAlign w:val="center"/>
            <w:hideMark/>
          </w:tcPr>
          <w:p w14:paraId="31AA9BAE" w14:textId="77777777" w:rsidR="007376E1" w:rsidRPr="001570EA" w:rsidRDefault="007376E1">
            <w:pPr>
              <w:jc w:val="center"/>
              <w:rPr>
                <w:rFonts w:cs="Arial"/>
                <w:sz w:val="18"/>
                <w:szCs w:val="18"/>
              </w:rPr>
            </w:pPr>
            <w:r w:rsidRPr="001570EA">
              <w:rPr>
                <w:rFonts w:cs="Arial"/>
                <w:sz w:val="18"/>
                <w:szCs w:val="18"/>
              </w:rPr>
              <w:t>3%</w:t>
            </w:r>
          </w:p>
        </w:tc>
        <w:tc>
          <w:tcPr>
            <w:tcW w:w="620" w:type="dxa"/>
            <w:tcBorders>
              <w:right w:val="single" w:sz="12" w:space="0" w:color="auto"/>
            </w:tcBorders>
            <w:shd w:val="clear" w:color="auto" w:fill="auto"/>
            <w:noWrap/>
            <w:vAlign w:val="center"/>
            <w:hideMark/>
          </w:tcPr>
          <w:p w14:paraId="79231D2D" w14:textId="77777777" w:rsidR="007376E1" w:rsidRPr="001570EA" w:rsidRDefault="007376E1">
            <w:pPr>
              <w:jc w:val="center"/>
              <w:rPr>
                <w:rFonts w:cs="Arial"/>
                <w:sz w:val="18"/>
                <w:szCs w:val="18"/>
              </w:rPr>
            </w:pPr>
            <w:r w:rsidRPr="001570EA">
              <w:rPr>
                <w:rFonts w:cs="Arial"/>
                <w:sz w:val="18"/>
                <w:szCs w:val="18"/>
              </w:rPr>
              <w:t>5%</w:t>
            </w:r>
          </w:p>
        </w:tc>
        <w:tc>
          <w:tcPr>
            <w:tcW w:w="620" w:type="dxa"/>
            <w:tcBorders>
              <w:left w:val="single" w:sz="12" w:space="0" w:color="auto"/>
            </w:tcBorders>
            <w:shd w:val="clear" w:color="auto" w:fill="auto"/>
            <w:noWrap/>
            <w:vAlign w:val="center"/>
            <w:hideMark/>
          </w:tcPr>
          <w:p w14:paraId="532345AD" w14:textId="77777777" w:rsidR="007376E1" w:rsidRPr="001570EA" w:rsidRDefault="007376E1">
            <w:pPr>
              <w:jc w:val="center"/>
              <w:rPr>
                <w:rFonts w:cs="Arial"/>
                <w:sz w:val="18"/>
                <w:szCs w:val="18"/>
              </w:rPr>
            </w:pPr>
            <w:r w:rsidRPr="001570EA">
              <w:rPr>
                <w:rFonts w:cs="Arial"/>
                <w:sz w:val="18"/>
                <w:szCs w:val="18"/>
              </w:rPr>
              <w:t>1%</w:t>
            </w:r>
          </w:p>
        </w:tc>
        <w:tc>
          <w:tcPr>
            <w:tcW w:w="620" w:type="dxa"/>
            <w:shd w:val="clear" w:color="auto" w:fill="auto"/>
            <w:noWrap/>
            <w:vAlign w:val="center"/>
            <w:hideMark/>
          </w:tcPr>
          <w:p w14:paraId="0B34E148" w14:textId="77777777" w:rsidR="007376E1" w:rsidRPr="001570EA" w:rsidRDefault="007376E1">
            <w:pPr>
              <w:jc w:val="center"/>
              <w:rPr>
                <w:rFonts w:cs="Arial"/>
                <w:sz w:val="18"/>
                <w:szCs w:val="18"/>
              </w:rPr>
            </w:pPr>
            <w:r w:rsidRPr="001570EA">
              <w:rPr>
                <w:rFonts w:cs="Arial"/>
                <w:sz w:val="18"/>
                <w:szCs w:val="18"/>
              </w:rPr>
              <w:t>1%</w:t>
            </w:r>
          </w:p>
        </w:tc>
        <w:tc>
          <w:tcPr>
            <w:tcW w:w="620" w:type="dxa"/>
            <w:shd w:val="clear" w:color="auto" w:fill="auto"/>
            <w:noWrap/>
            <w:vAlign w:val="center"/>
            <w:hideMark/>
          </w:tcPr>
          <w:p w14:paraId="06B33C0F" w14:textId="77777777" w:rsidR="007376E1" w:rsidRPr="001570EA" w:rsidRDefault="007376E1">
            <w:pPr>
              <w:jc w:val="center"/>
              <w:rPr>
                <w:rFonts w:cs="Arial"/>
                <w:sz w:val="18"/>
                <w:szCs w:val="18"/>
              </w:rPr>
            </w:pPr>
            <w:r w:rsidRPr="001570EA">
              <w:rPr>
                <w:rFonts w:cs="Arial"/>
                <w:sz w:val="18"/>
                <w:szCs w:val="18"/>
              </w:rPr>
              <w:t>1%</w:t>
            </w:r>
          </w:p>
        </w:tc>
        <w:tc>
          <w:tcPr>
            <w:tcW w:w="620" w:type="dxa"/>
            <w:tcBorders>
              <w:right w:val="single" w:sz="12" w:space="0" w:color="auto"/>
            </w:tcBorders>
            <w:shd w:val="clear" w:color="auto" w:fill="auto"/>
            <w:noWrap/>
            <w:vAlign w:val="center"/>
            <w:hideMark/>
          </w:tcPr>
          <w:p w14:paraId="2513C811" w14:textId="77777777" w:rsidR="007376E1" w:rsidRPr="001570EA" w:rsidRDefault="007376E1">
            <w:pPr>
              <w:jc w:val="center"/>
              <w:rPr>
                <w:rFonts w:cs="Arial"/>
                <w:sz w:val="18"/>
                <w:szCs w:val="18"/>
              </w:rPr>
            </w:pPr>
            <w:r w:rsidRPr="001570EA">
              <w:rPr>
                <w:rFonts w:cs="Arial"/>
                <w:sz w:val="18"/>
                <w:szCs w:val="18"/>
              </w:rPr>
              <w:t>1%</w:t>
            </w:r>
          </w:p>
        </w:tc>
        <w:tc>
          <w:tcPr>
            <w:tcW w:w="620" w:type="dxa"/>
            <w:tcBorders>
              <w:left w:val="single" w:sz="12" w:space="0" w:color="auto"/>
            </w:tcBorders>
            <w:shd w:val="clear" w:color="auto" w:fill="auto"/>
            <w:noWrap/>
            <w:vAlign w:val="center"/>
            <w:hideMark/>
          </w:tcPr>
          <w:p w14:paraId="02EF0BFF" w14:textId="77777777" w:rsidR="007376E1" w:rsidRPr="001570EA" w:rsidRDefault="007376E1">
            <w:pPr>
              <w:jc w:val="center"/>
              <w:rPr>
                <w:rFonts w:cs="Arial"/>
                <w:sz w:val="18"/>
                <w:szCs w:val="18"/>
              </w:rPr>
            </w:pPr>
            <w:r w:rsidRPr="001570EA">
              <w:rPr>
                <w:rFonts w:cs="Arial"/>
                <w:sz w:val="18"/>
                <w:szCs w:val="18"/>
              </w:rPr>
              <w:t>2%</w:t>
            </w:r>
          </w:p>
        </w:tc>
        <w:tc>
          <w:tcPr>
            <w:tcW w:w="620" w:type="dxa"/>
            <w:shd w:val="clear" w:color="auto" w:fill="auto"/>
            <w:noWrap/>
            <w:vAlign w:val="center"/>
            <w:hideMark/>
          </w:tcPr>
          <w:p w14:paraId="27ABE49E" w14:textId="77777777" w:rsidR="007376E1" w:rsidRPr="001570EA" w:rsidRDefault="007376E1">
            <w:pPr>
              <w:jc w:val="center"/>
              <w:rPr>
                <w:rFonts w:cs="Arial"/>
                <w:sz w:val="18"/>
                <w:szCs w:val="18"/>
              </w:rPr>
            </w:pPr>
            <w:r w:rsidRPr="001570EA">
              <w:rPr>
                <w:rFonts w:cs="Arial"/>
                <w:sz w:val="18"/>
                <w:szCs w:val="18"/>
              </w:rPr>
              <w:t>4%</w:t>
            </w:r>
          </w:p>
        </w:tc>
        <w:tc>
          <w:tcPr>
            <w:tcW w:w="620" w:type="dxa"/>
            <w:shd w:val="clear" w:color="auto" w:fill="auto"/>
            <w:noWrap/>
            <w:vAlign w:val="center"/>
            <w:hideMark/>
          </w:tcPr>
          <w:p w14:paraId="086E56F9" w14:textId="77777777" w:rsidR="007376E1" w:rsidRPr="001570EA" w:rsidRDefault="007376E1">
            <w:pPr>
              <w:jc w:val="center"/>
              <w:rPr>
                <w:rFonts w:cs="Arial"/>
                <w:sz w:val="18"/>
                <w:szCs w:val="18"/>
              </w:rPr>
            </w:pPr>
            <w:r w:rsidRPr="001570EA">
              <w:rPr>
                <w:rFonts w:cs="Arial"/>
                <w:sz w:val="18"/>
                <w:szCs w:val="18"/>
              </w:rPr>
              <w:t>1%</w:t>
            </w:r>
          </w:p>
        </w:tc>
        <w:tc>
          <w:tcPr>
            <w:tcW w:w="620" w:type="dxa"/>
            <w:shd w:val="clear" w:color="auto" w:fill="auto"/>
            <w:noWrap/>
            <w:vAlign w:val="center"/>
            <w:hideMark/>
          </w:tcPr>
          <w:p w14:paraId="0C0B4336" w14:textId="77777777" w:rsidR="007376E1" w:rsidRPr="001570EA" w:rsidRDefault="007376E1">
            <w:pPr>
              <w:jc w:val="center"/>
              <w:rPr>
                <w:rFonts w:cs="Arial"/>
                <w:sz w:val="18"/>
                <w:szCs w:val="18"/>
              </w:rPr>
            </w:pPr>
            <w:r w:rsidRPr="001570EA">
              <w:rPr>
                <w:rFonts w:cs="Arial"/>
                <w:sz w:val="18"/>
                <w:szCs w:val="18"/>
              </w:rPr>
              <w:t>3%</w:t>
            </w:r>
          </w:p>
        </w:tc>
      </w:tr>
      <w:tr w:rsidR="007376E1" w:rsidRPr="001570EA" w14:paraId="4F85C6D9" w14:textId="77777777">
        <w:trPr>
          <w:trHeight w:val="288"/>
          <w:jc w:val="center"/>
        </w:trPr>
        <w:tc>
          <w:tcPr>
            <w:tcW w:w="2335" w:type="dxa"/>
            <w:tcBorders>
              <w:bottom w:val="single" w:sz="4" w:space="0" w:color="auto"/>
            </w:tcBorders>
            <w:shd w:val="clear" w:color="auto" w:fill="auto"/>
            <w:noWrap/>
            <w:vAlign w:val="center"/>
            <w:hideMark/>
          </w:tcPr>
          <w:p w14:paraId="4956CCAB" w14:textId="77777777" w:rsidR="007376E1" w:rsidRPr="001570EA" w:rsidRDefault="007376E1">
            <w:pPr>
              <w:jc w:val="center"/>
              <w:rPr>
                <w:rFonts w:cs="Arial"/>
                <w:sz w:val="18"/>
                <w:szCs w:val="18"/>
              </w:rPr>
            </w:pPr>
            <w:r w:rsidRPr="001570EA">
              <w:rPr>
                <w:rFonts w:cs="Arial"/>
                <w:sz w:val="18"/>
                <w:szCs w:val="18"/>
              </w:rPr>
              <w:t>R-8+</w:t>
            </w:r>
          </w:p>
        </w:tc>
        <w:tc>
          <w:tcPr>
            <w:tcW w:w="620" w:type="dxa"/>
            <w:tcBorders>
              <w:bottom w:val="single" w:sz="4" w:space="0" w:color="auto"/>
            </w:tcBorders>
            <w:shd w:val="clear" w:color="auto" w:fill="auto"/>
            <w:noWrap/>
            <w:vAlign w:val="center"/>
            <w:hideMark/>
          </w:tcPr>
          <w:p w14:paraId="21F690B8" w14:textId="77777777" w:rsidR="007376E1" w:rsidRPr="001570EA" w:rsidRDefault="007376E1">
            <w:pPr>
              <w:jc w:val="center"/>
              <w:rPr>
                <w:rFonts w:cs="Arial"/>
                <w:sz w:val="18"/>
                <w:szCs w:val="18"/>
              </w:rPr>
            </w:pPr>
            <w:r w:rsidRPr="001570EA">
              <w:rPr>
                <w:rFonts w:cs="Arial"/>
                <w:sz w:val="18"/>
                <w:szCs w:val="18"/>
              </w:rPr>
              <w:t>3%</w:t>
            </w:r>
          </w:p>
        </w:tc>
        <w:tc>
          <w:tcPr>
            <w:tcW w:w="620" w:type="dxa"/>
            <w:tcBorders>
              <w:bottom w:val="single" w:sz="4" w:space="0" w:color="auto"/>
            </w:tcBorders>
            <w:shd w:val="clear" w:color="auto" w:fill="auto"/>
            <w:noWrap/>
            <w:vAlign w:val="center"/>
            <w:hideMark/>
          </w:tcPr>
          <w:p w14:paraId="0B1A9918" w14:textId="77777777" w:rsidR="007376E1" w:rsidRPr="001570EA" w:rsidRDefault="007376E1">
            <w:pPr>
              <w:jc w:val="center"/>
              <w:rPr>
                <w:rFonts w:cs="Arial"/>
                <w:sz w:val="18"/>
                <w:szCs w:val="18"/>
              </w:rPr>
            </w:pPr>
            <w:r w:rsidRPr="001570EA">
              <w:rPr>
                <w:rFonts w:cs="Arial"/>
                <w:sz w:val="18"/>
                <w:szCs w:val="18"/>
              </w:rPr>
              <w:t>3%</w:t>
            </w:r>
          </w:p>
        </w:tc>
        <w:tc>
          <w:tcPr>
            <w:tcW w:w="620" w:type="dxa"/>
            <w:tcBorders>
              <w:bottom w:val="single" w:sz="4" w:space="0" w:color="auto"/>
            </w:tcBorders>
            <w:shd w:val="clear" w:color="auto" w:fill="auto"/>
            <w:noWrap/>
            <w:vAlign w:val="center"/>
            <w:hideMark/>
          </w:tcPr>
          <w:p w14:paraId="166FF4AE" w14:textId="77777777" w:rsidR="007376E1" w:rsidRPr="001570EA" w:rsidRDefault="007376E1">
            <w:pPr>
              <w:jc w:val="center"/>
              <w:rPr>
                <w:rFonts w:cs="Arial"/>
                <w:sz w:val="18"/>
                <w:szCs w:val="18"/>
              </w:rPr>
            </w:pPr>
            <w:r w:rsidRPr="001570EA">
              <w:rPr>
                <w:rFonts w:cs="Arial"/>
                <w:sz w:val="18"/>
                <w:szCs w:val="18"/>
              </w:rPr>
              <w:t>2%</w:t>
            </w:r>
          </w:p>
        </w:tc>
        <w:tc>
          <w:tcPr>
            <w:tcW w:w="620" w:type="dxa"/>
            <w:tcBorders>
              <w:bottom w:val="single" w:sz="4" w:space="0" w:color="auto"/>
              <w:right w:val="single" w:sz="12" w:space="0" w:color="auto"/>
            </w:tcBorders>
            <w:shd w:val="clear" w:color="auto" w:fill="auto"/>
            <w:noWrap/>
            <w:vAlign w:val="center"/>
            <w:hideMark/>
          </w:tcPr>
          <w:p w14:paraId="600A6B36" w14:textId="77777777" w:rsidR="007376E1" w:rsidRPr="001570EA" w:rsidRDefault="007376E1">
            <w:pPr>
              <w:jc w:val="center"/>
              <w:rPr>
                <w:rFonts w:cs="Arial"/>
                <w:sz w:val="18"/>
                <w:szCs w:val="18"/>
              </w:rPr>
            </w:pPr>
            <w:r w:rsidRPr="001570EA">
              <w:rPr>
                <w:rFonts w:cs="Arial"/>
                <w:sz w:val="18"/>
                <w:szCs w:val="18"/>
              </w:rPr>
              <w:t>3%</w:t>
            </w:r>
          </w:p>
        </w:tc>
        <w:tc>
          <w:tcPr>
            <w:tcW w:w="620" w:type="dxa"/>
            <w:tcBorders>
              <w:left w:val="single" w:sz="12" w:space="0" w:color="auto"/>
              <w:bottom w:val="single" w:sz="4" w:space="0" w:color="auto"/>
            </w:tcBorders>
            <w:shd w:val="clear" w:color="auto" w:fill="auto"/>
            <w:noWrap/>
            <w:vAlign w:val="center"/>
            <w:hideMark/>
          </w:tcPr>
          <w:p w14:paraId="0ABFD2B5" w14:textId="77777777" w:rsidR="007376E1" w:rsidRPr="001570EA" w:rsidRDefault="007376E1">
            <w:pPr>
              <w:jc w:val="center"/>
              <w:rPr>
                <w:rFonts w:cs="Arial"/>
                <w:sz w:val="18"/>
                <w:szCs w:val="18"/>
              </w:rPr>
            </w:pPr>
            <w:r w:rsidRPr="001570EA">
              <w:rPr>
                <w:rFonts w:cs="Arial"/>
                <w:sz w:val="18"/>
                <w:szCs w:val="18"/>
              </w:rPr>
              <w:t>1%</w:t>
            </w:r>
          </w:p>
        </w:tc>
        <w:tc>
          <w:tcPr>
            <w:tcW w:w="620" w:type="dxa"/>
            <w:tcBorders>
              <w:bottom w:val="single" w:sz="4" w:space="0" w:color="auto"/>
            </w:tcBorders>
            <w:shd w:val="clear" w:color="auto" w:fill="auto"/>
            <w:noWrap/>
            <w:vAlign w:val="center"/>
            <w:hideMark/>
          </w:tcPr>
          <w:p w14:paraId="7C03264B" w14:textId="77777777" w:rsidR="007376E1" w:rsidRPr="001570EA" w:rsidRDefault="007376E1">
            <w:pPr>
              <w:jc w:val="center"/>
              <w:rPr>
                <w:rFonts w:cs="Arial"/>
                <w:sz w:val="18"/>
                <w:szCs w:val="18"/>
              </w:rPr>
            </w:pPr>
            <w:r w:rsidRPr="001570EA">
              <w:rPr>
                <w:rFonts w:cs="Arial"/>
                <w:sz w:val="18"/>
                <w:szCs w:val="18"/>
              </w:rPr>
              <w:t>1%</w:t>
            </w:r>
          </w:p>
        </w:tc>
        <w:tc>
          <w:tcPr>
            <w:tcW w:w="620" w:type="dxa"/>
            <w:tcBorders>
              <w:bottom w:val="single" w:sz="4" w:space="0" w:color="auto"/>
            </w:tcBorders>
            <w:shd w:val="clear" w:color="auto" w:fill="auto"/>
            <w:noWrap/>
            <w:vAlign w:val="center"/>
            <w:hideMark/>
          </w:tcPr>
          <w:p w14:paraId="1FE10276" w14:textId="77777777" w:rsidR="007376E1" w:rsidRPr="001570EA" w:rsidRDefault="007376E1">
            <w:pPr>
              <w:jc w:val="center"/>
              <w:rPr>
                <w:rFonts w:cs="Arial"/>
                <w:sz w:val="18"/>
                <w:szCs w:val="18"/>
              </w:rPr>
            </w:pPr>
            <w:r w:rsidRPr="001570EA">
              <w:rPr>
                <w:rFonts w:cs="Arial"/>
                <w:sz w:val="18"/>
                <w:szCs w:val="18"/>
              </w:rPr>
              <w:t>1%</w:t>
            </w:r>
          </w:p>
        </w:tc>
        <w:tc>
          <w:tcPr>
            <w:tcW w:w="620" w:type="dxa"/>
            <w:tcBorders>
              <w:bottom w:val="single" w:sz="4" w:space="0" w:color="auto"/>
              <w:right w:val="single" w:sz="12" w:space="0" w:color="auto"/>
            </w:tcBorders>
            <w:shd w:val="clear" w:color="auto" w:fill="auto"/>
            <w:noWrap/>
            <w:vAlign w:val="center"/>
            <w:hideMark/>
          </w:tcPr>
          <w:p w14:paraId="16281C0C" w14:textId="77777777" w:rsidR="007376E1" w:rsidRPr="001570EA" w:rsidRDefault="007376E1">
            <w:pPr>
              <w:jc w:val="center"/>
              <w:rPr>
                <w:rFonts w:cs="Arial"/>
                <w:sz w:val="18"/>
                <w:szCs w:val="18"/>
              </w:rPr>
            </w:pPr>
            <w:r w:rsidRPr="001570EA">
              <w:rPr>
                <w:rFonts w:cs="Arial"/>
                <w:sz w:val="18"/>
                <w:szCs w:val="18"/>
              </w:rPr>
              <w:t>1%</w:t>
            </w:r>
          </w:p>
        </w:tc>
        <w:tc>
          <w:tcPr>
            <w:tcW w:w="620" w:type="dxa"/>
            <w:tcBorders>
              <w:left w:val="single" w:sz="12" w:space="0" w:color="auto"/>
              <w:bottom w:val="single" w:sz="4" w:space="0" w:color="auto"/>
            </w:tcBorders>
            <w:shd w:val="clear" w:color="auto" w:fill="auto"/>
            <w:noWrap/>
            <w:vAlign w:val="center"/>
            <w:hideMark/>
          </w:tcPr>
          <w:p w14:paraId="1BC8AE29" w14:textId="77777777" w:rsidR="007376E1" w:rsidRPr="001570EA" w:rsidRDefault="007376E1">
            <w:pPr>
              <w:jc w:val="center"/>
              <w:rPr>
                <w:rFonts w:cs="Arial"/>
                <w:sz w:val="18"/>
                <w:szCs w:val="18"/>
              </w:rPr>
            </w:pPr>
            <w:r w:rsidRPr="001570EA">
              <w:rPr>
                <w:rFonts w:cs="Arial"/>
                <w:sz w:val="18"/>
                <w:szCs w:val="18"/>
              </w:rPr>
              <w:t>2%</w:t>
            </w:r>
          </w:p>
        </w:tc>
        <w:tc>
          <w:tcPr>
            <w:tcW w:w="620" w:type="dxa"/>
            <w:tcBorders>
              <w:bottom w:val="single" w:sz="4" w:space="0" w:color="auto"/>
            </w:tcBorders>
            <w:shd w:val="clear" w:color="auto" w:fill="auto"/>
            <w:noWrap/>
            <w:vAlign w:val="center"/>
            <w:hideMark/>
          </w:tcPr>
          <w:p w14:paraId="7CCE1E67" w14:textId="77777777" w:rsidR="007376E1" w:rsidRPr="001570EA" w:rsidRDefault="007376E1">
            <w:pPr>
              <w:jc w:val="center"/>
              <w:rPr>
                <w:rFonts w:cs="Arial"/>
                <w:sz w:val="18"/>
                <w:szCs w:val="18"/>
              </w:rPr>
            </w:pPr>
            <w:r w:rsidRPr="001570EA">
              <w:rPr>
                <w:rFonts w:cs="Arial"/>
                <w:sz w:val="18"/>
                <w:szCs w:val="18"/>
              </w:rPr>
              <w:t>2%</w:t>
            </w:r>
          </w:p>
        </w:tc>
        <w:tc>
          <w:tcPr>
            <w:tcW w:w="620" w:type="dxa"/>
            <w:tcBorders>
              <w:bottom w:val="single" w:sz="4" w:space="0" w:color="auto"/>
            </w:tcBorders>
            <w:shd w:val="clear" w:color="auto" w:fill="auto"/>
            <w:noWrap/>
            <w:vAlign w:val="center"/>
            <w:hideMark/>
          </w:tcPr>
          <w:p w14:paraId="0A714883" w14:textId="77777777" w:rsidR="007376E1" w:rsidRPr="001570EA" w:rsidRDefault="007376E1">
            <w:pPr>
              <w:jc w:val="center"/>
              <w:rPr>
                <w:rFonts w:cs="Arial"/>
                <w:sz w:val="18"/>
                <w:szCs w:val="18"/>
              </w:rPr>
            </w:pPr>
            <w:r w:rsidRPr="001570EA">
              <w:rPr>
                <w:rFonts w:cs="Arial"/>
                <w:sz w:val="18"/>
                <w:szCs w:val="18"/>
              </w:rPr>
              <w:t>1%</w:t>
            </w:r>
          </w:p>
        </w:tc>
        <w:tc>
          <w:tcPr>
            <w:tcW w:w="620" w:type="dxa"/>
            <w:tcBorders>
              <w:bottom w:val="single" w:sz="4" w:space="0" w:color="auto"/>
            </w:tcBorders>
            <w:shd w:val="clear" w:color="auto" w:fill="auto"/>
            <w:noWrap/>
            <w:vAlign w:val="center"/>
            <w:hideMark/>
          </w:tcPr>
          <w:p w14:paraId="36F77D11" w14:textId="77777777" w:rsidR="007376E1" w:rsidRPr="001570EA" w:rsidRDefault="007376E1">
            <w:pPr>
              <w:jc w:val="center"/>
              <w:rPr>
                <w:rFonts w:cs="Arial"/>
                <w:sz w:val="18"/>
                <w:szCs w:val="18"/>
              </w:rPr>
            </w:pPr>
            <w:r w:rsidRPr="001570EA">
              <w:rPr>
                <w:rFonts w:cs="Arial"/>
                <w:sz w:val="18"/>
                <w:szCs w:val="18"/>
              </w:rPr>
              <w:t>2%</w:t>
            </w:r>
          </w:p>
        </w:tc>
      </w:tr>
      <w:tr w:rsidR="007376E1" w:rsidRPr="001570EA" w14:paraId="23BAF4EF" w14:textId="77777777">
        <w:trPr>
          <w:trHeight w:val="288"/>
          <w:jc w:val="center"/>
        </w:trPr>
        <w:tc>
          <w:tcPr>
            <w:tcW w:w="9780" w:type="dxa"/>
            <w:gridSpan w:val="13"/>
            <w:tcBorders>
              <w:left w:val="nil"/>
              <w:bottom w:val="nil"/>
              <w:right w:val="nil"/>
            </w:tcBorders>
            <w:shd w:val="clear" w:color="auto" w:fill="auto"/>
            <w:noWrap/>
            <w:vAlign w:val="bottom"/>
          </w:tcPr>
          <w:p w14:paraId="5A2A4C38" w14:textId="77777777" w:rsidR="007376E1" w:rsidRPr="001570EA" w:rsidRDefault="007376E1">
            <w:pPr>
              <w:rPr>
                <w:rFonts w:cs="Arial"/>
                <w:sz w:val="18"/>
                <w:szCs w:val="18"/>
              </w:rPr>
            </w:pPr>
            <w:r w:rsidRPr="001570EA">
              <w:rPr>
                <w:rFonts w:cs="Arial"/>
                <w:sz w:val="18"/>
                <w:szCs w:val="18"/>
              </w:rPr>
              <w:t>* In Climate Zone 6 (Climate Regions A &amp; G), the cooling adder is fixed at 1% for ductwork in 80% conditioned space.</w:t>
            </w:r>
          </w:p>
        </w:tc>
      </w:tr>
    </w:tbl>
    <w:p w14:paraId="56534093" w14:textId="77777777" w:rsidR="007376E1" w:rsidRPr="001570EA" w:rsidRDefault="007376E1" w:rsidP="009E74FF">
      <w:pPr>
        <w:pStyle w:val="BodyText"/>
        <w:ind w:right="0"/>
      </w:pPr>
    </w:p>
    <w:p w14:paraId="52E139BE" w14:textId="77777777" w:rsidR="007376E1" w:rsidRPr="001570EA" w:rsidRDefault="007376E1" w:rsidP="007376E1">
      <w:pPr>
        <w:pStyle w:val="SubStyle"/>
      </w:pPr>
      <w:r w:rsidRPr="001570EA">
        <w:t>Evaluation Protocols</w:t>
      </w:r>
    </w:p>
    <w:p w14:paraId="25710EE8" w14:textId="77777777" w:rsidR="007376E1" w:rsidRPr="001570EA" w:rsidRDefault="007376E1" w:rsidP="007376E1">
      <w:pPr>
        <w:pStyle w:val="BodyText"/>
        <w:ind w:right="0"/>
        <w:rPr>
          <w:rFonts w:cs="Arial"/>
        </w:rPr>
      </w:pPr>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7D55AECC" w14:textId="77777777" w:rsidR="007376E1" w:rsidRPr="001570EA" w:rsidRDefault="007376E1" w:rsidP="009E74FF">
      <w:pPr>
        <w:pStyle w:val="BodyText"/>
        <w:ind w:right="0"/>
      </w:pPr>
    </w:p>
    <w:p w14:paraId="5B1FC41D" w14:textId="77777777" w:rsidR="007376E1" w:rsidRPr="001570EA" w:rsidRDefault="007376E1" w:rsidP="007376E1">
      <w:pPr>
        <w:pStyle w:val="SubStyle"/>
      </w:pPr>
      <w:r w:rsidRPr="001570EA">
        <w:t xml:space="preserve">Sources </w:t>
      </w:r>
    </w:p>
    <w:p w14:paraId="6CB37E0D" w14:textId="6B8BC684" w:rsidR="007376E1" w:rsidRPr="001570EA" w:rsidRDefault="007376E1" w:rsidP="002614D2">
      <w:pPr>
        <w:pStyle w:val="source10"/>
        <w:numPr>
          <w:ilvl w:val="0"/>
          <w:numId w:val="14"/>
        </w:numPr>
        <w:spacing w:after="120"/>
        <w:jc w:val="left"/>
      </w:pPr>
      <w:r w:rsidRPr="001570EA">
        <w:t xml:space="preserve">California Electronic Technical Reference Manual. “Duct Sealing”. Residential. Accessed August 2023. (Capped at 15 years in accordance with Act 129) </w:t>
      </w:r>
      <w:hyperlink r:id="rId101" w:history="1">
        <w:r w:rsidRPr="001570EA">
          <w:rPr>
            <w:rStyle w:val="Hyperlink"/>
            <w:rFonts w:cs="Arial"/>
          </w:rPr>
          <w:t>Weblink</w:t>
        </w:r>
      </w:hyperlink>
    </w:p>
    <w:p w14:paraId="3CF799AE" w14:textId="2D8CC5D1" w:rsidR="007376E1" w:rsidRPr="001570EA" w:rsidRDefault="007376E1" w:rsidP="002614D2">
      <w:pPr>
        <w:pStyle w:val="source10"/>
        <w:numPr>
          <w:ilvl w:val="0"/>
          <w:numId w:val="14"/>
        </w:numPr>
        <w:spacing w:after="120"/>
        <w:jc w:val="left"/>
      </w:pPr>
      <w:r w:rsidRPr="001570EA">
        <w:t xml:space="preserve">Building Performance Institute. (n.d.). Distribution Efficiency Table. </w:t>
      </w:r>
      <w:hyperlink r:id="rId102" w:history="1">
        <w:r w:rsidRPr="001570EA">
          <w:rPr>
            <w:rStyle w:val="Hyperlink"/>
            <w:rFonts w:cs="Arial"/>
          </w:rPr>
          <w:t>Weblink</w:t>
        </w:r>
      </w:hyperlink>
      <w:r w:rsidRPr="001570EA">
        <w:t xml:space="preserve"> (Reproduced by permission)</w:t>
      </w:r>
    </w:p>
    <w:p w14:paraId="01CF83DA" w14:textId="32F74F3E" w:rsidR="007376E1" w:rsidRPr="001570EA" w:rsidRDefault="007376E1" w:rsidP="002614D2">
      <w:pPr>
        <w:pStyle w:val="source10"/>
        <w:numPr>
          <w:ilvl w:val="0"/>
          <w:numId w:val="14"/>
        </w:numPr>
        <w:spacing w:after="120"/>
        <w:jc w:val="left"/>
      </w:pPr>
      <w:r w:rsidRPr="001570EA">
        <w:rPr>
          <w:rFonts w:cs="Times New Roman"/>
        </w:rPr>
        <w:t xml:space="preserve">Resnet Energy Services Network. (2012, May 12). </w:t>
      </w:r>
      <w:r w:rsidRPr="001570EA">
        <w:t>Standard for Testing Airtightness of Building, Dwelling Unit, and Sleeping Unit Enclosures; Airtightness of Heating and Cooling Air Distribution Systems; and Airflow of Mechanical Ventilation Systems</w:t>
      </w:r>
      <w:r w:rsidRPr="001570EA">
        <w:rPr>
          <w:rFonts w:cs="Times New Roman"/>
        </w:rPr>
        <w:t xml:space="preserve"> Standards for Performance Testing. </w:t>
      </w:r>
      <w:hyperlink r:id="rId103" w:history="1">
        <w:r w:rsidRPr="001570EA">
          <w:rPr>
            <w:rStyle w:val="Hyperlink"/>
          </w:rPr>
          <w:t>Weblink</w:t>
        </w:r>
      </w:hyperlink>
      <w:r w:rsidRPr="001570EA">
        <w:rPr>
          <w:rFonts w:cs="Times New Roman"/>
          <w:color w:val="0000FF"/>
          <w:u w:val="single"/>
        </w:rPr>
        <w:t xml:space="preserve"> </w:t>
      </w:r>
    </w:p>
    <w:p w14:paraId="1101FB4B" w14:textId="027E6E78" w:rsidR="007376E1" w:rsidRPr="001570EA" w:rsidRDefault="007376E1" w:rsidP="002614D2">
      <w:pPr>
        <w:pStyle w:val="ListParagraph"/>
        <w:numPr>
          <w:ilvl w:val="0"/>
          <w:numId w:val="14"/>
        </w:numPr>
        <w:overflowPunct/>
        <w:autoSpaceDE/>
        <w:autoSpaceDN/>
        <w:adjustRightInd/>
        <w:jc w:val="left"/>
        <w:textAlignment w:val="auto"/>
      </w:pPr>
      <w:r w:rsidRPr="001570EA">
        <w:t xml:space="preserve">Based on the Phase III SWE team’s analysis of regional HVAC runtime data collected from </w:t>
      </w:r>
      <w:r w:rsidR="005F155F">
        <w:t>e</w:t>
      </w:r>
      <w:r w:rsidR="005F155F" w:rsidRPr="001570EA">
        <w:t xml:space="preserve">cobee’s </w:t>
      </w:r>
      <w:r w:rsidRPr="001570EA">
        <w:t xml:space="preserve">Donate Your Data research service. </w:t>
      </w:r>
      <w:hyperlink r:id="rId104" w:history="1">
        <w:r w:rsidRPr="001570EA">
          <w:rPr>
            <w:rStyle w:val="Hyperlink"/>
          </w:rPr>
          <w:t>Weblink</w:t>
        </w:r>
      </w:hyperlink>
      <w:r w:rsidRPr="001570EA">
        <w:t xml:space="preserve"> Updated based on the latest CDD and HDD values from NOAA’s 15-year annual climate Normals (2006–2020). </w:t>
      </w:r>
      <w:hyperlink r:id="rId105" w:history="1">
        <w:r w:rsidRPr="001570EA">
          <w:rPr>
            <w:rStyle w:val="Hyperlink"/>
          </w:rPr>
          <w:t>Weblink</w:t>
        </w:r>
      </w:hyperlink>
    </w:p>
    <w:p w14:paraId="14122F76" w14:textId="11FD8BB4" w:rsidR="007376E1" w:rsidRPr="001570EA" w:rsidRDefault="007376E1" w:rsidP="002614D2">
      <w:pPr>
        <w:pStyle w:val="source10"/>
        <w:numPr>
          <w:ilvl w:val="0"/>
          <w:numId w:val="14"/>
        </w:numPr>
        <w:spacing w:after="120"/>
        <w:jc w:val="left"/>
      </w:pPr>
      <w:r w:rsidRPr="001570EA">
        <w:t xml:space="preserve">NMR Group for the Pennsylvania Public Utility Commission. (2024, March). 2023 Pennsylvania Statewide Act 129 Residential Baseline Study. Sec 8.1.4 Table 87 and Sec 8.2.1 Table 97 &amp; 98. Baseline findings are capped to current Federal Standards. </w:t>
      </w:r>
      <w:hyperlink r:id="rId106" w:history="1">
        <w:r w:rsidRPr="001570EA">
          <w:rPr>
            <w:rStyle w:val="Hyperlink"/>
            <w:rFonts w:cs="Arial"/>
          </w:rPr>
          <w:t>Weblink</w:t>
        </w:r>
      </w:hyperlink>
      <w:r w:rsidRPr="001570EA">
        <w:t xml:space="preserve"> (Due to small sample sizes, GSHP is lowest efficiency value from BEopt v2.8.0, and PTAC and PTHP are minimum federal standard efficiencies)</w:t>
      </w:r>
    </w:p>
    <w:p w14:paraId="18B389BA" w14:textId="77777777" w:rsidR="007376E1" w:rsidRPr="001570EA" w:rsidRDefault="007376E1" w:rsidP="002614D2">
      <w:pPr>
        <w:pStyle w:val="source10"/>
        <w:numPr>
          <w:ilvl w:val="0"/>
          <w:numId w:val="14"/>
        </w:numPr>
        <w:spacing w:after="120"/>
        <w:jc w:val="left"/>
      </w:pPr>
      <w:r w:rsidRPr="001570EA">
        <w:t>Communication with Building Performance Institute.</w:t>
      </w:r>
    </w:p>
    <w:p w14:paraId="3AB75F77" w14:textId="77777777" w:rsidR="007376E1" w:rsidRPr="001570EA" w:rsidRDefault="007376E1" w:rsidP="007376E1">
      <w:pPr>
        <w:pStyle w:val="source10"/>
        <w:spacing w:after="120"/>
        <w:jc w:val="left"/>
        <w:textAlignment w:val="auto"/>
        <w:rPr>
          <w:rStyle w:val="Hyperlink"/>
          <w:rFonts w:cs="Arial"/>
        </w:rPr>
      </w:pPr>
    </w:p>
    <w:p w14:paraId="27D6293B" w14:textId="77777777" w:rsidR="007376E1" w:rsidRPr="001570EA" w:rsidRDefault="007376E1" w:rsidP="007376E1">
      <w:pPr>
        <w:pStyle w:val="source10"/>
        <w:spacing w:after="120"/>
        <w:jc w:val="left"/>
        <w:textAlignment w:val="auto"/>
        <w:rPr>
          <w:rStyle w:val="Hyperlink"/>
          <w:rFonts w:cs="Arial"/>
        </w:rPr>
        <w:sectPr w:rsidR="007376E1" w:rsidRPr="001570EA" w:rsidSect="002D556C">
          <w:pgSz w:w="12240" w:h="15840"/>
          <w:pgMar w:top="1440" w:right="1800" w:bottom="1440" w:left="1800" w:header="720" w:footer="501" w:gutter="0"/>
          <w:cols w:space="720"/>
        </w:sectPr>
      </w:pPr>
    </w:p>
    <w:p w14:paraId="5DF87D78" w14:textId="77777777" w:rsidR="007376E1" w:rsidRPr="001570EA" w:rsidRDefault="007376E1" w:rsidP="00462D97">
      <w:pPr>
        <w:pStyle w:val="Heading3"/>
      </w:pPr>
      <w:bookmarkStart w:id="291" w:name="_Toc271723505"/>
      <w:bookmarkStart w:id="292" w:name="_Toc364420781"/>
      <w:bookmarkStart w:id="293" w:name="_Toc373320418"/>
      <w:bookmarkStart w:id="294" w:name="_Toc364760896"/>
      <w:bookmarkStart w:id="295" w:name="_Toc527023064"/>
      <w:bookmarkStart w:id="296" w:name="_Toc48143025"/>
      <w:bookmarkStart w:id="297" w:name="_Toc164786644"/>
      <w:r w:rsidRPr="001570EA">
        <w:t>Air Handler Filter Whistle</w:t>
      </w:r>
      <w:bookmarkEnd w:id="291"/>
      <w:bookmarkEnd w:id="292"/>
      <w:bookmarkEnd w:id="293"/>
      <w:bookmarkEnd w:id="294"/>
      <w:bookmarkEnd w:id="295"/>
      <w:r w:rsidRPr="001570EA">
        <w:t>s</w:t>
      </w:r>
      <w:bookmarkEnd w:id="296"/>
      <w:bookmarkEnd w:id="2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4970"/>
      </w:tblGrid>
      <w:tr w:rsidR="007376E1" w:rsidRPr="001570EA" w14:paraId="417527DA" w14:textId="77777777">
        <w:tc>
          <w:tcPr>
            <w:tcW w:w="3552" w:type="dxa"/>
          </w:tcPr>
          <w:p w14:paraId="20F257E9" w14:textId="77777777" w:rsidR="007376E1" w:rsidRPr="001570EA" w:rsidRDefault="007376E1">
            <w:pPr>
              <w:pStyle w:val="TableCell"/>
              <w:spacing w:before="60" w:after="60"/>
              <w:rPr>
                <w:rFonts w:eastAsia="Calibri"/>
                <w:b/>
              </w:rPr>
            </w:pPr>
            <w:r w:rsidRPr="001570EA">
              <w:rPr>
                <w:rFonts w:eastAsia="Calibri"/>
                <w:b/>
              </w:rPr>
              <w:t>Target Sector</w:t>
            </w:r>
          </w:p>
        </w:tc>
        <w:tc>
          <w:tcPr>
            <w:tcW w:w="4970" w:type="dxa"/>
          </w:tcPr>
          <w:p w14:paraId="0C234E07" w14:textId="0AAD2134" w:rsidR="007376E1" w:rsidRPr="001570EA" w:rsidRDefault="007376E1">
            <w:pPr>
              <w:pStyle w:val="TableCell"/>
              <w:spacing w:before="60" w:after="60"/>
              <w:jc w:val="center"/>
              <w:rPr>
                <w:rFonts w:eastAsia="Calibri"/>
              </w:rPr>
            </w:pPr>
            <w:r w:rsidRPr="001570EA">
              <w:rPr>
                <w:rFonts w:eastAsia="Calibri"/>
              </w:rPr>
              <w:t>Residential</w:t>
            </w:r>
          </w:p>
        </w:tc>
      </w:tr>
      <w:tr w:rsidR="007376E1" w:rsidRPr="001570EA" w14:paraId="09BC21F6" w14:textId="77777777">
        <w:tc>
          <w:tcPr>
            <w:tcW w:w="3552" w:type="dxa"/>
          </w:tcPr>
          <w:p w14:paraId="4686B0B5" w14:textId="77777777" w:rsidR="007376E1" w:rsidRPr="001570EA" w:rsidRDefault="007376E1">
            <w:pPr>
              <w:pStyle w:val="TableCell"/>
              <w:spacing w:before="60" w:after="60"/>
              <w:rPr>
                <w:rFonts w:eastAsia="Calibri"/>
                <w:b/>
              </w:rPr>
            </w:pPr>
            <w:r w:rsidRPr="001570EA">
              <w:rPr>
                <w:rFonts w:eastAsia="Calibri"/>
                <w:b/>
              </w:rPr>
              <w:t>Measure Unit</w:t>
            </w:r>
          </w:p>
        </w:tc>
        <w:tc>
          <w:tcPr>
            <w:tcW w:w="4970" w:type="dxa"/>
          </w:tcPr>
          <w:p w14:paraId="3835F9C7" w14:textId="77777777" w:rsidR="007376E1" w:rsidRPr="001570EA" w:rsidRDefault="007376E1">
            <w:pPr>
              <w:pStyle w:val="TableCell"/>
              <w:spacing w:before="60" w:after="60"/>
              <w:jc w:val="center"/>
              <w:rPr>
                <w:rFonts w:eastAsia="Calibri"/>
              </w:rPr>
            </w:pPr>
            <w:r w:rsidRPr="001570EA">
              <w:rPr>
                <w:rFonts w:eastAsia="Calibri"/>
              </w:rPr>
              <w:t>Filter whistle (to promote regular filter change-out)</w:t>
            </w:r>
          </w:p>
        </w:tc>
      </w:tr>
      <w:tr w:rsidR="007376E1" w:rsidRPr="001570EA" w14:paraId="0C09E380" w14:textId="77777777">
        <w:tc>
          <w:tcPr>
            <w:tcW w:w="3552" w:type="dxa"/>
          </w:tcPr>
          <w:p w14:paraId="116F859B" w14:textId="77777777" w:rsidR="007376E1" w:rsidRPr="001570EA" w:rsidRDefault="007376E1">
            <w:pPr>
              <w:pStyle w:val="TableCell"/>
              <w:spacing w:before="60" w:after="60"/>
              <w:rPr>
                <w:rFonts w:eastAsia="Calibri"/>
                <w:b/>
              </w:rPr>
            </w:pPr>
            <w:r w:rsidRPr="001570EA">
              <w:rPr>
                <w:rFonts w:eastAsia="Calibri"/>
                <w:b/>
              </w:rPr>
              <w:t>Measure Life</w:t>
            </w:r>
          </w:p>
        </w:tc>
        <w:tc>
          <w:tcPr>
            <w:tcW w:w="4970" w:type="dxa"/>
          </w:tcPr>
          <w:p w14:paraId="7E65375D" w14:textId="77777777" w:rsidR="007376E1" w:rsidRPr="001570EA" w:rsidRDefault="007376E1">
            <w:pPr>
              <w:pStyle w:val="TableCell"/>
              <w:spacing w:before="60" w:after="60"/>
              <w:jc w:val="center"/>
              <w:rPr>
                <w:rFonts w:eastAsia="Calibri"/>
                <w:vertAlign w:val="superscript"/>
              </w:rPr>
            </w:pPr>
            <w:r w:rsidRPr="001570EA">
              <w:rPr>
                <w:rFonts w:eastAsia="Calibri"/>
              </w:rPr>
              <w:t>5 years</w:t>
            </w:r>
            <w:r w:rsidRPr="001570EA">
              <w:rPr>
                <w:rFonts w:eastAsia="Calibri"/>
                <w:vertAlign w:val="superscript"/>
              </w:rPr>
              <w:t>Source 1</w:t>
            </w:r>
          </w:p>
        </w:tc>
      </w:tr>
      <w:tr w:rsidR="007376E1" w:rsidRPr="001570EA" w14:paraId="00F2904F" w14:textId="77777777">
        <w:tc>
          <w:tcPr>
            <w:tcW w:w="3552" w:type="dxa"/>
          </w:tcPr>
          <w:p w14:paraId="72694A96" w14:textId="77777777" w:rsidR="007376E1" w:rsidRPr="001570EA" w:rsidRDefault="007376E1">
            <w:pPr>
              <w:pStyle w:val="TableCell"/>
              <w:spacing w:before="60" w:after="60"/>
              <w:rPr>
                <w:rFonts w:eastAsia="Calibri"/>
                <w:b/>
              </w:rPr>
            </w:pPr>
            <w:r w:rsidRPr="001570EA">
              <w:rPr>
                <w:rFonts w:eastAsia="Calibri"/>
                <w:b/>
              </w:rPr>
              <w:t>Vintage</w:t>
            </w:r>
          </w:p>
        </w:tc>
        <w:tc>
          <w:tcPr>
            <w:tcW w:w="4970" w:type="dxa"/>
          </w:tcPr>
          <w:p w14:paraId="4C5F5953" w14:textId="77777777" w:rsidR="007376E1" w:rsidRPr="001570EA" w:rsidRDefault="007376E1">
            <w:pPr>
              <w:pStyle w:val="TableCell"/>
              <w:spacing w:before="60" w:after="60"/>
              <w:jc w:val="center"/>
              <w:rPr>
                <w:rFonts w:eastAsia="Calibri"/>
              </w:rPr>
            </w:pPr>
            <w:r w:rsidRPr="001570EA">
              <w:rPr>
                <w:rFonts w:eastAsia="Calibri"/>
              </w:rPr>
              <w:t>Retrofit</w:t>
            </w:r>
          </w:p>
        </w:tc>
      </w:tr>
    </w:tbl>
    <w:p w14:paraId="7496E14A" w14:textId="77777777" w:rsidR="007376E1" w:rsidRPr="001570EA" w:rsidRDefault="007376E1" w:rsidP="007376E1"/>
    <w:p w14:paraId="5B4DD5BC" w14:textId="50B50A8C" w:rsidR="007376E1" w:rsidRPr="001570EA" w:rsidRDefault="007376E1" w:rsidP="007376E1">
      <w:pPr>
        <w:rPr>
          <w:vertAlign w:val="superscript"/>
        </w:rPr>
      </w:pPr>
      <w:r w:rsidRPr="001570EA">
        <w:t>Dirty air handler filters increase electricity consumption for the circulating fan. Filter whistles attach to the filter in the air handler and make a sound when it is time to replace the filter.</w:t>
      </w:r>
      <w:r w:rsidRPr="001570EA">
        <w:rPr>
          <w:vertAlign w:val="superscript"/>
        </w:rPr>
        <w:t>Source 2</w:t>
      </w:r>
    </w:p>
    <w:p w14:paraId="540D6A6F" w14:textId="77777777" w:rsidR="007376E1" w:rsidRPr="001570EA" w:rsidRDefault="007376E1" w:rsidP="007376E1"/>
    <w:p w14:paraId="21B8F5B3" w14:textId="77777777" w:rsidR="007376E1" w:rsidRPr="001570EA" w:rsidRDefault="007376E1" w:rsidP="007376E1">
      <w:pPr>
        <w:pStyle w:val="SubStyle"/>
      </w:pPr>
      <w:r w:rsidRPr="001570EA">
        <w:t>Eligibility</w:t>
      </w:r>
    </w:p>
    <w:p w14:paraId="4FB6918B" w14:textId="720AAAA3" w:rsidR="007376E1" w:rsidRPr="001570EA" w:rsidRDefault="007376E1" w:rsidP="007376E1">
      <w:pPr>
        <w:pStyle w:val="BodyText"/>
        <w:ind w:right="0"/>
        <w:rPr>
          <w:rFonts w:eastAsia="Calibri"/>
        </w:rPr>
      </w:pPr>
      <w:r w:rsidRPr="001570EA">
        <w:rPr>
          <w:rFonts w:eastAsia="Calibri"/>
        </w:rPr>
        <w:t>Savings estimates are based on reduced blower fan motor power requirements for winter and summer use of the blower fan motor. This air handler filter whistle measure applies to central forced-air furnaces, central A</w:t>
      </w:r>
      <w:r w:rsidR="008851DE">
        <w:rPr>
          <w:rFonts w:eastAsia="Calibri"/>
        </w:rPr>
        <w:t>/</w:t>
      </w:r>
      <w:r w:rsidRPr="001570EA">
        <w:rPr>
          <w:rFonts w:eastAsia="Calibri"/>
        </w:rPr>
        <w:t>C and heat pump systems. Where homes do not have A/C or heat pump systems for cooling, only the annual heating savings will apply.</w:t>
      </w:r>
    </w:p>
    <w:p w14:paraId="29FA6035" w14:textId="77777777" w:rsidR="007376E1" w:rsidRPr="001570EA" w:rsidRDefault="007376E1" w:rsidP="007376E1">
      <w:pPr>
        <w:pStyle w:val="SubStyle"/>
      </w:pPr>
    </w:p>
    <w:p w14:paraId="05499B83" w14:textId="77777777" w:rsidR="007376E1" w:rsidRPr="001570EA" w:rsidRDefault="007376E1" w:rsidP="007376E1">
      <w:pPr>
        <w:pStyle w:val="SubStyle"/>
        <w:rPr>
          <w:lang w:val="pt-BR"/>
        </w:rPr>
      </w:pPr>
      <w:r w:rsidRPr="001570EA">
        <w:rPr>
          <w:lang w:val="pt-BR"/>
        </w:rPr>
        <w:t>Algorithms</w:t>
      </w:r>
    </w:p>
    <w:p w14:paraId="73DFA44A" w14:textId="77777777" w:rsidR="007376E1" w:rsidRPr="001570EA" w:rsidRDefault="007376E1" w:rsidP="007376E1">
      <w:pPr>
        <w:pStyle w:val="Equation"/>
        <w:tabs>
          <w:tab w:val="clear" w:pos="720"/>
          <w:tab w:val="left" w:pos="1440"/>
        </w:tabs>
        <w:spacing w:after="40"/>
        <w:rPr>
          <w:rFonts w:ascii="Cambria Math" w:hAnsi="Cambria Math" w:cs="Arial"/>
          <w:szCs w:val="20"/>
          <w:lang w:val="pt-BR"/>
        </w:rPr>
      </w:pPr>
      <w:r w:rsidRPr="001570EA">
        <w:rPr>
          <w:rFonts w:ascii="Symbol" w:eastAsia="Symbol" w:hAnsi="Symbol" w:cs="Symbol"/>
          <w:szCs w:val="20"/>
        </w:rPr>
        <w:t>D</w:t>
      </w:r>
      <w:r w:rsidRPr="001570EA">
        <w:rPr>
          <w:rFonts w:ascii="Cambria Math" w:hAnsi="Cambria Math" w:cs="Arial"/>
          <w:szCs w:val="20"/>
          <w:lang w:val="pt-BR"/>
        </w:rPr>
        <w:t>kWh</w:t>
      </w:r>
      <w:r w:rsidRPr="001570EA">
        <w:rPr>
          <w:rFonts w:ascii="Cambria Math" w:hAnsi="Cambria Math" w:cs="Arial"/>
          <w:szCs w:val="20"/>
          <w:lang w:val="pt-BR"/>
        </w:rPr>
        <w:tab/>
      </w:r>
      <m:oMath>
        <m:r>
          <w:rPr>
            <w:rFonts w:ascii="Cambria Math" w:hAnsi="Cambria Math" w:cs="Arial"/>
            <w:szCs w:val="20"/>
            <w:lang w:val="pt-BR"/>
          </w:rPr>
          <m:t>=∆</m:t>
        </m:r>
        <m:sSub>
          <m:sSubPr>
            <m:ctrlPr>
              <w:rPr>
                <w:rFonts w:ascii="Cambria Math" w:hAnsi="Cambria Math" w:cs="Arial"/>
                <w:i w:val="0"/>
                <w:szCs w:val="20"/>
              </w:rPr>
            </m:ctrlPr>
          </m:sSubPr>
          <m:e>
            <m:r>
              <w:rPr>
                <w:rFonts w:ascii="Cambria Math" w:hAnsi="Cambria Math" w:cs="Arial"/>
                <w:szCs w:val="20"/>
              </w:rPr>
              <m:t>kW</m:t>
            </m:r>
            <m:r>
              <w:rPr>
                <w:rFonts w:ascii="Cambria Math" w:hAnsi="Cambria Math" w:cs="Arial"/>
                <w:szCs w:val="20"/>
                <w:lang w:val="pt-BR"/>
              </w:rPr>
              <m:t>h</m:t>
            </m:r>
          </m:e>
          <m:sub>
            <m:r>
              <w:rPr>
                <w:rFonts w:ascii="Cambria Math" w:hAnsi="Cambria Math" w:cs="Arial"/>
                <w:szCs w:val="20"/>
                <w:lang w:val="pt-BR"/>
              </w:rPr>
              <m:t>h</m:t>
            </m:r>
            <m:r>
              <w:rPr>
                <w:rFonts w:ascii="Cambria Math" w:hAnsi="Cambria Math" w:cs="Arial"/>
                <w:szCs w:val="20"/>
              </w:rPr>
              <m:t>eat</m:t>
            </m:r>
          </m:sub>
        </m:sSub>
        <m:r>
          <w:rPr>
            <w:rFonts w:ascii="Cambria Math" w:hAnsi="Cambria Math" w:cs="Arial"/>
            <w:szCs w:val="20"/>
            <w:lang w:val="pt-BR"/>
          </w:rPr>
          <m:t>+∆</m:t>
        </m:r>
        <m:sSub>
          <m:sSubPr>
            <m:ctrlPr>
              <w:rPr>
                <w:rFonts w:ascii="Cambria Math" w:hAnsi="Cambria Math" w:cs="Arial"/>
                <w:i w:val="0"/>
                <w:szCs w:val="20"/>
              </w:rPr>
            </m:ctrlPr>
          </m:sSubPr>
          <m:e>
            <m:r>
              <w:rPr>
                <w:rFonts w:ascii="Cambria Math" w:hAnsi="Cambria Math" w:cs="Arial"/>
                <w:szCs w:val="20"/>
              </w:rPr>
              <m:t>kW</m:t>
            </m:r>
            <m:r>
              <w:rPr>
                <w:rFonts w:ascii="Cambria Math" w:hAnsi="Cambria Math" w:cs="Arial"/>
                <w:szCs w:val="20"/>
                <w:lang w:val="pt-BR"/>
              </w:rPr>
              <m:t>h</m:t>
            </m:r>
          </m:e>
          <m:sub>
            <m:r>
              <w:rPr>
                <w:rFonts w:ascii="Cambria Math" w:hAnsi="Cambria Math" w:cs="Arial"/>
                <w:szCs w:val="20"/>
              </w:rPr>
              <m:t>cool</m:t>
            </m:r>
          </m:sub>
        </m:sSub>
      </m:oMath>
    </w:p>
    <w:p w14:paraId="65AE9175" w14:textId="77777777" w:rsidR="007376E1" w:rsidRPr="001570EA" w:rsidRDefault="007376E1" w:rsidP="007376E1">
      <w:pPr>
        <w:pStyle w:val="Equation"/>
        <w:tabs>
          <w:tab w:val="clear" w:pos="720"/>
          <w:tab w:val="left" w:pos="1440"/>
        </w:tabs>
        <w:spacing w:after="40"/>
        <w:rPr>
          <w:rFonts w:ascii="Cambria Math" w:hAnsi="Cambria Math" w:cs="Arial"/>
          <w:szCs w:val="20"/>
          <w:lang w:val="pt-BR"/>
        </w:rPr>
      </w:pPr>
    </w:p>
    <w:p w14:paraId="750F28F7" w14:textId="77777777" w:rsidR="007376E1" w:rsidRPr="001570EA" w:rsidRDefault="007376E1" w:rsidP="007376E1">
      <w:pPr>
        <w:pStyle w:val="Equation"/>
        <w:tabs>
          <w:tab w:val="left" w:pos="1440"/>
        </w:tabs>
        <w:spacing w:after="40"/>
        <w:rPr>
          <w:rFonts w:cs="Arial"/>
          <w:szCs w:val="20"/>
        </w:rPr>
      </w:pPr>
      <w:r w:rsidRPr="001570EA">
        <w:rPr>
          <w:rFonts w:ascii="Symbol" w:eastAsia="Symbol" w:hAnsi="Symbol" w:cs="Symbol"/>
          <w:szCs w:val="20"/>
        </w:rPr>
        <w:t>D</w:t>
      </w:r>
      <w:r w:rsidRPr="001570EA">
        <w:rPr>
          <w:rFonts w:cs="Arial"/>
          <w:szCs w:val="20"/>
        </w:rPr>
        <w:t>kWh</w:t>
      </w:r>
      <w:r w:rsidRPr="001570EA">
        <w:rPr>
          <w:rFonts w:cs="Arial"/>
          <w:szCs w:val="20"/>
          <w:vertAlign w:val="subscript"/>
        </w:rPr>
        <w:t>heat</w:t>
      </w:r>
      <w:r w:rsidRPr="001570EA">
        <w:rPr>
          <w:rFonts w:cs="Arial"/>
          <w:szCs w:val="20"/>
        </w:rPr>
        <w:tab/>
      </w:r>
      <m:oMath>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kW</m:t>
            </m:r>
          </m:e>
          <m:sub>
            <m:r>
              <w:rPr>
                <w:rFonts w:ascii="Cambria Math" w:hAnsi="Cambria Math" w:cs="Arial"/>
                <w:szCs w:val="20"/>
              </w:rPr>
              <m:t>motor</m:t>
            </m:r>
          </m:sub>
        </m:sSub>
        <m:r>
          <w:rPr>
            <w:rFonts w:ascii="Cambria Math" w:hAnsi="Cambria Math" w:cs="Arial"/>
            <w:szCs w:val="20"/>
          </w:rPr>
          <m:t xml:space="preserve"> × </m:t>
        </m:r>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heat</m:t>
            </m:r>
          </m:sub>
        </m:sSub>
        <m:r>
          <w:rPr>
            <w:rFonts w:ascii="Cambria Math" w:hAnsi="Cambria Math" w:cs="Arial"/>
            <w:szCs w:val="20"/>
          </w:rPr>
          <m:t xml:space="preserve"> × EI × ISR</m:t>
        </m:r>
      </m:oMath>
    </w:p>
    <w:p w14:paraId="61A38869" w14:textId="77777777" w:rsidR="007376E1" w:rsidRPr="001570EA" w:rsidRDefault="007376E1" w:rsidP="007376E1">
      <w:pPr>
        <w:pStyle w:val="Equation"/>
        <w:tabs>
          <w:tab w:val="left" w:pos="1440"/>
        </w:tabs>
        <w:spacing w:after="40"/>
        <w:rPr>
          <w:rFonts w:cs="Arial"/>
          <w:szCs w:val="20"/>
        </w:rPr>
      </w:pPr>
    </w:p>
    <w:p w14:paraId="59B50793" w14:textId="77777777" w:rsidR="007376E1" w:rsidRPr="001570EA" w:rsidRDefault="007376E1" w:rsidP="007376E1">
      <w:pPr>
        <w:pStyle w:val="Equation"/>
        <w:tabs>
          <w:tab w:val="left" w:pos="1440"/>
        </w:tabs>
        <w:rPr>
          <w:rFonts w:cs="Arial"/>
          <w:szCs w:val="20"/>
        </w:rPr>
      </w:pPr>
      <w:r w:rsidRPr="001570EA">
        <w:rPr>
          <w:rFonts w:ascii="Symbol" w:eastAsia="Symbol" w:hAnsi="Symbol" w:cs="Symbol"/>
          <w:szCs w:val="20"/>
        </w:rPr>
        <w:t>D</w:t>
      </w:r>
      <w:r w:rsidRPr="001570EA">
        <w:rPr>
          <w:rFonts w:cs="Arial"/>
          <w:szCs w:val="20"/>
        </w:rPr>
        <w:t>kWh</w:t>
      </w:r>
      <w:r w:rsidRPr="001570EA">
        <w:rPr>
          <w:rFonts w:cs="Arial"/>
          <w:szCs w:val="20"/>
          <w:vertAlign w:val="subscript"/>
        </w:rPr>
        <w:t>cool</w:t>
      </w:r>
      <w:r w:rsidRPr="001570EA">
        <w:rPr>
          <w:rFonts w:cs="Arial"/>
          <w:szCs w:val="20"/>
          <w:vertAlign w:val="subscript"/>
        </w:rPr>
        <w:tab/>
      </w:r>
      <m:oMath>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kW</m:t>
            </m:r>
          </m:e>
          <m:sub>
            <m:r>
              <w:rPr>
                <w:rFonts w:ascii="Cambria Math" w:hAnsi="Cambria Math" w:cs="Arial"/>
                <w:szCs w:val="20"/>
              </w:rPr>
              <m:t>motor</m:t>
            </m:r>
          </m:sub>
        </m:sSub>
        <m:r>
          <w:rPr>
            <w:rFonts w:ascii="Cambria Math" w:hAnsi="Cambria Math" w:cs="Arial"/>
            <w:szCs w:val="20"/>
          </w:rPr>
          <m:t xml:space="preserve"> × </m:t>
        </m:r>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cool</m:t>
            </m:r>
          </m:sub>
        </m:sSub>
        <m:r>
          <w:rPr>
            <w:rFonts w:ascii="Cambria Math" w:hAnsi="Cambria Math" w:cs="Arial"/>
            <w:szCs w:val="20"/>
          </w:rPr>
          <m:t xml:space="preserve"> × EI × ISR</m:t>
        </m:r>
      </m:oMath>
    </w:p>
    <w:p w14:paraId="10F06DAB" w14:textId="77777777" w:rsidR="007376E1" w:rsidRPr="001570EA" w:rsidRDefault="007376E1" w:rsidP="007376E1">
      <w:pPr>
        <w:pStyle w:val="Equation"/>
        <w:tabs>
          <w:tab w:val="clear" w:pos="2880"/>
          <w:tab w:val="left" w:pos="1440"/>
          <w:tab w:val="left" w:pos="2160"/>
        </w:tabs>
        <w:rPr>
          <w:rFonts w:cs="Arial"/>
          <w:szCs w:val="20"/>
        </w:rPr>
      </w:pPr>
    </w:p>
    <w:p w14:paraId="72ABF5BC" w14:textId="77777777" w:rsidR="007376E1" w:rsidRPr="001570EA" w:rsidRDefault="007376E1" w:rsidP="007376E1">
      <w:pPr>
        <w:pStyle w:val="Equation"/>
        <w:tabs>
          <w:tab w:val="clear" w:pos="720"/>
          <w:tab w:val="left" w:pos="1440"/>
        </w:tabs>
        <w:rPr>
          <w:rFonts w:ascii="Cambria Math" w:hAnsi="Cambria Math" w:cs="Arial"/>
          <w:szCs w:val="20"/>
        </w:rPr>
      </w:pPr>
      <w:r w:rsidRPr="001570EA">
        <w:rPr>
          <w:rFonts w:ascii="Symbol" w:eastAsia="Symbol" w:hAnsi="Symbol" w:cs="Symbol"/>
          <w:szCs w:val="20"/>
        </w:rPr>
        <w:t>D</w:t>
      </w:r>
      <w:r w:rsidRPr="001570EA">
        <w:rPr>
          <w:rFonts w:ascii="Cambria Math" w:hAnsi="Cambria Math" w:cs="Arial"/>
          <w:szCs w:val="20"/>
        </w:rPr>
        <w:t>kW</w:t>
      </w:r>
      <w:r w:rsidRPr="001570EA">
        <w:rPr>
          <w:rFonts w:cs="Arial"/>
          <w:szCs w:val="20"/>
          <w:vertAlign w:val="subscript"/>
        </w:rPr>
        <w:t>summer peak</w:t>
      </w:r>
      <w:r w:rsidRPr="001570EA">
        <w:rPr>
          <w:rFonts w:ascii="Cambria Math" w:hAnsi="Cambria Math" w:cs="Arial"/>
          <w:szCs w:val="20"/>
        </w:rPr>
        <w:tab/>
      </w:r>
      <m:oMath>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∆kWh</m:t>
            </m:r>
          </m:e>
          <m:sub>
            <m:r>
              <w:rPr>
                <w:rFonts w:ascii="Cambria Math" w:hAnsi="Cambria Math" w:cs="Arial"/>
                <w:szCs w:val="20"/>
              </w:rPr>
              <m:t>cool</m:t>
            </m:r>
          </m:sub>
        </m:sSub>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cool</m:t>
            </m:r>
          </m:sub>
        </m:sSub>
        <m:r>
          <w:rPr>
            <w:rFonts w:ascii="Cambria Math" w:hAnsi="Cambria Math" w:cs="Arial"/>
            <w:szCs w:val="20"/>
          </w:rPr>
          <m:t>×</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p>
    <w:p w14:paraId="49FF2B7A" w14:textId="77777777" w:rsidR="007376E1" w:rsidRPr="001570EA" w:rsidRDefault="007376E1" w:rsidP="007376E1">
      <w:pPr>
        <w:pStyle w:val="Equation"/>
        <w:tabs>
          <w:tab w:val="clear" w:pos="720"/>
          <w:tab w:val="left" w:pos="1440"/>
        </w:tabs>
      </w:pPr>
    </w:p>
    <w:p w14:paraId="5D33BCAA" w14:textId="77777777" w:rsidR="007376E1" w:rsidRPr="001570EA" w:rsidRDefault="007376E1" w:rsidP="007376E1">
      <w:pPr>
        <w:pStyle w:val="Equation"/>
        <w:tabs>
          <w:tab w:val="clear" w:pos="720"/>
          <w:tab w:val="left" w:pos="1440"/>
        </w:tabs>
        <w:rPr>
          <w:rFonts w:cs="Arial"/>
          <w:szCs w:val="20"/>
        </w:rPr>
      </w:pPr>
      <w:r w:rsidRPr="001570EA">
        <w:rPr>
          <w:rFonts w:ascii="Symbol" w:eastAsia="Symbol" w:hAnsi="Symbol" w:cs="Symbol"/>
          <w:szCs w:val="20"/>
        </w:rPr>
        <w:t>D</w:t>
      </w:r>
      <w:r w:rsidRPr="001570EA">
        <w:rPr>
          <w:rFonts w:ascii="Cambria Math" w:hAnsi="Cambria Math" w:cs="Arial"/>
          <w:szCs w:val="20"/>
        </w:rPr>
        <w:t>kW</w:t>
      </w:r>
      <w:r w:rsidRPr="001570EA">
        <w:rPr>
          <w:rFonts w:cs="Arial"/>
          <w:szCs w:val="20"/>
          <w:vertAlign w:val="subscript"/>
        </w:rPr>
        <w:t>winter peak</w:t>
      </w:r>
      <w:r w:rsidRPr="001570EA">
        <w:rPr>
          <w:rFonts w:ascii="Cambria Math" w:hAnsi="Cambria Math" w:cs="Arial"/>
          <w:szCs w:val="20"/>
        </w:rPr>
        <w:tab/>
      </w:r>
      <m:oMath>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∆kWh</m:t>
            </m:r>
          </m:e>
          <m:sub>
            <m:r>
              <w:rPr>
                <w:rFonts w:ascii="Cambria Math" w:hAnsi="Cambria Math" w:cs="Arial"/>
                <w:szCs w:val="20"/>
              </w:rPr>
              <m:t>heat</m:t>
            </m:r>
          </m:sub>
        </m:sSub>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heat</m:t>
            </m:r>
          </m:sub>
        </m:sSub>
        <m:r>
          <w:rPr>
            <w:rFonts w:ascii="Cambria Math" w:hAnsi="Cambria Math" w:cs="Arial"/>
            <w:szCs w:val="20"/>
          </w:rPr>
          <m:t>×</m:t>
        </m:r>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w:p>
    <w:p w14:paraId="24D99B54" w14:textId="77777777" w:rsidR="007376E1" w:rsidRPr="001570EA" w:rsidRDefault="007376E1" w:rsidP="007376E1"/>
    <w:p w14:paraId="4B28A9A0" w14:textId="77777777" w:rsidR="007376E1" w:rsidRPr="001570EA" w:rsidRDefault="007376E1" w:rsidP="007376E1">
      <w:pPr>
        <w:pStyle w:val="SubStyle"/>
      </w:pPr>
      <w:r w:rsidRPr="001570EA">
        <w:t>Definition of Terms</w:t>
      </w:r>
    </w:p>
    <w:p w14:paraId="72003D3B" w14:textId="10EADAAE" w:rsidR="007376E1" w:rsidRPr="001570EA" w:rsidRDefault="001C1915" w:rsidP="001C1915">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42</w:t>
      </w:r>
      <w:r w:rsidR="002E093A" w:rsidRPr="001570EA">
        <w:fldChar w:fldCharType="end"/>
      </w:r>
      <w:r w:rsidRPr="001570EA">
        <w:t>: Terms, Values, and References for Air Handler Filter Whistle</w:t>
      </w:r>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235"/>
        <w:gridCol w:w="1142"/>
        <w:gridCol w:w="2101"/>
        <w:gridCol w:w="1139"/>
      </w:tblGrid>
      <w:tr w:rsidR="007376E1" w:rsidRPr="001570EA" w14:paraId="22594B8C" w14:textId="77777777">
        <w:tc>
          <w:tcPr>
            <w:tcW w:w="4235" w:type="dxa"/>
            <w:shd w:val="clear" w:color="auto" w:fill="BFBFBF" w:themeFill="background1" w:themeFillShade="BF"/>
          </w:tcPr>
          <w:p w14:paraId="0E3A0609" w14:textId="77777777" w:rsidR="007376E1" w:rsidRPr="001570EA" w:rsidRDefault="007376E1">
            <w:pPr>
              <w:pStyle w:val="TableCell"/>
              <w:spacing w:before="60" w:after="60"/>
              <w:rPr>
                <w:rFonts w:eastAsia="Calibri"/>
                <w:b/>
              </w:rPr>
            </w:pPr>
            <w:r w:rsidRPr="001570EA">
              <w:rPr>
                <w:rFonts w:eastAsia="Calibri"/>
                <w:b/>
              </w:rPr>
              <w:t>Term</w:t>
            </w:r>
          </w:p>
        </w:tc>
        <w:tc>
          <w:tcPr>
            <w:tcW w:w="1142" w:type="dxa"/>
            <w:shd w:val="clear" w:color="auto" w:fill="BFBFBF" w:themeFill="background1" w:themeFillShade="BF"/>
          </w:tcPr>
          <w:p w14:paraId="630635A6" w14:textId="77777777" w:rsidR="007376E1" w:rsidRPr="001570EA" w:rsidRDefault="007376E1">
            <w:pPr>
              <w:pStyle w:val="TableCell"/>
              <w:spacing w:before="60" w:after="60"/>
              <w:jc w:val="center"/>
              <w:rPr>
                <w:rFonts w:eastAsia="Calibri"/>
                <w:b/>
              </w:rPr>
            </w:pPr>
            <w:r w:rsidRPr="001570EA">
              <w:rPr>
                <w:rFonts w:eastAsia="Calibri"/>
                <w:b/>
              </w:rPr>
              <w:t>Unit</w:t>
            </w:r>
          </w:p>
        </w:tc>
        <w:tc>
          <w:tcPr>
            <w:tcW w:w="2101" w:type="dxa"/>
            <w:shd w:val="clear" w:color="auto" w:fill="BFBFBF" w:themeFill="background1" w:themeFillShade="BF"/>
          </w:tcPr>
          <w:p w14:paraId="00450BDB" w14:textId="77777777" w:rsidR="007376E1" w:rsidRPr="001570EA" w:rsidRDefault="007376E1">
            <w:pPr>
              <w:pStyle w:val="TableCell"/>
              <w:spacing w:before="60" w:after="60"/>
              <w:jc w:val="center"/>
              <w:rPr>
                <w:rFonts w:eastAsia="Calibri"/>
                <w:b/>
              </w:rPr>
            </w:pPr>
            <w:r w:rsidRPr="001570EA">
              <w:rPr>
                <w:rFonts w:eastAsia="Calibri"/>
                <w:b/>
              </w:rPr>
              <w:t>Value</w:t>
            </w:r>
          </w:p>
        </w:tc>
        <w:tc>
          <w:tcPr>
            <w:tcW w:w="1139" w:type="dxa"/>
            <w:shd w:val="clear" w:color="auto" w:fill="BFBFBF" w:themeFill="background1" w:themeFillShade="BF"/>
          </w:tcPr>
          <w:p w14:paraId="73E48F45" w14:textId="77777777" w:rsidR="007376E1" w:rsidRPr="001570EA" w:rsidRDefault="007376E1">
            <w:pPr>
              <w:pStyle w:val="TableCell"/>
              <w:spacing w:before="60" w:after="60"/>
              <w:jc w:val="center"/>
              <w:rPr>
                <w:rFonts w:eastAsia="Calibri"/>
                <w:b/>
              </w:rPr>
            </w:pPr>
            <w:r w:rsidRPr="001570EA">
              <w:rPr>
                <w:rFonts w:eastAsia="Calibri"/>
                <w:b/>
              </w:rPr>
              <w:t>Sources</w:t>
            </w:r>
          </w:p>
        </w:tc>
      </w:tr>
      <w:tr w:rsidR="007376E1" w:rsidRPr="001570EA" w14:paraId="03E25B25" w14:textId="77777777">
        <w:tc>
          <w:tcPr>
            <w:tcW w:w="4235" w:type="dxa"/>
          </w:tcPr>
          <w:p w14:paraId="56B3F6ED" w14:textId="4C627AE5" w:rsidR="007376E1" w:rsidRPr="001570EA" w:rsidRDefault="003B5E04">
            <w:pPr>
              <w:pStyle w:val="TableCell"/>
              <w:spacing w:before="60" w:after="60"/>
            </w:pPr>
            <m:oMath>
              <m:sSub>
                <m:sSubPr>
                  <m:ctrlPr>
                    <w:rPr>
                      <w:rFonts w:ascii="Cambria Math" w:eastAsia="Calibri" w:hAnsi="Cambria Math" w:cs="Arial"/>
                      <w:i/>
                      <w:sz w:val="20"/>
                    </w:rPr>
                  </m:ctrlPr>
                </m:sSubPr>
                <m:e>
                  <m:r>
                    <w:rPr>
                      <w:rFonts w:ascii="Cambria Math" w:hAnsi="Cambria Math" w:cs="Arial"/>
                    </w:rPr>
                    <m:t>kW</m:t>
                  </m:r>
                </m:e>
                <m:sub>
                  <m:r>
                    <m:rPr>
                      <m:sty m:val="p"/>
                    </m:rPr>
                    <w:rPr>
                      <w:rFonts w:ascii="Cambria Math" w:hAnsi="Cambria Math" w:cs="Arial"/>
                    </w:rPr>
                    <m:t>motor</m:t>
                  </m:r>
                </m:sub>
              </m:sSub>
            </m:oMath>
            <w:r w:rsidR="007376E1" w:rsidRPr="001570EA">
              <w:t xml:space="preserve">, </w:t>
            </w:r>
            <w:r w:rsidR="007376E1" w:rsidRPr="001570EA">
              <w:rPr>
                <w:rFonts w:cs="Arial"/>
              </w:rPr>
              <w:t>Average motor full load electric demand</w:t>
            </w:r>
          </w:p>
        </w:tc>
        <w:tc>
          <w:tcPr>
            <w:tcW w:w="1142" w:type="dxa"/>
            <w:vAlign w:val="center"/>
          </w:tcPr>
          <w:p w14:paraId="5114BD5C" w14:textId="77777777" w:rsidR="007376E1" w:rsidRPr="001570EA" w:rsidRDefault="007376E1">
            <w:pPr>
              <w:pStyle w:val="TableCell"/>
              <w:spacing w:before="60" w:after="60"/>
              <w:jc w:val="center"/>
              <w:rPr>
                <w:rFonts w:ascii="Cambria Math" w:eastAsia="Calibri" w:hAnsi="Cambria Math"/>
                <w:i/>
              </w:rPr>
            </w:pPr>
            <w:r w:rsidRPr="001570EA">
              <w:rPr>
                <w:rFonts w:ascii="Cambria Math" w:eastAsia="Calibri" w:hAnsi="Cambria Math"/>
                <w:i/>
              </w:rPr>
              <w:t>kW</w:t>
            </w:r>
          </w:p>
        </w:tc>
        <w:tc>
          <w:tcPr>
            <w:tcW w:w="2101" w:type="dxa"/>
          </w:tcPr>
          <w:p w14:paraId="23B15567" w14:textId="77777777" w:rsidR="007376E1" w:rsidRPr="001570EA" w:rsidRDefault="007376E1">
            <w:pPr>
              <w:pStyle w:val="TableCell"/>
              <w:spacing w:before="60" w:after="60"/>
              <w:jc w:val="center"/>
              <w:rPr>
                <w:rFonts w:eastAsia="Calibri"/>
              </w:rPr>
            </w:pPr>
            <w:r w:rsidRPr="001570EA">
              <w:rPr>
                <w:rFonts w:eastAsia="Calibri"/>
              </w:rPr>
              <w:t>0.377</w:t>
            </w:r>
          </w:p>
        </w:tc>
        <w:tc>
          <w:tcPr>
            <w:tcW w:w="1139" w:type="dxa"/>
          </w:tcPr>
          <w:p w14:paraId="6526283B" w14:textId="77777777" w:rsidR="007376E1" w:rsidRPr="001570EA" w:rsidRDefault="007376E1">
            <w:pPr>
              <w:pStyle w:val="TableCell"/>
              <w:spacing w:before="60" w:after="60"/>
              <w:jc w:val="center"/>
              <w:rPr>
                <w:rFonts w:eastAsia="Calibri"/>
                <w:i/>
              </w:rPr>
            </w:pPr>
            <w:r w:rsidRPr="001570EA">
              <w:rPr>
                <w:rFonts w:eastAsia="Calibri"/>
              </w:rPr>
              <w:t>3</w:t>
            </w:r>
          </w:p>
        </w:tc>
      </w:tr>
      <w:tr w:rsidR="007376E1" w:rsidRPr="001570EA" w14:paraId="1FFC8499" w14:textId="77777777">
        <w:tc>
          <w:tcPr>
            <w:tcW w:w="4235" w:type="dxa"/>
          </w:tcPr>
          <w:p w14:paraId="1DCF49A6" w14:textId="79117B74" w:rsidR="007376E1" w:rsidRPr="001570EA" w:rsidRDefault="007376E1">
            <w:pPr>
              <w:pStyle w:val="TableCell"/>
              <w:spacing w:before="60" w:after="60"/>
              <w:rPr>
                <w:rFonts w:eastAsia="Calibri"/>
              </w:rPr>
            </w:pPr>
            <w:r w:rsidRPr="001570EA">
              <w:rPr>
                <w:rFonts w:eastAsia="Calibri"/>
                <w:i/>
              </w:rPr>
              <w:t>EFLH</w:t>
            </w:r>
            <w:r w:rsidRPr="001570EA">
              <w:rPr>
                <w:rFonts w:eastAsia="Calibri"/>
                <w:i/>
                <w:vertAlign w:val="subscript"/>
              </w:rPr>
              <w:t>heat</w:t>
            </w:r>
            <w:r w:rsidRPr="001570EA">
              <w:rPr>
                <w:rFonts w:eastAsia="Calibri"/>
                <w:vertAlign w:val="subscript"/>
              </w:rPr>
              <w:t xml:space="preserve">, </w:t>
            </w:r>
            <w:r w:rsidRPr="001570EA">
              <w:rPr>
                <w:rFonts w:cs="Arial"/>
              </w:rPr>
              <w:t xml:space="preserve">Estimated Full Load Hours (Heating ) </w:t>
            </w:r>
          </w:p>
        </w:tc>
        <w:tc>
          <w:tcPr>
            <w:tcW w:w="1142" w:type="dxa"/>
            <w:vAlign w:val="center"/>
          </w:tcPr>
          <w:p w14:paraId="3449296A" w14:textId="77777777" w:rsidR="007376E1" w:rsidRPr="001570EA" w:rsidRDefault="003B5E04">
            <w:pPr>
              <w:pStyle w:val="TableCell"/>
              <w:tabs>
                <w:tab w:val="clear" w:pos="720"/>
                <w:tab w:val="left" w:pos="678"/>
              </w:tabs>
              <w:spacing w:before="60" w:after="60"/>
              <w:jc w:val="center"/>
              <w:rPr>
                <w:i/>
              </w:rPr>
            </w:pPr>
            <m:oMathPara>
              <m:oMath>
                <m:f>
                  <m:fPr>
                    <m:ctrlPr>
                      <w:rPr>
                        <w:rFonts w:ascii="Cambria Math" w:hAnsi="Cambria Math"/>
                        <w:i/>
                      </w:rPr>
                    </m:ctrlPr>
                  </m:fPr>
                  <m:num>
                    <m:r>
                      <w:rPr>
                        <w:rFonts w:ascii="Cambria Math" w:hAnsi="Cambria Math"/>
                      </w:rPr>
                      <m:t>hours</m:t>
                    </m:r>
                  </m:num>
                  <m:den>
                    <m:r>
                      <w:rPr>
                        <w:rFonts w:ascii="Cambria Math" w:hAnsi="Cambria Math"/>
                      </w:rPr>
                      <m:t>yr</m:t>
                    </m:r>
                  </m:den>
                </m:f>
              </m:oMath>
            </m:oMathPara>
          </w:p>
        </w:tc>
        <w:tc>
          <w:tcPr>
            <w:tcW w:w="2101" w:type="dxa"/>
          </w:tcPr>
          <w:p w14:paraId="75C6A59D" w14:textId="77777777" w:rsidR="007376E1" w:rsidRPr="001570EA" w:rsidRDefault="007376E1">
            <w:pPr>
              <w:pStyle w:val="TableCell"/>
              <w:spacing w:before="60" w:after="60"/>
              <w:jc w:val="center"/>
              <w:rPr>
                <w:rFonts w:eastAsia="Calibri"/>
              </w:rPr>
            </w:pPr>
            <w:r w:rsidRPr="001570EA">
              <w:rPr>
                <w:rFonts w:eastAsia="Calibri"/>
              </w:rPr>
              <w:t xml:space="preserve">See </w:t>
            </w:r>
            <w:r w:rsidRPr="001570EA">
              <w:rPr>
                <w:rFonts w:eastAsia="Calibri"/>
                <w:i/>
              </w:rPr>
              <w:t>EFLH</w:t>
            </w:r>
            <w:r w:rsidRPr="001570EA">
              <w:rPr>
                <w:rFonts w:eastAsia="Calibri"/>
                <w:i/>
                <w:vertAlign w:val="subscript"/>
              </w:rPr>
              <w:t>heat</w:t>
            </w:r>
            <w:r w:rsidRPr="001570EA">
              <w:rPr>
                <w:rFonts w:eastAsia="Calibri"/>
              </w:rPr>
              <w:t xml:space="preserve"> in Vol. 1, App. A</w:t>
            </w:r>
          </w:p>
        </w:tc>
        <w:tc>
          <w:tcPr>
            <w:tcW w:w="1139" w:type="dxa"/>
          </w:tcPr>
          <w:p w14:paraId="60CC7DA1" w14:textId="77777777" w:rsidR="007376E1" w:rsidRPr="001570EA" w:rsidRDefault="007376E1">
            <w:pPr>
              <w:pStyle w:val="TableCell"/>
              <w:spacing w:before="60" w:after="60"/>
              <w:jc w:val="center"/>
            </w:pPr>
            <w:r w:rsidRPr="001570EA">
              <w:rPr>
                <w:rFonts w:eastAsia="Calibri" w:cs="Tahoma"/>
                <w:bCs/>
              </w:rPr>
              <w:t>4</w:t>
            </w:r>
          </w:p>
        </w:tc>
      </w:tr>
      <w:tr w:rsidR="007376E1" w:rsidRPr="001570EA" w14:paraId="3B69A43B" w14:textId="77777777">
        <w:trPr>
          <w:trHeight w:val="647"/>
        </w:trPr>
        <w:tc>
          <w:tcPr>
            <w:tcW w:w="4235" w:type="dxa"/>
          </w:tcPr>
          <w:p w14:paraId="3577A5C5" w14:textId="2EBA104C" w:rsidR="007376E1" w:rsidRPr="001570EA" w:rsidRDefault="007376E1">
            <w:pPr>
              <w:pStyle w:val="TableCell"/>
              <w:spacing w:before="60" w:after="60"/>
              <w:rPr>
                <w:rFonts w:eastAsia="Calibri"/>
              </w:rPr>
            </w:pPr>
            <w:r w:rsidRPr="001570EA">
              <w:rPr>
                <w:rFonts w:eastAsia="Calibri"/>
                <w:i/>
              </w:rPr>
              <w:t>EFLH</w:t>
            </w:r>
            <w:r w:rsidRPr="001570EA">
              <w:rPr>
                <w:rFonts w:eastAsia="Calibri"/>
                <w:i/>
                <w:vertAlign w:val="subscript"/>
              </w:rPr>
              <w:t>cool</w:t>
            </w:r>
            <w:r w:rsidRPr="001570EA">
              <w:rPr>
                <w:rFonts w:eastAsia="Calibri"/>
                <w:vertAlign w:val="subscript"/>
              </w:rPr>
              <w:t xml:space="preserve">, </w:t>
            </w:r>
            <w:r w:rsidRPr="001570EA">
              <w:rPr>
                <w:rFonts w:cs="Arial"/>
              </w:rPr>
              <w:t xml:space="preserve">Estimated Full Load Hours (Cooling) </w:t>
            </w:r>
          </w:p>
        </w:tc>
        <w:tc>
          <w:tcPr>
            <w:tcW w:w="1142" w:type="dxa"/>
            <w:vAlign w:val="center"/>
          </w:tcPr>
          <w:p w14:paraId="4A1F3548" w14:textId="77777777" w:rsidR="007376E1" w:rsidRPr="001570EA" w:rsidRDefault="003B5E04">
            <w:pPr>
              <w:pStyle w:val="TableCell"/>
              <w:spacing w:before="60" w:after="60"/>
              <w:jc w:val="center"/>
              <w:rPr>
                <w:i/>
              </w:rPr>
            </w:pPr>
            <m:oMathPara>
              <m:oMath>
                <m:f>
                  <m:fPr>
                    <m:ctrlPr>
                      <w:rPr>
                        <w:rFonts w:ascii="Cambria Math" w:hAnsi="Cambria Math"/>
                        <w:i/>
                      </w:rPr>
                    </m:ctrlPr>
                  </m:fPr>
                  <m:num>
                    <m:r>
                      <w:rPr>
                        <w:rFonts w:ascii="Cambria Math" w:hAnsi="Cambria Math"/>
                      </w:rPr>
                      <m:t>hours</m:t>
                    </m:r>
                  </m:num>
                  <m:den>
                    <m:r>
                      <w:rPr>
                        <w:rFonts w:ascii="Cambria Math" w:hAnsi="Cambria Math"/>
                      </w:rPr>
                      <m:t>yr</m:t>
                    </m:r>
                  </m:den>
                </m:f>
              </m:oMath>
            </m:oMathPara>
          </w:p>
        </w:tc>
        <w:tc>
          <w:tcPr>
            <w:tcW w:w="2101" w:type="dxa"/>
          </w:tcPr>
          <w:p w14:paraId="2A4BE645" w14:textId="77777777" w:rsidR="007376E1" w:rsidRPr="001570EA" w:rsidRDefault="007376E1">
            <w:pPr>
              <w:pStyle w:val="TableCell"/>
              <w:spacing w:before="60" w:after="60"/>
              <w:jc w:val="center"/>
              <w:rPr>
                <w:rFonts w:eastAsia="Calibri"/>
              </w:rPr>
            </w:pPr>
            <w:r w:rsidRPr="001570EA">
              <w:rPr>
                <w:rFonts w:eastAsia="Calibri"/>
              </w:rPr>
              <w:t xml:space="preserve">See </w:t>
            </w:r>
            <w:r w:rsidRPr="001570EA">
              <w:rPr>
                <w:rFonts w:eastAsia="Calibri"/>
                <w:i/>
              </w:rPr>
              <w:t>EFLH</w:t>
            </w:r>
            <w:r w:rsidRPr="001570EA">
              <w:rPr>
                <w:rFonts w:eastAsia="Calibri"/>
                <w:i/>
                <w:vertAlign w:val="subscript"/>
              </w:rPr>
              <w:t>cool</w:t>
            </w:r>
            <w:r w:rsidRPr="001570EA">
              <w:rPr>
                <w:rFonts w:eastAsia="Calibri"/>
                <w:i/>
              </w:rPr>
              <w:t xml:space="preserve"> </w:t>
            </w:r>
            <w:r w:rsidRPr="001570EA">
              <w:rPr>
                <w:rFonts w:eastAsia="Calibri"/>
              </w:rPr>
              <w:t>in Vol. 1, App. A</w:t>
            </w:r>
          </w:p>
        </w:tc>
        <w:tc>
          <w:tcPr>
            <w:tcW w:w="1139" w:type="dxa"/>
          </w:tcPr>
          <w:p w14:paraId="3CCDBA1C" w14:textId="77777777" w:rsidR="007376E1" w:rsidRPr="001570EA" w:rsidRDefault="007376E1">
            <w:pPr>
              <w:pStyle w:val="TableCell"/>
              <w:spacing w:before="60" w:after="60"/>
              <w:jc w:val="center"/>
            </w:pPr>
            <w:r w:rsidRPr="001570EA">
              <w:rPr>
                <w:rFonts w:eastAsia="Calibri" w:cs="Tahoma"/>
              </w:rPr>
              <w:t>4</w:t>
            </w:r>
          </w:p>
        </w:tc>
      </w:tr>
      <w:tr w:rsidR="007376E1" w:rsidRPr="001570EA" w14:paraId="105F232B" w14:textId="77777777">
        <w:tc>
          <w:tcPr>
            <w:tcW w:w="4235" w:type="dxa"/>
          </w:tcPr>
          <w:p w14:paraId="5ECE4007" w14:textId="330FF087" w:rsidR="007376E1" w:rsidRPr="001570EA" w:rsidRDefault="007376E1">
            <w:pPr>
              <w:pStyle w:val="TableCell"/>
              <w:spacing w:before="60" w:after="60"/>
              <w:rPr>
                <w:rFonts w:eastAsia="Calibri"/>
              </w:rPr>
            </w:pPr>
            <w:r w:rsidRPr="001570EA">
              <w:rPr>
                <w:rFonts w:eastAsia="Calibri"/>
                <w:i/>
              </w:rPr>
              <w:t>EI</w:t>
            </w:r>
            <w:r w:rsidRPr="001570EA">
              <w:rPr>
                <w:rFonts w:eastAsia="Calibri"/>
              </w:rPr>
              <w:t xml:space="preserve">, </w:t>
            </w:r>
            <w:r w:rsidRPr="001570EA">
              <w:rPr>
                <w:rFonts w:cs="Arial"/>
              </w:rPr>
              <w:t>Efficiency Improvement</w:t>
            </w:r>
          </w:p>
        </w:tc>
        <w:tc>
          <w:tcPr>
            <w:tcW w:w="1142" w:type="dxa"/>
            <w:vAlign w:val="center"/>
          </w:tcPr>
          <w:p w14:paraId="297B2928" w14:textId="77777777" w:rsidR="007376E1" w:rsidRPr="001570EA" w:rsidRDefault="007376E1">
            <w:pPr>
              <w:pStyle w:val="TableCell"/>
              <w:spacing w:before="60" w:after="60"/>
              <w:jc w:val="center"/>
              <w:rPr>
                <w:i/>
              </w:rPr>
            </w:pPr>
            <w:r w:rsidRPr="001570EA">
              <w:rPr>
                <w:i/>
              </w:rPr>
              <w:t>%</w:t>
            </w:r>
          </w:p>
        </w:tc>
        <w:tc>
          <w:tcPr>
            <w:tcW w:w="2101" w:type="dxa"/>
          </w:tcPr>
          <w:p w14:paraId="74E6AA7C" w14:textId="77777777" w:rsidR="007376E1" w:rsidRPr="001570EA" w:rsidRDefault="007376E1">
            <w:pPr>
              <w:pStyle w:val="TableCell"/>
              <w:spacing w:before="60" w:after="60"/>
              <w:jc w:val="center"/>
              <w:rPr>
                <w:rFonts w:eastAsia="Calibri"/>
              </w:rPr>
            </w:pPr>
            <w:r w:rsidRPr="001570EA">
              <w:rPr>
                <w:rFonts w:eastAsia="Calibri"/>
              </w:rPr>
              <w:t>15%</w:t>
            </w:r>
          </w:p>
        </w:tc>
        <w:tc>
          <w:tcPr>
            <w:tcW w:w="1139" w:type="dxa"/>
          </w:tcPr>
          <w:p w14:paraId="502757C6" w14:textId="77777777" w:rsidR="007376E1" w:rsidRPr="001570EA" w:rsidRDefault="007376E1">
            <w:pPr>
              <w:pStyle w:val="TableCell"/>
              <w:spacing w:before="60" w:after="60"/>
              <w:jc w:val="center"/>
              <w:rPr>
                <w:rFonts w:eastAsia="Calibri" w:cs="Tahoma"/>
              </w:rPr>
            </w:pPr>
            <w:r w:rsidRPr="001570EA">
              <w:rPr>
                <w:rFonts w:eastAsia="Calibri" w:cs="Tahoma"/>
              </w:rPr>
              <w:t>5, 6</w:t>
            </w:r>
          </w:p>
        </w:tc>
      </w:tr>
      <w:tr w:rsidR="007376E1" w:rsidRPr="001570EA" w14:paraId="7D88C45B" w14:textId="77777777">
        <w:tc>
          <w:tcPr>
            <w:tcW w:w="4235" w:type="dxa"/>
          </w:tcPr>
          <w:p w14:paraId="2CD4F31A" w14:textId="058B385F" w:rsidR="007376E1" w:rsidRPr="001570EA" w:rsidRDefault="007376E1">
            <w:pPr>
              <w:pStyle w:val="TableCell"/>
              <w:spacing w:before="60" w:after="60"/>
              <w:rPr>
                <w:rFonts w:eastAsia="Calibri"/>
              </w:rPr>
            </w:pPr>
            <w:r w:rsidRPr="001570EA">
              <w:rPr>
                <w:rFonts w:eastAsia="Calibri"/>
                <w:i/>
              </w:rPr>
              <w:t>ISR</w:t>
            </w:r>
            <w:r w:rsidRPr="001570EA">
              <w:rPr>
                <w:rFonts w:eastAsia="Calibri"/>
              </w:rPr>
              <w:t xml:space="preserve">, </w:t>
            </w:r>
            <w:r w:rsidRPr="001570EA">
              <w:rPr>
                <w:rFonts w:cs="Arial"/>
              </w:rPr>
              <w:t>In-service Rate</w:t>
            </w:r>
          </w:p>
        </w:tc>
        <w:tc>
          <w:tcPr>
            <w:tcW w:w="1142" w:type="dxa"/>
            <w:vAlign w:val="center"/>
          </w:tcPr>
          <w:p w14:paraId="007EF50E" w14:textId="77777777" w:rsidR="007376E1" w:rsidRPr="001570EA" w:rsidRDefault="007376E1">
            <w:pPr>
              <w:pStyle w:val="TableCell"/>
              <w:spacing w:before="60" w:after="60"/>
              <w:jc w:val="center"/>
              <w:rPr>
                <w:i/>
              </w:rPr>
            </w:pPr>
            <w:r w:rsidRPr="001570EA">
              <w:rPr>
                <w:i/>
              </w:rPr>
              <w:t>%</w:t>
            </w:r>
          </w:p>
        </w:tc>
        <w:tc>
          <w:tcPr>
            <w:tcW w:w="2101" w:type="dxa"/>
          </w:tcPr>
          <w:p w14:paraId="218BCDF0" w14:textId="77777777" w:rsidR="007376E1" w:rsidRPr="001570EA" w:rsidRDefault="007376E1">
            <w:pPr>
              <w:pStyle w:val="TableCell"/>
              <w:spacing w:before="60" w:after="60"/>
              <w:jc w:val="center"/>
              <w:rPr>
                <w:rFonts w:eastAsia="Calibri"/>
              </w:rPr>
            </w:pPr>
            <w:r w:rsidRPr="001570EA">
              <w:rPr>
                <w:rFonts w:eastAsia="Calibri"/>
              </w:rPr>
              <w:t>EDC Data Gathering</w:t>
            </w:r>
          </w:p>
          <w:p w14:paraId="0B683E58" w14:textId="77777777" w:rsidR="007376E1" w:rsidRPr="001570EA" w:rsidRDefault="007376E1">
            <w:pPr>
              <w:pStyle w:val="TableCell"/>
              <w:spacing w:before="60" w:after="60"/>
              <w:jc w:val="center"/>
              <w:rPr>
                <w:rFonts w:eastAsia="Calibri"/>
              </w:rPr>
            </w:pPr>
            <w:r w:rsidRPr="001570EA">
              <w:rPr>
                <w:rFonts w:eastAsia="Calibri"/>
              </w:rPr>
              <w:t>Default = 7%</w:t>
            </w:r>
          </w:p>
        </w:tc>
        <w:tc>
          <w:tcPr>
            <w:tcW w:w="1139" w:type="dxa"/>
          </w:tcPr>
          <w:p w14:paraId="392C5FE4" w14:textId="77777777" w:rsidR="007376E1" w:rsidRPr="001570EA" w:rsidRDefault="007376E1">
            <w:pPr>
              <w:pStyle w:val="TableCell"/>
              <w:spacing w:before="60" w:after="60"/>
              <w:jc w:val="center"/>
              <w:rPr>
                <w:rFonts w:eastAsia="Calibri" w:cs="Tahoma"/>
              </w:rPr>
            </w:pPr>
            <w:r w:rsidRPr="001570EA">
              <w:rPr>
                <w:rFonts w:eastAsia="Calibri" w:cs="Tahoma"/>
              </w:rPr>
              <w:t xml:space="preserve">7 </w:t>
            </w:r>
          </w:p>
          <w:p w14:paraId="76678C92" w14:textId="77777777" w:rsidR="007376E1" w:rsidRPr="001570EA" w:rsidRDefault="007376E1">
            <w:pPr>
              <w:pStyle w:val="TableCell"/>
              <w:spacing w:before="60" w:after="60"/>
              <w:jc w:val="center"/>
              <w:rPr>
                <w:rFonts w:eastAsia="Calibri" w:cs="Tahoma"/>
              </w:rPr>
            </w:pPr>
          </w:p>
        </w:tc>
      </w:tr>
      <w:tr w:rsidR="007376E1" w:rsidRPr="001570EA" w14:paraId="5003FAC1" w14:textId="77777777">
        <w:tc>
          <w:tcPr>
            <w:tcW w:w="4235" w:type="dxa"/>
            <w:vAlign w:val="center"/>
          </w:tcPr>
          <w:p w14:paraId="02E1D910" w14:textId="48FE595F" w:rsidR="007376E1" w:rsidRPr="001570EA" w:rsidRDefault="003B5E04">
            <w:pPr>
              <w:pStyle w:val="TableCell"/>
              <w:spacing w:before="60" w:after="60"/>
              <w:rPr>
                <w:rFonts w:eastAsia="Calibri"/>
                <w:i/>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r w:rsidR="007376E1" w:rsidRPr="001570EA">
              <w:rPr>
                <w:szCs w:val="18"/>
              </w:rPr>
              <w:t>, Demand Coincidence Factor during the summer months</w:t>
            </w:r>
          </w:p>
        </w:tc>
        <w:tc>
          <w:tcPr>
            <w:tcW w:w="1142" w:type="dxa"/>
            <w:vAlign w:val="center"/>
          </w:tcPr>
          <w:p w14:paraId="2D50F3FC" w14:textId="77777777" w:rsidR="007376E1" w:rsidRPr="001570EA" w:rsidRDefault="007376E1">
            <w:pPr>
              <w:pStyle w:val="TableCell"/>
              <w:spacing w:before="60" w:after="60"/>
              <w:jc w:val="center"/>
              <w:rPr>
                <w:i/>
              </w:rPr>
            </w:pPr>
            <w:r w:rsidRPr="001570EA">
              <w:rPr>
                <w:i/>
                <w:iCs/>
                <w:szCs w:val="18"/>
              </w:rPr>
              <w:t>Proportion</w:t>
            </w:r>
          </w:p>
        </w:tc>
        <w:tc>
          <w:tcPr>
            <w:tcW w:w="2101" w:type="dxa"/>
            <w:vAlign w:val="center"/>
          </w:tcPr>
          <w:p w14:paraId="15ACD4BB" w14:textId="77777777" w:rsidR="007376E1" w:rsidRPr="001570EA" w:rsidRDefault="007376E1">
            <w:pPr>
              <w:pStyle w:val="TableCell"/>
              <w:spacing w:before="60" w:after="60"/>
              <w:jc w:val="center"/>
              <w:rPr>
                <w:rFonts w:eastAsia="Calibri"/>
              </w:rPr>
            </w:pPr>
            <w:r w:rsidRPr="001570EA">
              <w:rPr>
                <w:szCs w:val="18"/>
              </w:rPr>
              <w:t xml:space="preserve">See </w:t>
            </w:r>
            <w:r w:rsidRPr="001570EA">
              <w:rPr>
                <w:i/>
                <w:szCs w:val="18"/>
              </w:rPr>
              <w:t>CF</w:t>
            </w:r>
            <w:r w:rsidRPr="001570EA">
              <w:rPr>
                <w:szCs w:val="18"/>
              </w:rPr>
              <w:t xml:space="preserve"> in Vol. 1, App. A</w:t>
            </w:r>
          </w:p>
        </w:tc>
        <w:tc>
          <w:tcPr>
            <w:tcW w:w="1139" w:type="dxa"/>
            <w:vAlign w:val="center"/>
          </w:tcPr>
          <w:p w14:paraId="2269CDAC" w14:textId="77777777" w:rsidR="007376E1" w:rsidRPr="001570EA" w:rsidDel="00B37EBE" w:rsidRDefault="007376E1">
            <w:pPr>
              <w:pStyle w:val="TableCell"/>
              <w:spacing w:before="60" w:after="60"/>
              <w:jc w:val="center"/>
              <w:rPr>
                <w:rFonts w:eastAsia="Calibri" w:cs="Tahoma"/>
              </w:rPr>
            </w:pPr>
            <w:r w:rsidRPr="001570EA">
              <w:rPr>
                <w:szCs w:val="18"/>
              </w:rPr>
              <w:t>4</w:t>
            </w:r>
          </w:p>
        </w:tc>
      </w:tr>
      <w:tr w:rsidR="007376E1" w:rsidRPr="001570EA" w14:paraId="5A2FB904" w14:textId="77777777">
        <w:tc>
          <w:tcPr>
            <w:tcW w:w="4235" w:type="dxa"/>
            <w:vAlign w:val="center"/>
          </w:tcPr>
          <w:p w14:paraId="43B78B97" w14:textId="60B76894" w:rsidR="007376E1" w:rsidRPr="001570EA" w:rsidRDefault="003B5E04">
            <w:pPr>
              <w:pStyle w:val="TableCell"/>
              <w:spacing w:before="60" w:after="60"/>
              <w:rPr>
                <w:rFonts w:eastAsia="Calibri"/>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w:r w:rsidR="007376E1" w:rsidRPr="001570EA">
              <w:rPr>
                <w:szCs w:val="18"/>
              </w:rPr>
              <w:t>, Demand Coincidence Factor during the winter months</w:t>
            </w:r>
          </w:p>
        </w:tc>
        <w:tc>
          <w:tcPr>
            <w:tcW w:w="1142" w:type="dxa"/>
            <w:vAlign w:val="center"/>
          </w:tcPr>
          <w:p w14:paraId="7372F2A6" w14:textId="77777777" w:rsidR="007376E1" w:rsidRPr="001570EA" w:rsidRDefault="007376E1">
            <w:pPr>
              <w:pStyle w:val="TableCell"/>
              <w:spacing w:before="60" w:after="60"/>
              <w:jc w:val="center"/>
              <w:rPr>
                <w:i/>
              </w:rPr>
            </w:pPr>
            <w:r w:rsidRPr="001570EA">
              <w:rPr>
                <w:i/>
                <w:iCs/>
                <w:szCs w:val="18"/>
              </w:rPr>
              <w:t>Proportion</w:t>
            </w:r>
          </w:p>
        </w:tc>
        <w:tc>
          <w:tcPr>
            <w:tcW w:w="2101" w:type="dxa"/>
            <w:vAlign w:val="center"/>
          </w:tcPr>
          <w:p w14:paraId="1BD3BF7F" w14:textId="77777777" w:rsidR="007376E1" w:rsidRPr="001570EA" w:rsidRDefault="007376E1">
            <w:pPr>
              <w:pStyle w:val="TableCell"/>
              <w:spacing w:before="60" w:after="60"/>
              <w:jc w:val="center"/>
              <w:rPr>
                <w:rFonts w:eastAsia="Calibri"/>
              </w:rPr>
            </w:pPr>
            <w:r w:rsidRPr="001570EA">
              <w:rPr>
                <w:rFonts w:eastAsia="Calibri"/>
                <w:szCs w:val="18"/>
              </w:rPr>
              <w:t xml:space="preserve">See </w:t>
            </w:r>
            <w:r w:rsidRPr="001570EA">
              <w:rPr>
                <w:rFonts w:eastAsia="Calibri"/>
                <w:i/>
                <w:szCs w:val="18"/>
              </w:rPr>
              <w:t>CF</w:t>
            </w:r>
            <w:r w:rsidRPr="001570EA">
              <w:rPr>
                <w:rFonts w:eastAsia="Calibri"/>
                <w:szCs w:val="18"/>
              </w:rPr>
              <w:t xml:space="preserve"> in Vol. 1</w:t>
            </w:r>
            <w:r w:rsidRPr="001570EA">
              <w:rPr>
                <w:szCs w:val="18"/>
              </w:rPr>
              <w:t>,</w:t>
            </w:r>
            <w:r w:rsidRPr="001570EA">
              <w:rPr>
                <w:rFonts w:eastAsia="Calibri"/>
                <w:szCs w:val="18"/>
              </w:rPr>
              <w:t xml:space="preserve"> App. </w:t>
            </w:r>
            <w:r w:rsidRPr="001570EA">
              <w:rPr>
                <w:szCs w:val="18"/>
              </w:rPr>
              <w:t>A</w:t>
            </w:r>
          </w:p>
        </w:tc>
        <w:tc>
          <w:tcPr>
            <w:tcW w:w="1139" w:type="dxa"/>
            <w:vAlign w:val="center"/>
          </w:tcPr>
          <w:p w14:paraId="256621E9" w14:textId="77777777" w:rsidR="007376E1" w:rsidRPr="001570EA" w:rsidRDefault="007376E1">
            <w:pPr>
              <w:pStyle w:val="TableCell"/>
              <w:spacing w:before="60" w:after="60"/>
              <w:jc w:val="center"/>
              <w:rPr>
                <w:rFonts w:eastAsia="Calibri" w:cs="Tahoma"/>
              </w:rPr>
            </w:pPr>
            <w:r w:rsidRPr="001570EA">
              <w:rPr>
                <w:szCs w:val="18"/>
              </w:rPr>
              <w:t>4</w:t>
            </w:r>
          </w:p>
        </w:tc>
      </w:tr>
    </w:tbl>
    <w:p w14:paraId="73D9B254" w14:textId="77777777" w:rsidR="007376E1" w:rsidRPr="001570EA" w:rsidRDefault="007376E1" w:rsidP="007376E1">
      <w:pPr>
        <w:rPr>
          <w:i/>
        </w:rPr>
      </w:pPr>
    </w:p>
    <w:p w14:paraId="6B2C1798" w14:textId="77777777" w:rsidR="0040646C" w:rsidRDefault="0040646C" w:rsidP="007376E1">
      <w:pPr>
        <w:pStyle w:val="SubStyle"/>
      </w:pPr>
    </w:p>
    <w:p w14:paraId="019B4598" w14:textId="393CC3B0" w:rsidR="007376E1" w:rsidRPr="001570EA" w:rsidRDefault="007376E1" w:rsidP="007376E1">
      <w:pPr>
        <w:pStyle w:val="SubStyle"/>
      </w:pPr>
      <w:r w:rsidRPr="001570EA">
        <w:t>Default Savings</w:t>
      </w:r>
    </w:p>
    <w:p w14:paraId="3CC97C1C" w14:textId="77777777" w:rsidR="007376E1" w:rsidRPr="001570EA" w:rsidRDefault="007376E1" w:rsidP="007376E1">
      <w:pPr>
        <w:pStyle w:val="BodyText"/>
        <w:ind w:right="0"/>
        <w:rPr>
          <w:rFonts w:eastAsia="Calibri"/>
        </w:rPr>
      </w:pPr>
      <w:r w:rsidRPr="001570EA">
        <w:rPr>
          <w:rFonts w:eastAsia="Calibri"/>
        </w:rPr>
        <w:t>The following table presents the assumptions and the results of the deemed savings for each reference location.</w:t>
      </w:r>
    </w:p>
    <w:p w14:paraId="76CDA7D6" w14:textId="190EF184" w:rsidR="007376E1" w:rsidRPr="001570EA" w:rsidRDefault="007376E1" w:rsidP="007376E1">
      <w:pPr>
        <w:pStyle w:val="Caption"/>
      </w:pPr>
    </w:p>
    <w:p w14:paraId="575D5F4C" w14:textId="0CC2AAEA" w:rsidR="00521734" w:rsidRPr="001570EA" w:rsidRDefault="00521734" w:rsidP="00521734">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43</w:t>
      </w:r>
      <w:r w:rsidR="002E093A" w:rsidRPr="001570EA">
        <w:fldChar w:fldCharType="end"/>
      </w:r>
      <w:r w:rsidRPr="001570EA">
        <w:t>: Default Air Handler Filter Whistle Savings</w:t>
      </w:r>
    </w:p>
    <w:tbl>
      <w:tblPr>
        <w:tblStyle w:val="TableGrid"/>
        <w:tblW w:w="8545" w:type="dxa"/>
        <w:tblLayout w:type="fixed"/>
        <w:tblLook w:val="04A0" w:firstRow="1" w:lastRow="0" w:firstColumn="1" w:lastColumn="0" w:noHBand="0" w:noVBand="1"/>
      </w:tblPr>
      <w:tblGrid>
        <w:gridCol w:w="799"/>
        <w:gridCol w:w="1279"/>
        <w:gridCol w:w="2770"/>
        <w:gridCol w:w="1016"/>
        <w:gridCol w:w="795"/>
        <w:gridCol w:w="940"/>
        <w:gridCol w:w="940"/>
        <w:gridCol w:w="6"/>
      </w:tblGrid>
      <w:tr w:rsidR="007376E1" w:rsidRPr="001570EA" w14:paraId="2F425DF7" w14:textId="77777777">
        <w:tc>
          <w:tcPr>
            <w:tcW w:w="985" w:type="dxa"/>
            <w:vMerge w:val="restart"/>
            <w:shd w:val="clear" w:color="auto" w:fill="BFBFBF" w:themeFill="background1" w:themeFillShade="BF"/>
            <w:vAlign w:val="center"/>
          </w:tcPr>
          <w:p w14:paraId="4AACA81D" w14:textId="77777777" w:rsidR="007376E1" w:rsidRPr="001570EA" w:rsidRDefault="007376E1">
            <w:pPr>
              <w:pStyle w:val="BodyText"/>
              <w:keepNext/>
              <w:ind w:right="17"/>
              <w:jc w:val="center"/>
              <w:rPr>
                <w:rFonts w:eastAsia="Calibri"/>
                <w:b/>
                <w:sz w:val="18"/>
                <w:szCs w:val="18"/>
              </w:rPr>
            </w:pPr>
            <w:r w:rsidRPr="001570EA">
              <w:rPr>
                <w:rFonts w:eastAsia="Calibri"/>
                <w:b/>
                <w:sz w:val="18"/>
                <w:szCs w:val="18"/>
              </w:rPr>
              <w:t>Climate Region</w:t>
            </w:r>
          </w:p>
        </w:tc>
        <w:tc>
          <w:tcPr>
            <w:tcW w:w="1620" w:type="dxa"/>
            <w:vMerge w:val="restart"/>
            <w:shd w:val="clear" w:color="auto" w:fill="BFBFBF" w:themeFill="background1" w:themeFillShade="BF"/>
            <w:vAlign w:val="center"/>
          </w:tcPr>
          <w:p w14:paraId="5CBA459D" w14:textId="77777777" w:rsidR="007376E1" w:rsidRPr="001570EA" w:rsidRDefault="007376E1">
            <w:pPr>
              <w:pStyle w:val="BodyText"/>
              <w:keepNext/>
              <w:ind w:right="17"/>
              <w:jc w:val="center"/>
              <w:rPr>
                <w:rFonts w:eastAsia="Calibri"/>
                <w:b/>
                <w:sz w:val="18"/>
                <w:szCs w:val="18"/>
              </w:rPr>
            </w:pPr>
            <w:r w:rsidRPr="001570EA">
              <w:rPr>
                <w:rFonts w:eastAsia="Calibri"/>
                <w:b/>
                <w:sz w:val="18"/>
                <w:szCs w:val="18"/>
              </w:rPr>
              <w:t>Reference City</w:t>
            </w:r>
          </w:p>
        </w:tc>
        <w:tc>
          <w:tcPr>
            <w:tcW w:w="3600" w:type="dxa"/>
            <w:shd w:val="clear" w:color="auto" w:fill="BFBFBF" w:themeFill="background1" w:themeFillShade="BF"/>
            <w:vAlign w:val="center"/>
          </w:tcPr>
          <w:p w14:paraId="710D7325" w14:textId="77777777" w:rsidR="007376E1" w:rsidRPr="001570EA" w:rsidRDefault="007376E1">
            <w:pPr>
              <w:pStyle w:val="BodyText"/>
              <w:keepNext/>
              <w:ind w:right="0"/>
              <w:jc w:val="center"/>
              <w:rPr>
                <w:rFonts w:eastAsia="Calibri"/>
                <w:b/>
                <w:sz w:val="18"/>
                <w:szCs w:val="18"/>
              </w:rPr>
            </w:pPr>
            <w:r w:rsidRPr="001570EA">
              <w:rPr>
                <w:rFonts w:eastAsia="Calibri"/>
                <w:b/>
                <w:sz w:val="18"/>
                <w:szCs w:val="18"/>
              </w:rPr>
              <w:t>Heating</w:t>
            </w:r>
          </w:p>
        </w:tc>
        <w:tc>
          <w:tcPr>
            <w:tcW w:w="2340" w:type="dxa"/>
            <w:gridSpan w:val="5"/>
            <w:shd w:val="clear" w:color="auto" w:fill="BFBFBF" w:themeFill="background1" w:themeFillShade="BF"/>
            <w:vAlign w:val="center"/>
          </w:tcPr>
          <w:p w14:paraId="2C074DDA" w14:textId="77777777" w:rsidR="007376E1" w:rsidRPr="001570EA" w:rsidRDefault="007376E1">
            <w:pPr>
              <w:pStyle w:val="BodyText"/>
              <w:keepNext/>
              <w:ind w:right="0"/>
              <w:jc w:val="center"/>
              <w:rPr>
                <w:rFonts w:eastAsia="Calibri"/>
                <w:b/>
                <w:sz w:val="18"/>
                <w:szCs w:val="18"/>
              </w:rPr>
            </w:pPr>
            <w:r w:rsidRPr="001570EA">
              <w:rPr>
                <w:rFonts w:eastAsia="Calibri"/>
                <w:b/>
                <w:sz w:val="18"/>
                <w:szCs w:val="18"/>
              </w:rPr>
              <w:t>Cooling</w:t>
            </w:r>
          </w:p>
        </w:tc>
      </w:tr>
      <w:tr w:rsidR="007376E1" w:rsidRPr="001570EA" w14:paraId="5F9728B5" w14:textId="77777777">
        <w:trPr>
          <w:gridAfter w:val="1"/>
          <w:wAfter w:w="6" w:type="dxa"/>
        </w:trPr>
        <w:tc>
          <w:tcPr>
            <w:tcW w:w="985" w:type="dxa"/>
            <w:vMerge/>
            <w:shd w:val="clear" w:color="auto" w:fill="BFBFBF" w:themeFill="background1" w:themeFillShade="BF"/>
          </w:tcPr>
          <w:p w14:paraId="201BA84C" w14:textId="77777777" w:rsidR="007376E1" w:rsidRPr="001570EA" w:rsidRDefault="007376E1">
            <w:pPr>
              <w:pStyle w:val="BodyText"/>
              <w:keepNext/>
              <w:ind w:right="17"/>
              <w:jc w:val="center"/>
              <w:rPr>
                <w:rFonts w:eastAsia="Calibri"/>
                <w:b/>
                <w:sz w:val="18"/>
                <w:szCs w:val="18"/>
              </w:rPr>
            </w:pPr>
          </w:p>
        </w:tc>
        <w:tc>
          <w:tcPr>
            <w:tcW w:w="1620" w:type="dxa"/>
            <w:vMerge/>
            <w:shd w:val="clear" w:color="auto" w:fill="BFBFBF" w:themeFill="background1" w:themeFillShade="BF"/>
          </w:tcPr>
          <w:p w14:paraId="60141DBC" w14:textId="77777777" w:rsidR="007376E1" w:rsidRPr="001570EA" w:rsidRDefault="007376E1">
            <w:pPr>
              <w:pStyle w:val="BodyText"/>
              <w:keepNext/>
              <w:ind w:right="17"/>
              <w:jc w:val="center"/>
              <w:rPr>
                <w:rFonts w:eastAsia="Calibri"/>
                <w:b/>
                <w:sz w:val="18"/>
                <w:szCs w:val="18"/>
              </w:rPr>
            </w:pPr>
          </w:p>
        </w:tc>
        <w:tc>
          <w:tcPr>
            <w:tcW w:w="1350" w:type="dxa"/>
            <w:shd w:val="clear" w:color="auto" w:fill="BFBFBF" w:themeFill="background1" w:themeFillShade="BF"/>
            <w:vAlign w:val="center"/>
          </w:tcPr>
          <w:p w14:paraId="7EC5A2FD" w14:textId="77777777" w:rsidR="007376E1" w:rsidRPr="001570EA" w:rsidRDefault="007376E1">
            <w:pPr>
              <w:pStyle w:val="BodyText"/>
              <w:keepNext/>
              <w:ind w:right="0"/>
              <w:jc w:val="center"/>
              <w:rPr>
                <w:rFonts w:eastAsia="Calibri"/>
                <w:b/>
                <w:sz w:val="18"/>
                <w:szCs w:val="18"/>
              </w:rPr>
            </w:pPr>
            <w:r w:rsidRPr="001570EA">
              <w:rPr>
                <w:rFonts w:eastAsia="Calibri"/>
                <w:b/>
                <w:sz w:val="18"/>
                <w:szCs w:val="18"/>
              </w:rPr>
              <w:t>ASHP kWh</w:t>
            </w:r>
          </w:p>
        </w:tc>
        <w:tc>
          <w:tcPr>
            <w:tcW w:w="1272" w:type="dxa"/>
            <w:shd w:val="clear" w:color="auto" w:fill="BFBFBF" w:themeFill="background1" w:themeFillShade="BF"/>
            <w:vAlign w:val="center"/>
          </w:tcPr>
          <w:p w14:paraId="7F0AC11D" w14:textId="77777777" w:rsidR="007376E1" w:rsidRPr="001570EA" w:rsidRDefault="007376E1">
            <w:pPr>
              <w:pStyle w:val="BodyText"/>
              <w:keepNext/>
              <w:ind w:right="0"/>
              <w:jc w:val="center"/>
              <w:rPr>
                <w:rFonts w:eastAsia="Calibri"/>
                <w:b/>
                <w:sz w:val="18"/>
                <w:szCs w:val="18"/>
              </w:rPr>
            </w:pPr>
            <w:r w:rsidRPr="001570EA">
              <w:rPr>
                <w:rFonts w:eastAsia="Calibri"/>
                <w:b/>
                <w:sz w:val="18"/>
                <w:szCs w:val="18"/>
              </w:rPr>
              <w:t>Furnace kWh</w:t>
            </w:r>
          </w:p>
        </w:tc>
        <w:tc>
          <w:tcPr>
            <w:tcW w:w="978" w:type="dxa"/>
            <w:shd w:val="clear" w:color="auto" w:fill="BFBFBF" w:themeFill="background1" w:themeFillShade="BF"/>
          </w:tcPr>
          <w:p w14:paraId="5A9F6374" w14:textId="77777777" w:rsidR="007376E1" w:rsidRPr="001570EA" w:rsidRDefault="007376E1">
            <w:pPr>
              <w:pStyle w:val="BodyText"/>
              <w:keepNext/>
              <w:ind w:right="0"/>
              <w:jc w:val="center"/>
              <w:rPr>
                <w:rFonts w:eastAsia="Calibri"/>
                <w:b/>
                <w:sz w:val="18"/>
                <w:szCs w:val="18"/>
              </w:rPr>
            </w:pPr>
            <w:r w:rsidRPr="001570EA">
              <w:rPr>
                <w:rFonts w:eastAsia="Calibri"/>
                <w:b/>
                <w:sz w:val="18"/>
                <w:szCs w:val="18"/>
              </w:rPr>
              <w:t>Winter kW</w:t>
            </w:r>
          </w:p>
        </w:tc>
        <w:tc>
          <w:tcPr>
            <w:tcW w:w="1170" w:type="dxa"/>
            <w:shd w:val="clear" w:color="auto" w:fill="BFBFBF" w:themeFill="background1" w:themeFillShade="BF"/>
            <w:vAlign w:val="center"/>
          </w:tcPr>
          <w:p w14:paraId="2FB744F7" w14:textId="77777777" w:rsidR="007376E1" w:rsidRPr="001570EA" w:rsidRDefault="007376E1">
            <w:pPr>
              <w:pStyle w:val="BodyText"/>
              <w:keepNext/>
              <w:ind w:right="0"/>
              <w:jc w:val="center"/>
              <w:rPr>
                <w:rFonts w:eastAsia="Calibri"/>
                <w:b/>
                <w:sz w:val="18"/>
                <w:szCs w:val="18"/>
              </w:rPr>
            </w:pPr>
            <w:r w:rsidRPr="001570EA">
              <w:rPr>
                <w:rFonts w:eastAsia="Calibri"/>
                <w:b/>
                <w:sz w:val="18"/>
                <w:szCs w:val="18"/>
              </w:rPr>
              <w:t>kWh</w:t>
            </w:r>
          </w:p>
        </w:tc>
        <w:tc>
          <w:tcPr>
            <w:tcW w:w="1170" w:type="dxa"/>
            <w:shd w:val="clear" w:color="auto" w:fill="BFBFBF" w:themeFill="background1" w:themeFillShade="BF"/>
            <w:vAlign w:val="center"/>
          </w:tcPr>
          <w:p w14:paraId="24DD79D2" w14:textId="77777777" w:rsidR="007376E1" w:rsidRPr="001570EA" w:rsidRDefault="007376E1">
            <w:pPr>
              <w:pStyle w:val="BodyText"/>
              <w:keepNext/>
              <w:ind w:right="0"/>
              <w:jc w:val="center"/>
              <w:rPr>
                <w:rFonts w:eastAsia="Calibri"/>
                <w:b/>
                <w:sz w:val="18"/>
                <w:szCs w:val="18"/>
              </w:rPr>
            </w:pPr>
            <w:r w:rsidRPr="001570EA">
              <w:rPr>
                <w:rFonts w:eastAsia="Calibri"/>
                <w:b/>
                <w:sz w:val="18"/>
                <w:szCs w:val="18"/>
              </w:rPr>
              <w:t>Summer kW</w:t>
            </w:r>
          </w:p>
        </w:tc>
      </w:tr>
      <w:tr w:rsidR="007376E1" w:rsidRPr="001570EA" w14:paraId="4656E669" w14:textId="77777777">
        <w:trPr>
          <w:gridAfter w:val="1"/>
          <w:wAfter w:w="6" w:type="dxa"/>
          <w:trHeight w:val="288"/>
        </w:trPr>
        <w:tc>
          <w:tcPr>
            <w:tcW w:w="985" w:type="dxa"/>
            <w:shd w:val="clear" w:color="auto" w:fill="BFBFBF" w:themeFill="background1" w:themeFillShade="BF"/>
            <w:vAlign w:val="center"/>
          </w:tcPr>
          <w:p w14:paraId="4501832B" w14:textId="77777777" w:rsidR="007376E1" w:rsidRPr="001570EA" w:rsidRDefault="007376E1">
            <w:pPr>
              <w:pStyle w:val="BodyText"/>
              <w:keepNext/>
              <w:ind w:right="17"/>
              <w:jc w:val="center"/>
              <w:rPr>
                <w:rFonts w:cs="Arial"/>
                <w:b/>
                <w:sz w:val="18"/>
                <w:szCs w:val="18"/>
              </w:rPr>
            </w:pPr>
            <w:r w:rsidRPr="001570EA">
              <w:rPr>
                <w:rFonts w:cs="Arial"/>
                <w:b/>
                <w:sz w:val="18"/>
                <w:szCs w:val="18"/>
              </w:rPr>
              <w:t>C</w:t>
            </w:r>
          </w:p>
        </w:tc>
        <w:tc>
          <w:tcPr>
            <w:tcW w:w="1620" w:type="dxa"/>
            <w:vAlign w:val="center"/>
          </w:tcPr>
          <w:p w14:paraId="6611D32C" w14:textId="77777777" w:rsidR="007376E1" w:rsidRPr="001570EA" w:rsidRDefault="007376E1">
            <w:pPr>
              <w:pStyle w:val="BodyText"/>
              <w:keepNext/>
              <w:ind w:right="17"/>
              <w:rPr>
                <w:rFonts w:cs="Arial"/>
                <w:color w:val="000000"/>
                <w:sz w:val="18"/>
                <w:szCs w:val="18"/>
              </w:rPr>
            </w:pPr>
            <w:r w:rsidRPr="001570EA">
              <w:rPr>
                <w:rFonts w:cs="Arial"/>
                <w:sz w:val="18"/>
                <w:szCs w:val="18"/>
              </w:rPr>
              <w:t>Allentown</w:t>
            </w:r>
          </w:p>
        </w:tc>
        <w:tc>
          <w:tcPr>
            <w:tcW w:w="1350" w:type="dxa"/>
            <w:vAlign w:val="bottom"/>
          </w:tcPr>
          <w:p w14:paraId="54DF34EC"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4.75</w:t>
            </w:r>
          </w:p>
        </w:tc>
        <w:tc>
          <w:tcPr>
            <w:tcW w:w="1272" w:type="dxa"/>
            <w:vAlign w:val="bottom"/>
          </w:tcPr>
          <w:p w14:paraId="11FE17D5" w14:textId="77777777" w:rsidR="007376E1" w:rsidRPr="001570EA" w:rsidRDefault="007376E1">
            <w:pPr>
              <w:pStyle w:val="BodyText"/>
              <w:keepNext/>
              <w:ind w:right="0"/>
              <w:jc w:val="center"/>
              <w:rPr>
                <w:rFonts w:cs="Arial"/>
                <w:color w:val="000000"/>
                <w:sz w:val="18"/>
                <w:szCs w:val="18"/>
              </w:rPr>
            </w:pPr>
            <w:r w:rsidRPr="001570EA">
              <w:rPr>
                <w:rFonts w:cs="Arial"/>
                <w:sz w:val="18"/>
                <w:szCs w:val="18"/>
              </w:rPr>
              <w:t>3.27</w:t>
            </w:r>
          </w:p>
        </w:tc>
        <w:tc>
          <w:tcPr>
            <w:tcW w:w="978" w:type="dxa"/>
            <w:vAlign w:val="bottom"/>
          </w:tcPr>
          <w:p w14:paraId="5BE4EE8A" w14:textId="77777777" w:rsidR="007376E1" w:rsidRPr="001570EA" w:rsidRDefault="007376E1">
            <w:pPr>
              <w:pStyle w:val="BodyText"/>
              <w:keepNext/>
              <w:ind w:right="0"/>
              <w:jc w:val="center"/>
              <w:rPr>
                <w:rFonts w:cs="Arial"/>
                <w:sz w:val="18"/>
                <w:szCs w:val="18"/>
              </w:rPr>
            </w:pPr>
            <w:r w:rsidRPr="001570EA">
              <w:rPr>
                <w:rFonts w:cs="Arial"/>
                <w:sz w:val="18"/>
                <w:szCs w:val="18"/>
              </w:rPr>
              <w:t>0.0014</w:t>
            </w:r>
          </w:p>
        </w:tc>
        <w:tc>
          <w:tcPr>
            <w:tcW w:w="1170" w:type="dxa"/>
            <w:vAlign w:val="bottom"/>
          </w:tcPr>
          <w:p w14:paraId="78A00BC1"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3.01</w:t>
            </w:r>
          </w:p>
        </w:tc>
        <w:tc>
          <w:tcPr>
            <w:tcW w:w="1170" w:type="dxa"/>
            <w:vAlign w:val="bottom"/>
          </w:tcPr>
          <w:p w14:paraId="2EEFF356"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0.0017</w:t>
            </w:r>
          </w:p>
        </w:tc>
      </w:tr>
      <w:tr w:rsidR="007376E1" w:rsidRPr="001570EA" w14:paraId="601BF3AE" w14:textId="77777777">
        <w:trPr>
          <w:gridAfter w:val="1"/>
          <w:wAfter w:w="6" w:type="dxa"/>
          <w:trHeight w:val="288"/>
        </w:trPr>
        <w:tc>
          <w:tcPr>
            <w:tcW w:w="985" w:type="dxa"/>
            <w:shd w:val="clear" w:color="auto" w:fill="BFBFBF" w:themeFill="background1" w:themeFillShade="BF"/>
            <w:vAlign w:val="center"/>
          </w:tcPr>
          <w:p w14:paraId="0ED21E84" w14:textId="77777777" w:rsidR="007376E1" w:rsidRPr="001570EA" w:rsidRDefault="007376E1">
            <w:pPr>
              <w:pStyle w:val="BodyText"/>
              <w:keepNext/>
              <w:ind w:right="17"/>
              <w:jc w:val="center"/>
              <w:rPr>
                <w:rFonts w:cs="Arial"/>
                <w:b/>
                <w:sz w:val="18"/>
                <w:szCs w:val="18"/>
              </w:rPr>
            </w:pPr>
            <w:r w:rsidRPr="001570EA">
              <w:rPr>
                <w:rFonts w:cs="Arial"/>
                <w:b/>
                <w:sz w:val="18"/>
                <w:szCs w:val="18"/>
              </w:rPr>
              <w:t>A</w:t>
            </w:r>
          </w:p>
        </w:tc>
        <w:tc>
          <w:tcPr>
            <w:tcW w:w="1620" w:type="dxa"/>
            <w:vAlign w:val="center"/>
          </w:tcPr>
          <w:p w14:paraId="2DE975A9" w14:textId="77777777" w:rsidR="007376E1" w:rsidRPr="001570EA" w:rsidRDefault="007376E1">
            <w:pPr>
              <w:pStyle w:val="BodyText"/>
              <w:keepNext/>
              <w:ind w:right="17"/>
              <w:rPr>
                <w:rFonts w:cs="Arial"/>
                <w:color w:val="000000"/>
                <w:sz w:val="18"/>
                <w:szCs w:val="18"/>
              </w:rPr>
            </w:pPr>
            <w:r w:rsidRPr="001570EA">
              <w:rPr>
                <w:rFonts w:cs="Arial"/>
                <w:sz w:val="18"/>
                <w:szCs w:val="18"/>
              </w:rPr>
              <w:t>Binghamton, NY</w:t>
            </w:r>
          </w:p>
        </w:tc>
        <w:tc>
          <w:tcPr>
            <w:tcW w:w="1350" w:type="dxa"/>
            <w:vAlign w:val="bottom"/>
          </w:tcPr>
          <w:p w14:paraId="7053A7B6"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6.00</w:t>
            </w:r>
          </w:p>
        </w:tc>
        <w:tc>
          <w:tcPr>
            <w:tcW w:w="1272" w:type="dxa"/>
            <w:vAlign w:val="bottom"/>
          </w:tcPr>
          <w:p w14:paraId="5455F0B8" w14:textId="77777777" w:rsidR="007376E1" w:rsidRPr="001570EA" w:rsidRDefault="007376E1">
            <w:pPr>
              <w:pStyle w:val="BodyText"/>
              <w:keepNext/>
              <w:ind w:right="0"/>
              <w:jc w:val="center"/>
              <w:rPr>
                <w:rFonts w:cs="Arial"/>
                <w:color w:val="000000"/>
                <w:sz w:val="18"/>
                <w:szCs w:val="18"/>
              </w:rPr>
            </w:pPr>
            <w:r w:rsidRPr="001570EA">
              <w:rPr>
                <w:rFonts w:cs="Arial"/>
                <w:sz w:val="18"/>
                <w:szCs w:val="18"/>
              </w:rPr>
              <w:t>4.63</w:t>
            </w:r>
          </w:p>
        </w:tc>
        <w:tc>
          <w:tcPr>
            <w:tcW w:w="978" w:type="dxa"/>
            <w:vAlign w:val="bottom"/>
          </w:tcPr>
          <w:p w14:paraId="0000A993" w14:textId="77777777" w:rsidR="007376E1" w:rsidRPr="001570EA" w:rsidRDefault="007376E1">
            <w:pPr>
              <w:pStyle w:val="BodyText"/>
              <w:keepNext/>
              <w:ind w:right="0"/>
              <w:jc w:val="center"/>
              <w:rPr>
                <w:rFonts w:cs="Arial"/>
                <w:sz w:val="18"/>
                <w:szCs w:val="18"/>
              </w:rPr>
            </w:pPr>
            <w:r w:rsidRPr="001570EA">
              <w:rPr>
                <w:rFonts w:cs="Arial"/>
                <w:sz w:val="18"/>
                <w:szCs w:val="18"/>
              </w:rPr>
              <w:t>0.0018</w:t>
            </w:r>
          </w:p>
        </w:tc>
        <w:tc>
          <w:tcPr>
            <w:tcW w:w="1170" w:type="dxa"/>
            <w:vAlign w:val="bottom"/>
          </w:tcPr>
          <w:p w14:paraId="34762101"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1.53</w:t>
            </w:r>
          </w:p>
        </w:tc>
        <w:tc>
          <w:tcPr>
            <w:tcW w:w="1170" w:type="dxa"/>
            <w:vAlign w:val="bottom"/>
          </w:tcPr>
          <w:p w14:paraId="32DCEA79"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0.0010</w:t>
            </w:r>
          </w:p>
        </w:tc>
      </w:tr>
      <w:tr w:rsidR="007376E1" w:rsidRPr="001570EA" w14:paraId="14B85304" w14:textId="77777777">
        <w:trPr>
          <w:gridAfter w:val="1"/>
          <w:wAfter w:w="6" w:type="dxa"/>
          <w:trHeight w:val="288"/>
        </w:trPr>
        <w:tc>
          <w:tcPr>
            <w:tcW w:w="985" w:type="dxa"/>
            <w:shd w:val="clear" w:color="auto" w:fill="BFBFBF" w:themeFill="background1" w:themeFillShade="BF"/>
            <w:vAlign w:val="center"/>
          </w:tcPr>
          <w:p w14:paraId="2B603E3E" w14:textId="77777777" w:rsidR="007376E1" w:rsidRPr="001570EA" w:rsidRDefault="007376E1">
            <w:pPr>
              <w:pStyle w:val="BodyText"/>
              <w:keepNext/>
              <w:ind w:right="17"/>
              <w:jc w:val="center"/>
              <w:rPr>
                <w:rFonts w:cs="Arial"/>
                <w:b/>
                <w:sz w:val="18"/>
                <w:szCs w:val="18"/>
              </w:rPr>
            </w:pPr>
            <w:r w:rsidRPr="001570EA">
              <w:rPr>
                <w:rFonts w:cs="Arial"/>
                <w:b/>
                <w:sz w:val="18"/>
                <w:szCs w:val="18"/>
              </w:rPr>
              <w:t>G</w:t>
            </w:r>
          </w:p>
        </w:tc>
        <w:tc>
          <w:tcPr>
            <w:tcW w:w="1620" w:type="dxa"/>
            <w:vAlign w:val="center"/>
          </w:tcPr>
          <w:p w14:paraId="264096CF" w14:textId="77777777" w:rsidR="007376E1" w:rsidRPr="001570EA" w:rsidRDefault="007376E1">
            <w:pPr>
              <w:pStyle w:val="BodyText"/>
              <w:keepNext/>
              <w:ind w:right="17"/>
              <w:rPr>
                <w:rFonts w:cs="Arial"/>
                <w:color w:val="000000" w:themeColor="text1"/>
                <w:sz w:val="18"/>
                <w:szCs w:val="18"/>
              </w:rPr>
            </w:pPr>
            <w:r w:rsidRPr="001570EA">
              <w:rPr>
                <w:rFonts w:cs="Arial"/>
                <w:sz w:val="18"/>
                <w:szCs w:val="18"/>
              </w:rPr>
              <w:t>Bradford</w:t>
            </w:r>
          </w:p>
        </w:tc>
        <w:tc>
          <w:tcPr>
            <w:tcW w:w="1350" w:type="dxa"/>
            <w:vAlign w:val="bottom"/>
          </w:tcPr>
          <w:p w14:paraId="16E64537"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6.12</w:t>
            </w:r>
          </w:p>
        </w:tc>
        <w:tc>
          <w:tcPr>
            <w:tcW w:w="1272" w:type="dxa"/>
            <w:vAlign w:val="bottom"/>
          </w:tcPr>
          <w:p w14:paraId="1AFA036F" w14:textId="77777777" w:rsidR="007376E1" w:rsidRPr="001570EA" w:rsidRDefault="007376E1">
            <w:pPr>
              <w:pStyle w:val="BodyText"/>
              <w:keepNext/>
              <w:ind w:right="0"/>
              <w:jc w:val="center"/>
              <w:rPr>
                <w:rFonts w:cs="Arial"/>
                <w:color w:val="000000"/>
                <w:sz w:val="18"/>
                <w:szCs w:val="18"/>
              </w:rPr>
            </w:pPr>
            <w:r w:rsidRPr="001570EA">
              <w:rPr>
                <w:rFonts w:cs="Arial"/>
                <w:sz w:val="18"/>
                <w:szCs w:val="18"/>
              </w:rPr>
              <w:t>4.71</w:t>
            </w:r>
          </w:p>
        </w:tc>
        <w:tc>
          <w:tcPr>
            <w:tcW w:w="978" w:type="dxa"/>
            <w:vAlign w:val="bottom"/>
          </w:tcPr>
          <w:p w14:paraId="04627280" w14:textId="77777777" w:rsidR="007376E1" w:rsidRPr="001570EA" w:rsidRDefault="007376E1">
            <w:pPr>
              <w:pStyle w:val="BodyText"/>
              <w:keepNext/>
              <w:ind w:right="0"/>
              <w:jc w:val="center"/>
              <w:rPr>
                <w:rFonts w:cs="Arial"/>
                <w:sz w:val="18"/>
                <w:szCs w:val="18"/>
              </w:rPr>
            </w:pPr>
            <w:r w:rsidRPr="001570EA">
              <w:rPr>
                <w:rFonts w:cs="Arial"/>
                <w:sz w:val="18"/>
                <w:szCs w:val="18"/>
              </w:rPr>
              <w:t>0.0018</w:t>
            </w:r>
          </w:p>
        </w:tc>
        <w:tc>
          <w:tcPr>
            <w:tcW w:w="1170" w:type="dxa"/>
            <w:vAlign w:val="bottom"/>
          </w:tcPr>
          <w:p w14:paraId="4FCF3C51"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1.21</w:t>
            </w:r>
          </w:p>
        </w:tc>
        <w:tc>
          <w:tcPr>
            <w:tcW w:w="1170" w:type="dxa"/>
            <w:vAlign w:val="bottom"/>
          </w:tcPr>
          <w:p w14:paraId="5C49C285"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0.0009</w:t>
            </w:r>
          </w:p>
        </w:tc>
      </w:tr>
      <w:tr w:rsidR="007376E1" w:rsidRPr="001570EA" w14:paraId="46B6FE0D" w14:textId="77777777">
        <w:trPr>
          <w:gridAfter w:val="1"/>
          <w:wAfter w:w="6" w:type="dxa"/>
          <w:trHeight w:val="288"/>
        </w:trPr>
        <w:tc>
          <w:tcPr>
            <w:tcW w:w="985" w:type="dxa"/>
            <w:shd w:val="clear" w:color="auto" w:fill="BFBFBF" w:themeFill="background1" w:themeFillShade="BF"/>
            <w:vAlign w:val="center"/>
          </w:tcPr>
          <w:p w14:paraId="7E558D1A" w14:textId="77777777" w:rsidR="007376E1" w:rsidRPr="001570EA" w:rsidRDefault="007376E1">
            <w:pPr>
              <w:pStyle w:val="BodyText"/>
              <w:keepNext/>
              <w:ind w:right="17"/>
              <w:jc w:val="center"/>
              <w:rPr>
                <w:rFonts w:cs="Arial"/>
                <w:b/>
                <w:sz w:val="18"/>
                <w:szCs w:val="18"/>
              </w:rPr>
            </w:pPr>
            <w:r w:rsidRPr="001570EA">
              <w:rPr>
                <w:rFonts w:cs="Arial"/>
                <w:b/>
                <w:sz w:val="18"/>
                <w:szCs w:val="18"/>
              </w:rPr>
              <w:t>I</w:t>
            </w:r>
          </w:p>
        </w:tc>
        <w:tc>
          <w:tcPr>
            <w:tcW w:w="1620" w:type="dxa"/>
            <w:vAlign w:val="center"/>
          </w:tcPr>
          <w:p w14:paraId="331317AE" w14:textId="77777777" w:rsidR="007376E1" w:rsidRPr="001570EA" w:rsidRDefault="007376E1">
            <w:pPr>
              <w:pStyle w:val="BodyText"/>
              <w:keepNext/>
              <w:ind w:right="17"/>
              <w:rPr>
                <w:rFonts w:cs="Arial"/>
                <w:color w:val="000000"/>
                <w:sz w:val="18"/>
                <w:szCs w:val="18"/>
              </w:rPr>
            </w:pPr>
            <w:r w:rsidRPr="001570EA">
              <w:rPr>
                <w:rFonts w:cs="Arial"/>
                <w:sz w:val="18"/>
                <w:szCs w:val="18"/>
              </w:rPr>
              <w:t>Erie</w:t>
            </w:r>
          </w:p>
        </w:tc>
        <w:tc>
          <w:tcPr>
            <w:tcW w:w="1350" w:type="dxa"/>
            <w:vAlign w:val="bottom"/>
          </w:tcPr>
          <w:p w14:paraId="7E804426"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5.27</w:t>
            </w:r>
          </w:p>
        </w:tc>
        <w:tc>
          <w:tcPr>
            <w:tcW w:w="1272" w:type="dxa"/>
            <w:vAlign w:val="bottom"/>
          </w:tcPr>
          <w:p w14:paraId="19C3731F" w14:textId="77777777" w:rsidR="007376E1" w:rsidRPr="001570EA" w:rsidRDefault="007376E1">
            <w:pPr>
              <w:pStyle w:val="BodyText"/>
              <w:keepNext/>
              <w:ind w:right="0"/>
              <w:jc w:val="center"/>
              <w:rPr>
                <w:rFonts w:cs="Arial"/>
                <w:color w:val="000000"/>
                <w:sz w:val="18"/>
                <w:szCs w:val="18"/>
              </w:rPr>
            </w:pPr>
            <w:r w:rsidRPr="001570EA">
              <w:rPr>
                <w:rFonts w:cs="Arial"/>
                <w:sz w:val="18"/>
                <w:szCs w:val="18"/>
              </w:rPr>
              <w:t>3.74</w:t>
            </w:r>
          </w:p>
        </w:tc>
        <w:tc>
          <w:tcPr>
            <w:tcW w:w="978" w:type="dxa"/>
            <w:vAlign w:val="bottom"/>
          </w:tcPr>
          <w:p w14:paraId="7A2435EA" w14:textId="77777777" w:rsidR="007376E1" w:rsidRPr="001570EA" w:rsidRDefault="007376E1">
            <w:pPr>
              <w:pStyle w:val="BodyText"/>
              <w:keepNext/>
              <w:ind w:right="0"/>
              <w:jc w:val="center"/>
              <w:rPr>
                <w:rFonts w:cs="Arial"/>
                <w:sz w:val="18"/>
                <w:szCs w:val="18"/>
              </w:rPr>
            </w:pPr>
            <w:r w:rsidRPr="001570EA">
              <w:rPr>
                <w:rFonts w:cs="Arial"/>
                <w:sz w:val="18"/>
                <w:szCs w:val="18"/>
              </w:rPr>
              <w:t>0.0015</w:t>
            </w:r>
          </w:p>
        </w:tc>
        <w:tc>
          <w:tcPr>
            <w:tcW w:w="1170" w:type="dxa"/>
            <w:vAlign w:val="bottom"/>
          </w:tcPr>
          <w:p w14:paraId="5A35410D"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2.48</w:t>
            </w:r>
          </w:p>
        </w:tc>
        <w:tc>
          <w:tcPr>
            <w:tcW w:w="1170" w:type="dxa"/>
            <w:vAlign w:val="bottom"/>
          </w:tcPr>
          <w:p w14:paraId="480D710E"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0.0012</w:t>
            </w:r>
          </w:p>
        </w:tc>
      </w:tr>
      <w:tr w:rsidR="007376E1" w:rsidRPr="001570EA" w14:paraId="1DD6B7D4" w14:textId="77777777">
        <w:trPr>
          <w:gridAfter w:val="1"/>
          <w:wAfter w:w="6" w:type="dxa"/>
          <w:trHeight w:val="288"/>
        </w:trPr>
        <w:tc>
          <w:tcPr>
            <w:tcW w:w="985" w:type="dxa"/>
            <w:shd w:val="clear" w:color="auto" w:fill="BFBFBF" w:themeFill="background1" w:themeFillShade="BF"/>
            <w:vAlign w:val="center"/>
          </w:tcPr>
          <w:p w14:paraId="753D1C00" w14:textId="77777777" w:rsidR="007376E1" w:rsidRPr="001570EA" w:rsidRDefault="007376E1">
            <w:pPr>
              <w:pStyle w:val="BodyText"/>
              <w:keepNext/>
              <w:ind w:right="17"/>
              <w:jc w:val="center"/>
              <w:rPr>
                <w:rFonts w:cs="Arial"/>
                <w:b/>
                <w:sz w:val="18"/>
                <w:szCs w:val="18"/>
              </w:rPr>
            </w:pPr>
            <w:r w:rsidRPr="001570EA">
              <w:rPr>
                <w:rFonts w:cs="Arial"/>
                <w:b/>
                <w:sz w:val="18"/>
                <w:szCs w:val="18"/>
              </w:rPr>
              <w:t>E</w:t>
            </w:r>
          </w:p>
        </w:tc>
        <w:tc>
          <w:tcPr>
            <w:tcW w:w="1620" w:type="dxa"/>
            <w:vAlign w:val="center"/>
          </w:tcPr>
          <w:p w14:paraId="44681FB0" w14:textId="77777777" w:rsidR="007376E1" w:rsidRPr="001570EA" w:rsidRDefault="007376E1">
            <w:pPr>
              <w:pStyle w:val="BodyText"/>
              <w:keepNext/>
              <w:ind w:right="17"/>
              <w:rPr>
                <w:rFonts w:cs="Arial"/>
                <w:color w:val="000000"/>
                <w:sz w:val="18"/>
                <w:szCs w:val="18"/>
              </w:rPr>
            </w:pPr>
            <w:r w:rsidRPr="001570EA">
              <w:rPr>
                <w:rFonts w:cs="Arial"/>
                <w:sz w:val="18"/>
                <w:szCs w:val="18"/>
              </w:rPr>
              <w:t>Harrisburg</w:t>
            </w:r>
          </w:p>
        </w:tc>
        <w:tc>
          <w:tcPr>
            <w:tcW w:w="1350" w:type="dxa"/>
            <w:vAlign w:val="bottom"/>
          </w:tcPr>
          <w:p w14:paraId="69948E28"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4.53</w:t>
            </w:r>
          </w:p>
        </w:tc>
        <w:tc>
          <w:tcPr>
            <w:tcW w:w="1272" w:type="dxa"/>
            <w:vAlign w:val="bottom"/>
          </w:tcPr>
          <w:p w14:paraId="031E91F7" w14:textId="77777777" w:rsidR="007376E1" w:rsidRPr="001570EA" w:rsidRDefault="007376E1">
            <w:pPr>
              <w:pStyle w:val="BodyText"/>
              <w:keepNext/>
              <w:ind w:right="0"/>
              <w:jc w:val="center"/>
              <w:rPr>
                <w:rFonts w:cs="Arial"/>
                <w:color w:val="000000"/>
                <w:sz w:val="18"/>
                <w:szCs w:val="18"/>
              </w:rPr>
            </w:pPr>
            <w:r w:rsidRPr="001570EA">
              <w:rPr>
                <w:rFonts w:cs="Arial"/>
                <w:sz w:val="18"/>
                <w:szCs w:val="18"/>
              </w:rPr>
              <w:t>3.10</w:t>
            </w:r>
          </w:p>
        </w:tc>
        <w:tc>
          <w:tcPr>
            <w:tcW w:w="978" w:type="dxa"/>
            <w:vAlign w:val="bottom"/>
          </w:tcPr>
          <w:p w14:paraId="46D266C1" w14:textId="77777777" w:rsidR="007376E1" w:rsidRPr="001570EA" w:rsidRDefault="007376E1">
            <w:pPr>
              <w:pStyle w:val="BodyText"/>
              <w:keepNext/>
              <w:ind w:right="0"/>
              <w:jc w:val="center"/>
              <w:rPr>
                <w:rFonts w:cs="Arial"/>
                <w:sz w:val="18"/>
                <w:szCs w:val="18"/>
              </w:rPr>
            </w:pPr>
            <w:r w:rsidRPr="001570EA">
              <w:rPr>
                <w:rFonts w:cs="Arial"/>
                <w:sz w:val="18"/>
                <w:szCs w:val="18"/>
              </w:rPr>
              <w:t>0.0013</w:t>
            </w:r>
          </w:p>
        </w:tc>
        <w:tc>
          <w:tcPr>
            <w:tcW w:w="1170" w:type="dxa"/>
            <w:vAlign w:val="bottom"/>
          </w:tcPr>
          <w:p w14:paraId="10BCD289"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3.40</w:t>
            </w:r>
          </w:p>
        </w:tc>
        <w:tc>
          <w:tcPr>
            <w:tcW w:w="1170" w:type="dxa"/>
            <w:vAlign w:val="bottom"/>
          </w:tcPr>
          <w:p w14:paraId="36E582C6"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0.0017</w:t>
            </w:r>
          </w:p>
        </w:tc>
      </w:tr>
      <w:tr w:rsidR="007376E1" w:rsidRPr="001570EA" w14:paraId="53ED70C0" w14:textId="77777777">
        <w:trPr>
          <w:gridAfter w:val="1"/>
          <w:wAfter w:w="6" w:type="dxa"/>
          <w:trHeight w:val="288"/>
        </w:trPr>
        <w:tc>
          <w:tcPr>
            <w:tcW w:w="985" w:type="dxa"/>
            <w:shd w:val="clear" w:color="auto" w:fill="BFBFBF" w:themeFill="background1" w:themeFillShade="BF"/>
            <w:vAlign w:val="center"/>
          </w:tcPr>
          <w:p w14:paraId="515707F2" w14:textId="77777777" w:rsidR="007376E1" w:rsidRPr="001570EA" w:rsidRDefault="007376E1">
            <w:pPr>
              <w:pStyle w:val="BodyText"/>
              <w:keepNext/>
              <w:ind w:right="17"/>
              <w:jc w:val="center"/>
              <w:rPr>
                <w:rFonts w:cs="Arial"/>
                <w:b/>
                <w:sz w:val="18"/>
                <w:szCs w:val="18"/>
              </w:rPr>
            </w:pPr>
            <w:r w:rsidRPr="001570EA">
              <w:rPr>
                <w:rFonts w:cs="Arial"/>
                <w:b/>
                <w:sz w:val="18"/>
                <w:szCs w:val="18"/>
              </w:rPr>
              <w:t>D</w:t>
            </w:r>
          </w:p>
        </w:tc>
        <w:tc>
          <w:tcPr>
            <w:tcW w:w="1620" w:type="dxa"/>
            <w:vAlign w:val="center"/>
          </w:tcPr>
          <w:p w14:paraId="12D8B724" w14:textId="77777777" w:rsidR="007376E1" w:rsidRPr="001570EA" w:rsidRDefault="007376E1">
            <w:pPr>
              <w:pStyle w:val="BodyText"/>
              <w:keepNext/>
              <w:ind w:right="17"/>
              <w:rPr>
                <w:rFonts w:cs="Arial"/>
                <w:color w:val="000000"/>
                <w:sz w:val="18"/>
                <w:szCs w:val="18"/>
              </w:rPr>
            </w:pPr>
            <w:r w:rsidRPr="001570EA">
              <w:rPr>
                <w:rFonts w:cs="Arial"/>
                <w:sz w:val="18"/>
                <w:szCs w:val="18"/>
              </w:rPr>
              <w:t>Philadelphia</w:t>
            </w:r>
          </w:p>
        </w:tc>
        <w:tc>
          <w:tcPr>
            <w:tcW w:w="1350" w:type="dxa"/>
            <w:vAlign w:val="bottom"/>
          </w:tcPr>
          <w:p w14:paraId="1EF6ACF5"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4.07</w:t>
            </w:r>
          </w:p>
        </w:tc>
        <w:tc>
          <w:tcPr>
            <w:tcW w:w="1272" w:type="dxa"/>
            <w:vAlign w:val="bottom"/>
          </w:tcPr>
          <w:p w14:paraId="7855F46A" w14:textId="77777777" w:rsidR="007376E1" w:rsidRPr="001570EA" w:rsidRDefault="007376E1">
            <w:pPr>
              <w:pStyle w:val="BodyText"/>
              <w:keepNext/>
              <w:ind w:right="0"/>
              <w:jc w:val="center"/>
              <w:rPr>
                <w:rFonts w:cs="Arial"/>
                <w:color w:val="000000"/>
                <w:sz w:val="18"/>
                <w:szCs w:val="18"/>
              </w:rPr>
            </w:pPr>
            <w:r w:rsidRPr="001570EA">
              <w:rPr>
                <w:rFonts w:cs="Arial"/>
                <w:sz w:val="18"/>
                <w:szCs w:val="18"/>
              </w:rPr>
              <w:t>2.70</w:t>
            </w:r>
          </w:p>
        </w:tc>
        <w:tc>
          <w:tcPr>
            <w:tcW w:w="978" w:type="dxa"/>
            <w:vAlign w:val="bottom"/>
          </w:tcPr>
          <w:p w14:paraId="148E764E" w14:textId="77777777" w:rsidR="007376E1" w:rsidRPr="001570EA" w:rsidRDefault="007376E1">
            <w:pPr>
              <w:pStyle w:val="BodyText"/>
              <w:keepNext/>
              <w:ind w:right="0"/>
              <w:jc w:val="center"/>
              <w:rPr>
                <w:rFonts w:cs="Arial"/>
                <w:sz w:val="18"/>
                <w:szCs w:val="18"/>
              </w:rPr>
            </w:pPr>
            <w:r w:rsidRPr="001570EA">
              <w:rPr>
                <w:rFonts w:cs="Arial"/>
                <w:sz w:val="18"/>
                <w:szCs w:val="18"/>
              </w:rPr>
              <w:t>0.0011</w:t>
            </w:r>
          </w:p>
        </w:tc>
        <w:tc>
          <w:tcPr>
            <w:tcW w:w="1170" w:type="dxa"/>
            <w:vAlign w:val="bottom"/>
          </w:tcPr>
          <w:p w14:paraId="385D421D"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3.85</w:t>
            </w:r>
          </w:p>
        </w:tc>
        <w:tc>
          <w:tcPr>
            <w:tcW w:w="1170" w:type="dxa"/>
            <w:vAlign w:val="bottom"/>
          </w:tcPr>
          <w:p w14:paraId="6CBE19B7"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0.0019</w:t>
            </w:r>
          </w:p>
        </w:tc>
      </w:tr>
      <w:tr w:rsidR="007376E1" w:rsidRPr="001570EA" w14:paraId="2BB8CA19" w14:textId="77777777">
        <w:trPr>
          <w:gridAfter w:val="1"/>
          <w:wAfter w:w="6" w:type="dxa"/>
          <w:trHeight w:val="288"/>
        </w:trPr>
        <w:tc>
          <w:tcPr>
            <w:tcW w:w="985" w:type="dxa"/>
            <w:shd w:val="clear" w:color="auto" w:fill="BFBFBF" w:themeFill="background1" w:themeFillShade="BF"/>
            <w:vAlign w:val="center"/>
          </w:tcPr>
          <w:p w14:paraId="570B458C" w14:textId="77777777" w:rsidR="007376E1" w:rsidRPr="001570EA" w:rsidRDefault="007376E1">
            <w:pPr>
              <w:pStyle w:val="BodyText"/>
              <w:keepNext/>
              <w:ind w:right="17"/>
              <w:jc w:val="center"/>
              <w:rPr>
                <w:rFonts w:cs="Arial"/>
                <w:b/>
                <w:sz w:val="18"/>
                <w:szCs w:val="18"/>
              </w:rPr>
            </w:pPr>
            <w:r w:rsidRPr="001570EA">
              <w:rPr>
                <w:rFonts w:cs="Arial"/>
                <w:b/>
                <w:sz w:val="18"/>
                <w:szCs w:val="18"/>
              </w:rPr>
              <w:t>H</w:t>
            </w:r>
          </w:p>
        </w:tc>
        <w:tc>
          <w:tcPr>
            <w:tcW w:w="1620" w:type="dxa"/>
            <w:vAlign w:val="center"/>
          </w:tcPr>
          <w:p w14:paraId="6677F6DB" w14:textId="77777777" w:rsidR="007376E1" w:rsidRPr="001570EA" w:rsidRDefault="007376E1">
            <w:pPr>
              <w:pStyle w:val="BodyText"/>
              <w:keepNext/>
              <w:ind w:right="17"/>
              <w:rPr>
                <w:rFonts w:cs="Arial"/>
                <w:color w:val="000000"/>
                <w:sz w:val="18"/>
                <w:szCs w:val="18"/>
              </w:rPr>
            </w:pPr>
            <w:r w:rsidRPr="001570EA">
              <w:rPr>
                <w:rFonts w:cs="Arial"/>
                <w:sz w:val="18"/>
                <w:szCs w:val="18"/>
              </w:rPr>
              <w:t>Pittsburgh</w:t>
            </w:r>
          </w:p>
        </w:tc>
        <w:tc>
          <w:tcPr>
            <w:tcW w:w="1350" w:type="dxa"/>
            <w:vAlign w:val="bottom"/>
          </w:tcPr>
          <w:p w14:paraId="23461816"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5.00</w:t>
            </w:r>
          </w:p>
        </w:tc>
        <w:tc>
          <w:tcPr>
            <w:tcW w:w="1272" w:type="dxa"/>
            <w:vAlign w:val="bottom"/>
          </w:tcPr>
          <w:p w14:paraId="5316C661" w14:textId="77777777" w:rsidR="007376E1" w:rsidRPr="001570EA" w:rsidRDefault="007376E1">
            <w:pPr>
              <w:pStyle w:val="BodyText"/>
              <w:keepNext/>
              <w:ind w:right="0"/>
              <w:jc w:val="center"/>
              <w:rPr>
                <w:rFonts w:cs="Arial"/>
                <w:color w:val="000000"/>
                <w:sz w:val="18"/>
                <w:szCs w:val="18"/>
              </w:rPr>
            </w:pPr>
            <w:r w:rsidRPr="001570EA">
              <w:rPr>
                <w:rFonts w:cs="Arial"/>
                <w:sz w:val="18"/>
                <w:szCs w:val="18"/>
              </w:rPr>
              <w:t>3.51</w:t>
            </w:r>
          </w:p>
        </w:tc>
        <w:tc>
          <w:tcPr>
            <w:tcW w:w="978" w:type="dxa"/>
            <w:vAlign w:val="bottom"/>
          </w:tcPr>
          <w:p w14:paraId="2BC54E88" w14:textId="77777777" w:rsidR="007376E1" w:rsidRPr="001570EA" w:rsidRDefault="007376E1">
            <w:pPr>
              <w:pStyle w:val="BodyText"/>
              <w:keepNext/>
              <w:ind w:right="0"/>
              <w:jc w:val="center"/>
              <w:rPr>
                <w:rFonts w:cs="Arial"/>
                <w:sz w:val="18"/>
                <w:szCs w:val="18"/>
              </w:rPr>
            </w:pPr>
            <w:r w:rsidRPr="001570EA">
              <w:rPr>
                <w:rFonts w:cs="Arial"/>
                <w:sz w:val="18"/>
                <w:szCs w:val="18"/>
              </w:rPr>
              <w:t>0.0014</w:t>
            </w:r>
          </w:p>
        </w:tc>
        <w:tc>
          <w:tcPr>
            <w:tcW w:w="1170" w:type="dxa"/>
            <w:vAlign w:val="bottom"/>
          </w:tcPr>
          <w:p w14:paraId="4B628256"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2.65</w:t>
            </w:r>
          </w:p>
        </w:tc>
        <w:tc>
          <w:tcPr>
            <w:tcW w:w="1170" w:type="dxa"/>
            <w:vAlign w:val="bottom"/>
          </w:tcPr>
          <w:p w14:paraId="1D2EE94C"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0.0015</w:t>
            </w:r>
          </w:p>
        </w:tc>
      </w:tr>
      <w:tr w:rsidR="007376E1" w:rsidRPr="001570EA" w14:paraId="2C061ADC" w14:textId="77777777">
        <w:trPr>
          <w:gridAfter w:val="1"/>
          <w:wAfter w:w="6" w:type="dxa"/>
          <w:trHeight w:val="288"/>
        </w:trPr>
        <w:tc>
          <w:tcPr>
            <w:tcW w:w="985" w:type="dxa"/>
            <w:shd w:val="clear" w:color="auto" w:fill="BFBFBF" w:themeFill="background1" w:themeFillShade="BF"/>
            <w:vAlign w:val="center"/>
          </w:tcPr>
          <w:p w14:paraId="6B2DF17A" w14:textId="77777777" w:rsidR="007376E1" w:rsidRPr="001570EA" w:rsidRDefault="007376E1">
            <w:pPr>
              <w:pStyle w:val="BodyText"/>
              <w:keepNext/>
              <w:ind w:right="17"/>
              <w:jc w:val="center"/>
              <w:rPr>
                <w:rFonts w:cs="Arial"/>
                <w:b/>
                <w:sz w:val="18"/>
                <w:szCs w:val="18"/>
              </w:rPr>
            </w:pPr>
            <w:r w:rsidRPr="001570EA">
              <w:rPr>
                <w:rFonts w:cs="Arial"/>
                <w:b/>
                <w:sz w:val="18"/>
                <w:szCs w:val="18"/>
              </w:rPr>
              <w:t>B</w:t>
            </w:r>
          </w:p>
        </w:tc>
        <w:tc>
          <w:tcPr>
            <w:tcW w:w="1620" w:type="dxa"/>
            <w:vAlign w:val="center"/>
          </w:tcPr>
          <w:p w14:paraId="5C95D1B3" w14:textId="77777777" w:rsidR="007376E1" w:rsidRPr="001570EA" w:rsidRDefault="007376E1">
            <w:pPr>
              <w:pStyle w:val="BodyText"/>
              <w:keepNext/>
              <w:ind w:right="17"/>
              <w:rPr>
                <w:rFonts w:cs="Arial"/>
                <w:color w:val="000000"/>
                <w:sz w:val="18"/>
                <w:szCs w:val="18"/>
              </w:rPr>
            </w:pPr>
            <w:r w:rsidRPr="001570EA">
              <w:rPr>
                <w:rFonts w:cs="Arial"/>
                <w:sz w:val="18"/>
                <w:szCs w:val="18"/>
              </w:rPr>
              <w:t>Scranton</w:t>
            </w:r>
          </w:p>
        </w:tc>
        <w:tc>
          <w:tcPr>
            <w:tcW w:w="1350" w:type="dxa"/>
            <w:vAlign w:val="bottom"/>
          </w:tcPr>
          <w:p w14:paraId="7A9AADF2"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5.09</w:t>
            </w:r>
          </w:p>
        </w:tc>
        <w:tc>
          <w:tcPr>
            <w:tcW w:w="1272" w:type="dxa"/>
            <w:vAlign w:val="bottom"/>
          </w:tcPr>
          <w:p w14:paraId="1B1008AA" w14:textId="77777777" w:rsidR="007376E1" w:rsidRPr="001570EA" w:rsidRDefault="007376E1">
            <w:pPr>
              <w:pStyle w:val="BodyText"/>
              <w:keepNext/>
              <w:ind w:right="0"/>
              <w:jc w:val="center"/>
              <w:rPr>
                <w:rFonts w:cs="Arial"/>
                <w:color w:val="000000"/>
                <w:sz w:val="18"/>
                <w:szCs w:val="18"/>
              </w:rPr>
            </w:pPr>
            <w:r w:rsidRPr="001570EA">
              <w:rPr>
                <w:rFonts w:cs="Arial"/>
                <w:sz w:val="18"/>
                <w:szCs w:val="18"/>
              </w:rPr>
              <w:t>3.59</w:t>
            </w:r>
          </w:p>
        </w:tc>
        <w:tc>
          <w:tcPr>
            <w:tcW w:w="978" w:type="dxa"/>
            <w:vAlign w:val="bottom"/>
          </w:tcPr>
          <w:p w14:paraId="51291D06" w14:textId="77777777" w:rsidR="007376E1" w:rsidRPr="001570EA" w:rsidRDefault="007376E1">
            <w:pPr>
              <w:pStyle w:val="BodyText"/>
              <w:keepNext/>
              <w:ind w:right="0"/>
              <w:jc w:val="center"/>
              <w:rPr>
                <w:rFonts w:cs="Arial"/>
                <w:sz w:val="18"/>
                <w:szCs w:val="18"/>
              </w:rPr>
            </w:pPr>
            <w:r w:rsidRPr="001570EA">
              <w:rPr>
                <w:rFonts w:cs="Arial"/>
                <w:sz w:val="18"/>
                <w:szCs w:val="18"/>
              </w:rPr>
              <w:t>0.0015</w:t>
            </w:r>
          </w:p>
        </w:tc>
        <w:tc>
          <w:tcPr>
            <w:tcW w:w="1170" w:type="dxa"/>
            <w:vAlign w:val="bottom"/>
          </w:tcPr>
          <w:p w14:paraId="314B6305"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2.58</w:t>
            </w:r>
          </w:p>
        </w:tc>
        <w:tc>
          <w:tcPr>
            <w:tcW w:w="1170" w:type="dxa"/>
            <w:vAlign w:val="bottom"/>
          </w:tcPr>
          <w:p w14:paraId="3422899D"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0.0014</w:t>
            </w:r>
          </w:p>
        </w:tc>
      </w:tr>
      <w:tr w:rsidR="007376E1" w:rsidRPr="001570EA" w14:paraId="1186597A" w14:textId="77777777">
        <w:trPr>
          <w:gridAfter w:val="1"/>
          <w:wAfter w:w="6" w:type="dxa"/>
          <w:trHeight w:val="288"/>
        </w:trPr>
        <w:tc>
          <w:tcPr>
            <w:tcW w:w="985" w:type="dxa"/>
            <w:shd w:val="clear" w:color="auto" w:fill="BFBFBF" w:themeFill="background1" w:themeFillShade="BF"/>
            <w:vAlign w:val="center"/>
          </w:tcPr>
          <w:p w14:paraId="01414710" w14:textId="77777777" w:rsidR="007376E1" w:rsidRPr="001570EA" w:rsidRDefault="007376E1">
            <w:pPr>
              <w:pStyle w:val="BodyText"/>
              <w:keepNext/>
              <w:ind w:right="17"/>
              <w:jc w:val="center"/>
              <w:rPr>
                <w:rFonts w:cs="Arial"/>
                <w:b/>
                <w:sz w:val="18"/>
                <w:szCs w:val="18"/>
              </w:rPr>
            </w:pPr>
            <w:r w:rsidRPr="001570EA">
              <w:rPr>
                <w:rFonts w:cs="Arial"/>
                <w:b/>
                <w:sz w:val="18"/>
                <w:szCs w:val="18"/>
              </w:rPr>
              <w:t>F</w:t>
            </w:r>
          </w:p>
        </w:tc>
        <w:tc>
          <w:tcPr>
            <w:tcW w:w="1620" w:type="dxa"/>
            <w:vAlign w:val="center"/>
          </w:tcPr>
          <w:p w14:paraId="404FDBD2" w14:textId="77777777" w:rsidR="007376E1" w:rsidRPr="001570EA" w:rsidRDefault="007376E1">
            <w:pPr>
              <w:pStyle w:val="BodyText"/>
              <w:keepNext/>
              <w:ind w:right="17"/>
              <w:rPr>
                <w:rFonts w:cs="Arial"/>
                <w:color w:val="000000"/>
                <w:sz w:val="18"/>
                <w:szCs w:val="18"/>
              </w:rPr>
            </w:pPr>
            <w:r w:rsidRPr="001570EA">
              <w:rPr>
                <w:rFonts w:cs="Arial"/>
                <w:sz w:val="18"/>
                <w:szCs w:val="18"/>
              </w:rPr>
              <w:t>Williamsport</w:t>
            </w:r>
          </w:p>
        </w:tc>
        <w:tc>
          <w:tcPr>
            <w:tcW w:w="1350" w:type="dxa"/>
            <w:vAlign w:val="bottom"/>
          </w:tcPr>
          <w:p w14:paraId="52B0EB2B"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5.06</w:t>
            </w:r>
          </w:p>
        </w:tc>
        <w:tc>
          <w:tcPr>
            <w:tcW w:w="1272" w:type="dxa"/>
            <w:vAlign w:val="bottom"/>
          </w:tcPr>
          <w:p w14:paraId="683ABACB" w14:textId="77777777" w:rsidR="007376E1" w:rsidRPr="001570EA" w:rsidRDefault="007376E1">
            <w:pPr>
              <w:pStyle w:val="BodyText"/>
              <w:keepNext/>
              <w:ind w:right="0"/>
              <w:jc w:val="center"/>
              <w:rPr>
                <w:rFonts w:cs="Arial"/>
                <w:color w:val="000000"/>
                <w:sz w:val="18"/>
                <w:szCs w:val="18"/>
              </w:rPr>
            </w:pPr>
            <w:r w:rsidRPr="001570EA">
              <w:rPr>
                <w:rFonts w:cs="Arial"/>
                <w:sz w:val="18"/>
                <w:szCs w:val="18"/>
              </w:rPr>
              <w:t>3.60</w:t>
            </w:r>
          </w:p>
        </w:tc>
        <w:tc>
          <w:tcPr>
            <w:tcW w:w="978" w:type="dxa"/>
            <w:vAlign w:val="bottom"/>
          </w:tcPr>
          <w:p w14:paraId="301CE659" w14:textId="77777777" w:rsidR="007376E1" w:rsidRPr="001570EA" w:rsidRDefault="007376E1">
            <w:pPr>
              <w:pStyle w:val="BodyText"/>
              <w:keepNext/>
              <w:ind w:right="0"/>
              <w:jc w:val="center"/>
              <w:rPr>
                <w:rFonts w:cs="Arial"/>
                <w:sz w:val="18"/>
                <w:szCs w:val="18"/>
              </w:rPr>
            </w:pPr>
            <w:r w:rsidRPr="001570EA">
              <w:rPr>
                <w:rFonts w:cs="Arial"/>
                <w:sz w:val="18"/>
                <w:szCs w:val="18"/>
              </w:rPr>
              <w:t>0.0015</w:t>
            </w:r>
          </w:p>
        </w:tc>
        <w:tc>
          <w:tcPr>
            <w:tcW w:w="1170" w:type="dxa"/>
            <w:vAlign w:val="bottom"/>
          </w:tcPr>
          <w:p w14:paraId="5FBDADAF"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2.62</w:t>
            </w:r>
          </w:p>
        </w:tc>
        <w:tc>
          <w:tcPr>
            <w:tcW w:w="1170" w:type="dxa"/>
            <w:vAlign w:val="bottom"/>
          </w:tcPr>
          <w:p w14:paraId="0ABD0C1D" w14:textId="77777777" w:rsidR="007376E1" w:rsidRPr="001570EA" w:rsidRDefault="007376E1">
            <w:pPr>
              <w:pStyle w:val="BodyText"/>
              <w:keepNext/>
              <w:ind w:right="0"/>
              <w:jc w:val="center"/>
              <w:rPr>
                <w:rFonts w:eastAsia="Calibri" w:cs="Arial"/>
                <w:sz w:val="18"/>
                <w:szCs w:val="18"/>
              </w:rPr>
            </w:pPr>
            <w:r w:rsidRPr="001570EA">
              <w:rPr>
                <w:rFonts w:cs="Arial"/>
                <w:sz w:val="18"/>
                <w:szCs w:val="18"/>
              </w:rPr>
              <w:t>0.0016</w:t>
            </w:r>
          </w:p>
        </w:tc>
      </w:tr>
    </w:tbl>
    <w:p w14:paraId="6A2365D9" w14:textId="77777777" w:rsidR="007376E1" w:rsidRPr="001570EA" w:rsidRDefault="007376E1" w:rsidP="007376E1"/>
    <w:p w14:paraId="6B072F70" w14:textId="77777777" w:rsidR="007376E1" w:rsidRPr="001570EA" w:rsidRDefault="007376E1" w:rsidP="007376E1">
      <w:pPr>
        <w:pStyle w:val="SubStyle"/>
      </w:pPr>
      <w:r w:rsidRPr="001570EA">
        <w:t>Evaluation Protocols</w:t>
      </w:r>
    </w:p>
    <w:p w14:paraId="0DB3D453" w14:textId="77777777" w:rsidR="007376E1" w:rsidRPr="001570EA" w:rsidRDefault="007376E1" w:rsidP="007376E1">
      <w:pPr>
        <w:pStyle w:val="BodyText"/>
        <w:ind w:right="0"/>
      </w:pPr>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46E538B6" w14:textId="77777777" w:rsidR="007376E1" w:rsidRPr="001570EA" w:rsidRDefault="007376E1" w:rsidP="007376E1">
      <w:pPr>
        <w:pStyle w:val="BodyText"/>
        <w:ind w:right="0"/>
        <w:rPr>
          <w:rFonts w:cs="Arial"/>
        </w:rPr>
      </w:pPr>
    </w:p>
    <w:p w14:paraId="62BD7FAC" w14:textId="77777777" w:rsidR="007376E1" w:rsidRPr="001570EA" w:rsidRDefault="007376E1" w:rsidP="007376E1">
      <w:pPr>
        <w:pStyle w:val="SubStyle"/>
      </w:pPr>
      <w:r w:rsidRPr="001570EA">
        <w:t>Sources</w:t>
      </w:r>
    </w:p>
    <w:p w14:paraId="1AD7D65C" w14:textId="77777777" w:rsidR="007376E1" w:rsidRPr="001570EA" w:rsidRDefault="007376E1" w:rsidP="002614D2">
      <w:pPr>
        <w:pStyle w:val="source10"/>
        <w:numPr>
          <w:ilvl w:val="0"/>
          <w:numId w:val="15"/>
        </w:numPr>
        <w:overflowPunct/>
        <w:autoSpaceDE/>
        <w:autoSpaceDN/>
        <w:spacing w:after="120"/>
        <w:ind w:left="360"/>
        <w:jc w:val="left"/>
        <w:textAlignment w:val="auto"/>
        <w:rPr>
          <w:rFonts w:eastAsia="Calibri"/>
        </w:rPr>
      </w:pPr>
      <w:r w:rsidRPr="001570EA">
        <w:t>California Public Utilities Commission Database for Energy Efficient Resources (DEER) EUL Support Table for 2020</w:t>
      </w:r>
    </w:p>
    <w:p w14:paraId="654737F9" w14:textId="3EC70CDB" w:rsidR="007376E1" w:rsidRPr="001570EA" w:rsidRDefault="007376E1" w:rsidP="002614D2">
      <w:pPr>
        <w:pStyle w:val="source10"/>
        <w:numPr>
          <w:ilvl w:val="0"/>
          <w:numId w:val="15"/>
        </w:numPr>
        <w:overflowPunct/>
        <w:autoSpaceDE/>
        <w:autoSpaceDN/>
        <w:spacing w:after="120"/>
        <w:ind w:left="360"/>
        <w:jc w:val="left"/>
        <w:textAlignment w:val="auto"/>
        <w:rPr>
          <w:shd w:val="clear" w:color="auto" w:fill="FFFFFF"/>
        </w:rPr>
      </w:pPr>
      <w:r w:rsidRPr="001570EA">
        <w:rPr>
          <w:shd w:val="clear" w:color="auto" w:fill="FFFFFF"/>
        </w:rPr>
        <w:t>Your Filter Connection, “What is a Furnace Filter Whistle?”. Accessed December, 2018.</w:t>
      </w:r>
      <w:r w:rsidR="009F265B">
        <w:rPr>
          <w:shd w:val="clear" w:color="auto" w:fill="FFFFFF"/>
        </w:rPr>
        <w:t xml:space="preserve"> </w:t>
      </w:r>
      <w:hyperlink r:id="rId107" w:history="1">
        <w:r w:rsidR="009F265B" w:rsidRPr="001570EA">
          <w:rPr>
            <w:rStyle w:val="Hyperlink"/>
            <w:rFonts w:cs="Arial"/>
            <w:shd w:val="clear" w:color="auto" w:fill="FFFFFF"/>
          </w:rPr>
          <w:t>Weblink</w:t>
        </w:r>
      </w:hyperlink>
    </w:p>
    <w:p w14:paraId="783B4044" w14:textId="77777777" w:rsidR="007376E1" w:rsidRPr="001570EA" w:rsidRDefault="007376E1" w:rsidP="002614D2">
      <w:pPr>
        <w:pStyle w:val="source10"/>
        <w:numPr>
          <w:ilvl w:val="0"/>
          <w:numId w:val="15"/>
        </w:numPr>
        <w:spacing w:after="120"/>
        <w:ind w:left="360"/>
        <w:jc w:val="left"/>
        <w:rPr>
          <w:rFonts w:eastAsia="Calibri"/>
        </w:rPr>
      </w:pPr>
      <w:r w:rsidRPr="001570EA">
        <w:rPr>
          <w:szCs w:val="18"/>
        </w:rPr>
        <w:t xml:space="preserve">Typical blower motor capacity for gas furnace is ¼ to ¾ HP, </w:t>
      </w:r>
      <w:r w:rsidRPr="001570EA">
        <w:rPr>
          <w:rFonts w:ascii="Cambria Math" w:hAnsi="Cambria Math"/>
          <w:szCs w:val="18"/>
        </w:rPr>
        <w:t>½</w:t>
      </w:r>
      <w:r w:rsidRPr="001570EA">
        <w:rPr>
          <w:rFonts w:ascii="Cambria Math" w:eastAsia="Calibri" w:hAnsi="Cambria Math"/>
          <w:szCs w:val="18"/>
        </w:rPr>
        <w:t xml:space="preserve"> HP </w:t>
      </w:r>
      <w:r w:rsidRPr="001570EA">
        <w:rPr>
          <w:rFonts w:ascii="Cambria Math" w:hAnsi="Cambria Math"/>
          <w:szCs w:val="18"/>
        </w:rPr>
        <w:t>×</w:t>
      </w:r>
      <w:r w:rsidRPr="001570EA">
        <w:rPr>
          <w:szCs w:val="18"/>
        </w:rPr>
        <w:t xml:space="preserve"> </w:t>
      </w:r>
      <m:oMath>
        <m:r>
          <w:rPr>
            <w:rFonts w:ascii="Cambria Math" w:hAnsi="Cambria Math"/>
          </w:rPr>
          <m:t>0.</m:t>
        </m:r>
        <m:r>
          <m:rPr>
            <m:sty m:val="p"/>
          </m:rPr>
          <w:rPr>
            <w:rFonts w:ascii="Cambria Math" w:hAnsi="Cambria Math"/>
          </w:rPr>
          <m:t>746</m:t>
        </m:r>
        <m:box>
          <m:boxPr>
            <m:ctrlPr>
              <w:rPr>
                <w:rFonts w:ascii="Cambria Math" w:hAnsi="Cambria Math"/>
                <w:bCs/>
              </w:rPr>
            </m:ctrlPr>
          </m:boxPr>
          <m:e>
            <m:argPr>
              <m:argSz m:val="-1"/>
            </m:argPr>
            <m:f>
              <m:fPr>
                <m:ctrlPr>
                  <w:rPr>
                    <w:rFonts w:ascii="Cambria Math" w:hAnsi="Cambria Math"/>
                    <w:bCs/>
                  </w:rPr>
                </m:ctrlPr>
              </m:fPr>
              <m:num>
                <m:r>
                  <m:rPr>
                    <m:sty m:val="p"/>
                  </m:rPr>
                  <w:rPr>
                    <w:rFonts w:ascii="Cambria Math" w:hAnsi="Cambria Math"/>
                  </w:rPr>
                  <m:t>kW</m:t>
                </m:r>
              </m:num>
              <m:den>
                <m:r>
                  <m:rPr>
                    <m:sty m:val="p"/>
                  </m:rPr>
                  <w:rPr>
                    <w:rFonts w:ascii="Cambria Math" w:hAnsi="Cambria Math"/>
                  </w:rPr>
                  <m:t>hp</m:t>
                </m:r>
              </m:den>
            </m:f>
          </m:e>
        </m:box>
        <m:r>
          <w:rPr>
            <w:rFonts w:ascii="Cambria Math" w:hAnsi="Cambria Math"/>
          </w:rPr>
          <m:t>=0.377</m:t>
        </m:r>
        <m:r>
          <m:rPr>
            <m:sty m:val="p"/>
          </m:rPr>
          <w:rPr>
            <w:rFonts w:ascii="Cambria Math" w:hAnsi="Cambria Math"/>
          </w:rPr>
          <m:t>kW</m:t>
        </m:r>
      </m:oMath>
      <w:r w:rsidRPr="001570EA">
        <w:rPr>
          <w:rFonts w:eastAsia="Calibri"/>
        </w:rPr>
        <w:t>.</w:t>
      </w:r>
    </w:p>
    <w:p w14:paraId="141D77BA" w14:textId="5BE296E6" w:rsidR="007376E1" w:rsidRPr="001570EA" w:rsidRDefault="007376E1" w:rsidP="002614D2">
      <w:pPr>
        <w:pStyle w:val="ListParagraph"/>
        <w:numPr>
          <w:ilvl w:val="0"/>
          <w:numId w:val="15"/>
        </w:numPr>
        <w:overflowPunct/>
        <w:autoSpaceDE/>
        <w:autoSpaceDN/>
        <w:adjustRightInd/>
        <w:ind w:left="360"/>
        <w:jc w:val="left"/>
        <w:textAlignment w:val="auto"/>
      </w:pPr>
      <w:r w:rsidRPr="001570EA">
        <w:t>Based on the Phase III SWE team’s analysis of regional HVAC runtime data collected from ecobee’s Donate Your Data research service (</w:t>
      </w:r>
      <w:hyperlink r:id="rId108" w:history="1">
        <w:r w:rsidRPr="001570EA">
          <w:rPr>
            <w:rStyle w:val="Hyperlink"/>
          </w:rPr>
          <w:t>Weblink</w:t>
        </w:r>
      </w:hyperlink>
      <w:r w:rsidRPr="001570EA">
        <w:t>) and updated based on the latest CDD and HDD values from NOAA’s 15-year annual climate Normals (2006–2020) (</w:t>
      </w:r>
      <w:hyperlink r:id="rId109" w:history="1">
        <w:r w:rsidRPr="001570EA">
          <w:rPr>
            <w:rStyle w:val="Hyperlink"/>
          </w:rPr>
          <w:t>Weblink</w:t>
        </w:r>
      </w:hyperlink>
      <w:r w:rsidRPr="001570EA">
        <w:t>)</w:t>
      </w:r>
    </w:p>
    <w:p w14:paraId="4986DA56" w14:textId="77777777" w:rsidR="007376E1" w:rsidRPr="001570EA" w:rsidDel="00826E2F" w:rsidRDefault="007376E1" w:rsidP="002614D2">
      <w:pPr>
        <w:pStyle w:val="source10"/>
        <w:numPr>
          <w:ilvl w:val="0"/>
          <w:numId w:val="15"/>
        </w:numPr>
        <w:spacing w:after="120"/>
        <w:ind w:left="360"/>
        <w:jc w:val="left"/>
        <w:rPr>
          <w:rFonts w:eastAsia="Calibri"/>
        </w:rPr>
      </w:pPr>
      <w:r w:rsidRPr="001570EA" w:rsidDel="00826E2F">
        <w:rPr>
          <w:rFonts w:eastAsia="Calibri"/>
        </w:rPr>
        <w:t>US</w:t>
      </w:r>
      <w:r w:rsidRPr="001570EA">
        <w:rPr>
          <w:rFonts w:eastAsia="Calibri"/>
        </w:rPr>
        <w:t xml:space="preserve"> </w:t>
      </w:r>
      <w:r w:rsidRPr="001570EA" w:rsidDel="00826E2F">
        <w:rPr>
          <w:rFonts w:eastAsia="Calibri"/>
        </w:rPr>
        <w:t>DOE</w:t>
      </w:r>
      <w:r w:rsidRPr="001570EA">
        <w:rPr>
          <w:rFonts w:eastAsia="Calibri"/>
        </w:rPr>
        <w:t xml:space="preserve"> </w:t>
      </w:r>
      <w:r w:rsidRPr="001570EA" w:rsidDel="00826E2F">
        <w:rPr>
          <w:rFonts w:eastAsia="Calibri"/>
        </w:rPr>
        <w:t>Office</w:t>
      </w:r>
      <w:r w:rsidRPr="001570EA">
        <w:rPr>
          <w:rFonts w:eastAsia="Calibri"/>
        </w:rPr>
        <w:t xml:space="preserve"> </w:t>
      </w:r>
      <w:r w:rsidRPr="001570EA" w:rsidDel="00826E2F">
        <w:rPr>
          <w:rFonts w:eastAsia="Calibri"/>
        </w:rPr>
        <w:t>of</w:t>
      </w:r>
      <w:r w:rsidRPr="001570EA">
        <w:rPr>
          <w:rFonts w:eastAsia="Calibri"/>
        </w:rPr>
        <w:t xml:space="preserve"> </w:t>
      </w:r>
      <w:r w:rsidRPr="001570EA" w:rsidDel="00826E2F">
        <w:rPr>
          <w:rFonts w:eastAsia="Calibri"/>
        </w:rPr>
        <w:t>Energy</w:t>
      </w:r>
      <w:r w:rsidRPr="001570EA">
        <w:rPr>
          <w:rFonts w:eastAsia="Calibri"/>
        </w:rPr>
        <w:t xml:space="preserve"> </w:t>
      </w:r>
      <w:r w:rsidRPr="001570EA" w:rsidDel="00826E2F">
        <w:rPr>
          <w:rFonts w:eastAsia="Calibri"/>
        </w:rPr>
        <w:t>Efficiency</w:t>
      </w:r>
      <w:r w:rsidRPr="001570EA">
        <w:rPr>
          <w:rFonts w:eastAsia="Calibri"/>
        </w:rPr>
        <w:t xml:space="preserve"> </w:t>
      </w:r>
      <w:r w:rsidRPr="001570EA" w:rsidDel="00826E2F">
        <w:rPr>
          <w:rFonts w:eastAsia="Calibri"/>
        </w:rPr>
        <w:t>and</w:t>
      </w:r>
      <w:r w:rsidRPr="001570EA">
        <w:rPr>
          <w:rFonts w:eastAsia="Calibri"/>
        </w:rPr>
        <w:t xml:space="preserve"> </w:t>
      </w:r>
      <w:r w:rsidRPr="001570EA" w:rsidDel="00826E2F">
        <w:rPr>
          <w:rFonts w:eastAsia="Calibri"/>
        </w:rPr>
        <w:t>Renewable</w:t>
      </w:r>
      <w:r w:rsidRPr="001570EA">
        <w:rPr>
          <w:rFonts w:eastAsia="Calibri"/>
        </w:rPr>
        <w:t xml:space="preserve"> </w:t>
      </w:r>
      <w:r w:rsidRPr="001570EA" w:rsidDel="00826E2F">
        <w:rPr>
          <w:rFonts w:eastAsia="Calibri"/>
        </w:rPr>
        <w:t>Energy</w:t>
      </w:r>
      <w:r w:rsidRPr="001570EA">
        <w:rPr>
          <w:rFonts w:eastAsia="Calibri"/>
        </w:rPr>
        <w:t xml:space="preserve"> – “</w:t>
      </w:r>
      <w:r w:rsidRPr="001570EA" w:rsidDel="00826E2F">
        <w:rPr>
          <w:rFonts w:eastAsia="Calibri"/>
        </w:rPr>
        <w:t>Energy</w:t>
      </w:r>
      <w:r w:rsidRPr="001570EA">
        <w:rPr>
          <w:rFonts w:eastAsia="Calibri"/>
        </w:rPr>
        <w:t xml:space="preserve"> </w:t>
      </w:r>
      <w:r w:rsidRPr="001570EA" w:rsidDel="00826E2F">
        <w:rPr>
          <w:rFonts w:eastAsia="Calibri"/>
        </w:rPr>
        <w:t>Savers</w:t>
      </w:r>
      <w:r w:rsidRPr="001570EA">
        <w:rPr>
          <w:rFonts w:eastAsia="Calibri"/>
        </w:rPr>
        <w:t xml:space="preserve">” </w:t>
      </w:r>
      <w:r w:rsidRPr="001570EA" w:rsidDel="00826E2F">
        <w:rPr>
          <w:rFonts w:eastAsia="Calibri"/>
        </w:rPr>
        <w:t>publication</w:t>
      </w:r>
      <w:r w:rsidRPr="001570EA">
        <w:rPr>
          <w:rFonts w:eastAsia="Calibri"/>
        </w:rPr>
        <w:t xml:space="preserve"> – “</w:t>
      </w:r>
      <w:r w:rsidRPr="001570EA" w:rsidDel="00826E2F">
        <w:rPr>
          <w:rFonts w:eastAsia="Calibri"/>
        </w:rPr>
        <w:t>Clogged</w:t>
      </w:r>
      <w:r w:rsidRPr="001570EA">
        <w:rPr>
          <w:rFonts w:eastAsia="Calibri"/>
        </w:rPr>
        <w:t xml:space="preserve"> </w:t>
      </w:r>
      <w:r w:rsidRPr="001570EA" w:rsidDel="00826E2F">
        <w:rPr>
          <w:rFonts w:eastAsia="Calibri"/>
        </w:rPr>
        <w:t>air</w:t>
      </w:r>
      <w:r w:rsidRPr="001570EA">
        <w:rPr>
          <w:rFonts w:eastAsia="Calibri"/>
        </w:rPr>
        <w:t xml:space="preserve"> </w:t>
      </w:r>
      <w:r w:rsidRPr="001570EA" w:rsidDel="00826E2F">
        <w:rPr>
          <w:rFonts w:eastAsia="Calibri"/>
        </w:rPr>
        <w:t>filters</w:t>
      </w:r>
      <w:r w:rsidRPr="001570EA">
        <w:rPr>
          <w:rFonts w:eastAsia="Calibri"/>
        </w:rPr>
        <w:t xml:space="preserve"> </w:t>
      </w:r>
      <w:r w:rsidRPr="001570EA" w:rsidDel="00826E2F">
        <w:rPr>
          <w:rFonts w:eastAsia="Calibri"/>
        </w:rPr>
        <w:t>will</w:t>
      </w:r>
      <w:r w:rsidRPr="001570EA">
        <w:rPr>
          <w:rFonts w:eastAsia="Calibri"/>
        </w:rPr>
        <w:t xml:space="preserve"> </w:t>
      </w:r>
      <w:r w:rsidRPr="001570EA" w:rsidDel="00826E2F">
        <w:rPr>
          <w:rFonts w:eastAsia="Calibri"/>
        </w:rPr>
        <w:t>reduce</w:t>
      </w:r>
      <w:r w:rsidRPr="001570EA">
        <w:rPr>
          <w:rFonts w:eastAsia="Calibri"/>
        </w:rPr>
        <w:t xml:space="preserve"> </w:t>
      </w:r>
      <w:r w:rsidRPr="001570EA" w:rsidDel="00826E2F">
        <w:rPr>
          <w:rFonts w:eastAsia="Calibri"/>
        </w:rPr>
        <w:t>system</w:t>
      </w:r>
      <w:r w:rsidRPr="001570EA">
        <w:rPr>
          <w:rFonts w:eastAsia="Calibri"/>
        </w:rPr>
        <w:t xml:space="preserve"> </w:t>
      </w:r>
      <w:r w:rsidRPr="001570EA" w:rsidDel="00826E2F">
        <w:rPr>
          <w:rFonts w:eastAsia="Calibri"/>
        </w:rPr>
        <w:t>efficiency</w:t>
      </w:r>
      <w:r w:rsidRPr="001570EA">
        <w:rPr>
          <w:rFonts w:eastAsia="Calibri"/>
        </w:rPr>
        <w:t xml:space="preserve"> </w:t>
      </w:r>
      <w:r w:rsidRPr="001570EA" w:rsidDel="00826E2F">
        <w:rPr>
          <w:rFonts w:eastAsia="Calibri"/>
        </w:rPr>
        <w:t>by</w:t>
      </w:r>
      <w:r w:rsidRPr="001570EA">
        <w:rPr>
          <w:rFonts w:eastAsia="Calibri"/>
        </w:rPr>
        <w:t xml:space="preserve"> </w:t>
      </w:r>
      <w:r w:rsidRPr="001570EA" w:rsidDel="00826E2F">
        <w:rPr>
          <w:rFonts w:eastAsia="Calibri"/>
        </w:rPr>
        <w:t>30%</w:t>
      </w:r>
      <w:r w:rsidRPr="001570EA">
        <w:rPr>
          <w:rFonts w:eastAsia="Calibri"/>
        </w:rPr>
        <w:t xml:space="preserve"> </w:t>
      </w:r>
      <w:r w:rsidRPr="001570EA" w:rsidDel="00826E2F">
        <w:rPr>
          <w:rFonts w:eastAsia="Calibri"/>
        </w:rPr>
        <w:t>or</w:t>
      </w:r>
      <w:r w:rsidRPr="001570EA">
        <w:rPr>
          <w:rFonts w:eastAsia="Calibri"/>
        </w:rPr>
        <w:t xml:space="preserve"> </w:t>
      </w:r>
      <w:r w:rsidRPr="001570EA" w:rsidDel="00826E2F">
        <w:rPr>
          <w:rFonts w:eastAsia="Calibri"/>
        </w:rPr>
        <w:t>more.”</w:t>
      </w:r>
      <w:r w:rsidRPr="001570EA">
        <w:rPr>
          <w:rFonts w:eastAsia="Calibri"/>
        </w:rPr>
        <w:t xml:space="preserve"> </w:t>
      </w:r>
      <w:r w:rsidRPr="001570EA" w:rsidDel="00826E2F">
        <w:rPr>
          <w:rFonts w:eastAsia="Calibri"/>
        </w:rPr>
        <w:t>Savings</w:t>
      </w:r>
      <w:r w:rsidRPr="001570EA">
        <w:rPr>
          <w:rFonts w:eastAsia="Calibri"/>
        </w:rPr>
        <w:t xml:space="preserve"> </w:t>
      </w:r>
      <w:r w:rsidRPr="001570EA" w:rsidDel="00826E2F">
        <w:rPr>
          <w:rFonts w:eastAsia="Calibri"/>
        </w:rPr>
        <w:t>estimates</w:t>
      </w:r>
      <w:r w:rsidRPr="001570EA">
        <w:rPr>
          <w:rFonts w:eastAsia="Calibri"/>
        </w:rPr>
        <w:t xml:space="preserve"> </w:t>
      </w:r>
      <w:r w:rsidRPr="001570EA" w:rsidDel="00826E2F">
        <w:rPr>
          <w:rFonts w:eastAsia="Calibri"/>
        </w:rPr>
        <w:t>assume</w:t>
      </w:r>
      <w:r w:rsidRPr="001570EA">
        <w:rPr>
          <w:rFonts w:eastAsia="Calibri"/>
        </w:rPr>
        <w:t xml:space="preserve"> </w:t>
      </w:r>
      <w:r w:rsidRPr="001570EA" w:rsidDel="00826E2F">
        <w:rPr>
          <w:rFonts w:eastAsia="Calibri"/>
        </w:rPr>
        <w:t>the</w:t>
      </w:r>
      <w:r w:rsidRPr="001570EA">
        <w:rPr>
          <w:rFonts w:eastAsia="Calibri"/>
        </w:rPr>
        <w:t xml:space="preserve"> </w:t>
      </w:r>
      <w:r w:rsidRPr="001570EA" w:rsidDel="00826E2F">
        <w:rPr>
          <w:rFonts w:eastAsia="Calibri"/>
        </w:rPr>
        <w:t>30%</w:t>
      </w:r>
      <w:r w:rsidRPr="001570EA">
        <w:rPr>
          <w:rFonts w:eastAsia="Calibri"/>
        </w:rPr>
        <w:t xml:space="preserve"> </w:t>
      </w:r>
      <w:r w:rsidRPr="001570EA" w:rsidDel="00826E2F">
        <w:rPr>
          <w:rFonts w:eastAsia="Calibri"/>
        </w:rPr>
        <w:t>quoted</w:t>
      </w:r>
      <w:r w:rsidRPr="001570EA">
        <w:rPr>
          <w:rFonts w:eastAsia="Calibri"/>
        </w:rPr>
        <w:t xml:space="preserve"> </w:t>
      </w:r>
      <w:r w:rsidRPr="001570EA" w:rsidDel="00826E2F">
        <w:rPr>
          <w:rFonts w:eastAsia="Calibri"/>
        </w:rPr>
        <w:t>is</w:t>
      </w:r>
      <w:r w:rsidRPr="001570EA">
        <w:rPr>
          <w:rFonts w:eastAsia="Calibri"/>
        </w:rPr>
        <w:t xml:space="preserve"> </w:t>
      </w:r>
      <w:r w:rsidRPr="001570EA" w:rsidDel="00826E2F">
        <w:rPr>
          <w:rFonts w:eastAsia="Calibri"/>
        </w:rPr>
        <w:t>the</w:t>
      </w:r>
      <w:r w:rsidRPr="001570EA">
        <w:rPr>
          <w:rFonts w:eastAsia="Calibri"/>
        </w:rPr>
        <w:t xml:space="preserve"> </w:t>
      </w:r>
      <w:r w:rsidRPr="001570EA" w:rsidDel="00826E2F">
        <w:rPr>
          <w:rFonts w:eastAsia="Calibri"/>
        </w:rPr>
        <w:t>worst</w:t>
      </w:r>
      <w:r w:rsidRPr="001570EA">
        <w:rPr>
          <w:rFonts w:eastAsia="Calibri"/>
        </w:rPr>
        <w:t xml:space="preserve"> </w:t>
      </w:r>
      <w:r w:rsidRPr="001570EA" w:rsidDel="00826E2F">
        <w:rPr>
          <w:rFonts w:eastAsia="Calibri"/>
        </w:rPr>
        <w:t>case</w:t>
      </w:r>
      <w:r w:rsidRPr="001570EA">
        <w:rPr>
          <w:rFonts w:eastAsia="Calibri"/>
        </w:rPr>
        <w:t xml:space="preserve"> </w:t>
      </w:r>
      <w:r w:rsidRPr="001570EA" w:rsidDel="00826E2F">
        <w:rPr>
          <w:rFonts w:eastAsia="Calibri"/>
        </w:rPr>
        <w:t>and</w:t>
      </w:r>
      <w:r w:rsidRPr="001570EA">
        <w:rPr>
          <w:rFonts w:eastAsia="Calibri"/>
        </w:rPr>
        <w:t xml:space="preserve"> </w:t>
      </w:r>
      <w:r w:rsidRPr="001570EA" w:rsidDel="00826E2F">
        <w:rPr>
          <w:rFonts w:eastAsia="Calibri"/>
        </w:rPr>
        <w:t>typical</w:t>
      </w:r>
      <w:r w:rsidRPr="001570EA">
        <w:rPr>
          <w:rFonts w:eastAsia="Calibri"/>
        </w:rPr>
        <w:t xml:space="preserve"> </w:t>
      </w:r>
      <w:r w:rsidRPr="001570EA" w:rsidDel="00826E2F">
        <w:rPr>
          <w:rFonts w:eastAsia="Calibri"/>
        </w:rPr>
        <w:t>households</w:t>
      </w:r>
      <w:r w:rsidRPr="001570EA">
        <w:rPr>
          <w:rFonts w:eastAsia="Calibri"/>
        </w:rPr>
        <w:t xml:space="preserve"> </w:t>
      </w:r>
      <w:r w:rsidRPr="001570EA" w:rsidDel="00826E2F">
        <w:rPr>
          <w:rFonts w:eastAsia="Calibri"/>
        </w:rPr>
        <w:t>will</w:t>
      </w:r>
      <w:r w:rsidRPr="001570EA">
        <w:rPr>
          <w:rFonts w:eastAsia="Calibri"/>
        </w:rPr>
        <w:t xml:space="preserve"> </w:t>
      </w:r>
      <w:r w:rsidRPr="001570EA" w:rsidDel="00826E2F">
        <w:rPr>
          <w:rFonts w:eastAsia="Calibri"/>
        </w:rPr>
        <w:t>be</w:t>
      </w:r>
      <w:r w:rsidRPr="001570EA">
        <w:rPr>
          <w:rFonts w:eastAsia="Calibri"/>
        </w:rPr>
        <w:t xml:space="preserve"> </w:t>
      </w:r>
      <w:r w:rsidRPr="001570EA" w:rsidDel="00826E2F">
        <w:rPr>
          <w:rFonts w:eastAsia="Calibri"/>
        </w:rPr>
        <w:t>at</w:t>
      </w:r>
      <w:r w:rsidRPr="001570EA">
        <w:rPr>
          <w:rFonts w:eastAsia="Calibri"/>
        </w:rPr>
        <w:t xml:space="preserve"> </w:t>
      </w:r>
      <w:r w:rsidRPr="001570EA" w:rsidDel="00826E2F">
        <w:rPr>
          <w:rFonts w:eastAsia="Calibri"/>
        </w:rPr>
        <w:t>the</w:t>
      </w:r>
      <w:r w:rsidRPr="001570EA">
        <w:rPr>
          <w:rFonts w:eastAsia="Calibri"/>
        </w:rPr>
        <w:t xml:space="preserve"> </w:t>
      </w:r>
      <w:r w:rsidRPr="001570EA" w:rsidDel="00826E2F">
        <w:rPr>
          <w:rFonts w:eastAsia="Calibri"/>
        </w:rPr>
        <w:t>median</w:t>
      </w:r>
      <w:r w:rsidRPr="001570EA">
        <w:rPr>
          <w:rFonts w:eastAsia="Calibri"/>
        </w:rPr>
        <w:t xml:space="preserve"> </w:t>
      </w:r>
      <w:r w:rsidRPr="001570EA" w:rsidDel="00826E2F">
        <w:rPr>
          <w:rFonts w:eastAsia="Calibri"/>
        </w:rPr>
        <w:t>or</w:t>
      </w:r>
      <w:r w:rsidRPr="001570EA">
        <w:rPr>
          <w:rFonts w:eastAsia="Calibri"/>
        </w:rPr>
        <w:t xml:space="preserve"> </w:t>
      </w:r>
      <w:r w:rsidRPr="001570EA" w:rsidDel="00826E2F">
        <w:rPr>
          <w:rFonts w:eastAsia="Calibri"/>
        </w:rPr>
        <w:t>15%</w:t>
      </w:r>
      <w:r w:rsidRPr="001570EA">
        <w:rPr>
          <w:rFonts w:eastAsia="Calibri"/>
        </w:rPr>
        <w:t xml:space="preserve"> </w:t>
      </w:r>
      <w:r w:rsidRPr="001570EA" w:rsidDel="00826E2F">
        <w:rPr>
          <w:rFonts w:eastAsia="Calibri"/>
        </w:rPr>
        <w:t>that</w:t>
      </w:r>
      <w:r w:rsidRPr="001570EA">
        <w:rPr>
          <w:rFonts w:eastAsia="Calibri"/>
        </w:rPr>
        <w:t xml:space="preserve"> </w:t>
      </w:r>
      <w:r w:rsidRPr="001570EA" w:rsidDel="00826E2F">
        <w:rPr>
          <w:rFonts w:eastAsia="Calibri"/>
        </w:rPr>
        <w:t>is</w:t>
      </w:r>
      <w:r w:rsidRPr="001570EA">
        <w:rPr>
          <w:rFonts w:eastAsia="Calibri"/>
        </w:rPr>
        <w:t xml:space="preserve"> </w:t>
      </w:r>
      <w:r w:rsidRPr="001570EA" w:rsidDel="00826E2F">
        <w:rPr>
          <w:rFonts w:eastAsia="Calibri"/>
        </w:rPr>
        <w:t>assumed</w:t>
      </w:r>
      <w:r w:rsidRPr="001570EA">
        <w:rPr>
          <w:rFonts w:eastAsia="Calibri"/>
        </w:rPr>
        <w:t xml:space="preserve"> </w:t>
      </w:r>
      <w:r w:rsidRPr="001570EA" w:rsidDel="00826E2F">
        <w:rPr>
          <w:rFonts w:eastAsia="Calibri"/>
        </w:rPr>
        <w:t>to</w:t>
      </w:r>
      <w:r w:rsidRPr="001570EA">
        <w:rPr>
          <w:rFonts w:eastAsia="Calibri"/>
        </w:rPr>
        <w:t xml:space="preserve"> </w:t>
      </w:r>
      <w:r w:rsidRPr="001570EA" w:rsidDel="00826E2F">
        <w:rPr>
          <w:rFonts w:eastAsia="Calibri"/>
        </w:rPr>
        <w:t>be</w:t>
      </w:r>
      <w:r w:rsidRPr="001570EA">
        <w:rPr>
          <w:rFonts w:eastAsia="Calibri"/>
        </w:rPr>
        <w:t xml:space="preserve"> </w:t>
      </w:r>
      <w:r w:rsidRPr="001570EA" w:rsidDel="00826E2F">
        <w:rPr>
          <w:rFonts w:eastAsia="Calibri"/>
        </w:rPr>
        <w:t>the</w:t>
      </w:r>
      <w:r w:rsidRPr="001570EA">
        <w:rPr>
          <w:rFonts w:eastAsia="Calibri"/>
        </w:rPr>
        <w:t xml:space="preserve"> </w:t>
      </w:r>
      <w:r w:rsidRPr="001570EA" w:rsidDel="00826E2F">
        <w:rPr>
          <w:rFonts w:eastAsia="Calibri"/>
        </w:rPr>
        <w:t>efficiency</w:t>
      </w:r>
      <w:r w:rsidRPr="001570EA">
        <w:rPr>
          <w:rFonts w:eastAsia="Calibri"/>
        </w:rPr>
        <w:t xml:space="preserve"> </w:t>
      </w:r>
      <w:r w:rsidRPr="001570EA" w:rsidDel="00826E2F">
        <w:rPr>
          <w:rFonts w:eastAsia="Calibri"/>
        </w:rPr>
        <w:t>improvement</w:t>
      </w:r>
      <w:r w:rsidRPr="001570EA">
        <w:rPr>
          <w:rFonts w:eastAsia="Calibri"/>
        </w:rPr>
        <w:t xml:space="preserve"> </w:t>
      </w:r>
      <w:r w:rsidRPr="001570EA" w:rsidDel="00826E2F">
        <w:rPr>
          <w:rFonts w:eastAsia="Calibri"/>
        </w:rPr>
        <w:t>when</w:t>
      </w:r>
      <w:r w:rsidRPr="001570EA">
        <w:rPr>
          <w:rFonts w:eastAsia="Calibri"/>
        </w:rPr>
        <w:t xml:space="preserve"> </w:t>
      </w:r>
      <w:r w:rsidRPr="001570EA" w:rsidDel="00826E2F">
        <w:rPr>
          <w:rFonts w:eastAsia="Calibri"/>
        </w:rPr>
        <w:t>furnace</w:t>
      </w:r>
      <w:r w:rsidRPr="001570EA">
        <w:rPr>
          <w:rFonts w:eastAsia="Calibri"/>
        </w:rPr>
        <w:t xml:space="preserve"> </w:t>
      </w:r>
      <w:r w:rsidRPr="001570EA" w:rsidDel="00826E2F">
        <w:rPr>
          <w:rFonts w:eastAsia="Calibri"/>
        </w:rPr>
        <w:t>filters</w:t>
      </w:r>
      <w:r w:rsidRPr="001570EA">
        <w:rPr>
          <w:rFonts w:eastAsia="Calibri"/>
        </w:rPr>
        <w:t xml:space="preserve"> </w:t>
      </w:r>
      <w:r w:rsidRPr="001570EA" w:rsidDel="00826E2F">
        <w:rPr>
          <w:rFonts w:eastAsia="Calibri"/>
        </w:rPr>
        <w:t>are</w:t>
      </w:r>
      <w:r w:rsidRPr="001570EA">
        <w:rPr>
          <w:rFonts w:eastAsia="Calibri"/>
        </w:rPr>
        <w:t xml:space="preserve"> </w:t>
      </w:r>
      <w:r w:rsidRPr="001570EA" w:rsidDel="00826E2F">
        <w:rPr>
          <w:rFonts w:eastAsia="Calibri"/>
        </w:rPr>
        <w:t>kept</w:t>
      </w:r>
      <w:r w:rsidRPr="001570EA">
        <w:rPr>
          <w:rFonts w:eastAsia="Calibri"/>
        </w:rPr>
        <w:t xml:space="preserve"> </w:t>
      </w:r>
      <w:r w:rsidRPr="001570EA" w:rsidDel="00826E2F">
        <w:rPr>
          <w:rFonts w:eastAsia="Calibri"/>
        </w:rPr>
        <w:t>clean.</w:t>
      </w:r>
    </w:p>
    <w:p w14:paraId="5572DED2" w14:textId="5954A7F4" w:rsidR="007376E1" w:rsidRPr="001570EA" w:rsidRDefault="007376E1" w:rsidP="002614D2">
      <w:pPr>
        <w:pStyle w:val="source10"/>
        <w:numPr>
          <w:ilvl w:val="0"/>
          <w:numId w:val="15"/>
        </w:numPr>
        <w:overflowPunct/>
        <w:autoSpaceDE/>
        <w:autoSpaceDN/>
        <w:spacing w:after="120"/>
        <w:ind w:left="360"/>
        <w:jc w:val="left"/>
        <w:textAlignment w:val="auto"/>
        <w:rPr>
          <w:u w:val="single"/>
          <w:shd w:val="clear" w:color="auto" w:fill="FFFFFF"/>
        </w:rPr>
      </w:pPr>
      <w:r w:rsidRPr="001570EA">
        <w:rPr>
          <w:rFonts w:eastAsia="Calibri"/>
        </w:rPr>
        <w:t>Energy.gov. “Maintaining Your Air Conditioner”. Accessed 7/16/2014. Says that replacing a dirty air filter with a clean one can lower total air conditioner energy consumption by 5-15%. Since the algorithms in this measure only take into account the blower fan energy use, a 15% savings seems reasonable</w:t>
      </w:r>
      <w:r w:rsidR="00DA27B4">
        <w:rPr>
          <w:rFonts w:eastAsia="Calibri"/>
        </w:rPr>
        <w:t>.</w:t>
      </w:r>
    </w:p>
    <w:p w14:paraId="32DB065E" w14:textId="77777777" w:rsidR="007376E1" w:rsidRPr="001570EA" w:rsidRDefault="007376E1" w:rsidP="002614D2">
      <w:pPr>
        <w:pStyle w:val="source10"/>
        <w:numPr>
          <w:ilvl w:val="0"/>
          <w:numId w:val="15"/>
        </w:numPr>
        <w:overflowPunct/>
        <w:autoSpaceDE/>
        <w:autoSpaceDN/>
        <w:spacing w:after="120"/>
        <w:ind w:left="360"/>
        <w:jc w:val="left"/>
        <w:textAlignment w:val="auto"/>
        <w:rPr>
          <w:u w:val="single"/>
          <w:shd w:val="clear" w:color="auto" w:fill="FFFFFF"/>
        </w:rPr>
      </w:pPr>
      <w:r w:rsidRPr="001570EA">
        <w:t>Based on the SWE team’s analysis of weighted average of ISRs from surveys of FirstEnergy customers that received air handler filter whistles in kits in PY13 and PY14</w:t>
      </w:r>
      <w:r w:rsidRPr="001570EA">
        <w:rPr>
          <w:rFonts w:eastAsia="Calibri"/>
        </w:rPr>
        <w:t>.</w:t>
      </w:r>
    </w:p>
    <w:p w14:paraId="17900317" w14:textId="77777777" w:rsidR="007376E1" w:rsidRPr="001570EA" w:rsidRDefault="007376E1" w:rsidP="007376E1">
      <w:pPr>
        <w:pStyle w:val="source10"/>
        <w:spacing w:after="120"/>
        <w:ind w:left="360"/>
        <w:jc w:val="left"/>
        <w:textAlignment w:val="auto"/>
        <w:rPr>
          <w:rStyle w:val="Hyperlink"/>
          <w:rFonts w:cs="Arial"/>
        </w:rPr>
        <w:sectPr w:rsidR="007376E1" w:rsidRPr="001570EA" w:rsidSect="002D556C">
          <w:pgSz w:w="12240" w:h="15840"/>
          <w:pgMar w:top="1440" w:right="1800" w:bottom="1440" w:left="1800" w:header="720" w:footer="501" w:gutter="0"/>
          <w:cols w:space="720"/>
        </w:sectPr>
      </w:pPr>
    </w:p>
    <w:p w14:paraId="0AD35303" w14:textId="77777777" w:rsidR="007376E1" w:rsidRPr="001570EA" w:rsidRDefault="007376E1" w:rsidP="00462D97">
      <w:pPr>
        <w:pStyle w:val="Heading3"/>
      </w:pPr>
      <w:bookmarkStart w:id="298" w:name="_Toc48143026"/>
      <w:bookmarkStart w:id="299" w:name="_Toc164786645"/>
      <w:r w:rsidRPr="001570EA">
        <w:t>ENERGY STAR® Certified Connected Thermostats</w:t>
      </w:r>
      <w:bookmarkEnd w:id="298"/>
      <w:bookmarkEnd w:id="299"/>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6"/>
        <w:gridCol w:w="4966"/>
      </w:tblGrid>
      <w:tr w:rsidR="007376E1" w:rsidRPr="001570EA" w14:paraId="039F8FC8" w14:textId="77777777">
        <w:tc>
          <w:tcPr>
            <w:tcW w:w="354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682462C5" w14:textId="77777777" w:rsidR="007376E1" w:rsidRPr="001570EA" w:rsidRDefault="007376E1">
            <w:pPr>
              <w:pStyle w:val="TableCell"/>
              <w:spacing w:before="60" w:after="60"/>
              <w:jc w:val="left"/>
              <w:rPr>
                <w:b/>
                <w:bCs/>
                <w:color w:val="000000"/>
              </w:rPr>
            </w:pPr>
            <w:r w:rsidRPr="001570EA">
              <w:rPr>
                <w:b/>
                <w:bCs/>
                <w:color w:val="000000"/>
              </w:rPr>
              <w:t>Target Sector</w:t>
            </w:r>
          </w:p>
        </w:tc>
        <w:tc>
          <w:tcPr>
            <w:tcW w:w="496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56EE00BF" w14:textId="77777777" w:rsidR="007376E1" w:rsidRPr="001570EA" w:rsidRDefault="007376E1">
            <w:pPr>
              <w:pStyle w:val="TableCell"/>
              <w:spacing w:before="60" w:after="60"/>
              <w:jc w:val="center"/>
              <w:rPr>
                <w:color w:val="000000"/>
              </w:rPr>
            </w:pPr>
            <w:r w:rsidRPr="001570EA">
              <w:rPr>
                <w:color w:val="000000"/>
              </w:rPr>
              <w:t>Residential Homes, including single or multifamily in-unit spaces</w:t>
            </w:r>
          </w:p>
        </w:tc>
      </w:tr>
      <w:tr w:rsidR="007376E1" w:rsidRPr="001570EA" w14:paraId="028836C5" w14:textId="77777777">
        <w:tc>
          <w:tcPr>
            <w:tcW w:w="354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vAlign w:val="center"/>
          </w:tcPr>
          <w:p w14:paraId="1B5BB0D1" w14:textId="77777777" w:rsidR="007376E1" w:rsidRPr="001570EA" w:rsidRDefault="007376E1">
            <w:pPr>
              <w:pStyle w:val="TableCell"/>
              <w:spacing w:before="60" w:after="60"/>
              <w:jc w:val="left"/>
              <w:rPr>
                <w:b/>
                <w:bCs/>
                <w:color w:val="000000"/>
              </w:rPr>
            </w:pPr>
            <w:r w:rsidRPr="001570EA">
              <w:rPr>
                <w:b/>
                <w:bCs/>
                <w:color w:val="000000"/>
              </w:rPr>
              <w:t>Measure Unit</w:t>
            </w:r>
          </w:p>
        </w:tc>
        <w:tc>
          <w:tcPr>
            <w:tcW w:w="496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279B0E81" w14:textId="77777777" w:rsidR="007376E1" w:rsidRPr="001570EA" w:rsidRDefault="007376E1">
            <w:pPr>
              <w:pStyle w:val="TableCell"/>
              <w:spacing w:before="60" w:after="60"/>
              <w:jc w:val="center"/>
              <w:rPr>
                <w:color w:val="000000"/>
              </w:rPr>
            </w:pPr>
            <w:r w:rsidRPr="001570EA">
              <w:rPr>
                <w:color w:val="000000"/>
              </w:rPr>
              <w:t>Residential Thermostat</w:t>
            </w:r>
          </w:p>
        </w:tc>
      </w:tr>
      <w:tr w:rsidR="007376E1" w:rsidRPr="001570EA" w14:paraId="036D0469" w14:textId="77777777">
        <w:tc>
          <w:tcPr>
            <w:tcW w:w="354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3EA9D71E" w14:textId="77777777" w:rsidR="007376E1" w:rsidRPr="001570EA" w:rsidRDefault="007376E1">
            <w:pPr>
              <w:pStyle w:val="TableCell"/>
              <w:spacing w:before="60" w:after="60"/>
              <w:jc w:val="left"/>
              <w:rPr>
                <w:b/>
                <w:bCs/>
                <w:color w:val="000000"/>
              </w:rPr>
            </w:pPr>
            <w:r w:rsidRPr="001570EA">
              <w:rPr>
                <w:b/>
                <w:bCs/>
                <w:color w:val="000000"/>
              </w:rPr>
              <w:t>Measure Life</w:t>
            </w:r>
          </w:p>
        </w:tc>
        <w:tc>
          <w:tcPr>
            <w:tcW w:w="496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14AE728B" w14:textId="77777777" w:rsidR="007376E1" w:rsidRPr="001570EA" w:rsidRDefault="007376E1">
            <w:pPr>
              <w:pStyle w:val="TableCell"/>
              <w:spacing w:before="60" w:after="60"/>
              <w:jc w:val="center"/>
              <w:rPr>
                <w:color w:val="000000"/>
                <w:vertAlign w:val="superscript"/>
              </w:rPr>
            </w:pPr>
            <w:r w:rsidRPr="001570EA">
              <w:rPr>
                <w:color w:val="000000"/>
              </w:rPr>
              <w:t>9 years</w:t>
            </w:r>
            <w:r w:rsidRPr="001570EA">
              <w:rPr>
                <w:color w:val="000000"/>
                <w:vertAlign w:val="superscript"/>
              </w:rPr>
              <w:t xml:space="preserve">Source </w:t>
            </w:r>
            <w:r w:rsidRPr="001570EA">
              <w:rPr>
                <w:vertAlign w:val="superscript"/>
              </w:rPr>
              <w:t>1</w:t>
            </w:r>
          </w:p>
        </w:tc>
      </w:tr>
      <w:tr w:rsidR="007376E1" w:rsidRPr="001570EA" w14:paraId="4BE88F58" w14:textId="77777777">
        <w:tc>
          <w:tcPr>
            <w:tcW w:w="354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084ECF52" w14:textId="77777777" w:rsidR="007376E1" w:rsidRPr="001570EA" w:rsidRDefault="007376E1">
            <w:pPr>
              <w:pStyle w:val="TableCell"/>
              <w:spacing w:before="60" w:after="60"/>
              <w:jc w:val="left"/>
              <w:rPr>
                <w:b/>
                <w:bCs/>
                <w:color w:val="000000"/>
              </w:rPr>
            </w:pPr>
            <w:r w:rsidRPr="001570EA">
              <w:rPr>
                <w:b/>
                <w:bCs/>
                <w:color w:val="000000"/>
              </w:rPr>
              <w:t>Vintage</w:t>
            </w:r>
          </w:p>
        </w:tc>
        <w:tc>
          <w:tcPr>
            <w:tcW w:w="496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52741F7B" w14:textId="77777777" w:rsidR="007376E1" w:rsidRPr="001570EA" w:rsidRDefault="007376E1">
            <w:pPr>
              <w:pStyle w:val="TableCell"/>
              <w:spacing w:before="60" w:after="60"/>
              <w:jc w:val="center"/>
              <w:rPr>
                <w:color w:val="000000"/>
              </w:rPr>
            </w:pPr>
            <w:r w:rsidRPr="001570EA">
              <w:rPr>
                <w:color w:val="000000"/>
              </w:rPr>
              <w:t>Retrofit, Replace on Burnout, or New Construction</w:t>
            </w:r>
          </w:p>
        </w:tc>
      </w:tr>
    </w:tbl>
    <w:p w14:paraId="33CFFEC2" w14:textId="77777777" w:rsidR="007376E1" w:rsidRPr="001570EA" w:rsidRDefault="007376E1" w:rsidP="007376E1">
      <w:pPr>
        <w:pStyle w:val="BodyText"/>
        <w:ind w:right="0"/>
        <w:rPr>
          <w:rFonts w:eastAsia="Calibri"/>
        </w:rPr>
      </w:pPr>
    </w:p>
    <w:p w14:paraId="4D6D1F82" w14:textId="77777777" w:rsidR="007376E1" w:rsidRPr="001570EA" w:rsidRDefault="007376E1" w:rsidP="007376E1">
      <w:pPr>
        <w:pStyle w:val="BodyText"/>
        <w:ind w:right="0"/>
        <w:rPr>
          <w:rFonts w:eastAsia="Calibri"/>
        </w:rPr>
      </w:pPr>
      <w:r w:rsidRPr="001570EA">
        <w:rPr>
          <w:rFonts w:eastAsia="Calibri"/>
        </w:rPr>
        <w:t>ENERGY STAR</w:t>
      </w:r>
      <w:r w:rsidRPr="001570EA">
        <w:rPr>
          <w:rFonts w:eastAsia="Calibri"/>
          <w:vertAlign w:val="superscript"/>
        </w:rPr>
        <w:t>®</w:t>
      </w:r>
      <w:r w:rsidRPr="001570EA">
        <w:rPr>
          <w:rFonts w:eastAsia="Calibri"/>
        </w:rPr>
        <w:t>-certified connected thermostats (CT) save heating and cooling energy by operating residential HVAC systems more efficiently. CTs that meet the ENERGY STAR</w:t>
      </w:r>
      <w:r w:rsidRPr="001570EA">
        <w:rPr>
          <w:rFonts w:eastAsia="Calibri"/>
          <w:vertAlign w:val="superscript"/>
        </w:rPr>
        <w:t xml:space="preserve">® </w:t>
      </w:r>
      <w:r w:rsidRPr="001570EA">
        <w:rPr>
          <w:rFonts w:eastAsia="Calibri"/>
        </w:rPr>
        <w:t>specification</w:t>
      </w:r>
      <w:r w:rsidRPr="001570EA">
        <w:rPr>
          <w:rFonts w:eastAsia="Calibri"/>
          <w:vertAlign w:val="superscript"/>
        </w:rPr>
        <w:t>Source 2</w:t>
      </w:r>
      <w:r w:rsidRPr="001570EA">
        <w:rPr>
          <w:rFonts w:eastAsia="Calibri"/>
        </w:rPr>
        <w:t xml:space="preserve"> will have functions that are located in the home and on the Internet (the cloud). Homes must have Wi-Fi to enable full operating capabilities.</w:t>
      </w:r>
    </w:p>
    <w:p w14:paraId="6E5E9F8E" w14:textId="77777777" w:rsidR="007376E1" w:rsidRPr="001570EA" w:rsidRDefault="007376E1" w:rsidP="007376E1">
      <w:pPr>
        <w:pStyle w:val="BodyText"/>
        <w:ind w:right="0"/>
        <w:rPr>
          <w:rFonts w:eastAsia="Calibri"/>
        </w:rPr>
      </w:pPr>
    </w:p>
    <w:p w14:paraId="3F1C08EA" w14:textId="77777777" w:rsidR="007376E1" w:rsidRPr="001570EA" w:rsidRDefault="007376E1" w:rsidP="007376E1">
      <w:pPr>
        <w:pStyle w:val="BodyText"/>
        <w:ind w:right="0"/>
        <w:rPr>
          <w:rFonts w:eastAsia="Calibri"/>
        </w:rPr>
      </w:pPr>
      <w:r w:rsidRPr="001570EA">
        <w:rPr>
          <w:rFonts w:eastAsia="Calibri"/>
        </w:rPr>
        <w:t>ENERGY STAR</w:t>
      </w:r>
      <w:r w:rsidRPr="001570EA">
        <w:rPr>
          <w:rFonts w:eastAsia="Calibri"/>
          <w:vertAlign w:val="superscript"/>
        </w:rPr>
        <w:t>®</w:t>
      </w:r>
      <w:r w:rsidRPr="001570EA">
        <w:rPr>
          <w:rFonts w:eastAsia="Calibri"/>
        </w:rPr>
        <w:t>-certified connected thermostats may replace either a manual thermostat or a conventional programmable thermostat. The energy savings assume an existing ducted HVAC system with either an air source heat pump, fossil fuel heating with central AC, or an electric furnace with central AC. Electric resistance baseboard heating as the primary heating system is not eligible for savings to be claimed through this measure protocol because CTs are low voltage thermostats, which use 24 volts. Electric baseboard heating requires line-voltage thermostats, which can be either 120 or 240 volts.</w:t>
      </w:r>
    </w:p>
    <w:p w14:paraId="318EDC70" w14:textId="77777777" w:rsidR="007376E1" w:rsidRPr="001570EA" w:rsidRDefault="007376E1" w:rsidP="007376E1">
      <w:pPr>
        <w:pStyle w:val="BodyText"/>
        <w:ind w:right="0"/>
        <w:rPr>
          <w:rFonts w:eastAsia="Calibri"/>
        </w:rPr>
      </w:pPr>
    </w:p>
    <w:p w14:paraId="50AB8FF3" w14:textId="77777777" w:rsidR="007376E1" w:rsidRPr="001570EA" w:rsidRDefault="007376E1" w:rsidP="007376E1">
      <w:pPr>
        <w:pStyle w:val="SubStyle"/>
      </w:pPr>
      <w:r w:rsidRPr="001570EA">
        <w:t>Eligibility</w:t>
      </w:r>
    </w:p>
    <w:p w14:paraId="60BE4042" w14:textId="77777777" w:rsidR="007376E1" w:rsidRPr="001570EA" w:rsidRDefault="007376E1" w:rsidP="007376E1">
      <w:r w:rsidRPr="001570EA">
        <w:t>This measure documents the energy savings resulting from the following product installations:</w:t>
      </w:r>
    </w:p>
    <w:p w14:paraId="7DB3FBCA" w14:textId="77777777" w:rsidR="007376E1" w:rsidRPr="001570EA" w:rsidRDefault="007376E1" w:rsidP="007376E1"/>
    <w:p w14:paraId="7CCF7016" w14:textId="77777777" w:rsidR="007376E1" w:rsidRPr="001570EA" w:rsidRDefault="007376E1" w:rsidP="002614D2">
      <w:pPr>
        <w:pStyle w:val="ListParagraph"/>
        <w:numPr>
          <w:ilvl w:val="0"/>
          <w:numId w:val="30"/>
        </w:numPr>
        <w:spacing w:after="0"/>
        <w:ind w:left="360"/>
      </w:pPr>
      <w:r w:rsidRPr="001570EA">
        <w:rPr>
          <w:rFonts w:eastAsia="Calibri"/>
        </w:rPr>
        <w:t>ENERGY STAR</w:t>
      </w:r>
      <w:r w:rsidRPr="001570EA">
        <w:rPr>
          <w:rFonts w:eastAsia="Calibri"/>
          <w:vertAlign w:val="superscript"/>
        </w:rPr>
        <w:t>®</w:t>
      </w:r>
      <w:r w:rsidRPr="001570EA">
        <w:rPr>
          <w:rFonts w:eastAsia="Calibri"/>
        </w:rPr>
        <w:t>-certified connected thermostat (CT)</w:t>
      </w:r>
    </w:p>
    <w:p w14:paraId="3D0BF800" w14:textId="77777777" w:rsidR="007376E1" w:rsidRPr="001570EA" w:rsidRDefault="007376E1" w:rsidP="007376E1"/>
    <w:p w14:paraId="0F35E328" w14:textId="77777777" w:rsidR="007376E1" w:rsidRPr="001570EA" w:rsidRDefault="007376E1" w:rsidP="007376E1">
      <w:r w:rsidRPr="001570EA">
        <w:t>Savings are assessed in this protocol for three different installation scenarios:</w:t>
      </w:r>
    </w:p>
    <w:p w14:paraId="21583021" w14:textId="77777777" w:rsidR="007376E1" w:rsidRPr="001570EA" w:rsidRDefault="007376E1" w:rsidP="007376E1"/>
    <w:p w14:paraId="4F3B171D" w14:textId="77777777" w:rsidR="007376E1" w:rsidRPr="001570EA" w:rsidRDefault="007376E1" w:rsidP="002614D2">
      <w:pPr>
        <w:pStyle w:val="ListParagraph"/>
        <w:numPr>
          <w:ilvl w:val="0"/>
          <w:numId w:val="42"/>
        </w:numPr>
        <w:spacing w:after="120"/>
        <w:ind w:left="360"/>
      </w:pPr>
      <w:r w:rsidRPr="001570EA">
        <w:rPr>
          <w:b/>
        </w:rPr>
        <w:t>Customer self-installation of CT (no education).</w:t>
      </w:r>
      <w:r w:rsidRPr="001570EA">
        <w:br/>
        <w:t>Under this scenario, customers purchase and install the CT on their own without any education on installing and operating the thermostat (aside from any manufacturer instructions included in the CT box at the time of purchase). This scenario applies to upstream programs where EDCs discount the device cost at the point of purchase.</w:t>
      </w:r>
    </w:p>
    <w:p w14:paraId="28F2850F" w14:textId="77777777" w:rsidR="007376E1" w:rsidRPr="001570EA" w:rsidRDefault="007376E1" w:rsidP="002614D2">
      <w:pPr>
        <w:pStyle w:val="ListParagraph"/>
        <w:numPr>
          <w:ilvl w:val="0"/>
          <w:numId w:val="42"/>
        </w:numPr>
        <w:spacing w:after="120"/>
        <w:ind w:left="360"/>
      </w:pPr>
      <w:r w:rsidRPr="001570EA">
        <w:rPr>
          <w:b/>
        </w:rPr>
        <w:t>Customer self-installation with education on installation and operation of CT.</w:t>
      </w:r>
      <w:r w:rsidRPr="001570EA">
        <w:br/>
        <w:t>Under this scenario, customers purchase the program-qualified CT and, in order to receive the incentive, certify in the incentive application that they have completed the specified education on how to install and operate the thermostat. The education may consist of viewing of videos and/or completion of a short online training module on the installation and operational details of the thermostat.</w:t>
      </w:r>
    </w:p>
    <w:p w14:paraId="7AE75BE6" w14:textId="77777777" w:rsidR="007376E1" w:rsidRPr="001570EA" w:rsidRDefault="007376E1" w:rsidP="002614D2">
      <w:pPr>
        <w:pStyle w:val="ListParagraph"/>
        <w:numPr>
          <w:ilvl w:val="0"/>
          <w:numId w:val="42"/>
        </w:numPr>
        <w:spacing w:after="120"/>
        <w:ind w:left="360"/>
      </w:pPr>
      <w:r w:rsidRPr="001570EA">
        <w:rPr>
          <w:b/>
        </w:rPr>
        <w:t>Professional installation with instructions on operating the CT</w:t>
      </w:r>
      <w:r w:rsidRPr="001570EA">
        <w:t>.</w:t>
      </w:r>
      <w:r w:rsidRPr="001570EA">
        <w:br/>
        <w:t>For professional installation with operational instructions, the thermostat must be installed by a utility representative, ICSP, or program affiliated trade ally, at the time of the installation, the installer must explain the operational details of the thermostat to the customer. It is important to note that professional installation by contractors unaffiliated with the program may not focus on the energy savings capabilities of the device and would not produce higher savings. For example, an electrician might only focus on the wiring needs and provide little or no direction to the homeowner on how to leverage device capabilities for energy savings.</w:t>
      </w:r>
    </w:p>
    <w:p w14:paraId="18BD8363" w14:textId="77777777" w:rsidR="007376E1" w:rsidRPr="001570EA" w:rsidRDefault="007376E1" w:rsidP="007376E1"/>
    <w:p w14:paraId="3966381E" w14:textId="01E4EB21" w:rsidR="007376E1" w:rsidRPr="001570EA" w:rsidRDefault="00521734" w:rsidP="00521734">
      <w:pPr>
        <w:pStyle w:val="Caption"/>
      </w:pPr>
      <w:bookmarkStart w:id="300" w:name="_Ref449711951"/>
      <w:bookmarkStart w:id="301" w:name="_Toc4759828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44</w:t>
      </w:r>
      <w:r w:rsidR="002E093A" w:rsidRPr="001570EA">
        <w:fldChar w:fldCharType="end"/>
      </w:r>
      <w:r w:rsidRPr="001570EA">
        <w:t>: Installation Classification</w:t>
      </w:r>
      <w:bookmarkEnd w:id="300"/>
      <w:bookmarkEnd w:id="3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4"/>
        <w:gridCol w:w="2007"/>
        <w:gridCol w:w="1312"/>
        <w:gridCol w:w="1307"/>
      </w:tblGrid>
      <w:tr w:rsidR="007376E1" w:rsidRPr="001570EA" w14:paraId="1CC3900E" w14:textId="77777777">
        <w:trPr>
          <w:trHeight w:val="288"/>
        </w:trPr>
        <w:tc>
          <w:tcPr>
            <w:tcW w:w="2320" w:type="pct"/>
            <w:shd w:val="clear" w:color="auto" w:fill="BFBFBF" w:themeFill="background1" w:themeFillShade="BF"/>
            <w:vAlign w:val="center"/>
            <w:hideMark/>
          </w:tcPr>
          <w:p w14:paraId="2183B7DC" w14:textId="77777777" w:rsidR="007376E1" w:rsidRPr="001570EA" w:rsidRDefault="007376E1">
            <w:pPr>
              <w:keepNext/>
              <w:keepLines/>
              <w:rPr>
                <w:sz w:val="18"/>
                <w:szCs w:val="18"/>
              </w:rPr>
            </w:pPr>
            <w:r w:rsidRPr="001570EA">
              <w:rPr>
                <w:sz w:val="18"/>
                <w:szCs w:val="18"/>
              </w:rPr>
              <w:t>I</w:t>
            </w:r>
            <w:r w:rsidRPr="001570EA">
              <w:rPr>
                <w:rStyle w:val="Strong"/>
                <w:sz w:val="18"/>
                <w:szCs w:val="18"/>
              </w:rPr>
              <w:t xml:space="preserve">nstallation Scenario </w:t>
            </w:r>
          </w:p>
        </w:tc>
        <w:tc>
          <w:tcPr>
            <w:tcW w:w="1163" w:type="pct"/>
            <w:shd w:val="clear" w:color="auto" w:fill="BFBFBF" w:themeFill="background1" w:themeFillShade="BF"/>
            <w:vAlign w:val="center"/>
            <w:hideMark/>
          </w:tcPr>
          <w:p w14:paraId="5531280C" w14:textId="77777777" w:rsidR="007376E1" w:rsidRPr="001570EA" w:rsidRDefault="007376E1">
            <w:pPr>
              <w:keepNext/>
              <w:keepLines/>
              <w:jc w:val="center"/>
              <w:rPr>
                <w:sz w:val="18"/>
                <w:szCs w:val="18"/>
              </w:rPr>
            </w:pPr>
            <w:r w:rsidRPr="001570EA">
              <w:rPr>
                <w:rStyle w:val="Strong"/>
                <w:sz w:val="18"/>
                <w:szCs w:val="18"/>
              </w:rPr>
              <w:t>Installation Cost Paid By</w:t>
            </w:r>
          </w:p>
        </w:tc>
        <w:tc>
          <w:tcPr>
            <w:tcW w:w="760" w:type="pct"/>
            <w:shd w:val="clear" w:color="auto" w:fill="BFBFBF" w:themeFill="background1" w:themeFillShade="BF"/>
            <w:vAlign w:val="center"/>
            <w:hideMark/>
          </w:tcPr>
          <w:p w14:paraId="59DA25E1" w14:textId="77777777" w:rsidR="007376E1" w:rsidRPr="001570EA" w:rsidRDefault="007376E1">
            <w:pPr>
              <w:keepNext/>
              <w:keepLines/>
              <w:jc w:val="center"/>
              <w:rPr>
                <w:sz w:val="18"/>
                <w:szCs w:val="18"/>
              </w:rPr>
            </w:pPr>
            <w:r w:rsidRPr="001570EA">
              <w:rPr>
                <w:rStyle w:val="Strong"/>
                <w:sz w:val="18"/>
                <w:szCs w:val="18"/>
              </w:rPr>
              <w:t>Installation Type</w:t>
            </w:r>
          </w:p>
        </w:tc>
        <w:tc>
          <w:tcPr>
            <w:tcW w:w="757" w:type="pct"/>
            <w:shd w:val="clear" w:color="auto" w:fill="BFBFBF" w:themeFill="background1" w:themeFillShade="BF"/>
            <w:vAlign w:val="center"/>
            <w:hideMark/>
          </w:tcPr>
          <w:p w14:paraId="20EC1A8E" w14:textId="77777777" w:rsidR="007376E1" w:rsidRPr="001570EA" w:rsidRDefault="007376E1">
            <w:pPr>
              <w:keepNext/>
              <w:keepLines/>
              <w:jc w:val="center"/>
              <w:rPr>
                <w:sz w:val="18"/>
                <w:szCs w:val="18"/>
              </w:rPr>
            </w:pPr>
            <w:r w:rsidRPr="001570EA">
              <w:rPr>
                <w:rStyle w:val="Strong"/>
                <w:sz w:val="18"/>
                <w:szCs w:val="18"/>
              </w:rPr>
              <w:t>Capacity Term(s)</w:t>
            </w:r>
          </w:p>
        </w:tc>
      </w:tr>
      <w:tr w:rsidR="007376E1" w:rsidRPr="001570EA" w14:paraId="45CBBA20" w14:textId="77777777">
        <w:trPr>
          <w:trHeight w:val="288"/>
        </w:trPr>
        <w:tc>
          <w:tcPr>
            <w:tcW w:w="2320" w:type="pct"/>
            <w:shd w:val="clear" w:color="auto" w:fill="FFFFFF" w:themeFill="background1"/>
            <w:tcMar>
              <w:left w:w="58" w:type="dxa"/>
              <w:right w:w="58" w:type="dxa"/>
            </w:tcMar>
            <w:vAlign w:val="center"/>
            <w:hideMark/>
          </w:tcPr>
          <w:p w14:paraId="157A3418" w14:textId="77777777" w:rsidR="007376E1" w:rsidRPr="001570EA" w:rsidRDefault="007376E1">
            <w:pPr>
              <w:rPr>
                <w:sz w:val="18"/>
                <w:szCs w:val="18"/>
              </w:rPr>
            </w:pPr>
            <w:r w:rsidRPr="001570EA">
              <w:rPr>
                <w:sz w:val="18"/>
                <w:szCs w:val="18"/>
              </w:rPr>
              <w:t>Thermostat installed by EDC contractor during audit or other visit</w:t>
            </w:r>
          </w:p>
        </w:tc>
        <w:tc>
          <w:tcPr>
            <w:tcW w:w="1163" w:type="pct"/>
            <w:shd w:val="clear" w:color="auto" w:fill="FFFFFF" w:themeFill="background1"/>
            <w:tcMar>
              <w:right w:w="58" w:type="dxa"/>
            </w:tcMar>
            <w:vAlign w:val="center"/>
            <w:hideMark/>
          </w:tcPr>
          <w:p w14:paraId="0C2D2961" w14:textId="77777777" w:rsidR="007376E1" w:rsidRPr="001570EA" w:rsidRDefault="007376E1">
            <w:pPr>
              <w:jc w:val="center"/>
              <w:rPr>
                <w:sz w:val="18"/>
                <w:szCs w:val="18"/>
              </w:rPr>
            </w:pPr>
            <w:r w:rsidRPr="001570EA">
              <w:rPr>
                <w:sz w:val="18"/>
                <w:szCs w:val="18"/>
              </w:rPr>
              <w:t>EDC</w:t>
            </w:r>
          </w:p>
        </w:tc>
        <w:tc>
          <w:tcPr>
            <w:tcW w:w="760" w:type="pct"/>
            <w:shd w:val="clear" w:color="auto" w:fill="FFFFFF" w:themeFill="background1"/>
            <w:tcMar>
              <w:right w:w="58" w:type="dxa"/>
            </w:tcMar>
            <w:vAlign w:val="center"/>
            <w:hideMark/>
          </w:tcPr>
          <w:p w14:paraId="3B992B9B" w14:textId="77777777" w:rsidR="007376E1" w:rsidRPr="001570EA" w:rsidRDefault="007376E1">
            <w:pPr>
              <w:jc w:val="center"/>
              <w:rPr>
                <w:sz w:val="18"/>
                <w:szCs w:val="18"/>
              </w:rPr>
            </w:pPr>
            <w:r w:rsidRPr="001570EA">
              <w:rPr>
                <w:sz w:val="18"/>
                <w:szCs w:val="18"/>
              </w:rPr>
              <w:t>Professional</w:t>
            </w:r>
          </w:p>
        </w:tc>
        <w:tc>
          <w:tcPr>
            <w:tcW w:w="757" w:type="pct"/>
            <w:shd w:val="clear" w:color="auto" w:fill="FFFFFF" w:themeFill="background1"/>
            <w:tcMar>
              <w:right w:w="58" w:type="dxa"/>
            </w:tcMar>
            <w:vAlign w:val="center"/>
            <w:hideMark/>
          </w:tcPr>
          <w:p w14:paraId="7E2AAA14" w14:textId="77777777" w:rsidR="007376E1" w:rsidRPr="001570EA" w:rsidRDefault="007376E1">
            <w:pPr>
              <w:jc w:val="center"/>
              <w:rPr>
                <w:sz w:val="18"/>
                <w:szCs w:val="18"/>
              </w:rPr>
            </w:pPr>
            <w:r w:rsidRPr="001570EA">
              <w:rPr>
                <w:sz w:val="18"/>
                <w:szCs w:val="18"/>
              </w:rPr>
              <w:t>EDC Data Gathering, Default</w:t>
            </w:r>
          </w:p>
        </w:tc>
      </w:tr>
      <w:tr w:rsidR="007376E1" w:rsidRPr="001570EA" w14:paraId="641D6BA2" w14:textId="77777777">
        <w:trPr>
          <w:trHeight w:val="288"/>
        </w:trPr>
        <w:tc>
          <w:tcPr>
            <w:tcW w:w="2320" w:type="pct"/>
            <w:shd w:val="clear" w:color="auto" w:fill="FFFFFF" w:themeFill="background1"/>
            <w:tcMar>
              <w:left w:w="58" w:type="dxa"/>
              <w:right w:w="58" w:type="dxa"/>
            </w:tcMar>
            <w:vAlign w:val="center"/>
            <w:hideMark/>
          </w:tcPr>
          <w:p w14:paraId="33B03704" w14:textId="77777777" w:rsidR="007376E1" w:rsidRPr="001570EA" w:rsidRDefault="007376E1">
            <w:pPr>
              <w:rPr>
                <w:sz w:val="18"/>
                <w:szCs w:val="18"/>
              </w:rPr>
            </w:pPr>
            <w:r w:rsidRPr="001570EA">
              <w:rPr>
                <w:sz w:val="18"/>
                <w:szCs w:val="18"/>
              </w:rPr>
              <w:t xml:space="preserve">Thermostat installed by contractor affiliated with EDC program (ICSP or trade ally) </w:t>
            </w:r>
          </w:p>
        </w:tc>
        <w:tc>
          <w:tcPr>
            <w:tcW w:w="1163" w:type="pct"/>
            <w:shd w:val="clear" w:color="auto" w:fill="FFFFFF" w:themeFill="background1"/>
            <w:tcMar>
              <w:right w:w="58" w:type="dxa"/>
            </w:tcMar>
            <w:vAlign w:val="center"/>
            <w:hideMark/>
          </w:tcPr>
          <w:p w14:paraId="0A3B62AF" w14:textId="77777777" w:rsidR="007376E1" w:rsidRPr="001570EA" w:rsidRDefault="007376E1">
            <w:pPr>
              <w:jc w:val="center"/>
              <w:rPr>
                <w:sz w:val="18"/>
                <w:szCs w:val="18"/>
              </w:rPr>
            </w:pPr>
            <w:r w:rsidRPr="001570EA">
              <w:rPr>
                <w:sz w:val="18"/>
                <w:szCs w:val="18"/>
              </w:rPr>
              <w:t>EDC or Participant</w:t>
            </w:r>
          </w:p>
        </w:tc>
        <w:tc>
          <w:tcPr>
            <w:tcW w:w="760" w:type="pct"/>
            <w:shd w:val="clear" w:color="auto" w:fill="FFFFFF" w:themeFill="background1"/>
            <w:tcMar>
              <w:right w:w="58" w:type="dxa"/>
            </w:tcMar>
            <w:vAlign w:val="center"/>
            <w:hideMark/>
          </w:tcPr>
          <w:p w14:paraId="234578F7" w14:textId="77777777" w:rsidR="007376E1" w:rsidRPr="001570EA" w:rsidRDefault="007376E1">
            <w:pPr>
              <w:jc w:val="center"/>
              <w:rPr>
                <w:sz w:val="18"/>
                <w:szCs w:val="18"/>
              </w:rPr>
            </w:pPr>
            <w:r w:rsidRPr="001570EA">
              <w:rPr>
                <w:sz w:val="18"/>
                <w:szCs w:val="18"/>
              </w:rPr>
              <w:t>Professional</w:t>
            </w:r>
          </w:p>
        </w:tc>
        <w:tc>
          <w:tcPr>
            <w:tcW w:w="757" w:type="pct"/>
            <w:shd w:val="clear" w:color="auto" w:fill="FFFFFF" w:themeFill="background1"/>
            <w:tcMar>
              <w:right w:w="58" w:type="dxa"/>
            </w:tcMar>
            <w:vAlign w:val="center"/>
            <w:hideMark/>
          </w:tcPr>
          <w:p w14:paraId="3B3E67B5" w14:textId="77777777" w:rsidR="007376E1" w:rsidRPr="001570EA" w:rsidRDefault="007376E1">
            <w:pPr>
              <w:jc w:val="center"/>
              <w:rPr>
                <w:sz w:val="18"/>
                <w:szCs w:val="18"/>
              </w:rPr>
            </w:pPr>
            <w:r w:rsidRPr="001570EA">
              <w:rPr>
                <w:sz w:val="18"/>
                <w:szCs w:val="18"/>
              </w:rPr>
              <w:t>EDC Data Gathering, Default</w:t>
            </w:r>
          </w:p>
        </w:tc>
      </w:tr>
      <w:tr w:rsidR="007376E1" w:rsidRPr="001570EA" w14:paraId="2F4E46EE" w14:textId="77777777">
        <w:trPr>
          <w:trHeight w:val="288"/>
        </w:trPr>
        <w:tc>
          <w:tcPr>
            <w:tcW w:w="2320" w:type="pct"/>
            <w:shd w:val="clear" w:color="auto" w:fill="FFFFFF" w:themeFill="background1"/>
            <w:tcMar>
              <w:left w:w="58" w:type="dxa"/>
              <w:right w:w="58" w:type="dxa"/>
            </w:tcMar>
            <w:vAlign w:val="center"/>
            <w:hideMark/>
          </w:tcPr>
          <w:p w14:paraId="57B720BC" w14:textId="77777777" w:rsidR="007376E1" w:rsidRPr="001570EA" w:rsidRDefault="007376E1">
            <w:pPr>
              <w:rPr>
                <w:sz w:val="18"/>
                <w:szCs w:val="18"/>
              </w:rPr>
            </w:pPr>
            <w:r w:rsidRPr="001570EA">
              <w:rPr>
                <w:sz w:val="18"/>
                <w:szCs w:val="18"/>
              </w:rPr>
              <w:t xml:space="preserve">Thermostat installed by licensed electrical or HVAC contractor - invoice, work order, etc. provided </w:t>
            </w:r>
          </w:p>
        </w:tc>
        <w:tc>
          <w:tcPr>
            <w:tcW w:w="1163" w:type="pct"/>
            <w:shd w:val="clear" w:color="auto" w:fill="FFFFFF" w:themeFill="background1"/>
            <w:tcMar>
              <w:right w:w="58" w:type="dxa"/>
            </w:tcMar>
            <w:vAlign w:val="center"/>
            <w:hideMark/>
          </w:tcPr>
          <w:p w14:paraId="276FA1F1" w14:textId="77777777" w:rsidR="007376E1" w:rsidRPr="001570EA" w:rsidRDefault="007376E1">
            <w:pPr>
              <w:jc w:val="center"/>
              <w:rPr>
                <w:sz w:val="18"/>
                <w:szCs w:val="18"/>
              </w:rPr>
            </w:pPr>
            <w:r w:rsidRPr="001570EA">
              <w:rPr>
                <w:sz w:val="18"/>
                <w:szCs w:val="18"/>
              </w:rPr>
              <w:t>Participant</w:t>
            </w:r>
          </w:p>
        </w:tc>
        <w:tc>
          <w:tcPr>
            <w:tcW w:w="760" w:type="pct"/>
            <w:shd w:val="clear" w:color="auto" w:fill="FFFFFF" w:themeFill="background1"/>
            <w:tcMar>
              <w:right w:w="58" w:type="dxa"/>
            </w:tcMar>
            <w:vAlign w:val="center"/>
            <w:hideMark/>
          </w:tcPr>
          <w:p w14:paraId="00A465A2" w14:textId="77777777" w:rsidR="007376E1" w:rsidRPr="001570EA" w:rsidRDefault="007376E1">
            <w:pPr>
              <w:jc w:val="center"/>
              <w:rPr>
                <w:sz w:val="18"/>
                <w:szCs w:val="18"/>
              </w:rPr>
            </w:pPr>
            <w:r w:rsidRPr="001570EA">
              <w:rPr>
                <w:sz w:val="18"/>
                <w:szCs w:val="18"/>
              </w:rPr>
              <w:t>Professional</w:t>
            </w:r>
          </w:p>
        </w:tc>
        <w:tc>
          <w:tcPr>
            <w:tcW w:w="757" w:type="pct"/>
            <w:shd w:val="clear" w:color="auto" w:fill="FFFFFF" w:themeFill="background1"/>
            <w:tcMar>
              <w:right w:w="58" w:type="dxa"/>
            </w:tcMar>
            <w:vAlign w:val="center"/>
            <w:hideMark/>
          </w:tcPr>
          <w:p w14:paraId="3DDBAB7A" w14:textId="77777777" w:rsidR="007376E1" w:rsidRPr="001570EA" w:rsidRDefault="007376E1">
            <w:pPr>
              <w:jc w:val="center"/>
              <w:rPr>
                <w:sz w:val="18"/>
                <w:szCs w:val="18"/>
              </w:rPr>
            </w:pPr>
            <w:r w:rsidRPr="001570EA">
              <w:rPr>
                <w:sz w:val="18"/>
                <w:szCs w:val="18"/>
              </w:rPr>
              <w:t>EDC Data Gathering, Default</w:t>
            </w:r>
          </w:p>
        </w:tc>
      </w:tr>
      <w:tr w:rsidR="007376E1" w:rsidRPr="001570EA" w14:paraId="10693B4B" w14:textId="77777777">
        <w:trPr>
          <w:trHeight w:val="576"/>
        </w:trPr>
        <w:tc>
          <w:tcPr>
            <w:tcW w:w="2320" w:type="pct"/>
            <w:shd w:val="clear" w:color="auto" w:fill="FFFFFF" w:themeFill="background1"/>
            <w:tcMar>
              <w:left w:w="58" w:type="dxa"/>
              <w:right w:w="58" w:type="dxa"/>
            </w:tcMar>
            <w:vAlign w:val="center"/>
            <w:hideMark/>
          </w:tcPr>
          <w:p w14:paraId="6903F512" w14:textId="77777777" w:rsidR="007376E1" w:rsidRPr="001570EA" w:rsidRDefault="007376E1">
            <w:pPr>
              <w:rPr>
                <w:sz w:val="18"/>
                <w:szCs w:val="18"/>
              </w:rPr>
            </w:pPr>
            <w:r w:rsidRPr="001570EA">
              <w:rPr>
                <w:sz w:val="18"/>
                <w:szCs w:val="18"/>
              </w:rPr>
              <w:t>Thermostat installed by homeowner or friend/family who certifies receiving education on operating the thermostat at the time of applying for the rebate.</w:t>
            </w:r>
          </w:p>
        </w:tc>
        <w:tc>
          <w:tcPr>
            <w:tcW w:w="1163" w:type="pct"/>
            <w:shd w:val="clear" w:color="auto" w:fill="FFFFFF" w:themeFill="background1"/>
            <w:tcMar>
              <w:right w:w="58" w:type="dxa"/>
            </w:tcMar>
            <w:vAlign w:val="center"/>
            <w:hideMark/>
          </w:tcPr>
          <w:p w14:paraId="57DDA0DC" w14:textId="77777777" w:rsidR="007376E1" w:rsidRPr="001570EA" w:rsidRDefault="007376E1">
            <w:pPr>
              <w:jc w:val="center"/>
              <w:rPr>
                <w:sz w:val="18"/>
                <w:szCs w:val="18"/>
              </w:rPr>
            </w:pPr>
            <w:r w:rsidRPr="001570EA">
              <w:rPr>
                <w:sz w:val="18"/>
                <w:szCs w:val="18"/>
              </w:rPr>
              <w:t>Participant</w:t>
            </w:r>
          </w:p>
        </w:tc>
        <w:tc>
          <w:tcPr>
            <w:tcW w:w="760" w:type="pct"/>
            <w:shd w:val="clear" w:color="auto" w:fill="FFFFFF" w:themeFill="background1"/>
            <w:tcMar>
              <w:right w:w="58" w:type="dxa"/>
            </w:tcMar>
            <w:vAlign w:val="center"/>
            <w:hideMark/>
          </w:tcPr>
          <w:p w14:paraId="6C70F248" w14:textId="77777777" w:rsidR="007376E1" w:rsidRPr="001570EA" w:rsidRDefault="007376E1">
            <w:pPr>
              <w:jc w:val="center"/>
              <w:rPr>
                <w:sz w:val="18"/>
                <w:szCs w:val="18"/>
              </w:rPr>
            </w:pPr>
            <w:r w:rsidRPr="001570EA">
              <w:rPr>
                <w:sz w:val="18"/>
                <w:szCs w:val="18"/>
              </w:rPr>
              <w:t>Self-Installation + Education</w:t>
            </w:r>
          </w:p>
        </w:tc>
        <w:tc>
          <w:tcPr>
            <w:tcW w:w="757" w:type="pct"/>
            <w:shd w:val="clear" w:color="auto" w:fill="FFFFFF" w:themeFill="background1"/>
            <w:tcMar>
              <w:right w:w="58" w:type="dxa"/>
            </w:tcMar>
            <w:vAlign w:val="center"/>
            <w:hideMark/>
          </w:tcPr>
          <w:p w14:paraId="440BB69B" w14:textId="77777777" w:rsidR="007376E1" w:rsidRPr="001570EA" w:rsidRDefault="007376E1">
            <w:pPr>
              <w:jc w:val="center"/>
              <w:rPr>
                <w:sz w:val="18"/>
                <w:szCs w:val="18"/>
              </w:rPr>
            </w:pPr>
            <w:r w:rsidRPr="001570EA">
              <w:rPr>
                <w:sz w:val="18"/>
                <w:szCs w:val="18"/>
              </w:rPr>
              <w:t>Default</w:t>
            </w:r>
          </w:p>
        </w:tc>
      </w:tr>
      <w:tr w:rsidR="007376E1" w:rsidRPr="001570EA" w14:paraId="0C232CC6" w14:textId="77777777">
        <w:trPr>
          <w:trHeight w:val="576"/>
        </w:trPr>
        <w:tc>
          <w:tcPr>
            <w:tcW w:w="2320" w:type="pct"/>
            <w:shd w:val="clear" w:color="auto" w:fill="FFFFFF" w:themeFill="background1"/>
            <w:tcMar>
              <w:left w:w="58" w:type="dxa"/>
              <w:right w:w="58" w:type="dxa"/>
            </w:tcMar>
            <w:vAlign w:val="center"/>
            <w:hideMark/>
          </w:tcPr>
          <w:p w14:paraId="30145DB3" w14:textId="77777777" w:rsidR="007376E1" w:rsidRPr="001570EA" w:rsidRDefault="007376E1">
            <w:pPr>
              <w:rPr>
                <w:sz w:val="18"/>
                <w:szCs w:val="18"/>
              </w:rPr>
            </w:pPr>
            <w:r w:rsidRPr="001570EA">
              <w:rPr>
                <w:sz w:val="18"/>
                <w:szCs w:val="18"/>
              </w:rPr>
              <w:t>Thermostat installed by licensed electrical or HVAC contractor - no invoice, work order or other documentation supplied</w:t>
            </w:r>
          </w:p>
        </w:tc>
        <w:tc>
          <w:tcPr>
            <w:tcW w:w="1163" w:type="pct"/>
            <w:shd w:val="clear" w:color="auto" w:fill="FFFFFF" w:themeFill="background1"/>
            <w:tcMar>
              <w:right w:w="58" w:type="dxa"/>
            </w:tcMar>
            <w:vAlign w:val="center"/>
            <w:hideMark/>
          </w:tcPr>
          <w:p w14:paraId="185B7160" w14:textId="77777777" w:rsidR="007376E1" w:rsidRPr="001570EA" w:rsidRDefault="007376E1">
            <w:pPr>
              <w:jc w:val="center"/>
              <w:rPr>
                <w:sz w:val="18"/>
                <w:szCs w:val="18"/>
              </w:rPr>
            </w:pPr>
            <w:r w:rsidRPr="001570EA">
              <w:rPr>
                <w:sz w:val="18"/>
                <w:szCs w:val="18"/>
              </w:rPr>
              <w:t>Participant</w:t>
            </w:r>
          </w:p>
        </w:tc>
        <w:tc>
          <w:tcPr>
            <w:tcW w:w="760" w:type="pct"/>
            <w:shd w:val="clear" w:color="auto" w:fill="FFFFFF" w:themeFill="background1"/>
            <w:tcMar>
              <w:right w:w="58" w:type="dxa"/>
            </w:tcMar>
            <w:vAlign w:val="center"/>
            <w:hideMark/>
          </w:tcPr>
          <w:p w14:paraId="07191F15" w14:textId="77777777" w:rsidR="007376E1" w:rsidRPr="001570EA" w:rsidRDefault="007376E1">
            <w:pPr>
              <w:jc w:val="center"/>
              <w:rPr>
                <w:sz w:val="18"/>
                <w:szCs w:val="18"/>
              </w:rPr>
            </w:pPr>
            <w:r w:rsidRPr="001570EA">
              <w:rPr>
                <w:sz w:val="18"/>
                <w:szCs w:val="18"/>
              </w:rPr>
              <w:t>Self-Installation + Education</w:t>
            </w:r>
          </w:p>
        </w:tc>
        <w:tc>
          <w:tcPr>
            <w:tcW w:w="757" w:type="pct"/>
            <w:shd w:val="clear" w:color="auto" w:fill="FFFFFF" w:themeFill="background1"/>
            <w:tcMar>
              <w:right w:w="58" w:type="dxa"/>
            </w:tcMar>
            <w:vAlign w:val="center"/>
            <w:hideMark/>
          </w:tcPr>
          <w:p w14:paraId="69CA2CBD" w14:textId="77777777" w:rsidR="007376E1" w:rsidRPr="001570EA" w:rsidRDefault="007376E1">
            <w:pPr>
              <w:jc w:val="center"/>
              <w:rPr>
                <w:sz w:val="18"/>
                <w:szCs w:val="18"/>
              </w:rPr>
            </w:pPr>
            <w:r w:rsidRPr="001570EA">
              <w:rPr>
                <w:sz w:val="18"/>
                <w:szCs w:val="18"/>
              </w:rPr>
              <w:t>Default</w:t>
            </w:r>
          </w:p>
        </w:tc>
      </w:tr>
      <w:tr w:rsidR="007376E1" w:rsidRPr="001570EA" w14:paraId="116B592D" w14:textId="77777777">
        <w:trPr>
          <w:trHeight w:val="288"/>
        </w:trPr>
        <w:tc>
          <w:tcPr>
            <w:tcW w:w="2320" w:type="pct"/>
            <w:shd w:val="clear" w:color="auto" w:fill="FFFFFF" w:themeFill="background1"/>
            <w:tcMar>
              <w:left w:w="58" w:type="dxa"/>
              <w:right w:w="58" w:type="dxa"/>
            </w:tcMar>
            <w:vAlign w:val="center"/>
            <w:hideMark/>
          </w:tcPr>
          <w:p w14:paraId="3C7960CD" w14:textId="77777777" w:rsidR="007376E1" w:rsidRPr="001570EA" w:rsidRDefault="007376E1">
            <w:pPr>
              <w:rPr>
                <w:sz w:val="18"/>
                <w:szCs w:val="18"/>
              </w:rPr>
            </w:pPr>
            <w:r w:rsidRPr="001570EA">
              <w:rPr>
                <w:sz w:val="18"/>
                <w:szCs w:val="18"/>
              </w:rPr>
              <w:t>Thermostat installed by homeowner or friend/family</w:t>
            </w:r>
          </w:p>
        </w:tc>
        <w:tc>
          <w:tcPr>
            <w:tcW w:w="1163" w:type="pct"/>
            <w:shd w:val="clear" w:color="auto" w:fill="FFFFFF" w:themeFill="background1"/>
            <w:tcMar>
              <w:right w:w="58" w:type="dxa"/>
            </w:tcMar>
            <w:vAlign w:val="center"/>
            <w:hideMark/>
          </w:tcPr>
          <w:p w14:paraId="17836D25" w14:textId="77777777" w:rsidR="007376E1" w:rsidRPr="001570EA" w:rsidRDefault="007376E1">
            <w:pPr>
              <w:jc w:val="center"/>
              <w:rPr>
                <w:sz w:val="18"/>
                <w:szCs w:val="18"/>
              </w:rPr>
            </w:pPr>
            <w:r w:rsidRPr="001570EA">
              <w:rPr>
                <w:sz w:val="18"/>
                <w:szCs w:val="18"/>
              </w:rPr>
              <w:t>Participant</w:t>
            </w:r>
          </w:p>
        </w:tc>
        <w:tc>
          <w:tcPr>
            <w:tcW w:w="760" w:type="pct"/>
            <w:shd w:val="clear" w:color="auto" w:fill="FFFFFF" w:themeFill="background1"/>
            <w:tcMar>
              <w:right w:w="58" w:type="dxa"/>
            </w:tcMar>
            <w:vAlign w:val="center"/>
            <w:hideMark/>
          </w:tcPr>
          <w:p w14:paraId="27FEE1A9" w14:textId="77777777" w:rsidR="007376E1" w:rsidRPr="001570EA" w:rsidRDefault="007376E1">
            <w:pPr>
              <w:jc w:val="center"/>
              <w:rPr>
                <w:sz w:val="18"/>
                <w:szCs w:val="18"/>
              </w:rPr>
            </w:pPr>
            <w:r w:rsidRPr="001570EA">
              <w:rPr>
                <w:sz w:val="18"/>
                <w:szCs w:val="18"/>
              </w:rPr>
              <w:t>Self-Installation</w:t>
            </w:r>
          </w:p>
        </w:tc>
        <w:tc>
          <w:tcPr>
            <w:tcW w:w="757" w:type="pct"/>
            <w:shd w:val="clear" w:color="auto" w:fill="FFFFFF" w:themeFill="background1"/>
            <w:tcMar>
              <w:right w:w="58" w:type="dxa"/>
            </w:tcMar>
            <w:vAlign w:val="center"/>
            <w:hideMark/>
          </w:tcPr>
          <w:p w14:paraId="7823D33A" w14:textId="77777777" w:rsidR="007376E1" w:rsidRPr="001570EA" w:rsidRDefault="007376E1">
            <w:pPr>
              <w:jc w:val="center"/>
              <w:rPr>
                <w:sz w:val="18"/>
                <w:szCs w:val="18"/>
              </w:rPr>
            </w:pPr>
            <w:r w:rsidRPr="001570EA">
              <w:rPr>
                <w:sz w:val="18"/>
                <w:szCs w:val="18"/>
              </w:rPr>
              <w:t>Default</w:t>
            </w:r>
          </w:p>
        </w:tc>
      </w:tr>
    </w:tbl>
    <w:p w14:paraId="5E48C59F" w14:textId="77777777" w:rsidR="007376E1" w:rsidRPr="001570EA" w:rsidRDefault="007376E1" w:rsidP="007376E1"/>
    <w:p w14:paraId="28D26065" w14:textId="77777777" w:rsidR="007376E1" w:rsidRPr="001570EA" w:rsidRDefault="007376E1" w:rsidP="007376E1">
      <w:r w:rsidRPr="001570EA">
        <w:t>Finally, energy saving factor (ESF) values are specified based on whether the thermostat is installed by the customer (self-installation), the customer with education (self-installation + education), or by a professional contractor/utility representative (professional installation). A peak demand saving factor (PDSF) is applied to the ESF</w:t>
      </w:r>
      <w:r w:rsidRPr="001570EA">
        <w:rPr>
          <w:vertAlign w:val="subscript"/>
        </w:rPr>
        <w:t>cool</w:t>
      </w:r>
      <w:r w:rsidRPr="001570EA">
        <w:t xml:space="preserve"> and ESF</w:t>
      </w:r>
      <w:r w:rsidRPr="001570EA">
        <w:rPr>
          <w:vertAlign w:val="subscript"/>
        </w:rPr>
        <w:t>heat</w:t>
      </w:r>
      <w:r w:rsidRPr="001570EA">
        <w:t xml:space="preserve"> assumptions so the peak demand savings values per thermostat also vary by installation type.</w:t>
      </w:r>
    </w:p>
    <w:p w14:paraId="29C8D14B" w14:textId="77777777" w:rsidR="007376E1" w:rsidRPr="001570EA" w:rsidRDefault="007376E1" w:rsidP="007376E1"/>
    <w:p w14:paraId="1811F27B" w14:textId="77777777" w:rsidR="007376E1" w:rsidRPr="001570EA" w:rsidRDefault="007376E1" w:rsidP="007376E1">
      <w:pPr>
        <w:pStyle w:val="SubStyle"/>
      </w:pPr>
      <w:r w:rsidRPr="001570EA">
        <w:t>Algorithms</w:t>
      </w:r>
    </w:p>
    <w:p w14:paraId="0390100F" w14:textId="77777777" w:rsidR="007376E1" w:rsidRPr="001570EA" w:rsidRDefault="007376E1" w:rsidP="007376E1">
      <w:pPr>
        <w:rPr>
          <w:b/>
        </w:rPr>
      </w:pPr>
      <w:r w:rsidRPr="001570EA">
        <w:rPr>
          <w:b/>
        </w:rPr>
        <w:t>Energy Savings</w:t>
      </w:r>
    </w:p>
    <w:p w14:paraId="48C4CBD7" w14:textId="77777777" w:rsidR="007376E1" w:rsidRPr="001570EA" w:rsidRDefault="007376E1" w:rsidP="007376E1">
      <w:pPr>
        <w:pStyle w:val="Equation"/>
        <w:tabs>
          <w:tab w:val="left" w:pos="2160"/>
        </w:tabs>
        <w:ind w:left="0" w:firstLine="0"/>
        <w:rPr>
          <w:rFonts w:cs="Arial"/>
          <w:i w:val="0"/>
          <w:szCs w:val="20"/>
        </w:rPr>
      </w:pPr>
      <w:r w:rsidRPr="001570EA">
        <w:rPr>
          <w:rFonts w:cs="Arial"/>
          <w:i w:val="0"/>
          <w:szCs w:val="20"/>
        </w:rPr>
        <w:t>Total savings are calculated as a combination of heating and cooling season savings. The heating savings calculation varies depending on whether heat is provided by a heat pump, electric furnace, or gas furnace. There are no heating savings for boilers.</w:t>
      </w:r>
    </w:p>
    <w:p w14:paraId="40CCE061" w14:textId="77777777" w:rsidR="007376E1" w:rsidRPr="001570EA" w:rsidRDefault="007376E1" w:rsidP="007376E1">
      <w:pPr>
        <w:pStyle w:val="Equation"/>
        <w:tabs>
          <w:tab w:val="clear" w:pos="2880"/>
          <w:tab w:val="left" w:pos="2160"/>
        </w:tabs>
        <w:rPr>
          <w:rFonts w:cs="Arial"/>
          <w:szCs w:val="20"/>
        </w:rPr>
      </w:pPr>
    </w:p>
    <w:p w14:paraId="0EC8CAF3" w14:textId="77777777" w:rsidR="007376E1" w:rsidRPr="001570EA" w:rsidRDefault="007376E1" w:rsidP="007376E1">
      <w:pPr>
        <w:pStyle w:val="Equation"/>
        <w:tabs>
          <w:tab w:val="clear" w:pos="720"/>
          <w:tab w:val="clear" w:pos="2880"/>
          <w:tab w:val="left" w:pos="2160"/>
        </w:tabs>
      </w:pPr>
      <w:r w:rsidRPr="001570EA">
        <w:rPr>
          <w:rFonts w:ascii="Cambria Math" w:hAnsi="Cambria Math" w:cs="Arial"/>
          <w:szCs w:val="20"/>
        </w:rPr>
        <w:t>ΔkWh</w:t>
      </w:r>
      <w:r w:rsidRPr="001570EA">
        <w:rPr>
          <w:rFonts w:cs="Arial"/>
          <w:szCs w:val="20"/>
        </w:rPr>
        <w:tab/>
      </w:r>
      <m:oMath>
        <m:r>
          <w:rPr>
            <w:rFonts w:ascii="Cambria Math" w:hAnsi="Cambria Math"/>
          </w:rPr>
          <m:t>=∆</m:t>
        </m:r>
        <m:sSub>
          <m:sSubPr>
            <m:ctrlPr>
              <w:rPr>
                <w:rFonts w:ascii="Cambria Math" w:hAnsi="Cambria Math"/>
                <w:i w:val="0"/>
              </w:rPr>
            </m:ctrlPr>
          </m:sSubPr>
          <m:e>
            <m:r>
              <w:rPr>
                <w:rFonts w:ascii="Cambria Math" w:hAnsi="Cambria Math"/>
              </w:rPr>
              <m:t>kWh</m:t>
            </m:r>
          </m:e>
          <m:sub>
            <m:r>
              <w:rPr>
                <w:rFonts w:ascii="Cambria Math" w:hAnsi="Cambria Math"/>
              </w:rPr>
              <m:t>cool</m:t>
            </m:r>
          </m:sub>
        </m:sSub>
        <m:r>
          <w:rPr>
            <w:rFonts w:ascii="Cambria Math" w:hAnsi="Cambria Math"/>
          </w:rPr>
          <m:t>+∆</m:t>
        </m:r>
        <m:sSub>
          <m:sSubPr>
            <m:ctrlPr>
              <w:rPr>
                <w:rFonts w:ascii="Cambria Math" w:hAnsi="Cambria Math"/>
                <w:i w:val="0"/>
              </w:rPr>
            </m:ctrlPr>
          </m:sSubPr>
          <m:e>
            <m:r>
              <w:rPr>
                <w:rFonts w:ascii="Cambria Math" w:hAnsi="Cambria Math"/>
              </w:rPr>
              <m:t>kWh</m:t>
            </m:r>
          </m:e>
          <m:sub>
            <m:r>
              <w:rPr>
                <w:rFonts w:ascii="Cambria Math" w:hAnsi="Cambria Math"/>
              </w:rPr>
              <m:t>heat</m:t>
            </m:r>
          </m:sub>
        </m:sSub>
      </m:oMath>
    </w:p>
    <w:p w14:paraId="481E7A5C" w14:textId="77777777" w:rsidR="007376E1" w:rsidRPr="001570EA" w:rsidRDefault="007376E1" w:rsidP="007376E1"/>
    <w:p w14:paraId="5448EA18" w14:textId="77777777" w:rsidR="007376E1" w:rsidRPr="001570EA" w:rsidRDefault="007376E1" w:rsidP="007376E1">
      <w:pPr>
        <w:tabs>
          <w:tab w:val="left" w:pos="2160"/>
        </w:tabs>
      </w:pPr>
      <w:r w:rsidRPr="001570EA">
        <w:rPr>
          <w:rFonts w:ascii="Cambria Math" w:hAnsi="Cambria Math" w:cs="Arial"/>
          <w:i/>
        </w:rPr>
        <w:t>ΔkWh</w:t>
      </w:r>
      <w:r w:rsidRPr="001570EA">
        <w:rPr>
          <w:rFonts w:ascii="Cambria Math" w:hAnsi="Cambria Math" w:cs="Arial"/>
          <w:i/>
          <w:vertAlign w:val="subscript"/>
        </w:rPr>
        <w:t>cool</w:t>
      </w:r>
      <w:r w:rsidRPr="001570EA">
        <w:rPr>
          <w:rFonts w:ascii="Cambria Math" w:hAnsi="Cambria Math" w:cs="Arial"/>
          <w:i/>
          <w:vertAlign w:val="subscript"/>
        </w:rPr>
        <w:tab/>
      </w:r>
      <m:oMath>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CAPY</m:t>
            </m:r>
          </m:e>
          <m:sub>
            <m:r>
              <w:rPr>
                <w:rFonts w:ascii="Cambria Math" w:hAnsi="Cambria Math"/>
                <w:sz w:val="22"/>
                <w:szCs w:val="22"/>
              </w:rPr>
              <m:t>cool</m:t>
            </m:r>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EFLH</m:t>
                </m:r>
              </m:e>
              <m:sub>
                <m:r>
                  <w:rPr>
                    <w:rFonts w:ascii="Cambria Math" w:hAnsi="Cambria Math"/>
                    <w:sz w:val="22"/>
                    <w:szCs w:val="22"/>
                  </w:rPr>
                  <m:t>cool</m:t>
                </m:r>
              </m:sub>
            </m:sSub>
          </m:num>
          <m:den>
            <m:r>
              <w:rPr>
                <w:rFonts w:ascii="Cambria Math" w:hAnsi="Cambria Math"/>
                <w:sz w:val="22"/>
                <w:szCs w:val="22"/>
              </w:rPr>
              <m:t>SEER2</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Eff</m:t>
                </m:r>
              </m:e>
              <m:sub>
                <m:r>
                  <w:rPr>
                    <w:rFonts w:ascii="Cambria Math" w:hAnsi="Cambria Math"/>
                    <w:sz w:val="22"/>
                    <w:szCs w:val="22"/>
                  </w:rPr>
                  <m:t>duct</m:t>
                </m:r>
              </m:sub>
            </m:sSub>
          </m:den>
        </m:f>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ESF</m:t>
            </m:r>
          </m:e>
          <m:sub>
            <m:r>
              <w:rPr>
                <w:rFonts w:ascii="Cambria Math" w:hAnsi="Cambria Math"/>
                <w:sz w:val="22"/>
                <w:szCs w:val="22"/>
              </w:rPr>
              <m:t>cool</m:t>
            </m:r>
          </m:sub>
        </m:sSub>
      </m:oMath>
    </w:p>
    <w:p w14:paraId="0C499049" w14:textId="77777777" w:rsidR="007376E1" w:rsidRPr="001570EA" w:rsidRDefault="007376E1" w:rsidP="007376E1"/>
    <w:p w14:paraId="7D30F3C4" w14:textId="77777777" w:rsidR="007376E1" w:rsidRPr="001570EA" w:rsidRDefault="007376E1" w:rsidP="007376E1">
      <w:pPr>
        <w:tabs>
          <w:tab w:val="left" w:pos="2160"/>
        </w:tabs>
        <w:rPr>
          <w:sz w:val="22"/>
          <w:szCs w:val="22"/>
        </w:rPr>
      </w:pPr>
      <w:r w:rsidRPr="001570EA">
        <w:rPr>
          <w:rFonts w:ascii="Cambria Math" w:hAnsi="Cambria Math" w:cs="Arial"/>
          <w:i/>
        </w:rPr>
        <w:t>ΔkWh</w:t>
      </w:r>
      <w:r w:rsidRPr="001570EA">
        <w:rPr>
          <w:rFonts w:ascii="Cambria Math" w:hAnsi="Cambria Math" w:cs="Arial"/>
          <w:i/>
          <w:vertAlign w:val="subscript"/>
        </w:rPr>
        <w:t>heat,HP</w:t>
      </w:r>
      <w:r w:rsidRPr="001570EA">
        <w:rPr>
          <w:rFonts w:ascii="Cambria Math" w:hAnsi="Cambria Math" w:cs="Arial"/>
          <w:i/>
          <w:vertAlign w:val="subscript"/>
        </w:rPr>
        <w:tab/>
      </w:r>
      <m:oMath>
        <m:r>
          <m:rPr>
            <m:sty m:val="p"/>
          </m:rP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CAPY</m:t>
            </m:r>
          </m:e>
          <m:sub>
            <m:r>
              <w:rPr>
                <w:rFonts w:ascii="Cambria Math" w:hAnsi="Cambria Math" w:cs="Arial"/>
                <w:sz w:val="22"/>
                <w:szCs w:val="22"/>
              </w:rPr>
              <m:t>HP</m:t>
            </m:r>
          </m:sub>
        </m:sSub>
        <m:r>
          <m:rPr>
            <m:sty m:val="p"/>
          </m:rPr>
          <w:rPr>
            <w:rFonts w:ascii="Cambria Math" w:hAnsi="Cambria Math" w:cs="Arial"/>
            <w:sz w:val="22"/>
            <w:szCs w:val="22"/>
          </w:rPr>
          <m:t>×</m:t>
        </m:r>
        <m:f>
          <m:fPr>
            <m:ctrlPr>
              <w:rPr>
                <w:rFonts w:ascii="Cambria Math" w:hAnsi="Cambria Math" w:cs="Arial"/>
                <w:sz w:val="22"/>
                <w:szCs w:val="22"/>
              </w:rPr>
            </m:ctrlPr>
          </m:fPr>
          <m:num>
            <m:sSub>
              <m:sSubPr>
                <m:ctrlPr>
                  <w:rPr>
                    <w:rFonts w:ascii="Cambria Math" w:hAnsi="Cambria Math" w:cs="Arial"/>
                    <w:sz w:val="22"/>
                    <w:szCs w:val="22"/>
                  </w:rPr>
                </m:ctrlPr>
              </m:sSubPr>
              <m:e>
                <m:r>
                  <w:rPr>
                    <w:rFonts w:ascii="Cambria Math" w:hAnsi="Cambria Math" w:cs="Arial"/>
                    <w:sz w:val="22"/>
                    <w:szCs w:val="22"/>
                  </w:rPr>
                  <m:t>EFLH</m:t>
                </m:r>
              </m:e>
              <m:sub>
                <m:r>
                  <w:rPr>
                    <w:rFonts w:ascii="Cambria Math" w:hAnsi="Cambria Math" w:cs="Arial"/>
                    <w:sz w:val="22"/>
                    <w:szCs w:val="22"/>
                  </w:rPr>
                  <m:t>heat</m:t>
                </m:r>
                <m:r>
                  <m:rPr>
                    <m:sty m:val="p"/>
                  </m:rPr>
                  <w:rPr>
                    <w:rFonts w:ascii="Cambria Math" w:hAnsi="Cambria Math" w:cs="Arial"/>
                    <w:sz w:val="22"/>
                    <w:szCs w:val="22"/>
                  </w:rPr>
                  <m:t>,</m:t>
                </m:r>
                <m:r>
                  <w:rPr>
                    <w:rFonts w:ascii="Cambria Math" w:hAnsi="Cambria Math" w:cs="Arial"/>
                    <w:sz w:val="22"/>
                    <w:szCs w:val="22"/>
                  </w:rPr>
                  <m:t>HP</m:t>
                </m:r>
              </m:sub>
            </m:sSub>
          </m:num>
          <m:den>
            <m:r>
              <w:rPr>
                <w:rFonts w:ascii="Cambria Math" w:hAnsi="Cambria Math" w:cs="Arial"/>
                <w:sz w:val="22"/>
                <w:szCs w:val="22"/>
              </w:rPr>
              <m:t xml:space="preserve">HSPF2 </m:t>
            </m:r>
            <m:r>
              <m:rPr>
                <m:sty m:val="p"/>
              </m:rP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 xml:space="preserve"> Eff</m:t>
                </m:r>
              </m:e>
              <m:sub>
                <m:r>
                  <w:rPr>
                    <w:rFonts w:ascii="Cambria Math" w:hAnsi="Cambria Math" w:cs="Arial"/>
                    <w:sz w:val="22"/>
                    <w:szCs w:val="22"/>
                  </w:rPr>
                  <m:t>duct</m:t>
                </m:r>
              </m:sub>
            </m:sSub>
          </m:den>
        </m:f>
        <m:r>
          <m:rPr>
            <m:sty m:val="p"/>
          </m:rP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ESF</m:t>
            </m:r>
          </m:e>
          <m:sub>
            <m:r>
              <w:rPr>
                <w:rFonts w:ascii="Cambria Math" w:hAnsi="Cambria Math" w:cs="Arial"/>
                <w:sz w:val="22"/>
                <w:szCs w:val="22"/>
              </w:rPr>
              <m:t>heat</m:t>
            </m:r>
          </m:sub>
        </m:sSub>
      </m:oMath>
    </w:p>
    <w:p w14:paraId="5A04AFB2" w14:textId="77777777" w:rsidR="007376E1" w:rsidRPr="001570EA" w:rsidRDefault="007376E1" w:rsidP="007376E1"/>
    <w:p w14:paraId="00D5257F" w14:textId="77777777" w:rsidR="007376E1" w:rsidRPr="001570EA" w:rsidRDefault="007376E1" w:rsidP="007376E1">
      <w:pPr>
        <w:tabs>
          <w:tab w:val="left" w:pos="2160"/>
        </w:tabs>
        <w:rPr>
          <w:sz w:val="19"/>
          <w:szCs w:val="19"/>
        </w:rPr>
      </w:pPr>
      <w:r w:rsidRPr="001570EA">
        <w:rPr>
          <w:rFonts w:ascii="Cambria Math" w:hAnsi="Cambria Math" w:cs="Arial"/>
          <w:i/>
        </w:rPr>
        <w:t>ΔkWh</w:t>
      </w:r>
      <w:r w:rsidRPr="001570EA">
        <w:rPr>
          <w:rFonts w:ascii="Cambria Math" w:hAnsi="Cambria Math" w:cs="Arial"/>
          <w:i/>
          <w:vertAlign w:val="subscript"/>
        </w:rPr>
        <w:t>heat,elecfurrn</w:t>
      </w:r>
      <w:r w:rsidRPr="001570EA">
        <w:rPr>
          <w:rFonts w:ascii="Cambria Math" w:hAnsi="Cambria Math" w:cs="Arial"/>
          <w:i/>
          <w:vertAlign w:val="subscript"/>
        </w:rPr>
        <w:tab/>
      </w:r>
      <m:oMath>
        <m:r>
          <m:rPr>
            <m:sty m:val="p"/>
          </m:rP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CAPY</m:t>
            </m:r>
          </m:e>
          <m:sub>
            <m:r>
              <w:rPr>
                <w:rFonts w:ascii="Cambria Math" w:hAnsi="Cambria Math" w:cs="Arial"/>
                <w:sz w:val="22"/>
                <w:szCs w:val="22"/>
              </w:rPr>
              <m:t>elecfurn</m:t>
            </m:r>
          </m:sub>
        </m:sSub>
        <m:r>
          <m:rPr>
            <m:sty m:val="p"/>
          </m:rPr>
          <w:rPr>
            <w:rFonts w:ascii="Cambria Math" w:hAnsi="Cambria Math" w:cs="Arial"/>
            <w:sz w:val="22"/>
            <w:szCs w:val="22"/>
          </w:rPr>
          <m:t>×</m:t>
        </m:r>
        <m:f>
          <m:fPr>
            <m:ctrlPr>
              <w:rPr>
                <w:rFonts w:ascii="Cambria Math" w:hAnsi="Cambria Math" w:cs="Arial"/>
                <w:sz w:val="22"/>
                <w:szCs w:val="22"/>
              </w:rPr>
            </m:ctrlPr>
          </m:fPr>
          <m:num>
            <m:sSub>
              <m:sSubPr>
                <m:ctrlPr>
                  <w:rPr>
                    <w:rFonts w:ascii="Cambria Math" w:hAnsi="Cambria Math" w:cs="Arial"/>
                    <w:i/>
                    <w:sz w:val="22"/>
                    <w:szCs w:val="22"/>
                  </w:rPr>
                </m:ctrlPr>
              </m:sSubPr>
              <m:e>
                <m:r>
                  <w:rPr>
                    <w:rFonts w:ascii="Cambria Math" w:hAnsi="Cambria Math" w:cs="Arial"/>
                    <w:sz w:val="22"/>
                    <w:szCs w:val="22"/>
                  </w:rPr>
                  <m:t>EFLH</m:t>
                </m:r>
              </m:e>
              <m:sub>
                <m:r>
                  <w:rPr>
                    <w:rFonts w:ascii="Cambria Math" w:hAnsi="Cambria Math" w:cs="Arial"/>
                    <w:sz w:val="22"/>
                    <w:szCs w:val="22"/>
                  </w:rPr>
                  <m:t>heat,non-HP</m:t>
                </m:r>
              </m:sub>
            </m:sSub>
          </m:num>
          <m:den>
            <m:r>
              <m:rPr>
                <m:nor/>
              </m:rPr>
              <w:rPr>
                <w:rFonts w:ascii="Cambria Math" w:hAnsi="Cambria Math" w:cs="Arial"/>
                <w:i/>
                <w:iCs/>
                <w:sz w:val="22"/>
                <w:szCs w:val="22"/>
              </w:rPr>
              <m:t xml:space="preserve">HSPF </m:t>
            </m:r>
            <m:r>
              <m:rPr>
                <m:sty m:val="p"/>
              </m:rP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Eff</m:t>
                </m:r>
              </m:e>
              <m:sub>
                <m:r>
                  <w:rPr>
                    <w:rFonts w:ascii="Cambria Math" w:hAnsi="Cambria Math" w:cs="Arial"/>
                    <w:sz w:val="22"/>
                    <w:szCs w:val="22"/>
                  </w:rPr>
                  <m:t>duct</m:t>
                </m:r>
              </m:sub>
            </m:sSub>
          </m:den>
        </m:f>
        <m:r>
          <m:rPr>
            <m:sty m:val="p"/>
          </m:rP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ESF</m:t>
            </m:r>
          </m:e>
          <m:sub>
            <m:r>
              <w:rPr>
                <w:rFonts w:ascii="Cambria Math" w:hAnsi="Cambria Math" w:cs="Arial"/>
                <w:sz w:val="22"/>
                <w:szCs w:val="22"/>
              </w:rPr>
              <m:t>heat</m:t>
            </m:r>
          </m:sub>
        </m:sSub>
        <m:r>
          <m:rPr>
            <m:sty m:val="p"/>
          </m:rPr>
          <w:rPr>
            <w:rFonts w:ascii="Cambria Math" w:hAnsi="Cambria Math" w:cs="Arial"/>
            <w:sz w:val="22"/>
            <w:szCs w:val="22"/>
          </w:rPr>
          <m:t>×</m:t>
        </m:r>
        <m:r>
          <w:rPr>
            <w:rFonts w:ascii="Cambria Math" w:hAnsi="Cambria Math" w:cs="Arial"/>
            <w:sz w:val="22"/>
            <w:szCs w:val="22"/>
          </w:rPr>
          <m:t>DF</m:t>
        </m:r>
      </m:oMath>
    </w:p>
    <w:p w14:paraId="0C0C26D9" w14:textId="77777777" w:rsidR="007376E1" w:rsidRPr="001570EA" w:rsidRDefault="007376E1" w:rsidP="007376E1"/>
    <w:p w14:paraId="493AFEAB" w14:textId="77777777" w:rsidR="007376E1" w:rsidRPr="001570EA" w:rsidRDefault="007376E1" w:rsidP="007376E1">
      <w:pPr>
        <w:tabs>
          <w:tab w:val="left" w:pos="2160"/>
        </w:tabs>
      </w:pPr>
      <w:r w:rsidRPr="001570EA">
        <w:rPr>
          <w:rFonts w:ascii="Cambria Math" w:hAnsi="Cambria Math" w:cs="Arial"/>
          <w:i/>
        </w:rPr>
        <w:t>ΔkWh</w:t>
      </w:r>
      <w:r w:rsidRPr="001570EA">
        <w:rPr>
          <w:rFonts w:ascii="Cambria Math" w:hAnsi="Cambria Math" w:cs="Arial"/>
          <w:i/>
          <w:vertAlign w:val="subscript"/>
        </w:rPr>
        <w:t>heat,fuelfurn</w:t>
      </w:r>
      <w:r w:rsidRPr="001570EA">
        <w:rPr>
          <w:rFonts w:ascii="Cambria Math" w:hAnsi="Cambria Math" w:cs="Arial"/>
          <w:i/>
          <w:vertAlign w:val="subscript"/>
        </w:rPr>
        <w:tab/>
      </w:r>
      <m:oMath>
        <m:r>
          <m:rPr>
            <m:sty m:val="p"/>
          </m:rPr>
          <w:rPr>
            <w:rFonts w:ascii="Cambria Math" w:hAnsi="Cambria Math" w:cs="Arial"/>
            <w:sz w:val="22"/>
            <w:szCs w:val="22"/>
          </w:rPr>
          <m:t>=</m:t>
        </m:r>
        <m:f>
          <m:fPr>
            <m:ctrlPr>
              <w:rPr>
                <w:rFonts w:ascii="Cambria Math" w:hAnsi="Cambria Math" w:cs="Arial"/>
                <w:sz w:val="22"/>
                <w:szCs w:val="22"/>
              </w:rPr>
            </m:ctrlPr>
          </m:fPr>
          <m:num>
            <m:sSub>
              <m:sSubPr>
                <m:ctrlPr>
                  <w:rPr>
                    <w:rFonts w:ascii="Cambria Math" w:hAnsi="Cambria Math" w:cs="Arial"/>
                    <w:i/>
                    <w:sz w:val="22"/>
                    <w:szCs w:val="22"/>
                  </w:rPr>
                </m:ctrlPr>
              </m:sSubPr>
              <m:e>
                <m:r>
                  <m:rPr>
                    <m:nor/>
                  </m:rPr>
                  <w:rPr>
                    <w:rFonts w:ascii="Cambria Math" w:hAnsi="Cambria Math" w:cs="Arial"/>
                    <w:i/>
                    <w:sz w:val="22"/>
                    <w:szCs w:val="22"/>
                  </w:rPr>
                  <m:t>HP</m:t>
                </m:r>
              </m:e>
              <m:sub>
                <m:r>
                  <m:rPr>
                    <m:nor/>
                  </m:rPr>
                  <w:rPr>
                    <w:rFonts w:ascii="Cambria Math" w:hAnsi="Cambria Math" w:cs="Arial"/>
                    <w:i/>
                    <w:sz w:val="22"/>
                    <w:szCs w:val="22"/>
                  </w:rPr>
                  <m:t>motor</m:t>
                </m:r>
              </m:sub>
            </m:sSub>
            <m:r>
              <w:rPr>
                <w:rFonts w:ascii="Cambria Math" w:hAnsi="Cambria Math" w:cs="Arial"/>
                <w:sz w:val="22"/>
                <w:szCs w:val="22"/>
              </w:rPr>
              <m:t xml:space="preserve"> ×</m:t>
            </m:r>
            <m:r>
              <m:rPr>
                <m:nor/>
              </m:rPr>
              <w:rPr>
                <w:rFonts w:ascii="Cambria Math" w:hAnsi="Cambria Math" w:cs="Arial"/>
                <w:sz w:val="22"/>
                <w:szCs w:val="22"/>
              </w:rPr>
              <m:t>0.746</m:t>
            </m:r>
            <m:f>
              <m:fPr>
                <m:ctrlPr>
                  <w:rPr>
                    <w:rFonts w:ascii="Cambria Math" w:hAnsi="Cambria Math" w:cs="Arial"/>
                    <w:sz w:val="22"/>
                    <w:szCs w:val="22"/>
                  </w:rPr>
                </m:ctrlPr>
              </m:fPr>
              <m:num>
                <m:r>
                  <m:rPr>
                    <m:nor/>
                  </m:rPr>
                  <w:rPr>
                    <w:rFonts w:ascii="Cambria Math" w:hAnsi="Cambria Math" w:cs="Arial"/>
                    <w:sz w:val="22"/>
                    <w:szCs w:val="22"/>
                  </w:rPr>
                  <m:t>kW</m:t>
                </m:r>
              </m:num>
              <m:den>
                <m:r>
                  <m:rPr>
                    <m:nor/>
                  </m:rPr>
                  <w:rPr>
                    <w:rFonts w:ascii="Cambria Math" w:hAnsi="Cambria Math" w:cs="Arial"/>
                    <w:sz w:val="22"/>
                    <w:szCs w:val="22"/>
                  </w:rPr>
                  <m:t>HP</m:t>
                </m:r>
              </m:den>
            </m:f>
          </m:num>
          <m:den>
            <m:sSub>
              <m:sSubPr>
                <m:ctrlPr>
                  <w:rPr>
                    <w:rFonts w:ascii="Cambria Math" w:hAnsi="Cambria Math" w:cs="Arial"/>
                    <w:i/>
                    <w:sz w:val="22"/>
                    <w:szCs w:val="22"/>
                  </w:rPr>
                </m:ctrlPr>
              </m:sSubPr>
              <m:e>
                <m:r>
                  <m:rPr>
                    <m:nor/>
                  </m:rPr>
                  <w:rPr>
                    <w:rFonts w:ascii="Cambria Math" w:hAnsi="Cambria Math" w:cs="Arial"/>
                    <w:i/>
                    <w:sz w:val="22"/>
                    <w:szCs w:val="22"/>
                  </w:rPr>
                  <m:t>η</m:t>
                </m:r>
              </m:e>
              <m:sub>
                <m:r>
                  <m:rPr>
                    <m:nor/>
                  </m:rPr>
                  <w:rPr>
                    <w:rFonts w:ascii="Cambria Math" w:hAnsi="Cambria Math" w:cs="Arial"/>
                    <w:i/>
                    <w:sz w:val="22"/>
                    <w:szCs w:val="22"/>
                  </w:rPr>
                  <m:t>motor</m:t>
                </m:r>
              </m:sub>
            </m:sSub>
          </m:den>
        </m:f>
        <m:r>
          <m:rPr>
            <m:nor/>
          </m:rP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EFLH</m:t>
            </m:r>
          </m:e>
          <m:sub>
            <m:r>
              <w:rPr>
                <w:rFonts w:ascii="Cambria Math" w:hAnsi="Cambria Math" w:cs="Arial"/>
                <w:sz w:val="22"/>
                <w:szCs w:val="22"/>
              </w:rPr>
              <m:t>heat,non-HP</m:t>
            </m:r>
          </m:sub>
        </m:sSub>
        <m:r>
          <m:rPr>
            <m:sty m:val="p"/>
          </m:rP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ESF</m:t>
            </m:r>
          </m:e>
          <m:sub>
            <m:r>
              <w:rPr>
                <w:rFonts w:ascii="Cambria Math" w:hAnsi="Cambria Math" w:cs="Arial"/>
                <w:sz w:val="22"/>
                <w:szCs w:val="22"/>
              </w:rPr>
              <m:t>heat</m:t>
            </m:r>
          </m:sub>
        </m:sSub>
      </m:oMath>
    </w:p>
    <w:p w14:paraId="7748AF10" w14:textId="77777777" w:rsidR="007376E1" w:rsidRPr="001570EA" w:rsidRDefault="007376E1" w:rsidP="007376E1"/>
    <w:p w14:paraId="3A70DF2A" w14:textId="77777777" w:rsidR="007376E1" w:rsidRPr="001570EA" w:rsidRDefault="007376E1" w:rsidP="007376E1">
      <w:pPr>
        <w:pStyle w:val="CommentText"/>
        <w:rPr>
          <w:rFonts w:eastAsia="Calibri" w:cs="Arial"/>
          <w:b/>
        </w:rPr>
      </w:pPr>
      <w:r w:rsidRPr="001570EA">
        <w:rPr>
          <w:rFonts w:eastAsia="Calibri" w:cs="Arial"/>
          <w:b/>
        </w:rPr>
        <w:t>Derate Factor</w:t>
      </w:r>
    </w:p>
    <w:p w14:paraId="172E2CE5" w14:textId="77777777" w:rsidR="007376E1" w:rsidRPr="001570EA" w:rsidRDefault="007376E1" w:rsidP="007376E1">
      <w:pPr>
        <w:pStyle w:val="CommentText"/>
        <w:rPr>
          <w:rFonts w:eastAsia="Calibri" w:cs="Arial"/>
        </w:rPr>
      </w:pPr>
      <w:r w:rsidRPr="001570EA">
        <w:rPr>
          <w:rFonts w:eastAsia="Calibri" w:cs="Arial"/>
        </w:rPr>
        <w:t>Heating ESF estimates are largely based on results from studies looking at connected thermostats applied to natural gas furnaces. However, it is likely that customers with electric furnaces are already more conscious of managing their energy consumption than those with gas furnaces due to the higher cost of electric resistance heat, thus savings from a gas furnace study may be overstated if not adjusted.</w:t>
      </w:r>
    </w:p>
    <w:p w14:paraId="617D107A" w14:textId="77777777" w:rsidR="007376E1" w:rsidRPr="001570EA" w:rsidRDefault="007376E1" w:rsidP="007376E1">
      <w:pPr>
        <w:pStyle w:val="Equation"/>
        <w:ind w:left="0" w:firstLine="0"/>
        <w:rPr>
          <w:rFonts w:cs="Arial"/>
          <w:b/>
          <w:i w:val="0"/>
          <w:szCs w:val="20"/>
        </w:rPr>
      </w:pPr>
    </w:p>
    <w:p w14:paraId="15EDF682" w14:textId="77777777" w:rsidR="007376E1" w:rsidRPr="001570EA" w:rsidRDefault="007376E1" w:rsidP="007376E1">
      <w:pPr>
        <w:pStyle w:val="Equation"/>
        <w:keepNext/>
        <w:tabs>
          <w:tab w:val="left" w:pos="2160"/>
        </w:tabs>
        <w:ind w:left="0" w:firstLine="0"/>
        <w:rPr>
          <w:rFonts w:cs="Arial"/>
          <w:b/>
          <w:i w:val="0"/>
          <w:szCs w:val="20"/>
        </w:rPr>
      </w:pPr>
      <w:r w:rsidRPr="001570EA">
        <w:rPr>
          <w:rFonts w:cs="Arial"/>
          <w:b/>
          <w:i w:val="0"/>
          <w:szCs w:val="20"/>
        </w:rPr>
        <w:t>Blended Baseline</w:t>
      </w:r>
    </w:p>
    <w:p w14:paraId="65169910" w14:textId="77777777" w:rsidR="007376E1" w:rsidRPr="001570EA" w:rsidRDefault="007376E1" w:rsidP="007376E1">
      <w:pPr>
        <w:pStyle w:val="Equation"/>
        <w:keepNext/>
        <w:tabs>
          <w:tab w:val="left" w:pos="2160"/>
        </w:tabs>
        <w:ind w:left="0" w:firstLine="0"/>
        <w:rPr>
          <w:rFonts w:cs="Arial"/>
          <w:i w:val="0"/>
          <w:szCs w:val="20"/>
        </w:rPr>
      </w:pPr>
      <w:r w:rsidRPr="001570EA">
        <w:rPr>
          <w:rFonts w:cs="Arial"/>
          <w:i w:val="0"/>
          <w:szCs w:val="20"/>
        </w:rPr>
        <w:t>The ESF value applied in the equations above is determined based on the type of thermostat being replaced (manual, programmable, or unknown baseline), the existing heating and/or cooling HVAC equipment in the home, and the program design type. When a known blended baseline of manual and programmable thermostats is present, the following equation may be used to find the appropriate ESF value for the blended baseline.</w:t>
      </w:r>
    </w:p>
    <w:p w14:paraId="2EFAF1BA" w14:textId="77777777" w:rsidR="007376E1" w:rsidRPr="001570EA" w:rsidRDefault="007376E1" w:rsidP="007376E1">
      <w:pPr>
        <w:pStyle w:val="Equation"/>
        <w:tabs>
          <w:tab w:val="left" w:pos="2160"/>
        </w:tabs>
        <w:ind w:left="0" w:firstLine="0"/>
        <w:rPr>
          <w:rFonts w:cs="Arial"/>
          <w:i w:val="0"/>
          <w:szCs w:val="20"/>
        </w:rPr>
      </w:pPr>
    </w:p>
    <w:p w14:paraId="6C182A29" w14:textId="77777777" w:rsidR="007376E1" w:rsidRPr="001570EA" w:rsidRDefault="003B5E04" w:rsidP="007376E1">
      <w:pPr>
        <w:pStyle w:val="Equation"/>
        <w:tabs>
          <w:tab w:val="left" w:pos="2160"/>
        </w:tabs>
        <w:ind w:left="0" w:firstLine="0"/>
        <w:rPr>
          <w:rFonts w:cs="Arial"/>
          <w:szCs w:val="20"/>
        </w:rPr>
      </w:pPr>
      <m:oMathPara>
        <m:oMath>
          <m:sSub>
            <m:sSubPr>
              <m:ctrlPr>
                <w:rPr>
                  <w:rFonts w:ascii="Cambria Math" w:eastAsia="Times New Roman" w:hAnsi="Cambria Math"/>
                  <w:i w:val="0"/>
                  <w:sz w:val="18"/>
                  <w:szCs w:val="20"/>
                </w:rPr>
              </m:ctrlPr>
            </m:sSubPr>
            <m:e>
              <m:r>
                <w:rPr>
                  <w:rFonts w:ascii="Cambria Math" w:hAnsi="Cambria Math"/>
                </w:rPr>
                <m:t>ESF</m:t>
              </m:r>
            </m:e>
            <m:sub>
              <m:r>
                <w:rPr>
                  <w:rFonts w:ascii="Cambria Math" w:hAnsi="Cambria Math"/>
                </w:rPr>
                <m:t>connected over mixed</m:t>
              </m:r>
            </m:sub>
          </m:sSub>
          <m:r>
            <w:rPr>
              <w:rFonts w:ascii="Cambria Math" w:hAnsi="Cambria Math"/>
            </w:rPr>
            <m:t>=</m:t>
          </m:r>
          <m:d>
            <m:dPr>
              <m:ctrlPr>
                <w:rPr>
                  <w:rFonts w:ascii="Cambria Math" w:eastAsia="Times New Roman" w:hAnsi="Cambria Math"/>
                  <w:i w:val="0"/>
                  <w:sz w:val="18"/>
                  <w:szCs w:val="20"/>
                </w:rPr>
              </m:ctrlPr>
            </m:dPr>
            <m:e>
              <m:sSub>
                <m:sSubPr>
                  <m:ctrlPr>
                    <w:rPr>
                      <w:rFonts w:ascii="Cambria Math" w:eastAsia="Times New Roman" w:hAnsi="Cambria Math"/>
                      <w:i w:val="0"/>
                      <w:sz w:val="18"/>
                      <w:szCs w:val="20"/>
                    </w:rPr>
                  </m:ctrlPr>
                </m:sSubPr>
                <m:e>
                  <m:r>
                    <w:rPr>
                      <w:rFonts w:ascii="Cambria Math" w:hAnsi="Cambria Math"/>
                    </w:rPr>
                    <m:t>ESF</m:t>
                  </m:r>
                </m:e>
                <m:sub>
                  <m:r>
                    <w:rPr>
                      <w:rFonts w:ascii="Cambria Math" w:hAnsi="Cambria Math"/>
                    </w:rPr>
                    <m:t>connected over manual</m:t>
                  </m:r>
                </m:sub>
              </m:sSub>
              <m:r>
                <w:rPr>
                  <w:rFonts w:ascii="Cambria Math" w:hAnsi="Cambria Math"/>
                </w:rPr>
                <m:t>×</m:t>
              </m:r>
              <m:sSub>
                <m:sSubPr>
                  <m:ctrlPr>
                    <w:rPr>
                      <w:rFonts w:ascii="Cambria Math" w:hAnsi="Cambria Math"/>
                      <w:i w:val="0"/>
                    </w:rPr>
                  </m:ctrlPr>
                </m:sSubPr>
                <m:e>
                  <m:r>
                    <w:rPr>
                      <w:rFonts w:ascii="Cambria Math" w:hAnsi="Cambria Math"/>
                    </w:rPr>
                    <m:t>%</m:t>
                  </m:r>
                </m:e>
                <m:sub>
                  <m:r>
                    <w:rPr>
                      <w:rFonts w:ascii="Cambria Math" w:hAnsi="Cambria Math"/>
                    </w:rPr>
                    <m:t>Manual</m:t>
                  </m:r>
                </m:sub>
              </m:sSub>
            </m:e>
          </m:d>
          <m:r>
            <w:rPr>
              <w:rFonts w:ascii="Cambria Math" w:hAnsi="Cambria Math"/>
            </w:rPr>
            <m:t>+</m:t>
          </m:r>
          <m:d>
            <m:dPr>
              <m:ctrlPr>
                <w:rPr>
                  <w:rFonts w:ascii="Cambria Math" w:eastAsia="Times New Roman" w:hAnsi="Cambria Math"/>
                  <w:i w:val="0"/>
                  <w:sz w:val="18"/>
                  <w:szCs w:val="20"/>
                </w:rPr>
              </m:ctrlPr>
            </m:dPr>
            <m:e>
              <m:sSub>
                <m:sSubPr>
                  <m:ctrlPr>
                    <w:rPr>
                      <w:rFonts w:ascii="Cambria Math" w:eastAsia="Times New Roman" w:hAnsi="Cambria Math"/>
                      <w:i w:val="0"/>
                      <w:sz w:val="18"/>
                      <w:szCs w:val="20"/>
                    </w:rPr>
                  </m:ctrlPr>
                </m:sSubPr>
                <m:e>
                  <m:r>
                    <w:rPr>
                      <w:rFonts w:ascii="Cambria Math" w:hAnsi="Cambria Math"/>
                    </w:rPr>
                    <m:t>ESF</m:t>
                  </m:r>
                </m:e>
                <m:sub>
                  <m:r>
                    <w:rPr>
                      <w:rFonts w:ascii="Cambria Math" w:hAnsi="Cambria Math"/>
                    </w:rPr>
                    <m:t>connected over prog.</m:t>
                  </m:r>
                </m:sub>
              </m:sSub>
              <m:r>
                <w:rPr>
                  <w:rFonts w:ascii="Cambria Math" w:hAnsi="Cambria Math"/>
                </w:rPr>
                <m:t>×</m:t>
              </m:r>
              <m:sSub>
                <m:sSubPr>
                  <m:ctrlPr>
                    <w:rPr>
                      <w:rFonts w:ascii="Cambria Math" w:hAnsi="Cambria Math"/>
                      <w:i w:val="0"/>
                    </w:rPr>
                  </m:ctrlPr>
                </m:sSubPr>
                <m:e>
                  <m:r>
                    <w:rPr>
                      <w:rFonts w:ascii="Cambria Math" w:hAnsi="Cambria Math"/>
                    </w:rPr>
                    <m:t>%</m:t>
                  </m:r>
                </m:e>
                <m:sub>
                  <m:r>
                    <w:rPr>
                      <w:rFonts w:ascii="Cambria Math" w:hAnsi="Cambria Math"/>
                    </w:rPr>
                    <m:t>Programmable</m:t>
                  </m:r>
                </m:sub>
              </m:sSub>
            </m:e>
          </m:d>
        </m:oMath>
      </m:oMathPara>
    </w:p>
    <w:p w14:paraId="76164C92" w14:textId="77777777" w:rsidR="007376E1" w:rsidRPr="001570EA" w:rsidRDefault="007376E1" w:rsidP="007376E1"/>
    <w:p w14:paraId="5084699C" w14:textId="77777777" w:rsidR="007376E1" w:rsidRPr="001570EA" w:rsidRDefault="007376E1" w:rsidP="007376E1">
      <w:pPr>
        <w:pStyle w:val="Equation"/>
        <w:tabs>
          <w:tab w:val="left" w:pos="2160"/>
        </w:tabs>
        <w:rPr>
          <w:rFonts w:cs="Arial"/>
          <w:b/>
          <w:i w:val="0"/>
          <w:szCs w:val="20"/>
        </w:rPr>
      </w:pPr>
      <w:r w:rsidRPr="001570EA">
        <w:rPr>
          <w:rFonts w:cs="Arial"/>
          <w:b/>
          <w:i w:val="0"/>
          <w:szCs w:val="20"/>
        </w:rPr>
        <w:t>Demand Savings</w:t>
      </w:r>
    </w:p>
    <w:p w14:paraId="02D46728" w14:textId="77777777" w:rsidR="007376E1" w:rsidRPr="001570EA" w:rsidRDefault="007376E1" w:rsidP="007376E1">
      <w:pPr>
        <w:pStyle w:val="Equation"/>
        <w:ind w:left="0" w:firstLine="0"/>
        <w:rPr>
          <w:i w:val="0"/>
        </w:rPr>
      </w:pPr>
      <w:r w:rsidRPr="001570EA">
        <w:rPr>
          <w:i w:val="0"/>
        </w:rPr>
        <w:t>Savings from connected thermostats installed in systems with ducted air conditioning and/or heating have been shown to generally follow cooling and/or heating load, however the percent reduction during the system peak hours is expected to be lower than during off-peak hours. The PDSF term reduces the ESF</w:t>
      </w:r>
      <w:r w:rsidRPr="001570EA">
        <w:rPr>
          <w:i w:val="0"/>
          <w:vertAlign w:val="subscript"/>
        </w:rPr>
        <w:t>cool</w:t>
      </w:r>
      <w:r w:rsidRPr="001570EA">
        <w:rPr>
          <w:i w:val="0"/>
        </w:rPr>
        <w:t xml:space="preserve"> and ESF</w:t>
      </w:r>
      <w:r w:rsidRPr="001570EA">
        <w:rPr>
          <w:i w:val="0"/>
          <w:vertAlign w:val="subscript"/>
        </w:rPr>
        <w:t>heat</w:t>
      </w:r>
      <w:r w:rsidRPr="001570EA">
        <w:rPr>
          <w:i w:val="0"/>
        </w:rPr>
        <w:t xml:space="preserve"> values used to calculate energy savings by 50%. Peak demand savings are a function of the system size, efficiency, installation type, and coincidence factor. </w:t>
      </w:r>
    </w:p>
    <w:p w14:paraId="29862912" w14:textId="77777777" w:rsidR="007376E1" w:rsidRPr="001570EA" w:rsidRDefault="007376E1" w:rsidP="007376E1">
      <w:pPr>
        <w:pStyle w:val="Equation"/>
        <w:ind w:left="0" w:firstLine="0"/>
        <w:rPr>
          <w:i w:val="0"/>
        </w:rPr>
      </w:pPr>
    </w:p>
    <w:p w14:paraId="1AE27295" w14:textId="77777777" w:rsidR="007376E1" w:rsidRPr="00A96822" w:rsidRDefault="007376E1" w:rsidP="007376E1">
      <w:pPr>
        <w:pStyle w:val="Equation"/>
        <w:spacing w:after="120"/>
        <w:ind w:left="0" w:firstLine="0"/>
        <w:rPr>
          <w:i w:val="0"/>
          <w:szCs w:val="20"/>
        </w:rPr>
      </w:pPr>
      <m:oMathPara>
        <m:oMathParaPr>
          <m:jc m:val="left"/>
        </m:oMathParaPr>
        <m:oMath>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kW</m:t>
              </m:r>
            </m:e>
            <m:sub>
              <m:r>
                <w:rPr>
                  <w:rFonts w:ascii="Cambria Math" w:hAnsi="Cambria Math" w:cs="Arial"/>
                  <w:szCs w:val="20"/>
                </w:rPr>
                <m:t>summer peak</m:t>
              </m:r>
            </m:sub>
          </m:sSub>
          <m:r>
            <w:rPr>
              <w:rFonts w:ascii="Cambria Math" w:hAnsi="Cambria Math" w:cs="Arial"/>
              <w:szCs w:val="20"/>
            </w:rPr>
            <m:t xml:space="preserve">= </m:t>
          </m:r>
          <m:f>
            <m:fPr>
              <m:ctrlPr>
                <w:rPr>
                  <w:rFonts w:ascii="Cambria Math" w:hAnsi="Cambria Math"/>
                  <w:i w:val="0"/>
                  <w:sz w:val="22"/>
                  <w:szCs w:val="22"/>
                </w:rPr>
              </m:ctrlPr>
            </m:fPr>
            <m:num>
              <m:sSub>
                <m:sSubPr>
                  <m:ctrlPr>
                    <w:rPr>
                      <w:rFonts w:ascii="Cambria Math" w:hAnsi="Cambria Math"/>
                      <w:i w:val="0"/>
                      <w:sz w:val="22"/>
                      <w:szCs w:val="22"/>
                    </w:rPr>
                  </m:ctrlPr>
                </m:sSubPr>
                <m:e>
                  <m:r>
                    <w:rPr>
                      <w:rFonts w:ascii="Cambria Math" w:hAnsi="Cambria Math" w:cs="Arial"/>
                    </w:rPr>
                    <m:t>CAPY</m:t>
                  </m:r>
                </m:e>
                <m:sub>
                  <m:r>
                    <w:rPr>
                      <w:rFonts w:ascii="Cambria Math" w:hAnsi="Cambria Math"/>
                      <w:sz w:val="22"/>
                      <w:szCs w:val="22"/>
                    </w:rPr>
                    <m:t>cool</m:t>
                  </m:r>
                </m:sub>
              </m:sSub>
            </m:num>
            <m:den>
              <m:r>
                <w:rPr>
                  <w:rFonts w:ascii="Cambria Math" w:hAnsi="Cambria Math"/>
                  <w:sz w:val="22"/>
                  <w:szCs w:val="22"/>
                </w:rPr>
                <m:t>EER2×</m:t>
              </m:r>
              <m:sSub>
                <m:sSubPr>
                  <m:ctrlPr>
                    <w:rPr>
                      <w:rFonts w:ascii="Cambria Math" w:hAnsi="Cambria Math"/>
                      <w:i w:val="0"/>
                      <w:sz w:val="22"/>
                      <w:szCs w:val="22"/>
                    </w:rPr>
                  </m:ctrlPr>
                </m:sSubPr>
                <m:e>
                  <m:r>
                    <w:rPr>
                      <w:rFonts w:ascii="Cambria Math" w:hAnsi="Cambria Math"/>
                      <w:sz w:val="22"/>
                      <w:szCs w:val="22"/>
                    </w:rPr>
                    <m:t>Eff</m:t>
                  </m:r>
                </m:e>
                <m:sub>
                  <m:r>
                    <w:rPr>
                      <w:rFonts w:ascii="Cambria Math" w:hAnsi="Cambria Math"/>
                      <w:sz w:val="22"/>
                      <w:szCs w:val="22"/>
                    </w:rPr>
                    <m:t>duct</m:t>
                  </m:r>
                </m:sub>
              </m:sSub>
            </m:den>
          </m:f>
          <m:r>
            <w:rPr>
              <w:rFonts w:ascii="Cambria Math" w:hAnsi="Cambria Math"/>
              <w:sz w:val="22"/>
              <w:szCs w:val="22"/>
            </w:rPr>
            <m:t>×</m:t>
          </m:r>
          <m:sSub>
            <m:sSubPr>
              <m:ctrlPr>
                <w:rPr>
                  <w:rFonts w:ascii="Cambria Math" w:hAnsi="Cambria Math"/>
                  <w:i w:val="0"/>
                  <w:sz w:val="22"/>
                  <w:szCs w:val="22"/>
                </w:rPr>
              </m:ctrlPr>
            </m:sSubPr>
            <m:e>
              <m:r>
                <w:rPr>
                  <w:rFonts w:ascii="Cambria Math" w:hAnsi="Cambria Math" w:cs="Arial"/>
                </w:rPr>
                <m:t>ESF</m:t>
              </m:r>
            </m:e>
            <m:sub>
              <m:r>
                <w:rPr>
                  <w:rFonts w:ascii="Cambria Math" w:hAnsi="Cambria Math"/>
                  <w:sz w:val="22"/>
                  <w:szCs w:val="22"/>
                </w:rPr>
                <m:t>cool</m:t>
              </m:r>
            </m:sub>
          </m:sSub>
          <m:r>
            <w:rPr>
              <w:rFonts w:ascii="Cambria Math" w:hAnsi="Cambria Math"/>
              <w:sz w:val="22"/>
              <w:szCs w:val="22"/>
            </w:rPr>
            <m:t>×PDSF ×</m:t>
          </m:r>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m:oMathPara>
    </w:p>
    <w:p w14:paraId="7C527CD7" w14:textId="77777777" w:rsidR="007376E1" w:rsidRPr="001570EA" w:rsidRDefault="007376E1" w:rsidP="007376E1">
      <w:pPr>
        <w:pStyle w:val="Equation"/>
        <w:ind w:left="0" w:firstLine="0"/>
        <w:rPr>
          <w:i w:val="0"/>
          <w:szCs w:val="20"/>
        </w:rPr>
      </w:pPr>
    </w:p>
    <w:p w14:paraId="038C4596" w14:textId="77777777" w:rsidR="007376E1" w:rsidRPr="001570EA" w:rsidRDefault="007376E1" w:rsidP="007376E1">
      <w:pPr>
        <w:pStyle w:val="Equation"/>
        <w:ind w:left="0" w:firstLine="0"/>
        <w:rPr>
          <w:i w:val="0"/>
          <w:szCs w:val="20"/>
        </w:rPr>
      </w:pPr>
      <w:r w:rsidRPr="001570EA">
        <w:rPr>
          <w:i w:val="0"/>
          <w:szCs w:val="20"/>
        </w:rPr>
        <w:t>For Heat Pumps:</w:t>
      </w:r>
    </w:p>
    <w:p w14:paraId="37563A2C" w14:textId="77777777" w:rsidR="007376E1" w:rsidRPr="001570EA" w:rsidRDefault="007376E1" w:rsidP="007376E1">
      <w:pPr>
        <w:pStyle w:val="Equation"/>
        <w:spacing w:after="120"/>
        <w:ind w:left="0" w:firstLine="0"/>
        <w:rPr>
          <w:i w:val="0"/>
        </w:rPr>
      </w:pPr>
      <m:oMathPara>
        <m:oMathParaPr>
          <m:jc m:val="left"/>
        </m:oMathParaPr>
        <m:oMath>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kW</m:t>
              </m:r>
            </m:e>
            <m:sub>
              <m:r>
                <w:rPr>
                  <w:rFonts w:ascii="Cambria Math" w:hAnsi="Cambria Math" w:cs="Arial"/>
                  <w:szCs w:val="20"/>
                </w:rPr>
                <m:t>winter peak</m:t>
              </m:r>
            </m:sub>
          </m:sSub>
          <m:r>
            <w:rPr>
              <w:rFonts w:ascii="Cambria Math" w:hAnsi="Cambria Math" w:cs="Arial"/>
              <w:szCs w:val="20"/>
            </w:rPr>
            <m:t xml:space="preserve">= </m:t>
          </m:r>
          <m:f>
            <m:fPr>
              <m:ctrlPr>
                <w:rPr>
                  <w:rFonts w:ascii="Cambria Math" w:hAnsi="Cambria Math"/>
                  <w:i w:val="0"/>
                  <w:sz w:val="22"/>
                  <w:szCs w:val="22"/>
                </w:rPr>
              </m:ctrlPr>
            </m:fPr>
            <m:num>
              <m:sSub>
                <m:sSubPr>
                  <m:ctrlPr>
                    <w:rPr>
                      <w:rFonts w:ascii="Cambria Math" w:hAnsi="Cambria Math"/>
                      <w:i w:val="0"/>
                      <w:sz w:val="22"/>
                      <w:szCs w:val="22"/>
                    </w:rPr>
                  </m:ctrlPr>
                </m:sSubPr>
                <m:e>
                  <m:r>
                    <w:rPr>
                      <w:rFonts w:ascii="Cambria Math" w:hAnsi="Cambria Math" w:cs="Arial"/>
                    </w:rPr>
                    <m:t>Δ</m:t>
                  </m:r>
                  <m:r>
                    <w:rPr>
                      <w:rFonts w:ascii="Cambria Math" w:hAnsi="Cambria Math"/>
                      <w:sz w:val="22"/>
                      <w:szCs w:val="22"/>
                    </w:rPr>
                    <m:t>kWh</m:t>
                  </m:r>
                </m:e>
                <m:sub>
                  <m:r>
                    <w:rPr>
                      <w:rFonts w:ascii="Cambria Math" w:hAnsi="Cambria Math"/>
                      <w:sz w:val="22"/>
                      <w:szCs w:val="22"/>
                    </w:rPr>
                    <m:t>heat, HP</m:t>
                  </m:r>
                </m:sub>
              </m:sSub>
            </m:num>
            <m:den>
              <m:sSub>
                <m:sSubPr>
                  <m:ctrlPr>
                    <w:rPr>
                      <w:rFonts w:ascii="Cambria Math" w:hAnsi="Cambria Math"/>
                      <w:i w:val="0"/>
                      <w:sz w:val="22"/>
                      <w:szCs w:val="22"/>
                    </w:rPr>
                  </m:ctrlPr>
                </m:sSubPr>
                <m:e>
                  <m:r>
                    <w:rPr>
                      <w:rFonts w:ascii="Cambria Math" w:hAnsi="Cambria Math"/>
                      <w:sz w:val="22"/>
                      <w:szCs w:val="22"/>
                    </w:rPr>
                    <m:t>EFLH</m:t>
                  </m:r>
                </m:e>
                <m:sub>
                  <m:r>
                    <w:rPr>
                      <w:rFonts w:ascii="Cambria Math" w:hAnsi="Cambria Math"/>
                      <w:sz w:val="22"/>
                      <w:szCs w:val="22"/>
                    </w:rPr>
                    <m:t>heat,HP</m:t>
                  </m:r>
                </m:sub>
              </m:sSub>
            </m:den>
          </m:f>
          <m:r>
            <w:rPr>
              <w:rFonts w:ascii="Cambria Math" w:hAnsi="Cambria Math"/>
              <w:sz w:val="22"/>
              <w:szCs w:val="22"/>
            </w:rPr>
            <m:t xml:space="preserve"> ×PDSF ×</m:t>
          </m:r>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m:oMathPara>
    </w:p>
    <w:p w14:paraId="02028A0C" w14:textId="77777777" w:rsidR="007376E1" w:rsidRPr="001570EA" w:rsidRDefault="007376E1" w:rsidP="007376E1">
      <w:pPr>
        <w:pStyle w:val="Equation"/>
        <w:ind w:left="0" w:firstLine="0"/>
        <w:rPr>
          <w:i w:val="0"/>
        </w:rPr>
      </w:pPr>
    </w:p>
    <w:p w14:paraId="36769C97" w14:textId="77777777" w:rsidR="007376E1" w:rsidRPr="001570EA" w:rsidRDefault="007376E1" w:rsidP="007376E1">
      <w:pPr>
        <w:pStyle w:val="Equation"/>
        <w:ind w:left="0" w:firstLine="0"/>
        <w:rPr>
          <w:i w:val="0"/>
        </w:rPr>
      </w:pPr>
    </w:p>
    <w:p w14:paraId="7F622977" w14:textId="77777777" w:rsidR="007376E1" w:rsidRPr="001570EA" w:rsidRDefault="007376E1" w:rsidP="007376E1">
      <w:pPr>
        <w:pStyle w:val="Equation"/>
        <w:ind w:left="0" w:firstLine="0"/>
        <w:rPr>
          <w:i w:val="0"/>
        </w:rPr>
      </w:pPr>
      <w:r w:rsidRPr="001570EA">
        <w:rPr>
          <w:i w:val="0"/>
        </w:rPr>
        <w:t>For Non-heat Pumps:</w:t>
      </w:r>
    </w:p>
    <w:p w14:paraId="73DDBE8D" w14:textId="77777777" w:rsidR="007376E1" w:rsidRPr="001570EA" w:rsidRDefault="007376E1" w:rsidP="007376E1">
      <w:pPr>
        <w:pStyle w:val="Equation"/>
        <w:ind w:left="0" w:firstLine="0"/>
        <w:rPr>
          <w:i w:val="0"/>
        </w:rPr>
      </w:pPr>
    </w:p>
    <w:p w14:paraId="1CE41F09" w14:textId="77777777" w:rsidR="007376E1" w:rsidRPr="001570EA" w:rsidRDefault="007376E1" w:rsidP="007376E1">
      <w:pPr>
        <w:pStyle w:val="Equation"/>
        <w:ind w:left="0" w:firstLine="0"/>
        <w:rPr>
          <w:i w:val="0"/>
        </w:rPr>
      </w:pPr>
      <m:oMathPara>
        <m:oMathParaPr>
          <m:jc m:val="left"/>
        </m:oMathParaPr>
        <m:oMath>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kW</m:t>
              </m:r>
            </m:e>
            <m:sub>
              <m:r>
                <w:rPr>
                  <w:rFonts w:ascii="Cambria Math" w:hAnsi="Cambria Math" w:cs="Arial"/>
                  <w:szCs w:val="20"/>
                </w:rPr>
                <m:t>winter peak</m:t>
              </m:r>
            </m:sub>
          </m:sSub>
          <m:r>
            <w:rPr>
              <w:rFonts w:ascii="Cambria Math" w:hAnsi="Cambria Math" w:cs="Arial"/>
              <w:szCs w:val="20"/>
            </w:rPr>
            <m:t xml:space="preserve">= </m:t>
          </m:r>
          <m:f>
            <m:fPr>
              <m:ctrlPr>
                <w:rPr>
                  <w:rFonts w:ascii="Cambria Math" w:hAnsi="Cambria Math"/>
                  <w:i w:val="0"/>
                  <w:sz w:val="22"/>
                  <w:szCs w:val="22"/>
                </w:rPr>
              </m:ctrlPr>
            </m:fPr>
            <m:num>
              <m:sSub>
                <m:sSubPr>
                  <m:ctrlPr>
                    <w:rPr>
                      <w:rFonts w:ascii="Cambria Math" w:hAnsi="Cambria Math"/>
                      <w:i w:val="0"/>
                      <w:sz w:val="22"/>
                      <w:szCs w:val="22"/>
                    </w:rPr>
                  </m:ctrlPr>
                </m:sSubPr>
                <m:e>
                  <m:r>
                    <w:rPr>
                      <w:rFonts w:ascii="Cambria Math" w:hAnsi="Cambria Math" w:cs="Arial"/>
                    </w:rPr>
                    <m:t>Δ</m:t>
                  </m:r>
                  <m:r>
                    <w:rPr>
                      <w:rFonts w:ascii="Cambria Math" w:hAnsi="Cambria Math"/>
                      <w:sz w:val="22"/>
                      <w:szCs w:val="22"/>
                    </w:rPr>
                    <m:t>kWh</m:t>
                  </m:r>
                </m:e>
                <m:sub>
                  <m:r>
                    <w:rPr>
                      <w:rFonts w:ascii="Cambria Math" w:hAnsi="Cambria Math"/>
                      <w:sz w:val="22"/>
                      <w:szCs w:val="22"/>
                    </w:rPr>
                    <m:t xml:space="preserve">heat, </m:t>
                  </m:r>
                  <m:r>
                    <w:rPr>
                      <w:rFonts w:ascii="Cambria Math" w:hAnsi="Cambria Math" w:cs="Arial"/>
                      <w:vertAlign w:val="subscript"/>
                    </w:rPr>
                    <m:t xml:space="preserve">elecfurrn/fuelfurn </m:t>
                  </m:r>
                </m:sub>
              </m:sSub>
            </m:num>
            <m:den>
              <m:sSub>
                <m:sSubPr>
                  <m:ctrlPr>
                    <w:rPr>
                      <w:rFonts w:ascii="Cambria Math" w:hAnsi="Cambria Math"/>
                      <w:i w:val="0"/>
                      <w:sz w:val="22"/>
                      <w:szCs w:val="22"/>
                    </w:rPr>
                  </m:ctrlPr>
                </m:sSubPr>
                <m:e>
                  <m:r>
                    <w:rPr>
                      <w:rFonts w:ascii="Cambria Math" w:hAnsi="Cambria Math"/>
                      <w:sz w:val="22"/>
                      <w:szCs w:val="22"/>
                    </w:rPr>
                    <m:t>EFLH</m:t>
                  </m:r>
                </m:e>
                <m:sub>
                  <m:r>
                    <w:rPr>
                      <w:rFonts w:ascii="Cambria Math" w:hAnsi="Cambria Math"/>
                      <w:sz w:val="22"/>
                      <w:szCs w:val="22"/>
                    </w:rPr>
                    <m:t>heat,non-HP</m:t>
                  </m:r>
                </m:sub>
              </m:sSub>
            </m:den>
          </m:f>
          <m:r>
            <w:rPr>
              <w:rFonts w:ascii="Cambria Math" w:hAnsi="Cambria Math"/>
              <w:sz w:val="22"/>
              <w:szCs w:val="22"/>
            </w:rPr>
            <m:t xml:space="preserve"> ×PDSF ×</m:t>
          </m:r>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m:oMathPara>
    </w:p>
    <w:p w14:paraId="768760D3" w14:textId="77777777" w:rsidR="007376E1" w:rsidRPr="001570EA" w:rsidRDefault="007376E1" w:rsidP="007376E1">
      <w:pPr>
        <w:pStyle w:val="Equation"/>
        <w:ind w:left="0" w:firstLine="0"/>
        <w:rPr>
          <w:i w:val="0"/>
        </w:rPr>
      </w:pPr>
    </w:p>
    <w:p w14:paraId="3E066C8C" w14:textId="77777777" w:rsidR="00340342" w:rsidRDefault="00340342" w:rsidP="007376E1">
      <w:pPr>
        <w:pStyle w:val="SubStyle"/>
      </w:pPr>
    </w:p>
    <w:p w14:paraId="429A8693" w14:textId="0B39A89E" w:rsidR="007376E1" w:rsidRPr="001570EA" w:rsidRDefault="007376E1" w:rsidP="007376E1">
      <w:pPr>
        <w:pStyle w:val="SubStyle"/>
      </w:pPr>
      <w:r w:rsidRPr="001570EA">
        <w:t>Definition of Terms</w:t>
      </w:r>
    </w:p>
    <w:p w14:paraId="3D297C0F" w14:textId="7C2139FB" w:rsidR="007376E1" w:rsidRPr="001570EA" w:rsidRDefault="00521734" w:rsidP="007376E1">
      <w:pPr>
        <w:pStyle w:val="Caption"/>
      </w:pPr>
      <w:bookmarkStart w:id="302" w:name="_Toc47598281"/>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45</w:t>
      </w:r>
      <w:r w:rsidR="002E093A" w:rsidRPr="001570EA">
        <w:fldChar w:fldCharType="end"/>
      </w:r>
      <w:r w:rsidRPr="001570EA">
        <w:t>: Residential Electric HVAC Calculation Assumptions</w:t>
      </w:r>
      <w:bookmarkEnd w:id="30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39"/>
        <w:gridCol w:w="1876"/>
        <w:gridCol w:w="2851"/>
        <w:gridCol w:w="1664"/>
      </w:tblGrid>
      <w:tr w:rsidR="007376E1" w:rsidRPr="001570EA" w14:paraId="242E9B3F" w14:textId="77777777">
        <w:trPr>
          <w:trHeight w:val="20"/>
          <w:tblHeader/>
        </w:trPr>
        <w:tc>
          <w:tcPr>
            <w:tcW w:w="1297" w:type="pct"/>
            <w:shd w:val="clear" w:color="auto" w:fill="A6A6A6" w:themeFill="background1" w:themeFillShade="A6"/>
          </w:tcPr>
          <w:p w14:paraId="7B89304D" w14:textId="77777777" w:rsidR="007376E1" w:rsidRPr="001570EA" w:rsidRDefault="007376E1">
            <w:pPr>
              <w:pStyle w:val="TableCell"/>
              <w:keepNext w:val="0"/>
              <w:spacing w:before="60" w:after="60"/>
              <w:jc w:val="left"/>
              <w:rPr>
                <w:rFonts w:eastAsia="Calibri" w:cs="Arial"/>
                <w:b/>
                <w:szCs w:val="18"/>
              </w:rPr>
            </w:pPr>
            <w:r w:rsidRPr="001570EA">
              <w:rPr>
                <w:rFonts w:eastAsia="Calibri" w:cs="Arial"/>
                <w:b/>
                <w:szCs w:val="18"/>
              </w:rPr>
              <w:t>Term</w:t>
            </w:r>
          </w:p>
        </w:tc>
        <w:tc>
          <w:tcPr>
            <w:tcW w:w="1087" w:type="pct"/>
            <w:shd w:val="clear" w:color="auto" w:fill="A6A6A6" w:themeFill="background1" w:themeFillShade="A6"/>
          </w:tcPr>
          <w:p w14:paraId="590EE68B" w14:textId="77777777" w:rsidR="007376E1" w:rsidRPr="001570EA" w:rsidRDefault="007376E1">
            <w:pPr>
              <w:pStyle w:val="TableCell"/>
              <w:keepNext w:val="0"/>
              <w:spacing w:before="60" w:after="60"/>
              <w:jc w:val="center"/>
              <w:rPr>
                <w:rFonts w:eastAsia="Calibri" w:cs="Arial"/>
                <w:b/>
                <w:szCs w:val="18"/>
              </w:rPr>
            </w:pPr>
            <w:r w:rsidRPr="001570EA">
              <w:rPr>
                <w:rFonts w:eastAsia="Calibri" w:cs="Arial"/>
                <w:b/>
                <w:szCs w:val="18"/>
              </w:rPr>
              <w:t>Unit</w:t>
            </w:r>
          </w:p>
        </w:tc>
        <w:tc>
          <w:tcPr>
            <w:tcW w:w="1652" w:type="pct"/>
            <w:shd w:val="clear" w:color="auto" w:fill="A6A6A6" w:themeFill="background1" w:themeFillShade="A6"/>
          </w:tcPr>
          <w:p w14:paraId="2BAF43FB" w14:textId="77777777" w:rsidR="007376E1" w:rsidRPr="001570EA" w:rsidRDefault="007376E1">
            <w:pPr>
              <w:pStyle w:val="TableCell"/>
              <w:keepNext w:val="0"/>
              <w:spacing w:before="60" w:after="60"/>
              <w:jc w:val="center"/>
              <w:rPr>
                <w:rFonts w:eastAsia="Calibri" w:cs="Arial"/>
                <w:b/>
                <w:szCs w:val="18"/>
              </w:rPr>
            </w:pPr>
            <w:r w:rsidRPr="001570EA">
              <w:rPr>
                <w:rFonts w:eastAsia="Calibri" w:cs="Arial"/>
                <w:b/>
                <w:szCs w:val="18"/>
              </w:rPr>
              <w:t>Value</w:t>
            </w:r>
          </w:p>
        </w:tc>
        <w:tc>
          <w:tcPr>
            <w:tcW w:w="964" w:type="pct"/>
            <w:shd w:val="clear" w:color="auto" w:fill="A6A6A6" w:themeFill="background1" w:themeFillShade="A6"/>
          </w:tcPr>
          <w:p w14:paraId="7DCFB3B8" w14:textId="77777777" w:rsidR="007376E1" w:rsidRPr="001570EA" w:rsidRDefault="007376E1">
            <w:pPr>
              <w:pStyle w:val="TableCell"/>
              <w:keepNext w:val="0"/>
              <w:spacing w:before="60" w:after="60"/>
              <w:jc w:val="center"/>
              <w:rPr>
                <w:rFonts w:eastAsia="Calibri" w:cs="Arial"/>
                <w:b/>
                <w:szCs w:val="18"/>
              </w:rPr>
            </w:pPr>
            <w:r w:rsidRPr="001570EA">
              <w:rPr>
                <w:rFonts w:eastAsia="Calibri" w:cs="Arial"/>
                <w:b/>
                <w:szCs w:val="18"/>
              </w:rPr>
              <w:t>Sources</w:t>
            </w:r>
          </w:p>
        </w:tc>
      </w:tr>
      <w:tr w:rsidR="007376E1" w:rsidRPr="001570EA" w14:paraId="237818CC" w14:textId="77777777">
        <w:trPr>
          <w:trHeight w:val="20"/>
        </w:trPr>
        <w:tc>
          <w:tcPr>
            <w:tcW w:w="1297" w:type="pct"/>
            <w:vMerge w:val="restart"/>
            <w:vAlign w:val="center"/>
          </w:tcPr>
          <w:p w14:paraId="2B068E0A" w14:textId="77777777" w:rsidR="007376E1" w:rsidRPr="001570EA" w:rsidRDefault="007376E1">
            <w:pPr>
              <w:pStyle w:val="TableCell"/>
              <w:keepNext w:val="0"/>
              <w:spacing w:before="60" w:after="60"/>
              <w:jc w:val="left"/>
              <w:rPr>
                <w:rFonts w:eastAsia="Calibri" w:cs="Arial"/>
                <w:szCs w:val="18"/>
              </w:rPr>
            </w:pPr>
            <w:r w:rsidRPr="001570EA">
              <w:rPr>
                <w:rFonts w:eastAsia="Calibri" w:cs="Arial"/>
                <w:i/>
                <w:szCs w:val="18"/>
              </w:rPr>
              <w:t>CAPY</w:t>
            </w:r>
            <w:r w:rsidRPr="001570EA">
              <w:rPr>
                <w:rFonts w:eastAsia="Calibri" w:cs="Arial"/>
                <w:i/>
                <w:szCs w:val="18"/>
                <w:vertAlign w:val="subscript"/>
              </w:rPr>
              <w:t>cool</w:t>
            </w:r>
            <w:r w:rsidRPr="001570EA">
              <w:rPr>
                <w:rFonts w:eastAsia="Calibri" w:cs="Arial"/>
                <w:szCs w:val="18"/>
              </w:rPr>
              <w:t>, Capacity of air conditioning unit</w:t>
            </w:r>
          </w:p>
        </w:tc>
        <w:tc>
          <w:tcPr>
            <w:tcW w:w="1087" w:type="pct"/>
            <w:vMerge w:val="restart"/>
            <w:vAlign w:val="center"/>
          </w:tcPr>
          <w:p w14:paraId="3583DA6B" w14:textId="77777777" w:rsidR="007376E1" w:rsidRPr="001570EA" w:rsidRDefault="003B5E04">
            <w:pPr>
              <w:pStyle w:val="TableCell"/>
              <w:keepNext w:val="0"/>
              <w:spacing w:before="60" w:after="60"/>
              <w:jc w:val="center"/>
              <w:rPr>
                <w:rFonts w:eastAsia="Calibri" w:cs="Arial"/>
                <w:i/>
                <w:szCs w:val="18"/>
              </w:rPr>
            </w:pPr>
            <m:oMathPara>
              <m:oMath>
                <m:f>
                  <m:fPr>
                    <m:ctrlPr>
                      <w:rPr>
                        <w:rFonts w:ascii="Cambria Math" w:hAnsi="Cambria Math" w:cs="Arial"/>
                        <w:i/>
                      </w:rPr>
                    </m:ctrlPr>
                  </m:fPr>
                  <m:num>
                    <m:r>
                      <w:rPr>
                        <w:rFonts w:ascii="Cambria Math" w:hAnsi="Cambria Math" w:cs="Arial"/>
                      </w:rPr>
                      <m:t>kBTU</m:t>
                    </m:r>
                  </m:num>
                  <m:den>
                    <m:r>
                      <w:rPr>
                        <w:rFonts w:ascii="Cambria Math" w:hAnsi="Cambria Math" w:cs="Arial"/>
                      </w:rPr>
                      <m:t>h</m:t>
                    </m:r>
                  </m:den>
                </m:f>
              </m:oMath>
            </m:oMathPara>
          </w:p>
        </w:tc>
        <w:tc>
          <w:tcPr>
            <w:tcW w:w="1652" w:type="pct"/>
          </w:tcPr>
          <w:p w14:paraId="1E5F0AF9" w14:textId="77777777" w:rsidR="007376E1" w:rsidRPr="001570EA" w:rsidRDefault="007376E1">
            <w:pPr>
              <w:pStyle w:val="TableCell"/>
              <w:keepNext w:val="0"/>
              <w:spacing w:before="60" w:after="60"/>
              <w:jc w:val="center"/>
            </w:pPr>
            <w:r w:rsidRPr="001570EA">
              <w:t>EDC Data Gathering of</w:t>
            </w:r>
          </w:p>
          <w:p w14:paraId="3F34AC9A"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Nameplate data</w:t>
            </w:r>
          </w:p>
        </w:tc>
        <w:tc>
          <w:tcPr>
            <w:tcW w:w="964" w:type="pct"/>
          </w:tcPr>
          <w:p w14:paraId="62CE67FC"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EDC Data Gathering</w:t>
            </w:r>
          </w:p>
        </w:tc>
      </w:tr>
      <w:tr w:rsidR="007376E1" w:rsidRPr="001570EA" w14:paraId="1F69A92B" w14:textId="77777777">
        <w:trPr>
          <w:trHeight w:val="20"/>
        </w:trPr>
        <w:tc>
          <w:tcPr>
            <w:tcW w:w="1297" w:type="pct"/>
            <w:vMerge/>
            <w:vAlign w:val="center"/>
          </w:tcPr>
          <w:p w14:paraId="515C1350" w14:textId="77777777" w:rsidR="007376E1" w:rsidRPr="001570EA" w:rsidRDefault="007376E1">
            <w:pPr>
              <w:pStyle w:val="TableCell"/>
              <w:keepNext w:val="0"/>
              <w:spacing w:before="60" w:after="60"/>
              <w:jc w:val="left"/>
              <w:rPr>
                <w:rFonts w:eastAsia="Calibri" w:cs="Arial"/>
                <w:szCs w:val="18"/>
              </w:rPr>
            </w:pPr>
          </w:p>
        </w:tc>
        <w:tc>
          <w:tcPr>
            <w:tcW w:w="1087" w:type="pct"/>
            <w:vMerge/>
            <w:vAlign w:val="center"/>
          </w:tcPr>
          <w:p w14:paraId="545DCFA9" w14:textId="77777777" w:rsidR="007376E1" w:rsidRPr="001570EA" w:rsidRDefault="007376E1">
            <w:pPr>
              <w:pStyle w:val="TableCell"/>
              <w:keepNext w:val="0"/>
              <w:spacing w:before="60" w:after="60"/>
              <w:jc w:val="center"/>
              <w:rPr>
                <w:rFonts w:eastAsia="Calibri" w:cs="Arial"/>
                <w:i/>
                <w:szCs w:val="18"/>
              </w:rPr>
            </w:pPr>
          </w:p>
        </w:tc>
        <w:tc>
          <w:tcPr>
            <w:tcW w:w="1652" w:type="pct"/>
          </w:tcPr>
          <w:p w14:paraId="2DF459F1"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Default = 31.9 / unit</w:t>
            </w:r>
          </w:p>
        </w:tc>
        <w:tc>
          <w:tcPr>
            <w:tcW w:w="964" w:type="pct"/>
          </w:tcPr>
          <w:p w14:paraId="122B3A56"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3</w:t>
            </w:r>
          </w:p>
        </w:tc>
      </w:tr>
      <w:tr w:rsidR="007376E1" w:rsidRPr="001570EA" w14:paraId="404E8324" w14:textId="77777777">
        <w:trPr>
          <w:trHeight w:val="20"/>
        </w:trPr>
        <w:tc>
          <w:tcPr>
            <w:tcW w:w="1297" w:type="pct"/>
            <w:vMerge w:val="restart"/>
            <w:vAlign w:val="center"/>
          </w:tcPr>
          <w:p w14:paraId="338BABBE" w14:textId="77777777" w:rsidR="007376E1" w:rsidRPr="001570EA" w:rsidRDefault="007376E1">
            <w:pPr>
              <w:pStyle w:val="TableCell"/>
              <w:keepNext w:val="0"/>
              <w:spacing w:before="60" w:after="60"/>
              <w:jc w:val="left"/>
              <w:rPr>
                <w:rFonts w:eastAsia="Calibri" w:cs="Arial"/>
                <w:szCs w:val="18"/>
              </w:rPr>
            </w:pPr>
            <w:r w:rsidRPr="001570EA">
              <w:rPr>
                <w:rFonts w:eastAsia="Calibri" w:cs="Arial"/>
                <w:i/>
                <w:szCs w:val="18"/>
              </w:rPr>
              <w:t>CAPY</w:t>
            </w:r>
            <w:r w:rsidRPr="001570EA">
              <w:rPr>
                <w:rFonts w:eastAsia="Calibri" w:cs="Arial"/>
                <w:i/>
                <w:szCs w:val="18"/>
                <w:vertAlign w:val="subscript"/>
              </w:rPr>
              <w:t>HP</w:t>
            </w:r>
            <w:r w:rsidRPr="001570EA">
              <w:rPr>
                <w:rFonts w:eastAsia="Calibri" w:cs="Arial"/>
                <w:szCs w:val="18"/>
              </w:rPr>
              <w:t xml:space="preserve">, Normal heat capacity of Heat Pump System. </w:t>
            </w:r>
          </w:p>
        </w:tc>
        <w:tc>
          <w:tcPr>
            <w:tcW w:w="1087" w:type="pct"/>
            <w:vMerge w:val="restart"/>
            <w:vAlign w:val="center"/>
          </w:tcPr>
          <w:p w14:paraId="104858B1" w14:textId="77777777" w:rsidR="007376E1" w:rsidRPr="001570EA" w:rsidRDefault="003B5E04">
            <w:pPr>
              <w:pStyle w:val="TableCell"/>
              <w:keepNext w:val="0"/>
              <w:spacing w:before="60" w:after="60"/>
              <w:jc w:val="center"/>
              <w:rPr>
                <w:rFonts w:eastAsia="Calibri" w:cs="Arial"/>
                <w:i/>
                <w:szCs w:val="18"/>
              </w:rPr>
            </w:pPr>
            <m:oMathPara>
              <m:oMath>
                <m:f>
                  <m:fPr>
                    <m:ctrlPr>
                      <w:rPr>
                        <w:rFonts w:ascii="Cambria Math" w:hAnsi="Cambria Math" w:cs="Arial"/>
                        <w:i/>
                      </w:rPr>
                    </m:ctrlPr>
                  </m:fPr>
                  <m:num>
                    <m:r>
                      <w:rPr>
                        <w:rFonts w:ascii="Cambria Math" w:hAnsi="Cambria Math" w:cs="Arial"/>
                      </w:rPr>
                      <m:t>kBTU</m:t>
                    </m:r>
                  </m:num>
                  <m:den>
                    <m:r>
                      <w:rPr>
                        <w:rFonts w:ascii="Cambria Math" w:hAnsi="Cambria Math" w:cs="Arial"/>
                      </w:rPr>
                      <m:t>h</m:t>
                    </m:r>
                  </m:den>
                </m:f>
              </m:oMath>
            </m:oMathPara>
          </w:p>
        </w:tc>
        <w:tc>
          <w:tcPr>
            <w:tcW w:w="1652" w:type="pct"/>
          </w:tcPr>
          <w:p w14:paraId="427F2869" w14:textId="77777777" w:rsidR="007376E1" w:rsidRPr="001570EA" w:rsidRDefault="007376E1">
            <w:pPr>
              <w:pStyle w:val="TableCell"/>
              <w:keepNext w:val="0"/>
              <w:spacing w:before="60" w:after="60"/>
              <w:jc w:val="center"/>
            </w:pPr>
            <w:r w:rsidRPr="001570EA">
              <w:t>EDC Data Gathering of</w:t>
            </w:r>
          </w:p>
          <w:p w14:paraId="233E2122"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Nameplate Data</w:t>
            </w:r>
          </w:p>
        </w:tc>
        <w:tc>
          <w:tcPr>
            <w:tcW w:w="964" w:type="pct"/>
          </w:tcPr>
          <w:p w14:paraId="2189D8CA"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EDC Data Gathering</w:t>
            </w:r>
          </w:p>
        </w:tc>
      </w:tr>
      <w:tr w:rsidR="007376E1" w:rsidRPr="001570EA" w14:paraId="13DBC5DA" w14:textId="77777777">
        <w:trPr>
          <w:trHeight w:val="20"/>
        </w:trPr>
        <w:tc>
          <w:tcPr>
            <w:tcW w:w="1297" w:type="pct"/>
            <w:vMerge/>
            <w:vAlign w:val="center"/>
          </w:tcPr>
          <w:p w14:paraId="1F09DA0A" w14:textId="77777777" w:rsidR="007376E1" w:rsidRPr="001570EA" w:rsidRDefault="007376E1">
            <w:pPr>
              <w:pStyle w:val="TableCell"/>
              <w:keepNext w:val="0"/>
              <w:spacing w:before="60" w:after="60"/>
              <w:jc w:val="left"/>
              <w:rPr>
                <w:rFonts w:eastAsia="Calibri" w:cs="Arial"/>
                <w:szCs w:val="18"/>
              </w:rPr>
            </w:pPr>
          </w:p>
        </w:tc>
        <w:tc>
          <w:tcPr>
            <w:tcW w:w="1087" w:type="pct"/>
            <w:vMerge/>
            <w:vAlign w:val="center"/>
          </w:tcPr>
          <w:p w14:paraId="57FE82EE" w14:textId="77777777" w:rsidR="007376E1" w:rsidRPr="001570EA" w:rsidRDefault="007376E1">
            <w:pPr>
              <w:pStyle w:val="TableCell"/>
              <w:keepNext w:val="0"/>
              <w:spacing w:before="60" w:after="60"/>
              <w:jc w:val="center"/>
              <w:rPr>
                <w:rFonts w:eastAsia="Calibri" w:cs="Arial"/>
                <w:i/>
                <w:szCs w:val="18"/>
              </w:rPr>
            </w:pPr>
          </w:p>
        </w:tc>
        <w:tc>
          <w:tcPr>
            <w:tcW w:w="1652" w:type="pct"/>
          </w:tcPr>
          <w:p w14:paraId="59F1C15F"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Default = 31.9 / unit</w:t>
            </w:r>
          </w:p>
        </w:tc>
        <w:tc>
          <w:tcPr>
            <w:tcW w:w="964" w:type="pct"/>
          </w:tcPr>
          <w:p w14:paraId="2A943C58"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3</w:t>
            </w:r>
          </w:p>
        </w:tc>
      </w:tr>
      <w:tr w:rsidR="007376E1" w:rsidRPr="001570EA" w14:paraId="5A4A388F" w14:textId="77777777">
        <w:trPr>
          <w:trHeight w:val="20"/>
        </w:trPr>
        <w:tc>
          <w:tcPr>
            <w:tcW w:w="1297" w:type="pct"/>
            <w:vMerge w:val="restart"/>
            <w:vAlign w:val="center"/>
          </w:tcPr>
          <w:p w14:paraId="7141F36A" w14:textId="77777777" w:rsidR="007376E1" w:rsidRPr="001570EA" w:rsidRDefault="007376E1">
            <w:pPr>
              <w:pStyle w:val="TableCell"/>
              <w:spacing w:before="60" w:after="60"/>
              <w:jc w:val="left"/>
              <w:rPr>
                <w:rFonts w:eastAsia="Calibri" w:cs="Arial"/>
                <w:i/>
                <w:szCs w:val="18"/>
              </w:rPr>
            </w:pPr>
            <w:r w:rsidRPr="001570EA">
              <w:rPr>
                <w:rFonts w:eastAsia="Calibri" w:cs="Arial"/>
                <w:i/>
                <w:szCs w:val="18"/>
              </w:rPr>
              <w:t>CAPY</w:t>
            </w:r>
            <w:r w:rsidRPr="001570EA">
              <w:rPr>
                <w:rFonts w:eastAsia="Calibri" w:cs="Arial"/>
                <w:i/>
                <w:szCs w:val="18"/>
                <w:vertAlign w:val="subscript"/>
              </w:rPr>
              <w:t>elecfurn</w:t>
            </w:r>
            <w:r w:rsidRPr="001570EA">
              <w:rPr>
                <w:rFonts w:eastAsia="Calibri" w:cs="Arial"/>
                <w:szCs w:val="18"/>
              </w:rPr>
              <w:t xml:space="preserve">, Normal heat capacity of </w:t>
            </w:r>
            <w:r w:rsidRPr="001570EA">
              <w:rPr>
                <w:rFonts w:cs="Arial"/>
                <w:szCs w:val="18"/>
              </w:rPr>
              <w:t>Electric Furnace systems</w:t>
            </w:r>
          </w:p>
        </w:tc>
        <w:tc>
          <w:tcPr>
            <w:tcW w:w="1087" w:type="pct"/>
            <w:vMerge w:val="restart"/>
            <w:vAlign w:val="center"/>
          </w:tcPr>
          <w:p w14:paraId="0A2424B2" w14:textId="77777777" w:rsidR="007376E1" w:rsidRPr="001570EA" w:rsidRDefault="003B5E04">
            <w:pPr>
              <w:pStyle w:val="TableCell"/>
              <w:spacing w:before="60" w:after="60"/>
              <w:jc w:val="center"/>
              <w:rPr>
                <w:rFonts w:eastAsia="Calibri" w:cs="Arial"/>
                <w:i/>
              </w:rPr>
            </w:pPr>
            <m:oMathPara>
              <m:oMath>
                <m:f>
                  <m:fPr>
                    <m:ctrlPr>
                      <w:rPr>
                        <w:rFonts w:ascii="Cambria Math" w:hAnsi="Cambria Math" w:cs="Arial"/>
                        <w:i/>
                      </w:rPr>
                    </m:ctrlPr>
                  </m:fPr>
                  <m:num>
                    <m:r>
                      <w:rPr>
                        <w:rFonts w:ascii="Cambria Math" w:hAnsi="Cambria Math" w:cs="Arial"/>
                      </w:rPr>
                      <m:t>kBTU</m:t>
                    </m:r>
                  </m:num>
                  <m:den>
                    <m:r>
                      <w:rPr>
                        <w:rFonts w:ascii="Cambria Math" w:hAnsi="Cambria Math" w:cs="Arial"/>
                      </w:rPr>
                      <m:t>h</m:t>
                    </m:r>
                  </m:den>
                </m:f>
              </m:oMath>
            </m:oMathPara>
          </w:p>
        </w:tc>
        <w:tc>
          <w:tcPr>
            <w:tcW w:w="1652" w:type="pct"/>
          </w:tcPr>
          <w:p w14:paraId="27A06575" w14:textId="77777777" w:rsidR="007376E1" w:rsidRPr="001570EA" w:rsidRDefault="007376E1">
            <w:pPr>
              <w:pStyle w:val="TableCell"/>
              <w:keepNext w:val="0"/>
              <w:spacing w:before="60" w:after="60"/>
              <w:jc w:val="center"/>
            </w:pPr>
            <w:r w:rsidRPr="001570EA">
              <w:t>EDC Data Gathering of</w:t>
            </w:r>
          </w:p>
          <w:p w14:paraId="4F60F419" w14:textId="77777777" w:rsidR="007376E1" w:rsidRPr="001570EA" w:rsidRDefault="007376E1">
            <w:pPr>
              <w:pStyle w:val="TableCell"/>
              <w:keepNext w:val="0"/>
              <w:spacing w:before="60" w:after="60"/>
              <w:jc w:val="center"/>
            </w:pPr>
            <w:r w:rsidRPr="001570EA">
              <w:rPr>
                <w:rFonts w:eastAsia="Calibri" w:cs="Arial"/>
                <w:szCs w:val="18"/>
              </w:rPr>
              <w:t>Nameplate data</w:t>
            </w:r>
          </w:p>
        </w:tc>
        <w:tc>
          <w:tcPr>
            <w:tcW w:w="964" w:type="pct"/>
          </w:tcPr>
          <w:p w14:paraId="55813E92"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EDC Data Gathering</w:t>
            </w:r>
          </w:p>
        </w:tc>
      </w:tr>
      <w:tr w:rsidR="007376E1" w:rsidRPr="001570EA" w14:paraId="2DE31279" w14:textId="77777777">
        <w:trPr>
          <w:trHeight w:val="20"/>
        </w:trPr>
        <w:tc>
          <w:tcPr>
            <w:tcW w:w="1297" w:type="pct"/>
            <w:vMerge/>
            <w:vAlign w:val="center"/>
          </w:tcPr>
          <w:p w14:paraId="6C68B7C3" w14:textId="77777777" w:rsidR="007376E1" w:rsidRPr="001570EA" w:rsidRDefault="007376E1">
            <w:pPr>
              <w:pStyle w:val="TableCell"/>
              <w:keepNext w:val="0"/>
              <w:spacing w:before="60" w:after="60"/>
              <w:jc w:val="left"/>
              <w:rPr>
                <w:rFonts w:eastAsia="Calibri" w:cs="Arial"/>
                <w:i/>
                <w:szCs w:val="18"/>
              </w:rPr>
            </w:pPr>
          </w:p>
        </w:tc>
        <w:tc>
          <w:tcPr>
            <w:tcW w:w="1087" w:type="pct"/>
            <w:vMerge/>
            <w:vAlign w:val="center"/>
          </w:tcPr>
          <w:p w14:paraId="085EB0AD" w14:textId="77777777" w:rsidR="007376E1" w:rsidRPr="001570EA" w:rsidRDefault="007376E1">
            <w:pPr>
              <w:pStyle w:val="TableCell"/>
              <w:keepNext w:val="0"/>
              <w:spacing w:before="60" w:after="60"/>
              <w:jc w:val="center"/>
              <w:rPr>
                <w:rFonts w:ascii="Cambria Math" w:hAnsi="Cambria Math" w:cs="Arial"/>
                <w:i/>
              </w:rPr>
            </w:pPr>
          </w:p>
        </w:tc>
        <w:tc>
          <w:tcPr>
            <w:tcW w:w="1652" w:type="pct"/>
          </w:tcPr>
          <w:p w14:paraId="33AC81A3" w14:textId="77777777" w:rsidR="007376E1" w:rsidRPr="001570EA" w:rsidRDefault="007376E1">
            <w:pPr>
              <w:pStyle w:val="TableCell"/>
              <w:keepNext w:val="0"/>
              <w:spacing w:before="60" w:after="60"/>
              <w:jc w:val="center"/>
            </w:pPr>
            <w:r w:rsidRPr="001570EA">
              <w:t>Default 78.1 / unit</w:t>
            </w:r>
          </w:p>
        </w:tc>
        <w:tc>
          <w:tcPr>
            <w:tcW w:w="964" w:type="pct"/>
          </w:tcPr>
          <w:p w14:paraId="7BF62B2B"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3</w:t>
            </w:r>
          </w:p>
        </w:tc>
      </w:tr>
      <w:tr w:rsidR="007376E1" w:rsidRPr="001570EA" w14:paraId="6278E327" w14:textId="77777777">
        <w:trPr>
          <w:trHeight w:val="20"/>
        </w:trPr>
        <w:tc>
          <w:tcPr>
            <w:tcW w:w="1297" w:type="pct"/>
            <w:vMerge w:val="restart"/>
            <w:vAlign w:val="center"/>
          </w:tcPr>
          <w:p w14:paraId="7B487D8D" w14:textId="77777777" w:rsidR="007376E1" w:rsidRPr="001570EA" w:rsidRDefault="007376E1">
            <w:pPr>
              <w:pStyle w:val="TableCell"/>
              <w:keepNext w:val="0"/>
              <w:spacing w:before="60" w:after="60"/>
              <w:jc w:val="left"/>
              <w:rPr>
                <w:rFonts w:eastAsia="Calibri" w:cs="Arial"/>
                <w:szCs w:val="18"/>
              </w:rPr>
            </w:pPr>
            <w:r w:rsidRPr="001570EA">
              <w:rPr>
                <w:rFonts w:eastAsia="Calibri" w:cs="Arial"/>
                <w:i/>
                <w:szCs w:val="18"/>
              </w:rPr>
              <w:t xml:space="preserve">SEER2, </w:t>
            </w:r>
            <w:r w:rsidRPr="001570EA">
              <w:t>Seasonal Energy Efficiency Ratio</w:t>
            </w:r>
          </w:p>
        </w:tc>
        <w:tc>
          <w:tcPr>
            <w:tcW w:w="1087" w:type="pct"/>
            <w:vMerge w:val="restart"/>
            <w:vAlign w:val="center"/>
          </w:tcPr>
          <w:p w14:paraId="27058302" w14:textId="77777777" w:rsidR="007376E1" w:rsidRPr="001570EA" w:rsidRDefault="003B5E04">
            <w:pPr>
              <w:pStyle w:val="TableCell"/>
              <w:keepNext w:val="0"/>
              <w:spacing w:before="60" w:after="60"/>
              <w:jc w:val="center"/>
              <w:rPr>
                <w:rFonts w:cs="Arial"/>
                <w:i/>
                <w:szCs w:val="18"/>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652" w:type="pct"/>
          </w:tcPr>
          <w:p w14:paraId="197FB613" w14:textId="77777777" w:rsidR="007376E1" w:rsidRPr="001570EA" w:rsidRDefault="007376E1">
            <w:pPr>
              <w:pStyle w:val="TableCell"/>
              <w:keepNext w:val="0"/>
              <w:spacing w:before="60" w:after="60"/>
              <w:jc w:val="center"/>
            </w:pPr>
            <w:r w:rsidRPr="001570EA">
              <w:t>EDC Data Gathering of</w:t>
            </w:r>
          </w:p>
          <w:p w14:paraId="5378C248"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Nameplate data</w:t>
            </w:r>
          </w:p>
        </w:tc>
        <w:tc>
          <w:tcPr>
            <w:tcW w:w="964" w:type="pct"/>
          </w:tcPr>
          <w:p w14:paraId="5AC213A7"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EDC Data Gathering</w:t>
            </w:r>
          </w:p>
        </w:tc>
      </w:tr>
      <w:tr w:rsidR="007376E1" w:rsidRPr="001570EA" w14:paraId="317290D6" w14:textId="77777777">
        <w:trPr>
          <w:trHeight w:val="20"/>
        </w:trPr>
        <w:tc>
          <w:tcPr>
            <w:tcW w:w="1297" w:type="pct"/>
            <w:vMerge/>
            <w:vAlign w:val="center"/>
          </w:tcPr>
          <w:p w14:paraId="52AF482D" w14:textId="77777777" w:rsidR="007376E1" w:rsidRPr="001570EA" w:rsidRDefault="007376E1">
            <w:pPr>
              <w:pStyle w:val="TableCell"/>
              <w:keepNext w:val="0"/>
              <w:spacing w:before="60" w:after="60"/>
              <w:jc w:val="left"/>
              <w:rPr>
                <w:rFonts w:eastAsia="Calibri" w:cs="Arial"/>
                <w:szCs w:val="18"/>
              </w:rPr>
            </w:pPr>
          </w:p>
        </w:tc>
        <w:tc>
          <w:tcPr>
            <w:tcW w:w="1087" w:type="pct"/>
            <w:vMerge/>
            <w:vAlign w:val="center"/>
          </w:tcPr>
          <w:p w14:paraId="2970CD9A" w14:textId="77777777" w:rsidR="007376E1" w:rsidRPr="001570EA" w:rsidRDefault="007376E1">
            <w:pPr>
              <w:pStyle w:val="TableCell"/>
              <w:keepNext w:val="0"/>
              <w:spacing w:before="60" w:after="60"/>
              <w:jc w:val="center"/>
              <w:rPr>
                <w:rFonts w:cs="Arial"/>
                <w:i/>
                <w:szCs w:val="18"/>
              </w:rPr>
            </w:pPr>
          </w:p>
        </w:tc>
        <w:tc>
          <w:tcPr>
            <w:tcW w:w="1652" w:type="pct"/>
          </w:tcPr>
          <w:p w14:paraId="678C4BF5" w14:textId="496E6448" w:rsidR="007376E1" w:rsidRPr="001570EA" w:rsidRDefault="007376E1">
            <w:pPr>
              <w:pStyle w:val="TableCell"/>
              <w:keepNext w:val="0"/>
              <w:spacing w:before="60" w:after="60"/>
              <w:jc w:val="center"/>
            </w:pPr>
            <w:r w:rsidRPr="001570EA">
              <w:rPr>
                <w:rFonts w:eastAsia="Calibri" w:cs="Arial"/>
                <w:szCs w:val="18"/>
              </w:rPr>
              <w:t xml:space="preserve">Default: </w:t>
            </w:r>
            <w:r w:rsidRPr="001570EA">
              <w:rPr>
                <w:szCs w:val="18"/>
              </w:rPr>
              <w:t xml:space="preserve">see </w:t>
            </w:r>
            <w:r w:rsidRPr="001570EA">
              <w:rPr>
                <w:szCs w:val="18"/>
              </w:rPr>
              <w:fldChar w:fldCharType="begin"/>
            </w:r>
            <w:r w:rsidRPr="001570EA">
              <w:rPr>
                <w:szCs w:val="18"/>
              </w:rPr>
              <w:instrText xml:space="preserve"> REF _Ref531779526 \h  \* MERGEFORMAT </w:instrText>
            </w:r>
            <w:r w:rsidRPr="001570EA">
              <w:rPr>
                <w:szCs w:val="18"/>
              </w:rPr>
            </w:r>
            <w:r w:rsidRPr="001570EA">
              <w:rPr>
                <w:szCs w:val="18"/>
              </w:rPr>
              <w:fldChar w:fldCharType="separate"/>
            </w:r>
            <w:r w:rsidR="00384D95" w:rsidRPr="001570EA">
              <w:rPr>
                <w:szCs w:val="18"/>
              </w:rPr>
              <w:t>Table 2</w:t>
            </w:r>
            <w:r w:rsidR="00384D95" w:rsidRPr="001570EA">
              <w:rPr>
                <w:szCs w:val="18"/>
              </w:rPr>
              <w:noBreakHyphen/>
              <w:t>10</w:t>
            </w:r>
            <w:r w:rsidRPr="001570EA">
              <w:rPr>
                <w:szCs w:val="18"/>
              </w:rPr>
              <w:fldChar w:fldCharType="end"/>
            </w:r>
          </w:p>
        </w:tc>
        <w:tc>
          <w:tcPr>
            <w:tcW w:w="964" w:type="pct"/>
            <w:vAlign w:val="center"/>
          </w:tcPr>
          <w:p w14:paraId="0C4AECFE"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3</w:t>
            </w:r>
          </w:p>
        </w:tc>
      </w:tr>
      <w:tr w:rsidR="007376E1" w:rsidRPr="001570EA" w14:paraId="49C0D07F" w14:textId="77777777">
        <w:trPr>
          <w:trHeight w:val="20"/>
        </w:trPr>
        <w:tc>
          <w:tcPr>
            <w:tcW w:w="1297" w:type="pct"/>
            <w:vMerge w:val="restart"/>
            <w:vAlign w:val="center"/>
          </w:tcPr>
          <w:p w14:paraId="132B1CF0" w14:textId="77777777" w:rsidR="007376E1" w:rsidRPr="001570EA" w:rsidRDefault="007376E1">
            <w:pPr>
              <w:pStyle w:val="TableCell"/>
              <w:keepNext w:val="0"/>
              <w:spacing w:before="60" w:after="60"/>
              <w:jc w:val="left"/>
              <w:rPr>
                <w:rFonts w:eastAsia="Calibri" w:cs="Arial"/>
                <w:szCs w:val="18"/>
              </w:rPr>
            </w:pPr>
            <w:r w:rsidRPr="001570EA">
              <w:rPr>
                <w:rFonts w:eastAsia="Calibri" w:cs="Arial"/>
                <w:i/>
                <w:iCs/>
                <w:szCs w:val="18"/>
              </w:rPr>
              <w:t>EER2,</w:t>
            </w:r>
            <w:r w:rsidRPr="001570EA">
              <w:rPr>
                <w:rFonts w:eastAsia="Calibri" w:cs="Arial"/>
                <w:szCs w:val="18"/>
              </w:rPr>
              <w:t xml:space="preserve"> Energy Efficiency Ratio</w:t>
            </w:r>
          </w:p>
        </w:tc>
        <w:tc>
          <w:tcPr>
            <w:tcW w:w="1087" w:type="pct"/>
            <w:vMerge w:val="restart"/>
            <w:vAlign w:val="center"/>
          </w:tcPr>
          <w:p w14:paraId="7801E9B1" w14:textId="77777777" w:rsidR="007376E1" w:rsidRPr="001570EA" w:rsidRDefault="003B5E04">
            <w:pPr>
              <w:pStyle w:val="TableCell"/>
              <w:keepNext w:val="0"/>
              <w:spacing w:before="60" w:after="60"/>
              <w:jc w:val="center"/>
              <w:rPr>
                <w:rFonts w:cs="Arial"/>
                <w:i/>
                <w:szCs w:val="18"/>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652" w:type="pct"/>
          </w:tcPr>
          <w:p w14:paraId="7C6F2894" w14:textId="77777777" w:rsidR="007376E1" w:rsidRPr="001570EA" w:rsidRDefault="007376E1">
            <w:pPr>
              <w:pStyle w:val="TableCell"/>
              <w:keepNext w:val="0"/>
              <w:spacing w:before="60" w:after="60"/>
              <w:jc w:val="center"/>
              <w:rPr>
                <w:rFonts w:eastAsia="Calibri" w:cs="Arial"/>
                <w:szCs w:val="18"/>
              </w:rPr>
            </w:pPr>
            <w:r w:rsidRPr="001570EA">
              <w:t>EDC Data Gathering of Nameplate data</w:t>
            </w:r>
          </w:p>
        </w:tc>
        <w:tc>
          <w:tcPr>
            <w:tcW w:w="964" w:type="pct"/>
          </w:tcPr>
          <w:p w14:paraId="4F74AA94"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EDC Data Gathering</w:t>
            </w:r>
          </w:p>
        </w:tc>
      </w:tr>
      <w:tr w:rsidR="007376E1" w:rsidRPr="001570EA" w14:paraId="1FFE78E6" w14:textId="77777777">
        <w:trPr>
          <w:trHeight w:val="20"/>
        </w:trPr>
        <w:tc>
          <w:tcPr>
            <w:tcW w:w="1297" w:type="pct"/>
            <w:vMerge/>
            <w:vAlign w:val="center"/>
          </w:tcPr>
          <w:p w14:paraId="050B8516" w14:textId="77777777" w:rsidR="007376E1" w:rsidRPr="001570EA" w:rsidRDefault="007376E1">
            <w:pPr>
              <w:pStyle w:val="TableCell"/>
              <w:keepNext w:val="0"/>
              <w:spacing w:before="60" w:after="60"/>
              <w:jc w:val="left"/>
              <w:rPr>
                <w:rFonts w:eastAsia="Calibri" w:cs="Arial"/>
                <w:szCs w:val="18"/>
              </w:rPr>
            </w:pPr>
          </w:p>
        </w:tc>
        <w:tc>
          <w:tcPr>
            <w:tcW w:w="1087" w:type="pct"/>
            <w:vMerge/>
            <w:vAlign w:val="center"/>
          </w:tcPr>
          <w:p w14:paraId="25FD5484" w14:textId="77777777" w:rsidR="007376E1" w:rsidRPr="001570EA" w:rsidRDefault="007376E1">
            <w:pPr>
              <w:pStyle w:val="TableCell"/>
              <w:keepNext w:val="0"/>
              <w:spacing w:before="60" w:after="60"/>
              <w:jc w:val="center"/>
              <w:rPr>
                <w:rFonts w:cs="Arial"/>
                <w:i/>
                <w:szCs w:val="18"/>
              </w:rPr>
            </w:pPr>
          </w:p>
        </w:tc>
        <w:tc>
          <w:tcPr>
            <w:tcW w:w="1652" w:type="pct"/>
          </w:tcPr>
          <w:p w14:paraId="02A01649" w14:textId="4AACE58D"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 xml:space="preserve">Default: </w:t>
            </w:r>
            <w:r w:rsidRPr="001570EA">
              <w:rPr>
                <w:szCs w:val="18"/>
              </w:rPr>
              <w:t xml:space="preserve">see </w:t>
            </w:r>
            <w:r w:rsidRPr="001570EA">
              <w:rPr>
                <w:szCs w:val="18"/>
              </w:rPr>
              <w:fldChar w:fldCharType="begin"/>
            </w:r>
            <w:r w:rsidRPr="001570EA">
              <w:rPr>
                <w:szCs w:val="18"/>
              </w:rPr>
              <w:instrText xml:space="preserve"> REF _Ref531779526 \h  \* MERGEFORMAT </w:instrText>
            </w:r>
            <w:r w:rsidRPr="001570EA">
              <w:rPr>
                <w:szCs w:val="18"/>
              </w:rPr>
            </w:r>
            <w:r w:rsidRPr="001570EA">
              <w:rPr>
                <w:szCs w:val="18"/>
              </w:rPr>
              <w:fldChar w:fldCharType="separate"/>
            </w:r>
            <w:r w:rsidR="00384D95" w:rsidRPr="001570EA">
              <w:rPr>
                <w:szCs w:val="18"/>
              </w:rPr>
              <w:t>Table 2</w:t>
            </w:r>
            <w:r w:rsidR="00384D95" w:rsidRPr="001570EA">
              <w:rPr>
                <w:szCs w:val="18"/>
              </w:rPr>
              <w:noBreakHyphen/>
              <w:t>10</w:t>
            </w:r>
            <w:r w:rsidRPr="001570EA">
              <w:rPr>
                <w:szCs w:val="18"/>
              </w:rPr>
              <w:fldChar w:fldCharType="end"/>
            </w:r>
          </w:p>
        </w:tc>
        <w:tc>
          <w:tcPr>
            <w:tcW w:w="964" w:type="pct"/>
            <w:vAlign w:val="center"/>
          </w:tcPr>
          <w:p w14:paraId="5283A930"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3</w:t>
            </w:r>
          </w:p>
        </w:tc>
      </w:tr>
      <w:tr w:rsidR="007376E1" w:rsidRPr="001570EA" w14:paraId="2884B313" w14:textId="77777777">
        <w:trPr>
          <w:trHeight w:val="20"/>
        </w:trPr>
        <w:tc>
          <w:tcPr>
            <w:tcW w:w="1297" w:type="pct"/>
            <w:vMerge w:val="restart"/>
            <w:vAlign w:val="center"/>
          </w:tcPr>
          <w:p w14:paraId="0070CD99" w14:textId="77777777" w:rsidR="007376E1" w:rsidRPr="001570EA" w:rsidRDefault="007376E1">
            <w:pPr>
              <w:pStyle w:val="TableCell"/>
              <w:keepNext w:val="0"/>
              <w:spacing w:before="60" w:after="60"/>
              <w:jc w:val="left"/>
              <w:rPr>
                <w:rFonts w:eastAsia="Calibri" w:cs="Arial"/>
                <w:szCs w:val="18"/>
              </w:rPr>
            </w:pPr>
            <w:r w:rsidRPr="001570EA">
              <w:rPr>
                <w:rFonts w:eastAsia="Calibri" w:cs="Arial"/>
                <w:i/>
                <w:szCs w:val="18"/>
              </w:rPr>
              <w:t>HSPF2</w:t>
            </w:r>
            <w:r w:rsidRPr="001570EA">
              <w:rPr>
                <w:rFonts w:eastAsia="Calibri" w:cs="Arial"/>
                <w:szCs w:val="18"/>
              </w:rPr>
              <w:t xml:space="preserve">, </w:t>
            </w:r>
            <w:r w:rsidRPr="001570EA">
              <w:rPr>
                <w:rFonts w:eastAsia="Calibri" w:cs="Arial"/>
                <w:i/>
                <w:iCs/>
                <w:szCs w:val="18"/>
              </w:rPr>
              <w:t>HSPF</w:t>
            </w:r>
            <w:r w:rsidRPr="001570EA">
              <w:rPr>
                <w:rFonts w:eastAsia="Calibri" w:cs="Arial"/>
                <w:szCs w:val="18"/>
              </w:rPr>
              <w:t xml:space="preserve">, </w:t>
            </w:r>
            <w:r w:rsidRPr="001570EA">
              <w:t xml:space="preserve">Heating Seasonal Performance Factor </w:t>
            </w:r>
          </w:p>
        </w:tc>
        <w:tc>
          <w:tcPr>
            <w:tcW w:w="1087" w:type="pct"/>
            <w:vMerge w:val="restart"/>
            <w:vAlign w:val="center"/>
          </w:tcPr>
          <w:p w14:paraId="028C2959" w14:textId="77777777" w:rsidR="007376E1" w:rsidRPr="001570EA" w:rsidRDefault="003B5E04">
            <w:pPr>
              <w:pStyle w:val="TableCell"/>
              <w:keepNext w:val="0"/>
              <w:spacing w:before="60" w:after="60"/>
              <w:jc w:val="center"/>
              <w:rPr>
                <w:rFonts w:cs="Arial"/>
                <w:i/>
                <w:szCs w:val="18"/>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652" w:type="pct"/>
          </w:tcPr>
          <w:p w14:paraId="561AE8BD" w14:textId="77777777" w:rsidR="007376E1" w:rsidRPr="001570EA" w:rsidRDefault="007376E1">
            <w:pPr>
              <w:pStyle w:val="TableCell"/>
              <w:keepNext w:val="0"/>
              <w:spacing w:before="60" w:after="60"/>
              <w:jc w:val="center"/>
            </w:pPr>
            <w:r w:rsidRPr="001570EA">
              <w:t>EDC Data Gathering of</w:t>
            </w:r>
          </w:p>
          <w:p w14:paraId="615F82D8"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Nameplate data</w:t>
            </w:r>
          </w:p>
        </w:tc>
        <w:tc>
          <w:tcPr>
            <w:tcW w:w="964" w:type="pct"/>
          </w:tcPr>
          <w:p w14:paraId="282B8471"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EDC Data Gathering</w:t>
            </w:r>
          </w:p>
        </w:tc>
      </w:tr>
      <w:tr w:rsidR="007376E1" w:rsidRPr="001570EA" w14:paraId="159A0758" w14:textId="77777777">
        <w:trPr>
          <w:trHeight w:val="20"/>
        </w:trPr>
        <w:tc>
          <w:tcPr>
            <w:tcW w:w="1297" w:type="pct"/>
            <w:vMerge/>
          </w:tcPr>
          <w:p w14:paraId="05D6B972" w14:textId="77777777" w:rsidR="007376E1" w:rsidRPr="001570EA" w:rsidRDefault="007376E1">
            <w:pPr>
              <w:pStyle w:val="TableCell"/>
              <w:keepNext w:val="0"/>
              <w:spacing w:before="60" w:after="60"/>
              <w:jc w:val="left"/>
              <w:rPr>
                <w:rFonts w:eastAsia="Calibri" w:cs="Arial"/>
                <w:szCs w:val="18"/>
              </w:rPr>
            </w:pPr>
          </w:p>
        </w:tc>
        <w:tc>
          <w:tcPr>
            <w:tcW w:w="1087" w:type="pct"/>
            <w:vMerge/>
            <w:vAlign w:val="center"/>
          </w:tcPr>
          <w:p w14:paraId="19950037" w14:textId="77777777" w:rsidR="007376E1" w:rsidRPr="001570EA" w:rsidRDefault="007376E1">
            <w:pPr>
              <w:pStyle w:val="TableCell"/>
              <w:keepNext w:val="0"/>
              <w:spacing w:before="60" w:after="60"/>
              <w:jc w:val="center"/>
              <w:rPr>
                <w:rFonts w:cs="Arial"/>
                <w:i/>
                <w:szCs w:val="18"/>
              </w:rPr>
            </w:pPr>
          </w:p>
        </w:tc>
        <w:tc>
          <w:tcPr>
            <w:tcW w:w="1652" w:type="pct"/>
          </w:tcPr>
          <w:p w14:paraId="0436017F" w14:textId="34223DCB"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 xml:space="preserve">Default = </w:t>
            </w:r>
            <w:r w:rsidRPr="001570EA">
              <w:rPr>
                <w:szCs w:val="18"/>
              </w:rPr>
              <w:t xml:space="preserve">see </w:t>
            </w:r>
            <w:r w:rsidRPr="001570EA">
              <w:rPr>
                <w:szCs w:val="18"/>
              </w:rPr>
              <w:fldChar w:fldCharType="begin"/>
            </w:r>
            <w:r w:rsidRPr="001570EA">
              <w:rPr>
                <w:szCs w:val="18"/>
              </w:rPr>
              <w:instrText xml:space="preserve"> REF _Ref531779526 \h  \* MERGEFORMAT </w:instrText>
            </w:r>
            <w:r w:rsidRPr="001570EA">
              <w:rPr>
                <w:szCs w:val="18"/>
              </w:rPr>
            </w:r>
            <w:r w:rsidRPr="001570EA">
              <w:rPr>
                <w:szCs w:val="18"/>
              </w:rPr>
              <w:fldChar w:fldCharType="separate"/>
            </w:r>
            <w:r w:rsidR="00384D95" w:rsidRPr="001570EA">
              <w:rPr>
                <w:szCs w:val="18"/>
              </w:rPr>
              <w:t>Table 2</w:t>
            </w:r>
            <w:r w:rsidR="00384D95" w:rsidRPr="001570EA">
              <w:rPr>
                <w:szCs w:val="18"/>
              </w:rPr>
              <w:noBreakHyphen/>
              <w:t>10</w:t>
            </w:r>
            <w:r w:rsidRPr="001570EA">
              <w:rPr>
                <w:szCs w:val="18"/>
              </w:rPr>
              <w:fldChar w:fldCharType="end"/>
            </w:r>
          </w:p>
        </w:tc>
        <w:tc>
          <w:tcPr>
            <w:tcW w:w="964" w:type="pct"/>
            <w:vAlign w:val="center"/>
          </w:tcPr>
          <w:p w14:paraId="26E40B80"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3</w:t>
            </w:r>
          </w:p>
        </w:tc>
      </w:tr>
      <w:tr w:rsidR="007376E1" w:rsidRPr="001570EA" w14:paraId="0E7AA48D" w14:textId="77777777">
        <w:trPr>
          <w:trHeight w:val="20"/>
        </w:trPr>
        <w:tc>
          <w:tcPr>
            <w:tcW w:w="1297" w:type="pct"/>
          </w:tcPr>
          <w:p w14:paraId="51186647" w14:textId="77777777" w:rsidR="007376E1" w:rsidRPr="001570EA" w:rsidRDefault="007376E1">
            <w:pPr>
              <w:pStyle w:val="TableCell"/>
              <w:keepNext w:val="0"/>
              <w:spacing w:before="60" w:after="60"/>
              <w:jc w:val="left"/>
              <w:rPr>
                <w:rFonts w:eastAsia="Calibri" w:cs="Arial"/>
                <w:i/>
                <w:szCs w:val="18"/>
              </w:rPr>
            </w:pPr>
            <w:r w:rsidRPr="001570EA">
              <w:rPr>
                <w:rFonts w:eastAsia="Calibri" w:cs="Arial"/>
                <w:i/>
                <w:szCs w:val="18"/>
              </w:rPr>
              <w:t>Eff</w:t>
            </w:r>
            <w:r w:rsidRPr="001570EA">
              <w:rPr>
                <w:rFonts w:eastAsia="Calibri" w:cs="Arial"/>
                <w:i/>
                <w:szCs w:val="18"/>
                <w:vertAlign w:val="subscript"/>
              </w:rPr>
              <w:t>duct</w:t>
            </w:r>
            <w:r w:rsidRPr="001570EA">
              <w:rPr>
                <w:rFonts w:eastAsia="Calibri" w:cs="Arial"/>
                <w:szCs w:val="18"/>
              </w:rPr>
              <w:t>, Duct System Efficiency</w:t>
            </w:r>
          </w:p>
        </w:tc>
        <w:tc>
          <w:tcPr>
            <w:tcW w:w="1087" w:type="pct"/>
            <w:vAlign w:val="center"/>
          </w:tcPr>
          <w:p w14:paraId="30188B2F" w14:textId="77777777" w:rsidR="007376E1" w:rsidRPr="001570EA" w:rsidRDefault="007376E1">
            <w:pPr>
              <w:pStyle w:val="TableCell"/>
              <w:keepNext w:val="0"/>
              <w:spacing w:before="60" w:after="60"/>
              <w:jc w:val="center"/>
              <w:rPr>
                <w:rFonts w:eastAsia="Calibri" w:cs="Arial"/>
                <w:i/>
                <w:szCs w:val="18"/>
              </w:rPr>
            </w:pPr>
            <w:r w:rsidRPr="001570EA">
              <w:rPr>
                <w:rFonts w:eastAsia="Calibri" w:cs="Arial"/>
                <w:i/>
                <w:szCs w:val="18"/>
              </w:rPr>
              <w:t>None</w:t>
            </w:r>
          </w:p>
        </w:tc>
        <w:tc>
          <w:tcPr>
            <w:tcW w:w="1652" w:type="pct"/>
            <w:vAlign w:val="center"/>
          </w:tcPr>
          <w:p w14:paraId="38A0584D"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0.83</w:t>
            </w:r>
          </w:p>
        </w:tc>
        <w:tc>
          <w:tcPr>
            <w:tcW w:w="964" w:type="pct"/>
            <w:vAlign w:val="center"/>
          </w:tcPr>
          <w:p w14:paraId="7A684DB9"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4</w:t>
            </w:r>
          </w:p>
        </w:tc>
      </w:tr>
      <w:tr w:rsidR="007376E1" w:rsidRPr="001570EA" w14:paraId="07B19143" w14:textId="77777777">
        <w:trPr>
          <w:trHeight w:val="20"/>
        </w:trPr>
        <w:tc>
          <w:tcPr>
            <w:tcW w:w="1297" w:type="pct"/>
          </w:tcPr>
          <w:p w14:paraId="12076FE5" w14:textId="77777777" w:rsidR="007376E1" w:rsidRPr="001570EA" w:rsidRDefault="007376E1">
            <w:pPr>
              <w:pStyle w:val="TableCell"/>
              <w:keepNext w:val="0"/>
              <w:spacing w:before="60" w:after="60"/>
              <w:jc w:val="left"/>
              <w:rPr>
                <w:rFonts w:eastAsia="Calibri" w:cs="Arial"/>
                <w:szCs w:val="18"/>
              </w:rPr>
            </w:pPr>
            <w:r w:rsidRPr="001570EA">
              <w:rPr>
                <w:rFonts w:eastAsia="Calibri" w:cs="Arial"/>
                <w:i/>
                <w:szCs w:val="18"/>
              </w:rPr>
              <w:t>EFLH</w:t>
            </w:r>
            <w:r w:rsidRPr="001570EA">
              <w:rPr>
                <w:rFonts w:eastAsia="Calibri" w:cs="Arial"/>
                <w:i/>
                <w:szCs w:val="18"/>
                <w:vertAlign w:val="subscript"/>
              </w:rPr>
              <w:t>cool</w:t>
            </w:r>
            <w:r w:rsidRPr="001570EA">
              <w:rPr>
                <w:rFonts w:eastAsia="Calibri" w:cs="Arial"/>
                <w:szCs w:val="18"/>
              </w:rPr>
              <w:t>, Equivalent Full Load Hours for Cooling</w:t>
            </w:r>
          </w:p>
        </w:tc>
        <w:tc>
          <w:tcPr>
            <w:tcW w:w="1087" w:type="pct"/>
            <w:vAlign w:val="center"/>
          </w:tcPr>
          <w:p w14:paraId="425C6049" w14:textId="77777777" w:rsidR="007376E1" w:rsidRPr="001570EA" w:rsidRDefault="003B5E04">
            <w:pPr>
              <w:pStyle w:val="TableCell"/>
              <w:keepNext w:val="0"/>
              <w:spacing w:before="60" w:after="60"/>
              <w:jc w:val="center"/>
              <w:rPr>
                <w:rFonts w:eastAsia="Calibri" w:cs="Arial"/>
                <w:i/>
                <w:szCs w:val="18"/>
              </w:rPr>
            </w:pPr>
            <m:oMathPara>
              <m:oMath>
                <m:f>
                  <m:fPr>
                    <m:ctrlPr>
                      <w:rPr>
                        <w:rFonts w:ascii="Cambria Math" w:eastAsia="Calibri" w:hAnsi="Cambria Math" w:cs="Arial"/>
                        <w:i/>
                        <w:szCs w:val="18"/>
                      </w:rPr>
                    </m:ctrlPr>
                  </m:fPr>
                  <m:num>
                    <m:r>
                      <w:rPr>
                        <w:rFonts w:ascii="Cambria Math" w:eastAsia="Calibri" w:hAnsi="Cambria Math" w:cs="Arial"/>
                        <w:szCs w:val="18"/>
                      </w:rPr>
                      <m:t>hours</m:t>
                    </m:r>
                  </m:num>
                  <m:den>
                    <m:r>
                      <w:rPr>
                        <w:rFonts w:ascii="Cambria Math" w:eastAsia="Calibri" w:hAnsi="Cambria Math" w:cs="Arial"/>
                        <w:szCs w:val="18"/>
                      </w:rPr>
                      <m:t>yr</m:t>
                    </m:r>
                  </m:den>
                </m:f>
              </m:oMath>
            </m:oMathPara>
          </w:p>
        </w:tc>
        <w:tc>
          <w:tcPr>
            <w:tcW w:w="1652" w:type="pct"/>
            <w:vAlign w:val="center"/>
          </w:tcPr>
          <w:p w14:paraId="6CE69DEB" w14:textId="77777777" w:rsidR="007376E1" w:rsidRPr="001570EA" w:rsidRDefault="007376E1">
            <w:pPr>
              <w:pStyle w:val="TableCell"/>
              <w:keepNext w:val="0"/>
              <w:spacing w:before="60" w:after="60"/>
              <w:jc w:val="center"/>
              <w:rPr>
                <w:rFonts w:eastAsia="Calibri" w:cs="Arial"/>
                <w:szCs w:val="18"/>
              </w:rPr>
            </w:pPr>
            <w:r w:rsidRPr="001570EA">
              <w:rPr>
                <w:rFonts w:eastAsia="Calibri"/>
              </w:rPr>
              <w:t xml:space="preserve">See </w:t>
            </w:r>
            <w:r w:rsidRPr="001570EA">
              <w:rPr>
                <w:rFonts w:eastAsia="Calibri"/>
                <w:i/>
              </w:rPr>
              <w:t>EFLH</w:t>
            </w:r>
            <w:r w:rsidRPr="001570EA">
              <w:rPr>
                <w:rFonts w:eastAsia="Calibri"/>
                <w:i/>
                <w:vertAlign w:val="subscript"/>
              </w:rPr>
              <w:t>cool</w:t>
            </w:r>
            <w:r w:rsidRPr="001570EA">
              <w:rPr>
                <w:rFonts w:eastAsia="Calibri"/>
              </w:rPr>
              <w:t xml:space="preserve"> in Vol. 1, App. A</w:t>
            </w:r>
          </w:p>
        </w:tc>
        <w:tc>
          <w:tcPr>
            <w:tcW w:w="964" w:type="pct"/>
            <w:vAlign w:val="center"/>
          </w:tcPr>
          <w:p w14:paraId="6645328F"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5</w:t>
            </w:r>
          </w:p>
        </w:tc>
      </w:tr>
      <w:tr w:rsidR="007376E1" w:rsidRPr="001570EA" w14:paraId="354469B8" w14:textId="77777777">
        <w:trPr>
          <w:trHeight w:val="20"/>
        </w:trPr>
        <w:tc>
          <w:tcPr>
            <w:tcW w:w="1297" w:type="pct"/>
          </w:tcPr>
          <w:p w14:paraId="421E6DBD" w14:textId="77777777" w:rsidR="007376E1" w:rsidRPr="001570EA" w:rsidRDefault="007376E1">
            <w:pPr>
              <w:pStyle w:val="TableCell"/>
              <w:keepNext w:val="0"/>
              <w:spacing w:before="60" w:after="60"/>
              <w:jc w:val="left"/>
              <w:rPr>
                <w:rFonts w:eastAsia="Calibri" w:cs="Arial"/>
                <w:i/>
                <w:szCs w:val="18"/>
              </w:rPr>
            </w:pPr>
            <w:r w:rsidRPr="001570EA">
              <w:rPr>
                <w:rFonts w:eastAsia="Calibri" w:cs="Arial"/>
                <w:i/>
                <w:szCs w:val="18"/>
              </w:rPr>
              <w:t>EFLH</w:t>
            </w:r>
            <w:r w:rsidRPr="001570EA">
              <w:rPr>
                <w:rFonts w:eastAsia="Calibri" w:cs="Arial"/>
                <w:i/>
                <w:szCs w:val="18"/>
                <w:vertAlign w:val="subscript"/>
              </w:rPr>
              <w:t>heat,HP</w:t>
            </w:r>
            <w:r w:rsidRPr="001570EA">
              <w:rPr>
                <w:rFonts w:eastAsia="Calibri" w:cs="Arial"/>
                <w:szCs w:val="18"/>
              </w:rPr>
              <w:t>, Equivalent Full Load Hours for ASHP Systems</w:t>
            </w:r>
          </w:p>
        </w:tc>
        <w:tc>
          <w:tcPr>
            <w:tcW w:w="1087" w:type="pct"/>
            <w:vAlign w:val="center"/>
          </w:tcPr>
          <w:p w14:paraId="2464C08E" w14:textId="77777777" w:rsidR="007376E1" w:rsidRPr="001570EA" w:rsidRDefault="003B5E04">
            <w:pPr>
              <w:pStyle w:val="TableCell"/>
              <w:keepNext w:val="0"/>
              <w:spacing w:before="60" w:after="60"/>
              <w:jc w:val="center"/>
              <w:rPr>
                <w:rFonts w:eastAsia="Calibri" w:cs="Arial"/>
                <w:szCs w:val="18"/>
              </w:rPr>
            </w:pPr>
            <m:oMathPara>
              <m:oMath>
                <m:f>
                  <m:fPr>
                    <m:ctrlPr>
                      <w:rPr>
                        <w:rFonts w:ascii="Cambria Math" w:eastAsia="Calibri" w:hAnsi="Cambria Math" w:cs="Arial"/>
                        <w:i/>
                        <w:szCs w:val="18"/>
                      </w:rPr>
                    </m:ctrlPr>
                  </m:fPr>
                  <m:num>
                    <m:r>
                      <w:rPr>
                        <w:rFonts w:ascii="Cambria Math" w:eastAsia="Calibri" w:hAnsi="Cambria Math" w:cs="Arial"/>
                        <w:szCs w:val="18"/>
                      </w:rPr>
                      <m:t>hours</m:t>
                    </m:r>
                  </m:num>
                  <m:den>
                    <m:r>
                      <w:rPr>
                        <w:rFonts w:ascii="Cambria Math" w:eastAsia="Calibri" w:hAnsi="Cambria Math" w:cs="Arial"/>
                        <w:szCs w:val="18"/>
                      </w:rPr>
                      <m:t>yr</m:t>
                    </m:r>
                  </m:den>
                </m:f>
              </m:oMath>
            </m:oMathPara>
          </w:p>
        </w:tc>
        <w:tc>
          <w:tcPr>
            <w:tcW w:w="1652" w:type="pct"/>
            <w:vAlign w:val="center"/>
          </w:tcPr>
          <w:p w14:paraId="483BD9B5" w14:textId="77777777" w:rsidR="007376E1" w:rsidRPr="001570EA" w:rsidRDefault="007376E1">
            <w:pPr>
              <w:pStyle w:val="TableCell"/>
              <w:keepNext w:val="0"/>
              <w:spacing w:before="60" w:after="60"/>
              <w:jc w:val="center"/>
              <w:rPr>
                <w:rFonts w:eastAsia="Calibri" w:cs="Arial"/>
                <w:szCs w:val="18"/>
              </w:rPr>
            </w:pPr>
            <w:r w:rsidRPr="001570EA">
              <w:rPr>
                <w:rFonts w:eastAsia="Calibri"/>
              </w:rPr>
              <w:t xml:space="preserve">See </w:t>
            </w:r>
            <w:r w:rsidRPr="001570EA">
              <w:rPr>
                <w:rFonts w:eastAsia="Calibri"/>
                <w:i/>
              </w:rPr>
              <w:t>EFLH</w:t>
            </w:r>
            <w:r w:rsidRPr="001570EA">
              <w:rPr>
                <w:rFonts w:eastAsia="Calibri"/>
                <w:i/>
                <w:vertAlign w:val="subscript"/>
              </w:rPr>
              <w:t>heat,HP</w:t>
            </w:r>
            <w:r w:rsidRPr="001570EA">
              <w:rPr>
                <w:rFonts w:eastAsia="Calibri"/>
              </w:rPr>
              <w:t xml:space="preserve"> in Vol. 1, App. A</w:t>
            </w:r>
          </w:p>
        </w:tc>
        <w:tc>
          <w:tcPr>
            <w:tcW w:w="964" w:type="pct"/>
            <w:vAlign w:val="center"/>
          </w:tcPr>
          <w:p w14:paraId="3B1BD197"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5</w:t>
            </w:r>
          </w:p>
        </w:tc>
      </w:tr>
      <w:tr w:rsidR="007376E1" w:rsidRPr="001570EA" w14:paraId="399BBB6B" w14:textId="77777777">
        <w:trPr>
          <w:trHeight w:val="20"/>
        </w:trPr>
        <w:tc>
          <w:tcPr>
            <w:tcW w:w="1297" w:type="pct"/>
          </w:tcPr>
          <w:p w14:paraId="1C9885D9" w14:textId="343CD4B0" w:rsidR="007376E1" w:rsidRPr="001570EA" w:rsidRDefault="007376E1">
            <w:pPr>
              <w:pStyle w:val="TableCell"/>
              <w:keepNext w:val="0"/>
              <w:spacing w:before="60" w:after="60"/>
              <w:jc w:val="left"/>
              <w:rPr>
                <w:rFonts w:eastAsia="Calibri" w:cs="Arial"/>
                <w:i/>
                <w:szCs w:val="18"/>
              </w:rPr>
            </w:pPr>
            <w:r w:rsidRPr="001570EA">
              <w:rPr>
                <w:rFonts w:eastAsia="Calibri" w:cs="Arial"/>
                <w:i/>
                <w:szCs w:val="18"/>
              </w:rPr>
              <w:t>EFLH</w:t>
            </w:r>
            <w:r w:rsidRPr="001570EA">
              <w:rPr>
                <w:rFonts w:eastAsia="Calibri" w:cs="Arial"/>
                <w:i/>
                <w:szCs w:val="18"/>
                <w:vertAlign w:val="subscript"/>
              </w:rPr>
              <w:t>heat,non-HP</w:t>
            </w:r>
            <w:r w:rsidR="00083176" w:rsidRPr="001570EA">
              <w:rPr>
                <w:rFonts w:eastAsia="Calibri" w:cs="Arial"/>
                <w:szCs w:val="18"/>
              </w:rPr>
              <w:t>,</w:t>
            </w:r>
            <w:r w:rsidRPr="001570EA">
              <w:rPr>
                <w:rFonts w:eastAsia="Calibri" w:cs="Arial"/>
                <w:szCs w:val="18"/>
              </w:rPr>
              <w:t xml:space="preserve"> Equivalent Full Load Hours for Electric or Gas Furnaces</w:t>
            </w:r>
          </w:p>
        </w:tc>
        <w:tc>
          <w:tcPr>
            <w:tcW w:w="1087" w:type="pct"/>
            <w:vAlign w:val="center"/>
          </w:tcPr>
          <w:p w14:paraId="22538CAF" w14:textId="77777777" w:rsidR="007376E1" w:rsidRPr="001570EA" w:rsidRDefault="003B5E04">
            <w:pPr>
              <w:pStyle w:val="TableCell"/>
              <w:keepNext w:val="0"/>
              <w:spacing w:before="60" w:after="60"/>
              <w:jc w:val="center"/>
              <w:rPr>
                <w:rFonts w:eastAsia="Calibri" w:cs="Arial"/>
                <w:i/>
                <w:szCs w:val="18"/>
              </w:rPr>
            </w:pPr>
            <m:oMathPara>
              <m:oMath>
                <m:f>
                  <m:fPr>
                    <m:ctrlPr>
                      <w:rPr>
                        <w:rFonts w:ascii="Cambria Math" w:eastAsia="Calibri" w:hAnsi="Cambria Math" w:cs="Arial"/>
                        <w:i/>
                        <w:szCs w:val="18"/>
                      </w:rPr>
                    </m:ctrlPr>
                  </m:fPr>
                  <m:num>
                    <m:r>
                      <w:rPr>
                        <w:rFonts w:ascii="Cambria Math" w:eastAsia="Calibri" w:hAnsi="Cambria Math" w:cs="Arial"/>
                        <w:szCs w:val="18"/>
                      </w:rPr>
                      <m:t>hours</m:t>
                    </m:r>
                  </m:num>
                  <m:den>
                    <m:r>
                      <w:rPr>
                        <w:rFonts w:ascii="Cambria Math" w:eastAsia="Calibri" w:hAnsi="Cambria Math" w:cs="Arial"/>
                        <w:szCs w:val="18"/>
                      </w:rPr>
                      <m:t>yr</m:t>
                    </m:r>
                  </m:den>
                </m:f>
              </m:oMath>
            </m:oMathPara>
          </w:p>
        </w:tc>
        <w:tc>
          <w:tcPr>
            <w:tcW w:w="1652" w:type="pct"/>
            <w:vAlign w:val="center"/>
          </w:tcPr>
          <w:p w14:paraId="7A48C78C" w14:textId="77777777" w:rsidR="007376E1" w:rsidRPr="001570EA" w:rsidRDefault="007376E1">
            <w:pPr>
              <w:pStyle w:val="TableCell"/>
              <w:keepNext w:val="0"/>
              <w:spacing w:before="60" w:after="60"/>
              <w:jc w:val="center"/>
              <w:rPr>
                <w:rFonts w:eastAsia="Calibri" w:cs="Arial"/>
                <w:szCs w:val="18"/>
              </w:rPr>
            </w:pPr>
            <w:r w:rsidRPr="001570EA">
              <w:rPr>
                <w:rFonts w:eastAsia="Calibri"/>
              </w:rPr>
              <w:t xml:space="preserve">See </w:t>
            </w:r>
            <w:r w:rsidRPr="001570EA">
              <w:rPr>
                <w:rFonts w:eastAsia="Calibri"/>
                <w:i/>
              </w:rPr>
              <w:t>EFLH</w:t>
            </w:r>
            <w:r w:rsidRPr="001570EA">
              <w:rPr>
                <w:rFonts w:eastAsia="Calibri"/>
                <w:i/>
                <w:vertAlign w:val="subscript"/>
              </w:rPr>
              <w:t>heat,non-HP</w:t>
            </w:r>
            <w:r w:rsidRPr="001570EA">
              <w:rPr>
                <w:rFonts w:eastAsia="Calibri"/>
              </w:rPr>
              <w:t xml:space="preserve"> in Vol. 1, App. A</w:t>
            </w:r>
          </w:p>
        </w:tc>
        <w:tc>
          <w:tcPr>
            <w:tcW w:w="964" w:type="pct"/>
            <w:vAlign w:val="center"/>
          </w:tcPr>
          <w:p w14:paraId="551C4BFB" w14:textId="77777777" w:rsidR="007376E1" w:rsidRPr="001570EA" w:rsidRDefault="007376E1">
            <w:pPr>
              <w:pStyle w:val="TableCell"/>
              <w:keepNext w:val="0"/>
              <w:spacing w:before="60" w:after="60"/>
              <w:jc w:val="center"/>
              <w:rPr>
                <w:rFonts w:eastAsia="Calibri" w:cs="Arial"/>
                <w:szCs w:val="18"/>
              </w:rPr>
            </w:pPr>
            <w:r w:rsidRPr="001570EA">
              <w:rPr>
                <w:rFonts w:eastAsia="Calibri" w:cs="Arial"/>
                <w:szCs w:val="18"/>
              </w:rPr>
              <w:t>5</w:t>
            </w:r>
          </w:p>
        </w:tc>
      </w:tr>
      <w:tr w:rsidR="007376E1" w:rsidRPr="001570EA" w14:paraId="46E0BA1A" w14:textId="77777777">
        <w:trPr>
          <w:trHeight w:val="503"/>
        </w:trPr>
        <w:tc>
          <w:tcPr>
            <w:tcW w:w="1297" w:type="pct"/>
            <w:vMerge w:val="restart"/>
            <w:vAlign w:val="center"/>
          </w:tcPr>
          <w:p w14:paraId="2671CC8B" w14:textId="77777777" w:rsidR="007376E1" w:rsidRPr="001570EA" w:rsidRDefault="007376E1">
            <w:pPr>
              <w:pStyle w:val="TableCell"/>
              <w:keepNext w:val="0"/>
              <w:spacing w:before="60" w:after="60"/>
              <w:jc w:val="left"/>
              <w:rPr>
                <w:rFonts w:eastAsia="Calibri" w:cs="Arial"/>
                <w:szCs w:val="18"/>
              </w:rPr>
            </w:pPr>
            <w:r w:rsidRPr="001570EA">
              <w:rPr>
                <w:i/>
                <w:szCs w:val="18"/>
              </w:rPr>
              <w:t>HP</w:t>
            </w:r>
            <w:r w:rsidRPr="001570EA">
              <w:rPr>
                <w:i/>
                <w:szCs w:val="18"/>
                <w:vertAlign w:val="subscript"/>
              </w:rPr>
              <w:t>motor</w:t>
            </w:r>
            <w:r w:rsidRPr="001570EA">
              <w:rPr>
                <w:szCs w:val="18"/>
              </w:rPr>
              <w:t xml:space="preserve">, </w:t>
            </w:r>
            <w:r w:rsidRPr="001570EA">
              <w:rPr>
                <w:rFonts w:cs="Arial"/>
                <w:szCs w:val="18"/>
              </w:rPr>
              <w:t>Gas furnace blower motor horsepower</w:t>
            </w:r>
          </w:p>
        </w:tc>
        <w:tc>
          <w:tcPr>
            <w:tcW w:w="1087" w:type="pct"/>
            <w:vMerge w:val="restart"/>
            <w:vAlign w:val="center"/>
          </w:tcPr>
          <w:p w14:paraId="76C0ADB6" w14:textId="77777777" w:rsidR="007376E1" w:rsidRPr="001570EA" w:rsidRDefault="007376E1">
            <w:pPr>
              <w:pStyle w:val="TableCell"/>
              <w:keepNext w:val="0"/>
              <w:spacing w:before="60" w:after="60"/>
              <w:jc w:val="center"/>
              <w:rPr>
                <w:rFonts w:eastAsia="Calibri" w:cs="Arial"/>
                <w:szCs w:val="18"/>
              </w:rPr>
            </w:pPr>
            <w:r w:rsidRPr="001570EA">
              <w:rPr>
                <w:i/>
                <w:szCs w:val="18"/>
              </w:rPr>
              <w:t>HP</w:t>
            </w:r>
          </w:p>
        </w:tc>
        <w:tc>
          <w:tcPr>
            <w:tcW w:w="1652" w:type="pct"/>
            <w:vAlign w:val="center"/>
          </w:tcPr>
          <w:p w14:paraId="58D50851" w14:textId="77777777" w:rsidR="007376E1" w:rsidRPr="001570EA" w:rsidRDefault="007376E1">
            <w:pPr>
              <w:pStyle w:val="TableCell"/>
              <w:keepNext w:val="0"/>
              <w:spacing w:before="0" w:after="40"/>
              <w:jc w:val="center"/>
              <w:rPr>
                <w:szCs w:val="18"/>
              </w:rPr>
            </w:pPr>
            <w:r w:rsidRPr="001570EA">
              <w:rPr>
                <w:szCs w:val="18"/>
              </w:rPr>
              <w:t>EDC Data Gathering</w:t>
            </w:r>
          </w:p>
          <w:p w14:paraId="7FACE629" w14:textId="77777777" w:rsidR="007376E1" w:rsidRPr="001570EA" w:rsidRDefault="007376E1">
            <w:pPr>
              <w:pStyle w:val="TableCell"/>
              <w:keepNext w:val="0"/>
              <w:spacing w:before="60" w:after="60"/>
              <w:jc w:val="center"/>
            </w:pPr>
            <w:r w:rsidRPr="001570EA">
              <w:rPr>
                <w:szCs w:val="18"/>
              </w:rPr>
              <w:t>Default = ½</w:t>
            </w:r>
          </w:p>
        </w:tc>
        <w:tc>
          <w:tcPr>
            <w:tcW w:w="964" w:type="pct"/>
            <w:vAlign w:val="center"/>
          </w:tcPr>
          <w:p w14:paraId="2706B1D3" w14:textId="77777777" w:rsidR="007376E1" w:rsidRPr="001570EA" w:rsidRDefault="007376E1">
            <w:pPr>
              <w:pStyle w:val="TableCell"/>
              <w:keepNext w:val="0"/>
              <w:spacing w:before="60" w:after="60"/>
              <w:jc w:val="center"/>
              <w:rPr>
                <w:rFonts w:eastAsia="Calibri" w:cs="Arial"/>
                <w:szCs w:val="18"/>
              </w:rPr>
            </w:pPr>
            <w:r w:rsidRPr="001570EA">
              <w:rPr>
                <w:szCs w:val="18"/>
              </w:rPr>
              <w:t>Average blower motor capacity for gas furnace (typical range = ¼ hp to ¾ hp)</w:t>
            </w:r>
          </w:p>
        </w:tc>
      </w:tr>
      <w:tr w:rsidR="007376E1" w:rsidRPr="001570EA" w14:paraId="496798E0" w14:textId="77777777">
        <w:trPr>
          <w:trHeight w:val="502"/>
        </w:trPr>
        <w:tc>
          <w:tcPr>
            <w:tcW w:w="1297" w:type="pct"/>
            <w:vMerge/>
            <w:vAlign w:val="center"/>
          </w:tcPr>
          <w:p w14:paraId="3650581B" w14:textId="77777777" w:rsidR="007376E1" w:rsidRPr="001570EA" w:rsidRDefault="007376E1">
            <w:pPr>
              <w:pStyle w:val="TableCell"/>
              <w:keepNext w:val="0"/>
              <w:spacing w:before="60" w:after="60"/>
              <w:jc w:val="left"/>
              <w:rPr>
                <w:i/>
                <w:szCs w:val="18"/>
              </w:rPr>
            </w:pPr>
          </w:p>
        </w:tc>
        <w:tc>
          <w:tcPr>
            <w:tcW w:w="1087" w:type="pct"/>
            <w:vMerge/>
            <w:vAlign w:val="center"/>
          </w:tcPr>
          <w:p w14:paraId="4350C36C" w14:textId="77777777" w:rsidR="007376E1" w:rsidRPr="001570EA" w:rsidRDefault="007376E1">
            <w:pPr>
              <w:pStyle w:val="TableCell"/>
              <w:keepNext w:val="0"/>
              <w:spacing w:before="60" w:after="60"/>
              <w:jc w:val="center"/>
              <w:rPr>
                <w:i/>
                <w:szCs w:val="18"/>
              </w:rPr>
            </w:pPr>
          </w:p>
        </w:tc>
        <w:tc>
          <w:tcPr>
            <w:tcW w:w="1652" w:type="pct"/>
            <w:vAlign w:val="center"/>
          </w:tcPr>
          <w:p w14:paraId="0C65E83E" w14:textId="77777777" w:rsidR="007376E1" w:rsidRPr="001570EA" w:rsidRDefault="007376E1">
            <w:pPr>
              <w:pStyle w:val="TableCell"/>
              <w:keepNext w:val="0"/>
              <w:spacing w:before="0" w:after="40"/>
              <w:jc w:val="center"/>
              <w:rPr>
                <w:szCs w:val="18"/>
              </w:rPr>
            </w:pPr>
            <w:r w:rsidRPr="001570EA">
              <w:rPr>
                <w:szCs w:val="18"/>
              </w:rPr>
              <w:t>Nameplate</w:t>
            </w:r>
          </w:p>
        </w:tc>
        <w:tc>
          <w:tcPr>
            <w:tcW w:w="964" w:type="pct"/>
            <w:vAlign w:val="center"/>
          </w:tcPr>
          <w:p w14:paraId="3C8B5C7A" w14:textId="77777777" w:rsidR="007376E1" w:rsidRPr="001570EA" w:rsidRDefault="007376E1">
            <w:pPr>
              <w:pStyle w:val="TableCell"/>
              <w:keepNext w:val="0"/>
              <w:spacing w:before="0" w:after="40"/>
              <w:jc w:val="center"/>
              <w:rPr>
                <w:szCs w:val="18"/>
              </w:rPr>
            </w:pPr>
            <w:r w:rsidRPr="001570EA">
              <w:rPr>
                <w:szCs w:val="18"/>
              </w:rPr>
              <w:t>EDC Data Gathering</w:t>
            </w:r>
          </w:p>
        </w:tc>
      </w:tr>
      <w:tr w:rsidR="007376E1" w:rsidRPr="001570EA" w14:paraId="42559056" w14:textId="77777777">
        <w:trPr>
          <w:trHeight w:val="502"/>
        </w:trPr>
        <w:tc>
          <w:tcPr>
            <w:tcW w:w="1297" w:type="pct"/>
            <w:vAlign w:val="center"/>
          </w:tcPr>
          <w:p w14:paraId="26609A13" w14:textId="77777777" w:rsidR="007376E1" w:rsidRPr="001570EA" w:rsidRDefault="007376E1">
            <w:pPr>
              <w:pStyle w:val="TableCell"/>
              <w:keepNext w:val="0"/>
              <w:spacing w:before="60" w:after="60"/>
              <w:jc w:val="left"/>
              <w:rPr>
                <w:i/>
                <w:szCs w:val="18"/>
              </w:rPr>
            </w:pPr>
            <w:r w:rsidRPr="001570EA">
              <w:rPr>
                <w:i/>
                <w:szCs w:val="18"/>
              </w:rPr>
              <w:t>η</w:t>
            </w:r>
            <w:r w:rsidRPr="001570EA">
              <w:rPr>
                <w:i/>
                <w:szCs w:val="18"/>
                <w:vertAlign w:val="subscript"/>
              </w:rPr>
              <w:t>motor</w:t>
            </w:r>
            <w:r w:rsidRPr="001570EA">
              <w:rPr>
                <w:szCs w:val="18"/>
              </w:rPr>
              <w:t xml:space="preserve">, </w:t>
            </w:r>
            <w:r w:rsidRPr="001570EA">
              <w:rPr>
                <w:rFonts w:cs="Arial"/>
                <w:szCs w:val="18"/>
              </w:rPr>
              <w:t>Efficiency of furnace blower motor</w:t>
            </w:r>
          </w:p>
        </w:tc>
        <w:tc>
          <w:tcPr>
            <w:tcW w:w="1087" w:type="pct"/>
            <w:vAlign w:val="center"/>
          </w:tcPr>
          <w:p w14:paraId="6303966E" w14:textId="77777777" w:rsidR="007376E1" w:rsidRPr="001570EA" w:rsidRDefault="007376E1">
            <w:pPr>
              <w:pStyle w:val="TableCell"/>
              <w:keepNext w:val="0"/>
              <w:spacing w:before="60" w:after="60"/>
              <w:jc w:val="center"/>
              <w:rPr>
                <w:i/>
                <w:szCs w:val="18"/>
              </w:rPr>
            </w:pPr>
            <w:r w:rsidRPr="001570EA">
              <w:rPr>
                <w:i/>
                <w:szCs w:val="18"/>
              </w:rPr>
              <w:t>%</w:t>
            </w:r>
          </w:p>
        </w:tc>
        <w:tc>
          <w:tcPr>
            <w:tcW w:w="1652" w:type="pct"/>
            <w:vAlign w:val="center"/>
          </w:tcPr>
          <w:p w14:paraId="1BAED766" w14:textId="77777777" w:rsidR="007376E1" w:rsidRPr="001570EA" w:rsidRDefault="007376E1">
            <w:pPr>
              <w:pStyle w:val="TableCell"/>
              <w:keepNext w:val="0"/>
              <w:spacing w:before="0" w:after="40"/>
              <w:jc w:val="center"/>
              <w:rPr>
                <w:szCs w:val="18"/>
              </w:rPr>
            </w:pPr>
            <w:r w:rsidRPr="001570EA">
              <w:rPr>
                <w:szCs w:val="18"/>
              </w:rPr>
              <w:t>EDC Data Gathering</w:t>
            </w:r>
          </w:p>
          <w:p w14:paraId="1D8A2AF0" w14:textId="77777777" w:rsidR="007376E1" w:rsidRPr="001570EA" w:rsidRDefault="007376E1">
            <w:pPr>
              <w:pStyle w:val="TableCell"/>
              <w:keepNext w:val="0"/>
              <w:spacing w:before="0" w:after="40"/>
              <w:jc w:val="center"/>
              <w:rPr>
                <w:szCs w:val="18"/>
              </w:rPr>
            </w:pPr>
            <w:r w:rsidRPr="001570EA">
              <w:rPr>
                <w:szCs w:val="18"/>
              </w:rPr>
              <w:t>Default = 50%</w:t>
            </w:r>
          </w:p>
        </w:tc>
        <w:tc>
          <w:tcPr>
            <w:tcW w:w="964" w:type="pct"/>
            <w:vAlign w:val="center"/>
          </w:tcPr>
          <w:p w14:paraId="589E0C95" w14:textId="77777777" w:rsidR="007376E1" w:rsidRPr="001570EA" w:rsidRDefault="007376E1">
            <w:pPr>
              <w:pStyle w:val="TableCell"/>
              <w:keepNext w:val="0"/>
              <w:spacing w:before="0" w:after="40"/>
              <w:jc w:val="center"/>
              <w:rPr>
                <w:szCs w:val="18"/>
              </w:rPr>
            </w:pPr>
            <w:r w:rsidRPr="001570EA">
              <w:rPr>
                <w:szCs w:val="18"/>
              </w:rPr>
              <w:t>Typical efficiency of ½ hp blower motor</w:t>
            </w:r>
          </w:p>
        </w:tc>
      </w:tr>
      <w:tr w:rsidR="007376E1" w:rsidRPr="001570EA" w14:paraId="6065E684" w14:textId="77777777">
        <w:trPr>
          <w:trHeight w:val="20"/>
        </w:trPr>
        <w:tc>
          <w:tcPr>
            <w:tcW w:w="1297" w:type="pct"/>
            <w:vMerge w:val="restart"/>
            <w:tcBorders>
              <w:top w:val="single" w:sz="4" w:space="0" w:color="auto"/>
              <w:left w:val="single" w:sz="4" w:space="0" w:color="auto"/>
              <w:right w:val="single" w:sz="4" w:space="0" w:color="auto"/>
            </w:tcBorders>
            <w:vAlign w:val="center"/>
          </w:tcPr>
          <w:p w14:paraId="678F15C5" w14:textId="77777777" w:rsidR="007376E1" w:rsidRPr="001570EA" w:rsidRDefault="007376E1">
            <w:pPr>
              <w:pStyle w:val="TableCell"/>
              <w:spacing w:before="60" w:after="60" w:line="256" w:lineRule="auto"/>
              <w:jc w:val="left"/>
              <w:rPr>
                <w:rFonts w:cs="Arial"/>
                <w:i/>
                <w:szCs w:val="18"/>
              </w:rPr>
            </w:pPr>
            <w:r w:rsidRPr="001570EA">
              <w:rPr>
                <w:rFonts w:cs="Arial"/>
                <w:i/>
                <w:szCs w:val="18"/>
              </w:rPr>
              <w:t>%</w:t>
            </w:r>
            <w:r w:rsidRPr="001570EA">
              <w:rPr>
                <w:rFonts w:cs="Arial"/>
                <w:i/>
                <w:szCs w:val="18"/>
                <w:vertAlign w:val="subscript"/>
              </w:rPr>
              <w:t>Programmable</w:t>
            </w:r>
            <w:r w:rsidRPr="001570EA">
              <w:rPr>
                <w:rFonts w:cs="Arial"/>
                <w:szCs w:val="18"/>
              </w:rPr>
              <w:t>, % central AC systems with a programmable thermostat</w:t>
            </w:r>
          </w:p>
        </w:tc>
        <w:tc>
          <w:tcPr>
            <w:tcW w:w="1087" w:type="pct"/>
            <w:vMerge w:val="restart"/>
            <w:tcBorders>
              <w:top w:val="single" w:sz="4" w:space="0" w:color="auto"/>
              <w:left w:val="single" w:sz="4" w:space="0" w:color="auto"/>
              <w:right w:val="single" w:sz="4" w:space="0" w:color="auto"/>
            </w:tcBorders>
            <w:vAlign w:val="center"/>
          </w:tcPr>
          <w:p w14:paraId="7743214C" w14:textId="77777777" w:rsidR="007376E1" w:rsidRPr="001570EA" w:rsidRDefault="007376E1">
            <w:pPr>
              <w:pStyle w:val="TableCell"/>
              <w:spacing w:before="60" w:after="60" w:line="256" w:lineRule="auto"/>
              <w:jc w:val="center"/>
              <w:rPr>
                <w:rFonts w:eastAsia="Calibri" w:cs="Arial"/>
                <w:i/>
                <w:szCs w:val="18"/>
              </w:rPr>
            </w:pPr>
            <w:r w:rsidRPr="001570EA">
              <w:rPr>
                <w:rFonts w:eastAsia="Calibri" w:cs="Arial"/>
                <w:i/>
                <w:szCs w:val="18"/>
              </w:rPr>
              <w:t>None</w:t>
            </w:r>
          </w:p>
        </w:tc>
        <w:tc>
          <w:tcPr>
            <w:tcW w:w="1652" w:type="pct"/>
            <w:tcBorders>
              <w:top w:val="single" w:sz="4" w:space="0" w:color="auto"/>
              <w:left w:val="single" w:sz="4" w:space="0" w:color="auto"/>
              <w:bottom w:val="single" w:sz="4" w:space="0" w:color="auto"/>
              <w:right w:val="single" w:sz="4" w:space="0" w:color="auto"/>
            </w:tcBorders>
            <w:vAlign w:val="center"/>
          </w:tcPr>
          <w:p w14:paraId="65614EAD" w14:textId="77777777" w:rsidR="007376E1" w:rsidRPr="001570EA" w:rsidRDefault="007376E1">
            <w:pPr>
              <w:pStyle w:val="TableCell"/>
              <w:keepNext w:val="0"/>
              <w:spacing w:before="60" w:after="60" w:line="256" w:lineRule="auto"/>
              <w:jc w:val="center"/>
              <w:rPr>
                <w:szCs w:val="18"/>
              </w:rPr>
            </w:pPr>
            <w:r w:rsidRPr="001570EA">
              <w:rPr>
                <w:szCs w:val="18"/>
              </w:rPr>
              <w:t>EDC Data Gathering</w:t>
            </w:r>
          </w:p>
        </w:tc>
        <w:tc>
          <w:tcPr>
            <w:tcW w:w="964" w:type="pct"/>
            <w:tcBorders>
              <w:top w:val="single" w:sz="4" w:space="0" w:color="auto"/>
              <w:left w:val="single" w:sz="4" w:space="0" w:color="auto"/>
              <w:bottom w:val="single" w:sz="4" w:space="0" w:color="auto"/>
              <w:right w:val="single" w:sz="4" w:space="0" w:color="auto"/>
            </w:tcBorders>
            <w:vAlign w:val="center"/>
          </w:tcPr>
          <w:p w14:paraId="61143C9B" w14:textId="77777777" w:rsidR="007376E1" w:rsidRPr="001570EA" w:rsidDel="007920D5" w:rsidRDefault="007376E1">
            <w:pPr>
              <w:pStyle w:val="TableCell"/>
              <w:keepNext w:val="0"/>
              <w:spacing w:before="60" w:after="60" w:line="256" w:lineRule="auto"/>
              <w:jc w:val="center"/>
              <w:rPr>
                <w:rFonts w:eastAsia="Calibri" w:cs="Arial"/>
                <w:szCs w:val="18"/>
              </w:rPr>
            </w:pPr>
            <w:r w:rsidRPr="001570EA">
              <w:rPr>
                <w:szCs w:val="18"/>
              </w:rPr>
              <w:t>EDC Data Gathering</w:t>
            </w:r>
          </w:p>
        </w:tc>
      </w:tr>
      <w:tr w:rsidR="007376E1" w:rsidRPr="001570EA" w14:paraId="7610973B" w14:textId="77777777">
        <w:trPr>
          <w:trHeight w:val="20"/>
        </w:trPr>
        <w:tc>
          <w:tcPr>
            <w:tcW w:w="1297" w:type="pct"/>
            <w:vMerge/>
            <w:tcBorders>
              <w:left w:val="single" w:sz="4" w:space="0" w:color="auto"/>
              <w:bottom w:val="single" w:sz="4" w:space="0" w:color="auto"/>
              <w:right w:val="single" w:sz="4" w:space="0" w:color="auto"/>
            </w:tcBorders>
            <w:vAlign w:val="center"/>
          </w:tcPr>
          <w:p w14:paraId="4049387C" w14:textId="77777777" w:rsidR="007376E1" w:rsidRPr="001570EA" w:rsidRDefault="007376E1">
            <w:pPr>
              <w:pStyle w:val="TableCell"/>
              <w:keepNext w:val="0"/>
              <w:spacing w:before="60" w:after="60" w:line="256" w:lineRule="auto"/>
              <w:jc w:val="left"/>
              <w:rPr>
                <w:rFonts w:eastAsia="Calibri" w:cs="Arial"/>
                <w:szCs w:val="18"/>
              </w:rPr>
            </w:pPr>
          </w:p>
        </w:tc>
        <w:tc>
          <w:tcPr>
            <w:tcW w:w="1087" w:type="pct"/>
            <w:vMerge/>
            <w:tcBorders>
              <w:left w:val="single" w:sz="4" w:space="0" w:color="auto"/>
              <w:bottom w:val="single" w:sz="4" w:space="0" w:color="auto"/>
              <w:right w:val="single" w:sz="4" w:space="0" w:color="auto"/>
            </w:tcBorders>
            <w:vAlign w:val="center"/>
          </w:tcPr>
          <w:p w14:paraId="5408C16A" w14:textId="77777777" w:rsidR="007376E1" w:rsidRPr="001570EA" w:rsidRDefault="007376E1">
            <w:pPr>
              <w:pStyle w:val="TableCell"/>
              <w:keepNext w:val="0"/>
              <w:spacing w:before="60" w:after="60" w:line="256" w:lineRule="auto"/>
              <w:jc w:val="center"/>
              <w:rPr>
                <w:rFonts w:eastAsia="Calibri" w:cs="Arial"/>
                <w:szCs w:val="18"/>
              </w:rPr>
            </w:pPr>
          </w:p>
        </w:tc>
        <w:tc>
          <w:tcPr>
            <w:tcW w:w="1652" w:type="pct"/>
            <w:tcBorders>
              <w:top w:val="single" w:sz="4" w:space="0" w:color="auto"/>
              <w:left w:val="single" w:sz="4" w:space="0" w:color="auto"/>
              <w:bottom w:val="single" w:sz="4" w:space="0" w:color="auto"/>
              <w:right w:val="single" w:sz="4" w:space="0" w:color="auto"/>
            </w:tcBorders>
            <w:vAlign w:val="center"/>
          </w:tcPr>
          <w:p w14:paraId="6EF0ED93" w14:textId="77777777" w:rsidR="007376E1" w:rsidRPr="001570EA" w:rsidRDefault="007376E1">
            <w:pPr>
              <w:pStyle w:val="TableCell"/>
              <w:keepNext w:val="0"/>
              <w:spacing w:before="60" w:after="60" w:line="256" w:lineRule="auto"/>
              <w:jc w:val="center"/>
              <w:rPr>
                <w:szCs w:val="18"/>
              </w:rPr>
            </w:pPr>
            <w:r w:rsidRPr="001570EA">
              <w:rPr>
                <w:szCs w:val="18"/>
              </w:rPr>
              <w:t>Forced Air Default = 68%</w:t>
            </w:r>
          </w:p>
        </w:tc>
        <w:tc>
          <w:tcPr>
            <w:tcW w:w="964" w:type="pct"/>
            <w:tcBorders>
              <w:top w:val="single" w:sz="4" w:space="0" w:color="auto"/>
              <w:left w:val="single" w:sz="4" w:space="0" w:color="auto"/>
              <w:bottom w:val="single" w:sz="4" w:space="0" w:color="auto"/>
              <w:right w:val="single" w:sz="4" w:space="0" w:color="auto"/>
            </w:tcBorders>
            <w:vAlign w:val="center"/>
          </w:tcPr>
          <w:p w14:paraId="2BD71A16" w14:textId="77777777" w:rsidR="007376E1" w:rsidRPr="001570EA" w:rsidRDefault="007376E1">
            <w:pPr>
              <w:pStyle w:val="TableCell"/>
              <w:keepNext w:val="0"/>
              <w:spacing w:before="60" w:after="60" w:line="256" w:lineRule="auto"/>
              <w:jc w:val="center"/>
              <w:rPr>
                <w:rFonts w:eastAsia="Calibri" w:cs="Arial"/>
                <w:szCs w:val="18"/>
              </w:rPr>
            </w:pPr>
            <w:r w:rsidRPr="001570EA">
              <w:rPr>
                <w:rFonts w:eastAsia="Calibri" w:cs="Arial"/>
                <w:szCs w:val="18"/>
              </w:rPr>
              <w:t>3</w:t>
            </w:r>
          </w:p>
        </w:tc>
      </w:tr>
      <w:tr w:rsidR="007376E1" w:rsidRPr="001570EA" w14:paraId="53ABE43D" w14:textId="77777777">
        <w:trPr>
          <w:trHeight w:val="20"/>
        </w:trPr>
        <w:tc>
          <w:tcPr>
            <w:tcW w:w="1297" w:type="pct"/>
            <w:vMerge w:val="restart"/>
            <w:tcBorders>
              <w:top w:val="single" w:sz="4" w:space="0" w:color="auto"/>
              <w:left w:val="single" w:sz="4" w:space="0" w:color="auto"/>
              <w:right w:val="single" w:sz="4" w:space="0" w:color="auto"/>
            </w:tcBorders>
          </w:tcPr>
          <w:p w14:paraId="75869915" w14:textId="77777777" w:rsidR="007376E1" w:rsidRPr="001570EA" w:rsidRDefault="007376E1">
            <w:pPr>
              <w:pStyle w:val="TableCell"/>
              <w:spacing w:before="60" w:after="60" w:line="256" w:lineRule="auto"/>
              <w:jc w:val="left"/>
              <w:rPr>
                <w:rFonts w:cs="Arial"/>
                <w:i/>
                <w:szCs w:val="18"/>
              </w:rPr>
            </w:pPr>
            <w:r w:rsidRPr="001570EA">
              <w:rPr>
                <w:rFonts w:cs="Arial"/>
                <w:i/>
                <w:szCs w:val="18"/>
              </w:rPr>
              <w:t>%</w:t>
            </w:r>
            <w:r w:rsidRPr="001570EA">
              <w:rPr>
                <w:rFonts w:cs="Arial"/>
                <w:i/>
                <w:szCs w:val="18"/>
                <w:vertAlign w:val="subscript"/>
              </w:rPr>
              <w:t>Manual</w:t>
            </w:r>
            <w:r w:rsidRPr="001570EA">
              <w:rPr>
                <w:rFonts w:cs="Arial"/>
                <w:szCs w:val="18"/>
              </w:rPr>
              <w:t>, % central AC systems with a manual thermostat</w:t>
            </w:r>
          </w:p>
        </w:tc>
        <w:tc>
          <w:tcPr>
            <w:tcW w:w="1087" w:type="pct"/>
            <w:vMerge w:val="restart"/>
            <w:tcBorders>
              <w:top w:val="single" w:sz="4" w:space="0" w:color="auto"/>
              <w:left w:val="single" w:sz="4" w:space="0" w:color="auto"/>
              <w:right w:val="single" w:sz="4" w:space="0" w:color="auto"/>
            </w:tcBorders>
            <w:vAlign w:val="center"/>
          </w:tcPr>
          <w:p w14:paraId="47ABB523" w14:textId="77777777" w:rsidR="007376E1" w:rsidRPr="001570EA" w:rsidRDefault="007376E1">
            <w:pPr>
              <w:pStyle w:val="TableCell"/>
              <w:spacing w:before="60" w:after="60" w:line="256" w:lineRule="auto"/>
              <w:jc w:val="center"/>
              <w:rPr>
                <w:rFonts w:eastAsia="Calibri" w:cs="Arial"/>
                <w:i/>
                <w:szCs w:val="18"/>
              </w:rPr>
            </w:pPr>
            <w:r w:rsidRPr="001570EA">
              <w:rPr>
                <w:rFonts w:eastAsia="Calibri" w:cs="Arial"/>
                <w:i/>
                <w:szCs w:val="18"/>
              </w:rPr>
              <w:t>None</w:t>
            </w:r>
          </w:p>
        </w:tc>
        <w:tc>
          <w:tcPr>
            <w:tcW w:w="1652" w:type="pct"/>
            <w:tcBorders>
              <w:top w:val="single" w:sz="4" w:space="0" w:color="auto"/>
              <w:left w:val="single" w:sz="4" w:space="0" w:color="auto"/>
              <w:bottom w:val="single" w:sz="4" w:space="0" w:color="auto"/>
              <w:right w:val="single" w:sz="4" w:space="0" w:color="auto"/>
            </w:tcBorders>
            <w:vAlign w:val="center"/>
          </w:tcPr>
          <w:p w14:paraId="2150D8F5" w14:textId="77777777" w:rsidR="007376E1" w:rsidRPr="001570EA" w:rsidRDefault="007376E1">
            <w:pPr>
              <w:pStyle w:val="TableCell"/>
              <w:keepNext w:val="0"/>
              <w:spacing w:before="60" w:after="60" w:line="256" w:lineRule="auto"/>
              <w:jc w:val="center"/>
              <w:rPr>
                <w:szCs w:val="18"/>
              </w:rPr>
            </w:pPr>
            <w:r w:rsidRPr="001570EA">
              <w:rPr>
                <w:szCs w:val="18"/>
              </w:rPr>
              <w:t>EDC Data Gathering</w:t>
            </w:r>
          </w:p>
        </w:tc>
        <w:tc>
          <w:tcPr>
            <w:tcW w:w="964" w:type="pct"/>
            <w:tcBorders>
              <w:top w:val="single" w:sz="4" w:space="0" w:color="auto"/>
              <w:left w:val="single" w:sz="4" w:space="0" w:color="auto"/>
              <w:bottom w:val="single" w:sz="4" w:space="0" w:color="auto"/>
              <w:right w:val="single" w:sz="4" w:space="0" w:color="auto"/>
            </w:tcBorders>
            <w:vAlign w:val="center"/>
          </w:tcPr>
          <w:p w14:paraId="359FEF4B" w14:textId="77777777" w:rsidR="007376E1" w:rsidRPr="001570EA" w:rsidDel="007920D5" w:rsidRDefault="007376E1">
            <w:pPr>
              <w:pStyle w:val="TableCell"/>
              <w:keepNext w:val="0"/>
              <w:spacing w:before="60" w:after="60" w:line="256" w:lineRule="auto"/>
              <w:jc w:val="center"/>
              <w:rPr>
                <w:rFonts w:eastAsia="Calibri" w:cs="Arial"/>
                <w:szCs w:val="18"/>
              </w:rPr>
            </w:pPr>
            <w:r w:rsidRPr="001570EA">
              <w:rPr>
                <w:szCs w:val="18"/>
              </w:rPr>
              <w:t>EDC Data Gathering</w:t>
            </w:r>
          </w:p>
        </w:tc>
      </w:tr>
      <w:tr w:rsidR="007376E1" w:rsidRPr="001570EA" w14:paraId="353D3069" w14:textId="77777777">
        <w:trPr>
          <w:trHeight w:val="20"/>
        </w:trPr>
        <w:tc>
          <w:tcPr>
            <w:tcW w:w="1297" w:type="pct"/>
            <w:vMerge/>
            <w:tcBorders>
              <w:left w:val="single" w:sz="4" w:space="0" w:color="auto"/>
              <w:right w:val="single" w:sz="4" w:space="0" w:color="auto"/>
            </w:tcBorders>
          </w:tcPr>
          <w:p w14:paraId="045FE9C1" w14:textId="77777777" w:rsidR="007376E1" w:rsidRPr="001570EA" w:rsidRDefault="007376E1">
            <w:pPr>
              <w:pStyle w:val="TableCell"/>
              <w:keepNext w:val="0"/>
              <w:spacing w:before="60" w:after="60" w:line="256" w:lineRule="auto"/>
              <w:jc w:val="left"/>
              <w:rPr>
                <w:rFonts w:eastAsia="Calibri" w:cs="Arial"/>
                <w:szCs w:val="18"/>
              </w:rPr>
            </w:pPr>
          </w:p>
        </w:tc>
        <w:tc>
          <w:tcPr>
            <w:tcW w:w="1087" w:type="pct"/>
            <w:vMerge/>
            <w:tcBorders>
              <w:left w:val="single" w:sz="4" w:space="0" w:color="auto"/>
              <w:right w:val="single" w:sz="4" w:space="0" w:color="auto"/>
            </w:tcBorders>
            <w:vAlign w:val="center"/>
          </w:tcPr>
          <w:p w14:paraId="6E9752AC" w14:textId="77777777" w:rsidR="007376E1" w:rsidRPr="001570EA" w:rsidRDefault="007376E1">
            <w:pPr>
              <w:pStyle w:val="TableCell"/>
              <w:keepNext w:val="0"/>
              <w:spacing w:before="60" w:after="60" w:line="256" w:lineRule="auto"/>
              <w:jc w:val="center"/>
              <w:rPr>
                <w:rFonts w:eastAsia="Calibri" w:cs="Arial"/>
                <w:szCs w:val="18"/>
              </w:rPr>
            </w:pPr>
          </w:p>
        </w:tc>
        <w:tc>
          <w:tcPr>
            <w:tcW w:w="1652" w:type="pct"/>
            <w:tcBorders>
              <w:top w:val="single" w:sz="4" w:space="0" w:color="auto"/>
              <w:left w:val="single" w:sz="4" w:space="0" w:color="auto"/>
              <w:bottom w:val="single" w:sz="4" w:space="0" w:color="auto"/>
              <w:right w:val="single" w:sz="4" w:space="0" w:color="auto"/>
            </w:tcBorders>
            <w:vAlign w:val="center"/>
          </w:tcPr>
          <w:p w14:paraId="3E4B8E37" w14:textId="77777777" w:rsidR="007376E1" w:rsidRPr="001570EA" w:rsidRDefault="007376E1">
            <w:pPr>
              <w:pStyle w:val="TableCell"/>
              <w:keepNext w:val="0"/>
              <w:spacing w:before="60" w:after="60" w:line="256" w:lineRule="auto"/>
              <w:jc w:val="center"/>
            </w:pPr>
            <w:r w:rsidRPr="001570EA">
              <w:rPr>
                <w:szCs w:val="18"/>
              </w:rPr>
              <w:t xml:space="preserve">Forced Air Default = </w:t>
            </w:r>
            <w:r w:rsidRPr="001570EA">
              <w:t>32%</w:t>
            </w:r>
          </w:p>
        </w:tc>
        <w:tc>
          <w:tcPr>
            <w:tcW w:w="964" w:type="pct"/>
            <w:tcBorders>
              <w:top w:val="single" w:sz="4" w:space="0" w:color="auto"/>
              <w:left w:val="single" w:sz="4" w:space="0" w:color="auto"/>
              <w:bottom w:val="single" w:sz="4" w:space="0" w:color="auto"/>
              <w:right w:val="single" w:sz="4" w:space="0" w:color="auto"/>
            </w:tcBorders>
            <w:vAlign w:val="center"/>
          </w:tcPr>
          <w:p w14:paraId="739BA606" w14:textId="77777777" w:rsidR="007376E1" w:rsidRPr="001570EA" w:rsidRDefault="007376E1">
            <w:pPr>
              <w:pStyle w:val="TableCell"/>
              <w:keepNext w:val="0"/>
              <w:spacing w:before="60" w:after="60" w:line="256" w:lineRule="auto"/>
              <w:jc w:val="center"/>
              <w:rPr>
                <w:rFonts w:eastAsia="Calibri" w:cs="Arial"/>
                <w:szCs w:val="18"/>
              </w:rPr>
            </w:pPr>
            <w:r w:rsidRPr="001570EA">
              <w:rPr>
                <w:rFonts w:eastAsia="Calibri" w:cs="Arial"/>
                <w:szCs w:val="18"/>
              </w:rPr>
              <w:t>3</w:t>
            </w:r>
          </w:p>
        </w:tc>
      </w:tr>
      <w:tr w:rsidR="007376E1" w:rsidRPr="001570EA" w14:paraId="2632204D" w14:textId="77777777">
        <w:trPr>
          <w:trHeight w:val="20"/>
        </w:trPr>
        <w:tc>
          <w:tcPr>
            <w:tcW w:w="1297" w:type="pct"/>
            <w:tcBorders>
              <w:left w:val="single" w:sz="4" w:space="0" w:color="auto"/>
              <w:right w:val="single" w:sz="4" w:space="0" w:color="auto"/>
            </w:tcBorders>
          </w:tcPr>
          <w:p w14:paraId="07770C48" w14:textId="77777777" w:rsidR="007376E1" w:rsidRPr="001570EA" w:rsidRDefault="007376E1">
            <w:pPr>
              <w:pStyle w:val="TableCell"/>
              <w:keepNext w:val="0"/>
              <w:spacing w:before="60" w:after="60" w:line="256" w:lineRule="auto"/>
              <w:jc w:val="left"/>
              <w:rPr>
                <w:rFonts w:eastAsia="Calibri" w:cs="Arial"/>
                <w:i/>
                <w:szCs w:val="18"/>
              </w:rPr>
            </w:pPr>
            <w:r w:rsidRPr="001570EA">
              <w:rPr>
                <w:rFonts w:eastAsia="Calibri" w:cs="Arial"/>
                <w:i/>
                <w:szCs w:val="18"/>
              </w:rPr>
              <w:t>ESF</w:t>
            </w:r>
            <w:r w:rsidRPr="001570EA">
              <w:rPr>
                <w:rFonts w:eastAsia="Calibri" w:cs="Arial"/>
                <w:i/>
                <w:szCs w:val="18"/>
                <w:vertAlign w:val="subscript"/>
              </w:rPr>
              <w:t>cool</w:t>
            </w:r>
            <w:r w:rsidRPr="001570EA">
              <w:rPr>
                <w:rFonts w:eastAsia="Calibri" w:cs="Arial"/>
                <w:szCs w:val="18"/>
              </w:rPr>
              <w:t>, cooling energy saving factor</w:t>
            </w:r>
          </w:p>
        </w:tc>
        <w:tc>
          <w:tcPr>
            <w:tcW w:w="1087" w:type="pct"/>
            <w:tcBorders>
              <w:left w:val="single" w:sz="4" w:space="0" w:color="auto"/>
              <w:right w:val="single" w:sz="4" w:space="0" w:color="auto"/>
            </w:tcBorders>
            <w:vAlign w:val="center"/>
          </w:tcPr>
          <w:p w14:paraId="7D1EDB5A" w14:textId="77777777" w:rsidR="007376E1" w:rsidRPr="001570EA" w:rsidRDefault="007376E1">
            <w:pPr>
              <w:pStyle w:val="TableCell"/>
              <w:keepNext w:val="0"/>
              <w:spacing w:before="60" w:after="60" w:line="256" w:lineRule="auto"/>
              <w:jc w:val="center"/>
              <w:rPr>
                <w:rFonts w:eastAsia="Calibri" w:cs="Arial"/>
                <w:i/>
                <w:szCs w:val="18"/>
              </w:rPr>
            </w:pPr>
            <w:r w:rsidRPr="001570EA">
              <w:rPr>
                <w:rFonts w:eastAsia="Calibri" w:cs="Arial"/>
                <w:i/>
                <w:iCs/>
              </w:rPr>
              <w:t>None</w:t>
            </w:r>
          </w:p>
        </w:tc>
        <w:tc>
          <w:tcPr>
            <w:tcW w:w="1652" w:type="pct"/>
            <w:tcBorders>
              <w:top w:val="single" w:sz="4" w:space="0" w:color="auto"/>
              <w:left w:val="single" w:sz="4" w:space="0" w:color="auto"/>
              <w:bottom w:val="single" w:sz="4" w:space="0" w:color="auto"/>
              <w:right w:val="single" w:sz="4" w:space="0" w:color="auto"/>
            </w:tcBorders>
            <w:vAlign w:val="center"/>
          </w:tcPr>
          <w:p w14:paraId="23D20A8D" w14:textId="04FE46EC" w:rsidR="007376E1" w:rsidRPr="001570EA" w:rsidRDefault="007376E1">
            <w:pPr>
              <w:pStyle w:val="TableCell"/>
              <w:keepNext w:val="0"/>
              <w:spacing w:before="60" w:after="60" w:line="256" w:lineRule="auto"/>
              <w:jc w:val="center"/>
              <w:rPr>
                <w:szCs w:val="18"/>
              </w:rPr>
            </w:pPr>
            <w:r w:rsidRPr="001570EA">
              <w:rPr>
                <w:rFonts w:eastAsia="Calibri" w:cs="Arial"/>
              </w:rPr>
              <w:t xml:space="preserve">See </w:t>
            </w:r>
            <w:r w:rsidR="00E56481" w:rsidRPr="001570EA">
              <w:rPr>
                <w:rFonts w:eastAsia="Calibri" w:cs="Arial"/>
              </w:rPr>
              <w:fldChar w:fldCharType="begin"/>
            </w:r>
            <w:r w:rsidR="00E56481" w:rsidRPr="001570EA">
              <w:rPr>
                <w:rFonts w:eastAsia="Calibri" w:cs="Arial"/>
              </w:rPr>
              <w:instrText xml:space="preserve"> REF _Ref163908488 \h </w:instrText>
            </w:r>
            <w:r w:rsidR="001570EA">
              <w:rPr>
                <w:rFonts w:eastAsia="Calibri" w:cs="Arial"/>
              </w:rPr>
              <w:instrText xml:space="preserve"> \* MERGEFORMAT </w:instrText>
            </w:r>
            <w:r w:rsidR="00E56481" w:rsidRPr="001570EA">
              <w:rPr>
                <w:rFonts w:eastAsia="Calibri" w:cs="Arial"/>
              </w:rPr>
            </w:r>
            <w:r w:rsidR="00E56481" w:rsidRPr="001570EA">
              <w:rPr>
                <w:rFonts w:eastAsia="Calibri" w:cs="Arial"/>
              </w:rPr>
              <w:fldChar w:fldCharType="separate"/>
            </w:r>
            <w:r w:rsidR="00384D95" w:rsidRPr="001570EA">
              <w:t xml:space="preserve">Table </w:t>
            </w:r>
            <w:r w:rsidR="00384D95" w:rsidRPr="001570EA">
              <w:rPr>
                <w:noProof/>
              </w:rPr>
              <w:t>2</w:t>
            </w:r>
            <w:r w:rsidR="00384D95" w:rsidRPr="001570EA">
              <w:noBreakHyphen/>
            </w:r>
            <w:r w:rsidR="00384D95" w:rsidRPr="001570EA">
              <w:rPr>
                <w:noProof/>
              </w:rPr>
              <w:t>46</w:t>
            </w:r>
            <w:r w:rsidR="00E56481" w:rsidRPr="001570EA">
              <w:rPr>
                <w:rFonts w:eastAsia="Calibri" w:cs="Arial"/>
              </w:rPr>
              <w:fldChar w:fldCharType="end"/>
            </w:r>
          </w:p>
        </w:tc>
        <w:tc>
          <w:tcPr>
            <w:tcW w:w="964" w:type="pct"/>
            <w:tcBorders>
              <w:top w:val="single" w:sz="4" w:space="0" w:color="auto"/>
              <w:left w:val="single" w:sz="4" w:space="0" w:color="auto"/>
              <w:bottom w:val="single" w:sz="4" w:space="0" w:color="auto"/>
              <w:right w:val="single" w:sz="4" w:space="0" w:color="auto"/>
            </w:tcBorders>
            <w:vAlign w:val="center"/>
          </w:tcPr>
          <w:p w14:paraId="4BEB8AA1" w14:textId="77777777" w:rsidR="007376E1" w:rsidRPr="001570EA" w:rsidRDefault="007376E1">
            <w:pPr>
              <w:pStyle w:val="TableCell"/>
              <w:keepNext w:val="0"/>
              <w:spacing w:before="60" w:after="60" w:line="256" w:lineRule="auto"/>
              <w:jc w:val="center"/>
              <w:rPr>
                <w:rFonts w:eastAsia="Calibri" w:cs="Arial"/>
                <w:szCs w:val="18"/>
              </w:rPr>
            </w:pPr>
            <w:r w:rsidRPr="001570EA">
              <w:rPr>
                <w:rFonts w:eastAsia="Calibri" w:cs="Arial"/>
                <w:szCs w:val="18"/>
              </w:rPr>
              <w:t>Composite of multiple sources</w:t>
            </w:r>
          </w:p>
        </w:tc>
      </w:tr>
      <w:tr w:rsidR="007376E1" w:rsidRPr="001570EA" w14:paraId="75616C76" w14:textId="77777777">
        <w:trPr>
          <w:trHeight w:val="20"/>
        </w:trPr>
        <w:tc>
          <w:tcPr>
            <w:tcW w:w="1297" w:type="pct"/>
            <w:tcBorders>
              <w:left w:val="single" w:sz="4" w:space="0" w:color="auto"/>
              <w:right w:val="single" w:sz="4" w:space="0" w:color="auto"/>
            </w:tcBorders>
          </w:tcPr>
          <w:p w14:paraId="6C0DED55" w14:textId="77777777" w:rsidR="007376E1" w:rsidRPr="001570EA" w:rsidRDefault="007376E1">
            <w:pPr>
              <w:pStyle w:val="TableCell"/>
              <w:keepNext w:val="0"/>
              <w:spacing w:before="60" w:after="60" w:line="256" w:lineRule="auto"/>
              <w:jc w:val="left"/>
              <w:rPr>
                <w:rFonts w:eastAsia="Calibri" w:cs="Arial"/>
                <w:i/>
                <w:szCs w:val="18"/>
              </w:rPr>
            </w:pPr>
            <w:r w:rsidRPr="001570EA">
              <w:rPr>
                <w:rFonts w:eastAsia="Calibri" w:cs="Arial"/>
                <w:i/>
                <w:szCs w:val="18"/>
              </w:rPr>
              <w:t>ESF</w:t>
            </w:r>
            <w:r w:rsidRPr="001570EA">
              <w:rPr>
                <w:rFonts w:eastAsia="Calibri" w:cs="Arial"/>
                <w:i/>
                <w:szCs w:val="18"/>
                <w:vertAlign w:val="subscript"/>
              </w:rPr>
              <w:t>heat</w:t>
            </w:r>
            <w:r w:rsidRPr="001570EA">
              <w:rPr>
                <w:rFonts w:eastAsia="Calibri" w:cs="Arial"/>
                <w:szCs w:val="18"/>
              </w:rPr>
              <w:t>, heating energy saving factor</w:t>
            </w:r>
          </w:p>
        </w:tc>
        <w:tc>
          <w:tcPr>
            <w:tcW w:w="1087" w:type="pct"/>
            <w:tcBorders>
              <w:left w:val="single" w:sz="4" w:space="0" w:color="auto"/>
              <w:right w:val="single" w:sz="4" w:space="0" w:color="auto"/>
            </w:tcBorders>
            <w:vAlign w:val="center"/>
          </w:tcPr>
          <w:p w14:paraId="6D56BB08" w14:textId="77777777" w:rsidR="007376E1" w:rsidRPr="001570EA" w:rsidRDefault="007376E1">
            <w:pPr>
              <w:pStyle w:val="TableCell"/>
              <w:keepNext w:val="0"/>
              <w:spacing w:before="60" w:after="60" w:line="256" w:lineRule="auto"/>
              <w:jc w:val="center"/>
              <w:rPr>
                <w:rFonts w:eastAsia="Calibri" w:cs="Arial"/>
                <w:i/>
                <w:iCs/>
              </w:rPr>
            </w:pPr>
            <w:r w:rsidRPr="001570EA">
              <w:rPr>
                <w:rFonts w:eastAsia="Calibri" w:cs="Arial"/>
                <w:i/>
                <w:iCs/>
              </w:rPr>
              <w:t>None</w:t>
            </w:r>
          </w:p>
        </w:tc>
        <w:tc>
          <w:tcPr>
            <w:tcW w:w="1652" w:type="pct"/>
            <w:tcBorders>
              <w:top w:val="single" w:sz="4" w:space="0" w:color="auto"/>
              <w:left w:val="single" w:sz="4" w:space="0" w:color="auto"/>
              <w:bottom w:val="single" w:sz="4" w:space="0" w:color="auto"/>
              <w:right w:val="single" w:sz="4" w:space="0" w:color="auto"/>
            </w:tcBorders>
            <w:vAlign w:val="center"/>
          </w:tcPr>
          <w:p w14:paraId="33520423" w14:textId="29F3801C" w:rsidR="007376E1" w:rsidRPr="001570EA" w:rsidRDefault="007376E1">
            <w:pPr>
              <w:pStyle w:val="TableCell"/>
              <w:keepNext w:val="0"/>
              <w:spacing w:before="60" w:after="60" w:line="256" w:lineRule="auto"/>
              <w:jc w:val="center"/>
              <w:rPr>
                <w:rFonts w:eastAsia="Calibri" w:cs="Arial"/>
              </w:rPr>
            </w:pPr>
            <w:r w:rsidRPr="001570EA">
              <w:rPr>
                <w:rFonts w:eastAsia="Calibri" w:cs="Arial"/>
              </w:rPr>
              <w:t xml:space="preserve">See </w:t>
            </w:r>
            <w:r w:rsidR="00E56481" w:rsidRPr="001570EA">
              <w:rPr>
                <w:rFonts w:eastAsia="Calibri" w:cs="Arial"/>
              </w:rPr>
              <w:fldChar w:fldCharType="begin"/>
            </w:r>
            <w:r w:rsidR="00E56481" w:rsidRPr="001570EA">
              <w:rPr>
                <w:rFonts w:eastAsia="Calibri" w:cs="Arial"/>
              </w:rPr>
              <w:instrText xml:space="preserve"> REF _Ref163908496 \h </w:instrText>
            </w:r>
            <w:r w:rsidR="001570EA">
              <w:rPr>
                <w:rFonts w:eastAsia="Calibri" w:cs="Arial"/>
              </w:rPr>
              <w:instrText xml:space="preserve"> \* MERGEFORMAT </w:instrText>
            </w:r>
            <w:r w:rsidR="00E56481" w:rsidRPr="001570EA">
              <w:rPr>
                <w:rFonts w:eastAsia="Calibri" w:cs="Arial"/>
              </w:rPr>
            </w:r>
            <w:r w:rsidR="00E56481" w:rsidRPr="001570EA">
              <w:rPr>
                <w:rFonts w:eastAsia="Calibri" w:cs="Arial"/>
              </w:rPr>
              <w:fldChar w:fldCharType="separate"/>
            </w:r>
            <w:r w:rsidR="00384D95" w:rsidRPr="001570EA">
              <w:t xml:space="preserve">Table </w:t>
            </w:r>
            <w:r w:rsidR="00384D95" w:rsidRPr="001570EA">
              <w:rPr>
                <w:noProof/>
              </w:rPr>
              <w:t>2</w:t>
            </w:r>
            <w:r w:rsidR="00384D95" w:rsidRPr="001570EA">
              <w:noBreakHyphen/>
            </w:r>
            <w:r w:rsidR="00384D95" w:rsidRPr="001570EA">
              <w:rPr>
                <w:noProof/>
              </w:rPr>
              <w:t>47</w:t>
            </w:r>
            <w:r w:rsidR="00E56481" w:rsidRPr="001570EA">
              <w:rPr>
                <w:rFonts w:eastAsia="Calibri" w:cs="Arial"/>
              </w:rPr>
              <w:fldChar w:fldCharType="end"/>
            </w:r>
          </w:p>
        </w:tc>
        <w:tc>
          <w:tcPr>
            <w:tcW w:w="964" w:type="pct"/>
            <w:tcBorders>
              <w:top w:val="single" w:sz="4" w:space="0" w:color="auto"/>
              <w:left w:val="single" w:sz="4" w:space="0" w:color="auto"/>
              <w:bottom w:val="single" w:sz="4" w:space="0" w:color="auto"/>
              <w:right w:val="single" w:sz="4" w:space="0" w:color="auto"/>
            </w:tcBorders>
            <w:vAlign w:val="center"/>
          </w:tcPr>
          <w:p w14:paraId="6C7591A6" w14:textId="77777777" w:rsidR="007376E1" w:rsidRPr="001570EA" w:rsidRDefault="007376E1">
            <w:pPr>
              <w:pStyle w:val="TableCell"/>
              <w:keepNext w:val="0"/>
              <w:spacing w:before="60" w:after="60" w:line="256" w:lineRule="auto"/>
              <w:jc w:val="center"/>
              <w:rPr>
                <w:rFonts w:eastAsia="Calibri" w:cs="Arial"/>
                <w:szCs w:val="18"/>
              </w:rPr>
            </w:pPr>
            <w:r w:rsidRPr="001570EA">
              <w:rPr>
                <w:rFonts w:eastAsia="Calibri" w:cs="Arial"/>
                <w:szCs w:val="18"/>
              </w:rPr>
              <w:t>Composite of multiple sources</w:t>
            </w:r>
          </w:p>
        </w:tc>
      </w:tr>
      <w:tr w:rsidR="007376E1" w:rsidRPr="001570EA" w14:paraId="128BD303" w14:textId="77777777">
        <w:trPr>
          <w:trHeight w:val="20"/>
        </w:trPr>
        <w:tc>
          <w:tcPr>
            <w:tcW w:w="1297" w:type="pct"/>
            <w:tcBorders>
              <w:left w:val="single" w:sz="4" w:space="0" w:color="auto"/>
              <w:right w:val="single" w:sz="4" w:space="0" w:color="auto"/>
            </w:tcBorders>
          </w:tcPr>
          <w:p w14:paraId="358ADF15" w14:textId="77777777" w:rsidR="007376E1" w:rsidRPr="001570EA" w:rsidRDefault="007376E1">
            <w:pPr>
              <w:pStyle w:val="TableCell"/>
              <w:keepNext w:val="0"/>
              <w:spacing w:before="60" w:after="60" w:line="256" w:lineRule="auto"/>
              <w:jc w:val="left"/>
              <w:rPr>
                <w:rFonts w:eastAsia="Calibri" w:cs="Arial"/>
                <w:i/>
                <w:szCs w:val="18"/>
                <w:vertAlign w:val="subscript"/>
              </w:rPr>
            </w:pPr>
            <w:r w:rsidRPr="001570EA">
              <w:rPr>
                <w:rFonts w:eastAsia="Calibri" w:cs="Arial"/>
                <w:i/>
                <w:szCs w:val="18"/>
              </w:rPr>
              <w:t>PDSF, peak demand savings factor relative to ESF</w:t>
            </w:r>
            <w:r w:rsidRPr="001570EA">
              <w:rPr>
                <w:rFonts w:eastAsia="Calibri" w:cs="Arial"/>
                <w:i/>
                <w:szCs w:val="18"/>
                <w:vertAlign w:val="subscript"/>
              </w:rPr>
              <w:t>cool</w:t>
            </w:r>
          </w:p>
        </w:tc>
        <w:tc>
          <w:tcPr>
            <w:tcW w:w="1087" w:type="pct"/>
            <w:tcBorders>
              <w:left w:val="single" w:sz="4" w:space="0" w:color="auto"/>
              <w:right w:val="single" w:sz="4" w:space="0" w:color="auto"/>
            </w:tcBorders>
            <w:vAlign w:val="center"/>
          </w:tcPr>
          <w:p w14:paraId="2B9CF7FB" w14:textId="77777777" w:rsidR="007376E1" w:rsidRPr="001570EA" w:rsidRDefault="007376E1">
            <w:pPr>
              <w:pStyle w:val="TableCell"/>
              <w:keepNext w:val="0"/>
              <w:spacing w:before="60" w:after="60" w:line="256" w:lineRule="auto"/>
              <w:jc w:val="center"/>
              <w:rPr>
                <w:rFonts w:eastAsia="Calibri" w:cs="Arial"/>
                <w:i/>
                <w:iCs/>
              </w:rPr>
            </w:pPr>
            <w:r w:rsidRPr="001570EA">
              <w:rPr>
                <w:rFonts w:eastAsia="Calibri" w:cs="Arial"/>
                <w:i/>
                <w:iCs/>
              </w:rPr>
              <w:t>None</w:t>
            </w:r>
          </w:p>
        </w:tc>
        <w:tc>
          <w:tcPr>
            <w:tcW w:w="1652" w:type="pct"/>
            <w:tcBorders>
              <w:top w:val="single" w:sz="4" w:space="0" w:color="auto"/>
              <w:left w:val="single" w:sz="4" w:space="0" w:color="auto"/>
              <w:bottom w:val="single" w:sz="4" w:space="0" w:color="auto"/>
              <w:right w:val="single" w:sz="4" w:space="0" w:color="auto"/>
            </w:tcBorders>
            <w:vAlign w:val="center"/>
          </w:tcPr>
          <w:p w14:paraId="3FE2195F" w14:textId="77777777" w:rsidR="007376E1" w:rsidRPr="001570EA" w:rsidRDefault="007376E1">
            <w:pPr>
              <w:pStyle w:val="TableCell"/>
              <w:keepNext w:val="0"/>
              <w:spacing w:before="0" w:after="40"/>
              <w:jc w:val="center"/>
              <w:rPr>
                <w:szCs w:val="18"/>
              </w:rPr>
            </w:pPr>
            <w:r w:rsidRPr="001570EA">
              <w:rPr>
                <w:szCs w:val="18"/>
              </w:rPr>
              <w:t>EDC Data Gathering</w:t>
            </w:r>
          </w:p>
          <w:p w14:paraId="5FF42C66" w14:textId="77777777" w:rsidR="007376E1" w:rsidRPr="001570EA" w:rsidRDefault="007376E1">
            <w:pPr>
              <w:pStyle w:val="TableCell"/>
              <w:keepNext w:val="0"/>
              <w:spacing w:before="60" w:after="60" w:line="256" w:lineRule="auto"/>
              <w:jc w:val="center"/>
              <w:rPr>
                <w:rFonts w:eastAsia="Calibri" w:cs="Arial"/>
              </w:rPr>
            </w:pPr>
            <w:r w:rsidRPr="001570EA">
              <w:rPr>
                <w:szCs w:val="18"/>
              </w:rPr>
              <w:t>Default = 50%</w:t>
            </w:r>
          </w:p>
        </w:tc>
        <w:tc>
          <w:tcPr>
            <w:tcW w:w="964" w:type="pct"/>
            <w:tcBorders>
              <w:top w:val="single" w:sz="4" w:space="0" w:color="auto"/>
              <w:left w:val="single" w:sz="4" w:space="0" w:color="auto"/>
              <w:bottom w:val="single" w:sz="4" w:space="0" w:color="auto"/>
              <w:right w:val="single" w:sz="4" w:space="0" w:color="auto"/>
            </w:tcBorders>
            <w:vAlign w:val="center"/>
          </w:tcPr>
          <w:p w14:paraId="35582B8F" w14:textId="77777777" w:rsidR="007376E1" w:rsidRPr="001570EA" w:rsidRDefault="007376E1">
            <w:pPr>
              <w:pStyle w:val="TableCell"/>
              <w:keepNext w:val="0"/>
              <w:spacing w:before="60" w:after="60" w:line="256" w:lineRule="auto"/>
              <w:jc w:val="center"/>
              <w:rPr>
                <w:rFonts w:eastAsia="Calibri" w:cs="Arial"/>
                <w:szCs w:val="18"/>
              </w:rPr>
            </w:pPr>
            <w:r w:rsidRPr="001570EA">
              <w:rPr>
                <w:rFonts w:eastAsia="Calibri" w:cs="Arial"/>
                <w:szCs w:val="18"/>
              </w:rPr>
              <w:t>6</w:t>
            </w:r>
          </w:p>
        </w:tc>
      </w:tr>
      <w:tr w:rsidR="007376E1" w:rsidRPr="001570EA" w14:paraId="4433F6B6" w14:textId="77777777">
        <w:trPr>
          <w:trHeight w:val="20"/>
        </w:trPr>
        <w:tc>
          <w:tcPr>
            <w:tcW w:w="1297" w:type="pct"/>
            <w:tcBorders>
              <w:left w:val="single" w:sz="4" w:space="0" w:color="auto"/>
              <w:right w:val="single" w:sz="4" w:space="0" w:color="auto"/>
            </w:tcBorders>
            <w:vAlign w:val="center"/>
          </w:tcPr>
          <w:p w14:paraId="192AC733" w14:textId="75450885" w:rsidR="007376E1" w:rsidRPr="001570EA" w:rsidRDefault="003B5E04">
            <w:pPr>
              <w:pStyle w:val="TableCell"/>
              <w:keepNext w:val="0"/>
              <w:spacing w:before="60" w:after="60" w:line="256" w:lineRule="auto"/>
              <w:jc w:val="left"/>
              <w:rPr>
                <w:rFonts w:eastAsia="Calibri" w:cs="Arial"/>
                <w:i/>
                <w:szCs w:val="18"/>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summer</m:t>
                  </m:r>
                </m:sub>
              </m:sSub>
            </m:oMath>
            <w:r w:rsidR="007376E1" w:rsidRPr="001570EA">
              <w:rPr>
                <w:szCs w:val="18"/>
              </w:rPr>
              <w:t>, Demand Coincidence Factor during the summer months</w:t>
            </w:r>
          </w:p>
        </w:tc>
        <w:tc>
          <w:tcPr>
            <w:tcW w:w="1087" w:type="pct"/>
            <w:tcBorders>
              <w:left w:val="single" w:sz="4" w:space="0" w:color="auto"/>
              <w:right w:val="single" w:sz="4" w:space="0" w:color="auto"/>
            </w:tcBorders>
            <w:vAlign w:val="center"/>
          </w:tcPr>
          <w:p w14:paraId="1928B058" w14:textId="77777777" w:rsidR="007376E1" w:rsidRPr="001570EA" w:rsidRDefault="007376E1">
            <w:pPr>
              <w:pStyle w:val="TableCell"/>
              <w:keepNext w:val="0"/>
              <w:spacing w:before="60" w:after="60" w:line="256" w:lineRule="auto"/>
              <w:jc w:val="center"/>
              <w:rPr>
                <w:rFonts w:eastAsia="Calibri" w:cs="Arial"/>
                <w:i/>
                <w:iCs/>
              </w:rPr>
            </w:pPr>
            <w:r w:rsidRPr="001570EA">
              <w:rPr>
                <w:i/>
                <w:iCs/>
                <w:szCs w:val="18"/>
              </w:rPr>
              <w:t>Proportion</w:t>
            </w:r>
          </w:p>
        </w:tc>
        <w:tc>
          <w:tcPr>
            <w:tcW w:w="1652" w:type="pct"/>
            <w:tcBorders>
              <w:top w:val="single" w:sz="4" w:space="0" w:color="auto"/>
              <w:left w:val="single" w:sz="4" w:space="0" w:color="auto"/>
              <w:bottom w:val="single" w:sz="4" w:space="0" w:color="auto"/>
              <w:right w:val="single" w:sz="4" w:space="0" w:color="auto"/>
            </w:tcBorders>
            <w:vAlign w:val="center"/>
          </w:tcPr>
          <w:p w14:paraId="4901D804" w14:textId="77777777" w:rsidR="007376E1" w:rsidRPr="001570EA" w:rsidRDefault="007376E1">
            <w:pPr>
              <w:pStyle w:val="TableCell"/>
              <w:keepNext w:val="0"/>
              <w:spacing w:before="60" w:after="60" w:line="256" w:lineRule="auto"/>
              <w:jc w:val="center"/>
              <w:rPr>
                <w:rFonts w:eastAsia="Calibri" w:cs="Arial"/>
              </w:rPr>
            </w:pPr>
            <w:r w:rsidRPr="001570EA">
              <w:rPr>
                <w:szCs w:val="18"/>
              </w:rPr>
              <w:t xml:space="preserve">See </w:t>
            </w:r>
            <w:r w:rsidRPr="001570EA">
              <w:rPr>
                <w:i/>
                <w:szCs w:val="18"/>
              </w:rPr>
              <w:t>CF</w:t>
            </w:r>
            <w:r w:rsidRPr="001570EA">
              <w:rPr>
                <w:szCs w:val="18"/>
              </w:rPr>
              <w:t xml:space="preserve"> in Vol. 1, App. A</w:t>
            </w:r>
          </w:p>
        </w:tc>
        <w:tc>
          <w:tcPr>
            <w:tcW w:w="964" w:type="pct"/>
            <w:tcBorders>
              <w:top w:val="single" w:sz="4" w:space="0" w:color="auto"/>
              <w:left w:val="single" w:sz="4" w:space="0" w:color="auto"/>
              <w:bottom w:val="single" w:sz="4" w:space="0" w:color="auto"/>
              <w:right w:val="single" w:sz="4" w:space="0" w:color="auto"/>
            </w:tcBorders>
            <w:vAlign w:val="center"/>
          </w:tcPr>
          <w:p w14:paraId="66C8E632" w14:textId="77777777" w:rsidR="007376E1" w:rsidRPr="001570EA" w:rsidRDefault="007376E1">
            <w:pPr>
              <w:pStyle w:val="TableCell"/>
              <w:keepNext w:val="0"/>
              <w:spacing w:before="60" w:after="60" w:line="256" w:lineRule="auto"/>
              <w:jc w:val="center"/>
              <w:rPr>
                <w:rFonts w:eastAsia="Calibri" w:cs="Arial"/>
                <w:szCs w:val="18"/>
              </w:rPr>
            </w:pPr>
            <w:r w:rsidRPr="001570EA">
              <w:rPr>
                <w:szCs w:val="18"/>
              </w:rPr>
              <w:t>4</w:t>
            </w:r>
          </w:p>
        </w:tc>
      </w:tr>
      <w:tr w:rsidR="007376E1" w:rsidRPr="001570EA" w14:paraId="4512E811" w14:textId="77777777">
        <w:trPr>
          <w:trHeight w:val="20"/>
        </w:trPr>
        <w:tc>
          <w:tcPr>
            <w:tcW w:w="1297" w:type="pct"/>
            <w:tcBorders>
              <w:left w:val="single" w:sz="4" w:space="0" w:color="auto"/>
              <w:right w:val="single" w:sz="4" w:space="0" w:color="auto"/>
            </w:tcBorders>
            <w:vAlign w:val="center"/>
          </w:tcPr>
          <w:p w14:paraId="188C8933" w14:textId="7464C3C9" w:rsidR="007376E1" w:rsidRPr="001570EA" w:rsidRDefault="003B5E04">
            <w:pPr>
              <w:pStyle w:val="TableCell"/>
              <w:keepNext w:val="0"/>
              <w:spacing w:before="60" w:after="60" w:line="256" w:lineRule="auto"/>
              <w:jc w:val="left"/>
              <w:rPr>
                <w:i/>
                <w:iCs/>
                <w:szCs w:val="18"/>
              </w:rPr>
            </w:pPr>
            <m:oMath>
              <m:sSub>
                <m:sSubPr>
                  <m:ctrlPr>
                    <w:rPr>
                      <w:rFonts w:ascii="Cambria Math" w:hAnsi="Cambria Math" w:cs="Arial"/>
                    </w:rPr>
                  </m:ctrlPr>
                </m:sSubPr>
                <m:e>
                  <m:r>
                    <w:rPr>
                      <w:rFonts w:ascii="Cambria Math" w:hAnsi="Cambria Math" w:cs="Arial"/>
                    </w:rPr>
                    <m:t>CF</m:t>
                  </m:r>
                </m:e>
                <m:sub>
                  <m:r>
                    <w:rPr>
                      <w:rFonts w:ascii="Cambria Math" w:hAnsi="Cambria Math" w:cs="Arial"/>
                    </w:rPr>
                    <m:t>winter</m:t>
                  </m:r>
                </m:sub>
              </m:sSub>
            </m:oMath>
            <w:r w:rsidR="007376E1" w:rsidRPr="001570EA">
              <w:rPr>
                <w:szCs w:val="18"/>
              </w:rPr>
              <w:t>, Demand Coincidence Factor during the winter months</w:t>
            </w:r>
          </w:p>
        </w:tc>
        <w:tc>
          <w:tcPr>
            <w:tcW w:w="1087" w:type="pct"/>
            <w:tcBorders>
              <w:left w:val="single" w:sz="4" w:space="0" w:color="auto"/>
              <w:right w:val="single" w:sz="4" w:space="0" w:color="auto"/>
            </w:tcBorders>
            <w:vAlign w:val="center"/>
          </w:tcPr>
          <w:p w14:paraId="62781E46" w14:textId="77777777" w:rsidR="007376E1" w:rsidRPr="001570EA" w:rsidRDefault="007376E1">
            <w:pPr>
              <w:pStyle w:val="TableCell"/>
              <w:keepNext w:val="0"/>
              <w:spacing w:before="60" w:after="60" w:line="256" w:lineRule="auto"/>
              <w:jc w:val="center"/>
              <w:rPr>
                <w:i/>
                <w:iCs/>
                <w:szCs w:val="18"/>
              </w:rPr>
            </w:pPr>
            <w:r w:rsidRPr="001570EA">
              <w:rPr>
                <w:i/>
                <w:iCs/>
                <w:szCs w:val="18"/>
              </w:rPr>
              <w:t>Proportion</w:t>
            </w:r>
          </w:p>
        </w:tc>
        <w:tc>
          <w:tcPr>
            <w:tcW w:w="1652" w:type="pct"/>
            <w:tcBorders>
              <w:top w:val="single" w:sz="4" w:space="0" w:color="auto"/>
              <w:left w:val="single" w:sz="4" w:space="0" w:color="auto"/>
              <w:bottom w:val="single" w:sz="4" w:space="0" w:color="auto"/>
              <w:right w:val="single" w:sz="4" w:space="0" w:color="auto"/>
            </w:tcBorders>
            <w:vAlign w:val="center"/>
          </w:tcPr>
          <w:p w14:paraId="352E5ED6" w14:textId="77777777" w:rsidR="007376E1" w:rsidRPr="001570EA" w:rsidRDefault="007376E1">
            <w:pPr>
              <w:pStyle w:val="TableCell"/>
              <w:keepNext w:val="0"/>
              <w:spacing w:before="60" w:after="60" w:line="256" w:lineRule="auto"/>
              <w:jc w:val="center"/>
              <w:rPr>
                <w:szCs w:val="18"/>
              </w:rPr>
            </w:pPr>
            <w:r w:rsidRPr="001570EA">
              <w:rPr>
                <w:szCs w:val="18"/>
              </w:rPr>
              <w:t xml:space="preserve">See </w:t>
            </w:r>
            <w:r w:rsidRPr="001570EA">
              <w:rPr>
                <w:i/>
                <w:szCs w:val="18"/>
              </w:rPr>
              <w:t>CF</w:t>
            </w:r>
            <w:r w:rsidRPr="001570EA">
              <w:rPr>
                <w:szCs w:val="18"/>
              </w:rPr>
              <w:t xml:space="preserve"> in Vol. 1, App. A</w:t>
            </w:r>
          </w:p>
        </w:tc>
        <w:tc>
          <w:tcPr>
            <w:tcW w:w="964" w:type="pct"/>
            <w:tcBorders>
              <w:top w:val="single" w:sz="4" w:space="0" w:color="auto"/>
              <w:left w:val="single" w:sz="4" w:space="0" w:color="auto"/>
              <w:bottom w:val="single" w:sz="4" w:space="0" w:color="auto"/>
              <w:right w:val="single" w:sz="4" w:space="0" w:color="auto"/>
            </w:tcBorders>
            <w:vAlign w:val="center"/>
          </w:tcPr>
          <w:p w14:paraId="4EF917CD" w14:textId="77777777" w:rsidR="007376E1" w:rsidRPr="001570EA" w:rsidDel="00ED7781" w:rsidRDefault="007376E1">
            <w:pPr>
              <w:pStyle w:val="TableCell"/>
              <w:keepNext w:val="0"/>
              <w:spacing w:before="60" w:after="60" w:line="256" w:lineRule="auto"/>
              <w:jc w:val="center"/>
              <w:rPr>
                <w:szCs w:val="18"/>
              </w:rPr>
            </w:pPr>
            <w:r w:rsidRPr="001570EA">
              <w:rPr>
                <w:szCs w:val="18"/>
              </w:rPr>
              <w:t>4</w:t>
            </w:r>
          </w:p>
        </w:tc>
      </w:tr>
      <w:tr w:rsidR="007376E1" w:rsidRPr="001570EA" w14:paraId="084B41CE" w14:textId="77777777">
        <w:trPr>
          <w:trHeight w:val="20"/>
        </w:trPr>
        <w:tc>
          <w:tcPr>
            <w:tcW w:w="1297" w:type="pct"/>
            <w:tcBorders>
              <w:left w:val="single" w:sz="4" w:space="0" w:color="auto"/>
              <w:right w:val="single" w:sz="4" w:space="0" w:color="auto"/>
            </w:tcBorders>
          </w:tcPr>
          <w:p w14:paraId="015DB0CB" w14:textId="77777777" w:rsidR="007376E1" w:rsidRPr="001570EA" w:rsidRDefault="007376E1">
            <w:pPr>
              <w:pStyle w:val="TableCell"/>
              <w:keepNext w:val="0"/>
              <w:spacing w:before="60" w:after="60" w:line="256" w:lineRule="auto"/>
              <w:jc w:val="left"/>
              <w:rPr>
                <w:rFonts w:eastAsia="Calibri" w:cs="Arial"/>
                <w:szCs w:val="18"/>
              </w:rPr>
            </w:pPr>
            <w:r w:rsidRPr="001570EA">
              <w:rPr>
                <w:rFonts w:eastAsia="Calibri" w:cs="Arial"/>
                <w:i/>
                <w:szCs w:val="18"/>
              </w:rPr>
              <w:t>DF</w:t>
            </w:r>
            <w:r w:rsidRPr="001570EA">
              <w:rPr>
                <w:rFonts w:eastAsia="Calibri" w:cs="Arial"/>
                <w:szCs w:val="18"/>
              </w:rPr>
              <w:t>, Derate Factor for Electric Resistance Heating Systems</w:t>
            </w:r>
          </w:p>
        </w:tc>
        <w:tc>
          <w:tcPr>
            <w:tcW w:w="1087" w:type="pct"/>
            <w:tcBorders>
              <w:left w:val="single" w:sz="4" w:space="0" w:color="auto"/>
              <w:right w:val="single" w:sz="4" w:space="0" w:color="auto"/>
            </w:tcBorders>
            <w:vAlign w:val="center"/>
          </w:tcPr>
          <w:p w14:paraId="0253FC58" w14:textId="77777777" w:rsidR="007376E1" w:rsidRPr="001570EA" w:rsidRDefault="007376E1">
            <w:pPr>
              <w:pStyle w:val="TableCell"/>
              <w:keepNext w:val="0"/>
              <w:spacing w:before="60" w:after="60" w:line="256" w:lineRule="auto"/>
              <w:jc w:val="center"/>
              <w:rPr>
                <w:rFonts w:eastAsia="Calibri" w:cs="Arial"/>
                <w:i/>
                <w:szCs w:val="18"/>
              </w:rPr>
            </w:pPr>
            <w:r w:rsidRPr="001570EA">
              <w:rPr>
                <w:rFonts w:eastAsia="Calibri" w:cs="Arial"/>
                <w:i/>
                <w:szCs w:val="18"/>
              </w:rPr>
              <w:t>None</w:t>
            </w:r>
          </w:p>
        </w:tc>
        <w:tc>
          <w:tcPr>
            <w:tcW w:w="1652" w:type="pct"/>
            <w:tcBorders>
              <w:top w:val="single" w:sz="4" w:space="0" w:color="auto"/>
              <w:left w:val="single" w:sz="4" w:space="0" w:color="auto"/>
              <w:bottom w:val="single" w:sz="4" w:space="0" w:color="auto"/>
              <w:right w:val="single" w:sz="4" w:space="0" w:color="auto"/>
            </w:tcBorders>
            <w:vAlign w:val="center"/>
          </w:tcPr>
          <w:p w14:paraId="6B046FF8" w14:textId="77777777" w:rsidR="007376E1" w:rsidRPr="001570EA" w:rsidRDefault="007376E1">
            <w:pPr>
              <w:pStyle w:val="TableCell"/>
              <w:keepNext w:val="0"/>
              <w:spacing w:before="60" w:after="60" w:line="256" w:lineRule="auto"/>
              <w:jc w:val="center"/>
              <w:rPr>
                <w:szCs w:val="18"/>
              </w:rPr>
            </w:pPr>
            <w:r w:rsidRPr="001570EA">
              <w:rPr>
                <w:szCs w:val="18"/>
              </w:rPr>
              <w:t>0.85</w:t>
            </w:r>
          </w:p>
        </w:tc>
        <w:tc>
          <w:tcPr>
            <w:tcW w:w="964" w:type="pct"/>
            <w:tcBorders>
              <w:top w:val="single" w:sz="4" w:space="0" w:color="auto"/>
              <w:left w:val="single" w:sz="4" w:space="0" w:color="auto"/>
              <w:bottom w:val="single" w:sz="4" w:space="0" w:color="auto"/>
              <w:right w:val="single" w:sz="4" w:space="0" w:color="auto"/>
            </w:tcBorders>
            <w:vAlign w:val="center"/>
          </w:tcPr>
          <w:p w14:paraId="244864AF" w14:textId="77777777" w:rsidR="007376E1" w:rsidRPr="001570EA" w:rsidRDefault="007376E1">
            <w:pPr>
              <w:pStyle w:val="TableCell"/>
              <w:keepNext w:val="0"/>
              <w:spacing w:before="60" w:after="60" w:line="256" w:lineRule="auto"/>
              <w:jc w:val="center"/>
              <w:rPr>
                <w:rFonts w:eastAsia="Calibri" w:cs="Arial"/>
                <w:szCs w:val="18"/>
              </w:rPr>
            </w:pPr>
            <w:r w:rsidRPr="001570EA">
              <w:rPr>
                <w:rFonts w:eastAsia="Calibri" w:cs="Arial"/>
                <w:szCs w:val="18"/>
              </w:rPr>
              <w:t>Professional Judgement</w:t>
            </w:r>
          </w:p>
        </w:tc>
      </w:tr>
    </w:tbl>
    <w:p w14:paraId="4A28201A" w14:textId="77777777" w:rsidR="007376E1" w:rsidRPr="001570EA" w:rsidRDefault="007376E1" w:rsidP="007376E1">
      <w:r w:rsidRPr="001570EA">
        <w:t>Note: Where appropriate, nameplate data collected for usage in savings calculations (i.e., SEER, EER, HSPF) should be converted to new efficiency metrics (i.e., SEER2, EER2, HSPF2) using conversion equations laid out in Vol. 1 App. A</w:t>
      </w:r>
    </w:p>
    <w:p w14:paraId="00645BFE" w14:textId="77777777" w:rsidR="007376E1" w:rsidRPr="001570EA" w:rsidRDefault="007376E1" w:rsidP="007376E1"/>
    <w:p w14:paraId="2529CAE2" w14:textId="262653CF" w:rsidR="007376E1" w:rsidRPr="001570EA" w:rsidRDefault="00E56481" w:rsidP="007376E1">
      <w:pPr>
        <w:pStyle w:val="Caption"/>
        <w:keepLines/>
        <w:rPr>
          <w:rFonts w:ascii="Arial" w:hAnsi="Arial" w:cs="Arial"/>
          <w:b w:val="0"/>
        </w:rPr>
      </w:pPr>
      <w:r w:rsidRPr="00631F98">
        <w:rPr>
          <w:rFonts w:ascii="Arial" w:hAnsi="Arial" w:cs="Arial"/>
          <w:b w:val="0"/>
        </w:rPr>
        <w:fldChar w:fldCharType="begin"/>
      </w:r>
      <w:r w:rsidRPr="00631F98">
        <w:rPr>
          <w:rFonts w:ascii="Arial" w:hAnsi="Arial" w:cs="Arial"/>
          <w:b w:val="0"/>
        </w:rPr>
        <w:instrText xml:space="preserve"> REF _Ref163908488 \h  \* MERGEFORMAT </w:instrText>
      </w:r>
      <w:r w:rsidRPr="00631F98">
        <w:rPr>
          <w:rFonts w:ascii="Arial" w:hAnsi="Arial" w:cs="Arial"/>
          <w:b w:val="0"/>
        </w:rPr>
      </w:r>
      <w:r w:rsidRPr="00631F98">
        <w:rPr>
          <w:rFonts w:ascii="Arial" w:hAnsi="Arial" w:cs="Arial"/>
          <w:b w:val="0"/>
        </w:rPr>
        <w:fldChar w:fldCharType="separate"/>
      </w:r>
      <w:r w:rsidR="00384D95" w:rsidRPr="008D0931">
        <w:rPr>
          <w:rFonts w:ascii="Arial" w:hAnsi="Arial" w:cs="Arial"/>
          <w:b w:val="0"/>
        </w:rPr>
        <w:t xml:space="preserve">Table </w:t>
      </w:r>
      <w:r w:rsidR="00384D95" w:rsidRPr="008D0931">
        <w:rPr>
          <w:rFonts w:ascii="Arial" w:hAnsi="Arial" w:cs="Arial"/>
          <w:b w:val="0"/>
          <w:noProof/>
        </w:rPr>
        <w:t>2</w:t>
      </w:r>
      <w:r w:rsidR="00384D95" w:rsidRPr="008D0931">
        <w:rPr>
          <w:rFonts w:ascii="Arial" w:hAnsi="Arial" w:cs="Arial"/>
          <w:b w:val="0"/>
          <w:noProof/>
        </w:rPr>
        <w:noBreakHyphen/>
        <w:t>46</w:t>
      </w:r>
      <w:r w:rsidRPr="00631F98">
        <w:rPr>
          <w:rFonts w:ascii="Arial" w:hAnsi="Arial" w:cs="Arial"/>
          <w:b w:val="0"/>
        </w:rPr>
        <w:fldChar w:fldCharType="end"/>
      </w:r>
      <w:r w:rsidRPr="00631F98">
        <w:rPr>
          <w:rFonts w:ascii="Arial" w:hAnsi="Arial" w:cs="Arial"/>
          <w:b w:val="0"/>
        </w:rPr>
        <w:t xml:space="preserve"> </w:t>
      </w:r>
      <w:r w:rsidR="007376E1" w:rsidRPr="00631F98">
        <w:rPr>
          <w:rFonts w:ascii="Arial" w:hAnsi="Arial" w:cs="Arial"/>
          <w:b w:val="0"/>
        </w:rPr>
        <w:t xml:space="preserve">and </w:t>
      </w:r>
      <w:r w:rsidRPr="00631F98">
        <w:rPr>
          <w:rFonts w:ascii="Arial" w:hAnsi="Arial" w:cs="Arial"/>
          <w:b w:val="0"/>
        </w:rPr>
        <w:fldChar w:fldCharType="begin"/>
      </w:r>
      <w:r w:rsidRPr="00631F98">
        <w:rPr>
          <w:rFonts w:ascii="Arial" w:hAnsi="Arial" w:cs="Arial"/>
          <w:b w:val="0"/>
        </w:rPr>
        <w:instrText xml:space="preserve"> REF _Ref163908496 \h  \* MERGEFORMAT </w:instrText>
      </w:r>
      <w:r w:rsidRPr="00631F98">
        <w:rPr>
          <w:rFonts w:ascii="Arial" w:hAnsi="Arial" w:cs="Arial"/>
          <w:b w:val="0"/>
        </w:rPr>
      </w:r>
      <w:r w:rsidRPr="00631F98">
        <w:rPr>
          <w:rFonts w:ascii="Arial" w:hAnsi="Arial" w:cs="Arial"/>
          <w:b w:val="0"/>
        </w:rPr>
        <w:fldChar w:fldCharType="separate"/>
      </w:r>
      <w:r w:rsidR="00384D95" w:rsidRPr="008D0931">
        <w:rPr>
          <w:rFonts w:ascii="Arial" w:hAnsi="Arial" w:cs="Arial"/>
          <w:b w:val="0"/>
        </w:rPr>
        <w:t xml:space="preserve">Table </w:t>
      </w:r>
      <w:r w:rsidR="00384D95" w:rsidRPr="008D0931">
        <w:rPr>
          <w:rFonts w:ascii="Arial" w:hAnsi="Arial" w:cs="Arial"/>
          <w:b w:val="0"/>
          <w:noProof/>
        </w:rPr>
        <w:t>2</w:t>
      </w:r>
      <w:r w:rsidR="00384D95" w:rsidRPr="008D0931">
        <w:rPr>
          <w:rFonts w:ascii="Arial" w:hAnsi="Arial" w:cs="Arial"/>
          <w:b w:val="0"/>
          <w:noProof/>
        </w:rPr>
        <w:noBreakHyphen/>
        <w:t>47</w:t>
      </w:r>
      <w:r w:rsidRPr="00631F98">
        <w:rPr>
          <w:rFonts w:ascii="Arial" w:hAnsi="Arial" w:cs="Arial"/>
          <w:b w:val="0"/>
        </w:rPr>
        <w:fldChar w:fldCharType="end"/>
      </w:r>
      <w:r w:rsidRPr="00631F98">
        <w:rPr>
          <w:rFonts w:ascii="Arial" w:hAnsi="Arial" w:cs="Arial"/>
          <w:b w:val="0"/>
        </w:rPr>
        <w:t xml:space="preserve"> </w:t>
      </w:r>
      <w:r w:rsidR="007376E1" w:rsidRPr="00631F98">
        <w:rPr>
          <w:rFonts w:ascii="Arial" w:hAnsi="Arial" w:cs="Arial"/>
          <w:b w:val="0"/>
        </w:rPr>
        <w:t>show ESF values for cooling</w:t>
      </w:r>
      <w:r w:rsidR="007376E1" w:rsidRPr="001570EA">
        <w:rPr>
          <w:rFonts w:ascii="Arial" w:hAnsi="Arial" w:cs="Arial"/>
          <w:b w:val="0"/>
        </w:rPr>
        <w:t xml:space="preserve"> and heating (percentage of heating or</w:t>
      </w:r>
      <w:r w:rsidR="0021347B">
        <w:rPr>
          <w:rFonts w:ascii="Arial" w:hAnsi="Arial" w:cs="Arial"/>
          <w:b w:val="0"/>
        </w:rPr>
        <w:t>’</w:t>
      </w:r>
      <w:r w:rsidR="007376E1" w:rsidRPr="001570EA">
        <w:rPr>
          <w:rFonts w:ascii="Arial" w:hAnsi="Arial" w:cs="Arial"/>
          <w:b w:val="0"/>
        </w:rPr>
        <w:t>cooling consumption saved by thermostat type, installation type, and HVAC system type). Each value taken from a secondary literature study has a footnote with its corresponding reference. All other ESF values (without footnotes) were calculated from the referenced value to find ESF values for different baselines.</w:t>
      </w:r>
    </w:p>
    <w:p w14:paraId="4F590F00" w14:textId="77777777" w:rsidR="007376E1" w:rsidRPr="001570EA" w:rsidRDefault="007376E1" w:rsidP="007376E1"/>
    <w:p w14:paraId="26A1657E" w14:textId="5C8A2B94" w:rsidR="007376E1" w:rsidRPr="001570EA" w:rsidRDefault="00521734" w:rsidP="00597241">
      <w:pPr>
        <w:pStyle w:val="Caption"/>
        <w:keepNext w:val="0"/>
        <w:widowControl w:val="0"/>
        <w:rPr>
          <w:rFonts w:cs="Arial"/>
        </w:rPr>
      </w:pPr>
      <w:bookmarkStart w:id="303" w:name="_Ref444855161"/>
      <w:bookmarkStart w:id="304" w:name="_Ref163908488"/>
      <w:bookmarkEnd w:id="30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46</w:t>
      </w:r>
      <w:r w:rsidR="002E093A" w:rsidRPr="001570EA">
        <w:fldChar w:fldCharType="end"/>
      </w:r>
      <w:bookmarkEnd w:id="304"/>
      <w:r w:rsidRPr="001570EA">
        <w:t>: Cooling Energy Savings Factors (ESFcool)</w:t>
      </w:r>
    </w:p>
    <w:tbl>
      <w:tblPr>
        <w:tblW w:w="5102" w:type="pct"/>
        <w:tblLook w:val="04A0" w:firstRow="1" w:lastRow="0" w:firstColumn="1" w:lastColumn="0" w:noHBand="0" w:noVBand="1"/>
      </w:tblPr>
      <w:tblGrid>
        <w:gridCol w:w="2425"/>
        <w:gridCol w:w="1980"/>
        <w:gridCol w:w="2187"/>
        <w:gridCol w:w="2214"/>
      </w:tblGrid>
      <w:tr w:rsidR="007376E1" w:rsidRPr="001570EA" w14:paraId="71AC06A6" w14:textId="77777777">
        <w:trPr>
          <w:trHeight w:val="552"/>
        </w:trPr>
        <w:tc>
          <w:tcPr>
            <w:tcW w:w="1377" w:type="pct"/>
            <w:tcBorders>
              <w:top w:val="single" w:sz="4" w:space="0" w:color="auto"/>
              <w:left w:val="single" w:sz="4" w:space="0" w:color="auto"/>
              <w:bottom w:val="nil"/>
              <w:right w:val="single" w:sz="4" w:space="0" w:color="auto"/>
            </w:tcBorders>
            <w:shd w:val="clear" w:color="000000" w:fill="D9D9D9"/>
            <w:vAlign w:val="center"/>
            <w:hideMark/>
          </w:tcPr>
          <w:p w14:paraId="18BF5B3B" w14:textId="77777777" w:rsidR="007376E1" w:rsidRPr="001570EA" w:rsidRDefault="007376E1" w:rsidP="00597241">
            <w:pPr>
              <w:widowControl w:val="0"/>
              <w:jc w:val="center"/>
              <w:rPr>
                <w:rFonts w:cs="Arial"/>
                <w:b/>
                <w:bCs/>
                <w:color w:val="000000"/>
                <w:sz w:val="18"/>
                <w:szCs w:val="18"/>
              </w:rPr>
            </w:pPr>
            <w:r w:rsidRPr="001570EA">
              <w:rPr>
                <w:rFonts w:cs="Arial"/>
                <w:b/>
                <w:bCs/>
                <w:color w:val="000000"/>
                <w:sz w:val="18"/>
                <w:szCs w:val="18"/>
              </w:rPr>
              <w:t>Installation Type</w:t>
            </w:r>
          </w:p>
        </w:tc>
        <w:tc>
          <w:tcPr>
            <w:tcW w:w="1124" w:type="pct"/>
            <w:tcBorders>
              <w:top w:val="single" w:sz="4" w:space="0" w:color="auto"/>
              <w:left w:val="nil"/>
              <w:bottom w:val="nil"/>
              <w:right w:val="single" w:sz="4" w:space="0" w:color="auto"/>
            </w:tcBorders>
            <w:shd w:val="clear" w:color="000000" w:fill="D9D9D9"/>
            <w:vAlign w:val="center"/>
            <w:hideMark/>
          </w:tcPr>
          <w:p w14:paraId="001BB2B7" w14:textId="77777777" w:rsidR="007376E1" w:rsidRPr="001570EA" w:rsidRDefault="007376E1" w:rsidP="00597241">
            <w:pPr>
              <w:widowControl w:val="0"/>
              <w:jc w:val="center"/>
              <w:rPr>
                <w:rFonts w:cs="Arial"/>
                <w:b/>
                <w:bCs/>
                <w:color w:val="000000"/>
                <w:sz w:val="18"/>
                <w:szCs w:val="18"/>
              </w:rPr>
            </w:pPr>
            <w:r w:rsidRPr="001570EA">
              <w:rPr>
                <w:rFonts w:cs="Arial"/>
                <w:b/>
                <w:bCs/>
                <w:color w:val="000000"/>
                <w:sz w:val="18"/>
                <w:szCs w:val="18"/>
              </w:rPr>
              <w:t>Baseline</w:t>
            </w:r>
          </w:p>
        </w:tc>
        <w:tc>
          <w:tcPr>
            <w:tcW w:w="1242" w:type="pct"/>
            <w:tcBorders>
              <w:top w:val="single" w:sz="4" w:space="0" w:color="auto"/>
              <w:left w:val="nil"/>
              <w:bottom w:val="nil"/>
              <w:right w:val="single" w:sz="4" w:space="0" w:color="auto"/>
            </w:tcBorders>
            <w:shd w:val="clear" w:color="000000" w:fill="D9D9D9"/>
            <w:vAlign w:val="center"/>
            <w:hideMark/>
          </w:tcPr>
          <w:p w14:paraId="41A3C682" w14:textId="77777777" w:rsidR="007376E1" w:rsidRPr="001570EA" w:rsidRDefault="007376E1" w:rsidP="00597241">
            <w:pPr>
              <w:widowControl w:val="0"/>
              <w:jc w:val="center"/>
              <w:rPr>
                <w:rFonts w:cs="Arial"/>
                <w:b/>
                <w:bCs/>
                <w:color w:val="000000"/>
                <w:sz w:val="18"/>
                <w:szCs w:val="18"/>
              </w:rPr>
            </w:pPr>
            <w:r w:rsidRPr="001570EA">
              <w:rPr>
                <w:rFonts w:cs="Arial"/>
                <w:b/>
                <w:bCs/>
                <w:color w:val="000000"/>
                <w:sz w:val="18"/>
                <w:szCs w:val="18"/>
              </w:rPr>
              <w:t>ASHP Cooling</w:t>
            </w:r>
          </w:p>
        </w:tc>
        <w:tc>
          <w:tcPr>
            <w:tcW w:w="1257" w:type="pct"/>
            <w:tcBorders>
              <w:top w:val="single" w:sz="4" w:space="0" w:color="auto"/>
              <w:left w:val="nil"/>
              <w:bottom w:val="nil"/>
              <w:right w:val="single" w:sz="4" w:space="0" w:color="auto"/>
            </w:tcBorders>
            <w:shd w:val="clear" w:color="000000" w:fill="D9D9D9"/>
            <w:vAlign w:val="center"/>
            <w:hideMark/>
          </w:tcPr>
          <w:p w14:paraId="430353A0" w14:textId="77777777" w:rsidR="007376E1" w:rsidRPr="001570EA" w:rsidRDefault="007376E1" w:rsidP="00597241">
            <w:pPr>
              <w:widowControl w:val="0"/>
              <w:jc w:val="center"/>
              <w:rPr>
                <w:rFonts w:cs="Arial"/>
                <w:b/>
                <w:bCs/>
                <w:color w:val="000000"/>
                <w:sz w:val="18"/>
                <w:szCs w:val="18"/>
              </w:rPr>
            </w:pPr>
            <w:r w:rsidRPr="001570EA">
              <w:rPr>
                <w:rFonts w:cs="Arial"/>
                <w:b/>
                <w:bCs/>
                <w:color w:val="000000"/>
                <w:sz w:val="18"/>
                <w:szCs w:val="18"/>
              </w:rPr>
              <w:t>CAC Cooling</w:t>
            </w:r>
          </w:p>
        </w:tc>
      </w:tr>
      <w:tr w:rsidR="007376E1" w:rsidRPr="001570EA" w14:paraId="43F27F60" w14:textId="77777777" w:rsidTr="00597241">
        <w:trPr>
          <w:trHeight w:val="552"/>
        </w:trPr>
        <w:tc>
          <w:tcPr>
            <w:tcW w:w="1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8133A" w14:textId="77777777" w:rsidR="007376E1" w:rsidRPr="001570EA" w:rsidRDefault="007376E1" w:rsidP="00597241">
            <w:pPr>
              <w:widowControl w:val="0"/>
              <w:jc w:val="left"/>
              <w:rPr>
                <w:rFonts w:cs="Arial"/>
                <w:color w:val="000000"/>
                <w:sz w:val="18"/>
                <w:szCs w:val="18"/>
              </w:rPr>
            </w:pPr>
            <w:r w:rsidRPr="001570EA">
              <w:rPr>
                <w:rFonts w:cs="Arial"/>
                <w:color w:val="000000"/>
                <w:sz w:val="18"/>
                <w:szCs w:val="18"/>
              </w:rPr>
              <w:t>Upstream buy-down (Customer Self-Installation)</w:t>
            </w:r>
          </w:p>
        </w:tc>
        <w:tc>
          <w:tcPr>
            <w:tcW w:w="1124" w:type="pct"/>
            <w:tcBorders>
              <w:top w:val="single" w:sz="4" w:space="0" w:color="auto"/>
              <w:left w:val="nil"/>
              <w:bottom w:val="single" w:sz="4" w:space="0" w:color="auto"/>
              <w:right w:val="nil"/>
            </w:tcBorders>
            <w:shd w:val="clear" w:color="auto" w:fill="auto"/>
            <w:vAlign w:val="center"/>
            <w:hideMark/>
          </w:tcPr>
          <w:p w14:paraId="52567AE6" w14:textId="77777777" w:rsidR="007376E1" w:rsidRPr="001570EA" w:rsidRDefault="007376E1" w:rsidP="00597241">
            <w:pPr>
              <w:widowControl w:val="0"/>
              <w:rPr>
                <w:rFonts w:cs="Arial"/>
                <w:color w:val="000000"/>
                <w:sz w:val="18"/>
                <w:szCs w:val="18"/>
              </w:rPr>
            </w:pPr>
            <w:r w:rsidRPr="001570EA">
              <w:rPr>
                <w:rFonts w:cs="Arial"/>
                <w:color w:val="000000"/>
                <w:sz w:val="18"/>
                <w:szCs w:val="18"/>
              </w:rPr>
              <w:t xml:space="preserve">Unknown Mix Default </w:t>
            </w:r>
          </w:p>
        </w:tc>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5B9DF" w14:textId="77777777" w:rsidR="007376E1" w:rsidRPr="001570EA" w:rsidRDefault="007376E1" w:rsidP="00597241">
            <w:pPr>
              <w:widowControl w:val="0"/>
              <w:jc w:val="center"/>
              <w:rPr>
                <w:rFonts w:cs="Arial"/>
                <w:color w:val="000000"/>
                <w:sz w:val="18"/>
                <w:szCs w:val="18"/>
                <w:vertAlign w:val="superscript"/>
              </w:rPr>
            </w:pPr>
            <w:r w:rsidRPr="001570EA">
              <w:rPr>
                <w:rFonts w:cs="Arial"/>
                <w:color w:val="000000"/>
                <w:sz w:val="18"/>
                <w:szCs w:val="18"/>
              </w:rPr>
              <w:t>4.8%</w:t>
            </w:r>
            <w:r w:rsidRPr="001570EA">
              <w:rPr>
                <w:rFonts w:cs="Arial"/>
                <w:color w:val="000000"/>
                <w:sz w:val="18"/>
                <w:szCs w:val="18"/>
                <w:vertAlign w:val="superscript"/>
              </w:rPr>
              <w:t>a</w:t>
            </w:r>
          </w:p>
        </w:tc>
        <w:tc>
          <w:tcPr>
            <w:tcW w:w="1257" w:type="pct"/>
            <w:tcBorders>
              <w:top w:val="single" w:sz="4" w:space="0" w:color="auto"/>
              <w:left w:val="nil"/>
              <w:bottom w:val="single" w:sz="4" w:space="0" w:color="auto"/>
              <w:right w:val="single" w:sz="4" w:space="0" w:color="auto"/>
            </w:tcBorders>
            <w:shd w:val="clear" w:color="auto" w:fill="auto"/>
            <w:vAlign w:val="center"/>
            <w:hideMark/>
          </w:tcPr>
          <w:p w14:paraId="08A88492" w14:textId="77777777" w:rsidR="007376E1" w:rsidRPr="001570EA" w:rsidRDefault="007376E1" w:rsidP="00597241">
            <w:pPr>
              <w:widowControl w:val="0"/>
              <w:jc w:val="center"/>
              <w:rPr>
                <w:rFonts w:cs="Arial"/>
                <w:color w:val="000000"/>
                <w:sz w:val="18"/>
                <w:szCs w:val="18"/>
              </w:rPr>
            </w:pPr>
            <w:r w:rsidRPr="001570EA">
              <w:rPr>
                <w:rFonts w:cs="Arial"/>
                <w:color w:val="000000"/>
                <w:sz w:val="18"/>
                <w:szCs w:val="18"/>
              </w:rPr>
              <w:t>4.8%</w:t>
            </w:r>
            <w:r w:rsidRPr="001570EA">
              <w:rPr>
                <w:rFonts w:cs="Arial"/>
                <w:color w:val="000000"/>
                <w:sz w:val="18"/>
                <w:szCs w:val="18"/>
                <w:vertAlign w:val="superscript"/>
              </w:rPr>
              <w:t>a</w:t>
            </w:r>
          </w:p>
        </w:tc>
      </w:tr>
      <w:tr w:rsidR="007376E1" w:rsidRPr="001570EA" w14:paraId="2E2164A0" w14:textId="77777777" w:rsidTr="00597241">
        <w:trPr>
          <w:trHeight w:val="552"/>
        </w:trPr>
        <w:tc>
          <w:tcPr>
            <w:tcW w:w="1377" w:type="pct"/>
            <w:tcBorders>
              <w:top w:val="nil"/>
              <w:left w:val="single" w:sz="4" w:space="0" w:color="auto"/>
              <w:bottom w:val="single" w:sz="4" w:space="0" w:color="auto"/>
              <w:right w:val="single" w:sz="4" w:space="0" w:color="auto"/>
            </w:tcBorders>
            <w:shd w:val="clear" w:color="auto" w:fill="auto"/>
            <w:vAlign w:val="center"/>
            <w:hideMark/>
          </w:tcPr>
          <w:p w14:paraId="490D5167" w14:textId="77777777" w:rsidR="007376E1" w:rsidRPr="001570EA" w:rsidRDefault="007376E1" w:rsidP="00597241">
            <w:pPr>
              <w:widowControl w:val="0"/>
              <w:jc w:val="left"/>
              <w:rPr>
                <w:rFonts w:cs="Arial"/>
                <w:color w:val="000000"/>
                <w:sz w:val="18"/>
                <w:szCs w:val="18"/>
              </w:rPr>
            </w:pPr>
            <w:r w:rsidRPr="001570EA">
              <w:rPr>
                <w:rFonts w:cs="Arial"/>
                <w:color w:val="000000"/>
                <w:sz w:val="18"/>
                <w:szCs w:val="18"/>
              </w:rPr>
              <w:t>Customer Self-Installation with Education</w:t>
            </w:r>
          </w:p>
        </w:tc>
        <w:tc>
          <w:tcPr>
            <w:tcW w:w="1124" w:type="pct"/>
            <w:tcBorders>
              <w:top w:val="nil"/>
              <w:left w:val="nil"/>
              <w:bottom w:val="single" w:sz="4" w:space="0" w:color="auto"/>
              <w:right w:val="single" w:sz="4" w:space="0" w:color="auto"/>
            </w:tcBorders>
            <w:shd w:val="clear" w:color="auto" w:fill="auto"/>
            <w:vAlign w:val="center"/>
            <w:hideMark/>
          </w:tcPr>
          <w:p w14:paraId="1EF8B9DB" w14:textId="77777777" w:rsidR="007376E1" w:rsidRPr="001570EA" w:rsidRDefault="007376E1" w:rsidP="00597241">
            <w:pPr>
              <w:widowControl w:val="0"/>
              <w:rPr>
                <w:rFonts w:cs="Arial"/>
                <w:color w:val="000000"/>
                <w:sz w:val="18"/>
                <w:szCs w:val="18"/>
              </w:rPr>
            </w:pPr>
            <w:r w:rsidRPr="001570EA">
              <w:rPr>
                <w:rFonts w:cs="Arial"/>
                <w:color w:val="000000"/>
                <w:sz w:val="18"/>
                <w:szCs w:val="18"/>
              </w:rPr>
              <w:t xml:space="preserve">Unknown Mix Default </w:t>
            </w:r>
          </w:p>
        </w:tc>
        <w:tc>
          <w:tcPr>
            <w:tcW w:w="1242" w:type="pct"/>
            <w:tcBorders>
              <w:top w:val="nil"/>
              <w:left w:val="nil"/>
              <w:bottom w:val="single" w:sz="4" w:space="0" w:color="auto"/>
              <w:right w:val="single" w:sz="4" w:space="0" w:color="auto"/>
            </w:tcBorders>
            <w:shd w:val="clear" w:color="auto" w:fill="auto"/>
            <w:vAlign w:val="center"/>
            <w:hideMark/>
          </w:tcPr>
          <w:p w14:paraId="46FECD71" w14:textId="77777777" w:rsidR="007376E1" w:rsidRPr="001570EA" w:rsidRDefault="007376E1" w:rsidP="00597241">
            <w:pPr>
              <w:widowControl w:val="0"/>
              <w:jc w:val="center"/>
              <w:rPr>
                <w:rFonts w:cs="Arial"/>
                <w:color w:val="000000"/>
                <w:sz w:val="18"/>
                <w:szCs w:val="18"/>
                <w:vertAlign w:val="superscript"/>
              </w:rPr>
            </w:pPr>
            <w:r w:rsidRPr="001570EA">
              <w:rPr>
                <w:rFonts w:cs="Arial"/>
                <w:color w:val="000000"/>
                <w:sz w:val="18"/>
                <w:szCs w:val="18"/>
              </w:rPr>
              <w:t>7.4%</w:t>
            </w:r>
            <w:r w:rsidRPr="001570EA">
              <w:rPr>
                <w:rFonts w:cs="Arial"/>
                <w:color w:val="000000"/>
                <w:sz w:val="18"/>
                <w:szCs w:val="18"/>
                <w:vertAlign w:val="superscript"/>
              </w:rPr>
              <w:t>b</w:t>
            </w:r>
          </w:p>
        </w:tc>
        <w:tc>
          <w:tcPr>
            <w:tcW w:w="1257" w:type="pct"/>
            <w:tcBorders>
              <w:top w:val="nil"/>
              <w:left w:val="nil"/>
              <w:bottom w:val="single" w:sz="4" w:space="0" w:color="auto"/>
              <w:right w:val="single" w:sz="4" w:space="0" w:color="auto"/>
            </w:tcBorders>
            <w:shd w:val="clear" w:color="auto" w:fill="auto"/>
            <w:vAlign w:val="center"/>
            <w:hideMark/>
          </w:tcPr>
          <w:p w14:paraId="381C3B72" w14:textId="77777777" w:rsidR="007376E1" w:rsidRPr="001570EA" w:rsidRDefault="007376E1" w:rsidP="00597241">
            <w:pPr>
              <w:widowControl w:val="0"/>
              <w:jc w:val="center"/>
              <w:rPr>
                <w:rFonts w:cs="Arial"/>
                <w:color w:val="000000"/>
                <w:sz w:val="18"/>
                <w:szCs w:val="18"/>
              </w:rPr>
            </w:pPr>
            <w:r w:rsidRPr="001570EA">
              <w:rPr>
                <w:rFonts w:cs="Arial"/>
                <w:color w:val="000000"/>
                <w:sz w:val="18"/>
                <w:szCs w:val="18"/>
              </w:rPr>
              <w:t>7.4%</w:t>
            </w:r>
            <w:r w:rsidRPr="001570EA">
              <w:rPr>
                <w:rFonts w:cs="Arial"/>
                <w:color w:val="000000"/>
                <w:sz w:val="18"/>
                <w:szCs w:val="18"/>
                <w:vertAlign w:val="superscript"/>
              </w:rPr>
              <w:t>b</w:t>
            </w:r>
          </w:p>
        </w:tc>
      </w:tr>
      <w:tr w:rsidR="00E7359A" w:rsidRPr="001570EA" w14:paraId="2E9A2A3B" w14:textId="77777777" w:rsidTr="00CF0454">
        <w:trPr>
          <w:trHeight w:val="432"/>
        </w:trPr>
        <w:tc>
          <w:tcPr>
            <w:tcW w:w="1377" w:type="pct"/>
            <w:vMerge w:val="restart"/>
            <w:tcBorders>
              <w:top w:val="nil"/>
              <w:left w:val="single" w:sz="4" w:space="0" w:color="auto"/>
              <w:bottom w:val="single" w:sz="4" w:space="0" w:color="auto"/>
              <w:right w:val="single" w:sz="4" w:space="0" w:color="auto"/>
            </w:tcBorders>
            <w:shd w:val="clear" w:color="auto" w:fill="auto"/>
            <w:vAlign w:val="center"/>
            <w:hideMark/>
          </w:tcPr>
          <w:p w14:paraId="521E0A4B" w14:textId="77777777" w:rsidR="007376E1" w:rsidRPr="001570EA" w:rsidRDefault="007376E1" w:rsidP="00597241">
            <w:pPr>
              <w:widowControl w:val="0"/>
              <w:jc w:val="left"/>
              <w:rPr>
                <w:rFonts w:cs="Arial"/>
                <w:color w:val="000000"/>
                <w:sz w:val="18"/>
                <w:szCs w:val="18"/>
              </w:rPr>
            </w:pPr>
            <w:r w:rsidRPr="001570EA">
              <w:rPr>
                <w:rFonts w:cs="Arial"/>
                <w:color w:val="000000"/>
                <w:sz w:val="18"/>
                <w:szCs w:val="18"/>
              </w:rPr>
              <w:t>Professional Installation</w:t>
            </w:r>
          </w:p>
        </w:tc>
        <w:tc>
          <w:tcPr>
            <w:tcW w:w="1124" w:type="pct"/>
            <w:tcBorders>
              <w:top w:val="nil"/>
              <w:left w:val="nil"/>
              <w:bottom w:val="single" w:sz="4" w:space="0" w:color="auto"/>
              <w:right w:val="nil"/>
            </w:tcBorders>
            <w:shd w:val="clear" w:color="auto" w:fill="auto"/>
            <w:vAlign w:val="center"/>
            <w:hideMark/>
          </w:tcPr>
          <w:p w14:paraId="657DB39D" w14:textId="77777777" w:rsidR="007376E1" w:rsidRPr="001570EA" w:rsidRDefault="007376E1" w:rsidP="00597241">
            <w:pPr>
              <w:widowControl w:val="0"/>
              <w:rPr>
                <w:rFonts w:cs="Arial"/>
                <w:color w:val="000000"/>
                <w:sz w:val="18"/>
                <w:szCs w:val="18"/>
              </w:rPr>
            </w:pPr>
            <w:r w:rsidRPr="001570EA">
              <w:rPr>
                <w:rFonts w:cs="Arial"/>
                <w:color w:val="000000"/>
                <w:sz w:val="18"/>
                <w:szCs w:val="18"/>
              </w:rPr>
              <w:t>Manual</w:t>
            </w:r>
          </w:p>
        </w:tc>
        <w:tc>
          <w:tcPr>
            <w:tcW w:w="1242" w:type="pct"/>
            <w:tcBorders>
              <w:top w:val="nil"/>
              <w:left w:val="single" w:sz="4" w:space="0" w:color="auto"/>
              <w:bottom w:val="single" w:sz="4" w:space="0" w:color="auto"/>
              <w:right w:val="single" w:sz="4" w:space="0" w:color="auto"/>
            </w:tcBorders>
            <w:shd w:val="clear" w:color="auto" w:fill="auto"/>
            <w:vAlign w:val="center"/>
            <w:hideMark/>
          </w:tcPr>
          <w:p w14:paraId="22607C1B" w14:textId="77777777" w:rsidR="007376E1" w:rsidRPr="001570EA" w:rsidRDefault="007376E1" w:rsidP="00597241">
            <w:pPr>
              <w:widowControl w:val="0"/>
              <w:jc w:val="center"/>
              <w:rPr>
                <w:rFonts w:cs="Arial"/>
                <w:color w:val="000000"/>
                <w:sz w:val="18"/>
                <w:szCs w:val="18"/>
                <w:vertAlign w:val="superscript"/>
              </w:rPr>
            </w:pPr>
            <w:r w:rsidRPr="001570EA">
              <w:rPr>
                <w:rFonts w:cs="Arial"/>
                <w:color w:val="000000"/>
                <w:sz w:val="18"/>
                <w:szCs w:val="18"/>
              </w:rPr>
              <w:t>11.3%</w:t>
            </w:r>
            <w:r w:rsidRPr="001570EA">
              <w:rPr>
                <w:rFonts w:cs="Arial"/>
                <w:color w:val="000000"/>
                <w:sz w:val="18"/>
                <w:szCs w:val="18"/>
                <w:vertAlign w:val="superscript"/>
              </w:rPr>
              <w:t>c</w:t>
            </w:r>
          </w:p>
        </w:tc>
        <w:tc>
          <w:tcPr>
            <w:tcW w:w="1257" w:type="pct"/>
            <w:tcBorders>
              <w:top w:val="nil"/>
              <w:left w:val="nil"/>
              <w:bottom w:val="single" w:sz="4" w:space="0" w:color="auto"/>
              <w:right w:val="single" w:sz="4" w:space="0" w:color="auto"/>
            </w:tcBorders>
            <w:shd w:val="clear" w:color="auto" w:fill="auto"/>
            <w:vAlign w:val="center"/>
            <w:hideMark/>
          </w:tcPr>
          <w:p w14:paraId="6A85EB20" w14:textId="77777777" w:rsidR="007376E1" w:rsidRPr="001570EA" w:rsidRDefault="007376E1" w:rsidP="00597241">
            <w:pPr>
              <w:widowControl w:val="0"/>
              <w:jc w:val="center"/>
              <w:rPr>
                <w:rFonts w:cs="Arial"/>
                <w:color w:val="000000"/>
                <w:sz w:val="18"/>
                <w:szCs w:val="18"/>
              </w:rPr>
            </w:pPr>
            <w:r w:rsidRPr="001570EA">
              <w:rPr>
                <w:rFonts w:cs="Arial"/>
                <w:color w:val="000000"/>
                <w:sz w:val="18"/>
                <w:szCs w:val="18"/>
              </w:rPr>
              <w:t>11.3%</w:t>
            </w:r>
            <w:r w:rsidRPr="001570EA">
              <w:rPr>
                <w:rFonts w:cs="Arial"/>
                <w:color w:val="000000"/>
                <w:sz w:val="18"/>
                <w:szCs w:val="18"/>
                <w:vertAlign w:val="superscript"/>
              </w:rPr>
              <w:t>c</w:t>
            </w:r>
          </w:p>
        </w:tc>
      </w:tr>
      <w:tr w:rsidR="007376E1" w:rsidRPr="001570EA" w14:paraId="54B59DE9" w14:textId="77777777">
        <w:trPr>
          <w:trHeight w:val="552"/>
        </w:trPr>
        <w:tc>
          <w:tcPr>
            <w:tcW w:w="1377" w:type="pct"/>
            <w:vMerge/>
            <w:tcBorders>
              <w:top w:val="nil"/>
              <w:left w:val="single" w:sz="4" w:space="0" w:color="auto"/>
              <w:bottom w:val="single" w:sz="4" w:space="0" w:color="auto"/>
              <w:right w:val="single" w:sz="4" w:space="0" w:color="auto"/>
            </w:tcBorders>
            <w:vAlign w:val="center"/>
            <w:hideMark/>
          </w:tcPr>
          <w:p w14:paraId="6B52D9B8" w14:textId="77777777" w:rsidR="007376E1" w:rsidRPr="001570EA" w:rsidRDefault="007376E1" w:rsidP="00597241">
            <w:pPr>
              <w:widowControl w:val="0"/>
              <w:rPr>
                <w:rFonts w:cs="Arial"/>
                <w:color w:val="000000"/>
                <w:sz w:val="18"/>
                <w:szCs w:val="18"/>
              </w:rPr>
            </w:pPr>
          </w:p>
        </w:tc>
        <w:tc>
          <w:tcPr>
            <w:tcW w:w="1124" w:type="pct"/>
            <w:tcBorders>
              <w:top w:val="nil"/>
              <w:left w:val="nil"/>
              <w:bottom w:val="single" w:sz="4" w:space="0" w:color="auto"/>
              <w:right w:val="nil"/>
            </w:tcBorders>
            <w:shd w:val="clear" w:color="auto" w:fill="auto"/>
            <w:vAlign w:val="center"/>
            <w:hideMark/>
          </w:tcPr>
          <w:p w14:paraId="64776233" w14:textId="77777777" w:rsidR="007376E1" w:rsidRPr="001570EA" w:rsidRDefault="007376E1" w:rsidP="00597241">
            <w:pPr>
              <w:widowControl w:val="0"/>
              <w:rPr>
                <w:rFonts w:cs="Arial"/>
                <w:color w:val="000000"/>
                <w:sz w:val="18"/>
                <w:szCs w:val="18"/>
              </w:rPr>
            </w:pPr>
            <w:r w:rsidRPr="001570EA">
              <w:rPr>
                <w:rFonts w:cs="Arial"/>
                <w:color w:val="000000"/>
                <w:sz w:val="18"/>
                <w:szCs w:val="18"/>
              </w:rPr>
              <w:t>Conventional Programmable</w:t>
            </w:r>
          </w:p>
        </w:tc>
        <w:tc>
          <w:tcPr>
            <w:tcW w:w="1242" w:type="pct"/>
            <w:tcBorders>
              <w:top w:val="nil"/>
              <w:left w:val="single" w:sz="4" w:space="0" w:color="auto"/>
              <w:bottom w:val="single" w:sz="4" w:space="0" w:color="auto"/>
              <w:right w:val="single" w:sz="4" w:space="0" w:color="auto"/>
            </w:tcBorders>
            <w:shd w:val="clear" w:color="auto" w:fill="auto"/>
            <w:vAlign w:val="center"/>
            <w:hideMark/>
          </w:tcPr>
          <w:p w14:paraId="52FF3031" w14:textId="77777777" w:rsidR="007376E1" w:rsidRPr="001570EA" w:rsidRDefault="007376E1" w:rsidP="00597241">
            <w:pPr>
              <w:widowControl w:val="0"/>
              <w:jc w:val="center"/>
              <w:rPr>
                <w:rFonts w:cs="Arial"/>
                <w:color w:val="000000"/>
                <w:sz w:val="18"/>
                <w:szCs w:val="18"/>
              </w:rPr>
            </w:pPr>
            <w:r w:rsidRPr="001570EA">
              <w:rPr>
                <w:rFonts w:cs="Arial"/>
                <w:color w:val="000000"/>
                <w:sz w:val="18"/>
                <w:szCs w:val="18"/>
              </w:rPr>
              <w:t>9.3%</w:t>
            </w:r>
            <w:r w:rsidRPr="001570EA">
              <w:rPr>
                <w:rFonts w:cs="Arial"/>
                <w:color w:val="000000"/>
                <w:sz w:val="18"/>
                <w:szCs w:val="18"/>
                <w:vertAlign w:val="superscript"/>
              </w:rPr>
              <w:t>d</w:t>
            </w:r>
          </w:p>
        </w:tc>
        <w:tc>
          <w:tcPr>
            <w:tcW w:w="1257" w:type="pct"/>
            <w:tcBorders>
              <w:top w:val="nil"/>
              <w:left w:val="nil"/>
              <w:bottom w:val="single" w:sz="4" w:space="0" w:color="auto"/>
              <w:right w:val="single" w:sz="4" w:space="0" w:color="auto"/>
            </w:tcBorders>
            <w:shd w:val="clear" w:color="auto" w:fill="auto"/>
            <w:vAlign w:val="center"/>
            <w:hideMark/>
          </w:tcPr>
          <w:p w14:paraId="22E8B6B2" w14:textId="77777777" w:rsidR="007376E1" w:rsidRPr="001570EA" w:rsidRDefault="007376E1" w:rsidP="00597241">
            <w:pPr>
              <w:widowControl w:val="0"/>
              <w:jc w:val="center"/>
              <w:rPr>
                <w:rFonts w:cs="Arial"/>
                <w:color w:val="000000"/>
                <w:sz w:val="18"/>
                <w:szCs w:val="18"/>
              </w:rPr>
            </w:pPr>
            <w:r w:rsidRPr="001570EA">
              <w:rPr>
                <w:rFonts w:cs="Arial"/>
                <w:color w:val="000000"/>
                <w:sz w:val="18"/>
                <w:szCs w:val="18"/>
              </w:rPr>
              <w:t>9.3%</w:t>
            </w:r>
            <w:r w:rsidRPr="001570EA">
              <w:rPr>
                <w:rFonts w:cs="Arial"/>
                <w:color w:val="000000"/>
                <w:sz w:val="18"/>
                <w:szCs w:val="18"/>
                <w:vertAlign w:val="superscript"/>
              </w:rPr>
              <w:t>d</w:t>
            </w:r>
          </w:p>
        </w:tc>
      </w:tr>
    </w:tbl>
    <w:p w14:paraId="5677C5EA" w14:textId="77777777" w:rsidR="007376E1" w:rsidRPr="001570EA" w:rsidRDefault="007376E1" w:rsidP="00597241">
      <w:pPr>
        <w:pStyle w:val="TableCell"/>
        <w:keepNext w:val="0"/>
        <w:widowControl w:val="0"/>
        <w:spacing w:before="0"/>
        <w:rPr>
          <w:rFonts w:cs="Arial"/>
          <w:i/>
          <w:sz w:val="16"/>
          <w:szCs w:val="16"/>
        </w:rPr>
      </w:pPr>
      <w:bookmarkStart w:id="305" w:name="_Ref444855183"/>
      <w:bookmarkEnd w:id="305"/>
      <w:r w:rsidRPr="001570EA">
        <w:rPr>
          <w:rFonts w:eastAsia="Calibri" w:cs="Arial"/>
          <w:i/>
          <w:sz w:val="16"/>
          <w:szCs w:val="18"/>
          <w:vertAlign w:val="superscript"/>
        </w:rPr>
        <w:t>a</w:t>
      </w:r>
      <w:r w:rsidRPr="001570EA">
        <w:rPr>
          <w:rFonts w:eastAsia="Calibri" w:cs="Arial"/>
          <w:i/>
          <w:sz w:val="16"/>
          <w:szCs w:val="18"/>
        </w:rPr>
        <w:t xml:space="preserve"> Source 7</w:t>
      </w:r>
    </w:p>
    <w:p w14:paraId="4BF08CC8" w14:textId="77777777" w:rsidR="007376E1" w:rsidRPr="001570EA" w:rsidRDefault="007376E1" w:rsidP="00597241">
      <w:pPr>
        <w:pStyle w:val="TableCell"/>
        <w:keepNext w:val="0"/>
        <w:widowControl w:val="0"/>
        <w:spacing w:before="0"/>
        <w:rPr>
          <w:rFonts w:eastAsia="Calibri" w:cs="Arial"/>
          <w:i/>
          <w:sz w:val="16"/>
          <w:szCs w:val="18"/>
        </w:rPr>
      </w:pPr>
      <w:r w:rsidRPr="001570EA">
        <w:rPr>
          <w:rFonts w:eastAsia="Calibri" w:cs="Arial"/>
          <w:i/>
          <w:sz w:val="16"/>
          <w:szCs w:val="18"/>
          <w:vertAlign w:val="superscript"/>
        </w:rPr>
        <w:t>b</w:t>
      </w:r>
      <w:r w:rsidRPr="001570EA">
        <w:rPr>
          <w:rFonts w:eastAsia="Calibri" w:cs="Arial"/>
          <w:i/>
          <w:sz w:val="16"/>
          <w:szCs w:val="18"/>
        </w:rPr>
        <w:t xml:space="preserve"> Cooling</w:t>
      </w:r>
      <w:r w:rsidRPr="001570EA">
        <w:rPr>
          <w:rFonts w:cs="Arial"/>
          <w:i/>
          <w:sz w:val="16"/>
          <w:szCs w:val="16"/>
        </w:rPr>
        <w:t xml:space="preserve"> savings are based on average of savings from unknown mix default with customer self-installation and average of professional installation savings from manual and programmable thermostats. In this case, 7.4%=((11.3%×0.32 + 9.3%×0.68) + 4.8% ) / 2</w:t>
      </w:r>
    </w:p>
    <w:p w14:paraId="6655A846" w14:textId="77777777" w:rsidR="007376E1" w:rsidRPr="001570EA" w:rsidRDefault="007376E1" w:rsidP="00597241">
      <w:pPr>
        <w:pStyle w:val="TableCell"/>
        <w:keepNext w:val="0"/>
        <w:widowControl w:val="0"/>
        <w:spacing w:before="0"/>
        <w:rPr>
          <w:rFonts w:eastAsia="Calibri" w:cs="Arial"/>
          <w:i/>
          <w:sz w:val="16"/>
          <w:szCs w:val="18"/>
        </w:rPr>
      </w:pPr>
      <w:r w:rsidRPr="001570EA">
        <w:rPr>
          <w:i/>
          <w:sz w:val="16"/>
          <w:vertAlign w:val="superscript"/>
        </w:rPr>
        <w:t>c</w:t>
      </w:r>
      <w:r w:rsidRPr="001570EA">
        <w:rPr>
          <w:i/>
          <w:sz w:val="16"/>
        </w:rPr>
        <w:t xml:space="preserve"> Average of cooling savings estimates from multiple studies. Sources</w:t>
      </w:r>
      <w:r w:rsidRPr="001570EA">
        <w:rPr>
          <w:b/>
          <w:i/>
          <w:sz w:val="16"/>
        </w:rPr>
        <w:t>:</w:t>
      </w:r>
      <w:r w:rsidRPr="001570EA">
        <w:rPr>
          <w:i/>
          <w:sz w:val="16"/>
        </w:rPr>
        <w:t xml:space="preserve"> 8, 9, 10, 11 </w:t>
      </w:r>
    </w:p>
    <w:p w14:paraId="7F257A8A" w14:textId="77777777" w:rsidR="007376E1" w:rsidRPr="001570EA" w:rsidRDefault="007376E1" w:rsidP="00597241">
      <w:pPr>
        <w:pStyle w:val="TableCell"/>
        <w:keepNext w:val="0"/>
        <w:widowControl w:val="0"/>
        <w:spacing w:before="0"/>
        <w:rPr>
          <w:i/>
          <w:sz w:val="16"/>
        </w:rPr>
      </w:pPr>
      <w:r w:rsidRPr="001570EA">
        <w:rPr>
          <w:i/>
          <w:sz w:val="16"/>
          <w:vertAlign w:val="superscript"/>
        </w:rPr>
        <w:t>d</w:t>
      </w:r>
      <w:r w:rsidRPr="001570EA">
        <w:rPr>
          <w:i/>
          <w:sz w:val="16"/>
        </w:rPr>
        <w:t xml:space="preserve"> The ESF values are for programmable thermostats based of DEER 2005’s cooling savings for climate zone 16.</w:t>
      </w:r>
    </w:p>
    <w:p w14:paraId="72898F16" w14:textId="77777777" w:rsidR="0040646C" w:rsidRDefault="0040646C" w:rsidP="0040646C">
      <w:pPr>
        <w:pStyle w:val="Caption"/>
        <w:keepNext w:val="0"/>
        <w:widowControl w:val="0"/>
      </w:pPr>
      <w:bookmarkStart w:id="306" w:name="_Ref163908496"/>
    </w:p>
    <w:p w14:paraId="5BDAFCAA" w14:textId="1EB7216A" w:rsidR="007376E1" w:rsidRPr="001570EA" w:rsidRDefault="00521734" w:rsidP="00597241">
      <w:pPr>
        <w:pStyle w:val="Caption"/>
        <w:keepLines/>
        <w:rPr>
          <w:rFonts w:cs="Arial"/>
        </w:rPr>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47</w:t>
      </w:r>
      <w:r w:rsidR="002E093A" w:rsidRPr="001570EA">
        <w:fldChar w:fldCharType="end"/>
      </w:r>
      <w:bookmarkEnd w:id="306"/>
      <w:r w:rsidRPr="001570EA">
        <w:t>: Heating Energy Savings Factors (ESFheat)</w:t>
      </w:r>
    </w:p>
    <w:tbl>
      <w:tblPr>
        <w:tblW w:w="5062" w:type="pct"/>
        <w:tblInd w:w="115" w:type="dxa"/>
        <w:tblLook w:val="04A0" w:firstRow="1" w:lastRow="0" w:firstColumn="1" w:lastColumn="0" w:noHBand="0" w:noVBand="1"/>
      </w:tblPr>
      <w:tblGrid>
        <w:gridCol w:w="2425"/>
        <w:gridCol w:w="1955"/>
        <w:gridCol w:w="2321"/>
        <w:gridCol w:w="2036"/>
      </w:tblGrid>
      <w:tr w:rsidR="007376E1" w:rsidRPr="001570EA" w14:paraId="5A0D0098" w14:textId="77777777">
        <w:trPr>
          <w:trHeight w:val="912"/>
        </w:trPr>
        <w:tc>
          <w:tcPr>
            <w:tcW w:w="138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B1BDB66" w14:textId="77777777" w:rsidR="007376E1" w:rsidRPr="001570EA" w:rsidRDefault="007376E1" w:rsidP="00597241">
            <w:pPr>
              <w:keepNext/>
              <w:keepLines/>
              <w:jc w:val="center"/>
              <w:rPr>
                <w:rFonts w:cs="Arial"/>
                <w:b/>
                <w:bCs/>
                <w:color w:val="000000"/>
                <w:sz w:val="18"/>
                <w:szCs w:val="18"/>
              </w:rPr>
            </w:pPr>
            <w:r w:rsidRPr="001570EA">
              <w:rPr>
                <w:rFonts w:cs="Arial"/>
                <w:b/>
                <w:bCs/>
                <w:color w:val="000000"/>
                <w:sz w:val="18"/>
                <w:szCs w:val="18"/>
              </w:rPr>
              <w:t>Program Type</w:t>
            </w:r>
          </w:p>
        </w:tc>
        <w:tc>
          <w:tcPr>
            <w:tcW w:w="1119" w:type="pct"/>
            <w:tcBorders>
              <w:top w:val="single" w:sz="4" w:space="0" w:color="auto"/>
              <w:left w:val="nil"/>
              <w:bottom w:val="single" w:sz="4" w:space="0" w:color="auto"/>
              <w:right w:val="single" w:sz="4" w:space="0" w:color="auto"/>
            </w:tcBorders>
            <w:shd w:val="clear" w:color="000000" w:fill="D9D9D9"/>
            <w:vAlign w:val="center"/>
            <w:hideMark/>
          </w:tcPr>
          <w:p w14:paraId="76BCC97E" w14:textId="77777777" w:rsidR="007376E1" w:rsidRPr="001570EA" w:rsidRDefault="007376E1" w:rsidP="00597241">
            <w:pPr>
              <w:keepNext/>
              <w:keepLines/>
              <w:jc w:val="center"/>
              <w:rPr>
                <w:rFonts w:cs="Arial"/>
                <w:b/>
                <w:bCs/>
                <w:color w:val="000000"/>
                <w:sz w:val="18"/>
                <w:szCs w:val="18"/>
              </w:rPr>
            </w:pPr>
            <w:r w:rsidRPr="001570EA">
              <w:rPr>
                <w:rFonts w:cs="Arial"/>
                <w:b/>
                <w:bCs/>
                <w:color w:val="000000"/>
                <w:sz w:val="18"/>
                <w:szCs w:val="18"/>
              </w:rPr>
              <w:t>Baseline</w:t>
            </w:r>
          </w:p>
        </w:tc>
        <w:tc>
          <w:tcPr>
            <w:tcW w:w="1328" w:type="pct"/>
            <w:tcBorders>
              <w:top w:val="single" w:sz="4" w:space="0" w:color="auto"/>
              <w:left w:val="nil"/>
              <w:bottom w:val="nil"/>
              <w:right w:val="single" w:sz="4" w:space="0" w:color="auto"/>
            </w:tcBorders>
            <w:shd w:val="clear" w:color="000000" w:fill="D9D9D9"/>
            <w:vAlign w:val="center"/>
            <w:hideMark/>
          </w:tcPr>
          <w:p w14:paraId="438AE747" w14:textId="77777777" w:rsidR="007376E1" w:rsidRPr="001570EA" w:rsidRDefault="007376E1" w:rsidP="00597241">
            <w:pPr>
              <w:keepNext/>
              <w:keepLines/>
              <w:jc w:val="center"/>
              <w:rPr>
                <w:rFonts w:cs="Arial"/>
                <w:b/>
                <w:bCs/>
                <w:color w:val="000000"/>
                <w:sz w:val="18"/>
                <w:szCs w:val="18"/>
              </w:rPr>
            </w:pPr>
            <w:r w:rsidRPr="001570EA">
              <w:rPr>
                <w:rFonts w:cs="Arial"/>
                <w:b/>
                <w:bCs/>
                <w:color w:val="000000"/>
                <w:sz w:val="18"/>
                <w:szCs w:val="18"/>
              </w:rPr>
              <w:t>Air Source Heat Pump</w:t>
            </w:r>
          </w:p>
        </w:tc>
        <w:tc>
          <w:tcPr>
            <w:tcW w:w="1165" w:type="pct"/>
            <w:tcBorders>
              <w:top w:val="single" w:sz="4" w:space="0" w:color="auto"/>
              <w:left w:val="nil"/>
              <w:bottom w:val="nil"/>
              <w:right w:val="single" w:sz="4" w:space="0" w:color="auto"/>
            </w:tcBorders>
            <w:shd w:val="clear" w:color="000000" w:fill="D9D9D9"/>
            <w:vAlign w:val="center"/>
            <w:hideMark/>
          </w:tcPr>
          <w:p w14:paraId="42D7560D" w14:textId="77777777" w:rsidR="007376E1" w:rsidRPr="001570EA" w:rsidRDefault="007376E1" w:rsidP="00597241">
            <w:pPr>
              <w:keepNext/>
              <w:keepLines/>
              <w:jc w:val="center"/>
              <w:rPr>
                <w:rFonts w:cs="Arial"/>
                <w:b/>
                <w:bCs/>
                <w:color w:val="000000"/>
                <w:sz w:val="18"/>
                <w:szCs w:val="18"/>
              </w:rPr>
            </w:pPr>
            <w:r w:rsidRPr="001570EA">
              <w:rPr>
                <w:rFonts w:cs="Arial"/>
                <w:b/>
                <w:bCs/>
                <w:color w:val="000000"/>
                <w:sz w:val="18"/>
                <w:szCs w:val="18"/>
              </w:rPr>
              <w:t>Furnace/Boiler Heating (Electric or Fossil)</w:t>
            </w:r>
          </w:p>
        </w:tc>
      </w:tr>
      <w:tr w:rsidR="007376E1" w:rsidRPr="001570EA" w14:paraId="6FEFB9C2" w14:textId="77777777" w:rsidTr="00597241">
        <w:trPr>
          <w:trHeight w:val="691"/>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3FDCB92F" w14:textId="77777777" w:rsidR="007376E1" w:rsidRPr="001570EA" w:rsidRDefault="007376E1" w:rsidP="00597241">
            <w:pPr>
              <w:keepNext/>
              <w:keepLines/>
              <w:jc w:val="left"/>
              <w:rPr>
                <w:rFonts w:cs="Arial"/>
                <w:color w:val="000000"/>
                <w:sz w:val="18"/>
                <w:szCs w:val="18"/>
              </w:rPr>
            </w:pPr>
            <w:r w:rsidRPr="001570EA">
              <w:rPr>
                <w:rFonts w:cs="Arial"/>
                <w:color w:val="000000"/>
                <w:sz w:val="18"/>
                <w:szCs w:val="18"/>
              </w:rPr>
              <w:t>Upstream buy-down (Customer Self-Installation)</w:t>
            </w:r>
          </w:p>
        </w:tc>
        <w:tc>
          <w:tcPr>
            <w:tcW w:w="1119" w:type="pct"/>
            <w:tcBorders>
              <w:top w:val="nil"/>
              <w:left w:val="nil"/>
              <w:bottom w:val="single" w:sz="4" w:space="0" w:color="auto"/>
              <w:right w:val="single" w:sz="4" w:space="0" w:color="auto"/>
            </w:tcBorders>
            <w:shd w:val="clear" w:color="auto" w:fill="auto"/>
            <w:vAlign w:val="center"/>
            <w:hideMark/>
          </w:tcPr>
          <w:p w14:paraId="11B9247B" w14:textId="77777777" w:rsidR="007376E1" w:rsidRPr="001570EA" w:rsidRDefault="007376E1" w:rsidP="00597241">
            <w:pPr>
              <w:keepNext/>
              <w:keepLines/>
              <w:rPr>
                <w:rFonts w:cs="Arial"/>
                <w:color w:val="000000"/>
                <w:sz w:val="18"/>
                <w:szCs w:val="18"/>
              </w:rPr>
            </w:pPr>
            <w:r w:rsidRPr="001570EA">
              <w:rPr>
                <w:rFonts w:cs="Arial"/>
                <w:color w:val="000000"/>
                <w:sz w:val="18"/>
                <w:szCs w:val="18"/>
              </w:rPr>
              <w:t xml:space="preserve">Unknown Mix Default </w:t>
            </w:r>
          </w:p>
        </w:tc>
        <w:tc>
          <w:tcPr>
            <w:tcW w:w="1328" w:type="pct"/>
            <w:tcBorders>
              <w:top w:val="single" w:sz="4" w:space="0" w:color="auto"/>
              <w:left w:val="nil"/>
              <w:bottom w:val="single" w:sz="4" w:space="0" w:color="auto"/>
              <w:right w:val="single" w:sz="4" w:space="0" w:color="auto"/>
            </w:tcBorders>
            <w:shd w:val="clear" w:color="auto" w:fill="auto"/>
            <w:vAlign w:val="center"/>
            <w:hideMark/>
          </w:tcPr>
          <w:p w14:paraId="06B94573" w14:textId="77777777" w:rsidR="007376E1" w:rsidRPr="001570EA" w:rsidRDefault="007376E1" w:rsidP="00597241">
            <w:pPr>
              <w:keepNext/>
              <w:keepLines/>
              <w:jc w:val="center"/>
              <w:rPr>
                <w:rFonts w:cs="Arial"/>
                <w:color w:val="000000"/>
                <w:sz w:val="18"/>
                <w:szCs w:val="18"/>
                <w:vertAlign w:val="superscript"/>
              </w:rPr>
            </w:pPr>
            <w:r w:rsidRPr="001570EA">
              <w:rPr>
                <w:rFonts w:cs="Arial"/>
                <w:color w:val="000000"/>
                <w:sz w:val="18"/>
                <w:szCs w:val="18"/>
              </w:rPr>
              <w:t>6.4%</w:t>
            </w:r>
            <w:r w:rsidRPr="001570EA">
              <w:rPr>
                <w:rFonts w:cs="Arial"/>
                <w:color w:val="000000"/>
                <w:sz w:val="18"/>
                <w:szCs w:val="18"/>
                <w:vertAlign w:val="superscript"/>
              </w:rPr>
              <w:t>a</w:t>
            </w:r>
          </w:p>
        </w:tc>
        <w:tc>
          <w:tcPr>
            <w:tcW w:w="1165" w:type="pct"/>
            <w:tcBorders>
              <w:top w:val="single" w:sz="4" w:space="0" w:color="auto"/>
              <w:left w:val="nil"/>
              <w:bottom w:val="single" w:sz="4" w:space="0" w:color="auto"/>
              <w:right w:val="single" w:sz="4" w:space="0" w:color="auto"/>
            </w:tcBorders>
            <w:shd w:val="clear" w:color="auto" w:fill="auto"/>
            <w:vAlign w:val="center"/>
            <w:hideMark/>
          </w:tcPr>
          <w:p w14:paraId="0CA9FA30" w14:textId="77777777" w:rsidR="007376E1" w:rsidRPr="001570EA" w:rsidRDefault="007376E1" w:rsidP="00597241">
            <w:pPr>
              <w:keepNext/>
              <w:keepLines/>
              <w:jc w:val="center"/>
              <w:rPr>
                <w:rFonts w:cs="Arial"/>
                <w:color w:val="000000"/>
                <w:sz w:val="18"/>
                <w:szCs w:val="18"/>
              </w:rPr>
            </w:pPr>
            <w:r w:rsidRPr="001570EA">
              <w:rPr>
                <w:rFonts w:cs="Arial"/>
                <w:color w:val="000000"/>
                <w:sz w:val="18"/>
                <w:szCs w:val="18"/>
              </w:rPr>
              <w:t>6.4%</w:t>
            </w:r>
            <w:r w:rsidRPr="001570EA">
              <w:rPr>
                <w:rFonts w:cs="Arial"/>
                <w:color w:val="000000"/>
                <w:sz w:val="18"/>
                <w:szCs w:val="18"/>
                <w:vertAlign w:val="superscript"/>
              </w:rPr>
              <w:t>a</w:t>
            </w:r>
          </w:p>
        </w:tc>
      </w:tr>
      <w:tr w:rsidR="007376E1" w:rsidRPr="001570EA" w14:paraId="04D61216" w14:textId="77777777" w:rsidTr="00597241">
        <w:trPr>
          <w:trHeight w:val="690"/>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5AB63BC4" w14:textId="77777777" w:rsidR="007376E1" w:rsidRPr="001570EA" w:rsidRDefault="007376E1" w:rsidP="00597241">
            <w:pPr>
              <w:keepNext/>
              <w:keepLines/>
              <w:jc w:val="left"/>
              <w:rPr>
                <w:rFonts w:cs="Arial"/>
                <w:color w:val="000000"/>
                <w:sz w:val="18"/>
                <w:szCs w:val="18"/>
              </w:rPr>
            </w:pPr>
            <w:r w:rsidRPr="001570EA">
              <w:rPr>
                <w:rFonts w:cs="Arial"/>
                <w:color w:val="000000"/>
                <w:sz w:val="18"/>
                <w:szCs w:val="18"/>
              </w:rPr>
              <w:t>Customer Self-Installation with Education</w:t>
            </w:r>
          </w:p>
        </w:tc>
        <w:tc>
          <w:tcPr>
            <w:tcW w:w="1119" w:type="pct"/>
            <w:tcBorders>
              <w:top w:val="nil"/>
              <w:left w:val="nil"/>
              <w:bottom w:val="single" w:sz="4" w:space="0" w:color="auto"/>
              <w:right w:val="single" w:sz="4" w:space="0" w:color="auto"/>
            </w:tcBorders>
            <w:shd w:val="clear" w:color="auto" w:fill="auto"/>
            <w:vAlign w:val="center"/>
            <w:hideMark/>
          </w:tcPr>
          <w:p w14:paraId="1C1FA473" w14:textId="77777777" w:rsidR="007376E1" w:rsidRPr="001570EA" w:rsidRDefault="007376E1" w:rsidP="00597241">
            <w:pPr>
              <w:keepNext/>
              <w:keepLines/>
              <w:rPr>
                <w:rFonts w:cs="Arial"/>
                <w:color w:val="000000"/>
                <w:sz w:val="18"/>
                <w:szCs w:val="18"/>
              </w:rPr>
            </w:pPr>
            <w:r w:rsidRPr="001570EA">
              <w:rPr>
                <w:rFonts w:cs="Arial"/>
                <w:color w:val="000000"/>
                <w:sz w:val="18"/>
                <w:szCs w:val="18"/>
              </w:rPr>
              <w:t xml:space="preserve">Unknown Mix Default </w:t>
            </w:r>
          </w:p>
        </w:tc>
        <w:tc>
          <w:tcPr>
            <w:tcW w:w="1328" w:type="pct"/>
            <w:tcBorders>
              <w:top w:val="nil"/>
              <w:left w:val="nil"/>
              <w:bottom w:val="single" w:sz="4" w:space="0" w:color="auto"/>
              <w:right w:val="single" w:sz="4" w:space="0" w:color="auto"/>
            </w:tcBorders>
            <w:shd w:val="clear" w:color="auto" w:fill="auto"/>
            <w:vAlign w:val="center"/>
            <w:hideMark/>
          </w:tcPr>
          <w:p w14:paraId="04F485E1" w14:textId="77777777" w:rsidR="007376E1" w:rsidRPr="001570EA" w:rsidRDefault="007376E1" w:rsidP="00597241">
            <w:pPr>
              <w:keepNext/>
              <w:keepLines/>
              <w:jc w:val="center"/>
              <w:rPr>
                <w:rFonts w:cs="Arial"/>
                <w:color w:val="000000"/>
                <w:sz w:val="18"/>
                <w:szCs w:val="18"/>
                <w:vertAlign w:val="superscript"/>
              </w:rPr>
            </w:pPr>
            <w:r w:rsidRPr="001570EA">
              <w:rPr>
                <w:rFonts w:cs="Arial"/>
                <w:color w:val="000000"/>
                <w:sz w:val="18"/>
                <w:szCs w:val="18"/>
              </w:rPr>
              <w:t>7.7%</w:t>
            </w:r>
            <w:r w:rsidRPr="001570EA">
              <w:rPr>
                <w:rFonts w:cs="Arial"/>
                <w:color w:val="000000"/>
                <w:sz w:val="18"/>
                <w:szCs w:val="18"/>
                <w:vertAlign w:val="superscript"/>
              </w:rPr>
              <w:t>b</w:t>
            </w:r>
          </w:p>
        </w:tc>
        <w:tc>
          <w:tcPr>
            <w:tcW w:w="1165" w:type="pct"/>
            <w:tcBorders>
              <w:top w:val="nil"/>
              <w:left w:val="nil"/>
              <w:bottom w:val="single" w:sz="4" w:space="0" w:color="auto"/>
              <w:right w:val="single" w:sz="4" w:space="0" w:color="auto"/>
            </w:tcBorders>
            <w:shd w:val="clear" w:color="auto" w:fill="auto"/>
            <w:vAlign w:val="center"/>
            <w:hideMark/>
          </w:tcPr>
          <w:p w14:paraId="33C0C1C3" w14:textId="77777777" w:rsidR="007376E1" w:rsidRPr="001570EA" w:rsidRDefault="007376E1" w:rsidP="00597241">
            <w:pPr>
              <w:keepNext/>
              <w:keepLines/>
              <w:jc w:val="center"/>
              <w:rPr>
                <w:rFonts w:cs="Arial"/>
                <w:color w:val="000000"/>
                <w:sz w:val="18"/>
                <w:szCs w:val="18"/>
              </w:rPr>
            </w:pPr>
            <w:r w:rsidRPr="001570EA">
              <w:rPr>
                <w:rFonts w:cs="Arial"/>
                <w:color w:val="000000"/>
                <w:sz w:val="18"/>
                <w:szCs w:val="18"/>
              </w:rPr>
              <w:t>7.7%</w:t>
            </w:r>
            <w:r w:rsidRPr="001570EA">
              <w:rPr>
                <w:rFonts w:cs="Arial"/>
                <w:color w:val="000000"/>
                <w:sz w:val="18"/>
                <w:szCs w:val="18"/>
                <w:vertAlign w:val="superscript"/>
              </w:rPr>
              <w:t>b</w:t>
            </w:r>
          </w:p>
        </w:tc>
      </w:tr>
      <w:tr w:rsidR="007376E1" w:rsidRPr="001570EA" w14:paraId="0324A50D" w14:textId="77777777" w:rsidTr="00597241">
        <w:trPr>
          <w:trHeight w:val="377"/>
        </w:trPr>
        <w:tc>
          <w:tcPr>
            <w:tcW w:w="1388" w:type="pct"/>
            <w:vMerge w:val="restart"/>
            <w:tcBorders>
              <w:top w:val="nil"/>
              <w:left w:val="single" w:sz="4" w:space="0" w:color="auto"/>
              <w:bottom w:val="single" w:sz="4" w:space="0" w:color="auto"/>
              <w:right w:val="single" w:sz="4" w:space="0" w:color="auto"/>
            </w:tcBorders>
            <w:shd w:val="clear" w:color="auto" w:fill="auto"/>
            <w:vAlign w:val="center"/>
            <w:hideMark/>
          </w:tcPr>
          <w:p w14:paraId="23808AF8" w14:textId="77777777" w:rsidR="007376E1" w:rsidRPr="001570EA" w:rsidRDefault="007376E1" w:rsidP="00597241">
            <w:pPr>
              <w:keepNext/>
              <w:keepLines/>
              <w:jc w:val="left"/>
              <w:rPr>
                <w:rFonts w:cs="Arial"/>
                <w:color w:val="000000"/>
                <w:sz w:val="18"/>
                <w:szCs w:val="18"/>
              </w:rPr>
            </w:pPr>
            <w:r w:rsidRPr="001570EA">
              <w:rPr>
                <w:rFonts w:cs="Arial"/>
                <w:color w:val="000000"/>
                <w:sz w:val="18"/>
                <w:szCs w:val="18"/>
              </w:rPr>
              <w:t>Professional Installation</w:t>
            </w:r>
          </w:p>
        </w:tc>
        <w:tc>
          <w:tcPr>
            <w:tcW w:w="1119" w:type="pct"/>
            <w:tcBorders>
              <w:top w:val="nil"/>
              <w:left w:val="nil"/>
              <w:bottom w:val="single" w:sz="4" w:space="0" w:color="auto"/>
              <w:right w:val="single" w:sz="4" w:space="0" w:color="auto"/>
            </w:tcBorders>
            <w:shd w:val="clear" w:color="auto" w:fill="auto"/>
            <w:vAlign w:val="center"/>
            <w:hideMark/>
          </w:tcPr>
          <w:p w14:paraId="15600FAF" w14:textId="77777777" w:rsidR="007376E1" w:rsidRPr="001570EA" w:rsidRDefault="007376E1" w:rsidP="00597241">
            <w:pPr>
              <w:keepNext/>
              <w:keepLines/>
              <w:rPr>
                <w:rFonts w:cs="Arial"/>
                <w:color w:val="000000"/>
                <w:sz w:val="18"/>
                <w:szCs w:val="18"/>
              </w:rPr>
            </w:pPr>
            <w:r w:rsidRPr="001570EA">
              <w:rPr>
                <w:rFonts w:cs="Arial"/>
                <w:color w:val="000000"/>
                <w:sz w:val="18"/>
                <w:szCs w:val="18"/>
              </w:rPr>
              <w:t>Manual</w:t>
            </w:r>
          </w:p>
        </w:tc>
        <w:tc>
          <w:tcPr>
            <w:tcW w:w="1328" w:type="pct"/>
            <w:tcBorders>
              <w:top w:val="nil"/>
              <w:left w:val="nil"/>
              <w:bottom w:val="single" w:sz="4" w:space="0" w:color="auto"/>
              <w:right w:val="single" w:sz="4" w:space="0" w:color="auto"/>
            </w:tcBorders>
            <w:shd w:val="clear" w:color="auto" w:fill="auto"/>
            <w:vAlign w:val="center"/>
            <w:hideMark/>
          </w:tcPr>
          <w:p w14:paraId="214659E8" w14:textId="77777777" w:rsidR="007376E1" w:rsidRPr="001570EA" w:rsidRDefault="007376E1" w:rsidP="00597241">
            <w:pPr>
              <w:keepNext/>
              <w:keepLines/>
              <w:jc w:val="center"/>
              <w:rPr>
                <w:rFonts w:cs="Arial"/>
                <w:color w:val="000000"/>
                <w:sz w:val="18"/>
                <w:szCs w:val="18"/>
                <w:vertAlign w:val="superscript"/>
              </w:rPr>
            </w:pPr>
            <w:r w:rsidRPr="001570EA">
              <w:rPr>
                <w:rFonts w:cs="Arial"/>
                <w:color w:val="000000"/>
                <w:sz w:val="18"/>
                <w:szCs w:val="18"/>
              </w:rPr>
              <w:t>11.5%</w:t>
            </w:r>
            <w:r w:rsidRPr="001570EA">
              <w:rPr>
                <w:rFonts w:cs="Arial"/>
                <w:color w:val="000000"/>
                <w:sz w:val="18"/>
                <w:szCs w:val="18"/>
                <w:vertAlign w:val="superscript"/>
              </w:rPr>
              <w:t>c</w:t>
            </w:r>
          </w:p>
        </w:tc>
        <w:tc>
          <w:tcPr>
            <w:tcW w:w="1165" w:type="pct"/>
            <w:tcBorders>
              <w:top w:val="nil"/>
              <w:left w:val="nil"/>
              <w:bottom w:val="single" w:sz="4" w:space="0" w:color="auto"/>
              <w:right w:val="single" w:sz="4" w:space="0" w:color="auto"/>
            </w:tcBorders>
            <w:shd w:val="clear" w:color="auto" w:fill="auto"/>
            <w:vAlign w:val="center"/>
            <w:hideMark/>
          </w:tcPr>
          <w:p w14:paraId="22F3EF00" w14:textId="77777777" w:rsidR="007376E1" w:rsidRPr="001570EA" w:rsidRDefault="007376E1" w:rsidP="00597241">
            <w:pPr>
              <w:keepNext/>
              <w:keepLines/>
              <w:jc w:val="center"/>
              <w:rPr>
                <w:rFonts w:cs="Arial"/>
                <w:color w:val="000000"/>
                <w:sz w:val="18"/>
                <w:szCs w:val="18"/>
              </w:rPr>
            </w:pPr>
            <w:r w:rsidRPr="001570EA">
              <w:rPr>
                <w:rFonts w:cs="Arial"/>
                <w:color w:val="000000"/>
                <w:sz w:val="18"/>
                <w:szCs w:val="18"/>
              </w:rPr>
              <w:t>11.5%</w:t>
            </w:r>
            <w:r w:rsidRPr="001570EA">
              <w:rPr>
                <w:rFonts w:cs="Arial"/>
                <w:color w:val="000000"/>
                <w:sz w:val="18"/>
                <w:szCs w:val="18"/>
                <w:vertAlign w:val="superscript"/>
              </w:rPr>
              <w:t>c</w:t>
            </w:r>
          </w:p>
        </w:tc>
      </w:tr>
      <w:tr w:rsidR="007376E1" w:rsidRPr="001570EA" w14:paraId="1B45AA37" w14:textId="77777777">
        <w:trPr>
          <w:trHeight w:val="576"/>
        </w:trPr>
        <w:tc>
          <w:tcPr>
            <w:tcW w:w="1388" w:type="pct"/>
            <w:vMerge/>
            <w:tcBorders>
              <w:top w:val="nil"/>
              <w:left w:val="single" w:sz="4" w:space="0" w:color="auto"/>
              <w:bottom w:val="single" w:sz="4" w:space="0" w:color="auto"/>
              <w:right w:val="single" w:sz="4" w:space="0" w:color="auto"/>
            </w:tcBorders>
            <w:vAlign w:val="center"/>
            <w:hideMark/>
          </w:tcPr>
          <w:p w14:paraId="2FDC933A" w14:textId="77777777" w:rsidR="007376E1" w:rsidRPr="001570EA" w:rsidRDefault="007376E1" w:rsidP="00597241">
            <w:pPr>
              <w:keepNext/>
              <w:keepLines/>
              <w:rPr>
                <w:rFonts w:cs="Arial"/>
                <w:color w:val="000000"/>
                <w:sz w:val="18"/>
                <w:szCs w:val="18"/>
              </w:rPr>
            </w:pPr>
          </w:p>
        </w:tc>
        <w:tc>
          <w:tcPr>
            <w:tcW w:w="1119" w:type="pct"/>
            <w:tcBorders>
              <w:top w:val="nil"/>
              <w:left w:val="nil"/>
              <w:bottom w:val="single" w:sz="4" w:space="0" w:color="auto"/>
              <w:right w:val="single" w:sz="4" w:space="0" w:color="auto"/>
            </w:tcBorders>
            <w:shd w:val="clear" w:color="auto" w:fill="auto"/>
            <w:vAlign w:val="center"/>
            <w:hideMark/>
          </w:tcPr>
          <w:p w14:paraId="3C08F80E" w14:textId="77777777" w:rsidR="007376E1" w:rsidRPr="001570EA" w:rsidRDefault="007376E1" w:rsidP="00597241">
            <w:pPr>
              <w:keepNext/>
              <w:keepLines/>
              <w:rPr>
                <w:rFonts w:cs="Arial"/>
                <w:color w:val="000000"/>
                <w:sz w:val="18"/>
                <w:szCs w:val="18"/>
              </w:rPr>
            </w:pPr>
            <w:r w:rsidRPr="001570EA">
              <w:rPr>
                <w:rFonts w:cs="Arial"/>
                <w:color w:val="000000"/>
                <w:sz w:val="18"/>
                <w:szCs w:val="18"/>
              </w:rPr>
              <w:t>Conventional programmable</w:t>
            </w:r>
          </w:p>
        </w:tc>
        <w:tc>
          <w:tcPr>
            <w:tcW w:w="1328" w:type="pct"/>
            <w:tcBorders>
              <w:top w:val="nil"/>
              <w:left w:val="nil"/>
              <w:bottom w:val="single" w:sz="4" w:space="0" w:color="auto"/>
              <w:right w:val="single" w:sz="4" w:space="0" w:color="auto"/>
            </w:tcBorders>
            <w:shd w:val="clear" w:color="auto" w:fill="auto"/>
            <w:vAlign w:val="center"/>
            <w:hideMark/>
          </w:tcPr>
          <w:p w14:paraId="3F2115B7" w14:textId="77777777" w:rsidR="007376E1" w:rsidRPr="001570EA" w:rsidRDefault="007376E1" w:rsidP="00597241">
            <w:pPr>
              <w:keepNext/>
              <w:keepLines/>
              <w:jc w:val="center"/>
              <w:rPr>
                <w:rFonts w:cs="Arial"/>
                <w:color w:val="000000"/>
                <w:sz w:val="18"/>
                <w:szCs w:val="18"/>
                <w:vertAlign w:val="superscript"/>
              </w:rPr>
            </w:pPr>
            <w:r w:rsidRPr="001570EA">
              <w:rPr>
                <w:rFonts w:cs="Arial"/>
                <w:color w:val="000000"/>
                <w:sz w:val="18"/>
                <w:szCs w:val="18"/>
              </w:rPr>
              <w:t>7.9%</w:t>
            </w:r>
            <w:r w:rsidRPr="001570EA">
              <w:rPr>
                <w:rFonts w:cs="Arial"/>
                <w:color w:val="000000"/>
                <w:sz w:val="18"/>
                <w:szCs w:val="18"/>
                <w:vertAlign w:val="superscript"/>
              </w:rPr>
              <w:t>d</w:t>
            </w:r>
          </w:p>
        </w:tc>
        <w:tc>
          <w:tcPr>
            <w:tcW w:w="1165" w:type="pct"/>
            <w:tcBorders>
              <w:top w:val="nil"/>
              <w:left w:val="nil"/>
              <w:bottom w:val="single" w:sz="4" w:space="0" w:color="auto"/>
              <w:right w:val="single" w:sz="4" w:space="0" w:color="auto"/>
            </w:tcBorders>
            <w:shd w:val="clear" w:color="auto" w:fill="auto"/>
            <w:vAlign w:val="center"/>
            <w:hideMark/>
          </w:tcPr>
          <w:p w14:paraId="734AE525" w14:textId="77777777" w:rsidR="007376E1" w:rsidRPr="001570EA" w:rsidRDefault="007376E1" w:rsidP="00597241">
            <w:pPr>
              <w:keepNext/>
              <w:keepLines/>
              <w:jc w:val="center"/>
              <w:rPr>
                <w:rFonts w:cs="Arial"/>
                <w:color w:val="000000"/>
                <w:sz w:val="18"/>
                <w:szCs w:val="18"/>
              </w:rPr>
            </w:pPr>
            <w:r w:rsidRPr="001570EA">
              <w:rPr>
                <w:rFonts w:cs="Arial"/>
                <w:color w:val="000000"/>
                <w:sz w:val="18"/>
                <w:szCs w:val="18"/>
              </w:rPr>
              <w:t>7.9%</w:t>
            </w:r>
            <w:r w:rsidRPr="001570EA">
              <w:rPr>
                <w:rFonts w:cs="Arial"/>
                <w:color w:val="000000"/>
                <w:sz w:val="18"/>
                <w:szCs w:val="18"/>
                <w:vertAlign w:val="superscript"/>
              </w:rPr>
              <w:t>d</w:t>
            </w:r>
          </w:p>
        </w:tc>
      </w:tr>
    </w:tbl>
    <w:tbl>
      <w:tblPr>
        <w:tblStyle w:val="TableGrid"/>
        <w:tblW w:w="0" w:type="auto"/>
        <w:tblInd w:w="5" w:type="dxa"/>
        <w:tblLook w:val="04A0" w:firstRow="1" w:lastRow="0" w:firstColumn="1" w:lastColumn="0" w:noHBand="0" w:noVBand="1"/>
      </w:tblPr>
      <w:tblGrid>
        <w:gridCol w:w="8635"/>
      </w:tblGrid>
      <w:tr w:rsidR="007376E1" w:rsidRPr="001570EA" w14:paraId="64F75224" w14:textId="77777777">
        <w:trPr>
          <w:trHeight w:val="1872"/>
        </w:trPr>
        <w:tc>
          <w:tcPr>
            <w:tcW w:w="0" w:type="auto"/>
            <w:tcBorders>
              <w:top w:val="single" w:sz="4" w:space="0" w:color="auto"/>
              <w:left w:val="nil"/>
              <w:bottom w:val="nil"/>
              <w:right w:val="nil"/>
            </w:tcBorders>
          </w:tcPr>
          <w:p w14:paraId="5A9FB780" w14:textId="77777777" w:rsidR="007376E1" w:rsidRPr="001570EA" w:rsidRDefault="007376E1" w:rsidP="0040646C">
            <w:pPr>
              <w:pStyle w:val="TableCell"/>
              <w:keepLines/>
              <w:spacing w:before="0"/>
              <w:rPr>
                <w:rFonts w:eastAsia="Calibri" w:cs="Arial"/>
                <w:i/>
                <w:sz w:val="16"/>
                <w:szCs w:val="18"/>
              </w:rPr>
            </w:pPr>
            <w:r w:rsidRPr="001570EA">
              <w:rPr>
                <w:rFonts w:eastAsia="Calibri" w:cs="Arial"/>
                <w:i/>
                <w:sz w:val="16"/>
                <w:szCs w:val="18"/>
                <w:vertAlign w:val="superscript"/>
              </w:rPr>
              <w:t>a</w:t>
            </w:r>
            <w:r w:rsidRPr="001570EA">
              <w:rPr>
                <w:rFonts w:eastAsia="Calibri" w:cs="Arial"/>
                <w:i/>
                <w:sz w:val="16"/>
                <w:szCs w:val="18"/>
              </w:rPr>
              <w:t xml:space="preserve"> Average of heating estimates from two studies. Sources: 10, 12</w:t>
            </w:r>
          </w:p>
          <w:p w14:paraId="3C4F9A31" w14:textId="77777777" w:rsidR="007376E1" w:rsidRPr="001570EA" w:rsidRDefault="007376E1" w:rsidP="0040646C">
            <w:pPr>
              <w:pStyle w:val="TableCell"/>
              <w:keepLines/>
              <w:spacing w:before="0"/>
              <w:rPr>
                <w:rFonts w:eastAsia="Calibri" w:cs="Arial"/>
                <w:i/>
                <w:sz w:val="16"/>
                <w:szCs w:val="18"/>
              </w:rPr>
            </w:pPr>
            <w:r w:rsidRPr="001570EA">
              <w:rPr>
                <w:rFonts w:eastAsia="Calibri" w:cs="Arial"/>
                <w:i/>
                <w:sz w:val="16"/>
                <w:szCs w:val="18"/>
                <w:vertAlign w:val="superscript"/>
              </w:rPr>
              <w:t>b</w:t>
            </w:r>
            <w:r w:rsidRPr="001570EA">
              <w:rPr>
                <w:rFonts w:eastAsia="Calibri" w:cs="Arial"/>
                <w:i/>
                <w:sz w:val="16"/>
                <w:szCs w:val="18"/>
              </w:rPr>
              <w:t xml:space="preserve"> </w:t>
            </w:r>
            <w:r w:rsidRPr="001570EA">
              <w:rPr>
                <w:rFonts w:cs="Arial"/>
                <w:i/>
                <w:sz w:val="16"/>
                <w:szCs w:val="16"/>
              </w:rPr>
              <w:t>Heating savings are based on average of savings from unknown mix default with customer self-installation and average of professional installation savings from manual and programmable thermostats. In this case, 7.7%=((11.5%×0.32 + 7.9%×0.68) + 6.4% ) / 2</w:t>
            </w:r>
          </w:p>
          <w:p w14:paraId="54DB2AD5" w14:textId="77777777" w:rsidR="007376E1" w:rsidRPr="001570EA" w:rsidRDefault="007376E1" w:rsidP="0040646C">
            <w:pPr>
              <w:pStyle w:val="TableCell"/>
              <w:keepLines/>
              <w:spacing w:before="0"/>
              <w:rPr>
                <w:i/>
                <w:sz w:val="16"/>
              </w:rPr>
            </w:pPr>
            <w:r w:rsidRPr="001570EA">
              <w:rPr>
                <w:i/>
                <w:sz w:val="16"/>
                <w:vertAlign w:val="superscript"/>
              </w:rPr>
              <w:t>c</w:t>
            </w:r>
            <w:r w:rsidRPr="001570EA">
              <w:rPr>
                <w:i/>
                <w:sz w:val="16"/>
              </w:rPr>
              <w:t xml:space="preserve"> Average of four heating savings estimates from multiple studies. Sources</w:t>
            </w:r>
            <w:r w:rsidRPr="001570EA">
              <w:rPr>
                <w:b/>
                <w:i/>
                <w:sz w:val="16"/>
              </w:rPr>
              <w:t xml:space="preserve">: </w:t>
            </w:r>
            <w:r w:rsidRPr="001570EA">
              <w:rPr>
                <w:i/>
                <w:sz w:val="16"/>
              </w:rPr>
              <w:t>9, 11, 13</w:t>
            </w:r>
          </w:p>
          <w:p w14:paraId="77070FD5" w14:textId="77777777" w:rsidR="007376E1" w:rsidRPr="001570EA" w:rsidRDefault="007376E1" w:rsidP="0040646C">
            <w:pPr>
              <w:pStyle w:val="TableCell"/>
              <w:keepLines/>
              <w:spacing w:before="0"/>
              <w:rPr>
                <w:rFonts w:cs="Arial"/>
                <w:i/>
                <w:sz w:val="16"/>
                <w:szCs w:val="18"/>
              </w:rPr>
            </w:pPr>
            <w:r w:rsidRPr="001570EA">
              <w:rPr>
                <w:rFonts w:cs="Arial"/>
                <w:i/>
                <w:sz w:val="16"/>
                <w:szCs w:val="18"/>
                <w:vertAlign w:val="superscript"/>
              </w:rPr>
              <w:t>d</w:t>
            </w:r>
            <w:r w:rsidRPr="001570EA">
              <w:rPr>
                <w:rFonts w:cs="Arial"/>
                <w:i/>
                <w:sz w:val="16"/>
                <w:szCs w:val="18"/>
              </w:rPr>
              <w:t xml:space="preserve"> </w:t>
            </w:r>
            <w:r w:rsidRPr="001570EA">
              <w:rPr>
                <w:i/>
                <w:sz w:val="16"/>
              </w:rPr>
              <w:t>The ESF value are for programmable thermostats based of DEER 2005’s cooling savings for climate zone 16.</w:t>
            </w:r>
          </w:p>
        </w:tc>
      </w:tr>
    </w:tbl>
    <w:p w14:paraId="42955B0C" w14:textId="77777777" w:rsidR="0040646C" w:rsidRDefault="0040646C" w:rsidP="0040646C">
      <w:pPr>
        <w:pStyle w:val="SubStyle"/>
        <w:widowControl w:val="0"/>
        <w:rPr>
          <w:rFonts w:eastAsia="Calibri"/>
        </w:rPr>
      </w:pPr>
    </w:p>
    <w:p w14:paraId="7F172157" w14:textId="6BDAC3C5" w:rsidR="007376E1" w:rsidRPr="001570EA" w:rsidRDefault="007376E1" w:rsidP="00597241">
      <w:pPr>
        <w:pStyle w:val="SubStyle"/>
        <w:widowControl w:val="0"/>
        <w:rPr>
          <w:rFonts w:eastAsia="Calibri"/>
        </w:rPr>
      </w:pPr>
      <w:r w:rsidRPr="001570EA">
        <w:rPr>
          <w:rFonts w:eastAsia="Calibri"/>
        </w:rPr>
        <w:t>Default Savings</w:t>
      </w:r>
    </w:p>
    <w:p w14:paraId="356706E2" w14:textId="53977F39" w:rsidR="007376E1" w:rsidRPr="001570EA" w:rsidRDefault="0011240C" w:rsidP="00597241">
      <w:pPr>
        <w:widowControl w:val="0"/>
        <w:rPr>
          <w:rFonts w:eastAsia="Calibri"/>
        </w:rPr>
      </w:pPr>
      <w:r w:rsidRPr="001570EA">
        <w:rPr>
          <w:rFonts w:eastAsia="Calibri"/>
        </w:rPr>
        <w:fldChar w:fldCharType="begin"/>
      </w:r>
      <w:r w:rsidRPr="001570EA">
        <w:rPr>
          <w:rFonts w:eastAsia="Calibri"/>
        </w:rPr>
        <w:instrText xml:space="preserve"> REF _Ref163908577 \h </w:instrText>
      </w:r>
      <w:r w:rsidR="001570EA">
        <w:rPr>
          <w:rFonts w:eastAsia="Calibri"/>
        </w:rPr>
        <w:instrText xml:space="preserve"> \* MERGEFORMAT </w:instrText>
      </w:r>
      <w:r w:rsidRPr="001570EA">
        <w:rPr>
          <w:rFonts w:eastAsia="Calibri"/>
        </w:rPr>
      </w:r>
      <w:r w:rsidRPr="001570EA">
        <w:rPr>
          <w:rFonts w:eastAsia="Calibri"/>
        </w:rPr>
        <w:fldChar w:fldCharType="separate"/>
      </w:r>
      <w:r w:rsidR="00384D95" w:rsidRPr="001570EA">
        <w:t xml:space="preserve">Table </w:t>
      </w:r>
      <w:r w:rsidR="00384D95" w:rsidRPr="001570EA">
        <w:rPr>
          <w:noProof/>
        </w:rPr>
        <w:t>2</w:t>
      </w:r>
      <w:r w:rsidR="00384D95" w:rsidRPr="001570EA">
        <w:noBreakHyphen/>
      </w:r>
      <w:r w:rsidR="00384D95" w:rsidRPr="001570EA">
        <w:rPr>
          <w:noProof/>
        </w:rPr>
        <w:t>48</w:t>
      </w:r>
      <w:r w:rsidRPr="001570EA">
        <w:rPr>
          <w:rFonts w:eastAsia="Calibri"/>
        </w:rPr>
        <w:fldChar w:fldCharType="end"/>
      </w:r>
      <w:r w:rsidRPr="001570EA">
        <w:rPr>
          <w:rFonts w:eastAsia="Calibri"/>
        </w:rPr>
        <w:t xml:space="preserve"> </w:t>
      </w:r>
      <w:r w:rsidR="007376E1" w:rsidRPr="001570EA">
        <w:rPr>
          <w:rFonts w:eastAsia="Calibri"/>
        </w:rPr>
        <w:t xml:space="preserve">through </w:t>
      </w:r>
      <w:r w:rsidR="007376E1" w:rsidRPr="001570EA">
        <w:rPr>
          <w:rFonts w:eastAsia="Calibri"/>
        </w:rPr>
        <w:fldChar w:fldCharType="begin"/>
      </w:r>
      <w:r w:rsidR="007376E1" w:rsidRPr="001570EA">
        <w:rPr>
          <w:rFonts w:eastAsia="Calibri"/>
        </w:rPr>
        <w:instrText xml:space="preserve"> REF _Ref534016543 \h </w:instrText>
      </w:r>
      <w:r w:rsidR="00D607EE" w:rsidRPr="001570EA">
        <w:rPr>
          <w:rFonts w:eastAsia="Calibri"/>
        </w:rPr>
        <w:instrText xml:space="preserve"> \* MERGEFORMAT </w:instrText>
      </w:r>
      <w:r w:rsidR="007376E1" w:rsidRPr="001570EA">
        <w:rPr>
          <w:rFonts w:eastAsia="Calibri"/>
        </w:rPr>
      </w:r>
      <w:r w:rsidR="007376E1" w:rsidRPr="001570EA">
        <w:rPr>
          <w:rFonts w:eastAsia="Calibri"/>
        </w:rPr>
        <w:fldChar w:fldCharType="separate"/>
      </w:r>
      <w:r w:rsidR="00384D95" w:rsidRPr="001570EA">
        <w:t xml:space="preserve">Table </w:t>
      </w:r>
      <w:r w:rsidR="00384D95" w:rsidRPr="001570EA">
        <w:rPr>
          <w:noProof/>
        </w:rPr>
        <w:t>2</w:t>
      </w:r>
      <w:r w:rsidR="00384D95" w:rsidRPr="001570EA">
        <w:rPr>
          <w:noProof/>
        </w:rPr>
        <w:noBreakHyphen/>
        <w:t>50</w:t>
      </w:r>
      <w:r w:rsidR="007376E1" w:rsidRPr="001570EA">
        <w:rPr>
          <w:rFonts w:eastAsia="Calibri"/>
        </w:rPr>
        <w:fldChar w:fldCharType="end"/>
      </w:r>
      <w:r w:rsidR="007376E1" w:rsidRPr="001570EA">
        <w:rPr>
          <w:rFonts w:eastAsia="Calibri"/>
        </w:rPr>
        <w:t xml:space="preserve"> provide deemed energy savings values by program type, HVAC system type, and baseline thermostat style using statewide average EFLH values. </w:t>
      </w:r>
      <w:r w:rsidR="007376E1" w:rsidRPr="001570EA">
        <w:rPr>
          <w:rFonts w:eastAsia="Calibri"/>
        </w:rPr>
        <w:fldChar w:fldCharType="begin"/>
      </w:r>
      <w:r w:rsidR="007376E1" w:rsidRPr="001570EA">
        <w:rPr>
          <w:rFonts w:eastAsia="Calibri"/>
        </w:rPr>
        <w:instrText xml:space="preserve"> REF _Ref51057963 \h </w:instrText>
      </w:r>
      <w:r w:rsidR="00D607EE" w:rsidRPr="001570EA">
        <w:rPr>
          <w:rFonts w:eastAsia="Calibri"/>
        </w:rPr>
        <w:instrText xml:space="preserve"> \* MERGEFORMAT </w:instrText>
      </w:r>
      <w:r w:rsidR="007376E1" w:rsidRPr="001570EA">
        <w:rPr>
          <w:rFonts w:eastAsia="Calibri"/>
        </w:rPr>
      </w:r>
      <w:r w:rsidR="007376E1" w:rsidRPr="001570EA">
        <w:rPr>
          <w:rFonts w:eastAsia="Calibri"/>
        </w:rPr>
        <w:fldChar w:fldCharType="separate"/>
      </w:r>
      <w:r w:rsidR="00384D95" w:rsidRPr="001570EA">
        <w:t xml:space="preserve">Table </w:t>
      </w:r>
      <w:r w:rsidR="00384D95" w:rsidRPr="001570EA">
        <w:rPr>
          <w:noProof/>
        </w:rPr>
        <w:t>2</w:t>
      </w:r>
      <w:r w:rsidR="00384D95" w:rsidRPr="001570EA">
        <w:rPr>
          <w:noProof/>
        </w:rPr>
        <w:noBreakHyphen/>
        <w:t>51</w:t>
      </w:r>
      <w:r w:rsidR="007376E1" w:rsidRPr="001570EA">
        <w:rPr>
          <w:rFonts w:eastAsia="Calibri"/>
        </w:rPr>
        <w:fldChar w:fldCharType="end"/>
      </w:r>
      <w:r w:rsidR="007376E1" w:rsidRPr="001570EA">
        <w:rPr>
          <w:rFonts w:eastAsia="Calibri"/>
        </w:rPr>
        <w:t xml:space="preserve"> provides deemed peak demand savings by program type, HVAC system type, and baseline thermostat style using statewide average CF values. If an EDC wishes to calculate default savings specific to their service territory, the climate region weights in Table 1-6 and the EFLH values in Table 1-8 can be used with the algorithms and assumptions in this protocol. The values in Table 1-6 and Table 1-8 are also included in the MS Excel Appendix A calculator (Climate Dependent Values). In an upstream program delivery model, an EDC may not be able to collect the HVAC system type for each participating household. </w:t>
      </w:r>
      <w:r w:rsidR="00D607EE" w:rsidRPr="001570EA">
        <w:rPr>
          <w:rFonts w:eastAsia="Calibri"/>
        </w:rPr>
        <w:fldChar w:fldCharType="begin"/>
      </w:r>
      <w:r w:rsidR="00D607EE" w:rsidRPr="001570EA">
        <w:rPr>
          <w:rFonts w:eastAsia="Calibri"/>
        </w:rPr>
        <w:instrText xml:space="preserve"> REF _Ref163908818 \h  \* MERGEFORMAT </w:instrText>
      </w:r>
      <w:r w:rsidR="00D607EE" w:rsidRPr="001570EA">
        <w:rPr>
          <w:rFonts w:eastAsia="Calibri"/>
        </w:rPr>
      </w:r>
      <w:r w:rsidR="00D607EE" w:rsidRPr="001570EA">
        <w:rPr>
          <w:rFonts w:eastAsia="Calibri"/>
        </w:rPr>
        <w:fldChar w:fldCharType="separate"/>
      </w:r>
      <w:r w:rsidR="00384D95" w:rsidRPr="001570EA">
        <w:t xml:space="preserve">Table </w:t>
      </w:r>
      <w:r w:rsidR="00384D95" w:rsidRPr="001570EA">
        <w:rPr>
          <w:noProof/>
        </w:rPr>
        <w:t>2</w:t>
      </w:r>
      <w:r w:rsidR="00384D95" w:rsidRPr="001570EA">
        <w:rPr>
          <w:noProof/>
        </w:rPr>
        <w:noBreakHyphen/>
        <w:t>52</w:t>
      </w:r>
      <w:r w:rsidR="00D607EE" w:rsidRPr="001570EA">
        <w:rPr>
          <w:rFonts w:eastAsia="Calibri"/>
        </w:rPr>
        <w:fldChar w:fldCharType="end"/>
      </w:r>
      <w:r w:rsidR="00D607EE" w:rsidRPr="001570EA">
        <w:rPr>
          <w:rFonts w:eastAsia="Calibri"/>
        </w:rPr>
        <w:t xml:space="preserve"> </w:t>
      </w:r>
      <w:r w:rsidR="007376E1" w:rsidRPr="001570EA">
        <w:rPr>
          <w:rFonts w:eastAsia="Calibri"/>
        </w:rPr>
        <w:t xml:space="preserve">provides default HVAC system type shares, by EDC, from the </w:t>
      </w:r>
      <w:r w:rsidR="0076744E">
        <w:rPr>
          <w:rFonts w:eastAsia="Calibri"/>
        </w:rPr>
        <w:t xml:space="preserve">Act 129 </w:t>
      </w:r>
      <w:r w:rsidR="00D607EE" w:rsidRPr="001570EA">
        <w:rPr>
          <w:rFonts w:eastAsia="Calibri"/>
        </w:rPr>
        <w:t xml:space="preserve">2023 </w:t>
      </w:r>
      <w:r w:rsidR="0076744E" w:rsidRPr="0076744E">
        <w:rPr>
          <w:rFonts w:eastAsia="Calibri"/>
        </w:rPr>
        <w:t>Pennsylvania</w:t>
      </w:r>
      <w:r w:rsidR="00D607EE" w:rsidRPr="001570EA">
        <w:rPr>
          <w:rFonts w:eastAsia="Calibri"/>
        </w:rPr>
        <w:t xml:space="preserve"> </w:t>
      </w:r>
      <w:r w:rsidR="007376E1" w:rsidRPr="001570EA">
        <w:rPr>
          <w:rFonts w:eastAsia="Calibri"/>
        </w:rPr>
        <w:t>Residential Baseline Study which can be used to derive EDC-specific default savings values for upstream program delivery.</w:t>
      </w:r>
    </w:p>
    <w:p w14:paraId="6177224A" w14:textId="77777777" w:rsidR="007376E1" w:rsidRPr="001570EA" w:rsidRDefault="007376E1" w:rsidP="007376E1">
      <w:bookmarkStart w:id="307" w:name="_Ref449711700"/>
      <w:bookmarkStart w:id="308" w:name="_Ref446668484"/>
    </w:p>
    <w:p w14:paraId="326B65D9" w14:textId="478CD68E" w:rsidR="007376E1" w:rsidRPr="001570EA" w:rsidRDefault="00E13597" w:rsidP="007376E1">
      <w:pPr>
        <w:pStyle w:val="Caption"/>
      </w:pPr>
      <w:bookmarkStart w:id="309" w:name="_Ref163908577"/>
      <w:bookmarkStart w:id="310" w:name="_Ref534016569"/>
      <w:bookmarkStart w:id="311" w:name="_Toc47598284"/>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48</w:t>
      </w:r>
      <w:r w:rsidR="002E093A" w:rsidRPr="001570EA">
        <w:fldChar w:fldCharType="end"/>
      </w:r>
      <w:bookmarkEnd w:id="309"/>
      <w:r w:rsidRPr="001570EA">
        <w:t>: Default Statewide Cooling Savings (kWh/yr)</w:t>
      </w:r>
      <w:bookmarkEnd w:id="307"/>
      <w:bookmarkEnd w:id="310"/>
      <w:bookmarkEnd w:id="311"/>
    </w:p>
    <w:tbl>
      <w:tblPr>
        <w:tblW w:w="5000" w:type="pct"/>
        <w:tblLook w:val="04A0" w:firstRow="1" w:lastRow="0" w:firstColumn="1" w:lastColumn="0" w:noHBand="0" w:noVBand="1"/>
      </w:tblPr>
      <w:tblGrid>
        <w:gridCol w:w="2515"/>
        <w:gridCol w:w="1980"/>
        <w:gridCol w:w="1824"/>
        <w:gridCol w:w="2311"/>
      </w:tblGrid>
      <w:tr w:rsidR="007376E1" w:rsidRPr="001570EA" w14:paraId="78EE5A25" w14:textId="77777777">
        <w:trPr>
          <w:trHeight w:val="462"/>
        </w:trPr>
        <w:tc>
          <w:tcPr>
            <w:tcW w:w="1457" w:type="pct"/>
            <w:tcBorders>
              <w:top w:val="single" w:sz="4" w:space="0" w:color="auto"/>
              <w:left w:val="single" w:sz="4" w:space="0" w:color="auto"/>
              <w:bottom w:val="nil"/>
              <w:right w:val="single" w:sz="4" w:space="0" w:color="auto"/>
            </w:tcBorders>
            <w:shd w:val="clear" w:color="auto" w:fill="D9D9D9"/>
            <w:vAlign w:val="center"/>
            <w:hideMark/>
          </w:tcPr>
          <w:p w14:paraId="5D2EFE10" w14:textId="77777777" w:rsidR="007376E1" w:rsidRPr="001570EA" w:rsidRDefault="007376E1">
            <w:pPr>
              <w:rPr>
                <w:rFonts w:cs="Arial"/>
                <w:b/>
                <w:bCs/>
                <w:sz w:val="18"/>
                <w:szCs w:val="18"/>
              </w:rPr>
            </w:pPr>
            <w:r w:rsidRPr="001570EA">
              <w:rPr>
                <w:rFonts w:cs="Arial"/>
                <w:b/>
                <w:bCs/>
                <w:sz w:val="18"/>
                <w:szCs w:val="18"/>
              </w:rPr>
              <w:t>Program Type</w:t>
            </w:r>
          </w:p>
        </w:tc>
        <w:tc>
          <w:tcPr>
            <w:tcW w:w="1147" w:type="pct"/>
            <w:tcBorders>
              <w:top w:val="single" w:sz="4" w:space="0" w:color="auto"/>
              <w:left w:val="nil"/>
              <w:bottom w:val="nil"/>
              <w:right w:val="single" w:sz="4" w:space="0" w:color="auto"/>
            </w:tcBorders>
            <w:shd w:val="clear" w:color="auto" w:fill="D9D9D9"/>
            <w:vAlign w:val="center"/>
            <w:hideMark/>
          </w:tcPr>
          <w:p w14:paraId="6ED5898C" w14:textId="77777777" w:rsidR="007376E1" w:rsidRPr="001570EA" w:rsidRDefault="007376E1">
            <w:pPr>
              <w:rPr>
                <w:rFonts w:cs="Arial"/>
                <w:b/>
                <w:bCs/>
                <w:sz w:val="18"/>
                <w:szCs w:val="18"/>
              </w:rPr>
            </w:pPr>
            <w:r w:rsidRPr="001570EA">
              <w:rPr>
                <w:rFonts w:cs="Arial"/>
                <w:b/>
                <w:bCs/>
                <w:sz w:val="18"/>
                <w:szCs w:val="18"/>
              </w:rPr>
              <w:t>Baseline</w:t>
            </w:r>
          </w:p>
        </w:tc>
        <w:tc>
          <w:tcPr>
            <w:tcW w:w="1057" w:type="pct"/>
            <w:tcBorders>
              <w:top w:val="single" w:sz="4" w:space="0" w:color="auto"/>
              <w:left w:val="nil"/>
              <w:bottom w:val="single" w:sz="4" w:space="0" w:color="auto"/>
              <w:right w:val="single" w:sz="4" w:space="0" w:color="auto"/>
            </w:tcBorders>
            <w:shd w:val="clear" w:color="auto" w:fill="D9D9D9"/>
            <w:vAlign w:val="center"/>
            <w:hideMark/>
          </w:tcPr>
          <w:p w14:paraId="110AA29E" w14:textId="77777777" w:rsidR="007376E1" w:rsidRPr="001570EA" w:rsidRDefault="007376E1">
            <w:pPr>
              <w:jc w:val="center"/>
              <w:rPr>
                <w:rFonts w:cs="Arial"/>
                <w:b/>
                <w:bCs/>
                <w:color w:val="000000"/>
                <w:sz w:val="18"/>
                <w:szCs w:val="18"/>
              </w:rPr>
            </w:pPr>
            <w:r w:rsidRPr="001570EA">
              <w:rPr>
                <w:rFonts w:cs="Arial"/>
                <w:b/>
                <w:bCs/>
                <w:color w:val="000000"/>
                <w:sz w:val="18"/>
                <w:szCs w:val="18"/>
              </w:rPr>
              <w:t>ASHP Cooling</w:t>
            </w:r>
          </w:p>
        </w:tc>
        <w:tc>
          <w:tcPr>
            <w:tcW w:w="1339" w:type="pct"/>
            <w:tcBorders>
              <w:top w:val="single" w:sz="4" w:space="0" w:color="auto"/>
              <w:left w:val="nil"/>
              <w:bottom w:val="single" w:sz="4" w:space="0" w:color="auto"/>
              <w:right w:val="single" w:sz="4" w:space="0" w:color="auto"/>
            </w:tcBorders>
            <w:shd w:val="clear" w:color="auto" w:fill="D9D9D9"/>
            <w:vAlign w:val="center"/>
            <w:hideMark/>
          </w:tcPr>
          <w:p w14:paraId="600D4A75" w14:textId="77777777" w:rsidR="007376E1" w:rsidRPr="001570EA" w:rsidRDefault="007376E1">
            <w:pPr>
              <w:jc w:val="center"/>
              <w:rPr>
                <w:rFonts w:cs="Arial"/>
                <w:b/>
                <w:bCs/>
                <w:color w:val="000000"/>
                <w:sz w:val="18"/>
                <w:szCs w:val="18"/>
              </w:rPr>
            </w:pPr>
            <w:r w:rsidRPr="001570EA">
              <w:rPr>
                <w:rFonts w:cs="Arial"/>
                <w:b/>
                <w:bCs/>
                <w:color w:val="000000"/>
                <w:sz w:val="18"/>
                <w:szCs w:val="18"/>
              </w:rPr>
              <w:t>CAC Cooling</w:t>
            </w:r>
          </w:p>
        </w:tc>
      </w:tr>
      <w:tr w:rsidR="007376E1" w:rsidRPr="001570EA" w14:paraId="55C2A257" w14:textId="77777777">
        <w:trPr>
          <w:trHeight w:val="691"/>
        </w:trPr>
        <w:tc>
          <w:tcPr>
            <w:tcW w:w="14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53001" w14:textId="77777777" w:rsidR="007376E1" w:rsidRPr="001570EA" w:rsidRDefault="007376E1">
            <w:pPr>
              <w:jc w:val="left"/>
              <w:rPr>
                <w:rFonts w:cs="Arial"/>
                <w:color w:val="000000"/>
                <w:sz w:val="18"/>
                <w:szCs w:val="18"/>
              </w:rPr>
            </w:pPr>
            <w:r w:rsidRPr="001570EA">
              <w:rPr>
                <w:rFonts w:cs="Arial"/>
                <w:color w:val="000000"/>
                <w:sz w:val="18"/>
                <w:szCs w:val="18"/>
              </w:rPr>
              <w:t>Upstream buy-down (Customer Self-Installation)</w:t>
            </w:r>
          </w:p>
        </w:tc>
        <w:tc>
          <w:tcPr>
            <w:tcW w:w="1147" w:type="pct"/>
            <w:tcBorders>
              <w:top w:val="single" w:sz="4" w:space="0" w:color="auto"/>
              <w:left w:val="nil"/>
              <w:bottom w:val="single" w:sz="4" w:space="0" w:color="auto"/>
              <w:right w:val="single" w:sz="4" w:space="0" w:color="auto"/>
            </w:tcBorders>
            <w:shd w:val="clear" w:color="auto" w:fill="auto"/>
            <w:vAlign w:val="center"/>
            <w:hideMark/>
          </w:tcPr>
          <w:p w14:paraId="410F8C3A" w14:textId="77777777" w:rsidR="007376E1" w:rsidRPr="001570EA" w:rsidRDefault="007376E1">
            <w:pPr>
              <w:rPr>
                <w:rFonts w:cs="Arial"/>
                <w:color w:val="000000"/>
                <w:sz w:val="18"/>
                <w:szCs w:val="18"/>
              </w:rPr>
            </w:pPr>
            <w:r w:rsidRPr="001570EA">
              <w:rPr>
                <w:rFonts w:cs="Arial"/>
                <w:color w:val="000000"/>
                <w:sz w:val="18"/>
                <w:szCs w:val="18"/>
              </w:rPr>
              <w:t xml:space="preserve">Unknown Mix Default </w:t>
            </w:r>
          </w:p>
        </w:tc>
        <w:tc>
          <w:tcPr>
            <w:tcW w:w="1057" w:type="pct"/>
            <w:tcBorders>
              <w:top w:val="nil"/>
              <w:left w:val="nil"/>
              <w:bottom w:val="single" w:sz="4" w:space="0" w:color="auto"/>
              <w:right w:val="single" w:sz="4" w:space="0" w:color="auto"/>
            </w:tcBorders>
            <w:shd w:val="clear" w:color="auto" w:fill="auto"/>
            <w:vAlign w:val="center"/>
            <w:hideMark/>
          </w:tcPr>
          <w:p w14:paraId="0C835C46" w14:textId="77777777" w:rsidR="007376E1" w:rsidRPr="001570EA" w:rsidRDefault="007376E1">
            <w:pPr>
              <w:jc w:val="center"/>
              <w:rPr>
                <w:rFonts w:cs="Arial"/>
                <w:color w:val="000000"/>
                <w:sz w:val="18"/>
                <w:szCs w:val="18"/>
              </w:rPr>
            </w:pPr>
            <w:r w:rsidRPr="001570EA">
              <w:rPr>
                <w:rFonts w:cs="Arial"/>
                <w:color w:val="000000"/>
                <w:sz w:val="18"/>
                <w:szCs w:val="18"/>
              </w:rPr>
              <w:t>86</w:t>
            </w:r>
          </w:p>
        </w:tc>
        <w:tc>
          <w:tcPr>
            <w:tcW w:w="1339" w:type="pct"/>
            <w:tcBorders>
              <w:top w:val="nil"/>
              <w:left w:val="nil"/>
              <w:bottom w:val="single" w:sz="4" w:space="0" w:color="auto"/>
              <w:right w:val="single" w:sz="4" w:space="0" w:color="auto"/>
            </w:tcBorders>
            <w:shd w:val="clear" w:color="auto" w:fill="auto"/>
            <w:vAlign w:val="center"/>
            <w:hideMark/>
          </w:tcPr>
          <w:p w14:paraId="26779CAF" w14:textId="77777777" w:rsidR="007376E1" w:rsidRPr="001570EA" w:rsidRDefault="007376E1">
            <w:pPr>
              <w:jc w:val="center"/>
              <w:rPr>
                <w:rFonts w:cs="Arial"/>
                <w:color w:val="000000"/>
                <w:sz w:val="18"/>
                <w:szCs w:val="18"/>
              </w:rPr>
            </w:pPr>
            <w:r w:rsidRPr="001570EA">
              <w:rPr>
                <w:rFonts w:cs="Arial"/>
                <w:color w:val="000000"/>
                <w:sz w:val="18"/>
                <w:szCs w:val="18"/>
              </w:rPr>
              <w:t>92</w:t>
            </w:r>
          </w:p>
        </w:tc>
      </w:tr>
      <w:tr w:rsidR="007376E1" w:rsidRPr="001570EA" w14:paraId="10479A71" w14:textId="77777777">
        <w:trPr>
          <w:trHeight w:val="690"/>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26DAC95C" w14:textId="77777777" w:rsidR="007376E1" w:rsidRPr="001570EA" w:rsidRDefault="007376E1">
            <w:pPr>
              <w:jc w:val="left"/>
              <w:rPr>
                <w:rFonts w:cs="Arial"/>
                <w:color w:val="000000"/>
                <w:sz w:val="18"/>
                <w:szCs w:val="18"/>
              </w:rPr>
            </w:pPr>
            <w:r w:rsidRPr="001570EA">
              <w:rPr>
                <w:rFonts w:cs="Arial"/>
                <w:color w:val="000000"/>
                <w:sz w:val="18"/>
                <w:szCs w:val="18"/>
              </w:rPr>
              <w:t>Customer Self-Installation with Education</w:t>
            </w:r>
          </w:p>
        </w:tc>
        <w:tc>
          <w:tcPr>
            <w:tcW w:w="1147" w:type="pct"/>
            <w:tcBorders>
              <w:top w:val="nil"/>
              <w:left w:val="nil"/>
              <w:bottom w:val="single" w:sz="4" w:space="0" w:color="auto"/>
              <w:right w:val="single" w:sz="4" w:space="0" w:color="auto"/>
            </w:tcBorders>
            <w:shd w:val="clear" w:color="auto" w:fill="auto"/>
            <w:vAlign w:val="center"/>
            <w:hideMark/>
          </w:tcPr>
          <w:p w14:paraId="326B9B86" w14:textId="77777777" w:rsidR="007376E1" w:rsidRPr="001570EA" w:rsidRDefault="007376E1">
            <w:pPr>
              <w:rPr>
                <w:rFonts w:cs="Arial"/>
                <w:color w:val="000000"/>
                <w:sz w:val="18"/>
                <w:szCs w:val="18"/>
              </w:rPr>
            </w:pPr>
            <w:r w:rsidRPr="001570EA">
              <w:rPr>
                <w:rFonts w:cs="Arial"/>
                <w:color w:val="000000"/>
                <w:sz w:val="18"/>
                <w:szCs w:val="18"/>
              </w:rPr>
              <w:t xml:space="preserve">Unknown Mix Default </w:t>
            </w:r>
          </w:p>
        </w:tc>
        <w:tc>
          <w:tcPr>
            <w:tcW w:w="1057" w:type="pct"/>
            <w:tcBorders>
              <w:top w:val="nil"/>
              <w:left w:val="nil"/>
              <w:bottom w:val="single" w:sz="4" w:space="0" w:color="auto"/>
              <w:right w:val="single" w:sz="4" w:space="0" w:color="auto"/>
            </w:tcBorders>
            <w:shd w:val="clear" w:color="auto" w:fill="auto"/>
            <w:vAlign w:val="center"/>
            <w:hideMark/>
          </w:tcPr>
          <w:p w14:paraId="653A39FF" w14:textId="77777777" w:rsidR="007376E1" w:rsidRPr="001570EA" w:rsidRDefault="007376E1">
            <w:pPr>
              <w:jc w:val="center"/>
              <w:rPr>
                <w:rFonts w:cs="Arial"/>
                <w:color w:val="000000"/>
                <w:sz w:val="18"/>
                <w:szCs w:val="18"/>
              </w:rPr>
            </w:pPr>
            <w:r w:rsidRPr="001570EA">
              <w:rPr>
                <w:rFonts w:cs="Arial"/>
                <w:color w:val="000000"/>
                <w:sz w:val="18"/>
                <w:szCs w:val="18"/>
              </w:rPr>
              <w:t>132</w:t>
            </w:r>
          </w:p>
        </w:tc>
        <w:tc>
          <w:tcPr>
            <w:tcW w:w="1339" w:type="pct"/>
            <w:tcBorders>
              <w:top w:val="nil"/>
              <w:left w:val="nil"/>
              <w:bottom w:val="single" w:sz="4" w:space="0" w:color="auto"/>
              <w:right w:val="single" w:sz="4" w:space="0" w:color="auto"/>
            </w:tcBorders>
            <w:shd w:val="clear" w:color="auto" w:fill="auto"/>
            <w:vAlign w:val="center"/>
            <w:hideMark/>
          </w:tcPr>
          <w:p w14:paraId="05CFCF12" w14:textId="77777777" w:rsidR="007376E1" w:rsidRPr="001570EA" w:rsidRDefault="007376E1">
            <w:pPr>
              <w:jc w:val="center"/>
              <w:rPr>
                <w:rFonts w:cs="Arial"/>
                <w:color w:val="000000"/>
                <w:sz w:val="18"/>
                <w:szCs w:val="18"/>
              </w:rPr>
            </w:pPr>
            <w:r w:rsidRPr="001570EA">
              <w:rPr>
                <w:rFonts w:cs="Arial"/>
                <w:color w:val="000000"/>
                <w:sz w:val="18"/>
                <w:szCs w:val="18"/>
              </w:rPr>
              <w:t>141</w:t>
            </w:r>
          </w:p>
        </w:tc>
      </w:tr>
      <w:tr w:rsidR="007376E1" w:rsidRPr="001570EA" w14:paraId="685284EE" w14:textId="77777777">
        <w:trPr>
          <w:trHeight w:val="374"/>
        </w:trPr>
        <w:tc>
          <w:tcPr>
            <w:tcW w:w="1457" w:type="pct"/>
            <w:vMerge w:val="restart"/>
            <w:tcBorders>
              <w:top w:val="nil"/>
              <w:left w:val="single" w:sz="4" w:space="0" w:color="auto"/>
              <w:bottom w:val="single" w:sz="4" w:space="0" w:color="auto"/>
              <w:right w:val="single" w:sz="4" w:space="0" w:color="auto"/>
            </w:tcBorders>
            <w:shd w:val="clear" w:color="auto" w:fill="auto"/>
            <w:vAlign w:val="center"/>
            <w:hideMark/>
          </w:tcPr>
          <w:p w14:paraId="25FC9DAB" w14:textId="77777777" w:rsidR="007376E1" w:rsidRPr="001570EA" w:rsidRDefault="007376E1">
            <w:pPr>
              <w:rPr>
                <w:rFonts w:cs="Arial"/>
                <w:color w:val="000000"/>
                <w:sz w:val="18"/>
                <w:szCs w:val="18"/>
              </w:rPr>
            </w:pPr>
            <w:r w:rsidRPr="001570EA">
              <w:rPr>
                <w:rFonts w:cs="Arial"/>
                <w:color w:val="000000"/>
                <w:sz w:val="18"/>
                <w:szCs w:val="18"/>
              </w:rPr>
              <w:t>Professional Installation</w:t>
            </w:r>
          </w:p>
        </w:tc>
        <w:tc>
          <w:tcPr>
            <w:tcW w:w="1147" w:type="pct"/>
            <w:tcBorders>
              <w:top w:val="nil"/>
              <w:left w:val="nil"/>
              <w:bottom w:val="single" w:sz="4" w:space="0" w:color="auto"/>
              <w:right w:val="single" w:sz="4" w:space="0" w:color="auto"/>
            </w:tcBorders>
            <w:shd w:val="clear" w:color="auto" w:fill="auto"/>
            <w:vAlign w:val="center"/>
            <w:hideMark/>
          </w:tcPr>
          <w:p w14:paraId="673980EF" w14:textId="77777777" w:rsidR="007376E1" w:rsidRPr="001570EA" w:rsidRDefault="007376E1">
            <w:pPr>
              <w:rPr>
                <w:rFonts w:cs="Arial"/>
                <w:color w:val="000000"/>
                <w:sz w:val="18"/>
                <w:szCs w:val="18"/>
              </w:rPr>
            </w:pPr>
            <w:r w:rsidRPr="001570EA">
              <w:rPr>
                <w:rFonts w:cs="Arial"/>
                <w:color w:val="000000"/>
                <w:sz w:val="18"/>
                <w:szCs w:val="18"/>
              </w:rPr>
              <w:t>Manual</w:t>
            </w:r>
          </w:p>
        </w:tc>
        <w:tc>
          <w:tcPr>
            <w:tcW w:w="1057" w:type="pct"/>
            <w:tcBorders>
              <w:top w:val="nil"/>
              <w:left w:val="nil"/>
              <w:bottom w:val="single" w:sz="4" w:space="0" w:color="auto"/>
              <w:right w:val="single" w:sz="4" w:space="0" w:color="auto"/>
            </w:tcBorders>
            <w:shd w:val="clear" w:color="auto" w:fill="auto"/>
            <w:vAlign w:val="center"/>
            <w:hideMark/>
          </w:tcPr>
          <w:p w14:paraId="24144C88" w14:textId="77777777" w:rsidR="007376E1" w:rsidRPr="001570EA" w:rsidRDefault="007376E1">
            <w:pPr>
              <w:jc w:val="center"/>
              <w:rPr>
                <w:rFonts w:cs="Arial"/>
                <w:color w:val="000000"/>
                <w:sz w:val="18"/>
                <w:szCs w:val="18"/>
              </w:rPr>
            </w:pPr>
            <w:r w:rsidRPr="001570EA">
              <w:rPr>
                <w:rFonts w:cs="Arial"/>
                <w:color w:val="000000"/>
                <w:sz w:val="18"/>
                <w:szCs w:val="18"/>
              </w:rPr>
              <w:t>202</w:t>
            </w:r>
          </w:p>
        </w:tc>
        <w:tc>
          <w:tcPr>
            <w:tcW w:w="1339" w:type="pct"/>
            <w:tcBorders>
              <w:top w:val="nil"/>
              <w:left w:val="nil"/>
              <w:bottom w:val="single" w:sz="4" w:space="0" w:color="auto"/>
              <w:right w:val="single" w:sz="4" w:space="0" w:color="auto"/>
            </w:tcBorders>
            <w:shd w:val="clear" w:color="auto" w:fill="auto"/>
            <w:vAlign w:val="center"/>
            <w:hideMark/>
          </w:tcPr>
          <w:p w14:paraId="39C8D2FA" w14:textId="77777777" w:rsidR="007376E1" w:rsidRPr="001570EA" w:rsidRDefault="007376E1">
            <w:pPr>
              <w:jc w:val="center"/>
              <w:rPr>
                <w:rFonts w:cs="Arial"/>
                <w:color w:val="000000"/>
                <w:sz w:val="18"/>
                <w:szCs w:val="18"/>
              </w:rPr>
            </w:pPr>
            <w:r w:rsidRPr="001570EA">
              <w:rPr>
                <w:rFonts w:cs="Arial"/>
                <w:color w:val="000000"/>
                <w:sz w:val="18"/>
                <w:szCs w:val="18"/>
              </w:rPr>
              <w:t>215</w:t>
            </w:r>
          </w:p>
        </w:tc>
      </w:tr>
      <w:tr w:rsidR="007376E1" w:rsidRPr="001570EA" w14:paraId="1F6F82F7" w14:textId="77777777">
        <w:trPr>
          <w:trHeight w:val="576"/>
        </w:trPr>
        <w:tc>
          <w:tcPr>
            <w:tcW w:w="1457" w:type="pct"/>
            <w:vMerge/>
            <w:tcBorders>
              <w:top w:val="nil"/>
              <w:left w:val="single" w:sz="4" w:space="0" w:color="auto"/>
              <w:bottom w:val="single" w:sz="4" w:space="0" w:color="auto"/>
              <w:right w:val="single" w:sz="4" w:space="0" w:color="auto"/>
            </w:tcBorders>
            <w:vAlign w:val="center"/>
            <w:hideMark/>
          </w:tcPr>
          <w:p w14:paraId="40C27C92" w14:textId="77777777" w:rsidR="007376E1" w:rsidRPr="001570EA" w:rsidRDefault="007376E1">
            <w:pPr>
              <w:rPr>
                <w:rFonts w:cs="Arial"/>
                <w:color w:val="000000"/>
                <w:sz w:val="18"/>
                <w:szCs w:val="18"/>
              </w:rPr>
            </w:pPr>
          </w:p>
        </w:tc>
        <w:tc>
          <w:tcPr>
            <w:tcW w:w="1147" w:type="pct"/>
            <w:tcBorders>
              <w:top w:val="nil"/>
              <w:left w:val="nil"/>
              <w:bottom w:val="single" w:sz="4" w:space="0" w:color="auto"/>
              <w:right w:val="single" w:sz="4" w:space="0" w:color="auto"/>
            </w:tcBorders>
            <w:shd w:val="clear" w:color="auto" w:fill="auto"/>
            <w:vAlign w:val="center"/>
            <w:hideMark/>
          </w:tcPr>
          <w:p w14:paraId="0031CC47" w14:textId="77777777" w:rsidR="007376E1" w:rsidRPr="001570EA" w:rsidRDefault="007376E1">
            <w:pPr>
              <w:rPr>
                <w:rFonts w:cs="Arial"/>
                <w:color w:val="000000"/>
                <w:sz w:val="18"/>
                <w:szCs w:val="18"/>
              </w:rPr>
            </w:pPr>
            <w:r w:rsidRPr="001570EA">
              <w:rPr>
                <w:rFonts w:cs="Arial"/>
                <w:color w:val="000000"/>
                <w:sz w:val="18"/>
                <w:szCs w:val="18"/>
              </w:rPr>
              <w:t>Conventional programmable</w:t>
            </w:r>
          </w:p>
        </w:tc>
        <w:tc>
          <w:tcPr>
            <w:tcW w:w="1057" w:type="pct"/>
            <w:tcBorders>
              <w:top w:val="nil"/>
              <w:left w:val="nil"/>
              <w:bottom w:val="single" w:sz="4" w:space="0" w:color="auto"/>
              <w:right w:val="single" w:sz="4" w:space="0" w:color="auto"/>
            </w:tcBorders>
            <w:shd w:val="clear" w:color="auto" w:fill="auto"/>
            <w:vAlign w:val="center"/>
            <w:hideMark/>
          </w:tcPr>
          <w:p w14:paraId="11766E1A" w14:textId="77777777" w:rsidR="007376E1" w:rsidRPr="001570EA" w:rsidRDefault="007376E1">
            <w:pPr>
              <w:jc w:val="center"/>
              <w:rPr>
                <w:rFonts w:cs="Arial"/>
                <w:color w:val="000000"/>
                <w:sz w:val="18"/>
                <w:szCs w:val="18"/>
              </w:rPr>
            </w:pPr>
            <w:r w:rsidRPr="001570EA">
              <w:rPr>
                <w:rFonts w:cs="Arial"/>
                <w:color w:val="000000"/>
                <w:sz w:val="18"/>
                <w:szCs w:val="18"/>
              </w:rPr>
              <w:t>166</w:t>
            </w:r>
          </w:p>
        </w:tc>
        <w:tc>
          <w:tcPr>
            <w:tcW w:w="1339" w:type="pct"/>
            <w:tcBorders>
              <w:top w:val="nil"/>
              <w:left w:val="nil"/>
              <w:bottom w:val="single" w:sz="4" w:space="0" w:color="auto"/>
              <w:right w:val="single" w:sz="4" w:space="0" w:color="auto"/>
            </w:tcBorders>
            <w:shd w:val="clear" w:color="auto" w:fill="auto"/>
            <w:vAlign w:val="center"/>
            <w:hideMark/>
          </w:tcPr>
          <w:p w14:paraId="076A98AB" w14:textId="77777777" w:rsidR="007376E1" w:rsidRPr="001570EA" w:rsidRDefault="007376E1">
            <w:pPr>
              <w:jc w:val="center"/>
              <w:rPr>
                <w:rFonts w:cs="Arial"/>
                <w:color w:val="000000"/>
                <w:sz w:val="18"/>
                <w:szCs w:val="18"/>
              </w:rPr>
            </w:pPr>
            <w:r w:rsidRPr="001570EA">
              <w:rPr>
                <w:rFonts w:cs="Arial"/>
                <w:color w:val="000000"/>
                <w:sz w:val="18"/>
                <w:szCs w:val="18"/>
              </w:rPr>
              <w:t>177</w:t>
            </w:r>
          </w:p>
        </w:tc>
      </w:tr>
    </w:tbl>
    <w:p w14:paraId="5D6CF11F" w14:textId="77777777" w:rsidR="007376E1" w:rsidRPr="001570EA" w:rsidRDefault="007376E1" w:rsidP="007376E1">
      <w:pPr>
        <w:rPr>
          <w:rFonts w:ascii="Arial Narrow" w:hAnsi="Arial Narrow"/>
          <w:b/>
          <w:bCs/>
        </w:rPr>
      </w:pPr>
      <w:bookmarkStart w:id="312" w:name="_Ref447698417"/>
    </w:p>
    <w:p w14:paraId="376B1A30" w14:textId="1E8859CF" w:rsidR="007376E1" w:rsidRPr="001570EA" w:rsidRDefault="007376E1" w:rsidP="007376E1">
      <w:pPr>
        <w:pStyle w:val="Caption"/>
        <w:rPr>
          <w:rFonts w:cs="Arial"/>
        </w:rPr>
      </w:pPr>
      <w:bookmarkStart w:id="313" w:name="_Toc47598285"/>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49</w:t>
      </w:r>
      <w:r w:rsidR="002E093A" w:rsidRPr="001570EA">
        <w:fldChar w:fldCharType="end"/>
      </w:r>
      <w:bookmarkEnd w:id="312"/>
      <w:r w:rsidRPr="001570EA">
        <w:rPr>
          <w:rFonts w:cs="Arial"/>
        </w:rPr>
        <w:t>: Default Statewide Heating Savings (kWh/yr)</w:t>
      </w:r>
      <w:bookmarkEnd w:id="313"/>
    </w:p>
    <w:tbl>
      <w:tblPr>
        <w:tblW w:w="5000" w:type="pct"/>
        <w:tblLook w:val="04A0" w:firstRow="1" w:lastRow="0" w:firstColumn="1" w:lastColumn="0" w:noHBand="0" w:noVBand="1"/>
      </w:tblPr>
      <w:tblGrid>
        <w:gridCol w:w="2393"/>
        <w:gridCol w:w="1858"/>
        <w:gridCol w:w="1588"/>
        <w:gridCol w:w="1567"/>
        <w:gridCol w:w="1224"/>
      </w:tblGrid>
      <w:tr w:rsidR="007376E1" w:rsidRPr="001570EA" w14:paraId="73DB73D2" w14:textId="77777777">
        <w:trPr>
          <w:trHeight w:val="912"/>
        </w:trPr>
        <w:tc>
          <w:tcPr>
            <w:tcW w:w="1386" w:type="pct"/>
            <w:tcBorders>
              <w:top w:val="single" w:sz="4" w:space="0" w:color="auto"/>
              <w:left w:val="single" w:sz="4" w:space="0" w:color="auto"/>
              <w:bottom w:val="nil"/>
              <w:right w:val="single" w:sz="4" w:space="0" w:color="auto"/>
            </w:tcBorders>
            <w:shd w:val="clear" w:color="auto" w:fill="D9D9D9"/>
            <w:vAlign w:val="center"/>
            <w:hideMark/>
          </w:tcPr>
          <w:p w14:paraId="22D87ACE" w14:textId="77777777" w:rsidR="007376E1" w:rsidRPr="001570EA" w:rsidRDefault="007376E1">
            <w:pPr>
              <w:rPr>
                <w:rFonts w:cs="Arial"/>
                <w:b/>
                <w:bCs/>
                <w:sz w:val="18"/>
                <w:szCs w:val="18"/>
              </w:rPr>
            </w:pPr>
            <w:r w:rsidRPr="001570EA">
              <w:rPr>
                <w:rFonts w:cs="Arial"/>
                <w:b/>
                <w:bCs/>
                <w:sz w:val="18"/>
                <w:szCs w:val="18"/>
              </w:rPr>
              <w:t>Program Type</w:t>
            </w:r>
          </w:p>
        </w:tc>
        <w:tc>
          <w:tcPr>
            <w:tcW w:w="1076" w:type="pct"/>
            <w:tcBorders>
              <w:top w:val="single" w:sz="4" w:space="0" w:color="auto"/>
              <w:left w:val="nil"/>
              <w:bottom w:val="nil"/>
              <w:right w:val="single" w:sz="4" w:space="0" w:color="auto"/>
            </w:tcBorders>
            <w:shd w:val="clear" w:color="auto" w:fill="D9D9D9"/>
            <w:vAlign w:val="center"/>
            <w:hideMark/>
          </w:tcPr>
          <w:p w14:paraId="65EC02BB" w14:textId="77777777" w:rsidR="007376E1" w:rsidRPr="001570EA" w:rsidRDefault="007376E1">
            <w:pPr>
              <w:rPr>
                <w:rFonts w:cs="Arial"/>
                <w:b/>
                <w:bCs/>
                <w:sz w:val="18"/>
                <w:szCs w:val="18"/>
              </w:rPr>
            </w:pPr>
            <w:r w:rsidRPr="001570EA">
              <w:rPr>
                <w:rFonts w:cs="Arial"/>
                <w:b/>
                <w:bCs/>
                <w:sz w:val="18"/>
                <w:szCs w:val="18"/>
              </w:rPr>
              <w:t>Baseline</w:t>
            </w:r>
          </w:p>
        </w:tc>
        <w:tc>
          <w:tcPr>
            <w:tcW w:w="920" w:type="pct"/>
            <w:tcBorders>
              <w:top w:val="single" w:sz="4" w:space="0" w:color="auto"/>
              <w:left w:val="nil"/>
              <w:bottom w:val="single" w:sz="4" w:space="0" w:color="auto"/>
              <w:right w:val="single" w:sz="4" w:space="0" w:color="auto"/>
            </w:tcBorders>
            <w:shd w:val="clear" w:color="auto" w:fill="D9D9D9"/>
            <w:vAlign w:val="center"/>
            <w:hideMark/>
          </w:tcPr>
          <w:p w14:paraId="2A31AE3B" w14:textId="77777777" w:rsidR="007376E1" w:rsidRPr="001570EA" w:rsidRDefault="007376E1">
            <w:pPr>
              <w:jc w:val="center"/>
              <w:rPr>
                <w:rFonts w:cs="Arial"/>
                <w:b/>
                <w:bCs/>
                <w:sz w:val="18"/>
                <w:szCs w:val="18"/>
              </w:rPr>
            </w:pPr>
            <w:r w:rsidRPr="001570EA">
              <w:rPr>
                <w:rFonts w:cs="Arial"/>
                <w:b/>
                <w:bCs/>
                <w:sz w:val="18"/>
                <w:szCs w:val="18"/>
              </w:rPr>
              <w:t xml:space="preserve">ASHP </w:t>
            </w:r>
          </w:p>
        </w:tc>
        <w:tc>
          <w:tcPr>
            <w:tcW w:w="908" w:type="pct"/>
            <w:tcBorders>
              <w:top w:val="single" w:sz="4" w:space="0" w:color="auto"/>
              <w:left w:val="nil"/>
              <w:bottom w:val="single" w:sz="4" w:space="0" w:color="auto"/>
              <w:right w:val="nil"/>
            </w:tcBorders>
            <w:shd w:val="clear" w:color="auto" w:fill="D9D9D9"/>
            <w:vAlign w:val="center"/>
            <w:hideMark/>
          </w:tcPr>
          <w:p w14:paraId="4EF5CF4C" w14:textId="77777777" w:rsidR="007376E1" w:rsidRPr="001570EA" w:rsidRDefault="007376E1">
            <w:pPr>
              <w:jc w:val="center"/>
              <w:rPr>
                <w:rFonts w:cs="Arial"/>
                <w:b/>
                <w:bCs/>
                <w:sz w:val="18"/>
                <w:szCs w:val="18"/>
                <w:vertAlign w:val="superscript"/>
              </w:rPr>
            </w:pPr>
            <w:r w:rsidRPr="001570EA">
              <w:rPr>
                <w:rFonts w:cs="Arial"/>
                <w:b/>
                <w:bCs/>
                <w:sz w:val="18"/>
                <w:szCs w:val="18"/>
              </w:rPr>
              <w:t>Electric Furnace</w:t>
            </w:r>
          </w:p>
        </w:tc>
        <w:tc>
          <w:tcPr>
            <w:tcW w:w="7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1E637C" w14:textId="77777777" w:rsidR="007376E1" w:rsidRPr="001570EA" w:rsidRDefault="007376E1">
            <w:pPr>
              <w:jc w:val="center"/>
              <w:rPr>
                <w:rFonts w:cs="Arial"/>
                <w:b/>
                <w:bCs/>
                <w:sz w:val="18"/>
                <w:szCs w:val="18"/>
              </w:rPr>
            </w:pPr>
            <w:r w:rsidRPr="001570EA">
              <w:rPr>
                <w:rFonts w:cs="Arial"/>
                <w:b/>
                <w:bCs/>
                <w:sz w:val="18"/>
                <w:szCs w:val="18"/>
              </w:rPr>
              <w:t>Fossil Fuel Furnace (Fan Only)</w:t>
            </w:r>
          </w:p>
        </w:tc>
      </w:tr>
      <w:tr w:rsidR="007376E1" w:rsidRPr="001570EA" w14:paraId="7F0B0824" w14:textId="77777777">
        <w:trPr>
          <w:trHeight w:val="918"/>
        </w:trPr>
        <w:tc>
          <w:tcPr>
            <w:tcW w:w="1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72F15" w14:textId="77777777" w:rsidR="007376E1" w:rsidRPr="001570EA" w:rsidRDefault="007376E1">
            <w:pPr>
              <w:jc w:val="left"/>
              <w:rPr>
                <w:rFonts w:cs="Arial"/>
                <w:color w:val="000000"/>
                <w:sz w:val="18"/>
                <w:szCs w:val="18"/>
              </w:rPr>
            </w:pPr>
            <w:r w:rsidRPr="001570EA">
              <w:rPr>
                <w:rFonts w:cs="Arial"/>
                <w:color w:val="000000"/>
                <w:sz w:val="18"/>
                <w:szCs w:val="18"/>
              </w:rPr>
              <w:t>Upstream buy-down (Customer Self-Installation)</w:t>
            </w:r>
          </w:p>
        </w:tc>
        <w:tc>
          <w:tcPr>
            <w:tcW w:w="1076" w:type="pct"/>
            <w:tcBorders>
              <w:top w:val="single" w:sz="4" w:space="0" w:color="auto"/>
              <w:left w:val="nil"/>
              <w:bottom w:val="single" w:sz="4" w:space="0" w:color="auto"/>
              <w:right w:val="single" w:sz="4" w:space="0" w:color="auto"/>
            </w:tcBorders>
            <w:shd w:val="clear" w:color="auto" w:fill="auto"/>
            <w:vAlign w:val="center"/>
            <w:hideMark/>
          </w:tcPr>
          <w:p w14:paraId="59D612C4" w14:textId="77777777" w:rsidR="007376E1" w:rsidRPr="001570EA" w:rsidRDefault="007376E1">
            <w:pPr>
              <w:rPr>
                <w:rFonts w:cs="Arial"/>
                <w:color w:val="000000"/>
                <w:sz w:val="18"/>
                <w:szCs w:val="18"/>
              </w:rPr>
            </w:pPr>
            <w:r w:rsidRPr="001570EA">
              <w:rPr>
                <w:rFonts w:cs="Arial"/>
                <w:color w:val="000000"/>
                <w:sz w:val="18"/>
                <w:szCs w:val="18"/>
              </w:rPr>
              <w:t xml:space="preserve">Unknown Mix Default </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049AD6C1" w14:textId="77777777" w:rsidR="007376E1" w:rsidRPr="001570EA" w:rsidRDefault="007376E1">
            <w:pPr>
              <w:jc w:val="center"/>
              <w:rPr>
                <w:rFonts w:cs="Arial"/>
                <w:color w:val="000000"/>
                <w:sz w:val="18"/>
                <w:szCs w:val="18"/>
              </w:rPr>
            </w:pPr>
            <w:r w:rsidRPr="001570EA">
              <w:rPr>
                <w:rFonts w:cs="Arial"/>
                <w:color w:val="000000"/>
                <w:sz w:val="18"/>
                <w:szCs w:val="18"/>
              </w:rPr>
              <w:t>440</w:t>
            </w:r>
          </w:p>
        </w:tc>
        <w:tc>
          <w:tcPr>
            <w:tcW w:w="908" w:type="pct"/>
            <w:tcBorders>
              <w:top w:val="single" w:sz="4" w:space="0" w:color="auto"/>
              <w:left w:val="nil"/>
              <w:bottom w:val="single" w:sz="4" w:space="0" w:color="auto"/>
              <w:right w:val="single" w:sz="4" w:space="0" w:color="auto"/>
            </w:tcBorders>
            <w:shd w:val="clear" w:color="auto" w:fill="auto"/>
            <w:vAlign w:val="center"/>
          </w:tcPr>
          <w:p w14:paraId="432D4CA8" w14:textId="77777777" w:rsidR="007376E1" w:rsidRPr="001570EA" w:rsidRDefault="007376E1">
            <w:pPr>
              <w:jc w:val="center"/>
              <w:rPr>
                <w:rFonts w:cs="Arial"/>
                <w:color w:val="000000"/>
                <w:sz w:val="18"/>
                <w:szCs w:val="18"/>
              </w:rPr>
            </w:pPr>
            <w:r w:rsidRPr="001570EA">
              <w:rPr>
                <w:rFonts w:cs="Arial"/>
                <w:color w:val="000000"/>
                <w:sz w:val="18"/>
                <w:szCs w:val="18"/>
              </w:rPr>
              <w:t>1,476</w:t>
            </w:r>
          </w:p>
        </w:tc>
        <w:tc>
          <w:tcPr>
            <w:tcW w:w="709" w:type="pct"/>
            <w:tcBorders>
              <w:top w:val="nil"/>
              <w:left w:val="nil"/>
              <w:bottom w:val="single" w:sz="4" w:space="0" w:color="auto"/>
              <w:right w:val="single" w:sz="4" w:space="0" w:color="auto"/>
            </w:tcBorders>
            <w:shd w:val="clear" w:color="auto" w:fill="auto"/>
            <w:vAlign w:val="center"/>
            <w:hideMark/>
          </w:tcPr>
          <w:p w14:paraId="3BE298C1" w14:textId="77777777" w:rsidR="007376E1" w:rsidRPr="001570EA" w:rsidRDefault="007376E1">
            <w:pPr>
              <w:jc w:val="center"/>
              <w:rPr>
                <w:rFonts w:cs="Arial"/>
                <w:color w:val="000000"/>
                <w:sz w:val="18"/>
                <w:szCs w:val="18"/>
              </w:rPr>
            </w:pPr>
            <w:r w:rsidRPr="001570EA">
              <w:rPr>
                <w:rFonts w:cs="Arial"/>
                <w:color w:val="000000"/>
                <w:sz w:val="18"/>
                <w:szCs w:val="18"/>
              </w:rPr>
              <w:t>44</w:t>
            </w:r>
          </w:p>
        </w:tc>
      </w:tr>
      <w:tr w:rsidR="007376E1" w:rsidRPr="001570EA" w14:paraId="5247D8D1" w14:textId="77777777">
        <w:trPr>
          <w:trHeight w:val="690"/>
        </w:trPr>
        <w:tc>
          <w:tcPr>
            <w:tcW w:w="1386" w:type="pct"/>
            <w:tcBorders>
              <w:top w:val="nil"/>
              <w:left w:val="single" w:sz="4" w:space="0" w:color="auto"/>
              <w:bottom w:val="single" w:sz="4" w:space="0" w:color="auto"/>
              <w:right w:val="single" w:sz="4" w:space="0" w:color="auto"/>
            </w:tcBorders>
            <w:shd w:val="clear" w:color="auto" w:fill="auto"/>
            <w:vAlign w:val="center"/>
            <w:hideMark/>
          </w:tcPr>
          <w:p w14:paraId="654439B9" w14:textId="77777777" w:rsidR="007376E1" w:rsidRPr="001570EA" w:rsidRDefault="007376E1">
            <w:pPr>
              <w:jc w:val="left"/>
              <w:rPr>
                <w:rFonts w:cs="Arial"/>
                <w:color w:val="000000"/>
                <w:sz w:val="18"/>
                <w:szCs w:val="18"/>
              </w:rPr>
            </w:pPr>
            <w:r w:rsidRPr="001570EA">
              <w:rPr>
                <w:rFonts w:cs="Arial"/>
                <w:color w:val="000000"/>
                <w:sz w:val="18"/>
                <w:szCs w:val="18"/>
              </w:rPr>
              <w:t>Customer Self-Installation with Education</w:t>
            </w:r>
          </w:p>
        </w:tc>
        <w:tc>
          <w:tcPr>
            <w:tcW w:w="1076" w:type="pct"/>
            <w:tcBorders>
              <w:top w:val="nil"/>
              <w:left w:val="nil"/>
              <w:bottom w:val="single" w:sz="4" w:space="0" w:color="auto"/>
              <w:right w:val="single" w:sz="4" w:space="0" w:color="auto"/>
            </w:tcBorders>
            <w:shd w:val="clear" w:color="auto" w:fill="auto"/>
            <w:vAlign w:val="center"/>
            <w:hideMark/>
          </w:tcPr>
          <w:p w14:paraId="056756BC" w14:textId="77777777" w:rsidR="007376E1" w:rsidRPr="001570EA" w:rsidRDefault="007376E1">
            <w:pPr>
              <w:rPr>
                <w:rFonts w:cs="Arial"/>
                <w:color w:val="000000"/>
                <w:sz w:val="18"/>
                <w:szCs w:val="18"/>
              </w:rPr>
            </w:pPr>
            <w:r w:rsidRPr="001570EA">
              <w:rPr>
                <w:rFonts w:cs="Arial"/>
                <w:color w:val="000000"/>
                <w:sz w:val="18"/>
                <w:szCs w:val="18"/>
              </w:rPr>
              <w:t xml:space="preserve">Unknown Mix Default </w:t>
            </w:r>
          </w:p>
        </w:tc>
        <w:tc>
          <w:tcPr>
            <w:tcW w:w="920" w:type="pct"/>
            <w:tcBorders>
              <w:top w:val="nil"/>
              <w:left w:val="single" w:sz="4" w:space="0" w:color="auto"/>
              <w:bottom w:val="single" w:sz="4" w:space="0" w:color="auto"/>
              <w:right w:val="single" w:sz="4" w:space="0" w:color="auto"/>
            </w:tcBorders>
            <w:shd w:val="clear" w:color="auto" w:fill="auto"/>
            <w:vAlign w:val="center"/>
          </w:tcPr>
          <w:p w14:paraId="68772CAE" w14:textId="77777777" w:rsidR="007376E1" w:rsidRPr="001570EA" w:rsidRDefault="007376E1">
            <w:pPr>
              <w:jc w:val="center"/>
              <w:rPr>
                <w:rFonts w:cs="Arial"/>
                <w:color w:val="000000"/>
                <w:sz w:val="18"/>
                <w:szCs w:val="18"/>
              </w:rPr>
            </w:pPr>
            <w:r w:rsidRPr="001570EA">
              <w:rPr>
                <w:rFonts w:cs="Arial"/>
                <w:color w:val="000000"/>
                <w:sz w:val="18"/>
                <w:szCs w:val="18"/>
              </w:rPr>
              <w:t>529</w:t>
            </w:r>
          </w:p>
        </w:tc>
        <w:tc>
          <w:tcPr>
            <w:tcW w:w="908" w:type="pct"/>
            <w:tcBorders>
              <w:top w:val="nil"/>
              <w:left w:val="nil"/>
              <w:bottom w:val="single" w:sz="4" w:space="0" w:color="auto"/>
              <w:right w:val="single" w:sz="4" w:space="0" w:color="auto"/>
            </w:tcBorders>
            <w:shd w:val="clear" w:color="auto" w:fill="auto"/>
            <w:vAlign w:val="center"/>
          </w:tcPr>
          <w:p w14:paraId="3EFA0CDE" w14:textId="77777777" w:rsidR="007376E1" w:rsidRPr="001570EA" w:rsidRDefault="007376E1">
            <w:pPr>
              <w:jc w:val="center"/>
              <w:rPr>
                <w:rFonts w:cs="Arial"/>
                <w:color w:val="000000"/>
                <w:sz w:val="18"/>
                <w:szCs w:val="18"/>
              </w:rPr>
            </w:pPr>
            <w:r w:rsidRPr="001570EA">
              <w:rPr>
                <w:rFonts w:cs="Arial"/>
                <w:color w:val="000000"/>
                <w:sz w:val="18"/>
                <w:szCs w:val="18"/>
              </w:rPr>
              <w:t>1,775</w:t>
            </w:r>
          </w:p>
        </w:tc>
        <w:tc>
          <w:tcPr>
            <w:tcW w:w="709" w:type="pct"/>
            <w:tcBorders>
              <w:top w:val="nil"/>
              <w:left w:val="nil"/>
              <w:bottom w:val="single" w:sz="4" w:space="0" w:color="auto"/>
              <w:right w:val="single" w:sz="4" w:space="0" w:color="auto"/>
            </w:tcBorders>
            <w:shd w:val="clear" w:color="auto" w:fill="auto"/>
            <w:vAlign w:val="center"/>
            <w:hideMark/>
          </w:tcPr>
          <w:p w14:paraId="19CC6B94" w14:textId="77777777" w:rsidR="007376E1" w:rsidRPr="001570EA" w:rsidRDefault="007376E1">
            <w:pPr>
              <w:jc w:val="center"/>
              <w:rPr>
                <w:rFonts w:cs="Arial"/>
                <w:color w:val="000000"/>
                <w:sz w:val="18"/>
                <w:szCs w:val="18"/>
              </w:rPr>
            </w:pPr>
            <w:r w:rsidRPr="001570EA">
              <w:rPr>
                <w:rFonts w:cs="Arial"/>
                <w:color w:val="000000"/>
                <w:sz w:val="18"/>
                <w:szCs w:val="18"/>
              </w:rPr>
              <w:t>53</w:t>
            </w:r>
          </w:p>
        </w:tc>
      </w:tr>
      <w:tr w:rsidR="007376E1" w:rsidRPr="001570EA" w14:paraId="7BD360F5" w14:textId="77777777">
        <w:trPr>
          <w:trHeight w:val="432"/>
        </w:trPr>
        <w:tc>
          <w:tcPr>
            <w:tcW w:w="1386" w:type="pct"/>
            <w:vMerge w:val="restart"/>
            <w:tcBorders>
              <w:top w:val="nil"/>
              <w:left w:val="single" w:sz="4" w:space="0" w:color="auto"/>
              <w:bottom w:val="single" w:sz="4" w:space="0" w:color="auto"/>
              <w:right w:val="single" w:sz="4" w:space="0" w:color="auto"/>
            </w:tcBorders>
            <w:shd w:val="clear" w:color="auto" w:fill="auto"/>
            <w:vAlign w:val="center"/>
            <w:hideMark/>
          </w:tcPr>
          <w:p w14:paraId="2955B1C7" w14:textId="77777777" w:rsidR="007376E1" w:rsidRPr="001570EA" w:rsidRDefault="007376E1">
            <w:pPr>
              <w:rPr>
                <w:rFonts w:cs="Arial"/>
                <w:color w:val="000000"/>
                <w:sz w:val="18"/>
                <w:szCs w:val="18"/>
              </w:rPr>
            </w:pPr>
            <w:r w:rsidRPr="001570EA">
              <w:rPr>
                <w:rFonts w:cs="Arial"/>
                <w:color w:val="000000"/>
                <w:sz w:val="18"/>
                <w:szCs w:val="18"/>
              </w:rPr>
              <w:t>Professional Installation</w:t>
            </w:r>
          </w:p>
        </w:tc>
        <w:tc>
          <w:tcPr>
            <w:tcW w:w="1076" w:type="pct"/>
            <w:tcBorders>
              <w:top w:val="nil"/>
              <w:left w:val="nil"/>
              <w:bottom w:val="single" w:sz="4" w:space="0" w:color="auto"/>
              <w:right w:val="single" w:sz="4" w:space="0" w:color="auto"/>
            </w:tcBorders>
            <w:shd w:val="clear" w:color="auto" w:fill="auto"/>
            <w:vAlign w:val="center"/>
            <w:hideMark/>
          </w:tcPr>
          <w:p w14:paraId="5791EFB1" w14:textId="77777777" w:rsidR="007376E1" w:rsidRPr="001570EA" w:rsidRDefault="007376E1">
            <w:pPr>
              <w:rPr>
                <w:rFonts w:cs="Arial"/>
                <w:color w:val="000000"/>
                <w:sz w:val="18"/>
                <w:szCs w:val="18"/>
              </w:rPr>
            </w:pPr>
            <w:r w:rsidRPr="001570EA">
              <w:rPr>
                <w:rFonts w:cs="Arial"/>
                <w:color w:val="000000"/>
                <w:sz w:val="18"/>
                <w:szCs w:val="18"/>
              </w:rPr>
              <w:t>Manual</w:t>
            </w:r>
          </w:p>
        </w:tc>
        <w:tc>
          <w:tcPr>
            <w:tcW w:w="920" w:type="pct"/>
            <w:tcBorders>
              <w:top w:val="nil"/>
              <w:left w:val="single" w:sz="4" w:space="0" w:color="auto"/>
              <w:bottom w:val="single" w:sz="4" w:space="0" w:color="auto"/>
              <w:right w:val="single" w:sz="4" w:space="0" w:color="auto"/>
            </w:tcBorders>
            <w:shd w:val="clear" w:color="auto" w:fill="auto"/>
            <w:vAlign w:val="center"/>
          </w:tcPr>
          <w:p w14:paraId="14A52F52" w14:textId="77777777" w:rsidR="007376E1" w:rsidRPr="001570EA" w:rsidRDefault="007376E1">
            <w:pPr>
              <w:jc w:val="center"/>
              <w:rPr>
                <w:rFonts w:cs="Arial"/>
                <w:color w:val="000000"/>
                <w:sz w:val="18"/>
                <w:szCs w:val="18"/>
              </w:rPr>
            </w:pPr>
            <w:r w:rsidRPr="001570EA">
              <w:rPr>
                <w:rFonts w:cs="Arial"/>
                <w:color w:val="000000"/>
                <w:sz w:val="18"/>
                <w:szCs w:val="18"/>
              </w:rPr>
              <w:t>791</w:t>
            </w:r>
          </w:p>
        </w:tc>
        <w:tc>
          <w:tcPr>
            <w:tcW w:w="908" w:type="pct"/>
            <w:tcBorders>
              <w:top w:val="nil"/>
              <w:left w:val="nil"/>
              <w:bottom w:val="single" w:sz="4" w:space="0" w:color="auto"/>
              <w:right w:val="single" w:sz="4" w:space="0" w:color="auto"/>
            </w:tcBorders>
            <w:shd w:val="clear" w:color="auto" w:fill="auto"/>
            <w:vAlign w:val="center"/>
          </w:tcPr>
          <w:p w14:paraId="20152459" w14:textId="77777777" w:rsidR="007376E1" w:rsidRPr="001570EA" w:rsidRDefault="007376E1">
            <w:pPr>
              <w:jc w:val="center"/>
              <w:rPr>
                <w:rFonts w:cs="Arial"/>
                <w:color w:val="000000"/>
                <w:sz w:val="18"/>
                <w:szCs w:val="18"/>
              </w:rPr>
            </w:pPr>
            <w:r w:rsidRPr="001570EA">
              <w:rPr>
                <w:rFonts w:cs="Arial"/>
                <w:color w:val="000000"/>
                <w:sz w:val="18"/>
                <w:szCs w:val="18"/>
              </w:rPr>
              <w:t>2,651</w:t>
            </w:r>
          </w:p>
        </w:tc>
        <w:tc>
          <w:tcPr>
            <w:tcW w:w="709" w:type="pct"/>
            <w:tcBorders>
              <w:top w:val="nil"/>
              <w:left w:val="nil"/>
              <w:bottom w:val="single" w:sz="4" w:space="0" w:color="auto"/>
              <w:right w:val="single" w:sz="4" w:space="0" w:color="auto"/>
            </w:tcBorders>
            <w:shd w:val="clear" w:color="auto" w:fill="auto"/>
            <w:vAlign w:val="center"/>
            <w:hideMark/>
          </w:tcPr>
          <w:p w14:paraId="66202FB7" w14:textId="77777777" w:rsidR="007376E1" w:rsidRPr="001570EA" w:rsidRDefault="007376E1">
            <w:pPr>
              <w:jc w:val="center"/>
              <w:rPr>
                <w:rFonts w:cs="Arial"/>
                <w:color w:val="000000"/>
                <w:sz w:val="18"/>
                <w:szCs w:val="18"/>
              </w:rPr>
            </w:pPr>
            <w:r w:rsidRPr="001570EA">
              <w:rPr>
                <w:rFonts w:cs="Arial"/>
                <w:color w:val="000000"/>
                <w:sz w:val="18"/>
                <w:szCs w:val="18"/>
              </w:rPr>
              <w:t>79</w:t>
            </w:r>
          </w:p>
        </w:tc>
      </w:tr>
      <w:tr w:rsidR="007376E1" w:rsidRPr="001570EA" w14:paraId="49344136" w14:textId="77777777">
        <w:trPr>
          <w:trHeight w:val="555"/>
        </w:trPr>
        <w:tc>
          <w:tcPr>
            <w:tcW w:w="1386" w:type="pct"/>
            <w:vMerge/>
            <w:tcBorders>
              <w:top w:val="nil"/>
              <w:left w:val="single" w:sz="4" w:space="0" w:color="auto"/>
              <w:bottom w:val="single" w:sz="4" w:space="0" w:color="auto"/>
              <w:right w:val="single" w:sz="4" w:space="0" w:color="auto"/>
            </w:tcBorders>
            <w:vAlign w:val="center"/>
            <w:hideMark/>
          </w:tcPr>
          <w:p w14:paraId="773BA344" w14:textId="77777777" w:rsidR="007376E1" w:rsidRPr="001570EA" w:rsidRDefault="007376E1">
            <w:pPr>
              <w:rPr>
                <w:rFonts w:cs="Arial"/>
                <w:color w:val="000000"/>
                <w:sz w:val="18"/>
                <w:szCs w:val="18"/>
              </w:rPr>
            </w:pPr>
          </w:p>
        </w:tc>
        <w:tc>
          <w:tcPr>
            <w:tcW w:w="1076" w:type="pct"/>
            <w:tcBorders>
              <w:top w:val="nil"/>
              <w:left w:val="nil"/>
              <w:bottom w:val="single" w:sz="4" w:space="0" w:color="auto"/>
              <w:right w:val="single" w:sz="4" w:space="0" w:color="auto"/>
            </w:tcBorders>
            <w:shd w:val="clear" w:color="auto" w:fill="auto"/>
            <w:vAlign w:val="center"/>
            <w:hideMark/>
          </w:tcPr>
          <w:p w14:paraId="45F3691B" w14:textId="77777777" w:rsidR="007376E1" w:rsidRPr="001570EA" w:rsidRDefault="007376E1">
            <w:pPr>
              <w:rPr>
                <w:rFonts w:cs="Arial"/>
                <w:color w:val="000000"/>
                <w:sz w:val="18"/>
                <w:szCs w:val="18"/>
              </w:rPr>
            </w:pPr>
            <w:r w:rsidRPr="001570EA">
              <w:rPr>
                <w:rFonts w:cs="Arial"/>
                <w:color w:val="000000"/>
                <w:sz w:val="18"/>
                <w:szCs w:val="18"/>
              </w:rPr>
              <w:t>Conventional programmable</w:t>
            </w:r>
          </w:p>
        </w:tc>
        <w:tc>
          <w:tcPr>
            <w:tcW w:w="920" w:type="pct"/>
            <w:tcBorders>
              <w:top w:val="nil"/>
              <w:left w:val="single" w:sz="4" w:space="0" w:color="auto"/>
              <w:bottom w:val="single" w:sz="4" w:space="0" w:color="auto"/>
              <w:right w:val="single" w:sz="4" w:space="0" w:color="auto"/>
            </w:tcBorders>
            <w:shd w:val="clear" w:color="auto" w:fill="auto"/>
            <w:vAlign w:val="center"/>
          </w:tcPr>
          <w:p w14:paraId="2613FEF6" w14:textId="77777777" w:rsidR="007376E1" w:rsidRPr="001570EA" w:rsidRDefault="007376E1">
            <w:pPr>
              <w:jc w:val="center"/>
              <w:rPr>
                <w:rFonts w:cs="Arial"/>
                <w:color w:val="000000"/>
                <w:sz w:val="18"/>
                <w:szCs w:val="18"/>
              </w:rPr>
            </w:pPr>
            <w:r w:rsidRPr="001570EA">
              <w:rPr>
                <w:rFonts w:cs="Arial"/>
                <w:color w:val="000000"/>
                <w:sz w:val="18"/>
                <w:szCs w:val="18"/>
              </w:rPr>
              <w:t>543</w:t>
            </w:r>
          </w:p>
        </w:tc>
        <w:tc>
          <w:tcPr>
            <w:tcW w:w="908" w:type="pct"/>
            <w:tcBorders>
              <w:top w:val="nil"/>
              <w:left w:val="nil"/>
              <w:bottom w:val="single" w:sz="4" w:space="0" w:color="auto"/>
              <w:right w:val="single" w:sz="4" w:space="0" w:color="auto"/>
            </w:tcBorders>
            <w:shd w:val="clear" w:color="auto" w:fill="auto"/>
            <w:vAlign w:val="center"/>
          </w:tcPr>
          <w:p w14:paraId="6828E826" w14:textId="77777777" w:rsidR="007376E1" w:rsidRPr="001570EA" w:rsidRDefault="007376E1">
            <w:pPr>
              <w:jc w:val="center"/>
              <w:rPr>
                <w:rFonts w:cs="Arial"/>
                <w:color w:val="000000"/>
                <w:sz w:val="18"/>
                <w:szCs w:val="18"/>
              </w:rPr>
            </w:pPr>
            <w:r w:rsidRPr="001570EA">
              <w:rPr>
                <w:rFonts w:cs="Arial"/>
                <w:color w:val="000000"/>
                <w:sz w:val="18"/>
                <w:szCs w:val="18"/>
              </w:rPr>
              <w:t>1,821</w:t>
            </w:r>
          </w:p>
        </w:tc>
        <w:tc>
          <w:tcPr>
            <w:tcW w:w="709" w:type="pct"/>
            <w:tcBorders>
              <w:top w:val="nil"/>
              <w:left w:val="nil"/>
              <w:bottom w:val="single" w:sz="4" w:space="0" w:color="auto"/>
              <w:right w:val="single" w:sz="4" w:space="0" w:color="auto"/>
            </w:tcBorders>
            <w:shd w:val="clear" w:color="auto" w:fill="auto"/>
            <w:vAlign w:val="center"/>
            <w:hideMark/>
          </w:tcPr>
          <w:p w14:paraId="045EF045" w14:textId="77777777" w:rsidR="007376E1" w:rsidRPr="001570EA" w:rsidRDefault="007376E1">
            <w:pPr>
              <w:jc w:val="center"/>
              <w:rPr>
                <w:rFonts w:cs="Arial"/>
                <w:color w:val="000000"/>
                <w:sz w:val="18"/>
                <w:szCs w:val="18"/>
              </w:rPr>
            </w:pPr>
            <w:r w:rsidRPr="001570EA">
              <w:rPr>
                <w:rFonts w:cs="Arial"/>
                <w:color w:val="000000"/>
                <w:sz w:val="18"/>
                <w:szCs w:val="18"/>
              </w:rPr>
              <w:t>54</w:t>
            </w:r>
          </w:p>
        </w:tc>
      </w:tr>
    </w:tbl>
    <w:p w14:paraId="74B68CA8" w14:textId="77777777" w:rsidR="007376E1" w:rsidRPr="001570EA" w:rsidRDefault="007376E1" w:rsidP="007376E1">
      <w:bookmarkStart w:id="314" w:name="_Ref446926676"/>
      <w:bookmarkStart w:id="315" w:name="_Ref449711720"/>
    </w:p>
    <w:p w14:paraId="1A3EF348" w14:textId="1766C69B" w:rsidR="007376E1" w:rsidRPr="001570EA" w:rsidRDefault="007376E1" w:rsidP="007376E1">
      <w:pPr>
        <w:pStyle w:val="Caption"/>
      </w:pPr>
      <w:bookmarkStart w:id="316" w:name="_Ref534016543"/>
      <w:bookmarkStart w:id="317" w:name="_Toc47598286"/>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50</w:t>
      </w:r>
      <w:r w:rsidR="002E093A" w:rsidRPr="001570EA">
        <w:fldChar w:fldCharType="end"/>
      </w:r>
      <w:bookmarkEnd w:id="308"/>
      <w:bookmarkEnd w:id="314"/>
      <w:bookmarkEnd w:id="315"/>
      <w:bookmarkEnd w:id="316"/>
      <w:r w:rsidRPr="001570EA">
        <w:t>: Default Statewide Total Heating and Cooling Savings (kWh/yr)</w:t>
      </w:r>
      <w:bookmarkEnd w:id="317"/>
    </w:p>
    <w:tbl>
      <w:tblPr>
        <w:tblW w:w="5000" w:type="pct"/>
        <w:tblLook w:val="04A0" w:firstRow="1" w:lastRow="0" w:firstColumn="1" w:lastColumn="0" w:noHBand="0" w:noVBand="1"/>
      </w:tblPr>
      <w:tblGrid>
        <w:gridCol w:w="2335"/>
        <w:gridCol w:w="1931"/>
        <w:gridCol w:w="1565"/>
        <w:gridCol w:w="1567"/>
        <w:gridCol w:w="1232"/>
      </w:tblGrid>
      <w:tr w:rsidR="007376E1" w:rsidRPr="001570EA" w14:paraId="484CE811" w14:textId="77777777">
        <w:trPr>
          <w:trHeight w:val="764"/>
        </w:trPr>
        <w:tc>
          <w:tcPr>
            <w:tcW w:w="13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7DA82" w14:textId="77777777" w:rsidR="007376E1" w:rsidRPr="001570EA" w:rsidRDefault="007376E1">
            <w:pPr>
              <w:jc w:val="center"/>
              <w:rPr>
                <w:rFonts w:cs="Arial"/>
                <w:b/>
                <w:bCs/>
                <w:sz w:val="18"/>
                <w:szCs w:val="18"/>
              </w:rPr>
            </w:pPr>
            <w:r w:rsidRPr="001570EA">
              <w:rPr>
                <w:rFonts w:cs="Arial"/>
                <w:b/>
                <w:bCs/>
                <w:sz w:val="18"/>
                <w:szCs w:val="18"/>
              </w:rPr>
              <w:t>Program Type</w:t>
            </w:r>
          </w:p>
        </w:tc>
        <w:tc>
          <w:tcPr>
            <w:tcW w:w="111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56A6C2" w14:textId="77777777" w:rsidR="007376E1" w:rsidRPr="001570EA" w:rsidRDefault="007376E1">
            <w:pPr>
              <w:jc w:val="center"/>
              <w:rPr>
                <w:rFonts w:cs="Arial"/>
                <w:b/>
                <w:bCs/>
                <w:sz w:val="18"/>
                <w:szCs w:val="18"/>
              </w:rPr>
            </w:pPr>
            <w:r w:rsidRPr="001570EA">
              <w:rPr>
                <w:rFonts w:cs="Arial"/>
                <w:b/>
                <w:bCs/>
                <w:sz w:val="18"/>
                <w:szCs w:val="18"/>
              </w:rPr>
              <w:t>Baseline</w:t>
            </w:r>
          </w:p>
        </w:tc>
        <w:tc>
          <w:tcPr>
            <w:tcW w:w="90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48524C" w14:textId="77777777" w:rsidR="007376E1" w:rsidRPr="001570EA" w:rsidRDefault="007376E1">
            <w:pPr>
              <w:jc w:val="center"/>
              <w:rPr>
                <w:rFonts w:cs="Arial"/>
                <w:b/>
                <w:bCs/>
                <w:sz w:val="18"/>
                <w:szCs w:val="18"/>
              </w:rPr>
            </w:pPr>
            <w:r w:rsidRPr="001570EA">
              <w:rPr>
                <w:rFonts w:cs="Arial"/>
                <w:b/>
                <w:bCs/>
                <w:sz w:val="18"/>
                <w:szCs w:val="18"/>
              </w:rPr>
              <w:t>ASHP</w:t>
            </w:r>
          </w:p>
        </w:tc>
        <w:tc>
          <w:tcPr>
            <w:tcW w:w="90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89DDB7" w14:textId="77777777" w:rsidR="007376E1" w:rsidRPr="001570EA" w:rsidRDefault="007376E1">
            <w:pPr>
              <w:jc w:val="center"/>
              <w:rPr>
                <w:rFonts w:cs="Arial"/>
                <w:b/>
                <w:bCs/>
                <w:sz w:val="18"/>
                <w:szCs w:val="18"/>
                <w:vertAlign w:val="superscript"/>
              </w:rPr>
            </w:pPr>
            <w:r w:rsidRPr="001570EA">
              <w:rPr>
                <w:rFonts w:cs="Arial"/>
                <w:b/>
                <w:bCs/>
                <w:sz w:val="18"/>
                <w:szCs w:val="18"/>
              </w:rPr>
              <w:t>CAC w/ Electric Furnace</w:t>
            </w:r>
          </w:p>
        </w:tc>
        <w:tc>
          <w:tcPr>
            <w:tcW w:w="71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0B807D" w14:textId="77777777" w:rsidR="007376E1" w:rsidRPr="001570EA" w:rsidRDefault="007376E1">
            <w:pPr>
              <w:jc w:val="center"/>
              <w:rPr>
                <w:rFonts w:cs="Arial"/>
                <w:b/>
                <w:bCs/>
                <w:sz w:val="18"/>
                <w:szCs w:val="18"/>
              </w:rPr>
            </w:pPr>
            <w:r w:rsidRPr="001570EA">
              <w:rPr>
                <w:rFonts w:cs="Arial"/>
                <w:b/>
                <w:bCs/>
                <w:sz w:val="18"/>
                <w:szCs w:val="18"/>
              </w:rPr>
              <w:t>CAC w/ Gas (Fan)</w:t>
            </w:r>
          </w:p>
        </w:tc>
      </w:tr>
      <w:tr w:rsidR="007376E1" w:rsidRPr="001570EA" w14:paraId="7CFD7E5B" w14:textId="77777777">
        <w:trPr>
          <w:trHeight w:val="918"/>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496FB7E8" w14:textId="77777777" w:rsidR="007376E1" w:rsidRPr="001570EA" w:rsidRDefault="007376E1">
            <w:pPr>
              <w:jc w:val="left"/>
              <w:rPr>
                <w:rFonts w:cs="Arial"/>
                <w:color w:val="000000"/>
                <w:sz w:val="18"/>
                <w:szCs w:val="18"/>
              </w:rPr>
            </w:pPr>
            <w:r w:rsidRPr="001570EA">
              <w:rPr>
                <w:rFonts w:cs="Arial"/>
                <w:color w:val="000000"/>
                <w:sz w:val="18"/>
                <w:szCs w:val="18"/>
              </w:rPr>
              <w:t>Upstream buy-down (Customer Self-Installation)</w:t>
            </w:r>
          </w:p>
        </w:tc>
        <w:tc>
          <w:tcPr>
            <w:tcW w:w="1119" w:type="pct"/>
            <w:tcBorders>
              <w:top w:val="nil"/>
              <w:left w:val="nil"/>
              <w:bottom w:val="single" w:sz="4" w:space="0" w:color="auto"/>
              <w:right w:val="single" w:sz="4" w:space="0" w:color="auto"/>
            </w:tcBorders>
            <w:shd w:val="clear" w:color="auto" w:fill="auto"/>
            <w:vAlign w:val="center"/>
            <w:hideMark/>
          </w:tcPr>
          <w:p w14:paraId="5DEF100D" w14:textId="77777777" w:rsidR="007376E1" w:rsidRPr="001570EA" w:rsidRDefault="007376E1">
            <w:pPr>
              <w:rPr>
                <w:rFonts w:cs="Arial"/>
                <w:color w:val="000000"/>
                <w:sz w:val="18"/>
                <w:szCs w:val="18"/>
              </w:rPr>
            </w:pPr>
            <w:r w:rsidRPr="001570EA">
              <w:rPr>
                <w:rFonts w:cs="Arial"/>
                <w:color w:val="000000"/>
                <w:sz w:val="18"/>
                <w:szCs w:val="18"/>
              </w:rPr>
              <w:t xml:space="preserve">Unknown Mix Default </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7BB95" w14:textId="77777777" w:rsidR="007376E1" w:rsidRPr="001570EA" w:rsidRDefault="007376E1">
            <w:pPr>
              <w:jc w:val="center"/>
              <w:rPr>
                <w:rFonts w:cs="Arial"/>
                <w:color w:val="000000"/>
                <w:sz w:val="18"/>
                <w:szCs w:val="18"/>
              </w:rPr>
            </w:pPr>
            <w:r w:rsidRPr="001570EA">
              <w:rPr>
                <w:rFonts w:cs="Arial"/>
                <w:color w:val="000000"/>
                <w:sz w:val="18"/>
                <w:szCs w:val="18"/>
              </w:rPr>
              <w:t>526</w:t>
            </w:r>
          </w:p>
        </w:tc>
        <w:tc>
          <w:tcPr>
            <w:tcW w:w="908" w:type="pct"/>
            <w:tcBorders>
              <w:top w:val="single" w:sz="4" w:space="0" w:color="auto"/>
              <w:left w:val="nil"/>
              <w:bottom w:val="single" w:sz="4" w:space="0" w:color="auto"/>
              <w:right w:val="single" w:sz="4" w:space="0" w:color="auto"/>
            </w:tcBorders>
            <w:shd w:val="clear" w:color="auto" w:fill="auto"/>
            <w:vAlign w:val="center"/>
            <w:hideMark/>
          </w:tcPr>
          <w:p w14:paraId="55F41C71" w14:textId="77777777" w:rsidR="007376E1" w:rsidRPr="001570EA" w:rsidRDefault="007376E1">
            <w:pPr>
              <w:jc w:val="center"/>
              <w:rPr>
                <w:rFonts w:cs="Arial"/>
                <w:color w:val="000000"/>
                <w:sz w:val="18"/>
                <w:szCs w:val="18"/>
              </w:rPr>
            </w:pPr>
            <w:r w:rsidRPr="001570EA">
              <w:rPr>
                <w:rFonts w:cs="Arial"/>
                <w:color w:val="000000"/>
                <w:sz w:val="18"/>
                <w:szCs w:val="18"/>
              </w:rPr>
              <w:t>1,567</w:t>
            </w:r>
          </w:p>
        </w:tc>
        <w:tc>
          <w:tcPr>
            <w:tcW w:w="714" w:type="pct"/>
            <w:tcBorders>
              <w:top w:val="nil"/>
              <w:left w:val="nil"/>
              <w:bottom w:val="single" w:sz="4" w:space="0" w:color="auto"/>
              <w:right w:val="single" w:sz="4" w:space="0" w:color="auto"/>
            </w:tcBorders>
            <w:shd w:val="clear" w:color="auto" w:fill="auto"/>
            <w:vAlign w:val="center"/>
            <w:hideMark/>
          </w:tcPr>
          <w:p w14:paraId="10F408AD" w14:textId="77777777" w:rsidR="007376E1" w:rsidRPr="001570EA" w:rsidRDefault="007376E1">
            <w:pPr>
              <w:jc w:val="center"/>
              <w:rPr>
                <w:rFonts w:cs="Arial"/>
                <w:color w:val="000000"/>
                <w:sz w:val="18"/>
                <w:szCs w:val="18"/>
              </w:rPr>
            </w:pPr>
            <w:r w:rsidRPr="001570EA">
              <w:rPr>
                <w:rFonts w:cs="Arial"/>
                <w:color w:val="000000"/>
                <w:sz w:val="18"/>
                <w:szCs w:val="18"/>
              </w:rPr>
              <w:t>136</w:t>
            </w:r>
          </w:p>
        </w:tc>
      </w:tr>
      <w:tr w:rsidR="007376E1" w:rsidRPr="001570EA" w14:paraId="6B50CB2D" w14:textId="77777777">
        <w:trPr>
          <w:trHeight w:val="690"/>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23E55B07" w14:textId="77777777" w:rsidR="007376E1" w:rsidRPr="001570EA" w:rsidRDefault="007376E1">
            <w:pPr>
              <w:jc w:val="left"/>
              <w:rPr>
                <w:rFonts w:cs="Arial"/>
                <w:color w:val="000000"/>
                <w:sz w:val="18"/>
                <w:szCs w:val="18"/>
              </w:rPr>
            </w:pPr>
            <w:r w:rsidRPr="001570EA">
              <w:rPr>
                <w:rFonts w:cs="Arial"/>
                <w:color w:val="000000"/>
                <w:sz w:val="18"/>
                <w:szCs w:val="18"/>
              </w:rPr>
              <w:t>Customer Self-Installation with Education</w:t>
            </w:r>
          </w:p>
        </w:tc>
        <w:tc>
          <w:tcPr>
            <w:tcW w:w="1119" w:type="pct"/>
            <w:tcBorders>
              <w:top w:val="nil"/>
              <w:left w:val="nil"/>
              <w:bottom w:val="single" w:sz="4" w:space="0" w:color="auto"/>
              <w:right w:val="single" w:sz="4" w:space="0" w:color="auto"/>
            </w:tcBorders>
            <w:shd w:val="clear" w:color="auto" w:fill="auto"/>
            <w:vAlign w:val="center"/>
            <w:hideMark/>
          </w:tcPr>
          <w:p w14:paraId="30E1D9A9" w14:textId="77777777" w:rsidR="007376E1" w:rsidRPr="001570EA" w:rsidRDefault="007376E1">
            <w:pPr>
              <w:rPr>
                <w:rFonts w:cs="Arial"/>
                <w:color w:val="000000"/>
                <w:sz w:val="18"/>
                <w:szCs w:val="18"/>
              </w:rPr>
            </w:pPr>
            <w:r w:rsidRPr="001570EA">
              <w:rPr>
                <w:rFonts w:cs="Arial"/>
                <w:color w:val="000000"/>
                <w:sz w:val="18"/>
                <w:szCs w:val="18"/>
              </w:rPr>
              <w:t xml:space="preserve">Unknown Mix Default </w:t>
            </w:r>
          </w:p>
        </w:tc>
        <w:tc>
          <w:tcPr>
            <w:tcW w:w="907" w:type="pct"/>
            <w:tcBorders>
              <w:top w:val="nil"/>
              <w:left w:val="single" w:sz="4" w:space="0" w:color="auto"/>
              <w:bottom w:val="single" w:sz="4" w:space="0" w:color="auto"/>
              <w:right w:val="single" w:sz="4" w:space="0" w:color="auto"/>
            </w:tcBorders>
            <w:shd w:val="clear" w:color="auto" w:fill="auto"/>
            <w:vAlign w:val="center"/>
            <w:hideMark/>
          </w:tcPr>
          <w:p w14:paraId="6367F21F" w14:textId="77777777" w:rsidR="007376E1" w:rsidRPr="001570EA" w:rsidRDefault="007376E1">
            <w:pPr>
              <w:jc w:val="center"/>
              <w:rPr>
                <w:rFonts w:cs="Arial"/>
                <w:color w:val="000000"/>
                <w:sz w:val="18"/>
                <w:szCs w:val="18"/>
              </w:rPr>
            </w:pPr>
            <w:r w:rsidRPr="001570EA">
              <w:rPr>
                <w:rFonts w:cs="Arial"/>
                <w:color w:val="000000"/>
                <w:sz w:val="18"/>
                <w:szCs w:val="18"/>
              </w:rPr>
              <w:t>661</w:t>
            </w:r>
          </w:p>
        </w:tc>
        <w:tc>
          <w:tcPr>
            <w:tcW w:w="908" w:type="pct"/>
            <w:tcBorders>
              <w:top w:val="nil"/>
              <w:left w:val="nil"/>
              <w:bottom w:val="single" w:sz="4" w:space="0" w:color="auto"/>
              <w:right w:val="single" w:sz="4" w:space="0" w:color="auto"/>
            </w:tcBorders>
            <w:shd w:val="clear" w:color="auto" w:fill="auto"/>
            <w:vAlign w:val="center"/>
            <w:hideMark/>
          </w:tcPr>
          <w:p w14:paraId="25C08547" w14:textId="77777777" w:rsidR="007376E1" w:rsidRPr="001570EA" w:rsidRDefault="007376E1">
            <w:pPr>
              <w:jc w:val="center"/>
              <w:rPr>
                <w:rFonts w:cs="Arial"/>
                <w:color w:val="000000"/>
                <w:sz w:val="18"/>
                <w:szCs w:val="18"/>
              </w:rPr>
            </w:pPr>
            <w:r w:rsidRPr="001570EA">
              <w:rPr>
                <w:rFonts w:cs="Arial"/>
                <w:color w:val="000000"/>
                <w:sz w:val="18"/>
                <w:szCs w:val="18"/>
              </w:rPr>
              <w:t>1,916</w:t>
            </w:r>
          </w:p>
        </w:tc>
        <w:tc>
          <w:tcPr>
            <w:tcW w:w="714" w:type="pct"/>
            <w:tcBorders>
              <w:top w:val="nil"/>
              <w:left w:val="nil"/>
              <w:bottom w:val="single" w:sz="4" w:space="0" w:color="auto"/>
              <w:right w:val="single" w:sz="4" w:space="0" w:color="auto"/>
            </w:tcBorders>
            <w:shd w:val="clear" w:color="auto" w:fill="auto"/>
            <w:vAlign w:val="center"/>
            <w:hideMark/>
          </w:tcPr>
          <w:p w14:paraId="65C5AB7D" w14:textId="77777777" w:rsidR="007376E1" w:rsidRPr="001570EA" w:rsidRDefault="007376E1">
            <w:pPr>
              <w:jc w:val="center"/>
              <w:rPr>
                <w:rFonts w:cs="Arial"/>
                <w:color w:val="000000"/>
                <w:sz w:val="18"/>
                <w:szCs w:val="18"/>
              </w:rPr>
            </w:pPr>
            <w:r w:rsidRPr="001570EA">
              <w:rPr>
                <w:rFonts w:cs="Arial"/>
                <w:color w:val="000000"/>
                <w:sz w:val="18"/>
                <w:szCs w:val="18"/>
              </w:rPr>
              <w:t>194</w:t>
            </w:r>
          </w:p>
        </w:tc>
      </w:tr>
      <w:tr w:rsidR="007376E1" w:rsidRPr="001570EA" w14:paraId="7D3931A0" w14:textId="77777777">
        <w:trPr>
          <w:trHeight w:val="288"/>
        </w:trPr>
        <w:tc>
          <w:tcPr>
            <w:tcW w:w="1352" w:type="pct"/>
            <w:vMerge w:val="restart"/>
            <w:tcBorders>
              <w:top w:val="nil"/>
              <w:left w:val="single" w:sz="4" w:space="0" w:color="auto"/>
              <w:bottom w:val="single" w:sz="4" w:space="0" w:color="000000"/>
              <w:right w:val="single" w:sz="4" w:space="0" w:color="auto"/>
            </w:tcBorders>
            <w:shd w:val="clear" w:color="auto" w:fill="auto"/>
            <w:vAlign w:val="center"/>
            <w:hideMark/>
          </w:tcPr>
          <w:p w14:paraId="158F655A" w14:textId="77777777" w:rsidR="007376E1" w:rsidRPr="001570EA" w:rsidRDefault="007376E1">
            <w:pPr>
              <w:rPr>
                <w:rFonts w:cs="Arial"/>
                <w:color w:val="000000"/>
                <w:sz w:val="18"/>
                <w:szCs w:val="18"/>
              </w:rPr>
            </w:pPr>
            <w:r w:rsidRPr="001570EA">
              <w:rPr>
                <w:rFonts w:cs="Arial"/>
                <w:color w:val="000000"/>
                <w:sz w:val="18"/>
                <w:szCs w:val="18"/>
              </w:rPr>
              <w:t>Professional Installation</w:t>
            </w:r>
          </w:p>
        </w:tc>
        <w:tc>
          <w:tcPr>
            <w:tcW w:w="1119" w:type="pct"/>
            <w:tcBorders>
              <w:top w:val="nil"/>
              <w:left w:val="nil"/>
              <w:bottom w:val="single" w:sz="4" w:space="0" w:color="auto"/>
              <w:right w:val="single" w:sz="4" w:space="0" w:color="auto"/>
            </w:tcBorders>
            <w:shd w:val="clear" w:color="auto" w:fill="auto"/>
            <w:vAlign w:val="center"/>
            <w:hideMark/>
          </w:tcPr>
          <w:p w14:paraId="392FE5AB" w14:textId="77777777" w:rsidR="007376E1" w:rsidRPr="001570EA" w:rsidRDefault="007376E1">
            <w:pPr>
              <w:rPr>
                <w:rFonts w:cs="Arial"/>
                <w:color w:val="000000"/>
                <w:sz w:val="18"/>
                <w:szCs w:val="18"/>
              </w:rPr>
            </w:pPr>
            <w:r w:rsidRPr="001570EA">
              <w:rPr>
                <w:rFonts w:cs="Arial"/>
                <w:color w:val="000000"/>
                <w:sz w:val="18"/>
                <w:szCs w:val="18"/>
              </w:rPr>
              <w:t>Manual</w:t>
            </w:r>
          </w:p>
        </w:tc>
        <w:tc>
          <w:tcPr>
            <w:tcW w:w="907" w:type="pct"/>
            <w:tcBorders>
              <w:top w:val="nil"/>
              <w:left w:val="single" w:sz="4" w:space="0" w:color="auto"/>
              <w:bottom w:val="single" w:sz="4" w:space="0" w:color="auto"/>
              <w:right w:val="single" w:sz="4" w:space="0" w:color="auto"/>
            </w:tcBorders>
            <w:shd w:val="clear" w:color="auto" w:fill="auto"/>
            <w:vAlign w:val="center"/>
            <w:hideMark/>
          </w:tcPr>
          <w:p w14:paraId="7D8A9EE5" w14:textId="77777777" w:rsidR="007376E1" w:rsidRPr="001570EA" w:rsidRDefault="007376E1">
            <w:pPr>
              <w:jc w:val="center"/>
              <w:rPr>
                <w:rFonts w:cs="Arial"/>
                <w:color w:val="000000"/>
                <w:sz w:val="18"/>
                <w:szCs w:val="18"/>
              </w:rPr>
            </w:pPr>
            <w:r w:rsidRPr="001570EA">
              <w:rPr>
                <w:rFonts w:cs="Arial"/>
                <w:color w:val="000000"/>
                <w:sz w:val="18"/>
                <w:szCs w:val="18"/>
              </w:rPr>
              <w:t>992</w:t>
            </w:r>
          </w:p>
        </w:tc>
        <w:tc>
          <w:tcPr>
            <w:tcW w:w="908" w:type="pct"/>
            <w:tcBorders>
              <w:top w:val="nil"/>
              <w:left w:val="nil"/>
              <w:bottom w:val="single" w:sz="4" w:space="0" w:color="auto"/>
              <w:right w:val="single" w:sz="4" w:space="0" w:color="auto"/>
            </w:tcBorders>
            <w:shd w:val="clear" w:color="auto" w:fill="auto"/>
            <w:vAlign w:val="center"/>
            <w:hideMark/>
          </w:tcPr>
          <w:p w14:paraId="49FEA5DC" w14:textId="77777777" w:rsidR="007376E1" w:rsidRPr="001570EA" w:rsidRDefault="007376E1">
            <w:pPr>
              <w:jc w:val="center"/>
              <w:rPr>
                <w:rFonts w:cs="Arial"/>
                <w:color w:val="000000"/>
                <w:sz w:val="18"/>
                <w:szCs w:val="18"/>
              </w:rPr>
            </w:pPr>
            <w:r w:rsidRPr="001570EA">
              <w:rPr>
                <w:rFonts w:cs="Arial"/>
                <w:color w:val="000000"/>
                <w:sz w:val="18"/>
                <w:szCs w:val="18"/>
              </w:rPr>
              <w:t>2,867</w:t>
            </w:r>
          </w:p>
        </w:tc>
        <w:tc>
          <w:tcPr>
            <w:tcW w:w="714" w:type="pct"/>
            <w:tcBorders>
              <w:top w:val="nil"/>
              <w:left w:val="nil"/>
              <w:bottom w:val="single" w:sz="4" w:space="0" w:color="auto"/>
              <w:right w:val="single" w:sz="4" w:space="0" w:color="auto"/>
            </w:tcBorders>
            <w:shd w:val="clear" w:color="auto" w:fill="auto"/>
            <w:vAlign w:val="center"/>
            <w:hideMark/>
          </w:tcPr>
          <w:p w14:paraId="492DCDB3" w14:textId="77777777" w:rsidR="007376E1" w:rsidRPr="001570EA" w:rsidRDefault="007376E1">
            <w:pPr>
              <w:jc w:val="center"/>
              <w:rPr>
                <w:rFonts w:cs="Arial"/>
                <w:color w:val="000000"/>
                <w:sz w:val="18"/>
                <w:szCs w:val="18"/>
              </w:rPr>
            </w:pPr>
            <w:r w:rsidRPr="001570EA">
              <w:rPr>
                <w:rFonts w:cs="Arial"/>
                <w:color w:val="000000"/>
                <w:sz w:val="18"/>
                <w:szCs w:val="18"/>
              </w:rPr>
              <w:t>295</w:t>
            </w:r>
          </w:p>
        </w:tc>
      </w:tr>
      <w:tr w:rsidR="007376E1" w:rsidRPr="001570EA" w14:paraId="6BDCCA8B" w14:textId="77777777">
        <w:trPr>
          <w:trHeight w:val="462"/>
        </w:trPr>
        <w:tc>
          <w:tcPr>
            <w:tcW w:w="1352" w:type="pct"/>
            <w:vMerge/>
            <w:tcBorders>
              <w:top w:val="nil"/>
              <w:left w:val="single" w:sz="4" w:space="0" w:color="auto"/>
              <w:bottom w:val="single" w:sz="4" w:space="0" w:color="000000"/>
              <w:right w:val="single" w:sz="4" w:space="0" w:color="auto"/>
            </w:tcBorders>
            <w:vAlign w:val="center"/>
            <w:hideMark/>
          </w:tcPr>
          <w:p w14:paraId="1631D305" w14:textId="77777777" w:rsidR="007376E1" w:rsidRPr="001570EA" w:rsidRDefault="007376E1">
            <w:pPr>
              <w:rPr>
                <w:rFonts w:cs="Arial"/>
                <w:color w:val="000000"/>
                <w:sz w:val="18"/>
                <w:szCs w:val="18"/>
              </w:rPr>
            </w:pPr>
          </w:p>
        </w:tc>
        <w:tc>
          <w:tcPr>
            <w:tcW w:w="1119" w:type="pct"/>
            <w:tcBorders>
              <w:top w:val="nil"/>
              <w:left w:val="nil"/>
              <w:bottom w:val="single" w:sz="4" w:space="0" w:color="auto"/>
              <w:right w:val="single" w:sz="4" w:space="0" w:color="auto"/>
            </w:tcBorders>
            <w:shd w:val="clear" w:color="auto" w:fill="auto"/>
            <w:vAlign w:val="center"/>
            <w:hideMark/>
          </w:tcPr>
          <w:p w14:paraId="10791F17" w14:textId="77777777" w:rsidR="007376E1" w:rsidRPr="001570EA" w:rsidRDefault="007376E1">
            <w:pPr>
              <w:rPr>
                <w:rFonts w:cs="Arial"/>
                <w:color w:val="000000"/>
                <w:sz w:val="18"/>
                <w:szCs w:val="18"/>
              </w:rPr>
            </w:pPr>
            <w:r w:rsidRPr="001570EA">
              <w:rPr>
                <w:rFonts w:cs="Arial"/>
                <w:color w:val="000000"/>
                <w:sz w:val="18"/>
                <w:szCs w:val="18"/>
              </w:rPr>
              <w:t>Conventional programmable</w:t>
            </w:r>
          </w:p>
        </w:tc>
        <w:tc>
          <w:tcPr>
            <w:tcW w:w="907" w:type="pct"/>
            <w:tcBorders>
              <w:top w:val="nil"/>
              <w:left w:val="single" w:sz="4" w:space="0" w:color="auto"/>
              <w:bottom w:val="single" w:sz="4" w:space="0" w:color="auto"/>
              <w:right w:val="single" w:sz="4" w:space="0" w:color="auto"/>
            </w:tcBorders>
            <w:shd w:val="clear" w:color="auto" w:fill="auto"/>
            <w:vAlign w:val="center"/>
            <w:hideMark/>
          </w:tcPr>
          <w:p w14:paraId="11AA78A5" w14:textId="77777777" w:rsidR="007376E1" w:rsidRPr="001570EA" w:rsidRDefault="007376E1">
            <w:pPr>
              <w:jc w:val="center"/>
              <w:rPr>
                <w:rFonts w:cs="Arial"/>
                <w:color w:val="000000"/>
                <w:sz w:val="18"/>
                <w:szCs w:val="18"/>
              </w:rPr>
            </w:pPr>
            <w:r w:rsidRPr="001570EA">
              <w:rPr>
                <w:rFonts w:cs="Arial"/>
                <w:color w:val="000000"/>
                <w:sz w:val="18"/>
                <w:szCs w:val="18"/>
              </w:rPr>
              <w:t>709</w:t>
            </w:r>
          </w:p>
        </w:tc>
        <w:tc>
          <w:tcPr>
            <w:tcW w:w="908" w:type="pct"/>
            <w:tcBorders>
              <w:top w:val="nil"/>
              <w:left w:val="nil"/>
              <w:bottom w:val="single" w:sz="4" w:space="0" w:color="auto"/>
              <w:right w:val="single" w:sz="4" w:space="0" w:color="auto"/>
            </w:tcBorders>
            <w:shd w:val="clear" w:color="auto" w:fill="auto"/>
            <w:vAlign w:val="center"/>
            <w:hideMark/>
          </w:tcPr>
          <w:p w14:paraId="53E309C3" w14:textId="77777777" w:rsidR="007376E1" w:rsidRPr="001570EA" w:rsidRDefault="007376E1">
            <w:pPr>
              <w:jc w:val="center"/>
              <w:rPr>
                <w:rFonts w:cs="Arial"/>
                <w:color w:val="000000"/>
                <w:sz w:val="18"/>
                <w:szCs w:val="18"/>
              </w:rPr>
            </w:pPr>
            <w:r w:rsidRPr="001570EA">
              <w:rPr>
                <w:rFonts w:cs="Arial"/>
                <w:color w:val="000000"/>
                <w:sz w:val="18"/>
                <w:szCs w:val="18"/>
              </w:rPr>
              <w:t>1,999</w:t>
            </w:r>
          </w:p>
        </w:tc>
        <w:tc>
          <w:tcPr>
            <w:tcW w:w="714" w:type="pct"/>
            <w:tcBorders>
              <w:top w:val="nil"/>
              <w:left w:val="nil"/>
              <w:bottom w:val="single" w:sz="4" w:space="0" w:color="auto"/>
              <w:right w:val="single" w:sz="4" w:space="0" w:color="auto"/>
            </w:tcBorders>
            <w:shd w:val="clear" w:color="auto" w:fill="auto"/>
            <w:vAlign w:val="center"/>
            <w:hideMark/>
          </w:tcPr>
          <w:p w14:paraId="47FA640B" w14:textId="77777777" w:rsidR="007376E1" w:rsidRPr="001570EA" w:rsidRDefault="007376E1">
            <w:pPr>
              <w:jc w:val="center"/>
              <w:rPr>
                <w:rFonts w:cs="Arial"/>
                <w:color w:val="000000"/>
                <w:sz w:val="18"/>
                <w:szCs w:val="18"/>
              </w:rPr>
            </w:pPr>
            <w:r w:rsidRPr="001570EA">
              <w:rPr>
                <w:rFonts w:cs="Arial"/>
                <w:color w:val="000000"/>
                <w:sz w:val="18"/>
                <w:szCs w:val="18"/>
              </w:rPr>
              <w:t>232</w:t>
            </w:r>
          </w:p>
        </w:tc>
      </w:tr>
    </w:tbl>
    <w:p w14:paraId="10531A74" w14:textId="77777777" w:rsidR="007376E1" w:rsidRPr="001570EA" w:rsidRDefault="007376E1" w:rsidP="007376E1">
      <w:pPr>
        <w:rPr>
          <w:rFonts w:eastAsia="Calibri"/>
        </w:rPr>
      </w:pPr>
    </w:p>
    <w:p w14:paraId="5F2A939A" w14:textId="77777777" w:rsidR="007376E1" w:rsidRPr="001570EA" w:rsidRDefault="007376E1" w:rsidP="007376E1">
      <w:pPr>
        <w:pStyle w:val="Caption"/>
        <w:rPr>
          <w:rFonts w:cs="Arial"/>
        </w:rPr>
      </w:pPr>
    </w:p>
    <w:p w14:paraId="7F6D7560" w14:textId="0E2A019D" w:rsidR="007376E1" w:rsidRPr="001570EA" w:rsidRDefault="007376E1" w:rsidP="007376E1">
      <w:pPr>
        <w:pStyle w:val="Caption"/>
      </w:pPr>
      <w:bookmarkStart w:id="318" w:name="_Ref5105796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51</w:t>
      </w:r>
      <w:r w:rsidR="002E093A" w:rsidRPr="001570EA">
        <w:fldChar w:fldCharType="end"/>
      </w:r>
      <w:bookmarkEnd w:id="318"/>
      <w:r w:rsidRPr="001570EA">
        <w:t>: Default Statewide Peak Demand Savings (kW/yr)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377"/>
        <w:gridCol w:w="993"/>
        <w:gridCol w:w="1082"/>
        <w:gridCol w:w="993"/>
        <w:gridCol w:w="994"/>
        <w:gridCol w:w="994"/>
        <w:gridCol w:w="990"/>
      </w:tblGrid>
      <w:tr w:rsidR="007376E1" w:rsidRPr="001570EA" w14:paraId="55B3FA6E" w14:textId="77777777">
        <w:trPr>
          <w:trHeight w:val="462"/>
        </w:trPr>
        <w:tc>
          <w:tcPr>
            <w:tcW w:w="643" w:type="pct"/>
            <w:vMerge w:val="restart"/>
            <w:shd w:val="clear" w:color="auto" w:fill="D9D9D9"/>
            <w:vAlign w:val="center"/>
          </w:tcPr>
          <w:p w14:paraId="253CDC70" w14:textId="77777777" w:rsidR="007376E1" w:rsidRPr="001570EA" w:rsidRDefault="007376E1">
            <w:pPr>
              <w:keepNext/>
              <w:rPr>
                <w:rFonts w:cs="Arial"/>
                <w:b/>
                <w:bCs/>
                <w:sz w:val="18"/>
                <w:szCs w:val="18"/>
              </w:rPr>
            </w:pPr>
            <w:r w:rsidRPr="001570EA">
              <w:rPr>
                <w:rFonts w:cs="Arial"/>
                <w:b/>
                <w:bCs/>
                <w:sz w:val="18"/>
                <w:szCs w:val="18"/>
              </w:rPr>
              <w:t>Program Type</w:t>
            </w:r>
          </w:p>
        </w:tc>
        <w:tc>
          <w:tcPr>
            <w:tcW w:w="731" w:type="pct"/>
            <w:shd w:val="clear" w:color="auto" w:fill="D9D9D9"/>
            <w:vAlign w:val="center"/>
          </w:tcPr>
          <w:p w14:paraId="2AE17235" w14:textId="77777777" w:rsidR="007376E1" w:rsidRPr="001570EA" w:rsidRDefault="007376E1">
            <w:pPr>
              <w:keepNext/>
              <w:rPr>
                <w:rFonts w:cs="Arial"/>
                <w:b/>
                <w:bCs/>
                <w:sz w:val="18"/>
                <w:szCs w:val="18"/>
              </w:rPr>
            </w:pPr>
            <w:r w:rsidRPr="001570EA">
              <w:rPr>
                <w:rFonts w:cs="Arial"/>
                <w:b/>
                <w:bCs/>
                <w:sz w:val="18"/>
                <w:szCs w:val="18"/>
              </w:rPr>
              <w:t>Baseline</w:t>
            </w:r>
          </w:p>
        </w:tc>
        <w:tc>
          <w:tcPr>
            <w:tcW w:w="1243" w:type="pct"/>
            <w:gridSpan w:val="2"/>
            <w:shd w:val="clear" w:color="auto" w:fill="D9D9D9"/>
            <w:vAlign w:val="center"/>
          </w:tcPr>
          <w:p w14:paraId="25E7139A" w14:textId="77777777" w:rsidR="007376E1" w:rsidRPr="001570EA" w:rsidRDefault="007376E1">
            <w:pPr>
              <w:keepNext/>
              <w:jc w:val="center"/>
              <w:rPr>
                <w:rFonts w:cs="Arial"/>
                <w:b/>
                <w:bCs/>
                <w:color w:val="000000"/>
                <w:sz w:val="18"/>
                <w:szCs w:val="18"/>
              </w:rPr>
            </w:pPr>
            <w:r w:rsidRPr="001570EA">
              <w:rPr>
                <w:rFonts w:cs="Arial"/>
                <w:b/>
                <w:bCs/>
                <w:color w:val="000000"/>
                <w:sz w:val="18"/>
                <w:szCs w:val="18"/>
              </w:rPr>
              <w:t>ASHP</w:t>
            </w:r>
          </w:p>
        </w:tc>
        <w:tc>
          <w:tcPr>
            <w:tcW w:w="1191" w:type="pct"/>
            <w:gridSpan w:val="2"/>
            <w:shd w:val="clear" w:color="auto" w:fill="D9D9D9"/>
            <w:vAlign w:val="center"/>
          </w:tcPr>
          <w:p w14:paraId="2CE7C533" w14:textId="77777777" w:rsidR="007376E1" w:rsidRPr="001570EA" w:rsidRDefault="007376E1">
            <w:pPr>
              <w:keepNext/>
              <w:jc w:val="center"/>
              <w:rPr>
                <w:rFonts w:cs="Arial"/>
                <w:b/>
                <w:bCs/>
                <w:color w:val="000000"/>
                <w:sz w:val="18"/>
                <w:szCs w:val="18"/>
              </w:rPr>
            </w:pPr>
            <w:r w:rsidRPr="001570EA">
              <w:rPr>
                <w:rFonts w:cs="Arial"/>
                <w:b/>
                <w:bCs/>
                <w:color w:val="000000"/>
                <w:sz w:val="18"/>
                <w:szCs w:val="18"/>
              </w:rPr>
              <w:t>CAC w/ Electric Furnace</w:t>
            </w:r>
          </w:p>
        </w:tc>
        <w:tc>
          <w:tcPr>
            <w:tcW w:w="1191" w:type="pct"/>
            <w:gridSpan w:val="2"/>
            <w:shd w:val="clear" w:color="auto" w:fill="D9D9D9"/>
            <w:vAlign w:val="center"/>
          </w:tcPr>
          <w:p w14:paraId="52850F97" w14:textId="77777777" w:rsidR="007376E1" w:rsidRPr="001570EA" w:rsidRDefault="007376E1">
            <w:pPr>
              <w:keepNext/>
              <w:jc w:val="center"/>
              <w:rPr>
                <w:rFonts w:cs="Arial"/>
                <w:b/>
                <w:bCs/>
                <w:color w:val="000000"/>
                <w:sz w:val="18"/>
                <w:szCs w:val="18"/>
              </w:rPr>
            </w:pPr>
            <w:r w:rsidRPr="001570EA">
              <w:rPr>
                <w:rFonts w:cs="Arial"/>
                <w:b/>
                <w:bCs/>
                <w:color w:val="000000"/>
                <w:sz w:val="18"/>
                <w:szCs w:val="18"/>
              </w:rPr>
              <w:t>CAC w/ Gas Furnace (Fan Only)</w:t>
            </w:r>
          </w:p>
        </w:tc>
      </w:tr>
      <w:tr w:rsidR="007376E1" w:rsidRPr="001570EA" w14:paraId="27C4C2E3" w14:textId="77777777">
        <w:trPr>
          <w:trHeight w:val="462"/>
        </w:trPr>
        <w:tc>
          <w:tcPr>
            <w:tcW w:w="643" w:type="pct"/>
            <w:vMerge/>
            <w:shd w:val="clear" w:color="auto" w:fill="D9D9D9"/>
            <w:vAlign w:val="center"/>
            <w:hideMark/>
          </w:tcPr>
          <w:p w14:paraId="749B4159" w14:textId="77777777" w:rsidR="007376E1" w:rsidRPr="001570EA" w:rsidRDefault="007376E1">
            <w:pPr>
              <w:keepNext/>
              <w:rPr>
                <w:rFonts w:cs="Arial"/>
                <w:b/>
                <w:bCs/>
                <w:sz w:val="18"/>
                <w:szCs w:val="18"/>
              </w:rPr>
            </w:pPr>
          </w:p>
        </w:tc>
        <w:tc>
          <w:tcPr>
            <w:tcW w:w="731" w:type="pct"/>
            <w:shd w:val="clear" w:color="auto" w:fill="D9D9D9"/>
            <w:vAlign w:val="center"/>
            <w:hideMark/>
          </w:tcPr>
          <w:p w14:paraId="0326E90C" w14:textId="77777777" w:rsidR="007376E1" w:rsidRPr="001570EA" w:rsidRDefault="007376E1">
            <w:pPr>
              <w:keepNext/>
              <w:rPr>
                <w:rFonts w:cs="Arial"/>
                <w:b/>
                <w:bCs/>
                <w:sz w:val="18"/>
                <w:szCs w:val="18"/>
              </w:rPr>
            </w:pPr>
          </w:p>
        </w:tc>
        <w:tc>
          <w:tcPr>
            <w:tcW w:w="596" w:type="pct"/>
            <w:shd w:val="clear" w:color="auto" w:fill="D9D9D9"/>
            <w:vAlign w:val="center"/>
          </w:tcPr>
          <w:p w14:paraId="06C732A0" w14:textId="77777777" w:rsidR="007376E1" w:rsidRPr="001570EA" w:rsidRDefault="007376E1">
            <w:pPr>
              <w:keepNext/>
              <w:rPr>
                <w:rFonts w:cs="Arial"/>
                <w:b/>
                <w:bCs/>
                <w:color w:val="000000"/>
                <w:sz w:val="18"/>
                <w:szCs w:val="18"/>
              </w:rPr>
            </w:pPr>
            <w:r w:rsidRPr="001570EA">
              <w:rPr>
                <w:rFonts w:cs="Arial"/>
                <w:b/>
                <w:bCs/>
                <w:color w:val="000000"/>
                <w:sz w:val="18"/>
                <w:szCs w:val="18"/>
              </w:rPr>
              <w:t>Summer Peak</w:t>
            </w:r>
          </w:p>
        </w:tc>
        <w:tc>
          <w:tcPr>
            <w:tcW w:w="648" w:type="pct"/>
            <w:shd w:val="clear" w:color="auto" w:fill="D9D9D9"/>
            <w:vAlign w:val="center"/>
          </w:tcPr>
          <w:p w14:paraId="22EDDF9F" w14:textId="77777777" w:rsidR="007376E1" w:rsidRPr="001570EA" w:rsidRDefault="007376E1">
            <w:pPr>
              <w:keepNext/>
              <w:rPr>
                <w:rFonts w:cs="Arial"/>
                <w:b/>
                <w:bCs/>
                <w:color w:val="000000"/>
                <w:sz w:val="18"/>
                <w:szCs w:val="18"/>
              </w:rPr>
            </w:pPr>
            <w:r w:rsidRPr="001570EA">
              <w:rPr>
                <w:rFonts w:cs="Arial"/>
                <w:b/>
                <w:bCs/>
                <w:color w:val="000000"/>
                <w:sz w:val="18"/>
                <w:szCs w:val="18"/>
              </w:rPr>
              <w:t>Winter Peak</w:t>
            </w:r>
          </w:p>
        </w:tc>
        <w:tc>
          <w:tcPr>
            <w:tcW w:w="596" w:type="pct"/>
            <w:shd w:val="clear" w:color="auto" w:fill="D9D9D9"/>
            <w:vAlign w:val="center"/>
          </w:tcPr>
          <w:p w14:paraId="1AA8A9C7" w14:textId="77777777" w:rsidR="007376E1" w:rsidRPr="001570EA" w:rsidRDefault="007376E1">
            <w:pPr>
              <w:keepNext/>
              <w:rPr>
                <w:rFonts w:cs="Arial"/>
                <w:b/>
                <w:bCs/>
                <w:color w:val="000000"/>
                <w:sz w:val="18"/>
                <w:szCs w:val="18"/>
              </w:rPr>
            </w:pPr>
            <w:r w:rsidRPr="001570EA">
              <w:rPr>
                <w:rFonts w:cs="Arial"/>
                <w:b/>
                <w:bCs/>
                <w:color w:val="000000"/>
                <w:sz w:val="18"/>
                <w:szCs w:val="18"/>
              </w:rPr>
              <w:t>Summer Peak</w:t>
            </w:r>
          </w:p>
        </w:tc>
        <w:tc>
          <w:tcPr>
            <w:tcW w:w="596" w:type="pct"/>
            <w:shd w:val="clear" w:color="auto" w:fill="D9D9D9"/>
            <w:vAlign w:val="center"/>
          </w:tcPr>
          <w:p w14:paraId="5385E569" w14:textId="77777777" w:rsidR="007376E1" w:rsidRPr="001570EA" w:rsidRDefault="007376E1">
            <w:pPr>
              <w:keepNext/>
              <w:rPr>
                <w:rFonts w:cs="Arial"/>
                <w:b/>
                <w:bCs/>
                <w:color w:val="000000"/>
                <w:sz w:val="18"/>
                <w:szCs w:val="18"/>
              </w:rPr>
            </w:pPr>
            <w:r w:rsidRPr="001570EA">
              <w:rPr>
                <w:rFonts w:cs="Arial"/>
                <w:b/>
                <w:bCs/>
                <w:color w:val="000000"/>
                <w:sz w:val="18"/>
                <w:szCs w:val="18"/>
              </w:rPr>
              <w:t>Winter Peak</w:t>
            </w:r>
          </w:p>
        </w:tc>
        <w:tc>
          <w:tcPr>
            <w:tcW w:w="596" w:type="pct"/>
            <w:shd w:val="clear" w:color="auto" w:fill="D9D9D9"/>
            <w:vAlign w:val="center"/>
          </w:tcPr>
          <w:p w14:paraId="52BED27C" w14:textId="77777777" w:rsidR="007376E1" w:rsidRPr="001570EA" w:rsidRDefault="007376E1">
            <w:pPr>
              <w:keepNext/>
              <w:rPr>
                <w:rFonts w:cs="Arial"/>
                <w:b/>
                <w:bCs/>
                <w:color w:val="000000"/>
                <w:sz w:val="18"/>
                <w:szCs w:val="18"/>
              </w:rPr>
            </w:pPr>
            <w:r w:rsidRPr="001570EA">
              <w:rPr>
                <w:rFonts w:cs="Arial"/>
                <w:b/>
                <w:bCs/>
                <w:color w:val="000000"/>
                <w:sz w:val="18"/>
                <w:szCs w:val="18"/>
              </w:rPr>
              <w:t>Summer Peak</w:t>
            </w:r>
          </w:p>
        </w:tc>
        <w:tc>
          <w:tcPr>
            <w:tcW w:w="596" w:type="pct"/>
            <w:shd w:val="clear" w:color="auto" w:fill="D9D9D9"/>
            <w:vAlign w:val="center"/>
          </w:tcPr>
          <w:p w14:paraId="7D9DBF67" w14:textId="77777777" w:rsidR="007376E1" w:rsidRPr="001570EA" w:rsidRDefault="007376E1">
            <w:pPr>
              <w:keepNext/>
              <w:rPr>
                <w:rFonts w:cs="Arial"/>
                <w:b/>
                <w:bCs/>
                <w:color w:val="000000"/>
                <w:sz w:val="18"/>
                <w:szCs w:val="18"/>
              </w:rPr>
            </w:pPr>
            <w:r w:rsidRPr="001570EA">
              <w:rPr>
                <w:rFonts w:cs="Arial"/>
                <w:b/>
                <w:bCs/>
                <w:color w:val="000000"/>
                <w:sz w:val="18"/>
                <w:szCs w:val="18"/>
              </w:rPr>
              <w:t>Winter Peak</w:t>
            </w:r>
          </w:p>
        </w:tc>
      </w:tr>
      <w:tr w:rsidR="007376E1" w:rsidRPr="001570EA" w14:paraId="0F6E9E26" w14:textId="77777777">
        <w:trPr>
          <w:trHeight w:val="691"/>
        </w:trPr>
        <w:tc>
          <w:tcPr>
            <w:tcW w:w="643" w:type="pct"/>
            <w:shd w:val="clear" w:color="auto" w:fill="auto"/>
            <w:vAlign w:val="center"/>
            <w:hideMark/>
          </w:tcPr>
          <w:p w14:paraId="42754AAB" w14:textId="77777777" w:rsidR="007376E1" w:rsidRPr="001570EA" w:rsidRDefault="007376E1">
            <w:pPr>
              <w:keepNext/>
              <w:jc w:val="left"/>
              <w:rPr>
                <w:rFonts w:cs="Arial"/>
                <w:color w:val="000000"/>
                <w:sz w:val="18"/>
                <w:szCs w:val="18"/>
              </w:rPr>
            </w:pPr>
            <w:r w:rsidRPr="001570EA">
              <w:rPr>
                <w:rFonts w:cs="Arial"/>
                <w:color w:val="000000"/>
                <w:sz w:val="18"/>
                <w:szCs w:val="18"/>
              </w:rPr>
              <w:t>Upstream buy-down (Customer Self-Installation)</w:t>
            </w:r>
          </w:p>
        </w:tc>
        <w:tc>
          <w:tcPr>
            <w:tcW w:w="731" w:type="pct"/>
            <w:shd w:val="clear" w:color="auto" w:fill="auto"/>
            <w:vAlign w:val="center"/>
            <w:hideMark/>
          </w:tcPr>
          <w:p w14:paraId="28BE518C" w14:textId="77777777" w:rsidR="007376E1" w:rsidRPr="001570EA" w:rsidRDefault="007376E1">
            <w:pPr>
              <w:keepNext/>
              <w:rPr>
                <w:rFonts w:cs="Arial"/>
                <w:color w:val="000000"/>
                <w:sz w:val="18"/>
                <w:szCs w:val="18"/>
              </w:rPr>
            </w:pPr>
            <w:r w:rsidRPr="001570EA">
              <w:rPr>
                <w:rFonts w:cs="Arial"/>
                <w:color w:val="000000"/>
                <w:sz w:val="18"/>
                <w:szCs w:val="18"/>
              </w:rPr>
              <w:t xml:space="preserve">Unknown Mix Default </w:t>
            </w:r>
          </w:p>
        </w:tc>
        <w:tc>
          <w:tcPr>
            <w:tcW w:w="596" w:type="pct"/>
            <w:vAlign w:val="center"/>
          </w:tcPr>
          <w:p w14:paraId="284B3004" w14:textId="77777777" w:rsidR="007376E1" w:rsidRPr="001570EA" w:rsidRDefault="007376E1">
            <w:pPr>
              <w:keepNext/>
              <w:jc w:val="center"/>
              <w:rPr>
                <w:rFonts w:cs="Arial"/>
                <w:sz w:val="18"/>
                <w:szCs w:val="18"/>
              </w:rPr>
            </w:pPr>
            <w:r w:rsidRPr="001570EA">
              <w:rPr>
                <w:rFonts w:cs="Arial"/>
                <w:sz w:val="18"/>
                <w:szCs w:val="18"/>
              </w:rPr>
              <w:t>0.028</w:t>
            </w:r>
          </w:p>
        </w:tc>
        <w:tc>
          <w:tcPr>
            <w:tcW w:w="648" w:type="pct"/>
            <w:vAlign w:val="center"/>
          </w:tcPr>
          <w:p w14:paraId="677DE038" w14:textId="77777777" w:rsidR="007376E1" w:rsidRPr="001570EA" w:rsidRDefault="007376E1">
            <w:pPr>
              <w:keepNext/>
              <w:jc w:val="center"/>
              <w:rPr>
                <w:rFonts w:cs="Arial"/>
                <w:sz w:val="18"/>
                <w:szCs w:val="18"/>
              </w:rPr>
            </w:pPr>
            <w:r w:rsidRPr="001570EA">
              <w:rPr>
                <w:rFonts w:cs="Arial"/>
                <w:sz w:val="18"/>
                <w:szCs w:val="18"/>
              </w:rPr>
              <w:t>0.064</w:t>
            </w:r>
          </w:p>
        </w:tc>
        <w:tc>
          <w:tcPr>
            <w:tcW w:w="596" w:type="pct"/>
            <w:vAlign w:val="center"/>
          </w:tcPr>
          <w:p w14:paraId="630FAB38" w14:textId="77777777" w:rsidR="007376E1" w:rsidRPr="001570EA" w:rsidRDefault="007376E1">
            <w:pPr>
              <w:keepNext/>
              <w:jc w:val="center"/>
              <w:rPr>
                <w:rFonts w:cs="Arial"/>
                <w:sz w:val="18"/>
                <w:szCs w:val="18"/>
              </w:rPr>
            </w:pPr>
            <w:r w:rsidRPr="001570EA">
              <w:rPr>
                <w:rFonts w:cs="Arial"/>
                <w:sz w:val="18"/>
                <w:szCs w:val="18"/>
              </w:rPr>
              <w:t>0.030</w:t>
            </w:r>
          </w:p>
        </w:tc>
        <w:tc>
          <w:tcPr>
            <w:tcW w:w="596" w:type="pct"/>
            <w:vAlign w:val="center"/>
          </w:tcPr>
          <w:p w14:paraId="6B286C3E" w14:textId="77777777" w:rsidR="007376E1" w:rsidRPr="001570EA" w:rsidRDefault="007376E1">
            <w:pPr>
              <w:keepNext/>
              <w:jc w:val="center"/>
              <w:rPr>
                <w:rFonts w:cs="Arial"/>
                <w:sz w:val="18"/>
                <w:szCs w:val="18"/>
              </w:rPr>
            </w:pPr>
            <w:r w:rsidRPr="001570EA">
              <w:rPr>
                <w:rFonts w:cs="Arial"/>
                <w:sz w:val="18"/>
                <w:szCs w:val="18"/>
              </w:rPr>
              <w:t>0.301</w:t>
            </w:r>
          </w:p>
        </w:tc>
        <w:tc>
          <w:tcPr>
            <w:tcW w:w="596" w:type="pct"/>
            <w:vAlign w:val="center"/>
          </w:tcPr>
          <w:p w14:paraId="08CD6BC1" w14:textId="77777777" w:rsidR="007376E1" w:rsidRPr="001570EA" w:rsidRDefault="007376E1">
            <w:pPr>
              <w:keepNext/>
              <w:jc w:val="center"/>
              <w:rPr>
                <w:rFonts w:cs="Arial"/>
                <w:sz w:val="18"/>
                <w:szCs w:val="18"/>
              </w:rPr>
            </w:pPr>
            <w:r w:rsidRPr="001570EA">
              <w:rPr>
                <w:rFonts w:cs="Arial"/>
                <w:sz w:val="18"/>
                <w:szCs w:val="18"/>
              </w:rPr>
              <w:t>0.030</w:t>
            </w:r>
          </w:p>
        </w:tc>
        <w:tc>
          <w:tcPr>
            <w:tcW w:w="596" w:type="pct"/>
            <w:vAlign w:val="center"/>
          </w:tcPr>
          <w:p w14:paraId="4BAB8DE0" w14:textId="77777777" w:rsidR="007376E1" w:rsidRPr="001570EA" w:rsidRDefault="007376E1">
            <w:pPr>
              <w:keepNext/>
              <w:jc w:val="center"/>
              <w:rPr>
                <w:rFonts w:cs="Arial"/>
                <w:color w:val="000000"/>
                <w:sz w:val="18"/>
                <w:szCs w:val="18"/>
              </w:rPr>
            </w:pPr>
            <w:r w:rsidRPr="001570EA">
              <w:rPr>
                <w:rFonts w:cs="Arial"/>
                <w:sz w:val="18"/>
                <w:szCs w:val="18"/>
              </w:rPr>
              <w:t>0.009</w:t>
            </w:r>
          </w:p>
        </w:tc>
      </w:tr>
      <w:tr w:rsidR="007376E1" w:rsidRPr="001570EA" w14:paraId="174477F7" w14:textId="77777777">
        <w:trPr>
          <w:trHeight w:val="690"/>
        </w:trPr>
        <w:tc>
          <w:tcPr>
            <w:tcW w:w="643" w:type="pct"/>
            <w:shd w:val="clear" w:color="auto" w:fill="auto"/>
            <w:vAlign w:val="center"/>
            <w:hideMark/>
          </w:tcPr>
          <w:p w14:paraId="21B5CE21" w14:textId="77777777" w:rsidR="007376E1" w:rsidRPr="001570EA" w:rsidRDefault="007376E1">
            <w:pPr>
              <w:keepNext/>
              <w:jc w:val="left"/>
              <w:rPr>
                <w:rFonts w:cs="Arial"/>
                <w:color w:val="000000"/>
                <w:sz w:val="18"/>
                <w:szCs w:val="18"/>
              </w:rPr>
            </w:pPr>
            <w:r w:rsidRPr="001570EA">
              <w:rPr>
                <w:rFonts w:cs="Arial"/>
                <w:color w:val="000000"/>
                <w:sz w:val="18"/>
                <w:szCs w:val="18"/>
              </w:rPr>
              <w:t>Customer Self-Installation with Education</w:t>
            </w:r>
          </w:p>
        </w:tc>
        <w:tc>
          <w:tcPr>
            <w:tcW w:w="731" w:type="pct"/>
            <w:shd w:val="clear" w:color="auto" w:fill="auto"/>
            <w:vAlign w:val="center"/>
            <w:hideMark/>
          </w:tcPr>
          <w:p w14:paraId="56B195EA" w14:textId="77777777" w:rsidR="007376E1" w:rsidRPr="001570EA" w:rsidRDefault="007376E1">
            <w:pPr>
              <w:keepNext/>
              <w:rPr>
                <w:rFonts w:cs="Arial"/>
                <w:color w:val="000000"/>
                <w:sz w:val="18"/>
                <w:szCs w:val="18"/>
              </w:rPr>
            </w:pPr>
            <w:r w:rsidRPr="001570EA">
              <w:rPr>
                <w:rFonts w:cs="Arial"/>
                <w:color w:val="000000"/>
                <w:sz w:val="18"/>
                <w:szCs w:val="18"/>
              </w:rPr>
              <w:t xml:space="preserve">Unknown Mix Default </w:t>
            </w:r>
          </w:p>
        </w:tc>
        <w:tc>
          <w:tcPr>
            <w:tcW w:w="596" w:type="pct"/>
            <w:vAlign w:val="center"/>
          </w:tcPr>
          <w:p w14:paraId="75D1083F" w14:textId="77777777" w:rsidR="007376E1" w:rsidRPr="001570EA" w:rsidRDefault="007376E1">
            <w:pPr>
              <w:keepNext/>
              <w:jc w:val="center"/>
              <w:rPr>
                <w:rFonts w:cs="Arial"/>
                <w:sz w:val="18"/>
                <w:szCs w:val="18"/>
              </w:rPr>
            </w:pPr>
            <w:r w:rsidRPr="001570EA">
              <w:rPr>
                <w:rFonts w:cs="Arial"/>
                <w:sz w:val="18"/>
                <w:szCs w:val="18"/>
              </w:rPr>
              <w:t>0.044</w:t>
            </w:r>
          </w:p>
        </w:tc>
        <w:tc>
          <w:tcPr>
            <w:tcW w:w="648" w:type="pct"/>
            <w:vAlign w:val="center"/>
          </w:tcPr>
          <w:p w14:paraId="6F365BB5" w14:textId="77777777" w:rsidR="007376E1" w:rsidRPr="001570EA" w:rsidRDefault="007376E1">
            <w:pPr>
              <w:keepNext/>
              <w:jc w:val="center"/>
              <w:rPr>
                <w:rFonts w:cs="Arial"/>
                <w:sz w:val="18"/>
                <w:szCs w:val="18"/>
              </w:rPr>
            </w:pPr>
            <w:r w:rsidRPr="001570EA">
              <w:rPr>
                <w:rFonts w:cs="Arial"/>
                <w:sz w:val="18"/>
                <w:szCs w:val="18"/>
              </w:rPr>
              <w:t>0.077</w:t>
            </w:r>
          </w:p>
        </w:tc>
        <w:tc>
          <w:tcPr>
            <w:tcW w:w="596" w:type="pct"/>
            <w:vAlign w:val="center"/>
          </w:tcPr>
          <w:p w14:paraId="136934A7" w14:textId="77777777" w:rsidR="007376E1" w:rsidRPr="001570EA" w:rsidRDefault="007376E1">
            <w:pPr>
              <w:keepNext/>
              <w:jc w:val="center"/>
              <w:rPr>
                <w:rFonts w:cs="Arial"/>
                <w:sz w:val="18"/>
                <w:szCs w:val="18"/>
              </w:rPr>
            </w:pPr>
            <w:r w:rsidRPr="001570EA">
              <w:rPr>
                <w:rFonts w:cs="Arial"/>
                <w:sz w:val="18"/>
                <w:szCs w:val="18"/>
              </w:rPr>
              <w:t>0.046</w:t>
            </w:r>
          </w:p>
        </w:tc>
        <w:tc>
          <w:tcPr>
            <w:tcW w:w="596" w:type="pct"/>
            <w:vAlign w:val="center"/>
          </w:tcPr>
          <w:p w14:paraId="4615B4EC" w14:textId="77777777" w:rsidR="007376E1" w:rsidRPr="001570EA" w:rsidRDefault="007376E1">
            <w:pPr>
              <w:keepNext/>
              <w:jc w:val="center"/>
              <w:rPr>
                <w:rFonts w:cs="Arial"/>
                <w:sz w:val="18"/>
                <w:szCs w:val="18"/>
              </w:rPr>
            </w:pPr>
            <w:r w:rsidRPr="001570EA">
              <w:rPr>
                <w:rFonts w:cs="Arial"/>
                <w:sz w:val="18"/>
                <w:szCs w:val="18"/>
              </w:rPr>
              <w:t>0.362</w:t>
            </w:r>
          </w:p>
        </w:tc>
        <w:tc>
          <w:tcPr>
            <w:tcW w:w="596" w:type="pct"/>
            <w:vAlign w:val="center"/>
          </w:tcPr>
          <w:p w14:paraId="49CA9BCC" w14:textId="77777777" w:rsidR="007376E1" w:rsidRPr="001570EA" w:rsidRDefault="007376E1">
            <w:pPr>
              <w:keepNext/>
              <w:jc w:val="center"/>
              <w:rPr>
                <w:rFonts w:cs="Arial"/>
                <w:sz w:val="18"/>
                <w:szCs w:val="18"/>
              </w:rPr>
            </w:pPr>
            <w:r w:rsidRPr="001570EA">
              <w:rPr>
                <w:rFonts w:cs="Arial"/>
                <w:sz w:val="18"/>
                <w:szCs w:val="18"/>
              </w:rPr>
              <w:t>0.046</w:t>
            </w:r>
          </w:p>
        </w:tc>
        <w:tc>
          <w:tcPr>
            <w:tcW w:w="596" w:type="pct"/>
            <w:vAlign w:val="center"/>
          </w:tcPr>
          <w:p w14:paraId="7CC7C7AF" w14:textId="77777777" w:rsidR="007376E1" w:rsidRPr="001570EA" w:rsidRDefault="007376E1">
            <w:pPr>
              <w:keepNext/>
              <w:jc w:val="center"/>
              <w:rPr>
                <w:rFonts w:cs="Arial"/>
                <w:color w:val="000000"/>
                <w:sz w:val="18"/>
                <w:szCs w:val="18"/>
              </w:rPr>
            </w:pPr>
            <w:r w:rsidRPr="001570EA">
              <w:rPr>
                <w:rFonts w:cs="Arial"/>
                <w:sz w:val="18"/>
                <w:szCs w:val="18"/>
              </w:rPr>
              <w:t>0.011</w:t>
            </w:r>
          </w:p>
        </w:tc>
      </w:tr>
      <w:tr w:rsidR="007376E1" w:rsidRPr="001570EA" w14:paraId="26CAFF75" w14:textId="77777777">
        <w:trPr>
          <w:trHeight w:val="374"/>
        </w:trPr>
        <w:tc>
          <w:tcPr>
            <w:tcW w:w="643" w:type="pct"/>
            <w:vMerge w:val="restart"/>
            <w:shd w:val="clear" w:color="auto" w:fill="auto"/>
            <w:vAlign w:val="center"/>
            <w:hideMark/>
          </w:tcPr>
          <w:p w14:paraId="38BB0E15" w14:textId="77777777" w:rsidR="007376E1" w:rsidRPr="001570EA" w:rsidRDefault="007376E1">
            <w:pPr>
              <w:keepNext/>
              <w:rPr>
                <w:rFonts w:cs="Arial"/>
                <w:color w:val="000000"/>
                <w:sz w:val="18"/>
                <w:szCs w:val="18"/>
              </w:rPr>
            </w:pPr>
            <w:r w:rsidRPr="001570EA">
              <w:rPr>
                <w:rFonts w:cs="Arial"/>
                <w:color w:val="000000"/>
                <w:sz w:val="18"/>
                <w:szCs w:val="18"/>
              </w:rPr>
              <w:t>Professional Installation</w:t>
            </w:r>
          </w:p>
        </w:tc>
        <w:tc>
          <w:tcPr>
            <w:tcW w:w="731" w:type="pct"/>
            <w:shd w:val="clear" w:color="auto" w:fill="auto"/>
            <w:vAlign w:val="center"/>
            <w:hideMark/>
          </w:tcPr>
          <w:p w14:paraId="7B17FCD0" w14:textId="77777777" w:rsidR="007376E1" w:rsidRPr="001570EA" w:rsidRDefault="007376E1">
            <w:pPr>
              <w:keepNext/>
              <w:rPr>
                <w:rFonts w:cs="Arial"/>
                <w:color w:val="000000"/>
                <w:sz w:val="18"/>
                <w:szCs w:val="18"/>
              </w:rPr>
            </w:pPr>
            <w:r w:rsidRPr="001570EA">
              <w:rPr>
                <w:rFonts w:cs="Arial"/>
                <w:color w:val="000000"/>
                <w:sz w:val="18"/>
                <w:szCs w:val="18"/>
              </w:rPr>
              <w:t>Manual</w:t>
            </w:r>
          </w:p>
        </w:tc>
        <w:tc>
          <w:tcPr>
            <w:tcW w:w="596" w:type="pct"/>
            <w:vAlign w:val="center"/>
          </w:tcPr>
          <w:p w14:paraId="624AB8D0" w14:textId="77777777" w:rsidR="007376E1" w:rsidRPr="001570EA" w:rsidRDefault="007376E1">
            <w:pPr>
              <w:keepNext/>
              <w:jc w:val="center"/>
              <w:rPr>
                <w:rFonts w:cs="Arial"/>
                <w:sz w:val="18"/>
                <w:szCs w:val="18"/>
              </w:rPr>
            </w:pPr>
            <w:r w:rsidRPr="001570EA">
              <w:rPr>
                <w:rFonts w:cs="Arial"/>
                <w:sz w:val="18"/>
                <w:szCs w:val="18"/>
              </w:rPr>
              <w:t>0.067</w:t>
            </w:r>
          </w:p>
        </w:tc>
        <w:tc>
          <w:tcPr>
            <w:tcW w:w="648" w:type="pct"/>
            <w:vAlign w:val="center"/>
          </w:tcPr>
          <w:p w14:paraId="67A0EA23" w14:textId="77777777" w:rsidR="007376E1" w:rsidRPr="001570EA" w:rsidRDefault="007376E1">
            <w:pPr>
              <w:keepNext/>
              <w:jc w:val="center"/>
              <w:rPr>
                <w:rFonts w:cs="Arial"/>
                <w:sz w:val="18"/>
                <w:szCs w:val="18"/>
              </w:rPr>
            </w:pPr>
            <w:r w:rsidRPr="001570EA">
              <w:rPr>
                <w:rFonts w:cs="Arial"/>
                <w:sz w:val="18"/>
                <w:szCs w:val="18"/>
              </w:rPr>
              <w:t>0.116</w:t>
            </w:r>
          </w:p>
        </w:tc>
        <w:tc>
          <w:tcPr>
            <w:tcW w:w="596" w:type="pct"/>
            <w:vAlign w:val="center"/>
          </w:tcPr>
          <w:p w14:paraId="2343341B" w14:textId="77777777" w:rsidR="007376E1" w:rsidRPr="001570EA" w:rsidRDefault="007376E1">
            <w:pPr>
              <w:keepNext/>
              <w:jc w:val="center"/>
              <w:rPr>
                <w:rFonts w:cs="Arial"/>
                <w:sz w:val="18"/>
                <w:szCs w:val="18"/>
              </w:rPr>
            </w:pPr>
            <w:r w:rsidRPr="001570EA">
              <w:rPr>
                <w:rFonts w:cs="Arial"/>
                <w:sz w:val="18"/>
                <w:szCs w:val="18"/>
              </w:rPr>
              <w:t>0.070</w:t>
            </w:r>
          </w:p>
        </w:tc>
        <w:tc>
          <w:tcPr>
            <w:tcW w:w="596" w:type="pct"/>
            <w:vAlign w:val="center"/>
          </w:tcPr>
          <w:p w14:paraId="6432BF28" w14:textId="77777777" w:rsidR="007376E1" w:rsidRPr="001570EA" w:rsidRDefault="007376E1">
            <w:pPr>
              <w:keepNext/>
              <w:jc w:val="center"/>
              <w:rPr>
                <w:rFonts w:cs="Arial"/>
                <w:sz w:val="18"/>
                <w:szCs w:val="18"/>
              </w:rPr>
            </w:pPr>
            <w:r w:rsidRPr="001570EA">
              <w:rPr>
                <w:rFonts w:cs="Arial"/>
                <w:sz w:val="18"/>
                <w:szCs w:val="18"/>
              </w:rPr>
              <w:t>0.541</w:t>
            </w:r>
          </w:p>
        </w:tc>
        <w:tc>
          <w:tcPr>
            <w:tcW w:w="596" w:type="pct"/>
            <w:vAlign w:val="center"/>
          </w:tcPr>
          <w:p w14:paraId="09DC4916" w14:textId="77777777" w:rsidR="007376E1" w:rsidRPr="001570EA" w:rsidRDefault="007376E1">
            <w:pPr>
              <w:keepNext/>
              <w:jc w:val="center"/>
              <w:rPr>
                <w:rFonts w:cs="Arial"/>
                <w:sz w:val="18"/>
                <w:szCs w:val="18"/>
              </w:rPr>
            </w:pPr>
            <w:r w:rsidRPr="001570EA">
              <w:rPr>
                <w:rFonts w:cs="Arial"/>
                <w:sz w:val="18"/>
                <w:szCs w:val="18"/>
              </w:rPr>
              <w:t>0.070</w:t>
            </w:r>
          </w:p>
        </w:tc>
        <w:tc>
          <w:tcPr>
            <w:tcW w:w="596" w:type="pct"/>
            <w:vAlign w:val="center"/>
          </w:tcPr>
          <w:p w14:paraId="62EC8584" w14:textId="77777777" w:rsidR="007376E1" w:rsidRPr="001570EA" w:rsidRDefault="007376E1">
            <w:pPr>
              <w:keepNext/>
              <w:jc w:val="center"/>
              <w:rPr>
                <w:rFonts w:cs="Arial"/>
                <w:color w:val="000000"/>
                <w:sz w:val="18"/>
                <w:szCs w:val="18"/>
              </w:rPr>
            </w:pPr>
            <w:r w:rsidRPr="001570EA">
              <w:rPr>
                <w:rFonts w:cs="Arial"/>
                <w:sz w:val="18"/>
                <w:szCs w:val="18"/>
              </w:rPr>
              <w:t>0.016</w:t>
            </w:r>
          </w:p>
        </w:tc>
      </w:tr>
      <w:tr w:rsidR="007376E1" w:rsidRPr="001570EA" w14:paraId="05727D26" w14:textId="77777777">
        <w:trPr>
          <w:trHeight w:val="576"/>
        </w:trPr>
        <w:tc>
          <w:tcPr>
            <w:tcW w:w="643" w:type="pct"/>
            <w:vMerge/>
            <w:vAlign w:val="center"/>
            <w:hideMark/>
          </w:tcPr>
          <w:p w14:paraId="54B6F190" w14:textId="77777777" w:rsidR="007376E1" w:rsidRPr="001570EA" w:rsidRDefault="007376E1">
            <w:pPr>
              <w:keepNext/>
              <w:rPr>
                <w:rFonts w:cs="Arial"/>
                <w:color w:val="000000"/>
                <w:sz w:val="18"/>
                <w:szCs w:val="18"/>
              </w:rPr>
            </w:pPr>
          </w:p>
        </w:tc>
        <w:tc>
          <w:tcPr>
            <w:tcW w:w="731" w:type="pct"/>
            <w:shd w:val="clear" w:color="auto" w:fill="auto"/>
            <w:vAlign w:val="center"/>
            <w:hideMark/>
          </w:tcPr>
          <w:p w14:paraId="095DF4C9" w14:textId="77777777" w:rsidR="007376E1" w:rsidRPr="001570EA" w:rsidRDefault="007376E1">
            <w:pPr>
              <w:keepNext/>
              <w:rPr>
                <w:rFonts w:cs="Arial"/>
                <w:color w:val="000000"/>
                <w:sz w:val="18"/>
                <w:szCs w:val="18"/>
              </w:rPr>
            </w:pPr>
            <w:r w:rsidRPr="001570EA">
              <w:rPr>
                <w:rFonts w:cs="Arial"/>
                <w:color w:val="000000"/>
                <w:sz w:val="18"/>
                <w:szCs w:val="18"/>
              </w:rPr>
              <w:t>Conventional programmable</w:t>
            </w:r>
          </w:p>
        </w:tc>
        <w:tc>
          <w:tcPr>
            <w:tcW w:w="596" w:type="pct"/>
            <w:vAlign w:val="center"/>
          </w:tcPr>
          <w:p w14:paraId="748483D4" w14:textId="77777777" w:rsidR="007376E1" w:rsidRPr="001570EA" w:rsidRDefault="007376E1">
            <w:pPr>
              <w:keepNext/>
              <w:jc w:val="center"/>
              <w:rPr>
                <w:rFonts w:cs="Arial"/>
                <w:sz w:val="18"/>
                <w:szCs w:val="18"/>
              </w:rPr>
            </w:pPr>
            <w:r w:rsidRPr="001570EA">
              <w:rPr>
                <w:rFonts w:cs="Arial"/>
                <w:sz w:val="18"/>
                <w:szCs w:val="18"/>
              </w:rPr>
              <w:t>0.055</w:t>
            </w:r>
          </w:p>
        </w:tc>
        <w:tc>
          <w:tcPr>
            <w:tcW w:w="648" w:type="pct"/>
            <w:vAlign w:val="center"/>
          </w:tcPr>
          <w:p w14:paraId="1AC260CB" w14:textId="77777777" w:rsidR="007376E1" w:rsidRPr="001570EA" w:rsidRDefault="007376E1">
            <w:pPr>
              <w:keepNext/>
              <w:jc w:val="center"/>
              <w:rPr>
                <w:rFonts w:cs="Arial"/>
                <w:sz w:val="18"/>
                <w:szCs w:val="18"/>
              </w:rPr>
            </w:pPr>
            <w:r w:rsidRPr="001570EA">
              <w:rPr>
                <w:rFonts w:cs="Arial"/>
                <w:sz w:val="18"/>
                <w:szCs w:val="18"/>
              </w:rPr>
              <w:t>0.079</w:t>
            </w:r>
          </w:p>
        </w:tc>
        <w:tc>
          <w:tcPr>
            <w:tcW w:w="596" w:type="pct"/>
            <w:vAlign w:val="center"/>
          </w:tcPr>
          <w:p w14:paraId="2E07FA21" w14:textId="77777777" w:rsidR="007376E1" w:rsidRPr="001570EA" w:rsidRDefault="007376E1">
            <w:pPr>
              <w:keepNext/>
              <w:jc w:val="center"/>
              <w:rPr>
                <w:rFonts w:cs="Arial"/>
                <w:sz w:val="18"/>
                <w:szCs w:val="18"/>
              </w:rPr>
            </w:pPr>
            <w:r w:rsidRPr="001570EA">
              <w:rPr>
                <w:rFonts w:cs="Arial"/>
                <w:sz w:val="18"/>
                <w:szCs w:val="18"/>
              </w:rPr>
              <w:t>0.058</w:t>
            </w:r>
          </w:p>
        </w:tc>
        <w:tc>
          <w:tcPr>
            <w:tcW w:w="596" w:type="pct"/>
            <w:vAlign w:val="center"/>
          </w:tcPr>
          <w:p w14:paraId="0313882D" w14:textId="77777777" w:rsidR="007376E1" w:rsidRPr="001570EA" w:rsidRDefault="007376E1">
            <w:pPr>
              <w:keepNext/>
              <w:jc w:val="center"/>
              <w:rPr>
                <w:rFonts w:cs="Arial"/>
                <w:sz w:val="18"/>
                <w:szCs w:val="18"/>
              </w:rPr>
            </w:pPr>
            <w:r w:rsidRPr="001570EA">
              <w:rPr>
                <w:rFonts w:cs="Arial"/>
                <w:sz w:val="18"/>
                <w:szCs w:val="18"/>
              </w:rPr>
              <w:t>0.372</w:t>
            </w:r>
          </w:p>
        </w:tc>
        <w:tc>
          <w:tcPr>
            <w:tcW w:w="596" w:type="pct"/>
            <w:vAlign w:val="center"/>
          </w:tcPr>
          <w:p w14:paraId="1F5BE511" w14:textId="77777777" w:rsidR="007376E1" w:rsidRPr="001570EA" w:rsidRDefault="007376E1">
            <w:pPr>
              <w:keepNext/>
              <w:jc w:val="center"/>
              <w:rPr>
                <w:rFonts w:cs="Arial"/>
                <w:sz w:val="18"/>
                <w:szCs w:val="18"/>
              </w:rPr>
            </w:pPr>
            <w:r w:rsidRPr="001570EA">
              <w:rPr>
                <w:rFonts w:cs="Arial"/>
                <w:sz w:val="18"/>
                <w:szCs w:val="18"/>
              </w:rPr>
              <w:t>0.058</w:t>
            </w:r>
          </w:p>
        </w:tc>
        <w:tc>
          <w:tcPr>
            <w:tcW w:w="596" w:type="pct"/>
            <w:vAlign w:val="center"/>
          </w:tcPr>
          <w:p w14:paraId="236F71EE" w14:textId="77777777" w:rsidR="007376E1" w:rsidRPr="001570EA" w:rsidRDefault="007376E1">
            <w:pPr>
              <w:keepNext/>
              <w:jc w:val="center"/>
              <w:rPr>
                <w:rFonts w:cs="Arial"/>
                <w:color w:val="000000"/>
                <w:sz w:val="18"/>
                <w:szCs w:val="18"/>
              </w:rPr>
            </w:pPr>
            <w:r w:rsidRPr="001570EA">
              <w:rPr>
                <w:rFonts w:cs="Arial"/>
                <w:sz w:val="18"/>
                <w:szCs w:val="18"/>
              </w:rPr>
              <w:t>0.011</w:t>
            </w:r>
          </w:p>
        </w:tc>
      </w:tr>
    </w:tbl>
    <w:p w14:paraId="3B8436BE" w14:textId="4F67F07B" w:rsidR="007376E1" w:rsidRPr="001570EA" w:rsidRDefault="007376E1" w:rsidP="007376E1"/>
    <w:p w14:paraId="5A34F38F" w14:textId="48AEF4E3" w:rsidR="007376E1" w:rsidRPr="001570EA" w:rsidRDefault="00064502" w:rsidP="00064502">
      <w:pPr>
        <w:pStyle w:val="Caption"/>
      </w:pPr>
      <w:bookmarkStart w:id="319" w:name="_Ref16390881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52</w:t>
      </w:r>
      <w:r w:rsidR="002E093A" w:rsidRPr="001570EA">
        <w:fldChar w:fldCharType="end"/>
      </w:r>
      <w:bookmarkEnd w:id="319"/>
      <w:r w:rsidRPr="001570EA">
        <w:t>: HVAC System Type Shares by EDC for Upstream Program Delivery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021"/>
        <w:gridCol w:w="1997"/>
        <w:gridCol w:w="1557"/>
      </w:tblGrid>
      <w:tr w:rsidR="007376E1" w:rsidRPr="001570EA" w14:paraId="42D8A63C" w14:textId="77777777">
        <w:trPr>
          <w:trHeight w:val="912"/>
        </w:trPr>
        <w:tc>
          <w:tcPr>
            <w:tcW w:w="1770" w:type="pct"/>
            <w:shd w:val="clear" w:color="auto" w:fill="D9D9D9"/>
            <w:vAlign w:val="center"/>
            <w:hideMark/>
          </w:tcPr>
          <w:p w14:paraId="3C709B4D" w14:textId="77777777" w:rsidR="007376E1" w:rsidRPr="001570EA" w:rsidRDefault="007376E1">
            <w:pPr>
              <w:rPr>
                <w:rFonts w:cs="Arial"/>
                <w:b/>
                <w:bCs/>
                <w:sz w:val="18"/>
                <w:szCs w:val="18"/>
              </w:rPr>
            </w:pPr>
            <w:r w:rsidRPr="001570EA">
              <w:rPr>
                <w:rFonts w:cs="Arial"/>
                <w:b/>
                <w:bCs/>
                <w:sz w:val="18"/>
                <w:szCs w:val="18"/>
              </w:rPr>
              <w:t>EDC</w:t>
            </w:r>
          </w:p>
        </w:tc>
        <w:tc>
          <w:tcPr>
            <w:tcW w:w="1171" w:type="pct"/>
            <w:shd w:val="clear" w:color="auto" w:fill="D9D9D9"/>
            <w:vAlign w:val="center"/>
            <w:hideMark/>
          </w:tcPr>
          <w:p w14:paraId="4702B775" w14:textId="77777777" w:rsidR="007376E1" w:rsidRPr="001570EA" w:rsidRDefault="007376E1">
            <w:pPr>
              <w:jc w:val="center"/>
              <w:rPr>
                <w:rFonts w:cs="Arial"/>
                <w:b/>
                <w:bCs/>
                <w:sz w:val="18"/>
                <w:szCs w:val="18"/>
              </w:rPr>
            </w:pPr>
            <w:r w:rsidRPr="001570EA">
              <w:rPr>
                <w:rFonts w:cs="Arial"/>
                <w:b/>
                <w:bCs/>
                <w:sz w:val="18"/>
                <w:szCs w:val="18"/>
              </w:rPr>
              <w:t>ASHP</w:t>
            </w:r>
          </w:p>
        </w:tc>
        <w:tc>
          <w:tcPr>
            <w:tcW w:w="1157" w:type="pct"/>
            <w:shd w:val="clear" w:color="auto" w:fill="D9D9D9"/>
            <w:vAlign w:val="center"/>
            <w:hideMark/>
          </w:tcPr>
          <w:p w14:paraId="4E44DF37" w14:textId="77777777" w:rsidR="007376E1" w:rsidRPr="001570EA" w:rsidRDefault="007376E1">
            <w:pPr>
              <w:jc w:val="center"/>
              <w:rPr>
                <w:rFonts w:cs="Arial"/>
                <w:b/>
                <w:bCs/>
                <w:sz w:val="18"/>
                <w:szCs w:val="18"/>
                <w:vertAlign w:val="superscript"/>
              </w:rPr>
            </w:pPr>
            <w:r w:rsidRPr="001570EA">
              <w:rPr>
                <w:rFonts w:cs="Arial"/>
                <w:b/>
                <w:bCs/>
                <w:sz w:val="18"/>
                <w:szCs w:val="18"/>
              </w:rPr>
              <w:t>CAC w/ Electric Furnace</w:t>
            </w:r>
          </w:p>
        </w:tc>
        <w:tc>
          <w:tcPr>
            <w:tcW w:w="902" w:type="pct"/>
            <w:shd w:val="clear" w:color="auto" w:fill="D9D9D9"/>
            <w:vAlign w:val="center"/>
            <w:hideMark/>
          </w:tcPr>
          <w:p w14:paraId="43342768" w14:textId="77777777" w:rsidR="007376E1" w:rsidRPr="001570EA" w:rsidRDefault="007376E1">
            <w:pPr>
              <w:jc w:val="center"/>
              <w:rPr>
                <w:rFonts w:cs="Arial"/>
                <w:b/>
                <w:bCs/>
                <w:sz w:val="18"/>
                <w:szCs w:val="18"/>
              </w:rPr>
            </w:pPr>
            <w:r w:rsidRPr="001570EA">
              <w:rPr>
                <w:rFonts w:cs="Arial"/>
                <w:b/>
                <w:bCs/>
                <w:sz w:val="18"/>
                <w:szCs w:val="18"/>
              </w:rPr>
              <w:t xml:space="preserve">CAC w/ Gas </w:t>
            </w:r>
          </w:p>
        </w:tc>
      </w:tr>
      <w:tr w:rsidR="007376E1" w:rsidRPr="001570EA" w14:paraId="1E6F4093" w14:textId="77777777">
        <w:trPr>
          <w:trHeight w:val="288"/>
        </w:trPr>
        <w:tc>
          <w:tcPr>
            <w:tcW w:w="1770" w:type="pct"/>
            <w:shd w:val="clear" w:color="auto" w:fill="auto"/>
            <w:vAlign w:val="center"/>
          </w:tcPr>
          <w:p w14:paraId="0C6E2364" w14:textId="77777777" w:rsidR="007376E1" w:rsidRPr="001570EA" w:rsidRDefault="007376E1">
            <w:pPr>
              <w:jc w:val="left"/>
              <w:rPr>
                <w:rFonts w:cs="Arial"/>
                <w:color w:val="000000"/>
                <w:sz w:val="18"/>
                <w:szCs w:val="18"/>
              </w:rPr>
            </w:pPr>
            <w:r w:rsidRPr="001570EA">
              <w:rPr>
                <w:rFonts w:cs="Arial"/>
                <w:color w:val="000000"/>
                <w:sz w:val="18"/>
                <w:szCs w:val="18"/>
              </w:rPr>
              <w:t>PECO</w:t>
            </w:r>
          </w:p>
        </w:tc>
        <w:tc>
          <w:tcPr>
            <w:tcW w:w="1171" w:type="pct"/>
            <w:shd w:val="clear" w:color="auto" w:fill="auto"/>
            <w:vAlign w:val="center"/>
          </w:tcPr>
          <w:p w14:paraId="785073C3" w14:textId="77777777" w:rsidR="007376E1" w:rsidRPr="001570EA" w:rsidRDefault="007376E1">
            <w:pPr>
              <w:jc w:val="center"/>
              <w:rPr>
                <w:rFonts w:cs="Arial"/>
                <w:color w:val="000000"/>
                <w:sz w:val="18"/>
                <w:szCs w:val="18"/>
              </w:rPr>
            </w:pPr>
            <w:r w:rsidRPr="001570EA">
              <w:rPr>
                <w:rFonts w:cs="Arial"/>
                <w:color w:val="000000"/>
                <w:sz w:val="18"/>
                <w:szCs w:val="18"/>
              </w:rPr>
              <w:t>43.75%</w:t>
            </w:r>
          </w:p>
        </w:tc>
        <w:tc>
          <w:tcPr>
            <w:tcW w:w="1157" w:type="pct"/>
            <w:shd w:val="clear" w:color="auto" w:fill="auto"/>
            <w:vAlign w:val="center"/>
          </w:tcPr>
          <w:p w14:paraId="41760822" w14:textId="77777777" w:rsidR="007376E1" w:rsidRPr="001570EA" w:rsidRDefault="007376E1">
            <w:pPr>
              <w:jc w:val="center"/>
              <w:rPr>
                <w:rFonts w:cs="Arial"/>
                <w:color w:val="000000"/>
                <w:sz w:val="18"/>
                <w:szCs w:val="18"/>
              </w:rPr>
            </w:pPr>
            <w:r w:rsidRPr="001570EA">
              <w:rPr>
                <w:rFonts w:cs="Arial"/>
                <w:color w:val="000000"/>
                <w:sz w:val="18"/>
                <w:szCs w:val="18"/>
              </w:rPr>
              <w:t>0.00%</w:t>
            </w:r>
          </w:p>
        </w:tc>
        <w:tc>
          <w:tcPr>
            <w:tcW w:w="902" w:type="pct"/>
            <w:shd w:val="clear" w:color="auto" w:fill="auto"/>
            <w:vAlign w:val="center"/>
          </w:tcPr>
          <w:p w14:paraId="6822E9C6" w14:textId="77777777" w:rsidR="007376E1" w:rsidRPr="001570EA" w:rsidRDefault="007376E1">
            <w:pPr>
              <w:jc w:val="center"/>
              <w:rPr>
                <w:rFonts w:cs="Arial"/>
                <w:color w:val="000000"/>
                <w:sz w:val="18"/>
                <w:szCs w:val="18"/>
              </w:rPr>
            </w:pPr>
            <w:r w:rsidRPr="001570EA">
              <w:rPr>
                <w:rFonts w:cs="Arial"/>
                <w:color w:val="000000"/>
                <w:sz w:val="18"/>
                <w:szCs w:val="18"/>
              </w:rPr>
              <w:t>56.25%</w:t>
            </w:r>
          </w:p>
        </w:tc>
      </w:tr>
      <w:tr w:rsidR="007376E1" w:rsidRPr="001570EA" w14:paraId="10D34729" w14:textId="77777777">
        <w:trPr>
          <w:trHeight w:val="288"/>
        </w:trPr>
        <w:tc>
          <w:tcPr>
            <w:tcW w:w="1770" w:type="pct"/>
            <w:shd w:val="clear" w:color="auto" w:fill="auto"/>
            <w:vAlign w:val="center"/>
          </w:tcPr>
          <w:p w14:paraId="2D0D139B" w14:textId="77777777" w:rsidR="007376E1" w:rsidRPr="001570EA" w:rsidRDefault="007376E1">
            <w:pPr>
              <w:jc w:val="left"/>
              <w:rPr>
                <w:rFonts w:cs="Arial"/>
                <w:color w:val="000000"/>
                <w:sz w:val="18"/>
                <w:szCs w:val="18"/>
              </w:rPr>
            </w:pPr>
            <w:r w:rsidRPr="001570EA">
              <w:rPr>
                <w:rFonts w:cs="Arial"/>
                <w:color w:val="000000"/>
                <w:sz w:val="18"/>
                <w:szCs w:val="18"/>
              </w:rPr>
              <w:t>PPL</w:t>
            </w:r>
          </w:p>
        </w:tc>
        <w:tc>
          <w:tcPr>
            <w:tcW w:w="1171" w:type="pct"/>
            <w:shd w:val="clear" w:color="auto" w:fill="auto"/>
            <w:vAlign w:val="center"/>
          </w:tcPr>
          <w:p w14:paraId="69B5F0BB" w14:textId="77777777" w:rsidR="007376E1" w:rsidRPr="001570EA" w:rsidRDefault="007376E1">
            <w:pPr>
              <w:jc w:val="center"/>
              <w:rPr>
                <w:rFonts w:cs="Arial"/>
                <w:color w:val="000000"/>
                <w:sz w:val="18"/>
                <w:szCs w:val="18"/>
              </w:rPr>
            </w:pPr>
            <w:r w:rsidRPr="001570EA">
              <w:rPr>
                <w:rFonts w:cs="Arial"/>
                <w:color w:val="000000"/>
                <w:sz w:val="18"/>
                <w:szCs w:val="18"/>
              </w:rPr>
              <w:t>50.00%</w:t>
            </w:r>
          </w:p>
        </w:tc>
        <w:tc>
          <w:tcPr>
            <w:tcW w:w="1157" w:type="pct"/>
            <w:shd w:val="clear" w:color="auto" w:fill="auto"/>
            <w:vAlign w:val="center"/>
          </w:tcPr>
          <w:p w14:paraId="03E12475" w14:textId="77777777" w:rsidR="007376E1" w:rsidRPr="001570EA" w:rsidRDefault="007376E1">
            <w:pPr>
              <w:jc w:val="center"/>
              <w:rPr>
                <w:rFonts w:cs="Arial"/>
                <w:color w:val="000000"/>
                <w:sz w:val="18"/>
                <w:szCs w:val="18"/>
              </w:rPr>
            </w:pPr>
            <w:r w:rsidRPr="001570EA">
              <w:rPr>
                <w:rFonts w:cs="Arial"/>
                <w:color w:val="000000"/>
                <w:sz w:val="18"/>
                <w:szCs w:val="18"/>
              </w:rPr>
              <w:t>0.00%</w:t>
            </w:r>
          </w:p>
        </w:tc>
        <w:tc>
          <w:tcPr>
            <w:tcW w:w="902" w:type="pct"/>
            <w:shd w:val="clear" w:color="auto" w:fill="auto"/>
            <w:vAlign w:val="center"/>
          </w:tcPr>
          <w:p w14:paraId="6F404CE8" w14:textId="77777777" w:rsidR="007376E1" w:rsidRPr="001570EA" w:rsidRDefault="007376E1">
            <w:pPr>
              <w:jc w:val="center"/>
              <w:rPr>
                <w:rFonts w:cs="Arial"/>
                <w:color w:val="000000"/>
                <w:sz w:val="18"/>
                <w:szCs w:val="18"/>
              </w:rPr>
            </w:pPr>
            <w:r w:rsidRPr="001570EA">
              <w:rPr>
                <w:rFonts w:cs="Arial"/>
                <w:color w:val="000000"/>
                <w:sz w:val="18"/>
                <w:szCs w:val="18"/>
              </w:rPr>
              <w:t>50.00%</w:t>
            </w:r>
          </w:p>
        </w:tc>
      </w:tr>
      <w:tr w:rsidR="007376E1" w:rsidRPr="001570EA" w14:paraId="2BCBD8CC" w14:textId="77777777">
        <w:trPr>
          <w:trHeight w:val="288"/>
        </w:trPr>
        <w:tc>
          <w:tcPr>
            <w:tcW w:w="1770" w:type="pct"/>
            <w:vAlign w:val="center"/>
          </w:tcPr>
          <w:p w14:paraId="145DB282" w14:textId="77777777" w:rsidR="007376E1" w:rsidRPr="001570EA" w:rsidRDefault="007376E1">
            <w:pPr>
              <w:jc w:val="left"/>
              <w:rPr>
                <w:rFonts w:cs="Arial"/>
                <w:color w:val="000000"/>
                <w:sz w:val="18"/>
                <w:szCs w:val="18"/>
              </w:rPr>
            </w:pPr>
            <w:r w:rsidRPr="001570EA">
              <w:rPr>
                <w:rFonts w:cs="Arial"/>
                <w:color w:val="000000"/>
                <w:sz w:val="18"/>
                <w:szCs w:val="18"/>
              </w:rPr>
              <w:t>Duquesne</w:t>
            </w:r>
          </w:p>
        </w:tc>
        <w:tc>
          <w:tcPr>
            <w:tcW w:w="1171" w:type="pct"/>
            <w:shd w:val="clear" w:color="auto" w:fill="auto"/>
            <w:vAlign w:val="center"/>
          </w:tcPr>
          <w:p w14:paraId="6995EB0F" w14:textId="77777777" w:rsidR="007376E1" w:rsidRPr="001570EA" w:rsidRDefault="007376E1">
            <w:pPr>
              <w:jc w:val="center"/>
              <w:rPr>
                <w:rFonts w:cs="Arial"/>
                <w:color w:val="000000"/>
                <w:sz w:val="18"/>
                <w:szCs w:val="18"/>
              </w:rPr>
            </w:pPr>
            <w:r w:rsidRPr="001570EA">
              <w:rPr>
                <w:rFonts w:cs="Arial"/>
                <w:color w:val="000000"/>
                <w:sz w:val="18"/>
                <w:szCs w:val="18"/>
              </w:rPr>
              <w:t>9.52%</w:t>
            </w:r>
          </w:p>
        </w:tc>
        <w:tc>
          <w:tcPr>
            <w:tcW w:w="1157" w:type="pct"/>
            <w:shd w:val="clear" w:color="auto" w:fill="auto"/>
            <w:vAlign w:val="center"/>
          </w:tcPr>
          <w:p w14:paraId="37678361" w14:textId="77777777" w:rsidR="007376E1" w:rsidRPr="001570EA" w:rsidRDefault="007376E1">
            <w:pPr>
              <w:jc w:val="center"/>
              <w:rPr>
                <w:rFonts w:cs="Arial"/>
                <w:color w:val="000000"/>
                <w:sz w:val="18"/>
                <w:szCs w:val="18"/>
              </w:rPr>
            </w:pPr>
            <w:r w:rsidRPr="001570EA">
              <w:rPr>
                <w:rFonts w:cs="Arial"/>
                <w:color w:val="000000"/>
                <w:sz w:val="18"/>
                <w:szCs w:val="18"/>
              </w:rPr>
              <w:t>4.76%</w:t>
            </w:r>
          </w:p>
        </w:tc>
        <w:tc>
          <w:tcPr>
            <w:tcW w:w="902" w:type="pct"/>
            <w:shd w:val="clear" w:color="auto" w:fill="auto"/>
            <w:vAlign w:val="center"/>
          </w:tcPr>
          <w:p w14:paraId="1927ED6B" w14:textId="77777777" w:rsidR="007376E1" w:rsidRPr="001570EA" w:rsidRDefault="007376E1">
            <w:pPr>
              <w:jc w:val="center"/>
              <w:rPr>
                <w:rFonts w:cs="Arial"/>
                <w:color w:val="000000"/>
                <w:sz w:val="18"/>
                <w:szCs w:val="18"/>
              </w:rPr>
            </w:pPr>
            <w:r w:rsidRPr="001570EA">
              <w:rPr>
                <w:rFonts w:cs="Arial"/>
                <w:color w:val="000000"/>
                <w:sz w:val="18"/>
                <w:szCs w:val="18"/>
              </w:rPr>
              <w:t>85.71%</w:t>
            </w:r>
          </w:p>
        </w:tc>
      </w:tr>
      <w:tr w:rsidR="007376E1" w:rsidRPr="001570EA" w14:paraId="37A199D6" w14:textId="77777777">
        <w:trPr>
          <w:trHeight w:val="288"/>
        </w:trPr>
        <w:tc>
          <w:tcPr>
            <w:tcW w:w="1770" w:type="pct"/>
            <w:vAlign w:val="center"/>
          </w:tcPr>
          <w:p w14:paraId="4648C30E" w14:textId="77777777" w:rsidR="007376E1" w:rsidRPr="001570EA" w:rsidRDefault="007376E1">
            <w:pPr>
              <w:jc w:val="left"/>
              <w:rPr>
                <w:rFonts w:cs="Arial"/>
                <w:color w:val="000000"/>
                <w:sz w:val="18"/>
                <w:szCs w:val="18"/>
              </w:rPr>
            </w:pPr>
            <w:r w:rsidRPr="001570EA">
              <w:rPr>
                <w:rFonts w:cs="Arial"/>
                <w:color w:val="000000"/>
                <w:sz w:val="18"/>
                <w:szCs w:val="18"/>
              </w:rPr>
              <w:t>FE: Met-Ed</w:t>
            </w:r>
          </w:p>
        </w:tc>
        <w:tc>
          <w:tcPr>
            <w:tcW w:w="1171" w:type="pct"/>
            <w:shd w:val="clear" w:color="auto" w:fill="auto"/>
            <w:vAlign w:val="center"/>
          </w:tcPr>
          <w:p w14:paraId="706FCBB8" w14:textId="77777777" w:rsidR="007376E1" w:rsidRPr="001570EA" w:rsidRDefault="007376E1">
            <w:pPr>
              <w:jc w:val="center"/>
              <w:rPr>
                <w:rFonts w:cs="Arial"/>
                <w:color w:val="000000"/>
                <w:sz w:val="18"/>
                <w:szCs w:val="18"/>
              </w:rPr>
            </w:pPr>
            <w:r w:rsidRPr="001570EA">
              <w:rPr>
                <w:rFonts w:cs="Arial"/>
                <w:color w:val="000000"/>
                <w:sz w:val="18"/>
                <w:szCs w:val="18"/>
              </w:rPr>
              <w:t>19.05%</w:t>
            </w:r>
          </w:p>
        </w:tc>
        <w:tc>
          <w:tcPr>
            <w:tcW w:w="1157" w:type="pct"/>
            <w:shd w:val="clear" w:color="auto" w:fill="auto"/>
            <w:vAlign w:val="center"/>
          </w:tcPr>
          <w:p w14:paraId="0BE757AB" w14:textId="77777777" w:rsidR="007376E1" w:rsidRPr="001570EA" w:rsidRDefault="007376E1">
            <w:pPr>
              <w:jc w:val="center"/>
              <w:rPr>
                <w:rFonts w:cs="Arial"/>
                <w:color w:val="000000"/>
                <w:sz w:val="18"/>
                <w:szCs w:val="18"/>
              </w:rPr>
            </w:pPr>
            <w:r w:rsidRPr="001570EA">
              <w:rPr>
                <w:rFonts w:cs="Arial"/>
                <w:color w:val="000000"/>
                <w:sz w:val="18"/>
                <w:szCs w:val="18"/>
              </w:rPr>
              <w:t>9.52%</w:t>
            </w:r>
          </w:p>
        </w:tc>
        <w:tc>
          <w:tcPr>
            <w:tcW w:w="902" w:type="pct"/>
            <w:shd w:val="clear" w:color="auto" w:fill="auto"/>
            <w:vAlign w:val="center"/>
          </w:tcPr>
          <w:p w14:paraId="451AFE7B" w14:textId="77777777" w:rsidR="007376E1" w:rsidRPr="001570EA" w:rsidRDefault="007376E1">
            <w:pPr>
              <w:jc w:val="center"/>
              <w:rPr>
                <w:rFonts w:cs="Arial"/>
                <w:color w:val="000000"/>
                <w:sz w:val="18"/>
                <w:szCs w:val="18"/>
              </w:rPr>
            </w:pPr>
            <w:r w:rsidRPr="001570EA">
              <w:rPr>
                <w:rFonts w:cs="Arial"/>
                <w:color w:val="000000"/>
                <w:sz w:val="18"/>
                <w:szCs w:val="18"/>
              </w:rPr>
              <w:t>71.43%</w:t>
            </w:r>
          </w:p>
        </w:tc>
      </w:tr>
      <w:tr w:rsidR="007376E1" w:rsidRPr="001570EA" w14:paraId="1BFCC5EF" w14:textId="77777777">
        <w:trPr>
          <w:trHeight w:val="288"/>
        </w:trPr>
        <w:tc>
          <w:tcPr>
            <w:tcW w:w="1770" w:type="pct"/>
            <w:vAlign w:val="center"/>
          </w:tcPr>
          <w:p w14:paraId="4D9788D3" w14:textId="77777777" w:rsidR="007376E1" w:rsidRPr="001570EA" w:rsidRDefault="007376E1">
            <w:pPr>
              <w:jc w:val="left"/>
              <w:rPr>
                <w:rFonts w:cs="Arial"/>
                <w:color w:val="000000"/>
                <w:sz w:val="18"/>
                <w:szCs w:val="18"/>
              </w:rPr>
            </w:pPr>
            <w:r w:rsidRPr="001570EA">
              <w:rPr>
                <w:rFonts w:cs="Arial"/>
                <w:color w:val="000000"/>
                <w:sz w:val="18"/>
                <w:szCs w:val="18"/>
              </w:rPr>
              <w:t>FE: Penelec</w:t>
            </w:r>
          </w:p>
        </w:tc>
        <w:tc>
          <w:tcPr>
            <w:tcW w:w="1171" w:type="pct"/>
            <w:shd w:val="clear" w:color="auto" w:fill="auto"/>
            <w:vAlign w:val="center"/>
          </w:tcPr>
          <w:p w14:paraId="4968D793" w14:textId="77777777" w:rsidR="007376E1" w:rsidRPr="001570EA" w:rsidRDefault="007376E1">
            <w:pPr>
              <w:jc w:val="center"/>
              <w:rPr>
                <w:rFonts w:cs="Arial"/>
                <w:color w:val="000000"/>
                <w:sz w:val="18"/>
                <w:szCs w:val="18"/>
              </w:rPr>
            </w:pPr>
            <w:r w:rsidRPr="001570EA">
              <w:rPr>
                <w:rFonts w:cs="Arial"/>
                <w:color w:val="000000"/>
                <w:sz w:val="18"/>
                <w:szCs w:val="18"/>
              </w:rPr>
              <w:t>22.22%</w:t>
            </w:r>
          </w:p>
        </w:tc>
        <w:tc>
          <w:tcPr>
            <w:tcW w:w="1157" w:type="pct"/>
            <w:shd w:val="clear" w:color="auto" w:fill="auto"/>
            <w:vAlign w:val="center"/>
          </w:tcPr>
          <w:p w14:paraId="562302D6" w14:textId="77777777" w:rsidR="007376E1" w:rsidRPr="001570EA" w:rsidRDefault="007376E1">
            <w:pPr>
              <w:jc w:val="center"/>
              <w:rPr>
                <w:rFonts w:cs="Arial"/>
                <w:color w:val="000000"/>
                <w:sz w:val="18"/>
                <w:szCs w:val="18"/>
              </w:rPr>
            </w:pPr>
            <w:r w:rsidRPr="001570EA">
              <w:rPr>
                <w:rFonts w:cs="Arial"/>
                <w:color w:val="000000"/>
                <w:sz w:val="18"/>
                <w:szCs w:val="18"/>
              </w:rPr>
              <w:t>0.00%</w:t>
            </w:r>
          </w:p>
        </w:tc>
        <w:tc>
          <w:tcPr>
            <w:tcW w:w="902" w:type="pct"/>
            <w:shd w:val="clear" w:color="auto" w:fill="auto"/>
            <w:vAlign w:val="center"/>
          </w:tcPr>
          <w:p w14:paraId="18309CD1" w14:textId="77777777" w:rsidR="007376E1" w:rsidRPr="001570EA" w:rsidRDefault="007376E1">
            <w:pPr>
              <w:jc w:val="center"/>
              <w:rPr>
                <w:rFonts w:cs="Arial"/>
                <w:color w:val="000000"/>
                <w:sz w:val="18"/>
                <w:szCs w:val="18"/>
              </w:rPr>
            </w:pPr>
            <w:r w:rsidRPr="001570EA">
              <w:rPr>
                <w:rFonts w:cs="Arial"/>
                <w:color w:val="000000"/>
                <w:sz w:val="18"/>
                <w:szCs w:val="18"/>
              </w:rPr>
              <w:t>77.78%</w:t>
            </w:r>
          </w:p>
        </w:tc>
      </w:tr>
      <w:tr w:rsidR="007376E1" w:rsidRPr="001570EA" w14:paraId="110971BA" w14:textId="77777777">
        <w:trPr>
          <w:trHeight w:val="288"/>
        </w:trPr>
        <w:tc>
          <w:tcPr>
            <w:tcW w:w="1770" w:type="pct"/>
            <w:vAlign w:val="center"/>
          </w:tcPr>
          <w:p w14:paraId="4B422AA7" w14:textId="77777777" w:rsidR="007376E1" w:rsidRPr="001570EA" w:rsidRDefault="007376E1">
            <w:pPr>
              <w:jc w:val="left"/>
              <w:rPr>
                <w:rFonts w:cs="Arial"/>
                <w:color w:val="000000"/>
                <w:sz w:val="18"/>
                <w:szCs w:val="18"/>
              </w:rPr>
            </w:pPr>
            <w:r w:rsidRPr="001570EA">
              <w:rPr>
                <w:rFonts w:cs="Arial"/>
                <w:color w:val="000000"/>
                <w:sz w:val="18"/>
                <w:szCs w:val="18"/>
              </w:rPr>
              <w:t>FE: Penn Power</w:t>
            </w:r>
          </w:p>
        </w:tc>
        <w:tc>
          <w:tcPr>
            <w:tcW w:w="1171" w:type="pct"/>
            <w:shd w:val="clear" w:color="auto" w:fill="auto"/>
            <w:vAlign w:val="center"/>
          </w:tcPr>
          <w:p w14:paraId="446B37C9" w14:textId="77777777" w:rsidR="007376E1" w:rsidRPr="001570EA" w:rsidRDefault="007376E1">
            <w:pPr>
              <w:jc w:val="center"/>
              <w:rPr>
                <w:rFonts w:cs="Arial"/>
                <w:color w:val="000000"/>
                <w:sz w:val="18"/>
                <w:szCs w:val="18"/>
              </w:rPr>
            </w:pPr>
            <w:r w:rsidRPr="001570EA">
              <w:rPr>
                <w:rFonts w:cs="Arial"/>
                <w:color w:val="000000"/>
                <w:sz w:val="18"/>
                <w:szCs w:val="18"/>
              </w:rPr>
              <w:t>13.64%</w:t>
            </w:r>
          </w:p>
        </w:tc>
        <w:tc>
          <w:tcPr>
            <w:tcW w:w="1157" w:type="pct"/>
            <w:shd w:val="clear" w:color="auto" w:fill="auto"/>
            <w:vAlign w:val="center"/>
          </w:tcPr>
          <w:p w14:paraId="6048022B" w14:textId="77777777" w:rsidR="007376E1" w:rsidRPr="001570EA" w:rsidRDefault="007376E1">
            <w:pPr>
              <w:jc w:val="center"/>
              <w:rPr>
                <w:rFonts w:cs="Arial"/>
                <w:color w:val="000000"/>
                <w:sz w:val="18"/>
                <w:szCs w:val="18"/>
              </w:rPr>
            </w:pPr>
            <w:r w:rsidRPr="001570EA">
              <w:rPr>
                <w:rFonts w:cs="Arial"/>
                <w:color w:val="000000"/>
                <w:sz w:val="18"/>
                <w:szCs w:val="18"/>
              </w:rPr>
              <w:t>4.55%</w:t>
            </w:r>
          </w:p>
        </w:tc>
        <w:tc>
          <w:tcPr>
            <w:tcW w:w="902" w:type="pct"/>
            <w:shd w:val="clear" w:color="auto" w:fill="auto"/>
            <w:vAlign w:val="center"/>
          </w:tcPr>
          <w:p w14:paraId="458817E4" w14:textId="77777777" w:rsidR="007376E1" w:rsidRPr="001570EA" w:rsidRDefault="007376E1">
            <w:pPr>
              <w:jc w:val="center"/>
              <w:rPr>
                <w:rFonts w:cs="Arial"/>
                <w:color w:val="000000"/>
                <w:sz w:val="18"/>
                <w:szCs w:val="18"/>
              </w:rPr>
            </w:pPr>
            <w:r w:rsidRPr="001570EA">
              <w:rPr>
                <w:rFonts w:cs="Arial"/>
                <w:color w:val="000000"/>
                <w:sz w:val="18"/>
                <w:szCs w:val="18"/>
              </w:rPr>
              <w:t>81.82%</w:t>
            </w:r>
          </w:p>
        </w:tc>
      </w:tr>
      <w:tr w:rsidR="007376E1" w:rsidRPr="001570EA" w14:paraId="1ECA16C5" w14:textId="77777777">
        <w:trPr>
          <w:trHeight w:val="288"/>
        </w:trPr>
        <w:tc>
          <w:tcPr>
            <w:tcW w:w="1770" w:type="pct"/>
            <w:vAlign w:val="center"/>
          </w:tcPr>
          <w:p w14:paraId="325CB5A0" w14:textId="77777777" w:rsidR="007376E1" w:rsidRPr="001570EA" w:rsidRDefault="007376E1">
            <w:pPr>
              <w:jc w:val="left"/>
              <w:rPr>
                <w:rFonts w:cs="Arial"/>
                <w:color w:val="000000"/>
                <w:sz w:val="18"/>
                <w:szCs w:val="18"/>
              </w:rPr>
            </w:pPr>
            <w:r w:rsidRPr="001570EA">
              <w:rPr>
                <w:rFonts w:cs="Arial"/>
                <w:color w:val="000000"/>
                <w:sz w:val="18"/>
                <w:szCs w:val="18"/>
              </w:rPr>
              <w:t>FE: West Penn</w:t>
            </w:r>
          </w:p>
        </w:tc>
        <w:tc>
          <w:tcPr>
            <w:tcW w:w="1171" w:type="pct"/>
            <w:shd w:val="clear" w:color="auto" w:fill="auto"/>
            <w:vAlign w:val="center"/>
          </w:tcPr>
          <w:p w14:paraId="29B098C9" w14:textId="77777777" w:rsidR="007376E1" w:rsidRPr="001570EA" w:rsidRDefault="007376E1">
            <w:pPr>
              <w:jc w:val="center"/>
              <w:rPr>
                <w:rFonts w:cs="Arial"/>
                <w:color w:val="000000"/>
                <w:sz w:val="18"/>
                <w:szCs w:val="18"/>
              </w:rPr>
            </w:pPr>
            <w:r w:rsidRPr="001570EA">
              <w:rPr>
                <w:rFonts w:cs="Arial"/>
                <w:color w:val="000000"/>
                <w:sz w:val="18"/>
                <w:szCs w:val="18"/>
              </w:rPr>
              <w:t>29.41%</w:t>
            </w:r>
          </w:p>
        </w:tc>
        <w:tc>
          <w:tcPr>
            <w:tcW w:w="1157" w:type="pct"/>
            <w:shd w:val="clear" w:color="auto" w:fill="auto"/>
            <w:vAlign w:val="center"/>
          </w:tcPr>
          <w:p w14:paraId="76E232CE" w14:textId="77777777" w:rsidR="007376E1" w:rsidRPr="001570EA" w:rsidRDefault="007376E1">
            <w:pPr>
              <w:jc w:val="center"/>
              <w:rPr>
                <w:rFonts w:cs="Arial"/>
                <w:color w:val="000000"/>
                <w:sz w:val="18"/>
                <w:szCs w:val="18"/>
              </w:rPr>
            </w:pPr>
            <w:r w:rsidRPr="001570EA">
              <w:rPr>
                <w:rFonts w:cs="Arial"/>
                <w:color w:val="000000"/>
                <w:sz w:val="18"/>
                <w:szCs w:val="18"/>
              </w:rPr>
              <w:t>0.00%</w:t>
            </w:r>
          </w:p>
        </w:tc>
        <w:tc>
          <w:tcPr>
            <w:tcW w:w="902" w:type="pct"/>
            <w:shd w:val="clear" w:color="auto" w:fill="auto"/>
            <w:vAlign w:val="center"/>
          </w:tcPr>
          <w:p w14:paraId="5EC3F63B" w14:textId="77777777" w:rsidR="007376E1" w:rsidRPr="001570EA" w:rsidRDefault="007376E1">
            <w:pPr>
              <w:jc w:val="center"/>
              <w:rPr>
                <w:rFonts w:cs="Arial"/>
                <w:color w:val="000000"/>
                <w:sz w:val="18"/>
                <w:szCs w:val="18"/>
              </w:rPr>
            </w:pPr>
            <w:r w:rsidRPr="001570EA">
              <w:rPr>
                <w:rFonts w:cs="Arial"/>
                <w:color w:val="000000"/>
                <w:sz w:val="18"/>
                <w:szCs w:val="18"/>
              </w:rPr>
              <w:t>70.59%</w:t>
            </w:r>
          </w:p>
        </w:tc>
      </w:tr>
    </w:tbl>
    <w:p w14:paraId="49D8352B" w14:textId="77777777" w:rsidR="007376E1" w:rsidRPr="001570EA" w:rsidRDefault="007376E1" w:rsidP="007376E1">
      <w:pPr>
        <w:pStyle w:val="SubStyle"/>
        <w:rPr>
          <w:rFonts w:eastAsia="Calibri"/>
        </w:rPr>
      </w:pPr>
    </w:p>
    <w:p w14:paraId="067C95E8" w14:textId="77777777" w:rsidR="007376E1" w:rsidRPr="001570EA" w:rsidRDefault="007376E1" w:rsidP="007376E1">
      <w:pPr>
        <w:pStyle w:val="SubStyle"/>
        <w:rPr>
          <w:rFonts w:eastAsia="Calibri"/>
        </w:rPr>
      </w:pPr>
      <w:r w:rsidRPr="001570EA">
        <w:rPr>
          <w:rFonts w:eastAsia="Calibri"/>
        </w:rPr>
        <w:t>Evaluation Protocols</w:t>
      </w:r>
    </w:p>
    <w:p w14:paraId="748F8C3E" w14:textId="77777777" w:rsidR="007376E1" w:rsidRPr="001570EA" w:rsidRDefault="007376E1" w:rsidP="007376E1">
      <w:pPr>
        <w:pStyle w:val="BodyText"/>
        <w:ind w:right="0"/>
      </w:pPr>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Evaluation contractors may choose to propose independent assessments of the ESF factors to the SWE in their EM&amp;V plans. The Pennsylvania Evaluation Framework provides specific guidelines and requirements for evaluation procedures.</w:t>
      </w:r>
    </w:p>
    <w:p w14:paraId="420411BF" w14:textId="77777777" w:rsidR="007376E1" w:rsidRPr="001570EA" w:rsidRDefault="007376E1" w:rsidP="007376E1">
      <w:pPr>
        <w:pStyle w:val="BodyText"/>
        <w:ind w:right="0"/>
      </w:pPr>
    </w:p>
    <w:p w14:paraId="3129A388" w14:textId="77777777" w:rsidR="007376E1" w:rsidRPr="001570EA" w:rsidRDefault="007376E1" w:rsidP="007376E1">
      <w:pPr>
        <w:pStyle w:val="SubStyle"/>
      </w:pPr>
      <w:r w:rsidRPr="001570EA">
        <w:t>Sources</w:t>
      </w:r>
    </w:p>
    <w:p w14:paraId="25735566" w14:textId="56E6812E" w:rsidR="007376E1" w:rsidRPr="001570EA" w:rsidRDefault="007376E1" w:rsidP="002614D2">
      <w:pPr>
        <w:pStyle w:val="source10"/>
        <w:numPr>
          <w:ilvl w:val="0"/>
          <w:numId w:val="16"/>
        </w:numPr>
        <w:spacing w:after="120"/>
        <w:ind w:left="360"/>
        <w:jc w:val="left"/>
        <w:rPr>
          <w:rFonts w:eastAsia="Calibri"/>
        </w:rPr>
      </w:pPr>
      <w:r w:rsidRPr="001570EA">
        <w:t>California Electronic Technical Reference Manual. “Smart Thermostat Residential”. Accessed August 2023</w:t>
      </w:r>
      <w:r w:rsidR="002C1D03">
        <w:t>.</w:t>
      </w:r>
      <w:r w:rsidRPr="001570EA">
        <w:t xml:space="preserve"> </w:t>
      </w:r>
      <w:hyperlink r:id="rId110" w:history="1">
        <w:r w:rsidRPr="001570EA">
          <w:rPr>
            <w:rStyle w:val="Hyperlink"/>
            <w:rFonts w:cs="Arial"/>
          </w:rPr>
          <w:t>Weblink</w:t>
        </w:r>
      </w:hyperlink>
    </w:p>
    <w:p w14:paraId="549FFE59" w14:textId="251F4B45" w:rsidR="007376E1" w:rsidRPr="001570EA" w:rsidRDefault="007376E1" w:rsidP="002614D2">
      <w:pPr>
        <w:pStyle w:val="source10"/>
        <w:numPr>
          <w:ilvl w:val="0"/>
          <w:numId w:val="16"/>
        </w:numPr>
        <w:spacing w:after="120"/>
        <w:ind w:left="360"/>
        <w:jc w:val="left"/>
      </w:pPr>
      <w:r w:rsidRPr="001570EA">
        <w:t>ENERGY STAR Program Requirements for Connected Thermostat Products V1.0</w:t>
      </w:r>
      <w:r w:rsidR="00AF065B">
        <w:t xml:space="preserve">. </w:t>
      </w:r>
      <w:hyperlink r:id="rId111" w:history="1">
        <w:r w:rsidR="00AF065B" w:rsidRPr="001570EA">
          <w:rPr>
            <w:rStyle w:val="Hyperlink"/>
          </w:rPr>
          <w:t>Weblink</w:t>
        </w:r>
      </w:hyperlink>
    </w:p>
    <w:p w14:paraId="18ED8370" w14:textId="3C975C20" w:rsidR="007376E1" w:rsidRPr="001570EA" w:rsidRDefault="007376E1" w:rsidP="002614D2">
      <w:pPr>
        <w:pStyle w:val="source10"/>
        <w:numPr>
          <w:ilvl w:val="0"/>
          <w:numId w:val="16"/>
        </w:numPr>
        <w:spacing w:after="120"/>
        <w:ind w:left="360"/>
        <w:jc w:val="left"/>
        <w:rPr>
          <w:rFonts w:eastAsia="Calibri"/>
        </w:rPr>
      </w:pPr>
      <w:r w:rsidRPr="001570EA">
        <w:t xml:space="preserve">NMR Group for the </w:t>
      </w:r>
      <w:r w:rsidRPr="001570EA">
        <w:rPr>
          <w:rFonts w:eastAsia="Calibri"/>
        </w:rPr>
        <w:t xml:space="preserve">Pennsylvania </w:t>
      </w:r>
      <w:r w:rsidRPr="001570EA">
        <w:t>Public Utility Commission. (</w:t>
      </w:r>
      <w:r w:rsidR="00647B4D" w:rsidRPr="001570EA">
        <w:t>2024</w:t>
      </w:r>
      <w:r w:rsidRPr="001570EA">
        <w:t>, M</w:t>
      </w:r>
      <w:r w:rsidR="00647B4D" w:rsidRPr="001570EA">
        <w:t>arch</w:t>
      </w:r>
      <w:r w:rsidRPr="001570EA">
        <w:t xml:space="preserve">). 2023 Pennsylvania Statewide </w:t>
      </w:r>
      <w:r w:rsidRPr="001570EA">
        <w:rPr>
          <w:rFonts w:eastAsia="Calibri"/>
        </w:rPr>
        <w:t xml:space="preserve">Act 129 Residential Baseline Study </w:t>
      </w:r>
      <w:hyperlink r:id="rId112" w:history="1">
        <w:r w:rsidRPr="001570EA">
          <w:rPr>
            <w:rStyle w:val="Hyperlink"/>
            <w:rFonts w:cs="Arial"/>
          </w:rPr>
          <w:t>Weblink</w:t>
        </w:r>
      </w:hyperlink>
      <w:r w:rsidRPr="001570EA">
        <w:t xml:space="preserve"> </w:t>
      </w:r>
      <w:r w:rsidRPr="001570EA">
        <w:rPr>
          <w:rFonts w:cs="Times New Roman"/>
        </w:rPr>
        <w:t xml:space="preserve"> </w:t>
      </w:r>
    </w:p>
    <w:p w14:paraId="6AD810C3" w14:textId="07859DAB" w:rsidR="007376E1" w:rsidRPr="001570EA" w:rsidRDefault="007376E1" w:rsidP="002614D2">
      <w:pPr>
        <w:pStyle w:val="source10"/>
        <w:numPr>
          <w:ilvl w:val="0"/>
          <w:numId w:val="16"/>
        </w:numPr>
        <w:spacing w:after="120"/>
        <w:ind w:left="360"/>
        <w:jc w:val="left"/>
        <w:rPr>
          <w:rFonts w:eastAsia="Calibri"/>
        </w:rPr>
      </w:pPr>
      <w:r w:rsidRPr="001570EA">
        <w:t>Better Duct Systems for Home Heating and Cooling, U.S. Department of Energy. Assuming for an improved duct system with insulation levels at R-8 and leakage at 5% of the system fan flow</w:t>
      </w:r>
      <w:r w:rsidR="00F51D09">
        <w:t>.</w:t>
      </w:r>
      <w:r w:rsidRPr="001570EA">
        <w:t xml:space="preserve"> </w:t>
      </w:r>
      <w:hyperlink r:id="rId113" w:history="1">
        <w:r w:rsidRPr="001570EA">
          <w:rPr>
            <w:rStyle w:val="Hyperlink"/>
            <w:rFonts w:eastAsia="Calibri" w:cs="Arial"/>
          </w:rPr>
          <w:t>Weblink</w:t>
        </w:r>
      </w:hyperlink>
    </w:p>
    <w:p w14:paraId="7E080811" w14:textId="7BDDF0A0" w:rsidR="007376E1" w:rsidRPr="001570EA" w:rsidRDefault="007376E1" w:rsidP="002614D2">
      <w:pPr>
        <w:pStyle w:val="ListParagraph"/>
        <w:numPr>
          <w:ilvl w:val="0"/>
          <w:numId w:val="16"/>
        </w:numPr>
        <w:overflowPunct/>
        <w:autoSpaceDE/>
        <w:autoSpaceDN/>
        <w:adjustRightInd/>
        <w:ind w:left="360"/>
        <w:jc w:val="left"/>
        <w:textAlignment w:val="auto"/>
      </w:pPr>
      <w:r w:rsidRPr="001570EA">
        <w:t>Based on the Phase III SWE team’s analysis of regional HVAC runtime data collected from ecobee’s Donate Your Data research service (</w:t>
      </w:r>
      <w:hyperlink r:id="rId114" w:history="1">
        <w:r w:rsidRPr="001570EA">
          <w:rPr>
            <w:rStyle w:val="Hyperlink"/>
          </w:rPr>
          <w:t>Weblink</w:t>
        </w:r>
      </w:hyperlink>
      <w:r w:rsidRPr="001570EA">
        <w:t>) and updated based on the latest CDD and HDD values from NOAA’s 15-year annual climate Normals (2006–2020) (</w:t>
      </w:r>
      <w:hyperlink r:id="rId115" w:history="1">
        <w:r w:rsidRPr="001570EA">
          <w:rPr>
            <w:rStyle w:val="Hyperlink"/>
          </w:rPr>
          <w:t>Weblink</w:t>
        </w:r>
      </w:hyperlink>
      <w:r w:rsidRPr="001570EA">
        <w:t>)</w:t>
      </w:r>
    </w:p>
    <w:p w14:paraId="152A5E81" w14:textId="1E77BCE3" w:rsidR="007376E1" w:rsidRPr="001570EA" w:rsidRDefault="007376E1" w:rsidP="002614D2">
      <w:pPr>
        <w:pStyle w:val="source10"/>
        <w:numPr>
          <w:ilvl w:val="0"/>
          <w:numId w:val="16"/>
        </w:numPr>
        <w:spacing w:after="120"/>
        <w:ind w:left="360"/>
        <w:jc w:val="left"/>
        <w:rPr>
          <w:rFonts w:eastAsia="Calibri"/>
        </w:rPr>
      </w:pPr>
      <w:r w:rsidRPr="001570EA">
        <w:t xml:space="preserve">Engineering judgement with data referenced from Guidehouse’s econometric analysis in optimizing Connected Thermostats placed in the Illinois Statewide Technical Reference Manual. (2023, version 11.0). </w:t>
      </w:r>
      <w:hyperlink r:id="rId116" w:anchor="page=1219" w:history="1">
        <w:r w:rsidRPr="001570EA">
          <w:rPr>
            <w:rStyle w:val="Hyperlink"/>
            <w:rFonts w:cs="Arial"/>
          </w:rPr>
          <w:t>Weblink</w:t>
        </w:r>
      </w:hyperlink>
      <w:r w:rsidRPr="001570EA">
        <w:t xml:space="preserve">  </w:t>
      </w:r>
    </w:p>
    <w:p w14:paraId="157824C0" w14:textId="77777777" w:rsidR="007376E1" w:rsidRPr="001570EA" w:rsidRDefault="007376E1" w:rsidP="002614D2">
      <w:pPr>
        <w:pStyle w:val="source10"/>
        <w:numPr>
          <w:ilvl w:val="0"/>
          <w:numId w:val="16"/>
        </w:numPr>
        <w:spacing w:after="120"/>
        <w:ind w:left="360"/>
        <w:jc w:val="left"/>
      </w:pPr>
      <w:r w:rsidRPr="001570EA">
        <w:t>Navigant Consulting, Inc. for the Illinois Stakeholder Advisory Group. (2016). Illinois Smart Thermostat – Annual and Seasonal kWh Savings – Impact Findings</w:t>
      </w:r>
    </w:p>
    <w:p w14:paraId="3D26A1D5" w14:textId="15B60B19" w:rsidR="007376E1" w:rsidRPr="001570EA" w:rsidRDefault="007376E1" w:rsidP="002614D2">
      <w:pPr>
        <w:pStyle w:val="source10"/>
        <w:numPr>
          <w:ilvl w:val="0"/>
          <w:numId w:val="16"/>
        </w:numPr>
        <w:spacing w:after="120"/>
        <w:ind w:left="360"/>
        <w:jc w:val="left"/>
      </w:pPr>
      <w:r w:rsidRPr="001570EA">
        <w:t xml:space="preserve">EnerNOC for Xcel Energy. (2014). In-Home Smart Devices Pilot Program Impact Evaluation Results, 2012-2013. </w:t>
      </w:r>
      <w:hyperlink r:id="rId117" w:history="1">
        <w:r w:rsidRPr="001570EA">
          <w:rPr>
            <w:rStyle w:val="Hyperlink"/>
            <w:rFonts w:cs="Arial"/>
          </w:rPr>
          <w:t>Weblink</w:t>
        </w:r>
      </w:hyperlink>
    </w:p>
    <w:p w14:paraId="0E1B382E" w14:textId="084FE97C" w:rsidR="007376E1" w:rsidRPr="001570EA" w:rsidRDefault="007376E1" w:rsidP="002614D2">
      <w:pPr>
        <w:pStyle w:val="source10"/>
        <w:numPr>
          <w:ilvl w:val="0"/>
          <w:numId w:val="16"/>
        </w:numPr>
        <w:spacing w:after="120"/>
        <w:ind w:left="360"/>
        <w:jc w:val="left"/>
        <w:rPr>
          <w:rFonts w:eastAsia="Calibri"/>
        </w:rPr>
      </w:pPr>
      <w:r w:rsidRPr="001570EA">
        <w:t xml:space="preserve">The Cadmus Group, Inc. for Vectren Corporation. (2015).  Evaluation of the 2013–2014 Programmable and Smart Thermostat Program. </w:t>
      </w:r>
      <w:hyperlink r:id="rId118" w:history="1">
        <w:r w:rsidRPr="001570EA">
          <w:rPr>
            <w:rStyle w:val="Hyperlink"/>
            <w:rFonts w:cs="Arial"/>
          </w:rPr>
          <w:t>Weblink</w:t>
        </w:r>
      </w:hyperlink>
    </w:p>
    <w:p w14:paraId="45470158" w14:textId="79DC5DB9" w:rsidR="007376E1" w:rsidRPr="001570EA" w:rsidRDefault="007376E1" w:rsidP="002614D2">
      <w:pPr>
        <w:pStyle w:val="source10"/>
        <w:numPr>
          <w:ilvl w:val="0"/>
          <w:numId w:val="16"/>
        </w:numPr>
        <w:spacing w:after="120"/>
        <w:ind w:left="360"/>
        <w:jc w:val="left"/>
      </w:pPr>
      <w:r w:rsidRPr="001570EA">
        <w:t xml:space="preserve">Apex Analytics LLC for Energy Trust of Oregon. (2016). Energy Trust of Oregon Smart Thermostat Pilot Evaluation. </w:t>
      </w:r>
      <w:hyperlink r:id="rId119" w:history="1">
        <w:r w:rsidRPr="001570EA">
          <w:rPr>
            <w:rStyle w:val="Hyperlink"/>
            <w:rFonts w:cs="Arial"/>
          </w:rPr>
          <w:t>Weblink</w:t>
        </w:r>
      </w:hyperlink>
    </w:p>
    <w:p w14:paraId="500B757E" w14:textId="4667C3C1" w:rsidR="007376E1" w:rsidRPr="001570EA" w:rsidRDefault="007376E1" w:rsidP="002614D2">
      <w:pPr>
        <w:pStyle w:val="source10"/>
        <w:numPr>
          <w:ilvl w:val="0"/>
          <w:numId w:val="16"/>
        </w:numPr>
        <w:spacing w:after="120"/>
        <w:ind w:left="360"/>
        <w:jc w:val="left"/>
        <w:rPr>
          <w:rStyle w:val="Hyperlink"/>
          <w:rFonts w:cs="Arial"/>
          <w:color w:val="auto"/>
          <w:u w:val="none"/>
        </w:rPr>
      </w:pPr>
      <w:r w:rsidRPr="001570EA">
        <w:t xml:space="preserve">The Cadmus Group, Inc. for The Electric and Gas Program Administrators of Massachusetts. (2012). Wi-Fi Programmable Controllable Thermostat Pilot Program Evaluation. </w:t>
      </w:r>
      <w:hyperlink r:id="rId120" w:history="1">
        <w:r w:rsidRPr="001570EA">
          <w:rPr>
            <w:rStyle w:val="Hyperlink"/>
            <w:rFonts w:cs="Arial"/>
          </w:rPr>
          <w:t>Weblink</w:t>
        </w:r>
      </w:hyperlink>
    </w:p>
    <w:p w14:paraId="62A74B85" w14:textId="03D47EE6" w:rsidR="007376E1" w:rsidRPr="001570EA" w:rsidRDefault="007376E1" w:rsidP="002614D2">
      <w:pPr>
        <w:pStyle w:val="source10"/>
        <w:numPr>
          <w:ilvl w:val="0"/>
          <w:numId w:val="16"/>
        </w:numPr>
        <w:spacing w:after="120"/>
        <w:ind w:left="360"/>
        <w:jc w:val="left"/>
      </w:pPr>
      <w:r w:rsidRPr="001570EA">
        <w:t xml:space="preserve">Navigant Consulting, Inc. for the Illinois Stakeholder Advisory Group. (2015). Residential Smart Thermostats: Impact Analysis – Gas Preliminary Findings. </w:t>
      </w:r>
    </w:p>
    <w:p w14:paraId="47092AF9" w14:textId="6F150096" w:rsidR="007376E1" w:rsidRPr="001570EA" w:rsidRDefault="007376E1" w:rsidP="002614D2">
      <w:pPr>
        <w:pStyle w:val="source10"/>
        <w:numPr>
          <w:ilvl w:val="0"/>
          <w:numId w:val="16"/>
        </w:numPr>
        <w:spacing w:after="120"/>
        <w:ind w:left="360"/>
        <w:jc w:val="left"/>
        <w:rPr>
          <w:rStyle w:val="Hyperlink"/>
          <w:rFonts w:cs="Arial"/>
          <w:color w:val="auto"/>
          <w:u w:val="none"/>
        </w:rPr>
      </w:pPr>
      <w:r w:rsidRPr="001570EA">
        <w:t xml:space="preserve">Apex Analytics LLC for Energy Trust of Oregon. (2014). Energy Trust of Oregon Nest Thermostat Heat Pump Control Pilot Evaluation. </w:t>
      </w:r>
      <w:hyperlink r:id="rId121" w:history="1">
        <w:r w:rsidRPr="001570EA">
          <w:rPr>
            <w:rStyle w:val="Hyperlink"/>
            <w:rFonts w:cs="Arial"/>
          </w:rPr>
          <w:t>Weblink</w:t>
        </w:r>
      </w:hyperlink>
    </w:p>
    <w:p w14:paraId="45C25D63" w14:textId="77777777" w:rsidR="007376E1" w:rsidRPr="001570EA" w:rsidRDefault="007376E1" w:rsidP="007376E1">
      <w:pPr>
        <w:pStyle w:val="source10"/>
        <w:spacing w:after="120"/>
        <w:jc w:val="left"/>
      </w:pPr>
    </w:p>
    <w:p w14:paraId="4C856B04" w14:textId="77777777" w:rsidR="007376E1" w:rsidRPr="001570EA" w:rsidRDefault="007376E1" w:rsidP="007376E1">
      <w:pPr>
        <w:pStyle w:val="source10"/>
        <w:spacing w:after="120"/>
        <w:jc w:val="left"/>
        <w:textAlignment w:val="auto"/>
        <w:rPr>
          <w:rStyle w:val="Hyperlink"/>
          <w:rFonts w:cs="Arial"/>
        </w:rPr>
      </w:pPr>
    </w:p>
    <w:p w14:paraId="3567604E" w14:textId="77777777" w:rsidR="007376E1" w:rsidRPr="001570EA" w:rsidRDefault="007376E1" w:rsidP="007376E1">
      <w:pPr>
        <w:pStyle w:val="source10"/>
        <w:spacing w:after="120"/>
        <w:jc w:val="left"/>
        <w:textAlignment w:val="auto"/>
        <w:rPr>
          <w:rStyle w:val="Hyperlink"/>
          <w:rFonts w:cs="Arial"/>
        </w:rPr>
        <w:sectPr w:rsidR="007376E1" w:rsidRPr="001570EA" w:rsidSect="002D556C">
          <w:pgSz w:w="12240" w:h="15840"/>
          <w:pgMar w:top="1440" w:right="1800" w:bottom="1440" w:left="1800" w:header="720" w:footer="501" w:gutter="0"/>
          <w:cols w:space="720"/>
        </w:sectPr>
      </w:pPr>
    </w:p>
    <w:p w14:paraId="59E660BC" w14:textId="77777777" w:rsidR="007376E1" w:rsidRPr="001570EA" w:rsidRDefault="007376E1" w:rsidP="00462D97">
      <w:pPr>
        <w:pStyle w:val="Heading3"/>
      </w:pPr>
      <w:bookmarkStart w:id="320" w:name="_Toc48143027"/>
      <w:bookmarkStart w:id="321" w:name="_Toc164786646"/>
      <w:r w:rsidRPr="001570EA">
        <w:t>Furnace Maintenance</w:t>
      </w:r>
      <w:bookmarkEnd w:id="320"/>
      <w:bookmarkEnd w:id="3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5796"/>
      </w:tblGrid>
      <w:tr w:rsidR="007376E1" w:rsidRPr="001570EA" w14:paraId="1A27FD02" w14:textId="77777777">
        <w:trPr>
          <w:trHeight w:val="302"/>
          <w:jc w:val="center"/>
        </w:trPr>
        <w:tc>
          <w:tcPr>
            <w:tcW w:w="2834" w:type="dxa"/>
            <w:shd w:val="clear" w:color="auto" w:fill="auto"/>
          </w:tcPr>
          <w:p w14:paraId="7619E250" w14:textId="77777777" w:rsidR="007376E1" w:rsidRPr="001570EA" w:rsidRDefault="007376E1">
            <w:pPr>
              <w:pStyle w:val="TableCell"/>
              <w:spacing w:before="60" w:after="60"/>
              <w:rPr>
                <w:b/>
                <w:bCs/>
              </w:rPr>
            </w:pPr>
            <w:r w:rsidRPr="001570EA">
              <w:rPr>
                <w:b/>
                <w:bCs/>
              </w:rPr>
              <w:t>Target Sector</w:t>
            </w:r>
          </w:p>
        </w:tc>
        <w:tc>
          <w:tcPr>
            <w:tcW w:w="5796" w:type="dxa"/>
            <w:shd w:val="clear" w:color="auto" w:fill="auto"/>
          </w:tcPr>
          <w:p w14:paraId="5A0C04FB" w14:textId="77777777" w:rsidR="007376E1" w:rsidRPr="001570EA" w:rsidRDefault="007376E1">
            <w:pPr>
              <w:pStyle w:val="TableCell"/>
              <w:spacing w:before="60" w:after="60"/>
              <w:jc w:val="center"/>
              <w:rPr>
                <w:rFonts w:ascii="Arial,Arial Unicode MS" w:eastAsia="Arial,Arial Unicode MS" w:hAnsi="Arial,Arial Unicode MS" w:cs="Arial,Arial Unicode MS"/>
                <w:i/>
                <w:sz w:val="20"/>
              </w:rPr>
            </w:pPr>
            <w:r w:rsidRPr="001570EA">
              <w:t>Residential</w:t>
            </w:r>
          </w:p>
        </w:tc>
      </w:tr>
      <w:tr w:rsidR="007376E1" w:rsidRPr="001570EA" w14:paraId="1E0EB362" w14:textId="77777777">
        <w:trPr>
          <w:trHeight w:val="302"/>
          <w:jc w:val="center"/>
        </w:trPr>
        <w:tc>
          <w:tcPr>
            <w:tcW w:w="2834" w:type="dxa"/>
            <w:shd w:val="clear" w:color="auto" w:fill="auto"/>
          </w:tcPr>
          <w:p w14:paraId="0B21F7D1" w14:textId="77777777" w:rsidR="007376E1" w:rsidRPr="001570EA" w:rsidRDefault="007376E1">
            <w:pPr>
              <w:pStyle w:val="TableCell"/>
              <w:spacing w:before="60" w:after="60"/>
              <w:rPr>
                <w:b/>
                <w:bCs/>
                <w:sz w:val="20"/>
              </w:rPr>
            </w:pPr>
            <w:r w:rsidRPr="001570EA">
              <w:rPr>
                <w:b/>
                <w:bCs/>
              </w:rPr>
              <w:t>Measure Unit</w:t>
            </w:r>
          </w:p>
        </w:tc>
        <w:tc>
          <w:tcPr>
            <w:tcW w:w="5796" w:type="dxa"/>
            <w:shd w:val="clear" w:color="auto" w:fill="auto"/>
          </w:tcPr>
          <w:p w14:paraId="312CC858" w14:textId="77777777" w:rsidR="007376E1" w:rsidRPr="001570EA" w:rsidRDefault="007376E1">
            <w:pPr>
              <w:pStyle w:val="TableCell"/>
              <w:spacing w:before="60" w:after="60"/>
              <w:jc w:val="center"/>
              <w:rPr>
                <w:rFonts w:ascii="Arial,Arial Unicode MS" w:eastAsia="Arial,Arial Unicode MS" w:hAnsi="Arial,Arial Unicode MS" w:cs="Arial,Arial Unicode MS"/>
                <w:i/>
                <w:sz w:val="20"/>
              </w:rPr>
            </w:pPr>
            <w:r w:rsidRPr="001570EA">
              <w:t>Per Furnace</w:t>
            </w:r>
          </w:p>
        </w:tc>
      </w:tr>
      <w:tr w:rsidR="007376E1" w:rsidRPr="001570EA" w14:paraId="6E4000E6" w14:textId="77777777">
        <w:trPr>
          <w:trHeight w:val="302"/>
          <w:jc w:val="center"/>
        </w:trPr>
        <w:tc>
          <w:tcPr>
            <w:tcW w:w="2834" w:type="dxa"/>
            <w:shd w:val="clear" w:color="auto" w:fill="auto"/>
          </w:tcPr>
          <w:p w14:paraId="35048128" w14:textId="77777777" w:rsidR="007376E1" w:rsidRPr="001570EA" w:rsidRDefault="007376E1">
            <w:pPr>
              <w:pStyle w:val="TableCell"/>
              <w:spacing w:before="60" w:after="60"/>
              <w:rPr>
                <w:b/>
                <w:bCs/>
                <w:sz w:val="20"/>
              </w:rPr>
            </w:pPr>
            <w:r w:rsidRPr="001570EA">
              <w:rPr>
                <w:b/>
                <w:bCs/>
              </w:rPr>
              <w:t>Measure Life</w:t>
            </w:r>
          </w:p>
        </w:tc>
        <w:tc>
          <w:tcPr>
            <w:tcW w:w="5796" w:type="dxa"/>
            <w:shd w:val="clear" w:color="auto" w:fill="auto"/>
          </w:tcPr>
          <w:p w14:paraId="08DBAB1C" w14:textId="77777777" w:rsidR="007376E1" w:rsidRPr="001570EA" w:rsidRDefault="007376E1">
            <w:pPr>
              <w:pStyle w:val="TableCell"/>
              <w:spacing w:before="60" w:after="60"/>
              <w:jc w:val="center"/>
              <w:rPr>
                <w:rFonts w:ascii="Arial,Arial Unicode MS" w:eastAsia="Arial,Arial Unicode MS" w:hAnsi="Arial,Arial Unicode MS" w:cs="Arial,Arial Unicode MS"/>
                <w:i/>
                <w:sz w:val="20"/>
              </w:rPr>
            </w:pPr>
            <w:r w:rsidRPr="001570EA">
              <w:t>3 years</w:t>
            </w:r>
            <w:r w:rsidRPr="001570EA">
              <w:rPr>
                <w:vertAlign w:val="superscript"/>
              </w:rPr>
              <w:t xml:space="preserve">Source </w:t>
            </w:r>
            <w:r w:rsidRPr="001570EA">
              <w:rPr>
                <w:rStyle w:val="FootnoteReference"/>
              </w:rPr>
              <w:t>1</w:t>
            </w:r>
          </w:p>
        </w:tc>
      </w:tr>
      <w:tr w:rsidR="007376E1" w:rsidRPr="001570EA" w14:paraId="78F958B3" w14:textId="77777777">
        <w:trPr>
          <w:trHeight w:val="302"/>
          <w:jc w:val="center"/>
        </w:trPr>
        <w:tc>
          <w:tcPr>
            <w:tcW w:w="2834" w:type="dxa"/>
            <w:shd w:val="clear" w:color="auto" w:fill="auto"/>
          </w:tcPr>
          <w:p w14:paraId="286F6C72" w14:textId="77777777" w:rsidR="007376E1" w:rsidRPr="001570EA" w:rsidRDefault="007376E1">
            <w:pPr>
              <w:pStyle w:val="TableCell"/>
              <w:spacing w:before="60" w:after="60"/>
              <w:rPr>
                <w:b/>
                <w:bCs/>
              </w:rPr>
            </w:pPr>
            <w:r w:rsidRPr="001570EA">
              <w:rPr>
                <w:b/>
                <w:bCs/>
              </w:rPr>
              <w:t>Vintage</w:t>
            </w:r>
          </w:p>
        </w:tc>
        <w:tc>
          <w:tcPr>
            <w:tcW w:w="5796" w:type="dxa"/>
            <w:shd w:val="clear" w:color="auto" w:fill="auto"/>
          </w:tcPr>
          <w:p w14:paraId="55A012AD" w14:textId="77777777" w:rsidR="007376E1" w:rsidRPr="001570EA" w:rsidRDefault="007376E1">
            <w:pPr>
              <w:pStyle w:val="TableCell"/>
              <w:spacing w:before="60" w:after="60"/>
              <w:jc w:val="center"/>
            </w:pPr>
            <w:r w:rsidRPr="001570EA">
              <w:t>Retrofit</w:t>
            </w:r>
          </w:p>
        </w:tc>
      </w:tr>
    </w:tbl>
    <w:p w14:paraId="10CCD3C6" w14:textId="77777777" w:rsidR="007376E1" w:rsidRPr="001570EA" w:rsidRDefault="007376E1" w:rsidP="007376E1">
      <w:pPr>
        <w:pStyle w:val="NoSpacing"/>
      </w:pPr>
    </w:p>
    <w:p w14:paraId="1CE51971" w14:textId="77777777" w:rsidR="007376E1" w:rsidRPr="001570EA" w:rsidRDefault="007376E1" w:rsidP="007376E1">
      <w:pPr>
        <w:pStyle w:val="BodyText"/>
      </w:pPr>
      <w:r w:rsidRPr="001570EA">
        <w:t>Regular preventative maintenance of residential furnaces provides numerous potential benefits including increased efficiency, increased comfort, reduced repairs and increased safety. This protocol covers the calculation of energy savings associated with preventative maintenance of a residential furnace.</w:t>
      </w:r>
    </w:p>
    <w:p w14:paraId="1C0DB49B" w14:textId="77777777" w:rsidR="007376E1" w:rsidRPr="001570EA" w:rsidRDefault="007376E1" w:rsidP="007376E1">
      <w:pPr>
        <w:pStyle w:val="BodyText"/>
      </w:pPr>
    </w:p>
    <w:p w14:paraId="54D66CC2" w14:textId="77777777" w:rsidR="007376E1" w:rsidRPr="001570EA" w:rsidRDefault="007376E1" w:rsidP="007376E1">
      <w:pPr>
        <w:pStyle w:val="SubStyle"/>
      </w:pPr>
      <w:r w:rsidRPr="001570EA">
        <w:t>Eligibility</w:t>
      </w:r>
    </w:p>
    <w:p w14:paraId="41172F22" w14:textId="6D62F63B" w:rsidR="007376E1" w:rsidRPr="001570EA" w:rsidRDefault="007376E1" w:rsidP="007376E1">
      <w:r w:rsidRPr="001570EA">
        <w:t>The measure requires that an approved technician inspect, clean</w:t>
      </w:r>
      <w:r w:rsidR="000160E9">
        <w:t>,</w:t>
      </w:r>
      <w:r w:rsidRPr="001570EA">
        <w:t xml:space="preserve"> and adjust the furnace. This service must include the following:</w:t>
      </w:r>
    </w:p>
    <w:p w14:paraId="31781155" w14:textId="77777777" w:rsidR="007376E1" w:rsidRPr="001570EA" w:rsidRDefault="007376E1" w:rsidP="002614D2">
      <w:pPr>
        <w:pStyle w:val="BodyText"/>
        <w:numPr>
          <w:ilvl w:val="0"/>
          <w:numId w:val="30"/>
        </w:numPr>
        <w:spacing w:after="120"/>
        <w:ind w:left="360" w:right="0"/>
        <w:contextualSpacing/>
        <w:jc w:val="left"/>
      </w:pPr>
      <w:r w:rsidRPr="001570EA">
        <w:t>Measure combustion efficiency and temperature rise with flue analyzer</w:t>
      </w:r>
    </w:p>
    <w:p w14:paraId="663DA585" w14:textId="77777777" w:rsidR="007376E1" w:rsidRPr="001570EA" w:rsidRDefault="007376E1" w:rsidP="002614D2">
      <w:pPr>
        <w:pStyle w:val="BodyText"/>
        <w:numPr>
          <w:ilvl w:val="0"/>
          <w:numId w:val="30"/>
        </w:numPr>
        <w:spacing w:after="120"/>
        <w:ind w:left="360" w:right="0"/>
        <w:contextualSpacing/>
        <w:jc w:val="left"/>
      </w:pPr>
      <w:r w:rsidRPr="001570EA">
        <w:t>Check and replace filter if necessary</w:t>
      </w:r>
    </w:p>
    <w:p w14:paraId="6603CFA2" w14:textId="77777777" w:rsidR="007376E1" w:rsidRPr="001570EA" w:rsidRDefault="007376E1" w:rsidP="002614D2">
      <w:pPr>
        <w:pStyle w:val="BodyText"/>
        <w:numPr>
          <w:ilvl w:val="0"/>
          <w:numId w:val="30"/>
        </w:numPr>
        <w:spacing w:after="120"/>
        <w:ind w:left="360" w:right="0"/>
        <w:contextualSpacing/>
        <w:jc w:val="left"/>
      </w:pPr>
      <w:r w:rsidRPr="001570EA">
        <w:t xml:space="preserve">Clean burners, pilot and pilot tube, flame baffle, heat exchanger and blower </w:t>
      </w:r>
    </w:p>
    <w:p w14:paraId="3B415E68" w14:textId="77777777" w:rsidR="007376E1" w:rsidRPr="001570EA" w:rsidRDefault="007376E1" w:rsidP="002614D2">
      <w:pPr>
        <w:pStyle w:val="BodyText"/>
        <w:numPr>
          <w:ilvl w:val="0"/>
          <w:numId w:val="30"/>
        </w:numPr>
        <w:spacing w:after="120"/>
        <w:ind w:left="360" w:right="0"/>
        <w:contextualSpacing/>
        <w:jc w:val="left"/>
      </w:pPr>
      <w:r w:rsidRPr="001570EA">
        <w:t>Check and adjust gas pressure to manufacturer’s recommendation</w:t>
      </w:r>
    </w:p>
    <w:p w14:paraId="55CF8C7A" w14:textId="77777777" w:rsidR="007376E1" w:rsidRPr="001570EA" w:rsidRDefault="007376E1" w:rsidP="002614D2">
      <w:pPr>
        <w:pStyle w:val="BodyText"/>
        <w:numPr>
          <w:ilvl w:val="0"/>
          <w:numId w:val="30"/>
        </w:numPr>
        <w:spacing w:after="120"/>
        <w:ind w:left="360" w:right="0"/>
        <w:contextualSpacing/>
        <w:jc w:val="left"/>
      </w:pPr>
      <w:r w:rsidRPr="001570EA">
        <w:t>Inspect the condition of the heat exchanger(s)</w:t>
      </w:r>
    </w:p>
    <w:p w14:paraId="164D1637" w14:textId="77777777" w:rsidR="007376E1" w:rsidRPr="001570EA" w:rsidRDefault="007376E1" w:rsidP="002614D2">
      <w:pPr>
        <w:pStyle w:val="BodyText"/>
        <w:numPr>
          <w:ilvl w:val="0"/>
          <w:numId w:val="30"/>
        </w:numPr>
        <w:spacing w:after="120"/>
        <w:ind w:left="360" w:right="0"/>
        <w:contextualSpacing/>
        <w:jc w:val="left"/>
      </w:pPr>
      <w:r w:rsidRPr="001570EA">
        <w:t>Check that flue and venting are operating properly</w:t>
      </w:r>
    </w:p>
    <w:p w14:paraId="2659F30E" w14:textId="77777777" w:rsidR="007376E1" w:rsidRPr="001570EA" w:rsidRDefault="007376E1" w:rsidP="002614D2">
      <w:pPr>
        <w:pStyle w:val="BodyText"/>
        <w:numPr>
          <w:ilvl w:val="0"/>
          <w:numId w:val="30"/>
        </w:numPr>
        <w:spacing w:after="120"/>
        <w:ind w:left="360" w:right="0"/>
        <w:contextualSpacing/>
        <w:jc w:val="left"/>
      </w:pPr>
      <w:r w:rsidRPr="001570EA">
        <w:t>Check fan belt and replace if necessary</w:t>
      </w:r>
    </w:p>
    <w:p w14:paraId="63CE26F7" w14:textId="77777777" w:rsidR="007376E1" w:rsidRPr="001570EA" w:rsidRDefault="007376E1" w:rsidP="002614D2">
      <w:pPr>
        <w:pStyle w:val="BodyText"/>
        <w:numPr>
          <w:ilvl w:val="0"/>
          <w:numId w:val="30"/>
        </w:numPr>
        <w:spacing w:after="120"/>
        <w:ind w:left="360" w:right="0"/>
        <w:contextualSpacing/>
        <w:jc w:val="left"/>
      </w:pPr>
      <w:r w:rsidRPr="001570EA">
        <w:t>Inspect wiring for loose connections</w:t>
      </w:r>
    </w:p>
    <w:p w14:paraId="76B9CB7C" w14:textId="77777777" w:rsidR="007376E1" w:rsidRPr="001570EA" w:rsidRDefault="007376E1" w:rsidP="002614D2">
      <w:pPr>
        <w:pStyle w:val="BodyText"/>
        <w:numPr>
          <w:ilvl w:val="0"/>
          <w:numId w:val="30"/>
        </w:numPr>
        <w:spacing w:after="120"/>
        <w:ind w:left="360" w:right="0"/>
        <w:contextualSpacing/>
        <w:jc w:val="left"/>
      </w:pPr>
      <w:r w:rsidRPr="001570EA">
        <w:t>Check for correct line and load voltage and amperage</w:t>
      </w:r>
    </w:p>
    <w:p w14:paraId="50C05A9E" w14:textId="77777777" w:rsidR="007376E1" w:rsidRPr="001570EA" w:rsidRDefault="007376E1" w:rsidP="002614D2">
      <w:pPr>
        <w:pStyle w:val="BodyText"/>
        <w:numPr>
          <w:ilvl w:val="0"/>
          <w:numId w:val="30"/>
        </w:numPr>
        <w:spacing w:after="120"/>
        <w:ind w:left="360" w:right="0"/>
        <w:contextualSpacing/>
        <w:jc w:val="left"/>
      </w:pPr>
      <w:r w:rsidRPr="001570EA">
        <w:t>Check safety locks for proper operation</w:t>
      </w:r>
    </w:p>
    <w:p w14:paraId="7E6141ED" w14:textId="77777777" w:rsidR="007376E1" w:rsidRPr="001570EA" w:rsidRDefault="007376E1" w:rsidP="007376E1">
      <w:pPr>
        <w:pStyle w:val="BodyText"/>
        <w:spacing w:line="288" w:lineRule="auto"/>
        <w:ind w:left="420"/>
        <w:jc w:val="left"/>
      </w:pPr>
    </w:p>
    <w:p w14:paraId="742B1BD4" w14:textId="77777777" w:rsidR="007376E1" w:rsidRPr="001570EA" w:rsidRDefault="007376E1" w:rsidP="007376E1">
      <w:pPr>
        <w:pStyle w:val="BodyText"/>
      </w:pPr>
      <w:r w:rsidRPr="001570EA">
        <w:t>The algorithms and savings are valid for servicing once every two years. If serviced more frequently, the energy savings factor (ESF) will need to be re-evaluated.</w:t>
      </w:r>
    </w:p>
    <w:p w14:paraId="34D7823C" w14:textId="77777777" w:rsidR="007376E1" w:rsidRPr="001570EA" w:rsidRDefault="007376E1" w:rsidP="007376E1"/>
    <w:p w14:paraId="4AAC1921" w14:textId="77777777" w:rsidR="007376E1" w:rsidRPr="001570EA" w:rsidRDefault="007376E1" w:rsidP="007376E1">
      <w:pPr>
        <w:pStyle w:val="SubStyle"/>
      </w:pPr>
      <w:r w:rsidRPr="001570EA">
        <w:t>Algorithms</w:t>
      </w:r>
    </w:p>
    <w:p w14:paraId="474CDEF4" w14:textId="77777777" w:rsidR="007376E1" w:rsidRPr="001570EA" w:rsidRDefault="007376E1" w:rsidP="007376E1">
      <w:pPr>
        <w:pStyle w:val="BodyText"/>
      </w:pPr>
      <w:r w:rsidRPr="001570EA">
        <w:t>The annual energy savings are obtained through the following formula. There are no demand savings for this measure.</w:t>
      </w:r>
    </w:p>
    <w:p w14:paraId="6B1219EB" w14:textId="77777777" w:rsidR="007376E1" w:rsidRPr="001570EA" w:rsidRDefault="007376E1" w:rsidP="007376E1"/>
    <w:p w14:paraId="30794010" w14:textId="77777777" w:rsidR="007376E1" w:rsidRPr="001570EA" w:rsidRDefault="007376E1" w:rsidP="007376E1">
      <w:pPr>
        <w:pStyle w:val="Equation"/>
        <w:tabs>
          <w:tab w:val="clear" w:pos="720"/>
          <w:tab w:val="left" w:pos="1440"/>
        </w:tabs>
        <w:spacing w:after="40"/>
        <w:rPr>
          <w:rFonts w:ascii="Cambria Math" w:hAnsi="Cambria Math" w:cs="Arial"/>
          <w:szCs w:val="20"/>
        </w:rPr>
      </w:pPr>
      <w:r w:rsidRPr="001570EA">
        <w:rPr>
          <w:rFonts w:ascii="Symbol" w:eastAsia="Symbol" w:hAnsi="Symbol" w:cs="Symbol"/>
          <w:szCs w:val="20"/>
        </w:rPr>
        <w:t>D</w:t>
      </w:r>
      <w:r w:rsidRPr="001570EA">
        <w:rPr>
          <w:rFonts w:ascii="Cambria Math" w:hAnsi="Cambria Math" w:cs="Arial"/>
          <w:szCs w:val="20"/>
        </w:rPr>
        <w:t>kWh</w:t>
      </w:r>
      <w:r w:rsidRPr="001570EA">
        <w:rPr>
          <w:rFonts w:ascii="Cambria Math" w:hAnsi="Cambria Math" w:cs="Arial"/>
          <w:szCs w:val="20"/>
        </w:rPr>
        <w:tab/>
      </w:r>
      <m:oMath>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kW</m:t>
            </m:r>
          </m:e>
          <m:sub>
            <m:r>
              <w:rPr>
                <w:rFonts w:ascii="Cambria Math" w:hAnsi="Cambria Math" w:cs="Arial"/>
                <w:szCs w:val="20"/>
              </w:rPr>
              <m:t>motor</m:t>
            </m:r>
          </m:sub>
        </m:sSub>
        <m:r>
          <w:rPr>
            <w:rFonts w:ascii="Cambria Math" w:hAnsi="Cambria Math" w:cs="Arial"/>
            <w:szCs w:val="20"/>
          </w:rPr>
          <m:t xml:space="preserve"> × </m:t>
        </m:r>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heat,non-HP</m:t>
            </m:r>
          </m:sub>
        </m:sSub>
        <m:r>
          <w:rPr>
            <w:rFonts w:ascii="Cambria Math" w:hAnsi="Cambria Math" w:cs="Arial"/>
            <w:szCs w:val="20"/>
          </w:rPr>
          <m:t xml:space="preserve"> × ESF</m:t>
        </m:r>
      </m:oMath>
    </w:p>
    <w:p w14:paraId="369B6AAC" w14:textId="77777777" w:rsidR="007376E1" w:rsidRPr="001570EA" w:rsidRDefault="007376E1" w:rsidP="007376E1">
      <w:pPr>
        <w:pStyle w:val="Equation"/>
        <w:tabs>
          <w:tab w:val="clear" w:pos="720"/>
          <w:tab w:val="left" w:pos="1440"/>
        </w:tabs>
        <w:spacing w:after="40"/>
        <w:rPr>
          <w:rFonts w:ascii="Cambria Math" w:hAnsi="Cambria Math" w:cs="Arial"/>
          <w:i w:val="0"/>
          <w:szCs w:val="20"/>
        </w:rPr>
      </w:pPr>
    </w:p>
    <w:p w14:paraId="03581F8E" w14:textId="77777777" w:rsidR="007376E1" w:rsidRPr="001570EA" w:rsidRDefault="007376E1" w:rsidP="007376E1">
      <w:pPr>
        <w:pStyle w:val="SubStyle"/>
        <w:keepNext/>
      </w:pPr>
      <w:r w:rsidRPr="001570EA">
        <w:t>Definition of Terms</w:t>
      </w:r>
    </w:p>
    <w:p w14:paraId="66BF409B" w14:textId="2B83E19C" w:rsidR="007376E1" w:rsidRPr="001570EA" w:rsidRDefault="00451C05" w:rsidP="007376E1">
      <w:pPr>
        <w:pStyle w:val="Caption"/>
        <w:jc w:val="left"/>
      </w:pPr>
      <w:bookmarkStart w:id="322" w:name="_Toc47598287"/>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53</w:t>
      </w:r>
      <w:r w:rsidR="002E093A" w:rsidRPr="001570EA">
        <w:fldChar w:fldCharType="end"/>
      </w:r>
      <w:r w:rsidRPr="001570EA">
        <w:t>: Terms, Values, and References for Furnace Maintenance</w:t>
      </w:r>
      <w:bookmarkEnd w:id="3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1507"/>
        <w:gridCol w:w="2130"/>
        <w:gridCol w:w="827"/>
      </w:tblGrid>
      <w:tr w:rsidR="007376E1" w:rsidRPr="001570EA" w14:paraId="4A76CC61" w14:textId="77777777">
        <w:trPr>
          <w:jc w:val="center"/>
        </w:trPr>
        <w:tc>
          <w:tcPr>
            <w:tcW w:w="2414" w:type="pct"/>
            <w:shd w:val="clear" w:color="auto" w:fill="BFBFBF" w:themeFill="background1" w:themeFillShade="BF"/>
          </w:tcPr>
          <w:p w14:paraId="521E7916" w14:textId="77777777" w:rsidR="007376E1" w:rsidRPr="001570EA" w:rsidRDefault="007376E1">
            <w:pPr>
              <w:pStyle w:val="TableCell"/>
              <w:rPr>
                <w:b/>
                <w:bCs/>
              </w:rPr>
            </w:pPr>
            <w:r w:rsidRPr="001570EA">
              <w:rPr>
                <w:b/>
                <w:bCs/>
              </w:rPr>
              <w:t>Term</w:t>
            </w:r>
          </w:p>
        </w:tc>
        <w:tc>
          <w:tcPr>
            <w:tcW w:w="873" w:type="pct"/>
            <w:shd w:val="clear" w:color="auto" w:fill="BFBFBF" w:themeFill="background1" w:themeFillShade="BF"/>
          </w:tcPr>
          <w:p w14:paraId="761827B7" w14:textId="77777777" w:rsidR="007376E1" w:rsidRPr="001570EA" w:rsidRDefault="007376E1">
            <w:pPr>
              <w:pStyle w:val="TableCell"/>
              <w:rPr>
                <w:b/>
                <w:bCs/>
              </w:rPr>
            </w:pPr>
            <w:r w:rsidRPr="001570EA">
              <w:rPr>
                <w:b/>
                <w:bCs/>
              </w:rPr>
              <w:t>Unit</w:t>
            </w:r>
          </w:p>
        </w:tc>
        <w:tc>
          <w:tcPr>
            <w:tcW w:w="1234" w:type="pct"/>
            <w:shd w:val="clear" w:color="auto" w:fill="BFBFBF" w:themeFill="background1" w:themeFillShade="BF"/>
          </w:tcPr>
          <w:p w14:paraId="17B898CF" w14:textId="77777777" w:rsidR="007376E1" w:rsidRPr="001570EA" w:rsidRDefault="007376E1">
            <w:pPr>
              <w:pStyle w:val="TableCell"/>
              <w:rPr>
                <w:b/>
                <w:bCs/>
              </w:rPr>
            </w:pPr>
            <w:r w:rsidRPr="001570EA">
              <w:rPr>
                <w:b/>
                <w:bCs/>
              </w:rPr>
              <w:t>Values</w:t>
            </w:r>
          </w:p>
        </w:tc>
        <w:tc>
          <w:tcPr>
            <w:tcW w:w="479" w:type="pct"/>
            <w:shd w:val="clear" w:color="auto" w:fill="BFBFBF" w:themeFill="background1" w:themeFillShade="BF"/>
          </w:tcPr>
          <w:p w14:paraId="1FCB0475" w14:textId="77777777" w:rsidR="007376E1" w:rsidRPr="001570EA" w:rsidRDefault="007376E1">
            <w:pPr>
              <w:pStyle w:val="TableCell"/>
              <w:rPr>
                <w:b/>
                <w:bCs/>
              </w:rPr>
            </w:pPr>
            <w:r w:rsidRPr="001570EA">
              <w:rPr>
                <w:b/>
                <w:bCs/>
              </w:rPr>
              <w:t>Source</w:t>
            </w:r>
          </w:p>
        </w:tc>
      </w:tr>
      <w:tr w:rsidR="007376E1" w:rsidRPr="001570EA" w14:paraId="7D7841EA" w14:textId="77777777">
        <w:trPr>
          <w:jc w:val="center"/>
        </w:trPr>
        <w:tc>
          <w:tcPr>
            <w:tcW w:w="2414" w:type="pct"/>
            <w:shd w:val="clear" w:color="auto" w:fill="auto"/>
          </w:tcPr>
          <w:p w14:paraId="4A8B70D7" w14:textId="0A14F59B" w:rsidR="007376E1" w:rsidRPr="001570EA" w:rsidRDefault="003B5E04">
            <w:pPr>
              <w:pStyle w:val="TableCell"/>
            </w:pPr>
            <m:oMath>
              <m:sSub>
                <m:sSubPr>
                  <m:ctrlPr>
                    <w:rPr>
                      <w:rFonts w:ascii="Cambria Math" w:eastAsia="Calibri" w:hAnsi="Cambria Math" w:cs="Arial"/>
                      <w:i/>
                      <w:sz w:val="20"/>
                    </w:rPr>
                  </m:ctrlPr>
                </m:sSubPr>
                <m:e>
                  <m:r>
                    <w:rPr>
                      <w:rFonts w:ascii="Cambria Math" w:hAnsi="Cambria Math" w:cs="Arial"/>
                    </w:rPr>
                    <m:t>kW</m:t>
                  </m:r>
                </m:e>
                <m:sub>
                  <m:r>
                    <m:rPr>
                      <m:sty m:val="p"/>
                    </m:rPr>
                    <w:rPr>
                      <w:rFonts w:ascii="Cambria Math" w:hAnsi="Cambria Math" w:cs="Arial"/>
                    </w:rPr>
                    <m:t>motor</m:t>
                  </m:r>
                </m:sub>
              </m:sSub>
            </m:oMath>
            <w:r w:rsidR="007376E1" w:rsidRPr="001570EA">
              <w:t xml:space="preserve">, </w:t>
            </w:r>
            <w:r w:rsidR="007376E1" w:rsidRPr="001570EA">
              <w:rPr>
                <w:rFonts w:cs="Arial"/>
              </w:rPr>
              <w:t>Average motor full load electric demand</w:t>
            </w:r>
          </w:p>
        </w:tc>
        <w:tc>
          <w:tcPr>
            <w:tcW w:w="873" w:type="pct"/>
          </w:tcPr>
          <w:p w14:paraId="6274CC82" w14:textId="77777777" w:rsidR="007376E1" w:rsidRPr="001570EA" w:rsidRDefault="007376E1">
            <w:pPr>
              <w:pStyle w:val="TableCell"/>
              <w:rPr>
                <w:rFonts w:ascii="Arial Unicode MS" w:eastAsia="Arial Unicode MS" w:hAnsi="Arial Unicode MS" w:cs="Arial Unicode MS"/>
              </w:rPr>
            </w:pPr>
            <w:r w:rsidRPr="001570EA">
              <w:rPr>
                <w:rFonts w:eastAsia="Calibri"/>
                <w:i/>
              </w:rPr>
              <w:t>kW</w:t>
            </w:r>
          </w:p>
        </w:tc>
        <w:tc>
          <w:tcPr>
            <w:tcW w:w="1234" w:type="pct"/>
            <w:shd w:val="clear" w:color="auto" w:fill="auto"/>
          </w:tcPr>
          <w:p w14:paraId="35D6805A" w14:textId="77777777" w:rsidR="007376E1" w:rsidRPr="001570EA" w:rsidRDefault="007376E1">
            <w:pPr>
              <w:pStyle w:val="TableCell"/>
            </w:pPr>
            <w:r w:rsidRPr="001570EA">
              <w:rPr>
                <w:rFonts w:eastAsia="Calibri"/>
              </w:rPr>
              <w:t>0.377</w:t>
            </w:r>
          </w:p>
        </w:tc>
        <w:tc>
          <w:tcPr>
            <w:tcW w:w="479" w:type="pct"/>
            <w:vAlign w:val="center"/>
          </w:tcPr>
          <w:p w14:paraId="0106D078" w14:textId="77777777" w:rsidR="007376E1" w:rsidRPr="001570EA" w:rsidRDefault="007376E1">
            <w:pPr>
              <w:pStyle w:val="TableCell"/>
              <w:jc w:val="center"/>
            </w:pPr>
            <w:r w:rsidRPr="001570EA">
              <w:t>2</w:t>
            </w:r>
          </w:p>
        </w:tc>
      </w:tr>
      <w:tr w:rsidR="007376E1" w:rsidRPr="001570EA" w14:paraId="7F51BE56" w14:textId="77777777">
        <w:trPr>
          <w:jc w:val="center"/>
        </w:trPr>
        <w:tc>
          <w:tcPr>
            <w:tcW w:w="2414" w:type="pct"/>
            <w:shd w:val="clear" w:color="auto" w:fill="auto"/>
            <w:vAlign w:val="center"/>
          </w:tcPr>
          <w:p w14:paraId="0985A24D" w14:textId="611EE9B0" w:rsidR="007376E1" w:rsidRPr="001570EA" w:rsidRDefault="007376E1">
            <w:pPr>
              <w:pStyle w:val="TableCell"/>
              <w:rPr>
                <w:rFonts w:ascii="Cambria Math" w:eastAsia="Cambria Math" w:hAnsi="Cambria Math" w:cs="Cambria Math"/>
                <w:oMath/>
              </w:rPr>
            </w:pPr>
            <m:oMath>
              <m:r>
                <w:rPr>
                  <w:rFonts w:ascii="Cambria Math" w:hAnsi="Cambria Math"/>
                </w:rPr>
                <m:t>EFL</m:t>
              </m:r>
              <m:sSub>
                <m:sSubPr>
                  <m:ctrlPr>
                    <w:rPr>
                      <w:rFonts w:ascii="Cambria Math" w:hAnsi="Cambria Math"/>
                      <w:i/>
                    </w:rPr>
                  </m:ctrlPr>
                </m:sSubPr>
                <m:e>
                  <m:r>
                    <w:rPr>
                      <w:rFonts w:ascii="Cambria Math" w:hAnsi="Cambria Math"/>
                    </w:rPr>
                    <m:t>H</m:t>
                  </m:r>
                </m:e>
                <m:sub>
                  <m:r>
                    <w:rPr>
                      <w:rFonts w:ascii="Cambria Math" w:hAnsi="Cambria Math"/>
                    </w:rPr>
                    <m:t>heat,non-HP</m:t>
                  </m:r>
                </m:sub>
              </m:sSub>
            </m:oMath>
            <w:r w:rsidRPr="001570EA">
              <w:t>, Equivalent full load heating hours</w:t>
            </w:r>
          </w:p>
        </w:tc>
        <w:tc>
          <w:tcPr>
            <w:tcW w:w="873" w:type="pct"/>
            <w:vAlign w:val="center"/>
          </w:tcPr>
          <w:p w14:paraId="66B01F64" w14:textId="77777777" w:rsidR="007376E1" w:rsidRPr="001570EA" w:rsidRDefault="007376E1">
            <w:pPr>
              <w:pStyle w:val="TableCell"/>
              <w:rPr>
                <w:rFonts w:ascii="Arial Unicode MS" w:eastAsia="Arial Unicode MS" w:hAnsi="Arial Unicode MS" w:cs="Arial Unicode MS"/>
              </w:rPr>
            </w:pPr>
            <w:r w:rsidRPr="001570EA">
              <w:t>Hours/year</w:t>
            </w:r>
          </w:p>
        </w:tc>
        <w:tc>
          <w:tcPr>
            <w:tcW w:w="1234" w:type="pct"/>
            <w:shd w:val="clear" w:color="auto" w:fill="auto"/>
            <w:vAlign w:val="center"/>
          </w:tcPr>
          <w:p w14:paraId="0DB11ABE" w14:textId="77777777" w:rsidR="007376E1" w:rsidRPr="001570EA" w:rsidRDefault="007376E1">
            <w:pPr>
              <w:pStyle w:val="TableCell"/>
            </w:pPr>
            <w:r w:rsidRPr="001570EA">
              <w:t xml:space="preserve">See </w:t>
            </w:r>
            <w:r w:rsidRPr="001570EA">
              <w:rPr>
                <w:i/>
              </w:rPr>
              <w:t>EFLH</w:t>
            </w:r>
            <w:r w:rsidRPr="001570EA">
              <w:rPr>
                <w:i/>
                <w:vertAlign w:val="subscript"/>
              </w:rPr>
              <w:t>heat,non-HP</w:t>
            </w:r>
            <w:r w:rsidRPr="001570EA">
              <w:t xml:space="preserve"> in Vol. 1, App. A</w:t>
            </w:r>
          </w:p>
        </w:tc>
        <w:tc>
          <w:tcPr>
            <w:tcW w:w="479" w:type="pct"/>
            <w:vAlign w:val="center"/>
          </w:tcPr>
          <w:p w14:paraId="5E5BB593" w14:textId="77777777" w:rsidR="007376E1" w:rsidRPr="001570EA" w:rsidRDefault="007376E1">
            <w:pPr>
              <w:pStyle w:val="TableCell"/>
              <w:jc w:val="center"/>
            </w:pPr>
            <w:r w:rsidRPr="001570EA">
              <w:t>3</w:t>
            </w:r>
          </w:p>
        </w:tc>
      </w:tr>
      <w:tr w:rsidR="007376E1" w:rsidRPr="001570EA" w14:paraId="32976C6A" w14:textId="77777777">
        <w:trPr>
          <w:jc w:val="center"/>
        </w:trPr>
        <w:tc>
          <w:tcPr>
            <w:tcW w:w="2414" w:type="pct"/>
            <w:shd w:val="clear" w:color="auto" w:fill="auto"/>
            <w:vAlign w:val="center"/>
          </w:tcPr>
          <w:p w14:paraId="7DFFE5B2" w14:textId="77777777" w:rsidR="007376E1" w:rsidRPr="001570EA" w:rsidRDefault="007376E1">
            <w:pPr>
              <w:pStyle w:val="TableCell"/>
              <w:rPr>
                <w:rFonts w:ascii="Cambria Math" w:eastAsia="Cambria Math" w:hAnsi="Cambria Math" w:cs="Cambria Math"/>
                <w:oMath/>
              </w:rPr>
            </w:pPr>
            <m:oMath>
              <m:r>
                <w:rPr>
                  <w:rFonts w:ascii="Cambria Math" w:hAnsi="Cambria Math"/>
                </w:rPr>
                <m:t>ESF</m:t>
              </m:r>
            </m:oMath>
            <w:r w:rsidRPr="001570EA">
              <w:t>, Energy savings factor</w:t>
            </w:r>
          </w:p>
        </w:tc>
        <w:tc>
          <w:tcPr>
            <w:tcW w:w="873" w:type="pct"/>
            <w:vAlign w:val="center"/>
          </w:tcPr>
          <w:p w14:paraId="5D1BD2A0" w14:textId="77777777" w:rsidR="007376E1" w:rsidRPr="001570EA" w:rsidRDefault="007376E1">
            <w:pPr>
              <w:pStyle w:val="TableCell"/>
              <w:rPr>
                <w:rFonts w:ascii="Arial Unicode MS" w:eastAsia="Arial Unicode MS" w:hAnsi="Arial Unicode MS" w:cs="Arial Unicode MS"/>
              </w:rPr>
            </w:pPr>
            <w:r w:rsidRPr="001570EA">
              <w:t>None</w:t>
            </w:r>
          </w:p>
        </w:tc>
        <w:tc>
          <w:tcPr>
            <w:tcW w:w="1234" w:type="pct"/>
            <w:shd w:val="clear" w:color="auto" w:fill="auto"/>
            <w:vAlign w:val="center"/>
          </w:tcPr>
          <w:p w14:paraId="0F6C32CC" w14:textId="77777777" w:rsidR="007376E1" w:rsidRPr="001570EA" w:rsidRDefault="007376E1">
            <w:pPr>
              <w:pStyle w:val="TableCell"/>
            </w:pPr>
            <w:r w:rsidRPr="001570EA">
              <w:t>2%</w:t>
            </w:r>
          </w:p>
        </w:tc>
        <w:tc>
          <w:tcPr>
            <w:tcW w:w="479" w:type="pct"/>
            <w:vAlign w:val="center"/>
          </w:tcPr>
          <w:p w14:paraId="44E57A73" w14:textId="77777777" w:rsidR="007376E1" w:rsidRPr="001570EA" w:rsidRDefault="007376E1">
            <w:pPr>
              <w:pStyle w:val="TableCell"/>
              <w:jc w:val="center"/>
            </w:pPr>
            <w:r w:rsidRPr="001570EA">
              <w:t>4</w:t>
            </w:r>
          </w:p>
        </w:tc>
      </w:tr>
    </w:tbl>
    <w:p w14:paraId="7626E1CA" w14:textId="77777777" w:rsidR="007376E1" w:rsidRPr="001570EA" w:rsidRDefault="007376E1" w:rsidP="007376E1"/>
    <w:p w14:paraId="4CB106EE" w14:textId="77777777" w:rsidR="007376E1" w:rsidRPr="001570EA" w:rsidRDefault="007376E1" w:rsidP="007376E1">
      <w:pPr>
        <w:pStyle w:val="SubStyle"/>
        <w:keepNext/>
      </w:pPr>
      <w:r w:rsidRPr="001570EA">
        <w:t>Default Savings</w:t>
      </w:r>
    </w:p>
    <w:p w14:paraId="3E63BEBD" w14:textId="6C63B31C" w:rsidR="007376E1" w:rsidRPr="001570EA" w:rsidRDefault="00915563" w:rsidP="00915563">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54</w:t>
      </w:r>
      <w:r w:rsidR="002E093A" w:rsidRPr="001570EA">
        <w:fldChar w:fldCharType="end"/>
      </w:r>
      <w:r w:rsidRPr="001570EA">
        <w:t>:Default Savings per Input kBTU/h for Furnace Maintenance</w:t>
      </w:r>
    </w:p>
    <w:tbl>
      <w:tblPr>
        <w:tblW w:w="2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704"/>
        <w:gridCol w:w="2523"/>
      </w:tblGrid>
      <w:tr w:rsidR="007376E1" w:rsidRPr="001570EA" w14:paraId="20E181F7" w14:textId="77777777">
        <w:trPr>
          <w:trHeight w:val="449"/>
        </w:trPr>
        <w:tc>
          <w:tcPr>
            <w:tcW w:w="874" w:type="pct"/>
            <w:shd w:val="clear" w:color="auto" w:fill="BFBFBF" w:themeFill="background1" w:themeFillShade="BF"/>
          </w:tcPr>
          <w:p w14:paraId="1399302E" w14:textId="77777777" w:rsidR="007376E1" w:rsidRPr="001570EA" w:rsidRDefault="007376E1">
            <w:pPr>
              <w:pStyle w:val="TableCell"/>
              <w:spacing w:before="0" w:after="0"/>
              <w:jc w:val="center"/>
              <w:rPr>
                <w:b/>
                <w:bCs/>
              </w:rPr>
            </w:pPr>
            <w:r w:rsidRPr="001570EA">
              <w:rPr>
                <w:b/>
                <w:bCs/>
              </w:rPr>
              <w:t>Climate Region</w:t>
            </w:r>
          </w:p>
        </w:tc>
        <w:tc>
          <w:tcPr>
            <w:tcW w:w="1663" w:type="pct"/>
            <w:shd w:val="clear" w:color="auto" w:fill="BFBFBF" w:themeFill="background1" w:themeFillShade="BF"/>
            <w:vAlign w:val="center"/>
          </w:tcPr>
          <w:p w14:paraId="76DA0E2E" w14:textId="77777777" w:rsidR="007376E1" w:rsidRPr="001570EA" w:rsidRDefault="007376E1">
            <w:pPr>
              <w:pStyle w:val="TableCell"/>
              <w:jc w:val="center"/>
              <w:rPr>
                <w:b/>
                <w:bCs/>
              </w:rPr>
            </w:pPr>
            <w:r w:rsidRPr="001570EA">
              <w:rPr>
                <w:b/>
                <w:bCs/>
              </w:rPr>
              <w:t>Reference City</w:t>
            </w:r>
          </w:p>
        </w:tc>
        <w:tc>
          <w:tcPr>
            <w:tcW w:w="2462" w:type="pct"/>
            <w:shd w:val="clear" w:color="auto" w:fill="BFBFBF" w:themeFill="background1" w:themeFillShade="BF"/>
            <w:vAlign w:val="center"/>
          </w:tcPr>
          <w:p w14:paraId="265EE0C4" w14:textId="77777777" w:rsidR="007376E1" w:rsidRPr="001570EA" w:rsidRDefault="007376E1">
            <w:pPr>
              <w:pStyle w:val="TableCell"/>
              <w:spacing w:before="0" w:after="0"/>
              <w:jc w:val="center"/>
              <w:rPr>
                <w:b/>
              </w:rPr>
            </w:pPr>
            <w:r w:rsidRPr="001570EA">
              <w:rPr>
                <w:b/>
                <w:bCs/>
              </w:rPr>
              <w:t>Energy Savings</w:t>
            </w:r>
            <w:r w:rsidRPr="001570EA">
              <w:rPr>
                <w:b/>
                <w:bCs/>
              </w:rPr>
              <w:br/>
            </w:r>
            <w:r w:rsidRPr="001570EA">
              <w:rPr>
                <w:b/>
              </w:rPr>
              <w:t>(kWh per 1 input kBTU/h)</w:t>
            </w:r>
          </w:p>
        </w:tc>
      </w:tr>
      <w:tr w:rsidR="007376E1" w:rsidRPr="001570EA" w14:paraId="72729006" w14:textId="77777777">
        <w:tc>
          <w:tcPr>
            <w:tcW w:w="874" w:type="pct"/>
            <w:shd w:val="clear" w:color="auto" w:fill="BFBFBF" w:themeFill="background1" w:themeFillShade="BF"/>
          </w:tcPr>
          <w:p w14:paraId="0643B481" w14:textId="77777777" w:rsidR="007376E1" w:rsidRPr="001570EA" w:rsidRDefault="007376E1">
            <w:pPr>
              <w:pStyle w:val="TableCell"/>
              <w:spacing w:before="40" w:after="40"/>
              <w:jc w:val="center"/>
              <w:rPr>
                <w:b/>
              </w:rPr>
            </w:pPr>
            <w:r w:rsidRPr="001570EA">
              <w:rPr>
                <w:b/>
              </w:rPr>
              <w:t>C</w:t>
            </w:r>
          </w:p>
        </w:tc>
        <w:tc>
          <w:tcPr>
            <w:tcW w:w="1663" w:type="pct"/>
          </w:tcPr>
          <w:p w14:paraId="6E706F2F" w14:textId="77777777" w:rsidR="007376E1" w:rsidRPr="001570EA" w:rsidRDefault="007376E1">
            <w:pPr>
              <w:pStyle w:val="TableCell"/>
              <w:spacing w:before="40" w:after="40"/>
              <w:rPr>
                <w:rFonts w:ascii="Arial Unicode MS" w:eastAsia="Arial Unicode MS" w:hAnsi="Arial Unicode MS" w:cs="Arial Unicode MS"/>
              </w:rPr>
            </w:pPr>
            <w:r w:rsidRPr="001570EA">
              <w:t>Allentown</w:t>
            </w:r>
          </w:p>
        </w:tc>
        <w:tc>
          <w:tcPr>
            <w:tcW w:w="2462" w:type="pct"/>
            <w:shd w:val="clear" w:color="auto" w:fill="auto"/>
            <w:vAlign w:val="center"/>
          </w:tcPr>
          <w:p w14:paraId="6A66525C" w14:textId="77777777" w:rsidR="007376E1" w:rsidRPr="001570EA" w:rsidRDefault="007376E1">
            <w:pPr>
              <w:pStyle w:val="TableCell"/>
              <w:spacing w:before="40" w:after="40"/>
              <w:jc w:val="center"/>
              <w:rPr>
                <w:rFonts w:eastAsia="Arial Unicode MS" w:cs="Arial"/>
                <w:szCs w:val="18"/>
              </w:rPr>
            </w:pPr>
            <w:r w:rsidRPr="001570EA">
              <w:rPr>
                <w:rFonts w:cs="Arial"/>
                <w:szCs w:val="18"/>
              </w:rPr>
              <w:t>6.22</w:t>
            </w:r>
          </w:p>
        </w:tc>
      </w:tr>
      <w:tr w:rsidR="007376E1" w:rsidRPr="001570EA" w14:paraId="0BA8A665" w14:textId="77777777">
        <w:tc>
          <w:tcPr>
            <w:tcW w:w="874" w:type="pct"/>
            <w:shd w:val="clear" w:color="auto" w:fill="BFBFBF" w:themeFill="background1" w:themeFillShade="BF"/>
          </w:tcPr>
          <w:p w14:paraId="300C3901" w14:textId="77777777" w:rsidR="007376E1" w:rsidRPr="001570EA" w:rsidRDefault="007376E1">
            <w:pPr>
              <w:pStyle w:val="TableCell"/>
              <w:spacing w:before="40" w:after="40"/>
              <w:jc w:val="center"/>
              <w:rPr>
                <w:b/>
              </w:rPr>
            </w:pPr>
            <w:r w:rsidRPr="001570EA">
              <w:rPr>
                <w:b/>
              </w:rPr>
              <w:t>A</w:t>
            </w:r>
          </w:p>
        </w:tc>
        <w:tc>
          <w:tcPr>
            <w:tcW w:w="1663" w:type="pct"/>
          </w:tcPr>
          <w:p w14:paraId="5FF3BAE5" w14:textId="77777777" w:rsidR="007376E1" w:rsidRPr="001570EA" w:rsidRDefault="007376E1">
            <w:pPr>
              <w:pStyle w:val="TableCell"/>
              <w:spacing w:before="40" w:after="40"/>
            </w:pPr>
            <w:r w:rsidRPr="001570EA">
              <w:t>Binghamton, NY</w:t>
            </w:r>
          </w:p>
        </w:tc>
        <w:tc>
          <w:tcPr>
            <w:tcW w:w="2462" w:type="pct"/>
            <w:shd w:val="clear" w:color="auto" w:fill="auto"/>
            <w:vAlign w:val="center"/>
          </w:tcPr>
          <w:p w14:paraId="2455D3BC" w14:textId="77777777" w:rsidR="007376E1" w:rsidRPr="001570EA" w:rsidRDefault="007376E1">
            <w:pPr>
              <w:pStyle w:val="TableCell"/>
              <w:spacing w:before="40" w:after="40"/>
              <w:jc w:val="center"/>
              <w:rPr>
                <w:rFonts w:eastAsia="Arial Unicode MS" w:cs="Arial"/>
                <w:szCs w:val="18"/>
              </w:rPr>
            </w:pPr>
            <w:r w:rsidRPr="001570EA">
              <w:rPr>
                <w:rFonts w:cs="Arial"/>
                <w:szCs w:val="18"/>
              </w:rPr>
              <w:t>8.82</w:t>
            </w:r>
          </w:p>
        </w:tc>
      </w:tr>
      <w:tr w:rsidR="007376E1" w:rsidRPr="001570EA" w14:paraId="2C070610" w14:textId="77777777">
        <w:tc>
          <w:tcPr>
            <w:tcW w:w="874" w:type="pct"/>
            <w:shd w:val="clear" w:color="auto" w:fill="BFBFBF" w:themeFill="background1" w:themeFillShade="BF"/>
          </w:tcPr>
          <w:p w14:paraId="60043506" w14:textId="77777777" w:rsidR="007376E1" w:rsidRPr="001570EA" w:rsidRDefault="007376E1">
            <w:pPr>
              <w:pStyle w:val="TableCell"/>
              <w:spacing w:before="40" w:after="40"/>
              <w:jc w:val="center"/>
              <w:rPr>
                <w:b/>
              </w:rPr>
            </w:pPr>
            <w:r w:rsidRPr="001570EA">
              <w:rPr>
                <w:b/>
              </w:rPr>
              <w:t>G</w:t>
            </w:r>
          </w:p>
        </w:tc>
        <w:tc>
          <w:tcPr>
            <w:tcW w:w="1663" w:type="pct"/>
          </w:tcPr>
          <w:p w14:paraId="1C731A32" w14:textId="77777777" w:rsidR="007376E1" w:rsidRPr="001570EA" w:rsidRDefault="007376E1">
            <w:pPr>
              <w:pStyle w:val="TableCell"/>
              <w:spacing w:before="40" w:after="40"/>
            </w:pPr>
            <w:r w:rsidRPr="001570EA">
              <w:t>Bradford</w:t>
            </w:r>
          </w:p>
        </w:tc>
        <w:tc>
          <w:tcPr>
            <w:tcW w:w="2462" w:type="pct"/>
            <w:shd w:val="clear" w:color="auto" w:fill="auto"/>
            <w:vAlign w:val="center"/>
          </w:tcPr>
          <w:p w14:paraId="06C0C30A" w14:textId="77777777" w:rsidR="007376E1" w:rsidRPr="001570EA" w:rsidRDefault="007376E1">
            <w:pPr>
              <w:pStyle w:val="TableCell"/>
              <w:spacing w:before="40" w:after="40"/>
              <w:jc w:val="center"/>
              <w:rPr>
                <w:rFonts w:eastAsia="Arial Unicode MS" w:cs="Arial"/>
                <w:szCs w:val="18"/>
              </w:rPr>
            </w:pPr>
            <w:r w:rsidRPr="001570EA">
              <w:rPr>
                <w:rFonts w:cs="Arial"/>
                <w:szCs w:val="18"/>
              </w:rPr>
              <w:t>8.98</w:t>
            </w:r>
          </w:p>
        </w:tc>
      </w:tr>
      <w:tr w:rsidR="007376E1" w:rsidRPr="001570EA" w14:paraId="72B765C7" w14:textId="77777777">
        <w:tc>
          <w:tcPr>
            <w:tcW w:w="874" w:type="pct"/>
            <w:shd w:val="clear" w:color="auto" w:fill="BFBFBF" w:themeFill="background1" w:themeFillShade="BF"/>
          </w:tcPr>
          <w:p w14:paraId="24806CD4" w14:textId="77777777" w:rsidR="007376E1" w:rsidRPr="001570EA" w:rsidRDefault="007376E1">
            <w:pPr>
              <w:pStyle w:val="TableCell"/>
              <w:spacing w:before="40" w:after="40"/>
              <w:jc w:val="center"/>
              <w:rPr>
                <w:b/>
              </w:rPr>
            </w:pPr>
            <w:r w:rsidRPr="001570EA">
              <w:rPr>
                <w:b/>
              </w:rPr>
              <w:t>I</w:t>
            </w:r>
          </w:p>
        </w:tc>
        <w:tc>
          <w:tcPr>
            <w:tcW w:w="1663" w:type="pct"/>
          </w:tcPr>
          <w:p w14:paraId="6DDBD2C3" w14:textId="77777777" w:rsidR="007376E1" w:rsidRPr="001570EA" w:rsidRDefault="007376E1">
            <w:pPr>
              <w:pStyle w:val="TableCell"/>
              <w:spacing w:before="40" w:after="40"/>
              <w:rPr>
                <w:rFonts w:ascii="Arial Unicode MS" w:eastAsia="Arial Unicode MS" w:hAnsi="Arial Unicode MS" w:cs="Arial Unicode MS"/>
              </w:rPr>
            </w:pPr>
            <w:r w:rsidRPr="001570EA">
              <w:t>Erie</w:t>
            </w:r>
          </w:p>
        </w:tc>
        <w:tc>
          <w:tcPr>
            <w:tcW w:w="2462" w:type="pct"/>
            <w:shd w:val="clear" w:color="auto" w:fill="auto"/>
            <w:vAlign w:val="center"/>
          </w:tcPr>
          <w:p w14:paraId="25316333" w14:textId="77777777" w:rsidR="007376E1" w:rsidRPr="001570EA" w:rsidRDefault="007376E1">
            <w:pPr>
              <w:pStyle w:val="TableCell"/>
              <w:spacing w:before="40" w:after="40"/>
              <w:jc w:val="center"/>
              <w:rPr>
                <w:rFonts w:eastAsia="Arial Unicode MS" w:cs="Arial"/>
                <w:szCs w:val="18"/>
              </w:rPr>
            </w:pPr>
            <w:r w:rsidRPr="001570EA">
              <w:rPr>
                <w:rFonts w:cs="Arial"/>
                <w:szCs w:val="18"/>
              </w:rPr>
              <w:t>7.13</w:t>
            </w:r>
          </w:p>
        </w:tc>
      </w:tr>
      <w:tr w:rsidR="007376E1" w:rsidRPr="001570EA" w14:paraId="3CF1D4F9" w14:textId="77777777">
        <w:tc>
          <w:tcPr>
            <w:tcW w:w="874" w:type="pct"/>
            <w:shd w:val="clear" w:color="auto" w:fill="BFBFBF" w:themeFill="background1" w:themeFillShade="BF"/>
          </w:tcPr>
          <w:p w14:paraId="00C883B9" w14:textId="77777777" w:rsidR="007376E1" w:rsidRPr="001570EA" w:rsidRDefault="007376E1">
            <w:pPr>
              <w:pStyle w:val="TableCell"/>
              <w:spacing w:before="40" w:after="40"/>
              <w:jc w:val="center"/>
              <w:rPr>
                <w:b/>
              </w:rPr>
            </w:pPr>
            <w:r w:rsidRPr="001570EA">
              <w:rPr>
                <w:b/>
              </w:rPr>
              <w:t>E</w:t>
            </w:r>
          </w:p>
        </w:tc>
        <w:tc>
          <w:tcPr>
            <w:tcW w:w="1663" w:type="pct"/>
          </w:tcPr>
          <w:p w14:paraId="27721092" w14:textId="77777777" w:rsidR="007376E1" w:rsidRPr="001570EA" w:rsidRDefault="007376E1">
            <w:pPr>
              <w:pStyle w:val="TableCell"/>
              <w:spacing w:before="40" w:after="40"/>
              <w:rPr>
                <w:rFonts w:ascii="Arial Unicode MS" w:eastAsia="Arial Unicode MS" w:hAnsi="Arial Unicode MS" w:cs="Arial Unicode MS"/>
              </w:rPr>
            </w:pPr>
            <w:r w:rsidRPr="001570EA">
              <w:t>Harrisburg</w:t>
            </w:r>
          </w:p>
        </w:tc>
        <w:tc>
          <w:tcPr>
            <w:tcW w:w="2462" w:type="pct"/>
            <w:shd w:val="clear" w:color="auto" w:fill="auto"/>
            <w:vAlign w:val="center"/>
          </w:tcPr>
          <w:p w14:paraId="5DF28C00" w14:textId="77777777" w:rsidR="007376E1" w:rsidRPr="001570EA" w:rsidRDefault="007376E1">
            <w:pPr>
              <w:pStyle w:val="TableCell"/>
              <w:spacing w:before="40" w:after="40"/>
              <w:jc w:val="center"/>
              <w:rPr>
                <w:rFonts w:eastAsia="Arial Unicode MS" w:cs="Arial"/>
                <w:szCs w:val="18"/>
              </w:rPr>
            </w:pPr>
            <w:r w:rsidRPr="001570EA">
              <w:rPr>
                <w:rFonts w:cs="Arial"/>
                <w:szCs w:val="18"/>
              </w:rPr>
              <w:t>5.90</w:t>
            </w:r>
          </w:p>
        </w:tc>
      </w:tr>
      <w:tr w:rsidR="007376E1" w:rsidRPr="001570EA" w14:paraId="73E6FA4B" w14:textId="77777777">
        <w:tc>
          <w:tcPr>
            <w:tcW w:w="874" w:type="pct"/>
            <w:shd w:val="clear" w:color="auto" w:fill="BFBFBF" w:themeFill="background1" w:themeFillShade="BF"/>
          </w:tcPr>
          <w:p w14:paraId="24842515" w14:textId="77777777" w:rsidR="007376E1" w:rsidRPr="001570EA" w:rsidRDefault="007376E1">
            <w:pPr>
              <w:pStyle w:val="TableCell"/>
              <w:spacing w:before="40" w:after="40"/>
              <w:jc w:val="center"/>
              <w:rPr>
                <w:b/>
              </w:rPr>
            </w:pPr>
            <w:r w:rsidRPr="001570EA">
              <w:rPr>
                <w:b/>
              </w:rPr>
              <w:t>D</w:t>
            </w:r>
          </w:p>
        </w:tc>
        <w:tc>
          <w:tcPr>
            <w:tcW w:w="1663" w:type="pct"/>
          </w:tcPr>
          <w:p w14:paraId="7C8F5B2F" w14:textId="77777777" w:rsidR="007376E1" w:rsidRPr="001570EA" w:rsidRDefault="007376E1">
            <w:pPr>
              <w:pStyle w:val="TableCell"/>
              <w:spacing w:before="40" w:after="40"/>
              <w:rPr>
                <w:rFonts w:ascii="Arial Unicode MS" w:eastAsia="Arial Unicode MS" w:hAnsi="Arial Unicode MS" w:cs="Arial Unicode MS"/>
              </w:rPr>
            </w:pPr>
            <w:r w:rsidRPr="001570EA">
              <w:t>Philadelphia</w:t>
            </w:r>
          </w:p>
        </w:tc>
        <w:tc>
          <w:tcPr>
            <w:tcW w:w="2462" w:type="pct"/>
            <w:shd w:val="clear" w:color="auto" w:fill="auto"/>
            <w:vAlign w:val="center"/>
          </w:tcPr>
          <w:p w14:paraId="22AA21FF" w14:textId="77777777" w:rsidR="007376E1" w:rsidRPr="001570EA" w:rsidRDefault="007376E1">
            <w:pPr>
              <w:pStyle w:val="TableCell"/>
              <w:spacing w:before="40" w:after="40"/>
              <w:jc w:val="center"/>
              <w:rPr>
                <w:rFonts w:eastAsia="Arial Unicode MS" w:cs="Arial"/>
                <w:szCs w:val="18"/>
              </w:rPr>
            </w:pPr>
            <w:r w:rsidRPr="001570EA">
              <w:rPr>
                <w:rFonts w:cs="Arial"/>
                <w:szCs w:val="18"/>
              </w:rPr>
              <w:t>5.14</w:t>
            </w:r>
          </w:p>
        </w:tc>
      </w:tr>
      <w:tr w:rsidR="007376E1" w:rsidRPr="001570EA" w14:paraId="4E5ABA7D" w14:textId="77777777">
        <w:tc>
          <w:tcPr>
            <w:tcW w:w="874" w:type="pct"/>
            <w:shd w:val="clear" w:color="auto" w:fill="BFBFBF" w:themeFill="background1" w:themeFillShade="BF"/>
          </w:tcPr>
          <w:p w14:paraId="7F1CF419" w14:textId="77777777" w:rsidR="007376E1" w:rsidRPr="001570EA" w:rsidRDefault="007376E1">
            <w:pPr>
              <w:pStyle w:val="TableCell"/>
              <w:spacing w:before="40" w:after="40"/>
              <w:jc w:val="center"/>
              <w:rPr>
                <w:b/>
              </w:rPr>
            </w:pPr>
            <w:r w:rsidRPr="001570EA">
              <w:rPr>
                <w:b/>
              </w:rPr>
              <w:t>H</w:t>
            </w:r>
          </w:p>
        </w:tc>
        <w:tc>
          <w:tcPr>
            <w:tcW w:w="1663" w:type="pct"/>
          </w:tcPr>
          <w:p w14:paraId="14CD4FCE" w14:textId="77777777" w:rsidR="007376E1" w:rsidRPr="001570EA" w:rsidRDefault="007376E1">
            <w:pPr>
              <w:pStyle w:val="TableCell"/>
              <w:spacing w:before="40" w:after="40"/>
              <w:rPr>
                <w:rFonts w:ascii="Arial Unicode MS" w:eastAsia="Arial Unicode MS" w:hAnsi="Arial Unicode MS" w:cs="Arial Unicode MS"/>
              </w:rPr>
            </w:pPr>
            <w:r w:rsidRPr="001570EA">
              <w:t>Pittsburgh</w:t>
            </w:r>
          </w:p>
        </w:tc>
        <w:tc>
          <w:tcPr>
            <w:tcW w:w="2462" w:type="pct"/>
            <w:shd w:val="clear" w:color="auto" w:fill="auto"/>
            <w:vAlign w:val="center"/>
          </w:tcPr>
          <w:p w14:paraId="237B5AE5" w14:textId="77777777" w:rsidR="007376E1" w:rsidRPr="001570EA" w:rsidRDefault="007376E1">
            <w:pPr>
              <w:pStyle w:val="TableCell"/>
              <w:spacing w:before="40" w:after="40"/>
              <w:jc w:val="center"/>
              <w:rPr>
                <w:rFonts w:eastAsia="Arial Unicode MS" w:cs="Arial"/>
                <w:szCs w:val="18"/>
              </w:rPr>
            </w:pPr>
            <w:r w:rsidRPr="001570EA">
              <w:rPr>
                <w:rFonts w:cs="Arial"/>
                <w:szCs w:val="18"/>
              </w:rPr>
              <w:t>6.68</w:t>
            </w:r>
          </w:p>
        </w:tc>
      </w:tr>
      <w:tr w:rsidR="007376E1" w:rsidRPr="001570EA" w14:paraId="1CCD2533" w14:textId="77777777">
        <w:trPr>
          <w:trHeight w:val="58"/>
        </w:trPr>
        <w:tc>
          <w:tcPr>
            <w:tcW w:w="874" w:type="pct"/>
            <w:shd w:val="clear" w:color="auto" w:fill="BFBFBF" w:themeFill="background1" w:themeFillShade="BF"/>
          </w:tcPr>
          <w:p w14:paraId="09B12933" w14:textId="77777777" w:rsidR="007376E1" w:rsidRPr="001570EA" w:rsidRDefault="007376E1">
            <w:pPr>
              <w:pStyle w:val="TableCell"/>
              <w:spacing w:before="40" w:after="40"/>
              <w:jc w:val="center"/>
              <w:rPr>
                <w:b/>
              </w:rPr>
            </w:pPr>
            <w:r w:rsidRPr="001570EA">
              <w:rPr>
                <w:b/>
              </w:rPr>
              <w:t>B</w:t>
            </w:r>
          </w:p>
        </w:tc>
        <w:tc>
          <w:tcPr>
            <w:tcW w:w="1663" w:type="pct"/>
          </w:tcPr>
          <w:p w14:paraId="6C86508F" w14:textId="77777777" w:rsidR="007376E1" w:rsidRPr="001570EA" w:rsidRDefault="007376E1">
            <w:pPr>
              <w:pStyle w:val="TableCell"/>
              <w:spacing w:before="40" w:after="40"/>
              <w:rPr>
                <w:rFonts w:ascii="Arial Unicode MS" w:eastAsia="Arial Unicode MS" w:hAnsi="Arial Unicode MS" w:cs="Arial Unicode MS"/>
              </w:rPr>
            </w:pPr>
            <w:r w:rsidRPr="001570EA">
              <w:t>Scranton</w:t>
            </w:r>
          </w:p>
        </w:tc>
        <w:tc>
          <w:tcPr>
            <w:tcW w:w="2462" w:type="pct"/>
            <w:shd w:val="clear" w:color="auto" w:fill="auto"/>
            <w:vAlign w:val="center"/>
          </w:tcPr>
          <w:p w14:paraId="77CD5F47" w14:textId="77777777" w:rsidR="007376E1" w:rsidRPr="001570EA" w:rsidRDefault="007376E1">
            <w:pPr>
              <w:pStyle w:val="TableCell"/>
              <w:spacing w:before="40" w:after="40"/>
              <w:jc w:val="center"/>
              <w:rPr>
                <w:rFonts w:eastAsia="Arial Unicode MS" w:cs="Arial"/>
                <w:szCs w:val="18"/>
              </w:rPr>
            </w:pPr>
            <w:r w:rsidRPr="001570EA">
              <w:rPr>
                <w:rFonts w:cs="Arial"/>
                <w:szCs w:val="18"/>
              </w:rPr>
              <w:t>6.84</w:t>
            </w:r>
          </w:p>
        </w:tc>
      </w:tr>
      <w:tr w:rsidR="007376E1" w:rsidRPr="001570EA" w14:paraId="5A19DD3A" w14:textId="77777777">
        <w:tc>
          <w:tcPr>
            <w:tcW w:w="874" w:type="pct"/>
            <w:shd w:val="clear" w:color="auto" w:fill="BFBFBF" w:themeFill="background1" w:themeFillShade="BF"/>
          </w:tcPr>
          <w:p w14:paraId="0518D97E" w14:textId="77777777" w:rsidR="007376E1" w:rsidRPr="001570EA" w:rsidRDefault="007376E1">
            <w:pPr>
              <w:pStyle w:val="TableCell"/>
              <w:spacing w:before="40" w:after="40"/>
              <w:jc w:val="center"/>
              <w:rPr>
                <w:b/>
              </w:rPr>
            </w:pPr>
            <w:r w:rsidRPr="001570EA">
              <w:rPr>
                <w:b/>
              </w:rPr>
              <w:t>F</w:t>
            </w:r>
          </w:p>
        </w:tc>
        <w:tc>
          <w:tcPr>
            <w:tcW w:w="1663" w:type="pct"/>
          </w:tcPr>
          <w:p w14:paraId="255C6096" w14:textId="77777777" w:rsidR="007376E1" w:rsidRPr="001570EA" w:rsidRDefault="007376E1">
            <w:pPr>
              <w:pStyle w:val="TableCell"/>
              <w:spacing w:before="40" w:after="40"/>
              <w:rPr>
                <w:rFonts w:ascii="Arial Unicode MS" w:eastAsia="Arial Unicode MS" w:hAnsi="Arial Unicode MS" w:cs="Arial Unicode MS"/>
              </w:rPr>
            </w:pPr>
            <w:r w:rsidRPr="001570EA">
              <w:t>Williamsport</w:t>
            </w:r>
          </w:p>
        </w:tc>
        <w:tc>
          <w:tcPr>
            <w:tcW w:w="2462" w:type="pct"/>
            <w:shd w:val="clear" w:color="auto" w:fill="auto"/>
            <w:vAlign w:val="center"/>
          </w:tcPr>
          <w:p w14:paraId="63F21B9A" w14:textId="77777777" w:rsidR="007376E1" w:rsidRPr="001570EA" w:rsidRDefault="007376E1">
            <w:pPr>
              <w:pStyle w:val="TableCell"/>
              <w:spacing w:before="40" w:after="40"/>
              <w:jc w:val="center"/>
              <w:rPr>
                <w:rFonts w:eastAsia="Arial Unicode MS" w:cs="Arial"/>
                <w:szCs w:val="18"/>
              </w:rPr>
            </w:pPr>
            <w:r w:rsidRPr="001570EA">
              <w:rPr>
                <w:rFonts w:cs="Arial"/>
                <w:szCs w:val="18"/>
              </w:rPr>
              <w:t>6.85</w:t>
            </w:r>
          </w:p>
        </w:tc>
      </w:tr>
    </w:tbl>
    <w:p w14:paraId="2D48E4B2" w14:textId="77777777" w:rsidR="007376E1" w:rsidRPr="001570EA" w:rsidRDefault="007376E1" w:rsidP="007376E1"/>
    <w:p w14:paraId="607A4659" w14:textId="77777777" w:rsidR="007376E1" w:rsidRPr="001570EA" w:rsidRDefault="007376E1" w:rsidP="007376E1">
      <w:pPr>
        <w:pStyle w:val="SubStyle"/>
      </w:pPr>
      <w:r w:rsidRPr="001570EA">
        <w:t>Evaluation Protocols</w:t>
      </w:r>
    </w:p>
    <w:p w14:paraId="4DE99B53" w14:textId="77777777" w:rsidR="007376E1" w:rsidRPr="001570EA" w:rsidRDefault="007376E1" w:rsidP="007376E1">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15F89493" w14:textId="77777777" w:rsidR="007376E1" w:rsidRPr="001570EA" w:rsidRDefault="007376E1" w:rsidP="007376E1"/>
    <w:p w14:paraId="7C688192" w14:textId="77777777" w:rsidR="007376E1" w:rsidRPr="001570EA" w:rsidRDefault="007376E1" w:rsidP="007376E1">
      <w:pPr>
        <w:pStyle w:val="SubStyle"/>
      </w:pPr>
      <w:r w:rsidRPr="001570EA">
        <w:t>Sources</w:t>
      </w:r>
    </w:p>
    <w:p w14:paraId="503FCAC1" w14:textId="77777777" w:rsidR="007376E1" w:rsidRPr="001570EA" w:rsidRDefault="007376E1" w:rsidP="002614D2">
      <w:pPr>
        <w:pStyle w:val="source10"/>
        <w:numPr>
          <w:ilvl w:val="0"/>
          <w:numId w:val="43"/>
        </w:numPr>
        <w:tabs>
          <w:tab w:val="clear" w:pos="720"/>
          <w:tab w:val="num" w:pos="360"/>
        </w:tabs>
        <w:spacing w:after="120"/>
        <w:ind w:left="360"/>
        <w:jc w:val="left"/>
      </w:pPr>
      <w:r w:rsidRPr="001570EA">
        <w:t>Engineering judgement based off other HVAC Tune up measures.</w:t>
      </w:r>
    </w:p>
    <w:p w14:paraId="3A522CC0" w14:textId="77777777" w:rsidR="007376E1" w:rsidRPr="001570EA" w:rsidRDefault="007376E1" w:rsidP="002614D2">
      <w:pPr>
        <w:pStyle w:val="source10"/>
        <w:numPr>
          <w:ilvl w:val="0"/>
          <w:numId w:val="43"/>
        </w:numPr>
        <w:tabs>
          <w:tab w:val="clear" w:pos="720"/>
          <w:tab w:val="num" w:pos="360"/>
        </w:tabs>
        <w:spacing w:after="120"/>
        <w:ind w:left="360"/>
        <w:jc w:val="left"/>
        <w:rPr>
          <w:rFonts w:eastAsia="Calibri"/>
        </w:rPr>
      </w:pPr>
      <w:r w:rsidRPr="001570EA">
        <w:rPr>
          <w:szCs w:val="18"/>
        </w:rPr>
        <w:t>Average blower motor capacity for gas furnace (typical range = ¼ hp to ¾ hp)</w:t>
      </w:r>
      <w:r w:rsidRPr="001570EA">
        <w:rPr>
          <w:rFonts w:eastAsia="Calibri"/>
        </w:rPr>
        <w:t>. Converted to kW with 1 HP = 0.7547 kW.</w:t>
      </w:r>
    </w:p>
    <w:p w14:paraId="7D8B8508" w14:textId="61394D21" w:rsidR="007376E1" w:rsidRPr="001570EA" w:rsidRDefault="007376E1" w:rsidP="002614D2">
      <w:pPr>
        <w:pStyle w:val="ListParagraph"/>
        <w:numPr>
          <w:ilvl w:val="0"/>
          <w:numId w:val="43"/>
        </w:numPr>
        <w:tabs>
          <w:tab w:val="clear" w:pos="720"/>
          <w:tab w:val="num" w:pos="360"/>
        </w:tabs>
        <w:overflowPunct/>
        <w:autoSpaceDE/>
        <w:autoSpaceDN/>
        <w:adjustRightInd/>
        <w:ind w:left="360"/>
        <w:jc w:val="left"/>
        <w:textAlignment w:val="auto"/>
      </w:pPr>
      <w:r w:rsidRPr="001570EA">
        <w:t>Based on the Phase III SWE team’s analysis of regional HVAC runtime data collected from ecobee’s Donate Your Data research service (</w:t>
      </w:r>
      <w:hyperlink r:id="rId122" w:history="1">
        <w:r w:rsidRPr="001570EA">
          <w:rPr>
            <w:rStyle w:val="Hyperlink"/>
          </w:rPr>
          <w:t>Weblink</w:t>
        </w:r>
      </w:hyperlink>
      <w:r w:rsidRPr="001570EA">
        <w:t>) and updated based on the latest CDD and HDD values from NOAA’s 15-year annual climate Normals (2006–2020) (</w:t>
      </w:r>
      <w:hyperlink r:id="rId123" w:history="1">
        <w:r w:rsidRPr="001570EA">
          <w:rPr>
            <w:rStyle w:val="Hyperlink"/>
          </w:rPr>
          <w:t>Weblink</w:t>
        </w:r>
      </w:hyperlink>
      <w:r w:rsidRPr="001570EA">
        <w:t>)</w:t>
      </w:r>
    </w:p>
    <w:p w14:paraId="6C7B8874" w14:textId="2D70559C" w:rsidR="007376E1" w:rsidRPr="001570EA" w:rsidRDefault="007376E1" w:rsidP="002614D2">
      <w:pPr>
        <w:pStyle w:val="source10"/>
        <w:numPr>
          <w:ilvl w:val="0"/>
          <w:numId w:val="43"/>
        </w:numPr>
        <w:tabs>
          <w:tab w:val="clear" w:pos="720"/>
          <w:tab w:val="num" w:pos="360"/>
        </w:tabs>
        <w:spacing w:after="120"/>
        <w:ind w:left="360"/>
        <w:jc w:val="left"/>
      </w:pPr>
      <w:r w:rsidRPr="001570EA">
        <w:t xml:space="preserve">State of Minnesota, Technical Reference Manual for Energy Conservation Improvement Programs, Version 2.0. </w:t>
      </w:r>
      <w:hyperlink r:id="rId124" w:history="1">
        <w:r w:rsidRPr="001570EA">
          <w:rPr>
            <w:rStyle w:val="Hyperlink"/>
          </w:rPr>
          <w:t>Weblink</w:t>
        </w:r>
      </w:hyperlink>
    </w:p>
    <w:p w14:paraId="5A2EB06B" w14:textId="77777777" w:rsidR="007376E1" w:rsidRPr="001570EA" w:rsidRDefault="007376E1" w:rsidP="007376E1">
      <w:pPr>
        <w:pStyle w:val="source10"/>
        <w:spacing w:line="288" w:lineRule="auto"/>
        <w:ind w:left="360"/>
        <w:jc w:val="left"/>
      </w:pPr>
    </w:p>
    <w:p w14:paraId="4C32D076" w14:textId="280DA6B5" w:rsidR="00BF46BE" w:rsidRPr="001570EA" w:rsidRDefault="00BF46BE" w:rsidP="007376E1">
      <w:pPr>
        <w:pStyle w:val="source10"/>
      </w:pPr>
      <w:r w:rsidRPr="001570EA">
        <w:br w:type="page"/>
      </w:r>
    </w:p>
    <w:p w14:paraId="40FD18AB" w14:textId="6398C621" w:rsidR="00BF46BE" w:rsidRPr="001570EA" w:rsidRDefault="00BF46BE" w:rsidP="00BF46BE">
      <w:pPr>
        <w:pStyle w:val="Heading3"/>
      </w:pPr>
      <w:bookmarkStart w:id="323" w:name="_Toc164786647"/>
      <w:r w:rsidRPr="001570EA">
        <w:t>ENERGY STAR Bathroom Exhaust Fan</w:t>
      </w:r>
      <w:bookmarkEnd w:id="3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5797"/>
      </w:tblGrid>
      <w:tr w:rsidR="00BF46BE" w:rsidRPr="001570EA" w14:paraId="7841A88C" w14:textId="77777777">
        <w:trPr>
          <w:trHeight w:val="360"/>
          <w:jc w:val="center"/>
        </w:trPr>
        <w:tc>
          <w:tcPr>
            <w:tcW w:w="2833" w:type="dxa"/>
            <w:shd w:val="clear" w:color="auto" w:fill="auto"/>
          </w:tcPr>
          <w:p w14:paraId="48A82752" w14:textId="77777777" w:rsidR="00BF46BE" w:rsidRPr="001570EA" w:rsidRDefault="00BF46BE">
            <w:pPr>
              <w:pStyle w:val="TableCell"/>
              <w:spacing w:before="60" w:after="60"/>
              <w:rPr>
                <w:b/>
              </w:rPr>
            </w:pPr>
            <w:r w:rsidRPr="001570EA">
              <w:rPr>
                <w:b/>
              </w:rPr>
              <w:t>Target Sector</w:t>
            </w:r>
          </w:p>
        </w:tc>
        <w:tc>
          <w:tcPr>
            <w:tcW w:w="5797" w:type="dxa"/>
            <w:shd w:val="clear" w:color="auto" w:fill="auto"/>
          </w:tcPr>
          <w:p w14:paraId="75F94E66" w14:textId="77777777" w:rsidR="00BF46BE" w:rsidRPr="001570EA" w:rsidRDefault="00BF46BE">
            <w:pPr>
              <w:pStyle w:val="TableCell"/>
              <w:spacing w:before="60" w:after="60"/>
              <w:jc w:val="center"/>
            </w:pPr>
            <w:r w:rsidRPr="001570EA">
              <w:t>Residential</w:t>
            </w:r>
          </w:p>
        </w:tc>
      </w:tr>
      <w:tr w:rsidR="00BF46BE" w:rsidRPr="001570EA" w14:paraId="56870ACB" w14:textId="77777777">
        <w:trPr>
          <w:trHeight w:val="360"/>
          <w:jc w:val="center"/>
        </w:trPr>
        <w:tc>
          <w:tcPr>
            <w:tcW w:w="2833" w:type="dxa"/>
            <w:shd w:val="clear" w:color="auto" w:fill="auto"/>
          </w:tcPr>
          <w:p w14:paraId="09EBE8B1" w14:textId="77777777" w:rsidR="00BF46BE" w:rsidRPr="001570EA" w:rsidRDefault="00BF46BE">
            <w:pPr>
              <w:pStyle w:val="TableCell"/>
              <w:spacing w:before="60" w:after="60"/>
              <w:rPr>
                <w:b/>
              </w:rPr>
            </w:pPr>
            <w:r w:rsidRPr="001570EA">
              <w:rPr>
                <w:b/>
              </w:rPr>
              <w:t>Measure Unit</w:t>
            </w:r>
          </w:p>
        </w:tc>
        <w:tc>
          <w:tcPr>
            <w:tcW w:w="5797" w:type="dxa"/>
            <w:shd w:val="clear" w:color="auto" w:fill="auto"/>
          </w:tcPr>
          <w:p w14:paraId="3A4A7C15" w14:textId="77777777" w:rsidR="00BF46BE" w:rsidRPr="001570EA" w:rsidRDefault="00BF46BE">
            <w:pPr>
              <w:pStyle w:val="TableCell"/>
              <w:spacing w:before="60" w:after="60"/>
              <w:jc w:val="center"/>
            </w:pPr>
            <w:r w:rsidRPr="001570EA">
              <w:t>Exhaust Fan Unit</w:t>
            </w:r>
          </w:p>
        </w:tc>
      </w:tr>
      <w:tr w:rsidR="00BF46BE" w:rsidRPr="001570EA" w14:paraId="7DFF631E" w14:textId="77777777">
        <w:trPr>
          <w:trHeight w:val="360"/>
          <w:jc w:val="center"/>
        </w:trPr>
        <w:tc>
          <w:tcPr>
            <w:tcW w:w="2833" w:type="dxa"/>
            <w:shd w:val="clear" w:color="auto" w:fill="auto"/>
          </w:tcPr>
          <w:p w14:paraId="15B5ED6F" w14:textId="77777777" w:rsidR="00BF46BE" w:rsidRPr="001570EA" w:rsidRDefault="00BF46BE">
            <w:pPr>
              <w:pStyle w:val="TableCell"/>
              <w:spacing w:before="60" w:after="60"/>
              <w:rPr>
                <w:b/>
              </w:rPr>
            </w:pPr>
            <w:r w:rsidRPr="001570EA">
              <w:rPr>
                <w:b/>
              </w:rPr>
              <w:t>Measure Life</w:t>
            </w:r>
          </w:p>
        </w:tc>
        <w:tc>
          <w:tcPr>
            <w:tcW w:w="5797" w:type="dxa"/>
            <w:shd w:val="clear" w:color="auto" w:fill="auto"/>
          </w:tcPr>
          <w:p w14:paraId="7F626D13" w14:textId="77777777" w:rsidR="00BF46BE" w:rsidRPr="001570EA" w:rsidRDefault="00BF46BE">
            <w:pPr>
              <w:pStyle w:val="TableCell"/>
              <w:spacing w:before="60" w:after="60"/>
              <w:jc w:val="center"/>
            </w:pPr>
            <w:r w:rsidRPr="001570EA">
              <w:t>15 years</w:t>
            </w:r>
            <w:r w:rsidRPr="001570EA">
              <w:rPr>
                <w:vertAlign w:val="superscript"/>
              </w:rPr>
              <w:t>Source1</w:t>
            </w:r>
          </w:p>
        </w:tc>
      </w:tr>
      <w:tr w:rsidR="00BF46BE" w:rsidRPr="001570EA" w14:paraId="083B2F57" w14:textId="77777777">
        <w:trPr>
          <w:trHeight w:val="360"/>
          <w:jc w:val="center"/>
        </w:trPr>
        <w:tc>
          <w:tcPr>
            <w:tcW w:w="2833" w:type="dxa"/>
            <w:shd w:val="clear" w:color="auto" w:fill="auto"/>
          </w:tcPr>
          <w:p w14:paraId="498A616C" w14:textId="77777777" w:rsidR="00BF46BE" w:rsidRPr="001570EA" w:rsidRDefault="00BF46BE">
            <w:pPr>
              <w:pStyle w:val="TableCell"/>
              <w:spacing w:before="60" w:after="60"/>
              <w:rPr>
                <w:b/>
              </w:rPr>
            </w:pPr>
            <w:r w:rsidRPr="001570EA">
              <w:rPr>
                <w:b/>
              </w:rPr>
              <w:t>Vintage</w:t>
            </w:r>
          </w:p>
        </w:tc>
        <w:tc>
          <w:tcPr>
            <w:tcW w:w="5797" w:type="dxa"/>
            <w:shd w:val="clear" w:color="auto" w:fill="auto"/>
          </w:tcPr>
          <w:p w14:paraId="5CC838E2" w14:textId="77777777" w:rsidR="00BF46BE" w:rsidRPr="001570EA" w:rsidRDefault="00BF46BE">
            <w:pPr>
              <w:pStyle w:val="TableCell"/>
              <w:spacing w:before="60" w:after="60"/>
              <w:jc w:val="center"/>
            </w:pPr>
            <w:r w:rsidRPr="001570EA">
              <w:t>Replace on Burnout, New Construction</w:t>
            </w:r>
          </w:p>
        </w:tc>
      </w:tr>
    </w:tbl>
    <w:p w14:paraId="6193CC09" w14:textId="77777777" w:rsidR="00BF46BE" w:rsidRPr="001570EA" w:rsidRDefault="00BF46BE" w:rsidP="00723E36">
      <w:pPr>
        <w:pStyle w:val="NoSpacing"/>
        <w:spacing w:after="0"/>
      </w:pPr>
    </w:p>
    <w:p w14:paraId="7E074E48" w14:textId="77777777" w:rsidR="00BF46BE" w:rsidRPr="001570EA" w:rsidRDefault="00BF46BE" w:rsidP="00BF46BE">
      <w:r w:rsidRPr="001570EA">
        <w:t>This measure is for the purchase and installation of a bathroom exhaust fan meeting ENERGY STAR eligibility criteria. The amount of energy savings depends on whether the fan is used for spot ventilation or for continuous mechanical ventilation due to reduced air-infiltration from a tighter building shell. This measure assumes fan capacities between 10 and 200 CFM rated at a sound level of less than 2.0</w:t>
      </w:r>
      <w:r w:rsidRPr="001570EA">
        <w:rPr>
          <w:b/>
          <w:smallCaps/>
        </w:rPr>
        <w:t xml:space="preserve"> </w:t>
      </w:r>
      <w:r w:rsidRPr="001570EA">
        <w:t>sones at 0.1 inches of water column static pressure. When claiming savings associated with continuous operation, eligible installations should be sized to provide the mechanical ventilation rate indicated by ASHRAE 62.2.</w:t>
      </w:r>
    </w:p>
    <w:p w14:paraId="79531843" w14:textId="77777777" w:rsidR="00BF46BE" w:rsidRPr="001570EA" w:rsidRDefault="00BF46BE" w:rsidP="00BF46BE">
      <w:pPr>
        <w:rPr>
          <w:b/>
          <w:smallCaps/>
        </w:rPr>
      </w:pPr>
    </w:p>
    <w:p w14:paraId="03D6C924" w14:textId="77777777" w:rsidR="00BF46BE" w:rsidRPr="001570EA" w:rsidRDefault="00BF46BE" w:rsidP="00BF46BE">
      <w:pPr>
        <w:pStyle w:val="SubStyle"/>
      </w:pPr>
      <w:r w:rsidRPr="001570EA">
        <w:t>Eligibility</w:t>
      </w:r>
    </w:p>
    <w:p w14:paraId="61EF14DC" w14:textId="79F7EF7B" w:rsidR="00BF46BE" w:rsidRPr="001570EA" w:rsidRDefault="00BF46BE" w:rsidP="00BF46BE">
      <w:pPr>
        <w:rPr>
          <w:vertAlign w:val="superscript"/>
        </w:rPr>
      </w:pPr>
      <w:r w:rsidRPr="001570EA">
        <w:t>This protocol documents the energy savings attributed to purchasing an exhaust-only bathroom ventilation fan meeting ENERGY STAR eligibility criteria instead of a bathroom ventilation fan that does not meet ENERGY STAR criteria. For continuous ventilation, the fan shall be rated for and providing continuous ventilation in accordance with ASHRAE 62.2.</w:t>
      </w:r>
      <w:r w:rsidRPr="001570EA">
        <w:rPr>
          <w:rStyle w:val="FootnoteReference"/>
        </w:rPr>
        <w:footnoteReference w:id="3"/>
      </w:r>
      <w:r w:rsidRPr="001570EA">
        <w:t xml:space="preserve"> ENERGY STAR specifications are provided below.</w:t>
      </w:r>
      <w:r w:rsidRPr="001570EA">
        <w:rPr>
          <w:vertAlign w:val="superscript"/>
        </w:rPr>
        <w:t>Source 2</w:t>
      </w:r>
    </w:p>
    <w:p w14:paraId="2C003143" w14:textId="77777777" w:rsidR="00BF46BE" w:rsidRPr="001570EA" w:rsidRDefault="00BF46BE" w:rsidP="00BF46BE"/>
    <w:p w14:paraId="1E6E9C0D" w14:textId="23BAD830" w:rsidR="00BF46BE" w:rsidRPr="001570EA" w:rsidRDefault="00BF46BE" w:rsidP="00BF46BE">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55</w:t>
      </w:r>
      <w:r w:rsidR="002E093A" w:rsidRPr="001570EA">
        <w:fldChar w:fldCharType="end"/>
      </w:r>
      <w:r w:rsidRPr="001570EA">
        <w:t>: ENERGY STAR Eligibility Criteria for Bathroom Exhaust Fans</w:t>
      </w:r>
    </w:p>
    <w:tbl>
      <w:tblPr>
        <w:tblW w:w="3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016"/>
        <w:gridCol w:w="2015"/>
      </w:tblGrid>
      <w:tr w:rsidR="00BF46BE" w:rsidRPr="001570EA" w14:paraId="418F3932" w14:textId="77777777">
        <w:trPr>
          <w:trHeight w:val="422"/>
          <w:tblHeader/>
        </w:trPr>
        <w:tc>
          <w:tcPr>
            <w:tcW w:w="1667" w:type="pct"/>
            <w:shd w:val="clear" w:color="auto" w:fill="BFBFBF"/>
            <w:vAlign w:val="center"/>
          </w:tcPr>
          <w:p w14:paraId="146567DB" w14:textId="77777777" w:rsidR="00BF46BE" w:rsidRPr="001570EA" w:rsidRDefault="00BF46BE">
            <w:pPr>
              <w:pStyle w:val="TableCell"/>
              <w:keepNext w:val="0"/>
              <w:widowControl w:val="0"/>
              <w:jc w:val="left"/>
              <w:rPr>
                <w:b/>
                <w:bCs/>
                <w:iCs/>
              </w:rPr>
            </w:pPr>
            <w:r w:rsidRPr="001570EA">
              <w:rPr>
                <w:b/>
                <w:bCs/>
                <w:iCs/>
              </w:rPr>
              <w:t>Fan Capacity (CFM)</w:t>
            </w:r>
          </w:p>
        </w:tc>
        <w:tc>
          <w:tcPr>
            <w:tcW w:w="1667" w:type="pct"/>
            <w:shd w:val="clear" w:color="auto" w:fill="BFBFBF"/>
            <w:vAlign w:val="center"/>
          </w:tcPr>
          <w:p w14:paraId="114DFAD4" w14:textId="77777777" w:rsidR="00BF46BE" w:rsidRPr="001570EA" w:rsidRDefault="00BF46BE">
            <w:pPr>
              <w:pStyle w:val="TableCell"/>
              <w:keepNext w:val="0"/>
              <w:widowControl w:val="0"/>
              <w:jc w:val="center"/>
              <w:rPr>
                <w:b/>
                <w:bCs/>
                <w:iCs/>
              </w:rPr>
            </w:pPr>
            <w:r w:rsidRPr="001570EA">
              <w:rPr>
                <w:b/>
                <w:bCs/>
                <w:iCs/>
              </w:rPr>
              <w:t>Minimum Efficacy (CFM/Watt)</w:t>
            </w:r>
          </w:p>
        </w:tc>
        <w:tc>
          <w:tcPr>
            <w:tcW w:w="1667" w:type="pct"/>
            <w:shd w:val="clear" w:color="auto" w:fill="BFBFBF"/>
            <w:vAlign w:val="center"/>
          </w:tcPr>
          <w:p w14:paraId="779C4851" w14:textId="77777777" w:rsidR="00BF46BE" w:rsidRPr="001570EA" w:rsidRDefault="00BF46BE">
            <w:pPr>
              <w:pStyle w:val="TableCell"/>
              <w:keepNext w:val="0"/>
              <w:widowControl w:val="0"/>
              <w:jc w:val="center"/>
              <w:rPr>
                <w:b/>
                <w:bCs/>
                <w:iCs/>
              </w:rPr>
            </w:pPr>
            <w:r w:rsidRPr="001570EA">
              <w:rPr>
                <w:b/>
                <w:bCs/>
                <w:iCs/>
              </w:rPr>
              <w:t>Maximum Sound Level (sones)</w:t>
            </w:r>
          </w:p>
        </w:tc>
      </w:tr>
      <w:tr w:rsidR="00BF46BE" w:rsidRPr="001570EA" w14:paraId="4F1C2F92" w14:textId="77777777">
        <w:tc>
          <w:tcPr>
            <w:tcW w:w="1667" w:type="pct"/>
            <w:vAlign w:val="center"/>
          </w:tcPr>
          <w:p w14:paraId="2E92110D" w14:textId="77777777" w:rsidR="00BF46BE" w:rsidRPr="001570EA" w:rsidRDefault="00BF46BE">
            <w:pPr>
              <w:pStyle w:val="TableCell"/>
              <w:keepNext w:val="0"/>
              <w:widowControl w:val="0"/>
              <w:jc w:val="left"/>
              <w:rPr>
                <w:rFonts w:eastAsia="Arial Unicode MS"/>
              </w:rPr>
            </w:pPr>
            <w:r w:rsidRPr="001570EA">
              <w:rPr>
                <w:rFonts w:eastAsia="Arial Unicode MS"/>
              </w:rPr>
              <w:t>10-89</w:t>
            </w:r>
          </w:p>
        </w:tc>
        <w:tc>
          <w:tcPr>
            <w:tcW w:w="1667" w:type="pct"/>
            <w:shd w:val="clear" w:color="auto" w:fill="auto"/>
            <w:vAlign w:val="center"/>
          </w:tcPr>
          <w:p w14:paraId="34A4EA0D" w14:textId="77777777" w:rsidR="00BF46BE" w:rsidRPr="001570EA" w:rsidRDefault="00BF46BE">
            <w:pPr>
              <w:pStyle w:val="TableCell"/>
              <w:keepNext w:val="0"/>
              <w:widowControl w:val="0"/>
              <w:jc w:val="center"/>
            </w:pPr>
            <w:r w:rsidRPr="001570EA">
              <w:t>2.8</w:t>
            </w:r>
          </w:p>
        </w:tc>
        <w:tc>
          <w:tcPr>
            <w:tcW w:w="1667" w:type="pct"/>
            <w:vAlign w:val="center"/>
          </w:tcPr>
          <w:p w14:paraId="35B3D5C1" w14:textId="77777777" w:rsidR="00BF46BE" w:rsidRPr="001570EA" w:rsidDel="001E709F" w:rsidRDefault="00BF46BE">
            <w:pPr>
              <w:pStyle w:val="TableCell"/>
              <w:keepNext w:val="0"/>
              <w:widowControl w:val="0"/>
              <w:jc w:val="center"/>
            </w:pPr>
            <w:r w:rsidRPr="001570EA">
              <w:rPr>
                <w:rFonts w:eastAsia="Arial Unicode MS"/>
              </w:rPr>
              <w:t>2.0</w:t>
            </w:r>
          </w:p>
        </w:tc>
      </w:tr>
      <w:tr w:rsidR="00BF46BE" w:rsidRPr="001570EA" w14:paraId="3CBD0756" w14:textId="77777777">
        <w:tc>
          <w:tcPr>
            <w:tcW w:w="1667" w:type="pct"/>
            <w:vAlign w:val="center"/>
          </w:tcPr>
          <w:p w14:paraId="0759C172" w14:textId="77777777" w:rsidR="00BF46BE" w:rsidRPr="001570EA" w:rsidRDefault="00BF46BE">
            <w:pPr>
              <w:pStyle w:val="TableCell"/>
              <w:keepNext w:val="0"/>
              <w:widowControl w:val="0"/>
              <w:jc w:val="left"/>
              <w:rPr>
                <w:rFonts w:eastAsia="Arial Unicode MS"/>
              </w:rPr>
            </w:pPr>
            <w:r w:rsidRPr="001570EA">
              <w:rPr>
                <w:rFonts w:eastAsia="Arial Unicode MS"/>
              </w:rPr>
              <w:t>90-200</w:t>
            </w:r>
          </w:p>
        </w:tc>
        <w:tc>
          <w:tcPr>
            <w:tcW w:w="1667" w:type="pct"/>
            <w:shd w:val="clear" w:color="auto" w:fill="auto"/>
            <w:vAlign w:val="center"/>
          </w:tcPr>
          <w:p w14:paraId="195ED7E2" w14:textId="77777777" w:rsidR="00BF46BE" w:rsidRPr="001570EA" w:rsidRDefault="00BF46BE">
            <w:pPr>
              <w:pStyle w:val="TableCell"/>
              <w:keepNext w:val="0"/>
              <w:widowControl w:val="0"/>
              <w:jc w:val="center"/>
            </w:pPr>
            <w:r w:rsidRPr="001570EA">
              <w:t>3.5</w:t>
            </w:r>
          </w:p>
        </w:tc>
        <w:tc>
          <w:tcPr>
            <w:tcW w:w="1667" w:type="pct"/>
            <w:vAlign w:val="center"/>
          </w:tcPr>
          <w:p w14:paraId="668CA5AF" w14:textId="77777777" w:rsidR="00BF46BE" w:rsidRPr="001570EA" w:rsidRDefault="00BF46BE">
            <w:pPr>
              <w:pStyle w:val="TableCell"/>
              <w:keepNext w:val="0"/>
              <w:widowControl w:val="0"/>
              <w:jc w:val="center"/>
              <w:rPr>
                <w:rFonts w:eastAsia="Arial Unicode MS"/>
              </w:rPr>
            </w:pPr>
            <w:r w:rsidRPr="001570EA">
              <w:rPr>
                <w:rFonts w:eastAsia="Arial Unicode MS"/>
              </w:rPr>
              <w:t>2.0</w:t>
            </w:r>
          </w:p>
        </w:tc>
      </w:tr>
    </w:tbl>
    <w:p w14:paraId="3ACF4323" w14:textId="77777777" w:rsidR="00BF46BE" w:rsidRPr="001570EA" w:rsidRDefault="00BF46BE" w:rsidP="00BF46BE"/>
    <w:p w14:paraId="3C4F67D6" w14:textId="77777777" w:rsidR="00BF46BE" w:rsidRPr="001570EA" w:rsidRDefault="00BF46BE" w:rsidP="00BF46BE">
      <w:pPr>
        <w:pStyle w:val="SubStyle"/>
      </w:pPr>
      <w:r w:rsidRPr="001570EA">
        <w:t>Algorithms</w:t>
      </w:r>
    </w:p>
    <w:p w14:paraId="4D4F5994" w14:textId="77777777" w:rsidR="00BF46BE" w:rsidRPr="001570EA" w:rsidRDefault="00BF46BE" w:rsidP="00BF46BE">
      <w:pPr>
        <w:pStyle w:val="BodyText"/>
      </w:pPr>
      <w:r w:rsidRPr="001570EA">
        <w:t>The energy savings algorithms are shown below. The key variables affecting the energy savings are the rated size (CFM) and efficiencies.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6414"/>
      </w:tblGrid>
      <w:tr w:rsidR="00BF46BE" w:rsidRPr="001570EA" w14:paraId="3119DCB2" w14:textId="77777777">
        <w:tc>
          <w:tcPr>
            <w:tcW w:w="2226" w:type="dxa"/>
            <w:vAlign w:val="center"/>
          </w:tcPr>
          <w:p w14:paraId="782C5EA0" w14:textId="77777777" w:rsidR="00BF46BE" w:rsidRPr="001570EA" w:rsidRDefault="00BF46BE">
            <w:pPr>
              <w:pStyle w:val="Equation"/>
              <w:ind w:left="0" w:firstLine="0"/>
              <w:rPr>
                <w:rFonts w:cs="Arial"/>
                <w:szCs w:val="20"/>
              </w:rPr>
            </w:pPr>
            <m:oMathPara>
              <m:oMathParaPr>
                <m:jc m:val="left"/>
              </m:oMathParaPr>
              <m:oMath>
                <m:r>
                  <w:rPr>
                    <w:rFonts w:ascii="Cambria Math" w:hAnsi="Cambria Math"/>
                  </w:rPr>
                  <m:t>∆</m:t>
                </m:r>
                <m:r>
                  <w:rPr>
                    <w:rFonts w:ascii="Cambria Math" w:hAnsi="Cambria Math" w:cs="Arial"/>
                    <w:szCs w:val="20"/>
                  </w:rPr>
                  <m:t>kWh</m:t>
                </m:r>
              </m:oMath>
            </m:oMathPara>
          </w:p>
        </w:tc>
        <w:tc>
          <w:tcPr>
            <w:tcW w:w="6414" w:type="dxa"/>
          </w:tcPr>
          <w:p w14:paraId="5937147D" w14:textId="77777777" w:rsidR="00BF46BE" w:rsidRPr="001570EA" w:rsidRDefault="00BF46BE">
            <w:pPr>
              <w:pStyle w:val="Equation"/>
              <w:ind w:left="0" w:firstLine="0"/>
              <w:rPr>
                <w:rFonts w:cs="Arial"/>
                <w:szCs w:val="20"/>
              </w:rPr>
            </w:pPr>
            <m:oMathPara>
              <m:oMathParaPr>
                <m:jc m:val="left"/>
              </m:oMathParaPr>
              <m:oMath>
                <m:r>
                  <w:rPr>
                    <w:rFonts w:ascii="Cambria Math" w:hAnsi="Cambria Math" w:cs="Arial"/>
                    <w:szCs w:val="20"/>
                  </w:rPr>
                  <m:t>=</m:t>
                </m:r>
                <m:d>
                  <m:dPr>
                    <m:ctrlPr>
                      <w:rPr>
                        <w:rFonts w:ascii="Cambria Math" w:hAnsi="Cambria Math" w:cs="Arial"/>
                        <w:szCs w:val="20"/>
                      </w:rPr>
                    </m:ctrlPr>
                  </m:dPr>
                  <m:e>
                    <m:r>
                      <w:rPr>
                        <w:rFonts w:ascii="Cambria Math" w:hAnsi="Cambria Math" w:cs="Arial"/>
                        <w:szCs w:val="20"/>
                      </w:rPr>
                      <m:t>CFM×</m:t>
                    </m:r>
                    <m:f>
                      <m:fPr>
                        <m:ctrlPr>
                          <w:rPr>
                            <w:rFonts w:ascii="Cambria Math" w:hAnsi="Cambria Math" w:cs="Arial"/>
                            <w:szCs w:val="20"/>
                          </w:rPr>
                        </m:ctrlPr>
                      </m:fPr>
                      <m:num>
                        <m:f>
                          <m:fPr>
                            <m:ctrlPr>
                              <w:rPr>
                                <w:rFonts w:ascii="Cambria Math" w:hAnsi="Cambria Math" w:cs="Arial"/>
                                <w:szCs w:val="20"/>
                              </w:rPr>
                            </m:ctrlPr>
                          </m:fPr>
                          <m:num>
                            <m:r>
                              <w:rPr>
                                <w:rFonts w:ascii="Cambria Math" w:hAnsi="Cambria Math" w:cs="Arial"/>
                                <w:szCs w:val="20"/>
                              </w:rPr>
                              <m:t>1</m:t>
                            </m:r>
                          </m:num>
                          <m:den>
                            <m:r>
                              <w:rPr>
                                <w:rFonts w:ascii="Cambria Math" w:hAnsi="Cambria Math" w:cs="Arial"/>
                                <w:szCs w:val="20"/>
                              </w:rPr>
                              <m:t>ηBaseline</m:t>
                            </m:r>
                            <m:f>
                              <m:fPr>
                                <m:ctrlPr>
                                  <w:rPr>
                                    <w:rFonts w:ascii="Cambria Math" w:hAnsi="Cambria Math" w:cs="Arial"/>
                                    <w:szCs w:val="20"/>
                                  </w:rPr>
                                </m:ctrlPr>
                              </m:fPr>
                              <m:num>
                                <m:r>
                                  <w:rPr>
                                    <w:rFonts w:ascii="Cambria Math" w:hAnsi="Cambria Math" w:cs="Arial"/>
                                    <w:szCs w:val="20"/>
                                  </w:rPr>
                                  <m:t>CFM</m:t>
                                </m:r>
                              </m:num>
                              <m:den>
                                <m:r>
                                  <w:rPr>
                                    <w:rFonts w:ascii="Cambria Math" w:hAnsi="Cambria Math" w:cs="Arial"/>
                                    <w:szCs w:val="20"/>
                                  </w:rPr>
                                  <m:t>W</m:t>
                                </m:r>
                              </m:den>
                            </m:f>
                          </m:den>
                        </m:f>
                        <m:r>
                          <w:rPr>
                            <w:rFonts w:ascii="Cambria Math" w:hAnsi="Cambria Math" w:cs="Arial"/>
                            <w:szCs w:val="20"/>
                          </w:rPr>
                          <m:t>-</m:t>
                        </m:r>
                        <m:f>
                          <m:fPr>
                            <m:ctrlPr>
                              <w:rPr>
                                <w:rFonts w:ascii="Cambria Math" w:hAnsi="Cambria Math" w:cs="Arial"/>
                                <w:szCs w:val="20"/>
                              </w:rPr>
                            </m:ctrlPr>
                          </m:fPr>
                          <m:num>
                            <m:r>
                              <w:rPr>
                                <w:rFonts w:ascii="Cambria Math" w:hAnsi="Cambria Math" w:cs="Arial"/>
                                <w:szCs w:val="20"/>
                              </w:rPr>
                              <m:t>1</m:t>
                            </m:r>
                          </m:num>
                          <m:den>
                            <m:r>
                              <w:rPr>
                                <w:rFonts w:ascii="Cambria Math" w:hAnsi="Cambria Math" w:cs="Arial"/>
                                <w:szCs w:val="20"/>
                              </w:rPr>
                              <m:t>ηEfficient</m:t>
                            </m:r>
                            <m:f>
                              <m:fPr>
                                <m:ctrlPr>
                                  <w:rPr>
                                    <w:rFonts w:ascii="Cambria Math" w:hAnsi="Cambria Math" w:cs="Arial"/>
                                    <w:szCs w:val="20"/>
                                  </w:rPr>
                                </m:ctrlPr>
                              </m:fPr>
                              <m:num>
                                <m:r>
                                  <w:rPr>
                                    <w:rFonts w:ascii="Cambria Math" w:hAnsi="Cambria Math" w:cs="Arial"/>
                                    <w:szCs w:val="20"/>
                                  </w:rPr>
                                  <m:t>CFM</m:t>
                                </m:r>
                              </m:num>
                              <m:den>
                                <m:r>
                                  <w:rPr>
                                    <w:rFonts w:ascii="Cambria Math" w:hAnsi="Cambria Math" w:cs="Arial"/>
                                    <w:szCs w:val="20"/>
                                  </w:rPr>
                                  <m:t>W</m:t>
                                </m:r>
                              </m:den>
                            </m:f>
                          </m:den>
                        </m:f>
                      </m:num>
                      <m:den>
                        <m:r>
                          <w:rPr>
                            <w:rFonts w:ascii="Cambria Math" w:hAnsi="Cambria Math" w:cs="Arial"/>
                            <w:szCs w:val="20"/>
                          </w:rPr>
                          <m:t>1,000</m:t>
                        </m:r>
                      </m:den>
                    </m:f>
                  </m:e>
                </m:d>
                <m:r>
                  <w:rPr>
                    <w:rFonts w:ascii="Cambria Math" w:hAnsi="Cambria Math" w:cs="Arial"/>
                    <w:szCs w:val="20"/>
                  </w:rPr>
                  <m:t>×Hours</m:t>
                </m:r>
              </m:oMath>
            </m:oMathPara>
          </w:p>
        </w:tc>
      </w:tr>
      <w:tr w:rsidR="00BF46BE" w:rsidRPr="001570EA" w14:paraId="24DEE32E" w14:textId="77777777">
        <w:tc>
          <w:tcPr>
            <w:tcW w:w="2226" w:type="dxa"/>
            <w:vAlign w:val="center"/>
          </w:tcPr>
          <w:p w14:paraId="483477F9" w14:textId="77777777" w:rsidR="00BF46BE" w:rsidRPr="001570EA" w:rsidRDefault="00BF46BE">
            <w:pPr>
              <w:pStyle w:val="Equation"/>
              <w:ind w:left="0" w:firstLine="0"/>
              <w:rPr>
                <w:rFonts w:eastAsia="Times New Roman"/>
                <w:i w:val="0"/>
              </w:rPr>
            </w:pPr>
          </w:p>
        </w:tc>
        <w:tc>
          <w:tcPr>
            <w:tcW w:w="6414" w:type="dxa"/>
          </w:tcPr>
          <w:p w14:paraId="1FEB6719" w14:textId="77777777" w:rsidR="00BF46BE" w:rsidRPr="001570EA" w:rsidRDefault="00BF46BE">
            <w:pPr>
              <w:pStyle w:val="Equation"/>
              <w:ind w:left="0" w:firstLine="0"/>
              <w:rPr>
                <w:rFonts w:cs="Arial"/>
                <w:szCs w:val="20"/>
              </w:rPr>
            </w:pPr>
          </w:p>
        </w:tc>
      </w:tr>
      <w:tr w:rsidR="00BF46BE" w:rsidRPr="001570EA" w14:paraId="73D7C699" w14:textId="77777777">
        <w:tc>
          <w:tcPr>
            <w:tcW w:w="2226" w:type="dxa"/>
            <w:vAlign w:val="center"/>
          </w:tcPr>
          <w:p w14:paraId="15BE1EED" w14:textId="77777777" w:rsidR="00BF46BE" w:rsidRPr="001570EA" w:rsidRDefault="003B5E04">
            <w:pPr>
              <w:pStyle w:val="Equation"/>
              <w:ind w:left="0" w:firstLine="0"/>
              <w:rPr>
                <w:rFonts w:cs="Arial"/>
                <w:szCs w:val="20"/>
              </w:rPr>
            </w:pPr>
            <m:oMathPara>
              <m:oMathParaPr>
                <m:jc m:val="left"/>
              </m:oMathParaPr>
              <m:oMath>
                <m:sSub>
                  <m:sSubPr>
                    <m:ctrlPr>
                      <w:rPr>
                        <w:rFonts w:ascii="Cambria Math" w:hAnsi="Cambria Math" w:cs="Arial"/>
                        <w:szCs w:val="20"/>
                      </w:rPr>
                    </m:ctrlPr>
                  </m:sSubPr>
                  <m:e>
                    <m:r>
                      <w:rPr>
                        <w:rFonts w:ascii="Cambria Math" w:hAnsi="Cambria Math"/>
                      </w:rPr>
                      <m:t>∆</m:t>
                    </m:r>
                    <m:r>
                      <w:rPr>
                        <w:rFonts w:ascii="Cambria Math" w:hAnsi="Cambria Math" w:cs="Arial"/>
                        <w:szCs w:val="20"/>
                      </w:rPr>
                      <m:t>kW</m:t>
                    </m:r>
                  </m:e>
                  <m:sub>
                    <m:r>
                      <w:rPr>
                        <w:rFonts w:ascii="Cambria Math" w:hAnsi="Cambria Math" w:cs="Arial"/>
                        <w:szCs w:val="20"/>
                      </w:rPr>
                      <m:t>summer peak</m:t>
                    </m:r>
                  </m:sub>
                </m:sSub>
              </m:oMath>
            </m:oMathPara>
          </w:p>
        </w:tc>
        <w:tc>
          <w:tcPr>
            <w:tcW w:w="6414" w:type="dxa"/>
          </w:tcPr>
          <w:p w14:paraId="39B51AF4" w14:textId="77777777" w:rsidR="00BF46BE" w:rsidRPr="001570EA" w:rsidRDefault="00BF46BE">
            <w:pPr>
              <w:pStyle w:val="Equation"/>
              <w:ind w:left="0" w:firstLine="0"/>
              <w:rPr>
                <w:rFonts w:cs="Arial"/>
                <w:szCs w:val="20"/>
              </w:rPr>
            </w:pPr>
            <m:oMathPara>
              <m:oMathParaPr>
                <m:jc m:val="left"/>
              </m:oMathParaPr>
              <m:oMath>
                <m:r>
                  <w:rPr>
                    <w:rFonts w:ascii="Cambria Math" w:hAnsi="Cambria Math" w:cs="Arial"/>
                    <w:szCs w:val="20"/>
                  </w:rPr>
                  <m:t>=</m:t>
                </m:r>
                <m:r>
                  <w:rPr>
                    <w:rFonts w:ascii="Cambria Math" w:hAnsi="Cambria Math"/>
                  </w:rPr>
                  <m:t>∆</m:t>
                </m:r>
                <m:r>
                  <w:rPr>
                    <w:rFonts w:ascii="Cambria Math" w:hAnsi="Cambria Math" w:cs="Arial"/>
                    <w:szCs w:val="20"/>
                  </w:rPr>
                  <m:t>kWh ×ETD</m:t>
                </m:r>
                <m:sSub>
                  <m:sSubPr>
                    <m:ctrlPr>
                      <w:rPr>
                        <w:rFonts w:ascii="Cambria Math" w:hAnsi="Cambria Math" w:cs="Arial"/>
                        <w:szCs w:val="20"/>
                      </w:rPr>
                    </m:ctrlPr>
                  </m:sSubPr>
                  <m:e>
                    <m:r>
                      <w:rPr>
                        <w:rFonts w:ascii="Cambria Math" w:hAnsi="Cambria Math" w:cs="Arial"/>
                        <w:szCs w:val="20"/>
                      </w:rPr>
                      <m:t>F</m:t>
                    </m:r>
                  </m:e>
                  <m:sub>
                    <m:r>
                      <w:rPr>
                        <w:rFonts w:ascii="Cambria Math" w:hAnsi="Cambria Math" w:cs="Arial"/>
                        <w:szCs w:val="20"/>
                      </w:rPr>
                      <m:t>s</m:t>
                    </m:r>
                  </m:sub>
                </m:sSub>
              </m:oMath>
            </m:oMathPara>
          </w:p>
        </w:tc>
      </w:tr>
      <w:tr w:rsidR="00BF46BE" w:rsidRPr="001570EA" w14:paraId="77FFE688" w14:textId="77777777">
        <w:tc>
          <w:tcPr>
            <w:tcW w:w="2226" w:type="dxa"/>
            <w:vAlign w:val="center"/>
          </w:tcPr>
          <w:p w14:paraId="37EAD21F" w14:textId="77777777" w:rsidR="00BF46BE" w:rsidRPr="001570EA" w:rsidRDefault="00BF46BE">
            <w:pPr>
              <w:pStyle w:val="Equation"/>
              <w:ind w:left="0" w:firstLine="0"/>
              <w:rPr>
                <w:rFonts w:eastAsia="Times New Roman"/>
                <w:i w:val="0"/>
                <w:szCs w:val="20"/>
              </w:rPr>
            </w:pPr>
            <m:oMathPara>
              <m:oMathParaPr>
                <m:jc m:val="left"/>
              </m:oMathParaPr>
              <m:oMath>
                <m:r>
                  <w:rPr>
                    <w:rFonts w:ascii="Cambria Math" w:hAnsi="Cambria Math"/>
                  </w:rPr>
                  <m:t>∆</m:t>
                </m:r>
                <m:sSub>
                  <m:sSubPr>
                    <m:ctrlPr>
                      <w:rPr>
                        <w:rFonts w:ascii="Cambria Math" w:hAnsi="Cambria Math"/>
                      </w:rPr>
                    </m:ctrlPr>
                  </m:sSubPr>
                  <m:e>
                    <m:r>
                      <w:rPr>
                        <w:rFonts w:ascii="Cambria Math" w:hAnsi="Cambria Math"/>
                      </w:rPr>
                      <m:t>kW</m:t>
                    </m:r>
                  </m:e>
                  <m:sub>
                    <m:r>
                      <w:rPr>
                        <w:rFonts w:ascii="Cambria Math" w:hAnsi="Cambria Math"/>
                      </w:rPr>
                      <m:t>winter peak</m:t>
                    </m:r>
                  </m:sub>
                </m:sSub>
              </m:oMath>
            </m:oMathPara>
          </w:p>
        </w:tc>
        <w:tc>
          <w:tcPr>
            <w:tcW w:w="6414" w:type="dxa"/>
          </w:tcPr>
          <w:p w14:paraId="468BB086" w14:textId="77777777" w:rsidR="00BF46BE" w:rsidRPr="001570EA" w:rsidRDefault="00BF46BE">
            <w:pPr>
              <w:pStyle w:val="Equation"/>
              <w:ind w:left="0" w:firstLine="0"/>
              <w:rPr>
                <w:rFonts w:cs="Arial"/>
                <w:szCs w:val="20"/>
              </w:rPr>
            </w:pPr>
            <m:oMathPara>
              <m:oMathParaPr>
                <m:jc m:val="left"/>
              </m:oMathParaPr>
              <m:oMath>
                <m:r>
                  <w:rPr>
                    <w:rFonts w:ascii="Cambria Math" w:hAnsi="Cambria Math" w:cs="Arial"/>
                    <w:szCs w:val="20"/>
                  </w:rPr>
                  <m:t>=</m:t>
                </m:r>
                <m:r>
                  <w:rPr>
                    <w:rFonts w:ascii="Cambria Math" w:hAnsi="Cambria Math"/>
                  </w:rPr>
                  <m:t>∆</m:t>
                </m:r>
                <m:r>
                  <w:rPr>
                    <w:rFonts w:ascii="Cambria Math" w:hAnsi="Cambria Math" w:cs="Arial"/>
                    <w:szCs w:val="20"/>
                  </w:rPr>
                  <m:t>kWh ×ETD</m:t>
                </m:r>
                <m:sSub>
                  <m:sSubPr>
                    <m:ctrlPr>
                      <w:rPr>
                        <w:rFonts w:ascii="Cambria Math" w:hAnsi="Cambria Math" w:cs="Arial"/>
                        <w:szCs w:val="20"/>
                      </w:rPr>
                    </m:ctrlPr>
                  </m:sSubPr>
                  <m:e>
                    <m:r>
                      <w:rPr>
                        <w:rFonts w:ascii="Cambria Math" w:hAnsi="Cambria Math" w:cs="Arial"/>
                        <w:szCs w:val="20"/>
                      </w:rPr>
                      <m:t>F</m:t>
                    </m:r>
                  </m:e>
                  <m:sub>
                    <m:r>
                      <w:rPr>
                        <w:rFonts w:ascii="Cambria Math" w:hAnsi="Cambria Math" w:cs="Arial"/>
                        <w:szCs w:val="20"/>
                      </w:rPr>
                      <m:t>w</m:t>
                    </m:r>
                  </m:sub>
                </m:sSub>
              </m:oMath>
            </m:oMathPara>
          </w:p>
        </w:tc>
      </w:tr>
    </w:tbl>
    <w:p w14:paraId="2F3BF827" w14:textId="77777777" w:rsidR="00BF46BE" w:rsidRPr="001570EA" w:rsidRDefault="00BF46BE" w:rsidP="00BF46BE">
      <w:pPr>
        <w:jc w:val="left"/>
      </w:pPr>
      <w:r w:rsidRPr="001570EA">
        <w:br w:type="page"/>
      </w:r>
    </w:p>
    <w:p w14:paraId="2AABB6AD" w14:textId="77777777" w:rsidR="00BF46BE" w:rsidRPr="001570EA" w:rsidRDefault="00BF46BE" w:rsidP="00BF46BE">
      <w:pPr>
        <w:pStyle w:val="SubStyle"/>
      </w:pPr>
      <w:r w:rsidRPr="001570EA">
        <w:t>Definition of Terms</w:t>
      </w:r>
    </w:p>
    <w:p w14:paraId="188BE1C4" w14:textId="42099F6E" w:rsidR="00BF46BE" w:rsidRPr="001570EA" w:rsidRDefault="00BF46BE" w:rsidP="00BF46BE">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56</w:t>
      </w:r>
      <w:r w:rsidR="002E093A" w:rsidRPr="001570EA">
        <w:fldChar w:fldCharType="end"/>
      </w:r>
      <w:r w:rsidRPr="001570EA">
        <w:t>: Terms, Values, and References for ENERGY STAR Bathroom Exhaust Fan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1266"/>
        <w:gridCol w:w="3605"/>
        <w:gridCol w:w="1057"/>
      </w:tblGrid>
      <w:tr w:rsidR="00BF46BE" w:rsidRPr="001570EA" w14:paraId="6ADBBA97" w14:textId="77777777">
        <w:trPr>
          <w:tblHeader/>
          <w:jc w:val="center"/>
        </w:trPr>
        <w:tc>
          <w:tcPr>
            <w:tcW w:w="1610" w:type="pct"/>
            <w:shd w:val="clear" w:color="auto" w:fill="BFBFBF"/>
          </w:tcPr>
          <w:p w14:paraId="4960EAA7" w14:textId="77777777" w:rsidR="00BF46BE" w:rsidRPr="001570EA" w:rsidRDefault="00BF46BE">
            <w:pPr>
              <w:pStyle w:val="TableCell"/>
              <w:keepNext w:val="0"/>
              <w:widowControl w:val="0"/>
              <w:rPr>
                <w:b/>
              </w:rPr>
            </w:pPr>
            <w:r w:rsidRPr="001570EA">
              <w:rPr>
                <w:b/>
              </w:rPr>
              <w:t>Term</w:t>
            </w:r>
          </w:p>
        </w:tc>
        <w:tc>
          <w:tcPr>
            <w:tcW w:w="778" w:type="pct"/>
            <w:shd w:val="clear" w:color="auto" w:fill="BFBFBF"/>
          </w:tcPr>
          <w:p w14:paraId="2616E954" w14:textId="77777777" w:rsidR="00BF46BE" w:rsidRPr="001570EA" w:rsidRDefault="00BF46BE">
            <w:pPr>
              <w:pStyle w:val="TableCell"/>
              <w:keepNext w:val="0"/>
              <w:widowControl w:val="0"/>
              <w:jc w:val="center"/>
              <w:rPr>
                <w:b/>
                <w:bCs/>
                <w:iCs/>
              </w:rPr>
            </w:pPr>
            <w:r w:rsidRPr="001570EA">
              <w:rPr>
                <w:b/>
                <w:bCs/>
                <w:iCs/>
              </w:rPr>
              <w:t>Unit</w:t>
            </w:r>
          </w:p>
        </w:tc>
        <w:tc>
          <w:tcPr>
            <w:tcW w:w="2133" w:type="pct"/>
            <w:shd w:val="clear" w:color="auto" w:fill="BFBFBF"/>
          </w:tcPr>
          <w:p w14:paraId="5801FB21" w14:textId="77777777" w:rsidR="00BF46BE" w:rsidRPr="001570EA" w:rsidRDefault="00BF46BE">
            <w:pPr>
              <w:pStyle w:val="TableCell"/>
              <w:keepNext w:val="0"/>
              <w:widowControl w:val="0"/>
              <w:jc w:val="center"/>
              <w:rPr>
                <w:b/>
                <w:bCs/>
                <w:iCs/>
              </w:rPr>
            </w:pPr>
            <w:r w:rsidRPr="001570EA">
              <w:rPr>
                <w:b/>
                <w:bCs/>
                <w:iCs/>
              </w:rPr>
              <w:t>Values</w:t>
            </w:r>
          </w:p>
        </w:tc>
        <w:tc>
          <w:tcPr>
            <w:tcW w:w="479" w:type="pct"/>
            <w:shd w:val="clear" w:color="auto" w:fill="BFBFBF"/>
          </w:tcPr>
          <w:p w14:paraId="5F0C02FE" w14:textId="77777777" w:rsidR="00BF46BE" w:rsidRPr="001570EA" w:rsidRDefault="00BF46BE">
            <w:pPr>
              <w:pStyle w:val="TableCell"/>
              <w:keepNext w:val="0"/>
              <w:widowControl w:val="0"/>
              <w:jc w:val="center"/>
              <w:rPr>
                <w:b/>
                <w:bCs/>
                <w:iCs/>
              </w:rPr>
            </w:pPr>
            <w:r w:rsidRPr="001570EA">
              <w:rPr>
                <w:b/>
                <w:bCs/>
                <w:iCs/>
              </w:rPr>
              <w:t>Source</w:t>
            </w:r>
          </w:p>
        </w:tc>
      </w:tr>
      <w:tr w:rsidR="00BF46BE" w:rsidRPr="001570EA" w14:paraId="5E5D3831" w14:textId="77777777">
        <w:trPr>
          <w:jc w:val="center"/>
        </w:trPr>
        <w:tc>
          <w:tcPr>
            <w:tcW w:w="1610" w:type="pct"/>
            <w:shd w:val="clear" w:color="auto" w:fill="auto"/>
            <w:vAlign w:val="center"/>
          </w:tcPr>
          <w:p w14:paraId="0A92176A" w14:textId="77777777" w:rsidR="00BF46BE" w:rsidRPr="001570EA" w:rsidRDefault="00BF46BE">
            <w:pPr>
              <w:pStyle w:val="TableCell"/>
              <w:keepNext w:val="0"/>
              <w:widowControl w:val="0"/>
            </w:pPr>
            <w:r w:rsidRPr="001570EA">
              <w:rPr>
                <w:i/>
                <w:iCs/>
              </w:rPr>
              <w:t>CFM</w:t>
            </w:r>
            <w:r w:rsidRPr="001570EA">
              <w:t>, Fan flow rate</w:t>
            </w:r>
          </w:p>
        </w:tc>
        <w:tc>
          <w:tcPr>
            <w:tcW w:w="778" w:type="pct"/>
            <w:vAlign w:val="center"/>
          </w:tcPr>
          <w:p w14:paraId="2198E7FF" w14:textId="77777777" w:rsidR="00BF46BE" w:rsidRPr="001570EA" w:rsidRDefault="00BF46BE">
            <w:pPr>
              <w:pStyle w:val="TableCell"/>
              <w:keepNext w:val="0"/>
              <w:widowControl w:val="0"/>
              <w:jc w:val="center"/>
              <w:rPr>
                <w:rFonts w:eastAsia="Arial Unicode MS"/>
                <w:i/>
                <w:iCs/>
              </w:rPr>
            </w:pPr>
            <w:r w:rsidRPr="001570EA">
              <w:rPr>
                <w:rFonts w:eastAsia="Arial Unicode MS"/>
                <w:i/>
                <w:iCs/>
              </w:rPr>
              <w:t>CFM</w:t>
            </w:r>
          </w:p>
        </w:tc>
        <w:tc>
          <w:tcPr>
            <w:tcW w:w="2133" w:type="pct"/>
            <w:shd w:val="clear" w:color="auto" w:fill="auto"/>
            <w:vAlign w:val="center"/>
          </w:tcPr>
          <w:p w14:paraId="0208D4BE" w14:textId="77777777" w:rsidR="00BF46BE" w:rsidRPr="001570EA" w:rsidRDefault="00BF46BE">
            <w:pPr>
              <w:pStyle w:val="TableCell"/>
              <w:keepNext w:val="0"/>
              <w:widowControl w:val="0"/>
              <w:jc w:val="center"/>
            </w:pPr>
            <w:r w:rsidRPr="001570EA">
              <w:t>Table 2</w:t>
            </w:r>
          </w:p>
        </w:tc>
        <w:tc>
          <w:tcPr>
            <w:tcW w:w="479" w:type="pct"/>
            <w:vAlign w:val="center"/>
          </w:tcPr>
          <w:p w14:paraId="27D62BDB" w14:textId="77777777" w:rsidR="00BF46BE" w:rsidRPr="001570EA" w:rsidDel="001E709F" w:rsidRDefault="00BF46BE">
            <w:pPr>
              <w:pStyle w:val="TableCell"/>
              <w:keepNext w:val="0"/>
              <w:widowControl w:val="0"/>
              <w:jc w:val="center"/>
            </w:pPr>
            <w:r w:rsidRPr="001570EA">
              <w:t>3, 4</w:t>
            </w:r>
          </w:p>
        </w:tc>
      </w:tr>
      <w:tr w:rsidR="00BF46BE" w:rsidRPr="001570EA" w14:paraId="1C50031A" w14:textId="77777777">
        <w:trPr>
          <w:jc w:val="center"/>
        </w:trPr>
        <w:tc>
          <w:tcPr>
            <w:tcW w:w="1610" w:type="pct"/>
            <w:shd w:val="clear" w:color="auto" w:fill="auto"/>
            <w:vAlign w:val="center"/>
          </w:tcPr>
          <w:p w14:paraId="39419328" w14:textId="77777777" w:rsidR="00BF46BE" w:rsidRPr="001570EA" w:rsidRDefault="00BF46BE">
            <w:pPr>
              <w:pStyle w:val="TableCell"/>
              <w:keepNext w:val="0"/>
              <w:widowControl w:val="0"/>
            </w:pPr>
            <w:r w:rsidRPr="001570EA">
              <w:rPr>
                <w:i/>
                <w:iCs/>
              </w:rPr>
              <w:t>Hours</w:t>
            </w:r>
            <w:r w:rsidRPr="001570EA">
              <w:t>, Hours of operation</w:t>
            </w:r>
          </w:p>
        </w:tc>
        <w:tc>
          <w:tcPr>
            <w:tcW w:w="778" w:type="pct"/>
            <w:vAlign w:val="center"/>
          </w:tcPr>
          <w:p w14:paraId="23B739D4" w14:textId="77777777" w:rsidR="00BF46BE" w:rsidRPr="001570EA" w:rsidRDefault="00BF46BE">
            <w:pPr>
              <w:pStyle w:val="TableCell"/>
              <w:keepNext w:val="0"/>
              <w:widowControl w:val="0"/>
              <w:jc w:val="center"/>
              <w:rPr>
                <w:rFonts w:eastAsia="Arial Unicode MS"/>
                <w:i/>
                <w:iCs/>
              </w:rPr>
            </w:pPr>
            <w:r w:rsidRPr="001570EA">
              <w:rPr>
                <w:rFonts w:eastAsia="Arial Unicode MS"/>
                <w:i/>
                <w:iCs/>
              </w:rPr>
              <w:t>Hours/year</w:t>
            </w:r>
          </w:p>
        </w:tc>
        <w:tc>
          <w:tcPr>
            <w:tcW w:w="2133" w:type="pct"/>
            <w:shd w:val="clear" w:color="auto" w:fill="auto"/>
            <w:vAlign w:val="center"/>
          </w:tcPr>
          <w:p w14:paraId="47323AC1" w14:textId="77777777" w:rsidR="00BF46BE" w:rsidRPr="001570EA" w:rsidRDefault="00BF46BE">
            <w:pPr>
              <w:pStyle w:val="TableCell"/>
              <w:keepNext w:val="0"/>
              <w:widowControl w:val="0"/>
              <w:jc w:val="center"/>
            </w:pPr>
            <w:r w:rsidRPr="001570EA">
              <w:t>Continuous = 8,760</w:t>
            </w:r>
          </w:p>
          <w:p w14:paraId="6D04D58D" w14:textId="77777777" w:rsidR="00BF46BE" w:rsidRPr="001570EA" w:rsidRDefault="00BF46BE">
            <w:pPr>
              <w:pStyle w:val="TableCell"/>
              <w:keepNext w:val="0"/>
              <w:widowControl w:val="0"/>
              <w:jc w:val="center"/>
            </w:pPr>
            <w:r w:rsidRPr="001570EA">
              <w:t>Spot = EDC Data Gathering or 840</w:t>
            </w:r>
          </w:p>
        </w:tc>
        <w:tc>
          <w:tcPr>
            <w:tcW w:w="479" w:type="pct"/>
            <w:vAlign w:val="center"/>
          </w:tcPr>
          <w:p w14:paraId="6D818173" w14:textId="77777777" w:rsidR="00BF46BE" w:rsidRPr="001570EA" w:rsidRDefault="00BF46BE">
            <w:pPr>
              <w:pStyle w:val="TableCell"/>
              <w:keepNext w:val="0"/>
              <w:widowControl w:val="0"/>
              <w:jc w:val="center"/>
              <w:rPr>
                <w:rFonts w:eastAsia="Arial Unicode MS"/>
              </w:rPr>
            </w:pPr>
            <w:r w:rsidRPr="001570EA">
              <w:rPr>
                <w:rFonts w:eastAsia="Arial Unicode MS"/>
              </w:rPr>
              <w:t>5</w:t>
            </w:r>
          </w:p>
        </w:tc>
      </w:tr>
      <w:tr w:rsidR="00BF46BE" w:rsidRPr="001570EA" w14:paraId="0D74D003" w14:textId="77777777">
        <w:trPr>
          <w:jc w:val="center"/>
        </w:trPr>
        <w:tc>
          <w:tcPr>
            <w:tcW w:w="1610" w:type="pct"/>
            <w:shd w:val="clear" w:color="auto" w:fill="auto"/>
            <w:vAlign w:val="center"/>
          </w:tcPr>
          <w:p w14:paraId="4493CCB2" w14:textId="77777777" w:rsidR="00BF46BE" w:rsidRPr="001570EA" w:rsidRDefault="00BF46BE">
            <w:pPr>
              <w:pStyle w:val="TableCell"/>
              <w:keepNext w:val="0"/>
              <w:widowControl w:val="0"/>
            </w:pPr>
            <w:r w:rsidRPr="001570EA">
              <w:rPr>
                <w:i/>
              </w:rPr>
              <w:t>ηBaseline</w:t>
            </w:r>
            <w:r w:rsidRPr="001570EA">
              <w:t>, Baseline fan efficacy</w:t>
            </w:r>
          </w:p>
        </w:tc>
        <w:tc>
          <w:tcPr>
            <w:tcW w:w="778" w:type="pct"/>
            <w:vAlign w:val="center"/>
          </w:tcPr>
          <w:p w14:paraId="752090BE" w14:textId="77777777" w:rsidR="00BF46BE" w:rsidRPr="001570EA" w:rsidRDefault="00BF46BE">
            <w:pPr>
              <w:pStyle w:val="TableCell"/>
              <w:keepNext w:val="0"/>
              <w:widowControl w:val="0"/>
              <w:jc w:val="center"/>
              <w:rPr>
                <w:rFonts w:eastAsia="Arial Unicode MS"/>
                <w:i/>
                <w:iCs/>
              </w:rPr>
            </w:pPr>
            <w:r w:rsidRPr="001570EA">
              <w:rPr>
                <w:rFonts w:eastAsia="Arial Unicode MS"/>
                <w:i/>
                <w:iCs/>
              </w:rPr>
              <w:t>CFM/W</w:t>
            </w:r>
          </w:p>
        </w:tc>
        <w:tc>
          <w:tcPr>
            <w:tcW w:w="2133" w:type="pct"/>
            <w:shd w:val="clear" w:color="auto" w:fill="auto"/>
            <w:vAlign w:val="center"/>
          </w:tcPr>
          <w:p w14:paraId="7D5DBF2F" w14:textId="77777777" w:rsidR="00BF46BE" w:rsidRPr="001570EA" w:rsidRDefault="00BF46BE">
            <w:pPr>
              <w:pStyle w:val="TableCell"/>
              <w:keepNext w:val="0"/>
              <w:widowControl w:val="0"/>
              <w:jc w:val="center"/>
            </w:pPr>
            <w:r w:rsidRPr="001570EA">
              <w:t>Table 2</w:t>
            </w:r>
          </w:p>
        </w:tc>
        <w:tc>
          <w:tcPr>
            <w:tcW w:w="479" w:type="pct"/>
            <w:vAlign w:val="center"/>
          </w:tcPr>
          <w:p w14:paraId="107C5926" w14:textId="77777777" w:rsidR="00BF46BE" w:rsidRPr="001570EA" w:rsidRDefault="00BF46BE">
            <w:pPr>
              <w:pStyle w:val="TableCell"/>
              <w:keepNext w:val="0"/>
              <w:widowControl w:val="0"/>
              <w:jc w:val="center"/>
              <w:rPr>
                <w:rFonts w:eastAsia="Arial Unicode MS"/>
              </w:rPr>
            </w:pPr>
            <w:r w:rsidRPr="001570EA">
              <w:rPr>
                <w:rFonts w:eastAsia="Arial Unicode MS"/>
              </w:rPr>
              <w:t>4</w:t>
            </w:r>
          </w:p>
        </w:tc>
      </w:tr>
      <w:tr w:rsidR="00BF46BE" w:rsidRPr="001570EA" w14:paraId="7401149A" w14:textId="77777777">
        <w:trPr>
          <w:jc w:val="center"/>
        </w:trPr>
        <w:tc>
          <w:tcPr>
            <w:tcW w:w="1610" w:type="pct"/>
            <w:shd w:val="clear" w:color="auto" w:fill="auto"/>
            <w:vAlign w:val="center"/>
          </w:tcPr>
          <w:p w14:paraId="555CC853" w14:textId="77777777" w:rsidR="00BF46BE" w:rsidRPr="001570EA" w:rsidRDefault="00BF46BE">
            <w:pPr>
              <w:pStyle w:val="TableCell"/>
              <w:keepNext w:val="0"/>
              <w:widowControl w:val="0"/>
              <w:rPr>
                <w:i/>
              </w:rPr>
            </w:pPr>
            <w:r w:rsidRPr="001570EA">
              <w:rPr>
                <w:i/>
              </w:rPr>
              <w:t>ηEfficient</w:t>
            </w:r>
            <w:r w:rsidRPr="001570EA">
              <w:t>, Efficient fan efficacy</w:t>
            </w:r>
          </w:p>
        </w:tc>
        <w:tc>
          <w:tcPr>
            <w:tcW w:w="778" w:type="pct"/>
            <w:vAlign w:val="center"/>
          </w:tcPr>
          <w:p w14:paraId="637DEBB2" w14:textId="77777777" w:rsidR="00BF46BE" w:rsidRPr="001570EA" w:rsidRDefault="00BF46BE">
            <w:pPr>
              <w:pStyle w:val="TableCell"/>
              <w:keepNext w:val="0"/>
              <w:widowControl w:val="0"/>
              <w:jc w:val="center"/>
              <w:rPr>
                <w:rFonts w:eastAsia="Arial Unicode MS"/>
                <w:i/>
                <w:iCs/>
              </w:rPr>
            </w:pPr>
            <w:r w:rsidRPr="001570EA">
              <w:rPr>
                <w:rFonts w:eastAsia="Arial Unicode MS"/>
                <w:i/>
                <w:iCs/>
              </w:rPr>
              <w:t>CFM/W</w:t>
            </w:r>
          </w:p>
        </w:tc>
        <w:tc>
          <w:tcPr>
            <w:tcW w:w="2133" w:type="pct"/>
            <w:shd w:val="clear" w:color="auto" w:fill="auto"/>
            <w:vAlign w:val="center"/>
          </w:tcPr>
          <w:p w14:paraId="70C7F9CE" w14:textId="77777777" w:rsidR="00BF46BE" w:rsidRPr="001570EA" w:rsidRDefault="00BF46BE">
            <w:pPr>
              <w:pStyle w:val="TableCell"/>
              <w:keepNext w:val="0"/>
              <w:widowControl w:val="0"/>
              <w:jc w:val="center"/>
            </w:pPr>
            <w:r w:rsidRPr="001570EA">
              <w:t>EDC Data Gathering or Table 2</w:t>
            </w:r>
          </w:p>
        </w:tc>
        <w:tc>
          <w:tcPr>
            <w:tcW w:w="479" w:type="pct"/>
            <w:vAlign w:val="center"/>
          </w:tcPr>
          <w:p w14:paraId="42C7547D" w14:textId="77777777" w:rsidR="00BF46BE" w:rsidRPr="001570EA" w:rsidRDefault="00BF46BE">
            <w:pPr>
              <w:pStyle w:val="TableCell"/>
              <w:keepNext w:val="0"/>
              <w:widowControl w:val="0"/>
              <w:jc w:val="center"/>
            </w:pPr>
            <w:r w:rsidRPr="001570EA">
              <w:t>EDC Data Gathering,</w:t>
            </w:r>
            <w:r w:rsidRPr="001570EA" w:rsidDel="009B1AE3">
              <w:t xml:space="preserve"> </w:t>
            </w:r>
            <w:r w:rsidRPr="001570EA">
              <w:t>3, 4</w:t>
            </w:r>
          </w:p>
        </w:tc>
      </w:tr>
      <w:tr w:rsidR="00BF46BE" w:rsidRPr="001570EA" w14:paraId="33AED5DE" w14:textId="77777777">
        <w:trPr>
          <w:jc w:val="center"/>
        </w:trPr>
        <w:tc>
          <w:tcPr>
            <w:tcW w:w="1610" w:type="pct"/>
            <w:shd w:val="clear" w:color="auto" w:fill="auto"/>
            <w:vAlign w:val="center"/>
          </w:tcPr>
          <w:p w14:paraId="688045F0" w14:textId="77777777" w:rsidR="00BF46BE" w:rsidRPr="001570EA" w:rsidRDefault="00BF46BE">
            <w:pPr>
              <w:pStyle w:val="TableCell"/>
              <w:keepNext w:val="0"/>
              <w:widowControl w:val="0"/>
              <w:rPr>
                <w:i/>
              </w:rPr>
            </w:pPr>
            <m:oMath>
              <m:r>
                <w:rPr>
                  <w:rFonts w:ascii="Cambria Math" w:hAnsi="Cambria Math" w:cs="Arial"/>
                </w:rPr>
                <m:t>ETD</m:t>
              </m:r>
              <m:sSub>
                <m:sSubPr>
                  <m:ctrlPr>
                    <w:rPr>
                      <w:rFonts w:ascii="Cambria Math" w:hAnsi="Cambria Math" w:cs="Arial"/>
                    </w:rPr>
                  </m:ctrlPr>
                </m:sSubPr>
                <m:e>
                  <m:r>
                    <w:rPr>
                      <w:rFonts w:ascii="Cambria Math" w:hAnsi="Cambria Math" w:cs="Arial"/>
                    </w:rPr>
                    <m:t>F</m:t>
                  </m:r>
                </m:e>
                <m:sub>
                  <m:r>
                    <w:rPr>
                      <w:rFonts w:ascii="Cambria Math" w:hAnsi="Cambria Math" w:cs="Arial"/>
                    </w:rPr>
                    <m:t>s</m:t>
                  </m:r>
                </m:sub>
              </m:sSub>
            </m:oMath>
            <w:r w:rsidRPr="001570EA">
              <w:t>, Summer energy to Demand Factor</w:t>
            </w:r>
          </w:p>
        </w:tc>
        <w:tc>
          <w:tcPr>
            <w:tcW w:w="778" w:type="pct"/>
            <w:vAlign w:val="center"/>
          </w:tcPr>
          <w:p w14:paraId="1C07FAE8" w14:textId="77777777" w:rsidR="00BF46BE" w:rsidRPr="001570EA" w:rsidRDefault="003B5E04">
            <w:pPr>
              <w:pStyle w:val="TableCell"/>
              <w:keepNext w:val="0"/>
              <w:widowControl w:val="0"/>
              <w:jc w:val="center"/>
              <w:rPr>
                <w:rFonts w:eastAsia="Arial Unicode MS"/>
                <w:i/>
                <w:iCs/>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133" w:type="pct"/>
            <w:shd w:val="clear" w:color="auto" w:fill="auto"/>
            <w:vAlign w:val="center"/>
          </w:tcPr>
          <w:p w14:paraId="79314D47" w14:textId="77777777" w:rsidR="00BF46BE" w:rsidRPr="001570EA" w:rsidRDefault="00BF46BE">
            <w:pPr>
              <w:pStyle w:val="TableCell"/>
              <w:keepNext w:val="0"/>
              <w:widowControl w:val="0"/>
              <w:jc w:val="center"/>
            </w:pPr>
            <w:r w:rsidRPr="001570EA">
              <w:t>Continuous = 0.0001142</w:t>
            </w:r>
          </w:p>
          <w:p w14:paraId="736E8311" w14:textId="77777777" w:rsidR="00BF46BE" w:rsidRPr="001570EA" w:rsidRDefault="00BF46BE">
            <w:pPr>
              <w:pStyle w:val="TableCell"/>
              <w:keepNext w:val="0"/>
              <w:widowControl w:val="0"/>
              <w:jc w:val="center"/>
            </w:pPr>
            <w:r w:rsidRPr="001570EA">
              <w:t>Spot = 0.0001113</w:t>
            </w:r>
          </w:p>
        </w:tc>
        <w:tc>
          <w:tcPr>
            <w:tcW w:w="479" w:type="pct"/>
            <w:vAlign w:val="center"/>
          </w:tcPr>
          <w:p w14:paraId="71A72121" w14:textId="77777777" w:rsidR="00BF46BE" w:rsidRPr="001570EA" w:rsidRDefault="00BF46BE">
            <w:pPr>
              <w:pStyle w:val="TableCell"/>
              <w:keepNext w:val="0"/>
              <w:widowControl w:val="0"/>
              <w:jc w:val="center"/>
            </w:pPr>
            <w:r w:rsidRPr="001570EA">
              <w:rPr>
                <w:rFonts w:eastAsia="Arial Unicode MS"/>
              </w:rPr>
              <w:t>6</w:t>
            </w:r>
          </w:p>
        </w:tc>
      </w:tr>
      <w:tr w:rsidR="00BF46BE" w:rsidRPr="001570EA" w14:paraId="71B5C2BA" w14:textId="77777777">
        <w:trPr>
          <w:jc w:val="center"/>
        </w:trPr>
        <w:tc>
          <w:tcPr>
            <w:tcW w:w="1610" w:type="pct"/>
            <w:shd w:val="clear" w:color="auto" w:fill="auto"/>
            <w:vAlign w:val="center"/>
          </w:tcPr>
          <w:p w14:paraId="554F6842" w14:textId="77777777" w:rsidR="00BF46BE" w:rsidRPr="001570EA" w:rsidRDefault="00BF46BE">
            <w:pPr>
              <w:pStyle w:val="TableCell"/>
              <w:keepNext w:val="0"/>
              <w:widowControl w:val="0"/>
              <w:rPr>
                <w:i/>
              </w:rPr>
            </w:pPr>
            <m:oMath>
              <m:r>
                <w:rPr>
                  <w:rFonts w:ascii="Cambria Math" w:hAnsi="Cambria Math" w:cs="Arial"/>
                </w:rPr>
                <m:t>ETD</m:t>
              </m:r>
              <m:sSub>
                <m:sSubPr>
                  <m:ctrlPr>
                    <w:rPr>
                      <w:rFonts w:ascii="Cambria Math" w:hAnsi="Cambria Math" w:cs="Arial"/>
                    </w:rPr>
                  </m:ctrlPr>
                </m:sSubPr>
                <m:e>
                  <m:r>
                    <w:rPr>
                      <w:rFonts w:ascii="Cambria Math" w:hAnsi="Cambria Math" w:cs="Arial"/>
                    </w:rPr>
                    <m:t>F</m:t>
                  </m:r>
                </m:e>
                <m:sub>
                  <m:r>
                    <w:rPr>
                      <w:rFonts w:ascii="Cambria Math" w:hAnsi="Cambria Math" w:cs="Arial"/>
                    </w:rPr>
                    <m:t>w</m:t>
                  </m:r>
                </m:sub>
              </m:sSub>
            </m:oMath>
            <w:r w:rsidRPr="001570EA">
              <w:t>, Winter energy to Demand Factor</w:t>
            </w:r>
          </w:p>
        </w:tc>
        <w:tc>
          <w:tcPr>
            <w:tcW w:w="778" w:type="pct"/>
            <w:vAlign w:val="center"/>
          </w:tcPr>
          <w:p w14:paraId="625F982C" w14:textId="77777777" w:rsidR="00BF46BE" w:rsidRPr="001570EA" w:rsidRDefault="003B5E04">
            <w:pPr>
              <w:pStyle w:val="TableCell"/>
              <w:keepNext w:val="0"/>
              <w:widowControl w:val="0"/>
              <w:jc w:val="center"/>
              <w:rPr>
                <w:rFonts w:eastAsia="Arial Unicode MS"/>
                <w:i/>
                <w:iCs/>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133" w:type="pct"/>
            <w:shd w:val="clear" w:color="auto" w:fill="auto"/>
            <w:vAlign w:val="center"/>
          </w:tcPr>
          <w:p w14:paraId="085DB4EB" w14:textId="77777777" w:rsidR="00BF46BE" w:rsidRPr="001570EA" w:rsidRDefault="00BF46BE">
            <w:pPr>
              <w:pStyle w:val="TableCell"/>
              <w:keepNext w:val="0"/>
              <w:widowControl w:val="0"/>
              <w:jc w:val="center"/>
            </w:pPr>
            <w:r w:rsidRPr="001570EA">
              <w:t>Continuous = 0.0001142</w:t>
            </w:r>
          </w:p>
          <w:p w14:paraId="0DF24230" w14:textId="77777777" w:rsidR="00BF46BE" w:rsidRPr="001570EA" w:rsidRDefault="00BF46BE">
            <w:pPr>
              <w:pStyle w:val="TableCell"/>
              <w:keepNext w:val="0"/>
              <w:widowControl w:val="0"/>
              <w:jc w:val="center"/>
            </w:pPr>
            <w:r w:rsidRPr="001570EA">
              <w:t>Spot = 0.0001790</w:t>
            </w:r>
          </w:p>
        </w:tc>
        <w:tc>
          <w:tcPr>
            <w:tcW w:w="479" w:type="pct"/>
            <w:vAlign w:val="center"/>
          </w:tcPr>
          <w:p w14:paraId="21E1E25D" w14:textId="77777777" w:rsidR="00BF46BE" w:rsidRPr="001570EA" w:rsidRDefault="00BF46BE">
            <w:pPr>
              <w:pStyle w:val="TableCell"/>
              <w:keepNext w:val="0"/>
              <w:widowControl w:val="0"/>
              <w:jc w:val="center"/>
            </w:pPr>
            <w:r w:rsidRPr="001570EA">
              <w:rPr>
                <w:rFonts w:eastAsia="Arial Unicode MS"/>
              </w:rPr>
              <w:t>6</w:t>
            </w:r>
          </w:p>
        </w:tc>
      </w:tr>
    </w:tbl>
    <w:p w14:paraId="64FC5B92" w14:textId="77777777" w:rsidR="00BF46BE" w:rsidRPr="001570EA" w:rsidRDefault="00BF46BE" w:rsidP="00BF46BE">
      <w:pPr>
        <w:pStyle w:val="NoSpacing"/>
        <w:widowControl w:val="0"/>
      </w:pPr>
    </w:p>
    <w:p w14:paraId="4051CF93" w14:textId="2954FB84" w:rsidR="00BF46BE" w:rsidRPr="001570EA" w:rsidRDefault="00BF46BE" w:rsidP="00BF46BE">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57</w:t>
      </w:r>
      <w:r w:rsidR="002E093A" w:rsidRPr="001570EA">
        <w:fldChar w:fldCharType="end"/>
      </w:r>
      <w:r w:rsidRPr="001570EA">
        <w:t>: Assumptions for ENERGY STAR Bathroom Exhaust Fan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727"/>
        <w:gridCol w:w="1726"/>
        <w:gridCol w:w="1726"/>
        <w:gridCol w:w="1726"/>
      </w:tblGrid>
      <w:tr w:rsidR="00BF46BE" w:rsidRPr="001570EA" w14:paraId="1FE49AF6" w14:textId="77777777">
        <w:trPr>
          <w:tblHeader/>
          <w:jc w:val="center"/>
        </w:trPr>
        <w:tc>
          <w:tcPr>
            <w:tcW w:w="999" w:type="pct"/>
            <w:shd w:val="clear" w:color="auto" w:fill="BFBFBF"/>
          </w:tcPr>
          <w:p w14:paraId="1D950495" w14:textId="77777777" w:rsidR="00BF46BE" w:rsidRPr="001570EA" w:rsidRDefault="00BF46BE">
            <w:pPr>
              <w:pStyle w:val="TableCell"/>
              <w:keepNext w:val="0"/>
              <w:widowControl w:val="0"/>
              <w:rPr>
                <w:b/>
                <w:bCs/>
              </w:rPr>
            </w:pPr>
            <w:r w:rsidRPr="001570EA">
              <w:rPr>
                <w:b/>
                <w:bCs/>
              </w:rPr>
              <w:t>Usage Profile</w:t>
            </w:r>
          </w:p>
        </w:tc>
        <w:tc>
          <w:tcPr>
            <w:tcW w:w="1000" w:type="pct"/>
            <w:shd w:val="clear" w:color="auto" w:fill="BFBFBF"/>
          </w:tcPr>
          <w:p w14:paraId="78DD9B39" w14:textId="77777777" w:rsidR="00BF46BE" w:rsidRPr="001570EA" w:rsidRDefault="00BF46BE">
            <w:pPr>
              <w:pStyle w:val="TableCell"/>
              <w:keepNext w:val="0"/>
              <w:widowControl w:val="0"/>
              <w:jc w:val="center"/>
              <w:rPr>
                <w:b/>
                <w:bCs/>
              </w:rPr>
            </w:pPr>
            <w:r w:rsidRPr="001570EA">
              <w:rPr>
                <w:b/>
                <w:bCs/>
              </w:rPr>
              <w:t>CFM Range</w:t>
            </w:r>
          </w:p>
        </w:tc>
        <w:tc>
          <w:tcPr>
            <w:tcW w:w="1000" w:type="pct"/>
            <w:shd w:val="clear" w:color="auto" w:fill="BFBFBF"/>
          </w:tcPr>
          <w:p w14:paraId="6898C467" w14:textId="77777777" w:rsidR="00BF46BE" w:rsidRPr="001570EA" w:rsidRDefault="00BF46BE">
            <w:pPr>
              <w:pStyle w:val="TableCell"/>
              <w:keepNext w:val="0"/>
              <w:widowControl w:val="0"/>
              <w:jc w:val="center"/>
              <w:rPr>
                <w:b/>
                <w:bCs/>
              </w:rPr>
            </w:pPr>
            <w:r w:rsidRPr="001570EA">
              <w:rPr>
                <w:b/>
                <w:bCs/>
              </w:rPr>
              <w:t>CFM</w:t>
            </w:r>
          </w:p>
        </w:tc>
        <w:tc>
          <w:tcPr>
            <w:tcW w:w="1000" w:type="pct"/>
            <w:shd w:val="clear" w:color="auto" w:fill="BFBFBF"/>
          </w:tcPr>
          <w:p w14:paraId="47B3966F" w14:textId="77777777" w:rsidR="00BF46BE" w:rsidRPr="001570EA" w:rsidRDefault="00BF46BE">
            <w:pPr>
              <w:pStyle w:val="TableCell"/>
              <w:keepNext w:val="0"/>
              <w:widowControl w:val="0"/>
              <w:jc w:val="center"/>
              <w:rPr>
                <w:b/>
                <w:bCs/>
              </w:rPr>
            </w:pPr>
            <w:r w:rsidRPr="001570EA">
              <w:rPr>
                <w:b/>
                <w:bCs/>
              </w:rPr>
              <w:t>ηBaseline</w:t>
            </w:r>
          </w:p>
        </w:tc>
        <w:tc>
          <w:tcPr>
            <w:tcW w:w="1000" w:type="pct"/>
            <w:shd w:val="clear" w:color="auto" w:fill="BFBFBF"/>
          </w:tcPr>
          <w:p w14:paraId="4F9EF332" w14:textId="77777777" w:rsidR="00BF46BE" w:rsidRPr="001570EA" w:rsidRDefault="00BF46BE">
            <w:pPr>
              <w:pStyle w:val="TableCell"/>
              <w:keepNext w:val="0"/>
              <w:widowControl w:val="0"/>
              <w:jc w:val="center"/>
              <w:rPr>
                <w:b/>
                <w:bCs/>
              </w:rPr>
            </w:pPr>
            <w:r w:rsidRPr="001570EA">
              <w:rPr>
                <w:b/>
                <w:bCs/>
              </w:rPr>
              <w:t>ηEfficient</w:t>
            </w:r>
          </w:p>
        </w:tc>
      </w:tr>
      <w:tr w:rsidR="00BF46BE" w:rsidRPr="001570EA" w14:paraId="7B7EB6DF" w14:textId="77777777">
        <w:trPr>
          <w:jc w:val="center"/>
        </w:trPr>
        <w:tc>
          <w:tcPr>
            <w:tcW w:w="999" w:type="pct"/>
            <w:shd w:val="clear" w:color="auto" w:fill="auto"/>
          </w:tcPr>
          <w:p w14:paraId="20198205" w14:textId="77777777" w:rsidR="00BF46BE" w:rsidRPr="001570EA" w:rsidRDefault="00BF46BE">
            <w:pPr>
              <w:pStyle w:val="TableCell"/>
              <w:keepNext w:val="0"/>
              <w:widowControl w:val="0"/>
            </w:pPr>
            <w:r w:rsidRPr="001570EA">
              <w:t>Spot</w:t>
            </w:r>
          </w:p>
        </w:tc>
        <w:tc>
          <w:tcPr>
            <w:tcW w:w="1000" w:type="pct"/>
          </w:tcPr>
          <w:p w14:paraId="0D9DCB91" w14:textId="77777777" w:rsidR="00BF46BE" w:rsidRPr="001570EA" w:rsidDel="001E709F" w:rsidRDefault="00BF46BE">
            <w:pPr>
              <w:pStyle w:val="TableCell"/>
              <w:keepNext w:val="0"/>
              <w:widowControl w:val="0"/>
              <w:jc w:val="center"/>
            </w:pPr>
            <w:r w:rsidRPr="001570EA">
              <w:rPr>
                <w:rFonts w:cs="Arial"/>
              </w:rPr>
              <w:t>≤</w:t>
            </w:r>
            <w:r w:rsidRPr="001570EA">
              <w:t>89</w:t>
            </w:r>
          </w:p>
        </w:tc>
        <w:tc>
          <w:tcPr>
            <w:tcW w:w="1000" w:type="pct"/>
          </w:tcPr>
          <w:p w14:paraId="799733AB" w14:textId="77777777" w:rsidR="00BF46BE" w:rsidRPr="001570EA" w:rsidRDefault="00BF46BE">
            <w:pPr>
              <w:pStyle w:val="TableCell"/>
              <w:keepNext w:val="0"/>
              <w:widowControl w:val="0"/>
              <w:jc w:val="center"/>
            </w:pPr>
            <w:r w:rsidRPr="001570EA">
              <w:t>71.3</w:t>
            </w:r>
          </w:p>
        </w:tc>
        <w:tc>
          <w:tcPr>
            <w:tcW w:w="1000" w:type="pct"/>
          </w:tcPr>
          <w:p w14:paraId="38A61797" w14:textId="77777777" w:rsidR="00BF46BE" w:rsidRPr="001570EA" w:rsidRDefault="00BF46BE">
            <w:pPr>
              <w:pStyle w:val="TableCell"/>
              <w:keepNext w:val="0"/>
              <w:widowControl w:val="0"/>
              <w:jc w:val="center"/>
            </w:pPr>
            <w:r w:rsidRPr="001570EA">
              <w:t>1.7</w:t>
            </w:r>
          </w:p>
        </w:tc>
        <w:tc>
          <w:tcPr>
            <w:tcW w:w="1000" w:type="pct"/>
          </w:tcPr>
          <w:p w14:paraId="56E3C80E" w14:textId="77777777" w:rsidR="00BF46BE" w:rsidRPr="001570EA" w:rsidRDefault="00BF46BE">
            <w:pPr>
              <w:pStyle w:val="TableCell"/>
              <w:keepNext w:val="0"/>
              <w:widowControl w:val="0"/>
              <w:jc w:val="center"/>
            </w:pPr>
            <w:r w:rsidRPr="001570EA">
              <w:t>5.3</w:t>
            </w:r>
          </w:p>
        </w:tc>
      </w:tr>
      <w:tr w:rsidR="00BF46BE" w:rsidRPr="001570EA" w14:paraId="4E0E8A5F" w14:textId="77777777">
        <w:trPr>
          <w:jc w:val="center"/>
        </w:trPr>
        <w:tc>
          <w:tcPr>
            <w:tcW w:w="999" w:type="pct"/>
            <w:shd w:val="clear" w:color="auto" w:fill="auto"/>
          </w:tcPr>
          <w:p w14:paraId="473A7788" w14:textId="77777777" w:rsidR="00BF46BE" w:rsidRPr="001570EA" w:rsidRDefault="00BF46BE">
            <w:pPr>
              <w:pStyle w:val="TableCell"/>
              <w:keepNext w:val="0"/>
              <w:widowControl w:val="0"/>
            </w:pPr>
            <w:r w:rsidRPr="001570EA">
              <w:t>Spot</w:t>
            </w:r>
          </w:p>
        </w:tc>
        <w:tc>
          <w:tcPr>
            <w:tcW w:w="1000" w:type="pct"/>
          </w:tcPr>
          <w:p w14:paraId="29087340" w14:textId="77777777" w:rsidR="00BF46BE" w:rsidRPr="001570EA" w:rsidRDefault="00BF46BE">
            <w:pPr>
              <w:pStyle w:val="TableCell"/>
              <w:keepNext w:val="0"/>
              <w:widowControl w:val="0"/>
              <w:jc w:val="center"/>
              <w:rPr>
                <w:rFonts w:eastAsia="Arial Unicode MS"/>
              </w:rPr>
            </w:pPr>
            <w:r w:rsidRPr="001570EA">
              <w:t>90-200</w:t>
            </w:r>
          </w:p>
        </w:tc>
        <w:tc>
          <w:tcPr>
            <w:tcW w:w="1000" w:type="pct"/>
          </w:tcPr>
          <w:p w14:paraId="443A25BB" w14:textId="77777777" w:rsidR="00BF46BE" w:rsidRPr="001570EA" w:rsidRDefault="00BF46BE">
            <w:pPr>
              <w:pStyle w:val="TableCell"/>
              <w:keepNext w:val="0"/>
              <w:widowControl w:val="0"/>
              <w:jc w:val="center"/>
              <w:rPr>
                <w:rFonts w:eastAsia="Arial Unicode MS"/>
              </w:rPr>
            </w:pPr>
            <w:r w:rsidRPr="001570EA">
              <w:t>115.9</w:t>
            </w:r>
          </w:p>
        </w:tc>
        <w:tc>
          <w:tcPr>
            <w:tcW w:w="1000" w:type="pct"/>
          </w:tcPr>
          <w:p w14:paraId="05C65BB7" w14:textId="77777777" w:rsidR="00BF46BE" w:rsidRPr="001570EA" w:rsidRDefault="00BF46BE">
            <w:pPr>
              <w:pStyle w:val="TableCell"/>
              <w:keepNext w:val="0"/>
              <w:widowControl w:val="0"/>
              <w:jc w:val="center"/>
              <w:rPr>
                <w:rFonts w:eastAsia="Arial Unicode MS"/>
              </w:rPr>
            </w:pPr>
            <w:r w:rsidRPr="001570EA">
              <w:t>2.7</w:t>
            </w:r>
          </w:p>
        </w:tc>
        <w:tc>
          <w:tcPr>
            <w:tcW w:w="1000" w:type="pct"/>
          </w:tcPr>
          <w:p w14:paraId="25B93AB9" w14:textId="77777777" w:rsidR="00BF46BE" w:rsidRPr="001570EA" w:rsidRDefault="00BF46BE">
            <w:pPr>
              <w:pStyle w:val="TableCell"/>
              <w:keepNext w:val="0"/>
              <w:widowControl w:val="0"/>
              <w:jc w:val="center"/>
              <w:rPr>
                <w:rFonts w:eastAsia="Arial Unicode MS"/>
              </w:rPr>
            </w:pPr>
            <w:r w:rsidRPr="001570EA">
              <w:t>5.9</w:t>
            </w:r>
          </w:p>
        </w:tc>
      </w:tr>
      <w:tr w:rsidR="00BF46BE" w:rsidRPr="001570EA" w14:paraId="57BBAF6E" w14:textId="77777777">
        <w:trPr>
          <w:jc w:val="center"/>
        </w:trPr>
        <w:tc>
          <w:tcPr>
            <w:tcW w:w="999" w:type="pct"/>
            <w:shd w:val="clear" w:color="auto" w:fill="auto"/>
          </w:tcPr>
          <w:p w14:paraId="1EDF3D13" w14:textId="77777777" w:rsidR="00BF46BE" w:rsidRPr="001570EA" w:rsidRDefault="00BF46BE">
            <w:pPr>
              <w:pStyle w:val="TableCell"/>
              <w:keepNext w:val="0"/>
              <w:widowControl w:val="0"/>
            </w:pPr>
            <w:r w:rsidRPr="001570EA">
              <w:t>Continuous</w:t>
            </w:r>
          </w:p>
        </w:tc>
        <w:tc>
          <w:tcPr>
            <w:tcW w:w="1000" w:type="pct"/>
          </w:tcPr>
          <w:p w14:paraId="7536BE37" w14:textId="77777777" w:rsidR="00BF46BE" w:rsidRPr="001570EA" w:rsidRDefault="00BF46BE">
            <w:pPr>
              <w:pStyle w:val="TableCell"/>
              <w:keepNext w:val="0"/>
              <w:widowControl w:val="0"/>
              <w:jc w:val="center"/>
              <w:rPr>
                <w:rFonts w:eastAsia="Arial Unicode MS"/>
              </w:rPr>
            </w:pPr>
            <w:r w:rsidRPr="001570EA">
              <w:t>n/a</w:t>
            </w:r>
          </w:p>
        </w:tc>
        <w:tc>
          <w:tcPr>
            <w:tcW w:w="1000" w:type="pct"/>
          </w:tcPr>
          <w:p w14:paraId="502C4CA6" w14:textId="77777777" w:rsidR="00BF46BE" w:rsidRPr="001570EA" w:rsidRDefault="00BF46BE">
            <w:pPr>
              <w:pStyle w:val="TableCell"/>
              <w:keepNext w:val="0"/>
              <w:widowControl w:val="0"/>
              <w:jc w:val="center"/>
              <w:rPr>
                <w:rFonts w:eastAsia="Arial Unicode MS"/>
              </w:rPr>
            </w:pPr>
            <w:r w:rsidRPr="001570EA">
              <w:t>43.8</w:t>
            </w:r>
          </w:p>
        </w:tc>
        <w:tc>
          <w:tcPr>
            <w:tcW w:w="1000" w:type="pct"/>
          </w:tcPr>
          <w:p w14:paraId="4E856222" w14:textId="77777777" w:rsidR="00BF46BE" w:rsidRPr="001570EA" w:rsidRDefault="00BF46BE">
            <w:pPr>
              <w:pStyle w:val="TableCell"/>
              <w:keepNext w:val="0"/>
              <w:widowControl w:val="0"/>
              <w:jc w:val="center"/>
              <w:rPr>
                <w:rFonts w:eastAsia="Arial Unicode MS"/>
              </w:rPr>
            </w:pPr>
            <w:r w:rsidRPr="001570EA">
              <w:t>1.8</w:t>
            </w:r>
          </w:p>
        </w:tc>
        <w:tc>
          <w:tcPr>
            <w:tcW w:w="1000" w:type="pct"/>
          </w:tcPr>
          <w:p w14:paraId="6E12866B" w14:textId="77777777" w:rsidR="00BF46BE" w:rsidRPr="001570EA" w:rsidRDefault="00BF46BE">
            <w:pPr>
              <w:pStyle w:val="TableCell"/>
              <w:keepNext w:val="0"/>
              <w:widowControl w:val="0"/>
              <w:jc w:val="center"/>
              <w:rPr>
                <w:rFonts w:eastAsia="Arial Unicode MS"/>
              </w:rPr>
            </w:pPr>
            <w:r w:rsidRPr="001570EA">
              <w:t>9.5</w:t>
            </w:r>
          </w:p>
        </w:tc>
      </w:tr>
    </w:tbl>
    <w:p w14:paraId="5645F2D7" w14:textId="77777777" w:rsidR="00BF46BE" w:rsidRPr="001570EA" w:rsidRDefault="00BF46BE" w:rsidP="00BF46BE"/>
    <w:p w14:paraId="548200D0" w14:textId="77777777" w:rsidR="00BF46BE" w:rsidRPr="001570EA" w:rsidRDefault="00BF46BE" w:rsidP="00BF46BE">
      <w:pPr>
        <w:pStyle w:val="SubStyle"/>
      </w:pPr>
      <w:r w:rsidRPr="001570EA">
        <w:t>Default Savings</w:t>
      </w:r>
    </w:p>
    <w:p w14:paraId="1A661C2F" w14:textId="77777777" w:rsidR="00BF46BE" w:rsidRPr="001570EA" w:rsidRDefault="00BF46BE" w:rsidP="00BF46BE">
      <w:r w:rsidRPr="001570EA">
        <w:t>Default savings are as follows, with unknown usage defaulting to spot usage based on fan capacity (CFM):</w:t>
      </w:r>
    </w:p>
    <w:p w14:paraId="5A53EAC6" w14:textId="77777777" w:rsidR="00BF46BE" w:rsidRPr="001570EA" w:rsidRDefault="00BF46BE" w:rsidP="00BF46BE"/>
    <w:p w14:paraId="60629481" w14:textId="321C00F0" w:rsidR="00BF46BE" w:rsidRPr="001570EA" w:rsidRDefault="00BF46BE" w:rsidP="00BF46BE">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58</w:t>
      </w:r>
      <w:r w:rsidR="002E093A" w:rsidRPr="001570EA">
        <w:fldChar w:fldCharType="end"/>
      </w:r>
      <w:r w:rsidRPr="001570EA">
        <w:t>: Default Bathroom Exhaust Fan Energy Savings</w:t>
      </w:r>
    </w:p>
    <w:tbl>
      <w:tblPr>
        <w:tblW w:w="8751" w:type="dxa"/>
        <w:tblInd w:w="108" w:type="dxa"/>
        <w:tblLook w:val="04A0" w:firstRow="1" w:lastRow="0" w:firstColumn="1" w:lastColumn="0" w:noHBand="0" w:noVBand="1"/>
      </w:tblPr>
      <w:tblGrid>
        <w:gridCol w:w="1584"/>
        <w:gridCol w:w="1651"/>
        <w:gridCol w:w="1968"/>
        <w:gridCol w:w="1945"/>
        <w:gridCol w:w="1603"/>
      </w:tblGrid>
      <w:tr w:rsidR="00BF46BE" w:rsidRPr="001570EA" w14:paraId="64E2F4BD" w14:textId="77777777">
        <w:trPr>
          <w:trHeight w:val="323"/>
        </w:trPr>
        <w:tc>
          <w:tcPr>
            <w:tcW w:w="1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E80C41" w14:textId="77777777" w:rsidR="00BF46BE" w:rsidRPr="001570EA" w:rsidRDefault="00BF46BE">
            <w:pPr>
              <w:jc w:val="left"/>
              <w:rPr>
                <w:rFonts w:cs="Arial"/>
                <w:b/>
                <w:sz w:val="18"/>
              </w:rPr>
            </w:pPr>
            <w:r w:rsidRPr="001570EA">
              <w:rPr>
                <w:b/>
                <w:bCs/>
              </w:rPr>
              <w:t>Usage Profile</w:t>
            </w:r>
          </w:p>
        </w:tc>
        <w:tc>
          <w:tcPr>
            <w:tcW w:w="1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2AE8F7" w14:textId="77777777" w:rsidR="00BF46BE" w:rsidRPr="001570EA" w:rsidRDefault="00BF46BE">
            <w:pPr>
              <w:jc w:val="center"/>
              <w:rPr>
                <w:b/>
                <w:sz w:val="18"/>
              </w:rPr>
            </w:pPr>
            <w:r w:rsidRPr="001570EA">
              <w:rPr>
                <w:b/>
                <w:bCs/>
              </w:rPr>
              <w:t>CFM Range</w:t>
            </w:r>
          </w:p>
        </w:tc>
        <w:tc>
          <w:tcPr>
            <w:tcW w:w="19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380CEC" w14:textId="77777777" w:rsidR="00BF46BE" w:rsidRPr="001570EA" w:rsidRDefault="00BF46BE">
            <w:pPr>
              <w:jc w:val="center"/>
              <w:rPr>
                <w:rFonts w:cs="Arial"/>
                <w:b/>
                <w:sz w:val="18"/>
              </w:rPr>
            </w:pPr>
            <m:oMathPara>
              <m:oMath>
                <m:r>
                  <m:rPr>
                    <m:sty m:val="bi"/>
                  </m:rPr>
                  <w:rPr>
                    <w:rFonts w:ascii="Cambria Math" w:hAnsi="Cambria Math" w:cs="Arial"/>
                    <w:sz w:val="18"/>
                  </w:rPr>
                  <m:t>∆</m:t>
                </m:r>
                <m:f>
                  <m:fPr>
                    <m:type m:val="lin"/>
                    <m:ctrlPr>
                      <w:rPr>
                        <w:rFonts w:ascii="Cambria Math" w:hAnsi="Cambria Math" w:cs="Arial"/>
                        <w:b/>
                        <w:i/>
                        <w:sz w:val="18"/>
                        <w:szCs w:val="18"/>
                      </w:rPr>
                    </m:ctrlPr>
                  </m:fPr>
                  <m:num>
                    <m:r>
                      <m:rPr>
                        <m:sty m:val="bi"/>
                      </m:rPr>
                      <w:rPr>
                        <w:rFonts w:ascii="Cambria Math" w:hAnsi="Cambria Math" w:cs="Arial"/>
                        <w:sz w:val="18"/>
                      </w:rPr>
                      <m:t>kWh</m:t>
                    </m:r>
                  </m:num>
                  <m:den>
                    <m:r>
                      <m:rPr>
                        <m:sty m:val="bi"/>
                      </m:rPr>
                      <w:rPr>
                        <w:rFonts w:ascii="Cambria Math" w:hAnsi="Cambria Math" w:cs="Arial"/>
                        <w:sz w:val="18"/>
                      </w:rPr>
                      <m:t>yr</m:t>
                    </m:r>
                  </m:den>
                </m:f>
              </m:oMath>
            </m:oMathPara>
          </w:p>
        </w:tc>
        <w:tc>
          <w:tcPr>
            <w:tcW w:w="19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546E43" w14:textId="77777777" w:rsidR="00BF46BE" w:rsidRPr="001570EA" w:rsidRDefault="00BF46BE">
            <w:pPr>
              <w:jc w:val="center"/>
              <w:rPr>
                <w:rFonts w:cs="Arial"/>
                <w:b/>
                <w:sz w:val="18"/>
              </w:rPr>
            </w:pPr>
            <m:oMathPara>
              <m:oMath>
                <m:r>
                  <m:rPr>
                    <m:sty m:val="bi"/>
                  </m:rPr>
                  <w:rPr>
                    <w:rFonts w:ascii="Cambria Math" w:hAnsi="Cambria Math" w:cs="Arial"/>
                    <w:sz w:val="18"/>
                  </w:rPr>
                  <m:t>∆</m:t>
                </m:r>
                <m:sSub>
                  <m:sSubPr>
                    <m:ctrlPr>
                      <w:rPr>
                        <w:rFonts w:ascii="Cambria Math" w:hAnsi="Cambria Math" w:cs="Arial"/>
                        <w:b/>
                        <w:i/>
                        <w:sz w:val="18"/>
                        <w:szCs w:val="18"/>
                      </w:rPr>
                    </m:ctrlPr>
                  </m:sSubPr>
                  <m:e>
                    <m:r>
                      <m:rPr>
                        <m:sty m:val="bi"/>
                      </m:rPr>
                      <w:rPr>
                        <w:rFonts w:ascii="Cambria Math" w:hAnsi="Cambria Math" w:cs="Arial"/>
                        <w:sz w:val="18"/>
                      </w:rPr>
                      <m:t>kW</m:t>
                    </m:r>
                  </m:e>
                  <m:sub>
                    <m:r>
                      <m:rPr>
                        <m:sty m:val="bi"/>
                      </m:rPr>
                      <w:rPr>
                        <w:rFonts w:ascii="Cambria Math" w:hAnsi="Cambria Math" w:cs="Arial"/>
                        <w:sz w:val="18"/>
                      </w:rPr>
                      <m:t>summer peak</m:t>
                    </m:r>
                  </m:sub>
                </m:sSub>
              </m:oMath>
            </m:oMathPara>
          </w:p>
        </w:tc>
        <w:tc>
          <w:tcPr>
            <w:tcW w:w="1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16C07A" w14:textId="77777777" w:rsidR="00BF46BE" w:rsidRPr="001570EA" w:rsidRDefault="00BF46BE">
            <w:pPr>
              <w:jc w:val="center"/>
              <w:rPr>
                <w:b/>
                <w:sz w:val="18"/>
              </w:rPr>
            </w:pPr>
            <m:oMathPara>
              <m:oMath>
                <m:r>
                  <m:rPr>
                    <m:sty m:val="bi"/>
                  </m:rPr>
                  <w:rPr>
                    <w:rFonts w:ascii="Cambria Math" w:hAnsi="Cambria Math" w:cs="Arial"/>
                    <w:sz w:val="18"/>
                  </w:rPr>
                  <m:t>∆</m:t>
                </m:r>
                <m:sSub>
                  <m:sSubPr>
                    <m:ctrlPr>
                      <w:rPr>
                        <w:rFonts w:ascii="Cambria Math" w:hAnsi="Cambria Math" w:cs="Arial"/>
                        <w:b/>
                        <w:i/>
                        <w:sz w:val="18"/>
                        <w:szCs w:val="18"/>
                      </w:rPr>
                    </m:ctrlPr>
                  </m:sSubPr>
                  <m:e>
                    <m:r>
                      <m:rPr>
                        <m:sty m:val="bi"/>
                      </m:rPr>
                      <w:rPr>
                        <w:rFonts w:ascii="Cambria Math" w:hAnsi="Cambria Math" w:cs="Arial"/>
                        <w:sz w:val="18"/>
                      </w:rPr>
                      <m:t>kW</m:t>
                    </m:r>
                  </m:e>
                  <m:sub>
                    <m:r>
                      <m:rPr>
                        <m:sty m:val="bi"/>
                      </m:rPr>
                      <w:rPr>
                        <w:rFonts w:ascii="Cambria Math" w:hAnsi="Cambria Math" w:cs="Arial"/>
                        <w:sz w:val="18"/>
                      </w:rPr>
                      <m:t>winter peak</m:t>
                    </m:r>
                  </m:sub>
                </m:sSub>
              </m:oMath>
            </m:oMathPara>
          </w:p>
        </w:tc>
      </w:tr>
      <w:tr w:rsidR="00BF46BE" w:rsidRPr="001570EA" w14:paraId="486FE4C2" w14:textId="77777777">
        <w:trPr>
          <w:trHeight w:val="288"/>
        </w:trPr>
        <w:tc>
          <w:tcPr>
            <w:tcW w:w="1584" w:type="dxa"/>
            <w:tcBorders>
              <w:top w:val="single" w:sz="4" w:space="0" w:color="auto"/>
              <w:left w:val="single" w:sz="4" w:space="0" w:color="auto"/>
              <w:bottom w:val="single" w:sz="4" w:space="0" w:color="auto"/>
              <w:right w:val="single" w:sz="4" w:space="0" w:color="auto"/>
            </w:tcBorders>
            <w:vAlign w:val="center"/>
          </w:tcPr>
          <w:p w14:paraId="71D3F07E" w14:textId="77777777" w:rsidR="00BF46BE" w:rsidRPr="001570EA" w:rsidRDefault="00BF46BE">
            <w:pPr>
              <w:jc w:val="left"/>
              <w:rPr>
                <w:rFonts w:cs="Arial"/>
                <w:sz w:val="18"/>
              </w:rPr>
            </w:pPr>
            <w:r w:rsidRPr="001570EA">
              <w:t>Spot or Unknown</w:t>
            </w:r>
          </w:p>
        </w:tc>
        <w:tc>
          <w:tcPr>
            <w:tcW w:w="1651" w:type="dxa"/>
            <w:tcBorders>
              <w:top w:val="single" w:sz="4" w:space="0" w:color="auto"/>
              <w:left w:val="single" w:sz="4" w:space="0" w:color="auto"/>
              <w:bottom w:val="single" w:sz="4" w:space="0" w:color="auto"/>
              <w:right w:val="single" w:sz="4" w:space="0" w:color="auto"/>
            </w:tcBorders>
            <w:vAlign w:val="center"/>
          </w:tcPr>
          <w:p w14:paraId="6ABDF8F3" w14:textId="77777777" w:rsidR="00BF46BE" w:rsidRPr="001570EA" w:rsidRDefault="00BF46BE">
            <w:pPr>
              <w:spacing w:line="360" w:lineRule="auto"/>
              <w:jc w:val="center"/>
              <w:rPr>
                <w:rFonts w:cs="Arial"/>
                <w:sz w:val="18"/>
                <w:szCs w:val="18"/>
              </w:rPr>
            </w:pPr>
            <w:r w:rsidRPr="001570EA">
              <w:rPr>
                <w:rFonts w:cs="Arial"/>
                <w:sz w:val="18"/>
                <w:szCs w:val="18"/>
              </w:rPr>
              <w:t>≤</w:t>
            </w:r>
            <w:r w:rsidRPr="001570EA">
              <w:rPr>
                <w:sz w:val="18"/>
                <w:szCs w:val="18"/>
              </w:rPr>
              <w:t>89</w:t>
            </w:r>
          </w:p>
        </w:tc>
        <w:tc>
          <w:tcPr>
            <w:tcW w:w="1968" w:type="dxa"/>
            <w:tcBorders>
              <w:top w:val="single" w:sz="4" w:space="0" w:color="auto"/>
              <w:left w:val="single" w:sz="4" w:space="0" w:color="auto"/>
              <w:bottom w:val="single" w:sz="4" w:space="0" w:color="auto"/>
              <w:right w:val="single" w:sz="4" w:space="0" w:color="auto"/>
            </w:tcBorders>
            <w:vAlign w:val="bottom"/>
          </w:tcPr>
          <w:p w14:paraId="150460C4" w14:textId="77777777" w:rsidR="00BF46BE" w:rsidRPr="001570EA" w:rsidRDefault="00BF46BE">
            <w:pPr>
              <w:spacing w:line="360" w:lineRule="auto"/>
              <w:jc w:val="center"/>
              <w:rPr>
                <w:rFonts w:cs="Arial"/>
                <w:sz w:val="18"/>
                <w:szCs w:val="18"/>
              </w:rPr>
            </w:pPr>
            <w:r w:rsidRPr="001570EA">
              <w:rPr>
                <w:rFonts w:cs="Arial"/>
                <w:sz w:val="18"/>
                <w:szCs w:val="18"/>
              </w:rPr>
              <w:t>23.9</w:t>
            </w:r>
          </w:p>
        </w:tc>
        <w:tc>
          <w:tcPr>
            <w:tcW w:w="1945" w:type="dxa"/>
            <w:tcBorders>
              <w:top w:val="single" w:sz="4" w:space="0" w:color="auto"/>
              <w:left w:val="single" w:sz="4" w:space="0" w:color="auto"/>
              <w:bottom w:val="single" w:sz="4" w:space="0" w:color="auto"/>
              <w:right w:val="single" w:sz="4" w:space="0" w:color="auto"/>
            </w:tcBorders>
            <w:vAlign w:val="center"/>
          </w:tcPr>
          <w:p w14:paraId="6400F48D" w14:textId="77777777" w:rsidR="00BF46BE" w:rsidRPr="001570EA" w:rsidRDefault="00BF46BE">
            <w:pPr>
              <w:spacing w:line="360" w:lineRule="auto"/>
              <w:jc w:val="center"/>
              <w:rPr>
                <w:rFonts w:cs="Arial"/>
                <w:sz w:val="18"/>
                <w:szCs w:val="18"/>
              </w:rPr>
            </w:pPr>
            <w:r w:rsidRPr="001570EA">
              <w:rPr>
                <w:rFonts w:cs="Arial"/>
                <w:sz w:val="18"/>
                <w:szCs w:val="18"/>
              </w:rPr>
              <w:t>0.0027</w:t>
            </w:r>
          </w:p>
        </w:tc>
        <w:tc>
          <w:tcPr>
            <w:tcW w:w="1603" w:type="dxa"/>
            <w:tcBorders>
              <w:top w:val="single" w:sz="4" w:space="0" w:color="auto"/>
              <w:left w:val="single" w:sz="4" w:space="0" w:color="auto"/>
              <w:bottom w:val="single" w:sz="4" w:space="0" w:color="auto"/>
              <w:right w:val="single" w:sz="4" w:space="0" w:color="auto"/>
            </w:tcBorders>
            <w:vAlign w:val="center"/>
          </w:tcPr>
          <w:p w14:paraId="13B2ABA7" w14:textId="77777777" w:rsidR="00BF46BE" w:rsidRPr="001570EA" w:rsidRDefault="00BF46BE">
            <w:pPr>
              <w:spacing w:line="360" w:lineRule="auto"/>
              <w:jc w:val="center"/>
              <w:rPr>
                <w:rFonts w:cs="Arial"/>
                <w:sz w:val="18"/>
                <w:szCs w:val="18"/>
              </w:rPr>
            </w:pPr>
            <w:r w:rsidRPr="001570EA">
              <w:rPr>
                <w:rFonts w:cs="Arial"/>
                <w:sz w:val="18"/>
                <w:szCs w:val="18"/>
              </w:rPr>
              <w:t>0.0043</w:t>
            </w:r>
          </w:p>
        </w:tc>
      </w:tr>
      <w:tr w:rsidR="00BF46BE" w:rsidRPr="001570EA" w14:paraId="70F6A4DF" w14:textId="77777777">
        <w:trPr>
          <w:trHeight w:val="288"/>
        </w:trPr>
        <w:tc>
          <w:tcPr>
            <w:tcW w:w="1584" w:type="dxa"/>
            <w:tcBorders>
              <w:top w:val="single" w:sz="4" w:space="0" w:color="auto"/>
              <w:left w:val="single" w:sz="4" w:space="0" w:color="auto"/>
              <w:bottom w:val="single" w:sz="4" w:space="0" w:color="auto"/>
              <w:right w:val="single" w:sz="4" w:space="0" w:color="auto"/>
            </w:tcBorders>
            <w:vAlign w:val="center"/>
          </w:tcPr>
          <w:p w14:paraId="07A7BE12" w14:textId="77777777" w:rsidR="00BF46BE" w:rsidRPr="001570EA" w:rsidRDefault="00BF46BE">
            <w:pPr>
              <w:jc w:val="left"/>
              <w:rPr>
                <w:rFonts w:cs="Arial"/>
                <w:sz w:val="18"/>
              </w:rPr>
            </w:pPr>
            <w:r w:rsidRPr="001570EA">
              <w:t>Spot or Unknown</w:t>
            </w:r>
          </w:p>
        </w:tc>
        <w:tc>
          <w:tcPr>
            <w:tcW w:w="1651" w:type="dxa"/>
            <w:tcBorders>
              <w:top w:val="single" w:sz="4" w:space="0" w:color="auto"/>
              <w:left w:val="single" w:sz="4" w:space="0" w:color="auto"/>
              <w:bottom w:val="single" w:sz="4" w:space="0" w:color="auto"/>
              <w:right w:val="single" w:sz="4" w:space="0" w:color="auto"/>
            </w:tcBorders>
            <w:vAlign w:val="center"/>
          </w:tcPr>
          <w:p w14:paraId="493378FA" w14:textId="77777777" w:rsidR="00BF46BE" w:rsidRPr="001570EA" w:rsidRDefault="00BF46BE">
            <w:pPr>
              <w:spacing w:line="360" w:lineRule="auto"/>
              <w:jc w:val="center"/>
              <w:rPr>
                <w:rFonts w:cs="Arial"/>
                <w:sz w:val="18"/>
                <w:szCs w:val="18"/>
              </w:rPr>
            </w:pPr>
            <w:r w:rsidRPr="001570EA">
              <w:rPr>
                <w:sz w:val="18"/>
                <w:szCs w:val="18"/>
              </w:rPr>
              <w:t>90-200</w:t>
            </w:r>
          </w:p>
        </w:tc>
        <w:tc>
          <w:tcPr>
            <w:tcW w:w="1968" w:type="dxa"/>
            <w:tcBorders>
              <w:top w:val="single" w:sz="4" w:space="0" w:color="auto"/>
              <w:left w:val="single" w:sz="4" w:space="0" w:color="auto"/>
              <w:bottom w:val="single" w:sz="4" w:space="0" w:color="auto"/>
              <w:right w:val="single" w:sz="4" w:space="0" w:color="auto"/>
            </w:tcBorders>
            <w:vAlign w:val="bottom"/>
          </w:tcPr>
          <w:p w14:paraId="56B4F0C0" w14:textId="77777777" w:rsidR="00BF46BE" w:rsidRPr="001570EA" w:rsidRDefault="00BF46BE">
            <w:pPr>
              <w:spacing w:line="360" w:lineRule="auto"/>
              <w:jc w:val="center"/>
              <w:rPr>
                <w:rFonts w:cs="Arial"/>
                <w:sz w:val="18"/>
                <w:szCs w:val="18"/>
              </w:rPr>
            </w:pPr>
            <w:r w:rsidRPr="001570EA">
              <w:rPr>
                <w:rFonts w:cs="Arial"/>
                <w:sz w:val="18"/>
                <w:szCs w:val="18"/>
              </w:rPr>
              <w:t>19.6</w:t>
            </w:r>
          </w:p>
        </w:tc>
        <w:tc>
          <w:tcPr>
            <w:tcW w:w="1945" w:type="dxa"/>
            <w:tcBorders>
              <w:top w:val="single" w:sz="4" w:space="0" w:color="auto"/>
              <w:left w:val="single" w:sz="4" w:space="0" w:color="auto"/>
              <w:bottom w:val="single" w:sz="4" w:space="0" w:color="auto"/>
              <w:right w:val="single" w:sz="4" w:space="0" w:color="auto"/>
            </w:tcBorders>
            <w:vAlign w:val="center"/>
          </w:tcPr>
          <w:p w14:paraId="7684DF19" w14:textId="77777777" w:rsidR="00BF46BE" w:rsidRPr="001570EA" w:rsidRDefault="00BF46BE">
            <w:pPr>
              <w:spacing w:line="360" w:lineRule="auto"/>
              <w:jc w:val="center"/>
              <w:rPr>
                <w:rFonts w:cs="Arial"/>
                <w:sz w:val="18"/>
                <w:szCs w:val="18"/>
              </w:rPr>
            </w:pPr>
            <w:r w:rsidRPr="001570EA">
              <w:rPr>
                <w:rFonts w:cs="Arial"/>
                <w:sz w:val="18"/>
                <w:szCs w:val="18"/>
              </w:rPr>
              <w:t>0.0022</w:t>
            </w:r>
          </w:p>
        </w:tc>
        <w:tc>
          <w:tcPr>
            <w:tcW w:w="1603" w:type="dxa"/>
            <w:tcBorders>
              <w:top w:val="single" w:sz="4" w:space="0" w:color="auto"/>
              <w:left w:val="single" w:sz="4" w:space="0" w:color="auto"/>
              <w:bottom w:val="single" w:sz="4" w:space="0" w:color="auto"/>
              <w:right w:val="single" w:sz="4" w:space="0" w:color="auto"/>
            </w:tcBorders>
            <w:vAlign w:val="center"/>
          </w:tcPr>
          <w:p w14:paraId="626FAAC1" w14:textId="77777777" w:rsidR="00BF46BE" w:rsidRPr="001570EA" w:rsidRDefault="00BF46BE">
            <w:pPr>
              <w:spacing w:line="360" w:lineRule="auto"/>
              <w:jc w:val="center"/>
              <w:rPr>
                <w:rFonts w:cs="Arial"/>
                <w:sz w:val="18"/>
                <w:szCs w:val="18"/>
              </w:rPr>
            </w:pPr>
            <w:r w:rsidRPr="001570EA">
              <w:rPr>
                <w:rFonts w:cs="Arial"/>
                <w:sz w:val="18"/>
                <w:szCs w:val="18"/>
              </w:rPr>
              <w:t>0.0035</w:t>
            </w:r>
          </w:p>
        </w:tc>
      </w:tr>
      <w:tr w:rsidR="00BF46BE" w:rsidRPr="001570EA" w14:paraId="2CDCC2FE" w14:textId="77777777">
        <w:trPr>
          <w:trHeight w:val="288"/>
        </w:trPr>
        <w:tc>
          <w:tcPr>
            <w:tcW w:w="1584" w:type="dxa"/>
            <w:tcBorders>
              <w:top w:val="single" w:sz="4" w:space="0" w:color="auto"/>
              <w:left w:val="single" w:sz="4" w:space="0" w:color="auto"/>
              <w:bottom w:val="single" w:sz="4" w:space="0" w:color="auto"/>
              <w:right w:val="single" w:sz="4" w:space="0" w:color="auto"/>
            </w:tcBorders>
            <w:vAlign w:val="center"/>
          </w:tcPr>
          <w:p w14:paraId="411FFB65" w14:textId="77777777" w:rsidR="00BF46BE" w:rsidRPr="001570EA" w:rsidRDefault="00BF46BE">
            <w:pPr>
              <w:jc w:val="left"/>
              <w:rPr>
                <w:rFonts w:cs="Arial"/>
                <w:sz w:val="18"/>
              </w:rPr>
            </w:pPr>
            <w:r w:rsidRPr="001570EA">
              <w:t>Continuous</w:t>
            </w:r>
          </w:p>
        </w:tc>
        <w:tc>
          <w:tcPr>
            <w:tcW w:w="1651" w:type="dxa"/>
            <w:tcBorders>
              <w:top w:val="single" w:sz="4" w:space="0" w:color="auto"/>
              <w:left w:val="single" w:sz="4" w:space="0" w:color="auto"/>
              <w:bottom w:val="single" w:sz="4" w:space="0" w:color="auto"/>
              <w:right w:val="single" w:sz="4" w:space="0" w:color="auto"/>
            </w:tcBorders>
            <w:vAlign w:val="center"/>
          </w:tcPr>
          <w:p w14:paraId="02FC1941" w14:textId="77777777" w:rsidR="00BF46BE" w:rsidRPr="001570EA" w:rsidRDefault="00BF46BE">
            <w:pPr>
              <w:spacing w:line="360" w:lineRule="auto"/>
              <w:jc w:val="center"/>
              <w:rPr>
                <w:rFonts w:cs="Arial"/>
                <w:sz w:val="18"/>
                <w:szCs w:val="18"/>
              </w:rPr>
            </w:pPr>
            <w:r w:rsidRPr="001570EA">
              <w:rPr>
                <w:sz w:val="18"/>
                <w:szCs w:val="18"/>
              </w:rPr>
              <w:t>n/a</w:t>
            </w:r>
          </w:p>
        </w:tc>
        <w:tc>
          <w:tcPr>
            <w:tcW w:w="1968" w:type="dxa"/>
            <w:tcBorders>
              <w:top w:val="single" w:sz="4" w:space="0" w:color="auto"/>
              <w:left w:val="single" w:sz="4" w:space="0" w:color="auto"/>
              <w:bottom w:val="single" w:sz="4" w:space="0" w:color="auto"/>
              <w:right w:val="single" w:sz="4" w:space="0" w:color="auto"/>
            </w:tcBorders>
            <w:vAlign w:val="center"/>
          </w:tcPr>
          <w:p w14:paraId="1C6171A3" w14:textId="77777777" w:rsidR="00BF46BE" w:rsidRPr="001570EA" w:rsidRDefault="00BF46BE">
            <w:pPr>
              <w:spacing w:line="360" w:lineRule="auto"/>
              <w:jc w:val="center"/>
              <w:rPr>
                <w:rFonts w:cs="Arial"/>
                <w:sz w:val="18"/>
                <w:szCs w:val="18"/>
              </w:rPr>
            </w:pPr>
            <w:r w:rsidRPr="001570EA">
              <w:rPr>
                <w:rFonts w:cs="Arial"/>
                <w:sz w:val="18"/>
                <w:szCs w:val="18"/>
              </w:rPr>
              <w:t>172.8</w:t>
            </w:r>
          </w:p>
        </w:tc>
        <w:tc>
          <w:tcPr>
            <w:tcW w:w="1945" w:type="dxa"/>
            <w:tcBorders>
              <w:top w:val="single" w:sz="4" w:space="0" w:color="auto"/>
              <w:left w:val="single" w:sz="4" w:space="0" w:color="auto"/>
              <w:bottom w:val="single" w:sz="4" w:space="0" w:color="auto"/>
              <w:right w:val="single" w:sz="4" w:space="0" w:color="auto"/>
            </w:tcBorders>
            <w:vAlign w:val="center"/>
          </w:tcPr>
          <w:p w14:paraId="61513555" w14:textId="77777777" w:rsidR="00BF46BE" w:rsidRPr="001570EA" w:rsidRDefault="00BF46BE">
            <w:pPr>
              <w:spacing w:line="360" w:lineRule="auto"/>
              <w:jc w:val="center"/>
              <w:rPr>
                <w:rFonts w:cs="Arial"/>
                <w:sz w:val="18"/>
                <w:szCs w:val="18"/>
              </w:rPr>
            </w:pPr>
            <w:r w:rsidRPr="001570EA">
              <w:rPr>
                <w:rFonts w:cs="Arial"/>
                <w:sz w:val="18"/>
                <w:szCs w:val="18"/>
              </w:rPr>
              <w:t>0.0197</w:t>
            </w:r>
          </w:p>
        </w:tc>
        <w:tc>
          <w:tcPr>
            <w:tcW w:w="1603" w:type="dxa"/>
            <w:tcBorders>
              <w:top w:val="single" w:sz="4" w:space="0" w:color="auto"/>
              <w:left w:val="single" w:sz="4" w:space="0" w:color="auto"/>
              <w:bottom w:val="single" w:sz="4" w:space="0" w:color="auto"/>
              <w:right w:val="single" w:sz="4" w:space="0" w:color="auto"/>
            </w:tcBorders>
            <w:vAlign w:val="center"/>
          </w:tcPr>
          <w:p w14:paraId="0377FACA" w14:textId="77777777" w:rsidR="00BF46BE" w:rsidRPr="001570EA" w:rsidRDefault="00BF46BE">
            <w:pPr>
              <w:spacing w:line="360" w:lineRule="auto"/>
              <w:jc w:val="center"/>
              <w:rPr>
                <w:rFonts w:cs="Arial"/>
                <w:sz w:val="18"/>
                <w:szCs w:val="18"/>
              </w:rPr>
            </w:pPr>
            <w:r w:rsidRPr="001570EA">
              <w:rPr>
                <w:rFonts w:cs="Arial"/>
                <w:sz w:val="18"/>
                <w:szCs w:val="18"/>
              </w:rPr>
              <w:t>0.0197</w:t>
            </w:r>
          </w:p>
        </w:tc>
      </w:tr>
    </w:tbl>
    <w:p w14:paraId="2C31592D" w14:textId="77777777" w:rsidR="00BF46BE" w:rsidRPr="001570EA" w:rsidRDefault="00BF46BE" w:rsidP="00BF46BE">
      <w:pPr>
        <w:spacing w:line="288" w:lineRule="auto"/>
        <w:contextualSpacing/>
        <w:jc w:val="left"/>
      </w:pPr>
    </w:p>
    <w:p w14:paraId="7C36D116" w14:textId="77777777" w:rsidR="00BF46BE" w:rsidRPr="001570EA" w:rsidRDefault="00BF46BE" w:rsidP="00BF46BE">
      <w:pPr>
        <w:pStyle w:val="SubStyle"/>
      </w:pPr>
      <w:r w:rsidRPr="001570EA">
        <w:t>Evaluation Protocols</w:t>
      </w:r>
    </w:p>
    <w:p w14:paraId="5E002C9B" w14:textId="77777777" w:rsidR="00BF46BE" w:rsidRPr="001570EA" w:rsidRDefault="00BF46BE" w:rsidP="00BF46BE">
      <w:pPr>
        <w:rPr>
          <w:b/>
          <w:smallCaps/>
        </w:rPr>
      </w:pPr>
      <w:r w:rsidRPr="001570EA">
        <w:t>For most projects, the appropriate evaluation protocol is to verify installation and proper selection of default values. For projects using customer-specific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47BC1AA3" w14:textId="77777777" w:rsidR="00BF46BE" w:rsidRPr="001570EA" w:rsidRDefault="00BF46BE" w:rsidP="00BF46BE">
      <w:pPr>
        <w:pStyle w:val="SubStyle"/>
      </w:pPr>
      <w:r w:rsidRPr="001570EA">
        <w:t>Sources</w:t>
      </w:r>
    </w:p>
    <w:p w14:paraId="1656C160" w14:textId="7A3B2460" w:rsidR="00BF46BE" w:rsidRPr="001570EA" w:rsidRDefault="00BF46BE" w:rsidP="00BF46BE">
      <w:pPr>
        <w:pStyle w:val="ListParagraph"/>
        <w:numPr>
          <w:ilvl w:val="0"/>
          <w:numId w:val="63"/>
        </w:numPr>
      </w:pPr>
      <w:r w:rsidRPr="001570EA">
        <w:t xml:space="preserve">Estimate </w:t>
      </w:r>
      <w:r w:rsidR="000160E9">
        <w:t xml:space="preserve">is </w:t>
      </w:r>
      <w:r w:rsidRPr="001570EA">
        <w:t xml:space="preserve">based on 25 years for whole-house fans and 19 for thermostatically-controlled attic fans from GDS Associates for The New England State Program Working Group. (2007, June). Residential and Commercial/Industrial Lighting and HVAC Measures. </w:t>
      </w:r>
      <w:hyperlink r:id="rId125" w:history="1">
        <w:r w:rsidRPr="001570EA">
          <w:rPr>
            <w:rStyle w:val="Hyperlink"/>
          </w:rPr>
          <w:t>Weblink</w:t>
        </w:r>
      </w:hyperlink>
      <w:r w:rsidRPr="001570EA">
        <w:t>. Limited to PA Act 129 maximum of 15 years.</w:t>
      </w:r>
    </w:p>
    <w:p w14:paraId="19453168" w14:textId="43F0EB25" w:rsidR="00BF46BE" w:rsidRPr="001570EA" w:rsidRDefault="00BF46BE" w:rsidP="00BF46BE">
      <w:pPr>
        <w:pStyle w:val="ListParagraph"/>
        <w:numPr>
          <w:ilvl w:val="0"/>
          <w:numId w:val="63"/>
        </w:numPr>
        <w:spacing w:after="200" w:line="288" w:lineRule="auto"/>
        <w:contextualSpacing/>
        <w:jc w:val="left"/>
        <w:rPr>
          <w:rStyle w:val="Hyperlink"/>
          <w:color w:val="auto"/>
          <w:u w:val="none"/>
        </w:rPr>
      </w:pPr>
      <w:r w:rsidRPr="001570EA">
        <w:t xml:space="preserve">U.S. EPA. (2015). ENERGY STAR Program Requirements Product Specification for Residential Ventilating Fans Eligibility Criteria Version 4.2. </w:t>
      </w:r>
      <w:hyperlink r:id="rId126" w:history="1">
        <w:r w:rsidRPr="001570EA">
          <w:rPr>
            <w:rStyle w:val="Hyperlink"/>
          </w:rPr>
          <w:t>Weblink</w:t>
        </w:r>
      </w:hyperlink>
    </w:p>
    <w:p w14:paraId="0E8518BC" w14:textId="4F94364A" w:rsidR="00BF46BE" w:rsidRPr="001570EA" w:rsidRDefault="00BF46BE" w:rsidP="00BF46BE">
      <w:pPr>
        <w:pStyle w:val="ListParagraph"/>
        <w:numPr>
          <w:ilvl w:val="0"/>
          <w:numId w:val="63"/>
        </w:numPr>
        <w:spacing w:after="200" w:line="288" w:lineRule="auto"/>
        <w:contextualSpacing/>
        <w:jc w:val="left"/>
      </w:pPr>
      <w:r w:rsidRPr="001570EA">
        <w:t xml:space="preserve">Guidehouse analysis reviewing average CFM and fan efficacy for ENERGY STAR-rated bathroom ventilation fans at the lowest setting in the 10-200 CFM range. </w:t>
      </w:r>
      <w:hyperlink r:id="rId127" w:history="1">
        <w:r w:rsidRPr="001570EA">
          <w:rPr>
            <w:rStyle w:val="Hyperlink"/>
          </w:rPr>
          <w:t>Weblink</w:t>
        </w:r>
      </w:hyperlink>
      <w:r w:rsidRPr="001570EA">
        <w:t xml:space="preserve"> accessed 2/9/22.</w:t>
      </w:r>
    </w:p>
    <w:p w14:paraId="23128F62" w14:textId="153FA369" w:rsidR="00BF46BE" w:rsidRPr="001570EA" w:rsidRDefault="00BF46BE" w:rsidP="00BF46BE">
      <w:pPr>
        <w:pStyle w:val="ListParagraph"/>
        <w:numPr>
          <w:ilvl w:val="0"/>
          <w:numId w:val="63"/>
        </w:numPr>
        <w:spacing w:after="200" w:line="288" w:lineRule="auto"/>
        <w:contextualSpacing/>
        <w:jc w:val="left"/>
      </w:pPr>
      <w:r w:rsidRPr="001570EA">
        <w:t xml:space="preserve">Guidehouse analysis reviewing average CFM and fan efficacy for units both eligible and ineligible for ENERGY STAR qualification. </w:t>
      </w:r>
      <w:hyperlink r:id="rId128" w:history="1">
        <w:r w:rsidRPr="001570EA">
          <w:rPr>
            <w:rStyle w:val="Hyperlink"/>
          </w:rPr>
          <w:t>Weblink</w:t>
        </w:r>
      </w:hyperlink>
      <w:r w:rsidR="00635BBF">
        <w:rPr>
          <w:rStyle w:val="Hyperlink"/>
        </w:rPr>
        <w:t>.</w:t>
      </w:r>
      <w:r w:rsidRPr="001570EA">
        <w:t xml:space="preserve"> </w:t>
      </w:r>
      <w:r w:rsidR="00635BBF" w:rsidRPr="001570EA">
        <w:t xml:space="preserve">Accessed </w:t>
      </w:r>
      <w:r w:rsidRPr="001570EA">
        <w:t>2/9/22.</w:t>
      </w:r>
    </w:p>
    <w:p w14:paraId="1A136717" w14:textId="0C79C33C" w:rsidR="00BF46BE" w:rsidRPr="001570EA" w:rsidRDefault="00BF46BE" w:rsidP="00BF46BE">
      <w:pPr>
        <w:pStyle w:val="ListParagraph"/>
        <w:numPr>
          <w:ilvl w:val="0"/>
          <w:numId w:val="63"/>
        </w:numPr>
        <w:rPr>
          <w:rStyle w:val="Hyperlink"/>
          <w:color w:val="auto"/>
          <w:u w:val="none"/>
        </w:rPr>
      </w:pPr>
      <w:r w:rsidRPr="001570EA">
        <w:t xml:space="preserve">Spot operation hours per year are assumed to coincide with lighting HOU for bathrooms (2.3 hours per day * 365.25 days per year). Statewide Evaluation Team for Pennsylvania Public Utilities Commission (2014, January). 2014 Commercial &amp; Residential Light Metering Study. </w:t>
      </w:r>
      <w:hyperlink r:id="rId129" w:history="1">
        <w:r w:rsidRPr="001570EA">
          <w:rPr>
            <w:rStyle w:val="Hyperlink"/>
            <w:rFonts w:cs="Arial"/>
          </w:rPr>
          <w:t>Weblink</w:t>
        </w:r>
      </w:hyperlink>
    </w:p>
    <w:p w14:paraId="75669194" w14:textId="08F234F3" w:rsidR="00BF46BE" w:rsidRPr="001570EA" w:rsidRDefault="00BF46BE" w:rsidP="00BF46BE">
      <w:pPr>
        <w:pStyle w:val="ListParagraph"/>
        <w:numPr>
          <w:ilvl w:val="0"/>
          <w:numId w:val="63"/>
        </w:numPr>
        <w:rPr>
          <w:rStyle w:val="Hyperlink"/>
          <w:color w:val="auto"/>
          <w:szCs w:val="24"/>
          <w:u w:val="none"/>
        </w:rPr>
      </w:pPr>
      <w:r w:rsidRPr="001570EA">
        <w:t xml:space="preserve">Wilson et al. 2021. End-Use Load Profiles for the U.S. Building Stock: Methodology and Results of Model Calibration, Validation, and Uncertainty Quantification. NREL/TP-5500-80889. </w:t>
      </w:r>
      <w:hyperlink r:id="rId130" w:history="1">
        <w:r w:rsidRPr="001570EA">
          <w:rPr>
            <w:rStyle w:val="Hyperlink"/>
            <w:rFonts w:cs="Arial"/>
          </w:rPr>
          <w:t>Weblink</w:t>
        </w:r>
      </w:hyperlink>
    </w:p>
    <w:p w14:paraId="2EC127D3" w14:textId="77777777" w:rsidR="00BF46BE" w:rsidRPr="001570EA" w:rsidRDefault="00BF46BE" w:rsidP="007376E1">
      <w:pPr>
        <w:pStyle w:val="source10"/>
        <w:sectPr w:rsidR="00BF46BE" w:rsidRPr="001570EA" w:rsidSect="002D556C">
          <w:pgSz w:w="12240" w:h="15840"/>
          <w:pgMar w:top="1440" w:right="1800" w:bottom="1440" w:left="1800" w:header="720" w:footer="501" w:gutter="0"/>
          <w:cols w:space="720"/>
        </w:sectPr>
      </w:pPr>
    </w:p>
    <w:p w14:paraId="653DC30E" w14:textId="77777777" w:rsidR="00C71CAA" w:rsidRPr="001570EA" w:rsidRDefault="00C71CAA" w:rsidP="00C71CAA">
      <w:pPr>
        <w:pStyle w:val="Heading2"/>
      </w:pPr>
      <w:bookmarkStart w:id="324" w:name="_Toc48143028"/>
      <w:bookmarkStart w:id="325" w:name="_Toc164786648"/>
      <w:bookmarkEnd w:id="184"/>
      <w:bookmarkEnd w:id="185"/>
      <w:bookmarkEnd w:id="186"/>
      <w:bookmarkEnd w:id="187"/>
      <w:r w:rsidRPr="001570EA">
        <w:t>Domestic Hot Water</w:t>
      </w:r>
      <w:bookmarkEnd w:id="324"/>
      <w:bookmarkEnd w:id="325"/>
    </w:p>
    <w:p w14:paraId="0D70D159" w14:textId="77777777" w:rsidR="00C71CAA" w:rsidRPr="001570EA" w:rsidRDefault="00C71CAA" w:rsidP="00462D97">
      <w:pPr>
        <w:pStyle w:val="Heading3"/>
      </w:pPr>
      <w:bookmarkStart w:id="326" w:name="_Toc414024898"/>
      <w:bookmarkStart w:id="327" w:name="_Toc414024920"/>
      <w:bookmarkStart w:id="328" w:name="_Toc414024921"/>
      <w:bookmarkStart w:id="329" w:name="_Toc414024922"/>
      <w:bookmarkStart w:id="330" w:name="_Toc414024923"/>
      <w:bookmarkStart w:id="331" w:name="_Toc414024924"/>
      <w:bookmarkStart w:id="332" w:name="_Toc414024925"/>
      <w:bookmarkStart w:id="333" w:name="_Toc414024926"/>
      <w:bookmarkStart w:id="334" w:name="_Toc414024927"/>
      <w:bookmarkStart w:id="335" w:name="_Toc414024928"/>
      <w:bookmarkStart w:id="336" w:name="_Toc414024929"/>
      <w:bookmarkStart w:id="337" w:name="_Toc414024930"/>
      <w:bookmarkStart w:id="338" w:name="_Toc414024931"/>
      <w:bookmarkStart w:id="339" w:name="_Toc414024932"/>
      <w:bookmarkStart w:id="340" w:name="_Toc414024933"/>
      <w:bookmarkStart w:id="341" w:name="_Toc414024934"/>
      <w:bookmarkStart w:id="342" w:name="_Toc414024935"/>
      <w:bookmarkStart w:id="343" w:name="_Toc414024936"/>
      <w:bookmarkStart w:id="344" w:name="_Toc414024937"/>
      <w:bookmarkStart w:id="345" w:name="_Toc414024938"/>
      <w:bookmarkStart w:id="346" w:name="_Toc414024939"/>
      <w:bookmarkStart w:id="347" w:name="_Toc414024940"/>
      <w:bookmarkStart w:id="348" w:name="_Toc414024941"/>
      <w:bookmarkStart w:id="349" w:name="_Toc414024942"/>
      <w:bookmarkStart w:id="350" w:name="_Toc414024943"/>
      <w:bookmarkStart w:id="351" w:name="_Toc414024944"/>
      <w:bookmarkStart w:id="352" w:name="_Toc414024982"/>
      <w:bookmarkStart w:id="353" w:name="_Toc414024983"/>
      <w:bookmarkStart w:id="354" w:name="_Toc414024984"/>
      <w:bookmarkStart w:id="355" w:name="_Toc414024985"/>
      <w:bookmarkStart w:id="356" w:name="_Toc414024986"/>
      <w:bookmarkStart w:id="357" w:name="_Toc414025008"/>
      <w:bookmarkStart w:id="358" w:name="_Toc414025009"/>
      <w:bookmarkStart w:id="359" w:name="_Toc414025010"/>
      <w:bookmarkStart w:id="360" w:name="_Toc414025011"/>
      <w:bookmarkStart w:id="361" w:name="_Toc414025012"/>
      <w:bookmarkStart w:id="362" w:name="_Toc414025013"/>
      <w:bookmarkStart w:id="363" w:name="_Toc414025014"/>
      <w:bookmarkStart w:id="364" w:name="_Toc414025015"/>
      <w:bookmarkStart w:id="365" w:name="_Toc414025016"/>
      <w:bookmarkStart w:id="366" w:name="_Toc414025017"/>
      <w:bookmarkStart w:id="367" w:name="_Toc414025018"/>
      <w:bookmarkStart w:id="368" w:name="_Toc414025019"/>
      <w:bookmarkStart w:id="369" w:name="_Toc414025020"/>
      <w:bookmarkStart w:id="370" w:name="_Toc414025021"/>
      <w:bookmarkStart w:id="371" w:name="_Toc414025022"/>
      <w:bookmarkStart w:id="372" w:name="_Toc414025023"/>
      <w:bookmarkStart w:id="373" w:name="_Toc414025024"/>
      <w:bookmarkStart w:id="374" w:name="_Toc414025025"/>
      <w:bookmarkStart w:id="375" w:name="_Toc414025026"/>
      <w:bookmarkStart w:id="376" w:name="_Toc414025027"/>
      <w:bookmarkStart w:id="377" w:name="_Toc414025028"/>
      <w:bookmarkStart w:id="378" w:name="_Toc473645632"/>
      <w:bookmarkStart w:id="379" w:name="_Ref533003863"/>
      <w:bookmarkStart w:id="380" w:name="_Ref533698576"/>
      <w:bookmarkStart w:id="381" w:name="_Ref533698580"/>
      <w:bookmarkStart w:id="382" w:name="_Ref14093323"/>
      <w:bookmarkStart w:id="383" w:name="_Ref14093862"/>
      <w:bookmarkStart w:id="384" w:name="_Ref47537552"/>
      <w:bookmarkStart w:id="385" w:name="_Toc48143029"/>
      <w:bookmarkStart w:id="386" w:name="_Ref163980796"/>
      <w:bookmarkStart w:id="387" w:name="_Toc164786649"/>
      <w:bookmarkStart w:id="388" w:name="_Toc364420782"/>
      <w:bookmarkStart w:id="389" w:name="_Toc373320419"/>
      <w:bookmarkStart w:id="390" w:name="_Toc364760897"/>
      <w:bookmarkStart w:id="391" w:name="_Toc53014147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1570EA">
        <w:t>Heat Pump Water Heaters</w:t>
      </w:r>
      <w:bookmarkEnd w:id="378"/>
      <w:bookmarkEnd w:id="379"/>
      <w:bookmarkEnd w:id="380"/>
      <w:bookmarkEnd w:id="381"/>
      <w:bookmarkEnd w:id="382"/>
      <w:bookmarkEnd w:id="383"/>
      <w:bookmarkEnd w:id="384"/>
      <w:bookmarkEnd w:id="385"/>
      <w:bookmarkEnd w:id="386"/>
      <w:bookmarkEnd w:id="38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4970"/>
      </w:tblGrid>
      <w:tr w:rsidR="00C71CAA" w:rsidRPr="001570EA" w14:paraId="07FC594F" w14:textId="77777777">
        <w:tc>
          <w:tcPr>
            <w:tcW w:w="3552" w:type="dxa"/>
            <w:shd w:val="clear" w:color="auto" w:fill="auto"/>
          </w:tcPr>
          <w:p w14:paraId="3C1BEDF8" w14:textId="77777777" w:rsidR="00C71CAA" w:rsidRPr="001570EA" w:rsidRDefault="00C71CAA">
            <w:pPr>
              <w:pStyle w:val="TableCell"/>
              <w:spacing w:before="60" w:after="60"/>
              <w:rPr>
                <w:b/>
              </w:rPr>
            </w:pPr>
            <w:r w:rsidRPr="001570EA">
              <w:rPr>
                <w:b/>
              </w:rPr>
              <w:t>Target Sector</w:t>
            </w:r>
          </w:p>
        </w:tc>
        <w:tc>
          <w:tcPr>
            <w:tcW w:w="4970" w:type="dxa"/>
            <w:shd w:val="clear" w:color="auto" w:fill="auto"/>
          </w:tcPr>
          <w:p w14:paraId="16850422" w14:textId="77777777" w:rsidR="00C71CAA" w:rsidRPr="001570EA" w:rsidRDefault="00C71CAA">
            <w:pPr>
              <w:pStyle w:val="TableCell"/>
              <w:spacing w:before="60" w:after="60"/>
              <w:jc w:val="center"/>
            </w:pPr>
            <w:r w:rsidRPr="001570EA">
              <w:t>Residential</w:t>
            </w:r>
          </w:p>
        </w:tc>
      </w:tr>
      <w:tr w:rsidR="00C71CAA" w:rsidRPr="001570EA" w14:paraId="7D0E9FC1" w14:textId="77777777">
        <w:tc>
          <w:tcPr>
            <w:tcW w:w="3552" w:type="dxa"/>
            <w:shd w:val="clear" w:color="auto" w:fill="auto"/>
          </w:tcPr>
          <w:p w14:paraId="76FACDB7" w14:textId="77777777" w:rsidR="00C71CAA" w:rsidRPr="001570EA" w:rsidRDefault="00C71CAA">
            <w:pPr>
              <w:pStyle w:val="TableCell"/>
              <w:spacing w:before="60" w:after="60"/>
              <w:rPr>
                <w:b/>
              </w:rPr>
            </w:pPr>
            <w:r w:rsidRPr="001570EA">
              <w:rPr>
                <w:b/>
              </w:rPr>
              <w:t>Measure Unit</w:t>
            </w:r>
          </w:p>
        </w:tc>
        <w:tc>
          <w:tcPr>
            <w:tcW w:w="4970" w:type="dxa"/>
            <w:shd w:val="clear" w:color="auto" w:fill="auto"/>
          </w:tcPr>
          <w:p w14:paraId="0EB2D128" w14:textId="77777777" w:rsidR="00C71CAA" w:rsidRPr="001570EA" w:rsidRDefault="00C71CAA">
            <w:pPr>
              <w:pStyle w:val="TableCell"/>
              <w:spacing w:before="60" w:after="60"/>
              <w:jc w:val="center"/>
            </w:pPr>
            <w:r w:rsidRPr="001570EA">
              <w:t>Water Heater</w:t>
            </w:r>
          </w:p>
        </w:tc>
      </w:tr>
      <w:tr w:rsidR="00C71CAA" w:rsidRPr="001570EA" w14:paraId="7B5108AA" w14:textId="77777777">
        <w:tc>
          <w:tcPr>
            <w:tcW w:w="3552" w:type="dxa"/>
            <w:shd w:val="clear" w:color="auto" w:fill="auto"/>
          </w:tcPr>
          <w:p w14:paraId="3513A01B" w14:textId="77777777" w:rsidR="00C71CAA" w:rsidRPr="001570EA" w:rsidRDefault="00C71CAA">
            <w:pPr>
              <w:pStyle w:val="TableCell"/>
              <w:spacing w:before="60" w:after="60"/>
              <w:rPr>
                <w:b/>
              </w:rPr>
            </w:pPr>
            <w:r w:rsidRPr="001570EA">
              <w:rPr>
                <w:b/>
              </w:rPr>
              <w:t>Measure Life</w:t>
            </w:r>
          </w:p>
        </w:tc>
        <w:tc>
          <w:tcPr>
            <w:tcW w:w="4970" w:type="dxa"/>
            <w:shd w:val="clear" w:color="auto" w:fill="auto"/>
          </w:tcPr>
          <w:p w14:paraId="4CF2025A" w14:textId="77777777" w:rsidR="00C71CAA" w:rsidRPr="001570EA" w:rsidRDefault="00C71CAA">
            <w:pPr>
              <w:pStyle w:val="TableCell"/>
              <w:spacing w:before="60" w:after="60"/>
              <w:jc w:val="center"/>
            </w:pPr>
            <w:r w:rsidRPr="001570EA">
              <w:t>10 years</w:t>
            </w:r>
            <w:r w:rsidRPr="001570EA">
              <w:rPr>
                <w:rStyle w:val="FootnoteReference"/>
              </w:rPr>
              <w:t>S</w:t>
            </w:r>
            <w:r w:rsidRPr="001570EA">
              <w:rPr>
                <w:vertAlign w:val="superscript"/>
              </w:rPr>
              <w:t>ource 1</w:t>
            </w:r>
          </w:p>
        </w:tc>
      </w:tr>
      <w:tr w:rsidR="00C71CAA" w:rsidRPr="001570EA" w14:paraId="464E90EE" w14:textId="77777777">
        <w:tc>
          <w:tcPr>
            <w:tcW w:w="3552" w:type="dxa"/>
            <w:shd w:val="clear" w:color="auto" w:fill="auto"/>
          </w:tcPr>
          <w:p w14:paraId="6EC65705" w14:textId="77777777" w:rsidR="00C71CAA" w:rsidRPr="001570EA" w:rsidRDefault="00C71CAA">
            <w:pPr>
              <w:pStyle w:val="TableCell"/>
              <w:spacing w:before="60" w:after="60"/>
              <w:rPr>
                <w:b/>
              </w:rPr>
            </w:pPr>
            <w:r w:rsidRPr="001570EA">
              <w:rPr>
                <w:b/>
              </w:rPr>
              <w:t>Vintage</w:t>
            </w:r>
          </w:p>
        </w:tc>
        <w:tc>
          <w:tcPr>
            <w:tcW w:w="4970" w:type="dxa"/>
            <w:shd w:val="clear" w:color="auto" w:fill="auto"/>
          </w:tcPr>
          <w:p w14:paraId="4A053EFF" w14:textId="77777777" w:rsidR="00C71CAA" w:rsidRPr="001570EA" w:rsidRDefault="00C71CAA">
            <w:pPr>
              <w:pStyle w:val="TableCell"/>
              <w:spacing w:before="60" w:after="60"/>
              <w:jc w:val="center"/>
            </w:pPr>
            <w:r w:rsidRPr="001570EA">
              <w:t>Replace on Burnout</w:t>
            </w:r>
          </w:p>
        </w:tc>
      </w:tr>
    </w:tbl>
    <w:p w14:paraId="4F1AE190" w14:textId="77777777" w:rsidR="00C71CAA" w:rsidRPr="001570EA" w:rsidRDefault="00C71CAA" w:rsidP="00C71CAA">
      <w:pPr>
        <w:pStyle w:val="BodyText"/>
        <w:rPr>
          <w:sz w:val="22"/>
        </w:rPr>
      </w:pPr>
    </w:p>
    <w:p w14:paraId="554C28C1" w14:textId="77777777" w:rsidR="00C71CAA" w:rsidRPr="001570EA" w:rsidRDefault="00C71CAA" w:rsidP="00C71CAA">
      <w:pPr>
        <w:pStyle w:val="BodyText"/>
        <w:ind w:right="0"/>
      </w:pPr>
      <w:r w:rsidRPr="001570EA">
        <w:t>Heat Pump Water Heaters take heat from the surrounding air and transfer it to the water in the tank, unlike conventional water heaters, which use either gas (or sometimes other fuel) burners or electric resistance heating coils to heat the water.</w:t>
      </w:r>
    </w:p>
    <w:p w14:paraId="65C44CFA" w14:textId="77777777" w:rsidR="00C71CAA" w:rsidRPr="001570EA" w:rsidRDefault="00C71CAA" w:rsidP="00915563">
      <w:pPr>
        <w:pStyle w:val="BodyText"/>
        <w:spacing w:after="120"/>
        <w:ind w:right="0"/>
      </w:pPr>
    </w:p>
    <w:p w14:paraId="36C9FCFF" w14:textId="77777777" w:rsidR="00C71CAA" w:rsidRPr="001570EA" w:rsidRDefault="00C71CAA" w:rsidP="00C71CAA">
      <w:pPr>
        <w:pStyle w:val="SubStyle"/>
      </w:pPr>
      <w:r w:rsidRPr="001570EA">
        <w:t>Eligibility</w:t>
      </w:r>
    </w:p>
    <w:p w14:paraId="7DFB84DF" w14:textId="77777777" w:rsidR="00C71CAA" w:rsidRPr="001570EA" w:rsidRDefault="00C71CAA" w:rsidP="00C71CAA">
      <w:pPr>
        <w:pStyle w:val="BodyText"/>
        <w:ind w:right="0"/>
      </w:pPr>
      <w:r w:rsidRPr="001570EA">
        <w:t>This protocol documents the energy savings attributed to heat pump water heaters with Uniform Energy Factors meeting Energy Star Criteria Version 3.2.</w:t>
      </w:r>
      <w:r w:rsidRPr="001570EA">
        <w:rPr>
          <w:vertAlign w:val="superscript"/>
        </w:rPr>
        <w:t>Source 2</w:t>
      </w:r>
      <w:r w:rsidRPr="001570EA">
        <w:t xml:space="preserve"> The target sector primarily consists of single-family residences.</w:t>
      </w:r>
    </w:p>
    <w:p w14:paraId="35254EBB" w14:textId="77777777" w:rsidR="00C71CAA" w:rsidRPr="001570EA" w:rsidRDefault="00C71CAA" w:rsidP="00915563">
      <w:pPr>
        <w:pStyle w:val="BodyText"/>
        <w:spacing w:after="120"/>
        <w:ind w:right="0"/>
      </w:pPr>
    </w:p>
    <w:p w14:paraId="734A2F2D" w14:textId="77777777" w:rsidR="00C71CAA" w:rsidRPr="001570EA" w:rsidRDefault="00C71CAA" w:rsidP="00C71CAA">
      <w:pPr>
        <w:pStyle w:val="SubStyle"/>
      </w:pPr>
      <w:r w:rsidRPr="001570EA">
        <w:t>Algorithms</w:t>
      </w:r>
    </w:p>
    <w:p w14:paraId="0000C9FD" w14:textId="54C5466D" w:rsidR="00C71CAA" w:rsidRPr="001570EA" w:rsidRDefault="00C71CAA" w:rsidP="00C71CAA">
      <w:pPr>
        <w:pStyle w:val="BodyText"/>
        <w:spacing w:after="120"/>
        <w:ind w:right="0"/>
      </w:pPr>
      <w:r w:rsidRPr="001570EA">
        <w:t xml:space="preserve">The energy savings calculation utilizes average performance data for available residential heat pump and standard electric resistance water heaters and typical water usage for residential homes. The algorithms </w:t>
      </w:r>
      <w:r w:rsidR="006A2369" w:rsidRPr="001570EA">
        <w:t>consider</w:t>
      </w:r>
      <w:r w:rsidRPr="001570EA">
        <w:t xml:space="preserve"> interactive effects between the water heater and HVAC system when installed inside conditioned space. The energy savings are obtained through the following formula:</w:t>
      </w:r>
    </w:p>
    <w:p w14:paraId="39518D1B" w14:textId="77777777" w:rsidR="00C71CAA" w:rsidRPr="001570EA" w:rsidRDefault="00C71CAA" w:rsidP="00C71CAA">
      <w:pPr>
        <w:pStyle w:val="BodyText"/>
        <w:ind w:right="270"/>
        <w:rPr>
          <w:rFonts w:cs="Arial"/>
        </w:rPr>
      </w:pPr>
      <m:oMathPara>
        <m:oMathParaPr>
          <m:jc m:val="left"/>
        </m:oMathParaPr>
        <m:oMath>
          <m:r>
            <w:rPr>
              <w:rFonts w:ascii="Cambria Math" w:hAnsi="Cambria Math"/>
            </w:rPr>
            <m:t>∆kWh                =</m:t>
          </m:r>
          <m:f>
            <m:fPr>
              <m:ctrlPr>
                <w:rPr>
                  <w:rFonts w:ascii="Cambria Math" w:hAnsi="Cambria Math"/>
                </w:rPr>
              </m:ctrlPr>
            </m:fPr>
            <m:num>
              <m:d>
                <m:dPr>
                  <m:ctrlPr>
                    <w:rPr>
                      <w:rFonts w:ascii="Cambria Math" w:hAnsi="Cambria Math"/>
                    </w:rPr>
                  </m:ctrlPr>
                </m:dPr>
                <m:e>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UEF</m:t>
                          </m:r>
                        </m:e>
                        <m:sub>
                          <m:r>
                            <w:rPr>
                              <w:rFonts w:ascii="Cambria Math" w:hAnsi="Cambria Math"/>
                            </w:rPr>
                            <m:t>base</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cs="Arial"/>
                            </w:rPr>
                          </m:ctrlPr>
                        </m:sSubPr>
                        <m:e>
                          <m:r>
                            <w:rPr>
                              <w:rFonts w:ascii="Cambria Math" w:hAnsi="Cambria Math" w:cs="Arial"/>
                            </w:rPr>
                            <m:t>UEF</m:t>
                          </m:r>
                          <m:ctrlPr>
                            <w:rPr>
                              <w:rFonts w:ascii="Cambria Math" w:eastAsia="Calibri" w:hAnsi="Cambria Math" w:cs="Arial"/>
                              <w:i/>
                              <w:szCs w:val="16"/>
                            </w:rPr>
                          </m:ctrlPr>
                        </m:e>
                        <m:sub>
                          <m:r>
                            <w:rPr>
                              <w:rFonts w:ascii="Cambria Math" w:hAnsi="Cambria Math" w:cs="Arial"/>
                            </w:rPr>
                            <m:t>ee</m:t>
                          </m:r>
                        </m:sub>
                      </m:sSub>
                      <m:r>
                        <w:rPr>
                          <w:rFonts w:ascii="Cambria Math" w:hAnsi="Cambria Math" w:cs="Arial"/>
                        </w:rPr>
                        <m:t>×</m:t>
                      </m:r>
                      <m:sSub>
                        <m:sSubPr>
                          <m:ctrlPr>
                            <w:rPr>
                              <w:rFonts w:ascii="Cambria Math" w:hAnsi="Cambria Math" w:cs="Arial"/>
                            </w:rPr>
                          </m:ctrlPr>
                        </m:sSubPr>
                        <m:e>
                          <m:r>
                            <w:rPr>
                              <w:rFonts w:ascii="Cambria Math" w:hAnsi="Cambria Math" w:cs="Arial"/>
                            </w:rPr>
                            <m:t>F</m:t>
                          </m:r>
                          <m:ctrlPr>
                            <w:rPr>
                              <w:rFonts w:ascii="Cambria Math" w:hAnsi="Cambria Math" w:cs="Arial"/>
                              <w:i/>
                            </w:rPr>
                          </m:ctrlPr>
                        </m:e>
                        <m:sub>
                          <m:r>
                            <w:rPr>
                              <w:rFonts w:ascii="Cambria Math" w:hAnsi="Cambria Math" w:cs="Arial"/>
                            </w:rPr>
                            <m:t>derate</m:t>
                          </m:r>
                        </m:sub>
                      </m:sSub>
                    </m:den>
                  </m:f>
                </m:e>
              </m:d>
              <m:r>
                <w:rPr>
                  <w:rFonts w:ascii="Cambria Math" w:hAnsi="Cambria Math"/>
                </w:rPr>
                <m:t>×HW×365×</m:t>
              </m:r>
              <m:r>
                <m:rPr>
                  <m:sty m:val="p"/>
                </m:rPr>
                <w:rPr>
                  <w:rFonts w:ascii="Cambria Math" w:hAnsi="Cambria Math" w:cs="Arial"/>
                </w:rPr>
                <m:t>8.3</m:t>
              </m:r>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out</m:t>
                      </m:r>
                    </m:sub>
                  </m:sSub>
                  <m:r>
                    <w:rPr>
                      <w:rFonts w:ascii="Cambria Math" w:hAnsi="Cambria Math"/>
                    </w:rPr>
                    <m:t>-</m:t>
                  </m:r>
                  <m:sSub>
                    <m:sSubPr>
                      <m:ctrlPr>
                        <w:rPr>
                          <w:rFonts w:ascii="Cambria Math" w:hAnsi="Cambria Math"/>
                        </w:rPr>
                      </m:ctrlPr>
                    </m:sSubPr>
                    <m:e>
                      <m:r>
                        <w:rPr>
                          <w:rFonts w:ascii="Cambria Math" w:hAnsi="Cambria Math"/>
                        </w:rPr>
                        <m:t>T</m:t>
                      </m:r>
                      <m:ctrlPr>
                        <w:rPr>
                          <w:rFonts w:ascii="Cambria Math" w:hAnsi="Cambria Math"/>
                          <w:i/>
                        </w:rPr>
                      </m:ctrlPr>
                    </m:e>
                    <m:sub>
                      <m:r>
                        <w:rPr>
                          <w:rFonts w:ascii="Cambria Math" w:hAnsi="Cambria Math"/>
                        </w:rPr>
                        <m:t>in</m:t>
                      </m:r>
                    </m:sub>
                  </m:sSub>
                </m:e>
              </m:d>
              <m:ctrlPr>
                <w:rPr>
                  <w:rFonts w:ascii="Cambria Math" w:hAnsi="Cambria Math"/>
                  <w:i/>
                </w:rPr>
              </m:ctrlPr>
            </m:num>
            <m:den>
              <m:r>
                <w:rPr>
                  <w:rFonts w:ascii="Cambria Math" w:hAnsi="Cambria Math"/>
                </w:rPr>
                <m:t>3412</m:t>
              </m:r>
            </m:den>
          </m:f>
          <m:r>
            <w:rPr>
              <w:rFonts w:ascii="Cambria Math" w:hAnsi="Cambria Math" w:cs="Arial"/>
            </w:rPr>
            <m:t>+</m:t>
          </m:r>
          <m:sSub>
            <m:sSubPr>
              <m:ctrlPr>
                <w:rPr>
                  <w:rFonts w:ascii="Cambria Math" w:hAnsi="Cambria Math"/>
                  <w:i/>
                </w:rPr>
              </m:ctrlPr>
            </m:sSubPr>
            <m:e>
              <m:r>
                <w:rPr>
                  <w:rFonts w:ascii="Cambria Math" w:hAnsi="Cambria Math"/>
                </w:rPr>
                <m:t>∆kWh</m:t>
              </m:r>
              <m:ctrlPr>
                <w:rPr>
                  <w:rFonts w:ascii="Cambria Math" w:hAnsi="Cambria Math" w:cs="Arial"/>
                  <w:i/>
                </w:rPr>
              </m:ctrlPr>
            </m:e>
            <m:sub>
              <m:r>
                <w:rPr>
                  <w:rFonts w:ascii="Cambria Math" w:hAnsi="Cambria Math"/>
                </w:rPr>
                <m:t>ie, cool</m:t>
              </m:r>
            </m:sub>
          </m:sSub>
          <m:r>
            <w:rPr>
              <w:rFonts w:ascii="Cambria Math" w:hAnsi="Cambria Math"/>
            </w:rPr>
            <m:t>-</m:t>
          </m:r>
          <m:sSub>
            <m:sSubPr>
              <m:ctrlPr>
                <w:rPr>
                  <w:rFonts w:ascii="Cambria Math" w:hAnsi="Cambria Math"/>
                  <w:i/>
                </w:rPr>
              </m:ctrlPr>
            </m:sSubPr>
            <m:e>
              <m:r>
                <w:rPr>
                  <w:rFonts w:ascii="Cambria Math" w:hAnsi="Cambria Math"/>
                </w:rPr>
                <m:t>∆kWh</m:t>
              </m:r>
            </m:e>
            <m:sub>
              <m:r>
                <w:rPr>
                  <w:rFonts w:ascii="Cambria Math" w:hAnsi="Cambria Math"/>
                </w:rPr>
                <m:t>ie, heat</m:t>
              </m:r>
            </m:sub>
          </m:sSub>
        </m:oMath>
      </m:oMathPara>
    </w:p>
    <w:p w14:paraId="089F265F" w14:textId="77777777" w:rsidR="00C71CAA" w:rsidRPr="001570EA" w:rsidRDefault="00C71CAA" w:rsidP="00C71CAA">
      <w:pPr>
        <w:pStyle w:val="BodyText"/>
        <w:spacing w:after="120"/>
        <w:ind w:right="0"/>
        <w:rPr>
          <w:rFonts w:cs="Arial"/>
        </w:rPr>
      </w:pPr>
    </w:p>
    <w:p w14:paraId="5C8FB871" w14:textId="77777777" w:rsidR="00C71CAA" w:rsidRPr="001570EA" w:rsidRDefault="00C71CAA" w:rsidP="00C71CAA">
      <w:pPr>
        <w:pStyle w:val="BodyText"/>
        <w:spacing w:after="120"/>
        <w:ind w:right="0"/>
        <w:rPr>
          <w:rFonts w:cs="Arial"/>
        </w:rPr>
      </w:pPr>
      <w:r w:rsidRPr="001570EA">
        <w:rPr>
          <w:rFonts w:cs="Arial"/>
        </w:rPr>
        <w:t xml:space="preserve">Include below interactive effects calculations </w:t>
      </w:r>
      <w:r w:rsidRPr="001570EA">
        <w:rPr>
          <w:rFonts w:cs="Arial"/>
          <w:u w:val="single"/>
        </w:rPr>
        <w:t>only when water heater is installed inside conditioned space with electric heating and cooling</w:t>
      </w:r>
      <w:r w:rsidRPr="001570EA">
        <w:rPr>
          <w:rFonts w:cs="Arial"/>
        </w:rPr>
        <w:t>.</w:t>
      </w:r>
    </w:p>
    <w:p w14:paraId="10A3AE28" w14:textId="77777777" w:rsidR="00C71CAA" w:rsidRPr="001570EA" w:rsidRDefault="00C71CAA" w:rsidP="00C71CAA">
      <w:pPr>
        <w:pStyle w:val="BodyText"/>
        <w:numPr>
          <w:ilvl w:val="0"/>
          <w:numId w:val="8"/>
        </w:numPr>
        <w:ind w:left="360" w:right="0"/>
        <w:rPr>
          <w:rFonts w:cs="Arial"/>
        </w:rPr>
      </w:pPr>
      <w:r w:rsidRPr="001570EA">
        <w:rPr>
          <w:rFonts w:cs="Arial"/>
        </w:rPr>
        <w:t>If either electric heating or electric cooling is absent, then the respective interactive effect will equal zero.</w:t>
      </w:r>
    </w:p>
    <w:p w14:paraId="725CE59B" w14:textId="47FBEF49" w:rsidR="00C71CAA" w:rsidRPr="001570EA" w:rsidRDefault="00C71CAA" w:rsidP="00C71CAA">
      <w:pPr>
        <w:pStyle w:val="BodyText"/>
        <w:numPr>
          <w:ilvl w:val="0"/>
          <w:numId w:val="8"/>
        </w:numPr>
        <w:ind w:left="360" w:right="0"/>
        <w:rPr>
          <w:rFonts w:cs="Arial"/>
        </w:rPr>
      </w:pPr>
      <w:r w:rsidRPr="001570EA">
        <w:rPr>
          <w:rFonts w:cs="Arial"/>
        </w:rPr>
        <w:t xml:space="preserve">When installed outside of conditioned space, both interactive effects will equal zero, and the appropriate </w:t>
      </w:r>
      <m:oMath>
        <m:sSub>
          <m:sSubPr>
            <m:ctrlPr>
              <w:rPr>
                <w:rFonts w:ascii="Cambria Math" w:hAnsi="Cambria Math" w:cs="Arial"/>
              </w:rPr>
            </m:ctrlPr>
          </m:sSubPr>
          <m:e>
            <m:r>
              <w:rPr>
                <w:rFonts w:ascii="Cambria Math" w:hAnsi="Cambria Math" w:cs="Arial"/>
              </w:rPr>
              <m:t>F</m:t>
            </m:r>
          </m:e>
          <m:sub>
            <m:r>
              <w:rPr>
                <w:rFonts w:ascii="Cambria Math" w:hAnsi="Cambria Math" w:cs="Arial"/>
              </w:rPr>
              <m:t>derate</m:t>
            </m:r>
          </m:sub>
        </m:sSub>
      </m:oMath>
      <w:r w:rsidRPr="001570EA">
        <w:rPr>
          <w:rFonts w:cs="Arial"/>
        </w:rPr>
        <w:t xml:space="preserve"> in </w:t>
      </w:r>
      <w:r w:rsidRPr="001570EA">
        <w:rPr>
          <w:rFonts w:cs="Arial"/>
        </w:rPr>
        <w:fldChar w:fldCharType="begin"/>
      </w:r>
      <w:r w:rsidRPr="001570EA">
        <w:rPr>
          <w:rFonts w:cs="Arial"/>
        </w:rPr>
        <w:instrText xml:space="preserve"> REF _Ref533706253 \h </w:instrText>
      </w:r>
      <w:r w:rsidR="001570EA">
        <w:rPr>
          <w:rFonts w:cs="Arial"/>
        </w:rPr>
        <w:instrText xml:space="preserve"> \* MERGEFORMAT </w:instrText>
      </w:r>
      <w:r w:rsidRPr="001570EA">
        <w:rPr>
          <w:rFonts w:cs="Arial"/>
        </w:rPr>
      </w:r>
      <w:r w:rsidRPr="001570EA">
        <w:rPr>
          <w:rFonts w:cs="Arial"/>
        </w:rPr>
        <w:fldChar w:fldCharType="separate"/>
      </w:r>
      <w:r w:rsidR="00C152E9" w:rsidRPr="001570EA">
        <w:t xml:space="preserve">Table </w:t>
      </w:r>
      <w:r w:rsidR="00C152E9" w:rsidRPr="001570EA">
        <w:rPr>
          <w:noProof/>
        </w:rPr>
        <w:t>2</w:t>
      </w:r>
      <w:r w:rsidR="00C152E9" w:rsidRPr="001570EA">
        <w:rPr>
          <w:noProof/>
        </w:rPr>
        <w:noBreakHyphen/>
      </w:r>
      <w:r w:rsidRPr="001570EA">
        <w:rPr>
          <w:rFonts w:cs="Arial"/>
        </w:rPr>
        <w:fldChar w:fldCharType="end"/>
      </w:r>
      <w:r w:rsidRPr="001570EA">
        <w:rPr>
          <w:rFonts w:cs="Arial"/>
        </w:rPr>
        <w:t xml:space="preserve"> will account for reduced performance due to cooler annual temperatures.</w:t>
      </w:r>
    </w:p>
    <w:p w14:paraId="70E16A89" w14:textId="27178D07" w:rsidR="00C71CAA" w:rsidRPr="001570EA" w:rsidRDefault="00C71CAA" w:rsidP="00C71CAA">
      <w:pPr>
        <w:pStyle w:val="BodyText"/>
        <w:numPr>
          <w:ilvl w:val="0"/>
          <w:numId w:val="8"/>
        </w:numPr>
        <w:ind w:left="360" w:right="0"/>
        <w:rPr>
          <w:rFonts w:cs="Arial"/>
        </w:rPr>
      </w:pPr>
      <w:r w:rsidRPr="001570EA">
        <w:rPr>
          <w:rFonts w:cs="Arial"/>
        </w:rPr>
        <w:t xml:space="preserve">If installation location is unknown (such as with midstream delivery programs), use the ‘Unknown’ value for </w:t>
      </w:r>
      <m:oMath>
        <m:sSub>
          <m:sSubPr>
            <m:ctrlPr>
              <w:rPr>
                <w:rFonts w:ascii="Cambria Math" w:hAnsi="Cambria Math" w:cs="Arial"/>
              </w:rPr>
            </m:ctrlPr>
          </m:sSubPr>
          <m:e>
            <m:r>
              <w:rPr>
                <w:rFonts w:ascii="Cambria Math" w:hAnsi="Cambria Math" w:cs="Arial"/>
              </w:rPr>
              <m:t>F</m:t>
            </m:r>
          </m:e>
          <m:sub>
            <m:r>
              <w:rPr>
                <w:rFonts w:ascii="Cambria Math" w:hAnsi="Cambria Math" w:cs="Arial"/>
              </w:rPr>
              <m:t>derate</m:t>
            </m:r>
          </m:sub>
        </m:sSub>
      </m:oMath>
      <w:r w:rsidRPr="001570EA">
        <w:rPr>
          <w:rFonts w:cs="Arial"/>
        </w:rPr>
        <w:t xml:space="preserve"> in </w:t>
      </w:r>
      <w:r w:rsidRPr="001570EA">
        <w:rPr>
          <w:rFonts w:cs="Arial"/>
        </w:rPr>
        <w:fldChar w:fldCharType="begin"/>
      </w:r>
      <w:r w:rsidRPr="001570EA">
        <w:rPr>
          <w:rFonts w:cs="Arial"/>
        </w:rPr>
        <w:instrText xml:space="preserve"> REF _Ref533706253 \h </w:instrText>
      </w:r>
      <w:r w:rsidR="001570EA">
        <w:rPr>
          <w:rFonts w:cs="Arial"/>
        </w:rPr>
        <w:instrText xml:space="preserve"> \* MERGEFORMAT </w:instrText>
      </w:r>
      <w:r w:rsidRPr="001570EA">
        <w:rPr>
          <w:rFonts w:cs="Arial"/>
        </w:rPr>
      </w:r>
      <w:r w:rsidRPr="001570EA">
        <w:rPr>
          <w:rFonts w:cs="Arial"/>
        </w:rPr>
        <w:fldChar w:fldCharType="separate"/>
      </w:r>
      <w:r w:rsidR="00C152E9" w:rsidRPr="001570EA">
        <w:t xml:space="preserve">Table </w:t>
      </w:r>
      <w:r w:rsidR="00C152E9" w:rsidRPr="001570EA">
        <w:rPr>
          <w:noProof/>
        </w:rPr>
        <w:t>2</w:t>
      </w:r>
      <w:r w:rsidR="00C152E9" w:rsidRPr="001570EA">
        <w:rPr>
          <w:noProof/>
        </w:rPr>
        <w:noBreakHyphen/>
      </w:r>
      <w:r w:rsidRPr="001570EA">
        <w:rPr>
          <w:rFonts w:cs="Arial"/>
        </w:rPr>
        <w:fldChar w:fldCharType="end"/>
      </w:r>
      <w:r w:rsidRPr="001570EA">
        <w:rPr>
          <w:rFonts w:cs="Arial"/>
        </w:rPr>
        <w:t xml:space="preserve"> and both interactive effects will equal zero.</w:t>
      </w:r>
    </w:p>
    <w:p w14:paraId="12C0F419" w14:textId="77777777" w:rsidR="00C71CAA" w:rsidRPr="001570EA" w:rsidRDefault="003B5E04" w:rsidP="00C71CAA">
      <w:pPr>
        <w:pStyle w:val="BodyText"/>
        <w:rPr>
          <w:rFonts w:cs="Arial"/>
        </w:rPr>
      </w:pPr>
      <m:oMathPara>
        <m:oMathParaPr>
          <m:jc m:val="left"/>
        </m:oMathParaPr>
        <m:oMath>
          <m:sSub>
            <m:sSubPr>
              <m:ctrlPr>
                <w:rPr>
                  <w:rFonts w:ascii="Cambria Math" w:hAnsi="Cambria Math"/>
                  <w:i/>
                </w:rPr>
              </m:ctrlPr>
            </m:sSubPr>
            <m:e>
              <m:r>
                <w:rPr>
                  <w:rFonts w:ascii="Cambria Math" w:hAnsi="Cambria Math"/>
                </w:rPr>
                <m:t>∆kWh</m:t>
              </m:r>
            </m:e>
            <m:sub>
              <m:r>
                <w:rPr>
                  <w:rFonts w:ascii="Cambria Math" w:hAnsi="Cambria Math"/>
                </w:rPr>
                <m:t>ie, cool</m:t>
              </m:r>
            </m:sub>
          </m:sSub>
          <m:r>
            <w:rPr>
              <w:rFonts w:ascii="Cambria Math" w:hAnsi="Cambria Math"/>
            </w:rPr>
            <m:t xml:space="preserve">                 =  </m:t>
          </m:r>
          <m:f>
            <m:fPr>
              <m:ctrlPr>
                <w:rPr>
                  <w:rFonts w:ascii="Cambria Math" w:hAnsi="Cambria Math"/>
                  <w:i/>
                </w:rPr>
              </m:ctrlPr>
            </m:fPr>
            <m:num>
              <m:r>
                <w:rPr>
                  <w:rFonts w:ascii="Cambria Math" w:hAnsi="Cambria Math"/>
                </w:rPr>
                <m:t>HW×</m:t>
              </m:r>
              <m:r>
                <m:rPr>
                  <m:sty m:val="p"/>
                </m:rPr>
                <w:rPr>
                  <w:rFonts w:ascii="Cambria Math" w:hAnsi="Cambria Math"/>
                  <w:sz w:val="18"/>
                  <w:szCs w:val="18"/>
                </w:rPr>
                <m:t>8.3</m:t>
              </m:r>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out</m:t>
                      </m:r>
                    </m:sub>
                  </m:sSub>
                  <m:r>
                    <w:rPr>
                      <w:rFonts w:ascii="Cambria Math" w:hAnsi="Cambria Math"/>
                    </w:rPr>
                    <m:t>-</m:t>
                  </m:r>
                  <m:sSub>
                    <m:sSubPr>
                      <m:ctrlPr>
                        <w:rPr>
                          <w:rFonts w:ascii="Cambria Math" w:hAnsi="Cambria Math"/>
                        </w:rPr>
                      </m:ctrlPr>
                    </m:sSubPr>
                    <m:e>
                      <m:r>
                        <w:rPr>
                          <w:rFonts w:ascii="Cambria Math" w:hAnsi="Cambria Math"/>
                        </w:rPr>
                        <m:t>T</m:t>
                      </m:r>
                      <m:ctrlPr>
                        <w:rPr>
                          <w:rFonts w:ascii="Cambria Math" w:hAnsi="Cambria Math"/>
                          <w:i/>
                        </w:rPr>
                      </m:ctrlPr>
                    </m:e>
                    <m:sub>
                      <m:r>
                        <w:rPr>
                          <w:rFonts w:ascii="Cambria Math" w:hAnsi="Cambria Math"/>
                        </w:rPr>
                        <m:t>in</m:t>
                      </m:r>
                    </m:sub>
                  </m:sSub>
                </m:e>
              </m:d>
              <m:r>
                <w:rPr>
                  <w:rFonts w:ascii="Cambria Math" w:hAnsi="Cambria Math"/>
                </w:rPr>
                <m:t>×</m:t>
              </m:r>
              <m:sSub>
                <m:sSubPr>
                  <m:ctrlPr>
                    <w:rPr>
                      <w:rFonts w:ascii="Cambria Math" w:hAnsi="Cambria Math"/>
                      <w:i/>
                    </w:rPr>
                  </m:ctrlPr>
                </m:sSubPr>
                <m:e>
                  <m:r>
                    <w:rPr>
                      <w:rFonts w:ascii="Cambria Math" w:hAnsi="Cambria Math"/>
                    </w:rPr>
                    <m:t>EFLH</m:t>
                  </m:r>
                </m:e>
                <m:sub>
                  <m:r>
                    <w:rPr>
                      <w:rFonts w:ascii="Cambria Math" w:hAnsi="Cambria Math"/>
                    </w:rPr>
                    <m:t>cool</m:t>
                  </m:r>
                </m:sub>
              </m:sSub>
            </m:num>
            <m:den>
              <m:r>
                <w:rPr>
                  <w:rFonts w:ascii="Cambria Math" w:hAnsi="Cambria Math"/>
                </w:rPr>
                <m:t>24×SEER2×1000</m:t>
              </m:r>
            </m:den>
          </m:f>
        </m:oMath>
      </m:oMathPara>
    </w:p>
    <w:p w14:paraId="0F610CF8" w14:textId="77777777" w:rsidR="00C71CAA" w:rsidRPr="001570EA" w:rsidRDefault="00C71CAA" w:rsidP="00C71CAA">
      <w:pPr>
        <w:pStyle w:val="BodyText"/>
        <w:rPr>
          <w:rFonts w:cs="Arial"/>
        </w:rPr>
      </w:pPr>
    </w:p>
    <w:p w14:paraId="193B4E2D" w14:textId="77777777" w:rsidR="00C71CAA" w:rsidRPr="001570EA" w:rsidRDefault="003B5E04" w:rsidP="00C71CAA">
      <w:pPr>
        <w:pStyle w:val="BodyText"/>
        <w:rPr>
          <w:rFonts w:cs="Arial"/>
        </w:rPr>
      </w:pPr>
      <m:oMathPara>
        <m:oMathParaPr>
          <m:jc m:val="left"/>
        </m:oMathParaPr>
        <m:oMath>
          <m:sSub>
            <m:sSubPr>
              <m:ctrlPr>
                <w:rPr>
                  <w:rFonts w:ascii="Cambria Math" w:hAnsi="Cambria Math"/>
                  <w:i/>
                </w:rPr>
              </m:ctrlPr>
            </m:sSubPr>
            <m:e>
              <m:r>
                <w:rPr>
                  <w:rFonts w:ascii="Cambria Math" w:hAnsi="Cambria Math"/>
                </w:rPr>
                <m:t>∆kWh</m:t>
              </m:r>
            </m:e>
            <m:sub>
              <m:r>
                <w:rPr>
                  <w:rFonts w:ascii="Cambria Math" w:hAnsi="Cambria Math"/>
                </w:rPr>
                <m:t>ie, heat</m:t>
              </m:r>
            </m:sub>
          </m:sSub>
          <m:r>
            <w:rPr>
              <w:rFonts w:ascii="Cambria Math" w:hAnsi="Cambria Math"/>
            </w:rPr>
            <m:t xml:space="preserve">                 =  </m:t>
          </m:r>
          <m:f>
            <m:fPr>
              <m:ctrlPr>
                <w:rPr>
                  <w:rFonts w:ascii="Cambria Math" w:hAnsi="Cambria Math"/>
                  <w:i/>
                </w:rPr>
              </m:ctrlPr>
            </m:fPr>
            <m:num>
              <m:r>
                <w:rPr>
                  <w:rFonts w:ascii="Cambria Math" w:hAnsi="Cambria Math"/>
                </w:rPr>
                <m:t>HW×</m:t>
              </m:r>
              <m:r>
                <m:rPr>
                  <m:sty m:val="p"/>
                </m:rPr>
                <w:rPr>
                  <w:rFonts w:ascii="Cambria Math" w:hAnsi="Cambria Math"/>
                  <w:sz w:val="18"/>
                  <w:szCs w:val="18"/>
                </w:rPr>
                <m:t>8.3</m:t>
              </m:r>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out</m:t>
                      </m:r>
                    </m:sub>
                  </m:sSub>
                  <m:r>
                    <w:rPr>
                      <w:rFonts w:ascii="Cambria Math" w:hAnsi="Cambria Math"/>
                    </w:rPr>
                    <m:t>-</m:t>
                  </m:r>
                  <m:sSub>
                    <m:sSubPr>
                      <m:ctrlPr>
                        <w:rPr>
                          <w:rFonts w:ascii="Cambria Math" w:hAnsi="Cambria Math"/>
                        </w:rPr>
                      </m:ctrlPr>
                    </m:sSubPr>
                    <m:e>
                      <m:r>
                        <w:rPr>
                          <w:rFonts w:ascii="Cambria Math" w:hAnsi="Cambria Math"/>
                        </w:rPr>
                        <m:t>T</m:t>
                      </m:r>
                      <m:ctrlPr>
                        <w:rPr>
                          <w:rFonts w:ascii="Cambria Math" w:hAnsi="Cambria Math"/>
                          <w:i/>
                        </w:rPr>
                      </m:ctrlPr>
                    </m:e>
                    <m:sub>
                      <m:r>
                        <w:rPr>
                          <w:rFonts w:ascii="Cambria Math" w:hAnsi="Cambria Math"/>
                        </w:rPr>
                        <m:t>in</m:t>
                      </m:r>
                    </m:sub>
                  </m:sSub>
                </m:e>
              </m:d>
              <m:r>
                <w:rPr>
                  <w:rFonts w:ascii="Cambria Math" w:hAnsi="Cambria Math"/>
                </w:rPr>
                <m:t>×</m:t>
              </m:r>
              <m:sSub>
                <m:sSubPr>
                  <m:ctrlPr>
                    <w:rPr>
                      <w:rFonts w:ascii="Cambria Math" w:hAnsi="Cambria Math"/>
                      <w:i/>
                    </w:rPr>
                  </m:ctrlPr>
                </m:sSubPr>
                <m:e>
                  <m:r>
                    <w:rPr>
                      <w:rFonts w:ascii="Cambria Math" w:hAnsi="Cambria Math"/>
                    </w:rPr>
                    <m:t>EFLH</m:t>
                  </m:r>
                </m:e>
                <m:sub>
                  <m:r>
                    <w:rPr>
                      <w:rFonts w:ascii="Cambria Math" w:hAnsi="Cambria Math"/>
                    </w:rPr>
                    <m:t>heat</m:t>
                  </m:r>
                </m:sub>
              </m:sSub>
            </m:num>
            <m:den>
              <m:r>
                <w:rPr>
                  <w:rFonts w:ascii="Cambria Math" w:hAnsi="Cambria Math"/>
                </w:rPr>
                <m:t>24×HSPF2×1000</m:t>
              </m:r>
            </m:den>
          </m:f>
        </m:oMath>
      </m:oMathPara>
    </w:p>
    <w:p w14:paraId="1332E426" w14:textId="77777777" w:rsidR="00C71CAA" w:rsidRPr="001570EA" w:rsidRDefault="00C71CAA" w:rsidP="00C71CAA">
      <w:pPr>
        <w:pStyle w:val="BodyText"/>
        <w:rPr>
          <w:rFonts w:cs="Arial"/>
        </w:rPr>
      </w:pPr>
    </w:p>
    <w:p w14:paraId="22674A71" w14:textId="77777777" w:rsidR="00C71CAA" w:rsidRPr="001570EA" w:rsidRDefault="00C71CAA" w:rsidP="00C71CAA">
      <w:pPr>
        <w:pStyle w:val="Equation"/>
        <w:tabs>
          <w:tab w:val="clear" w:pos="720"/>
          <w:tab w:val="clear" w:pos="2880"/>
          <w:tab w:val="left" w:pos="0"/>
        </w:tabs>
        <w:ind w:left="0" w:firstLine="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6483"/>
      </w:tblGrid>
      <w:tr w:rsidR="00C71CAA" w:rsidRPr="001570EA" w:rsidDel="00F24288" w14:paraId="398C71B9" w14:textId="77777777">
        <w:trPr>
          <w:trHeight w:val="720"/>
        </w:trPr>
        <w:tc>
          <w:tcPr>
            <w:tcW w:w="2157" w:type="dxa"/>
            <w:vAlign w:val="center"/>
          </w:tcPr>
          <w:p w14:paraId="6F9F9336" w14:textId="77777777" w:rsidR="00C71CAA" w:rsidRPr="001570EA" w:rsidDel="00F24288" w:rsidRDefault="00C71CAA">
            <w:pPr>
              <w:pStyle w:val="Equation"/>
              <w:ind w:left="0" w:firstLine="0"/>
              <w:jc w:val="left"/>
              <w:rPr>
                <w:rFonts w:eastAsia="Times New Roman"/>
                <w:i w:val="0"/>
                <w:sz w:val="18"/>
              </w:rPr>
            </w:pPr>
            <m:oMathPara>
              <m:oMathParaPr>
                <m:jc m:val="left"/>
              </m:oMathParaPr>
              <m:oMath>
                <m:r>
                  <w:rPr>
                    <w:rFonts w:ascii="Cambria Math" w:hAnsi="Cambria Math"/>
                    <w:sz w:val="18"/>
                  </w:rPr>
                  <m:t>∆</m:t>
                </m:r>
                <m:sSub>
                  <m:sSubPr>
                    <m:ctrlPr>
                      <w:rPr>
                        <w:rFonts w:ascii="Cambria Math" w:hAnsi="Cambria Math"/>
                        <w:sz w:val="18"/>
                      </w:rPr>
                    </m:ctrlPr>
                  </m:sSubPr>
                  <m:e>
                    <m:r>
                      <w:rPr>
                        <w:rFonts w:ascii="Cambria Math" w:hAnsi="Cambria Math"/>
                        <w:sz w:val="18"/>
                      </w:rPr>
                      <m:t>kW</m:t>
                    </m:r>
                  </m:e>
                  <m:sub>
                    <m:r>
                      <w:rPr>
                        <w:rFonts w:ascii="Cambria Math" w:hAnsi="Cambria Math"/>
                        <w:sz w:val="18"/>
                      </w:rPr>
                      <m:t>summer peak</m:t>
                    </m:r>
                  </m:sub>
                </m:sSub>
              </m:oMath>
            </m:oMathPara>
          </w:p>
        </w:tc>
        <w:tc>
          <w:tcPr>
            <w:tcW w:w="6483" w:type="dxa"/>
            <w:vAlign w:val="center"/>
          </w:tcPr>
          <w:p w14:paraId="57DF675E" w14:textId="77777777" w:rsidR="00C71CAA" w:rsidRPr="001570EA" w:rsidRDefault="00C71CAA">
            <w:pPr>
              <w:pStyle w:val="Equation"/>
              <w:ind w:left="0" w:firstLine="0"/>
              <w:jc w:val="left"/>
              <w:rPr>
                <w:rFonts w:cs="Arial"/>
                <w:sz w:val="18"/>
                <w:szCs w:val="20"/>
              </w:rPr>
            </w:pPr>
            <w:r w:rsidRPr="001570EA">
              <w:rPr>
                <w:rFonts w:cs="Arial"/>
                <w:sz w:val="18"/>
              </w:rPr>
              <w:t xml:space="preserve">= </w:t>
            </w:r>
            <m:oMath>
              <m:r>
                <w:rPr>
                  <w:rFonts w:ascii="Cambria Math" w:hAnsi="Cambria Math"/>
                </w:rPr>
                <m:t>∆</m:t>
              </m:r>
              <m:r>
                <w:rPr>
                  <w:rFonts w:ascii="Cambria Math" w:hAnsi="Cambria Math" w:cs="Arial"/>
                  <w:sz w:val="18"/>
                  <w:szCs w:val="20"/>
                </w:rPr>
                <m:t>kWh ×ETD</m:t>
              </m:r>
              <m:sSub>
                <m:sSubPr>
                  <m:ctrlPr>
                    <w:rPr>
                      <w:rFonts w:ascii="Cambria Math" w:hAnsi="Cambria Math" w:cs="Arial"/>
                      <w:sz w:val="18"/>
                      <w:szCs w:val="20"/>
                    </w:rPr>
                  </m:ctrlPr>
                </m:sSubPr>
                <m:e>
                  <m:r>
                    <w:rPr>
                      <w:rFonts w:ascii="Cambria Math" w:hAnsi="Cambria Math" w:cs="Arial"/>
                      <w:sz w:val="18"/>
                      <w:szCs w:val="20"/>
                    </w:rPr>
                    <m:t>F</m:t>
                  </m:r>
                </m:e>
                <m:sub>
                  <m:r>
                    <w:rPr>
                      <w:rFonts w:ascii="Cambria Math" w:hAnsi="Cambria Math" w:cs="Arial"/>
                      <w:sz w:val="18"/>
                      <w:szCs w:val="20"/>
                    </w:rPr>
                    <m:t>s</m:t>
                  </m:r>
                </m:sub>
              </m:sSub>
            </m:oMath>
          </w:p>
          <w:p w14:paraId="308D5897" w14:textId="77777777" w:rsidR="00C71CAA" w:rsidRPr="001570EA" w:rsidDel="00F24288" w:rsidRDefault="00C71CAA">
            <w:pPr>
              <w:pStyle w:val="Equation"/>
              <w:ind w:left="0" w:firstLine="0"/>
              <w:jc w:val="left"/>
              <w:rPr>
                <w:rFonts w:cs="Arial"/>
                <w:sz w:val="18"/>
              </w:rPr>
            </w:pPr>
          </w:p>
        </w:tc>
      </w:tr>
    </w:tbl>
    <w:p w14:paraId="5BF38A04" w14:textId="77777777" w:rsidR="00C71CAA" w:rsidRPr="001570EA" w:rsidRDefault="00C71CAA" w:rsidP="00C71CAA">
      <w:pPr>
        <w:rPr>
          <w:rFonts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6483"/>
      </w:tblGrid>
      <w:tr w:rsidR="00C71CAA" w:rsidRPr="001570EA" w:rsidDel="00F24288" w14:paraId="42677603" w14:textId="77777777">
        <w:trPr>
          <w:trHeight w:val="720"/>
        </w:trPr>
        <w:tc>
          <w:tcPr>
            <w:tcW w:w="2157" w:type="dxa"/>
            <w:vAlign w:val="center"/>
          </w:tcPr>
          <w:p w14:paraId="2902A40E" w14:textId="77777777" w:rsidR="00C71CAA" w:rsidRPr="001570EA" w:rsidDel="00F24288" w:rsidRDefault="00C71CAA">
            <w:pPr>
              <w:pStyle w:val="Equation"/>
              <w:ind w:left="0" w:firstLine="0"/>
              <w:jc w:val="left"/>
              <w:rPr>
                <w:rFonts w:eastAsia="Times New Roman"/>
                <w:i w:val="0"/>
                <w:sz w:val="18"/>
              </w:rPr>
            </w:pPr>
            <m:oMathPara>
              <m:oMathParaPr>
                <m:jc m:val="left"/>
              </m:oMathParaPr>
              <m:oMath>
                <m:r>
                  <w:rPr>
                    <w:rFonts w:ascii="Cambria Math" w:hAnsi="Cambria Math"/>
                    <w:sz w:val="18"/>
                  </w:rPr>
                  <m:t>∆</m:t>
                </m:r>
                <m:sSub>
                  <m:sSubPr>
                    <m:ctrlPr>
                      <w:rPr>
                        <w:rFonts w:ascii="Cambria Math" w:hAnsi="Cambria Math"/>
                        <w:sz w:val="18"/>
                      </w:rPr>
                    </m:ctrlPr>
                  </m:sSubPr>
                  <m:e>
                    <m:r>
                      <w:rPr>
                        <w:rFonts w:ascii="Cambria Math" w:hAnsi="Cambria Math"/>
                        <w:sz w:val="18"/>
                      </w:rPr>
                      <m:t>kW</m:t>
                    </m:r>
                  </m:e>
                  <m:sub>
                    <m:r>
                      <w:rPr>
                        <w:rFonts w:ascii="Cambria Math" w:hAnsi="Cambria Math"/>
                        <w:sz w:val="18"/>
                      </w:rPr>
                      <m:t>winter peak</m:t>
                    </m:r>
                  </m:sub>
                </m:sSub>
              </m:oMath>
            </m:oMathPara>
          </w:p>
        </w:tc>
        <w:tc>
          <w:tcPr>
            <w:tcW w:w="6483" w:type="dxa"/>
            <w:vAlign w:val="center"/>
          </w:tcPr>
          <w:p w14:paraId="655C7670" w14:textId="77777777" w:rsidR="00C71CAA" w:rsidRPr="001570EA" w:rsidRDefault="00C71CAA">
            <w:pPr>
              <w:pStyle w:val="Equation"/>
              <w:ind w:left="0" w:firstLine="0"/>
              <w:jc w:val="left"/>
              <w:rPr>
                <w:rFonts w:cs="Arial"/>
                <w:sz w:val="18"/>
                <w:szCs w:val="20"/>
              </w:rPr>
            </w:pPr>
            <w:r w:rsidRPr="001570EA">
              <w:rPr>
                <w:rFonts w:cs="Arial"/>
                <w:sz w:val="18"/>
              </w:rPr>
              <w:t xml:space="preserve">= </w:t>
            </w:r>
            <m:oMath>
              <m:r>
                <w:rPr>
                  <w:rFonts w:ascii="Cambria Math" w:hAnsi="Cambria Math"/>
                </w:rPr>
                <m:t>∆</m:t>
              </m:r>
              <m:r>
                <w:rPr>
                  <w:rFonts w:ascii="Cambria Math" w:hAnsi="Cambria Math" w:cs="Arial"/>
                  <w:sz w:val="18"/>
                  <w:szCs w:val="20"/>
                </w:rPr>
                <m:t>kWh ×ETD</m:t>
              </m:r>
              <m:sSub>
                <m:sSubPr>
                  <m:ctrlPr>
                    <w:rPr>
                      <w:rFonts w:ascii="Cambria Math" w:hAnsi="Cambria Math" w:cs="Arial"/>
                      <w:sz w:val="18"/>
                      <w:szCs w:val="20"/>
                    </w:rPr>
                  </m:ctrlPr>
                </m:sSubPr>
                <m:e>
                  <m:r>
                    <w:rPr>
                      <w:rFonts w:ascii="Cambria Math" w:hAnsi="Cambria Math" w:cs="Arial"/>
                      <w:sz w:val="18"/>
                      <w:szCs w:val="20"/>
                    </w:rPr>
                    <m:t>F</m:t>
                  </m:r>
                </m:e>
                <m:sub>
                  <m:r>
                    <w:rPr>
                      <w:rFonts w:ascii="Cambria Math" w:hAnsi="Cambria Math" w:cs="Arial"/>
                      <w:sz w:val="18"/>
                      <w:szCs w:val="20"/>
                    </w:rPr>
                    <m:t>w</m:t>
                  </m:r>
                </m:sub>
              </m:sSub>
            </m:oMath>
          </w:p>
          <w:p w14:paraId="2738A039" w14:textId="77777777" w:rsidR="00C71CAA" w:rsidRPr="001570EA" w:rsidDel="00F24288" w:rsidRDefault="00C71CAA">
            <w:pPr>
              <w:pStyle w:val="Equation"/>
              <w:ind w:left="0" w:firstLine="0"/>
              <w:jc w:val="left"/>
              <w:rPr>
                <w:rFonts w:cs="Arial"/>
                <w:sz w:val="18"/>
              </w:rPr>
            </w:pPr>
          </w:p>
        </w:tc>
      </w:tr>
    </w:tbl>
    <w:p w14:paraId="750EBC01" w14:textId="77777777" w:rsidR="00C71CAA" w:rsidRPr="001570EA" w:rsidRDefault="00C71CAA" w:rsidP="00C71CAA">
      <w:pPr>
        <w:pStyle w:val="BodyText"/>
        <w:ind w:right="0"/>
      </w:pPr>
    </w:p>
    <w:p w14:paraId="514F6AFF" w14:textId="77777777" w:rsidR="00C71CAA" w:rsidRPr="001570EA" w:rsidRDefault="00C71CAA" w:rsidP="00C71CAA">
      <w:pPr>
        <w:pStyle w:val="SubStyle"/>
      </w:pPr>
      <w:r w:rsidRPr="001570EA">
        <w:t>Definition of Terms</w:t>
      </w:r>
    </w:p>
    <w:p w14:paraId="6EC8A38F" w14:textId="6D3D0C2A" w:rsidR="00C71CAA" w:rsidRPr="001570EA" w:rsidRDefault="00C71CAA" w:rsidP="00C71CAA">
      <w:pPr>
        <w:pStyle w:val="Caption"/>
        <w:keepNext w:val="0"/>
      </w:pPr>
      <w:bookmarkStart w:id="392" w:name="_Toc473645824"/>
      <w:bookmarkStart w:id="393" w:name="_Toc47598289"/>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59</w:t>
      </w:r>
      <w:r w:rsidR="002E093A" w:rsidRPr="001570EA">
        <w:fldChar w:fldCharType="end"/>
      </w:r>
      <w:r w:rsidRPr="001570EA">
        <w:t>: Terms</w:t>
      </w:r>
      <w:r w:rsidRPr="001570EA">
        <w:rPr>
          <w:rFonts w:cs="Arial"/>
        </w:rPr>
        <w:t>, Values, and References for</w:t>
      </w:r>
      <w:r w:rsidRPr="001570EA">
        <w:t xml:space="preserve"> Heat Pump Water Heater</w:t>
      </w:r>
      <w:bookmarkEnd w:id="392"/>
      <w:bookmarkEnd w:id="393"/>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1478"/>
        <w:gridCol w:w="2003"/>
        <w:gridCol w:w="1509"/>
      </w:tblGrid>
      <w:tr w:rsidR="00C71CAA" w:rsidRPr="001570EA" w14:paraId="43355F06" w14:textId="77777777">
        <w:tc>
          <w:tcPr>
            <w:tcW w:w="2073" w:type="pct"/>
            <w:shd w:val="clear" w:color="auto" w:fill="BFBFBF" w:themeFill="background1" w:themeFillShade="BF"/>
          </w:tcPr>
          <w:p w14:paraId="22378682" w14:textId="77777777" w:rsidR="00C71CAA" w:rsidRPr="001570EA" w:rsidRDefault="00C71CAA">
            <w:pPr>
              <w:pStyle w:val="TableCell"/>
              <w:keepNext w:val="0"/>
              <w:spacing w:before="60" w:after="60"/>
              <w:jc w:val="left"/>
              <w:rPr>
                <w:b/>
              </w:rPr>
            </w:pPr>
            <w:r w:rsidRPr="001570EA">
              <w:rPr>
                <w:b/>
              </w:rPr>
              <w:t>Term</w:t>
            </w:r>
          </w:p>
        </w:tc>
        <w:tc>
          <w:tcPr>
            <w:tcW w:w="867" w:type="pct"/>
            <w:shd w:val="clear" w:color="auto" w:fill="BFBFBF" w:themeFill="background1" w:themeFillShade="BF"/>
          </w:tcPr>
          <w:p w14:paraId="472FEFE2" w14:textId="77777777" w:rsidR="00C71CAA" w:rsidRPr="001570EA" w:rsidRDefault="00C71CAA">
            <w:pPr>
              <w:pStyle w:val="TableCell"/>
              <w:keepNext w:val="0"/>
              <w:spacing w:before="60" w:after="60"/>
              <w:jc w:val="center"/>
              <w:rPr>
                <w:b/>
              </w:rPr>
            </w:pPr>
            <w:r w:rsidRPr="001570EA">
              <w:rPr>
                <w:b/>
              </w:rPr>
              <w:t>Unit</w:t>
            </w:r>
          </w:p>
        </w:tc>
        <w:tc>
          <w:tcPr>
            <w:tcW w:w="1175" w:type="pct"/>
            <w:shd w:val="clear" w:color="auto" w:fill="BFBFBF" w:themeFill="background1" w:themeFillShade="BF"/>
          </w:tcPr>
          <w:p w14:paraId="151295F5" w14:textId="77777777" w:rsidR="00C71CAA" w:rsidRPr="001570EA" w:rsidRDefault="00C71CAA">
            <w:pPr>
              <w:pStyle w:val="TableCell"/>
              <w:keepNext w:val="0"/>
              <w:spacing w:before="60" w:after="60"/>
              <w:jc w:val="center"/>
              <w:rPr>
                <w:b/>
              </w:rPr>
            </w:pPr>
            <w:r w:rsidRPr="001570EA">
              <w:rPr>
                <w:b/>
              </w:rPr>
              <w:t>Values</w:t>
            </w:r>
          </w:p>
        </w:tc>
        <w:tc>
          <w:tcPr>
            <w:tcW w:w="885" w:type="pct"/>
            <w:shd w:val="clear" w:color="auto" w:fill="BFBFBF" w:themeFill="background1" w:themeFillShade="BF"/>
          </w:tcPr>
          <w:p w14:paraId="050F9E37" w14:textId="77777777" w:rsidR="00C71CAA" w:rsidRPr="001570EA" w:rsidRDefault="00C71CAA">
            <w:pPr>
              <w:pStyle w:val="TableCell"/>
              <w:keepNext w:val="0"/>
              <w:spacing w:before="60" w:after="60"/>
              <w:jc w:val="center"/>
              <w:rPr>
                <w:b/>
              </w:rPr>
            </w:pPr>
            <w:r w:rsidRPr="001570EA">
              <w:rPr>
                <w:b/>
              </w:rPr>
              <w:t>Source</w:t>
            </w:r>
          </w:p>
        </w:tc>
      </w:tr>
      <w:tr w:rsidR="00C71CAA" w:rsidRPr="001570EA" w14:paraId="54A912AD" w14:textId="77777777">
        <w:trPr>
          <w:trHeight w:val="563"/>
        </w:trPr>
        <w:tc>
          <w:tcPr>
            <w:tcW w:w="2073" w:type="pct"/>
          </w:tcPr>
          <w:p w14:paraId="718B481C" w14:textId="77777777" w:rsidR="00C71CAA" w:rsidRPr="001570EA" w:rsidRDefault="003B5E04">
            <w:pPr>
              <w:pStyle w:val="TableCell"/>
              <w:keepNext w:val="0"/>
              <w:spacing w:before="60" w:after="60"/>
              <w:jc w:val="left"/>
            </w:pPr>
            <m:oMath>
              <m:sSub>
                <m:sSubPr>
                  <m:ctrlPr>
                    <w:rPr>
                      <w:rFonts w:ascii="Cambria Math" w:hAnsi="Cambria Math" w:cs="Arial"/>
                      <w:i/>
                    </w:rPr>
                  </m:ctrlPr>
                </m:sSubPr>
                <m:e>
                  <m:r>
                    <m:rPr>
                      <m:nor/>
                    </m:rPr>
                    <w:rPr>
                      <w:rFonts w:ascii="Cambria Math" w:hAnsi="Cambria Math" w:cs="Arial"/>
                      <w:i/>
                      <w:iCs/>
                    </w:rPr>
                    <m:t>UEF</m:t>
                  </m:r>
                </m:e>
                <m:sub>
                  <m:r>
                    <m:rPr>
                      <m:nor/>
                    </m:rPr>
                    <w:rPr>
                      <w:rFonts w:ascii="Cambria Math" w:hAnsi="Cambria Math" w:cs="Arial"/>
                      <w:i/>
                      <w:iCs/>
                    </w:rPr>
                    <m:t>base</m:t>
                  </m:r>
                </m:sub>
              </m:sSub>
            </m:oMath>
            <w:r w:rsidR="00C71CAA" w:rsidRPr="001570EA">
              <w:t>, Uniform Energy Factor of baseline water heater</w:t>
            </w:r>
          </w:p>
        </w:tc>
        <w:tc>
          <w:tcPr>
            <w:tcW w:w="867" w:type="pct"/>
            <w:vAlign w:val="center"/>
          </w:tcPr>
          <w:p w14:paraId="075A5FB3" w14:textId="77777777" w:rsidR="00C71CAA" w:rsidRPr="001570EA" w:rsidRDefault="00C71CAA">
            <w:pPr>
              <w:pStyle w:val="TableCell"/>
              <w:keepNext w:val="0"/>
              <w:spacing w:before="60" w:after="60"/>
              <w:jc w:val="center"/>
              <w:rPr>
                <w:i/>
              </w:rPr>
            </w:pPr>
            <w:r w:rsidRPr="001570EA">
              <w:rPr>
                <w:i/>
              </w:rPr>
              <w:t>Proportion</w:t>
            </w:r>
          </w:p>
        </w:tc>
        <w:tc>
          <w:tcPr>
            <w:tcW w:w="1175" w:type="pct"/>
            <w:vAlign w:val="center"/>
          </w:tcPr>
          <w:p w14:paraId="3115FD84" w14:textId="244B3BCD" w:rsidR="00C71CAA" w:rsidRPr="001570EA" w:rsidRDefault="00C71CAA">
            <w:pPr>
              <w:pStyle w:val="TableCell"/>
              <w:keepNext w:val="0"/>
              <w:spacing w:before="60" w:after="60"/>
              <w:jc w:val="center"/>
            </w:pPr>
            <w:r w:rsidRPr="001570EA">
              <w:rPr>
                <w:rFonts w:cs="Arial"/>
              </w:rPr>
              <w:t xml:space="preserve">See </w:t>
            </w:r>
            <w:r w:rsidRPr="001570EA">
              <w:rPr>
                <w:rFonts w:cs="Arial"/>
              </w:rPr>
              <w:fldChar w:fldCharType="begin"/>
            </w:r>
            <w:r w:rsidRPr="001570EA">
              <w:rPr>
                <w:rFonts w:cs="Arial"/>
              </w:rPr>
              <w:instrText xml:space="preserve"> REF _Ref533706168 \h  \* MERGEFORMAT </w:instrText>
            </w:r>
            <w:r w:rsidRPr="001570EA">
              <w:rPr>
                <w:rFonts w:cs="Arial"/>
              </w:rPr>
            </w:r>
            <w:r w:rsidRPr="001570EA">
              <w:rPr>
                <w:rFonts w:cs="Arial"/>
              </w:rPr>
              <w:fldChar w:fldCharType="separate"/>
            </w:r>
            <w:r w:rsidR="00234C6C" w:rsidRPr="001570EA">
              <w:t xml:space="preserve">Table </w:t>
            </w:r>
            <w:r w:rsidR="00234C6C" w:rsidRPr="001570EA">
              <w:rPr>
                <w:noProof/>
              </w:rPr>
              <w:t>2</w:t>
            </w:r>
            <w:r w:rsidRPr="001570EA">
              <w:rPr>
                <w:rFonts w:cs="Arial"/>
              </w:rPr>
              <w:fldChar w:fldCharType="end"/>
            </w:r>
          </w:p>
          <w:p w14:paraId="33AB803A" w14:textId="77777777" w:rsidR="00C71CAA" w:rsidRPr="001570EA" w:rsidRDefault="00C71CAA">
            <w:pPr>
              <w:pStyle w:val="TableCell"/>
              <w:keepNext w:val="0"/>
              <w:spacing w:before="60" w:after="60"/>
              <w:jc w:val="center"/>
            </w:pPr>
            <w:r w:rsidRPr="001570EA">
              <w:rPr>
                <w:rFonts w:cs="Arial"/>
              </w:rPr>
              <w:t>Default: 0.92 (50 gal., medi</w:t>
            </w:r>
            <w:r w:rsidRPr="001570EA">
              <w:t>um</w:t>
            </w:r>
            <w:r w:rsidRPr="001570EA">
              <w:rPr>
                <w:rFonts w:cs="Arial"/>
              </w:rPr>
              <w:t xml:space="preserve"> draw)</w:t>
            </w:r>
          </w:p>
        </w:tc>
        <w:tc>
          <w:tcPr>
            <w:tcW w:w="885" w:type="pct"/>
          </w:tcPr>
          <w:p w14:paraId="556311A7" w14:textId="77777777" w:rsidR="00C71CAA" w:rsidRPr="001570EA" w:rsidRDefault="00C71CAA">
            <w:pPr>
              <w:pStyle w:val="TableCell"/>
              <w:keepNext w:val="0"/>
              <w:spacing w:before="60" w:after="60"/>
              <w:jc w:val="center"/>
            </w:pPr>
            <w:r w:rsidRPr="001570EA">
              <w:t>3</w:t>
            </w:r>
          </w:p>
        </w:tc>
      </w:tr>
      <w:tr w:rsidR="00C71CAA" w:rsidRPr="001570EA" w14:paraId="686E2048" w14:textId="77777777">
        <w:tc>
          <w:tcPr>
            <w:tcW w:w="2073" w:type="pct"/>
          </w:tcPr>
          <w:p w14:paraId="753E5CF9" w14:textId="77777777" w:rsidR="00C71CAA" w:rsidRPr="001570EA" w:rsidRDefault="003B5E04">
            <w:pPr>
              <w:pStyle w:val="TableCell"/>
              <w:keepNext w:val="0"/>
              <w:spacing w:before="60" w:after="60"/>
              <w:jc w:val="left"/>
            </w:pPr>
            <m:oMath>
              <m:sSub>
                <m:sSubPr>
                  <m:ctrlPr>
                    <w:rPr>
                      <w:rFonts w:ascii="Cambria Math" w:hAnsi="Cambria Math" w:cs="Arial"/>
                      <w:i/>
                    </w:rPr>
                  </m:ctrlPr>
                </m:sSubPr>
                <m:e>
                  <m:r>
                    <m:rPr>
                      <m:nor/>
                    </m:rPr>
                    <w:rPr>
                      <w:rFonts w:ascii="Cambria Math" w:hAnsi="Cambria Math" w:cs="Arial"/>
                      <w:i/>
                      <w:iCs/>
                    </w:rPr>
                    <m:t>UEF</m:t>
                  </m:r>
                </m:e>
                <m:sub>
                  <m:r>
                    <w:rPr>
                      <w:rFonts w:ascii="Cambria Math" w:hAnsi="Cambria Math" w:cs="Arial"/>
                    </w:rPr>
                    <m:t>ee</m:t>
                  </m:r>
                </m:sub>
              </m:sSub>
            </m:oMath>
            <w:r w:rsidR="00C71CAA" w:rsidRPr="001570EA">
              <w:t>, Uniform Energy Factor of proposed efficient water heater</w:t>
            </w:r>
          </w:p>
        </w:tc>
        <w:tc>
          <w:tcPr>
            <w:tcW w:w="867" w:type="pct"/>
            <w:vAlign w:val="center"/>
          </w:tcPr>
          <w:p w14:paraId="7481AC66" w14:textId="77777777" w:rsidR="00C71CAA" w:rsidRPr="001570EA" w:rsidRDefault="00C71CAA">
            <w:pPr>
              <w:pStyle w:val="TableCell"/>
              <w:keepNext w:val="0"/>
              <w:spacing w:before="60" w:after="60"/>
              <w:jc w:val="center"/>
              <w:rPr>
                <w:i/>
              </w:rPr>
            </w:pPr>
            <w:r w:rsidRPr="001570EA">
              <w:rPr>
                <w:i/>
              </w:rPr>
              <w:t>Proportion</w:t>
            </w:r>
          </w:p>
        </w:tc>
        <w:tc>
          <w:tcPr>
            <w:tcW w:w="1175" w:type="pct"/>
          </w:tcPr>
          <w:p w14:paraId="2DBFAD48" w14:textId="77777777" w:rsidR="00C71CAA" w:rsidRPr="001570EA" w:rsidRDefault="00C71CAA">
            <w:pPr>
              <w:pStyle w:val="TableCell"/>
              <w:jc w:val="center"/>
            </w:pPr>
            <w:r w:rsidRPr="001570EA">
              <w:t xml:space="preserve">EDC Data Gathering </w:t>
            </w:r>
          </w:p>
          <w:p w14:paraId="2D67701C" w14:textId="77777777" w:rsidR="00C71CAA" w:rsidRPr="001570EA" w:rsidRDefault="00C71CAA">
            <w:pPr>
              <w:pStyle w:val="TableCell"/>
              <w:jc w:val="center"/>
            </w:pPr>
            <w:r w:rsidRPr="001570EA">
              <w:t xml:space="preserve">Default Integrated HPWH: 3.30 </w:t>
            </w:r>
          </w:p>
          <w:p w14:paraId="7444AA8D" w14:textId="77777777" w:rsidR="00C71CAA" w:rsidRPr="001570EA" w:rsidRDefault="00C71CAA">
            <w:pPr>
              <w:pStyle w:val="TableCell"/>
              <w:jc w:val="center"/>
            </w:pPr>
            <w:r w:rsidRPr="001570EA">
              <w:t xml:space="preserve">Default Integrated HPWH, 120 Volt. 15 Amp Circuit: 2.20 </w:t>
            </w:r>
          </w:p>
          <w:p w14:paraId="094FCEE6" w14:textId="77777777" w:rsidR="00C71CAA" w:rsidRPr="001570EA" w:rsidRDefault="00C71CAA">
            <w:pPr>
              <w:pStyle w:val="TableCell"/>
              <w:keepNext w:val="0"/>
              <w:spacing w:before="60" w:after="60"/>
              <w:jc w:val="center"/>
            </w:pPr>
            <w:r w:rsidRPr="001570EA">
              <w:t>Default Split-system HPWH: 2.20</w:t>
            </w:r>
          </w:p>
        </w:tc>
        <w:tc>
          <w:tcPr>
            <w:tcW w:w="885" w:type="pct"/>
          </w:tcPr>
          <w:p w14:paraId="55C101C7" w14:textId="77777777" w:rsidR="00C71CAA" w:rsidRPr="001570EA" w:rsidRDefault="00C71CAA">
            <w:pPr>
              <w:pStyle w:val="TableCell"/>
              <w:keepNext w:val="0"/>
              <w:spacing w:before="60" w:after="60"/>
              <w:jc w:val="center"/>
            </w:pPr>
            <w:r w:rsidRPr="001570EA">
              <w:t>2</w:t>
            </w:r>
          </w:p>
        </w:tc>
      </w:tr>
      <w:tr w:rsidR="00C71CAA" w:rsidRPr="001570EA" w14:paraId="147A2393" w14:textId="77777777">
        <w:tc>
          <w:tcPr>
            <w:tcW w:w="2073" w:type="pct"/>
          </w:tcPr>
          <w:p w14:paraId="63D9670F" w14:textId="77777777" w:rsidR="00C71CAA" w:rsidRPr="001570EA" w:rsidRDefault="003B5E04">
            <w:pPr>
              <w:pStyle w:val="TableCell"/>
              <w:keepNext w:val="0"/>
              <w:spacing w:before="60" w:after="60"/>
              <w:jc w:val="left"/>
              <w:rPr>
                <w:rFonts w:ascii="Cambria Math" w:hAnsi="Cambria Math"/>
                <w:i/>
              </w:rPr>
            </w:pPr>
            <m:oMath>
              <m:sSub>
                <m:sSubPr>
                  <m:ctrlPr>
                    <w:rPr>
                      <w:rFonts w:ascii="Cambria Math" w:hAnsi="Cambria Math" w:cs="Arial"/>
                      <w:i/>
                    </w:rPr>
                  </m:ctrlPr>
                </m:sSubPr>
                <m:e>
                  <m:r>
                    <m:rPr>
                      <m:nor/>
                    </m:rPr>
                    <w:rPr>
                      <w:rFonts w:ascii="Cambria Math" w:hAnsi="Cambria Math" w:cs="Arial"/>
                      <w:i/>
                      <w:iCs/>
                    </w:rPr>
                    <m:t>F</m:t>
                  </m:r>
                </m:e>
                <m:sub>
                  <m:r>
                    <m:rPr>
                      <m:nor/>
                    </m:rPr>
                    <w:rPr>
                      <w:rFonts w:ascii="Cambria Math" w:hAnsi="Cambria Math" w:cs="Arial"/>
                      <w:i/>
                      <w:iCs/>
                    </w:rPr>
                    <m:t>derate</m:t>
                  </m:r>
                </m:sub>
              </m:sSub>
            </m:oMath>
            <w:r w:rsidR="00C71CAA" w:rsidRPr="001570EA">
              <w:rPr>
                <w:rFonts w:ascii="Cambria Math" w:hAnsi="Cambria Math"/>
              </w:rPr>
              <w:t>,</w:t>
            </w:r>
            <w:r w:rsidR="00C71CAA" w:rsidRPr="001570EA">
              <w:rPr>
                <w:rFonts w:cs="Arial"/>
              </w:rPr>
              <w:t xml:space="preserve"> COP De-rating factor </w:t>
            </w:r>
          </w:p>
        </w:tc>
        <w:tc>
          <w:tcPr>
            <w:tcW w:w="867" w:type="pct"/>
            <w:vAlign w:val="center"/>
          </w:tcPr>
          <w:p w14:paraId="2653A2C9" w14:textId="77777777" w:rsidR="00C71CAA" w:rsidRPr="001570EA" w:rsidRDefault="00C71CAA">
            <w:pPr>
              <w:pStyle w:val="TableCell"/>
              <w:keepNext w:val="0"/>
              <w:spacing w:before="60" w:after="60"/>
              <w:jc w:val="center"/>
            </w:pPr>
            <w:r w:rsidRPr="001570EA">
              <w:rPr>
                <w:i/>
              </w:rPr>
              <w:t>Proportion</w:t>
            </w:r>
          </w:p>
        </w:tc>
        <w:tc>
          <w:tcPr>
            <w:tcW w:w="1175" w:type="pct"/>
            <w:vAlign w:val="center"/>
          </w:tcPr>
          <w:p w14:paraId="7198C7EB" w14:textId="7541E79C" w:rsidR="00C71CAA" w:rsidRPr="001570EA" w:rsidRDefault="00C71CAA">
            <w:pPr>
              <w:pStyle w:val="TableCell"/>
              <w:keepNext w:val="0"/>
              <w:spacing w:before="60" w:after="60"/>
              <w:jc w:val="center"/>
            </w:pPr>
            <w:r w:rsidRPr="001570EA">
              <w:rPr>
                <w:noProof/>
              </w:rPr>
              <w:fldChar w:fldCharType="begin"/>
            </w:r>
            <w:r w:rsidRPr="001570EA">
              <w:rPr>
                <w:noProof/>
              </w:rPr>
              <w:instrText xml:space="preserve"> REF _Ref533706253 \h  \* MERGEFORMAT </w:instrText>
            </w:r>
            <w:r w:rsidRPr="001570EA">
              <w:rPr>
                <w:noProof/>
              </w:rPr>
            </w:r>
            <w:r w:rsidRPr="001570EA">
              <w:rPr>
                <w:noProof/>
              </w:rPr>
              <w:fldChar w:fldCharType="separate"/>
            </w:r>
            <w:r w:rsidR="00234C6C" w:rsidRPr="001570EA">
              <w:t xml:space="preserve">Table </w:t>
            </w:r>
            <w:r w:rsidR="00234C6C" w:rsidRPr="001570EA">
              <w:rPr>
                <w:noProof/>
              </w:rPr>
              <w:t>2</w:t>
            </w:r>
            <w:r w:rsidRPr="001570EA">
              <w:rPr>
                <w:noProof/>
              </w:rPr>
              <w:fldChar w:fldCharType="end"/>
            </w:r>
          </w:p>
        </w:tc>
        <w:tc>
          <w:tcPr>
            <w:tcW w:w="885" w:type="pct"/>
          </w:tcPr>
          <w:p w14:paraId="0D3A667B" w14:textId="77777777" w:rsidR="00C71CAA" w:rsidRPr="001570EA" w:rsidRDefault="00C71CAA">
            <w:pPr>
              <w:pStyle w:val="TableCell"/>
              <w:keepNext w:val="0"/>
              <w:spacing w:before="60" w:after="60"/>
              <w:jc w:val="center"/>
            </w:pPr>
            <w:r w:rsidRPr="001570EA">
              <w:t>9, and discussion below</w:t>
            </w:r>
          </w:p>
        </w:tc>
      </w:tr>
      <w:tr w:rsidR="00C71CAA" w:rsidRPr="001570EA" w14:paraId="2F9ABEAE" w14:textId="77777777">
        <w:tc>
          <w:tcPr>
            <w:tcW w:w="2073" w:type="pct"/>
          </w:tcPr>
          <w:p w14:paraId="2CB37C4B" w14:textId="77777777" w:rsidR="00C71CAA" w:rsidRPr="001570EA" w:rsidRDefault="00C71CAA">
            <w:pPr>
              <w:pStyle w:val="TableCell"/>
              <w:keepNext w:val="0"/>
              <w:spacing w:before="60" w:after="60"/>
              <w:jc w:val="left"/>
            </w:pPr>
            <w:r w:rsidRPr="001570EA">
              <w:rPr>
                <w:rFonts w:ascii="Cambria Math" w:hAnsi="Cambria Math"/>
                <w:i/>
              </w:rPr>
              <w:t>HW</w:t>
            </w:r>
            <w:r w:rsidRPr="001570EA">
              <w:t xml:space="preserve"> , Hot water used per day in gallons</w:t>
            </w:r>
          </w:p>
        </w:tc>
        <w:tc>
          <w:tcPr>
            <w:tcW w:w="867" w:type="pct"/>
            <w:vAlign w:val="center"/>
          </w:tcPr>
          <w:p w14:paraId="7CB4246E" w14:textId="77777777" w:rsidR="00C71CAA" w:rsidRPr="001570EA" w:rsidRDefault="003B5E04">
            <w:pPr>
              <w:pStyle w:val="TableCell"/>
              <w:keepNext w:val="0"/>
              <w:spacing w:before="60" w:after="60"/>
              <w:jc w:val="center"/>
              <w:rPr>
                <w:i/>
              </w:rPr>
            </w:pPr>
            <m:oMathPara>
              <m:oMath>
                <m:f>
                  <m:fPr>
                    <m:ctrlPr>
                      <w:rPr>
                        <w:rFonts w:ascii="Cambria Math" w:hAnsi="Cambria Math"/>
                        <w:i/>
                      </w:rPr>
                    </m:ctrlPr>
                  </m:fPr>
                  <m:num>
                    <m:r>
                      <w:rPr>
                        <w:rFonts w:ascii="Cambria Math" w:hAnsi="Cambria Math"/>
                      </w:rPr>
                      <m:t>gallons</m:t>
                    </m:r>
                  </m:num>
                  <m:den>
                    <m:r>
                      <w:rPr>
                        <w:rFonts w:ascii="Cambria Math" w:hAnsi="Cambria Math"/>
                      </w:rPr>
                      <m:t>day</m:t>
                    </m:r>
                  </m:den>
                </m:f>
              </m:oMath>
            </m:oMathPara>
          </w:p>
        </w:tc>
        <w:tc>
          <w:tcPr>
            <w:tcW w:w="1175" w:type="pct"/>
            <w:vAlign w:val="center"/>
          </w:tcPr>
          <w:p w14:paraId="25E69257" w14:textId="77777777" w:rsidR="00C71CAA" w:rsidRPr="001570EA" w:rsidRDefault="00C71CAA">
            <w:pPr>
              <w:pStyle w:val="TableCell"/>
              <w:keepNext w:val="0"/>
              <w:spacing w:before="60" w:after="60"/>
              <w:jc w:val="center"/>
            </w:pPr>
            <w:r w:rsidRPr="001570EA">
              <w:t>45.5</w:t>
            </w:r>
          </w:p>
        </w:tc>
        <w:tc>
          <w:tcPr>
            <w:tcW w:w="885" w:type="pct"/>
          </w:tcPr>
          <w:p w14:paraId="1988C92F" w14:textId="77777777" w:rsidR="00C71CAA" w:rsidRPr="001570EA" w:rsidRDefault="00C71CAA">
            <w:pPr>
              <w:pStyle w:val="TableCell"/>
              <w:keepNext w:val="0"/>
              <w:spacing w:before="60" w:after="60"/>
              <w:jc w:val="center"/>
            </w:pPr>
            <w:r w:rsidRPr="001570EA">
              <w:t>5</w:t>
            </w:r>
          </w:p>
        </w:tc>
      </w:tr>
      <w:tr w:rsidR="00C71CAA" w:rsidRPr="001570EA" w14:paraId="6C1D8D9E" w14:textId="77777777">
        <w:tc>
          <w:tcPr>
            <w:tcW w:w="2073" w:type="pct"/>
          </w:tcPr>
          <w:p w14:paraId="5E91F24D" w14:textId="77777777" w:rsidR="00C71CAA" w:rsidRPr="001570EA" w:rsidRDefault="003B5E04">
            <w:pPr>
              <w:pStyle w:val="TableCell"/>
              <w:keepNext w:val="0"/>
              <w:spacing w:before="60" w:after="60"/>
              <w:jc w:val="left"/>
              <w:rPr>
                <w:rFonts w:cs="Arial"/>
                <w:iCs/>
              </w:rPr>
            </w:pPr>
            <m:oMath>
              <m:sSub>
                <m:sSubPr>
                  <m:ctrlPr>
                    <w:rPr>
                      <w:rFonts w:ascii="Cambria Math" w:hAnsi="Cambria Math"/>
                      <w:i/>
                    </w:rPr>
                  </m:ctrlPr>
                </m:sSubPr>
                <m:e>
                  <m:r>
                    <w:rPr>
                      <w:rFonts w:ascii="Cambria Math" w:hAnsi="Cambria Math"/>
                    </w:rPr>
                    <m:t>V</m:t>
                  </m:r>
                </m:e>
                <m:sub>
                  <m:r>
                    <w:rPr>
                      <w:rFonts w:ascii="Cambria Math" w:hAnsi="Cambria Math"/>
                    </w:rPr>
                    <m:t>r</m:t>
                  </m:r>
                </m:sub>
              </m:sSub>
            </m:oMath>
            <w:r w:rsidR="00C71CAA" w:rsidRPr="001570EA">
              <w:t xml:space="preserve">, </w:t>
            </w:r>
            <w:r w:rsidR="00C71CAA" w:rsidRPr="001570EA">
              <w:rPr>
                <w:rFonts w:cs="Arial"/>
                <w:iCs/>
              </w:rPr>
              <w:t>Rated storage volume of baseline water heater</w:t>
            </w:r>
          </w:p>
        </w:tc>
        <w:tc>
          <w:tcPr>
            <w:tcW w:w="867" w:type="pct"/>
            <w:vAlign w:val="center"/>
          </w:tcPr>
          <w:p w14:paraId="20094CB1" w14:textId="77777777" w:rsidR="00C71CAA" w:rsidRPr="001570EA" w:rsidRDefault="00C71CAA">
            <w:pPr>
              <w:pStyle w:val="TableCell"/>
              <w:keepNext w:val="0"/>
              <w:spacing w:before="60" w:after="60"/>
              <w:jc w:val="center"/>
              <w:rPr>
                <w:i/>
                <w:iCs/>
              </w:rPr>
            </w:pPr>
            <w:r w:rsidRPr="001570EA">
              <w:rPr>
                <w:i/>
                <w:iCs/>
              </w:rPr>
              <w:t>gallons</w:t>
            </w:r>
          </w:p>
        </w:tc>
        <w:tc>
          <w:tcPr>
            <w:tcW w:w="1175" w:type="pct"/>
            <w:vAlign w:val="center"/>
          </w:tcPr>
          <w:p w14:paraId="1FCFD82D" w14:textId="77777777" w:rsidR="00C71CAA" w:rsidRPr="001570EA" w:rsidRDefault="00C71CAA">
            <w:pPr>
              <w:pStyle w:val="TableCell"/>
              <w:keepNext w:val="0"/>
              <w:jc w:val="center"/>
            </w:pPr>
            <w:r w:rsidRPr="001570EA">
              <w:t>EDC Data Gathering</w:t>
            </w:r>
          </w:p>
        </w:tc>
        <w:tc>
          <w:tcPr>
            <w:tcW w:w="885" w:type="pct"/>
          </w:tcPr>
          <w:p w14:paraId="03A500D5" w14:textId="77777777" w:rsidR="00C71CAA" w:rsidRPr="001570EA" w:rsidRDefault="00C71CAA">
            <w:pPr>
              <w:pStyle w:val="TableCell"/>
              <w:keepNext w:val="0"/>
              <w:spacing w:before="60" w:after="60"/>
              <w:jc w:val="center"/>
            </w:pPr>
            <w:r w:rsidRPr="001570EA">
              <w:t>EDC Data Gathering</w:t>
            </w:r>
          </w:p>
        </w:tc>
      </w:tr>
      <w:tr w:rsidR="00C71CAA" w:rsidRPr="001570EA" w14:paraId="3D6ABD45" w14:textId="77777777">
        <w:trPr>
          <w:trHeight w:val="77"/>
        </w:trPr>
        <w:tc>
          <w:tcPr>
            <w:tcW w:w="2073" w:type="pct"/>
          </w:tcPr>
          <w:p w14:paraId="44CEE6FA" w14:textId="77777777" w:rsidR="00C71CAA" w:rsidRPr="001570EA" w:rsidRDefault="003B5E04">
            <w:pPr>
              <w:pStyle w:val="TableCell"/>
              <w:keepNext w:val="0"/>
              <w:spacing w:before="60" w:after="60"/>
              <w:jc w:val="left"/>
            </w:pPr>
            <m:oMath>
              <m:sSub>
                <m:sSubPr>
                  <m:ctrlPr>
                    <w:rPr>
                      <w:rFonts w:ascii="Cambria Math" w:hAnsi="Cambria Math"/>
                      <w:i/>
                    </w:rPr>
                  </m:ctrlPr>
                </m:sSubPr>
                <m:e>
                  <m:r>
                    <w:rPr>
                      <w:rFonts w:ascii="Cambria Math" w:hAnsi="Cambria Math"/>
                    </w:rPr>
                    <m:t>T</m:t>
                  </m:r>
                </m:e>
                <m:sub>
                  <m:r>
                    <w:rPr>
                      <w:rFonts w:ascii="Cambria Math" w:hAnsi="Cambria Math"/>
                    </w:rPr>
                    <m:t>out</m:t>
                  </m:r>
                </m:sub>
              </m:sSub>
            </m:oMath>
            <w:r w:rsidR="00C71CAA" w:rsidRPr="001570EA">
              <w:t>, Temperature of hot water</w:t>
            </w:r>
          </w:p>
        </w:tc>
        <w:tc>
          <w:tcPr>
            <w:tcW w:w="867" w:type="pct"/>
            <w:vAlign w:val="center"/>
          </w:tcPr>
          <w:p w14:paraId="507FD2F8" w14:textId="77777777" w:rsidR="00C71CAA" w:rsidRPr="001570EA" w:rsidRDefault="00C71CAA">
            <w:pPr>
              <w:pStyle w:val="TableCell"/>
              <w:keepNext w:val="0"/>
              <w:spacing w:before="60" w:after="60"/>
              <w:jc w:val="center"/>
              <w:rPr>
                <w:i/>
              </w:rPr>
            </w:pPr>
            <w:r w:rsidRPr="001570EA">
              <w:rPr>
                <w:i/>
              </w:rPr>
              <w:t>°F</w:t>
            </w:r>
          </w:p>
        </w:tc>
        <w:tc>
          <w:tcPr>
            <w:tcW w:w="1175" w:type="pct"/>
          </w:tcPr>
          <w:p w14:paraId="52CD5F3E" w14:textId="77777777" w:rsidR="00C71CAA" w:rsidRPr="001570EA" w:rsidRDefault="00C71CAA">
            <w:pPr>
              <w:pStyle w:val="TableCell"/>
              <w:keepNext w:val="0"/>
              <w:spacing w:before="60" w:after="60"/>
              <w:jc w:val="center"/>
            </w:pPr>
            <w:r w:rsidRPr="001570EA">
              <w:t>119</w:t>
            </w:r>
          </w:p>
        </w:tc>
        <w:tc>
          <w:tcPr>
            <w:tcW w:w="885" w:type="pct"/>
          </w:tcPr>
          <w:p w14:paraId="2BCB9DA0" w14:textId="77777777" w:rsidR="00C71CAA" w:rsidRPr="001570EA" w:rsidRDefault="00C71CAA">
            <w:pPr>
              <w:pStyle w:val="TableCell"/>
              <w:keepNext w:val="0"/>
              <w:spacing w:before="60" w:after="60"/>
              <w:jc w:val="center"/>
            </w:pPr>
            <w:r w:rsidRPr="001570EA">
              <w:t>7</w:t>
            </w:r>
          </w:p>
        </w:tc>
      </w:tr>
      <w:tr w:rsidR="00C71CAA" w:rsidRPr="001570EA" w14:paraId="797C3C1E" w14:textId="77777777">
        <w:tc>
          <w:tcPr>
            <w:tcW w:w="2073" w:type="pct"/>
          </w:tcPr>
          <w:p w14:paraId="42EBD81B" w14:textId="77777777" w:rsidR="00C71CAA" w:rsidRPr="001570EA" w:rsidRDefault="003B5E04">
            <w:pPr>
              <w:pStyle w:val="TableCell"/>
              <w:keepNext w:val="0"/>
              <w:spacing w:before="60" w:after="60"/>
              <w:jc w:val="left"/>
            </w:pPr>
            <m:oMath>
              <m:sSub>
                <m:sSubPr>
                  <m:ctrlPr>
                    <w:rPr>
                      <w:rFonts w:ascii="Cambria Math" w:hAnsi="Cambria Math"/>
                      <w:i/>
                    </w:rPr>
                  </m:ctrlPr>
                </m:sSubPr>
                <m:e>
                  <m:r>
                    <w:rPr>
                      <w:rFonts w:ascii="Cambria Math" w:hAnsi="Cambria Math"/>
                    </w:rPr>
                    <m:t>T</m:t>
                  </m:r>
                </m:e>
                <m:sub>
                  <m:r>
                    <w:rPr>
                      <w:rFonts w:ascii="Cambria Math" w:hAnsi="Cambria Math"/>
                    </w:rPr>
                    <m:t>in</m:t>
                  </m:r>
                </m:sub>
              </m:sSub>
            </m:oMath>
            <w:r w:rsidR="00C71CAA" w:rsidRPr="001570EA">
              <w:t>, Temperature of cold water supply</w:t>
            </w:r>
          </w:p>
        </w:tc>
        <w:tc>
          <w:tcPr>
            <w:tcW w:w="867" w:type="pct"/>
            <w:vAlign w:val="center"/>
          </w:tcPr>
          <w:p w14:paraId="6CCE6E0E" w14:textId="77777777" w:rsidR="00C71CAA" w:rsidRPr="001570EA" w:rsidRDefault="00C71CAA">
            <w:pPr>
              <w:pStyle w:val="TableCell"/>
              <w:keepNext w:val="0"/>
              <w:spacing w:before="60" w:after="60"/>
              <w:jc w:val="center"/>
              <w:rPr>
                <w:i/>
              </w:rPr>
            </w:pPr>
            <w:r w:rsidRPr="001570EA">
              <w:rPr>
                <w:i/>
              </w:rPr>
              <w:t>°F</w:t>
            </w:r>
          </w:p>
        </w:tc>
        <w:tc>
          <w:tcPr>
            <w:tcW w:w="1175" w:type="pct"/>
          </w:tcPr>
          <w:p w14:paraId="4660FEA7" w14:textId="77777777" w:rsidR="00C71CAA" w:rsidRPr="001570EA" w:rsidRDefault="00C71CAA">
            <w:pPr>
              <w:pStyle w:val="TableCell"/>
              <w:keepNext w:val="0"/>
              <w:spacing w:before="60" w:after="60"/>
              <w:jc w:val="center"/>
            </w:pPr>
            <w:r w:rsidRPr="001570EA">
              <w:t>53</w:t>
            </w:r>
          </w:p>
        </w:tc>
        <w:tc>
          <w:tcPr>
            <w:tcW w:w="885" w:type="pct"/>
          </w:tcPr>
          <w:p w14:paraId="12163858" w14:textId="77777777" w:rsidR="00C71CAA" w:rsidRPr="001570EA" w:rsidRDefault="00C71CAA">
            <w:pPr>
              <w:pStyle w:val="TableCell"/>
              <w:keepNext w:val="0"/>
              <w:spacing w:before="60" w:after="60"/>
              <w:jc w:val="center"/>
            </w:pPr>
            <w:r w:rsidRPr="001570EA">
              <w:t>8</w:t>
            </w:r>
          </w:p>
        </w:tc>
      </w:tr>
      <w:tr w:rsidR="00C71CAA" w:rsidRPr="001570EA" w14:paraId="79675FE7" w14:textId="77777777">
        <w:tc>
          <w:tcPr>
            <w:tcW w:w="2073" w:type="pct"/>
          </w:tcPr>
          <w:p w14:paraId="2E1B34EC" w14:textId="2F2BA9E0" w:rsidR="00C71CAA" w:rsidRPr="001570EA" w:rsidDel="006C1696" w:rsidRDefault="003B5E04">
            <w:pPr>
              <w:pStyle w:val="TableCell"/>
              <w:keepNext w:val="0"/>
              <w:spacing w:before="60" w:after="60"/>
              <w:jc w:val="left"/>
            </w:pPr>
            <m:oMath>
              <m:sSub>
                <m:sSubPr>
                  <m:ctrlPr>
                    <w:rPr>
                      <w:rFonts w:ascii="Cambria Math" w:hAnsi="Cambria Math"/>
                      <w:i/>
                    </w:rPr>
                  </m:ctrlPr>
                </m:sSubPr>
                <m:e>
                  <m:r>
                    <w:rPr>
                      <w:rFonts w:ascii="Cambria Math" w:hAnsi="Cambria Math"/>
                    </w:rPr>
                    <m:t>EFLH</m:t>
                  </m:r>
                </m:e>
                <m:sub>
                  <m:r>
                    <w:rPr>
                      <w:rFonts w:ascii="Cambria Math" w:hAnsi="Cambria Math"/>
                    </w:rPr>
                    <m:t>cool</m:t>
                  </m:r>
                </m:sub>
              </m:sSub>
            </m:oMath>
            <w:r w:rsidR="00C71CAA" w:rsidRPr="001570EA">
              <w:t>, Equivalent Full Load Hours for cooling</w:t>
            </w:r>
          </w:p>
        </w:tc>
        <w:tc>
          <w:tcPr>
            <w:tcW w:w="867" w:type="pct"/>
            <w:vAlign w:val="center"/>
          </w:tcPr>
          <w:p w14:paraId="64CA1C78" w14:textId="77777777" w:rsidR="00C71CAA" w:rsidRPr="001570EA" w:rsidRDefault="003B5E04">
            <w:pPr>
              <w:pStyle w:val="TableCell"/>
              <w:keepNext w:val="0"/>
              <w:spacing w:before="60" w:after="60"/>
              <w:jc w:val="center"/>
            </w:pPr>
            <m:oMathPara>
              <m:oMath>
                <m:f>
                  <m:fPr>
                    <m:ctrlPr>
                      <w:rPr>
                        <w:rFonts w:ascii="Cambria Math" w:hAnsi="Cambria Math"/>
                        <w:i/>
                      </w:rPr>
                    </m:ctrlPr>
                  </m:fPr>
                  <m:num>
                    <m:r>
                      <w:rPr>
                        <w:rFonts w:ascii="Cambria Math" w:hAnsi="Cambria Math"/>
                      </w:rPr>
                      <m:t>hours</m:t>
                    </m:r>
                  </m:num>
                  <m:den>
                    <m:r>
                      <w:rPr>
                        <w:rFonts w:ascii="Cambria Math" w:hAnsi="Cambria Math"/>
                      </w:rPr>
                      <m:t>yr</m:t>
                    </m:r>
                  </m:den>
                </m:f>
              </m:oMath>
            </m:oMathPara>
          </w:p>
        </w:tc>
        <w:tc>
          <w:tcPr>
            <w:tcW w:w="1175" w:type="pct"/>
            <w:vAlign w:val="center"/>
          </w:tcPr>
          <w:p w14:paraId="38B32686" w14:textId="77777777" w:rsidR="00C71CAA" w:rsidRPr="001570EA" w:rsidDel="009241B8" w:rsidRDefault="00C71CAA">
            <w:pPr>
              <w:pStyle w:val="TableCell"/>
              <w:keepNext w:val="0"/>
              <w:spacing w:before="60" w:after="60"/>
              <w:jc w:val="center"/>
            </w:pPr>
            <w:r w:rsidRPr="001570EA">
              <w:rPr>
                <w:szCs w:val="18"/>
              </w:rPr>
              <w:t xml:space="preserve">See </w:t>
            </w:r>
            <w:r w:rsidRPr="001570EA">
              <w:rPr>
                <w:i/>
                <w:szCs w:val="18"/>
              </w:rPr>
              <w:t>EFLH</w:t>
            </w:r>
            <w:r w:rsidRPr="001570EA">
              <w:rPr>
                <w:i/>
                <w:szCs w:val="18"/>
                <w:vertAlign w:val="subscript"/>
              </w:rPr>
              <w:t>cool</w:t>
            </w:r>
            <w:r w:rsidRPr="001570EA">
              <w:rPr>
                <w:szCs w:val="18"/>
              </w:rPr>
              <w:t xml:space="preserve"> in Vol. 1, App. A</w:t>
            </w:r>
          </w:p>
        </w:tc>
        <w:tc>
          <w:tcPr>
            <w:tcW w:w="885" w:type="pct"/>
          </w:tcPr>
          <w:p w14:paraId="4BD9B0FB" w14:textId="77777777" w:rsidR="00C71CAA" w:rsidRPr="001570EA" w:rsidRDefault="00C71CAA">
            <w:pPr>
              <w:pStyle w:val="TableCell"/>
              <w:keepNext w:val="0"/>
              <w:spacing w:before="60" w:after="60"/>
              <w:jc w:val="center"/>
            </w:pPr>
            <w:r w:rsidRPr="001570EA">
              <w:t>10</w:t>
            </w:r>
          </w:p>
        </w:tc>
      </w:tr>
      <w:tr w:rsidR="00C71CAA" w:rsidRPr="001570EA" w14:paraId="632C39B9" w14:textId="77777777">
        <w:tc>
          <w:tcPr>
            <w:tcW w:w="2073" w:type="pct"/>
          </w:tcPr>
          <w:p w14:paraId="0DD70F24" w14:textId="3920CDE4" w:rsidR="00C71CAA" w:rsidRPr="001570EA" w:rsidDel="006C1696" w:rsidRDefault="003B5E04">
            <w:pPr>
              <w:pStyle w:val="TableCell"/>
              <w:keepNext w:val="0"/>
              <w:spacing w:before="60" w:after="60"/>
              <w:jc w:val="left"/>
            </w:pPr>
            <m:oMath>
              <m:sSub>
                <m:sSubPr>
                  <m:ctrlPr>
                    <w:rPr>
                      <w:rFonts w:ascii="Cambria Math" w:hAnsi="Cambria Math"/>
                      <w:i/>
                    </w:rPr>
                  </m:ctrlPr>
                </m:sSubPr>
                <m:e>
                  <m:r>
                    <w:rPr>
                      <w:rFonts w:ascii="Cambria Math" w:hAnsi="Cambria Math"/>
                    </w:rPr>
                    <m:t>EFLH</m:t>
                  </m:r>
                </m:e>
                <m:sub>
                  <m:r>
                    <w:rPr>
                      <w:rFonts w:ascii="Cambria Math" w:hAnsi="Cambria Math"/>
                    </w:rPr>
                    <m:t>heat</m:t>
                  </m:r>
                </m:sub>
              </m:sSub>
            </m:oMath>
            <w:r w:rsidR="00C71CAA" w:rsidRPr="001570EA">
              <w:t>, Equivalent Full Load Hours for heating</w:t>
            </w:r>
          </w:p>
        </w:tc>
        <w:tc>
          <w:tcPr>
            <w:tcW w:w="867" w:type="pct"/>
            <w:vAlign w:val="center"/>
          </w:tcPr>
          <w:p w14:paraId="0E6C930D" w14:textId="77777777" w:rsidR="00C71CAA" w:rsidRPr="001570EA" w:rsidRDefault="003B5E04">
            <w:pPr>
              <w:pStyle w:val="TableCell"/>
              <w:keepNext w:val="0"/>
              <w:spacing w:before="60" w:after="60"/>
              <w:jc w:val="center"/>
            </w:pPr>
            <m:oMathPara>
              <m:oMath>
                <m:f>
                  <m:fPr>
                    <m:ctrlPr>
                      <w:rPr>
                        <w:rFonts w:ascii="Cambria Math" w:hAnsi="Cambria Math"/>
                        <w:i/>
                      </w:rPr>
                    </m:ctrlPr>
                  </m:fPr>
                  <m:num>
                    <m:r>
                      <w:rPr>
                        <w:rFonts w:ascii="Cambria Math" w:hAnsi="Cambria Math"/>
                      </w:rPr>
                      <m:t>hours</m:t>
                    </m:r>
                  </m:num>
                  <m:den>
                    <m:r>
                      <w:rPr>
                        <w:rFonts w:ascii="Cambria Math" w:hAnsi="Cambria Math"/>
                      </w:rPr>
                      <m:t>yr</m:t>
                    </m:r>
                  </m:den>
                </m:f>
              </m:oMath>
            </m:oMathPara>
          </w:p>
        </w:tc>
        <w:tc>
          <w:tcPr>
            <w:tcW w:w="1175" w:type="pct"/>
            <w:vAlign w:val="center"/>
          </w:tcPr>
          <w:p w14:paraId="76520B52" w14:textId="77777777" w:rsidR="00C71CAA" w:rsidRPr="001570EA" w:rsidDel="009241B8" w:rsidRDefault="00C71CAA">
            <w:pPr>
              <w:pStyle w:val="TableCell"/>
              <w:keepNext w:val="0"/>
              <w:spacing w:before="60" w:after="60"/>
              <w:jc w:val="center"/>
            </w:pPr>
            <w:r w:rsidRPr="001570EA">
              <w:t xml:space="preserve">See </w:t>
            </w:r>
            <w:r w:rsidRPr="001570EA">
              <w:rPr>
                <w:i/>
              </w:rPr>
              <w:t>EFLH</w:t>
            </w:r>
            <w:r w:rsidRPr="001570EA">
              <w:rPr>
                <w:i/>
                <w:vertAlign w:val="subscript"/>
              </w:rPr>
              <w:t>heat</w:t>
            </w:r>
            <w:r w:rsidRPr="001570EA">
              <w:t xml:space="preserve"> in Vol. 1, App. A</w:t>
            </w:r>
          </w:p>
        </w:tc>
        <w:tc>
          <w:tcPr>
            <w:tcW w:w="885" w:type="pct"/>
          </w:tcPr>
          <w:p w14:paraId="4489526F" w14:textId="77777777" w:rsidR="00C71CAA" w:rsidRPr="001570EA" w:rsidRDefault="00C71CAA">
            <w:pPr>
              <w:pStyle w:val="TableCell"/>
              <w:keepNext w:val="0"/>
              <w:spacing w:before="60" w:after="60"/>
              <w:jc w:val="center"/>
            </w:pPr>
            <w:r w:rsidRPr="001570EA">
              <w:t>10</w:t>
            </w:r>
          </w:p>
        </w:tc>
      </w:tr>
      <w:tr w:rsidR="00C71CAA" w:rsidRPr="001570EA" w14:paraId="708568B4" w14:textId="77777777">
        <w:tc>
          <w:tcPr>
            <w:tcW w:w="2073" w:type="pct"/>
          </w:tcPr>
          <w:p w14:paraId="32AF6066" w14:textId="3A8783A9" w:rsidR="00C71CAA" w:rsidRPr="001570EA" w:rsidDel="006C1696" w:rsidRDefault="00C71CAA">
            <w:pPr>
              <w:pStyle w:val="TableCell"/>
              <w:keepNext w:val="0"/>
              <w:spacing w:before="60" w:after="60"/>
              <w:jc w:val="left"/>
            </w:pPr>
            <w:r w:rsidRPr="001570EA">
              <w:rPr>
                <w:rFonts w:ascii="Cambria Math" w:hAnsi="Cambria Math"/>
                <w:i/>
              </w:rPr>
              <w:t>HSPF2</w:t>
            </w:r>
            <w:r w:rsidRPr="001570EA">
              <w:t>, Heating Seasonal Performance Factor of heating equipment</w:t>
            </w:r>
          </w:p>
        </w:tc>
        <w:tc>
          <w:tcPr>
            <w:tcW w:w="867" w:type="pct"/>
            <w:vAlign w:val="center"/>
          </w:tcPr>
          <w:p w14:paraId="0D11FC01" w14:textId="77777777" w:rsidR="00C71CAA" w:rsidRPr="001570EA" w:rsidRDefault="003B5E04">
            <w:pPr>
              <w:pStyle w:val="TableCell"/>
              <w:keepNext w:val="0"/>
              <w:spacing w:before="60" w:after="60"/>
              <w:jc w:val="cente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175" w:type="pct"/>
          </w:tcPr>
          <w:p w14:paraId="05FD68C4" w14:textId="77777777" w:rsidR="00C71CAA" w:rsidRPr="001570EA" w:rsidRDefault="00C71CAA">
            <w:pPr>
              <w:pStyle w:val="TableCell"/>
              <w:keepNext w:val="0"/>
              <w:spacing w:before="60" w:after="60"/>
              <w:jc w:val="center"/>
            </w:pPr>
            <w:r w:rsidRPr="001570EA">
              <w:t>EDC Data Gathering</w:t>
            </w:r>
          </w:p>
          <w:p w14:paraId="65A8D5BB" w14:textId="399ADC15" w:rsidR="00C71CAA" w:rsidRPr="001570EA" w:rsidDel="009241B8" w:rsidRDefault="00C71CAA">
            <w:pPr>
              <w:pStyle w:val="TableCell"/>
              <w:keepNext w:val="0"/>
              <w:spacing w:before="60" w:after="60"/>
              <w:jc w:val="center"/>
            </w:pPr>
            <w:r w:rsidRPr="001570EA">
              <w:t xml:space="preserve">Default see </w:t>
            </w:r>
            <w:r w:rsidRPr="001570EA">
              <w:fldChar w:fldCharType="begin"/>
            </w:r>
            <w:r w:rsidRPr="001570EA">
              <w:instrText xml:space="preserve"> REF _Ref534895883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Pr="001570EA">
              <w:fldChar w:fldCharType="end"/>
            </w:r>
          </w:p>
        </w:tc>
        <w:tc>
          <w:tcPr>
            <w:tcW w:w="885" w:type="pct"/>
          </w:tcPr>
          <w:p w14:paraId="191C5F6C" w14:textId="77777777" w:rsidR="00C71CAA" w:rsidRPr="001570EA" w:rsidRDefault="00C71CAA">
            <w:pPr>
              <w:pStyle w:val="TableCell"/>
              <w:keepNext w:val="0"/>
              <w:spacing w:before="60" w:after="60"/>
              <w:jc w:val="center"/>
            </w:pPr>
            <w:r w:rsidRPr="001570EA">
              <w:t>6</w:t>
            </w:r>
          </w:p>
        </w:tc>
      </w:tr>
      <w:tr w:rsidR="00C71CAA" w:rsidRPr="001570EA" w14:paraId="338B8BF0" w14:textId="77777777">
        <w:tc>
          <w:tcPr>
            <w:tcW w:w="2073" w:type="pct"/>
          </w:tcPr>
          <w:p w14:paraId="490EC39E" w14:textId="7BD2D072" w:rsidR="00C71CAA" w:rsidRPr="001570EA" w:rsidDel="006C1696" w:rsidRDefault="00C71CAA">
            <w:pPr>
              <w:pStyle w:val="TableCell"/>
              <w:keepNext w:val="0"/>
              <w:spacing w:before="60" w:after="60"/>
              <w:jc w:val="left"/>
            </w:pPr>
            <w:r w:rsidRPr="001570EA">
              <w:rPr>
                <w:rFonts w:ascii="Cambria Math" w:hAnsi="Cambria Math"/>
                <w:i/>
              </w:rPr>
              <w:t>SEER2</w:t>
            </w:r>
            <w:r w:rsidRPr="001570EA">
              <w:t>, Seasonal Energy Efficiency Ratio of cooling equipment</w:t>
            </w:r>
          </w:p>
        </w:tc>
        <w:tc>
          <w:tcPr>
            <w:tcW w:w="867" w:type="pct"/>
            <w:vAlign w:val="center"/>
          </w:tcPr>
          <w:p w14:paraId="5673528C" w14:textId="77777777" w:rsidR="00C71CAA" w:rsidRPr="001570EA" w:rsidRDefault="003B5E04">
            <w:pPr>
              <w:pStyle w:val="TableCell"/>
              <w:keepNext w:val="0"/>
              <w:spacing w:before="60" w:after="60"/>
              <w:jc w:val="cente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175" w:type="pct"/>
            <w:vAlign w:val="center"/>
          </w:tcPr>
          <w:p w14:paraId="2132B002" w14:textId="77777777" w:rsidR="00C71CAA" w:rsidRPr="001570EA" w:rsidRDefault="00C71CAA">
            <w:pPr>
              <w:pStyle w:val="TableCell"/>
              <w:keepNext w:val="0"/>
              <w:spacing w:before="60" w:after="60"/>
              <w:jc w:val="center"/>
            </w:pPr>
            <w:r w:rsidRPr="001570EA">
              <w:t>EDC Data Gathering</w:t>
            </w:r>
          </w:p>
          <w:p w14:paraId="30970CD4" w14:textId="04F9EEC5" w:rsidR="00C71CAA" w:rsidRPr="001570EA" w:rsidDel="009241B8" w:rsidRDefault="00C71CAA">
            <w:pPr>
              <w:pStyle w:val="TableCell"/>
              <w:keepNext w:val="0"/>
              <w:spacing w:before="60" w:after="60"/>
              <w:jc w:val="center"/>
            </w:pPr>
            <w:r w:rsidRPr="001570EA">
              <w:t xml:space="preserve">Default see </w:t>
            </w:r>
            <w:r w:rsidRPr="001570EA">
              <w:fldChar w:fldCharType="begin"/>
            </w:r>
            <w:r w:rsidRPr="001570EA">
              <w:instrText xml:space="preserve"> REF _Ref534895883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Pr="001570EA">
              <w:fldChar w:fldCharType="end"/>
            </w:r>
          </w:p>
        </w:tc>
        <w:tc>
          <w:tcPr>
            <w:tcW w:w="885" w:type="pct"/>
          </w:tcPr>
          <w:p w14:paraId="2DD3DB29" w14:textId="77777777" w:rsidR="00C71CAA" w:rsidRPr="001570EA" w:rsidRDefault="00C71CAA">
            <w:pPr>
              <w:pStyle w:val="TableCell"/>
              <w:keepNext w:val="0"/>
              <w:spacing w:before="60" w:after="60"/>
              <w:jc w:val="center"/>
            </w:pPr>
            <w:r w:rsidRPr="001570EA">
              <w:t>6</w:t>
            </w:r>
          </w:p>
        </w:tc>
      </w:tr>
      <w:tr w:rsidR="00C71CAA" w:rsidRPr="001570EA" w14:paraId="00569C0D" w14:textId="77777777">
        <w:tc>
          <w:tcPr>
            <w:tcW w:w="2073" w:type="pct"/>
            <w:tcBorders>
              <w:top w:val="single" w:sz="4" w:space="0" w:color="auto"/>
              <w:left w:val="single" w:sz="4" w:space="0" w:color="auto"/>
              <w:bottom w:val="single" w:sz="4" w:space="0" w:color="auto"/>
              <w:right w:val="single" w:sz="4" w:space="0" w:color="auto"/>
            </w:tcBorders>
          </w:tcPr>
          <w:p w14:paraId="0B843A13" w14:textId="77777777" w:rsidR="00C71CAA" w:rsidRPr="001570EA" w:rsidRDefault="003B5E04">
            <w:pPr>
              <w:pStyle w:val="TableCell"/>
              <w:keepNext w:val="0"/>
              <w:spacing w:before="60" w:after="60"/>
              <w:jc w:val="left"/>
            </w:pPr>
            <m:oMath>
              <m:sSub>
                <m:sSubPr>
                  <m:ctrlPr>
                    <w:rPr>
                      <w:rFonts w:ascii="Cambria Math" w:hAnsi="Cambria Math"/>
                      <w:i/>
                    </w:rPr>
                  </m:ctrlPr>
                </m:sSubPr>
                <m:e>
                  <m:r>
                    <w:rPr>
                      <w:rFonts w:ascii="Cambria Math" w:hAnsi="Cambria Math"/>
                    </w:rPr>
                    <m:t>ETDF</m:t>
                  </m:r>
                </m:e>
                <m:sub>
                  <m:r>
                    <w:rPr>
                      <w:rFonts w:ascii="Cambria Math" w:hAnsi="Cambria Math"/>
                    </w:rPr>
                    <m:t>s</m:t>
                  </m:r>
                </m:sub>
              </m:sSub>
            </m:oMath>
            <w:r w:rsidR="00C71CAA" w:rsidRPr="001570EA">
              <w:t>, Summer Energy to Demand Factor</w:t>
            </w:r>
          </w:p>
        </w:tc>
        <w:tc>
          <w:tcPr>
            <w:tcW w:w="867" w:type="pct"/>
            <w:tcBorders>
              <w:top w:val="single" w:sz="4" w:space="0" w:color="auto"/>
              <w:left w:val="single" w:sz="4" w:space="0" w:color="auto"/>
              <w:bottom w:val="single" w:sz="4" w:space="0" w:color="auto"/>
              <w:right w:val="single" w:sz="4" w:space="0" w:color="auto"/>
            </w:tcBorders>
            <w:vAlign w:val="center"/>
          </w:tcPr>
          <w:p w14:paraId="6AB4B41B" w14:textId="77777777" w:rsidR="00C71CAA" w:rsidRPr="001570EA" w:rsidRDefault="003B5E04">
            <w:pPr>
              <w:pStyle w:val="TableCell"/>
              <w:keepNext w:val="0"/>
              <w:spacing w:before="60" w:after="60"/>
              <w:jc w:val="cente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175" w:type="pct"/>
            <w:tcBorders>
              <w:top w:val="single" w:sz="4" w:space="0" w:color="auto"/>
              <w:left w:val="single" w:sz="4" w:space="0" w:color="auto"/>
              <w:bottom w:val="single" w:sz="4" w:space="0" w:color="auto"/>
              <w:right w:val="single" w:sz="4" w:space="0" w:color="auto"/>
            </w:tcBorders>
            <w:vAlign w:val="center"/>
          </w:tcPr>
          <w:p w14:paraId="316E5B68" w14:textId="77777777" w:rsidR="00C71CAA" w:rsidRPr="001570EA" w:rsidRDefault="00C71CAA">
            <w:pPr>
              <w:pStyle w:val="TableCell"/>
              <w:spacing w:before="60" w:after="60"/>
              <w:jc w:val="center"/>
              <w:rPr>
                <w:rFonts w:ascii="Calibri" w:hAnsi="Calibri" w:cs="Calibri"/>
                <w:b/>
                <w:bCs/>
                <w:color w:val="000000"/>
                <w:sz w:val="22"/>
                <w:szCs w:val="22"/>
              </w:rPr>
            </w:pPr>
            <w:r w:rsidRPr="001570EA">
              <w:t>0.0001057</w:t>
            </w:r>
          </w:p>
          <w:p w14:paraId="71B57853" w14:textId="77777777" w:rsidR="00C71CAA" w:rsidRPr="001570EA" w:rsidRDefault="00C71CAA">
            <w:pPr>
              <w:pStyle w:val="TableCell"/>
              <w:keepNext w:val="0"/>
              <w:spacing w:before="60" w:after="60"/>
              <w:jc w:val="center"/>
            </w:pPr>
          </w:p>
        </w:tc>
        <w:tc>
          <w:tcPr>
            <w:tcW w:w="885" w:type="pct"/>
            <w:tcBorders>
              <w:top w:val="single" w:sz="4" w:space="0" w:color="auto"/>
              <w:left w:val="single" w:sz="4" w:space="0" w:color="auto"/>
              <w:bottom w:val="single" w:sz="4" w:space="0" w:color="auto"/>
              <w:right w:val="single" w:sz="4" w:space="0" w:color="auto"/>
            </w:tcBorders>
          </w:tcPr>
          <w:p w14:paraId="59D5F64C" w14:textId="77777777" w:rsidR="00C71CAA" w:rsidRPr="001570EA" w:rsidRDefault="00C71CAA">
            <w:pPr>
              <w:pStyle w:val="TableCell"/>
              <w:keepNext w:val="0"/>
              <w:spacing w:before="60" w:after="60"/>
              <w:jc w:val="center"/>
            </w:pPr>
            <w:r w:rsidRPr="001570EA">
              <w:t>11</w:t>
            </w:r>
          </w:p>
        </w:tc>
      </w:tr>
      <w:tr w:rsidR="00C71CAA" w:rsidRPr="001570EA" w14:paraId="7F4CF238" w14:textId="77777777">
        <w:tc>
          <w:tcPr>
            <w:tcW w:w="2073" w:type="pct"/>
            <w:tcBorders>
              <w:top w:val="single" w:sz="4" w:space="0" w:color="auto"/>
              <w:left w:val="single" w:sz="4" w:space="0" w:color="auto"/>
              <w:bottom w:val="single" w:sz="4" w:space="0" w:color="auto"/>
              <w:right w:val="single" w:sz="4" w:space="0" w:color="auto"/>
            </w:tcBorders>
          </w:tcPr>
          <w:p w14:paraId="15AD5B6B" w14:textId="77777777" w:rsidR="00C71CAA" w:rsidRPr="001570EA" w:rsidRDefault="003B5E04">
            <w:pPr>
              <w:pStyle w:val="TableCell"/>
              <w:keepNext w:val="0"/>
              <w:spacing w:before="60" w:after="60"/>
              <w:jc w:val="left"/>
              <w:rPr>
                <w:rFonts w:ascii="Cambria Math" w:hAnsi="Cambria Math"/>
                <w:iCs/>
              </w:rPr>
            </w:pPr>
            <m:oMath>
              <m:sSub>
                <m:sSubPr>
                  <m:ctrlPr>
                    <w:rPr>
                      <w:rFonts w:ascii="Cambria Math" w:hAnsi="Cambria Math"/>
                      <w:i/>
                    </w:rPr>
                  </m:ctrlPr>
                </m:sSubPr>
                <m:e>
                  <m:r>
                    <w:rPr>
                      <w:rFonts w:ascii="Cambria Math" w:hAnsi="Cambria Math"/>
                    </w:rPr>
                    <m:t>ETDF</m:t>
                  </m:r>
                </m:e>
                <m:sub>
                  <m:r>
                    <w:rPr>
                      <w:rFonts w:ascii="Cambria Math" w:hAnsi="Cambria Math"/>
                    </w:rPr>
                    <m:t>w</m:t>
                  </m:r>
                </m:sub>
              </m:sSub>
            </m:oMath>
            <w:r w:rsidR="00C71CAA" w:rsidRPr="001570EA">
              <w:rPr>
                <w:i/>
              </w:rPr>
              <w:t xml:space="preserve">, </w:t>
            </w:r>
            <w:r w:rsidR="00C71CAA" w:rsidRPr="001570EA">
              <w:rPr>
                <w:iCs/>
              </w:rPr>
              <w:t>Winter Energy to Demand Factor</w:t>
            </w:r>
          </w:p>
        </w:tc>
        <w:tc>
          <w:tcPr>
            <w:tcW w:w="867" w:type="pct"/>
            <w:tcBorders>
              <w:top w:val="single" w:sz="4" w:space="0" w:color="auto"/>
              <w:left w:val="single" w:sz="4" w:space="0" w:color="auto"/>
              <w:bottom w:val="single" w:sz="4" w:space="0" w:color="auto"/>
              <w:right w:val="single" w:sz="4" w:space="0" w:color="auto"/>
            </w:tcBorders>
            <w:vAlign w:val="center"/>
          </w:tcPr>
          <w:p w14:paraId="3698D04B" w14:textId="77777777" w:rsidR="00C71CAA" w:rsidRPr="001570EA" w:rsidRDefault="003B5E04">
            <w:pPr>
              <w:pStyle w:val="TableCell"/>
              <w:keepNext w:val="0"/>
              <w:spacing w:before="60" w:after="60"/>
              <w:jc w:val="cente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175" w:type="pct"/>
            <w:tcBorders>
              <w:top w:val="single" w:sz="4" w:space="0" w:color="auto"/>
              <w:left w:val="single" w:sz="4" w:space="0" w:color="auto"/>
              <w:bottom w:val="single" w:sz="4" w:space="0" w:color="auto"/>
              <w:right w:val="single" w:sz="4" w:space="0" w:color="auto"/>
            </w:tcBorders>
            <w:vAlign w:val="center"/>
          </w:tcPr>
          <w:p w14:paraId="1F7BACD7" w14:textId="77777777" w:rsidR="00C71CAA" w:rsidRPr="001570EA" w:rsidRDefault="00C71CAA">
            <w:pPr>
              <w:pStyle w:val="TableCell"/>
              <w:keepNext w:val="0"/>
              <w:spacing w:before="60" w:after="60"/>
              <w:jc w:val="center"/>
            </w:pPr>
            <w:r w:rsidRPr="001570EA">
              <w:t>0.0001761</w:t>
            </w:r>
          </w:p>
        </w:tc>
        <w:tc>
          <w:tcPr>
            <w:tcW w:w="885" w:type="pct"/>
            <w:tcBorders>
              <w:top w:val="single" w:sz="4" w:space="0" w:color="auto"/>
              <w:left w:val="single" w:sz="4" w:space="0" w:color="auto"/>
              <w:bottom w:val="single" w:sz="4" w:space="0" w:color="auto"/>
              <w:right w:val="single" w:sz="4" w:space="0" w:color="auto"/>
            </w:tcBorders>
          </w:tcPr>
          <w:p w14:paraId="66A266C1" w14:textId="77777777" w:rsidR="00C71CAA" w:rsidRPr="001570EA" w:rsidRDefault="00C71CAA">
            <w:pPr>
              <w:pStyle w:val="TableCell"/>
              <w:keepNext w:val="0"/>
              <w:spacing w:before="60" w:after="60"/>
              <w:jc w:val="center"/>
            </w:pPr>
            <w:r w:rsidRPr="001570EA">
              <w:t>11</w:t>
            </w:r>
          </w:p>
        </w:tc>
      </w:tr>
    </w:tbl>
    <w:p w14:paraId="45F55511" w14:textId="42752452" w:rsidR="00F31314" w:rsidRDefault="00F31314" w:rsidP="00C71CAA"/>
    <w:p w14:paraId="22FF48F0" w14:textId="77777777" w:rsidR="00F31314" w:rsidRDefault="00F31314">
      <w:pPr>
        <w:jc w:val="left"/>
      </w:pPr>
      <w:r>
        <w:br w:type="page"/>
      </w:r>
    </w:p>
    <w:p w14:paraId="6FCD376D" w14:textId="3AAAF7DE" w:rsidR="00C71CAA" w:rsidRPr="001570EA" w:rsidRDefault="00C71CAA" w:rsidP="00C71CAA">
      <w:pPr>
        <w:pStyle w:val="Caption"/>
        <w:keepLines/>
        <w:jc w:val="left"/>
      </w:pPr>
      <w:bookmarkStart w:id="394" w:name="_Ref534895883"/>
      <w:bookmarkStart w:id="395" w:name="_Toc4759829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60</w:t>
      </w:r>
      <w:r w:rsidR="002E093A" w:rsidRPr="001570EA">
        <w:fldChar w:fldCharType="end"/>
      </w:r>
      <w:bookmarkEnd w:id="394"/>
      <w:r w:rsidRPr="001570EA">
        <w:t>: Default Cooling and Heating System Efficiencies</w:t>
      </w:r>
      <w:bookmarkEnd w:id="395"/>
    </w:p>
    <w:tbl>
      <w:tblPr>
        <w:tblW w:w="2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803"/>
        <w:gridCol w:w="1793"/>
      </w:tblGrid>
      <w:tr w:rsidR="00C71CAA" w:rsidRPr="001570EA" w14:paraId="3ADBBBFF" w14:textId="77777777">
        <w:trPr>
          <w:trHeight w:val="298"/>
        </w:trPr>
        <w:tc>
          <w:tcPr>
            <w:tcW w:w="1376" w:type="pct"/>
            <w:shd w:val="clear" w:color="auto" w:fill="BFBFBF"/>
            <w:vAlign w:val="bottom"/>
          </w:tcPr>
          <w:p w14:paraId="2ED45107" w14:textId="77777777" w:rsidR="00C71CAA" w:rsidRPr="001570EA" w:rsidRDefault="00C71CAA">
            <w:pPr>
              <w:pStyle w:val="TableCell"/>
              <w:keepLines/>
              <w:spacing w:before="60" w:after="60"/>
              <w:rPr>
                <w:b/>
              </w:rPr>
            </w:pPr>
            <w:r w:rsidRPr="001570EA">
              <w:rPr>
                <w:b/>
              </w:rPr>
              <w:t>Type</w:t>
            </w:r>
          </w:p>
        </w:tc>
        <w:tc>
          <w:tcPr>
            <w:tcW w:w="1817" w:type="pct"/>
            <w:shd w:val="clear" w:color="auto" w:fill="BFBFBF"/>
          </w:tcPr>
          <w:p w14:paraId="223539E9" w14:textId="77777777" w:rsidR="00C71CAA" w:rsidRPr="001570EA" w:rsidRDefault="00C71CAA">
            <w:pPr>
              <w:pStyle w:val="TableCell"/>
              <w:keepLines/>
              <w:spacing w:before="60" w:after="60"/>
              <w:jc w:val="center"/>
              <w:rPr>
                <w:b/>
              </w:rPr>
            </w:pPr>
            <w:r w:rsidRPr="001570EA">
              <w:rPr>
                <w:b/>
              </w:rPr>
              <w:t>SEER2</w:t>
            </w:r>
          </w:p>
        </w:tc>
        <w:tc>
          <w:tcPr>
            <w:tcW w:w="1807" w:type="pct"/>
            <w:shd w:val="clear" w:color="auto" w:fill="BFBFBF"/>
          </w:tcPr>
          <w:p w14:paraId="6EFB543E" w14:textId="77777777" w:rsidR="00C71CAA" w:rsidRPr="001570EA" w:rsidRDefault="00C71CAA">
            <w:pPr>
              <w:pStyle w:val="TableCell"/>
              <w:keepLines/>
              <w:spacing w:before="60" w:after="60"/>
              <w:jc w:val="center"/>
              <w:rPr>
                <w:rFonts w:cs="Arial"/>
                <w:b/>
              </w:rPr>
            </w:pPr>
            <w:r w:rsidRPr="001570EA">
              <w:rPr>
                <w:rFonts w:cs="Arial"/>
                <w:b/>
              </w:rPr>
              <w:t>HSPF2</w:t>
            </w:r>
          </w:p>
        </w:tc>
      </w:tr>
      <w:tr w:rsidR="00C71CAA" w:rsidRPr="001570EA" w14:paraId="4C6EE881" w14:textId="77777777">
        <w:trPr>
          <w:trHeight w:val="332"/>
        </w:trPr>
        <w:tc>
          <w:tcPr>
            <w:tcW w:w="1376" w:type="pct"/>
            <w:vAlign w:val="center"/>
          </w:tcPr>
          <w:p w14:paraId="1AC7E7A7" w14:textId="77777777" w:rsidR="00C71CAA" w:rsidRPr="001570EA" w:rsidRDefault="00C71CAA">
            <w:pPr>
              <w:pStyle w:val="TableCell"/>
              <w:keepNext w:val="0"/>
              <w:spacing w:before="60" w:after="60"/>
              <w:jc w:val="left"/>
            </w:pPr>
            <w:r w:rsidRPr="001570EA">
              <w:t>Central Air Conditioner</w:t>
            </w:r>
          </w:p>
        </w:tc>
        <w:tc>
          <w:tcPr>
            <w:tcW w:w="1817" w:type="pct"/>
            <w:vAlign w:val="center"/>
          </w:tcPr>
          <w:p w14:paraId="020EA61F" w14:textId="77777777" w:rsidR="00C71CAA" w:rsidRPr="001570EA" w:rsidRDefault="00C71CAA">
            <w:pPr>
              <w:pStyle w:val="TableCell"/>
              <w:keepNext w:val="0"/>
              <w:spacing w:before="60" w:after="60"/>
              <w:jc w:val="center"/>
              <w:rPr>
                <w:color w:val="000000"/>
              </w:rPr>
            </w:pPr>
            <w:r w:rsidRPr="001570EA">
              <w:rPr>
                <w:color w:val="000000"/>
              </w:rPr>
              <w:t>13.2</w:t>
            </w:r>
          </w:p>
        </w:tc>
        <w:tc>
          <w:tcPr>
            <w:tcW w:w="1807" w:type="pct"/>
            <w:vAlign w:val="center"/>
          </w:tcPr>
          <w:p w14:paraId="0707AC70" w14:textId="77777777" w:rsidR="00C71CAA" w:rsidRPr="001570EA" w:rsidDel="00967FFE" w:rsidRDefault="00C71CAA">
            <w:pPr>
              <w:pStyle w:val="TableCell"/>
              <w:keepNext w:val="0"/>
              <w:spacing w:before="60" w:after="60"/>
              <w:jc w:val="center"/>
              <w:rPr>
                <w:color w:val="000000"/>
              </w:rPr>
            </w:pPr>
            <w:r w:rsidRPr="001570EA">
              <w:rPr>
                <w:color w:val="000000"/>
              </w:rPr>
              <w:t>N/A</w:t>
            </w:r>
          </w:p>
        </w:tc>
      </w:tr>
      <w:tr w:rsidR="00C71CAA" w:rsidRPr="001570EA" w14:paraId="48763762" w14:textId="77777777">
        <w:trPr>
          <w:trHeight w:val="298"/>
        </w:trPr>
        <w:tc>
          <w:tcPr>
            <w:tcW w:w="1376" w:type="pct"/>
            <w:vAlign w:val="center"/>
          </w:tcPr>
          <w:p w14:paraId="55DA86F4" w14:textId="77777777" w:rsidR="00C71CAA" w:rsidRPr="001570EA" w:rsidRDefault="00C71CAA">
            <w:pPr>
              <w:pStyle w:val="TableCell"/>
              <w:keepNext w:val="0"/>
              <w:spacing w:before="60" w:after="60"/>
              <w:jc w:val="left"/>
            </w:pPr>
            <w:r w:rsidRPr="001570EA">
              <w:t xml:space="preserve">                                                                                                                                   Room Air Conditioner</w:t>
            </w:r>
          </w:p>
        </w:tc>
        <w:tc>
          <w:tcPr>
            <w:tcW w:w="1817" w:type="pct"/>
            <w:vAlign w:val="center"/>
          </w:tcPr>
          <w:p w14:paraId="3B7810FD" w14:textId="77777777" w:rsidR="00C71CAA" w:rsidRPr="001570EA" w:rsidRDefault="00C71CAA">
            <w:pPr>
              <w:pStyle w:val="TableCell"/>
              <w:keepNext w:val="0"/>
              <w:spacing w:before="60" w:after="60"/>
              <w:jc w:val="center"/>
              <w:rPr>
                <w:color w:val="000000"/>
              </w:rPr>
            </w:pPr>
            <w:r w:rsidRPr="001570EA">
              <w:rPr>
                <w:color w:val="000000"/>
              </w:rPr>
              <w:t>10.6</w:t>
            </w:r>
            <w:r w:rsidRPr="001570EA">
              <w:rPr>
                <w:color w:val="000000"/>
                <w:vertAlign w:val="superscript"/>
              </w:rPr>
              <w:t>a</w:t>
            </w:r>
          </w:p>
        </w:tc>
        <w:tc>
          <w:tcPr>
            <w:tcW w:w="1807" w:type="pct"/>
            <w:vAlign w:val="center"/>
          </w:tcPr>
          <w:p w14:paraId="0830854B" w14:textId="77777777" w:rsidR="00C71CAA" w:rsidRPr="001570EA" w:rsidDel="00967FFE" w:rsidRDefault="00C71CAA">
            <w:pPr>
              <w:pStyle w:val="TableCell"/>
              <w:keepNext w:val="0"/>
              <w:spacing w:before="60" w:after="60"/>
              <w:jc w:val="center"/>
              <w:rPr>
                <w:color w:val="000000"/>
              </w:rPr>
            </w:pPr>
            <w:r w:rsidRPr="001570EA">
              <w:rPr>
                <w:color w:val="000000"/>
              </w:rPr>
              <w:t>N/A</w:t>
            </w:r>
          </w:p>
        </w:tc>
      </w:tr>
      <w:tr w:rsidR="00C71CAA" w:rsidRPr="001570EA" w14:paraId="36402CAF" w14:textId="77777777">
        <w:trPr>
          <w:trHeight w:val="260"/>
        </w:trPr>
        <w:tc>
          <w:tcPr>
            <w:tcW w:w="1376" w:type="pct"/>
            <w:vAlign w:val="center"/>
          </w:tcPr>
          <w:p w14:paraId="7A3779B9" w14:textId="77777777" w:rsidR="00C71CAA" w:rsidRPr="001570EA" w:rsidRDefault="00C71CAA">
            <w:pPr>
              <w:pStyle w:val="TableCell"/>
              <w:keepNext w:val="0"/>
              <w:spacing w:before="60" w:after="60"/>
              <w:jc w:val="left"/>
            </w:pPr>
            <w:r w:rsidRPr="001570EA">
              <w:t>Air-Source Heat Pump</w:t>
            </w:r>
          </w:p>
        </w:tc>
        <w:tc>
          <w:tcPr>
            <w:tcW w:w="1817" w:type="pct"/>
            <w:vAlign w:val="center"/>
          </w:tcPr>
          <w:p w14:paraId="3D45A737" w14:textId="77777777" w:rsidR="00C71CAA" w:rsidRPr="001570EA" w:rsidRDefault="00C71CAA">
            <w:pPr>
              <w:pStyle w:val="TableCell"/>
              <w:keepNext w:val="0"/>
              <w:spacing w:before="60" w:after="60"/>
              <w:jc w:val="center"/>
              <w:rPr>
                <w:color w:val="000000"/>
              </w:rPr>
            </w:pPr>
            <w:r w:rsidRPr="001570EA">
              <w:rPr>
                <w:color w:val="000000"/>
              </w:rPr>
              <w:t>14.1</w:t>
            </w:r>
          </w:p>
        </w:tc>
        <w:tc>
          <w:tcPr>
            <w:tcW w:w="1807" w:type="pct"/>
            <w:vAlign w:val="center"/>
          </w:tcPr>
          <w:p w14:paraId="342CD04F" w14:textId="77777777" w:rsidR="00C71CAA" w:rsidRPr="001570EA" w:rsidDel="00967FFE" w:rsidRDefault="00C71CAA">
            <w:pPr>
              <w:pStyle w:val="TableCell"/>
              <w:keepNext w:val="0"/>
              <w:spacing w:before="60" w:after="60"/>
              <w:jc w:val="center"/>
              <w:rPr>
                <w:color w:val="000000"/>
              </w:rPr>
            </w:pPr>
            <w:r w:rsidRPr="001570EA">
              <w:rPr>
                <w:color w:val="000000"/>
              </w:rPr>
              <w:t>7.2</w:t>
            </w:r>
          </w:p>
        </w:tc>
      </w:tr>
      <w:tr w:rsidR="00C71CAA" w:rsidRPr="001570EA" w14:paraId="2E819494" w14:textId="77777777">
        <w:trPr>
          <w:trHeight w:val="242"/>
        </w:trPr>
        <w:tc>
          <w:tcPr>
            <w:tcW w:w="1376" w:type="pct"/>
            <w:vAlign w:val="center"/>
          </w:tcPr>
          <w:p w14:paraId="56FF0213" w14:textId="77777777" w:rsidR="00C71CAA" w:rsidRPr="001570EA" w:rsidRDefault="00C71CAA">
            <w:pPr>
              <w:pStyle w:val="TableCell"/>
              <w:keepNext w:val="0"/>
              <w:spacing w:before="60" w:after="60"/>
              <w:jc w:val="left"/>
            </w:pPr>
            <w:r w:rsidRPr="001570EA">
              <w:t>Ground-Source Heat Pump</w:t>
            </w:r>
          </w:p>
        </w:tc>
        <w:tc>
          <w:tcPr>
            <w:tcW w:w="1817" w:type="pct"/>
            <w:vAlign w:val="center"/>
          </w:tcPr>
          <w:p w14:paraId="0FFF7E34" w14:textId="77777777" w:rsidR="00C71CAA" w:rsidRPr="001570EA" w:rsidRDefault="00C71CAA">
            <w:pPr>
              <w:pStyle w:val="TableCell"/>
              <w:keepNext w:val="0"/>
              <w:spacing w:before="60" w:after="60"/>
              <w:jc w:val="center"/>
              <w:rPr>
                <w:color w:val="000000"/>
              </w:rPr>
            </w:pPr>
            <w:r w:rsidRPr="001570EA">
              <w:rPr>
                <w:color w:val="000000"/>
              </w:rPr>
              <w:t>18.5</w:t>
            </w:r>
          </w:p>
        </w:tc>
        <w:tc>
          <w:tcPr>
            <w:tcW w:w="1807" w:type="pct"/>
            <w:vAlign w:val="center"/>
          </w:tcPr>
          <w:p w14:paraId="57994890" w14:textId="77777777" w:rsidR="00C71CAA" w:rsidRPr="001570EA" w:rsidDel="00436291" w:rsidRDefault="00C71CAA">
            <w:pPr>
              <w:pStyle w:val="TableCell"/>
              <w:keepNext w:val="0"/>
              <w:spacing w:before="60" w:after="60"/>
              <w:jc w:val="center"/>
              <w:rPr>
                <w:color w:val="000000"/>
              </w:rPr>
            </w:pPr>
            <w:r w:rsidRPr="001570EA">
              <w:rPr>
                <w:color w:val="000000"/>
              </w:rPr>
              <w:t>10.8</w:t>
            </w:r>
          </w:p>
        </w:tc>
      </w:tr>
      <w:tr w:rsidR="00C71CAA" w:rsidRPr="001570EA" w14:paraId="30B7EACA" w14:textId="77777777">
        <w:trPr>
          <w:trHeight w:val="296"/>
        </w:trPr>
        <w:tc>
          <w:tcPr>
            <w:tcW w:w="1376" w:type="pct"/>
            <w:vAlign w:val="center"/>
          </w:tcPr>
          <w:p w14:paraId="3C2DCA8E" w14:textId="77777777" w:rsidR="00C71CAA" w:rsidRPr="001570EA" w:rsidRDefault="00C71CAA">
            <w:pPr>
              <w:pStyle w:val="TableCell"/>
              <w:keepNext w:val="0"/>
              <w:spacing w:before="60" w:after="60"/>
              <w:jc w:val="left"/>
            </w:pPr>
            <w:r w:rsidRPr="001570EA">
              <w:t>Ductless Mini-Split</w:t>
            </w:r>
          </w:p>
        </w:tc>
        <w:tc>
          <w:tcPr>
            <w:tcW w:w="1817" w:type="pct"/>
            <w:vAlign w:val="center"/>
          </w:tcPr>
          <w:p w14:paraId="43C08CCB" w14:textId="77777777" w:rsidR="00C71CAA" w:rsidRPr="001570EA" w:rsidDel="00436291" w:rsidRDefault="00C71CAA">
            <w:pPr>
              <w:pStyle w:val="TableCell"/>
              <w:keepNext w:val="0"/>
              <w:spacing w:before="60" w:after="60"/>
              <w:jc w:val="center"/>
              <w:rPr>
                <w:color w:val="000000"/>
              </w:rPr>
            </w:pPr>
            <w:r w:rsidRPr="001570EA">
              <w:rPr>
                <w:color w:val="000000"/>
              </w:rPr>
              <w:t>17.6</w:t>
            </w:r>
          </w:p>
        </w:tc>
        <w:tc>
          <w:tcPr>
            <w:tcW w:w="1807" w:type="pct"/>
            <w:vAlign w:val="center"/>
          </w:tcPr>
          <w:p w14:paraId="4CE60E1A" w14:textId="77777777" w:rsidR="00C71CAA" w:rsidRPr="001570EA" w:rsidDel="00436291" w:rsidRDefault="00C71CAA">
            <w:pPr>
              <w:pStyle w:val="TableCell"/>
              <w:keepNext w:val="0"/>
              <w:spacing w:before="60" w:after="60"/>
              <w:jc w:val="center"/>
              <w:rPr>
                <w:color w:val="000000"/>
              </w:rPr>
            </w:pPr>
            <w:r w:rsidRPr="001570EA">
              <w:rPr>
                <w:color w:val="000000"/>
              </w:rPr>
              <w:t>8.6</w:t>
            </w:r>
          </w:p>
        </w:tc>
      </w:tr>
      <w:tr w:rsidR="00C71CAA" w:rsidRPr="001570EA" w14:paraId="712B4145" w14:textId="77777777">
        <w:trPr>
          <w:trHeight w:val="323"/>
        </w:trPr>
        <w:tc>
          <w:tcPr>
            <w:tcW w:w="1376" w:type="pct"/>
            <w:vAlign w:val="center"/>
          </w:tcPr>
          <w:p w14:paraId="1AB71E14" w14:textId="77777777" w:rsidR="00C71CAA" w:rsidRPr="001570EA" w:rsidRDefault="00C71CAA">
            <w:pPr>
              <w:pStyle w:val="TableCell"/>
              <w:keepNext w:val="0"/>
              <w:spacing w:before="60" w:after="60"/>
              <w:jc w:val="left"/>
            </w:pPr>
            <w:r w:rsidRPr="001570EA">
              <w:t>Electric Resistance</w:t>
            </w:r>
          </w:p>
        </w:tc>
        <w:tc>
          <w:tcPr>
            <w:tcW w:w="1817" w:type="pct"/>
            <w:vAlign w:val="center"/>
          </w:tcPr>
          <w:p w14:paraId="7E099ECF" w14:textId="77777777" w:rsidR="00C71CAA" w:rsidRPr="001570EA" w:rsidDel="00436291" w:rsidRDefault="00C71CAA">
            <w:pPr>
              <w:pStyle w:val="TableCell"/>
              <w:keepNext w:val="0"/>
              <w:spacing w:before="60" w:after="60"/>
              <w:jc w:val="center"/>
              <w:rPr>
                <w:color w:val="000000"/>
              </w:rPr>
            </w:pPr>
            <w:r w:rsidRPr="001570EA">
              <w:rPr>
                <w:color w:val="000000"/>
              </w:rPr>
              <w:t>N/A</w:t>
            </w:r>
          </w:p>
        </w:tc>
        <w:tc>
          <w:tcPr>
            <w:tcW w:w="1807" w:type="pct"/>
            <w:vAlign w:val="center"/>
          </w:tcPr>
          <w:p w14:paraId="521E5838" w14:textId="77777777" w:rsidR="00C71CAA" w:rsidRPr="001570EA" w:rsidDel="00436291" w:rsidRDefault="00C71CAA">
            <w:pPr>
              <w:pStyle w:val="TableCell"/>
              <w:keepNext w:val="0"/>
              <w:spacing w:before="60" w:after="60"/>
              <w:jc w:val="center"/>
              <w:rPr>
                <w:color w:val="000000"/>
              </w:rPr>
            </w:pPr>
            <w:r w:rsidRPr="001570EA">
              <w:rPr>
                <w:color w:val="000000"/>
              </w:rPr>
              <w:t>3.412</w:t>
            </w:r>
          </w:p>
        </w:tc>
      </w:tr>
    </w:tbl>
    <w:p w14:paraId="2373E79C" w14:textId="77777777" w:rsidR="00C71CAA" w:rsidRPr="001570EA" w:rsidRDefault="00C71CAA" w:rsidP="00C71CAA">
      <w:pPr>
        <w:pStyle w:val="BodyText"/>
        <w:ind w:left="180" w:right="0"/>
        <w:rPr>
          <w:sz w:val="18"/>
          <w:szCs w:val="18"/>
        </w:rPr>
      </w:pPr>
      <w:r w:rsidRPr="001570EA">
        <w:rPr>
          <w:sz w:val="18"/>
          <w:szCs w:val="18"/>
          <w:vertAlign w:val="superscript"/>
        </w:rPr>
        <w:t>a</w:t>
      </w:r>
      <w:r w:rsidRPr="001570EA">
        <w:rPr>
          <w:sz w:val="18"/>
          <w:szCs w:val="18"/>
        </w:rPr>
        <w:t>CEER</w:t>
      </w:r>
    </w:p>
    <w:p w14:paraId="308902BF" w14:textId="77777777" w:rsidR="00C71CAA" w:rsidRPr="001570EA" w:rsidRDefault="00C71CAA" w:rsidP="00C71CAA">
      <w:pPr>
        <w:pStyle w:val="Caption"/>
        <w:spacing w:after="0"/>
      </w:pPr>
    </w:p>
    <w:p w14:paraId="133B2046" w14:textId="24F7CC59" w:rsidR="00C71CAA" w:rsidRPr="001570EA" w:rsidRDefault="00C71CAA" w:rsidP="00C71CAA">
      <w:pPr>
        <w:pStyle w:val="Caption"/>
        <w:keepNext w:val="0"/>
        <w:widowControl w:val="0"/>
      </w:pPr>
      <w:bookmarkStart w:id="396" w:name="_Ref533706168"/>
      <w:bookmarkStart w:id="397" w:name="_Toc473645827"/>
      <w:bookmarkStart w:id="398" w:name="_Toc4759829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61</w:t>
      </w:r>
      <w:r w:rsidR="002E093A" w:rsidRPr="001570EA">
        <w:fldChar w:fldCharType="end"/>
      </w:r>
      <w:bookmarkEnd w:id="396"/>
      <w:r w:rsidRPr="001570EA">
        <w:t xml:space="preserve">: Minimum Baseline Uniform Energy Factors Based on </w:t>
      </w:r>
      <w:bookmarkEnd w:id="397"/>
      <w:r w:rsidRPr="001570EA">
        <w:t>Rated Storage Volume and Draw Pattern</w:t>
      </w:r>
      <w:bookmarkEnd w:id="3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161"/>
        <w:gridCol w:w="2100"/>
      </w:tblGrid>
      <w:tr w:rsidR="00C71CAA" w:rsidRPr="001570EA" w14:paraId="0C909EB3" w14:textId="77777777">
        <w:trPr>
          <w:tblHeader/>
        </w:trPr>
        <w:tc>
          <w:tcPr>
            <w:tcW w:w="2196" w:type="dxa"/>
            <w:shd w:val="clear" w:color="auto" w:fill="BFBFBF"/>
            <w:vAlign w:val="center"/>
          </w:tcPr>
          <w:p w14:paraId="5E51CA76" w14:textId="77777777" w:rsidR="00C71CAA" w:rsidRPr="001570EA" w:rsidRDefault="00C71CAA">
            <w:pPr>
              <w:pStyle w:val="TableCell"/>
              <w:keepNext w:val="0"/>
              <w:widowControl w:val="0"/>
              <w:spacing w:before="60" w:after="60"/>
              <w:jc w:val="center"/>
              <w:rPr>
                <w:rFonts w:cs="Arial"/>
                <w:b/>
              </w:rPr>
            </w:pPr>
            <w:r w:rsidRPr="001570EA">
              <w:rPr>
                <w:rFonts w:cs="Arial"/>
                <w:b/>
              </w:rPr>
              <w:t xml:space="preserve">Rated </w:t>
            </w:r>
            <w:r w:rsidRPr="001570EA">
              <w:rPr>
                <w:b/>
              </w:rPr>
              <w:t>Storage Volume</w:t>
            </w:r>
            <w:r w:rsidRPr="001570EA">
              <w:rPr>
                <w:rFonts w:cs="Arial"/>
                <w:b/>
              </w:rPr>
              <w:t xml:space="preserve"> (gallons)</w:t>
            </w:r>
          </w:p>
        </w:tc>
        <w:tc>
          <w:tcPr>
            <w:tcW w:w="2161" w:type="dxa"/>
            <w:shd w:val="clear" w:color="auto" w:fill="BFBFBF"/>
            <w:vAlign w:val="center"/>
          </w:tcPr>
          <w:p w14:paraId="02D0F114" w14:textId="77777777" w:rsidR="00C71CAA" w:rsidRPr="001570EA" w:rsidRDefault="00C71CAA">
            <w:pPr>
              <w:pStyle w:val="TableCell"/>
              <w:keepNext w:val="0"/>
              <w:widowControl w:val="0"/>
              <w:spacing w:before="60" w:after="60"/>
              <w:jc w:val="center"/>
              <w:rPr>
                <w:rFonts w:cs="Arial"/>
                <w:b/>
              </w:rPr>
            </w:pPr>
            <w:r w:rsidRPr="001570EA">
              <w:rPr>
                <w:rFonts w:cs="Arial"/>
                <w:b/>
              </w:rPr>
              <w:t>Draw Pattern</w:t>
            </w:r>
          </w:p>
        </w:tc>
        <w:tc>
          <w:tcPr>
            <w:tcW w:w="2100" w:type="dxa"/>
            <w:shd w:val="clear" w:color="auto" w:fill="BFBFBF"/>
            <w:vAlign w:val="center"/>
          </w:tcPr>
          <w:p w14:paraId="24BD486F" w14:textId="77777777" w:rsidR="00C71CAA" w:rsidRPr="001570EA" w:rsidRDefault="00C71CAA">
            <w:pPr>
              <w:pStyle w:val="TableCell"/>
              <w:keepNext w:val="0"/>
              <w:widowControl w:val="0"/>
              <w:spacing w:before="60" w:after="60"/>
              <w:jc w:val="center"/>
              <w:rPr>
                <w:rFonts w:cs="Arial"/>
                <w:b/>
              </w:rPr>
            </w:pPr>
            <w:r w:rsidRPr="001570EA">
              <w:rPr>
                <w:rFonts w:cs="Arial"/>
                <w:b/>
              </w:rPr>
              <w:t>UEF Calculation</w:t>
            </w:r>
          </w:p>
        </w:tc>
      </w:tr>
      <w:tr w:rsidR="00C71CAA" w:rsidRPr="001570EA" w14:paraId="2F5DFF4D" w14:textId="77777777">
        <w:tc>
          <w:tcPr>
            <w:tcW w:w="2196" w:type="dxa"/>
            <w:vMerge w:val="restart"/>
          </w:tcPr>
          <w:p w14:paraId="2324F160" w14:textId="77777777" w:rsidR="00C71CAA" w:rsidRPr="001570EA" w:rsidRDefault="00C71CAA">
            <w:pPr>
              <w:pStyle w:val="TableCell"/>
              <w:keepNext w:val="0"/>
              <w:widowControl w:val="0"/>
              <w:spacing w:before="60" w:after="60"/>
              <w:jc w:val="left"/>
              <w:rPr>
                <w:rFonts w:cs="Arial"/>
                <w:szCs w:val="18"/>
              </w:rPr>
            </w:pPr>
            <w:r w:rsidRPr="001570EA">
              <w:rPr>
                <w:rFonts w:cs="Arial"/>
                <w:szCs w:val="18"/>
              </w:rPr>
              <w:t>&gt;=20 gal and &lt;=55 gal</w:t>
            </w:r>
          </w:p>
        </w:tc>
        <w:tc>
          <w:tcPr>
            <w:tcW w:w="2161" w:type="dxa"/>
          </w:tcPr>
          <w:p w14:paraId="5B4CBA21" w14:textId="77777777" w:rsidR="00C71CAA" w:rsidRPr="001570EA" w:rsidRDefault="00C71CAA">
            <w:pPr>
              <w:pStyle w:val="TableCell"/>
              <w:keepNext w:val="0"/>
              <w:widowControl w:val="0"/>
              <w:spacing w:before="60" w:after="60"/>
              <w:jc w:val="center"/>
              <w:rPr>
                <w:rFonts w:cs="Arial"/>
                <w:szCs w:val="18"/>
              </w:rPr>
            </w:pPr>
            <w:r w:rsidRPr="001570EA">
              <w:rPr>
                <w:rFonts w:cs="Arial"/>
                <w:szCs w:val="18"/>
              </w:rPr>
              <w:t>Very Small</w:t>
            </w:r>
          </w:p>
        </w:tc>
        <w:tc>
          <w:tcPr>
            <w:tcW w:w="2100" w:type="dxa"/>
            <w:vAlign w:val="bottom"/>
          </w:tcPr>
          <w:p w14:paraId="298D5E0E" w14:textId="77777777" w:rsidR="00C71CAA" w:rsidRPr="001570EA" w:rsidRDefault="00C71CAA">
            <w:pPr>
              <w:pStyle w:val="TableCell"/>
              <w:keepNext w:val="0"/>
              <w:widowControl w:val="0"/>
              <w:spacing w:before="60" w:after="60"/>
              <w:jc w:val="center"/>
              <w:rPr>
                <w:rFonts w:cs="Arial"/>
                <w:szCs w:val="18"/>
              </w:rPr>
            </w:pPr>
            <w:r w:rsidRPr="001570EA">
              <w:rPr>
                <w:rFonts w:cs="Arial"/>
                <w:color w:val="000000"/>
                <w:szCs w:val="18"/>
              </w:rPr>
              <w:t>0.8808-(0.0008×</w:t>
            </w:r>
            <w:r w:rsidRPr="001570EA">
              <w:rPr>
                <w:rFonts w:cs="Arial"/>
                <w:szCs w:val="18"/>
              </w:rPr>
              <w:t>V</w:t>
            </w:r>
            <w:r w:rsidRPr="001570EA">
              <w:rPr>
                <w:rFonts w:cs="Arial"/>
                <w:szCs w:val="18"/>
                <w:vertAlign w:val="subscript"/>
              </w:rPr>
              <w:t>r</w:t>
            </w:r>
            <w:r w:rsidRPr="001570EA">
              <w:rPr>
                <w:rFonts w:cs="Arial"/>
                <w:color w:val="000000"/>
                <w:szCs w:val="18"/>
              </w:rPr>
              <w:t>)</w:t>
            </w:r>
          </w:p>
        </w:tc>
      </w:tr>
      <w:tr w:rsidR="00C71CAA" w:rsidRPr="001570EA" w14:paraId="196E4AFE" w14:textId="77777777">
        <w:tc>
          <w:tcPr>
            <w:tcW w:w="2196" w:type="dxa"/>
            <w:vMerge/>
          </w:tcPr>
          <w:p w14:paraId="4417FA00" w14:textId="77777777" w:rsidR="00C71CAA" w:rsidRPr="001570EA" w:rsidRDefault="00C71CAA">
            <w:pPr>
              <w:pStyle w:val="TableCell"/>
              <w:keepNext w:val="0"/>
              <w:widowControl w:val="0"/>
              <w:spacing w:before="60" w:after="60"/>
              <w:jc w:val="left"/>
              <w:rPr>
                <w:rFonts w:cs="Arial"/>
                <w:szCs w:val="18"/>
              </w:rPr>
            </w:pPr>
          </w:p>
        </w:tc>
        <w:tc>
          <w:tcPr>
            <w:tcW w:w="2161" w:type="dxa"/>
          </w:tcPr>
          <w:p w14:paraId="66DEA159" w14:textId="77777777" w:rsidR="00C71CAA" w:rsidRPr="001570EA" w:rsidRDefault="00C71CAA">
            <w:pPr>
              <w:pStyle w:val="TableCell"/>
              <w:keepNext w:val="0"/>
              <w:widowControl w:val="0"/>
              <w:spacing w:before="60" w:after="60"/>
              <w:jc w:val="center"/>
              <w:rPr>
                <w:rFonts w:cs="Arial"/>
                <w:szCs w:val="18"/>
              </w:rPr>
            </w:pPr>
            <w:r w:rsidRPr="001570EA">
              <w:rPr>
                <w:rFonts w:cs="Arial"/>
                <w:szCs w:val="18"/>
              </w:rPr>
              <w:t>Low</w:t>
            </w:r>
          </w:p>
        </w:tc>
        <w:tc>
          <w:tcPr>
            <w:tcW w:w="2100" w:type="dxa"/>
            <w:vAlign w:val="bottom"/>
          </w:tcPr>
          <w:p w14:paraId="05E0BAE3" w14:textId="77777777" w:rsidR="00C71CAA" w:rsidRPr="001570EA" w:rsidRDefault="00C71CAA">
            <w:pPr>
              <w:pStyle w:val="TableCell"/>
              <w:keepNext w:val="0"/>
              <w:widowControl w:val="0"/>
              <w:spacing w:before="60" w:after="60"/>
              <w:jc w:val="center"/>
              <w:rPr>
                <w:rFonts w:cs="Arial"/>
                <w:szCs w:val="18"/>
              </w:rPr>
            </w:pPr>
            <w:r w:rsidRPr="001570EA">
              <w:rPr>
                <w:rFonts w:cs="Arial"/>
                <w:color w:val="000000"/>
                <w:szCs w:val="18"/>
              </w:rPr>
              <w:t>0.9254-(0.0003×</w:t>
            </w:r>
            <w:r w:rsidRPr="001570EA">
              <w:rPr>
                <w:rFonts w:cs="Arial"/>
                <w:szCs w:val="18"/>
              </w:rPr>
              <w:t>V</w:t>
            </w:r>
            <w:r w:rsidRPr="001570EA">
              <w:rPr>
                <w:rFonts w:cs="Arial"/>
                <w:szCs w:val="18"/>
                <w:vertAlign w:val="subscript"/>
              </w:rPr>
              <w:t>r</w:t>
            </w:r>
            <w:r w:rsidRPr="001570EA">
              <w:rPr>
                <w:rFonts w:cs="Arial"/>
                <w:color w:val="000000"/>
                <w:szCs w:val="18"/>
              </w:rPr>
              <w:t>)</w:t>
            </w:r>
          </w:p>
        </w:tc>
      </w:tr>
      <w:tr w:rsidR="00C71CAA" w:rsidRPr="001570EA" w14:paraId="6E8A6A9D" w14:textId="77777777">
        <w:tc>
          <w:tcPr>
            <w:tcW w:w="2196" w:type="dxa"/>
            <w:vMerge/>
          </w:tcPr>
          <w:p w14:paraId="373FB26A" w14:textId="77777777" w:rsidR="00C71CAA" w:rsidRPr="001570EA" w:rsidRDefault="00C71CAA">
            <w:pPr>
              <w:pStyle w:val="TableCell"/>
              <w:keepNext w:val="0"/>
              <w:widowControl w:val="0"/>
              <w:spacing w:before="60" w:after="60"/>
              <w:jc w:val="left"/>
              <w:rPr>
                <w:rFonts w:cs="Arial"/>
                <w:szCs w:val="18"/>
              </w:rPr>
            </w:pPr>
          </w:p>
        </w:tc>
        <w:tc>
          <w:tcPr>
            <w:tcW w:w="2161" w:type="dxa"/>
          </w:tcPr>
          <w:p w14:paraId="21AC5291" w14:textId="77777777" w:rsidR="00C71CAA" w:rsidRPr="001570EA" w:rsidRDefault="00C71CAA">
            <w:pPr>
              <w:pStyle w:val="TableCell"/>
              <w:keepNext w:val="0"/>
              <w:widowControl w:val="0"/>
              <w:spacing w:before="60" w:after="60"/>
              <w:jc w:val="center"/>
              <w:rPr>
                <w:rFonts w:cs="Arial"/>
                <w:szCs w:val="18"/>
              </w:rPr>
            </w:pPr>
            <w:r w:rsidRPr="001570EA">
              <w:rPr>
                <w:rFonts w:cs="Arial"/>
                <w:szCs w:val="18"/>
              </w:rPr>
              <w:t>Medium</w:t>
            </w:r>
          </w:p>
        </w:tc>
        <w:tc>
          <w:tcPr>
            <w:tcW w:w="2100" w:type="dxa"/>
            <w:vAlign w:val="bottom"/>
          </w:tcPr>
          <w:p w14:paraId="6AE85825" w14:textId="77777777" w:rsidR="00C71CAA" w:rsidRPr="001570EA" w:rsidRDefault="00C71CAA">
            <w:pPr>
              <w:pStyle w:val="TableCell"/>
              <w:keepNext w:val="0"/>
              <w:widowControl w:val="0"/>
              <w:spacing w:before="60" w:after="60"/>
              <w:jc w:val="center"/>
              <w:rPr>
                <w:rFonts w:cs="Arial"/>
                <w:szCs w:val="18"/>
              </w:rPr>
            </w:pPr>
            <w:r w:rsidRPr="001570EA">
              <w:rPr>
                <w:rFonts w:cs="Arial"/>
                <w:color w:val="000000"/>
                <w:szCs w:val="18"/>
              </w:rPr>
              <w:t>0.9307-(0.0002×</w:t>
            </w:r>
            <w:r w:rsidRPr="001570EA">
              <w:rPr>
                <w:rFonts w:cs="Arial"/>
                <w:szCs w:val="18"/>
              </w:rPr>
              <w:t>V</w:t>
            </w:r>
            <w:r w:rsidRPr="001570EA">
              <w:rPr>
                <w:rFonts w:cs="Arial"/>
                <w:szCs w:val="18"/>
                <w:vertAlign w:val="subscript"/>
              </w:rPr>
              <w:t>r</w:t>
            </w:r>
            <w:r w:rsidRPr="001570EA">
              <w:rPr>
                <w:rFonts w:cs="Arial"/>
                <w:color w:val="000000"/>
                <w:szCs w:val="18"/>
              </w:rPr>
              <w:t>)</w:t>
            </w:r>
          </w:p>
        </w:tc>
      </w:tr>
      <w:tr w:rsidR="00C71CAA" w:rsidRPr="001570EA" w14:paraId="253AE841" w14:textId="77777777">
        <w:tc>
          <w:tcPr>
            <w:tcW w:w="2196" w:type="dxa"/>
            <w:vMerge/>
          </w:tcPr>
          <w:p w14:paraId="4F290DE2" w14:textId="77777777" w:rsidR="00C71CAA" w:rsidRPr="001570EA" w:rsidRDefault="00C71CAA">
            <w:pPr>
              <w:pStyle w:val="TableCell"/>
              <w:keepNext w:val="0"/>
              <w:widowControl w:val="0"/>
              <w:spacing w:before="60" w:after="60"/>
              <w:jc w:val="left"/>
              <w:rPr>
                <w:rFonts w:cs="Arial"/>
                <w:szCs w:val="18"/>
              </w:rPr>
            </w:pPr>
          </w:p>
        </w:tc>
        <w:tc>
          <w:tcPr>
            <w:tcW w:w="2161" w:type="dxa"/>
          </w:tcPr>
          <w:p w14:paraId="750672E3" w14:textId="77777777" w:rsidR="00C71CAA" w:rsidRPr="001570EA" w:rsidRDefault="00C71CAA">
            <w:pPr>
              <w:pStyle w:val="TableCell"/>
              <w:keepNext w:val="0"/>
              <w:widowControl w:val="0"/>
              <w:spacing w:before="60" w:after="60"/>
              <w:jc w:val="center"/>
              <w:rPr>
                <w:rFonts w:cs="Arial"/>
                <w:szCs w:val="18"/>
              </w:rPr>
            </w:pPr>
            <w:r w:rsidRPr="001570EA">
              <w:rPr>
                <w:rFonts w:cs="Arial"/>
                <w:szCs w:val="18"/>
              </w:rPr>
              <w:t>H</w:t>
            </w:r>
            <w:r w:rsidRPr="001570EA">
              <w:rPr>
                <w:szCs w:val="18"/>
              </w:rPr>
              <w:t>igh</w:t>
            </w:r>
          </w:p>
        </w:tc>
        <w:tc>
          <w:tcPr>
            <w:tcW w:w="2100" w:type="dxa"/>
            <w:vAlign w:val="bottom"/>
          </w:tcPr>
          <w:p w14:paraId="13725BDD" w14:textId="77777777" w:rsidR="00C71CAA" w:rsidRPr="001570EA" w:rsidRDefault="00C71CAA">
            <w:pPr>
              <w:pStyle w:val="TableCell"/>
              <w:keepNext w:val="0"/>
              <w:widowControl w:val="0"/>
              <w:spacing w:before="60" w:after="60"/>
              <w:jc w:val="center"/>
              <w:rPr>
                <w:rFonts w:cs="Arial"/>
                <w:szCs w:val="18"/>
              </w:rPr>
            </w:pPr>
            <w:r w:rsidRPr="001570EA">
              <w:rPr>
                <w:rFonts w:cs="Arial"/>
                <w:color w:val="000000"/>
                <w:szCs w:val="18"/>
              </w:rPr>
              <w:t>0.9349-(0.0001×</w:t>
            </w:r>
            <w:r w:rsidRPr="001570EA">
              <w:rPr>
                <w:rFonts w:cs="Arial"/>
                <w:szCs w:val="18"/>
              </w:rPr>
              <w:t>V</w:t>
            </w:r>
            <w:r w:rsidRPr="001570EA">
              <w:rPr>
                <w:rFonts w:cs="Arial"/>
                <w:szCs w:val="18"/>
                <w:vertAlign w:val="subscript"/>
              </w:rPr>
              <w:t>r</w:t>
            </w:r>
            <w:r w:rsidRPr="001570EA">
              <w:rPr>
                <w:rFonts w:cs="Arial"/>
                <w:color w:val="000000"/>
                <w:szCs w:val="18"/>
              </w:rPr>
              <w:t>)</w:t>
            </w:r>
          </w:p>
        </w:tc>
      </w:tr>
      <w:tr w:rsidR="00C71CAA" w:rsidRPr="001570EA" w14:paraId="0E8863CD" w14:textId="77777777">
        <w:tc>
          <w:tcPr>
            <w:tcW w:w="2196" w:type="dxa"/>
            <w:vMerge w:val="restart"/>
          </w:tcPr>
          <w:p w14:paraId="5FECDD94" w14:textId="77777777" w:rsidR="00C71CAA" w:rsidRPr="001570EA" w:rsidRDefault="00C71CAA">
            <w:pPr>
              <w:pStyle w:val="TableCell"/>
              <w:keepNext w:val="0"/>
              <w:widowControl w:val="0"/>
              <w:spacing w:before="60" w:after="60"/>
              <w:jc w:val="left"/>
              <w:rPr>
                <w:rFonts w:cs="Arial"/>
                <w:szCs w:val="18"/>
              </w:rPr>
            </w:pPr>
            <w:r w:rsidRPr="001570EA">
              <w:rPr>
                <w:rFonts w:cs="Arial"/>
                <w:szCs w:val="18"/>
              </w:rPr>
              <w:t>&gt;55 gal and &lt;=120 gal</w:t>
            </w:r>
          </w:p>
        </w:tc>
        <w:tc>
          <w:tcPr>
            <w:tcW w:w="2161" w:type="dxa"/>
          </w:tcPr>
          <w:p w14:paraId="1CFD5A0C" w14:textId="77777777" w:rsidR="00C71CAA" w:rsidRPr="001570EA" w:rsidRDefault="00C71CAA">
            <w:pPr>
              <w:pStyle w:val="TableCell"/>
              <w:keepNext w:val="0"/>
              <w:widowControl w:val="0"/>
              <w:spacing w:before="60" w:after="60"/>
              <w:jc w:val="center"/>
              <w:rPr>
                <w:rFonts w:cs="Arial"/>
                <w:szCs w:val="18"/>
              </w:rPr>
            </w:pPr>
            <w:r w:rsidRPr="001570EA">
              <w:rPr>
                <w:rFonts w:cs="Arial"/>
                <w:szCs w:val="18"/>
              </w:rPr>
              <w:t>Very Small</w:t>
            </w:r>
          </w:p>
        </w:tc>
        <w:tc>
          <w:tcPr>
            <w:tcW w:w="2100" w:type="dxa"/>
            <w:vAlign w:val="bottom"/>
          </w:tcPr>
          <w:p w14:paraId="3E744BB0" w14:textId="77777777" w:rsidR="00C71CAA" w:rsidRPr="001570EA" w:rsidRDefault="00C71CAA">
            <w:pPr>
              <w:pStyle w:val="TableCell"/>
              <w:keepNext w:val="0"/>
              <w:widowControl w:val="0"/>
              <w:spacing w:before="60" w:after="60"/>
              <w:jc w:val="center"/>
              <w:rPr>
                <w:rFonts w:cs="Arial"/>
                <w:szCs w:val="18"/>
              </w:rPr>
            </w:pPr>
            <w:r w:rsidRPr="001570EA">
              <w:rPr>
                <w:rFonts w:cs="Arial"/>
                <w:color w:val="000000"/>
                <w:szCs w:val="18"/>
              </w:rPr>
              <w:t>1.9236-(0.0011×</w:t>
            </w:r>
            <w:r w:rsidRPr="001570EA">
              <w:rPr>
                <w:rFonts w:cs="Arial"/>
                <w:szCs w:val="18"/>
              </w:rPr>
              <w:t>V</w:t>
            </w:r>
            <w:r w:rsidRPr="001570EA">
              <w:rPr>
                <w:rFonts w:cs="Arial"/>
                <w:szCs w:val="18"/>
                <w:vertAlign w:val="subscript"/>
              </w:rPr>
              <w:t>r</w:t>
            </w:r>
            <w:r w:rsidRPr="001570EA">
              <w:rPr>
                <w:rFonts w:cs="Arial"/>
                <w:color w:val="000000"/>
                <w:szCs w:val="18"/>
              </w:rPr>
              <w:t>)</w:t>
            </w:r>
          </w:p>
        </w:tc>
      </w:tr>
      <w:tr w:rsidR="00C71CAA" w:rsidRPr="001570EA" w14:paraId="4ACB6AD8" w14:textId="77777777">
        <w:tc>
          <w:tcPr>
            <w:tcW w:w="2196" w:type="dxa"/>
            <w:vMerge/>
          </w:tcPr>
          <w:p w14:paraId="2169602E" w14:textId="77777777" w:rsidR="00C71CAA" w:rsidRPr="001570EA" w:rsidRDefault="00C71CAA">
            <w:pPr>
              <w:pStyle w:val="TableCell"/>
              <w:keepNext w:val="0"/>
              <w:widowControl w:val="0"/>
              <w:spacing w:before="60" w:after="60"/>
              <w:jc w:val="left"/>
              <w:rPr>
                <w:rFonts w:cs="Arial"/>
                <w:szCs w:val="18"/>
              </w:rPr>
            </w:pPr>
          </w:p>
        </w:tc>
        <w:tc>
          <w:tcPr>
            <w:tcW w:w="2161" w:type="dxa"/>
          </w:tcPr>
          <w:p w14:paraId="629B7ABC" w14:textId="77777777" w:rsidR="00C71CAA" w:rsidRPr="001570EA" w:rsidRDefault="00C71CAA">
            <w:pPr>
              <w:pStyle w:val="TableCell"/>
              <w:keepNext w:val="0"/>
              <w:widowControl w:val="0"/>
              <w:spacing w:before="60" w:after="60"/>
              <w:jc w:val="center"/>
              <w:rPr>
                <w:rFonts w:cs="Arial"/>
                <w:szCs w:val="18"/>
              </w:rPr>
            </w:pPr>
            <w:r w:rsidRPr="001570EA">
              <w:rPr>
                <w:rFonts w:cs="Arial"/>
                <w:szCs w:val="18"/>
              </w:rPr>
              <w:t>Low</w:t>
            </w:r>
          </w:p>
        </w:tc>
        <w:tc>
          <w:tcPr>
            <w:tcW w:w="2100" w:type="dxa"/>
            <w:vAlign w:val="bottom"/>
          </w:tcPr>
          <w:p w14:paraId="01C056B7" w14:textId="77777777" w:rsidR="00C71CAA" w:rsidRPr="001570EA" w:rsidRDefault="00C71CAA">
            <w:pPr>
              <w:pStyle w:val="TableCell"/>
              <w:keepNext w:val="0"/>
              <w:widowControl w:val="0"/>
              <w:spacing w:before="60" w:after="60"/>
              <w:jc w:val="center"/>
              <w:rPr>
                <w:rFonts w:cs="Arial"/>
                <w:szCs w:val="18"/>
              </w:rPr>
            </w:pPr>
            <w:r w:rsidRPr="001570EA">
              <w:rPr>
                <w:rFonts w:cs="Arial"/>
                <w:color w:val="000000"/>
                <w:szCs w:val="18"/>
              </w:rPr>
              <w:t>2.0440-(0.0011×</w:t>
            </w:r>
            <w:r w:rsidRPr="001570EA">
              <w:rPr>
                <w:rFonts w:cs="Arial"/>
                <w:szCs w:val="18"/>
              </w:rPr>
              <w:t>V</w:t>
            </w:r>
            <w:r w:rsidRPr="001570EA">
              <w:rPr>
                <w:rFonts w:cs="Arial"/>
                <w:szCs w:val="18"/>
                <w:vertAlign w:val="subscript"/>
              </w:rPr>
              <w:t>r</w:t>
            </w:r>
            <w:r w:rsidRPr="001570EA">
              <w:rPr>
                <w:rFonts w:cs="Arial"/>
                <w:color w:val="000000"/>
                <w:szCs w:val="18"/>
              </w:rPr>
              <w:t>)</w:t>
            </w:r>
          </w:p>
        </w:tc>
      </w:tr>
      <w:tr w:rsidR="00C71CAA" w:rsidRPr="001570EA" w14:paraId="66CB469E" w14:textId="77777777">
        <w:tc>
          <w:tcPr>
            <w:tcW w:w="2196" w:type="dxa"/>
            <w:vMerge/>
          </w:tcPr>
          <w:p w14:paraId="78CEBB6E" w14:textId="77777777" w:rsidR="00C71CAA" w:rsidRPr="001570EA" w:rsidRDefault="00C71CAA">
            <w:pPr>
              <w:pStyle w:val="TableCell"/>
              <w:keepNext w:val="0"/>
              <w:widowControl w:val="0"/>
              <w:spacing w:before="60" w:after="60"/>
              <w:jc w:val="left"/>
              <w:rPr>
                <w:rFonts w:cs="Arial"/>
                <w:szCs w:val="18"/>
              </w:rPr>
            </w:pPr>
          </w:p>
        </w:tc>
        <w:tc>
          <w:tcPr>
            <w:tcW w:w="2161" w:type="dxa"/>
          </w:tcPr>
          <w:p w14:paraId="2DF96F70" w14:textId="77777777" w:rsidR="00C71CAA" w:rsidRPr="001570EA" w:rsidRDefault="00C71CAA">
            <w:pPr>
              <w:pStyle w:val="TableCell"/>
              <w:keepNext w:val="0"/>
              <w:widowControl w:val="0"/>
              <w:spacing w:before="60" w:after="60"/>
              <w:jc w:val="center"/>
              <w:rPr>
                <w:rFonts w:cs="Arial"/>
                <w:szCs w:val="18"/>
              </w:rPr>
            </w:pPr>
            <w:r w:rsidRPr="001570EA">
              <w:rPr>
                <w:rFonts w:cs="Arial"/>
                <w:szCs w:val="18"/>
              </w:rPr>
              <w:t>Medium</w:t>
            </w:r>
          </w:p>
        </w:tc>
        <w:tc>
          <w:tcPr>
            <w:tcW w:w="2100" w:type="dxa"/>
            <w:vAlign w:val="bottom"/>
          </w:tcPr>
          <w:p w14:paraId="5534D48F" w14:textId="77777777" w:rsidR="00C71CAA" w:rsidRPr="001570EA" w:rsidRDefault="00C71CAA">
            <w:pPr>
              <w:pStyle w:val="TableCell"/>
              <w:keepNext w:val="0"/>
              <w:widowControl w:val="0"/>
              <w:spacing w:before="60" w:after="60"/>
              <w:jc w:val="center"/>
              <w:rPr>
                <w:rFonts w:cs="Arial"/>
                <w:szCs w:val="18"/>
              </w:rPr>
            </w:pPr>
            <w:r w:rsidRPr="001570EA">
              <w:rPr>
                <w:rFonts w:cs="Arial"/>
                <w:color w:val="000000"/>
                <w:szCs w:val="18"/>
              </w:rPr>
              <w:t>2.1171-(0.0011×</w:t>
            </w:r>
            <w:r w:rsidRPr="001570EA">
              <w:rPr>
                <w:rFonts w:cs="Arial"/>
                <w:szCs w:val="18"/>
              </w:rPr>
              <w:t>V</w:t>
            </w:r>
            <w:r w:rsidRPr="001570EA">
              <w:rPr>
                <w:rFonts w:cs="Arial"/>
                <w:szCs w:val="18"/>
                <w:vertAlign w:val="subscript"/>
              </w:rPr>
              <w:t>r</w:t>
            </w:r>
            <w:r w:rsidRPr="001570EA">
              <w:rPr>
                <w:rFonts w:cs="Arial"/>
                <w:color w:val="000000"/>
                <w:szCs w:val="18"/>
              </w:rPr>
              <w:t>)</w:t>
            </w:r>
          </w:p>
        </w:tc>
      </w:tr>
      <w:tr w:rsidR="00C71CAA" w:rsidRPr="001570EA" w14:paraId="5CB16826" w14:textId="77777777">
        <w:tc>
          <w:tcPr>
            <w:tcW w:w="2196" w:type="dxa"/>
            <w:vMerge/>
          </w:tcPr>
          <w:p w14:paraId="1F60FEFB" w14:textId="77777777" w:rsidR="00C71CAA" w:rsidRPr="001570EA" w:rsidRDefault="00C71CAA">
            <w:pPr>
              <w:pStyle w:val="TableCell"/>
              <w:keepNext w:val="0"/>
              <w:widowControl w:val="0"/>
              <w:spacing w:before="60" w:after="60"/>
              <w:jc w:val="left"/>
              <w:rPr>
                <w:rFonts w:cs="Arial"/>
                <w:szCs w:val="18"/>
              </w:rPr>
            </w:pPr>
          </w:p>
        </w:tc>
        <w:tc>
          <w:tcPr>
            <w:tcW w:w="2161" w:type="dxa"/>
          </w:tcPr>
          <w:p w14:paraId="6722A604" w14:textId="77777777" w:rsidR="00C71CAA" w:rsidRPr="001570EA" w:rsidRDefault="00C71CAA">
            <w:pPr>
              <w:pStyle w:val="TableCell"/>
              <w:keepNext w:val="0"/>
              <w:widowControl w:val="0"/>
              <w:spacing w:before="60" w:after="60"/>
              <w:jc w:val="center"/>
              <w:rPr>
                <w:rFonts w:cs="Arial"/>
                <w:szCs w:val="18"/>
              </w:rPr>
            </w:pPr>
            <w:r w:rsidRPr="001570EA">
              <w:rPr>
                <w:rFonts w:cs="Arial"/>
                <w:szCs w:val="18"/>
              </w:rPr>
              <w:t>Hi</w:t>
            </w:r>
            <w:r w:rsidRPr="001570EA">
              <w:rPr>
                <w:szCs w:val="18"/>
              </w:rPr>
              <w:t>gh</w:t>
            </w:r>
          </w:p>
        </w:tc>
        <w:tc>
          <w:tcPr>
            <w:tcW w:w="2100" w:type="dxa"/>
            <w:vAlign w:val="bottom"/>
          </w:tcPr>
          <w:p w14:paraId="3747E88E" w14:textId="77777777" w:rsidR="00C71CAA" w:rsidRPr="001570EA" w:rsidRDefault="00C71CAA">
            <w:pPr>
              <w:pStyle w:val="TableCell"/>
              <w:keepNext w:val="0"/>
              <w:widowControl w:val="0"/>
              <w:spacing w:before="60" w:after="60"/>
              <w:jc w:val="center"/>
              <w:rPr>
                <w:rFonts w:cs="Arial"/>
                <w:szCs w:val="18"/>
              </w:rPr>
            </w:pPr>
            <w:r w:rsidRPr="001570EA">
              <w:rPr>
                <w:rFonts w:cs="Arial"/>
                <w:color w:val="000000"/>
                <w:szCs w:val="18"/>
              </w:rPr>
              <w:t>2.2418-(0.0011×</w:t>
            </w:r>
            <w:r w:rsidRPr="001570EA">
              <w:rPr>
                <w:rFonts w:cs="Arial"/>
                <w:szCs w:val="18"/>
              </w:rPr>
              <w:t>V</w:t>
            </w:r>
            <w:r w:rsidRPr="001570EA">
              <w:rPr>
                <w:rFonts w:cs="Arial"/>
                <w:szCs w:val="18"/>
                <w:vertAlign w:val="subscript"/>
              </w:rPr>
              <w:t>r</w:t>
            </w:r>
            <w:r w:rsidRPr="001570EA">
              <w:rPr>
                <w:rFonts w:cs="Arial"/>
                <w:color w:val="000000"/>
                <w:szCs w:val="18"/>
              </w:rPr>
              <w:t>)</w:t>
            </w:r>
          </w:p>
        </w:tc>
      </w:tr>
    </w:tbl>
    <w:p w14:paraId="1CF56E78" w14:textId="77777777" w:rsidR="00C71CAA" w:rsidRPr="001570EA" w:rsidRDefault="00C71CAA" w:rsidP="00C71CAA">
      <w:pPr>
        <w:spacing w:after="120"/>
        <w:rPr>
          <w:rFonts w:ascii="Arial Black" w:hAnsi="Arial Black"/>
          <w:b/>
          <w:u w:val="single"/>
        </w:rPr>
      </w:pPr>
    </w:p>
    <w:p w14:paraId="0E9BC451" w14:textId="77777777" w:rsidR="00C71CAA" w:rsidRPr="001570EA" w:rsidRDefault="00C71CAA" w:rsidP="00C71CAA">
      <w:pPr>
        <w:pStyle w:val="SubStyle"/>
      </w:pPr>
      <w:r w:rsidRPr="001570EA">
        <w:t>Heat Pump Water Heater UEF De-rating Factor</w:t>
      </w:r>
    </w:p>
    <w:p w14:paraId="08C71F49" w14:textId="77777777" w:rsidR="00C71CAA" w:rsidRPr="001570EA" w:rsidRDefault="00C71CAA" w:rsidP="00C71CAA">
      <w:pPr>
        <w:pStyle w:val="BodyText"/>
        <w:ind w:right="0"/>
      </w:pPr>
      <w:r w:rsidRPr="001570EA">
        <w:t>The Uniform Energy Factors (UEF) are determined from a DOE testing procedure that is carried out at 67.5°F dry bulb and 56°F wet bulb temperatures. However, the average dry and wet bulb temperatures in PA are in the range of 50-56</w:t>
      </w:r>
      <w:r w:rsidRPr="001570EA">
        <w:rPr>
          <w:rFonts w:cs="Arial"/>
        </w:rPr>
        <w:t>˚</w:t>
      </w:r>
      <w:r w:rsidRPr="001570EA">
        <w:t>F DB and 45-50 °F WB. The heat pump performance is temperature and humidity dependent, therefore the location and type of installation is significant. To account for this, a UEF de-rating factor (</w:t>
      </w:r>
      <m:oMath>
        <m:sSub>
          <m:sSubPr>
            <m:ctrlPr>
              <w:rPr>
                <w:rFonts w:ascii="Cambria Math" w:hAnsi="Cambria Math" w:cs="Arial"/>
                <w:i/>
              </w:rPr>
            </m:ctrlPr>
          </m:sSubPr>
          <m:e>
            <m:r>
              <m:rPr>
                <m:nor/>
              </m:rPr>
              <w:rPr>
                <w:rFonts w:ascii="Cambria Math" w:hAnsi="Cambria Math" w:cs="Arial"/>
                <w:i/>
                <w:iCs/>
              </w:rPr>
              <m:t>F</m:t>
            </m:r>
          </m:e>
          <m:sub>
            <m:r>
              <m:rPr>
                <m:nor/>
              </m:rPr>
              <w:rPr>
                <w:rFonts w:ascii="Cambria Math" w:hAnsi="Cambria Math" w:cs="Arial"/>
                <w:i/>
                <w:iCs/>
              </w:rPr>
              <m:t>derate</m:t>
            </m:r>
          </m:sub>
        </m:sSub>
      </m:oMath>
      <w:r w:rsidRPr="001570EA">
        <w:t>) has been adapted from a 2013 NEEA HPWH field study.</w:t>
      </w:r>
      <w:r w:rsidRPr="001570EA">
        <w:rPr>
          <w:vertAlign w:val="superscript"/>
        </w:rPr>
        <w:t>Source 4</w:t>
      </w:r>
      <w:r w:rsidRPr="001570EA">
        <w:t xml:space="preserve"> The results used are for “Heating Zone 1”, which is comprised of Olympia, WA and Portland, OR and have average dry and wet bulb temperatures (51</w:t>
      </w:r>
      <w:r w:rsidRPr="001570EA">
        <w:rPr>
          <w:rFonts w:cs="Arial"/>
        </w:rPr>
        <w:t xml:space="preserve">˚F </w:t>
      </w:r>
      <w:r w:rsidRPr="001570EA">
        <w:t>DB, 47</w:t>
      </w:r>
      <w:r w:rsidRPr="001570EA">
        <w:rPr>
          <w:rFonts w:cs="Arial"/>
        </w:rPr>
        <w:t>˚</w:t>
      </w:r>
      <w:r w:rsidRPr="001570EA">
        <w:t>F WB and 55</w:t>
      </w:r>
      <w:r w:rsidRPr="001570EA">
        <w:rPr>
          <w:rFonts w:cs="Arial"/>
        </w:rPr>
        <w:t xml:space="preserve">˚F DB, </w:t>
      </w:r>
      <w:r w:rsidRPr="001570EA">
        <w:t>49</w:t>
      </w:r>
      <w:r w:rsidRPr="001570EA">
        <w:rPr>
          <w:rFonts w:cs="Arial"/>
        </w:rPr>
        <w:t>˚</w:t>
      </w:r>
      <w:r w:rsidRPr="001570EA">
        <w:t xml:space="preserve">F WB, respectively) comparable to Pennsylvania. Average temperatures are based on average weather data from weatherbase.com for the climate reference cities referenced elsewhere in this TRM. </w:t>
      </w:r>
    </w:p>
    <w:p w14:paraId="7D522980" w14:textId="24963D3C" w:rsidR="00C71CAA" w:rsidRPr="001570EA" w:rsidRDefault="00C71CAA" w:rsidP="00C71CAA">
      <w:pPr>
        <w:pStyle w:val="Caption"/>
      </w:pPr>
      <w:bookmarkStart w:id="399" w:name="_Ref533706253"/>
      <w:bookmarkStart w:id="400" w:name="_Toc473645828"/>
      <w:bookmarkStart w:id="401" w:name="_Toc4759829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62</w:t>
      </w:r>
      <w:r w:rsidR="002E093A" w:rsidRPr="001570EA">
        <w:fldChar w:fldCharType="end"/>
      </w:r>
      <w:bookmarkEnd w:id="399"/>
      <w:r w:rsidRPr="001570EA">
        <w:t>: UEF De-rating Factor for Various Installation Locations</w:t>
      </w:r>
      <w:bookmarkEnd w:id="400"/>
      <w:bookmarkEnd w:id="40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610"/>
      </w:tblGrid>
      <w:tr w:rsidR="00C71CAA" w:rsidRPr="001570EA" w14:paraId="264BC76A" w14:textId="77777777">
        <w:tc>
          <w:tcPr>
            <w:tcW w:w="2790" w:type="dxa"/>
            <w:shd w:val="clear" w:color="auto" w:fill="BFBFBF" w:themeFill="background1" w:themeFillShade="BF"/>
          </w:tcPr>
          <w:p w14:paraId="540F2143" w14:textId="77777777" w:rsidR="00C71CAA" w:rsidRPr="001570EA" w:rsidRDefault="00C71CAA">
            <w:pPr>
              <w:pStyle w:val="TableCell"/>
              <w:spacing w:before="60" w:after="60"/>
              <w:rPr>
                <w:rFonts w:cs="Arial"/>
                <w:b/>
                <w:szCs w:val="18"/>
              </w:rPr>
            </w:pPr>
            <w:r w:rsidRPr="001570EA">
              <w:rPr>
                <w:rFonts w:cs="Arial"/>
                <w:b/>
                <w:szCs w:val="18"/>
              </w:rPr>
              <w:t>Installation Location</w:t>
            </w:r>
          </w:p>
        </w:tc>
        <w:tc>
          <w:tcPr>
            <w:tcW w:w="2610" w:type="dxa"/>
            <w:shd w:val="clear" w:color="auto" w:fill="BFBFBF" w:themeFill="background1" w:themeFillShade="BF"/>
          </w:tcPr>
          <w:p w14:paraId="637BFAA7" w14:textId="77777777" w:rsidR="00C71CAA" w:rsidRPr="001570EA" w:rsidRDefault="003B5E04">
            <w:pPr>
              <w:pStyle w:val="TableCell"/>
              <w:spacing w:before="60" w:after="60"/>
              <w:jc w:val="center"/>
              <w:rPr>
                <w:rFonts w:cs="Arial"/>
                <w:b/>
                <w:szCs w:val="18"/>
              </w:rPr>
            </w:pPr>
            <m:oMathPara>
              <m:oMath>
                <m:sSub>
                  <m:sSubPr>
                    <m:ctrlPr>
                      <w:rPr>
                        <w:rFonts w:ascii="Cambria Math" w:hAnsi="Cambria Math" w:cs="Arial"/>
                        <w:b/>
                        <w:szCs w:val="18"/>
                      </w:rPr>
                    </m:ctrlPr>
                  </m:sSubPr>
                  <m:e>
                    <m:r>
                      <m:rPr>
                        <m:nor/>
                      </m:rPr>
                      <w:rPr>
                        <w:rFonts w:cs="Arial"/>
                        <w:b/>
                        <w:iCs/>
                        <w:szCs w:val="18"/>
                      </w:rPr>
                      <m:t>F</m:t>
                    </m:r>
                  </m:e>
                  <m:sub>
                    <m:r>
                      <m:rPr>
                        <m:nor/>
                      </m:rPr>
                      <w:rPr>
                        <w:rFonts w:cs="Arial"/>
                        <w:b/>
                        <w:iCs/>
                        <w:szCs w:val="18"/>
                      </w:rPr>
                      <m:t>derate</m:t>
                    </m:r>
                  </m:sub>
                </m:sSub>
              </m:oMath>
            </m:oMathPara>
          </w:p>
        </w:tc>
      </w:tr>
      <w:tr w:rsidR="00C71CAA" w:rsidRPr="001570EA" w14:paraId="0A6EB0B7" w14:textId="77777777">
        <w:tc>
          <w:tcPr>
            <w:tcW w:w="2790" w:type="dxa"/>
          </w:tcPr>
          <w:p w14:paraId="442DF2D1" w14:textId="77777777" w:rsidR="00C71CAA" w:rsidRPr="001570EA" w:rsidRDefault="00C71CAA">
            <w:pPr>
              <w:pStyle w:val="TableCell"/>
              <w:spacing w:before="60" w:after="60"/>
              <w:rPr>
                <w:rFonts w:cs="Arial"/>
                <w:szCs w:val="18"/>
              </w:rPr>
            </w:pPr>
            <w:r w:rsidRPr="001570EA">
              <w:rPr>
                <w:rFonts w:cs="Arial"/>
                <w:szCs w:val="18"/>
              </w:rPr>
              <w:t>Inside Conditioned Space</w:t>
            </w:r>
          </w:p>
        </w:tc>
        <w:tc>
          <w:tcPr>
            <w:tcW w:w="2610" w:type="dxa"/>
          </w:tcPr>
          <w:p w14:paraId="31C91671" w14:textId="77777777" w:rsidR="00C71CAA" w:rsidRPr="001570EA" w:rsidRDefault="00C71CAA">
            <w:pPr>
              <w:pStyle w:val="TableCell"/>
              <w:spacing w:before="60" w:after="60"/>
              <w:jc w:val="center"/>
              <w:rPr>
                <w:rFonts w:cs="Arial"/>
                <w:szCs w:val="18"/>
              </w:rPr>
            </w:pPr>
            <w:r w:rsidRPr="001570EA">
              <w:rPr>
                <w:rFonts w:cs="Arial"/>
                <w:szCs w:val="18"/>
              </w:rPr>
              <w:t>0.98</w:t>
            </w:r>
          </w:p>
        </w:tc>
      </w:tr>
      <w:tr w:rsidR="00C71CAA" w:rsidRPr="001570EA" w14:paraId="63688208" w14:textId="77777777">
        <w:tc>
          <w:tcPr>
            <w:tcW w:w="2790" w:type="dxa"/>
          </w:tcPr>
          <w:p w14:paraId="537E10C8" w14:textId="77777777" w:rsidR="00C71CAA" w:rsidRPr="001570EA" w:rsidRDefault="00C71CAA">
            <w:pPr>
              <w:pStyle w:val="TableCell"/>
              <w:spacing w:before="60" w:after="60"/>
              <w:rPr>
                <w:rFonts w:cs="Arial"/>
                <w:szCs w:val="18"/>
              </w:rPr>
            </w:pPr>
            <w:r w:rsidRPr="001570EA">
              <w:rPr>
                <w:rFonts w:cs="Arial"/>
                <w:szCs w:val="18"/>
              </w:rPr>
              <w:t>Unconditioned Garage</w:t>
            </w:r>
          </w:p>
        </w:tc>
        <w:tc>
          <w:tcPr>
            <w:tcW w:w="2610" w:type="dxa"/>
          </w:tcPr>
          <w:p w14:paraId="26569A41" w14:textId="77777777" w:rsidR="00C71CAA" w:rsidRPr="001570EA" w:rsidRDefault="00C71CAA">
            <w:pPr>
              <w:pStyle w:val="TableCell"/>
              <w:spacing w:before="60" w:after="60"/>
              <w:jc w:val="center"/>
              <w:rPr>
                <w:rFonts w:cs="Arial"/>
                <w:szCs w:val="18"/>
              </w:rPr>
            </w:pPr>
            <w:r w:rsidRPr="001570EA">
              <w:rPr>
                <w:rFonts w:cs="Arial"/>
                <w:szCs w:val="18"/>
              </w:rPr>
              <w:t>0.85</w:t>
            </w:r>
          </w:p>
        </w:tc>
      </w:tr>
      <w:tr w:rsidR="00C71CAA" w:rsidRPr="001570EA" w14:paraId="66B386CA" w14:textId="77777777">
        <w:trPr>
          <w:trHeight w:val="77"/>
        </w:trPr>
        <w:tc>
          <w:tcPr>
            <w:tcW w:w="2790" w:type="dxa"/>
          </w:tcPr>
          <w:p w14:paraId="3B51659E" w14:textId="77777777" w:rsidR="00C71CAA" w:rsidRPr="001570EA" w:rsidRDefault="00C71CAA">
            <w:pPr>
              <w:pStyle w:val="TableCell"/>
              <w:spacing w:before="60" w:after="60"/>
              <w:rPr>
                <w:rFonts w:cs="Arial"/>
                <w:szCs w:val="18"/>
              </w:rPr>
            </w:pPr>
            <w:r w:rsidRPr="001570EA">
              <w:rPr>
                <w:rFonts w:cs="Arial"/>
                <w:szCs w:val="18"/>
              </w:rPr>
              <w:t>Unconditioned Basement</w:t>
            </w:r>
          </w:p>
        </w:tc>
        <w:tc>
          <w:tcPr>
            <w:tcW w:w="2610" w:type="dxa"/>
          </w:tcPr>
          <w:p w14:paraId="3CB429C7" w14:textId="77777777" w:rsidR="00C71CAA" w:rsidRPr="001570EA" w:rsidRDefault="00C71CAA">
            <w:pPr>
              <w:pStyle w:val="TableCell"/>
              <w:spacing w:before="60" w:after="60"/>
              <w:jc w:val="center"/>
              <w:rPr>
                <w:rFonts w:cs="Arial"/>
                <w:szCs w:val="18"/>
              </w:rPr>
            </w:pPr>
            <w:r w:rsidRPr="001570EA">
              <w:rPr>
                <w:rFonts w:cs="Arial"/>
                <w:szCs w:val="18"/>
              </w:rPr>
              <w:t>0.72</w:t>
            </w:r>
          </w:p>
        </w:tc>
      </w:tr>
      <w:tr w:rsidR="00C71CAA" w:rsidRPr="001570EA" w14:paraId="10F46549" w14:textId="77777777">
        <w:tc>
          <w:tcPr>
            <w:tcW w:w="2790" w:type="dxa"/>
          </w:tcPr>
          <w:p w14:paraId="1046E8E0" w14:textId="11A7E1B2" w:rsidR="00C71CAA" w:rsidRPr="001570EA" w:rsidRDefault="00C71CAA">
            <w:pPr>
              <w:pStyle w:val="TableCell"/>
              <w:spacing w:before="60" w:after="60"/>
              <w:rPr>
                <w:rFonts w:cs="Arial"/>
              </w:rPr>
            </w:pPr>
            <w:r w:rsidRPr="001570EA">
              <w:rPr>
                <w:rFonts w:cs="Arial"/>
              </w:rPr>
              <w:t>Unknown</w:t>
            </w:r>
            <w:r w:rsidRPr="001570EA">
              <w:rPr>
                <w:rFonts w:cs="Arial"/>
                <w:vertAlign w:val="superscript"/>
              </w:rPr>
              <w:t>Source 4</w:t>
            </w:r>
          </w:p>
        </w:tc>
        <w:tc>
          <w:tcPr>
            <w:tcW w:w="2610" w:type="dxa"/>
          </w:tcPr>
          <w:p w14:paraId="0B6085A9" w14:textId="77777777" w:rsidR="00C71CAA" w:rsidRPr="001570EA" w:rsidRDefault="00C71CAA">
            <w:pPr>
              <w:pStyle w:val="TableCell"/>
              <w:spacing w:before="60" w:after="60"/>
              <w:jc w:val="center"/>
              <w:rPr>
                <w:rFonts w:cs="Arial"/>
                <w:szCs w:val="18"/>
              </w:rPr>
            </w:pPr>
            <w:r w:rsidRPr="001570EA">
              <w:rPr>
                <w:rFonts w:cs="Arial"/>
                <w:szCs w:val="18"/>
              </w:rPr>
              <w:t>0.87</w:t>
            </w:r>
          </w:p>
        </w:tc>
      </w:tr>
    </w:tbl>
    <w:p w14:paraId="0ADE608A" w14:textId="77777777" w:rsidR="00C71CAA" w:rsidRPr="001570EA" w:rsidRDefault="00C71CAA" w:rsidP="00C71CAA"/>
    <w:p w14:paraId="102A3865" w14:textId="77777777" w:rsidR="00C71CAA" w:rsidRPr="001570EA" w:rsidRDefault="00C71CAA" w:rsidP="00C71CAA">
      <w:pPr>
        <w:pStyle w:val="SubStyle"/>
      </w:pPr>
      <w:r w:rsidRPr="001570EA">
        <w:t>Default Savings</w:t>
      </w:r>
    </w:p>
    <w:p w14:paraId="3EC23F40" w14:textId="77777777" w:rsidR="00C71CAA" w:rsidRPr="001570EA" w:rsidRDefault="00C71CAA" w:rsidP="00C71CAA">
      <w:pPr>
        <w:pStyle w:val="Equation"/>
        <w:spacing w:after="120"/>
        <w:ind w:left="0" w:firstLine="0"/>
      </w:pPr>
      <w:r w:rsidRPr="001570EA">
        <w:rPr>
          <w:i w:val="0"/>
        </w:rPr>
        <w:t xml:space="preserve">Default savings for the installation of heat pump water heaters </w:t>
      </w:r>
      <w:r w:rsidRPr="001570EA">
        <w:t>not located inside conditioned space</w:t>
      </w:r>
      <w:r w:rsidRPr="001570EA">
        <w:rPr>
          <w:i w:val="0"/>
        </w:rPr>
        <w:t xml:space="preserve"> or for which </w:t>
      </w:r>
      <w:r w:rsidRPr="001570EA">
        <w:rPr>
          <w:iCs/>
        </w:rPr>
        <w:t>installation location is unknown</w:t>
      </w:r>
      <w:r w:rsidRPr="001570EA">
        <w:rPr>
          <w:i w:val="0"/>
        </w:rPr>
        <w:t xml:space="preserve"> are provided below</w:t>
      </w:r>
      <w:r w:rsidRPr="001570EA">
        <w:rPr>
          <w:rFonts w:eastAsia="Times New Roman"/>
          <w:i w:val="0"/>
          <w:szCs w:val="20"/>
        </w:rPr>
        <w:t>.</w:t>
      </w:r>
      <w:r w:rsidRPr="001570EA" w:rsidDel="00985C97">
        <w:t xml:space="preserve"> </w:t>
      </w:r>
    </w:p>
    <w:p w14:paraId="3D015BCF" w14:textId="454507ED" w:rsidR="00C71CAA" w:rsidRPr="001570EA" w:rsidRDefault="00C71CAA" w:rsidP="00C71CAA">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63</w:t>
      </w:r>
      <w:r w:rsidR="002E093A" w:rsidRPr="001570EA">
        <w:fldChar w:fldCharType="end"/>
      </w:r>
      <w:r w:rsidRPr="001570EA">
        <w:t xml:space="preserve">: Default Savings for Heat Pump Water Heaters Located in Unconditioned or Unknown Space </w:t>
      </w:r>
    </w:p>
    <w:tbl>
      <w:tblPr>
        <w:tblStyle w:val="PATable2"/>
        <w:tblW w:w="8725" w:type="dxa"/>
        <w:tblLook w:val="04A0" w:firstRow="1" w:lastRow="0" w:firstColumn="1" w:lastColumn="0" w:noHBand="0" w:noVBand="1"/>
      </w:tblPr>
      <w:tblGrid>
        <w:gridCol w:w="1435"/>
        <w:gridCol w:w="2970"/>
        <w:gridCol w:w="1440"/>
        <w:gridCol w:w="1440"/>
        <w:gridCol w:w="1440"/>
      </w:tblGrid>
      <w:tr w:rsidR="00C71CAA" w:rsidRPr="001570EA" w14:paraId="3E933E67" w14:textId="77777777">
        <w:trPr>
          <w:cnfStyle w:val="100000000000" w:firstRow="1" w:lastRow="0" w:firstColumn="0" w:lastColumn="0" w:oddVBand="0" w:evenVBand="0" w:oddHBand="0" w:evenHBand="0" w:firstRowFirstColumn="0" w:firstRowLastColumn="0" w:lastRowFirstColumn="0" w:lastRowLastColumn="0"/>
          <w:trHeight w:val="720"/>
        </w:trPr>
        <w:tc>
          <w:tcPr>
            <w:tcW w:w="1435" w:type="dxa"/>
            <w:vAlign w:val="center"/>
          </w:tcPr>
          <w:p w14:paraId="782BDAB4" w14:textId="77777777" w:rsidR="00C71CAA" w:rsidRPr="001570EA" w:rsidRDefault="00C71CAA">
            <w:pPr>
              <w:pStyle w:val="TableText0"/>
            </w:pPr>
            <w:r w:rsidRPr="001570EA">
              <w:t>Installation Location</w:t>
            </w:r>
          </w:p>
        </w:tc>
        <w:tc>
          <w:tcPr>
            <w:tcW w:w="2970" w:type="dxa"/>
            <w:vAlign w:val="center"/>
          </w:tcPr>
          <w:p w14:paraId="457228AC" w14:textId="77777777" w:rsidR="00C71CAA" w:rsidRPr="001570EA" w:rsidRDefault="00C71CAA">
            <w:pPr>
              <w:pStyle w:val="TableText0"/>
            </w:pPr>
            <w:r w:rsidRPr="001570EA">
              <w:t>Efficient Water Heater Type</w:t>
            </w:r>
          </w:p>
        </w:tc>
        <w:tc>
          <w:tcPr>
            <w:tcW w:w="1440" w:type="dxa"/>
            <w:vAlign w:val="center"/>
          </w:tcPr>
          <w:p w14:paraId="478F1CEF" w14:textId="77777777" w:rsidR="00C71CAA" w:rsidRPr="001570EA" w:rsidRDefault="00C71CAA">
            <w:pPr>
              <w:pStyle w:val="TableText0"/>
            </w:pPr>
            <w:r w:rsidRPr="001570EA">
              <w:t>ΔkWh</w:t>
            </w:r>
          </w:p>
        </w:tc>
        <w:tc>
          <w:tcPr>
            <w:tcW w:w="1440" w:type="dxa"/>
            <w:vAlign w:val="center"/>
          </w:tcPr>
          <w:p w14:paraId="5855DD7B" w14:textId="77777777" w:rsidR="00C71CAA" w:rsidRPr="001570EA" w:rsidRDefault="00C71CAA">
            <w:pPr>
              <w:pStyle w:val="TableText0"/>
              <w:rPr>
                <w:vertAlign w:val="subscript"/>
              </w:rPr>
            </w:pPr>
            <w:r w:rsidRPr="001570EA">
              <w:t>ΔkW</w:t>
            </w:r>
            <w:r w:rsidRPr="001570EA">
              <w:rPr>
                <w:vertAlign w:val="subscript"/>
              </w:rPr>
              <w:t>summer peak</w:t>
            </w:r>
            <w:r w:rsidRPr="001570EA" w:rsidDel="00C44F4A">
              <w:t xml:space="preserve"> </w:t>
            </w:r>
          </w:p>
        </w:tc>
        <w:tc>
          <w:tcPr>
            <w:tcW w:w="1440" w:type="dxa"/>
            <w:vAlign w:val="center"/>
          </w:tcPr>
          <w:p w14:paraId="711E9DA9" w14:textId="77777777" w:rsidR="00C71CAA" w:rsidRPr="001570EA" w:rsidRDefault="00C71CAA">
            <w:pPr>
              <w:pStyle w:val="TableText0"/>
            </w:pPr>
            <w:r w:rsidRPr="001570EA">
              <w:t>ΔkW</w:t>
            </w:r>
            <w:r w:rsidRPr="001570EA">
              <w:rPr>
                <w:vertAlign w:val="subscript"/>
              </w:rPr>
              <w:t>winter peak</w:t>
            </w:r>
          </w:p>
        </w:tc>
      </w:tr>
      <w:tr w:rsidR="00C71CAA" w:rsidRPr="001570EA" w14:paraId="4945E4F1" w14:textId="77777777">
        <w:trPr>
          <w:trHeight w:val="331"/>
        </w:trPr>
        <w:tc>
          <w:tcPr>
            <w:tcW w:w="1435" w:type="dxa"/>
            <w:vMerge w:val="restart"/>
            <w:vAlign w:val="center"/>
          </w:tcPr>
          <w:p w14:paraId="31CDBF60" w14:textId="77777777" w:rsidR="00C71CAA" w:rsidRPr="001570EA" w:rsidRDefault="00C71CAA">
            <w:pPr>
              <w:pStyle w:val="TableText0"/>
            </w:pPr>
            <w:r w:rsidRPr="001570EA">
              <w:t>Unconditioned Garage</w:t>
            </w:r>
          </w:p>
        </w:tc>
        <w:tc>
          <w:tcPr>
            <w:tcW w:w="2970" w:type="dxa"/>
            <w:vAlign w:val="center"/>
          </w:tcPr>
          <w:p w14:paraId="3D338411" w14:textId="77777777" w:rsidR="00C71CAA" w:rsidRPr="001570EA" w:rsidRDefault="00C71CAA">
            <w:pPr>
              <w:pStyle w:val="TableText0"/>
            </w:pPr>
            <w:r w:rsidRPr="001570EA">
              <w:t>Integrated HPWH</w:t>
            </w:r>
          </w:p>
        </w:tc>
        <w:tc>
          <w:tcPr>
            <w:tcW w:w="1440" w:type="dxa"/>
            <w:vAlign w:val="center"/>
          </w:tcPr>
          <w:p w14:paraId="7C5E50DF" w14:textId="77777777" w:rsidR="00C71CAA" w:rsidRPr="001570EA" w:rsidRDefault="00C71CAA">
            <w:pPr>
              <w:pStyle w:val="TableText0"/>
            </w:pPr>
            <w:r w:rsidRPr="001570EA">
              <w:t>1,948</w:t>
            </w:r>
          </w:p>
        </w:tc>
        <w:tc>
          <w:tcPr>
            <w:tcW w:w="1440" w:type="dxa"/>
            <w:vAlign w:val="center"/>
          </w:tcPr>
          <w:p w14:paraId="49516CE7" w14:textId="77777777" w:rsidR="00C71CAA" w:rsidRPr="001570EA" w:rsidRDefault="00C71CAA">
            <w:pPr>
              <w:pStyle w:val="TableText0"/>
            </w:pPr>
            <w:r w:rsidRPr="001570EA">
              <w:t>0.2058652</w:t>
            </w:r>
          </w:p>
        </w:tc>
        <w:tc>
          <w:tcPr>
            <w:tcW w:w="1440" w:type="dxa"/>
            <w:vAlign w:val="center"/>
          </w:tcPr>
          <w:p w14:paraId="53CBB75A" w14:textId="77777777" w:rsidR="00C71CAA" w:rsidRPr="001570EA" w:rsidRDefault="00C71CAA">
            <w:pPr>
              <w:pStyle w:val="TableText0"/>
            </w:pPr>
            <w:r w:rsidRPr="001570EA">
              <w:t>0.3429788</w:t>
            </w:r>
          </w:p>
        </w:tc>
      </w:tr>
      <w:tr w:rsidR="00C71CAA" w:rsidRPr="001570EA" w14:paraId="0A55A086" w14:textId="77777777">
        <w:trPr>
          <w:cnfStyle w:val="000000010000" w:firstRow="0" w:lastRow="0" w:firstColumn="0" w:lastColumn="0" w:oddVBand="0" w:evenVBand="0" w:oddHBand="0" w:evenHBand="1" w:firstRowFirstColumn="0" w:firstRowLastColumn="0" w:lastRowFirstColumn="0" w:lastRowLastColumn="0"/>
          <w:trHeight w:val="331"/>
        </w:trPr>
        <w:tc>
          <w:tcPr>
            <w:tcW w:w="1435" w:type="dxa"/>
            <w:vMerge/>
            <w:vAlign w:val="center"/>
          </w:tcPr>
          <w:p w14:paraId="196CC4F3" w14:textId="77777777" w:rsidR="00C71CAA" w:rsidRPr="001570EA" w:rsidRDefault="00C71CAA">
            <w:pPr>
              <w:pStyle w:val="TableText0"/>
            </w:pPr>
          </w:p>
        </w:tc>
        <w:tc>
          <w:tcPr>
            <w:tcW w:w="2970" w:type="dxa"/>
            <w:vAlign w:val="center"/>
          </w:tcPr>
          <w:p w14:paraId="7CCC581E" w14:textId="77777777" w:rsidR="00C71CAA" w:rsidRPr="001570EA" w:rsidRDefault="00C71CAA">
            <w:pPr>
              <w:pStyle w:val="TableText0"/>
            </w:pPr>
            <w:r w:rsidRPr="001570EA">
              <w:t>Integrated HPWH, 120 Volt 15 Amp Circuit</w:t>
            </w:r>
          </w:p>
        </w:tc>
        <w:tc>
          <w:tcPr>
            <w:tcW w:w="1440" w:type="dxa"/>
            <w:vAlign w:val="center"/>
          </w:tcPr>
          <w:p w14:paraId="465D7FCB" w14:textId="77777777" w:rsidR="00C71CAA" w:rsidRPr="001570EA" w:rsidRDefault="00C71CAA">
            <w:pPr>
              <w:pStyle w:val="TableText0"/>
            </w:pPr>
            <w:r w:rsidRPr="001570EA">
              <w:t>1,472</w:t>
            </w:r>
          </w:p>
        </w:tc>
        <w:tc>
          <w:tcPr>
            <w:tcW w:w="1440" w:type="dxa"/>
            <w:vAlign w:val="center"/>
          </w:tcPr>
          <w:p w14:paraId="0BFC6332" w14:textId="77777777" w:rsidR="00C71CAA" w:rsidRPr="001570EA" w:rsidRDefault="00C71CAA">
            <w:pPr>
              <w:pStyle w:val="TableText0"/>
            </w:pPr>
            <w:r w:rsidRPr="001570EA">
              <w:t>0.1556275</w:t>
            </w:r>
          </w:p>
        </w:tc>
        <w:tc>
          <w:tcPr>
            <w:tcW w:w="1440" w:type="dxa"/>
            <w:vAlign w:val="center"/>
          </w:tcPr>
          <w:p w14:paraId="6C761D79" w14:textId="77777777" w:rsidR="00C71CAA" w:rsidRPr="001570EA" w:rsidRDefault="00C71CAA">
            <w:pPr>
              <w:pStyle w:val="TableText0"/>
            </w:pPr>
            <w:r w:rsidRPr="001570EA">
              <w:t>0.2592811</w:t>
            </w:r>
          </w:p>
        </w:tc>
      </w:tr>
      <w:tr w:rsidR="00C71CAA" w:rsidRPr="001570EA" w14:paraId="6472BC39" w14:textId="77777777">
        <w:trPr>
          <w:trHeight w:val="331"/>
        </w:trPr>
        <w:tc>
          <w:tcPr>
            <w:tcW w:w="1435" w:type="dxa"/>
            <w:vMerge/>
            <w:vAlign w:val="center"/>
          </w:tcPr>
          <w:p w14:paraId="11FBE802" w14:textId="77777777" w:rsidR="00C71CAA" w:rsidRPr="001570EA" w:rsidRDefault="00C71CAA">
            <w:pPr>
              <w:pStyle w:val="TableText0"/>
            </w:pPr>
          </w:p>
        </w:tc>
        <w:tc>
          <w:tcPr>
            <w:tcW w:w="2970" w:type="dxa"/>
            <w:vAlign w:val="center"/>
          </w:tcPr>
          <w:p w14:paraId="08005877" w14:textId="77777777" w:rsidR="00C71CAA" w:rsidRPr="001570EA" w:rsidRDefault="00C71CAA">
            <w:pPr>
              <w:pStyle w:val="TableText0"/>
            </w:pPr>
            <w:r w:rsidRPr="001570EA">
              <w:t>Split-system HPWH</w:t>
            </w:r>
          </w:p>
        </w:tc>
        <w:tc>
          <w:tcPr>
            <w:tcW w:w="1440" w:type="dxa"/>
            <w:vAlign w:val="center"/>
          </w:tcPr>
          <w:p w14:paraId="104E8881" w14:textId="77777777" w:rsidR="00C71CAA" w:rsidRPr="001570EA" w:rsidRDefault="00C71CAA">
            <w:pPr>
              <w:pStyle w:val="TableText0"/>
            </w:pPr>
            <w:r w:rsidRPr="001570EA">
              <w:t>1,472</w:t>
            </w:r>
          </w:p>
        </w:tc>
        <w:tc>
          <w:tcPr>
            <w:tcW w:w="1440" w:type="dxa"/>
            <w:vAlign w:val="center"/>
          </w:tcPr>
          <w:p w14:paraId="2FD763FA" w14:textId="77777777" w:rsidR="00C71CAA" w:rsidRPr="001570EA" w:rsidRDefault="00C71CAA">
            <w:pPr>
              <w:pStyle w:val="TableText0"/>
            </w:pPr>
            <w:r w:rsidRPr="001570EA">
              <w:t>0.1556275</w:t>
            </w:r>
          </w:p>
        </w:tc>
        <w:tc>
          <w:tcPr>
            <w:tcW w:w="1440" w:type="dxa"/>
            <w:vAlign w:val="center"/>
          </w:tcPr>
          <w:p w14:paraId="7523409D" w14:textId="77777777" w:rsidR="00C71CAA" w:rsidRPr="001570EA" w:rsidRDefault="00C71CAA">
            <w:pPr>
              <w:pStyle w:val="TableText0"/>
            </w:pPr>
            <w:r w:rsidRPr="001570EA">
              <w:t>0.2592811</w:t>
            </w:r>
          </w:p>
        </w:tc>
      </w:tr>
      <w:tr w:rsidR="00C71CAA" w:rsidRPr="001570EA" w14:paraId="1CF72064" w14:textId="77777777">
        <w:trPr>
          <w:cnfStyle w:val="000000010000" w:firstRow="0" w:lastRow="0" w:firstColumn="0" w:lastColumn="0" w:oddVBand="0" w:evenVBand="0" w:oddHBand="0" w:evenHBand="1" w:firstRowFirstColumn="0" w:firstRowLastColumn="0" w:lastRowFirstColumn="0" w:lastRowLastColumn="0"/>
          <w:trHeight w:val="331"/>
        </w:trPr>
        <w:tc>
          <w:tcPr>
            <w:tcW w:w="1435" w:type="dxa"/>
            <w:vMerge w:val="restart"/>
            <w:vAlign w:val="center"/>
          </w:tcPr>
          <w:p w14:paraId="20ABB3D8" w14:textId="77777777" w:rsidR="00C71CAA" w:rsidRPr="001570EA" w:rsidRDefault="00C71CAA">
            <w:pPr>
              <w:pStyle w:val="TableText0"/>
            </w:pPr>
            <w:r w:rsidRPr="001570EA">
              <w:t>Unconditioned Basement</w:t>
            </w:r>
          </w:p>
        </w:tc>
        <w:tc>
          <w:tcPr>
            <w:tcW w:w="2970" w:type="dxa"/>
            <w:vAlign w:val="center"/>
          </w:tcPr>
          <w:p w14:paraId="761F36D7" w14:textId="77777777" w:rsidR="00C71CAA" w:rsidRPr="001570EA" w:rsidRDefault="00C71CAA">
            <w:pPr>
              <w:pStyle w:val="TableText0"/>
            </w:pPr>
            <w:r w:rsidRPr="001570EA">
              <w:t>Integrated HPWH</w:t>
            </w:r>
          </w:p>
        </w:tc>
        <w:tc>
          <w:tcPr>
            <w:tcW w:w="1440" w:type="dxa"/>
            <w:vAlign w:val="center"/>
          </w:tcPr>
          <w:p w14:paraId="2687B9FD" w14:textId="77777777" w:rsidR="00C71CAA" w:rsidRPr="001570EA" w:rsidRDefault="00C71CAA">
            <w:pPr>
              <w:pStyle w:val="TableText0"/>
            </w:pPr>
            <w:r w:rsidRPr="001570EA">
              <w:t>1,776</w:t>
            </w:r>
          </w:p>
        </w:tc>
        <w:tc>
          <w:tcPr>
            <w:tcW w:w="1440" w:type="dxa"/>
            <w:vAlign w:val="center"/>
          </w:tcPr>
          <w:p w14:paraId="3FF6D755" w14:textId="77777777" w:rsidR="00C71CAA" w:rsidRPr="001570EA" w:rsidRDefault="00C71CAA">
            <w:pPr>
              <w:pStyle w:val="TableText0"/>
            </w:pPr>
            <w:r w:rsidRPr="001570EA">
              <w:t>0.1877238</w:t>
            </w:r>
          </w:p>
        </w:tc>
        <w:tc>
          <w:tcPr>
            <w:tcW w:w="1440" w:type="dxa"/>
            <w:vAlign w:val="center"/>
          </w:tcPr>
          <w:p w14:paraId="7BAFA919" w14:textId="77777777" w:rsidR="00C71CAA" w:rsidRPr="001570EA" w:rsidRDefault="00C71CAA">
            <w:pPr>
              <w:pStyle w:val="TableText0"/>
            </w:pPr>
            <w:r w:rsidRPr="001570EA">
              <w:t>0.3127546</w:t>
            </w:r>
          </w:p>
        </w:tc>
      </w:tr>
      <w:tr w:rsidR="00C71CAA" w:rsidRPr="001570EA" w14:paraId="1B8D1E40" w14:textId="77777777">
        <w:trPr>
          <w:trHeight w:val="331"/>
        </w:trPr>
        <w:tc>
          <w:tcPr>
            <w:tcW w:w="1435" w:type="dxa"/>
            <w:vMerge/>
            <w:vAlign w:val="center"/>
          </w:tcPr>
          <w:p w14:paraId="4FA25CFE" w14:textId="77777777" w:rsidR="00C71CAA" w:rsidRPr="001570EA" w:rsidRDefault="00C71CAA">
            <w:pPr>
              <w:pStyle w:val="TableText0"/>
            </w:pPr>
          </w:p>
        </w:tc>
        <w:tc>
          <w:tcPr>
            <w:tcW w:w="2970" w:type="dxa"/>
            <w:vAlign w:val="center"/>
          </w:tcPr>
          <w:p w14:paraId="22D64CC0" w14:textId="77777777" w:rsidR="00C71CAA" w:rsidRPr="001570EA" w:rsidRDefault="00C71CAA">
            <w:pPr>
              <w:pStyle w:val="TableText0"/>
            </w:pPr>
            <w:r w:rsidRPr="001570EA">
              <w:t>Integrated HPWH, 120 Volt 15 Amp Circuit</w:t>
            </w:r>
          </w:p>
        </w:tc>
        <w:tc>
          <w:tcPr>
            <w:tcW w:w="1440" w:type="dxa"/>
            <w:vAlign w:val="center"/>
          </w:tcPr>
          <w:p w14:paraId="124B1860" w14:textId="77777777" w:rsidR="00C71CAA" w:rsidRPr="001570EA" w:rsidRDefault="00C71CAA">
            <w:pPr>
              <w:pStyle w:val="TableText0"/>
            </w:pPr>
            <w:r w:rsidRPr="001570EA">
              <w:t>1,215</w:t>
            </w:r>
          </w:p>
        </w:tc>
        <w:tc>
          <w:tcPr>
            <w:tcW w:w="1440" w:type="dxa"/>
            <w:vAlign w:val="center"/>
          </w:tcPr>
          <w:p w14:paraId="65F2DE4F" w14:textId="77777777" w:rsidR="00C71CAA" w:rsidRPr="001570EA" w:rsidRDefault="00C71CAA">
            <w:pPr>
              <w:pStyle w:val="TableText0"/>
            </w:pPr>
            <w:r w:rsidRPr="001570EA">
              <w:t>0.1284155</w:t>
            </w:r>
          </w:p>
        </w:tc>
        <w:tc>
          <w:tcPr>
            <w:tcW w:w="1440" w:type="dxa"/>
            <w:vAlign w:val="center"/>
          </w:tcPr>
          <w:p w14:paraId="314768D2" w14:textId="77777777" w:rsidR="00C71CAA" w:rsidRPr="001570EA" w:rsidRDefault="00C71CAA">
            <w:pPr>
              <w:pStyle w:val="TableText0"/>
            </w:pPr>
            <w:r w:rsidRPr="001570EA">
              <w:t>0.2139448</w:t>
            </w:r>
          </w:p>
        </w:tc>
      </w:tr>
      <w:tr w:rsidR="00C71CAA" w:rsidRPr="001570EA" w14:paraId="40B617DB" w14:textId="77777777">
        <w:trPr>
          <w:cnfStyle w:val="000000010000" w:firstRow="0" w:lastRow="0" w:firstColumn="0" w:lastColumn="0" w:oddVBand="0" w:evenVBand="0" w:oddHBand="0" w:evenHBand="1" w:firstRowFirstColumn="0" w:firstRowLastColumn="0" w:lastRowFirstColumn="0" w:lastRowLastColumn="0"/>
          <w:trHeight w:val="331"/>
        </w:trPr>
        <w:tc>
          <w:tcPr>
            <w:tcW w:w="1435" w:type="dxa"/>
            <w:vMerge/>
            <w:vAlign w:val="center"/>
          </w:tcPr>
          <w:p w14:paraId="0FCE4E8D" w14:textId="77777777" w:rsidR="00C71CAA" w:rsidRPr="001570EA" w:rsidRDefault="00C71CAA">
            <w:pPr>
              <w:pStyle w:val="TableText0"/>
            </w:pPr>
          </w:p>
        </w:tc>
        <w:tc>
          <w:tcPr>
            <w:tcW w:w="2970" w:type="dxa"/>
            <w:vAlign w:val="center"/>
          </w:tcPr>
          <w:p w14:paraId="78A82DC4" w14:textId="77777777" w:rsidR="00C71CAA" w:rsidRPr="001570EA" w:rsidRDefault="00C71CAA">
            <w:pPr>
              <w:pStyle w:val="TableText0"/>
            </w:pPr>
            <w:r w:rsidRPr="001570EA">
              <w:t>Split-system HPWH</w:t>
            </w:r>
          </w:p>
        </w:tc>
        <w:tc>
          <w:tcPr>
            <w:tcW w:w="1440" w:type="dxa"/>
            <w:vAlign w:val="center"/>
          </w:tcPr>
          <w:p w14:paraId="66F0C165" w14:textId="77777777" w:rsidR="00C71CAA" w:rsidRPr="001570EA" w:rsidRDefault="00C71CAA">
            <w:pPr>
              <w:pStyle w:val="TableText0"/>
            </w:pPr>
            <w:r w:rsidRPr="001570EA">
              <w:t>1,215</w:t>
            </w:r>
          </w:p>
        </w:tc>
        <w:tc>
          <w:tcPr>
            <w:tcW w:w="1440" w:type="dxa"/>
            <w:vAlign w:val="center"/>
          </w:tcPr>
          <w:p w14:paraId="3D383002" w14:textId="77777777" w:rsidR="00C71CAA" w:rsidRPr="001570EA" w:rsidRDefault="00C71CAA">
            <w:pPr>
              <w:pStyle w:val="TableText0"/>
            </w:pPr>
            <w:r w:rsidRPr="001570EA">
              <w:t>0.1284155</w:t>
            </w:r>
          </w:p>
        </w:tc>
        <w:tc>
          <w:tcPr>
            <w:tcW w:w="1440" w:type="dxa"/>
            <w:vAlign w:val="center"/>
          </w:tcPr>
          <w:p w14:paraId="2F96A148" w14:textId="77777777" w:rsidR="00C71CAA" w:rsidRPr="001570EA" w:rsidRDefault="00C71CAA">
            <w:pPr>
              <w:pStyle w:val="TableText0"/>
            </w:pPr>
            <w:r w:rsidRPr="001570EA">
              <w:t>0.2139448</w:t>
            </w:r>
          </w:p>
        </w:tc>
      </w:tr>
      <w:tr w:rsidR="00C71CAA" w:rsidRPr="001570EA" w14:paraId="2905BE2D" w14:textId="77777777">
        <w:trPr>
          <w:trHeight w:val="331"/>
        </w:trPr>
        <w:tc>
          <w:tcPr>
            <w:tcW w:w="1435" w:type="dxa"/>
            <w:vMerge w:val="restart"/>
            <w:vAlign w:val="center"/>
          </w:tcPr>
          <w:p w14:paraId="24BDF817" w14:textId="77777777" w:rsidR="00C71CAA" w:rsidRPr="001570EA" w:rsidRDefault="00C71CAA">
            <w:pPr>
              <w:pStyle w:val="TableText0"/>
            </w:pPr>
            <w:r w:rsidRPr="001570EA">
              <w:t xml:space="preserve">Unknown </w:t>
            </w:r>
          </w:p>
        </w:tc>
        <w:tc>
          <w:tcPr>
            <w:tcW w:w="2970" w:type="dxa"/>
            <w:vAlign w:val="center"/>
          </w:tcPr>
          <w:p w14:paraId="26E3416E" w14:textId="77777777" w:rsidR="00C71CAA" w:rsidRPr="001570EA" w:rsidRDefault="00C71CAA">
            <w:pPr>
              <w:pStyle w:val="TableText0"/>
            </w:pPr>
            <w:r w:rsidRPr="001570EA">
              <w:t>Integrated HPWH</w:t>
            </w:r>
          </w:p>
        </w:tc>
        <w:tc>
          <w:tcPr>
            <w:tcW w:w="1440" w:type="dxa"/>
            <w:vAlign w:val="center"/>
          </w:tcPr>
          <w:p w14:paraId="7751DFD7" w14:textId="77777777" w:rsidR="00C71CAA" w:rsidRPr="001570EA" w:rsidRDefault="00C71CAA">
            <w:pPr>
              <w:pStyle w:val="TableText0"/>
            </w:pPr>
            <w:r w:rsidRPr="001570EA">
              <w:t>1,969</w:t>
            </w:r>
          </w:p>
        </w:tc>
        <w:tc>
          <w:tcPr>
            <w:tcW w:w="1440" w:type="dxa"/>
            <w:vAlign w:val="center"/>
          </w:tcPr>
          <w:p w14:paraId="1B0534DE" w14:textId="77777777" w:rsidR="00C71CAA" w:rsidRPr="001570EA" w:rsidRDefault="00C71CAA">
            <w:pPr>
              <w:pStyle w:val="TableText0"/>
            </w:pPr>
            <w:r w:rsidRPr="001570EA">
              <w:t>0.2081750</w:t>
            </w:r>
          </w:p>
        </w:tc>
        <w:tc>
          <w:tcPr>
            <w:tcW w:w="1440" w:type="dxa"/>
            <w:vAlign w:val="center"/>
          </w:tcPr>
          <w:p w14:paraId="31C9E292" w14:textId="77777777" w:rsidR="00C71CAA" w:rsidRPr="001570EA" w:rsidRDefault="00C71CAA">
            <w:pPr>
              <w:pStyle w:val="TableText0"/>
            </w:pPr>
            <w:r w:rsidRPr="001570EA">
              <w:t>0.3468270</w:t>
            </w:r>
          </w:p>
        </w:tc>
      </w:tr>
      <w:tr w:rsidR="00C71CAA" w:rsidRPr="001570EA" w14:paraId="21B1336B" w14:textId="77777777">
        <w:trPr>
          <w:cnfStyle w:val="000000010000" w:firstRow="0" w:lastRow="0" w:firstColumn="0" w:lastColumn="0" w:oddVBand="0" w:evenVBand="0" w:oddHBand="0" w:evenHBand="1" w:firstRowFirstColumn="0" w:firstRowLastColumn="0" w:lastRowFirstColumn="0" w:lastRowLastColumn="0"/>
          <w:trHeight w:val="331"/>
        </w:trPr>
        <w:tc>
          <w:tcPr>
            <w:tcW w:w="1435" w:type="dxa"/>
            <w:vMerge/>
            <w:vAlign w:val="center"/>
          </w:tcPr>
          <w:p w14:paraId="5C5D9498" w14:textId="77777777" w:rsidR="00C71CAA" w:rsidRPr="001570EA" w:rsidRDefault="00C71CAA">
            <w:pPr>
              <w:pStyle w:val="TableText0"/>
            </w:pPr>
          </w:p>
        </w:tc>
        <w:tc>
          <w:tcPr>
            <w:tcW w:w="2970" w:type="dxa"/>
            <w:vAlign w:val="center"/>
          </w:tcPr>
          <w:p w14:paraId="0D1A79AB" w14:textId="77777777" w:rsidR="00C71CAA" w:rsidRPr="001570EA" w:rsidRDefault="00C71CAA">
            <w:pPr>
              <w:pStyle w:val="TableText0"/>
            </w:pPr>
            <w:r w:rsidRPr="001570EA">
              <w:t>Integrated HPWH, 120 Volt 15 Amp Circuit</w:t>
            </w:r>
          </w:p>
        </w:tc>
        <w:tc>
          <w:tcPr>
            <w:tcW w:w="1440" w:type="dxa"/>
            <w:vAlign w:val="center"/>
          </w:tcPr>
          <w:p w14:paraId="4BBA3E8E" w14:textId="77777777" w:rsidR="00C71CAA" w:rsidRPr="001570EA" w:rsidRDefault="00C71CAA">
            <w:pPr>
              <w:pStyle w:val="TableText0"/>
            </w:pPr>
            <w:r w:rsidRPr="001570EA">
              <w:t>1,505</w:t>
            </w:r>
          </w:p>
        </w:tc>
        <w:tc>
          <w:tcPr>
            <w:tcW w:w="1440" w:type="dxa"/>
            <w:vAlign w:val="center"/>
          </w:tcPr>
          <w:p w14:paraId="42FEB895" w14:textId="77777777" w:rsidR="00C71CAA" w:rsidRPr="001570EA" w:rsidRDefault="00C71CAA">
            <w:pPr>
              <w:pStyle w:val="TableText0"/>
            </w:pPr>
            <w:r w:rsidRPr="001570EA">
              <w:t>0.1590922</w:t>
            </w:r>
          </w:p>
        </w:tc>
        <w:tc>
          <w:tcPr>
            <w:tcW w:w="1440" w:type="dxa"/>
            <w:vAlign w:val="center"/>
          </w:tcPr>
          <w:p w14:paraId="40FC14A7" w14:textId="77777777" w:rsidR="00C71CAA" w:rsidRPr="001570EA" w:rsidRDefault="00C71CAA">
            <w:pPr>
              <w:pStyle w:val="TableText0"/>
            </w:pPr>
            <w:r w:rsidRPr="001570EA">
              <w:t>0.2650533</w:t>
            </w:r>
          </w:p>
        </w:tc>
      </w:tr>
      <w:tr w:rsidR="00C71CAA" w:rsidRPr="001570EA" w14:paraId="207497AE" w14:textId="77777777">
        <w:trPr>
          <w:trHeight w:val="331"/>
        </w:trPr>
        <w:tc>
          <w:tcPr>
            <w:tcW w:w="1435" w:type="dxa"/>
            <w:vMerge/>
            <w:vAlign w:val="center"/>
          </w:tcPr>
          <w:p w14:paraId="260E672A" w14:textId="77777777" w:rsidR="00C71CAA" w:rsidRPr="001570EA" w:rsidRDefault="00C71CAA">
            <w:pPr>
              <w:pStyle w:val="TableText0"/>
            </w:pPr>
          </w:p>
        </w:tc>
        <w:tc>
          <w:tcPr>
            <w:tcW w:w="2970" w:type="dxa"/>
            <w:vAlign w:val="center"/>
          </w:tcPr>
          <w:p w14:paraId="11988130" w14:textId="77777777" w:rsidR="00C71CAA" w:rsidRPr="001570EA" w:rsidRDefault="00C71CAA">
            <w:pPr>
              <w:pStyle w:val="TableText0"/>
            </w:pPr>
            <w:r w:rsidRPr="001570EA">
              <w:t>Split-system HPWH</w:t>
            </w:r>
          </w:p>
        </w:tc>
        <w:tc>
          <w:tcPr>
            <w:tcW w:w="1440" w:type="dxa"/>
            <w:vAlign w:val="center"/>
          </w:tcPr>
          <w:p w14:paraId="22A0DA7E" w14:textId="77777777" w:rsidR="00C71CAA" w:rsidRPr="001570EA" w:rsidRDefault="00C71CAA">
            <w:pPr>
              <w:pStyle w:val="TableText0"/>
            </w:pPr>
            <w:r w:rsidRPr="001570EA">
              <w:t>1,505</w:t>
            </w:r>
          </w:p>
        </w:tc>
        <w:tc>
          <w:tcPr>
            <w:tcW w:w="1440" w:type="dxa"/>
            <w:vAlign w:val="center"/>
          </w:tcPr>
          <w:p w14:paraId="0FEAD544" w14:textId="77777777" w:rsidR="00C71CAA" w:rsidRPr="001570EA" w:rsidRDefault="00C71CAA">
            <w:pPr>
              <w:pStyle w:val="TableText0"/>
            </w:pPr>
            <w:r w:rsidRPr="001570EA">
              <w:t>0.1590922</w:t>
            </w:r>
          </w:p>
        </w:tc>
        <w:tc>
          <w:tcPr>
            <w:tcW w:w="1440" w:type="dxa"/>
            <w:vAlign w:val="center"/>
          </w:tcPr>
          <w:p w14:paraId="3F043BBD" w14:textId="77777777" w:rsidR="00C71CAA" w:rsidRPr="001570EA" w:rsidRDefault="00C71CAA">
            <w:pPr>
              <w:pStyle w:val="TableText0"/>
            </w:pPr>
            <w:r w:rsidRPr="001570EA">
              <w:t>0.2650533</w:t>
            </w:r>
          </w:p>
        </w:tc>
      </w:tr>
    </w:tbl>
    <w:p w14:paraId="33EBB5C5" w14:textId="77777777" w:rsidR="00C71CAA" w:rsidRPr="001570EA" w:rsidRDefault="00C71CAA" w:rsidP="00C71CAA">
      <w:pPr>
        <w:pStyle w:val="SubStyle"/>
      </w:pPr>
    </w:p>
    <w:p w14:paraId="74A90BF2" w14:textId="77777777" w:rsidR="00C71CAA" w:rsidRPr="001570EA" w:rsidRDefault="00C71CAA" w:rsidP="00C71CAA">
      <w:pPr>
        <w:pStyle w:val="SubStyle"/>
      </w:pPr>
      <w:r w:rsidRPr="001570EA">
        <w:t>Evaluation Protocols</w:t>
      </w:r>
    </w:p>
    <w:p w14:paraId="143C4AC3" w14:textId="77777777" w:rsidR="00C71CAA" w:rsidRPr="001570EA" w:rsidRDefault="00C71CAA" w:rsidP="00C71CAA">
      <w:pPr>
        <w:pStyle w:val="BodyText"/>
        <w:ind w:right="0"/>
      </w:pPr>
      <w:r w:rsidRPr="001570EA">
        <w:t>The most appropriate evaluation protocol for this measure is verification of installation coupled with calculation of energy and demand savings using above algorithms.</w:t>
      </w:r>
    </w:p>
    <w:p w14:paraId="680CDA74" w14:textId="77777777" w:rsidR="00C71CAA" w:rsidRPr="001570EA" w:rsidRDefault="00C71CAA" w:rsidP="00C71CAA">
      <w:pPr>
        <w:pStyle w:val="SubStyle"/>
      </w:pPr>
    </w:p>
    <w:p w14:paraId="50257625" w14:textId="77777777" w:rsidR="00C71CAA" w:rsidRPr="001570EA" w:rsidRDefault="00C71CAA" w:rsidP="00C71CAA">
      <w:pPr>
        <w:pStyle w:val="SubStyle"/>
      </w:pPr>
      <w:r w:rsidRPr="001570EA">
        <w:t>Sources</w:t>
      </w:r>
    </w:p>
    <w:p w14:paraId="483259C2" w14:textId="282A7F89" w:rsidR="00C71CAA" w:rsidRPr="001570EA" w:rsidRDefault="00C71CAA" w:rsidP="002614D2">
      <w:pPr>
        <w:pStyle w:val="source10"/>
        <w:numPr>
          <w:ilvl w:val="0"/>
          <w:numId w:val="17"/>
        </w:numPr>
        <w:spacing w:after="120"/>
        <w:ind w:left="360"/>
        <w:jc w:val="left"/>
      </w:pPr>
      <w:r w:rsidRPr="001570EA">
        <w:t xml:space="preserve">California Electronic Technical Reference Manual. “Heat Pump Water Heater, Residential”. Accessed January 2024. </w:t>
      </w:r>
      <w:hyperlink r:id="rId131" w:history="1">
        <w:r w:rsidRPr="001570EA">
          <w:rPr>
            <w:rStyle w:val="Hyperlink"/>
            <w:rFonts w:cs="Arial"/>
          </w:rPr>
          <w:t>Weblink</w:t>
        </w:r>
      </w:hyperlink>
    </w:p>
    <w:p w14:paraId="4EAA4C08" w14:textId="121F0520" w:rsidR="00C71CAA" w:rsidRPr="001570EA" w:rsidRDefault="00C71CAA" w:rsidP="002614D2">
      <w:pPr>
        <w:pStyle w:val="source10"/>
        <w:numPr>
          <w:ilvl w:val="0"/>
          <w:numId w:val="17"/>
        </w:numPr>
        <w:spacing w:after="120"/>
        <w:ind w:left="360"/>
        <w:jc w:val="left"/>
      </w:pPr>
      <w:r w:rsidRPr="001570EA">
        <w:t xml:space="preserve">ENERGY STAR (2023). Program Requirements for Residential Water Heaters Version 5.0. U.S. EPA. </w:t>
      </w:r>
      <w:hyperlink r:id="rId132" w:history="1">
        <w:r w:rsidRPr="001570EA">
          <w:rPr>
            <w:rStyle w:val="Hyperlink"/>
            <w:rFonts w:cs="Arial"/>
          </w:rPr>
          <w:t>Weblink</w:t>
        </w:r>
      </w:hyperlink>
    </w:p>
    <w:p w14:paraId="76339F9A" w14:textId="708A32B7" w:rsidR="00C71CAA" w:rsidRPr="001570EA" w:rsidRDefault="00C71CAA" w:rsidP="002614D2">
      <w:pPr>
        <w:pStyle w:val="source10"/>
        <w:numPr>
          <w:ilvl w:val="0"/>
          <w:numId w:val="17"/>
        </w:numPr>
        <w:spacing w:after="120"/>
        <w:ind w:left="360"/>
        <w:jc w:val="left"/>
      </w:pPr>
      <w:r w:rsidRPr="001570EA">
        <w:t xml:space="preserve">10 CFR 430.32(d). </w:t>
      </w:r>
      <w:hyperlink r:id="rId133" w:anchor="p-430.32(d)" w:history="1">
        <w:r w:rsidRPr="001570EA">
          <w:rPr>
            <w:rStyle w:val="Hyperlink"/>
            <w:rFonts w:cs="Arial"/>
          </w:rPr>
          <w:t>Weblink</w:t>
        </w:r>
      </w:hyperlink>
      <w:r w:rsidRPr="001570EA">
        <w:t xml:space="preserve"> </w:t>
      </w:r>
    </w:p>
    <w:p w14:paraId="357EC8D6" w14:textId="74285260" w:rsidR="00C71CAA" w:rsidRPr="001570EA" w:rsidRDefault="00C71CAA" w:rsidP="002614D2">
      <w:pPr>
        <w:pStyle w:val="source10"/>
        <w:numPr>
          <w:ilvl w:val="0"/>
          <w:numId w:val="17"/>
        </w:numPr>
        <w:spacing w:after="120"/>
        <w:ind w:left="360"/>
        <w:jc w:val="left"/>
      </w:pPr>
      <w:r w:rsidRPr="001570EA">
        <w:t>NEEA. (2019, April) “Residential Building Stock Assessment II: Single-Family Homes Report.” P</w:t>
      </w:r>
      <w:r w:rsidR="00542747">
        <w:t>a</w:t>
      </w:r>
      <w:r w:rsidRPr="001570EA">
        <w:t>g</w:t>
      </w:r>
      <w:r w:rsidR="00542747">
        <w:t>e</w:t>
      </w:r>
      <w:r w:rsidRPr="001570EA">
        <w:t xml:space="preserve"> 73, </w:t>
      </w:r>
      <w:r w:rsidR="00542747" w:rsidRPr="001570EA">
        <w:t>Table</w:t>
      </w:r>
      <w:r w:rsidRPr="001570EA">
        <w:t xml:space="preserve"> 113. </w:t>
      </w:r>
      <w:hyperlink r:id="rId134" w:history="1">
        <w:r w:rsidRPr="001570EA">
          <w:rPr>
            <w:rStyle w:val="Hyperlink"/>
            <w:rFonts w:cs="Arial"/>
          </w:rPr>
          <w:t>Weblink</w:t>
        </w:r>
      </w:hyperlink>
      <w:r w:rsidRPr="001570EA">
        <w:rPr>
          <w:szCs w:val="18"/>
        </w:rPr>
        <w:t xml:space="preserve">  </w:t>
      </w:r>
    </w:p>
    <w:p w14:paraId="5BEB972D" w14:textId="5FAF9D7F" w:rsidR="00C71CAA" w:rsidRPr="001570EA" w:rsidRDefault="00C71CAA" w:rsidP="002614D2">
      <w:pPr>
        <w:pStyle w:val="source10"/>
        <w:numPr>
          <w:ilvl w:val="0"/>
          <w:numId w:val="17"/>
        </w:numPr>
        <w:spacing w:after="120"/>
        <w:ind w:left="360"/>
        <w:jc w:val="left"/>
      </w:pPr>
      <w:r w:rsidRPr="001570EA">
        <w:t>Water Research Foundation. (2016). Residential End Uses of Water, Version 2. P</w:t>
      </w:r>
      <w:r w:rsidR="00542747">
        <w:t>a</w:t>
      </w:r>
      <w:r w:rsidRPr="001570EA">
        <w:t>g</w:t>
      </w:r>
      <w:r w:rsidR="00542747">
        <w:t>e</w:t>
      </w:r>
      <w:r w:rsidRPr="001570EA">
        <w:t xml:space="preserve"> 5. </w:t>
      </w:r>
      <w:hyperlink r:id="rId135" w:history="1">
        <w:r w:rsidRPr="001570EA">
          <w:rPr>
            <w:rStyle w:val="Hyperlink"/>
            <w:rFonts w:cs="Arial"/>
          </w:rPr>
          <w:t>Weblink</w:t>
        </w:r>
      </w:hyperlink>
    </w:p>
    <w:p w14:paraId="78138697" w14:textId="2ADC22CD" w:rsidR="00C71CAA" w:rsidRPr="001570EA" w:rsidRDefault="00C71CAA" w:rsidP="002614D2">
      <w:pPr>
        <w:pStyle w:val="source10"/>
        <w:numPr>
          <w:ilvl w:val="0"/>
          <w:numId w:val="17"/>
        </w:numPr>
        <w:overflowPunct/>
        <w:autoSpaceDE/>
        <w:autoSpaceDN/>
        <w:spacing w:after="120"/>
        <w:ind w:left="360"/>
        <w:jc w:val="left"/>
        <w:textAlignment w:val="auto"/>
      </w:pPr>
      <w:r w:rsidRPr="001570EA">
        <w:t>NMR Group for the Pennsylvania Public Utility Commission. (2024, March). 2023 Pennsylvania Statewide Act 129 Residential Baseline Study. P</w:t>
      </w:r>
      <w:r w:rsidR="00542747">
        <w:t>a</w:t>
      </w:r>
      <w:r w:rsidRPr="001570EA">
        <w:t>g</w:t>
      </w:r>
      <w:r w:rsidR="00542747">
        <w:t>e</w:t>
      </w:r>
      <w:r w:rsidRPr="001570EA">
        <w:t xml:space="preserve"> 115, </w:t>
      </w:r>
      <w:r w:rsidR="00542747" w:rsidRPr="001570EA">
        <w:t>Table</w:t>
      </w:r>
      <w:r w:rsidRPr="001570EA">
        <w:t xml:space="preserve"> 97, p</w:t>
      </w:r>
      <w:r w:rsidR="00542747">
        <w:t>a</w:t>
      </w:r>
      <w:r w:rsidRPr="001570EA">
        <w:t>g</w:t>
      </w:r>
      <w:r w:rsidR="00542747">
        <w:t>e</w:t>
      </w:r>
      <w:r w:rsidRPr="001570EA">
        <w:t xml:space="preserve"> 120, </w:t>
      </w:r>
      <w:r w:rsidR="00542747" w:rsidRPr="001570EA">
        <w:t>Table</w:t>
      </w:r>
      <w:r w:rsidRPr="001570EA">
        <w:t xml:space="preserve"> 103. </w:t>
      </w:r>
      <w:hyperlink r:id="rId136" w:history="1">
        <w:r w:rsidRPr="001570EA">
          <w:rPr>
            <w:rStyle w:val="Hyperlink"/>
            <w:rFonts w:cs="Arial"/>
          </w:rPr>
          <w:t>Weblink</w:t>
        </w:r>
      </w:hyperlink>
      <w:r w:rsidRPr="001570EA">
        <w:t xml:space="preserve">. Air source heat pump and ductless mini-split efficiencies calculated using </w:t>
      </w:r>
      <w:r w:rsidR="007F27FE">
        <w:t xml:space="preserve">Act 129 </w:t>
      </w:r>
      <w:r w:rsidRPr="001570EA">
        <w:t xml:space="preserve">2023 Pennsylvania Residential Baseline Study data. </w:t>
      </w:r>
      <w:r w:rsidRPr="001570EA">
        <w:rPr>
          <w:color w:val="000000" w:themeColor="text1"/>
        </w:rPr>
        <w:t>Federal minimum efficiencies for GSHP due to small sample size for GSHP in baseline study</w:t>
      </w:r>
      <w:r w:rsidRPr="001570EA">
        <w:t>.</w:t>
      </w:r>
    </w:p>
    <w:p w14:paraId="201F489E" w14:textId="0CA44A34" w:rsidR="00C71CAA" w:rsidRPr="001570EA" w:rsidRDefault="00C71CAA" w:rsidP="002614D2">
      <w:pPr>
        <w:pStyle w:val="source10"/>
        <w:numPr>
          <w:ilvl w:val="0"/>
          <w:numId w:val="17"/>
        </w:numPr>
        <w:overflowPunct/>
        <w:autoSpaceDE/>
        <w:autoSpaceDN/>
        <w:spacing w:after="120"/>
        <w:ind w:left="360"/>
        <w:jc w:val="left"/>
        <w:textAlignment w:val="auto"/>
      </w:pPr>
      <w:r w:rsidRPr="001570EA">
        <w:t>Pennsylvania Act 129 2014 Residential Baseline Study. Section 4.6.1, p</w:t>
      </w:r>
      <w:r w:rsidR="000D1C6D">
        <w:t>a</w:t>
      </w:r>
      <w:r w:rsidRPr="001570EA">
        <w:t>g</w:t>
      </w:r>
      <w:r w:rsidR="000D1C6D">
        <w:t>e</w:t>
      </w:r>
      <w:r w:rsidRPr="001570EA">
        <w:t xml:space="preserve"> 60, Table 4-64. </w:t>
      </w:r>
      <w:hyperlink r:id="rId137" w:history="1">
        <w:r w:rsidRPr="001570EA">
          <w:rPr>
            <w:rStyle w:val="Hyperlink"/>
          </w:rPr>
          <w:t>Weblink</w:t>
        </w:r>
      </w:hyperlink>
    </w:p>
    <w:p w14:paraId="6B318F51" w14:textId="1DE25385" w:rsidR="00C71CAA" w:rsidRPr="001570EA" w:rsidRDefault="00C71CAA" w:rsidP="002614D2">
      <w:pPr>
        <w:pStyle w:val="ListParagraph"/>
        <w:numPr>
          <w:ilvl w:val="0"/>
          <w:numId w:val="17"/>
        </w:numPr>
        <w:ind w:left="360"/>
        <w:jc w:val="left"/>
        <w:rPr>
          <w:rFonts w:cs="Arial"/>
        </w:rPr>
      </w:pPr>
      <w:r w:rsidRPr="001570EA">
        <w:rPr>
          <w:rFonts w:cs="Arial"/>
        </w:rPr>
        <w:t xml:space="preserve">Using Rock Spring, PA (Site 2036) as a proxy, the mean soil temperature at 40-inch depth is 52.502. Calculated using Daily SCAN Standard - Period of Record data from December 2003 to December 2023 from the Natural Resource Conservation Service Database. </w:t>
      </w:r>
      <w:hyperlink r:id="rId138" w:history="1">
        <w:r w:rsidRPr="001570EA">
          <w:rPr>
            <w:rStyle w:val="Hyperlink"/>
            <w:rFonts w:cs="Arial"/>
          </w:rPr>
          <w:t>Weblink</w:t>
        </w:r>
      </w:hyperlink>
      <w:r w:rsidRPr="001570EA">
        <w:rPr>
          <w:rFonts w:cs="Arial"/>
        </w:rPr>
        <w:t>. Methodology follows Missouri TRM 2017 Volume 2: Commercial and Industrial Measures. (2017, March). “2.6.1 Water Heater”. P</w:t>
      </w:r>
      <w:r w:rsidR="000D1C6D">
        <w:rPr>
          <w:rFonts w:cs="Arial"/>
        </w:rPr>
        <w:t>a</w:t>
      </w:r>
      <w:r w:rsidRPr="001570EA">
        <w:rPr>
          <w:rFonts w:cs="Arial"/>
        </w:rPr>
        <w:t>g</w:t>
      </w:r>
      <w:r w:rsidR="000D1C6D">
        <w:rPr>
          <w:rFonts w:cs="Arial"/>
        </w:rPr>
        <w:t>e</w:t>
      </w:r>
      <w:r w:rsidRPr="001570EA">
        <w:rPr>
          <w:rFonts w:cs="Arial"/>
        </w:rPr>
        <w:t xml:space="preserve"> 78. </w:t>
      </w:r>
      <w:hyperlink r:id="rId139" w:history="1">
        <w:r w:rsidRPr="001570EA">
          <w:rPr>
            <w:rStyle w:val="Hyperlink"/>
          </w:rPr>
          <w:t>Weblink</w:t>
        </w:r>
      </w:hyperlink>
    </w:p>
    <w:p w14:paraId="6753FFEC" w14:textId="337EA2E8" w:rsidR="00C71CAA" w:rsidRPr="001570EA" w:rsidRDefault="00C71CAA" w:rsidP="002614D2">
      <w:pPr>
        <w:pStyle w:val="source10"/>
        <w:numPr>
          <w:ilvl w:val="0"/>
          <w:numId w:val="17"/>
        </w:numPr>
        <w:spacing w:after="120"/>
        <w:ind w:left="360"/>
        <w:jc w:val="left"/>
      </w:pPr>
      <w:r w:rsidRPr="001570EA">
        <w:t xml:space="preserve">Fluid Market Strategies for NEEA. (2013, October). NEEA Heat Pump Water Heater Field Study Report. </w:t>
      </w:r>
      <w:hyperlink r:id="rId140" w:history="1">
        <w:r w:rsidRPr="001570EA">
          <w:rPr>
            <w:rStyle w:val="Hyperlink"/>
            <w:rFonts w:cs="Arial"/>
          </w:rPr>
          <w:t>Weblink</w:t>
        </w:r>
      </w:hyperlink>
      <w:r w:rsidRPr="001570EA">
        <w:t xml:space="preserve"> Values for Fderate are calculated by dividing the COP in each location from Figure 15 by the rated Energy Factor (2.35) of the unit tested in the study (AirGenerate ATI66).  (Note: when this source discusses “ducted” versus “non-ducted” systems it refers to the water heater’s heat pump exhaust, not to the HVAC ducts.)</w:t>
      </w:r>
    </w:p>
    <w:p w14:paraId="1C8DF759" w14:textId="54358D53" w:rsidR="00C71CAA" w:rsidRPr="001570EA" w:rsidRDefault="00C71CAA" w:rsidP="002614D2">
      <w:pPr>
        <w:pStyle w:val="source10"/>
        <w:numPr>
          <w:ilvl w:val="0"/>
          <w:numId w:val="17"/>
        </w:numPr>
        <w:spacing w:after="120"/>
        <w:ind w:left="360"/>
      </w:pPr>
      <w:r w:rsidRPr="001570EA">
        <w:t xml:space="preserve">Based on the Phase III SWE team’s analysis of regional HVAC runtime data collected from ecobee’s Donate Your Data research service. </w:t>
      </w:r>
      <w:hyperlink r:id="rId141" w:tgtFrame="_blank" w:history="1">
        <w:r w:rsidRPr="001570EA">
          <w:rPr>
            <w:rStyle w:val="Hyperlink"/>
            <w:rFonts w:cs="Arial"/>
          </w:rPr>
          <w:t>Weblink</w:t>
        </w:r>
      </w:hyperlink>
    </w:p>
    <w:p w14:paraId="0D56D96B" w14:textId="0FB32C8F" w:rsidR="00C71CAA" w:rsidRPr="001570EA" w:rsidRDefault="00C71CAA" w:rsidP="002614D2">
      <w:pPr>
        <w:pStyle w:val="source10"/>
        <w:numPr>
          <w:ilvl w:val="0"/>
          <w:numId w:val="17"/>
        </w:numPr>
        <w:spacing w:after="120"/>
        <w:ind w:left="360"/>
        <w:jc w:val="left"/>
      </w:pPr>
      <w:r w:rsidRPr="001570EA">
        <w:t xml:space="preserve">Wilson et al. 2021. End-Use Load Profiles for the U.S. Building Stock: Methodology and Results of Model Calibration, Validation, and Uncertainty Quantification. NREL/TP-5500-80889. </w:t>
      </w:r>
      <w:hyperlink r:id="rId142" w:history="1">
        <w:r w:rsidRPr="001570EA">
          <w:rPr>
            <w:rStyle w:val="Hyperlink"/>
            <w:rFonts w:cs="Arial"/>
          </w:rPr>
          <w:t>Weblink</w:t>
        </w:r>
      </w:hyperlink>
    </w:p>
    <w:p w14:paraId="57DF874E" w14:textId="77777777" w:rsidR="00C71CAA" w:rsidRPr="001570EA" w:rsidRDefault="00C71CAA" w:rsidP="00C71CAA">
      <w:pPr>
        <w:pStyle w:val="source10"/>
        <w:ind w:left="360"/>
        <w:jc w:val="left"/>
      </w:pPr>
    </w:p>
    <w:p w14:paraId="3556A656" w14:textId="77777777" w:rsidR="00C71CAA" w:rsidRPr="001570EA" w:rsidRDefault="00C71CAA" w:rsidP="00C71CAA">
      <w:pPr>
        <w:pStyle w:val="source10"/>
        <w:spacing w:after="120"/>
        <w:jc w:val="left"/>
        <w:rPr>
          <w:rStyle w:val="Hyperlink"/>
          <w:rFonts w:cs="Arial"/>
          <w:color w:val="auto"/>
          <w:u w:val="none"/>
        </w:rPr>
      </w:pPr>
    </w:p>
    <w:p w14:paraId="5837F367" w14:textId="77777777" w:rsidR="00C71CAA" w:rsidRPr="001570EA" w:rsidRDefault="00C71CAA" w:rsidP="00C71CAA">
      <w:pPr>
        <w:pStyle w:val="source10"/>
        <w:spacing w:after="120"/>
        <w:jc w:val="left"/>
        <w:textAlignment w:val="auto"/>
        <w:rPr>
          <w:rStyle w:val="Hyperlink"/>
          <w:rFonts w:cs="Arial"/>
        </w:rPr>
      </w:pPr>
      <w:bookmarkStart w:id="402" w:name="_Toc364420789"/>
      <w:bookmarkStart w:id="403" w:name="_Toc373320426"/>
      <w:bookmarkStart w:id="404" w:name="_Toc364760904"/>
      <w:bookmarkStart w:id="405" w:name="_Toc527023071"/>
      <w:bookmarkStart w:id="406" w:name="_Toc530141476"/>
      <w:bookmarkEnd w:id="388"/>
      <w:bookmarkEnd w:id="389"/>
      <w:bookmarkEnd w:id="390"/>
      <w:bookmarkEnd w:id="391"/>
    </w:p>
    <w:p w14:paraId="75819F2A" w14:textId="77777777" w:rsidR="00C71CAA" w:rsidRPr="001570EA" w:rsidRDefault="00C71CAA" w:rsidP="00C71CAA">
      <w:pPr>
        <w:pStyle w:val="source10"/>
        <w:spacing w:after="120"/>
        <w:jc w:val="left"/>
        <w:textAlignment w:val="auto"/>
        <w:rPr>
          <w:rStyle w:val="Hyperlink"/>
          <w:rFonts w:cs="Arial"/>
        </w:rPr>
        <w:sectPr w:rsidR="00C71CAA" w:rsidRPr="001570EA" w:rsidSect="002D556C">
          <w:footerReference w:type="default" r:id="rId143"/>
          <w:pgSz w:w="12240" w:h="15840"/>
          <w:pgMar w:top="1440" w:right="1800" w:bottom="1440" w:left="1800" w:header="720" w:footer="501" w:gutter="0"/>
          <w:cols w:space="720"/>
        </w:sectPr>
      </w:pPr>
    </w:p>
    <w:p w14:paraId="08C40BEB" w14:textId="77777777" w:rsidR="00C71CAA" w:rsidRPr="001570EA" w:rsidRDefault="00C71CAA" w:rsidP="00462D97">
      <w:pPr>
        <w:pStyle w:val="Heading3"/>
      </w:pPr>
      <w:bookmarkStart w:id="407" w:name="_Toc48143030"/>
      <w:bookmarkStart w:id="408" w:name="_Toc164786650"/>
      <w:r w:rsidRPr="001570EA">
        <w:t>Solar Water Heaters</w:t>
      </w:r>
      <w:bookmarkEnd w:id="402"/>
      <w:bookmarkEnd w:id="403"/>
      <w:bookmarkEnd w:id="404"/>
      <w:bookmarkEnd w:id="405"/>
      <w:bookmarkEnd w:id="406"/>
      <w:bookmarkEnd w:id="407"/>
      <w:bookmarkEnd w:id="408"/>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634"/>
        <w:gridCol w:w="4878"/>
      </w:tblGrid>
      <w:tr w:rsidR="00C71CAA" w:rsidRPr="001570EA" w14:paraId="1EB376E7" w14:textId="77777777">
        <w:tc>
          <w:tcPr>
            <w:tcW w:w="363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409DB02" w14:textId="77777777" w:rsidR="00C71CAA" w:rsidRPr="001570EA" w:rsidRDefault="00C71CAA">
            <w:pPr>
              <w:pStyle w:val="TableCell"/>
              <w:spacing w:before="60" w:after="60"/>
              <w:rPr>
                <w:b/>
                <w:bCs/>
                <w:color w:val="000000"/>
              </w:rPr>
            </w:pPr>
            <w:r w:rsidRPr="001570EA">
              <w:rPr>
                <w:b/>
                <w:bCs/>
                <w:color w:val="000000"/>
              </w:rPr>
              <w:t>Target Sector</w:t>
            </w:r>
          </w:p>
        </w:tc>
        <w:tc>
          <w:tcPr>
            <w:tcW w:w="487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923D51C" w14:textId="77777777" w:rsidR="00C71CAA" w:rsidRPr="001570EA" w:rsidRDefault="00C71CAA">
            <w:pPr>
              <w:pStyle w:val="TableCell"/>
              <w:spacing w:before="60" w:after="60"/>
              <w:jc w:val="center"/>
              <w:rPr>
                <w:color w:val="000000"/>
              </w:rPr>
            </w:pPr>
            <w:r w:rsidRPr="001570EA">
              <w:rPr>
                <w:color w:val="000000"/>
              </w:rPr>
              <w:t xml:space="preserve">Residential </w:t>
            </w:r>
          </w:p>
        </w:tc>
      </w:tr>
      <w:tr w:rsidR="00C71CAA" w:rsidRPr="001570EA" w14:paraId="4DAB0F6C" w14:textId="77777777">
        <w:tc>
          <w:tcPr>
            <w:tcW w:w="363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65E54CB0" w14:textId="77777777" w:rsidR="00C71CAA" w:rsidRPr="001570EA" w:rsidRDefault="00C71CAA">
            <w:pPr>
              <w:pStyle w:val="TableCell"/>
              <w:spacing w:before="60" w:after="60"/>
              <w:rPr>
                <w:b/>
                <w:bCs/>
                <w:color w:val="000000"/>
              </w:rPr>
            </w:pPr>
            <w:r w:rsidRPr="001570EA">
              <w:rPr>
                <w:b/>
                <w:bCs/>
                <w:color w:val="000000"/>
              </w:rPr>
              <w:t>Measure Unit</w:t>
            </w:r>
          </w:p>
        </w:tc>
        <w:tc>
          <w:tcPr>
            <w:tcW w:w="487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28BBF4CC" w14:textId="77777777" w:rsidR="00C71CAA" w:rsidRPr="001570EA" w:rsidRDefault="00C71CAA">
            <w:pPr>
              <w:pStyle w:val="TableCell"/>
              <w:spacing w:before="60" w:after="60"/>
              <w:jc w:val="center"/>
              <w:rPr>
                <w:color w:val="000000"/>
              </w:rPr>
            </w:pPr>
            <w:r w:rsidRPr="001570EA">
              <w:rPr>
                <w:color w:val="000000"/>
              </w:rPr>
              <w:t>Water Heater</w:t>
            </w:r>
          </w:p>
        </w:tc>
      </w:tr>
      <w:tr w:rsidR="00C71CAA" w:rsidRPr="001570EA" w14:paraId="712D31ED" w14:textId="77777777">
        <w:tc>
          <w:tcPr>
            <w:tcW w:w="363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367B8FDB" w14:textId="77777777" w:rsidR="00C71CAA" w:rsidRPr="001570EA" w:rsidRDefault="00C71CAA">
            <w:pPr>
              <w:pStyle w:val="TableCell"/>
              <w:spacing w:before="60" w:after="60"/>
              <w:rPr>
                <w:b/>
                <w:bCs/>
                <w:color w:val="000000"/>
              </w:rPr>
            </w:pPr>
            <w:r w:rsidRPr="001570EA">
              <w:rPr>
                <w:b/>
                <w:bCs/>
                <w:color w:val="000000"/>
              </w:rPr>
              <w:t>Measure Life</w:t>
            </w:r>
          </w:p>
        </w:tc>
        <w:tc>
          <w:tcPr>
            <w:tcW w:w="487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3D4A946F" w14:textId="77777777" w:rsidR="00C71CAA" w:rsidRPr="001570EA" w:rsidRDefault="00C71CAA">
            <w:pPr>
              <w:pStyle w:val="TableCell"/>
              <w:spacing w:before="60" w:after="60"/>
              <w:jc w:val="center"/>
              <w:rPr>
                <w:color w:val="000000"/>
              </w:rPr>
            </w:pPr>
            <w:r w:rsidRPr="001570EA">
              <w:rPr>
                <w:color w:val="000000"/>
              </w:rPr>
              <w:t>15 years</w:t>
            </w:r>
            <w:r w:rsidRPr="001570EA">
              <w:rPr>
                <w:color w:val="000000"/>
                <w:vertAlign w:val="superscript"/>
              </w:rPr>
              <w:t>Source 1</w:t>
            </w:r>
          </w:p>
        </w:tc>
      </w:tr>
      <w:tr w:rsidR="00C71CAA" w:rsidRPr="001570EA" w14:paraId="4E2AC5F8" w14:textId="77777777">
        <w:tc>
          <w:tcPr>
            <w:tcW w:w="363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DE13580" w14:textId="77777777" w:rsidR="00C71CAA" w:rsidRPr="001570EA" w:rsidRDefault="00C71CAA">
            <w:pPr>
              <w:pStyle w:val="TableCell"/>
              <w:spacing w:before="60" w:after="60"/>
              <w:rPr>
                <w:b/>
                <w:bCs/>
                <w:color w:val="000000"/>
              </w:rPr>
            </w:pPr>
            <w:r w:rsidRPr="001570EA">
              <w:rPr>
                <w:b/>
                <w:bCs/>
                <w:color w:val="000000"/>
              </w:rPr>
              <w:t>Vintage</w:t>
            </w:r>
          </w:p>
        </w:tc>
        <w:tc>
          <w:tcPr>
            <w:tcW w:w="487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73CE589F" w14:textId="77777777" w:rsidR="00C71CAA" w:rsidRPr="001570EA" w:rsidRDefault="00C71CAA">
            <w:pPr>
              <w:pStyle w:val="TableCell"/>
              <w:spacing w:before="60" w:after="60"/>
              <w:jc w:val="center"/>
              <w:rPr>
                <w:color w:val="000000"/>
              </w:rPr>
            </w:pPr>
            <w:r w:rsidRPr="001570EA">
              <w:rPr>
                <w:color w:val="000000"/>
              </w:rPr>
              <w:t>Retrofit</w:t>
            </w:r>
          </w:p>
        </w:tc>
      </w:tr>
    </w:tbl>
    <w:p w14:paraId="59F99ED2" w14:textId="77777777" w:rsidR="00C71CAA" w:rsidRPr="001570EA" w:rsidRDefault="00C71CAA" w:rsidP="00C71CAA"/>
    <w:p w14:paraId="584ED56D" w14:textId="77777777" w:rsidR="00C71CAA" w:rsidRPr="001570EA" w:rsidRDefault="00C71CAA" w:rsidP="00C71CAA">
      <w:pPr>
        <w:pStyle w:val="BodyText"/>
        <w:ind w:right="0"/>
      </w:pPr>
      <w:r w:rsidRPr="001570EA">
        <w:t>Solar water heaters utilize solar energy to heat water, which reduces electricity required to heat water.</w:t>
      </w:r>
    </w:p>
    <w:p w14:paraId="635E8918" w14:textId="77777777" w:rsidR="00C71CAA" w:rsidRPr="001570EA" w:rsidRDefault="00C71CAA" w:rsidP="00C71CAA"/>
    <w:p w14:paraId="3CBE3709" w14:textId="77777777" w:rsidR="00C71CAA" w:rsidRPr="001570EA" w:rsidRDefault="00C71CAA" w:rsidP="00C71CAA">
      <w:pPr>
        <w:pStyle w:val="SubStyle"/>
      </w:pPr>
      <w:r w:rsidRPr="001570EA">
        <w:t>Eligibility</w:t>
      </w:r>
    </w:p>
    <w:p w14:paraId="68521B86" w14:textId="77777777" w:rsidR="00C71CAA" w:rsidRPr="001570EA" w:rsidRDefault="00C71CAA" w:rsidP="00C71CAA">
      <w:pPr>
        <w:pStyle w:val="BodyText"/>
        <w:ind w:right="0"/>
      </w:pPr>
      <w:r w:rsidRPr="001570EA">
        <w:t>This protocol documents the energy savings attributed to solar water in PA. The target sector is single-family residences with an existing electric water heater.</w:t>
      </w:r>
    </w:p>
    <w:p w14:paraId="30F6D9EB" w14:textId="77777777" w:rsidR="00C71CAA" w:rsidRPr="001570EA" w:rsidRDefault="00C71CAA" w:rsidP="00C71CAA">
      <w:pPr>
        <w:pStyle w:val="SubStyle"/>
      </w:pPr>
    </w:p>
    <w:p w14:paraId="0912D7FA" w14:textId="77777777" w:rsidR="00C71CAA" w:rsidRPr="001570EA" w:rsidRDefault="00C71CAA" w:rsidP="00C71CAA">
      <w:pPr>
        <w:pStyle w:val="SubStyle"/>
      </w:pPr>
      <w:r w:rsidRPr="001570EA">
        <w:t>Algorithms</w:t>
      </w:r>
    </w:p>
    <w:p w14:paraId="32F44FDD" w14:textId="77777777" w:rsidR="00C71CAA" w:rsidRPr="001570EA" w:rsidRDefault="00C71CAA" w:rsidP="00C71CAA">
      <w:pPr>
        <w:pStyle w:val="BodyText"/>
        <w:spacing w:after="120"/>
        <w:ind w:right="0"/>
      </w:pPr>
      <w:r w:rsidRPr="001570EA">
        <w:t>The energy savings calculation utilizes average performance data for available residential solar and standard water heaters and typical water usage for residential homes. The energy savings are obtained through the following formula:</w:t>
      </w:r>
    </w:p>
    <w:p w14:paraId="61A8940B" w14:textId="77777777" w:rsidR="00C71CAA" w:rsidRPr="001570EA" w:rsidRDefault="00C71CAA" w:rsidP="00C71CAA">
      <w:pPr>
        <w:pStyle w:val="BodyText"/>
        <w:spacing w:line="276" w:lineRule="auto"/>
      </w:pPr>
      <m:oMathPara>
        <m:oMathParaPr>
          <m:jc m:val="left"/>
        </m:oMathParaPr>
        <m:oMath>
          <m:r>
            <w:rPr>
              <w:rFonts w:ascii="Cambria Math" w:hAnsi="Cambria Math"/>
            </w:rPr>
            <m:t>∆kWh                   =</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UEF</m:t>
                          </m:r>
                        </m:e>
                        <m:sub>
                          <m:r>
                            <w:rPr>
                              <w:rFonts w:ascii="Cambria Math" w:hAnsi="Cambria Math"/>
                            </w:rPr>
                            <m:t>base</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UEF</m:t>
                          </m:r>
                        </m:e>
                        <m:sub>
                          <m:r>
                            <w:rPr>
                              <w:rFonts w:ascii="Cambria Math" w:hAnsi="Cambria Math"/>
                            </w:rPr>
                            <m:t>ee</m:t>
                          </m:r>
                        </m:sub>
                      </m:sSub>
                    </m:den>
                  </m:f>
                </m:e>
              </m:d>
              <m:r>
                <w:rPr>
                  <w:rFonts w:ascii="Cambria Math" w:hAnsi="Cambria Math"/>
                </w:rPr>
                <m:t>×HW×365×</m:t>
              </m:r>
              <m:r>
                <m:rPr>
                  <m:sty m:val="p"/>
                </m:rPr>
                <w:rPr>
                  <w:rFonts w:ascii="Cambria Math" w:hAnsi="Cambria Math" w:cs="Arial"/>
                </w:rPr>
                <m:t>8.3</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out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m:t>
                      </m:r>
                    </m:sub>
                  </m:sSub>
                </m:e>
              </m:d>
            </m:num>
            <m:den>
              <m:r>
                <w:rPr>
                  <w:rFonts w:ascii="Cambria Math" w:hAnsi="Cambria Math"/>
                </w:rPr>
                <m:t>3412</m:t>
              </m:r>
            </m:den>
          </m:f>
        </m:oMath>
      </m:oMathPara>
    </w:p>
    <w:p w14:paraId="1B446422" w14:textId="77777777" w:rsidR="00C71CAA" w:rsidRPr="001570EA" w:rsidRDefault="00C71CAA" w:rsidP="00C71CAA">
      <w:pPr>
        <w:pStyle w:val="BodyText"/>
        <w:ind w:right="0"/>
      </w:pPr>
    </w:p>
    <w:p w14:paraId="29C222AD" w14:textId="77777777" w:rsidR="00C71CAA" w:rsidRPr="001570EA" w:rsidRDefault="00C71CAA" w:rsidP="00C71CAA">
      <w:pPr>
        <w:pStyle w:val="BodyText"/>
        <w:spacing w:after="120"/>
        <w:ind w:right="0"/>
      </w:pPr>
      <w:r w:rsidRPr="001570EA">
        <w:t xml:space="preserve">The demand reduction is taken as the annual energy usage of the </w:t>
      </w:r>
      <w:r w:rsidRPr="001570EA">
        <w:rPr>
          <w:i/>
        </w:rPr>
        <w:t>baseline</w:t>
      </w:r>
      <w:r w:rsidRPr="001570EA">
        <w:t xml:space="preserve"> water heater multiplied by the ratio of the average demand between 2PM and 6PM on summer weekdays to the total annual energy usage. Note that this is a different formulation than the demand savings calculations for other water heaters. This modification of the formula reflects the fact that a solar water heater’s capacity is subject to seasonal variation, and that during the peak summer season, the water heater is expected to fully supply all domestic hot water needs.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6483"/>
      </w:tblGrid>
      <w:tr w:rsidR="00C71CAA" w:rsidRPr="001570EA" w:rsidDel="00F24288" w14:paraId="12FE8ECD" w14:textId="77777777">
        <w:trPr>
          <w:trHeight w:val="720"/>
        </w:trPr>
        <w:tc>
          <w:tcPr>
            <w:tcW w:w="2157" w:type="dxa"/>
            <w:vAlign w:val="center"/>
          </w:tcPr>
          <w:p w14:paraId="17B914C7" w14:textId="77777777" w:rsidR="00C71CAA" w:rsidRPr="001570EA" w:rsidDel="00F24288" w:rsidRDefault="00C71CAA">
            <w:pPr>
              <w:pStyle w:val="Equation"/>
              <w:ind w:left="0" w:firstLine="0"/>
              <w:jc w:val="left"/>
              <w:rPr>
                <w:rFonts w:eastAsia="Times New Roman"/>
                <w:i w:val="0"/>
                <w:sz w:val="18"/>
              </w:rPr>
            </w:pPr>
            <m:oMathPara>
              <m:oMathParaPr>
                <m:jc m:val="left"/>
              </m:oMathParaPr>
              <m:oMath>
                <m:r>
                  <w:rPr>
                    <w:rFonts w:ascii="Cambria Math" w:hAnsi="Cambria Math"/>
                    <w:sz w:val="18"/>
                  </w:rPr>
                  <m:t>∆</m:t>
                </m:r>
                <m:sSub>
                  <m:sSubPr>
                    <m:ctrlPr>
                      <w:rPr>
                        <w:rFonts w:ascii="Cambria Math" w:hAnsi="Cambria Math"/>
                        <w:sz w:val="18"/>
                      </w:rPr>
                    </m:ctrlPr>
                  </m:sSubPr>
                  <m:e>
                    <m:r>
                      <w:rPr>
                        <w:rFonts w:ascii="Cambria Math" w:hAnsi="Cambria Math"/>
                        <w:sz w:val="18"/>
                      </w:rPr>
                      <m:t>kW</m:t>
                    </m:r>
                  </m:e>
                  <m:sub>
                    <m:r>
                      <w:rPr>
                        <w:rFonts w:ascii="Cambria Math" w:hAnsi="Cambria Math"/>
                        <w:sz w:val="18"/>
                      </w:rPr>
                      <m:t>summer peak</m:t>
                    </m:r>
                  </m:sub>
                </m:sSub>
              </m:oMath>
            </m:oMathPara>
          </w:p>
        </w:tc>
        <w:tc>
          <w:tcPr>
            <w:tcW w:w="6483" w:type="dxa"/>
            <w:vAlign w:val="center"/>
          </w:tcPr>
          <w:p w14:paraId="325EC62C" w14:textId="77777777" w:rsidR="00C71CAA" w:rsidRPr="001570EA" w:rsidRDefault="00C71CAA">
            <w:pPr>
              <w:pStyle w:val="Equation"/>
              <w:ind w:left="0" w:firstLine="0"/>
              <w:jc w:val="left"/>
              <w:rPr>
                <w:rFonts w:cs="Arial"/>
                <w:sz w:val="18"/>
                <w:szCs w:val="20"/>
              </w:rPr>
            </w:pPr>
            <w:r w:rsidRPr="001570EA">
              <w:rPr>
                <w:rFonts w:cs="Arial"/>
                <w:sz w:val="18"/>
              </w:rPr>
              <w:t xml:space="preserve">= </w:t>
            </w:r>
            <m:oMath>
              <m:r>
                <w:rPr>
                  <w:rFonts w:ascii="Cambria Math" w:hAnsi="Cambria Math" w:cs="Arial"/>
                  <w:sz w:val="18"/>
                  <w:szCs w:val="20"/>
                </w:rPr>
                <m:t>∆kWh ×ETD</m:t>
              </m:r>
              <m:sSub>
                <m:sSubPr>
                  <m:ctrlPr>
                    <w:rPr>
                      <w:rFonts w:ascii="Cambria Math" w:hAnsi="Cambria Math" w:cs="Arial"/>
                      <w:sz w:val="18"/>
                      <w:szCs w:val="20"/>
                    </w:rPr>
                  </m:ctrlPr>
                </m:sSubPr>
                <m:e>
                  <m:r>
                    <w:rPr>
                      <w:rFonts w:ascii="Cambria Math" w:hAnsi="Cambria Math" w:cs="Arial"/>
                      <w:sz w:val="18"/>
                      <w:szCs w:val="20"/>
                    </w:rPr>
                    <m:t>F</m:t>
                  </m:r>
                </m:e>
                <m:sub>
                  <m:r>
                    <w:rPr>
                      <w:rFonts w:ascii="Cambria Math" w:hAnsi="Cambria Math" w:cs="Arial"/>
                      <w:sz w:val="18"/>
                      <w:szCs w:val="20"/>
                    </w:rPr>
                    <m:t>s</m:t>
                  </m:r>
                </m:sub>
              </m:sSub>
            </m:oMath>
          </w:p>
          <w:p w14:paraId="78E56271" w14:textId="77777777" w:rsidR="00C71CAA" w:rsidRPr="001570EA" w:rsidDel="00F24288" w:rsidRDefault="00C71CAA">
            <w:pPr>
              <w:pStyle w:val="Equation"/>
              <w:ind w:left="0" w:firstLine="0"/>
              <w:jc w:val="left"/>
              <w:rPr>
                <w:rFonts w:cs="Arial"/>
                <w:sz w:val="18"/>
              </w:rPr>
            </w:pPr>
          </w:p>
        </w:tc>
      </w:tr>
    </w:tbl>
    <w:p w14:paraId="4AB90ACA" w14:textId="77777777" w:rsidR="00C71CAA" w:rsidRPr="001570EA" w:rsidRDefault="00C71CAA" w:rsidP="00C71CAA">
      <w:pPr>
        <w:rPr>
          <w:rFonts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6483"/>
      </w:tblGrid>
      <w:tr w:rsidR="00C71CAA" w:rsidRPr="001570EA" w:rsidDel="00F24288" w14:paraId="1F2AF0A1" w14:textId="77777777">
        <w:trPr>
          <w:trHeight w:val="720"/>
        </w:trPr>
        <w:tc>
          <w:tcPr>
            <w:tcW w:w="2157" w:type="dxa"/>
            <w:vAlign w:val="center"/>
          </w:tcPr>
          <w:p w14:paraId="37DFC9B1" w14:textId="77777777" w:rsidR="00C71CAA" w:rsidRPr="001570EA" w:rsidDel="00F24288" w:rsidRDefault="00C71CAA">
            <w:pPr>
              <w:pStyle w:val="Equation"/>
              <w:ind w:left="0" w:firstLine="0"/>
              <w:jc w:val="left"/>
              <w:rPr>
                <w:rFonts w:eastAsia="Times New Roman"/>
                <w:i w:val="0"/>
                <w:sz w:val="18"/>
              </w:rPr>
            </w:pPr>
            <m:oMathPara>
              <m:oMathParaPr>
                <m:jc m:val="left"/>
              </m:oMathParaPr>
              <m:oMath>
                <m:r>
                  <w:rPr>
                    <w:rFonts w:ascii="Cambria Math" w:hAnsi="Cambria Math"/>
                    <w:sz w:val="18"/>
                  </w:rPr>
                  <m:t>∆</m:t>
                </m:r>
                <m:sSub>
                  <m:sSubPr>
                    <m:ctrlPr>
                      <w:rPr>
                        <w:rFonts w:ascii="Cambria Math" w:hAnsi="Cambria Math"/>
                        <w:sz w:val="18"/>
                      </w:rPr>
                    </m:ctrlPr>
                  </m:sSubPr>
                  <m:e>
                    <m:r>
                      <w:rPr>
                        <w:rFonts w:ascii="Cambria Math" w:hAnsi="Cambria Math"/>
                        <w:sz w:val="18"/>
                      </w:rPr>
                      <m:t>kW</m:t>
                    </m:r>
                  </m:e>
                  <m:sub>
                    <m:r>
                      <w:rPr>
                        <w:rFonts w:ascii="Cambria Math" w:hAnsi="Cambria Math"/>
                        <w:sz w:val="18"/>
                      </w:rPr>
                      <m:t>winter peak</m:t>
                    </m:r>
                  </m:sub>
                </m:sSub>
              </m:oMath>
            </m:oMathPara>
          </w:p>
        </w:tc>
        <w:tc>
          <w:tcPr>
            <w:tcW w:w="6483" w:type="dxa"/>
            <w:vAlign w:val="center"/>
          </w:tcPr>
          <w:p w14:paraId="1F494AC4" w14:textId="77777777" w:rsidR="00C71CAA" w:rsidRPr="001570EA" w:rsidRDefault="00C71CAA">
            <w:pPr>
              <w:pStyle w:val="Equation"/>
              <w:ind w:left="0" w:firstLine="0"/>
              <w:jc w:val="left"/>
              <w:rPr>
                <w:rFonts w:cs="Arial"/>
                <w:sz w:val="18"/>
                <w:szCs w:val="20"/>
              </w:rPr>
            </w:pPr>
            <w:r w:rsidRPr="001570EA">
              <w:rPr>
                <w:rFonts w:cs="Arial"/>
                <w:sz w:val="18"/>
              </w:rPr>
              <w:t xml:space="preserve">= </w:t>
            </w:r>
            <m:oMath>
              <m:r>
                <w:rPr>
                  <w:rFonts w:ascii="Cambria Math" w:hAnsi="Cambria Math" w:cs="Arial"/>
                  <w:sz w:val="18"/>
                  <w:szCs w:val="20"/>
                </w:rPr>
                <m:t>∆kWh ×ETD</m:t>
              </m:r>
              <m:sSub>
                <m:sSubPr>
                  <m:ctrlPr>
                    <w:rPr>
                      <w:rFonts w:ascii="Cambria Math" w:hAnsi="Cambria Math" w:cs="Arial"/>
                      <w:sz w:val="18"/>
                      <w:szCs w:val="20"/>
                    </w:rPr>
                  </m:ctrlPr>
                </m:sSubPr>
                <m:e>
                  <m:r>
                    <w:rPr>
                      <w:rFonts w:ascii="Cambria Math" w:hAnsi="Cambria Math" w:cs="Arial"/>
                      <w:sz w:val="18"/>
                      <w:szCs w:val="20"/>
                    </w:rPr>
                    <m:t>F</m:t>
                  </m:r>
                </m:e>
                <m:sub>
                  <m:r>
                    <w:rPr>
                      <w:rFonts w:ascii="Cambria Math" w:hAnsi="Cambria Math" w:cs="Arial"/>
                      <w:sz w:val="18"/>
                      <w:szCs w:val="20"/>
                    </w:rPr>
                    <m:t>w</m:t>
                  </m:r>
                </m:sub>
              </m:sSub>
            </m:oMath>
          </w:p>
          <w:p w14:paraId="59C61545" w14:textId="77777777" w:rsidR="00C71CAA" w:rsidRPr="001570EA" w:rsidDel="00F24288" w:rsidRDefault="00C71CAA">
            <w:pPr>
              <w:pStyle w:val="Equation"/>
              <w:ind w:left="0" w:firstLine="0"/>
              <w:jc w:val="left"/>
              <w:rPr>
                <w:rFonts w:cs="Arial"/>
                <w:sz w:val="18"/>
              </w:rPr>
            </w:pPr>
          </w:p>
        </w:tc>
      </w:tr>
    </w:tbl>
    <w:p w14:paraId="4D5E0DEE" w14:textId="77777777" w:rsidR="00C71CAA" w:rsidRPr="001570EA" w:rsidRDefault="00C71CAA" w:rsidP="00C71CAA">
      <w:pPr>
        <w:pStyle w:val="Equation"/>
        <w:tabs>
          <w:tab w:val="clear" w:pos="2880"/>
          <w:tab w:val="left" w:pos="2160"/>
        </w:tabs>
        <w:rPr>
          <w:rFonts w:cs="Arial"/>
          <w:szCs w:val="20"/>
        </w:rPr>
      </w:pPr>
    </w:p>
    <w:p w14:paraId="2C493B34" w14:textId="77777777" w:rsidR="00C71CAA" w:rsidRPr="001570EA" w:rsidRDefault="00C71CAA" w:rsidP="00C71CAA">
      <w:pPr>
        <w:pStyle w:val="BodyText"/>
      </w:pPr>
    </w:p>
    <w:p w14:paraId="10710845" w14:textId="77777777" w:rsidR="00C71CAA" w:rsidRPr="001570EA" w:rsidRDefault="00C71CAA" w:rsidP="00C71CAA">
      <w:pPr>
        <w:pStyle w:val="BodyText"/>
        <w:spacing w:after="120"/>
        <w:ind w:right="0"/>
      </w:pPr>
      <w:r w:rsidRPr="001570EA">
        <w:t>The ratio of the average demand between 2 PM and 6 PM on summer weekdays to the total annual energy usage is taken from an electric water heater metering study performed by BG&amp;E.</w:t>
      </w:r>
      <w:r w:rsidRPr="001570EA">
        <w:rPr>
          <w:vertAlign w:val="superscript"/>
        </w:rPr>
        <w:t>Source 2</w:t>
      </w:r>
    </w:p>
    <w:p w14:paraId="5B56F264" w14:textId="77777777" w:rsidR="00C71CAA" w:rsidRPr="001570EA" w:rsidRDefault="00C71CAA" w:rsidP="00C71CAA">
      <w:pPr>
        <w:rPr>
          <w:rFonts w:ascii="Arial Black" w:hAnsi="Arial Black"/>
          <w:b/>
          <w:smallCaps/>
          <w:color w:val="44546A" w:themeColor="text2"/>
          <w:spacing w:val="40"/>
        </w:rPr>
      </w:pPr>
      <w:r w:rsidRPr="001570EA">
        <w:br w:type="page"/>
      </w:r>
    </w:p>
    <w:p w14:paraId="319DD06E" w14:textId="77777777" w:rsidR="00C71CAA" w:rsidRPr="001570EA" w:rsidRDefault="00C71CAA" w:rsidP="00C71CAA">
      <w:pPr>
        <w:pStyle w:val="SubStyle"/>
      </w:pPr>
      <w:r w:rsidRPr="001570EA">
        <w:t>Definition of Terms</w:t>
      </w:r>
    </w:p>
    <w:p w14:paraId="0E51C73C" w14:textId="6E1F410A" w:rsidR="00C71CAA" w:rsidRPr="001570EA" w:rsidRDefault="00C71CAA" w:rsidP="00C71CAA">
      <w:pPr>
        <w:pStyle w:val="Caption"/>
      </w:pPr>
      <w:bookmarkStart w:id="409" w:name="_Ref532902630"/>
      <w:bookmarkStart w:id="410" w:name="_Toc530141717"/>
      <w:bookmarkStart w:id="411" w:name="_Toc47598294"/>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64</w:t>
      </w:r>
      <w:r w:rsidR="002E093A" w:rsidRPr="001570EA">
        <w:fldChar w:fldCharType="end"/>
      </w:r>
      <w:bookmarkEnd w:id="409"/>
      <w:r w:rsidRPr="001570EA">
        <w:t>: Terms</w:t>
      </w:r>
      <w:r w:rsidRPr="001570EA">
        <w:rPr>
          <w:rFonts w:cs="Arial"/>
        </w:rPr>
        <w:t>, Values, and References for</w:t>
      </w:r>
      <w:r w:rsidRPr="001570EA">
        <w:t xml:space="preserve"> Solar Water Heater</w:t>
      </w:r>
      <w:bookmarkEnd w:id="410"/>
      <w:bookmarkEnd w:id="411"/>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1479"/>
        <w:gridCol w:w="2056"/>
        <w:gridCol w:w="1008"/>
      </w:tblGrid>
      <w:tr w:rsidR="00C71CAA" w:rsidRPr="001570EA" w14:paraId="0D9207DB" w14:textId="77777777">
        <w:tc>
          <w:tcPr>
            <w:tcW w:w="2335" w:type="pct"/>
            <w:shd w:val="clear" w:color="auto" w:fill="BFBFBF"/>
          </w:tcPr>
          <w:p w14:paraId="7254EFE8" w14:textId="77777777" w:rsidR="00C71CAA" w:rsidRPr="001570EA" w:rsidRDefault="00C71CAA">
            <w:pPr>
              <w:pStyle w:val="TableCell"/>
              <w:spacing w:before="60" w:after="60"/>
              <w:rPr>
                <w:b/>
              </w:rPr>
            </w:pPr>
            <w:r w:rsidRPr="001570EA">
              <w:rPr>
                <w:b/>
              </w:rPr>
              <w:t>Term</w:t>
            </w:r>
          </w:p>
        </w:tc>
        <w:tc>
          <w:tcPr>
            <w:tcW w:w="867" w:type="pct"/>
            <w:shd w:val="clear" w:color="auto" w:fill="BFBFBF"/>
          </w:tcPr>
          <w:p w14:paraId="3F849071" w14:textId="77777777" w:rsidR="00C71CAA" w:rsidRPr="001570EA" w:rsidRDefault="00C71CAA">
            <w:pPr>
              <w:pStyle w:val="TableCell"/>
              <w:spacing w:before="60" w:after="60"/>
              <w:jc w:val="center"/>
              <w:rPr>
                <w:b/>
              </w:rPr>
            </w:pPr>
            <w:r w:rsidRPr="001570EA">
              <w:rPr>
                <w:b/>
              </w:rPr>
              <w:t>Unit</w:t>
            </w:r>
          </w:p>
        </w:tc>
        <w:tc>
          <w:tcPr>
            <w:tcW w:w="1206" w:type="pct"/>
            <w:shd w:val="clear" w:color="auto" w:fill="BFBFBF"/>
          </w:tcPr>
          <w:p w14:paraId="5BA60DF3" w14:textId="77777777" w:rsidR="00C71CAA" w:rsidRPr="001570EA" w:rsidRDefault="00C71CAA">
            <w:pPr>
              <w:pStyle w:val="TableCell"/>
              <w:spacing w:before="60" w:after="60"/>
              <w:jc w:val="center"/>
              <w:rPr>
                <w:b/>
              </w:rPr>
            </w:pPr>
            <w:r w:rsidRPr="001570EA">
              <w:rPr>
                <w:b/>
              </w:rPr>
              <w:t>Values</w:t>
            </w:r>
          </w:p>
        </w:tc>
        <w:tc>
          <w:tcPr>
            <w:tcW w:w="591" w:type="pct"/>
            <w:shd w:val="clear" w:color="auto" w:fill="BFBFBF"/>
          </w:tcPr>
          <w:p w14:paraId="0C720763" w14:textId="77777777" w:rsidR="00C71CAA" w:rsidRPr="001570EA" w:rsidRDefault="00C71CAA">
            <w:pPr>
              <w:pStyle w:val="TableCell"/>
              <w:spacing w:before="60" w:after="60"/>
              <w:jc w:val="center"/>
              <w:rPr>
                <w:b/>
              </w:rPr>
            </w:pPr>
            <w:r w:rsidRPr="001570EA">
              <w:rPr>
                <w:b/>
              </w:rPr>
              <w:t>Source</w:t>
            </w:r>
          </w:p>
        </w:tc>
      </w:tr>
      <w:tr w:rsidR="00C71CAA" w:rsidRPr="001570EA" w14:paraId="474DF556" w14:textId="77777777">
        <w:tc>
          <w:tcPr>
            <w:tcW w:w="2335" w:type="pct"/>
            <w:vMerge w:val="restart"/>
          </w:tcPr>
          <w:p w14:paraId="36441A73" w14:textId="77777777" w:rsidR="00C71CAA" w:rsidRPr="001570EA" w:rsidRDefault="00C71CAA">
            <w:pPr>
              <w:pStyle w:val="TableCell"/>
              <w:spacing w:before="60" w:after="60"/>
              <w:jc w:val="left"/>
            </w:pPr>
            <w:r w:rsidRPr="001570EA">
              <w:rPr>
                <w:rFonts w:ascii="Cambria Math" w:hAnsi="Cambria Math"/>
                <w:i/>
              </w:rPr>
              <w:t>UEF</w:t>
            </w:r>
            <w:r w:rsidRPr="001570EA">
              <w:rPr>
                <w:rFonts w:ascii="Cambria Math" w:hAnsi="Cambria Math"/>
                <w:i/>
                <w:vertAlign w:val="subscript"/>
              </w:rPr>
              <w:t>base</w:t>
            </w:r>
            <w:r w:rsidRPr="001570EA">
              <w:rPr>
                <w:rFonts w:ascii="Cambria Math" w:hAnsi="Cambria Math"/>
              </w:rPr>
              <w:t>,</w:t>
            </w:r>
            <w:r w:rsidRPr="001570EA">
              <w:t xml:space="preserve"> Uniform Energy Factor of baseline electric water heater</w:t>
            </w:r>
          </w:p>
        </w:tc>
        <w:tc>
          <w:tcPr>
            <w:tcW w:w="867" w:type="pct"/>
            <w:vMerge w:val="restart"/>
            <w:vAlign w:val="center"/>
          </w:tcPr>
          <w:p w14:paraId="6DB788F6" w14:textId="77777777" w:rsidR="00C71CAA" w:rsidRPr="001570EA" w:rsidRDefault="00C71CAA">
            <w:pPr>
              <w:pStyle w:val="TableCell"/>
              <w:spacing w:before="60" w:after="60"/>
              <w:jc w:val="center"/>
              <w:rPr>
                <w:i/>
              </w:rPr>
            </w:pPr>
            <w:r w:rsidRPr="001570EA">
              <w:rPr>
                <w:i/>
              </w:rPr>
              <w:t>Proportion</w:t>
            </w:r>
          </w:p>
        </w:tc>
        <w:tc>
          <w:tcPr>
            <w:tcW w:w="1206" w:type="pct"/>
          </w:tcPr>
          <w:p w14:paraId="350E47BE" w14:textId="77777777" w:rsidR="00C71CAA" w:rsidRPr="001570EA" w:rsidRDefault="00C71CAA">
            <w:pPr>
              <w:pStyle w:val="TableCell"/>
              <w:spacing w:before="60" w:after="60"/>
              <w:jc w:val="center"/>
            </w:pPr>
            <w:r w:rsidRPr="001570EA">
              <w:t>EDC Data Gathering</w:t>
            </w:r>
          </w:p>
        </w:tc>
        <w:tc>
          <w:tcPr>
            <w:tcW w:w="591" w:type="pct"/>
          </w:tcPr>
          <w:p w14:paraId="7FE31FF5" w14:textId="77777777" w:rsidR="00C71CAA" w:rsidRPr="001570EA" w:rsidRDefault="00C71CAA">
            <w:pPr>
              <w:pStyle w:val="TableCell"/>
              <w:spacing w:before="60" w:after="60"/>
              <w:jc w:val="center"/>
            </w:pPr>
            <w:r w:rsidRPr="001570EA">
              <w:t>EDC Data Gathering</w:t>
            </w:r>
          </w:p>
        </w:tc>
      </w:tr>
      <w:tr w:rsidR="00C71CAA" w:rsidRPr="001570EA" w14:paraId="549C35E4" w14:textId="77777777">
        <w:tc>
          <w:tcPr>
            <w:tcW w:w="2335" w:type="pct"/>
            <w:vMerge/>
          </w:tcPr>
          <w:p w14:paraId="14C9BD7C" w14:textId="77777777" w:rsidR="00C71CAA" w:rsidRPr="001570EA" w:rsidRDefault="00C71CAA">
            <w:pPr>
              <w:pStyle w:val="TableCell"/>
              <w:spacing w:before="60" w:after="60"/>
              <w:jc w:val="left"/>
            </w:pPr>
          </w:p>
        </w:tc>
        <w:tc>
          <w:tcPr>
            <w:tcW w:w="867" w:type="pct"/>
            <w:vMerge/>
            <w:vAlign w:val="center"/>
          </w:tcPr>
          <w:p w14:paraId="1A76FE57" w14:textId="77777777" w:rsidR="00C71CAA" w:rsidRPr="001570EA" w:rsidRDefault="00C71CAA">
            <w:pPr>
              <w:pStyle w:val="TableCell"/>
              <w:spacing w:before="60" w:after="60"/>
              <w:jc w:val="center"/>
              <w:rPr>
                <w:i/>
              </w:rPr>
            </w:pPr>
          </w:p>
        </w:tc>
        <w:tc>
          <w:tcPr>
            <w:tcW w:w="1206" w:type="pct"/>
          </w:tcPr>
          <w:p w14:paraId="6207FD3C" w14:textId="77777777" w:rsidR="00C71CAA" w:rsidRPr="001570EA" w:rsidDel="00280EB0" w:rsidRDefault="00C71CAA">
            <w:pPr>
              <w:pStyle w:val="TableCell"/>
              <w:spacing w:before="60" w:after="60"/>
              <w:jc w:val="center"/>
            </w:pPr>
            <w:r w:rsidRPr="001570EA">
              <w:t>Default = 0.92</w:t>
            </w:r>
          </w:p>
        </w:tc>
        <w:tc>
          <w:tcPr>
            <w:tcW w:w="591" w:type="pct"/>
          </w:tcPr>
          <w:p w14:paraId="678AD863" w14:textId="77777777" w:rsidR="00C71CAA" w:rsidRPr="001570EA" w:rsidRDefault="00C71CAA">
            <w:pPr>
              <w:pStyle w:val="TableCell"/>
              <w:spacing w:before="60" w:after="60"/>
              <w:jc w:val="center"/>
              <w:rPr>
                <w:rStyle w:val="EndnoteReference"/>
              </w:rPr>
            </w:pPr>
            <w:r w:rsidRPr="001570EA">
              <w:t>3</w:t>
            </w:r>
          </w:p>
        </w:tc>
      </w:tr>
      <w:tr w:rsidR="00C71CAA" w:rsidRPr="001570EA" w14:paraId="66453920" w14:textId="77777777">
        <w:tc>
          <w:tcPr>
            <w:tcW w:w="2335" w:type="pct"/>
            <w:vMerge w:val="restart"/>
          </w:tcPr>
          <w:p w14:paraId="07CC4333" w14:textId="77777777" w:rsidR="00C71CAA" w:rsidRPr="001570EA" w:rsidRDefault="00C71CAA">
            <w:pPr>
              <w:pStyle w:val="TableCell"/>
              <w:spacing w:before="60" w:after="60"/>
              <w:jc w:val="left"/>
            </w:pPr>
            <w:r w:rsidRPr="001570EA">
              <w:rPr>
                <w:rFonts w:ascii="Cambria Math" w:hAnsi="Cambria Math"/>
                <w:i/>
              </w:rPr>
              <w:t>UEF</w:t>
            </w:r>
            <w:r w:rsidRPr="001570EA">
              <w:rPr>
                <w:rFonts w:ascii="Cambria Math" w:hAnsi="Cambria Math"/>
                <w:i/>
                <w:vertAlign w:val="subscript"/>
              </w:rPr>
              <w:t>ee</w:t>
            </w:r>
            <w:r w:rsidRPr="001570EA">
              <w:rPr>
                <w:rFonts w:ascii="Cambria Math" w:hAnsi="Cambria Math"/>
              </w:rPr>
              <w:t>,</w:t>
            </w:r>
            <w:r w:rsidRPr="001570EA">
              <w:t xml:space="preserve"> Year-round average Uniform Energy Factor of proposed solar water heater</w:t>
            </w:r>
          </w:p>
        </w:tc>
        <w:tc>
          <w:tcPr>
            <w:tcW w:w="867" w:type="pct"/>
            <w:vMerge w:val="restart"/>
            <w:vAlign w:val="center"/>
          </w:tcPr>
          <w:p w14:paraId="423AA710" w14:textId="77777777" w:rsidR="00C71CAA" w:rsidRPr="001570EA" w:rsidRDefault="00C71CAA">
            <w:pPr>
              <w:pStyle w:val="TableCell"/>
              <w:spacing w:before="60" w:after="60"/>
              <w:jc w:val="center"/>
              <w:rPr>
                <w:i/>
              </w:rPr>
            </w:pPr>
            <w:r w:rsidRPr="001570EA">
              <w:rPr>
                <w:i/>
              </w:rPr>
              <w:t>Proportion</w:t>
            </w:r>
          </w:p>
        </w:tc>
        <w:tc>
          <w:tcPr>
            <w:tcW w:w="1206" w:type="pct"/>
          </w:tcPr>
          <w:p w14:paraId="5F27D8BE" w14:textId="77777777" w:rsidR="00C71CAA" w:rsidRPr="001570EA" w:rsidRDefault="00C71CAA">
            <w:pPr>
              <w:pStyle w:val="TableCell"/>
              <w:spacing w:before="60" w:after="60"/>
              <w:jc w:val="center"/>
            </w:pPr>
            <w:r w:rsidRPr="001570EA">
              <w:t>EDC Data Gathering</w:t>
            </w:r>
          </w:p>
        </w:tc>
        <w:tc>
          <w:tcPr>
            <w:tcW w:w="591" w:type="pct"/>
          </w:tcPr>
          <w:p w14:paraId="16B2D940" w14:textId="77777777" w:rsidR="00C71CAA" w:rsidRPr="001570EA" w:rsidRDefault="00C71CAA">
            <w:pPr>
              <w:pStyle w:val="TableCell"/>
              <w:spacing w:before="60" w:after="60"/>
              <w:jc w:val="center"/>
            </w:pPr>
            <w:r w:rsidRPr="001570EA">
              <w:t>EDC Data Gathering</w:t>
            </w:r>
          </w:p>
        </w:tc>
      </w:tr>
      <w:tr w:rsidR="00C71CAA" w:rsidRPr="001570EA" w14:paraId="7880655A" w14:textId="77777777">
        <w:tc>
          <w:tcPr>
            <w:tcW w:w="2335" w:type="pct"/>
            <w:vMerge/>
          </w:tcPr>
          <w:p w14:paraId="08AD6868" w14:textId="77777777" w:rsidR="00C71CAA" w:rsidRPr="001570EA" w:rsidRDefault="00C71CAA">
            <w:pPr>
              <w:pStyle w:val="TableCell"/>
              <w:spacing w:before="60" w:after="60"/>
              <w:jc w:val="left"/>
            </w:pPr>
          </w:p>
        </w:tc>
        <w:tc>
          <w:tcPr>
            <w:tcW w:w="867" w:type="pct"/>
            <w:vMerge/>
          </w:tcPr>
          <w:p w14:paraId="7F8B00D8" w14:textId="77777777" w:rsidR="00C71CAA" w:rsidRPr="001570EA" w:rsidRDefault="00C71CAA">
            <w:pPr>
              <w:pStyle w:val="TableCell"/>
              <w:spacing w:before="60" w:after="60"/>
              <w:jc w:val="center"/>
            </w:pPr>
          </w:p>
        </w:tc>
        <w:tc>
          <w:tcPr>
            <w:tcW w:w="1206" w:type="pct"/>
          </w:tcPr>
          <w:p w14:paraId="12AC5EF9" w14:textId="77777777" w:rsidR="00C71CAA" w:rsidRPr="001570EA" w:rsidRDefault="00C71CAA">
            <w:pPr>
              <w:pStyle w:val="TableCell"/>
              <w:spacing w:before="60" w:after="60"/>
              <w:jc w:val="center"/>
            </w:pPr>
            <w:r w:rsidRPr="001570EA">
              <w:t>Default = 2.62</w:t>
            </w:r>
          </w:p>
        </w:tc>
        <w:tc>
          <w:tcPr>
            <w:tcW w:w="591" w:type="pct"/>
          </w:tcPr>
          <w:p w14:paraId="79C43DB6" w14:textId="77777777" w:rsidR="00C71CAA" w:rsidRPr="001570EA" w:rsidRDefault="00C71CAA">
            <w:pPr>
              <w:pStyle w:val="TableCell"/>
              <w:spacing w:before="60" w:after="60"/>
              <w:jc w:val="center"/>
            </w:pPr>
            <w:r w:rsidRPr="001570EA">
              <w:t>2</w:t>
            </w:r>
          </w:p>
        </w:tc>
      </w:tr>
      <w:tr w:rsidR="00C71CAA" w:rsidRPr="001570EA" w14:paraId="1B72E232" w14:textId="77777777">
        <w:tc>
          <w:tcPr>
            <w:tcW w:w="2335" w:type="pct"/>
          </w:tcPr>
          <w:p w14:paraId="70BD1FCF" w14:textId="77777777" w:rsidR="00C71CAA" w:rsidRPr="001570EA" w:rsidRDefault="00C71CAA">
            <w:pPr>
              <w:pStyle w:val="TableCell"/>
              <w:spacing w:before="60" w:after="60"/>
              <w:jc w:val="left"/>
            </w:pPr>
            <w:r w:rsidRPr="001570EA">
              <w:rPr>
                <w:rFonts w:ascii="Cambria Math" w:hAnsi="Cambria Math"/>
                <w:i/>
              </w:rPr>
              <w:t>HW</w:t>
            </w:r>
            <w:r w:rsidRPr="001570EA">
              <w:rPr>
                <w:rFonts w:ascii="Cambria Math" w:hAnsi="Cambria Math"/>
              </w:rPr>
              <w:t>,</w:t>
            </w:r>
            <w:r w:rsidRPr="001570EA">
              <w:t xml:space="preserve"> Hot water used per day in gallons</w:t>
            </w:r>
          </w:p>
        </w:tc>
        <w:tc>
          <w:tcPr>
            <w:tcW w:w="867" w:type="pct"/>
          </w:tcPr>
          <w:p w14:paraId="227A3A9E" w14:textId="77777777" w:rsidR="00C71CAA" w:rsidRPr="001570EA" w:rsidRDefault="003B5E04">
            <w:pPr>
              <w:pStyle w:val="TableCell"/>
              <w:spacing w:before="60" w:after="60"/>
              <w:jc w:val="center"/>
            </w:pPr>
            <m:oMathPara>
              <m:oMath>
                <m:f>
                  <m:fPr>
                    <m:ctrlPr>
                      <w:rPr>
                        <w:rFonts w:ascii="Cambria Math" w:hAnsi="Cambria Math"/>
                        <w:i/>
                      </w:rPr>
                    </m:ctrlPr>
                  </m:fPr>
                  <m:num>
                    <m:r>
                      <w:rPr>
                        <w:rFonts w:ascii="Cambria Math" w:hAnsi="Cambria Math"/>
                      </w:rPr>
                      <m:t>gallons</m:t>
                    </m:r>
                  </m:num>
                  <m:den>
                    <m:r>
                      <w:rPr>
                        <w:rFonts w:ascii="Cambria Math" w:hAnsi="Cambria Math"/>
                      </w:rPr>
                      <m:t>day</m:t>
                    </m:r>
                  </m:den>
                </m:f>
              </m:oMath>
            </m:oMathPara>
          </w:p>
        </w:tc>
        <w:tc>
          <w:tcPr>
            <w:tcW w:w="1206" w:type="pct"/>
          </w:tcPr>
          <w:p w14:paraId="462780F6" w14:textId="77777777" w:rsidR="00C71CAA" w:rsidRPr="001570EA" w:rsidRDefault="00C71CAA">
            <w:pPr>
              <w:pStyle w:val="TableCell"/>
              <w:spacing w:before="60" w:after="60"/>
              <w:jc w:val="center"/>
            </w:pPr>
            <w:r w:rsidRPr="001570EA">
              <w:t>45.5</w:t>
            </w:r>
          </w:p>
        </w:tc>
        <w:tc>
          <w:tcPr>
            <w:tcW w:w="591" w:type="pct"/>
          </w:tcPr>
          <w:p w14:paraId="748B34BB" w14:textId="77777777" w:rsidR="00C71CAA" w:rsidRPr="001570EA" w:rsidRDefault="00C71CAA">
            <w:pPr>
              <w:pStyle w:val="TableCell"/>
              <w:spacing w:before="60" w:after="60"/>
              <w:jc w:val="center"/>
            </w:pPr>
            <w:r w:rsidRPr="001570EA">
              <w:t>4</w:t>
            </w:r>
          </w:p>
        </w:tc>
      </w:tr>
      <w:tr w:rsidR="00C71CAA" w:rsidRPr="001570EA" w14:paraId="3DC66E90" w14:textId="77777777">
        <w:trPr>
          <w:trHeight w:val="77"/>
        </w:trPr>
        <w:tc>
          <w:tcPr>
            <w:tcW w:w="2335" w:type="pct"/>
          </w:tcPr>
          <w:p w14:paraId="215C602C" w14:textId="77777777" w:rsidR="00C71CAA" w:rsidRPr="001570EA" w:rsidRDefault="00C71CAA">
            <w:pPr>
              <w:pStyle w:val="TableCell"/>
              <w:spacing w:before="60" w:after="60"/>
              <w:jc w:val="left"/>
            </w:pPr>
            <w:r w:rsidRPr="001570EA">
              <w:rPr>
                <w:rFonts w:ascii="Cambria Math" w:hAnsi="Cambria Math"/>
                <w:i/>
              </w:rPr>
              <w:t>T</w:t>
            </w:r>
            <w:r w:rsidRPr="001570EA">
              <w:rPr>
                <w:rFonts w:ascii="Cambria Math" w:hAnsi="Cambria Math"/>
                <w:i/>
                <w:vertAlign w:val="subscript"/>
              </w:rPr>
              <w:t>out</w:t>
            </w:r>
            <w:r w:rsidRPr="001570EA">
              <w:rPr>
                <w:rFonts w:ascii="Cambria Math" w:hAnsi="Cambria Math"/>
                <w:i/>
              </w:rPr>
              <w:t>,</w:t>
            </w:r>
            <w:r w:rsidRPr="001570EA">
              <w:t xml:space="preserve"> Temperature of hot water</w:t>
            </w:r>
          </w:p>
        </w:tc>
        <w:tc>
          <w:tcPr>
            <w:tcW w:w="867" w:type="pct"/>
          </w:tcPr>
          <w:p w14:paraId="6FE240D0" w14:textId="77777777" w:rsidR="00C71CAA" w:rsidRPr="001570EA" w:rsidRDefault="00C71CAA">
            <w:pPr>
              <w:pStyle w:val="TableCell"/>
              <w:spacing w:before="60" w:after="60"/>
              <w:jc w:val="center"/>
            </w:pPr>
            <m:oMathPara>
              <m:oMath>
                <m:r>
                  <w:rPr>
                    <w:rFonts w:ascii="Cambria Math" w:hAnsi="Cambria Math"/>
                  </w:rPr>
                  <m:t>°F</m:t>
                </m:r>
              </m:oMath>
            </m:oMathPara>
          </w:p>
        </w:tc>
        <w:tc>
          <w:tcPr>
            <w:tcW w:w="1206" w:type="pct"/>
          </w:tcPr>
          <w:p w14:paraId="55DD5AAE" w14:textId="77777777" w:rsidR="00C71CAA" w:rsidRPr="001570EA" w:rsidRDefault="00C71CAA">
            <w:pPr>
              <w:pStyle w:val="TableCell"/>
              <w:spacing w:before="60" w:after="60"/>
              <w:jc w:val="center"/>
            </w:pPr>
            <w:r w:rsidRPr="001570EA">
              <w:t>119</w:t>
            </w:r>
          </w:p>
        </w:tc>
        <w:tc>
          <w:tcPr>
            <w:tcW w:w="591" w:type="pct"/>
          </w:tcPr>
          <w:p w14:paraId="27ECAD70" w14:textId="77777777" w:rsidR="00C71CAA" w:rsidRPr="001570EA" w:rsidRDefault="00C71CAA">
            <w:pPr>
              <w:pStyle w:val="TableCell"/>
              <w:spacing w:before="60" w:after="60"/>
              <w:jc w:val="center"/>
            </w:pPr>
            <w:r w:rsidRPr="001570EA">
              <w:t>5</w:t>
            </w:r>
          </w:p>
        </w:tc>
      </w:tr>
      <w:tr w:rsidR="00C71CAA" w:rsidRPr="001570EA" w14:paraId="22337A52" w14:textId="77777777">
        <w:tc>
          <w:tcPr>
            <w:tcW w:w="2335" w:type="pct"/>
          </w:tcPr>
          <w:p w14:paraId="008C7218" w14:textId="77777777" w:rsidR="00C71CAA" w:rsidRPr="001570EA" w:rsidRDefault="00C71CAA">
            <w:pPr>
              <w:pStyle w:val="TableCell"/>
              <w:spacing w:before="60" w:after="60"/>
              <w:jc w:val="left"/>
            </w:pPr>
            <w:r w:rsidRPr="001570EA">
              <w:rPr>
                <w:rFonts w:ascii="Cambria Math" w:hAnsi="Cambria Math"/>
                <w:i/>
              </w:rPr>
              <w:t>T</w:t>
            </w:r>
            <w:r w:rsidRPr="001570EA">
              <w:rPr>
                <w:rFonts w:ascii="Cambria Math" w:hAnsi="Cambria Math"/>
                <w:i/>
                <w:vertAlign w:val="subscript"/>
              </w:rPr>
              <w:t>in</w:t>
            </w:r>
            <w:r w:rsidRPr="001570EA">
              <w:t>, Temperature of cold water supply</w:t>
            </w:r>
          </w:p>
        </w:tc>
        <w:tc>
          <w:tcPr>
            <w:tcW w:w="867" w:type="pct"/>
          </w:tcPr>
          <w:p w14:paraId="2701A5C9" w14:textId="77777777" w:rsidR="00C71CAA" w:rsidRPr="001570EA" w:rsidRDefault="00C71CAA">
            <w:pPr>
              <w:pStyle w:val="TableCell"/>
              <w:spacing w:before="60" w:after="60"/>
              <w:jc w:val="center"/>
            </w:pPr>
            <m:oMathPara>
              <m:oMath>
                <m:r>
                  <w:rPr>
                    <w:rFonts w:ascii="Cambria Math" w:hAnsi="Cambria Math"/>
                  </w:rPr>
                  <m:t>°F</m:t>
                </m:r>
              </m:oMath>
            </m:oMathPara>
          </w:p>
        </w:tc>
        <w:tc>
          <w:tcPr>
            <w:tcW w:w="1206" w:type="pct"/>
          </w:tcPr>
          <w:p w14:paraId="0541EA2A" w14:textId="77777777" w:rsidR="00C71CAA" w:rsidRPr="001570EA" w:rsidRDefault="00C71CAA">
            <w:pPr>
              <w:pStyle w:val="TableCell"/>
              <w:spacing w:before="60" w:after="60"/>
              <w:jc w:val="center"/>
            </w:pPr>
            <w:r w:rsidRPr="001570EA">
              <w:t>53</w:t>
            </w:r>
          </w:p>
        </w:tc>
        <w:tc>
          <w:tcPr>
            <w:tcW w:w="591" w:type="pct"/>
          </w:tcPr>
          <w:p w14:paraId="4CC0F994" w14:textId="77777777" w:rsidR="00C71CAA" w:rsidRPr="001570EA" w:rsidRDefault="00C71CAA">
            <w:pPr>
              <w:pStyle w:val="TableCell"/>
              <w:spacing w:before="60" w:after="60"/>
              <w:jc w:val="center"/>
            </w:pPr>
            <w:r w:rsidRPr="001570EA">
              <w:t>6</w:t>
            </w:r>
          </w:p>
        </w:tc>
      </w:tr>
      <w:tr w:rsidR="00C71CAA" w:rsidRPr="001570EA" w14:paraId="12D96021" w14:textId="77777777">
        <w:tc>
          <w:tcPr>
            <w:tcW w:w="2335" w:type="pct"/>
          </w:tcPr>
          <w:p w14:paraId="2BE86BF7" w14:textId="77777777" w:rsidR="00C71CAA" w:rsidRPr="001570EA" w:rsidRDefault="00C71CAA">
            <w:pPr>
              <w:pStyle w:val="TableCell"/>
              <w:spacing w:before="60" w:after="60"/>
              <w:jc w:val="left"/>
            </w:pPr>
            <m:oMath>
              <m:r>
                <w:rPr>
                  <w:rFonts w:ascii="Cambria Math" w:hAnsi="Cambria Math" w:cs="Arial"/>
                </w:rPr>
                <m:t>ETD</m:t>
              </m:r>
              <m:sSub>
                <m:sSubPr>
                  <m:ctrlPr>
                    <w:rPr>
                      <w:rFonts w:ascii="Cambria Math" w:hAnsi="Cambria Math" w:cs="Arial"/>
                    </w:rPr>
                  </m:ctrlPr>
                </m:sSubPr>
                <m:e>
                  <m:r>
                    <w:rPr>
                      <w:rFonts w:ascii="Cambria Math" w:hAnsi="Cambria Math" w:cs="Arial"/>
                    </w:rPr>
                    <m:t>F</m:t>
                  </m:r>
                </m:e>
                <m:sub>
                  <m:r>
                    <w:rPr>
                      <w:rFonts w:ascii="Cambria Math" w:hAnsi="Cambria Math" w:cs="Arial"/>
                    </w:rPr>
                    <m:t>s</m:t>
                  </m:r>
                </m:sub>
              </m:sSub>
            </m:oMath>
            <w:r w:rsidRPr="001570EA">
              <w:t>, Summer Energy to Demand Factor</w:t>
            </w:r>
          </w:p>
        </w:tc>
        <w:tc>
          <w:tcPr>
            <w:tcW w:w="867" w:type="pct"/>
            <w:vAlign w:val="center"/>
          </w:tcPr>
          <w:p w14:paraId="0E82A3D9" w14:textId="77777777" w:rsidR="00C71CAA" w:rsidRPr="001570EA" w:rsidRDefault="003B5E04">
            <w:pPr>
              <w:pStyle w:val="TableCell"/>
              <w:spacing w:before="60" w:after="60"/>
              <w:jc w:val="cente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206" w:type="pct"/>
          </w:tcPr>
          <w:p w14:paraId="44D46963" w14:textId="77777777" w:rsidR="00C71CAA" w:rsidRPr="001570EA" w:rsidRDefault="00C71CAA">
            <w:pPr>
              <w:pStyle w:val="TableCell"/>
              <w:spacing w:before="60" w:after="60"/>
              <w:jc w:val="center"/>
              <w:rPr>
                <w:rFonts w:ascii="Calibri" w:hAnsi="Calibri" w:cs="Calibri"/>
                <w:b/>
                <w:bCs/>
                <w:color w:val="000000"/>
                <w:sz w:val="22"/>
                <w:szCs w:val="22"/>
              </w:rPr>
            </w:pPr>
            <w:r w:rsidRPr="001570EA">
              <w:t>0.0001057</w:t>
            </w:r>
          </w:p>
          <w:p w14:paraId="23DBE597" w14:textId="77777777" w:rsidR="00C71CAA" w:rsidRPr="001570EA" w:rsidRDefault="00C71CAA">
            <w:pPr>
              <w:pStyle w:val="TableCell"/>
              <w:spacing w:before="60" w:after="60"/>
              <w:jc w:val="center"/>
            </w:pPr>
          </w:p>
        </w:tc>
        <w:tc>
          <w:tcPr>
            <w:tcW w:w="591" w:type="pct"/>
          </w:tcPr>
          <w:p w14:paraId="4603978A" w14:textId="77777777" w:rsidR="00C71CAA" w:rsidRPr="001570EA" w:rsidRDefault="00C71CAA">
            <w:pPr>
              <w:pStyle w:val="TableCell"/>
              <w:spacing w:before="60" w:after="60"/>
              <w:jc w:val="center"/>
            </w:pPr>
            <w:r w:rsidRPr="001570EA">
              <w:t>7</w:t>
            </w:r>
          </w:p>
        </w:tc>
      </w:tr>
      <w:tr w:rsidR="00C71CAA" w:rsidRPr="001570EA" w14:paraId="346142D2" w14:textId="77777777">
        <w:tc>
          <w:tcPr>
            <w:tcW w:w="2335" w:type="pct"/>
          </w:tcPr>
          <w:p w14:paraId="3849810B" w14:textId="77777777" w:rsidR="00C71CAA" w:rsidRPr="001570EA" w:rsidRDefault="00C71CAA">
            <w:pPr>
              <w:pStyle w:val="TableCell"/>
              <w:spacing w:before="60" w:after="60"/>
              <w:jc w:val="left"/>
              <w:rPr>
                <w:i/>
              </w:rPr>
            </w:pPr>
            <m:oMath>
              <m:r>
                <w:rPr>
                  <w:rFonts w:ascii="Cambria Math" w:hAnsi="Cambria Math" w:cs="Arial"/>
                </w:rPr>
                <m:t>ETD</m:t>
              </m:r>
              <m:sSub>
                <m:sSubPr>
                  <m:ctrlPr>
                    <w:rPr>
                      <w:rFonts w:ascii="Cambria Math" w:hAnsi="Cambria Math" w:cs="Arial"/>
                    </w:rPr>
                  </m:ctrlPr>
                </m:sSubPr>
                <m:e>
                  <m:r>
                    <w:rPr>
                      <w:rFonts w:ascii="Cambria Math" w:hAnsi="Cambria Math" w:cs="Arial"/>
                    </w:rPr>
                    <m:t>F</m:t>
                  </m:r>
                </m:e>
                <m:sub>
                  <m:r>
                    <w:rPr>
                      <w:rFonts w:ascii="Cambria Math" w:hAnsi="Cambria Math" w:cs="Arial"/>
                    </w:rPr>
                    <m:t>w</m:t>
                  </m:r>
                </m:sub>
              </m:sSub>
            </m:oMath>
            <w:r w:rsidRPr="001570EA">
              <w:rPr>
                <w:i/>
              </w:rPr>
              <w:t xml:space="preserve">, </w:t>
            </w:r>
            <w:r w:rsidRPr="001570EA">
              <w:rPr>
                <w:iCs/>
              </w:rPr>
              <w:t>Winter Energy to Demand Factor</w:t>
            </w:r>
          </w:p>
        </w:tc>
        <w:tc>
          <w:tcPr>
            <w:tcW w:w="867" w:type="pct"/>
            <w:vAlign w:val="center"/>
          </w:tcPr>
          <w:p w14:paraId="76E85F88" w14:textId="77777777" w:rsidR="00C71CAA" w:rsidRPr="001570EA" w:rsidRDefault="003B5E04">
            <w:pPr>
              <w:pStyle w:val="TableCell"/>
              <w:spacing w:before="60" w:after="60"/>
              <w:jc w:val="center"/>
              <w:rPr>
                <w:i/>
                <w:iCs/>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206" w:type="pct"/>
          </w:tcPr>
          <w:p w14:paraId="4BA5CAC2" w14:textId="77777777" w:rsidR="00C71CAA" w:rsidRPr="001570EA" w:rsidRDefault="00C71CAA">
            <w:pPr>
              <w:pStyle w:val="TableCell"/>
              <w:spacing w:before="60" w:after="60"/>
              <w:jc w:val="center"/>
              <w:rPr>
                <w:rFonts w:ascii="Calibri" w:hAnsi="Calibri" w:cs="Calibri"/>
                <w:b/>
                <w:bCs/>
                <w:color w:val="000000"/>
                <w:sz w:val="22"/>
                <w:szCs w:val="22"/>
              </w:rPr>
            </w:pPr>
            <w:r w:rsidRPr="001570EA">
              <w:t>0.0001761</w:t>
            </w:r>
          </w:p>
        </w:tc>
        <w:tc>
          <w:tcPr>
            <w:tcW w:w="591" w:type="pct"/>
          </w:tcPr>
          <w:p w14:paraId="3260531D" w14:textId="77777777" w:rsidR="00C71CAA" w:rsidRPr="001570EA" w:rsidRDefault="00C71CAA">
            <w:pPr>
              <w:pStyle w:val="TableCell"/>
              <w:spacing w:before="60" w:after="60"/>
              <w:jc w:val="center"/>
            </w:pPr>
            <w:r w:rsidRPr="001570EA">
              <w:t>7</w:t>
            </w:r>
          </w:p>
        </w:tc>
      </w:tr>
    </w:tbl>
    <w:p w14:paraId="124D507A" w14:textId="77777777" w:rsidR="00C71CAA" w:rsidRPr="001570EA" w:rsidRDefault="00C71CAA" w:rsidP="00C71CAA"/>
    <w:p w14:paraId="3B151829" w14:textId="77777777" w:rsidR="00C71CAA" w:rsidRPr="001570EA" w:rsidRDefault="00C71CAA" w:rsidP="00C71CAA">
      <w:pPr>
        <w:pStyle w:val="SubStyle"/>
      </w:pPr>
      <w:r w:rsidRPr="001570EA">
        <w:t>Default Savings</w:t>
      </w:r>
    </w:p>
    <w:p w14:paraId="334CAD72" w14:textId="77777777" w:rsidR="00C71CAA" w:rsidRPr="001570EA" w:rsidRDefault="00C71CAA" w:rsidP="00C71CAA">
      <w:pPr>
        <w:pStyle w:val="BodyText"/>
        <w:spacing w:after="120"/>
        <w:ind w:right="0"/>
      </w:pPr>
      <w:r w:rsidRPr="001570EA">
        <w:t>Default energy and demand savings are as follows:</w:t>
      </w:r>
    </w:p>
    <w:p w14:paraId="1FA6AC02" w14:textId="77777777" w:rsidR="00C71CAA" w:rsidRPr="001570EA" w:rsidRDefault="00C71CAA" w:rsidP="00C71CAA">
      <w:pPr>
        <w:pStyle w:val="BodyText"/>
        <w:spacing w:after="120"/>
        <w:ind w:right="0"/>
      </w:pPr>
      <w:r w:rsidRPr="001570EA">
        <w:rPr>
          <w:rFonts w:ascii="Cambria Math" w:hAnsi="Cambria Math"/>
          <w:i/>
          <w:iCs/>
        </w:rPr>
        <w:t>ΔkWh</w:t>
      </w:r>
      <w:r w:rsidRPr="001570EA">
        <w:t xml:space="preserve"> = 1880.5 kWh</w:t>
      </w:r>
    </w:p>
    <w:p w14:paraId="5821880A" w14:textId="77777777" w:rsidR="00C71CAA" w:rsidRPr="001570EA" w:rsidRDefault="00C71CAA" w:rsidP="00C71CAA">
      <w:pPr>
        <w:pStyle w:val="BodyText"/>
        <w:spacing w:after="120"/>
        <w:ind w:right="0"/>
      </w:pPr>
      <w:r w:rsidRPr="001570EA">
        <w:rPr>
          <w:rFonts w:ascii="Cambria Math" w:hAnsi="Cambria Math"/>
          <w:i/>
          <w:iCs/>
        </w:rPr>
        <w:t>ΔkW</w:t>
      </w:r>
      <w:r w:rsidRPr="001570EA">
        <w:rPr>
          <w:rFonts w:ascii="Cambria Math" w:hAnsi="Cambria Math"/>
          <w:i/>
          <w:iCs/>
          <w:vertAlign w:val="subscript"/>
        </w:rPr>
        <w:t>summer peak</w:t>
      </w:r>
      <w:r w:rsidRPr="001570EA">
        <w:t xml:space="preserve"> = 0.1988 kW</w:t>
      </w:r>
    </w:p>
    <w:p w14:paraId="196CD422" w14:textId="77777777" w:rsidR="00C71CAA" w:rsidRPr="001570EA" w:rsidRDefault="00C71CAA" w:rsidP="00C71CAA">
      <w:pPr>
        <w:pStyle w:val="BodyText"/>
        <w:spacing w:after="120"/>
        <w:ind w:right="0"/>
      </w:pPr>
      <w:r w:rsidRPr="001570EA">
        <w:rPr>
          <w:rFonts w:ascii="Cambria Math" w:hAnsi="Cambria Math"/>
          <w:i/>
          <w:iCs/>
        </w:rPr>
        <w:t>ΔkW</w:t>
      </w:r>
      <w:r w:rsidRPr="001570EA">
        <w:rPr>
          <w:rFonts w:ascii="Cambria Math" w:hAnsi="Cambria Math"/>
          <w:i/>
          <w:iCs/>
          <w:vertAlign w:val="subscript"/>
        </w:rPr>
        <w:t>winter peak</w:t>
      </w:r>
      <w:r w:rsidRPr="001570EA">
        <w:t xml:space="preserve"> = 0.3312 kW</w:t>
      </w:r>
    </w:p>
    <w:p w14:paraId="7F12D06C" w14:textId="77777777" w:rsidR="00C71CAA" w:rsidRPr="001570EA" w:rsidRDefault="00C71CAA" w:rsidP="00C71CAA"/>
    <w:p w14:paraId="0FD2C8A8" w14:textId="77777777" w:rsidR="00C71CAA" w:rsidRPr="001570EA" w:rsidRDefault="00C71CAA" w:rsidP="00C71CAA">
      <w:pPr>
        <w:pStyle w:val="SubStyle"/>
      </w:pPr>
      <w:r w:rsidRPr="001570EA">
        <w:t>Evaluation Protocols</w:t>
      </w:r>
    </w:p>
    <w:p w14:paraId="24688D9B" w14:textId="77777777" w:rsidR="00C71CAA" w:rsidRPr="001570EA" w:rsidRDefault="00C71CAA" w:rsidP="00C71CAA">
      <w:pPr>
        <w:pStyle w:val="BodyText"/>
        <w:ind w:right="0"/>
        <w:rPr>
          <w:rFonts w:cs="Arial"/>
        </w:rPr>
      </w:pPr>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5A0D2C1A" w14:textId="77777777" w:rsidR="00C71CAA" w:rsidRPr="001570EA" w:rsidRDefault="00C71CAA" w:rsidP="00C71CAA"/>
    <w:p w14:paraId="4661D582" w14:textId="77777777" w:rsidR="00C71CAA" w:rsidRPr="001570EA" w:rsidRDefault="00C71CAA" w:rsidP="00C71CAA">
      <w:pPr>
        <w:pStyle w:val="SubStyle"/>
      </w:pPr>
      <w:r w:rsidRPr="001570EA">
        <w:t>Sources</w:t>
      </w:r>
    </w:p>
    <w:p w14:paraId="3248C3EE" w14:textId="03DFF300" w:rsidR="00C71CAA" w:rsidRPr="001570EA" w:rsidRDefault="00C71CAA" w:rsidP="002614D2">
      <w:pPr>
        <w:pStyle w:val="source10"/>
        <w:numPr>
          <w:ilvl w:val="0"/>
          <w:numId w:val="18"/>
        </w:numPr>
        <w:spacing w:after="120"/>
        <w:ind w:left="360"/>
        <w:jc w:val="left"/>
      </w:pPr>
      <w:r w:rsidRPr="001570EA">
        <w:rPr>
          <w:color w:val="000000"/>
          <w:shd w:val="clear" w:color="auto" w:fill="FFFFFF"/>
        </w:rPr>
        <w:t>California Electronic Technical Reference Manual. “Solar Thermal Water Heating System, Residential”. Accessed Jan 2024</w:t>
      </w:r>
      <w:r w:rsidRPr="001570EA">
        <w:t xml:space="preserve">. </w:t>
      </w:r>
      <w:hyperlink r:id="rId144" w:history="1">
        <w:r w:rsidRPr="001570EA">
          <w:rPr>
            <w:rStyle w:val="Hyperlink"/>
            <w:rFonts w:cs="Arial"/>
          </w:rPr>
          <w:t>Weblink</w:t>
        </w:r>
      </w:hyperlink>
    </w:p>
    <w:p w14:paraId="2C9143ED" w14:textId="7FCD0904" w:rsidR="00C71CAA" w:rsidRPr="001570EA" w:rsidRDefault="00C71CAA" w:rsidP="002614D2">
      <w:pPr>
        <w:pStyle w:val="source10"/>
        <w:numPr>
          <w:ilvl w:val="0"/>
          <w:numId w:val="18"/>
        </w:numPr>
        <w:spacing w:after="120"/>
        <w:ind w:left="360"/>
        <w:jc w:val="left"/>
      </w:pPr>
      <w:r w:rsidRPr="001570EA">
        <w:t>The average energy factor for all solar water heaters with collector areas of 50 ft</w:t>
      </w:r>
      <w:r w:rsidRPr="001570EA">
        <w:rPr>
          <w:vertAlign w:val="superscript"/>
        </w:rPr>
        <w:t>2</w:t>
      </w:r>
      <w:r w:rsidRPr="001570EA">
        <w:t xml:space="preserve"> or smaller is from </w:t>
      </w:r>
      <w:hyperlink r:id="rId145" w:history="1">
        <w:r w:rsidRPr="001570EA">
          <w:rPr>
            <w:rStyle w:val="Hyperlink"/>
            <w:rFonts w:cs="Arial"/>
          </w:rPr>
          <w:t>Weblink</w:t>
        </w:r>
      </w:hyperlink>
    </w:p>
    <w:p w14:paraId="5BE792FE" w14:textId="5F867252" w:rsidR="00C71CAA" w:rsidRPr="001570EA" w:rsidRDefault="00C71CAA" w:rsidP="002614D2">
      <w:pPr>
        <w:pStyle w:val="ListParagraph"/>
        <w:numPr>
          <w:ilvl w:val="0"/>
          <w:numId w:val="18"/>
        </w:numPr>
        <w:ind w:left="360"/>
        <w:jc w:val="left"/>
      </w:pPr>
      <w:r w:rsidRPr="001570EA">
        <w:rPr>
          <w:shd w:val="clear" w:color="auto" w:fill="FFFFFF"/>
        </w:rPr>
        <w:t xml:space="preserve">Value is mean UEF for standard electric standalone water heaters from Act 129 2023 </w:t>
      </w:r>
      <w:r w:rsidR="007F27FE" w:rsidRPr="001570EA">
        <w:rPr>
          <w:shd w:val="clear" w:color="auto" w:fill="FFFFFF"/>
        </w:rPr>
        <w:t xml:space="preserve">Pennsylvania </w:t>
      </w:r>
      <w:r w:rsidRPr="001570EA">
        <w:rPr>
          <w:shd w:val="clear" w:color="auto" w:fill="FFFFFF"/>
        </w:rPr>
        <w:t xml:space="preserve">Residential Baseline </w:t>
      </w:r>
      <w:r w:rsidRPr="001570EA">
        <w:t xml:space="preserve">Study, </w:t>
      </w:r>
      <w:hyperlink r:id="rId146" w:history="1">
        <w:r w:rsidRPr="001570EA">
          <w:rPr>
            <w:rStyle w:val="Hyperlink"/>
            <w:rFonts w:cs="Arial"/>
          </w:rPr>
          <w:t>Weblink</w:t>
        </w:r>
      </w:hyperlink>
    </w:p>
    <w:p w14:paraId="5DFF0771" w14:textId="64DEE374" w:rsidR="00C71CAA" w:rsidRPr="001570EA" w:rsidRDefault="00C71CAA" w:rsidP="002614D2">
      <w:pPr>
        <w:pStyle w:val="ListParagraph"/>
        <w:numPr>
          <w:ilvl w:val="0"/>
          <w:numId w:val="18"/>
        </w:numPr>
        <w:ind w:left="360"/>
        <w:jc w:val="left"/>
      </w:pPr>
      <w:r w:rsidRPr="001570EA">
        <w:t>Water Research Foundation. (2016). Residential End Uses of Water, Version 2. P</w:t>
      </w:r>
      <w:r w:rsidR="000D1C6D">
        <w:t>a</w:t>
      </w:r>
      <w:r w:rsidRPr="001570EA">
        <w:t>g</w:t>
      </w:r>
      <w:r w:rsidR="000D1C6D">
        <w:t>e</w:t>
      </w:r>
      <w:r w:rsidRPr="001570EA">
        <w:t xml:space="preserve"> 5. </w:t>
      </w:r>
      <w:hyperlink r:id="rId147" w:history="1">
        <w:r w:rsidRPr="001570EA">
          <w:rPr>
            <w:rStyle w:val="Hyperlink"/>
            <w:rFonts w:cs="Arial"/>
          </w:rPr>
          <w:t>Weblink</w:t>
        </w:r>
      </w:hyperlink>
    </w:p>
    <w:p w14:paraId="1BCD6CD8" w14:textId="02CFC185" w:rsidR="00C71CAA" w:rsidRPr="001570EA" w:rsidRDefault="00C71CAA" w:rsidP="002614D2">
      <w:pPr>
        <w:pStyle w:val="source10"/>
        <w:numPr>
          <w:ilvl w:val="0"/>
          <w:numId w:val="18"/>
        </w:numPr>
        <w:spacing w:after="120"/>
        <w:ind w:left="360"/>
        <w:jc w:val="left"/>
      </w:pPr>
      <w:r w:rsidRPr="001570EA">
        <w:t xml:space="preserve">Pennsylvania Act 129 2014 Residential Baseline Study. Section 4.6.1, </w:t>
      </w:r>
      <w:r w:rsidR="00A17104">
        <w:t>P</w:t>
      </w:r>
      <w:r w:rsidR="000D1C6D">
        <w:t>a</w:t>
      </w:r>
      <w:r w:rsidRPr="001570EA">
        <w:t>g</w:t>
      </w:r>
      <w:r w:rsidR="000D1C6D">
        <w:t>e</w:t>
      </w:r>
      <w:r w:rsidRPr="001570EA">
        <w:t xml:space="preserve"> 60, </w:t>
      </w:r>
      <w:r w:rsidR="006B4BE8">
        <w:t>T</w:t>
      </w:r>
      <w:r w:rsidRPr="001570EA">
        <w:t xml:space="preserve">able 4-64. </w:t>
      </w:r>
      <w:hyperlink r:id="rId148" w:history="1">
        <w:r w:rsidRPr="001570EA">
          <w:rPr>
            <w:rStyle w:val="Hyperlink"/>
          </w:rPr>
          <w:t>Weblink</w:t>
        </w:r>
      </w:hyperlink>
    </w:p>
    <w:p w14:paraId="32D55870" w14:textId="56D3986A" w:rsidR="00C71CAA" w:rsidRPr="001570EA" w:rsidRDefault="00C71CAA" w:rsidP="002614D2">
      <w:pPr>
        <w:pStyle w:val="source10"/>
        <w:numPr>
          <w:ilvl w:val="0"/>
          <w:numId w:val="18"/>
        </w:numPr>
        <w:spacing w:after="120"/>
        <w:ind w:left="360"/>
        <w:jc w:val="left"/>
        <w:rPr>
          <w:rStyle w:val="Hyperlink"/>
          <w:rFonts w:cs="Arial"/>
          <w:color w:val="auto"/>
          <w:u w:val="none"/>
        </w:rPr>
      </w:pPr>
      <w:r w:rsidRPr="001570EA">
        <w:t xml:space="preserve">Using Rock Spring, PA (Site 2036) as a proxy, the mean soil temperature at 40-inch depth is 52.502. Calculated using Daily SCAN Standard - Period of Record data from December 2003 to December 2023 from the Natural Resource Conservation Service Database. </w:t>
      </w:r>
      <w:hyperlink r:id="rId149" w:history="1">
        <w:r w:rsidRPr="001570EA">
          <w:rPr>
            <w:rStyle w:val="Hyperlink"/>
            <w:rFonts w:cs="Arial"/>
          </w:rPr>
          <w:t>Weblink</w:t>
        </w:r>
      </w:hyperlink>
      <w:r w:rsidRPr="001570EA">
        <w:t>. Methodology follows Missouri TRM 2017 Volume 2: Commercial and Industrial Measures. (2017, March). “2.6.1 Water Heater”. P</w:t>
      </w:r>
      <w:r w:rsidR="000D1C6D">
        <w:t>a</w:t>
      </w:r>
      <w:r w:rsidRPr="001570EA">
        <w:t>g</w:t>
      </w:r>
      <w:r w:rsidR="000D1C6D">
        <w:t>e</w:t>
      </w:r>
      <w:r w:rsidRPr="001570EA">
        <w:t xml:space="preserve"> 78. </w:t>
      </w:r>
      <w:hyperlink r:id="rId150" w:history="1">
        <w:r w:rsidRPr="001570EA">
          <w:rPr>
            <w:rStyle w:val="Hyperlink"/>
          </w:rPr>
          <w:t>Weblink</w:t>
        </w:r>
      </w:hyperlink>
    </w:p>
    <w:p w14:paraId="3DAE7C7B" w14:textId="303BB6E5" w:rsidR="00C71CAA" w:rsidRPr="001570EA" w:rsidRDefault="00C71CAA" w:rsidP="002614D2">
      <w:pPr>
        <w:pStyle w:val="source10"/>
        <w:numPr>
          <w:ilvl w:val="0"/>
          <w:numId w:val="18"/>
        </w:numPr>
        <w:spacing w:after="120"/>
        <w:ind w:left="360"/>
        <w:jc w:val="left"/>
      </w:pPr>
      <w:r w:rsidRPr="001570EA">
        <w:t xml:space="preserve">Wilson et al. 2021. End-Use Load Profiles for the U.S. Building Stock: Methodology and Results of Model Calibration, Validation, and Uncertainty Quantification. NREL/TP-5500-80889. </w:t>
      </w:r>
      <w:hyperlink r:id="rId151" w:history="1">
        <w:r w:rsidRPr="001570EA">
          <w:rPr>
            <w:rStyle w:val="Hyperlink"/>
            <w:rFonts w:cs="Arial"/>
          </w:rPr>
          <w:t>Weblink</w:t>
        </w:r>
      </w:hyperlink>
    </w:p>
    <w:p w14:paraId="69EA5292" w14:textId="77777777" w:rsidR="00C71CAA" w:rsidRPr="001570EA" w:rsidDel="00835380" w:rsidRDefault="00C71CAA" w:rsidP="00C71CAA">
      <w:pPr>
        <w:pStyle w:val="source10"/>
        <w:spacing w:after="120"/>
        <w:jc w:val="left"/>
      </w:pPr>
    </w:p>
    <w:p w14:paraId="5D6EADB6" w14:textId="77777777" w:rsidR="00C71CAA" w:rsidRPr="001570EA" w:rsidRDefault="00C71CAA" w:rsidP="002614D2">
      <w:pPr>
        <w:pStyle w:val="source10"/>
        <w:numPr>
          <w:ilvl w:val="0"/>
          <w:numId w:val="18"/>
        </w:numPr>
        <w:spacing w:after="120"/>
        <w:jc w:val="left"/>
        <w:textAlignment w:val="auto"/>
        <w:rPr>
          <w:rStyle w:val="Hyperlink"/>
          <w:rFonts w:cs="Arial"/>
        </w:rPr>
        <w:sectPr w:rsidR="00C71CAA" w:rsidRPr="001570EA" w:rsidSect="002D556C">
          <w:pgSz w:w="12240" w:h="15840"/>
          <w:pgMar w:top="1440" w:right="1800" w:bottom="1440" w:left="1800" w:header="720" w:footer="501" w:gutter="0"/>
          <w:cols w:space="720"/>
        </w:sectPr>
      </w:pPr>
    </w:p>
    <w:p w14:paraId="7A0B16ED" w14:textId="77777777" w:rsidR="00C71CAA" w:rsidRPr="001570EA" w:rsidRDefault="00C71CAA" w:rsidP="00462D97">
      <w:pPr>
        <w:pStyle w:val="Heading3"/>
      </w:pPr>
      <w:bookmarkStart w:id="412" w:name="_Toc364420814"/>
      <w:bookmarkStart w:id="413" w:name="_Toc373320451"/>
      <w:bookmarkStart w:id="414" w:name="_Toc364760929"/>
      <w:bookmarkStart w:id="415" w:name="_Toc530141478"/>
      <w:bookmarkStart w:id="416" w:name="_Toc48143032"/>
      <w:bookmarkStart w:id="417" w:name="_Toc164786651"/>
      <w:r w:rsidRPr="001570EA">
        <w:t>Water Heater Tank Wrap</w:t>
      </w:r>
      <w:bookmarkEnd w:id="412"/>
      <w:bookmarkEnd w:id="413"/>
      <w:bookmarkEnd w:id="414"/>
      <w:bookmarkEnd w:id="415"/>
      <w:bookmarkEnd w:id="416"/>
      <w:bookmarkEnd w:id="417"/>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5016"/>
      </w:tblGrid>
      <w:tr w:rsidR="00C71CAA" w:rsidRPr="001570EA" w14:paraId="2015913C" w14:textId="77777777">
        <w:tc>
          <w:tcPr>
            <w:tcW w:w="2058" w:type="pct"/>
            <w:shd w:val="clear" w:color="auto" w:fill="auto"/>
            <w:vAlign w:val="center"/>
          </w:tcPr>
          <w:p w14:paraId="167B6CF3" w14:textId="77777777" w:rsidR="00C71CAA" w:rsidRPr="001570EA" w:rsidRDefault="00C71CAA">
            <w:pPr>
              <w:pStyle w:val="TableCell"/>
              <w:spacing w:before="60" w:after="60"/>
              <w:rPr>
                <w:b/>
              </w:rPr>
            </w:pPr>
            <w:r w:rsidRPr="001570EA">
              <w:rPr>
                <w:b/>
              </w:rPr>
              <w:t>Target Sector</w:t>
            </w:r>
          </w:p>
        </w:tc>
        <w:tc>
          <w:tcPr>
            <w:tcW w:w="2942" w:type="pct"/>
            <w:shd w:val="clear" w:color="auto" w:fill="auto"/>
            <w:vAlign w:val="center"/>
          </w:tcPr>
          <w:p w14:paraId="180F5AA8" w14:textId="77777777" w:rsidR="00C71CAA" w:rsidRPr="001570EA" w:rsidRDefault="00C71CAA">
            <w:pPr>
              <w:pStyle w:val="TableCell"/>
              <w:spacing w:before="60" w:after="60"/>
              <w:jc w:val="center"/>
            </w:pPr>
            <w:r w:rsidRPr="001570EA">
              <w:t>Residential</w:t>
            </w:r>
          </w:p>
        </w:tc>
      </w:tr>
      <w:tr w:rsidR="00C71CAA" w:rsidRPr="001570EA" w14:paraId="722354B0" w14:textId="77777777">
        <w:tc>
          <w:tcPr>
            <w:tcW w:w="2058" w:type="pct"/>
            <w:shd w:val="clear" w:color="auto" w:fill="auto"/>
            <w:vAlign w:val="center"/>
          </w:tcPr>
          <w:p w14:paraId="76717918" w14:textId="77777777" w:rsidR="00C71CAA" w:rsidRPr="001570EA" w:rsidRDefault="00C71CAA">
            <w:pPr>
              <w:pStyle w:val="TableCell"/>
              <w:spacing w:before="60" w:after="60"/>
              <w:rPr>
                <w:b/>
              </w:rPr>
            </w:pPr>
            <w:r w:rsidRPr="001570EA">
              <w:rPr>
                <w:b/>
              </w:rPr>
              <w:t>Measure Unit</w:t>
            </w:r>
          </w:p>
        </w:tc>
        <w:tc>
          <w:tcPr>
            <w:tcW w:w="2942" w:type="pct"/>
            <w:shd w:val="clear" w:color="auto" w:fill="auto"/>
            <w:vAlign w:val="center"/>
          </w:tcPr>
          <w:p w14:paraId="7A3F86CD" w14:textId="77777777" w:rsidR="00C71CAA" w:rsidRPr="001570EA" w:rsidRDefault="00C71CAA">
            <w:pPr>
              <w:pStyle w:val="TableCell"/>
              <w:spacing w:before="60" w:after="60"/>
              <w:jc w:val="center"/>
            </w:pPr>
            <w:r w:rsidRPr="001570EA">
              <w:t>Tank</w:t>
            </w:r>
          </w:p>
        </w:tc>
      </w:tr>
      <w:tr w:rsidR="00C71CAA" w:rsidRPr="001570EA" w14:paraId="4C6A7E13" w14:textId="77777777">
        <w:tc>
          <w:tcPr>
            <w:tcW w:w="2058" w:type="pct"/>
            <w:shd w:val="clear" w:color="auto" w:fill="auto"/>
            <w:vAlign w:val="center"/>
          </w:tcPr>
          <w:p w14:paraId="5074EBA2" w14:textId="77777777" w:rsidR="00C71CAA" w:rsidRPr="001570EA" w:rsidRDefault="00C71CAA">
            <w:pPr>
              <w:pStyle w:val="TableCell"/>
              <w:spacing w:before="60" w:after="60"/>
              <w:rPr>
                <w:b/>
              </w:rPr>
            </w:pPr>
            <w:r w:rsidRPr="001570EA">
              <w:rPr>
                <w:b/>
              </w:rPr>
              <w:t>Measure Life</w:t>
            </w:r>
          </w:p>
        </w:tc>
        <w:tc>
          <w:tcPr>
            <w:tcW w:w="2942" w:type="pct"/>
            <w:shd w:val="clear" w:color="auto" w:fill="auto"/>
            <w:vAlign w:val="center"/>
          </w:tcPr>
          <w:p w14:paraId="30807DE5" w14:textId="77777777" w:rsidR="00C71CAA" w:rsidRPr="001570EA" w:rsidRDefault="00C71CAA">
            <w:pPr>
              <w:pStyle w:val="TableCell"/>
              <w:spacing w:before="60" w:after="60"/>
              <w:jc w:val="center"/>
              <w:rPr>
                <w:vertAlign w:val="superscript"/>
              </w:rPr>
            </w:pPr>
            <w:r w:rsidRPr="001570EA">
              <w:t>7 years</w:t>
            </w:r>
            <w:r w:rsidRPr="001570EA">
              <w:rPr>
                <w:vertAlign w:val="superscript"/>
              </w:rPr>
              <w:t>Source 6</w:t>
            </w:r>
            <w:r w:rsidRPr="001570EA">
              <w:t xml:space="preserve"> </w:t>
            </w:r>
          </w:p>
        </w:tc>
      </w:tr>
      <w:tr w:rsidR="00C71CAA" w:rsidRPr="001570EA" w14:paraId="34289459" w14:textId="77777777">
        <w:tc>
          <w:tcPr>
            <w:tcW w:w="2058" w:type="pct"/>
            <w:shd w:val="clear" w:color="auto" w:fill="auto"/>
            <w:vAlign w:val="center"/>
          </w:tcPr>
          <w:p w14:paraId="2C738E79" w14:textId="77777777" w:rsidR="00C71CAA" w:rsidRPr="001570EA" w:rsidRDefault="00C71CAA">
            <w:pPr>
              <w:pStyle w:val="TableCell"/>
              <w:spacing w:before="60" w:after="60"/>
              <w:rPr>
                <w:b/>
              </w:rPr>
            </w:pPr>
            <w:r w:rsidRPr="001570EA">
              <w:rPr>
                <w:b/>
              </w:rPr>
              <w:t>Vintage</w:t>
            </w:r>
          </w:p>
        </w:tc>
        <w:tc>
          <w:tcPr>
            <w:tcW w:w="2942" w:type="pct"/>
            <w:shd w:val="clear" w:color="auto" w:fill="auto"/>
            <w:vAlign w:val="center"/>
          </w:tcPr>
          <w:p w14:paraId="682D7D30" w14:textId="77777777" w:rsidR="00C71CAA" w:rsidRPr="001570EA" w:rsidRDefault="00C71CAA">
            <w:pPr>
              <w:pStyle w:val="TableCell"/>
              <w:spacing w:before="60" w:after="60"/>
              <w:jc w:val="center"/>
            </w:pPr>
            <w:r w:rsidRPr="001570EA">
              <w:t>Retrofit</w:t>
            </w:r>
          </w:p>
        </w:tc>
      </w:tr>
    </w:tbl>
    <w:p w14:paraId="13CFE21E" w14:textId="77777777" w:rsidR="00C71CAA" w:rsidRPr="001570EA" w:rsidRDefault="00C71CAA" w:rsidP="00C71CAA"/>
    <w:p w14:paraId="29224CD3" w14:textId="77777777" w:rsidR="00C71CAA" w:rsidRPr="001570EA" w:rsidRDefault="00C71CAA" w:rsidP="00C71CAA">
      <w:r w:rsidRPr="001570EA" w:rsidDel="00895AD7">
        <w:t>This</w:t>
      </w:r>
      <w:r w:rsidRPr="001570EA">
        <w:t xml:space="preserve"> </w:t>
      </w:r>
      <w:r w:rsidRPr="001570EA" w:rsidDel="00895AD7">
        <w:t>measure</w:t>
      </w:r>
      <w:r w:rsidRPr="001570EA">
        <w:t xml:space="preserve"> </w:t>
      </w:r>
      <w:r w:rsidRPr="001570EA" w:rsidDel="00895AD7">
        <w:t>applies</w:t>
      </w:r>
      <w:r w:rsidRPr="001570EA">
        <w:t xml:space="preserve"> </w:t>
      </w:r>
      <w:r w:rsidRPr="001570EA" w:rsidDel="00895AD7">
        <w:t>to</w:t>
      </w:r>
      <w:r w:rsidRPr="001570EA">
        <w:t xml:space="preserve"> </w:t>
      </w:r>
      <w:r w:rsidRPr="001570EA" w:rsidDel="00895AD7">
        <w:t>the</w:t>
      </w:r>
      <w:r w:rsidRPr="001570EA">
        <w:t xml:space="preserve"> </w:t>
      </w:r>
      <w:r w:rsidRPr="001570EA" w:rsidDel="00895AD7">
        <w:t>installation</w:t>
      </w:r>
      <w:r w:rsidRPr="001570EA">
        <w:t xml:space="preserve"> </w:t>
      </w:r>
      <w:r w:rsidRPr="001570EA" w:rsidDel="00895AD7">
        <w:t>of</w:t>
      </w:r>
      <w:r w:rsidRPr="001570EA">
        <w:t xml:space="preserve"> </w:t>
      </w:r>
      <w:r w:rsidRPr="001570EA" w:rsidDel="00895AD7">
        <w:t>an</w:t>
      </w:r>
      <w:r w:rsidRPr="001570EA">
        <w:t xml:space="preserve"> </w:t>
      </w:r>
      <w:r w:rsidRPr="001570EA" w:rsidDel="00895AD7">
        <w:t>insulated</w:t>
      </w:r>
      <w:r w:rsidRPr="001570EA">
        <w:t xml:space="preserve"> </w:t>
      </w:r>
      <w:r w:rsidRPr="001570EA" w:rsidDel="00895AD7">
        <w:t>tank</w:t>
      </w:r>
      <w:r w:rsidRPr="001570EA">
        <w:t xml:space="preserve"> </w:t>
      </w:r>
      <w:r w:rsidRPr="001570EA" w:rsidDel="00895AD7">
        <w:t>wrap</w:t>
      </w:r>
      <w:r w:rsidRPr="001570EA">
        <w:t xml:space="preserve"> </w:t>
      </w:r>
      <w:r w:rsidRPr="001570EA" w:rsidDel="00895AD7">
        <w:t>or</w:t>
      </w:r>
      <w:r w:rsidRPr="001570EA">
        <w:t xml:space="preserve"> </w:t>
      </w:r>
      <w:r w:rsidRPr="001570EA" w:rsidDel="00895AD7">
        <w:t>“blanket”</w:t>
      </w:r>
      <w:r w:rsidRPr="001570EA">
        <w:t xml:space="preserve"> </w:t>
      </w:r>
      <w:r w:rsidRPr="001570EA" w:rsidDel="00895AD7">
        <w:t>to</w:t>
      </w:r>
      <w:r w:rsidRPr="001570EA">
        <w:t xml:space="preserve"> </w:t>
      </w:r>
      <w:r w:rsidRPr="001570EA" w:rsidDel="00895AD7">
        <w:t>existing</w:t>
      </w:r>
      <w:r w:rsidRPr="001570EA">
        <w:t xml:space="preserve"> </w:t>
      </w:r>
      <w:r w:rsidRPr="001570EA" w:rsidDel="00895AD7">
        <w:t>residential</w:t>
      </w:r>
      <w:r w:rsidRPr="001570EA">
        <w:t xml:space="preserve"> </w:t>
      </w:r>
      <w:r w:rsidRPr="001570EA" w:rsidDel="00895AD7">
        <w:t>electric</w:t>
      </w:r>
      <w:r w:rsidRPr="001570EA">
        <w:t xml:space="preserve"> </w:t>
      </w:r>
      <w:r w:rsidRPr="001570EA" w:rsidDel="00895AD7">
        <w:t>hot</w:t>
      </w:r>
      <w:r w:rsidRPr="001570EA">
        <w:t xml:space="preserve"> </w:t>
      </w:r>
      <w:r w:rsidRPr="001570EA" w:rsidDel="00895AD7">
        <w:t>water</w:t>
      </w:r>
      <w:r w:rsidRPr="001570EA">
        <w:t xml:space="preserve"> </w:t>
      </w:r>
      <w:r w:rsidRPr="001570EA" w:rsidDel="00895AD7">
        <w:t>heaters.</w:t>
      </w:r>
    </w:p>
    <w:p w14:paraId="23EA0FC6" w14:textId="77777777" w:rsidR="00C71CAA" w:rsidRPr="001570EA" w:rsidDel="00895AD7" w:rsidRDefault="00C71CAA" w:rsidP="00C71CAA"/>
    <w:p w14:paraId="656BDF97" w14:textId="77777777" w:rsidR="00C71CAA" w:rsidRPr="001570EA" w:rsidRDefault="00C71CAA" w:rsidP="00C71CAA">
      <w:r w:rsidRPr="001570EA" w:rsidDel="00895AD7">
        <w:t>The</w:t>
      </w:r>
      <w:r w:rsidRPr="001570EA">
        <w:t xml:space="preserve"> </w:t>
      </w:r>
      <w:r w:rsidRPr="001570EA" w:rsidDel="00895AD7">
        <w:t>base</w:t>
      </w:r>
      <w:r w:rsidRPr="001570EA">
        <w:t xml:space="preserve"> </w:t>
      </w:r>
      <w:r w:rsidRPr="001570EA" w:rsidDel="00895AD7">
        <w:t>case</w:t>
      </w:r>
      <w:r w:rsidRPr="001570EA">
        <w:t xml:space="preserve"> </w:t>
      </w:r>
      <w:r w:rsidRPr="001570EA" w:rsidDel="00895AD7">
        <w:t>for</w:t>
      </w:r>
      <w:r w:rsidRPr="001570EA">
        <w:t xml:space="preserve"> </w:t>
      </w:r>
      <w:r w:rsidRPr="001570EA" w:rsidDel="00895AD7">
        <w:t>this</w:t>
      </w:r>
      <w:r w:rsidRPr="001570EA">
        <w:t xml:space="preserve"> </w:t>
      </w:r>
      <w:r w:rsidRPr="001570EA" w:rsidDel="00895AD7">
        <w:t>measure</w:t>
      </w:r>
      <w:r w:rsidRPr="001570EA">
        <w:t xml:space="preserve"> </w:t>
      </w:r>
      <w:r w:rsidRPr="001570EA" w:rsidDel="00895AD7">
        <w:t>is</w:t>
      </w:r>
      <w:r w:rsidRPr="001570EA">
        <w:t xml:space="preserve"> </w:t>
      </w:r>
      <w:r w:rsidRPr="001570EA" w:rsidDel="00895AD7">
        <w:t>a</w:t>
      </w:r>
      <w:r w:rsidRPr="001570EA">
        <w:t xml:space="preserve"> </w:t>
      </w:r>
      <w:r w:rsidRPr="001570EA" w:rsidDel="00895AD7">
        <w:t>standard</w:t>
      </w:r>
      <w:r w:rsidRPr="001570EA">
        <w:t xml:space="preserve"> </w:t>
      </w:r>
      <w:r w:rsidRPr="001570EA" w:rsidDel="00895AD7">
        <w:t>residential,</w:t>
      </w:r>
      <w:r w:rsidRPr="001570EA">
        <w:t xml:space="preserve"> </w:t>
      </w:r>
      <w:r w:rsidRPr="001570EA" w:rsidDel="00895AD7">
        <w:t>tank-style,</w:t>
      </w:r>
      <w:r w:rsidRPr="001570EA">
        <w:t xml:space="preserve"> </w:t>
      </w:r>
      <w:r w:rsidRPr="001570EA" w:rsidDel="00895AD7">
        <w:t>electric</w:t>
      </w:r>
      <w:r w:rsidRPr="001570EA">
        <w:t xml:space="preserve"> </w:t>
      </w:r>
      <w:r w:rsidRPr="001570EA" w:rsidDel="00895AD7">
        <w:t>water</w:t>
      </w:r>
      <w:r w:rsidRPr="001570EA">
        <w:t xml:space="preserve"> </w:t>
      </w:r>
      <w:r w:rsidRPr="001570EA" w:rsidDel="00895AD7">
        <w:t>heater</w:t>
      </w:r>
      <w:r w:rsidRPr="001570EA">
        <w:t xml:space="preserve"> </w:t>
      </w:r>
      <w:r w:rsidRPr="001570EA" w:rsidDel="00895AD7">
        <w:t>with</w:t>
      </w:r>
      <w:r w:rsidRPr="001570EA">
        <w:t xml:space="preserve"> </w:t>
      </w:r>
      <w:r w:rsidRPr="001570EA" w:rsidDel="00895AD7">
        <w:t>no</w:t>
      </w:r>
      <w:r w:rsidRPr="001570EA">
        <w:t xml:space="preserve"> </w:t>
      </w:r>
      <w:r w:rsidRPr="001570EA" w:rsidDel="00895AD7">
        <w:t>external</w:t>
      </w:r>
      <w:r w:rsidRPr="001570EA">
        <w:t xml:space="preserve"> </w:t>
      </w:r>
      <w:r w:rsidRPr="001570EA" w:rsidDel="00895AD7">
        <w:t>insulation</w:t>
      </w:r>
      <w:r w:rsidRPr="001570EA">
        <w:t xml:space="preserve"> </w:t>
      </w:r>
      <w:r w:rsidRPr="001570EA" w:rsidDel="00895AD7">
        <w:t>wrap.</w:t>
      </w:r>
    </w:p>
    <w:p w14:paraId="766D9AB0" w14:textId="77777777" w:rsidR="00C71CAA" w:rsidRPr="001570EA" w:rsidRDefault="00C71CAA" w:rsidP="00FD3810"/>
    <w:p w14:paraId="65D45549" w14:textId="77777777" w:rsidR="00C71CAA" w:rsidRPr="001570EA" w:rsidRDefault="00C71CAA" w:rsidP="00C71CAA">
      <w:pPr>
        <w:pStyle w:val="SubStyle"/>
      </w:pPr>
      <w:r w:rsidRPr="001570EA">
        <w:t>Eligibility</w:t>
      </w:r>
    </w:p>
    <w:p w14:paraId="1DD8BB65" w14:textId="77777777" w:rsidR="00C71CAA" w:rsidRPr="001570EA" w:rsidRDefault="00C71CAA" w:rsidP="00C71CAA">
      <w:r w:rsidRPr="001570EA">
        <w:t>This measure documents the energy savings attributed to installing an insulating tank wrap on an existing electric resistance water heater. The target sector is residential.</w:t>
      </w:r>
    </w:p>
    <w:p w14:paraId="1E99DE6C" w14:textId="77777777" w:rsidR="00C71CAA" w:rsidRPr="001570EA" w:rsidRDefault="00C71CAA" w:rsidP="00C71CAA"/>
    <w:p w14:paraId="0FF688B7" w14:textId="77777777" w:rsidR="00C71CAA" w:rsidRPr="001570EA" w:rsidRDefault="00C71CAA" w:rsidP="00C71CAA">
      <w:r w:rsidRPr="001570EA">
        <w:t>The U.S. Department of Energy recommends adding a water heater wrap of at least R-8 to any water heater with an existing R-value less than R-24.</w:t>
      </w:r>
      <w:r w:rsidRPr="001570EA">
        <w:rPr>
          <w:vertAlign w:val="superscript"/>
        </w:rPr>
        <w:t>Source 7</w:t>
      </w:r>
    </w:p>
    <w:p w14:paraId="7FE77FC9" w14:textId="77777777" w:rsidR="00C71CAA" w:rsidRPr="001570EA" w:rsidRDefault="00C71CAA" w:rsidP="00FD3810"/>
    <w:p w14:paraId="6F1E41C5" w14:textId="77777777" w:rsidR="00C71CAA" w:rsidRPr="001570EA" w:rsidRDefault="00C71CAA" w:rsidP="00C71CAA">
      <w:pPr>
        <w:pStyle w:val="SubStyle"/>
      </w:pPr>
      <w:r w:rsidRPr="001570EA">
        <w:t>Algorithms</w:t>
      </w:r>
    </w:p>
    <w:p w14:paraId="76CE173A" w14:textId="77777777" w:rsidR="00C71CAA" w:rsidRPr="001570EA" w:rsidRDefault="00C71CAA" w:rsidP="00C71CAA">
      <w:pPr>
        <w:spacing w:after="120"/>
      </w:pPr>
      <w:r w:rsidRPr="001570EA">
        <w:t xml:space="preserve">The annual energy savings for this measure are assumed to be dependent upon decreases in the overall heat transfer coefficient that are achieved by increasing the total R-value of the tank insulation. </w:t>
      </w:r>
    </w:p>
    <w:p w14:paraId="5B5E053A" w14:textId="77777777" w:rsidR="00C71CAA" w:rsidRPr="001570EA" w:rsidRDefault="00C71CAA" w:rsidP="00C71CAA">
      <w:pPr>
        <w:tabs>
          <w:tab w:val="left" w:pos="2160"/>
        </w:tabs>
      </w:pPr>
      <m:oMath>
        <m:r>
          <w:rPr>
            <w:rFonts w:ascii="Cambria Math" w:hAnsi="Cambria Math" w:cs="Arial"/>
            <w:szCs w:val="20"/>
          </w:rPr>
          <m:t>∆kWh</m:t>
        </m:r>
      </m:oMath>
      <w:r w:rsidRPr="001570EA">
        <w:tab/>
      </w:r>
      <m:oMath>
        <m:r>
          <w:rPr>
            <w:rFonts w:ascii="Cambria Math" w:hAnsi="Cambria Math"/>
            <w:szCs w:val="20"/>
          </w:rPr>
          <m:t>=</m:t>
        </m:r>
        <m:f>
          <m:fPr>
            <m:ctrlPr>
              <w:rPr>
                <w:rFonts w:ascii="Cambria Math" w:hAnsi="Cambria Math"/>
                <w:i/>
                <w:szCs w:val="20"/>
              </w:rPr>
            </m:ctrlPr>
          </m:fPr>
          <m:num>
            <m:r>
              <w:rPr>
                <w:rFonts w:ascii="Cambria Math" w:hAnsi="Cambria Math"/>
                <w:szCs w:val="20"/>
              </w:rPr>
              <m:t>HOU</m:t>
            </m:r>
          </m:num>
          <m:den>
            <m:r>
              <m:rPr>
                <m:sty m:val="p"/>
              </m:rPr>
              <w:rPr>
                <w:rFonts w:ascii="Cambria Math" w:hAnsi="Cambria Math"/>
                <w:szCs w:val="20"/>
              </w:rPr>
              <m:t>3412×</m:t>
            </m:r>
            <m:sSub>
              <m:sSubPr>
                <m:ctrlPr>
                  <w:rPr>
                    <w:rFonts w:ascii="Cambria Math" w:hAnsi="Cambria Math"/>
                    <w:i/>
                    <w:szCs w:val="20"/>
                  </w:rPr>
                </m:ctrlPr>
              </m:sSubPr>
              <m:e>
                <m:r>
                  <w:rPr>
                    <w:rFonts w:ascii="Cambria Math" w:hAnsi="Cambria Math"/>
                    <w:szCs w:val="20"/>
                  </w:rPr>
                  <m:t>η</m:t>
                </m:r>
              </m:e>
              <m:sub>
                <m:r>
                  <w:rPr>
                    <w:rFonts w:ascii="Cambria Math" w:hAnsi="Cambria Math"/>
                    <w:szCs w:val="20"/>
                  </w:rPr>
                  <m:t>Elec</m:t>
                </m:r>
              </m:sub>
            </m:sSub>
          </m:den>
        </m:f>
        <m:r>
          <w:rPr>
            <w:rFonts w:ascii="Cambria Math" w:hAnsi="Cambria Math"/>
            <w:szCs w:val="20"/>
          </w:rPr>
          <m:t>×</m:t>
        </m:r>
        <m:d>
          <m:dPr>
            <m:ctrlPr>
              <w:rPr>
                <w:rFonts w:ascii="Cambria Math" w:hAnsi="Cambria Math"/>
                <w:i/>
                <w:szCs w:val="20"/>
              </w:rPr>
            </m:ctrlPr>
          </m:dPr>
          <m:e>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A</m:t>
                    </m:r>
                  </m:e>
                  <m:sub>
                    <m:r>
                      <w:rPr>
                        <w:rFonts w:ascii="Cambria Math" w:hAnsi="Cambria Math"/>
                        <w:szCs w:val="20"/>
                      </w:rPr>
                      <m:t>base</m:t>
                    </m:r>
                  </m:sub>
                </m:sSub>
              </m:num>
              <m:den>
                <m:sSub>
                  <m:sSubPr>
                    <m:ctrlPr>
                      <w:rPr>
                        <w:rFonts w:ascii="Cambria Math" w:hAnsi="Cambria Math"/>
                        <w:i/>
                        <w:szCs w:val="20"/>
                      </w:rPr>
                    </m:ctrlPr>
                  </m:sSubPr>
                  <m:e>
                    <m:r>
                      <w:rPr>
                        <w:rFonts w:ascii="Cambria Math" w:hAnsi="Cambria Math"/>
                        <w:szCs w:val="20"/>
                      </w:rPr>
                      <m:t>R</m:t>
                    </m:r>
                  </m:e>
                  <m:sub>
                    <m:r>
                      <w:rPr>
                        <w:rFonts w:ascii="Cambria Math" w:hAnsi="Cambria Math"/>
                        <w:szCs w:val="20"/>
                      </w:rPr>
                      <m:t>base</m:t>
                    </m:r>
                  </m:sub>
                </m:sSub>
              </m:den>
            </m:f>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A</m:t>
                    </m:r>
                  </m:e>
                  <m:sub>
                    <m:r>
                      <w:rPr>
                        <w:rFonts w:ascii="Cambria Math" w:hAnsi="Cambria Math"/>
                        <w:szCs w:val="20"/>
                      </w:rPr>
                      <m:t>insul</m:t>
                    </m:r>
                  </m:sub>
                </m:sSub>
              </m:num>
              <m:den>
                <m:sSub>
                  <m:sSubPr>
                    <m:ctrlPr>
                      <w:rPr>
                        <w:rFonts w:ascii="Cambria Math" w:hAnsi="Cambria Math"/>
                        <w:i/>
                        <w:szCs w:val="20"/>
                      </w:rPr>
                    </m:ctrlPr>
                  </m:sSubPr>
                  <m:e>
                    <m:r>
                      <w:rPr>
                        <w:rFonts w:ascii="Cambria Math" w:hAnsi="Cambria Math"/>
                        <w:szCs w:val="20"/>
                      </w:rPr>
                      <m:t>R</m:t>
                    </m:r>
                  </m:e>
                  <m:sub>
                    <m:r>
                      <w:rPr>
                        <w:rFonts w:ascii="Cambria Math" w:hAnsi="Cambria Math"/>
                        <w:szCs w:val="20"/>
                      </w:rPr>
                      <m:t>insul</m:t>
                    </m:r>
                  </m:sub>
                </m:sSub>
              </m:den>
            </m:f>
          </m:e>
        </m:d>
        <m:r>
          <w:rPr>
            <w:rFonts w:ascii="Cambria Math" w:hAnsi="Cambria Math"/>
            <w:szCs w:val="20"/>
          </w:rPr>
          <m:t>×</m:t>
        </m:r>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T</m:t>
                </m:r>
              </m:e>
              <m:sub>
                <m:r>
                  <w:rPr>
                    <w:rFonts w:ascii="Cambria Math" w:hAnsi="Cambria Math"/>
                    <w:szCs w:val="20"/>
                  </w:rPr>
                  <m:t>setpoint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T</m:t>
                </m:r>
              </m:e>
              <m:sub>
                <m:r>
                  <w:rPr>
                    <w:rFonts w:ascii="Cambria Math" w:hAnsi="Cambria Math"/>
                    <w:szCs w:val="20"/>
                  </w:rPr>
                  <m:t>ambient</m:t>
                </m:r>
              </m:sub>
            </m:sSub>
          </m:e>
        </m:d>
      </m:oMath>
    </w:p>
    <w:p w14:paraId="40FB7755" w14:textId="77777777" w:rsidR="00C71CAA" w:rsidRPr="001570EA" w:rsidRDefault="00C71CAA" w:rsidP="00C71CAA"/>
    <w:p w14:paraId="0A1DDBFD" w14:textId="77777777" w:rsidR="00C71CAA" w:rsidRPr="001570EA" w:rsidRDefault="003B5E04" w:rsidP="00C71CAA">
      <w:pPr>
        <w:pStyle w:val="Equation"/>
        <w:tabs>
          <w:tab w:val="clear" w:pos="2880"/>
          <w:tab w:val="left" w:pos="2160"/>
        </w:tabs>
        <w:rPr>
          <w:rFonts w:ascii="Cambria Math" w:hAnsi="Cambria Math"/>
          <w:sz w:val="24"/>
          <w:szCs w:val="24"/>
        </w:rPr>
      </w:pPr>
      <m:oMath>
        <m:sSub>
          <m:sSubPr>
            <m:ctrlPr>
              <w:rPr>
                <w:rFonts w:ascii="Cambria Math" w:hAnsi="Cambria Math" w:cs="Arial"/>
                <w:szCs w:val="20"/>
              </w:rPr>
            </m:ctrlPr>
          </m:sSubPr>
          <m:e>
            <m:r>
              <w:rPr>
                <w:rFonts w:ascii="Cambria Math" w:hAnsi="Cambria Math" w:cs="Arial"/>
                <w:szCs w:val="20"/>
              </w:rPr>
              <m:t>∆kW</m:t>
            </m:r>
          </m:e>
          <m:sub>
            <m:r>
              <w:rPr>
                <w:rFonts w:ascii="Cambria Math" w:hAnsi="Cambria Math" w:cs="Arial"/>
                <w:szCs w:val="20"/>
              </w:rPr>
              <m:t>summer peak</m:t>
            </m:r>
          </m:sub>
        </m:sSub>
      </m:oMath>
      <w:r w:rsidR="00C71CAA" w:rsidRPr="001570EA">
        <w:rPr>
          <w:rFonts w:ascii="Cambria Math" w:hAnsi="Cambria Math"/>
          <w:sz w:val="24"/>
          <w:szCs w:val="24"/>
        </w:rPr>
        <w:tab/>
      </w:r>
      <m:oMath>
        <m:r>
          <w:rPr>
            <w:rFonts w:ascii="Cambria Math" w:hAnsi="Cambria Math"/>
            <w:szCs w:val="20"/>
          </w:rPr>
          <m:t>=∆kWh×</m:t>
        </m:r>
        <m:sSub>
          <m:sSubPr>
            <m:ctrlPr>
              <w:rPr>
                <w:rFonts w:ascii="Cambria Math" w:hAnsi="Cambria Math"/>
                <w:szCs w:val="20"/>
              </w:rPr>
            </m:ctrlPr>
          </m:sSubPr>
          <m:e>
            <m:r>
              <w:rPr>
                <w:rFonts w:ascii="Cambria Math" w:hAnsi="Cambria Math"/>
                <w:szCs w:val="20"/>
              </w:rPr>
              <m:t>ETDF</m:t>
            </m:r>
          </m:e>
          <m:sub>
            <m:r>
              <w:rPr>
                <w:rFonts w:ascii="Cambria Math" w:hAnsi="Cambria Math"/>
                <w:szCs w:val="20"/>
              </w:rPr>
              <m:t>s</m:t>
            </m:r>
          </m:sub>
        </m:sSub>
      </m:oMath>
    </w:p>
    <w:p w14:paraId="368D1FCD" w14:textId="77777777" w:rsidR="00C71CAA" w:rsidRPr="001570EA" w:rsidRDefault="00C71CAA" w:rsidP="00C71CAA">
      <w:pPr>
        <w:pStyle w:val="Equation"/>
        <w:tabs>
          <w:tab w:val="clear" w:pos="2880"/>
          <w:tab w:val="left" w:pos="2160"/>
        </w:tabs>
        <w:rPr>
          <w:rFonts w:ascii="Cambria Math" w:hAnsi="Cambria Math"/>
          <w:sz w:val="22"/>
          <w:szCs w:val="22"/>
        </w:rPr>
      </w:pPr>
    </w:p>
    <w:p w14:paraId="5F09B95D" w14:textId="77777777" w:rsidR="00C71CAA" w:rsidRPr="001570EA" w:rsidRDefault="003B5E04" w:rsidP="00C71CAA">
      <w:pPr>
        <w:spacing w:after="120"/>
        <w:rPr>
          <w:rFonts w:ascii="Arial Black" w:hAnsi="Arial Black"/>
          <w:b/>
          <w:u w:val="single"/>
        </w:rPr>
      </w:pPr>
      <m:oMath>
        <m:sSub>
          <m:sSubPr>
            <m:ctrlPr>
              <w:rPr>
                <w:rFonts w:ascii="Cambria Math" w:hAnsi="Cambria Math" w:cs="Arial"/>
                <w:szCs w:val="20"/>
              </w:rPr>
            </m:ctrlPr>
          </m:sSubPr>
          <m:e>
            <m:r>
              <w:rPr>
                <w:rFonts w:ascii="Cambria Math" w:eastAsia="Calibri" w:hAnsi="Cambria Math" w:cs="Arial"/>
                <w:szCs w:val="20"/>
              </w:rPr>
              <m:t>∆kW</m:t>
            </m:r>
          </m:e>
          <m:sub>
            <m:r>
              <w:rPr>
                <w:rFonts w:ascii="Cambria Math" w:eastAsia="Calibri" w:hAnsi="Cambria Math" w:cs="Arial"/>
                <w:szCs w:val="20"/>
              </w:rPr>
              <m:t>winter peak</m:t>
            </m:r>
          </m:sub>
        </m:sSub>
      </m:oMath>
      <w:r w:rsidR="00C71CAA" w:rsidRPr="001570EA">
        <w:rPr>
          <w:rFonts w:ascii="Cambria Math" w:hAnsi="Cambria Math"/>
          <w:sz w:val="24"/>
        </w:rPr>
        <w:tab/>
      </w:r>
      <w:r w:rsidR="00C71CAA" w:rsidRPr="001570EA">
        <w:rPr>
          <w:rFonts w:ascii="Cambria Math" w:hAnsi="Cambria Math"/>
          <w:sz w:val="24"/>
        </w:rPr>
        <w:tab/>
      </w:r>
      <m:oMath>
        <m:r>
          <w:rPr>
            <w:rFonts w:ascii="Cambria Math" w:eastAsia="Calibri" w:hAnsi="Cambria Math"/>
            <w:szCs w:val="20"/>
          </w:rPr>
          <m:t>=</m:t>
        </m:r>
        <m:r>
          <m:rPr>
            <m:sty m:val="p"/>
          </m:rPr>
          <w:rPr>
            <w:rFonts w:ascii="Cambria Math" w:eastAsia="Calibri" w:hAnsi="Cambria Math"/>
            <w:szCs w:val="20"/>
          </w:rPr>
          <m:t>∆kWh×</m:t>
        </m:r>
        <m:sSub>
          <m:sSubPr>
            <m:ctrlPr>
              <w:rPr>
                <w:rFonts w:ascii="Cambria Math" w:hAnsi="Cambria Math"/>
                <w:iCs/>
                <w:szCs w:val="20"/>
              </w:rPr>
            </m:ctrlPr>
          </m:sSubPr>
          <m:e>
            <m:r>
              <m:rPr>
                <m:sty m:val="p"/>
              </m:rPr>
              <w:rPr>
                <w:rFonts w:ascii="Cambria Math" w:eastAsia="Calibri" w:hAnsi="Cambria Math"/>
                <w:szCs w:val="20"/>
              </w:rPr>
              <m:t>ETDF</m:t>
            </m:r>
          </m:e>
          <m:sub>
            <m:r>
              <m:rPr>
                <m:sty m:val="p"/>
              </m:rPr>
              <w:rPr>
                <w:rFonts w:ascii="Cambria Math" w:eastAsia="Calibri" w:hAnsi="Cambria Math"/>
                <w:szCs w:val="20"/>
              </w:rPr>
              <m:t>w</m:t>
            </m:r>
          </m:sub>
        </m:sSub>
      </m:oMath>
    </w:p>
    <w:p w14:paraId="1318FFFA" w14:textId="77777777" w:rsidR="00C71CAA" w:rsidRPr="001570EA" w:rsidRDefault="00C71CAA" w:rsidP="00C71CAA">
      <w:pPr>
        <w:pStyle w:val="SubStyle"/>
      </w:pPr>
      <w:r w:rsidRPr="001570EA">
        <w:t>Definition of Terms</w:t>
      </w:r>
    </w:p>
    <w:p w14:paraId="4120CF78" w14:textId="6BF153F8" w:rsidR="00C71CAA" w:rsidRPr="001570EA" w:rsidRDefault="00C71CAA" w:rsidP="00C71CAA">
      <w:pPr>
        <w:pStyle w:val="Caption"/>
      </w:pPr>
      <w:bookmarkStart w:id="418" w:name="_Ref373318565"/>
      <w:bookmarkStart w:id="419" w:name="_Ref278888764"/>
      <w:bookmarkStart w:id="420" w:name="_Toc373320245"/>
      <w:bookmarkStart w:id="421" w:name="_Toc364420953"/>
      <w:bookmarkStart w:id="422" w:name="_Toc364760723"/>
      <w:bookmarkStart w:id="423" w:name="_Toc377465541"/>
      <w:bookmarkStart w:id="424" w:name="_Toc530141723"/>
      <w:bookmarkStart w:id="425" w:name="_Toc4759829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65</w:t>
      </w:r>
      <w:r w:rsidR="002E093A" w:rsidRPr="001570EA">
        <w:fldChar w:fldCharType="end"/>
      </w:r>
      <w:bookmarkEnd w:id="418"/>
      <w:bookmarkEnd w:id="419"/>
      <w:r w:rsidRPr="001570EA">
        <w:t>: Terms</w:t>
      </w:r>
      <w:r w:rsidRPr="001570EA">
        <w:rPr>
          <w:rFonts w:cs="Arial"/>
        </w:rPr>
        <w:t>, Values, and References for</w:t>
      </w:r>
      <w:r w:rsidRPr="001570EA">
        <w:t xml:space="preserve"> Water Heater Tank Wrap</w:t>
      </w:r>
      <w:bookmarkEnd w:id="420"/>
      <w:bookmarkEnd w:id="421"/>
      <w:bookmarkEnd w:id="422"/>
      <w:bookmarkEnd w:id="423"/>
      <w:bookmarkEnd w:id="424"/>
      <w:bookmarkEnd w:id="4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1445"/>
        <w:gridCol w:w="2044"/>
        <w:gridCol w:w="1277"/>
      </w:tblGrid>
      <w:tr w:rsidR="00C71CAA" w:rsidRPr="001570EA" w14:paraId="48BB68A7" w14:textId="77777777">
        <w:trPr>
          <w:tblHeader/>
        </w:trPr>
        <w:tc>
          <w:tcPr>
            <w:tcW w:w="3756" w:type="dxa"/>
            <w:shd w:val="clear" w:color="auto" w:fill="BFBFBF"/>
            <w:vAlign w:val="center"/>
          </w:tcPr>
          <w:p w14:paraId="22C40A88" w14:textId="77777777" w:rsidR="00C71CAA" w:rsidRPr="001570EA" w:rsidRDefault="00C71CAA">
            <w:pPr>
              <w:spacing w:before="60" w:after="60"/>
              <w:rPr>
                <w:b/>
                <w:sz w:val="18"/>
                <w:szCs w:val="18"/>
              </w:rPr>
            </w:pPr>
            <w:r w:rsidRPr="001570EA">
              <w:rPr>
                <w:b/>
                <w:sz w:val="18"/>
                <w:szCs w:val="18"/>
              </w:rPr>
              <w:t>Term</w:t>
            </w:r>
          </w:p>
        </w:tc>
        <w:tc>
          <w:tcPr>
            <w:tcW w:w="1445" w:type="dxa"/>
            <w:shd w:val="clear" w:color="auto" w:fill="BFBFBF"/>
            <w:vAlign w:val="center"/>
          </w:tcPr>
          <w:p w14:paraId="55D4D860" w14:textId="77777777" w:rsidR="00C71CAA" w:rsidRPr="001570EA" w:rsidRDefault="00C71CAA">
            <w:pPr>
              <w:spacing w:before="60" w:after="60"/>
              <w:jc w:val="center"/>
              <w:rPr>
                <w:b/>
                <w:sz w:val="18"/>
                <w:szCs w:val="18"/>
              </w:rPr>
            </w:pPr>
            <w:r w:rsidRPr="001570EA">
              <w:rPr>
                <w:b/>
                <w:sz w:val="18"/>
                <w:szCs w:val="18"/>
              </w:rPr>
              <w:t>Unit</w:t>
            </w:r>
          </w:p>
        </w:tc>
        <w:tc>
          <w:tcPr>
            <w:tcW w:w="2044" w:type="dxa"/>
            <w:shd w:val="clear" w:color="auto" w:fill="BFBFBF"/>
            <w:vAlign w:val="center"/>
          </w:tcPr>
          <w:p w14:paraId="617DB3F7" w14:textId="77777777" w:rsidR="00C71CAA" w:rsidRPr="001570EA" w:rsidRDefault="00C71CAA">
            <w:pPr>
              <w:spacing w:before="60" w:after="60"/>
              <w:jc w:val="center"/>
              <w:rPr>
                <w:b/>
                <w:sz w:val="18"/>
                <w:szCs w:val="18"/>
              </w:rPr>
            </w:pPr>
            <w:r w:rsidRPr="001570EA">
              <w:rPr>
                <w:b/>
                <w:sz w:val="18"/>
                <w:szCs w:val="18"/>
              </w:rPr>
              <w:t>Value</w:t>
            </w:r>
          </w:p>
        </w:tc>
        <w:tc>
          <w:tcPr>
            <w:tcW w:w="1277" w:type="dxa"/>
            <w:shd w:val="clear" w:color="auto" w:fill="BFBFBF"/>
            <w:vAlign w:val="center"/>
          </w:tcPr>
          <w:p w14:paraId="2E6DE372" w14:textId="77777777" w:rsidR="00C71CAA" w:rsidRPr="001570EA" w:rsidRDefault="00C71CAA">
            <w:pPr>
              <w:spacing w:before="60" w:after="60"/>
              <w:jc w:val="center"/>
              <w:rPr>
                <w:b/>
                <w:sz w:val="18"/>
                <w:szCs w:val="18"/>
              </w:rPr>
            </w:pPr>
            <w:r w:rsidRPr="001570EA">
              <w:rPr>
                <w:b/>
                <w:sz w:val="18"/>
                <w:szCs w:val="18"/>
              </w:rPr>
              <w:t>Source</w:t>
            </w:r>
          </w:p>
        </w:tc>
      </w:tr>
      <w:tr w:rsidR="00C71CAA" w:rsidRPr="001570EA" w14:paraId="5FE7B82F" w14:textId="77777777">
        <w:tc>
          <w:tcPr>
            <w:tcW w:w="3756" w:type="dxa"/>
            <w:vAlign w:val="center"/>
          </w:tcPr>
          <w:p w14:paraId="58AA9925" w14:textId="773FCE13" w:rsidR="00C71CAA" w:rsidRPr="001570EA" w:rsidRDefault="00C71CAA">
            <w:pPr>
              <w:spacing w:before="60" w:after="60"/>
              <w:rPr>
                <w:rFonts w:ascii="Cambria Math" w:hAnsi="Cambria Math"/>
                <w:i/>
                <w:sz w:val="18"/>
                <w:szCs w:val="18"/>
              </w:rPr>
            </w:pPr>
            <w:r w:rsidRPr="001570EA">
              <w:rPr>
                <w:rFonts w:ascii="Cambria Math" w:hAnsi="Cambria Math"/>
                <w:i/>
                <w:sz w:val="18"/>
                <w:szCs w:val="18"/>
              </w:rPr>
              <w:t>HOU</w:t>
            </w:r>
            <w:r w:rsidRPr="001570EA">
              <w:rPr>
                <w:sz w:val="18"/>
                <w:szCs w:val="18"/>
              </w:rPr>
              <w:t>, Annual hours of use for water heater tank</w:t>
            </w:r>
          </w:p>
        </w:tc>
        <w:tc>
          <w:tcPr>
            <w:tcW w:w="1445" w:type="dxa"/>
            <w:vAlign w:val="center"/>
          </w:tcPr>
          <w:p w14:paraId="23C20F6A" w14:textId="77777777" w:rsidR="00C71CAA" w:rsidRPr="001570EA" w:rsidRDefault="003B5E04">
            <w:pPr>
              <w:spacing w:before="60" w:after="60"/>
              <w:jc w:val="center"/>
              <w:rPr>
                <w:sz w:val="18"/>
                <w:szCs w:val="18"/>
              </w:rPr>
            </w:pPr>
            <m:oMathPara>
              <m:oMath>
                <m:f>
                  <m:fPr>
                    <m:ctrlPr>
                      <w:rPr>
                        <w:rFonts w:ascii="Cambria Math" w:hAnsi="Cambria Math"/>
                        <w:i/>
                        <w:sz w:val="18"/>
                        <w:szCs w:val="18"/>
                      </w:rPr>
                    </m:ctrlPr>
                  </m:fPr>
                  <m:num>
                    <m:r>
                      <w:rPr>
                        <w:rFonts w:ascii="Cambria Math" w:hAnsi="Cambria Math"/>
                        <w:sz w:val="18"/>
                        <w:szCs w:val="18"/>
                      </w:rPr>
                      <m:t>hours</m:t>
                    </m:r>
                  </m:num>
                  <m:den>
                    <m:r>
                      <w:rPr>
                        <w:rFonts w:ascii="Cambria Math" w:hAnsi="Cambria Math"/>
                        <w:sz w:val="18"/>
                        <w:szCs w:val="18"/>
                      </w:rPr>
                      <m:t>year</m:t>
                    </m:r>
                  </m:den>
                </m:f>
              </m:oMath>
            </m:oMathPara>
          </w:p>
        </w:tc>
        <w:tc>
          <w:tcPr>
            <w:tcW w:w="2044" w:type="dxa"/>
            <w:vAlign w:val="center"/>
          </w:tcPr>
          <w:p w14:paraId="66D6095B" w14:textId="77777777" w:rsidR="00C71CAA" w:rsidRPr="001570EA" w:rsidRDefault="00C71CAA">
            <w:pPr>
              <w:spacing w:before="60" w:after="60"/>
              <w:jc w:val="center"/>
              <w:rPr>
                <w:sz w:val="18"/>
                <w:szCs w:val="18"/>
              </w:rPr>
            </w:pPr>
            <w:r w:rsidRPr="001570EA">
              <w:rPr>
                <w:sz w:val="18"/>
                <w:szCs w:val="18"/>
              </w:rPr>
              <w:t>8,760</w:t>
            </w:r>
          </w:p>
        </w:tc>
        <w:tc>
          <w:tcPr>
            <w:tcW w:w="1277" w:type="dxa"/>
            <w:vAlign w:val="center"/>
          </w:tcPr>
          <w:p w14:paraId="3C31DC93" w14:textId="77777777" w:rsidR="00C71CAA" w:rsidRPr="001570EA" w:rsidRDefault="00C71CAA">
            <w:pPr>
              <w:spacing w:before="60" w:after="60"/>
              <w:jc w:val="center"/>
              <w:rPr>
                <w:sz w:val="18"/>
                <w:szCs w:val="18"/>
              </w:rPr>
            </w:pPr>
            <w:r w:rsidRPr="001570EA">
              <w:rPr>
                <w:sz w:val="18"/>
                <w:szCs w:val="18"/>
              </w:rPr>
              <w:t>-</w:t>
            </w:r>
          </w:p>
        </w:tc>
      </w:tr>
      <w:tr w:rsidR="00C71CAA" w:rsidRPr="001570EA" w14:paraId="27930EB2" w14:textId="77777777">
        <w:tc>
          <w:tcPr>
            <w:tcW w:w="3756" w:type="dxa"/>
            <w:vAlign w:val="center"/>
          </w:tcPr>
          <w:p w14:paraId="5791D989" w14:textId="65D1A909" w:rsidR="00C71CAA" w:rsidRPr="001570EA" w:rsidRDefault="00C71CAA">
            <w:pPr>
              <w:spacing w:before="60" w:after="60"/>
              <w:rPr>
                <w:rFonts w:ascii="Cambria Math" w:hAnsi="Cambria Math"/>
                <w:i/>
                <w:sz w:val="18"/>
                <w:szCs w:val="18"/>
              </w:rPr>
            </w:pPr>
            <w:r w:rsidRPr="001570EA">
              <w:rPr>
                <w:rFonts w:ascii="Cambria Math" w:hAnsi="Cambria Math"/>
                <w:i/>
                <w:sz w:val="18"/>
                <w:szCs w:val="18"/>
              </w:rPr>
              <w:t>η</w:t>
            </w:r>
            <w:r w:rsidRPr="001570EA">
              <w:rPr>
                <w:rFonts w:ascii="Cambria Math" w:hAnsi="Cambria Math"/>
                <w:i/>
                <w:sz w:val="18"/>
                <w:szCs w:val="18"/>
                <w:vertAlign w:val="subscript"/>
              </w:rPr>
              <w:t>Elec</w:t>
            </w:r>
            <w:r w:rsidRPr="001570EA">
              <w:rPr>
                <w:sz w:val="18"/>
                <w:szCs w:val="18"/>
              </w:rPr>
              <w:t>, Thermal efficiency of electric heater element</w:t>
            </w:r>
          </w:p>
        </w:tc>
        <w:tc>
          <w:tcPr>
            <w:tcW w:w="1445" w:type="dxa"/>
            <w:vAlign w:val="center"/>
          </w:tcPr>
          <w:p w14:paraId="11533D48" w14:textId="77777777" w:rsidR="00C71CAA" w:rsidRPr="001570EA" w:rsidRDefault="00C71CAA">
            <w:pPr>
              <w:spacing w:before="60" w:after="60"/>
              <w:jc w:val="center"/>
              <w:rPr>
                <w:sz w:val="18"/>
                <w:szCs w:val="18"/>
              </w:rPr>
            </w:pPr>
            <w:r w:rsidRPr="001570EA">
              <w:rPr>
                <w:i/>
                <w:sz w:val="18"/>
                <w:szCs w:val="18"/>
              </w:rPr>
              <w:t>Proportion</w:t>
            </w:r>
          </w:p>
        </w:tc>
        <w:tc>
          <w:tcPr>
            <w:tcW w:w="2044" w:type="dxa"/>
            <w:vAlign w:val="center"/>
          </w:tcPr>
          <w:p w14:paraId="4162A4D5" w14:textId="77777777" w:rsidR="00C71CAA" w:rsidRPr="001570EA" w:rsidRDefault="00C71CAA">
            <w:pPr>
              <w:spacing w:before="60" w:after="60"/>
              <w:jc w:val="center"/>
              <w:rPr>
                <w:sz w:val="18"/>
                <w:szCs w:val="18"/>
              </w:rPr>
            </w:pPr>
            <w:r w:rsidRPr="001570EA">
              <w:rPr>
                <w:sz w:val="18"/>
                <w:szCs w:val="18"/>
              </w:rPr>
              <w:t>0.98</w:t>
            </w:r>
          </w:p>
        </w:tc>
        <w:tc>
          <w:tcPr>
            <w:tcW w:w="1277" w:type="dxa"/>
            <w:vAlign w:val="center"/>
          </w:tcPr>
          <w:p w14:paraId="005A69A2" w14:textId="77777777" w:rsidR="00C71CAA" w:rsidRPr="001570EA" w:rsidRDefault="00C71CAA">
            <w:pPr>
              <w:spacing w:before="60" w:after="60"/>
              <w:jc w:val="center"/>
              <w:rPr>
                <w:sz w:val="18"/>
                <w:szCs w:val="18"/>
              </w:rPr>
            </w:pPr>
            <w:r w:rsidRPr="001570EA">
              <w:rPr>
                <w:sz w:val="18"/>
                <w:szCs w:val="18"/>
              </w:rPr>
              <w:t>3</w:t>
            </w:r>
          </w:p>
        </w:tc>
      </w:tr>
      <w:tr w:rsidR="00C71CAA" w:rsidRPr="001570EA" w14:paraId="5B37C78C" w14:textId="77777777">
        <w:tc>
          <w:tcPr>
            <w:tcW w:w="3756" w:type="dxa"/>
            <w:vAlign w:val="center"/>
          </w:tcPr>
          <w:p w14:paraId="4FA787E6" w14:textId="374EB209" w:rsidR="00C71CAA" w:rsidRPr="001570EA" w:rsidRDefault="00C71CAA">
            <w:pPr>
              <w:spacing w:before="60" w:after="60"/>
              <w:rPr>
                <w:sz w:val="18"/>
                <w:szCs w:val="18"/>
                <w:vertAlign w:val="subscript"/>
              </w:rPr>
            </w:pPr>
            <w:r w:rsidRPr="001570EA">
              <w:rPr>
                <w:rFonts w:ascii="Cambria Math" w:hAnsi="Cambria Math"/>
                <w:i/>
                <w:sz w:val="18"/>
                <w:szCs w:val="18"/>
              </w:rPr>
              <w:t>R</w:t>
            </w:r>
            <w:r w:rsidRPr="001570EA">
              <w:rPr>
                <w:rFonts w:ascii="Cambria Math" w:hAnsi="Cambria Math"/>
                <w:i/>
                <w:sz w:val="18"/>
                <w:szCs w:val="18"/>
                <w:vertAlign w:val="subscript"/>
              </w:rPr>
              <w:t>base</w:t>
            </w:r>
            <w:r w:rsidRPr="001570EA">
              <w:rPr>
                <w:sz w:val="18"/>
                <w:szCs w:val="18"/>
              </w:rPr>
              <w:t>, R-value is a measure of resistance to heat flow prior to adding tank wrap</w:t>
            </w:r>
          </w:p>
        </w:tc>
        <w:tc>
          <w:tcPr>
            <w:tcW w:w="1445" w:type="dxa"/>
            <w:vAlign w:val="center"/>
          </w:tcPr>
          <w:p w14:paraId="6915647C" w14:textId="77777777" w:rsidR="00C71CAA" w:rsidRPr="001570EA" w:rsidRDefault="003B5E04">
            <w:pPr>
              <w:spacing w:before="60" w:after="60"/>
              <w:jc w:val="center"/>
              <w:rPr>
                <w:sz w:val="18"/>
                <w:szCs w:val="18"/>
              </w:rPr>
            </w:pPr>
            <m:oMathPara>
              <m:oMath>
                <m:f>
                  <m:fPr>
                    <m:ctrlPr>
                      <w:rPr>
                        <w:rFonts w:ascii="Cambria Math" w:hAnsi="Cambria Math"/>
                        <w:i/>
                        <w:sz w:val="18"/>
                        <w:szCs w:val="18"/>
                      </w:rPr>
                    </m:ctrlPr>
                  </m:fPr>
                  <m:num>
                    <m:r>
                      <w:rPr>
                        <w:rFonts w:ascii="Cambria Math" w:hAnsi="Cambria Math"/>
                        <w:sz w:val="18"/>
                        <w:szCs w:val="18"/>
                      </w:rPr>
                      <m:t>Hr∙℉∙</m:t>
                    </m:r>
                    <m:sSup>
                      <m:sSupPr>
                        <m:ctrlPr>
                          <w:rPr>
                            <w:rFonts w:ascii="Cambria Math" w:hAnsi="Cambria Math"/>
                            <w:i/>
                            <w:sz w:val="18"/>
                            <w:szCs w:val="18"/>
                          </w:rPr>
                        </m:ctrlPr>
                      </m:sSupPr>
                      <m:e>
                        <m:r>
                          <w:rPr>
                            <w:rFonts w:ascii="Cambria Math" w:hAnsi="Cambria Math"/>
                            <w:sz w:val="18"/>
                            <w:szCs w:val="18"/>
                          </w:rPr>
                          <m:t>ft</m:t>
                        </m:r>
                      </m:e>
                      <m:sup>
                        <m:r>
                          <w:rPr>
                            <w:rFonts w:ascii="Cambria Math" w:hAnsi="Cambria Math"/>
                            <w:sz w:val="18"/>
                            <w:szCs w:val="18"/>
                          </w:rPr>
                          <m:t>2</m:t>
                        </m:r>
                      </m:sup>
                    </m:sSup>
                  </m:num>
                  <m:den>
                    <m:r>
                      <w:rPr>
                        <w:rFonts w:ascii="Cambria Math" w:hAnsi="Cambria Math"/>
                        <w:sz w:val="18"/>
                        <w:szCs w:val="18"/>
                      </w:rPr>
                      <m:t>BTU</m:t>
                    </m:r>
                  </m:den>
                </m:f>
              </m:oMath>
            </m:oMathPara>
          </w:p>
        </w:tc>
        <w:tc>
          <w:tcPr>
            <w:tcW w:w="2044" w:type="dxa"/>
            <w:vAlign w:val="center"/>
          </w:tcPr>
          <w:p w14:paraId="74BCD265" w14:textId="77777777" w:rsidR="00C71CAA" w:rsidRPr="001570EA" w:rsidRDefault="00C71CAA">
            <w:pPr>
              <w:spacing w:before="60" w:after="60"/>
              <w:jc w:val="center"/>
              <w:rPr>
                <w:sz w:val="18"/>
                <w:szCs w:val="18"/>
              </w:rPr>
            </w:pPr>
            <w:r w:rsidRPr="001570EA">
              <w:rPr>
                <w:sz w:val="18"/>
                <w:szCs w:val="18"/>
              </w:rPr>
              <w:t>Default: 12 or EDC Data Gathering</w:t>
            </w:r>
          </w:p>
        </w:tc>
        <w:tc>
          <w:tcPr>
            <w:tcW w:w="1277" w:type="dxa"/>
            <w:vAlign w:val="center"/>
          </w:tcPr>
          <w:p w14:paraId="0AE0555F" w14:textId="77777777" w:rsidR="00C71CAA" w:rsidRPr="001570EA" w:rsidRDefault="00C71CAA">
            <w:pPr>
              <w:spacing w:before="60" w:after="60"/>
              <w:jc w:val="center"/>
              <w:rPr>
                <w:sz w:val="18"/>
                <w:szCs w:val="18"/>
              </w:rPr>
            </w:pPr>
            <w:r w:rsidRPr="001570EA">
              <w:rPr>
                <w:sz w:val="18"/>
                <w:szCs w:val="18"/>
              </w:rPr>
              <w:t>1</w:t>
            </w:r>
          </w:p>
        </w:tc>
      </w:tr>
      <w:tr w:rsidR="00C71CAA" w:rsidRPr="001570EA" w14:paraId="74234D03" w14:textId="77777777">
        <w:tc>
          <w:tcPr>
            <w:tcW w:w="3756" w:type="dxa"/>
            <w:vAlign w:val="center"/>
          </w:tcPr>
          <w:p w14:paraId="05EF1BE2" w14:textId="6110CF18" w:rsidR="00C71CAA" w:rsidRPr="001570EA" w:rsidRDefault="00C71CAA">
            <w:pPr>
              <w:spacing w:before="60" w:after="60"/>
              <w:rPr>
                <w:sz w:val="18"/>
                <w:szCs w:val="18"/>
              </w:rPr>
            </w:pPr>
            <w:r w:rsidRPr="001570EA">
              <w:rPr>
                <w:rFonts w:ascii="Cambria Math" w:hAnsi="Cambria Math"/>
                <w:i/>
                <w:sz w:val="18"/>
                <w:szCs w:val="18"/>
              </w:rPr>
              <w:t>R</w:t>
            </w:r>
            <w:r w:rsidRPr="001570EA">
              <w:rPr>
                <w:rFonts w:ascii="Cambria Math" w:hAnsi="Cambria Math"/>
                <w:i/>
                <w:sz w:val="18"/>
                <w:szCs w:val="18"/>
                <w:vertAlign w:val="subscript"/>
              </w:rPr>
              <w:t>insul</w:t>
            </w:r>
            <w:r w:rsidRPr="001570EA">
              <w:rPr>
                <w:sz w:val="18"/>
                <w:szCs w:val="18"/>
              </w:rPr>
              <w:t>, R-value is a measure of resistance to heat flow after addition of tank wrap</w:t>
            </w:r>
          </w:p>
        </w:tc>
        <w:tc>
          <w:tcPr>
            <w:tcW w:w="1445" w:type="dxa"/>
            <w:vAlign w:val="center"/>
          </w:tcPr>
          <w:p w14:paraId="410D4E4C" w14:textId="77777777" w:rsidR="00C71CAA" w:rsidRPr="001570EA" w:rsidRDefault="003B5E04">
            <w:pPr>
              <w:spacing w:before="60" w:after="60"/>
              <w:jc w:val="center"/>
              <w:rPr>
                <w:sz w:val="18"/>
                <w:szCs w:val="18"/>
                <w:vertAlign w:val="subscript"/>
              </w:rPr>
            </w:pPr>
            <m:oMathPara>
              <m:oMath>
                <m:f>
                  <m:fPr>
                    <m:ctrlPr>
                      <w:rPr>
                        <w:rFonts w:ascii="Cambria Math" w:hAnsi="Cambria Math"/>
                        <w:i/>
                        <w:sz w:val="18"/>
                        <w:szCs w:val="18"/>
                      </w:rPr>
                    </m:ctrlPr>
                  </m:fPr>
                  <m:num>
                    <m:r>
                      <w:rPr>
                        <w:rFonts w:ascii="Cambria Math" w:hAnsi="Cambria Math"/>
                        <w:sz w:val="18"/>
                        <w:szCs w:val="18"/>
                      </w:rPr>
                      <m:t>Hr∙</m:t>
                    </m:r>
                    <m:r>
                      <m:rPr>
                        <m:sty m:val="p"/>
                      </m:rPr>
                      <w:rPr>
                        <w:rFonts w:ascii="Cambria Math" w:hAnsi="Cambria Math"/>
                        <w:sz w:val="18"/>
                        <w:szCs w:val="18"/>
                      </w:rPr>
                      <m:t>℉</m:t>
                    </m:r>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ft</m:t>
                        </m:r>
                      </m:e>
                      <m:sup>
                        <m:r>
                          <w:rPr>
                            <w:rFonts w:ascii="Cambria Math" w:hAnsi="Cambria Math"/>
                            <w:sz w:val="18"/>
                            <w:szCs w:val="18"/>
                          </w:rPr>
                          <m:t>2</m:t>
                        </m:r>
                      </m:sup>
                    </m:sSup>
                  </m:num>
                  <m:den>
                    <m:r>
                      <w:rPr>
                        <w:rFonts w:ascii="Cambria Math" w:hAnsi="Cambria Math"/>
                        <w:sz w:val="18"/>
                        <w:szCs w:val="18"/>
                      </w:rPr>
                      <m:t>BTU</m:t>
                    </m:r>
                  </m:den>
                </m:f>
              </m:oMath>
            </m:oMathPara>
          </w:p>
        </w:tc>
        <w:tc>
          <w:tcPr>
            <w:tcW w:w="2044" w:type="dxa"/>
            <w:vAlign w:val="center"/>
          </w:tcPr>
          <w:p w14:paraId="36817EFE" w14:textId="77777777" w:rsidR="00C71CAA" w:rsidRPr="001570EA" w:rsidRDefault="00C71CAA">
            <w:pPr>
              <w:spacing w:before="60" w:after="60"/>
              <w:jc w:val="center"/>
              <w:rPr>
                <w:sz w:val="18"/>
                <w:szCs w:val="18"/>
              </w:rPr>
            </w:pPr>
            <w:r w:rsidRPr="001570EA">
              <w:rPr>
                <w:sz w:val="18"/>
                <w:szCs w:val="18"/>
              </w:rPr>
              <w:t>Default: 20 or EDC Data Gathering</w:t>
            </w:r>
          </w:p>
        </w:tc>
        <w:tc>
          <w:tcPr>
            <w:tcW w:w="1277" w:type="dxa"/>
            <w:vAlign w:val="center"/>
          </w:tcPr>
          <w:p w14:paraId="20F1B7C2" w14:textId="77777777" w:rsidR="00C71CAA" w:rsidRPr="001570EA" w:rsidRDefault="00C71CAA">
            <w:pPr>
              <w:spacing w:before="60" w:after="60"/>
              <w:jc w:val="center"/>
              <w:rPr>
                <w:sz w:val="18"/>
                <w:szCs w:val="18"/>
              </w:rPr>
            </w:pPr>
            <w:r w:rsidRPr="001570EA">
              <w:rPr>
                <w:sz w:val="18"/>
                <w:szCs w:val="18"/>
              </w:rPr>
              <w:t>2</w:t>
            </w:r>
          </w:p>
        </w:tc>
      </w:tr>
      <w:tr w:rsidR="00C71CAA" w:rsidRPr="001570EA" w14:paraId="6B26AB08" w14:textId="77777777">
        <w:tc>
          <w:tcPr>
            <w:tcW w:w="3756" w:type="dxa"/>
            <w:vAlign w:val="center"/>
          </w:tcPr>
          <w:p w14:paraId="094E6D7F" w14:textId="5CE5C507" w:rsidR="00C71CAA" w:rsidRPr="001570EA" w:rsidRDefault="00C71CAA">
            <w:pPr>
              <w:spacing w:before="60" w:after="60"/>
              <w:rPr>
                <w:sz w:val="18"/>
                <w:szCs w:val="18"/>
              </w:rPr>
            </w:pPr>
            <w:r w:rsidRPr="001570EA">
              <w:rPr>
                <w:rFonts w:ascii="Cambria Math" w:hAnsi="Cambria Math"/>
                <w:i/>
                <w:sz w:val="18"/>
                <w:szCs w:val="18"/>
              </w:rPr>
              <w:t>A</w:t>
            </w:r>
            <w:r w:rsidRPr="001570EA">
              <w:rPr>
                <w:rFonts w:ascii="Cambria Math" w:hAnsi="Cambria Math"/>
                <w:i/>
                <w:sz w:val="18"/>
                <w:szCs w:val="18"/>
                <w:vertAlign w:val="subscript"/>
              </w:rPr>
              <w:t>base</w:t>
            </w:r>
            <w:r w:rsidRPr="001570EA">
              <w:rPr>
                <w:sz w:val="18"/>
                <w:szCs w:val="18"/>
              </w:rPr>
              <w:t>, Surface area of storage tank prior to adding tank wrap</w:t>
            </w:r>
          </w:p>
        </w:tc>
        <w:tc>
          <w:tcPr>
            <w:tcW w:w="1445" w:type="dxa"/>
          </w:tcPr>
          <w:p w14:paraId="20CB48ED" w14:textId="77777777" w:rsidR="00C71CAA" w:rsidRPr="001570EA" w:rsidRDefault="003B5E04">
            <w:pPr>
              <w:spacing w:before="60" w:after="60"/>
              <w:jc w:val="center"/>
              <w:rPr>
                <w:sz w:val="18"/>
                <w:szCs w:val="18"/>
              </w:rPr>
            </w:pPr>
            <m:oMathPara>
              <m:oMath>
                <m:sSup>
                  <m:sSupPr>
                    <m:ctrlPr>
                      <w:rPr>
                        <w:rFonts w:ascii="Cambria Math" w:hAnsi="Cambria Math"/>
                        <w:i/>
                        <w:sz w:val="18"/>
                        <w:szCs w:val="18"/>
                      </w:rPr>
                    </m:ctrlPr>
                  </m:sSupPr>
                  <m:e>
                    <m:r>
                      <w:rPr>
                        <w:rFonts w:ascii="Cambria Math" w:hAnsi="Cambria Math"/>
                        <w:sz w:val="18"/>
                        <w:szCs w:val="18"/>
                      </w:rPr>
                      <m:t>ft</m:t>
                    </m:r>
                  </m:e>
                  <m:sup>
                    <m:r>
                      <w:rPr>
                        <w:rFonts w:ascii="Cambria Math" w:hAnsi="Cambria Math"/>
                        <w:sz w:val="18"/>
                        <w:szCs w:val="18"/>
                      </w:rPr>
                      <m:t>2</m:t>
                    </m:r>
                  </m:sup>
                </m:sSup>
              </m:oMath>
            </m:oMathPara>
          </w:p>
        </w:tc>
        <w:tc>
          <w:tcPr>
            <w:tcW w:w="2044" w:type="dxa"/>
            <w:vAlign w:val="center"/>
          </w:tcPr>
          <w:p w14:paraId="31B970E2" w14:textId="7D9C31A7" w:rsidR="00C71CAA" w:rsidRPr="001570EA" w:rsidRDefault="00C71CAA">
            <w:pPr>
              <w:spacing w:before="60" w:after="60"/>
              <w:jc w:val="center"/>
              <w:rPr>
                <w:sz w:val="18"/>
                <w:szCs w:val="18"/>
              </w:rPr>
            </w:pPr>
            <w:r w:rsidRPr="001570EA">
              <w:rPr>
                <w:sz w:val="18"/>
                <w:szCs w:val="18"/>
              </w:rPr>
              <w:t xml:space="preserve">See </w:t>
            </w:r>
            <w:r w:rsidRPr="001570EA">
              <w:rPr>
                <w:sz w:val="18"/>
                <w:szCs w:val="18"/>
              </w:rPr>
              <w:fldChar w:fldCharType="begin"/>
            </w:r>
            <w:r w:rsidRPr="001570EA">
              <w:rPr>
                <w:sz w:val="18"/>
                <w:szCs w:val="18"/>
              </w:rPr>
              <w:instrText xml:space="preserve"> REF _Ref278967935 \h  \* MERGEFORMAT </w:instrText>
            </w:r>
            <w:r w:rsidRPr="001570EA">
              <w:rPr>
                <w:sz w:val="18"/>
                <w:szCs w:val="18"/>
              </w:rPr>
            </w:r>
            <w:r w:rsidRPr="001570EA">
              <w:rPr>
                <w:sz w:val="18"/>
                <w:szCs w:val="18"/>
              </w:rPr>
              <w:fldChar w:fldCharType="separate"/>
            </w:r>
            <w:r w:rsidR="00234C6C" w:rsidRPr="001570EA">
              <w:rPr>
                <w:sz w:val="18"/>
                <w:szCs w:val="18"/>
              </w:rPr>
              <w:t xml:space="preserve">Table </w:t>
            </w:r>
            <w:r w:rsidR="00234C6C" w:rsidRPr="001570EA">
              <w:rPr>
                <w:noProof/>
                <w:sz w:val="18"/>
                <w:szCs w:val="18"/>
              </w:rPr>
              <w:t>2</w:t>
            </w:r>
            <w:r w:rsidRPr="001570EA">
              <w:rPr>
                <w:sz w:val="18"/>
                <w:szCs w:val="18"/>
              </w:rPr>
              <w:fldChar w:fldCharType="end"/>
            </w:r>
          </w:p>
        </w:tc>
        <w:tc>
          <w:tcPr>
            <w:tcW w:w="1277" w:type="dxa"/>
            <w:vAlign w:val="center"/>
          </w:tcPr>
          <w:p w14:paraId="322C5E33" w14:textId="77777777" w:rsidR="00C71CAA" w:rsidRPr="001570EA" w:rsidRDefault="00C71CAA">
            <w:pPr>
              <w:spacing w:before="60" w:after="60"/>
              <w:jc w:val="center"/>
              <w:rPr>
                <w:sz w:val="18"/>
                <w:szCs w:val="18"/>
              </w:rPr>
            </w:pPr>
            <w:r w:rsidRPr="001570EA">
              <w:rPr>
                <w:sz w:val="18"/>
                <w:szCs w:val="18"/>
              </w:rPr>
              <w:t>-</w:t>
            </w:r>
          </w:p>
        </w:tc>
      </w:tr>
      <w:tr w:rsidR="00C71CAA" w:rsidRPr="001570EA" w14:paraId="3594BAE8" w14:textId="77777777">
        <w:tc>
          <w:tcPr>
            <w:tcW w:w="3756" w:type="dxa"/>
            <w:vAlign w:val="center"/>
          </w:tcPr>
          <w:p w14:paraId="457C504F" w14:textId="75C47A4D" w:rsidR="00C71CAA" w:rsidRPr="001570EA" w:rsidRDefault="00C71CAA">
            <w:pPr>
              <w:spacing w:before="60" w:after="60"/>
              <w:rPr>
                <w:sz w:val="18"/>
                <w:szCs w:val="18"/>
              </w:rPr>
            </w:pPr>
            <w:r w:rsidRPr="001570EA">
              <w:rPr>
                <w:rFonts w:ascii="Cambria Math" w:hAnsi="Cambria Math"/>
                <w:i/>
                <w:sz w:val="18"/>
                <w:szCs w:val="18"/>
              </w:rPr>
              <w:t>A</w:t>
            </w:r>
            <w:r w:rsidRPr="001570EA">
              <w:rPr>
                <w:rFonts w:ascii="Cambria Math" w:hAnsi="Cambria Math"/>
                <w:i/>
                <w:sz w:val="18"/>
                <w:szCs w:val="18"/>
                <w:vertAlign w:val="subscript"/>
              </w:rPr>
              <w:t>insul</w:t>
            </w:r>
            <w:r w:rsidRPr="001570EA">
              <w:rPr>
                <w:sz w:val="18"/>
                <w:szCs w:val="18"/>
              </w:rPr>
              <w:t>, Surface area of storage tank after addition of tank wrap</w:t>
            </w:r>
          </w:p>
        </w:tc>
        <w:tc>
          <w:tcPr>
            <w:tcW w:w="1445" w:type="dxa"/>
            <w:vAlign w:val="center"/>
          </w:tcPr>
          <w:p w14:paraId="4D21D106" w14:textId="77777777" w:rsidR="00C71CAA" w:rsidRPr="001570EA" w:rsidRDefault="003B5E04">
            <w:pPr>
              <w:spacing w:before="60" w:after="60"/>
              <w:jc w:val="center"/>
              <w:rPr>
                <w:sz w:val="18"/>
                <w:szCs w:val="18"/>
              </w:rPr>
            </w:pPr>
            <m:oMathPara>
              <m:oMath>
                <m:sSup>
                  <m:sSupPr>
                    <m:ctrlPr>
                      <w:rPr>
                        <w:rFonts w:ascii="Cambria Math" w:hAnsi="Cambria Math"/>
                        <w:i/>
                        <w:sz w:val="18"/>
                        <w:szCs w:val="18"/>
                      </w:rPr>
                    </m:ctrlPr>
                  </m:sSupPr>
                  <m:e>
                    <m:r>
                      <w:rPr>
                        <w:rFonts w:ascii="Cambria Math" w:hAnsi="Cambria Math"/>
                        <w:sz w:val="18"/>
                        <w:szCs w:val="18"/>
                      </w:rPr>
                      <m:t>ft</m:t>
                    </m:r>
                  </m:e>
                  <m:sup>
                    <m:r>
                      <w:rPr>
                        <w:rFonts w:ascii="Cambria Math" w:hAnsi="Cambria Math"/>
                        <w:sz w:val="18"/>
                        <w:szCs w:val="18"/>
                      </w:rPr>
                      <m:t>2</m:t>
                    </m:r>
                  </m:sup>
                </m:sSup>
              </m:oMath>
            </m:oMathPara>
          </w:p>
        </w:tc>
        <w:tc>
          <w:tcPr>
            <w:tcW w:w="2044" w:type="dxa"/>
            <w:vAlign w:val="center"/>
          </w:tcPr>
          <w:p w14:paraId="255CA35B" w14:textId="6C29D66A" w:rsidR="00C71CAA" w:rsidRPr="001570EA" w:rsidRDefault="00C71CAA">
            <w:pPr>
              <w:spacing w:before="60" w:after="60"/>
              <w:jc w:val="center"/>
              <w:rPr>
                <w:sz w:val="18"/>
                <w:szCs w:val="18"/>
              </w:rPr>
            </w:pPr>
            <w:r w:rsidRPr="001570EA">
              <w:rPr>
                <w:sz w:val="18"/>
                <w:szCs w:val="18"/>
              </w:rPr>
              <w:t xml:space="preserve">See </w:t>
            </w:r>
            <w:r w:rsidRPr="001570EA">
              <w:rPr>
                <w:sz w:val="18"/>
                <w:szCs w:val="18"/>
              </w:rPr>
              <w:fldChar w:fldCharType="begin"/>
            </w:r>
            <w:r w:rsidRPr="001570EA">
              <w:rPr>
                <w:sz w:val="18"/>
                <w:szCs w:val="18"/>
              </w:rPr>
              <w:instrText xml:space="preserve"> REF _Ref278967935 \h  \* MERGEFORMAT </w:instrText>
            </w:r>
            <w:r w:rsidRPr="001570EA">
              <w:rPr>
                <w:sz w:val="18"/>
                <w:szCs w:val="18"/>
              </w:rPr>
            </w:r>
            <w:r w:rsidRPr="001570EA">
              <w:rPr>
                <w:sz w:val="18"/>
                <w:szCs w:val="18"/>
              </w:rPr>
              <w:fldChar w:fldCharType="separate"/>
            </w:r>
            <w:r w:rsidR="00234C6C" w:rsidRPr="001570EA">
              <w:rPr>
                <w:sz w:val="18"/>
                <w:szCs w:val="18"/>
              </w:rPr>
              <w:t xml:space="preserve">Table </w:t>
            </w:r>
            <w:r w:rsidR="00234C6C" w:rsidRPr="001570EA">
              <w:rPr>
                <w:noProof/>
                <w:sz w:val="18"/>
                <w:szCs w:val="18"/>
              </w:rPr>
              <w:t>2</w:t>
            </w:r>
            <w:r w:rsidRPr="001570EA">
              <w:rPr>
                <w:sz w:val="18"/>
                <w:szCs w:val="18"/>
              </w:rPr>
              <w:fldChar w:fldCharType="end"/>
            </w:r>
          </w:p>
        </w:tc>
        <w:tc>
          <w:tcPr>
            <w:tcW w:w="1277" w:type="dxa"/>
            <w:vAlign w:val="center"/>
          </w:tcPr>
          <w:p w14:paraId="6DF39B2B" w14:textId="77777777" w:rsidR="00C71CAA" w:rsidRPr="001570EA" w:rsidRDefault="00C71CAA">
            <w:pPr>
              <w:spacing w:before="60" w:after="60"/>
              <w:jc w:val="center"/>
              <w:rPr>
                <w:sz w:val="18"/>
                <w:szCs w:val="18"/>
              </w:rPr>
            </w:pPr>
            <w:r w:rsidRPr="001570EA">
              <w:rPr>
                <w:sz w:val="18"/>
                <w:szCs w:val="18"/>
              </w:rPr>
              <w:t>-</w:t>
            </w:r>
          </w:p>
        </w:tc>
      </w:tr>
      <w:tr w:rsidR="00C71CAA" w:rsidRPr="001570EA" w14:paraId="0088C6BD" w14:textId="77777777">
        <w:tc>
          <w:tcPr>
            <w:tcW w:w="3756" w:type="dxa"/>
            <w:vAlign w:val="center"/>
          </w:tcPr>
          <w:p w14:paraId="25D31A8B" w14:textId="0D94D73C" w:rsidR="00C71CAA" w:rsidRPr="001570EA" w:rsidRDefault="00C71CAA">
            <w:pPr>
              <w:spacing w:before="60" w:after="60"/>
              <w:rPr>
                <w:sz w:val="18"/>
                <w:szCs w:val="18"/>
              </w:rPr>
            </w:pPr>
            <w:r w:rsidRPr="001570EA">
              <w:rPr>
                <w:rFonts w:ascii="Cambria Math" w:hAnsi="Cambria Math"/>
                <w:i/>
                <w:sz w:val="18"/>
                <w:szCs w:val="18"/>
              </w:rPr>
              <w:t>T</w:t>
            </w:r>
            <w:r w:rsidRPr="001570EA">
              <w:rPr>
                <w:rFonts w:ascii="Cambria Math" w:hAnsi="Cambria Math"/>
                <w:i/>
                <w:sz w:val="18"/>
                <w:szCs w:val="18"/>
                <w:vertAlign w:val="subscript"/>
              </w:rPr>
              <w:t>setpoint</w:t>
            </w:r>
            <w:r w:rsidRPr="001570EA">
              <w:rPr>
                <w:sz w:val="18"/>
                <w:szCs w:val="18"/>
              </w:rPr>
              <w:t>, Temperature of hot water in tank</w:t>
            </w:r>
          </w:p>
        </w:tc>
        <w:tc>
          <w:tcPr>
            <w:tcW w:w="1445" w:type="dxa"/>
            <w:vAlign w:val="center"/>
          </w:tcPr>
          <w:p w14:paraId="2EAE0C2E" w14:textId="77777777" w:rsidR="00C71CAA" w:rsidRPr="001570EA" w:rsidRDefault="00C71CAA">
            <w:pPr>
              <w:spacing w:before="60" w:after="60"/>
              <w:jc w:val="center"/>
              <w:rPr>
                <w:i/>
                <w:sz w:val="18"/>
                <w:szCs w:val="18"/>
                <w:vertAlign w:val="subscript"/>
              </w:rPr>
            </w:pPr>
            <w:r w:rsidRPr="001570EA">
              <w:rPr>
                <w:rFonts w:cs="Arial"/>
                <w:i/>
                <w:sz w:val="18"/>
                <w:szCs w:val="18"/>
              </w:rPr>
              <w:t>˚</w:t>
            </w:r>
            <w:r w:rsidRPr="001570EA">
              <w:rPr>
                <w:i/>
                <w:sz w:val="18"/>
                <w:szCs w:val="18"/>
              </w:rPr>
              <w:t>F</w:t>
            </w:r>
          </w:p>
        </w:tc>
        <w:tc>
          <w:tcPr>
            <w:tcW w:w="2044" w:type="dxa"/>
            <w:vAlign w:val="center"/>
          </w:tcPr>
          <w:p w14:paraId="661617B3" w14:textId="77777777" w:rsidR="00C71CAA" w:rsidRPr="001570EA" w:rsidRDefault="00C71CAA">
            <w:pPr>
              <w:spacing w:before="60" w:after="60"/>
              <w:jc w:val="center"/>
              <w:rPr>
                <w:sz w:val="18"/>
                <w:szCs w:val="18"/>
              </w:rPr>
            </w:pPr>
            <w:r w:rsidRPr="001570EA">
              <w:rPr>
                <w:sz w:val="18"/>
                <w:szCs w:val="18"/>
              </w:rPr>
              <w:t>119</w:t>
            </w:r>
          </w:p>
        </w:tc>
        <w:tc>
          <w:tcPr>
            <w:tcW w:w="1277" w:type="dxa"/>
            <w:vAlign w:val="center"/>
          </w:tcPr>
          <w:p w14:paraId="789829CE" w14:textId="77777777" w:rsidR="00C71CAA" w:rsidRPr="001570EA" w:rsidRDefault="00C71CAA">
            <w:pPr>
              <w:spacing w:before="60" w:after="60"/>
              <w:jc w:val="center"/>
              <w:rPr>
                <w:sz w:val="18"/>
                <w:szCs w:val="18"/>
              </w:rPr>
            </w:pPr>
            <w:r w:rsidRPr="001570EA">
              <w:rPr>
                <w:sz w:val="18"/>
                <w:szCs w:val="18"/>
              </w:rPr>
              <w:t>4</w:t>
            </w:r>
          </w:p>
        </w:tc>
      </w:tr>
      <w:tr w:rsidR="00C71CAA" w:rsidRPr="001570EA" w14:paraId="68F7887A" w14:textId="77777777">
        <w:tc>
          <w:tcPr>
            <w:tcW w:w="3756" w:type="dxa"/>
            <w:vAlign w:val="center"/>
          </w:tcPr>
          <w:p w14:paraId="1A3D00BA" w14:textId="2211C4A2" w:rsidR="00C71CAA" w:rsidRPr="001570EA" w:rsidRDefault="00C71CAA">
            <w:pPr>
              <w:spacing w:before="60" w:after="60"/>
              <w:rPr>
                <w:sz w:val="18"/>
                <w:szCs w:val="18"/>
              </w:rPr>
            </w:pPr>
            <w:r w:rsidRPr="001570EA">
              <w:rPr>
                <w:rFonts w:ascii="Cambria Math" w:hAnsi="Cambria Math"/>
                <w:i/>
                <w:sz w:val="18"/>
                <w:szCs w:val="18"/>
              </w:rPr>
              <w:t>T</w:t>
            </w:r>
            <w:r w:rsidRPr="001570EA">
              <w:rPr>
                <w:rFonts w:ascii="Cambria Math" w:hAnsi="Cambria Math"/>
                <w:i/>
                <w:sz w:val="18"/>
                <w:szCs w:val="18"/>
                <w:vertAlign w:val="subscript"/>
              </w:rPr>
              <w:t>ambient</w:t>
            </w:r>
            <w:r w:rsidRPr="001570EA">
              <w:rPr>
                <w:sz w:val="18"/>
                <w:szCs w:val="18"/>
              </w:rPr>
              <w:t>, Temperature of ambient air</w:t>
            </w:r>
          </w:p>
        </w:tc>
        <w:tc>
          <w:tcPr>
            <w:tcW w:w="1445" w:type="dxa"/>
            <w:vAlign w:val="center"/>
          </w:tcPr>
          <w:p w14:paraId="31519EAA" w14:textId="77777777" w:rsidR="00C71CAA" w:rsidRPr="001570EA" w:rsidRDefault="00C71CAA">
            <w:pPr>
              <w:spacing w:before="60" w:after="60"/>
              <w:jc w:val="center"/>
              <w:rPr>
                <w:i/>
                <w:sz w:val="18"/>
                <w:szCs w:val="18"/>
                <w:vertAlign w:val="subscript"/>
              </w:rPr>
            </w:pPr>
            <w:r w:rsidRPr="001570EA">
              <w:rPr>
                <w:rFonts w:cs="Arial"/>
                <w:i/>
                <w:sz w:val="18"/>
                <w:szCs w:val="18"/>
              </w:rPr>
              <w:t>˚</w:t>
            </w:r>
            <w:r w:rsidRPr="001570EA">
              <w:rPr>
                <w:i/>
                <w:sz w:val="18"/>
                <w:szCs w:val="18"/>
              </w:rPr>
              <w:t>F</w:t>
            </w:r>
          </w:p>
        </w:tc>
        <w:tc>
          <w:tcPr>
            <w:tcW w:w="2044" w:type="dxa"/>
            <w:vAlign w:val="center"/>
          </w:tcPr>
          <w:p w14:paraId="23409C7D" w14:textId="77777777" w:rsidR="00C71CAA" w:rsidRPr="001570EA" w:rsidRDefault="00C71CAA">
            <w:pPr>
              <w:spacing w:before="60" w:after="60"/>
              <w:jc w:val="center"/>
              <w:rPr>
                <w:sz w:val="18"/>
                <w:szCs w:val="18"/>
              </w:rPr>
            </w:pPr>
            <w:r w:rsidRPr="001570EA">
              <w:rPr>
                <w:sz w:val="18"/>
                <w:szCs w:val="18"/>
              </w:rPr>
              <w:t>70</w:t>
            </w:r>
          </w:p>
        </w:tc>
        <w:tc>
          <w:tcPr>
            <w:tcW w:w="1277" w:type="dxa"/>
            <w:vAlign w:val="center"/>
          </w:tcPr>
          <w:p w14:paraId="00C03680" w14:textId="77777777" w:rsidR="00C71CAA" w:rsidRPr="001570EA" w:rsidRDefault="00C71CAA">
            <w:pPr>
              <w:spacing w:before="60" w:after="60"/>
              <w:jc w:val="center"/>
              <w:rPr>
                <w:sz w:val="18"/>
                <w:szCs w:val="18"/>
              </w:rPr>
            </w:pPr>
            <w:r w:rsidRPr="001570EA">
              <w:rPr>
                <w:sz w:val="18"/>
                <w:szCs w:val="18"/>
              </w:rPr>
              <w:t>5</w:t>
            </w:r>
          </w:p>
        </w:tc>
      </w:tr>
      <w:tr w:rsidR="00C71CAA" w:rsidRPr="001570EA" w14:paraId="15FDC875" w14:textId="77777777">
        <w:tc>
          <w:tcPr>
            <w:tcW w:w="3756" w:type="dxa"/>
            <w:vAlign w:val="center"/>
          </w:tcPr>
          <w:p w14:paraId="7B3BACD0" w14:textId="77777777" w:rsidR="00C71CAA" w:rsidRPr="001570EA" w:rsidRDefault="00C71CAA">
            <w:pPr>
              <w:spacing w:before="60" w:after="60"/>
              <w:rPr>
                <w:iCs/>
                <w:sz w:val="18"/>
                <w:szCs w:val="18"/>
              </w:rPr>
            </w:pPr>
            <w:r w:rsidRPr="001570EA">
              <w:rPr>
                <w:rFonts w:ascii="Cambria Math" w:hAnsi="Cambria Math"/>
                <w:i/>
                <w:sz w:val="18"/>
                <w:szCs w:val="18"/>
              </w:rPr>
              <w:t>ETDF</w:t>
            </w:r>
            <w:r w:rsidRPr="001570EA">
              <w:rPr>
                <w:rFonts w:ascii="Cambria Math" w:hAnsi="Cambria Math"/>
                <w:i/>
                <w:sz w:val="18"/>
                <w:szCs w:val="18"/>
                <w:vertAlign w:val="subscript"/>
              </w:rPr>
              <w:t>S</w:t>
            </w:r>
            <w:r w:rsidRPr="001570EA">
              <w:rPr>
                <w:i/>
                <w:sz w:val="18"/>
                <w:szCs w:val="18"/>
                <w:vertAlign w:val="subscript"/>
              </w:rPr>
              <w:t xml:space="preserve"> </w:t>
            </w:r>
            <w:r w:rsidRPr="001570EA">
              <w:rPr>
                <w:i/>
                <w:sz w:val="18"/>
                <w:szCs w:val="18"/>
              </w:rPr>
              <w:t xml:space="preserve">, </w:t>
            </w:r>
            <w:r w:rsidRPr="001570EA">
              <w:rPr>
                <w:iCs/>
                <w:sz w:val="18"/>
                <w:szCs w:val="18"/>
              </w:rPr>
              <w:t>Summer Energy to Demand Factor</w:t>
            </w:r>
          </w:p>
        </w:tc>
        <w:tc>
          <w:tcPr>
            <w:tcW w:w="1445" w:type="dxa"/>
            <w:vAlign w:val="center"/>
          </w:tcPr>
          <w:p w14:paraId="3B619841" w14:textId="77777777" w:rsidR="00C71CAA" w:rsidRPr="001570EA" w:rsidRDefault="003B5E04">
            <w:pPr>
              <w:spacing w:before="60" w:after="60"/>
              <w:jc w:val="center"/>
              <w:rPr>
                <w:i/>
                <w:sz w:val="18"/>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044" w:type="dxa"/>
            <w:vAlign w:val="center"/>
          </w:tcPr>
          <w:p w14:paraId="2A1AD6A6" w14:textId="77777777" w:rsidR="00C71CAA" w:rsidRPr="001570EA" w:rsidRDefault="00C71CAA">
            <w:pPr>
              <w:spacing w:before="60" w:after="60"/>
              <w:jc w:val="center"/>
              <w:rPr>
                <w:sz w:val="18"/>
                <w:szCs w:val="18"/>
              </w:rPr>
            </w:pPr>
            <w:r w:rsidRPr="001570EA">
              <w:rPr>
                <w:sz w:val="18"/>
                <w:szCs w:val="18"/>
              </w:rPr>
              <w:t>0.0001046</w:t>
            </w:r>
          </w:p>
        </w:tc>
        <w:tc>
          <w:tcPr>
            <w:tcW w:w="1277" w:type="dxa"/>
            <w:vAlign w:val="center"/>
          </w:tcPr>
          <w:p w14:paraId="62A95A65" w14:textId="77777777" w:rsidR="00C71CAA" w:rsidRPr="001570EA" w:rsidRDefault="00C71CAA">
            <w:pPr>
              <w:spacing w:before="60" w:after="60"/>
              <w:jc w:val="center"/>
              <w:rPr>
                <w:sz w:val="18"/>
                <w:szCs w:val="18"/>
              </w:rPr>
            </w:pPr>
            <w:r w:rsidRPr="001570EA">
              <w:rPr>
                <w:sz w:val="18"/>
                <w:szCs w:val="18"/>
              </w:rPr>
              <w:t>8</w:t>
            </w:r>
          </w:p>
        </w:tc>
      </w:tr>
      <w:tr w:rsidR="00C71CAA" w:rsidRPr="001570EA" w14:paraId="0808D68B" w14:textId="77777777">
        <w:tc>
          <w:tcPr>
            <w:tcW w:w="3756" w:type="dxa"/>
            <w:vAlign w:val="center"/>
          </w:tcPr>
          <w:p w14:paraId="43FFFC55" w14:textId="77777777" w:rsidR="00C71CAA" w:rsidRPr="001570EA" w:rsidRDefault="00C71CAA">
            <w:pPr>
              <w:spacing w:before="60" w:after="60"/>
              <w:rPr>
                <w:i/>
                <w:sz w:val="18"/>
                <w:szCs w:val="18"/>
              </w:rPr>
            </w:pPr>
            <w:r w:rsidRPr="001570EA">
              <w:rPr>
                <w:rFonts w:ascii="Cambria Math" w:hAnsi="Cambria Math"/>
                <w:i/>
                <w:sz w:val="18"/>
                <w:szCs w:val="18"/>
              </w:rPr>
              <w:t>ETDF</w:t>
            </w:r>
            <w:r w:rsidRPr="001570EA">
              <w:rPr>
                <w:rFonts w:ascii="Cambria Math" w:hAnsi="Cambria Math"/>
                <w:i/>
                <w:sz w:val="18"/>
                <w:szCs w:val="18"/>
                <w:vertAlign w:val="subscript"/>
              </w:rPr>
              <w:t>W</w:t>
            </w:r>
            <w:r w:rsidRPr="001570EA">
              <w:rPr>
                <w:i/>
                <w:sz w:val="18"/>
                <w:szCs w:val="18"/>
                <w:vertAlign w:val="subscript"/>
              </w:rPr>
              <w:t xml:space="preserve"> </w:t>
            </w:r>
            <w:r w:rsidRPr="001570EA">
              <w:rPr>
                <w:i/>
                <w:sz w:val="18"/>
                <w:szCs w:val="18"/>
              </w:rPr>
              <w:t xml:space="preserve">, </w:t>
            </w:r>
            <w:r w:rsidRPr="001570EA">
              <w:rPr>
                <w:iCs/>
                <w:sz w:val="18"/>
                <w:szCs w:val="18"/>
              </w:rPr>
              <w:t>Winter Energy to Demand Factor</w:t>
            </w:r>
          </w:p>
        </w:tc>
        <w:tc>
          <w:tcPr>
            <w:tcW w:w="1445" w:type="dxa"/>
            <w:vAlign w:val="center"/>
          </w:tcPr>
          <w:p w14:paraId="4E801BD3" w14:textId="77777777" w:rsidR="00C71CAA" w:rsidRPr="001570EA" w:rsidRDefault="003B5E04">
            <w:pPr>
              <w:spacing w:before="60" w:after="60"/>
              <w:jc w:val="center"/>
              <w:rPr>
                <w:i/>
                <w:sz w:val="18"/>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044" w:type="dxa"/>
            <w:vAlign w:val="center"/>
          </w:tcPr>
          <w:p w14:paraId="23B84A6A" w14:textId="77777777" w:rsidR="00C71CAA" w:rsidRPr="001570EA" w:rsidRDefault="00C71CAA">
            <w:pPr>
              <w:spacing w:before="60" w:after="60"/>
              <w:jc w:val="center"/>
              <w:rPr>
                <w:sz w:val="18"/>
                <w:szCs w:val="18"/>
              </w:rPr>
            </w:pPr>
            <w:r w:rsidRPr="001570EA">
              <w:rPr>
                <w:sz w:val="18"/>
                <w:szCs w:val="18"/>
              </w:rPr>
              <w:t>0.0001755</w:t>
            </w:r>
          </w:p>
        </w:tc>
        <w:tc>
          <w:tcPr>
            <w:tcW w:w="1277" w:type="dxa"/>
            <w:vAlign w:val="center"/>
          </w:tcPr>
          <w:p w14:paraId="700B9966" w14:textId="77777777" w:rsidR="00C71CAA" w:rsidRPr="001570EA" w:rsidRDefault="00C71CAA">
            <w:pPr>
              <w:spacing w:before="60" w:after="60"/>
              <w:jc w:val="center"/>
              <w:rPr>
                <w:sz w:val="18"/>
                <w:szCs w:val="18"/>
              </w:rPr>
            </w:pPr>
            <w:r w:rsidRPr="001570EA">
              <w:rPr>
                <w:sz w:val="18"/>
                <w:szCs w:val="18"/>
              </w:rPr>
              <w:t>8</w:t>
            </w:r>
          </w:p>
        </w:tc>
      </w:tr>
    </w:tbl>
    <w:p w14:paraId="561B48F8" w14:textId="77777777" w:rsidR="00C71CAA" w:rsidRPr="001570EA" w:rsidRDefault="00C71CAA" w:rsidP="00C71CAA"/>
    <w:p w14:paraId="6FCB2DF4" w14:textId="0929CF8C" w:rsidR="00C71CAA" w:rsidRPr="001570EA" w:rsidRDefault="00C71CAA" w:rsidP="00C71CAA">
      <w:pPr>
        <w:pStyle w:val="Caption"/>
      </w:pPr>
      <w:bookmarkStart w:id="426" w:name="_Ref278967935"/>
      <w:bookmarkStart w:id="427" w:name="_Toc373320246"/>
      <w:bookmarkStart w:id="428" w:name="_Toc364420954"/>
      <w:bookmarkStart w:id="429" w:name="_Toc364760724"/>
      <w:bookmarkStart w:id="430" w:name="_Toc377465542"/>
      <w:bookmarkStart w:id="431" w:name="_Toc530141724"/>
      <w:bookmarkStart w:id="432" w:name="_Toc47598299"/>
      <w:bookmarkStart w:id="433" w:name="_Ref161646446"/>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66</w:t>
      </w:r>
      <w:r w:rsidR="002E093A" w:rsidRPr="001570EA">
        <w:fldChar w:fldCharType="end"/>
      </w:r>
      <w:bookmarkEnd w:id="426"/>
      <w:r w:rsidRPr="001570EA">
        <w:t>: Default Savings by Water Heater Capacity</w:t>
      </w:r>
      <w:bookmarkEnd w:id="427"/>
      <w:bookmarkEnd w:id="428"/>
      <w:bookmarkEnd w:id="429"/>
      <w:bookmarkEnd w:id="430"/>
      <w:bookmarkEnd w:id="431"/>
      <w:bookmarkEnd w:id="432"/>
      <w:bookmarkEnd w:id="433"/>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697"/>
        <w:gridCol w:w="697"/>
        <w:gridCol w:w="1000"/>
        <w:gridCol w:w="1098"/>
        <w:gridCol w:w="1713"/>
        <w:gridCol w:w="1167"/>
        <w:gridCol w:w="997"/>
      </w:tblGrid>
      <w:tr w:rsidR="00C71CAA" w:rsidRPr="001570EA" w14:paraId="1C842601" w14:textId="77777777">
        <w:trPr>
          <w:trHeight w:val="20"/>
          <w:tblHeader/>
        </w:trPr>
        <w:tc>
          <w:tcPr>
            <w:tcW w:w="676" w:type="pct"/>
            <w:shd w:val="clear" w:color="auto" w:fill="BFBFBF"/>
            <w:vAlign w:val="center"/>
          </w:tcPr>
          <w:p w14:paraId="60AEDE01" w14:textId="77777777" w:rsidR="00C71CAA" w:rsidRPr="001570EA" w:rsidRDefault="00C71CAA">
            <w:pPr>
              <w:keepNext/>
              <w:spacing w:before="60" w:after="60"/>
              <w:jc w:val="left"/>
              <w:rPr>
                <w:rFonts w:cs="Arial"/>
                <w:b/>
                <w:sz w:val="18"/>
                <w:szCs w:val="18"/>
              </w:rPr>
            </w:pPr>
            <w:r w:rsidRPr="001570EA">
              <w:rPr>
                <w:rFonts w:cs="Arial"/>
                <w:b/>
                <w:sz w:val="18"/>
                <w:szCs w:val="18"/>
              </w:rPr>
              <w:t>Capacity (gal)</w:t>
            </w:r>
          </w:p>
        </w:tc>
        <w:tc>
          <w:tcPr>
            <w:tcW w:w="409" w:type="pct"/>
            <w:shd w:val="clear" w:color="auto" w:fill="BFBFBF"/>
            <w:vAlign w:val="center"/>
          </w:tcPr>
          <w:p w14:paraId="2F87A9A6" w14:textId="77777777" w:rsidR="00C71CAA" w:rsidRPr="001570EA" w:rsidRDefault="00C71CAA">
            <w:pPr>
              <w:keepNext/>
              <w:spacing w:before="60" w:after="60"/>
              <w:jc w:val="center"/>
              <w:rPr>
                <w:rFonts w:cs="Arial"/>
                <w:b/>
                <w:sz w:val="18"/>
                <w:szCs w:val="18"/>
              </w:rPr>
            </w:pPr>
            <w:r w:rsidRPr="001570EA">
              <w:rPr>
                <w:rFonts w:cs="Arial"/>
                <w:b/>
                <w:sz w:val="18"/>
                <w:szCs w:val="18"/>
              </w:rPr>
              <w:t>R</w:t>
            </w:r>
            <w:r w:rsidRPr="001570EA">
              <w:rPr>
                <w:rFonts w:cs="Arial"/>
                <w:b/>
                <w:sz w:val="18"/>
                <w:szCs w:val="18"/>
                <w:vertAlign w:val="subscript"/>
              </w:rPr>
              <w:t>base</w:t>
            </w:r>
          </w:p>
        </w:tc>
        <w:tc>
          <w:tcPr>
            <w:tcW w:w="409" w:type="pct"/>
            <w:shd w:val="clear" w:color="auto" w:fill="BFBFBF"/>
            <w:vAlign w:val="center"/>
          </w:tcPr>
          <w:p w14:paraId="0284249E" w14:textId="77777777" w:rsidR="00C71CAA" w:rsidRPr="001570EA" w:rsidRDefault="00C71CAA">
            <w:pPr>
              <w:keepNext/>
              <w:spacing w:before="60" w:after="60"/>
              <w:jc w:val="center"/>
              <w:rPr>
                <w:rFonts w:cs="Arial"/>
                <w:b/>
                <w:sz w:val="18"/>
                <w:szCs w:val="18"/>
              </w:rPr>
            </w:pPr>
            <w:r w:rsidRPr="001570EA">
              <w:rPr>
                <w:rFonts w:cs="Arial"/>
                <w:b/>
                <w:sz w:val="18"/>
                <w:szCs w:val="18"/>
              </w:rPr>
              <w:t>R</w:t>
            </w:r>
            <w:r w:rsidRPr="001570EA">
              <w:rPr>
                <w:rFonts w:cs="Arial"/>
                <w:b/>
                <w:sz w:val="18"/>
                <w:szCs w:val="18"/>
                <w:vertAlign w:val="subscript"/>
              </w:rPr>
              <w:t>insul</w:t>
            </w:r>
          </w:p>
        </w:tc>
        <w:tc>
          <w:tcPr>
            <w:tcW w:w="587" w:type="pct"/>
            <w:shd w:val="clear" w:color="auto" w:fill="BFBFBF"/>
            <w:vAlign w:val="center"/>
          </w:tcPr>
          <w:p w14:paraId="227D76AD" w14:textId="77777777" w:rsidR="00C71CAA" w:rsidRPr="001570EA" w:rsidRDefault="00C71CAA">
            <w:pPr>
              <w:keepNext/>
              <w:spacing w:before="60" w:after="60"/>
              <w:jc w:val="center"/>
              <w:rPr>
                <w:rFonts w:cs="Arial"/>
                <w:b/>
                <w:sz w:val="18"/>
                <w:szCs w:val="18"/>
              </w:rPr>
            </w:pPr>
            <w:r w:rsidRPr="001570EA">
              <w:rPr>
                <w:rFonts w:cs="Arial"/>
                <w:b/>
                <w:sz w:val="18"/>
                <w:szCs w:val="18"/>
              </w:rPr>
              <w:t>A</w:t>
            </w:r>
            <w:r w:rsidRPr="001570EA">
              <w:rPr>
                <w:rFonts w:cs="Arial"/>
                <w:b/>
                <w:sz w:val="18"/>
                <w:szCs w:val="18"/>
                <w:vertAlign w:val="subscript"/>
              </w:rPr>
              <w:t>base</w:t>
            </w:r>
            <w:r w:rsidRPr="001570EA">
              <w:rPr>
                <w:rFonts w:cs="Arial"/>
                <w:b/>
                <w:sz w:val="18"/>
                <w:szCs w:val="18"/>
              </w:rPr>
              <w:t xml:space="preserve"> (ft</w:t>
            </w:r>
            <w:r w:rsidRPr="001570EA">
              <w:rPr>
                <w:rFonts w:cs="Arial"/>
                <w:b/>
                <w:sz w:val="18"/>
                <w:szCs w:val="18"/>
                <w:vertAlign w:val="superscript"/>
              </w:rPr>
              <w:t>2</w:t>
            </w:r>
            <w:r w:rsidRPr="001570EA">
              <w:rPr>
                <w:rFonts w:cs="Arial"/>
                <w:b/>
                <w:sz w:val="18"/>
                <w:szCs w:val="18"/>
              </w:rPr>
              <w:t>)</w:t>
            </w:r>
          </w:p>
        </w:tc>
        <w:tc>
          <w:tcPr>
            <w:tcW w:w="644" w:type="pct"/>
            <w:shd w:val="clear" w:color="auto" w:fill="BFBFBF"/>
            <w:vAlign w:val="center"/>
          </w:tcPr>
          <w:p w14:paraId="423E83F2" w14:textId="77777777" w:rsidR="00C71CAA" w:rsidRPr="001570EA" w:rsidRDefault="00C71CAA">
            <w:pPr>
              <w:keepNext/>
              <w:spacing w:before="60" w:after="60"/>
              <w:jc w:val="center"/>
              <w:rPr>
                <w:rFonts w:cs="Arial"/>
                <w:b/>
                <w:sz w:val="18"/>
                <w:szCs w:val="18"/>
              </w:rPr>
            </w:pPr>
            <w:r w:rsidRPr="001570EA">
              <w:rPr>
                <w:rFonts w:cs="Arial"/>
                <w:b/>
                <w:sz w:val="18"/>
                <w:szCs w:val="18"/>
              </w:rPr>
              <w:t>A</w:t>
            </w:r>
            <w:r w:rsidRPr="001570EA">
              <w:rPr>
                <w:rFonts w:cs="Arial"/>
                <w:b/>
                <w:sz w:val="18"/>
                <w:szCs w:val="18"/>
                <w:vertAlign w:val="subscript"/>
              </w:rPr>
              <w:t xml:space="preserve">insul </w:t>
            </w:r>
            <w:r w:rsidRPr="001570EA">
              <w:rPr>
                <w:rFonts w:cs="Arial"/>
                <w:b/>
                <w:sz w:val="18"/>
                <w:szCs w:val="18"/>
              </w:rPr>
              <w:t>(ft</w:t>
            </w:r>
            <w:r w:rsidRPr="001570EA">
              <w:rPr>
                <w:rFonts w:cs="Arial"/>
                <w:b/>
                <w:sz w:val="18"/>
                <w:szCs w:val="18"/>
                <w:vertAlign w:val="superscript"/>
              </w:rPr>
              <w:t>2</w:t>
            </w:r>
            <w:r w:rsidRPr="001570EA">
              <w:rPr>
                <w:rFonts w:cs="Arial"/>
                <w:b/>
                <w:sz w:val="18"/>
                <w:szCs w:val="18"/>
              </w:rPr>
              <w:t>)</w:t>
            </w:r>
          </w:p>
        </w:tc>
        <w:tc>
          <w:tcPr>
            <w:tcW w:w="1005" w:type="pct"/>
            <w:shd w:val="clear" w:color="auto" w:fill="BFBFBF"/>
            <w:vAlign w:val="center"/>
          </w:tcPr>
          <w:p w14:paraId="7358B520" w14:textId="77777777" w:rsidR="00C71CAA" w:rsidRPr="001570EA" w:rsidRDefault="00C71CAA">
            <w:pPr>
              <w:keepNext/>
              <w:spacing w:before="60" w:after="60"/>
              <w:jc w:val="center"/>
              <w:rPr>
                <w:rFonts w:cs="Arial"/>
                <w:b/>
                <w:sz w:val="18"/>
                <w:szCs w:val="18"/>
              </w:rPr>
            </w:pPr>
            <w:r w:rsidRPr="001570EA">
              <w:rPr>
                <w:rFonts w:cs="Arial"/>
                <w:b/>
                <w:sz w:val="18"/>
                <w:szCs w:val="18"/>
              </w:rPr>
              <w:t>ΔkWh</w:t>
            </w:r>
          </w:p>
        </w:tc>
        <w:tc>
          <w:tcPr>
            <w:tcW w:w="685" w:type="pct"/>
            <w:shd w:val="clear" w:color="auto" w:fill="BFBFBF"/>
            <w:vAlign w:val="center"/>
          </w:tcPr>
          <w:p w14:paraId="2D298124" w14:textId="77777777" w:rsidR="00C71CAA" w:rsidRPr="001570EA" w:rsidRDefault="00C71CAA">
            <w:pPr>
              <w:keepNext/>
              <w:spacing w:before="60" w:after="60"/>
              <w:jc w:val="center"/>
              <w:rPr>
                <w:rFonts w:cs="Arial"/>
                <w:b/>
                <w:sz w:val="18"/>
                <w:szCs w:val="18"/>
              </w:rPr>
            </w:pPr>
            <w:r w:rsidRPr="001570EA">
              <w:rPr>
                <w:rFonts w:cs="Arial"/>
                <w:b/>
                <w:bCs/>
                <w:color w:val="000000"/>
                <w:sz w:val="18"/>
                <w:szCs w:val="18"/>
              </w:rPr>
              <w:t>ΔkW</w:t>
            </w:r>
            <w:r w:rsidRPr="001570EA">
              <w:rPr>
                <w:rFonts w:cs="Arial"/>
                <w:b/>
                <w:bCs/>
                <w:color w:val="000000"/>
                <w:sz w:val="18"/>
                <w:szCs w:val="18"/>
                <w:vertAlign w:val="subscript"/>
              </w:rPr>
              <w:t>summer peak</w:t>
            </w:r>
          </w:p>
        </w:tc>
        <w:tc>
          <w:tcPr>
            <w:tcW w:w="585" w:type="pct"/>
            <w:shd w:val="clear" w:color="auto" w:fill="BFBFBF"/>
            <w:vAlign w:val="center"/>
          </w:tcPr>
          <w:p w14:paraId="2C4C06F0" w14:textId="77777777" w:rsidR="00C71CAA" w:rsidRPr="001570EA" w:rsidRDefault="00C71CAA">
            <w:pPr>
              <w:spacing w:before="80" w:after="80"/>
              <w:jc w:val="center"/>
              <w:rPr>
                <w:rFonts w:cs="Arial"/>
                <w:b/>
                <w:bCs/>
                <w:color w:val="000000"/>
                <w:sz w:val="18"/>
                <w:szCs w:val="18"/>
              </w:rPr>
            </w:pPr>
          </w:p>
          <w:p w14:paraId="7BB2FC40" w14:textId="77777777" w:rsidR="00C71CAA" w:rsidRPr="001570EA" w:rsidRDefault="00C71CAA">
            <w:pPr>
              <w:keepNext/>
              <w:spacing w:before="60" w:after="60"/>
              <w:jc w:val="center"/>
              <w:rPr>
                <w:rFonts w:cs="Arial"/>
                <w:b/>
                <w:sz w:val="18"/>
                <w:szCs w:val="18"/>
              </w:rPr>
            </w:pPr>
            <w:r w:rsidRPr="001570EA">
              <w:rPr>
                <w:rFonts w:cs="Arial"/>
                <w:b/>
                <w:bCs/>
                <w:color w:val="000000"/>
                <w:sz w:val="18"/>
                <w:szCs w:val="18"/>
              </w:rPr>
              <w:t>ΔkW</w:t>
            </w:r>
            <w:r w:rsidRPr="001570EA">
              <w:rPr>
                <w:rFonts w:cs="Arial"/>
                <w:b/>
                <w:bCs/>
                <w:color w:val="000000"/>
                <w:sz w:val="18"/>
                <w:szCs w:val="18"/>
                <w:vertAlign w:val="subscript"/>
              </w:rPr>
              <w:t>winter peak</w:t>
            </w:r>
          </w:p>
        </w:tc>
      </w:tr>
      <w:tr w:rsidR="00C71CAA" w:rsidRPr="001570EA" w14:paraId="4DCD4C5F" w14:textId="77777777">
        <w:trPr>
          <w:trHeight w:val="20"/>
        </w:trPr>
        <w:tc>
          <w:tcPr>
            <w:tcW w:w="676" w:type="pct"/>
            <w:vAlign w:val="center"/>
          </w:tcPr>
          <w:p w14:paraId="14B2A67E" w14:textId="77777777" w:rsidR="00C71CAA" w:rsidRPr="001570EA" w:rsidRDefault="00C71CAA">
            <w:pPr>
              <w:spacing w:before="60" w:after="60"/>
              <w:rPr>
                <w:rFonts w:cs="Arial"/>
                <w:sz w:val="18"/>
                <w:szCs w:val="18"/>
              </w:rPr>
            </w:pPr>
            <w:r w:rsidRPr="001570EA">
              <w:rPr>
                <w:rFonts w:cs="Arial"/>
                <w:color w:val="000000"/>
                <w:sz w:val="18"/>
                <w:szCs w:val="18"/>
              </w:rPr>
              <w:t>30</w:t>
            </w:r>
          </w:p>
        </w:tc>
        <w:tc>
          <w:tcPr>
            <w:tcW w:w="409" w:type="pct"/>
            <w:vAlign w:val="center"/>
          </w:tcPr>
          <w:p w14:paraId="24A9F71B" w14:textId="77777777" w:rsidR="00C71CAA" w:rsidRPr="001570EA" w:rsidRDefault="00C71CAA">
            <w:pPr>
              <w:spacing w:before="60" w:after="60"/>
              <w:jc w:val="center"/>
              <w:rPr>
                <w:rFonts w:cs="Arial"/>
                <w:sz w:val="18"/>
                <w:szCs w:val="18"/>
              </w:rPr>
            </w:pPr>
            <w:r w:rsidRPr="001570EA">
              <w:rPr>
                <w:rFonts w:cs="Arial"/>
                <w:color w:val="000000"/>
                <w:sz w:val="18"/>
                <w:szCs w:val="18"/>
              </w:rPr>
              <w:t>8</w:t>
            </w:r>
          </w:p>
        </w:tc>
        <w:tc>
          <w:tcPr>
            <w:tcW w:w="409" w:type="pct"/>
            <w:vAlign w:val="center"/>
          </w:tcPr>
          <w:p w14:paraId="27799DA7" w14:textId="77777777" w:rsidR="00C71CAA" w:rsidRPr="001570EA" w:rsidRDefault="00C71CAA">
            <w:pPr>
              <w:spacing w:before="60" w:after="60"/>
              <w:jc w:val="center"/>
              <w:rPr>
                <w:rFonts w:cs="Arial"/>
                <w:sz w:val="18"/>
                <w:szCs w:val="18"/>
              </w:rPr>
            </w:pPr>
            <w:r w:rsidRPr="001570EA">
              <w:rPr>
                <w:rFonts w:cs="Arial"/>
                <w:color w:val="000000"/>
                <w:sz w:val="18"/>
                <w:szCs w:val="18"/>
              </w:rPr>
              <w:t>16</w:t>
            </w:r>
          </w:p>
        </w:tc>
        <w:tc>
          <w:tcPr>
            <w:tcW w:w="587" w:type="pct"/>
            <w:vAlign w:val="center"/>
          </w:tcPr>
          <w:p w14:paraId="7FA1D725" w14:textId="77777777" w:rsidR="00C71CAA" w:rsidRPr="001570EA" w:rsidRDefault="00C71CAA">
            <w:pPr>
              <w:spacing w:before="60" w:after="60"/>
              <w:jc w:val="center"/>
              <w:rPr>
                <w:rFonts w:cs="Arial"/>
                <w:sz w:val="18"/>
                <w:szCs w:val="18"/>
              </w:rPr>
            </w:pPr>
            <w:r w:rsidRPr="001570EA">
              <w:rPr>
                <w:rFonts w:cs="Arial"/>
                <w:color w:val="000000"/>
                <w:sz w:val="18"/>
                <w:szCs w:val="18"/>
              </w:rPr>
              <w:t>19.16</w:t>
            </w:r>
          </w:p>
        </w:tc>
        <w:tc>
          <w:tcPr>
            <w:tcW w:w="644" w:type="pct"/>
            <w:vAlign w:val="center"/>
          </w:tcPr>
          <w:p w14:paraId="7EC7B194" w14:textId="77777777" w:rsidR="00C71CAA" w:rsidRPr="001570EA" w:rsidRDefault="00C71CAA">
            <w:pPr>
              <w:spacing w:before="60" w:after="60"/>
              <w:jc w:val="center"/>
              <w:rPr>
                <w:rFonts w:cs="Arial"/>
                <w:sz w:val="18"/>
                <w:szCs w:val="18"/>
              </w:rPr>
            </w:pPr>
            <w:r w:rsidRPr="001570EA">
              <w:rPr>
                <w:rFonts w:cs="Arial"/>
                <w:color w:val="000000"/>
                <w:sz w:val="18"/>
                <w:szCs w:val="18"/>
              </w:rPr>
              <w:t>20.94</w:t>
            </w:r>
          </w:p>
        </w:tc>
        <w:tc>
          <w:tcPr>
            <w:tcW w:w="1005" w:type="pct"/>
            <w:vAlign w:val="center"/>
          </w:tcPr>
          <w:p w14:paraId="4DF486CE" w14:textId="77777777" w:rsidR="00C71CAA" w:rsidRPr="001570EA" w:rsidRDefault="00C71CAA">
            <w:pPr>
              <w:spacing w:before="60" w:after="60"/>
              <w:jc w:val="center"/>
              <w:rPr>
                <w:rFonts w:cs="Arial"/>
                <w:sz w:val="18"/>
                <w:szCs w:val="18"/>
              </w:rPr>
            </w:pPr>
            <w:r w:rsidRPr="001570EA">
              <w:rPr>
                <w:rFonts w:cs="Arial"/>
                <w:color w:val="000000"/>
                <w:sz w:val="18"/>
                <w:szCs w:val="18"/>
              </w:rPr>
              <w:t>139.4</w:t>
            </w:r>
          </w:p>
        </w:tc>
        <w:tc>
          <w:tcPr>
            <w:tcW w:w="685" w:type="pct"/>
            <w:vAlign w:val="center"/>
          </w:tcPr>
          <w:p w14:paraId="38E47968" w14:textId="77777777" w:rsidR="00C71CAA" w:rsidRPr="001570EA" w:rsidRDefault="00C71CAA">
            <w:pPr>
              <w:spacing w:before="60" w:after="60"/>
              <w:jc w:val="center"/>
              <w:rPr>
                <w:rFonts w:cs="Arial"/>
                <w:sz w:val="18"/>
                <w:szCs w:val="18"/>
              </w:rPr>
            </w:pPr>
            <w:r w:rsidRPr="001570EA">
              <w:rPr>
                <w:rFonts w:cs="Arial"/>
                <w:color w:val="000000"/>
                <w:sz w:val="18"/>
                <w:szCs w:val="18"/>
              </w:rPr>
              <w:t>0.0145</w:t>
            </w:r>
          </w:p>
        </w:tc>
        <w:tc>
          <w:tcPr>
            <w:tcW w:w="585" w:type="pct"/>
            <w:vAlign w:val="center"/>
          </w:tcPr>
          <w:p w14:paraId="30126C30"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0.0244</w:t>
            </w:r>
          </w:p>
        </w:tc>
      </w:tr>
      <w:tr w:rsidR="00C71CAA" w:rsidRPr="001570EA" w14:paraId="685B9AAB" w14:textId="77777777">
        <w:trPr>
          <w:trHeight w:val="20"/>
        </w:trPr>
        <w:tc>
          <w:tcPr>
            <w:tcW w:w="676" w:type="pct"/>
            <w:vAlign w:val="center"/>
          </w:tcPr>
          <w:p w14:paraId="57F7B7AB" w14:textId="77777777" w:rsidR="00C71CAA" w:rsidRPr="001570EA" w:rsidRDefault="00C71CAA">
            <w:pPr>
              <w:spacing w:before="60" w:after="60"/>
              <w:rPr>
                <w:rFonts w:cs="Arial"/>
                <w:sz w:val="18"/>
                <w:szCs w:val="18"/>
              </w:rPr>
            </w:pPr>
            <w:r w:rsidRPr="001570EA">
              <w:rPr>
                <w:rFonts w:cs="Arial"/>
                <w:color w:val="000000"/>
                <w:sz w:val="18"/>
                <w:szCs w:val="18"/>
              </w:rPr>
              <w:t>30</w:t>
            </w:r>
          </w:p>
        </w:tc>
        <w:tc>
          <w:tcPr>
            <w:tcW w:w="409" w:type="pct"/>
            <w:vAlign w:val="center"/>
          </w:tcPr>
          <w:p w14:paraId="554E0F2F" w14:textId="77777777" w:rsidR="00C71CAA" w:rsidRPr="001570EA" w:rsidRDefault="00C71CAA">
            <w:pPr>
              <w:spacing w:before="60" w:after="60"/>
              <w:jc w:val="center"/>
              <w:rPr>
                <w:rFonts w:cs="Arial"/>
                <w:sz w:val="18"/>
                <w:szCs w:val="18"/>
              </w:rPr>
            </w:pPr>
            <w:r w:rsidRPr="001570EA">
              <w:rPr>
                <w:rFonts w:cs="Arial"/>
                <w:color w:val="000000"/>
                <w:sz w:val="18"/>
                <w:szCs w:val="18"/>
              </w:rPr>
              <w:t>10</w:t>
            </w:r>
          </w:p>
        </w:tc>
        <w:tc>
          <w:tcPr>
            <w:tcW w:w="409" w:type="pct"/>
            <w:vAlign w:val="center"/>
          </w:tcPr>
          <w:p w14:paraId="2EA965C7" w14:textId="77777777" w:rsidR="00C71CAA" w:rsidRPr="001570EA" w:rsidRDefault="00C71CAA">
            <w:pPr>
              <w:spacing w:before="60" w:after="60"/>
              <w:jc w:val="center"/>
              <w:rPr>
                <w:rFonts w:cs="Arial"/>
                <w:sz w:val="18"/>
                <w:szCs w:val="18"/>
              </w:rPr>
            </w:pPr>
            <w:r w:rsidRPr="001570EA">
              <w:rPr>
                <w:rFonts w:cs="Arial"/>
                <w:color w:val="000000"/>
                <w:sz w:val="18"/>
                <w:szCs w:val="18"/>
              </w:rPr>
              <w:t>18</w:t>
            </w:r>
          </w:p>
        </w:tc>
        <w:tc>
          <w:tcPr>
            <w:tcW w:w="587" w:type="pct"/>
            <w:vAlign w:val="center"/>
          </w:tcPr>
          <w:p w14:paraId="33B245C1" w14:textId="77777777" w:rsidR="00C71CAA" w:rsidRPr="001570EA" w:rsidRDefault="00C71CAA">
            <w:pPr>
              <w:spacing w:before="60" w:after="60"/>
              <w:jc w:val="center"/>
              <w:rPr>
                <w:rFonts w:cs="Arial"/>
                <w:sz w:val="18"/>
                <w:szCs w:val="18"/>
              </w:rPr>
            </w:pPr>
            <w:r w:rsidRPr="001570EA">
              <w:rPr>
                <w:rFonts w:cs="Arial"/>
                <w:color w:val="000000"/>
                <w:sz w:val="18"/>
                <w:szCs w:val="18"/>
              </w:rPr>
              <w:t>19.16</w:t>
            </w:r>
          </w:p>
        </w:tc>
        <w:tc>
          <w:tcPr>
            <w:tcW w:w="644" w:type="pct"/>
            <w:vAlign w:val="center"/>
          </w:tcPr>
          <w:p w14:paraId="592ADB5F" w14:textId="77777777" w:rsidR="00C71CAA" w:rsidRPr="001570EA" w:rsidRDefault="00C71CAA">
            <w:pPr>
              <w:spacing w:before="60" w:after="60"/>
              <w:jc w:val="center"/>
              <w:rPr>
                <w:rFonts w:cs="Arial"/>
                <w:sz w:val="18"/>
                <w:szCs w:val="18"/>
              </w:rPr>
            </w:pPr>
            <w:r w:rsidRPr="001570EA">
              <w:rPr>
                <w:rFonts w:cs="Arial"/>
                <w:color w:val="000000"/>
                <w:sz w:val="18"/>
                <w:szCs w:val="18"/>
              </w:rPr>
              <w:t>20.94</w:t>
            </w:r>
          </w:p>
        </w:tc>
        <w:tc>
          <w:tcPr>
            <w:tcW w:w="1005" w:type="pct"/>
            <w:vAlign w:val="center"/>
          </w:tcPr>
          <w:p w14:paraId="5C2EB8AE" w14:textId="77777777" w:rsidR="00C71CAA" w:rsidRPr="001570EA" w:rsidRDefault="00C71CAA">
            <w:pPr>
              <w:spacing w:before="60" w:after="60"/>
              <w:jc w:val="center"/>
              <w:rPr>
                <w:rFonts w:cs="Arial"/>
                <w:sz w:val="18"/>
                <w:szCs w:val="18"/>
              </w:rPr>
            </w:pPr>
            <w:r w:rsidRPr="001570EA">
              <w:rPr>
                <w:rFonts w:cs="Arial"/>
                <w:color w:val="000000"/>
                <w:sz w:val="18"/>
                <w:szCs w:val="18"/>
              </w:rPr>
              <w:t>96.6</w:t>
            </w:r>
          </w:p>
        </w:tc>
        <w:tc>
          <w:tcPr>
            <w:tcW w:w="685" w:type="pct"/>
            <w:vAlign w:val="center"/>
          </w:tcPr>
          <w:p w14:paraId="076FDE01" w14:textId="77777777" w:rsidR="00C71CAA" w:rsidRPr="001570EA" w:rsidRDefault="00C71CAA">
            <w:pPr>
              <w:spacing w:before="60" w:after="60"/>
              <w:jc w:val="center"/>
              <w:rPr>
                <w:rFonts w:cs="Arial"/>
                <w:sz w:val="18"/>
                <w:szCs w:val="18"/>
              </w:rPr>
            </w:pPr>
            <w:r w:rsidRPr="001570EA">
              <w:rPr>
                <w:rFonts w:cs="Arial"/>
                <w:color w:val="000000"/>
                <w:sz w:val="18"/>
                <w:szCs w:val="18"/>
              </w:rPr>
              <w:t>0.0101</w:t>
            </w:r>
          </w:p>
        </w:tc>
        <w:tc>
          <w:tcPr>
            <w:tcW w:w="585" w:type="pct"/>
            <w:vAlign w:val="center"/>
          </w:tcPr>
          <w:p w14:paraId="69A48A54"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0.0170</w:t>
            </w:r>
          </w:p>
        </w:tc>
      </w:tr>
      <w:tr w:rsidR="00C71CAA" w:rsidRPr="001570EA" w14:paraId="5F317C07" w14:textId="77777777">
        <w:trPr>
          <w:trHeight w:val="20"/>
        </w:trPr>
        <w:tc>
          <w:tcPr>
            <w:tcW w:w="676" w:type="pct"/>
            <w:vAlign w:val="center"/>
          </w:tcPr>
          <w:p w14:paraId="1D499061" w14:textId="77777777" w:rsidR="00C71CAA" w:rsidRPr="001570EA" w:rsidRDefault="00C71CAA">
            <w:pPr>
              <w:spacing w:before="60" w:after="60"/>
              <w:rPr>
                <w:rFonts w:cs="Arial"/>
                <w:sz w:val="18"/>
                <w:szCs w:val="18"/>
              </w:rPr>
            </w:pPr>
            <w:r w:rsidRPr="001570EA">
              <w:rPr>
                <w:rFonts w:cs="Arial"/>
                <w:color w:val="000000"/>
                <w:sz w:val="18"/>
                <w:szCs w:val="18"/>
              </w:rPr>
              <w:t>30</w:t>
            </w:r>
          </w:p>
        </w:tc>
        <w:tc>
          <w:tcPr>
            <w:tcW w:w="409" w:type="pct"/>
            <w:vAlign w:val="center"/>
          </w:tcPr>
          <w:p w14:paraId="2A348F30" w14:textId="77777777" w:rsidR="00C71CAA" w:rsidRPr="001570EA" w:rsidRDefault="00C71CAA">
            <w:pPr>
              <w:spacing w:before="60" w:after="60"/>
              <w:jc w:val="center"/>
              <w:rPr>
                <w:rFonts w:cs="Arial"/>
                <w:sz w:val="18"/>
                <w:szCs w:val="18"/>
              </w:rPr>
            </w:pPr>
            <w:r w:rsidRPr="001570EA">
              <w:rPr>
                <w:rFonts w:cs="Arial"/>
                <w:color w:val="000000"/>
                <w:sz w:val="18"/>
                <w:szCs w:val="18"/>
              </w:rPr>
              <w:t>12</w:t>
            </w:r>
          </w:p>
        </w:tc>
        <w:tc>
          <w:tcPr>
            <w:tcW w:w="409" w:type="pct"/>
            <w:vAlign w:val="center"/>
          </w:tcPr>
          <w:p w14:paraId="3D65F5E3" w14:textId="77777777" w:rsidR="00C71CAA" w:rsidRPr="001570EA" w:rsidRDefault="00C71CAA">
            <w:pPr>
              <w:spacing w:before="60" w:after="60"/>
              <w:jc w:val="center"/>
              <w:rPr>
                <w:rFonts w:cs="Arial"/>
                <w:sz w:val="18"/>
                <w:szCs w:val="18"/>
              </w:rPr>
            </w:pPr>
            <w:r w:rsidRPr="001570EA">
              <w:rPr>
                <w:rFonts w:cs="Arial"/>
                <w:color w:val="000000"/>
                <w:sz w:val="18"/>
                <w:szCs w:val="18"/>
              </w:rPr>
              <w:t>20</w:t>
            </w:r>
          </w:p>
        </w:tc>
        <w:tc>
          <w:tcPr>
            <w:tcW w:w="587" w:type="pct"/>
            <w:vAlign w:val="center"/>
          </w:tcPr>
          <w:p w14:paraId="0B96C9F4" w14:textId="77777777" w:rsidR="00C71CAA" w:rsidRPr="001570EA" w:rsidRDefault="00C71CAA">
            <w:pPr>
              <w:spacing w:before="60" w:after="60"/>
              <w:jc w:val="center"/>
              <w:rPr>
                <w:rFonts w:cs="Arial"/>
                <w:sz w:val="18"/>
                <w:szCs w:val="18"/>
              </w:rPr>
            </w:pPr>
            <w:r w:rsidRPr="001570EA">
              <w:rPr>
                <w:rFonts w:cs="Arial"/>
                <w:color w:val="000000"/>
                <w:sz w:val="18"/>
                <w:szCs w:val="18"/>
              </w:rPr>
              <w:t>19.16</w:t>
            </w:r>
          </w:p>
        </w:tc>
        <w:tc>
          <w:tcPr>
            <w:tcW w:w="644" w:type="pct"/>
            <w:vAlign w:val="center"/>
          </w:tcPr>
          <w:p w14:paraId="32CE49DE" w14:textId="77777777" w:rsidR="00C71CAA" w:rsidRPr="001570EA" w:rsidRDefault="00C71CAA">
            <w:pPr>
              <w:spacing w:before="60" w:after="60"/>
              <w:jc w:val="center"/>
              <w:rPr>
                <w:rFonts w:cs="Arial"/>
                <w:sz w:val="18"/>
                <w:szCs w:val="18"/>
              </w:rPr>
            </w:pPr>
            <w:r w:rsidRPr="001570EA">
              <w:rPr>
                <w:rFonts w:cs="Arial"/>
                <w:color w:val="000000"/>
                <w:sz w:val="18"/>
                <w:szCs w:val="18"/>
              </w:rPr>
              <w:t>20.94</w:t>
            </w:r>
          </w:p>
        </w:tc>
        <w:tc>
          <w:tcPr>
            <w:tcW w:w="1005" w:type="pct"/>
            <w:vAlign w:val="center"/>
          </w:tcPr>
          <w:p w14:paraId="2EF49447" w14:textId="77777777" w:rsidR="00C71CAA" w:rsidRPr="001570EA" w:rsidRDefault="00C71CAA">
            <w:pPr>
              <w:spacing w:before="60" w:after="60"/>
              <w:jc w:val="center"/>
              <w:rPr>
                <w:rFonts w:cs="Arial"/>
                <w:sz w:val="18"/>
                <w:szCs w:val="18"/>
              </w:rPr>
            </w:pPr>
            <w:r w:rsidRPr="001570EA">
              <w:rPr>
                <w:rFonts w:cs="Arial"/>
                <w:color w:val="000000"/>
                <w:sz w:val="18"/>
                <w:szCs w:val="18"/>
              </w:rPr>
              <w:t>70.6</w:t>
            </w:r>
          </w:p>
        </w:tc>
        <w:tc>
          <w:tcPr>
            <w:tcW w:w="685" w:type="pct"/>
            <w:vAlign w:val="center"/>
          </w:tcPr>
          <w:p w14:paraId="77E93E55" w14:textId="77777777" w:rsidR="00C71CAA" w:rsidRPr="001570EA" w:rsidRDefault="00C71CAA">
            <w:pPr>
              <w:spacing w:before="60" w:after="60"/>
              <w:jc w:val="center"/>
              <w:rPr>
                <w:rFonts w:cs="Arial"/>
                <w:sz w:val="18"/>
                <w:szCs w:val="18"/>
              </w:rPr>
            </w:pPr>
            <w:r w:rsidRPr="001570EA">
              <w:rPr>
                <w:rFonts w:cs="Arial"/>
                <w:color w:val="000000"/>
                <w:sz w:val="18"/>
                <w:szCs w:val="18"/>
              </w:rPr>
              <w:t>0.0074</w:t>
            </w:r>
          </w:p>
        </w:tc>
        <w:tc>
          <w:tcPr>
            <w:tcW w:w="585" w:type="pct"/>
            <w:vAlign w:val="center"/>
          </w:tcPr>
          <w:p w14:paraId="4A093B37"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0.0124</w:t>
            </w:r>
          </w:p>
        </w:tc>
      </w:tr>
      <w:tr w:rsidR="00C71CAA" w:rsidRPr="001570EA" w14:paraId="1A29FC55" w14:textId="77777777">
        <w:trPr>
          <w:trHeight w:val="20"/>
        </w:trPr>
        <w:tc>
          <w:tcPr>
            <w:tcW w:w="676" w:type="pct"/>
            <w:vAlign w:val="center"/>
          </w:tcPr>
          <w:p w14:paraId="08700A96" w14:textId="77777777" w:rsidR="00C71CAA" w:rsidRPr="001570EA" w:rsidRDefault="00C71CAA">
            <w:pPr>
              <w:spacing w:before="60" w:after="60"/>
              <w:rPr>
                <w:rFonts w:cs="Arial"/>
                <w:sz w:val="18"/>
                <w:szCs w:val="18"/>
              </w:rPr>
            </w:pPr>
            <w:r w:rsidRPr="001570EA">
              <w:rPr>
                <w:rFonts w:cs="Arial"/>
                <w:color w:val="000000"/>
                <w:sz w:val="18"/>
                <w:szCs w:val="18"/>
              </w:rPr>
              <w:t>30</w:t>
            </w:r>
          </w:p>
        </w:tc>
        <w:tc>
          <w:tcPr>
            <w:tcW w:w="409" w:type="pct"/>
            <w:vAlign w:val="center"/>
          </w:tcPr>
          <w:p w14:paraId="4D52E180" w14:textId="77777777" w:rsidR="00C71CAA" w:rsidRPr="001570EA" w:rsidRDefault="00C71CAA">
            <w:pPr>
              <w:spacing w:before="60" w:after="60"/>
              <w:jc w:val="center"/>
              <w:rPr>
                <w:rFonts w:cs="Arial"/>
                <w:sz w:val="18"/>
                <w:szCs w:val="18"/>
              </w:rPr>
            </w:pPr>
            <w:r w:rsidRPr="001570EA">
              <w:rPr>
                <w:rFonts w:cs="Arial"/>
                <w:color w:val="000000"/>
                <w:sz w:val="18"/>
                <w:szCs w:val="18"/>
              </w:rPr>
              <w:t>8</w:t>
            </w:r>
          </w:p>
        </w:tc>
        <w:tc>
          <w:tcPr>
            <w:tcW w:w="409" w:type="pct"/>
            <w:vAlign w:val="center"/>
          </w:tcPr>
          <w:p w14:paraId="7FA1D080" w14:textId="77777777" w:rsidR="00C71CAA" w:rsidRPr="001570EA" w:rsidRDefault="00C71CAA">
            <w:pPr>
              <w:spacing w:before="60" w:after="60"/>
              <w:jc w:val="center"/>
              <w:rPr>
                <w:rFonts w:cs="Arial"/>
                <w:sz w:val="18"/>
                <w:szCs w:val="18"/>
              </w:rPr>
            </w:pPr>
            <w:r w:rsidRPr="001570EA">
              <w:rPr>
                <w:rFonts w:cs="Arial"/>
                <w:color w:val="000000"/>
                <w:sz w:val="18"/>
                <w:szCs w:val="18"/>
              </w:rPr>
              <w:t>18</w:t>
            </w:r>
          </w:p>
        </w:tc>
        <w:tc>
          <w:tcPr>
            <w:tcW w:w="587" w:type="pct"/>
            <w:vAlign w:val="center"/>
          </w:tcPr>
          <w:p w14:paraId="7DC8B901" w14:textId="77777777" w:rsidR="00C71CAA" w:rsidRPr="001570EA" w:rsidRDefault="00C71CAA">
            <w:pPr>
              <w:spacing w:before="60" w:after="60"/>
              <w:jc w:val="center"/>
              <w:rPr>
                <w:rFonts w:cs="Arial"/>
                <w:sz w:val="18"/>
                <w:szCs w:val="18"/>
              </w:rPr>
            </w:pPr>
            <w:r w:rsidRPr="001570EA">
              <w:rPr>
                <w:rFonts w:cs="Arial"/>
                <w:color w:val="000000"/>
                <w:sz w:val="18"/>
                <w:szCs w:val="18"/>
              </w:rPr>
              <w:t>19.16</w:t>
            </w:r>
          </w:p>
        </w:tc>
        <w:tc>
          <w:tcPr>
            <w:tcW w:w="644" w:type="pct"/>
            <w:vAlign w:val="center"/>
          </w:tcPr>
          <w:p w14:paraId="186E5AF8" w14:textId="77777777" w:rsidR="00C71CAA" w:rsidRPr="001570EA" w:rsidRDefault="00C71CAA">
            <w:pPr>
              <w:spacing w:before="60" w:after="60"/>
              <w:jc w:val="center"/>
              <w:rPr>
                <w:rFonts w:cs="Arial"/>
                <w:sz w:val="18"/>
                <w:szCs w:val="18"/>
              </w:rPr>
            </w:pPr>
            <w:r w:rsidRPr="001570EA">
              <w:rPr>
                <w:rFonts w:cs="Arial"/>
                <w:color w:val="000000"/>
                <w:sz w:val="18"/>
                <w:szCs w:val="18"/>
              </w:rPr>
              <w:t>20.94</w:t>
            </w:r>
          </w:p>
        </w:tc>
        <w:tc>
          <w:tcPr>
            <w:tcW w:w="1005" w:type="pct"/>
            <w:vAlign w:val="center"/>
          </w:tcPr>
          <w:p w14:paraId="5CA49C75" w14:textId="77777777" w:rsidR="00C71CAA" w:rsidRPr="001570EA" w:rsidRDefault="00C71CAA">
            <w:pPr>
              <w:spacing w:before="60" w:after="60"/>
              <w:jc w:val="center"/>
              <w:rPr>
                <w:rFonts w:cs="Arial"/>
                <w:sz w:val="18"/>
                <w:szCs w:val="18"/>
              </w:rPr>
            </w:pPr>
            <w:r w:rsidRPr="001570EA">
              <w:rPr>
                <w:rFonts w:cs="Arial"/>
                <w:color w:val="000000"/>
                <w:sz w:val="18"/>
                <w:szCs w:val="18"/>
              </w:rPr>
              <w:t>158.1</w:t>
            </w:r>
          </w:p>
        </w:tc>
        <w:tc>
          <w:tcPr>
            <w:tcW w:w="685" w:type="pct"/>
            <w:vAlign w:val="center"/>
          </w:tcPr>
          <w:p w14:paraId="32130F78" w14:textId="77777777" w:rsidR="00C71CAA" w:rsidRPr="001570EA" w:rsidRDefault="00C71CAA">
            <w:pPr>
              <w:spacing w:before="60" w:after="60"/>
              <w:jc w:val="center"/>
              <w:rPr>
                <w:rFonts w:cs="Arial"/>
                <w:sz w:val="18"/>
                <w:szCs w:val="18"/>
              </w:rPr>
            </w:pPr>
            <w:r w:rsidRPr="001570EA">
              <w:rPr>
                <w:rFonts w:cs="Arial"/>
                <w:color w:val="000000"/>
                <w:sz w:val="18"/>
                <w:szCs w:val="18"/>
              </w:rPr>
              <w:t>0.0165</w:t>
            </w:r>
          </w:p>
        </w:tc>
        <w:tc>
          <w:tcPr>
            <w:tcW w:w="585" w:type="pct"/>
            <w:vAlign w:val="center"/>
          </w:tcPr>
          <w:p w14:paraId="204535B4"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0.0277</w:t>
            </w:r>
          </w:p>
        </w:tc>
      </w:tr>
      <w:tr w:rsidR="00C71CAA" w:rsidRPr="001570EA" w14:paraId="714BADF9" w14:textId="77777777">
        <w:trPr>
          <w:trHeight w:val="20"/>
        </w:trPr>
        <w:tc>
          <w:tcPr>
            <w:tcW w:w="676" w:type="pct"/>
            <w:vAlign w:val="center"/>
          </w:tcPr>
          <w:p w14:paraId="57C1F65C" w14:textId="77777777" w:rsidR="00C71CAA" w:rsidRPr="001570EA" w:rsidRDefault="00C71CAA">
            <w:pPr>
              <w:spacing w:before="60" w:after="60"/>
              <w:rPr>
                <w:rFonts w:cs="Arial"/>
                <w:sz w:val="18"/>
                <w:szCs w:val="18"/>
              </w:rPr>
            </w:pPr>
            <w:r w:rsidRPr="001570EA">
              <w:rPr>
                <w:rFonts w:cs="Arial"/>
                <w:color w:val="000000"/>
                <w:sz w:val="18"/>
                <w:szCs w:val="18"/>
              </w:rPr>
              <w:t>30</w:t>
            </w:r>
          </w:p>
        </w:tc>
        <w:tc>
          <w:tcPr>
            <w:tcW w:w="409" w:type="pct"/>
            <w:vAlign w:val="center"/>
          </w:tcPr>
          <w:p w14:paraId="47150B14" w14:textId="77777777" w:rsidR="00C71CAA" w:rsidRPr="001570EA" w:rsidRDefault="00C71CAA">
            <w:pPr>
              <w:spacing w:before="60" w:after="60"/>
              <w:jc w:val="center"/>
              <w:rPr>
                <w:rFonts w:cs="Arial"/>
                <w:sz w:val="18"/>
                <w:szCs w:val="18"/>
              </w:rPr>
            </w:pPr>
            <w:r w:rsidRPr="001570EA">
              <w:rPr>
                <w:rFonts w:cs="Arial"/>
                <w:color w:val="000000"/>
                <w:sz w:val="18"/>
                <w:szCs w:val="18"/>
              </w:rPr>
              <w:t>10</w:t>
            </w:r>
          </w:p>
        </w:tc>
        <w:tc>
          <w:tcPr>
            <w:tcW w:w="409" w:type="pct"/>
            <w:vAlign w:val="center"/>
          </w:tcPr>
          <w:p w14:paraId="0D56C813" w14:textId="77777777" w:rsidR="00C71CAA" w:rsidRPr="001570EA" w:rsidRDefault="00C71CAA">
            <w:pPr>
              <w:spacing w:before="60" w:after="60"/>
              <w:jc w:val="center"/>
              <w:rPr>
                <w:rFonts w:cs="Arial"/>
                <w:sz w:val="18"/>
                <w:szCs w:val="18"/>
              </w:rPr>
            </w:pPr>
            <w:r w:rsidRPr="001570EA">
              <w:rPr>
                <w:rFonts w:cs="Arial"/>
                <w:color w:val="000000"/>
                <w:sz w:val="18"/>
                <w:szCs w:val="18"/>
              </w:rPr>
              <w:t>20</w:t>
            </w:r>
          </w:p>
        </w:tc>
        <w:tc>
          <w:tcPr>
            <w:tcW w:w="587" w:type="pct"/>
            <w:vAlign w:val="center"/>
          </w:tcPr>
          <w:p w14:paraId="55463128" w14:textId="77777777" w:rsidR="00C71CAA" w:rsidRPr="001570EA" w:rsidRDefault="00C71CAA">
            <w:pPr>
              <w:spacing w:before="60" w:after="60"/>
              <w:jc w:val="center"/>
              <w:rPr>
                <w:rFonts w:cs="Arial"/>
                <w:sz w:val="18"/>
                <w:szCs w:val="18"/>
              </w:rPr>
            </w:pPr>
            <w:r w:rsidRPr="001570EA">
              <w:rPr>
                <w:rFonts w:cs="Arial"/>
                <w:color w:val="000000"/>
                <w:sz w:val="18"/>
                <w:szCs w:val="18"/>
              </w:rPr>
              <w:t>19.16</w:t>
            </w:r>
          </w:p>
        </w:tc>
        <w:tc>
          <w:tcPr>
            <w:tcW w:w="644" w:type="pct"/>
            <w:vAlign w:val="center"/>
          </w:tcPr>
          <w:p w14:paraId="00D8A47A" w14:textId="77777777" w:rsidR="00C71CAA" w:rsidRPr="001570EA" w:rsidRDefault="00C71CAA">
            <w:pPr>
              <w:spacing w:before="60" w:after="60"/>
              <w:jc w:val="center"/>
              <w:rPr>
                <w:rFonts w:cs="Arial"/>
                <w:sz w:val="18"/>
                <w:szCs w:val="18"/>
              </w:rPr>
            </w:pPr>
            <w:r w:rsidRPr="001570EA">
              <w:rPr>
                <w:rFonts w:cs="Arial"/>
                <w:color w:val="000000"/>
                <w:sz w:val="18"/>
                <w:szCs w:val="18"/>
              </w:rPr>
              <w:t>20.94</w:t>
            </w:r>
          </w:p>
        </w:tc>
        <w:tc>
          <w:tcPr>
            <w:tcW w:w="1005" w:type="pct"/>
            <w:vAlign w:val="center"/>
          </w:tcPr>
          <w:p w14:paraId="122A80BD" w14:textId="77777777" w:rsidR="00C71CAA" w:rsidRPr="001570EA" w:rsidRDefault="00C71CAA">
            <w:pPr>
              <w:spacing w:before="60" w:after="60"/>
              <w:jc w:val="center"/>
              <w:rPr>
                <w:rFonts w:cs="Arial"/>
                <w:sz w:val="18"/>
                <w:szCs w:val="18"/>
              </w:rPr>
            </w:pPr>
            <w:r w:rsidRPr="001570EA">
              <w:rPr>
                <w:rFonts w:cs="Arial"/>
                <w:color w:val="000000"/>
                <w:sz w:val="18"/>
                <w:szCs w:val="18"/>
              </w:rPr>
              <w:t>111.6</w:t>
            </w:r>
          </w:p>
        </w:tc>
        <w:tc>
          <w:tcPr>
            <w:tcW w:w="685" w:type="pct"/>
            <w:vAlign w:val="center"/>
          </w:tcPr>
          <w:p w14:paraId="039990C8" w14:textId="77777777" w:rsidR="00C71CAA" w:rsidRPr="001570EA" w:rsidRDefault="00C71CAA">
            <w:pPr>
              <w:spacing w:before="60" w:after="60"/>
              <w:jc w:val="center"/>
              <w:rPr>
                <w:rFonts w:cs="Arial"/>
                <w:sz w:val="18"/>
                <w:szCs w:val="18"/>
              </w:rPr>
            </w:pPr>
            <w:r w:rsidRPr="001570EA">
              <w:rPr>
                <w:rFonts w:cs="Arial"/>
                <w:color w:val="000000"/>
                <w:sz w:val="18"/>
                <w:szCs w:val="18"/>
              </w:rPr>
              <w:t>0.0117</w:t>
            </w:r>
          </w:p>
        </w:tc>
        <w:tc>
          <w:tcPr>
            <w:tcW w:w="585" w:type="pct"/>
            <w:vAlign w:val="center"/>
          </w:tcPr>
          <w:p w14:paraId="3553F786"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0.0196</w:t>
            </w:r>
          </w:p>
        </w:tc>
      </w:tr>
      <w:tr w:rsidR="00C71CAA" w:rsidRPr="001570EA" w14:paraId="6C60AF85" w14:textId="77777777">
        <w:trPr>
          <w:trHeight w:val="20"/>
        </w:trPr>
        <w:tc>
          <w:tcPr>
            <w:tcW w:w="676" w:type="pct"/>
            <w:vAlign w:val="center"/>
          </w:tcPr>
          <w:p w14:paraId="7F5E2D4A" w14:textId="77777777" w:rsidR="00C71CAA" w:rsidRPr="001570EA" w:rsidRDefault="00C71CAA">
            <w:pPr>
              <w:spacing w:before="60" w:after="60"/>
              <w:rPr>
                <w:rFonts w:cs="Arial"/>
                <w:sz w:val="18"/>
                <w:szCs w:val="18"/>
              </w:rPr>
            </w:pPr>
            <w:r w:rsidRPr="001570EA">
              <w:rPr>
                <w:rFonts w:cs="Arial"/>
                <w:color w:val="000000"/>
                <w:sz w:val="18"/>
                <w:szCs w:val="18"/>
              </w:rPr>
              <w:t>30</w:t>
            </w:r>
          </w:p>
        </w:tc>
        <w:tc>
          <w:tcPr>
            <w:tcW w:w="409" w:type="pct"/>
            <w:vAlign w:val="center"/>
          </w:tcPr>
          <w:p w14:paraId="5AFC73D5" w14:textId="77777777" w:rsidR="00C71CAA" w:rsidRPr="001570EA" w:rsidRDefault="00C71CAA">
            <w:pPr>
              <w:spacing w:before="60" w:after="60"/>
              <w:jc w:val="center"/>
              <w:rPr>
                <w:rFonts w:cs="Arial"/>
                <w:sz w:val="18"/>
                <w:szCs w:val="18"/>
              </w:rPr>
            </w:pPr>
            <w:r w:rsidRPr="001570EA">
              <w:rPr>
                <w:rFonts w:cs="Arial"/>
                <w:color w:val="000000"/>
                <w:sz w:val="18"/>
                <w:szCs w:val="18"/>
              </w:rPr>
              <w:t>12</w:t>
            </w:r>
          </w:p>
        </w:tc>
        <w:tc>
          <w:tcPr>
            <w:tcW w:w="409" w:type="pct"/>
            <w:vAlign w:val="center"/>
          </w:tcPr>
          <w:p w14:paraId="21F48746" w14:textId="77777777" w:rsidR="00C71CAA" w:rsidRPr="001570EA" w:rsidRDefault="00C71CAA">
            <w:pPr>
              <w:spacing w:before="60" w:after="60"/>
              <w:jc w:val="center"/>
              <w:rPr>
                <w:rFonts w:cs="Arial"/>
                <w:sz w:val="18"/>
                <w:szCs w:val="18"/>
              </w:rPr>
            </w:pPr>
            <w:r w:rsidRPr="001570EA">
              <w:rPr>
                <w:rFonts w:cs="Arial"/>
                <w:color w:val="000000"/>
                <w:sz w:val="18"/>
                <w:szCs w:val="18"/>
              </w:rPr>
              <w:t>22</w:t>
            </w:r>
          </w:p>
        </w:tc>
        <w:tc>
          <w:tcPr>
            <w:tcW w:w="587" w:type="pct"/>
            <w:vAlign w:val="center"/>
          </w:tcPr>
          <w:p w14:paraId="3CF65A8D" w14:textId="77777777" w:rsidR="00C71CAA" w:rsidRPr="001570EA" w:rsidRDefault="00C71CAA">
            <w:pPr>
              <w:spacing w:before="60" w:after="60"/>
              <w:jc w:val="center"/>
              <w:rPr>
                <w:rFonts w:cs="Arial"/>
                <w:sz w:val="18"/>
                <w:szCs w:val="18"/>
              </w:rPr>
            </w:pPr>
            <w:r w:rsidRPr="001570EA">
              <w:rPr>
                <w:rFonts w:cs="Arial"/>
                <w:color w:val="000000"/>
                <w:sz w:val="18"/>
                <w:szCs w:val="18"/>
              </w:rPr>
              <w:t>19.16</w:t>
            </w:r>
          </w:p>
        </w:tc>
        <w:tc>
          <w:tcPr>
            <w:tcW w:w="644" w:type="pct"/>
            <w:vAlign w:val="center"/>
          </w:tcPr>
          <w:p w14:paraId="51FCB00F" w14:textId="77777777" w:rsidR="00C71CAA" w:rsidRPr="001570EA" w:rsidRDefault="00C71CAA">
            <w:pPr>
              <w:spacing w:before="60" w:after="60"/>
              <w:jc w:val="center"/>
              <w:rPr>
                <w:rFonts w:cs="Arial"/>
                <w:sz w:val="18"/>
                <w:szCs w:val="18"/>
              </w:rPr>
            </w:pPr>
            <w:r w:rsidRPr="001570EA">
              <w:rPr>
                <w:rFonts w:cs="Arial"/>
                <w:color w:val="000000"/>
                <w:sz w:val="18"/>
                <w:szCs w:val="18"/>
              </w:rPr>
              <w:t>20.94</w:t>
            </w:r>
          </w:p>
        </w:tc>
        <w:tc>
          <w:tcPr>
            <w:tcW w:w="1005" w:type="pct"/>
            <w:vAlign w:val="center"/>
          </w:tcPr>
          <w:p w14:paraId="65FB0B4F" w14:textId="77777777" w:rsidR="00C71CAA" w:rsidRPr="001570EA" w:rsidRDefault="00C71CAA">
            <w:pPr>
              <w:spacing w:before="60" w:after="60"/>
              <w:jc w:val="center"/>
              <w:rPr>
                <w:rFonts w:cs="Arial"/>
                <w:sz w:val="18"/>
                <w:szCs w:val="18"/>
              </w:rPr>
            </w:pPr>
            <w:r w:rsidRPr="001570EA">
              <w:rPr>
                <w:rFonts w:cs="Arial"/>
                <w:color w:val="000000"/>
                <w:sz w:val="18"/>
                <w:szCs w:val="18"/>
              </w:rPr>
              <w:t>82.8</w:t>
            </w:r>
          </w:p>
        </w:tc>
        <w:tc>
          <w:tcPr>
            <w:tcW w:w="685" w:type="pct"/>
            <w:vAlign w:val="center"/>
          </w:tcPr>
          <w:p w14:paraId="6AEDCA10" w14:textId="77777777" w:rsidR="00C71CAA" w:rsidRPr="001570EA" w:rsidRDefault="00C71CAA">
            <w:pPr>
              <w:spacing w:before="60" w:after="60"/>
              <w:jc w:val="center"/>
              <w:rPr>
                <w:rFonts w:cs="Arial"/>
                <w:sz w:val="18"/>
                <w:szCs w:val="18"/>
              </w:rPr>
            </w:pPr>
            <w:r w:rsidRPr="001570EA">
              <w:rPr>
                <w:rFonts w:cs="Arial"/>
                <w:color w:val="000000"/>
                <w:sz w:val="18"/>
                <w:szCs w:val="18"/>
              </w:rPr>
              <w:t>0.0087</w:t>
            </w:r>
          </w:p>
        </w:tc>
        <w:tc>
          <w:tcPr>
            <w:tcW w:w="585" w:type="pct"/>
            <w:vAlign w:val="center"/>
          </w:tcPr>
          <w:p w14:paraId="3F6DA506"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0.0145</w:t>
            </w:r>
          </w:p>
        </w:tc>
      </w:tr>
      <w:tr w:rsidR="00C71CAA" w:rsidRPr="001570EA" w14:paraId="475A1C75" w14:textId="77777777">
        <w:trPr>
          <w:trHeight w:val="20"/>
        </w:trPr>
        <w:tc>
          <w:tcPr>
            <w:tcW w:w="676" w:type="pct"/>
            <w:vAlign w:val="center"/>
          </w:tcPr>
          <w:p w14:paraId="543A6113" w14:textId="77777777" w:rsidR="00C71CAA" w:rsidRPr="001570EA" w:rsidRDefault="00C71CAA">
            <w:pPr>
              <w:spacing w:before="60" w:after="60"/>
              <w:rPr>
                <w:rFonts w:cs="Arial"/>
                <w:sz w:val="18"/>
                <w:szCs w:val="18"/>
              </w:rPr>
            </w:pPr>
            <w:r w:rsidRPr="001570EA">
              <w:rPr>
                <w:rFonts w:cs="Arial"/>
                <w:color w:val="000000"/>
                <w:sz w:val="18"/>
                <w:szCs w:val="18"/>
              </w:rPr>
              <w:t>40</w:t>
            </w:r>
          </w:p>
        </w:tc>
        <w:tc>
          <w:tcPr>
            <w:tcW w:w="409" w:type="pct"/>
            <w:vAlign w:val="center"/>
          </w:tcPr>
          <w:p w14:paraId="5EAAF522" w14:textId="77777777" w:rsidR="00C71CAA" w:rsidRPr="001570EA" w:rsidRDefault="00C71CAA">
            <w:pPr>
              <w:spacing w:before="60" w:after="60"/>
              <w:jc w:val="center"/>
              <w:rPr>
                <w:rFonts w:cs="Arial"/>
                <w:sz w:val="18"/>
                <w:szCs w:val="18"/>
              </w:rPr>
            </w:pPr>
            <w:r w:rsidRPr="001570EA">
              <w:rPr>
                <w:rFonts w:cs="Arial"/>
                <w:color w:val="000000"/>
                <w:sz w:val="18"/>
                <w:szCs w:val="18"/>
              </w:rPr>
              <w:t>8</w:t>
            </w:r>
          </w:p>
        </w:tc>
        <w:tc>
          <w:tcPr>
            <w:tcW w:w="409" w:type="pct"/>
            <w:vAlign w:val="center"/>
          </w:tcPr>
          <w:p w14:paraId="5F8B1462" w14:textId="77777777" w:rsidR="00C71CAA" w:rsidRPr="001570EA" w:rsidRDefault="00C71CAA">
            <w:pPr>
              <w:spacing w:before="60" w:after="60"/>
              <w:jc w:val="center"/>
              <w:rPr>
                <w:rFonts w:cs="Arial"/>
                <w:sz w:val="18"/>
                <w:szCs w:val="18"/>
              </w:rPr>
            </w:pPr>
            <w:r w:rsidRPr="001570EA">
              <w:rPr>
                <w:rFonts w:cs="Arial"/>
                <w:color w:val="000000"/>
                <w:sz w:val="18"/>
                <w:szCs w:val="18"/>
              </w:rPr>
              <w:t>16</w:t>
            </w:r>
          </w:p>
        </w:tc>
        <w:tc>
          <w:tcPr>
            <w:tcW w:w="587" w:type="pct"/>
            <w:vAlign w:val="center"/>
          </w:tcPr>
          <w:p w14:paraId="7599D72E" w14:textId="77777777" w:rsidR="00C71CAA" w:rsidRPr="001570EA" w:rsidRDefault="00C71CAA">
            <w:pPr>
              <w:spacing w:before="60" w:after="60"/>
              <w:jc w:val="center"/>
              <w:rPr>
                <w:rFonts w:cs="Arial"/>
                <w:sz w:val="18"/>
                <w:szCs w:val="18"/>
              </w:rPr>
            </w:pPr>
            <w:r w:rsidRPr="001570EA">
              <w:rPr>
                <w:rFonts w:cs="Arial"/>
                <w:color w:val="000000"/>
                <w:sz w:val="18"/>
                <w:szCs w:val="18"/>
              </w:rPr>
              <w:t>23.18</w:t>
            </w:r>
          </w:p>
        </w:tc>
        <w:tc>
          <w:tcPr>
            <w:tcW w:w="644" w:type="pct"/>
            <w:vAlign w:val="center"/>
          </w:tcPr>
          <w:p w14:paraId="29E0E8E9" w14:textId="77777777" w:rsidR="00C71CAA" w:rsidRPr="001570EA" w:rsidRDefault="00C71CAA">
            <w:pPr>
              <w:spacing w:before="60" w:after="60"/>
              <w:jc w:val="center"/>
              <w:rPr>
                <w:rFonts w:cs="Arial"/>
                <w:sz w:val="18"/>
                <w:szCs w:val="18"/>
              </w:rPr>
            </w:pPr>
            <w:r w:rsidRPr="001570EA">
              <w:rPr>
                <w:rFonts w:cs="Arial"/>
                <w:color w:val="000000"/>
                <w:sz w:val="18"/>
                <w:szCs w:val="18"/>
              </w:rPr>
              <w:t>25.31</w:t>
            </w:r>
          </w:p>
        </w:tc>
        <w:tc>
          <w:tcPr>
            <w:tcW w:w="1005" w:type="pct"/>
            <w:vAlign w:val="center"/>
          </w:tcPr>
          <w:p w14:paraId="34540D62" w14:textId="77777777" w:rsidR="00C71CAA" w:rsidRPr="001570EA" w:rsidRDefault="00C71CAA">
            <w:pPr>
              <w:spacing w:before="60" w:after="60"/>
              <w:jc w:val="center"/>
              <w:rPr>
                <w:rFonts w:cs="Arial"/>
                <w:sz w:val="18"/>
                <w:szCs w:val="18"/>
              </w:rPr>
            </w:pPr>
            <w:r w:rsidRPr="001570EA">
              <w:rPr>
                <w:rFonts w:cs="Arial"/>
                <w:color w:val="000000"/>
                <w:sz w:val="18"/>
                <w:szCs w:val="18"/>
              </w:rPr>
              <w:t>168.9</w:t>
            </w:r>
          </w:p>
        </w:tc>
        <w:tc>
          <w:tcPr>
            <w:tcW w:w="685" w:type="pct"/>
            <w:vAlign w:val="center"/>
          </w:tcPr>
          <w:p w14:paraId="1792412B" w14:textId="77777777" w:rsidR="00C71CAA" w:rsidRPr="001570EA" w:rsidRDefault="00C71CAA">
            <w:pPr>
              <w:spacing w:before="60" w:after="60"/>
              <w:jc w:val="center"/>
              <w:rPr>
                <w:rFonts w:cs="Arial"/>
                <w:sz w:val="18"/>
                <w:szCs w:val="18"/>
              </w:rPr>
            </w:pPr>
            <w:r w:rsidRPr="001570EA">
              <w:rPr>
                <w:rFonts w:cs="Arial"/>
                <w:color w:val="000000"/>
                <w:sz w:val="18"/>
                <w:szCs w:val="18"/>
              </w:rPr>
              <w:t>0.0177</w:t>
            </w:r>
          </w:p>
        </w:tc>
        <w:tc>
          <w:tcPr>
            <w:tcW w:w="585" w:type="pct"/>
            <w:vAlign w:val="center"/>
          </w:tcPr>
          <w:p w14:paraId="60DADCEB"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0.0296</w:t>
            </w:r>
          </w:p>
        </w:tc>
      </w:tr>
      <w:tr w:rsidR="00C71CAA" w:rsidRPr="001570EA" w14:paraId="2C411A4A" w14:textId="77777777">
        <w:trPr>
          <w:trHeight w:val="20"/>
        </w:trPr>
        <w:tc>
          <w:tcPr>
            <w:tcW w:w="676" w:type="pct"/>
            <w:vAlign w:val="center"/>
          </w:tcPr>
          <w:p w14:paraId="67027C5C" w14:textId="77777777" w:rsidR="00C71CAA" w:rsidRPr="001570EA" w:rsidRDefault="00C71CAA">
            <w:pPr>
              <w:spacing w:before="60" w:after="60"/>
              <w:rPr>
                <w:rFonts w:cs="Arial"/>
                <w:sz w:val="18"/>
                <w:szCs w:val="18"/>
              </w:rPr>
            </w:pPr>
            <w:r w:rsidRPr="001570EA">
              <w:rPr>
                <w:rFonts w:cs="Arial"/>
                <w:color w:val="000000"/>
                <w:sz w:val="18"/>
                <w:szCs w:val="18"/>
              </w:rPr>
              <w:t>40</w:t>
            </w:r>
          </w:p>
        </w:tc>
        <w:tc>
          <w:tcPr>
            <w:tcW w:w="409" w:type="pct"/>
            <w:vAlign w:val="center"/>
          </w:tcPr>
          <w:p w14:paraId="6569B6AD" w14:textId="77777777" w:rsidR="00C71CAA" w:rsidRPr="001570EA" w:rsidRDefault="00C71CAA">
            <w:pPr>
              <w:spacing w:before="60" w:after="60"/>
              <w:jc w:val="center"/>
              <w:rPr>
                <w:rFonts w:cs="Arial"/>
                <w:sz w:val="18"/>
                <w:szCs w:val="18"/>
              </w:rPr>
            </w:pPr>
            <w:r w:rsidRPr="001570EA">
              <w:rPr>
                <w:rFonts w:cs="Arial"/>
                <w:color w:val="000000"/>
                <w:sz w:val="18"/>
                <w:szCs w:val="18"/>
              </w:rPr>
              <w:t>10</w:t>
            </w:r>
          </w:p>
        </w:tc>
        <w:tc>
          <w:tcPr>
            <w:tcW w:w="409" w:type="pct"/>
            <w:vAlign w:val="center"/>
          </w:tcPr>
          <w:p w14:paraId="23920236" w14:textId="77777777" w:rsidR="00C71CAA" w:rsidRPr="001570EA" w:rsidRDefault="00C71CAA">
            <w:pPr>
              <w:spacing w:before="60" w:after="60"/>
              <w:jc w:val="center"/>
              <w:rPr>
                <w:rFonts w:cs="Arial"/>
                <w:sz w:val="18"/>
                <w:szCs w:val="18"/>
              </w:rPr>
            </w:pPr>
            <w:r w:rsidRPr="001570EA">
              <w:rPr>
                <w:rFonts w:cs="Arial"/>
                <w:color w:val="000000"/>
                <w:sz w:val="18"/>
                <w:szCs w:val="18"/>
              </w:rPr>
              <w:t>18</w:t>
            </w:r>
          </w:p>
        </w:tc>
        <w:tc>
          <w:tcPr>
            <w:tcW w:w="587" w:type="pct"/>
            <w:vAlign w:val="center"/>
          </w:tcPr>
          <w:p w14:paraId="336B92A8" w14:textId="77777777" w:rsidR="00C71CAA" w:rsidRPr="001570EA" w:rsidRDefault="00C71CAA">
            <w:pPr>
              <w:spacing w:before="60" w:after="60"/>
              <w:jc w:val="center"/>
              <w:rPr>
                <w:rFonts w:cs="Arial"/>
                <w:sz w:val="18"/>
                <w:szCs w:val="18"/>
              </w:rPr>
            </w:pPr>
            <w:r w:rsidRPr="001570EA">
              <w:rPr>
                <w:rFonts w:cs="Arial"/>
                <w:color w:val="000000"/>
                <w:sz w:val="18"/>
                <w:szCs w:val="18"/>
              </w:rPr>
              <w:t>23.18</w:t>
            </w:r>
          </w:p>
        </w:tc>
        <w:tc>
          <w:tcPr>
            <w:tcW w:w="644" w:type="pct"/>
            <w:vAlign w:val="center"/>
          </w:tcPr>
          <w:p w14:paraId="40E603FC" w14:textId="77777777" w:rsidR="00C71CAA" w:rsidRPr="001570EA" w:rsidRDefault="00C71CAA">
            <w:pPr>
              <w:spacing w:before="60" w:after="60"/>
              <w:jc w:val="center"/>
              <w:rPr>
                <w:rFonts w:cs="Arial"/>
                <w:sz w:val="18"/>
                <w:szCs w:val="18"/>
              </w:rPr>
            </w:pPr>
            <w:r w:rsidRPr="001570EA">
              <w:rPr>
                <w:rFonts w:cs="Arial"/>
                <w:color w:val="000000"/>
                <w:sz w:val="18"/>
                <w:szCs w:val="18"/>
              </w:rPr>
              <w:t>25.31</w:t>
            </w:r>
          </w:p>
        </w:tc>
        <w:tc>
          <w:tcPr>
            <w:tcW w:w="1005" w:type="pct"/>
            <w:vAlign w:val="center"/>
          </w:tcPr>
          <w:p w14:paraId="5333A2ED" w14:textId="77777777" w:rsidR="00C71CAA" w:rsidRPr="001570EA" w:rsidRDefault="00C71CAA">
            <w:pPr>
              <w:spacing w:before="60" w:after="60"/>
              <w:jc w:val="center"/>
              <w:rPr>
                <w:rFonts w:cs="Arial"/>
                <w:sz w:val="18"/>
                <w:szCs w:val="18"/>
              </w:rPr>
            </w:pPr>
            <w:r w:rsidRPr="001570EA">
              <w:rPr>
                <w:rFonts w:cs="Arial"/>
                <w:color w:val="000000"/>
                <w:sz w:val="18"/>
                <w:szCs w:val="18"/>
              </w:rPr>
              <w:t>117.1</w:t>
            </w:r>
          </w:p>
        </w:tc>
        <w:tc>
          <w:tcPr>
            <w:tcW w:w="685" w:type="pct"/>
            <w:vAlign w:val="center"/>
          </w:tcPr>
          <w:p w14:paraId="7EFE49C4" w14:textId="77777777" w:rsidR="00C71CAA" w:rsidRPr="001570EA" w:rsidRDefault="00C71CAA">
            <w:pPr>
              <w:spacing w:before="60" w:after="60"/>
              <w:jc w:val="center"/>
              <w:rPr>
                <w:rFonts w:cs="Arial"/>
                <w:sz w:val="18"/>
                <w:szCs w:val="18"/>
              </w:rPr>
            </w:pPr>
            <w:r w:rsidRPr="001570EA">
              <w:rPr>
                <w:rFonts w:cs="Arial"/>
                <w:color w:val="000000"/>
                <w:sz w:val="18"/>
                <w:szCs w:val="18"/>
              </w:rPr>
              <w:t>0.0122</w:t>
            </w:r>
          </w:p>
        </w:tc>
        <w:tc>
          <w:tcPr>
            <w:tcW w:w="585" w:type="pct"/>
            <w:vAlign w:val="center"/>
          </w:tcPr>
          <w:p w14:paraId="7C60E514"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0.0205</w:t>
            </w:r>
          </w:p>
        </w:tc>
      </w:tr>
      <w:tr w:rsidR="00C71CAA" w:rsidRPr="001570EA" w14:paraId="24A78C21" w14:textId="77777777">
        <w:trPr>
          <w:trHeight w:val="20"/>
        </w:trPr>
        <w:tc>
          <w:tcPr>
            <w:tcW w:w="676" w:type="pct"/>
            <w:vAlign w:val="center"/>
          </w:tcPr>
          <w:p w14:paraId="589A639F" w14:textId="77777777" w:rsidR="00C71CAA" w:rsidRPr="001570EA" w:rsidRDefault="00C71CAA">
            <w:pPr>
              <w:spacing w:before="60" w:after="60"/>
              <w:rPr>
                <w:rFonts w:cs="Arial"/>
                <w:sz w:val="18"/>
                <w:szCs w:val="18"/>
              </w:rPr>
            </w:pPr>
            <w:r w:rsidRPr="001570EA">
              <w:rPr>
                <w:rFonts w:cs="Arial"/>
                <w:color w:val="000000"/>
                <w:sz w:val="18"/>
                <w:szCs w:val="18"/>
              </w:rPr>
              <w:t>40</w:t>
            </w:r>
          </w:p>
        </w:tc>
        <w:tc>
          <w:tcPr>
            <w:tcW w:w="409" w:type="pct"/>
            <w:vAlign w:val="center"/>
          </w:tcPr>
          <w:p w14:paraId="35ECA354" w14:textId="77777777" w:rsidR="00C71CAA" w:rsidRPr="001570EA" w:rsidRDefault="00C71CAA">
            <w:pPr>
              <w:spacing w:before="60" w:after="60"/>
              <w:jc w:val="center"/>
              <w:rPr>
                <w:rFonts w:cs="Arial"/>
                <w:sz w:val="18"/>
                <w:szCs w:val="18"/>
              </w:rPr>
            </w:pPr>
            <w:r w:rsidRPr="001570EA">
              <w:rPr>
                <w:rFonts w:cs="Arial"/>
                <w:color w:val="000000"/>
                <w:sz w:val="18"/>
                <w:szCs w:val="18"/>
              </w:rPr>
              <w:t>12</w:t>
            </w:r>
          </w:p>
        </w:tc>
        <w:tc>
          <w:tcPr>
            <w:tcW w:w="409" w:type="pct"/>
            <w:vAlign w:val="center"/>
          </w:tcPr>
          <w:p w14:paraId="52429BD1" w14:textId="77777777" w:rsidR="00C71CAA" w:rsidRPr="001570EA" w:rsidRDefault="00C71CAA">
            <w:pPr>
              <w:spacing w:before="60" w:after="60"/>
              <w:jc w:val="center"/>
              <w:rPr>
                <w:rFonts w:cs="Arial"/>
                <w:sz w:val="18"/>
                <w:szCs w:val="18"/>
              </w:rPr>
            </w:pPr>
            <w:r w:rsidRPr="001570EA">
              <w:rPr>
                <w:rFonts w:cs="Arial"/>
                <w:color w:val="000000"/>
                <w:sz w:val="18"/>
                <w:szCs w:val="18"/>
              </w:rPr>
              <w:t>20</w:t>
            </w:r>
          </w:p>
        </w:tc>
        <w:tc>
          <w:tcPr>
            <w:tcW w:w="587" w:type="pct"/>
            <w:vAlign w:val="center"/>
          </w:tcPr>
          <w:p w14:paraId="606073A5" w14:textId="77777777" w:rsidR="00C71CAA" w:rsidRPr="001570EA" w:rsidRDefault="00C71CAA">
            <w:pPr>
              <w:spacing w:before="60" w:after="60"/>
              <w:jc w:val="center"/>
              <w:rPr>
                <w:rFonts w:cs="Arial"/>
                <w:sz w:val="18"/>
                <w:szCs w:val="18"/>
              </w:rPr>
            </w:pPr>
            <w:r w:rsidRPr="001570EA">
              <w:rPr>
                <w:rFonts w:cs="Arial"/>
                <w:color w:val="000000"/>
                <w:sz w:val="18"/>
                <w:szCs w:val="18"/>
              </w:rPr>
              <w:t>23.18</w:t>
            </w:r>
          </w:p>
        </w:tc>
        <w:tc>
          <w:tcPr>
            <w:tcW w:w="644" w:type="pct"/>
            <w:vAlign w:val="center"/>
          </w:tcPr>
          <w:p w14:paraId="6F416F29" w14:textId="77777777" w:rsidR="00C71CAA" w:rsidRPr="001570EA" w:rsidRDefault="00C71CAA">
            <w:pPr>
              <w:spacing w:before="60" w:after="60"/>
              <w:jc w:val="center"/>
              <w:rPr>
                <w:rFonts w:cs="Arial"/>
                <w:sz w:val="18"/>
                <w:szCs w:val="18"/>
              </w:rPr>
            </w:pPr>
            <w:r w:rsidRPr="001570EA">
              <w:rPr>
                <w:rFonts w:cs="Arial"/>
                <w:color w:val="000000"/>
                <w:sz w:val="18"/>
                <w:szCs w:val="18"/>
              </w:rPr>
              <w:t>25.31</w:t>
            </w:r>
          </w:p>
        </w:tc>
        <w:tc>
          <w:tcPr>
            <w:tcW w:w="1005" w:type="pct"/>
            <w:vAlign w:val="center"/>
          </w:tcPr>
          <w:p w14:paraId="3C525927" w14:textId="77777777" w:rsidR="00C71CAA" w:rsidRPr="001570EA" w:rsidRDefault="00C71CAA">
            <w:pPr>
              <w:spacing w:before="60" w:after="60"/>
              <w:jc w:val="center"/>
              <w:rPr>
                <w:rFonts w:cs="Arial"/>
                <w:sz w:val="18"/>
                <w:szCs w:val="18"/>
              </w:rPr>
            </w:pPr>
            <w:r w:rsidRPr="001570EA">
              <w:rPr>
                <w:rFonts w:cs="Arial"/>
                <w:color w:val="000000"/>
                <w:sz w:val="18"/>
                <w:szCs w:val="18"/>
              </w:rPr>
              <w:t>85.5</w:t>
            </w:r>
          </w:p>
        </w:tc>
        <w:tc>
          <w:tcPr>
            <w:tcW w:w="685" w:type="pct"/>
            <w:vAlign w:val="center"/>
          </w:tcPr>
          <w:p w14:paraId="3E32FE51" w14:textId="77777777" w:rsidR="00C71CAA" w:rsidRPr="001570EA" w:rsidRDefault="00C71CAA">
            <w:pPr>
              <w:spacing w:before="60" w:after="60"/>
              <w:jc w:val="center"/>
              <w:rPr>
                <w:rFonts w:cs="Arial"/>
                <w:sz w:val="18"/>
                <w:szCs w:val="18"/>
              </w:rPr>
            </w:pPr>
            <w:r w:rsidRPr="001570EA">
              <w:rPr>
                <w:rFonts w:cs="Arial"/>
                <w:color w:val="000000"/>
                <w:sz w:val="18"/>
                <w:szCs w:val="18"/>
              </w:rPr>
              <w:t>0.0089</w:t>
            </w:r>
          </w:p>
        </w:tc>
        <w:tc>
          <w:tcPr>
            <w:tcW w:w="585" w:type="pct"/>
            <w:vAlign w:val="center"/>
          </w:tcPr>
          <w:p w14:paraId="45533866"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0.0150</w:t>
            </w:r>
          </w:p>
        </w:tc>
      </w:tr>
      <w:tr w:rsidR="00C71CAA" w:rsidRPr="001570EA" w14:paraId="290202FC" w14:textId="77777777">
        <w:trPr>
          <w:trHeight w:val="20"/>
        </w:trPr>
        <w:tc>
          <w:tcPr>
            <w:tcW w:w="676" w:type="pct"/>
            <w:vAlign w:val="center"/>
          </w:tcPr>
          <w:p w14:paraId="4AB7971E" w14:textId="77777777" w:rsidR="00C71CAA" w:rsidRPr="001570EA" w:rsidRDefault="00C71CAA">
            <w:pPr>
              <w:spacing w:before="60" w:after="60"/>
              <w:rPr>
                <w:rFonts w:cs="Arial"/>
                <w:sz w:val="18"/>
                <w:szCs w:val="18"/>
              </w:rPr>
            </w:pPr>
            <w:r w:rsidRPr="001570EA">
              <w:rPr>
                <w:rFonts w:cs="Arial"/>
                <w:color w:val="000000"/>
                <w:sz w:val="18"/>
                <w:szCs w:val="18"/>
              </w:rPr>
              <w:t>40</w:t>
            </w:r>
          </w:p>
        </w:tc>
        <w:tc>
          <w:tcPr>
            <w:tcW w:w="409" w:type="pct"/>
            <w:vAlign w:val="center"/>
          </w:tcPr>
          <w:p w14:paraId="002D3E88" w14:textId="77777777" w:rsidR="00C71CAA" w:rsidRPr="001570EA" w:rsidRDefault="00C71CAA">
            <w:pPr>
              <w:spacing w:before="60" w:after="60"/>
              <w:jc w:val="center"/>
              <w:rPr>
                <w:rFonts w:cs="Arial"/>
                <w:sz w:val="18"/>
                <w:szCs w:val="18"/>
              </w:rPr>
            </w:pPr>
            <w:r w:rsidRPr="001570EA">
              <w:rPr>
                <w:rFonts w:cs="Arial"/>
                <w:color w:val="000000"/>
                <w:sz w:val="18"/>
                <w:szCs w:val="18"/>
              </w:rPr>
              <w:t>8</w:t>
            </w:r>
          </w:p>
        </w:tc>
        <w:tc>
          <w:tcPr>
            <w:tcW w:w="409" w:type="pct"/>
            <w:vAlign w:val="center"/>
          </w:tcPr>
          <w:p w14:paraId="62C498B5" w14:textId="77777777" w:rsidR="00C71CAA" w:rsidRPr="001570EA" w:rsidRDefault="00C71CAA">
            <w:pPr>
              <w:spacing w:before="60" w:after="60"/>
              <w:jc w:val="center"/>
              <w:rPr>
                <w:rFonts w:cs="Arial"/>
                <w:sz w:val="18"/>
                <w:szCs w:val="18"/>
              </w:rPr>
            </w:pPr>
            <w:r w:rsidRPr="001570EA">
              <w:rPr>
                <w:rFonts w:cs="Arial"/>
                <w:color w:val="000000"/>
                <w:sz w:val="18"/>
                <w:szCs w:val="18"/>
              </w:rPr>
              <w:t>18</w:t>
            </w:r>
          </w:p>
        </w:tc>
        <w:tc>
          <w:tcPr>
            <w:tcW w:w="587" w:type="pct"/>
            <w:vAlign w:val="center"/>
          </w:tcPr>
          <w:p w14:paraId="2B234587" w14:textId="77777777" w:rsidR="00C71CAA" w:rsidRPr="001570EA" w:rsidRDefault="00C71CAA">
            <w:pPr>
              <w:spacing w:before="60" w:after="60"/>
              <w:jc w:val="center"/>
              <w:rPr>
                <w:rFonts w:cs="Arial"/>
                <w:sz w:val="18"/>
                <w:szCs w:val="18"/>
              </w:rPr>
            </w:pPr>
            <w:r w:rsidRPr="001570EA">
              <w:rPr>
                <w:rFonts w:cs="Arial"/>
                <w:color w:val="000000"/>
                <w:sz w:val="18"/>
                <w:szCs w:val="18"/>
              </w:rPr>
              <w:t>23.18</w:t>
            </w:r>
          </w:p>
        </w:tc>
        <w:tc>
          <w:tcPr>
            <w:tcW w:w="644" w:type="pct"/>
            <w:vAlign w:val="center"/>
          </w:tcPr>
          <w:p w14:paraId="032F11E1" w14:textId="77777777" w:rsidR="00C71CAA" w:rsidRPr="001570EA" w:rsidRDefault="00C71CAA">
            <w:pPr>
              <w:spacing w:before="60" w:after="60"/>
              <w:jc w:val="center"/>
              <w:rPr>
                <w:rFonts w:cs="Arial"/>
                <w:sz w:val="18"/>
                <w:szCs w:val="18"/>
              </w:rPr>
            </w:pPr>
            <w:r w:rsidRPr="001570EA">
              <w:rPr>
                <w:rFonts w:cs="Arial"/>
                <w:color w:val="000000"/>
                <w:sz w:val="18"/>
                <w:szCs w:val="18"/>
              </w:rPr>
              <w:t>25.31</w:t>
            </w:r>
          </w:p>
        </w:tc>
        <w:tc>
          <w:tcPr>
            <w:tcW w:w="1005" w:type="pct"/>
            <w:vAlign w:val="center"/>
          </w:tcPr>
          <w:p w14:paraId="3FCDA34E" w14:textId="77777777" w:rsidR="00C71CAA" w:rsidRPr="001570EA" w:rsidRDefault="00C71CAA">
            <w:pPr>
              <w:spacing w:before="60" w:after="60"/>
              <w:jc w:val="center"/>
              <w:rPr>
                <w:rFonts w:cs="Arial"/>
                <w:sz w:val="18"/>
                <w:szCs w:val="18"/>
              </w:rPr>
            </w:pPr>
            <w:r w:rsidRPr="001570EA">
              <w:rPr>
                <w:rFonts w:cs="Arial"/>
                <w:color w:val="000000"/>
                <w:sz w:val="18"/>
                <w:szCs w:val="18"/>
              </w:rPr>
              <w:t>191.5</w:t>
            </w:r>
          </w:p>
        </w:tc>
        <w:tc>
          <w:tcPr>
            <w:tcW w:w="685" w:type="pct"/>
            <w:vAlign w:val="center"/>
          </w:tcPr>
          <w:p w14:paraId="4EFEB484" w14:textId="77777777" w:rsidR="00C71CAA" w:rsidRPr="001570EA" w:rsidRDefault="00C71CAA">
            <w:pPr>
              <w:spacing w:before="60" w:after="60"/>
              <w:jc w:val="center"/>
              <w:rPr>
                <w:rFonts w:cs="Arial"/>
                <w:sz w:val="18"/>
                <w:szCs w:val="18"/>
              </w:rPr>
            </w:pPr>
            <w:r w:rsidRPr="001570EA">
              <w:rPr>
                <w:rFonts w:cs="Arial"/>
                <w:color w:val="000000"/>
                <w:sz w:val="18"/>
                <w:szCs w:val="18"/>
              </w:rPr>
              <w:t>0.0200</w:t>
            </w:r>
          </w:p>
        </w:tc>
        <w:tc>
          <w:tcPr>
            <w:tcW w:w="585" w:type="pct"/>
            <w:vAlign w:val="center"/>
          </w:tcPr>
          <w:p w14:paraId="1C5FF9E2"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0.0336</w:t>
            </w:r>
          </w:p>
        </w:tc>
      </w:tr>
      <w:tr w:rsidR="00C71CAA" w:rsidRPr="001570EA" w14:paraId="60C9EB7D" w14:textId="77777777">
        <w:trPr>
          <w:trHeight w:val="20"/>
        </w:trPr>
        <w:tc>
          <w:tcPr>
            <w:tcW w:w="676" w:type="pct"/>
            <w:vAlign w:val="center"/>
          </w:tcPr>
          <w:p w14:paraId="4D3933A5" w14:textId="77777777" w:rsidR="00C71CAA" w:rsidRPr="001570EA" w:rsidRDefault="00C71CAA">
            <w:pPr>
              <w:spacing w:before="60" w:after="60"/>
              <w:rPr>
                <w:rFonts w:cs="Arial"/>
                <w:sz w:val="18"/>
                <w:szCs w:val="18"/>
              </w:rPr>
            </w:pPr>
            <w:r w:rsidRPr="001570EA">
              <w:rPr>
                <w:rFonts w:cs="Arial"/>
                <w:color w:val="000000"/>
                <w:sz w:val="18"/>
                <w:szCs w:val="18"/>
              </w:rPr>
              <w:t>40</w:t>
            </w:r>
          </w:p>
        </w:tc>
        <w:tc>
          <w:tcPr>
            <w:tcW w:w="409" w:type="pct"/>
            <w:vAlign w:val="center"/>
          </w:tcPr>
          <w:p w14:paraId="267F2054" w14:textId="77777777" w:rsidR="00C71CAA" w:rsidRPr="001570EA" w:rsidRDefault="00C71CAA">
            <w:pPr>
              <w:spacing w:before="60" w:after="60"/>
              <w:jc w:val="center"/>
              <w:rPr>
                <w:rFonts w:cs="Arial"/>
                <w:sz w:val="18"/>
                <w:szCs w:val="18"/>
              </w:rPr>
            </w:pPr>
            <w:r w:rsidRPr="001570EA">
              <w:rPr>
                <w:rFonts w:cs="Arial"/>
                <w:color w:val="000000"/>
                <w:sz w:val="18"/>
                <w:szCs w:val="18"/>
              </w:rPr>
              <w:t>10</w:t>
            </w:r>
          </w:p>
        </w:tc>
        <w:tc>
          <w:tcPr>
            <w:tcW w:w="409" w:type="pct"/>
            <w:vAlign w:val="center"/>
          </w:tcPr>
          <w:p w14:paraId="7607F2C1" w14:textId="77777777" w:rsidR="00C71CAA" w:rsidRPr="001570EA" w:rsidRDefault="00C71CAA">
            <w:pPr>
              <w:spacing w:before="60" w:after="60"/>
              <w:jc w:val="center"/>
              <w:rPr>
                <w:rFonts w:cs="Arial"/>
                <w:sz w:val="18"/>
                <w:szCs w:val="18"/>
              </w:rPr>
            </w:pPr>
            <w:r w:rsidRPr="001570EA">
              <w:rPr>
                <w:rFonts w:cs="Arial"/>
                <w:color w:val="000000"/>
                <w:sz w:val="18"/>
                <w:szCs w:val="18"/>
              </w:rPr>
              <w:t>20</w:t>
            </w:r>
          </w:p>
        </w:tc>
        <w:tc>
          <w:tcPr>
            <w:tcW w:w="587" w:type="pct"/>
            <w:vAlign w:val="center"/>
          </w:tcPr>
          <w:p w14:paraId="29F8D7D1" w14:textId="77777777" w:rsidR="00C71CAA" w:rsidRPr="001570EA" w:rsidRDefault="00C71CAA">
            <w:pPr>
              <w:spacing w:before="60" w:after="60"/>
              <w:jc w:val="center"/>
              <w:rPr>
                <w:rFonts w:cs="Arial"/>
                <w:sz w:val="18"/>
                <w:szCs w:val="18"/>
              </w:rPr>
            </w:pPr>
            <w:r w:rsidRPr="001570EA">
              <w:rPr>
                <w:rFonts w:cs="Arial"/>
                <w:color w:val="000000"/>
                <w:sz w:val="18"/>
                <w:szCs w:val="18"/>
              </w:rPr>
              <w:t>23.18</w:t>
            </w:r>
          </w:p>
        </w:tc>
        <w:tc>
          <w:tcPr>
            <w:tcW w:w="644" w:type="pct"/>
            <w:vAlign w:val="center"/>
          </w:tcPr>
          <w:p w14:paraId="4A7C3096" w14:textId="77777777" w:rsidR="00C71CAA" w:rsidRPr="001570EA" w:rsidRDefault="00C71CAA">
            <w:pPr>
              <w:spacing w:before="60" w:after="60"/>
              <w:jc w:val="center"/>
              <w:rPr>
                <w:rFonts w:cs="Arial"/>
                <w:sz w:val="18"/>
                <w:szCs w:val="18"/>
              </w:rPr>
            </w:pPr>
            <w:r w:rsidRPr="001570EA">
              <w:rPr>
                <w:rFonts w:cs="Arial"/>
                <w:color w:val="000000"/>
                <w:sz w:val="18"/>
                <w:szCs w:val="18"/>
              </w:rPr>
              <w:t>25.31</w:t>
            </w:r>
          </w:p>
        </w:tc>
        <w:tc>
          <w:tcPr>
            <w:tcW w:w="1005" w:type="pct"/>
            <w:vAlign w:val="center"/>
          </w:tcPr>
          <w:p w14:paraId="1960C528" w14:textId="77777777" w:rsidR="00C71CAA" w:rsidRPr="001570EA" w:rsidRDefault="00C71CAA">
            <w:pPr>
              <w:spacing w:before="60" w:after="60"/>
              <w:jc w:val="center"/>
              <w:rPr>
                <w:rFonts w:cs="Arial"/>
                <w:sz w:val="18"/>
                <w:szCs w:val="18"/>
              </w:rPr>
            </w:pPr>
            <w:r w:rsidRPr="001570EA">
              <w:rPr>
                <w:rFonts w:cs="Arial"/>
                <w:color w:val="000000"/>
                <w:sz w:val="18"/>
                <w:szCs w:val="18"/>
              </w:rPr>
              <w:t>135.1</w:t>
            </w:r>
          </w:p>
        </w:tc>
        <w:tc>
          <w:tcPr>
            <w:tcW w:w="685" w:type="pct"/>
            <w:vAlign w:val="center"/>
          </w:tcPr>
          <w:p w14:paraId="30786121" w14:textId="77777777" w:rsidR="00C71CAA" w:rsidRPr="001570EA" w:rsidRDefault="00C71CAA">
            <w:pPr>
              <w:spacing w:before="60" w:after="60"/>
              <w:jc w:val="center"/>
              <w:rPr>
                <w:rFonts w:cs="Arial"/>
                <w:sz w:val="18"/>
                <w:szCs w:val="18"/>
              </w:rPr>
            </w:pPr>
            <w:r w:rsidRPr="001570EA">
              <w:rPr>
                <w:rFonts w:cs="Arial"/>
                <w:color w:val="000000"/>
                <w:sz w:val="18"/>
                <w:szCs w:val="18"/>
              </w:rPr>
              <w:t>0.0141</w:t>
            </w:r>
          </w:p>
        </w:tc>
        <w:tc>
          <w:tcPr>
            <w:tcW w:w="585" w:type="pct"/>
            <w:vAlign w:val="center"/>
          </w:tcPr>
          <w:p w14:paraId="1533016A"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0.0237</w:t>
            </w:r>
          </w:p>
        </w:tc>
      </w:tr>
      <w:tr w:rsidR="00C71CAA" w:rsidRPr="001570EA" w14:paraId="20F7BA2F" w14:textId="77777777">
        <w:trPr>
          <w:trHeight w:val="20"/>
        </w:trPr>
        <w:tc>
          <w:tcPr>
            <w:tcW w:w="676" w:type="pct"/>
            <w:vAlign w:val="center"/>
          </w:tcPr>
          <w:p w14:paraId="3D5C0C27" w14:textId="77777777" w:rsidR="00C71CAA" w:rsidRPr="001570EA" w:rsidRDefault="00C71CAA">
            <w:pPr>
              <w:spacing w:before="60" w:after="60"/>
              <w:rPr>
                <w:rFonts w:cs="Arial"/>
                <w:sz w:val="18"/>
                <w:szCs w:val="18"/>
              </w:rPr>
            </w:pPr>
            <w:r w:rsidRPr="001570EA">
              <w:rPr>
                <w:rFonts w:cs="Arial"/>
                <w:color w:val="000000"/>
                <w:sz w:val="18"/>
                <w:szCs w:val="18"/>
              </w:rPr>
              <w:t>40</w:t>
            </w:r>
          </w:p>
        </w:tc>
        <w:tc>
          <w:tcPr>
            <w:tcW w:w="409" w:type="pct"/>
            <w:vAlign w:val="center"/>
          </w:tcPr>
          <w:p w14:paraId="0F4B03AC" w14:textId="77777777" w:rsidR="00C71CAA" w:rsidRPr="001570EA" w:rsidRDefault="00C71CAA">
            <w:pPr>
              <w:spacing w:before="60" w:after="60"/>
              <w:jc w:val="center"/>
              <w:rPr>
                <w:rFonts w:cs="Arial"/>
                <w:sz w:val="18"/>
                <w:szCs w:val="18"/>
              </w:rPr>
            </w:pPr>
            <w:r w:rsidRPr="001570EA">
              <w:rPr>
                <w:rFonts w:cs="Arial"/>
                <w:color w:val="000000"/>
                <w:sz w:val="18"/>
                <w:szCs w:val="18"/>
              </w:rPr>
              <w:t>12</w:t>
            </w:r>
          </w:p>
        </w:tc>
        <w:tc>
          <w:tcPr>
            <w:tcW w:w="409" w:type="pct"/>
            <w:vAlign w:val="center"/>
          </w:tcPr>
          <w:p w14:paraId="4BD8863F" w14:textId="77777777" w:rsidR="00C71CAA" w:rsidRPr="001570EA" w:rsidRDefault="00C71CAA">
            <w:pPr>
              <w:spacing w:before="60" w:after="60"/>
              <w:jc w:val="center"/>
              <w:rPr>
                <w:rFonts w:cs="Arial"/>
                <w:sz w:val="18"/>
                <w:szCs w:val="18"/>
              </w:rPr>
            </w:pPr>
            <w:r w:rsidRPr="001570EA">
              <w:rPr>
                <w:rFonts w:cs="Arial"/>
                <w:color w:val="000000"/>
                <w:sz w:val="18"/>
                <w:szCs w:val="18"/>
              </w:rPr>
              <w:t>22</w:t>
            </w:r>
          </w:p>
        </w:tc>
        <w:tc>
          <w:tcPr>
            <w:tcW w:w="587" w:type="pct"/>
            <w:vAlign w:val="center"/>
          </w:tcPr>
          <w:p w14:paraId="4CA2F188" w14:textId="77777777" w:rsidR="00C71CAA" w:rsidRPr="001570EA" w:rsidRDefault="00C71CAA">
            <w:pPr>
              <w:spacing w:before="60" w:after="60"/>
              <w:jc w:val="center"/>
              <w:rPr>
                <w:rFonts w:cs="Arial"/>
                <w:sz w:val="18"/>
                <w:szCs w:val="18"/>
              </w:rPr>
            </w:pPr>
            <w:r w:rsidRPr="001570EA">
              <w:rPr>
                <w:rFonts w:cs="Arial"/>
                <w:color w:val="000000"/>
                <w:sz w:val="18"/>
                <w:szCs w:val="18"/>
              </w:rPr>
              <w:t>23.18</w:t>
            </w:r>
          </w:p>
        </w:tc>
        <w:tc>
          <w:tcPr>
            <w:tcW w:w="644" w:type="pct"/>
            <w:vAlign w:val="center"/>
          </w:tcPr>
          <w:p w14:paraId="2218D5A9" w14:textId="77777777" w:rsidR="00C71CAA" w:rsidRPr="001570EA" w:rsidRDefault="00C71CAA">
            <w:pPr>
              <w:spacing w:before="60" w:after="60"/>
              <w:jc w:val="center"/>
              <w:rPr>
                <w:rFonts w:cs="Arial"/>
                <w:sz w:val="18"/>
                <w:szCs w:val="18"/>
              </w:rPr>
            </w:pPr>
            <w:r w:rsidRPr="001570EA">
              <w:rPr>
                <w:rFonts w:cs="Arial"/>
                <w:color w:val="000000"/>
                <w:sz w:val="18"/>
                <w:szCs w:val="18"/>
              </w:rPr>
              <w:t>25.31</w:t>
            </w:r>
          </w:p>
        </w:tc>
        <w:tc>
          <w:tcPr>
            <w:tcW w:w="1005" w:type="pct"/>
            <w:vAlign w:val="center"/>
          </w:tcPr>
          <w:p w14:paraId="2DC97369" w14:textId="77777777" w:rsidR="00C71CAA" w:rsidRPr="001570EA" w:rsidRDefault="00C71CAA">
            <w:pPr>
              <w:spacing w:before="60" w:after="60"/>
              <w:jc w:val="center"/>
              <w:rPr>
                <w:rFonts w:cs="Arial"/>
                <w:sz w:val="18"/>
                <w:szCs w:val="18"/>
              </w:rPr>
            </w:pPr>
            <w:r w:rsidRPr="001570EA">
              <w:rPr>
                <w:rFonts w:cs="Arial"/>
                <w:color w:val="000000"/>
                <w:sz w:val="18"/>
                <w:szCs w:val="18"/>
              </w:rPr>
              <w:t>100.3</w:t>
            </w:r>
          </w:p>
        </w:tc>
        <w:tc>
          <w:tcPr>
            <w:tcW w:w="685" w:type="pct"/>
            <w:vAlign w:val="center"/>
          </w:tcPr>
          <w:p w14:paraId="245D53C5" w14:textId="77777777" w:rsidR="00C71CAA" w:rsidRPr="001570EA" w:rsidRDefault="00C71CAA">
            <w:pPr>
              <w:spacing w:before="60" w:after="60"/>
              <w:jc w:val="center"/>
              <w:rPr>
                <w:rFonts w:cs="Arial"/>
                <w:sz w:val="18"/>
                <w:szCs w:val="18"/>
              </w:rPr>
            </w:pPr>
            <w:r w:rsidRPr="001570EA">
              <w:rPr>
                <w:rFonts w:cs="Arial"/>
                <w:color w:val="000000"/>
                <w:sz w:val="18"/>
                <w:szCs w:val="18"/>
              </w:rPr>
              <w:t>0.0105</w:t>
            </w:r>
          </w:p>
        </w:tc>
        <w:tc>
          <w:tcPr>
            <w:tcW w:w="585" w:type="pct"/>
            <w:vAlign w:val="center"/>
          </w:tcPr>
          <w:p w14:paraId="2B637121"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0.0176</w:t>
            </w:r>
          </w:p>
        </w:tc>
      </w:tr>
      <w:tr w:rsidR="00C71CAA" w:rsidRPr="001570EA" w14:paraId="756753F4" w14:textId="77777777">
        <w:trPr>
          <w:trHeight w:val="20"/>
        </w:trPr>
        <w:tc>
          <w:tcPr>
            <w:tcW w:w="676" w:type="pct"/>
            <w:vAlign w:val="center"/>
          </w:tcPr>
          <w:p w14:paraId="5AAE6395" w14:textId="77777777" w:rsidR="00C71CAA" w:rsidRPr="001570EA" w:rsidRDefault="00C71CAA">
            <w:pPr>
              <w:spacing w:before="60" w:after="60"/>
              <w:rPr>
                <w:rFonts w:cs="Arial"/>
                <w:sz w:val="18"/>
                <w:szCs w:val="18"/>
              </w:rPr>
            </w:pPr>
            <w:r w:rsidRPr="001570EA">
              <w:rPr>
                <w:rFonts w:cs="Arial"/>
                <w:color w:val="000000"/>
                <w:sz w:val="18"/>
                <w:szCs w:val="18"/>
              </w:rPr>
              <w:t>50</w:t>
            </w:r>
          </w:p>
        </w:tc>
        <w:tc>
          <w:tcPr>
            <w:tcW w:w="409" w:type="pct"/>
            <w:vAlign w:val="center"/>
          </w:tcPr>
          <w:p w14:paraId="6F2F220B" w14:textId="77777777" w:rsidR="00C71CAA" w:rsidRPr="001570EA" w:rsidRDefault="00C71CAA">
            <w:pPr>
              <w:spacing w:before="60" w:after="60"/>
              <w:jc w:val="center"/>
              <w:rPr>
                <w:rFonts w:cs="Arial"/>
                <w:sz w:val="18"/>
                <w:szCs w:val="18"/>
              </w:rPr>
            </w:pPr>
            <w:r w:rsidRPr="001570EA">
              <w:rPr>
                <w:rFonts w:cs="Arial"/>
                <w:color w:val="000000"/>
                <w:sz w:val="18"/>
                <w:szCs w:val="18"/>
              </w:rPr>
              <w:t>8</w:t>
            </w:r>
          </w:p>
        </w:tc>
        <w:tc>
          <w:tcPr>
            <w:tcW w:w="409" w:type="pct"/>
            <w:vAlign w:val="center"/>
          </w:tcPr>
          <w:p w14:paraId="7E39F4CE" w14:textId="77777777" w:rsidR="00C71CAA" w:rsidRPr="001570EA" w:rsidRDefault="00C71CAA">
            <w:pPr>
              <w:spacing w:before="60" w:after="60"/>
              <w:jc w:val="center"/>
              <w:rPr>
                <w:rFonts w:cs="Arial"/>
                <w:sz w:val="18"/>
                <w:szCs w:val="18"/>
              </w:rPr>
            </w:pPr>
            <w:r w:rsidRPr="001570EA">
              <w:rPr>
                <w:rFonts w:cs="Arial"/>
                <w:color w:val="000000"/>
                <w:sz w:val="18"/>
                <w:szCs w:val="18"/>
              </w:rPr>
              <w:t>16</w:t>
            </w:r>
          </w:p>
        </w:tc>
        <w:tc>
          <w:tcPr>
            <w:tcW w:w="587" w:type="pct"/>
            <w:vAlign w:val="center"/>
          </w:tcPr>
          <w:p w14:paraId="107189EF" w14:textId="77777777" w:rsidR="00C71CAA" w:rsidRPr="001570EA" w:rsidRDefault="00C71CAA">
            <w:pPr>
              <w:spacing w:before="60" w:after="60"/>
              <w:jc w:val="center"/>
              <w:rPr>
                <w:rFonts w:cs="Arial"/>
                <w:sz w:val="18"/>
                <w:szCs w:val="18"/>
              </w:rPr>
            </w:pPr>
            <w:r w:rsidRPr="001570EA">
              <w:rPr>
                <w:rFonts w:cs="Arial"/>
                <w:color w:val="000000"/>
                <w:sz w:val="18"/>
                <w:szCs w:val="18"/>
              </w:rPr>
              <w:t>24.99</w:t>
            </w:r>
          </w:p>
        </w:tc>
        <w:tc>
          <w:tcPr>
            <w:tcW w:w="644" w:type="pct"/>
            <w:vAlign w:val="center"/>
          </w:tcPr>
          <w:p w14:paraId="6EC55C7B" w14:textId="77777777" w:rsidR="00C71CAA" w:rsidRPr="001570EA" w:rsidRDefault="00C71CAA">
            <w:pPr>
              <w:spacing w:before="60" w:after="60"/>
              <w:jc w:val="center"/>
              <w:rPr>
                <w:rFonts w:cs="Arial"/>
                <w:sz w:val="18"/>
                <w:szCs w:val="18"/>
              </w:rPr>
            </w:pPr>
            <w:r w:rsidRPr="001570EA">
              <w:rPr>
                <w:rFonts w:cs="Arial"/>
                <w:color w:val="000000"/>
                <w:sz w:val="18"/>
                <w:szCs w:val="18"/>
              </w:rPr>
              <w:t>27.06</w:t>
            </w:r>
          </w:p>
        </w:tc>
        <w:tc>
          <w:tcPr>
            <w:tcW w:w="1005" w:type="pct"/>
            <w:vAlign w:val="center"/>
          </w:tcPr>
          <w:p w14:paraId="2479BF8A" w14:textId="77777777" w:rsidR="00C71CAA" w:rsidRPr="001570EA" w:rsidRDefault="00C71CAA">
            <w:pPr>
              <w:spacing w:before="60" w:after="60"/>
              <w:jc w:val="center"/>
              <w:rPr>
                <w:rFonts w:cs="Arial"/>
                <w:sz w:val="18"/>
                <w:szCs w:val="18"/>
              </w:rPr>
            </w:pPr>
            <w:r w:rsidRPr="001570EA">
              <w:rPr>
                <w:rFonts w:cs="Arial"/>
                <w:color w:val="000000"/>
                <w:sz w:val="18"/>
                <w:szCs w:val="18"/>
              </w:rPr>
              <w:t>183.9</w:t>
            </w:r>
          </w:p>
        </w:tc>
        <w:tc>
          <w:tcPr>
            <w:tcW w:w="685" w:type="pct"/>
            <w:vAlign w:val="center"/>
          </w:tcPr>
          <w:p w14:paraId="6DB5D77D" w14:textId="77777777" w:rsidR="00C71CAA" w:rsidRPr="001570EA" w:rsidRDefault="00C71CAA">
            <w:pPr>
              <w:spacing w:before="60" w:after="60"/>
              <w:jc w:val="center"/>
              <w:rPr>
                <w:rFonts w:cs="Arial"/>
                <w:sz w:val="18"/>
                <w:szCs w:val="18"/>
              </w:rPr>
            </w:pPr>
            <w:r w:rsidRPr="001570EA">
              <w:rPr>
                <w:rFonts w:cs="Arial"/>
                <w:color w:val="000000"/>
                <w:sz w:val="18"/>
                <w:szCs w:val="18"/>
              </w:rPr>
              <w:t>0.0192</w:t>
            </w:r>
          </w:p>
        </w:tc>
        <w:tc>
          <w:tcPr>
            <w:tcW w:w="585" w:type="pct"/>
            <w:vAlign w:val="center"/>
          </w:tcPr>
          <w:p w14:paraId="7418C5C0"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0.0323</w:t>
            </w:r>
          </w:p>
        </w:tc>
      </w:tr>
      <w:tr w:rsidR="00C71CAA" w:rsidRPr="001570EA" w14:paraId="6DC54998" w14:textId="77777777">
        <w:trPr>
          <w:trHeight w:val="20"/>
        </w:trPr>
        <w:tc>
          <w:tcPr>
            <w:tcW w:w="676" w:type="pct"/>
            <w:vAlign w:val="center"/>
          </w:tcPr>
          <w:p w14:paraId="180CA590" w14:textId="77777777" w:rsidR="00C71CAA" w:rsidRPr="001570EA" w:rsidRDefault="00C71CAA">
            <w:pPr>
              <w:spacing w:before="60" w:after="60"/>
              <w:rPr>
                <w:rFonts w:cs="Arial"/>
                <w:sz w:val="18"/>
                <w:szCs w:val="18"/>
              </w:rPr>
            </w:pPr>
            <w:r w:rsidRPr="001570EA">
              <w:rPr>
                <w:rFonts w:cs="Arial"/>
                <w:color w:val="000000"/>
                <w:sz w:val="18"/>
                <w:szCs w:val="18"/>
              </w:rPr>
              <w:t>50</w:t>
            </w:r>
          </w:p>
        </w:tc>
        <w:tc>
          <w:tcPr>
            <w:tcW w:w="409" w:type="pct"/>
            <w:vAlign w:val="center"/>
          </w:tcPr>
          <w:p w14:paraId="38384AC6" w14:textId="77777777" w:rsidR="00C71CAA" w:rsidRPr="001570EA" w:rsidRDefault="00C71CAA">
            <w:pPr>
              <w:spacing w:before="60" w:after="60"/>
              <w:jc w:val="center"/>
              <w:rPr>
                <w:rFonts w:cs="Arial"/>
                <w:sz w:val="18"/>
                <w:szCs w:val="18"/>
              </w:rPr>
            </w:pPr>
            <w:r w:rsidRPr="001570EA">
              <w:rPr>
                <w:rFonts w:cs="Arial"/>
                <w:color w:val="000000"/>
                <w:sz w:val="18"/>
                <w:szCs w:val="18"/>
              </w:rPr>
              <w:t>10</w:t>
            </w:r>
          </w:p>
        </w:tc>
        <w:tc>
          <w:tcPr>
            <w:tcW w:w="409" w:type="pct"/>
            <w:vAlign w:val="center"/>
          </w:tcPr>
          <w:p w14:paraId="62995004" w14:textId="77777777" w:rsidR="00C71CAA" w:rsidRPr="001570EA" w:rsidRDefault="00C71CAA">
            <w:pPr>
              <w:spacing w:before="60" w:after="60"/>
              <w:jc w:val="center"/>
              <w:rPr>
                <w:rFonts w:cs="Arial"/>
                <w:sz w:val="18"/>
                <w:szCs w:val="18"/>
              </w:rPr>
            </w:pPr>
            <w:r w:rsidRPr="001570EA">
              <w:rPr>
                <w:rFonts w:cs="Arial"/>
                <w:color w:val="000000"/>
                <w:sz w:val="18"/>
                <w:szCs w:val="18"/>
              </w:rPr>
              <w:t>18</w:t>
            </w:r>
          </w:p>
        </w:tc>
        <w:tc>
          <w:tcPr>
            <w:tcW w:w="587" w:type="pct"/>
            <w:vAlign w:val="center"/>
          </w:tcPr>
          <w:p w14:paraId="2E9F8B3C" w14:textId="77777777" w:rsidR="00C71CAA" w:rsidRPr="001570EA" w:rsidRDefault="00C71CAA">
            <w:pPr>
              <w:spacing w:before="60" w:after="60"/>
              <w:jc w:val="center"/>
              <w:rPr>
                <w:rFonts w:cs="Arial"/>
                <w:sz w:val="18"/>
                <w:szCs w:val="18"/>
              </w:rPr>
            </w:pPr>
            <w:r w:rsidRPr="001570EA">
              <w:rPr>
                <w:rFonts w:cs="Arial"/>
                <w:color w:val="000000"/>
                <w:sz w:val="18"/>
                <w:szCs w:val="18"/>
              </w:rPr>
              <w:t>24.99</w:t>
            </w:r>
          </w:p>
        </w:tc>
        <w:tc>
          <w:tcPr>
            <w:tcW w:w="644" w:type="pct"/>
            <w:vAlign w:val="center"/>
          </w:tcPr>
          <w:p w14:paraId="39AD5836" w14:textId="77777777" w:rsidR="00C71CAA" w:rsidRPr="001570EA" w:rsidRDefault="00C71CAA">
            <w:pPr>
              <w:spacing w:before="60" w:after="60"/>
              <w:jc w:val="center"/>
              <w:rPr>
                <w:rFonts w:cs="Arial"/>
                <w:sz w:val="18"/>
                <w:szCs w:val="18"/>
              </w:rPr>
            </w:pPr>
            <w:r w:rsidRPr="001570EA">
              <w:rPr>
                <w:rFonts w:cs="Arial"/>
                <w:color w:val="000000"/>
                <w:sz w:val="18"/>
                <w:szCs w:val="18"/>
              </w:rPr>
              <w:t>27.06</w:t>
            </w:r>
          </w:p>
        </w:tc>
        <w:tc>
          <w:tcPr>
            <w:tcW w:w="1005" w:type="pct"/>
            <w:vAlign w:val="center"/>
          </w:tcPr>
          <w:p w14:paraId="4A1DDA2C" w14:textId="77777777" w:rsidR="00C71CAA" w:rsidRPr="001570EA" w:rsidRDefault="00C71CAA">
            <w:pPr>
              <w:spacing w:before="60" w:after="60"/>
              <w:jc w:val="center"/>
              <w:rPr>
                <w:rFonts w:cs="Arial"/>
                <w:sz w:val="18"/>
                <w:szCs w:val="18"/>
              </w:rPr>
            </w:pPr>
            <w:r w:rsidRPr="001570EA">
              <w:rPr>
                <w:rFonts w:cs="Arial"/>
                <w:color w:val="000000"/>
                <w:sz w:val="18"/>
                <w:szCs w:val="18"/>
              </w:rPr>
              <w:t>127.8</w:t>
            </w:r>
          </w:p>
        </w:tc>
        <w:tc>
          <w:tcPr>
            <w:tcW w:w="685" w:type="pct"/>
            <w:vAlign w:val="center"/>
          </w:tcPr>
          <w:p w14:paraId="7647998E" w14:textId="77777777" w:rsidR="00C71CAA" w:rsidRPr="001570EA" w:rsidRDefault="00C71CAA">
            <w:pPr>
              <w:spacing w:before="60" w:after="60"/>
              <w:jc w:val="center"/>
              <w:rPr>
                <w:rFonts w:cs="Arial"/>
                <w:sz w:val="18"/>
                <w:szCs w:val="18"/>
              </w:rPr>
            </w:pPr>
            <w:r w:rsidRPr="001570EA">
              <w:rPr>
                <w:rFonts w:cs="Arial"/>
                <w:color w:val="000000"/>
                <w:sz w:val="18"/>
                <w:szCs w:val="18"/>
              </w:rPr>
              <w:t>0.0134</w:t>
            </w:r>
          </w:p>
        </w:tc>
        <w:tc>
          <w:tcPr>
            <w:tcW w:w="585" w:type="pct"/>
            <w:vAlign w:val="center"/>
          </w:tcPr>
          <w:p w14:paraId="33DAD90B"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0.0224</w:t>
            </w:r>
          </w:p>
        </w:tc>
      </w:tr>
      <w:tr w:rsidR="00C71CAA" w:rsidRPr="001570EA" w14:paraId="49066BE6" w14:textId="77777777">
        <w:trPr>
          <w:trHeight w:val="20"/>
        </w:trPr>
        <w:tc>
          <w:tcPr>
            <w:tcW w:w="676" w:type="pct"/>
            <w:vAlign w:val="center"/>
          </w:tcPr>
          <w:p w14:paraId="44A53AD0" w14:textId="77777777" w:rsidR="00C71CAA" w:rsidRPr="001570EA" w:rsidRDefault="00C71CAA">
            <w:pPr>
              <w:spacing w:before="60" w:after="60"/>
              <w:rPr>
                <w:rFonts w:cs="Arial"/>
                <w:sz w:val="18"/>
                <w:szCs w:val="18"/>
              </w:rPr>
            </w:pPr>
            <w:r w:rsidRPr="001570EA">
              <w:rPr>
                <w:rFonts w:cs="Arial"/>
                <w:color w:val="000000"/>
                <w:sz w:val="18"/>
                <w:szCs w:val="18"/>
              </w:rPr>
              <w:t>50</w:t>
            </w:r>
          </w:p>
        </w:tc>
        <w:tc>
          <w:tcPr>
            <w:tcW w:w="409" w:type="pct"/>
            <w:vAlign w:val="center"/>
          </w:tcPr>
          <w:p w14:paraId="11CE1B4D" w14:textId="77777777" w:rsidR="00C71CAA" w:rsidRPr="001570EA" w:rsidRDefault="00C71CAA">
            <w:pPr>
              <w:spacing w:before="60" w:after="60"/>
              <w:jc w:val="center"/>
              <w:rPr>
                <w:rFonts w:cs="Arial"/>
                <w:sz w:val="18"/>
                <w:szCs w:val="18"/>
              </w:rPr>
            </w:pPr>
            <w:r w:rsidRPr="001570EA">
              <w:rPr>
                <w:rFonts w:cs="Arial"/>
                <w:color w:val="000000"/>
                <w:sz w:val="18"/>
                <w:szCs w:val="18"/>
              </w:rPr>
              <w:t>12</w:t>
            </w:r>
          </w:p>
        </w:tc>
        <w:tc>
          <w:tcPr>
            <w:tcW w:w="409" w:type="pct"/>
            <w:vAlign w:val="center"/>
          </w:tcPr>
          <w:p w14:paraId="2AFA155E" w14:textId="77777777" w:rsidR="00C71CAA" w:rsidRPr="001570EA" w:rsidRDefault="00C71CAA">
            <w:pPr>
              <w:spacing w:before="60" w:after="60"/>
              <w:jc w:val="center"/>
              <w:rPr>
                <w:rFonts w:cs="Arial"/>
                <w:sz w:val="18"/>
                <w:szCs w:val="18"/>
              </w:rPr>
            </w:pPr>
            <w:r w:rsidRPr="001570EA">
              <w:rPr>
                <w:rFonts w:cs="Arial"/>
                <w:color w:val="000000"/>
                <w:sz w:val="18"/>
                <w:szCs w:val="18"/>
              </w:rPr>
              <w:t>20</w:t>
            </w:r>
          </w:p>
        </w:tc>
        <w:tc>
          <w:tcPr>
            <w:tcW w:w="587" w:type="pct"/>
            <w:vAlign w:val="center"/>
          </w:tcPr>
          <w:p w14:paraId="57127A0F" w14:textId="77777777" w:rsidR="00C71CAA" w:rsidRPr="001570EA" w:rsidRDefault="00C71CAA">
            <w:pPr>
              <w:spacing w:before="60" w:after="60"/>
              <w:jc w:val="center"/>
              <w:rPr>
                <w:rFonts w:cs="Arial"/>
                <w:sz w:val="18"/>
                <w:szCs w:val="18"/>
              </w:rPr>
            </w:pPr>
            <w:r w:rsidRPr="001570EA">
              <w:rPr>
                <w:rFonts w:cs="Arial"/>
                <w:color w:val="000000"/>
                <w:sz w:val="18"/>
                <w:szCs w:val="18"/>
              </w:rPr>
              <w:t>24.99</w:t>
            </w:r>
          </w:p>
        </w:tc>
        <w:tc>
          <w:tcPr>
            <w:tcW w:w="644" w:type="pct"/>
            <w:vAlign w:val="center"/>
          </w:tcPr>
          <w:p w14:paraId="7AE17327" w14:textId="77777777" w:rsidR="00C71CAA" w:rsidRPr="001570EA" w:rsidRDefault="00C71CAA">
            <w:pPr>
              <w:spacing w:before="60" w:after="60"/>
              <w:jc w:val="center"/>
              <w:rPr>
                <w:rFonts w:cs="Arial"/>
                <w:sz w:val="18"/>
                <w:szCs w:val="18"/>
              </w:rPr>
            </w:pPr>
            <w:r w:rsidRPr="001570EA">
              <w:rPr>
                <w:rFonts w:cs="Arial"/>
                <w:color w:val="000000"/>
                <w:sz w:val="18"/>
                <w:szCs w:val="18"/>
              </w:rPr>
              <w:t>27.06</w:t>
            </w:r>
          </w:p>
        </w:tc>
        <w:tc>
          <w:tcPr>
            <w:tcW w:w="1005" w:type="pct"/>
            <w:vAlign w:val="center"/>
          </w:tcPr>
          <w:p w14:paraId="360B99FA" w14:textId="77777777" w:rsidR="00C71CAA" w:rsidRPr="001570EA" w:rsidRDefault="00C71CAA">
            <w:pPr>
              <w:spacing w:before="60" w:after="60"/>
              <w:jc w:val="center"/>
              <w:rPr>
                <w:rFonts w:cs="Arial"/>
                <w:sz w:val="18"/>
                <w:szCs w:val="18"/>
              </w:rPr>
            </w:pPr>
            <w:r w:rsidRPr="001570EA">
              <w:rPr>
                <w:rFonts w:cs="Arial"/>
                <w:color w:val="000000"/>
                <w:sz w:val="18"/>
                <w:szCs w:val="18"/>
              </w:rPr>
              <w:t>93.6</w:t>
            </w:r>
          </w:p>
        </w:tc>
        <w:tc>
          <w:tcPr>
            <w:tcW w:w="685" w:type="pct"/>
            <w:vAlign w:val="center"/>
          </w:tcPr>
          <w:p w14:paraId="761EDA91" w14:textId="77777777" w:rsidR="00C71CAA" w:rsidRPr="001570EA" w:rsidRDefault="00C71CAA">
            <w:pPr>
              <w:spacing w:before="60" w:after="60"/>
              <w:jc w:val="center"/>
              <w:rPr>
                <w:rFonts w:cs="Arial"/>
                <w:sz w:val="18"/>
                <w:szCs w:val="18"/>
              </w:rPr>
            </w:pPr>
            <w:r w:rsidRPr="001570EA">
              <w:rPr>
                <w:rFonts w:cs="Arial"/>
                <w:color w:val="000000"/>
                <w:sz w:val="18"/>
                <w:szCs w:val="18"/>
              </w:rPr>
              <w:t>0.0098</w:t>
            </w:r>
          </w:p>
        </w:tc>
        <w:tc>
          <w:tcPr>
            <w:tcW w:w="585" w:type="pct"/>
            <w:vAlign w:val="center"/>
          </w:tcPr>
          <w:p w14:paraId="18B3E936"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0.0164</w:t>
            </w:r>
          </w:p>
        </w:tc>
      </w:tr>
      <w:tr w:rsidR="00C71CAA" w:rsidRPr="001570EA" w14:paraId="0BC495C6" w14:textId="77777777">
        <w:trPr>
          <w:trHeight w:val="20"/>
        </w:trPr>
        <w:tc>
          <w:tcPr>
            <w:tcW w:w="676" w:type="pct"/>
            <w:vAlign w:val="center"/>
          </w:tcPr>
          <w:p w14:paraId="166621A3" w14:textId="77777777" w:rsidR="00C71CAA" w:rsidRPr="001570EA" w:rsidRDefault="00C71CAA">
            <w:pPr>
              <w:spacing w:before="60" w:after="60"/>
              <w:rPr>
                <w:rFonts w:cs="Arial"/>
                <w:sz w:val="18"/>
                <w:szCs w:val="18"/>
              </w:rPr>
            </w:pPr>
            <w:r w:rsidRPr="001570EA">
              <w:rPr>
                <w:rFonts w:cs="Arial"/>
                <w:color w:val="000000"/>
                <w:sz w:val="18"/>
                <w:szCs w:val="18"/>
              </w:rPr>
              <w:t>50</w:t>
            </w:r>
          </w:p>
        </w:tc>
        <w:tc>
          <w:tcPr>
            <w:tcW w:w="409" w:type="pct"/>
            <w:vAlign w:val="center"/>
          </w:tcPr>
          <w:p w14:paraId="67251DD7" w14:textId="77777777" w:rsidR="00C71CAA" w:rsidRPr="001570EA" w:rsidRDefault="00C71CAA">
            <w:pPr>
              <w:spacing w:before="60" w:after="60"/>
              <w:jc w:val="center"/>
              <w:rPr>
                <w:rFonts w:cs="Arial"/>
                <w:sz w:val="18"/>
                <w:szCs w:val="18"/>
              </w:rPr>
            </w:pPr>
            <w:r w:rsidRPr="001570EA">
              <w:rPr>
                <w:rFonts w:cs="Arial"/>
                <w:color w:val="000000"/>
                <w:sz w:val="18"/>
                <w:szCs w:val="18"/>
              </w:rPr>
              <w:t>8</w:t>
            </w:r>
          </w:p>
        </w:tc>
        <w:tc>
          <w:tcPr>
            <w:tcW w:w="409" w:type="pct"/>
            <w:vAlign w:val="center"/>
          </w:tcPr>
          <w:p w14:paraId="15F6A0B8" w14:textId="77777777" w:rsidR="00C71CAA" w:rsidRPr="001570EA" w:rsidRDefault="00C71CAA">
            <w:pPr>
              <w:spacing w:before="60" w:after="60"/>
              <w:jc w:val="center"/>
              <w:rPr>
                <w:rFonts w:cs="Arial"/>
                <w:sz w:val="18"/>
                <w:szCs w:val="18"/>
              </w:rPr>
            </w:pPr>
            <w:r w:rsidRPr="001570EA">
              <w:rPr>
                <w:rFonts w:cs="Arial"/>
                <w:color w:val="000000"/>
                <w:sz w:val="18"/>
                <w:szCs w:val="18"/>
              </w:rPr>
              <w:t>18</w:t>
            </w:r>
          </w:p>
        </w:tc>
        <w:tc>
          <w:tcPr>
            <w:tcW w:w="587" w:type="pct"/>
            <w:vAlign w:val="center"/>
          </w:tcPr>
          <w:p w14:paraId="31805DA1" w14:textId="77777777" w:rsidR="00C71CAA" w:rsidRPr="001570EA" w:rsidRDefault="00C71CAA">
            <w:pPr>
              <w:spacing w:before="60" w:after="60"/>
              <w:jc w:val="center"/>
              <w:rPr>
                <w:rFonts w:cs="Arial"/>
                <w:sz w:val="18"/>
                <w:szCs w:val="18"/>
              </w:rPr>
            </w:pPr>
            <w:r w:rsidRPr="001570EA">
              <w:rPr>
                <w:rFonts w:cs="Arial"/>
                <w:color w:val="000000"/>
                <w:sz w:val="18"/>
                <w:szCs w:val="18"/>
              </w:rPr>
              <w:t>24.99</w:t>
            </w:r>
          </w:p>
        </w:tc>
        <w:tc>
          <w:tcPr>
            <w:tcW w:w="644" w:type="pct"/>
            <w:vAlign w:val="center"/>
          </w:tcPr>
          <w:p w14:paraId="2494B877" w14:textId="77777777" w:rsidR="00C71CAA" w:rsidRPr="001570EA" w:rsidRDefault="00C71CAA">
            <w:pPr>
              <w:spacing w:before="60" w:after="60"/>
              <w:jc w:val="center"/>
              <w:rPr>
                <w:rFonts w:cs="Arial"/>
                <w:sz w:val="18"/>
                <w:szCs w:val="18"/>
              </w:rPr>
            </w:pPr>
            <w:r w:rsidRPr="001570EA">
              <w:rPr>
                <w:rFonts w:cs="Arial"/>
                <w:color w:val="000000"/>
                <w:sz w:val="18"/>
                <w:szCs w:val="18"/>
              </w:rPr>
              <w:t>27.06</w:t>
            </w:r>
          </w:p>
        </w:tc>
        <w:tc>
          <w:tcPr>
            <w:tcW w:w="1005" w:type="pct"/>
            <w:vAlign w:val="center"/>
          </w:tcPr>
          <w:p w14:paraId="787571F0" w14:textId="77777777" w:rsidR="00C71CAA" w:rsidRPr="001570EA" w:rsidRDefault="00C71CAA">
            <w:pPr>
              <w:spacing w:before="60" w:after="60"/>
              <w:jc w:val="center"/>
              <w:rPr>
                <w:rFonts w:cs="Arial"/>
                <w:sz w:val="18"/>
                <w:szCs w:val="18"/>
              </w:rPr>
            </w:pPr>
            <w:r w:rsidRPr="001570EA">
              <w:rPr>
                <w:rFonts w:cs="Arial"/>
                <w:color w:val="000000"/>
                <w:sz w:val="18"/>
                <w:szCs w:val="18"/>
              </w:rPr>
              <w:t>208.0</w:t>
            </w:r>
          </w:p>
        </w:tc>
        <w:tc>
          <w:tcPr>
            <w:tcW w:w="685" w:type="pct"/>
            <w:vAlign w:val="center"/>
          </w:tcPr>
          <w:p w14:paraId="4CA0F3AE" w14:textId="77777777" w:rsidR="00C71CAA" w:rsidRPr="001570EA" w:rsidRDefault="00C71CAA">
            <w:pPr>
              <w:spacing w:before="60" w:after="60"/>
              <w:jc w:val="center"/>
              <w:rPr>
                <w:rFonts w:cs="Arial"/>
                <w:sz w:val="18"/>
                <w:szCs w:val="18"/>
              </w:rPr>
            </w:pPr>
            <w:r w:rsidRPr="001570EA">
              <w:rPr>
                <w:rFonts w:cs="Arial"/>
                <w:color w:val="000000"/>
                <w:sz w:val="18"/>
                <w:szCs w:val="18"/>
              </w:rPr>
              <w:t>0.0218</w:t>
            </w:r>
          </w:p>
        </w:tc>
        <w:tc>
          <w:tcPr>
            <w:tcW w:w="585" w:type="pct"/>
            <w:vAlign w:val="center"/>
          </w:tcPr>
          <w:p w14:paraId="55B13ED7"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0.0365</w:t>
            </w:r>
          </w:p>
        </w:tc>
      </w:tr>
      <w:tr w:rsidR="00C71CAA" w:rsidRPr="001570EA" w14:paraId="76540C0D" w14:textId="77777777">
        <w:trPr>
          <w:trHeight w:val="20"/>
        </w:trPr>
        <w:tc>
          <w:tcPr>
            <w:tcW w:w="676" w:type="pct"/>
            <w:vAlign w:val="center"/>
          </w:tcPr>
          <w:p w14:paraId="0FB29457" w14:textId="77777777" w:rsidR="00C71CAA" w:rsidRPr="001570EA" w:rsidRDefault="00C71CAA">
            <w:pPr>
              <w:spacing w:before="60" w:after="60"/>
              <w:rPr>
                <w:rFonts w:cs="Arial"/>
                <w:sz w:val="18"/>
                <w:szCs w:val="18"/>
              </w:rPr>
            </w:pPr>
            <w:r w:rsidRPr="001570EA">
              <w:rPr>
                <w:rFonts w:cs="Arial"/>
                <w:color w:val="000000"/>
                <w:sz w:val="18"/>
                <w:szCs w:val="18"/>
              </w:rPr>
              <w:t>50</w:t>
            </w:r>
          </w:p>
        </w:tc>
        <w:tc>
          <w:tcPr>
            <w:tcW w:w="409" w:type="pct"/>
            <w:vAlign w:val="center"/>
          </w:tcPr>
          <w:p w14:paraId="50F1850D" w14:textId="77777777" w:rsidR="00C71CAA" w:rsidRPr="001570EA" w:rsidRDefault="00C71CAA">
            <w:pPr>
              <w:spacing w:before="60" w:after="60"/>
              <w:jc w:val="center"/>
              <w:rPr>
                <w:rFonts w:cs="Arial"/>
                <w:sz w:val="18"/>
                <w:szCs w:val="18"/>
              </w:rPr>
            </w:pPr>
            <w:r w:rsidRPr="001570EA">
              <w:rPr>
                <w:rFonts w:cs="Arial"/>
                <w:color w:val="000000"/>
                <w:sz w:val="18"/>
                <w:szCs w:val="18"/>
              </w:rPr>
              <w:t>10</w:t>
            </w:r>
          </w:p>
        </w:tc>
        <w:tc>
          <w:tcPr>
            <w:tcW w:w="409" w:type="pct"/>
            <w:vAlign w:val="center"/>
          </w:tcPr>
          <w:p w14:paraId="5C8A2D72" w14:textId="77777777" w:rsidR="00C71CAA" w:rsidRPr="001570EA" w:rsidRDefault="00C71CAA">
            <w:pPr>
              <w:spacing w:before="60" w:after="60"/>
              <w:jc w:val="center"/>
              <w:rPr>
                <w:rFonts w:cs="Arial"/>
                <w:sz w:val="18"/>
                <w:szCs w:val="18"/>
              </w:rPr>
            </w:pPr>
            <w:r w:rsidRPr="001570EA">
              <w:rPr>
                <w:rFonts w:cs="Arial"/>
                <w:color w:val="000000"/>
                <w:sz w:val="18"/>
                <w:szCs w:val="18"/>
              </w:rPr>
              <w:t>20</w:t>
            </w:r>
          </w:p>
        </w:tc>
        <w:tc>
          <w:tcPr>
            <w:tcW w:w="587" w:type="pct"/>
            <w:vAlign w:val="center"/>
          </w:tcPr>
          <w:p w14:paraId="3BFE5391" w14:textId="77777777" w:rsidR="00C71CAA" w:rsidRPr="001570EA" w:rsidRDefault="00C71CAA">
            <w:pPr>
              <w:spacing w:before="60" w:after="60"/>
              <w:jc w:val="center"/>
              <w:rPr>
                <w:rFonts w:cs="Arial"/>
                <w:sz w:val="18"/>
                <w:szCs w:val="18"/>
              </w:rPr>
            </w:pPr>
            <w:r w:rsidRPr="001570EA">
              <w:rPr>
                <w:rFonts w:cs="Arial"/>
                <w:color w:val="000000"/>
                <w:sz w:val="18"/>
                <w:szCs w:val="18"/>
              </w:rPr>
              <w:t>24.99</w:t>
            </w:r>
          </w:p>
        </w:tc>
        <w:tc>
          <w:tcPr>
            <w:tcW w:w="644" w:type="pct"/>
            <w:vAlign w:val="center"/>
          </w:tcPr>
          <w:p w14:paraId="26D8C3C2" w14:textId="77777777" w:rsidR="00C71CAA" w:rsidRPr="001570EA" w:rsidRDefault="00C71CAA">
            <w:pPr>
              <w:spacing w:before="60" w:after="60"/>
              <w:jc w:val="center"/>
              <w:rPr>
                <w:rFonts w:cs="Arial"/>
                <w:sz w:val="18"/>
                <w:szCs w:val="18"/>
              </w:rPr>
            </w:pPr>
            <w:r w:rsidRPr="001570EA">
              <w:rPr>
                <w:rFonts w:cs="Arial"/>
                <w:color w:val="000000"/>
                <w:sz w:val="18"/>
                <w:szCs w:val="18"/>
              </w:rPr>
              <w:t>27.06</w:t>
            </w:r>
          </w:p>
        </w:tc>
        <w:tc>
          <w:tcPr>
            <w:tcW w:w="1005" w:type="pct"/>
            <w:vAlign w:val="center"/>
          </w:tcPr>
          <w:p w14:paraId="64DABA66" w14:textId="77777777" w:rsidR="00C71CAA" w:rsidRPr="001570EA" w:rsidRDefault="00C71CAA">
            <w:pPr>
              <w:spacing w:before="60" w:after="60"/>
              <w:jc w:val="center"/>
              <w:rPr>
                <w:rFonts w:cs="Arial"/>
                <w:sz w:val="18"/>
                <w:szCs w:val="18"/>
              </w:rPr>
            </w:pPr>
            <w:r w:rsidRPr="001570EA">
              <w:rPr>
                <w:rFonts w:cs="Arial"/>
                <w:color w:val="000000"/>
                <w:sz w:val="18"/>
                <w:szCs w:val="18"/>
              </w:rPr>
              <w:t>147.1</w:t>
            </w:r>
          </w:p>
        </w:tc>
        <w:tc>
          <w:tcPr>
            <w:tcW w:w="685" w:type="pct"/>
            <w:vAlign w:val="center"/>
          </w:tcPr>
          <w:p w14:paraId="362DBB7D" w14:textId="77777777" w:rsidR="00C71CAA" w:rsidRPr="001570EA" w:rsidRDefault="00C71CAA">
            <w:pPr>
              <w:spacing w:before="60" w:after="60"/>
              <w:jc w:val="center"/>
              <w:rPr>
                <w:rFonts w:cs="Arial"/>
                <w:sz w:val="18"/>
                <w:szCs w:val="18"/>
              </w:rPr>
            </w:pPr>
            <w:r w:rsidRPr="001570EA">
              <w:rPr>
                <w:rFonts w:cs="Arial"/>
                <w:color w:val="000000"/>
                <w:sz w:val="18"/>
                <w:szCs w:val="18"/>
              </w:rPr>
              <w:t>0.0154</w:t>
            </w:r>
          </w:p>
        </w:tc>
        <w:tc>
          <w:tcPr>
            <w:tcW w:w="585" w:type="pct"/>
            <w:vAlign w:val="center"/>
          </w:tcPr>
          <w:p w14:paraId="137E7B7C"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0.0258</w:t>
            </w:r>
          </w:p>
        </w:tc>
      </w:tr>
      <w:tr w:rsidR="00C71CAA" w:rsidRPr="001570EA" w14:paraId="4E989B5E" w14:textId="77777777">
        <w:trPr>
          <w:trHeight w:val="20"/>
        </w:trPr>
        <w:tc>
          <w:tcPr>
            <w:tcW w:w="676" w:type="pct"/>
            <w:vAlign w:val="center"/>
          </w:tcPr>
          <w:p w14:paraId="115F3DEB" w14:textId="77777777" w:rsidR="00C71CAA" w:rsidRPr="001570EA" w:rsidRDefault="00C71CAA">
            <w:pPr>
              <w:spacing w:before="60" w:after="60"/>
              <w:rPr>
                <w:rFonts w:cs="Arial"/>
                <w:sz w:val="18"/>
                <w:szCs w:val="18"/>
              </w:rPr>
            </w:pPr>
            <w:r w:rsidRPr="001570EA">
              <w:rPr>
                <w:rFonts w:cs="Arial"/>
                <w:color w:val="000000"/>
                <w:sz w:val="18"/>
                <w:szCs w:val="18"/>
              </w:rPr>
              <w:t>50</w:t>
            </w:r>
          </w:p>
        </w:tc>
        <w:tc>
          <w:tcPr>
            <w:tcW w:w="409" w:type="pct"/>
            <w:vAlign w:val="center"/>
          </w:tcPr>
          <w:p w14:paraId="0DD72921" w14:textId="77777777" w:rsidR="00C71CAA" w:rsidRPr="001570EA" w:rsidRDefault="00C71CAA">
            <w:pPr>
              <w:spacing w:before="60" w:after="60"/>
              <w:jc w:val="center"/>
              <w:rPr>
                <w:rFonts w:cs="Arial"/>
                <w:sz w:val="18"/>
                <w:szCs w:val="18"/>
              </w:rPr>
            </w:pPr>
            <w:r w:rsidRPr="001570EA">
              <w:rPr>
                <w:rFonts w:cs="Arial"/>
                <w:color w:val="000000"/>
                <w:sz w:val="18"/>
                <w:szCs w:val="18"/>
              </w:rPr>
              <w:t>12</w:t>
            </w:r>
          </w:p>
        </w:tc>
        <w:tc>
          <w:tcPr>
            <w:tcW w:w="409" w:type="pct"/>
            <w:vAlign w:val="center"/>
          </w:tcPr>
          <w:p w14:paraId="125198C7" w14:textId="77777777" w:rsidR="00C71CAA" w:rsidRPr="001570EA" w:rsidRDefault="00C71CAA">
            <w:pPr>
              <w:spacing w:before="60" w:after="60"/>
              <w:jc w:val="center"/>
              <w:rPr>
                <w:rFonts w:cs="Arial"/>
                <w:sz w:val="18"/>
                <w:szCs w:val="18"/>
              </w:rPr>
            </w:pPr>
            <w:r w:rsidRPr="001570EA">
              <w:rPr>
                <w:rFonts w:cs="Arial"/>
                <w:color w:val="000000"/>
                <w:sz w:val="18"/>
                <w:szCs w:val="18"/>
              </w:rPr>
              <w:t>22</w:t>
            </w:r>
          </w:p>
        </w:tc>
        <w:tc>
          <w:tcPr>
            <w:tcW w:w="587" w:type="pct"/>
            <w:vAlign w:val="center"/>
          </w:tcPr>
          <w:p w14:paraId="5F5ED033" w14:textId="77777777" w:rsidR="00C71CAA" w:rsidRPr="001570EA" w:rsidRDefault="00C71CAA">
            <w:pPr>
              <w:spacing w:before="60" w:after="60"/>
              <w:jc w:val="center"/>
              <w:rPr>
                <w:rFonts w:cs="Arial"/>
                <w:sz w:val="18"/>
                <w:szCs w:val="18"/>
              </w:rPr>
            </w:pPr>
            <w:r w:rsidRPr="001570EA">
              <w:rPr>
                <w:rFonts w:cs="Arial"/>
                <w:color w:val="000000"/>
                <w:sz w:val="18"/>
                <w:szCs w:val="18"/>
              </w:rPr>
              <w:t>24.99</w:t>
            </w:r>
          </w:p>
        </w:tc>
        <w:tc>
          <w:tcPr>
            <w:tcW w:w="644" w:type="pct"/>
            <w:vAlign w:val="center"/>
          </w:tcPr>
          <w:p w14:paraId="5366206C" w14:textId="77777777" w:rsidR="00C71CAA" w:rsidRPr="001570EA" w:rsidRDefault="00C71CAA">
            <w:pPr>
              <w:spacing w:before="60" w:after="60"/>
              <w:jc w:val="center"/>
              <w:rPr>
                <w:rFonts w:cs="Arial"/>
                <w:sz w:val="18"/>
                <w:szCs w:val="18"/>
              </w:rPr>
            </w:pPr>
            <w:r w:rsidRPr="001570EA">
              <w:rPr>
                <w:rFonts w:cs="Arial"/>
                <w:color w:val="000000"/>
                <w:sz w:val="18"/>
                <w:szCs w:val="18"/>
              </w:rPr>
              <w:t>27.06</w:t>
            </w:r>
          </w:p>
        </w:tc>
        <w:tc>
          <w:tcPr>
            <w:tcW w:w="1005" w:type="pct"/>
            <w:vAlign w:val="center"/>
          </w:tcPr>
          <w:p w14:paraId="0FF6BEA8" w14:textId="77777777" w:rsidR="00C71CAA" w:rsidRPr="001570EA" w:rsidRDefault="00C71CAA">
            <w:pPr>
              <w:spacing w:before="60" w:after="60"/>
              <w:jc w:val="center"/>
              <w:rPr>
                <w:rFonts w:cs="Arial"/>
                <w:sz w:val="18"/>
                <w:szCs w:val="18"/>
              </w:rPr>
            </w:pPr>
            <w:r w:rsidRPr="001570EA">
              <w:rPr>
                <w:rFonts w:cs="Arial"/>
                <w:color w:val="000000"/>
                <w:sz w:val="18"/>
                <w:szCs w:val="18"/>
              </w:rPr>
              <w:t>109.4</w:t>
            </w:r>
          </w:p>
        </w:tc>
        <w:tc>
          <w:tcPr>
            <w:tcW w:w="685" w:type="pct"/>
            <w:vAlign w:val="center"/>
          </w:tcPr>
          <w:p w14:paraId="07FCEA55" w14:textId="77777777" w:rsidR="00C71CAA" w:rsidRPr="001570EA" w:rsidRDefault="00C71CAA">
            <w:pPr>
              <w:spacing w:before="60" w:after="60"/>
              <w:jc w:val="center"/>
              <w:rPr>
                <w:rFonts w:cs="Arial"/>
                <w:sz w:val="18"/>
                <w:szCs w:val="18"/>
              </w:rPr>
            </w:pPr>
            <w:r w:rsidRPr="001570EA">
              <w:rPr>
                <w:rFonts w:cs="Arial"/>
                <w:color w:val="000000"/>
                <w:sz w:val="18"/>
                <w:szCs w:val="18"/>
              </w:rPr>
              <w:t>0.0114</w:t>
            </w:r>
          </w:p>
        </w:tc>
        <w:tc>
          <w:tcPr>
            <w:tcW w:w="585" w:type="pct"/>
            <w:vAlign w:val="center"/>
          </w:tcPr>
          <w:p w14:paraId="0CB6744E"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0.0192</w:t>
            </w:r>
          </w:p>
        </w:tc>
      </w:tr>
      <w:tr w:rsidR="00C71CAA" w:rsidRPr="001570EA" w14:paraId="78A9EBBA" w14:textId="77777777">
        <w:trPr>
          <w:trHeight w:val="20"/>
        </w:trPr>
        <w:tc>
          <w:tcPr>
            <w:tcW w:w="676" w:type="pct"/>
            <w:vAlign w:val="center"/>
          </w:tcPr>
          <w:p w14:paraId="4F8D467B" w14:textId="77777777" w:rsidR="00C71CAA" w:rsidRPr="001570EA" w:rsidRDefault="00C71CAA">
            <w:pPr>
              <w:spacing w:before="60" w:after="60"/>
              <w:rPr>
                <w:rFonts w:cs="Arial"/>
                <w:sz w:val="18"/>
                <w:szCs w:val="18"/>
              </w:rPr>
            </w:pPr>
            <w:r w:rsidRPr="001570EA">
              <w:rPr>
                <w:rFonts w:cs="Arial"/>
                <w:color w:val="000000"/>
                <w:sz w:val="18"/>
                <w:szCs w:val="18"/>
              </w:rPr>
              <w:t>80</w:t>
            </w:r>
          </w:p>
        </w:tc>
        <w:tc>
          <w:tcPr>
            <w:tcW w:w="409" w:type="pct"/>
            <w:vAlign w:val="center"/>
          </w:tcPr>
          <w:p w14:paraId="79D5B4A5" w14:textId="77777777" w:rsidR="00C71CAA" w:rsidRPr="001570EA" w:rsidRDefault="00C71CAA">
            <w:pPr>
              <w:spacing w:before="60" w:after="60"/>
              <w:jc w:val="center"/>
              <w:rPr>
                <w:rFonts w:cs="Arial"/>
                <w:sz w:val="18"/>
                <w:szCs w:val="18"/>
              </w:rPr>
            </w:pPr>
            <w:r w:rsidRPr="001570EA">
              <w:rPr>
                <w:rFonts w:cs="Arial"/>
                <w:color w:val="000000"/>
                <w:sz w:val="18"/>
                <w:szCs w:val="18"/>
              </w:rPr>
              <w:t>8</w:t>
            </w:r>
          </w:p>
        </w:tc>
        <w:tc>
          <w:tcPr>
            <w:tcW w:w="409" w:type="pct"/>
            <w:vAlign w:val="center"/>
          </w:tcPr>
          <w:p w14:paraId="16802796" w14:textId="77777777" w:rsidR="00C71CAA" w:rsidRPr="001570EA" w:rsidRDefault="00C71CAA">
            <w:pPr>
              <w:spacing w:before="60" w:after="60"/>
              <w:jc w:val="center"/>
              <w:rPr>
                <w:rFonts w:cs="Arial"/>
                <w:sz w:val="18"/>
                <w:szCs w:val="18"/>
              </w:rPr>
            </w:pPr>
            <w:r w:rsidRPr="001570EA">
              <w:rPr>
                <w:rFonts w:cs="Arial"/>
                <w:color w:val="000000"/>
                <w:sz w:val="18"/>
                <w:szCs w:val="18"/>
              </w:rPr>
              <w:t>16</w:t>
            </w:r>
          </w:p>
        </w:tc>
        <w:tc>
          <w:tcPr>
            <w:tcW w:w="587" w:type="pct"/>
            <w:vAlign w:val="center"/>
          </w:tcPr>
          <w:p w14:paraId="4D7B72E5" w14:textId="77777777" w:rsidR="00C71CAA" w:rsidRPr="001570EA" w:rsidRDefault="00C71CAA">
            <w:pPr>
              <w:spacing w:before="60" w:after="60"/>
              <w:jc w:val="center"/>
              <w:rPr>
                <w:rFonts w:cs="Arial"/>
                <w:sz w:val="18"/>
                <w:szCs w:val="18"/>
              </w:rPr>
            </w:pPr>
            <w:r w:rsidRPr="001570EA">
              <w:rPr>
                <w:rFonts w:cs="Arial"/>
                <w:color w:val="000000"/>
                <w:sz w:val="18"/>
                <w:szCs w:val="18"/>
              </w:rPr>
              <w:t>31.84</w:t>
            </w:r>
          </w:p>
        </w:tc>
        <w:tc>
          <w:tcPr>
            <w:tcW w:w="644" w:type="pct"/>
            <w:vAlign w:val="center"/>
          </w:tcPr>
          <w:p w14:paraId="13F38706" w14:textId="77777777" w:rsidR="00C71CAA" w:rsidRPr="001570EA" w:rsidRDefault="00C71CAA">
            <w:pPr>
              <w:spacing w:before="60" w:after="60"/>
              <w:jc w:val="center"/>
              <w:rPr>
                <w:rFonts w:cs="Arial"/>
                <w:sz w:val="18"/>
                <w:szCs w:val="18"/>
              </w:rPr>
            </w:pPr>
            <w:r w:rsidRPr="001570EA">
              <w:rPr>
                <w:rFonts w:cs="Arial"/>
                <w:color w:val="000000"/>
                <w:sz w:val="18"/>
                <w:szCs w:val="18"/>
              </w:rPr>
              <w:t>34.14</w:t>
            </w:r>
          </w:p>
        </w:tc>
        <w:tc>
          <w:tcPr>
            <w:tcW w:w="1005" w:type="pct"/>
            <w:vAlign w:val="center"/>
          </w:tcPr>
          <w:p w14:paraId="008F9DC4" w14:textId="77777777" w:rsidR="00C71CAA" w:rsidRPr="001570EA" w:rsidRDefault="00C71CAA">
            <w:pPr>
              <w:spacing w:before="60" w:after="60"/>
              <w:jc w:val="center"/>
              <w:rPr>
                <w:rFonts w:cs="Arial"/>
                <w:sz w:val="18"/>
                <w:szCs w:val="18"/>
              </w:rPr>
            </w:pPr>
            <w:r w:rsidRPr="001570EA">
              <w:rPr>
                <w:rFonts w:cs="Arial"/>
                <w:color w:val="000000"/>
                <w:sz w:val="18"/>
                <w:szCs w:val="18"/>
              </w:rPr>
              <w:t>237.0</w:t>
            </w:r>
          </w:p>
        </w:tc>
        <w:tc>
          <w:tcPr>
            <w:tcW w:w="685" w:type="pct"/>
            <w:vAlign w:val="center"/>
          </w:tcPr>
          <w:p w14:paraId="20A41E9A" w14:textId="77777777" w:rsidR="00C71CAA" w:rsidRPr="001570EA" w:rsidRDefault="00C71CAA">
            <w:pPr>
              <w:spacing w:before="60" w:after="60"/>
              <w:jc w:val="center"/>
              <w:rPr>
                <w:rFonts w:cs="Arial"/>
                <w:sz w:val="18"/>
                <w:szCs w:val="18"/>
              </w:rPr>
            </w:pPr>
            <w:r w:rsidRPr="001570EA">
              <w:rPr>
                <w:rFonts w:cs="Arial"/>
                <w:color w:val="000000"/>
                <w:sz w:val="18"/>
                <w:szCs w:val="18"/>
              </w:rPr>
              <w:t>0.0248</w:t>
            </w:r>
          </w:p>
        </w:tc>
        <w:tc>
          <w:tcPr>
            <w:tcW w:w="585" w:type="pct"/>
            <w:vAlign w:val="center"/>
          </w:tcPr>
          <w:p w14:paraId="5336CED7"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0.0416</w:t>
            </w:r>
          </w:p>
        </w:tc>
      </w:tr>
      <w:tr w:rsidR="00C71CAA" w:rsidRPr="001570EA" w14:paraId="267F02CC" w14:textId="77777777">
        <w:trPr>
          <w:trHeight w:val="20"/>
        </w:trPr>
        <w:tc>
          <w:tcPr>
            <w:tcW w:w="676" w:type="pct"/>
            <w:vAlign w:val="center"/>
          </w:tcPr>
          <w:p w14:paraId="29C52A05" w14:textId="77777777" w:rsidR="00C71CAA" w:rsidRPr="001570EA" w:rsidRDefault="00C71CAA">
            <w:pPr>
              <w:spacing w:before="60" w:after="60"/>
              <w:rPr>
                <w:rFonts w:cs="Arial"/>
                <w:sz w:val="18"/>
                <w:szCs w:val="18"/>
              </w:rPr>
            </w:pPr>
            <w:r w:rsidRPr="001570EA">
              <w:rPr>
                <w:rFonts w:cs="Arial"/>
                <w:color w:val="000000"/>
                <w:sz w:val="18"/>
                <w:szCs w:val="18"/>
              </w:rPr>
              <w:t>80</w:t>
            </w:r>
          </w:p>
        </w:tc>
        <w:tc>
          <w:tcPr>
            <w:tcW w:w="409" w:type="pct"/>
            <w:vAlign w:val="center"/>
          </w:tcPr>
          <w:p w14:paraId="0BE9C794" w14:textId="77777777" w:rsidR="00C71CAA" w:rsidRPr="001570EA" w:rsidRDefault="00C71CAA">
            <w:pPr>
              <w:spacing w:before="60" w:after="60"/>
              <w:jc w:val="center"/>
              <w:rPr>
                <w:rFonts w:cs="Arial"/>
                <w:sz w:val="18"/>
                <w:szCs w:val="18"/>
              </w:rPr>
            </w:pPr>
            <w:r w:rsidRPr="001570EA">
              <w:rPr>
                <w:rFonts w:cs="Arial"/>
                <w:color w:val="000000"/>
                <w:sz w:val="18"/>
                <w:szCs w:val="18"/>
              </w:rPr>
              <w:t>10</w:t>
            </w:r>
          </w:p>
        </w:tc>
        <w:tc>
          <w:tcPr>
            <w:tcW w:w="409" w:type="pct"/>
            <w:vAlign w:val="center"/>
          </w:tcPr>
          <w:p w14:paraId="229A305D" w14:textId="77777777" w:rsidR="00C71CAA" w:rsidRPr="001570EA" w:rsidRDefault="00C71CAA">
            <w:pPr>
              <w:spacing w:before="60" w:after="60"/>
              <w:jc w:val="center"/>
              <w:rPr>
                <w:rFonts w:cs="Arial"/>
                <w:sz w:val="18"/>
                <w:szCs w:val="18"/>
              </w:rPr>
            </w:pPr>
            <w:r w:rsidRPr="001570EA">
              <w:rPr>
                <w:rFonts w:cs="Arial"/>
                <w:color w:val="000000"/>
                <w:sz w:val="18"/>
                <w:szCs w:val="18"/>
              </w:rPr>
              <w:t>18</w:t>
            </w:r>
          </w:p>
        </w:tc>
        <w:tc>
          <w:tcPr>
            <w:tcW w:w="587" w:type="pct"/>
            <w:vAlign w:val="center"/>
          </w:tcPr>
          <w:p w14:paraId="103E3116" w14:textId="77777777" w:rsidR="00C71CAA" w:rsidRPr="001570EA" w:rsidRDefault="00C71CAA">
            <w:pPr>
              <w:spacing w:before="60" w:after="60"/>
              <w:jc w:val="center"/>
              <w:rPr>
                <w:rFonts w:cs="Arial"/>
                <w:sz w:val="18"/>
                <w:szCs w:val="18"/>
              </w:rPr>
            </w:pPr>
            <w:r w:rsidRPr="001570EA">
              <w:rPr>
                <w:rFonts w:cs="Arial"/>
                <w:color w:val="000000"/>
                <w:sz w:val="18"/>
                <w:szCs w:val="18"/>
              </w:rPr>
              <w:t>31.84</w:t>
            </w:r>
          </w:p>
        </w:tc>
        <w:tc>
          <w:tcPr>
            <w:tcW w:w="644" w:type="pct"/>
            <w:vAlign w:val="center"/>
          </w:tcPr>
          <w:p w14:paraId="3CEDCF8A" w14:textId="77777777" w:rsidR="00C71CAA" w:rsidRPr="001570EA" w:rsidRDefault="00C71CAA">
            <w:pPr>
              <w:spacing w:before="60" w:after="60"/>
              <w:jc w:val="center"/>
              <w:rPr>
                <w:rFonts w:cs="Arial"/>
                <w:sz w:val="18"/>
                <w:szCs w:val="18"/>
              </w:rPr>
            </w:pPr>
            <w:r w:rsidRPr="001570EA">
              <w:rPr>
                <w:rFonts w:cs="Arial"/>
                <w:color w:val="000000"/>
                <w:sz w:val="18"/>
                <w:szCs w:val="18"/>
              </w:rPr>
              <w:t>34.14</w:t>
            </w:r>
          </w:p>
        </w:tc>
        <w:tc>
          <w:tcPr>
            <w:tcW w:w="1005" w:type="pct"/>
            <w:vAlign w:val="center"/>
          </w:tcPr>
          <w:p w14:paraId="0A3FC3F8" w14:textId="77777777" w:rsidR="00C71CAA" w:rsidRPr="001570EA" w:rsidRDefault="00C71CAA">
            <w:pPr>
              <w:spacing w:before="60" w:after="60"/>
              <w:jc w:val="center"/>
              <w:rPr>
                <w:rFonts w:cs="Arial"/>
                <w:sz w:val="18"/>
                <w:szCs w:val="18"/>
              </w:rPr>
            </w:pPr>
            <w:r w:rsidRPr="001570EA">
              <w:rPr>
                <w:rFonts w:cs="Arial"/>
                <w:color w:val="000000"/>
                <w:sz w:val="18"/>
                <w:szCs w:val="18"/>
              </w:rPr>
              <w:t>165.3</w:t>
            </w:r>
          </w:p>
        </w:tc>
        <w:tc>
          <w:tcPr>
            <w:tcW w:w="685" w:type="pct"/>
            <w:vAlign w:val="center"/>
          </w:tcPr>
          <w:p w14:paraId="4B4DA49C" w14:textId="77777777" w:rsidR="00C71CAA" w:rsidRPr="001570EA" w:rsidRDefault="00C71CAA">
            <w:pPr>
              <w:spacing w:before="60" w:after="60"/>
              <w:jc w:val="center"/>
              <w:rPr>
                <w:rFonts w:cs="Arial"/>
                <w:sz w:val="18"/>
                <w:szCs w:val="18"/>
              </w:rPr>
            </w:pPr>
            <w:r w:rsidRPr="001570EA">
              <w:rPr>
                <w:rFonts w:cs="Arial"/>
                <w:color w:val="000000"/>
                <w:sz w:val="18"/>
                <w:szCs w:val="18"/>
              </w:rPr>
              <w:t>0.0173</w:t>
            </w:r>
          </w:p>
        </w:tc>
        <w:tc>
          <w:tcPr>
            <w:tcW w:w="585" w:type="pct"/>
            <w:vAlign w:val="center"/>
          </w:tcPr>
          <w:p w14:paraId="7CB0D241"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0.0290</w:t>
            </w:r>
          </w:p>
        </w:tc>
      </w:tr>
      <w:tr w:rsidR="00C71CAA" w:rsidRPr="001570EA" w14:paraId="36273A55" w14:textId="77777777">
        <w:trPr>
          <w:trHeight w:val="20"/>
        </w:trPr>
        <w:tc>
          <w:tcPr>
            <w:tcW w:w="676" w:type="pct"/>
            <w:vAlign w:val="center"/>
          </w:tcPr>
          <w:p w14:paraId="719B1742" w14:textId="77777777" w:rsidR="00C71CAA" w:rsidRPr="001570EA" w:rsidRDefault="00C71CAA">
            <w:pPr>
              <w:spacing w:before="60" w:after="60"/>
              <w:rPr>
                <w:rFonts w:cs="Arial"/>
                <w:sz w:val="18"/>
                <w:szCs w:val="18"/>
              </w:rPr>
            </w:pPr>
            <w:r w:rsidRPr="001570EA">
              <w:rPr>
                <w:rFonts w:cs="Arial"/>
                <w:color w:val="000000"/>
                <w:sz w:val="18"/>
                <w:szCs w:val="18"/>
              </w:rPr>
              <w:t>80</w:t>
            </w:r>
          </w:p>
        </w:tc>
        <w:tc>
          <w:tcPr>
            <w:tcW w:w="409" w:type="pct"/>
            <w:vAlign w:val="center"/>
          </w:tcPr>
          <w:p w14:paraId="65D8464C" w14:textId="77777777" w:rsidR="00C71CAA" w:rsidRPr="001570EA" w:rsidRDefault="00C71CAA">
            <w:pPr>
              <w:spacing w:before="60" w:after="60"/>
              <w:jc w:val="center"/>
              <w:rPr>
                <w:rFonts w:cs="Arial"/>
                <w:sz w:val="18"/>
                <w:szCs w:val="18"/>
              </w:rPr>
            </w:pPr>
            <w:r w:rsidRPr="001570EA">
              <w:rPr>
                <w:rFonts w:cs="Arial"/>
                <w:color w:val="000000"/>
                <w:sz w:val="18"/>
                <w:szCs w:val="18"/>
              </w:rPr>
              <w:t>12</w:t>
            </w:r>
          </w:p>
        </w:tc>
        <w:tc>
          <w:tcPr>
            <w:tcW w:w="409" w:type="pct"/>
            <w:vAlign w:val="center"/>
          </w:tcPr>
          <w:p w14:paraId="350DAD3F" w14:textId="77777777" w:rsidR="00C71CAA" w:rsidRPr="001570EA" w:rsidRDefault="00C71CAA">
            <w:pPr>
              <w:spacing w:before="60" w:after="60"/>
              <w:jc w:val="center"/>
              <w:rPr>
                <w:rFonts w:cs="Arial"/>
                <w:sz w:val="18"/>
                <w:szCs w:val="18"/>
              </w:rPr>
            </w:pPr>
            <w:r w:rsidRPr="001570EA">
              <w:rPr>
                <w:rFonts w:cs="Arial"/>
                <w:color w:val="000000"/>
                <w:sz w:val="18"/>
                <w:szCs w:val="18"/>
              </w:rPr>
              <w:t>20</w:t>
            </w:r>
          </w:p>
        </w:tc>
        <w:tc>
          <w:tcPr>
            <w:tcW w:w="587" w:type="pct"/>
            <w:vAlign w:val="center"/>
          </w:tcPr>
          <w:p w14:paraId="68BC2958" w14:textId="77777777" w:rsidR="00C71CAA" w:rsidRPr="001570EA" w:rsidRDefault="00C71CAA">
            <w:pPr>
              <w:spacing w:before="60" w:after="60"/>
              <w:jc w:val="center"/>
              <w:rPr>
                <w:rFonts w:cs="Arial"/>
                <w:sz w:val="18"/>
                <w:szCs w:val="18"/>
              </w:rPr>
            </w:pPr>
            <w:r w:rsidRPr="001570EA">
              <w:rPr>
                <w:rFonts w:cs="Arial"/>
                <w:color w:val="000000"/>
                <w:sz w:val="18"/>
                <w:szCs w:val="18"/>
              </w:rPr>
              <w:t>31.84</w:t>
            </w:r>
          </w:p>
        </w:tc>
        <w:tc>
          <w:tcPr>
            <w:tcW w:w="644" w:type="pct"/>
            <w:vAlign w:val="center"/>
          </w:tcPr>
          <w:p w14:paraId="158AFE8C" w14:textId="77777777" w:rsidR="00C71CAA" w:rsidRPr="001570EA" w:rsidRDefault="00C71CAA">
            <w:pPr>
              <w:spacing w:before="60" w:after="60"/>
              <w:jc w:val="center"/>
              <w:rPr>
                <w:rFonts w:cs="Arial"/>
                <w:sz w:val="18"/>
                <w:szCs w:val="18"/>
              </w:rPr>
            </w:pPr>
            <w:r w:rsidRPr="001570EA">
              <w:rPr>
                <w:rFonts w:cs="Arial"/>
                <w:color w:val="000000"/>
                <w:sz w:val="18"/>
                <w:szCs w:val="18"/>
              </w:rPr>
              <w:t>34.14</w:t>
            </w:r>
          </w:p>
        </w:tc>
        <w:tc>
          <w:tcPr>
            <w:tcW w:w="1005" w:type="pct"/>
            <w:vAlign w:val="center"/>
          </w:tcPr>
          <w:p w14:paraId="1053F1B7" w14:textId="77777777" w:rsidR="00C71CAA" w:rsidRPr="001570EA" w:rsidRDefault="00C71CAA">
            <w:pPr>
              <w:spacing w:before="60" w:after="60"/>
              <w:jc w:val="center"/>
              <w:rPr>
                <w:rFonts w:cs="Arial"/>
                <w:sz w:val="18"/>
                <w:szCs w:val="18"/>
              </w:rPr>
            </w:pPr>
            <w:r w:rsidRPr="001570EA">
              <w:rPr>
                <w:rFonts w:cs="Arial"/>
                <w:color w:val="000000"/>
                <w:sz w:val="18"/>
                <w:szCs w:val="18"/>
              </w:rPr>
              <w:t>121.5</w:t>
            </w:r>
          </w:p>
        </w:tc>
        <w:tc>
          <w:tcPr>
            <w:tcW w:w="685" w:type="pct"/>
            <w:vAlign w:val="center"/>
          </w:tcPr>
          <w:p w14:paraId="7F6CBD70" w14:textId="77777777" w:rsidR="00C71CAA" w:rsidRPr="001570EA" w:rsidRDefault="00C71CAA">
            <w:pPr>
              <w:spacing w:before="60" w:after="60"/>
              <w:jc w:val="center"/>
              <w:rPr>
                <w:rFonts w:cs="Arial"/>
                <w:sz w:val="18"/>
                <w:szCs w:val="18"/>
              </w:rPr>
            </w:pPr>
            <w:r w:rsidRPr="001570EA">
              <w:rPr>
                <w:rFonts w:cs="Arial"/>
                <w:color w:val="000000"/>
                <w:sz w:val="18"/>
                <w:szCs w:val="18"/>
              </w:rPr>
              <w:t>0.0127</w:t>
            </w:r>
          </w:p>
        </w:tc>
        <w:tc>
          <w:tcPr>
            <w:tcW w:w="585" w:type="pct"/>
            <w:vAlign w:val="center"/>
          </w:tcPr>
          <w:p w14:paraId="09AC683A"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0.0213</w:t>
            </w:r>
          </w:p>
        </w:tc>
      </w:tr>
      <w:tr w:rsidR="00C71CAA" w:rsidRPr="001570EA" w14:paraId="5E7F076B" w14:textId="77777777">
        <w:trPr>
          <w:trHeight w:val="20"/>
        </w:trPr>
        <w:tc>
          <w:tcPr>
            <w:tcW w:w="676" w:type="pct"/>
            <w:vAlign w:val="center"/>
          </w:tcPr>
          <w:p w14:paraId="19F5B0BD" w14:textId="77777777" w:rsidR="00C71CAA" w:rsidRPr="001570EA" w:rsidRDefault="00C71CAA">
            <w:pPr>
              <w:spacing w:before="60" w:after="60"/>
              <w:rPr>
                <w:rFonts w:cs="Arial"/>
                <w:sz w:val="18"/>
                <w:szCs w:val="18"/>
              </w:rPr>
            </w:pPr>
            <w:r w:rsidRPr="001570EA">
              <w:rPr>
                <w:rFonts w:cs="Arial"/>
                <w:color w:val="000000"/>
                <w:sz w:val="18"/>
                <w:szCs w:val="18"/>
              </w:rPr>
              <w:t>80</w:t>
            </w:r>
          </w:p>
        </w:tc>
        <w:tc>
          <w:tcPr>
            <w:tcW w:w="409" w:type="pct"/>
            <w:vAlign w:val="center"/>
          </w:tcPr>
          <w:p w14:paraId="0189FEAF" w14:textId="77777777" w:rsidR="00C71CAA" w:rsidRPr="001570EA" w:rsidRDefault="00C71CAA">
            <w:pPr>
              <w:spacing w:before="60" w:after="60"/>
              <w:jc w:val="center"/>
              <w:rPr>
                <w:rFonts w:cs="Arial"/>
                <w:sz w:val="18"/>
                <w:szCs w:val="18"/>
              </w:rPr>
            </w:pPr>
            <w:r w:rsidRPr="001570EA">
              <w:rPr>
                <w:rFonts w:cs="Arial"/>
                <w:color w:val="000000"/>
                <w:sz w:val="18"/>
                <w:szCs w:val="18"/>
              </w:rPr>
              <w:t>8</w:t>
            </w:r>
          </w:p>
        </w:tc>
        <w:tc>
          <w:tcPr>
            <w:tcW w:w="409" w:type="pct"/>
            <w:vAlign w:val="center"/>
          </w:tcPr>
          <w:p w14:paraId="25FC1FA5" w14:textId="77777777" w:rsidR="00C71CAA" w:rsidRPr="001570EA" w:rsidRDefault="00C71CAA">
            <w:pPr>
              <w:spacing w:before="60" w:after="60"/>
              <w:jc w:val="center"/>
              <w:rPr>
                <w:rFonts w:cs="Arial"/>
                <w:sz w:val="18"/>
                <w:szCs w:val="18"/>
              </w:rPr>
            </w:pPr>
            <w:r w:rsidRPr="001570EA">
              <w:rPr>
                <w:rFonts w:cs="Arial"/>
                <w:color w:val="000000"/>
                <w:sz w:val="18"/>
                <w:szCs w:val="18"/>
              </w:rPr>
              <w:t>18</w:t>
            </w:r>
          </w:p>
        </w:tc>
        <w:tc>
          <w:tcPr>
            <w:tcW w:w="587" w:type="pct"/>
            <w:vAlign w:val="center"/>
          </w:tcPr>
          <w:p w14:paraId="5456CCE4" w14:textId="77777777" w:rsidR="00C71CAA" w:rsidRPr="001570EA" w:rsidRDefault="00C71CAA">
            <w:pPr>
              <w:spacing w:before="60" w:after="60"/>
              <w:jc w:val="center"/>
              <w:rPr>
                <w:rFonts w:cs="Arial"/>
                <w:sz w:val="18"/>
                <w:szCs w:val="18"/>
              </w:rPr>
            </w:pPr>
            <w:r w:rsidRPr="001570EA">
              <w:rPr>
                <w:rFonts w:cs="Arial"/>
                <w:color w:val="000000"/>
                <w:sz w:val="18"/>
                <w:szCs w:val="18"/>
              </w:rPr>
              <w:t>31.84</w:t>
            </w:r>
          </w:p>
        </w:tc>
        <w:tc>
          <w:tcPr>
            <w:tcW w:w="644" w:type="pct"/>
            <w:vAlign w:val="center"/>
          </w:tcPr>
          <w:p w14:paraId="20FF24E7" w14:textId="77777777" w:rsidR="00C71CAA" w:rsidRPr="001570EA" w:rsidRDefault="00C71CAA">
            <w:pPr>
              <w:spacing w:before="60" w:after="60"/>
              <w:jc w:val="center"/>
              <w:rPr>
                <w:rFonts w:cs="Arial"/>
                <w:sz w:val="18"/>
                <w:szCs w:val="18"/>
              </w:rPr>
            </w:pPr>
            <w:r w:rsidRPr="001570EA">
              <w:rPr>
                <w:rFonts w:cs="Arial"/>
                <w:color w:val="000000"/>
                <w:sz w:val="18"/>
                <w:szCs w:val="18"/>
              </w:rPr>
              <w:t>34.14</w:t>
            </w:r>
          </w:p>
        </w:tc>
        <w:tc>
          <w:tcPr>
            <w:tcW w:w="1005" w:type="pct"/>
            <w:vAlign w:val="center"/>
          </w:tcPr>
          <w:p w14:paraId="77377A72" w14:textId="77777777" w:rsidR="00C71CAA" w:rsidRPr="001570EA" w:rsidRDefault="00C71CAA">
            <w:pPr>
              <w:spacing w:before="60" w:after="60"/>
              <w:jc w:val="center"/>
              <w:rPr>
                <w:rFonts w:cs="Arial"/>
                <w:sz w:val="18"/>
                <w:szCs w:val="18"/>
              </w:rPr>
            </w:pPr>
            <w:r w:rsidRPr="001570EA">
              <w:rPr>
                <w:rFonts w:cs="Arial"/>
                <w:color w:val="000000"/>
                <w:sz w:val="18"/>
                <w:szCs w:val="18"/>
              </w:rPr>
              <w:t>267.4</w:t>
            </w:r>
          </w:p>
        </w:tc>
        <w:tc>
          <w:tcPr>
            <w:tcW w:w="685" w:type="pct"/>
            <w:vAlign w:val="center"/>
          </w:tcPr>
          <w:p w14:paraId="26616106" w14:textId="77777777" w:rsidR="00C71CAA" w:rsidRPr="001570EA" w:rsidRDefault="00C71CAA">
            <w:pPr>
              <w:spacing w:before="60" w:after="60"/>
              <w:jc w:val="center"/>
              <w:rPr>
                <w:rFonts w:cs="Arial"/>
                <w:sz w:val="18"/>
                <w:szCs w:val="18"/>
              </w:rPr>
            </w:pPr>
            <w:r w:rsidRPr="001570EA">
              <w:rPr>
                <w:rFonts w:cs="Arial"/>
                <w:color w:val="000000"/>
                <w:sz w:val="18"/>
                <w:szCs w:val="18"/>
              </w:rPr>
              <w:t>0.0280</w:t>
            </w:r>
          </w:p>
        </w:tc>
        <w:tc>
          <w:tcPr>
            <w:tcW w:w="585" w:type="pct"/>
            <w:vAlign w:val="center"/>
          </w:tcPr>
          <w:p w14:paraId="00D3F588"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0.0469</w:t>
            </w:r>
          </w:p>
        </w:tc>
      </w:tr>
      <w:tr w:rsidR="00C71CAA" w:rsidRPr="001570EA" w14:paraId="47096582" w14:textId="77777777">
        <w:trPr>
          <w:trHeight w:val="20"/>
        </w:trPr>
        <w:tc>
          <w:tcPr>
            <w:tcW w:w="676" w:type="pct"/>
            <w:vAlign w:val="center"/>
          </w:tcPr>
          <w:p w14:paraId="4A4C89BC" w14:textId="77777777" w:rsidR="00C71CAA" w:rsidRPr="001570EA" w:rsidRDefault="00C71CAA">
            <w:pPr>
              <w:spacing w:before="60" w:after="60"/>
              <w:rPr>
                <w:rFonts w:cs="Arial"/>
                <w:sz w:val="18"/>
                <w:szCs w:val="18"/>
              </w:rPr>
            </w:pPr>
            <w:r w:rsidRPr="001570EA">
              <w:rPr>
                <w:rFonts w:cs="Arial"/>
                <w:color w:val="000000"/>
                <w:sz w:val="18"/>
                <w:szCs w:val="18"/>
              </w:rPr>
              <w:t>80</w:t>
            </w:r>
          </w:p>
        </w:tc>
        <w:tc>
          <w:tcPr>
            <w:tcW w:w="409" w:type="pct"/>
            <w:vAlign w:val="center"/>
          </w:tcPr>
          <w:p w14:paraId="754CCBE2" w14:textId="77777777" w:rsidR="00C71CAA" w:rsidRPr="001570EA" w:rsidRDefault="00C71CAA">
            <w:pPr>
              <w:spacing w:before="60" w:after="60"/>
              <w:jc w:val="center"/>
              <w:rPr>
                <w:rFonts w:cs="Arial"/>
                <w:sz w:val="18"/>
                <w:szCs w:val="18"/>
              </w:rPr>
            </w:pPr>
            <w:r w:rsidRPr="001570EA">
              <w:rPr>
                <w:rFonts w:cs="Arial"/>
                <w:color w:val="000000"/>
                <w:sz w:val="18"/>
                <w:szCs w:val="18"/>
              </w:rPr>
              <w:t>10</w:t>
            </w:r>
          </w:p>
        </w:tc>
        <w:tc>
          <w:tcPr>
            <w:tcW w:w="409" w:type="pct"/>
            <w:vAlign w:val="center"/>
          </w:tcPr>
          <w:p w14:paraId="1E368E19" w14:textId="77777777" w:rsidR="00C71CAA" w:rsidRPr="001570EA" w:rsidRDefault="00C71CAA">
            <w:pPr>
              <w:spacing w:before="60" w:after="60"/>
              <w:jc w:val="center"/>
              <w:rPr>
                <w:rFonts w:cs="Arial"/>
                <w:sz w:val="18"/>
                <w:szCs w:val="18"/>
              </w:rPr>
            </w:pPr>
            <w:r w:rsidRPr="001570EA">
              <w:rPr>
                <w:rFonts w:cs="Arial"/>
                <w:color w:val="000000"/>
                <w:sz w:val="18"/>
                <w:szCs w:val="18"/>
              </w:rPr>
              <w:t>20</w:t>
            </w:r>
          </w:p>
        </w:tc>
        <w:tc>
          <w:tcPr>
            <w:tcW w:w="587" w:type="pct"/>
            <w:vAlign w:val="center"/>
          </w:tcPr>
          <w:p w14:paraId="2DF60543" w14:textId="77777777" w:rsidR="00C71CAA" w:rsidRPr="001570EA" w:rsidRDefault="00C71CAA">
            <w:pPr>
              <w:spacing w:before="60" w:after="60"/>
              <w:jc w:val="center"/>
              <w:rPr>
                <w:rFonts w:cs="Arial"/>
                <w:sz w:val="18"/>
                <w:szCs w:val="18"/>
              </w:rPr>
            </w:pPr>
            <w:r w:rsidRPr="001570EA">
              <w:rPr>
                <w:rFonts w:cs="Arial"/>
                <w:color w:val="000000"/>
                <w:sz w:val="18"/>
                <w:szCs w:val="18"/>
              </w:rPr>
              <w:t>31.84</w:t>
            </w:r>
          </w:p>
        </w:tc>
        <w:tc>
          <w:tcPr>
            <w:tcW w:w="644" w:type="pct"/>
            <w:vAlign w:val="center"/>
          </w:tcPr>
          <w:p w14:paraId="5234AD50" w14:textId="77777777" w:rsidR="00C71CAA" w:rsidRPr="001570EA" w:rsidRDefault="00C71CAA">
            <w:pPr>
              <w:spacing w:before="60" w:after="60"/>
              <w:jc w:val="center"/>
              <w:rPr>
                <w:rFonts w:cs="Arial"/>
                <w:sz w:val="18"/>
                <w:szCs w:val="18"/>
              </w:rPr>
            </w:pPr>
            <w:r w:rsidRPr="001570EA">
              <w:rPr>
                <w:rFonts w:cs="Arial"/>
                <w:color w:val="000000"/>
                <w:sz w:val="18"/>
                <w:szCs w:val="18"/>
              </w:rPr>
              <w:t>34.14</w:t>
            </w:r>
          </w:p>
        </w:tc>
        <w:tc>
          <w:tcPr>
            <w:tcW w:w="1005" w:type="pct"/>
            <w:vAlign w:val="center"/>
          </w:tcPr>
          <w:p w14:paraId="49E9A4F6" w14:textId="77777777" w:rsidR="00C71CAA" w:rsidRPr="001570EA" w:rsidRDefault="00C71CAA">
            <w:pPr>
              <w:spacing w:before="60" w:after="60"/>
              <w:jc w:val="center"/>
              <w:rPr>
                <w:rFonts w:cs="Arial"/>
                <w:sz w:val="18"/>
                <w:szCs w:val="18"/>
              </w:rPr>
            </w:pPr>
            <w:r w:rsidRPr="001570EA">
              <w:rPr>
                <w:rFonts w:cs="Arial"/>
                <w:color w:val="000000"/>
                <w:sz w:val="18"/>
                <w:szCs w:val="18"/>
              </w:rPr>
              <w:t>189.6</w:t>
            </w:r>
          </w:p>
        </w:tc>
        <w:tc>
          <w:tcPr>
            <w:tcW w:w="685" w:type="pct"/>
            <w:vAlign w:val="center"/>
          </w:tcPr>
          <w:p w14:paraId="236A5579" w14:textId="77777777" w:rsidR="00C71CAA" w:rsidRPr="001570EA" w:rsidRDefault="00C71CAA">
            <w:pPr>
              <w:spacing w:before="60" w:after="60"/>
              <w:jc w:val="center"/>
              <w:rPr>
                <w:rFonts w:cs="Arial"/>
                <w:sz w:val="18"/>
                <w:szCs w:val="18"/>
              </w:rPr>
            </w:pPr>
            <w:r w:rsidRPr="001570EA">
              <w:rPr>
                <w:rFonts w:cs="Arial"/>
                <w:color w:val="000000"/>
                <w:sz w:val="18"/>
                <w:szCs w:val="18"/>
              </w:rPr>
              <w:t>0.0198</w:t>
            </w:r>
          </w:p>
        </w:tc>
        <w:tc>
          <w:tcPr>
            <w:tcW w:w="585" w:type="pct"/>
          </w:tcPr>
          <w:p w14:paraId="415DD035"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0.0333</w:t>
            </w:r>
          </w:p>
        </w:tc>
      </w:tr>
      <w:tr w:rsidR="00C71CAA" w:rsidRPr="001570EA" w14:paraId="7828F558" w14:textId="77777777">
        <w:trPr>
          <w:trHeight w:val="20"/>
        </w:trPr>
        <w:tc>
          <w:tcPr>
            <w:tcW w:w="676" w:type="pct"/>
            <w:vAlign w:val="center"/>
          </w:tcPr>
          <w:p w14:paraId="4E88076A" w14:textId="77777777" w:rsidR="00C71CAA" w:rsidRPr="001570EA" w:rsidRDefault="00C71CAA">
            <w:pPr>
              <w:spacing w:before="60" w:after="60"/>
              <w:rPr>
                <w:rFonts w:cs="Arial"/>
                <w:sz w:val="18"/>
                <w:szCs w:val="18"/>
              </w:rPr>
            </w:pPr>
            <w:r w:rsidRPr="001570EA">
              <w:rPr>
                <w:rFonts w:cs="Arial"/>
                <w:color w:val="000000"/>
                <w:sz w:val="18"/>
                <w:szCs w:val="18"/>
              </w:rPr>
              <w:t>80</w:t>
            </w:r>
          </w:p>
        </w:tc>
        <w:tc>
          <w:tcPr>
            <w:tcW w:w="409" w:type="pct"/>
            <w:vAlign w:val="center"/>
          </w:tcPr>
          <w:p w14:paraId="53914985" w14:textId="77777777" w:rsidR="00C71CAA" w:rsidRPr="001570EA" w:rsidRDefault="00C71CAA">
            <w:pPr>
              <w:spacing w:before="60" w:after="60"/>
              <w:jc w:val="center"/>
              <w:rPr>
                <w:rFonts w:cs="Arial"/>
                <w:sz w:val="18"/>
                <w:szCs w:val="18"/>
              </w:rPr>
            </w:pPr>
            <w:r w:rsidRPr="001570EA">
              <w:rPr>
                <w:rFonts w:cs="Arial"/>
                <w:color w:val="000000"/>
                <w:sz w:val="18"/>
                <w:szCs w:val="18"/>
              </w:rPr>
              <w:t>12</w:t>
            </w:r>
          </w:p>
        </w:tc>
        <w:tc>
          <w:tcPr>
            <w:tcW w:w="409" w:type="pct"/>
            <w:vAlign w:val="center"/>
          </w:tcPr>
          <w:p w14:paraId="07BE4F42" w14:textId="77777777" w:rsidR="00C71CAA" w:rsidRPr="001570EA" w:rsidRDefault="00C71CAA">
            <w:pPr>
              <w:spacing w:before="60" w:after="60"/>
              <w:jc w:val="center"/>
              <w:rPr>
                <w:rFonts w:cs="Arial"/>
                <w:sz w:val="18"/>
                <w:szCs w:val="18"/>
              </w:rPr>
            </w:pPr>
            <w:r w:rsidRPr="001570EA">
              <w:rPr>
                <w:rFonts w:cs="Arial"/>
                <w:color w:val="000000"/>
                <w:sz w:val="18"/>
                <w:szCs w:val="18"/>
              </w:rPr>
              <w:t>22</w:t>
            </w:r>
          </w:p>
        </w:tc>
        <w:tc>
          <w:tcPr>
            <w:tcW w:w="587" w:type="pct"/>
            <w:vAlign w:val="center"/>
          </w:tcPr>
          <w:p w14:paraId="2AF34595" w14:textId="77777777" w:rsidR="00C71CAA" w:rsidRPr="001570EA" w:rsidRDefault="00C71CAA">
            <w:pPr>
              <w:spacing w:before="60" w:after="60"/>
              <w:jc w:val="center"/>
              <w:rPr>
                <w:rFonts w:cs="Arial"/>
                <w:sz w:val="18"/>
                <w:szCs w:val="18"/>
              </w:rPr>
            </w:pPr>
            <w:r w:rsidRPr="001570EA">
              <w:rPr>
                <w:rFonts w:cs="Arial"/>
                <w:color w:val="000000"/>
                <w:sz w:val="18"/>
                <w:szCs w:val="18"/>
              </w:rPr>
              <w:t>31.84</w:t>
            </w:r>
          </w:p>
        </w:tc>
        <w:tc>
          <w:tcPr>
            <w:tcW w:w="644" w:type="pct"/>
            <w:vAlign w:val="center"/>
          </w:tcPr>
          <w:p w14:paraId="51C13E38" w14:textId="77777777" w:rsidR="00C71CAA" w:rsidRPr="001570EA" w:rsidRDefault="00C71CAA">
            <w:pPr>
              <w:spacing w:before="60" w:after="60"/>
              <w:jc w:val="center"/>
              <w:rPr>
                <w:rFonts w:cs="Arial"/>
                <w:sz w:val="18"/>
                <w:szCs w:val="18"/>
              </w:rPr>
            </w:pPr>
            <w:r w:rsidRPr="001570EA">
              <w:rPr>
                <w:rFonts w:cs="Arial"/>
                <w:color w:val="000000"/>
                <w:sz w:val="18"/>
                <w:szCs w:val="18"/>
              </w:rPr>
              <w:t>34.14</w:t>
            </w:r>
          </w:p>
        </w:tc>
        <w:tc>
          <w:tcPr>
            <w:tcW w:w="1005" w:type="pct"/>
            <w:vAlign w:val="center"/>
          </w:tcPr>
          <w:p w14:paraId="7D7CC30E" w14:textId="77777777" w:rsidR="00C71CAA" w:rsidRPr="001570EA" w:rsidRDefault="00C71CAA">
            <w:pPr>
              <w:spacing w:before="60" w:after="60"/>
              <w:jc w:val="center"/>
              <w:rPr>
                <w:rFonts w:cs="Arial"/>
                <w:sz w:val="18"/>
                <w:szCs w:val="18"/>
              </w:rPr>
            </w:pPr>
            <w:r w:rsidRPr="001570EA">
              <w:rPr>
                <w:rFonts w:cs="Arial"/>
                <w:color w:val="000000"/>
                <w:sz w:val="18"/>
                <w:szCs w:val="18"/>
              </w:rPr>
              <w:t>141.4</w:t>
            </w:r>
          </w:p>
        </w:tc>
        <w:tc>
          <w:tcPr>
            <w:tcW w:w="685" w:type="pct"/>
            <w:vAlign w:val="center"/>
          </w:tcPr>
          <w:p w14:paraId="3653F2B0" w14:textId="77777777" w:rsidR="00C71CAA" w:rsidRPr="001570EA" w:rsidRDefault="00C71CAA">
            <w:pPr>
              <w:spacing w:before="60" w:after="60"/>
              <w:jc w:val="center"/>
              <w:rPr>
                <w:rFonts w:cs="Arial"/>
                <w:sz w:val="18"/>
                <w:szCs w:val="18"/>
              </w:rPr>
            </w:pPr>
            <w:r w:rsidRPr="001570EA">
              <w:rPr>
                <w:rFonts w:cs="Arial"/>
                <w:color w:val="000000"/>
                <w:sz w:val="18"/>
                <w:szCs w:val="18"/>
              </w:rPr>
              <w:t>0.0148</w:t>
            </w:r>
          </w:p>
        </w:tc>
        <w:tc>
          <w:tcPr>
            <w:tcW w:w="585" w:type="pct"/>
          </w:tcPr>
          <w:p w14:paraId="4D92147E" w14:textId="77777777" w:rsidR="00C71CAA" w:rsidRPr="001570EA" w:rsidRDefault="00C71CAA">
            <w:pPr>
              <w:spacing w:before="60" w:after="60"/>
              <w:jc w:val="center"/>
              <w:rPr>
                <w:rFonts w:cs="Arial"/>
                <w:color w:val="000000"/>
                <w:sz w:val="18"/>
                <w:szCs w:val="18"/>
              </w:rPr>
            </w:pPr>
            <w:r w:rsidRPr="001570EA">
              <w:rPr>
                <w:rFonts w:cs="Arial"/>
                <w:color w:val="000000"/>
                <w:sz w:val="18"/>
                <w:szCs w:val="18"/>
              </w:rPr>
              <w:t>0.0248</w:t>
            </w:r>
          </w:p>
        </w:tc>
      </w:tr>
    </w:tbl>
    <w:p w14:paraId="56592D6C" w14:textId="77777777" w:rsidR="00C71CAA" w:rsidRPr="001570EA" w:rsidRDefault="00C71CAA" w:rsidP="00C71CAA"/>
    <w:p w14:paraId="36307D33" w14:textId="77777777" w:rsidR="00C71CAA" w:rsidRPr="001570EA" w:rsidRDefault="00C71CAA" w:rsidP="00C71CAA">
      <w:r w:rsidRPr="001570EA">
        <w:t xml:space="preserve">Area values were calculated from average dimensions of several commercially available units, with radius values measured to the center of the insulation. Area includes tank sides and top to account for typical wrap coverage. </w:t>
      </w:r>
      <w:r w:rsidRPr="001570EA">
        <w:rPr>
          <w:szCs w:val="18"/>
        </w:rPr>
        <w:t>A</w:t>
      </w:r>
      <w:r w:rsidRPr="001570EA">
        <w:rPr>
          <w:szCs w:val="18"/>
          <w:vertAlign w:val="subscript"/>
        </w:rPr>
        <w:t>insul</w:t>
      </w:r>
      <w:r w:rsidRPr="001570EA">
        <w:rPr>
          <w:szCs w:val="18"/>
        </w:rPr>
        <w:t xml:space="preserve"> was calculated by assuming that the water heater wrap is a 2” thick fiberglass material. </w:t>
      </w:r>
    </w:p>
    <w:p w14:paraId="7D3FD5C1" w14:textId="77777777" w:rsidR="00C71CAA" w:rsidRPr="001570EA" w:rsidRDefault="00C71CAA" w:rsidP="00C71CAA">
      <w:pPr>
        <w:rPr>
          <w:rFonts w:ascii="Arial Black" w:hAnsi="Arial Black"/>
          <w:b/>
          <w:smallCaps/>
          <w:color w:val="44546A" w:themeColor="text2"/>
          <w:spacing w:val="40"/>
        </w:rPr>
      </w:pPr>
    </w:p>
    <w:p w14:paraId="14F85137" w14:textId="77777777" w:rsidR="00C71CAA" w:rsidRPr="001570EA" w:rsidRDefault="00C71CAA" w:rsidP="00C71CAA">
      <w:pPr>
        <w:pStyle w:val="SubStyle"/>
      </w:pPr>
      <w:r w:rsidRPr="001570EA">
        <w:t>Evaluation Protocols</w:t>
      </w:r>
    </w:p>
    <w:p w14:paraId="15506773" w14:textId="77777777" w:rsidR="00C71CAA" w:rsidRPr="001570EA" w:rsidRDefault="00C71CAA" w:rsidP="00C71CAA">
      <w:pPr>
        <w:pStyle w:val="BodyText"/>
        <w:ind w:right="0"/>
        <w:rPr>
          <w:rFonts w:cs="Arial"/>
        </w:rPr>
      </w:pPr>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489D70A8" w14:textId="77777777" w:rsidR="00C71CAA" w:rsidRPr="001570EA" w:rsidRDefault="00C71CAA" w:rsidP="00C71CAA">
      <w:pPr>
        <w:pStyle w:val="SubStyle"/>
      </w:pPr>
    </w:p>
    <w:p w14:paraId="5AF7BA9E" w14:textId="77777777" w:rsidR="00C71CAA" w:rsidRPr="001570EA" w:rsidRDefault="00C71CAA" w:rsidP="00C71CAA">
      <w:pPr>
        <w:pStyle w:val="SubStyle"/>
      </w:pPr>
      <w:r w:rsidRPr="001570EA">
        <w:t>Sources</w:t>
      </w:r>
    </w:p>
    <w:p w14:paraId="6CBF1437" w14:textId="77777777" w:rsidR="00C71CAA" w:rsidRPr="001570EA" w:rsidRDefault="00C71CAA" w:rsidP="002614D2">
      <w:pPr>
        <w:pStyle w:val="source10"/>
        <w:numPr>
          <w:ilvl w:val="0"/>
          <w:numId w:val="19"/>
        </w:numPr>
        <w:spacing w:after="120"/>
        <w:ind w:left="360"/>
      </w:pPr>
      <w:r w:rsidRPr="001570EA">
        <w:t>Conservative estimate of R-12.</w:t>
      </w:r>
    </w:p>
    <w:p w14:paraId="7977737E" w14:textId="77777777" w:rsidR="00C71CAA" w:rsidRPr="001570EA" w:rsidRDefault="00C71CAA" w:rsidP="002614D2">
      <w:pPr>
        <w:pStyle w:val="source10"/>
        <w:numPr>
          <w:ilvl w:val="0"/>
          <w:numId w:val="19"/>
        </w:numPr>
        <w:spacing w:after="120"/>
        <w:ind w:left="360"/>
      </w:pPr>
      <w:r w:rsidRPr="001570EA">
        <w:t>The water heater wrap is assumed to be a fiberglass blanket with R-8, increasing the total to R-20.</w:t>
      </w:r>
    </w:p>
    <w:p w14:paraId="7696B02A" w14:textId="3BB78282" w:rsidR="00C71CAA" w:rsidRPr="001570EA" w:rsidRDefault="00C71CAA" w:rsidP="002614D2">
      <w:pPr>
        <w:pStyle w:val="source10"/>
        <w:numPr>
          <w:ilvl w:val="0"/>
          <w:numId w:val="19"/>
        </w:numPr>
        <w:spacing w:after="120"/>
        <w:ind w:left="360"/>
      </w:pPr>
      <w:r w:rsidRPr="001570EA">
        <w:t xml:space="preserve">AHRI Directory. All electric storage water heaters have a recovery efficiency of 0.98. </w:t>
      </w:r>
      <w:hyperlink r:id="rId152" w:history="1">
        <w:r w:rsidRPr="001570EA">
          <w:rPr>
            <w:rStyle w:val="Hyperlink"/>
            <w:rFonts w:cs="Arial"/>
          </w:rPr>
          <w:t>Weblink</w:t>
        </w:r>
      </w:hyperlink>
    </w:p>
    <w:p w14:paraId="0DF14428" w14:textId="0FC96CFE" w:rsidR="00C71CAA" w:rsidRPr="001570EA" w:rsidRDefault="00C71CAA" w:rsidP="002614D2">
      <w:pPr>
        <w:pStyle w:val="source10"/>
        <w:numPr>
          <w:ilvl w:val="0"/>
          <w:numId w:val="19"/>
        </w:numPr>
        <w:spacing w:after="120"/>
        <w:ind w:left="360"/>
        <w:rPr>
          <w:rStyle w:val="Hyperlink"/>
          <w:rFonts w:cs="Arial"/>
          <w:color w:val="auto"/>
          <w:u w:val="none"/>
        </w:rPr>
      </w:pPr>
      <w:r w:rsidRPr="001570EA">
        <w:t xml:space="preserve">Pennsylvania Act 129 2014 Residential Baseline Study. Section 4.6.1, </w:t>
      </w:r>
      <w:r w:rsidR="000D1C6D">
        <w:t>pa</w:t>
      </w:r>
      <w:r w:rsidRPr="001570EA">
        <w:t>g</w:t>
      </w:r>
      <w:r w:rsidR="000D1C6D">
        <w:t>e</w:t>
      </w:r>
      <w:r w:rsidRPr="001570EA">
        <w:t xml:space="preserve"> 60, Table 4-64. </w:t>
      </w:r>
      <w:hyperlink r:id="rId153" w:history="1">
        <w:r w:rsidRPr="001570EA">
          <w:rPr>
            <w:rStyle w:val="Hyperlink"/>
          </w:rPr>
          <w:t>Weblink</w:t>
        </w:r>
      </w:hyperlink>
    </w:p>
    <w:p w14:paraId="7BD0609C" w14:textId="31B66E36" w:rsidR="00C71CAA" w:rsidRPr="001570EA" w:rsidRDefault="00C71CAA" w:rsidP="002614D2">
      <w:pPr>
        <w:pStyle w:val="source10"/>
        <w:numPr>
          <w:ilvl w:val="0"/>
          <w:numId w:val="19"/>
        </w:numPr>
        <w:spacing w:after="120"/>
        <w:ind w:left="360"/>
      </w:pPr>
      <w:r w:rsidRPr="001570EA">
        <w:t xml:space="preserve">Pennsylvania Act 129 2014 Residential Baseline Study. Section 5.4.4, </w:t>
      </w:r>
      <w:r w:rsidR="0044271C">
        <w:t>pa</w:t>
      </w:r>
      <w:r w:rsidRPr="001570EA">
        <w:t>g</w:t>
      </w:r>
      <w:r w:rsidR="0044271C">
        <w:t>e</w:t>
      </w:r>
      <w:r w:rsidRPr="001570EA">
        <w:t xml:space="preserve"> 104. </w:t>
      </w:r>
      <w:hyperlink r:id="rId154" w:history="1">
        <w:r w:rsidRPr="001570EA">
          <w:rPr>
            <w:rStyle w:val="Hyperlink"/>
          </w:rPr>
          <w:t>Weblink</w:t>
        </w:r>
      </w:hyperlink>
    </w:p>
    <w:p w14:paraId="041735B7" w14:textId="3EAED15A" w:rsidR="00C71CAA" w:rsidRPr="001570EA" w:rsidRDefault="00C71CAA" w:rsidP="002614D2">
      <w:pPr>
        <w:pStyle w:val="source10"/>
        <w:numPr>
          <w:ilvl w:val="0"/>
          <w:numId w:val="19"/>
        </w:numPr>
        <w:spacing w:after="120"/>
        <w:ind w:left="360"/>
        <w:jc w:val="left"/>
      </w:pPr>
      <w:r w:rsidRPr="001570EA">
        <w:rPr>
          <w:color w:val="212121"/>
          <w:shd w:val="clear" w:color="auto" w:fill="FFFFFF"/>
        </w:rPr>
        <w:t xml:space="preserve">California Electronic Technical Reference Manual. “Water Heater Tank Wrap”. Accessed December 2023. </w:t>
      </w:r>
      <w:hyperlink r:id="rId155" w:history="1">
        <w:r w:rsidRPr="001570EA">
          <w:rPr>
            <w:rStyle w:val="Hyperlink"/>
            <w:rFonts w:cs="Arial"/>
            <w:shd w:val="clear" w:color="auto" w:fill="FFFFFF"/>
          </w:rPr>
          <w:t>Weblink</w:t>
        </w:r>
      </w:hyperlink>
      <w:r w:rsidRPr="001570EA">
        <w:rPr>
          <w:color w:val="212121"/>
          <w:shd w:val="clear" w:color="auto" w:fill="FFFFFF"/>
        </w:rPr>
        <w:t xml:space="preserve"> </w:t>
      </w:r>
    </w:p>
    <w:p w14:paraId="09745678" w14:textId="493600E2" w:rsidR="00C71CAA" w:rsidRPr="001570EA" w:rsidRDefault="00C71CAA" w:rsidP="002614D2">
      <w:pPr>
        <w:pStyle w:val="source10"/>
        <w:numPr>
          <w:ilvl w:val="0"/>
          <w:numId w:val="19"/>
        </w:numPr>
        <w:spacing w:after="120"/>
        <w:ind w:left="360"/>
        <w:jc w:val="left"/>
        <w:rPr>
          <w:rStyle w:val="Hyperlink"/>
          <w:rFonts w:cs="Arial"/>
          <w:color w:val="auto"/>
          <w:u w:val="none"/>
        </w:rPr>
      </w:pPr>
      <w:r w:rsidRPr="001570EA">
        <w:t xml:space="preserve">U.S. Department of Energy. (2018). Do-It-Yourself Savings Project: Insulate Water Heater Tank. </w:t>
      </w:r>
      <w:hyperlink r:id="rId156" w:history="1">
        <w:r w:rsidRPr="001570EA">
          <w:rPr>
            <w:rStyle w:val="Hyperlink"/>
            <w:rFonts w:cs="Arial"/>
          </w:rPr>
          <w:t>Weblink</w:t>
        </w:r>
      </w:hyperlink>
    </w:p>
    <w:p w14:paraId="4F25FAC8" w14:textId="44A23FBF" w:rsidR="00C71CAA" w:rsidRPr="001570EA" w:rsidRDefault="00C71CAA" w:rsidP="002614D2">
      <w:pPr>
        <w:pStyle w:val="source10"/>
        <w:numPr>
          <w:ilvl w:val="0"/>
          <w:numId w:val="19"/>
        </w:numPr>
        <w:spacing w:after="120"/>
        <w:ind w:left="360"/>
        <w:jc w:val="left"/>
      </w:pPr>
      <w:r w:rsidRPr="001570EA">
        <w:t xml:space="preserve">Wilson et al. 2021. End-Use Load Profiles for the U.S. Building Stock: Methodology and Results of Model Calibration, Validation, and Uncertainty Quantification. NREL/TP-5500-80889. </w:t>
      </w:r>
      <w:hyperlink r:id="rId157" w:history="1">
        <w:r w:rsidRPr="001570EA">
          <w:rPr>
            <w:rStyle w:val="Hyperlink"/>
            <w:rFonts w:cs="Arial"/>
          </w:rPr>
          <w:t>Weblink</w:t>
        </w:r>
      </w:hyperlink>
    </w:p>
    <w:p w14:paraId="7F12A58A" w14:textId="77777777" w:rsidR="00C71CAA" w:rsidRPr="001570EA" w:rsidRDefault="00C71CAA" w:rsidP="00C71CAA">
      <w:pPr>
        <w:pStyle w:val="source10"/>
        <w:spacing w:after="120"/>
        <w:jc w:val="left"/>
        <w:textAlignment w:val="auto"/>
        <w:rPr>
          <w:rStyle w:val="Hyperlink"/>
          <w:rFonts w:cs="Arial"/>
        </w:rPr>
      </w:pPr>
      <w:bookmarkStart w:id="434" w:name="_Toc364420818"/>
      <w:bookmarkStart w:id="435" w:name="_Toc373320455"/>
      <w:bookmarkStart w:id="436" w:name="_Toc364760933"/>
      <w:bookmarkStart w:id="437" w:name="_Toc530141479"/>
    </w:p>
    <w:p w14:paraId="0965AC00" w14:textId="77777777" w:rsidR="00C71CAA" w:rsidRPr="001570EA" w:rsidRDefault="00C71CAA" w:rsidP="00C71CAA">
      <w:pPr>
        <w:pStyle w:val="source10"/>
        <w:spacing w:after="120"/>
        <w:jc w:val="left"/>
        <w:textAlignment w:val="auto"/>
        <w:rPr>
          <w:rStyle w:val="Hyperlink"/>
          <w:rFonts w:cs="Arial"/>
        </w:rPr>
        <w:sectPr w:rsidR="00C71CAA" w:rsidRPr="001570EA" w:rsidSect="002D556C">
          <w:pgSz w:w="12240" w:h="15840"/>
          <w:pgMar w:top="1440" w:right="1800" w:bottom="1440" w:left="1800" w:header="720" w:footer="501" w:gutter="0"/>
          <w:cols w:space="720"/>
        </w:sectPr>
      </w:pPr>
    </w:p>
    <w:p w14:paraId="1C84420F" w14:textId="77777777" w:rsidR="00C71CAA" w:rsidRPr="001570EA" w:rsidRDefault="00C71CAA" w:rsidP="00462D97">
      <w:pPr>
        <w:pStyle w:val="Heading3"/>
      </w:pPr>
      <w:bookmarkStart w:id="438" w:name="_Toc48143033"/>
      <w:bookmarkStart w:id="439" w:name="_Toc164786652"/>
      <w:r w:rsidRPr="001570EA">
        <w:t>Water Heater Temperature Setback</w:t>
      </w:r>
      <w:bookmarkEnd w:id="434"/>
      <w:bookmarkEnd w:id="435"/>
      <w:bookmarkEnd w:id="436"/>
      <w:bookmarkEnd w:id="437"/>
      <w:bookmarkEnd w:id="438"/>
      <w:bookmarkEnd w:id="439"/>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5040"/>
      </w:tblGrid>
      <w:tr w:rsidR="00C71CAA" w:rsidRPr="001570EA" w14:paraId="35552B45" w14:textId="77777777">
        <w:tc>
          <w:tcPr>
            <w:tcW w:w="3600" w:type="dxa"/>
          </w:tcPr>
          <w:p w14:paraId="18E70CEC" w14:textId="77777777" w:rsidR="00C71CAA" w:rsidRPr="001570EA" w:rsidRDefault="00C71CAA">
            <w:pPr>
              <w:pStyle w:val="TableCell"/>
              <w:spacing w:before="60" w:after="60"/>
              <w:rPr>
                <w:b/>
              </w:rPr>
            </w:pPr>
            <w:r w:rsidRPr="001570EA">
              <w:rPr>
                <w:b/>
              </w:rPr>
              <w:t>Target Sector</w:t>
            </w:r>
          </w:p>
        </w:tc>
        <w:tc>
          <w:tcPr>
            <w:tcW w:w="5040" w:type="dxa"/>
          </w:tcPr>
          <w:p w14:paraId="72E77A8B" w14:textId="77777777" w:rsidR="00C71CAA" w:rsidRPr="001570EA" w:rsidRDefault="00C71CAA">
            <w:pPr>
              <w:pStyle w:val="TableCell"/>
              <w:spacing w:before="60" w:after="60"/>
              <w:jc w:val="center"/>
            </w:pPr>
            <w:r w:rsidRPr="001570EA">
              <w:t>Residential</w:t>
            </w:r>
          </w:p>
        </w:tc>
      </w:tr>
      <w:tr w:rsidR="00C71CAA" w:rsidRPr="001570EA" w14:paraId="79CAF176" w14:textId="77777777">
        <w:tc>
          <w:tcPr>
            <w:tcW w:w="3600" w:type="dxa"/>
          </w:tcPr>
          <w:p w14:paraId="1F69CAD0" w14:textId="77777777" w:rsidR="00C71CAA" w:rsidRPr="001570EA" w:rsidRDefault="00C71CAA">
            <w:pPr>
              <w:pStyle w:val="TableCell"/>
              <w:spacing w:before="60" w:after="60"/>
              <w:rPr>
                <w:b/>
              </w:rPr>
            </w:pPr>
            <w:r w:rsidRPr="001570EA">
              <w:rPr>
                <w:b/>
              </w:rPr>
              <w:t>Measure Unit</w:t>
            </w:r>
          </w:p>
        </w:tc>
        <w:tc>
          <w:tcPr>
            <w:tcW w:w="5040" w:type="dxa"/>
          </w:tcPr>
          <w:p w14:paraId="389651BF" w14:textId="77777777" w:rsidR="00C71CAA" w:rsidRPr="001570EA" w:rsidRDefault="00C71CAA">
            <w:pPr>
              <w:pStyle w:val="TableCell"/>
              <w:spacing w:before="60" w:after="60"/>
              <w:jc w:val="center"/>
            </w:pPr>
            <w:r w:rsidRPr="001570EA">
              <w:t>Water Heater Temperature</w:t>
            </w:r>
          </w:p>
        </w:tc>
      </w:tr>
      <w:tr w:rsidR="00C71CAA" w:rsidRPr="001570EA" w14:paraId="2386093A" w14:textId="77777777">
        <w:tc>
          <w:tcPr>
            <w:tcW w:w="3600" w:type="dxa"/>
          </w:tcPr>
          <w:p w14:paraId="799E3D57" w14:textId="77777777" w:rsidR="00C71CAA" w:rsidRPr="001570EA" w:rsidRDefault="00C71CAA">
            <w:pPr>
              <w:pStyle w:val="TableCell"/>
              <w:spacing w:before="60" w:after="60"/>
              <w:rPr>
                <w:b/>
              </w:rPr>
            </w:pPr>
            <w:r w:rsidRPr="001570EA">
              <w:rPr>
                <w:b/>
              </w:rPr>
              <w:t>Measure Life</w:t>
            </w:r>
          </w:p>
        </w:tc>
        <w:tc>
          <w:tcPr>
            <w:tcW w:w="5040" w:type="dxa"/>
          </w:tcPr>
          <w:p w14:paraId="46A42E03" w14:textId="77777777" w:rsidR="00C71CAA" w:rsidRPr="001570EA" w:rsidRDefault="00C71CAA">
            <w:pPr>
              <w:pStyle w:val="TableCell"/>
              <w:spacing w:before="60" w:after="60"/>
              <w:jc w:val="center"/>
              <w:rPr>
                <w:vertAlign w:val="superscript"/>
              </w:rPr>
            </w:pPr>
            <w:r w:rsidRPr="001570EA">
              <w:t>2 years</w:t>
            </w:r>
            <w:r w:rsidRPr="001570EA">
              <w:rPr>
                <w:vertAlign w:val="superscript"/>
              </w:rPr>
              <w:t>Source 9</w:t>
            </w:r>
          </w:p>
        </w:tc>
      </w:tr>
      <w:tr w:rsidR="00C71CAA" w:rsidRPr="001570EA" w14:paraId="61498B47" w14:textId="77777777">
        <w:tc>
          <w:tcPr>
            <w:tcW w:w="3600" w:type="dxa"/>
          </w:tcPr>
          <w:p w14:paraId="681CAB44" w14:textId="77777777" w:rsidR="00C71CAA" w:rsidRPr="001570EA" w:rsidRDefault="00C71CAA">
            <w:pPr>
              <w:pStyle w:val="TableCell"/>
              <w:spacing w:before="60" w:after="60"/>
              <w:rPr>
                <w:b/>
              </w:rPr>
            </w:pPr>
            <w:r w:rsidRPr="001570EA">
              <w:rPr>
                <w:b/>
              </w:rPr>
              <w:t>Vintage</w:t>
            </w:r>
          </w:p>
        </w:tc>
        <w:tc>
          <w:tcPr>
            <w:tcW w:w="5040" w:type="dxa"/>
          </w:tcPr>
          <w:p w14:paraId="2EE34E8F" w14:textId="77777777" w:rsidR="00C71CAA" w:rsidRPr="001570EA" w:rsidRDefault="00C71CAA">
            <w:pPr>
              <w:pStyle w:val="TableCell"/>
              <w:spacing w:before="60" w:after="60"/>
              <w:jc w:val="center"/>
            </w:pPr>
            <w:r w:rsidRPr="001570EA">
              <w:t>Retrofit</w:t>
            </w:r>
          </w:p>
        </w:tc>
      </w:tr>
    </w:tbl>
    <w:p w14:paraId="5D711FFF" w14:textId="77777777" w:rsidR="00C71CAA" w:rsidRPr="001570EA" w:rsidRDefault="00C71CAA" w:rsidP="00C71CAA">
      <w:pPr>
        <w:pStyle w:val="BodyText"/>
      </w:pPr>
    </w:p>
    <w:p w14:paraId="57E5677B" w14:textId="77777777" w:rsidR="00C71CAA" w:rsidRPr="001570EA" w:rsidRDefault="00C71CAA" w:rsidP="00C71CAA">
      <w:pPr>
        <w:pStyle w:val="BodyText"/>
        <w:ind w:right="0"/>
      </w:pPr>
      <w:r w:rsidRPr="001570EA">
        <w:t>In homes where the water heater setpoint temperature is set high, savings can be achieved by lowering the setpoint temperature. The recommended lower setpoint is 120</w:t>
      </w:r>
      <w:r w:rsidRPr="001570EA">
        <w:rPr>
          <w:rFonts w:cs="Arial"/>
        </w:rPr>
        <w:t>˚</w:t>
      </w:r>
      <w:r w:rsidRPr="001570EA">
        <w:t>F, but EDCs may substitute another if needed. Savings occur only when the lower temperature of the hot water does not require the use of more hot water. Savings do not occur in applications such as a shower or faucet where the user adjusts the hot water flow to make up for the lower temperature. Clothes washer hot water use and water heater tank losses are included in the savings calculation, but shower, faucet, and dishwasher use are not included due to expected behavioral and automatic (dishwasher) adjustments in response to lower water temperature. It is expected that the net energy use for the dish washer hot water will remain the same after a temperature reduction because dishwashers will adjust hot water temperature to necessary levels using internal heating elements.</w:t>
      </w:r>
    </w:p>
    <w:p w14:paraId="16BFBE77" w14:textId="77777777" w:rsidR="00C71CAA" w:rsidRPr="001570EA" w:rsidRDefault="00C71CAA" w:rsidP="00FF5F27">
      <w:pPr>
        <w:pStyle w:val="BodyText"/>
        <w:ind w:right="0"/>
      </w:pPr>
    </w:p>
    <w:p w14:paraId="54FA9A78" w14:textId="77777777" w:rsidR="00C71CAA" w:rsidRPr="001570EA" w:rsidRDefault="00C71CAA" w:rsidP="00C71CAA">
      <w:pPr>
        <w:pStyle w:val="SubStyle"/>
      </w:pPr>
      <w:r w:rsidRPr="001570EA">
        <w:t>Eligibility</w:t>
      </w:r>
    </w:p>
    <w:p w14:paraId="2D04D320" w14:textId="77777777" w:rsidR="00C71CAA" w:rsidRPr="001570EA" w:rsidRDefault="00C71CAA" w:rsidP="00C71CAA">
      <w:pPr>
        <w:pStyle w:val="BodyText"/>
        <w:ind w:right="0"/>
      </w:pPr>
      <w:r w:rsidRPr="001570EA">
        <w:t>This protocol documents the energy savings attributed to reducing the electric or heat pump water heater temperature setpoint. The primary target sector is single-family residences.</w:t>
      </w:r>
    </w:p>
    <w:p w14:paraId="2D242AD3" w14:textId="77777777" w:rsidR="00C71CAA" w:rsidRPr="001570EA" w:rsidRDefault="00C71CAA" w:rsidP="00FF5F27">
      <w:pPr>
        <w:pStyle w:val="BodyText"/>
        <w:ind w:right="0"/>
      </w:pPr>
    </w:p>
    <w:p w14:paraId="5F8B9CF8" w14:textId="77777777" w:rsidR="00C71CAA" w:rsidRPr="001570EA" w:rsidRDefault="00C71CAA" w:rsidP="00C71CAA">
      <w:pPr>
        <w:pStyle w:val="SubStyle"/>
      </w:pPr>
      <w:r w:rsidRPr="001570EA">
        <w:t>Algorithms</w:t>
      </w:r>
    </w:p>
    <w:p w14:paraId="0A11B867" w14:textId="77777777" w:rsidR="00C71CAA" w:rsidRPr="001570EA" w:rsidRDefault="00C71CAA" w:rsidP="00C71CAA">
      <w:pPr>
        <w:pStyle w:val="NoSpacing"/>
        <w:rPr>
          <w:rStyle w:val="NoSpacingChar"/>
        </w:rPr>
      </w:pPr>
      <w:r w:rsidRPr="001570EA">
        <w:t xml:space="preserve">The annual energy savings calculation utilizes average performance data for available residential water heaters and typical water usage for residential homes. The energy savings are obtained through the following formula, where the first term in the parentheses corresponds to tank loss savings and the </w:t>
      </w:r>
      <w:r w:rsidRPr="001570EA">
        <w:rPr>
          <w:rStyle w:val="NoSpacingChar"/>
        </w:rPr>
        <w:t>second to clothes washer savings:</w:t>
      </w:r>
    </w:p>
    <w:p w14:paraId="64DC06E1" w14:textId="77777777" w:rsidR="00C71CAA" w:rsidRPr="001570EA" w:rsidRDefault="00C71CAA" w:rsidP="00C71CAA">
      <w:pPr>
        <w:pStyle w:val="BodyText"/>
        <w:tabs>
          <w:tab w:val="left" w:pos="2160"/>
        </w:tabs>
      </w:pPr>
      <m:oMathPara>
        <m:oMathParaPr>
          <m:jc m:val="left"/>
        </m:oMathParaPr>
        <m:oMath>
          <m:r>
            <w:rPr>
              <w:rFonts w:ascii="Cambria Math" w:hAnsi="Cambria Math"/>
            </w:rPr>
            <m:t>∆kWh                        =</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hot 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hot f</m:t>
                      </m:r>
                    </m:sub>
                  </m:sSub>
                </m:e>
              </m:d>
            </m:num>
            <m:den>
              <m:r>
                <w:rPr>
                  <w:rFonts w:ascii="Cambria Math" w:hAnsi="Cambria Math"/>
                </w:rPr>
                <m:t>3412</m:t>
              </m:r>
            </m:den>
          </m:f>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tank</m:t>
                      </m:r>
                    </m:sub>
                  </m:sSub>
                  <m:r>
                    <w:rPr>
                      <w:rFonts w:ascii="Cambria Math" w:hAnsi="Cambria Math"/>
                    </w:rPr>
                    <m:t>×8760</m:t>
                  </m:r>
                </m:num>
                <m:den>
                  <m:sSub>
                    <m:sSubPr>
                      <m:ctrlPr>
                        <w:rPr>
                          <w:rFonts w:ascii="Cambria Math" w:hAnsi="Cambria Math"/>
                          <w:i/>
                        </w:rPr>
                      </m:ctrlPr>
                    </m:sSubPr>
                    <m:e>
                      <m:r>
                        <w:rPr>
                          <w:rFonts w:ascii="Cambria Math" w:hAnsi="Cambria Math"/>
                        </w:rPr>
                        <m:t>R</m:t>
                      </m:r>
                    </m:e>
                    <m:sub>
                      <m:r>
                        <w:rPr>
                          <w:rFonts w:ascii="Cambria Math" w:hAnsi="Cambria Math"/>
                        </w:rPr>
                        <m:t>tank</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elec</m:t>
                      </m:r>
                    </m:sub>
                  </m:sSub>
                </m:den>
              </m:f>
              <m:r>
                <w:rPr>
                  <w:rFonts w:ascii="Cambria Math" w:hAnsi="Cambria Math"/>
                </w:rPr>
                <m:t xml:space="preserve"> +</m:t>
              </m:r>
              <m:f>
                <m:fPr>
                  <m:ctrlPr>
                    <w:rPr>
                      <w:rFonts w:ascii="Cambria Math" w:hAnsi="Cambria Math"/>
                      <w:i/>
                    </w:rPr>
                  </m:ctrlPr>
                </m:fPr>
                <m:num>
                  <m:sSub>
                    <m:sSubPr>
                      <m:ctrlPr>
                        <w:rPr>
                          <w:rFonts w:ascii="Cambria Math" w:hAnsi="Cambria Math" w:cs="Arial"/>
                          <w:i/>
                        </w:rPr>
                      </m:ctrlPr>
                    </m:sSubPr>
                    <m:e>
                      <m:r>
                        <w:rPr>
                          <w:rFonts w:ascii="Cambria Math" w:hAnsi="Cambria Math" w:cs="Arial"/>
                        </w:rPr>
                        <m:t>Cycles</m:t>
                      </m:r>
                    </m:e>
                    <m:sub>
                      <m:r>
                        <w:rPr>
                          <w:rFonts w:ascii="Cambria Math" w:hAnsi="Cambria Math" w:cs="Arial"/>
                        </w:rPr>
                        <m:t>wash</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HW</m:t>
                      </m:r>
                    </m:sub>
                  </m:sSub>
                  <m:r>
                    <w:rPr>
                      <w:rFonts w:ascii="Cambria Math" w:hAnsi="Cambria Math"/>
                    </w:rPr>
                    <m:t>×</m:t>
                  </m:r>
                  <m:r>
                    <m:rPr>
                      <m:sty m:val="p"/>
                    </m:rPr>
                    <w:rPr>
                      <w:rFonts w:ascii="Cambria Math" w:hAnsi="Cambria Math" w:cs="Arial"/>
                    </w:rPr>
                    <m:t>8.3</m:t>
                  </m:r>
                </m:num>
                <m:den>
                  <m:r>
                    <w:rPr>
                      <w:rFonts w:ascii="Cambria Math" w:hAnsi="Cambria Math"/>
                    </w:rPr>
                    <m:t>U</m:t>
                  </m:r>
                  <m:sSub>
                    <m:sSubPr>
                      <m:ctrlPr>
                        <w:rPr>
                          <w:rFonts w:ascii="Cambria Math" w:hAnsi="Cambria Math"/>
                          <w:i/>
                        </w:rPr>
                      </m:ctrlPr>
                    </m:sSubPr>
                    <m:e>
                      <m:r>
                        <w:rPr>
                          <w:rFonts w:ascii="Cambria Math" w:hAnsi="Cambria Math"/>
                        </w:rPr>
                        <m:t>EF</m:t>
                      </m:r>
                    </m:e>
                    <m:sub>
                      <m:r>
                        <w:rPr>
                          <w:rFonts w:ascii="Cambria Math" w:hAnsi="Cambria Math"/>
                        </w:rPr>
                        <m:t>WH</m:t>
                      </m:r>
                    </m:sub>
                  </m:sSub>
                </m:den>
              </m:f>
            </m:e>
          </m:d>
        </m:oMath>
      </m:oMathPara>
    </w:p>
    <w:p w14:paraId="6800E02B" w14:textId="77777777" w:rsidR="00C71CAA" w:rsidRPr="001570EA" w:rsidRDefault="00C71CAA" w:rsidP="00C71CAA">
      <w:pPr>
        <w:pStyle w:val="BodyText"/>
        <w:spacing w:after="120"/>
      </w:pPr>
    </w:p>
    <w:p w14:paraId="04A4CA2F" w14:textId="77777777" w:rsidR="00C71CAA" w:rsidRPr="001570EA" w:rsidRDefault="00C71CAA" w:rsidP="00C71CAA">
      <w:pPr>
        <w:pStyle w:val="BodyText"/>
        <w:ind w:right="0"/>
      </w:pPr>
    </w:p>
    <w:p w14:paraId="40ED2A84" w14:textId="77777777" w:rsidR="00C71CAA" w:rsidRPr="001570EA" w:rsidRDefault="003B5E04" w:rsidP="00C71CAA">
      <w:pPr>
        <w:pStyle w:val="Equation"/>
        <w:tabs>
          <w:tab w:val="clear" w:pos="2880"/>
          <w:tab w:val="left" w:pos="2160"/>
        </w:tabs>
        <w:rPr>
          <w:rFonts w:cs="Arial"/>
        </w:rPr>
      </w:pPr>
      <m:oMath>
        <m:sSub>
          <m:sSubPr>
            <m:ctrlPr>
              <w:rPr>
                <w:rFonts w:ascii="Cambria Math" w:eastAsia="Symbol" w:hAnsi="Cambria Math" w:cs="Symbol"/>
                <w:szCs w:val="20"/>
              </w:rPr>
            </m:ctrlPr>
          </m:sSubPr>
          <m:e>
            <m:r>
              <w:rPr>
                <w:rFonts w:ascii="Cambria Math" w:eastAsia="Symbol" w:hAnsi="Cambria Math" w:cs="Symbol"/>
                <w:szCs w:val="20"/>
              </w:rPr>
              <m:t>∆kW</m:t>
            </m:r>
          </m:e>
          <m:sub>
            <m:r>
              <w:rPr>
                <w:rFonts w:ascii="Cambria Math" w:eastAsia="Symbol" w:hAnsi="Cambria Math" w:cs="Symbol"/>
                <w:szCs w:val="20"/>
              </w:rPr>
              <m:t>summer peak</m:t>
            </m:r>
          </m:sub>
        </m:sSub>
      </m:oMath>
      <w:r w:rsidR="00C71CAA" w:rsidRPr="001570EA">
        <w:tab/>
      </w:r>
      <w:r w:rsidR="00C71CAA" w:rsidRPr="001570EA">
        <w:rPr>
          <w:rFonts w:cs="Arial"/>
          <w:szCs w:val="20"/>
        </w:rPr>
        <w:tab/>
        <w:t xml:space="preserve">= </w:t>
      </w:r>
      <m:oMath>
        <m:sSub>
          <m:sSubPr>
            <m:ctrlPr>
              <w:rPr>
                <w:rFonts w:ascii="Cambria Math" w:hAnsi="Cambria Math" w:cs="Arial"/>
                <w:szCs w:val="20"/>
              </w:rPr>
            </m:ctrlPr>
          </m:sSubPr>
          <m:e>
            <m:r>
              <w:rPr>
                <w:rFonts w:ascii="Cambria Math" w:hAnsi="Cambria Math" w:cs="Arial"/>
                <w:szCs w:val="20"/>
              </w:rPr>
              <m:t>ETDF</m:t>
            </m:r>
          </m:e>
          <m:sub>
            <m:r>
              <w:rPr>
                <w:rFonts w:ascii="Cambria Math" w:hAnsi="Cambria Math" w:cs="Arial"/>
                <w:szCs w:val="20"/>
              </w:rPr>
              <m:t>S</m:t>
            </m:r>
          </m:sub>
        </m:sSub>
        <m:r>
          <w:rPr>
            <w:rFonts w:ascii="Cambria Math" w:hAnsi="Cambria Math" w:cs="Arial"/>
            <w:szCs w:val="20"/>
          </w:rPr>
          <m:t>×</m:t>
        </m:r>
        <m:r>
          <w:rPr>
            <w:rFonts w:ascii="Cambria Math" w:hAnsi="Cambria Math"/>
          </w:rPr>
          <m:t>∆kWh</m:t>
        </m:r>
      </m:oMath>
    </w:p>
    <w:p w14:paraId="6584E1B1" w14:textId="77777777" w:rsidR="00C71CAA" w:rsidRPr="001570EA" w:rsidRDefault="00C71CAA" w:rsidP="00C71CAA">
      <w:pPr>
        <w:pStyle w:val="Equation"/>
        <w:tabs>
          <w:tab w:val="clear" w:pos="2880"/>
          <w:tab w:val="left" w:pos="2160"/>
        </w:tabs>
        <w:rPr>
          <w:rFonts w:cs="Arial"/>
          <w:szCs w:val="20"/>
        </w:rPr>
      </w:pPr>
    </w:p>
    <w:p w14:paraId="35D3380A" w14:textId="77777777" w:rsidR="00C71CAA" w:rsidRPr="001570EA" w:rsidRDefault="003B5E04" w:rsidP="00C71CAA">
      <w:pPr>
        <w:pStyle w:val="Equation"/>
        <w:tabs>
          <w:tab w:val="clear" w:pos="2880"/>
          <w:tab w:val="left" w:pos="2160"/>
        </w:tabs>
        <w:rPr>
          <w:rFonts w:cs="Arial"/>
          <w:szCs w:val="20"/>
        </w:rPr>
      </w:pPr>
      <m:oMath>
        <m:sSub>
          <m:sSubPr>
            <m:ctrlPr>
              <w:rPr>
                <w:rFonts w:ascii="Cambria Math" w:hAnsi="Cambria Math"/>
              </w:rPr>
            </m:ctrlPr>
          </m:sSubPr>
          <m:e>
            <m:r>
              <w:rPr>
                <w:rFonts w:ascii="Cambria Math" w:hAnsi="Cambria Math"/>
              </w:rPr>
              <m:t>∆kW</m:t>
            </m:r>
          </m:e>
          <m:sub>
            <m:r>
              <w:rPr>
                <w:rFonts w:ascii="Cambria Math" w:hAnsi="Cambria Math"/>
              </w:rPr>
              <m:t>winter peak</m:t>
            </m:r>
          </m:sub>
        </m:sSub>
      </m:oMath>
      <w:r w:rsidR="00C71CAA" w:rsidRPr="001570EA">
        <w:tab/>
      </w:r>
      <w:r w:rsidR="00C71CAA" w:rsidRPr="001570EA">
        <w:rPr>
          <w:rFonts w:cs="Arial"/>
          <w:szCs w:val="20"/>
        </w:rPr>
        <w:tab/>
        <w:t xml:space="preserve">= </w:t>
      </w:r>
      <m:oMath>
        <m:sSub>
          <m:sSubPr>
            <m:ctrlPr>
              <w:rPr>
                <w:rFonts w:ascii="Cambria Math" w:hAnsi="Cambria Math" w:cs="Arial"/>
                <w:szCs w:val="20"/>
              </w:rPr>
            </m:ctrlPr>
          </m:sSubPr>
          <m:e>
            <m:r>
              <w:rPr>
                <w:rFonts w:ascii="Cambria Math" w:hAnsi="Cambria Math" w:cs="Arial"/>
                <w:szCs w:val="20"/>
              </w:rPr>
              <m:t>ETDF</m:t>
            </m:r>
          </m:e>
          <m:sub>
            <m:r>
              <w:rPr>
                <w:rFonts w:ascii="Cambria Math" w:hAnsi="Cambria Math" w:cs="Arial"/>
                <w:szCs w:val="20"/>
              </w:rPr>
              <m:t>W</m:t>
            </m:r>
          </m:sub>
        </m:sSub>
        <m:r>
          <w:rPr>
            <w:rFonts w:ascii="Cambria Math" w:hAnsi="Cambria Math" w:cs="Arial"/>
            <w:szCs w:val="20"/>
          </w:rPr>
          <m:t>×</m:t>
        </m:r>
        <m:r>
          <w:rPr>
            <w:rFonts w:ascii="Cambria Math" w:hAnsi="Cambria Math"/>
          </w:rPr>
          <m:t>∆kWh</m:t>
        </m:r>
      </m:oMath>
    </w:p>
    <w:p w14:paraId="0319B153" w14:textId="77777777" w:rsidR="00C71CAA" w:rsidRPr="001570EA" w:rsidRDefault="00C71CAA" w:rsidP="00C71CAA">
      <w:pPr>
        <w:pStyle w:val="Equation"/>
        <w:tabs>
          <w:tab w:val="clear" w:pos="2880"/>
          <w:tab w:val="left" w:pos="2160"/>
        </w:tabs>
        <w:rPr>
          <w:rFonts w:cs="Arial"/>
          <w:szCs w:val="20"/>
        </w:rPr>
      </w:pPr>
    </w:p>
    <w:p w14:paraId="6476B18D" w14:textId="77777777" w:rsidR="00C71CAA" w:rsidRPr="001570EA" w:rsidRDefault="00C71CAA" w:rsidP="00C71CAA">
      <w:pPr>
        <w:pStyle w:val="SubStyle"/>
        <w:keepNext/>
        <w:keepLines/>
      </w:pPr>
      <w:r w:rsidRPr="001570EA">
        <w:t>Definition of Terms</w:t>
      </w:r>
    </w:p>
    <w:p w14:paraId="38864F11" w14:textId="1CC46CFA" w:rsidR="00C71CAA" w:rsidRPr="001570EA" w:rsidRDefault="00C71CAA" w:rsidP="00C71CAA">
      <w:pPr>
        <w:pStyle w:val="Caption"/>
      </w:pPr>
      <w:bookmarkStart w:id="440" w:name="_Ref373318876"/>
      <w:bookmarkStart w:id="441" w:name="_Ref364424292"/>
      <w:bookmarkStart w:id="442" w:name="_Toc342912715"/>
      <w:bookmarkStart w:id="443" w:name="_Toc364420960"/>
      <w:bookmarkStart w:id="444" w:name="_Ref364424289"/>
      <w:bookmarkStart w:id="445" w:name="_Toc364760730"/>
      <w:bookmarkStart w:id="446" w:name="_Toc377465548"/>
      <w:bookmarkStart w:id="447" w:name="_Toc530141725"/>
      <w:bookmarkStart w:id="448" w:name="_Ref373318871"/>
      <w:bookmarkStart w:id="449" w:name="_Toc373320252"/>
      <w:bookmarkStart w:id="450" w:name="_Toc4759830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67</w:t>
      </w:r>
      <w:r w:rsidR="002E093A" w:rsidRPr="001570EA">
        <w:fldChar w:fldCharType="end"/>
      </w:r>
      <w:bookmarkEnd w:id="440"/>
      <w:bookmarkEnd w:id="441"/>
      <w:r w:rsidRPr="001570EA">
        <w:t>: Terms</w:t>
      </w:r>
      <w:r w:rsidRPr="001570EA">
        <w:rPr>
          <w:rFonts w:cs="Arial"/>
        </w:rPr>
        <w:t>, Values, and References for</w:t>
      </w:r>
      <w:r w:rsidRPr="001570EA">
        <w:t xml:space="preserve"> Water Heater Temperature Setback</w:t>
      </w:r>
      <w:bookmarkEnd w:id="442"/>
      <w:bookmarkEnd w:id="443"/>
      <w:bookmarkEnd w:id="444"/>
      <w:bookmarkEnd w:id="445"/>
      <w:bookmarkEnd w:id="446"/>
      <w:bookmarkEnd w:id="447"/>
      <w:bookmarkEnd w:id="448"/>
      <w:bookmarkEnd w:id="449"/>
      <w:bookmarkEnd w:id="450"/>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1219"/>
        <w:gridCol w:w="2293"/>
        <w:gridCol w:w="1477"/>
      </w:tblGrid>
      <w:tr w:rsidR="00C71CAA" w:rsidRPr="001570EA" w14:paraId="4E224741" w14:textId="77777777">
        <w:tc>
          <w:tcPr>
            <w:tcW w:w="2074" w:type="pct"/>
            <w:shd w:val="clear" w:color="auto" w:fill="BFBFBF"/>
          </w:tcPr>
          <w:p w14:paraId="1394236F" w14:textId="77777777" w:rsidR="00C71CAA" w:rsidRPr="001570EA" w:rsidRDefault="00C71CAA">
            <w:pPr>
              <w:pStyle w:val="TableCell"/>
              <w:spacing w:before="60" w:after="60"/>
              <w:jc w:val="left"/>
              <w:rPr>
                <w:rFonts w:cs="Arial"/>
                <w:b/>
              </w:rPr>
            </w:pPr>
            <w:r w:rsidRPr="001570EA">
              <w:rPr>
                <w:rFonts w:cs="Arial"/>
                <w:b/>
              </w:rPr>
              <w:t>Term</w:t>
            </w:r>
          </w:p>
        </w:tc>
        <w:tc>
          <w:tcPr>
            <w:tcW w:w="715" w:type="pct"/>
            <w:shd w:val="clear" w:color="auto" w:fill="BFBFBF"/>
          </w:tcPr>
          <w:p w14:paraId="35200E26" w14:textId="77777777" w:rsidR="00C71CAA" w:rsidRPr="001570EA" w:rsidRDefault="00C71CAA">
            <w:pPr>
              <w:pStyle w:val="TableCell"/>
              <w:spacing w:before="60" w:after="60"/>
              <w:jc w:val="center"/>
              <w:rPr>
                <w:rFonts w:cs="Arial"/>
                <w:b/>
              </w:rPr>
            </w:pPr>
            <w:r w:rsidRPr="001570EA">
              <w:rPr>
                <w:rFonts w:cs="Arial"/>
                <w:b/>
              </w:rPr>
              <w:t>Unit</w:t>
            </w:r>
          </w:p>
        </w:tc>
        <w:tc>
          <w:tcPr>
            <w:tcW w:w="1345" w:type="pct"/>
            <w:shd w:val="clear" w:color="auto" w:fill="BFBFBF"/>
          </w:tcPr>
          <w:p w14:paraId="29CBA3D1" w14:textId="77777777" w:rsidR="00C71CAA" w:rsidRPr="001570EA" w:rsidRDefault="00C71CAA">
            <w:pPr>
              <w:pStyle w:val="TableCell"/>
              <w:spacing w:before="60" w:after="60"/>
              <w:jc w:val="center"/>
              <w:rPr>
                <w:rFonts w:cs="Arial"/>
                <w:b/>
              </w:rPr>
            </w:pPr>
            <w:r w:rsidRPr="001570EA">
              <w:rPr>
                <w:rFonts w:cs="Arial"/>
                <w:b/>
              </w:rPr>
              <w:t>Values</w:t>
            </w:r>
          </w:p>
        </w:tc>
        <w:tc>
          <w:tcPr>
            <w:tcW w:w="866" w:type="pct"/>
            <w:shd w:val="clear" w:color="auto" w:fill="BFBFBF"/>
          </w:tcPr>
          <w:p w14:paraId="045864DE" w14:textId="77777777" w:rsidR="00C71CAA" w:rsidRPr="001570EA" w:rsidRDefault="00C71CAA">
            <w:pPr>
              <w:pStyle w:val="TableCell"/>
              <w:spacing w:before="60" w:after="60"/>
              <w:jc w:val="center"/>
              <w:rPr>
                <w:rFonts w:cs="Arial"/>
                <w:b/>
              </w:rPr>
            </w:pPr>
            <w:r w:rsidRPr="001570EA">
              <w:rPr>
                <w:rFonts w:cs="Arial"/>
                <w:b/>
              </w:rPr>
              <w:t>Source</w:t>
            </w:r>
          </w:p>
        </w:tc>
      </w:tr>
      <w:tr w:rsidR="00C71CAA" w:rsidRPr="001570EA" w14:paraId="65A81738" w14:textId="77777777">
        <w:tc>
          <w:tcPr>
            <w:tcW w:w="2074" w:type="pct"/>
            <w:shd w:val="clear" w:color="auto" w:fill="auto"/>
            <w:vAlign w:val="center"/>
          </w:tcPr>
          <w:p w14:paraId="141461B5" w14:textId="53A24B53" w:rsidR="00C71CAA" w:rsidRPr="001570EA" w:rsidRDefault="00C71CAA">
            <w:pPr>
              <w:pStyle w:val="TableCell"/>
              <w:spacing w:before="60" w:after="60"/>
            </w:pPr>
            <w:r w:rsidRPr="001570EA">
              <w:rPr>
                <w:rFonts w:ascii="Cambria Math" w:hAnsi="Cambria Math" w:cs="Arial"/>
                <w:i/>
              </w:rPr>
              <w:t>T</w:t>
            </w:r>
            <w:r w:rsidRPr="001570EA">
              <w:rPr>
                <w:rFonts w:ascii="Cambria Math" w:hAnsi="Cambria Math" w:cs="Arial"/>
                <w:i/>
                <w:vertAlign w:val="subscript"/>
              </w:rPr>
              <w:t>hot_i</w:t>
            </w:r>
            <w:r w:rsidRPr="001570EA">
              <w:rPr>
                <w:rFonts w:cs="Arial"/>
              </w:rPr>
              <w:t>, Temperature setpoint of water heater initially</w:t>
            </w:r>
          </w:p>
        </w:tc>
        <w:tc>
          <w:tcPr>
            <w:tcW w:w="715" w:type="pct"/>
            <w:shd w:val="clear" w:color="auto" w:fill="auto"/>
            <w:vAlign w:val="center"/>
          </w:tcPr>
          <w:p w14:paraId="6CF50F1A" w14:textId="77777777" w:rsidR="00C71CAA" w:rsidRPr="001570EA" w:rsidRDefault="00C71CAA">
            <w:pPr>
              <w:pStyle w:val="TableCell"/>
              <w:spacing w:before="60" w:after="60"/>
              <w:jc w:val="center"/>
              <w:rPr>
                <w:rFonts w:cs="Arial"/>
                <w:i/>
              </w:rPr>
            </w:pPr>
            <w:r w:rsidRPr="001570EA">
              <w:rPr>
                <w:rFonts w:cs="Arial"/>
                <w:i/>
              </w:rPr>
              <w:t>°F</w:t>
            </w:r>
          </w:p>
        </w:tc>
        <w:tc>
          <w:tcPr>
            <w:tcW w:w="1345" w:type="pct"/>
            <w:shd w:val="clear" w:color="auto" w:fill="auto"/>
          </w:tcPr>
          <w:p w14:paraId="10515B0C" w14:textId="77777777" w:rsidR="00C71CAA" w:rsidRPr="001570EA" w:rsidRDefault="00C71CAA">
            <w:pPr>
              <w:pStyle w:val="TableCell"/>
              <w:jc w:val="center"/>
            </w:pPr>
            <w:r w:rsidRPr="001570EA">
              <w:t>EDC Data Gathering</w:t>
            </w:r>
          </w:p>
          <w:p w14:paraId="1C1EA5EA" w14:textId="77777777" w:rsidR="00C71CAA" w:rsidRPr="001570EA" w:rsidRDefault="00C71CAA">
            <w:pPr>
              <w:pStyle w:val="TableCell"/>
              <w:spacing w:before="60" w:after="60"/>
              <w:jc w:val="center"/>
              <w:rPr>
                <w:rFonts w:cs="Arial"/>
              </w:rPr>
            </w:pPr>
            <w:r w:rsidRPr="001570EA">
              <w:rPr>
                <w:rFonts w:cs="Arial"/>
              </w:rPr>
              <w:t>Default: 130</w:t>
            </w:r>
          </w:p>
        </w:tc>
        <w:tc>
          <w:tcPr>
            <w:tcW w:w="866" w:type="pct"/>
            <w:shd w:val="clear" w:color="auto" w:fill="auto"/>
            <w:vAlign w:val="center"/>
          </w:tcPr>
          <w:p w14:paraId="5ECFD195" w14:textId="77777777" w:rsidR="00C71CAA" w:rsidRPr="001570EA" w:rsidRDefault="00C71CAA">
            <w:pPr>
              <w:pStyle w:val="TableCell"/>
              <w:spacing w:before="60" w:after="60"/>
              <w:jc w:val="center"/>
            </w:pPr>
            <w:r w:rsidRPr="001570EA">
              <w:rPr>
                <w:rFonts w:cs="Arial"/>
              </w:rPr>
              <w:t>5</w:t>
            </w:r>
          </w:p>
        </w:tc>
      </w:tr>
      <w:tr w:rsidR="00C71CAA" w:rsidRPr="001570EA" w14:paraId="4B3DF2F2" w14:textId="77777777">
        <w:tc>
          <w:tcPr>
            <w:tcW w:w="2074" w:type="pct"/>
            <w:shd w:val="clear" w:color="auto" w:fill="auto"/>
            <w:vAlign w:val="center"/>
          </w:tcPr>
          <w:p w14:paraId="7C8FB43A" w14:textId="1430A2FF" w:rsidR="00C71CAA" w:rsidRPr="001570EA" w:rsidRDefault="00C71CAA">
            <w:pPr>
              <w:pStyle w:val="TableCell"/>
              <w:spacing w:before="60" w:after="60"/>
            </w:pPr>
            <w:r w:rsidRPr="001570EA">
              <w:rPr>
                <w:rFonts w:ascii="Cambria Math" w:hAnsi="Cambria Math" w:cs="Arial"/>
                <w:i/>
              </w:rPr>
              <w:t>T</w:t>
            </w:r>
            <w:r w:rsidRPr="001570EA">
              <w:rPr>
                <w:rFonts w:ascii="Cambria Math" w:hAnsi="Cambria Math" w:cs="Arial"/>
                <w:i/>
                <w:vertAlign w:val="subscript"/>
              </w:rPr>
              <w:t>hot_f</w:t>
            </w:r>
            <w:r w:rsidRPr="001570EA">
              <w:rPr>
                <w:rFonts w:cs="Arial"/>
              </w:rPr>
              <w:t>, Temperature setpoint of water heater after setback</w:t>
            </w:r>
          </w:p>
        </w:tc>
        <w:tc>
          <w:tcPr>
            <w:tcW w:w="715" w:type="pct"/>
            <w:shd w:val="clear" w:color="auto" w:fill="auto"/>
            <w:vAlign w:val="center"/>
          </w:tcPr>
          <w:p w14:paraId="30022310" w14:textId="77777777" w:rsidR="00C71CAA" w:rsidRPr="001570EA" w:rsidRDefault="00C71CAA">
            <w:pPr>
              <w:pStyle w:val="TableCell"/>
              <w:spacing w:before="60" w:after="60"/>
              <w:jc w:val="center"/>
              <w:rPr>
                <w:rFonts w:cs="Arial"/>
                <w:i/>
              </w:rPr>
            </w:pPr>
            <w:r w:rsidRPr="001570EA">
              <w:rPr>
                <w:rFonts w:cs="Arial"/>
                <w:i/>
              </w:rPr>
              <w:t>°F</w:t>
            </w:r>
          </w:p>
        </w:tc>
        <w:tc>
          <w:tcPr>
            <w:tcW w:w="1345" w:type="pct"/>
            <w:shd w:val="clear" w:color="auto" w:fill="auto"/>
          </w:tcPr>
          <w:p w14:paraId="5D07D861" w14:textId="77777777" w:rsidR="00C71CAA" w:rsidRPr="001570EA" w:rsidRDefault="00C71CAA">
            <w:pPr>
              <w:pStyle w:val="TableCell"/>
              <w:spacing w:before="60" w:after="60"/>
              <w:jc w:val="center"/>
              <w:rPr>
                <w:rFonts w:cs="Arial"/>
              </w:rPr>
            </w:pPr>
            <w:r w:rsidRPr="001570EA">
              <w:rPr>
                <w:rFonts w:cs="Arial"/>
              </w:rPr>
              <w:t>EDC data collection</w:t>
            </w:r>
          </w:p>
          <w:p w14:paraId="1104EA97" w14:textId="77777777" w:rsidR="00C71CAA" w:rsidRPr="001570EA" w:rsidRDefault="00C71CAA">
            <w:pPr>
              <w:pStyle w:val="TableCell"/>
              <w:spacing w:before="60" w:after="60"/>
              <w:jc w:val="center"/>
              <w:rPr>
                <w:rFonts w:cs="Arial"/>
              </w:rPr>
            </w:pPr>
            <w:r w:rsidRPr="001570EA">
              <w:rPr>
                <w:rFonts w:cs="Arial"/>
              </w:rPr>
              <w:t>Default: 119</w:t>
            </w:r>
          </w:p>
        </w:tc>
        <w:tc>
          <w:tcPr>
            <w:tcW w:w="866" w:type="pct"/>
            <w:shd w:val="clear" w:color="auto" w:fill="auto"/>
            <w:vAlign w:val="center"/>
          </w:tcPr>
          <w:p w14:paraId="04A8652C" w14:textId="77777777" w:rsidR="00C71CAA" w:rsidRPr="001570EA" w:rsidRDefault="00C71CAA">
            <w:pPr>
              <w:pStyle w:val="TableCell"/>
              <w:spacing w:before="60" w:after="60"/>
              <w:jc w:val="center"/>
            </w:pPr>
            <w:r w:rsidRPr="001570EA">
              <w:t>10</w:t>
            </w:r>
          </w:p>
        </w:tc>
      </w:tr>
      <w:tr w:rsidR="00C71CAA" w:rsidRPr="001570EA" w14:paraId="04033C28" w14:textId="77777777">
        <w:tc>
          <w:tcPr>
            <w:tcW w:w="2074" w:type="pct"/>
            <w:shd w:val="clear" w:color="auto" w:fill="auto"/>
            <w:vAlign w:val="center"/>
          </w:tcPr>
          <w:p w14:paraId="229DFCF7" w14:textId="28E9BD12" w:rsidR="00C71CAA" w:rsidRPr="001570EA" w:rsidRDefault="003B5E04">
            <w:pPr>
              <w:pStyle w:val="TableCell"/>
              <w:spacing w:before="60" w:after="60"/>
            </w:pPr>
            <m:oMath>
              <m:sSub>
                <m:sSubPr>
                  <m:ctrlPr>
                    <w:rPr>
                      <w:rFonts w:ascii="Cambria Math" w:hAnsi="Cambria Math"/>
                      <w:i/>
                      <w:sz w:val="20"/>
                    </w:rPr>
                  </m:ctrlPr>
                </m:sSubPr>
                <m:e>
                  <m:r>
                    <w:rPr>
                      <w:rFonts w:ascii="Cambria Math" w:hAnsi="Cambria Math"/>
                    </w:rPr>
                    <m:t>A</m:t>
                  </m:r>
                </m:e>
                <m:sub>
                  <m:r>
                    <w:rPr>
                      <w:rFonts w:ascii="Cambria Math" w:hAnsi="Cambria Math"/>
                    </w:rPr>
                    <m:t>tank</m:t>
                  </m:r>
                </m:sub>
              </m:sSub>
            </m:oMath>
            <w:r w:rsidR="00C71CAA" w:rsidRPr="001570EA">
              <w:rPr>
                <w:rFonts w:cs="Arial"/>
                <w:sz w:val="20"/>
              </w:rPr>
              <w:t xml:space="preserve">, </w:t>
            </w:r>
            <w:r w:rsidR="00C71CAA" w:rsidRPr="001570EA">
              <w:rPr>
                <w:rFonts w:cs="Arial"/>
                <w:szCs w:val="18"/>
              </w:rPr>
              <w:t>Surface Area of water heater tank</w:t>
            </w:r>
          </w:p>
        </w:tc>
        <w:tc>
          <w:tcPr>
            <w:tcW w:w="715" w:type="pct"/>
            <w:shd w:val="clear" w:color="auto" w:fill="auto"/>
            <w:vAlign w:val="center"/>
          </w:tcPr>
          <w:p w14:paraId="21FE5B69" w14:textId="77777777" w:rsidR="00C71CAA" w:rsidRPr="001570EA" w:rsidRDefault="003B5E04">
            <w:pPr>
              <w:pStyle w:val="TableCell"/>
              <w:spacing w:before="60" w:after="60"/>
              <w:jc w:val="center"/>
              <w:rPr>
                <w:rFonts w:cs="Arial"/>
                <w:i/>
              </w:rPr>
            </w:pPr>
            <m:oMathPara>
              <m:oMath>
                <m:sSup>
                  <m:sSupPr>
                    <m:ctrlPr>
                      <w:rPr>
                        <w:rFonts w:ascii="Cambria Math" w:hAnsi="Cambria Math" w:cs="Arial"/>
                        <w:i/>
                      </w:rPr>
                    </m:ctrlPr>
                  </m:sSupPr>
                  <m:e>
                    <m:r>
                      <w:rPr>
                        <w:rFonts w:ascii="Cambria Math" w:hAnsi="Cambria Math" w:cs="Arial"/>
                      </w:rPr>
                      <m:t>ft</m:t>
                    </m:r>
                  </m:e>
                  <m:sup>
                    <m:r>
                      <w:rPr>
                        <w:rFonts w:ascii="Cambria Math" w:hAnsi="Cambria Math" w:cs="Arial"/>
                      </w:rPr>
                      <m:t>2</m:t>
                    </m:r>
                  </m:sup>
                </m:sSup>
              </m:oMath>
            </m:oMathPara>
          </w:p>
        </w:tc>
        <w:tc>
          <w:tcPr>
            <w:tcW w:w="1345" w:type="pct"/>
            <w:shd w:val="clear" w:color="auto" w:fill="auto"/>
          </w:tcPr>
          <w:p w14:paraId="36059028" w14:textId="77777777" w:rsidR="00C71CAA" w:rsidRPr="001570EA" w:rsidRDefault="00C71CAA">
            <w:pPr>
              <w:pStyle w:val="TableCell"/>
              <w:jc w:val="center"/>
            </w:pPr>
            <w:r w:rsidRPr="001570EA">
              <w:t>EDC Data Gathering</w:t>
            </w:r>
          </w:p>
          <w:p w14:paraId="0E780D2D" w14:textId="77777777" w:rsidR="00C71CAA" w:rsidRPr="001570EA" w:rsidRDefault="00C71CAA">
            <w:pPr>
              <w:pStyle w:val="TableCell"/>
              <w:spacing w:before="60" w:after="60"/>
              <w:jc w:val="center"/>
              <w:rPr>
                <w:rFonts w:cs="Arial"/>
              </w:rPr>
            </w:pPr>
            <w:r w:rsidRPr="001570EA">
              <w:rPr>
                <w:rFonts w:cs="Arial"/>
              </w:rPr>
              <w:t>Default: 24.99</w:t>
            </w:r>
          </w:p>
        </w:tc>
        <w:tc>
          <w:tcPr>
            <w:tcW w:w="866" w:type="pct"/>
            <w:shd w:val="clear" w:color="auto" w:fill="auto"/>
            <w:vAlign w:val="center"/>
          </w:tcPr>
          <w:p w14:paraId="2E9E2521" w14:textId="13BD879D" w:rsidR="00C71CAA" w:rsidRPr="001570EA" w:rsidRDefault="00C71CAA">
            <w:pPr>
              <w:pStyle w:val="TableCell"/>
              <w:spacing w:before="60" w:after="60"/>
              <w:jc w:val="center"/>
            </w:pPr>
            <w:r w:rsidRPr="001570EA">
              <w:t xml:space="preserve">50 gal. value in </w:t>
            </w:r>
            <w:r w:rsidRPr="001570EA">
              <w:fldChar w:fldCharType="begin"/>
            </w:r>
            <w:r w:rsidRPr="001570EA">
              <w:instrText xml:space="preserve"> REF _Ref278967935 \h  \* MERGEFORMAT </w:instrText>
            </w:r>
            <w:r w:rsidRPr="001570EA">
              <w:fldChar w:fldCharType="separate"/>
            </w:r>
            <w:r w:rsidR="00234C6C" w:rsidRPr="001570EA">
              <w:t xml:space="preserve">Table </w:t>
            </w:r>
            <w:r w:rsidR="00234C6C" w:rsidRPr="001570EA">
              <w:rPr>
                <w:noProof/>
              </w:rPr>
              <w:t>2</w:t>
            </w:r>
            <w:r w:rsidRPr="001570EA">
              <w:fldChar w:fldCharType="end"/>
            </w:r>
          </w:p>
        </w:tc>
      </w:tr>
      <w:tr w:rsidR="00C71CAA" w:rsidRPr="001570EA" w14:paraId="67F9778E" w14:textId="77777777">
        <w:tc>
          <w:tcPr>
            <w:tcW w:w="2074" w:type="pct"/>
            <w:shd w:val="clear" w:color="auto" w:fill="auto"/>
            <w:vAlign w:val="center"/>
          </w:tcPr>
          <w:p w14:paraId="0B2783DB" w14:textId="2A072A5E" w:rsidR="00C71CAA" w:rsidRPr="001570EA" w:rsidRDefault="003B5E04">
            <w:pPr>
              <w:pStyle w:val="TableCell"/>
              <w:spacing w:before="60" w:after="60"/>
            </w:pPr>
            <m:oMath>
              <m:sSub>
                <m:sSubPr>
                  <m:ctrlPr>
                    <w:rPr>
                      <w:rFonts w:ascii="Cambria Math" w:hAnsi="Cambria Math"/>
                      <w:i/>
                      <w:sz w:val="20"/>
                    </w:rPr>
                  </m:ctrlPr>
                </m:sSubPr>
                <m:e>
                  <m:r>
                    <w:rPr>
                      <w:rFonts w:ascii="Cambria Math" w:hAnsi="Cambria Math"/>
                    </w:rPr>
                    <m:t>R</m:t>
                  </m:r>
                </m:e>
                <m:sub>
                  <m:r>
                    <w:rPr>
                      <w:rFonts w:ascii="Cambria Math" w:hAnsi="Cambria Math"/>
                    </w:rPr>
                    <m:t>tank</m:t>
                  </m:r>
                </m:sub>
              </m:sSub>
            </m:oMath>
            <w:r w:rsidR="00C71CAA" w:rsidRPr="001570EA">
              <w:rPr>
                <w:rFonts w:cs="Arial"/>
                <w:sz w:val="20"/>
              </w:rPr>
              <w:t xml:space="preserve">, </w:t>
            </w:r>
            <w:r w:rsidR="00C71CAA" w:rsidRPr="001570EA">
              <w:rPr>
                <w:rFonts w:cs="Arial"/>
                <w:szCs w:val="18"/>
              </w:rPr>
              <w:t>R value of</w:t>
            </w:r>
            <w:r w:rsidR="00C71CAA" w:rsidRPr="001570EA">
              <w:rPr>
                <w:szCs w:val="18"/>
              </w:rPr>
              <w:t xml:space="preserve"> water heater </w:t>
            </w:r>
            <w:r w:rsidR="00C71CAA" w:rsidRPr="001570EA">
              <w:rPr>
                <w:rFonts w:cs="Arial"/>
                <w:szCs w:val="18"/>
              </w:rPr>
              <w:t>tank</w:t>
            </w:r>
          </w:p>
        </w:tc>
        <w:tc>
          <w:tcPr>
            <w:tcW w:w="715" w:type="pct"/>
            <w:shd w:val="clear" w:color="auto" w:fill="auto"/>
            <w:vAlign w:val="center"/>
          </w:tcPr>
          <w:p w14:paraId="05FA1A51" w14:textId="77777777" w:rsidR="00C71CAA" w:rsidRPr="001570EA" w:rsidRDefault="003B5E04">
            <w:pPr>
              <w:pStyle w:val="TableCell"/>
              <w:spacing w:before="60" w:after="60"/>
              <w:jc w:val="center"/>
              <w:rPr>
                <w:rFonts w:cs="Arial"/>
                <w:i/>
              </w:rPr>
            </w:pPr>
            <m:oMathPara>
              <m:oMath>
                <m:f>
                  <m:fPr>
                    <m:ctrlPr>
                      <w:rPr>
                        <w:rFonts w:ascii="Cambria Math" w:hAnsi="Cambria Math" w:cs="Arial"/>
                        <w:i/>
                        <w:szCs w:val="18"/>
                      </w:rPr>
                    </m:ctrlPr>
                  </m:fPr>
                  <m:num>
                    <m:r>
                      <w:rPr>
                        <w:rFonts w:ascii="Cambria Math" w:hAnsi="Cambria Math" w:cs="Arial"/>
                        <w:szCs w:val="18"/>
                      </w:rPr>
                      <m:t>hr∙℉∙</m:t>
                    </m:r>
                    <m:sSup>
                      <m:sSupPr>
                        <m:ctrlPr>
                          <w:rPr>
                            <w:rFonts w:ascii="Cambria Math" w:hAnsi="Cambria Math" w:cs="Arial"/>
                            <w:i/>
                            <w:szCs w:val="18"/>
                          </w:rPr>
                        </m:ctrlPr>
                      </m:sSupPr>
                      <m:e>
                        <m:r>
                          <w:rPr>
                            <w:rFonts w:ascii="Cambria Math" w:hAnsi="Cambria Math" w:cs="Arial"/>
                            <w:szCs w:val="18"/>
                          </w:rPr>
                          <m:t>ft</m:t>
                        </m:r>
                      </m:e>
                      <m:sup>
                        <m:r>
                          <w:rPr>
                            <w:rFonts w:ascii="Cambria Math" w:hAnsi="Cambria Math" w:cs="Arial"/>
                            <w:szCs w:val="18"/>
                          </w:rPr>
                          <m:t>2</m:t>
                        </m:r>
                      </m:sup>
                    </m:sSup>
                  </m:num>
                  <m:den>
                    <m:r>
                      <w:rPr>
                        <w:rFonts w:ascii="Cambria Math" w:hAnsi="Cambria Math" w:cs="Arial"/>
                        <w:szCs w:val="18"/>
                      </w:rPr>
                      <m:t>BTU</m:t>
                    </m:r>
                  </m:den>
                </m:f>
              </m:oMath>
            </m:oMathPara>
          </w:p>
        </w:tc>
        <w:tc>
          <w:tcPr>
            <w:tcW w:w="1345" w:type="pct"/>
            <w:shd w:val="clear" w:color="auto" w:fill="auto"/>
          </w:tcPr>
          <w:p w14:paraId="66D039EA" w14:textId="77777777" w:rsidR="00C71CAA" w:rsidRPr="001570EA" w:rsidRDefault="00C71CAA">
            <w:pPr>
              <w:pStyle w:val="TableCell"/>
              <w:jc w:val="center"/>
            </w:pPr>
            <w:r w:rsidRPr="001570EA">
              <w:t>EDC Data Gathering</w:t>
            </w:r>
          </w:p>
          <w:p w14:paraId="5D4AB174" w14:textId="77777777" w:rsidR="00C71CAA" w:rsidRPr="001570EA" w:rsidRDefault="00C71CAA">
            <w:pPr>
              <w:pStyle w:val="TableCell"/>
              <w:spacing w:before="60" w:after="60"/>
              <w:jc w:val="center"/>
              <w:rPr>
                <w:rFonts w:cs="Arial"/>
              </w:rPr>
            </w:pPr>
            <w:r w:rsidRPr="001570EA">
              <w:rPr>
                <w:rFonts w:cs="Arial"/>
              </w:rPr>
              <w:t>Default: 12</w:t>
            </w:r>
          </w:p>
        </w:tc>
        <w:tc>
          <w:tcPr>
            <w:tcW w:w="866" w:type="pct"/>
            <w:shd w:val="clear" w:color="auto" w:fill="auto"/>
            <w:vAlign w:val="center"/>
          </w:tcPr>
          <w:p w14:paraId="15869B1D" w14:textId="77777777" w:rsidR="00C71CAA" w:rsidRPr="001570EA" w:rsidRDefault="00C71CAA">
            <w:pPr>
              <w:pStyle w:val="TableCell"/>
              <w:spacing w:before="60" w:after="60"/>
              <w:jc w:val="center"/>
            </w:pPr>
            <w:r w:rsidRPr="001570EA">
              <w:t>8</w:t>
            </w:r>
          </w:p>
        </w:tc>
      </w:tr>
      <w:tr w:rsidR="00C71CAA" w:rsidRPr="001570EA" w14:paraId="47905663" w14:textId="77777777">
        <w:tc>
          <w:tcPr>
            <w:tcW w:w="2074" w:type="pct"/>
            <w:shd w:val="clear" w:color="auto" w:fill="auto"/>
            <w:vAlign w:val="center"/>
          </w:tcPr>
          <w:p w14:paraId="686C827D" w14:textId="6FF10EEB" w:rsidR="00C71CAA" w:rsidRPr="001570EA" w:rsidRDefault="003B5E04">
            <w:pPr>
              <w:pStyle w:val="TableCell"/>
              <w:spacing w:before="60" w:after="60"/>
            </w:pPr>
            <m:oMath>
              <m:sSub>
                <m:sSubPr>
                  <m:ctrlPr>
                    <w:rPr>
                      <w:rFonts w:ascii="Cambria Math" w:hAnsi="Cambria Math"/>
                      <w:i/>
                      <w:sz w:val="20"/>
                    </w:rPr>
                  </m:ctrlPr>
                </m:sSubPr>
                <m:e>
                  <m:r>
                    <w:rPr>
                      <w:rFonts w:ascii="Cambria Math" w:hAnsi="Cambria Math"/>
                    </w:rPr>
                    <m:t>η</m:t>
                  </m:r>
                </m:e>
                <m:sub>
                  <m:r>
                    <w:rPr>
                      <w:rFonts w:ascii="Cambria Math" w:hAnsi="Cambria Math"/>
                    </w:rPr>
                    <m:t>elec</m:t>
                  </m:r>
                </m:sub>
              </m:sSub>
            </m:oMath>
            <w:r w:rsidR="00C71CAA" w:rsidRPr="001570EA">
              <w:rPr>
                <w:rFonts w:cs="Arial"/>
                <w:sz w:val="20"/>
              </w:rPr>
              <w:t xml:space="preserve">, </w:t>
            </w:r>
            <w:r w:rsidR="00C71CAA" w:rsidRPr="001570EA">
              <w:rPr>
                <w:rFonts w:cs="Arial"/>
                <w:szCs w:val="18"/>
              </w:rPr>
              <w:t>Thermal efficiency of electric heater element (equiv. to COP for HPWH)</w:t>
            </w:r>
          </w:p>
        </w:tc>
        <w:tc>
          <w:tcPr>
            <w:tcW w:w="715" w:type="pct"/>
            <w:shd w:val="clear" w:color="auto" w:fill="auto"/>
            <w:vAlign w:val="center"/>
          </w:tcPr>
          <w:p w14:paraId="25D6D193" w14:textId="77777777" w:rsidR="00C71CAA" w:rsidRPr="001570EA" w:rsidRDefault="00C71CAA">
            <w:pPr>
              <w:pStyle w:val="TableCell"/>
              <w:spacing w:before="60" w:after="60"/>
              <w:jc w:val="center"/>
              <w:rPr>
                <w:rFonts w:cs="Arial"/>
                <w:i/>
              </w:rPr>
            </w:pPr>
            <w:r w:rsidRPr="001570EA">
              <w:rPr>
                <w:rFonts w:cs="Arial"/>
                <w:i/>
              </w:rPr>
              <w:t>Proportion</w:t>
            </w:r>
          </w:p>
        </w:tc>
        <w:tc>
          <w:tcPr>
            <w:tcW w:w="1345" w:type="pct"/>
            <w:shd w:val="clear" w:color="auto" w:fill="auto"/>
          </w:tcPr>
          <w:p w14:paraId="3D32B7EA" w14:textId="77777777" w:rsidR="00C71CAA" w:rsidRPr="001570EA" w:rsidRDefault="00C71CAA">
            <w:pPr>
              <w:pStyle w:val="TableCell"/>
              <w:spacing w:before="60" w:after="60"/>
              <w:jc w:val="center"/>
              <w:rPr>
                <w:rFonts w:cs="Arial"/>
              </w:rPr>
            </w:pPr>
            <w:r w:rsidRPr="001570EA">
              <w:rPr>
                <w:rFonts w:cs="Arial"/>
              </w:rPr>
              <w:t>Electric Storage: 0.98</w:t>
            </w:r>
          </w:p>
          <w:p w14:paraId="5DC658BC" w14:textId="77777777" w:rsidR="00C71CAA" w:rsidRPr="001570EA" w:rsidRDefault="00C71CAA">
            <w:pPr>
              <w:pStyle w:val="TableCell"/>
              <w:spacing w:before="60" w:after="60"/>
              <w:jc w:val="center"/>
              <w:rPr>
                <w:rFonts w:cs="Arial"/>
              </w:rPr>
            </w:pPr>
            <w:r w:rsidRPr="001570EA">
              <w:rPr>
                <w:rFonts w:cs="Arial"/>
              </w:rPr>
              <w:t>HPWH: 3.11</w:t>
            </w:r>
          </w:p>
        </w:tc>
        <w:tc>
          <w:tcPr>
            <w:tcW w:w="866" w:type="pct"/>
            <w:shd w:val="clear" w:color="auto" w:fill="auto"/>
            <w:vAlign w:val="center"/>
          </w:tcPr>
          <w:p w14:paraId="1D46FE23" w14:textId="77777777" w:rsidR="00C71CAA" w:rsidRPr="001570EA" w:rsidRDefault="00C71CAA">
            <w:pPr>
              <w:pStyle w:val="TableCell"/>
              <w:spacing w:before="60" w:after="60"/>
              <w:jc w:val="center"/>
            </w:pPr>
            <w:r w:rsidRPr="001570EA">
              <w:t>1, 2</w:t>
            </w:r>
          </w:p>
        </w:tc>
      </w:tr>
      <w:tr w:rsidR="00C71CAA" w:rsidRPr="001570EA" w14:paraId="589570A3" w14:textId="77777777">
        <w:tc>
          <w:tcPr>
            <w:tcW w:w="2074" w:type="pct"/>
            <w:shd w:val="clear" w:color="auto" w:fill="auto"/>
            <w:vAlign w:val="center"/>
          </w:tcPr>
          <w:p w14:paraId="074EED5C" w14:textId="0DD6451C" w:rsidR="00C71CAA" w:rsidRPr="001570EA" w:rsidRDefault="00C71CAA">
            <w:pPr>
              <w:pStyle w:val="TableCell"/>
              <w:spacing w:before="60" w:after="60"/>
            </w:pPr>
            <w:r w:rsidRPr="001570EA">
              <w:rPr>
                <w:rFonts w:ascii="Cambria Math" w:hAnsi="Cambria Math" w:cs="Arial"/>
                <w:i/>
                <w:szCs w:val="18"/>
              </w:rPr>
              <w:t>Cycles</w:t>
            </w:r>
            <w:r w:rsidRPr="001570EA">
              <w:rPr>
                <w:rFonts w:ascii="Cambria Math" w:hAnsi="Cambria Math" w:cs="Arial"/>
                <w:i/>
                <w:szCs w:val="18"/>
                <w:vertAlign w:val="subscript"/>
              </w:rPr>
              <w:t>wash</w:t>
            </w:r>
            <w:r w:rsidRPr="001570EA">
              <w:rPr>
                <w:rFonts w:cs="Arial"/>
                <w:szCs w:val="18"/>
              </w:rPr>
              <w:t xml:space="preserve">, </w:t>
            </w:r>
            <w:r w:rsidRPr="001570EA">
              <w:rPr>
                <w:szCs w:val="18"/>
              </w:rPr>
              <w:t>Number of clothes washer cycles per year</w:t>
            </w:r>
          </w:p>
        </w:tc>
        <w:tc>
          <w:tcPr>
            <w:tcW w:w="715" w:type="pct"/>
            <w:shd w:val="clear" w:color="auto" w:fill="auto"/>
            <w:vAlign w:val="center"/>
          </w:tcPr>
          <w:p w14:paraId="79F48A48" w14:textId="77777777" w:rsidR="00C71CAA" w:rsidRPr="001570EA" w:rsidRDefault="003B5E04">
            <w:pPr>
              <w:pStyle w:val="TableCell"/>
              <w:spacing w:before="60" w:after="60"/>
              <w:jc w:val="center"/>
              <w:rPr>
                <w:rFonts w:cs="Arial"/>
                <w:i/>
              </w:rPr>
            </w:pPr>
            <m:oMathPara>
              <m:oMath>
                <m:f>
                  <m:fPr>
                    <m:ctrlPr>
                      <w:rPr>
                        <w:rFonts w:ascii="Cambria Math" w:hAnsi="Cambria Math" w:cs="Arial"/>
                        <w:i/>
                        <w:szCs w:val="18"/>
                      </w:rPr>
                    </m:ctrlPr>
                  </m:fPr>
                  <m:num>
                    <m:r>
                      <w:rPr>
                        <w:rFonts w:ascii="Cambria Math" w:hAnsi="Cambria Math" w:cs="Arial"/>
                        <w:szCs w:val="18"/>
                      </w:rPr>
                      <m:t>cycles</m:t>
                    </m:r>
                  </m:num>
                  <m:den>
                    <m:r>
                      <w:rPr>
                        <w:rFonts w:ascii="Cambria Math" w:hAnsi="Cambria Math" w:cs="Arial"/>
                        <w:szCs w:val="18"/>
                      </w:rPr>
                      <m:t>yr</m:t>
                    </m:r>
                  </m:den>
                </m:f>
              </m:oMath>
            </m:oMathPara>
          </w:p>
        </w:tc>
        <w:tc>
          <w:tcPr>
            <w:tcW w:w="1345" w:type="pct"/>
            <w:shd w:val="clear" w:color="auto" w:fill="auto"/>
            <w:vAlign w:val="center"/>
          </w:tcPr>
          <w:p w14:paraId="3569DE46" w14:textId="77777777" w:rsidR="00C71CAA" w:rsidRPr="001570EA" w:rsidRDefault="00C71CAA">
            <w:pPr>
              <w:pStyle w:val="TableCell"/>
              <w:spacing w:before="60" w:after="60"/>
              <w:jc w:val="center"/>
              <w:rPr>
                <w:rFonts w:cs="Arial"/>
                <w:szCs w:val="18"/>
              </w:rPr>
            </w:pPr>
            <w:r w:rsidRPr="001570EA">
              <w:rPr>
                <w:rFonts w:cs="Arial"/>
                <w:szCs w:val="18"/>
              </w:rPr>
              <w:t>Clothes washer present:</w:t>
            </w:r>
          </w:p>
          <w:p w14:paraId="3980EF7C" w14:textId="77777777" w:rsidR="00C71CAA" w:rsidRPr="001570EA" w:rsidRDefault="00C71CAA">
            <w:pPr>
              <w:pStyle w:val="TableCell"/>
              <w:spacing w:before="60" w:after="60"/>
              <w:jc w:val="center"/>
              <w:rPr>
                <w:rFonts w:cs="Arial"/>
                <w:szCs w:val="18"/>
              </w:rPr>
            </w:pPr>
            <w:r w:rsidRPr="001570EA">
              <w:rPr>
                <w:rFonts w:cs="Arial"/>
                <w:szCs w:val="18"/>
              </w:rPr>
              <w:t>178</w:t>
            </w:r>
          </w:p>
          <w:p w14:paraId="22702989" w14:textId="77777777" w:rsidR="00C71CAA" w:rsidRPr="001570EA" w:rsidRDefault="00C71CAA">
            <w:pPr>
              <w:pStyle w:val="TableCell"/>
              <w:spacing w:before="60" w:after="60"/>
              <w:jc w:val="center"/>
              <w:rPr>
                <w:rFonts w:cs="Arial"/>
              </w:rPr>
            </w:pPr>
            <w:r w:rsidRPr="001570EA">
              <w:rPr>
                <w:rFonts w:cs="Arial"/>
                <w:szCs w:val="18"/>
              </w:rPr>
              <w:t>No clothes washer: 0</w:t>
            </w:r>
          </w:p>
        </w:tc>
        <w:tc>
          <w:tcPr>
            <w:tcW w:w="866" w:type="pct"/>
            <w:shd w:val="clear" w:color="auto" w:fill="auto"/>
            <w:vAlign w:val="center"/>
          </w:tcPr>
          <w:p w14:paraId="43F63D2B" w14:textId="77777777" w:rsidR="00C71CAA" w:rsidRPr="001570EA" w:rsidRDefault="00C71CAA">
            <w:pPr>
              <w:pStyle w:val="TableCell"/>
              <w:spacing w:before="60" w:after="60"/>
              <w:jc w:val="center"/>
            </w:pPr>
            <w:r w:rsidRPr="001570EA">
              <w:rPr>
                <w:rFonts w:cs="Arial"/>
                <w:szCs w:val="18"/>
              </w:rPr>
              <w:t>4</w:t>
            </w:r>
          </w:p>
        </w:tc>
      </w:tr>
      <w:tr w:rsidR="00C71CAA" w:rsidRPr="001570EA" w14:paraId="2FA3CDAC" w14:textId="77777777">
        <w:tc>
          <w:tcPr>
            <w:tcW w:w="2074" w:type="pct"/>
            <w:shd w:val="clear" w:color="auto" w:fill="auto"/>
            <w:vAlign w:val="center"/>
          </w:tcPr>
          <w:p w14:paraId="780F0B22" w14:textId="702600D6" w:rsidR="00C71CAA" w:rsidRPr="001570EA" w:rsidRDefault="003B5E04">
            <w:pPr>
              <w:pStyle w:val="TableCell"/>
              <w:spacing w:before="60" w:after="60"/>
            </w:pPr>
            <m:oMath>
              <m:sSub>
                <m:sSubPr>
                  <m:ctrlPr>
                    <w:rPr>
                      <w:rFonts w:ascii="Cambria Math" w:hAnsi="Cambria Math" w:cs="Arial"/>
                      <w:i/>
                    </w:rPr>
                  </m:ctrlPr>
                </m:sSubPr>
                <m:e>
                  <m:r>
                    <w:rPr>
                      <w:rFonts w:ascii="Cambria Math" w:hAnsi="Cambria Math" w:cs="Arial"/>
                    </w:rPr>
                    <m:t>V</m:t>
                  </m:r>
                </m:e>
                <m:sub>
                  <m:r>
                    <w:rPr>
                      <w:rFonts w:ascii="Cambria Math" w:hAnsi="Cambria Math" w:cs="Arial"/>
                    </w:rPr>
                    <m:t>HW</m:t>
                  </m:r>
                </m:sub>
              </m:sSub>
            </m:oMath>
            <w:r w:rsidR="00C71CAA" w:rsidRPr="001570EA">
              <w:rPr>
                <w:rFonts w:cs="Arial"/>
              </w:rPr>
              <w:t>, Volume of hot water used per cycle by clothes washer</w:t>
            </w:r>
          </w:p>
        </w:tc>
        <w:tc>
          <w:tcPr>
            <w:tcW w:w="715" w:type="pct"/>
            <w:shd w:val="clear" w:color="auto" w:fill="auto"/>
            <w:vAlign w:val="center"/>
          </w:tcPr>
          <w:p w14:paraId="742B0318" w14:textId="77777777" w:rsidR="00C71CAA" w:rsidRPr="001570EA" w:rsidRDefault="003B5E04">
            <w:pPr>
              <w:pStyle w:val="TableCell"/>
              <w:spacing w:before="60" w:after="60"/>
              <w:jc w:val="center"/>
              <w:rPr>
                <w:rFonts w:cs="Arial"/>
                <w:i/>
              </w:rPr>
            </w:pPr>
            <m:oMath>
              <m:f>
                <m:fPr>
                  <m:ctrlPr>
                    <w:rPr>
                      <w:rFonts w:ascii="Cambria Math" w:hAnsi="Cambria Math" w:cs="Arial"/>
                      <w:i/>
                      <w:sz w:val="24"/>
                      <w:szCs w:val="24"/>
                    </w:rPr>
                  </m:ctrlPr>
                </m:fPr>
                <m:num>
                  <m:r>
                    <w:rPr>
                      <w:rFonts w:ascii="Cambria Math" w:hAnsi="Cambria Math" w:cs="Arial"/>
                      <w:sz w:val="24"/>
                      <w:szCs w:val="24"/>
                    </w:rPr>
                    <m:t>gallons</m:t>
                  </m:r>
                </m:num>
                <m:den>
                  <m:r>
                    <w:rPr>
                      <w:rFonts w:ascii="Cambria Math" w:hAnsi="Cambria Math" w:cs="Arial"/>
                      <w:sz w:val="24"/>
                      <w:szCs w:val="24"/>
                    </w:rPr>
                    <m:t>cycle</m:t>
                  </m:r>
                </m:den>
              </m:f>
            </m:oMath>
            <w:r w:rsidR="00C71CAA" w:rsidRPr="001570EA" w:rsidDel="00FC250F">
              <w:rPr>
                <w:rFonts w:ascii="Cambria Math" w:hAnsi="Cambria Math" w:cs="Arial"/>
                <w:i/>
                <w:sz w:val="24"/>
                <w:szCs w:val="24"/>
              </w:rPr>
              <w:t xml:space="preserve"> </w:t>
            </w:r>
          </w:p>
        </w:tc>
        <w:tc>
          <w:tcPr>
            <w:tcW w:w="1345" w:type="pct"/>
            <w:shd w:val="clear" w:color="auto" w:fill="auto"/>
            <w:vAlign w:val="center"/>
          </w:tcPr>
          <w:p w14:paraId="3122B7B7" w14:textId="77777777" w:rsidR="00C71CAA" w:rsidRPr="001570EA" w:rsidRDefault="00C71CAA">
            <w:pPr>
              <w:pStyle w:val="TableCell"/>
              <w:spacing w:before="60" w:after="60"/>
              <w:jc w:val="center"/>
              <w:rPr>
                <w:rFonts w:cs="Arial"/>
              </w:rPr>
            </w:pPr>
            <w:r w:rsidRPr="001570EA">
              <w:rPr>
                <w:rFonts w:cs="Arial"/>
              </w:rPr>
              <w:t>25</w:t>
            </w:r>
          </w:p>
        </w:tc>
        <w:tc>
          <w:tcPr>
            <w:tcW w:w="866" w:type="pct"/>
            <w:shd w:val="clear" w:color="auto" w:fill="auto"/>
            <w:vAlign w:val="center"/>
          </w:tcPr>
          <w:p w14:paraId="1BEEB509" w14:textId="77777777" w:rsidR="00C71CAA" w:rsidRPr="001570EA" w:rsidRDefault="00C71CAA">
            <w:pPr>
              <w:pStyle w:val="TableCell"/>
              <w:spacing w:before="60" w:after="60"/>
              <w:jc w:val="center"/>
            </w:pPr>
            <w:r w:rsidRPr="001570EA">
              <w:rPr>
                <w:rFonts w:cs="Arial"/>
              </w:rPr>
              <w:t>3</w:t>
            </w:r>
          </w:p>
        </w:tc>
      </w:tr>
      <w:tr w:rsidR="00C71CAA" w:rsidRPr="001570EA" w14:paraId="3053431E" w14:textId="77777777">
        <w:tc>
          <w:tcPr>
            <w:tcW w:w="2074" w:type="pct"/>
            <w:shd w:val="clear" w:color="auto" w:fill="auto"/>
            <w:vAlign w:val="center"/>
          </w:tcPr>
          <w:p w14:paraId="3A160A30" w14:textId="7CFAFE63" w:rsidR="00C71CAA" w:rsidRPr="001570EA" w:rsidRDefault="003B5E04">
            <w:pPr>
              <w:pStyle w:val="TableCell"/>
              <w:spacing w:before="60" w:after="60"/>
            </w:pPr>
            <m:oMath>
              <m:sSub>
                <m:sSubPr>
                  <m:ctrlPr>
                    <w:rPr>
                      <w:rFonts w:ascii="Cambria Math" w:hAnsi="Cambria Math" w:cs="Arial"/>
                      <w:i/>
                    </w:rPr>
                  </m:ctrlPr>
                </m:sSubPr>
                <m:e>
                  <m:r>
                    <w:rPr>
                      <w:rFonts w:ascii="Cambria Math" w:hAnsi="Cambria Math" w:cs="Arial"/>
                    </w:rPr>
                    <m:t>UEF</m:t>
                  </m:r>
                </m:e>
                <m:sub>
                  <m:r>
                    <w:rPr>
                      <w:rFonts w:ascii="Cambria Math" w:hAnsi="Cambria Math" w:cs="Arial"/>
                    </w:rPr>
                    <m:t>WH</m:t>
                  </m:r>
                </m:sub>
              </m:sSub>
            </m:oMath>
            <w:r w:rsidR="00C71CAA" w:rsidRPr="001570EA">
              <w:rPr>
                <w:rFonts w:cs="Arial"/>
              </w:rPr>
              <w:t>, Uniform Energy Factor of water heater</w:t>
            </w:r>
          </w:p>
        </w:tc>
        <w:tc>
          <w:tcPr>
            <w:tcW w:w="715" w:type="pct"/>
            <w:shd w:val="clear" w:color="auto" w:fill="auto"/>
            <w:vAlign w:val="center"/>
          </w:tcPr>
          <w:p w14:paraId="7A91B0F2" w14:textId="77777777" w:rsidR="00C71CAA" w:rsidRPr="001570EA" w:rsidRDefault="00C71CAA">
            <w:pPr>
              <w:pStyle w:val="TableCell"/>
              <w:spacing w:before="60" w:after="60"/>
              <w:jc w:val="center"/>
              <w:rPr>
                <w:rFonts w:cs="Arial"/>
                <w:i/>
              </w:rPr>
            </w:pPr>
            <w:r w:rsidRPr="001570EA">
              <w:rPr>
                <w:rFonts w:cs="Arial"/>
                <w:i/>
              </w:rPr>
              <w:t>Proportion</w:t>
            </w:r>
          </w:p>
        </w:tc>
        <w:tc>
          <w:tcPr>
            <w:tcW w:w="1345" w:type="pct"/>
            <w:shd w:val="clear" w:color="auto" w:fill="auto"/>
          </w:tcPr>
          <w:p w14:paraId="423E2821" w14:textId="77777777" w:rsidR="00C71CAA" w:rsidRPr="001570EA" w:rsidRDefault="00C71CAA">
            <w:pPr>
              <w:pStyle w:val="TableCell"/>
              <w:spacing w:before="60" w:after="60"/>
              <w:jc w:val="center"/>
              <w:rPr>
                <w:rFonts w:cs="Arial"/>
              </w:rPr>
            </w:pPr>
            <w:r w:rsidRPr="001570EA">
              <w:rPr>
                <w:rFonts w:cs="Arial"/>
              </w:rPr>
              <w:t>EDC data collection</w:t>
            </w:r>
          </w:p>
          <w:p w14:paraId="65964956" w14:textId="77777777" w:rsidR="00C71CAA" w:rsidRPr="001570EA" w:rsidRDefault="00C71CAA">
            <w:pPr>
              <w:pStyle w:val="TableCell"/>
              <w:spacing w:before="60" w:after="60"/>
              <w:jc w:val="center"/>
              <w:rPr>
                <w:rFonts w:cs="Arial"/>
              </w:rPr>
            </w:pPr>
            <w:r w:rsidRPr="001570EA">
              <w:rPr>
                <w:rFonts w:cs="Arial"/>
              </w:rPr>
              <w:t>Default:</w:t>
            </w:r>
          </w:p>
          <w:p w14:paraId="51884FCB" w14:textId="77777777" w:rsidR="00C71CAA" w:rsidRPr="001570EA" w:rsidRDefault="00C71CAA">
            <w:pPr>
              <w:pStyle w:val="TableCell"/>
              <w:spacing w:before="60" w:after="60"/>
              <w:jc w:val="center"/>
              <w:rPr>
                <w:rFonts w:cs="Arial"/>
              </w:rPr>
            </w:pPr>
            <w:r w:rsidRPr="001570EA">
              <w:rPr>
                <w:rFonts w:cs="Arial"/>
              </w:rPr>
              <w:t>Electric Storage= 0.92</w:t>
            </w:r>
          </w:p>
          <w:p w14:paraId="7569F9A2" w14:textId="77777777" w:rsidR="00C71CAA" w:rsidRPr="001570EA" w:rsidRDefault="00C71CAA">
            <w:pPr>
              <w:pStyle w:val="TableCell"/>
              <w:spacing w:before="60" w:after="60"/>
              <w:jc w:val="center"/>
              <w:rPr>
                <w:rFonts w:cs="Arial"/>
              </w:rPr>
            </w:pPr>
            <w:r w:rsidRPr="001570EA">
              <w:rPr>
                <w:rFonts w:cs="Arial"/>
              </w:rPr>
              <w:t>HPWH= 3.20</w:t>
            </w:r>
          </w:p>
        </w:tc>
        <w:tc>
          <w:tcPr>
            <w:tcW w:w="866" w:type="pct"/>
            <w:shd w:val="clear" w:color="auto" w:fill="auto"/>
            <w:vAlign w:val="center"/>
          </w:tcPr>
          <w:p w14:paraId="7D9AA25A" w14:textId="77777777" w:rsidR="00C71CAA" w:rsidRPr="001570EA" w:rsidRDefault="00C71CAA">
            <w:pPr>
              <w:pStyle w:val="TableCell"/>
              <w:spacing w:before="60" w:after="60"/>
              <w:jc w:val="center"/>
            </w:pPr>
            <w:r w:rsidRPr="001570EA">
              <w:t>6</w:t>
            </w:r>
          </w:p>
        </w:tc>
      </w:tr>
      <w:tr w:rsidR="00C71CAA" w:rsidRPr="001570EA" w14:paraId="21D42801" w14:textId="77777777">
        <w:tc>
          <w:tcPr>
            <w:tcW w:w="2074" w:type="pct"/>
            <w:shd w:val="clear" w:color="auto" w:fill="auto"/>
            <w:vAlign w:val="center"/>
          </w:tcPr>
          <w:p w14:paraId="0542A973" w14:textId="43FE047D" w:rsidR="00C71CAA" w:rsidRPr="001570EA" w:rsidRDefault="00C71CAA">
            <w:pPr>
              <w:pStyle w:val="TableCell"/>
              <w:spacing w:before="60" w:after="60"/>
            </w:pPr>
            <w:r w:rsidRPr="001570EA">
              <w:rPr>
                <w:rFonts w:ascii="Cambria Math" w:hAnsi="Cambria Math" w:cs="Arial"/>
                <w:i/>
              </w:rPr>
              <w:t>ETDF</w:t>
            </w:r>
            <w:r w:rsidRPr="001570EA">
              <w:rPr>
                <w:rFonts w:ascii="Cambria Math" w:hAnsi="Cambria Math" w:cs="Arial"/>
                <w:i/>
                <w:vertAlign w:val="subscript"/>
              </w:rPr>
              <w:t>S</w:t>
            </w:r>
            <w:r w:rsidRPr="001570EA">
              <w:rPr>
                <w:rFonts w:cs="Arial"/>
              </w:rPr>
              <w:t>, Summer Energy To Demand Factor</w:t>
            </w:r>
            <w:r w:rsidRPr="001570EA" w:rsidDel="00E459D0">
              <w:rPr>
                <w:rFonts w:cs="Arial"/>
              </w:rPr>
              <w:t xml:space="preserve"> (</w:t>
            </w:r>
            <w:r w:rsidRPr="001570EA" w:rsidDel="00E971F9">
              <w:rPr>
                <w:rFonts w:cs="Arial"/>
              </w:rPr>
              <w:t>defined above)</w:t>
            </w:r>
          </w:p>
        </w:tc>
        <w:tc>
          <w:tcPr>
            <w:tcW w:w="715" w:type="pct"/>
            <w:shd w:val="clear" w:color="auto" w:fill="auto"/>
            <w:vAlign w:val="center"/>
          </w:tcPr>
          <w:p w14:paraId="696B4231" w14:textId="77777777" w:rsidR="00C71CAA" w:rsidRPr="001570EA" w:rsidRDefault="003B5E04">
            <w:pPr>
              <w:pStyle w:val="TableCell"/>
              <w:spacing w:before="60" w:after="60"/>
              <w:jc w:val="center"/>
              <w:rPr>
                <w:rFonts w:cs="Arial"/>
                <w:i/>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345" w:type="pct"/>
            <w:shd w:val="clear" w:color="auto" w:fill="auto"/>
            <w:vAlign w:val="center"/>
          </w:tcPr>
          <w:p w14:paraId="52D75274" w14:textId="77777777" w:rsidR="00C71CAA" w:rsidRPr="001570EA" w:rsidRDefault="00C71CAA">
            <w:pPr>
              <w:pStyle w:val="TableCell"/>
              <w:spacing w:before="60" w:after="60"/>
              <w:jc w:val="center"/>
              <w:rPr>
                <w:rFonts w:cs="Arial"/>
              </w:rPr>
            </w:pPr>
            <w:r w:rsidRPr="001570EA">
              <w:t>0.0001057</w:t>
            </w:r>
          </w:p>
        </w:tc>
        <w:tc>
          <w:tcPr>
            <w:tcW w:w="866" w:type="pct"/>
            <w:shd w:val="clear" w:color="auto" w:fill="auto"/>
            <w:vAlign w:val="center"/>
          </w:tcPr>
          <w:p w14:paraId="29830143" w14:textId="77777777" w:rsidR="00C71CAA" w:rsidRPr="001570EA" w:rsidRDefault="00C71CAA">
            <w:pPr>
              <w:pStyle w:val="TableCell"/>
              <w:spacing w:before="60" w:after="60"/>
              <w:jc w:val="center"/>
            </w:pPr>
            <w:r w:rsidRPr="001570EA">
              <w:rPr>
                <w:rFonts w:cs="Arial"/>
              </w:rPr>
              <w:t>7</w:t>
            </w:r>
          </w:p>
        </w:tc>
      </w:tr>
      <w:tr w:rsidR="00C71CAA" w:rsidRPr="001570EA" w14:paraId="03C64408" w14:textId="77777777">
        <w:tc>
          <w:tcPr>
            <w:tcW w:w="2074" w:type="pct"/>
            <w:shd w:val="clear" w:color="auto" w:fill="auto"/>
            <w:vAlign w:val="center"/>
          </w:tcPr>
          <w:p w14:paraId="630F7ED6" w14:textId="02FF183D" w:rsidR="00C71CAA" w:rsidRPr="001570EA" w:rsidRDefault="00C71CAA">
            <w:pPr>
              <w:pStyle w:val="TableCell"/>
              <w:spacing w:before="60" w:after="60"/>
            </w:pPr>
            <w:r w:rsidRPr="001570EA">
              <w:rPr>
                <w:rFonts w:ascii="Cambria Math" w:hAnsi="Cambria Math" w:cs="Arial"/>
                <w:i/>
              </w:rPr>
              <w:t>ETDF</w:t>
            </w:r>
            <w:r w:rsidRPr="001570EA">
              <w:rPr>
                <w:rFonts w:ascii="Cambria Math" w:hAnsi="Cambria Math" w:cs="Arial"/>
                <w:i/>
                <w:vertAlign w:val="subscript"/>
              </w:rPr>
              <w:t>W</w:t>
            </w:r>
            <w:r w:rsidRPr="001570EA">
              <w:rPr>
                <w:rFonts w:cs="Arial"/>
              </w:rPr>
              <w:t>, Winter Energy To Demand Factor</w:t>
            </w:r>
          </w:p>
        </w:tc>
        <w:tc>
          <w:tcPr>
            <w:tcW w:w="715" w:type="pct"/>
            <w:shd w:val="clear" w:color="auto" w:fill="auto"/>
            <w:vAlign w:val="center"/>
          </w:tcPr>
          <w:p w14:paraId="6481B4BA" w14:textId="77777777" w:rsidR="00C71CAA" w:rsidRPr="001570EA" w:rsidRDefault="003B5E04">
            <w:pPr>
              <w:pStyle w:val="TableCell"/>
              <w:spacing w:before="60" w:after="60"/>
              <w:jc w:val="center"/>
              <w:rPr>
                <w:rFonts w:cs="Arial"/>
                <w:i/>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345" w:type="pct"/>
            <w:shd w:val="clear" w:color="auto" w:fill="auto"/>
            <w:vAlign w:val="center"/>
          </w:tcPr>
          <w:p w14:paraId="5EFF2D5E" w14:textId="77777777" w:rsidR="00C71CAA" w:rsidRPr="001570EA" w:rsidRDefault="00C71CAA">
            <w:pPr>
              <w:pStyle w:val="TableCell"/>
              <w:spacing w:before="60" w:after="60"/>
              <w:jc w:val="center"/>
              <w:rPr>
                <w:rFonts w:cs="Arial"/>
              </w:rPr>
            </w:pPr>
            <w:r w:rsidRPr="001570EA">
              <w:t>0.0001761</w:t>
            </w:r>
          </w:p>
        </w:tc>
        <w:tc>
          <w:tcPr>
            <w:tcW w:w="866" w:type="pct"/>
            <w:shd w:val="clear" w:color="auto" w:fill="auto"/>
            <w:vAlign w:val="center"/>
          </w:tcPr>
          <w:p w14:paraId="7E7C5B44" w14:textId="77777777" w:rsidR="00C71CAA" w:rsidRPr="001570EA" w:rsidRDefault="00C71CAA">
            <w:pPr>
              <w:pStyle w:val="TableCell"/>
              <w:spacing w:before="60" w:after="60"/>
              <w:jc w:val="center"/>
            </w:pPr>
            <w:r w:rsidRPr="001570EA">
              <w:rPr>
                <w:rFonts w:cs="Arial"/>
              </w:rPr>
              <w:t>7</w:t>
            </w:r>
          </w:p>
        </w:tc>
      </w:tr>
    </w:tbl>
    <w:p w14:paraId="682C91FD" w14:textId="77777777" w:rsidR="00C71CAA" w:rsidRPr="001570EA" w:rsidRDefault="00C71CAA" w:rsidP="00C71CAA">
      <w:pPr>
        <w:pStyle w:val="SubStyle"/>
      </w:pPr>
    </w:p>
    <w:p w14:paraId="10E981C3" w14:textId="77777777" w:rsidR="00C71CAA" w:rsidRPr="001570EA" w:rsidRDefault="00C71CAA" w:rsidP="00C71CAA">
      <w:pPr>
        <w:pStyle w:val="SubStyle"/>
      </w:pPr>
      <w:r w:rsidRPr="001570EA">
        <w:t>Default Savings</w:t>
      </w:r>
    </w:p>
    <w:p w14:paraId="7182E5A9" w14:textId="77777777" w:rsidR="00234C6C" w:rsidRPr="001570EA" w:rsidRDefault="00C71CAA" w:rsidP="00C71CAA">
      <w:pPr>
        <w:rPr>
          <w:noProof/>
        </w:rPr>
      </w:pPr>
      <w:r w:rsidRPr="001570EA">
        <w:t xml:space="preserve">The energy savings and demand reductions are prescriptive according to the above formulae.  However, some values for common configurations are provided in </w:t>
      </w:r>
      <w:r w:rsidRPr="001570EA">
        <w:fldChar w:fldCharType="begin"/>
      </w:r>
      <w:r w:rsidRPr="001570EA">
        <w:instrText xml:space="preserve"> REF _Ref377134732 \h  \* MERGEFORMAT </w:instrText>
      </w:r>
      <w:r w:rsidRPr="001570EA">
        <w:fldChar w:fldCharType="separate"/>
      </w:r>
    </w:p>
    <w:p w14:paraId="1D0BB8CF" w14:textId="69085565" w:rsidR="00C71CAA" w:rsidRPr="001570EA" w:rsidRDefault="00234C6C" w:rsidP="00C71CAA">
      <w:pPr>
        <w:rPr>
          <w:noProof/>
        </w:rPr>
      </w:pPr>
      <w:r w:rsidRPr="001570EA">
        <w:rPr>
          <w:noProof/>
        </w:rPr>
        <w:t>Table 2</w:t>
      </w:r>
      <w:r w:rsidR="00C71CAA" w:rsidRPr="001570EA">
        <w:fldChar w:fldCharType="end"/>
      </w:r>
      <w:r w:rsidR="00C71CAA" w:rsidRPr="001570EA">
        <w:t>, below.</w:t>
      </w:r>
    </w:p>
    <w:p w14:paraId="65BD8D60" w14:textId="77777777" w:rsidR="00C71CAA" w:rsidRPr="001570EA" w:rsidRDefault="00C71CAA" w:rsidP="00C71CAA">
      <w:bookmarkStart w:id="451" w:name="_Ref377134732"/>
      <w:bookmarkStart w:id="452" w:name="_Toc342912716"/>
      <w:bookmarkStart w:id="453" w:name="_Toc364420961"/>
      <w:bookmarkStart w:id="454" w:name="_Toc364760731"/>
      <w:bookmarkStart w:id="455" w:name="_Toc377465549"/>
    </w:p>
    <w:p w14:paraId="33E59436" w14:textId="2B78EB99" w:rsidR="00C71CAA" w:rsidRPr="001570EA" w:rsidRDefault="00C71CAA" w:rsidP="00C71CAA">
      <w:pPr>
        <w:pStyle w:val="Caption"/>
      </w:pPr>
      <w:bookmarkStart w:id="456" w:name="_Ref405448038"/>
      <w:bookmarkStart w:id="457" w:name="_Toc530141726"/>
      <w:bookmarkStart w:id="458" w:name="_Toc47598301"/>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68</w:t>
      </w:r>
      <w:r w:rsidR="002E093A" w:rsidRPr="001570EA">
        <w:fldChar w:fldCharType="end"/>
      </w:r>
      <w:bookmarkEnd w:id="451"/>
      <w:bookmarkEnd w:id="456"/>
      <w:r w:rsidRPr="001570EA">
        <w:t>: Default Energy Savings and Demand Reductions</w:t>
      </w:r>
      <w:bookmarkEnd w:id="452"/>
      <w:bookmarkEnd w:id="453"/>
      <w:bookmarkEnd w:id="454"/>
      <w:bookmarkEnd w:id="455"/>
      <w:bookmarkEnd w:id="457"/>
      <w:bookmarkEnd w:id="458"/>
    </w:p>
    <w:tbl>
      <w:tblPr>
        <w:tblW w:w="9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1230"/>
        <w:gridCol w:w="738"/>
        <w:gridCol w:w="984"/>
        <w:gridCol w:w="1476"/>
        <w:gridCol w:w="1722"/>
        <w:gridCol w:w="1722"/>
      </w:tblGrid>
      <w:tr w:rsidR="00C71CAA" w:rsidRPr="001570EA" w14:paraId="142CEF9E" w14:textId="77777777">
        <w:trPr>
          <w:trHeight w:val="1869"/>
        </w:trPr>
        <w:tc>
          <w:tcPr>
            <w:tcW w:w="1619" w:type="dxa"/>
            <w:shd w:val="clear" w:color="auto" w:fill="BFBFBF" w:themeFill="background1" w:themeFillShade="BF"/>
            <w:noWrap/>
            <w:vAlign w:val="bottom"/>
          </w:tcPr>
          <w:p w14:paraId="0973AA85" w14:textId="77777777" w:rsidR="00C71CAA" w:rsidRPr="001570EA" w:rsidRDefault="00C71CAA">
            <w:pPr>
              <w:pStyle w:val="TableCell"/>
              <w:spacing w:before="60" w:after="60"/>
              <w:jc w:val="center"/>
              <w:rPr>
                <w:rFonts w:cs="Arial"/>
                <w:b/>
                <w:szCs w:val="18"/>
              </w:rPr>
            </w:pPr>
            <w:r w:rsidRPr="001570EA">
              <w:rPr>
                <w:rFonts w:cs="Arial"/>
                <w:b/>
                <w:szCs w:val="18"/>
              </w:rPr>
              <w:t>Type</w:t>
            </w:r>
          </w:p>
        </w:tc>
        <w:tc>
          <w:tcPr>
            <w:tcW w:w="1230" w:type="dxa"/>
            <w:shd w:val="clear" w:color="auto" w:fill="BFBFBF" w:themeFill="background1" w:themeFillShade="BF"/>
            <w:vAlign w:val="bottom"/>
          </w:tcPr>
          <w:p w14:paraId="35616E0F" w14:textId="77777777" w:rsidR="00C71CAA" w:rsidRPr="001570EA" w:rsidRDefault="00C71CAA">
            <w:pPr>
              <w:pStyle w:val="TableCell"/>
              <w:spacing w:before="60" w:after="60"/>
              <w:jc w:val="center"/>
              <w:rPr>
                <w:rFonts w:cs="Arial"/>
                <w:b/>
                <w:szCs w:val="18"/>
              </w:rPr>
            </w:pPr>
            <w:r w:rsidRPr="001570EA">
              <w:rPr>
                <w:rFonts w:cs="Arial"/>
                <w:b/>
                <w:szCs w:val="18"/>
              </w:rPr>
              <w:t>Cycles</w:t>
            </w:r>
            <w:r w:rsidRPr="001570EA">
              <w:rPr>
                <w:rFonts w:cs="Arial"/>
                <w:b/>
                <w:szCs w:val="18"/>
                <w:vertAlign w:val="subscript"/>
              </w:rPr>
              <w:t>wash</w:t>
            </w:r>
          </w:p>
        </w:tc>
        <w:tc>
          <w:tcPr>
            <w:tcW w:w="738" w:type="dxa"/>
            <w:shd w:val="clear" w:color="auto" w:fill="BFBFBF" w:themeFill="background1" w:themeFillShade="BF"/>
            <w:noWrap/>
            <w:vAlign w:val="bottom"/>
          </w:tcPr>
          <w:p w14:paraId="75C802B3" w14:textId="77777777" w:rsidR="00C71CAA" w:rsidRPr="001570EA" w:rsidRDefault="003B5E04">
            <w:pPr>
              <w:pStyle w:val="TableCell"/>
              <w:spacing w:before="60" w:after="60"/>
              <w:jc w:val="center"/>
              <w:rPr>
                <w:rFonts w:cs="Arial"/>
                <w:b/>
                <w:szCs w:val="18"/>
              </w:rPr>
            </w:pPr>
            <m:oMathPara>
              <m:oMath>
                <m:sSub>
                  <m:sSubPr>
                    <m:ctrlPr>
                      <w:rPr>
                        <w:rFonts w:ascii="Cambria Math" w:hAnsi="Cambria Math" w:cs="Arial"/>
                        <w:b/>
                        <w:szCs w:val="18"/>
                      </w:rPr>
                    </m:ctrlPr>
                  </m:sSubPr>
                  <m:e>
                    <m:r>
                      <m:rPr>
                        <m:sty m:val="b"/>
                      </m:rPr>
                      <w:rPr>
                        <w:rFonts w:ascii="Cambria Math" w:hAnsi="Cambria Math" w:cs="Arial"/>
                        <w:szCs w:val="18"/>
                      </w:rPr>
                      <m:t>η</m:t>
                    </m:r>
                  </m:e>
                  <m:sub>
                    <m:r>
                      <m:rPr>
                        <m:sty m:val="b"/>
                      </m:rPr>
                      <w:rPr>
                        <w:rFonts w:ascii="Cambria Math" w:hAnsi="Cambria Math" w:cs="Arial"/>
                        <w:szCs w:val="18"/>
                      </w:rPr>
                      <m:t>elec</m:t>
                    </m:r>
                  </m:sub>
                </m:sSub>
              </m:oMath>
            </m:oMathPara>
          </w:p>
        </w:tc>
        <w:tc>
          <w:tcPr>
            <w:tcW w:w="984" w:type="dxa"/>
            <w:shd w:val="clear" w:color="auto" w:fill="BFBFBF" w:themeFill="background1" w:themeFillShade="BF"/>
            <w:noWrap/>
            <w:vAlign w:val="bottom"/>
          </w:tcPr>
          <w:p w14:paraId="151C7149" w14:textId="77777777" w:rsidR="00C71CAA" w:rsidRPr="001570EA" w:rsidRDefault="00C71CAA">
            <w:pPr>
              <w:pStyle w:val="TableCell"/>
              <w:spacing w:before="60" w:after="60"/>
              <w:jc w:val="center"/>
              <w:rPr>
                <w:rFonts w:cs="Arial"/>
                <w:b/>
                <w:szCs w:val="18"/>
              </w:rPr>
            </w:pPr>
            <m:oMathPara>
              <m:oMath>
                <m:r>
                  <m:rPr>
                    <m:sty m:val="b"/>
                  </m:rPr>
                  <w:rPr>
                    <w:rFonts w:ascii="Cambria Math" w:hAnsi="Cambria Math" w:cs="Arial"/>
                    <w:szCs w:val="18"/>
                  </w:rPr>
                  <m:t>U</m:t>
                </m:r>
                <m:sSub>
                  <m:sSubPr>
                    <m:ctrlPr>
                      <w:rPr>
                        <w:rFonts w:ascii="Cambria Math" w:hAnsi="Cambria Math" w:cs="Arial"/>
                        <w:b/>
                        <w:szCs w:val="18"/>
                      </w:rPr>
                    </m:ctrlPr>
                  </m:sSubPr>
                  <m:e>
                    <m:r>
                      <m:rPr>
                        <m:sty m:val="b"/>
                      </m:rPr>
                      <w:rPr>
                        <w:rFonts w:ascii="Cambria Math" w:hAnsi="Cambria Math" w:cs="Arial"/>
                        <w:szCs w:val="18"/>
                      </w:rPr>
                      <m:t>EF</m:t>
                    </m:r>
                  </m:e>
                  <m:sub>
                    <m:r>
                      <m:rPr>
                        <m:sty m:val="b"/>
                      </m:rPr>
                      <w:rPr>
                        <w:rFonts w:ascii="Cambria Math" w:hAnsi="Cambria Math" w:cs="Arial"/>
                        <w:szCs w:val="18"/>
                      </w:rPr>
                      <m:t>WH</m:t>
                    </m:r>
                  </m:sub>
                </m:sSub>
              </m:oMath>
            </m:oMathPara>
          </w:p>
        </w:tc>
        <w:tc>
          <w:tcPr>
            <w:tcW w:w="1476" w:type="dxa"/>
            <w:shd w:val="clear" w:color="auto" w:fill="BFBFBF" w:themeFill="background1" w:themeFillShade="BF"/>
            <w:noWrap/>
            <w:vAlign w:val="bottom"/>
          </w:tcPr>
          <w:p w14:paraId="7F32B27E" w14:textId="77777777" w:rsidR="00C71CAA" w:rsidRPr="001570EA" w:rsidRDefault="00C71CAA">
            <w:pPr>
              <w:pStyle w:val="TableCell"/>
              <w:spacing w:before="60" w:after="60"/>
              <w:jc w:val="center"/>
              <w:rPr>
                <w:rFonts w:cs="Arial"/>
                <w:b/>
                <w:szCs w:val="18"/>
              </w:rPr>
            </w:pPr>
            <w:r w:rsidRPr="001570EA">
              <w:rPr>
                <w:rFonts w:cs="Arial"/>
                <w:b/>
                <w:bCs/>
                <w:color w:val="000000"/>
                <w:szCs w:val="18"/>
              </w:rPr>
              <w:t>ΔkWh</w:t>
            </w:r>
          </w:p>
        </w:tc>
        <w:tc>
          <w:tcPr>
            <w:tcW w:w="1722" w:type="dxa"/>
            <w:shd w:val="clear" w:color="auto" w:fill="BFBFBF" w:themeFill="background1" w:themeFillShade="BF"/>
            <w:noWrap/>
            <w:vAlign w:val="bottom"/>
          </w:tcPr>
          <w:p w14:paraId="56F675B9" w14:textId="77777777" w:rsidR="00C71CAA" w:rsidRPr="001570EA" w:rsidRDefault="00C71CAA">
            <w:pPr>
              <w:pStyle w:val="TableCell"/>
              <w:spacing w:before="60" w:after="60"/>
              <w:jc w:val="center"/>
              <w:rPr>
                <w:rFonts w:cs="Arial"/>
                <w:b/>
                <w:szCs w:val="18"/>
              </w:rPr>
            </w:pPr>
            <w:r w:rsidRPr="001570EA">
              <w:rPr>
                <w:rFonts w:cs="Arial"/>
                <w:b/>
                <w:bCs/>
                <w:color w:val="000000"/>
                <w:szCs w:val="18"/>
              </w:rPr>
              <w:t>ΔkW</w:t>
            </w:r>
            <w:r w:rsidRPr="001570EA">
              <w:rPr>
                <w:rFonts w:cs="Arial"/>
                <w:b/>
                <w:bCs/>
                <w:color w:val="000000"/>
                <w:szCs w:val="18"/>
                <w:vertAlign w:val="subscript"/>
              </w:rPr>
              <w:t>summer peak</w:t>
            </w:r>
          </w:p>
        </w:tc>
        <w:tc>
          <w:tcPr>
            <w:tcW w:w="1722" w:type="dxa"/>
            <w:shd w:val="clear" w:color="auto" w:fill="BFBFBF" w:themeFill="background1" w:themeFillShade="BF"/>
            <w:vAlign w:val="bottom"/>
          </w:tcPr>
          <w:p w14:paraId="480F0E0D" w14:textId="77777777" w:rsidR="00C71CAA" w:rsidRPr="001570EA" w:rsidRDefault="00C71CAA">
            <w:pPr>
              <w:spacing w:before="80" w:after="80"/>
              <w:jc w:val="center"/>
              <w:rPr>
                <w:rFonts w:cs="Arial"/>
                <w:b/>
                <w:bCs/>
                <w:color w:val="000000"/>
                <w:sz w:val="18"/>
                <w:szCs w:val="18"/>
              </w:rPr>
            </w:pPr>
          </w:p>
          <w:p w14:paraId="049AEC62" w14:textId="77777777" w:rsidR="00C71CAA" w:rsidRPr="001570EA" w:rsidRDefault="00C71CAA">
            <w:pPr>
              <w:spacing w:before="80" w:after="80"/>
              <w:jc w:val="center"/>
              <w:rPr>
                <w:rFonts w:cs="Arial"/>
                <w:b/>
                <w:bCs/>
                <w:color w:val="000000"/>
                <w:sz w:val="18"/>
                <w:szCs w:val="18"/>
              </w:rPr>
            </w:pPr>
          </w:p>
          <w:p w14:paraId="466B0F0B" w14:textId="77777777" w:rsidR="00C71CAA" w:rsidRPr="001570EA" w:rsidRDefault="00C71CAA">
            <w:pPr>
              <w:pStyle w:val="TableCell"/>
              <w:spacing w:before="60" w:after="60"/>
              <w:jc w:val="center"/>
              <w:rPr>
                <w:rFonts w:cs="Arial"/>
                <w:b/>
                <w:szCs w:val="18"/>
              </w:rPr>
            </w:pPr>
            <w:r w:rsidRPr="001570EA">
              <w:rPr>
                <w:rFonts w:cs="Arial"/>
                <w:b/>
                <w:bCs/>
                <w:color w:val="000000"/>
                <w:szCs w:val="18"/>
              </w:rPr>
              <w:t>ΔkW</w:t>
            </w:r>
            <w:r w:rsidRPr="001570EA">
              <w:rPr>
                <w:rFonts w:cs="Arial"/>
                <w:b/>
                <w:bCs/>
                <w:color w:val="000000"/>
                <w:szCs w:val="18"/>
                <w:vertAlign w:val="subscript"/>
              </w:rPr>
              <w:t>winter peak</w:t>
            </w:r>
          </w:p>
        </w:tc>
      </w:tr>
      <w:tr w:rsidR="00C71CAA" w:rsidRPr="001570EA" w14:paraId="49FF73B4" w14:textId="77777777">
        <w:trPr>
          <w:trHeight w:val="1215"/>
        </w:trPr>
        <w:tc>
          <w:tcPr>
            <w:tcW w:w="1619" w:type="dxa"/>
            <w:noWrap/>
            <w:vAlign w:val="center"/>
            <w:hideMark/>
          </w:tcPr>
          <w:p w14:paraId="1AF132FA" w14:textId="77777777" w:rsidR="00C71CAA" w:rsidRPr="001570EA" w:rsidRDefault="00C71CAA">
            <w:pPr>
              <w:jc w:val="center"/>
              <w:rPr>
                <w:rFonts w:cs="Arial"/>
                <w:sz w:val="18"/>
                <w:szCs w:val="18"/>
              </w:rPr>
            </w:pPr>
            <w:r w:rsidRPr="001570EA">
              <w:rPr>
                <w:rFonts w:cs="Arial"/>
                <w:sz w:val="18"/>
                <w:szCs w:val="18"/>
              </w:rPr>
              <w:t>Electric Storage</w:t>
            </w:r>
          </w:p>
        </w:tc>
        <w:tc>
          <w:tcPr>
            <w:tcW w:w="1230" w:type="dxa"/>
            <w:vAlign w:val="center"/>
          </w:tcPr>
          <w:p w14:paraId="323D6B9A" w14:textId="77777777" w:rsidR="00C71CAA" w:rsidRPr="001570EA" w:rsidRDefault="00C71CAA">
            <w:pPr>
              <w:jc w:val="center"/>
              <w:rPr>
                <w:rFonts w:cs="Arial"/>
                <w:sz w:val="18"/>
                <w:szCs w:val="18"/>
              </w:rPr>
            </w:pPr>
            <w:r w:rsidRPr="001570EA">
              <w:rPr>
                <w:rFonts w:cs="Arial"/>
                <w:sz w:val="18"/>
                <w:szCs w:val="18"/>
              </w:rPr>
              <w:t>0</w:t>
            </w:r>
          </w:p>
        </w:tc>
        <w:tc>
          <w:tcPr>
            <w:tcW w:w="738" w:type="dxa"/>
            <w:noWrap/>
            <w:vAlign w:val="center"/>
            <w:hideMark/>
          </w:tcPr>
          <w:p w14:paraId="7955B10F" w14:textId="77777777" w:rsidR="00C71CAA" w:rsidRPr="001570EA" w:rsidRDefault="00C71CAA">
            <w:pPr>
              <w:jc w:val="center"/>
              <w:rPr>
                <w:rFonts w:cs="Arial"/>
                <w:sz w:val="18"/>
                <w:szCs w:val="18"/>
              </w:rPr>
            </w:pPr>
            <w:r w:rsidRPr="001570EA">
              <w:rPr>
                <w:rFonts w:cs="Arial"/>
                <w:sz w:val="18"/>
                <w:szCs w:val="18"/>
              </w:rPr>
              <w:t>0.98</w:t>
            </w:r>
          </w:p>
        </w:tc>
        <w:tc>
          <w:tcPr>
            <w:tcW w:w="984" w:type="dxa"/>
            <w:noWrap/>
            <w:vAlign w:val="center"/>
            <w:hideMark/>
          </w:tcPr>
          <w:p w14:paraId="67767C8A" w14:textId="77777777" w:rsidR="00C71CAA" w:rsidRPr="001570EA" w:rsidRDefault="00C71CAA">
            <w:pPr>
              <w:jc w:val="center"/>
              <w:rPr>
                <w:rFonts w:cs="Arial"/>
                <w:sz w:val="18"/>
                <w:szCs w:val="18"/>
              </w:rPr>
            </w:pPr>
            <w:r w:rsidRPr="001570EA">
              <w:rPr>
                <w:rFonts w:cs="Arial"/>
                <w:sz w:val="18"/>
                <w:szCs w:val="18"/>
              </w:rPr>
              <w:t>1.03</w:t>
            </w:r>
          </w:p>
        </w:tc>
        <w:tc>
          <w:tcPr>
            <w:tcW w:w="1476" w:type="dxa"/>
            <w:noWrap/>
            <w:vAlign w:val="center"/>
          </w:tcPr>
          <w:p w14:paraId="4794B025" w14:textId="77777777" w:rsidR="00C71CAA" w:rsidRPr="001570EA" w:rsidRDefault="00C71CAA">
            <w:pPr>
              <w:jc w:val="center"/>
              <w:rPr>
                <w:rFonts w:cs="Arial"/>
                <w:sz w:val="18"/>
                <w:szCs w:val="18"/>
              </w:rPr>
            </w:pPr>
            <w:r w:rsidRPr="001570EA">
              <w:rPr>
                <w:rFonts w:cs="Arial"/>
                <w:color w:val="000000"/>
                <w:sz w:val="18"/>
                <w:szCs w:val="18"/>
              </w:rPr>
              <w:t>60.0</w:t>
            </w:r>
          </w:p>
        </w:tc>
        <w:tc>
          <w:tcPr>
            <w:tcW w:w="1722" w:type="dxa"/>
            <w:noWrap/>
            <w:vAlign w:val="center"/>
          </w:tcPr>
          <w:p w14:paraId="2E365881" w14:textId="77777777" w:rsidR="00C71CAA" w:rsidRPr="001570EA" w:rsidRDefault="00C71CAA">
            <w:pPr>
              <w:jc w:val="center"/>
              <w:rPr>
                <w:rFonts w:cs="Arial"/>
                <w:sz w:val="18"/>
                <w:szCs w:val="18"/>
              </w:rPr>
            </w:pPr>
            <w:r w:rsidRPr="001570EA">
              <w:rPr>
                <w:rFonts w:cs="Arial"/>
                <w:color w:val="000000"/>
                <w:sz w:val="18"/>
                <w:szCs w:val="18"/>
              </w:rPr>
              <w:t>0.0063</w:t>
            </w:r>
          </w:p>
        </w:tc>
        <w:tc>
          <w:tcPr>
            <w:tcW w:w="1722" w:type="dxa"/>
            <w:vAlign w:val="center"/>
          </w:tcPr>
          <w:p w14:paraId="75EE1744" w14:textId="77777777" w:rsidR="00C71CAA" w:rsidRPr="001570EA" w:rsidRDefault="00C71CAA">
            <w:pPr>
              <w:jc w:val="center"/>
              <w:rPr>
                <w:rFonts w:cs="Arial"/>
                <w:color w:val="000000"/>
                <w:sz w:val="18"/>
                <w:szCs w:val="18"/>
              </w:rPr>
            </w:pPr>
            <w:r w:rsidRPr="001570EA">
              <w:rPr>
                <w:rFonts w:cs="Arial"/>
                <w:color w:val="000000"/>
                <w:sz w:val="18"/>
                <w:szCs w:val="18"/>
              </w:rPr>
              <w:t>0.0106</w:t>
            </w:r>
          </w:p>
        </w:tc>
      </w:tr>
      <w:tr w:rsidR="00C71CAA" w:rsidRPr="001570EA" w14:paraId="143F90A3" w14:textId="77777777">
        <w:trPr>
          <w:trHeight w:val="1215"/>
        </w:trPr>
        <w:tc>
          <w:tcPr>
            <w:tcW w:w="1619" w:type="dxa"/>
            <w:noWrap/>
            <w:vAlign w:val="center"/>
          </w:tcPr>
          <w:p w14:paraId="68069EB9" w14:textId="77777777" w:rsidR="00C71CAA" w:rsidRPr="001570EA" w:rsidRDefault="00C71CAA">
            <w:pPr>
              <w:jc w:val="center"/>
              <w:rPr>
                <w:rFonts w:cs="Arial"/>
                <w:sz w:val="18"/>
                <w:szCs w:val="18"/>
              </w:rPr>
            </w:pPr>
            <w:r w:rsidRPr="001570EA">
              <w:rPr>
                <w:rFonts w:cs="Arial"/>
                <w:sz w:val="18"/>
                <w:szCs w:val="18"/>
              </w:rPr>
              <w:t>Electric Storage w/Clothes Washer</w:t>
            </w:r>
          </w:p>
        </w:tc>
        <w:tc>
          <w:tcPr>
            <w:tcW w:w="1230" w:type="dxa"/>
            <w:vAlign w:val="center"/>
          </w:tcPr>
          <w:p w14:paraId="61041358" w14:textId="77777777" w:rsidR="00C71CAA" w:rsidRPr="001570EA" w:rsidRDefault="00C71CAA">
            <w:pPr>
              <w:jc w:val="center"/>
              <w:rPr>
                <w:rFonts w:cs="Arial"/>
                <w:sz w:val="18"/>
                <w:szCs w:val="18"/>
              </w:rPr>
            </w:pPr>
            <w:r w:rsidRPr="001570EA">
              <w:rPr>
                <w:rFonts w:cs="Arial"/>
                <w:sz w:val="18"/>
                <w:szCs w:val="18"/>
              </w:rPr>
              <w:t>200</w:t>
            </w:r>
          </w:p>
        </w:tc>
        <w:tc>
          <w:tcPr>
            <w:tcW w:w="738" w:type="dxa"/>
            <w:noWrap/>
            <w:vAlign w:val="center"/>
          </w:tcPr>
          <w:p w14:paraId="746705A3" w14:textId="77777777" w:rsidR="00C71CAA" w:rsidRPr="001570EA" w:rsidRDefault="00C71CAA">
            <w:pPr>
              <w:jc w:val="center"/>
              <w:rPr>
                <w:rFonts w:cs="Arial"/>
                <w:sz w:val="18"/>
                <w:szCs w:val="18"/>
              </w:rPr>
            </w:pPr>
            <w:r w:rsidRPr="001570EA">
              <w:rPr>
                <w:rFonts w:cs="Arial"/>
                <w:sz w:val="18"/>
                <w:szCs w:val="18"/>
              </w:rPr>
              <w:t>0.98</w:t>
            </w:r>
          </w:p>
        </w:tc>
        <w:tc>
          <w:tcPr>
            <w:tcW w:w="984" w:type="dxa"/>
            <w:noWrap/>
            <w:vAlign w:val="center"/>
          </w:tcPr>
          <w:p w14:paraId="2F5022EB" w14:textId="77777777" w:rsidR="00C71CAA" w:rsidRPr="001570EA" w:rsidRDefault="00C71CAA">
            <w:pPr>
              <w:jc w:val="center"/>
              <w:rPr>
                <w:rFonts w:cs="Arial"/>
                <w:sz w:val="18"/>
                <w:szCs w:val="18"/>
              </w:rPr>
            </w:pPr>
            <w:r w:rsidRPr="001570EA">
              <w:rPr>
                <w:rFonts w:cs="Arial"/>
                <w:sz w:val="18"/>
                <w:szCs w:val="18"/>
              </w:rPr>
              <w:t>1.03</w:t>
            </w:r>
          </w:p>
        </w:tc>
        <w:tc>
          <w:tcPr>
            <w:tcW w:w="1476" w:type="dxa"/>
            <w:noWrap/>
            <w:vAlign w:val="center"/>
          </w:tcPr>
          <w:p w14:paraId="30587002" w14:textId="77777777" w:rsidR="00C71CAA" w:rsidRPr="001570EA" w:rsidRDefault="00C71CAA">
            <w:pPr>
              <w:jc w:val="center"/>
              <w:rPr>
                <w:rFonts w:cs="Arial"/>
                <w:sz w:val="18"/>
                <w:szCs w:val="18"/>
              </w:rPr>
            </w:pPr>
            <w:r w:rsidRPr="001570EA">
              <w:rPr>
                <w:rFonts w:cs="Arial"/>
                <w:color w:val="000000"/>
                <w:sz w:val="18"/>
                <w:szCs w:val="18"/>
              </w:rPr>
              <w:t>189.9</w:t>
            </w:r>
          </w:p>
        </w:tc>
        <w:tc>
          <w:tcPr>
            <w:tcW w:w="1722" w:type="dxa"/>
            <w:noWrap/>
            <w:vAlign w:val="center"/>
          </w:tcPr>
          <w:p w14:paraId="4BCDC003" w14:textId="77777777" w:rsidR="00C71CAA" w:rsidRPr="001570EA" w:rsidRDefault="00C71CAA">
            <w:pPr>
              <w:jc w:val="center"/>
              <w:rPr>
                <w:rFonts w:cs="Arial"/>
                <w:sz w:val="18"/>
                <w:szCs w:val="18"/>
              </w:rPr>
            </w:pPr>
            <w:r w:rsidRPr="001570EA">
              <w:rPr>
                <w:rFonts w:cs="Arial"/>
                <w:color w:val="000000"/>
                <w:sz w:val="18"/>
                <w:szCs w:val="18"/>
              </w:rPr>
              <w:t>0.0199</w:t>
            </w:r>
          </w:p>
        </w:tc>
        <w:tc>
          <w:tcPr>
            <w:tcW w:w="1722" w:type="dxa"/>
            <w:vAlign w:val="center"/>
          </w:tcPr>
          <w:p w14:paraId="2F4C1147" w14:textId="77777777" w:rsidR="00C71CAA" w:rsidRPr="001570EA" w:rsidRDefault="00C71CAA">
            <w:pPr>
              <w:jc w:val="center"/>
              <w:rPr>
                <w:rFonts w:cs="Arial"/>
                <w:color w:val="000000"/>
                <w:sz w:val="18"/>
                <w:szCs w:val="18"/>
              </w:rPr>
            </w:pPr>
            <w:r w:rsidRPr="001570EA">
              <w:rPr>
                <w:rFonts w:cs="Arial"/>
                <w:color w:val="000000"/>
                <w:sz w:val="18"/>
                <w:szCs w:val="18"/>
              </w:rPr>
              <w:t>0.0333</w:t>
            </w:r>
          </w:p>
        </w:tc>
      </w:tr>
      <w:tr w:rsidR="00C71CAA" w:rsidRPr="001570EA" w14:paraId="4C744876" w14:textId="77777777">
        <w:trPr>
          <w:trHeight w:val="1215"/>
        </w:trPr>
        <w:tc>
          <w:tcPr>
            <w:tcW w:w="1619" w:type="dxa"/>
            <w:noWrap/>
            <w:vAlign w:val="center"/>
            <w:hideMark/>
          </w:tcPr>
          <w:p w14:paraId="659C6766" w14:textId="77777777" w:rsidR="00C71CAA" w:rsidRPr="001570EA" w:rsidRDefault="00C71CAA">
            <w:pPr>
              <w:jc w:val="center"/>
              <w:rPr>
                <w:rFonts w:cs="Arial"/>
                <w:color w:val="000000"/>
                <w:sz w:val="18"/>
                <w:szCs w:val="18"/>
              </w:rPr>
            </w:pPr>
            <w:r w:rsidRPr="001570EA">
              <w:rPr>
                <w:rFonts w:cs="Arial"/>
                <w:color w:val="000000"/>
                <w:sz w:val="18"/>
                <w:szCs w:val="18"/>
              </w:rPr>
              <w:t>HPWH</w:t>
            </w:r>
          </w:p>
        </w:tc>
        <w:tc>
          <w:tcPr>
            <w:tcW w:w="1230" w:type="dxa"/>
            <w:vAlign w:val="center"/>
          </w:tcPr>
          <w:p w14:paraId="3C379802" w14:textId="77777777" w:rsidR="00C71CAA" w:rsidRPr="001570EA" w:rsidRDefault="00C71CAA">
            <w:pPr>
              <w:jc w:val="center"/>
              <w:rPr>
                <w:rFonts w:cs="Arial"/>
                <w:color w:val="000000"/>
                <w:sz w:val="18"/>
                <w:szCs w:val="18"/>
              </w:rPr>
            </w:pPr>
            <w:r w:rsidRPr="001570EA">
              <w:rPr>
                <w:rFonts w:cs="Arial"/>
                <w:color w:val="000000"/>
                <w:sz w:val="18"/>
                <w:szCs w:val="18"/>
              </w:rPr>
              <w:t>0</w:t>
            </w:r>
          </w:p>
        </w:tc>
        <w:tc>
          <w:tcPr>
            <w:tcW w:w="738" w:type="dxa"/>
            <w:noWrap/>
            <w:vAlign w:val="center"/>
            <w:hideMark/>
          </w:tcPr>
          <w:p w14:paraId="3BCF6A68" w14:textId="77777777" w:rsidR="00C71CAA" w:rsidRPr="001570EA" w:rsidRDefault="00C71CAA">
            <w:pPr>
              <w:jc w:val="center"/>
              <w:rPr>
                <w:rFonts w:cs="Arial"/>
                <w:color w:val="000000"/>
                <w:sz w:val="18"/>
                <w:szCs w:val="18"/>
              </w:rPr>
            </w:pPr>
            <w:r w:rsidRPr="001570EA">
              <w:rPr>
                <w:rFonts w:cs="Arial"/>
                <w:color w:val="000000"/>
                <w:sz w:val="18"/>
                <w:szCs w:val="18"/>
              </w:rPr>
              <w:t>3.11</w:t>
            </w:r>
          </w:p>
        </w:tc>
        <w:tc>
          <w:tcPr>
            <w:tcW w:w="984" w:type="dxa"/>
            <w:noWrap/>
            <w:vAlign w:val="center"/>
            <w:hideMark/>
          </w:tcPr>
          <w:p w14:paraId="1F31DDEB" w14:textId="77777777" w:rsidR="00C71CAA" w:rsidRPr="001570EA" w:rsidRDefault="00C71CAA">
            <w:pPr>
              <w:jc w:val="center"/>
              <w:rPr>
                <w:rFonts w:cs="Arial"/>
                <w:color w:val="000000"/>
                <w:sz w:val="18"/>
                <w:szCs w:val="18"/>
              </w:rPr>
            </w:pPr>
            <w:r w:rsidRPr="001570EA">
              <w:rPr>
                <w:rFonts w:cs="Arial"/>
                <w:color w:val="000000"/>
                <w:sz w:val="18"/>
                <w:szCs w:val="18"/>
              </w:rPr>
              <w:t>2.80</w:t>
            </w:r>
          </w:p>
        </w:tc>
        <w:tc>
          <w:tcPr>
            <w:tcW w:w="1476" w:type="dxa"/>
            <w:noWrap/>
            <w:vAlign w:val="center"/>
          </w:tcPr>
          <w:p w14:paraId="571B3472" w14:textId="77777777" w:rsidR="00C71CAA" w:rsidRPr="001570EA" w:rsidRDefault="00C71CAA">
            <w:pPr>
              <w:jc w:val="center"/>
              <w:rPr>
                <w:rFonts w:cs="Arial"/>
                <w:color w:val="000000"/>
                <w:sz w:val="18"/>
                <w:szCs w:val="18"/>
              </w:rPr>
            </w:pPr>
            <w:r w:rsidRPr="001570EA">
              <w:rPr>
                <w:rFonts w:cs="Arial"/>
                <w:color w:val="000000"/>
                <w:sz w:val="18"/>
                <w:szCs w:val="18"/>
              </w:rPr>
              <w:t>18.9</w:t>
            </w:r>
          </w:p>
        </w:tc>
        <w:tc>
          <w:tcPr>
            <w:tcW w:w="1722" w:type="dxa"/>
            <w:noWrap/>
            <w:vAlign w:val="center"/>
          </w:tcPr>
          <w:p w14:paraId="49B7DC78" w14:textId="77777777" w:rsidR="00C71CAA" w:rsidRPr="001570EA" w:rsidRDefault="00C71CAA">
            <w:pPr>
              <w:jc w:val="center"/>
              <w:rPr>
                <w:rFonts w:cs="Arial"/>
                <w:color w:val="000000"/>
                <w:sz w:val="18"/>
                <w:szCs w:val="18"/>
              </w:rPr>
            </w:pPr>
            <w:r w:rsidRPr="001570EA">
              <w:rPr>
                <w:rFonts w:cs="Arial"/>
                <w:color w:val="000000"/>
                <w:sz w:val="18"/>
                <w:szCs w:val="18"/>
              </w:rPr>
              <w:t>0.0020</w:t>
            </w:r>
          </w:p>
        </w:tc>
        <w:tc>
          <w:tcPr>
            <w:tcW w:w="1722" w:type="dxa"/>
            <w:vAlign w:val="center"/>
          </w:tcPr>
          <w:p w14:paraId="2D91C661" w14:textId="77777777" w:rsidR="00C71CAA" w:rsidRPr="001570EA" w:rsidRDefault="00C71CAA">
            <w:pPr>
              <w:jc w:val="center"/>
              <w:rPr>
                <w:rFonts w:cs="Arial"/>
                <w:color w:val="000000"/>
                <w:sz w:val="18"/>
                <w:szCs w:val="18"/>
              </w:rPr>
            </w:pPr>
            <w:r w:rsidRPr="001570EA">
              <w:rPr>
                <w:rFonts w:cs="Arial"/>
                <w:color w:val="000000"/>
                <w:sz w:val="18"/>
                <w:szCs w:val="18"/>
              </w:rPr>
              <w:t>0.0033</w:t>
            </w:r>
          </w:p>
        </w:tc>
      </w:tr>
      <w:tr w:rsidR="00C71CAA" w:rsidRPr="001570EA" w14:paraId="51D36740" w14:textId="77777777">
        <w:trPr>
          <w:trHeight w:val="1215"/>
        </w:trPr>
        <w:tc>
          <w:tcPr>
            <w:tcW w:w="1619" w:type="dxa"/>
            <w:noWrap/>
            <w:vAlign w:val="center"/>
          </w:tcPr>
          <w:p w14:paraId="240CACD0" w14:textId="77777777" w:rsidR="00C71CAA" w:rsidRPr="001570EA" w:rsidRDefault="00C71CAA">
            <w:pPr>
              <w:jc w:val="center"/>
              <w:rPr>
                <w:rFonts w:cs="Arial"/>
                <w:color w:val="000000"/>
                <w:sz w:val="18"/>
                <w:szCs w:val="18"/>
              </w:rPr>
            </w:pPr>
            <w:r w:rsidRPr="001570EA">
              <w:rPr>
                <w:rFonts w:cs="Arial"/>
                <w:color w:val="000000"/>
                <w:sz w:val="18"/>
                <w:szCs w:val="18"/>
              </w:rPr>
              <w:t>HPWH w/Clothes Washer</w:t>
            </w:r>
          </w:p>
        </w:tc>
        <w:tc>
          <w:tcPr>
            <w:tcW w:w="1230" w:type="dxa"/>
            <w:vAlign w:val="center"/>
          </w:tcPr>
          <w:p w14:paraId="154E6827" w14:textId="77777777" w:rsidR="00C71CAA" w:rsidRPr="001570EA" w:rsidRDefault="00C71CAA">
            <w:pPr>
              <w:jc w:val="center"/>
              <w:rPr>
                <w:rFonts w:cs="Arial"/>
                <w:color w:val="000000"/>
                <w:sz w:val="18"/>
                <w:szCs w:val="18"/>
              </w:rPr>
            </w:pPr>
            <w:r w:rsidRPr="001570EA">
              <w:rPr>
                <w:rFonts w:cs="Arial"/>
                <w:color w:val="000000"/>
                <w:sz w:val="18"/>
                <w:szCs w:val="18"/>
              </w:rPr>
              <w:t>251</w:t>
            </w:r>
          </w:p>
        </w:tc>
        <w:tc>
          <w:tcPr>
            <w:tcW w:w="738" w:type="dxa"/>
            <w:noWrap/>
            <w:vAlign w:val="center"/>
          </w:tcPr>
          <w:p w14:paraId="7BFE69AB" w14:textId="77777777" w:rsidR="00C71CAA" w:rsidRPr="001570EA" w:rsidRDefault="00C71CAA">
            <w:pPr>
              <w:jc w:val="center"/>
              <w:rPr>
                <w:rFonts w:cs="Arial"/>
                <w:color w:val="000000"/>
                <w:sz w:val="18"/>
                <w:szCs w:val="18"/>
              </w:rPr>
            </w:pPr>
            <w:r w:rsidRPr="001570EA">
              <w:rPr>
                <w:rFonts w:cs="Arial"/>
                <w:color w:val="000000"/>
                <w:sz w:val="18"/>
                <w:szCs w:val="18"/>
              </w:rPr>
              <w:t>3.11</w:t>
            </w:r>
          </w:p>
        </w:tc>
        <w:tc>
          <w:tcPr>
            <w:tcW w:w="984" w:type="dxa"/>
            <w:noWrap/>
            <w:vAlign w:val="center"/>
          </w:tcPr>
          <w:p w14:paraId="6A28CC97" w14:textId="77777777" w:rsidR="00C71CAA" w:rsidRPr="001570EA" w:rsidRDefault="00C71CAA">
            <w:pPr>
              <w:jc w:val="center"/>
              <w:rPr>
                <w:rFonts w:cs="Arial"/>
                <w:color w:val="000000"/>
                <w:sz w:val="18"/>
                <w:szCs w:val="18"/>
              </w:rPr>
            </w:pPr>
            <w:r w:rsidRPr="001570EA">
              <w:rPr>
                <w:rFonts w:cs="Arial"/>
                <w:color w:val="000000"/>
                <w:sz w:val="18"/>
                <w:szCs w:val="18"/>
              </w:rPr>
              <w:t>2.80</w:t>
            </w:r>
          </w:p>
        </w:tc>
        <w:tc>
          <w:tcPr>
            <w:tcW w:w="1476" w:type="dxa"/>
            <w:noWrap/>
            <w:vAlign w:val="center"/>
          </w:tcPr>
          <w:p w14:paraId="3A3DA648" w14:textId="77777777" w:rsidR="00C71CAA" w:rsidRPr="001570EA" w:rsidRDefault="00C71CAA">
            <w:pPr>
              <w:jc w:val="center"/>
              <w:rPr>
                <w:rFonts w:cs="Arial"/>
                <w:color w:val="000000"/>
                <w:sz w:val="18"/>
                <w:szCs w:val="18"/>
              </w:rPr>
            </w:pPr>
            <w:r w:rsidRPr="001570EA">
              <w:rPr>
                <w:rFonts w:cs="Arial"/>
                <w:color w:val="000000"/>
                <w:sz w:val="18"/>
                <w:szCs w:val="18"/>
              </w:rPr>
              <w:t>67.0</w:t>
            </w:r>
          </w:p>
        </w:tc>
        <w:tc>
          <w:tcPr>
            <w:tcW w:w="1722" w:type="dxa"/>
            <w:noWrap/>
            <w:vAlign w:val="center"/>
          </w:tcPr>
          <w:p w14:paraId="6A20E16F" w14:textId="77777777" w:rsidR="00C71CAA" w:rsidRPr="001570EA" w:rsidRDefault="00C71CAA">
            <w:pPr>
              <w:jc w:val="center"/>
              <w:rPr>
                <w:rFonts w:cs="Arial"/>
                <w:color w:val="000000"/>
                <w:sz w:val="18"/>
                <w:szCs w:val="18"/>
              </w:rPr>
            </w:pPr>
            <w:r w:rsidRPr="001570EA">
              <w:rPr>
                <w:rFonts w:cs="Arial"/>
                <w:color w:val="000000"/>
                <w:sz w:val="18"/>
                <w:szCs w:val="18"/>
              </w:rPr>
              <w:t>0.0070</w:t>
            </w:r>
          </w:p>
        </w:tc>
        <w:tc>
          <w:tcPr>
            <w:tcW w:w="1722" w:type="dxa"/>
            <w:vAlign w:val="center"/>
          </w:tcPr>
          <w:p w14:paraId="0A7551E5" w14:textId="77777777" w:rsidR="00C71CAA" w:rsidRPr="001570EA" w:rsidRDefault="00C71CAA">
            <w:pPr>
              <w:jc w:val="center"/>
              <w:rPr>
                <w:rFonts w:cs="Arial"/>
                <w:color w:val="000000"/>
                <w:sz w:val="18"/>
                <w:szCs w:val="18"/>
              </w:rPr>
            </w:pPr>
            <w:r w:rsidRPr="001570EA">
              <w:rPr>
                <w:rFonts w:cs="Arial"/>
                <w:color w:val="000000"/>
                <w:sz w:val="18"/>
                <w:szCs w:val="18"/>
              </w:rPr>
              <w:t>0.0117</w:t>
            </w:r>
          </w:p>
        </w:tc>
      </w:tr>
    </w:tbl>
    <w:p w14:paraId="362CF0C5" w14:textId="77777777" w:rsidR="00C71CAA" w:rsidRPr="001570EA" w:rsidRDefault="00C71CAA" w:rsidP="00C71CAA">
      <w:pPr>
        <w:pStyle w:val="SubStyle"/>
      </w:pPr>
    </w:p>
    <w:p w14:paraId="751D8C55" w14:textId="77777777" w:rsidR="00C71CAA" w:rsidRPr="001570EA" w:rsidRDefault="00C71CAA" w:rsidP="00C71CAA">
      <w:pPr>
        <w:pStyle w:val="SubStyle"/>
      </w:pPr>
      <w:r w:rsidRPr="001570EA">
        <w:t>Evaluation Protocols</w:t>
      </w:r>
    </w:p>
    <w:p w14:paraId="099D7FC2" w14:textId="77777777" w:rsidR="00C71CAA" w:rsidRPr="001570EA" w:rsidRDefault="00C71CAA" w:rsidP="00C71CAA">
      <w:pPr>
        <w:pStyle w:val="BodyText"/>
        <w:ind w:right="0"/>
      </w:pPr>
      <w:r w:rsidRPr="001570EA">
        <w:t>The most appropriate evaluation protocol for this measure is verification of water heater temperature setpoint coupled with assignment of stipulated energy savings.</w:t>
      </w:r>
    </w:p>
    <w:p w14:paraId="7A3AF816" w14:textId="77777777" w:rsidR="00C71CAA" w:rsidRPr="001570EA" w:rsidRDefault="00C71CAA" w:rsidP="00C71CAA">
      <w:pPr>
        <w:pStyle w:val="SubStyle"/>
      </w:pPr>
    </w:p>
    <w:p w14:paraId="434C5030" w14:textId="77777777" w:rsidR="00C71CAA" w:rsidRPr="001570EA" w:rsidRDefault="00C71CAA" w:rsidP="00C71CAA">
      <w:pPr>
        <w:pStyle w:val="SubStyle"/>
      </w:pPr>
      <w:r w:rsidRPr="001570EA">
        <w:t>Sources</w:t>
      </w:r>
    </w:p>
    <w:p w14:paraId="61AD265D" w14:textId="17B8314A" w:rsidR="00C71CAA" w:rsidRPr="001570EA" w:rsidDel="00A75DAB" w:rsidRDefault="00C71CAA" w:rsidP="002614D2">
      <w:pPr>
        <w:pStyle w:val="source10"/>
        <w:numPr>
          <w:ilvl w:val="0"/>
          <w:numId w:val="20"/>
        </w:numPr>
        <w:spacing w:after="120"/>
        <w:ind w:left="360"/>
      </w:pPr>
      <w:r w:rsidRPr="001570EA">
        <w:t xml:space="preserve">AHRI Directory. All electric storage water heaters have a recovery efficiency of 0.98. </w:t>
      </w:r>
      <w:hyperlink r:id="rId158" w:history="1">
        <w:r w:rsidRPr="001570EA">
          <w:rPr>
            <w:rStyle w:val="Hyperlink"/>
            <w:rFonts w:cs="Arial"/>
          </w:rPr>
          <w:t>Web</w:t>
        </w:r>
        <w:bookmarkStart w:id="459" w:name="_Hlt152938682"/>
        <w:bookmarkStart w:id="460" w:name="_Hlt152938683"/>
        <w:r w:rsidRPr="001570EA">
          <w:rPr>
            <w:rStyle w:val="Hyperlink"/>
            <w:rFonts w:cs="Arial"/>
          </w:rPr>
          <w:t>l</w:t>
        </w:r>
        <w:bookmarkEnd w:id="459"/>
        <w:bookmarkEnd w:id="460"/>
        <w:r w:rsidRPr="001570EA">
          <w:rPr>
            <w:rStyle w:val="Hyperlink"/>
            <w:rFonts w:cs="Arial"/>
          </w:rPr>
          <w:t>ink</w:t>
        </w:r>
      </w:hyperlink>
      <w:r w:rsidRPr="001570EA">
        <w:t xml:space="preserve"> </w:t>
      </w:r>
    </w:p>
    <w:p w14:paraId="4AA5B153" w14:textId="77777777" w:rsidR="00C71CAA" w:rsidRPr="001570EA" w:rsidDel="00A75DAB" w:rsidRDefault="00C71CAA" w:rsidP="002614D2">
      <w:pPr>
        <w:pStyle w:val="source10"/>
        <w:numPr>
          <w:ilvl w:val="0"/>
          <w:numId w:val="20"/>
        </w:numPr>
        <w:spacing w:after="120"/>
        <w:ind w:left="360"/>
      </w:pPr>
      <w:r w:rsidRPr="001570EA">
        <w:t xml:space="preserve">If HPWH UEF is known but COP of HPWH compressor is unknown, assume compressor efficiency is UEF/0.9. This yields a default COP of 3.11. Maryland EmPOWER Technical Reference Manual. (2023, version 11.0). “Water Heater Temperature Setback”. </w:t>
      </w:r>
    </w:p>
    <w:p w14:paraId="51909A70" w14:textId="2635CE35" w:rsidR="00C71CAA" w:rsidRPr="001570EA" w:rsidRDefault="00C71CAA" w:rsidP="002614D2">
      <w:pPr>
        <w:pStyle w:val="source10"/>
        <w:numPr>
          <w:ilvl w:val="0"/>
          <w:numId w:val="20"/>
        </w:numPr>
        <w:spacing w:after="120"/>
        <w:ind w:left="360"/>
      </w:pPr>
      <w:r w:rsidRPr="001570EA">
        <w:t xml:space="preserve">United States Department of Energy. Reduce Hot Water Use for Energy Savings. </w:t>
      </w:r>
      <w:hyperlink r:id="rId159" w:history="1">
        <w:r w:rsidRPr="001570EA">
          <w:rPr>
            <w:rStyle w:val="Hyperlink"/>
            <w:rFonts w:cs="Arial"/>
          </w:rPr>
          <w:t>Weblink</w:t>
        </w:r>
      </w:hyperlink>
    </w:p>
    <w:p w14:paraId="338199FF" w14:textId="6FD62CC3" w:rsidR="00C71CAA" w:rsidRPr="001570EA" w:rsidRDefault="00C71CAA" w:rsidP="002614D2">
      <w:pPr>
        <w:pStyle w:val="source10"/>
        <w:numPr>
          <w:ilvl w:val="0"/>
          <w:numId w:val="20"/>
        </w:numPr>
        <w:spacing w:after="120"/>
        <w:ind w:left="360"/>
        <w:jc w:val="left"/>
      </w:pPr>
      <w:r w:rsidRPr="001570EA">
        <w:t xml:space="preserve">U.S. Department of Energy. (2023). 2020 Residential Energy Consumption Survey. </w:t>
      </w:r>
      <w:hyperlink r:id="rId160" w:history="1">
        <w:r w:rsidRPr="001570EA">
          <w:rPr>
            <w:rStyle w:val="Hyperlink"/>
            <w:rFonts w:cs="Arial"/>
          </w:rPr>
          <w:t>Weblink</w:t>
        </w:r>
      </w:hyperlink>
      <w:r w:rsidRPr="001570EA">
        <w:t xml:space="preserve"> Calculated using “Frequency of clothes washer use” and “Frequency of dryer use” data for Pennsylvania.</w:t>
      </w:r>
    </w:p>
    <w:p w14:paraId="0DFDA747" w14:textId="77777777" w:rsidR="00C71CAA" w:rsidRPr="001570EA" w:rsidDel="00A75DAB" w:rsidRDefault="00C71CAA" w:rsidP="002614D2">
      <w:pPr>
        <w:pStyle w:val="source10"/>
        <w:numPr>
          <w:ilvl w:val="0"/>
          <w:numId w:val="20"/>
        </w:numPr>
        <w:spacing w:after="120"/>
        <w:ind w:left="360"/>
      </w:pPr>
      <w:r w:rsidRPr="001570EA" w:rsidDel="00A75DAB">
        <w:t>Engineering</w:t>
      </w:r>
      <w:r w:rsidRPr="001570EA">
        <w:t xml:space="preserve"> </w:t>
      </w:r>
      <w:r w:rsidRPr="001570EA" w:rsidDel="00A75DAB">
        <w:t>assumption</w:t>
      </w:r>
    </w:p>
    <w:p w14:paraId="570707E3" w14:textId="57C12968" w:rsidR="00C71CAA" w:rsidRPr="001570EA" w:rsidRDefault="00F33A17" w:rsidP="002614D2">
      <w:pPr>
        <w:pStyle w:val="source10"/>
        <w:numPr>
          <w:ilvl w:val="0"/>
          <w:numId w:val="20"/>
        </w:numPr>
        <w:spacing w:after="120"/>
        <w:ind w:left="360"/>
        <w:jc w:val="left"/>
      </w:pPr>
      <w:r w:rsidRPr="00F33A17">
        <w:t xml:space="preserve">NMR Group for the </w:t>
      </w:r>
      <w:r w:rsidR="00C71CAA" w:rsidRPr="001570EA">
        <w:t xml:space="preserve">Pennsylvania </w:t>
      </w:r>
      <w:r w:rsidRPr="00F33A17">
        <w:t xml:space="preserve">Public Utility Commission. (2024, March). 2023 Pennsylvania Statewide </w:t>
      </w:r>
      <w:r w:rsidR="00C71CAA" w:rsidRPr="001570EA">
        <w:t xml:space="preserve">Act 129 Residential Baseline Study. Section 8.3.5, </w:t>
      </w:r>
      <w:r w:rsidR="0044271C">
        <w:t>pa</w:t>
      </w:r>
      <w:r w:rsidR="00C71CAA" w:rsidRPr="001570EA">
        <w:t>g</w:t>
      </w:r>
      <w:r w:rsidR="0044271C">
        <w:t>e</w:t>
      </w:r>
      <w:r w:rsidR="00C71CAA" w:rsidRPr="001570EA">
        <w:t xml:space="preserve"> 128, Table 110. </w:t>
      </w:r>
      <w:hyperlink r:id="rId161" w:history="1">
        <w:r w:rsidR="00C71CAA" w:rsidRPr="001570EA">
          <w:rPr>
            <w:rStyle w:val="Hyperlink"/>
          </w:rPr>
          <w:t>Weblink</w:t>
        </w:r>
      </w:hyperlink>
    </w:p>
    <w:p w14:paraId="43C6790A" w14:textId="05D3EA5C" w:rsidR="00C71CAA" w:rsidRPr="001570EA" w:rsidRDefault="00C71CAA" w:rsidP="002614D2">
      <w:pPr>
        <w:pStyle w:val="source10"/>
        <w:numPr>
          <w:ilvl w:val="0"/>
          <w:numId w:val="20"/>
        </w:numPr>
        <w:overflowPunct/>
        <w:autoSpaceDE/>
        <w:autoSpaceDN/>
        <w:spacing w:after="120"/>
        <w:ind w:left="360"/>
        <w:jc w:val="left"/>
        <w:textAlignment w:val="auto"/>
      </w:pPr>
      <w:r w:rsidRPr="001570EA">
        <w:t xml:space="preserve">Wilson et al. 2021. End-Use Load Profiles for the U.S. Building Stock: Methodology and Results of Model Calibration, Validation, and Uncertainty Quantification. NREL/TP-5500-80889. </w:t>
      </w:r>
      <w:hyperlink r:id="rId162" w:history="1">
        <w:r w:rsidRPr="001570EA">
          <w:rPr>
            <w:rStyle w:val="Hyperlink"/>
            <w:rFonts w:cs="Arial"/>
          </w:rPr>
          <w:t>Weblink</w:t>
        </w:r>
      </w:hyperlink>
    </w:p>
    <w:p w14:paraId="301E4BDA" w14:textId="77777777" w:rsidR="00C71CAA" w:rsidRPr="001570EA" w:rsidRDefault="00C71CAA" w:rsidP="002614D2">
      <w:pPr>
        <w:pStyle w:val="source10"/>
        <w:numPr>
          <w:ilvl w:val="0"/>
          <w:numId w:val="20"/>
        </w:numPr>
        <w:spacing w:after="120"/>
        <w:ind w:left="360"/>
      </w:pPr>
      <w:r w:rsidRPr="001570EA">
        <w:t>Conservative estimate of R-12</w:t>
      </w:r>
    </w:p>
    <w:p w14:paraId="1550AE29" w14:textId="7F4CAFDF" w:rsidR="00C71CAA" w:rsidRPr="001570EA" w:rsidRDefault="00C71CAA" w:rsidP="002614D2">
      <w:pPr>
        <w:pStyle w:val="ListParagraph"/>
        <w:numPr>
          <w:ilvl w:val="0"/>
          <w:numId w:val="20"/>
        </w:numPr>
        <w:spacing w:after="120"/>
        <w:ind w:left="360"/>
        <w:textAlignment w:val="auto"/>
        <w:rPr>
          <w:rStyle w:val="Hyperlink"/>
          <w:rFonts w:eastAsiaTheme="minorHAnsi"/>
          <w:color w:val="auto"/>
          <w:u w:val="none"/>
        </w:rPr>
      </w:pPr>
      <w:r w:rsidRPr="001570EA">
        <w:t xml:space="preserve">Illinois Statewide Technical Reference Manual for Energy Efficiency Version. (2023, version 11.0). “5.4.6 Water Heater Temperature Setback”. </w:t>
      </w:r>
      <w:hyperlink r:id="rId163" w:history="1">
        <w:r w:rsidRPr="001570EA">
          <w:rPr>
            <w:rStyle w:val="Hyperlink"/>
          </w:rPr>
          <w:t>Weblink</w:t>
        </w:r>
      </w:hyperlink>
      <w:r w:rsidRPr="001570EA">
        <w:t xml:space="preserve"> </w:t>
      </w:r>
    </w:p>
    <w:p w14:paraId="533604B4" w14:textId="4617C6FA" w:rsidR="00C71CAA" w:rsidRPr="001570EA" w:rsidRDefault="00C71CAA" w:rsidP="002614D2">
      <w:pPr>
        <w:pStyle w:val="ListParagraph"/>
        <w:numPr>
          <w:ilvl w:val="0"/>
          <w:numId w:val="20"/>
        </w:numPr>
        <w:spacing w:after="120"/>
        <w:ind w:left="360"/>
        <w:textAlignment w:val="auto"/>
        <w:rPr>
          <w:rFonts w:eastAsiaTheme="minorHAnsi"/>
        </w:rPr>
      </w:pPr>
      <w:r w:rsidRPr="001570EA">
        <w:t xml:space="preserve">Pennsylvania Act 129 2014 Residential Baseline Study. Section 4.6.1, </w:t>
      </w:r>
      <w:r w:rsidR="0044271C">
        <w:t>pa</w:t>
      </w:r>
      <w:r w:rsidRPr="001570EA">
        <w:t>g</w:t>
      </w:r>
      <w:r w:rsidR="0044271C">
        <w:t>e</w:t>
      </w:r>
      <w:r w:rsidRPr="001570EA">
        <w:t xml:space="preserve"> 60, Table 4-64. </w:t>
      </w:r>
      <w:hyperlink r:id="rId164" w:history="1">
        <w:r w:rsidRPr="001570EA">
          <w:rPr>
            <w:rStyle w:val="Hyperlink"/>
          </w:rPr>
          <w:t>Weblink</w:t>
        </w:r>
      </w:hyperlink>
    </w:p>
    <w:p w14:paraId="5A5F54DE" w14:textId="77777777" w:rsidR="00C71CAA" w:rsidRPr="001570EA" w:rsidRDefault="00C71CAA" w:rsidP="00C71CAA">
      <w:pPr>
        <w:pStyle w:val="source10"/>
        <w:spacing w:after="120"/>
        <w:jc w:val="left"/>
        <w:textAlignment w:val="auto"/>
        <w:rPr>
          <w:rStyle w:val="Hyperlink"/>
          <w:rFonts w:cs="Arial"/>
        </w:rPr>
      </w:pPr>
      <w:bookmarkStart w:id="461" w:name="_Toc364420790"/>
      <w:bookmarkStart w:id="462" w:name="_Toc373320427"/>
      <w:bookmarkStart w:id="463" w:name="_Toc364760905"/>
      <w:bookmarkStart w:id="464" w:name="_Toc530141480"/>
    </w:p>
    <w:p w14:paraId="16479C92" w14:textId="77777777" w:rsidR="00C71CAA" w:rsidRPr="001570EA" w:rsidRDefault="00C71CAA" w:rsidP="00C71CAA">
      <w:pPr>
        <w:pStyle w:val="source10"/>
        <w:spacing w:after="120"/>
        <w:jc w:val="left"/>
        <w:textAlignment w:val="auto"/>
        <w:rPr>
          <w:rStyle w:val="Hyperlink"/>
          <w:rFonts w:cs="Arial"/>
        </w:rPr>
        <w:sectPr w:rsidR="00C71CAA" w:rsidRPr="001570EA" w:rsidSect="002D556C">
          <w:pgSz w:w="12240" w:h="15840"/>
          <w:pgMar w:top="1440" w:right="1800" w:bottom="1440" w:left="1800" w:header="720" w:footer="501" w:gutter="0"/>
          <w:cols w:space="720"/>
        </w:sectPr>
      </w:pPr>
    </w:p>
    <w:p w14:paraId="544E514C" w14:textId="77777777" w:rsidR="00C71CAA" w:rsidRPr="001570EA" w:rsidRDefault="00C71CAA" w:rsidP="00462D97">
      <w:pPr>
        <w:pStyle w:val="Heading3"/>
      </w:pPr>
      <w:bookmarkStart w:id="465" w:name="_Toc48143034"/>
      <w:bookmarkStart w:id="466" w:name="_Toc164786653"/>
      <w:r w:rsidRPr="001570EA">
        <w:t>Water Heater Pipe Insulation</w:t>
      </w:r>
      <w:bookmarkEnd w:id="461"/>
      <w:bookmarkEnd w:id="462"/>
      <w:bookmarkEnd w:id="463"/>
      <w:bookmarkEnd w:id="464"/>
      <w:bookmarkEnd w:id="465"/>
      <w:bookmarkEnd w:id="466"/>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05"/>
        <w:gridCol w:w="5007"/>
      </w:tblGrid>
      <w:tr w:rsidR="00C71CAA" w:rsidRPr="001570EA" w14:paraId="5DADCB99"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5B91BCA8" w14:textId="77777777" w:rsidR="00C71CAA" w:rsidRPr="001570EA" w:rsidRDefault="00C71CAA">
            <w:pPr>
              <w:pStyle w:val="TableCell"/>
              <w:spacing w:before="60" w:after="60"/>
              <w:rPr>
                <w:b/>
                <w:bCs/>
                <w:color w:val="000000"/>
              </w:rPr>
            </w:pPr>
            <w:r w:rsidRPr="001570EA">
              <w:rPr>
                <w:b/>
                <w:bCs/>
                <w:color w:val="000000"/>
              </w:rPr>
              <w:t>Target Sector</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0FF5007" w14:textId="77777777" w:rsidR="00C71CAA" w:rsidRPr="001570EA" w:rsidRDefault="00C71CAA">
            <w:pPr>
              <w:pStyle w:val="TableCell"/>
              <w:spacing w:before="60" w:after="60"/>
              <w:jc w:val="center"/>
              <w:rPr>
                <w:color w:val="000000"/>
              </w:rPr>
            </w:pPr>
            <w:r w:rsidRPr="001570EA">
              <w:rPr>
                <w:color w:val="000000"/>
              </w:rPr>
              <w:t xml:space="preserve">Residential </w:t>
            </w:r>
          </w:p>
        </w:tc>
      </w:tr>
      <w:tr w:rsidR="00C71CAA" w:rsidRPr="001570EA" w14:paraId="64568405"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6F68891E" w14:textId="77777777" w:rsidR="00C71CAA" w:rsidRPr="001570EA" w:rsidRDefault="00C71CAA">
            <w:pPr>
              <w:pStyle w:val="TableCell"/>
              <w:spacing w:before="60" w:after="60"/>
              <w:rPr>
                <w:b/>
                <w:bCs/>
                <w:color w:val="000000"/>
              </w:rPr>
            </w:pPr>
            <w:r w:rsidRPr="001570EA">
              <w:rPr>
                <w:b/>
                <w:bCs/>
                <w:color w:val="000000"/>
              </w:rPr>
              <w:t>Measure Unit</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186135B8" w14:textId="77777777" w:rsidR="00C71CAA" w:rsidRPr="001570EA" w:rsidRDefault="00C71CAA">
            <w:pPr>
              <w:pStyle w:val="TableCell"/>
              <w:spacing w:before="60" w:after="60"/>
              <w:jc w:val="center"/>
              <w:rPr>
                <w:color w:val="000000"/>
              </w:rPr>
            </w:pPr>
            <w:r w:rsidRPr="001570EA">
              <w:rPr>
                <w:color w:val="000000"/>
              </w:rPr>
              <w:t>Water Heater</w:t>
            </w:r>
          </w:p>
        </w:tc>
      </w:tr>
      <w:tr w:rsidR="00C71CAA" w:rsidRPr="001570EA" w14:paraId="350E2748"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613AC26" w14:textId="77777777" w:rsidR="00C71CAA" w:rsidRPr="001570EA" w:rsidRDefault="00C71CAA">
            <w:pPr>
              <w:pStyle w:val="TableCell"/>
              <w:spacing w:before="60" w:after="60"/>
              <w:rPr>
                <w:b/>
                <w:bCs/>
                <w:color w:val="000000"/>
              </w:rPr>
            </w:pPr>
            <w:r w:rsidRPr="001570EA">
              <w:rPr>
                <w:b/>
                <w:bCs/>
                <w:color w:val="000000"/>
              </w:rPr>
              <w:t>Measure Life</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1BC02312" w14:textId="77777777" w:rsidR="00C71CAA" w:rsidRPr="001570EA" w:rsidRDefault="00C71CAA">
            <w:pPr>
              <w:pStyle w:val="TableCell"/>
              <w:spacing w:before="60" w:after="60"/>
              <w:jc w:val="center"/>
              <w:rPr>
                <w:color w:val="000000"/>
                <w:vertAlign w:val="superscript"/>
              </w:rPr>
            </w:pPr>
            <w:r w:rsidRPr="001570EA">
              <w:rPr>
                <w:color w:val="000000"/>
              </w:rPr>
              <w:t>11 years</w:t>
            </w:r>
            <w:r w:rsidRPr="001570EA">
              <w:rPr>
                <w:color w:val="000000"/>
                <w:vertAlign w:val="superscript"/>
              </w:rPr>
              <w:t>Source 1</w:t>
            </w:r>
          </w:p>
        </w:tc>
      </w:tr>
      <w:tr w:rsidR="00C71CAA" w:rsidRPr="001570EA" w14:paraId="4441D89B"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7B05C267" w14:textId="77777777" w:rsidR="00C71CAA" w:rsidRPr="001570EA" w:rsidRDefault="00C71CAA">
            <w:pPr>
              <w:pStyle w:val="TableCell"/>
              <w:spacing w:before="60" w:after="60"/>
              <w:rPr>
                <w:b/>
                <w:bCs/>
                <w:color w:val="000000"/>
              </w:rPr>
            </w:pPr>
            <w:r w:rsidRPr="001570EA">
              <w:rPr>
                <w:b/>
                <w:bCs/>
                <w:color w:val="000000"/>
              </w:rPr>
              <w:t>Vintage</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26FFF40A" w14:textId="77777777" w:rsidR="00C71CAA" w:rsidRPr="001570EA" w:rsidRDefault="00C71CAA">
            <w:pPr>
              <w:pStyle w:val="TableCell"/>
              <w:spacing w:before="60" w:after="60"/>
              <w:jc w:val="center"/>
              <w:rPr>
                <w:color w:val="000000"/>
              </w:rPr>
            </w:pPr>
            <w:r w:rsidRPr="001570EA">
              <w:rPr>
                <w:color w:val="000000"/>
              </w:rPr>
              <w:t>Retrofit</w:t>
            </w:r>
          </w:p>
        </w:tc>
      </w:tr>
    </w:tbl>
    <w:p w14:paraId="2D1F9C42" w14:textId="77777777" w:rsidR="00C71CAA" w:rsidRPr="001570EA" w:rsidRDefault="00C71CAA" w:rsidP="00C71CAA"/>
    <w:p w14:paraId="30BA63AC" w14:textId="4D833087" w:rsidR="00C71CAA" w:rsidRPr="001570EA" w:rsidRDefault="00C71CAA" w:rsidP="00C71CAA">
      <w:pPr>
        <w:pStyle w:val="BodyText"/>
        <w:ind w:right="0"/>
      </w:pPr>
      <w:r w:rsidRPr="001570EA">
        <w:t>This measure relates to the installation of foam insulation on exposed pipe in unconditioned space. The baseline for this measure is a standard efficiency 50 gallon electric water heater (UEF=0.92) with an annual energy usage of 2,939 kWh.</w:t>
      </w:r>
      <w:r w:rsidRPr="001570EA">
        <w:rPr>
          <w:rStyle w:val="FootnoteReference"/>
        </w:rPr>
        <w:t xml:space="preserve"> </w:t>
      </w:r>
      <w:r w:rsidRPr="001570EA">
        <w:t xml:space="preserve">See </w:t>
      </w:r>
      <w:r w:rsidRPr="001570EA">
        <w:fldChar w:fldCharType="begin"/>
      </w:r>
      <w:r w:rsidRPr="001570EA">
        <w:instrText xml:space="preserve"> REF _Ref533698576 \r \h  \* MERGEFORMAT </w:instrText>
      </w:r>
      <w:r w:rsidRPr="001570EA">
        <w:fldChar w:fldCharType="separate"/>
      </w:r>
      <w:r w:rsidR="00234C6C" w:rsidRPr="001570EA">
        <w:t>2.3.1</w:t>
      </w:r>
      <w:r w:rsidRPr="001570EA">
        <w:fldChar w:fldCharType="end"/>
      </w:r>
      <w:r w:rsidRPr="001570EA">
        <w:t xml:space="preserve"> </w:t>
      </w:r>
      <w:r w:rsidRPr="001570EA">
        <w:fldChar w:fldCharType="begin"/>
      </w:r>
      <w:r w:rsidRPr="001570EA">
        <w:instrText xml:space="preserve"> REF _Ref533698580 \h  \* MERGEFORMAT </w:instrText>
      </w:r>
      <w:r w:rsidRPr="001570EA">
        <w:fldChar w:fldCharType="separate"/>
      </w:r>
      <w:r w:rsidR="00234C6C" w:rsidRPr="001570EA">
        <w:t>Heat Pump Water Heaters</w:t>
      </w:r>
      <w:r w:rsidRPr="001570EA">
        <w:fldChar w:fldCharType="end"/>
      </w:r>
      <w:r w:rsidRPr="001570EA">
        <w:t xml:space="preserve"> section for baseline water heater consumption formula and assumptions. </w:t>
      </w:r>
    </w:p>
    <w:p w14:paraId="798E9333" w14:textId="77777777" w:rsidR="00C71CAA" w:rsidRPr="001570EA" w:rsidRDefault="00C71CAA" w:rsidP="00C71CAA"/>
    <w:p w14:paraId="6DB203EF" w14:textId="77777777" w:rsidR="00C71CAA" w:rsidRPr="001570EA" w:rsidRDefault="00C71CAA" w:rsidP="00C71CAA">
      <w:pPr>
        <w:pStyle w:val="SubStyle"/>
      </w:pPr>
      <w:r w:rsidRPr="001570EA">
        <w:t>Eligibility</w:t>
      </w:r>
    </w:p>
    <w:p w14:paraId="614DE421" w14:textId="77777777" w:rsidR="00C71CAA" w:rsidRPr="001570EA" w:rsidRDefault="00C71CAA" w:rsidP="00C71CAA">
      <w:pPr>
        <w:pStyle w:val="BodyText"/>
        <w:ind w:right="0"/>
      </w:pPr>
      <w:r w:rsidRPr="001570EA">
        <w:t>This protocol documents the energy savings for an electric water heater attributable to insulating exposed pipe in unconditioned space to R-3 or above.</w:t>
      </w:r>
    </w:p>
    <w:p w14:paraId="0435AD05" w14:textId="77777777" w:rsidR="00C71CAA" w:rsidRPr="001570EA" w:rsidRDefault="00C71CAA" w:rsidP="00C71CAA"/>
    <w:p w14:paraId="1A3B42EE" w14:textId="77777777" w:rsidR="00C71CAA" w:rsidRPr="001570EA" w:rsidRDefault="00C71CAA" w:rsidP="00C71CAA">
      <w:pPr>
        <w:pStyle w:val="SubStyle"/>
      </w:pPr>
      <w:r w:rsidRPr="001570EA">
        <w:t>Algorithms</w:t>
      </w:r>
    </w:p>
    <w:p w14:paraId="6E835B15" w14:textId="77777777" w:rsidR="00C71CAA" w:rsidRPr="001570EA" w:rsidRDefault="00C71CAA" w:rsidP="00C71CAA">
      <w:pPr>
        <w:pStyle w:val="NoSpacing"/>
      </w:pPr>
      <w:r w:rsidRPr="001570EA">
        <w:t xml:space="preserve">The algorithms below calculate the total savings resulting from adding insulation to uninsulated pipes. </w:t>
      </w:r>
    </w:p>
    <w:p w14:paraId="404A1E6E" w14:textId="77777777" w:rsidR="00C71CAA" w:rsidRPr="001570EA" w:rsidRDefault="00C71CAA" w:rsidP="00C71CAA">
      <w:pPr>
        <w:pStyle w:val="Equation"/>
        <w:tabs>
          <w:tab w:val="clear" w:pos="2880"/>
          <w:tab w:val="left" w:pos="2160"/>
        </w:tabs>
        <w:ind w:left="0" w:firstLine="0"/>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475"/>
      </w:tblGrid>
      <w:tr w:rsidR="00C71CAA" w:rsidRPr="001570EA" w14:paraId="3E53FF49" w14:textId="77777777">
        <w:trPr>
          <w:trHeight w:val="720"/>
        </w:trPr>
        <w:tc>
          <w:tcPr>
            <w:tcW w:w="2155" w:type="dxa"/>
          </w:tcPr>
          <w:p w14:paraId="767E27B7" w14:textId="77777777" w:rsidR="00C71CAA" w:rsidRPr="001570EA" w:rsidRDefault="00C71CAA">
            <w:pPr>
              <w:pStyle w:val="BodyText"/>
              <w:rPr>
                <w:rFonts w:cs="Arial"/>
              </w:rPr>
            </w:pPr>
            <m:oMathPara>
              <m:oMathParaPr>
                <m:jc m:val="left"/>
              </m:oMathParaPr>
              <m:oMath>
                <m:r>
                  <w:rPr>
                    <w:rFonts w:ascii="Cambria Math" w:hAnsi="Cambria Math" w:cs="Arial"/>
                  </w:rPr>
                  <m:t>∆kWh=</m:t>
                </m:r>
              </m:oMath>
            </m:oMathPara>
          </w:p>
        </w:tc>
        <w:tc>
          <w:tcPr>
            <w:tcW w:w="6475" w:type="dxa"/>
          </w:tcPr>
          <w:p w14:paraId="60C69BCD" w14:textId="77777777" w:rsidR="00C71CAA" w:rsidRPr="001570EA" w:rsidRDefault="00C71CAA">
            <w:pPr>
              <w:pStyle w:val="BodyText"/>
              <w:rPr>
                <w:rFonts w:cs="Arial"/>
              </w:rPr>
            </w:pPr>
            <m:oMathPara>
              <m:oMathParaPr>
                <m:jc m:val="left"/>
              </m:oMathParaPr>
              <m:oMath>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R</m:t>
                            </m:r>
                          </m:e>
                          <m:sub>
                            <m:r>
                              <w:rPr>
                                <w:rFonts w:ascii="Cambria Math" w:hAnsi="Cambria Math" w:cs="Arial"/>
                              </w:rPr>
                              <m:t>exist</m:t>
                            </m:r>
                          </m:sub>
                        </m:sSub>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R</m:t>
                            </m:r>
                          </m:e>
                          <m:sub>
                            <m:r>
                              <w:rPr>
                                <w:rFonts w:ascii="Cambria Math" w:hAnsi="Cambria Math" w:cs="Arial"/>
                              </w:rPr>
                              <m:t>new</m:t>
                            </m:r>
                          </m:sub>
                        </m:sSub>
                      </m:den>
                    </m:f>
                  </m:e>
                </m:d>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inside</m:t>
                    </m:r>
                  </m:sub>
                </m:sSub>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effective</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T</m:t>
                        </m:r>
                      </m:e>
                      <m:sub>
                        <m:r>
                          <w:rPr>
                            <w:rFonts w:ascii="Cambria Math" w:hAnsi="Cambria Math" w:cs="Arial"/>
                          </w:rPr>
                          <m:t>setpoint</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ambient</m:t>
                        </m:r>
                      </m:sub>
                    </m:sSub>
                  </m:e>
                </m:d>
                <m:r>
                  <w:rPr>
                    <w:rFonts w:ascii="Cambria Math" w:hAnsi="Cambria Math" w:cs="Arial"/>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η</m:t>
                        </m:r>
                      </m:e>
                      <m:sub>
                        <m:r>
                          <w:rPr>
                            <w:rFonts w:ascii="Cambria Math" w:hAnsi="Cambria Math"/>
                          </w:rPr>
                          <m:t>elec</m:t>
                        </m:r>
                      </m:sub>
                    </m:sSub>
                  </m:den>
                </m:f>
                <m:r>
                  <w:rPr>
                    <w:rFonts w:ascii="Cambria Math" w:hAnsi="Cambria Math"/>
                  </w:rPr>
                  <m:t>×HOU×</m:t>
                </m:r>
                <m:f>
                  <m:fPr>
                    <m:ctrlPr>
                      <w:rPr>
                        <w:rFonts w:ascii="Cambria Math" w:hAnsi="Cambria Math"/>
                        <w:i/>
                      </w:rPr>
                    </m:ctrlPr>
                  </m:fPr>
                  <m:num>
                    <m:r>
                      <w:rPr>
                        <w:rFonts w:ascii="Cambria Math" w:hAnsi="Cambria Math"/>
                      </w:rPr>
                      <m:t>1</m:t>
                    </m:r>
                  </m:num>
                  <m:den>
                    <m:r>
                      <w:rPr>
                        <w:rFonts w:ascii="Cambria Math" w:hAnsi="Cambria Math"/>
                      </w:rPr>
                      <m:t>3412</m:t>
                    </m:r>
                  </m:den>
                </m:f>
                <m:r>
                  <w:rPr>
                    <w:rFonts w:ascii="Cambria Math" w:hAnsi="Cambria Math"/>
                  </w:rPr>
                  <m:t xml:space="preserve"> ×ISR</m:t>
                </m:r>
              </m:oMath>
            </m:oMathPara>
          </w:p>
        </w:tc>
      </w:tr>
      <w:tr w:rsidR="00C71CAA" w:rsidRPr="001570EA" w14:paraId="32047345" w14:textId="77777777">
        <w:trPr>
          <w:trHeight w:val="720"/>
        </w:trPr>
        <w:tc>
          <w:tcPr>
            <w:tcW w:w="2155" w:type="dxa"/>
            <w:vAlign w:val="center"/>
          </w:tcPr>
          <w:p w14:paraId="37755801" w14:textId="77777777" w:rsidR="00C71CAA" w:rsidRPr="001570EA" w:rsidRDefault="003B5E04">
            <w:pPr>
              <w:pStyle w:val="BodyText"/>
              <w:jc w:val="center"/>
              <w:rPr>
                <w:rFonts w:eastAsia="Calibri" w:cs="Arial"/>
                <w:i/>
              </w:rPr>
            </w:pPr>
            <m:oMathPara>
              <m:oMathParaPr>
                <m:jc m:val="left"/>
              </m:oMathParaPr>
              <m:oMath>
                <m:sSub>
                  <m:sSubPr>
                    <m:ctrlPr>
                      <w:rPr>
                        <w:rFonts w:ascii="Cambria Math" w:eastAsia="Calibri" w:hAnsi="Cambria Math" w:cs="Arial"/>
                        <w:i/>
                      </w:rPr>
                    </m:ctrlPr>
                  </m:sSubPr>
                  <m:e>
                    <m:r>
                      <w:rPr>
                        <w:rFonts w:ascii="Cambria Math" w:eastAsia="Calibri" w:hAnsi="Cambria Math" w:cs="Arial"/>
                      </w:rPr>
                      <m:t>L</m:t>
                    </m:r>
                  </m:e>
                  <m:sub>
                    <m:r>
                      <w:rPr>
                        <w:rFonts w:ascii="Cambria Math" w:eastAsia="Calibri" w:hAnsi="Cambria Math" w:cs="Arial"/>
                      </w:rPr>
                      <m:t>effective</m:t>
                    </m:r>
                  </m:sub>
                </m:sSub>
                <m:r>
                  <w:rPr>
                    <w:rFonts w:ascii="Cambria Math" w:eastAsia="Calibri" w:hAnsi="Cambria Math" w:cs="Arial"/>
                  </w:rPr>
                  <m:t>=</m:t>
                </m:r>
              </m:oMath>
            </m:oMathPara>
          </w:p>
        </w:tc>
        <w:tc>
          <w:tcPr>
            <w:tcW w:w="6475" w:type="dxa"/>
            <w:vAlign w:val="center"/>
          </w:tcPr>
          <w:p w14:paraId="2BBDF8F4" w14:textId="77777777" w:rsidR="00C71CAA" w:rsidRPr="001570EA" w:rsidRDefault="003B5E04">
            <w:pPr>
              <w:pStyle w:val="BodyText"/>
              <w:jc w:val="center"/>
              <w:rPr>
                <w:rFonts w:cs="Arial"/>
              </w:rPr>
            </w:pPr>
            <m:oMathPara>
              <m:oMathParaPr>
                <m:jc m:val="left"/>
              </m:oMathParaPr>
              <m:oMath>
                <m:sSub>
                  <m:sSubPr>
                    <m:ctrlPr>
                      <w:rPr>
                        <w:rFonts w:ascii="Cambria Math" w:hAnsi="Cambria Math" w:cs="Arial"/>
                        <w:i/>
                      </w:rPr>
                    </m:ctrlPr>
                  </m:sSubPr>
                  <m:e>
                    <m:r>
                      <w:rPr>
                        <w:rFonts w:ascii="Cambria Math" w:hAnsi="Cambria Math" w:cs="Arial"/>
                      </w:rPr>
                      <m:t>L</m:t>
                    </m:r>
                  </m:e>
                  <m:sub>
                    <m:r>
                      <w:rPr>
                        <w:rFonts w:ascii="Cambria Math" w:hAnsi="Cambria Math" w:cs="Arial"/>
                      </w:rPr>
                      <m:t>horizontal</m:t>
                    </m:r>
                  </m:sub>
                </m:sSub>
                <m:r>
                  <w:rPr>
                    <w:rFonts w:ascii="Cambria Math" w:hAnsi="Cambria Math" w:cs="Arial"/>
                  </w:rPr>
                  <m:t>+(α×</m:t>
                </m:r>
                <m:sSub>
                  <m:sSubPr>
                    <m:ctrlPr>
                      <w:rPr>
                        <w:rFonts w:ascii="Cambria Math" w:hAnsi="Cambria Math" w:cs="Arial"/>
                        <w:i/>
                      </w:rPr>
                    </m:ctrlPr>
                  </m:sSubPr>
                  <m:e>
                    <m:r>
                      <w:rPr>
                        <w:rFonts w:ascii="Cambria Math" w:hAnsi="Cambria Math" w:cs="Arial"/>
                      </w:rPr>
                      <m:t>L</m:t>
                    </m:r>
                  </m:e>
                  <m:sub>
                    <m:r>
                      <w:rPr>
                        <w:rFonts w:ascii="Cambria Math" w:hAnsi="Cambria Math" w:cs="Arial"/>
                      </w:rPr>
                      <m:t>vertical</m:t>
                    </m:r>
                  </m:sub>
                </m:sSub>
                <m:r>
                  <w:rPr>
                    <w:rFonts w:ascii="Cambria Math" w:hAnsi="Cambria Math" w:cs="Arial"/>
                  </w:rPr>
                  <m:t>)</m:t>
                </m:r>
              </m:oMath>
            </m:oMathPara>
          </w:p>
        </w:tc>
      </w:tr>
    </w:tbl>
    <w:p w14:paraId="6FC6F49B" w14:textId="77777777" w:rsidR="00C71CAA" w:rsidRPr="001570EA" w:rsidRDefault="00C71CAA" w:rsidP="00C71CAA">
      <w:pPr>
        <w:pStyle w:val="Equation"/>
        <w:tabs>
          <w:tab w:val="clear" w:pos="2880"/>
          <w:tab w:val="left" w:pos="2160"/>
        </w:tabs>
        <w:ind w:left="0" w:firstLine="0"/>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475"/>
      </w:tblGrid>
      <w:tr w:rsidR="00C71CAA" w:rsidRPr="001570EA" w14:paraId="19DD49F4" w14:textId="77777777">
        <w:trPr>
          <w:trHeight w:val="720"/>
        </w:trPr>
        <w:tc>
          <w:tcPr>
            <w:tcW w:w="2155" w:type="dxa"/>
          </w:tcPr>
          <w:p w14:paraId="3EA2D6A5" w14:textId="77777777" w:rsidR="00C71CAA" w:rsidRPr="001570EA" w:rsidRDefault="003B5E04">
            <w:pPr>
              <w:pStyle w:val="BodyText"/>
              <w:rPr>
                <w:rFonts w:cs="Arial"/>
              </w:rPr>
            </w:pPr>
            <m:oMathPara>
              <m:oMathParaPr>
                <m:jc m:val="left"/>
              </m:oMathParaPr>
              <m:oMath>
                <m:sSub>
                  <m:sSubPr>
                    <m:ctrlPr>
                      <w:rPr>
                        <w:rFonts w:ascii="Cambria Math" w:hAnsi="Cambria Math" w:cs="Arial"/>
                        <w:i/>
                      </w:rPr>
                    </m:ctrlPr>
                  </m:sSubPr>
                  <m:e>
                    <m:r>
                      <w:rPr>
                        <w:rFonts w:ascii="Cambria Math" w:hAnsi="Cambria Math" w:cs="Arial"/>
                      </w:rPr>
                      <m:t>∆kW</m:t>
                    </m:r>
                  </m:e>
                  <m:sub>
                    <m:r>
                      <w:rPr>
                        <w:rFonts w:ascii="Cambria Math" w:hAnsi="Cambria Math" w:cs="Arial"/>
                      </w:rPr>
                      <m:t>summer peak</m:t>
                    </m:r>
                  </m:sub>
                </m:sSub>
              </m:oMath>
            </m:oMathPara>
          </w:p>
        </w:tc>
        <w:tc>
          <w:tcPr>
            <w:tcW w:w="6475" w:type="dxa"/>
          </w:tcPr>
          <w:p w14:paraId="081146FF" w14:textId="77777777" w:rsidR="00C71CAA" w:rsidRPr="001570EA" w:rsidRDefault="00C71CAA">
            <w:pPr>
              <w:pStyle w:val="BodyText"/>
              <w:rPr>
                <w:rFonts w:cs="Arial"/>
              </w:rPr>
            </w:pPr>
            <m:oMathPara>
              <m:oMathParaPr>
                <m:jc m:val="left"/>
              </m:oMathParaPr>
              <m:oMath>
                <m:r>
                  <w:rPr>
                    <w:rFonts w:ascii="Cambria Math" w:hAnsi="Cambria Math" w:cs="Arial"/>
                  </w:rPr>
                  <m:t>=∆kWh×</m:t>
                </m:r>
                <m:sSub>
                  <m:sSubPr>
                    <m:ctrlPr>
                      <w:rPr>
                        <w:rFonts w:ascii="Cambria Math" w:hAnsi="Cambria Math" w:cs="Arial"/>
                        <w:i/>
                      </w:rPr>
                    </m:ctrlPr>
                  </m:sSubPr>
                  <m:e>
                    <m:r>
                      <w:rPr>
                        <w:rFonts w:ascii="Cambria Math" w:hAnsi="Cambria Math" w:cs="Arial"/>
                      </w:rPr>
                      <m:t>ETDF</m:t>
                    </m:r>
                  </m:e>
                  <m:sub>
                    <m:r>
                      <w:rPr>
                        <w:rFonts w:ascii="Cambria Math" w:hAnsi="Cambria Math" w:cs="Arial"/>
                      </w:rPr>
                      <m:t>s</m:t>
                    </m:r>
                  </m:sub>
                </m:sSub>
              </m:oMath>
            </m:oMathPara>
          </w:p>
        </w:tc>
      </w:tr>
      <w:tr w:rsidR="00C71CAA" w:rsidRPr="001570EA" w14:paraId="50E665D8" w14:textId="77777777">
        <w:trPr>
          <w:trHeight w:val="720"/>
        </w:trPr>
        <w:tc>
          <w:tcPr>
            <w:tcW w:w="2155" w:type="dxa"/>
          </w:tcPr>
          <w:p w14:paraId="596ADAA6" w14:textId="77777777" w:rsidR="00C71CAA" w:rsidRPr="001570EA" w:rsidRDefault="003B5E04">
            <w:pPr>
              <w:pStyle w:val="BodyText"/>
              <w:rPr>
                <w:rFonts w:eastAsia="Calibri" w:cs="Arial"/>
                <w:i/>
              </w:rPr>
            </w:pPr>
            <m:oMathPara>
              <m:oMathParaPr>
                <m:jc m:val="left"/>
              </m:oMathParaPr>
              <m:oMath>
                <m:sSub>
                  <m:sSubPr>
                    <m:ctrlPr>
                      <w:rPr>
                        <w:rFonts w:ascii="Cambria Math" w:hAnsi="Cambria Math" w:cs="Arial"/>
                        <w:i/>
                      </w:rPr>
                    </m:ctrlPr>
                  </m:sSubPr>
                  <m:e>
                    <m:r>
                      <w:rPr>
                        <w:rFonts w:ascii="Cambria Math" w:hAnsi="Cambria Math" w:cs="Arial"/>
                      </w:rPr>
                      <m:t>∆kW</m:t>
                    </m:r>
                  </m:e>
                  <m:sub>
                    <m:r>
                      <w:rPr>
                        <w:rFonts w:ascii="Cambria Math" w:hAnsi="Cambria Math" w:cs="Arial"/>
                      </w:rPr>
                      <m:t>winter peak</m:t>
                    </m:r>
                  </m:sub>
                </m:sSub>
              </m:oMath>
            </m:oMathPara>
          </w:p>
        </w:tc>
        <w:tc>
          <w:tcPr>
            <w:tcW w:w="6475" w:type="dxa"/>
          </w:tcPr>
          <w:p w14:paraId="7352F74E" w14:textId="77777777" w:rsidR="00C71CAA" w:rsidRPr="001570EA" w:rsidRDefault="00C71CAA">
            <w:pPr>
              <w:pStyle w:val="BodyText"/>
              <w:rPr>
                <w:rFonts w:cs="Arial"/>
              </w:rPr>
            </w:pPr>
            <m:oMathPara>
              <m:oMathParaPr>
                <m:jc m:val="left"/>
              </m:oMathParaPr>
              <m:oMath>
                <m:r>
                  <w:rPr>
                    <w:rFonts w:ascii="Cambria Math" w:hAnsi="Cambria Math" w:cs="Arial"/>
                  </w:rPr>
                  <m:t>=∆kWh×</m:t>
                </m:r>
                <m:sSub>
                  <m:sSubPr>
                    <m:ctrlPr>
                      <w:rPr>
                        <w:rFonts w:ascii="Cambria Math" w:hAnsi="Cambria Math" w:cs="Arial"/>
                        <w:i/>
                      </w:rPr>
                    </m:ctrlPr>
                  </m:sSubPr>
                  <m:e>
                    <m:r>
                      <w:rPr>
                        <w:rFonts w:ascii="Cambria Math" w:hAnsi="Cambria Math" w:cs="Arial"/>
                      </w:rPr>
                      <m:t>ETDF</m:t>
                    </m:r>
                  </m:e>
                  <m:sub>
                    <m:r>
                      <w:rPr>
                        <w:rFonts w:ascii="Cambria Math" w:hAnsi="Cambria Math" w:cs="Arial"/>
                      </w:rPr>
                      <m:t>w</m:t>
                    </m:r>
                  </m:sub>
                </m:sSub>
              </m:oMath>
            </m:oMathPara>
          </w:p>
        </w:tc>
      </w:tr>
    </w:tbl>
    <w:p w14:paraId="31DDE8B6" w14:textId="77777777" w:rsidR="00C71CAA" w:rsidRPr="001570EA" w:rsidRDefault="00C71CAA" w:rsidP="00C71CAA">
      <w:pPr>
        <w:pStyle w:val="SubStyle"/>
      </w:pPr>
    </w:p>
    <w:p w14:paraId="29354E68" w14:textId="77777777" w:rsidR="00C71CAA" w:rsidRPr="001570EA" w:rsidRDefault="00C71CAA" w:rsidP="00C71CAA">
      <w:pPr>
        <w:pStyle w:val="SubStyle"/>
      </w:pPr>
      <w:r w:rsidRPr="001570EA">
        <w:t>Definition of Terms</w:t>
      </w:r>
    </w:p>
    <w:p w14:paraId="7D0DBFC6" w14:textId="2343D130" w:rsidR="00C71CAA" w:rsidRPr="001570EA" w:rsidRDefault="00C71CAA" w:rsidP="00C71CAA">
      <w:pPr>
        <w:pStyle w:val="Caption"/>
      </w:pPr>
      <w:bookmarkStart w:id="467" w:name="_Toc4759830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69</w:t>
      </w:r>
      <w:r w:rsidR="002E093A" w:rsidRPr="001570EA">
        <w:fldChar w:fldCharType="end"/>
      </w:r>
      <w:r w:rsidRPr="001570EA">
        <w:t>: Terms, Values, and References for Water Heater Pipe Insulation</w:t>
      </w:r>
      <w:bookmarkEnd w:id="4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1310"/>
        <w:gridCol w:w="2154"/>
        <w:gridCol w:w="967"/>
      </w:tblGrid>
      <w:tr w:rsidR="00C71CAA" w:rsidRPr="001570EA" w14:paraId="62264A80" w14:textId="77777777">
        <w:trPr>
          <w:trHeight w:hRule="exact" w:val="432"/>
          <w:tblHeader/>
        </w:trPr>
        <w:tc>
          <w:tcPr>
            <w:tcW w:w="4091" w:type="dxa"/>
            <w:shd w:val="clear" w:color="auto" w:fill="BFBFBF" w:themeFill="background1" w:themeFillShade="BF"/>
            <w:vAlign w:val="center"/>
          </w:tcPr>
          <w:p w14:paraId="13830086" w14:textId="77777777" w:rsidR="00C71CAA" w:rsidRPr="001570EA" w:rsidRDefault="00C71CAA">
            <w:pPr>
              <w:rPr>
                <w:rFonts w:cs="Arial"/>
                <w:sz w:val="18"/>
                <w:szCs w:val="18"/>
              </w:rPr>
            </w:pPr>
            <w:r w:rsidRPr="001570EA">
              <w:rPr>
                <w:rFonts w:cs="Arial"/>
                <w:b/>
                <w:sz w:val="18"/>
                <w:szCs w:val="18"/>
              </w:rPr>
              <w:t>Term</w:t>
            </w:r>
          </w:p>
        </w:tc>
        <w:tc>
          <w:tcPr>
            <w:tcW w:w="1310" w:type="dxa"/>
            <w:shd w:val="clear" w:color="auto" w:fill="BFBFBF" w:themeFill="background1" w:themeFillShade="BF"/>
            <w:vAlign w:val="center"/>
          </w:tcPr>
          <w:p w14:paraId="23B7D63E" w14:textId="77777777" w:rsidR="00C71CAA" w:rsidRPr="001570EA" w:rsidRDefault="00C71CAA">
            <w:pPr>
              <w:jc w:val="center"/>
              <w:rPr>
                <w:rFonts w:cs="Arial"/>
                <w:sz w:val="18"/>
                <w:szCs w:val="18"/>
              </w:rPr>
            </w:pPr>
            <w:r w:rsidRPr="001570EA">
              <w:rPr>
                <w:rFonts w:cs="Arial"/>
                <w:b/>
                <w:sz w:val="18"/>
                <w:szCs w:val="18"/>
              </w:rPr>
              <w:t>Unit</w:t>
            </w:r>
          </w:p>
        </w:tc>
        <w:tc>
          <w:tcPr>
            <w:tcW w:w="2154" w:type="dxa"/>
            <w:shd w:val="clear" w:color="auto" w:fill="BFBFBF" w:themeFill="background1" w:themeFillShade="BF"/>
            <w:vAlign w:val="center"/>
          </w:tcPr>
          <w:p w14:paraId="5EA2DFE3" w14:textId="77777777" w:rsidR="00C71CAA" w:rsidRPr="001570EA" w:rsidRDefault="00C71CAA">
            <w:pPr>
              <w:jc w:val="center"/>
              <w:rPr>
                <w:rFonts w:cs="Arial"/>
                <w:sz w:val="18"/>
                <w:szCs w:val="18"/>
              </w:rPr>
            </w:pPr>
            <w:r w:rsidRPr="001570EA">
              <w:rPr>
                <w:rFonts w:cs="Arial"/>
                <w:b/>
                <w:sz w:val="18"/>
                <w:szCs w:val="18"/>
              </w:rPr>
              <w:t>Value</w:t>
            </w:r>
          </w:p>
        </w:tc>
        <w:tc>
          <w:tcPr>
            <w:tcW w:w="967" w:type="dxa"/>
            <w:shd w:val="clear" w:color="auto" w:fill="BFBFBF" w:themeFill="background1" w:themeFillShade="BF"/>
            <w:vAlign w:val="center"/>
          </w:tcPr>
          <w:p w14:paraId="2973FFBA" w14:textId="77777777" w:rsidR="00C71CAA" w:rsidRPr="001570EA" w:rsidRDefault="00C71CAA">
            <w:pPr>
              <w:jc w:val="center"/>
              <w:rPr>
                <w:rFonts w:cs="Arial"/>
                <w:sz w:val="18"/>
                <w:szCs w:val="18"/>
              </w:rPr>
            </w:pPr>
            <w:r w:rsidRPr="001570EA">
              <w:rPr>
                <w:rFonts w:cs="Arial"/>
                <w:b/>
                <w:sz w:val="18"/>
                <w:szCs w:val="18"/>
              </w:rPr>
              <w:t>Source</w:t>
            </w:r>
          </w:p>
        </w:tc>
      </w:tr>
      <w:tr w:rsidR="00C71CAA" w:rsidRPr="001570EA" w14:paraId="242EFB5B" w14:textId="77777777">
        <w:trPr>
          <w:trHeight w:hRule="exact" w:val="720"/>
        </w:trPr>
        <w:tc>
          <w:tcPr>
            <w:tcW w:w="4091" w:type="dxa"/>
            <w:vAlign w:val="center"/>
          </w:tcPr>
          <w:p w14:paraId="7204F8B9" w14:textId="77777777" w:rsidR="00C71CAA" w:rsidRPr="001570EA" w:rsidRDefault="003B5E04">
            <w:pPr>
              <w:spacing w:before="120" w:after="200"/>
              <w:rPr>
                <w:rFonts w:cs="Arial"/>
                <w:iCs/>
                <w:sz w:val="18"/>
                <w:szCs w:val="18"/>
              </w:rPr>
            </w:pPr>
            <m:oMath>
              <m:sSub>
                <m:sSubPr>
                  <m:ctrlPr>
                    <w:rPr>
                      <w:rFonts w:ascii="Cambria Math" w:hAnsi="Cambria Math" w:cs="Arial"/>
                      <w:i/>
                      <w:sz w:val="18"/>
                      <w:szCs w:val="18"/>
                    </w:rPr>
                  </m:ctrlPr>
                </m:sSubPr>
                <m:e>
                  <m:r>
                    <w:rPr>
                      <w:rFonts w:ascii="Cambria Math" w:hAnsi="Cambria Math" w:cs="Arial"/>
                      <w:sz w:val="18"/>
                      <w:szCs w:val="18"/>
                    </w:rPr>
                    <m:t>R</m:t>
                  </m:r>
                </m:e>
                <m:sub>
                  <m:r>
                    <w:rPr>
                      <w:rFonts w:ascii="Cambria Math" w:hAnsi="Cambria Math" w:cs="Arial"/>
                      <w:sz w:val="18"/>
                      <w:szCs w:val="18"/>
                    </w:rPr>
                    <m:t>exist</m:t>
                  </m:r>
                </m:sub>
              </m:sSub>
            </m:oMath>
            <w:r w:rsidR="00C71CAA" w:rsidRPr="001570EA">
              <w:rPr>
                <w:rFonts w:cs="Arial"/>
                <w:iCs/>
                <w:sz w:val="18"/>
                <w:szCs w:val="18"/>
              </w:rPr>
              <w:t>, Pipe heat loss coefficient of existing uninsulated pipe</w:t>
            </w:r>
          </w:p>
        </w:tc>
        <w:tc>
          <w:tcPr>
            <w:tcW w:w="1310" w:type="dxa"/>
            <w:vAlign w:val="center"/>
          </w:tcPr>
          <w:p w14:paraId="43C6C472" w14:textId="77777777" w:rsidR="00C71CAA" w:rsidRPr="001570EA" w:rsidRDefault="003B5E04">
            <w:pPr>
              <w:spacing w:before="120"/>
              <w:jc w:val="center"/>
              <w:rPr>
                <w:rFonts w:cs="Arial"/>
                <w:iCs/>
                <w:sz w:val="18"/>
                <w:szCs w:val="18"/>
              </w:rPr>
            </w:pPr>
            <m:oMathPara>
              <m:oMath>
                <m:f>
                  <m:fPr>
                    <m:ctrlPr>
                      <w:rPr>
                        <w:rFonts w:ascii="Cambria Math" w:hAnsi="Cambria Math" w:cs="Arial"/>
                        <w:i/>
                        <w:szCs w:val="18"/>
                      </w:rPr>
                    </m:ctrlPr>
                  </m:fPr>
                  <m:num>
                    <m:r>
                      <w:rPr>
                        <w:rFonts w:ascii="Cambria Math" w:hAnsi="Cambria Math" w:cs="Arial"/>
                        <w:szCs w:val="18"/>
                      </w:rPr>
                      <m:t>hr∙℉∙</m:t>
                    </m:r>
                    <m:sSup>
                      <m:sSupPr>
                        <m:ctrlPr>
                          <w:rPr>
                            <w:rFonts w:ascii="Cambria Math" w:hAnsi="Cambria Math" w:cs="Arial"/>
                            <w:i/>
                            <w:szCs w:val="18"/>
                          </w:rPr>
                        </m:ctrlPr>
                      </m:sSupPr>
                      <m:e>
                        <m:r>
                          <w:rPr>
                            <w:rFonts w:ascii="Cambria Math" w:hAnsi="Cambria Math" w:cs="Arial"/>
                            <w:szCs w:val="18"/>
                          </w:rPr>
                          <m:t>ft</m:t>
                        </m:r>
                      </m:e>
                      <m:sup>
                        <m:r>
                          <w:rPr>
                            <w:rFonts w:ascii="Cambria Math" w:hAnsi="Cambria Math" w:cs="Arial"/>
                            <w:szCs w:val="18"/>
                          </w:rPr>
                          <m:t>2</m:t>
                        </m:r>
                      </m:sup>
                    </m:sSup>
                  </m:num>
                  <m:den>
                    <m:r>
                      <w:rPr>
                        <w:rFonts w:ascii="Cambria Math" w:hAnsi="Cambria Math" w:cs="Arial"/>
                        <w:szCs w:val="18"/>
                      </w:rPr>
                      <m:t>BTU</m:t>
                    </m:r>
                  </m:den>
                </m:f>
              </m:oMath>
            </m:oMathPara>
          </w:p>
        </w:tc>
        <w:tc>
          <w:tcPr>
            <w:tcW w:w="2154" w:type="dxa"/>
            <w:vAlign w:val="center"/>
          </w:tcPr>
          <w:p w14:paraId="3B6B3157" w14:textId="77777777" w:rsidR="00C71CAA" w:rsidRPr="001570EA" w:rsidRDefault="00C71CAA">
            <w:pPr>
              <w:spacing w:before="120"/>
              <w:jc w:val="center"/>
              <w:rPr>
                <w:rFonts w:cs="Arial"/>
                <w:iCs/>
                <w:sz w:val="18"/>
                <w:szCs w:val="18"/>
              </w:rPr>
            </w:pPr>
            <w:r w:rsidRPr="001570EA">
              <w:rPr>
                <w:rFonts w:cs="Arial"/>
                <w:iCs/>
                <w:sz w:val="18"/>
                <w:szCs w:val="18"/>
              </w:rPr>
              <w:t>See Table</w:t>
            </w:r>
          </w:p>
        </w:tc>
        <w:tc>
          <w:tcPr>
            <w:tcW w:w="967" w:type="dxa"/>
            <w:vAlign w:val="center"/>
          </w:tcPr>
          <w:p w14:paraId="1A50ADF9" w14:textId="77777777" w:rsidR="00C71CAA" w:rsidRPr="001570EA" w:rsidRDefault="00C71CAA">
            <w:pPr>
              <w:spacing w:before="120"/>
              <w:jc w:val="center"/>
              <w:rPr>
                <w:rFonts w:cs="Arial"/>
                <w:iCs/>
                <w:sz w:val="18"/>
                <w:szCs w:val="18"/>
              </w:rPr>
            </w:pPr>
            <w:r w:rsidRPr="001570EA">
              <w:rPr>
                <w:rFonts w:cs="Arial"/>
                <w:iCs/>
                <w:sz w:val="18"/>
                <w:szCs w:val="18"/>
              </w:rPr>
              <w:t>2</w:t>
            </w:r>
          </w:p>
        </w:tc>
      </w:tr>
      <w:tr w:rsidR="00C71CAA" w:rsidRPr="001570EA" w14:paraId="729E1E47" w14:textId="77777777">
        <w:trPr>
          <w:trHeight w:hRule="exact" w:val="720"/>
        </w:trPr>
        <w:tc>
          <w:tcPr>
            <w:tcW w:w="4091" w:type="dxa"/>
            <w:vAlign w:val="center"/>
          </w:tcPr>
          <w:p w14:paraId="396D99FE" w14:textId="77777777" w:rsidR="00C71CAA" w:rsidRPr="001570EA" w:rsidRDefault="003B5E04">
            <w:pPr>
              <w:spacing w:before="120" w:after="200"/>
              <w:rPr>
                <w:rFonts w:cs="Arial"/>
                <w:iCs/>
                <w:sz w:val="18"/>
                <w:szCs w:val="18"/>
              </w:rPr>
            </w:pPr>
            <m:oMath>
              <m:sSub>
                <m:sSubPr>
                  <m:ctrlPr>
                    <w:rPr>
                      <w:rFonts w:ascii="Cambria Math" w:hAnsi="Cambria Math" w:cs="Arial"/>
                      <w:i/>
                      <w:sz w:val="18"/>
                      <w:szCs w:val="18"/>
                    </w:rPr>
                  </m:ctrlPr>
                </m:sSubPr>
                <m:e>
                  <m:r>
                    <w:rPr>
                      <w:rFonts w:ascii="Cambria Math" w:hAnsi="Cambria Math" w:cs="Arial"/>
                      <w:sz w:val="18"/>
                      <w:szCs w:val="18"/>
                    </w:rPr>
                    <m:t>R</m:t>
                  </m:r>
                </m:e>
                <m:sub>
                  <m:r>
                    <w:rPr>
                      <w:rFonts w:ascii="Cambria Math" w:hAnsi="Cambria Math" w:cs="Arial"/>
                      <w:sz w:val="18"/>
                      <w:szCs w:val="18"/>
                    </w:rPr>
                    <m:t>new</m:t>
                  </m:r>
                </m:sub>
              </m:sSub>
              <m:r>
                <w:rPr>
                  <w:rFonts w:ascii="Cambria Math" w:hAnsi="Cambria Math" w:cs="Arial"/>
                  <w:sz w:val="18"/>
                  <w:szCs w:val="18"/>
                </w:rPr>
                <m:t xml:space="preserve">= </m:t>
              </m:r>
              <m:sSub>
                <m:sSubPr>
                  <m:ctrlPr>
                    <w:rPr>
                      <w:rFonts w:ascii="Cambria Math" w:hAnsi="Cambria Math" w:cs="Arial"/>
                      <w:i/>
                      <w:sz w:val="18"/>
                      <w:szCs w:val="18"/>
                    </w:rPr>
                  </m:ctrlPr>
                </m:sSubPr>
                <m:e>
                  <m:r>
                    <w:rPr>
                      <w:rFonts w:ascii="Cambria Math" w:hAnsi="Cambria Math" w:cs="Arial"/>
                      <w:sz w:val="18"/>
                      <w:szCs w:val="18"/>
                    </w:rPr>
                    <m:t>R</m:t>
                  </m:r>
                </m:e>
                <m:sub>
                  <m:r>
                    <w:rPr>
                      <w:rFonts w:ascii="Cambria Math" w:hAnsi="Cambria Math" w:cs="Arial"/>
                      <w:sz w:val="18"/>
                      <w:szCs w:val="18"/>
                    </w:rPr>
                    <m:t>exist</m:t>
                  </m:r>
                </m:sub>
              </m:sSub>
              <m:r>
                <m:rPr>
                  <m:sty m:val="p"/>
                </m:rPr>
                <w:rPr>
                  <w:rFonts w:ascii="Cambria Math" w:hAnsi="Cambria Math" w:cs="Arial"/>
                  <w:sz w:val="18"/>
                  <w:szCs w:val="18"/>
                </w:rPr>
                <m:t>+</m:t>
              </m:r>
              <m:r>
                <w:rPr>
                  <w:rFonts w:ascii="Cambria Math" w:hAnsi="Cambria Math" w:cs="Arial"/>
                  <w:sz w:val="18"/>
                  <w:szCs w:val="18"/>
                </w:rPr>
                <m:t>R value of new insulation</m:t>
              </m:r>
            </m:oMath>
            <w:r w:rsidR="00C71CAA" w:rsidRPr="001570EA">
              <w:rPr>
                <w:rFonts w:cs="Arial"/>
                <w:iCs/>
                <w:sz w:val="18"/>
                <w:szCs w:val="18"/>
              </w:rPr>
              <w:t>, Pipe heat loss coefficient of new insulated pipe</w:t>
            </w:r>
          </w:p>
        </w:tc>
        <w:tc>
          <w:tcPr>
            <w:tcW w:w="1310" w:type="dxa"/>
            <w:vAlign w:val="center"/>
          </w:tcPr>
          <w:p w14:paraId="3CB96723" w14:textId="77777777" w:rsidR="00C71CAA" w:rsidRPr="001570EA" w:rsidRDefault="003B5E04">
            <w:pPr>
              <w:spacing w:before="120"/>
              <w:jc w:val="center"/>
              <w:rPr>
                <w:rFonts w:cs="Arial"/>
                <w:iCs/>
                <w:sz w:val="18"/>
                <w:szCs w:val="18"/>
              </w:rPr>
            </w:pPr>
            <m:oMathPara>
              <m:oMath>
                <m:f>
                  <m:fPr>
                    <m:ctrlPr>
                      <w:rPr>
                        <w:rFonts w:ascii="Cambria Math" w:hAnsi="Cambria Math" w:cs="Arial"/>
                        <w:i/>
                        <w:szCs w:val="18"/>
                      </w:rPr>
                    </m:ctrlPr>
                  </m:fPr>
                  <m:num>
                    <m:r>
                      <w:rPr>
                        <w:rFonts w:ascii="Cambria Math" w:hAnsi="Cambria Math" w:cs="Arial"/>
                        <w:szCs w:val="18"/>
                      </w:rPr>
                      <m:t>hr∙℉∙</m:t>
                    </m:r>
                    <m:sSup>
                      <m:sSupPr>
                        <m:ctrlPr>
                          <w:rPr>
                            <w:rFonts w:ascii="Cambria Math" w:hAnsi="Cambria Math" w:cs="Arial"/>
                            <w:i/>
                            <w:szCs w:val="18"/>
                          </w:rPr>
                        </m:ctrlPr>
                      </m:sSupPr>
                      <m:e>
                        <m:r>
                          <w:rPr>
                            <w:rFonts w:ascii="Cambria Math" w:hAnsi="Cambria Math" w:cs="Arial"/>
                            <w:szCs w:val="18"/>
                          </w:rPr>
                          <m:t>ft</m:t>
                        </m:r>
                      </m:e>
                      <m:sup>
                        <m:r>
                          <w:rPr>
                            <w:rFonts w:ascii="Cambria Math" w:hAnsi="Cambria Math" w:cs="Arial"/>
                            <w:szCs w:val="18"/>
                          </w:rPr>
                          <m:t>2</m:t>
                        </m:r>
                      </m:sup>
                    </m:sSup>
                  </m:num>
                  <m:den>
                    <m:r>
                      <w:rPr>
                        <w:rFonts w:ascii="Cambria Math" w:hAnsi="Cambria Math" w:cs="Arial"/>
                        <w:szCs w:val="18"/>
                      </w:rPr>
                      <m:t>BTU</m:t>
                    </m:r>
                  </m:den>
                </m:f>
              </m:oMath>
            </m:oMathPara>
          </w:p>
        </w:tc>
        <w:tc>
          <w:tcPr>
            <w:tcW w:w="2154" w:type="dxa"/>
            <w:vAlign w:val="center"/>
          </w:tcPr>
          <w:p w14:paraId="2FB67698" w14:textId="77777777" w:rsidR="00C71CAA" w:rsidRPr="001570EA" w:rsidRDefault="00C71CAA">
            <w:pPr>
              <w:spacing w:before="120"/>
              <w:jc w:val="center"/>
              <w:rPr>
                <w:rFonts w:cs="Arial"/>
                <w:iCs/>
                <w:sz w:val="18"/>
                <w:szCs w:val="18"/>
              </w:rPr>
            </w:pPr>
            <w:r w:rsidRPr="001570EA">
              <w:rPr>
                <w:rFonts w:cs="Arial"/>
                <w:iCs/>
                <w:sz w:val="18"/>
                <w:szCs w:val="18"/>
              </w:rPr>
              <w:t>EDC Data Gathering</w:t>
            </w:r>
          </w:p>
        </w:tc>
        <w:tc>
          <w:tcPr>
            <w:tcW w:w="967" w:type="dxa"/>
            <w:vAlign w:val="center"/>
          </w:tcPr>
          <w:p w14:paraId="05F066A3" w14:textId="77777777" w:rsidR="00C71CAA" w:rsidRPr="001570EA" w:rsidRDefault="00C71CAA">
            <w:pPr>
              <w:spacing w:before="120"/>
              <w:jc w:val="center"/>
              <w:rPr>
                <w:rFonts w:cs="Arial"/>
                <w:iCs/>
                <w:sz w:val="18"/>
                <w:szCs w:val="18"/>
              </w:rPr>
            </w:pPr>
            <w:r w:rsidRPr="001570EA">
              <w:rPr>
                <w:rFonts w:cs="Arial"/>
                <w:iCs/>
                <w:sz w:val="18"/>
                <w:szCs w:val="18"/>
              </w:rPr>
              <w:t>-</w:t>
            </w:r>
          </w:p>
        </w:tc>
      </w:tr>
      <w:tr w:rsidR="00C71CAA" w:rsidRPr="001570EA" w14:paraId="6D0ADD12" w14:textId="77777777">
        <w:trPr>
          <w:trHeight w:hRule="exact" w:val="720"/>
        </w:trPr>
        <w:tc>
          <w:tcPr>
            <w:tcW w:w="4091" w:type="dxa"/>
            <w:vAlign w:val="center"/>
          </w:tcPr>
          <w:p w14:paraId="36FC8A4C" w14:textId="77777777" w:rsidR="00C71CAA" w:rsidRPr="001570EA" w:rsidRDefault="003B5E04">
            <w:pPr>
              <w:spacing w:before="120" w:after="200"/>
              <w:rPr>
                <w:sz w:val="18"/>
                <w:szCs w:val="18"/>
              </w:rPr>
            </w:pPr>
            <m:oMath>
              <m:sSub>
                <m:sSubPr>
                  <m:ctrlPr>
                    <w:rPr>
                      <w:rFonts w:ascii="Cambria Math" w:hAnsi="Cambria Math" w:cs="Arial"/>
                      <w:i/>
                      <w:sz w:val="18"/>
                      <w:szCs w:val="18"/>
                    </w:rPr>
                  </m:ctrlPr>
                </m:sSubPr>
                <m:e>
                  <m:r>
                    <w:rPr>
                      <w:rFonts w:ascii="Cambria Math" w:hAnsi="Cambria Math" w:cs="Arial"/>
                      <w:sz w:val="18"/>
                      <w:szCs w:val="18"/>
                    </w:rPr>
                    <m:t>C</m:t>
                  </m:r>
                </m:e>
                <m:sub>
                  <m:r>
                    <w:rPr>
                      <w:rFonts w:ascii="Cambria Math" w:hAnsi="Cambria Math" w:cs="Arial"/>
                      <w:sz w:val="18"/>
                      <w:szCs w:val="18"/>
                    </w:rPr>
                    <m:t>inside</m:t>
                  </m:r>
                </m:sub>
              </m:sSub>
            </m:oMath>
            <w:r w:rsidR="00C71CAA" w:rsidRPr="001570EA">
              <w:rPr>
                <w:rFonts w:cs="Arial"/>
                <w:iCs/>
                <w:sz w:val="18"/>
                <w:szCs w:val="18"/>
              </w:rPr>
              <w:t>, Inside circumference of pipe</w:t>
            </w:r>
          </w:p>
        </w:tc>
        <w:tc>
          <w:tcPr>
            <w:tcW w:w="1310" w:type="dxa"/>
            <w:vAlign w:val="center"/>
          </w:tcPr>
          <w:p w14:paraId="11524CDF" w14:textId="77777777" w:rsidR="00C71CAA" w:rsidRPr="001570EA" w:rsidRDefault="00C71CAA">
            <w:pPr>
              <w:spacing w:before="120"/>
              <w:jc w:val="center"/>
              <w:rPr>
                <w:szCs w:val="18"/>
              </w:rPr>
            </w:pPr>
            <m:oMathPara>
              <m:oMath>
                <m:r>
                  <w:rPr>
                    <w:rFonts w:ascii="Cambria Math" w:hAnsi="Cambria Math"/>
                    <w:szCs w:val="18"/>
                  </w:rPr>
                  <m:t>ft</m:t>
                </m:r>
              </m:oMath>
            </m:oMathPara>
          </w:p>
        </w:tc>
        <w:tc>
          <w:tcPr>
            <w:tcW w:w="2154" w:type="dxa"/>
            <w:vAlign w:val="center"/>
          </w:tcPr>
          <w:p w14:paraId="1D5BB086" w14:textId="77777777" w:rsidR="00C71CAA" w:rsidRPr="001570EA" w:rsidRDefault="00C71CAA">
            <w:pPr>
              <w:spacing w:before="120"/>
              <w:jc w:val="center"/>
              <w:rPr>
                <w:rFonts w:cs="Arial"/>
                <w:iCs/>
                <w:sz w:val="18"/>
                <w:szCs w:val="18"/>
              </w:rPr>
            </w:pPr>
            <w:r w:rsidRPr="001570EA">
              <w:rPr>
                <w:rFonts w:cs="Arial"/>
                <w:iCs/>
                <w:sz w:val="18"/>
                <w:szCs w:val="18"/>
              </w:rPr>
              <w:t>EDC Data Gathering</w:t>
            </w:r>
          </w:p>
          <w:p w14:paraId="618FD048" w14:textId="0349A694" w:rsidR="00C71CAA" w:rsidRPr="001570EA" w:rsidRDefault="00C71CAA">
            <w:pPr>
              <w:spacing w:before="120"/>
              <w:jc w:val="center"/>
              <w:rPr>
                <w:rFonts w:cs="Arial"/>
                <w:iCs/>
                <w:sz w:val="18"/>
                <w:szCs w:val="18"/>
              </w:rPr>
            </w:pPr>
            <w:r w:rsidRPr="001570EA">
              <w:rPr>
                <w:rFonts w:cs="Arial"/>
                <w:iCs/>
                <w:sz w:val="18"/>
                <w:szCs w:val="18"/>
              </w:rPr>
              <w:t xml:space="preserve">See </w:t>
            </w:r>
            <w:r w:rsidR="0091277F" w:rsidRPr="001570EA">
              <w:rPr>
                <w:rFonts w:cs="Arial"/>
                <w:iCs/>
                <w:sz w:val="18"/>
                <w:szCs w:val="18"/>
              </w:rPr>
              <w:fldChar w:fldCharType="begin"/>
            </w:r>
            <w:r w:rsidR="0091277F" w:rsidRPr="001570EA">
              <w:rPr>
                <w:rFonts w:cs="Arial"/>
                <w:iCs/>
                <w:sz w:val="18"/>
                <w:szCs w:val="18"/>
              </w:rPr>
              <w:instrText xml:space="preserve"> REF _Ref278967935 \h </w:instrText>
            </w:r>
            <w:r w:rsidR="001570EA">
              <w:rPr>
                <w:rFonts w:cs="Arial"/>
                <w:iCs/>
                <w:sz w:val="18"/>
                <w:szCs w:val="18"/>
              </w:rPr>
              <w:instrText xml:space="preserve"> \* MERGEFORMAT </w:instrText>
            </w:r>
            <w:r w:rsidR="0091277F" w:rsidRPr="001570EA">
              <w:rPr>
                <w:rFonts w:cs="Arial"/>
                <w:iCs/>
                <w:sz w:val="18"/>
                <w:szCs w:val="18"/>
              </w:rPr>
            </w:r>
            <w:r w:rsidR="0091277F" w:rsidRPr="001570EA">
              <w:rPr>
                <w:rFonts w:cs="Arial"/>
                <w:iCs/>
                <w:sz w:val="18"/>
                <w:szCs w:val="18"/>
              </w:rPr>
              <w:fldChar w:fldCharType="separate"/>
            </w:r>
            <w:r w:rsidR="00234C6C" w:rsidRPr="001570EA">
              <w:t xml:space="preserve">Table </w:t>
            </w:r>
            <w:r w:rsidR="00234C6C" w:rsidRPr="001570EA">
              <w:rPr>
                <w:noProof/>
              </w:rPr>
              <w:t>2</w:t>
            </w:r>
            <w:r w:rsidR="0091277F" w:rsidRPr="001570EA">
              <w:rPr>
                <w:rFonts w:cs="Arial"/>
                <w:iCs/>
                <w:sz w:val="18"/>
                <w:szCs w:val="18"/>
              </w:rPr>
              <w:fldChar w:fldCharType="end"/>
            </w:r>
          </w:p>
        </w:tc>
        <w:tc>
          <w:tcPr>
            <w:tcW w:w="967" w:type="dxa"/>
            <w:vAlign w:val="center"/>
          </w:tcPr>
          <w:p w14:paraId="65363E8F" w14:textId="77777777" w:rsidR="00C71CAA" w:rsidRPr="001570EA" w:rsidRDefault="00C71CAA">
            <w:pPr>
              <w:spacing w:before="120"/>
              <w:jc w:val="center"/>
              <w:rPr>
                <w:rFonts w:cs="Arial"/>
                <w:iCs/>
                <w:sz w:val="18"/>
                <w:szCs w:val="18"/>
              </w:rPr>
            </w:pPr>
            <w:r w:rsidRPr="001570EA">
              <w:rPr>
                <w:rFonts w:cs="Arial"/>
                <w:iCs/>
                <w:sz w:val="18"/>
                <w:szCs w:val="18"/>
              </w:rPr>
              <w:t>7, 8</w:t>
            </w:r>
          </w:p>
        </w:tc>
      </w:tr>
      <w:tr w:rsidR="00C71CAA" w:rsidRPr="001570EA" w14:paraId="20DEC256" w14:textId="77777777">
        <w:trPr>
          <w:trHeight w:hRule="exact" w:val="720"/>
        </w:trPr>
        <w:tc>
          <w:tcPr>
            <w:tcW w:w="4091" w:type="dxa"/>
            <w:vAlign w:val="center"/>
          </w:tcPr>
          <w:p w14:paraId="54CFF5AC" w14:textId="77777777" w:rsidR="00C71CAA" w:rsidRPr="001570EA" w:rsidRDefault="003B5E04">
            <w:pPr>
              <w:spacing w:before="120" w:after="200"/>
              <w:rPr>
                <w:sz w:val="18"/>
                <w:szCs w:val="18"/>
              </w:rPr>
            </w:pPr>
            <m:oMath>
              <m:sSub>
                <m:sSubPr>
                  <m:ctrlPr>
                    <w:rPr>
                      <w:rFonts w:ascii="Cambria Math" w:hAnsi="Cambria Math" w:cs="Arial"/>
                      <w:i/>
                      <w:sz w:val="18"/>
                      <w:szCs w:val="18"/>
                    </w:rPr>
                  </m:ctrlPr>
                </m:sSubPr>
                <m:e>
                  <m:r>
                    <w:rPr>
                      <w:rFonts w:ascii="Cambria Math" w:hAnsi="Cambria Math" w:cs="Arial"/>
                      <w:sz w:val="18"/>
                      <w:szCs w:val="18"/>
                    </w:rPr>
                    <m:t>L</m:t>
                  </m:r>
                </m:e>
                <m:sub>
                  <m:r>
                    <w:rPr>
                      <w:rFonts w:ascii="Cambria Math" w:hAnsi="Cambria Math" w:cs="Arial"/>
                      <w:sz w:val="18"/>
                      <w:szCs w:val="18"/>
                    </w:rPr>
                    <m:t>horizontal</m:t>
                  </m:r>
                </m:sub>
              </m:sSub>
              <m:r>
                <w:rPr>
                  <w:rFonts w:ascii="Cambria Math" w:hAnsi="Cambria Math" w:cs="Arial"/>
                  <w:sz w:val="18"/>
                  <w:szCs w:val="18"/>
                </w:rPr>
                <m:t xml:space="preserve">, </m:t>
              </m:r>
            </m:oMath>
            <w:r w:rsidR="00C71CAA" w:rsidRPr="001570EA">
              <w:rPr>
                <w:rFonts w:cs="Arial"/>
                <w:iCs/>
                <w:sz w:val="18"/>
                <w:szCs w:val="18"/>
              </w:rPr>
              <w:t>Length of pipe from water heating source which runs horizontally</w:t>
            </w:r>
          </w:p>
        </w:tc>
        <w:tc>
          <w:tcPr>
            <w:tcW w:w="1310" w:type="dxa"/>
            <w:vAlign w:val="center"/>
          </w:tcPr>
          <w:p w14:paraId="4910A452" w14:textId="77777777" w:rsidR="00C71CAA" w:rsidRPr="001570EA" w:rsidRDefault="00C71CAA">
            <w:pPr>
              <w:spacing w:before="120"/>
              <w:jc w:val="center"/>
              <w:rPr>
                <w:szCs w:val="18"/>
              </w:rPr>
            </w:pPr>
            <m:oMathPara>
              <m:oMath>
                <m:r>
                  <w:rPr>
                    <w:rFonts w:ascii="Cambria Math" w:hAnsi="Cambria Math"/>
                    <w:szCs w:val="18"/>
                  </w:rPr>
                  <m:t>ft</m:t>
                </m:r>
              </m:oMath>
            </m:oMathPara>
          </w:p>
        </w:tc>
        <w:tc>
          <w:tcPr>
            <w:tcW w:w="2154" w:type="dxa"/>
            <w:vAlign w:val="center"/>
          </w:tcPr>
          <w:p w14:paraId="1E7CB9A7" w14:textId="77777777" w:rsidR="00C71CAA" w:rsidRPr="001570EA" w:rsidRDefault="00C71CAA">
            <w:pPr>
              <w:spacing w:before="120"/>
              <w:jc w:val="center"/>
              <w:rPr>
                <w:rFonts w:cs="Arial"/>
                <w:iCs/>
                <w:sz w:val="18"/>
                <w:szCs w:val="18"/>
              </w:rPr>
            </w:pPr>
            <w:r w:rsidRPr="001570EA">
              <w:rPr>
                <w:rFonts w:cs="Arial"/>
                <w:iCs/>
                <w:sz w:val="18"/>
                <w:szCs w:val="18"/>
              </w:rPr>
              <w:t>EDC Data Gathering</w:t>
            </w:r>
          </w:p>
        </w:tc>
        <w:tc>
          <w:tcPr>
            <w:tcW w:w="967" w:type="dxa"/>
            <w:vAlign w:val="center"/>
          </w:tcPr>
          <w:p w14:paraId="31EB09AB" w14:textId="77777777" w:rsidR="00C71CAA" w:rsidRPr="001570EA" w:rsidRDefault="00C71CAA">
            <w:pPr>
              <w:spacing w:before="120"/>
              <w:jc w:val="center"/>
              <w:rPr>
                <w:rFonts w:cs="Arial"/>
                <w:iCs/>
                <w:sz w:val="18"/>
                <w:szCs w:val="18"/>
              </w:rPr>
            </w:pPr>
            <w:r w:rsidRPr="001570EA">
              <w:rPr>
                <w:rFonts w:cs="Arial"/>
                <w:iCs/>
                <w:sz w:val="18"/>
                <w:szCs w:val="18"/>
              </w:rPr>
              <w:t>-</w:t>
            </w:r>
          </w:p>
        </w:tc>
      </w:tr>
      <w:tr w:rsidR="00C71CAA" w:rsidRPr="001570EA" w14:paraId="5AFD2989" w14:textId="77777777">
        <w:trPr>
          <w:trHeight w:hRule="exact" w:val="720"/>
        </w:trPr>
        <w:tc>
          <w:tcPr>
            <w:tcW w:w="4091" w:type="dxa"/>
            <w:vAlign w:val="center"/>
          </w:tcPr>
          <w:p w14:paraId="1CD20F39" w14:textId="77777777" w:rsidR="00C71CAA" w:rsidRPr="001570EA" w:rsidRDefault="003B5E04">
            <w:pPr>
              <w:spacing w:before="120" w:after="200"/>
              <w:rPr>
                <w:sz w:val="18"/>
                <w:szCs w:val="18"/>
              </w:rPr>
            </w:pPr>
            <m:oMath>
              <m:sSub>
                <m:sSubPr>
                  <m:ctrlPr>
                    <w:rPr>
                      <w:rFonts w:ascii="Cambria Math" w:hAnsi="Cambria Math" w:cs="Arial"/>
                      <w:i/>
                      <w:sz w:val="18"/>
                      <w:szCs w:val="18"/>
                    </w:rPr>
                  </m:ctrlPr>
                </m:sSubPr>
                <m:e>
                  <m:r>
                    <w:rPr>
                      <w:rFonts w:ascii="Cambria Math" w:hAnsi="Cambria Math" w:cs="Arial"/>
                      <w:sz w:val="18"/>
                      <w:szCs w:val="18"/>
                    </w:rPr>
                    <m:t>L</m:t>
                  </m:r>
                </m:e>
                <m:sub>
                  <m:r>
                    <w:rPr>
                      <w:rFonts w:ascii="Cambria Math" w:hAnsi="Cambria Math" w:cs="Arial"/>
                      <w:sz w:val="18"/>
                      <w:szCs w:val="18"/>
                    </w:rPr>
                    <m:t>vertical</m:t>
                  </m:r>
                </m:sub>
              </m:sSub>
              <m:r>
                <w:rPr>
                  <w:rFonts w:ascii="Cambria Math" w:hAnsi="Cambria Math" w:cs="Arial"/>
                  <w:sz w:val="18"/>
                  <w:szCs w:val="18"/>
                </w:rPr>
                <m:t xml:space="preserve">, </m:t>
              </m:r>
            </m:oMath>
            <w:r w:rsidR="00C71CAA" w:rsidRPr="001570EA">
              <w:rPr>
                <w:rFonts w:cs="Arial"/>
                <w:iCs/>
                <w:sz w:val="18"/>
                <w:szCs w:val="18"/>
              </w:rPr>
              <w:t>Length of pipe from water heating source which runs horizontally</w:t>
            </w:r>
          </w:p>
        </w:tc>
        <w:tc>
          <w:tcPr>
            <w:tcW w:w="1310" w:type="dxa"/>
            <w:vAlign w:val="center"/>
          </w:tcPr>
          <w:p w14:paraId="419EB71A" w14:textId="77777777" w:rsidR="00C71CAA" w:rsidRPr="001570EA" w:rsidRDefault="00C71CAA">
            <w:pPr>
              <w:spacing w:before="120"/>
              <w:jc w:val="center"/>
              <w:rPr>
                <w:szCs w:val="18"/>
              </w:rPr>
            </w:pPr>
            <m:oMathPara>
              <m:oMath>
                <m:r>
                  <w:rPr>
                    <w:rFonts w:ascii="Cambria Math" w:hAnsi="Cambria Math"/>
                    <w:szCs w:val="18"/>
                  </w:rPr>
                  <m:t>ft</m:t>
                </m:r>
              </m:oMath>
            </m:oMathPara>
          </w:p>
        </w:tc>
        <w:tc>
          <w:tcPr>
            <w:tcW w:w="2154" w:type="dxa"/>
            <w:vAlign w:val="center"/>
          </w:tcPr>
          <w:p w14:paraId="00E33F89" w14:textId="77777777" w:rsidR="00C71CAA" w:rsidRPr="001570EA" w:rsidRDefault="00C71CAA">
            <w:pPr>
              <w:spacing w:before="120"/>
              <w:jc w:val="center"/>
              <w:rPr>
                <w:rFonts w:cs="Arial"/>
                <w:iCs/>
                <w:sz w:val="18"/>
                <w:szCs w:val="18"/>
              </w:rPr>
            </w:pPr>
            <w:r w:rsidRPr="001570EA">
              <w:rPr>
                <w:rFonts w:cs="Arial"/>
                <w:iCs/>
                <w:sz w:val="18"/>
                <w:szCs w:val="18"/>
              </w:rPr>
              <w:t>EDC Data Gathering</w:t>
            </w:r>
          </w:p>
        </w:tc>
        <w:tc>
          <w:tcPr>
            <w:tcW w:w="967" w:type="dxa"/>
            <w:vAlign w:val="center"/>
          </w:tcPr>
          <w:p w14:paraId="29090B24" w14:textId="77777777" w:rsidR="00C71CAA" w:rsidRPr="001570EA" w:rsidRDefault="00C71CAA">
            <w:pPr>
              <w:spacing w:before="120"/>
              <w:jc w:val="center"/>
              <w:rPr>
                <w:rFonts w:cs="Arial"/>
                <w:iCs/>
                <w:sz w:val="18"/>
                <w:szCs w:val="18"/>
              </w:rPr>
            </w:pPr>
            <w:r w:rsidRPr="001570EA">
              <w:rPr>
                <w:rFonts w:cs="Arial"/>
                <w:iCs/>
                <w:sz w:val="18"/>
                <w:szCs w:val="18"/>
              </w:rPr>
              <w:t>-</w:t>
            </w:r>
          </w:p>
        </w:tc>
      </w:tr>
      <w:tr w:rsidR="00C71CAA" w:rsidRPr="001570EA" w14:paraId="1F24C00E" w14:textId="77777777">
        <w:trPr>
          <w:trHeight w:hRule="exact" w:val="720"/>
        </w:trPr>
        <w:tc>
          <w:tcPr>
            <w:tcW w:w="4091" w:type="dxa"/>
            <w:vAlign w:val="center"/>
          </w:tcPr>
          <w:p w14:paraId="3D2F60B9" w14:textId="77777777" w:rsidR="00C71CAA" w:rsidRPr="001570EA" w:rsidRDefault="00C71CAA">
            <w:pPr>
              <w:spacing w:before="120" w:after="200"/>
              <w:rPr>
                <w:sz w:val="18"/>
                <w:szCs w:val="18"/>
              </w:rPr>
            </w:pPr>
            <m:oMath>
              <m:r>
                <w:rPr>
                  <w:rFonts w:ascii="Cambria Math" w:hAnsi="Cambria Math"/>
                  <w:sz w:val="18"/>
                  <w:szCs w:val="18"/>
                </w:rPr>
                <m:t>α</m:t>
              </m:r>
            </m:oMath>
            <w:r w:rsidRPr="001570EA">
              <w:rPr>
                <w:sz w:val="18"/>
                <w:szCs w:val="18"/>
              </w:rPr>
              <w:t>, Horizontal to Vertical Adjustment Factor</w:t>
            </w:r>
          </w:p>
        </w:tc>
        <w:tc>
          <w:tcPr>
            <w:tcW w:w="1310" w:type="dxa"/>
            <w:vAlign w:val="center"/>
          </w:tcPr>
          <w:p w14:paraId="5D9E633C" w14:textId="77777777" w:rsidR="00C71CAA" w:rsidRPr="001570EA" w:rsidRDefault="00C71CAA">
            <w:pPr>
              <w:spacing w:before="120"/>
              <w:jc w:val="center"/>
              <w:rPr>
                <w:i/>
                <w:iCs/>
                <w:szCs w:val="18"/>
              </w:rPr>
            </w:pPr>
            <w:r w:rsidRPr="001570EA">
              <w:rPr>
                <w:i/>
                <w:iCs/>
                <w:szCs w:val="18"/>
              </w:rPr>
              <w:t>None</w:t>
            </w:r>
          </w:p>
        </w:tc>
        <w:tc>
          <w:tcPr>
            <w:tcW w:w="2154" w:type="dxa"/>
            <w:vAlign w:val="center"/>
          </w:tcPr>
          <w:p w14:paraId="2051E052" w14:textId="6B21FDBE" w:rsidR="00C71CAA" w:rsidRPr="001570EA" w:rsidRDefault="00C71CAA">
            <w:pPr>
              <w:pStyle w:val="TableText0"/>
            </w:pPr>
            <w:r w:rsidRPr="001570EA">
              <w:t xml:space="preserve">See </w:t>
            </w:r>
            <w:r w:rsidRPr="001570EA">
              <w:fldChar w:fldCharType="begin"/>
            </w:r>
            <w:r w:rsidRPr="001570EA">
              <w:instrText xml:space="preserve"> REF _Ref162520378 \h  \* MERGEFORMAT </w:instrText>
            </w:r>
            <w:r w:rsidRPr="001570EA">
              <w:fldChar w:fldCharType="separate"/>
            </w:r>
            <w:r w:rsidR="00234C6C" w:rsidRPr="001570EA">
              <w:t>Table 2</w:t>
            </w:r>
            <w:r w:rsidRPr="001570EA">
              <w:fldChar w:fldCharType="end"/>
            </w:r>
          </w:p>
        </w:tc>
        <w:tc>
          <w:tcPr>
            <w:tcW w:w="967" w:type="dxa"/>
            <w:vAlign w:val="center"/>
          </w:tcPr>
          <w:p w14:paraId="0017765F" w14:textId="77777777" w:rsidR="00C71CAA" w:rsidRPr="001570EA" w:rsidRDefault="00C71CAA">
            <w:pPr>
              <w:spacing w:before="120"/>
              <w:jc w:val="center"/>
              <w:rPr>
                <w:rFonts w:cs="Arial"/>
                <w:iCs/>
                <w:sz w:val="18"/>
                <w:szCs w:val="18"/>
              </w:rPr>
            </w:pPr>
            <w:r w:rsidRPr="001570EA">
              <w:rPr>
                <w:rFonts w:cs="Arial"/>
                <w:iCs/>
                <w:sz w:val="18"/>
                <w:szCs w:val="18"/>
              </w:rPr>
              <w:t>6</w:t>
            </w:r>
          </w:p>
        </w:tc>
      </w:tr>
      <w:tr w:rsidR="00C71CAA" w:rsidRPr="001570EA" w14:paraId="369EDC9C" w14:textId="77777777">
        <w:trPr>
          <w:trHeight w:hRule="exact" w:val="720"/>
        </w:trPr>
        <w:tc>
          <w:tcPr>
            <w:tcW w:w="4091" w:type="dxa"/>
            <w:vAlign w:val="center"/>
          </w:tcPr>
          <w:p w14:paraId="5FE88CA3" w14:textId="77777777" w:rsidR="00C71CAA" w:rsidRPr="001570EA" w:rsidRDefault="003B5E04">
            <w:pPr>
              <w:spacing w:before="120" w:after="200"/>
              <w:rPr>
                <w:rFonts w:cs="Arial"/>
                <w:iCs/>
                <w:sz w:val="18"/>
                <w:szCs w:val="18"/>
              </w:rPr>
            </w:pPr>
            <m:oMath>
              <m:sSub>
                <m:sSubPr>
                  <m:ctrlPr>
                    <w:rPr>
                      <w:rFonts w:ascii="Cambria Math" w:hAnsi="Cambria Math" w:cs="Arial"/>
                      <w:i/>
                      <w:sz w:val="18"/>
                      <w:szCs w:val="18"/>
                    </w:rPr>
                  </m:ctrlPr>
                </m:sSubPr>
                <m:e>
                  <m:r>
                    <w:rPr>
                      <w:rFonts w:ascii="Cambria Math" w:hAnsi="Cambria Math" w:cs="Arial"/>
                      <w:sz w:val="18"/>
                      <w:szCs w:val="18"/>
                    </w:rPr>
                    <m:t>T</m:t>
                  </m:r>
                </m:e>
                <m:sub>
                  <m:r>
                    <w:rPr>
                      <w:rFonts w:ascii="Cambria Math" w:hAnsi="Cambria Math" w:cs="Arial"/>
                      <w:sz w:val="18"/>
                      <w:szCs w:val="18"/>
                    </w:rPr>
                    <m:t>setpoint</m:t>
                  </m:r>
                </m:sub>
              </m:sSub>
            </m:oMath>
            <w:r w:rsidR="00C71CAA" w:rsidRPr="001570EA">
              <w:rPr>
                <w:rFonts w:cs="Arial"/>
                <w:iCs/>
                <w:sz w:val="18"/>
                <w:szCs w:val="18"/>
              </w:rPr>
              <w:t xml:space="preserve">, </w:t>
            </w:r>
            <w:r w:rsidR="00C71CAA" w:rsidRPr="001570EA">
              <w:rPr>
                <w:sz w:val="18"/>
                <w:szCs w:val="18"/>
              </w:rPr>
              <w:t>Temperature of hot water in tank</w:t>
            </w:r>
          </w:p>
        </w:tc>
        <w:tc>
          <w:tcPr>
            <w:tcW w:w="1310" w:type="dxa"/>
            <w:vAlign w:val="center"/>
          </w:tcPr>
          <w:p w14:paraId="77682F7D" w14:textId="77777777" w:rsidR="00C71CAA" w:rsidRPr="001570EA" w:rsidRDefault="00C71CAA">
            <w:pPr>
              <w:spacing w:before="120"/>
              <w:jc w:val="center"/>
              <w:rPr>
                <w:rFonts w:cs="Arial"/>
                <w:iCs/>
                <w:sz w:val="18"/>
                <w:szCs w:val="18"/>
              </w:rPr>
            </w:pPr>
            <m:oMathPara>
              <m:oMath>
                <m:r>
                  <w:rPr>
                    <w:rFonts w:ascii="Cambria Math" w:hAnsi="Cambria Math" w:cs="Arial"/>
                    <w:sz w:val="18"/>
                    <w:szCs w:val="18"/>
                  </w:rPr>
                  <m:t>℉</m:t>
                </m:r>
              </m:oMath>
            </m:oMathPara>
          </w:p>
        </w:tc>
        <w:tc>
          <w:tcPr>
            <w:tcW w:w="2154" w:type="dxa"/>
            <w:vAlign w:val="center"/>
          </w:tcPr>
          <w:p w14:paraId="72F2CC49" w14:textId="77777777" w:rsidR="00C71CAA" w:rsidRPr="001570EA" w:rsidRDefault="00C71CAA">
            <w:pPr>
              <w:spacing w:before="120"/>
              <w:jc w:val="center"/>
              <w:rPr>
                <w:rFonts w:cs="Arial"/>
                <w:iCs/>
                <w:sz w:val="18"/>
                <w:szCs w:val="18"/>
              </w:rPr>
            </w:pPr>
            <w:r w:rsidRPr="001570EA">
              <w:rPr>
                <w:rFonts w:cs="Arial"/>
                <w:iCs/>
                <w:sz w:val="18"/>
                <w:szCs w:val="18"/>
              </w:rPr>
              <w:t>119</w:t>
            </w:r>
          </w:p>
        </w:tc>
        <w:tc>
          <w:tcPr>
            <w:tcW w:w="967" w:type="dxa"/>
            <w:vAlign w:val="center"/>
          </w:tcPr>
          <w:p w14:paraId="679412B7" w14:textId="77777777" w:rsidR="00C71CAA" w:rsidRPr="001570EA" w:rsidRDefault="00C71CAA">
            <w:pPr>
              <w:spacing w:before="120"/>
              <w:jc w:val="center"/>
              <w:rPr>
                <w:rFonts w:cs="Arial"/>
                <w:iCs/>
                <w:sz w:val="18"/>
                <w:szCs w:val="18"/>
              </w:rPr>
            </w:pPr>
            <w:r w:rsidRPr="001570EA">
              <w:rPr>
                <w:rFonts w:cs="Arial"/>
                <w:iCs/>
                <w:sz w:val="18"/>
                <w:szCs w:val="18"/>
              </w:rPr>
              <w:t>10</w:t>
            </w:r>
          </w:p>
        </w:tc>
      </w:tr>
      <w:tr w:rsidR="00C71CAA" w:rsidRPr="001570EA" w14:paraId="5A9DE593" w14:textId="77777777">
        <w:trPr>
          <w:trHeight w:hRule="exact" w:val="720"/>
        </w:trPr>
        <w:tc>
          <w:tcPr>
            <w:tcW w:w="4091" w:type="dxa"/>
            <w:vAlign w:val="center"/>
          </w:tcPr>
          <w:p w14:paraId="07821641" w14:textId="19393CA4" w:rsidR="00C71CAA" w:rsidRPr="001570EA" w:rsidRDefault="003B5E04">
            <w:pPr>
              <w:spacing w:before="120" w:after="200"/>
              <w:rPr>
                <w:rFonts w:cs="Arial"/>
                <w:iCs/>
                <w:sz w:val="18"/>
                <w:szCs w:val="18"/>
              </w:rPr>
            </w:pPr>
            <m:oMath>
              <m:sSub>
                <m:sSubPr>
                  <m:ctrlPr>
                    <w:rPr>
                      <w:rFonts w:ascii="Cambria Math" w:hAnsi="Cambria Math"/>
                      <w:i/>
                      <w:sz w:val="18"/>
                      <w:szCs w:val="18"/>
                      <w:vertAlign w:val="subscript"/>
                    </w:rPr>
                  </m:ctrlPr>
                </m:sSubPr>
                <m:e>
                  <m:r>
                    <w:rPr>
                      <w:rFonts w:ascii="Cambria Math" w:hAnsi="Cambria Math"/>
                      <w:sz w:val="18"/>
                      <w:szCs w:val="18"/>
                      <w:vertAlign w:val="subscript"/>
                    </w:rPr>
                    <m:t>T</m:t>
                  </m:r>
                </m:e>
                <m:sub>
                  <m:r>
                    <w:rPr>
                      <w:rFonts w:ascii="Cambria Math" w:hAnsi="Cambria Math"/>
                      <w:sz w:val="18"/>
                      <w:szCs w:val="18"/>
                      <w:vertAlign w:val="subscript"/>
                    </w:rPr>
                    <m:t>ambient</m:t>
                  </m:r>
                </m:sub>
              </m:sSub>
            </m:oMath>
            <w:r w:rsidR="00C71CAA" w:rsidRPr="001570EA">
              <w:rPr>
                <w:sz w:val="18"/>
                <w:szCs w:val="18"/>
              </w:rPr>
              <w:t>, Temperature of ambient air</w:t>
            </w:r>
          </w:p>
        </w:tc>
        <w:tc>
          <w:tcPr>
            <w:tcW w:w="1310" w:type="dxa"/>
            <w:vAlign w:val="center"/>
          </w:tcPr>
          <w:p w14:paraId="249C7D54" w14:textId="77777777" w:rsidR="00C71CAA" w:rsidRPr="001570EA" w:rsidRDefault="00C71CAA">
            <w:pPr>
              <w:spacing w:before="120"/>
              <w:jc w:val="center"/>
              <w:rPr>
                <w:rFonts w:cs="Arial"/>
                <w:iCs/>
                <w:sz w:val="18"/>
                <w:szCs w:val="18"/>
              </w:rPr>
            </w:pPr>
            <w:r w:rsidRPr="001570EA">
              <w:rPr>
                <w:rFonts w:cs="Arial"/>
                <w:i/>
                <w:sz w:val="18"/>
                <w:szCs w:val="18"/>
              </w:rPr>
              <w:t>˚</w:t>
            </w:r>
            <w:r w:rsidRPr="001570EA">
              <w:rPr>
                <w:i/>
                <w:sz w:val="18"/>
                <w:szCs w:val="18"/>
              </w:rPr>
              <w:t>F</w:t>
            </w:r>
          </w:p>
        </w:tc>
        <w:tc>
          <w:tcPr>
            <w:tcW w:w="2154" w:type="dxa"/>
            <w:vAlign w:val="center"/>
          </w:tcPr>
          <w:p w14:paraId="2280BE75" w14:textId="77777777" w:rsidR="00C71CAA" w:rsidRPr="001570EA" w:rsidRDefault="00C71CAA">
            <w:pPr>
              <w:spacing w:before="120"/>
              <w:jc w:val="center"/>
              <w:rPr>
                <w:rFonts w:cs="Arial"/>
                <w:iCs/>
                <w:sz w:val="18"/>
                <w:szCs w:val="18"/>
              </w:rPr>
            </w:pPr>
            <w:r w:rsidRPr="001570EA">
              <w:rPr>
                <w:sz w:val="18"/>
                <w:szCs w:val="18"/>
              </w:rPr>
              <w:t>70</w:t>
            </w:r>
          </w:p>
        </w:tc>
        <w:tc>
          <w:tcPr>
            <w:tcW w:w="967" w:type="dxa"/>
            <w:vAlign w:val="center"/>
          </w:tcPr>
          <w:p w14:paraId="40175829" w14:textId="77777777" w:rsidR="00C71CAA" w:rsidRPr="001570EA" w:rsidRDefault="00C71CAA">
            <w:pPr>
              <w:spacing w:before="120"/>
              <w:jc w:val="center"/>
              <w:rPr>
                <w:rFonts w:cs="Arial"/>
                <w:iCs/>
                <w:sz w:val="18"/>
                <w:szCs w:val="18"/>
              </w:rPr>
            </w:pPr>
            <w:r w:rsidRPr="001570EA">
              <w:rPr>
                <w:rFonts w:cs="Arial"/>
                <w:iCs/>
                <w:sz w:val="18"/>
                <w:szCs w:val="18"/>
              </w:rPr>
              <w:t>3</w:t>
            </w:r>
          </w:p>
        </w:tc>
      </w:tr>
      <w:tr w:rsidR="00C71CAA" w:rsidRPr="001570EA" w14:paraId="6F199779" w14:textId="77777777">
        <w:trPr>
          <w:trHeight w:hRule="exact" w:val="720"/>
        </w:trPr>
        <w:tc>
          <w:tcPr>
            <w:tcW w:w="4091" w:type="dxa"/>
            <w:vAlign w:val="center"/>
          </w:tcPr>
          <w:p w14:paraId="767D1995" w14:textId="77777777" w:rsidR="00C71CAA" w:rsidRPr="001570EA" w:rsidRDefault="003B5E04">
            <w:pPr>
              <w:spacing w:before="120" w:after="200"/>
              <w:rPr>
                <w:rFonts w:cs="Arial"/>
                <w:iCs/>
                <w:sz w:val="18"/>
                <w:szCs w:val="18"/>
              </w:rPr>
            </w:pPr>
            <m:oMath>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elec</m:t>
                  </m:r>
                </m:sub>
              </m:sSub>
            </m:oMath>
            <w:r w:rsidR="00C71CAA" w:rsidRPr="001570EA">
              <w:rPr>
                <w:sz w:val="18"/>
                <w:szCs w:val="18"/>
              </w:rPr>
              <w:t>, Thermal efficiency of electric heater element</w:t>
            </w:r>
          </w:p>
        </w:tc>
        <w:tc>
          <w:tcPr>
            <w:tcW w:w="1310" w:type="dxa"/>
            <w:vAlign w:val="center"/>
          </w:tcPr>
          <w:p w14:paraId="384B5986" w14:textId="77777777" w:rsidR="00C71CAA" w:rsidRPr="001570EA" w:rsidRDefault="00C71CAA">
            <w:pPr>
              <w:spacing w:before="120"/>
              <w:jc w:val="center"/>
              <w:rPr>
                <w:rFonts w:cs="Arial"/>
                <w:iCs/>
                <w:sz w:val="18"/>
                <w:szCs w:val="18"/>
              </w:rPr>
            </w:pPr>
            <w:r w:rsidRPr="001570EA">
              <w:rPr>
                <w:i/>
                <w:sz w:val="18"/>
                <w:szCs w:val="18"/>
              </w:rPr>
              <w:t>Proportion</w:t>
            </w:r>
          </w:p>
        </w:tc>
        <w:tc>
          <w:tcPr>
            <w:tcW w:w="2154" w:type="dxa"/>
            <w:vAlign w:val="center"/>
          </w:tcPr>
          <w:p w14:paraId="3DB62ED7" w14:textId="77777777" w:rsidR="00C71CAA" w:rsidRPr="001570EA" w:rsidRDefault="00C71CAA">
            <w:pPr>
              <w:spacing w:before="120"/>
              <w:jc w:val="center"/>
              <w:rPr>
                <w:rFonts w:cs="Arial"/>
                <w:iCs/>
                <w:sz w:val="18"/>
                <w:szCs w:val="18"/>
              </w:rPr>
            </w:pPr>
            <w:r w:rsidRPr="001570EA">
              <w:rPr>
                <w:sz w:val="18"/>
                <w:szCs w:val="18"/>
              </w:rPr>
              <w:t>0.98</w:t>
            </w:r>
          </w:p>
        </w:tc>
        <w:tc>
          <w:tcPr>
            <w:tcW w:w="967" w:type="dxa"/>
            <w:vAlign w:val="center"/>
          </w:tcPr>
          <w:p w14:paraId="112FBAAF" w14:textId="77777777" w:rsidR="00C71CAA" w:rsidRPr="001570EA" w:rsidRDefault="00C71CAA">
            <w:pPr>
              <w:spacing w:before="120"/>
              <w:jc w:val="center"/>
              <w:rPr>
                <w:rFonts w:cs="Arial"/>
                <w:iCs/>
                <w:sz w:val="18"/>
                <w:szCs w:val="18"/>
              </w:rPr>
            </w:pPr>
            <w:r w:rsidRPr="001570EA">
              <w:rPr>
                <w:rFonts w:cs="Arial"/>
                <w:iCs/>
                <w:sz w:val="18"/>
                <w:szCs w:val="18"/>
              </w:rPr>
              <w:t>4</w:t>
            </w:r>
          </w:p>
        </w:tc>
      </w:tr>
      <w:tr w:rsidR="00C71CAA" w:rsidRPr="001570EA" w14:paraId="4B53539D" w14:textId="77777777">
        <w:trPr>
          <w:trHeight w:hRule="exact" w:val="720"/>
        </w:trPr>
        <w:tc>
          <w:tcPr>
            <w:tcW w:w="4091" w:type="dxa"/>
            <w:vAlign w:val="center"/>
          </w:tcPr>
          <w:p w14:paraId="43D4FD3C" w14:textId="77777777" w:rsidR="00C71CAA" w:rsidRPr="001570EA" w:rsidRDefault="00C71CAA">
            <w:pPr>
              <w:spacing w:before="120" w:after="200"/>
              <w:rPr>
                <w:rFonts w:cs="Arial"/>
                <w:iCs/>
                <w:sz w:val="18"/>
                <w:szCs w:val="18"/>
              </w:rPr>
            </w:pPr>
            <m:oMath>
              <m:r>
                <w:rPr>
                  <w:rFonts w:ascii="Cambria Math" w:hAnsi="Cambria Math" w:cs="Arial"/>
                  <w:sz w:val="18"/>
                  <w:szCs w:val="18"/>
                </w:rPr>
                <m:t>HOU</m:t>
              </m:r>
            </m:oMath>
            <w:r w:rsidRPr="001570EA">
              <w:rPr>
                <w:rFonts w:cs="Arial"/>
                <w:iCs/>
                <w:sz w:val="18"/>
                <w:szCs w:val="18"/>
              </w:rPr>
              <w:t xml:space="preserve">, </w:t>
            </w:r>
            <w:r w:rsidRPr="001570EA">
              <w:rPr>
                <w:sz w:val="18"/>
                <w:szCs w:val="18"/>
              </w:rPr>
              <w:t>Annual hours of use for water heater tank</w:t>
            </w:r>
          </w:p>
        </w:tc>
        <w:tc>
          <w:tcPr>
            <w:tcW w:w="1310" w:type="dxa"/>
            <w:vAlign w:val="center"/>
          </w:tcPr>
          <w:p w14:paraId="5D03BF70" w14:textId="77777777" w:rsidR="00C71CAA" w:rsidRPr="001570EA" w:rsidRDefault="003B5E04">
            <w:pPr>
              <w:spacing w:before="120"/>
              <w:jc w:val="center"/>
              <w:rPr>
                <w:rFonts w:cs="Arial"/>
                <w:iCs/>
                <w:sz w:val="18"/>
                <w:szCs w:val="18"/>
              </w:rPr>
            </w:pPr>
            <m:oMathPara>
              <m:oMath>
                <m:f>
                  <m:fPr>
                    <m:ctrlPr>
                      <w:rPr>
                        <w:rFonts w:ascii="Cambria Math" w:hAnsi="Cambria Math" w:cs="Arial"/>
                        <w:i/>
                        <w:iCs/>
                        <w:sz w:val="18"/>
                        <w:szCs w:val="18"/>
                      </w:rPr>
                    </m:ctrlPr>
                  </m:fPr>
                  <m:num>
                    <m:r>
                      <w:rPr>
                        <w:rFonts w:ascii="Cambria Math" w:hAnsi="Cambria Math" w:cs="Arial"/>
                        <w:sz w:val="18"/>
                        <w:szCs w:val="18"/>
                      </w:rPr>
                      <m:t>hours</m:t>
                    </m:r>
                  </m:num>
                  <m:den>
                    <m:r>
                      <w:rPr>
                        <w:rFonts w:ascii="Cambria Math" w:hAnsi="Cambria Math" w:cs="Arial"/>
                        <w:sz w:val="18"/>
                        <w:szCs w:val="18"/>
                      </w:rPr>
                      <m:t>yr</m:t>
                    </m:r>
                  </m:den>
                </m:f>
              </m:oMath>
            </m:oMathPara>
          </w:p>
        </w:tc>
        <w:tc>
          <w:tcPr>
            <w:tcW w:w="2154" w:type="dxa"/>
            <w:vAlign w:val="center"/>
          </w:tcPr>
          <w:p w14:paraId="73D400F4" w14:textId="77777777" w:rsidR="00C71CAA" w:rsidRPr="001570EA" w:rsidRDefault="00C71CAA">
            <w:pPr>
              <w:spacing w:before="120"/>
              <w:jc w:val="center"/>
              <w:rPr>
                <w:rFonts w:cs="Arial"/>
                <w:iCs/>
                <w:sz w:val="18"/>
                <w:szCs w:val="18"/>
              </w:rPr>
            </w:pPr>
            <w:r w:rsidRPr="001570EA">
              <w:rPr>
                <w:rFonts w:cs="Arial"/>
                <w:iCs/>
                <w:sz w:val="18"/>
                <w:szCs w:val="18"/>
              </w:rPr>
              <w:t>8760</w:t>
            </w:r>
          </w:p>
        </w:tc>
        <w:tc>
          <w:tcPr>
            <w:tcW w:w="967" w:type="dxa"/>
            <w:vAlign w:val="center"/>
          </w:tcPr>
          <w:p w14:paraId="2735859B" w14:textId="77777777" w:rsidR="00C71CAA" w:rsidRPr="001570EA" w:rsidRDefault="00C71CAA">
            <w:pPr>
              <w:spacing w:before="120"/>
              <w:jc w:val="center"/>
              <w:rPr>
                <w:rFonts w:cs="Arial"/>
                <w:iCs/>
                <w:sz w:val="18"/>
                <w:szCs w:val="18"/>
              </w:rPr>
            </w:pPr>
            <w:r w:rsidRPr="001570EA">
              <w:rPr>
                <w:rFonts w:cs="Arial"/>
                <w:iCs/>
                <w:sz w:val="18"/>
                <w:szCs w:val="18"/>
              </w:rPr>
              <w:t>-</w:t>
            </w:r>
          </w:p>
        </w:tc>
      </w:tr>
      <w:tr w:rsidR="00C71CAA" w:rsidRPr="001570EA" w14:paraId="7979F897" w14:textId="77777777">
        <w:trPr>
          <w:trHeight w:hRule="exact" w:val="720"/>
        </w:trPr>
        <w:tc>
          <w:tcPr>
            <w:tcW w:w="4091" w:type="dxa"/>
            <w:vAlign w:val="center"/>
          </w:tcPr>
          <w:p w14:paraId="56BB92BD" w14:textId="77777777" w:rsidR="00C71CAA" w:rsidRPr="001570EA" w:rsidRDefault="00C71CAA">
            <w:pPr>
              <w:spacing w:before="120" w:after="200"/>
              <w:rPr>
                <w:sz w:val="18"/>
                <w:szCs w:val="18"/>
              </w:rPr>
            </w:pPr>
            <m:oMath>
              <m:r>
                <w:rPr>
                  <w:rFonts w:ascii="Cambria Math" w:hAnsi="Cambria Math" w:cs="Arial"/>
                  <w:sz w:val="18"/>
                  <w:szCs w:val="18"/>
                </w:rPr>
                <m:t>ISR</m:t>
              </m:r>
            </m:oMath>
            <w:r w:rsidRPr="001570EA">
              <w:rPr>
                <w:sz w:val="18"/>
                <w:szCs w:val="18"/>
              </w:rPr>
              <w:t>, In-service rate</w:t>
            </w:r>
          </w:p>
        </w:tc>
        <w:tc>
          <w:tcPr>
            <w:tcW w:w="1310" w:type="dxa"/>
            <w:vAlign w:val="center"/>
          </w:tcPr>
          <w:p w14:paraId="74F93B4B" w14:textId="77777777" w:rsidR="00C71CAA" w:rsidRPr="001570EA" w:rsidRDefault="00C71CAA">
            <w:pPr>
              <w:spacing w:before="120"/>
              <w:jc w:val="center"/>
              <w:rPr>
                <w:rFonts w:cs="Arial"/>
                <w:iCs/>
                <w:sz w:val="18"/>
                <w:szCs w:val="18"/>
              </w:rPr>
            </w:pPr>
            <w:r w:rsidRPr="001570EA">
              <w:rPr>
                <w:i/>
              </w:rPr>
              <w:t>%</w:t>
            </w:r>
          </w:p>
        </w:tc>
        <w:tc>
          <w:tcPr>
            <w:tcW w:w="2154" w:type="dxa"/>
            <w:vAlign w:val="center"/>
          </w:tcPr>
          <w:p w14:paraId="186495E6" w14:textId="77777777" w:rsidR="00C71CAA" w:rsidRPr="001570EA" w:rsidRDefault="00C71CAA">
            <w:pPr>
              <w:pStyle w:val="TableCell"/>
              <w:keepNext w:val="0"/>
              <w:spacing w:before="60" w:after="60"/>
              <w:jc w:val="center"/>
              <w:rPr>
                <w:color w:val="000000"/>
              </w:rPr>
            </w:pPr>
            <w:r w:rsidRPr="001570EA">
              <w:rPr>
                <w:color w:val="000000"/>
              </w:rPr>
              <w:t>EDC Data Gathering</w:t>
            </w:r>
          </w:p>
          <w:p w14:paraId="65D75086" w14:textId="77777777" w:rsidR="00C71CAA" w:rsidRPr="001570EA" w:rsidRDefault="00C71CAA">
            <w:pPr>
              <w:pStyle w:val="TableCell"/>
              <w:keepNext w:val="0"/>
              <w:spacing w:before="60" w:after="60"/>
              <w:jc w:val="center"/>
              <w:rPr>
                <w:rFonts w:cs="Arial"/>
                <w:szCs w:val="18"/>
              </w:rPr>
            </w:pPr>
            <w:r w:rsidRPr="001570EA">
              <w:t>Direct Install Default: 100%</w:t>
            </w:r>
          </w:p>
        </w:tc>
        <w:tc>
          <w:tcPr>
            <w:tcW w:w="967" w:type="dxa"/>
            <w:vAlign w:val="center"/>
          </w:tcPr>
          <w:p w14:paraId="103918D2" w14:textId="77777777" w:rsidR="00C71CAA" w:rsidRPr="001570EA" w:rsidRDefault="00C71CAA">
            <w:pPr>
              <w:spacing w:before="120"/>
              <w:jc w:val="center"/>
              <w:rPr>
                <w:rFonts w:cs="Arial"/>
                <w:iCs/>
                <w:sz w:val="18"/>
                <w:szCs w:val="18"/>
              </w:rPr>
            </w:pPr>
            <w:r w:rsidRPr="001570EA">
              <w:rPr>
                <w:rFonts w:cs="Arial"/>
                <w:iCs/>
                <w:sz w:val="18"/>
                <w:szCs w:val="18"/>
              </w:rPr>
              <w:t>-</w:t>
            </w:r>
          </w:p>
        </w:tc>
      </w:tr>
      <w:tr w:rsidR="00C71CAA" w:rsidRPr="001570EA" w14:paraId="08BC6987" w14:textId="77777777">
        <w:trPr>
          <w:trHeight w:hRule="exact" w:val="720"/>
        </w:trPr>
        <w:tc>
          <w:tcPr>
            <w:tcW w:w="4091" w:type="dxa"/>
            <w:vAlign w:val="center"/>
          </w:tcPr>
          <w:p w14:paraId="5742C3EC" w14:textId="43D80E8F" w:rsidR="00C71CAA" w:rsidRPr="001570EA" w:rsidRDefault="00C71CAA">
            <w:pPr>
              <w:spacing w:before="120" w:after="200"/>
              <w:jc w:val="left"/>
              <w:rPr>
                <w:rFonts w:cs="Arial"/>
                <w:sz w:val="18"/>
                <w:szCs w:val="18"/>
              </w:rPr>
            </w:pPr>
            <w:r w:rsidRPr="001570EA">
              <w:rPr>
                <w:rFonts w:ascii="Cambria Math" w:hAnsi="Cambria Math" w:cs="Arial"/>
                <w:i/>
                <w:sz w:val="18"/>
                <w:szCs w:val="18"/>
              </w:rPr>
              <w:t>ETDF</w:t>
            </w:r>
            <w:r w:rsidRPr="001570EA">
              <w:rPr>
                <w:rFonts w:ascii="Cambria Math" w:hAnsi="Cambria Math" w:cs="Arial"/>
                <w:i/>
                <w:sz w:val="18"/>
                <w:szCs w:val="18"/>
                <w:vertAlign w:val="subscript"/>
              </w:rPr>
              <w:t>S</w:t>
            </w:r>
            <w:r w:rsidRPr="001570EA">
              <w:rPr>
                <w:rFonts w:cs="Arial"/>
                <w:sz w:val="18"/>
                <w:szCs w:val="18"/>
              </w:rPr>
              <w:t>, Summer Energy To Demand Factor</w:t>
            </w:r>
          </w:p>
        </w:tc>
        <w:tc>
          <w:tcPr>
            <w:tcW w:w="1310" w:type="dxa"/>
            <w:vAlign w:val="center"/>
          </w:tcPr>
          <w:p w14:paraId="3763135F" w14:textId="77777777" w:rsidR="00C71CAA" w:rsidRPr="001570EA" w:rsidRDefault="003B5E04">
            <w:pPr>
              <w:spacing w:before="120"/>
              <w:jc w:val="center"/>
              <w:rPr>
                <w:rFonts w:cs="Arial"/>
                <w:iCs/>
                <w:sz w:val="18"/>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154" w:type="dxa"/>
            <w:vAlign w:val="center"/>
          </w:tcPr>
          <w:p w14:paraId="6EEAE6CB" w14:textId="77777777" w:rsidR="00C71CAA" w:rsidRPr="001570EA" w:rsidRDefault="00C71CAA">
            <w:pPr>
              <w:spacing w:before="120"/>
              <w:jc w:val="center"/>
              <w:rPr>
                <w:rFonts w:cs="Arial"/>
                <w:iCs/>
                <w:sz w:val="18"/>
                <w:szCs w:val="18"/>
              </w:rPr>
            </w:pPr>
            <w:r w:rsidRPr="001570EA">
              <w:rPr>
                <w:rFonts w:cs="Arial"/>
                <w:sz w:val="18"/>
                <w:szCs w:val="18"/>
              </w:rPr>
              <w:t>0.0001046</w:t>
            </w:r>
          </w:p>
        </w:tc>
        <w:tc>
          <w:tcPr>
            <w:tcW w:w="967" w:type="dxa"/>
            <w:vAlign w:val="center"/>
          </w:tcPr>
          <w:p w14:paraId="44A4FE4B" w14:textId="77777777" w:rsidR="00C71CAA" w:rsidRPr="001570EA" w:rsidRDefault="00C71CAA">
            <w:pPr>
              <w:spacing w:before="120"/>
              <w:jc w:val="center"/>
              <w:rPr>
                <w:rFonts w:cs="Arial"/>
                <w:iCs/>
                <w:sz w:val="18"/>
                <w:szCs w:val="18"/>
              </w:rPr>
            </w:pPr>
            <w:r w:rsidRPr="001570EA">
              <w:rPr>
                <w:rFonts w:cs="Arial"/>
                <w:iCs/>
                <w:sz w:val="18"/>
                <w:szCs w:val="18"/>
              </w:rPr>
              <w:t>5</w:t>
            </w:r>
          </w:p>
        </w:tc>
      </w:tr>
      <w:tr w:rsidR="00C71CAA" w:rsidRPr="001570EA" w14:paraId="155DACD8" w14:textId="77777777">
        <w:trPr>
          <w:trHeight w:hRule="exact" w:val="720"/>
        </w:trPr>
        <w:tc>
          <w:tcPr>
            <w:tcW w:w="4091" w:type="dxa"/>
            <w:vAlign w:val="center"/>
          </w:tcPr>
          <w:p w14:paraId="3F291132" w14:textId="52B35984" w:rsidR="00C71CAA" w:rsidRPr="001570EA" w:rsidRDefault="00C71CAA">
            <w:pPr>
              <w:spacing w:before="120" w:after="200"/>
              <w:jc w:val="left"/>
              <w:rPr>
                <w:rFonts w:cs="Arial"/>
                <w:sz w:val="18"/>
                <w:szCs w:val="18"/>
              </w:rPr>
            </w:pPr>
            <w:r w:rsidRPr="001570EA">
              <w:rPr>
                <w:rFonts w:ascii="Cambria Math" w:hAnsi="Cambria Math" w:cs="Arial"/>
                <w:i/>
                <w:sz w:val="18"/>
                <w:szCs w:val="18"/>
              </w:rPr>
              <w:t>ETDF</w:t>
            </w:r>
            <w:r w:rsidRPr="001570EA">
              <w:rPr>
                <w:rFonts w:ascii="Cambria Math" w:hAnsi="Cambria Math" w:cs="Arial"/>
                <w:i/>
                <w:sz w:val="18"/>
                <w:szCs w:val="18"/>
                <w:vertAlign w:val="subscript"/>
              </w:rPr>
              <w:t>W</w:t>
            </w:r>
            <w:r w:rsidRPr="001570EA">
              <w:rPr>
                <w:rFonts w:cs="Arial"/>
                <w:sz w:val="18"/>
                <w:szCs w:val="18"/>
              </w:rPr>
              <w:t>, Winter Energy To Demand Factor</w:t>
            </w:r>
          </w:p>
        </w:tc>
        <w:tc>
          <w:tcPr>
            <w:tcW w:w="1310" w:type="dxa"/>
            <w:vAlign w:val="center"/>
          </w:tcPr>
          <w:p w14:paraId="25858B00" w14:textId="77777777" w:rsidR="00C71CAA" w:rsidRPr="001570EA" w:rsidRDefault="003B5E04">
            <w:pPr>
              <w:spacing w:before="120"/>
              <w:jc w:val="center"/>
              <w:rPr>
                <w:rFonts w:cs="Arial"/>
                <w:iCs/>
                <w:sz w:val="18"/>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154" w:type="dxa"/>
            <w:vAlign w:val="center"/>
          </w:tcPr>
          <w:p w14:paraId="0F323EB1" w14:textId="77777777" w:rsidR="00C71CAA" w:rsidRPr="001570EA" w:rsidRDefault="00C71CAA">
            <w:pPr>
              <w:spacing w:before="120"/>
              <w:jc w:val="center"/>
              <w:rPr>
                <w:rFonts w:cs="Arial"/>
                <w:iCs/>
                <w:sz w:val="18"/>
                <w:szCs w:val="18"/>
              </w:rPr>
            </w:pPr>
            <w:r w:rsidRPr="001570EA">
              <w:rPr>
                <w:rFonts w:cs="Arial"/>
                <w:sz w:val="18"/>
                <w:szCs w:val="18"/>
              </w:rPr>
              <w:t>0.0001755</w:t>
            </w:r>
          </w:p>
        </w:tc>
        <w:tc>
          <w:tcPr>
            <w:tcW w:w="967" w:type="dxa"/>
            <w:vAlign w:val="center"/>
          </w:tcPr>
          <w:p w14:paraId="159BCEEA" w14:textId="77777777" w:rsidR="00C71CAA" w:rsidRPr="001570EA" w:rsidRDefault="00C71CAA">
            <w:pPr>
              <w:spacing w:before="120"/>
              <w:jc w:val="center"/>
              <w:rPr>
                <w:rFonts w:cs="Arial"/>
                <w:iCs/>
                <w:sz w:val="18"/>
                <w:szCs w:val="18"/>
              </w:rPr>
            </w:pPr>
            <w:r w:rsidRPr="001570EA">
              <w:rPr>
                <w:rFonts w:cs="Arial"/>
                <w:iCs/>
                <w:sz w:val="18"/>
                <w:szCs w:val="18"/>
              </w:rPr>
              <w:t>5</w:t>
            </w:r>
          </w:p>
        </w:tc>
      </w:tr>
    </w:tbl>
    <w:p w14:paraId="6F47BB71" w14:textId="77777777" w:rsidR="00C71CAA" w:rsidRPr="001570EA" w:rsidRDefault="00C71CAA" w:rsidP="00C71CAA">
      <w:pPr>
        <w:pStyle w:val="BodyText"/>
        <w:ind w:right="0"/>
      </w:pPr>
    </w:p>
    <w:p w14:paraId="2DEEE1B4" w14:textId="5A24C3E6" w:rsidR="00C71CAA" w:rsidRPr="001570EA" w:rsidRDefault="00C71CAA" w:rsidP="00C71CAA">
      <w:pPr>
        <w:pStyle w:val="Caption"/>
      </w:pPr>
      <w:bookmarkStart w:id="468" w:name="_Ref16252037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70</w:t>
      </w:r>
      <w:r w:rsidR="002E093A" w:rsidRPr="001570EA">
        <w:fldChar w:fldCharType="end"/>
      </w:r>
      <w:bookmarkEnd w:id="468"/>
      <w:r w:rsidRPr="001570EA">
        <w:t>: Existing R-Values, Inside Circumference, and Horizontal to Vertical Adjustment Factor of Common Water Pipe Sizes and Materials</w:t>
      </w:r>
    </w:p>
    <w:tbl>
      <w:tblPr>
        <w:tblW w:w="35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1197"/>
        <w:gridCol w:w="1177"/>
        <w:gridCol w:w="1177"/>
      </w:tblGrid>
      <w:tr w:rsidR="00C71CAA" w:rsidRPr="001570EA" w14:paraId="68E6503E" w14:textId="77777777">
        <w:trPr>
          <w:trHeight w:val="298"/>
        </w:trPr>
        <w:tc>
          <w:tcPr>
            <w:tcW w:w="2107" w:type="pct"/>
            <w:shd w:val="clear" w:color="auto" w:fill="BFBFBF"/>
            <w:vAlign w:val="bottom"/>
          </w:tcPr>
          <w:p w14:paraId="40556F69" w14:textId="77777777" w:rsidR="00C71CAA" w:rsidRPr="001570EA" w:rsidRDefault="00C71CAA">
            <w:pPr>
              <w:pStyle w:val="TableCell"/>
              <w:keepLines/>
              <w:spacing w:before="60" w:after="60"/>
              <w:rPr>
                <w:b/>
              </w:rPr>
            </w:pPr>
            <w:r w:rsidRPr="001570EA">
              <w:rPr>
                <w:rFonts w:cs="Arial"/>
                <w:b/>
                <w:szCs w:val="18"/>
              </w:rPr>
              <w:t>Type and Size</w:t>
            </w:r>
          </w:p>
        </w:tc>
        <w:tc>
          <w:tcPr>
            <w:tcW w:w="975" w:type="pct"/>
            <w:shd w:val="clear" w:color="auto" w:fill="BFBFBF"/>
            <w:vAlign w:val="bottom"/>
          </w:tcPr>
          <w:p w14:paraId="289FF1C0" w14:textId="77777777" w:rsidR="00C71CAA" w:rsidRPr="001570EA" w:rsidRDefault="00C71CAA">
            <w:pPr>
              <w:pStyle w:val="TableCell"/>
              <w:keepLines/>
              <w:spacing w:before="60" w:after="60"/>
              <w:jc w:val="center"/>
              <w:rPr>
                <w:b/>
              </w:rPr>
            </w:pPr>
            <w:r w:rsidRPr="001570EA">
              <w:rPr>
                <w:rFonts w:cs="Arial"/>
                <w:b/>
                <w:szCs w:val="18"/>
              </w:rPr>
              <w:t>R</w:t>
            </w:r>
            <w:r w:rsidRPr="001570EA">
              <w:rPr>
                <w:rFonts w:cs="Arial"/>
                <w:b/>
                <w:szCs w:val="18"/>
                <w:vertAlign w:val="subscript"/>
              </w:rPr>
              <w:t>exist</w:t>
            </w:r>
          </w:p>
        </w:tc>
        <w:tc>
          <w:tcPr>
            <w:tcW w:w="959" w:type="pct"/>
            <w:shd w:val="clear" w:color="auto" w:fill="BFBFBF"/>
            <w:vAlign w:val="bottom"/>
          </w:tcPr>
          <w:p w14:paraId="1B0A2E17" w14:textId="77777777" w:rsidR="00C71CAA" w:rsidRPr="001570EA" w:rsidRDefault="00C71CAA">
            <w:pPr>
              <w:pStyle w:val="TableCell"/>
              <w:keepLines/>
              <w:spacing w:before="60" w:after="60"/>
              <w:jc w:val="center"/>
              <w:rPr>
                <w:rFonts w:cs="Arial"/>
                <w:b/>
              </w:rPr>
            </w:pPr>
            <w:r w:rsidRPr="001570EA">
              <w:rPr>
                <w:rFonts w:cs="Arial"/>
                <w:b/>
                <w:szCs w:val="18"/>
              </w:rPr>
              <w:t>C</w:t>
            </w:r>
            <w:r w:rsidRPr="001570EA">
              <w:rPr>
                <w:rFonts w:cs="Arial"/>
                <w:b/>
                <w:szCs w:val="18"/>
                <w:vertAlign w:val="subscript"/>
              </w:rPr>
              <w:t>inside</w:t>
            </w:r>
          </w:p>
        </w:tc>
        <w:tc>
          <w:tcPr>
            <w:tcW w:w="959" w:type="pct"/>
            <w:shd w:val="clear" w:color="auto" w:fill="BFBFBF"/>
          </w:tcPr>
          <w:p w14:paraId="7096EBF0" w14:textId="77777777" w:rsidR="00C71CAA" w:rsidRPr="001570EA" w:rsidRDefault="00C71CAA">
            <w:pPr>
              <w:pStyle w:val="TableCell"/>
              <w:keepLines/>
              <w:spacing w:before="60" w:after="60"/>
              <w:jc w:val="center"/>
              <w:rPr>
                <w:rFonts w:cs="Arial"/>
                <w:b/>
                <w:szCs w:val="18"/>
              </w:rPr>
            </w:pPr>
            <w:r w:rsidRPr="001570EA">
              <w:rPr>
                <w:rFonts w:ascii="Calibri" w:hAnsi="Calibri" w:cs="Calibri"/>
                <w:b/>
                <w:szCs w:val="18"/>
              </w:rPr>
              <w:t>α</w:t>
            </w:r>
          </w:p>
        </w:tc>
      </w:tr>
      <w:tr w:rsidR="00C71CAA" w:rsidRPr="001570EA" w14:paraId="13E2C8A0" w14:textId="77777777">
        <w:trPr>
          <w:trHeight w:val="332"/>
        </w:trPr>
        <w:tc>
          <w:tcPr>
            <w:tcW w:w="2107" w:type="pct"/>
            <w:vAlign w:val="center"/>
          </w:tcPr>
          <w:p w14:paraId="66A156AD" w14:textId="77777777" w:rsidR="00C71CAA" w:rsidRPr="001570EA" w:rsidRDefault="00C71CAA">
            <w:pPr>
              <w:pStyle w:val="TableCell"/>
              <w:keepNext w:val="0"/>
              <w:spacing w:before="60" w:after="60"/>
              <w:jc w:val="left"/>
            </w:pPr>
            <w:r w:rsidRPr="001570EA">
              <w:rPr>
                <w:rFonts w:cs="Arial"/>
                <w:szCs w:val="18"/>
              </w:rPr>
              <w:t>½” Copper Pipe</w:t>
            </w:r>
          </w:p>
        </w:tc>
        <w:tc>
          <w:tcPr>
            <w:tcW w:w="975" w:type="pct"/>
            <w:vAlign w:val="center"/>
          </w:tcPr>
          <w:p w14:paraId="56872A3A" w14:textId="77777777" w:rsidR="00C71CAA" w:rsidRPr="001570EA" w:rsidRDefault="00C71CAA">
            <w:pPr>
              <w:pStyle w:val="TableCell"/>
              <w:keepNext w:val="0"/>
              <w:spacing w:before="60" w:after="60"/>
              <w:jc w:val="center"/>
              <w:rPr>
                <w:color w:val="000000"/>
              </w:rPr>
            </w:pPr>
            <w:r w:rsidRPr="001570EA">
              <w:rPr>
                <w:rFonts w:cs="Arial"/>
                <w:szCs w:val="18"/>
              </w:rPr>
              <w:t>0.444</w:t>
            </w:r>
          </w:p>
        </w:tc>
        <w:tc>
          <w:tcPr>
            <w:tcW w:w="959" w:type="pct"/>
            <w:vAlign w:val="center"/>
          </w:tcPr>
          <w:p w14:paraId="1A6BC4D2" w14:textId="77777777" w:rsidR="00C71CAA" w:rsidRPr="001570EA" w:rsidDel="00967FFE" w:rsidRDefault="00C71CAA">
            <w:pPr>
              <w:pStyle w:val="TableCell"/>
              <w:keepNext w:val="0"/>
              <w:spacing w:before="60" w:after="60"/>
              <w:jc w:val="center"/>
              <w:rPr>
                <w:color w:val="000000"/>
              </w:rPr>
            </w:pPr>
            <w:r w:rsidRPr="001570EA">
              <w:rPr>
                <w:rFonts w:cs="Arial"/>
                <w:szCs w:val="18"/>
              </w:rPr>
              <w:t>0.1427</w:t>
            </w:r>
          </w:p>
        </w:tc>
        <w:tc>
          <w:tcPr>
            <w:tcW w:w="959" w:type="pct"/>
            <w:vAlign w:val="center"/>
          </w:tcPr>
          <w:p w14:paraId="336A6649" w14:textId="77777777" w:rsidR="00C71CAA" w:rsidRPr="001570EA" w:rsidRDefault="00C71CAA">
            <w:pPr>
              <w:pStyle w:val="TableCell"/>
              <w:keepNext w:val="0"/>
              <w:spacing w:before="60" w:after="60"/>
              <w:jc w:val="center"/>
              <w:rPr>
                <w:rFonts w:cs="Arial"/>
                <w:szCs w:val="18"/>
              </w:rPr>
            </w:pPr>
            <w:r w:rsidRPr="001570EA">
              <w:rPr>
                <w:rFonts w:cs="Arial"/>
                <w:color w:val="000000"/>
                <w:szCs w:val="18"/>
              </w:rPr>
              <w:t>0.67</w:t>
            </w:r>
          </w:p>
        </w:tc>
      </w:tr>
      <w:tr w:rsidR="00C71CAA" w:rsidRPr="001570EA" w14:paraId="522D59B7" w14:textId="77777777">
        <w:trPr>
          <w:trHeight w:val="298"/>
        </w:trPr>
        <w:tc>
          <w:tcPr>
            <w:tcW w:w="2107" w:type="pct"/>
            <w:vAlign w:val="center"/>
          </w:tcPr>
          <w:p w14:paraId="7E376E40" w14:textId="77777777" w:rsidR="00C71CAA" w:rsidRPr="001570EA" w:rsidRDefault="00C71CAA">
            <w:pPr>
              <w:pStyle w:val="TableCell"/>
              <w:keepNext w:val="0"/>
              <w:spacing w:before="60" w:after="60"/>
              <w:jc w:val="left"/>
            </w:pPr>
            <w:r w:rsidRPr="001570EA">
              <w:rPr>
                <w:rFonts w:cs="Arial"/>
                <w:szCs w:val="18"/>
              </w:rPr>
              <w:t>¾” Copper Pipe</w:t>
            </w:r>
          </w:p>
        </w:tc>
        <w:tc>
          <w:tcPr>
            <w:tcW w:w="975" w:type="pct"/>
            <w:vAlign w:val="center"/>
          </w:tcPr>
          <w:p w14:paraId="2F8D7C12" w14:textId="77777777" w:rsidR="00C71CAA" w:rsidRPr="001570EA" w:rsidRDefault="00C71CAA">
            <w:pPr>
              <w:pStyle w:val="TableCell"/>
              <w:keepNext w:val="0"/>
              <w:spacing w:before="60" w:after="60"/>
              <w:jc w:val="center"/>
              <w:rPr>
                <w:color w:val="000000"/>
              </w:rPr>
            </w:pPr>
            <w:r w:rsidRPr="001570EA">
              <w:rPr>
                <w:rFonts w:cs="Arial"/>
                <w:szCs w:val="18"/>
              </w:rPr>
              <w:t>0.521</w:t>
            </w:r>
          </w:p>
        </w:tc>
        <w:tc>
          <w:tcPr>
            <w:tcW w:w="959" w:type="pct"/>
            <w:vAlign w:val="center"/>
          </w:tcPr>
          <w:p w14:paraId="61DD8AE4" w14:textId="77777777" w:rsidR="00C71CAA" w:rsidRPr="001570EA" w:rsidDel="00967FFE" w:rsidRDefault="00C71CAA">
            <w:pPr>
              <w:pStyle w:val="TableCell"/>
              <w:keepNext w:val="0"/>
              <w:spacing w:before="60" w:after="60"/>
              <w:jc w:val="center"/>
              <w:rPr>
                <w:color w:val="000000"/>
              </w:rPr>
            </w:pPr>
            <w:r w:rsidRPr="001570EA">
              <w:rPr>
                <w:rFonts w:cs="Arial"/>
                <w:szCs w:val="18"/>
              </w:rPr>
              <w:t>0.2055</w:t>
            </w:r>
          </w:p>
        </w:tc>
        <w:tc>
          <w:tcPr>
            <w:tcW w:w="959" w:type="pct"/>
            <w:vAlign w:val="center"/>
          </w:tcPr>
          <w:p w14:paraId="0B262A31" w14:textId="77777777" w:rsidR="00C71CAA" w:rsidRPr="001570EA" w:rsidRDefault="00C71CAA">
            <w:pPr>
              <w:pStyle w:val="TableCell"/>
              <w:keepNext w:val="0"/>
              <w:spacing w:before="60" w:after="60"/>
              <w:jc w:val="center"/>
              <w:rPr>
                <w:rFonts w:cs="Arial"/>
                <w:szCs w:val="18"/>
              </w:rPr>
            </w:pPr>
            <w:r w:rsidRPr="001570EA">
              <w:rPr>
                <w:rFonts w:cs="Arial"/>
                <w:color w:val="000000"/>
                <w:szCs w:val="18"/>
              </w:rPr>
              <w:t>0.72</w:t>
            </w:r>
          </w:p>
        </w:tc>
      </w:tr>
      <w:tr w:rsidR="00C71CAA" w:rsidRPr="001570EA" w14:paraId="359E0648" w14:textId="77777777">
        <w:trPr>
          <w:trHeight w:val="260"/>
        </w:trPr>
        <w:tc>
          <w:tcPr>
            <w:tcW w:w="2107" w:type="pct"/>
            <w:vAlign w:val="center"/>
          </w:tcPr>
          <w:p w14:paraId="30D798FF" w14:textId="77777777" w:rsidR="00C71CAA" w:rsidRPr="001570EA" w:rsidRDefault="00C71CAA">
            <w:pPr>
              <w:pStyle w:val="TableCell"/>
              <w:keepNext w:val="0"/>
              <w:spacing w:before="60" w:after="60"/>
              <w:jc w:val="left"/>
            </w:pPr>
            <w:r w:rsidRPr="001570EA">
              <w:rPr>
                <w:rFonts w:cs="Arial"/>
                <w:color w:val="000000"/>
                <w:szCs w:val="18"/>
              </w:rPr>
              <w:t>½” PEX</w:t>
            </w:r>
          </w:p>
        </w:tc>
        <w:tc>
          <w:tcPr>
            <w:tcW w:w="975" w:type="pct"/>
            <w:vAlign w:val="center"/>
          </w:tcPr>
          <w:p w14:paraId="5A154E78" w14:textId="77777777" w:rsidR="00C71CAA" w:rsidRPr="001570EA" w:rsidRDefault="00C71CAA">
            <w:pPr>
              <w:pStyle w:val="TableCell"/>
              <w:keepNext w:val="0"/>
              <w:spacing w:before="60" w:after="60"/>
              <w:jc w:val="center"/>
              <w:rPr>
                <w:color w:val="000000"/>
              </w:rPr>
            </w:pPr>
            <w:r w:rsidRPr="001570EA">
              <w:rPr>
                <w:rFonts w:cs="Arial"/>
                <w:color w:val="000000"/>
                <w:szCs w:val="18"/>
              </w:rPr>
              <w:t>0.332</w:t>
            </w:r>
          </w:p>
        </w:tc>
        <w:tc>
          <w:tcPr>
            <w:tcW w:w="959" w:type="pct"/>
            <w:vAlign w:val="center"/>
          </w:tcPr>
          <w:p w14:paraId="7E7037A5" w14:textId="77777777" w:rsidR="00C71CAA" w:rsidRPr="001570EA" w:rsidDel="00967FFE" w:rsidRDefault="00C71CAA">
            <w:pPr>
              <w:pStyle w:val="TableCell"/>
              <w:keepNext w:val="0"/>
              <w:spacing w:before="60" w:after="60"/>
              <w:jc w:val="center"/>
              <w:rPr>
                <w:color w:val="000000"/>
              </w:rPr>
            </w:pPr>
            <w:r w:rsidRPr="001570EA">
              <w:rPr>
                <w:rFonts w:cs="Arial"/>
                <w:color w:val="000000"/>
                <w:szCs w:val="18"/>
              </w:rPr>
              <w:t>0.1270</w:t>
            </w:r>
          </w:p>
        </w:tc>
        <w:tc>
          <w:tcPr>
            <w:tcW w:w="959" w:type="pct"/>
            <w:vAlign w:val="center"/>
          </w:tcPr>
          <w:p w14:paraId="32139DEB" w14:textId="77777777" w:rsidR="00C71CAA" w:rsidRPr="001570EA" w:rsidRDefault="00C71CAA">
            <w:pPr>
              <w:pStyle w:val="TableCell"/>
              <w:keepNext w:val="0"/>
              <w:spacing w:before="60" w:after="60"/>
              <w:jc w:val="center"/>
              <w:rPr>
                <w:rFonts w:cs="Arial"/>
                <w:color w:val="000000"/>
                <w:szCs w:val="18"/>
              </w:rPr>
            </w:pPr>
            <w:r w:rsidRPr="001570EA">
              <w:rPr>
                <w:rFonts w:cs="Arial"/>
                <w:color w:val="000000"/>
                <w:szCs w:val="18"/>
              </w:rPr>
              <w:t>0.73</w:t>
            </w:r>
          </w:p>
        </w:tc>
      </w:tr>
      <w:tr w:rsidR="00C71CAA" w:rsidRPr="001570EA" w14:paraId="686C5BE2" w14:textId="77777777">
        <w:trPr>
          <w:trHeight w:val="242"/>
        </w:trPr>
        <w:tc>
          <w:tcPr>
            <w:tcW w:w="2107" w:type="pct"/>
            <w:vAlign w:val="center"/>
          </w:tcPr>
          <w:p w14:paraId="0A63BDB1" w14:textId="77777777" w:rsidR="00C71CAA" w:rsidRPr="001570EA" w:rsidRDefault="00C71CAA">
            <w:pPr>
              <w:pStyle w:val="TableCell"/>
              <w:keepNext w:val="0"/>
              <w:spacing w:before="60" w:after="60"/>
              <w:jc w:val="left"/>
            </w:pPr>
            <w:r w:rsidRPr="001570EA">
              <w:rPr>
                <w:rFonts w:cs="Arial"/>
                <w:color w:val="000000"/>
                <w:szCs w:val="18"/>
              </w:rPr>
              <w:t>¾” PEX</w:t>
            </w:r>
          </w:p>
        </w:tc>
        <w:tc>
          <w:tcPr>
            <w:tcW w:w="975" w:type="pct"/>
            <w:vAlign w:val="center"/>
          </w:tcPr>
          <w:p w14:paraId="2F70F85B" w14:textId="77777777" w:rsidR="00C71CAA" w:rsidRPr="001570EA" w:rsidRDefault="00C71CAA">
            <w:pPr>
              <w:pStyle w:val="TableCell"/>
              <w:keepNext w:val="0"/>
              <w:spacing w:before="60" w:after="60"/>
              <w:jc w:val="center"/>
              <w:rPr>
                <w:color w:val="000000"/>
              </w:rPr>
            </w:pPr>
            <w:r w:rsidRPr="001570EA">
              <w:rPr>
                <w:rFonts w:cs="Arial"/>
                <w:color w:val="000000"/>
                <w:szCs w:val="18"/>
              </w:rPr>
              <w:t>0.374</w:t>
            </w:r>
          </w:p>
        </w:tc>
        <w:tc>
          <w:tcPr>
            <w:tcW w:w="959" w:type="pct"/>
            <w:vAlign w:val="center"/>
          </w:tcPr>
          <w:p w14:paraId="1BF498B9" w14:textId="77777777" w:rsidR="00C71CAA" w:rsidRPr="001570EA" w:rsidDel="00436291" w:rsidRDefault="00C71CAA">
            <w:pPr>
              <w:pStyle w:val="TableCell"/>
              <w:keepNext w:val="0"/>
              <w:spacing w:before="60" w:after="60"/>
              <w:jc w:val="center"/>
              <w:rPr>
                <w:color w:val="000000"/>
              </w:rPr>
            </w:pPr>
            <w:r w:rsidRPr="001570EA">
              <w:rPr>
                <w:rFonts w:cs="Arial"/>
                <w:color w:val="000000"/>
                <w:szCs w:val="18"/>
              </w:rPr>
              <w:t>0.1783</w:t>
            </w:r>
          </w:p>
        </w:tc>
        <w:tc>
          <w:tcPr>
            <w:tcW w:w="959" w:type="pct"/>
            <w:vAlign w:val="center"/>
          </w:tcPr>
          <w:p w14:paraId="1193A6A2" w14:textId="77777777" w:rsidR="00C71CAA" w:rsidRPr="001570EA" w:rsidRDefault="00C71CAA">
            <w:pPr>
              <w:pStyle w:val="TableCell"/>
              <w:keepNext w:val="0"/>
              <w:spacing w:before="60" w:after="60"/>
              <w:jc w:val="center"/>
              <w:rPr>
                <w:rFonts w:cs="Arial"/>
                <w:color w:val="000000"/>
                <w:szCs w:val="18"/>
              </w:rPr>
            </w:pPr>
            <w:r w:rsidRPr="001570EA">
              <w:rPr>
                <w:rFonts w:cs="Arial"/>
                <w:color w:val="000000"/>
                <w:szCs w:val="18"/>
              </w:rPr>
              <w:t>0.77</w:t>
            </w:r>
          </w:p>
        </w:tc>
      </w:tr>
    </w:tbl>
    <w:p w14:paraId="200DCE70" w14:textId="77777777" w:rsidR="00C71CAA" w:rsidRPr="001570EA" w:rsidRDefault="00C71CAA" w:rsidP="00FF5F27">
      <w:pPr>
        <w:pStyle w:val="BodyText"/>
        <w:ind w:right="0"/>
      </w:pPr>
    </w:p>
    <w:p w14:paraId="4CB5504A" w14:textId="77777777" w:rsidR="00C71CAA" w:rsidRPr="001570EA" w:rsidRDefault="00C71CAA" w:rsidP="00C71CAA">
      <w:pPr>
        <w:pStyle w:val="SubStyle"/>
      </w:pPr>
      <w:r w:rsidRPr="001570EA">
        <w:t>Evaluation Protocols</w:t>
      </w:r>
    </w:p>
    <w:p w14:paraId="62D60A29" w14:textId="77777777" w:rsidR="00C71CAA" w:rsidRPr="001570EA" w:rsidRDefault="00C71CAA" w:rsidP="00C71CAA">
      <w:pPr>
        <w:pStyle w:val="BodyText"/>
        <w:ind w:right="0"/>
      </w:pPr>
      <w:r w:rsidRPr="001570EA">
        <w:t>The most appropriate evaluation protocol for this measure is verification of installation coupled with assignment of stipulated energy savings.</w:t>
      </w:r>
    </w:p>
    <w:p w14:paraId="4850BA95" w14:textId="77777777" w:rsidR="00C71CAA" w:rsidRPr="001570EA" w:rsidRDefault="00C71CAA" w:rsidP="00FF5F27">
      <w:pPr>
        <w:pStyle w:val="BodyText"/>
        <w:ind w:right="0"/>
      </w:pPr>
    </w:p>
    <w:p w14:paraId="5C12D15A" w14:textId="77777777" w:rsidR="00C71CAA" w:rsidRPr="001570EA" w:rsidRDefault="00C71CAA" w:rsidP="00C71CAA">
      <w:pPr>
        <w:pStyle w:val="SubStyle"/>
      </w:pPr>
      <w:r w:rsidRPr="001570EA">
        <w:t>Sources</w:t>
      </w:r>
    </w:p>
    <w:p w14:paraId="58F640C3" w14:textId="326DED99" w:rsidR="00C71CAA" w:rsidRPr="001570EA" w:rsidRDefault="00C71CAA" w:rsidP="002614D2">
      <w:pPr>
        <w:pStyle w:val="ListParagraph"/>
        <w:numPr>
          <w:ilvl w:val="0"/>
          <w:numId w:val="21"/>
        </w:numPr>
        <w:spacing w:after="120"/>
        <w:ind w:left="360"/>
        <w:jc w:val="left"/>
      </w:pPr>
      <w:r w:rsidRPr="001570EA">
        <w:t xml:space="preserve">California Electronic Technical Reference Manual. “Water Heater Pipe Wrap, Residential”. Accessed December 2023. </w:t>
      </w:r>
      <w:hyperlink r:id="rId165" w:history="1">
        <w:r w:rsidRPr="001570EA">
          <w:rPr>
            <w:rStyle w:val="Hyperlink"/>
          </w:rPr>
          <w:t>Weblink</w:t>
        </w:r>
      </w:hyperlink>
    </w:p>
    <w:p w14:paraId="7A1F5539" w14:textId="59B4E37E" w:rsidR="00C71CAA" w:rsidRPr="001570EA" w:rsidRDefault="00C71CAA" w:rsidP="002614D2">
      <w:pPr>
        <w:pStyle w:val="ListParagraph"/>
        <w:numPr>
          <w:ilvl w:val="0"/>
          <w:numId w:val="21"/>
        </w:numPr>
        <w:spacing w:after="120"/>
        <w:ind w:left="360"/>
        <w:jc w:val="left"/>
      </w:pPr>
      <w:r w:rsidRPr="001570EA">
        <w:t xml:space="preserve">Illinois Statewide Technical Reference Manual. (2023, version 11.0). “5.4.1 Domestic Hot Water Pipe Insulation”. </w:t>
      </w:r>
      <w:hyperlink r:id="rId166" w:history="1">
        <w:r w:rsidRPr="001570EA">
          <w:rPr>
            <w:rStyle w:val="Hyperlink"/>
          </w:rPr>
          <w:t>Weblink</w:t>
        </w:r>
      </w:hyperlink>
    </w:p>
    <w:p w14:paraId="1F156A7D" w14:textId="0EEFBEB6" w:rsidR="00C71CAA" w:rsidRPr="001570EA" w:rsidRDefault="00C71CAA" w:rsidP="002614D2">
      <w:pPr>
        <w:pStyle w:val="ListParagraph"/>
        <w:numPr>
          <w:ilvl w:val="0"/>
          <w:numId w:val="21"/>
        </w:numPr>
        <w:spacing w:after="120"/>
        <w:ind w:left="360"/>
        <w:jc w:val="left"/>
      </w:pPr>
      <w:r w:rsidRPr="001570EA">
        <w:t xml:space="preserve">Pennsylvania Act 129 2014 Residential Baseline Study. Section 5.4.4, </w:t>
      </w:r>
      <w:r w:rsidR="0044271C">
        <w:t>pa</w:t>
      </w:r>
      <w:r w:rsidRPr="001570EA">
        <w:t>g</w:t>
      </w:r>
      <w:r w:rsidR="0044271C">
        <w:t>e</w:t>
      </w:r>
      <w:r w:rsidRPr="001570EA">
        <w:t xml:space="preserve"> 104. </w:t>
      </w:r>
      <w:hyperlink r:id="rId167" w:history="1">
        <w:r w:rsidRPr="001570EA">
          <w:rPr>
            <w:rStyle w:val="Hyperlink"/>
          </w:rPr>
          <w:t>Weblink</w:t>
        </w:r>
      </w:hyperlink>
    </w:p>
    <w:p w14:paraId="13A2FDC7" w14:textId="71A5CEDC" w:rsidR="00C71CAA" w:rsidRPr="001570EA" w:rsidRDefault="00C71CAA" w:rsidP="002614D2">
      <w:pPr>
        <w:pStyle w:val="ListParagraph"/>
        <w:numPr>
          <w:ilvl w:val="0"/>
          <w:numId w:val="21"/>
        </w:numPr>
        <w:spacing w:after="120"/>
        <w:ind w:left="360"/>
        <w:jc w:val="left"/>
      </w:pPr>
      <w:r w:rsidRPr="001570EA">
        <w:t xml:space="preserve">AHRI Directory. All electric storage water heaters have a recovery efficiency of 0.98. </w:t>
      </w:r>
      <w:hyperlink r:id="rId168" w:history="1">
        <w:r w:rsidRPr="001570EA">
          <w:rPr>
            <w:rStyle w:val="Hyperlink"/>
            <w:rFonts w:cs="Arial"/>
          </w:rPr>
          <w:t>Weblink</w:t>
        </w:r>
      </w:hyperlink>
    </w:p>
    <w:p w14:paraId="6EEE6FE4" w14:textId="1F50279F" w:rsidR="00C71CAA" w:rsidRPr="001570EA" w:rsidRDefault="00C71CAA" w:rsidP="002614D2">
      <w:pPr>
        <w:pStyle w:val="ListParagraph"/>
        <w:numPr>
          <w:ilvl w:val="0"/>
          <w:numId w:val="21"/>
        </w:numPr>
        <w:spacing w:after="120"/>
        <w:ind w:left="360"/>
        <w:jc w:val="left"/>
      </w:pPr>
      <w:r w:rsidRPr="001570EA">
        <w:t xml:space="preserve">Wilson et al. 2021. End-Use Load Profiles for the U.S. Building Stock: Methodology and Results of Model Calibration, Validation, and Uncertainty Quantification. NREL/TP-5500-80889. </w:t>
      </w:r>
      <w:hyperlink r:id="rId169" w:history="1">
        <w:r w:rsidRPr="001570EA">
          <w:rPr>
            <w:rStyle w:val="Hyperlink"/>
          </w:rPr>
          <w:t>Weblink</w:t>
        </w:r>
      </w:hyperlink>
    </w:p>
    <w:p w14:paraId="4C476B4C" w14:textId="426325B3" w:rsidR="00C71CAA" w:rsidRPr="001570EA" w:rsidRDefault="00C71CAA" w:rsidP="002614D2">
      <w:pPr>
        <w:pStyle w:val="ListParagraph"/>
        <w:numPr>
          <w:ilvl w:val="0"/>
          <w:numId w:val="21"/>
        </w:numPr>
        <w:spacing w:after="120"/>
        <w:ind w:left="360"/>
        <w:jc w:val="left"/>
      </w:pPr>
      <w:r w:rsidRPr="001570EA">
        <w:t xml:space="preserve">In cases with zero wind, heat loss (and therefore) savings is larger from horizontal pipe configurations than vertical pipe configurations due, perhaps to the way in which convective losses are handled. Given that most DHW pipe insulation installations begin with a vertical orientation from the water heater, an adjustment to the engineering calculation is needed. An analysis performed by the IL-TRM Technical Advisory Committee of the 3E PLUS tool by NAIMA yielded adjustment factors for horizontal to vertical loss and savings values. </w:t>
      </w:r>
      <w:hyperlink r:id="rId170" w:history="1">
        <w:r w:rsidRPr="001570EA">
          <w:rPr>
            <w:rStyle w:val="Hyperlink"/>
          </w:rPr>
          <w:t>Weblink</w:t>
        </w:r>
      </w:hyperlink>
    </w:p>
    <w:p w14:paraId="6AEC2AFB" w14:textId="49EC77F3" w:rsidR="00C71CAA" w:rsidRPr="001570EA" w:rsidRDefault="00C71CAA" w:rsidP="002614D2">
      <w:pPr>
        <w:pStyle w:val="ListParagraph"/>
        <w:numPr>
          <w:ilvl w:val="0"/>
          <w:numId w:val="21"/>
        </w:numPr>
        <w:spacing w:after="120"/>
        <w:ind w:left="360"/>
        <w:jc w:val="left"/>
      </w:pPr>
      <w:r w:rsidRPr="001570EA">
        <w:t xml:space="preserve">Thomas, Varkie C. Pipe Sizing Charts Tables. Energy Models. </w:t>
      </w:r>
      <w:hyperlink r:id="rId171" w:history="1">
        <w:r w:rsidRPr="001570EA">
          <w:rPr>
            <w:rStyle w:val="Hyperlink"/>
          </w:rPr>
          <w:t>Weblink</w:t>
        </w:r>
      </w:hyperlink>
    </w:p>
    <w:p w14:paraId="0139E05D" w14:textId="32CFFC5E" w:rsidR="00C71CAA" w:rsidRPr="001570EA" w:rsidRDefault="00C71CAA" w:rsidP="002614D2">
      <w:pPr>
        <w:pStyle w:val="ListParagraph"/>
        <w:numPr>
          <w:ilvl w:val="0"/>
          <w:numId w:val="21"/>
        </w:numPr>
        <w:spacing w:after="120"/>
        <w:ind w:left="360"/>
        <w:jc w:val="left"/>
      </w:pPr>
      <w:r w:rsidRPr="001570EA">
        <w:t xml:space="preserve">The Engineering Toolbox. (2018). ASTM F876 - PEX Tube – Dimensions. </w:t>
      </w:r>
      <w:hyperlink r:id="rId172" w:history="1">
        <w:r w:rsidRPr="001570EA">
          <w:rPr>
            <w:rStyle w:val="Hyperlink"/>
          </w:rPr>
          <w:t>Weblink</w:t>
        </w:r>
      </w:hyperlink>
    </w:p>
    <w:p w14:paraId="246108F5" w14:textId="63F03294" w:rsidR="00C71CAA" w:rsidRPr="001570EA" w:rsidRDefault="00C71CAA" w:rsidP="002614D2">
      <w:pPr>
        <w:pStyle w:val="ListParagraph"/>
        <w:numPr>
          <w:ilvl w:val="0"/>
          <w:numId w:val="21"/>
        </w:numPr>
        <w:spacing w:after="120"/>
        <w:ind w:left="360"/>
        <w:jc w:val="left"/>
      </w:pPr>
      <w:r w:rsidRPr="001570EA">
        <w:t xml:space="preserve">Cadmus for PPL Electric Utilities. (2022, September). PPL Electric Utilities Annual Report to the Pennsylvania Public Utility Commission Phase IV of Act 129 PY13 Annual Report (June 1, 2021 – May 31, 2022). Appendix I. Evaluation Detail – Energy Efficient Homes Component, </w:t>
      </w:r>
      <w:r w:rsidR="00E13D76">
        <w:t>pa</w:t>
      </w:r>
      <w:r w:rsidRPr="001570EA">
        <w:t>g</w:t>
      </w:r>
      <w:r w:rsidR="00E13D76">
        <w:t>e</w:t>
      </w:r>
      <w:r w:rsidRPr="001570EA">
        <w:t xml:space="preserve"> I-6, Table I-5. </w:t>
      </w:r>
      <w:hyperlink r:id="rId173" w:history="1">
        <w:r w:rsidRPr="001570EA">
          <w:rPr>
            <w:rStyle w:val="Hyperlink"/>
          </w:rPr>
          <w:t>Weblink</w:t>
        </w:r>
      </w:hyperlink>
    </w:p>
    <w:p w14:paraId="39A1692F" w14:textId="45DE882B" w:rsidR="00C71CAA" w:rsidRPr="001570EA" w:rsidRDefault="00C71CAA" w:rsidP="002614D2">
      <w:pPr>
        <w:pStyle w:val="ListParagraph"/>
        <w:numPr>
          <w:ilvl w:val="0"/>
          <w:numId w:val="21"/>
        </w:numPr>
        <w:spacing w:after="120"/>
        <w:ind w:left="360"/>
        <w:jc w:val="left"/>
      </w:pPr>
      <w:r w:rsidRPr="001570EA">
        <w:t xml:space="preserve">Pennsylvania Act 129 2014 Residential Baseline Study. Section 4.6.1, </w:t>
      </w:r>
      <w:r w:rsidR="00E13D76">
        <w:t>pa</w:t>
      </w:r>
      <w:r w:rsidRPr="001570EA">
        <w:t>g</w:t>
      </w:r>
      <w:r w:rsidR="00E13D76">
        <w:t>e</w:t>
      </w:r>
      <w:r w:rsidRPr="001570EA">
        <w:t xml:space="preserve"> 60, Table 4-64. </w:t>
      </w:r>
      <w:hyperlink r:id="rId174" w:history="1">
        <w:r w:rsidRPr="001570EA">
          <w:rPr>
            <w:rStyle w:val="Hyperlink"/>
          </w:rPr>
          <w:t>Weblink</w:t>
        </w:r>
      </w:hyperlink>
    </w:p>
    <w:p w14:paraId="004D0EAD" w14:textId="77777777" w:rsidR="00C71CAA" w:rsidRPr="001570EA" w:rsidRDefault="00C71CAA" w:rsidP="00C71CAA">
      <w:pPr>
        <w:pStyle w:val="source10"/>
        <w:spacing w:after="120"/>
        <w:jc w:val="left"/>
        <w:textAlignment w:val="auto"/>
        <w:rPr>
          <w:rStyle w:val="Hyperlink"/>
          <w:rFonts w:cs="Arial"/>
        </w:rPr>
      </w:pPr>
      <w:bookmarkStart w:id="469" w:name="_Toc295990632"/>
      <w:bookmarkStart w:id="470" w:name="_Toc295999400"/>
      <w:bookmarkStart w:id="471" w:name="_Toc298621143"/>
      <w:bookmarkStart w:id="472" w:name="_Toc298621222"/>
      <w:bookmarkStart w:id="473" w:name="_Toc298621409"/>
      <w:bookmarkStart w:id="474" w:name="_Toc303086199"/>
      <w:bookmarkStart w:id="475" w:name="_Ref525725727"/>
      <w:bookmarkStart w:id="476" w:name="_Toc530141481"/>
      <w:bookmarkEnd w:id="469"/>
      <w:bookmarkEnd w:id="470"/>
      <w:bookmarkEnd w:id="471"/>
      <w:bookmarkEnd w:id="472"/>
      <w:bookmarkEnd w:id="473"/>
      <w:bookmarkEnd w:id="474"/>
    </w:p>
    <w:p w14:paraId="2738AF82" w14:textId="77777777" w:rsidR="00C71CAA" w:rsidRPr="001570EA" w:rsidRDefault="00C71CAA" w:rsidP="00C71CAA">
      <w:pPr>
        <w:pStyle w:val="source10"/>
        <w:spacing w:after="120"/>
        <w:jc w:val="left"/>
        <w:textAlignment w:val="auto"/>
        <w:rPr>
          <w:rStyle w:val="Hyperlink"/>
          <w:rFonts w:cs="Arial"/>
        </w:rPr>
        <w:sectPr w:rsidR="00C71CAA" w:rsidRPr="001570EA" w:rsidSect="002D556C">
          <w:pgSz w:w="12240" w:h="15840"/>
          <w:pgMar w:top="1440" w:right="1800" w:bottom="1440" w:left="1800" w:header="720" w:footer="501" w:gutter="0"/>
          <w:cols w:space="720"/>
        </w:sectPr>
      </w:pPr>
    </w:p>
    <w:p w14:paraId="44B1CB98" w14:textId="77777777" w:rsidR="00C71CAA" w:rsidRPr="001570EA" w:rsidRDefault="00C71CAA" w:rsidP="00462D97">
      <w:pPr>
        <w:pStyle w:val="Heading3"/>
      </w:pPr>
      <w:bookmarkStart w:id="477" w:name="_Toc48143035"/>
      <w:bookmarkStart w:id="478" w:name="_Toc164786654"/>
      <w:r w:rsidRPr="001570EA">
        <w:t>Low-Flow Faucet Aerators</w:t>
      </w:r>
      <w:bookmarkEnd w:id="475"/>
      <w:bookmarkEnd w:id="476"/>
      <w:bookmarkEnd w:id="477"/>
      <w:bookmarkEnd w:id="478"/>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0A0" w:firstRow="1" w:lastRow="0" w:firstColumn="1" w:lastColumn="0" w:noHBand="0" w:noVBand="0"/>
      </w:tblPr>
      <w:tblGrid>
        <w:gridCol w:w="3505"/>
        <w:gridCol w:w="5007"/>
      </w:tblGrid>
      <w:tr w:rsidR="00C71CAA" w:rsidRPr="001570EA" w14:paraId="0C7F69F7"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73DC6560" w14:textId="77777777" w:rsidR="00C71CAA" w:rsidRPr="001570EA" w:rsidRDefault="00C71CAA">
            <w:pPr>
              <w:pStyle w:val="TableCell"/>
              <w:spacing w:before="60" w:after="60"/>
              <w:rPr>
                <w:b/>
                <w:bCs/>
                <w:color w:val="000000"/>
              </w:rPr>
            </w:pPr>
            <w:r w:rsidRPr="001570EA">
              <w:rPr>
                <w:b/>
                <w:bCs/>
                <w:color w:val="000000"/>
              </w:rPr>
              <w:t>Target Sector</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92A07F0" w14:textId="77777777" w:rsidR="00C71CAA" w:rsidRPr="001570EA" w:rsidRDefault="00C71CAA">
            <w:pPr>
              <w:pStyle w:val="TableCell"/>
              <w:spacing w:before="60" w:after="60"/>
              <w:jc w:val="center"/>
              <w:rPr>
                <w:color w:val="000000"/>
              </w:rPr>
            </w:pPr>
            <w:r w:rsidRPr="001570EA">
              <w:rPr>
                <w:color w:val="000000"/>
              </w:rPr>
              <w:t>Residential</w:t>
            </w:r>
          </w:p>
        </w:tc>
      </w:tr>
      <w:tr w:rsidR="00C71CAA" w:rsidRPr="001570EA" w14:paraId="27C6C574"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0F10F22A" w14:textId="77777777" w:rsidR="00C71CAA" w:rsidRPr="001570EA" w:rsidRDefault="00C71CAA">
            <w:pPr>
              <w:pStyle w:val="TableCell"/>
              <w:spacing w:before="60" w:after="60"/>
              <w:rPr>
                <w:b/>
                <w:bCs/>
                <w:color w:val="000000"/>
              </w:rPr>
            </w:pPr>
            <w:r w:rsidRPr="001570EA">
              <w:rPr>
                <w:b/>
                <w:bCs/>
                <w:color w:val="000000"/>
              </w:rPr>
              <w:t>Measure Unit</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1826E909" w14:textId="77777777" w:rsidR="00C71CAA" w:rsidRPr="001570EA" w:rsidRDefault="00C71CAA">
            <w:pPr>
              <w:pStyle w:val="TableCell"/>
              <w:spacing w:before="60" w:after="60"/>
              <w:jc w:val="center"/>
              <w:rPr>
                <w:color w:val="000000"/>
              </w:rPr>
            </w:pPr>
            <w:r w:rsidRPr="001570EA">
              <w:rPr>
                <w:color w:val="000000"/>
              </w:rPr>
              <w:t>Aerator</w:t>
            </w:r>
          </w:p>
        </w:tc>
      </w:tr>
      <w:tr w:rsidR="00C71CAA" w:rsidRPr="001570EA" w14:paraId="2FBF51A9"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F91BC0D" w14:textId="77777777" w:rsidR="00C71CAA" w:rsidRPr="001570EA" w:rsidRDefault="00C71CAA">
            <w:pPr>
              <w:pStyle w:val="TableCell"/>
              <w:spacing w:before="60" w:after="60"/>
              <w:rPr>
                <w:b/>
                <w:bCs/>
                <w:color w:val="000000"/>
              </w:rPr>
            </w:pPr>
            <w:r w:rsidRPr="001570EA">
              <w:rPr>
                <w:b/>
                <w:bCs/>
                <w:color w:val="000000"/>
              </w:rPr>
              <w:t>Measure Life</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4E7E815" w14:textId="77777777" w:rsidR="00C71CAA" w:rsidRPr="001570EA" w:rsidRDefault="00C71CAA">
            <w:pPr>
              <w:pStyle w:val="TableCell"/>
              <w:spacing w:before="60" w:after="60"/>
              <w:jc w:val="center"/>
              <w:rPr>
                <w:color w:val="000000"/>
                <w:vertAlign w:val="superscript"/>
              </w:rPr>
            </w:pPr>
            <w:r w:rsidRPr="001570EA">
              <w:rPr>
                <w:color w:val="000000"/>
              </w:rPr>
              <w:t>10 years</w:t>
            </w:r>
            <w:r w:rsidRPr="001570EA">
              <w:rPr>
                <w:color w:val="000000"/>
                <w:vertAlign w:val="superscript"/>
              </w:rPr>
              <w:t>Source 1</w:t>
            </w:r>
          </w:p>
        </w:tc>
      </w:tr>
      <w:tr w:rsidR="00C71CAA" w:rsidRPr="001570EA" w14:paraId="7D31FC84"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59AC86AD" w14:textId="77777777" w:rsidR="00C71CAA" w:rsidRPr="001570EA" w:rsidRDefault="00C71CAA">
            <w:pPr>
              <w:pStyle w:val="TableCell"/>
              <w:spacing w:before="60" w:after="60"/>
              <w:rPr>
                <w:b/>
                <w:bCs/>
                <w:color w:val="000000"/>
              </w:rPr>
            </w:pPr>
            <w:r w:rsidRPr="001570EA">
              <w:rPr>
                <w:b/>
                <w:bCs/>
                <w:color w:val="000000"/>
              </w:rPr>
              <w:t>Vintage</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AB78339" w14:textId="77777777" w:rsidR="00C71CAA" w:rsidRPr="001570EA" w:rsidRDefault="00C71CAA">
            <w:pPr>
              <w:pStyle w:val="TableCell"/>
              <w:spacing w:before="60" w:after="60"/>
              <w:jc w:val="center"/>
              <w:rPr>
                <w:color w:val="000000"/>
              </w:rPr>
            </w:pPr>
            <w:r w:rsidRPr="001570EA">
              <w:rPr>
                <w:color w:val="000000"/>
              </w:rPr>
              <w:t>Retrofit</w:t>
            </w:r>
            <w:r w:rsidRPr="001570EA">
              <w:t>, New Construction</w:t>
            </w:r>
          </w:p>
        </w:tc>
      </w:tr>
    </w:tbl>
    <w:p w14:paraId="01B159DB" w14:textId="77777777" w:rsidR="00C71CAA" w:rsidRPr="001570EA" w:rsidRDefault="00C71CAA" w:rsidP="00FF5F27">
      <w:pPr>
        <w:pStyle w:val="BodyText"/>
        <w:ind w:right="0"/>
      </w:pPr>
    </w:p>
    <w:p w14:paraId="0BD0CA74" w14:textId="77777777" w:rsidR="00C71CAA" w:rsidRPr="001570EA" w:rsidRDefault="00C71CAA" w:rsidP="00C71CAA">
      <w:pPr>
        <w:pStyle w:val="BodyText"/>
        <w:ind w:right="0"/>
      </w:pPr>
      <w:r w:rsidRPr="001570EA">
        <w:t>Installation of low-flow faucet aerators is an inexpensive and lasting approach for water conservation. These efficient aerators reduce water consumption and consequently reduce hot water usage and save energy associated with heating the water. This protocol presents the assumptions, analysis, and savings from replacing standard flow aerators with low-flow aerators in kitchens and bathrooms.</w:t>
      </w:r>
    </w:p>
    <w:p w14:paraId="63F377D7" w14:textId="77777777" w:rsidR="00C71CAA" w:rsidRPr="001570EA" w:rsidRDefault="00C71CAA" w:rsidP="00FF5F27">
      <w:pPr>
        <w:pStyle w:val="BodyText"/>
        <w:ind w:right="0"/>
      </w:pPr>
    </w:p>
    <w:p w14:paraId="0E4970AE" w14:textId="77777777" w:rsidR="00C71CAA" w:rsidRPr="001570EA" w:rsidRDefault="00C71CAA" w:rsidP="00C71CAA">
      <w:pPr>
        <w:pStyle w:val="SubStyle"/>
      </w:pPr>
      <w:r w:rsidRPr="001570EA">
        <w:t>Eligibility</w:t>
      </w:r>
    </w:p>
    <w:p w14:paraId="327477E3" w14:textId="77777777" w:rsidR="00C71CAA" w:rsidRPr="001570EA" w:rsidRDefault="00C71CAA" w:rsidP="00C71CAA">
      <w:pPr>
        <w:pStyle w:val="BodyText"/>
        <w:ind w:right="0"/>
      </w:pPr>
      <w:r w:rsidRPr="001570EA">
        <w:t>This protocol documents the energy savings attributable to low-flow aerators in residential applications. Laminar flow restrictors are also eligible. The maximum flow rate of qualifying equipment is 1.5 gallons per minute. Homes with non-electric water heaters do not qualify for this measure.</w:t>
      </w:r>
    </w:p>
    <w:p w14:paraId="39280D8A" w14:textId="77777777" w:rsidR="00C71CAA" w:rsidRPr="001570EA" w:rsidRDefault="00C71CAA" w:rsidP="00FF5F27">
      <w:pPr>
        <w:pStyle w:val="BodyText"/>
        <w:ind w:right="0"/>
      </w:pPr>
    </w:p>
    <w:p w14:paraId="509C4B50" w14:textId="77777777" w:rsidR="00C71CAA" w:rsidRPr="001570EA" w:rsidRDefault="00C71CAA" w:rsidP="00C71CAA">
      <w:pPr>
        <w:pStyle w:val="SubStyle"/>
      </w:pPr>
      <w:r w:rsidRPr="001570EA">
        <w:t>Algorithms</w:t>
      </w:r>
    </w:p>
    <w:p w14:paraId="17021049" w14:textId="77777777" w:rsidR="00C71CAA" w:rsidRPr="001570EA" w:rsidRDefault="00C71CAA" w:rsidP="00C71CAA">
      <w:pPr>
        <w:pStyle w:val="NoSpacing"/>
      </w:pPr>
      <w:r w:rsidRPr="001570EA">
        <w:t>The energy savings and demand reduction are obtained through the following calculations:</w:t>
      </w:r>
    </w:p>
    <w:p w14:paraId="45377A4A" w14:textId="77777777" w:rsidR="00C71CAA" w:rsidRPr="001570EA" w:rsidRDefault="00C71CAA" w:rsidP="00C71CAA">
      <w:pPr>
        <w:pStyle w:val="Equation"/>
        <w:ind w:left="0" w:firstLine="0"/>
        <w:rPr>
          <w:rFonts w:ascii="Cambria Math" w:hAnsi="Cambria Math" w:cs="Arial"/>
          <w:szCs w:val="20"/>
        </w:rPr>
      </w:pPr>
      <m:oMathPara>
        <m:oMathParaPr>
          <m:jc m:val="left"/>
        </m:oMathParaPr>
        <m:oMath>
          <m:r>
            <w:rPr>
              <w:rFonts w:ascii="Cambria Math" w:hAnsi="Cambria Math" w:cs="Arial"/>
              <w:szCs w:val="20"/>
            </w:rPr>
            <m:t xml:space="preserve">∆kWh               = </m:t>
          </m:r>
          <m:f>
            <m:fPr>
              <m:ctrlPr>
                <w:rPr>
                  <w:rFonts w:ascii="Cambria Math" w:hAnsi="Cambria Math" w:cs="Arial"/>
                  <w:i w:val="0"/>
                  <w:szCs w:val="20"/>
                </w:rPr>
              </m:ctrlPr>
            </m:fPr>
            <m:num>
              <m:r>
                <w:rPr>
                  <w:rFonts w:ascii="Cambria Math" w:hAnsi="Cambria Math" w:cs="Arial"/>
                  <w:szCs w:val="20"/>
                </w:rPr>
                <m:t xml:space="preserve"> </m:t>
              </m:r>
              <m:d>
                <m:dPr>
                  <m:ctrlPr>
                    <w:rPr>
                      <w:rFonts w:ascii="Cambria Math" w:hAnsi="Cambria Math" w:cs="Arial"/>
                      <w:i w:val="0"/>
                    </w:rPr>
                  </m:ctrlPr>
                </m:dPr>
                <m:e>
                  <m:sSub>
                    <m:sSubPr>
                      <m:ctrlPr>
                        <w:rPr>
                          <w:rFonts w:ascii="Cambria Math" w:hAnsi="Cambria Math" w:cs="Arial"/>
                          <w:i w:val="0"/>
                        </w:rPr>
                      </m:ctrlPr>
                    </m:sSubPr>
                    <m:e>
                      <m:r>
                        <w:rPr>
                          <w:rFonts w:ascii="Cambria Math" w:hAnsi="Cambria Math" w:cs="Arial"/>
                          <w:szCs w:val="20"/>
                        </w:rPr>
                        <m:t>GPM</m:t>
                      </m:r>
                    </m:e>
                    <m:sub>
                      <m:r>
                        <w:rPr>
                          <w:rFonts w:ascii="Cambria Math" w:hAnsi="Cambria Math" w:cs="Arial"/>
                          <w:szCs w:val="20"/>
                        </w:rPr>
                        <m:t>base</m:t>
                      </m:r>
                    </m:sub>
                  </m:sSub>
                  <m:r>
                    <w:rPr>
                      <w:rFonts w:ascii="Cambria Math" w:hAnsi="Cambria Math" w:cs="Arial"/>
                      <w:szCs w:val="20"/>
                    </w:rPr>
                    <m:t>-</m:t>
                  </m:r>
                  <m:sSub>
                    <m:sSubPr>
                      <m:ctrlPr>
                        <w:rPr>
                          <w:rFonts w:ascii="Cambria Math" w:hAnsi="Cambria Math" w:cs="Arial"/>
                          <w:i w:val="0"/>
                        </w:rPr>
                      </m:ctrlPr>
                    </m:sSubPr>
                    <m:e>
                      <m:r>
                        <w:rPr>
                          <w:rFonts w:ascii="Cambria Math" w:hAnsi="Cambria Math" w:cs="Arial"/>
                          <w:szCs w:val="20"/>
                        </w:rPr>
                        <m:t>GPM</m:t>
                      </m:r>
                    </m:e>
                    <m:sub>
                      <m:r>
                        <w:rPr>
                          <w:rFonts w:ascii="Cambria Math" w:hAnsi="Cambria Math" w:cs="Arial"/>
                          <w:szCs w:val="20"/>
                        </w:rPr>
                        <m:t>low</m:t>
                      </m:r>
                    </m:sub>
                  </m:sSub>
                </m:e>
              </m:d>
              <m:r>
                <w:rPr>
                  <w:rFonts w:ascii="Cambria Math" w:hAnsi="Cambria Math" w:cs="Arial"/>
                  <w:szCs w:val="20"/>
                </w:rPr>
                <m:t xml:space="preserve">× 8.3  × </m:t>
              </m:r>
              <m:d>
                <m:dPr>
                  <m:ctrlPr>
                    <w:rPr>
                      <w:rFonts w:ascii="Cambria Math" w:hAnsi="Cambria Math" w:cs="Arial"/>
                      <w:i w:val="0"/>
                      <w:szCs w:val="20"/>
                    </w:rPr>
                  </m:ctrlPr>
                </m:dPr>
                <m:e>
                  <m:sSub>
                    <m:sSubPr>
                      <m:ctrlPr>
                        <w:rPr>
                          <w:rFonts w:ascii="Cambria Math" w:hAnsi="Cambria Math" w:cs="Arial"/>
                          <w:i w:val="0"/>
                          <w:szCs w:val="20"/>
                        </w:rPr>
                      </m:ctrlPr>
                    </m:sSubPr>
                    <m:e>
                      <m:r>
                        <w:rPr>
                          <w:rFonts w:ascii="Cambria Math" w:hAnsi="Cambria Math" w:cs="Arial"/>
                          <w:szCs w:val="20"/>
                        </w:rPr>
                        <m:t>T</m:t>
                      </m:r>
                    </m:e>
                    <m:sub>
                      <m:r>
                        <w:rPr>
                          <w:rFonts w:ascii="Cambria Math" w:hAnsi="Cambria Math" w:cs="Arial"/>
                          <w:szCs w:val="20"/>
                        </w:rPr>
                        <m:t>out</m:t>
                      </m:r>
                    </m:sub>
                  </m:sSub>
                  <m:r>
                    <w:rPr>
                      <w:rFonts w:ascii="Cambria Math" w:hAnsi="Cambria Math" w:cs="Arial"/>
                      <w:szCs w:val="20"/>
                    </w:rPr>
                    <m:t xml:space="preserve">- </m:t>
                  </m:r>
                  <m:sSub>
                    <m:sSubPr>
                      <m:ctrlPr>
                        <w:rPr>
                          <w:rFonts w:ascii="Cambria Math" w:hAnsi="Cambria Math" w:cs="Arial"/>
                          <w:i w:val="0"/>
                          <w:szCs w:val="20"/>
                        </w:rPr>
                      </m:ctrlPr>
                    </m:sSubPr>
                    <m:e>
                      <m:r>
                        <w:rPr>
                          <w:rFonts w:ascii="Cambria Math" w:hAnsi="Cambria Math" w:cs="Arial"/>
                          <w:szCs w:val="20"/>
                        </w:rPr>
                        <m:t>T</m:t>
                      </m:r>
                    </m:e>
                    <m:sub>
                      <m:r>
                        <w:rPr>
                          <w:rFonts w:ascii="Cambria Math" w:hAnsi="Cambria Math" w:cs="Arial"/>
                          <w:szCs w:val="20"/>
                        </w:rPr>
                        <m:t>in</m:t>
                      </m:r>
                    </m:sub>
                  </m:sSub>
                </m:e>
              </m:d>
              <m:r>
                <w:rPr>
                  <w:rFonts w:ascii="Cambria Math" w:hAnsi="Cambria Math" w:cs="Arial"/>
                  <w:szCs w:val="20"/>
                </w:rPr>
                <m:t xml:space="preserve"> </m:t>
              </m:r>
            </m:num>
            <m:den>
              <m:r>
                <w:rPr>
                  <w:rFonts w:ascii="Cambria Math" w:hAnsi="Cambria Math" w:cs="Arial"/>
                  <w:szCs w:val="20"/>
                </w:rPr>
                <m:t>3412×RE</m:t>
              </m:r>
            </m:den>
          </m:f>
          <m:r>
            <w:rPr>
              <w:rFonts w:ascii="Cambria Math" w:hAnsi="Cambria Math" w:cs="Arial"/>
              <w:szCs w:val="20"/>
            </w:rPr>
            <m:t xml:space="preserve">   × </m:t>
          </m:r>
          <m:f>
            <m:fPr>
              <m:ctrlPr>
                <w:rPr>
                  <w:rFonts w:ascii="Cambria Math" w:hAnsi="Cambria Math" w:cs="Arial"/>
                  <w:i w:val="0"/>
                  <w:szCs w:val="20"/>
                </w:rPr>
              </m:ctrlPr>
            </m:fPr>
            <m:num>
              <m:r>
                <w:rPr>
                  <w:rFonts w:ascii="Cambria Math" w:hAnsi="Cambria Math" w:cs="Arial"/>
                  <w:szCs w:val="20"/>
                </w:rPr>
                <m:t>DF×</m:t>
              </m:r>
              <m:sSub>
                <m:sSubPr>
                  <m:ctrlPr>
                    <w:rPr>
                      <w:rFonts w:ascii="Cambria Math" w:hAnsi="Cambria Math" w:cs="Arial"/>
                      <w:i w:val="0"/>
                    </w:rPr>
                  </m:ctrlPr>
                </m:sSubPr>
                <m:e>
                  <m:r>
                    <w:rPr>
                      <w:rFonts w:ascii="Cambria Math" w:hAnsi="Cambria Math" w:cs="Arial"/>
                      <w:szCs w:val="20"/>
                    </w:rPr>
                    <m:t>T</m:t>
                  </m:r>
                </m:e>
                <m:sub>
                  <m:r>
                    <w:rPr>
                      <w:rFonts w:ascii="Cambria Math" w:hAnsi="Cambria Math" w:cs="Arial"/>
                      <w:szCs w:val="20"/>
                    </w:rPr>
                    <m:t>person-day</m:t>
                  </m:r>
                </m:sub>
              </m:sSub>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N</m:t>
                  </m:r>
                </m:e>
                <m:sub>
                  <m:r>
                    <w:rPr>
                      <w:rFonts w:ascii="Cambria Math" w:hAnsi="Cambria Math" w:cs="Arial"/>
                      <w:szCs w:val="20"/>
                    </w:rPr>
                    <m:t>persons</m:t>
                  </m:r>
                </m:sub>
              </m:sSub>
              <m:r>
                <w:rPr>
                  <w:rFonts w:ascii="Cambria Math" w:hAnsi="Cambria Math" w:cs="Arial"/>
                  <w:szCs w:val="20"/>
                </w:rPr>
                <m:t xml:space="preserve"> × 365</m:t>
              </m:r>
            </m:num>
            <m:den>
              <m:sSub>
                <m:sSubPr>
                  <m:ctrlPr>
                    <w:rPr>
                      <w:rFonts w:ascii="Cambria Math" w:hAnsi="Cambria Math" w:cs="Arial"/>
                      <w:i w:val="0"/>
                      <w:szCs w:val="20"/>
                    </w:rPr>
                  </m:ctrlPr>
                </m:sSubPr>
                <m:e>
                  <m:r>
                    <w:rPr>
                      <w:rFonts w:ascii="Cambria Math" w:hAnsi="Cambria Math" w:cs="Arial"/>
                      <w:szCs w:val="20"/>
                    </w:rPr>
                    <m:t>N</m:t>
                  </m:r>
                </m:e>
                <m:sub>
                  <m:r>
                    <w:rPr>
                      <w:rFonts w:ascii="Cambria Math" w:hAnsi="Cambria Math" w:cs="Arial"/>
                      <w:szCs w:val="20"/>
                    </w:rPr>
                    <m:t>faucets-home</m:t>
                  </m:r>
                </m:sub>
              </m:sSub>
            </m:den>
          </m:f>
          <m:r>
            <w:rPr>
              <w:rFonts w:ascii="Cambria Math" w:hAnsi="Cambria Math" w:cs="Arial"/>
              <w:szCs w:val="20"/>
            </w:rPr>
            <m:t xml:space="preserve"> ×ISR ×ELEC</m:t>
          </m:r>
        </m:oMath>
      </m:oMathPara>
    </w:p>
    <w:p w14:paraId="7C5B4471" w14:textId="77777777" w:rsidR="00C71CAA" w:rsidRPr="001570EA" w:rsidRDefault="00C71CAA" w:rsidP="00C71CAA">
      <w:pPr>
        <w:pStyle w:val="Equation"/>
        <w:ind w:left="0" w:firstLine="0"/>
        <w:rPr>
          <w:rFonts w:ascii="Cambria Math" w:hAnsi="Cambria Math" w:cs="Arial"/>
          <w:szCs w:val="20"/>
          <w:vertAlign w:val="subscript"/>
        </w:rPr>
      </w:pPr>
    </w:p>
    <w:p w14:paraId="545DA1E7" w14:textId="77777777" w:rsidR="00C71CAA" w:rsidRPr="001570EA" w:rsidRDefault="00C71CAA" w:rsidP="00C71CAA">
      <w:pPr>
        <w:pStyle w:val="Equation"/>
        <w:ind w:left="0" w:firstLine="0"/>
        <w:rPr>
          <w:rFonts w:cs="Arial"/>
          <w:szCs w:val="20"/>
        </w:rPr>
      </w:pPr>
      <m:oMathPara>
        <m:oMathParaPr>
          <m:jc m:val="left"/>
        </m:oMathParaPr>
        <m:oMath>
          <m:r>
            <w:rPr>
              <w:rFonts w:ascii="Cambria Math" w:hAnsi="Cambria Math" w:cs="Arial"/>
              <w:szCs w:val="20"/>
              <w:vertAlign w:val="subscript"/>
            </w:rPr>
            <m:t>∆</m:t>
          </m:r>
          <m:sSub>
            <m:sSubPr>
              <m:ctrlPr>
                <w:rPr>
                  <w:rFonts w:ascii="Cambria Math" w:hAnsi="Cambria Math" w:cs="Arial"/>
                  <w:i w:val="0"/>
                  <w:szCs w:val="20"/>
                  <w:vertAlign w:val="subscript"/>
                </w:rPr>
              </m:ctrlPr>
            </m:sSubPr>
            <m:e>
              <m:r>
                <w:rPr>
                  <w:rFonts w:ascii="Cambria Math" w:hAnsi="Cambria Math" w:cs="Arial"/>
                  <w:szCs w:val="20"/>
                  <w:vertAlign w:val="subscript"/>
                </w:rPr>
                <m:t>kW</m:t>
              </m:r>
              <m:ctrlPr>
                <w:rPr>
                  <w:rFonts w:ascii="Cambria Math" w:eastAsia="Cambria Math" w:hAnsi="Cambria Math" w:cs="Cambria Math"/>
                  <w:i w:val="0"/>
                  <w:szCs w:val="20"/>
                  <w:vertAlign w:val="subscript"/>
                </w:rPr>
              </m:ctrlPr>
            </m:e>
            <m:sub>
              <m:r>
                <w:rPr>
                  <w:rFonts w:ascii="Cambria Math" w:hAnsi="Cambria Math" w:cs="Arial"/>
                  <w:szCs w:val="20"/>
                  <w:vertAlign w:val="subscript"/>
                </w:rPr>
                <m:t>summer peak</m:t>
              </m:r>
            </m:sub>
          </m:sSub>
          <m:r>
            <w:rPr>
              <w:rFonts w:ascii="Cambria Math" w:hAnsi="Cambria Math" w:cs="Arial"/>
              <w:szCs w:val="20"/>
              <w:vertAlign w:val="subscript"/>
            </w:rPr>
            <m:t xml:space="preserve">                               =</m:t>
          </m:r>
          <m:r>
            <w:rPr>
              <w:rFonts w:ascii="Cambria Math" w:hAnsi="Cambria Math" w:cs="Arial"/>
              <w:szCs w:val="20"/>
            </w:rPr>
            <m:t>∆kWh×</m:t>
          </m:r>
          <m:sSub>
            <m:sSubPr>
              <m:ctrlPr>
                <w:rPr>
                  <w:rFonts w:ascii="Cambria Math" w:hAnsi="Cambria Math" w:cs="Arial"/>
                  <w:szCs w:val="20"/>
                </w:rPr>
              </m:ctrlPr>
            </m:sSubPr>
            <m:e>
              <m:r>
                <w:rPr>
                  <w:rFonts w:ascii="Cambria Math" w:hAnsi="Cambria Math" w:cs="Arial"/>
                  <w:szCs w:val="20"/>
                </w:rPr>
                <m:t>ETDF</m:t>
              </m:r>
            </m:e>
            <m:sub>
              <m:r>
                <w:rPr>
                  <w:rFonts w:ascii="Cambria Math" w:hAnsi="Cambria Math" w:cs="Arial"/>
                  <w:szCs w:val="20"/>
                </w:rPr>
                <m:t>s</m:t>
              </m:r>
            </m:sub>
          </m:sSub>
        </m:oMath>
      </m:oMathPara>
    </w:p>
    <w:p w14:paraId="271908B1" w14:textId="77777777" w:rsidR="00C71CAA" w:rsidRPr="001570EA" w:rsidRDefault="00C71CAA" w:rsidP="00C71CAA">
      <w:pPr>
        <w:pStyle w:val="Equation"/>
        <w:ind w:left="0" w:firstLine="0"/>
        <w:rPr>
          <w:rFonts w:cs="Arial"/>
          <w:szCs w:val="20"/>
        </w:rPr>
      </w:pPr>
    </w:p>
    <w:p w14:paraId="066F25C0" w14:textId="77777777" w:rsidR="00C71CAA" w:rsidRPr="001570EA" w:rsidRDefault="00C71CAA" w:rsidP="00C71CAA">
      <w:pPr>
        <w:pStyle w:val="Equation"/>
        <w:ind w:left="0" w:firstLine="0"/>
        <w:rPr>
          <w:rFonts w:cs="Arial"/>
          <w:szCs w:val="20"/>
        </w:rPr>
      </w:pPr>
      <m:oMathPara>
        <m:oMathParaPr>
          <m:jc m:val="left"/>
        </m:oMathParaPr>
        <m:oMath>
          <m:r>
            <w:rPr>
              <w:rFonts w:ascii="Cambria Math" w:hAnsi="Cambria Math" w:cs="Arial"/>
              <w:szCs w:val="20"/>
              <w:vertAlign w:val="subscript"/>
            </w:rPr>
            <m:t>∆</m:t>
          </m:r>
          <m:sSub>
            <m:sSubPr>
              <m:ctrlPr>
                <w:rPr>
                  <w:rFonts w:ascii="Cambria Math" w:hAnsi="Cambria Math" w:cs="Arial"/>
                  <w:i w:val="0"/>
                  <w:szCs w:val="20"/>
                  <w:vertAlign w:val="subscript"/>
                </w:rPr>
              </m:ctrlPr>
            </m:sSubPr>
            <m:e>
              <m:r>
                <w:rPr>
                  <w:rFonts w:ascii="Cambria Math" w:hAnsi="Cambria Math" w:cs="Arial"/>
                  <w:szCs w:val="20"/>
                  <w:vertAlign w:val="subscript"/>
                </w:rPr>
                <m:t>kW</m:t>
              </m:r>
              <m:ctrlPr>
                <w:rPr>
                  <w:rFonts w:ascii="Cambria Math" w:eastAsia="Cambria Math" w:hAnsi="Cambria Math" w:cs="Cambria Math"/>
                  <w:i w:val="0"/>
                  <w:szCs w:val="20"/>
                  <w:vertAlign w:val="subscript"/>
                </w:rPr>
              </m:ctrlPr>
            </m:e>
            <m:sub>
              <m:r>
                <w:rPr>
                  <w:rFonts w:ascii="Cambria Math" w:hAnsi="Cambria Math" w:cs="Arial"/>
                  <w:szCs w:val="20"/>
                  <w:vertAlign w:val="subscript"/>
                </w:rPr>
                <m:t>winter peak</m:t>
              </m:r>
            </m:sub>
          </m:sSub>
          <m:r>
            <w:rPr>
              <w:rFonts w:ascii="Cambria Math" w:hAnsi="Cambria Math" w:cs="Arial"/>
              <w:szCs w:val="20"/>
              <w:vertAlign w:val="subscript"/>
            </w:rPr>
            <m:t xml:space="preserve">                               =</m:t>
          </m:r>
          <m:r>
            <w:rPr>
              <w:rFonts w:ascii="Cambria Math" w:hAnsi="Cambria Math" w:cs="Arial"/>
              <w:szCs w:val="20"/>
            </w:rPr>
            <m:t>∆kWh×</m:t>
          </m:r>
          <m:sSub>
            <m:sSubPr>
              <m:ctrlPr>
                <w:rPr>
                  <w:rFonts w:ascii="Cambria Math" w:hAnsi="Cambria Math" w:cs="Arial"/>
                  <w:szCs w:val="20"/>
                </w:rPr>
              </m:ctrlPr>
            </m:sSubPr>
            <m:e>
              <m:r>
                <w:rPr>
                  <w:rFonts w:ascii="Cambria Math" w:hAnsi="Cambria Math" w:cs="Arial"/>
                  <w:szCs w:val="20"/>
                </w:rPr>
                <m:t>ETDF</m:t>
              </m:r>
            </m:e>
            <m:sub>
              <m:r>
                <w:rPr>
                  <w:rFonts w:ascii="Cambria Math" w:hAnsi="Cambria Math" w:cs="Arial"/>
                  <w:szCs w:val="20"/>
                </w:rPr>
                <m:t>w</m:t>
              </m:r>
            </m:sub>
          </m:sSub>
        </m:oMath>
      </m:oMathPara>
    </w:p>
    <w:p w14:paraId="7107FA1C" w14:textId="77777777" w:rsidR="00C71CAA" w:rsidRPr="001570EA" w:rsidRDefault="00C71CAA" w:rsidP="00C71CAA">
      <w:pPr>
        <w:pStyle w:val="SubStyle"/>
      </w:pPr>
    </w:p>
    <w:p w14:paraId="5A12E953" w14:textId="77777777" w:rsidR="00C71CAA" w:rsidRPr="001570EA" w:rsidRDefault="00C71CAA" w:rsidP="00C71CAA">
      <w:pPr>
        <w:pStyle w:val="SubStyle"/>
      </w:pPr>
      <w:r w:rsidRPr="001570EA">
        <w:t>Definition of Terms</w:t>
      </w:r>
    </w:p>
    <w:p w14:paraId="228DF763" w14:textId="35AA2DD4" w:rsidR="00C71CAA" w:rsidRPr="001570EA" w:rsidRDefault="00C71CAA" w:rsidP="00C71CAA">
      <w:pPr>
        <w:pStyle w:val="Caption"/>
      </w:pPr>
      <w:bookmarkStart w:id="479" w:name="_Ref525733379"/>
      <w:bookmarkStart w:id="480" w:name="_Toc530141727"/>
      <w:bookmarkStart w:id="481" w:name="_Toc4759830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71</w:t>
      </w:r>
      <w:r w:rsidR="002E093A" w:rsidRPr="001570EA">
        <w:fldChar w:fldCharType="end"/>
      </w:r>
      <w:bookmarkEnd w:id="479"/>
      <w:r w:rsidRPr="001570EA">
        <w:t>: Low-Flow Faucet Aerator Calculation Assumptions</w:t>
      </w:r>
      <w:bookmarkEnd w:id="480"/>
      <w:bookmarkEnd w:id="481"/>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0"/>
        <w:gridCol w:w="1237"/>
        <w:gridCol w:w="2250"/>
        <w:gridCol w:w="1080"/>
      </w:tblGrid>
      <w:tr w:rsidR="00C71CAA" w:rsidRPr="001570EA" w14:paraId="31A603AD" w14:textId="77777777">
        <w:trPr>
          <w:tblHeader/>
        </w:trPr>
        <w:tc>
          <w:tcPr>
            <w:tcW w:w="4050" w:type="dxa"/>
            <w:shd w:val="clear" w:color="auto" w:fill="BFBFBF"/>
          </w:tcPr>
          <w:p w14:paraId="3B584976" w14:textId="77777777" w:rsidR="00C71CAA" w:rsidRPr="001570EA" w:rsidRDefault="00C71CAA">
            <w:pPr>
              <w:pStyle w:val="TableCell"/>
              <w:keepNext w:val="0"/>
              <w:spacing w:before="60" w:after="60"/>
              <w:jc w:val="left"/>
              <w:rPr>
                <w:b/>
              </w:rPr>
            </w:pPr>
            <w:r w:rsidRPr="001570EA">
              <w:rPr>
                <w:b/>
              </w:rPr>
              <w:t>Term</w:t>
            </w:r>
          </w:p>
        </w:tc>
        <w:tc>
          <w:tcPr>
            <w:tcW w:w="1237" w:type="dxa"/>
            <w:shd w:val="clear" w:color="auto" w:fill="BFBFBF"/>
          </w:tcPr>
          <w:p w14:paraId="45070C0F" w14:textId="77777777" w:rsidR="00C71CAA" w:rsidRPr="001570EA" w:rsidRDefault="00C71CAA">
            <w:pPr>
              <w:pStyle w:val="TableCell"/>
              <w:keepNext w:val="0"/>
              <w:spacing w:before="60" w:after="60"/>
              <w:jc w:val="center"/>
              <w:rPr>
                <w:b/>
              </w:rPr>
            </w:pPr>
            <w:r w:rsidRPr="001570EA">
              <w:rPr>
                <w:b/>
              </w:rPr>
              <w:t>Unit</w:t>
            </w:r>
          </w:p>
        </w:tc>
        <w:tc>
          <w:tcPr>
            <w:tcW w:w="2250" w:type="dxa"/>
            <w:shd w:val="clear" w:color="auto" w:fill="BFBFBF"/>
          </w:tcPr>
          <w:p w14:paraId="3A666D46" w14:textId="77777777" w:rsidR="00C71CAA" w:rsidRPr="001570EA" w:rsidRDefault="00C71CAA">
            <w:pPr>
              <w:pStyle w:val="TableCell"/>
              <w:keepNext w:val="0"/>
              <w:spacing w:before="60" w:after="60"/>
              <w:jc w:val="center"/>
              <w:rPr>
                <w:b/>
              </w:rPr>
            </w:pPr>
            <w:r w:rsidRPr="001570EA">
              <w:rPr>
                <w:b/>
              </w:rPr>
              <w:t>Value</w:t>
            </w:r>
          </w:p>
        </w:tc>
        <w:tc>
          <w:tcPr>
            <w:tcW w:w="1080" w:type="dxa"/>
            <w:shd w:val="clear" w:color="auto" w:fill="BFBFBF"/>
          </w:tcPr>
          <w:p w14:paraId="067AD765" w14:textId="77777777" w:rsidR="00C71CAA" w:rsidRPr="001570EA" w:rsidRDefault="00C71CAA">
            <w:pPr>
              <w:pStyle w:val="TableCell"/>
              <w:keepNext w:val="0"/>
              <w:spacing w:before="60" w:after="60"/>
              <w:jc w:val="center"/>
              <w:rPr>
                <w:b/>
              </w:rPr>
            </w:pPr>
            <w:r w:rsidRPr="001570EA">
              <w:rPr>
                <w:b/>
              </w:rPr>
              <w:t>Source</w:t>
            </w:r>
          </w:p>
        </w:tc>
      </w:tr>
      <w:tr w:rsidR="00C71CAA" w:rsidRPr="001570EA" w14:paraId="2B7ED2C4" w14:textId="77777777">
        <w:tc>
          <w:tcPr>
            <w:tcW w:w="4050" w:type="dxa"/>
          </w:tcPr>
          <w:p w14:paraId="48E7D059" w14:textId="051AB45D" w:rsidR="00C71CAA" w:rsidRPr="001570EA" w:rsidRDefault="00C71CAA">
            <w:pPr>
              <w:pStyle w:val="TableCell"/>
              <w:keepNext w:val="0"/>
              <w:spacing w:before="60" w:after="60"/>
              <w:jc w:val="left"/>
            </w:pPr>
            <w:r w:rsidRPr="001570EA">
              <w:rPr>
                <w:rFonts w:ascii="Cambria Math" w:hAnsi="Cambria Math"/>
                <w:i/>
              </w:rPr>
              <w:t>GPM</w:t>
            </w:r>
            <w:r w:rsidRPr="001570EA">
              <w:rPr>
                <w:rFonts w:ascii="Cambria Math" w:hAnsi="Cambria Math"/>
                <w:i/>
                <w:vertAlign w:val="subscript"/>
              </w:rPr>
              <w:t>base</w:t>
            </w:r>
            <w:r w:rsidRPr="001570EA">
              <w:t>, Average baseline aerator flow rate (GPM)</w:t>
            </w:r>
          </w:p>
        </w:tc>
        <w:tc>
          <w:tcPr>
            <w:tcW w:w="1237" w:type="dxa"/>
            <w:vAlign w:val="center"/>
          </w:tcPr>
          <w:p w14:paraId="0030D1A2" w14:textId="77777777" w:rsidR="00C71CAA" w:rsidRPr="001570EA" w:rsidRDefault="003B5E04">
            <w:pPr>
              <w:pStyle w:val="TableCell"/>
              <w:keepNext w:val="0"/>
              <w:spacing w:before="60" w:after="60"/>
              <w:jc w:val="center"/>
            </w:pPr>
            <m:oMathPara>
              <m:oMath>
                <m:f>
                  <m:fPr>
                    <m:ctrlPr>
                      <w:rPr>
                        <w:rFonts w:ascii="Cambria Math" w:hAnsi="Cambria Math" w:cs="Arial"/>
                        <w:i/>
                        <w:color w:val="000000"/>
                        <w:szCs w:val="18"/>
                      </w:rPr>
                    </m:ctrlPr>
                  </m:fPr>
                  <m:num>
                    <m:r>
                      <w:rPr>
                        <w:rFonts w:ascii="Cambria Math" w:hAnsi="Cambria Math" w:cs="Arial"/>
                        <w:color w:val="000000"/>
                        <w:szCs w:val="18"/>
                      </w:rPr>
                      <m:t xml:space="preserve">gallons </m:t>
                    </m:r>
                  </m:num>
                  <m:den>
                    <m:r>
                      <w:rPr>
                        <w:rFonts w:ascii="Cambria Math" w:hAnsi="Cambria Math" w:cs="Arial"/>
                        <w:color w:val="000000"/>
                        <w:szCs w:val="18"/>
                      </w:rPr>
                      <m:t>minute</m:t>
                    </m:r>
                  </m:den>
                </m:f>
              </m:oMath>
            </m:oMathPara>
          </w:p>
        </w:tc>
        <w:tc>
          <w:tcPr>
            <w:tcW w:w="2250" w:type="dxa"/>
          </w:tcPr>
          <w:p w14:paraId="6BE6EB85" w14:textId="77777777" w:rsidR="00C71CAA" w:rsidRPr="001570EA" w:rsidRDefault="00C71CAA">
            <w:pPr>
              <w:pStyle w:val="TableCell"/>
              <w:keepNext w:val="0"/>
              <w:spacing w:before="60" w:after="60"/>
              <w:jc w:val="center"/>
            </w:pPr>
            <w:r w:rsidRPr="001570EA">
              <w:t>EDC Data Gathering or</w:t>
            </w:r>
          </w:p>
          <w:p w14:paraId="14E64BF3" w14:textId="77777777" w:rsidR="00C71CAA" w:rsidRPr="001570EA" w:rsidRDefault="00C71CAA">
            <w:pPr>
              <w:pStyle w:val="TableCell"/>
              <w:keepNext w:val="0"/>
              <w:spacing w:before="60" w:after="60"/>
              <w:jc w:val="center"/>
            </w:pPr>
            <w:r w:rsidRPr="001570EA">
              <w:t>Default = 2.2</w:t>
            </w:r>
          </w:p>
        </w:tc>
        <w:tc>
          <w:tcPr>
            <w:tcW w:w="1080" w:type="dxa"/>
          </w:tcPr>
          <w:p w14:paraId="61FC6A17" w14:textId="77777777" w:rsidR="00C71CAA" w:rsidRPr="001570EA" w:rsidRDefault="00C71CAA">
            <w:pPr>
              <w:pStyle w:val="TableCell"/>
              <w:keepNext w:val="0"/>
              <w:spacing w:before="60" w:after="60"/>
              <w:jc w:val="center"/>
            </w:pPr>
            <w:r w:rsidRPr="001570EA">
              <w:t>2</w:t>
            </w:r>
          </w:p>
        </w:tc>
      </w:tr>
      <w:tr w:rsidR="00C71CAA" w:rsidRPr="001570EA" w14:paraId="59878296" w14:textId="77777777">
        <w:tc>
          <w:tcPr>
            <w:tcW w:w="4050" w:type="dxa"/>
          </w:tcPr>
          <w:p w14:paraId="3B687DF3" w14:textId="6C8605FC" w:rsidR="00C71CAA" w:rsidRPr="001570EA" w:rsidRDefault="00C71CAA">
            <w:pPr>
              <w:pStyle w:val="TableCell"/>
              <w:keepNext w:val="0"/>
              <w:spacing w:before="60" w:after="60"/>
              <w:jc w:val="left"/>
            </w:pPr>
            <w:r w:rsidRPr="001570EA">
              <w:rPr>
                <w:rFonts w:ascii="Cambria Math" w:hAnsi="Cambria Math"/>
                <w:i/>
              </w:rPr>
              <w:t>GPM</w:t>
            </w:r>
            <w:r w:rsidRPr="001570EA">
              <w:rPr>
                <w:rFonts w:ascii="Cambria Math" w:hAnsi="Cambria Math"/>
                <w:i/>
                <w:vertAlign w:val="subscript"/>
              </w:rPr>
              <w:t>low</w:t>
            </w:r>
            <w:r w:rsidRPr="001570EA">
              <w:t>, Average efficient aerator flow rate (GPM)</w:t>
            </w:r>
          </w:p>
        </w:tc>
        <w:tc>
          <w:tcPr>
            <w:tcW w:w="1237" w:type="dxa"/>
            <w:vAlign w:val="center"/>
          </w:tcPr>
          <w:p w14:paraId="32B49777" w14:textId="77777777" w:rsidR="00C71CAA" w:rsidRPr="001570EA" w:rsidRDefault="003B5E04">
            <w:pPr>
              <w:pStyle w:val="TableCell"/>
              <w:keepNext w:val="0"/>
              <w:spacing w:before="60" w:after="60"/>
              <w:jc w:val="center"/>
            </w:pPr>
            <m:oMathPara>
              <m:oMath>
                <m:f>
                  <m:fPr>
                    <m:ctrlPr>
                      <w:rPr>
                        <w:rFonts w:ascii="Cambria Math" w:hAnsi="Cambria Math" w:cs="Arial"/>
                        <w:i/>
                        <w:color w:val="000000"/>
                        <w:szCs w:val="18"/>
                      </w:rPr>
                    </m:ctrlPr>
                  </m:fPr>
                  <m:num>
                    <m:r>
                      <w:rPr>
                        <w:rFonts w:ascii="Cambria Math" w:hAnsi="Cambria Math" w:cs="Arial"/>
                        <w:color w:val="000000"/>
                        <w:szCs w:val="18"/>
                      </w:rPr>
                      <m:t xml:space="preserve">gallons </m:t>
                    </m:r>
                  </m:num>
                  <m:den>
                    <m:r>
                      <w:rPr>
                        <w:rFonts w:ascii="Cambria Math" w:hAnsi="Cambria Math" w:cs="Arial"/>
                        <w:color w:val="000000"/>
                        <w:szCs w:val="18"/>
                      </w:rPr>
                      <m:t>minute</m:t>
                    </m:r>
                  </m:den>
                </m:f>
              </m:oMath>
            </m:oMathPara>
          </w:p>
        </w:tc>
        <w:tc>
          <w:tcPr>
            <w:tcW w:w="2250" w:type="dxa"/>
          </w:tcPr>
          <w:p w14:paraId="55236EF2" w14:textId="77777777" w:rsidR="00C71CAA" w:rsidRPr="001570EA" w:rsidRDefault="00C71CAA">
            <w:pPr>
              <w:pStyle w:val="TableCell"/>
              <w:keepNext w:val="0"/>
              <w:spacing w:before="60" w:after="60"/>
              <w:jc w:val="center"/>
            </w:pPr>
            <w:r w:rsidRPr="001570EA">
              <w:t>EDC Data Gathering</w:t>
            </w:r>
          </w:p>
        </w:tc>
        <w:tc>
          <w:tcPr>
            <w:tcW w:w="1080" w:type="dxa"/>
          </w:tcPr>
          <w:p w14:paraId="4B641507" w14:textId="77777777" w:rsidR="00C71CAA" w:rsidRPr="001570EA" w:rsidRDefault="00C71CAA">
            <w:pPr>
              <w:pStyle w:val="TableCell"/>
              <w:keepNext w:val="0"/>
              <w:spacing w:before="60" w:after="60"/>
              <w:jc w:val="center"/>
            </w:pPr>
            <w:r w:rsidRPr="001570EA">
              <w:t>-</w:t>
            </w:r>
          </w:p>
        </w:tc>
      </w:tr>
      <w:tr w:rsidR="00C71CAA" w:rsidRPr="001570EA" w14:paraId="23EA4B5E" w14:textId="77777777">
        <w:tc>
          <w:tcPr>
            <w:tcW w:w="4050" w:type="dxa"/>
          </w:tcPr>
          <w:p w14:paraId="3EA9948D" w14:textId="6CA08935" w:rsidR="00C71CAA" w:rsidRPr="001570EA" w:rsidRDefault="00C71CAA">
            <w:pPr>
              <w:pStyle w:val="TableCell"/>
              <w:keepNext w:val="0"/>
              <w:spacing w:before="60" w:after="60"/>
              <w:jc w:val="left"/>
              <w:rPr>
                <w:rFonts w:ascii="Cambria Math" w:hAnsi="Cambria Math"/>
                <w:i/>
              </w:rPr>
            </w:pPr>
            <w:r w:rsidRPr="001570EA">
              <w:rPr>
                <w:rFonts w:ascii="Cambria Math" w:hAnsi="Cambria Math"/>
                <w:i/>
              </w:rPr>
              <w:t>T</w:t>
            </w:r>
            <w:r w:rsidRPr="001570EA">
              <w:rPr>
                <w:rFonts w:ascii="Cambria Math" w:hAnsi="Cambria Math"/>
                <w:i/>
                <w:vertAlign w:val="subscript"/>
              </w:rPr>
              <w:t>out</w:t>
            </w:r>
            <w:r w:rsidRPr="001570EA">
              <w:t>, Average mixed water temperature flowing from the faucet (</w:t>
            </w:r>
            <w:r w:rsidRPr="001570EA">
              <w:rPr>
                <w:rFonts w:cs="Arial"/>
              </w:rPr>
              <w:t>º</w:t>
            </w:r>
            <w:r w:rsidRPr="001570EA">
              <w:t>F)</w:t>
            </w:r>
          </w:p>
        </w:tc>
        <w:tc>
          <w:tcPr>
            <w:tcW w:w="1237" w:type="dxa"/>
          </w:tcPr>
          <w:p w14:paraId="0AB4B9D2" w14:textId="77777777" w:rsidR="00C71CAA" w:rsidRPr="001570EA" w:rsidRDefault="00C71CAA">
            <w:pPr>
              <w:pStyle w:val="TableCell"/>
              <w:keepNext w:val="0"/>
              <w:spacing w:before="60" w:after="60"/>
              <w:jc w:val="center"/>
              <w:rPr>
                <w:color w:val="000000"/>
                <w:szCs w:val="18"/>
              </w:rPr>
            </w:pPr>
            <w:r w:rsidRPr="001570EA">
              <w:rPr>
                <w:rFonts w:cs="Arial"/>
                <w:i/>
              </w:rPr>
              <w:t>˚</w:t>
            </w:r>
            <w:r w:rsidRPr="001570EA">
              <w:rPr>
                <w:i/>
              </w:rPr>
              <w:t>F</w:t>
            </w:r>
          </w:p>
        </w:tc>
        <w:tc>
          <w:tcPr>
            <w:tcW w:w="2250" w:type="dxa"/>
          </w:tcPr>
          <w:p w14:paraId="52496389" w14:textId="77777777" w:rsidR="00C71CAA" w:rsidRPr="001570EA" w:rsidRDefault="00C71CAA">
            <w:pPr>
              <w:pStyle w:val="TableCell"/>
              <w:keepNext w:val="0"/>
              <w:spacing w:before="60" w:after="60"/>
              <w:jc w:val="center"/>
            </w:pPr>
            <w:r w:rsidRPr="001570EA">
              <w:t>Kitchen=93.0</w:t>
            </w:r>
          </w:p>
          <w:p w14:paraId="647C6C17" w14:textId="77777777" w:rsidR="00C71CAA" w:rsidRPr="001570EA" w:rsidRDefault="00C71CAA">
            <w:pPr>
              <w:pStyle w:val="TableCell"/>
              <w:keepNext w:val="0"/>
              <w:spacing w:before="60" w:after="60"/>
              <w:jc w:val="center"/>
            </w:pPr>
            <w:r w:rsidRPr="001570EA">
              <w:t>Bathroom=86.0</w:t>
            </w:r>
          </w:p>
          <w:p w14:paraId="144B88B9" w14:textId="77777777" w:rsidR="00C71CAA" w:rsidRPr="001570EA" w:rsidRDefault="00C71CAA">
            <w:pPr>
              <w:pStyle w:val="TableCell"/>
              <w:keepNext w:val="0"/>
              <w:spacing w:before="60" w:after="60"/>
              <w:jc w:val="center"/>
            </w:pPr>
            <w:r w:rsidRPr="001570EA">
              <w:t>Unknown= 87.8</w:t>
            </w:r>
          </w:p>
        </w:tc>
        <w:tc>
          <w:tcPr>
            <w:tcW w:w="1080" w:type="dxa"/>
          </w:tcPr>
          <w:p w14:paraId="30C8D6EF" w14:textId="77777777" w:rsidR="00C71CAA" w:rsidRPr="001570EA" w:rsidDel="0012770F" w:rsidRDefault="00C71CAA">
            <w:pPr>
              <w:pStyle w:val="TableCell"/>
              <w:keepNext w:val="0"/>
              <w:spacing w:before="60" w:after="60"/>
              <w:jc w:val="center"/>
            </w:pPr>
            <w:r w:rsidRPr="001570EA">
              <w:t>5</w:t>
            </w:r>
          </w:p>
        </w:tc>
      </w:tr>
      <w:tr w:rsidR="00C71CAA" w:rsidRPr="001570EA" w14:paraId="582455C0" w14:textId="77777777">
        <w:tc>
          <w:tcPr>
            <w:tcW w:w="4050" w:type="dxa"/>
          </w:tcPr>
          <w:p w14:paraId="6E5A25FE" w14:textId="65BCAF69" w:rsidR="00C71CAA" w:rsidRPr="001570EA" w:rsidRDefault="00C71CAA">
            <w:pPr>
              <w:pStyle w:val="TableCell"/>
              <w:keepNext w:val="0"/>
              <w:spacing w:before="60" w:after="60"/>
              <w:jc w:val="left"/>
              <w:rPr>
                <w:rFonts w:ascii="Cambria Math" w:hAnsi="Cambria Math"/>
                <w:i/>
              </w:rPr>
            </w:pPr>
            <w:r w:rsidRPr="001570EA">
              <w:rPr>
                <w:rFonts w:ascii="Cambria Math" w:hAnsi="Cambria Math"/>
                <w:i/>
              </w:rPr>
              <w:t>T</w:t>
            </w:r>
            <w:r w:rsidRPr="001570EA">
              <w:rPr>
                <w:rFonts w:ascii="Cambria Math" w:hAnsi="Cambria Math"/>
                <w:i/>
                <w:vertAlign w:val="subscript"/>
              </w:rPr>
              <w:t>in</w:t>
            </w:r>
            <w:r w:rsidRPr="001570EA">
              <w:t>, Average temperature of water entering the house (</w:t>
            </w:r>
            <w:r w:rsidRPr="001570EA">
              <w:rPr>
                <w:rFonts w:cs="Arial"/>
              </w:rPr>
              <w:t>º</w:t>
            </w:r>
            <w:r w:rsidRPr="001570EA">
              <w:t>F)</w:t>
            </w:r>
          </w:p>
        </w:tc>
        <w:tc>
          <w:tcPr>
            <w:tcW w:w="1237" w:type="dxa"/>
          </w:tcPr>
          <w:p w14:paraId="1370811B" w14:textId="77777777" w:rsidR="00C71CAA" w:rsidRPr="001570EA" w:rsidRDefault="00C71CAA">
            <w:pPr>
              <w:pStyle w:val="TableCell"/>
              <w:keepNext w:val="0"/>
              <w:spacing w:before="60" w:after="60"/>
              <w:jc w:val="center"/>
              <w:rPr>
                <w:color w:val="000000"/>
                <w:szCs w:val="18"/>
              </w:rPr>
            </w:pPr>
            <w:r w:rsidRPr="001570EA">
              <w:rPr>
                <w:rFonts w:cs="Arial"/>
                <w:i/>
              </w:rPr>
              <w:t>˚</w:t>
            </w:r>
            <w:r w:rsidRPr="001570EA">
              <w:rPr>
                <w:i/>
              </w:rPr>
              <w:t>F</w:t>
            </w:r>
          </w:p>
        </w:tc>
        <w:tc>
          <w:tcPr>
            <w:tcW w:w="2250" w:type="dxa"/>
          </w:tcPr>
          <w:p w14:paraId="5E1597CA" w14:textId="77777777" w:rsidR="00C71CAA" w:rsidRPr="001570EA" w:rsidRDefault="00C71CAA">
            <w:pPr>
              <w:pStyle w:val="TableCell"/>
              <w:keepNext w:val="0"/>
              <w:spacing w:before="60" w:after="60"/>
              <w:jc w:val="center"/>
            </w:pPr>
            <w:r w:rsidRPr="001570EA">
              <w:t>53</w:t>
            </w:r>
          </w:p>
        </w:tc>
        <w:tc>
          <w:tcPr>
            <w:tcW w:w="1080" w:type="dxa"/>
          </w:tcPr>
          <w:p w14:paraId="7D6CF5F3" w14:textId="77777777" w:rsidR="00C71CAA" w:rsidRPr="001570EA" w:rsidDel="0012770F" w:rsidRDefault="00C71CAA">
            <w:pPr>
              <w:pStyle w:val="TableCell"/>
              <w:keepNext w:val="0"/>
              <w:spacing w:before="60" w:after="60"/>
              <w:jc w:val="center"/>
            </w:pPr>
            <w:r w:rsidRPr="001570EA">
              <w:t>6</w:t>
            </w:r>
          </w:p>
        </w:tc>
      </w:tr>
      <w:tr w:rsidR="00C71CAA" w:rsidRPr="001570EA" w14:paraId="7A7EF5B9" w14:textId="77777777">
        <w:tc>
          <w:tcPr>
            <w:tcW w:w="4050" w:type="dxa"/>
          </w:tcPr>
          <w:p w14:paraId="04FA84F0" w14:textId="12A24469" w:rsidR="00C71CAA" w:rsidRPr="001570EA" w:rsidRDefault="00C71CAA">
            <w:pPr>
              <w:pStyle w:val="TableCell"/>
              <w:keepNext w:val="0"/>
              <w:spacing w:before="60" w:after="60"/>
              <w:jc w:val="left"/>
              <w:rPr>
                <w:rFonts w:ascii="Cambria Math" w:hAnsi="Cambria Math"/>
                <w:i/>
              </w:rPr>
            </w:pPr>
            <w:r w:rsidRPr="001570EA">
              <w:rPr>
                <w:rFonts w:ascii="Cambria Math" w:hAnsi="Cambria Math"/>
                <w:i/>
              </w:rPr>
              <w:t>RE</w:t>
            </w:r>
            <w:r w:rsidRPr="001570EA">
              <w:rPr>
                <w:color w:val="000000"/>
              </w:rPr>
              <w:t>, Recovery efficiency of electric water heater</w:t>
            </w:r>
          </w:p>
        </w:tc>
        <w:tc>
          <w:tcPr>
            <w:tcW w:w="1237" w:type="dxa"/>
          </w:tcPr>
          <w:p w14:paraId="19CAAB07" w14:textId="77777777" w:rsidR="00C71CAA" w:rsidRPr="001570EA" w:rsidRDefault="00C71CAA">
            <w:pPr>
              <w:pStyle w:val="TableCell"/>
              <w:keepNext w:val="0"/>
              <w:spacing w:before="60" w:after="60"/>
              <w:jc w:val="center"/>
              <w:rPr>
                <w:color w:val="000000"/>
                <w:szCs w:val="18"/>
              </w:rPr>
            </w:pPr>
            <w:r w:rsidRPr="001570EA">
              <w:rPr>
                <w:i/>
              </w:rPr>
              <w:t>Proportion</w:t>
            </w:r>
          </w:p>
        </w:tc>
        <w:tc>
          <w:tcPr>
            <w:tcW w:w="2250" w:type="dxa"/>
          </w:tcPr>
          <w:p w14:paraId="0F0FFC18" w14:textId="77777777" w:rsidR="00C71CAA" w:rsidRPr="001570EA" w:rsidRDefault="00C71CAA">
            <w:pPr>
              <w:pStyle w:val="TableCell"/>
              <w:keepNext w:val="0"/>
              <w:spacing w:before="60" w:after="60"/>
              <w:jc w:val="center"/>
            </w:pPr>
            <w:r w:rsidRPr="001570EA">
              <w:t xml:space="preserve">Default: </w:t>
            </w:r>
          </w:p>
          <w:p w14:paraId="7346E24F" w14:textId="77777777" w:rsidR="00C71CAA" w:rsidRPr="001570EA" w:rsidRDefault="00C71CAA">
            <w:pPr>
              <w:pStyle w:val="TableCell"/>
              <w:keepNext w:val="0"/>
              <w:spacing w:before="60" w:after="60"/>
              <w:jc w:val="center"/>
            </w:pPr>
            <w:r w:rsidRPr="001570EA">
              <w:t>Standard: 0.98</w:t>
            </w:r>
          </w:p>
          <w:p w14:paraId="0164D662" w14:textId="77777777" w:rsidR="00C71CAA" w:rsidRPr="001570EA" w:rsidRDefault="00C71CAA">
            <w:pPr>
              <w:pStyle w:val="TableCell"/>
              <w:keepNext w:val="0"/>
              <w:spacing w:before="60" w:after="60"/>
              <w:jc w:val="center"/>
            </w:pPr>
            <w:r w:rsidRPr="001570EA">
              <w:t>HPWH: 3.93</w:t>
            </w:r>
          </w:p>
          <w:p w14:paraId="14810D73" w14:textId="77777777" w:rsidR="00C71CAA" w:rsidRPr="001570EA" w:rsidRDefault="00C71CAA">
            <w:pPr>
              <w:pStyle w:val="TableCell"/>
              <w:keepNext w:val="0"/>
              <w:spacing w:before="60" w:after="60"/>
              <w:jc w:val="center"/>
            </w:pPr>
            <w:r w:rsidRPr="001570EA">
              <w:t>Unknown: 1.22</w:t>
            </w:r>
          </w:p>
        </w:tc>
        <w:tc>
          <w:tcPr>
            <w:tcW w:w="1080" w:type="dxa"/>
          </w:tcPr>
          <w:p w14:paraId="35EDAFD3" w14:textId="77777777" w:rsidR="00C71CAA" w:rsidRPr="001570EA" w:rsidDel="0012770F" w:rsidRDefault="00C71CAA">
            <w:pPr>
              <w:pStyle w:val="TableCell"/>
              <w:keepNext w:val="0"/>
              <w:spacing w:before="60" w:after="60"/>
              <w:jc w:val="center"/>
            </w:pPr>
            <w:r w:rsidRPr="001570EA">
              <w:t>7</w:t>
            </w:r>
          </w:p>
        </w:tc>
      </w:tr>
      <w:tr w:rsidR="00C71CAA" w:rsidRPr="001570EA" w14:paraId="6F9603D6" w14:textId="77777777">
        <w:tc>
          <w:tcPr>
            <w:tcW w:w="4050" w:type="dxa"/>
          </w:tcPr>
          <w:p w14:paraId="73A5A80D" w14:textId="76272DE2" w:rsidR="00C71CAA" w:rsidRPr="001570EA" w:rsidRDefault="00C71CAA">
            <w:pPr>
              <w:pStyle w:val="TableCell"/>
              <w:keepNext w:val="0"/>
              <w:spacing w:before="60" w:after="60"/>
              <w:jc w:val="left"/>
              <w:rPr>
                <w:rFonts w:ascii="Cambria Math" w:hAnsi="Cambria Math"/>
                <w:i/>
              </w:rPr>
            </w:pPr>
            <w:r w:rsidRPr="001570EA">
              <w:rPr>
                <w:rFonts w:ascii="Cambria Math" w:eastAsia="Arial Unicode MS" w:hAnsi="Cambria Math" w:cs="Arial Unicode MS"/>
                <w:i/>
              </w:rPr>
              <w:t>DF</w:t>
            </w:r>
            <w:r w:rsidRPr="001570EA">
              <w:rPr>
                <w:color w:val="000000"/>
              </w:rPr>
              <w:t>, Percentage of water flowing down drain</w:t>
            </w:r>
          </w:p>
        </w:tc>
        <w:tc>
          <w:tcPr>
            <w:tcW w:w="1237" w:type="dxa"/>
          </w:tcPr>
          <w:p w14:paraId="352CDFA7" w14:textId="77777777" w:rsidR="00C71CAA" w:rsidRPr="001570EA" w:rsidRDefault="00C71CAA">
            <w:pPr>
              <w:pStyle w:val="TableCell"/>
              <w:keepNext w:val="0"/>
              <w:spacing w:before="60" w:after="60"/>
              <w:jc w:val="center"/>
              <w:rPr>
                <w:color w:val="000000"/>
                <w:szCs w:val="18"/>
              </w:rPr>
            </w:pPr>
            <w:r w:rsidRPr="001570EA">
              <w:rPr>
                <w:i/>
              </w:rPr>
              <w:t>%</w:t>
            </w:r>
          </w:p>
        </w:tc>
        <w:tc>
          <w:tcPr>
            <w:tcW w:w="2250" w:type="dxa"/>
          </w:tcPr>
          <w:p w14:paraId="158CD6EC" w14:textId="77777777" w:rsidR="00C71CAA" w:rsidRPr="001570EA" w:rsidRDefault="00C71CAA">
            <w:pPr>
              <w:pStyle w:val="TableCell"/>
              <w:keepNext w:val="0"/>
              <w:spacing w:before="60" w:after="60"/>
              <w:jc w:val="center"/>
            </w:pPr>
            <w:r w:rsidRPr="001570EA">
              <w:t>Kitchen=75%</w:t>
            </w:r>
          </w:p>
          <w:p w14:paraId="571DD9A0" w14:textId="77777777" w:rsidR="00C71CAA" w:rsidRPr="001570EA" w:rsidRDefault="00C71CAA">
            <w:pPr>
              <w:pStyle w:val="TableCell"/>
              <w:keepNext w:val="0"/>
              <w:spacing w:before="60" w:after="60"/>
              <w:jc w:val="center"/>
            </w:pPr>
            <w:r w:rsidRPr="001570EA">
              <w:t>Bathroom=90%</w:t>
            </w:r>
          </w:p>
          <w:p w14:paraId="2F32AA50" w14:textId="77777777" w:rsidR="00C71CAA" w:rsidRPr="001570EA" w:rsidRDefault="00C71CAA">
            <w:pPr>
              <w:pStyle w:val="TableCell"/>
              <w:keepNext w:val="0"/>
              <w:spacing w:before="60" w:after="60"/>
              <w:jc w:val="center"/>
            </w:pPr>
            <w:r w:rsidRPr="001570EA">
              <w:t>Unknown=79.5%</w:t>
            </w:r>
          </w:p>
        </w:tc>
        <w:tc>
          <w:tcPr>
            <w:tcW w:w="1080" w:type="dxa"/>
          </w:tcPr>
          <w:p w14:paraId="45BC9B13" w14:textId="77777777" w:rsidR="00C71CAA" w:rsidRPr="001570EA" w:rsidDel="0012770F" w:rsidRDefault="00C71CAA">
            <w:pPr>
              <w:pStyle w:val="TableCell"/>
              <w:keepNext w:val="0"/>
              <w:spacing w:before="60" w:after="60"/>
              <w:jc w:val="center"/>
            </w:pPr>
            <w:r w:rsidRPr="001570EA">
              <w:t>8</w:t>
            </w:r>
          </w:p>
        </w:tc>
      </w:tr>
      <w:tr w:rsidR="00C71CAA" w:rsidRPr="001570EA" w14:paraId="5F4B63A6" w14:textId="77777777">
        <w:tc>
          <w:tcPr>
            <w:tcW w:w="4050" w:type="dxa"/>
          </w:tcPr>
          <w:p w14:paraId="691E2412" w14:textId="58182AB7" w:rsidR="00C71CAA" w:rsidRPr="001570EA" w:rsidRDefault="00C71CAA">
            <w:pPr>
              <w:pStyle w:val="TableCell"/>
              <w:keepNext w:val="0"/>
              <w:spacing w:before="60" w:after="60"/>
              <w:jc w:val="left"/>
            </w:pPr>
            <w:r w:rsidRPr="001570EA">
              <w:rPr>
                <w:rFonts w:ascii="Cambria Math" w:hAnsi="Cambria Math"/>
                <w:i/>
              </w:rPr>
              <w:t>T</w:t>
            </w:r>
            <w:r w:rsidRPr="001570EA">
              <w:rPr>
                <w:rFonts w:ascii="Cambria Math" w:hAnsi="Cambria Math"/>
                <w:i/>
                <w:vertAlign w:val="subscript"/>
              </w:rPr>
              <w:t>person-day</w:t>
            </w:r>
            <w:r w:rsidRPr="001570EA">
              <w:t>, Average time of hot water usage per person per day (minutes)</w:t>
            </w:r>
          </w:p>
        </w:tc>
        <w:tc>
          <w:tcPr>
            <w:tcW w:w="1237" w:type="dxa"/>
            <w:vAlign w:val="center"/>
          </w:tcPr>
          <w:p w14:paraId="445AC624" w14:textId="77777777" w:rsidR="00C71CAA" w:rsidRPr="001570EA" w:rsidRDefault="003B5E04">
            <w:pPr>
              <w:pStyle w:val="TableCell"/>
              <w:keepNext w:val="0"/>
              <w:spacing w:before="60" w:after="60"/>
              <w:jc w:val="center"/>
            </w:pPr>
            <m:oMathPara>
              <m:oMath>
                <m:f>
                  <m:fPr>
                    <m:ctrlPr>
                      <w:rPr>
                        <w:rFonts w:ascii="Cambria Math" w:hAnsi="Cambria Math" w:cs="Arial"/>
                        <w:i/>
                        <w:color w:val="000000"/>
                        <w:szCs w:val="18"/>
                      </w:rPr>
                    </m:ctrlPr>
                  </m:fPr>
                  <m:num>
                    <m:r>
                      <w:rPr>
                        <w:rFonts w:ascii="Cambria Math" w:hAnsi="Cambria Math" w:cs="Arial"/>
                        <w:color w:val="000000"/>
                        <w:szCs w:val="18"/>
                      </w:rPr>
                      <m:t xml:space="preserve">minutes </m:t>
                    </m:r>
                  </m:num>
                  <m:den>
                    <m:r>
                      <w:rPr>
                        <w:rFonts w:ascii="Cambria Math" w:hAnsi="Cambria Math" w:cs="Arial"/>
                        <w:color w:val="000000"/>
                        <w:szCs w:val="18"/>
                      </w:rPr>
                      <m:t>person</m:t>
                    </m:r>
                    <m:r>
                      <w:rPr>
                        <w:rFonts w:ascii="Cambria Math" w:hAnsi="Cambria Math" w:cs="Arial"/>
                      </w:rPr>
                      <m:t>∙</m:t>
                    </m:r>
                    <m:r>
                      <w:rPr>
                        <w:rFonts w:ascii="Cambria Math" w:hAnsi="Cambria Math" w:cs="Arial"/>
                        <w:color w:val="000000"/>
                        <w:szCs w:val="18"/>
                      </w:rPr>
                      <m:t>day</m:t>
                    </m:r>
                  </m:den>
                </m:f>
              </m:oMath>
            </m:oMathPara>
          </w:p>
        </w:tc>
        <w:tc>
          <w:tcPr>
            <w:tcW w:w="2250" w:type="dxa"/>
          </w:tcPr>
          <w:p w14:paraId="697039BA" w14:textId="77777777" w:rsidR="00C71CAA" w:rsidRPr="001570EA" w:rsidRDefault="00C71CAA">
            <w:pPr>
              <w:pStyle w:val="TableCell"/>
              <w:keepNext w:val="0"/>
              <w:spacing w:before="60" w:after="60"/>
              <w:jc w:val="center"/>
            </w:pPr>
            <w:r w:rsidRPr="001570EA">
              <w:t>Kitchen=4.5</w:t>
            </w:r>
          </w:p>
          <w:p w14:paraId="11638EEE" w14:textId="77777777" w:rsidR="00C71CAA" w:rsidRPr="001570EA" w:rsidRDefault="00C71CAA">
            <w:pPr>
              <w:pStyle w:val="TableCell"/>
              <w:keepNext w:val="0"/>
              <w:spacing w:before="60" w:after="60"/>
              <w:jc w:val="center"/>
            </w:pPr>
            <w:r w:rsidRPr="001570EA">
              <w:t>Bathroom=1.6</w:t>
            </w:r>
          </w:p>
          <w:p w14:paraId="336F0BB1" w14:textId="77777777" w:rsidR="00C71CAA" w:rsidRPr="001570EA" w:rsidRDefault="00C71CAA">
            <w:pPr>
              <w:pStyle w:val="TableCell"/>
              <w:keepNext w:val="0"/>
              <w:spacing w:before="60" w:after="60"/>
              <w:jc w:val="center"/>
            </w:pPr>
            <w:r w:rsidRPr="001570EA">
              <w:t>Unknown=2.7</w:t>
            </w:r>
          </w:p>
        </w:tc>
        <w:tc>
          <w:tcPr>
            <w:tcW w:w="1080" w:type="dxa"/>
          </w:tcPr>
          <w:p w14:paraId="462046DD" w14:textId="77777777" w:rsidR="00C71CAA" w:rsidRPr="001570EA" w:rsidRDefault="00C71CAA">
            <w:pPr>
              <w:pStyle w:val="TableCell"/>
              <w:keepNext w:val="0"/>
              <w:spacing w:before="60" w:after="60"/>
              <w:jc w:val="center"/>
            </w:pPr>
            <w:r w:rsidRPr="001570EA">
              <w:t>3</w:t>
            </w:r>
          </w:p>
        </w:tc>
      </w:tr>
      <w:tr w:rsidR="00C71CAA" w:rsidRPr="001570EA" w14:paraId="3E683697" w14:textId="77777777">
        <w:tc>
          <w:tcPr>
            <w:tcW w:w="4050" w:type="dxa"/>
          </w:tcPr>
          <w:p w14:paraId="6A3ACF90" w14:textId="322B92D0" w:rsidR="00C71CAA" w:rsidRPr="001570EA" w:rsidRDefault="00C71CAA">
            <w:pPr>
              <w:pStyle w:val="TableCell"/>
              <w:keepNext w:val="0"/>
              <w:spacing w:before="60" w:after="60"/>
              <w:jc w:val="left"/>
            </w:pPr>
            <w:r w:rsidRPr="001570EA">
              <w:rPr>
                <w:rFonts w:ascii="Cambria Math" w:hAnsi="Cambria Math"/>
                <w:i/>
              </w:rPr>
              <w:t>N</w:t>
            </w:r>
            <w:r w:rsidRPr="001570EA">
              <w:rPr>
                <w:rFonts w:ascii="Cambria Math" w:hAnsi="Cambria Math"/>
                <w:i/>
                <w:vertAlign w:val="subscript"/>
              </w:rPr>
              <w:t>persons</w:t>
            </w:r>
            <w:r w:rsidRPr="001570EA">
              <w:t>, Average number of persons per household</w:t>
            </w:r>
          </w:p>
        </w:tc>
        <w:tc>
          <w:tcPr>
            <w:tcW w:w="1237" w:type="dxa"/>
            <w:vAlign w:val="center"/>
          </w:tcPr>
          <w:p w14:paraId="6D39B59B" w14:textId="77777777" w:rsidR="00C71CAA" w:rsidRPr="001570EA" w:rsidRDefault="003B5E04">
            <w:pPr>
              <w:pStyle w:val="TableCell"/>
              <w:keepNext w:val="0"/>
              <w:spacing w:before="60" w:after="60"/>
              <w:jc w:val="center"/>
            </w:pPr>
            <m:oMathPara>
              <m:oMath>
                <m:f>
                  <m:fPr>
                    <m:ctrlPr>
                      <w:rPr>
                        <w:rFonts w:ascii="Cambria Math" w:hAnsi="Cambria Math" w:cs="Arial"/>
                        <w:i/>
                        <w:color w:val="000000"/>
                        <w:szCs w:val="18"/>
                      </w:rPr>
                    </m:ctrlPr>
                  </m:fPr>
                  <m:num>
                    <m:r>
                      <w:rPr>
                        <w:rFonts w:ascii="Cambria Math" w:hAnsi="Cambria Math" w:cs="Arial"/>
                        <w:color w:val="000000"/>
                        <w:szCs w:val="18"/>
                      </w:rPr>
                      <m:t xml:space="preserve">persons </m:t>
                    </m:r>
                  </m:num>
                  <m:den>
                    <m:r>
                      <w:rPr>
                        <w:rFonts w:ascii="Cambria Math" w:hAnsi="Cambria Math" w:cs="Arial"/>
                        <w:color w:val="000000"/>
                        <w:szCs w:val="18"/>
                      </w:rPr>
                      <m:t>household</m:t>
                    </m:r>
                  </m:den>
                </m:f>
              </m:oMath>
            </m:oMathPara>
          </w:p>
        </w:tc>
        <w:tc>
          <w:tcPr>
            <w:tcW w:w="2250" w:type="dxa"/>
          </w:tcPr>
          <w:p w14:paraId="59F8E388" w14:textId="77777777" w:rsidR="00C71CAA" w:rsidRPr="001570EA" w:rsidRDefault="00C71CAA">
            <w:pPr>
              <w:pStyle w:val="TableCell"/>
              <w:keepNext w:val="0"/>
              <w:spacing w:before="60" w:after="60"/>
              <w:ind w:left="3600" w:hanging="3600"/>
              <w:jc w:val="center"/>
            </w:pPr>
            <w:r w:rsidRPr="001570EA">
              <w:t>Default SF=2.6</w:t>
            </w:r>
          </w:p>
          <w:p w14:paraId="3C3DCBB9" w14:textId="77777777" w:rsidR="00C71CAA" w:rsidRPr="001570EA" w:rsidRDefault="00C71CAA">
            <w:pPr>
              <w:pStyle w:val="TableCell"/>
              <w:keepNext w:val="0"/>
              <w:spacing w:before="60" w:after="60"/>
              <w:jc w:val="center"/>
            </w:pPr>
            <w:r w:rsidRPr="001570EA">
              <w:t>Default MF=1.7</w:t>
            </w:r>
          </w:p>
          <w:p w14:paraId="29BD4097" w14:textId="77777777" w:rsidR="00C71CAA" w:rsidRPr="001570EA" w:rsidRDefault="00C71CAA">
            <w:pPr>
              <w:pStyle w:val="TableCell"/>
              <w:keepNext w:val="0"/>
              <w:spacing w:before="60" w:after="60"/>
              <w:jc w:val="center"/>
            </w:pPr>
            <w:r w:rsidRPr="001570EA">
              <w:t>Default Unknown=2.4</w:t>
            </w:r>
          </w:p>
          <w:p w14:paraId="5C63A62A" w14:textId="77777777" w:rsidR="00C71CAA" w:rsidRPr="001570EA" w:rsidRDefault="00C71CAA">
            <w:pPr>
              <w:pStyle w:val="TableCell"/>
              <w:keepNext w:val="0"/>
              <w:spacing w:before="60" w:after="60"/>
              <w:jc w:val="center"/>
            </w:pPr>
            <w:r w:rsidRPr="001570EA">
              <w:t>Or EDC Data Gathering</w:t>
            </w:r>
          </w:p>
        </w:tc>
        <w:tc>
          <w:tcPr>
            <w:tcW w:w="1080" w:type="dxa"/>
          </w:tcPr>
          <w:p w14:paraId="75EA73C5" w14:textId="77777777" w:rsidR="00C71CAA" w:rsidRPr="001570EA" w:rsidRDefault="00C71CAA">
            <w:pPr>
              <w:pStyle w:val="TableCell"/>
              <w:keepNext w:val="0"/>
              <w:spacing w:before="60" w:after="60"/>
              <w:jc w:val="center"/>
            </w:pPr>
            <w:r w:rsidRPr="001570EA">
              <w:t>9</w:t>
            </w:r>
          </w:p>
        </w:tc>
      </w:tr>
      <w:tr w:rsidR="00C71CAA" w:rsidRPr="001570EA" w14:paraId="476A1690" w14:textId="77777777">
        <w:tc>
          <w:tcPr>
            <w:tcW w:w="4050" w:type="dxa"/>
          </w:tcPr>
          <w:p w14:paraId="3F031998" w14:textId="4CABF15B" w:rsidR="00C71CAA" w:rsidRPr="001570EA" w:rsidRDefault="003B5E04">
            <w:pPr>
              <w:pStyle w:val="TableCell"/>
              <w:keepNext w:val="0"/>
              <w:spacing w:before="60" w:after="60"/>
              <w:jc w:val="left"/>
              <w:rPr>
                <w:color w:val="000000"/>
              </w:rPr>
            </w:pPr>
            <m:oMath>
              <m:sSub>
                <m:sSubPr>
                  <m:ctrlPr>
                    <w:rPr>
                      <w:rFonts w:ascii="Cambria Math" w:hAnsi="Cambria Math" w:cs="Arial"/>
                    </w:rPr>
                  </m:ctrlPr>
                </m:sSubPr>
                <m:e>
                  <m:r>
                    <w:rPr>
                      <w:rFonts w:ascii="Cambria Math" w:hAnsi="Cambria Math" w:cs="Arial"/>
                    </w:rPr>
                    <m:t>N</m:t>
                  </m:r>
                </m:e>
                <m:sub>
                  <m:r>
                    <w:rPr>
                      <w:rFonts w:ascii="Cambria Math" w:hAnsi="Cambria Math" w:cs="Arial"/>
                    </w:rPr>
                    <m:t>faucets</m:t>
                  </m:r>
                  <m:r>
                    <m:rPr>
                      <m:sty m:val="p"/>
                    </m:rPr>
                    <w:rPr>
                      <w:rFonts w:ascii="Cambria Math" w:hAnsi="Cambria Math" w:cs="Arial"/>
                    </w:rPr>
                    <m:t>-</m:t>
                  </m:r>
                  <m:r>
                    <w:rPr>
                      <w:rFonts w:ascii="Cambria Math" w:hAnsi="Cambria Math" w:cs="Arial"/>
                    </w:rPr>
                    <m:t>home</m:t>
                  </m:r>
                </m:sub>
              </m:sSub>
            </m:oMath>
            <w:r w:rsidR="00C71CAA" w:rsidRPr="001570EA">
              <w:rPr>
                <w:color w:val="000000"/>
              </w:rPr>
              <w:t>, Average number of faucets in the home</w:t>
            </w:r>
          </w:p>
        </w:tc>
        <w:tc>
          <w:tcPr>
            <w:tcW w:w="1237" w:type="dxa"/>
          </w:tcPr>
          <w:p w14:paraId="74F9B4C8" w14:textId="77777777" w:rsidR="00C71CAA" w:rsidRPr="001570EA" w:rsidRDefault="003B5E04">
            <w:pPr>
              <w:pStyle w:val="TableCell"/>
              <w:keepNext w:val="0"/>
              <w:spacing w:before="60" w:after="60"/>
              <w:jc w:val="center"/>
            </w:pPr>
            <m:oMathPara>
              <m:oMath>
                <m:f>
                  <m:fPr>
                    <m:ctrlPr>
                      <w:rPr>
                        <w:rFonts w:ascii="Cambria Math" w:hAnsi="Cambria Math" w:cs="Arial"/>
                        <w:i/>
                        <w:color w:val="000000"/>
                        <w:szCs w:val="18"/>
                      </w:rPr>
                    </m:ctrlPr>
                  </m:fPr>
                  <m:num>
                    <m:r>
                      <w:rPr>
                        <w:rFonts w:ascii="Cambria Math" w:hAnsi="Cambria Math" w:cs="Arial"/>
                        <w:color w:val="000000"/>
                        <w:szCs w:val="18"/>
                      </w:rPr>
                      <m:t xml:space="preserve">faucets </m:t>
                    </m:r>
                  </m:num>
                  <m:den>
                    <m:r>
                      <w:rPr>
                        <w:rFonts w:ascii="Cambria Math" w:hAnsi="Cambria Math" w:cs="Arial"/>
                        <w:color w:val="000000"/>
                        <w:szCs w:val="18"/>
                      </w:rPr>
                      <m:t>home</m:t>
                    </m:r>
                  </m:den>
                </m:f>
              </m:oMath>
            </m:oMathPara>
          </w:p>
        </w:tc>
        <w:tc>
          <w:tcPr>
            <w:tcW w:w="2250" w:type="dxa"/>
          </w:tcPr>
          <w:p w14:paraId="2A995152" w14:textId="77777777" w:rsidR="00C71CAA" w:rsidRPr="001570EA" w:rsidRDefault="00C71CAA">
            <w:pPr>
              <w:pStyle w:val="TableCell"/>
              <w:keepNext w:val="0"/>
              <w:spacing w:before="60" w:after="60"/>
              <w:jc w:val="center"/>
            </w:pPr>
            <w:r w:rsidRPr="001570EA">
              <w:t>EDC Data Gathering,</w:t>
            </w:r>
          </w:p>
          <w:p w14:paraId="56D18995" w14:textId="3B883948" w:rsidR="00C71CAA" w:rsidRPr="001570EA" w:rsidRDefault="00C71CAA">
            <w:pPr>
              <w:pStyle w:val="TableCell"/>
              <w:keepNext w:val="0"/>
              <w:spacing w:before="60" w:after="60"/>
              <w:jc w:val="center"/>
            </w:pPr>
            <w:r w:rsidRPr="001570EA">
              <w:t xml:space="preserve">Default see </w:t>
            </w:r>
            <w:r w:rsidRPr="001570EA">
              <w:fldChar w:fldCharType="begin"/>
            </w:r>
            <w:r w:rsidRPr="001570EA">
              <w:instrText xml:space="preserve"> REF _Ref533698302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Pr="001570EA">
              <w:fldChar w:fldCharType="end"/>
            </w:r>
          </w:p>
        </w:tc>
        <w:tc>
          <w:tcPr>
            <w:tcW w:w="1080" w:type="dxa"/>
          </w:tcPr>
          <w:p w14:paraId="3F980E51" w14:textId="77777777" w:rsidR="00C71CAA" w:rsidRPr="001570EA" w:rsidRDefault="00C71CAA">
            <w:pPr>
              <w:pStyle w:val="TableCell"/>
              <w:keepNext w:val="0"/>
              <w:spacing w:before="60" w:after="60"/>
              <w:jc w:val="center"/>
            </w:pPr>
            <w:r w:rsidRPr="001570EA">
              <w:t>4</w:t>
            </w:r>
          </w:p>
        </w:tc>
      </w:tr>
      <w:tr w:rsidR="00C71CAA" w:rsidRPr="001570EA" w14:paraId="5E477699" w14:textId="77777777">
        <w:tc>
          <w:tcPr>
            <w:tcW w:w="4050" w:type="dxa"/>
          </w:tcPr>
          <w:p w14:paraId="4BF063AF" w14:textId="7B5707F2" w:rsidR="00C71CAA" w:rsidRPr="001570EA" w:rsidRDefault="00C71CAA">
            <w:pPr>
              <w:pStyle w:val="TableCell"/>
              <w:keepNext w:val="0"/>
              <w:spacing w:before="60" w:after="60"/>
              <w:jc w:val="left"/>
              <w:rPr>
                <w:color w:val="000000"/>
              </w:rPr>
            </w:pPr>
            <w:r w:rsidRPr="001570EA">
              <w:rPr>
                <w:rFonts w:ascii="Cambria Math" w:hAnsi="Cambria Math"/>
                <w:i/>
                <w:color w:val="000000"/>
              </w:rPr>
              <w:t>ISR</w:t>
            </w:r>
            <w:r w:rsidRPr="001570EA">
              <w:rPr>
                <w:color w:val="000000"/>
              </w:rPr>
              <w:t>, In-Service Rate</w:t>
            </w:r>
          </w:p>
        </w:tc>
        <w:tc>
          <w:tcPr>
            <w:tcW w:w="1237" w:type="dxa"/>
          </w:tcPr>
          <w:p w14:paraId="602D1474" w14:textId="77777777" w:rsidR="00C71CAA" w:rsidRPr="001570EA" w:rsidRDefault="00C71CAA">
            <w:pPr>
              <w:pStyle w:val="TableCell"/>
              <w:keepNext w:val="0"/>
              <w:spacing w:before="60" w:after="60"/>
              <w:jc w:val="center"/>
              <w:rPr>
                <w:i/>
              </w:rPr>
            </w:pPr>
            <w:r w:rsidRPr="001570EA">
              <w:rPr>
                <w:i/>
              </w:rPr>
              <w:t>%</w:t>
            </w:r>
          </w:p>
        </w:tc>
        <w:tc>
          <w:tcPr>
            <w:tcW w:w="2250" w:type="dxa"/>
          </w:tcPr>
          <w:p w14:paraId="3C7684DA" w14:textId="77777777" w:rsidR="00C71CAA" w:rsidRPr="001570EA" w:rsidRDefault="00C71CAA">
            <w:pPr>
              <w:pStyle w:val="TableCell"/>
              <w:keepNext w:val="0"/>
              <w:spacing w:before="60" w:after="60"/>
              <w:jc w:val="center"/>
              <w:rPr>
                <w:color w:val="000000"/>
              </w:rPr>
            </w:pPr>
            <w:r w:rsidRPr="001570EA">
              <w:rPr>
                <w:color w:val="000000"/>
              </w:rPr>
              <w:t>EDC Data Gathering,</w:t>
            </w:r>
          </w:p>
          <w:p w14:paraId="29D36973" w14:textId="77777777" w:rsidR="00C71CAA" w:rsidRPr="001570EA" w:rsidRDefault="00C71CAA">
            <w:pPr>
              <w:pStyle w:val="TableCell"/>
              <w:keepNext w:val="0"/>
              <w:spacing w:before="60" w:after="60"/>
              <w:jc w:val="center"/>
            </w:pPr>
            <w:r w:rsidRPr="001570EA">
              <w:t>Kit Delivery Default: 26%</w:t>
            </w:r>
          </w:p>
          <w:p w14:paraId="2E813AD8" w14:textId="77777777" w:rsidR="00C71CAA" w:rsidRPr="001570EA" w:rsidRDefault="00C71CAA">
            <w:pPr>
              <w:pStyle w:val="TableCell"/>
              <w:keepNext w:val="0"/>
              <w:spacing w:before="60" w:after="60"/>
              <w:jc w:val="center"/>
            </w:pPr>
            <w:r w:rsidRPr="001570EA">
              <w:t>Direct Install Default: 100%</w:t>
            </w:r>
          </w:p>
        </w:tc>
        <w:tc>
          <w:tcPr>
            <w:tcW w:w="1080" w:type="dxa"/>
          </w:tcPr>
          <w:p w14:paraId="2EBB30AF" w14:textId="77777777" w:rsidR="00C71CAA" w:rsidRPr="001570EA" w:rsidRDefault="00C71CAA">
            <w:pPr>
              <w:pStyle w:val="TableCell"/>
              <w:keepNext w:val="0"/>
              <w:spacing w:before="60" w:after="60"/>
              <w:jc w:val="center"/>
            </w:pPr>
            <w:r w:rsidRPr="001570EA">
              <w:rPr>
                <w:color w:val="000000"/>
              </w:rPr>
              <w:t>10</w:t>
            </w:r>
          </w:p>
        </w:tc>
      </w:tr>
      <w:tr w:rsidR="00C71CAA" w:rsidRPr="001570EA" w14:paraId="607EE079" w14:textId="77777777">
        <w:tc>
          <w:tcPr>
            <w:tcW w:w="4050" w:type="dxa"/>
          </w:tcPr>
          <w:p w14:paraId="769DC14B" w14:textId="54D8D197" w:rsidR="00C71CAA" w:rsidRPr="001570EA" w:rsidRDefault="00C71CAA">
            <w:pPr>
              <w:pStyle w:val="TableCell"/>
              <w:keepNext w:val="0"/>
              <w:spacing w:before="60" w:after="60"/>
              <w:jc w:val="left"/>
              <w:rPr>
                <w:color w:val="000000"/>
              </w:rPr>
            </w:pPr>
            <w:r w:rsidRPr="001570EA">
              <w:rPr>
                <w:rFonts w:ascii="Cambria Math" w:hAnsi="Cambria Math"/>
                <w:i/>
                <w:color w:val="000000"/>
              </w:rPr>
              <w:t>ELEC</w:t>
            </w:r>
            <w:r w:rsidRPr="001570EA">
              <w:rPr>
                <w:color w:val="000000"/>
              </w:rPr>
              <w:t>, Percentage of homes with electric water heat</w:t>
            </w:r>
          </w:p>
        </w:tc>
        <w:tc>
          <w:tcPr>
            <w:tcW w:w="1237" w:type="dxa"/>
          </w:tcPr>
          <w:p w14:paraId="1D0D41CD" w14:textId="77777777" w:rsidR="00C71CAA" w:rsidRPr="001570EA" w:rsidRDefault="00C71CAA">
            <w:pPr>
              <w:pStyle w:val="TableCell"/>
              <w:keepNext w:val="0"/>
              <w:spacing w:before="60" w:after="60"/>
              <w:jc w:val="center"/>
              <w:rPr>
                <w:i/>
              </w:rPr>
            </w:pPr>
            <w:r w:rsidRPr="001570EA">
              <w:rPr>
                <w:i/>
              </w:rPr>
              <w:t>%</w:t>
            </w:r>
          </w:p>
        </w:tc>
        <w:tc>
          <w:tcPr>
            <w:tcW w:w="2250" w:type="dxa"/>
          </w:tcPr>
          <w:p w14:paraId="20A20A26" w14:textId="77777777" w:rsidR="00C71CAA" w:rsidRPr="001570EA" w:rsidRDefault="00C71CAA">
            <w:pPr>
              <w:pStyle w:val="TableCell"/>
              <w:keepNext w:val="0"/>
              <w:spacing w:before="60" w:after="60"/>
              <w:jc w:val="center"/>
              <w:rPr>
                <w:color w:val="000000"/>
              </w:rPr>
            </w:pPr>
            <w:r w:rsidRPr="001570EA">
              <w:rPr>
                <w:color w:val="000000"/>
              </w:rPr>
              <w:t>Default: Unknown=47%</w:t>
            </w:r>
          </w:p>
          <w:p w14:paraId="036C21E2" w14:textId="77777777" w:rsidR="00C71CAA" w:rsidRPr="001570EA" w:rsidRDefault="00C71CAA">
            <w:pPr>
              <w:pStyle w:val="TableCell"/>
              <w:keepNext w:val="0"/>
              <w:spacing w:before="60" w:after="60"/>
              <w:jc w:val="center"/>
              <w:rPr>
                <w:color w:val="000000"/>
              </w:rPr>
            </w:pPr>
            <w:r w:rsidRPr="001570EA">
              <w:rPr>
                <w:color w:val="000000"/>
              </w:rPr>
              <w:t>Or EDC Data Gathering:</w:t>
            </w:r>
          </w:p>
          <w:p w14:paraId="665C98EA" w14:textId="77777777" w:rsidR="00C71CAA" w:rsidRPr="001570EA" w:rsidRDefault="00C71CAA">
            <w:pPr>
              <w:pStyle w:val="TableCell"/>
              <w:keepNext w:val="0"/>
              <w:spacing w:before="60" w:after="60"/>
              <w:jc w:val="center"/>
              <w:rPr>
                <w:color w:val="000000"/>
              </w:rPr>
            </w:pPr>
            <w:r w:rsidRPr="001570EA">
              <w:rPr>
                <w:color w:val="000000"/>
              </w:rPr>
              <w:t>Electric = 100%</w:t>
            </w:r>
          </w:p>
          <w:p w14:paraId="09634398" w14:textId="77777777" w:rsidR="00C71CAA" w:rsidRPr="001570EA" w:rsidRDefault="00C71CAA">
            <w:pPr>
              <w:pStyle w:val="TableCell"/>
              <w:keepNext w:val="0"/>
              <w:spacing w:before="60" w:after="60"/>
              <w:jc w:val="center"/>
              <w:rPr>
                <w:color w:val="000000"/>
              </w:rPr>
            </w:pPr>
            <w:r w:rsidRPr="001570EA">
              <w:rPr>
                <w:color w:val="000000"/>
              </w:rPr>
              <w:t>Fossil Fuel = 0%</w:t>
            </w:r>
          </w:p>
        </w:tc>
        <w:tc>
          <w:tcPr>
            <w:tcW w:w="1080" w:type="dxa"/>
          </w:tcPr>
          <w:p w14:paraId="4024D7FD" w14:textId="77777777" w:rsidR="00C71CAA" w:rsidRPr="001570EA" w:rsidRDefault="00C71CAA">
            <w:pPr>
              <w:pStyle w:val="TableCell"/>
              <w:keepNext w:val="0"/>
              <w:spacing w:before="60" w:after="60"/>
              <w:jc w:val="center"/>
              <w:rPr>
                <w:color w:val="000000"/>
              </w:rPr>
            </w:pPr>
            <w:r w:rsidRPr="001570EA">
              <w:rPr>
                <w:color w:val="000000"/>
              </w:rPr>
              <w:t>4</w:t>
            </w:r>
          </w:p>
        </w:tc>
      </w:tr>
      <w:tr w:rsidR="00C71CAA" w:rsidRPr="001570EA" w14:paraId="0ADF809A" w14:textId="77777777">
        <w:tc>
          <w:tcPr>
            <w:tcW w:w="4050" w:type="dxa"/>
          </w:tcPr>
          <w:p w14:paraId="7E765A72" w14:textId="77777777" w:rsidR="00C71CAA" w:rsidRPr="001570EA" w:rsidRDefault="00C71CAA">
            <w:pPr>
              <w:pStyle w:val="TableCell"/>
              <w:keepNext w:val="0"/>
              <w:spacing w:before="60" w:after="60"/>
              <w:jc w:val="left"/>
              <w:rPr>
                <w:rFonts w:ascii="Cambria Math" w:hAnsi="Cambria Math"/>
                <w:i/>
                <w:color w:val="000000"/>
              </w:rPr>
            </w:pPr>
            <w:r w:rsidRPr="001570EA">
              <w:rPr>
                <w:rFonts w:ascii="Cambria Math" w:hAnsi="Cambria Math"/>
                <w:i/>
              </w:rPr>
              <w:t>ETDF</w:t>
            </w:r>
            <w:r w:rsidRPr="001570EA">
              <w:rPr>
                <w:rFonts w:ascii="Cambria Math" w:hAnsi="Cambria Math"/>
                <w:i/>
                <w:vertAlign w:val="subscript"/>
              </w:rPr>
              <w:t>s</w:t>
            </w:r>
            <w:r w:rsidRPr="001570EA">
              <w:t>, Summer Energy to Demand Factor</w:t>
            </w:r>
          </w:p>
        </w:tc>
        <w:tc>
          <w:tcPr>
            <w:tcW w:w="1237" w:type="dxa"/>
            <w:vAlign w:val="center"/>
          </w:tcPr>
          <w:p w14:paraId="1D78B51D" w14:textId="77777777" w:rsidR="00C71CAA" w:rsidRPr="001570EA" w:rsidRDefault="003B5E04">
            <w:pPr>
              <w:pStyle w:val="TableCell"/>
              <w:keepNext w:val="0"/>
              <w:spacing w:before="60" w:after="60"/>
              <w:jc w:val="center"/>
              <w:rPr>
                <w:i/>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250" w:type="dxa"/>
          </w:tcPr>
          <w:p w14:paraId="3AC8CA04" w14:textId="77777777" w:rsidR="00C71CAA" w:rsidRPr="001570EA" w:rsidRDefault="00C71CAA">
            <w:pPr>
              <w:pStyle w:val="TableCell"/>
              <w:spacing w:before="60" w:after="60"/>
              <w:jc w:val="center"/>
            </w:pPr>
            <w:r w:rsidRPr="001570EA">
              <w:t>SF: 0.0001057</w:t>
            </w:r>
          </w:p>
          <w:p w14:paraId="43FAC2EF" w14:textId="77777777" w:rsidR="00C71CAA" w:rsidRPr="001570EA" w:rsidRDefault="00C71CAA">
            <w:pPr>
              <w:pStyle w:val="TableCell"/>
              <w:spacing w:before="60" w:after="60"/>
              <w:jc w:val="center"/>
            </w:pPr>
            <w:r w:rsidRPr="001570EA">
              <w:t>MF: 0.0001006</w:t>
            </w:r>
          </w:p>
          <w:p w14:paraId="06152F9B" w14:textId="77777777" w:rsidR="00C71CAA" w:rsidRPr="001570EA" w:rsidRDefault="00C71CAA">
            <w:pPr>
              <w:pStyle w:val="TableCell"/>
              <w:spacing w:before="60" w:after="60"/>
              <w:jc w:val="center"/>
              <w:rPr>
                <w:rFonts w:ascii="Calibri" w:hAnsi="Calibri" w:cs="Calibri"/>
                <w:b/>
                <w:bCs/>
                <w:color w:val="000000"/>
                <w:sz w:val="22"/>
                <w:szCs w:val="22"/>
              </w:rPr>
            </w:pPr>
            <w:r w:rsidRPr="001570EA">
              <w:t>Unknown: 0.0001046</w:t>
            </w:r>
          </w:p>
          <w:p w14:paraId="75D00C8C" w14:textId="77777777" w:rsidR="00C71CAA" w:rsidRPr="001570EA" w:rsidRDefault="00C71CAA">
            <w:pPr>
              <w:pStyle w:val="TableCell"/>
              <w:keepNext w:val="0"/>
              <w:spacing w:before="60" w:after="60"/>
              <w:jc w:val="center"/>
              <w:rPr>
                <w:color w:val="000000"/>
              </w:rPr>
            </w:pPr>
          </w:p>
        </w:tc>
        <w:tc>
          <w:tcPr>
            <w:tcW w:w="1080" w:type="dxa"/>
          </w:tcPr>
          <w:p w14:paraId="497E3C63" w14:textId="77777777" w:rsidR="00C71CAA" w:rsidRPr="001570EA" w:rsidRDefault="00C71CAA">
            <w:pPr>
              <w:pStyle w:val="TableCell"/>
              <w:keepNext w:val="0"/>
              <w:spacing w:before="60" w:after="60"/>
              <w:jc w:val="center"/>
              <w:rPr>
                <w:color w:val="000000"/>
              </w:rPr>
            </w:pPr>
            <w:r w:rsidRPr="001570EA">
              <w:t>11</w:t>
            </w:r>
          </w:p>
        </w:tc>
      </w:tr>
      <w:tr w:rsidR="00C71CAA" w:rsidRPr="001570EA" w14:paraId="5E652262" w14:textId="77777777">
        <w:tc>
          <w:tcPr>
            <w:tcW w:w="4050" w:type="dxa"/>
          </w:tcPr>
          <w:p w14:paraId="3B55573B" w14:textId="77777777" w:rsidR="00C71CAA" w:rsidRPr="001570EA" w:rsidRDefault="00C71CAA">
            <w:pPr>
              <w:pStyle w:val="TableCell"/>
              <w:keepNext w:val="0"/>
              <w:spacing w:before="60" w:after="60"/>
              <w:jc w:val="left"/>
              <w:rPr>
                <w:rFonts w:ascii="Cambria Math" w:hAnsi="Cambria Math"/>
                <w:i/>
                <w:color w:val="000000"/>
              </w:rPr>
            </w:pPr>
            <w:r w:rsidRPr="001570EA">
              <w:rPr>
                <w:rFonts w:ascii="Cambria Math" w:hAnsi="Cambria Math"/>
                <w:i/>
              </w:rPr>
              <w:t>ETDF</w:t>
            </w:r>
            <w:r w:rsidRPr="001570EA">
              <w:rPr>
                <w:rFonts w:ascii="Cambria Math" w:hAnsi="Cambria Math"/>
                <w:i/>
                <w:vertAlign w:val="subscript"/>
              </w:rPr>
              <w:t>w</w:t>
            </w:r>
            <w:r w:rsidRPr="001570EA">
              <w:rPr>
                <w:i/>
              </w:rPr>
              <w:t xml:space="preserve">, </w:t>
            </w:r>
            <w:r w:rsidRPr="001570EA">
              <w:t>Winter</w:t>
            </w:r>
            <w:r w:rsidRPr="001570EA">
              <w:rPr>
                <w:i/>
              </w:rPr>
              <w:t xml:space="preserve"> </w:t>
            </w:r>
            <w:r w:rsidRPr="001570EA">
              <w:t>Energy to Demand Factor</w:t>
            </w:r>
          </w:p>
        </w:tc>
        <w:tc>
          <w:tcPr>
            <w:tcW w:w="1237" w:type="dxa"/>
            <w:vAlign w:val="center"/>
          </w:tcPr>
          <w:p w14:paraId="5400509E" w14:textId="77777777" w:rsidR="00C71CAA" w:rsidRPr="001570EA" w:rsidRDefault="003B5E04">
            <w:pPr>
              <w:pStyle w:val="TableCell"/>
              <w:keepNext w:val="0"/>
              <w:spacing w:before="60" w:after="60"/>
              <w:jc w:val="center"/>
              <w:rPr>
                <w:i/>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250" w:type="dxa"/>
          </w:tcPr>
          <w:p w14:paraId="2B21A39A" w14:textId="77777777" w:rsidR="00C71CAA" w:rsidRPr="001570EA" w:rsidRDefault="00C71CAA">
            <w:pPr>
              <w:pStyle w:val="TableCell"/>
              <w:keepNext w:val="0"/>
              <w:spacing w:before="60" w:after="60"/>
              <w:jc w:val="center"/>
            </w:pPr>
            <w:r w:rsidRPr="001570EA">
              <w:t>SF: 0.0001761</w:t>
            </w:r>
          </w:p>
          <w:p w14:paraId="448E1B7E" w14:textId="77777777" w:rsidR="00C71CAA" w:rsidRPr="001570EA" w:rsidRDefault="00C71CAA">
            <w:pPr>
              <w:pStyle w:val="TableCell"/>
              <w:keepNext w:val="0"/>
              <w:spacing w:before="60" w:after="60"/>
              <w:jc w:val="center"/>
            </w:pPr>
            <w:r w:rsidRPr="001570EA">
              <w:t>MF: 0.0001733</w:t>
            </w:r>
          </w:p>
          <w:p w14:paraId="1AC194BB" w14:textId="77777777" w:rsidR="00C71CAA" w:rsidRPr="001570EA" w:rsidRDefault="00C71CAA">
            <w:pPr>
              <w:pStyle w:val="TableCell"/>
              <w:keepNext w:val="0"/>
              <w:spacing w:before="60" w:after="60"/>
              <w:jc w:val="center"/>
              <w:rPr>
                <w:color w:val="000000"/>
              </w:rPr>
            </w:pPr>
            <w:r w:rsidRPr="001570EA">
              <w:t>Unknown: 0.0001755</w:t>
            </w:r>
          </w:p>
        </w:tc>
        <w:tc>
          <w:tcPr>
            <w:tcW w:w="1080" w:type="dxa"/>
          </w:tcPr>
          <w:p w14:paraId="0F738940" w14:textId="77777777" w:rsidR="00C71CAA" w:rsidRPr="001570EA" w:rsidRDefault="00C71CAA">
            <w:pPr>
              <w:pStyle w:val="TableCell"/>
              <w:keepNext w:val="0"/>
              <w:spacing w:before="60" w:after="60"/>
              <w:jc w:val="center"/>
              <w:rPr>
                <w:color w:val="000000"/>
              </w:rPr>
            </w:pPr>
            <w:r w:rsidRPr="001570EA">
              <w:t>11</w:t>
            </w:r>
          </w:p>
        </w:tc>
      </w:tr>
    </w:tbl>
    <w:p w14:paraId="68E4E40A" w14:textId="77777777" w:rsidR="00C71CAA" w:rsidRPr="001570EA" w:rsidRDefault="00C71CAA" w:rsidP="00C71CAA">
      <w:pPr>
        <w:rPr>
          <w:rFonts w:eastAsia="Calibri"/>
          <w:b/>
        </w:rPr>
      </w:pPr>
    </w:p>
    <w:p w14:paraId="300D36B0" w14:textId="17DC59A0" w:rsidR="00C71CAA" w:rsidRPr="001570EA" w:rsidRDefault="00C71CAA" w:rsidP="00C71CAA">
      <w:pPr>
        <w:pStyle w:val="Caption"/>
      </w:pPr>
      <w:bookmarkStart w:id="482" w:name="_Ref533698302"/>
      <w:bookmarkStart w:id="483" w:name="_Toc47598304"/>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72</w:t>
      </w:r>
      <w:r w:rsidR="002E093A" w:rsidRPr="001570EA">
        <w:fldChar w:fldCharType="end"/>
      </w:r>
      <w:bookmarkEnd w:id="482"/>
      <w:r w:rsidRPr="001570EA">
        <w:t>: Average Number of Faucets per Home</w:t>
      </w:r>
      <w:bookmarkEnd w:id="483"/>
    </w:p>
    <w:tbl>
      <w:tblPr>
        <w:tblStyle w:val="TableGrid"/>
        <w:tblW w:w="0" w:type="auto"/>
        <w:tblInd w:w="115" w:type="dxa"/>
        <w:tblLook w:val="04A0" w:firstRow="1" w:lastRow="0" w:firstColumn="1" w:lastColumn="0" w:noHBand="0" w:noVBand="1"/>
      </w:tblPr>
      <w:tblGrid>
        <w:gridCol w:w="1345"/>
        <w:gridCol w:w="1415"/>
        <w:gridCol w:w="1327"/>
        <w:gridCol w:w="1026"/>
      </w:tblGrid>
      <w:tr w:rsidR="00C71CAA" w:rsidRPr="001570EA" w14:paraId="71540F84" w14:textId="77777777">
        <w:trPr>
          <w:trHeight w:val="283"/>
        </w:trPr>
        <w:tc>
          <w:tcPr>
            <w:tcW w:w="1345" w:type="dxa"/>
            <w:shd w:val="clear" w:color="auto" w:fill="BFBFBF" w:themeFill="background1" w:themeFillShade="BF"/>
            <w:vAlign w:val="center"/>
          </w:tcPr>
          <w:p w14:paraId="05F7DCBA" w14:textId="77777777" w:rsidR="00C71CAA" w:rsidRPr="001570EA" w:rsidRDefault="00C71CAA">
            <w:pPr>
              <w:pStyle w:val="NoSpacing"/>
              <w:spacing w:after="0"/>
              <w:jc w:val="center"/>
              <w:rPr>
                <w:b/>
                <w:sz w:val="18"/>
                <w:szCs w:val="18"/>
              </w:rPr>
            </w:pPr>
            <w:r w:rsidRPr="001570EA">
              <w:rPr>
                <w:b/>
                <w:sz w:val="18"/>
                <w:szCs w:val="18"/>
              </w:rPr>
              <w:t>Faucet Type</w:t>
            </w:r>
          </w:p>
        </w:tc>
        <w:tc>
          <w:tcPr>
            <w:tcW w:w="1415" w:type="dxa"/>
            <w:shd w:val="clear" w:color="auto" w:fill="BFBFBF" w:themeFill="background1" w:themeFillShade="BF"/>
            <w:vAlign w:val="center"/>
          </w:tcPr>
          <w:p w14:paraId="10DB766F" w14:textId="77777777" w:rsidR="00C71CAA" w:rsidRPr="001570EA" w:rsidRDefault="00C71CAA">
            <w:pPr>
              <w:pStyle w:val="NoSpacing"/>
              <w:spacing w:after="0"/>
              <w:jc w:val="center"/>
              <w:rPr>
                <w:b/>
                <w:sz w:val="18"/>
                <w:szCs w:val="18"/>
              </w:rPr>
            </w:pPr>
            <w:r w:rsidRPr="001570EA">
              <w:rPr>
                <w:b/>
                <w:sz w:val="18"/>
                <w:szCs w:val="18"/>
              </w:rPr>
              <w:t>Single-Family</w:t>
            </w:r>
          </w:p>
        </w:tc>
        <w:tc>
          <w:tcPr>
            <w:tcW w:w="1327" w:type="dxa"/>
            <w:shd w:val="clear" w:color="auto" w:fill="BFBFBF" w:themeFill="background1" w:themeFillShade="BF"/>
            <w:vAlign w:val="center"/>
          </w:tcPr>
          <w:p w14:paraId="4E5B2FE7" w14:textId="77777777" w:rsidR="00C71CAA" w:rsidRPr="001570EA" w:rsidRDefault="00C71CAA">
            <w:pPr>
              <w:pStyle w:val="NoSpacing"/>
              <w:spacing w:after="0"/>
              <w:jc w:val="center"/>
              <w:rPr>
                <w:b/>
                <w:sz w:val="18"/>
                <w:szCs w:val="18"/>
              </w:rPr>
            </w:pPr>
            <w:r w:rsidRPr="001570EA">
              <w:rPr>
                <w:b/>
                <w:sz w:val="18"/>
                <w:szCs w:val="18"/>
              </w:rPr>
              <w:t>Multifamily</w:t>
            </w:r>
          </w:p>
        </w:tc>
        <w:tc>
          <w:tcPr>
            <w:tcW w:w="1026" w:type="dxa"/>
            <w:shd w:val="clear" w:color="auto" w:fill="BFBFBF" w:themeFill="background1" w:themeFillShade="BF"/>
            <w:vAlign w:val="center"/>
          </w:tcPr>
          <w:p w14:paraId="1B4997DF" w14:textId="77777777" w:rsidR="00C71CAA" w:rsidRPr="001570EA" w:rsidRDefault="00C71CAA">
            <w:pPr>
              <w:pStyle w:val="NoSpacing"/>
              <w:spacing w:after="0"/>
              <w:jc w:val="center"/>
              <w:rPr>
                <w:b/>
                <w:sz w:val="18"/>
                <w:szCs w:val="18"/>
              </w:rPr>
            </w:pPr>
            <w:r w:rsidRPr="001570EA">
              <w:rPr>
                <w:b/>
                <w:sz w:val="18"/>
                <w:szCs w:val="18"/>
              </w:rPr>
              <w:t>Unknown</w:t>
            </w:r>
          </w:p>
        </w:tc>
      </w:tr>
      <w:tr w:rsidR="00C71CAA" w:rsidRPr="001570EA" w14:paraId="68B8904B" w14:textId="77777777">
        <w:trPr>
          <w:trHeight w:val="283"/>
        </w:trPr>
        <w:tc>
          <w:tcPr>
            <w:tcW w:w="1345" w:type="dxa"/>
            <w:vAlign w:val="center"/>
          </w:tcPr>
          <w:p w14:paraId="40E41C0F" w14:textId="77777777" w:rsidR="00C71CAA" w:rsidRPr="001570EA" w:rsidRDefault="00C71CAA">
            <w:pPr>
              <w:pStyle w:val="NoSpacing"/>
              <w:spacing w:after="0"/>
              <w:jc w:val="center"/>
              <w:rPr>
                <w:sz w:val="18"/>
                <w:szCs w:val="18"/>
              </w:rPr>
            </w:pPr>
            <w:r w:rsidRPr="001570EA">
              <w:rPr>
                <w:sz w:val="18"/>
                <w:szCs w:val="18"/>
              </w:rPr>
              <w:t>Kitchen</w:t>
            </w:r>
          </w:p>
        </w:tc>
        <w:tc>
          <w:tcPr>
            <w:tcW w:w="1415" w:type="dxa"/>
            <w:vAlign w:val="center"/>
          </w:tcPr>
          <w:p w14:paraId="0A1554E0" w14:textId="77777777" w:rsidR="00C71CAA" w:rsidRPr="001570EA" w:rsidRDefault="00C71CAA">
            <w:pPr>
              <w:pStyle w:val="NoSpacing"/>
              <w:spacing w:after="0"/>
              <w:jc w:val="center"/>
              <w:rPr>
                <w:sz w:val="18"/>
                <w:szCs w:val="18"/>
              </w:rPr>
            </w:pPr>
            <w:r w:rsidRPr="001570EA">
              <w:rPr>
                <w:sz w:val="18"/>
                <w:szCs w:val="18"/>
              </w:rPr>
              <w:t>1.2</w:t>
            </w:r>
          </w:p>
        </w:tc>
        <w:tc>
          <w:tcPr>
            <w:tcW w:w="1327" w:type="dxa"/>
            <w:vAlign w:val="center"/>
          </w:tcPr>
          <w:p w14:paraId="6F65DEA7" w14:textId="77777777" w:rsidR="00C71CAA" w:rsidRPr="001570EA" w:rsidRDefault="00C71CAA">
            <w:pPr>
              <w:pStyle w:val="NoSpacing"/>
              <w:spacing w:after="0"/>
              <w:jc w:val="center"/>
              <w:rPr>
                <w:sz w:val="18"/>
                <w:szCs w:val="18"/>
              </w:rPr>
            </w:pPr>
            <w:r w:rsidRPr="001570EA">
              <w:rPr>
                <w:sz w:val="18"/>
                <w:szCs w:val="18"/>
              </w:rPr>
              <w:t>1.1</w:t>
            </w:r>
          </w:p>
        </w:tc>
        <w:tc>
          <w:tcPr>
            <w:tcW w:w="1026" w:type="dxa"/>
            <w:vAlign w:val="center"/>
          </w:tcPr>
          <w:p w14:paraId="321B9F3C" w14:textId="77777777" w:rsidR="00C71CAA" w:rsidRPr="001570EA" w:rsidRDefault="00C71CAA">
            <w:pPr>
              <w:pStyle w:val="NoSpacing"/>
              <w:spacing w:after="0"/>
              <w:jc w:val="center"/>
              <w:rPr>
                <w:sz w:val="18"/>
                <w:szCs w:val="18"/>
              </w:rPr>
            </w:pPr>
            <w:r w:rsidRPr="001570EA">
              <w:rPr>
                <w:sz w:val="18"/>
                <w:szCs w:val="18"/>
              </w:rPr>
              <w:t>1.2</w:t>
            </w:r>
          </w:p>
        </w:tc>
      </w:tr>
      <w:tr w:rsidR="00C71CAA" w:rsidRPr="001570EA" w14:paraId="588280A2" w14:textId="77777777">
        <w:trPr>
          <w:trHeight w:val="283"/>
        </w:trPr>
        <w:tc>
          <w:tcPr>
            <w:tcW w:w="1345" w:type="dxa"/>
            <w:vAlign w:val="center"/>
          </w:tcPr>
          <w:p w14:paraId="0B8482BD" w14:textId="77777777" w:rsidR="00C71CAA" w:rsidRPr="001570EA" w:rsidRDefault="00C71CAA">
            <w:pPr>
              <w:pStyle w:val="NoSpacing"/>
              <w:spacing w:after="0"/>
              <w:jc w:val="center"/>
              <w:rPr>
                <w:sz w:val="18"/>
                <w:szCs w:val="18"/>
              </w:rPr>
            </w:pPr>
            <w:r w:rsidRPr="001570EA">
              <w:rPr>
                <w:sz w:val="18"/>
                <w:szCs w:val="18"/>
              </w:rPr>
              <w:t>Bathroom</w:t>
            </w:r>
          </w:p>
        </w:tc>
        <w:tc>
          <w:tcPr>
            <w:tcW w:w="1415" w:type="dxa"/>
            <w:vAlign w:val="center"/>
          </w:tcPr>
          <w:p w14:paraId="759838F1" w14:textId="77777777" w:rsidR="00C71CAA" w:rsidRPr="001570EA" w:rsidRDefault="00C71CAA">
            <w:pPr>
              <w:pStyle w:val="NoSpacing"/>
              <w:spacing w:after="0"/>
              <w:jc w:val="center"/>
              <w:rPr>
                <w:sz w:val="18"/>
                <w:szCs w:val="18"/>
              </w:rPr>
            </w:pPr>
            <w:r w:rsidRPr="001570EA">
              <w:rPr>
                <w:sz w:val="18"/>
                <w:szCs w:val="18"/>
              </w:rPr>
              <w:t>2.6</w:t>
            </w:r>
          </w:p>
        </w:tc>
        <w:tc>
          <w:tcPr>
            <w:tcW w:w="1327" w:type="dxa"/>
            <w:vAlign w:val="center"/>
          </w:tcPr>
          <w:p w14:paraId="6BCD5CCD" w14:textId="77777777" w:rsidR="00C71CAA" w:rsidRPr="001570EA" w:rsidRDefault="00C71CAA">
            <w:pPr>
              <w:pStyle w:val="NoSpacing"/>
              <w:spacing w:after="0"/>
              <w:jc w:val="center"/>
              <w:rPr>
                <w:sz w:val="18"/>
                <w:szCs w:val="18"/>
              </w:rPr>
            </w:pPr>
            <w:r w:rsidRPr="001570EA">
              <w:rPr>
                <w:sz w:val="18"/>
                <w:szCs w:val="18"/>
              </w:rPr>
              <w:t>1.4</w:t>
            </w:r>
          </w:p>
        </w:tc>
        <w:tc>
          <w:tcPr>
            <w:tcW w:w="1026" w:type="dxa"/>
            <w:vAlign w:val="center"/>
          </w:tcPr>
          <w:p w14:paraId="406E0A00" w14:textId="77777777" w:rsidR="00C71CAA" w:rsidRPr="001570EA" w:rsidRDefault="00C71CAA">
            <w:pPr>
              <w:pStyle w:val="NoSpacing"/>
              <w:spacing w:after="0"/>
              <w:jc w:val="center"/>
              <w:rPr>
                <w:sz w:val="18"/>
                <w:szCs w:val="18"/>
              </w:rPr>
            </w:pPr>
            <w:r w:rsidRPr="001570EA">
              <w:rPr>
                <w:sz w:val="18"/>
                <w:szCs w:val="18"/>
              </w:rPr>
              <w:t>2.0</w:t>
            </w:r>
          </w:p>
        </w:tc>
      </w:tr>
      <w:tr w:rsidR="00C71CAA" w:rsidRPr="001570EA" w14:paraId="7DCD3922" w14:textId="77777777">
        <w:trPr>
          <w:trHeight w:val="283"/>
        </w:trPr>
        <w:tc>
          <w:tcPr>
            <w:tcW w:w="1345" w:type="dxa"/>
            <w:vAlign w:val="center"/>
          </w:tcPr>
          <w:p w14:paraId="218DB081" w14:textId="77777777" w:rsidR="00C71CAA" w:rsidRPr="001570EA" w:rsidRDefault="00C71CAA">
            <w:pPr>
              <w:pStyle w:val="NoSpacing"/>
              <w:spacing w:after="0"/>
              <w:jc w:val="center"/>
              <w:rPr>
                <w:sz w:val="18"/>
                <w:szCs w:val="18"/>
              </w:rPr>
            </w:pPr>
            <w:r w:rsidRPr="001570EA">
              <w:rPr>
                <w:sz w:val="18"/>
                <w:szCs w:val="18"/>
              </w:rPr>
              <w:t>Unknown</w:t>
            </w:r>
          </w:p>
        </w:tc>
        <w:tc>
          <w:tcPr>
            <w:tcW w:w="1415" w:type="dxa"/>
            <w:vAlign w:val="center"/>
          </w:tcPr>
          <w:p w14:paraId="53B8FCAF" w14:textId="77777777" w:rsidR="00C71CAA" w:rsidRPr="001570EA" w:rsidRDefault="00C71CAA">
            <w:pPr>
              <w:pStyle w:val="NoSpacing"/>
              <w:spacing w:after="0"/>
              <w:jc w:val="center"/>
              <w:rPr>
                <w:sz w:val="18"/>
                <w:szCs w:val="18"/>
              </w:rPr>
            </w:pPr>
            <w:r w:rsidRPr="001570EA">
              <w:rPr>
                <w:sz w:val="18"/>
                <w:szCs w:val="18"/>
              </w:rPr>
              <w:t>1.9</w:t>
            </w:r>
          </w:p>
        </w:tc>
        <w:tc>
          <w:tcPr>
            <w:tcW w:w="1327" w:type="dxa"/>
            <w:vAlign w:val="center"/>
          </w:tcPr>
          <w:p w14:paraId="7AC2ABC6" w14:textId="77777777" w:rsidR="00C71CAA" w:rsidRPr="001570EA" w:rsidRDefault="00C71CAA">
            <w:pPr>
              <w:pStyle w:val="NoSpacing"/>
              <w:spacing w:after="0"/>
              <w:jc w:val="center"/>
              <w:rPr>
                <w:sz w:val="18"/>
                <w:szCs w:val="18"/>
              </w:rPr>
            </w:pPr>
            <w:r w:rsidRPr="001570EA">
              <w:rPr>
                <w:sz w:val="18"/>
                <w:szCs w:val="18"/>
              </w:rPr>
              <w:t>1.2</w:t>
            </w:r>
          </w:p>
        </w:tc>
        <w:tc>
          <w:tcPr>
            <w:tcW w:w="1026" w:type="dxa"/>
            <w:vAlign w:val="center"/>
          </w:tcPr>
          <w:p w14:paraId="1944C1D8" w14:textId="77777777" w:rsidR="00C71CAA" w:rsidRPr="001570EA" w:rsidRDefault="00C71CAA">
            <w:pPr>
              <w:pStyle w:val="NoSpacing"/>
              <w:spacing w:after="0"/>
              <w:jc w:val="center"/>
              <w:rPr>
                <w:sz w:val="18"/>
                <w:szCs w:val="18"/>
              </w:rPr>
            </w:pPr>
            <w:r w:rsidRPr="001570EA">
              <w:rPr>
                <w:sz w:val="18"/>
                <w:szCs w:val="18"/>
              </w:rPr>
              <w:t>1.7</w:t>
            </w:r>
          </w:p>
        </w:tc>
      </w:tr>
    </w:tbl>
    <w:p w14:paraId="4515B9FF" w14:textId="77777777" w:rsidR="00C71CAA" w:rsidRPr="001570EA" w:rsidRDefault="00C71CAA" w:rsidP="00C71CAA">
      <w:pPr>
        <w:pStyle w:val="SubStyle"/>
      </w:pPr>
    </w:p>
    <w:p w14:paraId="6D8D5429" w14:textId="77777777" w:rsidR="00C71CAA" w:rsidRPr="001570EA" w:rsidRDefault="00C71CAA" w:rsidP="00C71CAA">
      <w:pPr>
        <w:pStyle w:val="SubStyle"/>
      </w:pPr>
      <w:r w:rsidRPr="001570EA">
        <w:t>Evaluation Protocols</w:t>
      </w:r>
    </w:p>
    <w:p w14:paraId="61E291A4" w14:textId="77777777" w:rsidR="00C71CAA" w:rsidRPr="001570EA" w:rsidRDefault="00C71CAA" w:rsidP="00C71CAA">
      <w:pPr>
        <w:pStyle w:val="BodyText"/>
        <w:ind w:right="0"/>
      </w:pPr>
      <w:r w:rsidRPr="001570EA">
        <w:t xml:space="preserve">The most appropriate evaluation protocol for this measure is verification of installation coupled with EDC Data Gathering.  </w:t>
      </w:r>
    </w:p>
    <w:p w14:paraId="4BFA3E62" w14:textId="77777777" w:rsidR="00C71CAA" w:rsidRPr="001570EA" w:rsidRDefault="00C71CAA" w:rsidP="00C71CAA"/>
    <w:p w14:paraId="5A380E77" w14:textId="77777777" w:rsidR="00C71CAA" w:rsidRPr="001570EA" w:rsidRDefault="00C71CAA" w:rsidP="00C71CAA">
      <w:pPr>
        <w:pStyle w:val="SubStyle"/>
      </w:pPr>
      <w:r w:rsidRPr="001570EA">
        <w:t>Sources</w:t>
      </w:r>
    </w:p>
    <w:p w14:paraId="338FD568" w14:textId="37274324" w:rsidR="00C71CAA" w:rsidRPr="001570EA" w:rsidRDefault="00C71CAA" w:rsidP="002614D2">
      <w:pPr>
        <w:pStyle w:val="ListParagraph"/>
        <w:numPr>
          <w:ilvl w:val="0"/>
          <w:numId w:val="22"/>
        </w:numPr>
        <w:spacing w:after="120"/>
        <w:ind w:left="360"/>
        <w:jc w:val="left"/>
        <w:rPr>
          <w:rFonts w:eastAsia="Arial" w:cs="Arial"/>
        </w:rPr>
      </w:pPr>
      <w:bookmarkStart w:id="484" w:name="_Ref525725659"/>
      <w:r w:rsidRPr="001570EA">
        <w:t xml:space="preserve">California Electronic Technical Reference Manual. “Faucet Aerator, Residential”. Accessed November 2023. </w:t>
      </w:r>
      <w:hyperlink r:id="rId175" w:history="1">
        <w:r w:rsidRPr="001570EA">
          <w:rPr>
            <w:rStyle w:val="Hyperlink"/>
          </w:rPr>
          <w:t>Weblink</w:t>
        </w:r>
      </w:hyperlink>
      <w:bookmarkEnd w:id="484"/>
    </w:p>
    <w:p w14:paraId="2FFAB905" w14:textId="65CA2038" w:rsidR="00C71CAA" w:rsidRPr="001570EA" w:rsidRDefault="00C71CAA" w:rsidP="002614D2">
      <w:pPr>
        <w:pStyle w:val="ListParagraph"/>
        <w:numPr>
          <w:ilvl w:val="0"/>
          <w:numId w:val="22"/>
        </w:numPr>
        <w:spacing w:after="120"/>
        <w:ind w:left="360"/>
        <w:rPr>
          <w:rFonts w:eastAsia="Arial" w:cs="Arial"/>
        </w:rPr>
      </w:pPr>
      <w:r w:rsidRPr="001570EA">
        <w:rPr>
          <w:rFonts w:eastAsia="Arial" w:cs="Arial"/>
        </w:rPr>
        <w:t xml:space="preserve">10 CFR 430.32(o). </w:t>
      </w:r>
      <w:hyperlink r:id="rId176" w:anchor="p-430.32(o)" w:history="1">
        <w:r w:rsidRPr="001570EA">
          <w:rPr>
            <w:rStyle w:val="Hyperlink"/>
            <w:rFonts w:eastAsia="Arial" w:cs="Arial"/>
          </w:rPr>
          <w:t>Weblink</w:t>
        </w:r>
      </w:hyperlink>
    </w:p>
    <w:p w14:paraId="4098BE2C" w14:textId="1CED5F4E" w:rsidR="00C71CAA" w:rsidRPr="001570EA" w:rsidDel="00595016" w:rsidRDefault="00C71CAA" w:rsidP="002614D2">
      <w:pPr>
        <w:pStyle w:val="source10"/>
        <w:numPr>
          <w:ilvl w:val="0"/>
          <w:numId w:val="22"/>
        </w:numPr>
        <w:spacing w:after="120"/>
        <w:ind w:left="360"/>
      </w:pPr>
      <w:r w:rsidRPr="001570EA" w:rsidDel="00595016">
        <w:t>Cadmus</w:t>
      </w:r>
      <w:r w:rsidRPr="001570EA">
        <w:t xml:space="preserve"> </w:t>
      </w:r>
      <w:r w:rsidRPr="001570EA" w:rsidDel="00595016">
        <w:t>and</w:t>
      </w:r>
      <w:r w:rsidRPr="001570EA">
        <w:t xml:space="preserve"> </w:t>
      </w:r>
      <w:r w:rsidRPr="001570EA" w:rsidDel="00595016">
        <w:t>Opinion</w:t>
      </w:r>
      <w:r w:rsidRPr="001570EA">
        <w:t xml:space="preserve"> </w:t>
      </w:r>
      <w:r w:rsidRPr="001570EA" w:rsidDel="00595016">
        <w:t>Dynamics</w:t>
      </w:r>
      <w:r w:rsidRPr="001570EA">
        <w:t xml:space="preserve"> </w:t>
      </w:r>
      <w:r w:rsidRPr="001570EA" w:rsidDel="00595016">
        <w:t>Evaluation</w:t>
      </w:r>
      <w:r w:rsidRPr="001570EA">
        <w:t xml:space="preserve"> </w:t>
      </w:r>
      <w:r w:rsidRPr="001570EA" w:rsidDel="00595016">
        <w:t>Team</w:t>
      </w:r>
      <w:r w:rsidRPr="001570EA">
        <w:t xml:space="preserve"> </w:t>
      </w:r>
      <w:r w:rsidRPr="001570EA" w:rsidDel="00595016">
        <w:t>for</w:t>
      </w:r>
      <w:r w:rsidRPr="001570EA">
        <w:t xml:space="preserve"> </w:t>
      </w:r>
      <w:r w:rsidRPr="001570EA" w:rsidDel="00595016">
        <w:t>Michigan</w:t>
      </w:r>
      <w:r w:rsidRPr="001570EA">
        <w:t xml:space="preserve"> </w:t>
      </w:r>
      <w:r w:rsidRPr="001570EA" w:rsidDel="00595016">
        <w:t>Evaluation</w:t>
      </w:r>
      <w:r w:rsidRPr="001570EA">
        <w:t xml:space="preserve"> </w:t>
      </w:r>
      <w:r w:rsidRPr="001570EA" w:rsidDel="00595016">
        <w:t>Working</w:t>
      </w:r>
      <w:r w:rsidRPr="001570EA">
        <w:t xml:space="preserve"> </w:t>
      </w:r>
      <w:r w:rsidRPr="001570EA" w:rsidDel="00595016">
        <w:t>Group.</w:t>
      </w:r>
      <w:r w:rsidRPr="001570EA">
        <w:t xml:space="preserve"> (2013, June). </w:t>
      </w:r>
      <w:r w:rsidRPr="001570EA" w:rsidDel="00595016">
        <w:rPr>
          <w:iCs/>
        </w:rPr>
        <w:t>Showerhead</w:t>
      </w:r>
      <w:r w:rsidRPr="001570EA">
        <w:rPr>
          <w:iCs/>
        </w:rPr>
        <w:t xml:space="preserve"> </w:t>
      </w:r>
      <w:r w:rsidRPr="001570EA" w:rsidDel="00595016">
        <w:rPr>
          <w:iCs/>
        </w:rPr>
        <w:t>and</w:t>
      </w:r>
      <w:r w:rsidRPr="001570EA">
        <w:rPr>
          <w:iCs/>
        </w:rPr>
        <w:t xml:space="preserve"> </w:t>
      </w:r>
      <w:r w:rsidRPr="001570EA" w:rsidDel="00595016">
        <w:rPr>
          <w:iCs/>
        </w:rPr>
        <w:t>Faucet</w:t>
      </w:r>
      <w:r w:rsidRPr="001570EA">
        <w:rPr>
          <w:iCs/>
        </w:rPr>
        <w:t xml:space="preserve"> </w:t>
      </w:r>
      <w:r w:rsidRPr="001570EA" w:rsidDel="00595016">
        <w:rPr>
          <w:iCs/>
        </w:rPr>
        <w:t>Aerator</w:t>
      </w:r>
      <w:r w:rsidRPr="001570EA">
        <w:rPr>
          <w:iCs/>
        </w:rPr>
        <w:t xml:space="preserve"> </w:t>
      </w:r>
      <w:r w:rsidRPr="001570EA" w:rsidDel="00595016">
        <w:rPr>
          <w:iCs/>
        </w:rPr>
        <w:t>Meter</w:t>
      </w:r>
      <w:r w:rsidRPr="001570EA">
        <w:rPr>
          <w:iCs/>
        </w:rPr>
        <w:t xml:space="preserve"> </w:t>
      </w:r>
      <w:r w:rsidRPr="001570EA" w:rsidDel="00595016">
        <w:rPr>
          <w:iCs/>
        </w:rPr>
        <w:t>Study</w:t>
      </w:r>
      <w:r w:rsidRPr="001570EA" w:rsidDel="00595016">
        <w:t>.</w:t>
      </w:r>
      <w:r w:rsidRPr="001570EA">
        <w:t xml:space="preserve"> 2.7 </w:t>
      </w:r>
      <w:r w:rsidRPr="001570EA" w:rsidDel="00595016">
        <w:t xml:space="preserve">min/person/day </w:t>
      </w:r>
      <w:r w:rsidRPr="001570EA">
        <w:t xml:space="preserve">for unknown aerator location calculated as weighted average of kitchen and bathroom </w:t>
      </w:r>
      <w:r w:rsidRPr="001570EA" w:rsidDel="00595016">
        <w:t>min/person/day</w:t>
      </w:r>
      <w:r w:rsidRPr="001570EA">
        <w:t xml:space="preserve"> by average kitchens and bathrooms per home from the </w:t>
      </w:r>
      <w:r w:rsidR="00E15B3D">
        <w:t xml:space="preserve">Act 129 </w:t>
      </w:r>
      <w:r w:rsidRPr="001570EA">
        <w:t xml:space="preserve">2023 </w:t>
      </w:r>
      <w:r w:rsidR="00E15B3D" w:rsidRPr="001570EA">
        <w:t>P</w:t>
      </w:r>
      <w:r w:rsidR="00E15B3D">
        <w:t>ennsylvania</w:t>
      </w:r>
      <w:r w:rsidR="00E15B3D" w:rsidRPr="001570EA">
        <w:t xml:space="preserve"> Residential Baseline Study</w:t>
      </w:r>
      <w:r w:rsidRPr="001570EA">
        <w:t xml:space="preserve">. </w:t>
      </w:r>
    </w:p>
    <w:p w14:paraId="3EC47128" w14:textId="596DF7D2" w:rsidR="00C71CAA" w:rsidRPr="001570EA" w:rsidRDefault="00C71CAA" w:rsidP="002614D2">
      <w:pPr>
        <w:pStyle w:val="source10"/>
        <w:numPr>
          <w:ilvl w:val="0"/>
          <w:numId w:val="22"/>
        </w:numPr>
        <w:spacing w:after="120"/>
        <w:ind w:left="360"/>
        <w:jc w:val="left"/>
      </w:pPr>
      <w:r w:rsidRPr="001570EA">
        <w:t>NMR Group for the Pennsylvania Public Utility Commission. (2024, March). 2023 Pennsylvania Statewide Act 129 Residential Baseline Study. P</w:t>
      </w:r>
      <w:r w:rsidR="00E13D76">
        <w:t>a</w:t>
      </w:r>
      <w:r w:rsidRPr="001570EA">
        <w:t>g</w:t>
      </w:r>
      <w:r w:rsidR="00E13D76">
        <w:t>e</w:t>
      </w:r>
      <w:r w:rsidRPr="001570EA">
        <w:t xml:space="preserve"> 122, </w:t>
      </w:r>
      <w:r w:rsidR="00983BA7" w:rsidRPr="001570EA">
        <w:t>Table</w:t>
      </w:r>
      <w:r w:rsidRPr="001570EA">
        <w:t xml:space="preserve"> 105 (ELEC). P</w:t>
      </w:r>
      <w:r w:rsidR="00E13D76">
        <w:t>a</w:t>
      </w:r>
      <w:r w:rsidRPr="001570EA">
        <w:t>g</w:t>
      </w:r>
      <w:r w:rsidR="00E13D76">
        <w:t>e</w:t>
      </w:r>
      <w:r w:rsidRPr="001570EA">
        <w:t xml:space="preserve"> 130, </w:t>
      </w:r>
      <w:r w:rsidR="00AD4F40">
        <w:t>T</w:t>
      </w:r>
      <w:r w:rsidRPr="001570EA">
        <w:t>able 112 (N</w:t>
      </w:r>
      <w:r w:rsidRPr="001570EA">
        <w:rPr>
          <w:vertAlign w:val="subscript"/>
        </w:rPr>
        <w:t>faucets-home</w:t>
      </w:r>
      <w:r w:rsidRPr="001570EA">
        <w:t xml:space="preserve">). </w:t>
      </w:r>
      <w:hyperlink r:id="rId177" w:history="1">
        <w:r w:rsidRPr="001570EA">
          <w:rPr>
            <w:rStyle w:val="Hyperlink"/>
            <w:rFonts w:cs="Arial"/>
          </w:rPr>
          <w:t>Weblink</w:t>
        </w:r>
      </w:hyperlink>
      <w:r w:rsidRPr="001570EA">
        <w:t xml:space="preserve"> Single-family average faucets calculated as weighted average of single-family attached and single-family detached using </w:t>
      </w:r>
      <w:r w:rsidR="00740FC8">
        <w:t xml:space="preserve">Act 129 </w:t>
      </w:r>
      <w:r w:rsidRPr="001570EA">
        <w:t xml:space="preserve">2023 Pennsylvania </w:t>
      </w:r>
      <w:r w:rsidR="00256066" w:rsidRPr="001570EA">
        <w:t>Residential Baseline Study</w:t>
      </w:r>
      <w:r w:rsidRPr="001570EA">
        <w:t xml:space="preserve"> data.</w:t>
      </w:r>
    </w:p>
    <w:p w14:paraId="1135D6D6" w14:textId="77777777" w:rsidR="00C71CAA" w:rsidRPr="001570EA" w:rsidDel="00595016" w:rsidRDefault="00C71CAA" w:rsidP="002614D2">
      <w:pPr>
        <w:pStyle w:val="ListParagraph"/>
        <w:numPr>
          <w:ilvl w:val="0"/>
          <w:numId w:val="22"/>
        </w:numPr>
        <w:ind w:left="360"/>
        <w:jc w:val="left"/>
      </w:pPr>
      <w:r w:rsidRPr="001570EA" w:rsidDel="00595016">
        <w:t>Cadmus</w:t>
      </w:r>
      <w:r w:rsidRPr="001570EA">
        <w:t xml:space="preserve"> </w:t>
      </w:r>
      <w:r w:rsidRPr="001570EA" w:rsidDel="00595016">
        <w:t>and</w:t>
      </w:r>
      <w:r w:rsidRPr="001570EA">
        <w:t xml:space="preserve"> </w:t>
      </w:r>
      <w:r w:rsidRPr="001570EA" w:rsidDel="00595016">
        <w:t>Opinion</w:t>
      </w:r>
      <w:r w:rsidRPr="001570EA">
        <w:t xml:space="preserve"> </w:t>
      </w:r>
      <w:r w:rsidRPr="001570EA" w:rsidDel="00595016">
        <w:t>Dynamics</w:t>
      </w:r>
      <w:r w:rsidRPr="001570EA">
        <w:t xml:space="preserve"> </w:t>
      </w:r>
      <w:r w:rsidRPr="001570EA" w:rsidDel="00595016">
        <w:t>Evaluation</w:t>
      </w:r>
      <w:r w:rsidRPr="001570EA">
        <w:t xml:space="preserve"> </w:t>
      </w:r>
      <w:r w:rsidRPr="001570EA" w:rsidDel="00595016">
        <w:t>Team</w:t>
      </w:r>
      <w:r w:rsidRPr="001570EA">
        <w:t xml:space="preserve"> </w:t>
      </w:r>
      <w:r w:rsidRPr="001570EA" w:rsidDel="00595016">
        <w:t>for</w:t>
      </w:r>
      <w:r w:rsidRPr="001570EA">
        <w:t xml:space="preserve"> </w:t>
      </w:r>
      <w:r w:rsidRPr="001570EA" w:rsidDel="00595016">
        <w:t>Michigan</w:t>
      </w:r>
      <w:r w:rsidRPr="001570EA">
        <w:t xml:space="preserve"> </w:t>
      </w:r>
      <w:r w:rsidRPr="001570EA" w:rsidDel="00595016">
        <w:t>Evaluation</w:t>
      </w:r>
      <w:r w:rsidRPr="001570EA">
        <w:t xml:space="preserve"> </w:t>
      </w:r>
      <w:r w:rsidRPr="001570EA" w:rsidDel="00595016">
        <w:t>Working</w:t>
      </w:r>
      <w:r w:rsidRPr="001570EA">
        <w:t xml:space="preserve"> </w:t>
      </w:r>
      <w:r w:rsidRPr="001570EA" w:rsidDel="00595016">
        <w:t>Group.</w:t>
      </w:r>
      <w:r w:rsidRPr="001570EA">
        <w:t xml:space="preserve"> (2013, June). Showerhead </w:t>
      </w:r>
      <w:r w:rsidRPr="001570EA" w:rsidDel="00595016">
        <w:t>and</w:t>
      </w:r>
      <w:r w:rsidRPr="001570EA">
        <w:t xml:space="preserve"> </w:t>
      </w:r>
      <w:r w:rsidRPr="001570EA" w:rsidDel="00595016">
        <w:t>Faucet</w:t>
      </w:r>
      <w:r w:rsidRPr="001570EA">
        <w:t xml:space="preserve"> </w:t>
      </w:r>
      <w:r w:rsidRPr="001570EA" w:rsidDel="00595016">
        <w:t>Aerator</w:t>
      </w:r>
      <w:r w:rsidRPr="001570EA">
        <w:t xml:space="preserve"> </w:t>
      </w:r>
      <w:r w:rsidRPr="001570EA" w:rsidDel="00595016">
        <w:t>Meter</w:t>
      </w:r>
      <w:r w:rsidRPr="001570EA">
        <w:t xml:space="preserve"> </w:t>
      </w:r>
      <w:r w:rsidRPr="001570EA" w:rsidDel="00595016">
        <w:t>Study.</w:t>
      </w:r>
      <w:r w:rsidRPr="001570EA">
        <w:t xml:space="preserve"> Table 7. </w:t>
      </w:r>
      <w:r w:rsidRPr="001570EA" w:rsidDel="00595016">
        <w:t>The</w:t>
      </w:r>
      <w:r w:rsidRPr="001570EA">
        <w:t xml:space="preserve"> </w:t>
      </w:r>
      <w:r w:rsidRPr="001570EA" w:rsidDel="00595016">
        <w:t>study</w:t>
      </w:r>
      <w:r w:rsidRPr="001570EA">
        <w:t xml:space="preserve"> </w:t>
      </w:r>
      <w:r w:rsidRPr="001570EA" w:rsidDel="00595016">
        <w:t>finds</w:t>
      </w:r>
      <w:r w:rsidRPr="001570EA">
        <w:t xml:space="preserve"> </w:t>
      </w:r>
      <w:r w:rsidRPr="001570EA" w:rsidDel="00595016">
        <w:t>that</w:t>
      </w:r>
      <w:r w:rsidRPr="001570EA">
        <w:t xml:space="preserve"> </w:t>
      </w:r>
      <w:r w:rsidRPr="001570EA" w:rsidDel="00595016">
        <w:t>the</w:t>
      </w:r>
      <w:r w:rsidRPr="001570EA">
        <w:t xml:space="preserve"> </w:t>
      </w:r>
      <w:r w:rsidRPr="001570EA" w:rsidDel="00595016">
        <w:t>average</w:t>
      </w:r>
      <w:r w:rsidRPr="001570EA">
        <w:t xml:space="preserve"> </w:t>
      </w:r>
      <w:r w:rsidRPr="001570EA" w:rsidDel="00595016">
        <w:t>mixed</w:t>
      </w:r>
      <w:r w:rsidRPr="001570EA">
        <w:t xml:space="preserve"> </w:t>
      </w:r>
      <w:r w:rsidRPr="001570EA" w:rsidDel="00595016">
        <w:t>water</w:t>
      </w:r>
      <w:r w:rsidRPr="001570EA">
        <w:t xml:space="preserve"> </w:t>
      </w:r>
      <w:r w:rsidRPr="001570EA" w:rsidDel="00595016">
        <w:t>temperature</w:t>
      </w:r>
      <w:r w:rsidRPr="001570EA">
        <w:t xml:space="preserve"> </w:t>
      </w:r>
      <w:r w:rsidRPr="001570EA" w:rsidDel="00595016">
        <w:t>flowing</w:t>
      </w:r>
      <w:r w:rsidRPr="001570EA">
        <w:t xml:space="preserve"> </w:t>
      </w:r>
      <w:r w:rsidRPr="001570EA" w:rsidDel="00595016">
        <w:t>from</w:t>
      </w:r>
      <w:r w:rsidRPr="001570EA">
        <w:t xml:space="preserve"> </w:t>
      </w:r>
      <w:r w:rsidRPr="001570EA" w:rsidDel="00595016">
        <w:t>the</w:t>
      </w:r>
      <w:r w:rsidRPr="001570EA">
        <w:t xml:space="preserve"> </w:t>
      </w:r>
      <w:r w:rsidRPr="001570EA" w:rsidDel="00595016">
        <w:t>kitchen</w:t>
      </w:r>
      <w:r w:rsidRPr="001570EA">
        <w:t xml:space="preserve"> </w:t>
      </w:r>
      <w:r w:rsidRPr="001570EA" w:rsidDel="00595016">
        <w:t>and</w:t>
      </w:r>
      <w:r w:rsidRPr="001570EA">
        <w:t xml:space="preserve"> </w:t>
      </w:r>
      <w:r w:rsidRPr="001570EA" w:rsidDel="00595016">
        <w:t>bathroom</w:t>
      </w:r>
      <w:r w:rsidRPr="001570EA">
        <w:t xml:space="preserve"> </w:t>
      </w:r>
      <w:r w:rsidRPr="001570EA" w:rsidDel="00595016">
        <w:t>faucets</w:t>
      </w:r>
      <w:r w:rsidRPr="001570EA">
        <w:t xml:space="preserve"> </w:t>
      </w:r>
      <w:r w:rsidRPr="001570EA" w:rsidDel="00595016">
        <w:t>is</w:t>
      </w:r>
      <w:r w:rsidRPr="001570EA">
        <w:t xml:space="preserve"> </w:t>
      </w:r>
      <w:r w:rsidRPr="001570EA" w:rsidDel="00595016">
        <w:t>93ºF</w:t>
      </w:r>
      <w:r w:rsidRPr="001570EA">
        <w:t xml:space="preserve"> </w:t>
      </w:r>
      <w:r w:rsidRPr="001570EA" w:rsidDel="00595016">
        <w:t>and</w:t>
      </w:r>
      <w:r w:rsidRPr="001570EA">
        <w:t xml:space="preserve"> </w:t>
      </w:r>
      <w:r w:rsidRPr="001570EA" w:rsidDel="00595016">
        <w:t>86ºF,</w:t>
      </w:r>
      <w:r w:rsidRPr="001570EA">
        <w:t xml:space="preserve"> </w:t>
      </w:r>
      <w:r w:rsidRPr="001570EA" w:rsidDel="00595016">
        <w:t>respectively.</w:t>
      </w:r>
      <w:r w:rsidRPr="001570EA">
        <w:t xml:space="preserve"> </w:t>
      </w:r>
      <w:r w:rsidRPr="001570EA" w:rsidDel="00595016">
        <w:t>If</w:t>
      </w:r>
      <w:r w:rsidRPr="001570EA">
        <w:t xml:space="preserve"> </w:t>
      </w:r>
      <w:r w:rsidRPr="001570EA" w:rsidDel="00595016">
        <w:t>the</w:t>
      </w:r>
      <w:r w:rsidRPr="001570EA">
        <w:t xml:space="preserve"> </w:t>
      </w:r>
      <w:r w:rsidRPr="001570EA" w:rsidDel="00595016">
        <w:t>faucet</w:t>
      </w:r>
      <w:r w:rsidRPr="001570EA">
        <w:t xml:space="preserve"> </w:t>
      </w:r>
      <w:r w:rsidRPr="001570EA" w:rsidDel="00595016">
        <w:t>location</w:t>
      </w:r>
      <w:r w:rsidRPr="001570EA">
        <w:t xml:space="preserve"> </w:t>
      </w:r>
      <w:r w:rsidRPr="001570EA" w:rsidDel="00595016">
        <w:t>is</w:t>
      </w:r>
      <w:r w:rsidRPr="001570EA">
        <w:t xml:space="preserve"> </w:t>
      </w:r>
      <w:r w:rsidRPr="001570EA" w:rsidDel="00595016">
        <w:t>unknown,</w:t>
      </w:r>
      <w:r w:rsidRPr="001570EA">
        <w:t xml:space="preserve"> </w:t>
      </w:r>
      <w:r w:rsidRPr="001570EA" w:rsidDel="00595016">
        <w:t>87.8ºF</w:t>
      </w:r>
      <w:r w:rsidRPr="001570EA">
        <w:t xml:space="preserve"> </w:t>
      </w:r>
      <w:r w:rsidRPr="001570EA" w:rsidDel="00595016">
        <w:t>is</w:t>
      </w:r>
      <w:r w:rsidRPr="001570EA">
        <w:t xml:space="preserve"> </w:t>
      </w:r>
      <w:r w:rsidRPr="001570EA" w:rsidDel="00595016">
        <w:t>the</w:t>
      </w:r>
      <w:r w:rsidRPr="001570EA">
        <w:t xml:space="preserve"> </w:t>
      </w:r>
      <w:r w:rsidRPr="001570EA" w:rsidDel="00595016">
        <w:t>corresponding</w:t>
      </w:r>
      <w:r w:rsidRPr="001570EA">
        <w:t xml:space="preserve"> </w:t>
      </w:r>
      <w:r w:rsidRPr="001570EA" w:rsidDel="00595016">
        <w:t>value</w:t>
      </w:r>
      <w:r w:rsidRPr="001570EA">
        <w:t xml:space="preserve"> </w:t>
      </w:r>
      <w:r w:rsidRPr="001570EA" w:rsidDel="00595016">
        <w:t>to</w:t>
      </w:r>
      <w:r w:rsidRPr="001570EA">
        <w:t xml:space="preserve"> </w:t>
      </w:r>
      <w:r w:rsidRPr="001570EA" w:rsidDel="00595016">
        <w:t>be</w:t>
      </w:r>
      <w:r w:rsidRPr="001570EA">
        <w:t xml:space="preserve"> </w:t>
      </w:r>
      <w:r w:rsidRPr="001570EA" w:rsidDel="00595016">
        <w:t>used,</w:t>
      </w:r>
      <w:r w:rsidRPr="001570EA">
        <w:t xml:space="preserve"> </w:t>
      </w:r>
      <w:r w:rsidRPr="001570EA" w:rsidDel="00595016">
        <w:t>which</w:t>
      </w:r>
      <w:r w:rsidRPr="001570EA">
        <w:t xml:space="preserve"> </w:t>
      </w:r>
      <w:r w:rsidRPr="001570EA" w:rsidDel="00595016">
        <w:t>was</w:t>
      </w:r>
      <w:r w:rsidRPr="001570EA">
        <w:t xml:space="preserve"> </w:t>
      </w:r>
      <w:r w:rsidRPr="001570EA" w:rsidDel="00595016">
        <w:t>calculated</w:t>
      </w:r>
      <w:r w:rsidRPr="001570EA">
        <w:t xml:space="preserve"> </w:t>
      </w:r>
      <w:r w:rsidRPr="001570EA" w:rsidDel="00595016">
        <w:t>by</w:t>
      </w:r>
      <w:r w:rsidRPr="001570EA">
        <w:t xml:space="preserve"> </w:t>
      </w:r>
      <w:r w:rsidRPr="001570EA" w:rsidDel="00595016">
        <w:t>taking</w:t>
      </w:r>
      <w:r w:rsidRPr="001570EA">
        <w:t xml:space="preserve"> </w:t>
      </w:r>
      <w:r w:rsidRPr="001570EA" w:rsidDel="00595016">
        <w:t>a</w:t>
      </w:r>
      <w:r w:rsidRPr="001570EA">
        <w:t xml:space="preserve"> </w:t>
      </w:r>
      <w:r w:rsidRPr="001570EA" w:rsidDel="00595016">
        <w:t>weighted</w:t>
      </w:r>
      <w:r w:rsidRPr="001570EA">
        <w:t xml:space="preserve"> </w:t>
      </w:r>
      <w:r w:rsidRPr="001570EA" w:rsidDel="00595016">
        <w:t>average</w:t>
      </w:r>
      <w:r w:rsidRPr="001570EA">
        <w:t xml:space="preserve"> </w:t>
      </w:r>
      <w:r w:rsidRPr="001570EA" w:rsidDel="00595016">
        <w:t>of</w:t>
      </w:r>
      <w:r w:rsidRPr="001570EA">
        <w:t xml:space="preserve"> </w:t>
      </w:r>
      <w:r w:rsidRPr="001570EA" w:rsidDel="00595016">
        <w:t>faucet</w:t>
      </w:r>
      <w:r w:rsidRPr="001570EA">
        <w:t xml:space="preserve"> </w:t>
      </w:r>
      <w:r w:rsidRPr="001570EA" w:rsidDel="00595016">
        <w:t>type</w:t>
      </w:r>
      <w:r w:rsidRPr="001570EA">
        <w:t xml:space="preserve"> </w:t>
      </w:r>
      <w:r w:rsidRPr="001570EA" w:rsidDel="00595016">
        <w:t>(using</w:t>
      </w:r>
      <w:r w:rsidRPr="001570EA">
        <w:t xml:space="preserve"> </w:t>
      </w:r>
      <w:r w:rsidRPr="001570EA" w:rsidDel="00595016">
        <w:t>the</w:t>
      </w:r>
      <w:r w:rsidRPr="001570EA">
        <w:t xml:space="preserve"> </w:t>
      </w:r>
      <w:r w:rsidRPr="001570EA" w:rsidDel="00595016">
        <w:t>statewide</w:t>
      </w:r>
      <w:r w:rsidRPr="001570EA">
        <w:t xml:space="preserve"> </w:t>
      </w:r>
      <w:r w:rsidRPr="001570EA" w:rsidDel="00595016">
        <w:t>values):</w:t>
      </w:r>
      <w:r w:rsidRPr="001570EA">
        <w:rPr>
          <w:rFonts w:cs="Arial"/>
        </w:rPr>
        <w:t xml:space="preserve"> </w:t>
      </w:r>
      <w:r w:rsidRPr="001570EA" w:rsidDel="00595016">
        <w:rPr>
          <w:rFonts w:cs="Arial"/>
        </w:rPr>
        <w:t>(1</w:t>
      </w:r>
      <w:r w:rsidRPr="001570EA">
        <w:rPr>
          <w:rFonts w:cs="Arial"/>
        </w:rPr>
        <w:t xml:space="preserve"> × </w:t>
      </w:r>
      <w:r w:rsidRPr="001570EA" w:rsidDel="00595016">
        <w:rPr>
          <w:rFonts w:cs="Arial"/>
        </w:rPr>
        <w:t>93</w:t>
      </w:r>
      <w:r w:rsidRPr="001570EA">
        <w:rPr>
          <w:rFonts w:cs="Arial"/>
        </w:rPr>
        <w:t xml:space="preserve"> </w:t>
      </w:r>
      <w:r w:rsidRPr="001570EA" w:rsidDel="00595016">
        <w:rPr>
          <w:rFonts w:cs="Arial"/>
        </w:rPr>
        <w:t>+</w:t>
      </w:r>
      <w:r w:rsidRPr="001570EA">
        <w:rPr>
          <w:rFonts w:cs="Arial"/>
        </w:rPr>
        <w:t xml:space="preserve"> </w:t>
      </w:r>
      <w:r w:rsidRPr="001570EA" w:rsidDel="00595016">
        <w:rPr>
          <w:rFonts w:cs="Arial"/>
        </w:rPr>
        <w:t>3</w:t>
      </w:r>
      <w:r w:rsidRPr="001570EA">
        <w:rPr>
          <w:rFonts w:cs="Arial"/>
        </w:rPr>
        <w:t xml:space="preserve"> × </w:t>
      </w:r>
      <w:r w:rsidRPr="001570EA" w:rsidDel="00595016">
        <w:rPr>
          <w:rFonts w:cs="Arial"/>
        </w:rPr>
        <w:t>86)</w:t>
      </w:r>
      <w:r w:rsidRPr="001570EA">
        <w:rPr>
          <w:rFonts w:cs="Arial"/>
        </w:rPr>
        <w:t xml:space="preserve"> </w:t>
      </w:r>
      <w:r w:rsidRPr="001570EA" w:rsidDel="00595016">
        <w:rPr>
          <w:rFonts w:cs="Arial"/>
        </w:rPr>
        <w:t>/</w:t>
      </w:r>
      <w:r w:rsidRPr="001570EA">
        <w:rPr>
          <w:rFonts w:cs="Arial"/>
        </w:rPr>
        <w:t xml:space="preserve"> </w:t>
      </w:r>
      <w:r w:rsidRPr="001570EA" w:rsidDel="00595016">
        <w:rPr>
          <w:rFonts w:cs="Arial"/>
        </w:rPr>
        <w:t>(1</w:t>
      </w:r>
      <w:r w:rsidRPr="001570EA">
        <w:rPr>
          <w:rFonts w:cs="Arial"/>
        </w:rPr>
        <w:t xml:space="preserve"> </w:t>
      </w:r>
      <w:r w:rsidRPr="001570EA" w:rsidDel="00595016">
        <w:rPr>
          <w:rFonts w:cs="Arial"/>
        </w:rPr>
        <w:t>+</w:t>
      </w:r>
      <w:r w:rsidRPr="001570EA">
        <w:rPr>
          <w:rFonts w:cs="Arial"/>
        </w:rPr>
        <w:t xml:space="preserve"> </w:t>
      </w:r>
      <w:r w:rsidRPr="001570EA" w:rsidDel="00595016">
        <w:rPr>
          <w:rFonts w:cs="Arial"/>
        </w:rPr>
        <w:t>3)</w:t>
      </w:r>
      <w:r w:rsidRPr="001570EA">
        <w:rPr>
          <w:rFonts w:cs="Arial"/>
        </w:rPr>
        <w:t xml:space="preserve"> </w:t>
      </w:r>
      <w:r w:rsidRPr="001570EA" w:rsidDel="00595016">
        <w:rPr>
          <w:rFonts w:cs="Arial"/>
        </w:rPr>
        <w:t>=</w:t>
      </w:r>
      <w:r w:rsidRPr="001570EA">
        <w:rPr>
          <w:rFonts w:cs="Arial"/>
        </w:rPr>
        <w:t xml:space="preserve"> </w:t>
      </w:r>
      <w:r w:rsidRPr="001570EA" w:rsidDel="00595016">
        <w:rPr>
          <w:rFonts w:cs="Arial"/>
        </w:rPr>
        <w:t>87.8.</w:t>
      </w:r>
    </w:p>
    <w:p w14:paraId="597F9846" w14:textId="04FF8D2D" w:rsidR="00C71CAA" w:rsidRPr="001570EA" w:rsidRDefault="00C71CAA" w:rsidP="002614D2">
      <w:pPr>
        <w:pStyle w:val="ListParagraph"/>
        <w:numPr>
          <w:ilvl w:val="0"/>
          <w:numId w:val="22"/>
        </w:numPr>
        <w:ind w:left="360"/>
        <w:jc w:val="left"/>
        <w:rPr>
          <w:rFonts w:cs="Arial"/>
        </w:rPr>
      </w:pPr>
      <w:r w:rsidRPr="001570EA">
        <w:rPr>
          <w:rFonts w:cs="Arial"/>
        </w:rPr>
        <w:t xml:space="preserve">Using Rock Spring, PA (Site 2036) as a proxy, the mean soil temperature at 40-inch depth is 52.502. Calculated using Daily SCAN Standard - Period of Record data from December 2003 to December 2023 from the Natural Resource Conservation Service Database. </w:t>
      </w:r>
      <w:hyperlink r:id="rId178" w:history="1">
        <w:r w:rsidRPr="001570EA">
          <w:rPr>
            <w:rStyle w:val="Hyperlink"/>
            <w:rFonts w:cs="Arial"/>
          </w:rPr>
          <w:t>Weblink</w:t>
        </w:r>
      </w:hyperlink>
      <w:r w:rsidRPr="001570EA">
        <w:rPr>
          <w:rFonts w:cs="Arial"/>
        </w:rPr>
        <w:t>. Methodology follows Missouri TRM 2017 Volume 2: Commercial and Industrial Measures. (2017, March). “2.6.1 Water Heater”. P</w:t>
      </w:r>
      <w:r w:rsidR="00E13D76">
        <w:rPr>
          <w:rFonts w:cs="Arial"/>
        </w:rPr>
        <w:t>a</w:t>
      </w:r>
      <w:r w:rsidRPr="001570EA">
        <w:rPr>
          <w:rFonts w:cs="Arial"/>
        </w:rPr>
        <w:t>g</w:t>
      </w:r>
      <w:r w:rsidR="00E13D76">
        <w:rPr>
          <w:rFonts w:cs="Arial"/>
        </w:rPr>
        <w:t>e</w:t>
      </w:r>
      <w:r w:rsidRPr="001570EA">
        <w:rPr>
          <w:rFonts w:cs="Arial"/>
        </w:rPr>
        <w:t xml:space="preserve"> 78. </w:t>
      </w:r>
      <w:hyperlink r:id="rId179" w:history="1">
        <w:r w:rsidRPr="001570EA">
          <w:rPr>
            <w:rStyle w:val="Hyperlink"/>
          </w:rPr>
          <w:t>Weblink</w:t>
        </w:r>
      </w:hyperlink>
    </w:p>
    <w:p w14:paraId="0F0188AE" w14:textId="6AC90DE0" w:rsidR="00C71CAA" w:rsidRPr="001570EA" w:rsidRDefault="00C71CAA" w:rsidP="002614D2">
      <w:pPr>
        <w:pStyle w:val="ListParagraph"/>
        <w:numPr>
          <w:ilvl w:val="0"/>
          <w:numId w:val="22"/>
        </w:numPr>
        <w:ind w:left="360"/>
        <w:jc w:val="left"/>
      </w:pPr>
      <w:r w:rsidRPr="001570EA">
        <w:rPr>
          <w:rFonts w:eastAsia="system-ui" w:cs="Arial"/>
        </w:rPr>
        <w:t xml:space="preserve">AHRI </w:t>
      </w:r>
      <w:r w:rsidRPr="001570EA">
        <w:rPr>
          <w:rFonts w:eastAsia="Arial" w:cs="Arial"/>
        </w:rPr>
        <w:t>Directory. All electric storage water heaters have a recovery efficiency of 0.98. Average recovery efficiency for heat pump water heaters is 3.93. Accessed December 2023.</w:t>
      </w:r>
      <w:r w:rsidRPr="001570EA">
        <w:rPr>
          <w:rFonts w:eastAsia="Arial" w:cs="Arial"/>
          <w:color w:val="374151"/>
        </w:rPr>
        <w:t xml:space="preserve"> </w:t>
      </w:r>
      <w:hyperlink r:id="rId180" w:history="1">
        <w:r w:rsidRPr="001570EA">
          <w:rPr>
            <w:rStyle w:val="Hyperlink"/>
          </w:rPr>
          <w:t>Weblink</w:t>
        </w:r>
      </w:hyperlink>
      <w:r w:rsidRPr="001570EA">
        <w:t xml:space="preserve"> 1.22 for unknown type calculated as the weighted average of electric resistance and HPWH recover efficiencies by the relative proportions of electric resistance and HPWHs from the </w:t>
      </w:r>
      <w:r w:rsidR="00256066">
        <w:t xml:space="preserve">Act 129 </w:t>
      </w:r>
      <w:r w:rsidRPr="001570EA">
        <w:t>2023 P</w:t>
      </w:r>
      <w:r w:rsidR="00256066">
        <w:t>ennsylvania</w:t>
      </w:r>
      <w:r w:rsidRPr="001570EA">
        <w:t xml:space="preserve"> </w:t>
      </w:r>
      <w:r w:rsidR="00256066" w:rsidRPr="001570EA">
        <w:t>Residential Baseline Study</w:t>
      </w:r>
      <w:r w:rsidRPr="001570EA">
        <w:t>.</w:t>
      </w:r>
    </w:p>
    <w:p w14:paraId="48E5271E" w14:textId="3E263B5E" w:rsidR="00C71CAA" w:rsidRPr="001570EA" w:rsidRDefault="00C71CAA" w:rsidP="002614D2">
      <w:pPr>
        <w:pStyle w:val="ListParagraph"/>
        <w:numPr>
          <w:ilvl w:val="0"/>
          <w:numId w:val="22"/>
        </w:numPr>
        <w:ind w:left="360"/>
        <w:jc w:val="left"/>
        <w:rPr>
          <w:rStyle w:val="Hyperlink"/>
        </w:rPr>
      </w:pPr>
      <w:r w:rsidRPr="001570EA" w:rsidDel="00595016">
        <w:t>Illinois</w:t>
      </w:r>
      <w:r w:rsidRPr="001570EA">
        <w:t xml:space="preserve"> Statewide </w:t>
      </w:r>
      <w:r w:rsidRPr="001570EA" w:rsidDel="00595016">
        <w:t>T</w:t>
      </w:r>
      <w:r w:rsidRPr="001570EA">
        <w:t xml:space="preserve">echnical </w:t>
      </w:r>
      <w:r w:rsidRPr="001570EA" w:rsidDel="00595016">
        <w:t>R</w:t>
      </w:r>
      <w:r w:rsidRPr="001570EA">
        <w:t xml:space="preserve">eference </w:t>
      </w:r>
      <w:r w:rsidRPr="001570EA" w:rsidDel="00595016">
        <w:t>M</w:t>
      </w:r>
      <w:r w:rsidRPr="001570EA">
        <w:t>anual</w:t>
      </w:r>
      <w:r w:rsidRPr="001570EA" w:rsidDel="00595016">
        <w:t>.</w:t>
      </w:r>
      <w:r w:rsidRPr="001570EA">
        <w:t xml:space="preserve"> (2013, version 11.0). “5.4.4 Low Flow Faucet Aerators”. </w:t>
      </w:r>
      <w:hyperlink r:id="rId181" w:history="1">
        <w:r w:rsidRPr="001570EA">
          <w:rPr>
            <w:rStyle w:val="Hyperlink"/>
          </w:rPr>
          <w:t>Weblink</w:t>
        </w:r>
      </w:hyperlink>
      <w:r w:rsidRPr="001570EA">
        <w:t>.</w:t>
      </w:r>
      <w:r w:rsidRPr="001570EA" w:rsidDel="00595016">
        <w:t xml:space="preserve"> Faucet</w:t>
      </w:r>
      <w:r w:rsidRPr="001570EA">
        <w:t xml:space="preserve"> </w:t>
      </w:r>
      <w:r w:rsidRPr="001570EA" w:rsidDel="00595016">
        <w:t>usages</w:t>
      </w:r>
      <w:r w:rsidRPr="001570EA">
        <w:t xml:space="preserve"> </w:t>
      </w:r>
      <w:r w:rsidRPr="001570EA" w:rsidDel="00595016">
        <w:t>are</w:t>
      </w:r>
      <w:r w:rsidRPr="001570EA">
        <w:t xml:space="preserve"> </w:t>
      </w:r>
      <w:r w:rsidRPr="001570EA" w:rsidDel="00595016">
        <w:t>at</w:t>
      </w:r>
      <w:r w:rsidRPr="001570EA">
        <w:t xml:space="preserve"> </w:t>
      </w:r>
      <w:r w:rsidRPr="001570EA" w:rsidDel="00595016">
        <w:t>times</w:t>
      </w:r>
      <w:r w:rsidRPr="001570EA">
        <w:t xml:space="preserve"> </w:t>
      </w:r>
      <w:r w:rsidRPr="001570EA" w:rsidDel="00595016">
        <w:t>dictated</w:t>
      </w:r>
      <w:r w:rsidRPr="001570EA">
        <w:t xml:space="preserve"> </w:t>
      </w:r>
      <w:r w:rsidRPr="001570EA" w:rsidDel="00595016">
        <w:t>by</w:t>
      </w:r>
      <w:r w:rsidRPr="001570EA">
        <w:t xml:space="preserve"> </w:t>
      </w:r>
      <w:r w:rsidRPr="001570EA" w:rsidDel="00595016">
        <w:t>volume</w:t>
      </w:r>
      <w:r w:rsidRPr="001570EA">
        <w:t xml:space="preserve"> and </w:t>
      </w:r>
      <w:r w:rsidRPr="001570EA" w:rsidDel="00595016">
        <w:t>only</w:t>
      </w:r>
      <w:r w:rsidRPr="001570EA">
        <w:t xml:space="preserve"> </w:t>
      </w:r>
      <w:r w:rsidRPr="001570EA" w:rsidDel="00595016">
        <w:t>“directly</w:t>
      </w:r>
      <w:r w:rsidRPr="001570EA">
        <w:t xml:space="preserve"> </w:t>
      </w:r>
      <w:r w:rsidRPr="001570EA" w:rsidDel="00595016">
        <w:t>down</w:t>
      </w:r>
      <w:r w:rsidRPr="001570EA">
        <w:t xml:space="preserve"> </w:t>
      </w:r>
      <w:r w:rsidRPr="001570EA" w:rsidDel="00595016">
        <w:t>the</w:t>
      </w:r>
      <w:r w:rsidRPr="001570EA">
        <w:t xml:space="preserve"> </w:t>
      </w:r>
      <w:r w:rsidRPr="001570EA" w:rsidDel="00595016">
        <w:t>drain”</w:t>
      </w:r>
      <w:r w:rsidRPr="001570EA">
        <w:t xml:space="preserve"> </w:t>
      </w:r>
      <w:r w:rsidRPr="001570EA" w:rsidDel="00595016">
        <w:t>usage</w:t>
      </w:r>
      <w:r w:rsidRPr="001570EA">
        <w:t xml:space="preserve"> </w:t>
      </w:r>
      <w:r w:rsidRPr="001570EA" w:rsidDel="00595016">
        <w:t>will</w:t>
      </w:r>
      <w:r w:rsidRPr="001570EA">
        <w:t xml:space="preserve"> </w:t>
      </w:r>
      <w:r w:rsidRPr="001570EA" w:rsidDel="00595016">
        <w:t>provide</w:t>
      </w:r>
      <w:r w:rsidRPr="001570EA">
        <w:t xml:space="preserve"> </w:t>
      </w:r>
      <w:r w:rsidRPr="001570EA" w:rsidDel="00595016">
        <w:t>savings.</w:t>
      </w:r>
      <w:r w:rsidRPr="001570EA">
        <w:t xml:space="preserve"> </w:t>
      </w:r>
      <w:r w:rsidRPr="001570EA" w:rsidDel="00595016">
        <w:t>Due</w:t>
      </w:r>
      <w:r w:rsidRPr="001570EA">
        <w:t xml:space="preserve"> </w:t>
      </w:r>
      <w:r w:rsidRPr="001570EA" w:rsidDel="00595016">
        <w:t>to</w:t>
      </w:r>
      <w:r w:rsidRPr="001570EA">
        <w:t xml:space="preserve"> </w:t>
      </w:r>
      <w:r w:rsidRPr="001570EA" w:rsidDel="00595016">
        <w:t>the</w:t>
      </w:r>
      <w:r w:rsidRPr="001570EA">
        <w:t xml:space="preserve"> </w:t>
      </w:r>
      <w:r w:rsidRPr="001570EA" w:rsidDel="00595016">
        <w:t>lack</w:t>
      </w:r>
      <w:r w:rsidRPr="001570EA">
        <w:t xml:space="preserve"> </w:t>
      </w:r>
      <w:r w:rsidRPr="001570EA" w:rsidDel="00595016">
        <w:t>of</w:t>
      </w:r>
      <w:r w:rsidRPr="001570EA">
        <w:t xml:space="preserve"> </w:t>
      </w:r>
      <w:r w:rsidRPr="001570EA" w:rsidDel="00595016">
        <w:t>a</w:t>
      </w:r>
      <w:r w:rsidRPr="001570EA">
        <w:t xml:space="preserve"> </w:t>
      </w:r>
      <w:r w:rsidRPr="001570EA" w:rsidDel="00595016">
        <w:t>metering</w:t>
      </w:r>
      <w:r w:rsidRPr="001570EA">
        <w:t xml:space="preserve"> </w:t>
      </w:r>
      <w:r w:rsidRPr="001570EA" w:rsidDel="00595016">
        <w:t>study</w:t>
      </w:r>
      <w:r w:rsidRPr="001570EA">
        <w:t xml:space="preserve"> </w:t>
      </w:r>
      <w:r w:rsidRPr="001570EA" w:rsidDel="00595016">
        <w:t>that</w:t>
      </w:r>
      <w:r w:rsidRPr="001570EA">
        <w:t xml:space="preserve"> </w:t>
      </w:r>
      <w:r w:rsidRPr="001570EA" w:rsidDel="00595016">
        <w:t>has</w:t>
      </w:r>
      <w:r w:rsidRPr="001570EA">
        <w:t xml:space="preserve"> </w:t>
      </w:r>
      <w:r w:rsidRPr="001570EA" w:rsidDel="00595016">
        <w:t>determined</w:t>
      </w:r>
      <w:r w:rsidRPr="001570EA">
        <w:t xml:space="preserve"> </w:t>
      </w:r>
      <w:r w:rsidRPr="001570EA" w:rsidDel="00595016">
        <w:t>this</w:t>
      </w:r>
      <w:r w:rsidRPr="001570EA">
        <w:t xml:space="preserve"> </w:t>
      </w:r>
      <w:r w:rsidRPr="001570EA" w:rsidDel="00595016">
        <w:t>specific</w:t>
      </w:r>
      <w:r w:rsidRPr="001570EA">
        <w:t xml:space="preserve"> </w:t>
      </w:r>
      <w:r w:rsidRPr="001570EA" w:rsidDel="00595016">
        <w:t>factor,</w:t>
      </w:r>
      <w:r w:rsidRPr="001570EA">
        <w:t xml:space="preserve"> </w:t>
      </w:r>
      <w:r w:rsidRPr="001570EA" w:rsidDel="00595016">
        <w:t>the</w:t>
      </w:r>
      <w:r w:rsidRPr="001570EA">
        <w:t xml:space="preserve"> </w:t>
      </w:r>
      <w:r w:rsidRPr="001570EA" w:rsidDel="00595016">
        <w:t>Illinois</w:t>
      </w:r>
      <w:r w:rsidRPr="001570EA">
        <w:t xml:space="preserve"> </w:t>
      </w:r>
      <w:r w:rsidRPr="001570EA" w:rsidDel="00595016">
        <w:t>Technical</w:t>
      </w:r>
      <w:r w:rsidRPr="001570EA">
        <w:t xml:space="preserve"> </w:t>
      </w:r>
      <w:r w:rsidRPr="001570EA" w:rsidDel="00595016">
        <w:t>Advisory</w:t>
      </w:r>
      <w:r w:rsidRPr="001570EA">
        <w:t xml:space="preserve"> </w:t>
      </w:r>
      <w:r w:rsidRPr="001570EA" w:rsidDel="00595016">
        <w:t>Group</w:t>
      </w:r>
      <w:r w:rsidRPr="001570EA">
        <w:t xml:space="preserve"> </w:t>
      </w:r>
      <w:r w:rsidRPr="001570EA" w:rsidDel="00595016">
        <w:t>has</w:t>
      </w:r>
      <w:r w:rsidRPr="001570EA">
        <w:t xml:space="preserve"> </w:t>
      </w:r>
      <w:r w:rsidRPr="001570EA" w:rsidDel="00595016">
        <w:t>deemed</w:t>
      </w:r>
      <w:r w:rsidRPr="001570EA">
        <w:t xml:space="preserve"> </w:t>
      </w:r>
      <w:r w:rsidRPr="001570EA" w:rsidDel="00595016">
        <w:t>these</w:t>
      </w:r>
      <w:r w:rsidRPr="001570EA">
        <w:t xml:space="preserve"> </w:t>
      </w:r>
      <w:r w:rsidRPr="001570EA" w:rsidDel="00595016">
        <w:t>values</w:t>
      </w:r>
      <w:r w:rsidRPr="001570EA">
        <w:t xml:space="preserve"> </w:t>
      </w:r>
      <w:r w:rsidRPr="001570EA" w:rsidDel="00595016">
        <w:t>to</w:t>
      </w:r>
      <w:r w:rsidRPr="001570EA">
        <w:t xml:space="preserve"> </w:t>
      </w:r>
      <w:r w:rsidRPr="001570EA" w:rsidDel="00595016">
        <w:t>be</w:t>
      </w:r>
      <w:r w:rsidRPr="001570EA">
        <w:t xml:space="preserve"> </w:t>
      </w:r>
      <w:r w:rsidRPr="001570EA" w:rsidDel="00595016">
        <w:t>75%</w:t>
      </w:r>
      <w:r w:rsidRPr="001570EA">
        <w:t xml:space="preserve"> </w:t>
      </w:r>
      <w:r w:rsidRPr="001570EA" w:rsidDel="00595016">
        <w:t>for</w:t>
      </w:r>
      <w:r w:rsidRPr="001570EA">
        <w:t xml:space="preserve"> </w:t>
      </w:r>
      <w:r w:rsidRPr="001570EA" w:rsidDel="00595016">
        <w:t>the</w:t>
      </w:r>
      <w:r w:rsidRPr="001570EA">
        <w:t xml:space="preserve"> </w:t>
      </w:r>
      <w:r w:rsidRPr="001570EA" w:rsidDel="00595016">
        <w:t>kitchen</w:t>
      </w:r>
      <w:r w:rsidRPr="001570EA">
        <w:t xml:space="preserve"> </w:t>
      </w:r>
      <w:r w:rsidRPr="001570EA" w:rsidDel="00595016">
        <w:t>and</w:t>
      </w:r>
      <w:r w:rsidRPr="001570EA">
        <w:t xml:space="preserve"> </w:t>
      </w:r>
      <w:r w:rsidRPr="001570EA" w:rsidDel="00595016">
        <w:t>90%</w:t>
      </w:r>
      <w:r w:rsidRPr="001570EA">
        <w:t xml:space="preserve"> </w:t>
      </w:r>
      <w:r w:rsidRPr="001570EA" w:rsidDel="00595016">
        <w:t>for</w:t>
      </w:r>
      <w:r w:rsidRPr="001570EA">
        <w:t xml:space="preserve"> </w:t>
      </w:r>
      <w:r w:rsidRPr="001570EA" w:rsidDel="00595016">
        <w:t>the</w:t>
      </w:r>
      <w:r w:rsidRPr="001570EA">
        <w:t xml:space="preserve"> </w:t>
      </w:r>
      <w:r w:rsidRPr="001570EA" w:rsidDel="00595016">
        <w:t>bathroom.</w:t>
      </w:r>
      <w:r w:rsidRPr="001570EA">
        <w:t xml:space="preserve"> </w:t>
      </w:r>
      <w:r w:rsidRPr="001570EA" w:rsidDel="00595016">
        <w:t>If</w:t>
      </w:r>
      <w:r w:rsidRPr="001570EA">
        <w:t xml:space="preserve"> </w:t>
      </w:r>
      <w:r w:rsidRPr="001570EA" w:rsidDel="00595016">
        <w:t>the</w:t>
      </w:r>
      <w:r w:rsidRPr="001570EA">
        <w:t xml:space="preserve"> </w:t>
      </w:r>
      <w:r w:rsidRPr="001570EA" w:rsidDel="00595016">
        <w:t>aerator</w:t>
      </w:r>
      <w:r w:rsidRPr="001570EA">
        <w:t xml:space="preserve"> </w:t>
      </w:r>
      <w:r w:rsidRPr="001570EA" w:rsidDel="00595016">
        <w:t>location</w:t>
      </w:r>
      <w:r w:rsidRPr="001570EA">
        <w:t xml:space="preserve"> </w:t>
      </w:r>
      <w:r w:rsidRPr="001570EA" w:rsidDel="00595016">
        <w:t>is</w:t>
      </w:r>
      <w:r w:rsidRPr="001570EA">
        <w:t xml:space="preserve"> </w:t>
      </w:r>
      <w:r w:rsidRPr="001570EA" w:rsidDel="00595016">
        <w:t>unknown</w:t>
      </w:r>
      <w:r w:rsidR="00FF5F27" w:rsidRPr="001570EA">
        <w:t>,</w:t>
      </w:r>
      <w:r w:rsidRPr="001570EA">
        <w:t xml:space="preserve"> </w:t>
      </w:r>
      <w:r w:rsidRPr="001570EA" w:rsidDel="00595016">
        <w:t>an</w:t>
      </w:r>
      <w:r w:rsidRPr="001570EA">
        <w:t xml:space="preserve"> </w:t>
      </w:r>
      <w:r w:rsidRPr="001570EA" w:rsidDel="00595016">
        <w:t>average</w:t>
      </w:r>
      <w:r w:rsidRPr="001570EA">
        <w:t xml:space="preserve"> </w:t>
      </w:r>
      <w:r w:rsidRPr="001570EA" w:rsidDel="00595016">
        <w:t>of</w:t>
      </w:r>
      <w:r w:rsidRPr="001570EA">
        <w:t xml:space="preserve"> </w:t>
      </w:r>
      <w:r w:rsidRPr="001570EA" w:rsidDel="00595016">
        <w:t>79.5%</w:t>
      </w:r>
      <w:r w:rsidRPr="001570EA">
        <w:t xml:space="preserve"> </w:t>
      </w:r>
      <w:r w:rsidRPr="001570EA" w:rsidDel="00595016">
        <w:t>should</w:t>
      </w:r>
      <w:r w:rsidRPr="001570EA">
        <w:t xml:space="preserve"> </w:t>
      </w:r>
      <w:r w:rsidRPr="001570EA" w:rsidDel="00595016">
        <w:t>be</w:t>
      </w:r>
      <w:r w:rsidRPr="001570EA">
        <w:t xml:space="preserve"> </w:t>
      </w:r>
      <w:r w:rsidRPr="001570EA" w:rsidDel="00595016">
        <w:t>used</w:t>
      </w:r>
      <w:r w:rsidR="00FF5F27" w:rsidRPr="001570EA">
        <w:t>,</w:t>
      </w:r>
      <w:r w:rsidRPr="001570EA">
        <w:t xml:space="preserve"> </w:t>
      </w:r>
      <w:r w:rsidRPr="001570EA" w:rsidDel="00595016">
        <w:t>which</w:t>
      </w:r>
      <w:r w:rsidRPr="001570EA">
        <w:t xml:space="preserve"> </w:t>
      </w:r>
      <w:r w:rsidR="00AD4F40" w:rsidRPr="001570EA" w:rsidDel="00595016">
        <w:t>assumes</w:t>
      </w:r>
      <w:r w:rsidRPr="001570EA">
        <w:t xml:space="preserve"> </w:t>
      </w:r>
      <w:r w:rsidRPr="001570EA" w:rsidDel="00595016">
        <w:t>that</w:t>
      </w:r>
      <w:r w:rsidRPr="001570EA">
        <w:t xml:space="preserve"> </w:t>
      </w:r>
      <w:r w:rsidRPr="001570EA" w:rsidDel="00595016">
        <w:t>70%</w:t>
      </w:r>
      <w:r w:rsidRPr="001570EA">
        <w:t xml:space="preserve"> </w:t>
      </w:r>
      <w:r w:rsidRPr="001570EA" w:rsidDel="00595016">
        <w:t>of</w:t>
      </w:r>
      <w:r w:rsidRPr="001570EA">
        <w:t xml:space="preserve"> </w:t>
      </w:r>
      <w:r w:rsidRPr="001570EA" w:rsidDel="00595016">
        <w:t>household</w:t>
      </w:r>
      <w:r w:rsidRPr="001570EA">
        <w:t xml:space="preserve"> </w:t>
      </w:r>
      <w:r w:rsidRPr="001570EA" w:rsidDel="00595016">
        <w:t>water</w:t>
      </w:r>
      <w:r w:rsidRPr="001570EA">
        <w:t xml:space="preserve"> </w:t>
      </w:r>
      <w:r w:rsidRPr="001570EA" w:rsidDel="00595016">
        <w:t>runs</w:t>
      </w:r>
      <w:r w:rsidRPr="001570EA">
        <w:t xml:space="preserve"> </w:t>
      </w:r>
      <w:r w:rsidRPr="001570EA" w:rsidDel="00595016">
        <w:t>through</w:t>
      </w:r>
      <w:r w:rsidRPr="001570EA">
        <w:t xml:space="preserve"> </w:t>
      </w:r>
      <w:r w:rsidRPr="001570EA" w:rsidDel="00595016">
        <w:t>the</w:t>
      </w:r>
      <w:r w:rsidRPr="001570EA">
        <w:t xml:space="preserve"> </w:t>
      </w:r>
      <w:r w:rsidRPr="001570EA" w:rsidDel="00595016">
        <w:t>kitchen</w:t>
      </w:r>
      <w:r w:rsidRPr="001570EA">
        <w:t xml:space="preserve"> </w:t>
      </w:r>
      <w:r w:rsidRPr="001570EA" w:rsidDel="00595016">
        <w:t>faucet</w:t>
      </w:r>
      <w:r w:rsidRPr="001570EA">
        <w:t xml:space="preserve"> </w:t>
      </w:r>
      <w:r w:rsidRPr="001570EA" w:rsidDel="00595016">
        <w:t>and</w:t>
      </w:r>
      <w:r w:rsidRPr="001570EA">
        <w:t xml:space="preserve"> </w:t>
      </w:r>
      <w:r w:rsidRPr="001570EA" w:rsidDel="00595016">
        <w:t>30%</w:t>
      </w:r>
      <w:r w:rsidRPr="001570EA">
        <w:t xml:space="preserve"> </w:t>
      </w:r>
      <w:r w:rsidRPr="001570EA" w:rsidDel="00595016">
        <w:t>through</w:t>
      </w:r>
      <w:r w:rsidRPr="001570EA">
        <w:t xml:space="preserve"> </w:t>
      </w:r>
      <w:r w:rsidRPr="001570EA" w:rsidDel="00595016">
        <w:t>the</w:t>
      </w:r>
      <w:r w:rsidRPr="001570EA">
        <w:t xml:space="preserve"> </w:t>
      </w:r>
      <w:r w:rsidRPr="001570EA" w:rsidDel="00595016">
        <w:t>bathroom</w:t>
      </w:r>
      <w:r w:rsidRPr="001570EA">
        <w:rPr>
          <w:rFonts w:cs="Arial"/>
        </w:rPr>
        <w:t xml:space="preserve"> (</w:t>
      </w:r>
      <w:r w:rsidRPr="001570EA" w:rsidDel="00595016">
        <w:rPr>
          <w:rFonts w:cs="Arial"/>
        </w:rPr>
        <w:t>0.7</w:t>
      </w:r>
      <w:r w:rsidRPr="001570EA">
        <w:rPr>
          <w:rFonts w:cs="Arial"/>
        </w:rPr>
        <w:t>×</w:t>
      </w:r>
      <w:r w:rsidRPr="001570EA" w:rsidDel="00595016">
        <w:rPr>
          <w:rFonts w:cs="Arial"/>
        </w:rPr>
        <w:t>0.</w:t>
      </w:r>
      <w:r w:rsidRPr="001570EA" w:rsidDel="00595016">
        <w:rPr>
          <w:rFonts w:eastAsia="Arial" w:cs="Arial"/>
        </w:rPr>
        <w:t>75+0.3</w:t>
      </w:r>
      <w:r w:rsidRPr="001570EA">
        <w:rPr>
          <w:rFonts w:eastAsia="Arial" w:cs="Arial"/>
        </w:rPr>
        <w:t>×0.9</w:t>
      </w:r>
      <w:r w:rsidRPr="001570EA" w:rsidDel="00595016">
        <w:rPr>
          <w:rFonts w:eastAsia="Arial" w:cs="Arial"/>
        </w:rPr>
        <w:t>)=0.795.</w:t>
      </w:r>
    </w:p>
    <w:p w14:paraId="1A1A94AD" w14:textId="18B9F907" w:rsidR="00C71CAA" w:rsidRPr="001570EA" w:rsidRDefault="00C71CAA" w:rsidP="002614D2">
      <w:pPr>
        <w:pStyle w:val="ListParagraph"/>
        <w:numPr>
          <w:ilvl w:val="0"/>
          <w:numId w:val="22"/>
        </w:numPr>
        <w:ind w:left="360"/>
        <w:jc w:val="left"/>
      </w:pPr>
      <w:r w:rsidRPr="001570EA">
        <w:t xml:space="preserve">U.S. Census Bureau, 2017-2021 American Community Survey 5-Year Estimates. </w:t>
      </w:r>
      <w:hyperlink r:id="rId182" w:history="1">
        <w:r w:rsidRPr="001570EA">
          <w:rPr>
            <w:rStyle w:val="Hyperlink"/>
          </w:rPr>
          <w:t>Weblink</w:t>
        </w:r>
      </w:hyperlink>
      <w:r w:rsidRPr="001570EA" w:rsidDel="00755829">
        <w:t xml:space="preserve"> </w:t>
      </w:r>
    </w:p>
    <w:p w14:paraId="08C65E1C" w14:textId="77777777" w:rsidR="00C71CAA" w:rsidRPr="001570EA" w:rsidRDefault="00C71CAA" w:rsidP="002614D2">
      <w:pPr>
        <w:pStyle w:val="ListParagraph"/>
        <w:numPr>
          <w:ilvl w:val="0"/>
          <w:numId w:val="22"/>
        </w:numPr>
        <w:ind w:left="360"/>
        <w:jc w:val="left"/>
      </w:pPr>
      <w:r w:rsidRPr="001570EA">
        <w:t>Weighted average of ISRs from surveys of FirstEnergy customers that received aerators in kits in PY13 and PY14.</w:t>
      </w:r>
      <w:bookmarkStart w:id="485" w:name="_Toc530141482"/>
      <w:bookmarkStart w:id="486" w:name="_Toc364437933"/>
      <w:bookmarkStart w:id="487" w:name="_Toc373320422"/>
      <w:bookmarkStart w:id="488" w:name="_Toc364420785"/>
      <w:bookmarkStart w:id="489" w:name="_Toc364760900"/>
      <w:bookmarkStart w:id="490" w:name="_Hlk525740880"/>
    </w:p>
    <w:p w14:paraId="3D15008F" w14:textId="7B5C84D5" w:rsidR="00C71CAA" w:rsidRPr="001570EA" w:rsidRDefault="00C71CAA" w:rsidP="002614D2">
      <w:pPr>
        <w:pStyle w:val="ListParagraph"/>
        <w:numPr>
          <w:ilvl w:val="0"/>
          <w:numId w:val="22"/>
        </w:numPr>
        <w:ind w:left="360"/>
        <w:jc w:val="left"/>
        <w:sectPr w:rsidR="00C71CAA" w:rsidRPr="001570EA" w:rsidSect="002D556C">
          <w:pgSz w:w="12240" w:h="15840"/>
          <w:pgMar w:top="1440" w:right="1800" w:bottom="1440" w:left="1800" w:header="720" w:footer="501" w:gutter="0"/>
          <w:cols w:space="720"/>
        </w:sectPr>
      </w:pPr>
      <w:r w:rsidRPr="001570EA">
        <w:t xml:space="preserve">Wilson et al. 2021. End-Use Load Profiles for the U.S. Building Stock: Methodology and Results of Model Calibration, Validation, and Uncertainty Quantification. NREL/TP-5500-80889. </w:t>
      </w:r>
      <w:hyperlink r:id="rId183" w:history="1">
        <w:r w:rsidRPr="001570EA">
          <w:rPr>
            <w:rStyle w:val="Hyperlink"/>
          </w:rPr>
          <w:t>Weblink</w:t>
        </w:r>
      </w:hyperlink>
      <w:r w:rsidRPr="001570EA">
        <w:t xml:space="preserve">  </w:t>
      </w:r>
    </w:p>
    <w:p w14:paraId="69C3441D" w14:textId="77777777" w:rsidR="00C71CAA" w:rsidRPr="001570EA" w:rsidRDefault="00C71CAA" w:rsidP="00462D97">
      <w:pPr>
        <w:pStyle w:val="Heading3"/>
      </w:pPr>
      <w:bookmarkStart w:id="491" w:name="_Toc48143036"/>
      <w:bookmarkStart w:id="492" w:name="_Toc164786655"/>
      <w:r w:rsidRPr="001570EA">
        <w:t>Low-Flow Showerheads</w:t>
      </w:r>
      <w:bookmarkEnd w:id="485"/>
      <w:bookmarkEnd w:id="491"/>
      <w:bookmarkEnd w:id="492"/>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8"/>
        <w:gridCol w:w="4964"/>
      </w:tblGrid>
      <w:tr w:rsidR="00C71CAA" w:rsidRPr="001570EA" w14:paraId="78F6189C" w14:textId="77777777">
        <w:trPr>
          <w:trHeight w:hRule="exact" w:val="360"/>
        </w:trPr>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03190865" w14:textId="77777777" w:rsidR="00C71CAA" w:rsidRPr="001570EA" w:rsidRDefault="00C71CAA">
            <w:pPr>
              <w:pStyle w:val="TableCell"/>
              <w:spacing w:before="60" w:after="60" w:line="256" w:lineRule="auto"/>
              <w:rPr>
                <w:b/>
                <w:bCs/>
                <w:color w:val="000000"/>
              </w:rPr>
            </w:pPr>
            <w:r w:rsidRPr="001570EA">
              <w:rPr>
                <w:b/>
                <w:bCs/>
                <w:color w:val="000000"/>
              </w:rPr>
              <w:t>Target Sector</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7263C7D5" w14:textId="77777777" w:rsidR="00C71CAA" w:rsidRPr="001570EA" w:rsidRDefault="00C71CAA">
            <w:pPr>
              <w:pStyle w:val="TableCell"/>
              <w:spacing w:before="60" w:after="60" w:line="256" w:lineRule="auto"/>
              <w:jc w:val="center"/>
              <w:rPr>
                <w:color w:val="000000"/>
              </w:rPr>
            </w:pPr>
            <w:r w:rsidRPr="001570EA">
              <w:rPr>
                <w:color w:val="000000" w:themeColor="text1"/>
              </w:rPr>
              <w:t xml:space="preserve">Residential </w:t>
            </w:r>
          </w:p>
        </w:tc>
      </w:tr>
      <w:tr w:rsidR="00C71CAA" w:rsidRPr="001570EA" w14:paraId="1DA63FB6" w14:textId="77777777">
        <w:trPr>
          <w:trHeight w:hRule="exact" w:val="360"/>
        </w:trPr>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hideMark/>
          </w:tcPr>
          <w:p w14:paraId="141B0E89" w14:textId="77777777" w:rsidR="00C71CAA" w:rsidRPr="001570EA" w:rsidRDefault="00C71CAA">
            <w:pPr>
              <w:pStyle w:val="TableCell"/>
              <w:spacing w:before="60" w:after="60" w:line="256" w:lineRule="auto"/>
              <w:rPr>
                <w:b/>
                <w:bCs/>
                <w:color w:val="000000"/>
              </w:rPr>
            </w:pPr>
            <w:r w:rsidRPr="001570EA">
              <w:rPr>
                <w:b/>
                <w:bCs/>
                <w:color w:val="000000"/>
              </w:rPr>
              <w:t>Measure Unit</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hideMark/>
          </w:tcPr>
          <w:p w14:paraId="6D096CF7" w14:textId="77777777" w:rsidR="00C71CAA" w:rsidRPr="001570EA" w:rsidRDefault="00C71CAA">
            <w:pPr>
              <w:pStyle w:val="TableCell"/>
              <w:spacing w:before="60" w:after="60" w:line="256" w:lineRule="auto"/>
              <w:jc w:val="center"/>
              <w:rPr>
                <w:color w:val="000000"/>
              </w:rPr>
            </w:pPr>
            <w:r w:rsidRPr="001570EA">
              <w:rPr>
                <w:color w:val="000000"/>
              </w:rPr>
              <w:t>Showerhead</w:t>
            </w:r>
          </w:p>
        </w:tc>
      </w:tr>
      <w:tr w:rsidR="00C71CAA" w:rsidRPr="001570EA" w14:paraId="287742A9" w14:textId="77777777">
        <w:trPr>
          <w:trHeight w:hRule="exact" w:val="360"/>
        </w:trPr>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0DE6E5E3" w14:textId="77777777" w:rsidR="00C71CAA" w:rsidRPr="001570EA" w:rsidRDefault="00C71CAA">
            <w:pPr>
              <w:pStyle w:val="TableCell"/>
              <w:spacing w:before="60" w:after="60" w:line="256" w:lineRule="auto"/>
              <w:rPr>
                <w:b/>
                <w:bCs/>
                <w:color w:val="000000"/>
              </w:rPr>
            </w:pPr>
            <w:r w:rsidRPr="001570EA">
              <w:rPr>
                <w:b/>
                <w:bCs/>
                <w:color w:val="000000"/>
              </w:rPr>
              <w:t>Measure Life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6E0DF4DA" w14:textId="77777777" w:rsidR="00C71CAA" w:rsidRPr="001570EA" w:rsidRDefault="00C71CAA">
            <w:pPr>
              <w:pStyle w:val="TableCell"/>
              <w:spacing w:before="60" w:after="60" w:line="256" w:lineRule="auto"/>
              <w:jc w:val="center"/>
              <w:rPr>
                <w:color w:val="000000"/>
                <w:vertAlign w:val="superscript"/>
              </w:rPr>
            </w:pPr>
            <w:r w:rsidRPr="001570EA">
              <w:rPr>
                <w:color w:val="000000"/>
              </w:rPr>
              <w:t>10</w:t>
            </w:r>
            <w:r w:rsidRPr="001570EA">
              <w:rPr>
                <w:color w:val="000000" w:themeColor="text1"/>
              </w:rPr>
              <w:t xml:space="preserve"> years</w:t>
            </w:r>
            <w:r w:rsidRPr="001570EA">
              <w:rPr>
                <w:vertAlign w:val="superscript"/>
              </w:rPr>
              <w:t>Source 1</w:t>
            </w:r>
          </w:p>
        </w:tc>
      </w:tr>
      <w:tr w:rsidR="00C71CAA" w:rsidRPr="001570EA" w14:paraId="4D34A004" w14:textId="77777777">
        <w:trPr>
          <w:trHeight w:hRule="exact" w:val="360"/>
        </w:trPr>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024523CA" w14:textId="77777777" w:rsidR="00C71CAA" w:rsidRPr="001570EA" w:rsidRDefault="00C71CAA">
            <w:pPr>
              <w:pStyle w:val="TableCell"/>
              <w:spacing w:before="60" w:after="60" w:line="256" w:lineRule="auto"/>
              <w:rPr>
                <w:b/>
                <w:bCs/>
                <w:color w:val="000000"/>
              </w:rPr>
            </w:pPr>
            <w:r w:rsidRPr="001570EA">
              <w:rPr>
                <w:b/>
                <w:bCs/>
                <w:color w:val="000000"/>
              </w:rPr>
              <w:t>Vintage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317AC06B" w14:textId="77777777" w:rsidR="00C71CAA" w:rsidRPr="001570EA" w:rsidRDefault="00C71CAA">
            <w:pPr>
              <w:pStyle w:val="TableCell"/>
              <w:spacing w:before="60" w:after="60" w:line="256" w:lineRule="auto"/>
              <w:jc w:val="center"/>
              <w:rPr>
                <w:color w:val="000000"/>
              </w:rPr>
            </w:pPr>
            <w:r w:rsidRPr="001570EA">
              <w:rPr>
                <w:color w:val="000000"/>
              </w:rPr>
              <w:t>Retrofit</w:t>
            </w:r>
            <w:r w:rsidRPr="001570EA">
              <w:t>, New Construction</w:t>
            </w:r>
          </w:p>
        </w:tc>
      </w:tr>
    </w:tbl>
    <w:p w14:paraId="76EB8D72" w14:textId="77777777" w:rsidR="00C71CAA" w:rsidRPr="001570EA" w:rsidRDefault="00C71CAA" w:rsidP="00C71CAA"/>
    <w:p w14:paraId="459E4001" w14:textId="77777777" w:rsidR="00C71CAA" w:rsidRPr="001570EA" w:rsidRDefault="00C71CAA" w:rsidP="00C71CAA">
      <w:pPr>
        <w:pStyle w:val="BodyText"/>
        <w:ind w:right="0"/>
      </w:pPr>
      <w:r w:rsidRPr="001570EA">
        <w:t>This measure relates to the installation of a low-flow (generally 1.5 GPM) showerhead in bathrooms in homes with an electric water heater. The baseline is a standard showerhead using 2.5 GPM.</w:t>
      </w:r>
    </w:p>
    <w:p w14:paraId="630A4E49" w14:textId="77777777" w:rsidR="00C71CAA" w:rsidRPr="001570EA" w:rsidRDefault="00C71CAA" w:rsidP="00C71CAA">
      <w:pPr>
        <w:pStyle w:val="BodyText"/>
        <w:ind w:right="0"/>
      </w:pPr>
    </w:p>
    <w:p w14:paraId="1D6A4440" w14:textId="77777777" w:rsidR="00C71CAA" w:rsidRPr="001570EA" w:rsidRDefault="00C71CAA" w:rsidP="00C71CAA">
      <w:pPr>
        <w:pStyle w:val="SubStyle"/>
      </w:pPr>
      <w:r w:rsidRPr="001570EA">
        <w:t>Eligibility</w:t>
      </w:r>
    </w:p>
    <w:p w14:paraId="10C91D26" w14:textId="77777777" w:rsidR="00C71CAA" w:rsidRPr="001570EA" w:rsidRDefault="00C71CAA" w:rsidP="00C71CAA">
      <w:pPr>
        <w:pStyle w:val="BodyText"/>
        <w:ind w:right="0"/>
      </w:pPr>
      <w:r w:rsidRPr="001570EA">
        <w:t>This protocol documents the energy savings attributable to replacing a standard showerhead with an energy-efficient low-flow showerhead for electric water heaters.</w:t>
      </w:r>
    </w:p>
    <w:p w14:paraId="0E7002BD" w14:textId="77777777" w:rsidR="00C71CAA" w:rsidRPr="001570EA" w:rsidRDefault="00C71CAA" w:rsidP="00C71CAA">
      <w:pPr>
        <w:pStyle w:val="BodyText"/>
        <w:ind w:right="0"/>
      </w:pPr>
    </w:p>
    <w:p w14:paraId="7A25CE85" w14:textId="77777777" w:rsidR="00C71CAA" w:rsidRPr="001570EA" w:rsidRDefault="00C71CAA" w:rsidP="00C71CAA">
      <w:pPr>
        <w:pStyle w:val="SubStyle"/>
      </w:pPr>
      <w:r w:rsidRPr="001570EA">
        <w:t>Algorithms</w:t>
      </w:r>
    </w:p>
    <w:p w14:paraId="1770B78F" w14:textId="77777777" w:rsidR="00C71CAA" w:rsidRPr="001570EA" w:rsidRDefault="00C71CAA" w:rsidP="00C71CAA">
      <w:pPr>
        <w:pStyle w:val="NoSpacing"/>
      </w:pPr>
      <w:r w:rsidRPr="001570EA">
        <w:t>The annual energy savings are obtained through the following formula:</w:t>
      </w:r>
    </w:p>
    <w:p w14:paraId="5A3EAA83" w14:textId="77777777" w:rsidR="00C71CAA" w:rsidRPr="001570EA" w:rsidRDefault="00C71CAA" w:rsidP="00C71CAA">
      <w:pPr>
        <w:pStyle w:val="Equation"/>
        <w:ind w:left="0" w:firstLine="0"/>
        <w:rPr>
          <w:rFonts w:ascii="Cambria Math" w:hAnsi="Cambria Math" w:cs="Arial"/>
          <w:szCs w:val="20"/>
        </w:rPr>
      </w:pPr>
      <m:oMathPara>
        <m:oMathParaPr>
          <m:jc m:val="left"/>
        </m:oMathParaPr>
        <m:oMath>
          <m:r>
            <w:rPr>
              <w:rFonts w:ascii="Cambria Math" w:hAnsi="Cambria Math" w:cs="Arial"/>
              <w:szCs w:val="20"/>
            </w:rPr>
            <m:t xml:space="preserve">∆kWh               = </m:t>
          </m:r>
          <m:f>
            <m:fPr>
              <m:ctrlPr>
                <w:rPr>
                  <w:rFonts w:ascii="Cambria Math" w:hAnsi="Cambria Math" w:cs="Arial"/>
                  <w:i w:val="0"/>
                  <w:szCs w:val="20"/>
                </w:rPr>
              </m:ctrlPr>
            </m:fPr>
            <m:num>
              <m:r>
                <w:rPr>
                  <w:rFonts w:ascii="Cambria Math" w:hAnsi="Cambria Math" w:cs="Arial"/>
                  <w:szCs w:val="20"/>
                </w:rPr>
                <m:t xml:space="preserve"> </m:t>
              </m:r>
              <m:d>
                <m:dPr>
                  <m:ctrlPr>
                    <w:rPr>
                      <w:rFonts w:ascii="Cambria Math" w:hAnsi="Cambria Math" w:cs="Arial"/>
                      <w:i w:val="0"/>
                    </w:rPr>
                  </m:ctrlPr>
                </m:dPr>
                <m:e>
                  <m:sSub>
                    <m:sSubPr>
                      <m:ctrlPr>
                        <w:rPr>
                          <w:rFonts w:ascii="Cambria Math" w:hAnsi="Cambria Math" w:cs="Arial"/>
                          <w:i w:val="0"/>
                        </w:rPr>
                      </m:ctrlPr>
                    </m:sSubPr>
                    <m:e>
                      <m:r>
                        <w:rPr>
                          <w:rFonts w:ascii="Cambria Math" w:hAnsi="Cambria Math" w:cs="Arial"/>
                          <w:szCs w:val="20"/>
                        </w:rPr>
                        <m:t>GPM</m:t>
                      </m:r>
                    </m:e>
                    <m:sub>
                      <m:r>
                        <w:rPr>
                          <w:rFonts w:ascii="Cambria Math" w:hAnsi="Cambria Math" w:cs="Arial"/>
                          <w:szCs w:val="20"/>
                        </w:rPr>
                        <m:t>base</m:t>
                      </m:r>
                    </m:sub>
                  </m:sSub>
                  <m:r>
                    <w:rPr>
                      <w:rFonts w:ascii="Cambria Math" w:hAnsi="Cambria Math" w:cs="Arial"/>
                      <w:szCs w:val="20"/>
                    </w:rPr>
                    <m:t>-</m:t>
                  </m:r>
                  <m:sSub>
                    <m:sSubPr>
                      <m:ctrlPr>
                        <w:rPr>
                          <w:rFonts w:ascii="Cambria Math" w:hAnsi="Cambria Math" w:cs="Arial"/>
                          <w:i w:val="0"/>
                        </w:rPr>
                      </m:ctrlPr>
                    </m:sSubPr>
                    <m:e>
                      <m:r>
                        <w:rPr>
                          <w:rFonts w:ascii="Cambria Math" w:hAnsi="Cambria Math" w:cs="Arial"/>
                          <w:szCs w:val="20"/>
                        </w:rPr>
                        <m:t>GPM</m:t>
                      </m:r>
                    </m:e>
                    <m:sub>
                      <m:r>
                        <w:rPr>
                          <w:rFonts w:ascii="Cambria Math" w:hAnsi="Cambria Math" w:cs="Arial"/>
                          <w:szCs w:val="20"/>
                        </w:rPr>
                        <m:t>low</m:t>
                      </m:r>
                    </m:sub>
                  </m:sSub>
                </m:e>
              </m:d>
              <m:r>
                <w:rPr>
                  <w:rFonts w:ascii="Cambria Math" w:hAnsi="Cambria Math" w:cs="Arial"/>
                  <w:szCs w:val="20"/>
                </w:rPr>
                <m:t xml:space="preserve">× 8.3  × </m:t>
              </m:r>
              <m:d>
                <m:dPr>
                  <m:ctrlPr>
                    <w:rPr>
                      <w:rFonts w:ascii="Cambria Math" w:hAnsi="Cambria Math" w:cs="Arial"/>
                      <w:i w:val="0"/>
                      <w:szCs w:val="20"/>
                    </w:rPr>
                  </m:ctrlPr>
                </m:dPr>
                <m:e>
                  <m:sSub>
                    <m:sSubPr>
                      <m:ctrlPr>
                        <w:rPr>
                          <w:rFonts w:ascii="Cambria Math" w:hAnsi="Cambria Math" w:cs="Arial"/>
                          <w:i w:val="0"/>
                          <w:szCs w:val="20"/>
                        </w:rPr>
                      </m:ctrlPr>
                    </m:sSubPr>
                    <m:e>
                      <m:r>
                        <w:rPr>
                          <w:rFonts w:ascii="Cambria Math" w:hAnsi="Cambria Math" w:cs="Arial"/>
                          <w:szCs w:val="20"/>
                        </w:rPr>
                        <m:t>T</m:t>
                      </m:r>
                    </m:e>
                    <m:sub>
                      <m:r>
                        <w:rPr>
                          <w:rFonts w:ascii="Cambria Math" w:hAnsi="Cambria Math" w:cs="Arial"/>
                          <w:szCs w:val="20"/>
                        </w:rPr>
                        <m:t>out</m:t>
                      </m:r>
                    </m:sub>
                  </m:sSub>
                  <m:r>
                    <w:rPr>
                      <w:rFonts w:ascii="Cambria Math" w:hAnsi="Cambria Math" w:cs="Arial"/>
                      <w:szCs w:val="20"/>
                    </w:rPr>
                    <m:t xml:space="preserve">- </m:t>
                  </m:r>
                  <m:sSub>
                    <m:sSubPr>
                      <m:ctrlPr>
                        <w:rPr>
                          <w:rFonts w:ascii="Cambria Math" w:hAnsi="Cambria Math" w:cs="Arial"/>
                          <w:i w:val="0"/>
                          <w:szCs w:val="20"/>
                        </w:rPr>
                      </m:ctrlPr>
                    </m:sSubPr>
                    <m:e>
                      <m:r>
                        <w:rPr>
                          <w:rFonts w:ascii="Cambria Math" w:hAnsi="Cambria Math" w:cs="Arial"/>
                          <w:szCs w:val="20"/>
                        </w:rPr>
                        <m:t>T</m:t>
                      </m:r>
                    </m:e>
                    <m:sub>
                      <m:r>
                        <w:rPr>
                          <w:rFonts w:ascii="Cambria Math" w:hAnsi="Cambria Math" w:cs="Arial"/>
                          <w:szCs w:val="20"/>
                        </w:rPr>
                        <m:t>in</m:t>
                      </m:r>
                    </m:sub>
                  </m:sSub>
                </m:e>
              </m:d>
              <m:r>
                <w:rPr>
                  <w:rFonts w:ascii="Cambria Math" w:hAnsi="Cambria Math" w:cs="Arial"/>
                  <w:szCs w:val="20"/>
                </w:rPr>
                <m:t xml:space="preserve"> </m:t>
              </m:r>
            </m:num>
            <m:den>
              <m:r>
                <w:rPr>
                  <w:rFonts w:ascii="Cambria Math" w:hAnsi="Cambria Math" w:cs="Arial"/>
                  <w:szCs w:val="20"/>
                </w:rPr>
                <m:t>3412×RE</m:t>
              </m:r>
            </m:den>
          </m:f>
          <m:r>
            <w:rPr>
              <w:rFonts w:ascii="Cambria Math" w:hAnsi="Cambria Math" w:cs="Arial"/>
              <w:szCs w:val="20"/>
            </w:rPr>
            <m:t xml:space="preserve">   × </m:t>
          </m:r>
          <m:f>
            <m:fPr>
              <m:ctrlPr>
                <w:rPr>
                  <w:rFonts w:ascii="Cambria Math" w:hAnsi="Cambria Math" w:cs="Arial"/>
                  <w:i w:val="0"/>
                  <w:szCs w:val="20"/>
                </w:rPr>
              </m:ctrlPr>
            </m:fPr>
            <m:num>
              <m:sSub>
                <m:sSubPr>
                  <m:ctrlPr>
                    <w:rPr>
                      <w:rFonts w:ascii="Cambria Math" w:hAnsi="Cambria Math" w:cs="Arial"/>
                      <w:i w:val="0"/>
                    </w:rPr>
                  </m:ctrlPr>
                </m:sSubPr>
                <m:e>
                  <m:r>
                    <w:rPr>
                      <w:rFonts w:ascii="Cambria Math" w:hAnsi="Cambria Math" w:cs="Arial"/>
                      <w:szCs w:val="20"/>
                    </w:rPr>
                    <m:t>T</m:t>
                  </m:r>
                </m:e>
                <m:sub>
                  <m:r>
                    <w:rPr>
                      <w:rFonts w:ascii="Cambria Math" w:hAnsi="Cambria Math" w:cs="Arial"/>
                      <w:szCs w:val="20"/>
                    </w:rPr>
                    <m:t>person-day</m:t>
                  </m:r>
                </m:sub>
              </m:sSub>
              <m:r>
                <w:rPr>
                  <w:rFonts w:ascii="Cambria Math" w:hAnsi="Cambria Math" w:cs="Arial"/>
                  <w:szCs w:val="20"/>
                </w:rPr>
                <m:t>×</m:t>
              </m:r>
              <m:sSub>
                <m:sSubPr>
                  <m:ctrlPr>
                    <w:rPr>
                      <w:rFonts w:ascii="Cambria Math" w:hAnsi="Cambria Math" w:cs="Arial"/>
                      <w:i w:val="0"/>
                      <w:szCs w:val="20"/>
                    </w:rPr>
                  </m:ctrlPr>
                </m:sSubPr>
                <m:e>
                  <m:r>
                    <w:rPr>
                      <w:rFonts w:ascii="Cambria Math" w:hAnsi="Cambria Math" w:cs="Arial"/>
                      <w:szCs w:val="20"/>
                    </w:rPr>
                    <m:t>N</m:t>
                  </m:r>
                </m:e>
                <m:sub>
                  <m:r>
                    <w:rPr>
                      <w:rFonts w:ascii="Cambria Math" w:hAnsi="Cambria Math" w:cs="Arial"/>
                      <w:szCs w:val="20"/>
                    </w:rPr>
                    <m:t>persons</m:t>
                  </m:r>
                </m:sub>
              </m:sSub>
              <m:r>
                <w:rPr>
                  <w:rFonts w:ascii="Cambria Math" w:hAnsi="Cambria Math" w:cs="Arial"/>
                  <w:szCs w:val="20"/>
                </w:rPr>
                <m:t xml:space="preserve"> × </m:t>
              </m:r>
              <m:sSub>
                <m:sSubPr>
                  <m:ctrlPr>
                    <w:rPr>
                      <w:rFonts w:ascii="Cambria Math" w:hAnsi="Cambria Math" w:cs="Arial"/>
                      <w:i w:val="0"/>
                      <w:szCs w:val="20"/>
                    </w:rPr>
                  </m:ctrlPr>
                </m:sSubPr>
                <m:e>
                  <m:r>
                    <w:rPr>
                      <w:rFonts w:ascii="Cambria Math" w:hAnsi="Cambria Math" w:cs="Arial"/>
                      <w:szCs w:val="20"/>
                    </w:rPr>
                    <m:t>N</m:t>
                  </m:r>
                </m:e>
                <m:sub>
                  <m:r>
                    <w:rPr>
                      <w:rFonts w:ascii="Cambria Math" w:hAnsi="Cambria Math" w:cs="Arial"/>
                      <w:szCs w:val="20"/>
                    </w:rPr>
                    <m:t>showers-day</m:t>
                  </m:r>
                </m:sub>
              </m:sSub>
              <m:r>
                <w:rPr>
                  <w:rFonts w:ascii="Cambria Math" w:hAnsi="Cambria Math" w:cs="Arial"/>
                  <w:szCs w:val="20"/>
                </w:rPr>
                <m:t>×365</m:t>
              </m:r>
            </m:num>
            <m:den>
              <m:sSub>
                <m:sSubPr>
                  <m:ctrlPr>
                    <w:rPr>
                      <w:rFonts w:ascii="Cambria Math" w:hAnsi="Cambria Math" w:cs="Arial"/>
                      <w:i w:val="0"/>
                      <w:szCs w:val="20"/>
                    </w:rPr>
                  </m:ctrlPr>
                </m:sSubPr>
                <m:e>
                  <m:r>
                    <w:rPr>
                      <w:rFonts w:ascii="Cambria Math" w:hAnsi="Cambria Math" w:cs="Arial"/>
                      <w:szCs w:val="20"/>
                    </w:rPr>
                    <m:t>N</m:t>
                  </m:r>
                </m:e>
                <m:sub>
                  <m:r>
                    <w:rPr>
                      <w:rFonts w:ascii="Cambria Math" w:hAnsi="Cambria Math" w:cs="Arial"/>
                      <w:szCs w:val="20"/>
                    </w:rPr>
                    <m:t>showerheads-home</m:t>
                  </m:r>
                </m:sub>
              </m:sSub>
            </m:den>
          </m:f>
          <m:r>
            <w:rPr>
              <w:rFonts w:ascii="Cambria Math" w:hAnsi="Cambria Math" w:cs="Arial"/>
              <w:szCs w:val="20"/>
            </w:rPr>
            <m:t xml:space="preserve">×ISR ×ELEC    </m:t>
          </m:r>
        </m:oMath>
      </m:oMathPara>
    </w:p>
    <w:p w14:paraId="31203AF5" w14:textId="77777777" w:rsidR="00C71CAA" w:rsidRPr="001570EA" w:rsidRDefault="00C71CAA" w:rsidP="00C71CAA">
      <w:pPr>
        <w:pStyle w:val="Equation"/>
        <w:rPr>
          <w:rFonts w:cs="Arial"/>
          <w:szCs w:val="20"/>
        </w:rPr>
      </w:pPr>
    </w:p>
    <w:p w14:paraId="3C829AE7" w14:textId="77777777" w:rsidR="00C71CAA" w:rsidRPr="001570EA" w:rsidRDefault="00C71CAA" w:rsidP="00C71CAA">
      <w:pPr>
        <w:pStyle w:val="BodyText"/>
        <w:rPr>
          <w:rFonts w:cs="Arial"/>
        </w:rPr>
      </w:pPr>
      <m:oMathPara>
        <m:oMathParaPr>
          <m:jc m:val="left"/>
        </m:oMathParaPr>
        <m:oMath>
          <m:r>
            <w:rPr>
              <w:rFonts w:ascii="Cambria Math" w:hAnsi="Cambria Math" w:cs="Arial"/>
              <w:vertAlign w:val="subscript"/>
            </w:rPr>
            <m:t>∆</m:t>
          </m:r>
          <m:sSub>
            <m:sSubPr>
              <m:ctrlPr>
                <w:rPr>
                  <w:rFonts w:ascii="Cambria Math" w:hAnsi="Cambria Math" w:cs="Arial"/>
                  <w:vertAlign w:val="subscript"/>
                </w:rPr>
              </m:ctrlPr>
            </m:sSubPr>
            <m:e>
              <m:r>
                <w:rPr>
                  <w:rFonts w:ascii="Cambria Math" w:hAnsi="Cambria Math" w:cs="Arial"/>
                  <w:vertAlign w:val="subscript"/>
                </w:rPr>
                <m:t>kW</m:t>
              </m:r>
            </m:e>
            <m:sub>
              <m:r>
                <w:rPr>
                  <w:rFonts w:ascii="Cambria Math" w:hAnsi="Cambria Math" w:cs="Arial"/>
                  <w:vertAlign w:val="subscript"/>
                </w:rPr>
                <m:t>summer peak</m:t>
              </m:r>
            </m:sub>
          </m:sSub>
          <m:r>
            <w:rPr>
              <w:rFonts w:ascii="Cambria Math" w:hAnsi="Cambria Math" w:cs="Arial"/>
              <w:vertAlign w:val="subscript"/>
            </w:rPr>
            <m:t xml:space="preserve">                               =</m:t>
          </m:r>
          <m:r>
            <w:rPr>
              <w:rFonts w:ascii="Cambria Math" w:hAnsi="Cambria Math" w:cs="Arial"/>
            </w:rPr>
            <m:t>∆kWh×</m:t>
          </m:r>
          <m:sSub>
            <m:sSubPr>
              <m:ctrlPr>
                <w:rPr>
                  <w:rFonts w:ascii="Cambria Math" w:hAnsi="Cambria Math" w:cs="Arial"/>
                  <w:i/>
                </w:rPr>
              </m:ctrlPr>
            </m:sSubPr>
            <m:e>
              <m:r>
                <w:rPr>
                  <w:rFonts w:ascii="Cambria Math" w:hAnsi="Cambria Math" w:cs="Arial"/>
                </w:rPr>
                <m:t>ETDF</m:t>
              </m:r>
            </m:e>
            <m:sub>
              <m:r>
                <w:rPr>
                  <w:rFonts w:ascii="Cambria Math" w:hAnsi="Cambria Math" w:cs="Arial"/>
                </w:rPr>
                <m:t>s</m:t>
              </m:r>
            </m:sub>
          </m:sSub>
        </m:oMath>
      </m:oMathPara>
    </w:p>
    <w:p w14:paraId="797D57D9" w14:textId="77777777" w:rsidR="00C71CAA" w:rsidRPr="001570EA" w:rsidRDefault="00C71CAA" w:rsidP="00C71CAA">
      <w:pPr>
        <w:pStyle w:val="BodyText"/>
        <w:rPr>
          <w:rFonts w:cs="Arial"/>
          <w:vertAlign w:val="subscript"/>
        </w:rPr>
      </w:pPr>
    </w:p>
    <w:p w14:paraId="58A0080E" w14:textId="77777777" w:rsidR="00C71CAA" w:rsidRPr="001570EA" w:rsidRDefault="00C71CAA" w:rsidP="00C71CAA">
      <w:pPr>
        <w:pStyle w:val="BodyText"/>
        <w:rPr>
          <w:rFonts w:cs="Arial"/>
        </w:rPr>
      </w:pPr>
      <m:oMathPara>
        <m:oMathParaPr>
          <m:jc m:val="left"/>
        </m:oMathParaPr>
        <m:oMath>
          <m:r>
            <w:rPr>
              <w:rFonts w:ascii="Cambria Math" w:hAnsi="Cambria Math" w:cs="Arial"/>
              <w:vertAlign w:val="subscript"/>
            </w:rPr>
            <m:t>∆</m:t>
          </m:r>
          <m:sSub>
            <m:sSubPr>
              <m:ctrlPr>
                <w:rPr>
                  <w:rFonts w:ascii="Cambria Math" w:hAnsi="Cambria Math" w:cs="Arial"/>
                  <w:vertAlign w:val="subscript"/>
                </w:rPr>
              </m:ctrlPr>
            </m:sSubPr>
            <m:e>
              <m:r>
                <w:rPr>
                  <w:rFonts w:ascii="Cambria Math" w:hAnsi="Cambria Math" w:cs="Arial"/>
                  <w:vertAlign w:val="subscript"/>
                </w:rPr>
                <m:t>kW</m:t>
              </m:r>
            </m:e>
            <m:sub>
              <m:r>
                <w:rPr>
                  <w:rFonts w:ascii="Cambria Math" w:hAnsi="Cambria Math" w:cs="Arial"/>
                  <w:vertAlign w:val="subscript"/>
                </w:rPr>
                <m:t>winter peak</m:t>
              </m:r>
            </m:sub>
          </m:sSub>
          <m:r>
            <w:rPr>
              <w:rFonts w:ascii="Cambria Math" w:hAnsi="Cambria Math" w:cs="Arial"/>
              <w:vertAlign w:val="subscript"/>
            </w:rPr>
            <m:t xml:space="preserve">                               =</m:t>
          </m:r>
          <m:r>
            <w:rPr>
              <w:rFonts w:ascii="Cambria Math" w:hAnsi="Cambria Math" w:cs="Arial"/>
            </w:rPr>
            <m:t>∆ kWh×</m:t>
          </m:r>
          <m:sSub>
            <m:sSubPr>
              <m:ctrlPr>
                <w:rPr>
                  <w:rFonts w:ascii="Cambria Math" w:hAnsi="Cambria Math" w:cs="Arial"/>
                  <w:i/>
                </w:rPr>
              </m:ctrlPr>
            </m:sSubPr>
            <m:e>
              <m:r>
                <w:rPr>
                  <w:rFonts w:ascii="Cambria Math" w:hAnsi="Cambria Math" w:cs="Arial"/>
                </w:rPr>
                <m:t>ETDF</m:t>
              </m:r>
            </m:e>
            <m:sub>
              <m:r>
                <w:rPr>
                  <w:rFonts w:ascii="Cambria Math" w:hAnsi="Cambria Math" w:cs="Arial"/>
                </w:rPr>
                <m:t>w</m:t>
              </m:r>
            </m:sub>
          </m:sSub>
        </m:oMath>
      </m:oMathPara>
    </w:p>
    <w:p w14:paraId="0E61F467" w14:textId="77777777" w:rsidR="00C71CAA" w:rsidRPr="001570EA" w:rsidRDefault="00C71CAA" w:rsidP="00C71CAA">
      <w:pPr>
        <w:pStyle w:val="SubStyle"/>
      </w:pPr>
    </w:p>
    <w:p w14:paraId="5EE9DBCC" w14:textId="77777777" w:rsidR="00C71CAA" w:rsidRPr="001570EA" w:rsidRDefault="00C71CAA" w:rsidP="00C71CAA">
      <w:pPr>
        <w:pStyle w:val="SubStyle"/>
      </w:pPr>
      <w:r w:rsidRPr="001570EA">
        <w:t>Definition of Terms</w:t>
      </w:r>
    </w:p>
    <w:p w14:paraId="4CA20CC8" w14:textId="7B6CEEA7" w:rsidR="00C71CAA" w:rsidRPr="001570EA" w:rsidRDefault="00C71CAA" w:rsidP="00C71CAA">
      <w:pPr>
        <w:pStyle w:val="Caption"/>
      </w:pPr>
      <w:bookmarkStart w:id="493" w:name="_Toc47598306"/>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73</w:t>
      </w:r>
      <w:r w:rsidR="002E093A" w:rsidRPr="001570EA">
        <w:fldChar w:fldCharType="end"/>
      </w:r>
      <w:r w:rsidRPr="001570EA">
        <w:t>: Terms</w:t>
      </w:r>
      <w:r w:rsidRPr="001570EA">
        <w:rPr>
          <w:rFonts w:cs="Arial"/>
        </w:rPr>
        <w:t>, Values, and References for</w:t>
      </w:r>
      <w:r w:rsidRPr="001570EA">
        <w:t xml:space="preserve"> Low-Flow Showerhead</w:t>
      </w:r>
      <w:bookmarkEnd w:id="493"/>
    </w:p>
    <w:tbl>
      <w:tblPr>
        <w:tblW w:w="8527" w:type="dxa"/>
        <w:tblInd w:w="108" w:type="dxa"/>
        <w:tblLayout w:type="fixed"/>
        <w:tblLook w:val="04A0" w:firstRow="1" w:lastRow="0" w:firstColumn="1" w:lastColumn="0" w:noHBand="0" w:noVBand="1"/>
      </w:tblPr>
      <w:tblGrid>
        <w:gridCol w:w="3510"/>
        <w:gridCol w:w="1620"/>
        <w:gridCol w:w="2160"/>
        <w:gridCol w:w="1237"/>
      </w:tblGrid>
      <w:tr w:rsidR="00C71CAA" w:rsidRPr="001570EA" w14:paraId="451E5998" w14:textId="77777777">
        <w:trPr>
          <w:tblHeader/>
        </w:trPr>
        <w:tc>
          <w:tcPr>
            <w:tcW w:w="3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D12F2B" w14:textId="77777777" w:rsidR="00C71CAA" w:rsidRPr="001570EA" w:rsidRDefault="00C71CAA">
            <w:pPr>
              <w:spacing w:before="60" w:after="60"/>
              <w:rPr>
                <w:rFonts w:cs="Arial"/>
                <w:sz w:val="18"/>
                <w:szCs w:val="18"/>
              </w:rPr>
            </w:pPr>
            <w:r w:rsidRPr="001570EA">
              <w:rPr>
                <w:b/>
                <w:sz w:val="18"/>
                <w:szCs w:val="18"/>
              </w:rPr>
              <w:t>Term</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0B6EA6" w14:textId="77777777" w:rsidR="00C71CAA" w:rsidRPr="001570EA" w:rsidRDefault="00C71CAA">
            <w:pPr>
              <w:spacing w:before="60" w:after="60"/>
              <w:jc w:val="center"/>
              <w:rPr>
                <w:rFonts w:cs="Arial"/>
                <w:sz w:val="18"/>
                <w:szCs w:val="18"/>
              </w:rPr>
            </w:pPr>
            <w:r w:rsidRPr="001570EA">
              <w:rPr>
                <w:b/>
                <w:sz w:val="18"/>
                <w:szCs w:val="18"/>
              </w:rPr>
              <w:t>Unit</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A08AAE" w14:textId="77777777" w:rsidR="00C71CAA" w:rsidRPr="001570EA" w:rsidRDefault="00C71CAA">
            <w:pPr>
              <w:spacing w:before="60" w:after="60"/>
              <w:jc w:val="center"/>
              <w:rPr>
                <w:rFonts w:cs="Arial"/>
                <w:sz w:val="18"/>
                <w:szCs w:val="18"/>
              </w:rPr>
            </w:pPr>
            <w:r w:rsidRPr="001570EA">
              <w:rPr>
                <w:b/>
                <w:sz w:val="18"/>
                <w:szCs w:val="18"/>
              </w:rPr>
              <w:t>Value</w:t>
            </w:r>
          </w:p>
        </w:tc>
        <w:tc>
          <w:tcPr>
            <w:tcW w:w="12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F50DC7" w14:textId="77777777" w:rsidR="00C71CAA" w:rsidRPr="001570EA" w:rsidRDefault="00C71CAA">
            <w:pPr>
              <w:spacing w:before="60" w:after="60"/>
              <w:jc w:val="center"/>
              <w:rPr>
                <w:rFonts w:cs="Arial"/>
                <w:sz w:val="18"/>
                <w:szCs w:val="18"/>
              </w:rPr>
            </w:pPr>
            <w:r w:rsidRPr="001570EA">
              <w:rPr>
                <w:b/>
                <w:sz w:val="18"/>
                <w:szCs w:val="18"/>
              </w:rPr>
              <w:t>Source</w:t>
            </w:r>
          </w:p>
        </w:tc>
      </w:tr>
      <w:tr w:rsidR="00C71CAA" w:rsidRPr="001570EA" w14:paraId="3624F0C8" w14:textId="77777777">
        <w:tc>
          <w:tcPr>
            <w:tcW w:w="3510" w:type="dxa"/>
            <w:tcBorders>
              <w:top w:val="single" w:sz="4" w:space="0" w:color="auto"/>
              <w:left w:val="single" w:sz="4" w:space="0" w:color="auto"/>
              <w:bottom w:val="single" w:sz="4" w:space="0" w:color="auto"/>
              <w:right w:val="single" w:sz="4" w:space="0" w:color="auto"/>
            </w:tcBorders>
            <w:hideMark/>
          </w:tcPr>
          <w:p w14:paraId="385FEEF1" w14:textId="5BC05BB0" w:rsidR="00C71CAA" w:rsidRPr="001570EA" w:rsidRDefault="00C71CAA">
            <w:pPr>
              <w:spacing w:before="60" w:after="60"/>
              <w:rPr>
                <w:rFonts w:cs="Arial"/>
                <w:sz w:val="18"/>
                <w:szCs w:val="18"/>
              </w:rPr>
            </w:pPr>
            <w:r w:rsidRPr="001570EA">
              <w:rPr>
                <w:rFonts w:ascii="Cambria Math" w:hAnsi="Cambria Math"/>
                <w:i/>
                <w:sz w:val="18"/>
                <w:szCs w:val="18"/>
              </w:rPr>
              <w:t>GPM</w:t>
            </w:r>
            <w:r w:rsidRPr="001570EA">
              <w:rPr>
                <w:rFonts w:ascii="Cambria Math" w:hAnsi="Cambria Math"/>
                <w:i/>
                <w:sz w:val="18"/>
                <w:szCs w:val="18"/>
                <w:vertAlign w:val="subscript"/>
              </w:rPr>
              <w:t>base</w:t>
            </w:r>
            <w:r w:rsidRPr="001570EA">
              <w:rPr>
                <w:sz w:val="18"/>
                <w:szCs w:val="18"/>
              </w:rPr>
              <w:t>, Gallons per minute of baseline showerhead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35E5B68" w14:textId="77777777" w:rsidR="00C71CAA" w:rsidRPr="001570EA" w:rsidRDefault="003B5E04">
            <w:pPr>
              <w:spacing w:before="60" w:after="60"/>
              <w:jc w:val="center"/>
              <w:rPr>
                <w:rFonts w:cs="Arial"/>
                <w:sz w:val="18"/>
                <w:szCs w:val="18"/>
              </w:rPr>
            </w:pPr>
            <m:oMathPara>
              <m:oMath>
                <m:f>
                  <m:fPr>
                    <m:ctrlPr>
                      <w:rPr>
                        <w:rFonts w:ascii="Cambria Math" w:hAnsi="Cambria Math" w:cs="Arial"/>
                        <w:i/>
                        <w:color w:val="000000"/>
                        <w:sz w:val="18"/>
                        <w:szCs w:val="18"/>
                      </w:rPr>
                    </m:ctrlPr>
                  </m:fPr>
                  <m:num>
                    <m:r>
                      <w:rPr>
                        <w:rFonts w:ascii="Cambria Math" w:hAnsi="Cambria Math" w:cs="Arial"/>
                        <w:color w:val="000000"/>
                        <w:sz w:val="18"/>
                        <w:szCs w:val="18"/>
                      </w:rPr>
                      <m:t xml:space="preserve">gallons </m:t>
                    </m:r>
                  </m:num>
                  <m:den>
                    <m:r>
                      <w:rPr>
                        <w:rFonts w:ascii="Cambria Math" w:hAnsi="Cambria Math" w:cs="Arial"/>
                        <w:color w:val="000000"/>
                        <w:sz w:val="18"/>
                        <w:szCs w:val="18"/>
                      </w:rPr>
                      <m:t>minute</m:t>
                    </m:r>
                  </m:den>
                </m:f>
              </m:oMath>
            </m:oMathPara>
          </w:p>
        </w:tc>
        <w:tc>
          <w:tcPr>
            <w:tcW w:w="2160" w:type="dxa"/>
            <w:tcBorders>
              <w:top w:val="single" w:sz="4" w:space="0" w:color="auto"/>
              <w:left w:val="single" w:sz="4" w:space="0" w:color="auto"/>
              <w:bottom w:val="single" w:sz="4" w:space="0" w:color="auto"/>
              <w:right w:val="single" w:sz="4" w:space="0" w:color="auto"/>
            </w:tcBorders>
            <w:vAlign w:val="center"/>
            <w:hideMark/>
          </w:tcPr>
          <w:p w14:paraId="65E58609" w14:textId="77777777" w:rsidR="00C71CAA" w:rsidRPr="001570EA" w:rsidRDefault="00C71CAA">
            <w:pPr>
              <w:spacing w:before="60" w:after="60"/>
              <w:jc w:val="center"/>
              <w:rPr>
                <w:sz w:val="18"/>
                <w:szCs w:val="18"/>
              </w:rPr>
            </w:pPr>
            <w:r w:rsidRPr="001570EA">
              <w:rPr>
                <w:sz w:val="18"/>
                <w:szCs w:val="18"/>
              </w:rPr>
              <w:t>EDC Data Gathering or</w:t>
            </w:r>
          </w:p>
          <w:p w14:paraId="3153FEA2" w14:textId="77777777" w:rsidR="00C71CAA" w:rsidRPr="001570EA" w:rsidRDefault="00C71CAA">
            <w:pPr>
              <w:spacing w:before="60" w:after="60"/>
              <w:jc w:val="center"/>
              <w:rPr>
                <w:sz w:val="18"/>
                <w:szCs w:val="18"/>
              </w:rPr>
            </w:pPr>
            <w:r w:rsidRPr="001570EA">
              <w:rPr>
                <w:sz w:val="18"/>
                <w:szCs w:val="18"/>
              </w:rPr>
              <w:t>Default = 2.5</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E5C4DE3" w14:textId="77777777" w:rsidR="00C71CAA" w:rsidRPr="001570EA" w:rsidRDefault="00C71CAA">
            <w:pPr>
              <w:spacing w:before="60" w:after="60"/>
              <w:jc w:val="center"/>
              <w:rPr>
                <w:rFonts w:cs="Arial"/>
                <w:sz w:val="18"/>
                <w:szCs w:val="18"/>
              </w:rPr>
            </w:pPr>
            <w:r w:rsidRPr="001570EA">
              <w:rPr>
                <w:sz w:val="18"/>
                <w:szCs w:val="18"/>
              </w:rPr>
              <w:t>2</w:t>
            </w:r>
          </w:p>
        </w:tc>
      </w:tr>
      <w:tr w:rsidR="00C71CAA" w:rsidRPr="001570EA" w14:paraId="5F0A43C6" w14:textId="77777777">
        <w:tc>
          <w:tcPr>
            <w:tcW w:w="3510" w:type="dxa"/>
            <w:tcBorders>
              <w:top w:val="single" w:sz="4" w:space="0" w:color="auto"/>
              <w:left w:val="single" w:sz="4" w:space="0" w:color="auto"/>
              <w:bottom w:val="single" w:sz="4" w:space="0" w:color="auto"/>
              <w:right w:val="single" w:sz="4" w:space="0" w:color="auto"/>
            </w:tcBorders>
            <w:hideMark/>
          </w:tcPr>
          <w:p w14:paraId="4235F11D" w14:textId="7D8A6745" w:rsidR="00C71CAA" w:rsidRPr="001570EA" w:rsidRDefault="00C71CAA">
            <w:pPr>
              <w:spacing w:before="60" w:after="60"/>
              <w:rPr>
                <w:rFonts w:cs="Arial"/>
                <w:sz w:val="18"/>
                <w:szCs w:val="18"/>
              </w:rPr>
            </w:pPr>
            <w:r w:rsidRPr="001570EA">
              <w:rPr>
                <w:rFonts w:ascii="Cambria Math" w:hAnsi="Cambria Math"/>
                <w:i/>
                <w:sz w:val="18"/>
                <w:szCs w:val="18"/>
              </w:rPr>
              <w:t>GPM</w:t>
            </w:r>
            <w:r w:rsidRPr="001570EA">
              <w:rPr>
                <w:rFonts w:ascii="Cambria Math" w:hAnsi="Cambria Math"/>
                <w:i/>
                <w:sz w:val="18"/>
                <w:szCs w:val="18"/>
                <w:vertAlign w:val="subscript"/>
              </w:rPr>
              <w:t>low</w:t>
            </w:r>
            <w:r w:rsidRPr="001570EA">
              <w:rPr>
                <w:sz w:val="18"/>
                <w:szCs w:val="18"/>
              </w:rPr>
              <w:t>, Gallons per minute of low-flow showerhead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A6FB1D0" w14:textId="77777777" w:rsidR="00C71CAA" w:rsidRPr="001570EA" w:rsidRDefault="003B5E04">
            <w:pPr>
              <w:spacing w:before="60" w:after="60"/>
              <w:jc w:val="center"/>
              <w:rPr>
                <w:rFonts w:cs="Arial"/>
                <w:sz w:val="18"/>
                <w:szCs w:val="18"/>
              </w:rPr>
            </w:pPr>
            <m:oMathPara>
              <m:oMath>
                <m:f>
                  <m:fPr>
                    <m:ctrlPr>
                      <w:rPr>
                        <w:rFonts w:ascii="Cambria Math" w:hAnsi="Cambria Math" w:cs="Arial"/>
                        <w:i/>
                        <w:color w:val="000000"/>
                        <w:sz w:val="18"/>
                        <w:szCs w:val="18"/>
                      </w:rPr>
                    </m:ctrlPr>
                  </m:fPr>
                  <m:num>
                    <m:r>
                      <w:rPr>
                        <w:rFonts w:ascii="Cambria Math" w:hAnsi="Cambria Math" w:cs="Arial"/>
                        <w:color w:val="000000"/>
                        <w:sz w:val="18"/>
                        <w:szCs w:val="18"/>
                      </w:rPr>
                      <m:t xml:space="preserve">gallons </m:t>
                    </m:r>
                  </m:num>
                  <m:den>
                    <m:r>
                      <w:rPr>
                        <w:rFonts w:ascii="Cambria Math" w:hAnsi="Cambria Math" w:cs="Arial"/>
                        <w:color w:val="000000"/>
                        <w:sz w:val="18"/>
                        <w:szCs w:val="18"/>
                      </w:rPr>
                      <m:t>minute</m:t>
                    </m:r>
                  </m:den>
                </m:f>
              </m:oMath>
            </m:oMathPara>
          </w:p>
        </w:tc>
        <w:tc>
          <w:tcPr>
            <w:tcW w:w="2160" w:type="dxa"/>
            <w:tcBorders>
              <w:top w:val="single" w:sz="4" w:space="0" w:color="auto"/>
              <w:left w:val="single" w:sz="4" w:space="0" w:color="auto"/>
              <w:bottom w:val="single" w:sz="4" w:space="0" w:color="auto"/>
              <w:right w:val="single" w:sz="4" w:space="0" w:color="auto"/>
            </w:tcBorders>
            <w:vAlign w:val="center"/>
            <w:hideMark/>
          </w:tcPr>
          <w:p w14:paraId="1A054EF5" w14:textId="77777777" w:rsidR="00C71CAA" w:rsidRPr="001570EA" w:rsidRDefault="00C71CAA">
            <w:pPr>
              <w:spacing w:before="60" w:after="60"/>
              <w:jc w:val="center"/>
              <w:rPr>
                <w:rFonts w:cs="Arial"/>
                <w:sz w:val="18"/>
                <w:szCs w:val="18"/>
              </w:rPr>
            </w:pPr>
            <w:r w:rsidRPr="001570EA">
              <w:rPr>
                <w:sz w:val="18"/>
                <w:szCs w:val="18"/>
              </w:rPr>
              <w:t>EDC Data Gathering</w:t>
            </w:r>
          </w:p>
        </w:tc>
        <w:tc>
          <w:tcPr>
            <w:tcW w:w="1237" w:type="dxa"/>
            <w:tcBorders>
              <w:top w:val="single" w:sz="4" w:space="0" w:color="auto"/>
              <w:left w:val="single" w:sz="4" w:space="0" w:color="auto"/>
              <w:bottom w:val="single" w:sz="4" w:space="0" w:color="auto"/>
              <w:right w:val="single" w:sz="4" w:space="0" w:color="auto"/>
            </w:tcBorders>
            <w:vAlign w:val="center"/>
            <w:hideMark/>
          </w:tcPr>
          <w:p w14:paraId="58B2D10A" w14:textId="77777777" w:rsidR="00C71CAA" w:rsidRPr="001570EA" w:rsidRDefault="00C71CAA">
            <w:pPr>
              <w:spacing w:before="60" w:after="60"/>
              <w:jc w:val="center"/>
              <w:rPr>
                <w:rFonts w:cs="Arial"/>
                <w:sz w:val="18"/>
                <w:szCs w:val="18"/>
              </w:rPr>
            </w:pPr>
            <w:r w:rsidRPr="001570EA">
              <w:rPr>
                <w:color w:val="000000"/>
                <w:sz w:val="18"/>
                <w:szCs w:val="18"/>
              </w:rPr>
              <w:t>EDC Data Gathering</w:t>
            </w:r>
          </w:p>
        </w:tc>
      </w:tr>
      <w:tr w:rsidR="00C71CAA" w:rsidRPr="001570EA" w14:paraId="567CA664" w14:textId="77777777">
        <w:tc>
          <w:tcPr>
            <w:tcW w:w="3510" w:type="dxa"/>
            <w:tcBorders>
              <w:top w:val="single" w:sz="4" w:space="0" w:color="auto"/>
              <w:left w:val="single" w:sz="4" w:space="0" w:color="auto"/>
              <w:bottom w:val="single" w:sz="4" w:space="0" w:color="auto"/>
              <w:right w:val="single" w:sz="4" w:space="0" w:color="auto"/>
            </w:tcBorders>
          </w:tcPr>
          <w:p w14:paraId="27D6E649" w14:textId="41A8B754" w:rsidR="00C71CAA" w:rsidRPr="001570EA" w:rsidRDefault="00C71CAA">
            <w:pPr>
              <w:spacing w:before="60" w:after="60"/>
              <w:rPr>
                <w:sz w:val="18"/>
                <w:szCs w:val="18"/>
              </w:rPr>
            </w:pPr>
            <w:r w:rsidRPr="001570EA">
              <w:rPr>
                <w:rFonts w:ascii="Cambria Math" w:hAnsi="Cambria Math" w:cs="Arial"/>
                <w:i/>
                <w:sz w:val="18"/>
                <w:szCs w:val="18"/>
              </w:rPr>
              <w:t>T</w:t>
            </w:r>
            <w:r w:rsidRPr="001570EA">
              <w:rPr>
                <w:rFonts w:ascii="Cambria Math" w:hAnsi="Cambria Math" w:cs="Arial"/>
                <w:i/>
                <w:sz w:val="18"/>
                <w:szCs w:val="18"/>
                <w:vertAlign w:val="subscript"/>
              </w:rPr>
              <w:t>out</w:t>
            </w:r>
            <w:r w:rsidRPr="001570EA">
              <w:rPr>
                <w:sz w:val="18"/>
                <w:szCs w:val="18"/>
              </w:rPr>
              <w:t>, Assumed temperature of water used by showerhead</w:t>
            </w:r>
          </w:p>
        </w:tc>
        <w:tc>
          <w:tcPr>
            <w:tcW w:w="1620" w:type="dxa"/>
            <w:tcBorders>
              <w:top w:val="single" w:sz="4" w:space="0" w:color="auto"/>
              <w:left w:val="single" w:sz="4" w:space="0" w:color="auto"/>
              <w:bottom w:val="single" w:sz="4" w:space="0" w:color="auto"/>
              <w:right w:val="single" w:sz="4" w:space="0" w:color="auto"/>
            </w:tcBorders>
            <w:vAlign w:val="center"/>
          </w:tcPr>
          <w:p w14:paraId="7A4D52D0" w14:textId="77777777" w:rsidR="00C71CAA" w:rsidRPr="001570EA" w:rsidRDefault="00C71CAA">
            <w:pPr>
              <w:spacing w:before="60" w:after="60"/>
              <w:jc w:val="center"/>
              <w:rPr>
                <w:rFonts w:cs="Arial"/>
                <w:color w:val="000000"/>
                <w:sz w:val="18"/>
                <w:szCs w:val="18"/>
              </w:rPr>
            </w:pPr>
            <w:r w:rsidRPr="001570EA">
              <w:rPr>
                <w:rFonts w:cs="Arial"/>
                <w:i/>
                <w:sz w:val="18"/>
                <w:szCs w:val="18"/>
              </w:rPr>
              <w:t>° F</w:t>
            </w:r>
          </w:p>
        </w:tc>
        <w:tc>
          <w:tcPr>
            <w:tcW w:w="2160" w:type="dxa"/>
            <w:tcBorders>
              <w:top w:val="single" w:sz="4" w:space="0" w:color="auto"/>
              <w:left w:val="single" w:sz="4" w:space="0" w:color="auto"/>
              <w:bottom w:val="single" w:sz="4" w:space="0" w:color="auto"/>
              <w:right w:val="single" w:sz="4" w:space="0" w:color="auto"/>
            </w:tcBorders>
            <w:vAlign w:val="center"/>
          </w:tcPr>
          <w:p w14:paraId="036EDCAB" w14:textId="77777777" w:rsidR="00C71CAA" w:rsidRPr="001570EA" w:rsidRDefault="00C71CAA">
            <w:pPr>
              <w:spacing w:before="60" w:after="60"/>
              <w:jc w:val="center"/>
              <w:rPr>
                <w:sz w:val="18"/>
                <w:szCs w:val="18"/>
              </w:rPr>
            </w:pPr>
            <w:r w:rsidRPr="001570EA">
              <w:rPr>
                <w:rFonts w:cs="Arial"/>
                <w:sz w:val="18"/>
                <w:szCs w:val="18"/>
              </w:rPr>
              <w:t>101</w:t>
            </w:r>
          </w:p>
        </w:tc>
        <w:tc>
          <w:tcPr>
            <w:tcW w:w="1237" w:type="dxa"/>
            <w:tcBorders>
              <w:top w:val="single" w:sz="4" w:space="0" w:color="auto"/>
              <w:left w:val="single" w:sz="4" w:space="0" w:color="auto"/>
              <w:bottom w:val="single" w:sz="4" w:space="0" w:color="auto"/>
              <w:right w:val="single" w:sz="4" w:space="0" w:color="auto"/>
            </w:tcBorders>
            <w:vAlign w:val="center"/>
          </w:tcPr>
          <w:p w14:paraId="4F143D33" w14:textId="77777777" w:rsidR="00C71CAA" w:rsidRPr="001570EA" w:rsidDel="00C6276E" w:rsidRDefault="00C71CAA">
            <w:pPr>
              <w:spacing w:before="60" w:after="60"/>
              <w:jc w:val="center"/>
              <w:rPr>
                <w:sz w:val="18"/>
                <w:szCs w:val="18"/>
              </w:rPr>
            </w:pPr>
            <w:r w:rsidRPr="001570EA">
              <w:rPr>
                <w:sz w:val="18"/>
                <w:szCs w:val="18"/>
              </w:rPr>
              <w:t>7</w:t>
            </w:r>
          </w:p>
        </w:tc>
      </w:tr>
      <w:tr w:rsidR="00C71CAA" w:rsidRPr="001570EA" w14:paraId="6C5E893E" w14:textId="77777777">
        <w:tc>
          <w:tcPr>
            <w:tcW w:w="3510" w:type="dxa"/>
            <w:tcBorders>
              <w:top w:val="single" w:sz="4" w:space="0" w:color="auto"/>
              <w:left w:val="single" w:sz="4" w:space="0" w:color="auto"/>
              <w:bottom w:val="single" w:sz="4" w:space="0" w:color="auto"/>
              <w:right w:val="single" w:sz="4" w:space="0" w:color="auto"/>
            </w:tcBorders>
          </w:tcPr>
          <w:p w14:paraId="07083481" w14:textId="008DF5B3" w:rsidR="00C71CAA" w:rsidRPr="001570EA" w:rsidRDefault="00C71CAA">
            <w:pPr>
              <w:spacing w:before="60" w:after="60"/>
              <w:rPr>
                <w:sz w:val="18"/>
                <w:szCs w:val="18"/>
              </w:rPr>
            </w:pPr>
            <w:r w:rsidRPr="001570EA">
              <w:rPr>
                <w:rFonts w:ascii="Cambria Math" w:hAnsi="Cambria Math" w:cs="Arial"/>
                <w:i/>
                <w:sz w:val="18"/>
                <w:szCs w:val="18"/>
              </w:rPr>
              <w:t>T</w:t>
            </w:r>
            <w:r w:rsidRPr="001570EA">
              <w:rPr>
                <w:rFonts w:ascii="Cambria Math" w:hAnsi="Cambria Math" w:cs="Arial"/>
                <w:i/>
                <w:sz w:val="18"/>
                <w:szCs w:val="18"/>
                <w:vertAlign w:val="subscript"/>
              </w:rPr>
              <w:t>in</w:t>
            </w:r>
            <w:r w:rsidRPr="001570EA">
              <w:rPr>
                <w:rFonts w:cs="Arial"/>
                <w:sz w:val="18"/>
                <w:szCs w:val="18"/>
              </w:rPr>
              <w:t>, Assumed temperature of water entering house</w:t>
            </w:r>
          </w:p>
        </w:tc>
        <w:tc>
          <w:tcPr>
            <w:tcW w:w="1620" w:type="dxa"/>
            <w:tcBorders>
              <w:top w:val="single" w:sz="4" w:space="0" w:color="auto"/>
              <w:left w:val="single" w:sz="4" w:space="0" w:color="auto"/>
              <w:bottom w:val="single" w:sz="4" w:space="0" w:color="auto"/>
              <w:right w:val="single" w:sz="4" w:space="0" w:color="auto"/>
            </w:tcBorders>
            <w:vAlign w:val="center"/>
          </w:tcPr>
          <w:p w14:paraId="60D2FB19" w14:textId="77777777" w:rsidR="00C71CAA" w:rsidRPr="001570EA" w:rsidRDefault="00C71CAA">
            <w:pPr>
              <w:spacing w:before="60" w:after="60"/>
              <w:jc w:val="center"/>
              <w:rPr>
                <w:rFonts w:cs="Arial"/>
                <w:color w:val="000000"/>
                <w:sz w:val="18"/>
                <w:szCs w:val="18"/>
              </w:rPr>
            </w:pPr>
            <w:r w:rsidRPr="001570EA">
              <w:rPr>
                <w:rFonts w:cs="Arial"/>
                <w:i/>
                <w:sz w:val="18"/>
                <w:szCs w:val="18"/>
              </w:rPr>
              <w:t>° F</w:t>
            </w:r>
          </w:p>
        </w:tc>
        <w:tc>
          <w:tcPr>
            <w:tcW w:w="2160" w:type="dxa"/>
            <w:tcBorders>
              <w:top w:val="single" w:sz="4" w:space="0" w:color="auto"/>
              <w:left w:val="single" w:sz="4" w:space="0" w:color="auto"/>
              <w:bottom w:val="single" w:sz="4" w:space="0" w:color="auto"/>
              <w:right w:val="single" w:sz="4" w:space="0" w:color="auto"/>
            </w:tcBorders>
            <w:vAlign w:val="center"/>
          </w:tcPr>
          <w:p w14:paraId="18F7DDCE" w14:textId="77777777" w:rsidR="00C71CAA" w:rsidRPr="001570EA" w:rsidRDefault="00C71CAA">
            <w:pPr>
              <w:spacing w:before="60" w:after="60"/>
              <w:jc w:val="center"/>
              <w:rPr>
                <w:sz w:val="18"/>
                <w:szCs w:val="18"/>
              </w:rPr>
            </w:pPr>
            <w:r w:rsidRPr="001570EA">
              <w:rPr>
                <w:rFonts w:cs="Arial"/>
                <w:sz w:val="18"/>
                <w:szCs w:val="18"/>
              </w:rPr>
              <w:t>53</w:t>
            </w:r>
          </w:p>
        </w:tc>
        <w:tc>
          <w:tcPr>
            <w:tcW w:w="1237" w:type="dxa"/>
            <w:tcBorders>
              <w:top w:val="single" w:sz="4" w:space="0" w:color="auto"/>
              <w:left w:val="single" w:sz="4" w:space="0" w:color="auto"/>
              <w:bottom w:val="single" w:sz="4" w:space="0" w:color="auto"/>
              <w:right w:val="single" w:sz="4" w:space="0" w:color="auto"/>
            </w:tcBorders>
            <w:vAlign w:val="center"/>
          </w:tcPr>
          <w:p w14:paraId="7804D4A4" w14:textId="77777777" w:rsidR="00C71CAA" w:rsidRPr="001570EA" w:rsidDel="00C6276E" w:rsidRDefault="00C71CAA">
            <w:pPr>
              <w:spacing w:before="60" w:after="60"/>
              <w:jc w:val="center"/>
              <w:rPr>
                <w:sz w:val="18"/>
                <w:szCs w:val="18"/>
              </w:rPr>
            </w:pPr>
            <w:r w:rsidRPr="001570EA">
              <w:rPr>
                <w:rFonts w:cs="Arial"/>
                <w:sz w:val="18"/>
                <w:szCs w:val="18"/>
              </w:rPr>
              <w:t>8</w:t>
            </w:r>
          </w:p>
        </w:tc>
      </w:tr>
      <w:tr w:rsidR="00C71CAA" w:rsidRPr="001570EA" w14:paraId="24C187CA" w14:textId="77777777">
        <w:tc>
          <w:tcPr>
            <w:tcW w:w="3510" w:type="dxa"/>
            <w:tcBorders>
              <w:top w:val="single" w:sz="4" w:space="0" w:color="auto"/>
              <w:left w:val="single" w:sz="4" w:space="0" w:color="auto"/>
              <w:bottom w:val="single" w:sz="4" w:space="0" w:color="auto"/>
              <w:right w:val="single" w:sz="4" w:space="0" w:color="auto"/>
            </w:tcBorders>
          </w:tcPr>
          <w:p w14:paraId="01C3FE7F" w14:textId="611781E2" w:rsidR="00C71CAA" w:rsidRPr="001570EA" w:rsidRDefault="00C71CAA">
            <w:pPr>
              <w:spacing w:before="60" w:after="60"/>
              <w:rPr>
                <w:sz w:val="18"/>
                <w:szCs w:val="18"/>
              </w:rPr>
            </w:pPr>
            <w:r w:rsidRPr="001570EA">
              <w:rPr>
                <w:rFonts w:ascii="Cambria Math" w:hAnsi="Cambria Math"/>
                <w:i/>
                <w:sz w:val="18"/>
                <w:szCs w:val="18"/>
              </w:rPr>
              <w:t>RE</w:t>
            </w:r>
            <w:r w:rsidRPr="001570EA">
              <w:rPr>
                <w:color w:val="000000"/>
                <w:sz w:val="18"/>
                <w:szCs w:val="18"/>
              </w:rPr>
              <w:t>, Recovery efficiency of electric water heater</w:t>
            </w:r>
          </w:p>
        </w:tc>
        <w:tc>
          <w:tcPr>
            <w:tcW w:w="1620" w:type="dxa"/>
            <w:tcBorders>
              <w:top w:val="single" w:sz="4" w:space="0" w:color="auto"/>
              <w:left w:val="single" w:sz="4" w:space="0" w:color="auto"/>
              <w:bottom w:val="single" w:sz="4" w:space="0" w:color="auto"/>
              <w:right w:val="single" w:sz="4" w:space="0" w:color="auto"/>
            </w:tcBorders>
            <w:vAlign w:val="center"/>
          </w:tcPr>
          <w:p w14:paraId="57070210" w14:textId="77777777" w:rsidR="00C71CAA" w:rsidRPr="001570EA" w:rsidRDefault="00C71CAA">
            <w:pPr>
              <w:spacing w:before="60" w:after="60"/>
              <w:jc w:val="center"/>
              <w:rPr>
                <w:rFonts w:cs="Arial"/>
                <w:color w:val="000000"/>
                <w:sz w:val="18"/>
                <w:szCs w:val="18"/>
              </w:rPr>
            </w:pPr>
            <w:r w:rsidRPr="001570EA">
              <w:rPr>
                <w:i/>
                <w:sz w:val="18"/>
                <w:szCs w:val="18"/>
              </w:rPr>
              <w:t>Proportion</w:t>
            </w:r>
          </w:p>
        </w:tc>
        <w:tc>
          <w:tcPr>
            <w:tcW w:w="2160" w:type="dxa"/>
            <w:tcBorders>
              <w:top w:val="single" w:sz="4" w:space="0" w:color="auto"/>
              <w:left w:val="single" w:sz="4" w:space="0" w:color="auto"/>
              <w:bottom w:val="single" w:sz="4" w:space="0" w:color="auto"/>
              <w:right w:val="single" w:sz="4" w:space="0" w:color="auto"/>
            </w:tcBorders>
            <w:vAlign w:val="center"/>
          </w:tcPr>
          <w:p w14:paraId="42E6F4EF" w14:textId="77777777" w:rsidR="00C71CAA" w:rsidRPr="001570EA" w:rsidRDefault="00C71CAA">
            <w:pPr>
              <w:spacing w:before="60" w:after="60"/>
              <w:jc w:val="center"/>
              <w:rPr>
                <w:sz w:val="18"/>
                <w:szCs w:val="18"/>
              </w:rPr>
            </w:pPr>
            <w:r w:rsidRPr="001570EA">
              <w:rPr>
                <w:sz w:val="18"/>
                <w:szCs w:val="18"/>
              </w:rPr>
              <w:t xml:space="preserve">Default: </w:t>
            </w:r>
          </w:p>
          <w:p w14:paraId="314F4C7E" w14:textId="77777777" w:rsidR="00C71CAA" w:rsidRPr="001570EA" w:rsidRDefault="00C71CAA">
            <w:pPr>
              <w:spacing w:before="60" w:after="60"/>
              <w:jc w:val="center"/>
              <w:rPr>
                <w:sz w:val="18"/>
                <w:szCs w:val="18"/>
              </w:rPr>
            </w:pPr>
            <w:r w:rsidRPr="001570EA">
              <w:rPr>
                <w:sz w:val="18"/>
                <w:szCs w:val="18"/>
              </w:rPr>
              <w:t>Electric resistance: 0.98</w:t>
            </w:r>
          </w:p>
          <w:p w14:paraId="4A36452E" w14:textId="77777777" w:rsidR="00C71CAA" w:rsidRPr="001570EA" w:rsidRDefault="00C71CAA">
            <w:pPr>
              <w:spacing w:before="60" w:after="60"/>
              <w:jc w:val="center"/>
              <w:rPr>
                <w:sz w:val="18"/>
                <w:szCs w:val="18"/>
              </w:rPr>
            </w:pPr>
            <w:r w:rsidRPr="001570EA">
              <w:rPr>
                <w:sz w:val="18"/>
                <w:szCs w:val="18"/>
              </w:rPr>
              <w:t>HPWH: 3.93</w:t>
            </w:r>
          </w:p>
          <w:p w14:paraId="1F08D386" w14:textId="77777777" w:rsidR="00C71CAA" w:rsidRPr="001570EA" w:rsidRDefault="00C71CAA">
            <w:pPr>
              <w:spacing w:before="60" w:after="60"/>
              <w:jc w:val="center"/>
              <w:rPr>
                <w:sz w:val="18"/>
                <w:szCs w:val="18"/>
              </w:rPr>
            </w:pPr>
            <w:r w:rsidRPr="001570EA">
              <w:rPr>
                <w:sz w:val="18"/>
                <w:szCs w:val="18"/>
              </w:rPr>
              <w:t>Unknown: 1.22</w:t>
            </w:r>
          </w:p>
        </w:tc>
        <w:tc>
          <w:tcPr>
            <w:tcW w:w="1237" w:type="dxa"/>
            <w:tcBorders>
              <w:top w:val="single" w:sz="4" w:space="0" w:color="auto"/>
              <w:left w:val="single" w:sz="4" w:space="0" w:color="auto"/>
              <w:bottom w:val="single" w:sz="4" w:space="0" w:color="auto"/>
              <w:right w:val="single" w:sz="4" w:space="0" w:color="auto"/>
            </w:tcBorders>
            <w:vAlign w:val="center"/>
          </w:tcPr>
          <w:p w14:paraId="30A77F0B" w14:textId="77777777" w:rsidR="00C71CAA" w:rsidRPr="001570EA" w:rsidDel="00C6276E" w:rsidRDefault="00C71CAA">
            <w:pPr>
              <w:spacing w:before="60" w:after="60"/>
              <w:jc w:val="center"/>
              <w:rPr>
                <w:sz w:val="18"/>
                <w:szCs w:val="18"/>
              </w:rPr>
            </w:pPr>
            <w:r w:rsidRPr="001570EA">
              <w:rPr>
                <w:sz w:val="18"/>
                <w:szCs w:val="18"/>
              </w:rPr>
              <w:t>9</w:t>
            </w:r>
          </w:p>
        </w:tc>
      </w:tr>
      <w:tr w:rsidR="00C71CAA" w:rsidRPr="001570EA" w14:paraId="0374840D" w14:textId="77777777">
        <w:tc>
          <w:tcPr>
            <w:tcW w:w="3510" w:type="dxa"/>
            <w:tcBorders>
              <w:top w:val="single" w:sz="4" w:space="0" w:color="auto"/>
              <w:left w:val="single" w:sz="4" w:space="0" w:color="auto"/>
              <w:bottom w:val="single" w:sz="4" w:space="0" w:color="auto"/>
              <w:right w:val="single" w:sz="4" w:space="0" w:color="auto"/>
            </w:tcBorders>
            <w:hideMark/>
          </w:tcPr>
          <w:p w14:paraId="2F830C1A" w14:textId="5DDE9B3C" w:rsidR="00C71CAA" w:rsidRPr="001570EA" w:rsidRDefault="003B5E04">
            <w:pPr>
              <w:spacing w:before="60" w:after="60"/>
              <w:rPr>
                <w:rFonts w:cs="Arial"/>
                <w:sz w:val="18"/>
                <w:szCs w:val="18"/>
              </w:rPr>
            </w:pPr>
            <m:oMath>
              <m:sSub>
                <m:sSubPr>
                  <m:ctrlPr>
                    <w:rPr>
                      <w:rFonts w:ascii="Cambria Math" w:hAnsi="Cambria Math" w:cs="Arial"/>
                      <w:sz w:val="18"/>
                      <w:szCs w:val="18"/>
                    </w:rPr>
                  </m:ctrlPr>
                </m:sSubPr>
                <m:e>
                  <m:r>
                    <w:rPr>
                      <w:rFonts w:ascii="Cambria Math" w:hAnsi="Cambria Math" w:cs="Arial"/>
                      <w:sz w:val="18"/>
                      <w:szCs w:val="18"/>
                    </w:rPr>
                    <m:t>T</m:t>
                  </m:r>
                </m:e>
                <m:sub>
                  <m:r>
                    <w:rPr>
                      <w:rFonts w:ascii="Cambria Math" w:hAnsi="Cambria Math" w:cs="Arial"/>
                      <w:sz w:val="18"/>
                      <w:szCs w:val="18"/>
                    </w:rPr>
                    <m:t>person-day</m:t>
                  </m:r>
                </m:sub>
              </m:sSub>
            </m:oMath>
            <w:r w:rsidR="00C71CAA" w:rsidRPr="001570EA">
              <w:rPr>
                <w:sz w:val="18"/>
                <w:szCs w:val="18"/>
              </w:rPr>
              <w:t>, Average time of shower usage per person (minutes)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174125E" w14:textId="77777777" w:rsidR="00C71CAA" w:rsidRPr="001570EA" w:rsidRDefault="003B5E04">
            <w:pPr>
              <w:spacing w:before="60" w:after="60"/>
              <w:jc w:val="center"/>
              <w:rPr>
                <w:rFonts w:cs="Arial"/>
                <w:sz w:val="18"/>
                <w:szCs w:val="18"/>
              </w:rPr>
            </w:pPr>
            <m:oMathPara>
              <m:oMath>
                <m:f>
                  <m:fPr>
                    <m:ctrlPr>
                      <w:rPr>
                        <w:rFonts w:ascii="Cambria Math" w:hAnsi="Cambria Math" w:cs="Arial"/>
                        <w:i/>
                        <w:color w:val="000000"/>
                        <w:sz w:val="18"/>
                        <w:szCs w:val="18"/>
                      </w:rPr>
                    </m:ctrlPr>
                  </m:fPr>
                  <m:num>
                    <m:r>
                      <w:rPr>
                        <w:rFonts w:ascii="Cambria Math" w:hAnsi="Cambria Math" w:cs="Arial"/>
                        <w:color w:val="000000"/>
                        <w:sz w:val="18"/>
                        <w:szCs w:val="18"/>
                      </w:rPr>
                      <m:t xml:space="preserve">minutes </m:t>
                    </m:r>
                  </m:num>
                  <m:den>
                    <m:r>
                      <w:rPr>
                        <w:rFonts w:ascii="Cambria Math" w:hAnsi="Cambria Math" w:cs="Arial"/>
                        <w:color w:val="000000"/>
                        <w:sz w:val="18"/>
                        <w:szCs w:val="18"/>
                      </w:rPr>
                      <m:t>day</m:t>
                    </m:r>
                  </m:den>
                </m:f>
              </m:oMath>
            </m:oMathPara>
          </w:p>
        </w:tc>
        <w:tc>
          <w:tcPr>
            <w:tcW w:w="2160" w:type="dxa"/>
            <w:tcBorders>
              <w:top w:val="single" w:sz="4" w:space="0" w:color="auto"/>
              <w:left w:val="single" w:sz="4" w:space="0" w:color="auto"/>
              <w:bottom w:val="single" w:sz="4" w:space="0" w:color="auto"/>
              <w:right w:val="single" w:sz="4" w:space="0" w:color="auto"/>
            </w:tcBorders>
            <w:vAlign w:val="center"/>
            <w:hideMark/>
          </w:tcPr>
          <w:p w14:paraId="6CF18094" w14:textId="77777777" w:rsidR="00C71CAA" w:rsidRPr="001570EA" w:rsidRDefault="00C71CAA">
            <w:pPr>
              <w:spacing w:before="60" w:after="60"/>
              <w:jc w:val="center"/>
              <w:rPr>
                <w:rFonts w:cs="Arial"/>
                <w:sz w:val="18"/>
                <w:szCs w:val="18"/>
              </w:rPr>
            </w:pPr>
            <w:r w:rsidRPr="001570EA">
              <w:rPr>
                <w:sz w:val="18"/>
                <w:szCs w:val="18"/>
              </w:rPr>
              <w:t>7.8</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7DEA535" w14:textId="77777777" w:rsidR="00C71CAA" w:rsidRPr="001570EA" w:rsidRDefault="00C71CAA">
            <w:pPr>
              <w:spacing w:before="60" w:after="60"/>
              <w:jc w:val="center"/>
              <w:rPr>
                <w:rFonts w:cs="Arial"/>
                <w:sz w:val="18"/>
                <w:szCs w:val="18"/>
              </w:rPr>
            </w:pPr>
            <w:r w:rsidRPr="001570EA">
              <w:rPr>
                <w:sz w:val="18"/>
                <w:szCs w:val="18"/>
              </w:rPr>
              <w:t>3</w:t>
            </w:r>
          </w:p>
        </w:tc>
      </w:tr>
      <w:tr w:rsidR="00C71CAA" w:rsidRPr="001570EA" w14:paraId="3611DEBE" w14:textId="77777777">
        <w:tc>
          <w:tcPr>
            <w:tcW w:w="3510" w:type="dxa"/>
            <w:tcBorders>
              <w:top w:val="single" w:sz="4" w:space="0" w:color="auto"/>
              <w:left w:val="single" w:sz="4" w:space="0" w:color="auto"/>
              <w:bottom w:val="single" w:sz="4" w:space="0" w:color="auto"/>
              <w:right w:val="single" w:sz="4" w:space="0" w:color="auto"/>
            </w:tcBorders>
            <w:hideMark/>
          </w:tcPr>
          <w:p w14:paraId="27FA9721" w14:textId="3FF633D3" w:rsidR="00C71CAA" w:rsidRPr="001570EA" w:rsidRDefault="00C71CAA">
            <w:pPr>
              <w:spacing w:before="60" w:after="60"/>
              <w:rPr>
                <w:rFonts w:cs="Arial"/>
                <w:sz w:val="18"/>
                <w:szCs w:val="18"/>
              </w:rPr>
            </w:pPr>
            <w:r w:rsidRPr="001570EA">
              <w:rPr>
                <w:rFonts w:ascii="Cambria Math" w:hAnsi="Cambria Math"/>
                <w:i/>
                <w:sz w:val="18"/>
                <w:szCs w:val="18"/>
              </w:rPr>
              <w:t>N</w:t>
            </w:r>
            <w:r w:rsidRPr="001570EA">
              <w:rPr>
                <w:rFonts w:ascii="Cambria Math" w:hAnsi="Cambria Math"/>
                <w:i/>
                <w:sz w:val="18"/>
                <w:szCs w:val="18"/>
                <w:vertAlign w:val="subscript"/>
              </w:rPr>
              <w:t>persons</w:t>
            </w:r>
            <w:r w:rsidRPr="001570EA">
              <w:rPr>
                <w:sz w:val="18"/>
                <w:szCs w:val="18"/>
              </w:rPr>
              <w:t>, Average number of persons per household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3848D80" w14:textId="77777777" w:rsidR="00C71CAA" w:rsidRPr="001570EA" w:rsidRDefault="003B5E04">
            <w:pPr>
              <w:spacing w:before="60" w:after="60"/>
              <w:jc w:val="center"/>
              <w:rPr>
                <w:rFonts w:cs="Arial"/>
                <w:sz w:val="18"/>
                <w:szCs w:val="18"/>
              </w:rPr>
            </w:pPr>
            <m:oMathPara>
              <m:oMath>
                <m:f>
                  <m:fPr>
                    <m:ctrlPr>
                      <w:rPr>
                        <w:rFonts w:ascii="Cambria Math" w:hAnsi="Cambria Math" w:cs="Arial"/>
                        <w:i/>
                        <w:color w:val="000000"/>
                        <w:sz w:val="18"/>
                        <w:szCs w:val="18"/>
                      </w:rPr>
                    </m:ctrlPr>
                  </m:fPr>
                  <m:num>
                    <m:r>
                      <w:rPr>
                        <w:rFonts w:ascii="Cambria Math" w:hAnsi="Cambria Math" w:cs="Arial"/>
                        <w:color w:val="000000"/>
                        <w:sz w:val="18"/>
                        <w:szCs w:val="18"/>
                      </w:rPr>
                      <m:t xml:space="preserve">persons </m:t>
                    </m:r>
                  </m:num>
                  <m:den>
                    <m:r>
                      <w:rPr>
                        <w:rFonts w:ascii="Cambria Math" w:hAnsi="Cambria Math" w:cs="Arial"/>
                        <w:color w:val="000000"/>
                        <w:sz w:val="18"/>
                        <w:szCs w:val="18"/>
                      </w:rPr>
                      <m:t>household</m:t>
                    </m:r>
                  </m:den>
                </m:f>
              </m:oMath>
            </m:oMathPara>
          </w:p>
        </w:tc>
        <w:tc>
          <w:tcPr>
            <w:tcW w:w="2160" w:type="dxa"/>
            <w:tcBorders>
              <w:top w:val="single" w:sz="4" w:space="0" w:color="auto"/>
              <w:left w:val="single" w:sz="4" w:space="0" w:color="auto"/>
              <w:bottom w:val="single" w:sz="4" w:space="0" w:color="auto"/>
              <w:right w:val="single" w:sz="4" w:space="0" w:color="auto"/>
            </w:tcBorders>
            <w:vAlign w:val="center"/>
            <w:hideMark/>
          </w:tcPr>
          <w:p w14:paraId="1F355067" w14:textId="77777777" w:rsidR="00C71CAA" w:rsidRPr="001570EA" w:rsidRDefault="00C71CAA">
            <w:pPr>
              <w:pStyle w:val="TableCell"/>
              <w:spacing w:before="60" w:after="60"/>
              <w:jc w:val="center"/>
              <w:rPr>
                <w:szCs w:val="18"/>
              </w:rPr>
            </w:pPr>
            <w:r w:rsidRPr="001570EA">
              <w:rPr>
                <w:szCs w:val="18"/>
              </w:rPr>
              <w:t>EDC Data Gathering or</w:t>
            </w:r>
          </w:p>
          <w:p w14:paraId="5B5A3E48" w14:textId="77777777" w:rsidR="00C71CAA" w:rsidRPr="001570EA" w:rsidRDefault="00C71CAA">
            <w:pPr>
              <w:pStyle w:val="TableCell"/>
              <w:spacing w:before="60" w:after="60"/>
              <w:jc w:val="center"/>
              <w:rPr>
                <w:szCs w:val="18"/>
              </w:rPr>
            </w:pPr>
            <w:r w:rsidRPr="001570EA">
              <w:rPr>
                <w:szCs w:val="18"/>
              </w:rPr>
              <w:t>Default SF=2.6</w:t>
            </w:r>
          </w:p>
          <w:p w14:paraId="30143935" w14:textId="77777777" w:rsidR="00C71CAA" w:rsidRPr="001570EA" w:rsidRDefault="00C71CAA">
            <w:pPr>
              <w:pStyle w:val="TableCell"/>
              <w:spacing w:before="60" w:after="60"/>
              <w:jc w:val="center"/>
              <w:rPr>
                <w:szCs w:val="18"/>
              </w:rPr>
            </w:pPr>
            <w:r w:rsidRPr="001570EA">
              <w:rPr>
                <w:szCs w:val="18"/>
              </w:rPr>
              <w:t>Default MF=1.7</w:t>
            </w:r>
          </w:p>
          <w:p w14:paraId="12E3730F" w14:textId="77777777" w:rsidR="00C71CAA" w:rsidRPr="001570EA" w:rsidRDefault="00C71CAA">
            <w:pPr>
              <w:pStyle w:val="TableCell"/>
              <w:spacing w:before="60" w:after="60"/>
              <w:jc w:val="center"/>
              <w:rPr>
                <w:szCs w:val="18"/>
              </w:rPr>
            </w:pPr>
            <w:r w:rsidRPr="001570EA">
              <w:rPr>
                <w:szCs w:val="18"/>
              </w:rPr>
              <w:t>Default unknown=2.4</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AC1C0E5" w14:textId="77777777" w:rsidR="00C71CAA" w:rsidRPr="001570EA" w:rsidRDefault="00C71CAA">
            <w:pPr>
              <w:spacing w:before="60" w:after="60"/>
              <w:jc w:val="center"/>
              <w:rPr>
                <w:rFonts w:cs="Arial"/>
                <w:sz w:val="18"/>
                <w:szCs w:val="18"/>
              </w:rPr>
            </w:pPr>
            <w:r w:rsidRPr="001570EA">
              <w:rPr>
                <w:sz w:val="18"/>
                <w:szCs w:val="18"/>
              </w:rPr>
              <w:t>4</w:t>
            </w:r>
          </w:p>
        </w:tc>
      </w:tr>
      <w:tr w:rsidR="00C71CAA" w:rsidRPr="001570EA" w14:paraId="7A798EC0" w14:textId="77777777">
        <w:tc>
          <w:tcPr>
            <w:tcW w:w="3510" w:type="dxa"/>
            <w:tcBorders>
              <w:top w:val="single" w:sz="4" w:space="0" w:color="auto"/>
              <w:left w:val="single" w:sz="4" w:space="0" w:color="auto"/>
              <w:bottom w:val="single" w:sz="4" w:space="0" w:color="auto"/>
              <w:right w:val="single" w:sz="4" w:space="0" w:color="auto"/>
            </w:tcBorders>
            <w:hideMark/>
          </w:tcPr>
          <w:p w14:paraId="669AF8C9" w14:textId="632EF620" w:rsidR="00C71CAA" w:rsidRPr="001570EA" w:rsidRDefault="003B5E04">
            <w:pPr>
              <w:spacing w:before="60" w:after="60"/>
              <w:rPr>
                <w:rFonts w:cs="Arial"/>
                <w:sz w:val="18"/>
                <w:szCs w:val="18"/>
              </w:rPr>
            </w:pPr>
            <m:oMath>
              <m:sSub>
                <m:sSubPr>
                  <m:ctrlPr>
                    <w:rPr>
                      <w:rFonts w:ascii="Cambria Math" w:hAnsi="Cambria Math" w:cs="Arial"/>
                    </w:rPr>
                  </m:ctrlPr>
                </m:sSubPr>
                <m:e>
                  <m:r>
                    <w:rPr>
                      <w:rFonts w:ascii="Cambria Math" w:hAnsi="Cambria Math" w:cs="Arial"/>
                    </w:rPr>
                    <m:t>N</m:t>
                  </m:r>
                </m:e>
                <m:sub>
                  <m:r>
                    <w:rPr>
                      <w:rFonts w:ascii="Cambria Math" w:hAnsi="Cambria Math" w:cs="Arial"/>
                    </w:rPr>
                    <m:t>showers</m:t>
                  </m:r>
                  <m:r>
                    <m:rPr>
                      <m:sty m:val="p"/>
                    </m:rPr>
                    <w:rPr>
                      <w:rFonts w:ascii="Cambria Math" w:hAnsi="Cambria Math" w:cs="Arial"/>
                    </w:rPr>
                    <m:t>-</m:t>
                  </m:r>
                  <m:r>
                    <w:rPr>
                      <w:rFonts w:ascii="Cambria Math" w:hAnsi="Cambria Math" w:cs="Arial"/>
                    </w:rPr>
                    <m:t>day</m:t>
                  </m:r>
                </m:sub>
              </m:sSub>
            </m:oMath>
            <w:r w:rsidR="00C71CAA" w:rsidRPr="001570EA">
              <w:rPr>
                <w:sz w:val="18"/>
                <w:szCs w:val="18"/>
              </w:rPr>
              <w:t>, Average number of showers per person per day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2472816" w14:textId="77777777" w:rsidR="00C71CAA" w:rsidRPr="001570EA" w:rsidRDefault="00C71CAA">
            <w:pPr>
              <w:spacing w:before="60" w:after="60"/>
              <w:jc w:val="center"/>
              <w:rPr>
                <w:rFonts w:cs="Arial"/>
                <w:sz w:val="18"/>
                <w:szCs w:val="18"/>
              </w:rPr>
            </w:pPr>
            <m:oMathPara>
              <m:oMath>
                <m:r>
                  <m:rPr>
                    <m:sty m:val="p"/>
                  </m:rPr>
                  <w:rPr>
                    <w:rFonts w:ascii="Cambria Math" w:eastAsiaTheme="minorHAnsi" w:hAnsi="Cambria Math" w:cs="Arial"/>
                    <w:noProof/>
                    <w:szCs w:val="20"/>
                  </w:rPr>
                  <w:drawing>
                    <wp:inline distT="0" distB="0" distL="0" distR="0" wp14:anchorId="0513389E" wp14:editId="4D6FB6C7">
                      <wp:extent cx="624840" cy="2819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624840" cy="281940"/>
                              </a:xfrm>
                              <a:prstGeom prst="rect">
                                <a:avLst/>
                              </a:prstGeom>
                              <a:noFill/>
                              <a:ln>
                                <a:noFill/>
                              </a:ln>
                            </pic:spPr>
                          </pic:pic>
                        </a:graphicData>
                      </a:graphic>
                    </wp:inline>
                  </w:drawing>
                </m:r>
              </m:oMath>
            </m:oMathPara>
          </w:p>
        </w:tc>
        <w:tc>
          <w:tcPr>
            <w:tcW w:w="2160" w:type="dxa"/>
            <w:tcBorders>
              <w:top w:val="single" w:sz="4" w:space="0" w:color="auto"/>
              <w:left w:val="single" w:sz="4" w:space="0" w:color="auto"/>
              <w:bottom w:val="single" w:sz="4" w:space="0" w:color="auto"/>
              <w:right w:val="single" w:sz="4" w:space="0" w:color="auto"/>
            </w:tcBorders>
            <w:vAlign w:val="center"/>
            <w:hideMark/>
          </w:tcPr>
          <w:p w14:paraId="5ED9B180" w14:textId="77777777" w:rsidR="00C71CAA" w:rsidRPr="001570EA" w:rsidRDefault="00C71CAA">
            <w:pPr>
              <w:spacing w:before="60" w:after="60"/>
              <w:jc w:val="center"/>
              <w:rPr>
                <w:rFonts w:cs="Arial"/>
                <w:sz w:val="18"/>
                <w:szCs w:val="18"/>
              </w:rPr>
            </w:pPr>
            <w:r w:rsidRPr="001570EA">
              <w:rPr>
                <w:sz w:val="18"/>
                <w:szCs w:val="18"/>
              </w:rPr>
              <w:t>0.6</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07B6FB6" w14:textId="77777777" w:rsidR="00C71CAA" w:rsidRPr="001570EA" w:rsidRDefault="00C71CAA">
            <w:pPr>
              <w:spacing w:before="60" w:after="60"/>
              <w:jc w:val="center"/>
              <w:rPr>
                <w:rFonts w:cs="Arial"/>
                <w:sz w:val="18"/>
                <w:szCs w:val="18"/>
              </w:rPr>
            </w:pPr>
            <w:r w:rsidRPr="001570EA">
              <w:rPr>
                <w:sz w:val="18"/>
                <w:szCs w:val="18"/>
              </w:rPr>
              <w:t>5</w:t>
            </w:r>
          </w:p>
        </w:tc>
      </w:tr>
      <w:tr w:rsidR="00C71CAA" w:rsidRPr="001570EA" w14:paraId="594D8FA7" w14:textId="77777777">
        <w:tc>
          <w:tcPr>
            <w:tcW w:w="3510" w:type="dxa"/>
            <w:tcBorders>
              <w:top w:val="single" w:sz="4" w:space="0" w:color="auto"/>
              <w:left w:val="single" w:sz="4" w:space="0" w:color="auto"/>
              <w:bottom w:val="single" w:sz="4" w:space="0" w:color="auto"/>
              <w:right w:val="single" w:sz="4" w:space="0" w:color="auto"/>
            </w:tcBorders>
            <w:hideMark/>
          </w:tcPr>
          <w:p w14:paraId="246662B3" w14:textId="1BA5069D" w:rsidR="00C71CAA" w:rsidRPr="001570EA" w:rsidRDefault="003B5E04">
            <w:pPr>
              <w:spacing w:before="60" w:after="60"/>
              <w:rPr>
                <w:rFonts w:cs="Arial"/>
                <w:sz w:val="18"/>
                <w:szCs w:val="18"/>
              </w:rPr>
            </w:pPr>
            <m:oMath>
              <m:sSub>
                <m:sSubPr>
                  <m:ctrlPr>
                    <w:rPr>
                      <w:rFonts w:ascii="Cambria Math" w:hAnsi="Cambria Math" w:cs="Arial"/>
                      <w:i/>
                    </w:rPr>
                  </m:ctrlPr>
                </m:sSubPr>
                <m:e>
                  <m:r>
                    <w:rPr>
                      <w:rFonts w:ascii="Cambria Math" w:hAnsi="Cambria Math" w:cs="Arial"/>
                    </w:rPr>
                    <m:t>N</m:t>
                  </m:r>
                </m:e>
                <m:sub>
                  <m:r>
                    <w:rPr>
                      <w:rFonts w:ascii="Cambria Math" w:hAnsi="Cambria Math" w:cs="Arial"/>
                    </w:rPr>
                    <m:t>showerheads-home</m:t>
                  </m:r>
                </m:sub>
              </m:sSub>
            </m:oMath>
            <w:r w:rsidR="00C71CAA" w:rsidRPr="001570EA">
              <w:rPr>
                <w:sz w:val="18"/>
                <w:szCs w:val="18"/>
              </w:rPr>
              <w:t>, Average number of showers in the home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6E525C0" w14:textId="77777777" w:rsidR="00C71CAA" w:rsidRPr="001570EA" w:rsidRDefault="003B5E04">
            <w:pPr>
              <w:spacing w:before="60" w:after="60"/>
              <w:jc w:val="center"/>
              <w:rPr>
                <w:rFonts w:cs="Arial"/>
                <w:sz w:val="18"/>
                <w:szCs w:val="18"/>
              </w:rPr>
            </w:pPr>
            <m:oMathPara>
              <m:oMath>
                <m:f>
                  <m:fPr>
                    <m:ctrlPr>
                      <w:rPr>
                        <w:rFonts w:ascii="Cambria Math" w:hAnsi="Cambria Math" w:cs="Arial"/>
                        <w:i/>
                        <w:color w:val="000000"/>
                        <w:sz w:val="18"/>
                        <w:szCs w:val="18"/>
                      </w:rPr>
                    </m:ctrlPr>
                  </m:fPr>
                  <m:num>
                    <m:r>
                      <w:rPr>
                        <w:rFonts w:ascii="Cambria Math" w:hAnsi="Cambria Math" w:cs="Arial"/>
                        <w:color w:val="000000"/>
                        <w:sz w:val="18"/>
                        <w:szCs w:val="18"/>
                      </w:rPr>
                      <m:t xml:space="preserve">showers </m:t>
                    </m:r>
                  </m:num>
                  <m:den>
                    <m:r>
                      <w:rPr>
                        <w:rFonts w:ascii="Cambria Math" w:hAnsi="Cambria Math" w:cs="Arial"/>
                        <w:color w:val="000000"/>
                        <w:sz w:val="18"/>
                        <w:szCs w:val="18"/>
                      </w:rPr>
                      <m:t>home</m:t>
                    </m:r>
                  </m:den>
                </m:f>
              </m:oMath>
            </m:oMathPara>
          </w:p>
        </w:tc>
        <w:tc>
          <w:tcPr>
            <w:tcW w:w="2160" w:type="dxa"/>
            <w:tcBorders>
              <w:top w:val="single" w:sz="4" w:space="0" w:color="auto"/>
              <w:left w:val="single" w:sz="4" w:space="0" w:color="auto"/>
              <w:bottom w:val="single" w:sz="4" w:space="0" w:color="auto"/>
              <w:right w:val="single" w:sz="4" w:space="0" w:color="auto"/>
            </w:tcBorders>
            <w:vAlign w:val="center"/>
            <w:hideMark/>
          </w:tcPr>
          <w:p w14:paraId="1FE5FD7C" w14:textId="77777777" w:rsidR="00C71CAA" w:rsidRPr="001570EA" w:rsidRDefault="00C71CAA">
            <w:pPr>
              <w:pStyle w:val="TableCell"/>
              <w:spacing w:before="60" w:after="60"/>
              <w:jc w:val="center"/>
              <w:rPr>
                <w:szCs w:val="18"/>
              </w:rPr>
            </w:pPr>
            <w:r w:rsidRPr="001570EA">
              <w:rPr>
                <w:szCs w:val="18"/>
              </w:rPr>
              <w:t>EDC Data Gathering or</w:t>
            </w:r>
          </w:p>
          <w:p w14:paraId="553A4381" w14:textId="77777777" w:rsidR="00C71CAA" w:rsidRPr="001570EA" w:rsidRDefault="00C71CAA">
            <w:pPr>
              <w:pStyle w:val="TableCell"/>
              <w:spacing w:before="60" w:after="60"/>
              <w:jc w:val="center"/>
              <w:rPr>
                <w:szCs w:val="18"/>
              </w:rPr>
            </w:pPr>
            <w:r w:rsidRPr="001570EA">
              <w:rPr>
                <w:szCs w:val="18"/>
              </w:rPr>
              <w:t>Default SF=1.9</w:t>
            </w:r>
          </w:p>
          <w:p w14:paraId="373C9450" w14:textId="77777777" w:rsidR="00C71CAA" w:rsidRPr="001570EA" w:rsidRDefault="00C71CAA">
            <w:pPr>
              <w:pStyle w:val="TableCell"/>
              <w:spacing w:before="60" w:after="60"/>
              <w:jc w:val="center"/>
              <w:rPr>
                <w:szCs w:val="18"/>
              </w:rPr>
            </w:pPr>
            <w:r w:rsidRPr="001570EA">
              <w:rPr>
                <w:szCs w:val="18"/>
              </w:rPr>
              <w:t>Default MF=1.2</w:t>
            </w:r>
          </w:p>
          <w:p w14:paraId="2A12A2D8" w14:textId="77777777" w:rsidR="00C71CAA" w:rsidRPr="001570EA" w:rsidRDefault="00C71CAA">
            <w:pPr>
              <w:pStyle w:val="TableCell"/>
              <w:spacing w:before="60" w:after="60"/>
              <w:jc w:val="center"/>
              <w:rPr>
                <w:rFonts w:cs="Arial"/>
                <w:szCs w:val="18"/>
              </w:rPr>
            </w:pPr>
            <w:r w:rsidRPr="001570EA">
              <w:rPr>
                <w:szCs w:val="18"/>
              </w:rPr>
              <w:t>Default unknown = 1.7</w:t>
            </w:r>
          </w:p>
        </w:tc>
        <w:tc>
          <w:tcPr>
            <w:tcW w:w="1237" w:type="dxa"/>
            <w:tcBorders>
              <w:top w:val="single" w:sz="4" w:space="0" w:color="auto"/>
              <w:left w:val="single" w:sz="4" w:space="0" w:color="auto"/>
              <w:bottom w:val="single" w:sz="4" w:space="0" w:color="auto"/>
              <w:right w:val="single" w:sz="4" w:space="0" w:color="auto"/>
            </w:tcBorders>
            <w:vAlign w:val="center"/>
            <w:hideMark/>
          </w:tcPr>
          <w:p w14:paraId="27FE13E2" w14:textId="77777777" w:rsidR="00C71CAA" w:rsidRPr="001570EA" w:rsidRDefault="00C71CAA">
            <w:pPr>
              <w:spacing w:before="60" w:after="60"/>
              <w:jc w:val="center"/>
              <w:rPr>
                <w:rFonts w:cs="Arial"/>
                <w:sz w:val="18"/>
                <w:szCs w:val="18"/>
              </w:rPr>
            </w:pPr>
            <w:r w:rsidRPr="001570EA">
              <w:rPr>
                <w:sz w:val="18"/>
                <w:szCs w:val="18"/>
              </w:rPr>
              <w:t>6</w:t>
            </w:r>
          </w:p>
        </w:tc>
      </w:tr>
      <w:tr w:rsidR="00C71CAA" w:rsidRPr="001570EA" w14:paraId="1CB8F33D" w14:textId="77777777">
        <w:tc>
          <w:tcPr>
            <w:tcW w:w="3510" w:type="dxa"/>
            <w:tcBorders>
              <w:top w:val="single" w:sz="4" w:space="0" w:color="auto"/>
              <w:left w:val="single" w:sz="4" w:space="0" w:color="auto"/>
              <w:bottom w:val="single" w:sz="4" w:space="0" w:color="auto"/>
              <w:right w:val="single" w:sz="4" w:space="0" w:color="auto"/>
            </w:tcBorders>
            <w:hideMark/>
          </w:tcPr>
          <w:p w14:paraId="0F8CEF9C" w14:textId="24FB7879" w:rsidR="00C71CAA" w:rsidRPr="001570EA" w:rsidRDefault="00C71CAA">
            <w:pPr>
              <w:spacing w:before="60" w:after="60"/>
              <w:rPr>
                <w:rFonts w:cs="Arial"/>
                <w:sz w:val="18"/>
                <w:szCs w:val="18"/>
              </w:rPr>
            </w:pPr>
            <w:r w:rsidRPr="001570EA">
              <w:rPr>
                <w:rFonts w:ascii="Cambria Math" w:hAnsi="Cambria Math"/>
                <w:i/>
                <w:color w:val="000000"/>
                <w:sz w:val="18"/>
                <w:szCs w:val="18"/>
              </w:rPr>
              <w:t>ISR</w:t>
            </w:r>
            <w:r w:rsidRPr="001570EA">
              <w:rPr>
                <w:color w:val="000000"/>
                <w:sz w:val="18"/>
                <w:szCs w:val="18"/>
              </w:rPr>
              <w:t>, In-Service Rate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D0E367" w14:textId="77777777" w:rsidR="00C71CAA" w:rsidRPr="001570EA" w:rsidRDefault="00C71CAA">
            <w:pPr>
              <w:spacing w:before="60" w:after="60"/>
              <w:jc w:val="center"/>
              <w:rPr>
                <w:rFonts w:cs="Arial"/>
                <w:sz w:val="18"/>
                <w:szCs w:val="18"/>
              </w:rPr>
            </w:pPr>
            <w:r w:rsidRPr="001570EA">
              <w:rPr>
                <w:i/>
                <w:sz w:val="18"/>
                <w:szCs w:val="18"/>
              </w:rPr>
              <w:t>%</w:t>
            </w:r>
          </w:p>
        </w:tc>
        <w:tc>
          <w:tcPr>
            <w:tcW w:w="2160" w:type="dxa"/>
            <w:tcBorders>
              <w:top w:val="single" w:sz="4" w:space="0" w:color="auto"/>
              <w:left w:val="single" w:sz="4" w:space="0" w:color="auto"/>
              <w:bottom w:val="single" w:sz="4" w:space="0" w:color="auto"/>
              <w:right w:val="single" w:sz="4" w:space="0" w:color="auto"/>
            </w:tcBorders>
            <w:vAlign w:val="bottom"/>
            <w:hideMark/>
          </w:tcPr>
          <w:p w14:paraId="64B0B4F1" w14:textId="77777777" w:rsidR="00C71CAA" w:rsidRPr="001570EA" w:rsidRDefault="00C71CAA">
            <w:pPr>
              <w:spacing w:before="60" w:after="60"/>
              <w:jc w:val="center"/>
              <w:rPr>
                <w:color w:val="000000"/>
                <w:sz w:val="18"/>
                <w:szCs w:val="18"/>
              </w:rPr>
            </w:pPr>
            <w:r w:rsidRPr="001570EA">
              <w:rPr>
                <w:color w:val="000000"/>
                <w:sz w:val="18"/>
                <w:szCs w:val="18"/>
              </w:rPr>
              <w:t>EDC Data Gathering,</w:t>
            </w:r>
          </w:p>
          <w:p w14:paraId="6A1A692D" w14:textId="77777777" w:rsidR="00C71CAA" w:rsidRPr="001570EA" w:rsidRDefault="00C71CAA">
            <w:pPr>
              <w:spacing w:before="60" w:after="60"/>
              <w:jc w:val="center"/>
              <w:rPr>
                <w:rFonts w:cs="Arial"/>
                <w:sz w:val="18"/>
                <w:szCs w:val="18"/>
              </w:rPr>
            </w:pPr>
            <w:r w:rsidRPr="001570EA">
              <w:rPr>
                <w:rFonts w:cs="Arial"/>
                <w:sz w:val="18"/>
                <w:szCs w:val="18"/>
              </w:rPr>
              <w:t>Kit Default = 21%</w:t>
            </w:r>
          </w:p>
          <w:p w14:paraId="1241C535" w14:textId="77777777" w:rsidR="00C71CAA" w:rsidRPr="001570EA" w:rsidRDefault="00C71CAA">
            <w:pPr>
              <w:spacing w:before="60" w:after="60"/>
              <w:jc w:val="center"/>
              <w:rPr>
                <w:rFonts w:cs="Arial"/>
                <w:sz w:val="18"/>
                <w:szCs w:val="18"/>
              </w:rPr>
            </w:pPr>
            <w:r w:rsidRPr="001570EA">
              <w:rPr>
                <w:rFonts w:cs="Arial"/>
                <w:sz w:val="18"/>
                <w:szCs w:val="18"/>
              </w:rPr>
              <w:t>Direct Install Default = 100%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0373E47" w14:textId="77777777" w:rsidR="00C71CAA" w:rsidRPr="001570EA" w:rsidRDefault="00C71CAA">
            <w:pPr>
              <w:spacing w:before="60" w:after="60"/>
              <w:jc w:val="center"/>
              <w:rPr>
                <w:color w:val="000000"/>
                <w:sz w:val="18"/>
                <w:szCs w:val="18"/>
              </w:rPr>
            </w:pPr>
            <w:r w:rsidRPr="001570EA">
              <w:rPr>
                <w:color w:val="000000"/>
                <w:sz w:val="18"/>
                <w:szCs w:val="18"/>
              </w:rPr>
              <w:t>EDC Data Gathering,</w:t>
            </w:r>
          </w:p>
          <w:p w14:paraId="625CC9DC" w14:textId="77777777" w:rsidR="00C71CAA" w:rsidRPr="001570EA" w:rsidRDefault="00C71CAA">
            <w:pPr>
              <w:spacing w:before="60" w:after="60"/>
              <w:jc w:val="center"/>
              <w:rPr>
                <w:rFonts w:cs="Arial"/>
                <w:sz w:val="18"/>
                <w:szCs w:val="18"/>
              </w:rPr>
            </w:pPr>
            <w:r w:rsidRPr="001570EA">
              <w:rPr>
                <w:color w:val="000000"/>
                <w:sz w:val="18"/>
                <w:szCs w:val="18"/>
              </w:rPr>
              <w:t>10</w:t>
            </w:r>
          </w:p>
        </w:tc>
      </w:tr>
      <w:tr w:rsidR="00C71CAA" w:rsidRPr="001570EA" w14:paraId="78566C60" w14:textId="77777777">
        <w:tc>
          <w:tcPr>
            <w:tcW w:w="3510" w:type="dxa"/>
            <w:tcBorders>
              <w:top w:val="single" w:sz="4" w:space="0" w:color="auto"/>
              <w:left w:val="single" w:sz="4" w:space="0" w:color="auto"/>
              <w:bottom w:val="single" w:sz="4" w:space="0" w:color="auto"/>
              <w:right w:val="single" w:sz="4" w:space="0" w:color="auto"/>
            </w:tcBorders>
            <w:hideMark/>
          </w:tcPr>
          <w:p w14:paraId="7E5825C0" w14:textId="5E497FB7" w:rsidR="00C71CAA" w:rsidRPr="001570EA" w:rsidRDefault="00C71CAA">
            <w:pPr>
              <w:spacing w:before="60" w:after="60"/>
              <w:rPr>
                <w:rFonts w:cs="Arial"/>
                <w:sz w:val="18"/>
                <w:szCs w:val="18"/>
              </w:rPr>
            </w:pPr>
            <w:r w:rsidRPr="001570EA">
              <w:rPr>
                <w:rFonts w:ascii="Cambria Math" w:hAnsi="Cambria Math"/>
                <w:i/>
                <w:color w:val="000000"/>
                <w:sz w:val="18"/>
                <w:szCs w:val="18"/>
              </w:rPr>
              <w:t>ELEC</w:t>
            </w:r>
            <w:r w:rsidRPr="001570EA">
              <w:rPr>
                <w:color w:val="000000"/>
                <w:sz w:val="18"/>
                <w:szCs w:val="18"/>
              </w:rPr>
              <w:t>, Percentage of homes with electric water heat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6AD389B" w14:textId="77777777" w:rsidR="00C71CAA" w:rsidRPr="001570EA" w:rsidRDefault="00C71CAA">
            <w:pPr>
              <w:spacing w:before="60" w:after="60"/>
              <w:jc w:val="center"/>
              <w:rPr>
                <w:rFonts w:cs="Arial"/>
                <w:sz w:val="18"/>
                <w:szCs w:val="18"/>
              </w:rPr>
            </w:pPr>
            <w:r w:rsidRPr="001570EA">
              <w:rPr>
                <w:i/>
                <w:sz w:val="18"/>
                <w:szCs w:val="18"/>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E613D8C" w14:textId="77777777" w:rsidR="00C71CAA" w:rsidRPr="001570EA" w:rsidRDefault="00C71CAA">
            <w:pPr>
              <w:pStyle w:val="TableCell"/>
              <w:spacing w:before="60" w:after="60"/>
              <w:jc w:val="center"/>
              <w:rPr>
                <w:color w:val="000000"/>
                <w:szCs w:val="18"/>
              </w:rPr>
            </w:pPr>
            <w:r w:rsidRPr="001570EA">
              <w:rPr>
                <w:color w:val="000000"/>
                <w:szCs w:val="18"/>
              </w:rPr>
              <w:t>EDC Data Gathering or</w:t>
            </w:r>
          </w:p>
          <w:p w14:paraId="4382CFEB" w14:textId="77777777" w:rsidR="00C71CAA" w:rsidRPr="001570EA" w:rsidRDefault="00C71CAA">
            <w:pPr>
              <w:pStyle w:val="TableCell"/>
              <w:spacing w:before="60" w:after="60"/>
              <w:jc w:val="center"/>
              <w:rPr>
                <w:color w:val="000000"/>
              </w:rPr>
            </w:pPr>
            <w:r w:rsidRPr="001570EA">
              <w:rPr>
                <w:color w:val="000000"/>
                <w:szCs w:val="18"/>
              </w:rPr>
              <w:t>Default: Unknown=47%</w:t>
            </w:r>
          </w:p>
          <w:p w14:paraId="0C6F3CB9" w14:textId="77777777" w:rsidR="00C71CAA" w:rsidRPr="001570EA" w:rsidRDefault="00C71CAA">
            <w:pPr>
              <w:pStyle w:val="TableCell"/>
              <w:spacing w:before="60" w:after="60"/>
              <w:jc w:val="center"/>
              <w:rPr>
                <w:color w:val="000000"/>
              </w:rPr>
            </w:pPr>
            <w:r w:rsidRPr="001570EA">
              <w:rPr>
                <w:color w:val="000000"/>
              </w:rPr>
              <w:t>Electric = 100%</w:t>
            </w:r>
          </w:p>
          <w:p w14:paraId="22792A39" w14:textId="77777777" w:rsidR="00C71CAA" w:rsidRPr="001570EA" w:rsidRDefault="00C71CAA">
            <w:pPr>
              <w:spacing w:before="60" w:after="60"/>
              <w:jc w:val="center"/>
              <w:rPr>
                <w:rFonts w:cs="Arial"/>
                <w:szCs w:val="20"/>
              </w:rPr>
            </w:pPr>
            <w:r w:rsidRPr="001570EA">
              <w:rPr>
                <w:color w:val="000000"/>
                <w:szCs w:val="20"/>
              </w:rPr>
              <w:t>Fossil Fuel = 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1D559C35" w14:textId="77777777" w:rsidR="00C71CAA" w:rsidRPr="001570EA" w:rsidRDefault="00C71CAA">
            <w:pPr>
              <w:spacing w:before="60" w:after="60"/>
              <w:jc w:val="center"/>
              <w:rPr>
                <w:rFonts w:cs="Arial"/>
                <w:sz w:val="18"/>
                <w:szCs w:val="18"/>
              </w:rPr>
            </w:pPr>
            <w:r w:rsidRPr="001570EA">
              <w:rPr>
                <w:color w:val="000000"/>
                <w:sz w:val="18"/>
                <w:szCs w:val="18"/>
              </w:rPr>
              <w:t>6</w:t>
            </w:r>
          </w:p>
        </w:tc>
      </w:tr>
      <w:tr w:rsidR="00C71CAA" w:rsidRPr="001570EA" w14:paraId="266D0547" w14:textId="77777777">
        <w:tc>
          <w:tcPr>
            <w:tcW w:w="3510" w:type="dxa"/>
            <w:tcBorders>
              <w:top w:val="single" w:sz="4" w:space="0" w:color="auto"/>
              <w:left w:val="single" w:sz="4" w:space="0" w:color="auto"/>
              <w:bottom w:val="single" w:sz="4" w:space="0" w:color="auto"/>
              <w:right w:val="single" w:sz="4" w:space="0" w:color="auto"/>
            </w:tcBorders>
          </w:tcPr>
          <w:p w14:paraId="268897E3" w14:textId="77777777" w:rsidR="00C71CAA" w:rsidRPr="001570EA" w:rsidRDefault="00C71CAA">
            <w:pPr>
              <w:spacing w:before="60" w:after="60"/>
              <w:rPr>
                <w:rFonts w:cs="Arial"/>
                <w:sz w:val="18"/>
                <w:szCs w:val="18"/>
              </w:rPr>
            </w:pPr>
            <w:r w:rsidRPr="001570EA">
              <w:rPr>
                <w:rFonts w:ascii="Cambria Math" w:hAnsi="Cambria Math" w:cs="Arial"/>
                <w:i/>
                <w:sz w:val="18"/>
                <w:szCs w:val="18"/>
              </w:rPr>
              <w:t>ETDF</w:t>
            </w:r>
            <w:r w:rsidRPr="001570EA">
              <w:rPr>
                <w:rFonts w:ascii="Cambria Math" w:hAnsi="Cambria Math" w:cs="Arial"/>
                <w:i/>
                <w:sz w:val="18"/>
                <w:szCs w:val="18"/>
                <w:vertAlign w:val="subscript"/>
              </w:rPr>
              <w:t>s</w:t>
            </w:r>
            <w:r w:rsidRPr="001570EA">
              <w:rPr>
                <w:rFonts w:cs="Arial"/>
                <w:sz w:val="18"/>
                <w:szCs w:val="18"/>
              </w:rPr>
              <w:t>, Summer Energy to Demand Factor</w:t>
            </w:r>
          </w:p>
        </w:tc>
        <w:tc>
          <w:tcPr>
            <w:tcW w:w="1620" w:type="dxa"/>
            <w:tcBorders>
              <w:top w:val="single" w:sz="4" w:space="0" w:color="auto"/>
              <w:left w:val="single" w:sz="4" w:space="0" w:color="auto"/>
              <w:bottom w:val="single" w:sz="4" w:space="0" w:color="auto"/>
              <w:right w:val="single" w:sz="4" w:space="0" w:color="auto"/>
            </w:tcBorders>
            <w:vAlign w:val="center"/>
          </w:tcPr>
          <w:p w14:paraId="6137A06D" w14:textId="77777777" w:rsidR="00C71CAA" w:rsidRPr="001570EA" w:rsidRDefault="003B5E04">
            <w:pPr>
              <w:spacing w:before="60" w:after="60"/>
              <w:jc w:val="center"/>
              <w:rPr>
                <w:rFonts w:cs="Arial"/>
                <w:i/>
                <w:sz w:val="18"/>
                <w:szCs w:val="18"/>
              </w:rPr>
            </w:pPr>
            <m:oMathPara>
              <m:oMath>
                <m:f>
                  <m:fPr>
                    <m:ctrlPr>
                      <w:rPr>
                        <w:rFonts w:ascii="Cambria Math" w:eastAsia="Arial Unicode MS" w:hAnsi="Cambria Math"/>
                        <w:i/>
                        <w:iCs/>
                        <w:sz w:val="18"/>
                        <w:szCs w:val="18"/>
                      </w:rPr>
                    </m:ctrlPr>
                  </m:fPr>
                  <m:num>
                    <m:r>
                      <w:rPr>
                        <w:rFonts w:ascii="Cambria Math" w:eastAsia="Arial Unicode MS" w:hAnsi="Cambria Math"/>
                        <w:sz w:val="18"/>
                        <w:szCs w:val="18"/>
                      </w:rPr>
                      <m:t>kW</m:t>
                    </m:r>
                  </m:num>
                  <m:den>
                    <m:r>
                      <w:rPr>
                        <w:rFonts w:ascii="Cambria Math" w:eastAsia="Arial Unicode MS" w:hAnsi="Cambria Math"/>
                        <w:sz w:val="18"/>
                        <w:szCs w:val="18"/>
                      </w:rPr>
                      <m:t>kWh</m:t>
                    </m:r>
                  </m:den>
                </m:f>
              </m:oMath>
            </m:oMathPara>
          </w:p>
        </w:tc>
        <w:tc>
          <w:tcPr>
            <w:tcW w:w="2160" w:type="dxa"/>
            <w:tcBorders>
              <w:top w:val="single" w:sz="4" w:space="0" w:color="auto"/>
              <w:left w:val="single" w:sz="4" w:space="0" w:color="auto"/>
              <w:bottom w:val="single" w:sz="4" w:space="0" w:color="auto"/>
              <w:right w:val="single" w:sz="4" w:space="0" w:color="auto"/>
            </w:tcBorders>
          </w:tcPr>
          <w:p w14:paraId="2E1261F2" w14:textId="77777777" w:rsidR="00C71CAA" w:rsidRPr="001570EA" w:rsidRDefault="00C71CAA">
            <w:pPr>
              <w:pStyle w:val="TableCell"/>
              <w:spacing w:before="60" w:after="60"/>
              <w:jc w:val="center"/>
            </w:pPr>
            <w:r w:rsidRPr="001570EA">
              <w:t>SF: 0.0001057</w:t>
            </w:r>
          </w:p>
          <w:p w14:paraId="12444D6B" w14:textId="77777777" w:rsidR="00C71CAA" w:rsidRPr="001570EA" w:rsidRDefault="00C71CAA">
            <w:pPr>
              <w:pStyle w:val="TableCell"/>
              <w:spacing w:before="60" w:after="60"/>
              <w:jc w:val="center"/>
            </w:pPr>
            <w:r w:rsidRPr="001570EA">
              <w:t>MF: 0.0001006</w:t>
            </w:r>
          </w:p>
          <w:p w14:paraId="615AC6CE" w14:textId="77777777" w:rsidR="00C71CAA" w:rsidRPr="001570EA" w:rsidRDefault="00C71CAA">
            <w:pPr>
              <w:pStyle w:val="TableCell"/>
              <w:spacing w:before="60" w:after="60"/>
              <w:jc w:val="center"/>
              <w:rPr>
                <w:rFonts w:ascii="Calibri" w:hAnsi="Calibri" w:cs="Calibri"/>
                <w:b/>
                <w:bCs/>
                <w:color w:val="000000"/>
                <w:sz w:val="22"/>
                <w:szCs w:val="22"/>
              </w:rPr>
            </w:pPr>
            <w:r w:rsidRPr="001570EA">
              <w:t>Unknown: 0.0001046</w:t>
            </w:r>
          </w:p>
        </w:tc>
        <w:tc>
          <w:tcPr>
            <w:tcW w:w="1237" w:type="dxa"/>
            <w:tcBorders>
              <w:top w:val="single" w:sz="4" w:space="0" w:color="auto"/>
              <w:left w:val="single" w:sz="4" w:space="0" w:color="auto"/>
              <w:bottom w:val="single" w:sz="4" w:space="0" w:color="auto"/>
              <w:right w:val="single" w:sz="4" w:space="0" w:color="auto"/>
            </w:tcBorders>
            <w:vAlign w:val="center"/>
          </w:tcPr>
          <w:p w14:paraId="7289AADE" w14:textId="77777777" w:rsidR="00C71CAA" w:rsidRPr="001570EA" w:rsidRDefault="00C71CAA">
            <w:pPr>
              <w:spacing w:before="60" w:after="60"/>
              <w:jc w:val="center"/>
              <w:rPr>
                <w:color w:val="000000"/>
                <w:sz w:val="18"/>
                <w:szCs w:val="18"/>
              </w:rPr>
            </w:pPr>
            <w:r w:rsidRPr="001570EA">
              <w:rPr>
                <w:color w:val="000000"/>
                <w:sz w:val="18"/>
                <w:szCs w:val="18"/>
              </w:rPr>
              <w:t>11</w:t>
            </w:r>
          </w:p>
        </w:tc>
      </w:tr>
      <w:tr w:rsidR="00C71CAA" w:rsidRPr="001570EA" w14:paraId="4ADF5436" w14:textId="77777777">
        <w:tc>
          <w:tcPr>
            <w:tcW w:w="3510" w:type="dxa"/>
            <w:tcBorders>
              <w:top w:val="single" w:sz="4" w:space="0" w:color="auto"/>
              <w:left w:val="single" w:sz="4" w:space="0" w:color="auto"/>
              <w:bottom w:val="single" w:sz="4" w:space="0" w:color="auto"/>
              <w:right w:val="single" w:sz="4" w:space="0" w:color="auto"/>
            </w:tcBorders>
            <w:hideMark/>
          </w:tcPr>
          <w:p w14:paraId="3F704DBC" w14:textId="77777777" w:rsidR="00C71CAA" w:rsidRPr="001570EA" w:rsidRDefault="00C71CAA">
            <w:pPr>
              <w:spacing w:before="60" w:after="60"/>
              <w:rPr>
                <w:rFonts w:cs="Arial"/>
                <w:i/>
                <w:color w:val="000000"/>
                <w:sz w:val="18"/>
                <w:szCs w:val="18"/>
              </w:rPr>
            </w:pPr>
            <w:r w:rsidRPr="001570EA">
              <w:rPr>
                <w:rFonts w:ascii="Cambria Math" w:hAnsi="Cambria Math" w:cs="Arial"/>
                <w:i/>
                <w:sz w:val="18"/>
                <w:szCs w:val="18"/>
              </w:rPr>
              <w:t>ETDF</w:t>
            </w:r>
            <w:r w:rsidRPr="001570EA">
              <w:rPr>
                <w:rFonts w:ascii="Cambria Math" w:hAnsi="Cambria Math" w:cs="Arial"/>
                <w:i/>
                <w:sz w:val="18"/>
                <w:szCs w:val="18"/>
                <w:vertAlign w:val="subscript"/>
              </w:rPr>
              <w:t>w</w:t>
            </w:r>
            <w:r w:rsidRPr="001570EA">
              <w:rPr>
                <w:rFonts w:ascii="Cambria Math" w:hAnsi="Cambria Math" w:cs="Arial"/>
                <w:i/>
                <w:sz w:val="18"/>
                <w:szCs w:val="18"/>
              </w:rPr>
              <w:t>,</w:t>
            </w:r>
            <w:r w:rsidRPr="001570EA">
              <w:rPr>
                <w:rFonts w:cs="Arial"/>
                <w:i/>
                <w:sz w:val="18"/>
                <w:szCs w:val="18"/>
              </w:rPr>
              <w:t xml:space="preserve"> </w:t>
            </w:r>
            <w:r w:rsidRPr="001570EA">
              <w:rPr>
                <w:rFonts w:cs="Arial"/>
                <w:sz w:val="18"/>
                <w:szCs w:val="18"/>
              </w:rPr>
              <w:t>Winter</w:t>
            </w:r>
            <w:r w:rsidRPr="001570EA">
              <w:rPr>
                <w:rFonts w:cs="Arial"/>
                <w:i/>
                <w:sz w:val="18"/>
                <w:szCs w:val="18"/>
              </w:rPr>
              <w:t xml:space="preserve"> </w:t>
            </w:r>
            <w:r w:rsidRPr="001570EA">
              <w:rPr>
                <w:rFonts w:cs="Arial"/>
                <w:sz w:val="18"/>
                <w:szCs w:val="18"/>
              </w:rPr>
              <w:t>Energy to Demand Factor</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262F013" w14:textId="77777777" w:rsidR="00C71CAA" w:rsidRPr="001570EA" w:rsidRDefault="003B5E04">
            <w:pPr>
              <w:spacing w:before="60" w:after="60"/>
              <w:jc w:val="center"/>
              <w:rPr>
                <w:rFonts w:cs="Arial"/>
                <w:i/>
                <w:szCs w:val="20"/>
              </w:rPr>
            </w:pPr>
            <m:oMathPara>
              <m:oMath>
                <m:f>
                  <m:fPr>
                    <m:ctrlPr>
                      <w:rPr>
                        <w:rFonts w:ascii="Cambria Math" w:eastAsia="Arial Unicode MS" w:hAnsi="Cambria Math"/>
                        <w:i/>
                        <w:iCs/>
                        <w:szCs w:val="20"/>
                      </w:rPr>
                    </m:ctrlPr>
                  </m:fPr>
                  <m:num>
                    <m:r>
                      <w:rPr>
                        <w:rFonts w:ascii="Cambria Math" w:eastAsia="Arial Unicode MS" w:hAnsi="Cambria Math"/>
                        <w:szCs w:val="20"/>
                      </w:rPr>
                      <m:t>kW</m:t>
                    </m:r>
                  </m:num>
                  <m:den>
                    <m:r>
                      <w:rPr>
                        <w:rFonts w:ascii="Cambria Math" w:eastAsia="Arial Unicode MS" w:hAnsi="Cambria Math"/>
                        <w:szCs w:val="20"/>
                      </w:rPr>
                      <m:t>kWh</m:t>
                    </m:r>
                  </m:den>
                </m:f>
              </m:oMath>
            </m:oMathPara>
          </w:p>
        </w:tc>
        <w:tc>
          <w:tcPr>
            <w:tcW w:w="2160" w:type="dxa"/>
            <w:tcBorders>
              <w:top w:val="single" w:sz="4" w:space="0" w:color="auto"/>
              <w:left w:val="single" w:sz="4" w:space="0" w:color="auto"/>
              <w:bottom w:val="single" w:sz="4" w:space="0" w:color="auto"/>
              <w:right w:val="single" w:sz="4" w:space="0" w:color="auto"/>
            </w:tcBorders>
            <w:hideMark/>
          </w:tcPr>
          <w:p w14:paraId="38A0ED62" w14:textId="77777777" w:rsidR="00C71CAA" w:rsidRPr="001570EA" w:rsidRDefault="00C71CAA">
            <w:pPr>
              <w:pStyle w:val="TableCell"/>
              <w:keepNext w:val="0"/>
              <w:spacing w:before="60" w:after="60"/>
              <w:jc w:val="center"/>
            </w:pPr>
            <w:r w:rsidRPr="001570EA">
              <w:t>SF: 0.0001761</w:t>
            </w:r>
          </w:p>
          <w:p w14:paraId="10BF9256" w14:textId="77777777" w:rsidR="00C71CAA" w:rsidRPr="001570EA" w:rsidRDefault="00C71CAA">
            <w:pPr>
              <w:pStyle w:val="TableCell"/>
              <w:keepNext w:val="0"/>
              <w:spacing w:before="60" w:after="60"/>
              <w:jc w:val="center"/>
            </w:pPr>
            <w:r w:rsidRPr="001570EA">
              <w:t>MF: 0.0001733</w:t>
            </w:r>
          </w:p>
          <w:p w14:paraId="205D9688" w14:textId="77777777" w:rsidR="00C71CAA" w:rsidRPr="001570EA" w:rsidRDefault="00C71CAA">
            <w:pPr>
              <w:pStyle w:val="TableCell"/>
              <w:spacing w:before="60" w:after="60"/>
              <w:jc w:val="center"/>
              <w:rPr>
                <w:rFonts w:cs="Arial"/>
                <w:color w:val="000000"/>
                <w:szCs w:val="18"/>
              </w:rPr>
            </w:pPr>
            <w:r w:rsidRPr="001570EA">
              <w:t>Unknown: 0.0001755</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164961B" w14:textId="77777777" w:rsidR="00C71CAA" w:rsidRPr="001570EA" w:rsidRDefault="00C71CAA">
            <w:pPr>
              <w:spacing w:before="60" w:after="60"/>
              <w:jc w:val="center"/>
              <w:rPr>
                <w:rFonts w:cs="Arial"/>
                <w:color w:val="000000"/>
                <w:sz w:val="18"/>
                <w:szCs w:val="18"/>
              </w:rPr>
            </w:pPr>
            <w:r w:rsidRPr="001570EA">
              <w:rPr>
                <w:color w:val="000000"/>
                <w:sz w:val="18"/>
                <w:szCs w:val="18"/>
              </w:rPr>
              <w:t>11</w:t>
            </w:r>
          </w:p>
        </w:tc>
      </w:tr>
    </w:tbl>
    <w:p w14:paraId="74AE839D" w14:textId="77777777" w:rsidR="00C71CAA" w:rsidRPr="001570EA" w:rsidRDefault="00C71CAA" w:rsidP="00C36771">
      <w:pPr>
        <w:pStyle w:val="BodyText"/>
        <w:ind w:right="0"/>
      </w:pPr>
    </w:p>
    <w:p w14:paraId="65FC22BB" w14:textId="77777777" w:rsidR="00C71CAA" w:rsidRPr="001570EA" w:rsidRDefault="00C71CAA" w:rsidP="00C71CAA">
      <w:pPr>
        <w:pStyle w:val="SubStyle"/>
      </w:pPr>
      <w:r w:rsidRPr="001570EA">
        <w:t>Evaluation Protocols</w:t>
      </w:r>
    </w:p>
    <w:p w14:paraId="14CD5426" w14:textId="77777777" w:rsidR="00C71CAA" w:rsidRPr="001570EA" w:rsidRDefault="00C71CAA" w:rsidP="00C71CAA">
      <w:pPr>
        <w:pStyle w:val="BodyText"/>
        <w:ind w:right="0"/>
      </w:pPr>
      <w:r w:rsidRPr="001570EA">
        <w:t>The most appropriate evaluation protocol for this measure is verification of installation coupled with EDC Data Gathering.</w:t>
      </w:r>
    </w:p>
    <w:p w14:paraId="24220515" w14:textId="77777777" w:rsidR="00C71CAA" w:rsidRPr="001570EA" w:rsidRDefault="00C71CAA" w:rsidP="00C71CAA">
      <w:pPr>
        <w:pStyle w:val="SubStyle"/>
      </w:pPr>
    </w:p>
    <w:p w14:paraId="4829B0D9" w14:textId="77777777" w:rsidR="00C71CAA" w:rsidRPr="001570EA" w:rsidRDefault="00C71CAA" w:rsidP="00C71CAA">
      <w:pPr>
        <w:pStyle w:val="SubStyle"/>
      </w:pPr>
      <w:r w:rsidRPr="001570EA">
        <w:t>Sources</w:t>
      </w:r>
    </w:p>
    <w:p w14:paraId="027253D8" w14:textId="5AAFA43F" w:rsidR="00C71CAA" w:rsidRPr="001570EA" w:rsidRDefault="00C71CAA" w:rsidP="002614D2">
      <w:pPr>
        <w:pStyle w:val="Equation"/>
        <w:numPr>
          <w:ilvl w:val="0"/>
          <w:numId w:val="29"/>
        </w:numPr>
        <w:spacing w:after="120"/>
        <w:jc w:val="left"/>
        <w:textAlignment w:val="auto"/>
        <w:rPr>
          <w:rFonts w:eastAsia="Times New Roman" w:cs="Arial"/>
        </w:rPr>
      </w:pPr>
      <w:r w:rsidRPr="001570EA">
        <w:rPr>
          <w:i w:val="0"/>
        </w:rPr>
        <w:t xml:space="preserve">California Electronic Technical Reference Manual. “Low-Flow Showerheads”. Accessed December 2023. </w:t>
      </w:r>
      <w:hyperlink r:id="rId185" w:history="1">
        <w:r w:rsidRPr="001570EA">
          <w:rPr>
            <w:rStyle w:val="Hyperlink"/>
            <w:i w:val="0"/>
          </w:rPr>
          <w:t>Weblink</w:t>
        </w:r>
      </w:hyperlink>
      <w:r w:rsidRPr="001570EA">
        <w:rPr>
          <w:i w:val="0"/>
        </w:rPr>
        <w:t xml:space="preserve"> </w:t>
      </w:r>
    </w:p>
    <w:p w14:paraId="7707453B" w14:textId="7D19CFAA" w:rsidR="00C71CAA" w:rsidRPr="001570EA" w:rsidRDefault="00C71CAA" w:rsidP="002614D2">
      <w:pPr>
        <w:pStyle w:val="Equation"/>
        <w:numPr>
          <w:ilvl w:val="0"/>
          <w:numId w:val="29"/>
        </w:numPr>
        <w:spacing w:after="120"/>
        <w:rPr>
          <w:rFonts w:eastAsia="Times New Roman" w:cs="Arial"/>
          <w:i w:val="0"/>
        </w:rPr>
      </w:pPr>
      <w:r w:rsidRPr="001570EA">
        <w:rPr>
          <w:i w:val="0"/>
        </w:rPr>
        <w:t>10 CFR 430.32(p)</w:t>
      </w:r>
      <w:r w:rsidRPr="001570EA">
        <w:rPr>
          <w:rFonts w:eastAsia="Times New Roman" w:cs="Arial"/>
          <w:i w:val="0"/>
        </w:rPr>
        <w:t xml:space="preserve">. </w:t>
      </w:r>
      <w:hyperlink r:id="rId186" w:anchor="p-430.32(p)" w:history="1">
        <w:r w:rsidRPr="001570EA">
          <w:rPr>
            <w:rStyle w:val="Hyperlink"/>
            <w:rFonts w:eastAsia="Times New Roman" w:cs="Arial"/>
            <w:i w:val="0"/>
          </w:rPr>
          <w:t>Weblink</w:t>
        </w:r>
      </w:hyperlink>
    </w:p>
    <w:p w14:paraId="6CF7D860" w14:textId="77777777" w:rsidR="00C71CAA" w:rsidRPr="001570EA" w:rsidRDefault="00C71CAA" w:rsidP="002614D2">
      <w:pPr>
        <w:pStyle w:val="source10"/>
        <w:numPr>
          <w:ilvl w:val="0"/>
          <w:numId w:val="29"/>
        </w:numPr>
        <w:spacing w:after="120"/>
      </w:pPr>
      <w:r w:rsidRPr="001570EA">
        <w:t>Cadmus and Opinion Dynamics Evaluation Team for Michigan Evaluation Working Group. (2013, June). Showerhead and Faucet Aerator Meter Study. Table 6. The study compared shower length by single-family and multifamily populations, finding no statistical difference in showering times. For the energy-saving analysis, the study used the combined single-family and multifamily average shower length of 7.8 minutes.</w:t>
      </w:r>
    </w:p>
    <w:p w14:paraId="7B34DA06" w14:textId="65D66F82" w:rsidR="00C71CAA" w:rsidRPr="001570EA" w:rsidRDefault="00C71CAA" w:rsidP="002614D2">
      <w:pPr>
        <w:pStyle w:val="source10"/>
        <w:numPr>
          <w:ilvl w:val="0"/>
          <w:numId w:val="29"/>
        </w:numPr>
        <w:spacing w:after="120"/>
        <w:jc w:val="left"/>
        <w:textAlignment w:val="auto"/>
      </w:pPr>
      <w:r w:rsidRPr="001570EA">
        <w:t xml:space="preserve">U.S. Census Bureau, 2017-2021 American Community Survey 5-Year Estimates. </w:t>
      </w:r>
      <w:hyperlink r:id="rId187" w:history="1">
        <w:r w:rsidRPr="001570EA">
          <w:rPr>
            <w:rStyle w:val="Hyperlink"/>
          </w:rPr>
          <w:t>Weblink</w:t>
        </w:r>
      </w:hyperlink>
      <w:r w:rsidRPr="001570EA" w:rsidDel="00755829">
        <w:t xml:space="preserve"> </w:t>
      </w:r>
      <w:r w:rsidRPr="001570EA">
        <w:t xml:space="preserve"> </w:t>
      </w:r>
    </w:p>
    <w:p w14:paraId="359D21D3" w14:textId="77777777" w:rsidR="00C71CAA" w:rsidRPr="001570EA" w:rsidRDefault="00C71CAA" w:rsidP="002614D2">
      <w:pPr>
        <w:pStyle w:val="source10"/>
        <w:numPr>
          <w:ilvl w:val="0"/>
          <w:numId w:val="29"/>
        </w:numPr>
        <w:spacing w:after="120"/>
      </w:pPr>
      <w:r w:rsidRPr="001570EA">
        <w:t>Cadmus and Opinion Dynamics Evaluation Team for Michigan Evaluation Working Group. (2013, June). Showerhead and Faucet Aerator Meter Study. Table 8. For each shower fixture metered, the evaluation team knew the total number of showers taken, duration of time meters remained in each home, and total occupants reported to live in the home. From these values, the average showers taken per day, per person was calculated. The study compared showers per day, per person by single-family and multifamily populations, finding no statistical difference in the values. For the energy-saving analysis, the study used the combined single-family and multifamily average showers per day, per person of 0.6.</w:t>
      </w:r>
    </w:p>
    <w:p w14:paraId="6827690D" w14:textId="43FB955B" w:rsidR="00C71CAA" w:rsidRPr="001570EA" w:rsidRDefault="00C71CAA" w:rsidP="002614D2">
      <w:pPr>
        <w:pStyle w:val="source10"/>
        <w:numPr>
          <w:ilvl w:val="0"/>
          <w:numId w:val="29"/>
        </w:numPr>
        <w:spacing w:after="120"/>
        <w:jc w:val="left"/>
      </w:pPr>
      <w:r w:rsidRPr="001570EA">
        <w:t>NMR Group for the Pennsylvania Public Utility Commission. (2024, March). 2023 Pennsylvania Statewide Act 129 Residential Baseline Study. P</w:t>
      </w:r>
      <w:r w:rsidR="00E13D76">
        <w:t>a</w:t>
      </w:r>
      <w:r w:rsidRPr="001570EA">
        <w:t>g</w:t>
      </w:r>
      <w:r w:rsidR="00E13D76">
        <w:t>e</w:t>
      </w:r>
      <w:r w:rsidRPr="001570EA">
        <w:t xml:space="preserve"> 122, </w:t>
      </w:r>
      <w:r w:rsidR="000855D7" w:rsidRPr="001570EA">
        <w:t>Table</w:t>
      </w:r>
      <w:r w:rsidRPr="001570EA">
        <w:t xml:space="preserve"> 105 (ELEC). P</w:t>
      </w:r>
      <w:r w:rsidR="00E13D76">
        <w:t>a</w:t>
      </w:r>
      <w:r w:rsidRPr="001570EA">
        <w:t>g</w:t>
      </w:r>
      <w:r w:rsidR="00E13D76">
        <w:t>e</w:t>
      </w:r>
      <w:r w:rsidRPr="001570EA">
        <w:t xml:space="preserve"> 130</w:t>
      </w:r>
      <w:r w:rsidR="008A5E8C">
        <w:t>, Table 112</w:t>
      </w:r>
      <w:r w:rsidRPr="001570EA">
        <w:t xml:space="preserve"> (N</w:t>
      </w:r>
      <w:r w:rsidRPr="001570EA">
        <w:rPr>
          <w:vertAlign w:val="subscript"/>
        </w:rPr>
        <w:t>faucets-home</w:t>
      </w:r>
      <w:r w:rsidRPr="001570EA">
        <w:t xml:space="preserve">). </w:t>
      </w:r>
      <w:hyperlink r:id="rId188" w:history="1">
        <w:r w:rsidRPr="001570EA">
          <w:rPr>
            <w:rStyle w:val="Hyperlink"/>
            <w:rFonts w:cs="Arial"/>
          </w:rPr>
          <w:t>Weblink</w:t>
        </w:r>
      </w:hyperlink>
      <w:r w:rsidRPr="001570EA">
        <w:t xml:space="preserve"> </w:t>
      </w:r>
    </w:p>
    <w:p w14:paraId="4AF609EA" w14:textId="77777777" w:rsidR="00C71CAA" w:rsidRPr="001570EA" w:rsidRDefault="00C71CAA" w:rsidP="002614D2">
      <w:pPr>
        <w:pStyle w:val="Equation"/>
        <w:numPr>
          <w:ilvl w:val="0"/>
          <w:numId w:val="29"/>
        </w:numPr>
        <w:spacing w:after="120"/>
        <w:textAlignment w:val="auto"/>
        <w:rPr>
          <w:rFonts w:eastAsia="Arial" w:cs="Arial"/>
          <w:i w:val="0"/>
          <w:szCs w:val="20"/>
        </w:rPr>
      </w:pPr>
      <w:r w:rsidRPr="001570EA">
        <w:rPr>
          <w:i w:val="0"/>
        </w:rPr>
        <w:t>Cadmus and Opinion Dynamics Evaluation Team for Michigan Evaluation Working Group. (2013, June). Showerhead and Faucet Aerator Meter Study.</w:t>
      </w:r>
      <w:r w:rsidRPr="001570EA">
        <w:rPr>
          <w:rFonts w:eastAsia="Arial" w:cs="Arial"/>
          <w:i w:val="0"/>
          <w:color w:val="374151"/>
        </w:rPr>
        <w:t xml:space="preserve"> </w:t>
      </w:r>
      <w:r w:rsidRPr="001570EA">
        <w:rPr>
          <w:rFonts w:eastAsia="Arial" w:cs="Arial"/>
          <w:i w:val="0"/>
        </w:rPr>
        <w:t>Temperature sensors provided the mixed water temperature readings resulting in an average of 101ºF.</w:t>
      </w:r>
    </w:p>
    <w:p w14:paraId="5BE728F4" w14:textId="026F6FA4" w:rsidR="00C71CAA" w:rsidRPr="001570EA" w:rsidRDefault="00C71CAA" w:rsidP="002614D2">
      <w:pPr>
        <w:pStyle w:val="ListParagraph"/>
        <w:numPr>
          <w:ilvl w:val="0"/>
          <w:numId w:val="29"/>
        </w:numPr>
        <w:jc w:val="left"/>
        <w:rPr>
          <w:rFonts w:eastAsia="Arial" w:cs="Arial"/>
        </w:rPr>
      </w:pPr>
      <w:r w:rsidRPr="001570EA">
        <w:rPr>
          <w:rFonts w:eastAsia="Arial" w:cs="Arial"/>
        </w:rPr>
        <w:t xml:space="preserve">Using Rock Spring, PA (Site 2036) as a proxy, the mean soil temperature at 40-inch depth is 52.502. Calculated using Daily SCAN Standard - Period of Record data from December 2003 to December 2023 from the Natural Resource Conservation Service Database. </w:t>
      </w:r>
      <w:hyperlink r:id="rId189" w:history="1">
        <w:r w:rsidRPr="001570EA">
          <w:rPr>
            <w:rStyle w:val="Hyperlink"/>
            <w:rFonts w:cs="Arial"/>
          </w:rPr>
          <w:t>Weblink</w:t>
        </w:r>
      </w:hyperlink>
      <w:r w:rsidRPr="001570EA">
        <w:rPr>
          <w:rFonts w:eastAsia="Arial" w:cs="Arial"/>
        </w:rPr>
        <w:t>. Methodology follows Missouri TRM 2017 Volume 2: Commercial and Industrial Measures. (2017, March). “2.6.1 Water Heater”. P</w:t>
      </w:r>
      <w:r w:rsidR="00E13D76">
        <w:rPr>
          <w:rFonts w:eastAsia="Arial" w:cs="Arial"/>
        </w:rPr>
        <w:t>a</w:t>
      </w:r>
      <w:r w:rsidRPr="001570EA">
        <w:rPr>
          <w:rFonts w:eastAsia="Arial" w:cs="Arial"/>
        </w:rPr>
        <w:t>g</w:t>
      </w:r>
      <w:r w:rsidR="00E13D76">
        <w:rPr>
          <w:rFonts w:eastAsia="Arial" w:cs="Arial"/>
        </w:rPr>
        <w:t>e</w:t>
      </w:r>
      <w:r w:rsidRPr="001570EA">
        <w:rPr>
          <w:rFonts w:eastAsia="Arial" w:cs="Arial"/>
        </w:rPr>
        <w:t xml:space="preserve"> 78. </w:t>
      </w:r>
      <w:hyperlink r:id="rId190" w:history="1">
        <w:r w:rsidRPr="001570EA">
          <w:rPr>
            <w:rStyle w:val="Hyperlink"/>
          </w:rPr>
          <w:t>Weblink</w:t>
        </w:r>
      </w:hyperlink>
    </w:p>
    <w:p w14:paraId="4E1AF567" w14:textId="259D8DF1" w:rsidR="00C71CAA" w:rsidRPr="001570EA" w:rsidRDefault="00C71CAA" w:rsidP="002614D2">
      <w:pPr>
        <w:pStyle w:val="source10"/>
        <w:numPr>
          <w:ilvl w:val="0"/>
          <w:numId w:val="29"/>
        </w:numPr>
        <w:spacing w:after="120"/>
        <w:jc w:val="left"/>
        <w:textAlignment w:val="auto"/>
        <w:rPr>
          <w:rStyle w:val="Hyperlink"/>
          <w:szCs w:val="24"/>
        </w:rPr>
      </w:pPr>
      <w:r w:rsidRPr="001570EA">
        <w:rPr>
          <w:rFonts w:eastAsia="system-ui"/>
        </w:rPr>
        <w:t xml:space="preserve">AHRI </w:t>
      </w:r>
      <w:r w:rsidRPr="001570EA">
        <w:rPr>
          <w:rFonts w:eastAsia="Arial"/>
        </w:rPr>
        <w:t>Directory. All electric storage water heaters have a recovery efficiency of 0.98. Average recovery efficiency for heat pump water heaters is 3.93. Accessed December 2023.</w:t>
      </w:r>
      <w:r w:rsidRPr="001570EA">
        <w:rPr>
          <w:rFonts w:eastAsia="Arial"/>
          <w:color w:val="374151"/>
        </w:rPr>
        <w:t xml:space="preserve"> </w:t>
      </w:r>
      <w:hyperlink r:id="rId191" w:history="1">
        <w:r w:rsidRPr="001570EA">
          <w:rPr>
            <w:rStyle w:val="Hyperlink"/>
          </w:rPr>
          <w:t>Weblink</w:t>
        </w:r>
      </w:hyperlink>
      <w:r w:rsidRPr="001570EA">
        <w:t xml:space="preserve"> 1.22 for unknown type calculated as the weighted average of electric resistance and HPWH recover efficiencies by the relative proportions of electric resistance and HPWHs from the </w:t>
      </w:r>
      <w:r w:rsidR="007F2CA6">
        <w:t xml:space="preserve">Act 129 </w:t>
      </w:r>
      <w:r w:rsidRPr="001570EA">
        <w:t xml:space="preserve">2023 </w:t>
      </w:r>
      <w:r w:rsidR="007F2CA6" w:rsidRPr="001570EA">
        <w:t>P</w:t>
      </w:r>
      <w:r w:rsidR="007F2CA6">
        <w:t>ennsylvania</w:t>
      </w:r>
      <w:r w:rsidR="007F2CA6" w:rsidRPr="001570EA">
        <w:t xml:space="preserve"> Residential Baseline Study</w:t>
      </w:r>
      <w:r w:rsidRPr="001570EA">
        <w:t>.</w:t>
      </w:r>
    </w:p>
    <w:p w14:paraId="7B45454F" w14:textId="77777777" w:rsidR="00C71CAA" w:rsidRPr="001570EA" w:rsidRDefault="00C71CAA" w:rsidP="002614D2">
      <w:pPr>
        <w:pStyle w:val="source10"/>
        <w:numPr>
          <w:ilvl w:val="0"/>
          <w:numId w:val="29"/>
        </w:numPr>
        <w:spacing w:after="120"/>
        <w:rPr>
          <w:rFonts w:eastAsia="Arial"/>
        </w:rPr>
      </w:pPr>
      <w:r w:rsidRPr="001570EA">
        <w:rPr>
          <w:rFonts w:eastAsia="Arial"/>
        </w:rPr>
        <w:t>Weighted average of ISRs from surveys of FirstEnergy customers that received showerheads in kits in PY13 and PY14.</w:t>
      </w:r>
    </w:p>
    <w:p w14:paraId="2B80E02F" w14:textId="58BC6E0C" w:rsidR="00C71CAA" w:rsidRPr="001570EA" w:rsidRDefault="00C71CAA" w:rsidP="002614D2">
      <w:pPr>
        <w:pStyle w:val="ListParagraph"/>
        <w:numPr>
          <w:ilvl w:val="0"/>
          <w:numId w:val="29"/>
        </w:numPr>
        <w:jc w:val="left"/>
        <w:sectPr w:rsidR="00C71CAA" w:rsidRPr="001570EA" w:rsidSect="002D556C">
          <w:headerReference w:type="default" r:id="rId192"/>
          <w:pgSz w:w="12240" w:h="15840"/>
          <w:pgMar w:top="1440" w:right="1800" w:bottom="1440" w:left="1800" w:header="720" w:footer="501" w:gutter="0"/>
          <w:cols w:space="720"/>
        </w:sectPr>
      </w:pPr>
      <w:r w:rsidRPr="001570EA">
        <w:t xml:space="preserve">Wilson et al. 2021. End-Use Load Profiles for the U.S. Building Stock: Methodology and Results of Model Calibration, Validation, and Uncertainty Quantification. NREL/TP-5500-80889. </w:t>
      </w:r>
      <w:hyperlink r:id="rId193" w:history="1">
        <w:r w:rsidRPr="001570EA">
          <w:rPr>
            <w:rStyle w:val="Hyperlink"/>
          </w:rPr>
          <w:t>Weblink</w:t>
        </w:r>
      </w:hyperlink>
      <w:r w:rsidRPr="001570EA">
        <w:t xml:space="preserve"> </w:t>
      </w:r>
    </w:p>
    <w:p w14:paraId="0A2547EA" w14:textId="77777777" w:rsidR="00C71CAA" w:rsidRPr="001570EA" w:rsidRDefault="00C71CAA" w:rsidP="00462D97">
      <w:pPr>
        <w:pStyle w:val="Heading3"/>
      </w:pPr>
      <w:bookmarkStart w:id="494" w:name="_Toc473645641"/>
      <w:bookmarkStart w:id="495" w:name="_Toc530141483"/>
      <w:bookmarkStart w:id="496" w:name="_Toc48143037"/>
      <w:bookmarkStart w:id="497" w:name="_Toc164786656"/>
      <w:bookmarkEnd w:id="486"/>
      <w:bookmarkEnd w:id="487"/>
      <w:bookmarkEnd w:id="488"/>
      <w:bookmarkEnd w:id="489"/>
      <w:bookmarkEnd w:id="490"/>
      <w:r w:rsidRPr="001570EA">
        <w:t>Thermostatic Shower Restriction Valve</w:t>
      </w:r>
      <w:bookmarkEnd w:id="494"/>
      <w:bookmarkEnd w:id="495"/>
      <w:r w:rsidRPr="001570EA">
        <w:t>s</w:t>
      </w:r>
      <w:bookmarkEnd w:id="496"/>
      <w:bookmarkEnd w:id="4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4970"/>
      </w:tblGrid>
      <w:tr w:rsidR="00C71CAA" w:rsidRPr="001570EA" w14:paraId="6F88EC47" w14:textId="77777777">
        <w:trPr>
          <w:trHeight w:hRule="exact" w:val="360"/>
        </w:trPr>
        <w:tc>
          <w:tcPr>
            <w:tcW w:w="3552" w:type="dxa"/>
            <w:shd w:val="clear" w:color="auto" w:fill="auto"/>
          </w:tcPr>
          <w:p w14:paraId="53449181" w14:textId="77777777" w:rsidR="00C71CAA" w:rsidRPr="001570EA" w:rsidRDefault="00C71CAA">
            <w:pPr>
              <w:pStyle w:val="TableCell"/>
              <w:jc w:val="left"/>
              <w:rPr>
                <w:b/>
                <w:sz w:val="20"/>
              </w:rPr>
            </w:pPr>
            <w:r w:rsidRPr="001570EA">
              <w:rPr>
                <w:b/>
              </w:rPr>
              <w:t>Target Sector</w:t>
            </w:r>
          </w:p>
        </w:tc>
        <w:tc>
          <w:tcPr>
            <w:tcW w:w="4970" w:type="dxa"/>
            <w:shd w:val="clear" w:color="auto" w:fill="auto"/>
          </w:tcPr>
          <w:p w14:paraId="088EF63B" w14:textId="77777777" w:rsidR="00C71CAA" w:rsidRPr="001570EA" w:rsidRDefault="00C71CAA">
            <w:pPr>
              <w:pStyle w:val="TableCell"/>
              <w:jc w:val="center"/>
              <w:rPr>
                <w:rFonts w:eastAsia="Arial Unicode MS" w:cs="Arial"/>
                <w:i/>
                <w:iCs/>
                <w:sz w:val="20"/>
                <w:szCs w:val="24"/>
              </w:rPr>
            </w:pPr>
            <w:r w:rsidRPr="001570EA">
              <w:t>Residential</w:t>
            </w:r>
          </w:p>
        </w:tc>
      </w:tr>
      <w:tr w:rsidR="00C71CAA" w:rsidRPr="001570EA" w14:paraId="7247C938" w14:textId="77777777">
        <w:trPr>
          <w:trHeight w:hRule="exact" w:val="360"/>
        </w:trPr>
        <w:tc>
          <w:tcPr>
            <w:tcW w:w="3552" w:type="dxa"/>
            <w:shd w:val="clear" w:color="auto" w:fill="auto"/>
          </w:tcPr>
          <w:p w14:paraId="72DD5E7E" w14:textId="77777777" w:rsidR="00C71CAA" w:rsidRPr="001570EA" w:rsidRDefault="00C71CAA">
            <w:pPr>
              <w:pStyle w:val="TableCell"/>
              <w:jc w:val="left"/>
              <w:rPr>
                <w:b/>
                <w:sz w:val="20"/>
              </w:rPr>
            </w:pPr>
            <w:r w:rsidRPr="001570EA">
              <w:rPr>
                <w:b/>
              </w:rPr>
              <w:t>Measure Unit</w:t>
            </w:r>
          </w:p>
        </w:tc>
        <w:tc>
          <w:tcPr>
            <w:tcW w:w="4970" w:type="dxa"/>
            <w:shd w:val="clear" w:color="auto" w:fill="auto"/>
          </w:tcPr>
          <w:p w14:paraId="317F0DF9" w14:textId="77777777" w:rsidR="00C71CAA" w:rsidRPr="001570EA" w:rsidRDefault="00C71CAA">
            <w:pPr>
              <w:pStyle w:val="TableCell"/>
              <w:jc w:val="center"/>
              <w:rPr>
                <w:rFonts w:eastAsia="Arial Unicode MS" w:cs="Arial"/>
                <w:i/>
                <w:iCs/>
                <w:sz w:val="20"/>
                <w:szCs w:val="24"/>
              </w:rPr>
            </w:pPr>
            <w:r w:rsidRPr="001570EA">
              <w:t>Water Heater</w:t>
            </w:r>
          </w:p>
        </w:tc>
      </w:tr>
      <w:tr w:rsidR="00C71CAA" w:rsidRPr="001570EA" w14:paraId="2714C544" w14:textId="77777777">
        <w:trPr>
          <w:trHeight w:hRule="exact" w:val="360"/>
        </w:trPr>
        <w:tc>
          <w:tcPr>
            <w:tcW w:w="3552" w:type="dxa"/>
            <w:shd w:val="clear" w:color="auto" w:fill="auto"/>
          </w:tcPr>
          <w:p w14:paraId="46FF5949" w14:textId="77777777" w:rsidR="00C71CAA" w:rsidRPr="001570EA" w:rsidRDefault="00C71CAA">
            <w:pPr>
              <w:pStyle w:val="TableCell"/>
              <w:jc w:val="left"/>
              <w:rPr>
                <w:b/>
                <w:sz w:val="20"/>
              </w:rPr>
            </w:pPr>
            <w:r w:rsidRPr="001570EA">
              <w:rPr>
                <w:b/>
              </w:rPr>
              <w:t>Measure Life</w:t>
            </w:r>
          </w:p>
        </w:tc>
        <w:tc>
          <w:tcPr>
            <w:tcW w:w="4970" w:type="dxa"/>
            <w:shd w:val="clear" w:color="auto" w:fill="auto"/>
          </w:tcPr>
          <w:p w14:paraId="4D112DBF" w14:textId="77777777" w:rsidR="00C71CAA" w:rsidRPr="001570EA" w:rsidRDefault="00C71CAA">
            <w:pPr>
              <w:pStyle w:val="TableCell"/>
              <w:jc w:val="center"/>
              <w:rPr>
                <w:rFonts w:eastAsia="Arial Unicode MS"/>
                <w:i/>
                <w:sz w:val="20"/>
                <w:vertAlign w:val="superscript"/>
              </w:rPr>
            </w:pPr>
            <w:r w:rsidRPr="001570EA">
              <w:t>15 years</w:t>
            </w:r>
            <w:r w:rsidRPr="001570EA">
              <w:rPr>
                <w:vertAlign w:val="superscript"/>
              </w:rPr>
              <w:t>Source 1</w:t>
            </w:r>
          </w:p>
        </w:tc>
      </w:tr>
      <w:tr w:rsidR="00C71CAA" w:rsidRPr="001570EA" w14:paraId="210E73A8" w14:textId="77777777">
        <w:trPr>
          <w:trHeight w:hRule="exact" w:val="360"/>
        </w:trPr>
        <w:tc>
          <w:tcPr>
            <w:tcW w:w="3552" w:type="dxa"/>
            <w:shd w:val="clear" w:color="auto" w:fill="auto"/>
          </w:tcPr>
          <w:p w14:paraId="62E0831D" w14:textId="77777777" w:rsidR="00C71CAA" w:rsidRPr="001570EA" w:rsidRDefault="00C71CAA">
            <w:pPr>
              <w:pStyle w:val="TableCell"/>
              <w:jc w:val="left"/>
              <w:rPr>
                <w:b/>
              </w:rPr>
            </w:pPr>
            <w:r w:rsidRPr="001570EA">
              <w:rPr>
                <w:b/>
              </w:rPr>
              <w:t>Vintage</w:t>
            </w:r>
          </w:p>
        </w:tc>
        <w:tc>
          <w:tcPr>
            <w:tcW w:w="4970" w:type="dxa"/>
            <w:shd w:val="clear" w:color="auto" w:fill="auto"/>
          </w:tcPr>
          <w:p w14:paraId="5A12DF54" w14:textId="77777777" w:rsidR="00C71CAA" w:rsidRPr="001570EA" w:rsidRDefault="00C71CAA">
            <w:pPr>
              <w:pStyle w:val="TableCell"/>
              <w:jc w:val="center"/>
            </w:pPr>
            <w:r w:rsidRPr="001570EA">
              <w:t>Retrofit</w:t>
            </w:r>
          </w:p>
        </w:tc>
      </w:tr>
    </w:tbl>
    <w:p w14:paraId="4277BB37" w14:textId="77777777" w:rsidR="00C71CAA" w:rsidRPr="001570EA" w:rsidRDefault="00C71CAA" w:rsidP="00C71CAA">
      <w:pPr>
        <w:pStyle w:val="NoSpacing"/>
      </w:pPr>
    </w:p>
    <w:p w14:paraId="0655F5E4" w14:textId="77777777" w:rsidR="00C71CAA" w:rsidRPr="001570EA" w:rsidRDefault="00C71CAA" w:rsidP="00C71CAA">
      <w:pPr>
        <w:pStyle w:val="BodyText"/>
        <w:ind w:right="0"/>
      </w:pPr>
      <w:r w:rsidRPr="001570EA">
        <w:t>This measure relates to the installation of a device that reduces hot water usage during shower warm-up by way of a thermostatic shower restriction valve, reducing hot water waste during shower warm-up.</w:t>
      </w:r>
    </w:p>
    <w:p w14:paraId="2AC6D531" w14:textId="77777777" w:rsidR="00C71CAA" w:rsidRPr="001570EA" w:rsidRDefault="00C71CAA" w:rsidP="00C71CAA">
      <w:pPr>
        <w:spacing w:after="120"/>
        <w:rPr>
          <w:rFonts w:ascii="Arial Black" w:hAnsi="Arial Black"/>
          <w:b/>
          <w:u w:val="single"/>
        </w:rPr>
      </w:pPr>
    </w:p>
    <w:p w14:paraId="28ED7678" w14:textId="77777777" w:rsidR="00C71CAA" w:rsidRPr="001570EA" w:rsidRDefault="00C71CAA" w:rsidP="00C71CAA">
      <w:pPr>
        <w:pStyle w:val="SubStyle"/>
      </w:pPr>
      <w:r w:rsidRPr="001570EA">
        <w:t>Eligibility</w:t>
      </w:r>
    </w:p>
    <w:p w14:paraId="38E69FE1" w14:textId="77777777" w:rsidR="00C71CAA" w:rsidRPr="001570EA" w:rsidRDefault="00C71CAA" w:rsidP="00C71CAA">
      <w:pPr>
        <w:pStyle w:val="BodyText"/>
        <w:ind w:right="0"/>
      </w:pPr>
      <w:r w:rsidRPr="001570EA">
        <w:t>This protocol documents the energy savings attributable to installing a thermostatic restriction valve, device, or equivalent product on an existing showerhead. Only homes with electric water heaters are eligible. Savings associated with this measure may be combined with a low-flow showerhead as the sum of the savings of the two measures.</w:t>
      </w:r>
    </w:p>
    <w:p w14:paraId="02903CC1" w14:textId="77777777" w:rsidR="00C71CAA" w:rsidRPr="001570EA" w:rsidRDefault="00C71CAA" w:rsidP="00C71CAA">
      <w:pPr>
        <w:spacing w:after="120"/>
        <w:rPr>
          <w:rFonts w:ascii="Arial Black" w:hAnsi="Arial Black"/>
          <w:b/>
          <w:u w:val="single"/>
        </w:rPr>
      </w:pPr>
    </w:p>
    <w:p w14:paraId="72776C8F" w14:textId="77777777" w:rsidR="00C71CAA" w:rsidRPr="001570EA" w:rsidRDefault="00C71CAA" w:rsidP="00C71CAA">
      <w:pPr>
        <w:pStyle w:val="SubStyle"/>
      </w:pPr>
      <w:r w:rsidRPr="001570EA">
        <w:t>Algorithms</w:t>
      </w:r>
    </w:p>
    <w:p w14:paraId="6A8CAFD9" w14:textId="77777777" w:rsidR="00C71CAA" w:rsidRPr="001570EA" w:rsidRDefault="00C71CAA" w:rsidP="00C71CAA">
      <w:pPr>
        <w:pStyle w:val="NoSpacing"/>
      </w:pPr>
      <w:r w:rsidRPr="001570EA">
        <w:t>The annual energy savings are obtained through the following formula:</w:t>
      </w:r>
    </w:p>
    <w:p w14:paraId="3242F904" w14:textId="77777777" w:rsidR="00C71CAA" w:rsidRPr="001570EA" w:rsidRDefault="00C71CAA" w:rsidP="00C71CAA">
      <w:pPr>
        <w:pStyle w:val="Equation"/>
        <w:ind w:left="0" w:firstLine="0"/>
        <w:rPr>
          <w:rFonts w:ascii="Cambria Math" w:hAnsi="Cambria Math" w:cs="Arial"/>
          <w:szCs w:val="20"/>
        </w:rPr>
      </w:pPr>
      <m:oMathPara>
        <m:oMathParaPr>
          <m:jc m:val="left"/>
        </m:oMathParaPr>
        <m:oMath>
          <m:r>
            <w:rPr>
              <w:rFonts w:ascii="Cambria Math" w:hAnsi="Cambria Math" w:cs="Arial"/>
              <w:szCs w:val="20"/>
            </w:rPr>
            <m:t xml:space="preserve">∆kWh               = </m:t>
          </m:r>
          <m:f>
            <m:fPr>
              <m:ctrlPr>
                <w:rPr>
                  <w:rFonts w:ascii="Cambria Math" w:hAnsi="Cambria Math" w:cs="Arial"/>
                  <w:i w:val="0"/>
                  <w:szCs w:val="20"/>
                </w:rPr>
              </m:ctrlPr>
            </m:fPr>
            <m:num>
              <m:r>
                <w:rPr>
                  <w:rFonts w:ascii="Cambria Math" w:hAnsi="Cambria Math" w:cs="Arial"/>
                  <w:szCs w:val="20"/>
                </w:rPr>
                <m:t xml:space="preserve"> </m:t>
              </m:r>
              <m:sSub>
                <m:sSubPr>
                  <m:ctrlPr>
                    <w:rPr>
                      <w:rFonts w:ascii="Cambria Math" w:hAnsi="Cambria Math" w:cs="Arial"/>
                      <w:i w:val="0"/>
                      <w:szCs w:val="20"/>
                    </w:rPr>
                  </m:ctrlPr>
                </m:sSubPr>
                <m:e>
                  <m:r>
                    <w:rPr>
                      <w:rFonts w:ascii="Cambria Math" w:hAnsi="Cambria Math" w:cs="Arial"/>
                      <w:szCs w:val="20"/>
                    </w:rPr>
                    <m:t>GPM</m:t>
                  </m:r>
                </m:e>
                <m:sub>
                  <m:r>
                    <w:rPr>
                      <w:rFonts w:ascii="Cambria Math" w:hAnsi="Cambria Math" w:cs="Arial"/>
                      <w:szCs w:val="20"/>
                    </w:rPr>
                    <m:t>base</m:t>
                  </m:r>
                </m:sub>
              </m:sSub>
              <m:r>
                <w:rPr>
                  <w:rFonts w:ascii="Cambria Math" w:hAnsi="Cambria Math" w:cs="Arial"/>
                  <w:szCs w:val="20"/>
                </w:rPr>
                <m:t xml:space="preserve">× 8.3  × </m:t>
              </m:r>
              <m:d>
                <m:dPr>
                  <m:ctrlPr>
                    <w:rPr>
                      <w:rFonts w:ascii="Cambria Math" w:hAnsi="Cambria Math" w:cs="Arial"/>
                      <w:i w:val="0"/>
                      <w:szCs w:val="20"/>
                    </w:rPr>
                  </m:ctrlPr>
                </m:dPr>
                <m:e>
                  <m:sSub>
                    <m:sSubPr>
                      <m:ctrlPr>
                        <w:rPr>
                          <w:rFonts w:ascii="Cambria Math" w:hAnsi="Cambria Math" w:cs="Arial"/>
                          <w:i w:val="0"/>
                          <w:szCs w:val="20"/>
                        </w:rPr>
                      </m:ctrlPr>
                    </m:sSubPr>
                    <m:e>
                      <m:r>
                        <w:rPr>
                          <w:rFonts w:ascii="Cambria Math" w:hAnsi="Cambria Math" w:cs="Arial"/>
                          <w:szCs w:val="20"/>
                        </w:rPr>
                        <m:t>T</m:t>
                      </m:r>
                    </m:e>
                    <m:sub>
                      <m:r>
                        <w:rPr>
                          <w:rFonts w:ascii="Cambria Math" w:hAnsi="Cambria Math" w:cs="Arial"/>
                          <w:szCs w:val="20"/>
                        </w:rPr>
                        <m:t>out</m:t>
                      </m:r>
                    </m:sub>
                  </m:sSub>
                  <m:r>
                    <w:rPr>
                      <w:rFonts w:ascii="Cambria Math" w:hAnsi="Cambria Math" w:cs="Arial"/>
                      <w:szCs w:val="20"/>
                    </w:rPr>
                    <m:t xml:space="preserve">- </m:t>
                  </m:r>
                  <m:sSub>
                    <m:sSubPr>
                      <m:ctrlPr>
                        <w:rPr>
                          <w:rFonts w:ascii="Cambria Math" w:hAnsi="Cambria Math" w:cs="Arial"/>
                          <w:i w:val="0"/>
                          <w:szCs w:val="20"/>
                        </w:rPr>
                      </m:ctrlPr>
                    </m:sSubPr>
                    <m:e>
                      <m:r>
                        <w:rPr>
                          <w:rFonts w:ascii="Cambria Math" w:hAnsi="Cambria Math" w:cs="Arial"/>
                          <w:szCs w:val="20"/>
                        </w:rPr>
                        <m:t>T</m:t>
                      </m:r>
                    </m:e>
                    <m:sub>
                      <m:r>
                        <w:rPr>
                          <w:rFonts w:ascii="Cambria Math" w:hAnsi="Cambria Math" w:cs="Arial"/>
                          <w:szCs w:val="20"/>
                        </w:rPr>
                        <m:t>in</m:t>
                      </m:r>
                    </m:sub>
                  </m:sSub>
                </m:e>
              </m:d>
              <m:r>
                <w:rPr>
                  <w:rFonts w:ascii="Cambria Math" w:hAnsi="Cambria Math" w:cs="Arial"/>
                  <w:szCs w:val="20"/>
                </w:rPr>
                <m:t xml:space="preserve"> </m:t>
              </m:r>
            </m:num>
            <m:den>
              <m:r>
                <w:rPr>
                  <w:rFonts w:ascii="Cambria Math" w:hAnsi="Cambria Math" w:cs="Arial"/>
                  <w:szCs w:val="20"/>
                </w:rPr>
                <m:t>3412×RE</m:t>
              </m:r>
            </m:den>
          </m:f>
          <m:r>
            <w:rPr>
              <w:rFonts w:ascii="Cambria Math" w:hAnsi="Cambria Math" w:cs="Arial"/>
              <w:szCs w:val="20"/>
            </w:rPr>
            <m:t xml:space="preserve">   × </m:t>
          </m:r>
          <m:f>
            <m:fPr>
              <m:ctrlPr>
                <w:rPr>
                  <w:rFonts w:ascii="Cambria Math" w:hAnsi="Cambria Math" w:cs="Arial"/>
                  <w:i w:val="0"/>
                  <w:szCs w:val="20"/>
                </w:rPr>
              </m:ctrlPr>
            </m:fPr>
            <m:num>
              <m:r>
                <w:rPr>
                  <w:rFonts w:ascii="Cambria Math" w:hAnsi="Cambria Math" w:cs="Arial"/>
                  <w:szCs w:val="20"/>
                </w:rPr>
                <m:t>BehavioralWasteSeconds ×</m:t>
              </m:r>
              <m:d>
                <m:dPr>
                  <m:ctrlPr>
                    <w:rPr>
                      <w:rFonts w:ascii="Cambria Math" w:hAnsi="Cambria Math" w:cs="Arial"/>
                      <w:i w:val="0"/>
                      <w:szCs w:val="20"/>
                    </w:rPr>
                  </m:ctrlPr>
                </m:dPr>
                <m:e>
                  <m:sSub>
                    <m:sSubPr>
                      <m:ctrlPr>
                        <w:rPr>
                          <w:rFonts w:ascii="Cambria Math" w:hAnsi="Cambria Math" w:cs="Arial"/>
                          <w:i w:val="0"/>
                          <w:szCs w:val="20"/>
                        </w:rPr>
                      </m:ctrlPr>
                    </m:sSubPr>
                    <m:e>
                      <m:r>
                        <w:rPr>
                          <w:rFonts w:ascii="Cambria Math" w:hAnsi="Cambria Math" w:cs="Arial"/>
                          <w:szCs w:val="20"/>
                        </w:rPr>
                        <m:t>N</m:t>
                      </m:r>
                    </m:e>
                    <m:sub>
                      <m:r>
                        <w:rPr>
                          <w:rFonts w:ascii="Cambria Math" w:hAnsi="Cambria Math" w:cs="Arial"/>
                          <w:szCs w:val="20"/>
                        </w:rPr>
                        <m:t>persons</m:t>
                      </m:r>
                    </m:sub>
                  </m:sSub>
                  <m:r>
                    <w:rPr>
                      <w:rFonts w:ascii="Cambria Math" w:hAnsi="Cambria Math" w:cs="Arial"/>
                      <w:szCs w:val="20"/>
                    </w:rPr>
                    <m:t xml:space="preserve"> × </m:t>
                  </m:r>
                  <m:sSub>
                    <m:sSubPr>
                      <m:ctrlPr>
                        <w:rPr>
                          <w:rFonts w:ascii="Cambria Math" w:hAnsi="Cambria Math" w:cs="Arial"/>
                          <w:i w:val="0"/>
                          <w:szCs w:val="20"/>
                        </w:rPr>
                      </m:ctrlPr>
                    </m:sSubPr>
                    <m:e>
                      <m:r>
                        <w:rPr>
                          <w:rFonts w:ascii="Cambria Math" w:hAnsi="Cambria Math" w:cs="Arial"/>
                          <w:szCs w:val="20"/>
                        </w:rPr>
                        <m:t>N</m:t>
                      </m:r>
                    </m:e>
                    <m:sub>
                      <m:r>
                        <w:rPr>
                          <w:rFonts w:ascii="Cambria Math" w:hAnsi="Cambria Math" w:cs="Arial"/>
                          <w:szCs w:val="20"/>
                        </w:rPr>
                        <m:t>showers-day</m:t>
                      </m:r>
                    </m:sub>
                  </m:sSub>
                </m:e>
              </m:d>
              <m:r>
                <w:rPr>
                  <w:rFonts w:ascii="Cambria Math" w:hAnsi="Cambria Math" w:cs="Arial"/>
                  <w:szCs w:val="20"/>
                </w:rPr>
                <m:t>×365</m:t>
              </m:r>
            </m:num>
            <m:den>
              <m:r>
                <w:rPr>
                  <w:rFonts w:ascii="Cambria Math" w:hAnsi="Cambria Math" w:cs="Arial"/>
                  <w:szCs w:val="20"/>
                </w:rPr>
                <m:t>60 ×</m:t>
              </m:r>
              <m:sSub>
                <m:sSubPr>
                  <m:ctrlPr>
                    <w:rPr>
                      <w:rFonts w:ascii="Cambria Math" w:hAnsi="Cambria Math" w:cs="Arial"/>
                      <w:i w:val="0"/>
                      <w:szCs w:val="20"/>
                    </w:rPr>
                  </m:ctrlPr>
                </m:sSubPr>
                <m:e>
                  <m:r>
                    <w:rPr>
                      <w:rFonts w:ascii="Cambria Math" w:hAnsi="Cambria Math" w:cs="Arial"/>
                      <w:szCs w:val="20"/>
                    </w:rPr>
                    <m:t>N</m:t>
                  </m:r>
                </m:e>
                <m:sub>
                  <m:r>
                    <w:rPr>
                      <w:rFonts w:ascii="Cambria Math" w:hAnsi="Cambria Math" w:cs="Arial"/>
                      <w:szCs w:val="20"/>
                    </w:rPr>
                    <m:t>showerheads-home</m:t>
                  </m:r>
                </m:sub>
              </m:sSub>
            </m:den>
          </m:f>
          <m:r>
            <w:rPr>
              <w:rFonts w:ascii="Cambria Math" w:hAnsi="Cambria Math" w:cs="Arial"/>
              <w:szCs w:val="20"/>
            </w:rPr>
            <m:t xml:space="preserve">  ×ISR×ELEC </m:t>
          </m:r>
        </m:oMath>
      </m:oMathPara>
    </w:p>
    <w:p w14:paraId="4E57D87B" w14:textId="77777777" w:rsidR="00C71CAA" w:rsidRPr="001570EA" w:rsidRDefault="00C71CAA" w:rsidP="00C71CAA">
      <w:pPr>
        <w:pStyle w:val="Equation"/>
        <w:ind w:left="0" w:firstLine="0"/>
        <w:rPr>
          <w:rFonts w:ascii="Cambria Math" w:hAnsi="Cambria Math" w:cs="Arial"/>
          <w:i w:val="0"/>
          <w:sz w:val="18"/>
          <w:szCs w:val="18"/>
        </w:rPr>
      </w:pPr>
    </w:p>
    <w:p w14:paraId="1B18D235" w14:textId="77777777" w:rsidR="00C71CAA" w:rsidRPr="001570EA" w:rsidRDefault="00C71CAA" w:rsidP="00C71CAA">
      <w:pPr>
        <w:pStyle w:val="BodyText"/>
        <w:rPr>
          <w:rFonts w:cs="Arial"/>
        </w:rPr>
      </w:pPr>
      <m:oMathPara>
        <m:oMathParaPr>
          <m:jc m:val="left"/>
        </m:oMathParaPr>
        <m:oMath>
          <m:r>
            <w:rPr>
              <w:rFonts w:ascii="Cambria Math" w:hAnsi="Cambria Math" w:cs="Arial"/>
              <w:vertAlign w:val="subscript"/>
            </w:rPr>
            <m:t>∆</m:t>
          </m:r>
          <m:sSub>
            <m:sSubPr>
              <m:ctrlPr>
                <w:rPr>
                  <w:rFonts w:ascii="Cambria Math" w:hAnsi="Cambria Math" w:cs="Arial"/>
                  <w:vertAlign w:val="subscript"/>
                </w:rPr>
              </m:ctrlPr>
            </m:sSubPr>
            <m:e>
              <m:r>
                <w:rPr>
                  <w:rFonts w:ascii="Cambria Math" w:hAnsi="Cambria Math" w:cs="Arial"/>
                  <w:vertAlign w:val="subscript"/>
                </w:rPr>
                <m:t>kW</m:t>
              </m:r>
            </m:e>
            <m:sub>
              <m:r>
                <w:rPr>
                  <w:rFonts w:ascii="Cambria Math" w:hAnsi="Cambria Math" w:cs="Arial"/>
                  <w:vertAlign w:val="subscript"/>
                </w:rPr>
                <m:t>summer peak</m:t>
              </m:r>
            </m:sub>
          </m:sSub>
          <m:r>
            <w:rPr>
              <w:rFonts w:ascii="Cambria Math" w:hAnsi="Cambria Math" w:cs="Arial"/>
              <w:vertAlign w:val="subscript"/>
            </w:rPr>
            <m:t xml:space="preserve">                               =</m:t>
          </m:r>
          <m:r>
            <w:rPr>
              <w:rFonts w:ascii="Cambria Math" w:hAnsi="Cambria Math" w:cs="Arial"/>
            </w:rPr>
            <m:t>∆kWh×</m:t>
          </m:r>
          <m:sSub>
            <m:sSubPr>
              <m:ctrlPr>
                <w:rPr>
                  <w:rFonts w:ascii="Cambria Math" w:hAnsi="Cambria Math" w:cs="Arial"/>
                  <w:i/>
                </w:rPr>
              </m:ctrlPr>
            </m:sSubPr>
            <m:e>
              <m:r>
                <w:rPr>
                  <w:rFonts w:ascii="Cambria Math" w:hAnsi="Cambria Math" w:cs="Arial"/>
                </w:rPr>
                <m:t>ETDF</m:t>
              </m:r>
            </m:e>
            <m:sub>
              <m:r>
                <w:rPr>
                  <w:rFonts w:ascii="Cambria Math" w:hAnsi="Cambria Math" w:cs="Arial"/>
                </w:rPr>
                <m:t>s</m:t>
              </m:r>
            </m:sub>
          </m:sSub>
        </m:oMath>
      </m:oMathPara>
    </w:p>
    <w:p w14:paraId="224507D5" w14:textId="77777777" w:rsidR="00C71CAA" w:rsidRPr="001570EA" w:rsidRDefault="00C71CAA" w:rsidP="00C71CAA">
      <w:pPr>
        <w:pStyle w:val="BodyText"/>
        <w:rPr>
          <w:rFonts w:cs="Arial"/>
          <w:vertAlign w:val="subscript"/>
        </w:rPr>
      </w:pPr>
    </w:p>
    <w:p w14:paraId="4D4A4248" w14:textId="77777777" w:rsidR="00C71CAA" w:rsidRPr="001570EA" w:rsidRDefault="00C71CAA" w:rsidP="00C71CAA">
      <w:pPr>
        <w:pStyle w:val="BodyText"/>
        <w:rPr>
          <w:rFonts w:cs="Arial"/>
        </w:rPr>
      </w:pPr>
      <m:oMathPara>
        <m:oMathParaPr>
          <m:jc m:val="left"/>
        </m:oMathParaPr>
        <m:oMath>
          <m:r>
            <w:rPr>
              <w:rFonts w:ascii="Cambria Math" w:hAnsi="Cambria Math" w:cs="Arial"/>
              <w:vertAlign w:val="subscript"/>
            </w:rPr>
            <m:t>∆</m:t>
          </m:r>
          <m:sSub>
            <m:sSubPr>
              <m:ctrlPr>
                <w:rPr>
                  <w:rFonts w:ascii="Cambria Math" w:hAnsi="Cambria Math" w:cs="Arial"/>
                  <w:vertAlign w:val="subscript"/>
                </w:rPr>
              </m:ctrlPr>
            </m:sSubPr>
            <m:e>
              <m:r>
                <w:rPr>
                  <w:rFonts w:ascii="Cambria Math" w:hAnsi="Cambria Math" w:cs="Arial"/>
                  <w:vertAlign w:val="subscript"/>
                </w:rPr>
                <m:t>kW</m:t>
              </m:r>
            </m:e>
            <m:sub>
              <m:r>
                <w:rPr>
                  <w:rFonts w:ascii="Cambria Math" w:hAnsi="Cambria Math" w:cs="Arial"/>
                  <w:vertAlign w:val="subscript"/>
                </w:rPr>
                <m:t>winter peak</m:t>
              </m:r>
            </m:sub>
          </m:sSub>
          <m:r>
            <w:rPr>
              <w:rFonts w:ascii="Cambria Math" w:hAnsi="Cambria Math" w:cs="Arial"/>
              <w:vertAlign w:val="subscript"/>
            </w:rPr>
            <m:t xml:space="preserve">                               =</m:t>
          </m:r>
          <m:r>
            <w:rPr>
              <w:rFonts w:ascii="Cambria Math" w:hAnsi="Cambria Math" w:cs="Arial"/>
            </w:rPr>
            <m:t>∆ kWh×</m:t>
          </m:r>
          <m:sSub>
            <m:sSubPr>
              <m:ctrlPr>
                <w:rPr>
                  <w:rFonts w:ascii="Cambria Math" w:hAnsi="Cambria Math" w:cs="Arial"/>
                  <w:i/>
                </w:rPr>
              </m:ctrlPr>
            </m:sSubPr>
            <m:e>
              <m:r>
                <w:rPr>
                  <w:rFonts w:ascii="Cambria Math" w:hAnsi="Cambria Math" w:cs="Arial"/>
                </w:rPr>
                <m:t>ETDF</m:t>
              </m:r>
            </m:e>
            <m:sub>
              <m:r>
                <w:rPr>
                  <w:rFonts w:ascii="Cambria Math" w:hAnsi="Cambria Math" w:cs="Arial"/>
                </w:rPr>
                <m:t>w</m:t>
              </m:r>
            </m:sub>
          </m:sSub>
        </m:oMath>
      </m:oMathPara>
    </w:p>
    <w:p w14:paraId="34DD9E12" w14:textId="77777777" w:rsidR="00C71CAA" w:rsidRPr="001570EA" w:rsidRDefault="00C71CAA" w:rsidP="00C71CAA">
      <w:pPr>
        <w:pStyle w:val="Equation"/>
        <w:tabs>
          <w:tab w:val="clear" w:pos="720"/>
          <w:tab w:val="clear" w:pos="2880"/>
          <w:tab w:val="left" w:pos="1440"/>
        </w:tabs>
        <w:rPr>
          <w:rFonts w:cs="Arial"/>
          <w:szCs w:val="20"/>
        </w:rPr>
      </w:pPr>
    </w:p>
    <w:p w14:paraId="3505F12E" w14:textId="77777777" w:rsidR="00C71CAA" w:rsidRPr="001570EA" w:rsidRDefault="00C71CAA" w:rsidP="00C71CAA"/>
    <w:p w14:paraId="400246FB" w14:textId="77777777" w:rsidR="00C71CAA" w:rsidRPr="001570EA" w:rsidRDefault="00C71CAA" w:rsidP="00C71CAA">
      <w:pPr>
        <w:pStyle w:val="SubStyle"/>
      </w:pPr>
      <w:r w:rsidRPr="001570EA">
        <w:t>Definition of Terms</w:t>
      </w:r>
    </w:p>
    <w:p w14:paraId="3269D9C9" w14:textId="77777777" w:rsidR="00C71CAA" w:rsidRPr="001570EA" w:rsidRDefault="00C71CAA" w:rsidP="00C71CAA">
      <w:bookmarkStart w:id="498" w:name="_Toc530141729"/>
    </w:p>
    <w:p w14:paraId="21D4BC41" w14:textId="492F4B2A" w:rsidR="00C71CAA" w:rsidRPr="001570EA" w:rsidRDefault="00C71CAA" w:rsidP="00C71CAA">
      <w:pPr>
        <w:pStyle w:val="Caption"/>
      </w:pPr>
      <w:bookmarkStart w:id="499" w:name="_Toc4759830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74</w:t>
      </w:r>
      <w:r w:rsidR="002E093A" w:rsidRPr="001570EA">
        <w:fldChar w:fldCharType="end"/>
      </w:r>
      <w:r w:rsidRPr="001570EA">
        <w:t>: Terms</w:t>
      </w:r>
      <w:r w:rsidRPr="001570EA">
        <w:rPr>
          <w:rFonts w:cs="Arial"/>
        </w:rPr>
        <w:t>, Values, and References for</w:t>
      </w:r>
      <w:r w:rsidRPr="001570EA">
        <w:t xml:space="preserve"> Thermostatic Shower Restriction Valve</w:t>
      </w:r>
      <w:bookmarkEnd w:id="498"/>
      <w:bookmarkEnd w:id="499"/>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7"/>
        <w:gridCol w:w="1260"/>
        <w:gridCol w:w="2520"/>
        <w:gridCol w:w="1080"/>
      </w:tblGrid>
      <w:tr w:rsidR="00C71CAA" w:rsidRPr="001570EA" w14:paraId="24C18272" w14:textId="77777777">
        <w:trPr>
          <w:trHeight w:val="350"/>
          <w:tblHeader/>
        </w:trPr>
        <w:tc>
          <w:tcPr>
            <w:tcW w:w="3757" w:type="dxa"/>
            <w:shd w:val="clear" w:color="auto" w:fill="BFBFBF" w:themeFill="background1" w:themeFillShade="BF"/>
          </w:tcPr>
          <w:p w14:paraId="7946C0FB" w14:textId="77777777" w:rsidR="00C71CAA" w:rsidRPr="001570EA" w:rsidRDefault="00C71CAA">
            <w:pPr>
              <w:spacing w:before="40" w:after="40"/>
              <w:rPr>
                <w:sz w:val="18"/>
                <w:szCs w:val="18"/>
              </w:rPr>
            </w:pPr>
            <w:r w:rsidRPr="001570EA">
              <w:rPr>
                <w:b/>
                <w:sz w:val="18"/>
                <w:szCs w:val="18"/>
              </w:rPr>
              <w:t>Parameter</w:t>
            </w:r>
          </w:p>
        </w:tc>
        <w:tc>
          <w:tcPr>
            <w:tcW w:w="1260" w:type="dxa"/>
            <w:shd w:val="clear" w:color="auto" w:fill="BFBFBF" w:themeFill="background1" w:themeFillShade="BF"/>
          </w:tcPr>
          <w:p w14:paraId="2A66664E" w14:textId="77777777" w:rsidR="00C71CAA" w:rsidRPr="001570EA" w:rsidRDefault="00C71CAA">
            <w:pPr>
              <w:spacing w:before="40" w:after="40"/>
              <w:jc w:val="center"/>
              <w:rPr>
                <w:sz w:val="18"/>
                <w:szCs w:val="18"/>
              </w:rPr>
            </w:pPr>
            <w:r w:rsidRPr="001570EA">
              <w:rPr>
                <w:b/>
                <w:sz w:val="18"/>
                <w:szCs w:val="18"/>
              </w:rPr>
              <w:t>Unit</w:t>
            </w:r>
          </w:p>
        </w:tc>
        <w:tc>
          <w:tcPr>
            <w:tcW w:w="2520" w:type="dxa"/>
            <w:shd w:val="clear" w:color="auto" w:fill="BFBFBF" w:themeFill="background1" w:themeFillShade="BF"/>
          </w:tcPr>
          <w:p w14:paraId="356F8166" w14:textId="77777777" w:rsidR="00C71CAA" w:rsidRPr="001570EA" w:rsidRDefault="00C71CAA">
            <w:pPr>
              <w:spacing w:before="40" w:after="40"/>
              <w:jc w:val="center"/>
              <w:rPr>
                <w:sz w:val="18"/>
                <w:szCs w:val="18"/>
              </w:rPr>
            </w:pPr>
            <w:r w:rsidRPr="001570EA">
              <w:rPr>
                <w:b/>
                <w:sz w:val="18"/>
                <w:szCs w:val="18"/>
              </w:rPr>
              <w:t>Value</w:t>
            </w:r>
          </w:p>
        </w:tc>
        <w:tc>
          <w:tcPr>
            <w:tcW w:w="1080" w:type="dxa"/>
            <w:shd w:val="clear" w:color="auto" w:fill="BFBFBF" w:themeFill="background1" w:themeFillShade="BF"/>
          </w:tcPr>
          <w:p w14:paraId="11C3EF56" w14:textId="77777777" w:rsidR="00C71CAA" w:rsidRPr="001570EA" w:rsidRDefault="00C71CAA">
            <w:pPr>
              <w:spacing w:before="40" w:after="40"/>
              <w:jc w:val="center"/>
              <w:rPr>
                <w:sz w:val="18"/>
                <w:szCs w:val="18"/>
              </w:rPr>
            </w:pPr>
            <w:r w:rsidRPr="001570EA">
              <w:rPr>
                <w:b/>
                <w:sz w:val="18"/>
                <w:szCs w:val="18"/>
              </w:rPr>
              <w:t>Source</w:t>
            </w:r>
          </w:p>
        </w:tc>
      </w:tr>
      <w:tr w:rsidR="00C71CAA" w:rsidRPr="001570EA" w14:paraId="1DF38E30" w14:textId="77777777">
        <w:tc>
          <w:tcPr>
            <w:tcW w:w="3757" w:type="dxa"/>
          </w:tcPr>
          <w:p w14:paraId="2EB61ED7" w14:textId="77777777" w:rsidR="00C71CAA" w:rsidRPr="001570EA" w:rsidRDefault="00C71CAA">
            <w:pPr>
              <w:rPr>
                <w:sz w:val="18"/>
                <w:szCs w:val="18"/>
              </w:rPr>
            </w:pPr>
            <w:r w:rsidRPr="001570EA">
              <w:rPr>
                <w:rFonts w:ascii="Cambria Math" w:hAnsi="Cambria Math"/>
                <w:i/>
                <w:sz w:val="18"/>
                <w:szCs w:val="18"/>
              </w:rPr>
              <w:t>GPM</w:t>
            </w:r>
            <w:r w:rsidRPr="001570EA">
              <w:rPr>
                <w:rFonts w:ascii="Cambria Math" w:hAnsi="Cambria Math"/>
                <w:i/>
                <w:sz w:val="18"/>
                <w:szCs w:val="18"/>
                <w:vertAlign w:val="subscript"/>
              </w:rPr>
              <w:t>Base</w:t>
            </w:r>
            <w:r w:rsidRPr="001570EA">
              <w:rPr>
                <w:sz w:val="18"/>
                <w:szCs w:val="18"/>
              </w:rPr>
              <w:t>, Gallons per minute of baseline showerhead</w:t>
            </w:r>
          </w:p>
        </w:tc>
        <w:tc>
          <w:tcPr>
            <w:tcW w:w="1260" w:type="dxa"/>
            <w:vAlign w:val="center"/>
          </w:tcPr>
          <w:p w14:paraId="1BC9E644" w14:textId="77777777" w:rsidR="00C71CAA" w:rsidRPr="001570EA" w:rsidRDefault="003B5E04">
            <w:pPr>
              <w:jc w:val="center"/>
              <w:rPr>
                <w:sz w:val="18"/>
                <w:szCs w:val="18"/>
              </w:rPr>
            </w:pPr>
            <m:oMathPara>
              <m:oMath>
                <m:f>
                  <m:fPr>
                    <m:ctrlPr>
                      <w:rPr>
                        <w:rFonts w:ascii="Cambria Math" w:hAnsi="Cambria Math"/>
                        <w:i/>
                        <w:sz w:val="18"/>
                        <w:szCs w:val="18"/>
                      </w:rPr>
                    </m:ctrlPr>
                  </m:fPr>
                  <m:num>
                    <m:r>
                      <w:rPr>
                        <w:rFonts w:ascii="Cambria Math" w:hAnsi="Cambria Math"/>
                        <w:sz w:val="18"/>
                        <w:szCs w:val="18"/>
                      </w:rPr>
                      <m:t>gallons</m:t>
                    </m:r>
                  </m:num>
                  <m:den>
                    <m:r>
                      <w:rPr>
                        <w:rFonts w:ascii="Cambria Math" w:hAnsi="Cambria Math"/>
                        <w:sz w:val="18"/>
                        <w:szCs w:val="18"/>
                      </w:rPr>
                      <m:t>min</m:t>
                    </m:r>
                  </m:den>
                </m:f>
              </m:oMath>
            </m:oMathPara>
          </w:p>
        </w:tc>
        <w:tc>
          <w:tcPr>
            <w:tcW w:w="2520" w:type="dxa"/>
            <w:vAlign w:val="center"/>
          </w:tcPr>
          <w:p w14:paraId="2B936F1C" w14:textId="77777777" w:rsidR="00C71CAA" w:rsidRPr="001570EA" w:rsidRDefault="00C71CAA">
            <w:pPr>
              <w:jc w:val="center"/>
              <w:rPr>
                <w:sz w:val="18"/>
                <w:szCs w:val="18"/>
              </w:rPr>
            </w:pPr>
            <w:r w:rsidRPr="001570EA">
              <w:rPr>
                <w:sz w:val="18"/>
                <w:szCs w:val="18"/>
              </w:rPr>
              <w:t xml:space="preserve">EDC Data Gathering or </w:t>
            </w:r>
          </w:p>
          <w:p w14:paraId="521A45AF" w14:textId="77777777" w:rsidR="00C71CAA" w:rsidRPr="001570EA" w:rsidRDefault="00C71CAA">
            <w:pPr>
              <w:jc w:val="center"/>
              <w:rPr>
                <w:sz w:val="18"/>
                <w:szCs w:val="18"/>
              </w:rPr>
            </w:pPr>
            <w:r w:rsidRPr="001570EA">
              <w:rPr>
                <w:sz w:val="18"/>
                <w:szCs w:val="18"/>
              </w:rPr>
              <w:t>Default: 2.0</w:t>
            </w:r>
          </w:p>
        </w:tc>
        <w:tc>
          <w:tcPr>
            <w:tcW w:w="1080" w:type="dxa"/>
            <w:vAlign w:val="center"/>
          </w:tcPr>
          <w:p w14:paraId="54F03379" w14:textId="77777777" w:rsidR="00C71CAA" w:rsidRPr="001570EA" w:rsidRDefault="00C71CAA">
            <w:pPr>
              <w:jc w:val="center"/>
              <w:rPr>
                <w:sz w:val="18"/>
                <w:szCs w:val="18"/>
              </w:rPr>
            </w:pPr>
            <w:r w:rsidRPr="001570EA">
              <w:rPr>
                <w:sz w:val="18"/>
                <w:szCs w:val="18"/>
              </w:rPr>
              <w:t>5</w:t>
            </w:r>
          </w:p>
        </w:tc>
      </w:tr>
      <w:tr w:rsidR="00C71CAA" w:rsidRPr="001570EA" w14:paraId="0B318585" w14:textId="77777777">
        <w:tc>
          <w:tcPr>
            <w:tcW w:w="3757" w:type="dxa"/>
          </w:tcPr>
          <w:p w14:paraId="23A28A20" w14:textId="77777777" w:rsidR="00C71CAA" w:rsidRPr="001570EA" w:rsidRDefault="00C71CAA">
            <w:pPr>
              <w:rPr>
                <w:rFonts w:ascii="Cambria Math" w:hAnsi="Cambria Math"/>
                <w:i/>
                <w:sz w:val="18"/>
                <w:szCs w:val="18"/>
              </w:rPr>
            </w:pPr>
            <w:r w:rsidRPr="001570EA">
              <w:rPr>
                <w:rFonts w:ascii="Cambria Math" w:hAnsi="Cambria Math" w:cs="Arial"/>
                <w:i/>
                <w:sz w:val="18"/>
                <w:szCs w:val="18"/>
              </w:rPr>
              <w:t>T</w:t>
            </w:r>
            <w:r w:rsidRPr="001570EA">
              <w:rPr>
                <w:rFonts w:ascii="Cambria Math" w:hAnsi="Cambria Math" w:cs="Arial"/>
                <w:i/>
                <w:sz w:val="18"/>
                <w:szCs w:val="18"/>
                <w:vertAlign w:val="subscript"/>
              </w:rPr>
              <w:t>out</w:t>
            </w:r>
            <w:r w:rsidRPr="001570EA">
              <w:rPr>
                <w:rFonts w:cs="Arial"/>
                <w:sz w:val="18"/>
                <w:szCs w:val="18"/>
              </w:rPr>
              <w:t xml:space="preserve">, </w:t>
            </w:r>
            <w:r w:rsidRPr="001570EA">
              <w:rPr>
                <w:sz w:val="18"/>
                <w:szCs w:val="18"/>
              </w:rPr>
              <w:t>Assumed temperature of water used by showerhead</w:t>
            </w:r>
          </w:p>
        </w:tc>
        <w:tc>
          <w:tcPr>
            <w:tcW w:w="1260" w:type="dxa"/>
            <w:vAlign w:val="center"/>
          </w:tcPr>
          <w:p w14:paraId="2D99BA6E" w14:textId="77777777" w:rsidR="00C71CAA" w:rsidRPr="001570EA" w:rsidRDefault="00C71CAA">
            <w:pPr>
              <w:jc w:val="center"/>
              <w:rPr>
                <w:sz w:val="18"/>
                <w:szCs w:val="18"/>
              </w:rPr>
            </w:pPr>
            <w:r w:rsidRPr="001570EA">
              <w:rPr>
                <w:rFonts w:ascii="Cambria Math" w:hAnsi="Cambria Math" w:cs="Arial"/>
                <w:i/>
                <w:sz w:val="18"/>
                <w:szCs w:val="18"/>
              </w:rPr>
              <w:t>° F</w:t>
            </w:r>
          </w:p>
        </w:tc>
        <w:tc>
          <w:tcPr>
            <w:tcW w:w="2520" w:type="dxa"/>
            <w:vAlign w:val="center"/>
          </w:tcPr>
          <w:p w14:paraId="7D91C867" w14:textId="77777777" w:rsidR="00C71CAA" w:rsidRPr="001570EA" w:rsidRDefault="00C71CAA">
            <w:pPr>
              <w:jc w:val="center"/>
              <w:rPr>
                <w:rFonts w:cs="Arial"/>
                <w:sz w:val="18"/>
                <w:szCs w:val="18"/>
              </w:rPr>
            </w:pPr>
            <w:r w:rsidRPr="001570EA">
              <w:rPr>
                <w:rFonts w:cs="Arial"/>
                <w:sz w:val="18"/>
                <w:szCs w:val="18"/>
              </w:rPr>
              <w:t>EDC Data Gathering or</w:t>
            </w:r>
          </w:p>
          <w:p w14:paraId="5CC20B55" w14:textId="77777777" w:rsidR="00C71CAA" w:rsidRPr="001570EA" w:rsidRDefault="00C71CAA">
            <w:pPr>
              <w:pStyle w:val="TableCell"/>
              <w:spacing w:before="0" w:after="0"/>
              <w:jc w:val="center"/>
              <w:rPr>
                <w:szCs w:val="18"/>
              </w:rPr>
            </w:pPr>
            <w:r w:rsidRPr="001570EA">
              <w:rPr>
                <w:rFonts w:cs="Arial"/>
                <w:szCs w:val="18"/>
              </w:rPr>
              <w:t>Default: 104</w:t>
            </w:r>
          </w:p>
        </w:tc>
        <w:tc>
          <w:tcPr>
            <w:tcW w:w="1080" w:type="dxa"/>
            <w:vAlign w:val="center"/>
          </w:tcPr>
          <w:p w14:paraId="1B3995B8" w14:textId="77777777" w:rsidR="00C71CAA" w:rsidRPr="001570EA" w:rsidDel="00F11A20" w:rsidRDefault="00C71CAA">
            <w:pPr>
              <w:jc w:val="center"/>
              <w:rPr>
                <w:sz w:val="18"/>
                <w:szCs w:val="18"/>
              </w:rPr>
            </w:pPr>
            <w:r w:rsidRPr="001570EA">
              <w:rPr>
                <w:sz w:val="18"/>
                <w:szCs w:val="18"/>
              </w:rPr>
              <w:t>6</w:t>
            </w:r>
          </w:p>
        </w:tc>
      </w:tr>
      <w:tr w:rsidR="00C71CAA" w:rsidRPr="001570EA" w14:paraId="06B02738" w14:textId="77777777">
        <w:tc>
          <w:tcPr>
            <w:tcW w:w="3757" w:type="dxa"/>
          </w:tcPr>
          <w:p w14:paraId="05DBF259" w14:textId="77777777" w:rsidR="00C71CAA" w:rsidRPr="001570EA" w:rsidRDefault="00C71CAA">
            <w:pPr>
              <w:rPr>
                <w:rFonts w:ascii="Cambria Math" w:hAnsi="Cambria Math"/>
                <w:i/>
                <w:sz w:val="18"/>
                <w:szCs w:val="18"/>
              </w:rPr>
            </w:pPr>
            <w:r w:rsidRPr="001570EA">
              <w:rPr>
                <w:rFonts w:ascii="Cambria Math" w:hAnsi="Cambria Math" w:cs="Arial"/>
                <w:i/>
                <w:sz w:val="18"/>
                <w:szCs w:val="18"/>
              </w:rPr>
              <w:t>T</w:t>
            </w:r>
            <w:r w:rsidRPr="001570EA">
              <w:rPr>
                <w:rFonts w:ascii="Cambria Math" w:hAnsi="Cambria Math" w:cs="Arial"/>
                <w:i/>
                <w:sz w:val="18"/>
                <w:szCs w:val="18"/>
                <w:vertAlign w:val="subscript"/>
              </w:rPr>
              <w:t>in</w:t>
            </w:r>
            <w:r w:rsidRPr="001570EA">
              <w:rPr>
                <w:rFonts w:cs="Arial"/>
                <w:sz w:val="18"/>
                <w:szCs w:val="18"/>
              </w:rPr>
              <w:t>, Assumed temperature of water entering house</w:t>
            </w:r>
          </w:p>
        </w:tc>
        <w:tc>
          <w:tcPr>
            <w:tcW w:w="1260" w:type="dxa"/>
            <w:vAlign w:val="center"/>
          </w:tcPr>
          <w:p w14:paraId="61ECE831" w14:textId="77777777" w:rsidR="00C71CAA" w:rsidRPr="001570EA" w:rsidRDefault="00C71CAA">
            <w:pPr>
              <w:jc w:val="center"/>
              <w:rPr>
                <w:sz w:val="18"/>
                <w:szCs w:val="18"/>
              </w:rPr>
            </w:pPr>
            <w:r w:rsidRPr="001570EA">
              <w:rPr>
                <w:rFonts w:ascii="Cambria Math" w:hAnsi="Cambria Math" w:cs="Arial"/>
                <w:i/>
                <w:sz w:val="18"/>
                <w:szCs w:val="18"/>
              </w:rPr>
              <w:t>° F</w:t>
            </w:r>
          </w:p>
        </w:tc>
        <w:tc>
          <w:tcPr>
            <w:tcW w:w="2520" w:type="dxa"/>
            <w:vAlign w:val="center"/>
          </w:tcPr>
          <w:p w14:paraId="589491EA" w14:textId="77777777" w:rsidR="00C71CAA" w:rsidRPr="001570EA" w:rsidRDefault="00C71CAA">
            <w:pPr>
              <w:pStyle w:val="TableCell"/>
              <w:spacing w:before="0" w:after="0"/>
              <w:jc w:val="center"/>
              <w:rPr>
                <w:szCs w:val="18"/>
              </w:rPr>
            </w:pPr>
            <w:r w:rsidRPr="001570EA">
              <w:rPr>
                <w:rFonts w:cs="Arial"/>
                <w:szCs w:val="18"/>
              </w:rPr>
              <w:t>53</w:t>
            </w:r>
          </w:p>
        </w:tc>
        <w:tc>
          <w:tcPr>
            <w:tcW w:w="1080" w:type="dxa"/>
            <w:vAlign w:val="center"/>
          </w:tcPr>
          <w:p w14:paraId="56AEB059" w14:textId="77777777" w:rsidR="00C71CAA" w:rsidRPr="001570EA" w:rsidDel="00F11A20" w:rsidRDefault="00C71CAA">
            <w:pPr>
              <w:jc w:val="center"/>
              <w:rPr>
                <w:sz w:val="18"/>
                <w:szCs w:val="18"/>
              </w:rPr>
            </w:pPr>
            <w:r w:rsidRPr="001570EA">
              <w:rPr>
                <w:sz w:val="18"/>
                <w:szCs w:val="18"/>
              </w:rPr>
              <w:t>7</w:t>
            </w:r>
          </w:p>
        </w:tc>
      </w:tr>
      <w:tr w:rsidR="00C71CAA" w:rsidRPr="001570EA" w14:paraId="409E2FD5" w14:textId="77777777">
        <w:tc>
          <w:tcPr>
            <w:tcW w:w="3757" w:type="dxa"/>
          </w:tcPr>
          <w:p w14:paraId="2EDD3D80" w14:textId="77777777" w:rsidR="00C71CAA" w:rsidRPr="001570EA" w:rsidRDefault="00C71CAA">
            <w:pPr>
              <w:rPr>
                <w:rFonts w:ascii="Cambria Math" w:hAnsi="Cambria Math"/>
                <w:i/>
                <w:sz w:val="18"/>
                <w:szCs w:val="18"/>
              </w:rPr>
            </w:pPr>
            <w:r w:rsidRPr="001570EA">
              <w:rPr>
                <w:rFonts w:ascii="Cambria Math" w:hAnsi="Cambria Math"/>
                <w:i/>
                <w:sz w:val="18"/>
                <w:szCs w:val="18"/>
              </w:rPr>
              <w:t>RE</w:t>
            </w:r>
            <w:r w:rsidRPr="001570EA">
              <w:rPr>
                <w:sz w:val="18"/>
                <w:szCs w:val="18"/>
              </w:rPr>
              <w:t xml:space="preserve">, </w:t>
            </w:r>
            <w:r w:rsidRPr="001570EA">
              <w:rPr>
                <w:color w:val="000000"/>
                <w:sz w:val="18"/>
                <w:szCs w:val="18"/>
              </w:rPr>
              <w:t>Recovery efficiency of electric water heater</w:t>
            </w:r>
          </w:p>
        </w:tc>
        <w:tc>
          <w:tcPr>
            <w:tcW w:w="1260" w:type="dxa"/>
            <w:vAlign w:val="center"/>
          </w:tcPr>
          <w:p w14:paraId="788D2D24" w14:textId="77777777" w:rsidR="00C71CAA" w:rsidRPr="001570EA" w:rsidRDefault="00C71CAA">
            <w:pPr>
              <w:jc w:val="center"/>
              <w:rPr>
                <w:sz w:val="18"/>
                <w:szCs w:val="18"/>
              </w:rPr>
            </w:pPr>
            <w:r w:rsidRPr="001570EA">
              <w:rPr>
                <w:i/>
                <w:sz w:val="18"/>
                <w:szCs w:val="18"/>
              </w:rPr>
              <w:t>Proportion</w:t>
            </w:r>
          </w:p>
        </w:tc>
        <w:tc>
          <w:tcPr>
            <w:tcW w:w="2520" w:type="dxa"/>
            <w:vAlign w:val="center"/>
          </w:tcPr>
          <w:p w14:paraId="5B09AF85" w14:textId="77777777" w:rsidR="00C71CAA" w:rsidRPr="001570EA" w:rsidRDefault="00C71CAA">
            <w:pPr>
              <w:spacing w:before="60" w:after="60"/>
              <w:jc w:val="center"/>
              <w:rPr>
                <w:sz w:val="18"/>
                <w:szCs w:val="18"/>
              </w:rPr>
            </w:pPr>
            <w:r w:rsidRPr="001570EA">
              <w:rPr>
                <w:sz w:val="18"/>
                <w:szCs w:val="18"/>
              </w:rPr>
              <w:t xml:space="preserve">Default: </w:t>
            </w:r>
          </w:p>
          <w:p w14:paraId="1D9F5B75" w14:textId="77777777" w:rsidR="00C71CAA" w:rsidRPr="001570EA" w:rsidRDefault="00C71CAA">
            <w:pPr>
              <w:spacing w:before="60" w:after="60"/>
              <w:jc w:val="center"/>
              <w:rPr>
                <w:sz w:val="18"/>
                <w:szCs w:val="18"/>
              </w:rPr>
            </w:pPr>
            <w:r w:rsidRPr="001570EA">
              <w:rPr>
                <w:sz w:val="18"/>
                <w:szCs w:val="18"/>
              </w:rPr>
              <w:t>Electric resistance: 0.98</w:t>
            </w:r>
          </w:p>
          <w:p w14:paraId="05845EB1" w14:textId="77777777" w:rsidR="00C71CAA" w:rsidRPr="001570EA" w:rsidRDefault="00C71CAA">
            <w:pPr>
              <w:spacing w:before="60" w:after="60"/>
              <w:jc w:val="center"/>
              <w:rPr>
                <w:sz w:val="18"/>
                <w:szCs w:val="18"/>
              </w:rPr>
            </w:pPr>
            <w:r w:rsidRPr="001570EA">
              <w:rPr>
                <w:sz w:val="18"/>
                <w:szCs w:val="18"/>
              </w:rPr>
              <w:t>HPWH: 3.93</w:t>
            </w:r>
          </w:p>
          <w:p w14:paraId="42314ED8" w14:textId="77777777" w:rsidR="00C71CAA" w:rsidRPr="001570EA" w:rsidRDefault="00C71CAA">
            <w:pPr>
              <w:pStyle w:val="TableCell"/>
              <w:spacing w:before="0" w:after="0"/>
              <w:jc w:val="center"/>
              <w:rPr>
                <w:szCs w:val="18"/>
              </w:rPr>
            </w:pPr>
            <w:r w:rsidRPr="001570EA">
              <w:rPr>
                <w:szCs w:val="18"/>
              </w:rPr>
              <w:t>Unknown: 1.22</w:t>
            </w:r>
          </w:p>
        </w:tc>
        <w:tc>
          <w:tcPr>
            <w:tcW w:w="1080" w:type="dxa"/>
            <w:vAlign w:val="center"/>
          </w:tcPr>
          <w:p w14:paraId="78AA8430" w14:textId="77777777" w:rsidR="00C71CAA" w:rsidRPr="001570EA" w:rsidDel="00F11A20" w:rsidRDefault="00C71CAA">
            <w:pPr>
              <w:jc w:val="center"/>
              <w:rPr>
                <w:sz w:val="18"/>
                <w:szCs w:val="18"/>
              </w:rPr>
            </w:pPr>
            <w:r w:rsidRPr="001570EA">
              <w:rPr>
                <w:sz w:val="18"/>
                <w:szCs w:val="18"/>
              </w:rPr>
              <w:t>8</w:t>
            </w:r>
          </w:p>
        </w:tc>
      </w:tr>
      <w:tr w:rsidR="00C71CAA" w:rsidRPr="001570EA" w14:paraId="637A4D3F" w14:textId="77777777">
        <w:tc>
          <w:tcPr>
            <w:tcW w:w="3757" w:type="dxa"/>
          </w:tcPr>
          <w:p w14:paraId="0F9DC4BD" w14:textId="77777777" w:rsidR="00C71CAA" w:rsidRPr="001570EA" w:rsidRDefault="00C71CAA">
            <w:pPr>
              <w:rPr>
                <w:rFonts w:ascii="Cambria Math" w:hAnsi="Cambria Math"/>
                <w:i/>
                <w:sz w:val="18"/>
                <w:szCs w:val="18"/>
              </w:rPr>
            </w:pPr>
            <w:r w:rsidRPr="001570EA">
              <w:rPr>
                <w:rFonts w:ascii="Cambria Math" w:hAnsi="Cambria Math"/>
                <w:i/>
                <w:color w:val="000000"/>
                <w:sz w:val="18"/>
                <w:szCs w:val="18"/>
              </w:rPr>
              <w:t>BehavioralWasteSeconds</w:t>
            </w:r>
            <w:r w:rsidRPr="001570EA">
              <w:rPr>
                <w:color w:val="000000"/>
                <w:sz w:val="18"/>
                <w:szCs w:val="18"/>
              </w:rPr>
              <w:t>, Time</w:t>
            </w:r>
          </w:p>
        </w:tc>
        <w:tc>
          <w:tcPr>
            <w:tcW w:w="1260" w:type="dxa"/>
            <w:vAlign w:val="center"/>
          </w:tcPr>
          <w:p w14:paraId="32914FA4" w14:textId="77777777" w:rsidR="00C71CAA" w:rsidRPr="001570EA" w:rsidRDefault="00C71CAA">
            <w:pPr>
              <w:jc w:val="center"/>
              <w:rPr>
                <w:sz w:val="18"/>
                <w:szCs w:val="18"/>
              </w:rPr>
            </w:pPr>
            <w:r w:rsidRPr="001570EA">
              <w:rPr>
                <w:i/>
                <w:sz w:val="18"/>
                <w:szCs w:val="18"/>
              </w:rPr>
              <w:t>sec</w:t>
            </w:r>
          </w:p>
        </w:tc>
        <w:tc>
          <w:tcPr>
            <w:tcW w:w="2520" w:type="dxa"/>
          </w:tcPr>
          <w:p w14:paraId="0BA91D46" w14:textId="77777777" w:rsidR="00C71CAA" w:rsidRPr="001570EA" w:rsidRDefault="00C71CAA">
            <w:pPr>
              <w:jc w:val="center"/>
              <w:rPr>
                <w:color w:val="000000"/>
                <w:sz w:val="18"/>
                <w:szCs w:val="18"/>
              </w:rPr>
            </w:pPr>
            <w:r w:rsidRPr="001570EA">
              <w:rPr>
                <w:color w:val="000000"/>
                <w:sz w:val="18"/>
                <w:szCs w:val="18"/>
              </w:rPr>
              <w:t>EDC Data Gathering or</w:t>
            </w:r>
          </w:p>
          <w:p w14:paraId="71D4BFF9" w14:textId="77777777" w:rsidR="00C71CAA" w:rsidRPr="001570EA" w:rsidRDefault="00C71CAA">
            <w:pPr>
              <w:pStyle w:val="TableCell"/>
              <w:spacing w:before="0" w:after="0"/>
              <w:jc w:val="center"/>
              <w:rPr>
                <w:szCs w:val="18"/>
              </w:rPr>
            </w:pPr>
            <w:r w:rsidRPr="001570EA">
              <w:rPr>
                <w:color w:val="000000"/>
                <w:szCs w:val="18"/>
              </w:rPr>
              <w:t>Default = 59</w:t>
            </w:r>
          </w:p>
        </w:tc>
        <w:tc>
          <w:tcPr>
            <w:tcW w:w="1080" w:type="dxa"/>
          </w:tcPr>
          <w:p w14:paraId="09D5A07B" w14:textId="77777777" w:rsidR="00C71CAA" w:rsidRPr="001570EA" w:rsidDel="00F11A20" w:rsidRDefault="00C71CAA">
            <w:pPr>
              <w:jc w:val="center"/>
              <w:rPr>
                <w:sz w:val="18"/>
                <w:szCs w:val="18"/>
              </w:rPr>
            </w:pPr>
            <w:r w:rsidRPr="001570EA">
              <w:rPr>
                <w:color w:val="000000"/>
                <w:sz w:val="18"/>
                <w:szCs w:val="18"/>
              </w:rPr>
              <w:t>6</w:t>
            </w:r>
          </w:p>
        </w:tc>
      </w:tr>
      <w:tr w:rsidR="00C71CAA" w:rsidRPr="001570EA" w14:paraId="18F77AD2" w14:textId="77777777">
        <w:tc>
          <w:tcPr>
            <w:tcW w:w="3757" w:type="dxa"/>
          </w:tcPr>
          <w:p w14:paraId="65F25D6D" w14:textId="77777777" w:rsidR="00C71CAA" w:rsidRPr="001570EA" w:rsidRDefault="00C71CAA">
            <w:pPr>
              <w:rPr>
                <w:sz w:val="18"/>
                <w:szCs w:val="18"/>
              </w:rPr>
            </w:pPr>
            <w:r w:rsidRPr="001570EA">
              <w:rPr>
                <w:rFonts w:ascii="Cambria Math" w:hAnsi="Cambria Math"/>
                <w:i/>
                <w:sz w:val="18"/>
                <w:szCs w:val="18"/>
              </w:rPr>
              <w:t>N</w:t>
            </w:r>
            <w:r w:rsidRPr="001570EA">
              <w:rPr>
                <w:rFonts w:ascii="Cambria Math" w:hAnsi="Cambria Math"/>
                <w:i/>
                <w:sz w:val="18"/>
                <w:szCs w:val="18"/>
                <w:vertAlign w:val="subscript"/>
              </w:rPr>
              <w:t>persons</w:t>
            </w:r>
            <w:r w:rsidRPr="001570EA">
              <w:rPr>
                <w:sz w:val="18"/>
                <w:szCs w:val="18"/>
              </w:rPr>
              <w:t>, Average number of persons per household</w:t>
            </w:r>
          </w:p>
        </w:tc>
        <w:tc>
          <w:tcPr>
            <w:tcW w:w="1260" w:type="dxa"/>
            <w:vAlign w:val="center"/>
          </w:tcPr>
          <w:p w14:paraId="1DF6FBE3" w14:textId="77777777" w:rsidR="00C71CAA" w:rsidRPr="001570EA" w:rsidRDefault="003B5E04">
            <w:pPr>
              <w:jc w:val="center"/>
              <w:rPr>
                <w:i/>
                <w:sz w:val="18"/>
                <w:szCs w:val="18"/>
              </w:rPr>
            </w:pPr>
            <m:oMathPara>
              <m:oMath>
                <m:f>
                  <m:fPr>
                    <m:ctrlPr>
                      <w:rPr>
                        <w:rFonts w:ascii="Cambria Math" w:hAnsi="Cambria Math"/>
                        <w:i/>
                        <w:sz w:val="18"/>
                        <w:szCs w:val="18"/>
                      </w:rPr>
                    </m:ctrlPr>
                  </m:fPr>
                  <m:num>
                    <m:r>
                      <w:rPr>
                        <w:rFonts w:ascii="Cambria Math" w:hAnsi="Cambria Math"/>
                        <w:sz w:val="18"/>
                        <w:szCs w:val="18"/>
                      </w:rPr>
                      <m:t>persons</m:t>
                    </m:r>
                  </m:num>
                  <m:den>
                    <m:r>
                      <w:rPr>
                        <w:rFonts w:ascii="Cambria Math" w:hAnsi="Cambria Math"/>
                        <w:sz w:val="18"/>
                        <w:szCs w:val="18"/>
                      </w:rPr>
                      <m:t>household</m:t>
                    </m:r>
                  </m:den>
                </m:f>
              </m:oMath>
            </m:oMathPara>
          </w:p>
        </w:tc>
        <w:tc>
          <w:tcPr>
            <w:tcW w:w="2520" w:type="dxa"/>
            <w:vAlign w:val="center"/>
          </w:tcPr>
          <w:p w14:paraId="2729EC6A" w14:textId="77777777" w:rsidR="00C71CAA" w:rsidRPr="001570EA" w:rsidRDefault="00C71CAA">
            <w:pPr>
              <w:pStyle w:val="TableCell"/>
              <w:spacing w:before="0" w:after="0"/>
              <w:jc w:val="center"/>
              <w:rPr>
                <w:szCs w:val="18"/>
              </w:rPr>
            </w:pPr>
            <w:r w:rsidRPr="001570EA">
              <w:rPr>
                <w:szCs w:val="18"/>
              </w:rPr>
              <w:t>EDC Data Gathering or</w:t>
            </w:r>
          </w:p>
          <w:p w14:paraId="0E5F53C9" w14:textId="77777777" w:rsidR="00C71CAA" w:rsidRPr="001570EA" w:rsidRDefault="00C71CAA">
            <w:pPr>
              <w:pStyle w:val="TableCell"/>
              <w:spacing w:before="0" w:after="0"/>
              <w:jc w:val="center"/>
              <w:rPr>
                <w:szCs w:val="18"/>
              </w:rPr>
            </w:pPr>
            <w:r w:rsidRPr="001570EA">
              <w:rPr>
                <w:szCs w:val="18"/>
              </w:rPr>
              <w:t>Default:</w:t>
            </w:r>
          </w:p>
          <w:p w14:paraId="7A1DFF1D" w14:textId="77777777" w:rsidR="00C71CAA" w:rsidRPr="001570EA" w:rsidRDefault="00C71CAA">
            <w:pPr>
              <w:pStyle w:val="TableCell"/>
              <w:spacing w:before="0" w:after="0"/>
              <w:jc w:val="center"/>
              <w:rPr>
                <w:szCs w:val="18"/>
              </w:rPr>
            </w:pPr>
            <w:r w:rsidRPr="001570EA">
              <w:rPr>
                <w:szCs w:val="18"/>
              </w:rPr>
              <w:t>SF=2.6</w:t>
            </w:r>
          </w:p>
          <w:p w14:paraId="6BD0E51B" w14:textId="77777777" w:rsidR="00C71CAA" w:rsidRPr="001570EA" w:rsidRDefault="00C71CAA">
            <w:pPr>
              <w:pStyle w:val="TableCell"/>
              <w:spacing w:before="0" w:after="0"/>
              <w:jc w:val="center"/>
              <w:rPr>
                <w:szCs w:val="18"/>
              </w:rPr>
            </w:pPr>
            <w:r w:rsidRPr="001570EA">
              <w:rPr>
                <w:szCs w:val="18"/>
              </w:rPr>
              <w:t>MF=1.7</w:t>
            </w:r>
          </w:p>
          <w:p w14:paraId="47F23A77" w14:textId="77777777" w:rsidR="00C71CAA" w:rsidRPr="001570EA" w:rsidRDefault="00C71CAA">
            <w:pPr>
              <w:pStyle w:val="TableCell"/>
              <w:spacing w:before="0" w:after="0"/>
              <w:jc w:val="center"/>
              <w:rPr>
                <w:szCs w:val="18"/>
              </w:rPr>
            </w:pPr>
            <w:r w:rsidRPr="001570EA">
              <w:rPr>
                <w:szCs w:val="18"/>
              </w:rPr>
              <w:t>Unknown=2.4</w:t>
            </w:r>
          </w:p>
        </w:tc>
        <w:tc>
          <w:tcPr>
            <w:tcW w:w="1080" w:type="dxa"/>
            <w:vAlign w:val="center"/>
          </w:tcPr>
          <w:p w14:paraId="32B9B23C" w14:textId="77777777" w:rsidR="00C71CAA" w:rsidRPr="001570EA" w:rsidRDefault="00C71CAA">
            <w:pPr>
              <w:jc w:val="center"/>
              <w:rPr>
                <w:sz w:val="18"/>
                <w:szCs w:val="18"/>
              </w:rPr>
            </w:pPr>
            <w:r w:rsidRPr="001570EA">
              <w:rPr>
                <w:sz w:val="18"/>
                <w:szCs w:val="18"/>
              </w:rPr>
              <w:t>3</w:t>
            </w:r>
          </w:p>
        </w:tc>
      </w:tr>
      <w:tr w:rsidR="00C71CAA" w:rsidRPr="001570EA" w14:paraId="0122E46D" w14:textId="77777777">
        <w:tc>
          <w:tcPr>
            <w:tcW w:w="3757" w:type="dxa"/>
          </w:tcPr>
          <w:p w14:paraId="692F87A7" w14:textId="77777777" w:rsidR="00C71CAA" w:rsidRPr="001570EA" w:rsidRDefault="00C71CAA">
            <w:pPr>
              <w:rPr>
                <w:sz w:val="18"/>
                <w:szCs w:val="18"/>
              </w:rPr>
            </w:pPr>
            <w:r w:rsidRPr="001570EA">
              <w:rPr>
                <w:rFonts w:ascii="Cambria Math" w:hAnsi="Cambria Math"/>
                <w:i/>
                <w:sz w:val="18"/>
                <w:szCs w:val="18"/>
              </w:rPr>
              <w:t>N</w:t>
            </w:r>
            <w:r w:rsidRPr="001570EA">
              <w:rPr>
                <w:rFonts w:ascii="Cambria Math" w:hAnsi="Cambria Math"/>
                <w:i/>
                <w:sz w:val="18"/>
                <w:szCs w:val="18"/>
                <w:vertAlign w:val="subscript"/>
              </w:rPr>
              <w:t>Showers-Day</w:t>
            </w:r>
            <w:r w:rsidRPr="001570EA">
              <w:rPr>
                <w:sz w:val="18"/>
                <w:szCs w:val="18"/>
              </w:rPr>
              <w:t>, Average number of showers per person per day</w:t>
            </w:r>
          </w:p>
        </w:tc>
        <w:tc>
          <w:tcPr>
            <w:tcW w:w="1260" w:type="dxa"/>
            <w:vAlign w:val="center"/>
          </w:tcPr>
          <w:p w14:paraId="5F7408CD" w14:textId="77777777" w:rsidR="00C71CAA" w:rsidRPr="001570EA" w:rsidRDefault="003B5E04">
            <w:pPr>
              <w:jc w:val="center"/>
              <w:rPr>
                <w:i/>
                <w:sz w:val="18"/>
                <w:szCs w:val="18"/>
              </w:rPr>
            </w:pPr>
            <m:oMathPara>
              <m:oMath>
                <m:f>
                  <m:fPr>
                    <m:ctrlPr>
                      <w:rPr>
                        <w:rFonts w:ascii="Cambria Math" w:hAnsi="Cambria Math" w:cs="Arial"/>
                        <w:i/>
                        <w:color w:val="000000"/>
                        <w:sz w:val="18"/>
                        <w:szCs w:val="18"/>
                      </w:rPr>
                    </m:ctrlPr>
                  </m:fPr>
                  <m:num>
                    <m:r>
                      <w:rPr>
                        <w:rFonts w:ascii="Cambria Math" w:hAnsi="Cambria Math" w:cs="Arial"/>
                        <w:color w:val="000000"/>
                        <w:sz w:val="18"/>
                        <w:szCs w:val="18"/>
                      </w:rPr>
                      <m:t xml:space="preserve">showers </m:t>
                    </m:r>
                  </m:num>
                  <m:den>
                    <m:r>
                      <w:rPr>
                        <w:rFonts w:ascii="Cambria Math" w:hAnsi="Cambria Math" w:cs="Arial"/>
                        <w:color w:val="000000"/>
                        <w:sz w:val="18"/>
                        <w:szCs w:val="18"/>
                      </w:rPr>
                      <m:t>person</m:t>
                    </m:r>
                    <m:r>
                      <w:rPr>
                        <w:rFonts w:ascii="Cambria Math" w:hAnsi="Cambria Math" w:cs="Arial"/>
                        <w:szCs w:val="20"/>
                      </w:rPr>
                      <m:t>∙</m:t>
                    </m:r>
                    <m:r>
                      <w:rPr>
                        <w:rFonts w:ascii="Cambria Math" w:hAnsi="Cambria Math" w:cs="Arial"/>
                        <w:color w:val="000000"/>
                        <w:sz w:val="18"/>
                        <w:szCs w:val="18"/>
                      </w:rPr>
                      <m:t>day</m:t>
                    </m:r>
                  </m:den>
                </m:f>
              </m:oMath>
            </m:oMathPara>
          </w:p>
        </w:tc>
        <w:tc>
          <w:tcPr>
            <w:tcW w:w="2520" w:type="dxa"/>
            <w:vAlign w:val="center"/>
          </w:tcPr>
          <w:p w14:paraId="01829956" w14:textId="77777777" w:rsidR="00C71CAA" w:rsidRPr="001570EA" w:rsidRDefault="00C71CAA">
            <w:pPr>
              <w:jc w:val="center"/>
              <w:rPr>
                <w:sz w:val="18"/>
                <w:szCs w:val="18"/>
              </w:rPr>
            </w:pPr>
            <w:r w:rsidRPr="001570EA">
              <w:rPr>
                <w:sz w:val="18"/>
                <w:szCs w:val="18"/>
              </w:rPr>
              <w:t>0.6</w:t>
            </w:r>
          </w:p>
        </w:tc>
        <w:tc>
          <w:tcPr>
            <w:tcW w:w="1080" w:type="dxa"/>
            <w:vAlign w:val="center"/>
          </w:tcPr>
          <w:p w14:paraId="0A412B32" w14:textId="77777777" w:rsidR="00C71CAA" w:rsidRPr="001570EA" w:rsidRDefault="00C71CAA">
            <w:pPr>
              <w:jc w:val="center"/>
              <w:rPr>
                <w:sz w:val="18"/>
                <w:szCs w:val="18"/>
              </w:rPr>
            </w:pPr>
            <w:r w:rsidRPr="001570EA">
              <w:rPr>
                <w:sz w:val="18"/>
                <w:szCs w:val="18"/>
              </w:rPr>
              <w:t>4</w:t>
            </w:r>
          </w:p>
        </w:tc>
      </w:tr>
      <w:tr w:rsidR="00C71CAA" w:rsidRPr="001570EA" w14:paraId="415B7417" w14:textId="77777777">
        <w:trPr>
          <w:trHeight w:val="1124"/>
        </w:trPr>
        <w:tc>
          <w:tcPr>
            <w:tcW w:w="3757" w:type="dxa"/>
          </w:tcPr>
          <w:p w14:paraId="32A1DE9C" w14:textId="77777777" w:rsidR="00C71CAA" w:rsidRPr="001570EA" w:rsidRDefault="003B5E04">
            <w:pPr>
              <w:rPr>
                <w:sz w:val="18"/>
                <w:szCs w:val="18"/>
              </w:rPr>
            </w:pPr>
            <m:oMath>
              <m:sSub>
                <m:sSubPr>
                  <m:ctrlPr>
                    <w:rPr>
                      <w:rFonts w:ascii="Cambria Math" w:hAnsi="Cambria Math" w:cs="Arial"/>
                      <w:i/>
                      <w:sz w:val="18"/>
                      <w:szCs w:val="18"/>
                    </w:rPr>
                  </m:ctrlPr>
                </m:sSubPr>
                <m:e>
                  <m:r>
                    <w:rPr>
                      <w:rFonts w:ascii="Cambria Math" w:hAnsi="Cambria Math" w:cs="Arial"/>
                      <w:sz w:val="18"/>
                      <w:szCs w:val="18"/>
                    </w:rPr>
                    <m:t>N</m:t>
                  </m:r>
                </m:e>
                <m:sub>
                  <m:r>
                    <w:rPr>
                      <w:rFonts w:ascii="Cambria Math" w:hAnsi="Cambria Math" w:cs="Arial"/>
                      <w:sz w:val="18"/>
                      <w:szCs w:val="18"/>
                    </w:rPr>
                    <m:t>showerheads-home</m:t>
                  </m:r>
                </m:sub>
              </m:sSub>
            </m:oMath>
            <w:r w:rsidR="00C71CAA" w:rsidRPr="001570EA">
              <w:rPr>
                <w:sz w:val="18"/>
                <w:szCs w:val="18"/>
              </w:rPr>
              <w:t>, Average number of showerhead fixtures in the home</w:t>
            </w:r>
          </w:p>
        </w:tc>
        <w:tc>
          <w:tcPr>
            <w:tcW w:w="1260" w:type="dxa"/>
            <w:vAlign w:val="center"/>
          </w:tcPr>
          <w:p w14:paraId="06E5E0EE" w14:textId="77777777" w:rsidR="00C71CAA" w:rsidRPr="001570EA" w:rsidRDefault="00C71CAA">
            <w:pPr>
              <w:jc w:val="center"/>
              <w:rPr>
                <w:i/>
                <w:sz w:val="18"/>
                <w:szCs w:val="18"/>
              </w:rPr>
            </w:pPr>
            <w:r w:rsidRPr="001570EA">
              <w:rPr>
                <w:i/>
                <w:sz w:val="18"/>
                <w:szCs w:val="18"/>
              </w:rPr>
              <w:t>units</w:t>
            </w:r>
          </w:p>
        </w:tc>
        <w:tc>
          <w:tcPr>
            <w:tcW w:w="2520" w:type="dxa"/>
            <w:vAlign w:val="center"/>
          </w:tcPr>
          <w:p w14:paraId="3BF2AE0D" w14:textId="77777777" w:rsidR="00C71CAA" w:rsidRPr="001570EA" w:rsidRDefault="00C71CAA">
            <w:pPr>
              <w:pStyle w:val="TableCell"/>
              <w:spacing w:before="0" w:after="0"/>
              <w:jc w:val="center"/>
              <w:rPr>
                <w:szCs w:val="18"/>
              </w:rPr>
            </w:pPr>
            <w:r w:rsidRPr="001570EA">
              <w:rPr>
                <w:szCs w:val="18"/>
              </w:rPr>
              <w:t>EDC Data Gathering or</w:t>
            </w:r>
          </w:p>
          <w:p w14:paraId="680C0D46" w14:textId="77777777" w:rsidR="00C71CAA" w:rsidRPr="001570EA" w:rsidRDefault="00C71CAA">
            <w:pPr>
              <w:pStyle w:val="TableCell"/>
              <w:spacing w:before="0" w:after="0"/>
              <w:jc w:val="center"/>
              <w:rPr>
                <w:szCs w:val="18"/>
              </w:rPr>
            </w:pPr>
            <w:r w:rsidRPr="001570EA">
              <w:rPr>
                <w:szCs w:val="18"/>
              </w:rPr>
              <w:t>Default:</w:t>
            </w:r>
          </w:p>
          <w:p w14:paraId="31662D7E" w14:textId="77777777" w:rsidR="00C71CAA" w:rsidRPr="001570EA" w:rsidRDefault="00C71CAA">
            <w:pPr>
              <w:pStyle w:val="TableCell"/>
              <w:spacing w:before="0" w:after="0"/>
              <w:jc w:val="center"/>
              <w:rPr>
                <w:szCs w:val="18"/>
              </w:rPr>
            </w:pPr>
            <w:r w:rsidRPr="001570EA">
              <w:rPr>
                <w:szCs w:val="18"/>
              </w:rPr>
              <w:t>SF=1.9</w:t>
            </w:r>
          </w:p>
          <w:p w14:paraId="37EC064D" w14:textId="77777777" w:rsidR="00C71CAA" w:rsidRPr="001570EA" w:rsidRDefault="00C71CAA">
            <w:pPr>
              <w:pStyle w:val="TableCell"/>
              <w:spacing w:before="0" w:after="0"/>
              <w:jc w:val="center"/>
              <w:rPr>
                <w:szCs w:val="18"/>
              </w:rPr>
            </w:pPr>
            <w:r w:rsidRPr="001570EA">
              <w:rPr>
                <w:szCs w:val="18"/>
              </w:rPr>
              <w:t>MF=1.2</w:t>
            </w:r>
          </w:p>
          <w:p w14:paraId="74BA9568" w14:textId="77777777" w:rsidR="00C71CAA" w:rsidRPr="001570EA" w:rsidRDefault="00C71CAA">
            <w:pPr>
              <w:pStyle w:val="TableCell"/>
              <w:spacing w:before="0" w:after="0"/>
              <w:jc w:val="center"/>
              <w:rPr>
                <w:szCs w:val="18"/>
              </w:rPr>
            </w:pPr>
            <w:r w:rsidRPr="001570EA">
              <w:rPr>
                <w:szCs w:val="18"/>
              </w:rPr>
              <w:t>Unknown = 1.7</w:t>
            </w:r>
          </w:p>
        </w:tc>
        <w:tc>
          <w:tcPr>
            <w:tcW w:w="1080" w:type="dxa"/>
            <w:vAlign w:val="center"/>
          </w:tcPr>
          <w:p w14:paraId="3502A407" w14:textId="77777777" w:rsidR="00C71CAA" w:rsidRPr="001570EA" w:rsidRDefault="00C71CAA">
            <w:pPr>
              <w:jc w:val="center"/>
              <w:rPr>
                <w:sz w:val="18"/>
                <w:szCs w:val="18"/>
              </w:rPr>
            </w:pPr>
            <w:r w:rsidRPr="001570EA">
              <w:rPr>
                <w:sz w:val="18"/>
                <w:szCs w:val="18"/>
              </w:rPr>
              <w:t>5</w:t>
            </w:r>
          </w:p>
        </w:tc>
      </w:tr>
      <w:tr w:rsidR="00C71CAA" w:rsidRPr="001570EA" w14:paraId="2E98DF0C" w14:textId="77777777">
        <w:tc>
          <w:tcPr>
            <w:tcW w:w="3757" w:type="dxa"/>
          </w:tcPr>
          <w:p w14:paraId="6C815E22" w14:textId="77777777" w:rsidR="00C71CAA" w:rsidRPr="001570EA" w:rsidRDefault="00C71CAA">
            <w:pPr>
              <w:rPr>
                <w:rFonts w:ascii="Cambria Math" w:hAnsi="Cambria Math"/>
                <w:i/>
                <w:sz w:val="18"/>
                <w:szCs w:val="18"/>
              </w:rPr>
            </w:pPr>
            <w:r w:rsidRPr="001570EA">
              <w:rPr>
                <w:rFonts w:ascii="Cambria Math" w:hAnsi="Cambria Math"/>
                <w:i/>
                <w:color w:val="000000"/>
                <w:sz w:val="18"/>
                <w:szCs w:val="18"/>
              </w:rPr>
              <w:t>ISR</w:t>
            </w:r>
            <w:r w:rsidRPr="001570EA">
              <w:rPr>
                <w:color w:val="000000"/>
                <w:sz w:val="18"/>
                <w:szCs w:val="18"/>
              </w:rPr>
              <w:t>, In-Service Rate</w:t>
            </w:r>
          </w:p>
        </w:tc>
        <w:tc>
          <w:tcPr>
            <w:tcW w:w="1260" w:type="dxa"/>
            <w:vAlign w:val="center"/>
          </w:tcPr>
          <w:p w14:paraId="3A053F01" w14:textId="77777777" w:rsidR="00C71CAA" w:rsidRPr="001570EA" w:rsidRDefault="00C71CAA">
            <w:pPr>
              <w:jc w:val="center"/>
              <w:rPr>
                <w:i/>
                <w:sz w:val="18"/>
                <w:szCs w:val="18"/>
              </w:rPr>
            </w:pPr>
            <w:r w:rsidRPr="001570EA">
              <w:rPr>
                <w:i/>
                <w:sz w:val="18"/>
                <w:szCs w:val="18"/>
              </w:rPr>
              <w:t>%</w:t>
            </w:r>
          </w:p>
        </w:tc>
        <w:tc>
          <w:tcPr>
            <w:tcW w:w="2520" w:type="dxa"/>
            <w:vAlign w:val="center"/>
          </w:tcPr>
          <w:p w14:paraId="764EDE8E" w14:textId="77777777" w:rsidR="00C71CAA" w:rsidRPr="001570EA" w:rsidRDefault="00C71CAA">
            <w:pPr>
              <w:jc w:val="center"/>
              <w:rPr>
                <w:color w:val="000000"/>
                <w:sz w:val="18"/>
                <w:szCs w:val="18"/>
              </w:rPr>
            </w:pPr>
            <w:r w:rsidRPr="001570EA">
              <w:rPr>
                <w:color w:val="000000"/>
                <w:sz w:val="18"/>
                <w:szCs w:val="18"/>
              </w:rPr>
              <w:t>EDC Data Gathering</w:t>
            </w:r>
          </w:p>
          <w:p w14:paraId="4ABCDB95" w14:textId="77777777" w:rsidR="00C71CAA" w:rsidRPr="001570EA" w:rsidRDefault="00C71CAA">
            <w:pPr>
              <w:spacing w:before="60" w:after="60"/>
              <w:jc w:val="center"/>
              <w:rPr>
                <w:sz w:val="18"/>
                <w:szCs w:val="18"/>
              </w:rPr>
            </w:pPr>
            <w:r w:rsidRPr="001570EA">
              <w:rPr>
                <w:sz w:val="18"/>
                <w:szCs w:val="18"/>
              </w:rPr>
              <w:t>Default, direct install: 100%</w:t>
            </w:r>
          </w:p>
        </w:tc>
        <w:tc>
          <w:tcPr>
            <w:tcW w:w="1080" w:type="dxa"/>
            <w:vAlign w:val="center"/>
          </w:tcPr>
          <w:p w14:paraId="4A40AF7B" w14:textId="77777777" w:rsidR="00C71CAA" w:rsidRPr="001570EA" w:rsidDel="00F829FF" w:rsidRDefault="00C71CAA">
            <w:pPr>
              <w:jc w:val="center"/>
              <w:rPr>
                <w:sz w:val="18"/>
                <w:szCs w:val="18"/>
              </w:rPr>
            </w:pPr>
            <w:r w:rsidRPr="001570EA">
              <w:rPr>
                <w:color w:val="000000"/>
                <w:sz w:val="18"/>
                <w:szCs w:val="18"/>
              </w:rPr>
              <w:t>EDC Data Gathering</w:t>
            </w:r>
          </w:p>
        </w:tc>
      </w:tr>
      <w:tr w:rsidR="00C71CAA" w:rsidRPr="001570EA" w14:paraId="7EBCB9B9" w14:textId="77777777">
        <w:tc>
          <w:tcPr>
            <w:tcW w:w="3757" w:type="dxa"/>
          </w:tcPr>
          <w:p w14:paraId="39B18F46" w14:textId="77777777" w:rsidR="00C71CAA" w:rsidRPr="001570EA" w:rsidRDefault="00C71CAA">
            <w:pPr>
              <w:rPr>
                <w:sz w:val="18"/>
                <w:szCs w:val="18"/>
              </w:rPr>
            </w:pPr>
            <w:r w:rsidRPr="001570EA">
              <w:rPr>
                <w:rFonts w:ascii="Cambria Math" w:hAnsi="Cambria Math"/>
                <w:i/>
                <w:color w:val="000000"/>
                <w:sz w:val="18"/>
                <w:szCs w:val="18"/>
              </w:rPr>
              <w:t>ELEC</w:t>
            </w:r>
            <w:r w:rsidRPr="001570EA">
              <w:rPr>
                <w:color w:val="000000"/>
                <w:sz w:val="18"/>
                <w:szCs w:val="18"/>
              </w:rPr>
              <w:t>, Percentage of homes with electric water heat</w:t>
            </w:r>
          </w:p>
        </w:tc>
        <w:tc>
          <w:tcPr>
            <w:tcW w:w="1260" w:type="dxa"/>
            <w:vAlign w:val="center"/>
          </w:tcPr>
          <w:p w14:paraId="6BD247F2" w14:textId="77777777" w:rsidR="00C71CAA" w:rsidRPr="001570EA" w:rsidRDefault="00C71CAA">
            <w:pPr>
              <w:jc w:val="center"/>
              <w:rPr>
                <w:i/>
                <w:sz w:val="18"/>
                <w:szCs w:val="18"/>
              </w:rPr>
            </w:pPr>
            <w:r w:rsidRPr="001570EA">
              <w:rPr>
                <w:i/>
                <w:sz w:val="18"/>
                <w:szCs w:val="18"/>
              </w:rPr>
              <w:t>%</w:t>
            </w:r>
          </w:p>
        </w:tc>
        <w:tc>
          <w:tcPr>
            <w:tcW w:w="2520" w:type="dxa"/>
          </w:tcPr>
          <w:p w14:paraId="7D1EEEBE" w14:textId="77777777" w:rsidR="00C71CAA" w:rsidRPr="001570EA" w:rsidRDefault="00C71CAA">
            <w:pPr>
              <w:pStyle w:val="TableCell"/>
              <w:spacing w:before="0" w:after="0"/>
              <w:jc w:val="center"/>
              <w:rPr>
                <w:color w:val="000000"/>
                <w:szCs w:val="18"/>
              </w:rPr>
            </w:pPr>
            <w:r w:rsidRPr="001570EA">
              <w:rPr>
                <w:color w:val="000000"/>
                <w:szCs w:val="18"/>
              </w:rPr>
              <w:t>EDC Data Gathering or</w:t>
            </w:r>
          </w:p>
          <w:p w14:paraId="26B9FB84" w14:textId="77777777" w:rsidR="00C71CAA" w:rsidRPr="001570EA" w:rsidRDefault="00C71CAA">
            <w:pPr>
              <w:pStyle w:val="TableCell"/>
              <w:spacing w:before="0" w:after="0"/>
              <w:jc w:val="center"/>
              <w:rPr>
                <w:color w:val="000000"/>
                <w:szCs w:val="18"/>
              </w:rPr>
            </w:pPr>
            <w:r w:rsidRPr="001570EA">
              <w:rPr>
                <w:color w:val="000000"/>
                <w:szCs w:val="18"/>
              </w:rPr>
              <w:t xml:space="preserve">Default: </w:t>
            </w:r>
          </w:p>
          <w:p w14:paraId="47F2C09C" w14:textId="77777777" w:rsidR="00C71CAA" w:rsidRPr="001570EA" w:rsidRDefault="00C71CAA">
            <w:pPr>
              <w:pStyle w:val="TableCell"/>
              <w:spacing w:before="0" w:after="0"/>
              <w:jc w:val="center"/>
              <w:rPr>
                <w:color w:val="000000"/>
                <w:szCs w:val="18"/>
              </w:rPr>
            </w:pPr>
            <w:r w:rsidRPr="001570EA">
              <w:rPr>
                <w:color w:val="000000"/>
                <w:szCs w:val="18"/>
              </w:rPr>
              <w:t>Electric = 100%</w:t>
            </w:r>
          </w:p>
          <w:p w14:paraId="46D3E95A" w14:textId="77777777" w:rsidR="00C71CAA" w:rsidRPr="001570EA" w:rsidRDefault="00C71CAA">
            <w:pPr>
              <w:pStyle w:val="TableCell"/>
              <w:spacing w:before="0" w:after="0"/>
              <w:jc w:val="center"/>
              <w:rPr>
                <w:color w:val="000000"/>
                <w:szCs w:val="18"/>
              </w:rPr>
            </w:pPr>
            <w:r w:rsidRPr="001570EA">
              <w:rPr>
                <w:color w:val="000000"/>
                <w:szCs w:val="18"/>
              </w:rPr>
              <w:t>Fossil Fuel = 0.0%</w:t>
            </w:r>
          </w:p>
          <w:p w14:paraId="4AAC02E1" w14:textId="77777777" w:rsidR="00C71CAA" w:rsidRPr="001570EA" w:rsidRDefault="00C71CAA">
            <w:pPr>
              <w:jc w:val="center"/>
              <w:rPr>
                <w:sz w:val="18"/>
                <w:szCs w:val="18"/>
              </w:rPr>
            </w:pPr>
            <w:r w:rsidRPr="001570EA">
              <w:rPr>
                <w:color w:val="000000"/>
                <w:szCs w:val="18"/>
              </w:rPr>
              <w:t>Unknown=47%</w:t>
            </w:r>
          </w:p>
        </w:tc>
        <w:tc>
          <w:tcPr>
            <w:tcW w:w="1080" w:type="dxa"/>
            <w:vAlign w:val="center"/>
          </w:tcPr>
          <w:p w14:paraId="43F73BC4" w14:textId="77777777" w:rsidR="00C71CAA" w:rsidRPr="001570EA" w:rsidRDefault="00C71CAA">
            <w:pPr>
              <w:jc w:val="center"/>
              <w:rPr>
                <w:sz w:val="18"/>
                <w:szCs w:val="18"/>
              </w:rPr>
            </w:pPr>
            <w:r w:rsidRPr="001570EA">
              <w:rPr>
                <w:color w:val="000000"/>
                <w:sz w:val="18"/>
                <w:szCs w:val="18"/>
              </w:rPr>
              <w:t>5</w:t>
            </w:r>
          </w:p>
        </w:tc>
      </w:tr>
      <w:tr w:rsidR="00C71CAA" w:rsidRPr="001570EA" w14:paraId="03054AFA" w14:textId="77777777">
        <w:tc>
          <w:tcPr>
            <w:tcW w:w="3757" w:type="dxa"/>
            <w:vAlign w:val="center"/>
          </w:tcPr>
          <w:p w14:paraId="292DE126" w14:textId="77777777" w:rsidR="00C71CAA" w:rsidRPr="001570EA" w:rsidRDefault="00C71CAA">
            <w:pPr>
              <w:jc w:val="left"/>
              <w:rPr>
                <w:sz w:val="18"/>
                <w:szCs w:val="18"/>
              </w:rPr>
            </w:pPr>
            <w:r w:rsidRPr="001570EA">
              <w:rPr>
                <w:rFonts w:ascii="Cambria Math" w:hAnsi="Cambria Math" w:cs="Arial"/>
                <w:i/>
                <w:sz w:val="18"/>
                <w:szCs w:val="18"/>
              </w:rPr>
              <w:t>ETDF</w:t>
            </w:r>
            <w:r w:rsidRPr="001570EA">
              <w:rPr>
                <w:rFonts w:ascii="Cambria Math" w:hAnsi="Cambria Math" w:cs="Arial"/>
                <w:i/>
                <w:sz w:val="18"/>
                <w:szCs w:val="18"/>
                <w:vertAlign w:val="subscript"/>
              </w:rPr>
              <w:t>s</w:t>
            </w:r>
            <w:r w:rsidRPr="001570EA">
              <w:rPr>
                <w:rFonts w:cs="Arial"/>
                <w:sz w:val="18"/>
                <w:szCs w:val="18"/>
              </w:rPr>
              <w:t>, Summer Energy to Demand Factor</w:t>
            </w:r>
          </w:p>
        </w:tc>
        <w:tc>
          <w:tcPr>
            <w:tcW w:w="1260" w:type="dxa"/>
            <w:vAlign w:val="center"/>
          </w:tcPr>
          <w:p w14:paraId="60233ADB" w14:textId="77777777" w:rsidR="00C71CAA" w:rsidRPr="001570EA" w:rsidRDefault="003B5E04">
            <w:pPr>
              <w:jc w:val="center"/>
              <w:rPr>
                <w:i/>
                <w:sz w:val="18"/>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520" w:type="dxa"/>
            <w:vAlign w:val="center"/>
          </w:tcPr>
          <w:p w14:paraId="4295CB69" w14:textId="77777777" w:rsidR="00C71CAA" w:rsidRPr="001570EA" w:rsidRDefault="00C71CAA">
            <w:pPr>
              <w:spacing w:before="60" w:after="60"/>
              <w:jc w:val="center"/>
              <w:rPr>
                <w:sz w:val="18"/>
                <w:szCs w:val="18"/>
              </w:rPr>
            </w:pPr>
            <w:r w:rsidRPr="001570EA">
              <w:rPr>
                <w:sz w:val="18"/>
                <w:szCs w:val="18"/>
              </w:rPr>
              <w:t>SF: 0.0001057</w:t>
            </w:r>
          </w:p>
          <w:p w14:paraId="07A94B8C" w14:textId="77777777" w:rsidR="00C71CAA" w:rsidRPr="001570EA" w:rsidRDefault="00C71CAA">
            <w:pPr>
              <w:spacing w:before="60" w:after="60"/>
              <w:jc w:val="center"/>
              <w:rPr>
                <w:sz w:val="18"/>
                <w:szCs w:val="18"/>
              </w:rPr>
            </w:pPr>
            <w:r w:rsidRPr="001570EA">
              <w:rPr>
                <w:sz w:val="18"/>
                <w:szCs w:val="18"/>
              </w:rPr>
              <w:t>MF: 0.0001006</w:t>
            </w:r>
          </w:p>
          <w:p w14:paraId="04C3E985" w14:textId="77777777" w:rsidR="00C71CAA" w:rsidRPr="001570EA" w:rsidRDefault="00C71CAA">
            <w:pPr>
              <w:spacing w:before="60" w:after="60"/>
              <w:jc w:val="center"/>
              <w:rPr>
                <w:sz w:val="18"/>
                <w:szCs w:val="18"/>
              </w:rPr>
            </w:pPr>
            <w:r w:rsidRPr="001570EA">
              <w:rPr>
                <w:sz w:val="18"/>
                <w:szCs w:val="18"/>
              </w:rPr>
              <w:t>Unknown: 0.0001046</w:t>
            </w:r>
          </w:p>
        </w:tc>
        <w:tc>
          <w:tcPr>
            <w:tcW w:w="1080" w:type="dxa"/>
            <w:vAlign w:val="center"/>
          </w:tcPr>
          <w:p w14:paraId="6AE23482" w14:textId="77777777" w:rsidR="00C71CAA" w:rsidRPr="001570EA" w:rsidRDefault="00C71CAA">
            <w:pPr>
              <w:jc w:val="center"/>
              <w:rPr>
                <w:sz w:val="18"/>
                <w:szCs w:val="18"/>
              </w:rPr>
            </w:pPr>
            <w:r w:rsidRPr="001570EA">
              <w:rPr>
                <w:sz w:val="18"/>
                <w:szCs w:val="18"/>
              </w:rPr>
              <w:t>9</w:t>
            </w:r>
          </w:p>
        </w:tc>
      </w:tr>
      <w:tr w:rsidR="00C71CAA" w:rsidRPr="001570EA" w14:paraId="7E1579A8" w14:textId="77777777">
        <w:tc>
          <w:tcPr>
            <w:tcW w:w="3757" w:type="dxa"/>
          </w:tcPr>
          <w:p w14:paraId="7D1A1416" w14:textId="77777777" w:rsidR="00C71CAA" w:rsidRPr="001570EA" w:rsidRDefault="00C71CAA">
            <w:pPr>
              <w:rPr>
                <w:rFonts w:ascii="Cambria Math" w:hAnsi="Cambria Math"/>
                <w:i/>
                <w:sz w:val="18"/>
                <w:szCs w:val="18"/>
              </w:rPr>
            </w:pPr>
            <w:r w:rsidRPr="001570EA">
              <w:rPr>
                <w:rFonts w:ascii="Cambria Math" w:hAnsi="Cambria Math" w:cs="Arial"/>
                <w:i/>
                <w:sz w:val="18"/>
                <w:szCs w:val="18"/>
              </w:rPr>
              <w:t>ETDF</w:t>
            </w:r>
            <w:r w:rsidRPr="001570EA">
              <w:rPr>
                <w:rFonts w:ascii="Cambria Math" w:hAnsi="Cambria Math" w:cs="Arial"/>
                <w:i/>
                <w:sz w:val="18"/>
                <w:szCs w:val="18"/>
                <w:vertAlign w:val="subscript"/>
              </w:rPr>
              <w:t>w</w:t>
            </w:r>
            <w:r w:rsidRPr="001570EA">
              <w:rPr>
                <w:rFonts w:cs="Arial"/>
                <w:i/>
                <w:sz w:val="18"/>
                <w:szCs w:val="18"/>
              </w:rPr>
              <w:t xml:space="preserve">, </w:t>
            </w:r>
            <w:r w:rsidRPr="001570EA">
              <w:rPr>
                <w:rFonts w:cs="Arial"/>
                <w:sz w:val="18"/>
                <w:szCs w:val="18"/>
              </w:rPr>
              <w:t>Winter</w:t>
            </w:r>
            <w:r w:rsidRPr="001570EA">
              <w:rPr>
                <w:rFonts w:cs="Arial"/>
                <w:i/>
                <w:sz w:val="18"/>
                <w:szCs w:val="18"/>
              </w:rPr>
              <w:t xml:space="preserve"> </w:t>
            </w:r>
            <w:r w:rsidRPr="001570EA">
              <w:rPr>
                <w:rFonts w:cs="Arial"/>
                <w:sz w:val="18"/>
                <w:szCs w:val="18"/>
              </w:rPr>
              <w:t>Energy to Demand Factor</w:t>
            </w:r>
          </w:p>
        </w:tc>
        <w:tc>
          <w:tcPr>
            <w:tcW w:w="1260" w:type="dxa"/>
            <w:vAlign w:val="center"/>
          </w:tcPr>
          <w:p w14:paraId="6C8183D5" w14:textId="77777777" w:rsidR="00C71CAA" w:rsidRPr="001570EA" w:rsidRDefault="003B5E04">
            <w:pPr>
              <w:jc w:val="center"/>
              <w:rPr>
                <w:color w:val="000000"/>
                <w:sz w:val="18"/>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520" w:type="dxa"/>
          </w:tcPr>
          <w:p w14:paraId="3FAB6C41" w14:textId="77777777" w:rsidR="00C71CAA" w:rsidRPr="001570EA" w:rsidRDefault="00C71CAA">
            <w:pPr>
              <w:spacing w:before="60" w:after="60"/>
              <w:jc w:val="center"/>
              <w:rPr>
                <w:sz w:val="18"/>
                <w:szCs w:val="18"/>
              </w:rPr>
            </w:pPr>
            <w:r w:rsidRPr="001570EA">
              <w:rPr>
                <w:sz w:val="18"/>
                <w:szCs w:val="18"/>
              </w:rPr>
              <w:t>SF: 0.0001761</w:t>
            </w:r>
          </w:p>
          <w:p w14:paraId="2E64C66B" w14:textId="77777777" w:rsidR="00C71CAA" w:rsidRPr="001570EA" w:rsidRDefault="00C71CAA">
            <w:pPr>
              <w:spacing w:before="60" w:after="60"/>
              <w:jc w:val="center"/>
              <w:rPr>
                <w:sz w:val="18"/>
                <w:szCs w:val="18"/>
              </w:rPr>
            </w:pPr>
            <w:r w:rsidRPr="001570EA">
              <w:rPr>
                <w:sz w:val="18"/>
                <w:szCs w:val="18"/>
              </w:rPr>
              <w:t>MF: 0.0001733</w:t>
            </w:r>
          </w:p>
          <w:p w14:paraId="6B1CB150" w14:textId="77777777" w:rsidR="00C71CAA" w:rsidRPr="001570EA" w:rsidRDefault="00C71CAA">
            <w:pPr>
              <w:spacing w:before="60" w:after="60"/>
              <w:jc w:val="center"/>
              <w:rPr>
                <w:sz w:val="18"/>
                <w:szCs w:val="18"/>
              </w:rPr>
            </w:pPr>
            <w:r w:rsidRPr="001570EA">
              <w:rPr>
                <w:sz w:val="18"/>
                <w:szCs w:val="18"/>
              </w:rPr>
              <w:t>Unknown: 0.0001755</w:t>
            </w:r>
          </w:p>
        </w:tc>
        <w:tc>
          <w:tcPr>
            <w:tcW w:w="1080" w:type="dxa"/>
            <w:vAlign w:val="center"/>
          </w:tcPr>
          <w:p w14:paraId="46CB3DFA" w14:textId="77777777" w:rsidR="00C71CAA" w:rsidRPr="001570EA" w:rsidRDefault="00C71CAA">
            <w:pPr>
              <w:jc w:val="center"/>
              <w:rPr>
                <w:sz w:val="18"/>
                <w:szCs w:val="18"/>
              </w:rPr>
            </w:pPr>
            <w:r w:rsidRPr="001570EA">
              <w:rPr>
                <w:sz w:val="18"/>
                <w:szCs w:val="18"/>
              </w:rPr>
              <w:t>9</w:t>
            </w:r>
          </w:p>
        </w:tc>
      </w:tr>
    </w:tbl>
    <w:p w14:paraId="18E91A12" w14:textId="77777777" w:rsidR="00C71CAA" w:rsidRPr="001570EA" w:rsidRDefault="00C71CAA" w:rsidP="00C71CAA">
      <w:pPr>
        <w:pStyle w:val="SubStyle"/>
      </w:pPr>
    </w:p>
    <w:p w14:paraId="4199D7B7" w14:textId="77777777" w:rsidR="00C71CAA" w:rsidRPr="001570EA" w:rsidRDefault="00C71CAA" w:rsidP="00C71CAA">
      <w:pPr>
        <w:pStyle w:val="SubStyle"/>
      </w:pPr>
      <w:r w:rsidRPr="001570EA">
        <w:t>Default Savings</w:t>
      </w:r>
    </w:p>
    <w:p w14:paraId="45F563A4" w14:textId="77777777" w:rsidR="00C71CAA" w:rsidRPr="001570EA" w:rsidRDefault="00C71CAA" w:rsidP="00C71CAA">
      <w:bookmarkStart w:id="500" w:name="_Toc530141730"/>
      <w:r w:rsidRPr="001570EA">
        <w:t>Default savings values should only be used for direct install delivery. For other delivery methods, EDCs must estimate and apply an ISR appropriate to the delivery method.</w:t>
      </w:r>
    </w:p>
    <w:p w14:paraId="71FC7473" w14:textId="77777777" w:rsidR="00C71CAA" w:rsidRPr="001570EA" w:rsidRDefault="00C71CAA" w:rsidP="00C71CAA"/>
    <w:p w14:paraId="7D0C52DD" w14:textId="3D33DDCE" w:rsidR="00C71CAA" w:rsidRPr="001570EA" w:rsidRDefault="00C71CAA" w:rsidP="00C71CAA">
      <w:pPr>
        <w:pStyle w:val="Caption"/>
      </w:pPr>
      <w:bookmarkStart w:id="501" w:name="_Toc47598309"/>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75</w:t>
      </w:r>
      <w:r w:rsidR="002E093A" w:rsidRPr="001570EA">
        <w:fldChar w:fldCharType="end"/>
      </w:r>
      <w:r w:rsidRPr="001570EA">
        <w:t>: Default Savings for Thermostatic Restriction Valve</w:t>
      </w:r>
      <w:bookmarkEnd w:id="500"/>
      <w:bookmarkEnd w:id="501"/>
    </w:p>
    <w:tbl>
      <w:tblPr>
        <w:tblW w:w="9352" w:type="dxa"/>
        <w:tblInd w:w="93" w:type="dxa"/>
        <w:tblLayout w:type="fixed"/>
        <w:tblLook w:val="04A0" w:firstRow="1" w:lastRow="0" w:firstColumn="1" w:lastColumn="0" w:noHBand="0" w:noVBand="1"/>
      </w:tblPr>
      <w:tblGrid>
        <w:gridCol w:w="1556"/>
        <w:gridCol w:w="1557"/>
        <w:gridCol w:w="1558"/>
        <w:gridCol w:w="1557"/>
        <w:gridCol w:w="1558"/>
        <w:gridCol w:w="1556"/>
        <w:gridCol w:w="10"/>
      </w:tblGrid>
      <w:tr w:rsidR="00C71CAA" w:rsidRPr="001570EA" w14:paraId="1E501995" w14:textId="77777777">
        <w:trPr>
          <w:trHeight w:val="620"/>
        </w:trPr>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CD3E87C" w14:textId="77777777" w:rsidR="00C71CAA" w:rsidRPr="001570EA" w:rsidRDefault="00C71CAA">
            <w:pPr>
              <w:rPr>
                <w:rFonts w:cs="Arial"/>
                <w:b/>
                <w:bCs/>
                <w:color w:val="000000"/>
                <w:sz w:val="18"/>
                <w:szCs w:val="18"/>
              </w:rPr>
            </w:pPr>
            <w:r w:rsidRPr="001570EA">
              <w:rPr>
                <w:rFonts w:cs="Arial"/>
                <w:b/>
                <w:bCs/>
                <w:color w:val="000000"/>
                <w:sz w:val="18"/>
                <w:szCs w:val="18"/>
              </w:rPr>
              <w:t>Housing Type</w:t>
            </w:r>
          </w:p>
        </w:tc>
        <w:tc>
          <w:tcPr>
            <w:tcW w:w="1557"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488AD528" w14:textId="77777777" w:rsidR="00C71CAA" w:rsidRPr="001570EA" w:rsidRDefault="00C71CAA">
            <w:pPr>
              <w:jc w:val="center"/>
              <w:rPr>
                <w:b/>
                <w:sz w:val="18"/>
                <w:szCs w:val="18"/>
              </w:rPr>
            </w:pPr>
            <w:r w:rsidRPr="001570EA">
              <w:rPr>
                <w:b/>
                <w:sz w:val="18"/>
                <w:szCs w:val="18"/>
              </w:rPr>
              <w:t>Water Heater Fuel</w:t>
            </w:r>
          </w:p>
          <w:p w14:paraId="11203FE4" w14:textId="77777777" w:rsidR="00C71CAA" w:rsidRPr="001570EA" w:rsidRDefault="00C71CAA">
            <w:pPr>
              <w:jc w:val="center"/>
              <w:rPr>
                <w:rFonts w:cs="Arial"/>
                <w:b/>
                <w:bCs/>
                <w:color w:val="000000"/>
                <w:sz w:val="18"/>
                <w:szCs w:val="18"/>
              </w:rPr>
            </w:pPr>
            <w:r w:rsidRPr="001570EA">
              <w:rPr>
                <w:b/>
                <w:sz w:val="18"/>
                <w:szCs w:val="18"/>
              </w:rPr>
              <w:t>(% electric)</w:t>
            </w:r>
          </w:p>
        </w:tc>
        <w:tc>
          <w:tcPr>
            <w:tcW w:w="1558"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1D3FD7EF" w14:textId="77777777" w:rsidR="00C71CAA" w:rsidRPr="001570EA" w:rsidRDefault="00C71CAA">
            <w:pPr>
              <w:jc w:val="center"/>
              <w:rPr>
                <w:b/>
                <w:sz w:val="18"/>
                <w:szCs w:val="18"/>
              </w:rPr>
            </w:pPr>
            <w:r w:rsidRPr="001570EA">
              <w:rPr>
                <w:b/>
                <w:sz w:val="18"/>
                <w:szCs w:val="18"/>
              </w:rPr>
              <w:t>Water Heater Type</w:t>
            </w:r>
          </w:p>
          <w:p w14:paraId="354BB7F4" w14:textId="77777777" w:rsidR="00C71CAA" w:rsidRPr="001570EA" w:rsidRDefault="00C71CAA">
            <w:pPr>
              <w:jc w:val="center"/>
              <w:rPr>
                <w:rFonts w:cs="Arial"/>
                <w:b/>
                <w:bCs/>
                <w:color w:val="000000"/>
                <w:sz w:val="18"/>
                <w:szCs w:val="18"/>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4DCD419" w14:textId="77777777" w:rsidR="00C71CAA" w:rsidRPr="001570EA" w:rsidRDefault="00C71CAA">
            <w:pPr>
              <w:jc w:val="center"/>
              <w:rPr>
                <w:rFonts w:cs="Arial"/>
                <w:b/>
                <w:bCs/>
                <w:color w:val="000000"/>
                <w:sz w:val="18"/>
                <w:szCs w:val="18"/>
              </w:rPr>
            </w:pPr>
            <w:r w:rsidRPr="001570EA">
              <w:rPr>
                <w:rFonts w:cs="Arial"/>
                <w:b/>
                <w:bCs/>
                <w:color w:val="000000"/>
                <w:sz w:val="18"/>
                <w:szCs w:val="18"/>
              </w:rPr>
              <w:t>ΔkWh</w:t>
            </w:r>
          </w:p>
        </w:tc>
        <w:tc>
          <w:tcPr>
            <w:tcW w:w="155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6C18F5D" w14:textId="77777777" w:rsidR="00C71CAA" w:rsidRPr="001570EA" w:rsidRDefault="00C71CAA">
            <w:pPr>
              <w:jc w:val="center"/>
              <w:rPr>
                <w:rFonts w:cs="Arial"/>
                <w:b/>
                <w:bCs/>
                <w:color w:val="000000"/>
                <w:sz w:val="18"/>
                <w:szCs w:val="18"/>
              </w:rPr>
            </w:pPr>
            <w:r w:rsidRPr="001570EA">
              <w:rPr>
                <w:rFonts w:cs="Arial"/>
                <w:b/>
                <w:bCs/>
                <w:color w:val="000000"/>
                <w:sz w:val="18"/>
                <w:szCs w:val="18"/>
              </w:rPr>
              <w:t>ΔkW</w:t>
            </w:r>
            <w:r w:rsidRPr="001570EA">
              <w:rPr>
                <w:rFonts w:cs="Arial"/>
                <w:b/>
                <w:bCs/>
                <w:color w:val="000000"/>
                <w:sz w:val="18"/>
                <w:szCs w:val="18"/>
                <w:vertAlign w:val="subscript"/>
              </w:rPr>
              <w:t>summer peak</w:t>
            </w:r>
          </w:p>
        </w:tc>
        <w:tc>
          <w:tcPr>
            <w:tcW w:w="1566" w:type="dxa"/>
            <w:gridSpan w:val="2"/>
            <w:tcBorders>
              <w:top w:val="single" w:sz="4" w:space="0" w:color="auto"/>
              <w:left w:val="nil"/>
              <w:bottom w:val="single" w:sz="4" w:space="0" w:color="auto"/>
              <w:right w:val="single" w:sz="4" w:space="0" w:color="auto"/>
            </w:tcBorders>
            <w:shd w:val="clear" w:color="auto" w:fill="BFBFBF" w:themeFill="background1" w:themeFillShade="BF"/>
            <w:vAlign w:val="bottom"/>
          </w:tcPr>
          <w:p w14:paraId="1AA592D1" w14:textId="77777777" w:rsidR="00C71CAA" w:rsidRPr="001570EA" w:rsidRDefault="00C71CAA">
            <w:pPr>
              <w:spacing w:before="80" w:after="80"/>
              <w:jc w:val="center"/>
              <w:rPr>
                <w:rFonts w:cs="Arial"/>
                <w:b/>
                <w:bCs/>
                <w:color w:val="000000"/>
                <w:sz w:val="18"/>
                <w:szCs w:val="18"/>
              </w:rPr>
            </w:pPr>
          </w:p>
          <w:p w14:paraId="5CFE1FF6" w14:textId="77777777" w:rsidR="00C71CAA" w:rsidRPr="001570EA" w:rsidRDefault="00C71CAA">
            <w:pPr>
              <w:spacing w:before="80" w:after="80"/>
              <w:jc w:val="center"/>
              <w:rPr>
                <w:rFonts w:cs="Arial"/>
                <w:b/>
                <w:bCs/>
                <w:color w:val="000000"/>
                <w:sz w:val="18"/>
                <w:szCs w:val="18"/>
              </w:rPr>
            </w:pPr>
          </w:p>
          <w:p w14:paraId="1C1CF783" w14:textId="77777777" w:rsidR="00C71CAA" w:rsidRPr="001570EA" w:rsidRDefault="00C71CAA">
            <w:pPr>
              <w:jc w:val="center"/>
              <w:rPr>
                <w:rFonts w:cs="Arial"/>
                <w:b/>
                <w:bCs/>
                <w:color w:val="000000"/>
                <w:sz w:val="18"/>
                <w:szCs w:val="18"/>
              </w:rPr>
            </w:pPr>
            <w:r w:rsidRPr="001570EA">
              <w:rPr>
                <w:rFonts w:cs="Arial"/>
                <w:b/>
                <w:bCs/>
                <w:color w:val="000000"/>
                <w:sz w:val="18"/>
                <w:szCs w:val="18"/>
              </w:rPr>
              <w:t>ΔkW</w:t>
            </w:r>
            <w:r w:rsidRPr="001570EA">
              <w:rPr>
                <w:rFonts w:cs="Arial"/>
                <w:b/>
                <w:bCs/>
                <w:color w:val="000000"/>
                <w:sz w:val="18"/>
                <w:szCs w:val="18"/>
                <w:vertAlign w:val="subscript"/>
              </w:rPr>
              <w:t>winter peak</w:t>
            </w:r>
          </w:p>
        </w:tc>
      </w:tr>
      <w:tr w:rsidR="00C71CAA" w:rsidRPr="001570EA" w14:paraId="7E41CC49" w14:textId="77777777">
        <w:trPr>
          <w:gridAfter w:val="1"/>
          <w:wAfter w:w="10" w:type="dxa"/>
          <w:trHeight w:val="331"/>
        </w:trPr>
        <w:tc>
          <w:tcPr>
            <w:tcW w:w="15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F23D6D" w14:textId="77777777" w:rsidR="00C71CAA" w:rsidRPr="001570EA" w:rsidRDefault="00C71CAA">
            <w:pPr>
              <w:jc w:val="center"/>
              <w:rPr>
                <w:rFonts w:cs="Arial"/>
                <w:color w:val="000000"/>
                <w:sz w:val="18"/>
                <w:szCs w:val="18"/>
              </w:rPr>
            </w:pPr>
            <w:r w:rsidRPr="001570EA">
              <w:rPr>
                <w:rFonts w:cs="Arial"/>
                <w:color w:val="000000"/>
                <w:sz w:val="18"/>
                <w:szCs w:val="18"/>
              </w:rPr>
              <w:t>Single Family</w:t>
            </w:r>
          </w:p>
        </w:tc>
        <w:tc>
          <w:tcPr>
            <w:tcW w:w="1557" w:type="dxa"/>
            <w:tcBorders>
              <w:top w:val="single" w:sz="4" w:space="0" w:color="auto"/>
              <w:left w:val="nil"/>
              <w:bottom w:val="single" w:sz="4" w:space="0" w:color="auto"/>
              <w:right w:val="single" w:sz="4" w:space="0" w:color="auto"/>
            </w:tcBorders>
            <w:shd w:val="clear" w:color="auto" w:fill="auto"/>
            <w:noWrap/>
            <w:vAlign w:val="center"/>
          </w:tcPr>
          <w:p w14:paraId="452B3F56" w14:textId="77777777" w:rsidR="00C71CAA" w:rsidRPr="001570EA" w:rsidRDefault="00C71CAA">
            <w:pPr>
              <w:jc w:val="center"/>
              <w:rPr>
                <w:rFonts w:cs="Arial"/>
                <w:color w:val="000000"/>
                <w:sz w:val="18"/>
                <w:szCs w:val="18"/>
              </w:rPr>
            </w:pPr>
            <w:r w:rsidRPr="001570EA">
              <w:rPr>
                <w:rFonts w:cs="Arial"/>
                <w:color w:val="000000"/>
                <w:sz w:val="18"/>
                <w:szCs w:val="18"/>
              </w:rPr>
              <w:t>100%</w:t>
            </w:r>
          </w:p>
        </w:tc>
        <w:tc>
          <w:tcPr>
            <w:tcW w:w="1558" w:type="dxa"/>
            <w:tcBorders>
              <w:top w:val="single" w:sz="4" w:space="0" w:color="auto"/>
              <w:left w:val="nil"/>
              <w:bottom w:val="single" w:sz="4" w:space="0" w:color="auto"/>
              <w:right w:val="single" w:sz="4" w:space="0" w:color="auto"/>
            </w:tcBorders>
            <w:vAlign w:val="center"/>
          </w:tcPr>
          <w:p w14:paraId="27299DB0" w14:textId="77777777" w:rsidR="00C71CAA" w:rsidRPr="001570EA" w:rsidDel="003D3FA9" w:rsidRDefault="00C71CAA">
            <w:pPr>
              <w:jc w:val="center"/>
              <w:rPr>
                <w:sz w:val="18"/>
                <w:szCs w:val="18"/>
              </w:rPr>
            </w:pPr>
            <w:r w:rsidRPr="001570EA">
              <w:rPr>
                <w:rFonts w:cs="Arial"/>
                <w:color w:val="000000"/>
                <w:sz w:val="18"/>
                <w:szCs w:val="18"/>
              </w:rPr>
              <w:t>Electric Resistance</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33272" w14:textId="77777777" w:rsidR="00C71CAA" w:rsidRPr="001570EA" w:rsidRDefault="00C71CAA">
            <w:pPr>
              <w:jc w:val="center"/>
              <w:rPr>
                <w:rFonts w:cs="Arial"/>
                <w:color w:val="000000"/>
                <w:sz w:val="18"/>
                <w:szCs w:val="18"/>
              </w:rPr>
            </w:pPr>
            <w:r w:rsidRPr="001570EA">
              <w:rPr>
                <w:rFonts w:cs="Arial"/>
                <w:color w:val="000000"/>
                <w:sz w:val="18"/>
                <w:szCs w:val="18"/>
              </w:rPr>
              <w:t>74.6</w:t>
            </w:r>
          </w:p>
        </w:tc>
        <w:tc>
          <w:tcPr>
            <w:tcW w:w="1558" w:type="dxa"/>
            <w:tcBorders>
              <w:top w:val="single" w:sz="4" w:space="0" w:color="auto"/>
              <w:left w:val="nil"/>
              <w:bottom w:val="single" w:sz="4" w:space="0" w:color="auto"/>
              <w:right w:val="single" w:sz="4" w:space="0" w:color="auto"/>
            </w:tcBorders>
            <w:shd w:val="clear" w:color="auto" w:fill="auto"/>
            <w:noWrap/>
            <w:vAlign w:val="center"/>
          </w:tcPr>
          <w:p w14:paraId="6402FA28" w14:textId="77777777" w:rsidR="00C71CAA" w:rsidRPr="001570EA" w:rsidRDefault="00C71CAA">
            <w:pPr>
              <w:jc w:val="center"/>
              <w:rPr>
                <w:rFonts w:cs="Arial"/>
                <w:color w:val="000000"/>
                <w:sz w:val="18"/>
                <w:szCs w:val="18"/>
              </w:rPr>
            </w:pPr>
            <w:r w:rsidRPr="001570EA">
              <w:rPr>
                <w:rFonts w:cs="Arial"/>
                <w:color w:val="000000"/>
                <w:sz w:val="18"/>
                <w:szCs w:val="18"/>
              </w:rPr>
              <w:t>0.0079</w:t>
            </w:r>
          </w:p>
        </w:tc>
        <w:tc>
          <w:tcPr>
            <w:tcW w:w="1556" w:type="dxa"/>
            <w:tcBorders>
              <w:top w:val="single" w:sz="4" w:space="0" w:color="auto"/>
              <w:left w:val="nil"/>
              <w:bottom w:val="single" w:sz="4" w:space="0" w:color="auto"/>
              <w:right w:val="single" w:sz="4" w:space="0" w:color="auto"/>
            </w:tcBorders>
            <w:vAlign w:val="center"/>
          </w:tcPr>
          <w:p w14:paraId="6143B9F5" w14:textId="77777777" w:rsidR="00C71CAA" w:rsidRPr="001570EA" w:rsidRDefault="00C71CAA">
            <w:pPr>
              <w:jc w:val="center"/>
              <w:rPr>
                <w:rFonts w:cs="Arial"/>
                <w:color w:val="000000"/>
                <w:sz w:val="18"/>
                <w:szCs w:val="18"/>
              </w:rPr>
            </w:pPr>
            <w:r w:rsidRPr="001570EA">
              <w:rPr>
                <w:rFonts w:cs="Arial"/>
                <w:color w:val="000000"/>
                <w:sz w:val="18"/>
                <w:szCs w:val="18"/>
              </w:rPr>
              <w:t>0.0131</w:t>
            </w:r>
          </w:p>
        </w:tc>
      </w:tr>
      <w:tr w:rsidR="00C71CAA" w:rsidRPr="001570EA" w14:paraId="2AED9167" w14:textId="77777777">
        <w:trPr>
          <w:gridAfter w:val="1"/>
          <w:wAfter w:w="10" w:type="dxa"/>
          <w:trHeight w:val="331"/>
        </w:trPr>
        <w:tc>
          <w:tcPr>
            <w:tcW w:w="1556" w:type="dxa"/>
            <w:vMerge/>
            <w:tcBorders>
              <w:top w:val="nil"/>
              <w:left w:val="single" w:sz="4" w:space="0" w:color="auto"/>
              <w:bottom w:val="single" w:sz="4" w:space="0" w:color="auto"/>
              <w:right w:val="single" w:sz="4" w:space="0" w:color="auto"/>
            </w:tcBorders>
            <w:vAlign w:val="center"/>
            <w:hideMark/>
          </w:tcPr>
          <w:p w14:paraId="3D46F605" w14:textId="77777777" w:rsidR="00C71CAA" w:rsidRPr="001570EA" w:rsidRDefault="00C71CAA">
            <w:pPr>
              <w:rPr>
                <w:rFonts w:cs="Arial"/>
                <w:color w:val="000000"/>
                <w:sz w:val="18"/>
                <w:szCs w:val="18"/>
              </w:rPr>
            </w:pPr>
          </w:p>
        </w:tc>
        <w:tc>
          <w:tcPr>
            <w:tcW w:w="1557" w:type="dxa"/>
            <w:tcBorders>
              <w:top w:val="single" w:sz="4" w:space="0" w:color="auto"/>
              <w:left w:val="nil"/>
              <w:bottom w:val="single" w:sz="4" w:space="0" w:color="auto"/>
              <w:right w:val="single" w:sz="4" w:space="0" w:color="auto"/>
            </w:tcBorders>
            <w:shd w:val="clear" w:color="auto" w:fill="auto"/>
            <w:noWrap/>
            <w:vAlign w:val="center"/>
          </w:tcPr>
          <w:p w14:paraId="6658EE10" w14:textId="77777777" w:rsidR="00C71CAA" w:rsidRPr="001570EA" w:rsidRDefault="00C71CAA">
            <w:pPr>
              <w:jc w:val="center"/>
              <w:rPr>
                <w:rFonts w:cs="Arial"/>
                <w:color w:val="000000"/>
                <w:sz w:val="18"/>
                <w:szCs w:val="18"/>
              </w:rPr>
            </w:pPr>
            <w:r w:rsidRPr="001570EA">
              <w:rPr>
                <w:rFonts w:cs="Arial"/>
                <w:color w:val="000000"/>
                <w:sz w:val="18"/>
                <w:szCs w:val="18"/>
              </w:rPr>
              <w:t>100%</w:t>
            </w:r>
          </w:p>
        </w:tc>
        <w:tc>
          <w:tcPr>
            <w:tcW w:w="1558" w:type="dxa"/>
            <w:tcBorders>
              <w:top w:val="single" w:sz="4" w:space="0" w:color="auto"/>
              <w:left w:val="nil"/>
              <w:bottom w:val="single" w:sz="4" w:space="0" w:color="auto"/>
              <w:right w:val="single" w:sz="4" w:space="0" w:color="auto"/>
            </w:tcBorders>
            <w:vAlign w:val="center"/>
          </w:tcPr>
          <w:p w14:paraId="7CB1CA41" w14:textId="77777777" w:rsidR="00C71CAA" w:rsidRPr="001570EA" w:rsidDel="003D3FA9" w:rsidRDefault="00C71CAA">
            <w:pPr>
              <w:jc w:val="center"/>
              <w:rPr>
                <w:sz w:val="18"/>
                <w:szCs w:val="18"/>
              </w:rPr>
            </w:pPr>
            <w:r w:rsidRPr="001570EA">
              <w:rPr>
                <w:rFonts w:cs="Arial"/>
                <w:color w:val="000000"/>
                <w:sz w:val="18"/>
                <w:szCs w:val="18"/>
              </w:rPr>
              <w:t>HPWH</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915C6" w14:textId="77777777" w:rsidR="00C71CAA" w:rsidRPr="001570EA" w:rsidRDefault="00C71CAA">
            <w:pPr>
              <w:jc w:val="center"/>
              <w:rPr>
                <w:rFonts w:cs="Arial"/>
                <w:color w:val="000000"/>
                <w:sz w:val="18"/>
                <w:szCs w:val="18"/>
              </w:rPr>
            </w:pPr>
            <w:r w:rsidRPr="001570EA">
              <w:rPr>
                <w:rFonts w:cs="Arial"/>
                <w:color w:val="000000"/>
                <w:sz w:val="18"/>
                <w:szCs w:val="18"/>
              </w:rPr>
              <w:t>18.6</w:t>
            </w:r>
          </w:p>
        </w:tc>
        <w:tc>
          <w:tcPr>
            <w:tcW w:w="1558" w:type="dxa"/>
            <w:tcBorders>
              <w:top w:val="single" w:sz="4" w:space="0" w:color="auto"/>
              <w:left w:val="nil"/>
              <w:bottom w:val="single" w:sz="4" w:space="0" w:color="auto"/>
              <w:right w:val="single" w:sz="4" w:space="0" w:color="auto"/>
            </w:tcBorders>
            <w:shd w:val="clear" w:color="auto" w:fill="auto"/>
            <w:noWrap/>
            <w:vAlign w:val="center"/>
          </w:tcPr>
          <w:p w14:paraId="30B53801" w14:textId="77777777" w:rsidR="00C71CAA" w:rsidRPr="001570EA" w:rsidRDefault="00C71CAA">
            <w:pPr>
              <w:jc w:val="center"/>
              <w:rPr>
                <w:rFonts w:cs="Arial"/>
                <w:color w:val="000000"/>
                <w:sz w:val="18"/>
                <w:szCs w:val="18"/>
              </w:rPr>
            </w:pPr>
            <w:r w:rsidRPr="001570EA">
              <w:rPr>
                <w:rFonts w:cs="Arial"/>
                <w:color w:val="000000"/>
                <w:sz w:val="18"/>
                <w:szCs w:val="18"/>
              </w:rPr>
              <w:t>0.0020</w:t>
            </w:r>
          </w:p>
        </w:tc>
        <w:tc>
          <w:tcPr>
            <w:tcW w:w="1556" w:type="dxa"/>
            <w:tcBorders>
              <w:top w:val="single" w:sz="4" w:space="0" w:color="auto"/>
              <w:left w:val="nil"/>
              <w:bottom w:val="single" w:sz="4" w:space="0" w:color="auto"/>
              <w:right w:val="single" w:sz="4" w:space="0" w:color="auto"/>
            </w:tcBorders>
            <w:vAlign w:val="center"/>
          </w:tcPr>
          <w:p w14:paraId="3332477F" w14:textId="77777777" w:rsidR="00C71CAA" w:rsidRPr="001570EA" w:rsidRDefault="00C71CAA">
            <w:pPr>
              <w:jc w:val="center"/>
              <w:rPr>
                <w:rFonts w:cs="Arial"/>
                <w:color w:val="000000"/>
                <w:sz w:val="18"/>
                <w:szCs w:val="18"/>
              </w:rPr>
            </w:pPr>
            <w:r w:rsidRPr="001570EA">
              <w:rPr>
                <w:rFonts w:cs="Arial"/>
                <w:color w:val="000000"/>
                <w:sz w:val="18"/>
                <w:szCs w:val="18"/>
              </w:rPr>
              <w:t>0.0033</w:t>
            </w:r>
          </w:p>
        </w:tc>
      </w:tr>
      <w:tr w:rsidR="00C71CAA" w:rsidRPr="001570EA" w14:paraId="623517C8" w14:textId="77777777">
        <w:trPr>
          <w:gridAfter w:val="1"/>
          <w:wAfter w:w="10" w:type="dxa"/>
          <w:trHeight w:val="331"/>
        </w:trPr>
        <w:tc>
          <w:tcPr>
            <w:tcW w:w="1556" w:type="dxa"/>
            <w:vMerge/>
            <w:tcBorders>
              <w:top w:val="nil"/>
              <w:left w:val="single" w:sz="4" w:space="0" w:color="auto"/>
              <w:bottom w:val="single" w:sz="4" w:space="0" w:color="auto"/>
              <w:right w:val="single" w:sz="4" w:space="0" w:color="auto"/>
            </w:tcBorders>
            <w:vAlign w:val="center"/>
          </w:tcPr>
          <w:p w14:paraId="76EFF415" w14:textId="77777777" w:rsidR="00C71CAA" w:rsidRPr="001570EA" w:rsidRDefault="00C71CAA">
            <w:pPr>
              <w:rPr>
                <w:rFonts w:cs="Arial"/>
                <w:color w:val="000000"/>
                <w:sz w:val="18"/>
                <w:szCs w:val="18"/>
              </w:rPr>
            </w:pPr>
          </w:p>
        </w:tc>
        <w:tc>
          <w:tcPr>
            <w:tcW w:w="1557" w:type="dxa"/>
            <w:tcBorders>
              <w:top w:val="single" w:sz="4" w:space="0" w:color="auto"/>
              <w:left w:val="nil"/>
              <w:bottom w:val="single" w:sz="4" w:space="0" w:color="auto"/>
              <w:right w:val="single" w:sz="4" w:space="0" w:color="auto"/>
            </w:tcBorders>
            <w:shd w:val="clear" w:color="auto" w:fill="auto"/>
            <w:noWrap/>
            <w:vAlign w:val="center"/>
          </w:tcPr>
          <w:p w14:paraId="6E73B765" w14:textId="77777777" w:rsidR="00C71CAA" w:rsidRPr="001570EA" w:rsidRDefault="00C71CAA">
            <w:pPr>
              <w:jc w:val="center"/>
              <w:rPr>
                <w:rFonts w:cs="Arial"/>
                <w:color w:val="000000"/>
                <w:sz w:val="18"/>
                <w:szCs w:val="18"/>
              </w:rPr>
            </w:pPr>
            <w:r w:rsidRPr="001570EA">
              <w:rPr>
                <w:rFonts w:cs="Arial"/>
                <w:color w:val="000000"/>
                <w:sz w:val="18"/>
                <w:szCs w:val="18"/>
              </w:rPr>
              <w:t>100%</w:t>
            </w:r>
          </w:p>
        </w:tc>
        <w:tc>
          <w:tcPr>
            <w:tcW w:w="1558" w:type="dxa"/>
            <w:tcBorders>
              <w:top w:val="single" w:sz="4" w:space="0" w:color="auto"/>
              <w:left w:val="nil"/>
              <w:bottom w:val="single" w:sz="4" w:space="0" w:color="auto"/>
              <w:right w:val="single" w:sz="4" w:space="0" w:color="auto"/>
            </w:tcBorders>
            <w:vAlign w:val="center"/>
          </w:tcPr>
          <w:p w14:paraId="684FA1F0" w14:textId="77777777" w:rsidR="00C71CAA" w:rsidRPr="001570EA" w:rsidRDefault="00C71CAA">
            <w:pPr>
              <w:jc w:val="center"/>
              <w:rPr>
                <w:rFonts w:cs="Arial"/>
                <w:color w:val="000000"/>
                <w:sz w:val="18"/>
                <w:szCs w:val="18"/>
              </w:rPr>
            </w:pPr>
            <w:r w:rsidRPr="001570EA">
              <w:rPr>
                <w:rFonts w:cs="Arial"/>
                <w:color w:val="000000"/>
                <w:sz w:val="18"/>
                <w:szCs w:val="18"/>
              </w:rPr>
              <w:t>Unknown</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464F4" w14:textId="77777777" w:rsidR="00C71CAA" w:rsidRPr="001570EA" w:rsidRDefault="00C71CAA">
            <w:pPr>
              <w:jc w:val="center"/>
              <w:rPr>
                <w:rFonts w:cs="Arial"/>
                <w:color w:val="000000"/>
                <w:sz w:val="18"/>
                <w:szCs w:val="18"/>
              </w:rPr>
            </w:pPr>
            <w:r w:rsidRPr="001570EA">
              <w:rPr>
                <w:rFonts w:cs="Arial"/>
                <w:color w:val="000000"/>
                <w:sz w:val="18"/>
                <w:szCs w:val="18"/>
              </w:rPr>
              <w:t>59.9</w:t>
            </w:r>
          </w:p>
        </w:tc>
        <w:tc>
          <w:tcPr>
            <w:tcW w:w="1558" w:type="dxa"/>
            <w:tcBorders>
              <w:top w:val="single" w:sz="4" w:space="0" w:color="auto"/>
              <w:left w:val="nil"/>
              <w:bottom w:val="single" w:sz="4" w:space="0" w:color="auto"/>
              <w:right w:val="single" w:sz="4" w:space="0" w:color="auto"/>
            </w:tcBorders>
            <w:shd w:val="clear" w:color="auto" w:fill="auto"/>
            <w:noWrap/>
            <w:vAlign w:val="center"/>
          </w:tcPr>
          <w:p w14:paraId="0DA1CCA5" w14:textId="77777777" w:rsidR="00C71CAA" w:rsidRPr="001570EA" w:rsidRDefault="00C71CAA">
            <w:pPr>
              <w:jc w:val="center"/>
              <w:rPr>
                <w:rFonts w:cs="Arial"/>
                <w:color w:val="000000"/>
                <w:sz w:val="18"/>
                <w:szCs w:val="18"/>
              </w:rPr>
            </w:pPr>
            <w:r w:rsidRPr="001570EA">
              <w:rPr>
                <w:rFonts w:cs="Arial"/>
                <w:color w:val="000000"/>
                <w:sz w:val="18"/>
                <w:szCs w:val="18"/>
              </w:rPr>
              <w:t>0.0063</w:t>
            </w:r>
          </w:p>
        </w:tc>
        <w:tc>
          <w:tcPr>
            <w:tcW w:w="1556" w:type="dxa"/>
            <w:tcBorders>
              <w:top w:val="single" w:sz="4" w:space="0" w:color="auto"/>
              <w:left w:val="nil"/>
              <w:bottom w:val="single" w:sz="4" w:space="0" w:color="auto"/>
              <w:right w:val="single" w:sz="4" w:space="0" w:color="auto"/>
            </w:tcBorders>
            <w:vAlign w:val="center"/>
          </w:tcPr>
          <w:p w14:paraId="13348DEA" w14:textId="77777777" w:rsidR="00C71CAA" w:rsidRPr="001570EA" w:rsidRDefault="00C71CAA">
            <w:pPr>
              <w:jc w:val="center"/>
              <w:rPr>
                <w:rFonts w:cs="Arial"/>
                <w:color w:val="000000"/>
                <w:sz w:val="18"/>
                <w:szCs w:val="18"/>
              </w:rPr>
            </w:pPr>
            <w:r w:rsidRPr="001570EA">
              <w:rPr>
                <w:rFonts w:cs="Arial"/>
                <w:color w:val="000000"/>
                <w:sz w:val="18"/>
                <w:szCs w:val="18"/>
              </w:rPr>
              <w:t>0.0106</w:t>
            </w:r>
          </w:p>
        </w:tc>
      </w:tr>
      <w:tr w:rsidR="00C71CAA" w:rsidRPr="001570EA" w14:paraId="47005496" w14:textId="77777777">
        <w:trPr>
          <w:gridAfter w:val="1"/>
          <w:wAfter w:w="10" w:type="dxa"/>
          <w:trHeight w:val="331"/>
        </w:trPr>
        <w:tc>
          <w:tcPr>
            <w:tcW w:w="1556" w:type="dxa"/>
            <w:vMerge/>
            <w:tcBorders>
              <w:top w:val="nil"/>
              <w:left w:val="single" w:sz="4" w:space="0" w:color="auto"/>
              <w:bottom w:val="single" w:sz="4" w:space="0" w:color="auto"/>
              <w:right w:val="single" w:sz="4" w:space="0" w:color="auto"/>
            </w:tcBorders>
            <w:vAlign w:val="center"/>
            <w:hideMark/>
          </w:tcPr>
          <w:p w14:paraId="29DE4254" w14:textId="77777777" w:rsidR="00C71CAA" w:rsidRPr="001570EA" w:rsidRDefault="00C71CAA">
            <w:pPr>
              <w:rPr>
                <w:rFonts w:cs="Arial"/>
                <w:color w:val="000000"/>
                <w:sz w:val="18"/>
                <w:szCs w:val="18"/>
              </w:rPr>
            </w:pPr>
          </w:p>
        </w:tc>
        <w:tc>
          <w:tcPr>
            <w:tcW w:w="1557" w:type="dxa"/>
            <w:tcBorders>
              <w:top w:val="single" w:sz="4" w:space="0" w:color="auto"/>
              <w:left w:val="nil"/>
              <w:bottom w:val="single" w:sz="4" w:space="0" w:color="auto"/>
              <w:right w:val="single" w:sz="4" w:space="0" w:color="auto"/>
            </w:tcBorders>
            <w:shd w:val="clear" w:color="auto" w:fill="auto"/>
            <w:noWrap/>
            <w:vAlign w:val="center"/>
          </w:tcPr>
          <w:p w14:paraId="4EA34EDB" w14:textId="77777777" w:rsidR="00C71CAA" w:rsidRPr="001570EA" w:rsidRDefault="00C71CAA">
            <w:pPr>
              <w:jc w:val="center"/>
              <w:rPr>
                <w:rFonts w:cs="Arial"/>
                <w:color w:val="000000"/>
                <w:sz w:val="18"/>
                <w:szCs w:val="18"/>
              </w:rPr>
            </w:pPr>
            <w:r w:rsidRPr="001570EA">
              <w:rPr>
                <w:rFonts w:cs="Arial"/>
                <w:color w:val="000000"/>
                <w:sz w:val="18"/>
                <w:szCs w:val="18"/>
              </w:rPr>
              <w:t>47%</w:t>
            </w:r>
          </w:p>
        </w:tc>
        <w:tc>
          <w:tcPr>
            <w:tcW w:w="1558" w:type="dxa"/>
            <w:tcBorders>
              <w:top w:val="single" w:sz="4" w:space="0" w:color="auto"/>
              <w:left w:val="nil"/>
              <w:bottom w:val="single" w:sz="4" w:space="0" w:color="auto"/>
              <w:right w:val="single" w:sz="4" w:space="0" w:color="auto"/>
            </w:tcBorders>
            <w:vAlign w:val="center"/>
          </w:tcPr>
          <w:p w14:paraId="6A150631" w14:textId="77777777" w:rsidR="00C71CAA" w:rsidRPr="001570EA" w:rsidDel="003D3FA9" w:rsidRDefault="00C71CAA">
            <w:pPr>
              <w:jc w:val="center"/>
              <w:rPr>
                <w:sz w:val="18"/>
                <w:szCs w:val="18"/>
              </w:rPr>
            </w:pPr>
            <w:r w:rsidRPr="001570EA">
              <w:rPr>
                <w:rFonts w:cs="Arial"/>
                <w:color w:val="000000"/>
                <w:sz w:val="18"/>
                <w:szCs w:val="18"/>
              </w:rPr>
              <w:t>Unknown</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B6F73" w14:textId="77777777" w:rsidR="00C71CAA" w:rsidRPr="001570EA" w:rsidRDefault="00C71CAA">
            <w:pPr>
              <w:jc w:val="center"/>
              <w:rPr>
                <w:rFonts w:cs="Arial"/>
                <w:color w:val="000000"/>
                <w:sz w:val="18"/>
                <w:szCs w:val="18"/>
              </w:rPr>
            </w:pPr>
            <w:r w:rsidRPr="001570EA">
              <w:rPr>
                <w:rFonts w:cs="Arial"/>
                <w:color w:val="000000"/>
                <w:sz w:val="18"/>
                <w:szCs w:val="18"/>
              </w:rPr>
              <w:t>28.2</w:t>
            </w:r>
          </w:p>
        </w:tc>
        <w:tc>
          <w:tcPr>
            <w:tcW w:w="1558" w:type="dxa"/>
            <w:tcBorders>
              <w:top w:val="single" w:sz="4" w:space="0" w:color="auto"/>
              <w:left w:val="nil"/>
              <w:bottom w:val="single" w:sz="4" w:space="0" w:color="auto"/>
              <w:right w:val="single" w:sz="4" w:space="0" w:color="auto"/>
            </w:tcBorders>
            <w:shd w:val="clear" w:color="auto" w:fill="auto"/>
            <w:noWrap/>
            <w:vAlign w:val="center"/>
          </w:tcPr>
          <w:p w14:paraId="3D0F6CF6" w14:textId="77777777" w:rsidR="00C71CAA" w:rsidRPr="001570EA" w:rsidRDefault="00C71CAA">
            <w:pPr>
              <w:jc w:val="center"/>
              <w:rPr>
                <w:rFonts w:cs="Arial"/>
                <w:color w:val="000000"/>
                <w:sz w:val="18"/>
                <w:szCs w:val="18"/>
              </w:rPr>
            </w:pPr>
            <w:r w:rsidRPr="001570EA">
              <w:rPr>
                <w:rFonts w:cs="Arial"/>
                <w:color w:val="000000"/>
                <w:sz w:val="18"/>
                <w:szCs w:val="18"/>
              </w:rPr>
              <w:t>0.0030</w:t>
            </w:r>
          </w:p>
        </w:tc>
        <w:tc>
          <w:tcPr>
            <w:tcW w:w="1556" w:type="dxa"/>
            <w:tcBorders>
              <w:top w:val="single" w:sz="4" w:space="0" w:color="auto"/>
              <w:left w:val="nil"/>
              <w:bottom w:val="single" w:sz="4" w:space="0" w:color="auto"/>
              <w:right w:val="single" w:sz="4" w:space="0" w:color="auto"/>
            </w:tcBorders>
            <w:vAlign w:val="center"/>
          </w:tcPr>
          <w:p w14:paraId="13D3FF93" w14:textId="77777777" w:rsidR="00C71CAA" w:rsidRPr="001570EA" w:rsidRDefault="00C71CAA">
            <w:pPr>
              <w:jc w:val="center"/>
              <w:rPr>
                <w:rFonts w:cs="Arial"/>
                <w:color w:val="000000"/>
                <w:sz w:val="18"/>
                <w:szCs w:val="18"/>
              </w:rPr>
            </w:pPr>
            <w:r w:rsidRPr="001570EA">
              <w:rPr>
                <w:rFonts w:cs="Arial"/>
                <w:color w:val="000000"/>
                <w:sz w:val="18"/>
                <w:szCs w:val="18"/>
              </w:rPr>
              <w:t>0.0050</w:t>
            </w:r>
          </w:p>
        </w:tc>
      </w:tr>
      <w:tr w:rsidR="00C71CAA" w:rsidRPr="001570EA" w14:paraId="6E7964C4" w14:textId="77777777">
        <w:trPr>
          <w:gridAfter w:val="1"/>
          <w:wAfter w:w="10" w:type="dxa"/>
          <w:trHeight w:val="331"/>
        </w:trPr>
        <w:tc>
          <w:tcPr>
            <w:tcW w:w="15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B9E272" w14:textId="77777777" w:rsidR="00C71CAA" w:rsidRPr="001570EA" w:rsidRDefault="00C71CAA">
            <w:pPr>
              <w:jc w:val="center"/>
              <w:rPr>
                <w:rFonts w:cs="Arial"/>
                <w:color w:val="000000"/>
                <w:sz w:val="18"/>
                <w:szCs w:val="18"/>
              </w:rPr>
            </w:pPr>
            <w:r w:rsidRPr="001570EA">
              <w:rPr>
                <w:rFonts w:cs="Arial"/>
                <w:color w:val="000000"/>
                <w:sz w:val="18"/>
                <w:szCs w:val="18"/>
              </w:rPr>
              <w:t>Multifamily</w:t>
            </w:r>
          </w:p>
        </w:tc>
        <w:tc>
          <w:tcPr>
            <w:tcW w:w="1557" w:type="dxa"/>
            <w:tcBorders>
              <w:top w:val="single" w:sz="4" w:space="0" w:color="auto"/>
              <w:left w:val="nil"/>
              <w:bottom w:val="single" w:sz="4" w:space="0" w:color="auto"/>
              <w:right w:val="single" w:sz="4" w:space="0" w:color="auto"/>
            </w:tcBorders>
            <w:shd w:val="clear" w:color="auto" w:fill="auto"/>
            <w:noWrap/>
            <w:vAlign w:val="center"/>
          </w:tcPr>
          <w:p w14:paraId="60311517" w14:textId="77777777" w:rsidR="00C71CAA" w:rsidRPr="001570EA" w:rsidRDefault="00C71CAA">
            <w:pPr>
              <w:jc w:val="center"/>
              <w:rPr>
                <w:rFonts w:cs="Arial"/>
                <w:color w:val="000000"/>
                <w:sz w:val="18"/>
                <w:szCs w:val="18"/>
              </w:rPr>
            </w:pPr>
            <w:r w:rsidRPr="001570EA">
              <w:rPr>
                <w:rFonts w:cs="Arial"/>
                <w:color w:val="000000"/>
                <w:sz w:val="18"/>
                <w:szCs w:val="18"/>
              </w:rPr>
              <w:t>100%</w:t>
            </w:r>
          </w:p>
        </w:tc>
        <w:tc>
          <w:tcPr>
            <w:tcW w:w="1558" w:type="dxa"/>
            <w:tcBorders>
              <w:top w:val="single" w:sz="4" w:space="0" w:color="auto"/>
              <w:left w:val="nil"/>
              <w:bottom w:val="single" w:sz="4" w:space="0" w:color="auto"/>
              <w:right w:val="single" w:sz="4" w:space="0" w:color="auto"/>
            </w:tcBorders>
            <w:vAlign w:val="center"/>
          </w:tcPr>
          <w:p w14:paraId="5602FFED" w14:textId="77777777" w:rsidR="00C71CAA" w:rsidRPr="001570EA" w:rsidDel="003D3FA9" w:rsidRDefault="00C71CAA">
            <w:pPr>
              <w:jc w:val="center"/>
              <w:rPr>
                <w:sz w:val="18"/>
                <w:szCs w:val="18"/>
              </w:rPr>
            </w:pPr>
            <w:r w:rsidRPr="001570EA">
              <w:rPr>
                <w:rFonts w:cs="Arial"/>
                <w:color w:val="000000"/>
                <w:sz w:val="18"/>
                <w:szCs w:val="18"/>
              </w:rPr>
              <w:t>Electric Resistance</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10881" w14:textId="77777777" w:rsidR="00C71CAA" w:rsidRPr="001570EA" w:rsidRDefault="00C71CAA">
            <w:pPr>
              <w:jc w:val="center"/>
              <w:rPr>
                <w:rFonts w:cs="Arial"/>
                <w:color w:val="000000"/>
                <w:sz w:val="18"/>
                <w:szCs w:val="18"/>
              </w:rPr>
            </w:pPr>
            <w:r w:rsidRPr="001570EA">
              <w:rPr>
                <w:rFonts w:cs="Arial"/>
                <w:color w:val="000000"/>
                <w:sz w:val="18"/>
                <w:szCs w:val="18"/>
              </w:rPr>
              <w:t>77.2</w:t>
            </w:r>
          </w:p>
        </w:tc>
        <w:tc>
          <w:tcPr>
            <w:tcW w:w="1558" w:type="dxa"/>
            <w:tcBorders>
              <w:top w:val="single" w:sz="4" w:space="0" w:color="auto"/>
              <w:left w:val="nil"/>
              <w:bottom w:val="single" w:sz="4" w:space="0" w:color="auto"/>
              <w:right w:val="single" w:sz="4" w:space="0" w:color="auto"/>
            </w:tcBorders>
            <w:shd w:val="clear" w:color="auto" w:fill="auto"/>
            <w:noWrap/>
            <w:vAlign w:val="center"/>
          </w:tcPr>
          <w:p w14:paraId="2A501BCD" w14:textId="77777777" w:rsidR="00C71CAA" w:rsidRPr="001570EA" w:rsidRDefault="00C71CAA">
            <w:pPr>
              <w:jc w:val="center"/>
              <w:rPr>
                <w:rFonts w:cs="Arial"/>
                <w:color w:val="000000"/>
                <w:sz w:val="18"/>
                <w:szCs w:val="18"/>
              </w:rPr>
            </w:pPr>
            <w:r w:rsidRPr="001570EA">
              <w:rPr>
                <w:rFonts w:cs="Arial"/>
                <w:color w:val="000000"/>
                <w:sz w:val="18"/>
                <w:szCs w:val="18"/>
              </w:rPr>
              <w:t>0.0078</w:t>
            </w:r>
          </w:p>
        </w:tc>
        <w:tc>
          <w:tcPr>
            <w:tcW w:w="1556" w:type="dxa"/>
            <w:tcBorders>
              <w:top w:val="single" w:sz="4" w:space="0" w:color="auto"/>
              <w:left w:val="nil"/>
              <w:bottom w:val="single" w:sz="4" w:space="0" w:color="auto"/>
              <w:right w:val="single" w:sz="4" w:space="0" w:color="auto"/>
            </w:tcBorders>
            <w:vAlign w:val="center"/>
          </w:tcPr>
          <w:p w14:paraId="5E474044" w14:textId="77777777" w:rsidR="00C71CAA" w:rsidRPr="001570EA" w:rsidRDefault="00C71CAA">
            <w:pPr>
              <w:jc w:val="center"/>
              <w:rPr>
                <w:rFonts w:cs="Arial"/>
                <w:color w:val="000000"/>
                <w:sz w:val="18"/>
                <w:szCs w:val="18"/>
              </w:rPr>
            </w:pPr>
            <w:r w:rsidRPr="001570EA">
              <w:rPr>
                <w:rFonts w:cs="Arial"/>
                <w:color w:val="000000"/>
                <w:sz w:val="18"/>
                <w:szCs w:val="18"/>
              </w:rPr>
              <w:t>0.0134</w:t>
            </w:r>
          </w:p>
        </w:tc>
      </w:tr>
      <w:tr w:rsidR="00C71CAA" w:rsidRPr="001570EA" w14:paraId="7FD29AE4" w14:textId="77777777">
        <w:trPr>
          <w:gridAfter w:val="1"/>
          <w:wAfter w:w="10" w:type="dxa"/>
          <w:trHeight w:val="331"/>
        </w:trPr>
        <w:tc>
          <w:tcPr>
            <w:tcW w:w="1556" w:type="dxa"/>
            <w:vMerge/>
            <w:tcBorders>
              <w:top w:val="nil"/>
              <w:left w:val="single" w:sz="4" w:space="0" w:color="auto"/>
              <w:bottom w:val="single" w:sz="4" w:space="0" w:color="auto"/>
              <w:right w:val="single" w:sz="4" w:space="0" w:color="auto"/>
            </w:tcBorders>
            <w:vAlign w:val="center"/>
            <w:hideMark/>
          </w:tcPr>
          <w:p w14:paraId="421B9AE7" w14:textId="77777777" w:rsidR="00C71CAA" w:rsidRPr="001570EA" w:rsidRDefault="00C71CAA">
            <w:pPr>
              <w:rPr>
                <w:rFonts w:cs="Arial"/>
                <w:color w:val="000000"/>
                <w:sz w:val="18"/>
                <w:szCs w:val="18"/>
              </w:rPr>
            </w:pPr>
          </w:p>
        </w:tc>
        <w:tc>
          <w:tcPr>
            <w:tcW w:w="1557" w:type="dxa"/>
            <w:tcBorders>
              <w:top w:val="single" w:sz="4" w:space="0" w:color="auto"/>
              <w:left w:val="nil"/>
              <w:bottom w:val="single" w:sz="4" w:space="0" w:color="auto"/>
              <w:right w:val="single" w:sz="4" w:space="0" w:color="auto"/>
            </w:tcBorders>
            <w:shd w:val="clear" w:color="auto" w:fill="auto"/>
            <w:noWrap/>
            <w:vAlign w:val="center"/>
          </w:tcPr>
          <w:p w14:paraId="381278BE" w14:textId="77777777" w:rsidR="00C71CAA" w:rsidRPr="001570EA" w:rsidRDefault="00C71CAA">
            <w:pPr>
              <w:jc w:val="center"/>
              <w:rPr>
                <w:rFonts w:cs="Arial"/>
                <w:color w:val="000000"/>
                <w:sz w:val="18"/>
                <w:szCs w:val="18"/>
              </w:rPr>
            </w:pPr>
            <w:r w:rsidRPr="001570EA">
              <w:rPr>
                <w:rFonts w:cs="Arial"/>
                <w:color w:val="000000"/>
                <w:sz w:val="18"/>
                <w:szCs w:val="18"/>
              </w:rPr>
              <w:t>100%</w:t>
            </w:r>
          </w:p>
        </w:tc>
        <w:tc>
          <w:tcPr>
            <w:tcW w:w="1558" w:type="dxa"/>
            <w:tcBorders>
              <w:top w:val="single" w:sz="4" w:space="0" w:color="auto"/>
              <w:left w:val="nil"/>
              <w:bottom w:val="single" w:sz="4" w:space="0" w:color="auto"/>
              <w:right w:val="single" w:sz="4" w:space="0" w:color="auto"/>
            </w:tcBorders>
            <w:vAlign w:val="center"/>
          </w:tcPr>
          <w:p w14:paraId="37AEEF49" w14:textId="77777777" w:rsidR="00C71CAA" w:rsidRPr="001570EA" w:rsidDel="003D3FA9" w:rsidRDefault="00C71CAA">
            <w:pPr>
              <w:jc w:val="center"/>
              <w:rPr>
                <w:sz w:val="18"/>
                <w:szCs w:val="18"/>
              </w:rPr>
            </w:pPr>
            <w:r w:rsidRPr="001570EA">
              <w:rPr>
                <w:rFonts w:cs="Arial"/>
                <w:color w:val="000000"/>
                <w:sz w:val="18"/>
                <w:szCs w:val="18"/>
              </w:rPr>
              <w:t>HPWH</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E8A54" w14:textId="77777777" w:rsidR="00C71CAA" w:rsidRPr="001570EA" w:rsidRDefault="00C71CAA">
            <w:pPr>
              <w:jc w:val="center"/>
              <w:rPr>
                <w:rFonts w:cs="Arial"/>
                <w:color w:val="000000"/>
                <w:sz w:val="18"/>
                <w:szCs w:val="18"/>
              </w:rPr>
            </w:pPr>
            <w:r w:rsidRPr="001570EA">
              <w:rPr>
                <w:rFonts w:cs="Arial"/>
                <w:color w:val="000000"/>
                <w:sz w:val="18"/>
                <w:szCs w:val="18"/>
              </w:rPr>
              <w:t>19.3</w:t>
            </w:r>
          </w:p>
        </w:tc>
        <w:tc>
          <w:tcPr>
            <w:tcW w:w="1558" w:type="dxa"/>
            <w:tcBorders>
              <w:top w:val="single" w:sz="4" w:space="0" w:color="auto"/>
              <w:left w:val="nil"/>
              <w:bottom w:val="single" w:sz="4" w:space="0" w:color="auto"/>
              <w:right w:val="single" w:sz="4" w:space="0" w:color="auto"/>
            </w:tcBorders>
            <w:shd w:val="clear" w:color="auto" w:fill="auto"/>
            <w:noWrap/>
            <w:vAlign w:val="center"/>
          </w:tcPr>
          <w:p w14:paraId="27AD84F2" w14:textId="77777777" w:rsidR="00C71CAA" w:rsidRPr="001570EA" w:rsidRDefault="00C71CAA">
            <w:pPr>
              <w:jc w:val="center"/>
              <w:rPr>
                <w:rFonts w:cs="Arial"/>
                <w:color w:val="000000"/>
                <w:sz w:val="18"/>
                <w:szCs w:val="18"/>
              </w:rPr>
            </w:pPr>
            <w:r w:rsidRPr="001570EA">
              <w:rPr>
                <w:rFonts w:cs="Arial"/>
                <w:color w:val="000000"/>
                <w:sz w:val="18"/>
                <w:szCs w:val="18"/>
              </w:rPr>
              <w:t>0.0019</w:t>
            </w:r>
          </w:p>
        </w:tc>
        <w:tc>
          <w:tcPr>
            <w:tcW w:w="1556" w:type="dxa"/>
            <w:tcBorders>
              <w:top w:val="single" w:sz="4" w:space="0" w:color="auto"/>
              <w:left w:val="nil"/>
              <w:bottom w:val="single" w:sz="4" w:space="0" w:color="auto"/>
              <w:right w:val="single" w:sz="4" w:space="0" w:color="auto"/>
            </w:tcBorders>
            <w:vAlign w:val="center"/>
          </w:tcPr>
          <w:p w14:paraId="46D1F5E1" w14:textId="77777777" w:rsidR="00C71CAA" w:rsidRPr="001570EA" w:rsidRDefault="00C71CAA">
            <w:pPr>
              <w:jc w:val="center"/>
              <w:rPr>
                <w:rFonts w:cs="Arial"/>
                <w:color w:val="000000"/>
                <w:sz w:val="18"/>
                <w:szCs w:val="18"/>
              </w:rPr>
            </w:pPr>
            <w:r w:rsidRPr="001570EA">
              <w:rPr>
                <w:rFonts w:cs="Arial"/>
                <w:color w:val="000000"/>
                <w:sz w:val="18"/>
                <w:szCs w:val="18"/>
              </w:rPr>
              <w:t>0.0033</w:t>
            </w:r>
          </w:p>
        </w:tc>
      </w:tr>
      <w:tr w:rsidR="00C71CAA" w:rsidRPr="001570EA" w14:paraId="23A9DCBC" w14:textId="77777777">
        <w:trPr>
          <w:gridAfter w:val="1"/>
          <w:wAfter w:w="10" w:type="dxa"/>
          <w:trHeight w:val="331"/>
        </w:trPr>
        <w:tc>
          <w:tcPr>
            <w:tcW w:w="1556" w:type="dxa"/>
            <w:vMerge/>
            <w:tcBorders>
              <w:top w:val="nil"/>
              <w:left w:val="single" w:sz="4" w:space="0" w:color="auto"/>
              <w:bottom w:val="single" w:sz="4" w:space="0" w:color="auto"/>
              <w:right w:val="single" w:sz="4" w:space="0" w:color="auto"/>
            </w:tcBorders>
            <w:vAlign w:val="center"/>
          </w:tcPr>
          <w:p w14:paraId="4D8D1B15" w14:textId="77777777" w:rsidR="00C71CAA" w:rsidRPr="001570EA" w:rsidRDefault="00C71CAA">
            <w:pPr>
              <w:rPr>
                <w:rFonts w:cs="Arial"/>
                <w:color w:val="000000"/>
                <w:sz w:val="18"/>
                <w:szCs w:val="18"/>
              </w:rPr>
            </w:pPr>
          </w:p>
        </w:tc>
        <w:tc>
          <w:tcPr>
            <w:tcW w:w="1557" w:type="dxa"/>
            <w:tcBorders>
              <w:top w:val="single" w:sz="4" w:space="0" w:color="auto"/>
              <w:left w:val="nil"/>
              <w:bottom w:val="single" w:sz="4" w:space="0" w:color="auto"/>
              <w:right w:val="single" w:sz="4" w:space="0" w:color="auto"/>
            </w:tcBorders>
            <w:shd w:val="clear" w:color="auto" w:fill="auto"/>
            <w:noWrap/>
            <w:vAlign w:val="center"/>
          </w:tcPr>
          <w:p w14:paraId="3954D104" w14:textId="77777777" w:rsidR="00C71CAA" w:rsidRPr="001570EA" w:rsidRDefault="00C71CAA">
            <w:pPr>
              <w:jc w:val="center"/>
              <w:rPr>
                <w:rFonts w:cs="Arial"/>
                <w:color w:val="000000"/>
                <w:sz w:val="18"/>
                <w:szCs w:val="18"/>
              </w:rPr>
            </w:pPr>
            <w:r w:rsidRPr="001570EA">
              <w:rPr>
                <w:rFonts w:cs="Arial"/>
                <w:color w:val="000000"/>
                <w:sz w:val="18"/>
                <w:szCs w:val="18"/>
              </w:rPr>
              <w:t>100%</w:t>
            </w:r>
          </w:p>
        </w:tc>
        <w:tc>
          <w:tcPr>
            <w:tcW w:w="1558" w:type="dxa"/>
            <w:tcBorders>
              <w:top w:val="single" w:sz="4" w:space="0" w:color="auto"/>
              <w:left w:val="nil"/>
              <w:bottom w:val="single" w:sz="4" w:space="0" w:color="auto"/>
              <w:right w:val="single" w:sz="4" w:space="0" w:color="auto"/>
            </w:tcBorders>
            <w:vAlign w:val="center"/>
          </w:tcPr>
          <w:p w14:paraId="05E35EDF" w14:textId="77777777" w:rsidR="00C71CAA" w:rsidRPr="001570EA" w:rsidRDefault="00C71CAA">
            <w:pPr>
              <w:jc w:val="center"/>
              <w:rPr>
                <w:rFonts w:cs="Arial"/>
                <w:color w:val="000000"/>
                <w:sz w:val="18"/>
                <w:szCs w:val="18"/>
              </w:rPr>
            </w:pPr>
            <w:r w:rsidRPr="001570EA">
              <w:rPr>
                <w:rFonts w:cs="Arial"/>
                <w:color w:val="000000"/>
                <w:sz w:val="18"/>
                <w:szCs w:val="18"/>
              </w:rPr>
              <w:t>Unknown</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B515F" w14:textId="77777777" w:rsidR="00C71CAA" w:rsidRPr="001570EA" w:rsidRDefault="00C71CAA">
            <w:pPr>
              <w:jc w:val="center"/>
              <w:rPr>
                <w:rFonts w:cs="Arial"/>
                <w:color w:val="000000"/>
                <w:sz w:val="18"/>
                <w:szCs w:val="18"/>
              </w:rPr>
            </w:pPr>
            <w:r w:rsidRPr="001570EA">
              <w:rPr>
                <w:rFonts w:cs="Arial"/>
                <w:color w:val="000000"/>
                <w:sz w:val="18"/>
                <w:szCs w:val="18"/>
              </w:rPr>
              <w:t>62.0</w:t>
            </w:r>
          </w:p>
        </w:tc>
        <w:tc>
          <w:tcPr>
            <w:tcW w:w="1558" w:type="dxa"/>
            <w:tcBorders>
              <w:top w:val="single" w:sz="4" w:space="0" w:color="auto"/>
              <w:left w:val="nil"/>
              <w:bottom w:val="single" w:sz="4" w:space="0" w:color="auto"/>
              <w:right w:val="single" w:sz="4" w:space="0" w:color="auto"/>
            </w:tcBorders>
            <w:shd w:val="clear" w:color="auto" w:fill="auto"/>
            <w:noWrap/>
            <w:vAlign w:val="center"/>
          </w:tcPr>
          <w:p w14:paraId="732DAAD6" w14:textId="77777777" w:rsidR="00C71CAA" w:rsidRPr="001570EA" w:rsidRDefault="00C71CAA">
            <w:pPr>
              <w:jc w:val="center"/>
              <w:rPr>
                <w:rFonts w:cs="Arial"/>
                <w:color w:val="000000"/>
                <w:sz w:val="18"/>
                <w:szCs w:val="18"/>
              </w:rPr>
            </w:pPr>
            <w:r w:rsidRPr="001570EA">
              <w:rPr>
                <w:rFonts w:cs="Arial"/>
                <w:color w:val="000000"/>
                <w:sz w:val="18"/>
                <w:szCs w:val="18"/>
              </w:rPr>
              <w:t>0.0062</w:t>
            </w:r>
          </w:p>
        </w:tc>
        <w:tc>
          <w:tcPr>
            <w:tcW w:w="1556" w:type="dxa"/>
            <w:tcBorders>
              <w:top w:val="single" w:sz="4" w:space="0" w:color="auto"/>
              <w:left w:val="nil"/>
              <w:bottom w:val="single" w:sz="4" w:space="0" w:color="auto"/>
              <w:right w:val="single" w:sz="4" w:space="0" w:color="auto"/>
            </w:tcBorders>
            <w:vAlign w:val="center"/>
          </w:tcPr>
          <w:p w14:paraId="39FFC15D" w14:textId="77777777" w:rsidR="00C71CAA" w:rsidRPr="001570EA" w:rsidRDefault="00C71CAA">
            <w:pPr>
              <w:jc w:val="center"/>
              <w:rPr>
                <w:rFonts w:cs="Arial"/>
                <w:color w:val="000000"/>
                <w:sz w:val="18"/>
                <w:szCs w:val="18"/>
              </w:rPr>
            </w:pPr>
            <w:r w:rsidRPr="001570EA">
              <w:rPr>
                <w:rFonts w:cs="Arial"/>
                <w:color w:val="000000"/>
                <w:sz w:val="18"/>
                <w:szCs w:val="18"/>
              </w:rPr>
              <w:t>0.0108</w:t>
            </w:r>
          </w:p>
        </w:tc>
      </w:tr>
      <w:tr w:rsidR="00C71CAA" w:rsidRPr="001570EA" w14:paraId="70F64EAE" w14:textId="77777777">
        <w:trPr>
          <w:gridAfter w:val="1"/>
          <w:wAfter w:w="10" w:type="dxa"/>
          <w:trHeight w:val="331"/>
        </w:trPr>
        <w:tc>
          <w:tcPr>
            <w:tcW w:w="1556" w:type="dxa"/>
            <w:vMerge/>
            <w:tcBorders>
              <w:top w:val="nil"/>
              <w:left w:val="single" w:sz="4" w:space="0" w:color="auto"/>
              <w:bottom w:val="single" w:sz="4" w:space="0" w:color="auto"/>
              <w:right w:val="single" w:sz="4" w:space="0" w:color="auto"/>
            </w:tcBorders>
            <w:vAlign w:val="center"/>
            <w:hideMark/>
          </w:tcPr>
          <w:p w14:paraId="4685EADE" w14:textId="77777777" w:rsidR="00C71CAA" w:rsidRPr="001570EA" w:rsidRDefault="00C71CAA">
            <w:pPr>
              <w:rPr>
                <w:rFonts w:cs="Arial"/>
                <w:color w:val="000000"/>
                <w:sz w:val="18"/>
                <w:szCs w:val="18"/>
              </w:rPr>
            </w:pPr>
          </w:p>
        </w:tc>
        <w:tc>
          <w:tcPr>
            <w:tcW w:w="1557" w:type="dxa"/>
            <w:tcBorders>
              <w:top w:val="single" w:sz="4" w:space="0" w:color="auto"/>
              <w:left w:val="nil"/>
              <w:bottom w:val="single" w:sz="4" w:space="0" w:color="auto"/>
              <w:right w:val="single" w:sz="4" w:space="0" w:color="auto"/>
            </w:tcBorders>
            <w:shd w:val="clear" w:color="auto" w:fill="auto"/>
            <w:noWrap/>
            <w:vAlign w:val="center"/>
          </w:tcPr>
          <w:p w14:paraId="1A9026EF" w14:textId="77777777" w:rsidR="00C71CAA" w:rsidRPr="001570EA" w:rsidRDefault="00C71CAA">
            <w:pPr>
              <w:jc w:val="center"/>
              <w:rPr>
                <w:rFonts w:cs="Arial"/>
                <w:color w:val="000000"/>
                <w:sz w:val="18"/>
                <w:szCs w:val="18"/>
              </w:rPr>
            </w:pPr>
            <w:r w:rsidRPr="001570EA">
              <w:rPr>
                <w:rFonts w:cs="Arial"/>
                <w:color w:val="000000"/>
                <w:sz w:val="18"/>
                <w:szCs w:val="18"/>
              </w:rPr>
              <w:t>47%</w:t>
            </w:r>
          </w:p>
        </w:tc>
        <w:tc>
          <w:tcPr>
            <w:tcW w:w="1558" w:type="dxa"/>
            <w:tcBorders>
              <w:top w:val="single" w:sz="4" w:space="0" w:color="auto"/>
              <w:left w:val="nil"/>
              <w:bottom w:val="single" w:sz="4" w:space="0" w:color="auto"/>
              <w:right w:val="single" w:sz="4" w:space="0" w:color="auto"/>
            </w:tcBorders>
            <w:vAlign w:val="center"/>
          </w:tcPr>
          <w:p w14:paraId="273261F6" w14:textId="77777777" w:rsidR="00C71CAA" w:rsidRPr="001570EA" w:rsidDel="003D3FA9" w:rsidRDefault="00C71CAA">
            <w:pPr>
              <w:jc w:val="center"/>
              <w:rPr>
                <w:sz w:val="18"/>
                <w:szCs w:val="18"/>
              </w:rPr>
            </w:pPr>
            <w:r w:rsidRPr="001570EA">
              <w:rPr>
                <w:rFonts w:cs="Arial"/>
                <w:color w:val="000000"/>
                <w:sz w:val="18"/>
                <w:szCs w:val="18"/>
              </w:rPr>
              <w:t>Unknown</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4EA9D" w14:textId="77777777" w:rsidR="00C71CAA" w:rsidRPr="001570EA" w:rsidRDefault="00C71CAA">
            <w:pPr>
              <w:jc w:val="center"/>
              <w:rPr>
                <w:rFonts w:cs="Arial"/>
                <w:color w:val="000000"/>
                <w:sz w:val="18"/>
                <w:szCs w:val="18"/>
              </w:rPr>
            </w:pPr>
            <w:r w:rsidRPr="001570EA">
              <w:rPr>
                <w:rFonts w:cs="Arial"/>
                <w:color w:val="000000"/>
                <w:sz w:val="18"/>
                <w:szCs w:val="18"/>
              </w:rPr>
              <w:t>29.2</w:t>
            </w:r>
          </w:p>
        </w:tc>
        <w:tc>
          <w:tcPr>
            <w:tcW w:w="1558" w:type="dxa"/>
            <w:tcBorders>
              <w:top w:val="single" w:sz="4" w:space="0" w:color="auto"/>
              <w:left w:val="nil"/>
              <w:bottom w:val="single" w:sz="4" w:space="0" w:color="auto"/>
              <w:right w:val="single" w:sz="4" w:space="0" w:color="auto"/>
            </w:tcBorders>
            <w:shd w:val="clear" w:color="auto" w:fill="auto"/>
            <w:noWrap/>
            <w:vAlign w:val="center"/>
          </w:tcPr>
          <w:p w14:paraId="3309777B" w14:textId="77777777" w:rsidR="00C71CAA" w:rsidRPr="001570EA" w:rsidRDefault="00C71CAA">
            <w:pPr>
              <w:jc w:val="center"/>
              <w:rPr>
                <w:rFonts w:cs="Arial"/>
                <w:color w:val="000000"/>
                <w:sz w:val="18"/>
                <w:szCs w:val="18"/>
              </w:rPr>
            </w:pPr>
            <w:r w:rsidRPr="001570EA">
              <w:rPr>
                <w:rFonts w:cs="Arial"/>
                <w:color w:val="000000"/>
                <w:sz w:val="18"/>
                <w:szCs w:val="18"/>
              </w:rPr>
              <w:t>0.0029</w:t>
            </w:r>
          </w:p>
        </w:tc>
        <w:tc>
          <w:tcPr>
            <w:tcW w:w="1556" w:type="dxa"/>
            <w:tcBorders>
              <w:top w:val="single" w:sz="4" w:space="0" w:color="auto"/>
              <w:left w:val="nil"/>
              <w:bottom w:val="single" w:sz="4" w:space="0" w:color="auto"/>
              <w:right w:val="single" w:sz="4" w:space="0" w:color="auto"/>
            </w:tcBorders>
            <w:vAlign w:val="center"/>
          </w:tcPr>
          <w:p w14:paraId="0D39797C" w14:textId="77777777" w:rsidR="00C71CAA" w:rsidRPr="001570EA" w:rsidRDefault="00C71CAA">
            <w:pPr>
              <w:jc w:val="center"/>
              <w:rPr>
                <w:rFonts w:cs="Arial"/>
                <w:color w:val="000000"/>
                <w:sz w:val="18"/>
                <w:szCs w:val="18"/>
              </w:rPr>
            </w:pPr>
            <w:r w:rsidRPr="001570EA">
              <w:rPr>
                <w:rFonts w:cs="Arial"/>
                <w:color w:val="000000"/>
                <w:sz w:val="18"/>
                <w:szCs w:val="18"/>
              </w:rPr>
              <w:t>0.0051</w:t>
            </w:r>
          </w:p>
        </w:tc>
      </w:tr>
      <w:tr w:rsidR="00C71CAA" w:rsidRPr="001570EA" w14:paraId="4824261A" w14:textId="77777777">
        <w:trPr>
          <w:gridAfter w:val="1"/>
          <w:wAfter w:w="10" w:type="dxa"/>
          <w:trHeight w:val="331"/>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551BD" w14:textId="77777777" w:rsidR="00C71CAA" w:rsidRPr="001570EA" w:rsidRDefault="00C71CAA">
            <w:pPr>
              <w:jc w:val="center"/>
              <w:rPr>
                <w:rFonts w:cs="Arial"/>
                <w:color w:val="000000"/>
                <w:sz w:val="18"/>
                <w:szCs w:val="18"/>
              </w:rPr>
            </w:pPr>
            <w:r w:rsidRPr="001570EA">
              <w:rPr>
                <w:rFonts w:cs="Arial"/>
                <w:color w:val="000000"/>
                <w:sz w:val="18"/>
                <w:szCs w:val="18"/>
              </w:rPr>
              <w:t xml:space="preserve">Unknown </w:t>
            </w:r>
          </w:p>
        </w:tc>
        <w:tc>
          <w:tcPr>
            <w:tcW w:w="1557" w:type="dxa"/>
            <w:tcBorders>
              <w:top w:val="single" w:sz="4" w:space="0" w:color="auto"/>
              <w:left w:val="nil"/>
              <w:bottom w:val="single" w:sz="4" w:space="0" w:color="auto"/>
              <w:right w:val="single" w:sz="4" w:space="0" w:color="auto"/>
            </w:tcBorders>
            <w:shd w:val="clear" w:color="auto" w:fill="auto"/>
            <w:noWrap/>
            <w:vAlign w:val="center"/>
          </w:tcPr>
          <w:p w14:paraId="7C8D821E" w14:textId="77777777" w:rsidR="00C71CAA" w:rsidRPr="001570EA" w:rsidRDefault="00C71CAA">
            <w:pPr>
              <w:jc w:val="center"/>
              <w:rPr>
                <w:rFonts w:cs="Arial"/>
                <w:color w:val="000000"/>
                <w:sz w:val="18"/>
                <w:szCs w:val="18"/>
              </w:rPr>
            </w:pPr>
            <w:r w:rsidRPr="001570EA">
              <w:rPr>
                <w:rFonts w:cs="Arial"/>
                <w:color w:val="000000"/>
                <w:sz w:val="18"/>
                <w:szCs w:val="18"/>
              </w:rPr>
              <w:t>47%</w:t>
            </w:r>
          </w:p>
        </w:tc>
        <w:tc>
          <w:tcPr>
            <w:tcW w:w="1558" w:type="dxa"/>
            <w:tcBorders>
              <w:top w:val="single" w:sz="4" w:space="0" w:color="auto"/>
              <w:left w:val="nil"/>
              <w:bottom w:val="single" w:sz="4" w:space="0" w:color="auto"/>
              <w:right w:val="single" w:sz="4" w:space="0" w:color="auto"/>
            </w:tcBorders>
            <w:vAlign w:val="center"/>
          </w:tcPr>
          <w:p w14:paraId="5BC5BD85" w14:textId="77777777" w:rsidR="00C71CAA" w:rsidRPr="001570EA" w:rsidDel="003D3FA9" w:rsidRDefault="00C71CAA">
            <w:pPr>
              <w:jc w:val="center"/>
              <w:rPr>
                <w:sz w:val="18"/>
                <w:szCs w:val="18"/>
              </w:rPr>
            </w:pPr>
            <w:r w:rsidRPr="001570EA">
              <w:rPr>
                <w:rFonts w:cs="Arial"/>
                <w:color w:val="000000"/>
                <w:sz w:val="18"/>
                <w:szCs w:val="18"/>
              </w:rPr>
              <w:t>Unknown</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484A3" w14:textId="77777777" w:rsidR="00C71CAA" w:rsidRPr="001570EA" w:rsidRDefault="00C71CAA">
            <w:pPr>
              <w:jc w:val="center"/>
              <w:rPr>
                <w:rFonts w:cs="Arial"/>
                <w:color w:val="000000"/>
                <w:sz w:val="18"/>
                <w:szCs w:val="18"/>
              </w:rPr>
            </w:pPr>
            <w:r w:rsidRPr="001570EA">
              <w:rPr>
                <w:rFonts w:cs="Arial"/>
                <w:color w:val="000000"/>
                <w:sz w:val="18"/>
                <w:szCs w:val="18"/>
              </w:rPr>
              <w:t>29.1</w:t>
            </w:r>
          </w:p>
        </w:tc>
        <w:tc>
          <w:tcPr>
            <w:tcW w:w="1558" w:type="dxa"/>
            <w:tcBorders>
              <w:top w:val="single" w:sz="4" w:space="0" w:color="auto"/>
              <w:left w:val="nil"/>
              <w:bottom w:val="single" w:sz="4" w:space="0" w:color="auto"/>
              <w:right w:val="single" w:sz="4" w:space="0" w:color="auto"/>
            </w:tcBorders>
            <w:shd w:val="clear" w:color="auto" w:fill="auto"/>
            <w:noWrap/>
            <w:vAlign w:val="center"/>
          </w:tcPr>
          <w:p w14:paraId="64613B94" w14:textId="77777777" w:rsidR="00C71CAA" w:rsidRPr="001570EA" w:rsidRDefault="00C71CAA">
            <w:pPr>
              <w:jc w:val="center"/>
              <w:rPr>
                <w:rFonts w:cs="Arial"/>
                <w:color w:val="000000"/>
                <w:sz w:val="18"/>
                <w:szCs w:val="18"/>
              </w:rPr>
            </w:pPr>
            <w:r w:rsidRPr="001570EA">
              <w:rPr>
                <w:rFonts w:cs="Arial"/>
                <w:color w:val="000000"/>
                <w:sz w:val="18"/>
                <w:szCs w:val="18"/>
              </w:rPr>
              <w:t>0.0030</w:t>
            </w:r>
          </w:p>
        </w:tc>
        <w:tc>
          <w:tcPr>
            <w:tcW w:w="1556" w:type="dxa"/>
            <w:tcBorders>
              <w:top w:val="single" w:sz="4" w:space="0" w:color="auto"/>
              <w:left w:val="nil"/>
              <w:bottom w:val="single" w:sz="4" w:space="0" w:color="auto"/>
              <w:right w:val="single" w:sz="4" w:space="0" w:color="auto"/>
            </w:tcBorders>
            <w:vAlign w:val="center"/>
          </w:tcPr>
          <w:p w14:paraId="013778DB" w14:textId="77777777" w:rsidR="00C71CAA" w:rsidRPr="001570EA" w:rsidRDefault="00C71CAA">
            <w:pPr>
              <w:jc w:val="center"/>
              <w:rPr>
                <w:rFonts w:cs="Arial"/>
                <w:color w:val="000000"/>
                <w:sz w:val="18"/>
                <w:szCs w:val="18"/>
              </w:rPr>
            </w:pPr>
            <w:r w:rsidRPr="001570EA">
              <w:rPr>
                <w:rFonts w:cs="Arial"/>
                <w:color w:val="000000"/>
                <w:sz w:val="18"/>
                <w:szCs w:val="18"/>
              </w:rPr>
              <w:t>0.0051</w:t>
            </w:r>
          </w:p>
        </w:tc>
      </w:tr>
    </w:tbl>
    <w:p w14:paraId="2DD6844C" w14:textId="77777777" w:rsidR="00C71CAA" w:rsidRPr="001570EA" w:rsidRDefault="00C71CAA" w:rsidP="00C71CAA"/>
    <w:p w14:paraId="77BB0766" w14:textId="77777777" w:rsidR="00720916" w:rsidRDefault="00720916" w:rsidP="00C71CAA">
      <w:pPr>
        <w:pStyle w:val="SubStyle"/>
      </w:pPr>
    </w:p>
    <w:p w14:paraId="199E162D" w14:textId="664171E3" w:rsidR="00C71CAA" w:rsidRPr="001570EA" w:rsidRDefault="00C71CAA" w:rsidP="00C71CAA">
      <w:pPr>
        <w:pStyle w:val="SubStyle"/>
      </w:pPr>
      <w:r w:rsidRPr="001570EA">
        <w:t>Evaluation Protocols</w:t>
      </w:r>
    </w:p>
    <w:p w14:paraId="60C58986" w14:textId="77777777" w:rsidR="00C71CAA" w:rsidRPr="001570EA" w:rsidRDefault="00C71CAA" w:rsidP="00C71CAA">
      <w:pPr>
        <w:pStyle w:val="BodyText"/>
        <w:ind w:right="0"/>
      </w:pPr>
      <w:r w:rsidRPr="001570EA">
        <w:t>The most appropriate evaluation protocol for this measure is verification of installation coupled with EDC Data Gathering.</w:t>
      </w:r>
    </w:p>
    <w:p w14:paraId="1539B6F8" w14:textId="77777777" w:rsidR="00C71CAA" w:rsidRPr="001570EA" w:rsidRDefault="00C71CAA" w:rsidP="00C71CAA"/>
    <w:p w14:paraId="622D010A" w14:textId="77777777" w:rsidR="00C71CAA" w:rsidRPr="001570EA" w:rsidRDefault="00C71CAA" w:rsidP="00C71CAA">
      <w:pPr>
        <w:pStyle w:val="SubStyle"/>
        <w:keepNext/>
      </w:pPr>
      <w:r w:rsidRPr="001570EA">
        <w:t>Sources</w:t>
      </w:r>
    </w:p>
    <w:p w14:paraId="738DB844" w14:textId="77777777" w:rsidR="00C71CAA" w:rsidRPr="001570EA" w:rsidRDefault="00C71CAA" w:rsidP="00C71CAA">
      <w:pPr>
        <w:pStyle w:val="Source"/>
      </w:pPr>
      <w:r w:rsidRPr="001570EA">
        <w:t>Uniform Plumbing Code (UPC) certification under the International Association of Plumbing and Mechanical Officials standard IGC 244-2007a stipulates device must meet 10,000 cycles without failure. Measure life</w:t>
      </w:r>
      <w:r w:rsidRPr="001570EA">
        <w:rPr>
          <w:rFonts w:ascii="Cambria Math" w:hAnsi="Cambria Math"/>
        </w:rPr>
        <w:t>: [10,000 cycles / (N</w:t>
      </w:r>
      <w:r w:rsidRPr="001570EA">
        <w:rPr>
          <w:rFonts w:ascii="Cambria Math" w:hAnsi="Cambria Math"/>
          <w:vertAlign w:val="subscript"/>
        </w:rPr>
        <w:t>persons</w:t>
      </w:r>
      <w:r w:rsidRPr="001570EA">
        <w:rPr>
          <w:rFonts w:ascii="Cambria Math" w:hAnsi="Cambria Math"/>
        </w:rPr>
        <w:t xml:space="preserve"> x N</w:t>
      </w:r>
      <w:r w:rsidRPr="001570EA">
        <w:rPr>
          <w:rFonts w:ascii="Cambria Math" w:hAnsi="Cambria Math"/>
          <w:vertAlign w:val="subscript"/>
        </w:rPr>
        <w:t>showers-day</w:t>
      </w:r>
      <w:r w:rsidRPr="001570EA">
        <w:rPr>
          <w:rFonts w:ascii="Cambria Math" w:hAnsi="Cambria Math"/>
        </w:rPr>
        <w:t xml:space="preserve"> x 365)] = [10,000 / (2.5 x 0.6 x 365)] = 18 years</w:t>
      </w:r>
      <w:r w:rsidRPr="001570EA">
        <w:t>. Note that measure life is calculated to be 18 years; however, PA Act 129 savings can be claimed for no more than 15 years.</w:t>
      </w:r>
    </w:p>
    <w:p w14:paraId="1EE30E87" w14:textId="77777777" w:rsidR="00C71CAA" w:rsidRPr="001570EA" w:rsidRDefault="00C71CAA" w:rsidP="00C71CAA">
      <w:pPr>
        <w:pStyle w:val="Source"/>
        <w:rPr>
          <w:rFonts w:cs="Arial"/>
          <w:i/>
        </w:rPr>
      </w:pPr>
      <w:r w:rsidRPr="001570EA">
        <w:rPr>
          <w:rFonts w:cs="Arial"/>
        </w:rPr>
        <w:t xml:space="preserve">Cadmus and </w:t>
      </w:r>
      <w:r w:rsidRPr="001570EA">
        <w:t>Opinion</w:t>
      </w:r>
      <w:r w:rsidRPr="001570EA">
        <w:rPr>
          <w:rFonts w:cs="Arial"/>
        </w:rPr>
        <w:t xml:space="preserve"> Dynamics Evaluation Team. Showerhead and Faucet Aerator Meter Study. For Michigan Evaluation Working Group. June 2013.</w:t>
      </w:r>
    </w:p>
    <w:p w14:paraId="07B11468" w14:textId="5F0967AB" w:rsidR="00C71CAA" w:rsidRPr="001570EA" w:rsidRDefault="00C71CAA" w:rsidP="00C71CAA">
      <w:pPr>
        <w:pStyle w:val="Source"/>
      </w:pPr>
      <w:r w:rsidRPr="001570EA">
        <w:t xml:space="preserve">U.S. Census Bureau, 2017-2021 American Community Survey 5-Year Estimates. </w:t>
      </w:r>
      <w:hyperlink r:id="rId194" w:history="1">
        <w:r w:rsidRPr="001570EA">
          <w:rPr>
            <w:rStyle w:val="Hyperlink"/>
          </w:rPr>
          <w:t>Weblink</w:t>
        </w:r>
      </w:hyperlink>
      <w:r w:rsidRPr="001570EA" w:rsidDel="00755829">
        <w:t xml:space="preserve"> </w:t>
      </w:r>
      <w:r w:rsidRPr="001570EA">
        <w:t xml:space="preserve"> </w:t>
      </w:r>
    </w:p>
    <w:p w14:paraId="2F689893" w14:textId="77777777" w:rsidR="00C71CAA" w:rsidRPr="001570EA" w:rsidRDefault="00C71CAA" w:rsidP="00C71CAA">
      <w:pPr>
        <w:pStyle w:val="Source"/>
      </w:pPr>
      <w:r w:rsidRPr="001570EA">
        <w:t xml:space="preserve">Table 8. </w:t>
      </w:r>
      <w:r w:rsidRPr="001570EA">
        <w:rPr>
          <w:rFonts w:cs="Arial"/>
        </w:rPr>
        <w:t>Cadmus</w:t>
      </w:r>
      <w:r w:rsidRPr="001570EA">
        <w:t xml:space="preserve"> and Opinion Dynamics Evaluation Team. Showerhead and Faucet Aerator Meter Study. For Michigan Evaluation Working Group. June 2013. For each shower fixture metered, the evaluation team knew the total number of showers taken, duration of time meters remained in each home, and total occupants reported to live in the home. From these values average showers taken per day, per person was calculated. The study compared showers per day, per person by single-family and multifamily populations, finding no statistical difference in the values. For the energy-saving analysis, the study used the combined single-family and multifamily average showers per day, per person of 0.6.</w:t>
      </w:r>
    </w:p>
    <w:p w14:paraId="5AB1FB1E" w14:textId="6D88EF78" w:rsidR="00C71CAA" w:rsidRPr="001570EA" w:rsidRDefault="00C71CAA" w:rsidP="00C71CAA">
      <w:pPr>
        <w:pStyle w:val="Source"/>
      </w:pPr>
      <w:r w:rsidRPr="001570EA">
        <w:t>NMR Group for the Pennsylvania Public Utility Commission. (2024, March). 2023 Pennsylvania Statewide Act 129 Residential Baseline Study. P</w:t>
      </w:r>
      <w:r w:rsidR="0027180C">
        <w:t>a</w:t>
      </w:r>
      <w:r w:rsidRPr="001570EA">
        <w:t>g</w:t>
      </w:r>
      <w:r w:rsidR="0027180C">
        <w:t>e</w:t>
      </w:r>
      <w:r w:rsidRPr="001570EA">
        <w:t xml:space="preserve"> 122, </w:t>
      </w:r>
      <w:r w:rsidR="008A5E8C">
        <w:t>T</w:t>
      </w:r>
      <w:r w:rsidRPr="001570EA">
        <w:t>able 105 (ELEC). P</w:t>
      </w:r>
      <w:r w:rsidR="0027180C">
        <w:t>a</w:t>
      </w:r>
      <w:r w:rsidRPr="001570EA">
        <w:t>g</w:t>
      </w:r>
      <w:r w:rsidR="0027180C">
        <w:t>e</w:t>
      </w:r>
      <w:r w:rsidRPr="001570EA">
        <w:t xml:space="preserve"> 130</w:t>
      </w:r>
      <w:r w:rsidR="005001B5">
        <w:t>, Table 115</w:t>
      </w:r>
      <w:r w:rsidRPr="001570EA">
        <w:t xml:space="preserve"> (GPM</w:t>
      </w:r>
      <w:r w:rsidRPr="001570EA">
        <w:rPr>
          <w:vertAlign w:val="subscript"/>
        </w:rPr>
        <w:t>base</w:t>
      </w:r>
      <w:r w:rsidRPr="001570EA">
        <w:t>, N</w:t>
      </w:r>
      <w:r w:rsidRPr="001570EA">
        <w:rPr>
          <w:vertAlign w:val="subscript"/>
        </w:rPr>
        <w:t>showerheads-home</w:t>
      </w:r>
      <w:r w:rsidRPr="001570EA">
        <w:t xml:space="preserve">). </w:t>
      </w:r>
      <w:hyperlink r:id="rId195" w:history="1">
        <w:r w:rsidRPr="001570EA">
          <w:rPr>
            <w:rStyle w:val="Hyperlink"/>
          </w:rPr>
          <w:t>Weblink</w:t>
        </w:r>
      </w:hyperlink>
    </w:p>
    <w:p w14:paraId="78FBA52E" w14:textId="77777777" w:rsidR="00C71CAA" w:rsidRPr="001570EA" w:rsidRDefault="00C71CAA" w:rsidP="00C71CAA">
      <w:pPr>
        <w:pStyle w:val="Source"/>
        <w:rPr>
          <w:rFonts w:cs="Arial"/>
          <w:i/>
        </w:rPr>
      </w:pPr>
      <w:r w:rsidRPr="001570EA">
        <w:rPr>
          <w:rFonts w:cs="Arial"/>
        </w:rPr>
        <w:t>PPL Electric 2014 ShowerStart Pilot Study. Cadmus memo to PPL Electric in November 2014. The previous T</w:t>
      </w:r>
      <w:r w:rsidRPr="001570EA">
        <w:rPr>
          <w:rFonts w:cs="Arial"/>
          <w:vertAlign w:val="subscript"/>
        </w:rPr>
        <w:t>out</w:t>
      </w:r>
      <w:r w:rsidRPr="001570EA">
        <w:rPr>
          <w:rFonts w:cs="Arial"/>
        </w:rPr>
        <w:t xml:space="preserve"> value was based on the average water temperature of the entire shower, whereas this pilot study T</w:t>
      </w:r>
      <w:r w:rsidRPr="001570EA">
        <w:rPr>
          <w:rFonts w:cs="Arial"/>
          <w:vertAlign w:val="subscript"/>
        </w:rPr>
        <w:t>out</w:t>
      </w:r>
      <w:r w:rsidRPr="001570EA">
        <w:rPr>
          <w:rFonts w:cs="Arial"/>
        </w:rPr>
        <w:t xml:space="preserve"> value is based on the average water temperature of the period after the user resumed the water flow by pulling the ShowerStart cord. This pilot study T</w:t>
      </w:r>
      <w:r w:rsidRPr="001570EA">
        <w:rPr>
          <w:rFonts w:cs="Arial"/>
          <w:vertAlign w:val="subscript"/>
        </w:rPr>
        <w:t>out</w:t>
      </w:r>
      <w:r w:rsidRPr="001570EA">
        <w:rPr>
          <w:rFonts w:cs="Arial"/>
        </w:rPr>
        <w:t xml:space="preserve"> value is more accurate than the previous value because it excludes the warmup phase of the shower and thus reflects the temperature of the water saved by the ShowerStart device during the behavioral waste period more accurately. The BehavioralWasteSeconds value represents the average time the ShowerStart device is engaged during a shower. The BehavioralWasteSeconds value includes instances when the user did not engage the ShowerStart device (instances when BehavioralWasteSeconds = 0s).</w:t>
      </w:r>
    </w:p>
    <w:p w14:paraId="68FCDC81" w14:textId="0007D2E1" w:rsidR="00C71CAA" w:rsidRPr="001570EA" w:rsidRDefault="00C71CAA" w:rsidP="00C71CAA">
      <w:pPr>
        <w:pStyle w:val="Source"/>
      </w:pPr>
      <w:r w:rsidRPr="001570EA">
        <w:t xml:space="preserve">Using Rock Spring, PA (Site 2036) as a proxy, the mean soil temperature at 40-inch depth is 52.502. Calculated using Daily SCAN Standard - Period of Record data from December 2003 to December 2023 from the Natural Resource Conservation Service Database. </w:t>
      </w:r>
      <w:hyperlink r:id="rId196" w:history="1">
        <w:r w:rsidRPr="001570EA">
          <w:rPr>
            <w:rStyle w:val="Hyperlink"/>
            <w:rFonts w:cs="Arial"/>
          </w:rPr>
          <w:t>Weblink</w:t>
        </w:r>
      </w:hyperlink>
      <w:r w:rsidRPr="001570EA">
        <w:t>. Methodology follows Missouri TRM 2017 Volume 2: Commercial and Industrial Measures. (2017, March). “2.6.1 Water Heater”. P</w:t>
      </w:r>
      <w:r w:rsidR="0027180C">
        <w:t>a</w:t>
      </w:r>
      <w:r w:rsidRPr="001570EA">
        <w:t>g</w:t>
      </w:r>
      <w:r w:rsidR="0027180C">
        <w:t>e</w:t>
      </w:r>
      <w:r w:rsidRPr="001570EA">
        <w:t xml:space="preserve"> 78. </w:t>
      </w:r>
      <w:hyperlink r:id="rId197" w:history="1">
        <w:r w:rsidRPr="001570EA">
          <w:rPr>
            <w:rStyle w:val="Hyperlink"/>
          </w:rPr>
          <w:t>Weblink</w:t>
        </w:r>
      </w:hyperlink>
    </w:p>
    <w:p w14:paraId="47A43860" w14:textId="3957D265" w:rsidR="00C71CAA" w:rsidRPr="001570EA" w:rsidRDefault="00C71CAA" w:rsidP="00C71CAA">
      <w:pPr>
        <w:pStyle w:val="Source"/>
      </w:pPr>
      <w:r w:rsidRPr="001570EA">
        <w:rPr>
          <w:rFonts w:eastAsia="system-ui" w:cs="Arial"/>
        </w:rPr>
        <w:t xml:space="preserve">AHRI </w:t>
      </w:r>
      <w:r w:rsidRPr="001570EA">
        <w:rPr>
          <w:rFonts w:eastAsia="Arial" w:cs="Arial"/>
        </w:rPr>
        <w:t>Directory. All electric storage water heaters have a recovery efficiency of 0.98. Average recovery efficiency for heat pump water heaters is 3.93. Accessed December 2023.</w:t>
      </w:r>
      <w:r w:rsidRPr="001570EA">
        <w:rPr>
          <w:rFonts w:eastAsia="Arial" w:cs="Arial"/>
          <w:color w:val="374151"/>
        </w:rPr>
        <w:t xml:space="preserve"> </w:t>
      </w:r>
      <w:hyperlink r:id="rId198" w:history="1">
        <w:r w:rsidRPr="001570EA">
          <w:rPr>
            <w:rStyle w:val="Hyperlink"/>
          </w:rPr>
          <w:t>Weblink</w:t>
        </w:r>
      </w:hyperlink>
      <w:r w:rsidRPr="001570EA">
        <w:t xml:space="preserve"> 1.22 for unknown type calculated as the weighted average of electric resistance and HPWH recover efficiencies by the relative proportions of electric resistance and HPWHs from the </w:t>
      </w:r>
      <w:r w:rsidR="007F2CA6">
        <w:t xml:space="preserve">Act 129 </w:t>
      </w:r>
      <w:r w:rsidRPr="001570EA">
        <w:t xml:space="preserve">2023 </w:t>
      </w:r>
      <w:r w:rsidR="007F2CA6" w:rsidRPr="001570EA">
        <w:t>P</w:t>
      </w:r>
      <w:r w:rsidR="007F2CA6">
        <w:t>ennsylvania</w:t>
      </w:r>
      <w:r w:rsidR="007F2CA6" w:rsidRPr="001570EA">
        <w:t xml:space="preserve"> Residential Baseline Study</w:t>
      </w:r>
      <w:r w:rsidRPr="001570EA">
        <w:t>.</w:t>
      </w:r>
    </w:p>
    <w:p w14:paraId="021389DB" w14:textId="4C5C4260" w:rsidR="00C71CAA" w:rsidRPr="001570EA" w:rsidDel="00CD4ECE" w:rsidRDefault="00C71CAA" w:rsidP="00C71CAA">
      <w:pPr>
        <w:pStyle w:val="Source"/>
      </w:pPr>
      <w:r w:rsidRPr="001570EA">
        <w:t xml:space="preserve">Wilson et al. 2021. End-Use Load Profiles for the U.S. Building Stock: Methodology and Results of Model Calibration, Validation, and Uncertainty Quantification. NREL/TP-5500-80889. </w:t>
      </w:r>
      <w:hyperlink r:id="rId199" w:history="1">
        <w:r w:rsidRPr="001570EA">
          <w:rPr>
            <w:rStyle w:val="Hyperlink"/>
          </w:rPr>
          <w:t>Weblink</w:t>
        </w:r>
      </w:hyperlink>
      <w:r w:rsidRPr="001570EA">
        <w:t xml:space="preserve">  </w:t>
      </w:r>
    </w:p>
    <w:p w14:paraId="429C34E8" w14:textId="77777777" w:rsidR="00C71CAA" w:rsidRPr="001570EA" w:rsidRDefault="00C71CAA" w:rsidP="00C71CAA">
      <w:pPr>
        <w:pStyle w:val="Source"/>
        <w:numPr>
          <w:ilvl w:val="0"/>
          <w:numId w:val="0"/>
        </w:numPr>
        <w:rPr>
          <w:rStyle w:val="Hyperlink"/>
        </w:rPr>
        <w:sectPr w:rsidR="00C71CAA" w:rsidRPr="001570EA" w:rsidSect="002D556C">
          <w:footerReference w:type="default" r:id="rId200"/>
          <w:pgSz w:w="12240" w:h="15840"/>
          <w:pgMar w:top="1440" w:right="1800" w:bottom="1440" w:left="1800" w:header="720" w:footer="501" w:gutter="0"/>
          <w:cols w:space="720"/>
        </w:sectPr>
      </w:pPr>
    </w:p>
    <w:p w14:paraId="7DA67169" w14:textId="77777777" w:rsidR="00C71CAA" w:rsidRPr="001570EA" w:rsidRDefault="00C71CAA" w:rsidP="00462D97">
      <w:pPr>
        <w:pStyle w:val="Heading3"/>
      </w:pPr>
      <w:bookmarkStart w:id="502" w:name="_Toc48143038"/>
      <w:bookmarkStart w:id="503" w:name="_Toc164786657"/>
      <w:r w:rsidRPr="001570EA">
        <w:t>Drain Water Heat Recovery Units</w:t>
      </w:r>
      <w:bookmarkEnd w:id="502"/>
      <w:bookmarkEnd w:id="503"/>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8"/>
        <w:gridCol w:w="4964"/>
      </w:tblGrid>
      <w:tr w:rsidR="00C71CAA" w:rsidRPr="001570EA" w14:paraId="729FDD3C" w14:textId="77777777">
        <w:trPr>
          <w:trHeight w:hRule="exact" w:val="360"/>
        </w:trPr>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7559C4C6" w14:textId="77777777" w:rsidR="00C71CAA" w:rsidRPr="001570EA" w:rsidRDefault="00C71CAA">
            <w:pPr>
              <w:pStyle w:val="TableCell"/>
              <w:spacing w:before="60" w:after="60" w:line="256" w:lineRule="auto"/>
              <w:rPr>
                <w:b/>
                <w:bCs/>
                <w:color w:val="000000"/>
              </w:rPr>
            </w:pPr>
            <w:r w:rsidRPr="001570EA">
              <w:rPr>
                <w:b/>
                <w:bCs/>
                <w:color w:val="000000"/>
              </w:rPr>
              <w:t>Target Sector</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0FDED50C" w14:textId="77777777" w:rsidR="00C71CAA" w:rsidRPr="001570EA" w:rsidRDefault="00C71CAA">
            <w:pPr>
              <w:pStyle w:val="TableCell"/>
              <w:spacing w:before="60" w:after="60" w:line="256" w:lineRule="auto"/>
              <w:jc w:val="center"/>
              <w:rPr>
                <w:color w:val="000000"/>
              </w:rPr>
            </w:pPr>
            <w:r w:rsidRPr="001570EA">
              <w:rPr>
                <w:color w:val="000000"/>
              </w:rPr>
              <w:t>Residential</w:t>
            </w:r>
          </w:p>
        </w:tc>
      </w:tr>
      <w:tr w:rsidR="00C71CAA" w:rsidRPr="001570EA" w14:paraId="350C85DD" w14:textId="77777777">
        <w:trPr>
          <w:trHeight w:hRule="exact" w:val="360"/>
        </w:trPr>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hideMark/>
          </w:tcPr>
          <w:p w14:paraId="79F7499E" w14:textId="77777777" w:rsidR="00C71CAA" w:rsidRPr="001570EA" w:rsidRDefault="00C71CAA">
            <w:pPr>
              <w:pStyle w:val="TableCell"/>
              <w:spacing w:before="60" w:after="60" w:line="256" w:lineRule="auto"/>
              <w:rPr>
                <w:b/>
                <w:bCs/>
                <w:color w:val="000000"/>
              </w:rPr>
            </w:pPr>
            <w:r w:rsidRPr="001570EA">
              <w:rPr>
                <w:b/>
                <w:bCs/>
                <w:color w:val="000000"/>
              </w:rPr>
              <w:t>Measure Unit</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hideMark/>
          </w:tcPr>
          <w:p w14:paraId="1ED0384C" w14:textId="77777777" w:rsidR="00C71CAA" w:rsidRPr="001570EA" w:rsidRDefault="00C71CAA">
            <w:pPr>
              <w:pStyle w:val="TableCell"/>
              <w:spacing w:before="60" w:after="60" w:line="256" w:lineRule="auto"/>
              <w:jc w:val="center"/>
              <w:rPr>
                <w:color w:val="000000"/>
              </w:rPr>
            </w:pPr>
            <w:r w:rsidRPr="001570EA">
              <w:rPr>
                <w:color w:val="000000"/>
              </w:rPr>
              <w:t>Drain Water Heat Recovery Unit</w:t>
            </w:r>
          </w:p>
        </w:tc>
      </w:tr>
      <w:tr w:rsidR="00C71CAA" w:rsidRPr="001570EA" w14:paraId="17F5D4AC" w14:textId="77777777">
        <w:trPr>
          <w:trHeight w:hRule="exact" w:val="360"/>
        </w:trPr>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3C784959" w14:textId="77777777" w:rsidR="00C71CAA" w:rsidRPr="001570EA" w:rsidRDefault="00C71CAA">
            <w:pPr>
              <w:pStyle w:val="TableCell"/>
              <w:spacing w:before="60" w:after="60" w:line="256" w:lineRule="auto"/>
              <w:rPr>
                <w:b/>
                <w:bCs/>
                <w:color w:val="000000"/>
              </w:rPr>
            </w:pPr>
            <w:r w:rsidRPr="001570EA">
              <w:rPr>
                <w:b/>
                <w:bCs/>
                <w:color w:val="000000"/>
              </w:rPr>
              <w:t>Measure Life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6DA2C1E8" w14:textId="77777777" w:rsidR="00C71CAA" w:rsidRPr="001570EA" w:rsidRDefault="00C71CAA">
            <w:pPr>
              <w:pStyle w:val="TableCell"/>
              <w:spacing w:before="60" w:after="60" w:line="256" w:lineRule="auto"/>
              <w:jc w:val="center"/>
              <w:rPr>
                <w:color w:val="000000"/>
                <w:vertAlign w:val="superscript"/>
              </w:rPr>
            </w:pPr>
            <w:r w:rsidRPr="001570EA">
              <w:rPr>
                <w:color w:val="000000"/>
              </w:rPr>
              <w:t>15 years</w:t>
            </w:r>
            <w:r w:rsidRPr="001570EA">
              <w:rPr>
                <w:vertAlign w:val="superscript"/>
              </w:rPr>
              <w:t>Source 1</w:t>
            </w:r>
          </w:p>
        </w:tc>
      </w:tr>
      <w:tr w:rsidR="00C71CAA" w:rsidRPr="001570EA" w14:paraId="5B5DF059" w14:textId="77777777">
        <w:trPr>
          <w:trHeight w:hRule="exact" w:val="360"/>
        </w:trPr>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4CEC99D5" w14:textId="77777777" w:rsidR="00C71CAA" w:rsidRPr="001570EA" w:rsidRDefault="00C71CAA">
            <w:pPr>
              <w:pStyle w:val="TableCell"/>
              <w:spacing w:before="60" w:after="60" w:line="256" w:lineRule="auto"/>
              <w:rPr>
                <w:b/>
                <w:bCs/>
                <w:color w:val="000000"/>
              </w:rPr>
            </w:pPr>
            <w:r w:rsidRPr="001570EA">
              <w:rPr>
                <w:b/>
                <w:bCs/>
                <w:color w:val="000000"/>
              </w:rPr>
              <w:t>Vintage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2BD667EE" w14:textId="77777777" w:rsidR="00C71CAA" w:rsidRPr="001570EA" w:rsidRDefault="00C71CAA">
            <w:pPr>
              <w:pStyle w:val="TableCell"/>
              <w:spacing w:before="60" w:after="60" w:line="256" w:lineRule="auto"/>
              <w:jc w:val="center"/>
              <w:rPr>
                <w:color w:val="000000"/>
              </w:rPr>
            </w:pPr>
            <w:r w:rsidRPr="001570EA">
              <w:rPr>
                <w:color w:val="000000"/>
              </w:rPr>
              <w:t>Retrofit</w:t>
            </w:r>
            <w:r w:rsidRPr="001570EA">
              <w:t>, New Construction</w:t>
            </w:r>
          </w:p>
        </w:tc>
      </w:tr>
    </w:tbl>
    <w:p w14:paraId="3DDA6CD6" w14:textId="77777777" w:rsidR="00C71CAA" w:rsidRPr="001570EA" w:rsidRDefault="00C71CAA" w:rsidP="00C71CAA"/>
    <w:p w14:paraId="7F8E13CC" w14:textId="77777777" w:rsidR="00C71CAA" w:rsidRPr="001570EA" w:rsidRDefault="00C71CAA" w:rsidP="00C71CAA">
      <w:pPr>
        <w:pStyle w:val="BodyText"/>
        <w:ind w:right="0"/>
      </w:pPr>
      <w:r w:rsidRPr="001570EA">
        <w:t xml:space="preserve">This measure relates to the installation of a vertical drain water heat recovery unit in homes with electric water heaters. Drain water heat recovery units capture waste heat from drain water and use it to preheat cold water that is delivered to the fixture’s mixing valve, the water heater, or both. Savings are calculated per drain water heat recovery unit. </w:t>
      </w:r>
    </w:p>
    <w:p w14:paraId="089A72F2" w14:textId="77777777" w:rsidR="00C71CAA" w:rsidRPr="001570EA" w:rsidRDefault="00C71CAA" w:rsidP="00C71CAA">
      <w:pPr>
        <w:pStyle w:val="BodyText"/>
        <w:ind w:right="0"/>
      </w:pPr>
    </w:p>
    <w:p w14:paraId="28386EE1" w14:textId="77777777" w:rsidR="00C71CAA" w:rsidRPr="001570EA" w:rsidRDefault="00C71CAA" w:rsidP="00C71CAA">
      <w:pPr>
        <w:pStyle w:val="SubStyle"/>
      </w:pPr>
      <w:r w:rsidRPr="001570EA">
        <w:t>Eligibility</w:t>
      </w:r>
    </w:p>
    <w:p w14:paraId="180273B9" w14:textId="792F33A5" w:rsidR="00C71CAA" w:rsidRPr="001570EA" w:rsidRDefault="00C71CAA" w:rsidP="00C71CAA">
      <w:pPr>
        <w:pStyle w:val="BodyText"/>
        <w:ind w:right="0"/>
      </w:pPr>
      <w:r w:rsidRPr="001570EA">
        <w:t>This protocol documents the energy savings attributable to installing a vertical drain water heat recovery unit to a drainpipe. The target sector primarily consists of residences.</w:t>
      </w:r>
    </w:p>
    <w:p w14:paraId="311E4CB6" w14:textId="77777777" w:rsidR="00C71CAA" w:rsidRPr="001570EA" w:rsidRDefault="00C71CAA" w:rsidP="00C71CAA">
      <w:pPr>
        <w:pStyle w:val="BodyText"/>
        <w:ind w:right="0"/>
      </w:pPr>
    </w:p>
    <w:p w14:paraId="7271A70C" w14:textId="77777777" w:rsidR="00C71CAA" w:rsidRPr="001570EA" w:rsidRDefault="00C71CAA" w:rsidP="00C71CAA">
      <w:pPr>
        <w:pStyle w:val="SubStyle"/>
      </w:pPr>
      <w:r w:rsidRPr="001570EA">
        <w:t>Algorithms</w:t>
      </w:r>
    </w:p>
    <w:p w14:paraId="0D227BC3" w14:textId="77777777" w:rsidR="00C71CAA" w:rsidRPr="001570EA" w:rsidRDefault="00C71CAA" w:rsidP="00C71CAA">
      <w:pPr>
        <w:pStyle w:val="NoSpacing"/>
      </w:pPr>
      <w:r w:rsidRPr="001570EA">
        <w:t>The algorithms for annual energy savings and peak demand savings are shown below:</w:t>
      </w:r>
    </w:p>
    <w:p w14:paraId="7EF299D0" w14:textId="77777777" w:rsidR="00C71CAA" w:rsidRPr="001570EA" w:rsidRDefault="00C71CAA" w:rsidP="00C71CAA">
      <w:pPr>
        <w:pStyle w:val="Equation"/>
        <w:ind w:left="0" w:firstLine="0"/>
        <w:rPr>
          <w:rFonts w:ascii="Cambria Math" w:hAnsi="Cambria Math" w:cs="Arial"/>
          <w:szCs w:val="20"/>
        </w:rPr>
      </w:pPr>
      <m:oMathPara>
        <m:oMathParaPr>
          <m:jc m:val="left"/>
        </m:oMathParaPr>
        <m:oMath>
          <m:r>
            <w:rPr>
              <w:rFonts w:ascii="Cambria Math" w:hAnsi="Cambria Math" w:cs="Arial"/>
              <w:szCs w:val="20"/>
            </w:rPr>
            <m:t xml:space="preserve">∆kWh = </m:t>
          </m:r>
          <m:f>
            <m:fPr>
              <m:ctrlPr>
                <w:rPr>
                  <w:rFonts w:ascii="Cambria Math" w:hAnsi="Cambria Math" w:cs="Arial"/>
                  <w:i w:val="0"/>
                  <w:szCs w:val="20"/>
                </w:rPr>
              </m:ctrlPr>
            </m:fPr>
            <m:num>
              <m:r>
                <w:rPr>
                  <w:rFonts w:ascii="Cambria Math" w:hAnsi="Cambria Math" w:cs="Arial"/>
                  <w:szCs w:val="20"/>
                </w:rPr>
                <m:t xml:space="preserve"> </m:t>
              </m:r>
              <m:d>
                <m:dPr>
                  <m:ctrlPr>
                    <w:rPr>
                      <w:rFonts w:ascii="Cambria Math" w:hAnsi="Cambria Math" w:cs="Arial"/>
                      <w:i w:val="0"/>
                    </w:rPr>
                  </m:ctrlPr>
                </m:dPr>
                <m:e>
                  <m:sSub>
                    <m:sSubPr>
                      <m:ctrlPr>
                        <w:rPr>
                          <w:rFonts w:ascii="Cambria Math" w:hAnsi="Cambria Math" w:cs="Arial"/>
                          <w:i w:val="0"/>
                          <w:szCs w:val="20"/>
                        </w:rPr>
                      </m:ctrlPr>
                    </m:sSubPr>
                    <m:e>
                      <m:r>
                        <w:rPr>
                          <w:rFonts w:ascii="Cambria Math" w:hAnsi="Cambria Math" w:cs="Arial"/>
                          <w:szCs w:val="20"/>
                        </w:rPr>
                        <m:t>T</m:t>
                      </m:r>
                    </m:e>
                    <m:sub>
                      <m:r>
                        <w:rPr>
                          <w:rFonts w:ascii="Cambria Math" w:hAnsi="Cambria Math" w:cs="Arial"/>
                          <w:szCs w:val="20"/>
                        </w:rPr>
                        <m:t>out</m:t>
                      </m:r>
                    </m:sub>
                  </m:sSub>
                  <m:r>
                    <w:rPr>
                      <w:rFonts w:ascii="Cambria Math" w:hAnsi="Cambria Math" w:cs="Arial"/>
                      <w:szCs w:val="20"/>
                    </w:rPr>
                    <m:t xml:space="preserve">- </m:t>
                  </m:r>
                  <m:sSub>
                    <m:sSubPr>
                      <m:ctrlPr>
                        <w:rPr>
                          <w:rFonts w:ascii="Cambria Math" w:hAnsi="Cambria Math" w:cs="Arial"/>
                          <w:i w:val="0"/>
                          <w:szCs w:val="20"/>
                        </w:rPr>
                      </m:ctrlPr>
                    </m:sSubPr>
                    <m:e>
                      <m:r>
                        <w:rPr>
                          <w:rFonts w:ascii="Cambria Math" w:hAnsi="Cambria Math" w:cs="Arial"/>
                          <w:szCs w:val="20"/>
                        </w:rPr>
                        <m:t>T</m:t>
                      </m:r>
                    </m:e>
                    <m:sub>
                      <m:r>
                        <w:rPr>
                          <w:rFonts w:ascii="Cambria Math" w:hAnsi="Cambria Math" w:cs="Arial"/>
                          <w:szCs w:val="20"/>
                        </w:rPr>
                        <m:t>in</m:t>
                      </m:r>
                    </m:sub>
                  </m:sSub>
                </m:e>
              </m:d>
              <m:r>
                <w:rPr>
                  <w:rFonts w:ascii="Cambria Math" w:hAnsi="Cambria Math" w:cs="Arial"/>
                  <w:szCs w:val="20"/>
                </w:rPr>
                <m:t>×8.3×GPHD×365×SF</m:t>
              </m:r>
            </m:num>
            <m:den>
              <m:r>
                <w:rPr>
                  <w:rFonts w:ascii="Cambria Math" w:hAnsi="Cambria Math" w:cs="Arial"/>
                  <w:szCs w:val="20"/>
                </w:rPr>
                <m:t>3412×RE</m:t>
              </m:r>
            </m:den>
          </m:f>
          <m:r>
            <w:rPr>
              <w:rFonts w:ascii="Cambria Math" w:hAnsi="Cambria Math" w:cs="Arial"/>
              <w:szCs w:val="20"/>
            </w:rPr>
            <m:t xml:space="preserve">  </m:t>
          </m:r>
        </m:oMath>
      </m:oMathPara>
    </w:p>
    <w:p w14:paraId="3C03C6AF" w14:textId="77777777" w:rsidR="00C71CAA" w:rsidRPr="001570EA" w:rsidRDefault="00C71CAA" w:rsidP="00C71CAA">
      <w:pPr>
        <w:pStyle w:val="Equation"/>
        <w:rPr>
          <w:rFonts w:cs="Arial"/>
          <w:szCs w:val="20"/>
        </w:rPr>
      </w:pPr>
    </w:p>
    <w:p w14:paraId="77EA06CE" w14:textId="77777777" w:rsidR="00C71CAA" w:rsidRPr="001570EA" w:rsidRDefault="00C71CAA" w:rsidP="00C71CAA">
      <w:pPr>
        <w:pStyle w:val="BodyText"/>
        <w:rPr>
          <w:rFonts w:eastAsia="Calibri" w:cs="Arial"/>
          <w:i/>
        </w:rPr>
      </w:pPr>
      <m:oMathPara>
        <m:oMathParaPr>
          <m:jc m:val="left"/>
        </m:oMathParaPr>
        <m:oMath>
          <m:r>
            <w:rPr>
              <w:rFonts w:ascii="Cambria Math" w:hAnsi="Cambria Math" w:cs="Arial"/>
              <w:vertAlign w:val="subscript"/>
            </w:rPr>
            <m:t>∆</m:t>
          </m:r>
          <m:sSub>
            <m:sSubPr>
              <m:ctrlPr>
                <w:rPr>
                  <w:rFonts w:ascii="Cambria Math" w:hAnsi="Cambria Math" w:cs="Arial"/>
                  <w:vertAlign w:val="subscript"/>
                </w:rPr>
              </m:ctrlPr>
            </m:sSubPr>
            <m:e>
              <m:r>
                <w:rPr>
                  <w:rFonts w:ascii="Cambria Math" w:hAnsi="Cambria Math" w:cs="Arial"/>
                  <w:vertAlign w:val="subscript"/>
                </w:rPr>
                <m:t>kW</m:t>
              </m:r>
            </m:e>
            <m:sub>
              <m:r>
                <w:rPr>
                  <w:rFonts w:ascii="Cambria Math" w:hAnsi="Cambria Math" w:cs="Arial"/>
                  <w:vertAlign w:val="subscript"/>
                </w:rPr>
                <m:t>summer peak</m:t>
              </m:r>
            </m:sub>
          </m:sSub>
          <m:r>
            <w:rPr>
              <w:rFonts w:ascii="Cambria Math" w:hAnsi="Cambria Math" w:cs="Arial"/>
              <w:vertAlign w:val="subscript"/>
            </w:rPr>
            <m:t xml:space="preserve">                             =</m:t>
          </m:r>
          <m:r>
            <w:rPr>
              <w:rFonts w:ascii="Cambria Math" w:hAnsi="Cambria Math" w:cs="Arial"/>
            </w:rPr>
            <m:t>∆kWh×</m:t>
          </m:r>
          <m:sSub>
            <m:sSubPr>
              <m:ctrlPr>
                <w:rPr>
                  <w:rFonts w:ascii="Cambria Math" w:hAnsi="Cambria Math" w:cs="Arial"/>
                  <w:i/>
                </w:rPr>
              </m:ctrlPr>
            </m:sSubPr>
            <m:e>
              <m:r>
                <w:rPr>
                  <w:rFonts w:ascii="Cambria Math" w:hAnsi="Cambria Math" w:cs="Arial"/>
                </w:rPr>
                <m:t>ETDF</m:t>
              </m:r>
            </m:e>
            <m:sub>
              <m:r>
                <w:rPr>
                  <w:rFonts w:ascii="Cambria Math" w:hAnsi="Cambria Math" w:cs="Arial"/>
                </w:rPr>
                <m:t>S</m:t>
              </m:r>
            </m:sub>
          </m:sSub>
        </m:oMath>
      </m:oMathPara>
    </w:p>
    <w:p w14:paraId="681407DE" w14:textId="77777777" w:rsidR="00C71CAA" w:rsidRPr="001570EA" w:rsidRDefault="00C71CAA" w:rsidP="00C71CAA">
      <w:pPr>
        <w:pStyle w:val="BodyText"/>
        <w:rPr>
          <w:rFonts w:eastAsia="Calibri" w:cs="Arial"/>
          <w:i/>
        </w:rPr>
      </w:pPr>
    </w:p>
    <w:p w14:paraId="637EB360" w14:textId="77777777" w:rsidR="00C71CAA" w:rsidRPr="001570EA" w:rsidRDefault="00C71CAA" w:rsidP="00C71CAA">
      <w:pPr>
        <w:pStyle w:val="BodyText"/>
        <w:rPr>
          <w:rFonts w:cs="Arial"/>
        </w:rPr>
      </w:pPr>
      <m:oMathPara>
        <m:oMathParaPr>
          <m:jc m:val="left"/>
        </m:oMathParaPr>
        <m:oMath>
          <m:r>
            <w:rPr>
              <w:rFonts w:ascii="Cambria Math" w:hAnsi="Cambria Math" w:cs="Arial"/>
              <w:vertAlign w:val="subscript"/>
            </w:rPr>
            <m:t>∆</m:t>
          </m:r>
          <m:sSub>
            <m:sSubPr>
              <m:ctrlPr>
                <w:rPr>
                  <w:rFonts w:ascii="Cambria Math" w:hAnsi="Cambria Math" w:cs="Arial"/>
                  <w:vertAlign w:val="subscript"/>
                </w:rPr>
              </m:ctrlPr>
            </m:sSubPr>
            <m:e>
              <m:r>
                <w:rPr>
                  <w:rFonts w:ascii="Cambria Math" w:hAnsi="Cambria Math" w:cs="Arial"/>
                  <w:vertAlign w:val="subscript"/>
                </w:rPr>
                <m:t>kW</m:t>
              </m:r>
            </m:e>
            <m:sub>
              <m:r>
                <w:rPr>
                  <w:rFonts w:ascii="Cambria Math" w:hAnsi="Cambria Math" w:cs="Arial"/>
                  <w:vertAlign w:val="subscript"/>
                </w:rPr>
                <m:t>winter peak</m:t>
              </m:r>
            </m:sub>
          </m:sSub>
          <m:r>
            <w:rPr>
              <w:rFonts w:ascii="Cambria Math" w:hAnsi="Cambria Math" w:cs="Arial"/>
              <w:vertAlign w:val="subscript"/>
            </w:rPr>
            <m:t xml:space="preserve">                               =</m:t>
          </m:r>
          <m:r>
            <w:rPr>
              <w:rFonts w:ascii="Cambria Math" w:hAnsi="Cambria Math" w:cs="Arial"/>
            </w:rPr>
            <m:t>∆kWh×</m:t>
          </m:r>
          <m:sSub>
            <m:sSubPr>
              <m:ctrlPr>
                <w:rPr>
                  <w:rFonts w:ascii="Cambria Math" w:hAnsi="Cambria Math" w:cs="Arial"/>
                  <w:i/>
                </w:rPr>
              </m:ctrlPr>
            </m:sSubPr>
            <m:e>
              <m:r>
                <w:rPr>
                  <w:rFonts w:ascii="Cambria Math" w:hAnsi="Cambria Math" w:cs="Arial"/>
                </w:rPr>
                <m:t>ETDF</m:t>
              </m:r>
            </m:e>
            <m:sub>
              <m:r>
                <w:rPr>
                  <w:rFonts w:ascii="Cambria Math" w:hAnsi="Cambria Math" w:cs="Arial"/>
                </w:rPr>
                <m:t>W</m:t>
              </m:r>
            </m:sub>
          </m:sSub>
        </m:oMath>
      </m:oMathPara>
    </w:p>
    <w:p w14:paraId="0EB46104" w14:textId="77777777" w:rsidR="00C71CAA" w:rsidRPr="001570EA" w:rsidRDefault="00C71CAA" w:rsidP="00C71CAA">
      <w:pPr>
        <w:pStyle w:val="BodyText"/>
        <w:rPr>
          <w:rFonts w:cs="Arial"/>
        </w:rPr>
      </w:pPr>
    </w:p>
    <w:p w14:paraId="7D708DCE" w14:textId="77777777" w:rsidR="00C71CAA" w:rsidRPr="001570EA" w:rsidRDefault="00C71CAA" w:rsidP="00C71CAA">
      <w:pPr>
        <w:pStyle w:val="SubStyle"/>
      </w:pPr>
      <w:r w:rsidRPr="001570EA">
        <w:t>Definition of Terms</w:t>
      </w:r>
    </w:p>
    <w:p w14:paraId="61FD0574" w14:textId="41B55F52" w:rsidR="00C71CAA" w:rsidRPr="001570EA" w:rsidRDefault="00C71CAA" w:rsidP="00C71CAA">
      <w:pPr>
        <w:pStyle w:val="Caption"/>
      </w:pPr>
      <w:bookmarkStart w:id="504" w:name="_Toc10629246"/>
      <w:bookmarkStart w:id="505" w:name="_Toc4759831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76</w:t>
      </w:r>
      <w:r w:rsidR="002E093A" w:rsidRPr="001570EA">
        <w:fldChar w:fldCharType="end"/>
      </w:r>
      <w:r w:rsidRPr="001570EA">
        <w:t>: Terms</w:t>
      </w:r>
      <w:r w:rsidRPr="001570EA">
        <w:rPr>
          <w:rFonts w:cs="Arial"/>
        </w:rPr>
        <w:t>, Values, and References for</w:t>
      </w:r>
      <w:r w:rsidRPr="001570EA">
        <w:t xml:space="preserve"> </w:t>
      </w:r>
      <w:bookmarkEnd w:id="504"/>
      <w:r w:rsidRPr="001570EA">
        <w:t>Drain Water Heat Recovery Units</w:t>
      </w:r>
      <w:bookmarkEnd w:id="505"/>
    </w:p>
    <w:tbl>
      <w:tblPr>
        <w:tblW w:w="8527" w:type="dxa"/>
        <w:tblInd w:w="108" w:type="dxa"/>
        <w:tblLayout w:type="fixed"/>
        <w:tblLook w:val="04A0" w:firstRow="1" w:lastRow="0" w:firstColumn="1" w:lastColumn="0" w:noHBand="0" w:noVBand="1"/>
      </w:tblPr>
      <w:tblGrid>
        <w:gridCol w:w="3510"/>
        <w:gridCol w:w="1620"/>
        <w:gridCol w:w="2160"/>
        <w:gridCol w:w="1237"/>
      </w:tblGrid>
      <w:tr w:rsidR="00C71CAA" w:rsidRPr="001570EA" w14:paraId="36B174C8" w14:textId="77777777">
        <w:trPr>
          <w:tblHeader/>
        </w:trPr>
        <w:tc>
          <w:tcPr>
            <w:tcW w:w="3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C72974" w14:textId="77777777" w:rsidR="00C71CAA" w:rsidRPr="001570EA" w:rsidRDefault="00C71CAA">
            <w:pPr>
              <w:spacing w:before="60" w:after="60"/>
              <w:rPr>
                <w:rFonts w:cs="Arial"/>
                <w:sz w:val="18"/>
                <w:szCs w:val="18"/>
              </w:rPr>
            </w:pPr>
            <w:r w:rsidRPr="001570EA">
              <w:rPr>
                <w:b/>
                <w:sz w:val="18"/>
                <w:szCs w:val="18"/>
              </w:rPr>
              <w:t>Term</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8E19B6" w14:textId="77777777" w:rsidR="00C71CAA" w:rsidRPr="001570EA" w:rsidRDefault="00C71CAA">
            <w:pPr>
              <w:spacing w:before="60" w:after="60"/>
              <w:jc w:val="center"/>
              <w:rPr>
                <w:rFonts w:cs="Arial"/>
                <w:sz w:val="18"/>
                <w:szCs w:val="18"/>
              </w:rPr>
            </w:pPr>
            <w:r w:rsidRPr="001570EA">
              <w:rPr>
                <w:b/>
                <w:sz w:val="18"/>
                <w:szCs w:val="18"/>
              </w:rPr>
              <w:t>Unit</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7D3B66" w14:textId="77777777" w:rsidR="00C71CAA" w:rsidRPr="001570EA" w:rsidRDefault="00C71CAA">
            <w:pPr>
              <w:spacing w:before="60" w:after="60"/>
              <w:jc w:val="center"/>
              <w:rPr>
                <w:rFonts w:cs="Arial"/>
                <w:sz w:val="18"/>
                <w:szCs w:val="18"/>
              </w:rPr>
            </w:pPr>
            <w:r w:rsidRPr="001570EA">
              <w:rPr>
                <w:b/>
                <w:sz w:val="18"/>
                <w:szCs w:val="18"/>
              </w:rPr>
              <w:t>Value</w:t>
            </w:r>
          </w:p>
        </w:tc>
        <w:tc>
          <w:tcPr>
            <w:tcW w:w="12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5CA1A2" w14:textId="77777777" w:rsidR="00C71CAA" w:rsidRPr="001570EA" w:rsidRDefault="00C71CAA">
            <w:pPr>
              <w:spacing w:before="60" w:after="60"/>
              <w:jc w:val="center"/>
              <w:rPr>
                <w:rFonts w:cs="Arial"/>
                <w:sz w:val="18"/>
                <w:szCs w:val="18"/>
              </w:rPr>
            </w:pPr>
            <w:r w:rsidRPr="001570EA">
              <w:rPr>
                <w:b/>
                <w:sz w:val="18"/>
                <w:szCs w:val="18"/>
              </w:rPr>
              <w:t>Source</w:t>
            </w:r>
          </w:p>
        </w:tc>
      </w:tr>
      <w:tr w:rsidR="00C71CAA" w:rsidRPr="001570EA" w14:paraId="19506934" w14:textId="77777777">
        <w:tc>
          <w:tcPr>
            <w:tcW w:w="3510" w:type="dxa"/>
            <w:tcBorders>
              <w:top w:val="single" w:sz="4" w:space="0" w:color="auto"/>
              <w:left w:val="single" w:sz="4" w:space="0" w:color="auto"/>
              <w:bottom w:val="single" w:sz="4" w:space="0" w:color="auto"/>
              <w:right w:val="single" w:sz="4" w:space="0" w:color="auto"/>
            </w:tcBorders>
          </w:tcPr>
          <w:p w14:paraId="50D9E796" w14:textId="77777777" w:rsidR="00C71CAA" w:rsidRPr="001570EA" w:rsidRDefault="00C71CAA">
            <w:pPr>
              <w:spacing w:before="60" w:after="60"/>
              <w:jc w:val="left"/>
              <w:rPr>
                <w:rFonts w:cs="Arial"/>
                <w:i/>
                <w:sz w:val="18"/>
                <w:szCs w:val="18"/>
              </w:rPr>
            </w:pPr>
            <w:r w:rsidRPr="001570EA">
              <w:rPr>
                <w:rFonts w:ascii="Cambria Math" w:hAnsi="Cambria Math" w:cs="Arial"/>
                <w:i/>
                <w:sz w:val="18"/>
                <w:szCs w:val="18"/>
              </w:rPr>
              <w:t>T</w:t>
            </w:r>
            <w:r w:rsidRPr="001570EA">
              <w:rPr>
                <w:rFonts w:ascii="Cambria Math" w:hAnsi="Cambria Math" w:cs="Arial"/>
                <w:i/>
                <w:sz w:val="18"/>
                <w:szCs w:val="18"/>
                <w:vertAlign w:val="subscript"/>
              </w:rPr>
              <w:t>out</w:t>
            </w:r>
            <w:r w:rsidRPr="001570EA">
              <w:rPr>
                <w:rFonts w:ascii="Cambria Math" w:hAnsi="Cambria Math" w:cs="Arial"/>
                <w:sz w:val="18"/>
                <w:szCs w:val="18"/>
              </w:rPr>
              <w:t>,</w:t>
            </w:r>
            <w:r w:rsidRPr="001570EA">
              <w:rPr>
                <w:rFonts w:cs="Arial"/>
                <w:sz w:val="18"/>
                <w:szCs w:val="18"/>
              </w:rPr>
              <w:t xml:space="preserve"> Assumed temperature of water used by showerhead</w:t>
            </w:r>
          </w:p>
        </w:tc>
        <w:tc>
          <w:tcPr>
            <w:tcW w:w="1620" w:type="dxa"/>
            <w:tcBorders>
              <w:top w:val="single" w:sz="4" w:space="0" w:color="auto"/>
              <w:left w:val="single" w:sz="4" w:space="0" w:color="auto"/>
              <w:bottom w:val="single" w:sz="4" w:space="0" w:color="auto"/>
              <w:right w:val="single" w:sz="4" w:space="0" w:color="auto"/>
            </w:tcBorders>
            <w:vAlign w:val="center"/>
          </w:tcPr>
          <w:p w14:paraId="5296488C" w14:textId="77777777" w:rsidR="00C71CAA" w:rsidRPr="001570EA" w:rsidRDefault="00C71CAA">
            <w:pPr>
              <w:spacing w:before="60" w:after="60"/>
              <w:jc w:val="center"/>
              <w:rPr>
                <w:rFonts w:eastAsia="Calibri" w:cs="Arial"/>
                <w:color w:val="000000"/>
                <w:sz w:val="18"/>
                <w:szCs w:val="18"/>
              </w:rPr>
            </w:pPr>
            <w:r w:rsidRPr="001570EA">
              <w:rPr>
                <w:rFonts w:cs="Arial"/>
                <w:i/>
                <w:sz w:val="18"/>
                <w:szCs w:val="18"/>
              </w:rPr>
              <w:t>° F</w:t>
            </w:r>
          </w:p>
        </w:tc>
        <w:tc>
          <w:tcPr>
            <w:tcW w:w="2160" w:type="dxa"/>
            <w:tcBorders>
              <w:top w:val="single" w:sz="4" w:space="0" w:color="auto"/>
              <w:left w:val="single" w:sz="4" w:space="0" w:color="auto"/>
              <w:bottom w:val="single" w:sz="4" w:space="0" w:color="auto"/>
              <w:right w:val="single" w:sz="4" w:space="0" w:color="auto"/>
            </w:tcBorders>
            <w:vAlign w:val="center"/>
          </w:tcPr>
          <w:p w14:paraId="6A6A01A4" w14:textId="77777777" w:rsidR="00C71CAA" w:rsidRPr="001570EA" w:rsidRDefault="00C71CAA">
            <w:pPr>
              <w:spacing w:before="60" w:after="60"/>
              <w:jc w:val="center"/>
              <w:rPr>
                <w:rFonts w:cs="Arial"/>
                <w:sz w:val="18"/>
                <w:szCs w:val="18"/>
              </w:rPr>
            </w:pPr>
            <w:r w:rsidRPr="001570EA">
              <w:rPr>
                <w:rFonts w:cs="Arial"/>
                <w:sz w:val="18"/>
                <w:szCs w:val="18"/>
              </w:rPr>
              <w:t>101</w:t>
            </w:r>
          </w:p>
        </w:tc>
        <w:tc>
          <w:tcPr>
            <w:tcW w:w="1237" w:type="dxa"/>
            <w:tcBorders>
              <w:top w:val="single" w:sz="4" w:space="0" w:color="auto"/>
              <w:left w:val="single" w:sz="4" w:space="0" w:color="auto"/>
              <w:bottom w:val="single" w:sz="4" w:space="0" w:color="auto"/>
              <w:right w:val="single" w:sz="4" w:space="0" w:color="auto"/>
            </w:tcBorders>
            <w:vAlign w:val="center"/>
          </w:tcPr>
          <w:p w14:paraId="7FCDE829" w14:textId="77777777" w:rsidR="00C71CAA" w:rsidRPr="001570EA" w:rsidRDefault="00C71CAA">
            <w:pPr>
              <w:spacing w:before="60" w:after="60"/>
              <w:jc w:val="center"/>
              <w:rPr>
                <w:rFonts w:cs="Arial"/>
                <w:sz w:val="18"/>
                <w:szCs w:val="18"/>
              </w:rPr>
            </w:pPr>
            <w:r w:rsidRPr="001570EA">
              <w:rPr>
                <w:rFonts w:cs="Arial"/>
                <w:sz w:val="18"/>
                <w:szCs w:val="18"/>
              </w:rPr>
              <w:t>2</w:t>
            </w:r>
          </w:p>
        </w:tc>
      </w:tr>
      <w:tr w:rsidR="00C71CAA" w:rsidRPr="001570EA" w14:paraId="2EC89162" w14:textId="77777777">
        <w:tc>
          <w:tcPr>
            <w:tcW w:w="3510" w:type="dxa"/>
            <w:tcBorders>
              <w:top w:val="single" w:sz="4" w:space="0" w:color="auto"/>
              <w:left w:val="single" w:sz="4" w:space="0" w:color="auto"/>
              <w:bottom w:val="single" w:sz="4" w:space="0" w:color="auto"/>
              <w:right w:val="single" w:sz="4" w:space="0" w:color="auto"/>
            </w:tcBorders>
          </w:tcPr>
          <w:p w14:paraId="3CE0B08E" w14:textId="77777777" w:rsidR="00C71CAA" w:rsidRPr="001570EA" w:rsidRDefault="00C71CAA">
            <w:pPr>
              <w:spacing w:before="60" w:after="60"/>
              <w:jc w:val="left"/>
              <w:rPr>
                <w:rFonts w:cs="Arial"/>
                <w:i/>
                <w:sz w:val="18"/>
                <w:szCs w:val="18"/>
              </w:rPr>
            </w:pPr>
            <w:r w:rsidRPr="001570EA">
              <w:rPr>
                <w:rFonts w:ascii="Cambria Math" w:hAnsi="Cambria Math" w:cs="Arial"/>
                <w:i/>
                <w:sz w:val="18"/>
                <w:szCs w:val="18"/>
              </w:rPr>
              <w:t>T</w:t>
            </w:r>
            <w:r w:rsidRPr="001570EA">
              <w:rPr>
                <w:rFonts w:ascii="Cambria Math" w:hAnsi="Cambria Math" w:cs="Arial"/>
                <w:i/>
                <w:sz w:val="18"/>
                <w:szCs w:val="18"/>
                <w:vertAlign w:val="subscript"/>
              </w:rPr>
              <w:t>in</w:t>
            </w:r>
            <w:r w:rsidRPr="001570EA">
              <w:rPr>
                <w:rFonts w:cs="Arial"/>
                <w:sz w:val="18"/>
                <w:szCs w:val="18"/>
              </w:rPr>
              <w:t>, Assumed temperature of water entering house</w:t>
            </w:r>
          </w:p>
        </w:tc>
        <w:tc>
          <w:tcPr>
            <w:tcW w:w="1620" w:type="dxa"/>
            <w:tcBorders>
              <w:top w:val="single" w:sz="4" w:space="0" w:color="auto"/>
              <w:left w:val="single" w:sz="4" w:space="0" w:color="auto"/>
              <w:bottom w:val="single" w:sz="4" w:space="0" w:color="auto"/>
              <w:right w:val="single" w:sz="4" w:space="0" w:color="auto"/>
            </w:tcBorders>
            <w:vAlign w:val="center"/>
          </w:tcPr>
          <w:p w14:paraId="12E20810" w14:textId="77777777" w:rsidR="00C71CAA" w:rsidRPr="001570EA" w:rsidRDefault="00C71CAA">
            <w:pPr>
              <w:spacing w:before="60" w:after="60"/>
              <w:jc w:val="center"/>
              <w:rPr>
                <w:rFonts w:eastAsia="Calibri" w:cs="Arial"/>
                <w:color w:val="000000"/>
                <w:sz w:val="18"/>
                <w:szCs w:val="18"/>
              </w:rPr>
            </w:pPr>
            <w:r w:rsidRPr="001570EA">
              <w:rPr>
                <w:rFonts w:cs="Arial"/>
                <w:i/>
                <w:sz w:val="18"/>
                <w:szCs w:val="18"/>
              </w:rPr>
              <w:t>° F</w:t>
            </w:r>
          </w:p>
        </w:tc>
        <w:tc>
          <w:tcPr>
            <w:tcW w:w="2160" w:type="dxa"/>
            <w:tcBorders>
              <w:top w:val="single" w:sz="4" w:space="0" w:color="auto"/>
              <w:left w:val="single" w:sz="4" w:space="0" w:color="auto"/>
              <w:bottom w:val="single" w:sz="4" w:space="0" w:color="auto"/>
              <w:right w:val="single" w:sz="4" w:space="0" w:color="auto"/>
            </w:tcBorders>
            <w:vAlign w:val="center"/>
          </w:tcPr>
          <w:p w14:paraId="045C0470" w14:textId="77777777" w:rsidR="00C71CAA" w:rsidRPr="001570EA" w:rsidRDefault="00C71CAA">
            <w:pPr>
              <w:spacing w:before="60" w:after="60"/>
              <w:jc w:val="center"/>
              <w:rPr>
                <w:rFonts w:cs="Arial"/>
                <w:sz w:val="18"/>
                <w:szCs w:val="18"/>
              </w:rPr>
            </w:pPr>
            <w:r w:rsidRPr="001570EA">
              <w:rPr>
                <w:rFonts w:cs="Arial"/>
                <w:sz w:val="18"/>
                <w:szCs w:val="18"/>
              </w:rPr>
              <w:t>53</w:t>
            </w:r>
          </w:p>
        </w:tc>
        <w:tc>
          <w:tcPr>
            <w:tcW w:w="1237" w:type="dxa"/>
            <w:tcBorders>
              <w:top w:val="single" w:sz="4" w:space="0" w:color="auto"/>
              <w:left w:val="single" w:sz="4" w:space="0" w:color="auto"/>
              <w:bottom w:val="single" w:sz="4" w:space="0" w:color="auto"/>
              <w:right w:val="single" w:sz="4" w:space="0" w:color="auto"/>
            </w:tcBorders>
            <w:vAlign w:val="center"/>
          </w:tcPr>
          <w:p w14:paraId="5923001F" w14:textId="77777777" w:rsidR="00C71CAA" w:rsidRPr="001570EA" w:rsidRDefault="00C71CAA">
            <w:pPr>
              <w:spacing w:before="60" w:after="60"/>
              <w:jc w:val="center"/>
              <w:rPr>
                <w:rFonts w:cs="Arial"/>
                <w:sz w:val="18"/>
                <w:szCs w:val="18"/>
              </w:rPr>
            </w:pPr>
            <w:r w:rsidRPr="001570EA">
              <w:rPr>
                <w:rFonts w:cs="Arial"/>
                <w:sz w:val="18"/>
                <w:szCs w:val="18"/>
              </w:rPr>
              <w:t>3</w:t>
            </w:r>
          </w:p>
        </w:tc>
      </w:tr>
      <w:tr w:rsidR="00C71CAA" w:rsidRPr="001570EA" w14:paraId="34F5CE7A" w14:textId="77777777">
        <w:tc>
          <w:tcPr>
            <w:tcW w:w="3510" w:type="dxa"/>
            <w:tcBorders>
              <w:top w:val="single" w:sz="4" w:space="0" w:color="auto"/>
              <w:left w:val="single" w:sz="4" w:space="0" w:color="auto"/>
              <w:bottom w:val="single" w:sz="4" w:space="0" w:color="auto"/>
              <w:right w:val="single" w:sz="4" w:space="0" w:color="auto"/>
            </w:tcBorders>
            <w:hideMark/>
          </w:tcPr>
          <w:p w14:paraId="5F7E3A8F" w14:textId="77777777" w:rsidR="00C71CAA" w:rsidRPr="001570EA" w:rsidRDefault="00C71CAA">
            <w:pPr>
              <w:spacing w:before="60" w:after="60"/>
              <w:jc w:val="left"/>
              <w:rPr>
                <w:rFonts w:cs="Arial"/>
                <w:sz w:val="18"/>
                <w:szCs w:val="18"/>
              </w:rPr>
            </w:pPr>
            <w:r w:rsidRPr="001570EA">
              <w:rPr>
                <w:rFonts w:ascii="Cambria Math" w:hAnsi="Cambria Math" w:cs="Arial"/>
                <w:i/>
                <w:sz w:val="18"/>
                <w:szCs w:val="18"/>
              </w:rPr>
              <w:t>GPHD</w:t>
            </w:r>
            <w:r w:rsidRPr="001570EA">
              <w:rPr>
                <w:rFonts w:cs="Arial"/>
                <w:sz w:val="18"/>
                <w:szCs w:val="18"/>
              </w:rPr>
              <w:t>, Gallons of hot water use per household per day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899779D" w14:textId="77777777" w:rsidR="00C71CAA" w:rsidRPr="001570EA" w:rsidRDefault="003B5E04">
            <w:pPr>
              <w:spacing w:before="60" w:after="60"/>
              <w:jc w:val="center"/>
              <w:rPr>
                <w:rFonts w:cs="Arial"/>
                <w:sz w:val="18"/>
                <w:szCs w:val="18"/>
              </w:rPr>
            </w:pPr>
            <m:oMathPara>
              <m:oMath>
                <m:f>
                  <m:fPr>
                    <m:ctrlPr>
                      <w:rPr>
                        <w:rFonts w:ascii="Cambria Math" w:hAnsi="Cambria Math" w:cs="Arial"/>
                        <w:i/>
                        <w:color w:val="000000"/>
                        <w:sz w:val="18"/>
                        <w:szCs w:val="18"/>
                      </w:rPr>
                    </m:ctrlPr>
                  </m:fPr>
                  <m:num>
                    <m:r>
                      <w:rPr>
                        <w:rFonts w:ascii="Cambria Math" w:hAnsi="Cambria Math" w:cs="Arial"/>
                        <w:color w:val="000000"/>
                        <w:sz w:val="18"/>
                        <w:szCs w:val="18"/>
                      </w:rPr>
                      <m:t xml:space="preserve">gallons </m:t>
                    </m:r>
                  </m:num>
                  <m:den>
                    <m:r>
                      <w:rPr>
                        <w:rFonts w:ascii="Cambria Math" w:hAnsi="Cambria Math" w:cs="Arial"/>
                        <w:color w:val="000000"/>
                        <w:sz w:val="18"/>
                        <w:szCs w:val="18"/>
                      </w:rPr>
                      <m:t>day</m:t>
                    </m:r>
                  </m:den>
                </m:f>
              </m:oMath>
            </m:oMathPara>
          </w:p>
        </w:tc>
        <w:tc>
          <w:tcPr>
            <w:tcW w:w="2160" w:type="dxa"/>
            <w:tcBorders>
              <w:top w:val="single" w:sz="4" w:space="0" w:color="auto"/>
              <w:left w:val="single" w:sz="4" w:space="0" w:color="auto"/>
              <w:bottom w:val="single" w:sz="4" w:space="0" w:color="auto"/>
              <w:right w:val="single" w:sz="4" w:space="0" w:color="auto"/>
            </w:tcBorders>
            <w:vAlign w:val="center"/>
            <w:hideMark/>
          </w:tcPr>
          <w:p w14:paraId="028E7896" w14:textId="77777777" w:rsidR="00C71CAA" w:rsidRPr="001570EA" w:rsidRDefault="00C71CAA">
            <w:pPr>
              <w:spacing w:before="60" w:after="60"/>
              <w:jc w:val="center"/>
              <w:rPr>
                <w:rFonts w:cs="Arial"/>
                <w:sz w:val="18"/>
                <w:szCs w:val="18"/>
              </w:rPr>
            </w:pPr>
            <w:r w:rsidRPr="001570EA">
              <w:rPr>
                <w:rFonts w:cs="Arial"/>
                <w:sz w:val="18"/>
                <w:szCs w:val="18"/>
              </w:rPr>
              <w:t>Shower only: 17.8</w:t>
            </w:r>
          </w:p>
          <w:p w14:paraId="2EB4CEF6" w14:textId="77777777" w:rsidR="00C71CAA" w:rsidRPr="001570EA" w:rsidRDefault="00C71CAA">
            <w:pPr>
              <w:spacing w:before="60" w:after="60"/>
              <w:jc w:val="center"/>
              <w:rPr>
                <w:rFonts w:cs="Arial"/>
                <w:sz w:val="18"/>
                <w:szCs w:val="18"/>
              </w:rPr>
            </w:pPr>
            <w:r w:rsidRPr="001570EA">
              <w:rPr>
                <w:rFonts w:cs="Arial"/>
                <w:sz w:val="18"/>
                <w:szCs w:val="18"/>
              </w:rPr>
              <w:t>Whole house: 45.5</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9747D3F" w14:textId="77777777" w:rsidR="00C71CAA" w:rsidRPr="001570EA" w:rsidRDefault="00C71CAA">
            <w:pPr>
              <w:spacing w:before="60" w:after="60"/>
              <w:jc w:val="center"/>
              <w:rPr>
                <w:rFonts w:cs="Arial"/>
                <w:sz w:val="18"/>
                <w:szCs w:val="18"/>
              </w:rPr>
            </w:pPr>
            <w:r w:rsidRPr="001570EA">
              <w:rPr>
                <w:rFonts w:cs="Arial"/>
                <w:sz w:val="18"/>
                <w:szCs w:val="18"/>
              </w:rPr>
              <w:t>4</w:t>
            </w:r>
          </w:p>
        </w:tc>
      </w:tr>
      <w:tr w:rsidR="00C71CAA" w:rsidRPr="001570EA" w14:paraId="2DD73DCD" w14:textId="77777777">
        <w:tc>
          <w:tcPr>
            <w:tcW w:w="3510" w:type="dxa"/>
            <w:tcBorders>
              <w:top w:val="single" w:sz="4" w:space="0" w:color="auto"/>
              <w:left w:val="single" w:sz="4" w:space="0" w:color="auto"/>
              <w:bottom w:val="single" w:sz="4" w:space="0" w:color="auto"/>
              <w:right w:val="single" w:sz="4" w:space="0" w:color="auto"/>
            </w:tcBorders>
          </w:tcPr>
          <w:p w14:paraId="54FEEA12" w14:textId="77777777" w:rsidR="00C71CAA" w:rsidRPr="001570EA" w:rsidRDefault="00C71CAA">
            <w:pPr>
              <w:spacing w:before="60" w:after="60"/>
              <w:rPr>
                <w:rFonts w:cs="Arial"/>
                <w:sz w:val="18"/>
                <w:szCs w:val="18"/>
              </w:rPr>
            </w:pPr>
            <w:r w:rsidRPr="001570EA">
              <w:rPr>
                <w:rFonts w:ascii="Cambria Math" w:hAnsi="Cambria Math" w:cs="Arial"/>
                <w:i/>
                <w:sz w:val="18"/>
                <w:szCs w:val="18"/>
              </w:rPr>
              <w:t>SF</w:t>
            </w:r>
            <w:r w:rsidRPr="001570EA">
              <w:rPr>
                <w:rFonts w:cs="Arial"/>
                <w:sz w:val="18"/>
                <w:szCs w:val="18"/>
              </w:rPr>
              <w:t>, Water heating energy savings factor</w:t>
            </w:r>
          </w:p>
        </w:tc>
        <w:tc>
          <w:tcPr>
            <w:tcW w:w="1620" w:type="dxa"/>
            <w:tcBorders>
              <w:top w:val="single" w:sz="4" w:space="0" w:color="auto"/>
              <w:left w:val="single" w:sz="4" w:space="0" w:color="auto"/>
              <w:bottom w:val="single" w:sz="4" w:space="0" w:color="auto"/>
              <w:right w:val="single" w:sz="4" w:space="0" w:color="auto"/>
            </w:tcBorders>
            <w:vAlign w:val="center"/>
          </w:tcPr>
          <w:p w14:paraId="5266A6E1" w14:textId="77777777" w:rsidR="00C71CAA" w:rsidRPr="001570EA" w:rsidRDefault="00C71CAA">
            <w:pPr>
              <w:spacing w:before="60" w:after="60"/>
              <w:jc w:val="center"/>
              <w:rPr>
                <w:rFonts w:cs="Arial"/>
                <w:sz w:val="18"/>
                <w:szCs w:val="18"/>
              </w:rPr>
            </w:pPr>
            <w:r w:rsidRPr="001570EA">
              <w:rPr>
                <w:i/>
                <w:sz w:val="18"/>
                <w:szCs w:val="18"/>
              </w:rPr>
              <w:t>%</w:t>
            </w:r>
          </w:p>
        </w:tc>
        <w:tc>
          <w:tcPr>
            <w:tcW w:w="2160" w:type="dxa"/>
            <w:tcBorders>
              <w:top w:val="single" w:sz="4" w:space="0" w:color="auto"/>
              <w:left w:val="single" w:sz="4" w:space="0" w:color="auto"/>
              <w:bottom w:val="single" w:sz="4" w:space="0" w:color="auto"/>
              <w:right w:val="single" w:sz="4" w:space="0" w:color="auto"/>
            </w:tcBorders>
            <w:vAlign w:val="center"/>
          </w:tcPr>
          <w:p w14:paraId="471CE69F" w14:textId="77777777" w:rsidR="00C71CAA" w:rsidRPr="001570EA" w:rsidRDefault="00C71CAA">
            <w:pPr>
              <w:spacing w:before="60" w:after="60"/>
              <w:jc w:val="center"/>
              <w:rPr>
                <w:rFonts w:cs="Arial"/>
                <w:sz w:val="18"/>
                <w:szCs w:val="18"/>
              </w:rPr>
            </w:pPr>
            <w:r w:rsidRPr="001570EA">
              <w:rPr>
                <w:rFonts w:cs="Arial"/>
                <w:sz w:val="18"/>
                <w:szCs w:val="18"/>
              </w:rPr>
              <w:t>30%</w:t>
            </w:r>
          </w:p>
        </w:tc>
        <w:tc>
          <w:tcPr>
            <w:tcW w:w="1237" w:type="dxa"/>
            <w:tcBorders>
              <w:top w:val="single" w:sz="4" w:space="0" w:color="auto"/>
              <w:left w:val="single" w:sz="4" w:space="0" w:color="auto"/>
              <w:bottom w:val="single" w:sz="4" w:space="0" w:color="auto"/>
              <w:right w:val="single" w:sz="4" w:space="0" w:color="auto"/>
            </w:tcBorders>
            <w:vAlign w:val="center"/>
          </w:tcPr>
          <w:p w14:paraId="3AC83648" w14:textId="77777777" w:rsidR="00C71CAA" w:rsidRPr="001570EA" w:rsidRDefault="00C71CAA">
            <w:pPr>
              <w:spacing w:before="60" w:after="60"/>
              <w:jc w:val="center"/>
              <w:rPr>
                <w:rFonts w:cs="Arial"/>
                <w:sz w:val="18"/>
                <w:szCs w:val="18"/>
              </w:rPr>
            </w:pPr>
            <w:r w:rsidRPr="001570EA">
              <w:rPr>
                <w:rFonts w:cs="Arial"/>
                <w:sz w:val="18"/>
                <w:szCs w:val="18"/>
              </w:rPr>
              <w:t>5</w:t>
            </w:r>
          </w:p>
        </w:tc>
      </w:tr>
      <w:tr w:rsidR="00C71CAA" w:rsidRPr="001570EA" w14:paraId="606F291E" w14:textId="77777777">
        <w:tc>
          <w:tcPr>
            <w:tcW w:w="3510" w:type="dxa"/>
            <w:tcBorders>
              <w:top w:val="single" w:sz="4" w:space="0" w:color="auto"/>
              <w:left w:val="single" w:sz="4" w:space="0" w:color="auto"/>
              <w:bottom w:val="single" w:sz="4" w:space="0" w:color="auto"/>
              <w:right w:val="single" w:sz="4" w:space="0" w:color="auto"/>
            </w:tcBorders>
            <w:hideMark/>
          </w:tcPr>
          <w:p w14:paraId="356AAC8D" w14:textId="77777777" w:rsidR="00C71CAA" w:rsidRPr="001570EA" w:rsidRDefault="00C71CAA">
            <w:pPr>
              <w:spacing w:before="60" w:after="60"/>
              <w:rPr>
                <w:rFonts w:cs="Arial"/>
                <w:sz w:val="18"/>
                <w:szCs w:val="18"/>
              </w:rPr>
            </w:pPr>
            <w:r w:rsidRPr="001570EA">
              <w:rPr>
                <w:rFonts w:ascii="Cambria Math" w:hAnsi="Cambria Math" w:cs="Arial"/>
                <w:i/>
                <w:sz w:val="18"/>
                <w:szCs w:val="18"/>
              </w:rPr>
              <w:t>RE</w:t>
            </w:r>
            <w:r w:rsidRPr="001570EA">
              <w:rPr>
                <w:rFonts w:cs="Arial"/>
                <w:color w:val="000000"/>
                <w:sz w:val="18"/>
                <w:szCs w:val="18"/>
              </w:rPr>
              <w:t>, Recovery efficiency of electric water heater</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86A7736" w14:textId="77777777" w:rsidR="00C71CAA" w:rsidRPr="001570EA" w:rsidRDefault="00C71CAA">
            <w:pPr>
              <w:spacing w:before="60" w:after="60"/>
              <w:jc w:val="center"/>
              <w:rPr>
                <w:rFonts w:cs="Arial"/>
                <w:sz w:val="18"/>
                <w:szCs w:val="18"/>
              </w:rPr>
            </w:pPr>
            <w:r w:rsidRPr="001570EA">
              <w:rPr>
                <w:rFonts w:cs="Arial"/>
                <w:i/>
                <w:sz w:val="18"/>
                <w:szCs w:val="18"/>
              </w:rPr>
              <w:t>Proportion</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76C323B" w14:textId="77777777" w:rsidR="00C71CAA" w:rsidRPr="001570EA" w:rsidRDefault="00C71CAA">
            <w:pPr>
              <w:pStyle w:val="TableCell"/>
              <w:keepNext w:val="0"/>
              <w:spacing w:before="60" w:after="60"/>
              <w:jc w:val="center"/>
            </w:pPr>
            <w:r w:rsidRPr="001570EA">
              <w:t xml:space="preserve">Default: </w:t>
            </w:r>
          </w:p>
          <w:p w14:paraId="5CCFAC37" w14:textId="77777777" w:rsidR="00C71CAA" w:rsidRPr="001570EA" w:rsidRDefault="00C71CAA">
            <w:pPr>
              <w:pStyle w:val="TableCell"/>
              <w:keepNext w:val="0"/>
              <w:spacing w:before="60" w:after="60"/>
              <w:jc w:val="center"/>
            </w:pPr>
            <w:r w:rsidRPr="001570EA">
              <w:t>Resistance: 0.98</w:t>
            </w:r>
          </w:p>
          <w:p w14:paraId="260EAF52" w14:textId="77777777" w:rsidR="00C71CAA" w:rsidRPr="001570EA" w:rsidRDefault="00C71CAA">
            <w:pPr>
              <w:pStyle w:val="TableCell"/>
              <w:keepNext w:val="0"/>
              <w:spacing w:before="60" w:after="60"/>
              <w:jc w:val="center"/>
            </w:pPr>
            <w:r w:rsidRPr="001570EA">
              <w:t>HPWH: 3.93</w:t>
            </w:r>
          </w:p>
          <w:p w14:paraId="1C68A180" w14:textId="77777777" w:rsidR="00C71CAA" w:rsidRPr="001570EA" w:rsidRDefault="00C71CAA">
            <w:pPr>
              <w:spacing w:before="60" w:after="60"/>
              <w:jc w:val="center"/>
              <w:rPr>
                <w:rFonts w:cs="Arial"/>
                <w:sz w:val="18"/>
                <w:szCs w:val="18"/>
              </w:rPr>
            </w:pPr>
            <w:r w:rsidRPr="001570EA">
              <w:rPr>
                <w:sz w:val="18"/>
                <w:szCs w:val="22"/>
              </w:rPr>
              <w:t>Unknown: 1.22</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50874A1" w14:textId="77777777" w:rsidR="00C71CAA" w:rsidRPr="001570EA" w:rsidRDefault="00C71CAA">
            <w:pPr>
              <w:spacing w:before="60" w:after="60"/>
              <w:jc w:val="center"/>
              <w:rPr>
                <w:rFonts w:cs="Arial"/>
                <w:sz w:val="18"/>
                <w:szCs w:val="18"/>
              </w:rPr>
            </w:pPr>
            <w:r w:rsidRPr="001570EA">
              <w:rPr>
                <w:rFonts w:cs="Arial"/>
                <w:sz w:val="18"/>
                <w:szCs w:val="18"/>
              </w:rPr>
              <w:t>6</w:t>
            </w:r>
          </w:p>
        </w:tc>
      </w:tr>
      <w:tr w:rsidR="00C71CAA" w:rsidRPr="001570EA" w14:paraId="5F4F9B87" w14:textId="77777777">
        <w:tc>
          <w:tcPr>
            <w:tcW w:w="3510" w:type="dxa"/>
            <w:tcBorders>
              <w:top w:val="single" w:sz="4" w:space="0" w:color="auto"/>
              <w:left w:val="single" w:sz="4" w:space="0" w:color="auto"/>
              <w:bottom w:val="single" w:sz="4" w:space="0" w:color="auto"/>
              <w:right w:val="single" w:sz="4" w:space="0" w:color="auto"/>
            </w:tcBorders>
            <w:hideMark/>
          </w:tcPr>
          <w:p w14:paraId="23893BA4" w14:textId="77777777" w:rsidR="00C71CAA" w:rsidRPr="001570EA" w:rsidRDefault="00C71CAA">
            <w:pPr>
              <w:spacing w:before="60" w:after="60"/>
              <w:rPr>
                <w:rFonts w:cs="Arial"/>
                <w:sz w:val="18"/>
                <w:szCs w:val="18"/>
              </w:rPr>
            </w:pPr>
            <w:r w:rsidRPr="001570EA">
              <w:rPr>
                <w:rFonts w:ascii="Cambria Math" w:hAnsi="Cambria Math" w:cs="Arial"/>
                <w:i/>
                <w:sz w:val="18"/>
                <w:szCs w:val="18"/>
              </w:rPr>
              <w:t>ETDF</w:t>
            </w:r>
            <w:r w:rsidRPr="001570EA">
              <w:rPr>
                <w:rFonts w:ascii="Cambria Math" w:hAnsi="Cambria Math" w:cs="Arial"/>
                <w:i/>
                <w:sz w:val="18"/>
                <w:szCs w:val="18"/>
                <w:vertAlign w:val="subscript"/>
              </w:rPr>
              <w:t>s</w:t>
            </w:r>
            <w:r w:rsidRPr="001570EA">
              <w:rPr>
                <w:rFonts w:cs="Arial"/>
                <w:sz w:val="18"/>
                <w:szCs w:val="18"/>
              </w:rPr>
              <w:t>, Summer Energy to Demand Factor</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2C1D0F4" w14:textId="77777777" w:rsidR="00C71CAA" w:rsidRPr="001570EA" w:rsidRDefault="003B5E04">
            <w:pPr>
              <w:spacing w:before="60" w:after="60"/>
              <w:jc w:val="center"/>
              <w:rPr>
                <w:rFonts w:cs="Arial"/>
                <w:sz w:val="18"/>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160" w:type="dxa"/>
            <w:tcBorders>
              <w:top w:val="single" w:sz="4" w:space="0" w:color="auto"/>
              <w:left w:val="single" w:sz="4" w:space="0" w:color="auto"/>
              <w:bottom w:val="single" w:sz="4" w:space="0" w:color="auto"/>
              <w:right w:val="single" w:sz="4" w:space="0" w:color="auto"/>
            </w:tcBorders>
            <w:hideMark/>
          </w:tcPr>
          <w:p w14:paraId="4079FA55" w14:textId="77777777" w:rsidR="00C71CAA" w:rsidRPr="001570EA" w:rsidRDefault="00C71CAA">
            <w:pPr>
              <w:spacing w:before="60" w:after="60"/>
              <w:jc w:val="center"/>
              <w:rPr>
                <w:sz w:val="18"/>
                <w:szCs w:val="18"/>
              </w:rPr>
            </w:pPr>
            <w:r w:rsidRPr="001570EA">
              <w:rPr>
                <w:sz w:val="18"/>
                <w:szCs w:val="18"/>
              </w:rPr>
              <w:t>SF: 0.0001057</w:t>
            </w:r>
          </w:p>
          <w:p w14:paraId="2285529E" w14:textId="77777777" w:rsidR="00C71CAA" w:rsidRPr="001570EA" w:rsidRDefault="00C71CAA">
            <w:pPr>
              <w:spacing w:before="60" w:after="60"/>
              <w:jc w:val="center"/>
              <w:rPr>
                <w:sz w:val="18"/>
                <w:szCs w:val="18"/>
              </w:rPr>
            </w:pPr>
            <w:r w:rsidRPr="001570EA">
              <w:rPr>
                <w:sz w:val="18"/>
                <w:szCs w:val="18"/>
              </w:rPr>
              <w:t>MF: 0.0001006</w:t>
            </w:r>
          </w:p>
          <w:p w14:paraId="6FBF32AA" w14:textId="77777777" w:rsidR="00C71CAA" w:rsidRPr="001570EA" w:rsidRDefault="00C71CAA">
            <w:pPr>
              <w:spacing w:before="60" w:after="60"/>
              <w:jc w:val="center"/>
              <w:rPr>
                <w:rFonts w:cs="Arial"/>
                <w:sz w:val="18"/>
                <w:szCs w:val="18"/>
              </w:rPr>
            </w:pPr>
            <w:r w:rsidRPr="001570EA">
              <w:rPr>
                <w:sz w:val="18"/>
                <w:szCs w:val="18"/>
              </w:rPr>
              <w:t>Unknown: 0.0001046</w:t>
            </w:r>
          </w:p>
        </w:tc>
        <w:tc>
          <w:tcPr>
            <w:tcW w:w="1237" w:type="dxa"/>
            <w:tcBorders>
              <w:top w:val="single" w:sz="4" w:space="0" w:color="auto"/>
              <w:left w:val="single" w:sz="4" w:space="0" w:color="auto"/>
              <w:bottom w:val="single" w:sz="4" w:space="0" w:color="auto"/>
              <w:right w:val="single" w:sz="4" w:space="0" w:color="auto"/>
            </w:tcBorders>
            <w:vAlign w:val="center"/>
            <w:hideMark/>
          </w:tcPr>
          <w:p w14:paraId="1507979A" w14:textId="77777777" w:rsidR="00C71CAA" w:rsidRPr="001570EA" w:rsidRDefault="00C71CAA">
            <w:pPr>
              <w:spacing w:before="60" w:after="60"/>
              <w:jc w:val="center"/>
              <w:rPr>
                <w:rFonts w:cs="Arial"/>
                <w:sz w:val="18"/>
                <w:szCs w:val="18"/>
              </w:rPr>
            </w:pPr>
            <w:r w:rsidRPr="001570EA">
              <w:rPr>
                <w:sz w:val="18"/>
                <w:szCs w:val="18"/>
              </w:rPr>
              <w:t>7</w:t>
            </w:r>
          </w:p>
        </w:tc>
      </w:tr>
      <w:tr w:rsidR="00C71CAA" w:rsidRPr="001570EA" w14:paraId="46F5AF57" w14:textId="77777777">
        <w:tc>
          <w:tcPr>
            <w:tcW w:w="3510" w:type="dxa"/>
            <w:tcBorders>
              <w:top w:val="single" w:sz="4" w:space="0" w:color="auto"/>
              <w:left w:val="single" w:sz="4" w:space="0" w:color="auto"/>
              <w:bottom w:val="single" w:sz="4" w:space="0" w:color="auto"/>
              <w:right w:val="single" w:sz="4" w:space="0" w:color="auto"/>
            </w:tcBorders>
            <w:hideMark/>
          </w:tcPr>
          <w:p w14:paraId="0C0E66CF" w14:textId="77777777" w:rsidR="00C71CAA" w:rsidRPr="001570EA" w:rsidRDefault="00C71CAA">
            <w:pPr>
              <w:spacing w:before="60" w:after="60"/>
              <w:jc w:val="left"/>
              <w:rPr>
                <w:rFonts w:cs="Arial"/>
                <w:i/>
                <w:color w:val="000000"/>
                <w:sz w:val="18"/>
                <w:szCs w:val="18"/>
              </w:rPr>
            </w:pPr>
            <w:r w:rsidRPr="001570EA">
              <w:rPr>
                <w:rFonts w:ascii="Cambria Math" w:hAnsi="Cambria Math" w:cs="Arial"/>
                <w:i/>
                <w:sz w:val="18"/>
                <w:szCs w:val="18"/>
              </w:rPr>
              <w:t>ETDF</w:t>
            </w:r>
            <w:r w:rsidRPr="001570EA">
              <w:rPr>
                <w:rFonts w:ascii="Cambria Math" w:hAnsi="Cambria Math" w:cs="Arial"/>
                <w:i/>
                <w:sz w:val="18"/>
                <w:szCs w:val="18"/>
                <w:vertAlign w:val="subscript"/>
              </w:rPr>
              <w:t>w</w:t>
            </w:r>
            <w:r w:rsidRPr="001570EA">
              <w:rPr>
                <w:rFonts w:cs="Arial"/>
                <w:i/>
                <w:sz w:val="18"/>
                <w:szCs w:val="18"/>
              </w:rPr>
              <w:t xml:space="preserve">, </w:t>
            </w:r>
            <w:r w:rsidRPr="001570EA">
              <w:rPr>
                <w:rFonts w:cs="Arial"/>
                <w:sz w:val="18"/>
                <w:szCs w:val="18"/>
              </w:rPr>
              <w:t>Winter</w:t>
            </w:r>
            <w:r w:rsidRPr="001570EA">
              <w:rPr>
                <w:rFonts w:cs="Arial"/>
                <w:i/>
                <w:sz w:val="18"/>
                <w:szCs w:val="18"/>
              </w:rPr>
              <w:t xml:space="preserve"> </w:t>
            </w:r>
            <w:r w:rsidRPr="001570EA">
              <w:rPr>
                <w:rFonts w:cs="Arial"/>
                <w:sz w:val="18"/>
                <w:szCs w:val="18"/>
              </w:rPr>
              <w:t>Energy to Demand Factor</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F8AC1BB" w14:textId="77777777" w:rsidR="00C71CAA" w:rsidRPr="001570EA" w:rsidRDefault="003B5E04">
            <w:pPr>
              <w:spacing w:before="60" w:after="60"/>
              <w:jc w:val="center"/>
              <w:rPr>
                <w:rFonts w:cs="Arial"/>
                <w:i/>
                <w:sz w:val="18"/>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160" w:type="dxa"/>
            <w:tcBorders>
              <w:top w:val="single" w:sz="4" w:space="0" w:color="auto"/>
              <w:left w:val="single" w:sz="4" w:space="0" w:color="auto"/>
              <w:bottom w:val="single" w:sz="4" w:space="0" w:color="auto"/>
              <w:right w:val="single" w:sz="4" w:space="0" w:color="auto"/>
            </w:tcBorders>
            <w:hideMark/>
          </w:tcPr>
          <w:p w14:paraId="2936F50F" w14:textId="77777777" w:rsidR="00C71CAA" w:rsidRPr="001570EA" w:rsidRDefault="00C71CAA">
            <w:pPr>
              <w:spacing w:before="60" w:after="60"/>
              <w:jc w:val="center"/>
              <w:rPr>
                <w:sz w:val="18"/>
                <w:szCs w:val="18"/>
              </w:rPr>
            </w:pPr>
            <w:r w:rsidRPr="001570EA">
              <w:rPr>
                <w:sz w:val="18"/>
                <w:szCs w:val="18"/>
              </w:rPr>
              <w:t>SF: 0.0001761</w:t>
            </w:r>
          </w:p>
          <w:p w14:paraId="3C63F6EC" w14:textId="77777777" w:rsidR="00C71CAA" w:rsidRPr="001570EA" w:rsidRDefault="00C71CAA">
            <w:pPr>
              <w:spacing w:before="60" w:after="60"/>
              <w:jc w:val="center"/>
              <w:rPr>
                <w:sz w:val="18"/>
                <w:szCs w:val="18"/>
              </w:rPr>
            </w:pPr>
            <w:r w:rsidRPr="001570EA">
              <w:rPr>
                <w:sz w:val="18"/>
                <w:szCs w:val="18"/>
              </w:rPr>
              <w:t>MF: 0.0001733</w:t>
            </w:r>
          </w:p>
          <w:p w14:paraId="62049798" w14:textId="77777777" w:rsidR="00C71CAA" w:rsidRPr="001570EA" w:rsidRDefault="00C71CAA">
            <w:pPr>
              <w:pStyle w:val="TableCell"/>
              <w:spacing w:before="60" w:after="60"/>
              <w:jc w:val="center"/>
              <w:rPr>
                <w:rFonts w:cs="Arial"/>
                <w:color w:val="000000"/>
                <w:szCs w:val="18"/>
              </w:rPr>
            </w:pPr>
            <w:r w:rsidRPr="001570EA">
              <w:rPr>
                <w:szCs w:val="18"/>
              </w:rPr>
              <w:t>Unknown: 0.0001755</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5389695" w14:textId="77777777" w:rsidR="00C71CAA" w:rsidRPr="001570EA" w:rsidRDefault="00C71CAA">
            <w:pPr>
              <w:spacing w:before="60" w:after="60"/>
              <w:jc w:val="center"/>
              <w:rPr>
                <w:rFonts w:cs="Arial"/>
                <w:color w:val="000000"/>
                <w:sz w:val="18"/>
                <w:szCs w:val="18"/>
              </w:rPr>
            </w:pPr>
            <w:r w:rsidRPr="001570EA">
              <w:rPr>
                <w:sz w:val="18"/>
                <w:szCs w:val="18"/>
              </w:rPr>
              <w:t>7</w:t>
            </w:r>
          </w:p>
        </w:tc>
      </w:tr>
    </w:tbl>
    <w:p w14:paraId="5A5474F2" w14:textId="77777777" w:rsidR="00C71CAA" w:rsidRPr="001570EA" w:rsidRDefault="00C71CAA" w:rsidP="00C71CAA">
      <w:pPr>
        <w:pStyle w:val="SubStyle"/>
        <w:pBdr>
          <w:bottom w:val="none" w:sz="0" w:space="0" w:color="auto"/>
        </w:pBdr>
      </w:pPr>
    </w:p>
    <w:p w14:paraId="751747AB" w14:textId="77777777" w:rsidR="00C71CAA" w:rsidRPr="001570EA" w:rsidRDefault="00C71CAA" w:rsidP="00C71CAA">
      <w:pPr>
        <w:pStyle w:val="SubStyle"/>
      </w:pPr>
      <w:bookmarkStart w:id="506" w:name="OLE_LINK1"/>
      <w:r w:rsidRPr="001570EA">
        <w:t>Default Savings</w:t>
      </w:r>
    </w:p>
    <w:p w14:paraId="19257092" w14:textId="54A8F668" w:rsidR="00C71CAA" w:rsidRPr="001570EA" w:rsidRDefault="00C71CAA" w:rsidP="00C71CAA">
      <w:pPr>
        <w:pStyle w:val="Caption"/>
      </w:pPr>
      <w:bookmarkStart w:id="507" w:name="_Toc10629247"/>
      <w:bookmarkStart w:id="508" w:name="_Toc47598311"/>
      <w:bookmarkEnd w:id="506"/>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77</w:t>
      </w:r>
      <w:r w:rsidR="002E093A" w:rsidRPr="001570EA">
        <w:fldChar w:fldCharType="end"/>
      </w:r>
      <w:r w:rsidRPr="001570EA">
        <w:t xml:space="preserve">: Default Savings for </w:t>
      </w:r>
      <w:bookmarkEnd w:id="507"/>
      <w:r w:rsidRPr="001570EA">
        <w:t>Drain Water Heat Recovery Unit</w:t>
      </w:r>
      <w:bookmarkEnd w:id="508"/>
    </w:p>
    <w:tbl>
      <w:tblPr>
        <w:tblW w:w="5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1688"/>
        <w:gridCol w:w="1169"/>
        <w:gridCol w:w="1106"/>
        <w:gridCol w:w="1145"/>
        <w:gridCol w:w="1260"/>
        <w:gridCol w:w="973"/>
        <w:gridCol w:w="1212"/>
      </w:tblGrid>
      <w:tr w:rsidR="00C71CAA" w:rsidRPr="001570EA" w14:paraId="5DDFC111" w14:textId="77777777" w:rsidTr="00643494">
        <w:trPr>
          <w:trHeight w:val="680"/>
          <w:jc w:val="center"/>
        </w:trPr>
        <w:tc>
          <w:tcPr>
            <w:tcW w:w="824" w:type="pct"/>
            <w:vMerge w:val="restart"/>
            <w:shd w:val="clear" w:color="auto" w:fill="BFBFBF" w:themeFill="background1" w:themeFillShade="BF"/>
            <w:vAlign w:val="center"/>
          </w:tcPr>
          <w:p w14:paraId="4C5C57D9" w14:textId="77777777" w:rsidR="00C71CAA" w:rsidRPr="001570EA" w:rsidDel="008A0A35" w:rsidRDefault="00C71CAA">
            <w:pPr>
              <w:keepNext/>
              <w:jc w:val="center"/>
              <w:rPr>
                <w:rFonts w:cs="Arial"/>
                <w:b/>
                <w:sz w:val="18"/>
                <w:szCs w:val="18"/>
              </w:rPr>
            </w:pPr>
            <w:r w:rsidRPr="001570EA">
              <w:rPr>
                <w:rFonts w:cs="Arial"/>
                <w:b/>
                <w:sz w:val="18"/>
                <w:szCs w:val="18"/>
              </w:rPr>
              <w:t>Housing Type</w:t>
            </w:r>
          </w:p>
        </w:tc>
        <w:tc>
          <w:tcPr>
            <w:tcW w:w="824" w:type="pct"/>
            <w:vMerge w:val="restart"/>
            <w:shd w:val="clear" w:color="auto" w:fill="BFBFBF" w:themeFill="background1" w:themeFillShade="BF"/>
            <w:vAlign w:val="center"/>
          </w:tcPr>
          <w:p w14:paraId="0DA2EC43" w14:textId="77777777" w:rsidR="00C71CAA" w:rsidRPr="001570EA" w:rsidRDefault="00C71CAA">
            <w:pPr>
              <w:keepNext/>
              <w:jc w:val="center"/>
              <w:rPr>
                <w:rFonts w:cs="Arial"/>
                <w:b/>
                <w:sz w:val="18"/>
                <w:szCs w:val="18"/>
              </w:rPr>
            </w:pPr>
          </w:p>
          <w:p w14:paraId="3E4E844E" w14:textId="77777777" w:rsidR="00C71CAA" w:rsidRPr="001570EA" w:rsidDel="008A0A35" w:rsidRDefault="00C71CAA">
            <w:pPr>
              <w:keepNext/>
              <w:jc w:val="center"/>
              <w:rPr>
                <w:rFonts w:cs="Arial"/>
                <w:b/>
                <w:sz w:val="18"/>
                <w:szCs w:val="18"/>
              </w:rPr>
            </w:pPr>
            <w:r w:rsidRPr="001570EA">
              <w:rPr>
                <w:rFonts w:cs="Arial"/>
                <w:b/>
                <w:sz w:val="18"/>
                <w:szCs w:val="18"/>
              </w:rPr>
              <w:t>Water Heater Type</w:t>
            </w:r>
          </w:p>
        </w:tc>
        <w:tc>
          <w:tcPr>
            <w:tcW w:w="1670" w:type="pct"/>
            <w:gridSpan w:val="3"/>
            <w:shd w:val="clear" w:color="auto" w:fill="BFBFBF" w:themeFill="background1" w:themeFillShade="BF"/>
            <w:vAlign w:val="center"/>
          </w:tcPr>
          <w:p w14:paraId="6536867D" w14:textId="77777777" w:rsidR="00C71CAA" w:rsidRPr="001570EA" w:rsidRDefault="00C71CAA">
            <w:pPr>
              <w:keepNext/>
              <w:jc w:val="center"/>
              <w:rPr>
                <w:rFonts w:cs="Arial"/>
                <w:b/>
                <w:sz w:val="18"/>
                <w:szCs w:val="18"/>
              </w:rPr>
            </w:pPr>
            <w:r w:rsidRPr="001570EA">
              <w:rPr>
                <w:rFonts w:cs="Arial"/>
                <w:b/>
                <w:sz w:val="18"/>
                <w:szCs w:val="18"/>
              </w:rPr>
              <w:t>Shower Only</w:t>
            </w:r>
          </w:p>
        </w:tc>
        <w:tc>
          <w:tcPr>
            <w:tcW w:w="1682" w:type="pct"/>
            <w:gridSpan w:val="3"/>
            <w:shd w:val="clear" w:color="auto" w:fill="BFBFBF" w:themeFill="background1" w:themeFillShade="BF"/>
            <w:vAlign w:val="center"/>
          </w:tcPr>
          <w:p w14:paraId="77D267A9" w14:textId="77777777" w:rsidR="00C71CAA" w:rsidRPr="001570EA" w:rsidRDefault="00C71CAA">
            <w:pPr>
              <w:keepNext/>
              <w:jc w:val="center"/>
              <w:rPr>
                <w:rFonts w:cs="Arial"/>
                <w:b/>
                <w:sz w:val="18"/>
                <w:szCs w:val="18"/>
              </w:rPr>
            </w:pPr>
            <w:r w:rsidRPr="001570EA">
              <w:rPr>
                <w:rFonts w:cs="Arial"/>
                <w:b/>
                <w:sz w:val="18"/>
                <w:szCs w:val="18"/>
              </w:rPr>
              <w:t>Whole House</w:t>
            </w:r>
          </w:p>
        </w:tc>
      </w:tr>
      <w:tr w:rsidR="00C71CAA" w:rsidRPr="001570EA" w14:paraId="3F89DFDD" w14:textId="77777777" w:rsidTr="00643494">
        <w:trPr>
          <w:trHeight w:val="81"/>
          <w:jc w:val="center"/>
        </w:trPr>
        <w:tc>
          <w:tcPr>
            <w:tcW w:w="824" w:type="pct"/>
            <w:vMerge/>
            <w:shd w:val="clear" w:color="auto" w:fill="BFBFBF" w:themeFill="background1" w:themeFillShade="BF"/>
          </w:tcPr>
          <w:p w14:paraId="6BFEA0FC" w14:textId="77777777" w:rsidR="00C71CAA" w:rsidRPr="001570EA" w:rsidRDefault="00C71CAA">
            <w:pPr>
              <w:keepNext/>
              <w:jc w:val="center"/>
              <w:rPr>
                <w:rFonts w:cs="Arial"/>
                <w:b/>
                <w:sz w:val="18"/>
                <w:szCs w:val="18"/>
              </w:rPr>
            </w:pPr>
          </w:p>
        </w:tc>
        <w:tc>
          <w:tcPr>
            <w:tcW w:w="824" w:type="pct"/>
            <w:vMerge/>
            <w:shd w:val="clear" w:color="auto" w:fill="BFBFBF" w:themeFill="background1" w:themeFillShade="BF"/>
            <w:vAlign w:val="center"/>
          </w:tcPr>
          <w:p w14:paraId="2272CE66" w14:textId="77777777" w:rsidR="00C71CAA" w:rsidRPr="001570EA" w:rsidRDefault="00C71CAA">
            <w:pPr>
              <w:keepNext/>
              <w:jc w:val="center"/>
              <w:rPr>
                <w:rFonts w:cs="Arial"/>
                <w:b/>
                <w:sz w:val="18"/>
                <w:szCs w:val="18"/>
              </w:rPr>
            </w:pPr>
          </w:p>
        </w:tc>
        <w:tc>
          <w:tcPr>
            <w:tcW w:w="571" w:type="pct"/>
            <w:vMerge w:val="restart"/>
            <w:shd w:val="clear" w:color="auto" w:fill="BFBFBF" w:themeFill="background1" w:themeFillShade="BF"/>
            <w:vAlign w:val="center"/>
          </w:tcPr>
          <w:p w14:paraId="2964D36E" w14:textId="77777777" w:rsidR="00C71CAA" w:rsidRPr="001570EA" w:rsidRDefault="00C71CAA">
            <w:pPr>
              <w:keepNext/>
              <w:jc w:val="center"/>
              <w:rPr>
                <w:rFonts w:cs="Arial"/>
                <w:b/>
                <w:sz w:val="18"/>
                <w:szCs w:val="18"/>
              </w:rPr>
            </w:pPr>
            <w:r w:rsidRPr="001570EA">
              <w:rPr>
                <w:rFonts w:cs="Arial"/>
                <w:b/>
                <w:sz w:val="18"/>
                <w:szCs w:val="18"/>
              </w:rPr>
              <w:t>Energy Savings (kWh)</w:t>
            </w:r>
          </w:p>
          <w:p w14:paraId="1C0FFB87" w14:textId="77777777" w:rsidR="00C71CAA" w:rsidRPr="001570EA" w:rsidRDefault="00C71CAA">
            <w:pPr>
              <w:keepNext/>
              <w:jc w:val="center"/>
              <w:rPr>
                <w:rFonts w:cs="Arial"/>
                <w:b/>
                <w:sz w:val="18"/>
                <w:szCs w:val="18"/>
              </w:rPr>
            </w:pPr>
          </w:p>
        </w:tc>
        <w:tc>
          <w:tcPr>
            <w:tcW w:w="1099" w:type="pct"/>
            <w:gridSpan w:val="2"/>
            <w:shd w:val="clear" w:color="auto" w:fill="BFBFBF" w:themeFill="background1" w:themeFillShade="BF"/>
            <w:vAlign w:val="center"/>
          </w:tcPr>
          <w:p w14:paraId="2C313858" w14:textId="77777777" w:rsidR="00C71CAA" w:rsidRPr="001570EA" w:rsidRDefault="00C71CAA">
            <w:pPr>
              <w:keepNext/>
              <w:jc w:val="center"/>
              <w:rPr>
                <w:rFonts w:cs="Arial"/>
                <w:b/>
                <w:sz w:val="18"/>
                <w:szCs w:val="18"/>
              </w:rPr>
            </w:pPr>
            <w:r w:rsidRPr="001570EA">
              <w:rPr>
                <w:rFonts w:cs="Arial"/>
                <w:b/>
                <w:sz w:val="18"/>
                <w:szCs w:val="18"/>
              </w:rPr>
              <w:t>Peak Demand Savings (kW)</w:t>
            </w:r>
          </w:p>
        </w:tc>
        <w:tc>
          <w:tcPr>
            <w:tcW w:w="615" w:type="pct"/>
            <w:vMerge w:val="restart"/>
            <w:shd w:val="clear" w:color="auto" w:fill="BFBFBF" w:themeFill="background1" w:themeFillShade="BF"/>
            <w:vAlign w:val="center"/>
          </w:tcPr>
          <w:p w14:paraId="774B5AB0" w14:textId="77777777" w:rsidR="00C71CAA" w:rsidRPr="001570EA" w:rsidRDefault="00C71CAA">
            <w:pPr>
              <w:keepNext/>
              <w:jc w:val="center"/>
              <w:rPr>
                <w:rFonts w:cs="Arial"/>
                <w:b/>
                <w:sz w:val="18"/>
                <w:szCs w:val="18"/>
              </w:rPr>
            </w:pPr>
            <w:r w:rsidRPr="001570EA">
              <w:rPr>
                <w:rFonts w:cs="Arial"/>
                <w:b/>
                <w:sz w:val="18"/>
                <w:szCs w:val="18"/>
              </w:rPr>
              <w:t>Energy Savings (kWh)</w:t>
            </w:r>
          </w:p>
        </w:tc>
        <w:tc>
          <w:tcPr>
            <w:tcW w:w="1067" w:type="pct"/>
            <w:gridSpan w:val="2"/>
            <w:shd w:val="clear" w:color="auto" w:fill="BFBFBF" w:themeFill="background1" w:themeFillShade="BF"/>
            <w:vAlign w:val="center"/>
          </w:tcPr>
          <w:p w14:paraId="20E30029" w14:textId="77777777" w:rsidR="00C71CAA" w:rsidRPr="001570EA" w:rsidRDefault="00C71CAA">
            <w:pPr>
              <w:keepNext/>
              <w:jc w:val="center"/>
              <w:rPr>
                <w:rFonts w:cs="Arial"/>
                <w:b/>
                <w:sz w:val="18"/>
                <w:szCs w:val="18"/>
              </w:rPr>
            </w:pPr>
            <w:r w:rsidRPr="001570EA">
              <w:rPr>
                <w:rFonts w:cs="Arial"/>
                <w:b/>
                <w:sz w:val="18"/>
                <w:szCs w:val="18"/>
              </w:rPr>
              <w:t>Peak Demand Savings (kW)</w:t>
            </w:r>
          </w:p>
        </w:tc>
      </w:tr>
      <w:tr w:rsidR="00C71CAA" w:rsidRPr="001570EA" w14:paraId="4916429A" w14:textId="77777777" w:rsidTr="00643494">
        <w:trPr>
          <w:trHeight w:val="756"/>
          <w:jc w:val="center"/>
        </w:trPr>
        <w:tc>
          <w:tcPr>
            <w:tcW w:w="824" w:type="pct"/>
            <w:vMerge/>
            <w:shd w:val="clear" w:color="auto" w:fill="BFBFBF" w:themeFill="background1" w:themeFillShade="BF"/>
          </w:tcPr>
          <w:p w14:paraId="275DF941" w14:textId="77777777" w:rsidR="00C71CAA" w:rsidRPr="001570EA" w:rsidRDefault="00C71CAA">
            <w:pPr>
              <w:keepNext/>
              <w:jc w:val="center"/>
              <w:rPr>
                <w:rFonts w:cs="Arial"/>
                <w:b/>
                <w:sz w:val="18"/>
                <w:szCs w:val="18"/>
              </w:rPr>
            </w:pPr>
          </w:p>
        </w:tc>
        <w:tc>
          <w:tcPr>
            <w:tcW w:w="824" w:type="pct"/>
            <w:vMerge/>
            <w:shd w:val="clear" w:color="auto" w:fill="BFBFBF" w:themeFill="background1" w:themeFillShade="BF"/>
            <w:vAlign w:val="center"/>
            <w:hideMark/>
          </w:tcPr>
          <w:p w14:paraId="5B2FEF87" w14:textId="77777777" w:rsidR="00C71CAA" w:rsidRPr="001570EA" w:rsidRDefault="00C71CAA">
            <w:pPr>
              <w:keepNext/>
              <w:jc w:val="center"/>
              <w:rPr>
                <w:rFonts w:cs="Arial"/>
                <w:b/>
                <w:sz w:val="18"/>
                <w:szCs w:val="18"/>
              </w:rPr>
            </w:pPr>
          </w:p>
        </w:tc>
        <w:tc>
          <w:tcPr>
            <w:tcW w:w="571" w:type="pct"/>
            <w:vMerge/>
            <w:shd w:val="clear" w:color="auto" w:fill="BFBFBF" w:themeFill="background1" w:themeFillShade="BF"/>
            <w:vAlign w:val="center"/>
          </w:tcPr>
          <w:p w14:paraId="590501BB" w14:textId="77777777" w:rsidR="00C71CAA" w:rsidRPr="001570EA" w:rsidRDefault="00C71CAA">
            <w:pPr>
              <w:keepNext/>
              <w:jc w:val="center"/>
              <w:rPr>
                <w:rFonts w:cs="Arial"/>
                <w:b/>
                <w:sz w:val="18"/>
                <w:szCs w:val="18"/>
              </w:rPr>
            </w:pPr>
          </w:p>
        </w:tc>
        <w:tc>
          <w:tcPr>
            <w:tcW w:w="540" w:type="pct"/>
            <w:shd w:val="clear" w:color="auto" w:fill="BFBFBF" w:themeFill="background1" w:themeFillShade="BF"/>
            <w:vAlign w:val="center"/>
          </w:tcPr>
          <w:p w14:paraId="30204E28" w14:textId="77777777" w:rsidR="00C71CAA" w:rsidRPr="001570EA" w:rsidRDefault="00C71CAA">
            <w:pPr>
              <w:keepNext/>
              <w:jc w:val="center"/>
              <w:rPr>
                <w:rFonts w:cs="Arial"/>
                <w:b/>
                <w:sz w:val="18"/>
                <w:szCs w:val="18"/>
              </w:rPr>
            </w:pPr>
            <w:r w:rsidRPr="001570EA">
              <w:rPr>
                <w:rFonts w:cs="Arial"/>
                <w:b/>
                <w:sz w:val="18"/>
                <w:szCs w:val="18"/>
              </w:rPr>
              <w:t>Summer</w:t>
            </w:r>
          </w:p>
        </w:tc>
        <w:tc>
          <w:tcPr>
            <w:tcW w:w="559" w:type="pct"/>
            <w:shd w:val="clear" w:color="auto" w:fill="BFBFBF" w:themeFill="background1" w:themeFillShade="BF"/>
            <w:vAlign w:val="center"/>
          </w:tcPr>
          <w:p w14:paraId="62632B99" w14:textId="77777777" w:rsidR="00C71CAA" w:rsidRPr="001570EA" w:rsidRDefault="00C71CAA">
            <w:pPr>
              <w:keepNext/>
              <w:jc w:val="center"/>
              <w:rPr>
                <w:rFonts w:cs="Arial"/>
                <w:b/>
                <w:sz w:val="18"/>
                <w:szCs w:val="18"/>
              </w:rPr>
            </w:pPr>
            <w:r w:rsidRPr="001570EA">
              <w:rPr>
                <w:rFonts w:cs="Arial"/>
                <w:b/>
                <w:sz w:val="18"/>
                <w:szCs w:val="18"/>
              </w:rPr>
              <w:t>Winter</w:t>
            </w:r>
          </w:p>
        </w:tc>
        <w:tc>
          <w:tcPr>
            <w:tcW w:w="615" w:type="pct"/>
            <w:vMerge/>
            <w:shd w:val="clear" w:color="auto" w:fill="BFBFBF" w:themeFill="background1" w:themeFillShade="BF"/>
            <w:vAlign w:val="center"/>
          </w:tcPr>
          <w:p w14:paraId="118C68F9" w14:textId="77777777" w:rsidR="00C71CAA" w:rsidRPr="001570EA" w:rsidDel="008A0A35" w:rsidRDefault="00C71CAA">
            <w:pPr>
              <w:keepNext/>
              <w:jc w:val="center"/>
              <w:rPr>
                <w:rFonts w:cs="Arial"/>
                <w:b/>
                <w:sz w:val="18"/>
                <w:szCs w:val="18"/>
              </w:rPr>
            </w:pPr>
          </w:p>
        </w:tc>
        <w:tc>
          <w:tcPr>
            <w:tcW w:w="475" w:type="pct"/>
            <w:shd w:val="clear" w:color="auto" w:fill="BFBFBF" w:themeFill="background1" w:themeFillShade="BF"/>
            <w:vAlign w:val="center"/>
          </w:tcPr>
          <w:p w14:paraId="52A3CA82" w14:textId="77777777" w:rsidR="00C71CAA" w:rsidRPr="001570EA" w:rsidRDefault="00C71CAA">
            <w:pPr>
              <w:keepNext/>
              <w:jc w:val="center"/>
              <w:rPr>
                <w:rFonts w:cs="Arial"/>
                <w:b/>
                <w:sz w:val="18"/>
                <w:szCs w:val="18"/>
              </w:rPr>
            </w:pPr>
            <w:r w:rsidRPr="001570EA">
              <w:rPr>
                <w:rFonts w:cs="Arial"/>
                <w:b/>
                <w:sz w:val="18"/>
                <w:szCs w:val="18"/>
              </w:rPr>
              <w:t>Summer</w:t>
            </w:r>
          </w:p>
        </w:tc>
        <w:tc>
          <w:tcPr>
            <w:tcW w:w="592" w:type="pct"/>
            <w:shd w:val="clear" w:color="auto" w:fill="BFBFBF" w:themeFill="background1" w:themeFillShade="BF"/>
            <w:vAlign w:val="center"/>
          </w:tcPr>
          <w:p w14:paraId="709CC3F3" w14:textId="77777777" w:rsidR="00C71CAA" w:rsidRPr="001570EA" w:rsidRDefault="00C71CAA">
            <w:pPr>
              <w:keepNext/>
              <w:jc w:val="center"/>
              <w:rPr>
                <w:rFonts w:cs="Arial"/>
                <w:b/>
                <w:sz w:val="18"/>
                <w:szCs w:val="18"/>
              </w:rPr>
            </w:pPr>
            <w:r w:rsidRPr="001570EA">
              <w:rPr>
                <w:rFonts w:cs="Arial"/>
                <w:b/>
                <w:sz w:val="18"/>
                <w:szCs w:val="18"/>
              </w:rPr>
              <w:t>Winter</w:t>
            </w:r>
          </w:p>
        </w:tc>
      </w:tr>
      <w:tr w:rsidR="00C71CAA" w:rsidRPr="001570EA" w14:paraId="326C4B82" w14:textId="77777777" w:rsidTr="00643494">
        <w:trPr>
          <w:trHeight w:val="404"/>
          <w:jc w:val="center"/>
        </w:trPr>
        <w:tc>
          <w:tcPr>
            <w:tcW w:w="824" w:type="pct"/>
            <w:vMerge w:val="restart"/>
            <w:shd w:val="clear" w:color="auto" w:fill="auto"/>
            <w:vAlign w:val="center"/>
          </w:tcPr>
          <w:p w14:paraId="7605FB90" w14:textId="77777777" w:rsidR="00C71CAA" w:rsidRPr="001570EA" w:rsidRDefault="00C71CAA">
            <w:pPr>
              <w:keepNext/>
              <w:jc w:val="center"/>
              <w:rPr>
                <w:rFonts w:cs="Arial"/>
                <w:color w:val="000000"/>
                <w:sz w:val="18"/>
                <w:szCs w:val="18"/>
              </w:rPr>
            </w:pPr>
            <w:r w:rsidRPr="001570EA">
              <w:rPr>
                <w:rFonts w:cs="Arial"/>
                <w:color w:val="000000"/>
                <w:sz w:val="18"/>
                <w:szCs w:val="18"/>
              </w:rPr>
              <w:t>Single Family</w:t>
            </w:r>
          </w:p>
        </w:tc>
        <w:tc>
          <w:tcPr>
            <w:tcW w:w="824" w:type="pct"/>
            <w:shd w:val="clear" w:color="auto" w:fill="auto"/>
            <w:vAlign w:val="center"/>
          </w:tcPr>
          <w:p w14:paraId="5E90B98C" w14:textId="77777777" w:rsidR="00C71CAA" w:rsidRPr="001570EA" w:rsidRDefault="00C71CAA">
            <w:pPr>
              <w:keepNext/>
              <w:jc w:val="left"/>
              <w:rPr>
                <w:rFonts w:cs="Arial"/>
                <w:color w:val="000000" w:themeColor="text1"/>
                <w:sz w:val="18"/>
                <w:szCs w:val="18"/>
              </w:rPr>
            </w:pPr>
            <w:r w:rsidRPr="001570EA">
              <w:rPr>
                <w:rFonts w:cs="Arial"/>
                <w:color w:val="000000"/>
                <w:sz w:val="18"/>
                <w:szCs w:val="18"/>
              </w:rPr>
              <w:t>Resistance</w:t>
            </w:r>
          </w:p>
        </w:tc>
        <w:tc>
          <w:tcPr>
            <w:tcW w:w="571" w:type="pct"/>
            <w:shd w:val="clear" w:color="auto" w:fill="auto"/>
            <w:vAlign w:val="center"/>
          </w:tcPr>
          <w:p w14:paraId="712B21F9" w14:textId="77777777" w:rsidR="00C71CAA" w:rsidRPr="001570EA" w:rsidRDefault="00C71CAA">
            <w:pPr>
              <w:keepNext/>
              <w:jc w:val="center"/>
              <w:rPr>
                <w:rFonts w:cs="Arial"/>
                <w:color w:val="000000" w:themeColor="text1"/>
                <w:sz w:val="18"/>
                <w:szCs w:val="18"/>
              </w:rPr>
            </w:pPr>
            <w:r w:rsidRPr="001570EA">
              <w:rPr>
                <w:rFonts w:cs="Arial"/>
                <w:color w:val="000000"/>
                <w:sz w:val="18"/>
                <w:szCs w:val="18"/>
              </w:rPr>
              <w:t>232.2</w:t>
            </w:r>
          </w:p>
        </w:tc>
        <w:tc>
          <w:tcPr>
            <w:tcW w:w="540" w:type="pct"/>
            <w:shd w:val="clear" w:color="auto" w:fill="auto"/>
            <w:vAlign w:val="center"/>
          </w:tcPr>
          <w:p w14:paraId="1EC33FCD" w14:textId="77777777" w:rsidR="00C71CAA" w:rsidRPr="001570EA" w:rsidRDefault="00C71CAA">
            <w:pPr>
              <w:keepNext/>
              <w:jc w:val="center"/>
              <w:rPr>
                <w:rFonts w:cs="Arial"/>
                <w:color w:val="000000" w:themeColor="text1"/>
                <w:sz w:val="18"/>
                <w:szCs w:val="18"/>
              </w:rPr>
            </w:pPr>
            <w:r w:rsidRPr="001570EA">
              <w:rPr>
                <w:rFonts w:cs="Arial"/>
                <w:color w:val="000000"/>
                <w:sz w:val="18"/>
                <w:szCs w:val="18"/>
              </w:rPr>
              <w:t>0.0245</w:t>
            </w:r>
          </w:p>
        </w:tc>
        <w:tc>
          <w:tcPr>
            <w:tcW w:w="559" w:type="pct"/>
            <w:vAlign w:val="center"/>
          </w:tcPr>
          <w:p w14:paraId="43735624" w14:textId="77777777" w:rsidR="00C71CAA" w:rsidRPr="001570EA" w:rsidRDefault="00C71CAA">
            <w:pPr>
              <w:keepNext/>
              <w:jc w:val="center"/>
              <w:rPr>
                <w:rFonts w:cs="Arial"/>
                <w:color w:val="000000" w:themeColor="text1"/>
                <w:sz w:val="18"/>
                <w:szCs w:val="18"/>
              </w:rPr>
            </w:pPr>
            <w:r w:rsidRPr="001570EA">
              <w:rPr>
                <w:rFonts w:cs="Arial"/>
                <w:color w:val="000000"/>
                <w:sz w:val="18"/>
                <w:szCs w:val="18"/>
              </w:rPr>
              <w:t>0.0409</w:t>
            </w:r>
          </w:p>
        </w:tc>
        <w:tc>
          <w:tcPr>
            <w:tcW w:w="615" w:type="pct"/>
            <w:vAlign w:val="center"/>
          </w:tcPr>
          <w:p w14:paraId="3ABC8589" w14:textId="77777777" w:rsidR="00C71CAA" w:rsidRPr="001570EA" w:rsidRDefault="00C71CAA">
            <w:pPr>
              <w:keepNext/>
              <w:jc w:val="center"/>
              <w:rPr>
                <w:rFonts w:cs="Arial"/>
                <w:color w:val="000000"/>
                <w:sz w:val="18"/>
                <w:szCs w:val="18"/>
              </w:rPr>
            </w:pPr>
            <w:r w:rsidRPr="001570EA">
              <w:rPr>
                <w:rFonts w:cs="Arial"/>
                <w:color w:val="000000"/>
                <w:sz w:val="18"/>
                <w:szCs w:val="18"/>
              </w:rPr>
              <w:t>593.6</w:t>
            </w:r>
          </w:p>
        </w:tc>
        <w:tc>
          <w:tcPr>
            <w:tcW w:w="475" w:type="pct"/>
            <w:vAlign w:val="center"/>
          </w:tcPr>
          <w:p w14:paraId="6D5BA62B" w14:textId="77777777" w:rsidR="00C71CAA" w:rsidRPr="001570EA" w:rsidRDefault="00C71CAA">
            <w:pPr>
              <w:keepNext/>
              <w:jc w:val="center"/>
              <w:rPr>
                <w:rFonts w:cs="Arial"/>
                <w:color w:val="000000"/>
                <w:sz w:val="18"/>
                <w:szCs w:val="18"/>
              </w:rPr>
            </w:pPr>
            <w:r w:rsidRPr="001570EA">
              <w:rPr>
                <w:rFonts w:cs="Arial"/>
                <w:color w:val="000000"/>
                <w:sz w:val="18"/>
                <w:szCs w:val="18"/>
              </w:rPr>
              <w:t>0.0627</w:t>
            </w:r>
          </w:p>
        </w:tc>
        <w:tc>
          <w:tcPr>
            <w:tcW w:w="592" w:type="pct"/>
            <w:vAlign w:val="center"/>
          </w:tcPr>
          <w:p w14:paraId="7002B1CF" w14:textId="77777777" w:rsidR="00C71CAA" w:rsidRPr="001570EA" w:rsidRDefault="00C71CAA">
            <w:pPr>
              <w:keepNext/>
              <w:jc w:val="center"/>
              <w:rPr>
                <w:rFonts w:cs="Arial"/>
                <w:color w:val="000000"/>
                <w:sz w:val="18"/>
                <w:szCs w:val="18"/>
              </w:rPr>
            </w:pPr>
            <w:r w:rsidRPr="001570EA">
              <w:rPr>
                <w:rFonts w:cs="Arial"/>
                <w:color w:val="000000"/>
                <w:sz w:val="18"/>
                <w:szCs w:val="18"/>
              </w:rPr>
              <w:t>0.1045</w:t>
            </w:r>
          </w:p>
        </w:tc>
      </w:tr>
      <w:tr w:rsidR="00C71CAA" w:rsidRPr="001570EA" w14:paraId="1D675214" w14:textId="77777777" w:rsidTr="00643494">
        <w:trPr>
          <w:trHeight w:val="404"/>
          <w:jc w:val="center"/>
        </w:trPr>
        <w:tc>
          <w:tcPr>
            <w:tcW w:w="824" w:type="pct"/>
            <w:vMerge/>
            <w:shd w:val="clear" w:color="auto" w:fill="auto"/>
            <w:vAlign w:val="center"/>
          </w:tcPr>
          <w:p w14:paraId="7F99970F" w14:textId="77777777" w:rsidR="00C71CAA" w:rsidRPr="001570EA" w:rsidRDefault="00C71CAA">
            <w:pPr>
              <w:keepNext/>
              <w:jc w:val="center"/>
              <w:rPr>
                <w:rFonts w:cs="Arial"/>
                <w:color w:val="000000"/>
                <w:sz w:val="18"/>
                <w:szCs w:val="18"/>
              </w:rPr>
            </w:pPr>
          </w:p>
        </w:tc>
        <w:tc>
          <w:tcPr>
            <w:tcW w:w="824" w:type="pct"/>
            <w:shd w:val="clear" w:color="auto" w:fill="auto"/>
            <w:vAlign w:val="center"/>
          </w:tcPr>
          <w:p w14:paraId="42451CAD" w14:textId="77777777" w:rsidR="00C71CAA" w:rsidRPr="001570EA" w:rsidRDefault="00C71CAA">
            <w:pPr>
              <w:keepNext/>
              <w:jc w:val="left"/>
              <w:rPr>
                <w:rFonts w:cs="Arial"/>
                <w:color w:val="000000" w:themeColor="text1"/>
                <w:sz w:val="18"/>
                <w:szCs w:val="18"/>
              </w:rPr>
            </w:pPr>
            <w:r w:rsidRPr="001570EA">
              <w:rPr>
                <w:rFonts w:cs="Arial"/>
                <w:color w:val="000000"/>
                <w:sz w:val="18"/>
                <w:szCs w:val="18"/>
              </w:rPr>
              <w:t>HPWH</w:t>
            </w:r>
          </w:p>
        </w:tc>
        <w:tc>
          <w:tcPr>
            <w:tcW w:w="571" w:type="pct"/>
            <w:shd w:val="clear" w:color="auto" w:fill="auto"/>
            <w:vAlign w:val="center"/>
          </w:tcPr>
          <w:p w14:paraId="7069E6FF" w14:textId="77777777" w:rsidR="00C71CAA" w:rsidRPr="001570EA" w:rsidRDefault="00C71CAA">
            <w:pPr>
              <w:keepNext/>
              <w:jc w:val="center"/>
              <w:rPr>
                <w:rFonts w:cs="Arial"/>
                <w:color w:val="000000" w:themeColor="text1"/>
                <w:sz w:val="18"/>
                <w:szCs w:val="18"/>
              </w:rPr>
            </w:pPr>
            <w:r w:rsidRPr="001570EA">
              <w:rPr>
                <w:rFonts w:cs="Arial"/>
                <w:color w:val="000000"/>
                <w:sz w:val="18"/>
                <w:szCs w:val="18"/>
              </w:rPr>
              <w:t>57.9</w:t>
            </w:r>
          </w:p>
        </w:tc>
        <w:tc>
          <w:tcPr>
            <w:tcW w:w="540" w:type="pct"/>
            <w:shd w:val="clear" w:color="auto" w:fill="auto"/>
            <w:vAlign w:val="center"/>
          </w:tcPr>
          <w:p w14:paraId="29CFAFC9" w14:textId="77777777" w:rsidR="00C71CAA" w:rsidRPr="001570EA" w:rsidRDefault="00C71CAA">
            <w:pPr>
              <w:keepNext/>
              <w:jc w:val="center"/>
              <w:rPr>
                <w:rFonts w:cs="Arial"/>
                <w:color w:val="000000" w:themeColor="text1"/>
                <w:sz w:val="18"/>
                <w:szCs w:val="18"/>
              </w:rPr>
            </w:pPr>
            <w:r w:rsidRPr="001570EA">
              <w:rPr>
                <w:rFonts w:cs="Arial"/>
                <w:color w:val="000000"/>
                <w:sz w:val="18"/>
                <w:szCs w:val="18"/>
              </w:rPr>
              <w:t>0.0061</w:t>
            </w:r>
          </w:p>
        </w:tc>
        <w:tc>
          <w:tcPr>
            <w:tcW w:w="559" w:type="pct"/>
            <w:vAlign w:val="center"/>
          </w:tcPr>
          <w:p w14:paraId="1F978245" w14:textId="77777777" w:rsidR="00C71CAA" w:rsidRPr="001570EA" w:rsidRDefault="00C71CAA">
            <w:pPr>
              <w:keepNext/>
              <w:jc w:val="center"/>
              <w:rPr>
                <w:rFonts w:cs="Arial"/>
                <w:color w:val="000000" w:themeColor="text1"/>
                <w:sz w:val="18"/>
                <w:szCs w:val="18"/>
              </w:rPr>
            </w:pPr>
            <w:r w:rsidRPr="001570EA">
              <w:rPr>
                <w:rFonts w:cs="Arial"/>
                <w:color w:val="000000"/>
                <w:sz w:val="18"/>
                <w:szCs w:val="18"/>
              </w:rPr>
              <w:t>0.0102</w:t>
            </w:r>
          </w:p>
        </w:tc>
        <w:tc>
          <w:tcPr>
            <w:tcW w:w="615" w:type="pct"/>
            <w:vAlign w:val="center"/>
          </w:tcPr>
          <w:p w14:paraId="126D5927" w14:textId="77777777" w:rsidR="00C71CAA" w:rsidRPr="001570EA" w:rsidRDefault="00C71CAA">
            <w:pPr>
              <w:keepNext/>
              <w:jc w:val="center"/>
              <w:rPr>
                <w:rFonts w:cs="Arial"/>
                <w:color w:val="000000"/>
                <w:sz w:val="18"/>
                <w:szCs w:val="18"/>
              </w:rPr>
            </w:pPr>
            <w:r w:rsidRPr="001570EA">
              <w:rPr>
                <w:rFonts w:cs="Arial"/>
                <w:color w:val="000000"/>
                <w:sz w:val="18"/>
                <w:szCs w:val="18"/>
              </w:rPr>
              <w:t>148.0</w:t>
            </w:r>
          </w:p>
        </w:tc>
        <w:tc>
          <w:tcPr>
            <w:tcW w:w="475" w:type="pct"/>
            <w:vAlign w:val="center"/>
          </w:tcPr>
          <w:p w14:paraId="0801D69B" w14:textId="77777777" w:rsidR="00C71CAA" w:rsidRPr="001570EA" w:rsidRDefault="00C71CAA">
            <w:pPr>
              <w:keepNext/>
              <w:jc w:val="center"/>
              <w:rPr>
                <w:rFonts w:cs="Arial"/>
                <w:color w:val="000000"/>
                <w:sz w:val="18"/>
                <w:szCs w:val="18"/>
              </w:rPr>
            </w:pPr>
            <w:r w:rsidRPr="001570EA">
              <w:rPr>
                <w:rFonts w:cs="Arial"/>
                <w:color w:val="000000"/>
                <w:sz w:val="18"/>
                <w:szCs w:val="18"/>
              </w:rPr>
              <w:t>0.0156</w:t>
            </w:r>
          </w:p>
        </w:tc>
        <w:tc>
          <w:tcPr>
            <w:tcW w:w="592" w:type="pct"/>
            <w:vAlign w:val="center"/>
          </w:tcPr>
          <w:p w14:paraId="4992BCF1" w14:textId="77777777" w:rsidR="00C71CAA" w:rsidRPr="001570EA" w:rsidRDefault="00C71CAA">
            <w:pPr>
              <w:keepNext/>
              <w:jc w:val="center"/>
              <w:rPr>
                <w:rFonts w:cs="Arial"/>
                <w:color w:val="000000"/>
                <w:sz w:val="18"/>
                <w:szCs w:val="18"/>
              </w:rPr>
            </w:pPr>
            <w:r w:rsidRPr="001570EA">
              <w:rPr>
                <w:rFonts w:cs="Arial"/>
                <w:color w:val="000000"/>
                <w:sz w:val="18"/>
                <w:szCs w:val="18"/>
              </w:rPr>
              <w:t>0.0261</w:t>
            </w:r>
          </w:p>
        </w:tc>
      </w:tr>
      <w:tr w:rsidR="00C71CAA" w:rsidRPr="001570EA" w14:paraId="022229B0" w14:textId="77777777" w:rsidTr="00643494">
        <w:trPr>
          <w:trHeight w:val="404"/>
          <w:jc w:val="center"/>
        </w:trPr>
        <w:tc>
          <w:tcPr>
            <w:tcW w:w="824" w:type="pct"/>
            <w:vMerge/>
            <w:shd w:val="clear" w:color="auto" w:fill="auto"/>
            <w:vAlign w:val="center"/>
          </w:tcPr>
          <w:p w14:paraId="1FC48BA8" w14:textId="77777777" w:rsidR="00C71CAA" w:rsidRPr="001570EA" w:rsidRDefault="00C71CAA">
            <w:pPr>
              <w:keepNext/>
              <w:jc w:val="center"/>
              <w:rPr>
                <w:rFonts w:cs="Arial"/>
                <w:color w:val="000000"/>
                <w:sz w:val="18"/>
                <w:szCs w:val="18"/>
              </w:rPr>
            </w:pPr>
          </w:p>
        </w:tc>
        <w:tc>
          <w:tcPr>
            <w:tcW w:w="824" w:type="pct"/>
            <w:shd w:val="clear" w:color="auto" w:fill="auto"/>
            <w:vAlign w:val="center"/>
          </w:tcPr>
          <w:p w14:paraId="522E5CF5" w14:textId="77777777" w:rsidR="00C71CAA" w:rsidRPr="001570EA" w:rsidRDefault="00C71CAA">
            <w:pPr>
              <w:keepNext/>
              <w:jc w:val="left"/>
              <w:rPr>
                <w:rFonts w:cs="Arial"/>
                <w:color w:val="000000" w:themeColor="text1"/>
                <w:sz w:val="18"/>
                <w:szCs w:val="18"/>
              </w:rPr>
            </w:pPr>
            <w:r w:rsidRPr="001570EA">
              <w:rPr>
                <w:rFonts w:cs="Arial"/>
                <w:color w:val="000000"/>
                <w:sz w:val="18"/>
                <w:szCs w:val="18"/>
              </w:rPr>
              <w:t>Unknown Electric</w:t>
            </w:r>
          </w:p>
        </w:tc>
        <w:tc>
          <w:tcPr>
            <w:tcW w:w="571" w:type="pct"/>
            <w:shd w:val="clear" w:color="auto" w:fill="auto"/>
            <w:vAlign w:val="center"/>
          </w:tcPr>
          <w:p w14:paraId="57B1144B" w14:textId="77777777" w:rsidR="00C71CAA" w:rsidRPr="001570EA" w:rsidRDefault="00C71CAA">
            <w:pPr>
              <w:keepNext/>
              <w:jc w:val="center"/>
              <w:rPr>
                <w:rFonts w:cs="Arial"/>
                <w:color w:val="000000" w:themeColor="text1"/>
                <w:sz w:val="18"/>
                <w:szCs w:val="18"/>
              </w:rPr>
            </w:pPr>
            <w:r w:rsidRPr="001570EA">
              <w:rPr>
                <w:rFonts w:cs="Arial"/>
                <w:color w:val="000000"/>
                <w:sz w:val="18"/>
                <w:szCs w:val="18"/>
              </w:rPr>
              <w:t>186.5</w:t>
            </w:r>
          </w:p>
        </w:tc>
        <w:tc>
          <w:tcPr>
            <w:tcW w:w="540" w:type="pct"/>
            <w:shd w:val="clear" w:color="auto" w:fill="auto"/>
            <w:vAlign w:val="center"/>
          </w:tcPr>
          <w:p w14:paraId="3F6473A9" w14:textId="77777777" w:rsidR="00C71CAA" w:rsidRPr="001570EA" w:rsidRDefault="00C71CAA">
            <w:pPr>
              <w:keepNext/>
              <w:jc w:val="center"/>
              <w:rPr>
                <w:rFonts w:cs="Arial"/>
                <w:color w:val="000000" w:themeColor="text1"/>
                <w:sz w:val="18"/>
                <w:szCs w:val="18"/>
              </w:rPr>
            </w:pPr>
            <w:r w:rsidRPr="001570EA">
              <w:rPr>
                <w:rFonts w:cs="Arial"/>
                <w:color w:val="000000"/>
                <w:sz w:val="18"/>
                <w:szCs w:val="18"/>
              </w:rPr>
              <w:t>0.0197</w:t>
            </w:r>
          </w:p>
        </w:tc>
        <w:tc>
          <w:tcPr>
            <w:tcW w:w="559" w:type="pct"/>
            <w:vAlign w:val="center"/>
          </w:tcPr>
          <w:p w14:paraId="0BB60240" w14:textId="77777777" w:rsidR="00C71CAA" w:rsidRPr="001570EA" w:rsidRDefault="00C71CAA">
            <w:pPr>
              <w:keepNext/>
              <w:jc w:val="center"/>
              <w:rPr>
                <w:rFonts w:cs="Arial"/>
                <w:color w:val="000000" w:themeColor="text1"/>
                <w:sz w:val="18"/>
                <w:szCs w:val="18"/>
              </w:rPr>
            </w:pPr>
            <w:r w:rsidRPr="001570EA">
              <w:rPr>
                <w:rFonts w:cs="Arial"/>
                <w:color w:val="000000"/>
                <w:sz w:val="18"/>
                <w:szCs w:val="18"/>
              </w:rPr>
              <w:t>0.0329</w:t>
            </w:r>
          </w:p>
        </w:tc>
        <w:tc>
          <w:tcPr>
            <w:tcW w:w="615" w:type="pct"/>
            <w:vAlign w:val="center"/>
          </w:tcPr>
          <w:p w14:paraId="6080FB48" w14:textId="77777777" w:rsidR="00C71CAA" w:rsidRPr="001570EA" w:rsidRDefault="00C71CAA">
            <w:pPr>
              <w:keepNext/>
              <w:jc w:val="center"/>
              <w:rPr>
                <w:rFonts w:cs="Arial"/>
                <w:color w:val="000000"/>
                <w:sz w:val="18"/>
                <w:szCs w:val="18"/>
              </w:rPr>
            </w:pPr>
            <w:r w:rsidRPr="001570EA">
              <w:rPr>
                <w:rFonts w:cs="Arial"/>
                <w:color w:val="000000"/>
                <w:sz w:val="18"/>
                <w:szCs w:val="18"/>
              </w:rPr>
              <w:t>476.8</w:t>
            </w:r>
          </w:p>
        </w:tc>
        <w:tc>
          <w:tcPr>
            <w:tcW w:w="475" w:type="pct"/>
            <w:vAlign w:val="center"/>
          </w:tcPr>
          <w:p w14:paraId="4F34F589" w14:textId="77777777" w:rsidR="00C71CAA" w:rsidRPr="001570EA" w:rsidRDefault="00C71CAA">
            <w:pPr>
              <w:keepNext/>
              <w:jc w:val="center"/>
              <w:rPr>
                <w:rFonts w:cs="Arial"/>
                <w:color w:val="000000"/>
                <w:sz w:val="18"/>
                <w:szCs w:val="18"/>
              </w:rPr>
            </w:pPr>
            <w:r w:rsidRPr="001570EA">
              <w:rPr>
                <w:rFonts w:cs="Arial"/>
                <w:color w:val="000000"/>
                <w:sz w:val="18"/>
                <w:szCs w:val="18"/>
              </w:rPr>
              <w:t>0.0504</w:t>
            </w:r>
          </w:p>
        </w:tc>
        <w:tc>
          <w:tcPr>
            <w:tcW w:w="592" w:type="pct"/>
            <w:vAlign w:val="center"/>
          </w:tcPr>
          <w:p w14:paraId="3DBC76B1" w14:textId="77777777" w:rsidR="00C71CAA" w:rsidRPr="001570EA" w:rsidRDefault="00C71CAA">
            <w:pPr>
              <w:keepNext/>
              <w:jc w:val="center"/>
              <w:rPr>
                <w:rFonts w:cs="Arial"/>
                <w:color w:val="000000"/>
                <w:sz w:val="18"/>
                <w:szCs w:val="18"/>
              </w:rPr>
            </w:pPr>
            <w:r w:rsidRPr="001570EA">
              <w:rPr>
                <w:rFonts w:cs="Arial"/>
                <w:color w:val="000000"/>
                <w:sz w:val="18"/>
                <w:szCs w:val="18"/>
              </w:rPr>
              <w:t>0.0840</w:t>
            </w:r>
          </w:p>
        </w:tc>
      </w:tr>
      <w:tr w:rsidR="00C71CAA" w:rsidRPr="001570EA" w14:paraId="2FDA2E0A" w14:textId="77777777" w:rsidTr="00643494">
        <w:trPr>
          <w:trHeight w:val="404"/>
          <w:jc w:val="center"/>
        </w:trPr>
        <w:tc>
          <w:tcPr>
            <w:tcW w:w="824" w:type="pct"/>
            <w:vMerge w:val="restart"/>
            <w:shd w:val="clear" w:color="auto" w:fill="auto"/>
            <w:vAlign w:val="center"/>
          </w:tcPr>
          <w:p w14:paraId="73A6000E" w14:textId="77777777" w:rsidR="00C71CAA" w:rsidRPr="001570EA" w:rsidRDefault="00C71CAA">
            <w:pPr>
              <w:keepNext/>
              <w:jc w:val="center"/>
              <w:rPr>
                <w:rFonts w:cs="Arial"/>
                <w:color w:val="000000"/>
                <w:sz w:val="18"/>
                <w:szCs w:val="18"/>
              </w:rPr>
            </w:pPr>
            <w:r w:rsidRPr="001570EA">
              <w:rPr>
                <w:rFonts w:cs="Arial"/>
                <w:color w:val="000000"/>
                <w:sz w:val="18"/>
                <w:szCs w:val="18"/>
              </w:rPr>
              <w:t>Multifamily</w:t>
            </w:r>
          </w:p>
        </w:tc>
        <w:tc>
          <w:tcPr>
            <w:tcW w:w="824" w:type="pct"/>
            <w:shd w:val="clear" w:color="auto" w:fill="auto"/>
            <w:vAlign w:val="center"/>
          </w:tcPr>
          <w:p w14:paraId="425CFEFE" w14:textId="77777777" w:rsidR="00C71CAA" w:rsidRPr="001570EA" w:rsidRDefault="00C71CAA">
            <w:pPr>
              <w:keepNext/>
              <w:jc w:val="left"/>
              <w:rPr>
                <w:rFonts w:cs="Arial"/>
                <w:color w:val="000000"/>
                <w:sz w:val="18"/>
                <w:szCs w:val="18"/>
              </w:rPr>
            </w:pPr>
            <w:r w:rsidRPr="001570EA">
              <w:rPr>
                <w:rFonts w:cs="Arial"/>
                <w:color w:val="000000"/>
                <w:sz w:val="18"/>
                <w:szCs w:val="18"/>
              </w:rPr>
              <w:t>Resistance</w:t>
            </w:r>
          </w:p>
        </w:tc>
        <w:tc>
          <w:tcPr>
            <w:tcW w:w="571" w:type="pct"/>
            <w:shd w:val="clear" w:color="auto" w:fill="auto"/>
            <w:vAlign w:val="center"/>
          </w:tcPr>
          <w:p w14:paraId="04AF2208" w14:textId="77777777" w:rsidR="00C71CAA" w:rsidRPr="001570EA" w:rsidRDefault="00C71CAA">
            <w:pPr>
              <w:keepNext/>
              <w:jc w:val="center"/>
              <w:rPr>
                <w:rFonts w:cs="Arial"/>
                <w:color w:val="000000"/>
                <w:sz w:val="18"/>
                <w:szCs w:val="18"/>
              </w:rPr>
            </w:pPr>
            <w:r w:rsidRPr="001570EA">
              <w:rPr>
                <w:rFonts w:cs="Arial"/>
                <w:color w:val="000000"/>
                <w:sz w:val="18"/>
                <w:szCs w:val="18"/>
              </w:rPr>
              <w:t>232.2</w:t>
            </w:r>
          </w:p>
        </w:tc>
        <w:tc>
          <w:tcPr>
            <w:tcW w:w="540" w:type="pct"/>
            <w:shd w:val="clear" w:color="auto" w:fill="auto"/>
            <w:vAlign w:val="center"/>
          </w:tcPr>
          <w:p w14:paraId="4DB93285" w14:textId="77777777" w:rsidR="00C71CAA" w:rsidRPr="001570EA" w:rsidRDefault="00C71CAA">
            <w:pPr>
              <w:keepNext/>
              <w:jc w:val="center"/>
              <w:rPr>
                <w:rFonts w:cs="Arial"/>
                <w:color w:val="000000"/>
                <w:sz w:val="18"/>
                <w:szCs w:val="18"/>
              </w:rPr>
            </w:pPr>
            <w:r w:rsidRPr="001570EA">
              <w:rPr>
                <w:rFonts w:cs="Arial"/>
                <w:color w:val="000000"/>
                <w:sz w:val="18"/>
                <w:szCs w:val="18"/>
              </w:rPr>
              <w:t>0.0234</w:t>
            </w:r>
          </w:p>
        </w:tc>
        <w:tc>
          <w:tcPr>
            <w:tcW w:w="559" w:type="pct"/>
            <w:vAlign w:val="center"/>
          </w:tcPr>
          <w:p w14:paraId="54D3F933" w14:textId="77777777" w:rsidR="00C71CAA" w:rsidRPr="001570EA" w:rsidRDefault="00C71CAA">
            <w:pPr>
              <w:keepNext/>
              <w:jc w:val="center"/>
              <w:rPr>
                <w:rFonts w:cs="Arial"/>
                <w:color w:val="000000"/>
                <w:sz w:val="18"/>
                <w:szCs w:val="18"/>
              </w:rPr>
            </w:pPr>
            <w:r w:rsidRPr="001570EA">
              <w:rPr>
                <w:rFonts w:cs="Arial"/>
                <w:color w:val="000000"/>
                <w:sz w:val="18"/>
                <w:szCs w:val="18"/>
              </w:rPr>
              <w:t>0.0402</w:t>
            </w:r>
          </w:p>
        </w:tc>
        <w:tc>
          <w:tcPr>
            <w:tcW w:w="615" w:type="pct"/>
            <w:vAlign w:val="center"/>
          </w:tcPr>
          <w:p w14:paraId="630BEE0B" w14:textId="77777777" w:rsidR="00C71CAA" w:rsidRPr="001570EA" w:rsidRDefault="00C71CAA">
            <w:pPr>
              <w:keepNext/>
              <w:jc w:val="center"/>
              <w:rPr>
                <w:rFonts w:cs="Arial"/>
                <w:color w:val="000000"/>
                <w:sz w:val="18"/>
                <w:szCs w:val="18"/>
              </w:rPr>
            </w:pPr>
            <w:r w:rsidRPr="001570EA">
              <w:rPr>
                <w:rFonts w:cs="Arial"/>
                <w:color w:val="000000"/>
                <w:sz w:val="18"/>
                <w:szCs w:val="18"/>
              </w:rPr>
              <w:t>593.6</w:t>
            </w:r>
          </w:p>
        </w:tc>
        <w:tc>
          <w:tcPr>
            <w:tcW w:w="475" w:type="pct"/>
            <w:vAlign w:val="center"/>
          </w:tcPr>
          <w:p w14:paraId="5BB81800" w14:textId="77777777" w:rsidR="00C71CAA" w:rsidRPr="001570EA" w:rsidRDefault="00C71CAA">
            <w:pPr>
              <w:keepNext/>
              <w:jc w:val="center"/>
              <w:rPr>
                <w:rFonts w:cs="Arial"/>
                <w:color w:val="000000"/>
                <w:sz w:val="18"/>
                <w:szCs w:val="18"/>
              </w:rPr>
            </w:pPr>
            <w:r w:rsidRPr="001570EA">
              <w:rPr>
                <w:rFonts w:cs="Arial"/>
                <w:color w:val="000000"/>
                <w:sz w:val="18"/>
                <w:szCs w:val="18"/>
              </w:rPr>
              <w:t>0.0597</w:t>
            </w:r>
          </w:p>
        </w:tc>
        <w:tc>
          <w:tcPr>
            <w:tcW w:w="592" w:type="pct"/>
            <w:vAlign w:val="center"/>
          </w:tcPr>
          <w:p w14:paraId="407DA971" w14:textId="77777777" w:rsidR="00C71CAA" w:rsidRPr="001570EA" w:rsidRDefault="00C71CAA">
            <w:pPr>
              <w:keepNext/>
              <w:jc w:val="center"/>
              <w:rPr>
                <w:rFonts w:cs="Arial"/>
                <w:color w:val="000000"/>
                <w:sz w:val="18"/>
                <w:szCs w:val="18"/>
              </w:rPr>
            </w:pPr>
            <w:r w:rsidRPr="001570EA">
              <w:rPr>
                <w:rFonts w:cs="Arial"/>
                <w:color w:val="000000"/>
                <w:sz w:val="18"/>
                <w:szCs w:val="18"/>
              </w:rPr>
              <w:t>0.1029</w:t>
            </w:r>
          </w:p>
        </w:tc>
      </w:tr>
      <w:tr w:rsidR="00C71CAA" w:rsidRPr="001570EA" w14:paraId="0669B5F5" w14:textId="77777777" w:rsidTr="00643494">
        <w:trPr>
          <w:trHeight w:val="404"/>
          <w:jc w:val="center"/>
        </w:trPr>
        <w:tc>
          <w:tcPr>
            <w:tcW w:w="824" w:type="pct"/>
            <w:vMerge/>
            <w:shd w:val="clear" w:color="auto" w:fill="auto"/>
            <w:vAlign w:val="center"/>
          </w:tcPr>
          <w:p w14:paraId="6025153D" w14:textId="77777777" w:rsidR="00C71CAA" w:rsidRPr="001570EA" w:rsidRDefault="00C71CAA">
            <w:pPr>
              <w:keepNext/>
              <w:jc w:val="center"/>
              <w:rPr>
                <w:rFonts w:cs="Arial"/>
                <w:color w:val="000000"/>
                <w:sz w:val="18"/>
                <w:szCs w:val="18"/>
              </w:rPr>
            </w:pPr>
          </w:p>
        </w:tc>
        <w:tc>
          <w:tcPr>
            <w:tcW w:w="824" w:type="pct"/>
            <w:shd w:val="clear" w:color="auto" w:fill="auto"/>
            <w:vAlign w:val="center"/>
          </w:tcPr>
          <w:p w14:paraId="09ACBCAD" w14:textId="77777777" w:rsidR="00C71CAA" w:rsidRPr="001570EA" w:rsidRDefault="00C71CAA">
            <w:pPr>
              <w:keepNext/>
              <w:jc w:val="left"/>
              <w:rPr>
                <w:rFonts w:cs="Arial"/>
                <w:color w:val="000000"/>
                <w:sz w:val="18"/>
                <w:szCs w:val="18"/>
              </w:rPr>
            </w:pPr>
            <w:r w:rsidRPr="001570EA">
              <w:rPr>
                <w:rFonts w:cs="Arial"/>
                <w:color w:val="000000"/>
                <w:sz w:val="18"/>
                <w:szCs w:val="18"/>
              </w:rPr>
              <w:t>HPWH</w:t>
            </w:r>
          </w:p>
        </w:tc>
        <w:tc>
          <w:tcPr>
            <w:tcW w:w="571" w:type="pct"/>
            <w:shd w:val="clear" w:color="auto" w:fill="auto"/>
            <w:vAlign w:val="center"/>
          </w:tcPr>
          <w:p w14:paraId="42CEE175" w14:textId="77777777" w:rsidR="00C71CAA" w:rsidRPr="001570EA" w:rsidRDefault="00C71CAA">
            <w:pPr>
              <w:keepNext/>
              <w:jc w:val="center"/>
              <w:rPr>
                <w:rFonts w:cs="Arial"/>
                <w:color w:val="000000"/>
                <w:sz w:val="18"/>
                <w:szCs w:val="18"/>
              </w:rPr>
            </w:pPr>
            <w:r w:rsidRPr="001570EA">
              <w:rPr>
                <w:rFonts w:cs="Arial"/>
                <w:color w:val="000000"/>
                <w:sz w:val="18"/>
                <w:szCs w:val="18"/>
              </w:rPr>
              <w:t>57.9</w:t>
            </w:r>
          </w:p>
        </w:tc>
        <w:tc>
          <w:tcPr>
            <w:tcW w:w="540" w:type="pct"/>
            <w:shd w:val="clear" w:color="auto" w:fill="auto"/>
            <w:vAlign w:val="center"/>
          </w:tcPr>
          <w:p w14:paraId="15AC3094" w14:textId="77777777" w:rsidR="00C71CAA" w:rsidRPr="001570EA" w:rsidRDefault="00C71CAA">
            <w:pPr>
              <w:keepNext/>
              <w:jc w:val="center"/>
              <w:rPr>
                <w:rFonts w:cs="Arial"/>
                <w:color w:val="000000"/>
                <w:sz w:val="18"/>
                <w:szCs w:val="18"/>
              </w:rPr>
            </w:pPr>
            <w:r w:rsidRPr="001570EA">
              <w:rPr>
                <w:rFonts w:cs="Arial"/>
                <w:color w:val="000000"/>
                <w:sz w:val="18"/>
                <w:szCs w:val="18"/>
              </w:rPr>
              <w:t>0.0058</w:t>
            </w:r>
          </w:p>
        </w:tc>
        <w:tc>
          <w:tcPr>
            <w:tcW w:w="559" w:type="pct"/>
            <w:vAlign w:val="center"/>
          </w:tcPr>
          <w:p w14:paraId="09D066E6" w14:textId="77777777" w:rsidR="00C71CAA" w:rsidRPr="001570EA" w:rsidRDefault="00C71CAA">
            <w:pPr>
              <w:keepNext/>
              <w:jc w:val="center"/>
              <w:rPr>
                <w:rFonts w:cs="Arial"/>
                <w:color w:val="000000"/>
                <w:sz w:val="18"/>
                <w:szCs w:val="18"/>
              </w:rPr>
            </w:pPr>
            <w:r w:rsidRPr="001570EA">
              <w:rPr>
                <w:rFonts w:cs="Arial"/>
                <w:color w:val="000000"/>
                <w:sz w:val="18"/>
                <w:szCs w:val="18"/>
              </w:rPr>
              <w:t>0.0100</w:t>
            </w:r>
          </w:p>
        </w:tc>
        <w:tc>
          <w:tcPr>
            <w:tcW w:w="615" w:type="pct"/>
            <w:vAlign w:val="center"/>
          </w:tcPr>
          <w:p w14:paraId="1B0843D3" w14:textId="77777777" w:rsidR="00C71CAA" w:rsidRPr="001570EA" w:rsidRDefault="00C71CAA">
            <w:pPr>
              <w:keepNext/>
              <w:jc w:val="center"/>
              <w:rPr>
                <w:rFonts w:cs="Arial"/>
                <w:color w:val="000000"/>
                <w:sz w:val="18"/>
                <w:szCs w:val="18"/>
              </w:rPr>
            </w:pPr>
            <w:r w:rsidRPr="001570EA">
              <w:rPr>
                <w:rFonts w:cs="Arial"/>
                <w:color w:val="000000"/>
                <w:sz w:val="18"/>
                <w:szCs w:val="18"/>
              </w:rPr>
              <w:t>148.0</w:t>
            </w:r>
          </w:p>
        </w:tc>
        <w:tc>
          <w:tcPr>
            <w:tcW w:w="475" w:type="pct"/>
            <w:vAlign w:val="center"/>
          </w:tcPr>
          <w:p w14:paraId="271EA6F5" w14:textId="77777777" w:rsidR="00C71CAA" w:rsidRPr="001570EA" w:rsidRDefault="00C71CAA">
            <w:pPr>
              <w:keepNext/>
              <w:jc w:val="center"/>
              <w:rPr>
                <w:rFonts w:cs="Arial"/>
                <w:color w:val="000000"/>
                <w:sz w:val="18"/>
                <w:szCs w:val="18"/>
              </w:rPr>
            </w:pPr>
            <w:r w:rsidRPr="001570EA">
              <w:rPr>
                <w:rFonts w:cs="Arial"/>
                <w:color w:val="000000"/>
                <w:sz w:val="18"/>
                <w:szCs w:val="18"/>
              </w:rPr>
              <w:t>0.0149</w:t>
            </w:r>
          </w:p>
        </w:tc>
        <w:tc>
          <w:tcPr>
            <w:tcW w:w="592" w:type="pct"/>
            <w:vAlign w:val="center"/>
          </w:tcPr>
          <w:p w14:paraId="5DF7CC69" w14:textId="77777777" w:rsidR="00C71CAA" w:rsidRPr="001570EA" w:rsidRDefault="00C71CAA">
            <w:pPr>
              <w:keepNext/>
              <w:jc w:val="center"/>
              <w:rPr>
                <w:rFonts w:cs="Arial"/>
                <w:color w:val="000000"/>
                <w:sz w:val="18"/>
                <w:szCs w:val="18"/>
              </w:rPr>
            </w:pPr>
            <w:r w:rsidRPr="001570EA">
              <w:rPr>
                <w:rFonts w:cs="Arial"/>
                <w:color w:val="000000"/>
                <w:sz w:val="18"/>
                <w:szCs w:val="18"/>
              </w:rPr>
              <w:t>0.0257</w:t>
            </w:r>
          </w:p>
        </w:tc>
      </w:tr>
      <w:tr w:rsidR="00C71CAA" w:rsidRPr="001570EA" w14:paraId="052374D4" w14:textId="77777777" w:rsidTr="00643494">
        <w:trPr>
          <w:trHeight w:val="404"/>
          <w:jc w:val="center"/>
        </w:trPr>
        <w:tc>
          <w:tcPr>
            <w:tcW w:w="824" w:type="pct"/>
            <w:vMerge/>
            <w:shd w:val="clear" w:color="auto" w:fill="auto"/>
            <w:vAlign w:val="center"/>
          </w:tcPr>
          <w:p w14:paraId="20763B5E" w14:textId="77777777" w:rsidR="00C71CAA" w:rsidRPr="001570EA" w:rsidRDefault="00C71CAA">
            <w:pPr>
              <w:keepNext/>
              <w:jc w:val="center"/>
              <w:rPr>
                <w:rFonts w:cs="Arial"/>
                <w:color w:val="000000"/>
                <w:sz w:val="18"/>
                <w:szCs w:val="18"/>
              </w:rPr>
            </w:pPr>
          </w:p>
        </w:tc>
        <w:tc>
          <w:tcPr>
            <w:tcW w:w="824" w:type="pct"/>
            <w:shd w:val="clear" w:color="auto" w:fill="auto"/>
            <w:vAlign w:val="center"/>
          </w:tcPr>
          <w:p w14:paraId="72D043F0" w14:textId="77777777" w:rsidR="00C71CAA" w:rsidRPr="001570EA" w:rsidRDefault="00C71CAA">
            <w:pPr>
              <w:keepNext/>
              <w:jc w:val="left"/>
              <w:rPr>
                <w:rFonts w:cs="Arial"/>
                <w:color w:val="000000"/>
                <w:sz w:val="18"/>
                <w:szCs w:val="18"/>
              </w:rPr>
            </w:pPr>
            <w:r w:rsidRPr="001570EA">
              <w:rPr>
                <w:rFonts w:cs="Arial"/>
                <w:color w:val="000000"/>
                <w:sz w:val="18"/>
                <w:szCs w:val="18"/>
              </w:rPr>
              <w:t>Unknown Electric</w:t>
            </w:r>
          </w:p>
        </w:tc>
        <w:tc>
          <w:tcPr>
            <w:tcW w:w="571" w:type="pct"/>
            <w:shd w:val="clear" w:color="auto" w:fill="auto"/>
            <w:vAlign w:val="center"/>
          </w:tcPr>
          <w:p w14:paraId="3ACB3045" w14:textId="77777777" w:rsidR="00C71CAA" w:rsidRPr="001570EA" w:rsidRDefault="00C71CAA">
            <w:pPr>
              <w:keepNext/>
              <w:jc w:val="center"/>
              <w:rPr>
                <w:rFonts w:cs="Arial"/>
                <w:color w:val="000000"/>
                <w:sz w:val="18"/>
                <w:szCs w:val="18"/>
              </w:rPr>
            </w:pPr>
            <w:r w:rsidRPr="001570EA">
              <w:rPr>
                <w:rFonts w:cs="Arial"/>
                <w:color w:val="000000"/>
                <w:sz w:val="18"/>
                <w:szCs w:val="18"/>
              </w:rPr>
              <w:t>186.5</w:t>
            </w:r>
          </w:p>
        </w:tc>
        <w:tc>
          <w:tcPr>
            <w:tcW w:w="540" w:type="pct"/>
            <w:shd w:val="clear" w:color="auto" w:fill="auto"/>
            <w:vAlign w:val="center"/>
          </w:tcPr>
          <w:p w14:paraId="20079811" w14:textId="77777777" w:rsidR="00C71CAA" w:rsidRPr="001570EA" w:rsidRDefault="00C71CAA">
            <w:pPr>
              <w:keepNext/>
              <w:jc w:val="center"/>
              <w:rPr>
                <w:rFonts w:cs="Arial"/>
                <w:color w:val="000000"/>
                <w:sz w:val="18"/>
                <w:szCs w:val="18"/>
              </w:rPr>
            </w:pPr>
            <w:r w:rsidRPr="001570EA">
              <w:rPr>
                <w:rFonts w:cs="Arial"/>
                <w:color w:val="000000"/>
                <w:sz w:val="18"/>
                <w:szCs w:val="18"/>
              </w:rPr>
              <w:t>0.0188</w:t>
            </w:r>
          </w:p>
        </w:tc>
        <w:tc>
          <w:tcPr>
            <w:tcW w:w="559" w:type="pct"/>
            <w:vAlign w:val="center"/>
          </w:tcPr>
          <w:p w14:paraId="5E618536" w14:textId="77777777" w:rsidR="00C71CAA" w:rsidRPr="001570EA" w:rsidRDefault="00C71CAA">
            <w:pPr>
              <w:keepNext/>
              <w:jc w:val="center"/>
              <w:rPr>
                <w:rFonts w:cs="Arial"/>
                <w:color w:val="000000"/>
                <w:sz w:val="18"/>
                <w:szCs w:val="18"/>
              </w:rPr>
            </w:pPr>
            <w:r w:rsidRPr="001570EA">
              <w:rPr>
                <w:rFonts w:cs="Arial"/>
                <w:color w:val="000000"/>
                <w:sz w:val="18"/>
                <w:szCs w:val="18"/>
              </w:rPr>
              <w:t>0.0323</w:t>
            </w:r>
          </w:p>
        </w:tc>
        <w:tc>
          <w:tcPr>
            <w:tcW w:w="615" w:type="pct"/>
            <w:vAlign w:val="center"/>
          </w:tcPr>
          <w:p w14:paraId="5E405BEE" w14:textId="77777777" w:rsidR="00C71CAA" w:rsidRPr="001570EA" w:rsidRDefault="00C71CAA">
            <w:pPr>
              <w:keepNext/>
              <w:jc w:val="center"/>
              <w:rPr>
                <w:rFonts w:cs="Arial"/>
                <w:color w:val="000000"/>
                <w:sz w:val="18"/>
                <w:szCs w:val="18"/>
              </w:rPr>
            </w:pPr>
            <w:r w:rsidRPr="001570EA">
              <w:rPr>
                <w:rFonts w:cs="Arial"/>
                <w:color w:val="000000"/>
                <w:sz w:val="18"/>
                <w:szCs w:val="18"/>
              </w:rPr>
              <w:t>476.8</w:t>
            </w:r>
          </w:p>
        </w:tc>
        <w:tc>
          <w:tcPr>
            <w:tcW w:w="475" w:type="pct"/>
            <w:vAlign w:val="center"/>
          </w:tcPr>
          <w:p w14:paraId="6613A834" w14:textId="77777777" w:rsidR="00C71CAA" w:rsidRPr="001570EA" w:rsidRDefault="00C71CAA">
            <w:pPr>
              <w:keepNext/>
              <w:jc w:val="center"/>
              <w:rPr>
                <w:rFonts w:cs="Arial"/>
                <w:color w:val="000000"/>
                <w:sz w:val="18"/>
                <w:szCs w:val="18"/>
              </w:rPr>
            </w:pPr>
            <w:r w:rsidRPr="001570EA">
              <w:rPr>
                <w:rFonts w:cs="Arial"/>
                <w:color w:val="000000"/>
                <w:sz w:val="18"/>
                <w:szCs w:val="18"/>
              </w:rPr>
              <w:t>0.0480</w:t>
            </w:r>
          </w:p>
        </w:tc>
        <w:tc>
          <w:tcPr>
            <w:tcW w:w="592" w:type="pct"/>
            <w:vAlign w:val="center"/>
          </w:tcPr>
          <w:p w14:paraId="1B28BE91" w14:textId="77777777" w:rsidR="00C71CAA" w:rsidRPr="001570EA" w:rsidRDefault="00C71CAA">
            <w:pPr>
              <w:keepNext/>
              <w:jc w:val="center"/>
              <w:rPr>
                <w:rFonts w:cs="Arial"/>
                <w:color w:val="000000"/>
                <w:sz w:val="18"/>
                <w:szCs w:val="18"/>
              </w:rPr>
            </w:pPr>
            <w:r w:rsidRPr="001570EA">
              <w:rPr>
                <w:rFonts w:cs="Arial"/>
                <w:color w:val="000000"/>
                <w:sz w:val="18"/>
                <w:szCs w:val="18"/>
              </w:rPr>
              <w:t>0.0826</w:t>
            </w:r>
          </w:p>
        </w:tc>
      </w:tr>
      <w:tr w:rsidR="00C71CAA" w:rsidRPr="001570EA" w14:paraId="4A0C63FF" w14:textId="77777777" w:rsidTr="00643494">
        <w:trPr>
          <w:trHeight w:val="404"/>
          <w:jc w:val="center"/>
        </w:trPr>
        <w:tc>
          <w:tcPr>
            <w:tcW w:w="824" w:type="pct"/>
            <w:vMerge w:val="restart"/>
            <w:shd w:val="clear" w:color="auto" w:fill="auto"/>
            <w:vAlign w:val="center"/>
          </w:tcPr>
          <w:p w14:paraId="3C45ACAD" w14:textId="77777777" w:rsidR="00C71CAA" w:rsidRPr="001570EA" w:rsidRDefault="00C71CAA">
            <w:pPr>
              <w:keepNext/>
              <w:jc w:val="center"/>
              <w:rPr>
                <w:rFonts w:cs="Arial"/>
                <w:color w:val="000000"/>
                <w:sz w:val="18"/>
                <w:szCs w:val="18"/>
              </w:rPr>
            </w:pPr>
            <w:r w:rsidRPr="001570EA">
              <w:rPr>
                <w:rFonts w:cs="Arial"/>
                <w:color w:val="000000"/>
                <w:sz w:val="18"/>
                <w:szCs w:val="18"/>
              </w:rPr>
              <w:t>Unknown</w:t>
            </w:r>
          </w:p>
        </w:tc>
        <w:tc>
          <w:tcPr>
            <w:tcW w:w="824" w:type="pct"/>
            <w:shd w:val="clear" w:color="auto" w:fill="auto"/>
            <w:vAlign w:val="center"/>
          </w:tcPr>
          <w:p w14:paraId="57FE4382" w14:textId="77777777" w:rsidR="00C71CAA" w:rsidRPr="001570EA" w:rsidRDefault="00C71CAA">
            <w:pPr>
              <w:keepNext/>
              <w:jc w:val="left"/>
              <w:rPr>
                <w:rFonts w:cs="Arial"/>
                <w:color w:val="000000"/>
                <w:sz w:val="18"/>
                <w:szCs w:val="18"/>
              </w:rPr>
            </w:pPr>
            <w:r w:rsidRPr="001570EA">
              <w:rPr>
                <w:rFonts w:cs="Arial"/>
                <w:color w:val="000000"/>
                <w:sz w:val="18"/>
                <w:szCs w:val="18"/>
              </w:rPr>
              <w:t>Resistance</w:t>
            </w:r>
          </w:p>
        </w:tc>
        <w:tc>
          <w:tcPr>
            <w:tcW w:w="571" w:type="pct"/>
            <w:shd w:val="clear" w:color="auto" w:fill="auto"/>
            <w:vAlign w:val="center"/>
          </w:tcPr>
          <w:p w14:paraId="5070CA30" w14:textId="77777777" w:rsidR="00C71CAA" w:rsidRPr="001570EA" w:rsidRDefault="00C71CAA">
            <w:pPr>
              <w:keepNext/>
              <w:jc w:val="center"/>
              <w:rPr>
                <w:rFonts w:cs="Arial"/>
                <w:color w:val="000000"/>
                <w:sz w:val="18"/>
                <w:szCs w:val="18"/>
              </w:rPr>
            </w:pPr>
            <w:r w:rsidRPr="001570EA">
              <w:rPr>
                <w:rFonts w:cs="Arial"/>
                <w:color w:val="000000"/>
                <w:sz w:val="18"/>
                <w:szCs w:val="18"/>
              </w:rPr>
              <w:t>232.2</w:t>
            </w:r>
          </w:p>
        </w:tc>
        <w:tc>
          <w:tcPr>
            <w:tcW w:w="540" w:type="pct"/>
            <w:shd w:val="clear" w:color="auto" w:fill="auto"/>
            <w:vAlign w:val="center"/>
          </w:tcPr>
          <w:p w14:paraId="120965DD" w14:textId="77777777" w:rsidR="00C71CAA" w:rsidRPr="001570EA" w:rsidRDefault="00C71CAA">
            <w:pPr>
              <w:keepNext/>
              <w:jc w:val="center"/>
              <w:rPr>
                <w:rFonts w:cs="Arial"/>
                <w:color w:val="000000"/>
                <w:sz w:val="18"/>
                <w:szCs w:val="18"/>
              </w:rPr>
            </w:pPr>
            <w:r w:rsidRPr="001570EA">
              <w:rPr>
                <w:rFonts w:cs="Arial"/>
                <w:color w:val="000000"/>
                <w:sz w:val="18"/>
                <w:szCs w:val="18"/>
              </w:rPr>
              <w:t>0.0243</w:t>
            </w:r>
          </w:p>
        </w:tc>
        <w:tc>
          <w:tcPr>
            <w:tcW w:w="559" w:type="pct"/>
            <w:vAlign w:val="center"/>
          </w:tcPr>
          <w:p w14:paraId="0D957B45" w14:textId="77777777" w:rsidR="00C71CAA" w:rsidRPr="001570EA" w:rsidRDefault="00C71CAA">
            <w:pPr>
              <w:keepNext/>
              <w:jc w:val="center"/>
              <w:rPr>
                <w:rFonts w:cs="Arial"/>
                <w:color w:val="000000"/>
                <w:sz w:val="18"/>
                <w:szCs w:val="18"/>
              </w:rPr>
            </w:pPr>
            <w:r w:rsidRPr="001570EA">
              <w:rPr>
                <w:rFonts w:cs="Arial"/>
                <w:color w:val="000000"/>
                <w:sz w:val="18"/>
                <w:szCs w:val="18"/>
              </w:rPr>
              <w:t>0.0408</w:t>
            </w:r>
          </w:p>
        </w:tc>
        <w:tc>
          <w:tcPr>
            <w:tcW w:w="615" w:type="pct"/>
            <w:vAlign w:val="center"/>
          </w:tcPr>
          <w:p w14:paraId="3AA6D172" w14:textId="77777777" w:rsidR="00C71CAA" w:rsidRPr="001570EA" w:rsidRDefault="00C71CAA">
            <w:pPr>
              <w:keepNext/>
              <w:jc w:val="center"/>
              <w:rPr>
                <w:rFonts w:cs="Arial"/>
                <w:color w:val="000000"/>
                <w:sz w:val="18"/>
                <w:szCs w:val="18"/>
              </w:rPr>
            </w:pPr>
            <w:r w:rsidRPr="001570EA">
              <w:rPr>
                <w:rFonts w:cs="Arial"/>
                <w:color w:val="000000"/>
                <w:sz w:val="18"/>
                <w:szCs w:val="18"/>
              </w:rPr>
              <w:t>593.6</w:t>
            </w:r>
          </w:p>
        </w:tc>
        <w:tc>
          <w:tcPr>
            <w:tcW w:w="475" w:type="pct"/>
            <w:vAlign w:val="center"/>
          </w:tcPr>
          <w:p w14:paraId="2CBDD1EA" w14:textId="77777777" w:rsidR="00C71CAA" w:rsidRPr="001570EA" w:rsidRDefault="00C71CAA">
            <w:pPr>
              <w:keepNext/>
              <w:jc w:val="center"/>
              <w:rPr>
                <w:rFonts w:cs="Arial"/>
                <w:color w:val="000000"/>
                <w:sz w:val="18"/>
                <w:szCs w:val="18"/>
              </w:rPr>
            </w:pPr>
            <w:r w:rsidRPr="001570EA">
              <w:rPr>
                <w:rFonts w:cs="Arial"/>
                <w:color w:val="000000"/>
                <w:sz w:val="18"/>
                <w:szCs w:val="18"/>
              </w:rPr>
              <w:t>0.0621</w:t>
            </w:r>
          </w:p>
        </w:tc>
        <w:tc>
          <w:tcPr>
            <w:tcW w:w="592" w:type="pct"/>
            <w:vAlign w:val="center"/>
          </w:tcPr>
          <w:p w14:paraId="092ACD23" w14:textId="77777777" w:rsidR="00C71CAA" w:rsidRPr="001570EA" w:rsidRDefault="00C71CAA">
            <w:pPr>
              <w:keepNext/>
              <w:jc w:val="center"/>
              <w:rPr>
                <w:rFonts w:cs="Arial"/>
                <w:color w:val="000000"/>
                <w:sz w:val="18"/>
                <w:szCs w:val="18"/>
              </w:rPr>
            </w:pPr>
            <w:r w:rsidRPr="001570EA">
              <w:rPr>
                <w:rFonts w:cs="Arial"/>
                <w:color w:val="000000"/>
                <w:sz w:val="18"/>
                <w:szCs w:val="18"/>
              </w:rPr>
              <w:t>0.1042</w:t>
            </w:r>
          </w:p>
        </w:tc>
      </w:tr>
      <w:tr w:rsidR="00C71CAA" w:rsidRPr="001570EA" w14:paraId="2C4215F7" w14:textId="77777777" w:rsidTr="00643494">
        <w:trPr>
          <w:trHeight w:val="404"/>
          <w:jc w:val="center"/>
        </w:trPr>
        <w:tc>
          <w:tcPr>
            <w:tcW w:w="824" w:type="pct"/>
            <w:vMerge/>
            <w:shd w:val="clear" w:color="auto" w:fill="auto"/>
          </w:tcPr>
          <w:p w14:paraId="586514E3" w14:textId="77777777" w:rsidR="00C71CAA" w:rsidRPr="001570EA" w:rsidRDefault="00C71CAA">
            <w:pPr>
              <w:keepNext/>
              <w:jc w:val="left"/>
              <w:rPr>
                <w:rFonts w:cs="Arial"/>
                <w:color w:val="000000"/>
                <w:sz w:val="18"/>
                <w:szCs w:val="18"/>
              </w:rPr>
            </w:pPr>
          </w:p>
        </w:tc>
        <w:tc>
          <w:tcPr>
            <w:tcW w:w="824" w:type="pct"/>
            <w:shd w:val="clear" w:color="auto" w:fill="auto"/>
            <w:vAlign w:val="center"/>
          </w:tcPr>
          <w:p w14:paraId="38DF2DD8" w14:textId="77777777" w:rsidR="00C71CAA" w:rsidRPr="001570EA" w:rsidRDefault="00C71CAA">
            <w:pPr>
              <w:keepNext/>
              <w:jc w:val="left"/>
              <w:rPr>
                <w:rFonts w:cs="Arial"/>
                <w:color w:val="000000"/>
                <w:sz w:val="18"/>
                <w:szCs w:val="18"/>
              </w:rPr>
            </w:pPr>
            <w:r w:rsidRPr="001570EA">
              <w:rPr>
                <w:rFonts w:cs="Arial"/>
                <w:color w:val="000000"/>
                <w:sz w:val="18"/>
                <w:szCs w:val="18"/>
              </w:rPr>
              <w:t>HPWH</w:t>
            </w:r>
          </w:p>
        </w:tc>
        <w:tc>
          <w:tcPr>
            <w:tcW w:w="571" w:type="pct"/>
            <w:shd w:val="clear" w:color="auto" w:fill="auto"/>
            <w:vAlign w:val="center"/>
          </w:tcPr>
          <w:p w14:paraId="64EE8817" w14:textId="77777777" w:rsidR="00C71CAA" w:rsidRPr="001570EA" w:rsidRDefault="00C71CAA">
            <w:pPr>
              <w:keepNext/>
              <w:jc w:val="center"/>
              <w:rPr>
                <w:rFonts w:cs="Arial"/>
                <w:color w:val="000000"/>
                <w:sz w:val="18"/>
                <w:szCs w:val="18"/>
              </w:rPr>
            </w:pPr>
            <w:r w:rsidRPr="001570EA">
              <w:rPr>
                <w:rFonts w:cs="Arial"/>
                <w:color w:val="000000"/>
                <w:sz w:val="18"/>
                <w:szCs w:val="18"/>
              </w:rPr>
              <w:t>57.9</w:t>
            </w:r>
          </w:p>
        </w:tc>
        <w:tc>
          <w:tcPr>
            <w:tcW w:w="540" w:type="pct"/>
            <w:shd w:val="clear" w:color="auto" w:fill="auto"/>
            <w:vAlign w:val="center"/>
          </w:tcPr>
          <w:p w14:paraId="2DE7C548" w14:textId="77777777" w:rsidR="00C71CAA" w:rsidRPr="001570EA" w:rsidRDefault="00C71CAA">
            <w:pPr>
              <w:keepNext/>
              <w:jc w:val="center"/>
              <w:rPr>
                <w:rFonts w:cs="Arial"/>
                <w:color w:val="000000"/>
                <w:sz w:val="18"/>
                <w:szCs w:val="18"/>
              </w:rPr>
            </w:pPr>
            <w:r w:rsidRPr="001570EA">
              <w:rPr>
                <w:rFonts w:cs="Arial"/>
                <w:color w:val="000000"/>
                <w:sz w:val="18"/>
                <w:szCs w:val="18"/>
              </w:rPr>
              <w:t>0.0061</w:t>
            </w:r>
          </w:p>
        </w:tc>
        <w:tc>
          <w:tcPr>
            <w:tcW w:w="559" w:type="pct"/>
            <w:vAlign w:val="center"/>
          </w:tcPr>
          <w:p w14:paraId="2F88165A" w14:textId="77777777" w:rsidR="00C71CAA" w:rsidRPr="001570EA" w:rsidRDefault="00C71CAA">
            <w:pPr>
              <w:keepNext/>
              <w:jc w:val="center"/>
              <w:rPr>
                <w:rFonts w:cs="Arial"/>
                <w:color w:val="000000"/>
                <w:sz w:val="18"/>
                <w:szCs w:val="18"/>
              </w:rPr>
            </w:pPr>
            <w:r w:rsidRPr="001570EA">
              <w:rPr>
                <w:rFonts w:cs="Arial"/>
                <w:color w:val="000000"/>
                <w:sz w:val="18"/>
                <w:szCs w:val="18"/>
              </w:rPr>
              <w:t>0.0102</w:t>
            </w:r>
          </w:p>
        </w:tc>
        <w:tc>
          <w:tcPr>
            <w:tcW w:w="615" w:type="pct"/>
            <w:vAlign w:val="center"/>
          </w:tcPr>
          <w:p w14:paraId="12CE4135" w14:textId="77777777" w:rsidR="00C71CAA" w:rsidRPr="001570EA" w:rsidRDefault="00C71CAA">
            <w:pPr>
              <w:keepNext/>
              <w:jc w:val="center"/>
              <w:rPr>
                <w:rFonts w:cs="Arial"/>
                <w:color w:val="000000"/>
                <w:sz w:val="18"/>
                <w:szCs w:val="18"/>
              </w:rPr>
            </w:pPr>
            <w:r w:rsidRPr="001570EA">
              <w:rPr>
                <w:rFonts w:cs="Arial"/>
                <w:color w:val="000000"/>
                <w:sz w:val="18"/>
                <w:szCs w:val="18"/>
              </w:rPr>
              <w:t>148.0</w:t>
            </w:r>
          </w:p>
        </w:tc>
        <w:tc>
          <w:tcPr>
            <w:tcW w:w="475" w:type="pct"/>
            <w:vAlign w:val="center"/>
          </w:tcPr>
          <w:p w14:paraId="0DA83ED0" w14:textId="77777777" w:rsidR="00C71CAA" w:rsidRPr="001570EA" w:rsidRDefault="00C71CAA">
            <w:pPr>
              <w:keepNext/>
              <w:jc w:val="center"/>
              <w:rPr>
                <w:rFonts w:cs="Arial"/>
                <w:color w:val="000000"/>
                <w:sz w:val="18"/>
                <w:szCs w:val="18"/>
              </w:rPr>
            </w:pPr>
            <w:r w:rsidRPr="001570EA">
              <w:rPr>
                <w:rFonts w:cs="Arial"/>
                <w:color w:val="000000"/>
                <w:sz w:val="18"/>
                <w:szCs w:val="18"/>
              </w:rPr>
              <w:t>0.0155</w:t>
            </w:r>
          </w:p>
        </w:tc>
        <w:tc>
          <w:tcPr>
            <w:tcW w:w="592" w:type="pct"/>
            <w:vAlign w:val="center"/>
          </w:tcPr>
          <w:p w14:paraId="0A7E59A7" w14:textId="77777777" w:rsidR="00C71CAA" w:rsidRPr="001570EA" w:rsidRDefault="00C71CAA">
            <w:pPr>
              <w:keepNext/>
              <w:jc w:val="center"/>
              <w:rPr>
                <w:rFonts w:cs="Arial"/>
                <w:color w:val="000000"/>
                <w:sz w:val="18"/>
                <w:szCs w:val="18"/>
              </w:rPr>
            </w:pPr>
            <w:r w:rsidRPr="001570EA">
              <w:rPr>
                <w:rFonts w:cs="Arial"/>
                <w:color w:val="000000"/>
                <w:sz w:val="18"/>
                <w:szCs w:val="18"/>
              </w:rPr>
              <w:t>0.0260</w:t>
            </w:r>
          </w:p>
        </w:tc>
      </w:tr>
      <w:tr w:rsidR="00C71CAA" w:rsidRPr="001570EA" w14:paraId="01D66102" w14:textId="77777777" w:rsidTr="00643494">
        <w:trPr>
          <w:trHeight w:val="404"/>
          <w:jc w:val="center"/>
        </w:trPr>
        <w:tc>
          <w:tcPr>
            <w:tcW w:w="824" w:type="pct"/>
            <w:vMerge/>
            <w:shd w:val="clear" w:color="auto" w:fill="auto"/>
          </w:tcPr>
          <w:p w14:paraId="7E516457" w14:textId="77777777" w:rsidR="00C71CAA" w:rsidRPr="001570EA" w:rsidRDefault="00C71CAA">
            <w:pPr>
              <w:keepNext/>
              <w:jc w:val="left"/>
              <w:rPr>
                <w:rFonts w:cs="Arial"/>
                <w:color w:val="000000"/>
                <w:sz w:val="18"/>
                <w:szCs w:val="18"/>
              </w:rPr>
            </w:pPr>
          </w:p>
        </w:tc>
        <w:tc>
          <w:tcPr>
            <w:tcW w:w="824" w:type="pct"/>
            <w:shd w:val="clear" w:color="auto" w:fill="auto"/>
            <w:vAlign w:val="center"/>
          </w:tcPr>
          <w:p w14:paraId="138365FA" w14:textId="77777777" w:rsidR="00C71CAA" w:rsidRPr="001570EA" w:rsidRDefault="00C71CAA">
            <w:pPr>
              <w:keepNext/>
              <w:jc w:val="left"/>
              <w:rPr>
                <w:rFonts w:cs="Arial"/>
                <w:color w:val="000000"/>
                <w:sz w:val="18"/>
                <w:szCs w:val="18"/>
              </w:rPr>
            </w:pPr>
            <w:r w:rsidRPr="001570EA">
              <w:rPr>
                <w:rFonts w:cs="Arial"/>
                <w:color w:val="000000"/>
                <w:sz w:val="18"/>
                <w:szCs w:val="18"/>
              </w:rPr>
              <w:t>Unknown Electric</w:t>
            </w:r>
          </w:p>
        </w:tc>
        <w:tc>
          <w:tcPr>
            <w:tcW w:w="571" w:type="pct"/>
            <w:shd w:val="clear" w:color="auto" w:fill="auto"/>
            <w:vAlign w:val="center"/>
          </w:tcPr>
          <w:p w14:paraId="32EBF1C7" w14:textId="77777777" w:rsidR="00C71CAA" w:rsidRPr="001570EA" w:rsidRDefault="00C71CAA">
            <w:pPr>
              <w:keepNext/>
              <w:jc w:val="center"/>
              <w:rPr>
                <w:rFonts w:cs="Arial"/>
                <w:color w:val="000000"/>
                <w:sz w:val="18"/>
                <w:szCs w:val="18"/>
              </w:rPr>
            </w:pPr>
            <w:r w:rsidRPr="001570EA">
              <w:rPr>
                <w:rFonts w:cs="Arial"/>
                <w:color w:val="000000"/>
                <w:sz w:val="18"/>
                <w:szCs w:val="18"/>
              </w:rPr>
              <w:t>186.5</w:t>
            </w:r>
          </w:p>
        </w:tc>
        <w:tc>
          <w:tcPr>
            <w:tcW w:w="540" w:type="pct"/>
            <w:shd w:val="clear" w:color="auto" w:fill="auto"/>
            <w:vAlign w:val="center"/>
          </w:tcPr>
          <w:p w14:paraId="20A71D7C" w14:textId="77777777" w:rsidR="00C71CAA" w:rsidRPr="001570EA" w:rsidRDefault="00C71CAA">
            <w:pPr>
              <w:keepNext/>
              <w:jc w:val="center"/>
              <w:rPr>
                <w:rFonts w:cs="Arial"/>
                <w:color w:val="000000"/>
                <w:sz w:val="18"/>
                <w:szCs w:val="18"/>
              </w:rPr>
            </w:pPr>
            <w:r w:rsidRPr="001570EA">
              <w:rPr>
                <w:rFonts w:cs="Arial"/>
                <w:color w:val="000000"/>
                <w:sz w:val="18"/>
                <w:szCs w:val="18"/>
              </w:rPr>
              <w:t>0.0195</w:t>
            </w:r>
          </w:p>
        </w:tc>
        <w:tc>
          <w:tcPr>
            <w:tcW w:w="559" w:type="pct"/>
            <w:vAlign w:val="center"/>
          </w:tcPr>
          <w:p w14:paraId="4622EEBF" w14:textId="77777777" w:rsidR="00C71CAA" w:rsidRPr="001570EA" w:rsidRDefault="00C71CAA">
            <w:pPr>
              <w:keepNext/>
              <w:jc w:val="center"/>
              <w:rPr>
                <w:rFonts w:cs="Arial"/>
                <w:color w:val="000000"/>
                <w:sz w:val="18"/>
                <w:szCs w:val="18"/>
              </w:rPr>
            </w:pPr>
            <w:r w:rsidRPr="001570EA">
              <w:rPr>
                <w:rFonts w:cs="Arial"/>
                <w:color w:val="000000"/>
                <w:sz w:val="18"/>
                <w:szCs w:val="18"/>
              </w:rPr>
              <w:t>0.0327</w:t>
            </w:r>
          </w:p>
        </w:tc>
        <w:tc>
          <w:tcPr>
            <w:tcW w:w="615" w:type="pct"/>
            <w:vAlign w:val="center"/>
          </w:tcPr>
          <w:p w14:paraId="452DE0EA" w14:textId="77777777" w:rsidR="00C71CAA" w:rsidRPr="001570EA" w:rsidRDefault="00C71CAA">
            <w:pPr>
              <w:keepNext/>
              <w:jc w:val="center"/>
              <w:rPr>
                <w:rFonts w:cs="Arial"/>
                <w:color w:val="000000"/>
                <w:sz w:val="18"/>
                <w:szCs w:val="18"/>
              </w:rPr>
            </w:pPr>
            <w:r w:rsidRPr="001570EA">
              <w:rPr>
                <w:rFonts w:cs="Arial"/>
                <w:color w:val="000000"/>
                <w:sz w:val="18"/>
                <w:szCs w:val="18"/>
              </w:rPr>
              <w:t>476.8</w:t>
            </w:r>
          </w:p>
        </w:tc>
        <w:tc>
          <w:tcPr>
            <w:tcW w:w="475" w:type="pct"/>
            <w:vAlign w:val="center"/>
          </w:tcPr>
          <w:p w14:paraId="0C1A4E72" w14:textId="77777777" w:rsidR="00C71CAA" w:rsidRPr="001570EA" w:rsidRDefault="00C71CAA">
            <w:pPr>
              <w:keepNext/>
              <w:jc w:val="center"/>
              <w:rPr>
                <w:rFonts w:cs="Arial"/>
                <w:color w:val="000000"/>
                <w:sz w:val="18"/>
                <w:szCs w:val="18"/>
              </w:rPr>
            </w:pPr>
            <w:r w:rsidRPr="001570EA">
              <w:rPr>
                <w:rFonts w:cs="Arial"/>
                <w:color w:val="000000"/>
                <w:sz w:val="18"/>
                <w:szCs w:val="18"/>
              </w:rPr>
              <w:t>0.0499</w:t>
            </w:r>
          </w:p>
        </w:tc>
        <w:tc>
          <w:tcPr>
            <w:tcW w:w="592" w:type="pct"/>
            <w:vAlign w:val="center"/>
          </w:tcPr>
          <w:p w14:paraId="6840324B" w14:textId="77777777" w:rsidR="00C71CAA" w:rsidRPr="001570EA" w:rsidRDefault="00C71CAA">
            <w:pPr>
              <w:keepNext/>
              <w:jc w:val="center"/>
              <w:rPr>
                <w:rFonts w:cs="Arial"/>
                <w:color w:val="000000"/>
                <w:sz w:val="18"/>
                <w:szCs w:val="18"/>
              </w:rPr>
            </w:pPr>
            <w:r w:rsidRPr="001570EA">
              <w:rPr>
                <w:rFonts w:cs="Arial"/>
                <w:color w:val="000000"/>
                <w:sz w:val="18"/>
                <w:szCs w:val="18"/>
              </w:rPr>
              <w:t>0.0837</w:t>
            </w:r>
          </w:p>
        </w:tc>
      </w:tr>
    </w:tbl>
    <w:p w14:paraId="18544393" w14:textId="77777777" w:rsidR="00C71CAA" w:rsidRPr="001570EA" w:rsidRDefault="00C71CAA" w:rsidP="00C71CAA">
      <w:pPr>
        <w:pStyle w:val="SubStyle"/>
        <w:jc w:val="left"/>
      </w:pPr>
    </w:p>
    <w:p w14:paraId="73B11A92" w14:textId="77777777" w:rsidR="00C71CAA" w:rsidRPr="001570EA" w:rsidRDefault="00C71CAA" w:rsidP="00C71CAA">
      <w:pPr>
        <w:pStyle w:val="SubStyle"/>
      </w:pPr>
      <w:r w:rsidRPr="001570EA">
        <w:t>Evaluation Protocols</w:t>
      </w:r>
    </w:p>
    <w:p w14:paraId="6C553E69" w14:textId="77777777" w:rsidR="00C71CAA" w:rsidRPr="001570EA" w:rsidRDefault="00C71CAA" w:rsidP="00C71CAA">
      <w:pPr>
        <w:pStyle w:val="BodyText"/>
        <w:ind w:right="0"/>
      </w:pPr>
      <w:r w:rsidRPr="001570EA">
        <w:t>The most appropriate evaluation protocol for this measure is verification of installation coupled with EDC Data Gathering.</w:t>
      </w:r>
    </w:p>
    <w:p w14:paraId="1D48273A" w14:textId="77777777" w:rsidR="00C71CAA" w:rsidRPr="001570EA" w:rsidRDefault="00C71CAA" w:rsidP="00C71CAA">
      <w:pPr>
        <w:pStyle w:val="SubStyle"/>
      </w:pPr>
    </w:p>
    <w:p w14:paraId="741590E4" w14:textId="77777777" w:rsidR="00C71CAA" w:rsidRPr="001570EA" w:rsidRDefault="00C71CAA" w:rsidP="00C71CAA">
      <w:pPr>
        <w:pStyle w:val="SubStyle"/>
      </w:pPr>
      <w:r w:rsidRPr="001570EA">
        <w:t>Sources</w:t>
      </w:r>
    </w:p>
    <w:p w14:paraId="7A647D33" w14:textId="6622087F" w:rsidR="00C71CAA" w:rsidRPr="001570EA" w:rsidRDefault="00C71CAA" w:rsidP="002614D2">
      <w:pPr>
        <w:pStyle w:val="Source"/>
        <w:numPr>
          <w:ilvl w:val="0"/>
          <w:numId w:val="41"/>
        </w:numPr>
        <w:rPr>
          <w:rStyle w:val="Hyperlink"/>
          <w:color w:val="auto"/>
          <w:u w:val="none"/>
        </w:rPr>
      </w:pPr>
      <w:r w:rsidRPr="001570EA">
        <w:rPr>
          <w:rStyle w:val="Hyperlink"/>
          <w:color w:val="auto"/>
          <w:u w:val="none"/>
        </w:rPr>
        <w:t>Sachs, H., Talbot J., Kaufman N. (2012, February) “Emerging Hot Water Technologies and Practices for Energy Efficiency as of 2011”. P</w:t>
      </w:r>
      <w:r w:rsidR="0027180C">
        <w:rPr>
          <w:rStyle w:val="Hyperlink"/>
          <w:color w:val="auto"/>
          <w:u w:val="none"/>
        </w:rPr>
        <w:t>a</w:t>
      </w:r>
      <w:r w:rsidRPr="001570EA">
        <w:rPr>
          <w:rStyle w:val="Hyperlink"/>
          <w:color w:val="auto"/>
          <w:u w:val="none"/>
        </w:rPr>
        <w:t>g</w:t>
      </w:r>
      <w:r w:rsidR="0027180C">
        <w:rPr>
          <w:rStyle w:val="Hyperlink"/>
          <w:color w:val="auto"/>
          <w:u w:val="none"/>
        </w:rPr>
        <w:t>e</w:t>
      </w:r>
      <w:r w:rsidRPr="001570EA">
        <w:rPr>
          <w:rStyle w:val="Hyperlink"/>
          <w:color w:val="auto"/>
          <w:u w:val="none"/>
        </w:rPr>
        <w:t xml:space="preserve"> 69. ACEEE. </w:t>
      </w:r>
      <w:hyperlink r:id="rId201" w:history="1">
        <w:r w:rsidRPr="001570EA">
          <w:rPr>
            <w:rStyle w:val="Hyperlink"/>
          </w:rPr>
          <w:t>Weblink</w:t>
        </w:r>
      </w:hyperlink>
      <w:r w:rsidRPr="001570EA">
        <w:rPr>
          <w:rStyle w:val="Hyperlink"/>
          <w:color w:val="auto"/>
          <w:u w:val="none"/>
        </w:rPr>
        <w:t>. Note that measure life is defined as 30 years; however, PA Act 129 Legislation caps measure life at 15 years.</w:t>
      </w:r>
    </w:p>
    <w:p w14:paraId="7C240FD3" w14:textId="77777777" w:rsidR="00C71CAA" w:rsidRPr="001570EA" w:rsidRDefault="00C71CAA" w:rsidP="002614D2">
      <w:pPr>
        <w:pStyle w:val="Source"/>
        <w:numPr>
          <w:ilvl w:val="0"/>
          <w:numId w:val="41"/>
        </w:numPr>
        <w:rPr>
          <w:i/>
        </w:rPr>
      </w:pPr>
      <w:r w:rsidRPr="001570EA">
        <w:t>Cadmus and Opinion Dynamics for Michigan Evaluation Working Group. (2013, June). Showerhead and Faucet Aerator Meter Study Memorandum.  Temperature sensors provided the mixed water temperature readings resulting in an average of 101ºF.</w:t>
      </w:r>
    </w:p>
    <w:p w14:paraId="0E800D10" w14:textId="2C09FB91" w:rsidR="00C71CAA" w:rsidRPr="001570EA" w:rsidRDefault="00C71CAA" w:rsidP="002614D2">
      <w:pPr>
        <w:pStyle w:val="Source"/>
        <w:numPr>
          <w:ilvl w:val="0"/>
          <w:numId w:val="41"/>
        </w:numPr>
      </w:pPr>
      <w:r w:rsidRPr="001570EA">
        <w:rPr>
          <w:rFonts w:cs="Arial"/>
        </w:rPr>
        <w:t xml:space="preserve">Using Rock Spring, PA (Site 2036) as a proxy, the mean soil temperature at 40-inch depth is 52.502. Calculated using Daily SCAN Standard - Period of Record data from December 2003 to December 2023 from the Natural Resource Conservation Service Database. </w:t>
      </w:r>
      <w:hyperlink r:id="rId202" w:history="1">
        <w:r w:rsidRPr="001570EA">
          <w:rPr>
            <w:rStyle w:val="Hyperlink"/>
            <w:rFonts w:cs="Arial"/>
          </w:rPr>
          <w:t>Weblink</w:t>
        </w:r>
      </w:hyperlink>
      <w:r w:rsidRPr="001570EA">
        <w:rPr>
          <w:rFonts w:cs="Arial"/>
        </w:rPr>
        <w:t xml:space="preserve">. </w:t>
      </w:r>
    </w:p>
    <w:p w14:paraId="6181D895" w14:textId="4E0D04CD" w:rsidR="00C71CAA" w:rsidRPr="001570EA" w:rsidRDefault="00C71CAA" w:rsidP="002614D2">
      <w:pPr>
        <w:pStyle w:val="Source"/>
        <w:numPr>
          <w:ilvl w:val="0"/>
          <w:numId w:val="41"/>
        </w:numPr>
        <w:rPr>
          <w:i/>
        </w:rPr>
      </w:pPr>
      <w:r w:rsidRPr="001570EA">
        <w:rPr>
          <w:iCs/>
        </w:rPr>
        <w:t xml:space="preserve">DeOreo, W., Mayer, P., Dziegielewski, B., Kiever, J. for Water Research Foundation. (2016, April). “Residential End Uses of Water, Version 2 Executive Report.” Page 5, Table 1. </w:t>
      </w:r>
      <w:hyperlink r:id="rId203" w:history="1">
        <w:r w:rsidRPr="001570EA">
          <w:rPr>
            <w:rStyle w:val="Hyperlink"/>
            <w:iCs/>
          </w:rPr>
          <w:t>Weblink</w:t>
        </w:r>
      </w:hyperlink>
    </w:p>
    <w:p w14:paraId="4D5EA7B1" w14:textId="504F4D8C" w:rsidR="00C71CAA" w:rsidRPr="001570EA" w:rsidRDefault="00C71CAA" w:rsidP="002614D2">
      <w:pPr>
        <w:pStyle w:val="Source"/>
        <w:numPr>
          <w:ilvl w:val="0"/>
          <w:numId w:val="41"/>
        </w:numPr>
        <w:rPr>
          <w:rStyle w:val="Hyperlink"/>
          <w:color w:val="auto"/>
          <w:u w:val="none"/>
        </w:rPr>
      </w:pPr>
      <w:r w:rsidRPr="001570EA">
        <w:rPr>
          <w:rStyle w:val="Hyperlink"/>
          <w:color w:val="auto"/>
          <w:u w:val="none"/>
        </w:rPr>
        <w:t xml:space="preserve">Heat </w:t>
      </w:r>
      <w:r w:rsidRPr="001570EA">
        <w:t>Recovery</w:t>
      </w:r>
      <w:r w:rsidRPr="001570EA">
        <w:rPr>
          <w:rStyle w:val="Hyperlink"/>
          <w:color w:val="auto"/>
          <w:u w:val="none"/>
        </w:rPr>
        <w:t xml:space="preserve"> from Wastewater Using a Gravity-Film Heat Exchanger, Department of Energy Federal Energy Management Program. U.S. DOE Federal Energy Management Program report DOE/EE-0247 Revised. July, 2005. Lower end of 30 – 50% range estimated for different devices and installation configurations (equal, unequal to water heater, and unequal to shower). </w:t>
      </w:r>
      <w:hyperlink r:id="rId204" w:history="1">
        <w:r w:rsidRPr="001570EA">
          <w:rPr>
            <w:rStyle w:val="Hyperlink"/>
          </w:rPr>
          <w:t>Weblink</w:t>
        </w:r>
      </w:hyperlink>
    </w:p>
    <w:p w14:paraId="435409CB" w14:textId="22DD41AC" w:rsidR="00C71CAA" w:rsidRPr="001570EA" w:rsidRDefault="00C71CAA" w:rsidP="002614D2">
      <w:pPr>
        <w:pStyle w:val="Source"/>
        <w:numPr>
          <w:ilvl w:val="0"/>
          <w:numId w:val="41"/>
        </w:numPr>
      </w:pPr>
      <w:r w:rsidRPr="001570EA">
        <w:rPr>
          <w:rFonts w:eastAsia="system-ui" w:cs="Arial"/>
        </w:rPr>
        <w:t xml:space="preserve">AHRI </w:t>
      </w:r>
      <w:r w:rsidRPr="001570EA">
        <w:rPr>
          <w:rFonts w:eastAsia="Arial" w:cs="Arial"/>
        </w:rPr>
        <w:t>Directory. All electric storage water heaters have a recovery efficiency of 0.98. Average recovery efficiency for heat pump water heaters is 3.93. Accessed December 2023.</w:t>
      </w:r>
      <w:r w:rsidRPr="001570EA">
        <w:rPr>
          <w:rFonts w:eastAsia="Arial" w:cs="Arial"/>
          <w:color w:val="374151"/>
        </w:rPr>
        <w:t xml:space="preserve"> </w:t>
      </w:r>
      <w:hyperlink r:id="rId205" w:history="1">
        <w:r w:rsidRPr="001570EA">
          <w:rPr>
            <w:rStyle w:val="Hyperlink"/>
          </w:rPr>
          <w:t>Weblink</w:t>
        </w:r>
      </w:hyperlink>
      <w:r w:rsidRPr="001570EA">
        <w:t xml:space="preserve"> 1.22 for unknown type calculated as the weighted average of electric resistance and HPWH recover efficiencies by the relative proportions of electric resistance and HPWHs from the </w:t>
      </w:r>
      <w:r w:rsidR="007F2CA6">
        <w:t xml:space="preserve">Act 129 </w:t>
      </w:r>
      <w:r w:rsidRPr="001570EA">
        <w:t xml:space="preserve">2023 </w:t>
      </w:r>
      <w:r w:rsidR="007F2CA6" w:rsidRPr="001570EA">
        <w:t>P</w:t>
      </w:r>
      <w:r w:rsidR="007F2CA6">
        <w:t>ennsylvania</w:t>
      </w:r>
      <w:r w:rsidR="007F2CA6" w:rsidRPr="001570EA">
        <w:t xml:space="preserve"> Residential Baseline Study</w:t>
      </w:r>
      <w:r w:rsidRPr="001570EA">
        <w:t>.</w:t>
      </w:r>
    </w:p>
    <w:p w14:paraId="0A087815" w14:textId="491C933B" w:rsidR="00C71CAA" w:rsidRPr="001570EA" w:rsidDel="00CD4ECE" w:rsidRDefault="00C71CAA" w:rsidP="002614D2">
      <w:pPr>
        <w:pStyle w:val="Source"/>
        <w:numPr>
          <w:ilvl w:val="0"/>
          <w:numId w:val="41"/>
        </w:numPr>
      </w:pPr>
      <w:r w:rsidRPr="001570EA">
        <w:t xml:space="preserve">Wilson et al. 2021. End-Use Load Profiles for the U.S. Building Stock: Methodology and Results of Model Calibration, Validation, and Uncertainty Quantification. NREL/TP-5500-80889. </w:t>
      </w:r>
      <w:hyperlink r:id="rId206" w:history="1">
        <w:r w:rsidRPr="001570EA">
          <w:rPr>
            <w:rStyle w:val="Hyperlink"/>
          </w:rPr>
          <w:t>Weblink</w:t>
        </w:r>
      </w:hyperlink>
      <w:r w:rsidRPr="001570EA">
        <w:t xml:space="preserve">  </w:t>
      </w:r>
    </w:p>
    <w:p w14:paraId="01F36E1D" w14:textId="77777777" w:rsidR="00C71CAA" w:rsidRPr="001570EA" w:rsidRDefault="00C71CAA" w:rsidP="00C71CAA"/>
    <w:p w14:paraId="72D3EFA7" w14:textId="77777777" w:rsidR="00C71CAA" w:rsidRPr="001570EA" w:rsidRDefault="00C71CAA" w:rsidP="00C71CAA">
      <w:pPr>
        <w:sectPr w:rsidR="00C71CAA" w:rsidRPr="001570EA" w:rsidSect="002D556C">
          <w:pgSz w:w="12240" w:h="15840"/>
          <w:pgMar w:top="1440" w:right="1800" w:bottom="1440" w:left="1800" w:header="720" w:footer="501" w:gutter="0"/>
          <w:cols w:space="720"/>
        </w:sectPr>
      </w:pPr>
    </w:p>
    <w:p w14:paraId="479DBE73" w14:textId="77777777" w:rsidR="00C71CAA" w:rsidRPr="001570EA" w:rsidRDefault="00C71CAA" w:rsidP="00462D97">
      <w:pPr>
        <w:pStyle w:val="Heading3"/>
      </w:pPr>
      <w:r w:rsidRPr="001570EA">
        <w:t xml:space="preserve"> </w:t>
      </w:r>
      <w:bookmarkStart w:id="509" w:name="_Toc164786658"/>
      <w:r w:rsidRPr="001570EA">
        <w:t>Smart Water Heater Controls</w:t>
      </w:r>
      <w:bookmarkEnd w:id="5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5797"/>
      </w:tblGrid>
      <w:tr w:rsidR="00C71CAA" w:rsidRPr="001570EA" w14:paraId="1C9C072E" w14:textId="77777777">
        <w:trPr>
          <w:trHeight w:val="360"/>
          <w:jc w:val="center"/>
        </w:trPr>
        <w:tc>
          <w:tcPr>
            <w:tcW w:w="2833" w:type="dxa"/>
            <w:shd w:val="clear" w:color="auto" w:fill="auto"/>
          </w:tcPr>
          <w:p w14:paraId="09A01806" w14:textId="77777777" w:rsidR="00C71CAA" w:rsidRPr="001570EA" w:rsidRDefault="00C71CAA">
            <w:pPr>
              <w:pStyle w:val="TableCell"/>
              <w:spacing w:before="60" w:after="60"/>
              <w:rPr>
                <w:b/>
              </w:rPr>
            </w:pPr>
            <w:r w:rsidRPr="001570EA">
              <w:rPr>
                <w:b/>
              </w:rPr>
              <w:t>Target Sector</w:t>
            </w:r>
          </w:p>
        </w:tc>
        <w:tc>
          <w:tcPr>
            <w:tcW w:w="5797" w:type="dxa"/>
            <w:shd w:val="clear" w:color="auto" w:fill="auto"/>
          </w:tcPr>
          <w:p w14:paraId="5DC65447" w14:textId="77777777" w:rsidR="00C71CAA" w:rsidRPr="001570EA" w:rsidRDefault="00C71CAA">
            <w:pPr>
              <w:pStyle w:val="TableCell"/>
              <w:spacing w:before="60" w:after="60"/>
              <w:jc w:val="center"/>
              <w:rPr>
                <w:rFonts w:eastAsia="Arial Unicode MS" w:cs="Arial"/>
                <w:i/>
                <w:iCs/>
                <w:sz w:val="20"/>
                <w:szCs w:val="24"/>
              </w:rPr>
            </w:pPr>
            <w:r w:rsidRPr="001570EA">
              <w:t>Residential</w:t>
            </w:r>
          </w:p>
        </w:tc>
      </w:tr>
      <w:tr w:rsidR="00C71CAA" w:rsidRPr="001570EA" w14:paraId="2B1502C5" w14:textId="77777777">
        <w:trPr>
          <w:trHeight w:val="360"/>
          <w:jc w:val="center"/>
        </w:trPr>
        <w:tc>
          <w:tcPr>
            <w:tcW w:w="2833" w:type="dxa"/>
            <w:shd w:val="clear" w:color="auto" w:fill="auto"/>
          </w:tcPr>
          <w:p w14:paraId="28CC2BF4" w14:textId="77777777" w:rsidR="00C71CAA" w:rsidRPr="001570EA" w:rsidRDefault="00C71CAA">
            <w:pPr>
              <w:pStyle w:val="TableCell"/>
              <w:spacing w:before="60" w:after="60"/>
              <w:rPr>
                <w:b/>
                <w:sz w:val="20"/>
              </w:rPr>
            </w:pPr>
            <w:r w:rsidRPr="001570EA">
              <w:rPr>
                <w:b/>
              </w:rPr>
              <w:t>Measure Unit</w:t>
            </w:r>
          </w:p>
        </w:tc>
        <w:tc>
          <w:tcPr>
            <w:tcW w:w="5797" w:type="dxa"/>
            <w:shd w:val="clear" w:color="auto" w:fill="auto"/>
          </w:tcPr>
          <w:p w14:paraId="3BBF0AFB" w14:textId="77777777" w:rsidR="00C71CAA" w:rsidRPr="001570EA" w:rsidRDefault="00C71CAA">
            <w:pPr>
              <w:pStyle w:val="TableCell"/>
              <w:spacing w:before="60" w:after="60"/>
              <w:jc w:val="center"/>
            </w:pPr>
            <w:r w:rsidRPr="001570EA">
              <w:t>Water Heater Controller</w:t>
            </w:r>
          </w:p>
        </w:tc>
      </w:tr>
      <w:tr w:rsidR="00C71CAA" w:rsidRPr="001570EA" w14:paraId="3D8C5C7F" w14:textId="77777777">
        <w:trPr>
          <w:trHeight w:val="360"/>
          <w:jc w:val="center"/>
        </w:trPr>
        <w:tc>
          <w:tcPr>
            <w:tcW w:w="2833" w:type="dxa"/>
            <w:shd w:val="clear" w:color="auto" w:fill="auto"/>
          </w:tcPr>
          <w:p w14:paraId="60181342" w14:textId="77777777" w:rsidR="00C71CAA" w:rsidRPr="001570EA" w:rsidRDefault="00C71CAA">
            <w:pPr>
              <w:pStyle w:val="TableCell"/>
              <w:spacing w:before="60" w:after="60"/>
              <w:rPr>
                <w:b/>
                <w:sz w:val="20"/>
              </w:rPr>
            </w:pPr>
            <w:r w:rsidRPr="001570EA">
              <w:rPr>
                <w:b/>
              </w:rPr>
              <w:t>Measure Life</w:t>
            </w:r>
          </w:p>
        </w:tc>
        <w:tc>
          <w:tcPr>
            <w:tcW w:w="5797" w:type="dxa"/>
            <w:shd w:val="clear" w:color="auto" w:fill="auto"/>
          </w:tcPr>
          <w:p w14:paraId="16A7C710" w14:textId="77777777" w:rsidR="00C71CAA" w:rsidRPr="001570EA" w:rsidRDefault="00C71CAA">
            <w:pPr>
              <w:pStyle w:val="TableCell"/>
              <w:spacing w:before="60" w:after="60"/>
              <w:jc w:val="center"/>
            </w:pPr>
            <w:r w:rsidRPr="001570EA">
              <w:t>11 years</w:t>
            </w:r>
            <w:r w:rsidRPr="001570EA">
              <w:rPr>
                <w:vertAlign w:val="superscript"/>
              </w:rPr>
              <w:t>Source 1</w:t>
            </w:r>
          </w:p>
        </w:tc>
      </w:tr>
      <w:tr w:rsidR="00C71CAA" w:rsidRPr="001570EA" w14:paraId="02426BF6" w14:textId="77777777">
        <w:trPr>
          <w:trHeight w:val="360"/>
          <w:jc w:val="center"/>
        </w:trPr>
        <w:tc>
          <w:tcPr>
            <w:tcW w:w="2833" w:type="dxa"/>
            <w:shd w:val="clear" w:color="auto" w:fill="auto"/>
          </w:tcPr>
          <w:p w14:paraId="4CC54A01" w14:textId="77777777" w:rsidR="00C71CAA" w:rsidRPr="001570EA" w:rsidRDefault="00C71CAA">
            <w:pPr>
              <w:pStyle w:val="TableCell"/>
              <w:spacing w:before="60" w:after="60"/>
              <w:rPr>
                <w:b/>
              </w:rPr>
            </w:pPr>
            <w:r w:rsidRPr="001570EA">
              <w:rPr>
                <w:b/>
              </w:rPr>
              <w:t>Vintage</w:t>
            </w:r>
          </w:p>
        </w:tc>
        <w:tc>
          <w:tcPr>
            <w:tcW w:w="5797" w:type="dxa"/>
            <w:shd w:val="clear" w:color="auto" w:fill="auto"/>
          </w:tcPr>
          <w:p w14:paraId="47B4E859" w14:textId="77777777" w:rsidR="00C71CAA" w:rsidRPr="001570EA" w:rsidRDefault="00C71CAA">
            <w:pPr>
              <w:pStyle w:val="TableCell"/>
              <w:spacing w:before="60" w:after="60"/>
              <w:jc w:val="center"/>
            </w:pPr>
            <w:r w:rsidRPr="001570EA">
              <w:t>Replace on Burnout, New Construction</w:t>
            </w:r>
          </w:p>
        </w:tc>
      </w:tr>
    </w:tbl>
    <w:p w14:paraId="493476BC" w14:textId="77777777" w:rsidR="00C71CAA" w:rsidRPr="001570EA" w:rsidRDefault="00C71CAA" w:rsidP="00C71CAA">
      <w:pPr>
        <w:pStyle w:val="NoSpacing"/>
      </w:pPr>
    </w:p>
    <w:p w14:paraId="7CBBF73E" w14:textId="77777777" w:rsidR="00C71CAA" w:rsidRPr="001570EA" w:rsidRDefault="00C71CAA" w:rsidP="00C71CAA">
      <w:pPr>
        <w:pStyle w:val="BodyText"/>
        <w:ind w:right="0"/>
      </w:pPr>
      <w:bookmarkStart w:id="510" w:name="_Toc249174106"/>
      <w:r w:rsidRPr="001570EA">
        <w:t>Smart water heater controls prevent the unnecessary heating of water. They use analytics to learn household water use patterns and heat water only at times of anticipated need. Smart controllers also have a user interface to allow manual control settings (i.e., scheduling) and help customers understand and act on water heating energy usage. The controllers reduce unnecessary reheat during periods of low demand while the water heater idles and the temperature drifts within an acceptable range.</w:t>
      </w:r>
    </w:p>
    <w:p w14:paraId="5208FA69" w14:textId="77777777" w:rsidR="00C71CAA" w:rsidRPr="001570EA" w:rsidRDefault="00C71CAA" w:rsidP="00C71CAA">
      <w:pPr>
        <w:pStyle w:val="BodyText"/>
        <w:ind w:right="0"/>
      </w:pPr>
    </w:p>
    <w:p w14:paraId="3D7B75C5" w14:textId="77777777" w:rsidR="00C71CAA" w:rsidRPr="001570EA" w:rsidRDefault="00C71CAA" w:rsidP="00C71CAA">
      <w:pPr>
        <w:pStyle w:val="BodyText"/>
        <w:ind w:right="0"/>
      </w:pPr>
      <w:r w:rsidRPr="001570EA">
        <w:t>Smart Water Heater Controls add a web-enabled control box that functions as a junction box to an electric tank's power source, so it turns on/off the power to the tank per the control algorithm or customer commands. Smart Water Heater Controls will have functions that are located in the home and on the Internet (the cloud). Homes with Wi-Fi can enable full operating capabilities or utilize a cellular option. While compatible with the device, gas water heaters are not eligible for savings for this measure.</w:t>
      </w:r>
    </w:p>
    <w:p w14:paraId="4461E86C" w14:textId="77777777" w:rsidR="00C71CAA" w:rsidRPr="001570EA" w:rsidRDefault="00C71CAA" w:rsidP="00C71CAA">
      <w:pPr>
        <w:pStyle w:val="BodyText"/>
        <w:ind w:right="0"/>
      </w:pPr>
    </w:p>
    <w:p w14:paraId="7B1E599D" w14:textId="77777777" w:rsidR="00C71CAA" w:rsidRPr="001570EA" w:rsidRDefault="00C71CAA" w:rsidP="00C71CAA">
      <w:pPr>
        <w:pStyle w:val="SubStyle"/>
      </w:pPr>
      <w:r w:rsidRPr="001570EA">
        <w:t>Eligibility</w:t>
      </w:r>
    </w:p>
    <w:p w14:paraId="5660C8D4" w14:textId="77777777" w:rsidR="00C71CAA" w:rsidRPr="001570EA" w:rsidRDefault="00C71CAA" w:rsidP="00C71CAA">
      <w:pPr>
        <w:pStyle w:val="BodyText"/>
        <w:ind w:right="0"/>
      </w:pPr>
      <w:r w:rsidRPr="001570EA">
        <w:t>This measure documents the energy savings resulting from Smart Water Heater Control with professional installation with electric resistance or heat pump storage water heaters. The primary target sector is single-family residences.</w:t>
      </w:r>
    </w:p>
    <w:p w14:paraId="5A056353" w14:textId="77777777" w:rsidR="00C71CAA" w:rsidRPr="001570EA" w:rsidRDefault="00C71CAA" w:rsidP="00C71CAA">
      <w:pPr>
        <w:pStyle w:val="BodyText"/>
        <w:ind w:right="0"/>
      </w:pPr>
    </w:p>
    <w:p w14:paraId="1BC06017" w14:textId="77777777" w:rsidR="00C71CAA" w:rsidRPr="001570EA" w:rsidRDefault="00C71CAA" w:rsidP="00C71CAA">
      <w:pPr>
        <w:pStyle w:val="SubStyle"/>
      </w:pPr>
      <w:r w:rsidRPr="001570EA">
        <w:t>Algorithms</w:t>
      </w:r>
      <w:bookmarkEnd w:id="510"/>
    </w:p>
    <w:p w14:paraId="3E330C47" w14:textId="77777777" w:rsidR="00C71CAA" w:rsidRPr="001570EA" w:rsidRDefault="00C71CAA" w:rsidP="00C71CAA">
      <w:pPr>
        <w:pStyle w:val="BodyText"/>
        <w:ind w:right="0"/>
      </w:pPr>
      <w:r w:rsidRPr="001570EA">
        <w:t xml:space="preserve">The annual energy savings calculation utilizes average performance data for available residential water heaters and typical water usage for residential homes. The energy savings are obtained through the following formula, where the term in the parentheses corresponds to tank loss savings. </w:t>
      </w:r>
    </w:p>
    <w:p w14:paraId="476AC2EE" w14:textId="77777777" w:rsidR="00C71CAA" w:rsidRPr="001570EA" w:rsidRDefault="00C71CAA" w:rsidP="00C71CAA">
      <w:pPr>
        <w:pStyle w:val="BodyText"/>
        <w:ind w:right="0"/>
      </w:pPr>
    </w:p>
    <w:p w14:paraId="65C4F4B5" w14:textId="77777777" w:rsidR="00C71CAA" w:rsidRPr="001570EA" w:rsidRDefault="00C71CAA" w:rsidP="00C71CAA">
      <w:pPr>
        <w:pStyle w:val="BodyText"/>
        <w:tabs>
          <w:tab w:val="left" w:pos="2160"/>
        </w:tabs>
      </w:pPr>
      <m:oMathPara>
        <m:oMathParaPr>
          <m:jc m:val="left"/>
        </m:oMathParaPr>
        <m:oMath>
          <m:r>
            <w:rPr>
              <w:rFonts w:ascii="Cambria Math" w:hAnsi="Cambria Math"/>
            </w:rPr>
            <m:t xml:space="preserve">∆kWh                        </m:t>
          </m:r>
          <w:bookmarkStart w:id="511" w:name="_Hlk116424640"/>
          <m:r>
            <w:rPr>
              <w:rFonts w:ascii="Cambria Math" w:hAnsi="Cambria Math"/>
            </w:rPr>
            <m:t>=</m:t>
          </m:r>
          <m:f>
            <m:fPr>
              <m:ctrlPr>
                <w:rPr>
                  <w:rFonts w:ascii="Cambria Math" w:hAnsi="Cambria Math"/>
                  <w:i/>
                </w:rPr>
              </m:ctrlPr>
            </m:fPr>
            <m:num>
              <m:r>
                <w:rPr>
                  <w:rFonts w:ascii="Cambria Math" w:hAnsi="Cambria Math"/>
                </w:rPr>
                <m:t>∆T</m:t>
              </m:r>
            </m:num>
            <m:den>
              <m:r>
                <w:rPr>
                  <w:rFonts w:ascii="Cambria Math" w:hAnsi="Cambria Math"/>
                </w:rPr>
                <m:t>3412</m:t>
              </m:r>
            </m:den>
          </m:f>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tank</m:t>
                      </m:r>
                    </m:sub>
                  </m:sSub>
                  <m:r>
                    <w:rPr>
                      <w:rFonts w:ascii="Cambria Math" w:hAnsi="Cambria Math"/>
                    </w:rPr>
                    <m:t xml:space="preserve">×8760 </m:t>
                  </m:r>
                </m:num>
                <m:den>
                  <m:sSub>
                    <m:sSubPr>
                      <m:ctrlPr>
                        <w:rPr>
                          <w:rFonts w:ascii="Cambria Math" w:hAnsi="Cambria Math"/>
                          <w:i/>
                        </w:rPr>
                      </m:ctrlPr>
                    </m:sSubPr>
                    <m:e>
                      <m:r>
                        <w:rPr>
                          <w:rFonts w:ascii="Cambria Math" w:hAnsi="Cambria Math"/>
                        </w:rPr>
                        <m:t>R</m:t>
                      </m:r>
                    </m:e>
                    <m:sub>
                      <m:r>
                        <w:rPr>
                          <w:rFonts w:ascii="Cambria Math" w:hAnsi="Cambria Math"/>
                        </w:rPr>
                        <m:t>tank</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elec</m:t>
                      </m:r>
                    </m:sub>
                  </m:sSub>
                </m:den>
              </m:f>
              <m:r>
                <w:rPr>
                  <w:rFonts w:ascii="Cambria Math" w:hAnsi="Cambria Math"/>
                </w:rPr>
                <m:t xml:space="preserve"> +</m:t>
              </m:r>
              <m:f>
                <m:fPr>
                  <m:ctrlPr>
                    <w:rPr>
                      <w:rFonts w:ascii="Cambria Math" w:hAnsi="Cambria Math"/>
                      <w:i/>
                    </w:rPr>
                  </m:ctrlPr>
                </m:fPr>
                <m:num>
                  <m:sSub>
                    <m:sSubPr>
                      <m:ctrlPr>
                        <w:rPr>
                          <w:rFonts w:ascii="Cambria Math" w:hAnsi="Cambria Math" w:cs="Arial"/>
                          <w:i/>
                        </w:rPr>
                      </m:ctrlPr>
                    </m:sSubPr>
                    <m:e>
                      <m:r>
                        <w:rPr>
                          <w:rFonts w:ascii="Cambria Math" w:hAnsi="Cambria Math" w:cs="Arial"/>
                        </w:rPr>
                        <m:t>Cycles</m:t>
                      </m:r>
                    </m:e>
                    <m:sub>
                      <m:r>
                        <w:rPr>
                          <w:rFonts w:ascii="Cambria Math" w:hAnsi="Cambria Math" w:cs="Arial"/>
                        </w:rPr>
                        <m:t>wash</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HW</m:t>
                      </m:r>
                    </m:sub>
                  </m:sSub>
                  <m:r>
                    <w:rPr>
                      <w:rFonts w:ascii="Cambria Math" w:hAnsi="Cambria Math"/>
                    </w:rPr>
                    <m:t>×</m:t>
                  </m:r>
                  <m:r>
                    <m:rPr>
                      <m:sty m:val="p"/>
                    </m:rPr>
                    <w:rPr>
                      <w:rFonts w:ascii="Cambria Math" w:hAnsi="Cambria Math" w:cs="Arial"/>
                    </w:rPr>
                    <m:t>8.3</m:t>
                  </m:r>
                </m:num>
                <m:den>
                  <m:r>
                    <w:rPr>
                      <w:rFonts w:ascii="Cambria Math" w:hAnsi="Cambria Math"/>
                    </w:rPr>
                    <m:t>U</m:t>
                  </m:r>
                  <m:sSub>
                    <m:sSubPr>
                      <m:ctrlPr>
                        <w:rPr>
                          <w:rFonts w:ascii="Cambria Math" w:hAnsi="Cambria Math"/>
                          <w:i/>
                        </w:rPr>
                      </m:ctrlPr>
                    </m:sSubPr>
                    <m:e>
                      <m:r>
                        <w:rPr>
                          <w:rFonts w:ascii="Cambria Math" w:hAnsi="Cambria Math"/>
                        </w:rPr>
                        <m:t>EF</m:t>
                      </m:r>
                    </m:e>
                    <m:sub>
                      <m:r>
                        <w:rPr>
                          <w:rFonts w:ascii="Cambria Math" w:hAnsi="Cambria Math"/>
                        </w:rPr>
                        <m:t>WH</m:t>
                      </m:r>
                    </m:sub>
                  </m:sSub>
                </m:den>
              </m:f>
            </m:e>
          </m:d>
        </m:oMath>
      </m:oMathPara>
      <w:bookmarkEnd w:id="511"/>
    </w:p>
    <w:p w14:paraId="4FECB233" w14:textId="77777777" w:rsidR="00C71CAA" w:rsidRPr="001570EA" w:rsidRDefault="00C71CAA" w:rsidP="00C71CAA">
      <w:pPr>
        <w:pStyle w:val="BodyText"/>
        <w:ind w:right="0"/>
      </w:pPr>
    </w:p>
    <w:p w14:paraId="467D1E53" w14:textId="77777777" w:rsidR="00C71CAA" w:rsidRPr="001570EA" w:rsidRDefault="00C71CAA" w:rsidP="00C71CAA">
      <w:pPr>
        <w:pStyle w:val="BodyText"/>
        <w:ind w:right="0"/>
      </w:pPr>
      <w:r w:rsidRPr="001570EA">
        <w:t>Clothes washers will draw the same amount of water for a load regardless of temperature, where, for example, with a shower, the user will just adjust the valve to get their desired temperature if the incoming hot water is cooler. Therefore, there are extra savings for clothes washers, but not other uses.</w:t>
      </w:r>
    </w:p>
    <w:p w14:paraId="49014126" w14:textId="77777777" w:rsidR="00C71CAA" w:rsidRPr="001570EA" w:rsidRDefault="00C71CAA" w:rsidP="00C71CAA">
      <w:pPr>
        <w:pStyle w:val="BodyText"/>
        <w:ind w:right="0"/>
      </w:pPr>
    </w:p>
    <w:p w14:paraId="502D3754" w14:textId="77777777" w:rsidR="00C71CAA" w:rsidRPr="001570EA" w:rsidRDefault="00C71CAA" w:rsidP="00C71CAA">
      <w:pPr>
        <w:pStyle w:val="BodyText"/>
        <w:ind w:right="0"/>
      </w:pPr>
      <w:r w:rsidRPr="001570EA">
        <w:t xml:space="preserve">Demand savings result from reduced hours of operation of the heating element, rather than a reduced connected load. </w:t>
      </w:r>
    </w:p>
    <w:p w14:paraId="71B07A43" w14:textId="77777777" w:rsidR="00C71CAA" w:rsidRPr="001570EA" w:rsidRDefault="00C71CAA" w:rsidP="00C71CAA">
      <w:pPr>
        <w:pStyle w:val="BodyText"/>
        <w:ind w:right="0"/>
      </w:pPr>
    </w:p>
    <w:p w14:paraId="1A4F59FF" w14:textId="77777777" w:rsidR="00C71CAA" w:rsidRPr="001570EA" w:rsidRDefault="003B5E04" w:rsidP="00C71CAA">
      <w:pPr>
        <w:pStyle w:val="Equation"/>
        <w:tabs>
          <w:tab w:val="clear" w:pos="2880"/>
          <w:tab w:val="left" w:pos="2160"/>
        </w:tabs>
        <w:rPr>
          <w:rFonts w:cs="Arial"/>
        </w:rPr>
      </w:pPr>
      <m:oMath>
        <m:sSub>
          <m:sSubPr>
            <m:ctrlPr>
              <w:rPr>
                <w:rFonts w:ascii="Cambria Math" w:eastAsia="Symbol" w:hAnsi="Cambria Math" w:cs="Symbol"/>
                <w:szCs w:val="20"/>
              </w:rPr>
            </m:ctrlPr>
          </m:sSubPr>
          <m:e>
            <m:r>
              <w:rPr>
                <w:rFonts w:ascii="Cambria Math" w:eastAsia="Symbol" w:hAnsi="Cambria Math" w:cs="Symbol"/>
                <w:szCs w:val="20"/>
              </w:rPr>
              <m:t>∆kW</m:t>
            </m:r>
          </m:e>
          <m:sub>
            <m:r>
              <w:rPr>
                <w:rFonts w:ascii="Cambria Math" w:eastAsia="Symbol" w:hAnsi="Cambria Math" w:cs="Symbol"/>
                <w:szCs w:val="20"/>
              </w:rPr>
              <m:t>summer peak</m:t>
            </m:r>
          </m:sub>
        </m:sSub>
      </m:oMath>
      <w:r w:rsidR="00C71CAA" w:rsidRPr="001570EA">
        <w:tab/>
      </w:r>
      <w:r w:rsidR="00C71CAA" w:rsidRPr="001570EA">
        <w:rPr>
          <w:rFonts w:cs="Arial"/>
          <w:szCs w:val="20"/>
        </w:rPr>
        <w:tab/>
        <w:t xml:space="preserve">= </w:t>
      </w:r>
      <m:oMath>
        <m:r>
          <w:rPr>
            <w:rFonts w:ascii="Cambria Math" w:hAnsi="Cambria Math" w:cs="Arial"/>
            <w:szCs w:val="20"/>
          </w:rPr>
          <m:t>ETDFs×</m:t>
        </m:r>
        <m:r>
          <w:rPr>
            <w:rFonts w:ascii="Cambria Math" w:hAnsi="Cambria Math"/>
          </w:rPr>
          <m:t>∆kWh</m:t>
        </m:r>
      </m:oMath>
    </w:p>
    <w:p w14:paraId="713C56A3" w14:textId="77777777" w:rsidR="00C71CAA" w:rsidRPr="001570EA" w:rsidRDefault="003B5E04" w:rsidP="00C71CAA">
      <w:pPr>
        <w:pStyle w:val="Equation"/>
        <w:tabs>
          <w:tab w:val="clear" w:pos="2880"/>
          <w:tab w:val="left" w:pos="2160"/>
        </w:tabs>
        <w:rPr>
          <w:rFonts w:cs="Arial"/>
          <w:szCs w:val="20"/>
        </w:rPr>
      </w:pPr>
      <m:oMath>
        <m:sSub>
          <m:sSubPr>
            <m:ctrlPr>
              <w:rPr>
                <w:rFonts w:ascii="Cambria Math" w:eastAsia="Symbol" w:hAnsi="Cambria Math" w:cs="Symbol"/>
                <w:szCs w:val="20"/>
              </w:rPr>
            </m:ctrlPr>
          </m:sSubPr>
          <m:e>
            <m:r>
              <w:rPr>
                <w:rFonts w:ascii="Cambria Math" w:eastAsia="Symbol" w:hAnsi="Cambria Math" w:cs="Symbol"/>
                <w:szCs w:val="20"/>
              </w:rPr>
              <m:t>∆kW</m:t>
            </m:r>
          </m:e>
          <m:sub>
            <m:r>
              <w:rPr>
                <w:rFonts w:ascii="Cambria Math" w:eastAsia="Symbol" w:hAnsi="Cambria Math" w:cs="Symbol"/>
                <w:szCs w:val="20"/>
              </w:rPr>
              <m:t>winter peak</m:t>
            </m:r>
          </m:sub>
        </m:sSub>
      </m:oMath>
      <w:r w:rsidR="00C71CAA" w:rsidRPr="001570EA">
        <w:tab/>
      </w:r>
      <w:r w:rsidR="00C71CAA" w:rsidRPr="001570EA">
        <w:rPr>
          <w:rFonts w:cs="Arial"/>
          <w:szCs w:val="20"/>
        </w:rPr>
        <w:tab/>
        <w:t xml:space="preserve">= </w:t>
      </w:r>
      <m:oMath>
        <m:r>
          <w:rPr>
            <w:rFonts w:ascii="Cambria Math" w:hAnsi="Cambria Math" w:cs="Arial"/>
            <w:szCs w:val="20"/>
          </w:rPr>
          <m:t>ETDFw×</m:t>
        </m:r>
        <m:r>
          <w:rPr>
            <w:rFonts w:ascii="Cambria Math" w:hAnsi="Cambria Math"/>
          </w:rPr>
          <m:t>∆kWh</m:t>
        </m:r>
      </m:oMath>
    </w:p>
    <w:p w14:paraId="32D4A49A" w14:textId="77777777" w:rsidR="00C71CAA" w:rsidRPr="001570EA" w:rsidRDefault="00C71CAA" w:rsidP="00C71CAA">
      <w:pPr>
        <w:pStyle w:val="Equation"/>
        <w:tabs>
          <w:tab w:val="clear" w:pos="2880"/>
          <w:tab w:val="left" w:pos="2160"/>
        </w:tabs>
        <w:rPr>
          <w:rFonts w:cs="Arial"/>
          <w:szCs w:val="20"/>
        </w:rPr>
      </w:pPr>
    </w:p>
    <w:p w14:paraId="22BB6550" w14:textId="77777777" w:rsidR="00C71CAA" w:rsidRPr="001570EA" w:rsidRDefault="00C71CAA" w:rsidP="00C71CAA">
      <w:pPr>
        <w:pStyle w:val="BodyText"/>
        <w:ind w:right="0"/>
        <w:rPr>
          <w:vertAlign w:val="superscript"/>
        </w:rPr>
      </w:pPr>
      <w:r w:rsidRPr="001570EA">
        <w:t xml:space="preserve">Alternatively, if an EDC configures the smart water heater to reduce demand savings by avoiding reheat during the peak demand period, peak demand savings will be calculated using the telemetry data from the devices via a SWE-approved estimation method. </w:t>
      </w:r>
    </w:p>
    <w:p w14:paraId="0A2A7ED7" w14:textId="77777777" w:rsidR="00C71CAA" w:rsidRPr="001570EA" w:rsidRDefault="00C71CAA" w:rsidP="00C71CAA">
      <w:pPr>
        <w:pStyle w:val="BodyText"/>
        <w:ind w:right="0"/>
      </w:pPr>
    </w:p>
    <w:p w14:paraId="1B50AA3E" w14:textId="77777777" w:rsidR="00C71CAA" w:rsidRPr="001570EA" w:rsidRDefault="00C71CAA" w:rsidP="00C71CAA">
      <w:pPr>
        <w:pStyle w:val="SubStyle"/>
      </w:pPr>
      <w:bookmarkStart w:id="512" w:name="_Toc249174107"/>
      <w:r w:rsidRPr="001570EA">
        <w:t xml:space="preserve">Definition of </w:t>
      </w:r>
      <w:bookmarkEnd w:id="512"/>
      <w:r w:rsidRPr="001570EA">
        <w:t>Terms</w:t>
      </w:r>
    </w:p>
    <w:p w14:paraId="009FBF7B" w14:textId="52B8928E" w:rsidR="00C71CAA" w:rsidRPr="001570EA" w:rsidRDefault="00C71CAA" w:rsidP="00C71CAA">
      <w:pPr>
        <w:pStyle w:val="Caption"/>
      </w:pPr>
      <w:bookmarkStart w:id="513" w:name="_Toc12609575"/>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78</w:t>
      </w:r>
      <w:r w:rsidR="002E093A" w:rsidRPr="001570EA">
        <w:fldChar w:fldCharType="end"/>
      </w:r>
      <w:r w:rsidRPr="001570EA">
        <w:t>: Terms</w:t>
      </w:r>
      <w:r w:rsidRPr="001570EA">
        <w:rPr>
          <w:rFonts w:cs="Arial"/>
        </w:rPr>
        <w:t>, Values, and References for</w:t>
      </w:r>
      <w:r w:rsidRPr="001570EA">
        <w:t xml:space="preserve"> </w:t>
      </w:r>
      <w:bookmarkEnd w:id="513"/>
      <w:r w:rsidRPr="001570EA">
        <w:t>Smart Water Heater Controls</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1262"/>
        <w:gridCol w:w="2419"/>
        <w:gridCol w:w="1269"/>
      </w:tblGrid>
      <w:tr w:rsidR="00C71CAA" w:rsidRPr="001570EA" w14:paraId="66AD6C8C" w14:textId="77777777">
        <w:tc>
          <w:tcPr>
            <w:tcW w:w="2097" w:type="pct"/>
            <w:shd w:val="clear" w:color="auto" w:fill="BFBFBF"/>
          </w:tcPr>
          <w:p w14:paraId="0B817295" w14:textId="77777777" w:rsidR="00C71CAA" w:rsidRPr="001570EA" w:rsidRDefault="00C71CAA">
            <w:pPr>
              <w:pStyle w:val="TableCell"/>
              <w:spacing w:before="60" w:after="60"/>
              <w:rPr>
                <w:rFonts w:cs="Arial"/>
                <w:b/>
                <w:szCs w:val="18"/>
              </w:rPr>
            </w:pPr>
            <w:r w:rsidRPr="001570EA">
              <w:rPr>
                <w:rFonts w:cs="Arial"/>
                <w:b/>
                <w:szCs w:val="18"/>
              </w:rPr>
              <w:t>Term</w:t>
            </w:r>
          </w:p>
        </w:tc>
        <w:tc>
          <w:tcPr>
            <w:tcW w:w="740" w:type="pct"/>
            <w:shd w:val="clear" w:color="auto" w:fill="BFBFBF"/>
          </w:tcPr>
          <w:p w14:paraId="001567A5" w14:textId="77777777" w:rsidR="00C71CAA" w:rsidRPr="001570EA" w:rsidRDefault="00C71CAA">
            <w:pPr>
              <w:pStyle w:val="TableCell"/>
              <w:spacing w:before="60" w:after="60"/>
              <w:jc w:val="center"/>
              <w:rPr>
                <w:rFonts w:cs="Arial"/>
                <w:b/>
                <w:szCs w:val="18"/>
              </w:rPr>
            </w:pPr>
            <w:r w:rsidRPr="001570EA">
              <w:rPr>
                <w:rFonts w:cs="Arial"/>
                <w:b/>
                <w:szCs w:val="18"/>
              </w:rPr>
              <w:t>Unit</w:t>
            </w:r>
          </w:p>
        </w:tc>
        <w:tc>
          <w:tcPr>
            <w:tcW w:w="1419" w:type="pct"/>
            <w:shd w:val="clear" w:color="auto" w:fill="BFBFBF"/>
          </w:tcPr>
          <w:p w14:paraId="5035D5AE" w14:textId="77777777" w:rsidR="00C71CAA" w:rsidRPr="001570EA" w:rsidRDefault="00C71CAA">
            <w:pPr>
              <w:pStyle w:val="TableCell"/>
              <w:spacing w:before="60" w:after="60"/>
              <w:jc w:val="center"/>
              <w:rPr>
                <w:rFonts w:cs="Arial"/>
                <w:b/>
                <w:szCs w:val="18"/>
              </w:rPr>
            </w:pPr>
            <w:r w:rsidRPr="001570EA">
              <w:rPr>
                <w:rFonts w:cs="Arial"/>
                <w:b/>
                <w:szCs w:val="18"/>
              </w:rPr>
              <w:t>Values</w:t>
            </w:r>
          </w:p>
        </w:tc>
        <w:tc>
          <w:tcPr>
            <w:tcW w:w="744" w:type="pct"/>
            <w:shd w:val="clear" w:color="auto" w:fill="BFBFBF"/>
          </w:tcPr>
          <w:p w14:paraId="3C536744" w14:textId="77777777" w:rsidR="00C71CAA" w:rsidRPr="001570EA" w:rsidRDefault="00C71CAA">
            <w:pPr>
              <w:pStyle w:val="TableCell"/>
              <w:spacing w:before="60" w:after="60"/>
              <w:jc w:val="center"/>
              <w:rPr>
                <w:rFonts w:cs="Arial"/>
                <w:b/>
                <w:szCs w:val="18"/>
              </w:rPr>
            </w:pPr>
            <w:r w:rsidRPr="001570EA">
              <w:rPr>
                <w:rFonts w:cs="Arial"/>
                <w:b/>
                <w:szCs w:val="18"/>
              </w:rPr>
              <w:t>Source</w:t>
            </w:r>
          </w:p>
        </w:tc>
      </w:tr>
      <w:tr w:rsidR="00C71CAA" w:rsidRPr="001570EA" w14:paraId="0DCE7DEB" w14:textId="77777777">
        <w:tc>
          <w:tcPr>
            <w:tcW w:w="2097" w:type="pct"/>
            <w:shd w:val="clear" w:color="auto" w:fill="auto"/>
          </w:tcPr>
          <w:p w14:paraId="262A36B0" w14:textId="77777777" w:rsidR="00C71CAA" w:rsidRPr="001570EA" w:rsidRDefault="00C71CAA">
            <w:pPr>
              <w:pStyle w:val="TableCell"/>
              <w:spacing w:before="60" w:after="60"/>
              <w:rPr>
                <w:szCs w:val="18"/>
              </w:rPr>
            </w:pPr>
            <w:r w:rsidRPr="001570EA">
              <w:rPr>
                <w:rFonts w:ascii="Cambria Math" w:hAnsi="Cambria Math" w:cs="Arial"/>
                <w:i/>
                <w:szCs w:val="18"/>
              </w:rPr>
              <w:t>ΔT</w:t>
            </w:r>
            <w:r w:rsidRPr="001570EA">
              <w:rPr>
                <w:rFonts w:cs="Arial"/>
                <w:i/>
                <w:szCs w:val="18"/>
              </w:rPr>
              <w:t xml:space="preserve">, </w:t>
            </w:r>
            <w:r w:rsidRPr="001570EA">
              <w:rPr>
                <w:rFonts w:cs="Arial"/>
                <w:iCs/>
                <w:szCs w:val="18"/>
              </w:rPr>
              <w:t>change in the average hot water weekly temperature draw using the smart water heater control compared to the baseline water heater</w:t>
            </w:r>
          </w:p>
        </w:tc>
        <w:tc>
          <w:tcPr>
            <w:tcW w:w="740" w:type="pct"/>
            <w:shd w:val="clear" w:color="auto" w:fill="auto"/>
            <w:vAlign w:val="center"/>
          </w:tcPr>
          <w:p w14:paraId="3C80D322" w14:textId="77777777" w:rsidR="00C71CAA" w:rsidRPr="001570EA" w:rsidRDefault="00C71CAA">
            <w:pPr>
              <w:pStyle w:val="TableCell"/>
              <w:spacing w:before="60" w:after="60"/>
              <w:jc w:val="center"/>
              <w:rPr>
                <w:rFonts w:cs="Arial"/>
                <w:i/>
                <w:szCs w:val="18"/>
              </w:rPr>
            </w:pPr>
            <w:r w:rsidRPr="001570EA">
              <w:rPr>
                <w:rFonts w:cs="Arial"/>
                <w:i/>
                <w:szCs w:val="18"/>
              </w:rPr>
              <w:t>°F</w:t>
            </w:r>
          </w:p>
        </w:tc>
        <w:tc>
          <w:tcPr>
            <w:tcW w:w="1419" w:type="pct"/>
            <w:shd w:val="clear" w:color="auto" w:fill="auto"/>
            <w:vAlign w:val="center"/>
          </w:tcPr>
          <w:p w14:paraId="353086FC" w14:textId="77777777" w:rsidR="00C71CAA" w:rsidRPr="001570EA" w:rsidRDefault="00C71CAA">
            <w:pPr>
              <w:pStyle w:val="TableCell"/>
              <w:spacing w:before="60" w:after="60"/>
              <w:jc w:val="center"/>
              <w:rPr>
                <w:rFonts w:cs="Arial"/>
              </w:rPr>
            </w:pPr>
            <w:r w:rsidRPr="001570EA">
              <w:rPr>
                <w:rFonts w:cs="Arial"/>
                <w:szCs w:val="18"/>
              </w:rPr>
              <w:t>5.4</w:t>
            </w:r>
          </w:p>
        </w:tc>
        <w:tc>
          <w:tcPr>
            <w:tcW w:w="744" w:type="pct"/>
            <w:shd w:val="clear" w:color="auto" w:fill="auto"/>
            <w:vAlign w:val="center"/>
          </w:tcPr>
          <w:p w14:paraId="21B73DE7" w14:textId="77777777" w:rsidR="00C71CAA" w:rsidRPr="001570EA" w:rsidRDefault="00C71CAA">
            <w:pPr>
              <w:pStyle w:val="TableCell"/>
              <w:spacing w:before="60" w:after="60"/>
              <w:jc w:val="center"/>
              <w:rPr>
                <w:rFonts w:cs="Arial"/>
                <w:bCs/>
                <w:szCs w:val="18"/>
              </w:rPr>
            </w:pPr>
            <w:r w:rsidRPr="001570EA">
              <w:rPr>
                <w:rFonts w:cs="Arial"/>
                <w:szCs w:val="18"/>
              </w:rPr>
              <w:t>8</w:t>
            </w:r>
          </w:p>
        </w:tc>
      </w:tr>
      <w:tr w:rsidR="00C71CAA" w:rsidRPr="001570EA" w14:paraId="73B7535E" w14:textId="77777777">
        <w:tc>
          <w:tcPr>
            <w:tcW w:w="2097" w:type="pct"/>
            <w:shd w:val="clear" w:color="auto" w:fill="auto"/>
          </w:tcPr>
          <w:p w14:paraId="45C16049" w14:textId="1D2D195C" w:rsidR="00C71CAA" w:rsidRPr="001570EA" w:rsidRDefault="003B5E04">
            <w:pPr>
              <w:pStyle w:val="TableCell"/>
              <w:spacing w:before="60" w:after="60"/>
              <w:rPr>
                <w:rFonts w:cs="Arial"/>
                <w:szCs w:val="18"/>
              </w:rPr>
            </w:pPr>
            <m:oMath>
              <m:sSub>
                <m:sSubPr>
                  <m:ctrlPr>
                    <w:rPr>
                      <w:rFonts w:ascii="Cambria Math" w:hAnsi="Cambria Math" w:cs="Arial"/>
                      <w:i/>
                      <w:szCs w:val="18"/>
                    </w:rPr>
                  </m:ctrlPr>
                </m:sSubPr>
                <m:e>
                  <m:r>
                    <w:rPr>
                      <w:rFonts w:ascii="Cambria Math" w:hAnsi="Cambria Math" w:cs="Arial"/>
                      <w:szCs w:val="18"/>
                    </w:rPr>
                    <m:t>R</m:t>
                  </m:r>
                </m:e>
                <m:sub>
                  <m:r>
                    <w:rPr>
                      <w:rFonts w:ascii="Cambria Math" w:hAnsi="Cambria Math" w:cs="Arial"/>
                      <w:szCs w:val="18"/>
                    </w:rPr>
                    <m:t>tank</m:t>
                  </m:r>
                </m:sub>
              </m:sSub>
            </m:oMath>
            <w:r w:rsidR="00C71CAA" w:rsidRPr="001570EA">
              <w:rPr>
                <w:rFonts w:cs="Arial"/>
                <w:szCs w:val="18"/>
              </w:rPr>
              <w:t>, R value of water heater tank</w:t>
            </w:r>
          </w:p>
        </w:tc>
        <w:tc>
          <w:tcPr>
            <w:tcW w:w="740" w:type="pct"/>
            <w:shd w:val="clear" w:color="auto" w:fill="auto"/>
            <w:vAlign w:val="center"/>
          </w:tcPr>
          <w:p w14:paraId="2697A80A" w14:textId="77777777" w:rsidR="00C71CAA" w:rsidRPr="001570EA" w:rsidRDefault="003B5E04">
            <w:pPr>
              <w:pStyle w:val="TableCell"/>
              <w:spacing w:before="60" w:after="60"/>
              <w:jc w:val="center"/>
              <w:rPr>
                <w:rFonts w:cs="Arial"/>
                <w:i/>
                <w:szCs w:val="18"/>
              </w:rPr>
            </w:pPr>
            <m:oMathPara>
              <m:oMath>
                <m:f>
                  <m:fPr>
                    <m:ctrlPr>
                      <w:rPr>
                        <w:rFonts w:ascii="Cambria Math" w:hAnsi="Cambria Math" w:cs="Arial"/>
                        <w:i/>
                        <w:szCs w:val="18"/>
                      </w:rPr>
                    </m:ctrlPr>
                  </m:fPr>
                  <m:num>
                    <m:r>
                      <w:rPr>
                        <w:rFonts w:ascii="Cambria Math" w:hAnsi="Cambria Math" w:cs="Arial"/>
                        <w:szCs w:val="18"/>
                      </w:rPr>
                      <m:t>hr∙℉∙</m:t>
                    </m:r>
                    <m:sSup>
                      <m:sSupPr>
                        <m:ctrlPr>
                          <w:rPr>
                            <w:rFonts w:ascii="Cambria Math" w:hAnsi="Cambria Math" w:cs="Arial"/>
                            <w:i/>
                            <w:szCs w:val="18"/>
                          </w:rPr>
                        </m:ctrlPr>
                      </m:sSupPr>
                      <m:e>
                        <m:r>
                          <w:rPr>
                            <w:rFonts w:ascii="Cambria Math" w:hAnsi="Cambria Math" w:cs="Arial"/>
                            <w:szCs w:val="18"/>
                          </w:rPr>
                          <m:t>ft</m:t>
                        </m:r>
                      </m:e>
                      <m:sup>
                        <m:r>
                          <w:rPr>
                            <w:rFonts w:ascii="Cambria Math" w:hAnsi="Cambria Math" w:cs="Arial"/>
                            <w:szCs w:val="18"/>
                          </w:rPr>
                          <m:t>2</m:t>
                        </m:r>
                      </m:sup>
                    </m:sSup>
                  </m:num>
                  <m:den>
                    <m:r>
                      <w:rPr>
                        <w:rFonts w:ascii="Cambria Math" w:hAnsi="Cambria Math" w:cs="Arial"/>
                        <w:szCs w:val="18"/>
                      </w:rPr>
                      <m:t>BTU</m:t>
                    </m:r>
                  </m:den>
                </m:f>
              </m:oMath>
            </m:oMathPara>
          </w:p>
        </w:tc>
        <w:tc>
          <w:tcPr>
            <w:tcW w:w="1419" w:type="pct"/>
            <w:shd w:val="clear" w:color="auto" w:fill="auto"/>
            <w:vAlign w:val="center"/>
          </w:tcPr>
          <w:p w14:paraId="2316411B" w14:textId="77777777" w:rsidR="00C71CAA" w:rsidRPr="001570EA" w:rsidRDefault="00C71CAA">
            <w:pPr>
              <w:pStyle w:val="TableCell"/>
              <w:jc w:val="center"/>
              <w:rPr>
                <w:rFonts w:cs="Arial"/>
                <w:szCs w:val="18"/>
              </w:rPr>
            </w:pPr>
            <w:r w:rsidRPr="001570EA">
              <w:rPr>
                <w:rFonts w:cs="Arial"/>
                <w:szCs w:val="18"/>
              </w:rPr>
              <w:t>EDC Data Gathering</w:t>
            </w:r>
          </w:p>
          <w:p w14:paraId="27CC6880" w14:textId="77777777" w:rsidR="00C71CAA" w:rsidRPr="001570EA" w:rsidRDefault="00C71CAA">
            <w:pPr>
              <w:pStyle w:val="TableCell"/>
              <w:spacing w:before="60" w:after="60"/>
              <w:jc w:val="center"/>
              <w:rPr>
                <w:rFonts w:cs="Arial"/>
                <w:szCs w:val="18"/>
              </w:rPr>
            </w:pPr>
            <w:r w:rsidRPr="001570EA">
              <w:rPr>
                <w:rFonts w:cs="Arial"/>
                <w:szCs w:val="18"/>
              </w:rPr>
              <w:t>Default: 12</w:t>
            </w:r>
          </w:p>
        </w:tc>
        <w:tc>
          <w:tcPr>
            <w:tcW w:w="744" w:type="pct"/>
            <w:shd w:val="clear" w:color="auto" w:fill="auto"/>
            <w:vAlign w:val="center"/>
          </w:tcPr>
          <w:p w14:paraId="67D1B91C" w14:textId="77777777" w:rsidR="00C71CAA" w:rsidRPr="001570EA" w:rsidRDefault="00C71CAA">
            <w:pPr>
              <w:pStyle w:val="TableCell"/>
              <w:spacing w:before="60" w:after="60"/>
              <w:jc w:val="center"/>
              <w:rPr>
                <w:rFonts w:cs="Arial"/>
                <w:szCs w:val="18"/>
              </w:rPr>
            </w:pPr>
            <w:r w:rsidRPr="001570EA">
              <w:rPr>
                <w:rFonts w:cs="Arial"/>
                <w:szCs w:val="18"/>
              </w:rPr>
              <w:t>3</w:t>
            </w:r>
          </w:p>
        </w:tc>
      </w:tr>
      <w:tr w:rsidR="00C71CAA" w:rsidRPr="001570EA" w14:paraId="59968EC0" w14:textId="77777777">
        <w:tc>
          <w:tcPr>
            <w:tcW w:w="2097" w:type="pct"/>
            <w:shd w:val="clear" w:color="auto" w:fill="auto"/>
          </w:tcPr>
          <w:p w14:paraId="5B062213" w14:textId="6632A8E6" w:rsidR="00C71CAA" w:rsidRPr="001570EA" w:rsidRDefault="003B5E04">
            <w:pPr>
              <w:pStyle w:val="TableCell"/>
              <w:spacing w:before="60" w:after="60"/>
              <w:rPr>
                <w:rFonts w:cs="Arial"/>
                <w:szCs w:val="18"/>
              </w:rPr>
            </w:pPr>
            <m:oMath>
              <m:sSub>
                <m:sSubPr>
                  <m:ctrlPr>
                    <w:rPr>
                      <w:rFonts w:ascii="Cambria Math" w:hAnsi="Cambria Math" w:cs="Arial"/>
                      <w:i/>
                      <w:szCs w:val="18"/>
                    </w:rPr>
                  </m:ctrlPr>
                </m:sSubPr>
                <m:e>
                  <m:r>
                    <w:rPr>
                      <w:rFonts w:ascii="Cambria Math" w:hAnsi="Cambria Math" w:cs="Arial"/>
                      <w:szCs w:val="18"/>
                    </w:rPr>
                    <m:t>A</m:t>
                  </m:r>
                </m:e>
                <m:sub>
                  <m:r>
                    <w:rPr>
                      <w:rFonts w:ascii="Cambria Math" w:hAnsi="Cambria Math" w:cs="Arial"/>
                      <w:szCs w:val="18"/>
                    </w:rPr>
                    <m:t>tank</m:t>
                  </m:r>
                </m:sub>
              </m:sSub>
            </m:oMath>
            <w:r w:rsidR="00C71CAA" w:rsidRPr="001570EA">
              <w:rPr>
                <w:rFonts w:cs="Arial"/>
                <w:szCs w:val="18"/>
              </w:rPr>
              <w:t>, Surface Area of water heater tank</w:t>
            </w:r>
          </w:p>
        </w:tc>
        <w:tc>
          <w:tcPr>
            <w:tcW w:w="740" w:type="pct"/>
            <w:shd w:val="clear" w:color="auto" w:fill="auto"/>
            <w:vAlign w:val="center"/>
          </w:tcPr>
          <w:p w14:paraId="15562685" w14:textId="77777777" w:rsidR="00C71CAA" w:rsidRPr="001570EA" w:rsidRDefault="003B5E04">
            <w:pPr>
              <w:pStyle w:val="TableCell"/>
              <w:spacing w:before="60" w:after="60"/>
              <w:jc w:val="center"/>
              <w:rPr>
                <w:rFonts w:cs="Arial"/>
                <w:i/>
                <w:szCs w:val="18"/>
              </w:rPr>
            </w:pPr>
            <m:oMathPara>
              <m:oMath>
                <m:sSup>
                  <m:sSupPr>
                    <m:ctrlPr>
                      <w:rPr>
                        <w:rFonts w:ascii="Cambria Math" w:hAnsi="Cambria Math" w:cs="Arial"/>
                        <w:i/>
                        <w:szCs w:val="18"/>
                      </w:rPr>
                    </m:ctrlPr>
                  </m:sSupPr>
                  <m:e>
                    <m:r>
                      <w:rPr>
                        <w:rFonts w:ascii="Cambria Math" w:hAnsi="Cambria Math" w:cs="Arial"/>
                        <w:szCs w:val="18"/>
                      </w:rPr>
                      <m:t>ft</m:t>
                    </m:r>
                  </m:e>
                  <m:sup>
                    <m:r>
                      <w:rPr>
                        <w:rFonts w:ascii="Cambria Math" w:hAnsi="Cambria Math" w:cs="Arial"/>
                        <w:szCs w:val="18"/>
                      </w:rPr>
                      <m:t>2</m:t>
                    </m:r>
                  </m:sup>
                </m:sSup>
              </m:oMath>
            </m:oMathPara>
          </w:p>
        </w:tc>
        <w:tc>
          <w:tcPr>
            <w:tcW w:w="1419" w:type="pct"/>
            <w:shd w:val="clear" w:color="auto" w:fill="auto"/>
            <w:vAlign w:val="center"/>
          </w:tcPr>
          <w:p w14:paraId="25107A36" w14:textId="77777777" w:rsidR="00C71CAA" w:rsidRPr="001570EA" w:rsidRDefault="00C71CAA">
            <w:pPr>
              <w:pStyle w:val="TableCell"/>
              <w:jc w:val="center"/>
              <w:rPr>
                <w:rFonts w:cs="Arial"/>
                <w:szCs w:val="18"/>
              </w:rPr>
            </w:pPr>
            <w:r w:rsidRPr="001570EA">
              <w:rPr>
                <w:rFonts w:cs="Arial"/>
                <w:szCs w:val="18"/>
              </w:rPr>
              <w:t>EDC Data Gathering</w:t>
            </w:r>
          </w:p>
          <w:p w14:paraId="042D1E72" w14:textId="77777777" w:rsidR="00C71CAA" w:rsidRPr="001570EA" w:rsidRDefault="00C71CAA">
            <w:pPr>
              <w:pStyle w:val="TableCell"/>
              <w:spacing w:before="60" w:after="60"/>
              <w:jc w:val="center"/>
              <w:rPr>
                <w:rFonts w:cs="Arial"/>
                <w:szCs w:val="18"/>
              </w:rPr>
            </w:pPr>
            <w:r w:rsidRPr="001570EA">
              <w:rPr>
                <w:rFonts w:cs="Arial"/>
                <w:szCs w:val="18"/>
              </w:rPr>
              <w:t>Default: 24.99</w:t>
            </w:r>
          </w:p>
        </w:tc>
        <w:tc>
          <w:tcPr>
            <w:tcW w:w="744" w:type="pct"/>
            <w:shd w:val="clear" w:color="auto" w:fill="auto"/>
            <w:vAlign w:val="center"/>
          </w:tcPr>
          <w:p w14:paraId="51F5B110" w14:textId="740A5DDD" w:rsidR="00C71CAA" w:rsidRPr="001570EA" w:rsidRDefault="00C71CAA">
            <w:pPr>
              <w:pStyle w:val="TableCell"/>
              <w:spacing w:before="60" w:after="60"/>
              <w:jc w:val="center"/>
              <w:rPr>
                <w:rFonts w:cs="Arial"/>
                <w:szCs w:val="18"/>
              </w:rPr>
            </w:pPr>
            <w:r w:rsidRPr="001570EA">
              <w:rPr>
                <w:rFonts w:cs="Arial"/>
                <w:szCs w:val="18"/>
              </w:rPr>
              <w:t xml:space="preserve">50 gal. value in </w:t>
            </w:r>
            <w:r w:rsidRPr="001570EA">
              <w:rPr>
                <w:rFonts w:cs="Arial"/>
                <w:szCs w:val="18"/>
              </w:rPr>
              <w:fldChar w:fldCharType="begin"/>
            </w:r>
            <w:r w:rsidRPr="001570EA">
              <w:rPr>
                <w:rFonts w:cs="Arial"/>
                <w:szCs w:val="18"/>
              </w:rPr>
              <w:instrText xml:space="preserve"> REF _Ref278967935 \h </w:instrText>
            </w:r>
            <w:r w:rsidR="001570EA">
              <w:rPr>
                <w:rFonts w:cs="Arial"/>
                <w:szCs w:val="18"/>
              </w:rPr>
              <w:instrText xml:space="preserve"> \* MERGEFORMAT </w:instrText>
            </w:r>
            <w:r w:rsidRPr="001570EA">
              <w:rPr>
                <w:rFonts w:cs="Arial"/>
                <w:szCs w:val="18"/>
              </w:rPr>
            </w:r>
            <w:r w:rsidRPr="001570EA">
              <w:rPr>
                <w:rFonts w:cs="Arial"/>
                <w:szCs w:val="18"/>
              </w:rPr>
              <w:fldChar w:fldCharType="separate"/>
            </w:r>
            <w:r w:rsidR="00234C6C" w:rsidRPr="001570EA">
              <w:t xml:space="preserve">Table </w:t>
            </w:r>
            <w:r w:rsidR="00234C6C" w:rsidRPr="001570EA">
              <w:rPr>
                <w:noProof/>
              </w:rPr>
              <w:t>2</w:t>
            </w:r>
            <w:r w:rsidRPr="001570EA">
              <w:rPr>
                <w:rFonts w:cs="Arial"/>
                <w:szCs w:val="18"/>
              </w:rPr>
              <w:fldChar w:fldCharType="end"/>
            </w:r>
          </w:p>
        </w:tc>
      </w:tr>
      <w:tr w:rsidR="00C71CAA" w:rsidRPr="001570EA" w14:paraId="5E22C915" w14:textId="77777777">
        <w:tc>
          <w:tcPr>
            <w:tcW w:w="2097" w:type="pct"/>
            <w:shd w:val="clear" w:color="auto" w:fill="auto"/>
          </w:tcPr>
          <w:p w14:paraId="7FEF30B7" w14:textId="40866E86" w:rsidR="00C71CAA" w:rsidRPr="001570EA" w:rsidRDefault="003B5E04">
            <w:pPr>
              <w:pStyle w:val="TableCell"/>
              <w:spacing w:before="60" w:after="60"/>
              <w:rPr>
                <w:rFonts w:cs="Arial"/>
                <w:szCs w:val="18"/>
              </w:rPr>
            </w:pPr>
            <m:oMath>
              <m:sSub>
                <m:sSubPr>
                  <m:ctrlPr>
                    <w:rPr>
                      <w:rFonts w:ascii="Cambria Math" w:hAnsi="Cambria Math" w:cs="Arial"/>
                      <w:i/>
                      <w:szCs w:val="18"/>
                    </w:rPr>
                  </m:ctrlPr>
                </m:sSubPr>
                <m:e>
                  <m:r>
                    <w:rPr>
                      <w:rFonts w:ascii="Cambria Math" w:hAnsi="Cambria Math" w:cs="Arial"/>
                      <w:szCs w:val="18"/>
                    </w:rPr>
                    <m:t>η</m:t>
                  </m:r>
                </m:e>
                <m:sub>
                  <m:r>
                    <w:rPr>
                      <w:rFonts w:ascii="Cambria Math" w:hAnsi="Cambria Math" w:cs="Arial"/>
                      <w:szCs w:val="18"/>
                    </w:rPr>
                    <m:t>elec</m:t>
                  </m:r>
                </m:sub>
              </m:sSub>
            </m:oMath>
            <w:r w:rsidR="00C71CAA" w:rsidRPr="001570EA">
              <w:rPr>
                <w:rFonts w:cs="Arial"/>
                <w:szCs w:val="18"/>
              </w:rPr>
              <w:t>, Thermal efficiency of electric heater element</w:t>
            </w:r>
          </w:p>
        </w:tc>
        <w:tc>
          <w:tcPr>
            <w:tcW w:w="740" w:type="pct"/>
            <w:shd w:val="clear" w:color="auto" w:fill="auto"/>
            <w:vAlign w:val="center"/>
          </w:tcPr>
          <w:p w14:paraId="162CDBF0" w14:textId="77777777" w:rsidR="00C71CAA" w:rsidRPr="001570EA" w:rsidRDefault="00C71CAA">
            <w:pPr>
              <w:pStyle w:val="TableCell"/>
              <w:spacing w:before="60" w:after="60"/>
              <w:jc w:val="center"/>
              <w:rPr>
                <w:rFonts w:cs="Arial"/>
                <w:szCs w:val="18"/>
              </w:rPr>
            </w:pPr>
            <w:r w:rsidRPr="001570EA">
              <w:rPr>
                <w:rFonts w:cs="Arial"/>
                <w:i/>
                <w:szCs w:val="18"/>
              </w:rPr>
              <w:t>Proportion</w:t>
            </w:r>
          </w:p>
        </w:tc>
        <w:tc>
          <w:tcPr>
            <w:tcW w:w="1419" w:type="pct"/>
            <w:shd w:val="clear" w:color="auto" w:fill="auto"/>
            <w:vAlign w:val="center"/>
          </w:tcPr>
          <w:p w14:paraId="51FE389D" w14:textId="77777777" w:rsidR="00C71CAA" w:rsidRPr="001570EA" w:rsidRDefault="00C71CAA">
            <w:pPr>
              <w:pStyle w:val="TableCell"/>
              <w:spacing w:before="60" w:after="60"/>
              <w:jc w:val="center"/>
              <w:rPr>
                <w:rFonts w:cs="Arial"/>
                <w:szCs w:val="18"/>
              </w:rPr>
            </w:pPr>
            <w:r w:rsidRPr="001570EA">
              <w:rPr>
                <w:rFonts w:cs="Arial"/>
                <w:szCs w:val="18"/>
              </w:rPr>
              <w:t>Electric Storage: 0.98</w:t>
            </w:r>
          </w:p>
          <w:p w14:paraId="20CEC23E" w14:textId="77777777" w:rsidR="00C71CAA" w:rsidRPr="001570EA" w:rsidRDefault="00C71CAA">
            <w:pPr>
              <w:pStyle w:val="TableCell"/>
              <w:spacing w:before="60" w:after="60"/>
              <w:jc w:val="center"/>
              <w:rPr>
                <w:rFonts w:cs="Arial"/>
                <w:szCs w:val="18"/>
              </w:rPr>
            </w:pPr>
            <w:r w:rsidRPr="001570EA">
              <w:rPr>
                <w:rFonts w:cs="Arial"/>
                <w:szCs w:val="18"/>
              </w:rPr>
              <w:t>HPWH: 3.11</w:t>
            </w:r>
          </w:p>
        </w:tc>
        <w:tc>
          <w:tcPr>
            <w:tcW w:w="744" w:type="pct"/>
            <w:shd w:val="clear" w:color="auto" w:fill="auto"/>
            <w:vAlign w:val="center"/>
          </w:tcPr>
          <w:p w14:paraId="36FE8AE2" w14:textId="77777777" w:rsidR="00C71CAA" w:rsidRPr="001570EA" w:rsidRDefault="00C71CAA">
            <w:pPr>
              <w:pStyle w:val="TableCell"/>
              <w:spacing w:before="60" w:after="60"/>
              <w:jc w:val="center"/>
              <w:rPr>
                <w:rFonts w:cs="Arial"/>
                <w:szCs w:val="18"/>
              </w:rPr>
            </w:pPr>
            <w:r w:rsidRPr="001570EA">
              <w:rPr>
                <w:rFonts w:cs="Arial"/>
                <w:szCs w:val="18"/>
              </w:rPr>
              <w:t>4; 5</w:t>
            </w:r>
          </w:p>
        </w:tc>
      </w:tr>
      <w:tr w:rsidR="00C71CAA" w:rsidRPr="001570EA" w14:paraId="4C99E751" w14:textId="77777777">
        <w:tc>
          <w:tcPr>
            <w:tcW w:w="2097" w:type="pct"/>
            <w:shd w:val="clear" w:color="auto" w:fill="auto"/>
          </w:tcPr>
          <w:p w14:paraId="77890151" w14:textId="004AE4E6" w:rsidR="00C71CAA" w:rsidRPr="001570EA" w:rsidRDefault="003B5E04">
            <w:pPr>
              <w:pStyle w:val="TableCell"/>
              <w:spacing w:before="60" w:after="60"/>
              <w:rPr>
                <w:rFonts w:cs="Arial"/>
                <w:szCs w:val="18"/>
              </w:rPr>
            </w:pPr>
            <m:oMath>
              <m:sSub>
                <m:sSubPr>
                  <m:ctrlPr>
                    <w:rPr>
                      <w:rFonts w:ascii="Cambria Math" w:hAnsi="Cambria Math" w:cs="Arial"/>
                      <w:i/>
                      <w:szCs w:val="18"/>
                    </w:rPr>
                  </m:ctrlPr>
                </m:sSubPr>
                <m:e>
                  <m:r>
                    <w:rPr>
                      <w:rFonts w:ascii="Cambria Math" w:hAnsi="Cambria Math" w:cs="Arial"/>
                      <w:szCs w:val="18"/>
                    </w:rPr>
                    <m:t>V</m:t>
                  </m:r>
                </m:e>
                <m:sub>
                  <m:r>
                    <w:rPr>
                      <w:rFonts w:ascii="Cambria Math" w:hAnsi="Cambria Math" w:cs="Arial"/>
                      <w:szCs w:val="18"/>
                    </w:rPr>
                    <m:t>HW</m:t>
                  </m:r>
                </m:sub>
              </m:sSub>
            </m:oMath>
            <w:r w:rsidR="00C71CAA" w:rsidRPr="001570EA">
              <w:rPr>
                <w:rFonts w:cs="Arial"/>
                <w:szCs w:val="18"/>
              </w:rPr>
              <w:t>, Volume of hot water used per cycle by clothes washer</w:t>
            </w:r>
          </w:p>
        </w:tc>
        <w:tc>
          <w:tcPr>
            <w:tcW w:w="740" w:type="pct"/>
            <w:shd w:val="clear" w:color="auto" w:fill="auto"/>
            <w:vAlign w:val="center"/>
          </w:tcPr>
          <w:p w14:paraId="5E0486B2" w14:textId="77777777" w:rsidR="00C71CAA" w:rsidRPr="001570EA" w:rsidRDefault="003B5E04">
            <w:pPr>
              <w:pStyle w:val="TableCell"/>
              <w:spacing w:before="60" w:after="60"/>
              <w:jc w:val="center"/>
              <w:rPr>
                <w:rFonts w:cs="Arial"/>
                <w:i/>
                <w:szCs w:val="18"/>
              </w:rPr>
            </w:pPr>
            <m:oMathPara>
              <m:oMath>
                <m:f>
                  <m:fPr>
                    <m:ctrlPr>
                      <w:rPr>
                        <w:rFonts w:ascii="Cambria Math" w:hAnsi="Cambria Math" w:cs="Arial"/>
                        <w:i/>
                        <w:szCs w:val="18"/>
                      </w:rPr>
                    </m:ctrlPr>
                  </m:fPr>
                  <m:num>
                    <m:r>
                      <w:rPr>
                        <w:rFonts w:ascii="Cambria Math" w:hAnsi="Cambria Math" w:cs="Arial"/>
                        <w:szCs w:val="18"/>
                      </w:rPr>
                      <m:t>gallons</m:t>
                    </m:r>
                  </m:num>
                  <m:den>
                    <m:r>
                      <w:rPr>
                        <w:rFonts w:ascii="Cambria Math" w:hAnsi="Cambria Math" w:cs="Arial"/>
                        <w:szCs w:val="18"/>
                      </w:rPr>
                      <m:t>cycle</m:t>
                    </m:r>
                  </m:den>
                </m:f>
              </m:oMath>
            </m:oMathPara>
          </w:p>
        </w:tc>
        <w:tc>
          <w:tcPr>
            <w:tcW w:w="1419" w:type="pct"/>
            <w:shd w:val="clear" w:color="auto" w:fill="auto"/>
            <w:vAlign w:val="center"/>
          </w:tcPr>
          <w:p w14:paraId="6EB047AF" w14:textId="77777777" w:rsidR="00C71CAA" w:rsidRPr="001570EA" w:rsidRDefault="00C71CAA">
            <w:pPr>
              <w:pStyle w:val="TableCell"/>
              <w:spacing w:before="60" w:after="60"/>
              <w:jc w:val="center"/>
              <w:rPr>
                <w:rFonts w:cs="Arial"/>
                <w:szCs w:val="18"/>
              </w:rPr>
            </w:pPr>
            <w:r w:rsidRPr="001570EA">
              <w:rPr>
                <w:rFonts w:cs="Arial"/>
                <w:szCs w:val="18"/>
              </w:rPr>
              <w:t>20</w:t>
            </w:r>
          </w:p>
        </w:tc>
        <w:tc>
          <w:tcPr>
            <w:tcW w:w="744" w:type="pct"/>
            <w:shd w:val="clear" w:color="auto" w:fill="auto"/>
            <w:vAlign w:val="center"/>
          </w:tcPr>
          <w:p w14:paraId="7BBAE96D" w14:textId="77777777" w:rsidR="00C71CAA" w:rsidRPr="001570EA" w:rsidRDefault="00C71CAA">
            <w:pPr>
              <w:pStyle w:val="TableCell"/>
              <w:spacing w:before="60" w:after="60"/>
              <w:jc w:val="center"/>
              <w:rPr>
                <w:rFonts w:cs="Arial"/>
                <w:szCs w:val="18"/>
              </w:rPr>
            </w:pPr>
            <w:r w:rsidRPr="001570EA">
              <w:rPr>
                <w:rFonts w:cs="Arial"/>
                <w:szCs w:val="18"/>
              </w:rPr>
              <w:t>6</w:t>
            </w:r>
          </w:p>
        </w:tc>
      </w:tr>
      <w:tr w:rsidR="00C71CAA" w:rsidRPr="001570EA" w14:paraId="21A0235F" w14:textId="77777777">
        <w:tc>
          <w:tcPr>
            <w:tcW w:w="2097" w:type="pct"/>
            <w:shd w:val="clear" w:color="auto" w:fill="auto"/>
          </w:tcPr>
          <w:p w14:paraId="474BFDD8" w14:textId="543BF357" w:rsidR="00C71CAA" w:rsidRPr="001570EA" w:rsidRDefault="00C71CAA">
            <w:pPr>
              <w:pStyle w:val="TableCell"/>
              <w:spacing w:before="60" w:after="60"/>
              <w:rPr>
                <w:rFonts w:cs="Arial"/>
                <w:szCs w:val="18"/>
              </w:rPr>
            </w:pPr>
            <w:r w:rsidRPr="001570EA">
              <w:rPr>
                <w:rFonts w:ascii="Cambria Math" w:hAnsi="Cambria Math" w:cs="Arial"/>
                <w:i/>
                <w:szCs w:val="18"/>
              </w:rPr>
              <w:t>Cycles</w:t>
            </w:r>
            <w:r w:rsidRPr="001570EA">
              <w:rPr>
                <w:rFonts w:ascii="Cambria Math" w:hAnsi="Cambria Math" w:cs="Arial"/>
                <w:i/>
                <w:szCs w:val="18"/>
                <w:vertAlign w:val="subscript"/>
              </w:rPr>
              <w:t>wash</w:t>
            </w:r>
            <w:r w:rsidRPr="001570EA">
              <w:rPr>
                <w:rFonts w:cs="Arial"/>
                <w:szCs w:val="18"/>
              </w:rPr>
              <w:t>, Number of clothes washer cycles per year</w:t>
            </w:r>
          </w:p>
        </w:tc>
        <w:tc>
          <w:tcPr>
            <w:tcW w:w="740" w:type="pct"/>
            <w:shd w:val="clear" w:color="auto" w:fill="auto"/>
            <w:vAlign w:val="center"/>
          </w:tcPr>
          <w:p w14:paraId="49562521" w14:textId="77777777" w:rsidR="00C71CAA" w:rsidRPr="001570EA" w:rsidRDefault="003B5E04">
            <w:pPr>
              <w:pStyle w:val="TableCell"/>
              <w:spacing w:before="60" w:after="60"/>
              <w:jc w:val="center"/>
              <w:rPr>
                <w:rFonts w:cs="Arial"/>
                <w:szCs w:val="18"/>
              </w:rPr>
            </w:pPr>
            <m:oMathPara>
              <m:oMath>
                <m:f>
                  <m:fPr>
                    <m:ctrlPr>
                      <w:rPr>
                        <w:rFonts w:ascii="Cambria Math" w:hAnsi="Cambria Math" w:cs="Arial"/>
                        <w:i/>
                        <w:szCs w:val="18"/>
                      </w:rPr>
                    </m:ctrlPr>
                  </m:fPr>
                  <m:num>
                    <m:r>
                      <w:rPr>
                        <w:rFonts w:ascii="Cambria Math" w:hAnsi="Cambria Math" w:cs="Arial"/>
                        <w:szCs w:val="18"/>
                      </w:rPr>
                      <m:t>cycles</m:t>
                    </m:r>
                  </m:num>
                  <m:den>
                    <m:r>
                      <w:rPr>
                        <w:rFonts w:ascii="Cambria Math" w:hAnsi="Cambria Math" w:cs="Arial"/>
                        <w:szCs w:val="18"/>
                      </w:rPr>
                      <m:t>yr</m:t>
                    </m:r>
                  </m:den>
                </m:f>
              </m:oMath>
            </m:oMathPara>
          </w:p>
        </w:tc>
        <w:tc>
          <w:tcPr>
            <w:tcW w:w="1419" w:type="pct"/>
            <w:shd w:val="clear" w:color="auto" w:fill="auto"/>
            <w:vAlign w:val="center"/>
          </w:tcPr>
          <w:p w14:paraId="08DB3EC7" w14:textId="77777777" w:rsidR="00C71CAA" w:rsidRPr="001570EA" w:rsidRDefault="00C71CAA">
            <w:pPr>
              <w:pStyle w:val="TableCell"/>
              <w:spacing w:before="60" w:after="60"/>
              <w:jc w:val="center"/>
              <w:rPr>
                <w:rFonts w:cs="Arial"/>
                <w:szCs w:val="18"/>
              </w:rPr>
            </w:pPr>
            <w:r w:rsidRPr="001570EA">
              <w:rPr>
                <w:rFonts w:cs="Arial"/>
                <w:szCs w:val="18"/>
              </w:rPr>
              <w:t>Clothes washer present:</w:t>
            </w:r>
          </w:p>
          <w:p w14:paraId="5E041F53" w14:textId="77777777" w:rsidR="00C71CAA" w:rsidRPr="001570EA" w:rsidRDefault="00C71CAA">
            <w:pPr>
              <w:pStyle w:val="TableCell"/>
              <w:spacing w:before="60" w:after="60"/>
              <w:jc w:val="center"/>
              <w:rPr>
                <w:rFonts w:cs="Arial"/>
                <w:szCs w:val="18"/>
              </w:rPr>
            </w:pPr>
            <w:r w:rsidRPr="001570EA">
              <w:rPr>
                <w:rFonts w:cs="Arial"/>
                <w:szCs w:val="18"/>
              </w:rPr>
              <w:t>178</w:t>
            </w:r>
          </w:p>
          <w:p w14:paraId="5F32947C" w14:textId="77777777" w:rsidR="00C71CAA" w:rsidRPr="001570EA" w:rsidRDefault="00C71CAA">
            <w:pPr>
              <w:pStyle w:val="TableCell"/>
              <w:spacing w:before="60" w:after="60"/>
              <w:jc w:val="center"/>
              <w:rPr>
                <w:rFonts w:cs="Arial"/>
                <w:szCs w:val="18"/>
              </w:rPr>
            </w:pPr>
            <w:r w:rsidRPr="001570EA">
              <w:rPr>
                <w:rFonts w:cs="Arial"/>
                <w:szCs w:val="18"/>
              </w:rPr>
              <w:t>No clothes washer: 0</w:t>
            </w:r>
          </w:p>
        </w:tc>
        <w:tc>
          <w:tcPr>
            <w:tcW w:w="744" w:type="pct"/>
            <w:shd w:val="clear" w:color="auto" w:fill="auto"/>
            <w:vAlign w:val="center"/>
          </w:tcPr>
          <w:p w14:paraId="32773104" w14:textId="77777777" w:rsidR="00C71CAA" w:rsidRPr="001570EA" w:rsidRDefault="00C71CAA">
            <w:pPr>
              <w:pStyle w:val="TableCell"/>
              <w:spacing w:before="60" w:after="60"/>
              <w:jc w:val="center"/>
              <w:rPr>
                <w:rFonts w:cs="Arial"/>
                <w:szCs w:val="18"/>
              </w:rPr>
            </w:pPr>
            <w:r w:rsidRPr="001570EA">
              <w:rPr>
                <w:rFonts w:cs="Arial"/>
                <w:szCs w:val="18"/>
              </w:rPr>
              <w:t>7</w:t>
            </w:r>
          </w:p>
        </w:tc>
      </w:tr>
      <w:tr w:rsidR="00C71CAA" w:rsidRPr="001570EA" w14:paraId="7D12FDA1" w14:textId="77777777">
        <w:tc>
          <w:tcPr>
            <w:tcW w:w="2097" w:type="pct"/>
            <w:shd w:val="clear" w:color="auto" w:fill="auto"/>
          </w:tcPr>
          <w:p w14:paraId="1779C0D7" w14:textId="1AF33BC2" w:rsidR="00C71CAA" w:rsidRPr="001570EA" w:rsidRDefault="003B5E04">
            <w:pPr>
              <w:pStyle w:val="TableCell"/>
              <w:spacing w:before="60" w:after="60"/>
              <w:rPr>
                <w:rFonts w:cs="Arial"/>
                <w:iCs/>
                <w:szCs w:val="18"/>
              </w:rPr>
            </w:pPr>
            <m:oMath>
              <m:sSub>
                <m:sSubPr>
                  <m:ctrlPr>
                    <w:rPr>
                      <w:rFonts w:ascii="Cambria Math" w:hAnsi="Cambria Math" w:cs="Arial"/>
                      <w:i/>
                      <w:szCs w:val="18"/>
                    </w:rPr>
                  </m:ctrlPr>
                </m:sSubPr>
                <m:e>
                  <m:r>
                    <w:rPr>
                      <w:rFonts w:ascii="Cambria Math" w:hAnsi="Cambria Math" w:cs="Arial"/>
                      <w:szCs w:val="18"/>
                    </w:rPr>
                    <m:t>UEF</m:t>
                  </m:r>
                </m:e>
                <m:sub>
                  <m:r>
                    <w:rPr>
                      <w:rFonts w:ascii="Cambria Math" w:hAnsi="Cambria Math" w:cs="Arial"/>
                      <w:szCs w:val="18"/>
                    </w:rPr>
                    <m:t>WH</m:t>
                  </m:r>
                </m:sub>
              </m:sSub>
            </m:oMath>
            <w:r w:rsidR="00C71CAA" w:rsidRPr="001570EA">
              <w:rPr>
                <w:rFonts w:cs="Arial"/>
                <w:szCs w:val="18"/>
              </w:rPr>
              <w:t>, Uniform Energy Factor of water heater</w:t>
            </w:r>
          </w:p>
        </w:tc>
        <w:tc>
          <w:tcPr>
            <w:tcW w:w="740" w:type="pct"/>
            <w:shd w:val="clear" w:color="auto" w:fill="auto"/>
            <w:vAlign w:val="center"/>
          </w:tcPr>
          <w:p w14:paraId="34E7BCF7" w14:textId="77777777" w:rsidR="00C71CAA" w:rsidRPr="001570EA" w:rsidRDefault="00C71CAA">
            <w:pPr>
              <w:pStyle w:val="TableCell"/>
              <w:spacing w:before="60" w:after="60"/>
              <w:jc w:val="center"/>
              <w:rPr>
                <w:rFonts w:cs="Arial"/>
                <w:szCs w:val="18"/>
              </w:rPr>
            </w:pPr>
            <w:r w:rsidRPr="001570EA">
              <w:rPr>
                <w:rFonts w:cs="Arial"/>
                <w:i/>
                <w:szCs w:val="18"/>
              </w:rPr>
              <w:t>Proportion</w:t>
            </w:r>
          </w:p>
        </w:tc>
        <w:tc>
          <w:tcPr>
            <w:tcW w:w="1419" w:type="pct"/>
            <w:shd w:val="clear" w:color="auto" w:fill="auto"/>
            <w:vAlign w:val="center"/>
          </w:tcPr>
          <w:p w14:paraId="394926CC" w14:textId="77777777" w:rsidR="00C71CAA" w:rsidRPr="001570EA" w:rsidRDefault="00C71CAA">
            <w:pPr>
              <w:pStyle w:val="TableCell"/>
              <w:spacing w:before="60" w:after="60"/>
              <w:jc w:val="center"/>
              <w:rPr>
                <w:rFonts w:cs="Arial"/>
              </w:rPr>
            </w:pPr>
            <w:r w:rsidRPr="001570EA">
              <w:rPr>
                <w:rFonts w:cs="Arial"/>
              </w:rPr>
              <w:t>EDC data collection</w:t>
            </w:r>
          </w:p>
          <w:p w14:paraId="46623C7F" w14:textId="77777777" w:rsidR="00C71CAA" w:rsidRPr="001570EA" w:rsidRDefault="00C71CAA">
            <w:pPr>
              <w:pStyle w:val="TableCell"/>
              <w:spacing w:before="60" w:after="60"/>
              <w:jc w:val="center"/>
              <w:rPr>
                <w:rFonts w:cs="Arial"/>
              </w:rPr>
            </w:pPr>
            <w:r w:rsidRPr="001570EA">
              <w:rPr>
                <w:rFonts w:cs="Arial"/>
              </w:rPr>
              <w:t>Default:</w:t>
            </w:r>
          </w:p>
          <w:p w14:paraId="41B7AC8D" w14:textId="77777777" w:rsidR="00C71CAA" w:rsidRPr="001570EA" w:rsidRDefault="00C71CAA">
            <w:pPr>
              <w:pStyle w:val="TableCell"/>
              <w:spacing w:before="60" w:after="60"/>
              <w:jc w:val="center"/>
              <w:rPr>
                <w:rFonts w:cs="Arial"/>
              </w:rPr>
            </w:pPr>
            <w:r w:rsidRPr="001570EA">
              <w:rPr>
                <w:rFonts w:cs="Arial"/>
              </w:rPr>
              <w:t>Electric Storage= 0.92</w:t>
            </w:r>
          </w:p>
          <w:p w14:paraId="3E6383F3" w14:textId="77777777" w:rsidR="00C71CAA" w:rsidRPr="001570EA" w:rsidRDefault="00C71CAA">
            <w:pPr>
              <w:pStyle w:val="TableCell"/>
              <w:spacing w:before="60" w:after="60"/>
              <w:jc w:val="center"/>
              <w:rPr>
                <w:rFonts w:cs="Arial"/>
                <w:szCs w:val="18"/>
              </w:rPr>
            </w:pPr>
            <w:r w:rsidRPr="001570EA">
              <w:rPr>
                <w:rFonts w:cs="Arial"/>
              </w:rPr>
              <w:t>HPWH= 3.20</w:t>
            </w:r>
          </w:p>
        </w:tc>
        <w:tc>
          <w:tcPr>
            <w:tcW w:w="744" w:type="pct"/>
            <w:shd w:val="clear" w:color="auto" w:fill="auto"/>
            <w:vAlign w:val="center"/>
          </w:tcPr>
          <w:p w14:paraId="0AC9DC3E" w14:textId="77777777" w:rsidR="00C71CAA" w:rsidRPr="001570EA" w:rsidRDefault="00C71CAA">
            <w:pPr>
              <w:pStyle w:val="TableCell"/>
              <w:spacing w:before="60" w:after="60"/>
              <w:jc w:val="center"/>
              <w:rPr>
                <w:rFonts w:cs="Arial"/>
                <w:szCs w:val="18"/>
              </w:rPr>
            </w:pPr>
            <w:r w:rsidRPr="001570EA">
              <w:rPr>
                <w:rFonts w:cs="Arial"/>
                <w:bCs/>
                <w:szCs w:val="18"/>
              </w:rPr>
              <w:t>2</w:t>
            </w:r>
          </w:p>
        </w:tc>
      </w:tr>
      <w:tr w:rsidR="00C71CAA" w:rsidRPr="001570EA" w14:paraId="26955E7F" w14:textId="77777777">
        <w:trPr>
          <w:trHeight w:val="77"/>
        </w:trPr>
        <w:tc>
          <w:tcPr>
            <w:tcW w:w="2097" w:type="pct"/>
            <w:shd w:val="clear" w:color="auto" w:fill="auto"/>
          </w:tcPr>
          <w:p w14:paraId="5C98F1C9" w14:textId="0048399A" w:rsidR="00C71CAA" w:rsidRPr="001570EA" w:rsidRDefault="00C71CAA">
            <w:pPr>
              <w:pStyle w:val="TableCell"/>
              <w:spacing w:before="60" w:after="60"/>
              <w:rPr>
                <w:rFonts w:cs="Arial"/>
                <w:szCs w:val="18"/>
              </w:rPr>
            </w:pPr>
            <w:r w:rsidRPr="001570EA">
              <w:rPr>
                <w:rFonts w:ascii="Cambria Math" w:hAnsi="Cambria Math" w:cs="Arial"/>
                <w:i/>
                <w:szCs w:val="18"/>
              </w:rPr>
              <w:t>ETDFs</w:t>
            </w:r>
            <w:r w:rsidRPr="001570EA">
              <w:rPr>
                <w:rFonts w:cs="Arial"/>
                <w:szCs w:val="18"/>
              </w:rPr>
              <w:t>, Energy To Demand Factor (summer, defined above)</w:t>
            </w:r>
          </w:p>
        </w:tc>
        <w:tc>
          <w:tcPr>
            <w:tcW w:w="740" w:type="pct"/>
            <w:shd w:val="clear" w:color="auto" w:fill="auto"/>
            <w:vAlign w:val="center"/>
          </w:tcPr>
          <w:p w14:paraId="7280A63A" w14:textId="77777777" w:rsidR="00C71CAA" w:rsidRPr="001570EA" w:rsidDel="007516AB" w:rsidRDefault="003B5E04">
            <w:pPr>
              <w:pStyle w:val="TableCell"/>
              <w:spacing w:before="60" w:after="60"/>
              <w:jc w:val="center"/>
              <w:rPr>
                <w:rFonts w:cs="Arial"/>
                <w:b/>
                <w:bCs/>
                <w:i/>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419" w:type="pct"/>
            <w:shd w:val="clear" w:color="auto" w:fill="auto"/>
            <w:vAlign w:val="center"/>
          </w:tcPr>
          <w:p w14:paraId="4C75E2B9" w14:textId="77777777" w:rsidR="00C71CAA" w:rsidRPr="001570EA" w:rsidRDefault="00C71CAA">
            <w:pPr>
              <w:pStyle w:val="TableCell"/>
              <w:spacing w:before="60" w:after="60"/>
              <w:jc w:val="center"/>
              <w:rPr>
                <w:rFonts w:cs="Arial"/>
                <w:szCs w:val="18"/>
              </w:rPr>
            </w:pPr>
            <w:r w:rsidRPr="001570EA">
              <w:rPr>
                <w:rFonts w:cs="Arial"/>
                <w:szCs w:val="18"/>
              </w:rPr>
              <w:t>0.0001046</w:t>
            </w:r>
          </w:p>
          <w:p w14:paraId="6187C386" w14:textId="77777777" w:rsidR="00C71CAA" w:rsidRPr="001570EA" w:rsidRDefault="00C71CAA">
            <w:pPr>
              <w:pStyle w:val="TableCell"/>
              <w:spacing w:before="60" w:after="60"/>
              <w:jc w:val="center"/>
              <w:rPr>
                <w:rFonts w:cs="Arial"/>
                <w:szCs w:val="18"/>
              </w:rPr>
            </w:pPr>
          </w:p>
        </w:tc>
        <w:tc>
          <w:tcPr>
            <w:tcW w:w="744" w:type="pct"/>
            <w:shd w:val="clear" w:color="auto" w:fill="auto"/>
            <w:vAlign w:val="center"/>
          </w:tcPr>
          <w:p w14:paraId="3064D03C" w14:textId="77777777" w:rsidR="00C71CAA" w:rsidRPr="001570EA" w:rsidRDefault="00C71CAA">
            <w:pPr>
              <w:pStyle w:val="TableCell"/>
              <w:spacing w:before="60" w:after="60"/>
              <w:jc w:val="center"/>
              <w:rPr>
                <w:rFonts w:cs="Arial"/>
                <w:szCs w:val="18"/>
              </w:rPr>
            </w:pPr>
            <w:r w:rsidRPr="001570EA">
              <w:rPr>
                <w:rFonts w:cs="Arial"/>
                <w:szCs w:val="18"/>
              </w:rPr>
              <w:t>9</w:t>
            </w:r>
          </w:p>
        </w:tc>
      </w:tr>
      <w:tr w:rsidR="00C71CAA" w:rsidRPr="001570EA" w14:paraId="20D6B853" w14:textId="77777777">
        <w:trPr>
          <w:trHeight w:val="77"/>
        </w:trPr>
        <w:tc>
          <w:tcPr>
            <w:tcW w:w="2097" w:type="pct"/>
            <w:shd w:val="clear" w:color="auto" w:fill="auto"/>
          </w:tcPr>
          <w:p w14:paraId="4B56F9AA" w14:textId="6DD67E4B" w:rsidR="00C71CAA" w:rsidRPr="001570EA" w:rsidRDefault="00C71CAA">
            <w:pPr>
              <w:pStyle w:val="TableCell"/>
              <w:spacing w:before="60" w:after="60"/>
              <w:rPr>
                <w:rFonts w:cs="Arial"/>
                <w:i/>
                <w:szCs w:val="18"/>
              </w:rPr>
            </w:pPr>
            <w:r w:rsidRPr="001570EA">
              <w:rPr>
                <w:rFonts w:ascii="Cambria Math" w:hAnsi="Cambria Math" w:cs="Arial"/>
                <w:i/>
                <w:szCs w:val="18"/>
              </w:rPr>
              <w:t>ETDFw</w:t>
            </w:r>
            <w:r w:rsidRPr="001570EA">
              <w:rPr>
                <w:rFonts w:cs="Arial"/>
                <w:szCs w:val="18"/>
              </w:rPr>
              <w:t>, Energy To Demand Factor (winter, defined above)</w:t>
            </w:r>
          </w:p>
        </w:tc>
        <w:tc>
          <w:tcPr>
            <w:tcW w:w="740" w:type="pct"/>
            <w:shd w:val="clear" w:color="auto" w:fill="auto"/>
            <w:vAlign w:val="center"/>
          </w:tcPr>
          <w:p w14:paraId="62B4CC31" w14:textId="77777777" w:rsidR="00C71CAA" w:rsidRPr="001570EA" w:rsidRDefault="003B5E04">
            <w:pPr>
              <w:pStyle w:val="TableCell"/>
              <w:spacing w:before="60" w:after="60"/>
              <w:jc w:val="center"/>
              <w:rPr>
                <w:rFonts w:cs="Arial"/>
                <w:b/>
                <w:bCs/>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419" w:type="pct"/>
            <w:shd w:val="clear" w:color="auto" w:fill="auto"/>
            <w:vAlign w:val="center"/>
          </w:tcPr>
          <w:p w14:paraId="4D0A610C" w14:textId="77777777" w:rsidR="00C71CAA" w:rsidRPr="001570EA" w:rsidRDefault="00C71CAA">
            <w:pPr>
              <w:pStyle w:val="TableCell"/>
              <w:spacing w:before="60" w:after="60"/>
              <w:jc w:val="center"/>
              <w:rPr>
                <w:rFonts w:cs="Arial"/>
                <w:szCs w:val="18"/>
              </w:rPr>
            </w:pPr>
            <w:r w:rsidRPr="001570EA">
              <w:rPr>
                <w:rFonts w:cs="Arial"/>
                <w:szCs w:val="18"/>
              </w:rPr>
              <w:t>0.0001755</w:t>
            </w:r>
          </w:p>
        </w:tc>
        <w:tc>
          <w:tcPr>
            <w:tcW w:w="744" w:type="pct"/>
            <w:shd w:val="clear" w:color="auto" w:fill="auto"/>
            <w:vAlign w:val="center"/>
          </w:tcPr>
          <w:p w14:paraId="2239DCC2" w14:textId="77777777" w:rsidR="00C71CAA" w:rsidRPr="001570EA" w:rsidRDefault="00C71CAA">
            <w:pPr>
              <w:pStyle w:val="TableCell"/>
              <w:spacing w:before="60" w:after="60"/>
              <w:jc w:val="center"/>
              <w:rPr>
                <w:rFonts w:cs="Arial"/>
                <w:szCs w:val="18"/>
              </w:rPr>
            </w:pPr>
            <w:r w:rsidRPr="001570EA">
              <w:rPr>
                <w:rFonts w:cs="Arial"/>
                <w:szCs w:val="18"/>
              </w:rPr>
              <w:t>9</w:t>
            </w:r>
          </w:p>
        </w:tc>
      </w:tr>
    </w:tbl>
    <w:p w14:paraId="686A0451" w14:textId="77777777" w:rsidR="00C71CAA" w:rsidRPr="001570EA" w:rsidRDefault="00C71CAA" w:rsidP="00C71CAA"/>
    <w:p w14:paraId="46349229" w14:textId="77777777" w:rsidR="00C71CAA" w:rsidRPr="001570EA" w:rsidRDefault="00C71CAA" w:rsidP="00C71CAA">
      <w:pPr>
        <w:pStyle w:val="SubStyle"/>
      </w:pPr>
      <w:r w:rsidRPr="001570EA">
        <w:t>Default Savings</w:t>
      </w:r>
    </w:p>
    <w:p w14:paraId="69D7F699" w14:textId="77777777" w:rsidR="00C71CAA" w:rsidRPr="001570EA" w:rsidRDefault="00C71CAA" w:rsidP="00C71CAA">
      <w:pPr>
        <w:pStyle w:val="BodyText"/>
        <w:spacing w:after="120"/>
        <w:ind w:right="0"/>
      </w:pPr>
      <w:r w:rsidRPr="001570EA">
        <w:t>The energy savings and demand reductions are prescriptive according to the above formula.</w:t>
      </w:r>
    </w:p>
    <w:p w14:paraId="1D1C4545" w14:textId="0C021A5E" w:rsidR="00C71CAA" w:rsidRPr="001570EA" w:rsidRDefault="00C71CAA" w:rsidP="00C71CAA">
      <w:pPr>
        <w:pStyle w:val="Caption"/>
      </w:pPr>
      <w:bookmarkStart w:id="514" w:name="_Toc12609576"/>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79</w:t>
      </w:r>
      <w:r w:rsidR="002E093A" w:rsidRPr="001570EA">
        <w:fldChar w:fldCharType="end"/>
      </w:r>
      <w:r w:rsidRPr="001570EA">
        <w:t>: Default Energy Savings and Demand Reductions</w:t>
      </w:r>
      <w:bookmarkEnd w:id="514"/>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0"/>
        <w:gridCol w:w="1607"/>
        <w:gridCol w:w="1890"/>
        <w:gridCol w:w="2160"/>
      </w:tblGrid>
      <w:tr w:rsidR="00C71CAA" w:rsidRPr="001570EA" w14:paraId="0912FD3B" w14:textId="77777777">
        <w:trPr>
          <w:trHeight w:val="288"/>
        </w:trPr>
        <w:tc>
          <w:tcPr>
            <w:tcW w:w="2870" w:type="dxa"/>
            <w:shd w:val="clear" w:color="auto" w:fill="BFBFBF" w:themeFill="background1" w:themeFillShade="BF"/>
            <w:noWrap/>
            <w:vAlign w:val="bottom"/>
          </w:tcPr>
          <w:p w14:paraId="609A1AF1" w14:textId="77777777" w:rsidR="00C71CAA" w:rsidRPr="001570EA" w:rsidRDefault="00C71CAA">
            <w:pPr>
              <w:pStyle w:val="TableCell"/>
              <w:spacing w:before="60" w:after="60"/>
              <w:jc w:val="center"/>
              <w:rPr>
                <w:rFonts w:cs="Arial"/>
                <w:b/>
                <w:szCs w:val="18"/>
              </w:rPr>
            </w:pPr>
            <w:r w:rsidRPr="001570EA">
              <w:rPr>
                <w:rFonts w:cs="Arial"/>
                <w:b/>
                <w:szCs w:val="18"/>
              </w:rPr>
              <w:t>Type</w:t>
            </w:r>
          </w:p>
        </w:tc>
        <w:tc>
          <w:tcPr>
            <w:tcW w:w="1607" w:type="dxa"/>
            <w:shd w:val="clear" w:color="auto" w:fill="BFBFBF" w:themeFill="background1" w:themeFillShade="BF"/>
            <w:noWrap/>
            <w:vAlign w:val="bottom"/>
          </w:tcPr>
          <w:p w14:paraId="13087635" w14:textId="77777777" w:rsidR="00C71CAA" w:rsidRPr="001570EA" w:rsidRDefault="00C71CAA">
            <w:pPr>
              <w:pStyle w:val="TableCell"/>
              <w:spacing w:before="60" w:after="60"/>
              <w:jc w:val="center"/>
              <w:rPr>
                <w:rFonts w:cs="Arial"/>
                <w:b/>
                <w:szCs w:val="18"/>
              </w:rPr>
            </w:pPr>
            <w:r w:rsidRPr="001570EA">
              <w:rPr>
                <w:rFonts w:cs="Arial"/>
                <w:b/>
                <w:bCs/>
                <w:color w:val="000000"/>
                <w:szCs w:val="18"/>
              </w:rPr>
              <w:t>ΔkWh</w:t>
            </w:r>
          </w:p>
        </w:tc>
        <w:tc>
          <w:tcPr>
            <w:tcW w:w="1890" w:type="dxa"/>
            <w:shd w:val="clear" w:color="auto" w:fill="BFBFBF" w:themeFill="background1" w:themeFillShade="BF"/>
            <w:vAlign w:val="bottom"/>
          </w:tcPr>
          <w:p w14:paraId="46AB7CE3" w14:textId="77777777" w:rsidR="00C71CAA" w:rsidRPr="001570EA" w:rsidRDefault="00C71CAA">
            <w:pPr>
              <w:pStyle w:val="TableCell"/>
              <w:spacing w:before="60" w:after="60"/>
              <w:jc w:val="center"/>
              <w:rPr>
                <w:rFonts w:cs="Arial"/>
                <w:b/>
                <w:szCs w:val="18"/>
              </w:rPr>
            </w:pPr>
            <w:r w:rsidRPr="001570EA">
              <w:rPr>
                <w:rFonts w:cs="Arial"/>
                <w:b/>
                <w:bCs/>
                <w:color w:val="000000"/>
                <w:szCs w:val="18"/>
              </w:rPr>
              <w:t>ΔkW</w:t>
            </w:r>
            <w:r w:rsidRPr="001570EA">
              <w:rPr>
                <w:rFonts w:cs="Arial"/>
                <w:b/>
                <w:bCs/>
                <w:color w:val="000000"/>
                <w:szCs w:val="18"/>
                <w:vertAlign w:val="subscript"/>
              </w:rPr>
              <w:t>summer peak</w:t>
            </w:r>
          </w:p>
        </w:tc>
        <w:tc>
          <w:tcPr>
            <w:tcW w:w="2160" w:type="dxa"/>
            <w:shd w:val="clear" w:color="auto" w:fill="BFBFBF" w:themeFill="background1" w:themeFillShade="BF"/>
            <w:noWrap/>
            <w:vAlign w:val="bottom"/>
          </w:tcPr>
          <w:p w14:paraId="3BE2DBB2" w14:textId="77777777" w:rsidR="00C71CAA" w:rsidRPr="001570EA" w:rsidRDefault="00C71CAA">
            <w:pPr>
              <w:pStyle w:val="TableCell"/>
              <w:spacing w:before="60" w:after="60"/>
              <w:jc w:val="center"/>
              <w:rPr>
                <w:rFonts w:cs="Arial"/>
                <w:b/>
                <w:szCs w:val="18"/>
              </w:rPr>
            </w:pPr>
            <w:r w:rsidRPr="001570EA">
              <w:rPr>
                <w:rFonts w:cs="Arial"/>
                <w:b/>
                <w:bCs/>
                <w:color w:val="000000"/>
                <w:szCs w:val="18"/>
              </w:rPr>
              <w:t>ΔkW</w:t>
            </w:r>
            <w:r w:rsidRPr="001570EA">
              <w:rPr>
                <w:rFonts w:cs="Arial"/>
                <w:b/>
                <w:bCs/>
                <w:color w:val="000000"/>
                <w:szCs w:val="18"/>
                <w:vertAlign w:val="subscript"/>
              </w:rPr>
              <w:t>winter peak</w:t>
            </w:r>
          </w:p>
        </w:tc>
      </w:tr>
      <w:tr w:rsidR="00C71CAA" w:rsidRPr="001570EA" w14:paraId="0512EBBF" w14:textId="77777777">
        <w:trPr>
          <w:trHeight w:val="290"/>
        </w:trPr>
        <w:tc>
          <w:tcPr>
            <w:tcW w:w="2870" w:type="dxa"/>
            <w:shd w:val="clear" w:color="auto" w:fill="auto"/>
            <w:noWrap/>
            <w:vAlign w:val="center"/>
          </w:tcPr>
          <w:p w14:paraId="38897170" w14:textId="77777777" w:rsidR="00C71CAA" w:rsidRPr="001570EA" w:rsidRDefault="00C71CAA">
            <w:pPr>
              <w:pStyle w:val="TableCell"/>
              <w:spacing w:before="0" w:after="0"/>
              <w:jc w:val="left"/>
              <w:rPr>
                <w:rFonts w:cs="Arial"/>
                <w:b/>
                <w:szCs w:val="18"/>
              </w:rPr>
            </w:pPr>
            <w:r w:rsidRPr="001570EA">
              <w:rPr>
                <w:szCs w:val="18"/>
              </w:rPr>
              <w:t>Electric Storage</w:t>
            </w:r>
          </w:p>
        </w:tc>
        <w:tc>
          <w:tcPr>
            <w:tcW w:w="1607" w:type="dxa"/>
            <w:shd w:val="clear" w:color="auto" w:fill="auto"/>
            <w:noWrap/>
            <w:vAlign w:val="center"/>
          </w:tcPr>
          <w:p w14:paraId="0BD1A796" w14:textId="77777777" w:rsidR="00C71CAA" w:rsidRPr="001570EA" w:rsidRDefault="00C71CAA">
            <w:pPr>
              <w:pStyle w:val="TableCell"/>
              <w:spacing w:before="0" w:after="0"/>
              <w:jc w:val="center"/>
              <w:rPr>
                <w:rFonts w:cs="Arial"/>
                <w:b/>
                <w:szCs w:val="18"/>
              </w:rPr>
            </w:pPr>
            <w:r w:rsidRPr="001570EA">
              <w:rPr>
                <w:szCs w:val="18"/>
              </w:rPr>
              <w:t>29.46</w:t>
            </w:r>
          </w:p>
        </w:tc>
        <w:tc>
          <w:tcPr>
            <w:tcW w:w="1890" w:type="dxa"/>
            <w:vAlign w:val="center"/>
          </w:tcPr>
          <w:p w14:paraId="0516ED6D" w14:textId="77777777" w:rsidR="00C71CAA" w:rsidRPr="001570EA" w:rsidRDefault="00C71CAA">
            <w:pPr>
              <w:pStyle w:val="TableCell"/>
              <w:spacing w:before="0" w:after="0"/>
              <w:jc w:val="center"/>
              <w:rPr>
                <w:szCs w:val="18"/>
              </w:rPr>
            </w:pPr>
            <w:r w:rsidRPr="001570EA">
              <w:rPr>
                <w:szCs w:val="18"/>
              </w:rPr>
              <w:t>0.00308</w:t>
            </w:r>
          </w:p>
        </w:tc>
        <w:tc>
          <w:tcPr>
            <w:tcW w:w="2160" w:type="dxa"/>
            <w:shd w:val="clear" w:color="auto" w:fill="auto"/>
            <w:noWrap/>
            <w:vAlign w:val="center"/>
          </w:tcPr>
          <w:p w14:paraId="5B9F3075" w14:textId="77777777" w:rsidR="00C71CAA" w:rsidRPr="001570EA" w:rsidRDefault="00C71CAA">
            <w:pPr>
              <w:pStyle w:val="TableCell"/>
              <w:spacing w:before="0" w:after="0"/>
              <w:jc w:val="center"/>
              <w:rPr>
                <w:szCs w:val="18"/>
              </w:rPr>
            </w:pPr>
            <w:r w:rsidRPr="001570EA">
              <w:rPr>
                <w:szCs w:val="18"/>
              </w:rPr>
              <w:t>0.00517</w:t>
            </w:r>
          </w:p>
        </w:tc>
      </w:tr>
      <w:tr w:rsidR="00C71CAA" w:rsidRPr="001570EA" w14:paraId="117BE9C3" w14:textId="77777777">
        <w:trPr>
          <w:trHeight w:val="299"/>
        </w:trPr>
        <w:tc>
          <w:tcPr>
            <w:tcW w:w="2870" w:type="dxa"/>
            <w:noWrap/>
            <w:vAlign w:val="center"/>
            <w:hideMark/>
          </w:tcPr>
          <w:p w14:paraId="41EABFCD" w14:textId="77777777" w:rsidR="00C71CAA" w:rsidRPr="001570EA" w:rsidRDefault="00C71CAA">
            <w:pPr>
              <w:jc w:val="left"/>
              <w:rPr>
                <w:rFonts w:cs="Arial"/>
                <w:sz w:val="18"/>
                <w:szCs w:val="18"/>
              </w:rPr>
            </w:pPr>
            <w:r w:rsidRPr="001570EA">
              <w:rPr>
                <w:rFonts w:cs="Arial"/>
                <w:sz w:val="18"/>
                <w:szCs w:val="18"/>
              </w:rPr>
              <w:t>Electric Storage w/ Clothes Washer</w:t>
            </w:r>
          </w:p>
        </w:tc>
        <w:tc>
          <w:tcPr>
            <w:tcW w:w="1607" w:type="dxa"/>
            <w:noWrap/>
            <w:vAlign w:val="center"/>
          </w:tcPr>
          <w:p w14:paraId="65CCE4E7" w14:textId="77777777" w:rsidR="00C71CAA" w:rsidRPr="001570EA" w:rsidRDefault="00C71CAA">
            <w:pPr>
              <w:jc w:val="center"/>
              <w:rPr>
                <w:rFonts w:cs="Arial"/>
                <w:sz w:val="18"/>
                <w:szCs w:val="18"/>
              </w:rPr>
            </w:pPr>
            <w:r w:rsidRPr="001570EA">
              <w:rPr>
                <w:sz w:val="18"/>
                <w:szCs w:val="18"/>
              </w:rPr>
              <w:t>47.65</w:t>
            </w:r>
          </w:p>
        </w:tc>
        <w:tc>
          <w:tcPr>
            <w:tcW w:w="1890" w:type="dxa"/>
            <w:vAlign w:val="center"/>
          </w:tcPr>
          <w:p w14:paraId="00764C10" w14:textId="77777777" w:rsidR="00C71CAA" w:rsidRPr="001570EA" w:rsidRDefault="00C71CAA">
            <w:pPr>
              <w:pStyle w:val="TableCell"/>
              <w:spacing w:before="0" w:after="0"/>
              <w:jc w:val="center"/>
              <w:rPr>
                <w:szCs w:val="18"/>
              </w:rPr>
            </w:pPr>
            <w:r w:rsidRPr="001570EA">
              <w:rPr>
                <w:szCs w:val="18"/>
              </w:rPr>
              <w:t>0.00498</w:t>
            </w:r>
          </w:p>
        </w:tc>
        <w:tc>
          <w:tcPr>
            <w:tcW w:w="2160" w:type="dxa"/>
            <w:noWrap/>
            <w:vAlign w:val="center"/>
          </w:tcPr>
          <w:p w14:paraId="5550A2A1" w14:textId="77777777" w:rsidR="00C71CAA" w:rsidRPr="001570EA" w:rsidRDefault="00C71CAA">
            <w:pPr>
              <w:pStyle w:val="TableCell"/>
              <w:spacing w:before="0" w:after="0"/>
              <w:jc w:val="center"/>
              <w:rPr>
                <w:szCs w:val="18"/>
              </w:rPr>
            </w:pPr>
            <w:r w:rsidRPr="001570EA">
              <w:rPr>
                <w:szCs w:val="18"/>
              </w:rPr>
              <w:t>0.00836</w:t>
            </w:r>
          </w:p>
        </w:tc>
      </w:tr>
      <w:tr w:rsidR="00C71CAA" w:rsidRPr="001570EA" w14:paraId="7A64AD9E" w14:textId="77777777">
        <w:trPr>
          <w:trHeight w:val="299"/>
        </w:trPr>
        <w:tc>
          <w:tcPr>
            <w:tcW w:w="2870" w:type="dxa"/>
            <w:noWrap/>
            <w:vAlign w:val="center"/>
          </w:tcPr>
          <w:p w14:paraId="59C392AA" w14:textId="77777777" w:rsidR="00C71CAA" w:rsidRPr="001570EA" w:rsidRDefault="00C71CAA">
            <w:pPr>
              <w:jc w:val="left"/>
              <w:rPr>
                <w:rFonts w:cs="Arial"/>
                <w:sz w:val="18"/>
                <w:szCs w:val="18"/>
              </w:rPr>
            </w:pPr>
            <w:r w:rsidRPr="001570EA">
              <w:rPr>
                <w:sz w:val="18"/>
                <w:szCs w:val="18"/>
              </w:rPr>
              <w:t>HPWH</w:t>
            </w:r>
          </w:p>
        </w:tc>
        <w:tc>
          <w:tcPr>
            <w:tcW w:w="1607" w:type="dxa"/>
            <w:noWrap/>
            <w:vAlign w:val="center"/>
          </w:tcPr>
          <w:p w14:paraId="3EDE5FC5" w14:textId="77777777" w:rsidR="00C71CAA" w:rsidRPr="001570EA" w:rsidRDefault="00C71CAA">
            <w:pPr>
              <w:jc w:val="center"/>
              <w:rPr>
                <w:sz w:val="18"/>
                <w:szCs w:val="18"/>
              </w:rPr>
            </w:pPr>
            <w:r w:rsidRPr="001570EA">
              <w:rPr>
                <w:sz w:val="18"/>
                <w:szCs w:val="18"/>
              </w:rPr>
              <w:t>9.28</w:t>
            </w:r>
          </w:p>
        </w:tc>
        <w:tc>
          <w:tcPr>
            <w:tcW w:w="1890" w:type="dxa"/>
            <w:vAlign w:val="center"/>
          </w:tcPr>
          <w:p w14:paraId="740CE480" w14:textId="77777777" w:rsidR="00C71CAA" w:rsidRPr="001570EA" w:rsidRDefault="00C71CAA">
            <w:pPr>
              <w:jc w:val="center"/>
              <w:rPr>
                <w:szCs w:val="18"/>
              </w:rPr>
            </w:pPr>
            <w:r w:rsidRPr="001570EA">
              <w:rPr>
                <w:sz w:val="18"/>
                <w:szCs w:val="18"/>
              </w:rPr>
              <w:t>0.00097</w:t>
            </w:r>
          </w:p>
        </w:tc>
        <w:tc>
          <w:tcPr>
            <w:tcW w:w="2160" w:type="dxa"/>
            <w:noWrap/>
            <w:vAlign w:val="center"/>
          </w:tcPr>
          <w:p w14:paraId="2DA6FDD5" w14:textId="77777777" w:rsidR="00C71CAA" w:rsidRPr="001570EA" w:rsidRDefault="00C71CAA">
            <w:pPr>
              <w:jc w:val="center"/>
              <w:rPr>
                <w:szCs w:val="18"/>
              </w:rPr>
            </w:pPr>
            <w:r w:rsidRPr="001570EA">
              <w:rPr>
                <w:sz w:val="18"/>
                <w:szCs w:val="18"/>
              </w:rPr>
              <w:t>0.00163</w:t>
            </w:r>
          </w:p>
        </w:tc>
      </w:tr>
      <w:tr w:rsidR="00C71CAA" w:rsidRPr="001570EA" w14:paraId="01F8E802" w14:textId="77777777">
        <w:trPr>
          <w:trHeight w:val="299"/>
        </w:trPr>
        <w:tc>
          <w:tcPr>
            <w:tcW w:w="2870" w:type="dxa"/>
            <w:noWrap/>
            <w:vAlign w:val="center"/>
          </w:tcPr>
          <w:p w14:paraId="03656D0E" w14:textId="77777777" w:rsidR="00C71CAA" w:rsidRPr="001570EA" w:rsidRDefault="00C71CAA">
            <w:pPr>
              <w:jc w:val="left"/>
              <w:rPr>
                <w:rFonts w:cs="Arial"/>
                <w:sz w:val="18"/>
                <w:szCs w:val="18"/>
              </w:rPr>
            </w:pPr>
            <w:r w:rsidRPr="001570EA">
              <w:rPr>
                <w:sz w:val="18"/>
                <w:szCs w:val="18"/>
              </w:rPr>
              <w:t>HPWH w/ Clothes Washer</w:t>
            </w:r>
          </w:p>
        </w:tc>
        <w:tc>
          <w:tcPr>
            <w:tcW w:w="1607" w:type="dxa"/>
            <w:noWrap/>
            <w:vAlign w:val="center"/>
          </w:tcPr>
          <w:p w14:paraId="65155FDD" w14:textId="77777777" w:rsidR="00C71CAA" w:rsidRPr="001570EA" w:rsidRDefault="00C71CAA">
            <w:pPr>
              <w:jc w:val="center"/>
              <w:rPr>
                <w:sz w:val="18"/>
                <w:szCs w:val="18"/>
              </w:rPr>
            </w:pPr>
            <w:r w:rsidRPr="001570EA">
              <w:rPr>
                <w:sz w:val="18"/>
                <w:szCs w:val="18"/>
              </w:rPr>
              <w:t>23.90</w:t>
            </w:r>
          </w:p>
        </w:tc>
        <w:tc>
          <w:tcPr>
            <w:tcW w:w="1890" w:type="dxa"/>
            <w:vAlign w:val="center"/>
          </w:tcPr>
          <w:p w14:paraId="000BA0D1" w14:textId="77777777" w:rsidR="00C71CAA" w:rsidRPr="001570EA" w:rsidRDefault="00C71CAA">
            <w:pPr>
              <w:jc w:val="center"/>
              <w:rPr>
                <w:szCs w:val="18"/>
              </w:rPr>
            </w:pPr>
            <w:r w:rsidRPr="001570EA">
              <w:rPr>
                <w:sz w:val="18"/>
                <w:szCs w:val="18"/>
              </w:rPr>
              <w:t>0.00250</w:t>
            </w:r>
          </w:p>
        </w:tc>
        <w:tc>
          <w:tcPr>
            <w:tcW w:w="2160" w:type="dxa"/>
            <w:noWrap/>
            <w:vAlign w:val="center"/>
          </w:tcPr>
          <w:p w14:paraId="59252B3F" w14:textId="77777777" w:rsidR="00C71CAA" w:rsidRPr="001570EA" w:rsidRDefault="00C71CAA">
            <w:pPr>
              <w:jc w:val="center"/>
              <w:rPr>
                <w:szCs w:val="18"/>
              </w:rPr>
            </w:pPr>
            <w:r w:rsidRPr="001570EA">
              <w:rPr>
                <w:sz w:val="18"/>
                <w:szCs w:val="18"/>
              </w:rPr>
              <w:t>0.00419</w:t>
            </w:r>
          </w:p>
        </w:tc>
      </w:tr>
    </w:tbl>
    <w:p w14:paraId="44E946DB" w14:textId="77777777" w:rsidR="00C71CAA" w:rsidRPr="001570EA" w:rsidRDefault="00C71CAA" w:rsidP="00C71CAA">
      <w:pPr>
        <w:pStyle w:val="SubStyle"/>
      </w:pPr>
    </w:p>
    <w:p w14:paraId="445006E5" w14:textId="77777777" w:rsidR="00C71CAA" w:rsidRPr="001570EA" w:rsidRDefault="00C71CAA" w:rsidP="00C71CAA">
      <w:pPr>
        <w:pStyle w:val="SubStyle"/>
      </w:pPr>
      <w:r w:rsidRPr="001570EA">
        <w:t>Sources</w:t>
      </w:r>
    </w:p>
    <w:p w14:paraId="4D2546AC" w14:textId="3DD0A6EF" w:rsidR="00C71CAA" w:rsidRPr="001570EA" w:rsidRDefault="00C71CAA" w:rsidP="002614D2">
      <w:pPr>
        <w:pStyle w:val="source10"/>
        <w:numPr>
          <w:ilvl w:val="0"/>
          <w:numId w:val="28"/>
        </w:numPr>
        <w:spacing w:after="120"/>
        <w:jc w:val="left"/>
      </w:pPr>
      <w:r w:rsidRPr="001570EA">
        <w:t xml:space="preserve">California Electronic Technical Reference Manual. “Storage Water Heater, Residential”. Accessed March 2024. </w:t>
      </w:r>
      <w:hyperlink r:id="rId207" w:history="1">
        <w:r w:rsidRPr="001570EA">
          <w:rPr>
            <w:rStyle w:val="Hyperlink"/>
            <w:rFonts w:cs="Arial"/>
          </w:rPr>
          <w:t>Weblink</w:t>
        </w:r>
      </w:hyperlink>
    </w:p>
    <w:p w14:paraId="2A151944" w14:textId="228C5F67" w:rsidR="00C71CAA" w:rsidRPr="001570EA" w:rsidRDefault="00C71CAA" w:rsidP="002614D2">
      <w:pPr>
        <w:pStyle w:val="source10"/>
        <w:numPr>
          <w:ilvl w:val="0"/>
          <w:numId w:val="28"/>
        </w:numPr>
        <w:spacing w:line="288" w:lineRule="auto"/>
        <w:jc w:val="left"/>
      </w:pPr>
      <w:r w:rsidRPr="001570EA">
        <w:t xml:space="preserve">NMR Group for the Pennsylvania Public Utility Commission. (2024, March). 2023 Pennsylvania Statewide Act 129 Residential Baseline Study. Section 8.3.5, </w:t>
      </w:r>
      <w:r w:rsidR="0027180C">
        <w:t>pa</w:t>
      </w:r>
      <w:r w:rsidR="00636B28">
        <w:t>g</w:t>
      </w:r>
      <w:r w:rsidR="0027180C">
        <w:t>e</w:t>
      </w:r>
      <w:r w:rsidR="00636B28">
        <w:t xml:space="preserve"> 128, </w:t>
      </w:r>
      <w:r w:rsidRPr="001570EA">
        <w:t xml:space="preserve">Table 110. </w:t>
      </w:r>
      <w:hyperlink r:id="rId208" w:history="1">
        <w:r w:rsidRPr="001570EA">
          <w:rPr>
            <w:rStyle w:val="Hyperlink"/>
            <w:rFonts w:cs="Arial"/>
          </w:rPr>
          <w:t>Weblink</w:t>
        </w:r>
      </w:hyperlink>
      <w:r w:rsidRPr="001570EA">
        <w:t xml:space="preserve"> </w:t>
      </w:r>
    </w:p>
    <w:p w14:paraId="067704F2" w14:textId="77777777" w:rsidR="00C71CAA" w:rsidRPr="001570EA" w:rsidRDefault="00C71CAA" w:rsidP="002614D2">
      <w:pPr>
        <w:pStyle w:val="source10"/>
        <w:numPr>
          <w:ilvl w:val="0"/>
          <w:numId w:val="28"/>
        </w:numPr>
        <w:spacing w:line="288" w:lineRule="auto"/>
        <w:jc w:val="left"/>
      </w:pPr>
      <w:r w:rsidRPr="001570EA">
        <w:t>Conservative estimate of R-12</w:t>
      </w:r>
    </w:p>
    <w:p w14:paraId="1F057715" w14:textId="31EBFFF9" w:rsidR="00C71CAA" w:rsidRPr="001570EA" w:rsidRDefault="00C71CAA" w:rsidP="002614D2">
      <w:pPr>
        <w:pStyle w:val="source10"/>
        <w:numPr>
          <w:ilvl w:val="0"/>
          <w:numId w:val="28"/>
        </w:numPr>
        <w:spacing w:line="288" w:lineRule="auto"/>
        <w:jc w:val="left"/>
      </w:pPr>
      <w:r w:rsidRPr="001570EA">
        <w:t xml:space="preserve">AHRI Directory. All electric storage water heaters have a recovery efficiency of .98. </w:t>
      </w:r>
      <w:r w:rsidRPr="001570EA">
        <w:br/>
      </w:r>
      <w:hyperlink r:id="rId209" w:history="1">
        <w:r w:rsidRPr="001570EA">
          <w:rPr>
            <w:rStyle w:val="Hyperlink"/>
            <w:iCs/>
          </w:rPr>
          <w:t>Weblink</w:t>
        </w:r>
      </w:hyperlink>
    </w:p>
    <w:p w14:paraId="2FB618D4" w14:textId="7E34A5D1" w:rsidR="00C71CAA" w:rsidRPr="001570EA" w:rsidDel="00A75DAB" w:rsidRDefault="00C71CAA" w:rsidP="002614D2">
      <w:pPr>
        <w:pStyle w:val="source10"/>
        <w:numPr>
          <w:ilvl w:val="0"/>
          <w:numId w:val="28"/>
        </w:numPr>
        <w:spacing w:after="120"/>
      </w:pPr>
      <w:r w:rsidRPr="001570EA">
        <w:t xml:space="preserve">If HPWH UEF is known but COP of HPWH compressor is unknown, assume compressor efficiency is UEF/0.9. This yields a default COP of 3.11. Maryland EmPOWER Technical Reference Manual. (2023, version 11.0). “Water Heater Temperature Setback”.  </w:t>
      </w:r>
    </w:p>
    <w:p w14:paraId="77E33954" w14:textId="1A4A2EBF" w:rsidR="00C71CAA" w:rsidRPr="001570EA" w:rsidRDefault="00C71CAA" w:rsidP="002614D2">
      <w:pPr>
        <w:pStyle w:val="source10"/>
        <w:numPr>
          <w:ilvl w:val="0"/>
          <w:numId w:val="28"/>
        </w:numPr>
        <w:spacing w:line="288" w:lineRule="auto"/>
        <w:jc w:val="left"/>
        <w:rPr>
          <w:rStyle w:val="Hyperlink"/>
          <w:rFonts w:cs="Arial"/>
        </w:rPr>
      </w:pPr>
      <w:r w:rsidRPr="001570EA">
        <w:t xml:space="preserve">ENERGY STAR. Clothes Washers. Accessed March 2024. </w:t>
      </w:r>
      <w:r w:rsidRPr="001570EA">
        <w:fldChar w:fldCharType="begin"/>
      </w:r>
      <w:r w:rsidRPr="001570EA">
        <w:instrText>HYPERLINK "https://www.energystar.gov/products/clothes_washers"</w:instrText>
      </w:r>
      <w:r w:rsidRPr="001570EA">
        <w:fldChar w:fldCharType="separate"/>
      </w:r>
      <w:r w:rsidRPr="001570EA">
        <w:rPr>
          <w:rStyle w:val="Hyperlink"/>
          <w:rFonts w:cs="Arial"/>
        </w:rPr>
        <w:t>Weblink</w:t>
      </w:r>
    </w:p>
    <w:p w14:paraId="631B542F" w14:textId="5548FB30" w:rsidR="00C71CAA" w:rsidRPr="001570EA" w:rsidRDefault="00C71CAA" w:rsidP="002614D2">
      <w:pPr>
        <w:pStyle w:val="ListParagraph"/>
        <w:numPr>
          <w:ilvl w:val="0"/>
          <w:numId w:val="28"/>
        </w:numPr>
        <w:rPr>
          <w:rStyle w:val="Hyperlink"/>
          <w:rFonts w:cs="Arial"/>
          <w:color w:val="auto"/>
          <w:u w:val="none"/>
        </w:rPr>
      </w:pPr>
      <w:r w:rsidRPr="001570EA">
        <w:fldChar w:fldCharType="end"/>
      </w:r>
      <w:r w:rsidRPr="001570EA">
        <w:rPr>
          <w:rFonts w:cs="Arial"/>
        </w:rPr>
        <w:t xml:space="preserve">U.S. Energy Information Administration. (2023). 2020 Residential Energy Consumption Survey. </w:t>
      </w:r>
      <w:hyperlink r:id="rId210" w:history="1">
        <w:r w:rsidRPr="001570EA">
          <w:rPr>
            <w:rStyle w:val="Hyperlink"/>
            <w:rFonts w:cs="Arial"/>
          </w:rPr>
          <w:t>Weblink</w:t>
        </w:r>
      </w:hyperlink>
      <w:r w:rsidRPr="001570EA">
        <w:rPr>
          <w:rFonts w:cs="Arial"/>
        </w:rPr>
        <w:t>. Calculated using “Frequency of clothes washer use” and “Frequency of dryer use” data for Pennsylvania.</w:t>
      </w:r>
    </w:p>
    <w:p w14:paraId="2A7974E7" w14:textId="44CA33FE" w:rsidR="00C71CAA" w:rsidRPr="001570EA" w:rsidRDefault="00C71CAA" w:rsidP="002614D2">
      <w:pPr>
        <w:pStyle w:val="source10"/>
        <w:numPr>
          <w:ilvl w:val="0"/>
          <w:numId w:val="28"/>
        </w:numPr>
        <w:spacing w:line="288" w:lineRule="auto"/>
        <w:jc w:val="left"/>
      </w:pPr>
      <w:r w:rsidRPr="001570EA">
        <w:t>Gunn, K., Kalensky, D., Schoenbauer, B., Haynor, A. (2018, April). “Field Study of an Intelligent, Networked, Retrofittable Water Heater Controller”. P</w:t>
      </w:r>
      <w:r w:rsidR="0027180C">
        <w:t>a</w:t>
      </w:r>
      <w:r w:rsidRPr="001570EA">
        <w:t>g</w:t>
      </w:r>
      <w:r w:rsidR="0027180C">
        <w:t>e</w:t>
      </w:r>
      <w:r w:rsidRPr="001570EA">
        <w:t xml:space="preserve"> 44. Gas Technology Institute for Minnesota Department of Commerce, Division of Energy Resources. </w:t>
      </w:r>
      <w:hyperlink r:id="rId211" w:history="1">
        <w:r w:rsidRPr="001570EA">
          <w:rPr>
            <w:rStyle w:val="Hyperlink"/>
            <w:rFonts w:cs="Arial"/>
          </w:rPr>
          <w:t>Weblink</w:t>
        </w:r>
      </w:hyperlink>
    </w:p>
    <w:p w14:paraId="108695FE" w14:textId="7552CCCF" w:rsidR="00C71CAA" w:rsidRPr="001570EA" w:rsidRDefault="00C71CAA" w:rsidP="002614D2">
      <w:pPr>
        <w:pStyle w:val="ListParagraph"/>
        <w:numPr>
          <w:ilvl w:val="0"/>
          <w:numId w:val="28"/>
        </w:numPr>
        <w:jc w:val="left"/>
      </w:pPr>
      <w:r w:rsidRPr="001570EA">
        <w:t xml:space="preserve">Wilson et al. 2021. End-Use Load Profiles for the U.S. Building Stock: Methodology and Results of Model Calibration, Validation, and Uncertainty Quantification. NREL/TP-5500-80889. </w:t>
      </w:r>
      <w:hyperlink r:id="rId212" w:history="1">
        <w:r w:rsidRPr="001570EA">
          <w:rPr>
            <w:rStyle w:val="Hyperlink"/>
            <w:rFonts w:cs="Arial"/>
          </w:rPr>
          <w:t>Weblink</w:t>
        </w:r>
      </w:hyperlink>
    </w:p>
    <w:p w14:paraId="45144917" w14:textId="77777777" w:rsidR="00521E42" w:rsidRPr="001570EA" w:rsidRDefault="00521E42" w:rsidP="00C71CAA">
      <w:pPr>
        <w:pStyle w:val="Heading2"/>
        <w:numPr>
          <w:ilvl w:val="0"/>
          <w:numId w:val="0"/>
        </w:numPr>
        <w:sectPr w:rsidR="00521E42" w:rsidRPr="001570EA" w:rsidSect="002D556C">
          <w:pgSz w:w="12240" w:h="15840"/>
          <w:pgMar w:top="1440" w:right="1800" w:bottom="1584" w:left="1800" w:header="720" w:footer="720" w:gutter="0"/>
          <w:cols w:space="720"/>
          <w:docGrid w:linePitch="360"/>
        </w:sectPr>
      </w:pPr>
    </w:p>
    <w:p w14:paraId="787E6B33" w14:textId="77777777" w:rsidR="004E6452" w:rsidRPr="001570EA" w:rsidRDefault="004E6452" w:rsidP="004E6452">
      <w:pPr>
        <w:pStyle w:val="Heading2"/>
      </w:pPr>
      <w:bookmarkStart w:id="515" w:name="_Toc48143039"/>
      <w:bookmarkStart w:id="516" w:name="_Toc164786659"/>
      <w:r w:rsidRPr="001570EA">
        <w:t>Appliances</w:t>
      </w:r>
      <w:bookmarkEnd w:id="515"/>
      <w:bookmarkEnd w:id="516"/>
    </w:p>
    <w:p w14:paraId="24E36E4D" w14:textId="77777777" w:rsidR="004E6452" w:rsidRPr="001570EA" w:rsidRDefault="004E6452" w:rsidP="004E6452">
      <w:r w:rsidRPr="001570EA">
        <w:t>If a customer submits a rebate for a product that has applied for ENERGY STAR certification but has not yet been certified, the savings will be counted for that product contingent upon its eventual certification as an ENERGY STAR measure. If at any point the product is rejected by ENERGY STAR, the product is then ineligible for the program and savings will not be counted.</w:t>
      </w:r>
      <w:r w:rsidRPr="001570EA">
        <w:rPr>
          <w:rStyle w:val="FootnoteReference"/>
        </w:rPr>
        <w:footnoteReference w:id="4"/>
      </w:r>
    </w:p>
    <w:p w14:paraId="440B53AB" w14:textId="77777777" w:rsidR="004E6452" w:rsidRPr="001570EA" w:rsidRDefault="004E6452" w:rsidP="004E6452"/>
    <w:p w14:paraId="01959CD8" w14:textId="77777777" w:rsidR="004E6452" w:rsidRPr="001570EA" w:rsidRDefault="004E6452" w:rsidP="00462D97">
      <w:pPr>
        <w:pStyle w:val="Heading3"/>
      </w:pPr>
      <w:bookmarkStart w:id="517" w:name="_Toc530141485"/>
      <w:bookmarkStart w:id="518" w:name="_Ref533691754"/>
      <w:bookmarkStart w:id="519" w:name="_Ref533691776"/>
      <w:bookmarkStart w:id="520" w:name="_Ref533691790"/>
      <w:bookmarkStart w:id="521" w:name="_Ref535240647"/>
      <w:bookmarkStart w:id="522" w:name="_Ref535242444"/>
      <w:bookmarkStart w:id="523" w:name="_Ref12544376"/>
      <w:bookmarkStart w:id="524" w:name="_Ref12544403"/>
      <w:bookmarkStart w:id="525" w:name="_Ref14093914"/>
      <w:bookmarkStart w:id="526" w:name="_Ref14093940"/>
      <w:bookmarkStart w:id="527" w:name="_Toc48143040"/>
      <w:bookmarkStart w:id="528" w:name="_Toc164786660"/>
      <w:bookmarkStart w:id="529" w:name="_Toc364420799"/>
      <w:bookmarkStart w:id="530" w:name="_Toc373320435"/>
      <w:bookmarkStart w:id="531" w:name="_Toc364760914"/>
      <w:r w:rsidRPr="001570EA">
        <w:t>ENERGY STAR Refrigerators</w:t>
      </w:r>
      <w:bookmarkEnd w:id="517"/>
      <w:bookmarkEnd w:id="518"/>
      <w:bookmarkEnd w:id="519"/>
      <w:bookmarkEnd w:id="520"/>
      <w:bookmarkEnd w:id="521"/>
      <w:bookmarkEnd w:id="522"/>
      <w:bookmarkEnd w:id="523"/>
      <w:bookmarkEnd w:id="524"/>
      <w:bookmarkEnd w:id="525"/>
      <w:bookmarkEnd w:id="526"/>
      <w:bookmarkEnd w:id="527"/>
      <w:bookmarkEnd w:id="528"/>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8"/>
        <w:gridCol w:w="4964"/>
      </w:tblGrid>
      <w:tr w:rsidR="004E6452" w:rsidRPr="001570EA" w14:paraId="413660B8"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3AEB626" w14:textId="77777777" w:rsidR="004E6452" w:rsidRPr="001570EA" w:rsidRDefault="004E6452">
            <w:pPr>
              <w:pStyle w:val="TableCell"/>
              <w:spacing w:before="60" w:after="60"/>
              <w:rPr>
                <w:b/>
                <w:bCs/>
                <w:color w:val="000000"/>
              </w:rPr>
            </w:pPr>
            <w:r w:rsidRPr="001570EA">
              <w:rPr>
                <w:b/>
                <w:bCs/>
                <w:color w:val="000000"/>
              </w:rPr>
              <w:t>Target Sector</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08ECC0A" w14:textId="77777777" w:rsidR="004E6452" w:rsidRPr="001570EA" w:rsidRDefault="004E6452">
            <w:pPr>
              <w:pStyle w:val="TableCell"/>
              <w:spacing w:before="60" w:after="60"/>
              <w:jc w:val="center"/>
              <w:rPr>
                <w:color w:val="000000"/>
              </w:rPr>
            </w:pPr>
            <w:r w:rsidRPr="001570EA">
              <w:rPr>
                <w:color w:val="000000"/>
              </w:rPr>
              <w:t>Residential</w:t>
            </w:r>
          </w:p>
        </w:tc>
      </w:tr>
      <w:tr w:rsidR="004E6452" w:rsidRPr="001570EA" w14:paraId="152C46CD"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5E293873" w14:textId="77777777" w:rsidR="004E6452" w:rsidRPr="001570EA" w:rsidRDefault="004E6452">
            <w:pPr>
              <w:pStyle w:val="TableCell"/>
              <w:spacing w:before="60" w:after="60"/>
              <w:rPr>
                <w:b/>
                <w:bCs/>
                <w:color w:val="000000"/>
              </w:rPr>
            </w:pPr>
            <w:r w:rsidRPr="001570EA">
              <w:rPr>
                <w:b/>
                <w:bCs/>
                <w:color w:val="000000"/>
              </w:rPr>
              <w:t>Measure Unit</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6E678A29" w14:textId="77777777" w:rsidR="004E6452" w:rsidRPr="001570EA" w:rsidRDefault="004E6452">
            <w:pPr>
              <w:pStyle w:val="TableCell"/>
              <w:spacing w:before="60" w:after="60"/>
              <w:jc w:val="center"/>
              <w:rPr>
                <w:color w:val="000000"/>
              </w:rPr>
            </w:pPr>
            <w:r w:rsidRPr="001570EA">
              <w:rPr>
                <w:color w:val="000000"/>
              </w:rPr>
              <w:t>Refrigerator</w:t>
            </w:r>
          </w:p>
        </w:tc>
      </w:tr>
      <w:tr w:rsidR="004E6452" w:rsidRPr="001570EA" w14:paraId="7E46502A"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5EA4DC58" w14:textId="77777777" w:rsidR="004E6452" w:rsidRPr="001570EA" w:rsidRDefault="004E6452">
            <w:pPr>
              <w:pStyle w:val="TableCell"/>
              <w:spacing w:before="60" w:after="60"/>
              <w:rPr>
                <w:b/>
                <w:bCs/>
                <w:color w:val="000000"/>
              </w:rPr>
            </w:pPr>
            <w:r w:rsidRPr="001570EA">
              <w:rPr>
                <w:b/>
                <w:bCs/>
                <w:color w:val="000000"/>
              </w:rPr>
              <w:t>Measure Life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75A60CCF" w14:textId="77777777" w:rsidR="004E6452" w:rsidRPr="001570EA" w:rsidRDefault="004E6452">
            <w:pPr>
              <w:pStyle w:val="TableCell"/>
              <w:spacing w:before="60" w:after="60"/>
              <w:jc w:val="center"/>
              <w:rPr>
                <w:color w:val="000000"/>
                <w:vertAlign w:val="superscript"/>
              </w:rPr>
            </w:pPr>
            <w:r w:rsidRPr="001570EA">
              <w:rPr>
                <w:color w:val="000000"/>
              </w:rPr>
              <w:t>14 years</w:t>
            </w:r>
            <w:r w:rsidRPr="001570EA">
              <w:rPr>
                <w:color w:val="000000"/>
                <w:vertAlign w:val="superscript"/>
              </w:rPr>
              <w:t>Source 1</w:t>
            </w:r>
          </w:p>
        </w:tc>
      </w:tr>
      <w:tr w:rsidR="004E6452" w:rsidRPr="001570EA" w14:paraId="5D43D5BC"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A7E5BE8" w14:textId="77777777" w:rsidR="004E6452" w:rsidRPr="001570EA" w:rsidRDefault="004E6452">
            <w:pPr>
              <w:pStyle w:val="TableCell"/>
              <w:spacing w:before="60" w:after="60"/>
              <w:rPr>
                <w:b/>
                <w:bCs/>
                <w:color w:val="000000"/>
              </w:rPr>
            </w:pPr>
            <w:r w:rsidRPr="001570EA">
              <w:rPr>
                <w:b/>
                <w:bCs/>
                <w:color w:val="000000"/>
              </w:rPr>
              <w:t>Vintage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C98CED7" w14:textId="77777777" w:rsidR="004E6452" w:rsidRPr="001570EA" w:rsidRDefault="004E6452">
            <w:pPr>
              <w:pStyle w:val="TableCell"/>
              <w:spacing w:before="60" w:after="60"/>
              <w:jc w:val="center"/>
              <w:rPr>
                <w:color w:val="000000"/>
              </w:rPr>
            </w:pPr>
            <w:r w:rsidRPr="001570EA">
              <w:rPr>
                <w:color w:val="000000"/>
              </w:rPr>
              <w:t>Replace on Burnout</w:t>
            </w:r>
          </w:p>
        </w:tc>
      </w:tr>
    </w:tbl>
    <w:p w14:paraId="0E6B8004" w14:textId="77777777" w:rsidR="004E6452" w:rsidRPr="001570EA" w:rsidRDefault="004E6452" w:rsidP="004E6452">
      <w:pPr>
        <w:pStyle w:val="SubStyle"/>
      </w:pPr>
    </w:p>
    <w:p w14:paraId="4D1AD073" w14:textId="77777777" w:rsidR="004E6452" w:rsidRPr="001570EA" w:rsidRDefault="004E6452" w:rsidP="004E6452">
      <w:pPr>
        <w:pStyle w:val="SubStyle"/>
      </w:pPr>
      <w:r w:rsidRPr="001570EA">
        <w:t>Eligibility</w:t>
      </w:r>
    </w:p>
    <w:p w14:paraId="18BBB20F" w14:textId="77777777" w:rsidR="004E6452" w:rsidRPr="001570EA" w:rsidRDefault="004E6452" w:rsidP="004E6452">
      <w:r w:rsidRPr="001570EA">
        <w:t>This measure is for the purchase and installation of a new refrigerator meeting ENERGY STAR or ENERGY STAR Most Efficient criteria. An ENERGY STAR refrigerator is about 10% more efficient than the minimum federal government standard. The ENERGY STAR Most Efficient is a certification that identifies the most efficient products among those that qualify for ENERGY STAR. ENERGY STAR Most Efficient refrigerators must be at least 15% more efficient than the minimum federal standard.</w:t>
      </w:r>
    </w:p>
    <w:p w14:paraId="73AA9A99" w14:textId="77777777" w:rsidR="004E6452" w:rsidRPr="001570EA" w:rsidRDefault="004E6452" w:rsidP="004E6452"/>
    <w:p w14:paraId="72F9E5C7" w14:textId="77777777" w:rsidR="004E6452" w:rsidRPr="001570EA" w:rsidRDefault="004E6452" w:rsidP="004E6452">
      <w:pPr>
        <w:pStyle w:val="SubStyle"/>
      </w:pPr>
      <w:r w:rsidRPr="001570EA">
        <w:t>Algorithms</w:t>
      </w:r>
    </w:p>
    <w:p w14:paraId="77F0E96B" w14:textId="0C44C0AA" w:rsidR="004E6452" w:rsidRPr="001570EA" w:rsidRDefault="004E6452" w:rsidP="004E6452">
      <w:pPr>
        <w:pStyle w:val="NoSpacing"/>
        <w:rPr>
          <w:rFonts w:cs="Arial"/>
          <w:szCs w:val="20"/>
        </w:rPr>
      </w:pPr>
      <w:r w:rsidRPr="001570EA">
        <w:t>To determine resource savings, the per-unit estimates in the algorithms will be multiplied by the number of refrigerators. If the volume and configuration of the refrigerator is known, the baseline model’s annual energy consumption (kWh</w:t>
      </w:r>
      <w:r w:rsidRPr="001570EA">
        <w:rPr>
          <w:vertAlign w:val="subscript"/>
        </w:rPr>
        <w:t>base</w:t>
      </w:r>
      <w:r w:rsidRPr="001570EA">
        <w:t xml:space="preserve">) may be determined using </w:t>
      </w:r>
      <w:r w:rsidRPr="001570EA">
        <w:fldChar w:fldCharType="begin"/>
      </w:r>
      <w:r w:rsidRPr="001570EA">
        <w:instrText xml:space="preserve"> REF _Ref533166067 \h </w:instrText>
      </w:r>
      <w:r w:rsidR="000329E5" w:rsidRPr="001570EA">
        <w:instrText xml:space="preserve"> \* MERGEFORMAT </w:instrText>
      </w:r>
      <w:r w:rsidRPr="001570EA">
        <w:fldChar w:fldCharType="separate"/>
      </w:r>
      <w:r w:rsidR="00234C6C" w:rsidRPr="001570EA">
        <w:t xml:space="preserve">Table </w:t>
      </w:r>
      <w:r w:rsidR="00234C6C" w:rsidRPr="001570EA">
        <w:rPr>
          <w:noProof/>
        </w:rPr>
        <w:t>2</w:t>
      </w:r>
      <w:r w:rsidRPr="001570EA">
        <w:fldChar w:fldCharType="end"/>
      </w:r>
      <w:r w:rsidR="006C71AA">
        <w:t>-81</w:t>
      </w:r>
      <w:r w:rsidRPr="001570EA">
        <w:t xml:space="preserve">. </w:t>
      </w:r>
      <w:r w:rsidRPr="001570EA">
        <w:rPr>
          <w:rFonts w:cs="Arial"/>
          <w:szCs w:val="20"/>
        </w:rPr>
        <w:t>The efficient model’s annual energy consumption (</w:t>
      </w:r>
      <w:r w:rsidRPr="001570EA">
        <w:rPr>
          <w:rFonts w:cs="Arial"/>
          <w:iCs/>
          <w:szCs w:val="20"/>
        </w:rPr>
        <w:t>kWh</w:t>
      </w:r>
      <w:r w:rsidRPr="001570EA">
        <w:rPr>
          <w:rFonts w:cs="Arial"/>
          <w:iCs/>
          <w:szCs w:val="20"/>
          <w:vertAlign w:val="subscript"/>
        </w:rPr>
        <w:t>ee</w:t>
      </w:r>
      <w:r w:rsidRPr="001570EA">
        <w:rPr>
          <w:rFonts w:cs="Arial"/>
          <w:szCs w:val="20"/>
        </w:rPr>
        <w:t xml:space="preserve"> or </w:t>
      </w:r>
      <w:r w:rsidRPr="001570EA">
        <w:rPr>
          <w:rFonts w:cs="Arial"/>
          <w:iCs/>
          <w:szCs w:val="20"/>
        </w:rPr>
        <w:t>kWh</w:t>
      </w:r>
      <w:r w:rsidRPr="001570EA">
        <w:rPr>
          <w:rFonts w:cs="Arial"/>
          <w:iCs/>
          <w:szCs w:val="20"/>
          <w:vertAlign w:val="subscript"/>
        </w:rPr>
        <w:t>me</w:t>
      </w:r>
      <w:r w:rsidRPr="001570EA">
        <w:rPr>
          <w:rFonts w:cs="Arial"/>
          <w:szCs w:val="20"/>
        </w:rPr>
        <w:t xml:space="preserve">) may be determined using manufacturers’ test data for the given model. Where test data is not available, the efficient model’s annual energy consumption may be determined using </w:t>
      </w:r>
      <w:r w:rsidR="000329E5" w:rsidRPr="001570EA">
        <w:fldChar w:fldCharType="begin"/>
      </w:r>
      <w:r w:rsidR="000329E5" w:rsidRPr="001570EA">
        <w:instrText xml:space="preserve"> REF _Ref533166067 \h  \* MERGEFORMAT </w:instrText>
      </w:r>
      <w:r w:rsidR="000329E5" w:rsidRPr="001570EA">
        <w:fldChar w:fldCharType="separate"/>
      </w:r>
      <w:r w:rsidR="00234C6C" w:rsidRPr="001570EA">
        <w:t xml:space="preserve">Table </w:t>
      </w:r>
      <w:r w:rsidR="00234C6C" w:rsidRPr="001570EA">
        <w:rPr>
          <w:noProof/>
        </w:rPr>
        <w:t>2</w:t>
      </w:r>
      <w:r w:rsidR="000329E5" w:rsidRPr="001570EA">
        <w:fldChar w:fldCharType="end"/>
      </w:r>
      <w:r w:rsidR="008D0931">
        <w:t>-81</w:t>
      </w:r>
      <w:r w:rsidRPr="001570EA">
        <w:rPr>
          <w:rFonts w:cs="Arial"/>
          <w:szCs w:val="20"/>
        </w:rPr>
        <w:t>.</w:t>
      </w:r>
    </w:p>
    <w:p w14:paraId="70379DE3" w14:textId="77777777" w:rsidR="004E6452" w:rsidRPr="001570EA" w:rsidRDefault="004E6452" w:rsidP="004E6452"/>
    <w:p w14:paraId="20B0FC96" w14:textId="77777777" w:rsidR="004E6452" w:rsidRPr="001570EA" w:rsidRDefault="004E6452" w:rsidP="004E6452">
      <w:pPr>
        <w:pStyle w:val="NoSpacing"/>
        <w:rPr>
          <w:b/>
        </w:rPr>
      </w:pPr>
      <w:r w:rsidRPr="001570EA">
        <w:rPr>
          <w:b/>
        </w:rPr>
        <w:t>ENERGY STAR Refrigerator</w:t>
      </w:r>
    </w:p>
    <w:p w14:paraId="40D6C85B" w14:textId="77777777" w:rsidR="004E6452" w:rsidRPr="001570EA" w:rsidRDefault="004E6452" w:rsidP="004E6452">
      <w:pPr>
        <w:pStyle w:val="NoSpacing"/>
        <w:spacing w:line="360" w:lineRule="auto"/>
        <w:rPr>
          <w:rFonts w:eastAsiaTheme="minorEastAsia" w:cs="Arial"/>
          <w:i/>
          <w:szCs w:val="20"/>
        </w:rPr>
      </w:pPr>
      <w:r w:rsidRPr="001570EA">
        <w:rPr>
          <w:rFonts w:cs="Arial"/>
          <w:i/>
          <w:szCs w:val="20"/>
        </w:rPr>
        <w:t>ΔkWh</w:t>
      </w:r>
      <w:r w:rsidRPr="001570EA">
        <w:rPr>
          <w:rFonts w:cs="Arial"/>
          <w:i/>
          <w:szCs w:val="20"/>
        </w:rPr>
        <w:tab/>
      </w:r>
      <w:r w:rsidRPr="001570EA">
        <w:rPr>
          <w:rFonts w:cs="Arial"/>
          <w:i/>
          <w:szCs w:val="20"/>
        </w:rPr>
        <w:tab/>
      </w:r>
      <m:oMath>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kWh</m:t>
            </m:r>
            <m:r>
              <w:rPr>
                <w:rFonts w:ascii="Cambria Math" w:hAnsi="Cambria Math" w:cs="Arial"/>
                <w:szCs w:val="20"/>
                <w:vertAlign w:val="subscript"/>
              </w:rPr>
              <m:t xml:space="preserve"> </m:t>
            </m:r>
          </m:e>
          <m:sub>
            <m:r>
              <w:rPr>
                <w:rFonts w:ascii="Cambria Math" w:hAnsi="Cambria Math" w:cs="Arial"/>
                <w:szCs w:val="20"/>
              </w:rPr>
              <m:t>base</m:t>
            </m:r>
          </m:sub>
        </m:sSub>
        <m:r>
          <w:rPr>
            <w:rFonts w:ascii="Cambria Math" w:hAnsi="Cambria Math" w:cs="Arial"/>
            <w:szCs w:val="20"/>
            <w:vertAlign w:val="subscript"/>
          </w:rPr>
          <m:t xml:space="preserve"> </m:t>
        </m:r>
        <m:r>
          <w:rPr>
            <w:rFonts w:ascii="Cambria Math" w:hAnsi="Cambria Math" w:cs="Arial"/>
            <w:szCs w:val="20"/>
          </w:rPr>
          <m:t xml:space="preserve">–  </m:t>
        </m:r>
        <m:sSub>
          <m:sSubPr>
            <m:ctrlPr>
              <w:rPr>
                <w:rFonts w:ascii="Cambria Math" w:hAnsi="Cambria Math" w:cs="Arial"/>
                <w:i/>
                <w:szCs w:val="20"/>
              </w:rPr>
            </m:ctrlPr>
          </m:sSubPr>
          <m:e>
            <m:r>
              <w:rPr>
                <w:rFonts w:ascii="Cambria Math" w:hAnsi="Cambria Math" w:cs="Arial"/>
                <w:szCs w:val="20"/>
              </w:rPr>
              <m:t>kWh</m:t>
            </m:r>
          </m:e>
          <m:sub>
            <m:r>
              <w:rPr>
                <w:rFonts w:ascii="Cambria Math" w:hAnsi="Cambria Math" w:cs="Arial"/>
                <w:szCs w:val="20"/>
              </w:rPr>
              <m:t>ee</m:t>
            </m:r>
          </m:sub>
        </m:sSub>
      </m:oMath>
    </w:p>
    <w:p w14:paraId="0AD117F0" w14:textId="77777777" w:rsidR="004E6452" w:rsidRPr="001570EA" w:rsidRDefault="004E6452" w:rsidP="004E6452">
      <w:pPr>
        <w:pStyle w:val="NoSpacing"/>
        <w:spacing w:line="360" w:lineRule="auto"/>
        <w:rPr>
          <w:rFonts w:cs="Arial"/>
          <w:i/>
          <w:szCs w:val="20"/>
        </w:rPr>
      </w:pPr>
      <w:r w:rsidRPr="001570EA">
        <w:rPr>
          <w:rFonts w:cs="Arial"/>
          <w:i/>
          <w:szCs w:val="20"/>
        </w:rPr>
        <w:t>ΔkW</w:t>
      </w:r>
      <w:r w:rsidRPr="001570EA">
        <w:rPr>
          <w:rFonts w:cs="Arial"/>
          <w:i/>
          <w:szCs w:val="20"/>
          <w:vertAlign w:val="subscript"/>
        </w:rPr>
        <w:t>summer peak</w:t>
      </w:r>
      <w:r w:rsidRPr="001570EA">
        <w:rPr>
          <w:rFonts w:cs="Arial"/>
          <w:i/>
          <w:szCs w:val="20"/>
          <w:vertAlign w:val="subscript"/>
        </w:rPr>
        <w:tab/>
      </w:r>
      <w:r w:rsidRPr="001570EA">
        <w:rPr>
          <w:rFonts w:cs="Arial"/>
          <w:i/>
          <w:szCs w:val="20"/>
          <w:vertAlign w:val="subscript"/>
        </w:rPr>
        <w:tab/>
      </w:r>
      <m:oMath>
        <m:r>
          <w:rPr>
            <w:rFonts w:ascii="Cambria Math" w:hAnsi="Cambria Math" w:cs="Arial"/>
            <w:szCs w:val="20"/>
          </w:rPr>
          <m:t>=</m:t>
        </m:r>
        <m:d>
          <m:dPr>
            <m:ctrlPr>
              <w:rPr>
                <w:rFonts w:ascii="Cambria Math" w:hAnsi="Cambria Math" w:cs="Arial"/>
                <w:i/>
                <w:szCs w:val="20"/>
              </w:rPr>
            </m:ctrlPr>
          </m:dPr>
          <m:e>
            <m:sSub>
              <m:sSubPr>
                <m:ctrlPr>
                  <w:rPr>
                    <w:rFonts w:ascii="Cambria Math" w:hAnsi="Cambria Math" w:cs="Arial"/>
                    <w:i/>
                    <w:szCs w:val="20"/>
                  </w:rPr>
                </m:ctrlPr>
              </m:sSubPr>
              <m:e>
                <m:r>
                  <w:rPr>
                    <w:rFonts w:ascii="Cambria Math" w:hAnsi="Cambria Math" w:cs="Arial"/>
                    <w:szCs w:val="20"/>
                  </w:rPr>
                  <m:t>kWh</m:t>
                </m:r>
                <m:r>
                  <w:rPr>
                    <w:rFonts w:ascii="Cambria Math" w:hAnsi="Cambria Math" w:cs="Arial"/>
                    <w:szCs w:val="20"/>
                    <w:vertAlign w:val="subscript"/>
                  </w:rPr>
                  <m:t xml:space="preserve"> </m:t>
                </m:r>
              </m:e>
              <m:sub>
                <m:r>
                  <w:rPr>
                    <w:rFonts w:ascii="Cambria Math" w:hAnsi="Cambria Math" w:cs="Arial"/>
                    <w:szCs w:val="20"/>
                  </w:rPr>
                  <m:t>base</m:t>
                </m:r>
              </m:sub>
            </m:sSub>
            <m:r>
              <w:rPr>
                <w:rFonts w:ascii="Cambria Math" w:hAnsi="Cambria Math" w:cs="Arial"/>
                <w:szCs w:val="20"/>
                <w:vertAlign w:val="subscript"/>
              </w:rPr>
              <m:t xml:space="preserve"> </m:t>
            </m:r>
            <m:r>
              <w:rPr>
                <w:rFonts w:ascii="Cambria Math" w:hAnsi="Cambria Math" w:cs="Arial"/>
                <w:szCs w:val="20"/>
              </w:rPr>
              <m:t xml:space="preserve">–  </m:t>
            </m:r>
            <m:sSub>
              <m:sSubPr>
                <m:ctrlPr>
                  <w:rPr>
                    <w:rFonts w:ascii="Cambria Math" w:hAnsi="Cambria Math" w:cs="Arial"/>
                    <w:i/>
                    <w:szCs w:val="20"/>
                  </w:rPr>
                </m:ctrlPr>
              </m:sSubPr>
              <m:e>
                <m:r>
                  <w:rPr>
                    <w:rFonts w:ascii="Cambria Math" w:hAnsi="Cambria Math" w:cs="Arial"/>
                    <w:szCs w:val="20"/>
                  </w:rPr>
                  <m:t>kWh</m:t>
                </m:r>
              </m:e>
              <m:sub>
                <m:r>
                  <w:rPr>
                    <w:rFonts w:ascii="Cambria Math" w:hAnsi="Cambria Math" w:cs="Arial"/>
                    <w:szCs w:val="20"/>
                  </w:rPr>
                  <m:t>ee</m:t>
                </m:r>
              </m:sub>
            </m:sSub>
          </m:e>
        </m:d>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ETDF</m:t>
            </m:r>
          </m:e>
          <m:sub>
            <m:r>
              <w:rPr>
                <w:rFonts w:ascii="Cambria Math" w:hAnsi="Cambria Math" w:cs="Arial"/>
                <w:szCs w:val="20"/>
              </w:rPr>
              <m:t>s</m:t>
            </m:r>
          </m:sub>
        </m:sSub>
      </m:oMath>
    </w:p>
    <w:p w14:paraId="1290139A" w14:textId="77777777" w:rsidR="004E6452" w:rsidRPr="001570EA" w:rsidRDefault="004E6452" w:rsidP="004E6452">
      <w:pPr>
        <w:pStyle w:val="NoSpacing"/>
        <w:spacing w:line="360" w:lineRule="auto"/>
        <w:rPr>
          <w:rFonts w:cs="Arial"/>
          <w:i/>
          <w:szCs w:val="20"/>
        </w:rPr>
      </w:pPr>
      <w:r w:rsidRPr="001570EA">
        <w:rPr>
          <w:rFonts w:cs="Arial"/>
          <w:i/>
          <w:szCs w:val="20"/>
        </w:rPr>
        <w:t>ΔkW</w:t>
      </w:r>
      <w:r w:rsidRPr="001570EA">
        <w:rPr>
          <w:rFonts w:cs="Arial"/>
          <w:i/>
          <w:szCs w:val="20"/>
          <w:vertAlign w:val="subscript"/>
        </w:rPr>
        <w:t>winter peak</w:t>
      </w:r>
      <w:r w:rsidRPr="001570EA">
        <w:rPr>
          <w:rFonts w:cs="Arial"/>
          <w:i/>
          <w:szCs w:val="20"/>
          <w:vertAlign w:val="subscript"/>
        </w:rPr>
        <w:tab/>
      </w:r>
      <w:r w:rsidRPr="001570EA">
        <w:rPr>
          <w:rFonts w:cs="Arial"/>
          <w:i/>
          <w:szCs w:val="20"/>
          <w:vertAlign w:val="subscript"/>
        </w:rPr>
        <w:tab/>
      </w:r>
      <m:oMath>
        <m:r>
          <w:rPr>
            <w:rFonts w:ascii="Cambria Math" w:hAnsi="Cambria Math" w:cs="Arial"/>
            <w:szCs w:val="20"/>
          </w:rPr>
          <m:t>=</m:t>
        </m:r>
        <m:d>
          <m:dPr>
            <m:ctrlPr>
              <w:rPr>
                <w:rFonts w:ascii="Cambria Math" w:hAnsi="Cambria Math" w:cs="Arial"/>
                <w:i/>
                <w:szCs w:val="20"/>
              </w:rPr>
            </m:ctrlPr>
          </m:dPr>
          <m:e>
            <m:sSub>
              <m:sSubPr>
                <m:ctrlPr>
                  <w:rPr>
                    <w:rFonts w:ascii="Cambria Math" w:hAnsi="Cambria Math" w:cs="Arial"/>
                    <w:i/>
                    <w:szCs w:val="20"/>
                  </w:rPr>
                </m:ctrlPr>
              </m:sSubPr>
              <m:e>
                <m:r>
                  <w:rPr>
                    <w:rFonts w:ascii="Cambria Math" w:hAnsi="Cambria Math" w:cs="Arial"/>
                    <w:szCs w:val="20"/>
                  </w:rPr>
                  <m:t>kWh</m:t>
                </m:r>
                <m:r>
                  <w:rPr>
                    <w:rFonts w:ascii="Cambria Math" w:hAnsi="Cambria Math" w:cs="Arial"/>
                    <w:szCs w:val="20"/>
                    <w:vertAlign w:val="subscript"/>
                  </w:rPr>
                  <m:t xml:space="preserve"> </m:t>
                </m:r>
              </m:e>
              <m:sub>
                <m:r>
                  <w:rPr>
                    <w:rFonts w:ascii="Cambria Math" w:hAnsi="Cambria Math" w:cs="Arial"/>
                    <w:szCs w:val="20"/>
                  </w:rPr>
                  <m:t>base</m:t>
                </m:r>
              </m:sub>
            </m:sSub>
            <m:r>
              <w:rPr>
                <w:rFonts w:ascii="Cambria Math" w:hAnsi="Cambria Math" w:cs="Arial"/>
                <w:szCs w:val="20"/>
                <w:vertAlign w:val="subscript"/>
              </w:rPr>
              <m:t xml:space="preserve"> </m:t>
            </m:r>
            <m:r>
              <w:rPr>
                <w:rFonts w:ascii="Cambria Math" w:hAnsi="Cambria Math" w:cs="Arial"/>
                <w:szCs w:val="20"/>
              </w:rPr>
              <m:t xml:space="preserve">–  </m:t>
            </m:r>
            <m:sSub>
              <m:sSubPr>
                <m:ctrlPr>
                  <w:rPr>
                    <w:rFonts w:ascii="Cambria Math" w:hAnsi="Cambria Math" w:cs="Arial"/>
                    <w:i/>
                    <w:szCs w:val="20"/>
                  </w:rPr>
                </m:ctrlPr>
              </m:sSubPr>
              <m:e>
                <m:r>
                  <w:rPr>
                    <w:rFonts w:ascii="Cambria Math" w:hAnsi="Cambria Math" w:cs="Arial"/>
                    <w:szCs w:val="20"/>
                  </w:rPr>
                  <m:t>kWh</m:t>
                </m:r>
              </m:e>
              <m:sub>
                <m:r>
                  <w:rPr>
                    <w:rFonts w:ascii="Cambria Math" w:hAnsi="Cambria Math" w:cs="Arial"/>
                    <w:szCs w:val="20"/>
                  </w:rPr>
                  <m:t>ee</m:t>
                </m:r>
              </m:sub>
            </m:sSub>
          </m:e>
        </m:d>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ETDF</m:t>
            </m:r>
          </m:e>
          <m:sub>
            <m:r>
              <w:rPr>
                <w:rFonts w:ascii="Cambria Math" w:hAnsi="Cambria Math" w:cs="Arial"/>
                <w:szCs w:val="20"/>
              </w:rPr>
              <m:t>w</m:t>
            </m:r>
          </m:sub>
        </m:sSub>
      </m:oMath>
    </w:p>
    <w:p w14:paraId="3C4CC460" w14:textId="77777777" w:rsidR="004E6452" w:rsidRPr="001570EA" w:rsidRDefault="004E6452" w:rsidP="004E6452">
      <w:pPr>
        <w:pStyle w:val="NoSpacing"/>
        <w:rPr>
          <w:b/>
        </w:rPr>
      </w:pPr>
      <w:r w:rsidRPr="001570EA">
        <w:rPr>
          <w:b/>
        </w:rPr>
        <w:t>ENERGY STAR Most Efficient Refrigerator</w:t>
      </w:r>
    </w:p>
    <w:p w14:paraId="68167103" w14:textId="77777777" w:rsidR="004E6452" w:rsidRPr="001570EA" w:rsidRDefault="004E6452" w:rsidP="004E6452">
      <w:pPr>
        <w:pStyle w:val="NoSpacing"/>
        <w:spacing w:line="360" w:lineRule="auto"/>
        <w:rPr>
          <w:rFonts w:cs="Arial"/>
          <w:i/>
          <w:szCs w:val="20"/>
          <w:vertAlign w:val="subscript"/>
        </w:rPr>
      </w:pPr>
      <w:r w:rsidRPr="001570EA">
        <w:rPr>
          <w:rFonts w:cs="Arial"/>
          <w:i/>
          <w:szCs w:val="20"/>
        </w:rPr>
        <w:t>ΔkWh</w:t>
      </w:r>
      <w:r w:rsidRPr="001570EA">
        <w:rPr>
          <w:rFonts w:cs="Arial"/>
          <w:i/>
          <w:szCs w:val="20"/>
          <w:vertAlign w:val="subscript"/>
        </w:rPr>
        <w:tab/>
      </w:r>
      <w:r w:rsidRPr="001570EA">
        <w:rPr>
          <w:rFonts w:cs="Arial"/>
          <w:i/>
          <w:szCs w:val="20"/>
        </w:rPr>
        <w:tab/>
      </w:r>
      <m:oMath>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kWh</m:t>
            </m:r>
            <m:r>
              <w:rPr>
                <w:rFonts w:ascii="Cambria Math" w:hAnsi="Cambria Math" w:cs="Arial"/>
                <w:szCs w:val="20"/>
                <w:vertAlign w:val="subscript"/>
              </w:rPr>
              <m:t xml:space="preserve"> </m:t>
            </m:r>
          </m:e>
          <m:sub>
            <m:r>
              <w:rPr>
                <w:rFonts w:ascii="Cambria Math" w:hAnsi="Cambria Math" w:cs="Arial"/>
                <w:szCs w:val="20"/>
              </w:rPr>
              <m:t>base</m:t>
            </m:r>
          </m:sub>
        </m:sSub>
        <m:r>
          <w:rPr>
            <w:rFonts w:ascii="Cambria Math" w:hAnsi="Cambria Math" w:cs="Arial"/>
            <w:szCs w:val="20"/>
            <w:vertAlign w:val="subscript"/>
          </w:rPr>
          <m:t xml:space="preserve"> </m:t>
        </m:r>
        <m:r>
          <w:rPr>
            <w:rFonts w:ascii="Cambria Math" w:hAnsi="Cambria Math" w:cs="Arial"/>
            <w:szCs w:val="20"/>
          </w:rPr>
          <m:t xml:space="preserve">–  </m:t>
        </m:r>
        <m:sSub>
          <m:sSubPr>
            <m:ctrlPr>
              <w:rPr>
                <w:rFonts w:ascii="Cambria Math" w:hAnsi="Cambria Math" w:cs="Arial"/>
                <w:i/>
                <w:szCs w:val="20"/>
              </w:rPr>
            </m:ctrlPr>
          </m:sSubPr>
          <m:e>
            <m:r>
              <w:rPr>
                <w:rFonts w:ascii="Cambria Math" w:hAnsi="Cambria Math" w:cs="Arial"/>
                <w:szCs w:val="20"/>
              </w:rPr>
              <m:t>kWh</m:t>
            </m:r>
          </m:e>
          <m:sub>
            <m:r>
              <w:rPr>
                <w:rFonts w:ascii="Cambria Math" w:hAnsi="Cambria Math" w:cs="Arial"/>
                <w:szCs w:val="20"/>
              </w:rPr>
              <m:t>me</m:t>
            </m:r>
          </m:sub>
        </m:sSub>
      </m:oMath>
    </w:p>
    <w:p w14:paraId="3FFA6DA3" w14:textId="77777777" w:rsidR="004E6452" w:rsidRPr="001570EA" w:rsidRDefault="004E6452" w:rsidP="004E6452">
      <w:pPr>
        <w:pStyle w:val="NoSpacing"/>
        <w:spacing w:line="360" w:lineRule="auto"/>
        <w:rPr>
          <w:rFonts w:eastAsiaTheme="minorEastAsia" w:cs="Arial"/>
          <w:i/>
          <w:szCs w:val="20"/>
        </w:rPr>
      </w:pPr>
      <w:r w:rsidRPr="001570EA">
        <w:rPr>
          <w:rFonts w:cs="Arial"/>
          <w:i/>
          <w:szCs w:val="20"/>
        </w:rPr>
        <w:t>ΔkW</w:t>
      </w:r>
      <w:r w:rsidRPr="001570EA">
        <w:rPr>
          <w:rFonts w:cs="Arial"/>
          <w:i/>
          <w:szCs w:val="20"/>
          <w:vertAlign w:val="subscript"/>
        </w:rPr>
        <w:t>summer peak</w:t>
      </w:r>
      <w:r w:rsidRPr="001570EA">
        <w:rPr>
          <w:rFonts w:cs="Arial"/>
          <w:i/>
          <w:szCs w:val="20"/>
          <w:vertAlign w:val="subscript"/>
        </w:rPr>
        <w:tab/>
      </w:r>
      <m:oMath>
        <m:r>
          <w:rPr>
            <w:rFonts w:ascii="Cambria Math" w:hAnsi="Cambria Math" w:cs="Arial"/>
            <w:szCs w:val="20"/>
          </w:rPr>
          <m:t>=</m:t>
        </m:r>
        <m:d>
          <m:dPr>
            <m:ctrlPr>
              <w:rPr>
                <w:rFonts w:ascii="Cambria Math" w:hAnsi="Cambria Math" w:cs="Arial"/>
                <w:i/>
                <w:szCs w:val="20"/>
              </w:rPr>
            </m:ctrlPr>
          </m:dPr>
          <m:e>
            <m:sSub>
              <m:sSubPr>
                <m:ctrlPr>
                  <w:rPr>
                    <w:rFonts w:ascii="Cambria Math" w:hAnsi="Cambria Math" w:cs="Arial"/>
                    <w:i/>
                    <w:szCs w:val="20"/>
                  </w:rPr>
                </m:ctrlPr>
              </m:sSubPr>
              <m:e>
                <m:r>
                  <w:rPr>
                    <w:rFonts w:ascii="Cambria Math" w:hAnsi="Cambria Math" w:cs="Arial"/>
                    <w:szCs w:val="20"/>
                  </w:rPr>
                  <m:t>kWh</m:t>
                </m:r>
                <m:r>
                  <w:rPr>
                    <w:rFonts w:ascii="Cambria Math" w:hAnsi="Cambria Math" w:cs="Arial"/>
                    <w:szCs w:val="20"/>
                    <w:vertAlign w:val="subscript"/>
                  </w:rPr>
                  <m:t xml:space="preserve"> </m:t>
                </m:r>
              </m:e>
              <m:sub>
                <m:r>
                  <w:rPr>
                    <w:rFonts w:ascii="Cambria Math" w:hAnsi="Cambria Math" w:cs="Arial"/>
                    <w:szCs w:val="20"/>
                  </w:rPr>
                  <m:t>base</m:t>
                </m:r>
              </m:sub>
            </m:sSub>
            <m:r>
              <w:rPr>
                <w:rFonts w:ascii="Cambria Math" w:hAnsi="Cambria Math" w:cs="Arial"/>
                <w:szCs w:val="20"/>
                <w:vertAlign w:val="subscript"/>
              </w:rPr>
              <m:t xml:space="preserve"> </m:t>
            </m:r>
            <m:r>
              <w:rPr>
                <w:rFonts w:ascii="Cambria Math" w:hAnsi="Cambria Math" w:cs="Arial"/>
                <w:szCs w:val="20"/>
              </w:rPr>
              <m:t xml:space="preserve">–  </m:t>
            </m:r>
            <m:sSub>
              <m:sSubPr>
                <m:ctrlPr>
                  <w:rPr>
                    <w:rFonts w:ascii="Cambria Math" w:hAnsi="Cambria Math" w:cs="Arial"/>
                    <w:i/>
                    <w:szCs w:val="20"/>
                  </w:rPr>
                </m:ctrlPr>
              </m:sSubPr>
              <m:e>
                <m:r>
                  <w:rPr>
                    <w:rFonts w:ascii="Cambria Math" w:hAnsi="Cambria Math" w:cs="Arial"/>
                    <w:szCs w:val="20"/>
                  </w:rPr>
                  <m:t>kWh</m:t>
                </m:r>
              </m:e>
              <m:sub>
                <m:r>
                  <w:rPr>
                    <w:rFonts w:ascii="Cambria Math" w:hAnsi="Cambria Math" w:cs="Arial"/>
                    <w:szCs w:val="20"/>
                  </w:rPr>
                  <m:t>me</m:t>
                </m:r>
              </m:sub>
            </m:sSub>
          </m:e>
        </m:d>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ETDF</m:t>
            </m:r>
          </m:e>
          <m:sub>
            <m:r>
              <w:rPr>
                <w:rFonts w:ascii="Cambria Math" w:hAnsi="Cambria Math" w:cs="Arial"/>
                <w:szCs w:val="20"/>
              </w:rPr>
              <m:t>s</m:t>
            </m:r>
          </m:sub>
        </m:sSub>
      </m:oMath>
    </w:p>
    <w:p w14:paraId="054CCF20" w14:textId="77777777" w:rsidR="004E6452" w:rsidRPr="001570EA" w:rsidRDefault="004E6452" w:rsidP="004E6452">
      <w:pPr>
        <w:pStyle w:val="NoSpacing"/>
        <w:spacing w:line="360" w:lineRule="auto"/>
        <w:rPr>
          <w:rFonts w:cs="Arial"/>
          <w:i/>
          <w:szCs w:val="20"/>
        </w:rPr>
      </w:pPr>
      <w:r w:rsidRPr="001570EA">
        <w:rPr>
          <w:rFonts w:cs="Arial"/>
          <w:i/>
          <w:szCs w:val="20"/>
        </w:rPr>
        <w:t>ΔkW</w:t>
      </w:r>
      <w:r w:rsidRPr="001570EA">
        <w:rPr>
          <w:rFonts w:cs="Arial"/>
          <w:i/>
          <w:szCs w:val="20"/>
          <w:vertAlign w:val="subscript"/>
        </w:rPr>
        <w:t>winter peak</w:t>
      </w:r>
      <w:r w:rsidRPr="001570EA">
        <w:rPr>
          <w:rFonts w:cs="Arial"/>
          <w:i/>
          <w:szCs w:val="20"/>
          <w:vertAlign w:val="subscript"/>
        </w:rPr>
        <w:tab/>
      </w:r>
      <m:oMath>
        <m:r>
          <w:rPr>
            <w:rFonts w:ascii="Cambria Math" w:hAnsi="Cambria Math" w:cs="Arial"/>
            <w:szCs w:val="20"/>
          </w:rPr>
          <m:t>=</m:t>
        </m:r>
        <m:d>
          <m:dPr>
            <m:ctrlPr>
              <w:rPr>
                <w:rFonts w:ascii="Cambria Math" w:hAnsi="Cambria Math" w:cs="Arial"/>
                <w:i/>
                <w:szCs w:val="20"/>
              </w:rPr>
            </m:ctrlPr>
          </m:dPr>
          <m:e>
            <m:sSub>
              <m:sSubPr>
                <m:ctrlPr>
                  <w:rPr>
                    <w:rFonts w:ascii="Cambria Math" w:hAnsi="Cambria Math" w:cs="Arial"/>
                    <w:i/>
                    <w:szCs w:val="20"/>
                  </w:rPr>
                </m:ctrlPr>
              </m:sSubPr>
              <m:e>
                <m:r>
                  <w:rPr>
                    <w:rFonts w:ascii="Cambria Math" w:hAnsi="Cambria Math" w:cs="Arial"/>
                    <w:szCs w:val="20"/>
                  </w:rPr>
                  <m:t>kWh</m:t>
                </m:r>
                <m:r>
                  <w:rPr>
                    <w:rFonts w:ascii="Cambria Math" w:hAnsi="Cambria Math" w:cs="Arial"/>
                    <w:szCs w:val="20"/>
                    <w:vertAlign w:val="subscript"/>
                  </w:rPr>
                  <m:t xml:space="preserve"> </m:t>
                </m:r>
              </m:e>
              <m:sub>
                <m:r>
                  <w:rPr>
                    <w:rFonts w:ascii="Cambria Math" w:hAnsi="Cambria Math" w:cs="Arial"/>
                    <w:szCs w:val="20"/>
                  </w:rPr>
                  <m:t>base</m:t>
                </m:r>
              </m:sub>
            </m:sSub>
            <m:r>
              <w:rPr>
                <w:rFonts w:ascii="Cambria Math" w:hAnsi="Cambria Math" w:cs="Arial"/>
                <w:szCs w:val="20"/>
                <w:vertAlign w:val="subscript"/>
              </w:rPr>
              <m:t xml:space="preserve"> </m:t>
            </m:r>
            <m:r>
              <w:rPr>
                <w:rFonts w:ascii="Cambria Math" w:hAnsi="Cambria Math" w:cs="Arial"/>
                <w:szCs w:val="20"/>
              </w:rPr>
              <m:t xml:space="preserve">–  </m:t>
            </m:r>
            <m:sSub>
              <m:sSubPr>
                <m:ctrlPr>
                  <w:rPr>
                    <w:rFonts w:ascii="Cambria Math" w:hAnsi="Cambria Math" w:cs="Arial"/>
                    <w:i/>
                    <w:szCs w:val="20"/>
                  </w:rPr>
                </m:ctrlPr>
              </m:sSubPr>
              <m:e>
                <m:r>
                  <w:rPr>
                    <w:rFonts w:ascii="Cambria Math" w:hAnsi="Cambria Math" w:cs="Arial"/>
                    <w:szCs w:val="20"/>
                  </w:rPr>
                  <m:t>kWh</m:t>
                </m:r>
              </m:e>
              <m:sub>
                <m:r>
                  <w:rPr>
                    <w:rFonts w:ascii="Cambria Math" w:hAnsi="Cambria Math" w:cs="Arial"/>
                    <w:szCs w:val="20"/>
                  </w:rPr>
                  <m:t>me</m:t>
                </m:r>
              </m:sub>
            </m:sSub>
          </m:e>
        </m:d>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ETDF</m:t>
            </m:r>
          </m:e>
          <m:sub>
            <m:r>
              <w:rPr>
                <w:rFonts w:ascii="Cambria Math" w:hAnsi="Cambria Math" w:cs="Arial"/>
                <w:szCs w:val="20"/>
              </w:rPr>
              <m:t>w</m:t>
            </m:r>
          </m:sub>
        </m:sSub>
      </m:oMath>
    </w:p>
    <w:p w14:paraId="6EB2A7FC" w14:textId="77777777" w:rsidR="004E6452" w:rsidRPr="001570EA" w:rsidRDefault="004E6452" w:rsidP="004E6452">
      <w:pPr>
        <w:pStyle w:val="SubStyle"/>
        <w:keepNext/>
      </w:pPr>
      <w:r w:rsidRPr="001570EA">
        <w:t>Definition of Terms</w:t>
      </w:r>
    </w:p>
    <w:p w14:paraId="56E35293" w14:textId="33569E0F" w:rsidR="004E6452" w:rsidRPr="001570EA" w:rsidRDefault="004E6452" w:rsidP="004E6452">
      <w:pPr>
        <w:pStyle w:val="Caption"/>
      </w:pPr>
      <w:bookmarkStart w:id="532" w:name="_Toc530141731"/>
      <w:bookmarkStart w:id="533" w:name="_Toc4759831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80</w:t>
      </w:r>
      <w:r w:rsidR="002E093A" w:rsidRPr="001570EA">
        <w:fldChar w:fldCharType="end"/>
      </w:r>
      <w:r w:rsidRPr="001570EA">
        <w:t>: Terms, Values, and References for ENERGY STAR Refrigerators</w:t>
      </w:r>
      <w:bookmarkEnd w:id="532"/>
      <w:bookmarkEnd w:id="53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1160"/>
        <w:gridCol w:w="2413"/>
        <w:gridCol w:w="1254"/>
      </w:tblGrid>
      <w:tr w:rsidR="004E6452" w:rsidRPr="001570EA" w14:paraId="0A2D0F4E" w14:textId="77777777">
        <w:trPr>
          <w:trHeight w:hRule="exact" w:val="424"/>
        </w:trPr>
        <w:tc>
          <w:tcPr>
            <w:tcW w:w="3695" w:type="dxa"/>
            <w:shd w:val="clear" w:color="auto" w:fill="BFBFBF" w:themeFill="background1" w:themeFillShade="BF"/>
            <w:vAlign w:val="bottom"/>
          </w:tcPr>
          <w:p w14:paraId="69E3BE1F" w14:textId="77777777" w:rsidR="004E6452" w:rsidRPr="001570EA" w:rsidRDefault="004E6452">
            <w:pPr>
              <w:keepNext/>
              <w:rPr>
                <w:rFonts w:cs="Arial"/>
                <w:sz w:val="18"/>
                <w:szCs w:val="18"/>
              </w:rPr>
            </w:pPr>
            <w:r w:rsidRPr="001570EA">
              <w:rPr>
                <w:rFonts w:cs="Arial"/>
                <w:b/>
                <w:sz w:val="18"/>
                <w:szCs w:val="18"/>
              </w:rPr>
              <w:t>Term</w:t>
            </w:r>
          </w:p>
        </w:tc>
        <w:tc>
          <w:tcPr>
            <w:tcW w:w="1160" w:type="dxa"/>
            <w:shd w:val="clear" w:color="auto" w:fill="BFBFBF" w:themeFill="background1" w:themeFillShade="BF"/>
            <w:vAlign w:val="bottom"/>
          </w:tcPr>
          <w:p w14:paraId="61019A9A" w14:textId="77777777" w:rsidR="004E6452" w:rsidRPr="001570EA" w:rsidRDefault="004E6452">
            <w:pPr>
              <w:keepNext/>
              <w:jc w:val="center"/>
              <w:rPr>
                <w:rFonts w:cs="Arial"/>
                <w:sz w:val="18"/>
                <w:szCs w:val="18"/>
              </w:rPr>
            </w:pPr>
            <w:r w:rsidRPr="001570EA">
              <w:rPr>
                <w:rFonts w:cs="Arial"/>
                <w:b/>
                <w:sz w:val="18"/>
                <w:szCs w:val="18"/>
              </w:rPr>
              <w:t>Unit</w:t>
            </w:r>
          </w:p>
        </w:tc>
        <w:tc>
          <w:tcPr>
            <w:tcW w:w="2413" w:type="dxa"/>
            <w:shd w:val="clear" w:color="auto" w:fill="BFBFBF" w:themeFill="background1" w:themeFillShade="BF"/>
            <w:vAlign w:val="bottom"/>
          </w:tcPr>
          <w:p w14:paraId="15950301" w14:textId="77777777" w:rsidR="004E6452" w:rsidRPr="001570EA" w:rsidRDefault="004E6452">
            <w:pPr>
              <w:keepNext/>
              <w:jc w:val="center"/>
              <w:rPr>
                <w:rFonts w:cs="Arial"/>
                <w:sz w:val="18"/>
                <w:szCs w:val="18"/>
              </w:rPr>
            </w:pPr>
            <w:r w:rsidRPr="001570EA">
              <w:rPr>
                <w:rFonts w:cs="Arial"/>
                <w:b/>
                <w:sz w:val="18"/>
                <w:szCs w:val="18"/>
              </w:rPr>
              <w:t>Value</w:t>
            </w:r>
          </w:p>
        </w:tc>
        <w:tc>
          <w:tcPr>
            <w:tcW w:w="1254" w:type="dxa"/>
            <w:shd w:val="clear" w:color="auto" w:fill="BFBFBF" w:themeFill="background1" w:themeFillShade="BF"/>
            <w:vAlign w:val="bottom"/>
          </w:tcPr>
          <w:p w14:paraId="10A0F6E9" w14:textId="77777777" w:rsidR="004E6452" w:rsidRPr="001570EA" w:rsidRDefault="004E6452">
            <w:pPr>
              <w:keepNext/>
              <w:jc w:val="center"/>
              <w:rPr>
                <w:rFonts w:cs="Arial"/>
                <w:sz w:val="18"/>
                <w:szCs w:val="18"/>
              </w:rPr>
            </w:pPr>
            <w:r w:rsidRPr="001570EA">
              <w:rPr>
                <w:rFonts w:cs="Arial"/>
                <w:b/>
                <w:sz w:val="18"/>
                <w:szCs w:val="18"/>
              </w:rPr>
              <w:t>Source</w:t>
            </w:r>
          </w:p>
        </w:tc>
      </w:tr>
      <w:tr w:rsidR="004E6452" w:rsidRPr="001570EA" w14:paraId="2E3C30A2" w14:textId="77777777">
        <w:trPr>
          <w:trHeight w:hRule="exact" w:val="685"/>
        </w:trPr>
        <w:tc>
          <w:tcPr>
            <w:tcW w:w="3695" w:type="dxa"/>
            <w:vAlign w:val="center"/>
          </w:tcPr>
          <w:p w14:paraId="7DB0E1D3" w14:textId="1C3974DD" w:rsidR="004E6452" w:rsidRPr="001570EA" w:rsidRDefault="004E6452">
            <w:pPr>
              <w:keepNext/>
              <w:rPr>
                <w:rFonts w:cs="Arial"/>
                <w:sz w:val="18"/>
                <w:szCs w:val="18"/>
              </w:rPr>
            </w:pPr>
            <w:r w:rsidRPr="001570EA">
              <w:rPr>
                <w:rFonts w:cs="Arial"/>
                <w:i/>
                <w:sz w:val="18"/>
                <w:szCs w:val="18"/>
              </w:rPr>
              <w:t>kWh</w:t>
            </w:r>
            <w:r w:rsidRPr="001570EA">
              <w:rPr>
                <w:rFonts w:cs="Arial"/>
                <w:i/>
                <w:sz w:val="18"/>
                <w:szCs w:val="18"/>
                <w:vertAlign w:val="subscript"/>
              </w:rPr>
              <w:t>base</w:t>
            </w:r>
            <w:r w:rsidRPr="001570EA">
              <w:rPr>
                <w:rFonts w:cs="Arial"/>
                <w:sz w:val="18"/>
                <w:szCs w:val="18"/>
              </w:rPr>
              <w:t>, Annual energy consumption of baseline unit</w:t>
            </w:r>
          </w:p>
        </w:tc>
        <w:tc>
          <w:tcPr>
            <w:tcW w:w="1160" w:type="dxa"/>
            <w:vAlign w:val="center"/>
          </w:tcPr>
          <w:p w14:paraId="05D4483A" w14:textId="77777777" w:rsidR="004E6452" w:rsidRPr="001570EA" w:rsidRDefault="004E6452">
            <w:pPr>
              <w:keepNext/>
              <w:jc w:val="center"/>
              <w:rPr>
                <w:rFonts w:cs="Arial"/>
                <w:i/>
                <w:sz w:val="18"/>
                <w:szCs w:val="18"/>
              </w:rPr>
            </w:pPr>
            <w:r w:rsidRPr="001570EA">
              <w:rPr>
                <w:rFonts w:cs="Arial"/>
                <w:i/>
                <w:sz w:val="18"/>
                <w:szCs w:val="18"/>
              </w:rPr>
              <w:t>kWh/yr</w:t>
            </w:r>
          </w:p>
        </w:tc>
        <w:tc>
          <w:tcPr>
            <w:tcW w:w="2413" w:type="dxa"/>
          </w:tcPr>
          <w:p w14:paraId="3BE39430" w14:textId="77777777" w:rsidR="004E6452" w:rsidRPr="001570EA" w:rsidRDefault="004E6452">
            <w:pPr>
              <w:keepNext/>
              <w:spacing w:before="60" w:after="60"/>
              <w:jc w:val="center"/>
              <w:rPr>
                <w:rFonts w:cs="Arial"/>
                <w:sz w:val="18"/>
                <w:szCs w:val="18"/>
              </w:rPr>
            </w:pPr>
            <w:r w:rsidRPr="001570EA">
              <w:rPr>
                <w:rFonts w:cs="Arial"/>
                <w:sz w:val="18"/>
                <w:szCs w:val="18"/>
              </w:rPr>
              <w:t>EDC Data Gathering</w:t>
            </w:r>
          </w:p>
          <w:p w14:paraId="24B8DB58" w14:textId="44AD9DF7" w:rsidR="004E6452" w:rsidRPr="001570EA" w:rsidRDefault="004E6452">
            <w:pPr>
              <w:keepNext/>
              <w:spacing w:before="60" w:after="60"/>
              <w:jc w:val="center"/>
              <w:rPr>
                <w:sz w:val="18"/>
                <w:szCs w:val="18"/>
              </w:rPr>
            </w:pPr>
            <w:r w:rsidRPr="001570EA">
              <w:rPr>
                <w:rFonts w:cs="Arial"/>
                <w:sz w:val="18"/>
                <w:szCs w:val="18"/>
              </w:rPr>
              <w:t xml:space="preserve">Default = </w:t>
            </w:r>
            <w:r w:rsidRPr="001570EA">
              <w:rPr>
                <w:rFonts w:cs="Arial"/>
                <w:sz w:val="18"/>
                <w:szCs w:val="18"/>
              </w:rPr>
              <w:fldChar w:fldCharType="begin"/>
            </w:r>
            <w:r w:rsidRPr="001570EA">
              <w:rPr>
                <w:rFonts w:cs="Arial"/>
                <w:sz w:val="18"/>
                <w:szCs w:val="18"/>
              </w:rPr>
              <w:instrText xml:space="preserve"> REF _Ref533166067 \h  \* MERGEFORMAT </w:instrText>
            </w:r>
            <w:r w:rsidRPr="001570EA">
              <w:rPr>
                <w:rFonts w:cs="Arial"/>
                <w:sz w:val="18"/>
                <w:szCs w:val="18"/>
              </w:rPr>
            </w:r>
            <w:r w:rsidRPr="001570EA">
              <w:rPr>
                <w:rFonts w:cs="Arial"/>
                <w:sz w:val="18"/>
                <w:szCs w:val="18"/>
              </w:rPr>
              <w:fldChar w:fldCharType="separate"/>
            </w:r>
            <w:r w:rsidR="00234C6C" w:rsidRPr="001570EA">
              <w:rPr>
                <w:sz w:val="18"/>
                <w:szCs w:val="18"/>
              </w:rPr>
              <w:t xml:space="preserve">Table </w:t>
            </w:r>
            <w:r w:rsidR="00234C6C" w:rsidRPr="001570EA">
              <w:rPr>
                <w:noProof/>
                <w:sz w:val="18"/>
                <w:szCs w:val="18"/>
              </w:rPr>
              <w:t>2</w:t>
            </w:r>
            <w:r w:rsidRPr="001570EA">
              <w:rPr>
                <w:rFonts w:cs="Arial"/>
                <w:sz w:val="18"/>
                <w:szCs w:val="18"/>
              </w:rPr>
              <w:fldChar w:fldCharType="end"/>
            </w:r>
          </w:p>
        </w:tc>
        <w:tc>
          <w:tcPr>
            <w:tcW w:w="1254" w:type="dxa"/>
            <w:vAlign w:val="center"/>
          </w:tcPr>
          <w:p w14:paraId="62C373A4" w14:textId="77777777" w:rsidR="004E6452" w:rsidRPr="001570EA" w:rsidRDefault="004E6452">
            <w:pPr>
              <w:keepNext/>
              <w:jc w:val="center"/>
              <w:rPr>
                <w:rFonts w:cs="Arial"/>
                <w:sz w:val="18"/>
                <w:szCs w:val="18"/>
              </w:rPr>
            </w:pPr>
            <w:r w:rsidRPr="001570EA">
              <w:rPr>
                <w:rFonts w:cs="Arial"/>
                <w:sz w:val="18"/>
                <w:szCs w:val="18"/>
              </w:rPr>
              <w:t xml:space="preserve">EDC Data Gathering, </w:t>
            </w:r>
          </w:p>
          <w:p w14:paraId="7F384F03" w14:textId="77777777" w:rsidR="004E6452" w:rsidRPr="001570EA" w:rsidRDefault="004E6452">
            <w:pPr>
              <w:keepNext/>
              <w:jc w:val="center"/>
              <w:rPr>
                <w:rFonts w:cs="Arial"/>
                <w:sz w:val="18"/>
                <w:szCs w:val="18"/>
              </w:rPr>
            </w:pPr>
            <w:r w:rsidRPr="001570EA">
              <w:rPr>
                <w:rFonts w:cs="Arial"/>
                <w:sz w:val="18"/>
                <w:szCs w:val="18"/>
              </w:rPr>
              <w:t>2, 7</w:t>
            </w:r>
          </w:p>
        </w:tc>
      </w:tr>
      <w:tr w:rsidR="004E6452" w:rsidRPr="001570EA" w14:paraId="4EB86E1A" w14:textId="77777777">
        <w:trPr>
          <w:trHeight w:val="548"/>
        </w:trPr>
        <w:tc>
          <w:tcPr>
            <w:tcW w:w="3695" w:type="dxa"/>
            <w:vAlign w:val="center"/>
          </w:tcPr>
          <w:p w14:paraId="56228B25" w14:textId="6344F0BD" w:rsidR="004E6452" w:rsidRPr="001570EA" w:rsidRDefault="004E6452">
            <w:pPr>
              <w:keepNext/>
              <w:rPr>
                <w:rFonts w:cs="Arial"/>
                <w:sz w:val="18"/>
                <w:szCs w:val="18"/>
              </w:rPr>
            </w:pPr>
            <w:r w:rsidRPr="001570EA">
              <w:rPr>
                <w:rFonts w:cs="Arial"/>
                <w:i/>
                <w:sz w:val="18"/>
                <w:szCs w:val="18"/>
              </w:rPr>
              <w:t>kWh</w:t>
            </w:r>
            <w:r w:rsidRPr="001570EA">
              <w:rPr>
                <w:rFonts w:cs="Arial"/>
                <w:i/>
                <w:sz w:val="18"/>
                <w:szCs w:val="18"/>
                <w:vertAlign w:val="subscript"/>
              </w:rPr>
              <w:t>ee</w:t>
            </w:r>
            <w:r w:rsidRPr="001570EA">
              <w:rPr>
                <w:rFonts w:cs="Arial"/>
                <w:i/>
                <w:sz w:val="18"/>
                <w:szCs w:val="18"/>
              </w:rPr>
              <w:t xml:space="preserve">, </w:t>
            </w:r>
            <w:r w:rsidRPr="001570EA">
              <w:rPr>
                <w:rFonts w:cs="Arial"/>
                <w:sz w:val="18"/>
                <w:szCs w:val="18"/>
              </w:rPr>
              <w:t>Annual energy consumption of ENERGY STAR qualified unit</w:t>
            </w:r>
            <w:r w:rsidRPr="001570EA">
              <w:rPr>
                <w:sz w:val="18"/>
                <w:szCs w:val="18"/>
              </w:rPr>
              <w:tab/>
            </w:r>
          </w:p>
        </w:tc>
        <w:tc>
          <w:tcPr>
            <w:tcW w:w="1160" w:type="dxa"/>
            <w:vAlign w:val="center"/>
          </w:tcPr>
          <w:p w14:paraId="0640F18C" w14:textId="77777777" w:rsidR="004E6452" w:rsidRPr="001570EA" w:rsidRDefault="004E6452">
            <w:pPr>
              <w:keepNext/>
              <w:jc w:val="center"/>
              <w:rPr>
                <w:rFonts w:cs="Arial"/>
                <w:i/>
                <w:sz w:val="18"/>
                <w:szCs w:val="18"/>
              </w:rPr>
            </w:pPr>
            <w:r w:rsidRPr="001570EA">
              <w:rPr>
                <w:rFonts w:cs="Arial"/>
                <w:i/>
                <w:sz w:val="18"/>
                <w:szCs w:val="18"/>
              </w:rPr>
              <w:t>kWh/yr</w:t>
            </w:r>
          </w:p>
        </w:tc>
        <w:tc>
          <w:tcPr>
            <w:tcW w:w="2413" w:type="dxa"/>
            <w:vAlign w:val="center"/>
          </w:tcPr>
          <w:p w14:paraId="047F38F1" w14:textId="77777777" w:rsidR="004E6452" w:rsidRPr="001570EA" w:rsidRDefault="004E6452">
            <w:pPr>
              <w:keepNext/>
              <w:spacing w:before="60" w:after="60"/>
              <w:jc w:val="center"/>
              <w:rPr>
                <w:rFonts w:cs="Arial"/>
                <w:sz w:val="18"/>
                <w:szCs w:val="18"/>
              </w:rPr>
            </w:pPr>
            <w:r w:rsidRPr="001570EA">
              <w:rPr>
                <w:rFonts w:cs="Arial"/>
                <w:sz w:val="18"/>
                <w:szCs w:val="18"/>
              </w:rPr>
              <w:t>EDC Data Gathering</w:t>
            </w:r>
          </w:p>
          <w:p w14:paraId="1FB8280E" w14:textId="4CBFEEE8" w:rsidR="004E6452" w:rsidRPr="001570EA" w:rsidRDefault="004E6452">
            <w:pPr>
              <w:keepNext/>
              <w:spacing w:before="60" w:after="60"/>
              <w:jc w:val="center"/>
              <w:rPr>
                <w:rFonts w:cs="Arial"/>
                <w:sz w:val="18"/>
                <w:szCs w:val="18"/>
              </w:rPr>
            </w:pPr>
            <w:r w:rsidRPr="001570EA">
              <w:rPr>
                <w:rFonts w:cs="Arial"/>
                <w:sz w:val="18"/>
                <w:szCs w:val="18"/>
              </w:rPr>
              <w:t xml:space="preserve">Default = </w:t>
            </w:r>
            <w:r w:rsidR="00F253A7" w:rsidRPr="001570EA">
              <w:rPr>
                <w:rFonts w:cs="Arial"/>
                <w:sz w:val="18"/>
                <w:szCs w:val="18"/>
              </w:rPr>
              <w:fldChar w:fldCharType="begin"/>
            </w:r>
            <w:r w:rsidR="00F253A7" w:rsidRPr="001570EA">
              <w:rPr>
                <w:rFonts w:cs="Arial"/>
                <w:sz w:val="18"/>
                <w:szCs w:val="18"/>
              </w:rPr>
              <w:instrText xml:space="preserve"> REF _Ref163939350 \h </w:instrText>
            </w:r>
            <w:r w:rsidR="001570EA">
              <w:rPr>
                <w:rFonts w:cs="Arial"/>
                <w:sz w:val="18"/>
                <w:szCs w:val="18"/>
              </w:rPr>
              <w:instrText xml:space="preserve"> \* MERGEFORMAT </w:instrText>
            </w:r>
            <w:r w:rsidR="00F253A7" w:rsidRPr="001570EA">
              <w:rPr>
                <w:rFonts w:cs="Arial"/>
                <w:sz w:val="18"/>
                <w:szCs w:val="18"/>
              </w:rPr>
            </w:r>
            <w:r w:rsidR="00F253A7" w:rsidRPr="001570EA">
              <w:rPr>
                <w:rFonts w:cs="Arial"/>
                <w:sz w:val="18"/>
                <w:szCs w:val="18"/>
              </w:rPr>
              <w:fldChar w:fldCharType="separate"/>
            </w:r>
            <w:r w:rsidR="00234C6C" w:rsidRPr="001570EA">
              <w:t xml:space="preserve">Table </w:t>
            </w:r>
            <w:r w:rsidR="00234C6C" w:rsidRPr="001570EA">
              <w:rPr>
                <w:noProof/>
              </w:rPr>
              <w:t>2</w:t>
            </w:r>
            <w:r w:rsidR="00F253A7" w:rsidRPr="001570EA">
              <w:rPr>
                <w:rFonts w:cs="Arial"/>
                <w:sz w:val="18"/>
                <w:szCs w:val="18"/>
              </w:rPr>
              <w:fldChar w:fldCharType="end"/>
            </w:r>
          </w:p>
        </w:tc>
        <w:tc>
          <w:tcPr>
            <w:tcW w:w="1254" w:type="dxa"/>
            <w:vAlign w:val="center"/>
          </w:tcPr>
          <w:p w14:paraId="76E564E5" w14:textId="77777777" w:rsidR="004E6452" w:rsidRPr="001570EA" w:rsidRDefault="004E6452">
            <w:pPr>
              <w:keepNext/>
              <w:jc w:val="center"/>
              <w:rPr>
                <w:rFonts w:cs="Arial"/>
                <w:sz w:val="18"/>
                <w:szCs w:val="18"/>
              </w:rPr>
            </w:pPr>
            <w:r w:rsidRPr="001570EA">
              <w:rPr>
                <w:rFonts w:cs="Arial"/>
                <w:sz w:val="18"/>
                <w:szCs w:val="18"/>
              </w:rPr>
              <w:t xml:space="preserve">EDC Data Gathering, </w:t>
            </w:r>
          </w:p>
          <w:p w14:paraId="595C8DCA" w14:textId="77777777" w:rsidR="004E6452" w:rsidRPr="001570EA" w:rsidRDefault="004E6452">
            <w:pPr>
              <w:keepNext/>
              <w:jc w:val="center"/>
              <w:rPr>
                <w:rFonts w:cs="Arial"/>
                <w:sz w:val="18"/>
                <w:szCs w:val="18"/>
              </w:rPr>
            </w:pPr>
            <w:r w:rsidRPr="001570EA">
              <w:rPr>
                <w:rFonts w:cs="Arial"/>
                <w:sz w:val="18"/>
                <w:szCs w:val="18"/>
              </w:rPr>
              <w:t>3</w:t>
            </w:r>
          </w:p>
        </w:tc>
      </w:tr>
      <w:tr w:rsidR="004E6452" w:rsidRPr="001570EA" w14:paraId="0DAA3EA2" w14:textId="77777777">
        <w:trPr>
          <w:trHeight w:hRule="exact" w:val="667"/>
        </w:trPr>
        <w:tc>
          <w:tcPr>
            <w:tcW w:w="3695" w:type="dxa"/>
            <w:vAlign w:val="center"/>
          </w:tcPr>
          <w:p w14:paraId="1464AE9E" w14:textId="66D4742D" w:rsidR="004E6452" w:rsidRPr="001570EA" w:rsidRDefault="004E6452">
            <w:pPr>
              <w:keepNext/>
              <w:rPr>
                <w:rFonts w:cs="Arial"/>
                <w:sz w:val="18"/>
                <w:szCs w:val="18"/>
              </w:rPr>
            </w:pPr>
            <w:r w:rsidRPr="001570EA">
              <w:rPr>
                <w:rFonts w:cs="Arial"/>
                <w:i/>
                <w:sz w:val="18"/>
                <w:szCs w:val="18"/>
              </w:rPr>
              <w:t>kWh</w:t>
            </w:r>
            <w:r w:rsidRPr="001570EA">
              <w:rPr>
                <w:rFonts w:cs="Arial"/>
                <w:i/>
                <w:sz w:val="18"/>
                <w:szCs w:val="18"/>
                <w:vertAlign w:val="subscript"/>
              </w:rPr>
              <w:t>me</w:t>
            </w:r>
            <w:r w:rsidRPr="001570EA">
              <w:rPr>
                <w:rFonts w:cs="Arial"/>
                <w:i/>
                <w:sz w:val="18"/>
                <w:szCs w:val="18"/>
              </w:rPr>
              <w:t xml:space="preserve">, </w:t>
            </w:r>
            <w:r w:rsidRPr="001570EA">
              <w:rPr>
                <w:rFonts w:cs="Arial"/>
                <w:sz w:val="18"/>
                <w:szCs w:val="18"/>
              </w:rPr>
              <w:t>Annual energy consumption of ENERGY STAR Most Efficient qualified unit</w:t>
            </w:r>
          </w:p>
        </w:tc>
        <w:tc>
          <w:tcPr>
            <w:tcW w:w="1160" w:type="dxa"/>
            <w:vAlign w:val="center"/>
          </w:tcPr>
          <w:p w14:paraId="758BAEB3" w14:textId="77777777" w:rsidR="004E6452" w:rsidRPr="001570EA" w:rsidRDefault="004E6452">
            <w:pPr>
              <w:keepNext/>
              <w:jc w:val="center"/>
              <w:rPr>
                <w:rFonts w:cs="Arial"/>
                <w:i/>
                <w:sz w:val="18"/>
                <w:szCs w:val="18"/>
              </w:rPr>
            </w:pPr>
            <w:r w:rsidRPr="001570EA">
              <w:rPr>
                <w:rFonts w:cs="Arial"/>
                <w:i/>
                <w:sz w:val="18"/>
                <w:szCs w:val="18"/>
              </w:rPr>
              <w:t>kWh/yr</w:t>
            </w:r>
          </w:p>
        </w:tc>
        <w:tc>
          <w:tcPr>
            <w:tcW w:w="2413" w:type="dxa"/>
            <w:vAlign w:val="center"/>
          </w:tcPr>
          <w:p w14:paraId="0AB9F7ED" w14:textId="77777777" w:rsidR="004E6452" w:rsidRPr="001570EA" w:rsidRDefault="004E6452">
            <w:pPr>
              <w:keepNext/>
              <w:spacing w:before="60" w:after="60"/>
              <w:jc w:val="center"/>
              <w:rPr>
                <w:rFonts w:cs="Arial"/>
                <w:sz w:val="18"/>
                <w:szCs w:val="18"/>
              </w:rPr>
            </w:pPr>
            <w:r w:rsidRPr="001570EA">
              <w:rPr>
                <w:rFonts w:cs="Arial"/>
                <w:sz w:val="18"/>
                <w:szCs w:val="18"/>
              </w:rPr>
              <w:t>EDC Data Gathering</w:t>
            </w:r>
          </w:p>
          <w:p w14:paraId="1B68EBFB" w14:textId="7A3D0B6D" w:rsidR="004E6452" w:rsidRPr="001570EA" w:rsidRDefault="004E6452">
            <w:pPr>
              <w:keepNext/>
              <w:spacing w:before="60" w:after="60"/>
              <w:jc w:val="center"/>
              <w:rPr>
                <w:noProof/>
                <w:sz w:val="18"/>
                <w:szCs w:val="18"/>
              </w:rPr>
            </w:pPr>
            <w:r w:rsidRPr="001570EA">
              <w:rPr>
                <w:rFonts w:cs="Arial"/>
                <w:sz w:val="18"/>
                <w:szCs w:val="18"/>
              </w:rPr>
              <w:t>D</w:t>
            </w:r>
            <w:r w:rsidRPr="001570EA">
              <w:rPr>
                <w:sz w:val="18"/>
                <w:szCs w:val="18"/>
              </w:rPr>
              <w:t xml:space="preserve">efault = </w:t>
            </w:r>
            <w:r w:rsidR="00F253A7" w:rsidRPr="001570EA">
              <w:rPr>
                <w:rFonts w:cs="Arial"/>
                <w:sz w:val="18"/>
                <w:szCs w:val="18"/>
              </w:rPr>
              <w:fldChar w:fldCharType="begin"/>
            </w:r>
            <w:r w:rsidR="00F253A7" w:rsidRPr="001570EA">
              <w:rPr>
                <w:rFonts w:cs="Arial"/>
                <w:sz w:val="18"/>
                <w:szCs w:val="18"/>
              </w:rPr>
              <w:instrText xml:space="preserve"> REF _Ref163939350 \h </w:instrText>
            </w:r>
            <w:r w:rsidR="001570EA">
              <w:rPr>
                <w:rFonts w:cs="Arial"/>
                <w:sz w:val="18"/>
                <w:szCs w:val="18"/>
              </w:rPr>
              <w:instrText xml:space="preserve"> \* MERGEFORMAT </w:instrText>
            </w:r>
            <w:r w:rsidR="00F253A7" w:rsidRPr="001570EA">
              <w:rPr>
                <w:rFonts w:cs="Arial"/>
                <w:sz w:val="18"/>
                <w:szCs w:val="18"/>
              </w:rPr>
            </w:r>
            <w:r w:rsidR="00F253A7" w:rsidRPr="001570EA">
              <w:rPr>
                <w:rFonts w:cs="Arial"/>
                <w:sz w:val="18"/>
                <w:szCs w:val="18"/>
              </w:rPr>
              <w:fldChar w:fldCharType="separate"/>
            </w:r>
            <w:r w:rsidR="00234C6C" w:rsidRPr="001570EA">
              <w:t xml:space="preserve">Table </w:t>
            </w:r>
            <w:r w:rsidR="00234C6C" w:rsidRPr="001570EA">
              <w:rPr>
                <w:noProof/>
              </w:rPr>
              <w:t>2</w:t>
            </w:r>
            <w:r w:rsidR="00F253A7" w:rsidRPr="001570EA">
              <w:rPr>
                <w:rFonts w:cs="Arial"/>
                <w:sz w:val="18"/>
                <w:szCs w:val="18"/>
              </w:rPr>
              <w:fldChar w:fldCharType="end"/>
            </w:r>
          </w:p>
        </w:tc>
        <w:tc>
          <w:tcPr>
            <w:tcW w:w="1254" w:type="dxa"/>
            <w:vAlign w:val="center"/>
          </w:tcPr>
          <w:p w14:paraId="2331CE75" w14:textId="77777777" w:rsidR="004E6452" w:rsidRPr="001570EA" w:rsidRDefault="004E6452">
            <w:pPr>
              <w:keepNext/>
              <w:jc w:val="center"/>
              <w:rPr>
                <w:rFonts w:cs="Arial"/>
                <w:sz w:val="18"/>
                <w:szCs w:val="18"/>
              </w:rPr>
            </w:pPr>
            <w:r w:rsidRPr="001570EA">
              <w:rPr>
                <w:rFonts w:cs="Arial"/>
                <w:sz w:val="18"/>
                <w:szCs w:val="18"/>
              </w:rPr>
              <w:t xml:space="preserve">EDC Data Gathering, </w:t>
            </w:r>
          </w:p>
          <w:p w14:paraId="48CA22EA" w14:textId="77777777" w:rsidR="004E6452" w:rsidRPr="001570EA" w:rsidRDefault="004E6452">
            <w:pPr>
              <w:keepNext/>
              <w:jc w:val="center"/>
              <w:rPr>
                <w:rFonts w:cs="Arial"/>
                <w:sz w:val="18"/>
                <w:szCs w:val="18"/>
              </w:rPr>
            </w:pPr>
            <w:r w:rsidRPr="001570EA">
              <w:rPr>
                <w:rFonts w:cs="Arial"/>
                <w:sz w:val="18"/>
                <w:szCs w:val="18"/>
              </w:rPr>
              <w:t>4</w:t>
            </w:r>
          </w:p>
        </w:tc>
      </w:tr>
      <w:tr w:rsidR="004E6452" w:rsidRPr="001570EA" w14:paraId="79E35CA9" w14:textId="77777777">
        <w:trPr>
          <w:trHeight w:hRule="exact" w:val="892"/>
        </w:trPr>
        <w:tc>
          <w:tcPr>
            <w:tcW w:w="3695" w:type="dxa"/>
            <w:vAlign w:val="center"/>
          </w:tcPr>
          <w:p w14:paraId="5731753D" w14:textId="77777777" w:rsidR="004E6452" w:rsidRPr="001570EA" w:rsidRDefault="004E6452">
            <w:pPr>
              <w:keepNext/>
              <w:rPr>
                <w:rFonts w:cs="Arial"/>
                <w:sz w:val="18"/>
                <w:szCs w:val="18"/>
              </w:rPr>
            </w:pPr>
            <w:r w:rsidRPr="001570EA">
              <w:rPr>
                <w:rFonts w:cs="Arial"/>
                <w:i/>
                <w:sz w:val="18"/>
                <w:szCs w:val="18"/>
              </w:rPr>
              <w:t>ETDF</w:t>
            </w:r>
            <w:r w:rsidRPr="001570EA">
              <w:rPr>
                <w:rFonts w:cs="Arial"/>
                <w:sz w:val="18"/>
                <w:szCs w:val="18"/>
                <w:vertAlign w:val="subscript"/>
              </w:rPr>
              <w:t>s</w:t>
            </w:r>
            <w:r w:rsidRPr="001570EA">
              <w:rPr>
                <w:rFonts w:cs="Arial"/>
                <w:sz w:val="18"/>
                <w:szCs w:val="18"/>
              </w:rPr>
              <w:t>, Summer peak Energy to Demand Factor</w:t>
            </w:r>
          </w:p>
        </w:tc>
        <w:tc>
          <w:tcPr>
            <w:tcW w:w="1160" w:type="dxa"/>
            <w:vAlign w:val="center"/>
          </w:tcPr>
          <w:p w14:paraId="1F6B7B54" w14:textId="77777777" w:rsidR="004E6452" w:rsidRPr="001570EA" w:rsidRDefault="003B5E04">
            <w:pPr>
              <w:keepNext/>
              <w:jc w:val="center"/>
              <w:rPr>
                <w:rFonts w:cs="Arial"/>
                <w:sz w:val="18"/>
                <w:szCs w:val="18"/>
              </w:rPr>
            </w:pPr>
            <m:oMathPara>
              <m:oMath>
                <m:f>
                  <m:fPr>
                    <m:ctrlPr>
                      <w:rPr>
                        <w:rFonts w:ascii="Cambria Math" w:eastAsia="Arial Unicode MS" w:hAnsi="Cambria Math"/>
                        <w:i/>
                        <w:iCs/>
                        <w:sz w:val="18"/>
                        <w:szCs w:val="18"/>
                      </w:rPr>
                    </m:ctrlPr>
                  </m:fPr>
                  <m:num>
                    <m:r>
                      <w:rPr>
                        <w:rFonts w:ascii="Cambria Math" w:eastAsia="Arial Unicode MS" w:hAnsi="Cambria Math"/>
                        <w:sz w:val="18"/>
                        <w:szCs w:val="18"/>
                      </w:rPr>
                      <m:t>kW</m:t>
                    </m:r>
                  </m:num>
                  <m:den>
                    <m:r>
                      <w:rPr>
                        <w:rFonts w:ascii="Cambria Math" w:eastAsia="Arial Unicode MS" w:hAnsi="Cambria Math"/>
                        <w:sz w:val="18"/>
                        <w:szCs w:val="18"/>
                      </w:rPr>
                      <m:t>kWh</m:t>
                    </m:r>
                  </m:den>
                </m:f>
              </m:oMath>
            </m:oMathPara>
          </w:p>
        </w:tc>
        <w:tc>
          <w:tcPr>
            <w:tcW w:w="2413" w:type="dxa"/>
            <w:vAlign w:val="center"/>
          </w:tcPr>
          <w:p w14:paraId="79671B01" w14:textId="77777777" w:rsidR="004E6452" w:rsidRPr="001570EA" w:rsidRDefault="004E6452">
            <w:pPr>
              <w:keepNext/>
              <w:spacing w:before="60" w:after="60"/>
              <w:jc w:val="center"/>
              <w:rPr>
                <w:rFonts w:cs="Arial"/>
                <w:sz w:val="18"/>
                <w:szCs w:val="18"/>
              </w:rPr>
            </w:pPr>
            <w:r w:rsidRPr="001570EA">
              <w:rPr>
                <w:rFonts w:cs="Arial"/>
                <w:sz w:val="18"/>
                <w:szCs w:val="18"/>
              </w:rPr>
              <w:t>0.0001354</w:t>
            </w:r>
          </w:p>
        </w:tc>
        <w:tc>
          <w:tcPr>
            <w:tcW w:w="1254" w:type="dxa"/>
            <w:vAlign w:val="center"/>
          </w:tcPr>
          <w:p w14:paraId="0383FF3C" w14:textId="77777777" w:rsidR="004E6452" w:rsidRPr="001570EA" w:rsidRDefault="004E6452">
            <w:pPr>
              <w:keepNext/>
              <w:jc w:val="center"/>
              <w:rPr>
                <w:rFonts w:cs="Arial"/>
                <w:sz w:val="18"/>
                <w:szCs w:val="18"/>
              </w:rPr>
            </w:pPr>
            <w:r w:rsidRPr="001570EA">
              <w:rPr>
                <w:rFonts w:cs="Arial"/>
                <w:sz w:val="18"/>
                <w:szCs w:val="18"/>
              </w:rPr>
              <w:t>5</w:t>
            </w:r>
          </w:p>
        </w:tc>
      </w:tr>
      <w:tr w:rsidR="004E6452" w:rsidRPr="001570EA" w14:paraId="679E47BC" w14:textId="77777777">
        <w:trPr>
          <w:trHeight w:hRule="exact" w:val="892"/>
        </w:trPr>
        <w:tc>
          <w:tcPr>
            <w:tcW w:w="3695" w:type="dxa"/>
            <w:vAlign w:val="center"/>
          </w:tcPr>
          <w:p w14:paraId="2266C49F" w14:textId="77777777" w:rsidR="004E6452" w:rsidRPr="001570EA" w:rsidRDefault="004E6452">
            <w:pPr>
              <w:keepNext/>
              <w:rPr>
                <w:rFonts w:cs="Arial"/>
                <w:i/>
                <w:sz w:val="18"/>
                <w:szCs w:val="18"/>
              </w:rPr>
            </w:pPr>
            <w:r w:rsidRPr="001570EA">
              <w:rPr>
                <w:rFonts w:cs="Arial"/>
                <w:i/>
                <w:sz w:val="18"/>
                <w:szCs w:val="18"/>
              </w:rPr>
              <w:t>ETDF</w:t>
            </w:r>
            <w:r w:rsidRPr="001570EA">
              <w:rPr>
                <w:rFonts w:cs="Arial"/>
                <w:i/>
                <w:sz w:val="18"/>
                <w:szCs w:val="18"/>
                <w:vertAlign w:val="subscript"/>
              </w:rPr>
              <w:t>w</w:t>
            </w:r>
            <w:r w:rsidRPr="001570EA">
              <w:rPr>
                <w:rFonts w:cs="Arial"/>
                <w:sz w:val="18"/>
                <w:szCs w:val="18"/>
              </w:rPr>
              <w:t>, Winter peak Energy to Demand Factor</w:t>
            </w:r>
          </w:p>
        </w:tc>
        <w:tc>
          <w:tcPr>
            <w:tcW w:w="1160" w:type="dxa"/>
            <w:vAlign w:val="center"/>
          </w:tcPr>
          <w:p w14:paraId="5B91B9BD" w14:textId="77777777" w:rsidR="004E6452" w:rsidRPr="001570EA" w:rsidRDefault="003B5E04">
            <w:pPr>
              <w:keepNext/>
              <w:jc w:val="center"/>
              <w:rPr>
                <w:rFonts w:cs="Arial"/>
                <w:color w:val="000000"/>
                <w:sz w:val="18"/>
                <w:szCs w:val="18"/>
              </w:rPr>
            </w:pPr>
            <m:oMathPara>
              <m:oMath>
                <m:f>
                  <m:fPr>
                    <m:ctrlPr>
                      <w:rPr>
                        <w:rFonts w:ascii="Cambria Math" w:eastAsia="Arial Unicode MS" w:hAnsi="Cambria Math"/>
                        <w:i/>
                        <w:iCs/>
                        <w:sz w:val="18"/>
                        <w:szCs w:val="18"/>
                      </w:rPr>
                    </m:ctrlPr>
                  </m:fPr>
                  <m:num>
                    <m:r>
                      <w:rPr>
                        <w:rFonts w:ascii="Cambria Math" w:eastAsia="Arial Unicode MS" w:hAnsi="Cambria Math"/>
                        <w:sz w:val="18"/>
                        <w:szCs w:val="18"/>
                      </w:rPr>
                      <m:t>kW</m:t>
                    </m:r>
                  </m:num>
                  <m:den>
                    <m:r>
                      <w:rPr>
                        <w:rFonts w:ascii="Cambria Math" w:eastAsia="Arial Unicode MS" w:hAnsi="Cambria Math"/>
                        <w:sz w:val="18"/>
                        <w:szCs w:val="18"/>
                      </w:rPr>
                      <m:t>kWh</m:t>
                    </m:r>
                  </m:den>
                </m:f>
              </m:oMath>
            </m:oMathPara>
          </w:p>
        </w:tc>
        <w:tc>
          <w:tcPr>
            <w:tcW w:w="2413" w:type="dxa"/>
            <w:vAlign w:val="center"/>
          </w:tcPr>
          <w:p w14:paraId="008F676C" w14:textId="77777777" w:rsidR="004E6452" w:rsidRPr="001570EA" w:rsidRDefault="004E6452">
            <w:pPr>
              <w:keepNext/>
              <w:spacing w:before="60" w:after="60"/>
              <w:jc w:val="center"/>
              <w:rPr>
                <w:rFonts w:cs="Arial"/>
                <w:sz w:val="18"/>
                <w:szCs w:val="18"/>
              </w:rPr>
            </w:pPr>
            <w:r w:rsidRPr="001570EA">
              <w:rPr>
                <w:rFonts w:cs="Arial"/>
                <w:sz w:val="18"/>
                <w:szCs w:val="18"/>
              </w:rPr>
              <w:t>0.0001014</w:t>
            </w:r>
          </w:p>
        </w:tc>
        <w:tc>
          <w:tcPr>
            <w:tcW w:w="1254" w:type="dxa"/>
            <w:vAlign w:val="center"/>
          </w:tcPr>
          <w:p w14:paraId="187F52F5" w14:textId="77777777" w:rsidR="004E6452" w:rsidRPr="001570EA" w:rsidRDefault="004E6452">
            <w:pPr>
              <w:keepNext/>
              <w:jc w:val="center"/>
              <w:rPr>
                <w:rFonts w:cs="Arial"/>
                <w:sz w:val="18"/>
                <w:szCs w:val="18"/>
              </w:rPr>
            </w:pPr>
            <w:r w:rsidRPr="001570EA">
              <w:rPr>
                <w:rFonts w:cs="Arial"/>
                <w:sz w:val="18"/>
                <w:szCs w:val="18"/>
              </w:rPr>
              <w:t>5</w:t>
            </w:r>
          </w:p>
        </w:tc>
      </w:tr>
    </w:tbl>
    <w:p w14:paraId="3E32EE9F" w14:textId="77777777" w:rsidR="004E6452" w:rsidRPr="001570EA" w:rsidRDefault="004E6452" w:rsidP="004E6452">
      <w:pPr>
        <w:rPr>
          <w:rFonts w:cs="Arial"/>
        </w:rPr>
      </w:pPr>
    </w:p>
    <w:p w14:paraId="42F91A89" w14:textId="28CDD489" w:rsidR="004E6452" w:rsidRPr="001570EA" w:rsidRDefault="004E6452" w:rsidP="004E6452">
      <w:pPr>
        <w:rPr>
          <w:rFonts w:cs="Arial"/>
        </w:rPr>
      </w:pPr>
      <w:r w:rsidRPr="001570EA">
        <w:rPr>
          <w:rFonts w:cs="Arial"/>
        </w:rPr>
        <w:t xml:space="preserve">Refrigerator energy use is characterized by configuration (top freezer, bottom freezer, etc.), volume, whether defrost is manual or automatic, and whether there is an automatic icemaker, and whether there is through-the-door ice. If this information is known, annual energy consumption </w:t>
      </w:r>
      <w:r w:rsidRPr="001570EA">
        <w:rPr>
          <w:rFonts w:cs="Arial"/>
          <w:iCs/>
          <w:color w:val="000000"/>
        </w:rPr>
        <w:t>(</w:t>
      </w:r>
      <w:r w:rsidRPr="001570EA">
        <w:rPr>
          <w:rFonts w:cs="Arial"/>
          <w:color w:val="000000"/>
        </w:rPr>
        <w:t>kWh</w:t>
      </w:r>
      <w:r w:rsidRPr="001570EA">
        <w:rPr>
          <w:rFonts w:cs="Arial"/>
          <w:color w:val="000000"/>
          <w:vertAlign w:val="subscript"/>
        </w:rPr>
        <w:t>base</w:t>
      </w:r>
      <w:r w:rsidRPr="001570EA">
        <w:rPr>
          <w:rFonts w:cs="Arial"/>
          <w:i/>
          <w:iCs/>
          <w:color w:val="000000"/>
        </w:rPr>
        <w:t>)</w:t>
      </w:r>
      <w:r w:rsidRPr="001570EA">
        <w:rPr>
          <w:rFonts w:ascii="Calibri" w:hAnsi="Calibri"/>
          <w:i/>
          <w:iCs/>
          <w:color w:val="000000"/>
        </w:rPr>
        <w:t xml:space="preserve"> </w:t>
      </w:r>
      <w:r w:rsidRPr="001570EA">
        <w:rPr>
          <w:rFonts w:cs="Arial"/>
        </w:rPr>
        <w:t xml:space="preserve">of the federal standard model may be determined using </w:t>
      </w:r>
      <w:r w:rsidRPr="001570EA">
        <w:rPr>
          <w:rFonts w:cs="Arial"/>
        </w:rPr>
        <w:fldChar w:fldCharType="begin"/>
      </w:r>
      <w:r w:rsidRPr="001570EA">
        <w:rPr>
          <w:rFonts w:cs="Arial"/>
        </w:rPr>
        <w:instrText xml:space="preserve"> REF _Ref533166067 \h  \* MERGEFORMAT </w:instrText>
      </w:r>
      <w:r w:rsidRPr="001570EA">
        <w:rPr>
          <w:rFonts w:cs="Arial"/>
        </w:rPr>
      </w:r>
      <w:r w:rsidRPr="001570EA">
        <w:rPr>
          <w:rFonts w:cs="Arial"/>
        </w:rPr>
        <w:fldChar w:fldCharType="separate"/>
      </w:r>
      <w:r w:rsidR="00234C6C" w:rsidRPr="001570EA">
        <w:t xml:space="preserve">Table </w:t>
      </w:r>
      <w:r w:rsidR="00234C6C" w:rsidRPr="001570EA">
        <w:rPr>
          <w:noProof/>
        </w:rPr>
        <w:t>2</w:t>
      </w:r>
      <w:r w:rsidRPr="001570EA">
        <w:rPr>
          <w:rFonts w:cs="Arial"/>
        </w:rPr>
        <w:fldChar w:fldCharType="end"/>
      </w:r>
      <w:r w:rsidR="00F47810">
        <w:rPr>
          <w:rFonts w:cs="Arial"/>
        </w:rPr>
        <w:t>-81</w:t>
      </w:r>
      <w:r w:rsidRPr="001570EA">
        <w:rPr>
          <w:rFonts w:cs="Arial"/>
        </w:rPr>
        <w:t>. The efficient model’s annual energy consumption (</w:t>
      </w:r>
      <w:r w:rsidRPr="001570EA">
        <w:rPr>
          <w:rFonts w:cs="Arial"/>
          <w:iCs/>
        </w:rPr>
        <w:t>kWh</w:t>
      </w:r>
      <w:r w:rsidRPr="001570EA">
        <w:rPr>
          <w:rFonts w:cs="Arial"/>
          <w:iCs/>
          <w:vertAlign w:val="subscript"/>
        </w:rPr>
        <w:t>ee</w:t>
      </w:r>
      <w:r w:rsidRPr="001570EA">
        <w:rPr>
          <w:rFonts w:cs="Arial"/>
          <w:vertAlign w:val="subscript"/>
        </w:rPr>
        <w:t xml:space="preserve"> </w:t>
      </w:r>
      <w:r w:rsidRPr="001570EA">
        <w:rPr>
          <w:rFonts w:cs="Arial"/>
        </w:rPr>
        <w:t xml:space="preserve">or </w:t>
      </w:r>
      <w:r w:rsidRPr="001570EA">
        <w:rPr>
          <w:rFonts w:cs="Arial"/>
          <w:iCs/>
        </w:rPr>
        <w:t>kWh</w:t>
      </w:r>
      <w:r w:rsidRPr="001570EA">
        <w:rPr>
          <w:rFonts w:cs="Arial"/>
          <w:iCs/>
          <w:vertAlign w:val="subscript"/>
        </w:rPr>
        <w:t>me</w:t>
      </w:r>
      <w:r w:rsidRPr="001570EA">
        <w:rPr>
          <w:rFonts w:cs="Arial"/>
        </w:rPr>
        <w:t xml:space="preserve">) may be determined using manufacturer’s test data for the given model. Where test data is not available, the algorithms in </w:t>
      </w:r>
      <w:r w:rsidR="008E0138" w:rsidRPr="001570EA">
        <w:rPr>
          <w:rFonts w:cs="Arial"/>
        </w:rPr>
        <w:fldChar w:fldCharType="begin"/>
      </w:r>
      <w:r w:rsidR="008E0138" w:rsidRPr="001570EA">
        <w:rPr>
          <w:rFonts w:cs="Arial"/>
        </w:rPr>
        <w:instrText xml:space="preserve"> REF _Ref163560133 \h </w:instrText>
      </w:r>
      <w:r w:rsidR="001570EA">
        <w:rPr>
          <w:rFonts w:cs="Arial"/>
        </w:rPr>
        <w:instrText xml:space="preserve"> \* MERGEFORMAT </w:instrText>
      </w:r>
      <w:r w:rsidR="008E0138" w:rsidRPr="001570EA">
        <w:rPr>
          <w:rFonts w:cs="Arial"/>
        </w:rPr>
      </w:r>
      <w:r w:rsidR="008E0138" w:rsidRPr="001570EA">
        <w:rPr>
          <w:rFonts w:cs="Arial"/>
        </w:rPr>
        <w:fldChar w:fldCharType="separate"/>
      </w:r>
      <w:r w:rsidR="00607404" w:rsidRPr="001570EA">
        <w:t xml:space="preserve">Table </w:t>
      </w:r>
      <w:r w:rsidR="00607404" w:rsidRPr="001570EA">
        <w:rPr>
          <w:noProof/>
        </w:rPr>
        <w:t>2</w:t>
      </w:r>
      <w:r w:rsidR="00607404" w:rsidRPr="001570EA">
        <w:rPr>
          <w:noProof/>
        </w:rPr>
        <w:noBreakHyphen/>
        <w:t>82</w:t>
      </w:r>
      <w:r w:rsidR="008E0138" w:rsidRPr="001570EA">
        <w:rPr>
          <w:rFonts w:cs="Arial"/>
        </w:rPr>
        <w:fldChar w:fldCharType="end"/>
      </w:r>
      <w:r w:rsidRPr="001570EA">
        <w:rPr>
          <w:rFonts w:cs="Arial"/>
        </w:rPr>
        <w:t xml:space="preserve"> for ENERGY STAR and ENERGY STAR Most Efficient maximum energy usage may be used to determine efficient energy consumption for a conservative savings estimate.</w:t>
      </w:r>
    </w:p>
    <w:p w14:paraId="697BCC43" w14:textId="77777777" w:rsidR="004E6452" w:rsidRPr="001570EA" w:rsidRDefault="004E6452" w:rsidP="004E6452">
      <w:pPr>
        <w:rPr>
          <w:rFonts w:cs="Arial"/>
        </w:rPr>
      </w:pPr>
    </w:p>
    <w:p w14:paraId="4D582604" w14:textId="77777777" w:rsidR="004E6452" w:rsidRPr="001570EA" w:rsidRDefault="004E6452" w:rsidP="004E6452">
      <w:pPr>
        <w:rPr>
          <w:rFonts w:cs="Arial"/>
        </w:rPr>
      </w:pPr>
      <w:r w:rsidRPr="001570EA">
        <w:rPr>
          <w:rFonts w:cs="Arial"/>
        </w:rPr>
        <w:t>The term “AV” in the equations refers to “Adjusted Volume” in ft</w:t>
      </w:r>
      <w:r w:rsidRPr="001570EA">
        <w:rPr>
          <w:rFonts w:cs="Arial"/>
          <w:vertAlign w:val="superscript"/>
        </w:rPr>
        <w:t>3</w:t>
      </w:r>
      <w:r w:rsidRPr="001570EA">
        <w:rPr>
          <w:rFonts w:cs="Arial"/>
        </w:rPr>
        <w:t>. For Category 1 and 1A “All-refrigerators”:</w:t>
      </w:r>
    </w:p>
    <w:p w14:paraId="49B75513" w14:textId="77777777" w:rsidR="004E6452" w:rsidRPr="001570EA" w:rsidRDefault="004E6452" w:rsidP="004E6452">
      <w:pPr>
        <w:spacing w:before="120" w:after="120"/>
        <w:rPr>
          <w:rFonts w:cs="Arial"/>
        </w:rPr>
      </w:pPr>
      <w:r w:rsidRPr="001570EA">
        <w:rPr>
          <w:rFonts w:ascii="Cambria Math" w:hAnsi="Cambria Math" w:cs="Arial"/>
          <w:i/>
        </w:rPr>
        <w:t>AV</w:t>
      </w:r>
      <w:r w:rsidRPr="001570EA">
        <w:rPr>
          <w:rFonts w:cs="Arial"/>
        </w:rPr>
        <w:tab/>
      </w:r>
      <m:oMath>
        <m:r>
          <w:rPr>
            <w:rFonts w:ascii="Cambria Math" w:hAnsi="Cambria Math" w:cs="Arial"/>
          </w:rPr>
          <m:t>=Fresh Volume+Freezer Volume</m:t>
        </m:r>
      </m:oMath>
    </w:p>
    <w:p w14:paraId="194789C7" w14:textId="77777777" w:rsidR="004E6452" w:rsidRPr="001570EA" w:rsidRDefault="004E6452" w:rsidP="004E6452">
      <w:pPr>
        <w:rPr>
          <w:rFonts w:cs="Arial"/>
        </w:rPr>
      </w:pPr>
      <w:r w:rsidRPr="001570EA">
        <w:rPr>
          <w:rFonts w:cs="Arial"/>
        </w:rPr>
        <w:t>For all other categories:</w:t>
      </w:r>
    </w:p>
    <w:p w14:paraId="687D62E5" w14:textId="77777777" w:rsidR="004E6452" w:rsidRPr="001570EA" w:rsidRDefault="004E6452" w:rsidP="004E6452">
      <w:pPr>
        <w:spacing w:before="120"/>
        <w:rPr>
          <w:rFonts w:cs="Arial"/>
        </w:rPr>
      </w:pPr>
      <w:r w:rsidRPr="001570EA">
        <w:rPr>
          <w:rFonts w:ascii="Cambria Math" w:hAnsi="Cambria Math" w:cs="Arial"/>
          <w:i/>
        </w:rPr>
        <w:t>AV</w:t>
      </w:r>
      <w:r w:rsidRPr="001570EA">
        <w:rPr>
          <w:rFonts w:cs="Arial"/>
        </w:rPr>
        <w:tab/>
      </w:r>
      <m:oMath>
        <m:r>
          <w:rPr>
            <w:rFonts w:ascii="Cambria Math" w:hAnsi="Cambria Math" w:cs="Arial"/>
          </w:rPr>
          <m:t>=Fresh Volume+1.76×Freezer Volume</m:t>
        </m:r>
      </m:oMath>
    </w:p>
    <w:p w14:paraId="2D47CF99" w14:textId="77777777" w:rsidR="004E6452" w:rsidRPr="001570EA" w:rsidRDefault="004E6452" w:rsidP="004E6452">
      <w:pPr>
        <w:rPr>
          <w:rFonts w:ascii="Cambria Math" w:hAnsi="Cambria Math" w:cs="Arial"/>
        </w:rPr>
      </w:pPr>
    </w:p>
    <w:p w14:paraId="36F3E358" w14:textId="13275B04" w:rsidR="004E6452" w:rsidRPr="001570EA" w:rsidRDefault="004E6452" w:rsidP="004E6452">
      <w:pPr>
        <w:rPr>
          <w:rFonts w:cs="Arial"/>
        </w:rPr>
      </w:pPr>
      <w:r w:rsidRPr="001570EA">
        <w:rPr>
          <w:rFonts w:cs="Arial"/>
        </w:rPr>
        <w:t xml:space="preserve">I = 1 for a product with an automatic icemaker and 0 for a product without an automatic icemaker. See </w:t>
      </w:r>
      <w:r w:rsidR="00605D9E" w:rsidRPr="001570EA">
        <w:rPr>
          <w:rFonts w:cs="Arial"/>
        </w:rPr>
        <w:fldChar w:fldCharType="begin"/>
      </w:r>
      <w:r w:rsidR="00605D9E" w:rsidRPr="001570EA">
        <w:rPr>
          <w:rFonts w:cs="Arial"/>
        </w:rPr>
        <w:instrText xml:space="preserve"> REF _Ref163560133 \h </w:instrText>
      </w:r>
      <w:r w:rsidR="001570EA">
        <w:rPr>
          <w:rFonts w:cs="Arial"/>
        </w:rPr>
        <w:instrText xml:space="preserve"> \* MERGEFORMAT </w:instrText>
      </w:r>
      <w:r w:rsidR="00605D9E" w:rsidRPr="001570EA">
        <w:rPr>
          <w:rFonts w:cs="Arial"/>
        </w:rPr>
      </w:r>
      <w:r w:rsidR="00605D9E" w:rsidRPr="001570EA">
        <w:rPr>
          <w:rFonts w:cs="Arial"/>
        </w:rPr>
        <w:fldChar w:fldCharType="separate"/>
      </w:r>
      <w:r w:rsidR="009F69CA" w:rsidRPr="001570EA">
        <w:t xml:space="preserve">Table </w:t>
      </w:r>
      <w:r w:rsidR="009F69CA" w:rsidRPr="001570EA">
        <w:rPr>
          <w:noProof/>
        </w:rPr>
        <w:t>2</w:t>
      </w:r>
      <w:r w:rsidR="009F69CA" w:rsidRPr="001570EA">
        <w:rPr>
          <w:noProof/>
        </w:rPr>
        <w:noBreakHyphen/>
        <w:t>82</w:t>
      </w:r>
      <w:r w:rsidR="00605D9E" w:rsidRPr="001570EA">
        <w:rPr>
          <w:rFonts w:cs="Arial"/>
        </w:rPr>
        <w:fldChar w:fldCharType="end"/>
      </w:r>
      <w:r w:rsidRPr="001570EA">
        <w:rPr>
          <w:rFonts w:cs="Arial"/>
        </w:rPr>
        <w:t xml:space="preserve"> for door coefficients.</w:t>
      </w:r>
    </w:p>
    <w:p w14:paraId="45657ABD" w14:textId="77777777" w:rsidR="004E6452" w:rsidRPr="001570EA" w:rsidRDefault="004E6452" w:rsidP="004E6452">
      <w:pPr>
        <w:rPr>
          <w:rFonts w:cs="Arial"/>
        </w:rPr>
      </w:pPr>
    </w:p>
    <w:p w14:paraId="61228158" w14:textId="0386008E" w:rsidR="004E6452" w:rsidRPr="001570EA" w:rsidRDefault="004E6452" w:rsidP="004E6452">
      <w:pPr>
        <w:pStyle w:val="Caption"/>
      </w:pPr>
      <w:bookmarkStart w:id="534" w:name="_Ref533166067"/>
      <w:bookmarkStart w:id="535" w:name="_Toc530141732"/>
      <w:bookmarkStart w:id="536" w:name="_Toc4759831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81</w:t>
      </w:r>
      <w:r w:rsidR="002E093A" w:rsidRPr="001570EA">
        <w:fldChar w:fldCharType="end"/>
      </w:r>
      <w:bookmarkEnd w:id="534"/>
      <w:r w:rsidRPr="001570EA">
        <w:t>: Federal Standard Maximum Annual Energy Consumption</w:t>
      </w:r>
      <w:r w:rsidRPr="001570EA">
        <w:rPr>
          <w:rStyle w:val="FootnoteReference"/>
          <w:rFonts w:cs="Arial"/>
        </w:rPr>
        <w:footnoteReference w:id="5"/>
      </w:r>
      <w:bookmarkEnd w:id="535"/>
      <w:bookmarkEnd w:id="536"/>
    </w:p>
    <w:tbl>
      <w:tblPr>
        <w:tblW w:w="5000" w:type="pct"/>
        <w:tblLook w:val="04A0" w:firstRow="1" w:lastRow="0" w:firstColumn="1" w:lastColumn="0" w:noHBand="0" w:noVBand="1"/>
      </w:tblPr>
      <w:tblGrid>
        <w:gridCol w:w="2202"/>
        <w:gridCol w:w="1884"/>
        <w:gridCol w:w="1891"/>
        <w:gridCol w:w="2653"/>
      </w:tblGrid>
      <w:tr w:rsidR="004E6452" w:rsidRPr="001570EA" w14:paraId="595F0006" w14:textId="77777777">
        <w:trPr>
          <w:trHeight w:val="845"/>
          <w:tblHeader/>
        </w:trPr>
        <w:tc>
          <w:tcPr>
            <w:tcW w:w="130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3C90143" w14:textId="77777777" w:rsidR="004E6452" w:rsidRPr="001570EA" w:rsidRDefault="004E6452">
            <w:pPr>
              <w:spacing w:before="80" w:after="80"/>
              <w:rPr>
                <w:rFonts w:cs="Arial"/>
                <w:b/>
                <w:bCs/>
                <w:color w:val="000000"/>
                <w:sz w:val="18"/>
                <w:szCs w:val="18"/>
              </w:rPr>
            </w:pPr>
            <w:r w:rsidRPr="001570EA">
              <w:rPr>
                <w:rFonts w:cs="Arial"/>
                <w:b/>
                <w:bCs/>
                <w:color w:val="000000"/>
                <w:sz w:val="18"/>
                <w:szCs w:val="18"/>
              </w:rPr>
              <w:t>Refrigerator Category</w:t>
            </w:r>
          </w:p>
        </w:tc>
        <w:tc>
          <w:tcPr>
            <w:tcW w:w="1124"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1421738" w14:textId="77777777" w:rsidR="004E6452" w:rsidRPr="001570EA" w:rsidRDefault="004E6452">
            <w:pPr>
              <w:spacing w:before="80" w:after="80"/>
              <w:jc w:val="center"/>
              <w:rPr>
                <w:rFonts w:ascii="Arial Bold" w:hAnsi="Arial Bold" w:cs="Arial"/>
                <w:b/>
                <w:bCs/>
                <w:color w:val="000000"/>
                <w:sz w:val="18"/>
                <w:szCs w:val="18"/>
              </w:rPr>
            </w:pPr>
            <w:r w:rsidRPr="001570EA">
              <w:rPr>
                <w:rFonts w:cs="Arial"/>
                <w:b/>
                <w:bCs/>
                <w:color w:val="000000"/>
                <w:sz w:val="18"/>
                <w:szCs w:val="18"/>
              </w:rPr>
              <w:t>9/15/14 - 1/30/29</w:t>
            </w:r>
          </w:p>
        </w:tc>
        <w:tc>
          <w:tcPr>
            <w:tcW w:w="112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6F819BCD" w14:textId="77777777" w:rsidR="004E6452" w:rsidRPr="001570EA" w:rsidRDefault="004E6452">
            <w:pPr>
              <w:spacing w:before="80" w:after="80"/>
              <w:jc w:val="center"/>
              <w:rPr>
                <w:rFonts w:cs="Arial"/>
                <w:b/>
                <w:bCs/>
                <w:color w:val="000000"/>
                <w:sz w:val="18"/>
                <w:szCs w:val="18"/>
              </w:rPr>
            </w:pPr>
            <w:r w:rsidRPr="001570EA">
              <w:rPr>
                <w:rFonts w:cs="Arial"/>
                <w:b/>
                <w:bCs/>
                <w:color w:val="000000"/>
                <w:sz w:val="18"/>
                <w:szCs w:val="18"/>
              </w:rPr>
              <w:t>1/31/29 - 1/30/30</w:t>
            </w:r>
          </w:p>
        </w:tc>
        <w:tc>
          <w:tcPr>
            <w:tcW w:w="14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430D38" w14:textId="77777777" w:rsidR="004E6452" w:rsidRPr="001570EA" w:rsidRDefault="004E6452">
            <w:pPr>
              <w:spacing w:before="80" w:after="80"/>
              <w:jc w:val="center"/>
              <w:rPr>
                <w:rFonts w:ascii="Arial Bold" w:hAnsi="Arial Bold" w:cs="Arial"/>
                <w:b/>
                <w:bCs/>
                <w:color w:val="000000"/>
                <w:sz w:val="18"/>
                <w:szCs w:val="18"/>
                <w:vertAlign w:val="superscript"/>
              </w:rPr>
            </w:pPr>
            <w:r w:rsidRPr="001570EA">
              <w:rPr>
                <w:rFonts w:cs="Arial"/>
                <w:b/>
                <w:bCs/>
                <w:color w:val="000000"/>
                <w:sz w:val="18"/>
                <w:szCs w:val="18"/>
              </w:rPr>
              <w:t>As of 1/31/30</w:t>
            </w:r>
          </w:p>
        </w:tc>
      </w:tr>
      <w:tr w:rsidR="004E6452" w:rsidRPr="001570EA" w14:paraId="3FD34A9C"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2C90C87D" w14:textId="77777777" w:rsidR="004E6452" w:rsidRPr="001570EA" w:rsidRDefault="004E6452">
            <w:pPr>
              <w:spacing w:before="80" w:after="80"/>
              <w:rPr>
                <w:rFonts w:cs="Arial"/>
                <w:color w:val="000000"/>
                <w:sz w:val="18"/>
                <w:szCs w:val="18"/>
              </w:rPr>
            </w:pPr>
            <w:r w:rsidRPr="001570EA">
              <w:rPr>
                <w:rFonts w:cs="Arial"/>
                <w:color w:val="000000"/>
                <w:sz w:val="18"/>
                <w:szCs w:val="18"/>
              </w:rPr>
              <w:t>1. Refrigerator-freezers and refrigerators other than all-refrigerators with manual defrost.</w:t>
            </w:r>
          </w:p>
        </w:tc>
        <w:tc>
          <w:tcPr>
            <w:tcW w:w="2252" w:type="pct"/>
            <w:gridSpan w:val="2"/>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496822E0"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7.99 × AV + 225.0</w:t>
            </w:r>
          </w:p>
        </w:tc>
        <w:tc>
          <w:tcPr>
            <w:tcW w:w="1439"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3B0EBF72"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6.79 x AV + 191.3</w:t>
            </w:r>
          </w:p>
        </w:tc>
      </w:tr>
      <w:tr w:rsidR="004E6452" w:rsidRPr="001570EA" w14:paraId="1E7CCD21"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27E2267A"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1A. All-refrigerators—manual defrost.</w:t>
            </w:r>
          </w:p>
        </w:tc>
        <w:tc>
          <w:tcPr>
            <w:tcW w:w="2252" w:type="pct"/>
            <w:gridSpan w:val="2"/>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29EAEE10"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6.79 × AV + 193.6</w:t>
            </w:r>
          </w:p>
        </w:tc>
        <w:tc>
          <w:tcPr>
            <w:tcW w:w="1439"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34BBAA30"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5.77AV + 164.6</w:t>
            </w:r>
          </w:p>
        </w:tc>
      </w:tr>
      <w:tr w:rsidR="004E6452" w:rsidRPr="001570EA" w14:paraId="21EDC7ED"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34D62EB9"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2. Refrigerator-freezers—partial automatic defrost</w:t>
            </w:r>
          </w:p>
        </w:tc>
        <w:tc>
          <w:tcPr>
            <w:tcW w:w="2252" w:type="pct"/>
            <w:gridSpan w:val="2"/>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17CB50D7"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7.99 × AV + 225.0</w:t>
            </w:r>
          </w:p>
        </w:tc>
        <w:tc>
          <w:tcPr>
            <w:tcW w:w="1439"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6DE91594"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(6.79 x AV + 191.3) × K2</w:t>
            </w:r>
          </w:p>
        </w:tc>
      </w:tr>
      <w:tr w:rsidR="004E6452" w:rsidRPr="001570EA" w14:paraId="30FD4AAF"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3A1B9DFF"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3. Refrigerator-freezers—automatic defrost with top-mounted freezer without an automatic icemaker.</w:t>
            </w:r>
          </w:p>
        </w:tc>
        <w:tc>
          <w:tcPr>
            <w:tcW w:w="2252" w:type="pct"/>
            <w:gridSpan w:val="2"/>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508923BD"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8.07 × AV + 233.7</w:t>
            </w:r>
          </w:p>
        </w:tc>
        <w:tc>
          <w:tcPr>
            <w:tcW w:w="1439"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382CFD46"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6.86 x AV + 198.6 + 28I</w:t>
            </w:r>
          </w:p>
        </w:tc>
      </w:tr>
      <w:tr w:rsidR="004E6452" w:rsidRPr="001570EA" w14:paraId="406688C8"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0026F6C4" w14:textId="77777777" w:rsidR="004E6452" w:rsidRPr="001570EA" w:rsidRDefault="004E6452">
            <w:pPr>
              <w:spacing w:before="80" w:after="80"/>
              <w:rPr>
                <w:rFonts w:cs="Arial"/>
                <w:color w:val="000000"/>
                <w:sz w:val="18"/>
                <w:szCs w:val="18"/>
              </w:rPr>
            </w:pPr>
            <w:r w:rsidRPr="001570EA">
              <w:rPr>
                <w:rFonts w:cs="Arial"/>
                <w:color w:val="000000"/>
                <w:sz w:val="18"/>
                <w:szCs w:val="18"/>
              </w:rPr>
              <w:t>3-BI. Built-in refrigerator-freezer—automatic defrost with top-mounted freezer without an automatic icemaker.</w:t>
            </w:r>
          </w:p>
        </w:tc>
        <w:tc>
          <w:tcPr>
            <w:tcW w:w="1124"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71D572D9"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9.15 × AV + 264.9</w:t>
            </w:r>
          </w:p>
        </w:tc>
        <w:tc>
          <w:tcPr>
            <w:tcW w:w="2567" w:type="pct"/>
            <w:gridSpan w:val="2"/>
            <w:tcBorders>
              <w:top w:val="nil"/>
              <w:left w:val="single" w:sz="4" w:space="0" w:color="auto"/>
              <w:bottom w:val="single" w:sz="4" w:space="0" w:color="000000" w:themeColor="text1"/>
              <w:right w:val="single" w:sz="4" w:space="0" w:color="auto"/>
            </w:tcBorders>
            <w:shd w:val="clear" w:color="auto" w:fill="FFFFFF" w:themeFill="background1"/>
            <w:vAlign w:val="center"/>
          </w:tcPr>
          <w:p w14:paraId="24A3F123"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8.24 x AV + 238.4 + 28I</w:t>
            </w:r>
          </w:p>
        </w:tc>
      </w:tr>
      <w:tr w:rsidR="004E6452" w:rsidRPr="001570EA" w14:paraId="583A8BEF"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389A3BEB"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3I. Refrigerator-freezers—automatic defrost with top-mounted freezer with an automatic icemaker without through-the-door ice service.</w:t>
            </w:r>
          </w:p>
        </w:tc>
        <w:tc>
          <w:tcPr>
            <w:tcW w:w="1124"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0FF9895B"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8.07 × AV + 317.7</w:t>
            </w:r>
          </w:p>
        </w:tc>
        <w:tc>
          <w:tcPr>
            <w:tcW w:w="2567" w:type="pct"/>
            <w:gridSpan w:val="2"/>
            <w:tcBorders>
              <w:top w:val="nil"/>
              <w:left w:val="single" w:sz="4" w:space="0" w:color="auto"/>
              <w:bottom w:val="single" w:sz="4" w:space="0" w:color="000000" w:themeColor="text1"/>
              <w:right w:val="single" w:sz="4" w:space="0" w:color="auto"/>
            </w:tcBorders>
            <w:shd w:val="clear" w:color="auto" w:fill="E7E6E6" w:themeFill="background2"/>
            <w:vAlign w:val="center"/>
          </w:tcPr>
          <w:p w14:paraId="73171982" w14:textId="77777777" w:rsidR="004E6452" w:rsidRPr="001570EA" w:rsidRDefault="004E6452">
            <w:pPr>
              <w:spacing w:before="80" w:after="80"/>
              <w:jc w:val="center"/>
              <w:rPr>
                <w:rFonts w:cs="Arial"/>
                <w:color w:val="000000"/>
                <w:sz w:val="18"/>
                <w:szCs w:val="18"/>
              </w:rPr>
            </w:pPr>
          </w:p>
        </w:tc>
      </w:tr>
      <w:tr w:rsidR="004E6452" w:rsidRPr="001570EA" w14:paraId="429A5091"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59172577"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3I-BI. Built-in refrigerator-freezers—automatic defrost with top-mounted freezer with an automatic icemaker without through-the-door ice service.</w:t>
            </w:r>
          </w:p>
        </w:tc>
        <w:tc>
          <w:tcPr>
            <w:tcW w:w="1124"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680537AB"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9.15 × AV + 348.9</w:t>
            </w:r>
          </w:p>
        </w:tc>
        <w:tc>
          <w:tcPr>
            <w:tcW w:w="2567" w:type="pct"/>
            <w:gridSpan w:val="2"/>
            <w:tcBorders>
              <w:top w:val="nil"/>
              <w:left w:val="single" w:sz="4" w:space="0" w:color="auto"/>
              <w:bottom w:val="single" w:sz="4" w:space="0" w:color="000000" w:themeColor="text1"/>
              <w:right w:val="single" w:sz="4" w:space="0" w:color="auto"/>
            </w:tcBorders>
            <w:shd w:val="clear" w:color="auto" w:fill="E7E6E6" w:themeFill="background2"/>
            <w:vAlign w:val="center"/>
          </w:tcPr>
          <w:p w14:paraId="2B359B7A" w14:textId="77777777" w:rsidR="004E6452" w:rsidRPr="001570EA" w:rsidRDefault="004E6452">
            <w:pPr>
              <w:spacing w:before="80" w:after="80"/>
              <w:jc w:val="center"/>
              <w:rPr>
                <w:rFonts w:cs="Arial"/>
                <w:color w:val="000000"/>
                <w:sz w:val="18"/>
                <w:szCs w:val="18"/>
              </w:rPr>
            </w:pPr>
          </w:p>
        </w:tc>
      </w:tr>
      <w:tr w:rsidR="004E6452" w:rsidRPr="001570EA" w14:paraId="72443ABB"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35119BD3"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3A. All-refrigerators—automatic defrost.</w:t>
            </w:r>
          </w:p>
        </w:tc>
        <w:tc>
          <w:tcPr>
            <w:tcW w:w="2252" w:type="pct"/>
            <w:gridSpan w:val="2"/>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7F93BCA0"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7.07 × AV + 201.6</w:t>
            </w:r>
          </w:p>
        </w:tc>
        <w:tc>
          <w:tcPr>
            <w:tcW w:w="1439"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61B83132" w14:textId="77777777" w:rsidR="004E6452" w:rsidRPr="001570EA" w:rsidRDefault="004E6452">
            <w:pPr>
              <w:spacing w:before="80" w:after="80"/>
              <w:jc w:val="center"/>
              <w:rPr>
                <w:rFonts w:cs="Arial"/>
                <w:color w:val="000000"/>
                <w:sz w:val="18"/>
                <w:szCs w:val="18"/>
              </w:rPr>
            </w:pPr>
            <w:r w:rsidRPr="001570EA">
              <w:rPr>
                <w:sz w:val="18"/>
                <w:szCs w:val="18"/>
              </w:rPr>
              <w:t xml:space="preserve">(6.01 x AV + 171.4) </w:t>
            </w:r>
            <w:r w:rsidRPr="001570EA">
              <w:rPr>
                <w:rFonts w:cs="Arial"/>
                <w:color w:val="000000"/>
                <w:sz w:val="18"/>
                <w:szCs w:val="18"/>
              </w:rPr>
              <w:t>×</w:t>
            </w:r>
            <w:r w:rsidRPr="001570EA">
              <w:rPr>
                <w:sz w:val="18"/>
                <w:szCs w:val="18"/>
              </w:rPr>
              <w:t xml:space="preserve"> K3A</w:t>
            </w:r>
          </w:p>
        </w:tc>
      </w:tr>
      <w:tr w:rsidR="004E6452" w:rsidRPr="001570EA" w14:paraId="0FADE487"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3E8E0388"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3A-BI. Built-in All-refrigerators—automatic defrost.</w:t>
            </w:r>
          </w:p>
        </w:tc>
        <w:tc>
          <w:tcPr>
            <w:tcW w:w="1124"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692A4BF3"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8.02 × AV + 228.5</w:t>
            </w:r>
          </w:p>
        </w:tc>
        <w:tc>
          <w:tcPr>
            <w:tcW w:w="2567" w:type="pct"/>
            <w:gridSpan w:val="2"/>
            <w:tcBorders>
              <w:top w:val="nil"/>
              <w:left w:val="single" w:sz="4" w:space="0" w:color="auto"/>
              <w:bottom w:val="single" w:sz="4" w:space="0" w:color="000000" w:themeColor="text1"/>
              <w:right w:val="single" w:sz="4" w:space="0" w:color="auto"/>
            </w:tcBorders>
            <w:shd w:val="clear" w:color="auto" w:fill="FFFFFF" w:themeFill="background1"/>
            <w:vAlign w:val="center"/>
          </w:tcPr>
          <w:p w14:paraId="16B0976D"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(7.22 x AV + 205.7) x K3ABI</w:t>
            </w:r>
          </w:p>
        </w:tc>
      </w:tr>
      <w:tr w:rsidR="004E6452" w:rsidRPr="001570EA" w14:paraId="5FB4336C"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1D24BDCD"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4. Refrigerator-freezers—automatic defrost with side-mounted freezer without an automatic icemaker.</w:t>
            </w:r>
          </w:p>
        </w:tc>
        <w:tc>
          <w:tcPr>
            <w:tcW w:w="2252" w:type="pct"/>
            <w:gridSpan w:val="2"/>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25922223"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8.51 × AV + 297.8</w:t>
            </w:r>
          </w:p>
        </w:tc>
        <w:tc>
          <w:tcPr>
            <w:tcW w:w="1439"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7234692F"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(7.28 x AV + 254.9) × K4 + 28I</w:t>
            </w:r>
          </w:p>
        </w:tc>
      </w:tr>
      <w:tr w:rsidR="004E6452" w:rsidRPr="001570EA" w14:paraId="2FEBEF5E"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1F25A01C"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4-BI. Built-In Refrigerator-freezers—automatic defrost with side-mounted freezer without an automatic icemaker.</w:t>
            </w:r>
          </w:p>
        </w:tc>
        <w:tc>
          <w:tcPr>
            <w:tcW w:w="1124"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017C1EE7"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10.22 × AV + 357.4</w:t>
            </w:r>
          </w:p>
        </w:tc>
        <w:tc>
          <w:tcPr>
            <w:tcW w:w="2567" w:type="pct"/>
            <w:gridSpan w:val="2"/>
            <w:tcBorders>
              <w:top w:val="nil"/>
              <w:left w:val="single" w:sz="4" w:space="0" w:color="auto"/>
              <w:bottom w:val="single" w:sz="4" w:space="0" w:color="000000" w:themeColor="text1"/>
              <w:right w:val="single" w:sz="4" w:space="0" w:color="auto"/>
            </w:tcBorders>
            <w:shd w:val="clear" w:color="auto" w:fill="FFFFFF" w:themeFill="background1"/>
            <w:vAlign w:val="center"/>
          </w:tcPr>
          <w:p w14:paraId="11BA3766"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(8.79 x AV + 307.4) × K4BI + 28I</w:t>
            </w:r>
          </w:p>
        </w:tc>
      </w:tr>
      <w:tr w:rsidR="004E6452" w:rsidRPr="001570EA" w14:paraId="0D5780A3"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094AA7AE"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4I. Refrigerator-freezers—automatic defrost with side-mounted freezer with an automatic icemaker without through-the-door ice service.</w:t>
            </w:r>
          </w:p>
        </w:tc>
        <w:tc>
          <w:tcPr>
            <w:tcW w:w="1124"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100F74B9"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8.51 × AV + 381.8</w:t>
            </w:r>
          </w:p>
        </w:tc>
        <w:tc>
          <w:tcPr>
            <w:tcW w:w="2567" w:type="pct"/>
            <w:gridSpan w:val="2"/>
            <w:tcBorders>
              <w:top w:val="nil"/>
              <w:left w:val="single" w:sz="4" w:space="0" w:color="auto"/>
              <w:bottom w:val="single" w:sz="4" w:space="0" w:color="000000" w:themeColor="text1"/>
              <w:right w:val="single" w:sz="4" w:space="0" w:color="auto"/>
            </w:tcBorders>
            <w:shd w:val="clear" w:color="auto" w:fill="E7E6E6" w:themeFill="background2"/>
            <w:vAlign w:val="center"/>
          </w:tcPr>
          <w:p w14:paraId="3BFDA95F" w14:textId="77777777" w:rsidR="004E6452" w:rsidRPr="001570EA" w:rsidRDefault="004E6452">
            <w:pPr>
              <w:spacing w:before="80" w:after="80"/>
              <w:jc w:val="center"/>
              <w:rPr>
                <w:rFonts w:cs="Arial"/>
                <w:color w:val="000000"/>
                <w:sz w:val="18"/>
                <w:szCs w:val="18"/>
              </w:rPr>
            </w:pPr>
          </w:p>
        </w:tc>
      </w:tr>
      <w:tr w:rsidR="004E6452" w:rsidRPr="001570EA" w14:paraId="51494075"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70EEA436"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4I-BI. Built-In Refrigerator-freezers—automatic defrost with side-mounted freezer with an automatic icemaker without through-the-door ice service.</w:t>
            </w:r>
          </w:p>
        </w:tc>
        <w:tc>
          <w:tcPr>
            <w:tcW w:w="1124"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0E1E91E6"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10.22 × AV + 441.4</w:t>
            </w:r>
          </w:p>
        </w:tc>
        <w:tc>
          <w:tcPr>
            <w:tcW w:w="2567" w:type="pct"/>
            <w:gridSpan w:val="2"/>
            <w:tcBorders>
              <w:top w:val="nil"/>
              <w:left w:val="single" w:sz="4" w:space="0" w:color="auto"/>
              <w:bottom w:val="single" w:sz="4" w:space="0" w:color="000000" w:themeColor="text1"/>
              <w:right w:val="single" w:sz="4" w:space="0" w:color="auto"/>
            </w:tcBorders>
            <w:shd w:val="clear" w:color="auto" w:fill="E7E6E6" w:themeFill="background2"/>
            <w:vAlign w:val="center"/>
          </w:tcPr>
          <w:p w14:paraId="45CFD5C8" w14:textId="77777777" w:rsidR="004E6452" w:rsidRPr="001570EA" w:rsidRDefault="004E6452">
            <w:pPr>
              <w:spacing w:before="80" w:after="80"/>
              <w:jc w:val="center"/>
              <w:rPr>
                <w:rFonts w:cs="Arial"/>
                <w:color w:val="000000"/>
                <w:sz w:val="18"/>
                <w:szCs w:val="18"/>
              </w:rPr>
            </w:pPr>
          </w:p>
        </w:tc>
      </w:tr>
      <w:tr w:rsidR="004E6452" w:rsidRPr="001570EA" w14:paraId="02E1143A"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023AAA70"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5. Refrigerator-freezers—automatic defrost with bottom-mounted freezer without an automatic icemaker.</w:t>
            </w:r>
          </w:p>
        </w:tc>
        <w:tc>
          <w:tcPr>
            <w:tcW w:w="2252" w:type="pct"/>
            <w:gridSpan w:val="2"/>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1FA94DAD"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8.85 × AV + 317.0</w:t>
            </w:r>
          </w:p>
        </w:tc>
        <w:tc>
          <w:tcPr>
            <w:tcW w:w="1439"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3D15A829"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(7.61 x AV + 272.6) × K5 + 28I</w:t>
            </w:r>
          </w:p>
        </w:tc>
      </w:tr>
      <w:tr w:rsidR="004E6452" w:rsidRPr="001570EA" w14:paraId="05CA58FA"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0FD194B1"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5-BI. Built-In Refrigerator-freezers—automatic defrost with bottom-mounted freezer without an automatic icemaker.</w:t>
            </w:r>
          </w:p>
        </w:tc>
        <w:tc>
          <w:tcPr>
            <w:tcW w:w="1124"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764216CD"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9.40 × AV + 336.9</w:t>
            </w:r>
          </w:p>
        </w:tc>
        <w:tc>
          <w:tcPr>
            <w:tcW w:w="2567" w:type="pct"/>
            <w:gridSpan w:val="2"/>
            <w:tcBorders>
              <w:top w:val="nil"/>
              <w:left w:val="single" w:sz="4" w:space="0" w:color="auto"/>
              <w:bottom w:val="single" w:sz="4" w:space="0" w:color="000000" w:themeColor="text1"/>
              <w:right w:val="single" w:sz="4" w:space="0" w:color="auto"/>
            </w:tcBorders>
            <w:shd w:val="clear" w:color="auto" w:fill="FFFFFF" w:themeFill="background1"/>
            <w:vAlign w:val="center"/>
          </w:tcPr>
          <w:p w14:paraId="6071B8C5"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(8.65 x AV + 309.9) × K5BI + 28I</w:t>
            </w:r>
          </w:p>
        </w:tc>
      </w:tr>
      <w:tr w:rsidR="004E6452" w:rsidRPr="001570EA" w14:paraId="312F47EA"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3EC42884"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5I. Refrigerator-freezers—automatic defrost with bottom-mounted freezer with an automatic icemaker without through-the-door ice service.</w:t>
            </w:r>
          </w:p>
        </w:tc>
        <w:tc>
          <w:tcPr>
            <w:tcW w:w="1124"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0653248D"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8.85 × AV + 401.0</w:t>
            </w:r>
          </w:p>
        </w:tc>
        <w:tc>
          <w:tcPr>
            <w:tcW w:w="2567" w:type="pct"/>
            <w:gridSpan w:val="2"/>
            <w:tcBorders>
              <w:top w:val="nil"/>
              <w:left w:val="single" w:sz="4" w:space="0" w:color="auto"/>
              <w:bottom w:val="single" w:sz="4" w:space="0" w:color="000000" w:themeColor="text1"/>
              <w:right w:val="single" w:sz="4" w:space="0" w:color="auto"/>
            </w:tcBorders>
            <w:shd w:val="clear" w:color="auto" w:fill="E7E6E6" w:themeFill="background2"/>
            <w:vAlign w:val="center"/>
          </w:tcPr>
          <w:p w14:paraId="3EADEB79" w14:textId="77777777" w:rsidR="004E6452" w:rsidRPr="001570EA" w:rsidRDefault="004E6452">
            <w:pPr>
              <w:spacing w:before="80" w:after="80"/>
              <w:jc w:val="center"/>
              <w:rPr>
                <w:rFonts w:cs="Arial"/>
                <w:color w:val="000000"/>
                <w:sz w:val="18"/>
                <w:szCs w:val="18"/>
              </w:rPr>
            </w:pPr>
          </w:p>
        </w:tc>
      </w:tr>
      <w:tr w:rsidR="004E6452" w:rsidRPr="001570EA" w14:paraId="2EB46221"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7DE6B65E"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5I-BI. Built-In Refrigerator-freezers—automatic defrost with bottom-mounted freezer with an automatic icemaker without through-the-door ice service.</w:t>
            </w:r>
          </w:p>
        </w:tc>
        <w:tc>
          <w:tcPr>
            <w:tcW w:w="1124"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16EF369A"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9.40 × AV + 420.9</w:t>
            </w:r>
          </w:p>
        </w:tc>
        <w:tc>
          <w:tcPr>
            <w:tcW w:w="2567" w:type="pct"/>
            <w:gridSpan w:val="2"/>
            <w:tcBorders>
              <w:top w:val="nil"/>
              <w:left w:val="single" w:sz="4" w:space="0" w:color="auto"/>
              <w:bottom w:val="single" w:sz="4" w:space="0" w:color="000000" w:themeColor="text1"/>
              <w:right w:val="single" w:sz="4" w:space="0" w:color="auto"/>
            </w:tcBorders>
            <w:shd w:val="clear" w:color="auto" w:fill="E7E6E6" w:themeFill="background2"/>
            <w:vAlign w:val="center"/>
          </w:tcPr>
          <w:p w14:paraId="720E6E8F" w14:textId="77777777" w:rsidR="004E6452" w:rsidRPr="001570EA" w:rsidRDefault="004E6452">
            <w:pPr>
              <w:spacing w:before="80" w:after="80"/>
              <w:jc w:val="center"/>
              <w:rPr>
                <w:rFonts w:cs="Arial"/>
                <w:color w:val="000000"/>
                <w:sz w:val="18"/>
                <w:szCs w:val="18"/>
              </w:rPr>
            </w:pPr>
          </w:p>
        </w:tc>
      </w:tr>
      <w:tr w:rsidR="004E6452" w:rsidRPr="001570EA" w14:paraId="634F0C93"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59256155"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5A. Refrigerator-freezer—automatic defrost with bottom-mounted freezer with through-the-door ice service.</w:t>
            </w:r>
          </w:p>
        </w:tc>
        <w:tc>
          <w:tcPr>
            <w:tcW w:w="1124"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0A13CF73"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9.25 × AV + 475.4</w:t>
            </w:r>
          </w:p>
        </w:tc>
        <w:tc>
          <w:tcPr>
            <w:tcW w:w="2567" w:type="pct"/>
            <w:gridSpan w:val="2"/>
            <w:tcBorders>
              <w:top w:val="nil"/>
              <w:left w:val="single" w:sz="4" w:space="0" w:color="auto"/>
              <w:bottom w:val="single" w:sz="4" w:space="0" w:color="000000" w:themeColor="text1"/>
              <w:right w:val="single" w:sz="4" w:space="0" w:color="auto"/>
            </w:tcBorders>
            <w:shd w:val="clear" w:color="auto" w:fill="FFFFFF" w:themeFill="background1"/>
            <w:vAlign w:val="center"/>
          </w:tcPr>
          <w:p w14:paraId="350A32E3"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(7.76 x AV + 351.9) × K5A</w:t>
            </w:r>
          </w:p>
        </w:tc>
      </w:tr>
      <w:tr w:rsidR="004E6452" w:rsidRPr="001570EA" w14:paraId="7AC16C7B"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6AA242A2"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5A-BI. Built-in refrigerator-freezer—automatic defrost with bottom-mounted freezer with through-the-door ice service.</w:t>
            </w:r>
          </w:p>
        </w:tc>
        <w:tc>
          <w:tcPr>
            <w:tcW w:w="1124"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6DE33BE2"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9.83 × AV + 499.9</w:t>
            </w:r>
          </w:p>
        </w:tc>
        <w:tc>
          <w:tcPr>
            <w:tcW w:w="2567" w:type="pct"/>
            <w:gridSpan w:val="2"/>
            <w:tcBorders>
              <w:top w:val="nil"/>
              <w:left w:val="single" w:sz="4" w:space="0" w:color="auto"/>
              <w:bottom w:val="single" w:sz="4" w:space="0" w:color="000000" w:themeColor="text1"/>
              <w:right w:val="single" w:sz="4" w:space="0" w:color="auto"/>
            </w:tcBorders>
            <w:shd w:val="clear" w:color="auto" w:fill="FFFFFF" w:themeFill="background1"/>
            <w:vAlign w:val="center"/>
          </w:tcPr>
          <w:p w14:paraId="417D30AE"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(8.21 x AV + 370.7) × K5ABI</w:t>
            </w:r>
          </w:p>
        </w:tc>
      </w:tr>
      <w:tr w:rsidR="004E6452" w:rsidRPr="001570EA" w14:paraId="5A2ECF53"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696BB2C0"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6. Refrigerator-freezers—automatic defrost with top-mounted freezer with through-the-door ice service.</w:t>
            </w:r>
          </w:p>
        </w:tc>
        <w:tc>
          <w:tcPr>
            <w:tcW w:w="2252" w:type="pct"/>
            <w:gridSpan w:val="2"/>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63B56A8E"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8.40 × AV + 385.4</w:t>
            </w:r>
          </w:p>
        </w:tc>
        <w:tc>
          <w:tcPr>
            <w:tcW w:w="1439"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41C5BEA0"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7.14 x AV + 280.0</w:t>
            </w:r>
          </w:p>
        </w:tc>
      </w:tr>
      <w:tr w:rsidR="004E6452" w:rsidRPr="001570EA" w14:paraId="4F6F2BF4"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50D47CC4"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7. Refrigerator-freezers—automatic defrost with side-mounted freezer with through-the-door ice service.</w:t>
            </w:r>
          </w:p>
        </w:tc>
        <w:tc>
          <w:tcPr>
            <w:tcW w:w="2252" w:type="pct"/>
            <w:gridSpan w:val="2"/>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02C34E56"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8.54 × AV + 432.8</w:t>
            </w:r>
          </w:p>
        </w:tc>
        <w:tc>
          <w:tcPr>
            <w:tcW w:w="1439"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19A0F8A2"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(7.31 x AV + 322.5) × K7</w:t>
            </w:r>
          </w:p>
        </w:tc>
      </w:tr>
      <w:tr w:rsidR="004E6452" w:rsidRPr="001570EA" w14:paraId="4E4BB776"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76F61CF5"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7-BI. Built-In Refrigerator-freezers—automatic defrost with side-mounted freezer with through-the-door ice service.</w:t>
            </w:r>
          </w:p>
        </w:tc>
        <w:tc>
          <w:tcPr>
            <w:tcW w:w="1124"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5AC1E3BB"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10.25 × AV + 502.6</w:t>
            </w:r>
          </w:p>
        </w:tc>
        <w:tc>
          <w:tcPr>
            <w:tcW w:w="2567" w:type="pct"/>
            <w:gridSpan w:val="2"/>
            <w:tcBorders>
              <w:top w:val="nil"/>
              <w:left w:val="single" w:sz="4" w:space="0" w:color="auto"/>
              <w:bottom w:val="single" w:sz="4" w:space="0" w:color="000000" w:themeColor="text1"/>
              <w:right w:val="single" w:sz="4" w:space="0" w:color="auto"/>
            </w:tcBorders>
            <w:shd w:val="clear" w:color="auto" w:fill="FFFFFF" w:themeFill="background1"/>
            <w:vAlign w:val="center"/>
          </w:tcPr>
          <w:p w14:paraId="5B4A592B"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(8.82 x AV + 384.1) × K7BI</w:t>
            </w:r>
          </w:p>
        </w:tc>
      </w:tr>
      <w:tr w:rsidR="004E6452" w:rsidRPr="001570EA" w14:paraId="46440F51"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49CA18D6"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11. Compact refrigerator-freezers and refrigerators other than all-refrigerators with manual defrost.</w:t>
            </w:r>
          </w:p>
        </w:tc>
        <w:tc>
          <w:tcPr>
            <w:tcW w:w="1124" w:type="pct"/>
            <w:tcBorders>
              <w:top w:val="nil"/>
              <w:left w:val="nil"/>
              <w:bottom w:val="single" w:sz="4" w:space="0" w:color="auto"/>
              <w:right w:val="single" w:sz="4" w:space="0" w:color="auto"/>
            </w:tcBorders>
            <w:shd w:val="clear" w:color="auto" w:fill="FFFFFF" w:themeFill="background1"/>
            <w:noWrap/>
            <w:vAlign w:val="center"/>
          </w:tcPr>
          <w:p w14:paraId="6927A3F4"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9.03 × AV + 252.3</w:t>
            </w:r>
          </w:p>
        </w:tc>
        <w:tc>
          <w:tcPr>
            <w:tcW w:w="2567" w:type="pct"/>
            <w:gridSpan w:val="2"/>
            <w:tcBorders>
              <w:top w:val="nil"/>
              <w:left w:val="nil"/>
              <w:bottom w:val="single" w:sz="4" w:space="0" w:color="auto"/>
              <w:right w:val="single" w:sz="4" w:space="0" w:color="auto"/>
            </w:tcBorders>
            <w:shd w:val="clear" w:color="auto" w:fill="FFFFFF" w:themeFill="background1"/>
            <w:vAlign w:val="center"/>
          </w:tcPr>
          <w:p w14:paraId="30C9BC28"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7.68 × AV + 214.5</w:t>
            </w:r>
          </w:p>
        </w:tc>
      </w:tr>
      <w:tr w:rsidR="004E6452" w:rsidRPr="001570EA" w14:paraId="456BD292"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3C0C6686"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11A.Compact all-refrigerators—manual defrost.</w:t>
            </w:r>
          </w:p>
        </w:tc>
        <w:tc>
          <w:tcPr>
            <w:tcW w:w="1124" w:type="pct"/>
            <w:tcBorders>
              <w:top w:val="nil"/>
              <w:left w:val="nil"/>
              <w:bottom w:val="single" w:sz="4" w:space="0" w:color="auto"/>
              <w:right w:val="single" w:sz="4" w:space="0" w:color="auto"/>
            </w:tcBorders>
            <w:shd w:val="clear" w:color="auto" w:fill="FFFFFF" w:themeFill="background1"/>
            <w:noWrap/>
            <w:vAlign w:val="center"/>
          </w:tcPr>
          <w:p w14:paraId="42C60330"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7.84 × AV + 219.1</w:t>
            </w:r>
          </w:p>
        </w:tc>
        <w:tc>
          <w:tcPr>
            <w:tcW w:w="2567"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4175207A"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6.66 × AV + 186.2</w:t>
            </w:r>
          </w:p>
        </w:tc>
      </w:tr>
      <w:tr w:rsidR="004E6452" w:rsidRPr="001570EA" w14:paraId="05A48EFC"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5479F43E" w14:textId="77777777" w:rsidR="004E6452" w:rsidRPr="001570EA" w:rsidRDefault="004E6452">
            <w:pPr>
              <w:spacing w:before="80" w:after="80"/>
              <w:rPr>
                <w:rFonts w:cs="Arial"/>
                <w:color w:val="000000"/>
                <w:sz w:val="18"/>
                <w:szCs w:val="18"/>
              </w:rPr>
            </w:pPr>
            <w:r w:rsidRPr="001570EA">
              <w:rPr>
                <w:rFonts w:cs="Arial"/>
                <w:color w:val="000000"/>
                <w:sz w:val="18"/>
                <w:szCs w:val="18"/>
              </w:rPr>
              <w:t>12. Compact refrigerator-freezers—partial automatic defrost</w:t>
            </w:r>
          </w:p>
        </w:tc>
        <w:tc>
          <w:tcPr>
            <w:tcW w:w="1124" w:type="pct"/>
            <w:tcBorders>
              <w:top w:val="nil"/>
              <w:left w:val="nil"/>
              <w:bottom w:val="single" w:sz="4" w:space="0" w:color="auto"/>
              <w:right w:val="single" w:sz="4" w:space="0" w:color="auto"/>
            </w:tcBorders>
            <w:shd w:val="clear" w:color="auto" w:fill="FFFFFF" w:themeFill="background1"/>
            <w:noWrap/>
            <w:vAlign w:val="center"/>
          </w:tcPr>
          <w:p w14:paraId="659BDA1E"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5.91 × AV + 335.8</w:t>
            </w:r>
          </w:p>
        </w:tc>
        <w:tc>
          <w:tcPr>
            <w:tcW w:w="2567"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70BAACF"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(5.32 × AV + 302.2) × K12</w:t>
            </w:r>
          </w:p>
        </w:tc>
      </w:tr>
      <w:tr w:rsidR="004E6452" w:rsidRPr="001570EA" w14:paraId="515C0DEF"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150E0D7A" w14:textId="77777777" w:rsidR="004E6452" w:rsidRPr="001570EA" w:rsidRDefault="004E6452">
            <w:pPr>
              <w:spacing w:before="80" w:after="80"/>
              <w:rPr>
                <w:rFonts w:cs="Arial"/>
                <w:color w:val="000000"/>
                <w:sz w:val="18"/>
                <w:szCs w:val="18"/>
              </w:rPr>
            </w:pPr>
            <w:r w:rsidRPr="001570EA">
              <w:rPr>
                <w:rFonts w:cs="Arial"/>
                <w:color w:val="000000"/>
                <w:sz w:val="18"/>
                <w:szCs w:val="18"/>
              </w:rPr>
              <w:t>13. Compact refrigerator-freezers—automatic defrost with top-mounted freezer.</w:t>
            </w:r>
          </w:p>
        </w:tc>
        <w:tc>
          <w:tcPr>
            <w:tcW w:w="1124" w:type="pct"/>
            <w:tcBorders>
              <w:top w:val="nil"/>
              <w:left w:val="nil"/>
              <w:bottom w:val="single" w:sz="4" w:space="0" w:color="auto"/>
              <w:right w:val="single" w:sz="4" w:space="0" w:color="auto"/>
            </w:tcBorders>
            <w:shd w:val="clear" w:color="auto" w:fill="FFFFFF" w:themeFill="background1"/>
            <w:noWrap/>
            <w:vAlign w:val="center"/>
          </w:tcPr>
          <w:p w14:paraId="5727B013"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11.80 × AV + 339.2</w:t>
            </w:r>
          </w:p>
        </w:tc>
        <w:tc>
          <w:tcPr>
            <w:tcW w:w="2567"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289AAFEE"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10.62 × AV + 305.3 + 28I</w:t>
            </w:r>
          </w:p>
        </w:tc>
      </w:tr>
      <w:tr w:rsidR="004E6452" w:rsidRPr="001570EA" w14:paraId="257A2670"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538F66CF"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13I. Compact refrigerator-freezers—automatic defrost with top-mounted freezer with an automatic icemaker.</w:t>
            </w:r>
          </w:p>
        </w:tc>
        <w:tc>
          <w:tcPr>
            <w:tcW w:w="1124" w:type="pct"/>
            <w:tcBorders>
              <w:top w:val="nil"/>
              <w:left w:val="nil"/>
              <w:bottom w:val="single" w:sz="4" w:space="0" w:color="auto"/>
              <w:right w:val="single" w:sz="4" w:space="0" w:color="auto"/>
            </w:tcBorders>
            <w:shd w:val="clear" w:color="auto" w:fill="FFFFFF" w:themeFill="background1"/>
            <w:noWrap/>
            <w:vAlign w:val="center"/>
          </w:tcPr>
          <w:p w14:paraId="3F67FD00"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11.80 × AV + 423.2</w:t>
            </w:r>
          </w:p>
        </w:tc>
        <w:tc>
          <w:tcPr>
            <w:tcW w:w="2567" w:type="pct"/>
            <w:gridSpan w:val="2"/>
            <w:tcBorders>
              <w:top w:val="single" w:sz="4" w:space="0" w:color="auto"/>
              <w:left w:val="nil"/>
              <w:bottom w:val="single" w:sz="4" w:space="0" w:color="auto"/>
              <w:right w:val="single" w:sz="4" w:space="0" w:color="auto"/>
            </w:tcBorders>
            <w:shd w:val="clear" w:color="auto" w:fill="E7E6E6" w:themeFill="background2"/>
            <w:vAlign w:val="center"/>
          </w:tcPr>
          <w:p w14:paraId="1361AEC3" w14:textId="77777777" w:rsidR="004E6452" w:rsidRPr="001570EA" w:rsidRDefault="004E6452">
            <w:pPr>
              <w:spacing w:before="80" w:after="80"/>
              <w:jc w:val="center"/>
              <w:rPr>
                <w:rFonts w:cs="Arial"/>
                <w:color w:val="000000"/>
                <w:sz w:val="18"/>
                <w:szCs w:val="18"/>
              </w:rPr>
            </w:pPr>
          </w:p>
        </w:tc>
      </w:tr>
      <w:tr w:rsidR="004E6452" w:rsidRPr="001570EA" w14:paraId="54072F1F"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5A2167FC"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13A. Compact all-refrigerators—automatic defrost.</w:t>
            </w:r>
          </w:p>
        </w:tc>
        <w:tc>
          <w:tcPr>
            <w:tcW w:w="1124" w:type="pct"/>
            <w:tcBorders>
              <w:top w:val="nil"/>
              <w:left w:val="nil"/>
              <w:bottom w:val="single" w:sz="4" w:space="0" w:color="auto"/>
              <w:right w:val="single" w:sz="4" w:space="0" w:color="auto"/>
            </w:tcBorders>
            <w:shd w:val="clear" w:color="auto" w:fill="FFFFFF" w:themeFill="background1"/>
            <w:noWrap/>
            <w:vAlign w:val="center"/>
          </w:tcPr>
          <w:p w14:paraId="4E9F0B75"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9.17 × AV + 259.3</w:t>
            </w:r>
          </w:p>
        </w:tc>
        <w:tc>
          <w:tcPr>
            <w:tcW w:w="2567" w:type="pct"/>
            <w:gridSpan w:val="2"/>
            <w:tcBorders>
              <w:top w:val="single" w:sz="4" w:space="0" w:color="auto"/>
              <w:left w:val="nil"/>
              <w:bottom w:val="single" w:sz="4" w:space="0" w:color="auto"/>
              <w:right w:val="single" w:sz="4" w:space="0" w:color="auto"/>
            </w:tcBorders>
            <w:shd w:val="clear" w:color="auto" w:fill="auto"/>
            <w:vAlign w:val="center"/>
          </w:tcPr>
          <w:p w14:paraId="46876A56"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(8.25 × AV + 233.4) × K13A</w:t>
            </w:r>
          </w:p>
        </w:tc>
      </w:tr>
      <w:tr w:rsidR="004E6452" w:rsidRPr="001570EA" w14:paraId="72951C5F"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32A795D9" w14:textId="77777777" w:rsidR="004E6452" w:rsidRPr="001570EA" w:rsidRDefault="004E6452">
            <w:pPr>
              <w:spacing w:before="80" w:after="80"/>
              <w:rPr>
                <w:rFonts w:cs="Arial"/>
                <w:color w:val="000000"/>
                <w:sz w:val="18"/>
                <w:szCs w:val="18"/>
              </w:rPr>
            </w:pPr>
            <w:r w:rsidRPr="001570EA">
              <w:rPr>
                <w:rFonts w:cs="Arial"/>
                <w:color w:val="000000"/>
                <w:sz w:val="18"/>
                <w:szCs w:val="18"/>
              </w:rPr>
              <w:t>14. Compact refrigerator-freezers—automatic defrost with side-mounted freezer.</w:t>
            </w:r>
          </w:p>
        </w:tc>
        <w:tc>
          <w:tcPr>
            <w:tcW w:w="1124" w:type="pct"/>
            <w:tcBorders>
              <w:top w:val="nil"/>
              <w:left w:val="nil"/>
              <w:bottom w:val="single" w:sz="4" w:space="0" w:color="auto"/>
              <w:right w:val="single" w:sz="4" w:space="0" w:color="auto"/>
            </w:tcBorders>
            <w:shd w:val="clear" w:color="auto" w:fill="FFFFFF" w:themeFill="background1"/>
            <w:noWrap/>
            <w:vAlign w:val="center"/>
          </w:tcPr>
          <w:p w14:paraId="622C7AA6"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6.82 × AV + 456.9</w:t>
            </w:r>
          </w:p>
        </w:tc>
        <w:tc>
          <w:tcPr>
            <w:tcW w:w="2567"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5F6A23D2"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6.14 × AV + 411.2 + 28I</w:t>
            </w:r>
          </w:p>
          <w:p w14:paraId="05ED1040" w14:textId="77777777" w:rsidR="004E6452" w:rsidRPr="001570EA" w:rsidRDefault="004E6452">
            <w:pPr>
              <w:spacing w:before="80" w:after="80"/>
              <w:jc w:val="center"/>
              <w:rPr>
                <w:rFonts w:cs="Arial"/>
                <w:color w:val="000000"/>
                <w:sz w:val="18"/>
                <w:szCs w:val="18"/>
              </w:rPr>
            </w:pPr>
          </w:p>
        </w:tc>
      </w:tr>
      <w:tr w:rsidR="004E6452" w:rsidRPr="001570EA" w14:paraId="5FE278D1"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5D6E6065"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14I. Compact refrigerator-freezers—automatic defrost with side-mounted freezer with an automatic icemaker.</w:t>
            </w:r>
          </w:p>
        </w:tc>
        <w:tc>
          <w:tcPr>
            <w:tcW w:w="1124" w:type="pct"/>
            <w:tcBorders>
              <w:top w:val="nil"/>
              <w:left w:val="nil"/>
              <w:bottom w:val="single" w:sz="4" w:space="0" w:color="auto"/>
              <w:right w:val="single" w:sz="4" w:space="0" w:color="auto"/>
            </w:tcBorders>
            <w:shd w:val="clear" w:color="auto" w:fill="FFFFFF" w:themeFill="background1"/>
            <w:noWrap/>
            <w:vAlign w:val="center"/>
          </w:tcPr>
          <w:p w14:paraId="6E74F481"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6.82 × AV + 540.9</w:t>
            </w:r>
          </w:p>
        </w:tc>
        <w:tc>
          <w:tcPr>
            <w:tcW w:w="2567" w:type="pct"/>
            <w:gridSpan w:val="2"/>
            <w:tcBorders>
              <w:top w:val="single" w:sz="4" w:space="0" w:color="auto"/>
              <w:left w:val="nil"/>
              <w:bottom w:val="single" w:sz="4" w:space="0" w:color="auto"/>
              <w:right w:val="single" w:sz="4" w:space="0" w:color="auto"/>
            </w:tcBorders>
            <w:shd w:val="clear" w:color="auto" w:fill="E7E6E6" w:themeFill="background2"/>
            <w:vAlign w:val="center"/>
          </w:tcPr>
          <w:p w14:paraId="17D4F5B2" w14:textId="77777777" w:rsidR="004E6452" w:rsidRPr="001570EA" w:rsidRDefault="004E6452">
            <w:pPr>
              <w:spacing w:before="80" w:after="80"/>
              <w:jc w:val="center"/>
              <w:rPr>
                <w:rFonts w:cs="Arial"/>
                <w:color w:val="000000"/>
                <w:sz w:val="18"/>
                <w:szCs w:val="18"/>
              </w:rPr>
            </w:pPr>
          </w:p>
        </w:tc>
      </w:tr>
      <w:tr w:rsidR="004E6452" w:rsidRPr="001570EA" w14:paraId="69F8E9C4"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0E41CAE3" w14:textId="77777777" w:rsidR="004E6452" w:rsidRPr="001570EA" w:rsidRDefault="004E6452">
            <w:pPr>
              <w:spacing w:before="80" w:after="80"/>
              <w:rPr>
                <w:rFonts w:cs="Arial"/>
                <w:color w:val="000000"/>
                <w:sz w:val="18"/>
                <w:szCs w:val="18"/>
              </w:rPr>
            </w:pPr>
            <w:r w:rsidRPr="001570EA">
              <w:rPr>
                <w:rFonts w:cs="Arial"/>
                <w:color w:val="000000"/>
                <w:sz w:val="18"/>
                <w:szCs w:val="18"/>
              </w:rPr>
              <w:t>15. Compact refrigerator-freezers—automatic defrost with bottom-mounted freezer.</w:t>
            </w:r>
          </w:p>
        </w:tc>
        <w:tc>
          <w:tcPr>
            <w:tcW w:w="1124" w:type="pct"/>
            <w:tcBorders>
              <w:top w:val="nil"/>
              <w:left w:val="nil"/>
              <w:bottom w:val="single" w:sz="4" w:space="0" w:color="auto"/>
              <w:right w:val="single" w:sz="4" w:space="0" w:color="auto"/>
            </w:tcBorders>
            <w:shd w:val="clear" w:color="auto" w:fill="FFFFFF" w:themeFill="background1"/>
            <w:noWrap/>
            <w:vAlign w:val="center"/>
          </w:tcPr>
          <w:p w14:paraId="0D111B98"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11.80 × AV + 339.2</w:t>
            </w:r>
          </w:p>
        </w:tc>
        <w:tc>
          <w:tcPr>
            <w:tcW w:w="2567"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645C4160"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10.62 × AV + 305.3 + 28I</w:t>
            </w:r>
          </w:p>
          <w:p w14:paraId="4244F1B1" w14:textId="77777777" w:rsidR="004E6452" w:rsidRPr="001570EA" w:rsidRDefault="004E6452">
            <w:pPr>
              <w:spacing w:before="80" w:after="80"/>
              <w:jc w:val="center"/>
              <w:rPr>
                <w:rFonts w:cs="Arial"/>
                <w:color w:val="000000"/>
                <w:sz w:val="18"/>
                <w:szCs w:val="18"/>
              </w:rPr>
            </w:pPr>
          </w:p>
        </w:tc>
      </w:tr>
      <w:tr w:rsidR="004E6452" w:rsidRPr="001570EA" w14:paraId="3831897C" w14:textId="77777777">
        <w:trPr>
          <w:trHeight w:val="352"/>
        </w:trPr>
        <w:tc>
          <w:tcPr>
            <w:tcW w:w="1309" w:type="pct"/>
            <w:tcBorders>
              <w:top w:val="nil"/>
              <w:left w:val="single" w:sz="4" w:space="0" w:color="auto"/>
              <w:bottom w:val="single" w:sz="4" w:space="0" w:color="auto"/>
              <w:right w:val="single" w:sz="4" w:space="0" w:color="auto"/>
            </w:tcBorders>
            <w:shd w:val="clear" w:color="auto" w:fill="FFFFFF" w:themeFill="background1"/>
            <w:vAlign w:val="center"/>
          </w:tcPr>
          <w:p w14:paraId="0D2CF593"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15I. Compact refrigerator-freezers—automatic defrost with bottom-mounted freezer with an automatic icemaker.</w:t>
            </w:r>
          </w:p>
        </w:tc>
        <w:tc>
          <w:tcPr>
            <w:tcW w:w="1124" w:type="pct"/>
            <w:tcBorders>
              <w:top w:val="nil"/>
              <w:left w:val="nil"/>
              <w:bottom w:val="single" w:sz="4" w:space="0" w:color="auto"/>
              <w:right w:val="single" w:sz="4" w:space="0" w:color="auto"/>
            </w:tcBorders>
            <w:shd w:val="clear" w:color="auto" w:fill="FFFFFF" w:themeFill="background1"/>
            <w:noWrap/>
            <w:vAlign w:val="center"/>
          </w:tcPr>
          <w:p w14:paraId="10D5B510"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11.80 × AV + 423.2</w:t>
            </w:r>
          </w:p>
        </w:tc>
        <w:tc>
          <w:tcPr>
            <w:tcW w:w="2567" w:type="pct"/>
            <w:gridSpan w:val="2"/>
            <w:tcBorders>
              <w:top w:val="single" w:sz="4" w:space="0" w:color="auto"/>
              <w:left w:val="nil"/>
              <w:bottom w:val="single" w:sz="4" w:space="0" w:color="auto"/>
              <w:right w:val="single" w:sz="4" w:space="0" w:color="auto"/>
            </w:tcBorders>
            <w:shd w:val="clear" w:color="auto" w:fill="E7E6E6" w:themeFill="background2"/>
            <w:vAlign w:val="center"/>
          </w:tcPr>
          <w:p w14:paraId="718FE42D" w14:textId="77777777" w:rsidR="004E6452" w:rsidRPr="001570EA" w:rsidRDefault="004E6452">
            <w:pPr>
              <w:spacing w:before="80" w:after="80"/>
              <w:jc w:val="center"/>
              <w:rPr>
                <w:rFonts w:cs="Arial"/>
                <w:color w:val="000000"/>
                <w:sz w:val="18"/>
                <w:szCs w:val="18"/>
              </w:rPr>
            </w:pPr>
          </w:p>
        </w:tc>
      </w:tr>
    </w:tbl>
    <w:p w14:paraId="5F742CB1" w14:textId="77777777" w:rsidR="004E6452" w:rsidRPr="001570EA" w:rsidRDefault="004E6452" w:rsidP="004E6452">
      <w:pPr>
        <w:pStyle w:val="NoSpacing"/>
        <w:jc w:val="left"/>
        <w:rPr>
          <w:rFonts w:cs="Arial"/>
          <w:szCs w:val="20"/>
        </w:rPr>
      </w:pPr>
    </w:p>
    <w:p w14:paraId="06E3698E" w14:textId="3561731C" w:rsidR="004E6452" w:rsidRPr="001570EA" w:rsidRDefault="00605D9E" w:rsidP="00605D9E">
      <w:pPr>
        <w:pStyle w:val="Caption"/>
      </w:pPr>
      <w:bookmarkStart w:id="537" w:name="_Ref163560133"/>
      <w:bookmarkStart w:id="538" w:name="_Ref163560129"/>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82</w:t>
      </w:r>
      <w:r w:rsidR="002E093A" w:rsidRPr="001570EA">
        <w:fldChar w:fldCharType="end"/>
      </w:r>
      <w:bookmarkEnd w:id="537"/>
      <w:r w:rsidRPr="001570EA">
        <w:t>: Door Coefficients for Federal Standard Energy Consumption Algorithms</w:t>
      </w:r>
      <w:bookmarkEnd w:id="538"/>
    </w:p>
    <w:tbl>
      <w:tblPr>
        <w:tblStyle w:val="Style1"/>
        <w:tblW w:w="0" w:type="auto"/>
        <w:tblLook w:val="04A0" w:firstRow="1" w:lastRow="0" w:firstColumn="1" w:lastColumn="0" w:noHBand="0" w:noVBand="1"/>
      </w:tblPr>
      <w:tblGrid>
        <w:gridCol w:w="2157"/>
        <w:gridCol w:w="2157"/>
        <w:gridCol w:w="2158"/>
        <w:gridCol w:w="2158"/>
      </w:tblGrid>
      <w:tr w:rsidR="004E6452" w:rsidRPr="001570EA" w14:paraId="197B7A97" w14:textId="77777777">
        <w:trPr>
          <w:cnfStyle w:val="100000000000" w:firstRow="1" w:lastRow="0" w:firstColumn="0" w:lastColumn="0" w:oddVBand="0" w:evenVBand="0" w:oddHBand="0" w:evenHBand="0" w:firstRowFirstColumn="0" w:firstRowLastColumn="0" w:lastRowFirstColumn="0" w:lastRowLastColumn="0"/>
          <w:trHeight w:val="1061"/>
        </w:trPr>
        <w:tc>
          <w:tcPr>
            <w:tcW w:w="0" w:type="dxa"/>
          </w:tcPr>
          <w:p w14:paraId="5D552B99" w14:textId="77777777" w:rsidR="004E6452" w:rsidRPr="001570EA" w:rsidRDefault="004E6452">
            <w:pPr>
              <w:pStyle w:val="NoSpacing"/>
              <w:jc w:val="left"/>
              <w:rPr>
                <w:rFonts w:cs="Arial"/>
                <w:sz w:val="18"/>
                <w:szCs w:val="18"/>
              </w:rPr>
            </w:pPr>
            <w:r w:rsidRPr="001570EA">
              <w:rPr>
                <w:rFonts w:cs="Arial"/>
                <w:sz w:val="18"/>
                <w:szCs w:val="18"/>
              </w:rPr>
              <w:t>Door Coefficient</w:t>
            </w:r>
          </w:p>
        </w:tc>
        <w:tc>
          <w:tcPr>
            <w:tcW w:w="0" w:type="dxa"/>
          </w:tcPr>
          <w:p w14:paraId="27768392" w14:textId="77777777" w:rsidR="004E6452" w:rsidRPr="001570EA" w:rsidRDefault="004E6452">
            <w:pPr>
              <w:pStyle w:val="NoSpacing"/>
              <w:jc w:val="left"/>
              <w:rPr>
                <w:rFonts w:cs="Arial"/>
                <w:sz w:val="18"/>
                <w:szCs w:val="18"/>
              </w:rPr>
            </w:pPr>
            <w:r w:rsidRPr="001570EA">
              <w:rPr>
                <w:rFonts w:cs="Arial"/>
                <w:sz w:val="18"/>
                <w:szCs w:val="18"/>
              </w:rPr>
              <w:t>Products with a Transparent Door</w:t>
            </w:r>
          </w:p>
        </w:tc>
        <w:tc>
          <w:tcPr>
            <w:tcW w:w="0" w:type="dxa"/>
          </w:tcPr>
          <w:p w14:paraId="08A23C9A" w14:textId="77777777" w:rsidR="004E6452" w:rsidRPr="001570EA" w:rsidRDefault="004E6452">
            <w:pPr>
              <w:pStyle w:val="NoSpacing"/>
              <w:jc w:val="left"/>
              <w:rPr>
                <w:rFonts w:cs="Arial"/>
                <w:sz w:val="18"/>
                <w:szCs w:val="18"/>
              </w:rPr>
            </w:pPr>
            <w:r w:rsidRPr="001570EA">
              <w:rPr>
                <w:rFonts w:cs="Arial"/>
                <w:sz w:val="18"/>
                <w:szCs w:val="18"/>
              </w:rPr>
              <w:t>Products without a Transparent Door with a Door-in-Door</w:t>
            </w:r>
          </w:p>
        </w:tc>
        <w:tc>
          <w:tcPr>
            <w:tcW w:w="0" w:type="dxa"/>
          </w:tcPr>
          <w:p w14:paraId="52FB9B23" w14:textId="77777777" w:rsidR="004E6452" w:rsidRPr="001570EA" w:rsidRDefault="004E6452">
            <w:pPr>
              <w:pStyle w:val="NoSpacing"/>
              <w:jc w:val="left"/>
              <w:rPr>
                <w:rFonts w:cs="Arial"/>
                <w:sz w:val="18"/>
                <w:szCs w:val="18"/>
              </w:rPr>
            </w:pPr>
            <w:r w:rsidRPr="001570EA">
              <w:rPr>
                <w:rFonts w:cs="Arial"/>
                <w:sz w:val="18"/>
                <w:szCs w:val="18"/>
              </w:rPr>
              <w:t>Products without a Transparent Door or Door-in-Door with Added External Doors</w:t>
            </w:r>
          </w:p>
        </w:tc>
      </w:tr>
      <w:tr w:rsidR="004E6452" w:rsidRPr="001570EA" w14:paraId="5AA17DB3" w14:textId="77777777">
        <w:tc>
          <w:tcPr>
            <w:tcW w:w="2157" w:type="dxa"/>
          </w:tcPr>
          <w:p w14:paraId="311AA369" w14:textId="77777777" w:rsidR="004E6452" w:rsidRPr="001570EA" w:rsidRDefault="004E6452">
            <w:pPr>
              <w:pStyle w:val="NoSpacing"/>
              <w:jc w:val="left"/>
              <w:rPr>
                <w:rFonts w:cs="Arial"/>
                <w:sz w:val="18"/>
                <w:szCs w:val="18"/>
              </w:rPr>
            </w:pPr>
            <w:r w:rsidRPr="001570EA">
              <w:rPr>
                <w:rFonts w:cs="Arial"/>
                <w:sz w:val="18"/>
                <w:szCs w:val="18"/>
              </w:rPr>
              <w:t>K2</w:t>
            </w:r>
          </w:p>
        </w:tc>
        <w:tc>
          <w:tcPr>
            <w:tcW w:w="2157" w:type="dxa"/>
          </w:tcPr>
          <w:p w14:paraId="65FBC198" w14:textId="77777777" w:rsidR="004E6452" w:rsidRPr="001570EA" w:rsidRDefault="004E6452">
            <w:pPr>
              <w:pStyle w:val="NoSpacing"/>
              <w:jc w:val="center"/>
              <w:rPr>
                <w:rFonts w:cs="Arial"/>
                <w:sz w:val="18"/>
                <w:szCs w:val="18"/>
              </w:rPr>
            </w:pPr>
            <w:r w:rsidRPr="001570EA">
              <w:rPr>
                <w:rFonts w:cs="Arial"/>
                <w:sz w:val="18"/>
                <w:szCs w:val="18"/>
              </w:rPr>
              <w:t>1.0</w:t>
            </w:r>
          </w:p>
        </w:tc>
        <w:tc>
          <w:tcPr>
            <w:tcW w:w="2158" w:type="dxa"/>
          </w:tcPr>
          <w:p w14:paraId="063EC4E1" w14:textId="77777777" w:rsidR="004E6452" w:rsidRPr="001570EA" w:rsidRDefault="004E6452">
            <w:pPr>
              <w:pStyle w:val="NoSpacing"/>
              <w:jc w:val="center"/>
              <w:rPr>
                <w:rFonts w:cs="Arial"/>
                <w:sz w:val="18"/>
                <w:szCs w:val="18"/>
              </w:rPr>
            </w:pPr>
            <w:r w:rsidRPr="001570EA">
              <w:rPr>
                <w:rFonts w:cs="Arial"/>
                <w:sz w:val="18"/>
                <w:szCs w:val="18"/>
              </w:rPr>
              <w:t>1.0</w:t>
            </w:r>
          </w:p>
        </w:tc>
        <w:tc>
          <w:tcPr>
            <w:tcW w:w="2158" w:type="dxa"/>
          </w:tcPr>
          <w:p w14:paraId="3113AB5B" w14:textId="77777777" w:rsidR="004E6452" w:rsidRPr="001570EA" w:rsidRDefault="004E6452">
            <w:pPr>
              <w:pStyle w:val="NoSpacing"/>
              <w:jc w:val="center"/>
              <w:rPr>
                <w:rFonts w:cs="Arial"/>
                <w:sz w:val="18"/>
                <w:szCs w:val="18"/>
              </w:rPr>
            </w:pPr>
            <w:r w:rsidRPr="001570EA">
              <w:rPr>
                <w:rFonts w:cs="Arial"/>
                <w:sz w:val="18"/>
                <w:szCs w:val="18"/>
              </w:rPr>
              <w:t>1 + 0.02 x (N</w:t>
            </w:r>
            <w:r w:rsidRPr="001570EA">
              <w:rPr>
                <w:rFonts w:cs="Arial"/>
                <w:sz w:val="18"/>
                <w:szCs w:val="18"/>
                <w:vertAlign w:val="subscript"/>
              </w:rPr>
              <w:t>d</w:t>
            </w:r>
            <w:r w:rsidRPr="001570EA">
              <w:rPr>
                <w:rStyle w:val="FootnoteReference"/>
                <w:sz w:val="18"/>
                <w:szCs w:val="18"/>
              </w:rPr>
              <w:footnoteReference w:id="6"/>
            </w:r>
            <w:r w:rsidRPr="001570EA">
              <w:rPr>
                <w:rFonts w:cs="Arial"/>
                <w:sz w:val="18"/>
                <w:szCs w:val="18"/>
              </w:rPr>
              <w:t xml:space="preserve"> – 1)</w:t>
            </w:r>
          </w:p>
        </w:tc>
      </w:tr>
      <w:tr w:rsidR="004E6452" w:rsidRPr="001570EA" w14:paraId="58F63AF0" w14:textId="77777777">
        <w:tc>
          <w:tcPr>
            <w:tcW w:w="2157" w:type="dxa"/>
          </w:tcPr>
          <w:p w14:paraId="00602C59" w14:textId="77777777" w:rsidR="004E6452" w:rsidRPr="001570EA" w:rsidRDefault="004E6452">
            <w:pPr>
              <w:pStyle w:val="NoSpacing"/>
              <w:jc w:val="left"/>
              <w:rPr>
                <w:rFonts w:cs="Arial"/>
                <w:sz w:val="18"/>
                <w:szCs w:val="18"/>
              </w:rPr>
            </w:pPr>
            <w:r w:rsidRPr="001570EA">
              <w:rPr>
                <w:rFonts w:cs="Arial"/>
                <w:sz w:val="18"/>
                <w:szCs w:val="18"/>
              </w:rPr>
              <w:t>K3A</w:t>
            </w:r>
          </w:p>
        </w:tc>
        <w:tc>
          <w:tcPr>
            <w:tcW w:w="2157" w:type="dxa"/>
          </w:tcPr>
          <w:p w14:paraId="04921087" w14:textId="77777777" w:rsidR="004E6452" w:rsidRPr="001570EA" w:rsidRDefault="004E6452">
            <w:pPr>
              <w:pStyle w:val="NoSpacing"/>
              <w:jc w:val="center"/>
              <w:rPr>
                <w:rFonts w:cs="Arial"/>
                <w:sz w:val="18"/>
                <w:szCs w:val="18"/>
              </w:rPr>
            </w:pPr>
            <w:r w:rsidRPr="001570EA">
              <w:rPr>
                <w:rFonts w:cs="Arial"/>
                <w:sz w:val="18"/>
                <w:szCs w:val="18"/>
              </w:rPr>
              <w:t>1.1</w:t>
            </w:r>
          </w:p>
        </w:tc>
        <w:tc>
          <w:tcPr>
            <w:tcW w:w="2158" w:type="dxa"/>
          </w:tcPr>
          <w:p w14:paraId="7290B560" w14:textId="77777777" w:rsidR="004E6452" w:rsidRPr="001570EA" w:rsidRDefault="004E6452">
            <w:pPr>
              <w:pStyle w:val="NoSpacing"/>
              <w:jc w:val="center"/>
              <w:rPr>
                <w:rFonts w:cs="Arial"/>
                <w:sz w:val="18"/>
                <w:szCs w:val="18"/>
              </w:rPr>
            </w:pPr>
            <w:r w:rsidRPr="001570EA">
              <w:rPr>
                <w:rFonts w:cs="Arial"/>
                <w:sz w:val="18"/>
                <w:szCs w:val="18"/>
              </w:rPr>
              <w:t>1.0</w:t>
            </w:r>
          </w:p>
        </w:tc>
        <w:tc>
          <w:tcPr>
            <w:tcW w:w="2158" w:type="dxa"/>
          </w:tcPr>
          <w:p w14:paraId="348B2424" w14:textId="77777777" w:rsidR="004E6452" w:rsidRPr="001570EA" w:rsidRDefault="004E6452">
            <w:pPr>
              <w:pStyle w:val="NoSpacing"/>
              <w:jc w:val="center"/>
              <w:rPr>
                <w:rFonts w:cs="Arial"/>
                <w:sz w:val="18"/>
                <w:szCs w:val="18"/>
              </w:rPr>
            </w:pPr>
            <w:r w:rsidRPr="001570EA">
              <w:rPr>
                <w:rFonts w:cs="Arial"/>
                <w:sz w:val="18"/>
                <w:szCs w:val="18"/>
              </w:rPr>
              <w:t>1.0</w:t>
            </w:r>
          </w:p>
        </w:tc>
      </w:tr>
      <w:tr w:rsidR="004E6452" w:rsidRPr="001570EA" w14:paraId="13781465" w14:textId="77777777">
        <w:tc>
          <w:tcPr>
            <w:tcW w:w="0" w:type="dxa"/>
          </w:tcPr>
          <w:p w14:paraId="793FFC6D" w14:textId="77777777" w:rsidR="004E6452" w:rsidRPr="001570EA" w:rsidRDefault="004E6452">
            <w:pPr>
              <w:pStyle w:val="NoSpacing"/>
              <w:jc w:val="left"/>
              <w:rPr>
                <w:rFonts w:cs="Arial"/>
                <w:sz w:val="18"/>
                <w:szCs w:val="18"/>
              </w:rPr>
            </w:pPr>
            <w:r w:rsidRPr="001570EA">
              <w:rPr>
                <w:rFonts w:cs="Arial"/>
                <w:sz w:val="18"/>
                <w:szCs w:val="18"/>
              </w:rPr>
              <w:t>K3ABI</w:t>
            </w:r>
          </w:p>
        </w:tc>
        <w:tc>
          <w:tcPr>
            <w:tcW w:w="0" w:type="dxa"/>
          </w:tcPr>
          <w:p w14:paraId="26C3C960" w14:textId="77777777" w:rsidR="004E6452" w:rsidRPr="001570EA" w:rsidRDefault="004E6452">
            <w:pPr>
              <w:pStyle w:val="NoSpacing"/>
              <w:jc w:val="center"/>
              <w:rPr>
                <w:rFonts w:cs="Arial"/>
                <w:sz w:val="18"/>
                <w:szCs w:val="18"/>
              </w:rPr>
            </w:pPr>
            <w:r w:rsidRPr="001570EA">
              <w:rPr>
                <w:rFonts w:cs="Arial"/>
                <w:sz w:val="18"/>
                <w:szCs w:val="18"/>
              </w:rPr>
              <w:t>1.1</w:t>
            </w:r>
          </w:p>
        </w:tc>
        <w:tc>
          <w:tcPr>
            <w:tcW w:w="0" w:type="dxa"/>
          </w:tcPr>
          <w:p w14:paraId="40113161" w14:textId="77777777" w:rsidR="004E6452" w:rsidRPr="001570EA" w:rsidRDefault="004E6452">
            <w:pPr>
              <w:pStyle w:val="NoSpacing"/>
              <w:jc w:val="center"/>
              <w:rPr>
                <w:rFonts w:cs="Arial"/>
                <w:sz w:val="18"/>
                <w:szCs w:val="18"/>
              </w:rPr>
            </w:pPr>
            <w:r w:rsidRPr="001570EA">
              <w:rPr>
                <w:rFonts w:cs="Arial"/>
                <w:sz w:val="18"/>
                <w:szCs w:val="18"/>
              </w:rPr>
              <w:t>1.0</w:t>
            </w:r>
          </w:p>
        </w:tc>
        <w:tc>
          <w:tcPr>
            <w:tcW w:w="0" w:type="dxa"/>
          </w:tcPr>
          <w:p w14:paraId="6EA03758" w14:textId="77777777" w:rsidR="004E6452" w:rsidRPr="001570EA" w:rsidRDefault="004E6452">
            <w:pPr>
              <w:pStyle w:val="NoSpacing"/>
              <w:jc w:val="center"/>
              <w:rPr>
                <w:rFonts w:cs="Arial"/>
                <w:sz w:val="18"/>
                <w:szCs w:val="18"/>
              </w:rPr>
            </w:pPr>
            <w:r w:rsidRPr="001570EA">
              <w:rPr>
                <w:rFonts w:cs="Arial"/>
                <w:sz w:val="18"/>
                <w:szCs w:val="18"/>
              </w:rPr>
              <w:t>1.0</w:t>
            </w:r>
          </w:p>
        </w:tc>
      </w:tr>
      <w:tr w:rsidR="004E6452" w:rsidRPr="001570EA" w14:paraId="36272C81" w14:textId="77777777">
        <w:tc>
          <w:tcPr>
            <w:tcW w:w="2157" w:type="dxa"/>
          </w:tcPr>
          <w:p w14:paraId="00B3300D" w14:textId="77777777" w:rsidR="004E6452" w:rsidRPr="001570EA" w:rsidRDefault="004E6452">
            <w:pPr>
              <w:pStyle w:val="NoSpacing"/>
              <w:jc w:val="left"/>
              <w:rPr>
                <w:rFonts w:cs="Arial"/>
                <w:sz w:val="18"/>
                <w:szCs w:val="18"/>
              </w:rPr>
            </w:pPr>
            <w:r w:rsidRPr="001570EA">
              <w:rPr>
                <w:rFonts w:cs="Arial"/>
                <w:sz w:val="18"/>
                <w:szCs w:val="18"/>
              </w:rPr>
              <w:t>K4</w:t>
            </w:r>
          </w:p>
        </w:tc>
        <w:tc>
          <w:tcPr>
            <w:tcW w:w="2157" w:type="dxa"/>
          </w:tcPr>
          <w:p w14:paraId="75470F87" w14:textId="77777777" w:rsidR="004E6452" w:rsidRPr="001570EA" w:rsidRDefault="004E6452">
            <w:pPr>
              <w:pStyle w:val="NoSpacing"/>
              <w:jc w:val="center"/>
              <w:rPr>
                <w:rFonts w:cs="Arial"/>
                <w:sz w:val="18"/>
                <w:szCs w:val="18"/>
              </w:rPr>
            </w:pPr>
            <w:r w:rsidRPr="001570EA">
              <w:rPr>
                <w:rFonts w:cs="Arial"/>
                <w:sz w:val="18"/>
                <w:szCs w:val="18"/>
              </w:rPr>
              <w:t>1.1</w:t>
            </w:r>
          </w:p>
        </w:tc>
        <w:tc>
          <w:tcPr>
            <w:tcW w:w="2158" w:type="dxa"/>
          </w:tcPr>
          <w:p w14:paraId="422B9FB6" w14:textId="77777777" w:rsidR="004E6452" w:rsidRPr="001570EA" w:rsidRDefault="004E6452">
            <w:pPr>
              <w:pStyle w:val="NoSpacing"/>
              <w:jc w:val="center"/>
              <w:rPr>
                <w:rFonts w:cs="Arial"/>
                <w:sz w:val="18"/>
                <w:szCs w:val="18"/>
              </w:rPr>
            </w:pPr>
            <w:r w:rsidRPr="001570EA">
              <w:rPr>
                <w:rFonts w:cs="Arial"/>
                <w:sz w:val="18"/>
                <w:szCs w:val="18"/>
              </w:rPr>
              <w:t>1.06</w:t>
            </w:r>
          </w:p>
        </w:tc>
        <w:tc>
          <w:tcPr>
            <w:tcW w:w="2158" w:type="dxa"/>
          </w:tcPr>
          <w:p w14:paraId="1E9ADD44" w14:textId="77777777" w:rsidR="004E6452" w:rsidRPr="001570EA" w:rsidRDefault="004E6452">
            <w:pPr>
              <w:pStyle w:val="NoSpacing"/>
              <w:jc w:val="center"/>
              <w:rPr>
                <w:rFonts w:cs="Arial"/>
                <w:sz w:val="18"/>
                <w:szCs w:val="18"/>
              </w:rPr>
            </w:pPr>
            <w:r w:rsidRPr="001570EA">
              <w:rPr>
                <w:rFonts w:cs="Arial"/>
                <w:sz w:val="18"/>
                <w:szCs w:val="18"/>
              </w:rPr>
              <w:t>1 + 0.02 x (N</w:t>
            </w:r>
            <w:r w:rsidRPr="001570EA">
              <w:rPr>
                <w:rFonts w:cs="Arial"/>
                <w:sz w:val="18"/>
                <w:szCs w:val="18"/>
                <w:vertAlign w:val="subscript"/>
              </w:rPr>
              <w:t>d</w:t>
            </w:r>
            <w:r w:rsidRPr="001570EA">
              <w:rPr>
                <w:rFonts w:cs="Arial"/>
                <w:sz w:val="18"/>
                <w:szCs w:val="18"/>
              </w:rPr>
              <w:t xml:space="preserve"> – 2)</w:t>
            </w:r>
          </w:p>
        </w:tc>
      </w:tr>
      <w:tr w:rsidR="004E6452" w:rsidRPr="001570EA" w14:paraId="1C7A4D70" w14:textId="77777777">
        <w:tc>
          <w:tcPr>
            <w:tcW w:w="0" w:type="dxa"/>
          </w:tcPr>
          <w:p w14:paraId="17E3308D" w14:textId="77777777" w:rsidR="004E6452" w:rsidRPr="001570EA" w:rsidRDefault="004E6452">
            <w:pPr>
              <w:pStyle w:val="NoSpacing"/>
              <w:jc w:val="left"/>
              <w:rPr>
                <w:rFonts w:cs="Arial"/>
                <w:sz w:val="18"/>
                <w:szCs w:val="18"/>
              </w:rPr>
            </w:pPr>
            <w:r w:rsidRPr="001570EA">
              <w:rPr>
                <w:rFonts w:cs="Arial"/>
                <w:sz w:val="18"/>
                <w:szCs w:val="18"/>
              </w:rPr>
              <w:t>K4BI</w:t>
            </w:r>
          </w:p>
        </w:tc>
        <w:tc>
          <w:tcPr>
            <w:tcW w:w="0" w:type="dxa"/>
          </w:tcPr>
          <w:p w14:paraId="01CA42FB" w14:textId="77777777" w:rsidR="004E6452" w:rsidRPr="001570EA" w:rsidRDefault="004E6452">
            <w:pPr>
              <w:pStyle w:val="NoSpacing"/>
              <w:jc w:val="center"/>
              <w:rPr>
                <w:rFonts w:cs="Arial"/>
                <w:sz w:val="18"/>
                <w:szCs w:val="18"/>
              </w:rPr>
            </w:pPr>
            <w:r w:rsidRPr="001570EA">
              <w:rPr>
                <w:rFonts w:cs="Arial"/>
                <w:sz w:val="18"/>
                <w:szCs w:val="18"/>
              </w:rPr>
              <w:t>1.1</w:t>
            </w:r>
          </w:p>
        </w:tc>
        <w:tc>
          <w:tcPr>
            <w:tcW w:w="0" w:type="dxa"/>
          </w:tcPr>
          <w:p w14:paraId="47783BAC" w14:textId="77777777" w:rsidR="004E6452" w:rsidRPr="001570EA" w:rsidRDefault="004E6452">
            <w:pPr>
              <w:pStyle w:val="NoSpacing"/>
              <w:jc w:val="center"/>
              <w:rPr>
                <w:rFonts w:cs="Arial"/>
                <w:sz w:val="18"/>
                <w:szCs w:val="18"/>
              </w:rPr>
            </w:pPr>
            <w:r w:rsidRPr="001570EA">
              <w:rPr>
                <w:rFonts w:cs="Arial"/>
                <w:sz w:val="18"/>
                <w:szCs w:val="18"/>
              </w:rPr>
              <w:t>1.06</w:t>
            </w:r>
          </w:p>
        </w:tc>
        <w:tc>
          <w:tcPr>
            <w:tcW w:w="0" w:type="dxa"/>
          </w:tcPr>
          <w:p w14:paraId="6A9620EE" w14:textId="77777777" w:rsidR="004E6452" w:rsidRPr="001570EA" w:rsidRDefault="004E6452">
            <w:pPr>
              <w:pStyle w:val="NoSpacing"/>
              <w:jc w:val="center"/>
              <w:rPr>
                <w:rFonts w:cs="Arial"/>
                <w:sz w:val="18"/>
                <w:szCs w:val="18"/>
              </w:rPr>
            </w:pPr>
            <w:r w:rsidRPr="001570EA">
              <w:rPr>
                <w:rFonts w:cs="Arial"/>
                <w:sz w:val="18"/>
                <w:szCs w:val="18"/>
              </w:rPr>
              <w:t>1 + 0.02 x (N</w:t>
            </w:r>
            <w:r w:rsidRPr="001570EA">
              <w:rPr>
                <w:rFonts w:cs="Arial"/>
                <w:sz w:val="18"/>
                <w:szCs w:val="18"/>
                <w:vertAlign w:val="subscript"/>
              </w:rPr>
              <w:t>d</w:t>
            </w:r>
            <w:r w:rsidRPr="001570EA">
              <w:rPr>
                <w:rFonts w:cs="Arial"/>
                <w:sz w:val="18"/>
                <w:szCs w:val="18"/>
              </w:rPr>
              <w:t xml:space="preserve"> – 2)</w:t>
            </w:r>
          </w:p>
        </w:tc>
      </w:tr>
      <w:tr w:rsidR="004E6452" w:rsidRPr="001570EA" w14:paraId="69BE77DE" w14:textId="77777777">
        <w:tc>
          <w:tcPr>
            <w:tcW w:w="2157" w:type="dxa"/>
          </w:tcPr>
          <w:p w14:paraId="1AF988A6" w14:textId="77777777" w:rsidR="004E6452" w:rsidRPr="001570EA" w:rsidRDefault="004E6452">
            <w:pPr>
              <w:pStyle w:val="NoSpacing"/>
              <w:jc w:val="left"/>
              <w:rPr>
                <w:rFonts w:cs="Arial"/>
                <w:sz w:val="18"/>
                <w:szCs w:val="18"/>
              </w:rPr>
            </w:pPr>
            <w:r w:rsidRPr="001570EA">
              <w:rPr>
                <w:rFonts w:cs="Arial"/>
                <w:sz w:val="18"/>
                <w:szCs w:val="18"/>
              </w:rPr>
              <w:t>K5</w:t>
            </w:r>
          </w:p>
        </w:tc>
        <w:tc>
          <w:tcPr>
            <w:tcW w:w="2157" w:type="dxa"/>
          </w:tcPr>
          <w:p w14:paraId="71FBFC4D" w14:textId="77777777" w:rsidR="004E6452" w:rsidRPr="001570EA" w:rsidRDefault="004E6452">
            <w:pPr>
              <w:pStyle w:val="NoSpacing"/>
              <w:jc w:val="center"/>
              <w:rPr>
                <w:rFonts w:cs="Arial"/>
                <w:sz w:val="18"/>
                <w:szCs w:val="18"/>
              </w:rPr>
            </w:pPr>
            <w:r w:rsidRPr="001570EA">
              <w:rPr>
                <w:rFonts w:cs="Arial"/>
                <w:sz w:val="18"/>
                <w:szCs w:val="18"/>
              </w:rPr>
              <w:t>1.1</w:t>
            </w:r>
          </w:p>
        </w:tc>
        <w:tc>
          <w:tcPr>
            <w:tcW w:w="2158" w:type="dxa"/>
          </w:tcPr>
          <w:p w14:paraId="6B0B186C" w14:textId="77777777" w:rsidR="004E6452" w:rsidRPr="001570EA" w:rsidRDefault="004E6452">
            <w:pPr>
              <w:pStyle w:val="NoSpacing"/>
              <w:jc w:val="center"/>
              <w:rPr>
                <w:rFonts w:cs="Arial"/>
                <w:sz w:val="18"/>
                <w:szCs w:val="18"/>
              </w:rPr>
            </w:pPr>
            <w:r w:rsidRPr="001570EA">
              <w:rPr>
                <w:rFonts w:cs="Arial"/>
                <w:sz w:val="18"/>
                <w:szCs w:val="18"/>
              </w:rPr>
              <w:t>1.06</w:t>
            </w:r>
          </w:p>
        </w:tc>
        <w:tc>
          <w:tcPr>
            <w:tcW w:w="2158" w:type="dxa"/>
          </w:tcPr>
          <w:p w14:paraId="23B4CA37" w14:textId="77777777" w:rsidR="004E6452" w:rsidRPr="001570EA" w:rsidRDefault="004E6452">
            <w:pPr>
              <w:pStyle w:val="NoSpacing"/>
              <w:jc w:val="center"/>
              <w:rPr>
                <w:rFonts w:cs="Arial"/>
                <w:sz w:val="18"/>
                <w:szCs w:val="18"/>
              </w:rPr>
            </w:pPr>
            <w:r w:rsidRPr="001570EA">
              <w:rPr>
                <w:rFonts w:cs="Arial"/>
                <w:sz w:val="18"/>
                <w:szCs w:val="18"/>
              </w:rPr>
              <w:t>1 + 0.02 x (N</w:t>
            </w:r>
            <w:r w:rsidRPr="001570EA">
              <w:rPr>
                <w:rFonts w:cs="Arial"/>
                <w:sz w:val="18"/>
                <w:szCs w:val="18"/>
                <w:vertAlign w:val="subscript"/>
              </w:rPr>
              <w:t>d</w:t>
            </w:r>
            <w:r w:rsidRPr="001570EA">
              <w:rPr>
                <w:rFonts w:cs="Arial"/>
                <w:sz w:val="18"/>
                <w:szCs w:val="18"/>
              </w:rPr>
              <w:t xml:space="preserve"> – 2)</w:t>
            </w:r>
          </w:p>
        </w:tc>
      </w:tr>
      <w:tr w:rsidR="004E6452" w:rsidRPr="001570EA" w14:paraId="688228D9" w14:textId="77777777">
        <w:tc>
          <w:tcPr>
            <w:tcW w:w="0" w:type="dxa"/>
          </w:tcPr>
          <w:p w14:paraId="4B098253" w14:textId="77777777" w:rsidR="004E6452" w:rsidRPr="001570EA" w:rsidRDefault="004E6452">
            <w:pPr>
              <w:pStyle w:val="NoSpacing"/>
              <w:jc w:val="left"/>
              <w:rPr>
                <w:rFonts w:cs="Arial"/>
                <w:sz w:val="18"/>
                <w:szCs w:val="18"/>
              </w:rPr>
            </w:pPr>
            <w:r w:rsidRPr="001570EA">
              <w:rPr>
                <w:rFonts w:cs="Arial"/>
                <w:sz w:val="18"/>
                <w:szCs w:val="18"/>
              </w:rPr>
              <w:t>K5BI</w:t>
            </w:r>
          </w:p>
        </w:tc>
        <w:tc>
          <w:tcPr>
            <w:tcW w:w="0" w:type="dxa"/>
          </w:tcPr>
          <w:p w14:paraId="46D97B99" w14:textId="77777777" w:rsidR="004E6452" w:rsidRPr="001570EA" w:rsidRDefault="004E6452">
            <w:pPr>
              <w:pStyle w:val="NoSpacing"/>
              <w:jc w:val="center"/>
              <w:rPr>
                <w:rFonts w:cs="Arial"/>
                <w:sz w:val="18"/>
                <w:szCs w:val="18"/>
              </w:rPr>
            </w:pPr>
            <w:r w:rsidRPr="001570EA">
              <w:rPr>
                <w:rFonts w:cs="Arial"/>
                <w:sz w:val="18"/>
                <w:szCs w:val="18"/>
              </w:rPr>
              <w:t>1.1</w:t>
            </w:r>
          </w:p>
        </w:tc>
        <w:tc>
          <w:tcPr>
            <w:tcW w:w="0" w:type="dxa"/>
          </w:tcPr>
          <w:p w14:paraId="2067876F" w14:textId="77777777" w:rsidR="004E6452" w:rsidRPr="001570EA" w:rsidRDefault="004E6452">
            <w:pPr>
              <w:pStyle w:val="NoSpacing"/>
              <w:jc w:val="center"/>
              <w:rPr>
                <w:rFonts w:cs="Arial"/>
                <w:sz w:val="18"/>
                <w:szCs w:val="18"/>
              </w:rPr>
            </w:pPr>
            <w:r w:rsidRPr="001570EA">
              <w:rPr>
                <w:rFonts w:cs="Arial"/>
                <w:sz w:val="18"/>
                <w:szCs w:val="18"/>
              </w:rPr>
              <w:t>1.06</w:t>
            </w:r>
          </w:p>
        </w:tc>
        <w:tc>
          <w:tcPr>
            <w:tcW w:w="0" w:type="dxa"/>
          </w:tcPr>
          <w:p w14:paraId="3EC3618D" w14:textId="77777777" w:rsidR="004E6452" w:rsidRPr="001570EA" w:rsidRDefault="004E6452">
            <w:pPr>
              <w:pStyle w:val="NoSpacing"/>
              <w:jc w:val="center"/>
              <w:rPr>
                <w:rFonts w:cs="Arial"/>
                <w:sz w:val="18"/>
                <w:szCs w:val="18"/>
              </w:rPr>
            </w:pPr>
            <w:r w:rsidRPr="001570EA">
              <w:rPr>
                <w:rFonts w:cs="Arial"/>
                <w:sz w:val="18"/>
                <w:szCs w:val="18"/>
              </w:rPr>
              <w:t>1 + 0.02 x (N</w:t>
            </w:r>
            <w:r w:rsidRPr="001570EA">
              <w:rPr>
                <w:rFonts w:cs="Arial"/>
                <w:sz w:val="18"/>
                <w:szCs w:val="18"/>
                <w:vertAlign w:val="subscript"/>
              </w:rPr>
              <w:t>d</w:t>
            </w:r>
            <w:r w:rsidRPr="001570EA">
              <w:rPr>
                <w:rFonts w:cs="Arial"/>
                <w:sz w:val="18"/>
                <w:szCs w:val="18"/>
              </w:rPr>
              <w:t xml:space="preserve"> – 2)</w:t>
            </w:r>
          </w:p>
        </w:tc>
      </w:tr>
      <w:tr w:rsidR="004E6452" w:rsidRPr="001570EA" w14:paraId="00DE8DD0" w14:textId="77777777">
        <w:tc>
          <w:tcPr>
            <w:tcW w:w="0" w:type="dxa"/>
          </w:tcPr>
          <w:p w14:paraId="646609BC" w14:textId="77777777" w:rsidR="004E6452" w:rsidRPr="001570EA" w:rsidRDefault="004E6452">
            <w:pPr>
              <w:pStyle w:val="NoSpacing"/>
              <w:jc w:val="left"/>
              <w:rPr>
                <w:rFonts w:cs="Arial"/>
                <w:sz w:val="18"/>
                <w:szCs w:val="18"/>
              </w:rPr>
            </w:pPr>
            <w:r w:rsidRPr="001570EA">
              <w:rPr>
                <w:rFonts w:cs="Arial"/>
                <w:sz w:val="18"/>
                <w:szCs w:val="18"/>
              </w:rPr>
              <w:t>K5A</w:t>
            </w:r>
          </w:p>
        </w:tc>
        <w:tc>
          <w:tcPr>
            <w:tcW w:w="0" w:type="dxa"/>
          </w:tcPr>
          <w:p w14:paraId="399069A2" w14:textId="77777777" w:rsidR="004E6452" w:rsidRPr="001570EA" w:rsidRDefault="004E6452">
            <w:pPr>
              <w:pStyle w:val="NoSpacing"/>
              <w:jc w:val="center"/>
              <w:rPr>
                <w:rFonts w:cs="Arial"/>
                <w:sz w:val="18"/>
                <w:szCs w:val="18"/>
              </w:rPr>
            </w:pPr>
            <w:r w:rsidRPr="001570EA">
              <w:rPr>
                <w:rFonts w:cs="Arial"/>
                <w:sz w:val="18"/>
                <w:szCs w:val="18"/>
              </w:rPr>
              <w:t>1.1</w:t>
            </w:r>
          </w:p>
        </w:tc>
        <w:tc>
          <w:tcPr>
            <w:tcW w:w="0" w:type="dxa"/>
          </w:tcPr>
          <w:p w14:paraId="74313AC0" w14:textId="77777777" w:rsidR="004E6452" w:rsidRPr="001570EA" w:rsidRDefault="004E6452">
            <w:pPr>
              <w:pStyle w:val="NoSpacing"/>
              <w:jc w:val="center"/>
              <w:rPr>
                <w:rFonts w:cs="Arial"/>
                <w:sz w:val="18"/>
                <w:szCs w:val="18"/>
              </w:rPr>
            </w:pPr>
            <w:r w:rsidRPr="001570EA">
              <w:rPr>
                <w:rFonts w:cs="Arial"/>
                <w:sz w:val="18"/>
                <w:szCs w:val="18"/>
              </w:rPr>
              <w:t>1.06</w:t>
            </w:r>
          </w:p>
        </w:tc>
        <w:tc>
          <w:tcPr>
            <w:tcW w:w="0" w:type="dxa"/>
          </w:tcPr>
          <w:p w14:paraId="1FA7BBDB" w14:textId="77777777" w:rsidR="004E6452" w:rsidRPr="001570EA" w:rsidRDefault="004E6452">
            <w:pPr>
              <w:pStyle w:val="NoSpacing"/>
              <w:jc w:val="center"/>
              <w:rPr>
                <w:rFonts w:cs="Arial"/>
                <w:sz w:val="18"/>
                <w:szCs w:val="18"/>
              </w:rPr>
            </w:pPr>
            <w:r w:rsidRPr="001570EA">
              <w:rPr>
                <w:rFonts w:cs="Arial"/>
                <w:sz w:val="18"/>
                <w:szCs w:val="18"/>
              </w:rPr>
              <w:t>1 + 0.02 x (N</w:t>
            </w:r>
            <w:r w:rsidRPr="001570EA">
              <w:rPr>
                <w:rFonts w:cs="Arial"/>
                <w:sz w:val="18"/>
                <w:szCs w:val="18"/>
                <w:vertAlign w:val="subscript"/>
              </w:rPr>
              <w:t>d</w:t>
            </w:r>
            <w:r w:rsidRPr="001570EA">
              <w:rPr>
                <w:rFonts w:cs="Arial"/>
                <w:sz w:val="18"/>
                <w:szCs w:val="18"/>
              </w:rPr>
              <w:t xml:space="preserve"> – 3)</w:t>
            </w:r>
          </w:p>
        </w:tc>
      </w:tr>
      <w:tr w:rsidR="004E6452" w:rsidRPr="001570EA" w14:paraId="3DAE0235" w14:textId="77777777">
        <w:tc>
          <w:tcPr>
            <w:tcW w:w="0" w:type="dxa"/>
          </w:tcPr>
          <w:p w14:paraId="74F32273" w14:textId="77777777" w:rsidR="004E6452" w:rsidRPr="001570EA" w:rsidRDefault="004E6452">
            <w:pPr>
              <w:pStyle w:val="NoSpacing"/>
              <w:jc w:val="left"/>
              <w:rPr>
                <w:rFonts w:cs="Arial"/>
                <w:sz w:val="18"/>
                <w:szCs w:val="18"/>
              </w:rPr>
            </w:pPr>
            <w:r w:rsidRPr="001570EA">
              <w:rPr>
                <w:rFonts w:cs="Arial"/>
                <w:sz w:val="18"/>
                <w:szCs w:val="18"/>
              </w:rPr>
              <w:t>K5ABI</w:t>
            </w:r>
          </w:p>
        </w:tc>
        <w:tc>
          <w:tcPr>
            <w:tcW w:w="0" w:type="dxa"/>
          </w:tcPr>
          <w:p w14:paraId="2E7D9755" w14:textId="77777777" w:rsidR="004E6452" w:rsidRPr="001570EA" w:rsidRDefault="004E6452">
            <w:pPr>
              <w:pStyle w:val="NoSpacing"/>
              <w:jc w:val="center"/>
              <w:rPr>
                <w:rFonts w:cs="Arial"/>
                <w:sz w:val="18"/>
                <w:szCs w:val="18"/>
              </w:rPr>
            </w:pPr>
            <w:r w:rsidRPr="001570EA">
              <w:rPr>
                <w:rFonts w:cs="Arial"/>
                <w:sz w:val="18"/>
                <w:szCs w:val="18"/>
              </w:rPr>
              <w:t>1.1</w:t>
            </w:r>
          </w:p>
        </w:tc>
        <w:tc>
          <w:tcPr>
            <w:tcW w:w="0" w:type="dxa"/>
          </w:tcPr>
          <w:p w14:paraId="23235925" w14:textId="77777777" w:rsidR="004E6452" w:rsidRPr="001570EA" w:rsidRDefault="004E6452">
            <w:pPr>
              <w:pStyle w:val="NoSpacing"/>
              <w:jc w:val="center"/>
              <w:rPr>
                <w:rFonts w:cs="Arial"/>
                <w:sz w:val="18"/>
                <w:szCs w:val="18"/>
              </w:rPr>
            </w:pPr>
            <w:r w:rsidRPr="001570EA">
              <w:rPr>
                <w:rFonts w:cs="Arial"/>
                <w:sz w:val="18"/>
                <w:szCs w:val="18"/>
              </w:rPr>
              <w:t>1.06</w:t>
            </w:r>
          </w:p>
        </w:tc>
        <w:tc>
          <w:tcPr>
            <w:tcW w:w="0" w:type="dxa"/>
          </w:tcPr>
          <w:p w14:paraId="1E1F9BF0" w14:textId="77777777" w:rsidR="004E6452" w:rsidRPr="001570EA" w:rsidRDefault="004E6452">
            <w:pPr>
              <w:pStyle w:val="NoSpacing"/>
              <w:jc w:val="center"/>
              <w:rPr>
                <w:rFonts w:cs="Arial"/>
                <w:sz w:val="18"/>
                <w:szCs w:val="18"/>
              </w:rPr>
            </w:pPr>
            <w:r w:rsidRPr="001570EA">
              <w:rPr>
                <w:rFonts w:cs="Arial"/>
                <w:sz w:val="18"/>
                <w:szCs w:val="18"/>
              </w:rPr>
              <w:t>1 + 0.02 x (N</w:t>
            </w:r>
            <w:r w:rsidRPr="001570EA">
              <w:rPr>
                <w:rFonts w:cs="Arial"/>
                <w:sz w:val="18"/>
                <w:szCs w:val="18"/>
                <w:vertAlign w:val="subscript"/>
              </w:rPr>
              <w:t>d</w:t>
            </w:r>
            <w:r w:rsidRPr="001570EA">
              <w:rPr>
                <w:rFonts w:cs="Arial"/>
                <w:sz w:val="18"/>
                <w:szCs w:val="18"/>
              </w:rPr>
              <w:t xml:space="preserve"> – 3)</w:t>
            </w:r>
          </w:p>
        </w:tc>
      </w:tr>
      <w:tr w:rsidR="004E6452" w:rsidRPr="001570EA" w14:paraId="53DABAB9" w14:textId="77777777">
        <w:tc>
          <w:tcPr>
            <w:tcW w:w="2157" w:type="dxa"/>
          </w:tcPr>
          <w:p w14:paraId="579771AF" w14:textId="77777777" w:rsidR="004E6452" w:rsidRPr="001570EA" w:rsidRDefault="004E6452">
            <w:pPr>
              <w:pStyle w:val="NoSpacing"/>
              <w:jc w:val="left"/>
              <w:rPr>
                <w:rFonts w:cs="Arial"/>
                <w:sz w:val="18"/>
                <w:szCs w:val="18"/>
              </w:rPr>
            </w:pPr>
            <w:r w:rsidRPr="001570EA">
              <w:rPr>
                <w:rFonts w:cs="Arial"/>
                <w:sz w:val="18"/>
                <w:szCs w:val="18"/>
              </w:rPr>
              <w:t>K7</w:t>
            </w:r>
          </w:p>
        </w:tc>
        <w:tc>
          <w:tcPr>
            <w:tcW w:w="2157" w:type="dxa"/>
          </w:tcPr>
          <w:p w14:paraId="67F13CE2" w14:textId="77777777" w:rsidR="004E6452" w:rsidRPr="001570EA" w:rsidRDefault="004E6452">
            <w:pPr>
              <w:pStyle w:val="NoSpacing"/>
              <w:jc w:val="center"/>
              <w:rPr>
                <w:rFonts w:cs="Arial"/>
                <w:sz w:val="18"/>
                <w:szCs w:val="18"/>
              </w:rPr>
            </w:pPr>
            <w:r w:rsidRPr="001570EA">
              <w:rPr>
                <w:rFonts w:cs="Arial"/>
                <w:sz w:val="18"/>
                <w:szCs w:val="18"/>
              </w:rPr>
              <w:t>1.1</w:t>
            </w:r>
          </w:p>
        </w:tc>
        <w:tc>
          <w:tcPr>
            <w:tcW w:w="2158" w:type="dxa"/>
          </w:tcPr>
          <w:p w14:paraId="2CB9A30A" w14:textId="77777777" w:rsidR="004E6452" w:rsidRPr="001570EA" w:rsidRDefault="004E6452">
            <w:pPr>
              <w:pStyle w:val="NoSpacing"/>
              <w:jc w:val="center"/>
              <w:rPr>
                <w:rFonts w:cs="Arial"/>
                <w:sz w:val="18"/>
                <w:szCs w:val="18"/>
              </w:rPr>
            </w:pPr>
            <w:r w:rsidRPr="001570EA">
              <w:rPr>
                <w:rFonts w:cs="Arial"/>
                <w:sz w:val="18"/>
                <w:szCs w:val="18"/>
              </w:rPr>
              <w:t>1.06</w:t>
            </w:r>
          </w:p>
        </w:tc>
        <w:tc>
          <w:tcPr>
            <w:tcW w:w="2158" w:type="dxa"/>
          </w:tcPr>
          <w:p w14:paraId="68B0708D" w14:textId="77777777" w:rsidR="004E6452" w:rsidRPr="001570EA" w:rsidRDefault="004E6452">
            <w:pPr>
              <w:pStyle w:val="NoSpacing"/>
              <w:jc w:val="center"/>
              <w:rPr>
                <w:rFonts w:cs="Arial"/>
                <w:sz w:val="18"/>
                <w:szCs w:val="18"/>
              </w:rPr>
            </w:pPr>
            <w:r w:rsidRPr="001570EA">
              <w:rPr>
                <w:rFonts w:cs="Arial"/>
                <w:sz w:val="18"/>
                <w:szCs w:val="18"/>
              </w:rPr>
              <w:t>1 + 0.02 x (N</w:t>
            </w:r>
            <w:r w:rsidRPr="001570EA">
              <w:rPr>
                <w:rFonts w:cs="Arial"/>
                <w:sz w:val="18"/>
                <w:szCs w:val="18"/>
                <w:vertAlign w:val="subscript"/>
              </w:rPr>
              <w:t>d</w:t>
            </w:r>
            <w:r w:rsidRPr="001570EA">
              <w:rPr>
                <w:rFonts w:cs="Arial"/>
                <w:sz w:val="18"/>
                <w:szCs w:val="18"/>
              </w:rPr>
              <w:t xml:space="preserve"> – 2)</w:t>
            </w:r>
          </w:p>
        </w:tc>
      </w:tr>
      <w:tr w:rsidR="004E6452" w:rsidRPr="001570EA" w14:paraId="04C8B244" w14:textId="77777777">
        <w:tc>
          <w:tcPr>
            <w:tcW w:w="0" w:type="dxa"/>
          </w:tcPr>
          <w:p w14:paraId="093A1B75" w14:textId="77777777" w:rsidR="004E6452" w:rsidRPr="001570EA" w:rsidRDefault="004E6452">
            <w:pPr>
              <w:pStyle w:val="NoSpacing"/>
              <w:jc w:val="left"/>
              <w:rPr>
                <w:rFonts w:cs="Arial"/>
                <w:sz w:val="18"/>
                <w:szCs w:val="18"/>
              </w:rPr>
            </w:pPr>
            <w:r w:rsidRPr="001570EA">
              <w:rPr>
                <w:rFonts w:cs="Arial"/>
                <w:sz w:val="18"/>
                <w:szCs w:val="18"/>
              </w:rPr>
              <w:t>K7BI</w:t>
            </w:r>
          </w:p>
        </w:tc>
        <w:tc>
          <w:tcPr>
            <w:tcW w:w="0" w:type="dxa"/>
          </w:tcPr>
          <w:p w14:paraId="153C1F96" w14:textId="77777777" w:rsidR="004E6452" w:rsidRPr="001570EA" w:rsidRDefault="004E6452">
            <w:pPr>
              <w:pStyle w:val="NoSpacing"/>
              <w:jc w:val="center"/>
              <w:rPr>
                <w:rFonts w:cs="Arial"/>
                <w:sz w:val="18"/>
                <w:szCs w:val="18"/>
              </w:rPr>
            </w:pPr>
            <w:r w:rsidRPr="001570EA">
              <w:rPr>
                <w:rFonts w:cs="Arial"/>
                <w:sz w:val="18"/>
                <w:szCs w:val="18"/>
              </w:rPr>
              <w:t>1.1</w:t>
            </w:r>
          </w:p>
        </w:tc>
        <w:tc>
          <w:tcPr>
            <w:tcW w:w="0" w:type="dxa"/>
          </w:tcPr>
          <w:p w14:paraId="3E948D4B" w14:textId="77777777" w:rsidR="004E6452" w:rsidRPr="001570EA" w:rsidRDefault="004E6452">
            <w:pPr>
              <w:pStyle w:val="NoSpacing"/>
              <w:jc w:val="center"/>
              <w:rPr>
                <w:rFonts w:cs="Arial"/>
                <w:sz w:val="18"/>
                <w:szCs w:val="18"/>
              </w:rPr>
            </w:pPr>
            <w:r w:rsidRPr="001570EA">
              <w:rPr>
                <w:rFonts w:cs="Arial"/>
                <w:sz w:val="18"/>
                <w:szCs w:val="18"/>
              </w:rPr>
              <w:t>1.06</w:t>
            </w:r>
          </w:p>
        </w:tc>
        <w:tc>
          <w:tcPr>
            <w:tcW w:w="0" w:type="dxa"/>
          </w:tcPr>
          <w:p w14:paraId="63FD3AE1" w14:textId="77777777" w:rsidR="004E6452" w:rsidRPr="001570EA" w:rsidRDefault="004E6452">
            <w:pPr>
              <w:pStyle w:val="NoSpacing"/>
              <w:jc w:val="center"/>
              <w:rPr>
                <w:rFonts w:cs="Arial"/>
                <w:sz w:val="18"/>
                <w:szCs w:val="18"/>
              </w:rPr>
            </w:pPr>
            <w:r w:rsidRPr="001570EA">
              <w:rPr>
                <w:rFonts w:cs="Arial"/>
                <w:sz w:val="18"/>
                <w:szCs w:val="18"/>
              </w:rPr>
              <w:t>1 + 0.02 x (N</w:t>
            </w:r>
            <w:r w:rsidRPr="001570EA">
              <w:rPr>
                <w:rFonts w:cs="Arial"/>
                <w:sz w:val="18"/>
                <w:szCs w:val="18"/>
                <w:vertAlign w:val="subscript"/>
              </w:rPr>
              <w:t>d</w:t>
            </w:r>
            <w:r w:rsidRPr="001570EA">
              <w:rPr>
                <w:rFonts w:cs="Arial"/>
                <w:sz w:val="18"/>
                <w:szCs w:val="18"/>
              </w:rPr>
              <w:t xml:space="preserve"> – 2)</w:t>
            </w:r>
          </w:p>
        </w:tc>
      </w:tr>
      <w:tr w:rsidR="004E6452" w:rsidRPr="001570EA" w14:paraId="541F4EC2" w14:textId="77777777">
        <w:tc>
          <w:tcPr>
            <w:tcW w:w="2157" w:type="dxa"/>
          </w:tcPr>
          <w:p w14:paraId="226B9D17" w14:textId="77777777" w:rsidR="004E6452" w:rsidRPr="001570EA" w:rsidRDefault="004E6452">
            <w:pPr>
              <w:pStyle w:val="NoSpacing"/>
              <w:jc w:val="left"/>
              <w:rPr>
                <w:rFonts w:cs="Arial"/>
                <w:sz w:val="18"/>
                <w:szCs w:val="18"/>
              </w:rPr>
            </w:pPr>
            <w:r w:rsidRPr="001570EA">
              <w:rPr>
                <w:rFonts w:cs="Arial"/>
                <w:sz w:val="18"/>
                <w:szCs w:val="18"/>
              </w:rPr>
              <w:t>K12</w:t>
            </w:r>
          </w:p>
        </w:tc>
        <w:tc>
          <w:tcPr>
            <w:tcW w:w="2157" w:type="dxa"/>
          </w:tcPr>
          <w:p w14:paraId="157652A6" w14:textId="77777777" w:rsidR="004E6452" w:rsidRPr="001570EA" w:rsidRDefault="004E6452">
            <w:pPr>
              <w:pStyle w:val="NoSpacing"/>
              <w:jc w:val="center"/>
              <w:rPr>
                <w:rFonts w:cs="Arial"/>
                <w:sz w:val="18"/>
                <w:szCs w:val="18"/>
              </w:rPr>
            </w:pPr>
            <w:r w:rsidRPr="001570EA">
              <w:rPr>
                <w:rFonts w:cs="Arial"/>
                <w:sz w:val="18"/>
                <w:szCs w:val="18"/>
              </w:rPr>
              <w:t>1.0</w:t>
            </w:r>
          </w:p>
        </w:tc>
        <w:tc>
          <w:tcPr>
            <w:tcW w:w="2158" w:type="dxa"/>
          </w:tcPr>
          <w:p w14:paraId="774D753B" w14:textId="77777777" w:rsidR="004E6452" w:rsidRPr="001570EA" w:rsidRDefault="004E6452">
            <w:pPr>
              <w:pStyle w:val="NoSpacing"/>
              <w:jc w:val="center"/>
              <w:rPr>
                <w:rFonts w:cs="Arial"/>
                <w:sz w:val="18"/>
                <w:szCs w:val="18"/>
              </w:rPr>
            </w:pPr>
            <w:r w:rsidRPr="001570EA">
              <w:rPr>
                <w:rFonts w:cs="Arial"/>
                <w:sz w:val="18"/>
                <w:szCs w:val="18"/>
              </w:rPr>
              <w:t>1.0</w:t>
            </w:r>
          </w:p>
        </w:tc>
        <w:tc>
          <w:tcPr>
            <w:tcW w:w="2158" w:type="dxa"/>
          </w:tcPr>
          <w:p w14:paraId="71974AD9" w14:textId="77777777" w:rsidR="004E6452" w:rsidRPr="001570EA" w:rsidRDefault="004E6452">
            <w:pPr>
              <w:pStyle w:val="NoSpacing"/>
              <w:jc w:val="center"/>
              <w:rPr>
                <w:rFonts w:cs="Arial"/>
                <w:sz w:val="18"/>
                <w:szCs w:val="18"/>
              </w:rPr>
            </w:pPr>
            <w:r w:rsidRPr="001570EA">
              <w:rPr>
                <w:rFonts w:cs="Arial"/>
                <w:sz w:val="18"/>
                <w:szCs w:val="18"/>
              </w:rPr>
              <w:t>1 + 0.02 x (N</w:t>
            </w:r>
            <w:r w:rsidRPr="001570EA">
              <w:rPr>
                <w:rFonts w:cs="Arial"/>
                <w:sz w:val="18"/>
                <w:szCs w:val="18"/>
                <w:vertAlign w:val="subscript"/>
              </w:rPr>
              <w:t>d</w:t>
            </w:r>
            <w:r w:rsidRPr="001570EA">
              <w:rPr>
                <w:rFonts w:cs="Arial"/>
                <w:sz w:val="18"/>
                <w:szCs w:val="18"/>
              </w:rPr>
              <w:t xml:space="preserve"> – 1)</w:t>
            </w:r>
          </w:p>
        </w:tc>
      </w:tr>
      <w:tr w:rsidR="004E6452" w:rsidRPr="001570EA" w14:paraId="046B1E06" w14:textId="77777777">
        <w:tc>
          <w:tcPr>
            <w:tcW w:w="2157" w:type="dxa"/>
          </w:tcPr>
          <w:p w14:paraId="501D3FEB" w14:textId="77777777" w:rsidR="004E6452" w:rsidRPr="001570EA" w:rsidRDefault="004E6452">
            <w:pPr>
              <w:pStyle w:val="NoSpacing"/>
              <w:jc w:val="left"/>
              <w:rPr>
                <w:rFonts w:cs="Arial"/>
                <w:sz w:val="18"/>
                <w:szCs w:val="18"/>
              </w:rPr>
            </w:pPr>
            <w:r w:rsidRPr="001570EA">
              <w:rPr>
                <w:rFonts w:cs="Arial"/>
                <w:sz w:val="18"/>
                <w:szCs w:val="18"/>
              </w:rPr>
              <w:t>K13A</w:t>
            </w:r>
          </w:p>
        </w:tc>
        <w:tc>
          <w:tcPr>
            <w:tcW w:w="2157" w:type="dxa"/>
          </w:tcPr>
          <w:p w14:paraId="0D29F33D" w14:textId="77777777" w:rsidR="004E6452" w:rsidRPr="001570EA" w:rsidRDefault="004E6452">
            <w:pPr>
              <w:pStyle w:val="NoSpacing"/>
              <w:jc w:val="center"/>
              <w:rPr>
                <w:rFonts w:cs="Arial"/>
                <w:sz w:val="18"/>
                <w:szCs w:val="18"/>
              </w:rPr>
            </w:pPr>
            <w:r w:rsidRPr="001570EA">
              <w:rPr>
                <w:rFonts w:cs="Arial"/>
                <w:sz w:val="18"/>
                <w:szCs w:val="18"/>
              </w:rPr>
              <w:t>1.1</w:t>
            </w:r>
          </w:p>
        </w:tc>
        <w:tc>
          <w:tcPr>
            <w:tcW w:w="2158" w:type="dxa"/>
          </w:tcPr>
          <w:p w14:paraId="1D652EF9" w14:textId="77777777" w:rsidR="004E6452" w:rsidRPr="001570EA" w:rsidRDefault="004E6452">
            <w:pPr>
              <w:pStyle w:val="NoSpacing"/>
              <w:jc w:val="center"/>
              <w:rPr>
                <w:rFonts w:cs="Arial"/>
                <w:sz w:val="18"/>
                <w:szCs w:val="18"/>
              </w:rPr>
            </w:pPr>
            <w:r w:rsidRPr="001570EA">
              <w:rPr>
                <w:rFonts w:cs="Arial"/>
                <w:sz w:val="18"/>
                <w:szCs w:val="18"/>
              </w:rPr>
              <w:t>1.0</w:t>
            </w:r>
          </w:p>
        </w:tc>
        <w:tc>
          <w:tcPr>
            <w:tcW w:w="2158" w:type="dxa"/>
          </w:tcPr>
          <w:p w14:paraId="4DC7C8B1" w14:textId="77777777" w:rsidR="004E6452" w:rsidRPr="001570EA" w:rsidRDefault="004E6452">
            <w:pPr>
              <w:pStyle w:val="NoSpacing"/>
              <w:jc w:val="center"/>
              <w:rPr>
                <w:rFonts w:cs="Arial"/>
                <w:sz w:val="18"/>
                <w:szCs w:val="18"/>
              </w:rPr>
            </w:pPr>
            <w:r w:rsidRPr="001570EA">
              <w:rPr>
                <w:rFonts w:cs="Arial"/>
                <w:sz w:val="18"/>
                <w:szCs w:val="18"/>
              </w:rPr>
              <w:t>1.0</w:t>
            </w:r>
          </w:p>
        </w:tc>
      </w:tr>
    </w:tbl>
    <w:p w14:paraId="1C6B78FD" w14:textId="77777777" w:rsidR="004E6452" w:rsidRPr="001570EA" w:rsidRDefault="004E6452" w:rsidP="004E6452">
      <w:pPr>
        <w:pStyle w:val="NoSpacing"/>
        <w:jc w:val="left"/>
        <w:rPr>
          <w:rFonts w:cs="Arial"/>
          <w:szCs w:val="20"/>
        </w:rPr>
      </w:pPr>
    </w:p>
    <w:p w14:paraId="620D4D36" w14:textId="20938D6E" w:rsidR="004E6452" w:rsidRPr="001570EA" w:rsidRDefault="00643494" w:rsidP="00643494">
      <w:pPr>
        <w:pStyle w:val="Caption"/>
      </w:pPr>
      <w:bookmarkStart w:id="539" w:name="_Ref16393935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83</w:t>
      </w:r>
      <w:r w:rsidR="002E093A" w:rsidRPr="001570EA">
        <w:fldChar w:fldCharType="end"/>
      </w:r>
      <w:bookmarkEnd w:id="539"/>
      <w:r w:rsidRPr="001570EA">
        <w:t>: ENERGY STAR and ENERGY STAR Most Efficient Maximum Annual Energy Consumption</w:t>
      </w:r>
    </w:p>
    <w:tbl>
      <w:tblPr>
        <w:tblStyle w:val="Style1"/>
        <w:tblW w:w="9360" w:type="dxa"/>
        <w:tblLook w:val="04A0" w:firstRow="1" w:lastRow="0" w:firstColumn="1" w:lastColumn="0" w:noHBand="0" w:noVBand="1"/>
      </w:tblPr>
      <w:tblGrid>
        <w:gridCol w:w="1796"/>
        <w:gridCol w:w="2948"/>
        <w:gridCol w:w="4616"/>
      </w:tblGrid>
      <w:tr w:rsidR="004E6452" w:rsidRPr="001570EA" w14:paraId="5F4340DC" w14:textId="77777777">
        <w:trPr>
          <w:cnfStyle w:val="100000000000" w:firstRow="1" w:lastRow="0" w:firstColumn="0" w:lastColumn="0" w:oddVBand="0" w:evenVBand="0" w:oddHBand="0" w:evenHBand="0" w:firstRowFirstColumn="0" w:firstRowLastColumn="0" w:lastRowFirstColumn="0" w:lastRowLastColumn="0"/>
          <w:trHeight w:val="782"/>
          <w:tblHeader/>
        </w:trPr>
        <w:tc>
          <w:tcPr>
            <w:tcW w:w="0" w:type="dxa"/>
            <w:vAlign w:val="center"/>
          </w:tcPr>
          <w:p w14:paraId="3357FF83" w14:textId="77777777" w:rsidR="004E6452" w:rsidRPr="001570EA" w:rsidRDefault="004E6452">
            <w:pPr>
              <w:pStyle w:val="NoSpacing"/>
              <w:jc w:val="left"/>
              <w:rPr>
                <w:rFonts w:cs="Arial"/>
                <w:sz w:val="18"/>
                <w:szCs w:val="18"/>
              </w:rPr>
            </w:pPr>
            <w:r w:rsidRPr="001570EA">
              <w:rPr>
                <w:rFonts w:cs="Arial"/>
                <w:sz w:val="18"/>
                <w:szCs w:val="18"/>
              </w:rPr>
              <w:t>Refrigerator Category</w:t>
            </w:r>
          </w:p>
        </w:tc>
        <w:tc>
          <w:tcPr>
            <w:tcW w:w="2245" w:type="dxa"/>
            <w:vAlign w:val="center"/>
          </w:tcPr>
          <w:p w14:paraId="51F217D6" w14:textId="77777777" w:rsidR="004E6452" w:rsidRPr="001570EA" w:rsidRDefault="004E6452">
            <w:pPr>
              <w:pStyle w:val="NoSpacing"/>
              <w:jc w:val="center"/>
              <w:rPr>
                <w:rFonts w:cs="Arial"/>
                <w:sz w:val="18"/>
                <w:szCs w:val="18"/>
              </w:rPr>
            </w:pPr>
            <w:r w:rsidRPr="001570EA">
              <w:rPr>
                <w:rFonts w:cs="Arial"/>
                <w:sz w:val="18"/>
                <w:szCs w:val="18"/>
              </w:rPr>
              <w:t>ENERGY STAR Maximum Energy Usage in kWh/yr</w:t>
            </w:r>
          </w:p>
        </w:tc>
        <w:tc>
          <w:tcPr>
            <w:tcW w:w="3515" w:type="dxa"/>
            <w:vAlign w:val="center"/>
          </w:tcPr>
          <w:p w14:paraId="4F893F03" w14:textId="77777777" w:rsidR="004E6452" w:rsidRPr="001570EA" w:rsidRDefault="004E6452">
            <w:pPr>
              <w:pStyle w:val="NoSpacing"/>
              <w:jc w:val="center"/>
              <w:rPr>
                <w:rFonts w:cs="Arial"/>
                <w:sz w:val="18"/>
                <w:szCs w:val="18"/>
              </w:rPr>
            </w:pPr>
            <w:r w:rsidRPr="001570EA">
              <w:rPr>
                <w:rFonts w:cs="Arial"/>
                <w:sz w:val="18"/>
                <w:szCs w:val="18"/>
              </w:rPr>
              <w:t>ENERGY STAR Most Efficient Maximum Energy Usage in kWh/yr</w:t>
            </w:r>
          </w:p>
        </w:tc>
      </w:tr>
      <w:tr w:rsidR="004E6452" w:rsidRPr="001570EA" w14:paraId="51D2ECF0" w14:textId="77777777">
        <w:tc>
          <w:tcPr>
            <w:tcW w:w="0" w:type="dxa"/>
            <w:vAlign w:val="center"/>
          </w:tcPr>
          <w:p w14:paraId="321C31E8" w14:textId="77777777" w:rsidR="004E6452" w:rsidRPr="001570EA" w:rsidRDefault="004E6452">
            <w:pPr>
              <w:pStyle w:val="NoSpacing"/>
              <w:jc w:val="left"/>
              <w:rPr>
                <w:rFonts w:cs="Arial"/>
                <w:sz w:val="18"/>
                <w:szCs w:val="18"/>
              </w:rPr>
            </w:pPr>
            <w:r w:rsidRPr="001570EA">
              <w:rPr>
                <w:rFonts w:cs="Arial"/>
                <w:sz w:val="18"/>
                <w:szCs w:val="18"/>
              </w:rPr>
              <w:t>1. Refrigerator-freezers and refrigerators other than all-refrigerators with manual defrost</w:t>
            </w:r>
          </w:p>
        </w:tc>
        <w:tc>
          <w:tcPr>
            <w:tcW w:w="2245" w:type="dxa"/>
            <w:vAlign w:val="center"/>
          </w:tcPr>
          <w:p w14:paraId="7EB36007" w14:textId="77777777" w:rsidR="004E6452" w:rsidRPr="001570EA" w:rsidRDefault="004E6452">
            <w:pPr>
              <w:pStyle w:val="NoSpacing"/>
              <w:jc w:val="center"/>
              <w:rPr>
                <w:rFonts w:cs="Arial"/>
                <w:sz w:val="18"/>
                <w:szCs w:val="18"/>
              </w:rPr>
            </w:pPr>
            <w:r w:rsidRPr="001570EA">
              <w:rPr>
                <w:rFonts w:cs="Arial"/>
                <w:sz w:val="18"/>
                <w:szCs w:val="18"/>
              </w:rPr>
              <w:t>7.19 × AV + 202.5</w:t>
            </w:r>
          </w:p>
        </w:tc>
        <w:tc>
          <w:tcPr>
            <w:tcW w:w="3515" w:type="dxa"/>
            <w:vAlign w:val="center"/>
          </w:tcPr>
          <w:p w14:paraId="4277E913" w14:textId="77777777" w:rsidR="004E6452" w:rsidRPr="001570EA" w:rsidRDefault="004E6452">
            <w:pPr>
              <w:pStyle w:val="NoSpacing"/>
              <w:jc w:val="center"/>
              <w:rPr>
                <w:rFonts w:cs="Arial"/>
                <w:sz w:val="18"/>
                <w:szCs w:val="18"/>
              </w:rPr>
            </w:pPr>
            <w:r w:rsidRPr="001570EA">
              <w:rPr>
                <w:rFonts w:cs="Arial"/>
                <w:sz w:val="18"/>
                <w:szCs w:val="18"/>
              </w:rPr>
              <w:t>AV ≤ 81.1, AEC</w:t>
            </w:r>
            <w:r w:rsidRPr="001570EA">
              <w:rPr>
                <w:rFonts w:cs="Arial"/>
                <w:sz w:val="18"/>
                <w:szCs w:val="18"/>
                <w:vertAlign w:val="subscript"/>
              </w:rPr>
              <w:t>MAX</w:t>
            </w:r>
            <w:r w:rsidRPr="001570EA">
              <w:rPr>
                <w:rStyle w:val="FootnoteReference"/>
                <w:sz w:val="18"/>
                <w:szCs w:val="18"/>
              </w:rPr>
              <w:footnoteReference w:id="7"/>
            </w:r>
            <w:r w:rsidRPr="001570EA">
              <w:rPr>
                <w:rFonts w:cs="Arial"/>
                <w:sz w:val="18"/>
                <w:szCs w:val="18"/>
              </w:rPr>
              <w:t xml:space="preserve"> ≤ 5.83 </w:t>
            </w:r>
            <w:r w:rsidRPr="001570EA">
              <w:rPr>
                <w:rFonts w:cs="Arial"/>
                <w:color w:val="000000"/>
                <w:sz w:val="18"/>
                <w:szCs w:val="18"/>
              </w:rPr>
              <w:t xml:space="preserve">× </w:t>
            </w:r>
            <w:r w:rsidRPr="001570EA">
              <w:rPr>
                <w:rFonts w:cs="Arial"/>
                <w:sz w:val="18"/>
                <w:szCs w:val="18"/>
              </w:rPr>
              <w:t>AV + 164.3</w:t>
            </w:r>
          </w:p>
          <w:p w14:paraId="0D35538C" w14:textId="77777777" w:rsidR="004E6452" w:rsidRPr="001570EA" w:rsidRDefault="004E6452">
            <w:pPr>
              <w:pStyle w:val="NoSpacing"/>
              <w:jc w:val="center"/>
              <w:rPr>
                <w:rFonts w:cs="Arial"/>
                <w:sz w:val="18"/>
                <w:szCs w:val="18"/>
              </w:rPr>
            </w:pPr>
            <w:r w:rsidRPr="001570EA">
              <w:rPr>
                <w:rFonts w:cs="Arial"/>
                <w:sz w:val="18"/>
                <w:szCs w:val="18"/>
              </w:rPr>
              <w:t>AV &gt; 81.1, AEC</w:t>
            </w:r>
            <w:r w:rsidRPr="001570EA">
              <w:rPr>
                <w:rFonts w:cs="Arial"/>
                <w:sz w:val="18"/>
                <w:szCs w:val="18"/>
                <w:vertAlign w:val="subscript"/>
              </w:rPr>
              <w:t>MAX</w:t>
            </w:r>
            <w:r w:rsidRPr="001570EA">
              <w:rPr>
                <w:rFonts w:cs="Arial"/>
                <w:sz w:val="18"/>
                <w:szCs w:val="18"/>
              </w:rPr>
              <w:t xml:space="preserve"> ≤ 637</w:t>
            </w:r>
          </w:p>
        </w:tc>
      </w:tr>
      <w:tr w:rsidR="004E6452" w:rsidRPr="001570EA" w14:paraId="4EF31524" w14:textId="77777777">
        <w:tc>
          <w:tcPr>
            <w:tcW w:w="0" w:type="dxa"/>
            <w:vAlign w:val="center"/>
          </w:tcPr>
          <w:p w14:paraId="23D88D2E" w14:textId="77777777" w:rsidR="004E6452" w:rsidRPr="001570EA" w:rsidRDefault="004E6452">
            <w:pPr>
              <w:pStyle w:val="NoSpacing"/>
              <w:jc w:val="left"/>
              <w:rPr>
                <w:rFonts w:cs="Arial"/>
                <w:sz w:val="18"/>
                <w:szCs w:val="18"/>
              </w:rPr>
            </w:pPr>
            <w:r w:rsidRPr="001570EA">
              <w:rPr>
                <w:rFonts w:cs="Arial"/>
                <w:color w:val="000000"/>
                <w:sz w:val="18"/>
                <w:szCs w:val="18"/>
              </w:rPr>
              <w:t>1A. All-refrigerators—manual defrost</w:t>
            </w:r>
          </w:p>
        </w:tc>
        <w:tc>
          <w:tcPr>
            <w:tcW w:w="2245" w:type="dxa"/>
            <w:vAlign w:val="center"/>
          </w:tcPr>
          <w:p w14:paraId="45ACD6F5" w14:textId="77777777" w:rsidR="004E6452" w:rsidRPr="001570EA" w:rsidRDefault="004E6452">
            <w:pPr>
              <w:pStyle w:val="NoSpacing"/>
              <w:jc w:val="center"/>
              <w:rPr>
                <w:rFonts w:cs="Arial"/>
                <w:sz w:val="18"/>
                <w:szCs w:val="18"/>
              </w:rPr>
            </w:pPr>
            <w:r w:rsidRPr="001570EA">
              <w:rPr>
                <w:rFonts w:cs="Arial"/>
                <w:color w:val="000000"/>
                <w:sz w:val="18"/>
                <w:szCs w:val="18"/>
              </w:rPr>
              <w:t>6.11 × AV + 174.2</w:t>
            </w:r>
          </w:p>
        </w:tc>
        <w:tc>
          <w:tcPr>
            <w:tcW w:w="3515" w:type="dxa"/>
            <w:shd w:val="clear" w:color="auto" w:fill="E7E6E6" w:themeFill="background2"/>
            <w:vAlign w:val="center"/>
          </w:tcPr>
          <w:p w14:paraId="12BF4628" w14:textId="77777777" w:rsidR="004E6452" w:rsidRPr="001570EA" w:rsidRDefault="004E6452">
            <w:pPr>
              <w:pStyle w:val="NoSpacing"/>
              <w:jc w:val="center"/>
              <w:rPr>
                <w:rFonts w:cs="Arial"/>
                <w:sz w:val="18"/>
                <w:szCs w:val="18"/>
              </w:rPr>
            </w:pPr>
            <w:r w:rsidRPr="001570EA">
              <w:rPr>
                <w:rFonts w:cs="Arial"/>
                <w:b/>
                <w:bCs/>
                <w:color w:val="000000"/>
                <w:sz w:val="18"/>
                <w:szCs w:val="18"/>
              </w:rPr>
              <w:t> </w:t>
            </w:r>
          </w:p>
        </w:tc>
      </w:tr>
      <w:tr w:rsidR="004E6452" w:rsidRPr="001570EA" w14:paraId="56D841D3" w14:textId="77777777">
        <w:tc>
          <w:tcPr>
            <w:tcW w:w="0" w:type="dxa"/>
            <w:vAlign w:val="center"/>
          </w:tcPr>
          <w:p w14:paraId="5E7EF126" w14:textId="77777777" w:rsidR="004E6452" w:rsidRPr="001570EA" w:rsidRDefault="004E6452">
            <w:pPr>
              <w:pStyle w:val="NoSpacing"/>
              <w:jc w:val="left"/>
              <w:rPr>
                <w:rFonts w:cs="Arial"/>
                <w:sz w:val="18"/>
                <w:szCs w:val="18"/>
              </w:rPr>
            </w:pPr>
            <w:r w:rsidRPr="001570EA">
              <w:rPr>
                <w:rFonts w:cs="Arial"/>
                <w:color w:val="000000"/>
                <w:sz w:val="18"/>
                <w:szCs w:val="18"/>
              </w:rPr>
              <w:t>2. Refrigerator-freezers—partial automatic defrost</w:t>
            </w:r>
          </w:p>
        </w:tc>
        <w:tc>
          <w:tcPr>
            <w:tcW w:w="2245" w:type="dxa"/>
            <w:vAlign w:val="center"/>
          </w:tcPr>
          <w:p w14:paraId="46F62E4C" w14:textId="77777777" w:rsidR="004E6452" w:rsidRPr="001570EA" w:rsidRDefault="004E6452">
            <w:pPr>
              <w:pStyle w:val="NoSpacing"/>
              <w:jc w:val="center"/>
              <w:rPr>
                <w:rFonts w:cs="Arial"/>
                <w:sz w:val="18"/>
                <w:szCs w:val="18"/>
              </w:rPr>
            </w:pPr>
            <w:r w:rsidRPr="001570EA">
              <w:rPr>
                <w:rFonts w:cs="Arial"/>
                <w:color w:val="000000"/>
                <w:sz w:val="18"/>
                <w:szCs w:val="18"/>
              </w:rPr>
              <w:t>7.19 × AV + 202.5</w:t>
            </w:r>
          </w:p>
        </w:tc>
        <w:tc>
          <w:tcPr>
            <w:tcW w:w="3515" w:type="dxa"/>
            <w:vAlign w:val="center"/>
          </w:tcPr>
          <w:p w14:paraId="6D5AFE3C" w14:textId="77777777" w:rsidR="004E6452" w:rsidRPr="001570EA" w:rsidRDefault="004E6452">
            <w:pPr>
              <w:pStyle w:val="NoSpacing"/>
              <w:jc w:val="center"/>
              <w:rPr>
                <w:rFonts w:cs="Arial"/>
                <w:color w:val="000000"/>
                <w:sz w:val="18"/>
                <w:szCs w:val="18"/>
              </w:rPr>
            </w:pPr>
            <w:r w:rsidRPr="001570EA">
              <w:rPr>
                <w:rFonts w:cs="Arial"/>
                <w:color w:val="000000"/>
                <w:sz w:val="18"/>
                <w:szCs w:val="18"/>
              </w:rPr>
              <w:t>AV ≤ 81.1, AEC</w:t>
            </w:r>
            <w:r w:rsidRPr="001570EA">
              <w:rPr>
                <w:rFonts w:cs="Arial"/>
                <w:color w:val="000000"/>
                <w:sz w:val="18"/>
                <w:szCs w:val="18"/>
                <w:vertAlign w:val="subscript"/>
              </w:rPr>
              <w:t>MAX</w:t>
            </w:r>
            <w:r w:rsidRPr="001570EA">
              <w:rPr>
                <w:rFonts w:cs="Arial"/>
                <w:color w:val="000000"/>
                <w:sz w:val="18"/>
                <w:szCs w:val="18"/>
              </w:rPr>
              <w:t xml:space="preserve"> ≤ 5.83</w:t>
            </w:r>
            <w:r w:rsidRPr="001570EA">
              <w:rPr>
                <w:rFonts w:cs="Arial"/>
                <w:sz w:val="18"/>
                <w:szCs w:val="18"/>
              </w:rPr>
              <w:t xml:space="preserve"> </w:t>
            </w:r>
            <w:r w:rsidRPr="001570EA">
              <w:rPr>
                <w:rFonts w:cs="Arial"/>
                <w:color w:val="000000"/>
                <w:sz w:val="18"/>
                <w:szCs w:val="18"/>
              </w:rPr>
              <w:t>× AV + 164.3</w:t>
            </w:r>
            <w:r w:rsidRPr="001570EA">
              <w:rPr>
                <w:rFonts w:cs="Arial"/>
                <w:color w:val="000000"/>
                <w:sz w:val="18"/>
                <w:szCs w:val="18"/>
              </w:rPr>
              <w:br/>
              <w:t>AV &gt; 81.1, AEC</w:t>
            </w:r>
            <w:r w:rsidRPr="001570EA">
              <w:rPr>
                <w:rFonts w:cs="Arial"/>
                <w:color w:val="000000"/>
                <w:sz w:val="18"/>
                <w:szCs w:val="18"/>
                <w:vertAlign w:val="subscript"/>
              </w:rPr>
              <w:t>MAX</w:t>
            </w:r>
            <w:r w:rsidRPr="001570EA">
              <w:rPr>
                <w:rFonts w:cs="Arial"/>
                <w:color w:val="000000"/>
                <w:sz w:val="18"/>
                <w:szCs w:val="18"/>
              </w:rPr>
              <w:t xml:space="preserve"> ≤ 637</w:t>
            </w:r>
          </w:p>
        </w:tc>
      </w:tr>
      <w:tr w:rsidR="004E6452" w:rsidRPr="001570EA" w14:paraId="50A00D7A" w14:textId="77777777">
        <w:tc>
          <w:tcPr>
            <w:tcW w:w="0" w:type="dxa"/>
            <w:vAlign w:val="center"/>
          </w:tcPr>
          <w:p w14:paraId="41622993" w14:textId="77777777" w:rsidR="004E6452" w:rsidRPr="001570EA" w:rsidRDefault="004E6452">
            <w:pPr>
              <w:pStyle w:val="NoSpacing"/>
              <w:jc w:val="left"/>
              <w:rPr>
                <w:rFonts w:cs="Arial"/>
                <w:sz w:val="18"/>
                <w:szCs w:val="18"/>
              </w:rPr>
            </w:pPr>
            <w:r w:rsidRPr="001570EA">
              <w:rPr>
                <w:rFonts w:cs="Arial"/>
                <w:color w:val="000000"/>
                <w:sz w:val="18"/>
                <w:szCs w:val="18"/>
              </w:rPr>
              <w:t>3. Refrigerator-freezers—automatic defrost with top-mounted freezer without an automatic icemaker</w:t>
            </w:r>
          </w:p>
        </w:tc>
        <w:tc>
          <w:tcPr>
            <w:tcW w:w="2245" w:type="dxa"/>
            <w:vAlign w:val="center"/>
          </w:tcPr>
          <w:p w14:paraId="6DE1B1C9" w14:textId="77777777" w:rsidR="004E6452" w:rsidRPr="001570EA" w:rsidRDefault="004E6452">
            <w:pPr>
              <w:pStyle w:val="NoSpacing"/>
              <w:jc w:val="center"/>
              <w:rPr>
                <w:rFonts w:cs="Arial"/>
                <w:sz w:val="18"/>
                <w:szCs w:val="18"/>
              </w:rPr>
            </w:pPr>
            <w:r w:rsidRPr="001570EA">
              <w:rPr>
                <w:rFonts w:cs="Arial"/>
                <w:color w:val="000000"/>
                <w:sz w:val="18"/>
                <w:szCs w:val="18"/>
              </w:rPr>
              <w:t>7.26 × AV + 210.3</w:t>
            </w:r>
          </w:p>
        </w:tc>
        <w:tc>
          <w:tcPr>
            <w:tcW w:w="3515" w:type="dxa"/>
            <w:shd w:val="clear" w:color="auto" w:fill="E7E6E6" w:themeFill="background2"/>
            <w:vAlign w:val="center"/>
          </w:tcPr>
          <w:p w14:paraId="066E4D81" w14:textId="77777777" w:rsidR="004E6452" w:rsidRPr="001570EA" w:rsidRDefault="004E6452">
            <w:pPr>
              <w:pStyle w:val="NoSpacing"/>
              <w:jc w:val="center"/>
              <w:rPr>
                <w:rFonts w:cs="Arial"/>
                <w:sz w:val="18"/>
                <w:szCs w:val="18"/>
              </w:rPr>
            </w:pPr>
            <w:r w:rsidRPr="001570EA">
              <w:rPr>
                <w:rFonts w:cs="Arial"/>
                <w:b/>
                <w:bCs/>
                <w:color w:val="000000"/>
                <w:sz w:val="18"/>
                <w:szCs w:val="18"/>
              </w:rPr>
              <w:t> </w:t>
            </w:r>
          </w:p>
        </w:tc>
      </w:tr>
      <w:tr w:rsidR="004E6452" w:rsidRPr="001570EA" w14:paraId="03A7B182" w14:textId="77777777">
        <w:tc>
          <w:tcPr>
            <w:tcW w:w="0" w:type="dxa"/>
            <w:vAlign w:val="center"/>
          </w:tcPr>
          <w:p w14:paraId="2731E354" w14:textId="77777777" w:rsidR="004E6452" w:rsidRPr="001570EA" w:rsidRDefault="004E6452">
            <w:pPr>
              <w:pStyle w:val="NoSpacing"/>
              <w:jc w:val="left"/>
              <w:rPr>
                <w:rFonts w:cs="Arial"/>
                <w:sz w:val="18"/>
                <w:szCs w:val="18"/>
              </w:rPr>
            </w:pPr>
            <w:r w:rsidRPr="001570EA">
              <w:rPr>
                <w:rFonts w:cs="Arial"/>
                <w:color w:val="000000"/>
                <w:sz w:val="18"/>
                <w:szCs w:val="18"/>
              </w:rPr>
              <w:t>3–BI. Built-in refrigerator-freezer—automatic defrost with top-mounted freezer without an automatic icemaker</w:t>
            </w:r>
          </w:p>
        </w:tc>
        <w:tc>
          <w:tcPr>
            <w:tcW w:w="2245" w:type="dxa"/>
            <w:vAlign w:val="center"/>
          </w:tcPr>
          <w:p w14:paraId="3FEAD778" w14:textId="77777777" w:rsidR="004E6452" w:rsidRPr="001570EA" w:rsidRDefault="004E6452">
            <w:pPr>
              <w:pStyle w:val="NoSpacing"/>
              <w:jc w:val="center"/>
              <w:rPr>
                <w:rFonts w:cs="Arial"/>
                <w:sz w:val="18"/>
                <w:szCs w:val="18"/>
              </w:rPr>
            </w:pPr>
            <w:r w:rsidRPr="001570EA">
              <w:rPr>
                <w:rFonts w:cs="Arial"/>
                <w:color w:val="000000"/>
                <w:sz w:val="18"/>
                <w:szCs w:val="18"/>
              </w:rPr>
              <w:t>8.24 × AV + 238.4</w:t>
            </w:r>
          </w:p>
        </w:tc>
        <w:tc>
          <w:tcPr>
            <w:tcW w:w="3515" w:type="dxa"/>
            <w:shd w:val="clear" w:color="auto" w:fill="E7E6E6" w:themeFill="background2"/>
            <w:vAlign w:val="center"/>
          </w:tcPr>
          <w:p w14:paraId="2F58FB26" w14:textId="77777777" w:rsidR="004E6452" w:rsidRPr="001570EA" w:rsidRDefault="004E6452">
            <w:pPr>
              <w:pStyle w:val="NoSpacing"/>
              <w:jc w:val="center"/>
              <w:rPr>
                <w:rFonts w:cs="Arial"/>
                <w:sz w:val="18"/>
                <w:szCs w:val="18"/>
              </w:rPr>
            </w:pPr>
            <w:r w:rsidRPr="001570EA">
              <w:rPr>
                <w:rFonts w:cs="Arial"/>
                <w:b/>
                <w:bCs/>
                <w:color w:val="000000"/>
                <w:sz w:val="18"/>
                <w:szCs w:val="18"/>
              </w:rPr>
              <w:t> </w:t>
            </w:r>
          </w:p>
        </w:tc>
      </w:tr>
      <w:tr w:rsidR="004E6452" w:rsidRPr="001570EA" w14:paraId="0ED56F8A" w14:textId="77777777">
        <w:tc>
          <w:tcPr>
            <w:tcW w:w="0" w:type="dxa"/>
            <w:vAlign w:val="center"/>
          </w:tcPr>
          <w:p w14:paraId="53516D64" w14:textId="77777777" w:rsidR="004E6452" w:rsidRPr="001570EA" w:rsidRDefault="004E6452">
            <w:pPr>
              <w:pStyle w:val="NoSpacing"/>
              <w:jc w:val="left"/>
              <w:rPr>
                <w:rFonts w:cs="Arial"/>
                <w:sz w:val="18"/>
                <w:szCs w:val="18"/>
              </w:rPr>
            </w:pPr>
            <w:r w:rsidRPr="001570EA">
              <w:rPr>
                <w:rFonts w:cs="Arial"/>
                <w:color w:val="000000"/>
                <w:sz w:val="18"/>
                <w:szCs w:val="18"/>
              </w:rPr>
              <w:t>3I. Refrigerator-freezers—automatic defrost with top-mounted freezer with an automatic icemaker without through-the-door ice service</w:t>
            </w:r>
          </w:p>
        </w:tc>
        <w:tc>
          <w:tcPr>
            <w:tcW w:w="2245" w:type="dxa"/>
            <w:vAlign w:val="center"/>
          </w:tcPr>
          <w:p w14:paraId="75DE72C3" w14:textId="77777777" w:rsidR="004E6452" w:rsidRPr="001570EA" w:rsidRDefault="004E6452">
            <w:pPr>
              <w:pStyle w:val="NoSpacing"/>
              <w:jc w:val="center"/>
              <w:rPr>
                <w:rFonts w:cs="Arial"/>
                <w:sz w:val="18"/>
                <w:szCs w:val="18"/>
              </w:rPr>
            </w:pPr>
            <w:r w:rsidRPr="001570EA">
              <w:rPr>
                <w:rFonts w:cs="Arial"/>
                <w:color w:val="000000"/>
                <w:sz w:val="18"/>
                <w:szCs w:val="18"/>
              </w:rPr>
              <w:t>7.26 × AV + 294.3</w:t>
            </w:r>
          </w:p>
        </w:tc>
        <w:tc>
          <w:tcPr>
            <w:tcW w:w="3515" w:type="dxa"/>
            <w:shd w:val="clear" w:color="auto" w:fill="E7E6E6" w:themeFill="background2"/>
            <w:vAlign w:val="center"/>
          </w:tcPr>
          <w:p w14:paraId="71E59015" w14:textId="77777777" w:rsidR="004E6452" w:rsidRPr="001570EA" w:rsidRDefault="004E6452">
            <w:pPr>
              <w:pStyle w:val="NoSpacing"/>
              <w:jc w:val="center"/>
              <w:rPr>
                <w:rFonts w:cs="Arial"/>
                <w:sz w:val="18"/>
                <w:szCs w:val="18"/>
              </w:rPr>
            </w:pPr>
            <w:r w:rsidRPr="001570EA">
              <w:rPr>
                <w:rFonts w:cs="Arial"/>
                <w:b/>
                <w:bCs/>
                <w:color w:val="000000"/>
                <w:sz w:val="18"/>
                <w:szCs w:val="18"/>
              </w:rPr>
              <w:t> </w:t>
            </w:r>
          </w:p>
        </w:tc>
      </w:tr>
      <w:tr w:rsidR="004E6452" w:rsidRPr="001570EA" w14:paraId="12A7D9E1" w14:textId="77777777">
        <w:tc>
          <w:tcPr>
            <w:tcW w:w="0" w:type="dxa"/>
            <w:vAlign w:val="center"/>
          </w:tcPr>
          <w:p w14:paraId="2D24C8FE" w14:textId="77777777" w:rsidR="004E6452" w:rsidRPr="001570EA" w:rsidRDefault="004E6452">
            <w:pPr>
              <w:pStyle w:val="NoSpacing"/>
              <w:jc w:val="left"/>
              <w:rPr>
                <w:rFonts w:cs="Arial"/>
                <w:sz w:val="18"/>
                <w:szCs w:val="18"/>
              </w:rPr>
            </w:pPr>
            <w:r w:rsidRPr="001570EA">
              <w:rPr>
                <w:rFonts w:cs="Arial"/>
                <w:color w:val="000000"/>
                <w:sz w:val="18"/>
                <w:szCs w:val="18"/>
              </w:rPr>
              <w:t>3I–BI. Built-in refrigerator-freezers—automatic defrost with top-mounted freezer with an automatic icemaker without through-the-door ice service</w:t>
            </w:r>
          </w:p>
        </w:tc>
        <w:tc>
          <w:tcPr>
            <w:tcW w:w="2245" w:type="dxa"/>
            <w:vAlign w:val="center"/>
          </w:tcPr>
          <w:p w14:paraId="773F732A" w14:textId="77777777" w:rsidR="004E6452" w:rsidRPr="001570EA" w:rsidRDefault="004E6452">
            <w:pPr>
              <w:pStyle w:val="NoSpacing"/>
              <w:jc w:val="center"/>
              <w:rPr>
                <w:rFonts w:cs="Arial"/>
                <w:sz w:val="18"/>
                <w:szCs w:val="18"/>
              </w:rPr>
            </w:pPr>
            <w:r w:rsidRPr="001570EA">
              <w:rPr>
                <w:rFonts w:cs="Arial"/>
                <w:color w:val="000000"/>
                <w:sz w:val="18"/>
                <w:szCs w:val="18"/>
              </w:rPr>
              <w:t>8.24 × AV + 322.4</w:t>
            </w:r>
          </w:p>
        </w:tc>
        <w:tc>
          <w:tcPr>
            <w:tcW w:w="3515" w:type="dxa"/>
            <w:shd w:val="clear" w:color="auto" w:fill="E7E6E6" w:themeFill="background2"/>
            <w:vAlign w:val="center"/>
          </w:tcPr>
          <w:p w14:paraId="5832099E" w14:textId="77777777" w:rsidR="004E6452" w:rsidRPr="001570EA" w:rsidRDefault="004E6452">
            <w:pPr>
              <w:pStyle w:val="NoSpacing"/>
              <w:jc w:val="center"/>
              <w:rPr>
                <w:rFonts w:cs="Arial"/>
                <w:sz w:val="18"/>
                <w:szCs w:val="18"/>
              </w:rPr>
            </w:pPr>
            <w:r w:rsidRPr="001570EA">
              <w:rPr>
                <w:rFonts w:cs="Arial"/>
                <w:b/>
                <w:bCs/>
                <w:color w:val="000000"/>
                <w:sz w:val="18"/>
                <w:szCs w:val="18"/>
              </w:rPr>
              <w:t> </w:t>
            </w:r>
          </w:p>
        </w:tc>
      </w:tr>
      <w:tr w:rsidR="004E6452" w:rsidRPr="001570EA" w14:paraId="72F7B4A7" w14:textId="77777777">
        <w:tc>
          <w:tcPr>
            <w:tcW w:w="0" w:type="dxa"/>
            <w:vAlign w:val="center"/>
          </w:tcPr>
          <w:p w14:paraId="4C5E3A4B" w14:textId="77777777" w:rsidR="004E6452" w:rsidRPr="001570EA" w:rsidRDefault="004E6452">
            <w:pPr>
              <w:pStyle w:val="NoSpacing"/>
              <w:jc w:val="left"/>
              <w:rPr>
                <w:rFonts w:cs="Arial"/>
                <w:sz w:val="18"/>
                <w:szCs w:val="18"/>
              </w:rPr>
            </w:pPr>
            <w:r w:rsidRPr="001570EA">
              <w:rPr>
                <w:rFonts w:cs="Arial"/>
                <w:color w:val="000000"/>
                <w:sz w:val="18"/>
                <w:szCs w:val="18"/>
              </w:rPr>
              <w:t>3A. All-refrigerators—automatic defrost</w:t>
            </w:r>
          </w:p>
        </w:tc>
        <w:tc>
          <w:tcPr>
            <w:tcW w:w="2245" w:type="dxa"/>
            <w:vAlign w:val="center"/>
          </w:tcPr>
          <w:p w14:paraId="55EF39DE" w14:textId="77777777" w:rsidR="004E6452" w:rsidRPr="001570EA" w:rsidRDefault="004E6452">
            <w:pPr>
              <w:pStyle w:val="NoSpacing"/>
              <w:jc w:val="center"/>
              <w:rPr>
                <w:rFonts w:cs="Arial"/>
                <w:sz w:val="18"/>
                <w:szCs w:val="18"/>
              </w:rPr>
            </w:pPr>
            <w:r w:rsidRPr="001570EA">
              <w:rPr>
                <w:rFonts w:cs="Arial"/>
                <w:color w:val="000000"/>
                <w:sz w:val="18"/>
                <w:szCs w:val="18"/>
              </w:rPr>
              <w:t>6.36 × AV + 181.4</w:t>
            </w:r>
          </w:p>
        </w:tc>
        <w:tc>
          <w:tcPr>
            <w:tcW w:w="3515" w:type="dxa"/>
            <w:shd w:val="clear" w:color="auto" w:fill="E7E6E6" w:themeFill="background2"/>
            <w:vAlign w:val="center"/>
          </w:tcPr>
          <w:p w14:paraId="558BE5B2" w14:textId="77777777" w:rsidR="004E6452" w:rsidRPr="001570EA" w:rsidRDefault="004E6452">
            <w:pPr>
              <w:pStyle w:val="NoSpacing"/>
              <w:jc w:val="center"/>
              <w:rPr>
                <w:rFonts w:cs="Arial"/>
                <w:sz w:val="18"/>
                <w:szCs w:val="18"/>
              </w:rPr>
            </w:pPr>
            <w:r w:rsidRPr="001570EA">
              <w:rPr>
                <w:rFonts w:cs="Arial"/>
                <w:b/>
                <w:bCs/>
                <w:color w:val="000000"/>
                <w:sz w:val="18"/>
                <w:szCs w:val="18"/>
              </w:rPr>
              <w:t> </w:t>
            </w:r>
          </w:p>
        </w:tc>
      </w:tr>
      <w:tr w:rsidR="004E6452" w:rsidRPr="001570EA" w14:paraId="74260DFD" w14:textId="77777777">
        <w:tc>
          <w:tcPr>
            <w:tcW w:w="0" w:type="dxa"/>
            <w:vAlign w:val="center"/>
          </w:tcPr>
          <w:p w14:paraId="23DA6674" w14:textId="77777777" w:rsidR="004E6452" w:rsidRPr="001570EA" w:rsidRDefault="004E6452">
            <w:pPr>
              <w:pStyle w:val="NoSpacing"/>
              <w:jc w:val="left"/>
              <w:rPr>
                <w:rFonts w:cs="Arial"/>
                <w:sz w:val="18"/>
                <w:szCs w:val="18"/>
              </w:rPr>
            </w:pPr>
            <w:r w:rsidRPr="001570EA">
              <w:rPr>
                <w:rFonts w:cs="Arial"/>
                <w:color w:val="000000"/>
                <w:sz w:val="18"/>
                <w:szCs w:val="18"/>
              </w:rPr>
              <w:t>3A–BI. Built-in All-refrigerators—automatic defrost</w:t>
            </w:r>
          </w:p>
        </w:tc>
        <w:tc>
          <w:tcPr>
            <w:tcW w:w="2245" w:type="dxa"/>
            <w:vAlign w:val="center"/>
          </w:tcPr>
          <w:p w14:paraId="0C992651" w14:textId="77777777" w:rsidR="004E6452" w:rsidRPr="001570EA" w:rsidRDefault="004E6452">
            <w:pPr>
              <w:pStyle w:val="NoSpacing"/>
              <w:jc w:val="center"/>
              <w:rPr>
                <w:rFonts w:cs="Arial"/>
                <w:sz w:val="18"/>
                <w:szCs w:val="18"/>
              </w:rPr>
            </w:pPr>
            <w:r w:rsidRPr="001570EA">
              <w:rPr>
                <w:rFonts w:cs="Arial"/>
                <w:color w:val="000000"/>
                <w:sz w:val="18"/>
                <w:szCs w:val="18"/>
              </w:rPr>
              <w:t>7.22 × AV + 205.7</w:t>
            </w:r>
          </w:p>
        </w:tc>
        <w:tc>
          <w:tcPr>
            <w:tcW w:w="3515" w:type="dxa"/>
            <w:shd w:val="clear" w:color="auto" w:fill="E7E6E6" w:themeFill="background2"/>
            <w:vAlign w:val="center"/>
          </w:tcPr>
          <w:p w14:paraId="6A5FB16A" w14:textId="77777777" w:rsidR="004E6452" w:rsidRPr="001570EA" w:rsidRDefault="004E6452">
            <w:pPr>
              <w:pStyle w:val="NoSpacing"/>
              <w:jc w:val="center"/>
              <w:rPr>
                <w:rFonts w:cs="Arial"/>
                <w:sz w:val="18"/>
                <w:szCs w:val="18"/>
              </w:rPr>
            </w:pPr>
            <w:r w:rsidRPr="001570EA">
              <w:rPr>
                <w:rFonts w:cs="Arial"/>
                <w:b/>
                <w:bCs/>
                <w:color w:val="000000"/>
                <w:sz w:val="18"/>
                <w:szCs w:val="18"/>
              </w:rPr>
              <w:t> </w:t>
            </w:r>
          </w:p>
        </w:tc>
      </w:tr>
      <w:tr w:rsidR="004E6452" w:rsidRPr="001570EA" w14:paraId="0BBBC81C" w14:textId="77777777">
        <w:tc>
          <w:tcPr>
            <w:tcW w:w="0" w:type="dxa"/>
            <w:vAlign w:val="center"/>
          </w:tcPr>
          <w:p w14:paraId="72F3A4FC" w14:textId="77777777" w:rsidR="004E6452" w:rsidRPr="001570EA" w:rsidRDefault="004E6452">
            <w:pPr>
              <w:pStyle w:val="NoSpacing"/>
              <w:jc w:val="left"/>
              <w:rPr>
                <w:rFonts w:cs="Arial"/>
                <w:sz w:val="18"/>
                <w:szCs w:val="18"/>
              </w:rPr>
            </w:pPr>
            <w:r w:rsidRPr="001570EA">
              <w:rPr>
                <w:rFonts w:cs="Arial"/>
                <w:color w:val="000000"/>
                <w:sz w:val="18"/>
                <w:szCs w:val="18"/>
              </w:rPr>
              <w:t>4. Refrigerator-freezers—automatic defrost with side-mounted freezer without an automatic icemaker</w:t>
            </w:r>
          </w:p>
        </w:tc>
        <w:tc>
          <w:tcPr>
            <w:tcW w:w="2245" w:type="dxa"/>
            <w:vAlign w:val="center"/>
          </w:tcPr>
          <w:p w14:paraId="080D3DFA" w14:textId="77777777" w:rsidR="004E6452" w:rsidRPr="001570EA" w:rsidRDefault="004E6452">
            <w:pPr>
              <w:pStyle w:val="NoSpacing"/>
              <w:jc w:val="center"/>
              <w:rPr>
                <w:rFonts w:cs="Arial"/>
                <w:sz w:val="18"/>
                <w:szCs w:val="18"/>
              </w:rPr>
            </w:pPr>
            <w:r w:rsidRPr="001570EA">
              <w:rPr>
                <w:rFonts w:cs="Arial"/>
                <w:color w:val="000000"/>
                <w:sz w:val="18"/>
                <w:szCs w:val="18"/>
              </w:rPr>
              <w:t>7.66 × AV + 268.0</w:t>
            </w:r>
          </w:p>
        </w:tc>
        <w:tc>
          <w:tcPr>
            <w:tcW w:w="3515" w:type="dxa"/>
            <w:vAlign w:val="center"/>
          </w:tcPr>
          <w:p w14:paraId="7F0F5EFB" w14:textId="77777777" w:rsidR="004E6452" w:rsidRPr="001570EA" w:rsidRDefault="004E6452">
            <w:pPr>
              <w:pStyle w:val="NoSpacing"/>
              <w:jc w:val="center"/>
              <w:rPr>
                <w:rFonts w:cs="Arial"/>
                <w:sz w:val="18"/>
                <w:szCs w:val="18"/>
              </w:rPr>
            </w:pPr>
            <w:r w:rsidRPr="001570EA">
              <w:rPr>
                <w:rFonts w:cs="Arial"/>
                <w:color w:val="000000"/>
                <w:sz w:val="18"/>
                <w:szCs w:val="18"/>
              </w:rPr>
              <w:t>AV ≤ 67.6, AEC</w:t>
            </w:r>
            <w:r w:rsidRPr="001570EA">
              <w:rPr>
                <w:rFonts w:cs="Arial"/>
                <w:color w:val="000000"/>
                <w:sz w:val="18"/>
                <w:szCs w:val="18"/>
                <w:vertAlign w:val="subscript"/>
              </w:rPr>
              <w:t>MAX</w:t>
            </w:r>
            <w:r w:rsidRPr="001570EA">
              <w:rPr>
                <w:rFonts w:cs="Arial"/>
                <w:color w:val="000000"/>
                <w:sz w:val="18"/>
                <w:szCs w:val="18"/>
              </w:rPr>
              <w:t xml:space="preserve"> ≤ 6.21</w:t>
            </w:r>
            <w:r w:rsidRPr="001570EA">
              <w:rPr>
                <w:rFonts w:cs="Arial"/>
                <w:sz w:val="18"/>
                <w:szCs w:val="18"/>
              </w:rPr>
              <w:t xml:space="preserve"> </w:t>
            </w:r>
            <w:r w:rsidRPr="001570EA">
              <w:rPr>
                <w:rFonts w:cs="Arial"/>
                <w:color w:val="000000"/>
                <w:sz w:val="18"/>
                <w:szCs w:val="18"/>
              </w:rPr>
              <w:t>× AV + 217.4</w:t>
            </w:r>
            <w:r w:rsidRPr="001570EA">
              <w:rPr>
                <w:rFonts w:cs="Arial"/>
                <w:color w:val="000000"/>
                <w:sz w:val="18"/>
                <w:szCs w:val="18"/>
              </w:rPr>
              <w:br/>
              <w:t>AV &gt; 67.6, AEC</w:t>
            </w:r>
            <w:r w:rsidRPr="001570EA">
              <w:rPr>
                <w:rFonts w:cs="Arial"/>
                <w:color w:val="000000"/>
                <w:sz w:val="18"/>
                <w:szCs w:val="18"/>
                <w:vertAlign w:val="subscript"/>
              </w:rPr>
              <w:t>MAX</w:t>
            </w:r>
            <w:r w:rsidRPr="001570EA">
              <w:rPr>
                <w:rFonts w:cs="Arial"/>
                <w:color w:val="000000"/>
                <w:sz w:val="18"/>
                <w:szCs w:val="18"/>
              </w:rPr>
              <w:t xml:space="preserve"> ≤ 637</w:t>
            </w:r>
          </w:p>
        </w:tc>
      </w:tr>
      <w:tr w:rsidR="004E6452" w:rsidRPr="001570EA" w14:paraId="4E49482C" w14:textId="77777777">
        <w:tc>
          <w:tcPr>
            <w:tcW w:w="0" w:type="dxa"/>
            <w:vAlign w:val="center"/>
          </w:tcPr>
          <w:p w14:paraId="3DF896A4" w14:textId="77777777" w:rsidR="004E6452" w:rsidRPr="001570EA" w:rsidRDefault="004E6452">
            <w:pPr>
              <w:pStyle w:val="NoSpacing"/>
              <w:jc w:val="left"/>
              <w:rPr>
                <w:rFonts w:cs="Arial"/>
                <w:sz w:val="18"/>
                <w:szCs w:val="18"/>
              </w:rPr>
            </w:pPr>
            <w:r w:rsidRPr="001570EA">
              <w:rPr>
                <w:rFonts w:cs="Arial"/>
                <w:color w:val="000000"/>
                <w:sz w:val="18"/>
                <w:szCs w:val="18"/>
              </w:rPr>
              <w:t>4–BI. Built-In Refrigerator-freezers—automatic defrost with side-mounted freezer without an automatic icemaker</w:t>
            </w:r>
          </w:p>
        </w:tc>
        <w:tc>
          <w:tcPr>
            <w:tcW w:w="2245" w:type="dxa"/>
            <w:vAlign w:val="center"/>
          </w:tcPr>
          <w:p w14:paraId="04B7DB76" w14:textId="77777777" w:rsidR="004E6452" w:rsidRPr="001570EA" w:rsidRDefault="004E6452">
            <w:pPr>
              <w:pStyle w:val="NoSpacing"/>
              <w:jc w:val="center"/>
              <w:rPr>
                <w:rFonts w:cs="Arial"/>
                <w:sz w:val="18"/>
                <w:szCs w:val="18"/>
              </w:rPr>
            </w:pPr>
            <w:r w:rsidRPr="001570EA">
              <w:rPr>
                <w:rFonts w:cs="Arial"/>
                <w:color w:val="000000"/>
                <w:sz w:val="18"/>
                <w:szCs w:val="18"/>
              </w:rPr>
              <w:t>9.20 × AV + 321.7</w:t>
            </w:r>
          </w:p>
        </w:tc>
        <w:tc>
          <w:tcPr>
            <w:tcW w:w="3515" w:type="dxa"/>
            <w:vAlign w:val="center"/>
          </w:tcPr>
          <w:p w14:paraId="1C6AF518" w14:textId="77777777" w:rsidR="004E6452" w:rsidRPr="001570EA" w:rsidRDefault="004E6452">
            <w:pPr>
              <w:pStyle w:val="NoSpacing"/>
              <w:jc w:val="center"/>
              <w:rPr>
                <w:rFonts w:cs="Arial"/>
                <w:sz w:val="18"/>
                <w:szCs w:val="18"/>
              </w:rPr>
            </w:pPr>
            <w:r w:rsidRPr="001570EA">
              <w:rPr>
                <w:rFonts w:cs="Arial"/>
                <w:color w:val="000000"/>
                <w:sz w:val="18"/>
                <w:szCs w:val="18"/>
              </w:rPr>
              <w:t>AV ≤ 67.6, AEC</w:t>
            </w:r>
            <w:r w:rsidRPr="001570EA">
              <w:rPr>
                <w:rFonts w:cs="Arial"/>
                <w:color w:val="000000"/>
                <w:sz w:val="18"/>
                <w:szCs w:val="18"/>
                <w:vertAlign w:val="subscript"/>
              </w:rPr>
              <w:t>MAX</w:t>
            </w:r>
            <w:r w:rsidRPr="001570EA">
              <w:rPr>
                <w:rFonts w:cs="Arial"/>
                <w:color w:val="000000"/>
                <w:sz w:val="18"/>
                <w:szCs w:val="18"/>
              </w:rPr>
              <w:t xml:space="preserve"> ≤ 6.21</w:t>
            </w:r>
            <w:r w:rsidRPr="001570EA">
              <w:rPr>
                <w:rFonts w:cs="Arial"/>
                <w:sz w:val="18"/>
                <w:szCs w:val="18"/>
              </w:rPr>
              <w:t xml:space="preserve"> </w:t>
            </w:r>
            <w:r w:rsidRPr="001570EA">
              <w:rPr>
                <w:rFonts w:cs="Arial"/>
                <w:color w:val="000000"/>
                <w:sz w:val="18"/>
                <w:szCs w:val="18"/>
              </w:rPr>
              <w:t>× AV + 217.4</w:t>
            </w:r>
            <w:r w:rsidRPr="001570EA">
              <w:rPr>
                <w:rFonts w:cs="Arial"/>
                <w:color w:val="000000"/>
                <w:sz w:val="18"/>
                <w:szCs w:val="18"/>
              </w:rPr>
              <w:br/>
              <w:t>AV &gt; 67.6, AEC</w:t>
            </w:r>
            <w:r w:rsidRPr="001570EA">
              <w:rPr>
                <w:rFonts w:cs="Arial"/>
                <w:color w:val="000000"/>
                <w:sz w:val="18"/>
                <w:szCs w:val="18"/>
                <w:vertAlign w:val="subscript"/>
              </w:rPr>
              <w:t>MAX</w:t>
            </w:r>
            <w:r w:rsidRPr="001570EA">
              <w:rPr>
                <w:rFonts w:cs="Arial"/>
                <w:color w:val="000000"/>
                <w:sz w:val="18"/>
                <w:szCs w:val="18"/>
              </w:rPr>
              <w:t xml:space="preserve"> ≤ 637</w:t>
            </w:r>
          </w:p>
        </w:tc>
      </w:tr>
      <w:tr w:rsidR="004E6452" w:rsidRPr="001570EA" w14:paraId="3B68D48A" w14:textId="77777777">
        <w:tc>
          <w:tcPr>
            <w:tcW w:w="0" w:type="dxa"/>
            <w:vAlign w:val="center"/>
          </w:tcPr>
          <w:p w14:paraId="6C62B180" w14:textId="77777777" w:rsidR="004E6452" w:rsidRPr="001570EA" w:rsidRDefault="004E6452">
            <w:pPr>
              <w:pStyle w:val="NoSpacing"/>
              <w:jc w:val="left"/>
              <w:rPr>
                <w:rFonts w:cs="Arial"/>
                <w:sz w:val="18"/>
                <w:szCs w:val="18"/>
              </w:rPr>
            </w:pPr>
            <w:r w:rsidRPr="001570EA">
              <w:rPr>
                <w:rFonts w:cs="Arial"/>
                <w:color w:val="000000"/>
                <w:sz w:val="18"/>
                <w:szCs w:val="18"/>
              </w:rPr>
              <w:t>4I. Refrigerator-freezers—automatic defrost with side-mounted freezer with an automatic icemaker without through-the-door ice service</w:t>
            </w:r>
          </w:p>
        </w:tc>
        <w:tc>
          <w:tcPr>
            <w:tcW w:w="2245" w:type="dxa"/>
            <w:vAlign w:val="center"/>
          </w:tcPr>
          <w:p w14:paraId="21405C76" w14:textId="77777777" w:rsidR="004E6452" w:rsidRPr="001570EA" w:rsidRDefault="004E6452">
            <w:pPr>
              <w:pStyle w:val="NoSpacing"/>
              <w:jc w:val="center"/>
              <w:rPr>
                <w:rFonts w:cs="Arial"/>
                <w:sz w:val="18"/>
                <w:szCs w:val="18"/>
              </w:rPr>
            </w:pPr>
            <w:r w:rsidRPr="001570EA">
              <w:rPr>
                <w:rFonts w:cs="Arial"/>
                <w:color w:val="000000"/>
                <w:sz w:val="18"/>
                <w:szCs w:val="18"/>
              </w:rPr>
              <w:t>7.66 × AV + 352.0</w:t>
            </w:r>
          </w:p>
        </w:tc>
        <w:tc>
          <w:tcPr>
            <w:tcW w:w="3515" w:type="dxa"/>
            <w:vAlign w:val="center"/>
          </w:tcPr>
          <w:p w14:paraId="3D27D024" w14:textId="77777777" w:rsidR="004E6452" w:rsidRPr="001570EA" w:rsidRDefault="004E6452">
            <w:pPr>
              <w:pStyle w:val="NoSpacing"/>
              <w:jc w:val="center"/>
              <w:rPr>
                <w:rFonts w:cs="Arial"/>
                <w:sz w:val="18"/>
                <w:szCs w:val="18"/>
              </w:rPr>
            </w:pPr>
            <w:r w:rsidRPr="001570EA">
              <w:rPr>
                <w:rFonts w:cs="Arial"/>
                <w:color w:val="000000"/>
                <w:sz w:val="18"/>
                <w:szCs w:val="18"/>
              </w:rPr>
              <w:t>AV ≤ 54.0, AEC</w:t>
            </w:r>
            <w:r w:rsidRPr="001570EA">
              <w:rPr>
                <w:rFonts w:cs="Arial"/>
                <w:color w:val="000000"/>
                <w:sz w:val="18"/>
                <w:szCs w:val="18"/>
                <w:vertAlign w:val="subscript"/>
              </w:rPr>
              <w:t>MAX</w:t>
            </w:r>
            <w:r w:rsidRPr="001570EA">
              <w:rPr>
                <w:rFonts w:cs="Arial"/>
                <w:color w:val="000000"/>
                <w:sz w:val="18"/>
                <w:szCs w:val="18"/>
              </w:rPr>
              <w:t xml:space="preserve"> ≤ 6.21</w:t>
            </w:r>
            <w:r w:rsidRPr="001570EA">
              <w:rPr>
                <w:rFonts w:cs="Arial"/>
                <w:sz w:val="18"/>
                <w:szCs w:val="18"/>
              </w:rPr>
              <w:t xml:space="preserve"> </w:t>
            </w:r>
            <w:r w:rsidRPr="001570EA">
              <w:rPr>
                <w:rFonts w:cs="Arial"/>
                <w:color w:val="000000"/>
                <w:sz w:val="18"/>
                <w:szCs w:val="18"/>
              </w:rPr>
              <w:t>× AV + 301.4</w:t>
            </w:r>
            <w:r w:rsidRPr="001570EA">
              <w:rPr>
                <w:rFonts w:cs="Arial"/>
                <w:color w:val="000000"/>
                <w:sz w:val="18"/>
                <w:szCs w:val="18"/>
              </w:rPr>
              <w:br/>
              <w:t>AV &gt; 54.0, AEC</w:t>
            </w:r>
            <w:r w:rsidRPr="001570EA">
              <w:rPr>
                <w:rFonts w:cs="Arial"/>
                <w:color w:val="000000"/>
                <w:sz w:val="18"/>
                <w:szCs w:val="18"/>
                <w:vertAlign w:val="subscript"/>
              </w:rPr>
              <w:t xml:space="preserve">MAX </w:t>
            </w:r>
            <w:r w:rsidRPr="001570EA">
              <w:rPr>
                <w:rFonts w:cs="Arial"/>
                <w:color w:val="000000"/>
                <w:sz w:val="18"/>
                <w:szCs w:val="18"/>
              </w:rPr>
              <w:t>≤ 637</w:t>
            </w:r>
          </w:p>
        </w:tc>
      </w:tr>
      <w:tr w:rsidR="004E6452" w:rsidRPr="001570EA" w14:paraId="1824E23B" w14:textId="77777777">
        <w:tc>
          <w:tcPr>
            <w:tcW w:w="0" w:type="dxa"/>
            <w:vAlign w:val="center"/>
          </w:tcPr>
          <w:p w14:paraId="3FAE7558" w14:textId="77777777" w:rsidR="004E6452" w:rsidRPr="001570EA" w:rsidRDefault="004E6452">
            <w:pPr>
              <w:pStyle w:val="NoSpacing"/>
              <w:jc w:val="left"/>
              <w:rPr>
                <w:rFonts w:cs="Arial"/>
                <w:sz w:val="18"/>
                <w:szCs w:val="18"/>
              </w:rPr>
            </w:pPr>
            <w:r w:rsidRPr="001570EA">
              <w:rPr>
                <w:rFonts w:cs="Arial"/>
                <w:color w:val="000000"/>
                <w:sz w:val="18"/>
                <w:szCs w:val="18"/>
              </w:rPr>
              <w:t>4I–BI. Built-In Refrigerator-freezers—automatic defrost with side-mounted freezer with an automatic icemaker without through-the-door ice service</w:t>
            </w:r>
          </w:p>
        </w:tc>
        <w:tc>
          <w:tcPr>
            <w:tcW w:w="2245" w:type="dxa"/>
            <w:vAlign w:val="center"/>
          </w:tcPr>
          <w:p w14:paraId="22D88830" w14:textId="77777777" w:rsidR="004E6452" w:rsidRPr="001570EA" w:rsidRDefault="004E6452">
            <w:pPr>
              <w:pStyle w:val="NoSpacing"/>
              <w:jc w:val="center"/>
              <w:rPr>
                <w:rFonts w:cs="Arial"/>
                <w:sz w:val="18"/>
                <w:szCs w:val="18"/>
              </w:rPr>
            </w:pPr>
            <w:r w:rsidRPr="001570EA">
              <w:rPr>
                <w:rFonts w:cs="Arial"/>
                <w:color w:val="000000"/>
                <w:sz w:val="18"/>
                <w:szCs w:val="18"/>
              </w:rPr>
              <w:t>9.20 × AV + 405.7</w:t>
            </w:r>
          </w:p>
        </w:tc>
        <w:tc>
          <w:tcPr>
            <w:tcW w:w="3515" w:type="dxa"/>
            <w:vAlign w:val="center"/>
          </w:tcPr>
          <w:p w14:paraId="67ED5D65" w14:textId="77777777" w:rsidR="004E6452" w:rsidRPr="001570EA" w:rsidRDefault="004E6452">
            <w:pPr>
              <w:pStyle w:val="NoSpacing"/>
              <w:jc w:val="center"/>
              <w:rPr>
                <w:rFonts w:cs="Arial"/>
                <w:sz w:val="18"/>
                <w:szCs w:val="18"/>
              </w:rPr>
            </w:pPr>
            <w:r w:rsidRPr="001570EA">
              <w:rPr>
                <w:rFonts w:cs="Arial"/>
                <w:color w:val="000000"/>
                <w:sz w:val="18"/>
                <w:szCs w:val="18"/>
              </w:rPr>
              <w:t>AV ≤ 54.0, AEC</w:t>
            </w:r>
            <w:r w:rsidRPr="001570EA">
              <w:rPr>
                <w:rFonts w:cs="Arial"/>
                <w:color w:val="000000"/>
                <w:sz w:val="18"/>
                <w:szCs w:val="18"/>
                <w:vertAlign w:val="subscript"/>
              </w:rPr>
              <w:t>MAX</w:t>
            </w:r>
            <w:r w:rsidRPr="001570EA">
              <w:rPr>
                <w:rFonts w:cs="Arial"/>
                <w:color w:val="000000"/>
                <w:sz w:val="18"/>
                <w:szCs w:val="18"/>
              </w:rPr>
              <w:t xml:space="preserve"> ≤ 6.21</w:t>
            </w:r>
            <w:r w:rsidRPr="001570EA">
              <w:rPr>
                <w:rFonts w:cs="Arial"/>
                <w:sz w:val="18"/>
                <w:szCs w:val="18"/>
              </w:rPr>
              <w:t xml:space="preserve"> </w:t>
            </w:r>
            <w:r w:rsidRPr="001570EA">
              <w:rPr>
                <w:rFonts w:cs="Arial"/>
                <w:color w:val="000000"/>
                <w:sz w:val="18"/>
                <w:szCs w:val="18"/>
              </w:rPr>
              <w:t>× AV + 301.4</w:t>
            </w:r>
            <w:r w:rsidRPr="001570EA">
              <w:rPr>
                <w:rFonts w:cs="Arial"/>
                <w:color w:val="000000"/>
                <w:sz w:val="18"/>
                <w:szCs w:val="18"/>
              </w:rPr>
              <w:br/>
              <w:t>AV &gt; 54.0, AEC</w:t>
            </w:r>
            <w:r w:rsidRPr="001570EA">
              <w:rPr>
                <w:rFonts w:cs="Arial"/>
                <w:color w:val="000000"/>
                <w:sz w:val="18"/>
                <w:szCs w:val="18"/>
                <w:vertAlign w:val="subscript"/>
              </w:rPr>
              <w:t>MAX</w:t>
            </w:r>
            <w:r w:rsidRPr="001570EA">
              <w:rPr>
                <w:rFonts w:cs="Arial"/>
                <w:color w:val="000000"/>
                <w:sz w:val="18"/>
                <w:szCs w:val="18"/>
              </w:rPr>
              <w:t xml:space="preserve"> ≤ 637</w:t>
            </w:r>
          </w:p>
        </w:tc>
      </w:tr>
      <w:tr w:rsidR="004E6452" w:rsidRPr="001570EA" w14:paraId="41758121" w14:textId="77777777">
        <w:tc>
          <w:tcPr>
            <w:tcW w:w="0" w:type="dxa"/>
            <w:vAlign w:val="center"/>
          </w:tcPr>
          <w:p w14:paraId="5A07B28C" w14:textId="77777777" w:rsidR="004E6452" w:rsidRPr="001570EA" w:rsidRDefault="004E6452">
            <w:pPr>
              <w:pStyle w:val="NoSpacing"/>
              <w:jc w:val="left"/>
              <w:rPr>
                <w:rFonts w:cs="Arial"/>
                <w:sz w:val="18"/>
                <w:szCs w:val="18"/>
              </w:rPr>
            </w:pPr>
            <w:r w:rsidRPr="001570EA">
              <w:rPr>
                <w:rFonts w:cs="Arial"/>
                <w:color w:val="000000"/>
                <w:sz w:val="18"/>
                <w:szCs w:val="18"/>
              </w:rPr>
              <w:t>5. Refrigerator-freezers—automatic defrost with bottom-mounted freezer without an automatic icemaker</w:t>
            </w:r>
          </w:p>
        </w:tc>
        <w:tc>
          <w:tcPr>
            <w:tcW w:w="2245" w:type="dxa"/>
            <w:vAlign w:val="center"/>
          </w:tcPr>
          <w:p w14:paraId="745978C7" w14:textId="77777777" w:rsidR="004E6452" w:rsidRPr="001570EA" w:rsidRDefault="004E6452">
            <w:pPr>
              <w:pStyle w:val="NoSpacing"/>
              <w:jc w:val="center"/>
              <w:rPr>
                <w:rFonts w:cs="Arial"/>
                <w:sz w:val="18"/>
                <w:szCs w:val="18"/>
              </w:rPr>
            </w:pPr>
            <w:r w:rsidRPr="001570EA">
              <w:rPr>
                <w:rFonts w:cs="Arial"/>
                <w:color w:val="000000"/>
                <w:sz w:val="18"/>
                <w:szCs w:val="18"/>
              </w:rPr>
              <w:t>7.97 × AV + 285.3</w:t>
            </w:r>
          </w:p>
        </w:tc>
        <w:tc>
          <w:tcPr>
            <w:tcW w:w="3515" w:type="dxa"/>
            <w:vAlign w:val="center"/>
          </w:tcPr>
          <w:p w14:paraId="277B54EB" w14:textId="77777777" w:rsidR="004E6452" w:rsidRPr="001570EA" w:rsidRDefault="004E6452">
            <w:pPr>
              <w:pStyle w:val="NoSpacing"/>
              <w:jc w:val="center"/>
              <w:rPr>
                <w:rFonts w:cs="Arial"/>
                <w:sz w:val="18"/>
                <w:szCs w:val="18"/>
              </w:rPr>
            </w:pPr>
            <w:r w:rsidRPr="001570EA">
              <w:rPr>
                <w:rFonts w:cs="Arial"/>
                <w:color w:val="000000"/>
                <w:sz w:val="18"/>
                <w:szCs w:val="18"/>
              </w:rPr>
              <w:t>AV ≤ 62.8, AEC</w:t>
            </w:r>
            <w:r w:rsidRPr="001570EA">
              <w:rPr>
                <w:rFonts w:cs="Arial"/>
                <w:color w:val="000000"/>
                <w:sz w:val="18"/>
                <w:szCs w:val="18"/>
                <w:vertAlign w:val="subscript"/>
              </w:rPr>
              <w:t>MAX</w:t>
            </w:r>
            <w:r w:rsidRPr="001570EA">
              <w:rPr>
                <w:rFonts w:cs="Arial"/>
                <w:color w:val="000000"/>
                <w:sz w:val="18"/>
                <w:szCs w:val="18"/>
              </w:rPr>
              <w:t xml:space="preserve"> ≤ 6.46</w:t>
            </w:r>
            <w:r w:rsidRPr="001570EA">
              <w:rPr>
                <w:rFonts w:cs="Arial"/>
                <w:sz w:val="18"/>
                <w:szCs w:val="18"/>
              </w:rPr>
              <w:t xml:space="preserve"> </w:t>
            </w:r>
            <w:r w:rsidRPr="001570EA">
              <w:rPr>
                <w:rFonts w:cs="Arial"/>
                <w:color w:val="000000"/>
                <w:sz w:val="18"/>
                <w:szCs w:val="18"/>
              </w:rPr>
              <w:t>× AV + 231.4</w:t>
            </w:r>
            <w:r w:rsidRPr="001570EA">
              <w:rPr>
                <w:rFonts w:cs="Arial"/>
                <w:color w:val="000000"/>
                <w:sz w:val="18"/>
                <w:szCs w:val="18"/>
              </w:rPr>
              <w:br/>
              <w:t>AV &gt; 62.8, AEC</w:t>
            </w:r>
            <w:r w:rsidRPr="001570EA">
              <w:rPr>
                <w:rFonts w:cs="Arial"/>
                <w:color w:val="000000"/>
                <w:sz w:val="18"/>
                <w:szCs w:val="18"/>
                <w:vertAlign w:val="subscript"/>
              </w:rPr>
              <w:t>MAX</w:t>
            </w:r>
            <w:r w:rsidRPr="001570EA">
              <w:rPr>
                <w:rFonts w:cs="Arial"/>
                <w:color w:val="000000"/>
                <w:sz w:val="18"/>
                <w:szCs w:val="18"/>
              </w:rPr>
              <w:t xml:space="preserve"> ≤ 637</w:t>
            </w:r>
          </w:p>
        </w:tc>
      </w:tr>
      <w:tr w:rsidR="004E6452" w:rsidRPr="001570EA" w14:paraId="41BA62E5" w14:textId="77777777">
        <w:tc>
          <w:tcPr>
            <w:tcW w:w="0" w:type="dxa"/>
            <w:vAlign w:val="center"/>
          </w:tcPr>
          <w:p w14:paraId="53E7ACF3" w14:textId="77777777" w:rsidR="004E6452" w:rsidRPr="001570EA" w:rsidRDefault="004E6452">
            <w:pPr>
              <w:pStyle w:val="NoSpacing"/>
              <w:jc w:val="left"/>
              <w:rPr>
                <w:rFonts w:cs="Arial"/>
                <w:sz w:val="18"/>
                <w:szCs w:val="18"/>
              </w:rPr>
            </w:pPr>
            <w:r w:rsidRPr="001570EA">
              <w:rPr>
                <w:rFonts w:cs="Arial"/>
                <w:color w:val="000000"/>
                <w:sz w:val="18"/>
                <w:szCs w:val="18"/>
              </w:rPr>
              <w:t>5–BI. Built-In Refrigerator-freezers—automatic defrost with bottom-mounted freezer without an automatic icemaker</w:t>
            </w:r>
          </w:p>
        </w:tc>
        <w:tc>
          <w:tcPr>
            <w:tcW w:w="2245" w:type="dxa"/>
            <w:vAlign w:val="center"/>
          </w:tcPr>
          <w:p w14:paraId="79E2B792" w14:textId="77777777" w:rsidR="004E6452" w:rsidRPr="001570EA" w:rsidRDefault="004E6452">
            <w:pPr>
              <w:pStyle w:val="NoSpacing"/>
              <w:jc w:val="center"/>
              <w:rPr>
                <w:rFonts w:cs="Arial"/>
                <w:sz w:val="18"/>
                <w:szCs w:val="18"/>
              </w:rPr>
            </w:pPr>
            <w:r w:rsidRPr="001570EA">
              <w:rPr>
                <w:rFonts w:cs="Arial"/>
                <w:color w:val="000000"/>
                <w:sz w:val="18"/>
                <w:szCs w:val="18"/>
              </w:rPr>
              <w:t>8.46 × AV + 303.2</w:t>
            </w:r>
          </w:p>
        </w:tc>
        <w:tc>
          <w:tcPr>
            <w:tcW w:w="3515" w:type="dxa"/>
            <w:vAlign w:val="center"/>
          </w:tcPr>
          <w:p w14:paraId="09A95F51" w14:textId="77777777" w:rsidR="004E6452" w:rsidRPr="001570EA" w:rsidRDefault="004E6452">
            <w:pPr>
              <w:pStyle w:val="NoSpacing"/>
              <w:jc w:val="center"/>
              <w:rPr>
                <w:rFonts w:cs="Arial"/>
                <w:sz w:val="18"/>
                <w:szCs w:val="18"/>
              </w:rPr>
            </w:pPr>
            <w:r w:rsidRPr="001570EA">
              <w:rPr>
                <w:rFonts w:cs="Arial"/>
                <w:color w:val="000000"/>
                <w:sz w:val="18"/>
                <w:szCs w:val="18"/>
              </w:rPr>
              <w:t>AV ≤ 62.8, AEC</w:t>
            </w:r>
            <w:r w:rsidRPr="001570EA">
              <w:rPr>
                <w:rFonts w:cs="Arial"/>
                <w:color w:val="000000"/>
                <w:sz w:val="18"/>
                <w:szCs w:val="18"/>
                <w:vertAlign w:val="subscript"/>
              </w:rPr>
              <w:t>MAX</w:t>
            </w:r>
            <w:r w:rsidRPr="001570EA">
              <w:rPr>
                <w:rFonts w:cs="Arial"/>
                <w:color w:val="000000"/>
                <w:sz w:val="18"/>
                <w:szCs w:val="18"/>
              </w:rPr>
              <w:t xml:space="preserve"> ≤ 6.46</w:t>
            </w:r>
            <w:r w:rsidRPr="001570EA">
              <w:rPr>
                <w:rFonts w:cs="Arial"/>
                <w:sz w:val="18"/>
                <w:szCs w:val="18"/>
              </w:rPr>
              <w:t xml:space="preserve"> </w:t>
            </w:r>
            <w:r w:rsidRPr="001570EA">
              <w:rPr>
                <w:rFonts w:cs="Arial"/>
                <w:color w:val="000000"/>
                <w:sz w:val="18"/>
                <w:szCs w:val="18"/>
              </w:rPr>
              <w:t>× AV + 231.4</w:t>
            </w:r>
            <w:r w:rsidRPr="001570EA">
              <w:rPr>
                <w:rFonts w:cs="Arial"/>
                <w:color w:val="000000"/>
                <w:sz w:val="18"/>
                <w:szCs w:val="18"/>
              </w:rPr>
              <w:br/>
              <w:t>AV &gt; 62.8, AEC</w:t>
            </w:r>
            <w:r w:rsidRPr="001570EA">
              <w:rPr>
                <w:rFonts w:cs="Arial"/>
                <w:color w:val="000000"/>
                <w:sz w:val="18"/>
                <w:szCs w:val="18"/>
                <w:vertAlign w:val="subscript"/>
              </w:rPr>
              <w:t>MAX</w:t>
            </w:r>
            <w:r w:rsidRPr="001570EA">
              <w:rPr>
                <w:rFonts w:cs="Arial"/>
                <w:color w:val="000000"/>
                <w:sz w:val="18"/>
                <w:szCs w:val="18"/>
              </w:rPr>
              <w:t xml:space="preserve"> ≤ 637</w:t>
            </w:r>
          </w:p>
        </w:tc>
      </w:tr>
      <w:tr w:rsidR="004E6452" w:rsidRPr="001570EA" w14:paraId="37689991" w14:textId="77777777">
        <w:tc>
          <w:tcPr>
            <w:tcW w:w="0" w:type="dxa"/>
            <w:vAlign w:val="center"/>
          </w:tcPr>
          <w:p w14:paraId="2670B513" w14:textId="77777777" w:rsidR="004E6452" w:rsidRPr="001570EA" w:rsidRDefault="004E6452">
            <w:pPr>
              <w:pStyle w:val="NoSpacing"/>
              <w:jc w:val="left"/>
              <w:rPr>
                <w:rFonts w:cs="Arial"/>
                <w:sz w:val="18"/>
                <w:szCs w:val="18"/>
              </w:rPr>
            </w:pPr>
            <w:r w:rsidRPr="001570EA">
              <w:rPr>
                <w:rFonts w:cs="Arial"/>
                <w:color w:val="000000"/>
                <w:sz w:val="18"/>
                <w:szCs w:val="18"/>
              </w:rPr>
              <w:t>5I. Refrigerator-freezers—automatic defrost with bottom-mounted freezer with an automatic icemaker without through-the-door ice service</w:t>
            </w:r>
          </w:p>
        </w:tc>
        <w:tc>
          <w:tcPr>
            <w:tcW w:w="2245" w:type="dxa"/>
            <w:vAlign w:val="center"/>
          </w:tcPr>
          <w:p w14:paraId="4CDF5120" w14:textId="77777777" w:rsidR="004E6452" w:rsidRPr="001570EA" w:rsidRDefault="004E6452">
            <w:pPr>
              <w:pStyle w:val="NoSpacing"/>
              <w:jc w:val="center"/>
              <w:rPr>
                <w:rFonts w:cs="Arial"/>
                <w:sz w:val="18"/>
                <w:szCs w:val="18"/>
              </w:rPr>
            </w:pPr>
            <w:r w:rsidRPr="001570EA">
              <w:rPr>
                <w:rFonts w:cs="Arial"/>
                <w:color w:val="000000"/>
                <w:sz w:val="18"/>
                <w:szCs w:val="18"/>
              </w:rPr>
              <w:t>7.97 × AV + 369.3</w:t>
            </w:r>
          </w:p>
        </w:tc>
        <w:tc>
          <w:tcPr>
            <w:tcW w:w="3515" w:type="dxa"/>
            <w:vAlign w:val="center"/>
          </w:tcPr>
          <w:p w14:paraId="2E380D72" w14:textId="77777777" w:rsidR="004E6452" w:rsidRPr="001570EA" w:rsidRDefault="004E6452">
            <w:pPr>
              <w:pStyle w:val="NoSpacing"/>
              <w:jc w:val="center"/>
              <w:rPr>
                <w:rFonts w:cs="Arial"/>
                <w:sz w:val="18"/>
                <w:szCs w:val="18"/>
              </w:rPr>
            </w:pPr>
            <w:r w:rsidRPr="001570EA">
              <w:rPr>
                <w:rFonts w:cs="Arial"/>
                <w:color w:val="000000"/>
                <w:sz w:val="18"/>
                <w:szCs w:val="18"/>
              </w:rPr>
              <w:t>AV ≤ 49.8, AEC</w:t>
            </w:r>
            <w:r w:rsidRPr="001570EA">
              <w:rPr>
                <w:rFonts w:cs="Arial"/>
                <w:color w:val="000000"/>
                <w:sz w:val="18"/>
                <w:szCs w:val="18"/>
                <w:vertAlign w:val="subscript"/>
              </w:rPr>
              <w:t>MAX</w:t>
            </w:r>
            <w:r w:rsidRPr="001570EA">
              <w:rPr>
                <w:rFonts w:cs="Arial"/>
                <w:color w:val="000000"/>
                <w:sz w:val="18"/>
                <w:szCs w:val="18"/>
              </w:rPr>
              <w:t xml:space="preserve"> ≤ 6.46</w:t>
            </w:r>
            <w:r w:rsidRPr="001570EA">
              <w:rPr>
                <w:rFonts w:cs="Arial"/>
                <w:sz w:val="18"/>
                <w:szCs w:val="18"/>
              </w:rPr>
              <w:t xml:space="preserve"> </w:t>
            </w:r>
            <w:r w:rsidRPr="001570EA">
              <w:rPr>
                <w:rFonts w:cs="Arial"/>
                <w:color w:val="000000"/>
                <w:sz w:val="18"/>
                <w:szCs w:val="18"/>
              </w:rPr>
              <w:t>× AV + 315.4</w:t>
            </w:r>
            <w:r w:rsidRPr="001570EA">
              <w:rPr>
                <w:rFonts w:cs="Arial"/>
                <w:color w:val="000000"/>
                <w:sz w:val="18"/>
                <w:szCs w:val="18"/>
              </w:rPr>
              <w:br/>
              <w:t>AV &gt; 49.8, AEC</w:t>
            </w:r>
            <w:r w:rsidRPr="001570EA">
              <w:rPr>
                <w:rFonts w:cs="Arial"/>
                <w:color w:val="000000"/>
                <w:sz w:val="18"/>
                <w:szCs w:val="18"/>
                <w:vertAlign w:val="subscript"/>
              </w:rPr>
              <w:t>MAX</w:t>
            </w:r>
            <w:r w:rsidRPr="001570EA">
              <w:rPr>
                <w:rFonts w:cs="Arial"/>
                <w:color w:val="000000"/>
                <w:sz w:val="18"/>
                <w:szCs w:val="18"/>
              </w:rPr>
              <w:t xml:space="preserve"> ≤ 637</w:t>
            </w:r>
          </w:p>
        </w:tc>
      </w:tr>
      <w:tr w:rsidR="004E6452" w:rsidRPr="001570EA" w14:paraId="25F2EE71" w14:textId="77777777">
        <w:tc>
          <w:tcPr>
            <w:tcW w:w="0" w:type="dxa"/>
            <w:vAlign w:val="center"/>
          </w:tcPr>
          <w:p w14:paraId="42D830A2" w14:textId="77777777" w:rsidR="004E6452" w:rsidRPr="001570EA" w:rsidRDefault="004E6452">
            <w:pPr>
              <w:pStyle w:val="NoSpacing"/>
              <w:jc w:val="left"/>
              <w:rPr>
                <w:rFonts w:cs="Arial"/>
                <w:sz w:val="18"/>
                <w:szCs w:val="18"/>
              </w:rPr>
            </w:pPr>
            <w:r w:rsidRPr="001570EA">
              <w:rPr>
                <w:rFonts w:cs="Arial"/>
                <w:color w:val="000000"/>
                <w:sz w:val="18"/>
                <w:szCs w:val="18"/>
              </w:rPr>
              <w:t>5I–BI. Built-In Refrigerator-freezers—automatic defrost with bottom-mounted freezer with an automatic icemaker without through-the-door ice service</w:t>
            </w:r>
          </w:p>
        </w:tc>
        <w:tc>
          <w:tcPr>
            <w:tcW w:w="2245" w:type="dxa"/>
            <w:vAlign w:val="center"/>
          </w:tcPr>
          <w:p w14:paraId="7ACE9256" w14:textId="77777777" w:rsidR="004E6452" w:rsidRPr="001570EA" w:rsidRDefault="004E6452">
            <w:pPr>
              <w:pStyle w:val="NoSpacing"/>
              <w:jc w:val="center"/>
              <w:rPr>
                <w:rFonts w:cs="Arial"/>
                <w:sz w:val="18"/>
                <w:szCs w:val="18"/>
              </w:rPr>
            </w:pPr>
            <w:r w:rsidRPr="001570EA">
              <w:rPr>
                <w:rFonts w:cs="Arial"/>
                <w:color w:val="000000"/>
                <w:sz w:val="18"/>
                <w:szCs w:val="18"/>
              </w:rPr>
              <w:t>8.46 × AV + 387.2</w:t>
            </w:r>
          </w:p>
        </w:tc>
        <w:tc>
          <w:tcPr>
            <w:tcW w:w="3515" w:type="dxa"/>
            <w:vAlign w:val="center"/>
          </w:tcPr>
          <w:p w14:paraId="61D0E520" w14:textId="77777777" w:rsidR="004E6452" w:rsidRPr="001570EA" w:rsidRDefault="004E6452">
            <w:pPr>
              <w:pStyle w:val="NoSpacing"/>
              <w:jc w:val="center"/>
              <w:rPr>
                <w:rFonts w:cs="Arial"/>
                <w:sz w:val="18"/>
                <w:szCs w:val="18"/>
              </w:rPr>
            </w:pPr>
            <w:r w:rsidRPr="001570EA">
              <w:rPr>
                <w:rFonts w:cs="Arial"/>
                <w:color w:val="000000"/>
                <w:sz w:val="18"/>
                <w:szCs w:val="18"/>
              </w:rPr>
              <w:t>AV ≤ 49.8, AEC</w:t>
            </w:r>
            <w:r w:rsidRPr="001570EA">
              <w:rPr>
                <w:rFonts w:cs="Arial"/>
                <w:color w:val="000000"/>
                <w:sz w:val="18"/>
                <w:szCs w:val="18"/>
                <w:vertAlign w:val="subscript"/>
              </w:rPr>
              <w:t>MAX</w:t>
            </w:r>
            <w:r w:rsidRPr="001570EA">
              <w:rPr>
                <w:rFonts w:cs="Arial"/>
                <w:color w:val="000000"/>
                <w:sz w:val="18"/>
                <w:szCs w:val="18"/>
              </w:rPr>
              <w:t xml:space="preserve"> ≤ 6.46</w:t>
            </w:r>
            <w:r w:rsidRPr="001570EA">
              <w:rPr>
                <w:rFonts w:cs="Arial"/>
                <w:sz w:val="18"/>
                <w:szCs w:val="18"/>
              </w:rPr>
              <w:t xml:space="preserve"> </w:t>
            </w:r>
            <w:r w:rsidRPr="001570EA">
              <w:rPr>
                <w:rFonts w:cs="Arial"/>
                <w:color w:val="000000"/>
                <w:sz w:val="18"/>
                <w:szCs w:val="18"/>
              </w:rPr>
              <w:t>× AV + 315.4</w:t>
            </w:r>
            <w:r w:rsidRPr="001570EA">
              <w:rPr>
                <w:rFonts w:cs="Arial"/>
                <w:color w:val="000000"/>
                <w:sz w:val="18"/>
                <w:szCs w:val="18"/>
              </w:rPr>
              <w:br/>
              <w:t>AV &gt; 49.8, AEC</w:t>
            </w:r>
            <w:r w:rsidRPr="001570EA">
              <w:rPr>
                <w:rFonts w:cs="Arial"/>
                <w:color w:val="000000"/>
                <w:sz w:val="18"/>
                <w:szCs w:val="18"/>
                <w:vertAlign w:val="subscript"/>
              </w:rPr>
              <w:t>MAX</w:t>
            </w:r>
            <w:r w:rsidRPr="001570EA">
              <w:rPr>
                <w:rFonts w:cs="Arial"/>
                <w:color w:val="000000"/>
                <w:sz w:val="18"/>
                <w:szCs w:val="18"/>
              </w:rPr>
              <w:t xml:space="preserve"> ≤ 637</w:t>
            </w:r>
          </w:p>
        </w:tc>
      </w:tr>
      <w:tr w:rsidR="004E6452" w:rsidRPr="001570EA" w14:paraId="4B4F5CCD" w14:textId="77777777">
        <w:tc>
          <w:tcPr>
            <w:tcW w:w="0" w:type="dxa"/>
            <w:vAlign w:val="center"/>
          </w:tcPr>
          <w:p w14:paraId="73B23B84" w14:textId="77777777" w:rsidR="004E6452" w:rsidRPr="001570EA" w:rsidRDefault="004E6452">
            <w:pPr>
              <w:pStyle w:val="NoSpacing"/>
              <w:jc w:val="left"/>
              <w:rPr>
                <w:rFonts w:cs="Arial"/>
                <w:sz w:val="18"/>
                <w:szCs w:val="18"/>
              </w:rPr>
            </w:pPr>
            <w:r w:rsidRPr="001570EA">
              <w:rPr>
                <w:rFonts w:cs="Arial"/>
                <w:color w:val="000000"/>
                <w:sz w:val="18"/>
                <w:szCs w:val="18"/>
              </w:rPr>
              <w:t>5A. Refrigerator-freezer—automatic defrost with bottom-mounted freezer with through-the-door ice service</w:t>
            </w:r>
          </w:p>
        </w:tc>
        <w:tc>
          <w:tcPr>
            <w:tcW w:w="2245" w:type="dxa"/>
            <w:vAlign w:val="center"/>
          </w:tcPr>
          <w:p w14:paraId="17A22853" w14:textId="77777777" w:rsidR="004E6452" w:rsidRPr="001570EA" w:rsidRDefault="004E6452">
            <w:pPr>
              <w:pStyle w:val="NoSpacing"/>
              <w:jc w:val="center"/>
              <w:rPr>
                <w:rFonts w:cs="Arial"/>
                <w:sz w:val="18"/>
                <w:szCs w:val="18"/>
              </w:rPr>
            </w:pPr>
            <w:r w:rsidRPr="001570EA">
              <w:rPr>
                <w:rFonts w:cs="Arial"/>
                <w:color w:val="000000"/>
                <w:sz w:val="18"/>
                <w:szCs w:val="18"/>
              </w:rPr>
              <w:t>8.33 × AV + 436.3</w:t>
            </w:r>
          </w:p>
        </w:tc>
        <w:tc>
          <w:tcPr>
            <w:tcW w:w="3515" w:type="dxa"/>
            <w:vAlign w:val="center"/>
          </w:tcPr>
          <w:p w14:paraId="42F1A4E2" w14:textId="77777777" w:rsidR="004E6452" w:rsidRPr="001570EA" w:rsidRDefault="004E6452">
            <w:pPr>
              <w:pStyle w:val="NoSpacing"/>
              <w:jc w:val="center"/>
              <w:rPr>
                <w:rFonts w:cs="Arial"/>
                <w:sz w:val="18"/>
                <w:szCs w:val="18"/>
              </w:rPr>
            </w:pPr>
            <w:r w:rsidRPr="001570EA">
              <w:rPr>
                <w:rFonts w:cs="Arial"/>
                <w:color w:val="000000"/>
                <w:sz w:val="18"/>
                <w:szCs w:val="18"/>
              </w:rPr>
              <w:t>AV ≤ 39.6, AEC</w:t>
            </w:r>
            <w:r w:rsidRPr="001570EA">
              <w:rPr>
                <w:rFonts w:cs="Arial"/>
                <w:color w:val="000000"/>
                <w:sz w:val="18"/>
                <w:szCs w:val="18"/>
                <w:vertAlign w:val="subscript"/>
              </w:rPr>
              <w:t>MAX</w:t>
            </w:r>
            <w:r w:rsidRPr="001570EA">
              <w:rPr>
                <w:rFonts w:cs="Arial"/>
                <w:color w:val="000000"/>
                <w:sz w:val="18"/>
                <w:szCs w:val="18"/>
              </w:rPr>
              <w:t xml:space="preserve"> ≤ 6.75</w:t>
            </w:r>
            <w:r w:rsidRPr="001570EA">
              <w:rPr>
                <w:rFonts w:cs="Arial"/>
                <w:sz w:val="18"/>
                <w:szCs w:val="18"/>
              </w:rPr>
              <w:t xml:space="preserve"> </w:t>
            </w:r>
            <w:r w:rsidRPr="001570EA">
              <w:rPr>
                <w:rFonts w:cs="Arial"/>
                <w:color w:val="000000"/>
                <w:sz w:val="18"/>
                <w:szCs w:val="18"/>
              </w:rPr>
              <w:t>× AV + 369.7</w:t>
            </w:r>
            <w:r w:rsidRPr="001570EA">
              <w:rPr>
                <w:rFonts w:cs="Arial"/>
                <w:color w:val="000000"/>
                <w:sz w:val="18"/>
                <w:szCs w:val="18"/>
              </w:rPr>
              <w:br/>
              <w:t>AV &gt; 39.6, AEC</w:t>
            </w:r>
            <w:r w:rsidRPr="001570EA">
              <w:rPr>
                <w:rFonts w:cs="Arial"/>
                <w:color w:val="000000"/>
                <w:sz w:val="18"/>
                <w:szCs w:val="18"/>
                <w:vertAlign w:val="subscript"/>
              </w:rPr>
              <w:t>MAX</w:t>
            </w:r>
            <w:r w:rsidRPr="001570EA">
              <w:rPr>
                <w:rFonts w:cs="Arial"/>
                <w:color w:val="000000"/>
                <w:sz w:val="18"/>
                <w:szCs w:val="18"/>
              </w:rPr>
              <w:t xml:space="preserve"> ≤ 637</w:t>
            </w:r>
          </w:p>
        </w:tc>
      </w:tr>
      <w:tr w:rsidR="004E6452" w:rsidRPr="001570EA" w14:paraId="659C8F79" w14:textId="77777777">
        <w:tc>
          <w:tcPr>
            <w:tcW w:w="0" w:type="dxa"/>
            <w:vAlign w:val="center"/>
          </w:tcPr>
          <w:p w14:paraId="3EA7F120" w14:textId="77777777" w:rsidR="004E6452" w:rsidRPr="001570EA" w:rsidRDefault="004E6452">
            <w:pPr>
              <w:pStyle w:val="NoSpacing"/>
              <w:jc w:val="left"/>
              <w:rPr>
                <w:rFonts w:cs="Arial"/>
                <w:sz w:val="18"/>
                <w:szCs w:val="18"/>
              </w:rPr>
            </w:pPr>
            <w:r w:rsidRPr="001570EA">
              <w:rPr>
                <w:rFonts w:cs="Arial"/>
                <w:color w:val="000000"/>
                <w:sz w:val="18"/>
                <w:szCs w:val="18"/>
              </w:rPr>
              <w:t>5A–BI. Built-in refrigerator-freezer—automatic defrost with bottom-mounted freezer with through-the-door ice service</w:t>
            </w:r>
          </w:p>
        </w:tc>
        <w:tc>
          <w:tcPr>
            <w:tcW w:w="2245" w:type="dxa"/>
            <w:vAlign w:val="center"/>
          </w:tcPr>
          <w:p w14:paraId="4BDA2B7F" w14:textId="77777777" w:rsidR="004E6452" w:rsidRPr="001570EA" w:rsidRDefault="004E6452">
            <w:pPr>
              <w:pStyle w:val="NoSpacing"/>
              <w:jc w:val="center"/>
              <w:rPr>
                <w:rFonts w:cs="Arial"/>
                <w:sz w:val="18"/>
                <w:szCs w:val="18"/>
              </w:rPr>
            </w:pPr>
            <w:r w:rsidRPr="001570EA">
              <w:rPr>
                <w:rFonts w:cs="Arial"/>
                <w:color w:val="000000"/>
                <w:sz w:val="18"/>
                <w:szCs w:val="18"/>
              </w:rPr>
              <w:t>8.85 × AV + 458.3</w:t>
            </w:r>
          </w:p>
        </w:tc>
        <w:tc>
          <w:tcPr>
            <w:tcW w:w="3515" w:type="dxa"/>
            <w:vAlign w:val="center"/>
          </w:tcPr>
          <w:p w14:paraId="0BC37CEF" w14:textId="77777777" w:rsidR="004E6452" w:rsidRPr="001570EA" w:rsidRDefault="004E6452">
            <w:pPr>
              <w:pStyle w:val="NoSpacing"/>
              <w:jc w:val="center"/>
              <w:rPr>
                <w:rFonts w:cs="Arial"/>
                <w:sz w:val="18"/>
                <w:szCs w:val="18"/>
              </w:rPr>
            </w:pPr>
            <w:r w:rsidRPr="001570EA">
              <w:rPr>
                <w:rFonts w:cs="Arial"/>
                <w:color w:val="000000"/>
                <w:sz w:val="18"/>
                <w:szCs w:val="18"/>
              </w:rPr>
              <w:t>AV ≤ 39.6, AEC</w:t>
            </w:r>
            <w:r w:rsidRPr="001570EA">
              <w:rPr>
                <w:rFonts w:cs="Arial"/>
                <w:color w:val="000000"/>
                <w:sz w:val="18"/>
                <w:szCs w:val="18"/>
                <w:vertAlign w:val="subscript"/>
              </w:rPr>
              <w:t>MAX</w:t>
            </w:r>
            <w:r w:rsidRPr="001570EA">
              <w:rPr>
                <w:rFonts w:cs="Arial"/>
                <w:color w:val="000000"/>
                <w:sz w:val="18"/>
                <w:szCs w:val="18"/>
              </w:rPr>
              <w:t xml:space="preserve"> ≤ 6.75</w:t>
            </w:r>
            <w:r w:rsidRPr="001570EA">
              <w:rPr>
                <w:rFonts w:cs="Arial"/>
                <w:sz w:val="18"/>
                <w:szCs w:val="18"/>
              </w:rPr>
              <w:t xml:space="preserve"> </w:t>
            </w:r>
            <w:r w:rsidRPr="001570EA">
              <w:rPr>
                <w:rFonts w:cs="Arial"/>
                <w:color w:val="000000"/>
                <w:sz w:val="18"/>
                <w:szCs w:val="18"/>
              </w:rPr>
              <w:t>× AV + 369.7</w:t>
            </w:r>
            <w:r w:rsidRPr="001570EA">
              <w:rPr>
                <w:rFonts w:cs="Arial"/>
                <w:color w:val="000000"/>
                <w:sz w:val="18"/>
                <w:szCs w:val="18"/>
              </w:rPr>
              <w:br/>
              <w:t>AV &gt; 39.6, AEC</w:t>
            </w:r>
            <w:r w:rsidRPr="001570EA">
              <w:rPr>
                <w:rFonts w:cs="Arial"/>
                <w:color w:val="000000"/>
                <w:sz w:val="18"/>
                <w:szCs w:val="18"/>
                <w:vertAlign w:val="subscript"/>
              </w:rPr>
              <w:t>MAX</w:t>
            </w:r>
            <w:r w:rsidRPr="001570EA">
              <w:rPr>
                <w:rFonts w:cs="Arial"/>
                <w:color w:val="000000"/>
                <w:sz w:val="18"/>
                <w:szCs w:val="18"/>
              </w:rPr>
              <w:t xml:space="preserve"> ≤ 637</w:t>
            </w:r>
          </w:p>
        </w:tc>
      </w:tr>
      <w:tr w:rsidR="004E6452" w:rsidRPr="001570EA" w14:paraId="326BD781" w14:textId="77777777">
        <w:tc>
          <w:tcPr>
            <w:tcW w:w="0" w:type="dxa"/>
            <w:vAlign w:val="center"/>
          </w:tcPr>
          <w:p w14:paraId="42390D11" w14:textId="77777777" w:rsidR="004E6452" w:rsidRPr="001570EA" w:rsidRDefault="004E6452">
            <w:pPr>
              <w:pStyle w:val="NoSpacing"/>
              <w:jc w:val="left"/>
              <w:rPr>
                <w:rFonts w:cs="Arial"/>
                <w:sz w:val="18"/>
                <w:szCs w:val="18"/>
              </w:rPr>
            </w:pPr>
            <w:r w:rsidRPr="001570EA">
              <w:rPr>
                <w:rFonts w:cs="Arial"/>
                <w:color w:val="000000"/>
                <w:sz w:val="18"/>
                <w:szCs w:val="18"/>
              </w:rPr>
              <w:t>6. Refrigerator-freezers—automatic defrost with top-mounted freezer with through-the-door ice service</w:t>
            </w:r>
          </w:p>
        </w:tc>
        <w:tc>
          <w:tcPr>
            <w:tcW w:w="2245" w:type="dxa"/>
            <w:vAlign w:val="center"/>
          </w:tcPr>
          <w:p w14:paraId="21B72589" w14:textId="77777777" w:rsidR="004E6452" w:rsidRPr="001570EA" w:rsidRDefault="004E6452">
            <w:pPr>
              <w:pStyle w:val="NoSpacing"/>
              <w:jc w:val="center"/>
              <w:rPr>
                <w:rFonts w:cs="Arial"/>
                <w:sz w:val="18"/>
                <w:szCs w:val="18"/>
              </w:rPr>
            </w:pPr>
            <w:r w:rsidRPr="001570EA">
              <w:rPr>
                <w:rFonts w:cs="Arial"/>
                <w:color w:val="000000"/>
                <w:sz w:val="18"/>
                <w:szCs w:val="18"/>
              </w:rPr>
              <w:t>7.56 × AV + 355.3</w:t>
            </w:r>
          </w:p>
        </w:tc>
        <w:tc>
          <w:tcPr>
            <w:tcW w:w="3515" w:type="dxa"/>
            <w:shd w:val="clear" w:color="auto" w:fill="E7E6E6" w:themeFill="background2"/>
            <w:vAlign w:val="center"/>
          </w:tcPr>
          <w:p w14:paraId="0A27C2E1" w14:textId="77777777" w:rsidR="004E6452" w:rsidRPr="001570EA" w:rsidRDefault="004E6452">
            <w:pPr>
              <w:pStyle w:val="NoSpacing"/>
              <w:jc w:val="center"/>
              <w:rPr>
                <w:rFonts w:cs="Arial"/>
                <w:sz w:val="18"/>
                <w:szCs w:val="18"/>
              </w:rPr>
            </w:pPr>
            <w:r w:rsidRPr="001570EA">
              <w:rPr>
                <w:rFonts w:cs="Arial"/>
                <w:b/>
                <w:bCs/>
                <w:color w:val="000000"/>
                <w:sz w:val="18"/>
                <w:szCs w:val="18"/>
              </w:rPr>
              <w:t> </w:t>
            </w:r>
          </w:p>
        </w:tc>
      </w:tr>
      <w:tr w:rsidR="004E6452" w:rsidRPr="001570EA" w14:paraId="610F5CD0" w14:textId="77777777">
        <w:tc>
          <w:tcPr>
            <w:tcW w:w="0" w:type="dxa"/>
            <w:vAlign w:val="center"/>
          </w:tcPr>
          <w:p w14:paraId="6E373851" w14:textId="77777777" w:rsidR="004E6452" w:rsidRPr="001570EA" w:rsidRDefault="004E6452">
            <w:pPr>
              <w:pStyle w:val="NoSpacing"/>
              <w:jc w:val="left"/>
              <w:rPr>
                <w:rFonts w:cs="Arial"/>
                <w:sz w:val="18"/>
                <w:szCs w:val="18"/>
              </w:rPr>
            </w:pPr>
            <w:r w:rsidRPr="001570EA">
              <w:rPr>
                <w:rFonts w:cs="Arial"/>
                <w:color w:val="000000"/>
                <w:sz w:val="18"/>
                <w:szCs w:val="18"/>
              </w:rPr>
              <w:t>7. Refrigerator-freezers—automatic defrost with side-mounted freezer with through-the-door ice service</w:t>
            </w:r>
          </w:p>
        </w:tc>
        <w:tc>
          <w:tcPr>
            <w:tcW w:w="2245" w:type="dxa"/>
            <w:vAlign w:val="center"/>
          </w:tcPr>
          <w:p w14:paraId="57786E11" w14:textId="77777777" w:rsidR="004E6452" w:rsidRPr="001570EA" w:rsidRDefault="004E6452">
            <w:pPr>
              <w:pStyle w:val="NoSpacing"/>
              <w:jc w:val="center"/>
              <w:rPr>
                <w:rFonts w:cs="Arial"/>
                <w:sz w:val="18"/>
                <w:szCs w:val="18"/>
              </w:rPr>
            </w:pPr>
            <w:r w:rsidRPr="001570EA">
              <w:rPr>
                <w:rFonts w:cs="Arial"/>
                <w:color w:val="000000"/>
                <w:sz w:val="18"/>
                <w:szCs w:val="18"/>
              </w:rPr>
              <w:t>7.69 × AV + 397.9</w:t>
            </w:r>
          </w:p>
        </w:tc>
        <w:tc>
          <w:tcPr>
            <w:tcW w:w="3515" w:type="dxa"/>
            <w:vAlign w:val="center"/>
          </w:tcPr>
          <w:p w14:paraId="422358B8" w14:textId="77777777" w:rsidR="004E6452" w:rsidRPr="001570EA" w:rsidRDefault="004E6452">
            <w:pPr>
              <w:pStyle w:val="NoSpacing"/>
              <w:jc w:val="center"/>
              <w:rPr>
                <w:rFonts w:cs="Arial"/>
                <w:sz w:val="18"/>
                <w:szCs w:val="18"/>
              </w:rPr>
            </w:pPr>
            <w:r w:rsidRPr="001570EA">
              <w:rPr>
                <w:rFonts w:cs="Arial"/>
                <w:color w:val="000000"/>
                <w:sz w:val="18"/>
                <w:szCs w:val="18"/>
              </w:rPr>
              <w:t>AV ≤ 47.9, AEC</w:t>
            </w:r>
            <w:r w:rsidRPr="001570EA">
              <w:rPr>
                <w:rFonts w:cs="Arial"/>
                <w:color w:val="000000"/>
                <w:sz w:val="18"/>
                <w:szCs w:val="18"/>
                <w:vertAlign w:val="subscript"/>
              </w:rPr>
              <w:t>MAX</w:t>
            </w:r>
            <w:r w:rsidRPr="001570EA">
              <w:rPr>
                <w:rFonts w:cs="Arial"/>
                <w:color w:val="000000"/>
                <w:sz w:val="18"/>
                <w:szCs w:val="18"/>
              </w:rPr>
              <w:t xml:space="preserve"> ≤ 6.23</w:t>
            </w:r>
            <w:r w:rsidRPr="001570EA">
              <w:rPr>
                <w:rFonts w:cs="Arial"/>
                <w:sz w:val="18"/>
                <w:szCs w:val="18"/>
              </w:rPr>
              <w:t xml:space="preserve"> </w:t>
            </w:r>
            <w:r w:rsidRPr="001570EA">
              <w:rPr>
                <w:rFonts w:cs="Arial"/>
                <w:color w:val="000000"/>
                <w:sz w:val="18"/>
                <w:szCs w:val="18"/>
              </w:rPr>
              <w:t>× AV + 338.6</w:t>
            </w:r>
            <w:r w:rsidRPr="001570EA">
              <w:rPr>
                <w:rFonts w:cs="Arial"/>
                <w:color w:val="000000"/>
                <w:sz w:val="18"/>
                <w:szCs w:val="18"/>
              </w:rPr>
              <w:br/>
              <w:t>AV &gt; 47.9, AEC</w:t>
            </w:r>
            <w:r w:rsidRPr="001570EA">
              <w:rPr>
                <w:rFonts w:cs="Arial"/>
                <w:color w:val="000000"/>
                <w:sz w:val="18"/>
                <w:szCs w:val="18"/>
                <w:vertAlign w:val="subscript"/>
              </w:rPr>
              <w:t>MAX</w:t>
            </w:r>
            <w:r w:rsidRPr="001570EA">
              <w:rPr>
                <w:rFonts w:cs="Arial"/>
                <w:color w:val="000000"/>
                <w:sz w:val="18"/>
                <w:szCs w:val="18"/>
              </w:rPr>
              <w:t xml:space="preserve"> ≤ 637</w:t>
            </w:r>
          </w:p>
        </w:tc>
      </w:tr>
      <w:tr w:rsidR="004E6452" w:rsidRPr="001570EA" w14:paraId="2CCF94D3" w14:textId="77777777">
        <w:tc>
          <w:tcPr>
            <w:tcW w:w="0" w:type="dxa"/>
            <w:vAlign w:val="center"/>
          </w:tcPr>
          <w:p w14:paraId="25688CD4" w14:textId="77777777" w:rsidR="004E6452" w:rsidRPr="001570EA" w:rsidRDefault="004E6452">
            <w:pPr>
              <w:pStyle w:val="NoSpacing"/>
              <w:jc w:val="left"/>
              <w:rPr>
                <w:rFonts w:cs="Arial"/>
                <w:sz w:val="18"/>
                <w:szCs w:val="18"/>
              </w:rPr>
            </w:pPr>
            <w:r w:rsidRPr="001570EA">
              <w:rPr>
                <w:rFonts w:cs="Arial"/>
                <w:color w:val="000000"/>
                <w:sz w:val="18"/>
                <w:szCs w:val="18"/>
              </w:rPr>
              <w:t>7–BI. Built-In Refrigerator-freezers—automatic defrost with side-mounted freezer with through-the-door ice service</w:t>
            </w:r>
          </w:p>
        </w:tc>
        <w:tc>
          <w:tcPr>
            <w:tcW w:w="2245" w:type="dxa"/>
            <w:vAlign w:val="center"/>
          </w:tcPr>
          <w:p w14:paraId="36EF5EC2" w14:textId="77777777" w:rsidR="004E6452" w:rsidRPr="001570EA" w:rsidRDefault="004E6452">
            <w:pPr>
              <w:pStyle w:val="NoSpacing"/>
              <w:jc w:val="center"/>
              <w:rPr>
                <w:rFonts w:cs="Arial"/>
                <w:sz w:val="18"/>
                <w:szCs w:val="18"/>
              </w:rPr>
            </w:pPr>
            <w:r w:rsidRPr="001570EA">
              <w:rPr>
                <w:rFonts w:cs="Arial"/>
                <w:color w:val="000000"/>
                <w:sz w:val="18"/>
                <w:szCs w:val="18"/>
              </w:rPr>
              <w:t>9.23 × AV + 460.7</w:t>
            </w:r>
          </w:p>
        </w:tc>
        <w:tc>
          <w:tcPr>
            <w:tcW w:w="3515" w:type="dxa"/>
            <w:vAlign w:val="center"/>
          </w:tcPr>
          <w:p w14:paraId="181305BB" w14:textId="77777777" w:rsidR="004E6452" w:rsidRPr="001570EA" w:rsidRDefault="004E6452">
            <w:pPr>
              <w:pStyle w:val="NoSpacing"/>
              <w:jc w:val="center"/>
              <w:rPr>
                <w:rFonts w:cs="Arial"/>
                <w:sz w:val="18"/>
                <w:szCs w:val="18"/>
              </w:rPr>
            </w:pPr>
            <w:r w:rsidRPr="001570EA">
              <w:rPr>
                <w:rFonts w:cs="Arial"/>
                <w:color w:val="000000"/>
                <w:sz w:val="18"/>
                <w:szCs w:val="18"/>
              </w:rPr>
              <w:t>AV ≤ 47.9, AEC</w:t>
            </w:r>
            <w:r w:rsidRPr="001570EA">
              <w:rPr>
                <w:rFonts w:cs="Arial"/>
                <w:color w:val="000000"/>
                <w:sz w:val="18"/>
                <w:szCs w:val="18"/>
                <w:vertAlign w:val="subscript"/>
              </w:rPr>
              <w:t>MAX</w:t>
            </w:r>
            <w:r w:rsidRPr="001570EA">
              <w:rPr>
                <w:rFonts w:cs="Arial"/>
                <w:color w:val="000000"/>
                <w:sz w:val="18"/>
                <w:szCs w:val="18"/>
              </w:rPr>
              <w:t xml:space="preserve"> ≤ 6.23</w:t>
            </w:r>
            <w:r w:rsidRPr="001570EA">
              <w:rPr>
                <w:rFonts w:cs="Arial"/>
                <w:sz w:val="18"/>
                <w:szCs w:val="18"/>
              </w:rPr>
              <w:t xml:space="preserve"> </w:t>
            </w:r>
            <w:r w:rsidRPr="001570EA">
              <w:rPr>
                <w:rFonts w:cs="Arial"/>
                <w:color w:val="000000"/>
                <w:sz w:val="18"/>
                <w:szCs w:val="18"/>
              </w:rPr>
              <w:t>× AV + 338.6</w:t>
            </w:r>
            <w:r w:rsidRPr="001570EA">
              <w:rPr>
                <w:rFonts w:cs="Arial"/>
                <w:color w:val="000000"/>
                <w:sz w:val="18"/>
                <w:szCs w:val="18"/>
              </w:rPr>
              <w:br/>
              <w:t>AV &gt; 47.9, AEC</w:t>
            </w:r>
            <w:r w:rsidRPr="001570EA">
              <w:rPr>
                <w:rFonts w:cs="Arial"/>
                <w:color w:val="000000"/>
                <w:sz w:val="18"/>
                <w:szCs w:val="18"/>
                <w:vertAlign w:val="subscript"/>
              </w:rPr>
              <w:t>MAX</w:t>
            </w:r>
            <w:r w:rsidRPr="001570EA">
              <w:rPr>
                <w:rFonts w:cs="Arial"/>
                <w:color w:val="000000"/>
                <w:sz w:val="18"/>
                <w:szCs w:val="18"/>
              </w:rPr>
              <w:t xml:space="preserve"> ≤ 637</w:t>
            </w:r>
          </w:p>
        </w:tc>
      </w:tr>
      <w:tr w:rsidR="004E6452" w:rsidRPr="001570EA" w14:paraId="29697DCA" w14:textId="77777777">
        <w:tc>
          <w:tcPr>
            <w:tcW w:w="0" w:type="dxa"/>
            <w:vAlign w:val="center"/>
          </w:tcPr>
          <w:p w14:paraId="328D3DD7" w14:textId="77777777" w:rsidR="004E6452" w:rsidRPr="001570EA" w:rsidRDefault="004E6452">
            <w:pPr>
              <w:pStyle w:val="NoSpacing"/>
              <w:jc w:val="left"/>
              <w:rPr>
                <w:rFonts w:cs="Arial"/>
                <w:sz w:val="18"/>
                <w:szCs w:val="18"/>
              </w:rPr>
            </w:pPr>
            <w:r w:rsidRPr="001570EA">
              <w:rPr>
                <w:rFonts w:cs="Arial"/>
                <w:color w:val="000000"/>
                <w:sz w:val="18"/>
                <w:szCs w:val="18"/>
              </w:rPr>
              <w:t>11. Compact refrigerator-freezers and refrigerators other than all-refrigerators with manual defrost</w:t>
            </w:r>
          </w:p>
        </w:tc>
        <w:tc>
          <w:tcPr>
            <w:tcW w:w="2245" w:type="dxa"/>
            <w:vAlign w:val="center"/>
          </w:tcPr>
          <w:p w14:paraId="6F8A3D1D" w14:textId="77777777" w:rsidR="004E6452" w:rsidRPr="001570EA" w:rsidRDefault="004E6452">
            <w:pPr>
              <w:pStyle w:val="NoSpacing"/>
              <w:jc w:val="center"/>
              <w:rPr>
                <w:rFonts w:cs="Arial"/>
                <w:sz w:val="18"/>
                <w:szCs w:val="18"/>
              </w:rPr>
            </w:pPr>
            <w:r w:rsidRPr="001570EA">
              <w:rPr>
                <w:rFonts w:cs="Arial"/>
                <w:color w:val="000000"/>
                <w:sz w:val="18"/>
                <w:szCs w:val="18"/>
              </w:rPr>
              <w:t>8.13 × AV + 227.1</w:t>
            </w:r>
          </w:p>
        </w:tc>
        <w:tc>
          <w:tcPr>
            <w:tcW w:w="3515" w:type="dxa"/>
            <w:vAlign w:val="center"/>
          </w:tcPr>
          <w:p w14:paraId="255783D6" w14:textId="77777777" w:rsidR="004E6452" w:rsidRPr="001570EA" w:rsidRDefault="004E6452">
            <w:pPr>
              <w:pStyle w:val="NoSpacing"/>
              <w:jc w:val="center"/>
              <w:rPr>
                <w:rFonts w:cs="Arial"/>
                <w:sz w:val="18"/>
                <w:szCs w:val="18"/>
              </w:rPr>
            </w:pPr>
            <w:r w:rsidRPr="001570EA">
              <w:rPr>
                <w:rFonts w:cs="Arial"/>
                <w:color w:val="000000"/>
                <w:sz w:val="18"/>
                <w:szCs w:val="18"/>
              </w:rPr>
              <w:t>AEC</w:t>
            </w:r>
            <w:r w:rsidRPr="001570EA">
              <w:rPr>
                <w:rFonts w:cs="Arial"/>
                <w:color w:val="000000"/>
                <w:sz w:val="18"/>
                <w:szCs w:val="18"/>
                <w:vertAlign w:val="subscript"/>
              </w:rPr>
              <w:t>MAX</w:t>
            </w:r>
            <w:r w:rsidRPr="001570EA">
              <w:rPr>
                <w:rFonts w:cs="Arial"/>
                <w:color w:val="000000"/>
                <w:sz w:val="18"/>
                <w:szCs w:val="18"/>
              </w:rPr>
              <w:t xml:space="preserve"> ≤ 6.32</w:t>
            </w:r>
            <w:r w:rsidRPr="001570EA">
              <w:rPr>
                <w:rFonts w:cs="Arial"/>
                <w:sz w:val="18"/>
                <w:szCs w:val="18"/>
              </w:rPr>
              <w:t xml:space="preserve"> </w:t>
            </w:r>
            <w:r w:rsidRPr="001570EA">
              <w:rPr>
                <w:rFonts w:cs="Arial"/>
                <w:color w:val="000000"/>
                <w:sz w:val="18"/>
                <w:szCs w:val="18"/>
              </w:rPr>
              <w:t>× AV + 176.6</w:t>
            </w:r>
          </w:p>
        </w:tc>
      </w:tr>
      <w:tr w:rsidR="004E6452" w:rsidRPr="001570EA" w14:paraId="4FEC05BA" w14:textId="77777777">
        <w:tc>
          <w:tcPr>
            <w:tcW w:w="0" w:type="dxa"/>
            <w:vAlign w:val="center"/>
          </w:tcPr>
          <w:p w14:paraId="4F0B6814" w14:textId="77777777" w:rsidR="004E6452" w:rsidRPr="001570EA" w:rsidRDefault="004E6452">
            <w:pPr>
              <w:pStyle w:val="NoSpacing"/>
              <w:jc w:val="left"/>
              <w:rPr>
                <w:rFonts w:cs="Arial"/>
                <w:sz w:val="18"/>
                <w:szCs w:val="18"/>
              </w:rPr>
            </w:pPr>
            <w:r w:rsidRPr="001570EA">
              <w:rPr>
                <w:rFonts w:cs="Arial"/>
                <w:color w:val="000000"/>
                <w:sz w:val="18"/>
                <w:szCs w:val="18"/>
              </w:rPr>
              <w:t>11A.Compact all-refrigerators—manual defrost</w:t>
            </w:r>
          </w:p>
        </w:tc>
        <w:tc>
          <w:tcPr>
            <w:tcW w:w="2245" w:type="dxa"/>
            <w:vAlign w:val="center"/>
          </w:tcPr>
          <w:p w14:paraId="03A49BDD" w14:textId="77777777" w:rsidR="004E6452" w:rsidRPr="001570EA" w:rsidRDefault="004E6452">
            <w:pPr>
              <w:pStyle w:val="NoSpacing"/>
              <w:jc w:val="center"/>
              <w:rPr>
                <w:rFonts w:cs="Arial"/>
                <w:sz w:val="18"/>
                <w:szCs w:val="18"/>
              </w:rPr>
            </w:pPr>
            <w:r w:rsidRPr="001570EA">
              <w:rPr>
                <w:rFonts w:cs="Arial"/>
                <w:color w:val="000000"/>
                <w:sz w:val="18"/>
                <w:szCs w:val="18"/>
              </w:rPr>
              <w:t>7.06 × AV + 197.2</w:t>
            </w:r>
          </w:p>
        </w:tc>
        <w:tc>
          <w:tcPr>
            <w:tcW w:w="3515" w:type="dxa"/>
            <w:vAlign w:val="center"/>
          </w:tcPr>
          <w:p w14:paraId="5CFC2388" w14:textId="77777777" w:rsidR="004E6452" w:rsidRPr="001570EA" w:rsidRDefault="004E6452">
            <w:pPr>
              <w:pStyle w:val="NoSpacing"/>
              <w:jc w:val="center"/>
              <w:rPr>
                <w:rFonts w:cs="Arial"/>
                <w:sz w:val="18"/>
                <w:szCs w:val="18"/>
              </w:rPr>
            </w:pPr>
            <w:r w:rsidRPr="001570EA">
              <w:rPr>
                <w:rFonts w:cs="Arial"/>
                <w:color w:val="000000"/>
                <w:sz w:val="18"/>
                <w:szCs w:val="18"/>
              </w:rPr>
              <w:t>AEC</w:t>
            </w:r>
            <w:r w:rsidRPr="001570EA">
              <w:rPr>
                <w:rFonts w:cs="Arial"/>
                <w:color w:val="000000"/>
                <w:sz w:val="18"/>
                <w:szCs w:val="18"/>
                <w:vertAlign w:val="subscript"/>
              </w:rPr>
              <w:t>MAX</w:t>
            </w:r>
            <w:r w:rsidRPr="001570EA">
              <w:rPr>
                <w:rFonts w:cs="Arial"/>
                <w:color w:val="000000"/>
                <w:sz w:val="18"/>
                <w:szCs w:val="18"/>
              </w:rPr>
              <w:t xml:space="preserve"> ≤ 5.49</w:t>
            </w:r>
            <w:r w:rsidRPr="001570EA">
              <w:rPr>
                <w:rFonts w:cs="Arial"/>
                <w:sz w:val="18"/>
                <w:szCs w:val="18"/>
              </w:rPr>
              <w:t xml:space="preserve"> </w:t>
            </w:r>
            <w:r w:rsidRPr="001570EA">
              <w:rPr>
                <w:rFonts w:cs="Arial"/>
                <w:color w:val="000000"/>
                <w:sz w:val="18"/>
                <w:szCs w:val="18"/>
              </w:rPr>
              <w:t>× AV + 153.4</w:t>
            </w:r>
          </w:p>
        </w:tc>
      </w:tr>
      <w:tr w:rsidR="004E6452" w:rsidRPr="001570EA" w14:paraId="59272912" w14:textId="77777777">
        <w:tc>
          <w:tcPr>
            <w:tcW w:w="0" w:type="dxa"/>
            <w:vAlign w:val="center"/>
          </w:tcPr>
          <w:p w14:paraId="2CA48AEF" w14:textId="77777777" w:rsidR="004E6452" w:rsidRPr="001570EA" w:rsidRDefault="004E6452">
            <w:pPr>
              <w:pStyle w:val="NoSpacing"/>
              <w:jc w:val="left"/>
              <w:rPr>
                <w:rFonts w:cs="Arial"/>
                <w:sz w:val="18"/>
                <w:szCs w:val="18"/>
              </w:rPr>
            </w:pPr>
            <w:r w:rsidRPr="001570EA">
              <w:rPr>
                <w:rFonts w:cs="Arial"/>
                <w:color w:val="000000"/>
                <w:sz w:val="18"/>
                <w:szCs w:val="18"/>
              </w:rPr>
              <w:t>12. Compact refrigerator-freezers—partial automatic defrost</w:t>
            </w:r>
          </w:p>
        </w:tc>
        <w:tc>
          <w:tcPr>
            <w:tcW w:w="2245" w:type="dxa"/>
            <w:vAlign w:val="center"/>
          </w:tcPr>
          <w:p w14:paraId="3F72CEE9" w14:textId="77777777" w:rsidR="004E6452" w:rsidRPr="001570EA" w:rsidRDefault="004E6452">
            <w:pPr>
              <w:pStyle w:val="NoSpacing"/>
              <w:jc w:val="center"/>
              <w:rPr>
                <w:rFonts w:cs="Arial"/>
                <w:sz w:val="18"/>
                <w:szCs w:val="18"/>
              </w:rPr>
            </w:pPr>
            <w:r w:rsidRPr="001570EA">
              <w:rPr>
                <w:rFonts w:cs="Arial"/>
                <w:color w:val="000000"/>
                <w:sz w:val="18"/>
                <w:szCs w:val="18"/>
              </w:rPr>
              <w:t>5.32 × AV + 302.2</w:t>
            </w:r>
          </w:p>
        </w:tc>
        <w:tc>
          <w:tcPr>
            <w:tcW w:w="3515" w:type="dxa"/>
            <w:vAlign w:val="center"/>
          </w:tcPr>
          <w:p w14:paraId="3278A38D" w14:textId="77777777" w:rsidR="004E6452" w:rsidRPr="001570EA" w:rsidRDefault="004E6452">
            <w:pPr>
              <w:pStyle w:val="NoSpacing"/>
              <w:jc w:val="center"/>
              <w:rPr>
                <w:rFonts w:cs="Arial"/>
                <w:sz w:val="18"/>
                <w:szCs w:val="18"/>
              </w:rPr>
            </w:pPr>
            <w:r w:rsidRPr="001570EA">
              <w:rPr>
                <w:rFonts w:cs="Arial"/>
                <w:color w:val="000000"/>
                <w:sz w:val="18"/>
                <w:szCs w:val="18"/>
              </w:rPr>
              <w:t>AEC</w:t>
            </w:r>
            <w:r w:rsidRPr="001570EA">
              <w:rPr>
                <w:rFonts w:cs="Arial"/>
                <w:color w:val="000000"/>
                <w:sz w:val="18"/>
                <w:szCs w:val="18"/>
                <w:vertAlign w:val="subscript"/>
              </w:rPr>
              <w:t>MAX</w:t>
            </w:r>
            <w:r w:rsidRPr="001570EA">
              <w:rPr>
                <w:rFonts w:cs="Arial"/>
                <w:color w:val="000000"/>
                <w:sz w:val="18"/>
                <w:szCs w:val="18"/>
              </w:rPr>
              <w:t xml:space="preserve"> ≤ 4.14</w:t>
            </w:r>
            <w:r w:rsidRPr="001570EA">
              <w:rPr>
                <w:rFonts w:cs="Arial"/>
                <w:sz w:val="18"/>
                <w:szCs w:val="18"/>
              </w:rPr>
              <w:t xml:space="preserve"> </w:t>
            </w:r>
            <w:r w:rsidRPr="001570EA">
              <w:rPr>
                <w:rFonts w:cs="Arial"/>
                <w:color w:val="000000"/>
                <w:sz w:val="18"/>
                <w:szCs w:val="18"/>
              </w:rPr>
              <w:t>× AV + 235.1</w:t>
            </w:r>
          </w:p>
        </w:tc>
      </w:tr>
      <w:tr w:rsidR="004E6452" w:rsidRPr="001570EA" w14:paraId="5D13A97B" w14:textId="77777777">
        <w:tc>
          <w:tcPr>
            <w:tcW w:w="0" w:type="dxa"/>
            <w:vAlign w:val="center"/>
          </w:tcPr>
          <w:p w14:paraId="4E5F7101" w14:textId="77777777" w:rsidR="004E6452" w:rsidRPr="001570EA" w:rsidRDefault="004E6452">
            <w:pPr>
              <w:pStyle w:val="NoSpacing"/>
              <w:jc w:val="left"/>
              <w:rPr>
                <w:rFonts w:cs="Arial"/>
                <w:sz w:val="18"/>
                <w:szCs w:val="18"/>
              </w:rPr>
            </w:pPr>
            <w:r w:rsidRPr="001570EA">
              <w:rPr>
                <w:rFonts w:cs="Arial"/>
                <w:color w:val="000000"/>
                <w:sz w:val="18"/>
                <w:szCs w:val="18"/>
              </w:rPr>
              <w:t>13. Compact refrigerator-freezers—automatic defrost with top-mounted freezer</w:t>
            </w:r>
          </w:p>
        </w:tc>
        <w:tc>
          <w:tcPr>
            <w:tcW w:w="2245" w:type="dxa"/>
            <w:vAlign w:val="center"/>
          </w:tcPr>
          <w:p w14:paraId="3E7F088F" w14:textId="77777777" w:rsidR="004E6452" w:rsidRPr="001570EA" w:rsidRDefault="004E6452">
            <w:pPr>
              <w:pStyle w:val="NoSpacing"/>
              <w:jc w:val="center"/>
              <w:rPr>
                <w:rFonts w:cs="Arial"/>
                <w:sz w:val="18"/>
                <w:szCs w:val="18"/>
              </w:rPr>
            </w:pPr>
            <w:r w:rsidRPr="001570EA">
              <w:rPr>
                <w:rFonts w:cs="Arial"/>
                <w:color w:val="000000"/>
                <w:sz w:val="18"/>
                <w:szCs w:val="18"/>
              </w:rPr>
              <w:t>10.62 × AV + 305.3</w:t>
            </w:r>
          </w:p>
        </w:tc>
        <w:tc>
          <w:tcPr>
            <w:tcW w:w="3515" w:type="dxa"/>
            <w:vAlign w:val="center"/>
          </w:tcPr>
          <w:p w14:paraId="2A781D95" w14:textId="77777777" w:rsidR="004E6452" w:rsidRPr="001570EA" w:rsidRDefault="004E6452">
            <w:pPr>
              <w:pStyle w:val="NoSpacing"/>
              <w:jc w:val="center"/>
              <w:rPr>
                <w:rFonts w:cs="Arial"/>
                <w:sz w:val="18"/>
                <w:szCs w:val="18"/>
              </w:rPr>
            </w:pPr>
            <w:r w:rsidRPr="001570EA">
              <w:rPr>
                <w:rFonts w:cs="Arial"/>
                <w:color w:val="000000"/>
                <w:sz w:val="18"/>
                <w:szCs w:val="18"/>
              </w:rPr>
              <w:t>AEC</w:t>
            </w:r>
            <w:r w:rsidRPr="001570EA">
              <w:rPr>
                <w:rFonts w:cs="Arial"/>
                <w:color w:val="000000"/>
                <w:sz w:val="18"/>
                <w:szCs w:val="18"/>
                <w:vertAlign w:val="subscript"/>
              </w:rPr>
              <w:t>MAX</w:t>
            </w:r>
            <w:r w:rsidRPr="001570EA">
              <w:rPr>
                <w:rFonts w:cs="Arial"/>
                <w:color w:val="000000"/>
                <w:sz w:val="18"/>
                <w:szCs w:val="18"/>
              </w:rPr>
              <w:t xml:space="preserve"> ≤ 8.26</w:t>
            </w:r>
            <w:r w:rsidRPr="001570EA">
              <w:rPr>
                <w:rFonts w:cs="Arial"/>
                <w:sz w:val="18"/>
                <w:szCs w:val="18"/>
              </w:rPr>
              <w:t xml:space="preserve"> </w:t>
            </w:r>
            <w:r w:rsidRPr="001570EA">
              <w:rPr>
                <w:rFonts w:cs="Arial"/>
                <w:color w:val="000000"/>
                <w:sz w:val="18"/>
                <w:szCs w:val="18"/>
              </w:rPr>
              <w:t>× AV + 237.4</w:t>
            </w:r>
          </w:p>
        </w:tc>
      </w:tr>
      <w:tr w:rsidR="004E6452" w:rsidRPr="001570EA" w14:paraId="7DF308BE" w14:textId="77777777">
        <w:tc>
          <w:tcPr>
            <w:tcW w:w="0" w:type="dxa"/>
            <w:vAlign w:val="center"/>
          </w:tcPr>
          <w:p w14:paraId="5659B10B" w14:textId="77777777" w:rsidR="004E6452" w:rsidRPr="001570EA" w:rsidRDefault="004E6452">
            <w:pPr>
              <w:pStyle w:val="NoSpacing"/>
              <w:jc w:val="left"/>
              <w:rPr>
                <w:rFonts w:cs="Arial"/>
                <w:sz w:val="18"/>
                <w:szCs w:val="18"/>
              </w:rPr>
            </w:pPr>
            <w:r w:rsidRPr="001570EA">
              <w:rPr>
                <w:rFonts w:cs="Arial"/>
                <w:color w:val="000000"/>
                <w:sz w:val="18"/>
                <w:szCs w:val="18"/>
              </w:rPr>
              <w:t>13I. Compact refrigerator-freezers—automatic defrost with top-mounted freezer with an automatic icemaker</w:t>
            </w:r>
          </w:p>
        </w:tc>
        <w:tc>
          <w:tcPr>
            <w:tcW w:w="2245" w:type="dxa"/>
            <w:vAlign w:val="center"/>
          </w:tcPr>
          <w:p w14:paraId="49E9D946" w14:textId="77777777" w:rsidR="004E6452" w:rsidRPr="001570EA" w:rsidRDefault="004E6452">
            <w:pPr>
              <w:pStyle w:val="NoSpacing"/>
              <w:jc w:val="center"/>
              <w:rPr>
                <w:rFonts w:cs="Arial"/>
                <w:sz w:val="18"/>
                <w:szCs w:val="18"/>
              </w:rPr>
            </w:pPr>
            <w:r w:rsidRPr="001570EA">
              <w:rPr>
                <w:rFonts w:cs="Arial"/>
                <w:color w:val="000000"/>
                <w:sz w:val="18"/>
                <w:szCs w:val="18"/>
              </w:rPr>
              <w:t>10.62 × AV + 389.3</w:t>
            </w:r>
          </w:p>
        </w:tc>
        <w:tc>
          <w:tcPr>
            <w:tcW w:w="3515" w:type="dxa"/>
            <w:vAlign w:val="center"/>
          </w:tcPr>
          <w:p w14:paraId="2B4129F3" w14:textId="77777777" w:rsidR="004E6452" w:rsidRPr="001570EA" w:rsidRDefault="004E6452">
            <w:pPr>
              <w:pStyle w:val="NoSpacing"/>
              <w:jc w:val="center"/>
              <w:rPr>
                <w:rFonts w:cs="Arial"/>
                <w:sz w:val="18"/>
                <w:szCs w:val="18"/>
              </w:rPr>
            </w:pPr>
            <w:r w:rsidRPr="001570EA">
              <w:rPr>
                <w:rFonts w:cs="Arial"/>
                <w:color w:val="000000"/>
                <w:sz w:val="18"/>
                <w:szCs w:val="18"/>
              </w:rPr>
              <w:t>AEC</w:t>
            </w:r>
            <w:r w:rsidRPr="001570EA">
              <w:rPr>
                <w:rFonts w:cs="Arial"/>
                <w:color w:val="000000"/>
                <w:sz w:val="18"/>
                <w:szCs w:val="18"/>
                <w:vertAlign w:val="subscript"/>
              </w:rPr>
              <w:t>MAX</w:t>
            </w:r>
            <w:r w:rsidRPr="001570EA">
              <w:rPr>
                <w:rFonts w:cs="Arial"/>
                <w:color w:val="000000"/>
                <w:sz w:val="18"/>
                <w:szCs w:val="18"/>
              </w:rPr>
              <w:t xml:space="preserve"> ≤ 8.26</w:t>
            </w:r>
            <w:r w:rsidRPr="001570EA">
              <w:rPr>
                <w:rFonts w:cs="Arial"/>
                <w:sz w:val="18"/>
                <w:szCs w:val="18"/>
              </w:rPr>
              <w:t xml:space="preserve"> </w:t>
            </w:r>
            <w:r w:rsidRPr="001570EA">
              <w:rPr>
                <w:rFonts w:cs="Arial"/>
                <w:color w:val="000000"/>
                <w:sz w:val="18"/>
                <w:szCs w:val="18"/>
              </w:rPr>
              <w:t>× AV + 321.4</w:t>
            </w:r>
          </w:p>
        </w:tc>
      </w:tr>
      <w:tr w:rsidR="004E6452" w:rsidRPr="001570EA" w14:paraId="79483682" w14:textId="77777777">
        <w:tc>
          <w:tcPr>
            <w:tcW w:w="0" w:type="dxa"/>
            <w:vAlign w:val="center"/>
          </w:tcPr>
          <w:p w14:paraId="6FA36D70" w14:textId="77777777" w:rsidR="004E6452" w:rsidRPr="001570EA" w:rsidRDefault="004E6452">
            <w:pPr>
              <w:pStyle w:val="NoSpacing"/>
              <w:jc w:val="left"/>
              <w:rPr>
                <w:rFonts w:cs="Arial"/>
                <w:sz w:val="18"/>
                <w:szCs w:val="18"/>
              </w:rPr>
            </w:pPr>
            <w:r w:rsidRPr="001570EA">
              <w:rPr>
                <w:rFonts w:cs="Arial"/>
                <w:color w:val="000000"/>
                <w:sz w:val="18"/>
                <w:szCs w:val="18"/>
              </w:rPr>
              <w:t>13A. Compact all-refrigerators—automatic defrost</w:t>
            </w:r>
          </w:p>
        </w:tc>
        <w:tc>
          <w:tcPr>
            <w:tcW w:w="2245" w:type="dxa"/>
            <w:vAlign w:val="center"/>
          </w:tcPr>
          <w:p w14:paraId="6BAA4ACF" w14:textId="77777777" w:rsidR="004E6452" w:rsidRPr="001570EA" w:rsidRDefault="004E6452">
            <w:pPr>
              <w:pStyle w:val="NoSpacing"/>
              <w:jc w:val="center"/>
              <w:rPr>
                <w:rFonts w:cs="Arial"/>
                <w:sz w:val="18"/>
                <w:szCs w:val="18"/>
              </w:rPr>
            </w:pPr>
            <w:r w:rsidRPr="001570EA">
              <w:rPr>
                <w:rFonts w:cs="Arial"/>
                <w:color w:val="000000"/>
                <w:sz w:val="18"/>
                <w:szCs w:val="18"/>
              </w:rPr>
              <w:t>8.25 × AV + 233.4</w:t>
            </w:r>
          </w:p>
        </w:tc>
        <w:tc>
          <w:tcPr>
            <w:tcW w:w="3515" w:type="dxa"/>
            <w:vAlign w:val="center"/>
          </w:tcPr>
          <w:p w14:paraId="7F04E167" w14:textId="77777777" w:rsidR="004E6452" w:rsidRPr="001570EA" w:rsidRDefault="004E6452">
            <w:pPr>
              <w:pStyle w:val="NoSpacing"/>
              <w:jc w:val="center"/>
              <w:rPr>
                <w:rFonts w:cs="Arial"/>
                <w:sz w:val="18"/>
                <w:szCs w:val="18"/>
              </w:rPr>
            </w:pPr>
            <w:r w:rsidRPr="001570EA">
              <w:rPr>
                <w:rFonts w:cs="Arial"/>
                <w:color w:val="000000"/>
                <w:sz w:val="18"/>
                <w:szCs w:val="18"/>
              </w:rPr>
              <w:t>AEC</w:t>
            </w:r>
            <w:r w:rsidRPr="001570EA">
              <w:rPr>
                <w:rFonts w:cs="Arial"/>
                <w:color w:val="000000"/>
                <w:sz w:val="18"/>
                <w:szCs w:val="18"/>
                <w:vertAlign w:val="subscript"/>
              </w:rPr>
              <w:t>MAX</w:t>
            </w:r>
            <w:r w:rsidRPr="001570EA">
              <w:rPr>
                <w:rFonts w:cs="Arial"/>
                <w:color w:val="000000"/>
                <w:sz w:val="18"/>
                <w:szCs w:val="18"/>
              </w:rPr>
              <w:t xml:space="preserve"> ≤ 6.42</w:t>
            </w:r>
            <w:r w:rsidRPr="001570EA">
              <w:rPr>
                <w:rFonts w:cs="Arial"/>
                <w:sz w:val="18"/>
                <w:szCs w:val="18"/>
              </w:rPr>
              <w:t xml:space="preserve"> </w:t>
            </w:r>
            <w:r w:rsidRPr="001570EA">
              <w:rPr>
                <w:rFonts w:cs="Arial"/>
                <w:color w:val="000000"/>
                <w:sz w:val="18"/>
                <w:szCs w:val="18"/>
              </w:rPr>
              <w:t>× AV + 181.5</w:t>
            </w:r>
          </w:p>
        </w:tc>
      </w:tr>
      <w:tr w:rsidR="004E6452" w:rsidRPr="001570EA" w14:paraId="56167C4E" w14:textId="77777777">
        <w:tc>
          <w:tcPr>
            <w:tcW w:w="0" w:type="dxa"/>
            <w:vAlign w:val="center"/>
          </w:tcPr>
          <w:p w14:paraId="62601070" w14:textId="77777777" w:rsidR="004E6452" w:rsidRPr="001570EA" w:rsidRDefault="004E6452">
            <w:pPr>
              <w:pStyle w:val="NoSpacing"/>
              <w:jc w:val="left"/>
              <w:rPr>
                <w:rFonts w:cs="Arial"/>
                <w:sz w:val="18"/>
                <w:szCs w:val="18"/>
              </w:rPr>
            </w:pPr>
            <w:r w:rsidRPr="001570EA">
              <w:rPr>
                <w:rFonts w:cs="Arial"/>
                <w:color w:val="000000"/>
                <w:sz w:val="18"/>
                <w:szCs w:val="18"/>
              </w:rPr>
              <w:t>14. Compact refrigerator-freezers—automatic defrost with side-mounted freezer</w:t>
            </w:r>
          </w:p>
        </w:tc>
        <w:tc>
          <w:tcPr>
            <w:tcW w:w="2245" w:type="dxa"/>
            <w:vAlign w:val="center"/>
          </w:tcPr>
          <w:p w14:paraId="1A63723B" w14:textId="77777777" w:rsidR="004E6452" w:rsidRPr="001570EA" w:rsidRDefault="004E6452">
            <w:pPr>
              <w:pStyle w:val="NoSpacing"/>
              <w:jc w:val="center"/>
              <w:rPr>
                <w:rFonts w:cs="Arial"/>
                <w:sz w:val="18"/>
                <w:szCs w:val="18"/>
              </w:rPr>
            </w:pPr>
            <w:r w:rsidRPr="001570EA">
              <w:rPr>
                <w:rFonts w:cs="Arial"/>
                <w:color w:val="000000"/>
                <w:sz w:val="18"/>
                <w:szCs w:val="18"/>
              </w:rPr>
              <w:t>6.14 × AV + 411.2</w:t>
            </w:r>
          </w:p>
        </w:tc>
        <w:tc>
          <w:tcPr>
            <w:tcW w:w="3515" w:type="dxa"/>
            <w:vAlign w:val="center"/>
          </w:tcPr>
          <w:p w14:paraId="7421F73B" w14:textId="77777777" w:rsidR="004E6452" w:rsidRPr="001570EA" w:rsidRDefault="004E6452">
            <w:pPr>
              <w:pStyle w:val="NoSpacing"/>
              <w:jc w:val="center"/>
              <w:rPr>
                <w:rFonts w:cs="Arial"/>
                <w:sz w:val="18"/>
                <w:szCs w:val="18"/>
              </w:rPr>
            </w:pPr>
            <w:r w:rsidRPr="001570EA">
              <w:rPr>
                <w:rFonts w:cs="Arial"/>
                <w:color w:val="000000"/>
                <w:sz w:val="18"/>
                <w:szCs w:val="18"/>
              </w:rPr>
              <w:t>AEC</w:t>
            </w:r>
            <w:r w:rsidRPr="001570EA">
              <w:rPr>
                <w:rFonts w:cs="Arial"/>
                <w:color w:val="000000"/>
                <w:sz w:val="18"/>
                <w:szCs w:val="18"/>
                <w:vertAlign w:val="subscript"/>
              </w:rPr>
              <w:t>MAX</w:t>
            </w:r>
            <w:r w:rsidRPr="001570EA">
              <w:rPr>
                <w:rFonts w:cs="Arial"/>
                <w:color w:val="000000"/>
                <w:sz w:val="18"/>
                <w:szCs w:val="18"/>
              </w:rPr>
              <w:t xml:space="preserve"> ≤ 4.77</w:t>
            </w:r>
            <w:r w:rsidRPr="001570EA">
              <w:rPr>
                <w:rFonts w:cs="Arial"/>
                <w:sz w:val="18"/>
                <w:szCs w:val="18"/>
              </w:rPr>
              <w:t xml:space="preserve"> </w:t>
            </w:r>
            <w:r w:rsidRPr="001570EA">
              <w:rPr>
                <w:rFonts w:cs="Arial"/>
                <w:color w:val="000000"/>
                <w:sz w:val="18"/>
                <w:szCs w:val="18"/>
              </w:rPr>
              <w:t>× AV + 319.8</w:t>
            </w:r>
          </w:p>
        </w:tc>
      </w:tr>
      <w:tr w:rsidR="004E6452" w:rsidRPr="001570EA" w14:paraId="37B33704" w14:textId="77777777">
        <w:tc>
          <w:tcPr>
            <w:tcW w:w="0" w:type="dxa"/>
            <w:vAlign w:val="center"/>
          </w:tcPr>
          <w:p w14:paraId="37ABAF80" w14:textId="77777777" w:rsidR="004E6452" w:rsidRPr="001570EA" w:rsidRDefault="004E6452">
            <w:pPr>
              <w:pStyle w:val="NoSpacing"/>
              <w:jc w:val="left"/>
              <w:rPr>
                <w:rFonts w:cs="Arial"/>
                <w:sz w:val="18"/>
                <w:szCs w:val="18"/>
              </w:rPr>
            </w:pPr>
            <w:r w:rsidRPr="001570EA">
              <w:rPr>
                <w:rFonts w:cs="Arial"/>
                <w:color w:val="000000"/>
                <w:sz w:val="18"/>
                <w:szCs w:val="18"/>
              </w:rPr>
              <w:t>14I. Compact refrigerator-freezers—automatic defrost with side-mounted freezer with an automatic icemaker</w:t>
            </w:r>
          </w:p>
        </w:tc>
        <w:tc>
          <w:tcPr>
            <w:tcW w:w="2245" w:type="dxa"/>
            <w:vAlign w:val="center"/>
          </w:tcPr>
          <w:p w14:paraId="5078A24F" w14:textId="77777777" w:rsidR="004E6452" w:rsidRPr="001570EA" w:rsidRDefault="004E6452">
            <w:pPr>
              <w:pStyle w:val="NoSpacing"/>
              <w:jc w:val="center"/>
              <w:rPr>
                <w:rFonts w:cs="Arial"/>
                <w:sz w:val="18"/>
                <w:szCs w:val="18"/>
              </w:rPr>
            </w:pPr>
            <w:r w:rsidRPr="001570EA">
              <w:rPr>
                <w:rFonts w:cs="Arial"/>
                <w:color w:val="000000"/>
                <w:sz w:val="18"/>
                <w:szCs w:val="18"/>
              </w:rPr>
              <w:t>6.14 × AV + 495.2</w:t>
            </w:r>
          </w:p>
        </w:tc>
        <w:tc>
          <w:tcPr>
            <w:tcW w:w="3515" w:type="dxa"/>
            <w:vAlign w:val="center"/>
          </w:tcPr>
          <w:p w14:paraId="3EF77E40" w14:textId="77777777" w:rsidR="004E6452" w:rsidRPr="001570EA" w:rsidRDefault="004E6452">
            <w:pPr>
              <w:pStyle w:val="NoSpacing"/>
              <w:jc w:val="center"/>
              <w:rPr>
                <w:rFonts w:cs="Arial"/>
                <w:sz w:val="18"/>
                <w:szCs w:val="18"/>
              </w:rPr>
            </w:pPr>
            <w:r w:rsidRPr="001570EA">
              <w:rPr>
                <w:rFonts w:cs="Arial"/>
                <w:color w:val="000000"/>
                <w:sz w:val="18"/>
                <w:szCs w:val="18"/>
              </w:rPr>
              <w:t>AEC</w:t>
            </w:r>
            <w:r w:rsidRPr="001570EA">
              <w:rPr>
                <w:rFonts w:cs="Arial"/>
                <w:color w:val="000000"/>
                <w:sz w:val="18"/>
                <w:szCs w:val="18"/>
                <w:vertAlign w:val="subscript"/>
              </w:rPr>
              <w:t>MAX</w:t>
            </w:r>
            <w:r w:rsidRPr="001570EA">
              <w:rPr>
                <w:rFonts w:cs="Arial"/>
                <w:color w:val="000000"/>
                <w:sz w:val="18"/>
                <w:szCs w:val="18"/>
              </w:rPr>
              <w:t xml:space="preserve"> ≤ 4.77</w:t>
            </w:r>
            <w:r w:rsidRPr="001570EA">
              <w:rPr>
                <w:rFonts w:cs="Arial"/>
                <w:sz w:val="18"/>
                <w:szCs w:val="18"/>
              </w:rPr>
              <w:t xml:space="preserve"> </w:t>
            </w:r>
            <w:r w:rsidRPr="001570EA">
              <w:rPr>
                <w:rFonts w:cs="Arial"/>
                <w:color w:val="000000"/>
                <w:sz w:val="18"/>
                <w:szCs w:val="18"/>
              </w:rPr>
              <w:t>× AV + 403.8</w:t>
            </w:r>
          </w:p>
        </w:tc>
      </w:tr>
      <w:tr w:rsidR="004E6452" w:rsidRPr="001570EA" w14:paraId="448DB21C" w14:textId="77777777">
        <w:tc>
          <w:tcPr>
            <w:tcW w:w="0" w:type="dxa"/>
            <w:vAlign w:val="center"/>
          </w:tcPr>
          <w:p w14:paraId="71525F27" w14:textId="77777777" w:rsidR="004E6452" w:rsidRPr="001570EA" w:rsidRDefault="004E6452">
            <w:pPr>
              <w:pStyle w:val="NoSpacing"/>
              <w:jc w:val="left"/>
              <w:rPr>
                <w:rFonts w:cs="Arial"/>
                <w:sz w:val="18"/>
                <w:szCs w:val="18"/>
              </w:rPr>
            </w:pPr>
            <w:r w:rsidRPr="001570EA">
              <w:rPr>
                <w:rFonts w:cs="Arial"/>
                <w:color w:val="000000"/>
                <w:sz w:val="18"/>
                <w:szCs w:val="18"/>
              </w:rPr>
              <w:t>15. Compact refrigerator-freezers—automatic defrost with bottom-mounted freezer</w:t>
            </w:r>
          </w:p>
        </w:tc>
        <w:tc>
          <w:tcPr>
            <w:tcW w:w="2245" w:type="dxa"/>
            <w:vAlign w:val="center"/>
          </w:tcPr>
          <w:p w14:paraId="00195F0C" w14:textId="77777777" w:rsidR="004E6452" w:rsidRPr="001570EA" w:rsidRDefault="004E6452">
            <w:pPr>
              <w:pStyle w:val="NoSpacing"/>
              <w:jc w:val="center"/>
              <w:rPr>
                <w:rFonts w:cs="Arial"/>
                <w:sz w:val="18"/>
                <w:szCs w:val="18"/>
              </w:rPr>
            </w:pPr>
            <w:r w:rsidRPr="001570EA">
              <w:rPr>
                <w:rFonts w:cs="Arial"/>
                <w:color w:val="000000"/>
                <w:sz w:val="18"/>
                <w:szCs w:val="18"/>
              </w:rPr>
              <w:t>10.62 × AV + 305.3</w:t>
            </w:r>
          </w:p>
        </w:tc>
        <w:tc>
          <w:tcPr>
            <w:tcW w:w="3515" w:type="dxa"/>
            <w:vAlign w:val="center"/>
          </w:tcPr>
          <w:p w14:paraId="685FF6D8" w14:textId="77777777" w:rsidR="004E6452" w:rsidRPr="001570EA" w:rsidRDefault="004E6452">
            <w:pPr>
              <w:pStyle w:val="NoSpacing"/>
              <w:jc w:val="center"/>
              <w:rPr>
                <w:rFonts w:cs="Arial"/>
                <w:sz w:val="18"/>
                <w:szCs w:val="18"/>
              </w:rPr>
            </w:pPr>
            <w:r w:rsidRPr="001570EA">
              <w:rPr>
                <w:rFonts w:cs="Arial"/>
                <w:color w:val="000000"/>
                <w:sz w:val="18"/>
                <w:szCs w:val="18"/>
              </w:rPr>
              <w:t>AEC</w:t>
            </w:r>
            <w:r w:rsidRPr="001570EA">
              <w:rPr>
                <w:rFonts w:cs="Arial"/>
                <w:color w:val="000000"/>
                <w:sz w:val="18"/>
                <w:szCs w:val="18"/>
                <w:vertAlign w:val="subscript"/>
              </w:rPr>
              <w:t>MAX</w:t>
            </w:r>
            <w:r w:rsidRPr="001570EA">
              <w:rPr>
                <w:rFonts w:cs="Arial"/>
                <w:color w:val="000000"/>
                <w:sz w:val="18"/>
                <w:szCs w:val="18"/>
              </w:rPr>
              <w:t xml:space="preserve"> ≤ 8.26</w:t>
            </w:r>
            <w:r w:rsidRPr="001570EA">
              <w:rPr>
                <w:rFonts w:cs="Arial"/>
                <w:sz w:val="18"/>
                <w:szCs w:val="18"/>
              </w:rPr>
              <w:t xml:space="preserve"> </w:t>
            </w:r>
            <w:r w:rsidRPr="001570EA">
              <w:rPr>
                <w:rFonts w:cs="Arial"/>
                <w:color w:val="000000"/>
                <w:sz w:val="18"/>
                <w:szCs w:val="18"/>
              </w:rPr>
              <w:t>× AV + 237.4</w:t>
            </w:r>
          </w:p>
        </w:tc>
      </w:tr>
      <w:tr w:rsidR="004E6452" w:rsidRPr="001570EA" w14:paraId="5C1EF0FE" w14:textId="77777777">
        <w:tc>
          <w:tcPr>
            <w:tcW w:w="0" w:type="dxa"/>
            <w:vAlign w:val="center"/>
          </w:tcPr>
          <w:p w14:paraId="0AF6A408" w14:textId="77777777" w:rsidR="004E6452" w:rsidRPr="001570EA" w:rsidRDefault="004E6452">
            <w:pPr>
              <w:pStyle w:val="NoSpacing"/>
              <w:jc w:val="left"/>
              <w:rPr>
                <w:rFonts w:cs="Arial"/>
                <w:sz w:val="18"/>
                <w:szCs w:val="18"/>
              </w:rPr>
            </w:pPr>
            <w:r w:rsidRPr="001570EA">
              <w:rPr>
                <w:rFonts w:cs="Arial"/>
                <w:color w:val="000000"/>
                <w:sz w:val="18"/>
                <w:szCs w:val="18"/>
              </w:rPr>
              <w:t>15I. Compact refrigerator-freezers—automatic defrost with bottom-mounted freezer with an automatic icemaker</w:t>
            </w:r>
          </w:p>
        </w:tc>
        <w:tc>
          <w:tcPr>
            <w:tcW w:w="2245" w:type="dxa"/>
            <w:vAlign w:val="center"/>
          </w:tcPr>
          <w:p w14:paraId="32FF81CD" w14:textId="77777777" w:rsidR="004E6452" w:rsidRPr="001570EA" w:rsidRDefault="004E6452">
            <w:pPr>
              <w:pStyle w:val="NoSpacing"/>
              <w:jc w:val="center"/>
              <w:rPr>
                <w:rFonts w:cs="Arial"/>
                <w:sz w:val="18"/>
                <w:szCs w:val="18"/>
              </w:rPr>
            </w:pPr>
            <w:r w:rsidRPr="001570EA">
              <w:rPr>
                <w:rFonts w:cs="Arial"/>
                <w:color w:val="000000"/>
                <w:sz w:val="18"/>
                <w:szCs w:val="18"/>
              </w:rPr>
              <w:t>10.62 × AV + 389.3</w:t>
            </w:r>
          </w:p>
        </w:tc>
        <w:tc>
          <w:tcPr>
            <w:tcW w:w="3515" w:type="dxa"/>
            <w:vAlign w:val="center"/>
          </w:tcPr>
          <w:p w14:paraId="0F236679" w14:textId="77777777" w:rsidR="004E6452" w:rsidRPr="001570EA" w:rsidRDefault="004E6452">
            <w:pPr>
              <w:pStyle w:val="NoSpacing"/>
              <w:jc w:val="center"/>
              <w:rPr>
                <w:rFonts w:cs="Arial"/>
                <w:sz w:val="18"/>
                <w:szCs w:val="18"/>
              </w:rPr>
            </w:pPr>
            <w:r w:rsidRPr="001570EA">
              <w:rPr>
                <w:rFonts w:cs="Arial"/>
                <w:color w:val="000000"/>
                <w:sz w:val="18"/>
                <w:szCs w:val="18"/>
              </w:rPr>
              <w:t>AEC</w:t>
            </w:r>
            <w:r w:rsidRPr="001570EA">
              <w:rPr>
                <w:rFonts w:cs="Arial"/>
                <w:color w:val="000000"/>
                <w:sz w:val="18"/>
                <w:szCs w:val="18"/>
                <w:vertAlign w:val="subscript"/>
              </w:rPr>
              <w:t>MAX</w:t>
            </w:r>
            <w:r w:rsidRPr="001570EA">
              <w:rPr>
                <w:rFonts w:cs="Arial"/>
                <w:color w:val="000000"/>
                <w:sz w:val="18"/>
                <w:szCs w:val="18"/>
              </w:rPr>
              <w:t xml:space="preserve"> ≤ 8.26</w:t>
            </w:r>
            <w:r w:rsidRPr="001570EA">
              <w:rPr>
                <w:rFonts w:cs="Arial"/>
                <w:sz w:val="18"/>
                <w:szCs w:val="18"/>
              </w:rPr>
              <w:t xml:space="preserve"> </w:t>
            </w:r>
            <w:r w:rsidRPr="001570EA">
              <w:rPr>
                <w:rFonts w:cs="Arial"/>
                <w:color w:val="000000"/>
                <w:sz w:val="18"/>
                <w:szCs w:val="18"/>
              </w:rPr>
              <w:t>× AV + 321.4</w:t>
            </w:r>
          </w:p>
        </w:tc>
      </w:tr>
    </w:tbl>
    <w:p w14:paraId="2A103397" w14:textId="77777777" w:rsidR="004E6452" w:rsidRPr="001570EA" w:rsidRDefault="004E6452" w:rsidP="004E6452">
      <w:pPr>
        <w:pStyle w:val="NoSpacing"/>
        <w:jc w:val="left"/>
        <w:rPr>
          <w:rFonts w:cs="Arial"/>
          <w:szCs w:val="20"/>
        </w:rPr>
      </w:pPr>
    </w:p>
    <w:p w14:paraId="41E81978" w14:textId="77777777" w:rsidR="004E6452" w:rsidRPr="001570EA" w:rsidRDefault="004E6452" w:rsidP="004E6452">
      <w:pPr>
        <w:pStyle w:val="SubStyle"/>
      </w:pPr>
      <w:r w:rsidRPr="001570EA">
        <w:t>Default Savings</w:t>
      </w:r>
    </w:p>
    <w:bookmarkStart w:id="540" w:name="_Ref533692316"/>
    <w:bookmarkStart w:id="541" w:name="_Toc530141735"/>
    <w:bookmarkStart w:id="542" w:name="_Toc47598316"/>
    <w:p w14:paraId="0025EB1D" w14:textId="49422EB6" w:rsidR="004E6452" w:rsidRDefault="004E6452" w:rsidP="004E6452">
      <w:pPr>
        <w:pStyle w:val="BodyText"/>
        <w:ind w:right="0"/>
      </w:pPr>
      <w:r w:rsidRPr="001570EA">
        <w:fldChar w:fldCharType="begin"/>
      </w:r>
      <w:r w:rsidRPr="001570EA">
        <w:instrText xml:space="preserve"> REF _Ref160037323 \h </w:instrText>
      </w:r>
      <w:r w:rsidR="001570EA">
        <w:instrText xml:space="preserve"> \* MERGEFORMAT </w:instrText>
      </w:r>
      <w:r w:rsidRPr="001570EA">
        <w:fldChar w:fldCharType="separate"/>
      </w:r>
      <w:r w:rsidR="009F69CA" w:rsidRPr="001570EA">
        <w:t xml:space="preserve">Table </w:t>
      </w:r>
      <w:r w:rsidR="009F69CA" w:rsidRPr="001570EA">
        <w:rPr>
          <w:noProof/>
        </w:rPr>
        <w:t>2</w:t>
      </w:r>
      <w:r w:rsidR="009F69CA" w:rsidRPr="001570EA">
        <w:rPr>
          <w:noProof/>
        </w:rPr>
        <w:noBreakHyphen/>
        <w:t>84</w:t>
      </w:r>
      <w:r w:rsidRPr="001570EA">
        <w:fldChar w:fldCharType="end"/>
      </w:r>
      <w:r w:rsidRPr="001570EA">
        <w:t xml:space="preserve"> displays the default savings for prevalent </w:t>
      </w:r>
      <w:r w:rsidRPr="001570EA">
        <w:rPr>
          <w:rFonts w:cs="Arial"/>
        </w:rPr>
        <w:t xml:space="preserve">configurations of </w:t>
      </w:r>
      <w:r w:rsidRPr="001570EA">
        <w:t xml:space="preserve">ENERGY STAR refrigerators. Default savings assume no special doors (i.e. door coefficient=1). Note that there are zero default savings for ENERGY STAR refrigerator categories 3I, 5I, 5A after 1/30/29, and there are zero default savings for ENERGY STAR refrigerator categories 3, 5, and 7 after 1/30/30. </w:t>
      </w:r>
      <w:r w:rsidRPr="001570EA">
        <w:fldChar w:fldCharType="begin"/>
      </w:r>
      <w:r w:rsidRPr="001570EA">
        <w:instrText xml:space="preserve"> REF _Ref160039324 \h </w:instrText>
      </w:r>
      <w:r w:rsidR="001570EA">
        <w:instrText xml:space="preserve"> \* MERGEFORMAT </w:instrText>
      </w:r>
      <w:r w:rsidRPr="001570EA">
        <w:fldChar w:fldCharType="separate"/>
      </w:r>
      <w:r w:rsidR="009F69CA" w:rsidRPr="001570EA">
        <w:t xml:space="preserve">Table </w:t>
      </w:r>
      <w:r w:rsidR="009F69CA" w:rsidRPr="001570EA">
        <w:rPr>
          <w:noProof/>
        </w:rPr>
        <w:t>2</w:t>
      </w:r>
      <w:r w:rsidR="009F69CA" w:rsidRPr="001570EA">
        <w:rPr>
          <w:noProof/>
        </w:rPr>
        <w:noBreakHyphen/>
        <w:t>85</w:t>
      </w:r>
      <w:r w:rsidRPr="001570EA">
        <w:fldChar w:fldCharType="end"/>
      </w:r>
      <w:r w:rsidRPr="001570EA">
        <w:t xml:space="preserve"> displays the default savings for prevalent </w:t>
      </w:r>
      <w:r w:rsidRPr="001570EA">
        <w:rPr>
          <w:rFonts w:cs="Arial"/>
        </w:rPr>
        <w:t xml:space="preserve">configurations of </w:t>
      </w:r>
      <w:r w:rsidRPr="001570EA">
        <w:t>ENERGY STAR Most Efficient refrigerators.</w:t>
      </w:r>
    </w:p>
    <w:p w14:paraId="69630E57" w14:textId="77777777" w:rsidR="00094040" w:rsidRPr="001570EA" w:rsidRDefault="00094040" w:rsidP="004E6452">
      <w:pPr>
        <w:pStyle w:val="BodyText"/>
        <w:ind w:right="0"/>
      </w:pPr>
    </w:p>
    <w:p w14:paraId="49B954D5" w14:textId="59E08E67" w:rsidR="004E6452" w:rsidRPr="001570EA" w:rsidRDefault="004E6452" w:rsidP="004E6452">
      <w:pPr>
        <w:pStyle w:val="Caption"/>
        <w:rPr>
          <w:rFonts w:cs="Arial"/>
          <w:b w:val="0"/>
        </w:rPr>
      </w:pPr>
      <w:bookmarkStart w:id="543" w:name="_Ref16003732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84</w:t>
      </w:r>
      <w:r w:rsidR="002E093A" w:rsidRPr="001570EA">
        <w:fldChar w:fldCharType="end"/>
      </w:r>
      <w:bookmarkEnd w:id="543"/>
      <w:r w:rsidRPr="001570EA">
        <w:rPr>
          <w:rFonts w:cs="Arial"/>
        </w:rPr>
        <w:t>: Default Savings Values for ENERGY STAR Refrigerators</w:t>
      </w:r>
    </w:p>
    <w:tbl>
      <w:tblPr>
        <w:tblW w:w="8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1105"/>
        <w:gridCol w:w="1314"/>
        <w:gridCol w:w="1072"/>
        <w:gridCol w:w="1170"/>
        <w:gridCol w:w="1072"/>
      </w:tblGrid>
      <w:tr w:rsidR="004E6452" w:rsidRPr="001570EA" w14:paraId="1AA0C4D6" w14:textId="77777777">
        <w:trPr>
          <w:trHeight w:val="1142"/>
          <w:tblHeader/>
        </w:trPr>
        <w:tc>
          <w:tcPr>
            <w:tcW w:w="2630" w:type="dxa"/>
            <w:shd w:val="clear" w:color="auto" w:fill="BFBFBF" w:themeFill="background1" w:themeFillShade="BF"/>
            <w:noWrap/>
            <w:vAlign w:val="bottom"/>
            <w:hideMark/>
          </w:tcPr>
          <w:p w14:paraId="65F84A0B" w14:textId="77777777" w:rsidR="004E6452" w:rsidRPr="001570EA" w:rsidRDefault="004E6452">
            <w:pPr>
              <w:spacing w:before="80" w:after="80"/>
              <w:rPr>
                <w:rFonts w:cs="Arial"/>
                <w:b/>
                <w:bCs/>
                <w:color w:val="000000"/>
                <w:sz w:val="18"/>
                <w:szCs w:val="18"/>
              </w:rPr>
            </w:pPr>
            <w:r w:rsidRPr="001570EA">
              <w:rPr>
                <w:rFonts w:cs="Arial"/>
                <w:b/>
                <w:bCs/>
                <w:color w:val="000000"/>
                <w:sz w:val="18"/>
                <w:szCs w:val="18"/>
              </w:rPr>
              <w:t>Refrigerator Category</w:t>
            </w:r>
          </w:p>
        </w:tc>
        <w:tc>
          <w:tcPr>
            <w:tcW w:w="1105" w:type="dxa"/>
            <w:shd w:val="clear" w:color="auto" w:fill="BFBFBF" w:themeFill="background1" w:themeFillShade="BF"/>
            <w:vAlign w:val="bottom"/>
          </w:tcPr>
          <w:p w14:paraId="013D67FC" w14:textId="7F79C34D" w:rsidR="004E6452" w:rsidRPr="001570EA" w:rsidRDefault="004E6452">
            <w:pPr>
              <w:spacing w:before="80" w:after="80"/>
              <w:jc w:val="center"/>
              <w:rPr>
                <w:rFonts w:cs="Arial"/>
                <w:b/>
                <w:bCs/>
                <w:color w:val="000000"/>
                <w:sz w:val="18"/>
                <w:szCs w:val="18"/>
              </w:rPr>
            </w:pPr>
            <w:r w:rsidRPr="001570EA">
              <w:rPr>
                <w:rFonts w:cs="Arial"/>
                <w:b/>
                <w:bCs/>
                <w:color w:val="000000"/>
                <w:sz w:val="18"/>
                <w:szCs w:val="18"/>
              </w:rPr>
              <w:t>Assumed Adjusted Volume of Unit (cubic feet)</w:t>
            </w:r>
            <w:r w:rsidRPr="001570EA">
              <w:rPr>
                <w:vertAlign w:val="superscript"/>
              </w:rPr>
              <w:t>Source 6</w:t>
            </w:r>
          </w:p>
        </w:tc>
        <w:tc>
          <w:tcPr>
            <w:tcW w:w="1314" w:type="dxa"/>
            <w:shd w:val="clear" w:color="auto" w:fill="BFBFBF" w:themeFill="background1" w:themeFillShade="BF"/>
            <w:vAlign w:val="bottom"/>
          </w:tcPr>
          <w:p w14:paraId="2BCAD5D0" w14:textId="77777777" w:rsidR="004E6452" w:rsidRPr="001570EA" w:rsidRDefault="004E6452">
            <w:pPr>
              <w:spacing w:before="80" w:after="80"/>
              <w:jc w:val="center"/>
              <w:rPr>
                <w:rFonts w:cs="Arial"/>
                <w:b/>
                <w:bCs/>
                <w:color w:val="000000"/>
                <w:sz w:val="18"/>
                <w:szCs w:val="18"/>
              </w:rPr>
            </w:pPr>
            <w:r w:rsidRPr="001570EA">
              <w:rPr>
                <w:rFonts w:cs="Arial"/>
                <w:b/>
                <w:bCs/>
                <w:color w:val="000000"/>
                <w:sz w:val="18"/>
                <w:szCs w:val="18"/>
              </w:rPr>
              <w:t>Time Period</w:t>
            </w:r>
          </w:p>
        </w:tc>
        <w:tc>
          <w:tcPr>
            <w:tcW w:w="1072" w:type="dxa"/>
            <w:shd w:val="clear" w:color="auto" w:fill="BFBFBF" w:themeFill="background1" w:themeFillShade="BF"/>
            <w:vAlign w:val="bottom"/>
          </w:tcPr>
          <w:p w14:paraId="1F7946EF" w14:textId="77777777" w:rsidR="004E6452" w:rsidRPr="001570EA" w:rsidRDefault="004E6452">
            <w:pPr>
              <w:spacing w:before="80" w:after="80"/>
              <w:jc w:val="center"/>
              <w:rPr>
                <w:rFonts w:cs="Arial"/>
                <w:b/>
                <w:bCs/>
                <w:color w:val="000000"/>
                <w:sz w:val="18"/>
                <w:szCs w:val="18"/>
              </w:rPr>
            </w:pPr>
            <w:r w:rsidRPr="001570EA">
              <w:rPr>
                <w:rFonts w:cs="Arial"/>
                <w:b/>
                <w:bCs/>
                <w:color w:val="000000"/>
                <w:sz w:val="18"/>
                <w:szCs w:val="18"/>
              </w:rPr>
              <w:t>ΔkWh/yr</w:t>
            </w:r>
          </w:p>
        </w:tc>
        <w:tc>
          <w:tcPr>
            <w:tcW w:w="1170" w:type="dxa"/>
            <w:shd w:val="clear" w:color="auto" w:fill="BFBFBF" w:themeFill="background1" w:themeFillShade="BF"/>
            <w:noWrap/>
            <w:vAlign w:val="bottom"/>
            <w:hideMark/>
          </w:tcPr>
          <w:p w14:paraId="0AA310E9" w14:textId="77777777" w:rsidR="004E6452" w:rsidRPr="001570EA" w:rsidRDefault="004E6452">
            <w:pPr>
              <w:spacing w:before="80" w:after="80"/>
              <w:jc w:val="center"/>
              <w:rPr>
                <w:rFonts w:cs="Arial"/>
                <w:b/>
                <w:bCs/>
                <w:color w:val="000000"/>
                <w:sz w:val="18"/>
                <w:szCs w:val="18"/>
                <w:vertAlign w:val="subscript"/>
              </w:rPr>
            </w:pPr>
            <w:r w:rsidRPr="001570EA">
              <w:rPr>
                <w:rFonts w:cs="Arial"/>
                <w:b/>
                <w:bCs/>
                <w:color w:val="000000"/>
                <w:sz w:val="18"/>
                <w:szCs w:val="18"/>
              </w:rPr>
              <w:t>ΔkW</w:t>
            </w:r>
            <w:r w:rsidRPr="001570EA">
              <w:rPr>
                <w:rFonts w:cs="Arial"/>
                <w:b/>
                <w:bCs/>
                <w:color w:val="000000"/>
                <w:sz w:val="18"/>
                <w:szCs w:val="18"/>
                <w:vertAlign w:val="subscript"/>
              </w:rPr>
              <w:t>summer peak</w:t>
            </w:r>
          </w:p>
        </w:tc>
        <w:tc>
          <w:tcPr>
            <w:tcW w:w="1072" w:type="dxa"/>
            <w:shd w:val="clear" w:color="auto" w:fill="BFBFBF" w:themeFill="background1" w:themeFillShade="BF"/>
            <w:vAlign w:val="bottom"/>
          </w:tcPr>
          <w:p w14:paraId="2CCC80D1" w14:textId="77777777" w:rsidR="004E6452" w:rsidRPr="001570EA" w:rsidRDefault="004E6452">
            <w:pPr>
              <w:spacing w:before="80" w:after="80"/>
              <w:jc w:val="center"/>
              <w:rPr>
                <w:rFonts w:cs="Arial"/>
                <w:b/>
                <w:bCs/>
                <w:color w:val="000000"/>
                <w:sz w:val="18"/>
                <w:szCs w:val="18"/>
              </w:rPr>
            </w:pPr>
          </w:p>
          <w:p w14:paraId="3C769CAB" w14:textId="77777777" w:rsidR="004E6452" w:rsidRPr="001570EA" w:rsidRDefault="004E6452">
            <w:pPr>
              <w:spacing w:before="80" w:after="80"/>
              <w:jc w:val="center"/>
              <w:rPr>
                <w:rFonts w:cs="Arial"/>
                <w:b/>
                <w:bCs/>
                <w:color w:val="000000"/>
                <w:sz w:val="18"/>
                <w:szCs w:val="18"/>
              </w:rPr>
            </w:pPr>
          </w:p>
          <w:p w14:paraId="2D6519F0" w14:textId="77777777" w:rsidR="004E6452" w:rsidRPr="001570EA" w:rsidRDefault="004E6452">
            <w:pPr>
              <w:spacing w:before="80" w:after="80"/>
              <w:jc w:val="center"/>
              <w:rPr>
                <w:rFonts w:cs="Arial"/>
                <w:b/>
                <w:bCs/>
                <w:color w:val="000000"/>
                <w:sz w:val="18"/>
                <w:szCs w:val="18"/>
              </w:rPr>
            </w:pPr>
            <w:r w:rsidRPr="001570EA">
              <w:rPr>
                <w:rFonts w:cs="Arial"/>
                <w:b/>
                <w:bCs/>
                <w:color w:val="000000"/>
                <w:sz w:val="18"/>
                <w:szCs w:val="18"/>
              </w:rPr>
              <w:t>ΔkW</w:t>
            </w:r>
            <w:r w:rsidRPr="001570EA">
              <w:rPr>
                <w:rFonts w:cs="Arial"/>
                <w:b/>
                <w:bCs/>
                <w:color w:val="000000"/>
                <w:sz w:val="18"/>
                <w:szCs w:val="18"/>
                <w:vertAlign w:val="subscript"/>
              </w:rPr>
              <w:t>winter peak</w:t>
            </w:r>
          </w:p>
        </w:tc>
      </w:tr>
      <w:tr w:rsidR="004E6452" w:rsidRPr="001570EA" w14:paraId="71CB483F" w14:textId="77777777">
        <w:trPr>
          <w:trHeight w:val="299"/>
        </w:trPr>
        <w:tc>
          <w:tcPr>
            <w:tcW w:w="2630" w:type="dxa"/>
            <w:noWrap/>
          </w:tcPr>
          <w:p w14:paraId="24AC0582" w14:textId="77777777" w:rsidR="004E6452" w:rsidRPr="001570EA" w:rsidRDefault="004E6452">
            <w:pPr>
              <w:spacing w:before="80" w:after="80"/>
              <w:jc w:val="left"/>
              <w:rPr>
                <w:rFonts w:cs="Arial"/>
                <w:color w:val="000000"/>
                <w:sz w:val="18"/>
                <w:szCs w:val="18"/>
              </w:rPr>
            </w:pPr>
            <w:r w:rsidRPr="001570EA">
              <w:rPr>
                <w:rFonts w:cs="Arial"/>
                <w:color w:val="000000"/>
                <w:sz w:val="18"/>
                <w:szCs w:val="18"/>
              </w:rPr>
              <w:t>3. Refrigerator-freezers—automatic defrost with top-mounted freezer without an automatic icemaker.</w:t>
            </w:r>
          </w:p>
        </w:tc>
        <w:tc>
          <w:tcPr>
            <w:tcW w:w="1105" w:type="dxa"/>
            <w:vAlign w:val="center"/>
          </w:tcPr>
          <w:p w14:paraId="765C15CE" w14:textId="77777777" w:rsidR="004E6452" w:rsidRPr="001570EA" w:rsidDel="008364F5" w:rsidRDefault="004E6452">
            <w:pPr>
              <w:spacing w:before="80" w:after="80"/>
              <w:jc w:val="center"/>
              <w:rPr>
                <w:rFonts w:cs="Arial"/>
                <w:color w:val="000000"/>
                <w:sz w:val="18"/>
                <w:szCs w:val="18"/>
              </w:rPr>
            </w:pPr>
            <w:r w:rsidRPr="001570EA">
              <w:rPr>
                <w:rFonts w:cs="Arial"/>
                <w:color w:val="000000"/>
                <w:sz w:val="18"/>
                <w:szCs w:val="18"/>
              </w:rPr>
              <w:t>18.6</w:t>
            </w:r>
          </w:p>
        </w:tc>
        <w:tc>
          <w:tcPr>
            <w:tcW w:w="1314" w:type="dxa"/>
            <w:noWrap/>
            <w:vAlign w:val="center"/>
          </w:tcPr>
          <w:p w14:paraId="45BD67E9" w14:textId="77777777" w:rsidR="004E6452" w:rsidRPr="001570EA" w:rsidDel="008364F5" w:rsidRDefault="004E6452">
            <w:pPr>
              <w:spacing w:before="80" w:after="80"/>
              <w:jc w:val="center"/>
              <w:rPr>
                <w:rFonts w:cs="Arial"/>
                <w:color w:val="000000"/>
                <w:sz w:val="18"/>
                <w:szCs w:val="18"/>
              </w:rPr>
            </w:pPr>
            <w:r w:rsidRPr="001570EA">
              <w:rPr>
                <w:rFonts w:cs="Arial"/>
                <w:color w:val="000000"/>
                <w:sz w:val="18"/>
                <w:szCs w:val="18"/>
              </w:rPr>
              <w:t>9/15/14 - 1/30/30</w:t>
            </w:r>
          </w:p>
        </w:tc>
        <w:tc>
          <w:tcPr>
            <w:tcW w:w="1072" w:type="dxa"/>
            <w:noWrap/>
            <w:vAlign w:val="center"/>
          </w:tcPr>
          <w:p w14:paraId="0E483B07" w14:textId="77777777" w:rsidR="004E6452" w:rsidRPr="001570EA" w:rsidDel="008364F5" w:rsidRDefault="004E6452">
            <w:pPr>
              <w:spacing w:before="80" w:after="80"/>
              <w:jc w:val="center"/>
              <w:rPr>
                <w:rFonts w:cs="Arial"/>
                <w:color w:val="000000"/>
                <w:sz w:val="18"/>
                <w:szCs w:val="18"/>
              </w:rPr>
            </w:pPr>
            <w:r w:rsidRPr="001570EA">
              <w:rPr>
                <w:rFonts w:cs="Arial"/>
                <w:color w:val="000000"/>
                <w:sz w:val="18"/>
                <w:szCs w:val="18"/>
              </w:rPr>
              <w:t>38</w:t>
            </w:r>
          </w:p>
        </w:tc>
        <w:tc>
          <w:tcPr>
            <w:tcW w:w="1170" w:type="dxa"/>
            <w:noWrap/>
            <w:vAlign w:val="center"/>
          </w:tcPr>
          <w:p w14:paraId="040D25CE"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0.0052065</w:t>
            </w:r>
          </w:p>
        </w:tc>
        <w:tc>
          <w:tcPr>
            <w:tcW w:w="1072" w:type="dxa"/>
            <w:vAlign w:val="center"/>
          </w:tcPr>
          <w:p w14:paraId="07701466"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0.0038991</w:t>
            </w:r>
          </w:p>
        </w:tc>
      </w:tr>
      <w:tr w:rsidR="004E6452" w:rsidRPr="001570EA" w14:paraId="7041064A" w14:textId="77777777">
        <w:trPr>
          <w:trHeight w:val="299"/>
        </w:trPr>
        <w:tc>
          <w:tcPr>
            <w:tcW w:w="2630" w:type="dxa"/>
            <w:noWrap/>
            <w:vAlign w:val="center"/>
            <w:hideMark/>
          </w:tcPr>
          <w:p w14:paraId="1E9F85C3" w14:textId="77777777" w:rsidR="004E6452" w:rsidRPr="001570EA" w:rsidRDefault="004E6452">
            <w:pPr>
              <w:spacing w:before="80" w:after="80"/>
              <w:jc w:val="left"/>
              <w:rPr>
                <w:rFonts w:cs="Arial"/>
                <w:color w:val="000000"/>
                <w:sz w:val="18"/>
                <w:szCs w:val="18"/>
              </w:rPr>
            </w:pPr>
            <w:r w:rsidRPr="001570EA">
              <w:rPr>
                <w:rFonts w:cs="Arial"/>
                <w:color w:val="000000"/>
                <w:sz w:val="18"/>
                <w:szCs w:val="18"/>
              </w:rPr>
              <w:t>3I. Refrigerator-freezers—automatic defrost with top-mounted freezer with an automatic icemaker without through-the-door ice service.</w:t>
            </w:r>
          </w:p>
        </w:tc>
        <w:tc>
          <w:tcPr>
            <w:tcW w:w="1105" w:type="dxa"/>
            <w:vAlign w:val="center"/>
          </w:tcPr>
          <w:p w14:paraId="68DB3A77"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21.9</w:t>
            </w:r>
          </w:p>
        </w:tc>
        <w:tc>
          <w:tcPr>
            <w:tcW w:w="1314" w:type="dxa"/>
            <w:noWrap/>
            <w:vAlign w:val="center"/>
          </w:tcPr>
          <w:p w14:paraId="3D5EE303"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9/15/14 - 1/30/29</w:t>
            </w:r>
          </w:p>
        </w:tc>
        <w:tc>
          <w:tcPr>
            <w:tcW w:w="1072" w:type="dxa"/>
            <w:noWrap/>
            <w:vAlign w:val="center"/>
          </w:tcPr>
          <w:p w14:paraId="7C37C69F"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41</w:t>
            </w:r>
          </w:p>
        </w:tc>
        <w:tc>
          <w:tcPr>
            <w:tcW w:w="1170" w:type="dxa"/>
            <w:noWrap/>
            <w:vAlign w:val="center"/>
          </w:tcPr>
          <w:p w14:paraId="02CBCE7B"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0.0055680</w:t>
            </w:r>
          </w:p>
        </w:tc>
        <w:tc>
          <w:tcPr>
            <w:tcW w:w="1072" w:type="dxa"/>
            <w:vAlign w:val="center"/>
          </w:tcPr>
          <w:p w14:paraId="5FBCFCF4"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0.0041698</w:t>
            </w:r>
          </w:p>
        </w:tc>
      </w:tr>
      <w:tr w:rsidR="004E6452" w:rsidRPr="001570EA" w14:paraId="03A250B1" w14:textId="77777777">
        <w:trPr>
          <w:trHeight w:val="299"/>
        </w:trPr>
        <w:tc>
          <w:tcPr>
            <w:tcW w:w="2630" w:type="dxa"/>
            <w:noWrap/>
            <w:vAlign w:val="center"/>
          </w:tcPr>
          <w:p w14:paraId="099B3A13" w14:textId="77777777" w:rsidR="004E6452" w:rsidRPr="001570EA" w:rsidRDefault="004E6452">
            <w:pPr>
              <w:spacing w:before="80" w:after="80"/>
              <w:jc w:val="left"/>
              <w:rPr>
                <w:rFonts w:cs="Arial"/>
                <w:color w:val="000000"/>
                <w:sz w:val="18"/>
                <w:szCs w:val="18"/>
              </w:rPr>
            </w:pPr>
            <w:r w:rsidRPr="001570EA">
              <w:rPr>
                <w:rFonts w:cs="Arial"/>
                <w:color w:val="000000"/>
                <w:sz w:val="18"/>
                <w:szCs w:val="18"/>
              </w:rPr>
              <w:t>5. Refrigerator-freezers—automatic defrost with bottom-mounted freezer without an automatic ice maker</w:t>
            </w:r>
          </w:p>
        </w:tc>
        <w:tc>
          <w:tcPr>
            <w:tcW w:w="1105" w:type="dxa"/>
            <w:vAlign w:val="center"/>
          </w:tcPr>
          <w:p w14:paraId="230FA1AD"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29.8</w:t>
            </w:r>
          </w:p>
        </w:tc>
        <w:tc>
          <w:tcPr>
            <w:tcW w:w="1314" w:type="dxa"/>
            <w:noWrap/>
            <w:vAlign w:val="center"/>
          </w:tcPr>
          <w:p w14:paraId="29BA3B39"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9/15/14 - 1/30/30</w:t>
            </w:r>
          </w:p>
        </w:tc>
        <w:tc>
          <w:tcPr>
            <w:tcW w:w="1072" w:type="dxa"/>
            <w:noWrap/>
            <w:vAlign w:val="center"/>
          </w:tcPr>
          <w:p w14:paraId="687EB739"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49</w:t>
            </w:r>
          </w:p>
        </w:tc>
        <w:tc>
          <w:tcPr>
            <w:tcW w:w="1170" w:type="dxa"/>
            <w:noWrap/>
            <w:vAlign w:val="center"/>
          </w:tcPr>
          <w:p w14:paraId="6047E46A"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0.0066335</w:t>
            </w:r>
          </w:p>
        </w:tc>
        <w:tc>
          <w:tcPr>
            <w:tcW w:w="1072" w:type="dxa"/>
            <w:vAlign w:val="center"/>
          </w:tcPr>
          <w:p w14:paraId="4112A720"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0.0049677</w:t>
            </w:r>
          </w:p>
        </w:tc>
      </w:tr>
      <w:tr w:rsidR="004E6452" w:rsidRPr="001570EA" w14:paraId="68C766CE" w14:textId="77777777">
        <w:trPr>
          <w:trHeight w:val="299"/>
        </w:trPr>
        <w:tc>
          <w:tcPr>
            <w:tcW w:w="2630" w:type="dxa"/>
            <w:noWrap/>
            <w:vAlign w:val="center"/>
          </w:tcPr>
          <w:p w14:paraId="04FE5685" w14:textId="77777777" w:rsidR="004E6452" w:rsidRPr="001570EA" w:rsidRDefault="004E6452">
            <w:pPr>
              <w:spacing w:before="80" w:after="80"/>
              <w:jc w:val="left"/>
              <w:rPr>
                <w:rFonts w:cs="Arial"/>
                <w:color w:val="000000"/>
                <w:sz w:val="18"/>
                <w:szCs w:val="18"/>
              </w:rPr>
            </w:pPr>
            <w:r w:rsidRPr="001570EA">
              <w:rPr>
                <w:rFonts w:cs="Arial"/>
                <w:color w:val="000000"/>
                <w:sz w:val="18"/>
                <w:szCs w:val="18"/>
              </w:rPr>
              <w:t>5I. Refrigerator-freezers—automatic defrost with bottom-mounted freezer with an automatic icemaker without through-the-door ice service.</w:t>
            </w:r>
          </w:p>
        </w:tc>
        <w:tc>
          <w:tcPr>
            <w:tcW w:w="1105" w:type="dxa"/>
            <w:vAlign w:val="center"/>
          </w:tcPr>
          <w:p w14:paraId="2C49D2FB"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18.6</w:t>
            </w:r>
          </w:p>
        </w:tc>
        <w:tc>
          <w:tcPr>
            <w:tcW w:w="1314" w:type="dxa"/>
            <w:noWrap/>
            <w:vAlign w:val="center"/>
          </w:tcPr>
          <w:p w14:paraId="272FB689"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9/15/14 - 1/30/29</w:t>
            </w:r>
          </w:p>
        </w:tc>
        <w:tc>
          <w:tcPr>
            <w:tcW w:w="1072" w:type="dxa"/>
            <w:noWrap/>
            <w:vAlign w:val="center"/>
          </w:tcPr>
          <w:p w14:paraId="6C7A66F4"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59</w:t>
            </w:r>
          </w:p>
        </w:tc>
        <w:tc>
          <w:tcPr>
            <w:tcW w:w="1170" w:type="dxa"/>
            <w:noWrap/>
            <w:vAlign w:val="center"/>
          </w:tcPr>
          <w:p w14:paraId="2ECC9FE5"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0.0079979</w:t>
            </w:r>
          </w:p>
        </w:tc>
        <w:tc>
          <w:tcPr>
            <w:tcW w:w="1072" w:type="dxa"/>
            <w:vAlign w:val="center"/>
          </w:tcPr>
          <w:p w14:paraId="7B1ED467"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0.0059896</w:t>
            </w:r>
          </w:p>
        </w:tc>
      </w:tr>
      <w:tr w:rsidR="004E6452" w:rsidRPr="001570EA" w14:paraId="220238C0" w14:textId="77777777">
        <w:trPr>
          <w:trHeight w:val="299"/>
        </w:trPr>
        <w:tc>
          <w:tcPr>
            <w:tcW w:w="2630" w:type="dxa"/>
            <w:noWrap/>
          </w:tcPr>
          <w:p w14:paraId="44BFE28C" w14:textId="77777777" w:rsidR="004E6452" w:rsidRPr="001570EA" w:rsidRDefault="004E6452">
            <w:pPr>
              <w:spacing w:before="80" w:after="80"/>
              <w:jc w:val="left"/>
              <w:rPr>
                <w:rFonts w:cs="Arial"/>
                <w:color w:val="000000"/>
                <w:sz w:val="18"/>
                <w:szCs w:val="18"/>
              </w:rPr>
            </w:pPr>
            <w:r w:rsidRPr="001570EA">
              <w:rPr>
                <w:rFonts w:cs="Arial"/>
                <w:color w:val="000000"/>
                <w:sz w:val="18"/>
                <w:szCs w:val="18"/>
              </w:rPr>
              <w:t>5A. Refrigerator-freezer—automatic defrost with bottom-mounted freezer with through-the-door ice service.</w:t>
            </w:r>
          </w:p>
        </w:tc>
        <w:tc>
          <w:tcPr>
            <w:tcW w:w="1105" w:type="dxa"/>
            <w:vAlign w:val="center"/>
          </w:tcPr>
          <w:p w14:paraId="1062FC6A" w14:textId="77777777" w:rsidR="004E6452" w:rsidRPr="001570EA" w:rsidDel="00795D84" w:rsidRDefault="004E6452">
            <w:pPr>
              <w:spacing w:before="80" w:after="80"/>
              <w:jc w:val="center"/>
              <w:rPr>
                <w:rFonts w:cs="Arial"/>
                <w:color w:val="000000"/>
                <w:sz w:val="18"/>
                <w:szCs w:val="18"/>
              </w:rPr>
            </w:pPr>
            <w:r w:rsidRPr="001570EA">
              <w:rPr>
                <w:rFonts w:cs="Arial"/>
                <w:color w:val="000000"/>
                <w:sz w:val="18"/>
                <w:szCs w:val="18"/>
              </w:rPr>
              <w:t>21.9</w:t>
            </w:r>
          </w:p>
        </w:tc>
        <w:tc>
          <w:tcPr>
            <w:tcW w:w="1314" w:type="dxa"/>
            <w:noWrap/>
            <w:vAlign w:val="center"/>
          </w:tcPr>
          <w:p w14:paraId="407A2308" w14:textId="77777777" w:rsidR="004E6452" w:rsidRPr="001570EA" w:rsidDel="00795D84" w:rsidRDefault="004E6452">
            <w:pPr>
              <w:spacing w:before="80" w:after="80"/>
              <w:jc w:val="center"/>
              <w:rPr>
                <w:rFonts w:cs="Arial"/>
                <w:color w:val="000000"/>
                <w:sz w:val="18"/>
                <w:szCs w:val="18"/>
              </w:rPr>
            </w:pPr>
            <w:r w:rsidRPr="001570EA">
              <w:rPr>
                <w:rFonts w:cs="Arial"/>
                <w:color w:val="000000"/>
                <w:sz w:val="18"/>
                <w:szCs w:val="18"/>
              </w:rPr>
              <w:t>9/15/14 - 1/30/29</w:t>
            </w:r>
          </w:p>
        </w:tc>
        <w:tc>
          <w:tcPr>
            <w:tcW w:w="1072" w:type="dxa"/>
            <w:noWrap/>
            <w:vAlign w:val="center"/>
          </w:tcPr>
          <w:p w14:paraId="289ED069" w14:textId="77777777" w:rsidR="004E6452" w:rsidRPr="001570EA" w:rsidDel="00795D84" w:rsidRDefault="004E6452">
            <w:pPr>
              <w:spacing w:before="80" w:after="80"/>
              <w:jc w:val="center"/>
              <w:rPr>
                <w:rFonts w:cs="Arial"/>
                <w:color w:val="000000"/>
                <w:sz w:val="18"/>
                <w:szCs w:val="18"/>
              </w:rPr>
            </w:pPr>
            <w:r w:rsidRPr="001570EA">
              <w:rPr>
                <w:rFonts w:cs="Arial"/>
                <w:color w:val="000000"/>
                <w:sz w:val="18"/>
                <w:szCs w:val="18"/>
              </w:rPr>
              <w:t>64</w:t>
            </w:r>
          </w:p>
        </w:tc>
        <w:tc>
          <w:tcPr>
            <w:tcW w:w="1170" w:type="dxa"/>
            <w:noWrap/>
            <w:vAlign w:val="center"/>
          </w:tcPr>
          <w:p w14:paraId="6FAE1233"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0.0086118</w:t>
            </w:r>
          </w:p>
        </w:tc>
        <w:tc>
          <w:tcPr>
            <w:tcW w:w="1072" w:type="dxa"/>
            <w:vAlign w:val="center"/>
          </w:tcPr>
          <w:p w14:paraId="03FD285D"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0.0064493</w:t>
            </w:r>
          </w:p>
        </w:tc>
      </w:tr>
      <w:tr w:rsidR="004E6452" w:rsidRPr="001570EA" w14:paraId="72FCFD0F" w14:textId="77777777">
        <w:trPr>
          <w:trHeight w:val="299"/>
        </w:trPr>
        <w:tc>
          <w:tcPr>
            <w:tcW w:w="2630" w:type="dxa"/>
            <w:noWrap/>
            <w:vAlign w:val="center"/>
          </w:tcPr>
          <w:p w14:paraId="4A47E3BC" w14:textId="77777777" w:rsidR="004E6452" w:rsidRPr="001570EA" w:rsidRDefault="004E6452">
            <w:pPr>
              <w:spacing w:before="80" w:after="80"/>
              <w:jc w:val="left"/>
              <w:rPr>
                <w:rFonts w:cs="Arial"/>
                <w:color w:val="000000"/>
                <w:sz w:val="18"/>
                <w:szCs w:val="18"/>
              </w:rPr>
            </w:pPr>
            <w:r w:rsidRPr="001570EA">
              <w:rPr>
                <w:rFonts w:cs="Arial"/>
                <w:color w:val="000000"/>
                <w:sz w:val="18"/>
                <w:szCs w:val="18"/>
              </w:rPr>
              <w:t>7. Refrigerator-freezers—automatic defrost with side-mounted freezer with through-the-door ice service.</w:t>
            </w:r>
          </w:p>
        </w:tc>
        <w:tc>
          <w:tcPr>
            <w:tcW w:w="1105" w:type="dxa"/>
            <w:vAlign w:val="center"/>
          </w:tcPr>
          <w:p w14:paraId="42F86FCC"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29.8</w:t>
            </w:r>
          </w:p>
        </w:tc>
        <w:tc>
          <w:tcPr>
            <w:tcW w:w="1314" w:type="dxa"/>
            <w:noWrap/>
            <w:vAlign w:val="center"/>
          </w:tcPr>
          <w:p w14:paraId="4FE5D068"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9/15/14 - 1/30/30</w:t>
            </w:r>
          </w:p>
        </w:tc>
        <w:tc>
          <w:tcPr>
            <w:tcW w:w="1072" w:type="dxa"/>
            <w:noWrap/>
            <w:vAlign w:val="center"/>
          </w:tcPr>
          <w:p w14:paraId="3E7903D1"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60</w:t>
            </w:r>
          </w:p>
        </w:tc>
        <w:tc>
          <w:tcPr>
            <w:tcW w:w="1170" w:type="dxa"/>
            <w:noWrap/>
            <w:vAlign w:val="center"/>
          </w:tcPr>
          <w:p w14:paraId="43944131"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0.0081494</w:t>
            </w:r>
          </w:p>
        </w:tc>
        <w:tc>
          <w:tcPr>
            <w:tcW w:w="1072" w:type="dxa"/>
            <w:vAlign w:val="center"/>
          </w:tcPr>
          <w:p w14:paraId="2995CD98"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0.0061030</w:t>
            </w:r>
          </w:p>
        </w:tc>
      </w:tr>
    </w:tbl>
    <w:p w14:paraId="6E85152B" w14:textId="77777777" w:rsidR="004E6452" w:rsidRPr="001570EA" w:rsidRDefault="004E6452" w:rsidP="004E6452">
      <w:pPr>
        <w:pStyle w:val="Caption"/>
        <w:spacing w:after="0"/>
        <w:rPr>
          <w:rFonts w:ascii="Arial" w:hAnsi="Arial"/>
          <w:b w:val="0"/>
        </w:rPr>
      </w:pPr>
    </w:p>
    <w:p w14:paraId="028A020B" w14:textId="528FCFF4" w:rsidR="004E6452" w:rsidRPr="001570EA" w:rsidRDefault="004E6452" w:rsidP="004E6452">
      <w:pPr>
        <w:pStyle w:val="Caption"/>
      </w:pPr>
      <w:bookmarkStart w:id="544" w:name="_Ref160039324"/>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85</w:t>
      </w:r>
      <w:r w:rsidR="002E093A" w:rsidRPr="001570EA">
        <w:fldChar w:fldCharType="end"/>
      </w:r>
      <w:bookmarkEnd w:id="540"/>
      <w:bookmarkEnd w:id="544"/>
      <w:r w:rsidRPr="001570EA">
        <w:t>: Default Savings Values for ENERGY STAR Most Efficient Refrigerators</w:t>
      </w:r>
      <w:bookmarkEnd w:id="541"/>
      <w:bookmarkEnd w:id="542"/>
    </w:p>
    <w:tbl>
      <w:tblPr>
        <w:tblW w:w="8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1105"/>
        <w:gridCol w:w="1314"/>
        <w:gridCol w:w="1072"/>
        <w:gridCol w:w="1170"/>
        <w:gridCol w:w="1072"/>
      </w:tblGrid>
      <w:tr w:rsidR="004E6452" w:rsidRPr="001570EA" w14:paraId="673D8CDF" w14:textId="77777777">
        <w:trPr>
          <w:trHeight w:val="1142"/>
          <w:tblHeader/>
        </w:trPr>
        <w:tc>
          <w:tcPr>
            <w:tcW w:w="2630" w:type="dxa"/>
            <w:shd w:val="clear" w:color="auto" w:fill="BFBFBF" w:themeFill="background1" w:themeFillShade="BF"/>
            <w:noWrap/>
            <w:vAlign w:val="bottom"/>
            <w:hideMark/>
          </w:tcPr>
          <w:p w14:paraId="037D175F" w14:textId="77777777" w:rsidR="004E6452" w:rsidRPr="001570EA" w:rsidRDefault="004E6452">
            <w:pPr>
              <w:spacing w:before="80" w:after="80"/>
              <w:rPr>
                <w:rFonts w:cs="Arial"/>
                <w:b/>
                <w:bCs/>
                <w:color w:val="000000"/>
                <w:sz w:val="18"/>
                <w:szCs w:val="18"/>
              </w:rPr>
            </w:pPr>
            <w:r w:rsidRPr="001570EA">
              <w:rPr>
                <w:rFonts w:cs="Arial"/>
                <w:b/>
                <w:bCs/>
                <w:color w:val="000000"/>
                <w:sz w:val="18"/>
                <w:szCs w:val="18"/>
              </w:rPr>
              <w:t>Refrigerator Category</w:t>
            </w:r>
          </w:p>
        </w:tc>
        <w:tc>
          <w:tcPr>
            <w:tcW w:w="1105" w:type="dxa"/>
            <w:shd w:val="clear" w:color="auto" w:fill="BFBFBF" w:themeFill="background1" w:themeFillShade="BF"/>
            <w:vAlign w:val="bottom"/>
          </w:tcPr>
          <w:p w14:paraId="70F653E7" w14:textId="7D4662D2" w:rsidR="004E6452" w:rsidRPr="001570EA" w:rsidRDefault="004E6452">
            <w:pPr>
              <w:spacing w:before="80" w:after="80"/>
              <w:jc w:val="center"/>
              <w:rPr>
                <w:rFonts w:cs="Arial"/>
                <w:b/>
                <w:bCs/>
                <w:color w:val="000000"/>
                <w:sz w:val="18"/>
                <w:szCs w:val="18"/>
              </w:rPr>
            </w:pPr>
            <w:r w:rsidRPr="001570EA">
              <w:rPr>
                <w:rFonts w:cs="Arial"/>
                <w:b/>
                <w:bCs/>
                <w:color w:val="000000"/>
                <w:sz w:val="18"/>
                <w:szCs w:val="18"/>
              </w:rPr>
              <w:t>Assumed Adjusted Volume of Unit (cubic feet)</w:t>
            </w:r>
            <w:r w:rsidRPr="001570EA">
              <w:rPr>
                <w:vertAlign w:val="superscript"/>
              </w:rPr>
              <w:t>Source 6</w:t>
            </w:r>
          </w:p>
        </w:tc>
        <w:tc>
          <w:tcPr>
            <w:tcW w:w="1314" w:type="dxa"/>
            <w:shd w:val="clear" w:color="auto" w:fill="BFBFBF" w:themeFill="background1" w:themeFillShade="BF"/>
            <w:vAlign w:val="bottom"/>
          </w:tcPr>
          <w:p w14:paraId="34FDC530" w14:textId="77777777" w:rsidR="004E6452" w:rsidRPr="001570EA" w:rsidRDefault="004E6452">
            <w:pPr>
              <w:spacing w:before="80" w:after="80"/>
              <w:jc w:val="center"/>
              <w:rPr>
                <w:rFonts w:cs="Arial"/>
                <w:b/>
                <w:bCs/>
                <w:color w:val="000000"/>
                <w:sz w:val="18"/>
                <w:szCs w:val="18"/>
              </w:rPr>
            </w:pPr>
            <w:r w:rsidRPr="001570EA">
              <w:rPr>
                <w:rFonts w:cs="Arial"/>
                <w:b/>
                <w:bCs/>
                <w:color w:val="000000"/>
                <w:sz w:val="18"/>
                <w:szCs w:val="18"/>
              </w:rPr>
              <w:t>Time Period</w:t>
            </w:r>
          </w:p>
        </w:tc>
        <w:tc>
          <w:tcPr>
            <w:tcW w:w="1072" w:type="dxa"/>
            <w:shd w:val="clear" w:color="auto" w:fill="BFBFBF" w:themeFill="background1" w:themeFillShade="BF"/>
            <w:vAlign w:val="bottom"/>
          </w:tcPr>
          <w:p w14:paraId="06828BF2" w14:textId="77777777" w:rsidR="004E6452" w:rsidRPr="001570EA" w:rsidRDefault="004E6452">
            <w:pPr>
              <w:spacing w:before="80" w:after="80"/>
              <w:jc w:val="center"/>
              <w:rPr>
                <w:rFonts w:cs="Arial"/>
                <w:b/>
                <w:bCs/>
                <w:color w:val="000000"/>
                <w:sz w:val="18"/>
                <w:szCs w:val="18"/>
              </w:rPr>
            </w:pPr>
            <w:r w:rsidRPr="001570EA">
              <w:rPr>
                <w:rFonts w:cs="Arial"/>
                <w:b/>
                <w:bCs/>
                <w:color w:val="000000"/>
                <w:sz w:val="18"/>
                <w:szCs w:val="18"/>
              </w:rPr>
              <w:t>ΔkWh/yr</w:t>
            </w:r>
          </w:p>
        </w:tc>
        <w:tc>
          <w:tcPr>
            <w:tcW w:w="1170" w:type="dxa"/>
            <w:shd w:val="clear" w:color="auto" w:fill="BFBFBF" w:themeFill="background1" w:themeFillShade="BF"/>
            <w:noWrap/>
            <w:vAlign w:val="bottom"/>
            <w:hideMark/>
          </w:tcPr>
          <w:p w14:paraId="593F7DA8" w14:textId="77777777" w:rsidR="004E6452" w:rsidRPr="001570EA" w:rsidRDefault="004E6452">
            <w:pPr>
              <w:spacing w:before="80" w:after="80"/>
              <w:jc w:val="center"/>
              <w:rPr>
                <w:rFonts w:cs="Arial"/>
                <w:b/>
                <w:bCs/>
                <w:color w:val="000000"/>
                <w:sz w:val="18"/>
                <w:szCs w:val="18"/>
                <w:vertAlign w:val="subscript"/>
              </w:rPr>
            </w:pPr>
            <w:r w:rsidRPr="001570EA">
              <w:rPr>
                <w:rFonts w:cs="Arial"/>
                <w:b/>
                <w:bCs/>
                <w:color w:val="000000"/>
                <w:sz w:val="18"/>
                <w:szCs w:val="18"/>
              </w:rPr>
              <w:t>ΔkW</w:t>
            </w:r>
            <w:r w:rsidRPr="001570EA">
              <w:rPr>
                <w:rFonts w:cs="Arial"/>
                <w:b/>
                <w:bCs/>
                <w:color w:val="000000"/>
                <w:sz w:val="18"/>
                <w:szCs w:val="18"/>
                <w:vertAlign w:val="subscript"/>
              </w:rPr>
              <w:t>summer peak</w:t>
            </w:r>
          </w:p>
        </w:tc>
        <w:tc>
          <w:tcPr>
            <w:tcW w:w="1072" w:type="dxa"/>
            <w:shd w:val="clear" w:color="auto" w:fill="BFBFBF" w:themeFill="background1" w:themeFillShade="BF"/>
            <w:vAlign w:val="bottom"/>
          </w:tcPr>
          <w:p w14:paraId="73C47F74" w14:textId="77777777" w:rsidR="004E6452" w:rsidRPr="001570EA" w:rsidRDefault="004E6452">
            <w:pPr>
              <w:spacing w:before="80" w:after="80"/>
              <w:jc w:val="center"/>
              <w:rPr>
                <w:rFonts w:cs="Arial"/>
                <w:b/>
                <w:bCs/>
                <w:color w:val="000000"/>
                <w:sz w:val="18"/>
                <w:szCs w:val="18"/>
              </w:rPr>
            </w:pPr>
          </w:p>
          <w:p w14:paraId="545A74C8" w14:textId="77777777" w:rsidR="004E6452" w:rsidRPr="001570EA" w:rsidRDefault="004E6452">
            <w:pPr>
              <w:spacing w:before="80" w:after="80"/>
              <w:jc w:val="center"/>
              <w:rPr>
                <w:rFonts w:cs="Arial"/>
                <w:b/>
                <w:bCs/>
                <w:color w:val="000000"/>
                <w:sz w:val="18"/>
                <w:szCs w:val="18"/>
              </w:rPr>
            </w:pPr>
          </w:p>
          <w:p w14:paraId="2D3F0F5F" w14:textId="77777777" w:rsidR="004E6452" w:rsidRPr="001570EA" w:rsidRDefault="004E6452">
            <w:pPr>
              <w:spacing w:before="80" w:after="80"/>
              <w:jc w:val="center"/>
              <w:rPr>
                <w:rFonts w:cs="Arial"/>
                <w:b/>
                <w:bCs/>
                <w:color w:val="000000"/>
                <w:sz w:val="18"/>
                <w:szCs w:val="18"/>
              </w:rPr>
            </w:pPr>
            <w:r w:rsidRPr="001570EA">
              <w:rPr>
                <w:rFonts w:cs="Arial"/>
                <w:b/>
                <w:bCs/>
                <w:color w:val="000000"/>
                <w:sz w:val="18"/>
                <w:szCs w:val="18"/>
              </w:rPr>
              <w:t>ΔkW</w:t>
            </w:r>
            <w:r w:rsidRPr="001570EA">
              <w:rPr>
                <w:rFonts w:cs="Arial"/>
                <w:b/>
                <w:bCs/>
                <w:color w:val="000000"/>
                <w:sz w:val="18"/>
                <w:szCs w:val="18"/>
                <w:vertAlign w:val="subscript"/>
              </w:rPr>
              <w:t>winter peak</w:t>
            </w:r>
          </w:p>
        </w:tc>
      </w:tr>
      <w:tr w:rsidR="004E6452" w:rsidRPr="001570EA" w14:paraId="0ACCCAF6" w14:textId="77777777">
        <w:trPr>
          <w:trHeight w:val="299"/>
        </w:trPr>
        <w:tc>
          <w:tcPr>
            <w:tcW w:w="2630" w:type="dxa"/>
            <w:vMerge w:val="restart"/>
            <w:noWrap/>
            <w:vAlign w:val="center"/>
          </w:tcPr>
          <w:p w14:paraId="3F522D4A" w14:textId="77777777" w:rsidR="004E6452" w:rsidRPr="001570EA" w:rsidRDefault="004E6452">
            <w:pPr>
              <w:spacing w:before="80" w:after="80"/>
              <w:jc w:val="left"/>
              <w:rPr>
                <w:rFonts w:cs="Arial"/>
                <w:color w:val="000000"/>
                <w:sz w:val="18"/>
                <w:szCs w:val="18"/>
              </w:rPr>
            </w:pPr>
            <w:r w:rsidRPr="001570EA">
              <w:rPr>
                <w:rFonts w:cs="Arial"/>
                <w:color w:val="000000"/>
                <w:sz w:val="18"/>
                <w:szCs w:val="18"/>
              </w:rPr>
              <w:t>5. Refrigerator-freezers—automatic defrost with bottom-mounted freezer without an automatic ice maker</w:t>
            </w:r>
          </w:p>
        </w:tc>
        <w:tc>
          <w:tcPr>
            <w:tcW w:w="1105" w:type="dxa"/>
            <w:vMerge w:val="restart"/>
            <w:vAlign w:val="center"/>
          </w:tcPr>
          <w:p w14:paraId="4EA04766"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29.8</w:t>
            </w:r>
          </w:p>
        </w:tc>
        <w:tc>
          <w:tcPr>
            <w:tcW w:w="1314" w:type="dxa"/>
            <w:noWrap/>
            <w:vAlign w:val="center"/>
          </w:tcPr>
          <w:p w14:paraId="75DFF3E3"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9/15/14 - 1/30/30</w:t>
            </w:r>
          </w:p>
        </w:tc>
        <w:tc>
          <w:tcPr>
            <w:tcW w:w="1072" w:type="dxa"/>
            <w:noWrap/>
            <w:vAlign w:val="center"/>
          </w:tcPr>
          <w:p w14:paraId="2B9C3185"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133</w:t>
            </w:r>
          </w:p>
        </w:tc>
        <w:tc>
          <w:tcPr>
            <w:tcW w:w="1170" w:type="dxa"/>
            <w:noWrap/>
            <w:vAlign w:val="center"/>
          </w:tcPr>
          <w:p w14:paraId="22247E14"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0.0179489</w:t>
            </w:r>
          </w:p>
        </w:tc>
        <w:tc>
          <w:tcPr>
            <w:tcW w:w="1072" w:type="dxa"/>
            <w:vAlign w:val="center"/>
          </w:tcPr>
          <w:p w14:paraId="6D059908"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0.0134418</w:t>
            </w:r>
          </w:p>
        </w:tc>
      </w:tr>
      <w:tr w:rsidR="004E6452" w:rsidRPr="001570EA" w14:paraId="17E5A6F0" w14:textId="77777777">
        <w:trPr>
          <w:trHeight w:val="299"/>
        </w:trPr>
        <w:tc>
          <w:tcPr>
            <w:tcW w:w="2630" w:type="dxa"/>
            <w:vMerge/>
            <w:noWrap/>
            <w:vAlign w:val="center"/>
          </w:tcPr>
          <w:p w14:paraId="6D92E700" w14:textId="77777777" w:rsidR="004E6452" w:rsidRPr="001570EA" w:rsidRDefault="004E6452">
            <w:pPr>
              <w:spacing w:before="80" w:after="80"/>
              <w:jc w:val="left"/>
              <w:rPr>
                <w:rFonts w:cs="Arial"/>
                <w:color w:val="000000"/>
                <w:sz w:val="18"/>
                <w:szCs w:val="18"/>
              </w:rPr>
            </w:pPr>
          </w:p>
        </w:tc>
        <w:tc>
          <w:tcPr>
            <w:tcW w:w="1105" w:type="dxa"/>
            <w:vMerge/>
            <w:vAlign w:val="center"/>
          </w:tcPr>
          <w:p w14:paraId="37B4EE93" w14:textId="77777777" w:rsidR="004E6452" w:rsidRPr="001570EA" w:rsidRDefault="004E6452">
            <w:pPr>
              <w:spacing w:before="80" w:after="80"/>
              <w:jc w:val="center"/>
              <w:rPr>
                <w:rFonts w:cs="Arial"/>
                <w:color w:val="000000"/>
                <w:sz w:val="18"/>
                <w:szCs w:val="18"/>
              </w:rPr>
            </w:pPr>
          </w:p>
        </w:tc>
        <w:tc>
          <w:tcPr>
            <w:tcW w:w="1314" w:type="dxa"/>
            <w:noWrap/>
            <w:vAlign w:val="center"/>
          </w:tcPr>
          <w:p w14:paraId="333155BE"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As of 1/31/30</w:t>
            </w:r>
          </w:p>
        </w:tc>
        <w:tc>
          <w:tcPr>
            <w:tcW w:w="1072" w:type="dxa"/>
            <w:noWrap/>
            <w:vAlign w:val="center"/>
          </w:tcPr>
          <w:p w14:paraId="06B339C9"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64</w:t>
            </w:r>
          </w:p>
        </w:tc>
        <w:tc>
          <w:tcPr>
            <w:tcW w:w="1170" w:type="dxa"/>
            <w:noWrap/>
            <w:vAlign w:val="center"/>
          </w:tcPr>
          <w:p w14:paraId="24BC8CBE"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0.0086381</w:t>
            </w:r>
          </w:p>
        </w:tc>
        <w:tc>
          <w:tcPr>
            <w:tcW w:w="1072" w:type="dxa"/>
            <w:vAlign w:val="center"/>
          </w:tcPr>
          <w:p w14:paraId="70701BC1"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0.0064690</w:t>
            </w:r>
          </w:p>
        </w:tc>
      </w:tr>
      <w:tr w:rsidR="004E6452" w:rsidRPr="001570EA" w14:paraId="10838F20" w14:textId="77777777">
        <w:trPr>
          <w:trHeight w:val="299"/>
        </w:trPr>
        <w:tc>
          <w:tcPr>
            <w:tcW w:w="2630" w:type="dxa"/>
            <w:vMerge w:val="restart"/>
            <w:noWrap/>
            <w:vAlign w:val="center"/>
          </w:tcPr>
          <w:p w14:paraId="60420759" w14:textId="77777777" w:rsidR="004E6452" w:rsidRPr="001570EA" w:rsidRDefault="004E6452">
            <w:pPr>
              <w:spacing w:before="80" w:after="80"/>
              <w:jc w:val="left"/>
              <w:rPr>
                <w:rFonts w:cs="Arial"/>
                <w:color w:val="000000"/>
                <w:sz w:val="18"/>
                <w:szCs w:val="18"/>
              </w:rPr>
            </w:pPr>
            <w:r w:rsidRPr="001570EA">
              <w:rPr>
                <w:rFonts w:cs="Arial"/>
                <w:color w:val="000000"/>
                <w:sz w:val="18"/>
                <w:szCs w:val="18"/>
              </w:rPr>
              <w:t>5I. Refrigerator-freezers—automatic defrost with bottom-mounted freezer with an automatic icemaker without through-the-door ice service.</w:t>
            </w:r>
          </w:p>
        </w:tc>
        <w:tc>
          <w:tcPr>
            <w:tcW w:w="1105" w:type="dxa"/>
            <w:vMerge w:val="restart"/>
            <w:vAlign w:val="center"/>
          </w:tcPr>
          <w:p w14:paraId="6020CA15"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18.6</w:t>
            </w:r>
          </w:p>
        </w:tc>
        <w:tc>
          <w:tcPr>
            <w:tcW w:w="1314" w:type="dxa"/>
            <w:noWrap/>
            <w:vAlign w:val="center"/>
          </w:tcPr>
          <w:p w14:paraId="64F55EEB"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9/15/14 - 1/30/29</w:t>
            </w:r>
          </w:p>
        </w:tc>
        <w:tc>
          <w:tcPr>
            <w:tcW w:w="1072" w:type="dxa"/>
            <w:noWrap/>
            <w:vAlign w:val="center"/>
          </w:tcPr>
          <w:p w14:paraId="34474EAA"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160</w:t>
            </w:r>
          </w:p>
        </w:tc>
        <w:tc>
          <w:tcPr>
            <w:tcW w:w="1170" w:type="dxa"/>
            <w:noWrap/>
            <w:vAlign w:val="center"/>
          </w:tcPr>
          <w:p w14:paraId="2EA19BD0"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0.0216548</w:t>
            </w:r>
          </w:p>
        </w:tc>
        <w:tc>
          <w:tcPr>
            <w:tcW w:w="1072" w:type="dxa"/>
            <w:vAlign w:val="center"/>
          </w:tcPr>
          <w:p w14:paraId="08E33C0E"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0.0162171</w:t>
            </w:r>
          </w:p>
        </w:tc>
      </w:tr>
      <w:tr w:rsidR="004E6452" w:rsidRPr="001570EA" w14:paraId="371904FC" w14:textId="77777777">
        <w:trPr>
          <w:trHeight w:val="299"/>
        </w:trPr>
        <w:tc>
          <w:tcPr>
            <w:tcW w:w="2630" w:type="dxa"/>
            <w:vMerge/>
            <w:noWrap/>
            <w:vAlign w:val="center"/>
          </w:tcPr>
          <w:p w14:paraId="22166E48" w14:textId="77777777" w:rsidR="004E6452" w:rsidRPr="001570EA" w:rsidRDefault="004E6452">
            <w:pPr>
              <w:spacing w:before="80" w:after="80"/>
              <w:jc w:val="left"/>
              <w:rPr>
                <w:rFonts w:cs="Arial"/>
                <w:color w:val="000000"/>
                <w:sz w:val="18"/>
                <w:szCs w:val="18"/>
              </w:rPr>
            </w:pPr>
          </w:p>
        </w:tc>
        <w:tc>
          <w:tcPr>
            <w:tcW w:w="1105" w:type="dxa"/>
            <w:vMerge/>
            <w:vAlign w:val="center"/>
          </w:tcPr>
          <w:p w14:paraId="519187B6" w14:textId="77777777" w:rsidR="004E6452" w:rsidRPr="001570EA" w:rsidRDefault="004E6452">
            <w:pPr>
              <w:spacing w:before="80" w:after="80"/>
              <w:jc w:val="center"/>
              <w:rPr>
                <w:rFonts w:cs="Arial"/>
                <w:color w:val="000000"/>
                <w:sz w:val="18"/>
                <w:szCs w:val="18"/>
              </w:rPr>
            </w:pPr>
          </w:p>
        </w:tc>
        <w:tc>
          <w:tcPr>
            <w:tcW w:w="1314" w:type="dxa"/>
            <w:noWrap/>
            <w:vAlign w:val="center"/>
          </w:tcPr>
          <w:p w14:paraId="57103CDD"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As of 1/31/29</w:t>
            </w:r>
          </w:p>
        </w:tc>
        <w:tc>
          <w:tcPr>
            <w:tcW w:w="1072" w:type="dxa"/>
            <w:noWrap/>
            <w:vAlign w:val="center"/>
          </w:tcPr>
          <w:p w14:paraId="24FBCBC5"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21</w:t>
            </w:r>
          </w:p>
        </w:tc>
        <w:tc>
          <w:tcPr>
            <w:tcW w:w="1170" w:type="dxa"/>
            <w:noWrap/>
            <w:vAlign w:val="center"/>
          </w:tcPr>
          <w:p w14:paraId="6AC5041A"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0.0028388</w:t>
            </w:r>
          </w:p>
        </w:tc>
        <w:tc>
          <w:tcPr>
            <w:tcW w:w="1072" w:type="dxa"/>
            <w:vAlign w:val="center"/>
          </w:tcPr>
          <w:p w14:paraId="233B5AD9"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0.0021260</w:t>
            </w:r>
          </w:p>
        </w:tc>
      </w:tr>
      <w:tr w:rsidR="004E6452" w:rsidRPr="001570EA" w14:paraId="3F963F83" w14:textId="77777777">
        <w:trPr>
          <w:trHeight w:val="299"/>
        </w:trPr>
        <w:tc>
          <w:tcPr>
            <w:tcW w:w="2630" w:type="dxa"/>
            <w:vMerge w:val="restart"/>
            <w:noWrap/>
          </w:tcPr>
          <w:p w14:paraId="55E0FC54" w14:textId="77777777" w:rsidR="004E6452" w:rsidRPr="001570EA" w:rsidRDefault="004E6452">
            <w:pPr>
              <w:spacing w:before="80" w:after="80"/>
              <w:jc w:val="left"/>
              <w:rPr>
                <w:rFonts w:cs="Arial"/>
                <w:color w:val="000000"/>
                <w:sz w:val="18"/>
                <w:szCs w:val="18"/>
              </w:rPr>
            </w:pPr>
            <w:r w:rsidRPr="001570EA">
              <w:rPr>
                <w:rFonts w:cs="Arial"/>
                <w:color w:val="000000"/>
                <w:sz w:val="18"/>
                <w:szCs w:val="18"/>
              </w:rPr>
              <w:t>5A. Refrigerator-freezer—automatic defrost with bottom-mounted freezer with through-the-door ice service.</w:t>
            </w:r>
          </w:p>
        </w:tc>
        <w:tc>
          <w:tcPr>
            <w:tcW w:w="1105" w:type="dxa"/>
            <w:vMerge w:val="restart"/>
            <w:vAlign w:val="center"/>
          </w:tcPr>
          <w:p w14:paraId="333D18FA" w14:textId="77777777" w:rsidR="004E6452" w:rsidRPr="001570EA" w:rsidDel="00795D84" w:rsidRDefault="004E6452">
            <w:pPr>
              <w:spacing w:before="80" w:after="80"/>
              <w:jc w:val="center"/>
              <w:rPr>
                <w:rFonts w:cs="Arial"/>
                <w:color w:val="000000"/>
                <w:sz w:val="18"/>
                <w:szCs w:val="18"/>
              </w:rPr>
            </w:pPr>
            <w:r w:rsidRPr="001570EA">
              <w:rPr>
                <w:rFonts w:cs="Arial"/>
                <w:color w:val="000000"/>
                <w:sz w:val="18"/>
                <w:szCs w:val="18"/>
              </w:rPr>
              <w:t>21.9</w:t>
            </w:r>
          </w:p>
        </w:tc>
        <w:tc>
          <w:tcPr>
            <w:tcW w:w="1314" w:type="dxa"/>
            <w:noWrap/>
            <w:vAlign w:val="center"/>
          </w:tcPr>
          <w:p w14:paraId="49F40F54" w14:textId="77777777" w:rsidR="004E6452" w:rsidRPr="001570EA" w:rsidDel="00795D84" w:rsidRDefault="004E6452">
            <w:pPr>
              <w:spacing w:before="80" w:after="80"/>
              <w:jc w:val="center"/>
              <w:rPr>
                <w:rFonts w:cs="Arial"/>
                <w:color w:val="000000"/>
                <w:sz w:val="18"/>
                <w:szCs w:val="18"/>
              </w:rPr>
            </w:pPr>
            <w:r w:rsidRPr="001570EA">
              <w:rPr>
                <w:rFonts w:cs="Arial"/>
                <w:color w:val="000000"/>
                <w:sz w:val="18"/>
                <w:szCs w:val="18"/>
              </w:rPr>
              <w:t>9/15/14 - 1/30/29</w:t>
            </w:r>
          </w:p>
        </w:tc>
        <w:tc>
          <w:tcPr>
            <w:tcW w:w="1072" w:type="dxa"/>
            <w:noWrap/>
            <w:vAlign w:val="center"/>
          </w:tcPr>
          <w:p w14:paraId="32FCE18F" w14:textId="77777777" w:rsidR="004E6452" w:rsidRPr="001570EA" w:rsidDel="00795D84" w:rsidRDefault="004E6452">
            <w:pPr>
              <w:spacing w:before="80" w:after="80"/>
              <w:jc w:val="center"/>
              <w:rPr>
                <w:rFonts w:cs="Arial"/>
                <w:color w:val="000000"/>
                <w:sz w:val="18"/>
                <w:szCs w:val="18"/>
              </w:rPr>
            </w:pPr>
            <w:r w:rsidRPr="001570EA">
              <w:rPr>
                <w:rFonts w:cs="Arial"/>
                <w:color w:val="000000"/>
                <w:sz w:val="18"/>
                <w:szCs w:val="18"/>
              </w:rPr>
              <w:t>172</w:t>
            </w:r>
          </w:p>
        </w:tc>
        <w:tc>
          <w:tcPr>
            <w:tcW w:w="1170" w:type="dxa"/>
            <w:noWrap/>
            <w:vAlign w:val="center"/>
          </w:tcPr>
          <w:p w14:paraId="2A65EED6"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0.0233271</w:t>
            </w:r>
          </w:p>
        </w:tc>
        <w:tc>
          <w:tcPr>
            <w:tcW w:w="1072" w:type="dxa"/>
            <w:vAlign w:val="center"/>
          </w:tcPr>
          <w:p w14:paraId="238850F3"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0.0174695</w:t>
            </w:r>
          </w:p>
        </w:tc>
      </w:tr>
      <w:tr w:rsidR="004E6452" w:rsidRPr="001570EA" w14:paraId="24E7C244" w14:textId="77777777">
        <w:trPr>
          <w:trHeight w:val="299"/>
        </w:trPr>
        <w:tc>
          <w:tcPr>
            <w:tcW w:w="2630" w:type="dxa"/>
            <w:vMerge/>
            <w:noWrap/>
          </w:tcPr>
          <w:p w14:paraId="020F5824" w14:textId="77777777" w:rsidR="004E6452" w:rsidRPr="001570EA" w:rsidRDefault="004E6452">
            <w:pPr>
              <w:spacing w:before="80" w:after="80"/>
              <w:jc w:val="left"/>
              <w:rPr>
                <w:rFonts w:cs="Arial"/>
                <w:color w:val="000000"/>
                <w:sz w:val="18"/>
                <w:szCs w:val="18"/>
              </w:rPr>
            </w:pPr>
          </w:p>
        </w:tc>
        <w:tc>
          <w:tcPr>
            <w:tcW w:w="1105" w:type="dxa"/>
            <w:vMerge/>
            <w:vAlign w:val="center"/>
          </w:tcPr>
          <w:p w14:paraId="21B4FE80" w14:textId="77777777" w:rsidR="004E6452" w:rsidRPr="001570EA" w:rsidRDefault="004E6452">
            <w:pPr>
              <w:spacing w:before="80" w:after="80"/>
              <w:jc w:val="center"/>
              <w:rPr>
                <w:rFonts w:cs="Arial"/>
                <w:color w:val="000000"/>
                <w:sz w:val="18"/>
                <w:szCs w:val="18"/>
              </w:rPr>
            </w:pPr>
          </w:p>
        </w:tc>
        <w:tc>
          <w:tcPr>
            <w:tcW w:w="1314" w:type="dxa"/>
            <w:noWrap/>
            <w:vAlign w:val="center"/>
          </w:tcPr>
          <w:p w14:paraId="3794286E"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As of 1/31/29</w:t>
            </w:r>
          </w:p>
        </w:tc>
        <w:tc>
          <w:tcPr>
            <w:tcW w:w="1072" w:type="dxa"/>
            <w:noWrap/>
            <w:vAlign w:val="center"/>
          </w:tcPr>
          <w:p w14:paraId="49DFC9B8"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w:t>
            </w:r>
          </w:p>
        </w:tc>
        <w:tc>
          <w:tcPr>
            <w:tcW w:w="1170" w:type="dxa"/>
            <w:noWrap/>
            <w:vAlign w:val="center"/>
          </w:tcPr>
          <w:p w14:paraId="294A75CE"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0.0012321</w:t>
            </w:r>
          </w:p>
        </w:tc>
        <w:tc>
          <w:tcPr>
            <w:tcW w:w="1072" w:type="dxa"/>
            <w:vAlign w:val="center"/>
          </w:tcPr>
          <w:p w14:paraId="28963123"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0.0009227</w:t>
            </w:r>
          </w:p>
        </w:tc>
      </w:tr>
      <w:tr w:rsidR="004E6452" w:rsidRPr="001570EA" w14:paraId="5BF5AD45" w14:textId="77777777">
        <w:trPr>
          <w:trHeight w:val="299"/>
        </w:trPr>
        <w:tc>
          <w:tcPr>
            <w:tcW w:w="2630" w:type="dxa"/>
            <w:vMerge w:val="restart"/>
            <w:noWrap/>
            <w:vAlign w:val="center"/>
          </w:tcPr>
          <w:p w14:paraId="6A14672B" w14:textId="77777777" w:rsidR="004E6452" w:rsidRPr="001570EA" w:rsidRDefault="004E6452">
            <w:pPr>
              <w:spacing w:before="80" w:after="80"/>
              <w:jc w:val="left"/>
              <w:rPr>
                <w:rFonts w:cs="Arial"/>
                <w:color w:val="000000"/>
                <w:sz w:val="18"/>
                <w:szCs w:val="18"/>
              </w:rPr>
            </w:pPr>
            <w:r w:rsidRPr="001570EA">
              <w:rPr>
                <w:rFonts w:cs="Arial"/>
                <w:color w:val="000000"/>
                <w:sz w:val="18"/>
                <w:szCs w:val="18"/>
              </w:rPr>
              <w:t>7. Refrigerator-freezers—automatic defrost with side-mounted freezer with through-the-door ice service.</w:t>
            </w:r>
          </w:p>
        </w:tc>
        <w:tc>
          <w:tcPr>
            <w:tcW w:w="1105" w:type="dxa"/>
            <w:vMerge w:val="restart"/>
            <w:vAlign w:val="center"/>
          </w:tcPr>
          <w:p w14:paraId="2BC6CCDD"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29.8</w:t>
            </w:r>
          </w:p>
        </w:tc>
        <w:tc>
          <w:tcPr>
            <w:tcW w:w="1314" w:type="dxa"/>
            <w:noWrap/>
            <w:vAlign w:val="center"/>
          </w:tcPr>
          <w:p w14:paraId="04AE17E0"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9/15/14 - 1/30/30</w:t>
            </w:r>
          </w:p>
        </w:tc>
        <w:tc>
          <w:tcPr>
            <w:tcW w:w="1072" w:type="dxa"/>
            <w:noWrap/>
            <w:vAlign w:val="center"/>
          </w:tcPr>
          <w:p w14:paraId="25D69AD5"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163</w:t>
            </w:r>
          </w:p>
        </w:tc>
        <w:tc>
          <w:tcPr>
            <w:tcW w:w="1170" w:type="dxa"/>
            <w:noWrap/>
            <w:vAlign w:val="center"/>
          </w:tcPr>
          <w:p w14:paraId="34FEA888"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0.0220597</w:t>
            </w:r>
          </w:p>
        </w:tc>
        <w:tc>
          <w:tcPr>
            <w:tcW w:w="1072" w:type="dxa"/>
            <w:vAlign w:val="center"/>
          </w:tcPr>
          <w:p w14:paraId="28944A5D"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0.0165203</w:t>
            </w:r>
          </w:p>
        </w:tc>
      </w:tr>
      <w:tr w:rsidR="004E6452" w:rsidRPr="001570EA" w14:paraId="1F075536" w14:textId="77777777">
        <w:trPr>
          <w:trHeight w:val="299"/>
        </w:trPr>
        <w:tc>
          <w:tcPr>
            <w:tcW w:w="2630" w:type="dxa"/>
            <w:vMerge/>
            <w:noWrap/>
            <w:vAlign w:val="center"/>
          </w:tcPr>
          <w:p w14:paraId="7B0527F3" w14:textId="77777777" w:rsidR="004E6452" w:rsidRPr="001570EA" w:rsidRDefault="004E6452">
            <w:pPr>
              <w:spacing w:before="80" w:after="80"/>
              <w:jc w:val="left"/>
              <w:rPr>
                <w:rFonts w:cs="Arial"/>
                <w:color w:val="000000"/>
                <w:sz w:val="18"/>
                <w:szCs w:val="18"/>
              </w:rPr>
            </w:pPr>
          </w:p>
        </w:tc>
        <w:tc>
          <w:tcPr>
            <w:tcW w:w="1105" w:type="dxa"/>
            <w:vMerge/>
            <w:vAlign w:val="center"/>
          </w:tcPr>
          <w:p w14:paraId="0FDA8719" w14:textId="77777777" w:rsidR="004E6452" w:rsidRPr="001570EA" w:rsidRDefault="004E6452">
            <w:pPr>
              <w:spacing w:before="80" w:after="80"/>
              <w:jc w:val="center"/>
              <w:rPr>
                <w:rFonts w:cs="Arial"/>
                <w:color w:val="000000"/>
                <w:sz w:val="18"/>
                <w:szCs w:val="18"/>
              </w:rPr>
            </w:pPr>
          </w:p>
        </w:tc>
        <w:tc>
          <w:tcPr>
            <w:tcW w:w="1314" w:type="dxa"/>
            <w:noWrap/>
            <w:vAlign w:val="center"/>
          </w:tcPr>
          <w:p w14:paraId="4D7D7A43"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As of 1/31/30</w:t>
            </w:r>
          </w:p>
        </w:tc>
        <w:tc>
          <w:tcPr>
            <w:tcW w:w="1072" w:type="dxa"/>
            <w:noWrap/>
            <w:vAlign w:val="center"/>
          </w:tcPr>
          <w:p w14:paraId="61C82E4F"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16</w:t>
            </w:r>
          </w:p>
        </w:tc>
        <w:tc>
          <w:tcPr>
            <w:tcW w:w="1170" w:type="dxa"/>
            <w:noWrap/>
            <w:vAlign w:val="center"/>
          </w:tcPr>
          <w:p w14:paraId="57A581F6"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0.0021705</w:t>
            </w:r>
          </w:p>
        </w:tc>
        <w:tc>
          <w:tcPr>
            <w:tcW w:w="1072" w:type="dxa"/>
            <w:vAlign w:val="center"/>
          </w:tcPr>
          <w:p w14:paraId="03779E7A"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0.0016254</w:t>
            </w:r>
          </w:p>
        </w:tc>
      </w:tr>
    </w:tbl>
    <w:p w14:paraId="3AD2746A" w14:textId="77777777" w:rsidR="004E6452" w:rsidRPr="001570EA" w:rsidRDefault="004E6452" w:rsidP="004E6452">
      <w:pPr>
        <w:pStyle w:val="SubStyle"/>
      </w:pPr>
    </w:p>
    <w:p w14:paraId="36C8E298" w14:textId="77777777" w:rsidR="004E6452" w:rsidRPr="001570EA" w:rsidRDefault="004E6452" w:rsidP="004E6452">
      <w:pPr>
        <w:pStyle w:val="SubStyle"/>
        <w:keepNext/>
        <w:keepLines/>
      </w:pPr>
      <w:r w:rsidRPr="001570EA">
        <w:t>Evaluation Protocols</w:t>
      </w:r>
    </w:p>
    <w:p w14:paraId="53A9C420" w14:textId="77777777" w:rsidR="004E6452" w:rsidRPr="001570EA" w:rsidRDefault="004E6452" w:rsidP="004E6452">
      <w:pPr>
        <w:pStyle w:val="BodyText"/>
        <w:ind w:right="0"/>
        <w:rPr>
          <w:rFonts w:cs="Arial"/>
        </w:rPr>
      </w:pPr>
      <w:r w:rsidRPr="001570EA">
        <w:t>For most projects, the appropriate evaluation protocol is to verify installation and proper selection of default values. For projects using customer-specific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32D5D079" w14:textId="77777777" w:rsidR="004E6452" w:rsidRPr="001570EA" w:rsidRDefault="004E6452" w:rsidP="004E6452">
      <w:pPr>
        <w:pStyle w:val="SubStyle"/>
      </w:pPr>
    </w:p>
    <w:p w14:paraId="4FAB8B6C" w14:textId="77777777" w:rsidR="004E6452" w:rsidRPr="001570EA" w:rsidRDefault="004E6452" w:rsidP="004E6452">
      <w:pPr>
        <w:pStyle w:val="SubStyle"/>
      </w:pPr>
      <w:r w:rsidRPr="001570EA">
        <w:t>Sources</w:t>
      </w:r>
    </w:p>
    <w:p w14:paraId="0310836F" w14:textId="4CF37C1A" w:rsidR="004E6452" w:rsidRPr="001570EA" w:rsidRDefault="004E6452" w:rsidP="006D787B">
      <w:pPr>
        <w:pStyle w:val="ListParagraph"/>
        <w:numPr>
          <w:ilvl w:val="0"/>
          <w:numId w:val="61"/>
        </w:numPr>
        <w:overflowPunct/>
        <w:autoSpaceDE/>
        <w:autoSpaceDN/>
        <w:adjustRightInd/>
        <w:spacing w:after="120"/>
        <w:ind w:left="360"/>
        <w:jc w:val="left"/>
        <w:textAlignment w:val="auto"/>
        <w:rPr>
          <w:rFonts w:eastAsiaTheme="minorHAnsi" w:cs="Arial"/>
        </w:rPr>
      </w:pPr>
      <w:r w:rsidRPr="001570EA">
        <w:rPr>
          <w:rFonts w:cs="Arial"/>
          <w:color w:val="000000"/>
        </w:rPr>
        <w:t xml:space="preserve">California Electronic Technical Reference Manual. “Refrigerator or Freezer, Residential”. Accessed December 2023. </w:t>
      </w:r>
      <w:hyperlink r:id="rId213" w:history="1">
        <w:r w:rsidRPr="001570EA">
          <w:rPr>
            <w:rStyle w:val="Hyperlink"/>
            <w:rFonts w:cs="Arial"/>
          </w:rPr>
          <w:t>Weblink</w:t>
        </w:r>
      </w:hyperlink>
      <w:r w:rsidRPr="001570EA">
        <w:rPr>
          <w:rFonts w:cs="Arial"/>
          <w:color w:val="000000"/>
        </w:rPr>
        <w:t xml:space="preserve"> </w:t>
      </w:r>
    </w:p>
    <w:p w14:paraId="2B8EDA98" w14:textId="1EE639B1" w:rsidR="004E6452" w:rsidRPr="001570EA" w:rsidRDefault="004E6452" w:rsidP="006D787B">
      <w:pPr>
        <w:pStyle w:val="ListParagraph"/>
        <w:numPr>
          <w:ilvl w:val="0"/>
          <w:numId w:val="61"/>
        </w:numPr>
        <w:overflowPunct/>
        <w:autoSpaceDE/>
        <w:autoSpaceDN/>
        <w:adjustRightInd/>
        <w:spacing w:after="120"/>
        <w:ind w:left="360"/>
        <w:jc w:val="left"/>
        <w:textAlignment w:val="auto"/>
        <w:rPr>
          <w:rFonts w:cs="Arial"/>
          <w:color w:val="000000"/>
        </w:rPr>
      </w:pPr>
      <w:r w:rsidRPr="001570EA">
        <w:rPr>
          <w:rFonts w:eastAsiaTheme="minorHAnsi" w:cs="Arial"/>
        </w:rPr>
        <w:t xml:space="preserve">10 CFR 430.32 (a). </w:t>
      </w:r>
      <w:hyperlink r:id="rId214" w:history="1">
        <w:r w:rsidRPr="001570EA">
          <w:rPr>
            <w:rStyle w:val="Hyperlink"/>
            <w:rFonts w:eastAsiaTheme="minorHAnsi" w:cs="Arial"/>
          </w:rPr>
          <w:t>Weblink</w:t>
        </w:r>
      </w:hyperlink>
    </w:p>
    <w:p w14:paraId="2264C593" w14:textId="111367CA" w:rsidR="004E6452" w:rsidRPr="001570EA" w:rsidRDefault="004E6452" w:rsidP="006D787B">
      <w:pPr>
        <w:pStyle w:val="ListParagraph"/>
        <w:numPr>
          <w:ilvl w:val="0"/>
          <w:numId w:val="61"/>
        </w:numPr>
        <w:overflowPunct/>
        <w:autoSpaceDE/>
        <w:autoSpaceDN/>
        <w:adjustRightInd/>
        <w:spacing w:after="120"/>
        <w:ind w:left="360"/>
        <w:jc w:val="left"/>
        <w:textAlignment w:val="auto"/>
        <w:rPr>
          <w:rFonts w:cs="Arial"/>
          <w:color w:val="000000"/>
        </w:rPr>
      </w:pPr>
      <w:r w:rsidRPr="001570EA">
        <w:rPr>
          <w:rFonts w:cs="Arial"/>
          <w:color w:val="000000"/>
        </w:rPr>
        <w:t xml:space="preserve">U.S. EPA. (2014). ENERGY STAR Program Requirements Product Specifications for Consumer Refrigeration Products Version 5.1. </w:t>
      </w:r>
      <w:hyperlink r:id="rId215" w:history="1">
        <w:r w:rsidRPr="001570EA">
          <w:rPr>
            <w:rStyle w:val="Hyperlink"/>
            <w:rFonts w:cs="Arial"/>
          </w:rPr>
          <w:t>Weblink</w:t>
        </w:r>
      </w:hyperlink>
    </w:p>
    <w:p w14:paraId="0EFC6668" w14:textId="70A6F7A9" w:rsidR="004E6452" w:rsidRPr="001570EA" w:rsidRDefault="004E6452" w:rsidP="006D787B">
      <w:pPr>
        <w:pStyle w:val="ListParagraph"/>
        <w:numPr>
          <w:ilvl w:val="0"/>
          <w:numId w:val="61"/>
        </w:numPr>
        <w:spacing w:after="120"/>
        <w:ind w:left="360"/>
        <w:jc w:val="left"/>
      </w:pPr>
      <w:r w:rsidRPr="001570EA">
        <w:rPr>
          <w:rFonts w:cs="Arial"/>
          <w:color w:val="000000"/>
        </w:rPr>
        <w:t xml:space="preserve">U.S. EPA. (2023). ENERGY STAR Most Efficient 2024 Consumer Refrigeration Products Recognition Criteria. </w:t>
      </w:r>
      <w:hyperlink r:id="rId216" w:history="1">
        <w:r w:rsidRPr="001570EA">
          <w:rPr>
            <w:rStyle w:val="Hyperlink"/>
            <w:rFonts w:cs="Arial"/>
          </w:rPr>
          <w:t>Weblink</w:t>
        </w:r>
      </w:hyperlink>
      <w:r w:rsidRPr="001570EA">
        <w:rPr>
          <w:rFonts w:cs="Arial"/>
          <w:color w:val="000000"/>
        </w:rPr>
        <w:t xml:space="preserve"> </w:t>
      </w:r>
      <w:r w:rsidRPr="001570EA" w:rsidDel="009E5478">
        <w:rPr>
          <w:rFonts w:cs="Arial"/>
          <w:color w:val="000000"/>
        </w:rPr>
        <w:t xml:space="preserve"> </w:t>
      </w:r>
    </w:p>
    <w:p w14:paraId="03F15AA2" w14:textId="255E0D44" w:rsidR="004E6452" w:rsidRPr="001570EA" w:rsidRDefault="004E6452" w:rsidP="006D787B">
      <w:pPr>
        <w:pStyle w:val="ListParagraph"/>
        <w:numPr>
          <w:ilvl w:val="0"/>
          <w:numId w:val="61"/>
        </w:numPr>
        <w:overflowPunct/>
        <w:autoSpaceDE/>
        <w:autoSpaceDN/>
        <w:adjustRightInd/>
        <w:spacing w:after="120"/>
        <w:ind w:left="360"/>
        <w:jc w:val="left"/>
        <w:textAlignment w:val="auto"/>
        <w:rPr>
          <w:rFonts w:cs="Arial"/>
          <w:color w:val="000000"/>
        </w:rPr>
      </w:pPr>
      <w:r w:rsidRPr="001570EA">
        <w:rPr>
          <w:rFonts w:cs="Arial"/>
          <w:color w:val="000000"/>
        </w:rPr>
        <w:t xml:space="preserve">Wilson et al. 2021. End-Use Load Profiles for the U.S. Building Stock: Methodology and Results of Model Calibration, Validation, and Uncertainty Quantification. NREL/TP-5500-80889. </w:t>
      </w:r>
      <w:hyperlink r:id="rId217" w:history="1">
        <w:r w:rsidRPr="001570EA">
          <w:rPr>
            <w:rStyle w:val="Hyperlink"/>
            <w:rFonts w:cs="Arial"/>
          </w:rPr>
          <w:t>Weblink</w:t>
        </w:r>
      </w:hyperlink>
      <w:r w:rsidRPr="001570EA">
        <w:rPr>
          <w:rFonts w:cs="Arial"/>
          <w:color w:val="000000"/>
        </w:rPr>
        <w:t xml:space="preserve">  </w:t>
      </w:r>
    </w:p>
    <w:p w14:paraId="5D2EAAD4" w14:textId="53FB04DF" w:rsidR="004E6452" w:rsidRPr="001570EA" w:rsidRDefault="004E6452" w:rsidP="006D787B">
      <w:pPr>
        <w:pStyle w:val="ListParagraph"/>
        <w:numPr>
          <w:ilvl w:val="0"/>
          <w:numId w:val="61"/>
        </w:numPr>
        <w:overflowPunct/>
        <w:autoSpaceDE/>
        <w:autoSpaceDN/>
        <w:adjustRightInd/>
        <w:spacing w:after="120"/>
        <w:ind w:left="360"/>
        <w:jc w:val="left"/>
        <w:textAlignment w:val="auto"/>
        <w:rPr>
          <w:rFonts w:eastAsiaTheme="minorHAnsi" w:cs="Arial"/>
        </w:rPr>
      </w:pPr>
      <w:r w:rsidRPr="001570EA">
        <w:rPr>
          <w:rFonts w:cs="Arial"/>
          <w:color w:val="000000"/>
        </w:rPr>
        <w:t xml:space="preserve">Average adjusted volume of ENERGY STAR-certified refrigerators by configuration. Accessed December 2023. </w:t>
      </w:r>
      <w:hyperlink r:id="rId218" w:history="1">
        <w:r w:rsidRPr="001570EA">
          <w:rPr>
            <w:rStyle w:val="Hyperlink"/>
            <w:rFonts w:cs="Arial"/>
          </w:rPr>
          <w:t>Weblink</w:t>
        </w:r>
      </w:hyperlink>
    </w:p>
    <w:p w14:paraId="625C66C6" w14:textId="16ED7712" w:rsidR="004E6452" w:rsidRPr="001570EA" w:rsidRDefault="004E6452" w:rsidP="006D787B">
      <w:pPr>
        <w:pStyle w:val="ListParagraph"/>
        <w:numPr>
          <w:ilvl w:val="0"/>
          <w:numId w:val="61"/>
        </w:numPr>
        <w:overflowPunct/>
        <w:autoSpaceDE/>
        <w:autoSpaceDN/>
        <w:adjustRightInd/>
        <w:spacing w:after="120"/>
        <w:ind w:left="360"/>
        <w:jc w:val="left"/>
        <w:textAlignment w:val="auto"/>
        <w:rPr>
          <w:rFonts w:eastAsiaTheme="minorHAnsi" w:cs="Arial"/>
        </w:rPr>
      </w:pPr>
      <w:r w:rsidRPr="001570EA">
        <w:rPr>
          <w:rFonts w:eastAsiaTheme="minorHAnsi" w:cs="Arial"/>
        </w:rPr>
        <w:t xml:space="preserve">U.S. DOE. (2024, January). Direct final rule. Federal Register, 89 (11), pages 3,026-3,116. </w:t>
      </w:r>
      <w:hyperlink r:id="rId219" w:history="1">
        <w:r w:rsidRPr="001570EA">
          <w:rPr>
            <w:rStyle w:val="Hyperlink"/>
            <w:rFonts w:eastAsiaTheme="minorHAnsi" w:cs="Arial"/>
          </w:rPr>
          <w:t>Weblink</w:t>
        </w:r>
      </w:hyperlink>
    </w:p>
    <w:p w14:paraId="0DDF9904" w14:textId="77777777" w:rsidR="004E6452" w:rsidRPr="001570EA" w:rsidRDefault="004E6452" w:rsidP="004E6452">
      <w:pPr>
        <w:sectPr w:rsidR="004E6452" w:rsidRPr="001570EA" w:rsidSect="002D556C">
          <w:footerReference w:type="default" r:id="rId220"/>
          <w:pgSz w:w="12240" w:h="15840"/>
          <w:pgMar w:top="1440" w:right="1800" w:bottom="1440" w:left="1800" w:header="720" w:footer="501" w:gutter="0"/>
          <w:cols w:space="720"/>
        </w:sectPr>
      </w:pPr>
      <w:bookmarkStart w:id="545" w:name="_Toc530141486"/>
      <w:bookmarkStart w:id="546" w:name="_Ref533691824"/>
      <w:bookmarkStart w:id="547" w:name="_Ref533691828"/>
    </w:p>
    <w:p w14:paraId="55FDF52F" w14:textId="77777777" w:rsidR="004E6452" w:rsidRPr="001570EA" w:rsidRDefault="004E6452" w:rsidP="00462D97">
      <w:pPr>
        <w:pStyle w:val="Heading3"/>
      </w:pPr>
      <w:bookmarkStart w:id="548" w:name="_Ref535145273"/>
      <w:bookmarkStart w:id="549" w:name="_Ref535145295"/>
      <w:bookmarkStart w:id="550" w:name="_Ref535145385"/>
      <w:bookmarkStart w:id="551" w:name="_Ref535240173"/>
      <w:bookmarkStart w:id="552" w:name="_Toc48143041"/>
      <w:bookmarkStart w:id="553" w:name="_Toc164786661"/>
      <w:r w:rsidRPr="001570EA">
        <w:t>ENERGY STAR Freezers</w:t>
      </w:r>
      <w:bookmarkEnd w:id="545"/>
      <w:bookmarkEnd w:id="546"/>
      <w:bookmarkEnd w:id="547"/>
      <w:bookmarkEnd w:id="548"/>
      <w:bookmarkEnd w:id="549"/>
      <w:bookmarkEnd w:id="550"/>
      <w:bookmarkEnd w:id="551"/>
      <w:bookmarkEnd w:id="552"/>
      <w:bookmarkEnd w:id="553"/>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8"/>
        <w:gridCol w:w="4964"/>
      </w:tblGrid>
      <w:tr w:rsidR="004E6452" w:rsidRPr="001570EA" w14:paraId="0B6B195D"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AB3F7E6" w14:textId="77777777" w:rsidR="004E6452" w:rsidRPr="001570EA" w:rsidRDefault="004E6452">
            <w:pPr>
              <w:pStyle w:val="TableCell"/>
              <w:spacing w:before="60" w:after="60"/>
              <w:rPr>
                <w:b/>
                <w:bCs/>
                <w:color w:val="000000"/>
              </w:rPr>
            </w:pPr>
            <w:r w:rsidRPr="001570EA">
              <w:rPr>
                <w:b/>
                <w:bCs/>
                <w:color w:val="000000"/>
              </w:rPr>
              <w:t>Target Sector</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3539F4A4" w14:textId="77777777" w:rsidR="004E6452" w:rsidRPr="001570EA" w:rsidRDefault="004E6452">
            <w:pPr>
              <w:pStyle w:val="TableCell"/>
              <w:spacing w:before="60" w:after="60"/>
              <w:jc w:val="center"/>
              <w:rPr>
                <w:color w:val="000000"/>
              </w:rPr>
            </w:pPr>
            <w:r w:rsidRPr="001570EA">
              <w:rPr>
                <w:color w:val="000000"/>
              </w:rPr>
              <w:t>Residential</w:t>
            </w:r>
          </w:p>
        </w:tc>
      </w:tr>
      <w:tr w:rsidR="004E6452" w:rsidRPr="001570EA" w14:paraId="71AA602E"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26B8B9D6" w14:textId="77777777" w:rsidR="004E6452" w:rsidRPr="001570EA" w:rsidRDefault="004E6452">
            <w:pPr>
              <w:pStyle w:val="TableCell"/>
              <w:spacing w:before="60" w:after="60"/>
              <w:rPr>
                <w:b/>
                <w:bCs/>
                <w:color w:val="000000"/>
              </w:rPr>
            </w:pPr>
            <w:r w:rsidRPr="001570EA">
              <w:rPr>
                <w:b/>
                <w:bCs/>
                <w:color w:val="000000"/>
              </w:rPr>
              <w:t>Measure Unit</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17BE114C" w14:textId="77777777" w:rsidR="004E6452" w:rsidRPr="001570EA" w:rsidRDefault="004E6452">
            <w:pPr>
              <w:pStyle w:val="TableCell"/>
              <w:spacing w:before="60" w:after="60"/>
              <w:jc w:val="center"/>
              <w:rPr>
                <w:color w:val="000000"/>
              </w:rPr>
            </w:pPr>
            <w:r w:rsidRPr="001570EA">
              <w:rPr>
                <w:color w:val="000000"/>
              </w:rPr>
              <w:t>Freezer</w:t>
            </w:r>
          </w:p>
        </w:tc>
      </w:tr>
      <w:tr w:rsidR="004E6452" w:rsidRPr="001570EA" w14:paraId="0EA01BF1"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3038C12B" w14:textId="77777777" w:rsidR="004E6452" w:rsidRPr="001570EA" w:rsidRDefault="004E6452">
            <w:pPr>
              <w:pStyle w:val="TableCell"/>
              <w:spacing w:before="60" w:after="60"/>
              <w:rPr>
                <w:b/>
                <w:bCs/>
                <w:color w:val="000000"/>
              </w:rPr>
            </w:pPr>
            <w:r w:rsidRPr="001570EA">
              <w:rPr>
                <w:b/>
                <w:bCs/>
                <w:color w:val="000000"/>
              </w:rPr>
              <w:t>Measure Life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C575D39" w14:textId="77777777" w:rsidR="004E6452" w:rsidRPr="001570EA" w:rsidRDefault="004E6452">
            <w:pPr>
              <w:pStyle w:val="TableCell"/>
              <w:spacing w:before="60" w:after="60"/>
              <w:jc w:val="center"/>
              <w:rPr>
                <w:color w:val="000000"/>
              </w:rPr>
            </w:pPr>
            <w:r w:rsidRPr="001570EA">
              <w:rPr>
                <w:color w:val="000000"/>
              </w:rPr>
              <w:t>11 years</w:t>
            </w:r>
            <w:r w:rsidRPr="001570EA">
              <w:rPr>
                <w:rStyle w:val="FootnoteReference"/>
                <w:sz w:val="20"/>
              </w:rPr>
              <w:t>Source</w:t>
            </w:r>
            <w:r w:rsidRPr="001570EA">
              <w:t xml:space="preserve"> </w:t>
            </w:r>
            <w:r w:rsidRPr="001570EA">
              <w:rPr>
                <w:rStyle w:val="FootnoteReference"/>
                <w:sz w:val="20"/>
              </w:rPr>
              <w:t>3</w:t>
            </w:r>
          </w:p>
        </w:tc>
      </w:tr>
      <w:tr w:rsidR="004E6452" w:rsidRPr="001570EA" w14:paraId="5639DFAF"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2F5CA3ED" w14:textId="77777777" w:rsidR="004E6452" w:rsidRPr="001570EA" w:rsidRDefault="004E6452">
            <w:pPr>
              <w:pStyle w:val="TableCell"/>
              <w:spacing w:before="60" w:after="60"/>
              <w:rPr>
                <w:b/>
                <w:bCs/>
                <w:color w:val="000000"/>
              </w:rPr>
            </w:pPr>
            <w:r w:rsidRPr="001570EA">
              <w:rPr>
                <w:b/>
                <w:bCs/>
                <w:color w:val="000000"/>
              </w:rPr>
              <w:t>Vintage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1009777E" w14:textId="77777777" w:rsidR="004E6452" w:rsidRPr="001570EA" w:rsidRDefault="004E6452">
            <w:pPr>
              <w:pStyle w:val="TableCell"/>
              <w:spacing w:before="60" w:after="60"/>
              <w:jc w:val="center"/>
              <w:rPr>
                <w:color w:val="000000"/>
              </w:rPr>
            </w:pPr>
            <w:r w:rsidRPr="001570EA">
              <w:rPr>
                <w:color w:val="000000"/>
              </w:rPr>
              <w:t>Replace on Burnout</w:t>
            </w:r>
          </w:p>
        </w:tc>
      </w:tr>
    </w:tbl>
    <w:p w14:paraId="05471E49" w14:textId="77777777" w:rsidR="004E6452" w:rsidRPr="001570EA" w:rsidRDefault="004E6452" w:rsidP="004E6452">
      <w:pPr>
        <w:pStyle w:val="SubStyle"/>
      </w:pPr>
    </w:p>
    <w:p w14:paraId="1461849A" w14:textId="77777777" w:rsidR="004E6452" w:rsidRPr="001570EA" w:rsidRDefault="004E6452" w:rsidP="004E6452">
      <w:pPr>
        <w:pStyle w:val="SubStyle"/>
      </w:pPr>
      <w:r w:rsidRPr="001570EA">
        <w:t>Eligibility</w:t>
      </w:r>
    </w:p>
    <w:p w14:paraId="7C28D69E" w14:textId="77777777" w:rsidR="004E6452" w:rsidRPr="001570EA" w:rsidRDefault="004E6452" w:rsidP="004E6452">
      <w:pPr>
        <w:pStyle w:val="NoSpacing"/>
        <w:rPr>
          <w:rFonts w:cs="Arial"/>
          <w:szCs w:val="20"/>
        </w:rPr>
      </w:pPr>
      <w:r w:rsidRPr="001570EA">
        <w:rPr>
          <w:rFonts w:cs="Arial"/>
          <w:szCs w:val="20"/>
        </w:rPr>
        <w:t>This measure is for the purchase and installation of a new freezer meeting ENERGY STAR criteria. An ENERGY STAR freezer must be at least 10% more efficient than the minimum federal government standard.</w:t>
      </w:r>
    </w:p>
    <w:p w14:paraId="45BE60F6" w14:textId="77777777" w:rsidR="004E6452" w:rsidRPr="001570EA" w:rsidRDefault="004E6452" w:rsidP="004E6452"/>
    <w:p w14:paraId="339A970F" w14:textId="77777777" w:rsidR="004E6452" w:rsidRPr="001570EA" w:rsidRDefault="004E6452" w:rsidP="004E6452">
      <w:pPr>
        <w:pStyle w:val="SubStyle"/>
      </w:pPr>
      <w:r w:rsidRPr="001570EA">
        <w:t>Algorithms</w:t>
      </w:r>
    </w:p>
    <w:p w14:paraId="4CA1DE2F" w14:textId="1181852C" w:rsidR="004E6452" w:rsidRPr="001570EA" w:rsidRDefault="004E6452" w:rsidP="004E6452">
      <w:r w:rsidRPr="001570EA">
        <w:t>To determine resource savings, the per-unit estimates in the algorithms will be multiplied by the number of freezers. If the volume and configuration of the freezer is known, the baseline model’s annual energy consumption (kWh</w:t>
      </w:r>
      <w:r w:rsidRPr="001570EA">
        <w:rPr>
          <w:vertAlign w:val="subscript"/>
        </w:rPr>
        <w:t>base</w:t>
      </w:r>
      <w:r w:rsidRPr="001570EA">
        <w:t xml:space="preserve">) may be determined using </w:t>
      </w:r>
      <w:r w:rsidR="00643494" w:rsidRPr="001570EA">
        <w:fldChar w:fldCharType="begin"/>
      </w:r>
      <w:r w:rsidR="00643494" w:rsidRPr="001570EA">
        <w:instrText xml:space="preserve"> REF _Ref533707311 \h </w:instrText>
      </w:r>
      <w:r w:rsidR="001570EA">
        <w:instrText xml:space="preserve"> \* MERGEFORMAT </w:instrText>
      </w:r>
      <w:r w:rsidR="00643494" w:rsidRPr="001570EA">
        <w:fldChar w:fldCharType="separate"/>
      </w:r>
      <w:r w:rsidR="00234C6C" w:rsidRPr="001570EA">
        <w:t xml:space="preserve">Table </w:t>
      </w:r>
      <w:r w:rsidR="00234C6C" w:rsidRPr="001570EA">
        <w:rPr>
          <w:noProof/>
        </w:rPr>
        <w:t>2</w:t>
      </w:r>
      <w:r w:rsidR="00643494" w:rsidRPr="001570EA">
        <w:fldChar w:fldCharType="end"/>
      </w:r>
      <w:r w:rsidR="00F324BF">
        <w:t>-86</w:t>
      </w:r>
      <w:r w:rsidRPr="001570EA">
        <w:t>. The efficient model’s annual energy consumption (kWh</w:t>
      </w:r>
      <w:r w:rsidRPr="001570EA">
        <w:rPr>
          <w:vertAlign w:val="subscript"/>
        </w:rPr>
        <w:t>ee</w:t>
      </w:r>
      <w:r w:rsidRPr="001570EA">
        <w:t xml:space="preserve">) may be determined using manufacturer’s test data for the given model. Where test data is not available the algorithms in </w:t>
      </w:r>
      <w:r w:rsidR="00643494" w:rsidRPr="001570EA">
        <w:fldChar w:fldCharType="begin"/>
      </w:r>
      <w:r w:rsidR="00643494" w:rsidRPr="001570EA">
        <w:instrText xml:space="preserve"> REF _Ref533165960 \h </w:instrText>
      </w:r>
      <w:r w:rsidR="001570EA">
        <w:instrText xml:space="preserve"> \* MERGEFORMAT </w:instrText>
      </w:r>
      <w:r w:rsidR="003B5E04">
        <w:fldChar w:fldCharType="separate"/>
      </w:r>
      <w:r w:rsidR="00643494" w:rsidRPr="001570EA">
        <w:fldChar w:fldCharType="end"/>
      </w:r>
      <w:r w:rsidRPr="001570EA">
        <w:fldChar w:fldCharType="begin"/>
      </w:r>
      <w:r w:rsidRPr="001570EA">
        <w:instrText xml:space="preserve"> REF _Ref533165960 \h  \* MERGEFORMAT </w:instrText>
      </w:r>
      <w:r w:rsidRPr="001570EA">
        <w:fldChar w:fldCharType="separate"/>
      </w:r>
      <w:r w:rsidR="009F69CA" w:rsidRPr="001570EA">
        <w:t xml:space="preserve">Table </w:t>
      </w:r>
      <w:r w:rsidR="009F69CA" w:rsidRPr="001570EA">
        <w:rPr>
          <w:noProof/>
        </w:rPr>
        <w:t>2</w:t>
      </w:r>
      <w:r w:rsidR="009F69CA" w:rsidRPr="001570EA">
        <w:rPr>
          <w:noProof/>
        </w:rPr>
        <w:noBreakHyphen/>
        <w:t>87</w:t>
      </w:r>
      <w:r w:rsidRPr="001570EA">
        <w:fldChar w:fldCharType="end"/>
      </w:r>
      <w:r w:rsidRPr="001570EA">
        <w:t xml:space="preserve"> for ENERGY STAR Maximum Energy Usage in kWh/year may be used to determine the efficient energy consumption for a conservative savings estimate.</w:t>
      </w:r>
    </w:p>
    <w:p w14:paraId="78D592B4" w14:textId="77777777" w:rsidR="004E6452" w:rsidRPr="001570EA" w:rsidRDefault="004E6452" w:rsidP="004E6452"/>
    <w:p w14:paraId="3469F73B" w14:textId="77777777" w:rsidR="004E6452" w:rsidRPr="001570EA" w:rsidRDefault="004E6452" w:rsidP="004E6452">
      <w:pPr>
        <w:pStyle w:val="NoSpacing"/>
        <w:rPr>
          <w:b/>
        </w:rPr>
      </w:pPr>
      <w:r w:rsidRPr="001570EA">
        <w:rPr>
          <w:b/>
        </w:rPr>
        <w:t>ENERGY STAR Freezer</w:t>
      </w:r>
    </w:p>
    <w:p w14:paraId="603E6561" w14:textId="77777777" w:rsidR="004E6452" w:rsidRPr="001570EA" w:rsidRDefault="004E6452" w:rsidP="004E6452">
      <w:pPr>
        <w:pStyle w:val="NoSpacing"/>
        <w:tabs>
          <w:tab w:val="left" w:pos="1440"/>
        </w:tabs>
        <w:spacing w:line="360" w:lineRule="auto"/>
        <w:rPr>
          <w:rFonts w:ascii="Cambria Math" w:hAnsi="Cambria Math" w:cs="Arial"/>
          <w:szCs w:val="20"/>
          <w:vertAlign w:val="subscript"/>
          <w:oMath/>
        </w:rPr>
      </w:pPr>
      <w:r w:rsidRPr="001570EA">
        <w:rPr>
          <w:rFonts w:cs="Arial"/>
          <w:i/>
          <w:szCs w:val="20"/>
        </w:rPr>
        <w:t>ΔkWh</w:t>
      </w:r>
      <w:r w:rsidRPr="001570EA">
        <w:rPr>
          <w:rFonts w:cs="Arial"/>
          <w:i/>
          <w:szCs w:val="20"/>
        </w:rPr>
        <w:tab/>
      </w:r>
      <m:oMath>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kWh</m:t>
            </m:r>
            <m:r>
              <w:rPr>
                <w:rFonts w:ascii="Cambria Math" w:hAnsi="Cambria Math" w:cs="Arial"/>
                <w:szCs w:val="20"/>
                <w:vertAlign w:val="subscript"/>
              </w:rPr>
              <m:t xml:space="preserve"> </m:t>
            </m:r>
          </m:e>
          <m:sub>
            <m:r>
              <w:rPr>
                <w:rFonts w:ascii="Cambria Math" w:hAnsi="Cambria Math" w:cs="Arial"/>
                <w:szCs w:val="20"/>
              </w:rPr>
              <m:t>base</m:t>
            </m:r>
          </m:sub>
        </m:sSub>
        <m:r>
          <w:rPr>
            <w:rFonts w:ascii="Cambria Math" w:hAnsi="Cambria Math" w:cs="Arial"/>
            <w:szCs w:val="20"/>
          </w:rPr>
          <m:t xml:space="preserve">-  </m:t>
        </m:r>
        <m:sSub>
          <m:sSubPr>
            <m:ctrlPr>
              <w:rPr>
                <w:rFonts w:ascii="Cambria Math" w:hAnsi="Cambria Math" w:cs="Arial"/>
                <w:i/>
                <w:szCs w:val="20"/>
              </w:rPr>
            </m:ctrlPr>
          </m:sSubPr>
          <m:e>
            <m:r>
              <w:rPr>
                <w:rFonts w:ascii="Cambria Math" w:hAnsi="Cambria Math" w:cs="Arial"/>
                <w:szCs w:val="20"/>
              </w:rPr>
              <m:t>kWh</m:t>
            </m:r>
          </m:e>
          <m:sub>
            <m:r>
              <w:rPr>
                <w:rFonts w:ascii="Cambria Math" w:hAnsi="Cambria Math" w:cs="Arial"/>
                <w:szCs w:val="20"/>
              </w:rPr>
              <m:t>ee</m:t>
            </m:r>
          </m:sub>
        </m:sSub>
      </m:oMath>
    </w:p>
    <w:p w14:paraId="54C41700" w14:textId="77777777" w:rsidR="004E6452" w:rsidRPr="001570EA" w:rsidRDefault="004E6452" w:rsidP="004E6452">
      <w:r w:rsidRPr="001570EA">
        <w:rPr>
          <w:i/>
        </w:rPr>
        <w:t>ΔkW</w:t>
      </w:r>
      <w:r w:rsidRPr="001570EA">
        <w:rPr>
          <w:i/>
          <w:vertAlign w:val="subscript"/>
        </w:rPr>
        <w:t>summer</w:t>
      </w:r>
      <w:r w:rsidRPr="001570EA">
        <w:rPr>
          <w:i/>
        </w:rPr>
        <w:t xml:space="preserve"> </w:t>
      </w:r>
      <w:r w:rsidRPr="001570EA">
        <w:rPr>
          <w:i/>
          <w:vertAlign w:val="subscript"/>
        </w:rPr>
        <w:t>peak</w:t>
      </w:r>
      <w:r w:rsidRPr="001570EA">
        <w:tab/>
      </w:r>
      <w:r w:rsidRPr="001570EA">
        <w:tab/>
      </w:r>
      <m:oMath>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kWh</m:t>
                </m:r>
                <m:r>
                  <m:rPr>
                    <m:sty m:val="p"/>
                  </m:rPr>
                  <w:rPr>
                    <w:rFonts w:ascii="Cambria Math" w:hAnsi="Cambria Math"/>
                  </w:rPr>
                  <m:t xml:space="preserve"> </m:t>
                </m:r>
              </m:e>
              <m:sub>
                <m:r>
                  <w:rPr>
                    <w:rFonts w:ascii="Cambria Math" w:hAnsi="Cambria Math"/>
                  </w:rPr>
                  <m:t>base</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kWh</m:t>
                </m:r>
              </m:e>
              <m:sub>
                <m:r>
                  <w:rPr>
                    <w:rFonts w:ascii="Cambria Math" w:hAnsi="Cambria Math"/>
                  </w:rPr>
                  <m:t>ee</m:t>
                </m:r>
              </m:sub>
            </m:sSub>
          </m:e>
        </m:d>
        <m:r>
          <m:rPr>
            <m:sty m:val="p"/>
          </m:rPr>
          <w:rPr>
            <w:rFonts w:ascii="Cambria Math" w:hAnsi="Cambria Math"/>
          </w:rPr>
          <m:t>×</m:t>
        </m:r>
        <m:sSub>
          <m:sSubPr>
            <m:ctrlPr>
              <w:rPr>
                <w:rFonts w:ascii="Cambria Math" w:hAnsi="Cambria Math"/>
                <w:i/>
              </w:rPr>
            </m:ctrlPr>
          </m:sSubPr>
          <m:e>
            <m:r>
              <w:rPr>
                <w:rFonts w:ascii="Cambria Math" w:hAnsi="Cambria Math"/>
              </w:rPr>
              <m:t>ETDF</m:t>
            </m:r>
          </m:e>
          <m:sub>
            <m:r>
              <w:rPr>
                <w:rFonts w:ascii="Cambria Math" w:hAnsi="Cambria Math"/>
              </w:rPr>
              <m:t>s</m:t>
            </m:r>
          </m:sub>
        </m:sSub>
      </m:oMath>
    </w:p>
    <w:p w14:paraId="01B32FE6" w14:textId="77777777" w:rsidR="004E6452" w:rsidRPr="001570EA" w:rsidRDefault="004E6452" w:rsidP="004E6452">
      <w:pPr>
        <w:pStyle w:val="SubStyle"/>
        <w:pBdr>
          <w:bottom w:val="none" w:sz="0" w:space="0" w:color="auto"/>
        </w:pBdr>
      </w:pPr>
    </w:p>
    <w:p w14:paraId="52413650" w14:textId="77777777" w:rsidR="004E6452" w:rsidRPr="001570EA" w:rsidRDefault="004E6452" w:rsidP="004E6452">
      <w:pPr>
        <w:pStyle w:val="NoSpacing"/>
        <w:spacing w:line="360" w:lineRule="auto"/>
        <w:rPr>
          <w:rFonts w:cs="Arial"/>
          <w:i/>
          <w:szCs w:val="20"/>
        </w:rPr>
      </w:pPr>
      <w:r w:rsidRPr="001570EA">
        <w:rPr>
          <w:rFonts w:cs="Arial"/>
          <w:i/>
          <w:szCs w:val="20"/>
        </w:rPr>
        <w:t>ΔkW</w:t>
      </w:r>
      <w:r w:rsidRPr="001570EA">
        <w:rPr>
          <w:rFonts w:cs="Arial"/>
          <w:i/>
          <w:szCs w:val="20"/>
          <w:vertAlign w:val="subscript"/>
        </w:rPr>
        <w:t>winter peak</w:t>
      </w:r>
      <w:r w:rsidRPr="001570EA">
        <w:rPr>
          <w:rFonts w:cs="Arial"/>
          <w:i/>
          <w:szCs w:val="20"/>
          <w:vertAlign w:val="subscript"/>
        </w:rPr>
        <w:tab/>
      </w:r>
      <w:r w:rsidRPr="001570EA">
        <w:rPr>
          <w:rFonts w:cs="Arial"/>
          <w:i/>
          <w:szCs w:val="20"/>
          <w:vertAlign w:val="subscript"/>
        </w:rPr>
        <w:tab/>
      </w:r>
      <m:oMath>
        <m:r>
          <w:rPr>
            <w:rFonts w:ascii="Cambria Math" w:hAnsi="Cambria Math" w:cs="Arial"/>
            <w:szCs w:val="20"/>
          </w:rPr>
          <m:t>=</m:t>
        </m:r>
        <m:d>
          <m:dPr>
            <m:ctrlPr>
              <w:rPr>
                <w:rFonts w:ascii="Cambria Math" w:hAnsi="Cambria Math" w:cs="Arial"/>
                <w:i/>
                <w:szCs w:val="20"/>
              </w:rPr>
            </m:ctrlPr>
          </m:dPr>
          <m:e>
            <m:sSub>
              <m:sSubPr>
                <m:ctrlPr>
                  <w:rPr>
                    <w:rFonts w:ascii="Cambria Math" w:hAnsi="Cambria Math" w:cs="Arial"/>
                    <w:i/>
                    <w:szCs w:val="20"/>
                  </w:rPr>
                </m:ctrlPr>
              </m:sSubPr>
              <m:e>
                <m:r>
                  <w:rPr>
                    <w:rFonts w:ascii="Cambria Math" w:hAnsi="Cambria Math" w:cs="Arial"/>
                    <w:szCs w:val="20"/>
                  </w:rPr>
                  <m:t>kWh</m:t>
                </m:r>
                <m:r>
                  <w:rPr>
                    <w:rFonts w:ascii="Cambria Math" w:hAnsi="Cambria Math" w:cs="Arial"/>
                    <w:szCs w:val="20"/>
                    <w:vertAlign w:val="subscript"/>
                  </w:rPr>
                  <m:t xml:space="preserve"> </m:t>
                </m:r>
              </m:e>
              <m:sub>
                <m:r>
                  <w:rPr>
                    <w:rFonts w:ascii="Cambria Math" w:hAnsi="Cambria Math" w:cs="Arial"/>
                    <w:szCs w:val="20"/>
                  </w:rPr>
                  <m:t>base</m:t>
                </m:r>
              </m:sub>
            </m:sSub>
            <m:r>
              <w:rPr>
                <w:rFonts w:ascii="Cambria Math" w:hAnsi="Cambria Math" w:cs="Arial"/>
                <w:szCs w:val="20"/>
                <w:vertAlign w:val="subscript"/>
              </w:rPr>
              <m:t xml:space="preserve"> </m:t>
            </m:r>
            <m:r>
              <w:rPr>
                <w:rFonts w:ascii="Cambria Math" w:hAnsi="Cambria Math" w:cs="Arial"/>
                <w:szCs w:val="20"/>
              </w:rPr>
              <m:t xml:space="preserve">–  </m:t>
            </m:r>
            <m:sSub>
              <m:sSubPr>
                <m:ctrlPr>
                  <w:rPr>
                    <w:rFonts w:ascii="Cambria Math" w:hAnsi="Cambria Math" w:cs="Arial"/>
                    <w:i/>
                    <w:szCs w:val="20"/>
                  </w:rPr>
                </m:ctrlPr>
              </m:sSubPr>
              <m:e>
                <m:r>
                  <w:rPr>
                    <w:rFonts w:ascii="Cambria Math" w:hAnsi="Cambria Math" w:cs="Arial"/>
                    <w:szCs w:val="20"/>
                  </w:rPr>
                  <m:t>kWh</m:t>
                </m:r>
              </m:e>
              <m:sub>
                <m:r>
                  <w:rPr>
                    <w:rFonts w:ascii="Cambria Math" w:hAnsi="Cambria Math" w:cs="Arial"/>
                    <w:szCs w:val="20"/>
                  </w:rPr>
                  <m:t>ee</m:t>
                </m:r>
              </m:sub>
            </m:sSub>
          </m:e>
        </m:d>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ETDF</m:t>
            </m:r>
          </m:e>
          <m:sub>
            <m:r>
              <w:rPr>
                <w:rFonts w:ascii="Cambria Math" w:hAnsi="Cambria Math" w:cs="Arial"/>
                <w:szCs w:val="20"/>
              </w:rPr>
              <m:t>w</m:t>
            </m:r>
          </m:sub>
        </m:sSub>
      </m:oMath>
    </w:p>
    <w:p w14:paraId="2ACD77E7" w14:textId="77777777" w:rsidR="004E6452" w:rsidRPr="001570EA" w:rsidRDefault="004E6452" w:rsidP="004E6452">
      <w:pPr>
        <w:pStyle w:val="SubStyle"/>
      </w:pPr>
    </w:p>
    <w:p w14:paraId="277DA56C" w14:textId="77777777" w:rsidR="004E6452" w:rsidRPr="001570EA" w:rsidRDefault="004E6452" w:rsidP="004E6452">
      <w:pPr>
        <w:pStyle w:val="SubStyle"/>
        <w:keepNext/>
      </w:pPr>
      <w:r w:rsidRPr="001570EA">
        <w:t>Definition of Terms</w:t>
      </w:r>
    </w:p>
    <w:p w14:paraId="1A3FE52C" w14:textId="19194BB3" w:rsidR="004E6452" w:rsidRPr="001570EA" w:rsidRDefault="004E6452" w:rsidP="004E6452">
      <w:pPr>
        <w:pStyle w:val="Caption"/>
      </w:pPr>
      <w:bookmarkStart w:id="554" w:name="_Ref533707311"/>
      <w:bookmarkStart w:id="555" w:name="_Toc47598317"/>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86</w:t>
      </w:r>
      <w:r w:rsidR="002E093A" w:rsidRPr="001570EA">
        <w:fldChar w:fldCharType="end"/>
      </w:r>
      <w:bookmarkEnd w:id="554"/>
      <w:r w:rsidRPr="001570EA">
        <w:t>: Terms, Values, and References for ENERGY STAR Freezers</w:t>
      </w:r>
      <w:bookmarkEnd w:id="5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1162"/>
        <w:gridCol w:w="2395"/>
        <w:gridCol w:w="1512"/>
      </w:tblGrid>
      <w:tr w:rsidR="004E6452" w:rsidRPr="001570EA" w14:paraId="0AB66192" w14:textId="77777777">
        <w:trPr>
          <w:trHeight w:hRule="exact" w:val="432"/>
          <w:tblHeader/>
        </w:trPr>
        <w:tc>
          <w:tcPr>
            <w:tcW w:w="3453" w:type="dxa"/>
            <w:shd w:val="clear" w:color="auto" w:fill="BFBFBF" w:themeFill="background1" w:themeFillShade="BF"/>
            <w:vAlign w:val="bottom"/>
          </w:tcPr>
          <w:p w14:paraId="204780A9" w14:textId="77777777" w:rsidR="004E6452" w:rsidRPr="001570EA" w:rsidRDefault="004E6452">
            <w:pPr>
              <w:rPr>
                <w:rFonts w:cs="Arial"/>
                <w:sz w:val="18"/>
                <w:szCs w:val="18"/>
              </w:rPr>
            </w:pPr>
            <w:r w:rsidRPr="001570EA">
              <w:rPr>
                <w:rFonts w:cs="Arial"/>
                <w:b/>
                <w:sz w:val="18"/>
                <w:szCs w:val="18"/>
              </w:rPr>
              <w:t>Term</w:t>
            </w:r>
          </w:p>
        </w:tc>
        <w:tc>
          <w:tcPr>
            <w:tcW w:w="1162" w:type="dxa"/>
            <w:shd w:val="clear" w:color="auto" w:fill="BFBFBF" w:themeFill="background1" w:themeFillShade="BF"/>
            <w:vAlign w:val="bottom"/>
          </w:tcPr>
          <w:p w14:paraId="721F854B" w14:textId="77777777" w:rsidR="004E6452" w:rsidRPr="001570EA" w:rsidRDefault="004E6452">
            <w:pPr>
              <w:jc w:val="center"/>
              <w:rPr>
                <w:rFonts w:cs="Arial"/>
                <w:sz w:val="18"/>
                <w:szCs w:val="18"/>
              </w:rPr>
            </w:pPr>
            <w:r w:rsidRPr="001570EA">
              <w:rPr>
                <w:rFonts w:cs="Arial"/>
                <w:b/>
                <w:sz w:val="18"/>
                <w:szCs w:val="18"/>
              </w:rPr>
              <w:t>Unit</w:t>
            </w:r>
          </w:p>
        </w:tc>
        <w:tc>
          <w:tcPr>
            <w:tcW w:w="2395" w:type="dxa"/>
            <w:shd w:val="clear" w:color="auto" w:fill="BFBFBF" w:themeFill="background1" w:themeFillShade="BF"/>
            <w:vAlign w:val="bottom"/>
          </w:tcPr>
          <w:p w14:paraId="3E498D66" w14:textId="77777777" w:rsidR="004E6452" w:rsidRPr="001570EA" w:rsidRDefault="004E6452">
            <w:pPr>
              <w:jc w:val="center"/>
              <w:rPr>
                <w:rFonts w:cs="Arial"/>
                <w:sz w:val="18"/>
                <w:szCs w:val="18"/>
              </w:rPr>
            </w:pPr>
            <w:r w:rsidRPr="001570EA">
              <w:rPr>
                <w:rFonts w:cs="Arial"/>
                <w:b/>
                <w:sz w:val="18"/>
                <w:szCs w:val="18"/>
              </w:rPr>
              <w:t>Value</w:t>
            </w:r>
          </w:p>
        </w:tc>
        <w:tc>
          <w:tcPr>
            <w:tcW w:w="1512" w:type="dxa"/>
            <w:shd w:val="clear" w:color="auto" w:fill="BFBFBF" w:themeFill="background1" w:themeFillShade="BF"/>
            <w:vAlign w:val="bottom"/>
          </w:tcPr>
          <w:p w14:paraId="26C26556" w14:textId="77777777" w:rsidR="004E6452" w:rsidRPr="001570EA" w:rsidRDefault="004E6452">
            <w:pPr>
              <w:jc w:val="center"/>
              <w:rPr>
                <w:rFonts w:cs="Arial"/>
                <w:sz w:val="18"/>
                <w:szCs w:val="18"/>
              </w:rPr>
            </w:pPr>
            <w:r w:rsidRPr="001570EA">
              <w:rPr>
                <w:rFonts w:cs="Arial"/>
                <w:b/>
                <w:sz w:val="18"/>
                <w:szCs w:val="18"/>
              </w:rPr>
              <w:t>Source</w:t>
            </w:r>
          </w:p>
        </w:tc>
      </w:tr>
      <w:tr w:rsidR="004E6452" w:rsidRPr="001570EA" w14:paraId="7725E1F8" w14:textId="77777777">
        <w:trPr>
          <w:trHeight w:hRule="exact" w:val="1153"/>
        </w:trPr>
        <w:tc>
          <w:tcPr>
            <w:tcW w:w="3453" w:type="dxa"/>
            <w:vAlign w:val="center"/>
          </w:tcPr>
          <w:p w14:paraId="11C9E2E7" w14:textId="104A0A41" w:rsidR="004E6452" w:rsidRPr="001570EA" w:rsidRDefault="004E6452">
            <w:pPr>
              <w:spacing w:before="120" w:after="200"/>
              <w:rPr>
                <w:rFonts w:cs="Arial"/>
                <w:sz w:val="18"/>
                <w:szCs w:val="18"/>
              </w:rPr>
            </w:pPr>
            <w:r w:rsidRPr="001570EA">
              <w:rPr>
                <w:rFonts w:cs="Arial"/>
                <w:i/>
                <w:sz w:val="18"/>
                <w:szCs w:val="18"/>
              </w:rPr>
              <w:t>kWh</w:t>
            </w:r>
            <w:r w:rsidRPr="001570EA">
              <w:rPr>
                <w:rFonts w:cs="Arial"/>
                <w:i/>
                <w:sz w:val="18"/>
                <w:szCs w:val="18"/>
                <w:vertAlign w:val="subscript"/>
              </w:rPr>
              <w:t>base</w:t>
            </w:r>
            <w:r w:rsidRPr="001570EA">
              <w:rPr>
                <w:rFonts w:cs="Arial"/>
                <w:sz w:val="18"/>
                <w:szCs w:val="18"/>
              </w:rPr>
              <w:t>, Annual energy consumption of baseline unit</w:t>
            </w:r>
          </w:p>
        </w:tc>
        <w:tc>
          <w:tcPr>
            <w:tcW w:w="1162" w:type="dxa"/>
            <w:vAlign w:val="center"/>
          </w:tcPr>
          <w:p w14:paraId="091268A0" w14:textId="77777777" w:rsidR="004E6452" w:rsidRPr="001570EA" w:rsidRDefault="004E6452">
            <w:pPr>
              <w:spacing w:before="120" w:after="200"/>
              <w:jc w:val="center"/>
              <w:rPr>
                <w:rFonts w:cs="Arial"/>
                <w:i/>
                <w:sz w:val="18"/>
                <w:szCs w:val="18"/>
              </w:rPr>
            </w:pPr>
            <w:r w:rsidRPr="001570EA">
              <w:rPr>
                <w:rFonts w:cs="Arial"/>
                <w:i/>
                <w:sz w:val="18"/>
                <w:szCs w:val="18"/>
              </w:rPr>
              <w:t>kWh/yr</w:t>
            </w:r>
          </w:p>
        </w:tc>
        <w:tc>
          <w:tcPr>
            <w:tcW w:w="2395" w:type="dxa"/>
            <w:vAlign w:val="center"/>
          </w:tcPr>
          <w:p w14:paraId="22447827" w14:textId="77777777" w:rsidR="004E6452" w:rsidRPr="001570EA" w:rsidRDefault="004E6452">
            <w:pPr>
              <w:jc w:val="center"/>
              <w:rPr>
                <w:sz w:val="18"/>
                <w:szCs w:val="18"/>
              </w:rPr>
            </w:pPr>
            <w:r w:rsidRPr="001570EA">
              <w:rPr>
                <w:sz w:val="18"/>
                <w:szCs w:val="18"/>
              </w:rPr>
              <w:t>EDC Data Gathering</w:t>
            </w:r>
          </w:p>
          <w:p w14:paraId="37C22239" w14:textId="23CEEED7" w:rsidR="004E6452" w:rsidRPr="001570EA" w:rsidRDefault="004E6452">
            <w:pPr>
              <w:jc w:val="center"/>
            </w:pPr>
            <w:r w:rsidRPr="001570EA">
              <w:rPr>
                <w:sz w:val="18"/>
                <w:szCs w:val="18"/>
              </w:rPr>
              <w:t xml:space="preserve">Default = </w:t>
            </w:r>
            <w:r w:rsidRPr="001570EA">
              <w:rPr>
                <w:sz w:val="18"/>
                <w:szCs w:val="18"/>
              </w:rPr>
              <w:fldChar w:fldCharType="begin"/>
            </w:r>
            <w:r w:rsidRPr="001570EA">
              <w:rPr>
                <w:sz w:val="18"/>
                <w:szCs w:val="18"/>
              </w:rPr>
              <w:instrText xml:space="preserve"> REF _Ref533165960 \h  \* MERGEFORMAT </w:instrText>
            </w:r>
            <w:r w:rsidRPr="001570EA">
              <w:rPr>
                <w:sz w:val="18"/>
                <w:szCs w:val="18"/>
              </w:rPr>
            </w:r>
            <w:r w:rsidRPr="001570EA">
              <w:rPr>
                <w:sz w:val="18"/>
                <w:szCs w:val="18"/>
              </w:rPr>
              <w:fldChar w:fldCharType="separate"/>
            </w:r>
            <w:r w:rsidR="00234C6C" w:rsidRPr="001570EA">
              <w:rPr>
                <w:sz w:val="18"/>
                <w:szCs w:val="18"/>
              </w:rPr>
              <w:t xml:space="preserve">Table </w:t>
            </w:r>
            <w:r w:rsidR="00234C6C" w:rsidRPr="001570EA">
              <w:rPr>
                <w:noProof/>
                <w:sz w:val="18"/>
                <w:szCs w:val="18"/>
              </w:rPr>
              <w:t>2</w:t>
            </w:r>
            <w:r w:rsidRPr="001570EA">
              <w:rPr>
                <w:sz w:val="18"/>
                <w:szCs w:val="18"/>
              </w:rPr>
              <w:fldChar w:fldCharType="end"/>
            </w:r>
          </w:p>
        </w:tc>
        <w:tc>
          <w:tcPr>
            <w:tcW w:w="1512" w:type="dxa"/>
            <w:vAlign w:val="center"/>
          </w:tcPr>
          <w:p w14:paraId="2DA7A512" w14:textId="77777777" w:rsidR="004E6452" w:rsidRPr="001570EA" w:rsidRDefault="004E6452">
            <w:pPr>
              <w:spacing w:before="120"/>
              <w:jc w:val="center"/>
              <w:rPr>
                <w:rFonts w:cs="Arial"/>
                <w:sz w:val="18"/>
                <w:szCs w:val="18"/>
              </w:rPr>
            </w:pPr>
            <w:r w:rsidRPr="001570EA">
              <w:rPr>
                <w:sz w:val="18"/>
                <w:szCs w:val="18"/>
              </w:rPr>
              <w:t>EDC Data Gathering,</w:t>
            </w:r>
            <w:r w:rsidRPr="001570EA">
              <w:rPr>
                <w:rFonts w:cs="Arial"/>
                <w:sz w:val="18"/>
                <w:szCs w:val="18"/>
              </w:rPr>
              <w:t xml:space="preserve"> </w:t>
            </w:r>
          </w:p>
          <w:p w14:paraId="13747E81" w14:textId="77777777" w:rsidR="004E6452" w:rsidRPr="001570EA" w:rsidRDefault="004E6452">
            <w:pPr>
              <w:spacing w:before="120"/>
              <w:jc w:val="center"/>
              <w:rPr>
                <w:rFonts w:cs="Arial"/>
                <w:sz w:val="18"/>
                <w:szCs w:val="18"/>
              </w:rPr>
            </w:pPr>
            <w:r w:rsidRPr="001570EA">
              <w:rPr>
                <w:rFonts w:cs="Arial"/>
                <w:sz w:val="18"/>
                <w:szCs w:val="18"/>
              </w:rPr>
              <w:t>1</w:t>
            </w:r>
          </w:p>
        </w:tc>
      </w:tr>
      <w:tr w:rsidR="004E6452" w:rsidRPr="001570EA" w14:paraId="37420466" w14:textId="77777777">
        <w:trPr>
          <w:trHeight w:val="72"/>
        </w:trPr>
        <w:tc>
          <w:tcPr>
            <w:tcW w:w="3453" w:type="dxa"/>
            <w:vAlign w:val="center"/>
          </w:tcPr>
          <w:p w14:paraId="035ACF66" w14:textId="03780BC0" w:rsidR="004E6452" w:rsidRPr="001570EA" w:rsidRDefault="004E6452">
            <w:pPr>
              <w:spacing w:before="120" w:after="200"/>
              <w:rPr>
                <w:rFonts w:cs="Arial"/>
                <w:sz w:val="18"/>
                <w:szCs w:val="18"/>
              </w:rPr>
            </w:pPr>
            <w:r w:rsidRPr="001570EA">
              <w:rPr>
                <w:rFonts w:cs="Arial"/>
                <w:i/>
                <w:sz w:val="18"/>
                <w:szCs w:val="18"/>
              </w:rPr>
              <w:t>kWh</w:t>
            </w:r>
            <w:r w:rsidRPr="001570EA">
              <w:rPr>
                <w:rFonts w:cs="Arial"/>
                <w:i/>
                <w:sz w:val="18"/>
                <w:szCs w:val="18"/>
                <w:vertAlign w:val="subscript"/>
              </w:rPr>
              <w:t>ee</w:t>
            </w:r>
            <w:r w:rsidRPr="001570EA">
              <w:rPr>
                <w:rFonts w:cs="Arial"/>
                <w:i/>
                <w:sz w:val="18"/>
                <w:szCs w:val="18"/>
              </w:rPr>
              <w:t xml:space="preserve">, </w:t>
            </w:r>
            <w:r w:rsidRPr="001570EA">
              <w:rPr>
                <w:rFonts w:cs="Arial"/>
                <w:sz w:val="18"/>
                <w:szCs w:val="18"/>
              </w:rPr>
              <w:t>Annual energy consumption of ENERGY STAR qualified unit</w:t>
            </w:r>
            <w:r w:rsidRPr="001570EA">
              <w:rPr>
                <w:i/>
                <w:sz w:val="18"/>
                <w:szCs w:val="18"/>
              </w:rPr>
              <w:tab/>
            </w:r>
          </w:p>
        </w:tc>
        <w:tc>
          <w:tcPr>
            <w:tcW w:w="1162" w:type="dxa"/>
            <w:vAlign w:val="center"/>
          </w:tcPr>
          <w:p w14:paraId="4DD32989" w14:textId="77777777" w:rsidR="004E6452" w:rsidRPr="001570EA" w:rsidRDefault="004E6452">
            <w:pPr>
              <w:spacing w:before="120"/>
              <w:jc w:val="center"/>
              <w:rPr>
                <w:rFonts w:cs="Arial"/>
                <w:i/>
                <w:sz w:val="18"/>
                <w:szCs w:val="18"/>
              </w:rPr>
            </w:pPr>
            <w:r w:rsidRPr="001570EA">
              <w:rPr>
                <w:rFonts w:cs="Arial"/>
                <w:i/>
                <w:sz w:val="18"/>
                <w:szCs w:val="18"/>
              </w:rPr>
              <w:t>kWh/yr</w:t>
            </w:r>
          </w:p>
        </w:tc>
        <w:tc>
          <w:tcPr>
            <w:tcW w:w="2395" w:type="dxa"/>
            <w:vAlign w:val="center"/>
          </w:tcPr>
          <w:p w14:paraId="38ED506D" w14:textId="77777777" w:rsidR="004E6452" w:rsidRPr="001570EA" w:rsidRDefault="004E6452">
            <w:pPr>
              <w:jc w:val="center"/>
              <w:rPr>
                <w:sz w:val="18"/>
                <w:szCs w:val="18"/>
              </w:rPr>
            </w:pPr>
            <w:r w:rsidRPr="001570EA">
              <w:rPr>
                <w:sz w:val="18"/>
                <w:szCs w:val="18"/>
              </w:rPr>
              <w:t>EDC Data Gathering</w:t>
            </w:r>
          </w:p>
          <w:p w14:paraId="03332F68" w14:textId="3CA0F993" w:rsidR="004E6452" w:rsidRPr="001570EA" w:rsidRDefault="004E6452">
            <w:pPr>
              <w:jc w:val="center"/>
              <w:rPr>
                <w:sz w:val="18"/>
                <w:szCs w:val="18"/>
              </w:rPr>
            </w:pPr>
            <w:r w:rsidRPr="001570EA">
              <w:rPr>
                <w:sz w:val="18"/>
                <w:szCs w:val="18"/>
              </w:rPr>
              <w:t xml:space="preserve">Default = </w:t>
            </w:r>
            <w:r w:rsidRPr="001570EA">
              <w:rPr>
                <w:sz w:val="18"/>
                <w:szCs w:val="18"/>
              </w:rPr>
              <w:fldChar w:fldCharType="begin"/>
            </w:r>
            <w:r w:rsidRPr="001570EA">
              <w:rPr>
                <w:sz w:val="18"/>
                <w:szCs w:val="18"/>
              </w:rPr>
              <w:instrText xml:space="preserve"> REF _Ref160812934 \h </w:instrText>
            </w:r>
            <w:r w:rsidR="001570EA">
              <w:rPr>
                <w:sz w:val="18"/>
                <w:szCs w:val="18"/>
              </w:rPr>
              <w:instrText xml:space="preserve"> \* MERGEFORMAT </w:instrText>
            </w:r>
            <w:r w:rsidRPr="001570EA">
              <w:rPr>
                <w:sz w:val="18"/>
                <w:szCs w:val="18"/>
              </w:rPr>
            </w:r>
            <w:r w:rsidRPr="001570EA">
              <w:rPr>
                <w:sz w:val="18"/>
                <w:szCs w:val="18"/>
              </w:rPr>
              <w:fldChar w:fldCharType="separate"/>
            </w:r>
            <w:r w:rsidR="00234C6C" w:rsidRPr="001570EA">
              <w:t xml:space="preserve">Table </w:t>
            </w:r>
            <w:r w:rsidR="00234C6C" w:rsidRPr="001570EA">
              <w:rPr>
                <w:noProof/>
              </w:rPr>
              <w:t>2</w:t>
            </w:r>
            <w:r w:rsidRPr="001570EA">
              <w:rPr>
                <w:sz w:val="18"/>
                <w:szCs w:val="18"/>
              </w:rPr>
              <w:fldChar w:fldCharType="end"/>
            </w:r>
          </w:p>
        </w:tc>
        <w:tc>
          <w:tcPr>
            <w:tcW w:w="1512" w:type="dxa"/>
            <w:vAlign w:val="center"/>
          </w:tcPr>
          <w:p w14:paraId="5DAE5909" w14:textId="77777777" w:rsidR="004E6452" w:rsidRPr="001570EA" w:rsidRDefault="004E6452">
            <w:pPr>
              <w:spacing w:before="120"/>
              <w:jc w:val="center"/>
              <w:rPr>
                <w:rFonts w:cs="Arial"/>
                <w:sz w:val="18"/>
                <w:szCs w:val="18"/>
              </w:rPr>
            </w:pPr>
            <w:r w:rsidRPr="001570EA">
              <w:rPr>
                <w:sz w:val="18"/>
                <w:szCs w:val="18"/>
              </w:rPr>
              <w:t>EDC Data Gathering,</w:t>
            </w:r>
            <w:r w:rsidRPr="001570EA">
              <w:rPr>
                <w:rFonts w:cs="Arial"/>
                <w:sz w:val="18"/>
                <w:szCs w:val="18"/>
              </w:rPr>
              <w:t xml:space="preserve"> </w:t>
            </w:r>
          </w:p>
          <w:p w14:paraId="049A8737" w14:textId="77777777" w:rsidR="004E6452" w:rsidRPr="001570EA" w:rsidRDefault="004E6452">
            <w:pPr>
              <w:spacing w:before="120"/>
              <w:jc w:val="center"/>
              <w:rPr>
                <w:rFonts w:cs="Arial"/>
                <w:sz w:val="18"/>
                <w:szCs w:val="18"/>
              </w:rPr>
            </w:pPr>
            <w:r w:rsidRPr="001570EA">
              <w:rPr>
                <w:rFonts w:cs="Arial"/>
                <w:sz w:val="18"/>
                <w:szCs w:val="18"/>
              </w:rPr>
              <w:t>2</w:t>
            </w:r>
          </w:p>
        </w:tc>
      </w:tr>
      <w:tr w:rsidR="004E6452" w:rsidRPr="001570EA" w14:paraId="2FFCB74C" w14:textId="77777777">
        <w:trPr>
          <w:trHeight w:val="899"/>
        </w:trPr>
        <w:tc>
          <w:tcPr>
            <w:tcW w:w="3453" w:type="dxa"/>
            <w:vAlign w:val="center"/>
          </w:tcPr>
          <w:p w14:paraId="7AAF9877" w14:textId="2F6777B4" w:rsidR="004E6452" w:rsidRPr="001570EA" w:rsidRDefault="004E6452">
            <w:pPr>
              <w:spacing w:before="120"/>
              <w:rPr>
                <w:rFonts w:cs="Arial"/>
                <w:sz w:val="18"/>
                <w:szCs w:val="18"/>
              </w:rPr>
            </w:pPr>
            <w:r w:rsidRPr="001570EA">
              <w:rPr>
                <w:rFonts w:cs="Arial"/>
                <w:i/>
                <w:sz w:val="18"/>
                <w:szCs w:val="18"/>
              </w:rPr>
              <w:t>ETDF</w:t>
            </w:r>
            <w:r w:rsidRPr="001570EA">
              <w:rPr>
                <w:rFonts w:cs="Arial"/>
                <w:i/>
                <w:sz w:val="18"/>
                <w:szCs w:val="18"/>
                <w:vertAlign w:val="subscript"/>
              </w:rPr>
              <w:t>s</w:t>
            </w:r>
            <w:r w:rsidRPr="001570EA">
              <w:rPr>
                <w:rFonts w:cs="Arial"/>
                <w:sz w:val="18"/>
                <w:szCs w:val="18"/>
              </w:rPr>
              <w:t>, Summer Energy to Demand Factor</w:t>
            </w:r>
          </w:p>
        </w:tc>
        <w:tc>
          <w:tcPr>
            <w:tcW w:w="1162" w:type="dxa"/>
            <w:vAlign w:val="center"/>
          </w:tcPr>
          <w:p w14:paraId="3D78FE26" w14:textId="77777777" w:rsidR="004E6452" w:rsidRPr="001570EA" w:rsidRDefault="003B5E04">
            <w:pPr>
              <w:spacing w:before="120"/>
              <w:jc w:val="center"/>
              <w:rPr>
                <w:rFonts w:cs="Arial"/>
                <w:sz w:val="18"/>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395" w:type="dxa"/>
            <w:vAlign w:val="center"/>
          </w:tcPr>
          <w:p w14:paraId="65BAC774" w14:textId="77777777" w:rsidR="004E6452" w:rsidRPr="001570EA" w:rsidDel="00536073" w:rsidRDefault="004E6452">
            <w:pPr>
              <w:spacing w:before="120"/>
              <w:jc w:val="center"/>
              <w:rPr>
                <w:rFonts w:cs="Arial"/>
                <w:sz w:val="18"/>
                <w:szCs w:val="18"/>
              </w:rPr>
            </w:pPr>
            <w:r w:rsidRPr="001570EA">
              <w:rPr>
                <w:rFonts w:cs="Arial"/>
                <w:sz w:val="18"/>
                <w:szCs w:val="18"/>
              </w:rPr>
              <w:t>0.0001387</w:t>
            </w:r>
          </w:p>
        </w:tc>
        <w:tc>
          <w:tcPr>
            <w:tcW w:w="1512" w:type="dxa"/>
            <w:vAlign w:val="center"/>
          </w:tcPr>
          <w:p w14:paraId="49828A34" w14:textId="77777777" w:rsidR="004E6452" w:rsidRPr="001570EA" w:rsidRDefault="004E6452">
            <w:pPr>
              <w:spacing w:before="120"/>
              <w:jc w:val="center"/>
              <w:rPr>
                <w:rFonts w:cs="Arial"/>
                <w:sz w:val="18"/>
                <w:szCs w:val="18"/>
              </w:rPr>
            </w:pPr>
            <w:r w:rsidRPr="001570EA">
              <w:rPr>
                <w:rFonts w:cs="Arial"/>
                <w:sz w:val="18"/>
                <w:szCs w:val="18"/>
              </w:rPr>
              <w:t>6</w:t>
            </w:r>
          </w:p>
        </w:tc>
      </w:tr>
      <w:tr w:rsidR="004E6452" w:rsidRPr="001570EA" w14:paraId="38216D66" w14:textId="77777777">
        <w:trPr>
          <w:trHeight w:val="899"/>
        </w:trPr>
        <w:tc>
          <w:tcPr>
            <w:tcW w:w="3453" w:type="dxa"/>
            <w:vAlign w:val="center"/>
          </w:tcPr>
          <w:p w14:paraId="0D10A040" w14:textId="2F67FBA6" w:rsidR="004E6452" w:rsidRPr="001570EA" w:rsidRDefault="004E6452">
            <w:pPr>
              <w:spacing w:before="120"/>
              <w:rPr>
                <w:rFonts w:cs="Arial"/>
                <w:i/>
                <w:sz w:val="18"/>
                <w:szCs w:val="18"/>
              </w:rPr>
            </w:pPr>
            <w:r w:rsidRPr="001570EA">
              <w:rPr>
                <w:rFonts w:cs="Arial"/>
                <w:i/>
                <w:sz w:val="18"/>
                <w:szCs w:val="18"/>
              </w:rPr>
              <w:t>ETDF</w:t>
            </w:r>
            <w:r w:rsidRPr="001570EA">
              <w:rPr>
                <w:rFonts w:cs="Arial"/>
                <w:i/>
                <w:sz w:val="18"/>
                <w:szCs w:val="18"/>
                <w:vertAlign w:val="subscript"/>
              </w:rPr>
              <w:t>w</w:t>
            </w:r>
            <w:r w:rsidRPr="001570EA">
              <w:rPr>
                <w:rFonts w:cs="Arial"/>
                <w:sz w:val="18"/>
                <w:szCs w:val="18"/>
              </w:rPr>
              <w:t>, Winter Energy to Demand Factor</w:t>
            </w:r>
          </w:p>
        </w:tc>
        <w:tc>
          <w:tcPr>
            <w:tcW w:w="1162" w:type="dxa"/>
            <w:vAlign w:val="center"/>
          </w:tcPr>
          <w:p w14:paraId="51E06F38" w14:textId="77777777" w:rsidR="004E6452" w:rsidRPr="001570EA" w:rsidRDefault="003B5E04">
            <w:pPr>
              <w:spacing w:before="120"/>
              <w:jc w:val="center"/>
              <w:rPr>
                <w:rFonts w:cs="Arial"/>
                <w:color w:val="000000"/>
                <w:sz w:val="18"/>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395" w:type="dxa"/>
            <w:vAlign w:val="center"/>
          </w:tcPr>
          <w:p w14:paraId="2A17AB7C" w14:textId="77777777" w:rsidR="004E6452" w:rsidRPr="001570EA" w:rsidRDefault="004E6452">
            <w:pPr>
              <w:spacing w:before="120"/>
              <w:jc w:val="center"/>
              <w:rPr>
                <w:rFonts w:cs="Arial"/>
                <w:sz w:val="18"/>
                <w:szCs w:val="18"/>
              </w:rPr>
            </w:pPr>
            <w:r w:rsidRPr="001570EA">
              <w:rPr>
                <w:rFonts w:cs="Arial"/>
                <w:sz w:val="18"/>
                <w:szCs w:val="18"/>
              </w:rPr>
              <w:t>0.0000998</w:t>
            </w:r>
          </w:p>
        </w:tc>
        <w:tc>
          <w:tcPr>
            <w:tcW w:w="1512" w:type="dxa"/>
            <w:vAlign w:val="center"/>
          </w:tcPr>
          <w:p w14:paraId="691A7C5A" w14:textId="77777777" w:rsidR="004E6452" w:rsidRPr="001570EA" w:rsidRDefault="004E6452">
            <w:pPr>
              <w:spacing w:before="120"/>
              <w:jc w:val="center"/>
              <w:rPr>
                <w:rFonts w:cs="Arial"/>
                <w:sz w:val="18"/>
                <w:szCs w:val="18"/>
              </w:rPr>
            </w:pPr>
            <w:r w:rsidRPr="001570EA">
              <w:rPr>
                <w:rFonts w:cs="Arial"/>
                <w:sz w:val="18"/>
                <w:szCs w:val="18"/>
              </w:rPr>
              <w:t>6</w:t>
            </w:r>
          </w:p>
        </w:tc>
      </w:tr>
    </w:tbl>
    <w:p w14:paraId="756EC0B0" w14:textId="77777777" w:rsidR="004E6452" w:rsidRPr="001570EA" w:rsidRDefault="004E6452" w:rsidP="004E6452">
      <w:pPr>
        <w:pStyle w:val="NoSpacing"/>
        <w:rPr>
          <w:rFonts w:cs="Arial"/>
          <w:szCs w:val="20"/>
        </w:rPr>
      </w:pPr>
    </w:p>
    <w:p w14:paraId="34E30996" w14:textId="493785F1" w:rsidR="004E6452" w:rsidRPr="001570EA" w:rsidRDefault="004E6452" w:rsidP="004E6452">
      <w:pPr>
        <w:rPr>
          <w:b/>
        </w:rPr>
      </w:pPr>
      <w:r w:rsidRPr="001570EA">
        <w:t xml:space="preserve">Freezer energy use is characterized by configuration (upright, chest), volume, and whether defrost is manual or automatic. If this information is known, annual energy consumption of the federal minimum efficiency standard model may be determined using </w:t>
      </w:r>
      <w:r w:rsidRPr="001570EA">
        <w:fldChar w:fldCharType="begin"/>
      </w:r>
      <w:r w:rsidRPr="001570EA">
        <w:instrText xml:space="preserve"> REF _Ref533707311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Pr="001570EA">
        <w:fldChar w:fldCharType="end"/>
      </w:r>
      <w:r w:rsidR="009A3F5B">
        <w:t>-86</w:t>
      </w:r>
      <w:r w:rsidRPr="001570EA">
        <w:t>. The efficient model’s annual energy consumption (kWh</w:t>
      </w:r>
      <w:r w:rsidRPr="001570EA">
        <w:rPr>
          <w:vertAlign w:val="subscript"/>
        </w:rPr>
        <w:t>ee</w:t>
      </w:r>
      <w:r w:rsidRPr="001570EA">
        <w:t xml:space="preserve">) may be determined using manufacturers’ test data for the given model. Where test data is not available, the algorithms in </w:t>
      </w:r>
      <w:r w:rsidRPr="001570EA">
        <w:fldChar w:fldCharType="begin"/>
      </w:r>
      <w:r w:rsidRPr="001570EA">
        <w:instrText xml:space="preserve"> REF _Ref533165960 \h </w:instrText>
      </w:r>
      <w:r w:rsidR="001570EA">
        <w:instrText xml:space="preserve"> \* MERGEFORMAT </w:instrText>
      </w:r>
      <w:r w:rsidRPr="001570EA">
        <w:fldChar w:fldCharType="separate"/>
      </w:r>
      <w:r w:rsidR="001723B1" w:rsidRPr="001570EA">
        <w:t xml:space="preserve">Table </w:t>
      </w:r>
      <w:r w:rsidR="001723B1" w:rsidRPr="001570EA">
        <w:rPr>
          <w:noProof/>
        </w:rPr>
        <w:t>2</w:t>
      </w:r>
      <w:r w:rsidR="001723B1" w:rsidRPr="001570EA">
        <w:rPr>
          <w:noProof/>
        </w:rPr>
        <w:noBreakHyphen/>
        <w:t>87</w:t>
      </w:r>
      <w:r w:rsidRPr="001570EA">
        <w:fldChar w:fldCharType="end"/>
      </w:r>
      <w:r w:rsidRPr="001570EA">
        <w:t xml:space="preserve"> for “ENERGY STAR maximum energy usage in kWh/year” may be used to determine efficient energy consumption for a conservative savings estimate. The term “AV” in the equations refers to “Adjusted Volume,” which is </w:t>
      </w:r>
      <w:r w:rsidRPr="001570EA">
        <w:rPr>
          <w:rFonts w:ascii="Cambria Math" w:hAnsi="Cambria Math"/>
        </w:rPr>
        <w:t>AV = 1.76 × Freezer Volume</w:t>
      </w:r>
      <w:r w:rsidRPr="001570EA">
        <w:t>.</w:t>
      </w:r>
    </w:p>
    <w:p w14:paraId="04F39DD5" w14:textId="77777777" w:rsidR="004E6452" w:rsidRPr="001570EA" w:rsidRDefault="004E6452" w:rsidP="004E6452">
      <w:pPr>
        <w:pStyle w:val="Caption"/>
        <w:spacing w:after="0"/>
      </w:pPr>
    </w:p>
    <w:p w14:paraId="10FA9BCB" w14:textId="09E916F1" w:rsidR="004E6452" w:rsidRPr="001570EA" w:rsidRDefault="004E6452" w:rsidP="004E6452">
      <w:pPr>
        <w:pStyle w:val="Caption"/>
      </w:pPr>
      <w:bookmarkStart w:id="556" w:name="_Ref533165960"/>
      <w:bookmarkStart w:id="557" w:name="_Toc530141736"/>
      <w:bookmarkStart w:id="558" w:name="_Ref532893544"/>
      <w:bookmarkStart w:id="559" w:name="_Toc4759831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87</w:t>
      </w:r>
      <w:r w:rsidR="002E093A" w:rsidRPr="001570EA">
        <w:fldChar w:fldCharType="end"/>
      </w:r>
      <w:bookmarkEnd w:id="556"/>
      <w:r w:rsidRPr="001570EA">
        <w:t>: Federal Standard Maximum Annual Energy Consumption</w:t>
      </w:r>
      <w:r w:rsidRPr="001570EA">
        <w:rPr>
          <w:rStyle w:val="FootnoteReference"/>
        </w:rPr>
        <w:footnoteReference w:id="8"/>
      </w:r>
      <w:bookmarkEnd w:id="557"/>
      <w:bookmarkEnd w:id="558"/>
      <w:bookmarkEnd w:id="559"/>
    </w:p>
    <w:tbl>
      <w:tblPr>
        <w:tblW w:w="5000" w:type="pct"/>
        <w:tblLook w:val="04A0" w:firstRow="1" w:lastRow="0" w:firstColumn="1" w:lastColumn="0" w:noHBand="0" w:noVBand="1"/>
      </w:tblPr>
      <w:tblGrid>
        <w:gridCol w:w="2201"/>
        <w:gridCol w:w="1876"/>
        <w:gridCol w:w="1885"/>
        <w:gridCol w:w="2668"/>
      </w:tblGrid>
      <w:tr w:rsidR="004E6452" w:rsidRPr="001570EA" w14:paraId="52381AD0" w14:textId="77777777">
        <w:trPr>
          <w:trHeight w:val="845"/>
          <w:tblHeader/>
        </w:trPr>
        <w:tc>
          <w:tcPr>
            <w:tcW w:w="131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937830C" w14:textId="77777777" w:rsidR="004E6452" w:rsidRPr="001570EA" w:rsidRDefault="004E6452">
            <w:pPr>
              <w:spacing w:before="80" w:after="80"/>
              <w:rPr>
                <w:rFonts w:cs="Arial"/>
                <w:b/>
                <w:bCs/>
                <w:color w:val="000000"/>
                <w:sz w:val="18"/>
                <w:szCs w:val="18"/>
              </w:rPr>
            </w:pPr>
            <w:r w:rsidRPr="001570EA">
              <w:rPr>
                <w:rFonts w:cs="Arial"/>
                <w:b/>
                <w:bCs/>
                <w:color w:val="000000"/>
                <w:sz w:val="18"/>
                <w:szCs w:val="18"/>
              </w:rPr>
              <w:t>F</w:t>
            </w:r>
            <w:r w:rsidRPr="001570EA">
              <w:rPr>
                <w:rFonts w:cs="Arial"/>
              </w:rPr>
              <w:t>reezer</w:t>
            </w:r>
            <w:r w:rsidRPr="001570EA">
              <w:rPr>
                <w:rFonts w:cs="Arial"/>
                <w:b/>
                <w:bCs/>
                <w:color w:val="000000"/>
                <w:sz w:val="18"/>
                <w:szCs w:val="18"/>
              </w:rPr>
              <w:t xml:space="preserve"> Category</w:t>
            </w:r>
          </w:p>
        </w:tc>
        <w:tc>
          <w:tcPr>
            <w:tcW w:w="1123"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1AB6E6D" w14:textId="77777777" w:rsidR="004E6452" w:rsidRPr="001570EA" w:rsidRDefault="004E6452">
            <w:pPr>
              <w:spacing w:before="80" w:after="80"/>
              <w:jc w:val="center"/>
              <w:rPr>
                <w:rFonts w:ascii="Arial Bold" w:hAnsi="Arial Bold" w:cs="Arial"/>
                <w:b/>
                <w:bCs/>
                <w:color w:val="000000"/>
                <w:sz w:val="18"/>
                <w:szCs w:val="18"/>
              </w:rPr>
            </w:pPr>
            <w:r w:rsidRPr="001570EA">
              <w:rPr>
                <w:rFonts w:cs="Arial"/>
                <w:b/>
                <w:bCs/>
                <w:color w:val="000000"/>
                <w:sz w:val="18"/>
                <w:szCs w:val="18"/>
              </w:rPr>
              <w:t>9/15/14 - 1/30/29</w:t>
            </w:r>
          </w:p>
        </w:tc>
        <w:tc>
          <w:tcPr>
            <w:tcW w:w="112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8B82A3C" w14:textId="77777777" w:rsidR="004E6452" w:rsidRPr="001570EA" w:rsidRDefault="004E6452">
            <w:pPr>
              <w:spacing w:before="80" w:after="80"/>
              <w:jc w:val="center"/>
              <w:rPr>
                <w:rFonts w:cs="Arial"/>
                <w:b/>
                <w:bCs/>
                <w:color w:val="000000"/>
                <w:sz w:val="18"/>
                <w:szCs w:val="18"/>
              </w:rPr>
            </w:pPr>
            <w:r w:rsidRPr="001570EA">
              <w:rPr>
                <w:rFonts w:cs="Arial"/>
                <w:b/>
                <w:bCs/>
                <w:color w:val="000000"/>
                <w:sz w:val="18"/>
                <w:szCs w:val="18"/>
              </w:rPr>
              <w:t>1/31/29 - 1/30/30</w:t>
            </w:r>
          </w:p>
        </w:tc>
        <w:tc>
          <w:tcPr>
            <w:tcW w:w="1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390316" w14:textId="77777777" w:rsidR="004E6452" w:rsidRPr="001570EA" w:rsidRDefault="004E6452">
            <w:pPr>
              <w:spacing w:before="80" w:after="80"/>
              <w:jc w:val="center"/>
              <w:rPr>
                <w:rFonts w:ascii="Arial Bold" w:hAnsi="Arial Bold" w:cs="Arial"/>
                <w:b/>
                <w:bCs/>
                <w:color w:val="000000"/>
                <w:sz w:val="18"/>
                <w:szCs w:val="18"/>
                <w:vertAlign w:val="superscript"/>
              </w:rPr>
            </w:pPr>
            <w:r w:rsidRPr="001570EA">
              <w:rPr>
                <w:rFonts w:cs="Arial"/>
                <w:b/>
                <w:bCs/>
                <w:color w:val="000000"/>
                <w:sz w:val="18"/>
                <w:szCs w:val="18"/>
              </w:rPr>
              <w:t>As of 1/31/30</w:t>
            </w:r>
          </w:p>
        </w:tc>
      </w:tr>
      <w:tr w:rsidR="004E6452" w:rsidRPr="001570EA" w14:paraId="270597B5" w14:textId="77777777">
        <w:trPr>
          <w:trHeight w:val="352"/>
        </w:trPr>
        <w:tc>
          <w:tcPr>
            <w:tcW w:w="1311" w:type="pct"/>
            <w:tcBorders>
              <w:top w:val="nil"/>
              <w:left w:val="single" w:sz="4" w:space="0" w:color="auto"/>
              <w:bottom w:val="single" w:sz="4" w:space="0" w:color="auto"/>
              <w:right w:val="single" w:sz="4" w:space="0" w:color="auto"/>
            </w:tcBorders>
            <w:shd w:val="clear" w:color="auto" w:fill="FFFFFF" w:themeFill="background1"/>
            <w:vAlign w:val="center"/>
          </w:tcPr>
          <w:p w14:paraId="4D6983C4" w14:textId="77777777" w:rsidR="004E6452" w:rsidRPr="001570EA" w:rsidRDefault="004E6452">
            <w:pPr>
              <w:spacing w:before="80" w:after="80"/>
              <w:rPr>
                <w:rFonts w:cs="Arial"/>
                <w:color w:val="000000"/>
                <w:sz w:val="18"/>
                <w:szCs w:val="18"/>
              </w:rPr>
            </w:pPr>
            <w:r w:rsidRPr="001570EA">
              <w:rPr>
                <w:rFonts w:cs="Arial"/>
                <w:color w:val="000000"/>
                <w:sz w:val="18"/>
                <w:szCs w:val="18"/>
              </w:rPr>
              <w:t>8. Upright freezers with manual defrost</w:t>
            </w:r>
          </w:p>
        </w:tc>
        <w:tc>
          <w:tcPr>
            <w:tcW w:w="3689" w:type="pct"/>
            <w:gridSpan w:val="3"/>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63F0C6C0"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5.57 × AV + 193.7</w:t>
            </w:r>
          </w:p>
        </w:tc>
      </w:tr>
      <w:tr w:rsidR="004E6452" w:rsidRPr="001570EA" w14:paraId="5D063ACA" w14:textId="77777777">
        <w:trPr>
          <w:trHeight w:val="352"/>
        </w:trPr>
        <w:tc>
          <w:tcPr>
            <w:tcW w:w="1311" w:type="pct"/>
            <w:tcBorders>
              <w:top w:val="nil"/>
              <w:left w:val="single" w:sz="4" w:space="0" w:color="auto"/>
              <w:bottom w:val="single" w:sz="4" w:space="0" w:color="auto"/>
              <w:right w:val="single" w:sz="4" w:space="0" w:color="auto"/>
            </w:tcBorders>
            <w:shd w:val="clear" w:color="auto" w:fill="FFFFFF" w:themeFill="background1"/>
            <w:vAlign w:val="center"/>
          </w:tcPr>
          <w:p w14:paraId="1C99BA12" w14:textId="77777777" w:rsidR="004E6452" w:rsidRPr="001570EA" w:rsidRDefault="004E6452">
            <w:pPr>
              <w:spacing w:before="80" w:after="80"/>
              <w:rPr>
                <w:rFonts w:cs="Arial"/>
                <w:color w:val="000000"/>
                <w:sz w:val="18"/>
                <w:szCs w:val="18"/>
              </w:rPr>
            </w:pPr>
            <w:r w:rsidRPr="001570EA">
              <w:rPr>
                <w:rFonts w:cs="Arial"/>
                <w:color w:val="000000"/>
                <w:sz w:val="18"/>
                <w:szCs w:val="18"/>
              </w:rPr>
              <w:t>9. Upright freezers with automatic defrost without an automatic icemaker</w:t>
            </w:r>
          </w:p>
        </w:tc>
        <w:tc>
          <w:tcPr>
            <w:tcW w:w="2251" w:type="pct"/>
            <w:gridSpan w:val="2"/>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50840AAC"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8.62 × AV + 228.3</w:t>
            </w:r>
          </w:p>
        </w:tc>
        <w:tc>
          <w:tcPr>
            <w:tcW w:w="1438"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749A42EC"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(7.33 × AV + 194.1) × K9 + 28I</w:t>
            </w:r>
          </w:p>
        </w:tc>
      </w:tr>
      <w:tr w:rsidR="004E6452" w:rsidRPr="001570EA" w14:paraId="0A150781" w14:textId="77777777">
        <w:trPr>
          <w:trHeight w:val="352"/>
        </w:trPr>
        <w:tc>
          <w:tcPr>
            <w:tcW w:w="1311" w:type="pct"/>
            <w:tcBorders>
              <w:top w:val="nil"/>
              <w:left w:val="single" w:sz="4" w:space="0" w:color="auto"/>
              <w:bottom w:val="single" w:sz="4" w:space="0" w:color="auto"/>
              <w:right w:val="single" w:sz="4" w:space="0" w:color="auto"/>
            </w:tcBorders>
            <w:shd w:val="clear" w:color="auto" w:fill="FFFFFF" w:themeFill="background1"/>
            <w:vAlign w:val="center"/>
          </w:tcPr>
          <w:p w14:paraId="530A3651" w14:textId="77777777" w:rsidR="004E6452" w:rsidRPr="001570EA" w:rsidRDefault="004E6452">
            <w:pPr>
              <w:spacing w:before="80" w:after="80"/>
              <w:rPr>
                <w:rFonts w:cs="Arial"/>
                <w:color w:val="000000"/>
                <w:sz w:val="18"/>
                <w:szCs w:val="18"/>
              </w:rPr>
            </w:pPr>
            <w:r w:rsidRPr="001570EA">
              <w:rPr>
                <w:rFonts w:cs="Arial"/>
                <w:color w:val="000000"/>
                <w:sz w:val="18"/>
                <w:szCs w:val="18"/>
              </w:rPr>
              <w:t>9I. Upright freezers with automatic defrost with an automatic icemaker</w:t>
            </w:r>
          </w:p>
        </w:tc>
        <w:tc>
          <w:tcPr>
            <w:tcW w:w="1123"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49D2A096"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8.62 × AV + 312.3</w:t>
            </w:r>
          </w:p>
        </w:tc>
        <w:tc>
          <w:tcPr>
            <w:tcW w:w="2566" w:type="pct"/>
            <w:gridSpan w:val="2"/>
            <w:tcBorders>
              <w:top w:val="nil"/>
              <w:left w:val="single" w:sz="4" w:space="0" w:color="auto"/>
              <w:bottom w:val="single" w:sz="4" w:space="0" w:color="000000" w:themeColor="text1"/>
              <w:right w:val="single" w:sz="4" w:space="0" w:color="auto"/>
            </w:tcBorders>
            <w:shd w:val="clear" w:color="auto" w:fill="E7E6E6" w:themeFill="background2"/>
            <w:vAlign w:val="center"/>
          </w:tcPr>
          <w:p w14:paraId="30676832" w14:textId="77777777" w:rsidR="004E6452" w:rsidRPr="001570EA" w:rsidRDefault="004E6452">
            <w:pPr>
              <w:spacing w:before="80" w:after="80"/>
              <w:jc w:val="center"/>
              <w:rPr>
                <w:rFonts w:cs="Arial"/>
                <w:color w:val="000000"/>
                <w:sz w:val="18"/>
                <w:szCs w:val="18"/>
              </w:rPr>
            </w:pPr>
          </w:p>
        </w:tc>
      </w:tr>
      <w:tr w:rsidR="004E6452" w:rsidRPr="001570EA" w14:paraId="7CA0BCD9" w14:textId="77777777">
        <w:trPr>
          <w:trHeight w:val="352"/>
        </w:trPr>
        <w:tc>
          <w:tcPr>
            <w:tcW w:w="1311" w:type="pct"/>
            <w:tcBorders>
              <w:top w:val="nil"/>
              <w:left w:val="single" w:sz="4" w:space="0" w:color="auto"/>
              <w:bottom w:val="single" w:sz="4" w:space="0" w:color="auto"/>
              <w:right w:val="single" w:sz="4" w:space="0" w:color="auto"/>
            </w:tcBorders>
            <w:shd w:val="clear" w:color="auto" w:fill="FFFFFF" w:themeFill="background1"/>
            <w:vAlign w:val="center"/>
          </w:tcPr>
          <w:p w14:paraId="63CDA253" w14:textId="77777777" w:rsidR="004E6452" w:rsidRPr="001570EA" w:rsidRDefault="004E6452">
            <w:pPr>
              <w:spacing w:before="80" w:after="80"/>
              <w:rPr>
                <w:rFonts w:cs="Arial"/>
                <w:color w:val="000000"/>
                <w:sz w:val="18"/>
                <w:szCs w:val="18"/>
              </w:rPr>
            </w:pPr>
            <w:r w:rsidRPr="001570EA">
              <w:rPr>
                <w:rFonts w:cs="Arial"/>
                <w:color w:val="000000"/>
                <w:sz w:val="18"/>
                <w:szCs w:val="18"/>
              </w:rPr>
              <w:t>9–BI. Built-In Upright freezers with automatic defrost without an automatic icemaker</w:t>
            </w:r>
          </w:p>
        </w:tc>
        <w:tc>
          <w:tcPr>
            <w:tcW w:w="1123"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62D92869"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9.86 × AV + 260.9</w:t>
            </w:r>
          </w:p>
        </w:tc>
        <w:tc>
          <w:tcPr>
            <w:tcW w:w="2566" w:type="pct"/>
            <w:gridSpan w:val="2"/>
            <w:tcBorders>
              <w:top w:val="nil"/>
              <w:left w:val="single" w:sz="4" w:space="0" w:color="auto"/>
              <w:bottom w:val="single" w:sz="4" w:space="0" w:color="000000" w:themeColor="text1"/>
              <w:right w:val="single" w:sz="4" w:space="0" w:color="auto"/>
            </w:tcBorders>
            <w:shd w:val="clear" w:color="auto" w:fill="FFFFFF" w:themeFill="background1"/>
            <w:vAlign w:val="center"/>
          </w:tcPr>
          <w:p w14:paraId="3FF03151"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(9.37 × AV + 247.9) × K9BI + 28I</w:t>
            </w:r>
          </w:p>
        </w:tc>
      </w:tr>
      <w:tr w:rsidR="004E6452" w:rsidRPr="001570EA" w14:paraId="274A9F0E" w14:textId="77777777">
        <w:trPr>
          <w:trHeight w:val="352"/>
        </w:trPr>
        <w:tc>
          <w:tcPr>
            <w:tcW w:w="1311" w:type="pct"/>
            <w:tcBorders>
              <w:top w:val="nil"/>
              <w:left w:val="single" w:sz="4" w:space="0" w:color="auto"/>
              <w:bottom w:val="single" w:sz="4" w:space="0" w:color="auto"/>
              <w:right w:val="single" w:sz="4" w:space="0" w:color="auto"/>
            </w:tcBorders>
            <w:shd w:val="clear" w:color="auto" w:fill="FFFFFF" w:themeFill="background1"/>
            <w:vAlign w:val="center"/>
          </w:tcPr>
          <w:p w14:paraId="3D79DB86" w14:textId="77777777" w:rsidR="004E6452" w:rsidRPr="001570EA" w:rsidRDefault="004E6452">
            <w:pPr>
              <w:spacing w:before="80" w:after="80"/>
              <w:rPr>
                <w:rFonts w:cs="Arial"/>
                <w:color w:val="000000"/>
                <w:sz w:val="18"/>
                <w:szCs w:val="18"/>
              </w:rPr>
            </w:pPr>
            <w:r w:rsidRPr="001570EA">
              <w:rPr>
                <w:rFonts w:cs="Arial"/>
                <w:color w:val="000000"/>
                <w:sz w:val="18"/>
                <w:szCs w:val="18"/>
              </w:rPr>
              <w:t>9I–BI. Built-in upright freezers with automatic defrost with an automatic icemaker</w:t>
            </w:r>
          </w:p>
        </w:tc>
        <w:tc>
          <w:tcPr>
            <w:tcW w:w="1123"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06E785EA"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9.86 × AV + 344.9</w:t>
            </w:r>
          </w:p>
        </w:tc>
        <w:tc>
          <w:tcPr>
            <w:tcW w:w="2566" w:type="pct"/>
            <w:gridSpan w:val="2"/>
            <w:tcBorders>
              <w:top w:val="nil"/>
              <w:left w:val="single" w:sz="4" w:space="0" w:color="auto"/>
              <w:bottom w:val="single" w:sz="4" w:space="0" w:color="000000" w:themeColor="text1"/>
              <w:right w:val="single" w:sz="4" w:space="0" w:color="auto"/>
            </w:tcBorders>
            <w:shd w:val="clear" w:color="auto" w:fill="E7E6E6" w:themeFill="background2"/>
            <w:vAlign w:val="center"/>
          </w:tcPr>
          <w:p w14:paraId="7B091A80" w14:textId="77777777" w:rsidR="004E6452" w:rsidRPr="001570EA" w:rsidRDefault="004E6452">
            <w:pPr>
              <w:spacing w:before="80" w:after="80"/>
              <w:jc w:val="center"/>
              <w:rPr>
                <w:rFonts w:cs="Arial"/>
                <w:color w:val="000000"/>
                <w:sz w:val="18"/>
                <w:szCs w:val="18"/>
              </w:rPr>
            </w:pPr>
          </w:p>
        </w:tc>
      </w:tr>
      <w:tr w:rsidR="004E6452" w:rsidRPr="001570EA" w14:paraId="7CE3BBBC" w14:textId="77777777">
        <w:trPr>
          <w:trHeight w:val="352"/>
        </w:trPr>
        <w:tc>
          <w:tcPr>
            <w:tcW w:w="1311" w:type="pct"/>
            <w:tcBorders>
              <w:top w:val="nil"/>
              <w:left w:val="single" w:sz="4" w:space="0" w:color="auto"/>
              <w:bottom w:val="single" w:sz="4" w:space="0" w:color="auto"/>
              <w:right w:val="single" w:sz="4" w:space="0" w:color="auto"/>
            </w:tcBorders>
            <w:shd w:val="clear" w:color="auto" w:fill="FFFFFF" w:themeFill="background1"/>
            <w:vAlign w:val="center"/>
          </w:tcPr>
          <w:p w14:paraId="74C4ADFB" w14:textId="77777777" w:rsidR="004E6452" w:rsidRPr="001570EA" w:rsidRDefault="004E6452">
            <w:pPr>
              <w:spacing w:before="80" w:after="80"/>
              <w:rPr>
                <w:rFonts w:cs="Arial"/>
                <w:color w:val="000000"/>
                <w:sz w:val="18"/>
                <w:szCs w:val="18"/>
              </w:rPr>
            </w:pPr>
            <w:r w:rsidRPr="001570EA">
              <w:rPr>
                <w:rFonts w:cs="Arial"/>
                <w:color w:val="000000"/>
                <w:sz w:val="18"/>
                <w:szCs w:val="18"/>
              </w:rPr>
              <w:t>9A-BI. NEW PRODUCT CLASS: Upright built-in freezer with auto defrost and through-door-ice</w:t>
            </w:r>
          </w:p>
        </w:tc>
        <w:tc>
          <w:tcPr>
            <w:tcW w:w="1123" w:type="pct"/>
            <w:tcBorders>
              <w:top w:val="nil"/>
              <w:left w:val="single" w:sz="4" w:space="0" w:color="auto"/>
              <w:bottom w:val="single" w:sz="4" w:space="0" w:color="000000" w:themeColor="text1"/>
              <w:right w:val="single" w:sz="4" w:space="0" w:color="auto"/>
            </w:tcBorders>
            <w:shd w:val="clear" w:color="auto" w:fill="E7E6E6" w:themeFill="background2"/>
            <w:noWrap/>
            <w:vAlign w:val="center"/>
          </w:tcPr>
          <w:p w14:paraId="3853647B" w14:textId="77777777" w:rsidR="004E6452" w:rsidRPr="001570EA" w:rsidRDefault="004E6452">
            <w:pPr>
              <w:spacing w:before="80" w:after="80"/>
              <w:jc w:val="center"/>
              <w:rPr>
                <w:rFonts w:cs="Arial"/>
                <w:color w:val="000000"/>
                <w:sz w:val="18"/>
                <w:szCs w:val="18"/>
              </w:rPr>
            </w:pPr>
          </w:p>
        </w:tc>
        <w:tc>
          <w:tcPr>
            <w:tcW w:w="2566" w:type="pct"/>
            <w:gridSpan w:val="2"/>
            <w:tcBorders>
              <w:top w:val="nil"/>
              <w:left w:val="single" w:sz="4" w:space="0" w:color="auto"/>
              <w:bottom w:val="single" w:sz="4" w:space="0" w:color="000000" w:themeColor="text1"/>
              <w:right w:val="single" w:sz="4" w:space="0" w:color="auto"/>
            </w:tcBorders>
            <w:shd w:val="clear" w:color="auto" w:fill="auto"/>
            <w:vAlign w:val="center"/>
          </w:tcPr>
          <w:p w14:paraId="7242848B"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9.86 × AV + 288.9</w:t>
            </w:r>
          </w:p>
        </w:tc>
      </w:tr>
      <w:tr w:rsidR="004E6452" w:rsidRPr="001570EA" w14:paraId="2CF27FAC" w14:textId="77777777">
        <w:trPr>
          <w:trHeight w:val="352"/>
        </w:trPr>
        <w:tc>
          <w:tcPr>
            <w:tcW w:w="1311" w:type="pct"/>
            <w:tcBorders>
              <w:top w:val="nil"/>
              <w:left w:val="single" w:sz="4" w:space="0" w:color="auto"/>
              <w:bottom w:val="single" w:sz="4" w:space="0" w:color="auto"/>
              <w:right w:val="single" w:sz="4" w:space="0" w:color="auto"/>
            </w:tcBorders>
            <w:shd w:val="clear" w:color="auto" w:fill="FFFFFF" w:themeFill="background1"/>
            <w:vAlign w:val="center"/>
          </w:tcPr>
          <w:p w14:paraId="47A60339" w14:textId="77777777" w:rsidR="004E6452" w:rsidRPr="001570EA" w:rsidRDefault="004E6452">
            <w:pPr>
              <w:spacing w:before="80" w:after="80"/>
              <w:rPr>
                <w:rFonts w:cs="Arial"/>
                <w:color w:val="000000"/>
                <w:sz w:val="18"/>
                <w:szCs w:val="18"/>
              </w:rPr>
            </w:pPr>
            <w:r w:rsidRPr="001570EA">
              <w:rPr>
                <w:rFonts w:cs="Arial"/>
                <w:color w:val="000000"/>
                <w:sz w:val="18"/>
                <w:szCs w:val="18"/>
              </w:rPr>
              <w:t>10. Chest freezers and all other freezers except compact freezers</w:t>
            </w:r>
          </w:p>
        </w:tc>
        <w:tc>
          <w:tcPr>
            <w:tcW w:w="3689" w:type="pct"/>
            <w:gridSpan w:val="3"/>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46D67926"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7.29 × AV + 107.8</w:t>
            </w:r>
          </w:p>
        </w:tc>
      </w:tr>
      <w:tr w:rsidR="004E6452" w:rsidRPr="001570EA" w14:paraId="44899430" w14:textId="77777777">
        <w:trPr>
          <w:trHeight w:val="352"/>
        </w:trPr>
        <w:tc>
          <w:tcPr>
            <w:tcW w:w="1311" w:type="pct"/>
            <w:tcBorders>
              <w:top w:val="nil"/>
              <w:left w:val="single" w:sz="4" w:space="0" w:color="auto"/>
              <w:bottom w:val="single" w:sz="4" w:space="0" w:color="auto"/>
              <w:right w:val="single" w:sz="4" w:space="0" w:color="auto"/>
            </w:tcBorders>
            <w:shd w:val="clear" w:color="auto" w:fill="FFFFFF" w:themeFill="background1"/>
            <w:vAlign w:val="center"/>
          </w:tcPr>
          <w:p w14:paraId="6E18AD4B" w14:textId="77777777" w:rsidR="004E6452" w:rsidRPr="001570EA" w:rsidRDefault="004E6452">
            <w:pPr>
              <w:spacing w:before="80" w:after="80"/>
              <w:rPr>
                <w:rFonts w:cs="Arial"/>
                <w:color w:val="000000"/>
                <w:sz w:val="18"/>
                <w:szCs w:val="18"/>
              </w:rPr>
            </w:pPr>
            <w:r w:rsidRPr="001570EA">
              <w:rPr>
                <w:rFonts w:cs="Arial"/>
                <w:color w:val="000000"/>
                <w:sz w:val="18"/>
                <w:szCs w:val="18"/>
              </w:rPr>
              <w:t>10A. Chest freezers with automatic defrost</w:t>
            </w:r>
          </w:p>
        </w:tc>
        <w:tc>
          <w:tcPr>
            <w:tcW w:w="3689" w:type="pct"/>
            <w:gridSpan w:val="3"/>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43BCFED9"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10.24 × AV + 148.1</w:t>
            </w:r>
          </w:p>
        </w:tc>
      </w:tr>
      <w:tr w:rsidR="004E6452" w:rsidRPr="001570EA" w14:paraId="4F3EBDD0" w14:textId="77777777">
        <w:trPr>
          <w:trHeight w:val="352"/>
        </w:trPr>
        <w:tc>
          <w:tcPr>
            <w:tcW w:w="1311" w:type="pct"/>
            <w:tcBorders>
              <w:top w:val="nil"/>
              <w:left w:val="single" w:sz="4" w:space="0" w:color="auto"/>
              <w:bottom w:val="single" w:sz="4" w:space="0" w:color="auto"/>
              <w:right w:val="single" w:sz="4" w:space="0" w:color="auto"/>
            </w:tcBorders>
            <w:shd w:val="clear" w:color="auto" w:fill="FFFFFF" w:themeFill="background1"/>
            <w:vAlign w:val="center"/>
          </w:tcPr>
          <w:p w14:paraId="6D06C89B"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16. Compact upright freezers with manual defrost</w:t>
            </w:r>
          </w:p>
        </w:tc>
        <w:tc>
          <w:tcPr>
            <w:tcW w:w="1123"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384AD3FA"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8.65 × AV + 225.7</w:t>
            </w:r>
          </w:p>
        </w:tc>
        <w:tc>
          <w:tcPr>
            <w:tcW w:w="2566" w:type="pct"/>
            <w:gridSpan w:val="2"/>
            <w:tcBorders>
              <w:top w:val="nil"/>
              <w:left w:val="single" w:sz="4" w:space="0" w:color="auto"/>
              <w:bottom w:val="single" w:sz="4" w:space="0" w:color="000000" w:themeColor="text1"/>
              <w:right w:val="single" w:sz="4" w:space="0" w:color="auto"/>
            </w:tcBorders>
            <w:shd w:val="clear" w:color="auto" w:fill="auto"/>
            <w:vAlign w:val="center"/>
          </w:tcPr>
          <w:p w14:paraId="29B2E66D"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7.35 × AV + 191.8</w:t>
            </w:r>
          </w:p>
        </w:tc>
      </w:tr>
      <w:tr w:rsidR="004E6452" w:rsidRPr="001570EA" w14:paraId="17E93BFC" w14:textId="77777777">
        <w:trPr>
          <w:trHeight w:val="352"/>
        </w:trPr>
        <w:tc>
          <w:tcPr>
            <w:tcW w:w="1311" w:type="pct"/>
            <w:tcBorders>
              <w:top w:val="nil"/>
              <w:left w:val="single" w:sz="4" w:space="0" w:color="auto"/>
              <w:bottom w:val="single" w:sz="4" w:space="0" w:color="auto"/>
              <w:right w:val="single" w:sz="4" w:space="0" w:color="auto"/>
            </w:tcBorders>
            <w:shd w:val="clear" w:color="auto" w:fill="FFFFFF" w:themeFill="background1"/>
            <w:vAlign w:val="center"/>
          </w:tcPr>
          <w:p w14:paraId="3504A2B7"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17. Compact upright freezers with automatic defrost</w:t>
            </w:r>
          </w:p>
        </w:tc>
        <w:tc>
          <w:tcPr>
            <w:tcW w:w="1123"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0DE30B45"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10.17 × AV + 351.9</w:t>
            </w:r>
          </w:p>
        </w:tc>
        <w:tc>
          <w:tcPr>
            <w:tcW w:w="2566" w:type="pct"/>
            <w:gridSpan w:val="2"/>
            <w:tcBorders>
              <w:top w:val="nil"/>
              <w:left w:val="single" w:sz="4" w:space="0" w:color="auto"/>
              <w:bottom w:val="single" w:sz="4" w:space="0" w:color="000000" w:themeColor="text1"/>
              <w:right w:val="single" w:sz="4" w:space="0" w:color="auto"/>
            </w:tcBorders>
            <w:shd w:val="clear" w:color="auto" w:fill="FFFFFF" w:themeFill="background1"/>
            <w:vAlign w:val="center"/>
          </w:tcPr>
          <w:p w14:paraId="5A33FFCD"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9.15 × AV + 316.7</w:t>
            </w:r>
          </w:p>
        </w:tc>
      </w:tr>
      <w:tr w:rsidR="004E6452" w:rsidRPr="001570EA" w14:paraId="1A16E4EE" w14:textId="77777777">
        <w:trPr>
          <w:trHeight w:val="352"/>
        </w:trPr>
        <w:tc>
          <w:tcPr>
            <w:tcW w:w="1311" w:type="pct"/>
            <w:tcBorders>
              <w:top w:val="nil"/>
              <w:left w:val="single" w:sz="4" w:space="0" w:color="auto"/>
              <w:bottom w:val="single" w:sz="4" w:space="0" w:color="auto"/>
              <w:right w:val="single" w:sz="4" w:space="0" w:color="auto"/>
            </w:tcBorders>
            <w:shd w:val="clear" w:color="auto" w:fill="FFFFFF" w:themeFill="background1"/>
            <w:vAlign w:val="center"/>
          </w:tcPr>
          <w:p w14:paraId="69AEE439" w14:textId="77777777" w:rsidR="004E6452" w:rsidRPr="001570EA" w:rsidRDefault="004E6452" w:rsidP="00597241">
            <w:pPr>
              <w:spacing w:before="80" w:after="80"/>
              <w:jc w:val="left"/>
              <w:rPr>
                <w:rFonts w:cs="Arial"/>
                <w:color w:val="000000"/>
                <w:sz w:val="18"/>
                <w:szCs w:val="18"/>
              </w:rPr>
            </w:pPr>
            <w:r w:rsidRPr="001570EA">
              <w:rPr>
                <w:rFonts w:cs="Arial"/>
                <w:color w:val="000000"/>
                <w:sz w:val="18"/>
                <w:szCs w:val="18"/>
              </w:rPr>
              <w:t>18. Compact chest freezers</w:t>
            </w:r>
          </w:p>
        </w:tc>
        <w:tc>
          <w:tcPr>
            <w:tcW w:w="1123" w:type="pct"/>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757648F4"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9.25 ×</w:t>
            </w:r>
            <w:r w:rsidRPr="001570EA">
              <w:t xml:space="preserve"> </w:t>
            </w:r>
            <w:r w:rsidRPr="001570EA">
              <w:rPr>
                <w:rFonts w:cs="Arial"/>
                <w:color w:val="000000"/>
                <w:sz w:val="18"/>
                <w:szCs w:val="18"/>
              </w:rPr>
              <w:t>AV + 136.8</w:t>
            </w:r>
          </w:p>
        </w:tc>
        <w:tc>
          <w:tcPr>
            <w:tcW w:w="2566" w:type="pct"/>
            <w:gridSpan w:val="2"/>
            <w:tcBorders>
              <w:top w:val="nil"/>
              <w:left w:val="single" w:sz="4" w:space="0" w:color="auto"/>
              <w:bottom w:val="single" w:sz="4" w:space="0" w:color="000000" w:themeColor="text1"/>
              <w:right w:val="single" w:sz="4" w:space="0" w:color="auto"/>
            </w:tcBorders>
            <w:shd w:val="clear" w:color="auto" w:fill="FFFFFF" w:themeFill="background1"/>
            <w:vAlign w:val="center"/>
          </w:tcPr>
          <w:p w14:paraId="55D9A835"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7.86 × AV + 107.8</w:t>
            </w:r>
          </w:p>
        </w:tc>
      </w:tr>
    </w:tbl>
    <w:p w14:paraId="7B59329C" w14:textId="77777777" w:rsidR="004E6452" w:rsidRPr="001570EA" w:rsidRDefault="004E6452" w:rsidP="004E6452"/>
    <w:p w14:paraId="27F774B2" w14:textId="1C86CD39" w:rsidR="004E6452" w:rsidRPr="001570EA" w:rsidRDefault="004E6452" w:rsidP="004E6452">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88</w:t>
      </w:r>
      <w:r w:rsidR="002E093A" w:rsidRPr="001570EA">
        <w:fldChar w:fldCharType="end"/>
      </w:r>
      <w:r w:rsidRPr="001570EA">
        <w:t>: Door Coefficients for Federal Standard Energy Consumption Algorithms</w:t>
      </w:r>
    </w:p>
    <w:tbl>
      <w:tblPr>
        <w:tblStyle w:val="Style1"/>
        <w:tblW w:w="0" w:type="auto"/>
        <w:tblLook w:val="04A0" w:firstRow="1" w:lastRow="0" w:firstColumn="1" w:lastColumn="0" w:noHBand="0" w:noVBand="1"/>
      </w:tblPr>
      <w:tblGrid>
        <w:gridCol w:w="2157"/>
        <w:gridCol w:w="2157"/>
        <w:gridCol w:w="2158"/>
        <w:gridCol w:w="2158"/>
      </w:tblGrid>
      <w:tr w:rsidR="004E6452" w:rsidRPr="001570EA" w14:paraId="3C2A6150" w14:textId="77777777">
        <w:trPr>
          <w:cnfStyle w:val="100000000000" w:firstRow="1" w:lastRow="0" w:firstColumn="0" w:lastColumn="0" w:oddVBand="0" w:evenVBand="0" w:oddHBand="0" w:evenHBand="0" w:firstRowFirstColumn="0" w:firstRowLastColumn="0" w:lastRowFirstColumn="0" w:lastRowLastColumn="0"/>
          <w:trHeight w:val="1061"/>
        </w:trPr>
        <w:tc>
          <w:tcPr>
            <w:tcW w:w="2157" w:type="dxa"/>
          </w:tcPr>
          <w:p w14:paraId="5B44AB67" w14:textId="77777777" w:rsidR="004E6452" w:rsidRPr="001570EA" w:rsidRDefault="004E6452">
            <w:pPr>
              <w:pStyle w:val="NoSpacing"/>
              <w:jc w:val="left"/>
              <w:rPr>
                <w:rFonts w:cs="Arial"/>
                <w:sz w:val="18"/>
                <w:szCs w:val="18"/>
              </w:rPr>
            </w:pPr>
            <w:r w:rsidRPr="001570EA">
              <w:rPr>
                <w:rFonts w:cs="Arial"/>
                <w:sz w:val="18"/>
                <w:szCs w:val="18"/>
              </w:rPr>
              <w:t>Door Coefficient</w:t>
            </w:r>
          </w:p>
        </w:tc>
        <w:tc>
          <w:tcPr>
            <w:tcW w:w="2157" w:type="dxa"/>
          </w:tcPr>
          <w:p w14:paraId="747066FB" w14:textId="77777777" w:rsidR="004E6452" w:rsidRPr="001570EA" w:rsidRDefault="004E6452">
            <w:pPr>
              <w:pStyle w:val="NoSpacing"/>
              <w:jc w:val="left"/>
              <w:rPr>
                <w:rFonts w:cs="Arial"/>
                <w:sz w:val="18"/>
                <w:szCs w:val="18"/>
              </w:rPr>
            </w:pPr>
            <w:r w:rsidRPr="001570EA">
              <w:rPr>
                <w:rFonts w:cs="Arial"/>
                <w:sz w:val="18"/>
                <w:szCs w:val="18"/>
              </w:rPr>
              <w:t>Products with a Transparent Door</w:t>
            </w:r>
          </w:p>
        </w:tc>
        <w:tc>
          <w:tcPr>
            <w:tcW w:w="2158" w:type="dxa"/>
          </w:tcPr>
          <w:p w14:paraId="172B9FDA" w14:textId="77777777" w:rsidR="004E6452" w:rsidRPr="001570EA" w:rsidRDefault="004E6452">
            <w:pPr>
              <w:pStyle w:val="NoSpacing"/>
              <w:jc w:val="left"/>
              <w:rPr>
                <w:rFonts w:cs="Arial"/>
                <w:sz w:val="18"/>
                <w:szCs w:val="18"/>
              </w:rPr>
            </w:pPr>
            <w:r w:rsidRPr="001570EA">
              <w:rPr>
                <w:rFonts w:cs="Arial"/>
                <w:sz w:val="18"/>
                <w:szCs w:val="18"/>
              </w:rPr>
              <w:t>Products without a Transparent Door with a Door-in-Door</w:t>
            </w:r>
          </w:p>
        </w:tc>
        <w:tc>
          <w:tcPr>
            <w:tcW w:w="2158" w:type="dxa"/>
          </w:tcPr>
          <w:p w14:paraId="7FA01AA0" w14:textId="77777777" w:rsidR="004E6452" w:rsidRPr="001570EA" w:rsidRDefault="004E6452">
            <w:pPr>
              <w:pStyle w:val="NoSpacing"/>
              <w:jc w:val="left"/>
              <w:rPr>
                <w:rFonts w:cs="Arial"/>
                <w:sz w:val="18"/>
                <w:szCs w:val="18"/>
              </w:rPr>
            </w:pPr>
            <w:r w:rsidRPr="001570EA">
              <w:rPr>
                <w:rFonts w:cs="Arial"/>
                <w:sz w:val="18"/>
                <w:szCs w:val="18"/>
              </w:rPr>
              <w:t>Products without a Transparent Door or Door-in-Door with Added External Doors</w:t>
            </w:r>
          </w:p>
        </w:tc>
      </w:tr>
      <w:tr w:rsidR="004E6452" w:rsidRPr="001570EA" w14:paraId="1A8F8387" w14:textId="77777777">
        <w:tc>
          <w:tcPr>
            <w:tcW w:w="0" w:type="dxa"/>
            <w:vAlign w:val="center"/>
          </w:tcPr>
          <w:p w14:paraId="40E41733" w14:textId="77777777" w:rsidR="004E6452" w:rsidRPr="001570EA" w:rsidRDefault="004E6452">
            <w:pPr>
              <w:pStyle w:val="NoSpacing"/>
              <w:jc w:val="left"/>
              <w:rPr>
                <w:rFonts w:cs="Arial"/>
                <w:sz w:val="18"/>
                <w:szCs w:val="18"/>
              </w:rPr>
            </w:pPr>
            <w:r w:rsidRPr="001570EA">
              <w:rPr>
                <w:rFonts w:cs="Arial"/>
                <w:sz w:val="18"/>
                <w:szCs w:val="18"/>
              </w:rPr>
              <w:t>K9</w:t>
            </w:r>
          </w:p>
        </w:tc>
        <w:tc>
          <w:tcPr>
            <w:tcW w:w="0" w:type="dxa"/>
            <w:vAlign w:val="center"/>
          </w:tcPr>
          <w:p w14:paraId="095AD0E7" w14:textId="77777777" w:rsidR="004E6452" w:rsidRPr="001570EA" w:rsidRDefault="004E6452">
            <w:pPr>
              <w:pStyle w:val="NoSpacing"/>
              <w:jc w:val="center"/>
              <w:rPr>
                <w:rFonts w:cs="Arial"/>
                <w:sz w:val="18"/>
                <w:szCs w:val="18"/>
              </w:rPr>
            </w:pPr>
            <w:r w:rsidRPr="001570EA">
              <w:rPr>
                <w:rFonts w:cs="Arial"/>
                <w:sz w:val="18"/>
                <w:szCs w:val="18"/>
              </w:rPr>
              <w:t>1.0</w:t>
            </w:r>
          </w:p>
        </w:tc>
        <w:tc>
          <w:tcPr>
            <w:tcW w:w="0" w:type="dxa"/>
            <w:vAlign w:val="center"/>
          </w:tcPr>
          <w:p w14:paraId="7C0CEB6E" w14:textId="77777777" w:rsidR="004E6452" w:rsidRPr="001570EA" w:rsidRDefault="004E6452">
            <w:pPr>
              <w:pStyle w:val="NoSpacing"/>
              <w:jc w:val="center"/>
              <w:rPr>
                <w:rFonts w:cs="Arial"/>
                <w:sz w:val="18"/>
                <w:szCs w:val="18"/>
              </w:rPr>
            </w:pPr>
            <w:r w:rsidRPr="001570EA">
              <w:rPr>
                <w:rFonts w:cs="Arial"/>
                <w:sz w:val="18"/>
                <w:szCs w:val="18"/>
              </w:rPr>
              <w:t>1.0</w:t>
            </w:r>
          </w:p>
        </w:tc>
        <w:tc>
          <w:tcPr>
            <w:tcW w:w="0" w:type="dxa"/>
            <w:vAlign w:val="center"/>
          </w:tcPr>
          <w:p w14:paraId="16B0E009" w14:textId="77777777" w:rsidR="004E6452" w:rsidRPr="001570EA" w:rsidRDefault="004E6452">
            <w:pPr>
              <w:pStyle w:val="NoSpacing"/>
              <w:jc w:val="center"/>
              <w:rPr>
                <w:rFonts w:cs="Arial"/>
                <w:sz w:val="18"/>
                <w:szCs w:val="18"/>
              </w:rPr>
            </w:pPr>
            <w:r w:rsidRPr="001570EA">
              <w:rPr>
                <w:rFonts w:cs="Arial"/>
                <w:sz w:val="18"/>
                <w:szCs w:val="18"/>
              </w:rPr>
              <w:t>1 + 0.02 x (N</w:t>
            </w:r>
            <w:r w:rsidRPr="001570EA">
              <w:rPr>
                <w:rFonts w:cs="Arial"/>
                <w:sz w:val="18"/>
                <w:szCs w:val="18"/>
                <w:vertAlign w:val="subscript"/>
              </w:rPr>
              <w:t>d</w:t>
            </w:r>
            <w:r w:rsidRPr="001570EA">
              <w:rPr>
                <w:rFonts w:cs="Arial"/>
                <w:sz w:val="18"/>
                <w:szCs w:val="18"/>
              </w:rPr>
              <w:t xml:space="preserve"> – 1)</w:t>
            </w:r>
          </w:p>
        </w:tc>
      </w:tr>
      <w:tr w:rsidR="004E6452" w:rsidRPr="001570EA" w14:paraId="2A415963" w14:textId="77777777">
        <w:tc>
          <w:tcPr>
            <w:tcW w:w="2157" w:type="dxa"/>
            <w:vAlign w:val="center"/>
          </w:tcPr>
          <w:p w14:paraId="0EB585BF" w14:textId="77777777" w:rsidR="004E6452" w:rsidRPr="001570EA" w:rsidRDefault="004E6452">
            <w:pPr>
              <w:pStyle w:val="NoSpacing"/>
              <w:jc w:val="left"/>
              <w:rPr>
                <w:rFonts w:cs="Arial"/>
                <w:sz w:val="18"/>
                <w:szCs w:val="18"/>
              </w:rPr>
            </w:pPr>
            <w:r w:rsidRPr="001570EA">
              <w:rPr>
                <w:rFonts w:cs="Arial"/>
                <w:sz w:val="18"/>
                <w:szCs w:val="18"/>
              </w:rPr>
              <w:t>K9BI</w:t>
            </w:r>
          </w:p>
        </w:tc>
        <w:tc>
          <w:tcPr>
            <w:tcW w:w="2157" w:type="dxa"/>
            <w:vAlign w:val="center"/>
          </w:tcPr>
          <w:p w14:paraId="64D8B099" w14:textId="77777777" w:rsidR="004E6452" w:rsidRPr="001570EA" w:rsidRDefault="004E6452">
            <w:pPr>
              <w:pStyle w:val="NoSpacing"/>
              <w:jc w:val="center"/>
              <w:rPr>
                <w:rFonts w:cs="Arial"/>
                <w:sz w:val="18"/>
                <w:szCs w:val="18"/>
              </w:rPr>
            </w:pPr>
            <w:r w:rsidRPr="001570EA">
              <w:rPr>
                <w:rFonts w:cs="Arial"/>
                <w:sz w:val="18"/>
                <w:szCs w:val="18"/>
              </w:rPr>
              <w:t>1.0</w:t>
            </w:r>
          </w:p>
        </w:tc>
        <w:tc>
          <w:tcPr>
            <w:tcW w:w="2158" w:type="dxa"/>
            <w:vAlign w:val="center"/>
          </w:tcPr>
          <w:p w14:paraId="67FBD0F8" w14:textId="77777777" w:rsidR="004E6452" w:rsidRPr="001570EA" w:rsidRDefault="004E6452">
            <w:pPr>
              <w:pStyle w:val="NoSpacing"/>
              <w:jc w:val="center"/>
              <w:rPr>
                <w:rFonts w:cs="Arial"/>
                <w:sz w:val="18"/>
                <w:szCs w:val="18"/>
              </w:rPr>
            </w:pPr>
            <w:r w:rsidRPr="001570EA">
              <w:rPr>
                <w:rFonts w:cs="Arial"/>
                <w:sz w:val="18"/>
                <w:szCs w:val="18"/>
              </w:rPr>
              <w:t>1.0</w:t>
            </w:r>
          </w:p>
        </w:tc>
        <w:tc>
          <w:tcPr>
            <w:tcW w:w="2158" w:type="dxa"/>
            <w:vAlign w:val="center"/>
          </w:tcPr>
          <w:p w14:paraId="428CAFCE" w14:textId="77777777" w:rsidR="004E6452" w:rsidRPr="001570EA" w:rsidRDefault="004E6452">
            <w:pPr>
              <w:pStyle w:val="NoSpacing"/>
              <w:jc w:val="center"/>
              <w:rPr>
                <w:rFonts w:cs="Arial"/>
                <w:sz w:val="18"/>
                <w:szCs w:val="18"/>
              </w:rPr>
            </w:pPr>
            <w:r w:rsidRPr="001570EA">
              <w:rPr>
                <w:rFonts w:cs="Arial"/>
                <w:sz w:val="18"/>
                <w:szCs w:val="18"/>
              </w:rPr>
              <w:t>1 + 0.02 x (N</w:t>
            </w:r>
            <w:r w:rsidRPr="001570EA">
              <w:rPr>
                <w:rFonts w:cs="Arial"/>
                <w:sz w:val="18"/>
                <w:szCs w:val="18"/>
                <w:vertAlign w:val="subscript"/>
              </w:rPr>
              <w:t>d</w:t>
            </w:r>
            <w:r w:rsidRPr="001570EA">
              <w:rPr>
                <w:rFonts w:cs="Arial"/>
                <w:sz w:val="18"/>
                <w:szCs w:val="18"/>
              </w:rPr>
              <w:t xml:space="preserve"> – 1)</w:t>
            </w:r>
          </w:p>
        </w:tc>
      </w:tr>
    </w:tbl>
    <w:p w14:paraId="262FA677" w14:textId="77777777" w:rsidR="004E6452" w:rsidRPr="001570EA" w:rsidRDefault="004E6452" w:rsidP="004E6452"/>
    <w:p w14:paraId="0D11E40C" w14:textId="45BD7C54" w:rsidR="004E6452" w:rsidRPr="001570EA" w:rsidRDefault="004E6452" w:rsidP="004E6452">
      <w:pPr>
        <w:pStyle w:val="Caption"/>
      </w:pPr>
      <w:bookmarkStart w:id="560" w:name="_Ref160812934"/>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89</w:t>
      </w:r>
      <w:r w:rsidR="002E093A" w:rsidRPr="001570EA">
        <w:fldChar w:fldCharType="end"/>
      </w:r>
      <w:bookmarkEnd w:id="560"/>
      <w:r w:rsidRPr="001570EA">
        <w:t>: ENERGY STAR and ENERGY STAR Most Efficient Maximum Annual Energy Consumption</w:t>
      </w:r>
    </w:p>
    <w:tbl>
      <w:tblPr>
        <w:tblStyle w:val="Style1"/>
        <w:tblW w:w="9360" w:type="dxa"/>
        <w:tblLook w:val="04A0" w:firstRow="1" w:lastRow="0" w:firstColumn="1" w:lastColumn="0" w:noHBand="0" w:noVBand="1"/>
      </w:tblPr>
      <w:tblGrid>
        <w:gridCol w:w="1796"/>
        <w:gridCol w:w="2948"/>
        <w:gridCol w:w="4616"/>
      </w:tblGrid>
      <w:tr w:rsidR="004E6452" w:rsidRPr="001570EA" w14:paraId="3E3D4227" w14:textId="77777777">
        <w:trPr>
          <w:cnfStyle w:val="100000000000" w:firstRow="1" w:lastRow="0" w:firstColumn="0" w:lastColumn="0" w:oddVBand="0" w:evenVBand="0" w:oddHBand="0" w:evenHBand="0" w:firstRowFirstColumn="0" w:firstRowLastColumn="0" w:lastRowFirstColumn="0" w:lastRowLastColumn="0"/>
          <w:trHeight w:val="782"/>
          <w:tblHeader/>
        </w:trPr>
        <w:tc>
          <w:tcPr>
            <w:tcW w:w="1796" w:type="dxa"/>
            <w:vAlign w:val="center"/>
          </w:tcPr>
          <w:p w14:paraId="02665869" w14:textId="77777777" w:rsidR="004E6452" w:rsidRPr="001570EA" w:rsidRDefault="004E6452">
            <w:pPr>
              <w:pStyle w:val="NoSpacing"/>
              <w:jc w:val="left"/>
              <w:rPr>
                <w:rFonts w:cs="Arial"/>
                <w:sz w:val="18"/>
                <w:szCs w:val="18"/>
              </w:rPr>
            </w:pPr>
            <w:r w:rsidRPr="001570EA">
              <w:rPr>
                <w:rFonts w:cs="Arial"/>
                <w:b w:val="0"/>
                <w:bCs/>
                <w:color w:val="000000"/>
                <w:sz w:val="18"/>
                <w:szCs w:val="18"/>
              </w:rPr>
              <w:t>F</w:t>
            </w:r>
            <w:r w:rsidRPr="001570EA">
              <w:rPr>
                <w:rFonts w:cs="Arial"/>
              </w:rPr>
              <w:t>reezer</w:t>
            </w:r>
            <w:r w:rsidRPr="001570EA">
              <w:rPr>
                <w:rFonts w:cs="Arial"/>
                <w:bCs/>
                <w:color w:val="000000"/>
                <w:sz w:val="18"/>
                <w:szCs w:val="18"/>
              </w:rPr>
              <w:t xml:space="preserve"> </w:t>
            </w:r>
            <w:r w:rsidRPr="001570EA">
              <w:rPr>
                <w:rFonts w:cs="Arial"/>
                <w:sz w:val="18"/>
                <w:szCs w:val="18"/>
              </w:rPr>
              <w:t>Category</w:t>
            </w:r>
          </w:p>
        </w:tc>
        <w:tc>
          <w:tcPr>
            <w:tcW w:w="2948" w:type="dxa"/>
            <w:vAlign w:val="center"/>
          </w:tcPr>
          <w:p w14:paraId="2B5A6287" w14:textId="77777777" w:rsidR="004E6452" w:rsidRPr="001570EA" w:rsidRDefault="004E6452">
            <w:pPr>
              <w:pStyle w:val="NoSpacing"/>
              <w:jc w:val="center"/>
              <w:rPr>
                <w:rFonts w:cs="Arial"/>
                <w:sz w:val="18"/>
                <w:szCs w:val="18"/>
              </w:rPr>
            </w:pPr>
            <w:r w:rsidRPr="001570EA">
              <w:rPr>
                <w:rFonts w:cs="Arial"/>
                <w:sz w:val="18"/>
                <w:szCs w:val="18"/>
              </w:rPr>
              <w:t>ENERGY STAR Maximum Energy Usage in kWh/yr</w:t>
            </w:r>
          </w:p>
        </w:tc>
        <w:tc>
          <w:tcPr>
            <w:tcW w:w="4616" w:type="dxa"/>
            <w:vAlign w:val="center"/>
          </w:tcPr>
          <w:p w14:paraId="4582993B" w14:textId="77777777" w:rsidR="004E6452" w:rsidRPr="001570EA" w:rsidRDefault="004E6452">
            <w:pPr>
              <w:pStyle w:val="NoSpacing"/>
              <w:jc w:val="center"/>
              <w:rPr>
                <w:rFonts w:cs="Arial"/>
                <w:sz w:val="18"/>
                <w:szCs w:val="18"/>
              </w:rPr>
            </w:pPr>
            <w:r w:rsidRPr="001570EA">
              <w:rPr>
                <w:rFonts w:cs="Arial"/>
                <w:sz w:val="18"/>
                <w:szCs w:val="18"/>
              </w:rPr>
              <w:t>ENERGY STAR Most Efficient Maximum Energy Usage in kWh/yr</w:t>
            </w:r>
          </w:p>
        </w:tc>
      </w:tr>
      <w:tr w:rsidR="004E6452" w:rsidRPr="001570EA" w14:paraId="774D0BF4" w14:textId="77777777">
        <w:tc>
          <w:tcPr>
            <w:tcW w:w="1796" w:type="dxa"/>
            <w:vAlign w:val="center"/>
          </w:tcPr>
          <w:p w14:paraId="4F1FA437" w14:textId="77777777" w:rsidR="004E6452" w:rsidRPr="001570EA" w:rsidRDefault="004E6452">
            <w:pPr>
              <w:pStyle w:val="NoSpacing"/>
              <w:jc w:val="left"/>
              <w:rPr>
                <w:rFonts w:cs="Arial"/>
                <w:sz w:val="18"/>
                <w:szCs w:val="18"/>
              </w:rPr>
            </w:pPr>
            <w:r w:rsidRPr="001570EA">
              <w:rPr>
                <w:rFonts w:cs="Arial"/>
                <w:color w:val="000000"/>
                <w:sz w:val="18"/>
                <w:szCs w:val="18"/>
              </w:rPr>
              <w:t>8. Upright freezers with manual defrost</w:t>
            </w:r>
          </w:p>
        </w:tc>
        <w:tc>
          <w:tcPr>
            <w:tcW w:w="2948" w:type="dxa"/>
            <w:vAlign w:val="center"/>
          </w:tcPr>
          <w:p w14:paraId="0BEBA7DA" w14:textId="77777777" w:rsidR="004E6452" w:rsidRPr="001570EA" w:rsidRDefault="004E6452">
            <w:pPr>
              <w:pStyle w:val="NoSpacing"/>
              <w:jc w:val="center"/>
              <w:rPr>
                <w:rFonts w:cs="Arial"/>
                <w:sz w:val="18"/>
                <w:szCs w:val="18"/>
              </w:rPr>
            </w:pPr>
            <w:r w:rsidRPr="001570EA">
              <w:rPr>
                <w:rFonts w:cs="Arial"/>
                <w:color w:val="000000"/>
                <w:sz w:val="18"/>
                <w:szCs w:val="18"/>
              </w:rPr>
              <w:t>5.01 × AV + 174.3</w:t>
            </w:r>
          </w:p>
        </w:tc>
        <w:tc>
          <w:tcPr>
            <w:tcW w:w="4616" w:type="dxa"/>
            <w:vAlign w:val="center"/>
          </w:tcPr>
          <w:p w14:paraId="6A930FD0" w14:textId="77777777" w:rsidR="004E6452" w:rsidRPr="001570EA" w:rsidRDefault="004E6452">
            <w:pPr>
              <w:pStyle w:val="NoSpacing"/>
              <w:jc w:val="center"/>
              <w:rPr>
                <w:rFonts w:cs="Arial"/>
                <w:sz w:val="18"/>
                <w:szCs w:val="18"/>
              </w:rPr>
            </w:pPr>
            <w:r w:rsidRPr="001570EA">
              <w:rPr>
                <w:rFonts w:cs="Arial"/>
                <w:sz w:val="18"/>
                <w:szCs w:val="18"/>
              </w:rPr>
              <w:t>AV ≤ 99.9, AEC</w:t>
            </w:r>
            <w:r w:rsidRPr="001570EA">
              <w:rPr>
                <w:rFonts w:cs="Arial"/>
                <w:sz w:val="18"/>
                <w:szCs w:val="18"/>
                <w:vertAlign w:val="subscript"/>
              </w:rPr>
              <w:t>MAX</w:t>
            </w:r>
            <w:r w:rsidRPr="001570EA">
              <w:rPr>
                <w:rFonts w:cs="Arial"/>
                <w:sz w:val="18"/>
                <w:szCs w:val="18"/>
              </w:rPr>
              <w:t xml:space="preserve"> ≤ 4.73 * AV + 164.6</w:t>
            </w:r>
          </w:p>
          <w:p w14:paraId="26D2928E" w14:textId="77777777" w:rsidR="004E6452" w:rsidRPr="001570EA" w:rsidRDefault="004E6452">
            <w:pPr>
              <w:pStyle w:val="NoSpacing"/>
              <w:jc w:val="center"/>
              <w:rPr>
                <w:rFonts w:cs="Arial"/>
                <w:sz w:val="18"/>
                <w:szCs w:val="18"/>
              </w:rPr>
            </w:pPr>
            <w:r w:rsidRPr="001570EA">
              <w:rPr>
                <w:rFonts w:cs="Arial"/>
                <w:sz w:val="18"/>
                <w:szCs w:val="18"/>
              </w:rPr>
              <w:t>AV &gt; 99.9, AEC</w:t>
            </w:r>
            <w:r w:rsidRPr="001570EA">
              <w:rPr>
                <w:rFonts w:cs="Arial"/>
                <w:sz w:val="18"/>
                <w:szCs w:val="18"/>
                <w:vertAlign w:val="subscript"/>
              </w:rPr>
              <w:t>MAX</w:t>
            </w:r>
            <w:r w:rsidRPr="001570EA">
              <w:rPr>
                <w:rFonts w:cs="Arial"/>
                <w:sz w:val="18"/>
                <w:szCs w:val="18"/>
              </w:rPr>
              <w:t xml:space="preserve"> ≤ 637</w:t>
            </w:r>
          </w:p>
        </w:tc>
      </w:tr>
      <w:tr w:rsidR="004E6452" w:rsidRPr="001570EA" w14:paraId="6B9A10B0" w14:textId="77777777">
        <w:tc>
          <w:tcPr>
            <w:tcW w:w="1796" w:type="dxa"/>
            <w:vAlign w:val="center"/>
          </w:tcPr>
          <w:p w14:paraId="61D07C96" w14:textId="77777777" w:rsidR="004E6452" w:rsidRPr="001570EA" w:rsidRDefault="004E6452">
            <w:pPr>
              <w:pStyle w:val="NoSpacing"/>
              <w:jc w:val="left"/>
              <w:rPr>
                <w:rFonts w:cs="Arial"/>
                <w:sz w:val="18"/>
                <w:szCs w:val="18"/>
              </w:rPr>
            </w:pPr>
            <w:r w:rsidRPr="001570EA">
              <w:rPr>
                <w:rFonts w:cs="Arial"/>
                <w:color w:val="000000"/>
                <w:sz w:val="18"/>
                <w:szCs w:val="18"/>
              </w:rPr>
              <w:t>9. Upright freezers with automatic defrost without an automatic icemaker</w:t>
            </w:r>
          </w:p>
        </w:tc>
        <w:tc>
          <w:tcPr>
            <w:tcW w:w="2948" w:type="dxa"/>
            <w:vAlign w:val="center"/>
          </w:tcPr>
          <w:p w14:paraId="16486488" w14:textId="77777777" w:rsidR="004E6452" w:rsidRPr="001570EA" w:rsidRDefault="004E6452">
            <w:pPr>
              <w:pStyle w:val="NoSpacing"/>
              <w:jc w:val="center"/>
              <w:rPr>
                <w:rFonts w:cs="Arial"/>
                <w:sz w:val="18"/>
                <w:szCs w:val="18"/>
              </w:rPr>
            </w:pPr>
            <w:r w:rsidRPr="001570EA">
              <w:rPr>
                <w:rFonts w:cs="Arial"/>
                <w:color w:val="000000"/>
                <w:sz w:val="18"/>
                <w:szCs w:val="18"/>
              </w:rPr>
              <w:t>7.76 × AV + 205.5</w:t>
            </w:r>
          </w:p>
        </w:tc>
        <w:tc>
          <w:tcPr>
            <w:tcW w:w="4616" w:type="dxa"/>
            <w:shd w:val="clear" w:color="auto" w:fill="auto"/>
            <w:vAlign w:val="center"/>
          </w:tcPr>
          <w:p w14:paraId="7245674E" w14:textId="77777777" w:rsidR="004E6452" w:rsidRPr="001570EA" w:rsidRDefault="004E6452">
            <w:pPr>
              <w:pStyle w:val="NoSpacing"/>
              <w:jc w:val="center"/>
              <w:rPr>
                <w:rFonts w:cs="Arial"/>
                <w:sz w:val="18"/>
                <w:szCs w:val="18"/>
              </w:rPr>
            </w:pPr>
            <w:r w:rsidRPr="001570EA">
              <w:rPr>
                <w:rFonts w:cs="Arial"/>
                <w:sz w:val="18"/>
                <w:szCs w:val="18"/>
              </w:rPr>
              <w:t>AV ≤ 65.9, AEC</w:t>
            </w:r>
            <w:r w:rsidRPr="001570EA">
              <w:rPr>
                <w:rFonts w:cs="Arial"/>
                <w:sz w:val="18"/>
                <w:szCs w:val="18"/>
                <w:vertAlign w:val="subscript"/>
              </w:rPr>
              <w:t>MAX</w:t>
            </w:r>
            <w:r w:rsidRPr="001570EA">
              <w:rPr>
                <w:rFonts w:cs="Arial"/>
                <w:sz w:val="18"/>
                <w:szCs w:val="18"/>
              </w:rPr>
              <w:t xml:space="preserve"> ≤ 6.90 * AV + 182.6</w:t>
            </w:r>
          </w:p>
          <w:p w14:paraId="6B991A7D" w14:textId="77777777" w:rsidR="004E6452" w:rsidRPr="001570EA" w:rsidRDefault="004E6452">
            <w:pPr>
              <w:pStyle w:val="NoSpacing"/>
              <w:jc w:val="center"/>
              <w:rPr>
                <w:rFonts w:cs="Arial"/>
                <w:sz w:val="18"/>
                <w:szCs w:val="18"/>
              </w:rPr>
            </w:pPr>
            <w:r w:rsidRPr="001570EA">
              <w:rPr>
                <w:rFonts w:cs="Arial"/>
                <w:sz w:val="18"/>
                <w:szCs w:val="18"/>
              </w:rPr>
              <w:t>AV &gt; 65.9, AEC</w:t>
            </w:r>
            <w:r w:rsidRPr="001570EA">
              <w:rPr>
                <w:rFonts w:cs="Arial"/>
                <w:sz w:val="18"/>
                <w:szCs w:val="18"/>
                <w:vertAlign w:val="subscript"/>
              </w:rPr>
              <w:t>MAX</w:t>
            </w:r>
            <w:r w:rsidRPr="001570EA">
              <w:rPr>
                <w:rFonts w:cs="Arial"/>
                <w:sz w:val="18"/>
                <w:szCs w:val="18"/>
              </w:rPr>
              <w:t xml:space="preserve"> ≤ 637</w:t>
            </w:r>
          </w:p>
        </w:tc>
      </w:tr>
      <w:tr w:rsidR="004E6452" w:rsidRPr="001570EA" w14:paraId="7209C109" w14:textId="77777777">
        <w:tc>
          <w:tcPr>
            <w:tcW w:w="1796" w:type="dxa"/>
            <w:vAlign w:val="center"/>
          </w:tcPr>
          <w:p w14:paraId="107F23B4" w14:textId="77777777" w:rsidR="004E6452" w:rsidRPr="001570EA" w:rsidRDefault="004E6452">
            <w:pPr>
              <w:pStyle w:val="NoSpacing"/>
              <w:jc w:val="left"/>
              <w:rPr>
                <w:rFonts w:cs="Arial"/>
                <w:sz w:val="18"/>
                <w:szCs w:val="18"/>
              </w:rPr>
            </w:pPr>
            <w:r w:rsidRPr="001570EA">
              <w:rPr>
                <w:rFonts w:cs="Arial"/>
                <w:color w:val="000000"/>
                <w:sz w:val="18"/>
                <w:szCs w:val="18"/>
              </w:rPr>
              <w:t>9I. Upright freezers with automatic defrost with an automatic icemaker</w:t>
            </w:r>
          </w:p>
        </w:tc>
        <w:tc>
          <w:tcPr>
            <w:tcW w:w="2948" w:type="dxa"/>
            <w:vAlign w:val="center"/>
          </w:tcPr>
          <w:p w14:paraId="78897C4A" w14:textId="77777777" w:rsidR="004E6452" w:rsidRPr="001570EA" w:rsidRDefault="004E6452">
            <w:pPr>
              <w:pStyle w:val="NoSpacing"/>
              <w:jc w:val="center"/>
              <w:rPr>
                <w:rFonts w:cs="Arial"/>
                <w:sz w:val="18"/>
                <w:szCs w:val="18"/>
              </w:rPr>
            </w:pPr>
            <w:r w:rsidRPr="001570EA">
              <w:rPr>
                <w:rFonts w:cs="Arial"/>
                <w:color w:val="000000"/>
                <w:sz w:val="18"/>
                <w:szCs w:val="18"/>
              </w:rPr>
              <w:t>7.76 × AV + 289.5</w:t>
            </w:r>
          </w:p>
        </w:tc>
        <w:tc>
          <w:tcPr>
            <w:tcW w:w="4616" w:type="dxa"/>
            <w:vAlign w:val="center"/>
          </w:tcPr>
          <w:p w14:paraId="4D722329" w14:textId="77777777" w:rsidR="004E6452" w:rsidRPr="001570EA" w:rsidRDefault="004E6452">
            <w:pPr>
              <w:pStyle w:val="NoSpacing"/>
              <w:jc w:val="center"/>
              <w:rPr>
                <w:rFonts w:cs="Arial"/>
                <w:color w:val="000000"/>
                <w:sz w:val="18"/>
                <w:szCs w:val="18"/>
              </w:rPr>
            </w:pPr>
            <w:r w:rsidRPr="001570EA">
              <w:rPr>
                <w:rFonts w:cs="Arial"/>
                <w:color w:val="000000"/>
                <w:sz w:val="18"/>
                <w:szCs w:val="18"/>
              </w:rPr>
              <w:t>AV ≤ 53.7, AEC</w:t>
            </w:r>
            <w:r w:rsidRPr="001570EA">
              <w:rPr>
                <w:rFonts w:cs="Arial"/>
                <w:color w:val="000000"/>
                <w:sz w:val="18"/>
                <w:szCs w:val="18"/>
                <w:vertAlign w:val="subscript"/>
              </w:rPr>
              <w:t>MAX</w:t>
            </w:r>
            <w:r w:rsidRPr="001570EA">
              <w:rPr>
                <w:rFonts w:cs="Arial"/>
                <w:color w:val="000000"/>
                <w:sz w:val="18"/>
                <w:szCs w:val="18"/>
              </w:rPr>
              <w:t xml:space="preserve"> ≤ 6.90 * AV + 266.6</w:t>
            </w:r>
          </w:p>
          <w:p w14:paraId="2EBBB489" w14:textId="77777777" w:rsidR="004E6452" w:rsidRPr="001570EA" w:rsidRDefault="004E6452">
            <w:pPr>
              <w:pStyle w:val="NoSpacing"/>
              <w:jc w:val="center"/>
              <w:rPr>
                <w:rFonts w:cs="Arial"/>
                <w:color w:val="000000"/>
                <w:sz w:val="18"/>
                <w:szCs w:val="18"/>
              </w:rPr>
            </w:pPr>
            <w:r w:rsidRPr="001570EA">
              <w:rPr>
                <w:rFonts w:cs="Arial"/>
                <w:color w:val="000000"/>
                <w:sz w:val="18"/>
                <w:szCs w:val="18"/>
              </w:rPr>
              <w:t>AV &gt; 53.7, AEC</w:t>
            </w:r>
            <w:r w:rsidRPr="001570EA">
              <w:rPr>
                <w:rFonts w:cs="Arial"/>
                <w:color w:val="000000"/>
                <w:sz w:val="18"/>
                <w:szCs w:val="18"/>
                <w:vertAlign w:val="subscript"/>
              </w:rPr>
              <w:t>MAX</w:t>
            </w:r>
            <w:r w:rsidRPr="001570EA">
              <w:rPr>
                <w:rFonts w:cs="Arial"/>
                <w:color w:val="000000"/>
                <w:sz w:val="18"/>
                <w:szCs w:val="18"/>
              </w:rPr>
              <w:t xml:space="preserve"> ≤ 637</w:t>
            </w:r>
          </w:p>
        </w:tc>
      </w:tr>
      <w:tr w:rsidR="004E6452" w:rsidRPr="001570EA" w14:paraId="3AC33F3A" w14:textId="77777777">
        <w:tc>
          <w:tcPr>
            <w:tcW w:w="1796" w:type="dxa"/>
            <w:vAlign w:val="center"/>
          </w:tcPr>
          <w:p w14:paraId="7B3F6B3B" w14:textId="77777777" w:rsidR="004E6452" w:rsidRPr="001570EA" w:rsidRDefault="004E6452">
            <w:pPr>
              <w:pStyle w:val="NoSpacing"/>
              <w:jc w:val="left"/>
              <w:rPr>
                <w:rFonts w:cs="Arial"/>
                <w:sz w:val="18"/>
                <w:szCs w:val="18"/>
              </w:rPr>
            </w:pPr>
            <w:r w:rsidRPr="001570EA">
              <w:rPr>
                <w:rFonts w:cs="Arial"/>
                <w:color w:val="000000"/>
                <w:sz w:val="18"/>
                <w:szCs w:val="18"/>
              </w:rPr>
              <w:t>9–BI. Built-In Upright freezers with automatic defrost without an automatic icemaker</w:t>
            </w:r>
          </w:p>
        </w:tc>
        <w:tc>
          <w:tcPr>
            <w:tcW w:w="2948" w:type="dxa"/>
            <w:vAlign w:val="center"/>
          </w:tcPr>
          <w:p w14:paraId="4B01A51A" w14:textId="77777777" w:rsidR="004E6452" w:rsidRPr="001570EA" w:rsidRDefault="004E6452">
            <w:pPr>
              <w:pStyle w:val="NoSpacing"/>
              <w:jc w:val="center"/>
              <w:rPr>
                <w:rFonts w:cs="Arial"/>
                <w:sz w:val="18"/>
                <w:szCs w:val="18"/>
              </w:rPr>
            </w:pPr>
            <w:r w:rsidRPr="001570EA">
              <w:rPr>
                <w:rFonts w:cs="Arial"/>
                <w:color w:val="000000"/>
                <w:sz w:val="18"/>
                <w:szCs w:val="18"/>
              </w:rPr>
              <w:t>8.87 × AV + 234.8</w:t>
            </w:r>
          </w:p>
        </w:tc>
        <w:tc>
          <w:tcPr>
            <w:tcW w:w="4616" w:type="dxa"/>
            <w:shd w:val="clear" w:color="auto" w:fill="auto"/>
            <w:vAlign w:val="center"/>
          </w:tcPr>
          <w:p w14:paraId="1927BB3A" w14:textId="77777777" w:rsidR="004E6452" w:rsidRPr="001570EA" w:rsidRDefault="004E6452">
            <w:pPr>
              <w:pStyle w:val="NoSpacing"/>
              <w:jc w:val="center"/>
              <w:rPr>
                <w:rFonts w:cs="Arial"/>
                <w:sz w:val="18"/>
                <w:szCs w:val="18"/>
              </w:rPr>
            </w:pPr>
            <w:r w:rsidRPr="001570EA">
              <w:rPr>
                <w:rFonts w:cs="Arial"/>
                <w:sz w:val="18"/>
                <w:szCs w:val="18"/>
              </w:rPr>
              <w:t xml:space="preserve">AV ≤ 65.9, </w:t>
            </w:r>
            <w:r w:rsidRPr="001570EA">
              <w:rPr>
                <w:rFonts w:cs="Arial"/>
                <w:color w:val="000000"/>
                <w:sz w:val="18"/>
                <w:szCs w:val="18"/>
              </w:rPr>
              <w:t>AEC</w:t>
            </w:r>
            <w:r w:rsidRPr="001570EA">
              <w:rPr>
                <w:rFonts w:cs="Arial"/>
                <w:color w:val="000000"/>
                <w:sz w:val="18"/>
                <w:szCs w:val="18"/>
                <w:vertAlign w:val="subscript"/>
              </w:rPr>
              <w:t>MAX</w:t>
            </w:r>
            <w:r w:rsidRPr="001570EA">
              <w:rPr>
                <w:rFonts w:cs="Arial"/>
                <w:sz w:val="18"/>
                <w:szCs w:val="18"/>
              </w:rPr>
              <w:t xml:space="preserve"> ≤ 6.90 * AV + 182.6</w:t>
            </w:r>
          </w:p>
          <w:p w14:paraId="24465F50" w14:textId="77777777" w:rsidR="004E6452" w:rsidRPr="001570EA" w:rsidRDefault="004E6452">
            <w:pPr>
              <w:pStyle w:val="NoSpacing"/>
              <w:jc w:val="center"/>
              <w:rPr>
                <w:rFonts w:cs="Arial"/>
                <w:sz w:val="18"/>
                <w:szCs w:val="18"/>
              </w:rPr>
            </w:pPr>
            <w:r w:rsidRPr="001570EA">
              <w:rPr>
                <w:rFonts w:cs="Arial"/>
                <w:sz w:val="18"/>
                <w:szCs w:val="18"/>
              </w:rPr>
              <w:t xml:space="preserve">AV &gt; 65.9, </w:t>
            </w:r>
            <w:r w:rsidRPr="001570EA">
              <w:rPr>
                <w:rFonts w:cs="Arial"/>
                <w:color w:val="000000"/>
                <w:sz w:val="18"/>
                <w:szCs w:val="18"/>
              </w:rPr>
              <w:t>AEC</w:t>
            </w:r>
            <w:r w:rsidRPr="001570EA">
              <w:rPr>
                <w:rFonts w:cs="Arial"/>
                <w:color w:val="000000"/>
                <w:sz w:val="18"/>
                <w:szCs w:val="18"/>
                <w:vertAlign w:val="subscript"/>
              </w:rPr>
              <w:t>MAX</w:t>
            </w:r>
            <w:r w:rsidRPr="001570EA">
              <w:rPr>
                <w:rFonts w:cs="Arial"/>
                <w:sz w:val="18"/>
                <w:szCs w:val="18"/>
              </w:rPr>
              <w:t xml:space="preserve"> ≤ 637</w:t>
            </w:r>
          </w:p>
        </w:tc>
      </w:tr>
      <w:tr w:rsidR="004E6452" w:rsidRPr="001570EA" w14:paraId="3C521301" w14:textId="77777777">
        <w:tc>
          <w:tcPr>
            <w:tcW w:w="1796" w:type="dxa"/>
            <w:vAlign w:val="center"/>
          </w:tcPr>
          <w:p w14:paraId="6F5D72A1" w14:textId="77777777" w:rsidR="004E6452" w:rsidRPr="001570EA" w:rsidRDefault="004E6452">
            <w:pPr>
              <w:pStyle w:val="NoSpacing"/>
              <w:jc w:val="left"/>
              <w:rPr>
                <w:rFonts w:cs="Arial"/>
                <w:sz w:val="18"/>
                <w:szCs w:val="18"/>
              </w:rPr>
            </w:pPr>
            <w:r w:rsidRPr="001570EA">
              <w:rPr>
                <w:rFonts w:cs="Arial"/>
                <w:color w:val="000000"/>
                <w:sz w:val="18"/>
                <w:szCs w:val="18"/>
              </w:rPr>
              <w:t>9I–BI. Built-in upright freezers with automatic defrost with an automatic icemaker</w:t>
            </w:r>
          </w:p>
        </w:tc>
        <w:tc>
          <w:tcPr>
            <w:tcW w:w="2948" w:type="dxa"/>
            <w:vAlign w:val="center"/>
          </w:tcPr>
          <w:p w14:paraId="6F036D2B" w14:textId="77777777" w:rsidR="004E6452" w:rsidRPr="001570EA" w:rsidRDefault="004E6452">
            <w:pPr>
              <w:pStyle w:val="NoSpacing"/>
              <w:jc w:val="center"/>
              <w:rPr>
                <w:rFonts w:cs="Arial"/>
                <w:sz w:val="18"/>
                <w:szCs w:val="18"/>
              </w:rPr>
            </w:pPr>
            <w:r w:rsidRPr="001570EA">
              <w:rPr>
                <w:rFonts w:cs="Arial"/>
                <w:color w:val="000000"/>
                <w:sz w:val="18"/>
                <w:szCs w:val="18"/>
              </w:rPr>
              <w:t>8.87 × AV + 318.8</w:t>
            </w:r>
          </w:p>
        </w:tc>
        <w:tc>
          <w:tcPr>
            <w:tcW w:w="4616" w:type="dxa"/>
            <w:shd w:val="clear" w:color="auto" w:fill="auto"/>
            <w:vAlign w:val="center"/>
          </w:tcPr>
          <w:p w14:paraId="717FED00" w14:textId="77777777" w:rsidR="004E6452" w:rsidRPr="001570EA" w:rsidRDefault="004E6452">
            <w:pPr>
              <w:pStyle w:val="NoSpacing"/>
              <w:jc w:val="center"/>
              <w:rPr>
                <w:rFonts w:cs="Arial"/>
                <w:sz w:val="18"/>
                <w:szCs w:val="18"/>
              </w:rPr>
            </w:pPr>
            <w:r w:rsidRPr="001570EA">
              <w:rPr>
                <w:rFonts w:cs="Arial"/>
                <w:sz w:val="18"/>
                <w:szCs w:val="18"/>
              </w:rPr>
              <w:t>AV ≤ 53.7, AEC</w:t>
            </w:r>
            <w:r w:rsidRPr="001570EA">
              <w:rPr>
                <w:rFonts w:cs="Arial"/>
                <w:sz w:val="18"/>
                <w:szCs w:val="18"/>
                <w:vertAlign w:val="subscript"/>
              </w:rPr>
              <w:t>MAX</w:t>
            </w:r>
            <w:r w:rsidRPr="001570EA">
              <w:rPr>
                <w:rFonts w:cs="Arial"/>
                <w:sz w:val="18"/>
                <w:szCs w:val="18"/>
              </w:rPr>
              <w:t xml:space="preserve"> ≤ 6.90 * AV + 266.6</w:t>
            </w:r>
          </w:p>
          <w:p w14:paraId="53B405DF" w14:textId="77777777" w:rsidR="004E6452" w:rsidRPr="001570EA" w:rsidRDefault="004E6452">
            <w:pPr>
              <w:pStyle w:val="NoSpacing"/>
              <w:jc w:val="center"/>
              <w:rPr>
                <w:rFonts w:cs="Arial"/>
                <w:sz w:val="18"/>
                <w:szCs w:val="18"/>
              </w:rPr>
            </w:pPr>
            <w:r w:rsidRPr="001570EA">
              <w:rPr>
                <w:rFonts w:cs="Arial"/>
                <w:sz w:val="18"/>
                <w:szCs w:val="18"/>
              </w:rPr>
              <w:t>AV &gt; 53.7, AEC</w:t>
            </w:r>
            <w:r w:rsidRPr="001570EA">
              <w:rPr>
                <w:rFonts w:cs="Arial"/>
                <w:sz w:val="18"/>
                <w:szCs w:val="18"/>
                <w:vertAlign w:val="subscript"/>
              </w:rPr>
              <w:t>MAX</w:t>
            </w:r>
            <w:r w:rsidRPr="001570EA">
              <w:rPr>
                <w:rFonts w:cs="Arial"/>
                <w:sz w:val="18"/>
                <w:szCs w:val="18"/>
              </w:rPr>
              <w:t xml:space="preserve"> ≤ 637</w:t>
            </w:r>
          </w:p>
        </w:tc>
      </w:tr>
      <w:tr w:rsidR="004E6452" w:rsidRPr="001570EA" w14:paraId="726A191E" w14:textId="77777777">
        <w:tc>
          <w:tcPr>
            <w:tcW w:w="1796" w:type="dxa"/>
            <w:vAlign w:val="center"/>
          </w:tcPr>
          <w:p w14:paraId="33AFE2C8" w14:textId="77777777" w:rsidR="004E6452" w:rsidRPr="001570EA" w:rsidRDefault="004E6452">
            <w:pPr>
              <w:pStyle w:val="NoSpacing"/>
              <w:jc w:val="left"/>
              <w:rPr>
                <w:rFonts w:cs="Arial"/>
                <w:sz w:val="18"/>
                <w:szCs w:val="18"/>
              </w:rPr>
            </w:pPr>
            <w:r w:rsidRPr="001570EA">
              <w:rPr>
                <w:rFonts w:cs="Arial"/>
                <w:color w:val="000000"/>
                <w:sz w:val="18"/>
                <w:szCs w:val="18"/>
              </w:rPr>
              <w:t>10. Chest freezers and all other freezers except compact freezers</w:t>
            </w:r>
          </w:p>
        </w:tc>
        <w:tc>
          <w:tcPr>
            <w:tcW w:w="2948" w:type="dxa"/>
            <w:vAlign w:val="center"/>
          </w:tcPr>
          <w:p w14:paraId="7D9BEF30" w14:textId="77777777" w:rsidR="004E6452" w:rsidRPr="001570EA" w:rsidRDefault="004E6452">
            <w:pPr>
              <w:pStyle w:val="NoSpacing"/>
              <w:jc w:val="center"/>
              <w:rPr>
                <w:rFonts w:cs="Arial"/>
                <w:sz w:val="18"/>
                <w:szCs w:val="18"/>
              </w:rPr>
            </w:pPr>
            <w:r w:rsidRPr="001570EA">
              <w:rPr>
                <w:rFonts w:cs="Arial"/>
                <w:color w:val="000000"/>
                <w:sz w:val="18"/>
                <w:szCs w:val="18"/>
              </w:rPr>
              <w:t>6.56 × AV + 97.0</w:t>
            </w:r>
          </w:p>
        </w:tc>
        <w:tc>
          <w:tcPr>
            <w:tcW w:w="4616" w:type="dxa"/>
            <w:shd w:val="clear" w:color="auto" w:fill="auto"/>
            <w:vAlign w:val="center"/>
          </w:tcPr>
          <w:p w14:paraId="62341127" w14:textId="77777777" w:rsidR="004E6452" w:rsidRPr="001570EA" w:rsidRDefault="004E6452">
            <w:pPr>
              <w:pStyle w:val="NoSpacing"/>
              <w:jc w:val="center"/>
              <w:rPr>
                <w:rFonts w:cs="Arial"/>
                <w:sz w:val="18"/>
                <w:szCs w:val="18"/>
              </w:rPr>
            </w:pPr>
            <w:r w:rsidRPr="001570EA">
              <w:rPr>
                <w:rFonts w:cs="Arial"/>
                <w:sz w:val="18"/>
                <w:szCs w:val="18"/>
              </w:rPr>
              <w:t>AV ≤ 88.0, AEC</w:t>
            </w:r>
            <w:r w:rsidRPr="001570EA">
              <w:rPr>
                <w:rFonts w:cs="Arial"/>
                <w:sz w:val="18"/>
                <w:szCs w:val="18"/>
                <w:vertAlign w:val="subscript"/>
              </w:rPr>
              <w:t>MAX</w:t>
            </w:r>
            <w:r w:rsidRPr="001570EA">
              <w:rPr>
                <w:rFonts w:cs="Arial"/>
                <w:sz w:val="18"/>
                <w:szCs w:val="18"/>
              </w:rPr>
              <w:t xml:space="preserve"> ≤ 6.20 * AV + 91.6</w:t>
            </w:r>
          </w:p>
          <w:p w14:paraId="0282E3CE" w14:textId="77777777" w:rsidR="004E6452" w:rsidRPr="001570EA" w:rsidRDefault="004E6452">
            <w:pPr>
              <w:pStyle w:val="NoSpacing"/>
              <w:jc w:val="center"/>
              <w:rPr>
                <w:rFonts w:cs="Arial"/>
                <w:sz w:val="18"/>
                <w:szCs w:val="18"/>
              </w:rPr>
            </w:pPr>
            <w:r w:rsidRPr="001570EA">
              <w:rPr>
                <w:rFonts w:cs="Arial"/>
                <w:sz w:val="18"/>
                <w:szCs w:val="18"/>
              </w:rPr>
              <w:t>AV &gt; 88.0, AEC</w:t>
            </w:r>
            <w:r w:rsidRPr="001570EA">
              <w:rPr>
                <w:rFonts w:cs="Arial"/>
                <w:sz w:val="18"/>
                <w:szCs w:val="18"/>
                <w:vertAlign w:val="subscript"/>
              </w:rPr>
              <w:t>MAX</w:t>
            </w:r>
            <w:r w:rsidRPr="001570EA">
              <w:rPr>
                <w:rFonts w:cs="Arial"/>
                <w:sz w:val="18"/>
                <w:szCs w:val="18"/>
              </w:rPr>
              <w:t xml:space="preserve"> ≤ 637</w:t>
            </w:r>
          </w:p>
        </w:tc>
      </w:tr>
      <w:tr w:rsidR="004E6452" w:rsidRPr="001570EA" w14:paraId="5BD11177" w14:textId="77777777">
        <w:tc>
          <w:tcPr>
            <w:tcW w:w="1796" w:type="dxa"/>
            <w:vAlign w:val="center"/>
          </w:tcPr>
          <w:p w14:paraId="6B529872" w14:textId="77777777" w:rsidR="004E6452" w:rsidRPr="001570EA" w:rsidRDefault="004E6452">
            <w:pPr>
              <w:pStyle w:val="NoSpacing"/>
              <w:jc w:val="left"/>
              <w:rPr>
                <w:rFonts w:cs="Arial"/>
                <w:sz w:val="18"/>
                <w:szCs w:val="18"/>
              </w:rPr>
            </w:pPr>
            <w:r w:rsidRPr="001570EA">
              <w:rPr>
                <w:rFonts w:cs="Arial"/>
                <w:color w:val="000000"/>
                <w:sz w:val="18"/>
                <w:szCs w:val="18"/>
              </w:rPr>
              <w:t>10A. Chest freezers with automatic defrost</w:t>
            </w:r>
          </w:p>
        </w:tc>
        <w:tc>
          <w:tcPr>
            <w:tcW w:w="2948" w:type="dxa"/>
            <w:vAlign w:val="center"/>
          </w:tcPr>
          <w:p w14:paraId="5AAF4A9E" w14:textId="77777777" w:rsidR="004E6452" w:rsidRPr="001570EA" w:rsidRDefault="004E6452">
            <w:pPr>
              <w:pStyle w:val="NoSpacing"/>
              <w:jc w:val="center"/>
              <w:rPr>
                <w:rFonts w:cs="Arial"/>
                <w:sz w:val="18"/>
                <w:szCs w:val="18"/>
              </w:rPr>
            </w:pPr>
            <w:r w:rsidRPr="001570EA">
              <w:rPr>
                <w:rFonts w:cs="Arial"/>
                <w:color w:val="000000"/>
                <w:sz w:val="18"/>
                <w:szCs w:val="18"/>
              </w:rPr>
              <w:t>9.22 × AV + 133.3</w:t>
            </w:r>
          </w:p>
        </w:tc>
        <w:tc>
          <w:tcPr>
            <w:tcW w:w="4616" w:type="dxa"/>
            <w:vAlign w:val="center"/>
          </w:tcPr>
          <w:p w14:paraId="11CE7D52" w14:textId="77777777" w:rsidR="004E6452" w:rsidRPr="001570EA" w:rsidRDefault="004E6452">
            <w:pPr>
              <w:pStyle w:val="NoSpacing"/>
              <w:jc w:val="center"/>
              <w:rPr>
                <w:rFonts w:cs="Arial"/>
                <w:sz w:val="18"/>
                <w:szCs w:val="18"/>
              </w:rPr>
            </w:pPr>
            <w:r w:rsidRPr="001570EA">
              <w:rPr>
                <w:rFonts w:cs="Arial"/>
                <w:sz w:val="18"/>
                <w:szCs w:val="18"/>
              </w:rPr>
              <w:t>AV ≤ 58.7, AEC</w:t>
            </w:r>
            <w:r w:rsidRPr="001570EA">
              <w:rPr>
                <w:rFonts w:cs="Arial"/>
                <w:sz w:val="18"/>
                <w:szCs w:val="18"/>
                <w:vertAlign w:val="subscript"/>
              </w:rPr>
              <w:t>MAX</w:t>
            </w:r>
            <w:r w:rsidRPr="001570EA">
              <w:rPr>
                <w:rFonts w:cs="Arial"/>
                <w:sz w:val="18"/>
                <w:szCs w:val="18"/>
              </w:rPr>
              <w:t xml:space="preserve"> ≤ 8.70 * AV + 125.9</w:t>
            </w:r>
          </w:p>
          <w:p w14:paraId="39AA782C" w14:textId="77777777" w:rsidR="004E6452" w:rsidRPr="001570EA" w:rsidRDefault="004E6452">
            <w:pPr>
              <w:pStyle w:val="NoSpacing"/>
              <w:jc w:val="center"/>
              <w:rPr>
                <w:rFonts w:cs="Arial"/>
                <w:sz w:val="18"/>
                <w:szCs w:val="18"/>
              </w:rPr>
            </w:pPr>
            <w:r w:rsidRPr="001570EA">
              <w:rPr>
                <w:rFonts w:cs="Arial"/>
                <w:sz w:val="18"/>
                <w:szCs w:val="18"/>
              </w:rPr>
              <w:t>AV &gt; 58.7, AEC</w:t>
            </w:r>
            <w:r w:rsidRPr="001570EA">
              <w:rPr>
                <w:rFonts w:cs="Arial"/>
                <w:sz w:val="18"/>
                <w:szCs w:val="18"/>
                <w:vertAlign w:val="subscript"/>
              </w:rPr>
              <w:t>MAX</w:t>
            </w:r>
            <w:r w:rsidRPr="001570EA">
              <w:rPr>
                <w:rFonts w:cs="Arial"/>
                <w:sz w:val="18"/>
                <w:szCs w:val="18"/>
              </w:rPr>
              <w:t xml:space="preserve"> ≤ 637</w:t>
            </w:r>
          </w:p>
        </w:tc>
      </w:tr>
      <w:tr w:rsidR="004E6452" w:rsidRPr="001570EA" w14:paraId="40E9E878" w14:textId="77777777">
        <w:tc>
          <w:tcPr>
            <w:tcW w:w="1796" w:type="dxa"/>
            <w:vAlign w:val="center"/>
          </w:tcPr>
          <w:p w14:paraId="7E97E821" w14:textId="77777777" w:rsidR="004E6452" w:rsidRPr="001570EA" w:rsidRDefault="004E6452">
            <w:pPr>
              <w:pStyle w:val="NoSpacing"/>
              <w:jc w:val="left"/>
              <w:rPr>
                <w:rFonts w:cs="Arial"/>
                <w:sz w:val="18"/>
                <w:szCs w:val="18"/>
              </w:rPr>
            </w:pPr>
            <w:r w:rsidRPr="001570EA">
              <w:rPr>
                <w:rFonts w:cs="Arial"/>
                <w:color w:val="000000"/>
                <w:sz w:val="18"/>
                <w:szCs w:val="18"/>
              </w:rPr>
              <w:t>16. Compact upright freezers with manual defrost</w:t>
            </w:r>
          </w:p>
        </w:tc>
        <w:tc>
          <w:tcPr>
            <w:tcW w:w="2948" w:type="dxa"/>
            <w:vAlign w:val="center"/>
          </w:tcPr>
          <w:p w14:paraId="24B13B64" w14:textId="77777777" w:rsidR="004E6452" w:rsidRPr="001570EA" w:rsidRDefault="004E6452">
            <w:pPr>
              <w:pStyle w:val="NoSpacing"/>
              <w:jc w:val="center"/>
              <w:rPr>
                <w:rFonts w:cs="Arial"/>
                <w:sz w:val="18"/>
                <w:szCs w:val="18"/>
              </w:rPr>
            </w:pPr>
            <w:r w:rsidRPr="001570EA">
              <w:rPr>
                <w:rFonts w:cs="Arial"/>
                <w:color w:val="000000"/>
                <w:sz w:val="18"/>
                <w:szCs w:val="18"/>
              </w:rPr>
              <w:t>7.79 × AV + 203.1</w:t>
            </w:r>
          </w:p>
        </w:tc>
        <w:tc>
          <w:tcPr>
            <w:tcW w:w="4616" w:type="dxa"/>
            <w:vAlign w:val="center"/>
          </w:tcPr>
          <w:p w14:paraId="3E40397B" w14:textId="77777777" w:rsidR="004E6452" w:rsidRPr="001570EA" w:rsidRDefault="004E6452">
            <w:pPr>
              <w:pStyle w:val="NoSpacing"/>
              <w:jc w:val="center"/>
              <w:rPr>
                <w:rFonts w:cs="Arial"/>
                <w:sz w:val="18"/>
                <w:szCs w:val="18"/>
              </w:rPr>
            </w:pPr>
            <w:r w:rsidRPr="001570EA">
              <w:rPr>
                <w:rFonts w:cs="Arial"/>
                <w:sz w:val="18"/>
                <w:szCs w:val="18"/>
              </w:rPr>
              <w:t>AEC</w:t>
            </w:r>
            <w:r w:rsidRPr="001570EA">
              <w:rPr>
                <w:rFonts w:cs="Arial"/>
                <w:sz w:val="18"/>
                <w:szCs w:val="18"/>
                <w:vertAlign w:val="subscript"/>
              </w:rPr>
              <w:t>MAX</w:t>
            </w:r>
            <w:r w:rsidRPr="001570EA">
              <w:rPr>
                <w:rFonts w:cs="Arial"/>
                <w:sz w:val="18"/>
                <w:szCs w:val="18"/>
              </w:rPr>
              <w:t xml:space="preserve"> ≤ 6.92 * AV + 180.6</w:t>
            </w:r>
          </w:p>
        </w:tc>
      </w:tr>
      <w:tr w:rsidR="004E6452" w:rsidRPr="001570EA" w14:paraId="0190CC6A" w14:textId="77777777">
        <w:tc>
          <w:tcPr>
            <w:tcW w:w="1796" w:type="dxa"/>
            <w:vAlign w:val="center"/>
          </w:tcPr>
          <w:p w14:paraId="688813B1" w14:textId="77777777" w:rsidR="004E6452" w:rsidRPr="001570EA" w:rsidRDefault="004E6452">
            <w:pPr>
              <w:pStyle w:val="NoSpacing"/>
              <w:jc w:val="left"/>
              <w:rPr>
                <w:rFonts w:cs="Arial"/>
                <w:sz w:val="18"/>
                <w:szCs w:val="18"/>
              </w:rPr>
            </w:pPr>
            <w:r w:rsidRPr="001570EA">
              <w:rPr>
                <w:rFonts w:cs="Arial"/>
                <w:color w:val="000000"/>
                <w:sz w:val="18"/>
                <w:szCs w:val="18"/>
              </w:rPr>
              <w:t>17. Compact upright freezers with automatic defrost</w:t>
            </w:r>
          </w:p>
        </w:tc>
        <w:tc>
          <w:tcPr>
            <w:tcW w:w="2948" w:type="dxa"/>
            <w:vAlign w:val="center"/>
          </w:tcPr>
          <w:p w14:paraId="47684DCF" w14:textId="77777777" w:rsidR="004E6452" w:rsidRPr="001570EA" w:rsidRDefault="004E6452">
            <w:pPr>
              <w:pStyle w:val="NoSpacing"/>
              <w:jc w:val="center"/>
              <w:rPr>
                <w:rFonts w:cs="Arial"/>
                <w:sz w:val="18"/>
                <w:szCs w:val="18"/>
              </w:rPr>
            </w:pPr>
            <w:r w:rsidRPr="001570EA">
              <w:rPr>
                <w:rFonts w:cs="Arial"/>
                <w:color w:val="000000"/>
                <w:sz w:val="18"/>
                <w:szCs w:val="18"/>
              </w:rPr>
              <w:t>9.15 × AV + 316.7</w:t>
            </w:r>
          </w:p>
        </w:tc>
        <w:tc>
          <w:tcPr>
            <w:tcW w:w="4616" w:type="dxa"/>
            <w:vAlign w:val="center"/>
          </w:tcPr>
          <w:p w14:paraId="077DD63E" w14:textId="77777777" w:rsidR="004E6452" w:rsidRPr="001570EA" w:rsidRDefault="004E6452">
            <w:pPr>
              <w:pStyle w:val="NoSpacing"/>
              <w:jc w:val="center"/>
              <w:rPr>
                <w:rFonts w:cs="Arial"/>
                <w:sz w:val="18"/>
                <w:szCs w:val="18"/>
              </w:rPr>
            </w:pPr>
            <w:r w:rsidRPr="001570EA">
              <w:rPr>
                <w:rFonts w:cs="Arial"/>
                <w:sz w:val="18"/>
                <w:szCs w:val="18"/>
              </w:rPr>
              <w:t>AEC</w:t>
            </w:r>
            <w:r w:rsidRPr="001570EA">
              <w:rPr>
                <w:rFonts w:cs="Arial"/>
                <w:sz w:val="18"/>
                <w:szCs w:val="18"/>
                <w:vertAlign w:val="subscript"/>
              </w:rPr>
              <w:t>MAX</w:t>
            </w:r>
            <w:r w:rsidRPr="001570EA">
              <w:rPr>
                <w:rFonts w:cs="Arial"/>
                <w:sz w:val="18"/>
                <w:szCs w:val="18"/>
              </w:rPr>
              <w:t xml:space="preserve"> ≤ 8.14 * AV + 281.5</w:t>
            </w:r>
          </w:p>
        </w:tc>
      </w:tr>
      <w:tr w:rsidR="004E6452" w:rsidRPr="001570EA" w14:paraId="507344A8" w14:textId="77777777">
        <w:tc>
          <w:tcPr>
            <w:tcW w:w="1796" w:type="dxa"/>
            <w:vAlign w:val="center"/>
          </w:tcPr>
          <w:p w14:paraId="2AFEA15A" w14:textId="77777777" w:rsidR="004E6452" w:rsidRPr="001570EA" w:rsidRDefault="004E6452">
            <w:pPr>
              <w:pStyle w:val="NoSpacing"/>
              <w:jc w:val="left"/>
              <w:rPr>
                <w:rFonts w:cs="Arial"/>
                <w:sz w:val="18"/>
                <w:szCs w:val="18"/>
              </w:rPr>
            </w:pPr>
            <w:r w:rsidRPr="001570EA">
              <w:rPr>
                <w:rFonts w:cs="Arial"/>
                <w:color w:val="000000"/>
                <w:sz w:val="18"/>
                <w:szCs w:val="18"/>
              </w:rPr>
              <w:t>18. Compact chest freezers</w:t>
            </w:r>
          </w:p>
        </w:tc>
        <w:tc>
          <w:tcPr>
            <w:tcW w:w="2948" w:type="dxa"/>
            <w:vAlign w:val="center"/>
          </w:tcPr>
          <w:p w14:paraId="0580BEEF" w14:textId="77777777" w:rsidR="004E6452" w:rsidRPr="001570EA" w:rsidRDefault="004E6452">
            <w:pPr>
              <w:pStyle w:val="NoSpacing"/>
              <w:jc w:val="center"/>
              <w:rPr>
                <w:rFonts w:cs="Arial"/>
                <w:sz w:val="18"/>
                <w:szCs w:val="18"/>
              </w:rPr>
            </w:pPr>
            <w:r w:rsidRPr="001570EA">
              <w:rPr>
                <w:rFonts w:cs="Arial"/>
                <w:color w:val="000000"/>
                <w:sz w:val="18"/>
                <w:szCs w:val="18"/>
              </w:rPr>
              <w:t>8.33 × AV + 123.1</w:t>
            </w:r>
          </w:p>
        </w:tc>
        <w:tc>
          <w:tcPr>
            <w:tcW w:w="4616" w:type="dxa"/>
            <w:vAlign w:val="center"/>
          </w:tcPr>
          <w:p w14:paraId="37298F82" w14:textId="77777777" w:rsidR="004E6452" w:rsidRPr="001570EA" w:rsidRDefault="004E6452">
            <w:pPr>
              <w:pStyle w:val="NoSpacing"/>
              <w:jc w:val="center"/>
              <w:rPr>
                <w:rFonts w:cs="Arial"/>
                <w:sz w:val="18"/>
                <w:szCs w:val="18"/>
              </w:rPr>
            </w:pPr>
            <w:r w:rsidRPr="001570EA">
              <w:rPr>
                <w:rFonts w:cs="Arial"/>
                <w:sz w:val="18"/>
                <w:szCs w:val="18"/>
              </w:rPr>
              <w:t>AEC</w:t>
            </w:r>
            <w:r w:rsidRPr="001570EA">
              <w:rPr>
                <w:rFonts w:cs="Arial"/>
                <w:sz w:val="18"/>
                <w:szCs w:val="18"/>
                <w:vertAlign w:val="subscript"/>
              </w:rPr>
              <w:t>MAX</w:t>
            </w:r>
            <w:r w:rsidRPr="001570EA">
              <w:rPr>
                <w:rFonts w:cs="Arial"/>
                <w:sz w:val="18"/>
                <w:szCs w:val="18"/>
              </w:rPr>
              <w:t xml:space="preserve"> ≤ 7.4 * AV + 109.4</w:t>
            </w:r>
          </w:p>
        </w:tc>
      </w:tr>
    </w:tbl>
    <w:p w14:paraId="711DBBB1" w14:textId="77777777" w:rsidR="004E6452" w:rsidRPr="001570EA" w:rsidRDefault="004E6452" w:rsidP="004E6452"/>
    <w:p w14:paraId="1CB66D43" w14:textId="77777777" w:rsidR="004E6452" w:rsidRPr="001570EA" w:rsidRDefault="004E6452" w:rsidP="004E6452">
      <w:pPr>
        <w:pStyle w:val="SubStyle"/>
        <w:keepNext/>
      </w:pPr>
      <w:r w:rsidRPr="001570EA">
        <w:t>Default Savings</w:t>
      </w:r>
    </w:p>
    <w:bookmarkStart w:id="561" w:name="_Ref533707546"/>
    <w:bookmarkStart w:id="562" w:name="_Toc530141737"/>
    <w:bookmarkStart w:id="563" w:name="_Toc47598319"/>
    <w:p w14:paraId="1D8A75D7" w14:textId="602641D0" w:rsidR="004E6452" w:rsidRPr="001570EA" w:rsidRDefault="004E6452" w:rsidP="004E6452">
      <w:pPr>
        <w:pStyle w:val="BodyText"/>
        <w:ind w:right="0"/>
      </w:pPr>
      <w:r w:rsidRPr="001570EA">
        <w:fldChar w:fldCharType="begin"/>
      </w:r>
      <w:r w:rsidRPr="001570EA">
        <w:instrText xml:space="preserve"> REF _Ref160812249 \h </w:instrText>
      </w:r>
      <w:r w:rsidR="001570EA">
        <w:instrText xml:space="preserve"> \* MERGEFORMAT </w:instrText>
      </w:r>
      <w:r w:rsidRPr="001570EA">
        <w:fldChar w:fldCharType="separate"/>
      </w:r>
      <w:r w:rsidR="001723B1" w:rsidRPr="001570EA">
        <w:t xml:space="preserve">Table </w:t>
      </w:r>
      <w:r w:rsidR="001723B1" w:rsidRPr="001570EA">
        <w:rPr>
          <w:noProof/>
        </w:rPr>
        <w:t>2</w:t>
      </w:r>
      <w:r w:rsidR="001723B1" w:rsidRPr="001570EA">
        <w:rPr>
          <w:noProof/>
        </w:rPr>
        <w:noBreakHyphen/>
        <w:t>90</w:t>
      </w:r>
      <w:r w:rsidRPr="001570EA">
        <w:fldChar w:fldCharType="end"/>
      </w:r>
      <w:r w:rsidRPr="001570EA">
        <w:t xml:space="preserve"> displays the default savings for prevalent configurations of ENERGY STAR freezers. Default savings assume no special doors (i.e. door coefficient=1). Note that there are zero default savings for ENERGY STAR freezer category 16 after 1/30/29, and zero default savings for ENERGY STAR freezer category 9 after 1/30/30. </w:t>
      </w:r>
      <w:r w:rsidRPr="001570EA">
        <w:fldChar w:fldCharType="begin"/>
      </w:r>
      <w:r w:rsidRPr="001570EA">
        <w:instrText xml:space="preserve"> REF _Ref160812249 \h </w:instrText>
      </w:r>
      <w:r w:rsidR="001570EA">
        <w:instrText xml:space="preserve"> \* MERGEFORMAT </w:instrText>
      </w:r>
      <w:r w:rsidRPr="001570EA">
        <w:fldChar w:fldCharType="separate"/>
      </w:r>
      <w:r w:rsidR="001723B1" w:rsidRPr="001570EA">
        <w:t xml:space="preserve">Table </w:t>
      </w:r>
      <w:r w:rsidR="001723B1" w:rsidRPr="001570EA">
        <w:rPr>
          <w:noProof/>
        </w:rPr>
        <w:t>2</w:t>
      </w:r>
      <w:r w:rsidR="001723B1" w:rsidRPr="001570EA">
        <w:rPr>
          <w:noProof/>
        </w:rPr>
        <w:noBreakHyphen/>
        <w:t>90</w:t>
      </w:r>
      <w:r w:rsidRPr="001570EA">
        <w:fldChar w:fldCharType="end"/>
      </w:r>
      <w:r w:rsidRPr="001570EA">
        <w:t xml:space="preserve"> displays the default savings for prevalent configurations of ENERGY STAR Most Efficient refrigerators. </w:t>
      </w:r>
    </w:p>
    <w:p w14:paraId="63D76C0E" w14:textId="77777777" w:rsidR="004E6452" w:rsidRPr="001570EA" w:rsidRDefault="004E6452" w:rsidP="004E6452">
      <w:pPr>
        <w:pStyle w:val="Caption"/>
        <w:rPr>
          <w:rFonts w:cs="Arial"/>
          <w:b w:val="0"/>
        </w:rPr>
      </w:pPr>
    </w:p>
    <w:p w14:paraId="5A5942B4" w14:textId="7945E19E" w:rsidR="004E6452" w:rsidRPr="001570EA" w:rsidRDefault="004E6452" w:rsidP="004E6452">
      <w:pPr>
        <w:pStyle w:val="Caption"/>
      </w:pPr>
      <w:bookmarkStart w:id="564" w:name="_Ref160812249"/>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90</w:t>
      </w:r>
      <w:r w:rsidR="002E093A" w:rsidRPr="001570EA">
        <w:fldChar w:fldCharType="end"/>
      </w:r>
      <w:bookmarkEnd w:id="564"/>
      <w:r w:rsidRPr="001570EA">
        <w:t>: Default Savings Values for ENERGY STAR Freezers</w:t>
      </w:r>
    </w:p>
    <w:tbl>
      <w:tblPr>
        <w:tblW w:w="8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1105"/>
        <w:gridCol w:w="1314"/>
        <w:gridCol w:w="1072"/>
        <w:gridCol w:w="1170"/>
        <w:gridCol w:w="1072"/>
      </w:tblGrid>
      <w:tr w:rsidR="004E6452" w:rsidRPr="001570EA" w14:paraId="3BC1AB47" w14:textId="77777777">
        <w:trPr>
          <w:trHeight w:val="1142"/>
          <w:tblHeader/>
        </w:trPr>
        <w:tc>
          <w:tcPr>
            <w:tcW w:w="2630" w:type="dxa"/>
            <w:shd w:val="clear" w:color="auto" w:fill="BFBFBF" w:themeFill="background1" w:themeFillShade="BF"/>
            <w:noWrap/>
            <w:vAlign w:val="bottom"/>
            <w:hideMark/>
          </w:tcPr>
          <w:p w14:paraId="2D60E9A1" w14:textId="77777777" w:rsidR="004E6452" w:rsidRPr="001570EA" w:rsidRDefault="004E6452">
            <w:pPr>
              <w:spacing w:before="80" w:after="80"/>
              <w:rPr>
                <w:rFonts w:cs="Arial"/>
                <w:b/>
                <w:bCs/>
                <w:color w:val="000000"/>
                <w:sz w:val="18"/>
                <w:szCs w:val="18"/>
              </w:rPr>
            </w:pPr>
            <w:r w:rsidRPr="001570EA">
              <w:rPr>
                <w:rFonts w:cs="Arial"/>
                <w:b/>
                <w:bCs/>
                <w:color w:val="000000"/>
                <w:sz w:val="18"/>
                <w:szCs w:val="18"/>
              </w:rPr>
              <w:t>Freezer Category</w:t>
            </w:r>
          </w:p>
        </w:tc>
        <w:tc>
          <w:tcPr>
            <w:tcW w:w="1105" w:type="dxa"/>
            <w:shd w:val="clear" w:color="auto" w:fill="BFBFBF" w:themeFill="background1" w:themeFillShade="BF"/>
            <w:vAlign w:val="bottom"/>
          </w:tcPr>
          <w:p w14:paraId="79EF9116" w14:textId="432DDF2E" w:rsidR="004E6452" w:rsidRPr="001570EA" w:rsidRDefault="004E6452">
            <w:pPr>
              <w:spacing w:before="80" w:after="80"/>
              <w:jc w:val="center"/>
              <w:rPr>
                <w:rFonts w:cs="Arial"/>
                <w:b/>
                <w:bCs/>
                <w:color w:val="000000"/>
                <w:sz w:val="18"/>
                <w:szCs w:val="18"/>
              </w:rPr>
            </w:pPr>
            <w:r w:rsidRPr="001570EA">
              <w:rPr>
                <w:rFonts w:cs="Arial"/>
                <w:b/>
                <w:bCs/>
                <w:color w:val="000000"/>
                <w:sz w:val="18"/>
                <w:szCs w:val="18"/>
              </w:rPr>
              <w:t>Assumed Adjusted Volume of Unit (cubic feet)</w:t>
            </w:r>
            <w:r w:rsidRPr="001570EA">
              <w:rPr>
                <w:vertAlign w:val="superscript"/>
              </w:rPr>
              <w:t>Source 5</w:t>
            </w:r>
          </w:p>
        </w:tc>
        <w:tc>
          <w:tcPr>
            <w:tcW w:w="1314" w:type="dxa"/>
            <w:shd w:val="clear" w:color="auto" w:fill="BFBFBF" w:themeFill="background1" w:themeFillShade="BF"/>
            <w:vAlign w:val="bottom"/>
          </w:tcPr>
          <w:p w14:paraId="769E03C2" w14:textId="77777777" w:rsidR="004E6452" w:rsidRPr="001570EA" w:rsidRDefault="004E6452">
            <w:pPr>
              <w:spacing w:before="80" w:after="80"/>
              <w:jc w:val="center"/>
              <w:rPr>
                <w:rFonts w:cs="Arial"/>
                <w:b/>
                <w:bCs/>
                <w:color w:val="000000"/>
                <w:sz w:val="18"/>
                <w:szCs w:val="18"/>
              </w:rPr>
            </w:pPr>
            <w:r w:rsidRPr="001570EA">
              <w:rPr>
                <w:rFonts w:cs="Arial"/>
                <w:b/>
                <w:bCs/>
                <w:color w:val="000000"/>
                <w:sz w:val="18"/>
                <w:szCs w:val="18"/>
              </w:rPr>
              <w:t>Time Period</w:t>
            </w:r>
          </w:p>
        </w:tc>
        <w:tc>
          <w:tcPr>
            <w:tcW w:w="1072" w:type="dxa"/>
            <w:shd w:val="clear" w:color="auto" w:fill="BFBFBF" w:themeFill="background1" w:themeFillShade="BF"/>
            <w:vAlign w:val="bottom"/>
          </w:tcPr>
          <w:p w14:paraId="2703129A" w14:textId="77777777" w:rsidR="004E6452" w:rsidRPr="001570EA" w:rsidRDefault="004E6452">
            <w:pPr>
              <w:spacing w:before="80" w:after="80"/>
              <w:jc w:val="center"/>
              <w:rPr>
                <w:rFonts w:cs="Arial"/>
                <w:b/>
                <w:bCs/>
                <w:color w:val="000000"/>
                <w:sz w:val="18"/>
                <w:szCs w:val="18"/>
              </w:rPr>
            </w:pPr>
            <w:r w:rsidRPr="001570EA">
              <w:rPr>
                <w:rFonts w:cs="Arial"/>
                <w:b/>
                <w:bCs/>
                <w:color w:val="000000"/>
                <w:sz w:val="18"/>
                <w:szCs w:val="18"/>
              </w:rPr>
              <w:t>ΔkWh/yr</w:t>
            </w:r>
          </w:p>
        </w:tc>
        <w:tc>
          <w:tcPr>
            <w:tcW w:w="1170" w:type="dxa"/>
            <w:shd w:val="clear" w:color="auto" w:fill="BFBFBF" w:themeFill="background1" w:themeFillShade="BF"/>
            <w:noWrap/>
            <w:vAlign w:val="bottom"/>
            <w:hideMark/>
          </w:tcPr>
          <w:p w14:paraId="3BED71CA" w14:textId="77777777" w:rsidR="004E6452" w:rsidRPr="001570EA" w:rsidRDefault="004E6452">
            <w:pPr>
              <w:spacing w:before="80" w:after="80"/>
              <w:jc w:val="center"/>
              <w:rPr>
                <w:rFonts w:cs="Arial"/>
                <w:b/>
                <w:bCs/>
                <w:color w:val="000000"/>
                <w:sz w:val="18"/>
                <w:szCs w:val="18"/>
                <w:vertAlign w:val="subscript"/>
              </w:rPr>
            </w:pPr>
            <w:r w:rsidRPr="001570EA">
              <w:rPr>
                <w:rFonts w:cs="Arial"/>
                <w:b/>
                <w:bCs/>
                <w:color w:val="000000"/>
                <w:sz w:val="18"/>
                <w:szCs w:val="18"/>
              </w:rPr>
              <w:t>ΔkW</w:t>
            </w:r>
            <w:r w:rsidRPr="001570EA">
              <w:rPr>
                <w:rFonts w:cs="Arial"/>
                <w:b/>
                <w:bCs/>
                <w:color w:val="000000"/>
                <w:sz w:val="18"/>
                <w:szCs w:val="18"/>
                <w:vertAlign w:val="subscript"/>
              </w:rPr>
              <w:t>summer peak</w:t>
            </w:r>
          </w:p>
        </w:tc>
        <w:tc>
          <w:tcPr>
            <w:tcW w:w="1072" w:type="dxa"/>
            <w:shd w:val="clear" w:color="auto" w:fill="BFBFBF" w:themeFill="background1" w:themeFillShade="BF"/>
            <w:vAlign w:val="bottom"/>
          </w:tcPr>
          <w:p w14:paraId="1F33360A" w14:textId="77777777" w:rsidR="004E6452" w:rsidRPr="001570EA" w:rsidRDefault="004E6452">
            <w:pPr>
              <w:spacing w:before="80" w:after="80"/>
              <w:jc w:val="center"/>
              <w:rPr>
                <w:rFonts w:cs="Arial"/>
                <w:b/>
                <w:bCs/>
                <w:color w:val="000000"/>
                <w:sz w:val="18"/>
                <w:szCs w:val="18"/>
              </w:rPr>
            </w:pPr>
          </w:p>
          <w:p w14:paraId="0AACE771" w14:textId="77777777" w:rsidR="004E6452" w:rsidRPr="001570EA" w:rsidRDefault="004E6452">
            <w:pPr>
              <w:spacing w:before="80" w:after="80"/>
              <w:jc w:val="center"/>
              <w:rPr>
                <w:rFonts w:cs="Arial"/>
                <w:b/>
                <w:bCs/>
                <w:color w:val="000000"/>
                <w:sz w:val="18"/>
                <w:szCs w:val="18"/>
              </w:rPr>
            </w:pPr>
          </w:p>
          <w:p w14:paraId="26378A4E" w14:textId="77777777" w:rsidR="004E6452" w:rsidRPr="001570EA" w:rsidRDefault="004E6452">
            <w:pPr>
              <w:spacing w:before="80" w:after="80"/>
              <w:jc w:val="center"/>
              <w:rPr>
                <w:rFonts w:cs="Arial"/>
                <w:b/>
                <w:bCs/>
                <w:color w:val="000000"/>
                <w:sz w:val="18"/>
                <w:szCs w:val="18"/>
              </w:rPr>
            </w:pPr>
            <w:r w:rsidRPr="001570EA">
              <w:rPr>
                <w:rFonts w:cs="Arial"/>
                <w:b/>
                <w:bCs/>
                <w:color w:val="000000"/>
                <w:sz w:val="18"/>
                <w:szCs w:val="18"/>
              </w:rPr>
              <w:t>ΔkW</w:t>
            </w:r>
            <w:r w:rsidRPr="001570EA">
              <w:rPr>
                <w:rFonts w:cs="Arial"/>
                <w:b/>
                <w:bCs/>
                <w:color w:val="000000"/>
                <w:sz w:val="18"/>
                <w:szCs w:val="18"/>
                <w:vertAlign w:val="subscript"/>
              </w:rPr>
              <w:t>winter peak</w:t>
            </w:r>
          </w:p>
        </w:tc>
      </w:tr>
      <w:tr w:rsidR="004E6452" w:rsidRPr="001570EA" w14:paraId="4BB91518" w14:textId="77777777">
        <w:trPr>
          <w:trHeight w:val="299"/>
        </w:trPr>
        <w:tc>
          <w:tcPr>
            <w:tcW w:w="2630" w:type="dxa"/>
            <w:noWrap/>
          </w:tcPr>
          <w:p w14:paraId="0FD48D93" w14:textId="77777777" w:rsidR="004E6452" w:rsidRPr="001570EA" w:rsidRDefault="004E6452">
            <w:pPr>
              <w:spacing w:before="80" w:after="80"/>
              <w:jc w:val="left"/>
              <w:rPr>
                <w:rFonts w:cs="Arial"/>
                <w:color w:val="000000"/>
                <w:sz w:val="18"/>
                <w:szCs w:val="18"/>
              </w:rPr>
            </w:pPr>
            <w:r w:rsidRPr="001570EA">
              <w:rPr>
                <w:rFonts w:cs="Arial"/>
                <w:color w:val="000000"/>
                <w:sz w:val="18"/>
                <w:szCs w:val="18"/>
              </w:rPr>
              <w:t>9. Upright freezers with automatic defrost without an automatic icemaker</w:t>
            </w:r>
          </w:p>
        </w:tc>
        <w:tc>
          <w:tcPr>
            <w:tcW w:w="1105" w:type="dxa"/>
            <w:vAlign w:val="center"/>
          </w:tcPr>
          <w:p w14:paraId="6847FE84" w14:textId="77777777" w:rsidR="004E6452" w:rsidRPr="001570EA" w:rsidDel="008364F5" w:rsidRDefault="004E6452">
            <w:pPr>
              <w:spacing w:before="80" w:after="80"/>
              <w:jc w:val="center"/>
              <w:rPr>
                <w:rFonts w:cs="Arial"/>
                <w:color w:val="000000"/>
                <w:sz w:val="18"/>
                <w:szCs w:val="18"/>
              </w:rPr>
            </w:pPr>
            <w:r w:rsidRPr="001570EA">
              <w:rPr>
                <w:rFonts w:cs="Arial"/>
                <w:color w:val="000000"/>
                <w:sz w:val="18"/>
                <w:szCs w:val="18"/>
              </w:rPr>
              <w:t>28.6</w:t>
            </w:r>
          </w:p>
        </w:tc>
        <w:tc>
          <w:tcPr>
            <w:tcW w:w="1314" w:type="dxa"/>
            <w:noWrap/>
            <w:vAlign w:val="center"/>
          </w:tcPr>
          <w:p w14:paraId="2CFBFE0C" w14:textId="77777777" w:rsidR="004E6452" w:rsidRPr="001570EA" w:rsidDel="008364F5" w:rsidRDefault="004E6452">
            <w:pPr>
              <w:spacing w:before="80" w:after="80"/>
              <w:jc w:val="center"/>
              <w:rPr>
                <w:rFonts w:cs="Arial"/>
                <w:color w:val="000000"/>
                <w:sz w:val="18"/>
                <w:szCs w:val="18"/>
              </w:rPr>
            </w:pPr>
            <w:r w:rsidRPr="001570EA">
              <w:rPr>
                <w:rFonts w:cs="Arial"/>
                <w:color w:val="000000"/>
                <w:sz w:val="18"/>
                <w:szCs w:val="18"/>
              </w:rPr>
              <w:t>9/15/14 - 1/30/30</w:t>
            </w:r>
          </w:p>
        </w:tc>
        <w:tc>
          <w:tcPr>
            <w:tcW w:w="1072" w:type="dxa"/>
            <w:noWrap/>
            <w:vAlign w:val="center"/>
          </w:tcPr>
          <w:p w14:paraId="5A4DE202" w14:textId="77777777" w:rsidR="004E6452" w:rsidRPr="001570EA" w:rsidDel="008364F5" w:rsidRDefault="004E6452">
            <w:pPr>
              <w:spacing w:before="80" w:after="80"/>
              <w:jc w:val="center"/>
              <w:rPr>
                <w:rFonts w:cs="Arial"/>
                <w:color w:val="000000"/>
                <w:sz w:val="18"/>
                <w:szCs w:val="18"/>
              </w:rPr>
            </w:pPr>
            <w:r w:rsidRPr="001570EA">
              <w:rPr>
                <w:rFonts w:cs="Arial"/>
                <w:color w:val="000000"/>
                <w:sz w:val="18"/>
                <w:szCs w:val="18"/>
              </w:rPr>
              <w:t>47</w:t>
            </w:r>
          </w:p>
        </w:tc>
        <w:tc>
          <w:tcPr>
            <w:tcW w:w="1170" w:type="dxa"/>
            <w:noWrap/>
            <w:vAlign w:val="center"/>
          </w:tcPr>
          <w:p w14:paraId="78E443C9"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0.0065764</w:t>
            </w:r>
          </w:p>
        </w:tc>
        <w:tc>
          <w:tcPr>
            <w:tcW w:w="1072" w:type="dxa"/>
            <w:vAlign w:val="center"/>
          </w:tcPr>
          <w:p w14:paraId="680966C9"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0.0047320</w:t>
            </w:r>
          </w:p>
        </w:tc>
      </w:tr>
      <w:tr w:rsidR="004E6452" w:rsidRPr="001570EA" w14:paraId="08DDF8D9" w14:textId="77777777">
        <w:trPr>
          <w:trHeight w:val="299"/>
        </w:trPr>
        <w:tc>
          <w:tcPr>
            <w:tcW w:w="2630" w:type="dxa"/>
            <w:noWrap/>
            <w:vAlign w:val="center"/>
          </w:tcPr>
          <w:p w14:paraId="166B1F06" w14:textId="77777777" w:rsidR="004E6452" w:rsidRPr="001570EA" w:rsidRDefault="004E6452">
            <w:pPr>
              <w:spacing w:before="80" w:after="80"/>
              <w:jc w:val="left"/>
              <w:rPr>
                <w:rFonts w:cs="Arial"/>
                <w:color w:val="000000"/>
                <w:sz w:val="18"/>
                <w:szCs w:val="18"/>
              </w:rPr>
            </w:pPr>
            <w:r w:rsidRPr="001570EA">
              <w:rPr>
                <w:rFonts w:cs="Arial"/>
                <w:color w:val="000000"/>
                <w:sz w:val="18"/>
                <w:szCs w:val="18"/>
              </w:rPr>
              <w:t>16. Compact upright freezers with manual defrost</w:t>
            </w:r>
          </w:p>
        </w:tc>
        <w:tc>
          <w:tcPr>
            <w:tcW w:w="1105" w:type="dxa"/>
            <w:vAlign w:val="center"/>
          </w:tcPr>
          <w:p w14:paraId="2691F2D6"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5.5</w:t>
            </w:r>
          </w:p>
        </w:tc>
        <w:tc>
          <w:tcPr>
            <w:tcW w:w="1314" w:type="dxa"/>
            <w:noWrap/>
            <w:vAlign w:val="center"/>
          </w:tcPr>
          <w:p w14:paraId="481DC46C"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9/15/14 - 1/30/29</w:t>
            </w:r>
          </w:p>
        </w:tc>
        <w:tc>
          <w:tcPr>
            <w:tcW w:w="1072" w:type="dxa"/>
            <w:noWrap/>
            <w:vAlign w:val="center"/>
          </w:tcPr>
          <w:p w14:paraId="3905446B"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27</w:t>
            </w:r>
          </w:p>
        </w:tc>
        <w:tc>
          <w:tcPr>
            <w:tcW w:w="1170" w:type="dxa"/>
            <w:noWrap/>
            <w:vAlign w:val="center"/>
          </w:tcPr>
          <w:p w14:paraId="1A1E86E7"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0.0037872</w:t>
            </w:r>
          </w:p>
        </w:tc>
        <w:tc>
          <w:tcPr>
            <w:tcW w:w="1072" w:type="dxa"/>
            <w:vAlign w:val="center"/>
          </w:tcPr>
          <w:p w14:paraId="202A1114"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0.0027251</w:t>
            </w:r>
          </w:p>
        </w:tc>
      </w:tr>
    </w:tbl>
    <w:p w14:paraId="46A0425F" w14:textId="77777777" w:rsidR="004E6452" w:rsidRPr="001570EA" w:rsidRDefault="004E6452" w:rsidP="004E6452">
      <w:pPr>
        <w:pStyle w:val="Caption"/>
        <w:spacing w:after="0"/>
        <w:rPr>
          <w:rFonts w:ascii="Arial" w:hAnsi="Arial"/>
          <w:b w:val="0"/>
        </w:rPr>
      </w:pPr>
    </w:p>
    <w:p w14:paraId="77242464" w14:textId="77777777" w:rsidR="00094040" w:rsidRDefault="00094040" w:rsidP="004E6452">
      <w:pPr>
        <w:pStyle w:val="Caption"/>
      </w:pPr>
    </w:p>
    <w:p w14:paraId="0D1F106E" w14:textId="7D030001" w:rsidR="004E6452" w:rsidRPr="001570EA" w:rsidRDefault="004E6452" w:rsidP="00597241">
      <w:pPr>
        <w:pStyle w:val="Caption"/>
        <w:keepLines/>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91</w:t>
      </w:r>
      <w:r w:rsidR="002E093A" w:rsidRPr="001570EA">
        <w:fldChar w:fldCharType="end"/>
      </w:r>
      <w:r w:rsidRPr="001570EA">
        <w:t xml:space="preserve">: Default Savings Values for ENERGY STAR Most Efficient </w:t>
      </w:r>
      <w:r w:rsidRPr="001570EA">
        <w:rPr>
          <w:rFonts w:cs="Arial"/>
        </w:rPr>
        <w:t>Freezers</w:t>
      </w:r>
    </w:p>
    <w:tbl>
      <w:tblPr>
        <w:tblW w:w="8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1105"/>
        <w:gridCol w:w="1314"/>
        <w:gridCol w:w="1072"/>
        <w:gridCol w:w="1170"/>
        <w:gridCol w:w="1072"/>
      </w:tblGrid>
      <w:tr w:rsidR="004E6452" w:rsidRPr="001570EA" w14:paraId="5A0EBA34" w14:textId="77777777">
        <w:trPr>
          <w:trHeight w:val="1142"/>
          <w:tblHeader/>
        </w:trPr>
        <w:tc>
          <w:tcPr>
            <w:tcW w:w="2630" w:type="dxa"/>
            <w:shd w:val="clear" w:color="auto" w:fill="BFBFBF" w:themeFill="background1" w:themeFillShade="BF"/>
            <w:noWrap/>
            <w:vAlign w:val="bottom"/>
            <w:hideMark/>
          </w:tcPr>
          <w:p w14:paraId="7BC5FE3C" w14:textId="77777777" w:rsidR="004E6452" w:rsidRPr="001570EA" w:rsidRDefault="004E6452" w:rsidP="00597241">
            <w:pPr>
              <w:keepNext/>
              <w:keepLines/>
              <w:spacing w:before="80" w:after="80"/>
              <w:rPr>
                <w:rFonts w:cs="Arial"/>
                <w:b/>
                <w:bCs/>
                <w:color w:val="000000"/>
                <w:sz w:val="18"/>
                <w:szCs w:val="18"/>
              </w:rPr>
            </w:pPr>
            <w:r w:rsidRPr="001570EA">
              <w:rPr>
                <w:rFonts w:cs="Arial"/>
                <w:b/>
                <w:bCs/>
                <w:color w:val="000000"/>
                <w:sz w:val="18"/>
                <w:szCs w:val="18"/>
              </w:rPr>
              <w:t>Freezer Category</w:t>
            </w:r>
          </w:p>
        </w:tc>
        <w:tc>
          <w:tcPr>
            <w:tcW w:w="1105" w:type="dxa"/>
            <w:shd w:val="clear" w:color="auto" w:fill="BFBFBF" w:themeFill="background1" w:themeFillShade="BF"/>
            <w:vAlign w:val="bottom"/>
          </w:tcPr>
          <w:p w14:paraId="75B73F6D" w14:textId="77777777" w:rsidR="004E6452" w:rsidRPr="001570EA" w:rsidRDefault="004E6452" w:rsidP="00597241">
            <w:pPr>
              <w:keepNext/>
              <w:keepLines/>
              <w:spacing w:before="80" w:after="80"/>
              <w:jc w:val="center"/>
              <w:rPr>
                <w:rFonts w:cs="Arial"/>
                <w:b/>
                <w:bCs/>
                <w:color w:val="000000"/>
                <w:sz w:val="18"/>
                <w:szCs w:val="18"/>
              </w:rPr>
            </w:pPr>
            <w:r w:rsidRPr="001570EA">
              <w:rPr>
                <w:rFonts w:cs="Arial"/>
                <w:b/>
                <w:bCs/>
                <w:color w:val="000000"/>
                <w:sz w:val="18"/>
                <w:szCs w:val="18"/>
              </w:rPr>
              <w:t>Assumed Adjusted Volume of Unit (cubic feet)</w:t>
            </w:r>
          </w:p>
        </w:tc>
        <w:tc>
          <w:tcPr>
            <w:tcW w:w="1314" w:type="dxa"/>
            <w:shd w:val="clear" w:color="auto" w:fill="BFBFBF" w:themeFill="background1" w:themeFillShade="BF"/>
            <w:vAlign w:val="bottom"/>
          </w:tcPr>
          <w:p w14:paraId="12092DB7" w14:textId="77777777" w:rsidR="004E6452" w:rsidRPr="001570EA" w:rsidRDefault="004E6452" w:rsidP="00597241">
            <w:pPr>
              <w:keepNext/>
              <w:keepLines/>
              <w:spacing w:before="80" w:after="80"/>
              <w:jc w:val="center"/>
              <w:rPr>
                <w:rFonts w:cs="Arial"/>
                <w:b/>
                <w:bCs/>
                <w:color w:val="000000"/>
                <w:sz w:val="18"/>
                <w:szCs w:val="18"/>
              </w:rPr>
            </w:pPr>
            <w:r w:rsidRPr="001570EA">
              <w:rPr>
                <w:rFonts w:cs="Arial"/>
                <w:b/>
                <w:bCs/>
                <w:color w:val="000000"/>
                <w:sz w:val="18"/>
                <w:szCs w:val="18"/>
              </w:rPr>
              <w:t>Time Period</w:t>
            </w:r>
          </w:p>
        </w:tc>
        <w:tc>
          <w:tcPr>
            <w:tcW w:w="1072" w:type="dxa"/>
            <w:shd w:val="clear" w:color="auto" w:fill="BFBFBF" w:themeFill="background1" w:themeFillShade="BF"/>
            <w:vAlign w:val="bottom"/>
          </w:tcPr>
          <w:p w14:paraId="052B755D" w14:textId="77777777" w:rsidR="004E6452" w:rsidRPr="001570EA" w:rsidRDefault="004E6452" w:rsidP="00597241">
            <w:pPr>
              <w:keepNext/>
              <w:keepLines/>
              <w:spacing w:before="80" w:after="80"/>
              <w:jc w:val="center"/>
              <w:rPr>
                <w:rFonts w:cs="Arial"/>
                <w:b/>
                <w:bCs/>
                <w:color w:val="000000"/>
                <w:sz w:val="18"/>
                <w:szCs w:val="18"/>
              </w:rPr>
            </w:pPr>
            <w:r w:rsidRPr="001570EA">
              <w:rPr>
                <w:rFonts w:cs="Arial"/>
                <w:b/>
                <w:bCs/>
                <w:color w:val="000000"/>
                <w:sz w:val="18"/>
                <w:szCs w:val="18"/>
              </w:rPr>
              <w:t>ΔkWh</w:t>
            </w:r>
          </w:p>
        </w:tc>
        <w:tc>
          <w:tcPr>
            <w:tcW w:w="1170" w:type="dxa"/>
            <w:shd w:val="clear" w:color="auto" w:fill="BFBFBF" w:themeFill="background1" w:themeFillShade="BF"/>
            <w:noWrap/>
            <w:vAlign w:val="bottom"/>
            <w:hideMark/>
          </w:tcPr>
          <w:p w14:paraId="6F4226E1" w14:textId="77777777" w:rsidR="004E6452" w:rsidRPr="001570EA" w:rsidRDefault="004E6452" w:rsidP="00597241">
            <w:pPr>
              <w:keepNext/>
              <w:keepLines/>
              <w:spacing w:before="80" w:after="80"/>
              <w:jc w:val="center"/>
              <w:rPr>
                <w:rFonts w:cs="Arial"/>
                <w:b/>
                <w:bCs/>
                <w:color w:val="000000"/>
                <w:sz w:val="18"/>
                <w:szCs w:val="18"/>
                <w:vertAlign w:val="subscript"/>
              </w:rPr>
            </w:pPr>
            <w:r w:rsidRPr="001570EA">
              <w:rPr>
                <w:rFonts w:cs="Arial"/>
                <w:b/>
                <w:bCs/>
                <w:color w:val="000000"/>
                <w:sz w:val="18"/>
                <w:szCs w:val="18"/>
              </w:rPr>
              <w:t>ΔkW</w:t>
            </w:r>
            <w:r w:rsidRPr="001570EA">
              <w:rPr>
                <w:rFonts w:cs="Arial"/>
                <w:b/>
                <w:bCs/>
                <w:color w:val="000000"/>
                <w:sz w:val="18"/>
                <w:szCs w:val="18"/>
                <w:vertAlign w:val="subscript"/>
              </w:rPr>
              <w:t>summer peak</w:t>
            </w:r>
          </w:p>
        </w:tc>
        <w:tc>
          <w:tcPr>
            <w:tcW w:w="1072" w:type="dxa"/>
            <w:shd w:val="clear" w:color="auto" w:fill="BFBFBF" w:themeFill="background1" w:themeFillShade="BF"/>
            <w:vAlign w:val="bottom"/>
          </w:tcPr>
          <w:p w14:paraId="57DA8B7C" w14:textId="77777777" w:rsidR="004E6452" w:rsidRPr="001570EA" w:rsidRDefault="004E6452" w:rsidP="00597241">
            <w:pPr>
              <w:keepNext/>
              <w:keepLines/>
              <w:spacing w:before="80" w:after="80"/>
              <w:jc w:val="center"/>
              <w:rPr>
                <w:rFonts w:cs="Arial"/>
                <w:b/>
                <w:bCs/>
                <w:color w:val="000000"/>
                <w:sz w:val="18"/>
                <w:szCs w:val="18"/>
              </w:rPr>
            </w:pPr>
          </w:p>
          <w:p w14:paraId="7625F6B9" w14:textId="77777777" w:rsidR="004E6452" w:rsidRPr="001570EA" w:rsidRDefault="004E6452" w:rsidP="00597241">
            <w:pPr>
              <w:keepNext/>
              <w:keepLines/>
              <w:spacing w:before="80" w:after="80"/>
              <w:jc w:val="center"/>
              <w:rPr>
                <w:rFonts w:cs="Arial"/>
                <w:b/>
                <w:bCs/>
                <w:color w:val="000000"/>
                <w:sz w:val="18"/>
                <w:szCs w:val="18"/>
              </w:rPr>
            </w:pPr>
          </w:p>
          <w:p w14:paraId="29771FE1" w14:textId="77777777" w:rsidR="004E6452" w:rsidRPr="001570EA" w:rsidRDefault="004E6452" w:rsidP="00597241">
            <w:pPr>
              <w:keepNext/>
              <w:keepLines/>
              <w:spacing w:before="80" w:after="80"/>
              <w:jc w:val="center"/>
              <w:rPr>
                <w:rFonts w:cs="Arial"/>
                <w:b/>
                <w:bCs/>
                <w:color w:val="000000"/>
                <w:sz w:val="18"/>
                <w:szCs w:val="18"/>
              </w:rPr>
            </w:pPr>
            <w:r w:rsidRPr="001570EA">
              <w:rPr>
                <w:rFonts w:cs="Arial"/>
                <w:b/>
                <w:bCs/>
                <w:color w:val="000000"/>
                <w:sz w:val="18"/>
                <w:szCs w:val="18"/>
              </w:rPr>
              <w:t>ΔkW</w:t>
            </w:r>
            <w:r w:rsidRPr="001570EA">
              <w:rPr>
                <w:rFonts w:cs="Arial"/>
                <w:b/>
                <w:bCs/>
                <w:color w:val="000000"/>
                <w:sz w:val="18"/>
                <w:szCs w:val="18"/>
                <w:vertAlign w:val="subscript"/>
              </w:rPr>
              <w:t>winter peak</w:t>
            </w:r>
          </w:p>
        </w:tc>
      </w:tr>
      <w:tr w:rsidR="004E6452" w:rsidRPr="001570EA" w14:paraId="0DB7B2DE" w14:textId="77777777">
        <w:trPr>
          <w:trHeight w:val="299"/>
        </w:trPr>
        <w:tc>
          <w:tcPr>
            <w:tcW w:w="2630" w:type="dxa"/>
            <w:vMerge w:val="restart"/>
            <w:noWrap/>
          </w:tcPr>
          <w:p w14:paraId="020A30F7" w14:textId="77777777" w:rsidR="004E6452" w:rsidRPr="001570EA" w:rsidRDefault="004E6452" w:rsidP="00597241">
            <w:pPr>
              <w:keepNext/>
              <w:keepLines/>
              <w:spacing w:before="80" w:after="80"/>
              <w:jc w:val="left"/>
              <w:rPr>
                <w:rFonts w:cs="Arial"/>
                <w:color w:val="000000"/>
                <w:sz w:val="18"/>
                <w:szCs w:val="18"/>
              </w:rPr>
            </w:pPr>
            <w:r w:rsidRPr="001570EA">
              <w:rPr>
                <w:rFonts w:cs="Arial"/>
                <w:color w:val="000000"/>
                <w:sz w:val="18"/>
                <w:szCs w:val="18"/>
              </w:rPr>
              <w:t>9. Upright freezers with automatic defrost without an automatic icemaker</w:t>
            </w:r>
          </w:p>
        </w:tc>
        <w:tc>
          <w:tcPr>
            <w:tcW w:w="1105" w:type="dxa"/>
            <w:vMerge w:val="restart"/>
            <w:vAlign w:val="center"/>
          </w:tcPr>
          <w:p w14:paraId="5C051F90"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28.6</w:t>
            </w:r>
          </w:p>
        </w:tc>
        <w:tc>
          <w:tcPr>
            <w:tcW w:w="1314" w:type="dxa"/>
            <w:noWrap/>
            <w:vAlign w:val="center"/>
          </w:tcPr>
          <w:p w14:paraId="4B98BB1E"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9/15/14 - 1/30/30</w:t>
            </w:r>
          </w:p>
        </w:tc>
        <w:tc>
          <w:tcPr>
            <w:tcW w:w="1072" w:type="dxa"/>
            <w:noWrap/>
            <w:vAlign w:val="center"/>
          </w:tcPr>
          <w:p w14:paraId="3D4F5CA5"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95</w:t>
            </w:r>
          </w:p>
        </w:tc>
        <w:tc>
          <w:tcPr>
            <w:tcW w:w="1170" w:type="dxa"/>
            <w:noWrap/>
            <w:vAlign w:val="center"/>
          </w:tcPr>
          <w:p w14:paraId="28A1EB40"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0.0131667</w:t>
            </w:r>
          </w:p>
        </w:tc>
        <w:tc>
          <w:tcPr>
            <w:tcW w:w="1072" w:type="dxa"/>
            <w:vAlign w:val="center"/>
          </w:tcPr>
          <w:p w14:paraId="66CAD0C3"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0.0094740</w:t>
            </w:r>
          </w:p>
        </w:tc>
      </w:tr>
      <w:tr w:rsidR="004E6452" w:rsidRPr="001570EA" w14:paraId="2F6E1F12" w14:textId="77777777">
        <w:trPr>
          <w:trHeight w:val="299"/>
        </w:trPr>
        <w:tc>
          <w:tcPr>
            <w:tcW w:w="2630" w:type="dxa"/>
            <w:vMerge/>
            <w:noWrap/>
            <w:vAlign w:val="center"/>
          </w:tcPr>
          <w:p w14:paraId="5B55A2F2" w14:textId="77777777" w:rsidR="004E6452" w:rsidRPr="001570EA" w:rsidRDefault="004E6452" w:rsidP="00597241">
            <w:pPr>
              <w:keepNext/>
              <w:keepLines/>
              <w:spacing w:before="80" w:after="80"/>
              <w:jc w:val="left"/>
              <w:rPr>
                <w:rFonts w:cs="Arial"/>
                <w:color w:val="000000"/>
                <w:sz w:val="18"/>
                <w:szCs w:val="18"/>
              </w:rPr>
            </w:pPr>
          </w:p>
        </w:tc>
        <w:tc>
          <w:tcPr>
            <w:tcW w:w="1105" w:type="dxa"/>
            <w:vMerge/>
            <w:vAlign w:val="center"/>
          </w:tcPr>
          <w:p w14:paraId="7F5915DF" w14:textId="77777777" w:rsidR="004E6452" w:rsidRPr="001570EA" w:rsidRDefault="004E6452" w:rsidP="00597241">
            <w:pPr>
              <w:keepNext/>
              <w:keepLines/>
              <w:spacing w:before="80" w:after="80"/>
              <w:jc w:val="center"/>
              <w:rPr>
                <w:rFonts w:cs="Arial"/>
                <w:color w:val="000000"/>
                <w:sz w:val="18"/>
                <w:szCs w:val="18"/>
              </w:rPr>
            </w:pPr>
          </w:p>
        </w:tc>
        <w:tc>
          <w:tcPr>
            <w:tcW w:w="1314" w:type="dxa"/>
            <w:noWrap/>
            <w:vAlign w:val="center"/>
          </w:tcPr>
          <w:p w14:paraId="17A904CD"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As of 1/31/30</w:t>
            </w:r>
          </w:p>
        </w:tc>
        <w:tc>
          <w:tcPr>
            <w:tcW w:w="1072" w:type="dxa"/>
            <w:noWrap/>
            <w:vAlign w:val="center"/>
          </w:tcPr>
          <w:p w14:paraId="4A29D875"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24</w:t>
            </w:r>
          </w:p>
        </w:tc>
        <w:tc>
          <w:tcPr>
            <w:tcW w:w="1170" w:type="dxa"/>
            <w:noWrap/>
            <w:vAlign w:val="center"/>
          </w:tcPr>
          <w:p w14:paraId="4261CBE2"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0.0033021</w:t>
            </w:r>
          </w:p>
        </w:tc>
        <w:tc>
          <w:tcPr>
            <w:tcW w:w="1072" w:type="dxa"/>
            <w:vAlign w:val="center"/>
          </w:tcPr>
          <w:p w14:paraId="3CD76C9A"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0.0023760</w:t>
            </w:r>
          </w:p>
        </w:tc>
      </w:tr>
      <w:tr w:rsidR="004E6452" w:rsidRPr="001570EA" w14:paraId="649FE9C2" w14:textId="77777777">
        <w:trPr>
          <w:trHeight w:val="299"/>
        </w:trPr>
        <w:tc>
          <w:tcPr>
            <w:tcW w:w="2630" w:type="dxa"/>
            <w:vMerge w:val="restart"/>
            <w:noWrap/>
          </w:tcPr>
          <w:p w14:paraId="2EAAC830" w14:textId="77777777" w:rsidR="004E6452" w:rsidRPr="001570EA" w:rsidRDefault="004E6452" w:rsidP="00597241">
            <w:pPr>
              <w:keepNext/>
              <w:keepLines/>
              <w:spacing w:before="80" w:after="80"/>
              <w:jc w:val="left"/>
              <w:rPr>
                <w:rFonts w:cs="Arial"/>
                <w:color w:val="000000"/>
                <w:sz w:val="18"/>
                <w:szCs w:val="18"/>
              </w:rPr>
            </w:pPr>
            <w:r w:rsidRPr="001570EA">
              <w:rPr>
                <w:rFonts w:cs="Arial"/>
                <w:color w:val="000000"/>
                <w:sz w:val="18"/>
                <w:szCs w:val="18"/>
              </w:rPr>
              <w:t>16. Compact upright freezers with manual defrost</w:t>
            </w:r>
          </w:p>
        </w:tc>
        <w:tc>
          <w:tcPr>
            <w:tcW w:w="1105" w:type="dxa"/>
            <w:vMerge w:val="restart"/>
            <w:vAlign w:val="center"/>
          </w:tcPr>
          <w:p w14:paraId="68CE9A53"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5.5</w:t>
            </w:r>
          </w:p>
        </w:tc>
        <w:tc>
          <w:tcPr>
            <w:tcW w:w="1314" w:type="dxa"/>
            <w:noWrap/>
            <w:vAlign w:val="center"/>
          </w:tcPr>
          <w:p w14:paraId="59034787"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9/15/14 - 1/30/29</w:t>
            </w:r>
          </w:p>
        </w:tc>
        <w:tc>
          <w:tcPr>
            <w:tcW w:w="1072" w:type="dxa"/>
            <w:noWrap/>
            <w:vAlign w:val="center"/>
          </w:tcPr>
          <w:p w14:paraId="6DDBFD07"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55</w:t>
            </w:r>
          </w:p>
        </w:tc>
        <w:tc>
          <w:tcPr>
            <w:tcW w:w="1170" w:type="dxa"/>
            <w:noWrap/>
            <w:vAlign w:val="center"/>
          </w:tcPr>
          <w:p w14:paraId="2B86E078"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0.0075682</w:t>
            </w:r>
          </w:p>
        </w:tc>
        <w:tc>
          <w:tcPr>
            <w:tcW w:w="1072" w:type="dxa"/>
            <w:vAlign w:val="center"/>
          </w:tcPr>
          <w:p w14:paraId="705E16DC"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0.0054456</w:t>
            </w:r>
          </w:p>
        </w:tc>
      </w:tr>
      <w:tr w:rsidR="004E6452" w:rsidRPr="001570EA" w14:paraId="3D124A07" w14:textId="77777777">
        <w:trPr>
          <w:trHeight w:val="299"/>
        </w:trPr>
        <w:tc>
          <w:tcPr>
            <w:tcW w:w="2630" w:type="dxa"/>
            <w:vMerge/>
            <w:noWrap/>
            <w:vAlign w:val="center"/>
          </w:tcPr>
          <w:p w14:paraId="65D7B0C9" w14:textId="77777777" w:rsidR="004E6452" w:rsidRPr="001570EA" w:rsidRDefault="004E6452" w:rsidP="00597241">
            <w:pPr>
              <w:keepNext/>
              <w:keepLines/>
              <w:spacing w:before="80" w:after="80"/>
              <w:jc w:val="left"/>
              <w:rPr>
                <w:rFonts w:cs="Arial"/>
                <w:color w:val="000000"/>
                <w:sz w:val="18"/>
                <w:szCs w:val="18"/>
              </w:rPr>
            </w:pPr>
          </w:p>
        </w:tc>
        <w:tc>
          <w:tcPr>
            <w:tcW w:w="1105" w:type="dxa"/>
            <w:vMerge/>
            <w:vAlign w:val="center"/>
          </w:tcPr>
          <w:p w14:paraId="1EA5EBC8" w14:textId="77777777" w:rsidR="004E6452" w:rsidRPr="001570EA" w:rsidRDefault="004E6452" w:rsidP="00597241">
            <w:pPr>
              <w:keepNext/>
              <w:keepLines/>
              <w:spacing w:before="80" w:after="80"/>
              <w:jc w:val="center"/>
              <w:rPr>
                <w:rFonts w:cs="Arial"/>
                <w:color w:val="000000"/>
                <w:sz w:val="18"/>
                <w:szCs w:val="18"/>
              </w:rPr>
            </w:pPr>
          </w:p>
        </w:tc>
        <w:tc>
          <w:tcPr>
            <w:tcW w:w="1314" w:type="dxa"/>
            <w:noWrap/>
            <w:vAlign w:val="center"/>
          </w:tcPr>
          <w:p w14:paraId="5E532C8C"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As of 1/31/29</w:t>
            </w:r>
          </w:p>
        </w:tc>
        <w:tc>
          <w:tcPr>
            <w:tcW w:w="1072" w:type="dxa"/>
            <w:noWrap/>
            <w:vAlign w:val="center"/>
          </w:tcPr>
          <w:p w14:paraId="37E0EF58"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14</w:t>
            </w:r>
          </w:p>
        </w:tc>
        <w:tc>
          <w:tcPr>
            <w:tcW w:w="1170" w:type="dxa"/>
            <w:noWrap/>
            <w:vAlign w:val="center"/>
          </w:tcPr>
          <w:p w14:paraId="4B4ADFCE"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0.0018797</w:t>
            </w:r>
          </w:p>
        </w:tc>
        <w:tc>
          <w:tcPr>
            <w:tcW w:w="1072" w:type="dxa"/>
            <w:vAlign w:val="center"/>
          </w:tcPr>
          <w:p w14:paraId="1278BDB3" w14:textId="77777777" w:rsidR="004E6452" w:rsidRPr="001570EA" w:rsidRDefault="004E6452" w:rsidP="00597241">
            <w:pPr>
              <w:keepNext/>
              <w:keepLines/>
              <w:spacing w:before="80" w:after="80"/>
              <w:jc w:val="center"/>
              <w:rPr>
                <w:rFonts w:cs="Arial"/>
                <w:color w:val="000000"/>
                <w:sz w:val="18"/>
                <w:szCs w:val="18"/>
              </w:rPr>
            </w:pPr>
            <w:r w:rsidRPr="001570EA">
              <w:rPr>
                <w:rFonts w:cs="Arial"/>
                <w:color w:val="000000"/>
                <w:sz w:val="18"/>
                <w:szCs w:val="18"/>
              </w:rPr>
              <w:t>0.0013526</w:t>
            </w:r>
          </w:p>
        </w:tc>
      </w:tr>
    </w:tbl>
    <w:p w14:paraId="01AECBC2" w14:textId="77777777" w:rsidR="004E6452" w:rsidRPr="001570EA" w:rsidRDefault="004E6452" w:rsidP="004E6452">
      <w:pPr>
        <w:rPr>
          <w:b/>
        </w:rPr>
      </w:pPr>
    </w:p>
    <w:bookmarkEnd w:id="561"/>
    <w:bookmarkEnd w:id="562"/>
    <w:bookmarkEnd w:id="563"/>
    <w:p w14:paraId="29CB8375" w14:textId="77777777" w:rsidR="004E6452" w:rsidRPr="001570EA" w:rsidRDefault="004E6452" w:rsidP="004E6452">
      <w:pPr>
        <w:pStyle w:val="SubStyle"/>
      </w:pPr>
      <w:r w:rsidRPr="001570EA">
        <w:t>Evaluation Protocols</w:t>
      </w:r>
    </w:p>
    <w:p w14:paraId="7F7ED8E6" w14:textId="77777777" w:rsidR="004E6452" w:rsidRPr="001570EA" w:rsidRDefault="004E6452" w:rsidP="004E6452">
      <w:pPr>
        <w:pStyle w:val="BodyText"/>
        <w:ind w:right="0"/>
        <w:rPr>
          <w:rFonts w:cs="Arial"/>
        </w:rPr>
      </w:pPr>
      <w:r w:rsidRPr="001570EA">
        <w:t>For most projects, the appropriate evaluation protocol is to verify installation and proper selection of default values. For projects using customer-specific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4053E5A4" w14:textId="77777777" w:rsidR="004E6452" w:rsidRPr="001570EA" w:rsidRDefault="004E6452" w:rsidP="004E6452">
      <w:pPr>
        <w:pStyle w:val="SubStyle"/>
      </w:pPr>
    </w:p>
    <w:p w14:paraId="6D9DA89B" w14:textId="77777777" w:rsidR="004E6452" w:rsidRPr="001570EA" w:rsidRDefault="004E6452" w:rsidP="004E6452">
      <w:pPr>
        <w:pStyle w:val="SubStyle"/>
      </w:pPr>
      <w:r w:rsidRPr="001570EA">
        <w:t>Sources</w:t>
      </w:r>
    </w:p>
    <w:p w14:paraId="545A2EF4" w14:textId="7A384147" w:rsidR="004E6452" w:rsidRPr="001570EA" w:rsidRDefault="004E6452" w:rsidP="006D787B">
      <w:pPr>
        <w:pStyle w:val="ListParagraph"/>
        <w:numPr>
          <w:ilvl w:val="0"/>
          <w:numId w:val="52"/>
        </w:numPr>
        <w:spacing w:after="120"/>
        <w:ind w:left="360"/>
        <w:rPr>
          <w:rFonts w:eastAsiaTheme="minorHAnsi" w:cs="Arial"/>
        </w:rPr>
      </w:pPr>
      <w:r w:rsidRPr="001570EA">
        <w:rPr>
          <w:rFonts w:eastAsiaTheme="minorHAnsi" w:cs="Arial"/>
        </w:rPr>
        <w:t xml:space="preserve">10 CFR 430.32 (a) </w:t>
      </w:r>
      <w:hyperlink r:id="rId221" w:history="1">
        <w:r w:rsidRPr="001570EA">
          <w:rPr>
            <w:rStyle w:val="Hyperlink"/>
            <w:rFonts w:eastAsiaTheme="minorHAnsi" w:cs="Arial"/>
          </w:rPr>
          <w:t>Weblink</w:t>
        </w:r>
      </w:hyperlink>
      <w:r w:rsidRPr="001570EA">
        <w:rPr>
          <w:rFonts w:eastAsiaTheme="minorHAnsi" w:cs="Arial"/>
        </w:rPr>
        <w:t xml:space="preserve"> </w:t>
      </w:r>
    </w:p>
    <w:p w14:paraId="22C82F2B" w14:textId="70181FEB" w:rsidR="004E6452" w:rsidRPr="001570EA" w:rsidRDefault="004E6452" w:rsidP="006D787B">
      <w:pPr>
        <w:pStyle w:val="ListParagraph"/>
        <w:numPr>
          <w:ilvl w:val="0"/>
          <w:numId w:val="52"/>
        </w:numPr>
        <w:overflowPunct/>
        <w:autoSpaceDE/>
        <w:autoSpaceDN/>
        <w:adjustRightInd/>
        <w:spacing w:after="120"/>
        <w:ind w:left="360"/>
        <w:jc w:val="left"/>
        <w:textAlignment w:val="auto"/>
        <w:rPr>
          <w:rFonts w:eastAsiaTheme="minorHAnsi"/>
        </w:rPr>
      </w:pPr>
      <w:r w:rsidRPr="001570EA">
        <w:rPr>
          <w:rFonts w:eastAsiaTheme="minorHAnsi" w:cs="Arial"/>
        </w:rPr>
        <w:t xml:space="preserve">U.S. EPA. (2014). ENERGY STAR Program Requirements Product Specifications for Consumer Refrigeration Products Version 5.1. </w:t>
      </w:r>
      <w:hyperlink r:id="rId222" w:history="1">
        <w:r w:rsidRPr="001570EA">
          <w:rPr>
            <w:rStyle w:val="Hyperlink"/>
            <w:rFonts w:eastAsiaTheme="minorHAnsi" w:cs="Arial"/>
          </w:rPr>
          <w:t>Weblink</w:t>
        </w:r>
      </w:hyperlink>
      <w:r w:rsidRPr="001570EA">
        <w:rPr>
          <w:rFonts w:eastAsiaTheme="minorHAnsi" w:cs="Arial"/>
        </w:rPr>
        <w:t xml:space="preserve"> </w:t>
      </w:r>
    </w:p>
    <w:p w14:paraId="74C64701" w14:textId="15091D92" w:rsidR="004E6452" w:rsidRPr="001570EA" w:rsidRDefault="004E6452" w:rsidP="006D787B">
      <w:pPr>
        <w:pStyle w:val="ListParagraph"/>
        <w:numPr>
          <w:ilvl w:val="0"/>
          <w:numId w:val="52"/>
        </w:numPr>
        <w:overflowPunct/>
        <w:autoSpaceDE/>
        <w:autoSpaceDN/>
        <w:adjustRightInd/>
        <w:spacing w:after="120"/>
        <w:ind w:left="360"/>
        <w:jc w:val="left"/>
        <w:textAlignment w:val="auto"/>
        <w:rPr>
          <w:rFonts w:eastAsiaTheme="minorHAnsi" w:cs="Arial"/>
        </w:rPr>
      </w:pPr>
      <w:r w:rsidRPr="001570EA">
        <w:rPr>
          <w:rFonts w:cs="Arial"/>
          <w:color w:val="000000"/>
        </w:rPr>
        <w:t xml:space="preserve">California Electronic Technical Reference Manual. “Refrigerator or Freezer, Residential”. Accessed December 2023. </w:t>
      </w:r>
      <w:hyperlink r:id="rId223" w:history="1">
        <w:r w:rsidRPr="001570EA">
          <w:rPr>
            <w:rStyle w:val="Hyperlink"/>
            <w:rFonts w:cs="Arial"/>
          </w:rPr>
          <w:t>Weblink</w:t>
        </w:r>
      </w:hyperlink>
      <w:r w:rsidRPr="001570EA">
        <w:rPr>
          <w:rFonts w:cs="Arial"/>
          <w:color w:val="000000"/>
        </w:rPr>
        <w:t xml:space="preserve"> </w:t>
      </w:r>
    </w:p>
    <w:p w14:paraId="759EEF04" w14:textId="7C3BAB79" w:rsidR="004E6452" w:rsidRPr="001570EA" w:rsidRDefault="004E6452" w:rsidP="006D787B">
      <w:pPr>
        <w:pStyle w:val="ListParagraph"/>
        <w:numPr>
          <w:ilvl w:val="0"/>
          <w:numId w:val="52"/>
        </w:numPr>
        <w:overflowPunct/>
        <w:autoSpaceDE/>
        <w:autoSpaceDN/>
        <w:adjustRightInd/>
        <w:spacing w:after="120"/>
        <w:ind w:left="360"/>
        <w:jc w:val="left"/>
        <w:textAlignment w:val="auto"/>
        <w:rPr>
          <w:rFonts w:eastAsiaTheme="minorHAnsi" w:cs="Arial"/>
        </w:rPr>
      </w:pPr>
      <w:r w:rsidRPr="001570EA">
        <w:t xml:space="preserve">ENERGY STAR-Certified Freezers. Accessed December 2023. </w:t>
      </w:r>
      <w:hyperlink r:id="rId224" w:history="1">
        <w:r w:rsidRPr="001570EA">
          <w:rPr>
            <w:rStyle w:val="Hyperlink"/>
          </w:rPr>
          <w:t>Weblink</w:t>
        </w:r>
      </w:hyperlink>
    </w:p>
    <w:p w14:paraId="6D445DD1" w14:textId="40250379" w:rsidR="004E6452" w:rsidRPr="001570EA" w:rsidRDefault="004E6452" w:rsidP="006D787B">
      <w:pPr>
        <w:pStyle w:val="ListParagraph"/>
        <w:numPr>
          <w:ilvl w:val="0"/>
          <w:numId w:val="52"/>
        </w:numPr>
        <w:overflowPunct/>
        <w:autoSpaceDE/>
        <w:autoSpaceDN/>
        <w:adjustRightInd/>
        <w:spacing w:after="120"/>
        <w:ind w:left="360"/>
        <w:jc w:val="left"/>
        <w:textAlignment w:val="auto"/>
        <w:rPr>
          <w:rStyle w:val="Hyperlink"/>
          <w:rFonts w:eastAsiaTheme="minorHAnsi" w:cs="Arial"/>
          <w:color w:val="auto"/>
          <w:u w:val="none"/>
        </w:rPr>
      </w:pPr>
      <w:r w:rsidRPr="001570EA">
        <w:t xml:space="preserve">Average adjusted volume of ENERGY STAR-certified freezers by configuration. Accessed March 2024. </w:t>
      </w:r>
      <w:hyperlink r:id="rId225" w:history="1">
        <w:r w:rsidRPr="001570EA">
          <w:rPr>
            <w:rStyle w:val="Hyperlink"/>
          </w:rPr>
          <w:t>Weblink</w:t>
        </w:r>
      </w:hyperlink>
    </w:p>
    <w:p w14:paraId="72D01462" w14:textId="7D1D0075" w:rsidR="004E6452" w:rsidRPr="001570EA" w:rsidRDefault="004E6452" w:rsidP="006D787B">
      <w:pPr>
        <w:pStyle w:val="ListParagraph"/>
        <w:numPr>
          <w:ilvl w:val="0"/>
          <w:numId w:val="52"/>
        </w:numPr>
        <w:overflowPunct/>
        <w:autoSpaceDE/>
        <w:autoSpaceDN/>
        <w:adjustRightInd/>
        <w:spacing w:after="120"/>
        <w:ind w:left="360"/>
        <w:jc w:val="left"/>
        <w:textAlignment w:val="auto"/>
        <w:rPr>
          <w:rFonts w:cs="Arial"/>
          <w:color w:val="000000"/>
        </w:rPr>
      </w:pPr>
      <w:r w:rsidRPr="001570EA">
        <w:rPr>
          <w:rFonts w:cs="Arial"/>
          <w:color w:val="000000"/>
        </w:rPr>
        <w:t xml:space="preserve">Wilson et al. 2021. End-Use Load Profiles for the U.S. Building Stock: Methodology and Results of Model Calibration, Validation, and Uncertainty Quantification. NREL/TP-5500-80889. </w:t>
      </w:r>
      <w:hyperlink r:id="rId226" w:history="1">
        <w:r w:rsidRPr="001570EA">
          <w:rPr>
            <w:rStyle w:val="Hyperlink"/>
            <w:rFonts w:cs="Arial"/>
          </w:rPr>
          <w:t>Weblink</w:t>
        </w:r>
      </w:hyperlink>
      <w:r w:rsidRPr="001570EA">
        <w:rPr>
          <w:rFonts w:cs="Arial"/>
          <w:color w:val="000000"/>
        </w:rPr>
        <w:t xml:space="preserve">  </w:t>
      </w:r>
    </w:p>
    <w:p w14:paraId="33AADE60" w14:textId="77777777" w:rsidR="004E6452" w:rsidRPr="001570EA" w:rsidRDefault="004E6452" w:rsidP="004E6452">
      <w:pPr>
        <w:spacing w:after="120"/>
        <w:jc w:val="left"/>
        <w:rPr>
          <w:rStyle w:val="Hyperlink"/>
          <w:rFonts w:eastAsiaTheme="minorHAnsi" w:cs="Arial"/>
          <w:color w:val="auto"/>
          <w:u w:val="none"/>
        </w:rPr>
      </w:pPr>
    </w:p>
    <w:p w14:paraId="3D21DC92" w14:textId="77777777" w:rsidR="004E6452" w:rsidRPr="001570EA" w:rsidRDefault="004E6452" w:rsidP="006D787B">
      <w:pPr>
        <w:pStyle w:val="ListParagraph"/>
        <w:numPr>
          <w:ilvl w:val="0"/>
          <w:numId w:val="52"/>
        </w:numPr>
        <w:overflowPunct/>
        <w:autoSpaceDE/>
        <w:autoSpaceDN/>
        <w:adjustRightInd/>
        <w:spacing w:after="120"/>
        <w:ind w:left="360"/>
        <w:jc w:val="left"/>
        <w:textAlignment w:val="auto"/>
        <w:rPr>
          <w:rFonts w:eastAsiaTheme="minorHAnsi" w:cs="Arial"/>
        </w:rPr>
        <w:sectPr w:rsidR="004E6452" w:rsidRPr="001570EA" w:rsidSect="002D556C">
          <w:pgSz w:w="12240" w:h="15840"/>
          <w:pgMar w:top="1440" w:right="1800" w:bottom="1440" w:left="1800" w:header="720" w:footer="501" w:gutter="0"/>
          <w:cols w:space="720"/>
        </w:sectPr>
      </w:pPr>
    </w:p>
    <w:p w14:paraId="5717A2C2" w14:textId="77777777" w:rsidR="004E6452" w:rsidRPr="001570EA" w:rsidRDefault="004E6452" w:rsidP="00462D97">
      <w:pPr>
        <w:pStyle w:val="Heading3"/>
      </w:pPr>
      <w:bookmarkStart w:id="565" w:name="_Toc530141487"/>
      <w:bookmarkStart w:id="566" w:name="_Toc48143042"/>
      <w:bookmarkStart w:id="567" w:name="_Toc164786662"/>
      <w:r w:rsidRPr="001570EA">
        <w:t>Refrigerator / Freezer Recycling with and without Replacement</w:t>
      </w:r>
      <w:bookmarkEnd w:id="565"/>
      <w:bookmarkEnd w:id="566"/>
      <w:bookmarkEnd w:id="567"/>
    </w:p>
    <w:tbl>
      <w:tblPr>
        <w:tblW w:w="48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350"/>
      </w:tblGrid>
      <w:tr w:rsidR="004E6452" w:rsidRPr="001570EA" w14:paraId="66110AD7" w14:textId="77777777">
        <w:trPr>
          <w:trHeight w:val="534"/>
        </w:trPr>
        <w:tc>
          <w:tcPr>
            <w:tcW w:w="2401" w:type="pct"/>
            <w:shd w:val="clear" w:color="auto" w:fill="auto"/>
          </w:tcPr>
          <w:p w14:paraId="40CBBE86" w14:textId="77777777" w:rsidR="004E6452" w:rsidRPr="001570EA" w:rsidRDefault="004E6452">
            <w:pPr>
              <w:pStyle w:val="TableCell"/>
              <w:spacing w:before="60" w:after="60"/>
              <w:jc w:val="left"/>
              <w:rPr>
                <w:b/>
                <w:sz w:val="20"/>
              </w:rPr>
            </w:pPr>
            <w:r w:rsidRPr="001570EA">
              <w:rPr>
                <w:b/>
              </w:rPr>
              <w:t>Target Sector</w:t>
            </w:r>
          </w:p>
        </w:tc>
        <w:tc>
          <w:tcPr>
            <w:tcW w:w="2599" w:type="pct"/>
            <w:shd w:val="clear" w:color="auto" w:fill="auto"/>
          </w:tcPr>
          <w:p w14:paraId="6358F08C" w14:textId="77777777" w:rsidR="004E6452" w:rsidRPr="001570EA" w:rsidRDefault="004E6452">
            <w:pPr>
              <w:pStyle w:val="TableCell"/>
              <w:spacing w:before="60" w:after="60"/>
              <w:jc w:val="center"/>
              <w:rPr>
                <w:rFonts w:eastAsia="Arial Unicode MS" w:cs="Arial"/>
                <w:i/>
                <w:iCs/>
                <w:sz w:val="20"/>
                <w:szCs w:val="24"/>
              </w:rPr>
            </w:pPr>
            <w:r w:rsidRPr="001570EA">
              <w:t>Residential</w:t>
            </w:r>
          </w:p>
        </w:tc>
      </w:tr>
      <w:tr w:rsidR="004E6452" w:rsidRPr="001570EA" w14:paraId="1AFEACB3" w14:textId="77777777">
        <w:trPr>
          <w:trHeight w:val="534"/>
        </w:trPr>
        <w:tc>
          <w:tcPr>
            <w:tcW w:w="2401" w:type="pct"/>
            <w:shd w:val="clear" w:color="auto" w:fill="auto"/>
          </w:tcPr>
          <w:p w14:paraId="36D9CE18" w14:textId="77777777" w:rsidR="004E6452" w:rsidRPr="001570EA" w:rsidRDefault="004E6452">
            <w:pPr>
              <w:pStyle w:val="TableCell"/>
              <w:spacing w:before="60" w:after="60"/>
              <w:jc w:val="left"/>
              <w:rPr>
                <w:b/>
                <w:sz w:val="20"/>
              </w:rPr>
            </w:pPr>
            <w:r w:rsidRPr="001570EA">
              <w:rPr>
                <w:b/>
              </w:rPr>
              <w:t>Measure Life</w:t>
            </w:r>
          </w:p>
        </w:tc>
        <w:tc>
          <w:tcPr>
            <w:tcW w:w="2599" w:type="pct"/>
            <w:shd w:val="clear" w:color="auto" w:fill="auto"/>
          </w:tcPr>
          <w:p w14:paraId="5CC44F73" w14:textId="51D7B350" w:rsidR="004E6452" w:rsidRPr="001570EA" w:rsidRDefault="004E6452">
            <w:pPr>
              <w:pStyle w:val="TableCell"/>
              <w:tabs>
                <w:tab w:val="center" w:pos="2067"/>
                <w:tab w:val="left" w:pos="2880"/>
              </w:tabs>
              <w:spacing w:before="60" w:after="60"/>
              <w:jc w:val="center"/>
              <w:rPr>
                <w:szCs w:val="18"/>
              </w:rPr>
            </w:pPr>
            <w:r w:rsidRPr="001570EA">
              <w:rPr>
                <w:b/>
                <w:szCs w:val="18"/>
              </w:rPr>
              <w:t>Without Replacement:</w:t>
            </w:r>
            <w:r w:rsidRPr="001570EA">
              <w:rPr>
                <w:vertAlign w:val="superscript"/>
              </w:rPr>
              <w:t>Source 1</w:t>
            </w:r>
          </w:p>
          <w:p w14:paraId="7228DBB8" w14:textId="77777777" w:rsidR="004E6452" w:rsidRPr="001570EA" w:rsidRDefault="004E6452">
            <w:pPr>
              <w:pStyle w:val="TableCell"/>
              <w:tabs>
                <w:tab w:val="center" w:pos="2067"/>
                <w:tab w:val="left" w:pos="2880"/>
              </w:tabs>
              <w:spacing w:before="60" w:after="60"/>
              <w:jc w:val="center"/>
              <w:rPr>
                <w:szCs w:val="18"/>
              </w:rPr>
            </w:pPr>
            <w:r w:rsidRPr="001570EA">
              <w:rPr>
                <w:szCs w:val="18"/>
              </w:rPr>
              <w:t xml:space="preserve">Refrigerator: 5 years </w:t>
            </w:r>
          </w:p>
          <w:p w14:paraId="24822618" w14:textId="77777777" w:rsidR="004E6452" w:rsidRPr="001570EA" w:rsidRDefault="004E6452">
            <w:pPr>
              <w:pStyle w:val="TableCell"/>
              <w:tabs>
                <w:tab w:val="center" w:pos="2067"/>
                <w:tab w:val="left" w:pos="2880"/>
              </w:tabs>
              <w:spacing w:before="60" w:after="60"/>
              <w:jc w:val="center"/>
              <w:rPr>
                <w:rFonts w:eastAsia="Arial Unicode MS" w:cs="Arial"/>
                <w:iCs/>
                <w:szCs w:val="18"/>
              </w:rPr>
            </w:pPr>
            <w:r w:rsidRPr="001570EA">
              <w:rPr>
                <w:rFonts w:eastAsia="Arial Unicode MS" w:cs="Arial"/>
                <w:iCs/>
                <w:szCs w:val="18"/>
              </w:rPr>
              <w:t>Freezer: 4 years</w:t>
            </w:r>
          </w:p>
          <w:p w14:paraId="2FFC3120" w14:textId="77777777" w:rsidR="004E6452" w:rsidRPr="001570EA" w:rsidRDefault="004E6452">
            <w:pPr>
              <w:pStyle w:val="TableCell"/>
              <w:tabs>
                <w:tab w:val="center" w:pos="2067"/>
                <w:tab w:val="left" w:pos="2880"/>
              </w:tabs>
              <w:spacing w:before="60" w:after="60"/>
              <w:jc w:val="center"/>
              <w:rPr>
                <w:rFonts w:eastAsia="Arial Unicode MS" w:cs="Arial"/>
                <w:b/>
                <w:iCs/>
                <w:szCs w:val="18"/>
              </w:rPr>
            </w:pPr>
            <w:r w:rsidRPr="001570EA">
              <w:rPr>
                <w:rFonts w:eastAsia="Arial Unicode MS" w:cs="Arial"/>
                <w:b/>
                <w:iCs/>
                <w:szCs w:val="18"/>
              </w:rPr>
              <w:t>With Replacement:</w:t>
            </w:r>
          </w:p>
          <w:p w14:paraId="78F55A42" w14:textId="77777777" w:rsidR="004E6452" w:rsidRPr="001570EA" w:rsidRDefault="004E6452">
            <w:pPr>
              <w:pStyle w:val="TableCell"/>
              <w:tabs>
                <w:tab w:val="center" w:pos="2067"/>
                <w:tab w:val="left" w:pos="2880"/>
              </w:tabs>
              <w:spacing w:before="60" w:after="60"/>
              <w:jc w:val="center"/>
              <w:rPr>
                <w:szCs w:val="18"/>
              </w:rPr>
            </w:pPr>
            <w:r w:rsidRPr="001570EA">
              <w:rPr>
                <w:szCs w:val="18"/>
              </w:rPr>
              <w:t xml:space="preserve">Refrigerator: 6 years </w:t>
            </w:r>
          </w:p>
          <w:p w14:paraId="77949AAC" w14:textId="77777777" w:rsidR="004E6452" w:rsidRPr="001570EA" w:rsidRDefault="004E6452">
            <w:pPr>
              <w:pStyle w:val="TableCell"/>
              <w:tabs>
                <w:tab w:val="center" w:pos="2067"/>
                <w:tab w:val="left" w:pos="2880"/>
              </w:tabs>
              <w:spacing w:before="60" w:after="60"/>
              <w:jc w:val="center"/>
              <w:rPr>
                <w:rFonts w:eastAsia="Arial Unicode MS" w:cs="Arial"/>
                <w:iCs/>
                <w:szCs w:val="18"/>
              </w:rPr>
            </w:pPr>
            <w:r w:rsidRPr="001570EA">
              <w:rPr>
                <w:rFonts w:eastAsia="Arial Unicode MS" w:cs="Arial"/>
                <w:iCs/>
                <w:szCs w:val="18"/>
              </w:rPr>
              <w:t>Freezer: 5 years</w:t>
            </w:r>
          </w:p>
        </w:tc>
      </w:tr>
      <w:tr w:rsidR="004E6452" w:rsidRPr="001570EA" w14:paraId="3514A07D" w14:textId="77777777">
        <w:trPr>
          <w:trHeight w:val="534"/>
        </w:trPr>
        <w:tc>
          <w:tcPr>
            <w:tcW w:w="2401" w:type="pct"/>
            <w:shd w:val="clear" w:color="auto" w:fill="auto"/>
          </w:tcPr>
          <w:p w14:paraId="37341E61" w14:textId="77777777" w:rsidR="004E6452" w:rsidRPr="001570EA" w:rsidRDefault="004E6452">
            <w:pPr>
              <w:pStyle w:val="TableCell"/>
              <w:spacing w:before="60" w:after="60"/>
              <w:jc w:val="left"/>
              <w:rPr>
                <w:b/>
              </w:rPr>
            </w:pPr>
            <w:r w:rsidRPr="001570EA">
              <w:rPr>
                <w:b/>
              </w:rPr>
              <w:t>Vintage</w:t>
            </w:r>
          </w:p>
        </w:tc>
        <w:tc>
          <w:tcPr>
            <w:tcW w:w="2599" w:type="pct"/>
            <w:shd w:val="clear" w:color="auto" w:fill="auto"/>
          </w:tcPr>
          <w:p w14:paraId="657E306D" w14:textId="77777777" w:rsidR="004E6452" w:rsidRPr="001570EA" w:rsidRDefault="004E6452">
            <w:pPr>
              <w:pStyle w:val="TableCell"/>
              <w:spacing w:before="60" w:after="60"/>
              <w:jc w:val="center"/>
            </w:pPr>
            <w:r w:rsidRPr="001570EA">
              <w:t>Early Retirement, Early Replacement</w:t>
            </w:r>
          </w:p>
        </w:tc>
      </w:tr>
    </w:tbl>
    <w:p w14:paraId="735D9B8C" w14:textId="77777777" w:rsidR="004E6452" w:rsidRPr="001570EA" w:rsidRDefault="004E6452" w:rsidP="004E6452">
      <w:pPr>
        <w:pStyle w:val="SubStyle"/>
      </w:pPr>
    </w:p>
    <w:p w14:paraId="69253647" w14:textId="77777777" w:rsidR="004E6452" w:rsidRPr="001570EA" w:rsidRDefault="004E6452" w:rsidP="004E6452">
      <w:pPr>
        <w:pStyle w:val="SubStyle"/>
      </w:pPr>
      <w:r w:rsidRPr="001570EA">
        <w:t>Eligibility</w:t>
      </w:r>
    </w:p>
    <w:p w14:paraId="53A03BB3" w14:textId="77777777" w:rsidR="004E6452" w:rsidRPr="001570EA" w:rsidRDefault="004E6452" w:rsidP="004E6452">
      <w:pPr>
        <w:pStyle w:val="BodyText"/>
        <w:spacing w:after="120"/>
        <w:ind w:right="0"/>
        <w:rPr>
          <w:rFonts w:eastAsia="Calibri"/>
        </w:rPr>
      </w:pPr>
      <w:r w:rsidRPr="001570EA">
        <w:rPr>
          <w:rFonts w:eastAsia="Calibri"/>
        </w:rPr>
        <w:t>Refrigerator recycling programs are designed to save energy through the removal of old-but-operable refrigerators from service. By offering free pickup, providing incentives, and disseminating information about the operating cost of old refrigerators, these programs are designed to encourage consumers to:</w:t>
      </w:r>
    </w:p>
    <w:p w14:paraId="451F302C" w14:textId="20E1C2EE" w:rsidR="004E6452" w:rsidRPr="001570EA" w:rsidRDefault="004E6452" w:rsidP="004E6452">
      <w:pPr>
        <w:pStyle w:val="BodyText"/>
        <w:numPr>
          <w:ilvl w:val="0"/>
          <w:numId w:val="51"/>
        </w:numPr>
        <w:ind w:left="360" w:right="0"/>
        <w:rPr>
          <w:rFonts w:eastAsia="Calibri"/>
        </w:rPr>
      </w:pPr>
      <w:r w:rsidRPr="001570EA">
        <w:rPr>
          <w:rFonts w:eastAsia="Calibri"/>
        </w:rPr>
        <w:t>Discontinue the use of secondary refrigerators</w:t>
      </w:r>
      <w:r w:rsidR="00444AB9">
        <w:rPr>
          <w:rFonts w:eastAsia="Calibri"/>
        </w:rPr>
        <w:t>.</w:t>
      </w:r>
    </w:p>
    <w:p w14:paraId="5887E246" w14:textId="63C1F07A" w:rsidR="004E6452" w:rsidRPr="001570EA" w:rsidRDefault="004E6452" w:rsidP="004E6452">
      <w:pPr>
        <w:pStyle w:val="BodyText"/>
        <w:numPr>
          <w:ilvl w:val="0"/>
          <w:numId w:val="51"/>
        </w:numPr>
        <w:ind w:left="360" w:right="0"/>
        <w:rPr>
          <w:rFonts w:eastAsia="Calibri"/>
        </w:rPr>
      </w:pPr>
      <w:r w:rsidRPr="001570EA">
        <w:rPr>
          <w:rFonts w:eastAsia="Calibri"/>
        </w:rPr>
        <w:t>Relinquish refrigerators previously used as primary units when they are replaced (rather than keeping the old refrigerator as a secondary unit)</w:t>
      </w:r>
      <w:r w:rsidR="00444AB9">
        <w:rPr>
          <w:rFonts w:eastAsia="Calibri"/>
        </w:rPr>
        <w:t>.</w:t>
      </w:r>
    </w:p>
    <w:p w14:paraId="70006C8C" w14:textId="77777777" w:rsidR="004E6452" w:rsidRPr="001570EA" w:rsidRDefault="004E6452" w:rsidP="004E6452">
      <w:pPr>
        <w:pStyle w:val="BodyText"/>
        <w:numPr>
          <w:ilvl w:val="0"/>
          <w:numId w:val="51"/>
        </w:numPr>
        <w:ind w:left="360" w:right="0"/>
        <w:rPr>
          <w:rFonts w:eastAsia="Calibri"/>
        </w:rPr>
      </w:pPr>
      <w:r w:rsidRPr="001570EA">
        <w:rPr>
          <w:rFonts w:eastAsia="Calibri"/>
        </w:rPr>
        <w:t>Prevent the continued use of old refrigerators in another household through a direct transfer (giving it away or selling it) or indirect transfer (resale on the used appliance market).</w:t>
      </w:r>
    </w:p>
    <w:p w14:paraId="5B511DE2" w14:textId="77777777" w:rsidR="004E6452" w:rsidRPr="001570EA" w:rsidRDefault="004E6452" w:rsidP="004E6452">
      <w:pPr>
        <w:rPr>
          <w:rFonts w:eastAsia="Calibri"/>
        </w:rPr>
      </w:pPr>
    </w:p>
    <w:p w14:paraId="51F45E03" w14:textId="77777777" w:rsidR="004E6452" w:rsidRPr="001570EA" w:rsidRDefault="004E6452" w:rsidP="004E6452">
      <w:pPr>
        <w:rPr>
          <w:rFonts w:eastAsia="Calibri"/>
        </w:rPr>
      </w:pPr>
      <w:r w:rsidRPr="001570EA">
        <w:rPr>
          <w:rFonts w:eastAsia="Calibri"/>
        </w:rPr>
        <w:t>Commonly implemented by third-party contractors (who collect and decommission participating appliances), these programs generate energy savings through the retirement of inefficient appliances. The decommissioning process captures environmentally harmful refrigerants and foam and enables the recycling of the plastic, metal, and wiring components.</w:t>
      </w:r>
    </w:p>
    <w:p w14:paraId="26C77D0C" w14:textId="77777777" w:rsidR="004E6452" w:rsidRPr="001570EA" w:rsidRDefault="004E6452" w:rsidP="004E6452">
      <w:pPr>
        <w:rPr>
          <w:rFonts w:eastAsia="Calibri"/>
        </w:rPr>
      </w:pPr>
    </w:p>
    <w:p w14:paraId="4E14F4AC" w14:textId="77777777" w:rsidR="004E6452" w:rsidRPr="001570EA" w:rsidRDefault="004E6452" w:rsidP="004E6452">
      <w:pPr>
        <w:pStyle w:val="NoSpacing"/>
      </w:pPr>
      <w:r w:rsidRPr="001570EA">
        <w:t>This protocol applies to both residential and non-residential sectors, as refrigerator and freezer usage and energy usage are assumed to be independent of customer rate class.</w:t>
      </w:r>
      <w:r w:rsidRPr="001570EA">
        <w:rPr>
          <w:vertAlign w:val="superscript"/>
        </w:rPr>
        <w:footnoteReference w:id="9"/>
      </w:r>
      <w:r w:rsidRPr="001570EA">
        <w:t xml:space="preserve"> The savings algorithms are based on regression analysis of metered data on kWh consumption from other states. The savings algorithms for this measure can be applied to refrigerator and freezer retirements or early replacements meeting the following criteria:</w:t>
      </w:r>
    </w:p>
    <w:p w14:paraId="14FB56FC" w14:textId="49FB39C4" w:rsidR="004E6452" w:rsidRPr="001570EA" w:rsidRDefault="004E6452" w:rsidP="006D787B">
      <w:pPr>
        <w:pStyle w:val="source10"/>
        <w:numPr>
          <w:ilvl w:val="0"/>
          <w:numId w:val="53"/>
        </w:numPr>
        <w:spacing w:after="120"/>
        <w:ind w:left="360"/>
        <w:rPr>
          <w:rFonts w:eastAsia="Calibri"/>
        </w:rPr>
      </w:pPr>
      <w:r w:rsidRPr="001570EA">
        <w:rPr>
          <w:rFonts w:eastAsia="Calibri"/>
        </w:rPr>
        <w:t>Existing, working refrigerator or freezer 10-30 cubic feet in size (savings do not apply if unit is not working)</w:t>
      </w:r>
      <w:r w:rsidR="00444AB9">
        <w:rPr>
          <w:rFonts w:eastAsia="Calibri"/>
        </w:rPr>
        <w:t>.</w:t>
      </w:r>
    </w:p>
    <w:p w14:paraId="0944B5A0" w14:textId="45D8FFF2" w:rsidR="004E6452" w:rsidRPr="001570EA" w:rsidRDefault="004E6452" w:rsidP="006D787B">
      <w:pPr>
        <w:pStyle w:val="source10"/>
        <w:numPr>
          <w:ilvl w:val="0"/>
          <w:numId w:val="53"/>
        </w:numPr>
        <w:spacing w:after="0"/>
        <w:ind w:left="360"/>
        <w:rPr>
          <w:rFonts w:eastAsia="Calibri"/>
        </w:rPr>
      </w:pPr>
      <w:r w:rsidRPr="001570EA">
        <w:rPr>
          <w:rFonts w:eastAsia="Calibri"/>
        </w:rPr>
        <w:t>Unit is a primary or secondary unit</w:t>
      </w:r>
      <w:r w:rsidR="00444AB9">
        <w:rPr>
          <w:rFonts w:eastAsia="Calibri"/>
        </w:rPr>
        <w:t>.</w:t>
      </w:r>
    </w:p>
    <w:p w14:paraId="76196BB5" w14:textId="77777777" w:rsidR="004E6452" w:rsidRPr="001570EA" w:rsidRDefault="004E6452" w:rsidP="004E6452">
      <w:pPr>
        <w:rPr>
          <w:rFonts w:cs="Arial"/>
        </w:rPr>
      </w:pPr>
    </w:p>
    <w:p w14:paraId="4845F657" w14:textId="77777777" w:rsidR="004E6452" w:rsidRPr="001570EA" w:rsidRDefault="004E6452" w:rsidP="004E6452">
      <w:pPr>
        <w:pStyle w:val="SubStyle"/>
      </w:pPr>
      <w:r w:rsidRPr="001570EA">
        <w:t>Algorithms</w:t>
      </w:r>
    </w:p>
    <w:p w14:paraId="3F083D8C" w14:textId="77777777" w:rsidR="004E6452" w:rsidRPr="001570EA" w:rsidRDefault="004E6452" w:rsidP="004E6452">
      <w:pPr>
        <w:spacing w:after="120"/>
        <w:rPr>
          <w:rFonts w:cs="Arial"/>
          <w:iCs/>
        </w:rPr>
      </w:pPr>
      <w:r w:rsidRPr="001570EA">
        <w:rPr>
          <w:rFonts w:cs="Arial"/>
          <w:iCs/>
        </w:rPr>
        <w:t>The total annual energy savings (kWh/yr) achieved from recycling old-but-operable refrigerators are calculated using the following general algorithm:</w:t>
      </w:r>
    </w:p>
    <w:p w14:paraId="3A2E0AD0" w14:textId="77777777" w:rsidR="004E6452" w:rsidRPr="001570EA" w:rsidRDefault="004E6452" w:rsidP="004E6452">
      <w:pPr>
        <w:spacing w:after="120" w:line="264" w:lineRule="auto"/>
        <w:rPr>
          <w:b/>
        </w:rPr>
      </w:pPr>
      <w:r w:rsidRPr="001570EA">
        <w:rPr>
          <w:b/>
        </w:rPr>
        <w:t>Energy Savings</w:t>
      </w:r>
    </w:p>
    <w:p w14:paraId="13619712" w14:textId="77777777" w:rsidR="004E6452" w:rsidRPr="001570EA" w:rsidRDefault="004E6452" w:rsidP="004E6452">
      <w:pPr>
        <w:tabs>
          <w:tab w:val="left" w:pos="1440"/>
        </w:tabs>
        <w:rPr>
          <w:rFonts w:ascii="Cambria Math" w:hAnsi="Cambria Math" w:cs="Arial"/>
          <w:sz w:val="22"/>
          <w:szCs w:val="22"/>
        </w:rPr>
      </w:pPr>
      <w:r w:rsidRPr="001570EA">
        <w:rPr>
          <w:rFonts w:ascii="Calibri" w:hAnsi="Calibri" w:cs="Arial"/>
          <w:i/>
          <w:iCs/>
        </w:rPr>
        <w:t>Δ</w:t>
      </w:r>
      <w:r w:rsidRPr="001570EA">
        <w:rPr>
          <w:rFonts w:cs="Arial"/>
          <w:i/>
          <w:iCs/>
        </w:rPr>
        <w:t>kWh</w:t>
      </w:r>
      <w:r w:rsidRPr="001570EA">
        <w:rPr>
          <w:rFonts w:cs="Arial"/>
          <w:i/>
          <w:iCs/>
        </w:rPr>
        <w:tab/>
      </w:r>
      <w:r w:rsidRPr="001570EA">
        <w:rPr>
          <w:rFonts w:ascii="Cambria Math" w:hAnsi="Cambria Math" w:cs="Arial"/>
          <w:iCs/>
          <w:sz w:val="22"/>
          <w:szCs w:val="22"/>
        </w:rPr>
        <w:t>=</w:t>
      </w:r>
      <m:oMath>
        <m:r>
          <w:rPr>
            <w:rFonts w:ascii="Cambria Math" w:hAnsi="Cambria Math" w:cs="Arial"/>
            <w:sz w:val="22"/>
            <w:szCs w:val="22"/>
          </w:rPr>
          <m:t>N×</m:t>
        </m:r>
        <m:d>
          <m:dPr>
            <m:ctrlPr>
              <w:rPr>
                <w:rFonts w:ascii="Cambria Math" w:hAnsi="Cambria Math" w:cs="Arial"/>
                <w:i/>
                <w:sz w:val="22"/>
                <w:szCs w:val="22"/>
              </w:rPr>
            </m:ctrlPr>
          </m:dPr>
          <m:e>
            <m:r>
              <w:rPr>
                <w:rFonts w:ascii="Cambria Math" w:hAnsi="Cambria Math" w:cs="Arial"/>
                <w:sz w:val="22"/>
                <w:szCs w:val="22"/>
              </w:rPr>
              <m:t>UEC-</m:t>
            </m:r>
            <m:sSub>
              <m:sSubPr>
                <m:ctrlPr>
                  <w:rPr>
                    <w:rFonts w:ascii="Cambria Math" w:hAnsi="Cambria Math" w:cs="Arial"/>
                    <w:i/>
                    <w:sz w:val="22"/>
                    <w:szCs w:val="22"/>
                  </w:rPr>
                </m:ctrlPr>
              </m:sSubPr>
              <m:e>
                <m:r>
                  <w:rPr>
                    <w:rFonts w:ascii="Cambria Math" w:hAnsi="Cambria Math" w:cs="Arial"/>
                    <w:sz w:val="22"/>
                    <w:szCs w:val="22"/>
                  </w:rPr>
                  <m:t>kWh</m:t>
                </m:r>
              </m:e>
              <m:sub>
                <m:r>
                  <w:rPr>
                    <w:rFonts w:ascii="Cambria Math" w:hAnsi="Cambria Math" w:cs="Arial"/>
                    <w:sz w:val="22"/>
                    <w:szCs w:val="22"/>
                  </w:rPr>
                  <m:t>ee</m:t>
                </m:r>
              </m:sub>
            </m:sSub>
          </m:e>
        </m:d>
        <m:r>
          <w:rPr>
            <w:rFonts w:ascii="Cambria Math" w:hAnsi="Cambria Math" w:cs="Arial"/>
            <w:sz w:val="22"/>
            <w:szCs w:val="22"/>
          </w:rPr>
          <m:t>×PAR</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USE</m:t>
            </m:r>
          </m:sub>
        </m:sSub>
      </m:oMath>
    </w:p>
    <w:p w14:paraId="21ED4849" w14:textId="77777777" w:rsidR="004E6452" w:rsidRPr="001570EA" w:rsidRDefault="004E6452" w:rsidP="004E6452"/>
    <w:p w14:paraId="26FADB95" w14:textId="77777777" w:rsidR="004E6452" w:rsidRPr="001570EA" w:rsidRDefault="004E6452" w:rsidP="004E6452">
      <w:pPr>
        <w:rPr>
          <w:rFonts w:eastAsia="Calibri"/>
        </w:rPr>
      </w:pPr>
      <w:r w:rsidRPr="001570EA">
        <w:rPr>
          <w:rFonts w:eastAsia="Calibri"/>
        </w:rPr>
        <w:t>Note that lifetime savings will be calculated with this same general algorithm but with an adjusted measure life.</w:t>
      </w:r>
    </w:p>
    <w:p w14:paraId="00C6AC6A" w14:textId="77777777" w:rsidR="004E6452" w:rsidRPr="001570EA" w:rsidRDefault="004E6452" w:rsidP="004E6452">
      <w:pPr>
        <w:rPr>
          <w:rFonts w:eastAsia="Calibri"/>
        </w:rPr>
      </w:pPr>
    </w:p>
    <w:p w14:paraId="60D10458" w14:textId="77777777" w:rsidR="004E6452" w:rsidRPr="001570EA" w:rsidRDefault="004E6452" w:rsidP="004E6452">
      <w:pPr>
        <w:rPr>
          <w:b/>
          <w:vertAlign w:val="superscript"/>
        </w:rPr>
      </w:pPr>
      <w:r w:rsidRPr="001570EA">
        <w:rPr>
          <w:b/>
        </w:rPr>
        <w:t>Unit Energy Consumption</w:t>
      </w:r>
      <w:r w:rsidRPr="001570EA">
        <w:rPr>
          <w:vertAlign w:val="superscript"/>
        </w:rPr>
        <w:t>Source 2</w:t>
      </w:r>
    </w:p>
    <w:p w14:paraId="4DA099C2" w14:textId="77777777" w:rsidR="004E6452" w:rsidRPr="001570EA" w:rsidRDefault="004E6452" w:rsidP="004E6452">
      <w:pPr>
        <w:pStyle w:val="source10"/>
        <w:spacing w:after="120" w:line="264" w:lineRule="auto"/>
        <w:rPr>
          <w:rFonts w:eastAsia="Calibri"/>
        </w:rPr>
      </w:pPr>
      <w:r w:rsidRPr="001570EA">
        <w:rPr>
          <w:rFonts w:eastAsia="Calibri"/>
        </w:rPr>
        <w:t>Annual energy consumption (UEC) of the existing refrigerator or freezer can be calculated using the algorithms below. Actual program year recycled refrigerator/freezer data provides a more accurate annual ex ante savings estimate than default values due to the changing mix of recycled appliance models from year-to-year.</w:t>
      </w:r>
    </w:p>
    <w:p w14:paraId="25377B19" w14:textId="458A12A4" w:rsidR="004E6452" w:rsidRPr="001570EA" w:rsidRDefault="004E6452" w:rsidP="004E6452">
      <w:pPr>
        <w:rPr>
          <w:rStyle w:val="normaltextrun"/>
          <w:rFonts w:cs="Arial"/>
        </w:rPr>
      </w:pPr>
      <w:r w:rsidRPr="001570EA">
        <w:rPr>
          <w:rFonts w:eastAsia="Calibri"/>
        </w:rPr>
        <w:t>The kWh</w:t>
      </w:r>
      <w:r w:rsidRPr="001570EA">
        <w:rPr>
          <w:rFonts w:eastAsia="Calibri"/>
          <w:vertAlign w:val="subscript"/>
        </w:rPr>
        <w:t>ee</w:t>
      </w:r>
      <w:r w:rsidRPr="001570EA">
        <w:rPr>
          <w:rFonts w:eastAsia="Calibri"/>
        </w:rPr>
        <w:t xml:space="preserve"> of the efficient refrigerator/freezer may be determined using manufacturers’ test data for the given model. If test data are not available, the algorithms in </w:t>
      </w:r>
      <w:r w:rsidR="00DB3159" w:rsidRPr="001570EA">
        <w:rPr>
          <w:rFonts w:eastAsia="Calibri"/>
        </w:rPr>
        <w:fldChar w:fldCharType="begin"/>
      </w:r>
      <w:r w:rsidR="00DB3159" w:rsidRPr="001570EA">
        <w:rPr>
          <w:rFonts w:eastAsia="Calibri"/>
        </w:rPr>
        <w:instrText xml:space="preserve"> REF _Ref163939350 \h </w:instrText>
      </w:r>
      <w:r w:rsidR="00312C64" w:rsidRPr="001570EA">
        <w:rPr>
          <w:rFonts w:eastAsia="Calibri"/>
        </w:rPr>
        <w:instrText xml:space="preserve"> \* MERGEFORMAT </w:instrText>
      </w:r>
      <w:r w:rsidR="00DB3159" w:rsidRPr="001570EA">
        <w:rPr>
          <w:rFonts w:eastAsia="Calibri"/>
        </w:rPr>
      </w:r>
      <w:r w:rsidR="00DB3159" w:rsidRPr="001570EA">
        <w:rPr>
          <w:rFonts w:eastAsia="Calibri"/>
        </w:rPr>
        <w:fldChar w:fldCharType="separate"/>
      </w:r>
      <w:r w:rsidR="001723B1" w:rsidRPr="001570EA">
        <w:t xml:space="preserve">Table </w:t>
      </w:r>
      <w:r w:rsidR="001723B1" w:rsidRPr="001570EA">
        <w:rPr>
          <w:noProof/>
        </w:rPr>
        <w:t>2</w:t>
      </w:r>
      <w:r w:rsidR="001723B1" w:rsidRPr="001570EA">
        <w:rPr>
          <w:noProof/>
        </w:rPr>
        <w:noBreakHyphen/>
        <w:t>83</w:t>
      </w:r>
      <w:r w:rsidR="00DB3159" w:rsidRPr="001570EA">
        <w:rPr>
          <w:rFonts w:eastAsia="Calibri"/>
        </w:rPr>
        <w:fldChar w:fldCharType="end"/>
      </w:r>
      <w:r w:rsidRPr="001570EA">
        <w:rPr>
          <w:rFonts w:eastAsia="Calibri" w:cs="Arial"/>
          <w:szCs w:val="20"/>
        </w:rPr>
        <w:t xml:space="preserve"> </w:t>
      </w:r>
      <w:r w:rsidRPr="001570EA">
        <w:rPr>
          <w:rFonts w:eastAsia="Calibri"/>
        </w:rPr>
        <w:t xml:space="preserve">and </w:t>
      </w:r>
      <w:r w:rsidRPr="001570EA">
        <w:rPr>
          <w:rFonts w:eastAsia="Calibri" w:cs="Arial"/>
          <w:szCs w:val="20"/>
        </w:rPr>
        <w:fldChar w:fldCharType="begin"/>
      </w:r>
      <w:r w:rsidRPr="001570EA">
        <w:rPr>
          <w:rFonts w:eastAsia="Calibri"/>
        </w:rPr>
        <w:instrText xml:space="preserve"> REF _Ref160812934 \h </w:instrText>
      </w:r>
      <w:r w:rsidR="001570EA">
        <w:rPr>
          <w:rFonts w:eastAsia="Calibri" w:cs="Arial"/>
          <w:szCs w:val="20"/>
        </w:rPr>
        <w:instrText xml:space="preserve"> \* MERGEFORMAT </w:instrText>
      </w:r>
      <w:r w:rsidRPr="001570EA">
        <w:rPr>
          <w:rFonts w:eastAsia="Calibri" w:cs="Arial"/>
          <w:szCs w:val="20"/>
        </w:rPr>
      </w:r>
      <w:r w:rsidRPr="001570EA">
        <w:rPr>
          <w:rFonts w:eastAsia="Calibri" w:cs="Arial"/>
          <w:szCs w:val="20"/>
        </w:rPr>
        <w:fldChar w:fldCharType="separate"/>
      </w:r>
      <w:r w:rsidR="001723B1" w:rsidRPr="001570EA">
        <w:t xml:space="preserve">Table </w:t>
      </w:r>
      <w:r w:rsidR="001723B1" w:rsidRPr="001570EA">
        <w:rPr>
          <w:noProof/>
        </w:rPr>
        <w:t>2</w:t>
      </w:r>
      <w:r w:rsidR="001723B1" w:rsidRPr="001570EA">
        <w:rPr>
          <w:noProof/>
        </w:rPr>
        <w:noBreakHyphen/>
        <w:t>89</w:t>
      </w:r>
      <w:r w:rsidRPr="001570EA">
        <w:rPr>
          <w:rFonts w:eastAsia="Calibri" w:cs="Arial"/>
          <w:szCs w:val="20"/>
        </w:rPr>
        <w:fldChar w:fldCharType="end"/>
      </w:r>
      <w:r w:rsidRPr="001570EA">
        <w:rPr>
          <w:rFonts w:eastAsia="Calibri"/>
        </w:rPr>
        <w:t xml:space="preserve"> may be used to determine the efficient refrigerator’s or freezer’s annual energy consumption. </w:t>
      </w:r>
    </w:p>
    <w:p w14:paraId="5C7A3CD5" w14:textId="77777777" w:rsidR="004E6452" w:rsidRPr="001570EA" w:rsidRDefault="004E6452" w:rsidP="004E6452">
      <w:pPr>
        <w:rPr>
          <w:rFonts w:eastAsia="Calibri" w:cs="Arial"/>
        </w:rPr>
      </w:pPr>
    </w:p>
    <w:p w14:paraId="587C8D8C" w14:textId="77777777" w:rsidR="004E6452" w:rsidRPr="001570EA" w:rsidRDefault="004E6452" w:rsidP="004E6452">
      <w:pPr>
        <w:rPr>
          <w:rFonts w:eastAsia="Calibri" w:cs="Arial"/>
        </w:rPr>
      </w:pPr>
      <w:r w:rsidRPr="001570EA">
        <w:rPr>
          <w:rFonts w:eastAsia="Calibri" w:cs="Arial"/>
        </w:rPr>
        <w:t xml:space="preserve">Note that if the unit is being recycled without replacement, the </w:t>
      </w:r>
      <w:r w:rsidRPr="001570EA">
        <w:rPr>
          <w:rFonts w:eastAsia="Calibri" w:cs="Arial"/>
          <w:iCs/>
        </w:rPr>
        <w:t>kWh</w:t>
      </w:r>
      <w:r w:rsidRPr="001570EA">
        <w:rPr>
          <w:rFonts w:eastAsia="Calibri" w:cs="Arial"/>
          <w:iCs/>
          <w:vertAlign w:val="subscript"/>
        </w:rPr>
        <w:t>ee</w:t>
      </w:r>
      <w:r w:rsidRPr="001570EA">
        <w:rPr>
          <w:rFonts w:eastAsia="Calibri" w:cs="Arial"/>
          <w:i/>
          <w:vertAlign w:val="subscript"/>
        </w:rPr>
        <w:t xml:space="preserve"> </w:t>
      </w:r>
      <w:r w:rsidRPr="001570EA">
        <w:rPr>
          <w:rFonts w:eastAsia="Calibri" w:cs="Arial"/>
        </w:rPr>
        <w:t xml:space="preserve">variable takes on the value of zero. The </w:t>
      </w:r>
      <w:r w:rsidRPr="001570EA">
        <w:rPr>
          <w:rFonts w:eastAsia="Calibri" w:cs="Arial"/>
          <w:iCs/>
        </w:rPr>
        <w:t>kWh</w:t>
      </w:r>
      <w:r w:rsidRPr="001570EA">
        <w:rPr>
          <w:rFonts w:eastAsia="Calibri" w:cs="Arial"/>
          <w:iCs/>
          <w:vertAlign w:val="subscript"/>
        </w:rPr>
        <w:t>ee</w:t>
      </w:r>
      <w:r w:rsidRPr="001570EA">
        <w:rPr>
          <w:rFonts w:eastAsia="Calibri" w:cs="Arial"/>
          <w:i/>
          <w:vertAlign w:val="subscript"/>
        </w:rPr>
        <w:t xml:space="preserve"> </w:t>
      </w:r>
      <w:r w:rsidRPr="001570EA">
        <w:rPr>
          <w:rFonts w:eastAsia="Calibri" w:cs="Arial"/>
          <w:iCs/>
        </w:rPr>
        <w:t>variable only applies to direct install replacement of the recycled refrigerator or freezer unit.</w:t>
      </w:r>
    </w:p>
    <w:p w14:paraId="3D4F095A" w14:textId="77777777" w:rsidR="004E6452" w:rsidRPr="001570EA" w:rsidRDefault="004E6452" w:rsidP="004E6452">
      <w:pPr>
        <w:rPr>
          <w:rFonts w:eastAsia="Calibri" w:cs="Arial"/>
          <w:sz w:val="16"/>
          <w:szCs w:val="16"/>
        </w:rPr>
      </w:pPr>
    </w:p>
    <w:p w14:paraId="1C26A534" w14:textId="77777777" w:rsidR="004E6452" w:rsidRPr="003F5B51" w:rsidRDefault="003B5E04" w:rsidP="004E6452">
      <w:pPr>
        <w:rPr>
          <w:rFonts w:cs="Arial"/>
        </w:rPr>
      </w:pPr>
      <m:oMathPara>
        <m:oMathParaPr>
          <m:jc m:val="left"/>
        </m:oMathParaPr>
        <m:oMath>
          <m:sSub>
            <m:sSubPr>
              <m:ctrlPr>
                <w:rPr>
                  <w:rFonts w:ascii="Cambria Math" w:hAnsi="Cambria Math" w:cs="Arial"/>
                  <w:i/>
                </w:rPr>
              </m:ctrlPr>
            </m:sSubPr>
            <m:e>
              <m:r>
                <w:rPr>
                  <w:rFonts w:ascii="Cambria Math" w:hAnsi="Cambria Math" w:cs="Arial"/>
                </w:rPr>
                <m:t>UEC</m:t>
              </m:r>
            </m:e>
            <m:sub>
              <m:r>
                <w:rPr>
                  <w:rFonts w:ascii="Cambria Math" w:hAnsi="Cambria Math" w:cs="Arial"/>
                </w:rPr>
                <m:t>Refrigerator</m:t>
              </m:r>
            </m:sub>
          </m:sSub>
          <m:r>
            <w:rPr>
              <w:rFonts w:ascii="Cambria Math" w:hAnsi="Cambria Math" w:cs="Arial"/>
            </w:rPr>
            <m:t xml:space="preserve"> = 365.25 days×</m:t>
          </m:r>
          <m:d>
            <m:dPr>
              <m:ctrlPr>
                <w:rPr>
                  <w:rFonts w:ascii="Cambria Math" w:hAnsi="Cambria Math" w:cs="Arial"/>
                  <w:i/>
                </w:rPr>
              </m:ctrlPr>
            </m:dPr>
            <m:e>
              <m:r>
                <w:rPr>
                  <w:rFonts w:ascii="Cambria Math" w:hAnsi="Cambria Math" w:cs="Arial"/>
                </w:rPr>
                <m:t>0.582+0.027×AGE +1.055×PRE1990+0.067×V –1.977×</m:t>
              </m:r>
              <m:sSub>
                <m:sSubPr>
                  <m:ctrlPr>
                    <w:rPr>
                      <w:rFonts w:ascii="Cambria Math" w:hAnsi="Cambria Math" w:cs="Arial"/>
                      <w:i/>
                    </w:rPr>
                  </m:ctrlPr>
                </m:sSubPr>
                <m:e>
                  <m:r>
                    <w:rPr>
                      <w:rFonts w:ascii="Cambria Math" w:hAnsi="Cambria Math" w:cs="Arial"/>
                    </w:rPr>
                    <m:t>CONFIG</m:t>
                  </m:r>
                </m:e>
                <m:sub>
                  <m:r>
                    <w:rPr>
                      <w:rFonts w:ascii="Cambria Math" w:hAnsi="Cambria Math" w:cs="Arial"/>
                    </w:rPr>
                    <m:t>single-door</m:t>
                  </m:r>
                </m:sub>
              </m:sSub>
              <m:r>
                <w:rPr>
                  <w:rFonts w:ascii="Cambria Math" w:hAnsi="Cambria Math" w:cs="Arial"/>
                </w:rPr>
                <m:t>+1.071×</m:t>
              </m:r>
              <m:sSub>
                <m:sSubPr>
                  <m:ctrlPr>
                    <w:rPr>
                      <w:rFonts w:ascii="Cambria Math" w:hAnsi="Cambria Math" w:cs="Arial"/>
                      <w:i/>
                    </w:rPr>
                  </m:ctrlPr>
                </m:sSubPr>
                <m:e>
                  <m:r>
                    <w:rPr>
                      <w:rFonts w:ascii="Cambria Math" w:hAnsi="Cambria Math" w:cs="Arial"/>
                    </w:rPr>
                    <m:t>CONFIG</m:t>
                  </m:r>
                </m:e>
                <m:sub>
                  <m:r>
                    <w:rPr>
                      <w:rFonts w:ascii="Cambria Math" w:hAnsi="Cambria Math" w:cs="Arial"/>
                    </w:rPr>
                    <m:t>side-by-side</m:t>
                  </m:r>
                </m:sub>
              </m:sSub>
              <m:r>
                <w:rPr>
                  <w:rFonts w:ascii="Cambria Math" w:hAnsi="Cambria Math" w:cs="Arial"/>
                </w:rPr>
                <m:t>+0.605×PRIMARY+0.02×</m:t>
              </m:r>
              <m:d>
                <m:dPr>
                  <m:ctrlPr>
                    <w:rPr>
                      <w:rFonts w:ascii="Cambria Math" w:hAnsi="Cambria Math" w:cs="Arial"/>
                      <w:i/>
                    </w:rPr>
                  </m:ctrlPr>
                </m:dPr>
                <m:e>
                  <m:r>
                    <w:rPr>
                      <w:rFonts w:ascii="Cambria Math" w:hAnsi="Cambria Math" w:cs="Arial"/>
                    </w:rPr>
                    <m:t>UNCONDITIONED×CDD÷365.25</m:t>
                  </m:r>
                  <m:f>
                    <m:fPr>
                      <m:ctrlPr>
                        <w:rPr>
                          <w:rFonts w:ascii="Cambria Math" w:hAnsi="Cambria Math" w:cs="Arial"/>
                          <w:i/>
                        </w:rPr>
                      </m:ctrlPr>
                    </m:fPr>
                    <m:num>
                      <m:r>
                        <w:rPr>
                          <w:rFonts w:ascii="Cambria Math" w:hAnsi="Cambria Math" w:cs="Arial"/>
                        </w:rPr>
                        <m:t>days</m:t>
                      </m:r>
                    </m:num>
                    <m:den>
                      <m:r>
                        <w:rPr>
                          <w:rFonts w:ascii="Cambria Math" w:hAnsi="Cambria Math" w:cs="Arial"/>
                        </w:rPr>
                        <m:t>year</m:t>
                      </m:r>
                    </m:den>
                  </m:f>
                </m:e>
              </m:d>
              <m:r>
                <w:rPr>
                  <w:rFonts w:ascii="Cambria Math" w:hAnsi="Cambria Math" w:cs="Arial"/>
                </w:rPr>
                <m:t>-0.045×</m:t>
              </m:r>
              <m:d>
                <m:dPr>
                  <m:ctrlPr>
                    <w:rPr>
                      <w:rFonts w:ascii="Cambria Math" w:hAnsi="Cambria Math" w:cs="Arial"/>
                      <w:i/>
                    </w:rPr>
                  </m:ctrlPr>
                </m:dPr>
                <m:e>
                  <m:r>
                    <w:rPr>
                      <w:rFonts w:ascii="Cambria Math" w:hAnsi="Cambria Math" w:cs="Arial"/>
                    </w:rPr>
                    <m:t>UNCONDITIONED×HDD÷365.25</m:t>
                  </m:r>
                  <m:f>
                    <m:fPr>
                      <m:ctrlPr>
                        <w:rPr>
                          <w:rFonts w:ascii="Cambria Math" w:hAnsi="Cambria Math" w:cs="Arial"/>
                          <w:i/>
                        </w:rPr>
                      </m:ctrlPr>
                    </m:fPr>
                    <m:num>
                      <m:r>
                        <w:rPr>
                          <w:rFonts w:ascii="Cambria Math" w:hAnsi="Cambria Math" w:cs="Arial"/>
                        </w:rPr>
                        <m:t>days</m:t>
                      </m:r>
                    </m:num>
                    <m:den>
                      <m:r>
                        <w:rPr>
                          <w:rFonts w:ascii="Cambria Math" w:hAnsi="Cambria Math" w:cs="Arial"/>
                        </w:rPr>
                        <m:t>year</m:t>
                      </m:r>
                    </m:den>
                  </m:f>
                </m:e>
              </m:d>
              <m:r>
                <w:rPr>
                  <w:rFonts w:ascii="Cambria Math" w:hAnsi="Cambria Math" w:cs="Arial"/>
                </w:rPr>
                <m:t xml:space="preserve"> </m:t>
              </m:r>
            </m:e>
          </m:d>
        </m:oMath>
      </m:oMathPara>
    </w:p>
    <w:p w14:paraId="119C77C3" w14:textId="77777777" w:rsidR="004E6452" w:rsidRPr="001570EA" w:rsidRDefault="004E6452" w:rsidP="004E6452">
      <w:pPr>
        <w:rPr>
          <w:rFonts w:cs="Arial"/>
          <w:sz w:val="16"/>
          <w:szCs w:val="16"/>
        </w:rPr>
      </w:pPr>
    </w:p>
    <w:p w14:paraId="3AAB2C56" w14:textId="77777777" w:rsidR="004E6452" w:rsidRPr="001570EA" w:rsidRDefault="003B5E04" w:rsidP="004E6452">
      <w:pPr>
        <w:ind w:hanging="90"/>
        <w:rPr>
          <w:rFonts w:cs="Arial"/>
        </w:rPr>
      </w:pPr>
      <m:oMathPara>
        <m:oMathParaPr>
          <m:jc m:val="left"/>
        </m:oMathParaPr>
        <m:oMath>
          <m:sSub>
            <m:sSubPr>
              <m:ctrlPr>
                <w:rPr>
                  <w:rFonts w:ascii="Cambria Math" w:hAnsi="Cambria Math" w:cs="Arial"/>
                  <w:i/>
                </w:rPr>
              </m:ctrlPr>
            </m:sSubPr>
            <m:e>
              <m:r>
                <w:rPr>
                  <w:rFonts w:ascii="Cambria Math" w:hAnsi="Cambria Math" w:cs="Arial"/>
                </w:rPr>
                <m:t>UEC</m:t>
              </m:r>
            </m:e>
            <m:sub>
              <m:r>
                <w:rPr>
                  <w:rFonts w:ascii="Cambria Math" w:hAnsi="Cambria Math" w:cs="Arial"/>
                </w:rPr>
                <m:t>Freezer</m:t>
              </m:r>
            </m:sub>
          </m:sSub>
          <m:r>
            <w:rPr>
              <w:rFonts w:ascii="Cambria Math" w:hAnsi="Cambria Math" w:cs="Arial"/>
            </w:rPr>
            <m:t>= 365.25 days×</m:t>
          </m:r>
          <m:d>
            <m:dPr>
              <m:ctrlPr>
                <w:rPr>
                  <w:rFonts w:ascii="Cambria Math" w:hAnsi="Cambria Math" w:cs="Arial"/>
                  <w:i/>
                </w:rPr>
              </m:ctrlPr>
            </m:dPr>
            <m:e>
              <m:r>
                <w:rPr>
                  <w:rFonts w:ascii="Cambria Math" w:hAnsi="Cambria Math" w:cs="Arial"/>
                </w:rPr>
                <m:t>-0.955+0.0454×AGE +0.543×PRE</m:t>
              </m:r>
              <m:r>
                <m:rPr>
                  <m:sty m:val="p"/>
                </m:rPr>
                <w:rPr>
                  <w:rFonts w:ascii="Cambria Math" w:hAnsi="Cambria Math" w:cs="Arial"/>
                </w:rPr>
                <m:t>1990</m:t>
              </m:r>
              <m:r>
                <w:rPr>
                  <w:rFonts w:ascii="Cambria Math" w:hAnsi="Cambria Math" w:cs="Arial"/>
                </w:rPr>
                <m:t>+0.120×V+0.298×</m:t>
              </m:r>
              <m:sSub>
                <m:sSubPr>
                  <m:ctrlPr>
                    <w:rPr>
                      <w:rFonts w:ascii="Cambria Math" w:hAnsi="Cambria Math" w:cs="Arial"/>
                      <w:i/>
                    </w:rPr>
                  </m:ctrlPr>
                </m:sSubPr>
                <m:e>
                  <m:r>
                    <w:rPr>
                      <w:rFonts w:ascii="Cambria Math" w:hAnsi="Cambria Math" w:cs="Arial"/>
                    </w:rPr>
                    <m:t>CONFIG</m:t>
                  </m:r>
                </m:e>
                <m:sub>
                  <m:r>
                    <w:rPr>
                      <w:rFonts w:ascii="Cambria Math" w:hAnsi="Cambria Math" w:cs="Arial"/>
                    </w:rPr>
                    <m:t>chest</m:t>
                  </m:r>
                </m:sub>
              </m:sSub>
              <m:r>
                <w:rPr>
                  <w:rFonts w:ascii="Cambria Math" w:hAnsi="Cambria Math" w:cs="Arial"/>
                </w:rPr>
                <m:t>+0.082×</m:t>
              </m:r>
              <m:d>
                <m:dPr>
                  <m:ctrlPr>
                    <w:rPr>
                      <w:rFonts w:ascii="Cambria Math" w:hAnsi="Cambria Math" w:cs="Arial"/>
                      <w:i/>
                    </w:rPr>
                  </m:ctrlPr>
                </m:dPr>
                <m:e>
                  <m:r>
                    <w:rPr>
                      <w:rFonts w:ascii="Cambria Math" w:hAnsi="Cambria Math" w:cs="Arial"/>
                    </w:rPr>
                    <m:t>UNCONDITIONED×CDD÷365.25</m:t>
                  </m:r>
                  <m:f>
                    <m:fPr>
                      <m:ctrlPr>
                        <w:rPr>
                          <w:rFonts w:ascii="Cambria Math" w:hAnsi="Cambria Math" w:cs="Arial"/>
                          <w:i/>
                        </w:rPr>
                      </m:ctrlPr>
                    </m:fPr>
                    <m:num>
                      <m:r>
                        <w:rPr>
                          <w:rFonts w:ascii="Cambria Math" w:hAnsi="Cambria Math" w:cs="Arial"/>
                        </w:rPr>
                        <m:t>days</m:t>
                      </m:r>
                    </m:num>
                    <m:den>
                      <m:r>
                        <w:rPr>
                          <w:rFonts w:ascii="Cambria Math" w:hAnsi="Cambria Math" w:cs="Arial"/>
                        </w:rPr>
                        <m:t>year</m:t>
                      </m:r>
                    </m:den>
                  </m:f>
                </m:e>
              </m:d>
              <m:r>
                <w:rPr>
                  <w:rFonts w:ascii="Cambria Math" w:hAnsi="Cambria Math" w:cs="Arial"/>
                </w:rPr>
                <m:t>-0.031×</m:t>
              </m:r>
              <m:d>
                <m:dPr>
                  <m:ctrlPr>
                    <w:rPr>
                      <w:rFonts w:ascii="Cambria Math" w:hAnsi="Cambria Math" w:cs="Arial"/>
                      <w:i/>
                    </w:rPr>
                  </m:ctrlPr>
                </m:dPr>
                <m:e>
                  <m:r>
                    <w:rPr>
                      <w:rFonts w:ascii="Cambria Math" w:hAnsi="Cambria Math" w:cs="Arial"/>
                    </w:rPr>
                    <m:t>UNCONDITIONED×HDD÷365.25</m:t>
                  </m:r>
                  <m:f>
                    <m:fPr>
                      <m:ctrlPr>
                        <w:rPr>
                          <w:rFonts w:ascii="Cambria Math" w:hAnsi="Cambria Math" w:cs="Arial"/>
                          <w:i/>
                        </w:rPr>
                      </m:ctrlPr>
                    </m:fPr>
                    <m:num>
                      <m:r>
                        <w:rPr>
                          <w:rFonts w:ascii="Cambria Math" w:hAnsi="Cambria Math" w:cs="Arial"/>
                        </w:rPr>
                        <m:t>days</m:t>
                      </m:r>
                    </m:num>
                    <m:den>
                      <m:r>
                        <w:rPr>
                          <w:rFonts w:ascii="Cambria Math" w:hAnsi="Cambria Math" w:cs="Arial"/>
                        </w:rPr>
                        <m:t>year</m:t>
                      </m:r>
                    </m:den>
                  </m:f>
                </m:e>
              </m:d>
            </m:e>
          </m:d>
        </m:oMath>
      </m:oMathPara>
    </w:p>
    <w:p w14:paraId="53D0B76F" w14:textId="77777777" w:rsidR="004E6452" w:rsidRPr="001570EA" w:rsidRDefault="004E6452" w:rsidP="004E6452">
      <w:pPr>
        <w:rPr>
          <w:rFonts w:cs="Arial"/>
        </w:rPr>
      </w:pPr>
    </w:p>
    <w:p w14:paraId="0919EF26" w14:textId="77777777" w:rsidR="004E6452" w:rsidRPr="001570EA" w:rsidRDefault="004E6452" w:rsidP="004E6452">
      <w:pPr>
        <w:spacing w:before="120"/>
        <w:rPr>
          <w:rFonts w:cs="Arial"/>
          <w:b/>
        </w:rPr>
      </w:pPr>
      <w:r w:rsidRPr="001570EA">
        <w:rPr>
          <w:rFonts w:cs="Arial"/>
          <w:b/>
        </w:rPr>
        <w:t>Part-Use Factor</w:t>
      </w:r>
    </w:p>
    <w:p w14:paraId="42F845C5" w14:textId="77777777" w:rsidR="004E6452" w:rsidRPr="001570EA" w:rsidRDefault="004E6452" w:rsidP="004E6452">
      <w:pPr>
        <w:rPr>
          <w:rFonts w:cs="Arial"/>
        </w:rPr>
      </w:pPr>
      <w:r w:rsidRPr="001570EA">
        <w:rPr>
          <w:rFonts w:cs="Arial"/>
        </w:rPr>
        <w:t>When calculating default per unit kWh savings for a removed refrigerator or freezer, it is necessary to calculate and apply a “Part-Use” factor. “Part-use” is an appliance recycling-specific adjustment factor used to convert the UEC (determined through the methods detailed above) into an average per-unit deemed savings value. The UEC itself is not equal to the default savings value, because: (1) the UEC model yields an estimate of annual consumption, and (2) not all recycled refrigerators and freezers would have operated year-round had they not been decommissioned through the program.</w:t>
      </w:r>
    </w:p>
    <w:p w14:paraId="49995C8D" w14:textId="77777777" w:rsidR="004E6452" w:rsidRPr="001570EA" w:rsidRDefault="004E6452" w:rsidP="004E6452">
      <w:pPr>
        <w:rPr>
          <w:rFonts w:cs="Arial"/>
        </w:rPr>
      </w:pPr>
    </w:p>
    <w:p w14:paraId="1B8059BA" w14:textId="77777777" w:rsidR="004E6452" w:rsidRPr="001570EA" w:rsidRDefault="004E6452" w:rsidP="004E6452">
      <w:pPr>
        <w:rPr>
          <w:rFonts w:cs="Arial"/>
        </w:rPr>
      </w:pPr>
      <w:r w:rsidRPr="001570EA">
        <w:rPr>
          <w:rFonts w:cs="Arial"/>
        </w:rPr>
        <w:t>In Program Year 8, the Commission determined that the average removed refrigerator was plugged in and used 72.8% of the year and the average freezer was plugged in and used 84.5% of the year.</w:t>
      </w:r>
      <w:r w:rsidRPr="001570EA">
        <w:rPr>
          <w:rFonts w:cs="Arial"/>
          <w:vertAlign w:val="superscript"/>
        </w:rPr>
        <w:t xml:space="preserve">Source 3 </w:t>
      </w:r>
      <w:r w:rsidRPr="001570EA">
        <w:rPr>
          <w:rFonts w:cs="Arial"/>
        </w:rPr>
        <w:t xml:space="preserve">These are the default values for the part-use factor. EDCs may elect to calculate an EDC-specific part-use factor for a specific program year. In the event an EDC desires to calculate an EDC-specific part-use factor, EDCs should use the methodology described in section 4.4 of the </w:t>
      </w:r>
      <w:r w:rsidRPr="001570EA">
        <w:t>DOE, Uniform Methods Project protocol.</w:t>
      </w:r>
      <w:r w:rsidRPr="001570EA">
        <w:rPr>
          <w:vertAlign w:val="superscript"/>
        </w:rPr>
        <w:t>Source 2</w:t>
      </w:r>
    </w:p>
    <w:p w14:paraId="25FEF982" w14:textId="77777777" w:rsidR="004E6452" w:rsidRPr="001570EA" w:rsidRDefault="004E6452" w:rsidP="004E6452">
      <w:pPr>
        <w:rPr>
          <w:rFonts w:eastAsia="Calibri" w:cs="Arial"/>
        </w:rPr>
      </w:pPr>
    </w:p>
    <w:p w14:paraId="41B6A7E6" w14:textId="77777777" w:rsidR="004E6452" w:rsidRPr="001570EA" w:rsidRDefault="004E6452" w:rsidP="004E6452">
      <w:pPr>
        <w:spacing w:after="120" w:line="264" w:lineRule="auto"/>
        <w:rPr>
          <w:b/>
        </w:rPr>
      </w:pPr>
      <w:r w:rsidRPr="001570EA">
        <w:rPr>
          <w:b/>
        </w:rPr>
        <w:t>Peak Demand Savings</w:t>
      </w:r>
    </w:p>
    <w:p w14:paraId="1753FAD3" w14:textId="77777777" w:rsidR="004E6452" w:rsidRPr="001570EA" w:rsidRDefault="004E6452" w:rsidP="004E6452">
      <w:pPr>
        <w:spacing w:after="120" w:line="264" w:lineRule="auto"/>
      </w:pPr>
      <w:r w:rsidRPr="001570EA">
        <w:t>Use the below algorithms to calculate peak demand savings.</w:t>
      </w:r>
    </w:p>
    <w:p w14:paraId="0BCA2315" w14:textId="77777777" w:rsidR="004E6452" w:rsidRPr="001570EA" w:rsidRDefault="004E6452" w:rsidP="004E6452">
      <w:pPr>
        <w:spacing w:after="120" w:line="264" w:lineRule="auto"/>
        <w:rPr>
          <w:rFonts w:cs="Arial"/>
          <w:oMath/>
        </w:rPr>
      </w:pPr>
      <w:r w:rsidRPr="001570EA">
        <w:rPr>
          <w:rFonts w:cs="Arial"/>
          <w:i/>
        </w:rPr>
        <w:t>ΔkW</w:t>
      </w:r>
      <w:r w:rsidRPr="001570EA">
        <w:rPr>
          <w:rFonts w:cs="Arial"/>
          <w:i/>
          <w:vertAlign w:val="subscript"/>
        </w:rPr>
        <w:t>summer</w:t>
      </w:r>
      <w:r w:rsidRPr="001570EA">
        <w:rPr>
          <w:rFonts w:cs="Arial"/>
          <w:i/>
        </w:rPr>
        <w:t xml:space="preserve"> </w:t>
      </w:r>
      <w:r w:rsidRPr="001570EA">
        <w:rPr>
          <w:rFonts w:cs="Arial"/>
          <w:i/>
          <w:vertAlign w:val="subscript"/>
        </w:rPr>
        <w:t>peak</w:t>
      </w:r>
      <w:r w:rsidRPr="001570EA">
        <w:rPr>
          <w:rFonts w:cs="Arial"/>
          <w:i/>
          <w:vertAlign w:val="subscript"/>
        </w:rPr>
        <w:tab/>
      </w:r>
      <w:r w:rsidRPr="001570EA">
        <w:rPr>
          <w:rFonts w:cs="Arial"/>
          <w:i/>
          <w:vertAlign w:val="subscript"/>
        </w:rPr>
        <w:tab/>
      </w:r>
      <w:r w:rsidRPr="001570EA">
        <w:rPr>
          <w:rFonts w:cs="Arial"/>
          <w:i/>
          <w:vertAlign w:val="subscript"/>
        </w:rPr>
        <w:tab/>
      </w:r>
      <m:oMath>
        <m:r>
          <w:rPr>
            <w:rFonts w:ascii="Cambria Math" w:hAnsi="Cambria Math" w:cs="Arial"/>
          </w:rPr>
          <m:t>=∆kWh×</m:t>
        </m:r>
        <m:sSub>
          <m:sSubPr>
            <m:ctrlPr>
              <w:rPr>
                <w:rFonts w:ascii="Cambria Math" w:hAnsi="Cambria Math" w:cs="Arial"/>
                <w:i/>
              </w:rPr>
            </m:ctrlPr>
          </m:sSubPr>
          <m:e>
            <m:r>
              <w:rPr>
                <w:rFonts w:ascii="Cambria Math" w:hAnsi="Cambria Math" w:cs="Arial"/>
              </w:rPr>
              <m:t>ETDF</m:t>
            </m:r>
          </m:e>
          <m:sub>
            <m:r>
              <w:rPr>
                <w:rFonts w:ascii="Cambria Math" w:hAnsi="Cambria Math" w:cs="Arial"/>
              </w:rPr>
              <m:t>s</m:t>
            </m:r>
          </m:sub>
        </m:sSub>
      </m:oMath>
    </w:p>
    <w:p w14:paraId="64B09978" w14:textId="77777777" w:rsidR="004E6452" w:rsidRPr="001570EA" w:rsidRDefault="004E6452" w:rsidP="004E6452">
      <w:pPr>
        <w:spacing w:after="120" w:line="264" w:lineRule="auto"/>
        <w:rPr>
          <w:rFonts w:cs="Arial"/>
          <w:i/>
        </w:rPr>
      </w:pPr>
      <w:r w:rsidRPr="001570EA">
        <w:rPr>
          <w:rFonts w:cs="Arial"/>
          <w:i/>
        </w:rPr>
        <w:t>ΔkW</w:t>
      </w:r>
      <w:r w:rsidRPr="001570EA">
        <w:rPr>
          <w:rFonts w:cs="Arial"/>
          <w:i/>
          <w:vertAlign w:val="subscript"/>
        </w:rPr>
        <w:t>winter</w:t>
      </w:r>
      <w:r w:rsidRPr="001570EA">
        <w:rPr>
          <w:rFonts w:cs="Arial"/>
          <w:i/>
        </w:rPr>
        <w:t xml:space="preserve"> </w:t>
      </w:r>
      <w:r w:rsidRPr="001570EA">
        <w:rPr>
          <w:rFonts w:cs="Arial"/>
          <w:i/>
          <w:vertAlign w:val="subscript"/>
        </w:rPr>
        <w:t>peak</w:t>
      </w:r>
      <w:r w:rsidRPr="001570EA">
        <w:rPr>
          <w:rFonts w:cs="Arial"/>
          <w:i/>
          <w:vertAlign w:val="subscript"/>
        </w:rPr>
        <w:tab/>
      </w:r>
      <w:r w:rsidRPr="001570EA">
        <w:rPr>
          <w:rFonts w:cs="Arial"/>
          <w:i/>
          <w:vertAlign w:val="subscript"/>
        </w:rPr>
        <w:tab/>
      </w:r>
      <w:r w:rsidRPr="001570EA">
        <w:rPr>
          <w:rFonts w:cs="Arial"/>
          <w:i/>
          <w:vertAlign w:val="subscript"/>
        </w:rPr>
        <w:tab/>
      </w:r>
      <m:oMath>
        <m:r>
          <w:rPr>
            <w:rFonts w:ascii="Cambria Math" w:hAnsi="Cambria Math" w:cs="Arial"/>
          </w:rPr>
          <m:t>=∆kWh×</m:t>
        </m:r>
        <m:sSub>
          <m:sSubPr>
            <m:ctrlPr>
              <w:rPr>
                <w:rFonts w:ascii="Cambria Math" w:hAnsi="Cambria Math" w:cs="Arial"/>
                <w:i/>
              </w:rPr>
            </m:ctrlPr>
          </m:sSubPr>
          <m:e>
            <m:r>
              <w:rPr>
                <w:rFonts w:ascii="Cambria Math" w:hAnsi="Cambria Math" w:cs="Arial"/>
              </w:rPr>
              <m:t>ETDF</m:t>
            </m:r>
          </m:e>
          <m:sub>
            <m:r>
              <w:rPr>
                <w:rFonts w:ascii="Cambria Math" w:hAnsi="Cambria Math" w:cs="Arial"/>
              </w:rPr>
              <m:t>w</m:t>
            </m:r>
          </m:sub>
        </m:sSub>
      </m:oMath>
    </w:p>
    <w:p w14:paraId="65FC7D50" w14:textId="77777777" w:rsidR="004E6452" w:rsidRPr="001570EA" w:rsidRDefault="004E6452" w:rsidP="004E6452">
      <w:pPr>
        <w:pStyle w:val="SubStyle"/>
      </w:pPr>
      <w:r w:rsidRPr="001570EA">
        <w:t>Definition of Terms</w:t>
      </w:r>
    </w:p>
    <w:p w14:paraId="22605568" w14:textId="4B10D99B" w:rsidR="004E6452" w:rsidRPr="001570EA" w:rsidRDefault="004E6452" w:rsidP="004E6452">
      <w:pPr>
        <w:pStyle w:val="Caption"/>
        <w:keepNext w:val="0"/>
      </w:pPr>
      <w:bookmarkStart w:id="568" w:name="_Toc530141738"/>
      <w:bookmarkStart w:id="569" w:name="_Toc4759832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92</w:t>
      </w:r>
      <w:r w:rsidR="002E093A" w:rsidRPr="001570EA">
        <w:fldChar w:fldCharType="end"/>
      </w:r>
      <w:r w:rsidRPr="001570EA">
        <w:t>: Terms</w:t>
      </w:r>
      <w:r w:rsidRPr="001570EA">
        <w:rPr>
          <w:rFonts w:cs="Arial"/>
        </w:rPr>
        <w:t>, Values, and References for</w:t>
      </w:r>
      <w:r w:rsidRPr="001570EA">
        <w:t xml:space="preserve"> Refrigerator and Freezer Recycling</w:t>
      </w:r>
      <w:bookmarkEnd w:id="568"/>
      <w:bookmarkEnd w:id="569"/>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1184"/>
        <w:gridCol w:w="2361"/>
        <w:gridCol w:w="1057"/>
      </w:tblGrid>
      <w:tr w:rsidR="004E6452" w:rsidRPr="001570EA" w14:paraId="200BC403" w14:textId="77777777">
        <w:tc>
          <w:tcPr>
            <w:tcW w:w="2261" w:type="pct"/>
            <w:shd w:val="clear" w:color="auto" w:fill="BFBFBF"/>
          </w:tcPr>
          <w:p w14:paraId="64B94D79" w14:textId="77777777" w:rsidR="004E6452" w:rsidRPr="001570EA" w:rsidRDefault="004E6452">
            <w:pPr>
              <w:pStyle w:val="TableCell"/>
              <w:keepNext w:val="0"/>
              <w:spacing w:before="60" w:after="60"/>
              <w:jc w:val="left"/>
              <w:rPr>
                <w:b/>
              </w:rPr>
            </w:pPr>
            <w:r w:rsidRPr="001570EA">
              <w:rPr>
                <w:b/>
              </w:rPr>
              <w:t>Term</w:t>
            </w:r>
          </w:p>
        </w:tc>
        <w:tc>
          <w:tcPr>
            <w:tcW w:w="717" w:type="pct"/>
            <w:shd w:val="clear" w:color="auto" w:fill="BFBFBF"/>
          </w:tcPr>
          <w:p w14:paraId="33DDFADE" w14:textId="77777777" w:rsidR="004E6452" w:rsidRPr="001570EA" w:rsidRDefault="004E6452">
            <w:pPr>
              <w:pStyle w:val="TableCell"/>
              <w:keepNext w:val="0"/>
              <w:spacing w:before="60" w:after="60"/>
              <w:jc w:val="center"/>
              <w:rPr>
                <w:b/>
              </w:rPr>
            </w:pPr>
            <w:r w:rsidRPr="001570EA">
              <w:rPr>
                <w:b/>
              </w:rPr>
              <w:t>Unit</w:t>
            </w:r>
          </w:p>
        </w:tc>
        <w:tc>
          <w:tcPr>
            <w:tcW w:w="1420" w:type="pct"/>
            <w:shd w:val="clear" w:color="auto" w:fill="BFBFBF"/>
          </w:tcPr>
          <w:p w14:paraId="65EDDD4E" w14:textId="77777777" w:rsidR="004E6452" w:rsidRPr="001570EA" w:rsidRDefault="004E6452">
            <w:pPr>
              <w:pStyle w:val="TableCell"/>
              <w:keepNext w:val="0"/>
              <w:spacing w:before="60" w:after="60"/>
              <w:jc w:val="center"/>
              <w:rPr>
                <w:b/>
              </w:rPr>
            </w:pPr>
            <w:r w:rsidRPr="001570EA">
              <w:rPr>
                <w:b/>
              </w:rPr>
              <w:t>Values</w:t>
            </w:r>
          </w:p>
        </w:tc>
        <w:tc>
          <w:tcPr>
            <w:tcW w:w="601" w:type="pct"/>
            <w:shd w:val="clear" w:color="auto" w:fill="BFBFBF"/>
          </w:tcPr>
          <w:p w14:paraId="714FDE30" w14:textId="77777777" w:rsidR="004E6452" w:rsidRPr="001570EA" w:rsidRDefault="004E6452">
            <w:pPr>
              <w:pStyle w:val="TableCell"/>
              <w:keepNext w:val="0"/>
              <w:spacing w:before="60" w:after="60"/>
              <w:jc w:val="center"/>
              <w:rPr>
                <w:b/>
              </w:rPr>
            </w:pPr>
            <w:r w:rsidRPr="001570EA">
              <w:rPr>
                <w:b/>
              </w:rPr>
              <w:t>Source</w:t>
            </w:r>
          </w:p>
        </w:tc>
      </w:tr>
      <w:tr w:rsidR="004E6452" w:rsidRPr="001570EA" w14:paraId="5E224595" w14:textId="77777777">
        <w:tc>
          <w:tcPr>
            <w:tcW w:w="2261" w:type="pct"/>
          </w:tcPr>
          <w:p w14:paraId="7E6B6234" w14:textId="5B06E877" w:rsidR="004E6452" w:rsidRPr="001570EA" w:rsidRDefault="004E6452">
            <w:pPr>
              <w:pStyle w:val="TableCell"/>
              <w:keepNext w:val="0"/>
              <w:spacing w:before="0" w:after="0"/>
              <w:jc w:val="left"/>
              <w:rPr>
                <w:rFonts w:cs="Arial"/>
                <w:iCs/>
              </w:rPr>
            </w:pPr>
            <w:r w:rsidRPr="001570EA">
              <w:rPr>
                <w:rFonts w:cs="Arial"/>
                <w:i/>
                <w:iCs/>
              </w:rPr>
              <w:t>N</w:t>
            </w:r>
            <w:r w:rsidRPr="001570EA">
              <w:rPr>
                <w:rFonts w:cs="Arial"/>
                <w:iCs/>
              </w:rPr>
              <w:t>, The number of refrigerators or freezers recycled through the program</w:t>
            </w:r>
          </w:p>
        </w:tc>
        <w:tc>
          <w:tcPr>
            <w:tcW w:w="717" w:type="pct"/>
            <w:vAlign w:val="center"/>
          </w:tcPr>
          <w:p w14:paraId="78A37127" w14:textId="77777777" w:rsidR="004E6452" w:rsidRPr="001570EA" w:rsidRDefault="004E6452">
            <w:pPr>
              <w:pStyle w:val="TableCell"/>
              <w:keepNext w:val="0"/>
              <w:spacing w:before="0" w:after="0"/>
              <w:jc w:val="center"/>
              <w:rPr>
                <w:i/>
              </w:rPr>
            </w:pPr>
            <w:r w:rsidRPr="001570EA">
              <w:rPr>
                <w:i/>
              </w:rPr>
              <w:t>None</w:t>
            </w:r>
          </w:p>
        </w:tc>
        <w:tc>
          <w:tcPr>
            <w:tcW w:w="1420" w:type="pct"/>
            <w:vAlign w:val="center"/>
          </w:tcPr>
          <w:p w14:paraId="3138E692" w14:textId="77777777" w:rsidR="004E6452" w:rsidRPr="001570EA" w:rsidRDefault="004E6452">
            <w:pPr>
              <w:pStyle w:val="TableCell"/>
              <w:keepNext w:val="0"/>
              <w:spacing w:before="0" w:after="0"/>
              <w:jc w:val="center"/>
            </w:pPr>
            <w:r w:rsidRPr="001570EA">
              <w:t>EDC Data Gathering</w:t>
            </w:r>
          </w:p>
        </w:tc>
        <w:tc>
          <w:tcPr>
            <w:tcW w:w="601" w:type="pct"/>
            <w:vAlign w:val="center"/>
          </w:tcPr>
          <w:p w14:paraId="6EF23D30" w14:textId="77777777" w:rsidR="004E6452" w:rsidRPr="001570EA" w:rsidRDefault="004E6452">
            <w:pPr>
              <w:pStyle w:val="TableCell"/>
              <w:keepNext w:val="0"/>
              <w:spacing w:before="0" w:after="0"/>
              <w:jc w:val="center"/>
            </w:pPr>
            <w:r w:rsidRPr="001570EA">
              <w:t>EDC Data Gathering</w:t>
            </w:r>
          </w:p>
        </w:tc>
      </w:tr>
      <w:tr w:rsidR="004E6452" w:rsidRPr="001570EA" w14:paraId="54AEE9C6" w14:textId="77777777">
        <w:tc>
          <w:tcPr>
            <w:tcW w:w="2261" w:type="pct"/>
            <w:vAlign w:val="center"/>
          </w:tcPr>
          <w:p w14:paraId="63D45BBD" w14:textId="3311065B" w:rsidR="004E6452" w:rsidRPr="001570EA" w:rsidRDefault="004E6452">
            <w:pPr>
              <w:pStyle w:val="TableCell"/>
              <w:keepNext w:val="0"/>
              <w:spacing w:before="0" w:after="0"/>
              <w:jc w:val="left"/>
            </w:pPr>
            <w:r w:rsidRPr="001570EA">
              <w:rPr>
                <w:rFonts w:cs="Arial"/>
                <w:i/>
                <w:iCs/>
              </w:rPr>
              <w:t>PART_USE,</w:t>
            </w:r>
            <w:r w:rsidRPr="001570EA">
              <w:rPr>
                <w:rFonts w:cs="Arial"/>
              </w:rPr>
              <w:t xml:space="preserve"> The portion of the year the average refrigerator or freezer would likely have operated if not recycled through the program</w:t>
            </w:r>
          </w:p>
        </w:tc>
        <w:tc>
          <w:tcPr>
            <w:tcW w:w="717" w:type="pct"/>
            <w:vAlign w:val="center"/>
          </w:tcPr>
          <w:p w14:paraId="64D0501A" w14:textId="77777777" w:rsidR="004E6452" w:rsidRPr="001570EA" w:rsidRDefault="004E6452">
            <w:pPr>
              <w:pStyle w:val="TableCell"/>
              <w:keepNext w:val="0"/>
              <w:spacing w:before="0" w:after="0"/>
              <w:jc w:val="center"/>
              <w:rPr>
                <w:i/>
              </w:rPr>
            </w:pPr>
            <w:r w:rsidRPr="001570EA">
              <w:rPr>
                <w:i/>
              </w:rPr>
              <w:t>%</w:t>
            </w:r>
          </w:p>
        </w:tc>
        <w:tc>
          <w:tcPr>
            <w:tcW w:w="1420" w:type="pct"/>
            <w:vAlign w:val="center"/>
          </w:tcPr>
          <w:p w14:paraId="269DEB9C" w14:textId="77777777" w:rsidR="004E6452" w:rsidRPr="001570EA" w:rsidRDefault="004E6452">
            <w:pPr>
              <w:pStyle w:val="TableCell"/>
              <w:keepNext w:val="0"/>
              <w:spacing w:before="0" w:after="0"/>
              <w:jc w:val="center"/>
            </w:pPr>
            <w:r w:rsidRPr="001570EA">
              <w:t>EDC Data Gathering According to Section 4.4 of UMP Protocol</w:t>
            </w:r>
          </w:p>
          <w:p w14:paraId="1364844F" w14:textId="77777777" w:rsidR="004E6452" w:rsidRPr="001570EA" w:rsidRDefault="004E6452">
            <w:pPr>
              <w:pStyle w:val="TableCell"/>
              <w:keepNext w:val="0"/>
              <w:spacing w:before="0" w:after="0"/>
              <w:jc w:val="center"/>
            </w:pPr>
            <w:r w:rsidRPr="001570EA">
              <w:t xml:space="preserve">Default: </w:t>
            </w:r>
            <w:r w:rsidRPr="001570EA">
              <w:br/>
              <w:t>Refrigerator = 72.8%</w:t>
            </w:r>
          </w:p>
          <w:p w14:paraId="12348CDD" w14:textId="77777777" w:rsidR="004E6452" w:rsidRPr="001570EA" w:rsidRDefault="004E6452">
            <w:pPr>
              <w:pStyle w:val="TableCell"/>
              <w:keepNext w:val="0"/>
              <w:spacing w:before="0" w:after="0"/>
              <w:jc w:val="center"/>
            </w:pPr>
            <w:r w:rsidRPr="001570EA">
              <w:t>Freezer = 84.5%</w:t>
            </w:r>
          </w:p>
        </w:tc>
        <w:tc>
          <w:tcPr>
            <w:tcW w:w="601" w:type="pct"/>
            <w:vAlign w:val="center"/>
          </w:tcPr>
          <w:p w14:paraId="050CBCAD" w14:textId="77777777" w:rsidR="004E6452" w:rsidRPr="001570EA" w:rsidRDefault="004E6452">
            <w:pPr>
              <w:pStyle w:val="TableCell"/>
              <w:keepNext w:val="0"/>
              <w:spacing w:before="0" w:after="0"/>
              <w:jc w:val="center"/>
            </w:pPr>
            <w:r w:rsidRPr="001570EA">
              <w:t>EDC Data Gathering,</w:t>
            </w:r>
            <w:r w:rsidRPr="001570EA" w:rsidDel="007B0B4B">
              <w:t xml:space="preserve"> </w:t>
            </w:r>
            <w:r w:rsidRPr="001570EA">
              <w:t>3</w:t>
            </w:r>
          </w:p>
        </w:tc>
      </w:tr>
      <w:tr w:rsidR="004E6452" w:rsidRPr="001570EA" w14:paraId="2349071A" w14:textId="77777777">
        <w:trPr>
          <w:trHeight w:val="77"/>
        </w:trPr>
        <w:tc>
          <w:tcPr>
            <w:tcW w:w="2261" w:type="pct"/>
            <w:vAlign w:val="center"/>
          </w:tcPr>
          <w:p w14:paraId="554B4238" w14:textId="77777777" w:rsidR="004E6452" w:rsidRPr="001570EA" w:rsidRDefault="004E6452">
            <w:pPr>
              <w:pStyle w:val="TableCell"/>
              <w:keepNext w:val="0"/>
              <w:spacing w:before="0" w:after="0"/>
              <w:jc w:val="left"/>
              <w:rPr>
                <w:rFonts w:cs="Arial"/>
                <w:iCs/>
              </w:rPr>
            </w:pPr>
            <w:r w:rsidRPr="001570EA">
              <w:rPr>
                <w:rFonts w:cs="Arial"/>
                <w:i/>
                <w:iCs/>
              </w:rPr>
              <w:t>ETDF</w:t>
            </w:r>
            <w:r w:rsidRPr="001570EA">
              <w:rPr>
                <w:rFonts w:cs="Arial"/>
                <w:i/>
                <w:iCs/>
                <w:vertAlign w:val="subscript"/>
              </w:rPr>
              <w:t>s</w:t>
            </w:r>
            <w:r w:rsidRPr="001570EA">
              <w:rPr>
                <w:rFonts w:cs="Arial"/>
                <w:iCs/>
              </w:rPr>
              <w:t>, Summer Energy to Demand Factor</w:t>
            </w:r>
          </w:p>
        </w:tc>
        <w:tc>
          <w:tcPr>
            <w:tcW w:w="717" w:type="pct"/>
            <w:vAlign w:val="center"/>
          </w:tcPr>
          <w:p w14:paraId="433850C2" w14:textId="77777777" w:rsidR="004E6452" w:rsidRPr="001570EA" w:rsidRDefault="003B5E04">
            <w:pPr>
              <w:pStyle w:val="TableCell"/>
              <w:keepNext w:val="0"/>
              <w:spacing w:before="0" w:after="0"/>
              <w:jc w:val="center"/>
            </w:pPr>
            <m:oMathPara>
              <m:oMath>
                <m:f>
                  <m:fPr>
                    <m:ctrlPr>
                      <w:rPr>
                        <w:rFonts w:ascii="Cambria Math" w:hAnsi="Cambria Math" w:cs="Arial"/>
                        <w:i/>
                        <w:color w:val="000000"/>
                        <w:szCs w:val="18"/>
                      </w:rPr>
                    </m:ctrlPr>
                  </m:fPr>
                  <m:num>
                    <m:r>
                      <w:rPr>
                        <w:rFonts w:ascii="Cambria Math" w:hAnsi="Cambria Math" w:cs="Arial"/>
                        <w:color w:val="000000"/>
                        <w:szCs w:val="18"/>
                      </w:rPr>
                      <m:t xml:space="preserve">kW </m:t>
                    </m:r>
                  </m:num>
                  <m:den>
                    <m:f>
                      <m:fPr>
                        <m:type m:val="lin"/>
                        <m:ctrlPr>
                          <w:rPr>
                            <w:rFonts w:ascii="Cambria Math" w:hAnsi="Cambria Math" w:cs="Arial"/>
                            <w:i/>
                            <w:color w:val="000000"/>
                            <w:szCs w:val="18"/>
                          </w:rPr>
                        </m:ctrlPr>
                      </m:fPr>
                      <m:num>
                        <m:r>
                          <w:rPr>
                            <w:rFonts w:ascii="Cambria Math" w:hAnsi="Cambria Math" w:cs="Arial"/>
                            <w:color w:val="000000"/>
                            <w:szCs w:val="18"/>
                          </w:rPr>
                          <m:t>kWh</m:t>
                        </m:r>
                      </m:num>
                      <m:den>
                        <m:r>
                          <w:rPr>
                            <w:rFonts w:ascii="Cambria Math" w:hAnsi="Cambria Math" w:cs="Arial"/>
                            <w:color w:val="000000"/>
                            <w:szCs w:val="18"/>
                          </w:rPr>
                          <m:t>yr</m:t>
                        </m:r>
                      </m:den>
                    </m:f>
                  </m:den>
                </m:f>
              </m:oMath>
            </m:oMathPara>
          </w:p>
        </w:tc>
        <w:tc>
          <w:tcPr>
            <w:tcW w:w="1420" w:type="pct"/>
            <w:vAlign w:val="center"/>
          </w:tcPr>
          <w:p w14:paraId="627F0A53" w14:textId="77777777" w:rsidR="004E6452" w:rsidRPr="001570EA" w:rsidRDefault="004E6452">
            <w:pPr>
              <w:pStyle w:val="TableCell"/>
              <w:keepNext w:val="0"/>
              <w:spacing w:before="0" w:after="0"/>
              <w:jc w:val="center"/>
              <w:rPr>
                <w:rFonts w:cs="Arial"/>
                <w:szCs w:val="18"/>
              </w:rPr>
            </w:pPr>
            <w:r w:rsidRPr="001570EA">
              <w:rPr>
                <w:rFonts w:cs="Arial"/>
                <w:szCs w:val="18"/>
              </w:rPr>
              <w:t>Refrigerator = 0.0001354</w:t>
            </w:r>
          </w:p>
          <w:p w14:paraId="3EBC08EA" w14:textId="77777777" w:rsidR="004E6452" w:rsidRPr="001570EA" w:rsidRDefault="004E6452">
            <w:pPr>
              <w:pStyle w:val="TableCell"/>
              <w:keepNext w:val="0"/>
              <w:spacing w:before="0" w:after="0"/>
              <w:jc w:val="center"/>
            </w:pPr>
            <w:r w:rsidRPr="001570EA">
              <w:t>Freezer = 0.0001387</w:t>
            </w:r>
          </w:p>
        </w:tc>
        <w:tc>
          <w:tcPr>
            <w:tcW w:w="601" w:type="pct"/>
            <w:vAlign w:val="center"/>
          </w:tcPr>
          <w:p w14:paraId="4EAECF06" w14:textId="77777777" w:rsidR="004E6452" w:rsidRPr="001570EA" w:rsidRDefault="004E6452">
            <w:pPr>
              <w:pStyle w:val="TableCell"/>
              <w:keepNext w:val="0"/>
              <w:spacing w:before="0" w:after="0"/>
              <w:jc w:val="center"/>
            </w:pPr>
            <w:r w:rsidRPr="001570EA">
              <w:t>4</w:t>
            </w:r>
          </w:p>
        </w:tc>
      </w:tr>
      <w:tr w:rsidR="004E6452" w:rsidRPr="001570EA" w14:paraId="7AB908A0" w14:textId="77777777">
        <w:trPr>
          <w:trHeight w:val="77"/>
        </w:trPr>
        <w:tc>
          <w:tcPr>
            <w:tcW w:w="2261" w:type="pct"/>
            <w:vAlign w:val="center"/>
          </w:tcPr>
          <w:p w14:paraId="43A235D4" w14:textId="77777777" w:rsidR="004E6452" w:rsidRPr="001570EA" w:rsidRDefault="004E6452">
            <w:pPr>
              <w:pStyle w:val="TableCell"/>
              <w:keepNext w:val="0"/>
              <w:spacing w:before="0" w:after="0"/>
              <w:jc w:val="left"/>
              <w:rPr>
                <w:rFonts w:cs="Arial"/>
              </w:rPr>
            </w:pPr>
            <w:r w:rsidRPr="001570EA">
              <w:rPr>
                <w:rFonts w:cs="Arial"/>
                <w:i/>
                <w:iCs/>
              </w:rPr>
              <w:t>ETDF</w:t>
            </w:r>
            <w:r w:rsidRPr="001570EA">
              <w:rPr>
                <w:rFonts w:cs="Arial"/>
                <w:i/>
                <w:iCs/>
                <w:vertAlign w:val="subscript"/>
              </w:rPr>
              <w:t xml:space="preserve">w </w:t>
            </w:r>
            <w:r w:rsidRPr="001570EA">
              <w:rPr>
                <w:rFonts w:cs="Arial"/>
                <w:i/>
                <w:iCs/>
              </w:rPr>
              <w:t xml:space="preserve">, </w:t>
            </w:r>
            <w:r w:rsidRPr="001570EA">
              <w:rPr>
                <w:rFonts w:cs="Arial"/>
              </w:rPr>
              <w:t>Winter Energy to Demand Factor</w:t>
            </w:r>
          </w:p>
        </w:tc>
        <w:tc>
          <w:tcPr>
            <w:tcW w:w="717" w:type="pct"/>
            <w:vAlign w:val="center"/>
          </w:tcPr>
          <w:p w14:paraId="40F7E77F" w14:textId="77777777" w:rsidR="004E6452" w:rsidRPr="001570EA" w:rsidRDefault="003B5E04">
            <w:pPr>
              <w:pStyle w:val="TableCell"/>
              <w:keepNext w:val="0"/>
              <w:spacing w:before="0" w:after="0"/>
              <w:jc w:val="center"/>
              <w:rPr>
                <w:rFonts w:cs="Arial"/>
                <w:color w:val="000000"/>
                <w:szCs w:val="18"/>
              </w:rPr>
            </w:pPr>
            <m:oMathPara>
              <m:oMath>
                <m:f>
                  <m:fPr>
                    <m:ctrlPr>
                      <w:rPr>
                        <w:rFonts w:ascii="Cambria Math" w:hAnsi="Cambria Math" w:cs="Arial"/>
                        <w:i/>
                        <w:color w:val="000000"/>
                        <w:szCs w:val="18"/>
                      </w:rPr>
                    </m:ctrlPr>
                  </m:fPr>
                  <m:num>
                    <m:r>
                      <w:rPr>
                        <w:rFonts w:ascii="Cambria Math" w:hAnsi="Cambria Math" w:cs="Arial"/>
                        <w:color w:val="000000"/>
                        <w:szCs w:val="18"/>
                      </w:rPr>
                      <m:t xml:space="preserve">kW </m:t>
                    </m:r>
                  </m:num>
                  <m:den>
                    <m:f>
                      <m:fPr>
                        <m:type m:val="lin"/>
                        <m:ctrlPr>
                          <w:rPr>
                            <w:rFonts w:ascii="Cambria Math" w:hAnsi="Cambria Math" w:cs="Arial"/>
                            <w:i/>
                            <w:color w:val="000000"/>
                            <w:szCs w:val="18"/>
                          </w:rPr>
                        </m:ctrlPr>
                      </m:fPr>
                      <m:num>
                        <m:r>
                          <w:rPr>
                            <w:rFonts w:ascii="Cambria Math" w:hAnsi="Cambria Math" w:cs="Arial"/>
                            <w:color w:val="000000"/>
                            <w:szCs w:val="18"/>
                          </w:rPr>
                          <m:t>kWh</m:t>
                        </m:r>
                      </m:num>
                      <m:den>
                        <m:r>
                          <w:rPr>
                            <w:rFonts w:ascii="Cambria Math" w:hAnsi="Cambria Math" w:cs="Arial"/>
                            <w:color w:val="000000"/>
                            <w:szCs w:val="18"/>
                          </w:rPr>
                          <m:t>yr</m:t>
                        </m:r>
                      </m:den>
                    </m:f>
                  </m:den>
                </m:f>
              </m:oMath>
            </m:oMathPara>
          </w:p>
        </w:tc>
        <w:tc>
          <w:tcPr>
            <w:tcW w:w="1420" w:type="pct"/>
            <w:vAlign w:val="center"/>
          </w:tcPr>
          <w:p w14:paraId="0178D90B" w14:textId="77777777" w:rsidR="004E6452" w:rsidRPr="001570EA" w:rsidRDefault="004E6452">
            <w:pPr>
              <w:pStyle w:val="TableCell"/>
              <w:keepNext w:val="0"/>
              <w:spacing w:before="0" w:after="0"/>
              <w:jc w:val="center"/>
              <w:rPr>
                <w:rFonts w:cs="Arial"/>
                <w:szCs w:val="18"/>
              </w:rPr>
            </w:pPr>
            <w:r w:rsidRPr="001570EA">
              <w:rPr>
                <w:rFonts w:cs="Arial"/>
                <w:szCs w:val="18"/>
              </w:rPr>
              <w:t>Refrigerator = 0.0001014</w:t>
            </w:r>
          </w:p>
          <w:p w14:paraId="142B2FAC" w14:textId="77777777" w:rsidR="004E6452" w:rsidRPr="001570EA" w:rsidRDefault="004E6452">
            <w:pPr>
              <w:pStyle w:val="TableCell"/>
              <w:keepNext w:val="0"/>
              <w:spacing w:before="0" w:after="0"/>
              <w:jc w:val="center"/>
              <w:rPr>
                <w:rFonts w:cs="Arial"/>
                <w:szCs w:val="18"/>
              </w:rPr>
            </w:pPr>
            <w:r w:rsidRPr="001570EA">
              <w:rPr>
                <w:rFonts w:cs="Arial"/>
                <w:szCs w:val="18"/>
              </w:rPr>
              <w:t>Freezer = 0.0000998</w:t>
            </w:r>
          </w:p>
        </w:tc>
        <w:tc>
          <w:tcPr>
            <w:tcW w:w="601" w:type="pct"/>
            <w:vAlign w:val="center"/>
          </w:tcPr>
          <w:p w14:paraId="57D0A78F" w14:textId="77777777" w:rsidR="004E6452" w:rsidRPr="001570EA" w:rsidRDefault="004E6452">
            <w:pPr>
              <w:pStyle w:val="TableCell"/>
              <w:keepNext w:val="0"/>
              <w:spacing w:before="0" w:after="0"/>
              <w:jc w:val="center"/>
            </w:pPr>
            <w:r w:rsidRPr="001570EA">
              <w:t>4</w:t>
            </w:r>
          </w:p>
        </w:tc>
      </w:tr>
      <w:tr w:rsidR="004E6452" w:rsidRPr="001570EA" w14:paraId="0FEEACED" w14:textId="77777777">
        <w:trPr>
          <w:trHeight w:val="431"/>
        </w:trPr>
        <w:tc>
          <w:tcPr>
            <w:tcW w:w="2261" w:type="pct"/>
            <w:shd w:val="clear" w:color="auto" w:fill="auto"/>
            <w:vAlign w:val="center"/>
          </w:tcPr>
          <w:p w14:paraId="278CEB65" w14:textId="77777777" w:rsidR="004E6452" w:rsidRPr="001570EA" w:rsidRDefault="004E6452">
            <w:pPr>
              <w:pStyle w:val="TableCell"/>
              <w:keepNext w:val="0"/>
              <w:spacing w:before="0" w:after="0"/>
              <w:jc w:val="left"/>
              <w:rPr>
                <w:rFonts w:cs="Arial"/>
                <w:i/>
                <w:szCs w:val="18"/>
              </w:rPr>
            </w:pPr>
            <w:r w:rsidRPr="001570EA">
              <w:rPr>
                <w:rFonts w:cs="Arial"/>
                <w:i/>
                <w:color w:val="000000"/>
                <w:szCs w:val="18"/>
              </w:rPr>
              <w:t>AGE</w:t>
            </w:r>
            <w:r w:rsidRPr="001570EA">
              <w:rPr>
                <w:rFonts w:cs="Arial"/>
                <w:color w:val="000000"/>
                <w:szCs w:val="18"/>
              </w:rPr>
              <w:t>, age of appliance</w:t>
            </w:r>
          </w:p>
        </w:tc>
        <w:tc>
          <w:tcPr>
            <w:tcW w:w="717" w:type="pct"/>
            <w:shd w:val="clear" w:color="auto" w:fill="auto"/>
            <w:vAlign w:val="center"/>
          </w:tcPr>
          <w:p w14:paraId="642F528A" w14:textId="77777777" w:rsidR="004E6452" w:rsidRPr="001570EA" w:rsidRDefault="004E6452">
            <w:pPr>
              <w:pStyle w:val="TableCell"/>
              <w:keepNext w:val="0"/>
              <w:spacing w:before="0" w:after="0"/>
              <w:jc w:val="center"/>
              <w:rPr>
                <w:rFonts w:cs="Arial"/>
                <w:i/>
                <w:szCs w:val="18"/>
              </w:rPr>
            </w:pPr>
            <w:r w:rsidRPr="001570EA">
              <w:rPr>
                <w:rFonts w:cs="Arial"/>
                <w:i/>
                <w:color w:val="000000"/>
                <w:szCs w:val="18"/>
              </w:rPr>
              <w:t>years</w:t>
            </w:r>
          </w:p>
        </w:tc>
        <w:tc>
          <w:tcPr>
            <w:tcW w:w="1420" w:type="pct"/>
            <w:shd w:val="clear" w:color="auto" w:fill="auto"/>
            <w:vAlign w:val="center"/>
          </w:tcPr>
          <w:p w14:paraId="067E519A" w14:textId="77777777" w:rsidR="004E6452" w:rsidRPr="001570EA" w:rsidRDefault="004E6452">
            <w:pPr>
              <w:pStyle w:val="TableCell"/>
              <w:keepNext w:val="0"/>
              <w:spacing w:before="0" w:after="0"/>
              <w:jc w:val="center"/>
              <w:rPr>
                <w:rFonts w:cs="Arial"/>
                <w:color w:val="000000"/>
                <w:szCs w:val="18"/>
              </w:rPr>
            </w:pPr>
            <w:r w:rsidRPr="001570EA">
              <w:rPr>
                <w:rFonts w:cs="Arial"/>
                <w:color w:val="000000"/>
                <w:szCs w:val="18"/>
              </w:rPr>
              <w:t>EDC Data Gathering</w:t>
            </w:r>
          </w:p>
        </w:tc>
        <w:tc>
          <w:tcPr>
            <w:tcW w:w="601" w:type="pct"/>
            <w:shd w:val="clear" w:color="auto" w:fill="auto"/>
          </w:tcPr>
          <w:p w14:paraId="370D2FC7" w14:textId="77777777" w:rsidR="004E6452" w:rsidRPr="001570EA" w:rsidRDefault="004E6452">
            <w:pPr>
              <w:pStyle w:val="TableCell"/>
              <w:keepNext w:val="0"/>
              <w:spacing w:before="0" w:after="0"/>
              <w:jc w:val="center"/>
              <w:rPr>
                <w:rFonts w:cs="Arial"/>
                <w:szCs w:val="18"/>
              </w:rPr>
            </w:pPr>
            <w:r w:rsidRPr="001570EA">
              <w:t>EDC Data Gathering</w:t>
            </w:r>
          </w:p>
        </w:tc>
      </w:tr>
      <w:tr w:rsidR="004E6452" w:rsidRPr="001570EA" w14:paraId="43CA5D37" w14:textId="77777777">
        <w:trPr>
          <w:trHeight w:val="77"/>
        </w:trPr>
        <w:tc>
          <w:tcPr>
            <w:tcW w:w="2261" w:type="pct"/>
            <w:shd w:val="clear" w:color="auto" w:fill="auto"/>
            <w:vAlign w:val="bottom"/>
          </w:tcPr>
          <w:p w14:paraId="526CCC73" w14:textId="77777777" w:rsidR="004E6452" w:rsidRPr="001570EA" w:rsidRDefault="004E6452">
            <w:pPr>
              <w:pStyle w:val="TableCell"/>
              <w:keepNext w:val="0"/>
              <w:spacing w:before="0" w:after="0"/>
              <w:jc w:val="left"/>
              <w:rPr>
                <w:rFonts w:cs="Arial"/>
                <w:i/>
                <w:szCs w:val="18"/>
              </w:rPr>
            </w:pPr>
            <w:r w:rsidRPr="001570EA">
              <w:rPr>
                <w:rFonts w:cs="Arial"/>
                <w:i/>
                <w:color w:val="000000"/>
                <w:szCs w:val="18"/>
              </w:rPr>
              <w:t>PRE1990</w:t>
            </w:r>
            <w:r w:rsidRPr="001570EA">
              <w:rPr>
                <w:rFonts w:cs="Arial"/>
                <w:color w:val="000000"/>
                <w:szCs w:val="18"/>
              </w:rPr>
              <w:t>, Fraction of appliances manufactured before 1990</w:t>
            </w:r>
          </w:p>
        </w:tc>
        <w:tc>
          <w:tcPr>
            <w:tcW w:w="717" w:type="pct"/>
            <w:shd w:val="clear" w:color="auto" w:fill="auto"/>
            <w:vAlign w:val="center"/>
          </w:tcPr>
          <w:p w14:paraId="32EC3524" w14:textId="77777777" w:rsidR="004E6452" w:rsidRPr="001570EA" w:rsidRDefault="004E6452">
            <w:pPr>
              <w:pStyle w:val="TableCell"/>
              <w:keepNext w:val="0"/>
              <w:spacing w:before="0" w:after="0"/>
              <w:jc w:val="center"/>
              <w:rPr>
                <w:rFonts w:cs="Arial"/>
                <w:i/>
                <w:szCs w:val="18"/>
              </w:rPr>
            </w:pPr>
            <w:r w:rsidRPr="001570EA">
              <w:rPr>
                <w:rFonts w:cs="Arial"/>
                <w:i/>
                <w:color w:val="000000"/>
                <w:szCs w:val="18"/>
              </w:rPr>
              <w:t>%</w:t>
            </w:r>
          </w:p>
        </w:tc>
        <w:tc>
          <w:tcPr>
            <w:tcW w:w="1420" w:type="pct"/>
            <w:shd w:val="clear" w:color="auto" w:fill="auto"/>
            <w:vAlign w:val="center"/>
          </w:tcPr>
          <w:p w14:paraId="2ABF65FE" w14:textId="77777777" w:rsidR="004E6452" w:rsidRPr="001570EA" w:rsidRDefault="004E6452">
            <w:pPr>
              <w:pStyle w:val="TableCell"/>
              <w:keepNext w:val="0"/>
              <w:spacing w:before="0" w:after="0"/>
              <w:jc w:val="center"/>
              <w:rPr>
                <w:rFonts w:cs="Arial"/>
                <w:color w:val="000000"/>
                <w:szCs w:val="18"/>
              </w:rPr>
            </w:pPr>
            <w:r w:rsidRPr="001570EA">
              <w:rPr>
                <w:rFonts w:cs="Arial"/>
                <w:color w:val="000000"/>
                <w:szCs w:val="18"/>
              </w:rPr>
              <w:t>EDC Data Gathering</w:t>
            </w:r>
          </w:p>
        </w:tc>
        <w:tc>
          <w:tcPr>
            <w:tcW w:w="601" w:type="pct"/>
            <w:shd w:val="clear" w:color="auto" w:fill="auto"/>
          </w:tcPr>
          <w:p w14:paraId="0BB898CB" w14:textId="77777777" w:rsidR="004E6452" w:rsidRPr="001570EA" w:rsidRDefault="004E6452">
            <w:pPr>
              <w:pStyle w:val="TableCell"/>
              <w:keepNext w:val="0"/>
              <w:spacing w:before="0" w:after="0"/>
              <w:jc w:val="center"/>
              <w:rPr>
                <w:rFonts w:cs="Arial"/>
                <w:szCs w:val="18"/>
              </w:rPr>
            </w:pPr>
            <w:r w:rsidRPr="001570EA">
              <w:t>EDC Data Gathering</w:t>
            </w:r>
          </w:p>
        </w:tc>
      </w:tr>
      <w:tr w:rsidR="004E6452" w:rsidRPr="001570EA" w14:paraId="196F794B" w14:textId="77777777">
        <w:trPr>
          <w:trHeight w:val="77"/>
        </w:trPr>
        <w:tc>
          <w:tcPr>
            <w:tcW w:w="2261" w:type="pct"/>
            <w:shd w:val="clear" w:color="auto" w:fill="auto"/>
            <w:vAlign w:val="center"/>
          </w:tcPr>
          <w:p w14:paraId="4566ED08" w14:textId="77777777" w:rsidR="004E6452" w:rsidRPr="001570EA" w:rsidRDefault="004E6452">
            <w:pPr>
              <w:pStyle w:val="TableCell"/>
              <w:keepNext w:val="0"/>
              <w:spacing w:before="0" w:after="0"/>
              <w:jc w:val="left"/>
              <w:rPr>
                <w:rFonts w:cs="Arial"/>
                <w:i/>
                <w:szCs w:val="18"/>
              </w:rPr>
            </w:pPr>
            <w:r w:rsidRPr="001570EA">
              <w:rPr>
                <w:rFonts w:cs="Arial"/>
                <w:i/>
                <w:color w:val="000000"/>
                <w:szCs w:val="18"/>
              </w:rPr>
              <w:t>V</w:t>
            </w:r>
            <w:r w:rsidRPr="001570EA">
              <w:rPr>
                <w:rFonts w:cs="Arial"/>
                <w:color w:val="000000"/>
                <w:szCs w:val="18"/>
              </w:rPr>
              <w:t>, Total Volume of recycled unit</w:t>
            </w:r>
          </w:p>
        </w:tc>
        <w:tc>
          <w:tcPr>
            <w:tcW w:w="717" w:type="pct"/>
            <w:shd w:val="clear" w:color="auto" w:fill="auto"/>
            <w:vAlign w:val="center"/>
          </w:tcPr>
          <w:p w14:paraId="18A034E2" w14:textId="77777777" w:rsidR="004E6452" w:rsidRPr="001570EA" w:rsidRDefault="004E6452">
            <w:pPr>
              <w:pStyle w:val="TableCell"/>
              <w:keepNext w:val="0"/>
              <w:spacing w:before="0" w:after="0"/>
              <w:jc w:val="center"/>
              <w:rPr>
                <w:rFonts w:cs="Arial"/>
                <w:i/>
                <w:szCs w:val="18"/>
              </w:rPr>
            </w:pPr>
            <w:r w:rsidRPr="001570EA">
              <w:rPr>
                <w:rFonts w:cs="Arial"/>
                <w:i/>
                <w:color w:val="000000"/>
                <w:szCs w:val="18"/>
              </w:rPr>
              <w:t>ft</w:t>
            </w:r>
            <w:r w:rsidRPr="001570EA">
              <w:rPr>
                <w:rFonts w:cs="Arial"/>
                <w:i/>
                <w:color w:val="000000"/>
                <w:szCs w:val="18"/>
                <w:vertAlign w:val="superscript"/>
              </w:rPr>
              <w:t>3</w:t>
            </w:r>
          </w:p>
        </w:tc>
        <w:tc>
          <w:tcPr>
            <w:tcW w:w="1420" w:type="pct"/>
            <w:shd w:val="clear" w:color="auto" w:fill="auto"/>
            <w:vAlign w:val="center"/>
          </w:tcPr>
          <w:p w14:paraId="551987EF" w14:textId="77777777" w:rsidR="004E6452" w:rsidRPr="001570EA" w:rsidRDefault="004E6452">
            <w:pPr>
              <w:pStyle w:val="TableCell"/>
              <w:keepNext w:val="0"/>
              <w:spacing w:before="0" w:after="0"/>
              <w:jc w:val="center"/>
              <w:rPr>
                <w:rFonts w:cs="Arial"/>
                <w:color w:val="000000"/>
                <w:szCs w:val="18"/>
              </w:rPr>
            </w:pPr>
            <w:r w:rsidRPr="001570EA">
              <w:rPr>
                <w:rFonts w:cs="Arial"/>
                <w:color w:val="000000"/>
                <w:szCs w:val="18"/>
              </w:rPr>
              <w:t>EDC Data Gathering</w:t>
            </w:r>
          </w:p>
        </w:tc>
        <w:tc>
          <w:tcPr>
            <w:tcW w:w="601" w:type="pct"/>
            <w:shd w:val="clear" w:color="auto" w:fill="auto"/>
          </w:tcPr>
          <w:p w14:paraId="4F80C0C1" w14:textId="77777777" w:rsidR="004E6452" w:rsidRPr="001570EA" w:rsidRDefault="004E6452">
            <w:pPr>
              <w:pStyle w:val="TableCell"/>
              <w:keepNext w:val="0"/>
              <w:spacing w:before="0" w:after="0"/>
              <w:jc w:val="center"/>
              <w:rPr>
                <w:rFonts w:cs="Arial"/>
                <w:szCs w:val="18"/>
              </w:rPr>
            </w:pPr>
            <w:r w:rsidRPr="001570EA">
              <w:t>EDC Data Gathering</w:t>
            </w:r>
          </w:p>
        </w:tc>
      </w:tr>
      <w:tr w:rsidR="004E6452" w:rsidRPr="001570EA" w14:paraId="044FFCB6" w14:textId="77777777">
        <w:trPr>
          <w:trHeight w:val="77"/>
        </w:trPr>
        <w:tc>
          <w:tcPr>
            <w:tcW w:w="2261" w:type="pct"/>
            <w:shd w:val="clear" w:color="auto" w:fill="auto"/>
            <w:vAlign w:val="bottom"/>
          </w:tcPr>
          <w:p w14:paraId="648CE92B" w14:textId="77777777" w:rsidR="004E6452" w:rsidRPr="001570EA" w:rsidRDefault="004E6452">
            <w:pPr>
              <w:pStyle w:val="TableCell"/>
              <w:keepNext w:val="0"/>
              <w:spacing w:before="0" w:after="0"/>
              <w:jc w:val="left"/>
              <w:rPr>
                <w:rFonts w:cs="Arial"/>
                <w:i/>
                <w:szCs w:val="18"/>
              </w:rPr>
            </w:pPr>
            <w:r w:rsidRPr="001570EA">
              <w:rPr>
                <w:rFonts w:cs="Arial"/>
                <w:i/>
                <w:color w:val="000000"/>
                <w:szCs w:val="18"/>
              </w:rPr>
              <w:t>CONFIG</w:t>
            </w:r>
            <w:r w:rsidRPr="001570EA">
              <w:rPr>
                <w:rFonts w:cs="Arial"/>
                <w:i/>
                <w:color w:val="000000"/>
                <w:szCs w:val="18"/>
                <w:vertAlign w:val="subscript"/>
              </w:rPr>
              <w:t>single-door</w:t>
            </w:r>
            <w:r w:rsidRPr="001570EA">
              <w:rPr>
                <w:rFonts w:cs="Arial"/>
                <w:color w:val="000000"/>
                <w:szCs w:val="18"/>
              </w:rPr>
              <w:t>, Fraction of refrigerators with single-door configuration</w:t>
            </w:r>
          </w:p>
        </w:tc>
        <w:tc>
          <w:tcPr>
            <w:tcW w:w="717" w:type="pct"/>
            <w:shd w:val="clear" w:color="auto" w:fill="auto"/>
            <w:vAlign w:val="center"/>
          </w:tcPr>
          <w:p w14:paraId="0CD9F5EF" w14:textId="77777777" w:rsidR="004E6452" w:rsidRPr="001570EA" w:rsidRDefault="004E6452">
            <w:pPr>
              <w:pStyle w:val="TableCell"/>
              <w:keepNext w:val="0"/>
              <w:spacing w:before="0" w:after="0"/>
              <w:jc w:val="center"/>
              <w:rPr>
                <w:rFonts w:cs="Arial"/>
                <w:i/>
                <w:szCs w:val="18"/>
              </w:rPr>
            </w:pPr>
            <w:r w:rsidRPr="001570EA">
              <w:rPr>
                <w:rFonts w:cs="Arial"/>
                <w:i/>
                <w:color w:val="000000"/>
                <w:szCs w:val="18"/>
              </w:rPr>
              <w:t>%</w:t>
            </w:r>
          </w:p>
        </w:tc>
        <w:tc>
          <w:tcPr>
            <w:tcW w:w="1420" w:type="pct"/>
            <w:shd w:val="clear" w:color="auto" w:fill="auto"/>
            <w:vAlign w:val="center"/>
          </w:tcPr>
          <w:p w14:paraId="20BC871A" w14:textId="77777777" w:rsidR="004E6452" w:rsidRPr="001570EA" w:rsidRDefault="004E6452">
            <w:pPr>
              <w:pStyle w:val="TableCell"/>
              <w:keepNext w:val="0"/>
              <w:spacing w:before="0" w:after="0"/>
              <w:jc w:val="center"/>
              <w:rPr>
                <w:rFonts w:cs="Arial"/>
                <w:color w:val="000000"/>
                <w:szCs w:val="18"/>
              </w:rPr>
            </w:pPr>
            <w:r w:rsidRPr="001570EA">
              <w:rPr>
                <w:rFonts w:cs="Arial"/>
                <w:color w:val="000000"/>
                <w:szCs w:val="18"/>
              </w:rPr>
              <w:t>EDC Data Gathering</w:t>
            </w:r>
          </w:p>
        </w:tc>
        <w:tc>
          <w:tcPr>
            <w:tcW w:w="601" w:type="pct"/>
            <w:shd w:val="clear" w:color="auto" w:fill="auto"/>
          </w:tcPr>
          <w:p w14:paraId="7B97A98A" w14:textId="77777777" w:rsidR="004E6452" w:rsidRPr="001570EA" w:rsidRDefault="004E6452">
            <w:pPr>
              <w:pStyle w:val="TableCell"/>
              <w:keepNext w:val="0"/>
              <w:spacing w:before="0" w:after="0"/>
              <w:jc w:val="center"/>
              <w:rPr>
                <w:rFonts w:cs="Arial"/>
                <w:szCs w:val="18"/>
              </w:rPr>
            </w:pPr>
            <w:r w:rsidRPr="001570EA">
              <w:t>EDC Data Gathering</w:t>
            </w:r>
          </w:p>
        </w:tc>
      </w:tr>
      <w:tr w:rsidR="004E6452" w:rsidRPr="001570EA" w14:paraId="4222ED65" w14:textId="77777777">
        <w:trPr>
          <w:trHeight w:val="77"/>
        </w:trPr>
        <w:tc>
          <w:tcPr>
            <w:tcW w:w="2261" w:type="pct"/>
            <w:shd w:val="clear" w:color="auto" w:fill="auto"/>
            <w:vAlign w:val="bottom"/>
          </w:tcPr>
          <w:p w14:paraId="0B9E830D" w14:textId="77777777" w:rsidR="004E6452" w:rsidRPr="001570EA" w:rsidRDefault="004E6452">
            <w:pPr>
              <w:pStyle w:val="TableCell"/>
              <w:keepNext w:val="0"/>
              <w:spacing w:before="0" w:after="0"/>
              <w:jc w:val="left"/>
              <w:rPr>
                <w:rFonts w:cs="Arial"/>
                <w:i/>
                <w:szCs w:val="18"/>
              </w:rPr>
            </w:pPr>
            <w:r w:rsidRPr="001570EA">
              <w:rPr>
                <w:rFonts w:cs="Arial"/>
                <w:i/>
                <w:color w:val="000000"/>
                <w:szCs w:val="18"/>
              </w:rPr>
              <w:t>CONFIG</w:t>
            </w:r>
            <w:r w:rsidRPr="001570EA">
              <w:rPr>
                <w:rFonts w:cs="Arial"/>
                <w:i/>
                <w:color w:val="000000"/>
                <w:szCs w:val="18"/>
                <w:vertAlign w:val="subscript"/>
              </w:rPr>
              <w:t>side-by-side</w:t>
            </w:r>
            <w:r w:rsidRPr="001570EA">
              <w:rPr>
                <w:rFonts w:cs="Arial"/>
                <w:color w:val="000000"/>
                <w:szCs w:val="18"/>
              </w:rPr>
              <w:t>, Fraction of refrigerators with side-by-side configuration</w:t>
            </w:r>
          </w:p>
        </w:tc>
        <w:tc>
          <w:tcPr>
            <w:tcW w:w="717" w:type="pct"/>
            <w:shd w:val="clear" w:color="auto" w:fill="auto"/>
            <w:vAlign w:val="center"/>
          </w:tcPr>
          <w:p w14:paraId="5B162E49" w14:textId="77777777" w:rsidR="004E6452" w:rsidRPr="001570EA" w:rsidRDefault="004E6452">
            <w:pPr>
              <w:pStyle w:val="TableCell"/>
              <w:keepNext w:val="0"/>
              <w:spacing w:before="0" w:after="0"/>
              <w:jc w:val="center"/>
              <w:rPr>
                <w:rFonts w:cs="Arial"/>
                <w:i/>
                <w:szCs w:val="18"/>
              </w:rPr>
            </w:pPr>
            <w:r w:rsidRPr="001570EA">
              <w:rPr>
                <w:rFonts w:cs="Arial"/>
                <w:i/>
                <w:color w:val="000000"/>
                <w:szCs w:val="18"/>
              </w:rPr>
              <w:t>%</w:t>
            </w:r>
          </w:p>
        </w:tc>
        <w:tc>
          <w:tcPr>
            <w:tcW w:w="1420" w:type="pct"/>
            <w:shd w:val="clear" w:color="auto" w:fill="auto"/>
            <w:vAlign w:val="center"/>
          </w:tcPr>
          <w:p w14:paraId="7CFA98EE" w14:textId="77777777" w:rsidR="004E6452" w:rsidRPr="001570EA" w:rsidRDefault="004E6452">
            <w:pPr>
              <w:pStyle w:val="TableCell"/>
              <w:keepNext w:val="0"/>
              <w:spacing w:before="0" w:after="0"/>
              <w:jc w:val="center"/>
              <w:rPr>
                <w:rFonts w:cs="Arial"/>
                <w:color w:val="000000"/>
                <w:szCs w:val="18"/>
              </w:rPr>
            </w:pPr>
            <w:r w:rsidRPr="001570EA">
              <w:rPr>
                <w:rFonts w:cs="Arial"/>
                <w:color w:val="000000"/>
                <w:szCs w:val="18"/>
              </w:rPr>
              <w:t>EDC Data Gathering</w:t>
            </w:r>
          </w:p>
        </w:tc>
        <w:tc>
          <w:tcPr>
            <w:tcW w:w="601" w:type="pct"/>
            <w:shd w:val="clear" w:color="auto" w:fill="auto"/>
          </w:tcPr>
          <w:p w14:paraId="34C9F0AD" w14:textId="77777777" w:rsidR="004E6452" w:rsidRPr="001570EA" w:rsidRDefault="004E6452">
            <w:pPr>
              <w:pStyle w:val="TableCell"/>
              <w:keepNext w:val="0"/>
              <w:spacing w:before="0" w:after="0"/>
              <w:jc w:val="center"/>
              <w:rPr>
                <w:rFonts w:cs="Arial"/>
                <w:szCs w:val="18"/>
              </w:rPr>
            </w:pPr>
            <w:r w:rsidRPr="001570EA">
              <w:t>EDC Data Gathering</w:t>
            </w:r>
          </w:p>
        </w:tc>
      </w:tr>
      <w:tr w:rsidR="004E6452" w:rsidRPr="001570EA" w14:paraId="0EFB2D9F" w14:textId="77777777">
        <w:trPr>
          <w:trHeight w:val="77"/>
        </w:trPr>
        <w:tc>
          <w:tcPr>
            <w:tcW w:w="2261" w:type="pct"/>
            <w:shd w:val="clear" w:color="auto" w:fill="auto"/>
            <w:vAlign w:val="bottom"/>
          </w:tcPr>
          <w:p w14:paraId="50FA1FA5" w14:textId="77777777" w:rsidR="004E6452" w:rsidRPr="001570EA" w:rsidDel="00BD6D97" w:rsidRDefault="004E6452">
            <w:pPr>
              <w:pStyle w:val="TableCell"/>
              <w:keepNext w:val="0"/>
              <w:spacing w:before="0" w:after="0"/>
              <w:jc w:val="left"/>
              <w:rPr>
                <w:rFonts w:cs="Arial"/>
                <w:color w:val="000000"/>
                <w:szCs w:val="18"/>
              </w:rPr>
            </w:pPr>
            <w:r w:rsidRPr="001570EA">
              <w:rPr>
                <w:rFonts w:cs="Arial"/>
                <w:i/>
                <w:color w:val="000000"/>
                <w:szCs w:val="18"/>
              </w:rPr>
              <w:t>CONFIG</w:t>
            </w:r>
            <w:r w:rsidRPr="001570EA">
              <w:rPr>
                <w:rFonts w:cs="Arial"/>
                <w:i/>
                <w:color w:val="000000"/>
                <w:szCs w:val="18"/>
                <w:vertAlign w:val="subscript"/>
              </w:rPr>
              <w:t>chest</w:t>
            </w:r>
            <w:r w:rsidRPr="001570EA">
              <w:rPr>
                <w:rFonts w:cs="Arial"/>
                <w:color w:val="000000"/>
                <w:szCs w:val="18"/>
              </w:rPr>
              <w:t>, Fraction of freezers with chest configuration</w:t>
            </w:r>
          </w:p>
        </w:tc>
        <w:tc>
          <w:tcPr>
            <w:tcW w:w="717" w:type="pct"/>
            <w:shd w:val="clear" w:color="auto" w:fill="auto"/>
            <w:vAlign w:val="center"/>
          </w:tcPr>
          <w:p w14:paraId="269CE29F" w14:textId="77777777" w:rsidR="004E6452" w:rsidRPr="001570EA" w:rsidRDefault="004E6452">
            <w:pPr>
              <w:pStyle w:val="TableCell"/>
              <w:keepNext w:val="0"/>
              <w:spacing w:before="0" w:after="0"/>
              <w:jc w:val="center"/>
              <w:rPr>
                <w:rFonts w:cs="Arial"/>
                <w:i/>
                <w:color w:val="000000"/>
                <w:szCs w:val="18"/>
              </w:rPr>
            </w:pPr>
            <w:r w:rsidRPr="001570EA">
              <w:rPr>
                <w:rFonts w:cs="Arial"/>
                <w:i/>
                <w:color w:val="000000"/>
                <w:szCs w:val="18"/>
              </w:rPr>
              <w:t>%</w:t>
            </w:r>
          </w:p>
        </w:tc>
        <w:tc>
          <w:tcPr>
            <w:tcW w:w="1420" w:type="pct"/>
            <w:shd w:val="clear" w:color="auto" w:fill="auto"/>
            <w:vAlign w:val="center"/>
          </w:tcPr>
          <w:p w14:paraId="6BAEB3E4" w14:textId="77777777" w:rsidR="004E6452" w:rsidRPr="001570EA" w:rsidRDefault="004E6452">
            <w:pPr>
              <w:pStyle w:val="TableCell"/>
              <w:keepNext w:val="0"/>
              <w:spacing w:before="0" w:after="0"/>
              <w:jc w:val="center"/>
              <w:rPr>
                <w:rFonts w:cs="Arial"/>
                <w:color w:val="000000"/>
                <w:szCs w:val="18"/>
              </w:rPr>
            </w:pPr>
            <w:r w:rsidRPr="001570EA">
              <w:rPr>
                <w:rFonts w:cs="Arial"/>
                <w:color w:val="000000"/>
                <w:szCs w:val="18"/>
              </w:rPr>
              <w:t>EDC Data Gathering</w:t>
            </w:r>
          </w:p>
        </w:tc>
        <w:tc>
          <w:tcPr>
            <w:tcW w:w="601" w:type="pct"/>
            <w:shd w:val="clear" w:color="auto" w:fill="auto"/>
          </w:tcPr>
          <w:p w14:paraId="283832A2" w14:textId="77777777" w:rsidR="004E6452" w:rsidRPr="001570EA" w:rsidRDefault="004E6452">
            <w:pPr>
              <w:pStyle w:val="TableCell"/>
              <w:keepNext w:val="0"/>
              <w:spacing w:before="0" w:after="0"/>
              <w:jc w:val="center"/>
              <w:rPr>
                <w:rFonts w:cs="Arial"/>
                <w:szCs w:val="18"/>
              </w:rPr>
            </w:pPr>
            <w:r w:rsidRPr="001570EA">
              <w:t>EDC Data Gathering</w:t>
            </w:r>
          </w:p>
        </w:tc>
      </w:tr>
      <w:tr w:rsidR="004E6452" w:rsidRPr="001570EA" w14:paraId="412AAF2B" w14:textId="77777777">
        <w:trPr>
          <w:trHeight w:val="77"/>
        </w:trPr>
        <w:tc>
          <w:tcPr>
            <w:tcW w:w="2261" w:type="pct"/>
            <w:shd w:val="clear" w:color="auto" w:fill="auto"/>
            <w:vAlign w:val="bottom"/>
          </w:tcPr>
          <w:p w14:paraId="5511EC26" w14:textId="77777777" w:rsidR="004E6452" w:rsidRPr="001570EA" w:rsidRDefault="004E6452">
            <w:pPr>
              <w:pStyle w:val="TableCell"/>
              <w:keepNext w:val="0"/>
              <w:spacing w:before="0" w:after="0"/>
              <w:jc w:val="left"/>
              <w:rPr>
                <w:rFonts w:cs="Arial"/>
                <w:i/>
                <w:szCs w:val="18"/>
              </w:rPr>
            </w:pPr>
            <w:r w:rsidRPr="001570EA">
              <w:rPr>
                <w:rFonts w:cs="Arial"/>
                <w:i/>
                <w:color w:val="000000"/>
                <w:szCs w:val="18"/>
              </w:rPr>
              <w:t>PRIMARY</w:t>
            </w:r>
            <w:r w:rsidRPr="001570EA">
              <w:rPr>
                <w:rFonts w:cs="Arial"/>
                <w:color w:val="000000"/>
                <w:szCs w:val="18"/>
              </w:rPr>
              <w:t>, Fraction of appliances in primary use (in absence of program)</w:t>
            </w:r>
          </w:p>
        </w:tc>
        <w:tc>
          <w:tcPr>
            <w:tcW w:w="717" w:type="pct"/>
            <w:shd w:val="clear" w:color="auto" w:fill="auto"/>
            <w:vAlign w:val="center"/>
          </w:tcPr>
          <w:p w14:paraId="2B9D6145" w14:textId="77777777" w:rsidR="004E6452" w:rsidRPr="001570EA" w:rsidRDefault="004E6452">
            <w:pPr>
              <w:pStyle w:val="TableCell"/>
              <w:keepNext w:val="0"/>
              <w:spacing w:before="0" w:after="0"/>
              <w:jc w:val="center"/>
              <w:rPr>
                <w:rFonts w:cs="Arial"/>
                <w:i/>
                <w:szCs w:val="18"/>
              </w:rPr>
            </w:pPr>
            <w:r w:rsidRPr="001570EA">
              <w:rPr>
                <w:rFonts w:cs="Arial"/>
                <w:i/>
                <w:color w:val="000000"/>
                <w:szCs w:val="18"/>
              </w:rPr>
              <w:t>%</w:t>
            </w:r>
          </w:p>
        </w:tc>
        <w:tc>
          <w:tcPr>
            <w:tcW w:w="1420" w:type="pct"/>
            <w:shd w:val="clear" w:color="auto" w:fill="auto"/>
            <w:vAlign w:val="center"/>
          </w:tcPr>
          <w:p w14:paraId="4FA96A62" w14:textId="77777777" w:rsidR="004E6452" w:rsidRPr="001570EA" w:rsidRDefault="004E6452">
            <w:pPr>
              <w:pStyle w:val="TableCell"/>
              <w:keepNext w:val="0"/>
              <w:spacing w:before="0" w:after="0"/>
              <w:jc w:val="center"/>
              <w:rPr>
                <w:rFonts w:cs="Arial"/>
                <w:color w:val="000000"/>
                <w:szCs w:val="18"/>
              </w:rPr>
            </w:pPr>
            <w:r w:rsidRPr="001570EA">
              <w:rPr>
                <w:rFonts w:cs="Arial"/>
                <w:color w:val="000000"/>
                <w:szCs w:val="18"/>
              </w:rPr>
              <w:t>EDC Data Gathering</w:t>
            </w:r>
          </w:p>
        </w:tc>
        <w:tc>
          <w:tcPr>
            <w:tcW w:w="601" w:type="pct"/>
            <w:shd w:val="clear" w:color="auto" w:fill="auto"/>
          </w:tcPr>
          <w:p w14:paraId="31631508" w14:textId="77777777" w:rsidR="004E6452" w:rsidRPr="001570EA" w:rsidRDefault="004E6452">
            <w:pPr>
              <w:pStyle w:val="TableCell"/>
              <w:keepNext w:val="0"/>
              <w:spacing w:before="0" w:after="0"/>
              <w:jc w:val="center"/>
              <w:rPr>
                <w:rFonts w:cs="Arial"/>
                <w:szCs w:val="18"/>
              </w:rPr>
            </w:pPr>
            <w:r w:rsidRPr="001570EA">
              <w:t>EDC Data Gathering</w:t>
            </w:r>
          </w:p>
        </w:tc>
      </w:tr>
      <w:tr w:rsidR="004E6452" w:rsidRPr="001570EA" w14:paraId="66BB148E" w14:textId="77777777">
        <w:trPr>
          <w:trHeight w:val="935"/>
        </w:trPr>
        <w:tc>
          <w:tcPr>
            <w:tcW w:w="2261" w:type="pct"/>
            <w:shd w:val="clear" w:color="auto" w:fill="auto"/>
            <w:vAlign w:val="center"/>
          </w:tcPr>
          <w:p w14:paraId="1D8EE79B" w14:textId="77777777" w:rsidR="004E6452" w:rsidRPr="001570EA" w:rsidRDefault="004E6452">
            <w:pPr>
              <w:pStyle w:val="TableCell"/>
              <w:keepNext w:val="0"/>
              <w:spacing w:before="0" w:after="0"/>
              <w:jc w:val="left"/>
              <w:rPr>
                <w:rFonts w:cs="Arial"/>
                <w:i/>
                <w:szCs w:val="18"/>
              </w:rPr>
            </w:pPr>
            <w:r w:rsidRPr="001570EA">
              <w:rPr>
                <w:rFonts w:cs="Arial"/>
                <w:i/>
              </w:rPr>
              <w:t>UNCONDITIONED</w:t>
            </w:r>
            <w:r w:rsidRPr="001570EA">
              <w:rPr>
                <w:rFonts w:cs="Arial"/>
              </w:rPr>
              <w:t>,</w:t>
            </w:r>
            <w:r w:rsidRPr="001570EA">
              <w:rPr>
                <w:rFonts w:cs="Arial"/>
                <w:color w:val="000000"/>
                <w:szCs w:val="18"/>
              </w:rPr>
              <w:t xml:space="preserve"> Fraction of appliances located in Unconditioned space</w:t>
            </w:r>
          </w:p>
        </w:tc>
        <w:tc>
          <w:tcPr>
            <w:tcW w:w="717" w:type="pct"/>
            <w:shd w:val="clear" w:color="auto" w:fill="auto"/>
            <w:vAlign w:val="center"/>
          </w:tcPr>
          <w:p w14:paraId="0E57D6C4" w14:textId="77777777" w:rsidR="004E6452" w:rsidRPr="001570EA" w:rsidRDefault="004E6452">
            <w:pPr>
              <w:pStyle w:val="TableCell"/>
              <w:keepNext w:val="0"/>
              <w:spacing w:before="0" w:after="0"/>
              <w:jc w:val="center"/>
              <w:rPr>
                <w:rFonts w:cs="Arial"/>
                <w:i/>
                <w:szCs w:val="18"/>
              </w:rPr>
            </w:pPr>
            <w:r w:rsidRPr="001570EA">
              <w:rPr>
                <w:rFonts w:cs="Arial"/>
                <w:i/>
                <w:color w:val="000000"/>
                <w:szCs w:val="18"/>
              </w:rPr>
              <w:t>%</w:t>
            </w:r>
          </w:p>
        </w:tc>
        <w:tc>
          <w:tcPr>
            <w:tcW w:w="1420" w:type="pct"/>
            <w:shd w:val="clear" w:color="auto" w:fill="auto"/>
            <w:vAlign w:val="center"/>
          </w:tcPr>
          <w:p w14:paraId="5AD6CC2F" w14:textId="77777777" w:rsidR="004E6452" w:rsidRPr="001570EA" w:rsidRDefault="004E6452">
            <w:pPr>
              <w:pStyle w:val="TableCell"/>
              <w:keepNext w:val="0"/>
              <w:spacing w:before="0" w:after="0"/>
              <w:jc w:val="center"/>
              <w:rPr>
                <w:rFonts w:cs="Arial"/>
                <w:color w:val="000000"/>
                <w:szCs w:val="18"/>
              </w:rPr>
            </w:pPr>
            <w:r w:rsidRPr="001570EA">
              <w:rPr>
                <w:rFonts w:cs="Arial"/>
                <w:color w:val="000000"/>
                <w:szCs w:val="18"/>
              </w:rPr>
              <w:t>EDC Data Gathering</w:t>
            </w:r>
          </w:p>
          <w:p w14:paraId="7D63FCA4" w14:textId="77777777" w:rsidR="004E6452" w:rsidRPr="001570EA" w:rsidRDefault="004E6452">
            <w:pPr>
              <w:pStyle w:val="TableCell"/>
              <w:keepNext w:val="0"/>
              <w:spacing w:before="0" w:after="0"/>
              <w:jc w:val="center"/>
              <w:rPr>
                <w:rFonts w:cs="Arial"/>
                <w:color w:val="000000"/>
                <w:szCs w:val="18"/>
              </w:rPr>
            </w:pPr>
            <w:r w:rsidRPr="001570EA">
              <w:rPr>
                <w:rFonts w:cs="Arial"/>
                <w:color w:val="000000"/>
                <w:szCs w:val="18"/>
              </w:rPr>
              <w:t>Default: Refrigerator=12%</w:t>
            </w:r>
          </w:p>
          <w:p w14:paraId="7FE00A0C" w14:textId="77777777" w:rsidR="004E6452" w:rsidRPr="001570EA" w:rsidRDefault="004E6452">
            <w:pPr>
              <w:pStyle w:val="TableCell"/>
              <w:keepNext w:val="0"/>
              <w:spacing w:before="0" w:after="0"/>
              <w:jc w:val="center"/>
              <w:rPr>
                <w:szCs w:val="18"/>
              </w:rPr>
            </w:pPr>
            <w:r w:rsidRPr="001570EA">
              <w:rPr>
                <w:rFonts w:cs="Arial"/>
                <w:color w:val="000000"/>
                <w:szCs w:val="18"/>
              </w:rPr>
              <w:t>Freezer=52%</w:t>
            </w:r>
          </w:p>
        </w:tc>
        <w:tc>
          <w:tcPr>
            <w:tcW w:w="601" w:type="pct"/>
            <w:shd w:val="clear" w:color="auto" w:fill="auto"/>
            <w:vAlign w:val="center"/>
          </w:tcPr>
          <w:p w14:paraId="50EE72E8" w14:textId="77777777" w:rsidR="004E6452" w:rsidRPr="001570EA" w:rsidRDefault="004E6452">
            <w:pPr>
              <w:pStyle w:val="TableCell"/>
              <w:keepNext w:val="0"/>
              <w:spacing w:before="0" w:after="0"/>
              <w:jc w:val="center"/>
              <w:rPr>
                <w:rFonts w:cs="Arial"/>
                <w:szCs w:val="18"/>
              </w:rPr>
            </w:pPr>
            <w:r w:rsidRPr="001570EA">
              <w:t xml:space="preserve">EDC Data Gathering, </w:t>
            </w:r>
            <w:r w:rsidRPr="001570EA">
              <w:rPr>
                <w:rFonts w:cs="Arial"/>
                <w:szCs w:val="18"/>
              </w:rPr>
              <w:t>7</w:t>
            </w:r>
          </w:p>
        </w:tc>
      </w:tr>
      <w:tr w:rsidR="004E6452" w:rsidRPr="001570EA" w14:paraId="28DAA02D" w14:textId="77777777">
        <w:trPr>
          <w:trHeight w:val="359"/>
        </w:trPr>
        <w:tc>
          <w:tcPr>
            <w:tcW w:w="2261" w:type="pct"/>
            <w:shd w:val="clear" w:color="auto" w:fill="auto"/>
            <w:vAlign w:val="bottom"/>
          </w:tcPr>
          <w:p w14:paraId="32108977" w14:textId="77777777" w:rsidR="004E6452" w:rsidRPr="001570EA" w:rsidRDefault="004E6452">
            <w:pPr>
              <w:pStyle w:val="TableCell"/>
              <w:keepNext w:val="0"/>
              <w:spacing w:before="0" w:after="0"/>
              <w:jc w:val="left"/>
              <w:rPr>
                <w:rFonts w:cs="Arial"/>
                <w:szCs w:val="18"/>
              </w:rPr>
            </w:pPr>
            <w:r w:rsidRPr="001570EA">
              <w:rPr>
                <w:rFonts w:cs="Arial"/>
                <w:i/>
                <w:color w:val="000000"/>
                <w:szCs w:val="18"/>
              </w:rPr>
              <w:t>CDD</w:t>
            </w:r>
            <w:r w:rsidRPr="001570EA">
              <w:rPr>
                <w:rFonts w:cs="Arial"/>
                <w:color w:val="000000"/>
                <w:szCs w:val="18"/>
              </w:rPr>
              <w:t>, Cooling degree days</w:t>
            </w:r>
          </w:p>
        </w:tc>
        <w:tc>
          <w:tcPr>
            <w:tcW w:w="717" w:type="pct"/>
            <w:shd w:val="clear" w:color="auto" w:fill="auto"/>
            <w:vAlign w:val="center"/>
          </w:tcPr>
          <w:p w14:paraId="3F767A10" w14:textId="77777777" w:rsidR="004E6452" w:rsidRPr="001570EA" w:rsidRDefault="004E6452">
            <w:pPr>
              <w:pStyle w:val="TableCell"/>
              <w:keepNext w:val="0"/>
              <w:spacing w:before="0" w:after="0"/>
              <w:jc w:val="center"/>
              <w:rPr>
                <w:rFonts w:cs="Arial"/>
                <w:i/>
                <w:iCs/>
                <w:szCs w:val="18"/>
              </w:rPr>
            </w:pPr>
            <w:r w:rsidRPr="001570EA">
              <w:rPr>
                <w:rFonts w:ascii="Calibri" w:eastAsia="Arial Unicode MS" w:hAnsi="Calibri" w:cs="Calibri"/>
                <w:i/>
                <w:iCs/>
              </w:rPr>
              <w:t>°</w:t>
            </w:r>
            <w:r w:rsidRPr="001570EA">
              <w:rPr>
                <w:rFonts w:eastAsia="Arial Unicode MS" w:cs="Arial"/>
                <w:i/>
                <w:iCs/>
              </w:rPr>
              <w:t>F-day/year</w:t>
            </w:r>
          </w:p>
        </w:tc>
        <w:tc>
          <w:tcPr>
            <w:tcW w:w="1420" w:type="pct"/>
            <w:shd w:val="clear" w:color="auto" w:fill="auto"/>
            <w:vAlign w:val="center"/>
          </w:tcPr>
          <w:p w14:paraId="3F359DDD" w14:textId="77777777" w:rsidR="004E6452" w:rsidRPr="001570EA" w:rsidRDefault="004E6452">
            <w:pPr>
              <w:pStyle w:val="TableCell"/>
              <w:keepNext w:val="0"/>
              <w:spacing w:before="0" w:after="0"/>
              <w:jc w:val="center"/>
              <w:rPr>
                <w:szCs w:val="18"/>
              </w:rPr>
            </w:pPr>
            <w:r w:rsidRPr="001570EA">
              <w:rPr>
                <w:rFonts w:cs="Arial"/>
                <w:color w:val="000000"/>
                <w:szCs w:val="18"/>
              </w:rPr>
              <w:t>See CDD65 in Vol. 1, App. A</w:t>
            </w:r>
          </w:p>
        </w:tc>
        <w:tc>
          <w:tcPr>
            <w:tcW w:w="601" w:type="pct"/>
            <w:shd w:val="clear" w:color="auto" w:fill="auto"/>
            <w:vAlign w:val="center"/>
          </w:tcPr>
          <w:p w14:paraId="06F61043" w14:textId="77777777" w:rsidR="004E6452" w:rsidRPr="001570EA" w:rsidRDefault="004E6452">
            <w:pPr>
              <w:pStyle w:val="TableCell"/>
              <w:keepNext w:val="0"/>
              <w:spacing w:before="0" w:after="0"/>
              <w:jc w:val="center"/>
              <w:rPr>
                <w:rFonts w:cs="Arial"/>
                <w:szCs w:val="18"/>
              </w:rPr>
            </w:pPr>
            <w:r w:rsidRPr="001570EA">
              <w:rPr>
                <w:rFonts w:cs="Arial"/>
                <w:szCs w:val="18"/>
              </w:rPr>
              <w:t>8</w:t>
            </w:r>
          </w:p>
        </w:tc>
      </w:tr>
      <w:tr w:rsidR="004E6452" w:rsidRPr="001570EA" w14:paraId="6EC2C392" w14:textId="77777777">
        <w:trPr>
          <w:trHeight w:val="350"/>
        </w:trPr>
        <w:tc>
          <w:tcPr>
            <w:tcW w:w="2261" w:type="pct"/>
            <w:shd w:val="clear" w:color="auto" w:fill="auto"/>
            <w:vAlign w:val="bottom"/>
          </w:tcPr>
          <w:p w14:paraId="663F9CE9" w14:textId="77777777" w:rsidR="004E6452" w:rsidRPr="001570EA" w:rsidRDefault="004E6452">
            <w:pPr>
              <w:pStyle w:val="TableCell"/>
              <w:keepNext w:val="0"/>
              <w:spacing w:before="0" w:after="0"/>
              <w:jc w:val="left"/>
              <w:rPr>
                <w:rFonts w:cs="Arial"/>
                <w:color w:val="000000"/>
                <w:szCs w:val="18"/>
              </w:rPr>
            </w:pPr>
            <w:r w:rsidRPr="001570EA">
              <w:rPr>
                <w:rFonts w:cs="Arial"/>
                <w:i/>
                <w:color w:val="000000"/>
                <w:szCs w:val="18"/>
              </w:rPr>
              <w:t>HDD</w:t>
            </w:r>
            <w:r w:rsidRPr="001570EA">
              <w:rPr>
                <w:rFonts w:cs="Arial"/>
                <w:color w:val="000000"/>
                <w:szCs w:val="18"/>
              </w:rPr>
              <w:t>, Heating degree days</w:t>
            </w:r>
          </w:p>
        </w:tc>
        <w:tc>
          <w:tcPr>
            <w:tcW w:w="717" w:type="pct"/>
            <w:shd w:val="clear" w:color="auto" w:fill="auto"/>
            <w:vAlign w:val="center"/>
          </w:tcPr>
          <w:p w14:paraId="31738A2F" w14:textId="77777777" w:rsidR="004E6452" w:rsidRPr="001570EA" w:rsidDel="00BD6D97" w:rsidRDefault="004E6452">
            <w:pPr>
              <w:pStyle w:val="TableCell"/>
              <w:keepNext w:val="0"/>
              <w:spacing w:before="0" w:after="0"/>
              <w:jc w:val="center"/>
              <w:rPr>
                <w:rFonts w:cs="Arial"/>
                <w:i/>
                <w:iCs/>
                <w:color w:val="000000"/>
                <w:szCs w:val="18"/>
              </w:rPr>
            </w:pPr>
            <w:r w:rsidRPr="001570EA">
              <w:rPr>
                <w:rFonts w:ascii="Calibri" w:eastAsia="Arial Unicode MS" w:hAnsi="Calibri" w:cs="Calibri"/>
                <w:i/>
                <w:iCs/>
              </w:rPr>
              <w:t>°</w:t>
            </w:r>
            <w:r w:rsidRPr="001570EA">
              <w:rPr>
                <w:rFonts w:eastAsia="Arial Unicode MS" w:cs="Arial"/>
                <w:i/>
                <w:iCs/>
              </w:rPr>
              <w:t>F-day/year</w:t>
            </w:r>
          </w:p>
        </w:tc>
        <w:tc>
          <w:tcPr>
            <w:tcW w:w="1420" w:type="pct"/>
            <w:shd w:val="clear" w:color="auto" w:fill="auto"/>
            <w:vAlign w:val="center"/>
          </w:tcPr>
          <w:p w14:paraId="38890A5C" w14:textId="77777777" w:rsidR="004E6452" w:rsidRPr="001570EA" w:rsidDel="00BD6D97" w:rsidRDefault="004E6452">
            <w:pPr>
              <w:pStyle w:val="TableCell"/>
              <w:keepNext w:val="0"/>
              <w:spacing w:before="0" w:after="0"/>
              <w:jc w:val="center"/>
              <w:rPr>
                <w:rFonts w:cs="Arial"/>
                <w:color w:val="000000"/>
                <w:szCs w:val="18"/>
              </w:rPr>
            </w:pPr>
            <w:r w:rsidRPr="001570EA">
              <w:rPr>
                <w:rFonts w:cs="Arial"/>
                <w:color w:val="000000"/>
                <w:szCs w:val="18"/>
              </w:rPr>
              <w:t>See HDD65 in Vol. 1, App. A</w:t>
            </w:r>
          </w:p>
        </w:tc>
        <w:tc>
          <w:tcPr>
            <w:tcW w:w="601" w:type="pct"/>
            <w:shd w:val="clear" w:color="auto" w:fill="auto"/>
            <w:vAlign w:val="center"/>
          </w:tcPr>
          <w:p w14:paraId="7C5F4ABA" w14:textId="77777777" w:rsidR="004E6452" w:rsidRPr="001570EA" w:rsidRDefault="004E6452">
            <w:pPr>
              <w:pStyle w:val="TableCell"/>
              <w:keepNext w:val="0"/>
              <w:spacing w:before="0" w:after="0"/>
              <w:jc w:val="center"/>
              <w:rPr>
                <w:rFonts w:cs="Arial"/>
                <w:szCs w:val="18"/>
              </w:rPr>
            </w:pPr>
            <w:r w:rsidRPr="001570EA">
              <w:rPr>
                <w:rFonts w:cs="Arial"/>
                <w:szCs w:val="18"/>
              </w:rPr>
              <w:t>8</w:t>
            </w:r>
          </w:p>
        </w:tc>
      </w:tr>
      <w:tr w:rsidR="004E6452" w:rsidRPr="001570EA" w14:paraId="644E408F" w14:textId="77777777">
        <w:trPr>
          <w:trHeight w:val="1880"/>
        </w:trPr>
        <w:tc>
          <w:tcPr>
            <w:tcW w:w="2261" w:type="pct"/>
            <w:vAlign w:val="center"/>
          </w:tcPr>
          <w:p w14:paraId="40D59793" w14:textId="2F2DA4D4" w:rsidR="004E6452" w:rsidRPr="001570EA" w:rsidRDefault="004E6452">
            <w:pPr>
              <w:pStyle w:val="TableCell"/>
              <w:keepNext w:val="0"/>
              <w:spacing w:before="0" w:after="0"/>
              <w:jc w:val="left"/>
              <w:rPr>
                <w:rFonts w:cs="Arial"/>
                <w:i/>
                <w:iCs/>
              </w:rPr>
            </w:pPr>
            <w:r w:rsidRPr="001570EA">
              <w:rPr>
                <w:rFonts w:cs="Arial"/>
                <w:i/>
                <w:szCs w:val="18"/>
              </w:rPr>
              <w:t>kWh</w:t>
            </w:r>
            <w:r w:rsidRPr="001570EA">
              <w:rPr>
                <w:rFonts w:cs="Arial"/>
                <w:i/>
                <w:szCs w:val="18"/>
                <w:vertAlign w:val="subscript"/>
              </w:rPr>
              <w:t>ee</w:t>
            </w:r>
            <w:r w:rsidRPr="001570EA">
              <w:rPr>
                <w:rFonts w:cs="Arial"/>
                <w:i/>
                <w:szCs w:val="18"/>
              </w:rPr>
              <w:t xml:space="preserve">, </w:t>
            </w:r>
            <w:r w:rsidRPr="001570EA">
              <w:rPr>
                <w:rFonts w:cs="Arial"/>
                <w:szCs w:val="18"/>
              </w:rPr>
              <w:t>Annual energy consumption of ENERGY STAR qualified unit</w:t>
            </w:r>
          </w:p>
        </w:tc>
        <w:tc>
          <w:tcPr>
            <w:tcW w:w="717" w:type="pct"/>
            <w:vAlign w:val="center"/>
          </w:tcPr>
          <w:p w14:paraId="5D24ACA8" w14:textId="77777777" w:rsidR="004E6452" w:rsidRPr="001570EA" w:rsidRDefault="004E6452">
            <w:pPr>
              <w:pStyle w:val="TableCell"/>
              <w:keepNext w:val="0"/>
              <w:spacing w:before="0" w:after="0"/>
              <w:jc w:val="center"/>
              <w:rPr>
                <w:rFonts w:cs="Arial"/>
              </w:rPr>
            </w:pPr>
            <w:r w:rsidRPr="001570EA">
              <w:rPr>
                <w:rFonts w:cs="Arial"/>
                <w:i/>
                <w:szCs w:val="18"/>
              </w:rPr>
              <w:t>kWh/yr</w:t>
            </w:r>
          </w:p>
        </w:tc>
        <w:tc>
          <w:tcPr>
            <w:tcW w:w="1420" w:type="pct"/>
            <w:vAlign w:val="center"/>
          </w:tcPr>
          <w:p w14:paraId="63008318" w14:textId="77777777" w:rsidR="004E6452" w:rsidRPr="001570EA" w:rsidRDefault="004E6452">
            <w:pPr>
              <w:jc w:val="center"/>
              <w:rPr>
                <w:rFonts w:cs="Arial"/>
                <w:sz w:val="18"/>
                <w:szCs w:val="18"/>
              </w:rPr>
            </w:pPr>
            <w:r w:rsidRPr="001570EA">
              <w:rPr>
                <w:rFonts w:cs="Arial"/>
                <w:sz w:val="18"/>
                <w:szCs w:val="18"/>
              </w:rPr>
              <w:t>EDC Data Gathering</w:t>
            </w:r>
          </w:p>
          <w:p w14:paraId="25B2164C" w14:textId="77777777" w:rsidR="004E6452" w:rsidRPr="001570EA" w:rsidRDefault="004E6452">
            <w:pPr>
              <w:jc w:val="center"/>
              <w:rPr>
                <w:rFonts w:cs="Arial"/>
                <w:sz w:val="18"/>
                <w:szCs w:val="18"/>
              </w:rPr>
            </w:pPr>
          </w:p>
          <w:p w14:paraId="3C0E2EA3" w14:textId="749A8873" w:rsidR="004E6452" w:rsidRPr="001570EA" w:rsidRDefault="004E6452">
            <w:pPr>
              <w:jc w:val="center"/>
              <w:rPr>
                <w:rFonts w:cs="Arial"/>
                <w:sz w:val="18"/>
                <w:szCs w:val="18"/>
              </w:rPr>
            </w:pPr>
            <w:r w:rsidRPr="001570EA">
              <w:rPr>
                <w:rFonts w:cs="Arial"/>
                <w:sz w:val="18"/>
                <w:szCs w:val="18"/>
              </w:rPr>
              <w:t xml:space="preserve">Refrigerator Default: See </w:t>
            </w:r>
            <w:r w:rsidR="00E67F5D" w:rsidRPr="001570EA">
              <w:rPr>
                <w:sz w:val="18"/>
                <w:szCs w:val="18"/>
              </w:rPr>
              <w:fldChar w:fldCharType="begin"/>
            </w:r>
            <w:r w:rsidR="00E67F5D" w:rsidRPr="001570EA">
              <w:rPr>
                <w:sz w:val="18"/>
                <w:szCs w:val="18"/>
              </w:rPr>
              <w:instrText xml:space="preserve"> REF _Ref160037323 \h </w:instrText>
            </w:r>
            <w:r w:rsidR="00E73AA3" w:rsidRPr="001570EA">
              <w:rPr>
                <w:sz w:val="18"/>
                <w:szCs w:val="18"/>
              </w:rPr>
              <w:instrText xml:space="preserve"> \* MERGEFORMAT </w:instrText>
            </w:r>
            <w:r w:rsidR="00E67F5D" w:rsidRPr="001570EA">
              <w:rPr>
                <w:sz w:val="18"/>
                <w:szCs w:val="18"/>
              </w:rPr>
            </w:r>
            <w:r w:rsidR="00E67F5D" w:rsidRPr="001570EA">
              <w:rPr>
                <w:sz w:val="18"/>
                <w:szCs w:val="18"/>
              </w:rPr>
              <w:fldChar w:fldCharType="separate"/>
            </w:r>
            <w:r w:rsidR="001723B1" w:rsidRPr="001570EA">
              <w:t xml:space="preserve">Table </w:t>
            </w:r>
            <w:r w:rsidR="001723B1" w:rsidRPr="001570EA">
              <w:rPr>
                <w:noProof/>
              </w:rPr>
              <w:t>2</w:t>
            </w:r>
            <w:r w:rsidR="001723B1" w:rsidRPr="001570EA">
              <w:rPr>
                <w:noProof/>
              </w:rPr>
              <w:noBreakHyphen/>
              <w:t>84</w:t>
            </w:r>
            <w:r w:rsidR="00E67F5D" w:rsidRPr="001570EA">
              <w:rPr>
                <w:sz w:val="18"/>
                <w:szCs w:val="18"/>
              </w:rPr>
              <w:fldChar w:fldCharType="end"/>
            </w:r>
            <w:r w:rsidR="00E67F5D" w:rsidRPr="001570EA">
              <w:rPr>
                <w:sz w:val="18"/>
                <w:szCs w:val="18"/>
              </w:rPr>
              <w:t xml:space="preserve"> </w:t>
            </w:r>
            <w:r w:rsidR="00E67F5D" w:rsidRPr="001570EA">
              <w:rPr>
                <w:rFonts w:cs="Arial"/>
                <w:sz w:val="18"/>
                <w:szCs w:val="18"/>
              </w:rPr>
              <w:t>I</w:t>
            </w:r>
            <w:r w:rsidRPr="001570EA">
              <w:rPr>
                <w:rFonts w:cs="Arial"/>
                <w:sz w:val="18"/>
                <w:szCs w:val="18"/>
              </w:rPr>
              <w:t xml:space="preserve">n Sec. </w:t>
            </w:r>
            <w:bookmarkStart w:id="570" w:name="_Hlk533692348"/>
            <w:r w:rsidRPr="001570EA">
              <w:rPr>
                <w:rFonts w:cs="Arial"/>
                <w:sz w:val="18"/>
                <w:szCs w:val="18"/>
              </w:rPr>
              <w:fldChar w:fldCharType="begin"/>
            </w:r>
            <w:r w:rsidRPr="001570EA">
              <w:rPr>
                <w:rFonts w:cs="Arial"/>
                <w:sz w:val="18"/>
                <w:szCs w:val="18"/>
              </w:rPr>
              <w:instrText xml:space="preserve"> REF _Ref533691790 \w \h  \* MERGEFORMAT </w:instrText>
            </w:r>
            <w:r w:rsidRPr="001570EA">
              <w:rPr>
                <w:rFonts w:cs="Arial"/>
                <w:sz w:val="18"/>
                <w:szCs w:val="18"/>
              </w:rPr>
            </w:r>
            <w:r w:rsidRPr="001570EA">
              <w:rPr>
                <w:rFonts w:cs="Arial"/>
                <w:sz w:val="18"/>
                <w:szCs w:val="18"/>
              </w:rPr>
              <w:fldChar w:fldCharType="separate"/>
            </w:r>
            <w:r w:rsidR="00234C6C" w:rsidRPr="001570EA">
              <w:rPr>
                <w:rFonts w:cs="Arial"/>
                <w:sz w:val="18"/>
                <w:szCs w:val="18"/>
              </w:rPr>
              <w:t>2.4.1</w:t>
            </w:r>
            <w:r w:rsidRPr="001570EA">
              <w:rPr>
                <w:rFonts w:cs="Arial"/>
                <w:sz w:val="18"/>
                <w:szCs w:val="18"/>
              </w:rPr>
              <w:fldChar w:fldCharType="end"/>
            </w:r>
            <w:r w:rsidRPr="001570EA">
              <w:rPr>
                <w:rFonts w:cs="Arial"/>
                <w:sz w:val="18"/>
                <w:szCs w:val="18"/>
              </w:rPr>
              <w:t xml:space="preserve"> ENERGY STAR Refrigerators</w:t>
            </w:r>
          </w:p>
          <w:bookmarkEnd w:id="570"/>
          <w:p w14:paraId="071FF291" w14:textId="77777777" w:rsidR="004E6452" w:rsidRPr="001570EA" w:rsidRDefault="004E6452">
            <w:pPr>
              <w:jc w:val="center"/>
              <w:rPr>
                <w:rFonts w:cs="Arial"/>
                <w:sz w:val="18"/>
                <w:szCs w:val="18"/>
              </w:rPr>
            </w:pPr>
          </w:p>
          <w:p w14:paraId="6FA965DC" w14:textId="21C841ED" w:rsidR="004E6452" w:rsidRPr="001570EA" w:rsidRDefault="004E6452">
            <w:pPr>
              <w:jc w:val="center"/>
              <w:rPr>
                <w:rFonts w:cs="Arial"/>
                <w:sz w:val="18"/>
                <w:szCs w:val="18"/>
              </w:rPr>
            </w:pPr>
            <w:r w:rsidRPr="001570EA">
              <w:rPr>
                <w:rFonts w:cs="Arial"/>
                <w:sz w:val="18"/>
                <w:szCs w:val="18"/>
              </w:rPr>
              <w:t xml:space="preserve">Freezer Default: See </w:t>
            </w:r>
            <w:r w:rsidR="003A4A38" w:rsidRPr="001570EA">
              <w:rPr>
                <w:rFonts w:cs="Arial"/>
                <w:sz w:val="18"/>
                <w:szCs w:val="18"/>
              </w:rPr>
              <w:fldChar w:fldCharType="begin"/>
            </w:r>
            <w:r w:rsidR="003A4A38" w:rsidRPr="001570EA">
              <w:rPr>
                <w:rFonts w:cs="Arial"/>
                <w:sz w:val="18"/>
                <w:szCs w:val="18"/>
              </w:rPr>
              <w:instrText xml:space="preserve"> REF _Ref160812249 \h </w:instrText>
            </w:r>
            <w:r w:rsidR="00E73AA3" w:rsidRPr="001570EA">
              <w:rPr>
                <w:rFonts w:cs="Arial"/>
                <w:sz w:val="18"/>
                <w:szCs w:val="18"/>
              </w:rPr>
              <w:instrText xml:space="preserve"> \* MERGEFORMAT </w:instrText>
            </w:r>
            <w:r w:rsidR="003A4A38" w:rsidRPr="001570EA">
              <w:rPr>
                <w:rFonts w:cs="Arial"/>
                <w:sz w:val="18"/>
                <w:szCs w:val="18"/>
              </w:rPr>
            </w:r>
            <w:r w:rsidR="003A4A38" w:rsidRPr="001570EA">
              <w:rPr>
                <w:rFonts w:cs="Arial"/>
                <w:sz w:val="18"/>
                <w:szCs w:val="18"/>
              </w:rPr>
              <w:fldChar w:fldCharType="separate"/>
            </w:r>
            <w:r w:rsidR="001723B1" w:rsidRPr="001570EA">
              <w:t xml:space="preserve">Table </w:t>
            </w:r>
            <w:r w:rsidR="001723B1" w:rsidRPr="001570EA">
              <w:rPr>
                <w:noProof/>
              </w:rPr>
              <w:t>2</w:t>
            </w:r>
            <w:r w:rsidR="001723B1" w:rsidRPr="001570EA">
              <w:rPr>
                <w:noProof/>
              </w:rPr>
              <w:noBreakHyphen/>
              <w:t>90</w:t>
            </w:r>
            <w:r w:rsidR="003A4A38" w:rsidRPr="001570EA">
              <w:rPr>
                <w:rFonts w:cs="Arial"/>
                <w:sz w:val="18"/>
                <w:szCs w:val="18"/>
              </w:rPr>
              <w:fldChar w:fldCharType="end"/>
            </w:r>
            <w:r w:rsidR="003A4A38" w:rsidRPr="001570EA">
              <w:rPr>
                <w:rFonts w:cs="Arial"/>
                <w:sz w:val="18"/>
                <w:szCs w:val="18"/>
              </w:rPr>
              <w:t xml:space="preserve"> </w:t>
            </w:r>
            <w:r w:rsidRPr="001570EA">
              <w:rPr>
                <w:rFonts w:cs="Arial"/>
                <w:sz w:val="18"/>
                <w:szCs w:val="18"/>
              </w:rPr>
              <w:t xml:space="preserve">in Sec. </w:t>
            </w:r>
            <w:r w:rsidRPr="001570EA">
              <w:rPr>
                <w:rFonts w:cs="Arial"/>
                <w:sz w:val="18"/>
                <w:szCs w:val="18"/>
              </w:rPr>
              <w:fldChar w:fldCharType="begin"/>
            </w:r>
            <w:r w:rsidRPr="001570EA">
              <w:rPr>
                <w:rFonts w:cs="Arial"/>
                <w:sz w:val="18"/>
                <w:szCs w:val="18"/>
              </w:rPr>
              <w:instrText xml:space="preserve"> REF _Ref535145385 \r \h  \* MERGEFORMAT </w:instrText>
            </w:r>
            <w:r w:rsidRPr="001570EA">
              <w:rPr>
                <w:rFonts w:cs="Arial"/>
                <w:sz w:val="18"/>
                <w:szCs w:val="18"/>
              </w:rPr>
            </w:r>
            <w:r w:rsidRPr="001570EA">
              <w:rPr>
                <w:rFonts w:cs="Arial"/>
                <w:sz w:val="18"/>
                <w:szCs w:val="18"/>
              </w:rPr>
              <w:fldChar w:fldCharType="separate"/>
            </w:r>
            <w:r w:rsidR="00234C6C" w:rsidRPr="001570EA">
              <w:rPr>
                <w:rFonts w:cs="Arial"/>
                <w:sz w:val="18"/>
                <w:szCs w:val="18"/>
              </w:rPr>
              <w:t>2.4.2</w:t>
            </w:r>
            <w:r w:rsidRPr="001570EA">
              <w:rPr>
                <w:rFonts w:cs="Arial"/>
                <w:sz w:val="18"/>
                <w:szCs w:val="18"/>
              </w:rPr>
              <w:fldChar w:fldCharType="end"/>
            </w:r>
            <w:r w:rsidRPr="001570EA">
              <w:rPr>
                <w:rFonts w:cs="Arial"/>
                <w:sz w:val="18"/>
                <w:szCs w:val="18"/>
              </w:rPr>
              <w:t xml:space="preserve"> ENERGY STAR Freezers</w:t>
            </w:r>
          </w:p>
        </w:tc>
        <w:tc>
          <w:tcPr>
            <w:tcW w:w="601" w:type="pct"/>
            <w:vAlign w:val="center"/>
          </w:tcPr>
          <w:p w14:paraId="50B5AA2C" w14:textId="77777777" w:rsidR="004E6452" w:rsidRPr="001570EA" w:rsidRDefault="004E6452">
            <w:pPr>
              <w:pStyle w:val="TableCell"/>
              <w:keepNext w:val="0"/>
              <w:spacing w:before="0" w:after="0"/>
              <w:jc w:val="center"/>
              <w:rPr>
                <w:szCs w:val="18"/>
              </w:rPr>
            </w:pPr>
            <w:r w:rsidRPr="001570EA">
              <w:t>EDC Data Gathering,</w:t>
            </w:r>
            <w:r w:rsidRPr="001570EA" w:rsidDel="00611764">
              <w:rPr>
                <w:rFonts w:cs="Arial"/>
                <w:szCs w:val="18"/>
              </w:rPr>
              <w:t xml:space="preserve"> </w:t>
            </w:r>
            <w:r w:rsidRPr="001570EA">
              <w:rPr>
                <w:rFonts w:cs="Arial"/>
                <w:szCs w:val="18"/>
              </w:rPr>
              <w:t>6</w:t>
            </w:r>
          </w:p>
        </w:tc>
      </w:tr>
    </w:tbl>
    <w:p w14:paraId="290FA157" w14:textId="77777777" w:rsidR="004E6452" w:rsidRPr="001570EA" w:rsidRDefault="004E6452" w:rsidP="004E6452"/>
    <w:p w14:paraId="57AD55F4" w14:textId="77777777" w:rsidR="004E6452" w:rsidRPr="001570EA" w:rsidRDefault="004E6452" w:rsidP="004E6452"/>
    <w:p w14:paraId="2FC75931" w14:textId="77777777" w:rsidR="004E6452" w:rsidRPr="001570EA" w:rsidRDefault="004E6452" w:rsidP="004E6452">
      <w:pPr>
        <w:pStyle w:val="SubStyle"/>
      </w:pPr>
      <w:r w:rsidRPr="001570EA">
        <w:t>Measure Life</w:t>
      </w:r>
    </w:p>
    <w:p w14:paraId="0DB587B1" w14:textId="77777777" w:rsidR="004E6452" w:rsidRPr="001570EA" w:rsidRDefault="004E6452" w:rsidP="004E6452">
      <w:r w:rsidRPr="001570EA">
        <w:t>The measure lives for refrigerators and freezers recycled without replacement are 5 years and 4 years, respectively, from the California Electronic Technical Reference Manual. These values represent 1/3 of the EUL of a new refrigerator or freezer.</w:t>
      </w:r>
    </w:p>
    <w:p w14:paraId="08235171" w14:textId="77777777" w:rsidR="004E6452" w:rsidRPr="001570EA" w:rsidRDefault="004E6452" w:rsidP="004E6452"/>
    <w:p w14:paraId="4DF8221C" w14:textId="77777777" w:rsidR="004E6452" w:rsidRPr="001570EA" w:rsidRDefault="004E6452" w:rsidP="004E6452">
      <w:r w:rsidRPr="001570EA">
        <w:t>For refrigerators and freezers recycled with replacement, the adjusted measure life is 6 years for refrigerators and 5 years for freezers.</w:t>
      </w:r>
    </w:p>
    <w:p w14:paraId="43415FA4" w14:textId="77777777" w:rsidR="004E6452" w:rsidRPr="001570EA" w:rsidRDefault="004E6452" w:rsidP="004E6452"/>
    <w:p w14:paraId="3DFEFDC1" w14:textId="77777777" w:rsidR="004E6452" w:rsidRPr="001570EA" w:rsidRDefault="004E6452" w:rsidP="004E6452">
      <w:pPr>
        <w:pStyle w:val="BodyText"/>
        <w:ind w:right="0"/>
        <w:jc w:val="left"/>
        <w:rPr>
          <w:rFonts w:eastAsia="Calibri"/>
          <w:b/>
        </w:rPr>
      </w:pPr>
      <w:r w:rsidRPr="001570EA">
        <w:rPr>
          <w:rFonts w:eastAsia="Calibri"/>
          <w:b/>
        </w:rPr>
        <w:t>Adjusted Measure Life Rationale:</w:t>
      </w:r>
    </w:p>
    <w:p w14:paraId="7A59B385" w14:textId="77777777" w:rsidR="004E6452" w:rsidRPr="001570EA" w:rsidRDefault="004E6452" w:rsidP="004E6452">
      <w:pPr>
        <w:pStyle w:val="BodyText"/>
        <w:rPr>
          <w:rFonts w:eastAsia="Calibri"/>
        </w:rPr>
      </w:pPr>
      <w:r w:rsidRPr="001570EA">
        <w:rPr>
          <w:rFonts w:eastAsia="Calibri"/>
        </w:rPr>
        <w:t xml:space="preserve">Refrigerator/freezer recycling with replacement programs commonly calculate savings over two periods, the RUL of the existing unit, and the remainder of the EUL of the efficient unit beyond the RUL of the existing unit. For the first period of savings (the RUL of the existing unit), the energy savings are equal to the savings difference between the existing baseline unit and the ENERGY STAR unit; the RUL can be assumed to be 1/3 of the measure EUL of the ENERGY STAR unit. For the second period of savings (the remaining EUL of the efficient unit), the energy savings are equal to the difference between a Federal Standard unit and the ENERGY STAR unit. </w:t>
      </w:r>
    </w:p>
    <w:p w14:paraId="5E48F06C" w14:textId="77777777" w:rsidR="004E6452" w:rsidRPr="001570EA" w:rsidRDefault="004E6452" w:rsidP="004E6452">
      <w:pPr>
        <w:pStyle w:val="BodyText"/>
        <w:rPr>
          <w:rFonts w:eastAsia="Calibri"/>
        </w:rPr>
      </w:pPr>
    </w:p>
    <w:p w14:paraId="2F3C49DC" w14:textId="395E4C53" w:rsidR="004E6452" w:rsidRPr="001570EA" w:rsidRDefault="004E6452" w:rsidP="004E6452">
      <w:pPr>
        <w:pStyle w:val="BodyText"/>
        <w:rPr>
          <w:color w:val="000000"/>
          <w:vertAlign w:val="superscript"/>
        </w:rPr>
      </w:pPr>
      <w:r w:rsidRPr="001570EA">
        <w:rPr>
          <w:rFonts w:eastAsia="Calibri"/>
        </w:rPr>
        <w:t xml:space="preserve">The EUL of a new ENERGY STAR refrigerator is </w:t>
      </w:r>
      <w:r w:rsidRPr="001570EA">
        <w:rPr>
          <w:color w:val="000000"/>
        </w:rPr>
        <w:t xml:space="preserve">14 years (see the </w:t>
      </w:r>
      <w:r w:rsidRPr="001570EA">
        <w:rPr>
          <w:color w:val="000000"/>
        </w:rPr>
        <w:fldChar w:fldCharType="begin"/>
      </w:r>
      <w:r w:rsidRPr="001570EA">
        <w:rPr>
          <w:color w:val="000000"/>
        </w:rPr>
        <w:instrText xml:space="preserve"> REF _Ref14093914 \h </w:instrText>
      </w:r>
      <w:r w:rsidR="001570EA">
        <w:rPr>
          <w:color w:val="000000"/>
        </w:rPr>
        <w:instrText xml:space="preserve"> \* MERGEFORMAT </w:instrText>
      </w:r>
      <w:r w:rsidRPr="001570EA">
        <w:rPr>
          <w:color w:val="000000"/>
        </w:rPr>
      </w:r>
      <w:r w:rsidRPr="001570EA">
        <w:rPr>
          <w:color w:val="000000"/>
        </w:rPr>
        <w:fldChar w:fldCharType="separate"/>
      </w:r>
      <w:r w:rsidR="00234C6C" w:rsidRPr="001570EA">
        <w:t>ENERGY STAR Refrigerators</w:t>
      </w:r>
      <w:r w:rsidRPr="001570EA">
        <w:rPr>
          <w:color w:val="000000"/>
        </w:rPr>
        <w:fldChar w:fldCharType="end"/>
      </w:r>
      <w:r w:rsidRPr="001570EA">
        <w:rPr>
          <w:color w:val="000000"/>
        </w:rPr>
        <w:t xml:space="preserve"> section). However, a study of a low-income refrigerator replacement program for SDG&amp;E (2006) found that among the program’s target population, refrigerators are likely to be replaced less frequently than among average customers. As a result, the report updating the California DEER database recommended an EUL of 18 years for such programs.</w:t>
      </w:r>
      <w:r w:rsidRPr="001570EA">
        <w:rPr>
          <w:color w:val="000000"/>
          <w:vertAlign w:val="superscript"/>
        </w:rPr>
        <w:t>Source 5</w:t>
      </w:r>
    </w:p>
    <w:p w14:paraId="36EA429B" w14:textId="77777777" w:rsidR="004E6452" w:rsidRPr="001570EA" w:rsidRDefault="004E6452" w:rsidP="004E6452">
      <w:pPr>
        <w:pStyle w:val="BodyText"/>
        <w:rPr>
          <w:color w:val="000000"/>
        </w:rPr>
      </w:pPr>
    </w:p>
    <w:p w14:paraId="540A0B4D" w14:textId="77777777" w:rsidR="004E6452" w:rsidRPr="001570EA" w:rsidRDefault="004E6452" w:rsidP="004E6452">
      <w:pPr>
        <w:pStyle w:val="BodyText"/>
        <w:rPr>
          <w:color w:val="000000"/>
        </w:rPr>
      </w:pPr>
      <w:r w:rsidRPr="001570EA">
        <w:rPr>
          <w:color w:val="000000"/>
        </w:rPr>
        <w:t xml:space="preserve">To simplify the calculation of savings and remove the need to calculate two different savings, an adjusted value for measure life of 6 years for both low-income specific and non-low-income specific programs can be used with the savings </w:t>
      </w:r>
      <w:r w:rsidRPr="001570EA">
        <w:rPr>
          <w:rFonts w:eastAsia="Calibri"/>
        </w:rPr>
        <w:t>difference between the existing baseline unit and the ENERGY STAR unit</w:t>
      </w:r>
      <w:r w:rsidRPr="001570EA">
        <w:rPr>
          <w:color w:val="000000"/>
        </w:rPr>
        <w:t xml:space="preserve"> over the adjusted measure life. The 6-year adjusted measure life is derived by averaging the lifetime savings of a non-low-income replacement with a 14-year measure life and a low-income replacement with an 18-year measure life. </w:t>
      </w:r>
    </w:p>
    <w:p w14:paraId="20605E65" w14:textId="77777777" w:rsidR="004E6452" w:rsidRPr="001570EA" w:rsidRDefault="004E6452" w:rsidP="004E6452">
      <w:pPr>
        <w:pStyle w:val="BodyText"/>
        <w:rPr>
          <w:color w:val="000000"/>
        </w:rPr>
      </w:pPr>
    </w:p>
    <w:p w14:paraId="2C11FEDE" w14:textId="71A2EE75" w:rsidR="004E6452" w:rsidRPr="001570EA" w:rsidRDefault="004E6452" w:rsidP="004E6452">
      <w:pPr>
        <w:pStyle w:val="BodyText"/>
        <w:rPr>
          <w:color w:val="000000"/>
        </w:rPr>
      </w:pPr>
      <w:r w:rsidRPr="001570EA">
        <w:rPr>
          <w:color w:val="000000"/>
        </w:rPr>
        <w:t xml:space="preserve">The derivation of the 6-year adjusted measure life can be demonstrated with an example of a typical refrigerator replacement with an ENERGY STAR unit. Assuming a refrigerator of type 5l in the </w:t>
      </w:r>
      <w:r w:rsidRPr="001570EA">
        <w:rPr>
          <w:color w:val="000000"/>
        </w:rPr>
        <w:fldChar w:fldCharType="begin"/>
      </w:r>
      <w:r w:rsidRPr="001570EA">
        <w:rPr>
          <w:color w:val="000000"/>
        </w:rPr>
        <w:instrText xml:space="preserve"> REF _Ref14093940 \h </w:instrText>
      </w:r>
      <w:r w:rsidR="001570EA">
        <w:rPr>
          <w:color w:val="000000"/>
        </w:rPr>
        <w:instrText xml:space="preserve"> \* MERGEFORMAT </w:instrText>
      </w:r>
      <w:r w:rsidRPr="001570EA">
        <w:rPr>
          <w:color w:val="000000"/>
        </w:rPr>
      </w:r>
      <w:r w:rsidRPr="001570EA">
        <w:rPr>
          <w:color w:val="000000"/>
        </w:rPr>
        <w:fldChar w:fldCharType="separate"/>
      </w:r>
      <w:r w:rsidR="00234C6C" w:rsidRPr="001570EA">
        <w:t>ENERGY STAR Refrigerators</w:t>
      </w:r>
      <w:r w:rsidRPr="001570EA">
        <w:rPr>
          <w:color w:val="000000"/>
        </w:rPr>
        <w:fldChar w:fldCharType="end"/>
      </w:r>
      <w:r w:rsidRPr="001570EA">
        <w:rPr>
          <w:color w:val="000000"/>
        </w:rPr>
        <w:t xml:space="preserve"> section with an adjusted volume of 20 ft</w:t>
      </w:r>
      <w:r w:rsidRPr="001570EA">
        <w:rPr>
          <w:color w:val="000000"/>
          <w:vertAlign w:val="superscript"/>
        </w:rPr>
        <w:t>3</w:t>
      </w:r>
      <w:r w:rsidRPr="001570EA">
        <w:rPr>
          <w:color w:val="000000"/>
        </w:rPr>
        <w:t>, annual savings would be 578 kWh for the RUL of the existing baseline unit and 49 kWh for the remaining EUL.</w:t>
      </w:r>
      <w:r w:rsidRPr="001570EA">
        <w:rPr>
          <w:rStyle w:val="FootnoteReference"/>
          <w:color w:val="000000"/>
        </w:rPr>
        <w:footnoteReference w:id="10"/>
      </w:r>
    </w:p>
    <w:p w14:paraId="496B4AA3" w14:textId="77777777" w:rsidR="004E6452" w:rsidRPr="001570EA" w:rsidRDefault="004E6452" w:rsidP="004E6452">
      <w:pPr>
        <w:pStyle w:val="BodyText"/>
        <w:rPr>
          <w:color w:val="000000"/>
        </w:rPr>
      </w:pPr>
    </w:p>
    <w:p w14:paraId="341B2DB3" w14:textId="77777777" w:rsidR="004E6452" w:rsidRPr="001570EA" w:rsidRDefault="004E6452" w:rsidP="004E6452">
      <w:pPr>
        <w:pStyle w:val="BodyText"/>
        <w:rPr>
          <w:color w:val="000000"/>
        </w:rPr>
      </w:pPr>
      <w:r w:rsidRPr="001570EA">
        <w:rPr>
          <w:color w:val="000000"/>
        </w:rPr>
        <w:t xml:space="preserve">In the case of a non-low-income program there is an RUL of 5 years for the existing unit (1/3 * 14= 5) and a remaining EUL of the efficient unit of 9 years (2/3 * 14 = 9). The lifetime savings are equal to 3,331 kWh (578 kWh/yr * 5 yrs + 49 kWh / yr * 9 yrs), resulting in an adjusted measure life of 6 years: 3,331 kWh / 578 kWh/yr = 6 years. </w:t>
      </w:r>
    </w:p>
    <w:p w14:paraId="11B507BE" w14:textId="77777777" w:rsidR="004E6452" w:rsidRPr="001570EA" w:rsidRDefault="004E6452" w:rsidP="004E6452">
      <w:pPr>
        <w:pStyle w:val="BodyText"/>
        <w:rPr>
          <w:color w:val="000000"/>
        </w:rPr>
      </w:pPr>
    </w:p>
    <w:p w14:paraId="68F6C416" w14:textId="77777777" w:rsidR="004E6452" w:rsidRPr="001570EA" w:rsidRDefault="004E6452" w:rsidP="004E6452">
      <w:pPr>
        <w:pStyle w:val="BodyText"/>
        <w:rPr>
          <w:color w:val="000000"/>
        </w:rPr>
      </w:pPr>
      <w:r w:rsidRPr="001570EA">
        <w:rPr>
          <w:color w:val="000000"/>
        </w:rPr>
        <w:t xml:space="preserve">In the case of a low-income program there is an RUL of 6 years for the existing unit (1/3 * 18 = 6) and a remaining EUL of the efficient unit of 12 years (2/3 * 18 = 12). The lifetime savings are equal to 4,056 kWh (578 kWh/yr * 6 yrs + 49 kWh / yr * 12 yrs), resulting in an adjusted measure life of 7 years: 4,056 kWh / 578 kWh/yr = 7 years. </w:t>
      </w:r>
    </w:p>
    <w:p w14:paraId="5DCD6572" w14:textId="77777777" w:rsidR="004E6452" w:rsidRPr="001570EA" w:rsidRDefault="004E6452" w:rsidP="004E6452">
      <w:pPr>
        <w:pStyle w:val="BodyText"/>
        <w:rPr>
          <w:color w:val="000000"/>
        </w:rPr>
      </w:pPr>
    </w:p>
    <w:p w14:paraId="2BB99E02" w14:textId="77777777" w:rsidR="004E6452" w:rsidRPr="001570EA" w:rsidRDefault="004E6452" w:rsidP="004E6452">
      <w:r w:rsidRPr="001570EA">
        <w:rPr>
          <w:color w:val="000000"/>
        </w:rPr>
        <w:t>Averaging the two lifetime savings values results in an adjusted measure life of 6 years (3,694 kWh / 578 kWh/yr = 6 years) that can be used for both low-income specific and non-low-income specific programs.</w:t>
      </w:r>
    </w:p>
    <w:p w14:paraId="0AEF732B" w14:textId="77777777" w:rsidR="004E6452" w:rsidRPr="001570EA" w:rsidRDefault="004E6452" w:rsidP="004E6452"/>
    <w:p w14:paraId="1F21F431" w14:textId="77777777" w:rsidR="004E6452" w:rsidRPr="001570EA" w:rsidRDefault="004E6452" w:rsidP="004E6452">
      <w:pPr>
        <w:pStyle w:val="SubStyle"/>
      </w:pPr>
      <w:r w:rsidRPr="001570EA">
        <w:t>Evaluation Protocols</w:t>
      </w:r>
    </w:p>
    <w:p w14:paraId="74A1BEC9" w14:textId="77777777" w:rsidR="004E6452" w:rsidRPr="001570EA" w:rsidRDefault="004E6452" w:rsidP="004E6452">
      <w:pPr>
        <w:pStyle w:val="BodyText"/>
        <w:ind w:right="0"/>
        <w:rPr>
          <w:rFonts w:cs="Arial"/>
        </w:rPr>
      </w:pPr>
      <w:r w:rsidRPr="001570EA">
        <w:t>For most projects, the appropriate evaluation protocol is to verify installation and proper selection of default values. For projects using customer-specific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7C210DB1" w14:textId="77777777" w:rsidR="004E6452" w:rsidRPr="001570EA" w:rsidRDefault="004E6452" w:rsidP="004E6452"/>
    <w:p w14:paraId="1B173611" w14:textId="77777777" w:rsidR="004E6452" w:rsidRPr="001570EA" w:rsidRDefault="004E6452" w:rsidP="004E6452">
      <w:pPr>
        <w:pStyle w:val="SubStyle"/>
      </w:pPr>
      <w:r w:rsidRPr="001570EA">
        <w:t>Sources</w:t>
      </w:r>
    </w:p>
    <w:p w14:paraId="6481D9E7" w14:textId="051935B5" w:rsidR="004E6452" w:rsidRPr="001570EA" w:rsidRDefault="004E6452" w:rsidP="006D787B">
      <w:pPr>
        <w:pStyle w:val="ListParagraph"/>
        <w:numPr>
          <w:ilvl w:val="0"/>
          <w:numId w:val="54"/>
        </w:numPr>
        <w:overflowPunct/>
        <w:autoSpaceDE/>
        <w:autoSpaceDN/>
        <w:adjustRightInd/>
        <w:spacing w:after="120"/>
        <w:ind w:left="360"/>
        <w:jc w:val="left"/>
        <w:textAlignment w:val="auto"/>
        <w:rPr>
          <w:rFonts w:eastAsiaTheme="minorHAnsi" w:cs="Arial"/>
        </w:rPr>
      </w:pPr>
      <w:r w:rsidRPr="001570EA">
        <w:rPr>
          <w:rFonts w:cs="Arial"/>
          <w:color w:val="000000"/>
        </w:rPr>
        <w:t xml:space="preserve">California Electronic Technical Reference Manual. “Refrigerator or Freezer, Residential”. Accessed December 2023. </w:t>
      </w:r>
      <w:hyperlink r:id="rId227" w:history="1">
        <w:r w:rsidRPr="001570EA">
          <w:rPr>
            <w:rStyle w:val="Hyperlink"/>
            <w:rFonts w:cs="Arial"/>
          </w:rPr>
          <w:t>Weblink</w:t>
        </w:r>
      </w:hyperlink>
    </w:p>
    <w:p w14:paraId="649167CE" w14:textId="58F44B28" w:rsidR="004E6452" w:rsidRPr="001570EA" w:rsidRDefault="004E6452" w:rsidP="006D787B">
      <w:pPr>
        <w:pStyle w:val="ListParagraph"/>
        <w:numPr>
          <w:ilvl w:val="0"/>
          <w:numId w:val="54"/>
        </w:numPr>
        <w:overflowPunct/>
        <w:autoSpaceDE/>
        <w:autoSpaceDN/>
        <w:adjustRightInd/>
        <w:spacing w:after="120"/>
        <w:ind w:left="360"/>
        <w:jc w:val="left"/>
        <w:textAlignment w:val="auto"/>
        <w:rPr>
          <w:rFonts w:cs="Arial"/>
        </w:rPr>
      </w:pPr>
      <w:r w:rsidRPr="001570EA">
        <w:t xml:space="preserve">Keeling, J., Bruchs, D. (2017). "Chapter 7: Refrigerator Recycling Evaluation Protocol. The Uniform Methods Project: Methods for Determining Energy-Efficiency Savings for Specific Measures". Section 4.4. National Renewable Energy Laboratory. </w:t>
      </w:r>
      <w:hyperlink r:id="rId228" w:history="1">
        <w:r w:rsidRPr="001570EA">
          <w:rPr>
            <w:rStyle w:val="Hyperlink"/>
            <w:rFonts w:cs="Arial"/>
          </w:rPr>
          <w:t>Weblink</w:t>
        </w:r>
      </w:hyperlink>
    </w:p>
    <w:p w14:paraId="39483176" w14:textId="77777777" w:rsidR="004E6452" w:rsidRPr="001570EA" w:rsidRDefault="004E6452" w:rsidP="006D787B">
      <w:pPr>
        <w:pStyle w:val="ListParagraph"/>
        <w:numPr>
          <w:ilvl w:val="0"/>
          <w:numId w:val="54"/>
        </w:numPr>
        <w:overflowPunct/>
        <w:autoSpaceDE/>
        <w:autoSpaceDN/>
        <w:adjustRightInd/>
        <w:spacing w:after="120"/>
        <w:ind w:left="360"/>
        <w:textAlignment w:val="auto"/>
      </w:pPr>
      <w:r w:rsidRPr="001570EA">
        <w:t>Based on a Cadmus survey of 510 PPL participants in PY8.</w:t>
      </w:r>
    </w:p>
    <w:p w14:paraId="219E5DBA" w14:textId="66E93565" w:rsidR="004E6452" w:rsidRPr="001570EA" w:rsidDel="00BB663E" w:rsidRDefault="004E6452" w:rsidP="006D787B">
      <w:pPr>
        <w:pStyle w:val="ListParagraph"/>
        <w:numPr>
          <w:ilvl w:val="0"/>
          <w:numId w:val="54"/>
        </w:numPr>
        <w:overflowPunct/>
        <w:autoSpaceDE/>
        <w:autoSpaceDN/>
        <w:adjustRightInd/>
        <w:spacing w:after="120"/>
        <w:ind w:left="360"/>
        <w:jc w:val="left"/>
        <w:textAlignment w:val="auto"/>
        <w:rPr>
          <w:rFonts w:cs="Arial"/>
        </w:rPr>
      </w:pPr>
      <w:r w:rsidRPr="001570EA">
        <w:rPr>
          <w:rFonts w:cs="Arial"/>
        </w:rPr>
        <w:t xml:space="preserve">Wilson et al. 2021. End-Use Load Profiles for the U.S. Building Stock: Methodology and Results of Model Calibration, Validation, and Uncertainty Quantification. NREL/TP-5500-80889. </w:t>
      </w:r>
      <w:hyperlink r:id="rId229" w:history="1">
        <w:r w:rsidRPr="001570EA">
          <w:rPr>
            <w:rStyle w:val="Hyperlink"/>
            <w:rFonts w:cs="Arial"/>
          </w:rPr>
          <w:t>Weblink</w:t>
        </w:r>
      </w:hyperlink>
    </w:p>
    <w:p w14:paraId="537E6496" w14:textId="231CD77B" w:rsidR="004E6452" w:rsidRPr="001570EA" w:rsidRDefault="004E6452" w:rsidP="006D787B">
      <w:pPr>
        <w:pStyle w:val="ListParagraph"/>
        <w:numPr>
          <w:ilvl w:val="0"/>
          <w:numId w:val="54"/>
        </w:numPr>
        <w:overflowPunct/>
        <w:autoSpaceDE/>
        <w:autoSpaceDN/>
        <w:adjustRightInd/>
        <w:spacing w:after="120"/>
        <w:ind w:left="360"/>
        <w:jc w:val="left"/>
        <w:textAlignment w:val="auto"/>
      </w:pPr>
      <w:r w:rsidRPr="001570EA">
        <w:t xml:space="preserve">Seiden, K., Bruchs, D., Peters, J., Moran, D., Burdick, M. (2006, July). “2004–2005 Final Report: A Measurement and Evaluation Study of the 2004-2005 Limited Income Refrigerator Replacement &amp; Lighting Program”. </w:t>
      </w:r>
      <w:hyperlink r:id="rId230" w:history="1">
        <w:r w:rsidRPr="001570EA">
          <w:rPr>
            <w:rStyle w:val="Hyperlink"/>
            <w:rFonts w:cs="Arial"/>
          </w:rPr>
          <w:t>Weblink</w:t>
        </w:r>
      </w:hyperlink>
    </w:p>
    <w:p w14:paraId="32E5BB4A" w14:textId="77777777" w:rsidR="004E6452" w:rsidRPr="001570EA" w:rsidRDefault="004E6452" w:rsidP="004E6452">
      <w:pPr>
        <w:rPr>
          <w:color w:val="000000"/>
        </w:rPr>
      </w:pPr>
    </w:p>
    <w:p w14:paraId="324ED5D5" w14:textId="5D2F58A3" w:rsidR="004E6452" w:rsidRPr="001570EA" w:rsidRDefault="004E6452" w:rsidP="006D787B">
      <w:pPr>
        <w:pStyle w:val="ListParagraph"/>
        <w:numPr>
          <w:ilvl w:val="0"/>
          <w:numId w:val="54"/>
        </w:numPr>
        <w:overflowPunct/>
        <w:autoSpaceDE/>
        <w:autoSpaceDN/>
        <w:adjustRightInd/>
        <w:spacing w:after="120"/>
        <w:ind w:left="360"/>
        <w:textAlignment w:val="auto"/>
        <w:rPr>
          <w:rStyle w:val="Hyperlink"/>
          <w:rFonts w:eastAsiaTheme="minorHAnsi" w:cs="Arial"/>
          <w:color w:val="auto"/>
          <w:u w:val="none"/>
        </w:rPr>
      </w:pPr>
      <w:r w:rsidRPr="001570EA">
        <w:rPr>
          <w:rFonts w:cs="Arial"/>
          <w:color w:val="000000"/>
        </w:rPr>
        <w:t xml:space="preserve">U.S. EPA. (2014). ENERGY STAR Program Requirements Product Specifications for Consumer Refrigeration Products Version 5.1. </w:t>
      </w:r>
      <w:hyperlink r:id="rId231" w:history="1">
        <w:r w:rsidRPr="001570EA">
          <w:rPr>
            <w:rStyle w:val="Hyperlink"/>
            <w:rFonts w:cs="Arial"/>
          </w:rPr>
          <w:t>Weblink</w:t>
        </w:r>
      </w:hyperlink>
      <w:r w:rsidRPr="001570EA">
        <w:rPr>
          <w:rFonts w:cs="Arial"/>
          <w:color w:val="000000"/>
        </w:rPr>
        <w:t xml:space="preserve"> </w:t>
      </w:r>
    </w:p>
    <w:p w14:paraId="156E1EF4" w14:textId="1A9BB00E" w:rsidR="004E6452" w:rsidRPr="001570EA" w:rsidRDefault="004E6452" w:rsidP="006D787B">
      <w:pPr>
        <w:pStyle w:val="ListParagraph"/>
        <w:numPr>
          <w:ilvl w:val="0"/>
          <w:numId w:val="54"/>
        </w:numPr>
        <w:overflowPunct/>
        <w:autoSpaceDE/>
        <w:autoSpaceDN/>
        <w:adjustRightInd/>
        <w:spacing w:after="120"/>
        <w:ind w:left="360"/>
        <w:jc w:val="left"/>
        <w:textAlignment w:val="auto"/>
        <w:rPr>
          <w:rStyle w:val="Hyperlink"/>
          <w:rFonts w:cs="Arial"/>
          <w:color w:val="auto"/>
          <w:u w:val="none"/>
        </w:rPr>
      </w:pPr>
      <w:r w:rsidRPr="001570EA">
        <w:t xml:space="preserve">Proportion of refrigerators and freezers calculated using data gathered for </w:t>
      </w:r>
      <w:r w:rsidR="006966DF">
        <w:t xml:space="preserve">Act 129 </w:t>
      </w:r>
      <w:r w:rsidRPr="001570EA">
        <w:t>2023 Pennsylvania Residential Baseline Study</w:t>
      </w:r>
      <w:r w:rsidRPr="001570EA">
        <w:rPr>
          <w:rFonts w:cs="Arial"/>
        </w:rPr>
        <w:t>.</w:t>
      </w:r>
      <w:r w:rsidRPr="001570EA" w:rsidDel="00715A58">
        <w:t xml:space="preserve"> </w:t>
      </w:r>
      <w:bookmarkStart w:id="571" w:name="_Toc530141488"/>
    </w:p>
    <w:p w14:paraId="3CA63090" w14:textId="26E33AAC" w:rsidR="004E6452" w:rsidRPr="001570EA" w:rsidRDefault="004E6452" w:rsidP="006D787B">
      <w:pPr>
        <w:pStyle w:val="ListParagraph"/>
        <w:numPr>
          <w:ilvl w:val="0"/>
          <w:numId w:val="54"/>
        </w:numPr>
        <w:ind w:left="360"/>
      </w:pPr>
      <w:r w:rsidRPr="001570EA">
        <w:t>Based on the Phase III SWE team’s analysis of regional HVAC runtime data collected from ecobee’s Donate Your Data research service (</w:t>
      </w:r>
      <w:hyperlink r:id="rId232" w:history="1">
        <w:r w:rsidRPr="001570EA">
          <w:rPr>
            <w:rStyle w:val="Hyperlink"/>
          </w:rPr>
          <w:t>Weblink</w:t>
        </w:r>
      </w:hyperlink>
      <w:r w:rsidRPr="001570EA">
        <w:t>) and updated based on the latest CDD and HDD values from NOAA’s 15-year annual climate Normals (2006–2020) (</w:t>
      </w:r>
      <w:hyperlink r:id="rId233" w:history="1">
        <w:r w:rsidRPr="001570EA">
          <w:rPr>
            <w:rStyle w:val="Hyperlink"/>
          </w:rPr>
          <w:t>Weblink</w:t>
        </w:r>
      </w:hyperlink>
      <w:r w:rsidRPr="001570EA">
        <w:t>)</w:t>
      </w:r>
    </w:p>
    <w:p w14:paraId="4EA1C773" w14:textId="77777777" w:rsidR="004E6452" w:rsidRPr="001570EA" w:rsidRDefault="004E6452" w:rsidP="006D787B">
      <w:pPr>
        <w:pStyle w:val="ListParagraph"/>
        <w:numPr>
          <w:ilvl w:val="0"/>
          <w:numId w:val="54"/>
        </w:numPr>
        <w:ind w:left="360"/>
        <w:rPr>
          <w:rFonts w:cs="Arial"/>
        </w:rPr>
        <w:sectPr w:rsidR="004E6452" w:rsidRPr="001570EA" w:rsidSect="002D556C">
          <w:footerReference w:type="first" r:id="rId234"/>
          <w:pgSz w:w="12240" w:h="15840"/>
          <w:pgMar w:top="1440" w:right="1800" w:bottom="1440" w:left="1800" w:header="720" w:footer="501" w:gutter="0"/>
          <w:cols w:space="720"/>
        </w:sectPr>
      </w:pPr>
    </w:p>
    <w:p w14:paraId="2F6D5707" w14:textId="77777777" w:rsidR="004E6452" w:rsidRPr="001570EA" w:rsidRDefault="004E6452" w:rsidP="00462D97">
      <w:pPr>
        <w:pStyle w:val="Heading3"/>
      </w:pPr>
      <w:bookmarkStart w:id="572" w:name="_Toc164786663"/>
      <w:bookmarkStart w:id="573" w:name="_Toc48143043"/>
      <w:r w:rsidRPr="001570EA">
        <w:t>Low-Capacity Refrigerator / Freezer Recycling without Replacement</w:t>
      </w:r>
      <w:bookmarkEnd w:id="572"/>
    </w:p>
    <w:tbl>
      <w:tblPr>
        <w:tblW w:w="48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350"/>
      </w:tblGrid>
      <w:tr w:rsidR="004E6452" w:rsidRPr="001570EA" w14:paraId="1ADD74BC" w14:textId="77777777">
        <w:trPr>
          <w:trHeight w:val="534"/>
        </w:trPr>
        <w:tc>
          <w:tcPr>
            <w:tcW w:w="2401" w:type="pct"/>
            <w:shd w:val="clear" w:color="auto" w:fill="auto"/>
          </w:tcPr>
          <w:p w14:paraId="10B06FA1" w14:textId="77777777" w:rsidR="004E6452" w:rsidRPr="001570EA" w:rsidRDefault="004E6452">
            <w:pPr>
              <w:pStyle w:val="TableCell"/>
              <w:spacing w:before="60" w:after="60"/>
              <w:jc w:val="left"/>
              <w:rPr>
                <w:b/>
                <w:sz w:val="20"/>
              </w:rPr>
            </w:pPr>
            <w:r w:rsidRPr="001570EA">
              <w:rPr>
                <w:b/>
              </w:rPr>
              <w:t>Target Sector</w:t>
            </w:r>
          </w:p>
        </w:tc>
        <w:tc>
          <w:tcPr>
            <w:tcW w:w="2599" w:type="pct"/>
            <w:shd w:val="clear" w:color="auto" w:fill="auto"/>
          </w:tcPr>
          <w:p w14:paraId="5BB71CEC" w14:textId="77777777" w:rsidR="004E6452" w:rsidRPr="001570EA" w:rsidRDefault="004E6452">
            <w:pPr>
              <w:pStyle w:val="TableCell"/>
              <w:spacing w:before="60" w:after="60"/>
              <w:jc w:val="center"/>
            </w:pPr>
            <w:r w:rsidRPr="001570EA">
              <w:t>Residential</w:t>
            </w:r>
          </w:p>
        </w:tc>
      </w:tr>
      <w:tr w:rsidR="004E6452" w:rsidRPr="001570EA" w14:paraId="15D4F1AC" w14:textId="77777777">
        <w:trPr>
          <w:trHeight w:val="534"/>
        </w:trPr>
        <w:tc>
          <w:tcPr>
            <w:tcW w:w="2401" w:type="pct"/>
            <w:shd w:val="clear" w:color="auto" w:fill="auto"/>
          </w:tcPr>
          <w:p w14:paraId="3CD41276" w14:textId="77777777" w:rsidR="004E6452" w:rsidRPr="001570EA" w:rsidRDefault="004E6452">
            <w:pPr>
              <w:pStyle w:val="TableCell"/>
              <w:spacing w:before="60" w:after="60"/>
              <w:jc w:val="left"/>
              <w:rPr>
                <w:b/>
                <w:sz w:val="20"/>
              </w:rPr>
            </w:pPr>
            <w:r w:rsidRPr="001570EA">
              <w:rPr>
                <w:b/>
              </w:rPr>
              <w:t>Measure Life</w:t>
            </w:r>
          </w:p>
        </w:tc>
        <w:tc>
          <w:tcPr>
            <w:tcW w:w="2599" w:type="pct"/>
            <w:shd w:val="clear" w:color="auto" w:fill="auto"/>
          </w:tcPr>
          <w:p w14:paraId="2ED4FB41" w14:textId="77777777" w:rsidR="004E6452" w:rsidRPr="001570EA" w:rsidRDefault="004E6452">
            <w:pPr>
              <w:pStyle w:val="TableCell"/>
              <w:tabs>
                <w:tab w:val="center" w:pos="2067"/>
                <w:tab w:val="left" w:pos="2880"/>
              </w:tabs>
              <w:spacing w:before="60" w:after="60"/>
              <w:jc w:val="center"/>
              <w:rPr>
                <w:szCs w:val="18"/>
              </w:rPr>
            </w:pPr>
            <w:r w:rsidRPr="001570EA">
              <w:rPr>
                <w:b/>
                <w:szCs w:val="18"/>
              </w:rPr>
              <w:t>Without Replacement:</w:t>
            </w:r>
            <w:r w:rsidRPr="001570EA">
              <w:rPr>
                <w:vertAlign w:val="superscript"/>
              </w:rPr>
              <w:t xml:space="preserve"> Source 1</w:t>
            </w:r>
          </w:p>
          <w:p w14:paraId="3BB7C3E8" w14:textId="77777777" w:rsidR="004E6452" w:rsidRPr="001570EA" w:rsidRDefault="004E6452">
            <w:pPr>
              <w:pStyle w:val="TableCell"/>
              <w:tabs>
                <w:tab w:val="center" w:pos="2067"/>
                <w:tab w:val="left" w:pos="2880"/>
              </w:tabs>
              <w:spacing w:before="60" w:after="60"/>
              <w:jc w:val="center"/>
              <w:rPr>
                <w:szCs w:val="18"/>
              </w:rPr>
            </w:pPr>
            <w:r w:rsidRPr="001570EA">
              <w:rPr>
                <w:szCs w:val="18"/>
              </w:rPr>
              <w:t xml:space="preserve">Refrigerator: 5 years </w:t>
            </w:r>
          </w:p>
          <w:p w14:paraId="13E36636" w14:textId="77777777" w:rsidR="004E6452" w:rsidRPr="001570EA" w:rsidRDefault="004E6452">
            <w:pPr>
              <w:pStyle w:val="TableCell"/>
              <w:tabs>
                <w:tab w:val="center" w:pos="2067"/>
                <w:tab w:val="left" w:pos="2880"/>
              </w:tabs>
              <w:spacing w:before="60" w:after="60"/>
              <w:jc w:val="center"/>
              <w:rPr>
                <w:rFonts w:eastAsia="Arial Unicode MS" w:cs="Arial"/>
                <w:iCs/>
                <w:szCs w:val="18"/>
              </w:rPr>
            </w:pPr>
            <w:r w:rsidRPr="001570EA">
              <w:rPr>
                <w:rFonts w:eastAsia="Arial Unicode MS" w:cs="Arial"/>
                <w:iCs/>
                <w:szCs w:val="18"/>
              </w:rPr>
              <w:t xml:space="preserve">Freezer: 4 years </w:t>
            </w:r>
          </w:p>
        </w:tc>
      </w:tr>
      <w:tr w:rsidR="004E6452" w:rsidRPr="001570EA" w14:paraId="557EFB93" w14:textId="77777777">
        <w:trPr>
          <w:trHeight w:val="534"/>
        </w:trPr>
        <w:tc>
          <w:tcPr>
            <w:tcW w:w="2401" w:type="pct"/>
            <w:shd w:val="clear" w:color="auto" w:fill="auto"/>
          </w:tcPr>
          <w:p w14:paraId="254814F9" w14:textId="77777777" w:rsidR="004E6452" w:rsidRPr="001570EA" w:rsidRDefault="004E6452">
            <w:pPr>
              <w:pStyle w:val="TableCell"/>
              <w:spacing w:before="60" w:after="60"/>
              <w:jc w:val="left"/>
              <w:rPr>
                <w:b/>
              </w:rPr>
            </w:pPr>
            <w:r w:rsidRPr="001570EA">
              <w:rPr>
                <w:b/>
              </w:rPr>
              <w:t>Vintage</w:t>
            </w:r>
          </w:p>
        </w:tc>
        <w:tc>
          <w:tcPr>
            <w:tcW w:w="2599" w:type="pct"/>
            <w:shd w:val="clear" w:color="auto" w:fill="auto"/>
          </w:tcPr>
          <w:p w14:paraId="595964DB" w14:textId="77777777" w:rsidR="004E6452" w:rsidRPr="001570EA" w:rsidRDefault="004E6452">
            <w:pPr>
              <w:pStyle w:val="TableCell"/>
              <w:spacing w:before="60" w:after="60"/>
              <w:jc w:val="center"/>
            </w:pPr>
            <w:r w:rsidRPr="001570EA">
              <w:t>Early Retirement</w:t>
            </w:r>
          </w:p>
        </w:tc>
      </w:tr>
    </w:tbl>
    <w:p w14:paraId="03862453" w14:textId="77777777" w:rsidR="004E6452" w:rsidRPr="001570EA" w:rsidRDefault="004E6452" w:rsidP="004E6452">
      <w:pPr>
        <w:pStyle w:val="SubStyle"/>
      </w:pPr>
    </w:p>
    <w:p w14:paraId="4C2C4989" w14:textId="77777777" w:rsidR="004E6452" w:rsidRPr="001570EA" w:rsidRDefault="004E6452" w:rsidP="004E6452">
      <w:pPr>
        <w:pStyle w:val="SubStyle"/>
      </w:pPr>
      <w:r w:rsidRPr="001570EA">
        <w:t>Eligibility</w:t>
      </w:r>
    </w:p>
    <w:p w14:paraId="5A0DEE40" w14:textId="77777777" w:rsidR="004E6452" w:rsidRPr="001570EA" w:rsidRDefault="004E6452" w:rsidP="004E6452">
      <w:pPr>
        <w:pStyle w:val="BodyText"/>
        <w:spacing w:after="120"/>
        <w:ind w:right="0"/>
        <w:rPr>
          <w:rFonts w:eastAsia="Calibri"/>
        </w:rPr>
      </w:pPr>
      <w:r w:rsidRPr="001570EA">
        <w:rPr>
          <w:rFonts w:eastAsia="Calibri"/>
        </w:rPr>
        <w:t>Refrigerator and freezer recycling programs are designed to save energy through the removal of old-but-operable compact refrigerators and freezers from service. This measure focuses on “mini-fridges” and small freezers, including those regulated as compact refrigerators and freezers (which are defined as having a total volume of 7.5 ft</w:t>
      </w:r>
      <w:r w:rsidRPr="001570EA">
        <w:rPr>
          <w:rFonts w:eastAsia="Calibri"/>
          <w:vertAlign w:val="superscript"/>
        </w:rPr>
        <w:t>3</w:t>
      </w:r>
      <w:r w:rsidRPr="001570EA">
        <w:rPr>
          <w:rFonts w:eastAsia="Calibri"/>
        </w:rPr>
        <w:t xml:space="preserve"> or less), specifically those units with an interior size (total volume) less than 10 cubic feet which are excluded from the Uniform Methods Project-based 2.4.3 Refrigerator / Freezer Recycling of the 2026 TRM. </w:t>
      </w:r>
    </w:p>
    <w:p w14:paraId="6379F327" w14:textId="77777777" w:rsidR="004E6452" w:rsidRPr="001570EA" w:rsidRDefault="004E6452" w:rsidP="004E6452">
      <w:pPr>
        <w:pStyle w:val="BodyText"/>
        <w:spacing w:after="120"/>
        <w:ind w:right="0"/>
        <w:rPr>
          <w:rFonts w:eastAsia="Calibri"/>
        </w:rPr>
      </w:pPr>
      <w:r w:rsidRPr="001570EA">
        <w:rPr>
          <w:rFonts w:eastAsia="Calibri"/>
        </w:rPr>
        <w:t>By offering free pickup, providing incentives, and disseminating information about the operating cost of old compact refrigerators, these programs are designed to encourage consumers to:</w:t>
      </w:r>
    </w:p>
    <w:p w14:paraId="5871FA34" w14:textId="77777777" w:rsidR="004E6452" w:rsidRPr="001570EA" w:rsidRDefault="004E6452" w:rsidP="004E6452">
      <w:pPr>
        <w:pStyle w:val="BodyText"/>
        <w:numPr>
          <w:ilvl w:val="0"/>
          <w:numId w:val="51"/>
        </w:numPr>
        <w:ind w:left="360" w:right="0"/>
        <w:rPr>
          <w:rFonts w:eastAsia="Calibri"/>
        </w:rPr>
      </w:pPr>
      <w:r w:rsidRPr="001570EA">
        <w:rPr>
          <w:rFonts w:eastAsia="Calibri"/>
        </w:rPr>
        <w:t>Discontinue the use of secondary compact refrigerators</w:t>
      </w:r>
    </w:p>
    <w:p w14:paraId="27989155" w14:textId="77777777" w:rsidR="004E6452" w:rsidRPr="001570EA" w:rsidRDefault="004E6452" w:rsidP="004E6452">
      <w:pPr>
        <w:pStyle w:val="BodyText"/>
        <w:numPr>
          <w:ilvl w:val="0"/>
          <w:numId w:val="51"/>
        </w:numPr>
        <w:ind w:left="360" w:right="0"/>
        <w:rPr>
          <w:rFonts w:eastAsia="Calibri"/>
        </w:rPr>
      </w:pPr>
      <w:r w:rsidRPr="001570EA">
        <w:rPr>
          <w:rFonts w:eastAsia="Calibri"/>
        </w:rPr>
        <w:t>Relinquish compact refrigerators previously used as primary units when they are replaced (rather than keeping the old compact refrigerator as a secondary unit or on site of a large facility)</w:t>
      </w:r>
    </w:p>
    <w:p w14:paraId="230C27B2" w14:textId="77777777" w:rsidR="004E6452" w:rsidRPr="001570EA" w:rsidRDefault="004E6452" w:rsidP="004E6452">
      <w:pPr>
        <w:pStyle w:val="BodyText"/>
        <w:numPr>
          <w:ilvl w:val="0"/>
          <w:numId w:val="51"/>
        </w:numPr>
        <w:ind w:left="360" w:right="0"/>
        <w:rPr>
          <w:rFonts w:eastAsia="Calibri"/>
        </w:rPr>
      </w:pPr>
      <w:r w:rsidRPr="001570EA">
        <w:rPr>
          <w:rFonts w:eastAsia="Calibri"/>
        </w:rPr>
        <w:t>Prevent the continued use of old compact refrigerators in another location through a direct transfer (giving it away or selling it) or indirect transfer (resale on the used appliance market).</w:t>
      </w:r>
    </w:p>
    <w:p w14:paraId="245BABE3" w14:textId="77777777" w:rsidR="004E6452" w:rsidRPr="001570EA" w:rsidRDefault="004E6452" w:rsidP="004E6452">
      <w:pPr>
        <w:rPr>
          <w:rFonts w:eastAsia="Calibri"/>
        </w:rPr>
      </w:pPr>
    </w:p>
    <w:p w14:paraId="6BDDDD3B" w14:textId="77777777" w:rsidR="004E6452" w:rsidRPr="001570EA" w:rsidRDefault="004E6452" w:rsidP="004E6452">
      <w:pPr>
        <w:pStyle w:val="NoSpacing"/>
      </w:pPr>
      <w:r w:rsidRPr="001570EA">
        <w:t>This protocol applies to both residential and non-residential sectors, as refrigerator and freezer usage and energy usage are assumed to be independent of customer rate class. The savings algorithms are based on current and historic federal efficiency standards for refrigerators and freezers. The savings algorithms for this measure can be applied to refrigerator and freezer retirements meeting the following criteria:</w:t>
      </w:r>
    </w:p>
    <w:p w14:paraId="397D225C" w14:textId="77777777" w:rsidR="004E6452" w:rsidRPr="001570EA" w:rsidRDefault="004E6452" w:rsidP="006D787B">
      <w:pPr>
        <w:pStyle w:val="source10"/>
        <w:numPr>
          <w:ilvl w:val="0"/>
          <w:numId w:val="68"/>
        </w:numPr>
        <w:spacing w:after="0"/>
        <w:ind w:left="360"/>
        <w:rPr>
          <w:rFonts w:eastAsia="Calibri"/>
        </w:rPr>
      </w:pPr>
      <w:r w:rsidRPr="001570EA">
        <w:rPr>
          <w:rFonts w:eastAsia="Calibri"/>
        </w:rPr>
        <w:t>Existing, working compact refrigerator or freezer less than 10 cubic feet in size (savings does not apply if unit is not working)</w:t>
      </w:r>
    </w:p>
    <w:p w14:paraId="109BFC11" w14:textId="77777777" w:rsidR="004E6452" w:rsidRPr="001570EA" w:rsidRDefault="004E6452" w:rsidP="006D787B">
      <w:pPr>
        <w:pStyle w:val="source10"/>
        <w:numPr>
          <w:ilvl w:val="0"/>
          <w:numId w:val="68"/>
        </w:numPr>
        <w:spacing w:after="0"/>
        <w:ind w:left="360"/>
        <w:rPr>
          <w:rFonts w:eastAsia="Calibri"/>
        </w:rPr>
      </w:pPr>
      <w:r w:rsidRPr="001570EA">
        <w:rPr>
          <w:rFonts w:eastAsia="Calibri"/>
        </w:rPr>
        <w:t>Unit is a primary, secondary, or abandoned</w:t>
      </w:r>
    </w:p>
    <w:p w14:paraId="4B21C715" w14:textId="77777777" w:rsidR="004E6452" w:rsidRPr="001570EA" w:rsidRDefault="004E6452" w:rsidP="004E6452">
      <w:pPr>
        <w:pStyle w:val="source10"/>
        <w:spacing w:after="0"/>
        <w:rPr>
          <w:rFonts w:eastAsia="Calibri"/>
        </w:rPr>
      </w:pPr>
    </w:p>
    <w:p w14:paraId="69DF3F3A" w14:textId="77777777" w:rsidR="004E6452" w:rsidRPr="001570EA" w:rsidRDefault="004E6452" w:rsidP="004E6452">
      <w:pPr>
        <w:pStyle w:val="source10"/>
        <w:spacing w:before="120" w:after="0"/>
      </w:pPr>
      <w:r w:rsidRPr="001570EA">
        <w:rPr>
          <w:rFonts w:eastAsia="Calibri"/>
        </w:rPr>
        <w:t>EDCs can use data gathering to calculate program savings using the federal efficiency standards, and actual program year recycled refrigerator/freezer data.</w:t>
      </w:r>
    </w:p>
    <w:p w14:paraId="348982AA" w14:textId="77777777" w:rsidR="004E6452" w:rsidRPr="001570EA" w:rsidRDefault="004E6452" w:rsidP="004E6452">
      <w:pPr>
        <w:pStyle w:val="SubStyle"/>
      </w:pPr>
    </w:p>
    <w:p w14:paraId="1A66917F" w14:textId="77777777" w:rsidR="004E6452" w:rsidRPr="001570EA" w:rsidRDefault="004E6452" w:rsidP="004E6452">
      <w:pPr>
        <w:pStyle w:val="SubStyle"/>
      </w:pPr>
      <w:r w:rsidRPr="001570EA">
        <w:t>Algorithms</w:t>
      </w:r>
    </w:p>
    <w:p w14:paraId="6BE87187" w14:textId="77777777" w:rsidR="004E6452" w:rsidRPr="001570EA" w:rsidRDefault="004E6452" w:rsidP="004E6452">
      <w:pPr>
        <w:spacing w:after="120"/>
        <w:rPr>
          <w:rFonts w:cs="Arial"/>
          <w:iCs/>
        </w:rPr>
      </w:pPr>
      <w:r w:rsidRPr="001570EA">
        <w:rPr>
          <w:rFonts w:cs="Arial"/>
          <w:iCs/>
        </w:rPr>
        <w:t>The total annual energy savings (kWh/yr) achieved from recycling old-but-operable refrigerators are calculated using the following general algorithms:</w:t>
      </w:r>
    </w:p>
    <w:p w14:paraId="4F583151" w14:textId="77777777" w:rsidR="004E6452" w:rsidRPr="001570EA" w:rsidRDefault="004E6452" w:rsidP="004E6452">
      <w:pPr>
        <w:spacing w:after="120" w:line="264" w:lineRule="auto"/>
        <w:rPr>
          <w:b/>
        </w:rPr>
      </w:pPr>
      <w:r w:rsidRPr="001570EA">
        <w:rPr>
          <w:b/>
        </w:rPr>
        <w:t>Energy Savings</w:t>
      </w:r>
    </w:p>
    <w:p w14:paraId="0568D236" w14:textId="77777777" w:rsidR="004E6452" w:rsidRPr="001570EA" w:rsidRDefault="004E6452" w:rsidP="004E6452">
      <w:pPr>
        <w:tabs>
          <w:tab w:val="left" w:pos="1440"/>
        </w:tabs>
        <w:rPr>
          <w:rFonts w:ascii="Cambria Math" w:hAnsi="Cambria Math" w:cs="Arial"/>
          <w:sz w:val="22"/>
          <w:szCs w:val="22"/>
        </w:rPr>
      </w:pPr>
      <w:r w:rsidRPr="001570EA">
        <w:rPr>
          <w:rFonts w:ascii="Calibri" w:hAnsi="Calibri" w:cs="Arial"/>
          <w:i/>
          <w:iCs/>
        </w:rPr>
        <w:t>Δ</w:t>
      </w:r>
      <w:r w:rsidRPr="001570EA">
        <w:rPr>
          <w:rFonts w:cs="Arial"/>
          <w:i/>
          <w:iCs/>
        </w:rPr>
        <w:t>kWh</w:t>
      </w:r>
      <w:r w:rsidRPr="001570EA">
        <w:rPr>
          <w:rFonts w:cs="Arial"/>
          <w:i/>
          <w:iCs/>
        </w:rPr>
        <w:tab/>
      </w:r>
      <w:r w:rsidRPr="001570EA">
        <w:rPr>
          <w:rFonts w:ascii="Cambria Math" w:hAnsi="Cambria Math" w:cs="Arial"/>
          <w:iCs/>
          <w:sz w:val="22"/>
          <w:szCs w:val="22"/>
        </w:rPr>
        <w:t>=</w:t>
      </w:r>
      <m:oMath>
        <m:r>
          <w:rPr>
            <w:rFonts w:ascii="Cambria Math" w:hAnsi="Cambria Math" w:cs="Arial"/>
            <w:sz w:val="22"/>
            <w:szCs w:val="22"/>
          </w:rPr>
          <m:t>UEC×PAR</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USE</m:t>
            </m:r>
          </m:sub>
        </m:sSub>
      </m:oMath>
    </w:p>
    <w:p w14:paraId="215516AB" w14:textId="77777777" w:rsidR="004E6452" w:rsidRPr="001570EA" w:rsidRDefault="004E6452" w:rsidP="004E6452"/>
    <w:p w14:paraId="585368AC" w14:textId="77777777" w:rsidR="004E6452" w:rsidRPr="001570EA" w:rsidRDefault="004E6452" w:rsidP="004E6452">
      <w:pPr>
        <w:rPr>
          <w:rFonts w:eastAsia="Calibri"/>
        </w:rPr>
      </w:pPr>
      <w:r w:rsidRPr="001570EA">
        <w:rPr>
          <w:rFonts w:eastAsia="Calibri"/>
        </w:rPr>
        <w:t>Note that lifetime savings will be calculated with this same general algorithm but with an adjusted measure life.</w:t>
      </w:r>
    </w:p>
    <w:p w14:paraId="12E3846D" w14:textId="77777777" w:rsidR="004E6452" w:rsidRPr="001570EA" w:rsidRDefault="004E6452" w:rsidP="004E6452">
      <w:pPr>
        <w:rPr>
          <w:rFonts w:eastAsia="Calibri"/>
        </w:rPr>
      </w:pPr>
    </w:p>
    <w:p w14:paraId="3D5BF954" w14:textId="77777777" w:rsidR="004E6452" w:rsidRPr="001570EA" w:rsidRDefault="004E6452" w:rsidP="00597241">
      <w:pPr>
        <w:keepNext/>
        <w:keepLines/>
        <w:rPr>
          <w:b/>
          <w:vertAlign w:val="superscript"/>
        </w:rPr>
      </w:pPr>
      <w:r w:rsidRPr="001570EA">
        <w:rPr>
          <w:b/>
        </w:rPr>
        <w:t xml:space="preserve">Unit Energy Consumption (UEC) </w:t>
      </w:r>
    </w:p>
    <w:p w14:paraId="0C78DA0B" w14:textId="77777777" w:rsidR="004E6452" w:rsidRPr="001570EA" w:rsidRDefault="004E6452" w:rsidP="00597241">
      <w:pPr>
        <w:pStyle w:val="source10"/>
        <w:keepNext/>
        <w:keepLines/>
        <w:spacing w:after="120" w:line="264" w:lineRule="auto"/>
        <w:rPr>
          <w:rFonts w:eastAsia="Calibri"/>
        </w:rPr>
      </w:pPr>
      <w:r w:rsidRPr="001570EA">
        <w:rPr>
          <w:rFonts w:eastAsia="Calibri"/>
        </w:rPr>
        <w:t>Recognizing that determination of appliance characteristics via measurement or make/model lookup may be impractical in some cases, several options for determining the UEC of the existing refrigerator or freezer are permitted, listed below. Option 1 uses the product class average UECs provided in Table 2. The remaining options are more precise than Option 1 and are listed in descending order of precision (Options 2 through 5). EDCs may choose to forego the extra documentation required for the more precise calculation options but note that these options should allow for the capture of more savings.</w:t>
      </w:r>
    </w:p>
    <w:p w14:paraId="13519943" w14:textId="77777777" w:rsidR="004E6452" w:rsidRPr="001570EA" w:rsidRDefault="004E6452" w:rsidP="006D787B">
      <w:pPr>
        <w:pStyle w:val="source10"/>
        <w:numPr>
          <w:ilvl w:val="0"/>
          <w:numId w:val="65"/>
        </w:numPr>
        <w:spacing w:after="120" w:line="264" w:lineRule="auto"/>
        <w:rPr>
          <w:rFonts w:eastAsia="Calibri"/>
        </w:rPr>
      </w:pPr>
      <w:r w:rsidRPr="001570EA">
        <w:rPr>
          <w:rFonts w:eastAsia="Calibri"/>
        </w:rPr>
        <w:t>The default class-dependent UEC from Table 2.</w:t>
      </w:r>
    </w:p>
    <w:p w14:paraId="3C715AD5" w14:textId="77777777" w:rsidR="004E6452" w:rsidRPr="001570EA" w:rsidRDefault="004E6452" w:rsidP="006D787B">
      <w:pPr>
        <w:pStyle w:val="source10"/>
        <w:numPr>
          <w:ilvl w:val="0"/>
          <w:numId w:val="65"/>
        </w:numPr>
        <w:spacing w:after="120" w:line="264" w:lineRule="auto"/>
        <w:rPr>
          <w:rFonts w:eastAsia="Calibri"/>
        </w:rPr>
      </w:pPr>
      <w:r w:rsidRPr="001570EA">
        <w:rPr>
          <w:rFonts w:eastAsia="Calibri"/>
        </w:rPr>
        <w:t>The official label energy rating for the model such as from an EnergyGuide or historic ENERGY STAR records. Documentation should include the model number and information source.</w:t>
      </w:r>
    </w:p>
    <w:p w14:paraId="63B67FC2" w14:textId="77777777" w:rsidR="004E6452" w:rsidRPr="001570EA" w:rsidRDefault="004E6452" w:rsidP="006D787B">
      <w:pPr>
        <w:pStyle w:val="source10"/>
        <w:numPr>
          <w:ilvl w:val="0"/>
          <w:numId w:val="65"/>
        </w:numPr>
        <w:spacing w:after="120" w:line="264" w:lineRule="auto"/>
        <w:rPr>
          <w:rFonts w:eastAsia="Calibri"/>
        </w:rPr>
      </w:pPr>
      <w:r w:rsidRPr="001570EA">
        <w:rPr>
          <w:rFonts w:eastAsia="Calibri"/>
        </w:rPr>
        <w:t xml:space="preserve">Calculated from class-dependent formula in Table 3 with age verified by nameplate, compressor age, or model and serial number, </w:t>
      </w:r>
      <w:r w:rsidRPr="001570EA">
        <w:rPr>
          <w:rFonts w:eastAsia="Calibri"/>
          <w:u w:val="single"/>
        </w:rPr>
        <w:t>and adjusted or total volume verified from (1) the nameplate, (2) similar sources as option 2, or (3) measured in the field.</w:t>
      </w:r>
    </w:p>
    <w:p w14:paraId="6B502245" w14:textId="77777777" w:rsidR="004E6452" w:rsidRPr="001570EA" w:rsidRDefault="004E6452" w:rsidP="006D787B">
      <w:pPr>
        <w:pStyle w:val="source10"/>
        <w:numPr>
          <w:ilvl w:val="0"/>
          <w:numId w:val="65"/>
        </w:numPr>
        <w:spacing w:after="120" w:line="264" w:lineRule="auto"/>
        <w:rPr>
          <w:rFonts w:eastAsia="Calibri"/>
          <w:u w:val="single"/>
        </w:rPr>
      </w:pPr>
      <w:r w:rsidRPr="001570EA">
        <w:rPr>
          <w:rFonts w:eastAsia="Calibri"/>
        </w:rPr>
        <w:t xml:space="preserve">Calculated from class-dependent formula in Table 3 with age verified by nameplate, compressor age, or model and serial number, </w:t>
      </w:r>
      <w:r w:rsidRPr="001570EA">
        <w:rPr>
          <w:rFonts w:eastAsia="Calibri"/>
          <w:u w:val="single"/>
        </w:rPr>
        <w:t>using the age-appropriate default volume from Table 4.</w:t>
      </w:r>
    </w:p>
    <w:p w14:paraId="7C3FA760" w14:textId="77777777" w:rsidR="004E6452" w:rsidRPr="001570EA" w:rsidRDefault="004E6452" w:rsidP="006D787B">
      <w:pPr>
        <w:pStyle w:val="source10"/>
        <w:numPr>
          <w:ilvl w:val="0"/>
          <w:numId w:val="65"/>
        </w:numPr>
        <w:spacing w:after="120" w:line="264" w:lineRule="auto"/>
        <w:rPr>
          <w:rFonts w:eastAsia="Calibri"/>
        </w:rPr>
      </w:pPr>
      <w:r w:rsidRPr="001570EA">
        <w:rPr>
          <w:rFonts w:eastAsia="Calibri"/>
        </w:rPr>
        <w:t>Calculated from the “2015 to date” class-dependent formula in Table 3 with total volume verified from nameplate or measured Adjusted volume.</w:t>
      </w:r>
    </w:p>
    <w:p w14:paraId="310506E3" w14:textId="77777777" w:rsidR="004E6452" w:rsidRPr="001570EA" w:rsidRDefault="004E6452" w:rsidP="004E6452">
      <w:pPr>
        <w:rPr>
          <w:rFonts w:eastAsia="Calibri"/>
        </w:rPr>
      </w:pPr>
      <w:r w:rsidRPr="001570EA">
        <w:rPr>
          <w:rFonts w:eastAsia="Calibri"/>
        </w:rPr>
        <w:t>If both fresh and freezer compartment volumes are available, adjusted volume should be calculated as follows:</w:t>
      </w:r>
    </w:p>
    <w:p w14:paraId="28E5F36E" w14:textId="77777777" w:rsidR="004E6452" w:rsidRPr="001570EA" w:rsidRDefault="004E6452" w:rsidP="004E6452">
      <w:pPr>
        <w:pStyle w:val="source10"/>
        <w:spacing w:after="120" w:line="264" w:lineRule="auto"/>
        <w:ind w:left="720"/>
      </w:pPr>
      <w:r w:rsidRPr="001570EA">
        <w:rPr>
          <w:rFonts w:ascii="Cambria Math" w:hAnsi="Cambria Math"/>
          <w:i/>
        </w:rPr>
        <w:t>All Refrigerator</w:t>
      </w:r>
      <w:r w:rsidRPr="001570EA">
        <w:rPr>
          <w:rStyle w:val="FootnoteReference"/>
          <w:color w:val="000000"/>
          <w:sz w:val="18"/>
          <w:szCs w:val="18"/>
        </w:rPr>
        <w:footnoteReference w:id="11"/>
      </w:r>
      <w:r w:rsidRPr="001570EA">
        <w:rPr>
          <w:rFonts w:ascii="Cambria Math" w:hAnsi="Cambria Math"/>
          <w:i/>
        </w:rPr>
        <w:t xml:space="preserve"> AV</w:t>
      </w:r>
      <w:r w:rsidRPr="001570EA">
        <w:tab/>
      </w:r>
      <m:oMath>
        <m:r>
          <w:rPr>
            <w:rFonts w:ascii="Cambria Math" w:hAnsi="Cambria Math"/>
          </w:rPr>
          <m:t>=Total Volume= Fresh Volume+Freezer Volume</m:t>
        </m:r>
      </m:oMath>
    </w:p>
    <w:p w14:paraId="18B888F2" w14:textId="77777777" w:rsidR="004E6452" w:rsidRPr="001570EA" w:rsidRDefault="004E6452" w:rsidP="004E6452">
      <w:pPr>
        <w:pStyle w:val="source10"/>
        <w:spacing w:after="120" w:line="264" w:lineRule="auto"/>
        <w:ind w:left="720"/>
        <w:rPr>
          <w:lang w:val="es-ES"/>
        </w:rPr>
      </w:pPr>
      <w:r w:rsidRPr="001570EA">
        <w:rPr>
          <w:rFonts w:ascii="Cambria Math" w:hAnsi="Cambria Math"/>
          <w:i/>
          <w:lang w:val="es-ES"/>
        </w:rPr>
        <w:t>Refrigerator AV</w:t>
      </w:r>
      <w:r w:rsidRPr="001570EA">
        <w:rPr>
          <w:rFonts w:ascii="Cambria Math" w:hAnsi="Cambria Math"/>
          <w:i/>
          <w:lang w:val="es-ES"/>
        </w:rPr>
        <w:tab/>
      </w:r>
      <w:r w:rsidRPr="001570EA">
        <w:rPr>
          <w:lang w:val="es-ES"/>
        </w:rPr>
        <w:tab/>
      </w:r>
      <m:oMath>
        <m:r>
          <w:rPr>
            <w:rFonts w:ascii="Cambria Math" w:hAnsi="Cambria Math"/>
            <w:lang w:val="es-ES"/>
          </w:rPr>
          <m:t>=</m:t>
        </m:r>
        <m:r>
          <w:rPr>
            <w:rFonts w:ascii="Cambria Math" w:hAnsi="Cambria Math"/>
          </w:rPr>
          <m:t>Fres</m:t>
        </m:r>
        <m:r>
          <w:rPr>
            <w:rFonts w:ascii="Cambria Math" w:hAnsi="Cambria Math"/>
            <w:lang w:val="es-ES"/>
          </w:rPr>
          <m:t xml:space="preserve">h </m:t>
        </m:r>
        <m:r>
          <w:rPr>
            <w:rFonts w:ascii="Cambria Math" w:hAnsi="Cambria Math"/>
          </w:rPr>
          <m:t>Volume</m:t>
        </m:r>
        <m:r>
          <w:rPr>
            <w:rFonts w:ascii="Cambria Math" w:hAnsi="Cambria Math"/>
            <w:lang w:val="es-ES"/>
          </w:rPr>
          <m:t>+1.63×</m:t>
        </m:r>
        <m:r>
          <w:rPr>
            <w:rFonts w:ascii="Cambria Math" w:hAnsi="Cambria Math"/>
          </w:rPr>
          <m:t>Freezer</m:t>
        </m:r>
        <m:r>
          <w:rPr>
            <w:rFonts w:ascii="Cambria Math" w:hAnsi="Cambria Math"/>
            <w:lang w:val="es-ES"/>
          </w:rPr>
          <m:t xml:space="preserve"> </m:t>
        </m:r>
        <m:r>
          <w:rPr>
            <w:rFonts w:ascii="Cambria Math" w:hAnsi="Cambria Math"/>
          </w:rPr>
          <m:t>Volume</m:t>
        </m:r>
      </m:oMath>
    </w:p>
    <w:p w14:paraId="7A6A786A" w14:textId="77777777" w:rsidR="004E6452" w:rsidRPr="001570EA" w:rsidRDefault="004E6452" w:rsidP="004E6452">
      <w:pPr>
        <w:pStyle w:val="source10"/>
        <w:spacing w:after="120" w:line="264" w:lineRule="auto"/>
        <w:ind w:left="720"/>
        <w:rPr>
          <w:rFonts w:eastAsia="Calibri"/>
        </w:rPr>
      </w:pPr>
      <w:r w:rsidRPr="001570EA">
        <w:rPr>
          <w:rFonts w:ascii="Cambria Math" w:hAnsi="Cambria Math"/>
          <w:i/>
        </w:rPr>
        <w:t>Freezer AV</w:t>
      </w:r>
      <w:r w:rsidRPr="001570EA">
        <w:tab/>
      </w:r>
      <w:r w:rsidRPr="001570EA">
        <w:tab/>
      </w:r>
      <m:oMath>
        <m:r>
          <w:rPr>
            <w:rFonts w:ascii="Cambria Math" w:hAnsi="Cambria Math"/>
          </w:rPr>
          <m:t>=1.76×Freezer Volume</m:t>
        </m:r>
      </m:oMath>
    </w:p>
    <w:p w14:paraId="619A65CE" w14:textId="77777777" w:rsidR="004E6452" w:rsidRPr="001570EA" w:rsidRDefault="004E6452" w:rsidP="004E6452">
      <w:pPr>
        <w:pStyle w:val="source10"/>
        <w:spacing w:after="0" w:line="264" w:lineRule="auto"/>
      </w:pPr>
      <w:r w:rsidRPr="001570EA">
        <w:t>Otherwise, the class-dependent average adjusted volume to total volume ratio may be used from Table 4.</w:t>
      </w:r>
    </w:p>
    <w:p w14:paraId="7B406DDE" w14:textId="77777777" w:rsidR="004E6452" w:rsidRPr="001570EA" w:rsidRDefault="004E6452" w:rsidP="004E6452">
      <w:pPr>
        <w:rPr>
          <w:rFonts w:cs="Arial"/>
        </w:rPr>
      </w:pPr>
    </w:p>
    <w:p w14:paraId="71C3DC46" w14:textId="77777777" w:rsidR="004E6452" w:rsidRPr="001570EA" w:rsidRDefault="004E6452" w:rsidP="004E6452">
      <w:pPr>
        <w:rPr>
          <w:rFonts w:cs="Arial"/>
          <w:b/>
        </w:rPr>
      </w:pPr>
      <w:r w:rsidRPr="001570EA">
        <w:rPr>
          <w:rFonts w:cs="Arial"/>
          <w:b/>
        </w:rPr>
        <w:t>Part-Use Factor</w:t>
      </w:r>
    </w:p>
    <w:p w14:paraId="01E668BD" w14:textId="77777777" w:rsidR="004E6452" w:rsidRPr="001570EA" w:rsidRDefault="004E6452" w:rsidP="004E6452">
      <w:pPr>
        <w:rPr>
          <w:rFonts w:cs="Arial"/>
        </w:rPr>
      </w:pPr>
      <w:r w:rsidRPr="001570EA">
        <w:rPr>
          <w:rFonts w:cs="Arial"/>
        </w:rPr>
        <w:t>When calculating per unit kWh savings for a removed refrigerator or freezer, it is necessary to calculate and apply a “Part-Use” factor. “Part-use” is an appliance recycling-specific adjustment factor used to convert the UEC (determined through the methods described above) into an average per-unit deemed savings value. The UEC itself is not equal to the default savings value, because: (1) the UEC model yields an estimate of annual consumption, and (2) not all recycled refrigerators and freezers would have operated year-round had they not been decommissioned through the program.</w:t>
      </w:r>
    </w:p>
    <w:p w14:paraId="7F4CBF26" w14:textId="77777777" w:rsidR="004E6452" w:rsidRPr="001570EA" w:rsidRDefault="004E6452" w:rsidP="004E6452">
      <w:pPr>
        <w:rPr>
          <w:rFonts w:cs="Arial"/>
        </w:rPr>
      </w:pPr>
    </w:p>
    <w:p w14:paraId="3E4E0041" w14:textId="0801E1AC" w:rsidR="004E6452" w:rsidRPr="001570EA" w:rsidRDefault="004E6452" w:rsidP="004E6452">
      <w:pPr>
        <w:rPr>
          <w:rFonts w:cs="Arial"/>
        </w:rPr>
      </w:pPr>
      <w:r w:rsidRPr="001570EA">
        <w:rPr>
          <w:rFonts w:cs="Arial"/>
        </w:rPr>
        <w:t>In Program Year 8, the Commission determined that the average removed standard size refrigerator was plugged in and used 72.8% of the year and the average freezer was plugged in and used 84.5% of the year.</w:t>
      </w:r>
      <w:r w:rsidRPr="001570EA">
        <w:rPr>
          <w:rFonts w:cs="Arial"/>
          <w:vertAlign w:val="superscript"/>
        </w:rPr>
        <w:t xml:space="preserve">Source 2 </w:t>
      </w:r>
      <w:r w:rsidRPr="001570EA">
        <w:rPr>
          <w:rFonts w:cs="Arial"/>
        </w:rPr>
        <w:t xml:space="preserve">These are the default values for the part-use factor. EDCs may elect to calculate an EDC-specific part-use factor for a specific program year. In the event an EDC desires to calculate an EDC-specific part-use factor, EDCs should use the methodology described in section 4.4 of the </w:t>
      </w:r>
      <w:r w:rsidRPr="001570EA">
        <w:t>DOE, Uniform Methods Project protocol.</w:t>
      </w:r>
      <w:r w:rsidRPr="001570EA">
        <w:rPr>
          <w:vertAlign w:val="superscript"/>
        </w:rPr>
        <w:t>Source 3</w:t>
      </w:r>
    </w:p>
    <w:p w14:paraId="516C9A4D" w14:textId="77777777" w:rsidR="004E6452" w:rsidRPr="001570EA" w:rsidRDefault="004E6452" w:rsidP="004E6452">
      <w:pPr>
        <w:rPr>
          <w:rFonts w:eastAsia="Calibri" w:cs="Arial"/>
        </w:rPr>
      </w:pPr>
    </w:p>
    <w:p w14:paraId="4E6849E6" w14:textId="1EAFE2E3" w:rsidR="004E6452" w:rsidRPr="001570EA" w:rsidRDefault="004E6452" w:rsidP="00597241">
      <w:pPr>
        <w:keepNext/>
        <w:keepLines/>
        <w:spacing w:after="120" w:line="264" w:lineRule="auto"/>
        <w:rPr>
          <w:b/>
        </w:rPr>
      </w:pPr>
      <w:r w:rsidRPr="001570EA">
        <w:rPr>
          <w:b/>
        </w:rPr>
        <w:t>Peak Demand Savings</w:t>
      </w:r>
    </w:p>
    <w:p w14:paraId="11E7D2CD" w14:textId="77777777" w:rsidR="004E6452" w:rsidRPr="001570EA" w:rsidRDefault="004E6452" w:rsidP="00597241">
      <w:pPr>
        <w:keepNext/>
        <w:keepLines/>
        <w:spacing w:after="120" w:line="264" w:lineRule="auto"/>
      </w:pPr>
      <w:r w:rsidRPr="001570EA">
        <w:t>Use the below algorithm to calculate the peak demand savings. Multiply the annual kWh savings by an Energy to Demand Factor (ETDF), which is supplied below.</w:t>
      </w:r>
    </w:p>
    <w:p w14:paraId="058EB893" w14:textId="77777777" w:rsidR="004E6452" w:rsidRPr="001570EA" w:rsidRDefault="004E6452" w:rsidP="00597241">
      <w:pPr>
        <w:keepNext/>
        <w:keepLines/>
        <w:spacing w:after="120" w:line="264" w:lineRule="auto"/>
        <w:rPr>
          <w:rFonts w:ascii="Cambria Math" w:hAnsi="Cambria Math" w:cs="Arial"/>
          <w:oMath/>
        </w:rPr>
      </w:pPr>
      <w:r w:rsidRPr="001570EA">
        <w:rPr>
          <w:rFonts w:cs="Arial"/>
          <w:i/>
        </w:rPr>
        <w:t>ΔkW</w:t>
      </w:r>
      <w:r w:rsidRPr="001570EA">
        <w:rPr>
          <w:rFonts w:cs="Arial"/>
          <w:i/>
          <w:vertAlign w:val="subscript"/>
        </w:rPr>
        <w:t>summer peak</w:t>
      </w:r>
      <w:r w:rsidRPr="001570EA">
        <w:rPr>
          <w:rFonts w:cs="Arial"/>
          <w:i/>
          <w:vertAlign w:val="subscript"/>
        </w:rPr>
        <w:tab/>
      </w:r>
      <w:r w:rsidRPr="001570EA">
        <w:rPr>
          <w:rFonts w:cs="Arial"/>
          <w:i/>
          <w:vertAlign w:val="subscript"/>
        </w:rPr>
        <w:tab/>
      </w:r>
      <w:r w:rsidRPr="001570EA">
        <w:rPr>
          <w:rFonts w:cs="Arial"/>
          <w:i/>
          <w:vertAlign w:val="subscript"/>
        </w:rPr>
        <w:tab/>
      </w:r>
      <m:oMath>
        <m:r>
          <w:rPr>
            <w:rFonts w:ascii="Cambria Math" w:hAnsi="Cambria Math" w:cs="Arial"/>
          </w:rPr>
          <m:t>=∆kWh×</m:t>
        </m:r>
        <m:sSub>
          <m:sSubPr>
            <m:ctrlPr>
              <w:rPr>
                <w:rFonts w:ascii="Cambria Math" w:hAnsi="Cambria Math" w:cs="Arial"/>
                <w:i/>
                <w:szCs w:val="20"/>
              </w:rPr>
            </m:ctrlPr>
          </m:sSubPr>
          <m:e>
            <m:r>
              <w:rPr>
                <w:rFonts w:ascii="Cambria Math" w:hAnsi="Cambria Math" w:cs="Arial"/>
                <w:szCs w:val="20"/>
              </w:rPr>
              <m:t>ETDF</m:t>
            </m:r>
          </m:e>
          <m:sub>
            <m:r>
              <w:rPr>
                <w:rFonts w:ascii="Cambria Math" w:hAnsi="Cambria Math" w:cs="Arial"/>
                <w:szCs w:val="20"/>
              </w:rPr>
              <m:t>s</m:t>
            </m:r>
          </m:sub>
        </m:sSub>
      </m:oMath>
    </w:p>
    <w:p w14:paraId="4F4B986C" w14:textId="77777777" w:rsidR="004E6452" w:rsidRPr="001570EA" w:rsidRDefault="004E6452" w:rsidP="00597241">
      <w:pPr>
        <w:keepNext/>
        <w:keepLines/>
        <w:spacing w:after="120" w:line="264" w:lineRule="auto"/>
        <w:rPr>
          <w:rFonts w:ascii="Cambria Math" w:hAnsi="Cambria Math" w:cs="Arial"/>
          <w:oMath/>
        </w:rPr>
      </w:pPr>
      <w:r w:rsidRPr="001570EA">
        <w:rPr>
          <w:rFonts w:cs="Arial"/>
          <w:i/>
        </w:rPr>
        <w:t>ΔkW</w:t>
      </w:r>
      <w:r w:rsidRPr="001570EA">
        <w:rPr>
          <w:rFonts w:cs="Arial"/>
          <w:i/>
          <w:vertAlign w:val="subscript"/>
        </w:rPr>
        <w:t>winter peak</w:t>
      </w:r>
      <w:r w:rsidRPr="001570EA">
        <w:rPr>
          <w:rFonts w:cs="Arial"/>
          <w:i/>
          <w:vertAlign w:val="subscript"/>
        </w:rPr>
        <w:tab/>
      </w:r>
      <w:r w:rsidRPr="001570EA">
        <w:rPr>
          <w:rFonts w:cs="Arial"/>
          <w:i/>
          <w:vertAlign w:val="subscript"/>
        </w:rPr>
        <w:tab/>
      </w:r>
      <w:r w:rsidRPr="001570EA">
        <w:rPr>
          <w:rFonts w:cs="Arial"/>
          <w:i/>
          <w:vertAlign w:val="subscript"/>
        </w:rPr>
        <w:tab/>
      </w:r>
      <m:oMath>
        <m:r>
          <w:rPr>
            <w:rFonts w:ascii="Cambria Math" w:hAnsi="Cambria Math" w:cs="Arial"/>
          </w:rPr>
          <m:t>=∆kWh×</m:t>
        </m:r>
        <m:sSub>
          <m:sSubPr>
            <m:ctrlPr>
              <w:rPr>
                <w:rFonts w:ascii="Cambria Math" w:hAnsi="Cambria Math" w:cs="Arial"/>
                <w:i/>
                <w:szCs w:val="20"/>
              </w:rPr>
            </m:ctrlPr>
          </m:sSubPr>
          <m:e>
            <m:r>
              <w:rPr>
                <w:rFonts w:ascii="Cambria Math" w:hAnsi="Cambria Math" w:cs="Arial"/>
                <w:szCs w:val="20"/>
              </w:rPr>
              <m:t>ETDF</m:t>
            </m:r>
          </m:e>
          <m:sub>
            <m:r>
              <w:rPr>
                <w:rFonts w:ascii="Cambria Math" w:hAnsi="Cambria Math" w:cs="Arial"/>
                <w:szCs w:val="20"/>
              </w:rPr>
              <m:t>w</m:t>
            </m:r>
          </m:sub>
        </m:sSub>
      </m:oMath>
    </w:p>
    <w:p w14:paraId="1DE5C807" w14:textId="77777777" w:rsidR="00197D56" w:rsidRDefault="00197D56" w:rsidP="004E6452">
      <w:pPr>
        <w:pStyle w:val="SubStyle"/>
      </w:pPr>
    </w:p>
    <w:p w14:paraId="222349D8" w14:textId="28249145" w:rsidR="004E6452" w:rsidRPr="001570EA" w:rsidRDefault="004E6452" w:rsidP="004E6452">
      <w:pPr>
        <w:pStyle w:val="SubStyle"/>
      </w:pPr>
      <w:r w:rsidRPr="001570EA">
        <w:t>Definition of Terms</w:t>
      </w:r>
    </w:p>
    <w:p w14:paraId="3ED49872" w14:textId="23FF0A3F" w:rsidR="004E6452" w:rsidRPr="001570EA" w:rsidRDefault="00643494" w:rsidP="00643494">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93</w:t>
      </w:r>
      <w:r w:rsidR="002E093A" w:rsidRPr="001570EA">
        <w:fldChar w:fldCharType="end"/>
      </w:r>
      <w:r w:rsidRPr="001570EA">
        <w:t>: Terms, Values, and References for Mini-Frig Recycling</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1261"/>
        <w:gridCol w:w="2438"/>
        <w:gridCol w:w="827"/>
      </w:tblGrid>
      <w:tr w:rsidR="004E6452" w:rsidRPr="001570EA" w14:paraId="47C50F10" w14:textId="77777777">
        <w:tc>
          <w:tcPr>
            <w:tcW w:w="2297" w:type="pct"/>
            <w:shd w:val="clear" w:color="auto" w:fill="BFBFBF"/>
          </w:tcPr>
          <w:p w14:paraId="7CE910FF" w14:textId="77777777" w:rsidR="004E6452" w:rsidRPr="001570EA" w:rsidRDefault="004E6452">
            <w:pPr>
              <w:pStyle w:val="TableCell"/>
              <w:keepNext w:val="0"/>
              <w:spacing w:before="60" w:after="60"/>
              <w:jc w:val="left"/>
              <w:rPr>
                <w:b/>
              </w:rPr>
            </w:pPr>
            <w:r w:rsidRPr="001570EA">
              <w:rPr>
                <w:b/>
              </w:rPr>
              <w:t>Term</w:t>
            </w:r>
          </w:p>
        </w:tc>
        <w:tc>
          <w:tcPr>
            <w:tcW w:w="753" w:type="pct"/>
            <w:shd w:val="clear" w:color="auto" w:fill="BFBFBF"/>
          </w:tcPr>
          <w:p w14:paraId="143E00B3" w14:textId="77777777" w:rsidR="004E6452" w:rsidRPr="001570EA" w:rsidRDefault="004E6452">
            <w:pPr>
              <w:pStyle w:val="TableCell"/>
              <w:keepNext w:val="0"/>
              <w:spacing w:before="60" w:after="60"/>
              <w:jc w:val="center"/>
              <w:rPr>
                <w:b/>
              </w:rPr>
            </w:pPr>
            <w:r w:rsidRPr="001570EA">
              <w:rPr>
                <w:b/>
              </w:rPr>
              <w:t>Unit</w:t>
            </w:r>
          </w:p>
        </w:tc>
        <w:tc>
          <w:tcPr>
            <w:tcW w:w="1456" w:type="pct"/>
            <w:shd w:val="clear" w:color="auto" w:fill="BFBFBF"/>
          </w:tcPr>
          <w:p w14:paraId="29AD8275" w14:textId="77777777" w:rsidR="004E6452" w:rsidRPr="001570EA" w:rsidRDefault="004E6452">
            <w:pPr>
              <w:pStyle w:val="TableCell"/>
              <w:keepNext w:val="0"/>
              <w:spacing w:before="60" w:after="60"/>
              <w:jc w:val="center"/>
              <w:rPr>
                <w:b/>
              </w:rPr>
            </w:pPr>
            <w:r w:rsidRPr="001570EA">
              <w:rPr>
                <w:b/>
              </w:rPr>
              <w:t>Values</w:t>
            </w:r>
          </w:p>
        </w:tc>
        <w:tc>
          <w:tcPr>
            <w:tcW w:w="494" w:type="pct"/>
            <w:shd w:val="clear" w:color="auto" w:fill="BFBFBF"/>
          </w:tcPr>
          <w:p w14:paraId="00729B86" w14:textId="77777777" w:rsidR="004E6452" w:rsidRPr="001570EA" w:rsidRDefault="004E6452">
            <w:pPr>
              <w:pStyle w:val="TableCell"/>
              <w:keepNext w:val="0"/>
              <w:spacing w:before="60" w:after="60"/>
              <w:jc w:val="center"/>
              <w:rPr>
                <w:b/>
              </w:rPr>
            </w:pPr>
            <w:r w:rsidRPr="001570EA">
              <w:rPr>
                <w:b/>
              </w:rPr>
              <w:t>Source</w:t>
            </w:r>
          </w:p>
        </w:tc>
      </w:tr>
      <w:tr w:rsidR="004E6452" w:rsidRPr="001570EA" w14:paraId="48A31255" w14:textId="77777777">
        <w:trPr>
          <w:trHeight w:val="710"/>
        </w:trPr>
        <w:tc>
          <w:tcPr>
            <w:tcW w:w="2297" w:type="pct"/>
            <w:vAlign w:val="center"/>
          </w:tcPr>
          <w:p w14:paraId="6DDFB92B" w14:textId="77777777" w:rsidR="004E6452" w:rsidRPr="001570EA" w:rsidRDefault="004E6452">
            <w:pPr>
              <w:pStyle w:val="TableCell"/>
              <w:keepNext w:val="0"/>
              <w:spacing w:before="80" w:after="80"/>
              <w:jc w:val="left"/>
              <w:rPr>
                <w:rFonts w:cs="Arial"/>
                <w:i/>
                <w:iCs/>
              </w:rPr>
            </w:pPr>
            <w:r w:rsidRPr="001570EA">
              <w:rPr>
                <w:rFonts w:cs="Arial"/>
                <w:i/>
                <w:szCs w:val="18"/>
              </w:rPr>
              <w:t xml:space="preserve">UEC, </w:t>
            </w:r>
            <w:r w:rsidRPr="001570EA">
              <w:rPr>
                <w:rFonts w:cs="Arial"/>
                <w:szCs w:val="18"/>
              </w:rPr>
              <w:t>Unit Energy Consumption</w:t>
            </w:r>
          </w:p>
        </w:tc>
        <w:tc>
          <w:tcPr>
            <w:tcW w:w="753" w:type="pct"/>
            <w:vAlign w:val="center"/>
          </w:tcPr>
          <w:p w14:paraId="3ACFA28E" w14:textId="77777777" w:rsidR="004E6452" w:rsidRPr="001570EA" w:rsidRDefault="004E6452">
            <w:pPr>
              <w:pStyle w:val="TableCell"/>
              <w:keepNext w:val="0"/>
              <w:spacing w:before="80" w:after="80"/>
              <w:jc w:val="center"/>
              <w:rPr>
                <w:rFonts w:cs="Arial"/>
              </w:rPr>
            </w:pPr>
            <w:r w:rsidRPr="001570EA">
              <w:rPr>
                <w:rFonts w:cs="Arial"/>
                <w:i/>
                <w:szCs w:val="18"/>
              </w:rPr>
              <w:t>kWh/yr</w:t>
            </w:r>
          </w:p>
        </w:tc>
        <w:tc>
          <w:tcPr>
            <w:tcW w:w="1456" w:type="pct"/>
            <w:vAlign w:val="center"/>
          </w:tcPr>
          <w:p w14:paraId="4A9BE5D8" w14:textId="77777777" w:rsidR="004E6452" w:rsidRPr="001570EA" w:rsidRDefault="004E6452">
            <w:pPr>
              <w:spacing w:before="80" w:after="80"/>
              <w:jc w:val="center"/>
              <w:rPr>
                <w:rFonts w:cs="Arial"/>
                <w:sz w:val="18"/>
                <w:szCs w:val="18"/>
              </w:rPr>
            </w:pPr>
            <w:r w:rsidRPr="001570EA">
              <w:rPr>
                <w:rFonts w:cs="Arial"/>
                <w:sz w:val="18"/>
                <w:szCs w:val="18"/>
              </w:rPr>
              <w:t>EDC Data Gathering</w:t>
            </w:r>
          </w:p>
          <w:p w14:paraId="59CD7B84" w14:textId="77777777" w:rsidR="004E6452" w:rsidRPr="001570EA" w:rsidRDefault="004E6452">
            <w:pPr>
              <w:spacing w:before="80" w:after="80"/>
              <w:jc w:val="center"/>
              <w:rPr>
                <w:rFonts w:cs="Arial"/>
                <w:sz w:val="18"/>
                <w:szCs w:val="18"/>
              </w:rPr>
            </w:pPr>
            <w:r w:rsidRPr="001570EA">
              <w:rPr>
                <w:rFonts w:cs="Arial"/>
                <w:sz w:val="18"/>
                <w:szCs w:val="18"/>
              </w:rPr>
              <w:t>Default in Table 2</w:t>
            </w:r>
          </w:p>
        </w:tc>
        <w:tc>
          <w:tcPr>
            <w:tcW w:w="494" w:type="pct"/>
            <w:vAlign w:val="center"/>
          </w:tcPr>
          <w:p w14:paraId="3B084DF2" w14:textId="77777777" w:rsidR="004E6452" w:rsidRPr="001570EA" w:rsidRDefault="004E6452">
            <w:pPr>
              <w:pStyle w:val="TableCell"/>
              <w:keepNext w:val="0"/>
              <w:spacing w:before="80" w:after="80"/>
              <w:jc w:val="center"/>
              <w:rPr>
                <w:szCs w:val="18"/>
              </w:rPr>
            </w:pPr>
            <w:r w:rsidRPr="001570EA">
              <w:rPr>
                <w:szCs w:val="18"/>
              </w:rPr>
              <w:t>Varies</w:t>
            </w:r>
          </w:p>
        </w:tc>
      </w:tr>
      <w:tr w:rsidR="004E6452" w:rsidRPr="001570EA" w14:paraId="29AA5634" w14:textId="77777777">
        <w:trPr>
          <w:trHeight w:val="77"/>
        </w:trPr>
        <w:tc>
          <w:tcPr>
            <w:tcW w:w="2297" w:type="pct"/>
            <w:shd w:val="clear" w:color="auto" w:fill="auto"/>
            <w:vAlign w:val="center"/>
          </w:tcPr>
          <w:p w14:paraId="3303236B" w14:textId="77777777" w:rsidR="004E6452" w:rsidRPr="001570EA" w:rsidRDefault="004E6452">
            <w:pPr>
              <w:pStyle w:val="TableCell"/>
              <w:keepNext w:val="0"/>
              <w:spacing w:before="80" w:after="80"/>
              <w:jc w:val="left"/>
              <w:rPr>
                <w:rFonts w:cs="Arial"/>
                <w:i/>
                <w:color w:val="000000"/>
                <w:szCs w:val="18"/>
              </w:rPr>
            </w:pPr>
            <w:r w:rsidRPr="001570EA">
              <w:rPr>
                <w:rFonts w:cs="Arial"/>
                <w:i/>
                <w:color w:val="000000"/>
                <w:szCs w:val="18"/>
              </w:rPr>
              <w:t>Total Volume, Fresh plus Frozen Volume</w:t>
            </w:r>
          </w:p>
        </w:tc>
        <w:tc>
          <w:tcPr>
            <w:tcW w:w="753" w:type="pct"/>
            <w:shd w:val="clear" w:color="auto" w:fill="auto"/>
            <w:vAlign w:val="center"/>
          </w:tcPr>
          <w:p w14:paraId="1A727FDD" w14:textId="77777777" w:rsidR="004E6452" w:rsidRPr="001570EA" w:rsidRDefault="004E6452">
            <w:pPr>
              <w:pStyle w:val="TableCell"/>
              <w:keepNext w:val="0"/>
              <w:spacing w:before="80" w:after="80"/>
              <w:jc w:val="center"/>
              <w:rPr>
                <w:rFonts w:cs="Arial"/>
                <w:i/>
                <w:color w:val="000000"/>
                <w:szCs w:val="18"/>
              </w:rPr>
            </w:pPr>
            <w:r w:rsidRPr="001570EA">
              <w:rPr>
                <w:rFonts w:cs="Arial"/>
                <w:i/>
                <w:color w:val="000000"/>
                <w:szCs w:val="18"/>
              </w:rPr>
              <w:t>ft</w:t>
            </w:r>
            <w:r w:rsidRPr="001570EA">
              <w:rPr>
                <w:rFonts w:cs="Arial"/>
                <w:i/>
                <w:color w:val="000000"/>
                <w:szCs w:val="18"/>
                <w:vertAlign w:val="superscript"/>
              </w:rPr>
              <w:t>3</w:t>
            </w:r>
          </w:p>
        </w:tc>
        <w:tc>
          <w:tcPr>
            <w:tcW w:w="1456" w:type="pct"/>
            <w:shd w:val="clear" w:color="auto" w:fill="auto"/>
            <w:vAlign w:val="center"/>
          </w:tcPr>
          <w:p w14:paraId="359FF968" w14:textId="77777777" w:rsidR="004E6452" w:rsidRPr="001570EA" w:rsidRDefault="004E6452">
            <w:pPr>
              <w:pStyle w:val="TableCell"/>
              <w:keepNext w:val="0"/>
              <w:spacing w:before="80" w:after="80"/>
              <w:jc w:val="center"/>
              <w:rPr>
                <w:rFonts w:cs="Arial"/>
                <w:color w:val="000000"/>
                <w:szCs w:val="18"/>
              </w:rPr>
            </w:pPr>
            <w:r w:rsidRPr="001570EA">
              <w:rPr>
                <w:rFonts w:cs="Arial"/>
                <w:color w:val="000000"/>
                <w:szCs w:val="18"/>
              </w:rPr>
              <w:t>EDC Data Gathering</w:t>
            </w:r>
          </w:p>
        </w:tc>
        <w:tc>
          <w:tcPr>
            <w:tcW w:w="494" w:type="pct"/>
            <w:shd w:val="clear" w:color="auto" w:fill="auto"/>
            <w:vAlign w:val="center"/>
          </w:tcPr>
          <w:p w14:paraId="552FE67E" w14:textId="77777777" w:rsidR="004E6452" w:rsidRPr="001570EA" w:rsidRDefault="004E6452">
            <w:pPr>
              <w:pStyle w:val="TableCell"/>
              <w:keepNext w:val="0"/>
              <w:spacing w:before="80" w:after="80"/>
              <w:jc w:val="center"/>
              <w:rPr>
                <w:rFonts w:cs="Arial"/>
                <w:szCs w:val="18"/>
              </w:rPr>
            </w:pPr>
          </w:p>
        </w:tc>
      </w:tr>
      <w:tr w:rsidR="004E6452" w:rsidRPr="001570EA" w14:paraId="66E34FA2" w14:textId="77777777">
        <w:trPr>
          <w:trHeight w:val="77"/>
        </w:trPr>
        <w:tc>
          <w:tcPr>
            <w:tcW w:w="2297" w:type="pct"/>
            <w:shd w:val="clear" w:color="auto" w:fill="auto"/>
            <w:vAlign w:val="center"/>
          </w:tcPr>
          <w:p w14:paraId="06B9C7FC" w14:textId="77777777" w:rsidR="004E6452" w:rsidRPr="001570EA" w:rsidRDefault="004E6452">
            <w:pPr>
              <w:pStyle w:val="TableCell"/>
              <w:keepNext w:val="0"/>
              <w:spacing w:before="80" w:after="80"/>
              <w:jc w:val="left"/>
              <w:rPr>
                <w:rFonts w:cs="Arial"/>
                <w:i/>
                <w:color w:val="000000"/>
                <w:szCs w:val="18"/>
              </w:rPr>
            </w:pPr>
            <w:r w:rsidRPr="001570EA">
              <w:rPr>
                <w:rFonts w:cs="Arial"/>
                <w:i/>
                <w:color w:val="000000"/>
                <w:szCs w:val="18"/>
              </w:rPr>
              <w:t>Fresh Volume, volume of refrigerator</w:t>
            </w:r>
          </w:p>
        </w:tc>
        <w:tc>
          <w:tcPr>
            <w:tcW w:w="753" w:type="pct"/>
            <w:shd w:val="clear" w:color="auto" w:fill="auto"/>
            <w:vAlign w:val="center"/>
          </w:tcPr>
          <w:p w14:paraId="2039BFC7" w14:textId="77777777" w:rsidR="004E6452" w:rsidRPr="001570EA" w:rsidRDefault="004E6452">
            <w:pPr>
              <w:pStyle w:val="TableCell"/>
              <w:keepNext w:val="0"/>
              <w:spacing w:before="80" w:after="80"/>
              <w:jc w:val="center"/>
              <w:rPr>
                <w:rFonts w:cs="Arial"/>
                <w:i/>
                <w:color w:val="000000"/>
                <w:szCs w:val="18"/>
              </w:rPr>
            </w:pPr>
            <w:r w:rsidRPr="001570EA">
              <w:rPr>
                <w:rFonts w:cs="Arial"/>
                <w:i/>
                <w:color w:val="000000"/>
                <w:szCs w:val="18"/>
              </w:rPr>
              <w:t>ft</w:t>
            </w:r>
            <w:r w:rsidRPr="001570EA">
              <w:rPr>
                <w:rFonts w:cs="Arial"/>
                <w:i/>
                <w:color w:val="000000"/>
                <w:szCs w:val="18"/>
                <w:vertAlign w:val="superscript"/>
              </w:rPr>
              <w:t>3</w:t>
            </w:r>
          </w:p>
        </w:tc>
        <w:tc>
          <w:tcPr>
            <w:tcW w:w="1456" w:type="pct"/>
            <w:shd w:val="clear" w:color="auto" w:fill="auto"/>
            <w:vAlign w:val="center"/>
          </w:tcPr>
          <w:p w14:paraId="627EF5BB" w14:textId="77777777" w:rsidR="004E6452" w:rsidRPr="001570EA" w:rsidRDefault="004E6452">
            <w:pPr>
              <w:pStyle w:val="TableCell"/>
              <w:keepNext w:val="0"/>
              <w:spacing w:before="80" w:after="80"/>
              <w:jc w:val="center"/>
              <w:rPr>
                <w:rFonts w:cs="Arial"/>
                <w:color w:val="000000"/>
                <w:szCs w:val="18"/>
              </w:rPr>
            </w:pPr>
            <w:r w:rsidRPr="001570EA">
              <w:rPr>
                <w:rFonts w:cs="Arial"/>
                <w:color w:val="000000"/>
                <w:szCs w:val="18"/>
              </w:rPr>
              <w:t>EDC Data Gathering</w:t>
            </w:r>
          </w:p>
        </w:tc>
        <w:tc>
          <w:tcPr>
            <w:tcW w:w="494" w:type="pct"/>
            <w:shd w:val="clear" w:color="auto" w:fill="auto"/>
            <w:vAlign w:val="center"/>
          </w:tcPr>
          <w:p w14:paraId="3BA5E8DE" w14:textId="77777777" w:rsidR="004E6452" w:rsidRPr="001570EA" w:rsidRDefault="004E6452">
            <w:pPr>
              <w:pStyle w:val="TableCell"/>
              <w:keepNext w:val="0"/>
              <w:spacing w:before="80" w:after="80"/>
              <w:jc w:val="center"/>
              <w:rPr>
                <w:rFonts w:cs="Arial"/>
                <w:szCs w:val="18"/>
              </w:rPr>
            </w:pPr>
          </w:p>
        </w:tc>
      </w:tr>
      <w:tr w:rsidR="004E6452" w:rsidRPr="001570EA" w14:paraId="4145EC43" w14:textId="77777777">
        <w:trPr>
          <w:trHeight w:val="77"/>
        </w:trPr>
        <w:tc>
          <w:tcPr>
            <w:tcW w:w="2297" w:type="pct"/>
            <w:shd w:val="clear" w:color="auto" w:fill="auto"/>
            <w:vAlign w:val="center"/>
          </w:tcPr>
          <w:p w14:paraId="3972E287" w14:textId="77777777" w:rsidR="004E6452" w:rsidRPr="001570EA" w:rsidRDefault="004E6452">
            <w:pPr>
              <w:pStyle w:val="TableCell"/>
              <w:keepNext w:val="0"/>
              <w:spacing w:before="80" w:after="80"/>
              <w:jc w:val="left"/>
              <w:rPr>
                <w:rFonts w:cs="Arial"/>
                <w:i/>
                <w:color w:val="000000"/>
                <w:szCs w:val="18"/>
              </w:rPr>
            </w:pPr>
            <w:r w:rsidRPr="001570EA">
              <w:rPr>
                <w:rFonts w:cs="Arial"/>
                <w:i/>
                <w:color w:val="000000"/>
                <w:szCs w:val="18"/>
              </w:rPr>
              <w:t>Frozen Volume, volume capable of maintaining 0°F</w:t>
            </w:r>
          </w:p>
        </w:tc>
        <w:tc>
          <w:tcPr>
            <w:tcW w:w="753" w:type="pct"/>
            <w:shd w:val="clear" w:color="auto" w:fill="auto"/>
            <w:vAlign w:val="center"/>
          </w:tcPr>
          <w:p w14:paraId="0769255F" w14:textId="77777777" w:rsidR="004E6452" w:rsidRPr="001570EA" w:rsidRDefault="004E6452">
            <w:pPr>
              <w:pStyle w:val="TableCell"/>
              <w:keepNext w:val="0"/>
              <w:spacing w:before="80" w:after="80"/>
              <w:jc w:val="center"/>
              <w:rPr>
                <w:rFonts w:cs="Arial"/>
                <w:i/>
                <w:color w:val="000000"/>
                <w:szCs w:val="18"/>
              </w:rPr>
            </w:pPr>
            <w:r w:rsidRPr="001570EA">
              <w:rPr>
                <w:rFonts w:cs="Arial"/>
                <w:i/>
                <w:color w:val="000000"/>
                <w:szCs w:val="18"/>
              </w:rPr>
              <w:t>ft</w:t>
            </w:r>
            <w:r w:rsidRPr="001570EA">
              <w:rPr>
                <w:rFonts w:cs="Arial"/>
                <w:i/>
                <w:color w:val="000000"/>
                <w:szCs w:val="18"/>
                <w:vertAlign w:val="superscript"/>
              </w:rPr>
              <w:t>3</w:t>
            </w:r>
          </w:p>
        </w:tc>
        <w:tc>
          <w:tcPr>
            <w:tcW w:w="1456" w:type="pct"/>
            <w:shd w:val="clear" w:color="auto" w:fill="auto"/>
            <w:vAlign w:val="center"/>
          </w:tcPr>
          <w:p w14:paraId="67CB5632" w14:textId="77777777" w:rsidR="004E6452" w:rsidRPr="001570EA" w:rsidRDefault="004E6452">
            <w:pPr>
              <w:pStyle w:val="TableCell"/>
              <w:keepNext w:val="0"/>
              <w:spacing w:before="80" w:after="80"/>
              <w:jc w:val="center"/>
              <w:rPr>
                <w:rFonts w:cs="Arial"/>
                <w:color w:val="000000"/>
                <w:szCs w:val="18"/>
              </w:rPr>
            </w:pPr>
            <w:r w:rsidRPr="001570EA">
              <w:rPr>
                <w:rFonts w:cs="Arial"/>
                <w:color w:val="000000"/>
                <w:szCs w:val="18"/>
              </w:rPr>
              <w:t>EDC Data Gathering</w:t>
            </w:r>
          </w:p>
        </w:tc>
        <w:tc>
          <w:tcPr>
            <w:tcW w:w="494" w:type="pct"/>
            <w:shd w:val="clear" w:color="auto" w:fill="auto"/>
            <w:vAlign w:val="center"/>
          </w:tcPr>
          <w:p w14:paraId="7EB6AE34" w14:textId="77777777" w:rsidR="004E6452" w:rsidRPr="001570EA" w:rsidRDefault="004E6452">
            <w:pPr>
              <w:pStyle w:val="TableCell"/>
              <w:keepNext w:val="0"/>
              <w:spacing w:before="80" w:after="80"/>
              <w:jc w:val="center"/>
              <w:rPr>
                <w:rFonts w:cs="Arial"/>
                <w:szCs w:val="18"/>
              </w:rPr>
            </w:pPr>
          </w:p>
        </w:tc>
      </w:tr>
      <w:tr w:rsidR="004E6452" w:rsidRPr="001570EA" w14:paraId="71DCC799" w14:textId="77777777">
        <w:trPr>
          <w:trHeight w:val="77"/>
        </w:trPr>
        <w:tc>
          <w:tcPr>
            <w:tcW w:w="2297" w:type="pct"/>
            <w:shd w:val="clear" w:color="auto" w:fill="auto"/>
            <w:vAlign w:val="center"/>
          </w:tcPr>
          <w:p w14:paraId="3285AB6B" w14:textId="77777777" w:rsidR="004E6452" w:rsidRPr="001570EA" w:rsidRDefault="004E6452">
            <w:pPr>
              <w:pStyle w:val="TableCell"/>
              <w:keepNext w:val="0"/>
              <w:spacing w:before="80" w:after="80"/>
              <w:jc w:val="left"/>
              <w:rPr>
                <w:rFonts w:cs="Arial"/>
                <w:i/>
                <w:szCs w:val="18"/>
              </w:rPr>
            </w:pPr>
            <w:r w:rsidRPr="001570EA">
              <w:rPr>
                <w:rFonts w:cs="Arial"/>
                <w:i/>
                <w:color w:val="000000"/>
                <w:szCs w:val="18"/>
              </w:rPr>
              <w:t>AV</w:t>
            </w:r>
            <w:r w:rsidRPr="001570EA">
              <w:rPr>
                <w:rFonts w:cs="Arial"/>
                <w:color w:val="000000"/>
                <w:szCs w:val="18"/>
              </w:rPr>
              <w:t>, Adjusted Volume/calculated as described above</w:t>
            </w:r>
          </w:p>
        </w:tc>
        <w:tc>
          <w:tcPr>
            <w:tcW w:w="753" w:type="pct"/>
            <w:shd w:val="clear" w:color="auto" w:fill="auto"/>
            <w:vAlign w:val="center"/>
          </w:tcPr>
          <w:p w14:paraId="4D0E02FC" w14:textId="77777777" w:rsidR="004E6452" w:rsidRPr="001570EA" w:rsidRDefault="004E6452">
            <w:pPr>
              <w:pStyle w:val="TableCell"/>
              <w:keepNext w:val="0"/>
              <w:spacing w:before="80" w:after="80"/>
              <w:jc w:val="center"/>
              <w:rPr>
                <w:rFonts w:cs="Arial"/>
                <w:i/>
                <w:szCs w:val="18"/>
              </w:rPr>
            </w:pPr>
            <w:r w:rsidRPr="001570EA">
              <w:rPr>
                <w:rFonts w:cs="Arial"/>
                <w:i/>
                <w:color w:val="000000"/>
                <w:szCs w:val="18"/>
              </w:rPr>
              <w:t>ft</w:t>
            </w:r>
            <w:r w:rsidRPr="001570EA">
              <w:rPr>
                <w:rFonts w:cs="Arial"/>
                <w:i/>
                <w:color w:val="000000"/>
                <w:szCs w:val="18"/>
                <w:vertAlign w:val="superscript"/>
              </w:rPr>
              <w:t>3</w:t>
            </w:r>
          </w:p>
        </w:tc>
        <w:tc>
          <w:tcPr>
            <w:tcW w:w="1456" w:type="pct"/>
            <w:shd w:val="clear" w:color="auto" w:fill="auto"/>
            <w:vAlign w:val="center"/>
          </w:tcPr>
          <w:p w14:paraId="2D955298" w14:textId="77777777" w:rsidR="004E6452" w:rsidRPr="001570EA" w:rsidRDefault="004E6452">
            <w:pPr>
              <w:pStyle w:val="TableCell"/>
              <w:keepNext w:val="0"/>
              <w:spacing w:before="80" w:after="80"/>
              <w:jc w:val="center"/>
              <w:rPr>
                <w:rFonts w:cs="Arial"/>
                <w:color w:val="000000"/>
                <w:szCs w:val="18"/>
              </w:rPr>
            </w:pPr>
            <w:r w:rsidRPr="001570EA">
              <w:rPr>
                <w:rFonts w:cs="Arial"/>
                <w:color w:val="000000"/>
                <w:szCs w:val="18"/>
              </w:rPr>
              <w:t>EDC Data Gathering, defaults in Table 4</w:t>
            </w:r>
          </w:p>
        </w:tc>
        <w:tc>
          <w:tcPr>
            <w:tcW w:w="494" w:type="pct"/>
            <w:shd w:val="clear" w:color="auto" w:fill="auto"/>
            <w:vAlign w:val="center"/>
          </w:tcPr>
          <w:p w14:paraId="548E4AEA" w14:textId="77777777" w:rsidR="004E6452" w:rsidRPr="001570EA" w:rsidRDefault="004E6452">
            <w:pPr>
              <w:pStyle w:val="TableCell"/>
              <w:keepNext w:val="0"/>
              <w:spacing w:before="80" w:after="80"/>
              <w:jc w:val="center"/>
              <w:rPr>
                <w:rFonts w:cs="Arial"/>
                <w:szCs w:val="18"/>
              </w:rPr>
            </w:pPr>
            <w:r w:rsidRPr="001570EA">
              <w:rPr>
                <w:rFonts w:cs="Arial"/>
                <w:szCs w:val="18"/>
              </w:rPr>
              <w:t>6–8</w:t>
            </w:r>
          </w:p>
        </w:tc>
      </w:tr>
      <w:tr w:rsidR="004E6452" w:rsidRPr="001570EA" w14:paraId="7B7AA9A9" w14:textId="77777777">
        <w:tc>
          <w:tcPr>
            <w:tcW w:w="2297" w:type="pct"/>
            <w:vAlign w:val="center"/>
          </w:tcPr>
          <w:p w14:paraId="3DE23B8F" w14:textId="77777777" w:rsidR="004E6452" w:rsidRPr="001570EA" w:rsidRDefault="004E6452">
            <w:pPr>
              <w:pStyle w:val="TableCell"/>
              <w:keepNext w:val="0"/>
              <w:spacing w:before="80" w:after="80"/>
              <w:jc w:val="left"/>
            </w:pPr>
            <w:r w:rsidRPr="001570EA">
              <w:rPr>
                <w:rFonts w:cs="Arial"/>
                <w:i/>
                <w:iCs/>
              </w:rPr>
              <w:t>PART_USE,</w:t>
            </w:r>
            <w:r w:rsidRPr="001570EA">
              <w:rPr>
                <w:rFonts w:cs="Arial"/>
              </w:rPr>
              <w:t xml:space="preserve"> the portion of the year the average refrigerator or freezer would likely have operated if not recycled through the program</w:t>
            </w:r>
          </w:p>
        </w:tc>
        <w:tc>
          <w:tcPr>
            <w:tcW w:w="753" w:type="pct"/>
            <w:vAlign w:val="center"/>
          </w:tcPr>
          <w:p w14:paraId="2B13A3E8" w14:textId="77777777" w:rsidR="004E6452" w:rsidRPr="001570EA" w:rsidRDefault="004E6452">
            <w:pPr>
              <w:pStyle w:val="TableCell"/>
              <w:keepNext w:val="0"/>
              <w:spacing w:before="80" w:after="80"/>
              <w:jc w:val="center"/>
              <w:rPr>
                <w:i/>
              </w:rPr>
            </w:pPr>
            <w:r w:rsidRPr="001570EA">
              <w:rPr>
                <w:i/>
              </w:rPr>
              <w:t>%</w:t>
            </w:r>
          </w:p>
        </w:tc>
        <w:tc>
          <w:tcPr>
            <w:tcW w:w="1456" w:type="pct"/>
            <w:vAlign w:val="center"/>
          </w:tcPr>
          <w:p w14:paraId="2B83D5A5" w14:textId="77777777" w:rsidR="004E6452" w:rsidRPr="001570EA" w:rsidRDefault="004E6452">
            <w:pPr>
              <w:pStyle w:val="TableCell"/>
              <w:keepNext w:val="0"/>
              <w:spacing w:before="80" w:after="80"/>
              <w:jc w:val="center"/>
            </w:pPr>
            <w:r w:rsidRPr="001570EA">
              <w:t>EDC Data Gathering According to Section 4.4 of UMP Protocol</w:t>
            </w:r>
          </w:p>
          <w:p w14:paraId="7BA7F706" w14:textId="77777777" w:rsidR="004E6452" w:rsidRPr="001570EA" w:rsidRDefault="004E6452">
            <w:pPr>
              <w:pStyle w:val="TableCell"/>
              <w:keepNext w:val="0"/>
              <w:spacing w:before="80" w:after="80"/>
              <w:jc w:val="center"/>
            </w:pPr>
            <w:r w:rsidRPr="001570EA">
              <w:t xml:space="preserve">Default: </w:t>
            </w:r>
            <w:r w:rsidRPr="001570EA">
              <w:br/>
              <w:t>Refrigerator= 72.8%</w:t>
            </w:r>
          </w:p>
          <w:p w14:paraId="75BCAA72" w14:textId="77777777" w:rsidR="004E6452" w:rsidRPr="001570EA" w:rsidRDefault="004E6452">
            <w:pPr>
              <w:pStyle w:val="TableCell"/>
              <w:keepNext w:val="0"/>
              <w:spacing w:before="80" w:after="80"/>
              <w:jc w:val="center"/>
            </w:pPr>
            <w:r w:rsidRPr="001570EA">
              <w:t>Freezer= 84.5%</w:t>
            </w:r>
          </w:p>
        </w:tc>
        <w:tc>
          <w:tcPr>
            <w:tcW w:w="494" w:type="pct"/>
            <w:vAlign w:val="center"/>
          </w:tcPr>
          <w:p w14:paraId="61E3CEA0" w14:textId="77777777" w:rsidR="004E6452" w:rsidRPr="001570EA" w:rsidRDefault="004E6452">
            <w:pPr>
              <w:pStyle w:val="TableCell"/>
              <w:keepNext w:val="0"/>
              <w:spacing w:before="80" w:after="80"/>
              <w:jc w:val="center"/>
            </w:pPr>
            <w:r w:rsidRPr="001570EA">
              <w:t>2</w:t>
            </w:r>
          </w:p>
        </w:tc>
      </w:tr>
      <w:tr w:rsidR="004E6452" w:rsidRPr="001570EA" w14:paraId="2727FF7D" w14:textId="77777777">
        <w:trPr>
          <w:trHeight w:val="77"/>
        </w:trPr>
        <w:tc>
          <w:tcPr>
            <w:tcW w:w="2297" w:type="pct"/>
            <w:vAlign w:val="center"/>
          </w:tcPr>
          <w:p w14:paraId="2BCBBAEC" w14:textId="77777777" w:rsidR="004E6452" w:rsidRPr="001570EA" w:rsidRDefault="004E6452">
            <w:pPr>
              <w:pStyle w:val="TableCell"/>
              <w:keepNext w:val="0"/>
              <w:spacing w:before="80" w:after="80"/>
              <w:jc w:val="left"/>
              <w:rPr>
                <w:rFonts w:cs="Arial"/>
                <w:iCs/>
              </w:rPr>
            </w:pPr>
            <w:r w:rsidRPr="001570EA">
              <w:rPr>
                <w:rFonts w:cs="Arial"/>
                <w:i/>
                <w:szCs w:val="18"/>
              </w:rPr>
              <w:t>ETDF</w:t>
            </w:r>
            <w:r w:rsidRPr="001570EA">
              <w:rPr>
                <w:rFonts w:cs="Arial"/>
                <w:szCs w:val="18"/>
                <w:vertAlign w:val="subscript"/>
              </w:rPr>
              <w:t>s</w:t>
            </w:r>
            <w:r w:rsidRPr="001570EA">
              <w:rPr>
                <w:rFonts w:cs="Arial"/>
                <w:szCs w:val="18"/>
              </w:rPr>
              <w:t>, Summer peak Energy to Demand Factor</w:t>
            </w:r>
          </w:p>
        </w:tc>
        <w:tc>
          <w:tcPr>
            <w:tcW w:w="753" w:type="pct"/>
            <w:vAlign w:val="center"/>
          </w:tcPr>
          <w:p w14:paraId="41CEB365" w14:textId="77777777" w:rsidR="004E6452" w:rsidRPr="001570EA" w:rsidRDefault="003B5E04">
            <w:pPr>
              <w:pStyle w:val="TableCell"/>
              <w:keepNext w:val="0"/>
              <w:spacing w:before="80" w:after="80"/>
              <w:jc w:val="cente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456" w:type="pct"/>
            <w:vAlign w:val="center"/>
          </w:tcPr>
          <w:p w14:paraId="31C5045B" w14:textId="77777777" w:rsidR="004E6452" w:rsidRPr="001570EA" w:rsidRDefault="004E6452">
            <w:pPr>
              <w:pStyle w:val="TableCell"/>
              <w:keepNext w:val="0"/>
              <w:spacing w:before="0" w:after="0"/>
              <w:jc w:val="center"/>
              <w:rPr>
                <w:rFonts w:cs="Arial"/>
                <w:szCs w:val="18"/>
              </w:rPr>
            </w:pPr>
            <w:r w:rsidRPr="001570EA">
              <w:rPr>
                <w:rFonts w:cs="Arial"/>
                <w:szCs w:val="18"/>
              </w:rPr>
              <w:t>Refrigerator = 0.0001354</w:t>
            </w:r>
          </w:p>
          <w:p w14:paraId="6E44E8A7" w14:textId="77777777" w:rsidR="004E6452" w:rsidRPr="001570EA" w:rsidRDefault="004E6452">
            <w:pPr>
              <w:pStyle w:val="TableCell"/>
              <w:keepNext w:val="0"/>
              <w:spacing w:before="80" w:after="80"/>
              <w:jc w:val="center"/>
            </w:pPr>
            <w:r w:rsidRPr="001570EA">
              <w:t>Freezer = 0.0001387</w:t>
            </w:r>
          </w:p>
        </w:tc>
        <w:tc>
          <w:tcPr>
            <w:tcW w:w="494" w:type="pct"/>
            <w:vAlign w:val="center"/>
          </w:tcPr>
          <w:p w14:paraId="649E4773" w14:textId="77777777" w:rsidR="004E6452" w:rsidRPr="001570EA" w:rsidRDefault="004E6452">
            <w:pPr>
              <w:pStyle w:val="TableCell"/>
              <w:keepNext w:val="0"/>
              <w:spacing w:before="80" w:after="80"/>
              <w:jc w:val="center"/>
            </w:pPr>
            <w:r w:rsidRPr="001570EA">
              <w:t>4</w:t>
            </w:r>
          </w:p>
        </w:tc>
      </w:tr>
      <w:tr w:rsidR="004E6452" w:rsidRPr="001570EA" w14:paraId="14B39751" w14:textId="77777777">
        <w:trPr>
          <w:trHeight w:val="77"/>
        </w:trPr>
        <w:tc>
          <w:tcPr>
            <w:tcW w:w="2297" w:type="pct"/>
            <w:vAlign w:val="center"/>
          </w:tcPr>
          <w:p w14:paraId="448129CA" w14:textId="77777777" w:rsidR="004E6452" w:rsidRPr="001570EA" w:rsidRDefault="004E6452">
            <w:pPr>
              <w:pStyle w:val="TableCell"/>
              <w:keepNext w:val="0"/>
              <w:spacing w:before="80" w:after="80"/>
              <w:jc w:val="left"/>
              <w:rPr>
                <w:rFonts w:cs="Arial"/>
                <w:i/>
                <w:iCs/>
              </w:rPr>
            </w:pPr>
            <w:r w:rsidRPr="001570EA">
              <w:rPr>
                <w:rFonts w:cs="Arial"/>
                <w:i/>
                <w:szCs w:val="18"/>
              </w:rPr>
              <w:t>ETDF</w:t>
            </w:r>
            <w:r w:rsidRPr="001570EA">
              <w:rPr>
                <w:rFonts w:cs="Arial"/>
                <w:i/>
                <w:szCs w:val="18"/>
                <w:vertAlign w:val="subscript"/>
              </w:rPr>
              <w:t>w</w:t>
            </w:r>
            <w:r w:rsidRPr="001570EA">
              <w:rPr>
                <w:rFonts w:cs="Arial"/>
                <w:szCs w:val="18"/>
              </w:rPr>
              <w:t>, Winter peak Energy to Demand Factor</w:t>
            </w:r>
          </w:p>
        </w:tc>
        <w:tc>
          <w:tcPr>
            <w:tcW w:w="753" w:type="pct"/>
            <w:vAlign w:val="center"/>
          </w:tcPr>
          <w:p w14:paraId="2A2CF9E2" w14:textId="77777777" w:rsidR="004E6452" w:rsidRPr="001570EA" w:rsidRDefault="003B5E04">
            <w:pPr>
              <w:pStyle w:val="TableCell"/>
              <w:keepNext w:val="0"/>
              <w:spacing w:before="80" w:after="80"/>
              <w:jc w:val="center"/>
              <w:rPr>
                <w:rFonts w:cs="Arial"/>
                <w:color w:val="000000"/>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456" w:type="pct"/>
            <w:vAlign w:val="center"/>
          </w:tcPr>
          <w:p w14:paraId="1A7B223A" w14:textId="77777777" w:rsidR="004E6452" w:rsidRPr="001570EA" w:rsidRDefault="004E6452">
            <w:pPr>
              <w:pStyle w:val="TableCell"/>
              <w:keepNext w:val="0"/>
              <w:spacing w:before="0" w:after="0"/>
              <w:jc w:val="center"/>
              <w:rPr>
                <w:rFonts w:cs="Arial"/>
                <w:szCs w:val="18"/>
              </w:rPr>
            </w:pPr>
            <w:r w:rsidRPr="001570EA">
              <w:rPr>
                <w:rFonts w:cs="Arial"/>
                <w:szCs w:val="18"/>
              </w:rPr>
              <w:t>Refrigerator = 0.0001014</w:t>
            </w:r>
          </w:p>
          <w:p w14:paraId="00DCDDB8" w14:textId="77777777" w:rsidR="004E6452" w:rsidRPr="001570EA" w:rsidRDefault="004E6452">
            <w:pPr>
              <w:pStyle w:val="TableCell"/>
              <w:keepNext w:val="0"/>
              <w:spacing w:before="80" w:after="80"/>
              <w:jc w:val="center"/>
              <w:rPr>
                <w:rFonts w:cs="Arial"/>
                <w:szCs w:val="18"/>
              </w:rPr>
            </w:pPr>
            <w:r w:rsidRPr="001570EA">
              <w:rPr>
                <w:rFonts w:cs="Arial"/>
                <w:szCs w:val="18"/>
              </w:rPr>
              <w:t>Freezer = 0.0000998</w:t>
            </w:r>
          </w:p>
        </w:tc>
        <w:tc>
          <w:tcPr>
            <w:tcW w:w="494" w:type="pct"/>
            <w:vAlign w:val="center"/>
          </w:tcPr>
          <w:p w14:paraId="34329CBC" w14:textId="77777777" w:rsidR="004E6452" w:rsidRPr="001570EA" w:rsidRDefault="004E6452">
            <w:pPr>
              <w:pStyle w:val="TableCell"/>
              <w:keepNext w:val="0"/>
              <w:spacing w:before="80" w:after="80"/>
              <w:jc w:val="center"/>
            </w:pPr>
            <w:r w:rsidRPr="001570EA">
              <w:t>4</w:t>
            </w:r>
          </w:p>
        </w:tc>
      </w:tr>
    </w:tbl>
    <w:p w14:paraId="48C0B430" w14:textId="77777777" w:rsidR="004E6452" w:rsidRPr="001570EA" w:rsidRDefault="004E6452" w:rsidP="004E6452"/>
    <w:p w14:paraId="23CD68A6" w14:textId="77777777" w:rsidR="004E6452" w:rsidRPr="001570EA" w:rsidRDefault="004E6452" w:rsidP="004E6452"/>
    <w:p w14:paraId="1A3463F3" w14:textId="1F50DDF1" w:rsidR="004E6452" w:rsidRPr="001570EA" w:rsidRDefault="00643494" w:rsidP="00643494">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94</w:t>
      </w:r>
      <w:r w:rsidR="002E093A" w:rsidRPr="001570EA">
        <w:fldChar w:fldCharType="end"/>
      </w:r>
      <w:r w:rsidRPr="001570EA">
        <w:t>: Product Class Descriptions and Default UEC</w:t>
      </w:r>
    </w:p>
    <w:tbl>
      <w:tblPr>
        <w:tblStyle w:val="TableGrid"/>
        <w:tblW w:w="9211" w:type="dxa"/>
        <w:tblLook w:val="04A0" w:firstRow="1" w:lastRow="0" w:firstColumn="1" w:lastColumn="0" w:noHBand="0" w:noVBand="1"/>
      </w:tblPr>
      <w:tblGrid>
        <w:gridCol w:w="8275"/>
        <w:gridCol w:w="936"/>
      </w:tblGrid>
      <w:tr w:rsidR="004E6452" w:rsidRPr="001570EA" w14:paraId="2E3D6C9C" w14:textId="77777777">
        <w:tc>
          <w:tcPr>
            <w:tcW w:w="8275" w:type="dxa"/>
            <w:shd w:val="clear" w:color="auto" w:fill="BFBFBF" w:themeFill="background1" w:themeFillShade="BF"/>
            <w:vAlign w:val="center"/>
          </w:tcPr>
          <w:p w14:paraId="66EB2B3B" w14:textId="77777777" w:rsidR="004E6452" w:rsidRPr="001570EA" w:rsidRDefault="004E6452">
            <w:pPr>
              <w:pStyle w:val="source10"/>
              <w:keepNext/>
              <w:spacing w:after="120" w:line="264" w:lineRule="auto"/>
              <w:jc w:val="center"/>
              <w:rPr>
                <w:rFonts w:eastAsia="Calibri"/>
                <w:sz w:val="18"/>
                <w:szCs w:val="18"/>
              </w:rPr>
            </w:pPr>
            <w:r w:rsidRPr="001570EA">
              <w:rPr>
                <w:b/>
                <w:bCs/>
                <w:color w:val="000000"/>
                <w:sz w:val="18"/>
                <w:szCs w:val="18"/>
              </w:rPr>
              <w:t>Product Class</w:t>
            </w:r>
            <w:r w:rsidRPr="001570EA">
              <w:rPr>
                <w:rStyle w:val="FootnoteReference"/>
                <w:b/>
                <w:bCs/>
                <w:color w:val="000000"/>
                <w:sz w:val="18"/>
                <w:szCs w:val="18"/>
              </w:rPr>
              <w:footnoteReference w:id="12"/>
            </w:r>
          </w:p>
        </w:tc>
        <w:tc>
          <w:tcPr>
            <w:tcW w:w="936" w:type="dxa"/>
            <w:shd w:val="clear" w:color="auto" w:fill="BFBFBF" w:themeFill="background1" w:themeFillShade="BF"/>
            <w:vAlign w:val="center"/>
          </w:tcPr>
          <w:p w14:paraId="66E65AFC" w14:textId="77777777" w:rsidR="004E6452" w:rsidRPr="001570EA" w:rsidRDefault="004E6452">
            <w:pPr>
              <w:pStyle w:val="source10"/>
              <w:keepNext/>
              <w:spacing w:after="120" w:line="264" w:lineRule="auto"/>
              <w:jc w:val="center"/>
              <w:rPr>
                <w:rFonts w:eastAsia="Calibri"/>
                <w:sz w:val="18"/>
                <w:szCs w:val="18"/>
              </w:rPr>
            </w:pPr>
            <w:r w:rsidRPr="001570EA">
              <w:rPr>
                <w:b/>
                <w:bCs/>
                <w:color w:val="000000"/>
                <w:sz w:val="18"/>
                <w:szCs w:val="18"/>
              </w:rPr>
              <w:t>Average UEC (kWh/yr)</w:t>
            </w:r>
          </w:p>
        </w:tc>
      </w:tr>
      <w:tr w:rsidR="004E6452" w:rsidRPr="001570EA" w14:paraId="3C404F9D" w14:textId="77777777">
        <w:trPr>
          <w:trHeight w:val="20"/>
        </w:trPr>
        <w:tc>
          <w:tcPr>
            <w:tcW w:w="8275" w:type="dxa"/>
            <w:vAlign w:val="center"/>
          </w:tcPr>
          <w:p w14:paraId="057C6834" w14:textId="77777777" w:rsidR="004E6452" w:rsidRPr="001570EA" w:rsidRDefault="004E6452">
            <w:pPr>
              <w:pStyle w:val="source10"/>
              <w:keepNext/>
              <w:spacing w:before="80" w:after="80"/>
              <w:jc w:val="left"/>
              <w:rPr>
                <w:rFonts w:eastAsia="Calibri"/>
                <w:sz w:val="18"/>
                <w:szCs w:val="18"/>
              </w:rPr>
            </w:pPr>
            <w:r w:rsidRPr="001570EA">
              <w:rPr>
                <w:color w:val="000000"/>
                <w:sz w:val="18"/>
                <w:szCs w:val="18"/>
              </w:rPr>
              <w:t>11 - Compact refrigerator and Refrigerator-Freezer other than All-Refrigerator - manual defrost</w:t>
            </w:r>
          </w:p>
        </w:tc>
        <w:tc>
          <w:tcPr>
            <w:tcW w:w="936" w:type="dxa"/>
            <w:vAlign w:val="center"/>
          </w:tcPr>
          <w:p w14:paraId="10B649F7" w14:textId="77777777" w:rsidR="004E6452" w:rsidRPr="001570EA" w:rsidRDefault="004E6452">
            <w:pPr>
              <w:pStyle w:val="source10"/>
              <w:keepNext/>
              <w:spacing w:after="120" w:line="264" w:lineRule="auto"/>
              <w:jc w:val="center"/>
              <w:rPr>
                <w:rFonts w:eastAsia="Calibri"/>
                <w:sz w:val="18"/>
                <w:szCs w:val="18"/>
              </w:rPr>
            </w:pPr>
            <w:r w:rsidRPr="001570EA">
              <w:rPr>
                <w:color w:val="000000"/>
                <w:sz w:val="18"/>
                <w:szCs w:val="18"/>
              </w:rPr>
              <w:t>288.3</w:t>
            </w:r>
          </w:p>
        </w:tc>
      </w:tr>
      <w:tr w:rsidR="004E6452" w:rsidRPr="001570EA" w14:paraId="245BF527" w14:textId="77777777">
        <w:trPr>
          <w:trHeight w:val="20"/>
        </w:trPr>
        <w:tc>
          <w:tcPr>
            <w:tcW w:w="8275" w:type="dxa"/>
            <w:vAlign w:val="center"/>
          </w:tcPr>
          <w:p w14:paraId="0A3B0D6F" w14:textId="77777777" w:rsidR="004E6452" w:rsidRPr="001570EA" w:rsidRDefault="004E6452">
            <w:pPr>
              <w:pStyle w:val="source10"/>
              <w:keepNext/>
              <w:spacing w:before="80" w:after="80"/>
              <w:jc w:val="left"/>
              <w:rPr>
                <w:rFonts w:eastAsia="Calibri"/>
                <w:sz w:val="18"/>
                <w:szCs w:val="18"/>
              </w:rPr>
            </w:pPr>
            <w:r w:rsidRPr="001570EA">
              <w:rPr>
                <w:color w:val="000000"/>
                <w:sz w:val="18"/>
                <w:szCs w:val="18"/>
              </w:rPr>
              <w:t>11A - Compact all-refrigerator - manual defrost</w:t>
            </w:r>
            <w:r w:rsidRPr="001570EA" w:rsidDel="00BC3E3D">
              <w:rPr>
                <w:rStyle w:val="FootnoteReference"/>
                <w:color w:val="000000"/>
                <w:sz w:val="18"/>
                <w:szCs w:val="18"/>
              </w:rPr>
              <w:footnoteReference w:id="13"/>
            </w:r>
          </w:p>
        </w:tc>
        <w:tc>
          <w:tcPr>
            <w:tcW w:w="936" w:type="dxa"/>
            <w:vAlign w:val="center"/>
          </w:tcPr>
          <w:p w14:paraId="167F152C" w14:textId="77777777" w:rsidR="004E6452" w:rsidRPr="001570EA" w:rsidRDefault="004E6452">
            <w:pPr>
              <w:pStyle w:val="source10"/>
              <w:keepNext/>
              <w:spacing w:after="120" w:line="264" w:lineRule="auto"/>
              <w:jc w:val="center"/>
              <w:rPr>
                <w:rFonts w:eastAsia="Calibri"/>
                <w:sz w:val="18"/>
                <w:szCs w:val="18"/>
              </w:rPr>
            </w:pPr>
            <w:r w:rsidRPr="001570EA">
              <w:rPr>
                <w:color w:val="000000"/>
                <w:sz w:val="18"/>
                <w:szCs w:val="18"/>
              </w:rPr>
              <w:t>242.7</w:t>
            </w:r>
          </w:p>
        </w:tc>
      </w:tr>
      <w:tr w:rsidR="004E6452" w:rsidRPr="001570EA" w14:paraId="488B6180" w14:textId="77777777">
        <w:trPr>
          <w:trHeight w:val="20"/>
        </w:trPr>
        <w:tc>
          <w:tcPr>
            <w:tcW w:w="8275" w:type="dxa"/>
            <w:vAlign w:val="center"/>
          </w:tcPr>
          <w:p w14:paraId="76D8AD89" w14:textId="77777777" w:rsidR="004E6452" w:rsidRPr="001570EA" w:rsidRDefault="004E6452">
            <w:pPr>
              <w:pStyle w:val="source10"/>
              <w:keepNext/>
              <w:spacing w:before="80" w:after="80"/>
              <w:jc w:val="left"/>
              <w:rPr>
                <w:rFonts w:eastAsia="Calibri"/>
                <w:sz w:val="18"/>
                <w:szCs w:val="18"/>
              </w:rPr>
            </w:pPr>
            <w:r w:rsidRPr="001570EA">
              <w:rPr>
                <w:color w:val="000000"/>
                <w:sz w:val="18"/>
                <w:szCs w:val="18"/>
              </w:rPr>
              <w:t>12 - Compact refrigerator-freezer - partial automatic defrost</w:t>
            </w:r>
          </w:p>
        </w:tc>
        <w:tc>
          <w:tcPr>
            <w:tcW w:w="936" w:type="dxa"/>
            <w:vAlign w:val="center"/>
          </w:tcPr>
          <w:p w14:paraId="71864ED6" w14:textId="77777777" w:rsidR="004E6452" w:rsidRPr="001570EA" w:rsidRDefault="004E6452">
            <w:pPr>
              <w:pStyle w:val="source10"/>
              <w:keepNext/>
              <w:spacing w:after="120" w:line="264" w:lineRule="auto"/>
              <w:jc w:val="center"/>
              <w:rPr>
                <w:rFonts w:eastAsia="Calibri"/>
                <w:sz w:val="18"/>
                <w:szCs w:val="18"/>
              </w:rPr>
            </w:pPr>
            <w:r w:rsidRPr="001570EA">
              <w:rPr>
                <w:color w:val="000000"/>
                <w:sz w:val="18"/>
                <w:szCs w:val="18"/>
              </w:rPr>
              <w:t>361.7</w:t>
            </w:r>
          </w:p>
        </w:tc>
      </w:tr>
      <w:tr w:rsidR="004E6452" w:rsidRPr="001570EA" w14:paraId="0134CBC9" w14:textId="77777777">
        <w:trPr>
          <w:trHeight w:val="20"/>
        </w:trPr>
        <w:tc>
          <w:tcPr>
            <w:tcW w:w="8275" w:type="dxa"/>
            <w:vAlign w:val="center"/>
          </w:tcPr>
          <w:p w14:paraId="26284BC9" w14:textId="77777777" w:rsidR="004E6452" w:rsidRPr="001570EA" w:rsidRDefault="004E6452">
            <w:pPr>
              <w:pStyle w:val="source10"/>
              <w:keepNext/>
              <w:spacing w:before="80" w:after="80"/>
              <w:jc w:val="left"/>
              <w:rPr>
                <w:rFonts w:eastAsia="Calibri"/>
                <w:sz w:val="18"/>
                <w:szCs w:val="18"/>
              </w:rPr>
            </w:pPr>
            <w:r w:rsidRPr="001570EA">
              <w:rPr>
                <w:color w:val="000000"/>
                <w:sz w:val="18"/>
                <w:szCs w:val="18"/>
              </w:rPr>
              <w:t>13 - Compact refrigerator-freezers - automatic defrost with top-mounted freezer</w:t>
            </w:r>
          </w:p>
        </w:tc>
        <w:tc>
          <w:tcPr>
            <w:tcW w:w="936" w:type="dxa"/>
            <w:vAlign w:val="center"/>
          </w:tcPr>
          <w:p w14:paraId="72F02127" w14:textId="77777777" w:rsidR="004E6452" w:rsidRPr="001570EA" w:rsidRDefault="004E6452">
            <w:pPr>
              <w:pStyle w:val="source10"/>
              <w:keepNext/>
              <w:spacing w:after="120" w:line="264" w:lineRule="auto"/>
              <w:jc w:val="center"/>
              <w:rPr>
                <w:rFonts w:eastAsia="Calibri"/>
                <w:sz w:val="18"/>
                <w:szCs w:val="18"/>
              </w:rPr>
            </w:pPr>
            <w:r w:rsidRPr="001570EA">
              <w:rPr>
                <w:color w:val="000000"/>
                <w:sz w:val="18"/>
                <w:szCs w:val="18"/>
              </w:rPr>
              <w:t>405.2</w:t>
            </w:r>
          </w:p>
        </w:tc>
      </w:tr>
      <w:tr w:rsidR="004E6452" w:rsidRPr="001570EA" w14:paraId="3C52F9DB" w14:textId="77777777">
        <w:trPr>
          <w:trHeight w:val="20"/>
        </w:trPr>
        <w:tc>
          <w:tcPr>
            <w:tcW w:w="8275" w:type="dxa"/>
            <w:vAlign w:val="center"/>
          </w:tcPr>
          <w:p w14:paraId="617A7FCF" w14:textId="77777777" w:rsidR="004E6452" w:rsidRPr="001570EA" w:rsidRDefault="004E6452">
            <w:pPr>
              <w:pStyle w:val="source10"/>
              <w:keepNext/>
              <w:spacing w:before="80" w:after="80"/>
              <w:jc w:val="left"/>
              <w:rPr>
                <w:color w:val="000000"/>
                <w:sz w:val="18"/>
                <w:szCs w:val="18"/>
              </w:rPr>
            </w:pPr>
            <w:r w:rsidRPr="001570EA">
              <w:rPr>
                <w:color w:val="000000"/>
                <w:sz w:val="18"/>
                <w:szCs w:val="18"/>
              </w:rPr>
              <w:t>13I - Compact refrigerator-freezers - automatic defrost with top-mounted freezer and automatic icemaker</w:t>
            </w:r>
          </w:p>
        </w:tc>
        <w:tc>
          <w:tcPr>
            <w:tcW w:w="936" w:type="dxa"/>
            <w:vAlign w:val="center"/>
          </w:tcPr>
          <w:p w14:paraId="33862555" w14:textId="77777777" w:rsidR="004E6452" w:rsidRPr="001570EA" w:rsidRDefault="004E6452">
            <w:pPr>
              <w:pStyle w:val="source10"/>
              <w:keepNext/>
              <w:spacing w:after="120" w:line="264" w:lineRule="auto"/>
              <w:jc w:val="center"/>
              <w:rPr>
                <w:color w:val="000000"/>
                <w:sz w:val="18"/>
                <w:szCs w:val="18"/>
              </w:rPr>
            </w:pPr>
            <w:r w:rsidRPr="001570EA">
              <w:rPr>
                <w:color w:val="000000"/>
                <w:sz w:val="18"/>
                <w:szCs w:val="18"/>
              </w:rPr>
              <w:t>298.2</w:t>
            </w:r>
          </w:p>
        </w:tc>
      </w:tr>
      <w:tr w:rsidR="004E6452" w:rsidRPr="001570EA" w14:paraId="7C562CAE" w14:textId="77777777">
        <w:trPr>
          <w:trHeight w:val="20"/>
        </w:trPr>
        <w:tc>
          <w:tcPr>
            <w:tcW w:w="8275" w:type="dxa"/>
            <w:vAlign w:val="center"/>
          </w:tcPr>
          <w:p w14:paraId="56482771" w14:textId="77777777" w:rsidR="004E6452" w:rsidRPr="001570EA" w:rsidRDefault="004E6452">
            <w:pPr>
              <w:pStyle w:val="source10"/>
              <w:keepNext/>
              <w:spacing w:before="80" w:after="80"/>
              <w:jc w:val="left"/>
              <w:rPr>
                <w:rFonts w:eastAsia="Calibri"/>
                <w:sz w:val="18"/>
                <w:szCs w:val="18"/>
              </w:rPr>
            </w:pPr>
            <w:r w:rsidRPr="001570EA">
              <w:rPr>
                <w:color w:val="000000"/>
                <w:sz w:val="18"/>
                <w:szCs w:val="18"/>
              </w:rPr>
              <w:t>13A - Compact all-refrigerators - automatic defrost</w:t>
            </w:r>
          </w:p>
        </w:tc>
        <w:tc>
          <w:tcPr>
            <w:tcW w:w="936" w:type="dxa"/>
            <w:vAlign w:val="center"/>
          </w:tcPr>
          <w:p w14:paraId="291DEE92" w14:textId="77777777" w:rsidR="004E6452" w:rsidRPr="001570EA" w:rsidRDefault="004E6452">
            <w:pPr>
              <w:pStyle w:val="source10"/>
              <w:keepNext/>
              <w:spacing w:after="120" w:line="264" w:lineRule="auto"/>
              <w:jc w:val="center"/>
              <w:rPr>
                <w:rFonts w:eastAsia="Calibri"/>
                <w:sz w:val="18"/>
                <w:szCs w:val="18"/>
              </w:rPr>
            </w:pPr>
            <w:r w:rsidRPr="001570EA">
              <w:rPr>
                <w:color w:val="000000"/>
                <w:sz w:val="18"/>
                <w:szCs w:val="18"/>
              </w:rPr>
              <w:t>538.8</w:t>
            </w:r>
          </w:p>
        </w:tc>
      </w:tr>
      <w:tr w:rsidR="004E6452" w:rsidRPr="001570EA" w14:paraId="36D32C62" w14:textId="77777777">
        <w:trPr>
          <w:trHeight w:val="20"/>
        </w:trPr>
        <w:tc>
          <w:tcPr>
            <w:tcW w:w="8275" w:type="dxa"/>
            <w:vAlign w:val="center"/>
          </w:tcPr>
          <w:p w14:paraId="10FD00A8" w14:textId="77777777" w:rsidR="004E6452" w:rsidRPr="001570EA" w:rsidRDefault="004E6452">
            <w:pPr>
              <w:pStyle w:val="source10"/>
              <w:keepNext/>
              <w:spacing w:before="80" w:after="80"/>
              <w:jc w:val="left"/>
              <w:rPr>
                <w:rFonts w:eastAsia="Calibri"/>
                <w:sz w:val="18"/>
                <w:szCs w:val="18"/>
              </w:rPr>
            </w:pPr>
            <w:r w:rsidRPr="001570EA">
              <w:rPr>
                <w:color w:val="000000"/>
                <w:sz w:val="18"/>
                <w:szCs w:val="18"/>
              </w:rPr>
              <w:t>14 - Compact refrigerator-freezer - automatic defrost with side-mounted freezer</w:t>
            </w:r>
          </w:p>
        </w:tc>
        <w:tc>
          <w:tcPr>
            <w:tcW w:w="936" w:type="dxa"/>
            <w:vAlign w:val="center"/>
          </w:tcPr>
          <w:p w14:paraId="550EE0CE" w14:textId="77777777" w:rsidR="004E6452" w:rsidRPr="001570EA" w:rsidRDefault="004E6452">
            <w:pPr>
              <w:pStyle w:val="source10"/>
              <w:keepNext/>
              <w:spacing w:after="120" w:line="264" w:lineRule="auto"/>
              <w:jc w:val="center"/>
              <w:rPr>
                <w:rFonts w:eastAsia="Calibri"/>
                <w:sz w:val="18"/>
                <w:szCs w:val="18"/>
              </w:rPr>
            </w:pPr>
            <w:r w:rsidRPr="001570EA">
              <w:rPr>
                <w:color w:val="000000"/>
                <w:sz w:val="18"/>
                <w:szCs w:val="18"/>
              </w:rPr>
              <w:t>492.1</w:t>
            </w:r>
          </w:p>
        </w:tc>
      </w:tr>
      <w:tr w:rsidR="004E6452" w:rsidRPr="001570EA" w14:paraId="2991444F" w14:textId="77777777">
        <w:trPr>
          <w:trHeight w:val="20"/>
        </w:trPr>
        <w:tc>
          <w:tcPr>
            <w:tcW w:w="8275" w:type="dxa"/>
            <w:vAlign w:val="center"/>
          </w:tcPr>
          <w:p w14:paraId="5E5A7481" w14:textId="77777777" w:rsidR="004E6452" w:rsidRPr="001570EA" w:rsidRDefault="004E6452">
            <w:pPr>
              <w:pStyle w:val="source10"/>
              <w:keepNext/>
              <w:spacing w:before="80" w:after="80"/>
              <w:jc w:val="left"/>
              <w:rPr>
                <w:rFonts w:eastAsia="Calibri"/>
                <w:sz w:val="18"/>
                <w:szCs w:val="18"/>
              </w:rPr>
            </w:pPr>
            <w:r w:rsidRPr="001570EA">
              <w:rPr>
                <w:color w:val="000000"/>
                <w:sz w:val="18"/>
                <w:szCs w:val="18"/>
              </w:rPr>
              <w:t>14I - Compact refrigerator-freezer - automatic defrost with side-mounted freezer and automatic icemaker</w:t>
            </w:r>
          </w:p>
        </w:tc>
        <w:tc>
          <w:tcPr>
            <w:tcW w:w="936" w:type="dxa"/>
            <w:vAlign w:val="center"/>
          </w:tcPr>
          <w:p w14:paraId="4F346EF3" w14:textId="77777777" w:rsidR="004E6452" w:rsidRPr="001570EA" w:rsidRDefault="004E6452">
            <w:pPr>
              <w:pStyle w:val="source10"/>
              <w:keepNext/>
              <w:spacing w:after="120" w:line="264" w:lineRule="auto"/>
              <w:jc w:val="center"/>
              <w:rPr>
                <w:rFonts w:eastAsia="Calibri"/>
                <w:sz w:val="18"/>
                <w:szCs w:val="18"/>
              </w:rPr>
            </w:pPr>
            <w:r w:rsidRPr="001570EA">
              <w:rPr>
                <w:color w:val="000000"/>
                <w:sz w:val="18"/>
                <w:szCs w:val="18"/>
              </w:rPr>
              <w:t>571.5</w:t>
            </w:r>
          </w:p>
        </w:tc>
      </w:tr>
      <w:tr w:rsidR="004E6452" w:rsidRPr="001570EA" w14:paraId="2AAF69C4" w14:textId="77777777">
        <w:trPr>
          <w:trHeight w:val="20"/>
        </w:trPr>
        <w:tc>
          <w:tcPr>
            <w:tcW w:w="8275" w:type="dxa"/>
            <w:vAlign w:val="center"/>
          </w:tcPr>
          <w:p w14:paraId="44F650FB" w14:textId="77777777" w:rsidR="004E6452" w:rsidRPr="001570EA" w:rsidRDefault="004E6452">
            <w:pPr>
              <w:pStyle w:val="source10"/>
              <w:keepNext/>
              <w:spacing w:before="80" w:after="80"/>
              <w:jc w:val="left"/>
              <w:rPr>
                <w:rFonts w:eastAsia="Calibri"/>
                <w:sz w:val="18"/>
                <w:szCs w:val="18"/>
              </w:rPr>
            </w:pPr>
            <w:r w:rsidRPr="001570EA">
              <w:rPr>
                <w:color w:val="000000"/>
                <w:sz w:val="18"/>
                <w:szCs w:val="18"/>
              </w:rPr>
              <w:t>15 - Compact refrigerator-freezer - automatic defrost with bottom-mounted freezer</w:t>
            </w:r>
          </w:p>
        </w:tc>
        <w:tc>
          <w:tcPr>
            <w:tcW w:w="936" w:type="dxa"/>
            <w:vAlign w:val="center"/>
          </w:tcPr>
          <w:p w14:paraId="388D958F" w14:textId="77777777" w:rsidR="004E6452" w:rsidRPr="001570EA" w:rsidRDefault="004E6452">
            <w:pPr>
              <w:pStyle w:val="source10"/>
              <w:keepNext/>
              <w:spacing w:after="120" w:line="264" w:lineRule="auto"/>
              <w:jc w:val="center"/>
              <w:rPr>
                <w:rFonts w:eastAsia="Calibri"/>
                <w:sz w:val="18"/>
                <w:szCs w:val="18"/>
              </w:rPr>
            </w:pPr>
            <w:r w:rsidRPr="001570EA">
              <w:rPr>
                <w:color w:val="000000"/>
                <w:sz w:val="18"/>
                <w:szCs w:val="18"/>
              </w:rPr>
              <w:t>413.4</w:t>
            </w:r>
          </w:p>
        </w:tc>
      </w:tr>
      <w:tr w:rsidR="004E6452" w:rsidRPr="001570EA" w14:paraId="36D62A2F" w14:textId="77777777">
        <w:trPr>
          <w:trHeight w:val="20"/>
        </w:trPr>
        <w:tc>
          <w:tcPr>
            <w:tcW w:w="8275" w:type="dxa"/>
            <w:vAlign w:val="center"/>
          </w:tcPr>
          <w:p w14:paraId="26793D60" w14:textId="77777777" w:rsidR="004E6452" w:rsidRPr="001570EA" w:rsidRDefault="004E6452">
            <w:pPr>
              <w:pStyle w:val="source10"/>
              <w:keepNext/>
              <w:spacing w:before="80" w:after="80"/>
              <w:jc w:val="left"/>
              <w:rPr>
                <w:rFonts w:eastAsia="Calibri"/>
                <w:sz w:val="18"/>
                <w:szCs w:val="18"/>
              </w:rPr>
            </w:pPr>
            <w:r w:rsidRPr="001570EA">
              <w:rPr>
                <w:color w:val="000000"/>
                <w:sz w:val="18"/>
                <w:szCs w:val="18"/>
              </w:rPr>
              <w:t>15I - Compact refrigerator-freezer - automatic defrost with bottom-mounted freezer and automatic icemaker</w:t>
            </w:r>
          </w:p>
        </w:tc>
        <w:tc>
          <w:tcPr>
            <w:tcW w:w="936" w:type="dxa"/>
            <w:vAlign w:val="center"/>
          </w:tcPr>
          <w:p w14:paraId="1434560F" w14:textId="77777777" w:rsidR="004E6452" w:rsidRPr="001570EA" w:rsidRDefault="004E6452">
            <w:pPr>
              <w:pStyle w:val="source10"/>
              <w:keepNext/>
              <w:spacing w:after="120" w:line="264" w:lineRule="auto"/>
              <w:jc w:val="center"/>
              <w:rPr>
                <w:rFonts w:eastAsia="Calibri"/>
                <w:sz w:val="18"/>
                <w:szCs w:val="18"/>
              </w:rPr>
            </w:pPr>
            <w:r w:rsidRPr="001570EA">
              <w:rPr>
                <w:color w:val="000000"/>
                <w:sz w:val="18"/>
                <w:szCs w:val="18"/>
              </w:rPr>
              <w:t>486.3</w:t>
            </w:r>
          </w:p>
        </w:tc>
      </w:tr>
      <w:tr w:rsidR="004E6452" w:rsidRPr="001570EA" w14:paraId="051825FC" w14:textId="77777777">
        <w:trPr>
          <w:trHeight w:val="20"/>
        </w:trPr>
        <w:tc>
          <w:tcPr>
            <w:tcW w:w="8275" w:type="dxa"/>
            <w:vAlign w:val="center"/>
          </w:tcPr>
          <w:p w14:paraId="511D1168" w14:textId="77777777" w:rsidR="004E6452" w:rsidRPr="001570EA" w:rsidRDefault="004E6452">
            <w:pPr>
              <w:pStyle w:val="source10"/>
              <w:keepNext/>
              <w:spacing w:before="80" w:after="80"/>
              <w:jc w:val="left"/>
              <w:rPr>
                <w:rFonts w:eastAsia="Calibri"/>
                <w:sz w:val="18"/>
                <w:szCs w:val="18"/>
              </w:rPr>
            </w:pPr>
            <w:r w:rsidRPr="001570EA">
              <w:rPr>
                <w:color w:val="000000"/>
                <w:sz w:val="18"/>
                <w:szCs w:val="18"/>
              </w:rPr>
              <w:t>16 - Compact upright freezers with manual defrost</w:t>
            </w:r>
          </w:p>
        </w:tc>
        <w:tc>
          <w:tcPr>
            <w:tcW w:w="936" w:type="dxa"/>
            <w:vAlign w:val="center"/>
          </w:tcPr>
          <w:p w14:paraId="6331B5CB" w14:textId="77777777" w:rsidR="004E6452" w:rsidRPr="001570EA" w:rsidRDefault="004E6452">
            <w:pPr>
              <w:pStyle w:val="source10"/>
              <w:keepNext/>
              <w:spacing w:after="120" w:line="264" w:lineRule="auto"/>
              <w:jc w:val="center"/>
              <w:rPr>
                <w:rFonts w:eastAsia="Calibri"/>
                <w:sz w:val="18"/>
                <w:szCs w:val="18"/>
              </w:rPr>
            </w:pPr>
            <w:r w:rsidRPr="001570EA">
              <w:rPr>
                <w:color w:val="000000"/>
                <w:sz w:val="18"/>
                <w:szCs w:val="18"/>
              </w:rPr>
              <w:t>253.6</w:t>
            </w:r>
          </w:p>
        </w:tc>
      </w:tr>
      <w:tr w:rsidR="004E6452" w:rsidRPr="001570EA" w14:paraId="1053D17E" w14:textId="77777777">
        <w:trPr>
          <w:trHeight w:val="20"/>
        </w:trPr>
        <w:tc>
          <w:tcPr>
            <w:tcW w:w="8275" w:type="dxa"/>
            <w:vAlign w:val="center"/>
          </w:tcPr>
          <w:p w14:paraId="0A75E3FB" w14:textId="77777777" w:rsidR="004E6452" w:rsidRPr="001570EA" w:rsidRDefault="004E6452">
            <w:pPr>
              <w:pStyle w:val="source10"/>
              <w:keepNext/>
              <w:spacing w:before="80" w:after="80"/>
              <w:jc w:val="left"/>
              <w:rPr>
                <w:rFonts w:eastAsia="Calibri"/>
                <w:sz w:val="18"/>
                <w:szCs w:val="18"/>
              </w:rPr>
            </w:pPr>
            <w:r w:rsidRPr="001570EA">
              <w:rPr>
                <w:color w:val="000000"/>
                <w:sz w:val="18"/>
                <w:szCs w:val="18"/>
              </w:rPr>
              <w:t>17 - Compact upright freezers with automatic defrost</w:t>
            </w:r>
          </w:p>
        </w:tc>
        <w:tc>
          <w:tcPr>
            <w:tcW w:w="936" w:type="dxa"/>
            <w:vAlign w:val="center"/>
          </w:tcPr>
          <w:p w14:paraId="67B7C6D5" w14:textId="77777777" w:rsidR="004E6452" w:rsidRPr="001570EA" w:rsidRDefault="004E6452">
            <w:pPr>
              <w:pStyle w:val="source10"/>
              <w:keepNext/>
              <w:spacing w:after="120" w:line="264" w:lineRule="auto"/>
              <w:jc w:val="center"/>
              <w:rPr>
                <w:rFonts w:eastAsia="Calibri"/>
                <w:sz w:val="18"/>
                <w:szCs w:val="18"/>
              </w:rPr>
            </w:pPr>
            <w:r w:rsidRPr="001570EA">
              <w:rPr>
                <w:color w:val="000000"/>
                <w:sz w:val="18"/>
                <w:szCs w:val="18"/>
              </w:rPr>
              <w:t>394.5</w:t>
            </w:r>
          </w:p>
        </w:tc>
      </w:tr>
      <w:tr w:rsidR="004E6452" w:rsidRPr="001570EA" w14:paraId="176A0DB0" w14:textId="77777777">
        <w:trPr>
          <w:trHeight w:val="20"/>
        </w:trPr>
        <w:tc>
          <w:tcPr>
            <w:tcW w:w="8275" w:type="dxa"/>
            <w:vAlign w:val="center"/>
          </w:tcPr>
          <w:p w14:paraId="7A9888C4" w14:textId="77777777" w:rsidR="004E6452" w:rsidRPr="001570EA" w:rsidRDefault="004E6452">
            <w:pPr>
              <w:pStyle w:val="source10"/>
              <w:spacing w:before="80" w:after="80"/>
              <w:jc w:val="left"/>
              <w:rPr>
                <w:rFonts w:eastAsia="Calibri"/>
                <w:sz w:val="18"/>
                <w:szCs w:val="18"/>
              </w:rPr>
            </w:pPr>
            <w:r w:rsidRPr="001570EA">
              <w:rPr>
                <w:color w:val="000000"/>
                <w:sz w:val="18"/>
                <w:szCs w:val="18"/>
              </w:rPr>
              <w:t>18 - Compact chest freezers</w:t>
            </w:r>
          </w:p>
        </w:tc>
        <w:tc>
          <w:tcPr>
            <w:tcW w:w="936" w:type="dxa"/>
            <w:vAlign w:val="center"/>
          </w:tcPr>
          <w:p w14:paraId="48C3B7AC" w14:textId="77777777" w:rsidR="004E6452" w:rsidRPr="001570EA" w:rsidRDefault="004E6452">
            <w:pPr>
              <w:pStyle w:val="source10"/>
              <w:spacing w:after="120" w:line="264" w:lineRule="auto"/>
              <w:jc w:val="center"/>
              <w:rPr>
                <w:rFonts w:eastAsia="Calibri"/>
                <w:sz w:val="18"/>
                <w:szCs w:val="18"/>
              </w:rPr>
            </w:pPr>
            <w:r w:rsidRPr="001570EA">
              <w:rPr>
                <w:color w:val="000000"/>
                <w:sz w:val="18"/>
                <w:szCs w:val="18"/>
              </w:rPr>
              <w:t>180.1</w:t>
            </w:r>
          </w:p>
        </w:tc>
      </w:tr>
    </w:tbl>
    <w:p w14:paraId="5A9BE85C" w14:textId="77777777" w:rsidR="004E6452" w:rsidRPr="001570EA" w:rsidRDefault="004E6452" w:rsidP="004E6452">
      <w:pPr>
        <w:rPr>
          <w:rFonts w:cs="Arial"/>
        </w:rPr>
      </w:pPr>
    </w:p>
    <w:p w14:paraId="2A2DFFF1" w14:textId="77777777" w:rsidR="004E6452" w:rsidRPr="001570EA" w:rsidRDefault="004E6452" w:rsidP="004E6452">
      <w:pPr>
        <w:rPr>
          <w:rFonts w:cs="Arial"/>
        </w:rPr>
      </w:pPr>
    </w:p>
    <w:p w14:paraId="41C09751" w14:textId="77777777" w:rsidR="004E6452" w:rsidRPr="001570EA" w:rsidRDefault="004E6452" w:rsidP="004E6452">
      <w:pPr>
        <w:rPr>
          <w:rFonts w:cs="Arial"/>
        </w:rPr>
      </w:pPr>
    </w:p>
    <w:p w14:paraId="1479E54E" w14:textId="3547423D" w:rsidR="004E6452" w:rsidRPr="001570EA" w:rsidRDefault="00643494" w:rsidP="00643494">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95</w:t>
      </w:r>
      <w:r w:rsidR="002E093A" w:rsidRPr="001570EA">
        <w:fldChar w:fldCharType="end"/>
      </w:r>
      <w:r w:rsidRPr="001570EA">
        <w:t>: Federal Standard-Based UEC by Product Class</w:t>
      </w:r>
    </w:p>
    <w:tbl>
      <w:tblPr>
        <w:tblStyle w:val="TableGrid"/>
        <w:tblW w:w="9360" w:type="dxa"/>
        <w:tblLook w:val="04A0" w:firstRow="1" w:lastRow="0" w:firstColumn="1" w:lastColumn="0" w:noHBand="0" w:noVBand="1"/>
      </w:tblPr>
      <w:tblGrid>
        <w:gridCol w:w="1145"/>
        <w:gridCol w:w="2044"/>
        <w:gridCol w:w="2044"/>
        <w:gridCol w:w="2044"/>
        <w:gridCol w:w="2083"/>
      </w:tblGrid>
      <w:tr w:rsidR="004E6452" w:rsidRPr="001570EA" w14:paraId="7A2CBC3F" w14:textId="77777777">
        <w:tc>
          <w:tcPr>
            <w:tcW w:w="1145" w:type="dxa"/>
            <w:shd w:val="clear" w:color="auto" w:fill="BFBFBF" w:themeFill="background1" w:themeFillShade="BF"/>
          </w:tcPr>
          <w:p w14:paraId="235EA3E0" w14:textId="77777777" w:rsidR="004E6452" w:rsidRPr="001570EA" w:rsidRDefault="004E6452">
            <w:pPr>
              <w:keepNext/>
              <w:keepLines/>
              <w:spacing w:before="80" w:after="80"/>
              <w:jc w:val="center"/>
              <w:rPr>
                <w:rFonts w:cs="Arial"/>
                <w:b/>
                <w:bCs/>
                <w:sz w:val="18"/>
                <w:szCs w:val="18"/>
              </w:rPr>
            </w:pPr>
            <w:r w:rsidRPr="001570EA">
              <w:rPr>
                <w:rFonts w:cs="Arial"/>
                <w:b/>
                <w:bCs/>
                <w:sz w:val="18"/>
                <w:szCs w:val="18"/>
              </w:rPr>
              <w:t>Class</w:t>
            </w:r>
          </w:p>
        </w:tc>
        <w:tc>
          <w:tcPr>
            <w:tcW w:w="2044" w:type="dxa"/>
            <w:shd w:val="clear" w:color="auto" w:fill="BFBFBF" w:themeFill="background1" w:themeFillShade="BF"/>
          </w:tcPr>
          <w:p w14:paraId="00C1873E" w14:textId="77777777" w:rsidR="004E6452" w:rsidRPr="001570EA" w:rsidRDefault="004E6452">
            <w:pPr>
              <w:keepNext/>
              <w:keepLines/>
              <w:spacing w:before="80" w:after="80"/>
              <w:jc w:val="center"/>
              <w:rPr>
                <w:rFonts w:cs="Arial"/>
                <w:b/>
                <w:bCs/>
                <w:sz w:val="18"/>
                <w:szCs w:val="18"/>
              </w:rPr>
            </w:pPr>
            <w:r w:rsidRPr="001570EA">
              <w:rPr>
                <w:rFonts w:cs="Arial"/>
                <w:b/>
                <w:bCs/>
                <w:sz w:val="18"/>
                <w:szCs w:val="18"/>
              </w:rPr>
              <w:t>1992 or earlier</w:t>
            </w:r>
          </w:p>
          <w:p w14:paraId="1B6E1836" w14:textId="77777777" w:rsidR="004E6452" w:rsidRPr="001570EA" w:rsidRDefault="004E6452">
            <w:pPr>
              <w:keepNext/>
              <w:keepLines/>
              <w:spacing w:before="80" w:after="80"/>
              <w:jc w:val="center"/>
              <w:rPr>
                <w:rFonts w:cs="Arial"/>
                <w:b/>
                <w:bCs/>
                <w:sz w:val="18"/>
                <w:szCs w:val="18"/>
              </w:rPr>
            </w:pPr>
            <w:r w:rsidRPr="001570EA">
              <w:rPr>
                <w:rFonts w:cs="Arial"/>
                <w:b/>
                <w:bCs/>
                <w:sz w:val="18"/>
                <w:szCs w:val="18"/>
              </w:rPr>
              <w:t>(1/1/1990)</w:t>
            </w:r>
          </w:p>
        </w:tc>
        <w:tc>
          <w:tcPr>
            <w:tcW w:w="2044" w:type="dxa"/>
            <w:shd w:val="clear" w:color="auto" w:fill="BFBFBF" w:themeFill="background1" w:themeFillShade="BF"/>
          </w:tcPr>
          <w:p w14:paraId="69A39C6B" w14:textId="77777777" w:rsidR="004E6452" w:rsidRPr="001570EA" w:rsidRDefault="004E6452">
            <w:pPr>
              <w:keepNext/>
              <w:keepLines/>
              <w:spacing w:before="80" w:after="80"/>
              <w:jc w:val="center"/>
              <w:rPr>
                <w:rFonts w:cs="Arial"/>
                <w:b/>
                <w:bCs/>
                <w:sz w:val="18"/>
                <w:szCs w:val="18"/>
              </w:rPr>
            </w:pPr>
            <w:r w:rsidRPr="001570EA">
              <w:rPr>
                <w:rFonts w:cs="Arial"/>
                <w:b/>
                <w:bCs/>
                <w:sz w:val="18"/>
                <w:szCs w:val="18"/>
              </w:rPr>
              <w:t>1993 to 2000</w:t>
            </w:r>
          </w:p>
          <w:p w14:paraId="44B4A12E" w14:textId="77777777" w:rsidR="004E6452" w:rsidRPr="001570EA" w:rsidRDefault="004E6452">
            <w:pPr>
              <w:keepNext/>
              <w:keepLines/>
              <w:spacing w:before="80" w:after="80"/>
              <w:jc w:val="center"/>
              <w:rPr>
                <w:rFonts w:cs="Arial"/>
                <w:b/>
                <w:bCs/>
                <w:sz w:val="18"/>
                <w:szCs w:val="18"/>
              </w:rPr>
            </w:pPr>
            <w:r w:rsidRPr="001570EA">
              <w:rPr>
                <w:rFonts w:cs="Arial"/>
                <w:b/>
                <w:bCs/>
                <w:sz w:val="18"/>
                <w:szCs w:val="18"/>
              </w:rPr>
              <w:t>(1/1/1993)</w:t>
            </w:r>
          </w:p>
        </w:tc>
        <w:tc>
          <w:tcPr>
            <w:tcW w:w="2044" w:type="dxa"/>
            <w:shd w:val="clear" w:color="auto" w:fill="BFBFBF" w:themeFill="background1" w:themeFillShade="BF"/>
          </w:tcPr>
          <w:p w14:paraId="60983DDF" w14:textId="77777777" w:rsidR="004E6452" w:rsidRPr="001570EA" w:rsidRDefault="004E6452">
            <w:pPr>
              <w:keepNext/>
              <w:keepLines/>
              <w:spacing w:before="80" w:after="80"/>
              <w:jc w:val="center"/>
              <w:rPr>
                <w:rFonts w:cs="Arial"/>
                <w:b/>
                <w:bCs/>
                <w:sz w:val="18"/>
                <w:szCs w:val="18"/>
              </w:rPr>
            </w:pPr>
            <w:r w:rsidRPr="001570EA">
              <w:rPr>
                <w:rFonts w:cs="Arial"/>
                <w:b/>
                <w:bCs/>
                <w:sz w:val="18"/>
                <w:szCs w:val="18"/>
              </w:rPr>
              <w:t>2001 to 2014</w:t>
            </w:r>
          </w:p>
          <w:p w14:paraId="4B8A7DE3" w14:textId="77777777" w:rsidR="004E6452" w:rsidRPr="001570EA" w:rsidRDefault="004E6452">
            <w:pPr>
              <w:keepNext/>
              <w:keepLines/>
              <w:spacing w:before="80" w:after="80"/>
              <w:jc w:val="center"/>
              <w:rPr>
                <w:rFonts w:cs="Arial"/>
                <w:b/>
                <w:bCs/>
                <w:sz w:val="18"/>
                <w:szCs w:val="18"/>
              </w:rPr>
            </w:pPr>
            <w:r w:rsidRPr="001570EA">
              <w:rPr>
                <w:rFonts w:cs="Arial"/>
                <w:b/>
                <w:bCs/>
                <w:sz w:val="18"/>
                <w:szCs w:val="18"/>
              </w:rPr>
              <w:t>(1/1/2001)</w:t>
            </w:r>
          </w:p>
        </w:tc>
        <w:tc>
          <w:tcPr>
            <w:tcW w:w="2083" w:type="dxa"/>
            <w:shd w:val="clear" w:color="auto" w:fill="BFBFBF" w:themeFill="background1" w:themeFillShade="BF"/>
          </w:tcPr>
          <w:p w14:paraId="1B0C3A32" w14:textId="77777777" w:rsidR="004E6452" w:rsidRPr="001570EA" w:rsidRDefault="004E6452">
            <w:pPr>
              <w:keepNext/>
              <w:keepLines/>
              <w:spacing w:before="80" w:after="80"/>
              <w:jc w:val="center"/>
              <w:rPr>
                <w:rFonts w:cs="Arial"/>
                <w:b/>
                <w:bCs/>
                <w:sz w:val="18"/>
                <w:szCs w:val="18"/>
              </w:rPr>
            </w:pPr>
            <w:r w:rsidRPr="001570EA">
              <w:rPr>
                <w:rFonts w:cs="Arial"/>
                <w:b/>
                <w:bCs/>
                <w:sz w:val="18"/>
                <w:szCs w:val="18"/>
              </w:rPr>
              <w:t>2015 to date</w:t>
            </w:r>
          </w:p>
          <w:p w14:paraId="3F2143A4" w14:textId="77777777" w:rsidR="004E6452" w:rsidRPr="001570EA" w:rsidRDefault="004E6452">
            <w:pPr>
              <w:keepNext/>
              <w:keepLines/>
              <w:spacing w:before="80" w:after="80"/>
              <w:jc w:val="center"/>
              <w:rPr>
                <w:rFonts w:cs="Arial"/>
                <w:b/>
                <w:bCs/>
                <w:sz w:val="18"/>
                <w:szCs w:val="18"/>
              </w:rPr>
            </w:pPr>
            <w:r w:rsidRPr="001570EA">
              <w:rPr>
                <w:rFonts w:cs="Arial"/>
                <w:b/>
                <w:bCs/>
                <w:sz w:val="18"/>
                <w:szCs w:val="18"/>
              </w:rPr>
              <w:t>(9/14/2014)</w:t>
            </w:r>
          </w:p>
        </w:tc>
      </w:tr>
      <w:tr w:rsidR="004E6452" w:rsidRPr="001570EA" w14:paraId="682B2D3A" w14:textId="77777777">
        <w:tc>
          <w:tcPr>
            <w:tcW w:w="1145" w:type="dxa"/>
            <w:vAlign w:val="center"/>
          </w:tcPr>
          <w:p w14:paraId="213EBCA4" w14:textId="77777777" w:rsidR="004E6452" w:rsidRPr="001570EA" w:rsidRDefault="004E6452">
            <w:pPr>
              <w:keepNext/>
              <w:keepLines/>
              <w:spacing w:before="80" w:after="80"/>
              <w:jc w:val="center"/>
              <w:rPr>
                <w:rFonts w:cs="Arial"/>
                <w:sz w:val="18"/>
                <w:szCs w:val="18"/>
              </w:rPr>
            </w:pPr>
            <w:r w:rsidRPr="001570EA">
              <w:rPr>
                <w:rFonts w:cs="Arial"/>
                <w:sz w:val="18"/>
                <w:szCs w:val="18"/>
              </w:rPr>
              <w:t>11</w:t>
            </w:r>
          </w:p>
        </w:tc>
        <w:tc>
          <w:tcPr>
            <w:tcW w:w="2044" w:type="dxa"/>
            <w:vMerge w:val="restart"/>
            <w:vAlign w:val="center"/>
          </w:tcPr>
          <w:p w14:paraId="7ED7ADE0" w14:textId="77777777" w:rsidR="004E6452" w:rsidRPr="001570EA" w:rsidRDefault="004E6452">
            <w:pPr>
              <w:keepNext/>
              <w:keepLines/>
              <w:spacing w:before="80" w:after="80"/>
              <w:jc w:val="center"/>
              <w:rPr>
                <w:rFonts w:cs="Arial"/>
                <w:sz w:val="18"/>
                <w:szCs w:val="18"/>
              </w:rPr>
            </w:pPr>
            <w:r w:rsidRPr="001570EA">
              <w:rPr>
                <w:sz w:val="18"/>
                <w:szCs w:val="18"/>
              </w:rPr>
              <w:t>16.3 × AV + 316</w:t>
            </w:r>
          </w:p>
        </w:tc>
        <w:tc>
          <w:tcPr>
            <w:tcW w:w="2044" w:type="dxa"/>
            <w:vMerge w:val="restart"/>
            <w:vAlign w:val="center"/>
          </w:tcPr>
          <w:p w14:paraId="33366376" w14:textId="77777777" w:rsidR="004E6452" w:rsidRPr="001570EA" w:rsidRDefault="004E6452">
            <w:pPr>
              <w:keepNext/>
              <w:keepLines/>
              <w:spacing w:before="80" w:after="80"/>
              <w:jc w:val="center"/>
              <w:rPr>
                <w:rFonts w:cs="Arial"/>
                <w:sz w:val="18"/>
                <w:szCs w:val="18"/>
              </w:rPr>
            </w:pPr>
            <w:r w:rsidRPr="001570EA">
              <w:rPr>
                <w:sz w:val="18"/>
                <w:szCs w:val="18"/>
              </w:rPr>
              <w:t>13.5 × AV + 299</w:t>
            </w:r>
          </w:p>
        </w:tc>
        <w:tc>
          <w:tcPr>
            <w:tcW w:w="2044" w:type="dxa"/>
            <w:vMerge w:val="restart"/>
            <w:vAlign w:val="center"/>
          </w:tcPr>
          <w:p w14:paraId="48926DB9" w14:textId="77777777" w:rsidR="004E6452" w:rsidRPr="001570EA" w:rsidRDefault="004E6452">
            <w:pPr>
              <w:keepNext/>
              <w:keepLines/>
              <w:spacing w:before="80" w:after="80"/>
              <w:jc w:val="center"/>
              <w:rPr>
                <w:rFonts w:cs="Arial"/>
                <w:sz w:val="18"/>
                <w:szCs w:val="18"/>
              </w:rPr>
            </w:pPr>
            <w:r w:rsidRPr="001570EA">
              <w:rPr>
                <w:rFonts w:cs="Arial"/>
                <w:sz w:val="18"/>
                <w:szCs w:val="18"/>
              </w:rPr>
              <w:t>10.70</w:t>
            </w:r>
            <w:r w:rsidRPr="001570EA">
              <w:rPr>
                <w:rFonts w:cs="Arial"/>
                <w:color w:val="000000"/>
                <w:sz w:val="18"/>
                <w:szCs w:val="18"/>
              </w:rPr>
              <w:t xml:space="preserve"> × </w:t>
            </w:r>
            <w:r w:rsidRPr="001570EA">
              <w:rPr>
                <w:rFonts w:cs="Arial"/>
                <w:sz w:val="18"/>
                <w:szCs w:val="18"/>
              </w:rPr>
              <w:t>AV + 299.0</w:t>
            </w:r>
          </w:p>
        </w:tc>
        <w:tc>
          <w:tcPr>
            <w:tcW w:w="2083" w:type="dxa"/>
            <w:vAlign w:val="center"/>
          </w:tcPr>
          <w:p w14:paraId="34883377" w14:textId="77777777" w:rsidR="004E6452" w:rsidRPr="001570EA" w:rsidRDefault="004E6452">
            <w:pPr>
              <w:keepNext/>
              <w:keepLines/>
              <w:spacing w:before="80" w:after="80"/>
              <w:jc w:val="center"/>
              <w:rPr>
                <w:rFonts w:cs="Arial"/>
                <w:sz w:val="18"/>
                <w:szCs w:val="18"/>
              </w:rPr>
            </w:pPr>
            <w:r w:rsidRPr="001570EA">
              <w:rPr>
                <w:rFonts w:cs="Arial"/>
                <w:color w:val="000000"/>
                <w:sz w:val="18"/>
                <w:szCs w:val="18"/>
              </w:rPr>
              <w:t>9.03 × AV + 252.3</w:t>
            </w:r>
          </w:p>
        </w:tc>
      </w:tr>
      <w:tr w:rsidR="004E6452" w:rsidRPr="001570EA" w14:paraId="27C35DC7" w14:textId="77777777">
        <w:tc>
          <w:tcPr>
            <w:tcW w:w="1145" w:type="dxa"/>
            <w:vAlign w:val="center"/>
          </w:tcPr>
          <w:p w14:paraId="5B72F178" w14:textId="77777777" w:rsidR="004E6452" w:rsidRPr="001570EA" w:rsidRDefault="004E6452">
            <w:pPr>
              <w:keepNext/>
              <w:keepLines/>
              <w:spacing w:before="80" w:after="80"/>
              <w:jc w:val="center"/>
              <w:rPr>
                <w:rFonts w:cs="Arial"/>
                <w:sz w:val="18"/>
                <w:szCs w:val="18"/>
              </w:rPr>
            </w:pPr>
            <w:r w:rsidRPr="001570EA">
              <w:rPr>
                <w:rFonts w:cs="Arial"/>
                <w:sz w:val="18"/>
                <w:szCs w:val="18"/>
              </w:rPr>
              <w:t>11A</w:t>
            </w:r>
          </w:p>
        </w:tc>
        <w:tc>
          <w:tcPr>
            <w:tcW w:w="2044" w:type="dxa"/>
            <w:vMerge/>
            <w:vAlign w:val="center"/>
          </w:tcPr>
          <w:p w14:paraId="63A67BE8" w14:textId="77777777" w:rsidR="004E6452" w:rsidRPr="001570EA" w:rsidRDefault="004E6452">
            <w:pPr>
              <w:keepNext/>
              <w:keepLines/>
              <w:spacing w:before="80" w:after="80"/>
              <w:jc w:val="center"/>
              <w:rPr>
                <w:rFonts w:cs="Arial"/>
                <w:sz w:val="18"/>
                <w:szCs w:val="18"/>
              </w:rPr>
            </w:pPr>
          </w:p>
        </w:tc>
        <w:tc>
          <w:tcPr>
            <w:tcW w:w="2044" w:type="dxa"/>
            <w:vMerge/>
            <w:vAlign w:val="center"/>
          </w:tcPr>
          <w:p w14:paraId="04EC6207" w14:textId="77777777" w:rsidR="004E6452" w:rsidRPr="001570EA" w:rsidRDefault="004E6452">
            <w:pPr>
              <w:keepNext/>
              <w:keepLines/>
              <w:spacing w:before="80" w:after="80"/>
              <w:jc w:val="center"/>
              <w:rPr>
                <w:rFonts w:cs="Arial"/>
                <w:sz w:val="18"/>
                <w:szCs w:val="18"/>
              </w:rPr>
            </w:pPr>
          </w:p>
        </w:tc>
        <w:tc>
          <w:tcPr>
            <w:tcW w:w="2044" w:type="dxa"/>
            <w:vMerge/>
            <w:vAlign w:val="center"/>
          </w:tcPr>
          <w:p w14:paraId="7B796BD9" w14:textId="77777777" w:rsidR="004E6452" w:rsidRPr="001570EA" w:rsidRDefault="004E6452">
            <w:pPr>
              <w:keepNext/>
              <w:keepLines/>
              <w:spacing w:before="80" w:after="80"/>
              <w:jc w:val="center"/>
              <w:rPr>
                <w:rFonts w:cs="Arial"/>
                <w:sz w:val="18"/>
                <w:szCs w:val="18"/>
              </w:rPr>
            </w:pPr>
          </w:p>
        </w:tc>
        <w:tc>
          <w:tcPr>
            <w:tcW w:w="2083" w:type="dxa"/>
            <w:vAlign w:val="center"/>
          </w:tcPr>
          <w:p w14:paraId="7C2B64B5" w14:textId="77777777" w:rsidR="004E6452" w:rsidRPr="001570EA" w:rsidRDefault="004E6452">
            <w:pPr>
              <w:keepNext/>
              <w:keepLines/>
              <w:spacing w:before="80" w:after="80"/>
              <w:jc w:val="center"/>
              <w:rPr>
                <w:rFonts w:cs="Arial"/>
                <w:sz w:val="18"/>
                <w:szCs w:val="18"/>
              </w:rPr>
            </w:pPr>
            <w:r w:rsidRPr="001570EA">
              <w:rPr>
                <w:rFonts w:cs="Arial"/>
                <w:color w:val="000000"/>
                <w:sz w:val="18"/>
                <w:szCs w:val="18"/>
              </w:rPr>
              <w:t>7.84 × AV + 219.1</w:t>
            </w:r>
          </w:p>
        </w:tc>
      </w:tr>
      <w:tr w:rsidR="004E6452" w:rsidRPr="001570EA" w14:paraId="4ED1805C" w14:textId="77777777">
        <w:tc>
          <w:tcPr>
            <w:tcW w:w="1145" w:type="dxa"/>
            <w:vAlign w:val="center"/>
          </w:tcPr>
          <w:p w14:paraId="0CF17609" w14:textId="77777777" w:rsidR="004E6452" w:rsidRPr="001570EA" w:rsidRDefault="004E6452">
            <w:pPr>
              <w:keepNext/>
              <w:keepLines/>
              <w:spacing w:before="80" w:after="80"/>
              <w:jc w:val="center"/>
              <w:rPr>
                <w:rFonts w:cs="Arial"/>
                <w:sz w:val="18"/>
                <w:szCs w:val="18"/>
              </w:rPr>
            </w:pPr>
            <w:r w:rsidRPr="001570EA">
              <w:rPr>
                <w:rFonts w:cs="Arial"/>
                <w:sz w:val="18"/>
                <w:szCs w:val="18"/>
              </w:rPr>
              <w:t>12</w:t>
            </w:r>
          </w:p>
        </w:tc>
        <w:tc>
          <w:tcPr>
            <w:tcW w:w="2044" w:type="dxa"/>
            <w:vAlign w:val="center"/>
          </w:tcPr>
          <w:p w14:paraId="2649E979" w14:textId="77777777" w:rsidR="004E6452" w:rsidRPr="001570EA" w:rsidRDefault="004E6452">
            <w:pPr>
              <w:keepNext/>
              <w:keepLines/>
              <w:spacing w:before="80" w:after="80"/>
              <w:jc w:val="center"/>
              <w:rPr>
                <w:rFonts w:cs="Arial"/>
                <w:sz w:val="18"/>
                <w:szCs w:val="18"/>
              </w:rPr>
            </w:pPr>
            <w:r w:rsidRPr="001570EA">
              <w:rPr>
                <w:sz w:val="18"/>
                <w:szCs w:val="18"/>
              </w:rPr>
              <w:t>21.8 × AV + 429</w:t>
            </w:r>
          </w:p>
        </w:tc>
        <w:tc>
          <w:tcPr>
            <w:tcW w:w="2044" w:type="dxa"/>
            <w:vAlign w:val="center"/>
          </w:tcPr>
          <w:p w14:paraId="7C8E9541" w14:textId="77777777" w:rsidR="004E6452" w:rsidRPr="001570EA" w:rsidRDefault="004E6452">
            <w:pPr>
              <w:keepNext/>
              <w:keepLines/>
              <w:spacing w:before="80" w:after="80"/>
              <w:jc w:val="center"/>
              <w:rPr>
                <w:rFonts w:cs="Arial"/>
                <w:sz w:val="18"/>
                <w:szCs w:val="18"/>
              </w:rPr>
            </w:pPr>
            <w:r w:rsidRPr="001570EA">
              <w:rPr>
                <w:sz w:val="18"/>
                <w:szCs w:val="18"/>
              </w:rPr>
              <w:t>10.4 × AV + 398</w:t>
            </w:r>
          </w:p>
        </w:tc>
        <w:tc>
          <w:tcPr>
            <w:tcW w:w="2044" w:type="dxa"/>
            <w:vAlign w:val="center"/>
          </w:tcPr>
          <w:p w14:paraId="0500D7B4" w14:textId="77777777" w:rsidR="004E6452" w:rsidRPr="001570EA" w:rsidRDefault="004E6452">
            <w:pPr>
              <w:keepNext/>
              <w:keepLines/>
              <w:spacing w:before="80" w:after="80"/>
              <w:jc w:val="center"/>
              <w:rPr>
                <w:rFonts w:cs="Arial"/>
                <w:sz w:val="18"/>
                <w:szCs w:val="18"/>
              </w:rPr>
            </w:pPr>
            <w:r w:rsidRPr="001570EA">
              <w:rPr>
                <w:rFonts w:cs="Arial"/>
                <w:sz w:val="18"/>
                <w:szCs w:val="18"/>
              </w:rPr>
              <w:t>7.00</w:t>
            </w:r>
            <w:r w:rsidRPr="001570EA">
              <w:rPr>
                <w:rFonts w:cs="Arial"/>
                <w:color w:val="000000"/>
                <w:sz w:val="18"/>
                <w:szCs w:val="18"/>
              </w:rPr>
              <w:t xml:space="preserve"> × </w:t>
            </w:r>
            <w:r w:rsidRPr="001570EA">
              <w:rPr>
                <w:rFonts w:cs="Arial"/>
                <w:sz w:val="18"/>
                <w:szCs w:val="18"/>
              </w:rPr>
              <w:t>AV + 398.0</w:t>
            </w:r>
          </w:p>
        </w:tc>
        <w:tc>
          <w:tcPr>
            <w:tcW w:w="2083" w:type="dxa"/>
            <w:vAlign w:val="center"/>
          </w:tcPr>
          <w:p w14:paraId="0C5FB5E3" w14:textId="77777777" w:rsidR="004E6452" w:rsidRPr="001570EA" w:rsidRDefault="004E6452">
            <w:pPr>
              <w:keepNext/>
              <w:keepLines/>
              <w:spacing w:before="80" w:after="80"/>
              <w:jc w:val="center"/>
              <w:rPr>
                <w:rFonts w:cs="Arial"/>
                <w:sz w:val="18"/>
                <w:szCs w:val="18"/>
              </w:rPr>
            </w:pPr>
            <w:r w:rsidRPr="001570EA">
              <w:rPr>
                <w:rFonts w:cs="Arial"/>
                <w:color w:val="000000"/>
                <w:sz w:val="18"/>
                <w:szCs w:val="18"/>
              </w:rPr>
              <w:t>5.91 × AV + 335.8</w:t>
            </w:r>
          </w:p>
        </w:tc>
      </w:tr>
      <w:tr w:rsidR="004E6452" w:rsidRPr="001570EA" w14:paraId="790D611C" w14:textId="77777777">
        <w:tc>
          <w:tcPr>
            <w:tcW w:w="1145" w:type="dxa"/>
            <w:vAlign w:val="center"/>
          </w:tcPr>
          <w:p w14:paraId="56361A6B" w14:textId="77777777" w:rsidR="004E6452" w:rsidRPr="001570EA" w:rsidRDefault="004E6452">
            <w:pPr>
              <w:keepNext/>
              <w:keepLines/>
              <w:spacing w:before="80" w:after="80"/>
              <w:jc w:val="center"/>
              <w:rPr>
                <w:rFonts w:cs="Arial"/>
                <w:sz w:val="18"/>
                <w:szCs w:val="18"/>
              </w:rPr>
            </w:pPr>
            <w:r w:rsidRPr="001570EA">
              <w:rPr>
                <w:rFonts w:cs="Arial"/>
                <w:sz w:val="18"/>
                <w:szCs w:val="18"/>
              </w:rPr>
              <w:t>13</w:t>
            </w:r>
          </w:p>
        </w:tc>
        <w:tc>
          <w:tcPr>
            <w:tcW w:w="2044" w:type="dxa"/>
            <w:vMerge w:val="restart"/>
            <w:vAlign w:val="center"/>
          </w:tcPr>
          <w:p w14:paraId="74A06245" w14:textId="77777777" w:rsidR="004E6452" w:rsidRPr="001570EA" w:rsidRDefault="004E6452">
            <w:pPr>
              <w:keepNext/>
              <w:keepLines/>
              <w:spacing w:before="80" w:after="80"/>
              <w:jc w:val="center"/>
              <w:rPr>
                <w:sz w:val="18"/>
                <w:szCs w:val="18"/>
              </w:rPr>
            </w:pPr>
            <w:r w:rsidRPr="001570EA">
              <w:rPr>
                <w:sz w:val="18"/>
                <w:szCs w:val="18"/>
              </w:rPr>
              <w:t>23.5 × AV + 471</w:t>
            </w:r>
          </w:p>
        </w:tc>
        <w:tc>
          <w:tcPr>
            <w:tcW w:w="2044" w:type="dxa"/>
            <w:vMerge w:val="restart"/>
            <w:vAlign w:val="center"/>
          </w:tcPr>
          <w:p w14:paraId="47E6E462" w14:textId="77777777" w:rsidR="004E6452" w:rsidRPr="001570EA" w:rsidRDefault="004E6452">
            <w:pPr>
              <w:keepNext/>
              <w:keepLines/>
              <w:spacing w:before="80" w:after="80"/>
              <w:jc w:val="center"/>
              <w:rPr>
                <w:sz w:val="18"/>
                <w:szCs w:val="18"/>
              </w:rPr>
            </w:pPr>
            <w:r w:rsidRPr="001570EA">
              <w:rPr>
                <w:sz w:val="18"/>
                <w:szCs w:val="18"/>
              </w:rPr>
              <w:t>16.0 × AV + 355</w:t>
            </w:r>
          </w:p>
        </w:tc>
        <w:tc>
          <w:tcPr>
            <w:tcW w:w="2044" w:type="dxa"/>
            <w:vMerge w:val="restart"/>
            <w:vAlign w:val="center"/>
          </w:tcPr>
          <w:p w14:paraId="7FD44C0E" w14:textId="77777777" w:rsidR="004E6452" w:rsidRPr="001570EA" w:rsidRDefault="004E6452">
            <w:pPr>
              <w:keepNext/>
              <w:keepLines/>
              <w:spacing w:before="80" w:after="80"/>
              <w:jc w:val="center"/>
              <w:rPr>
                <w:rFonts w:cs="Arial"/>
                <w:sz w:val="18"/>
                <w:szCs w:val="18"/>
              </w:rPr>
            </w:pPr>
            <w:r w:rsidRPr="001570EA">
              <w:rPr>
                <w:rFonts w:cs="Arial"/>
                <w:sz w:val="18"/>
                <w:szCs w:val="18"/>
              </w:rPr>
              <w:t>12.70</w:t>
            </w:r>
            <w:r w:rsidRPr="001570EA">
              <w:rPr>
                <w:rFonts w:cs="Arial"/>
                <w:color w:val="000000"/>
                <w:sz w:val="18"/>
                <w:szCs w:val="18"/>
              </w:rPr>
              <w:t xml:space="preserve"> × </w:t>
            </w:r>
            <w:r w:rsidRPr="001570EA">
              <w:rPr>
                <w:rFonts w:cs="Arial"/>
                <w:sz w:val="18"/>
                <w:szCs w:val="18"/>
              </w:rPr>
              <w:t>AV + 355.0</w:t>
            </w:r>
          </w:p>
        </w:tc>
        <w:tc>
          <w:tcPr>
            <w:tcW w:w="2083" w:type="dxa"/>
            <w:vAlign w:val="center"/>
          </w:tcPr>
          <w:p w14:paraId="0E76A7BB" w14:textId="77777777" w:rsidR="004E6452" w:rsidRPr="001570EA" w:rsidRDefault="004E6452">
            <w:pPr>
              <w:keepNext/>
              <w:keepLines/>
              <w:spacing w:before="80" w:after="80"/>
              <w:jc w:val="center"/>
              <w:rPr>
                <w:rFonts w:cs="Arial"/>
                <w:color w:val="000000"/>
                <w:sz w:val="18"/>
                <w:szCs w:val="18"/>
              </w:rPr>
            </w:pPr>
            <w:r w:rsidRPr="001570EA">
              <w:rPr>
                <w:rFonts w:cs="Arial"/>
                <w:color w:val="000000"/>
                <w:sz w:val="18"/>
                <w:szCs w:val="18"/>
              </w:rPr>
              <w:t>11.80 × AV + 339.2</w:t>
            </w:r>
          </w:p>
        </w:tc>
      </w:tr>
      <w:tr w:rsidR="004E6452" w:rsidRPr="001570EA" w14:paraId="1BF4CE72" w14:textId="77777777">
        <w:tc>
          <w:tcPr>
            <w:tcW w:w="1145" w:type="dxa"/>
            <w:vAlign w:val="center"/>
          </w:tcPr>
          <w:p w14:paraId="11536783" w14:textId="77777777" w:rsidR="004E6452" w:rsidRPr="001570EA" w:rsidRDefault="004E6452">
            <w:pPr>
              <w:keepNext/>
              <w:keepLines/>
              <w:spacing w:before="80" w:after="80"/>
              <w:jc w:val="center"/>
              <w:rPr>
                <w:rFonts w:cs="Arial"/>
                <w:sz w:val="18"/>
                <w:szCs w:val="18"/>
              </w:rPr>
            </w:pPr>
            <w:r w:rsidRPr="001570EA">
              <w:rPr>
                <w:rFonts w:cs="Arial"/>
                <w:sz w:val="18"/>
                <w:szCs w:val="18"/>
              </w:rPr>
              <w:t>13I</w:t>
            </w:r>
          </w:p>
        </w:tc>
        <w:tc>
          <w:tcPr>
            <w:tcW w:w="2044" w:type="dxa"/>
            <w:vMerge/>
            <w:vAlign w:val="center"/>
          </w:tcPr>
          <w:p w14:paraId="47B6B547" w14:textId="77777777" w:rsidR="004E6452" w:rsidRPr="001570EA" w:rsidRDefault="004E6452">
            <w:pPr>
              <w:keepNext/>
              <w:keepLines/>
              <w:spacing w:before="80" w:after="80"/>
              <w:jc w:val="center"/>
              <w:rPr>
                <w:sz w:val="18"/>
                <w:szCs w:val="18"/>
              </w:rPr>
            </w:pPr>
          </w:p>
        </w:tc>
        <w:tc>
          <w:tcPr>
            <w:tcW w:w="2044" w:type="dxa"/>
            <w:vMerge/>
            <w:vAlign w:val="center"/>
          </w:tcPr>
          <w:p w14:paraId="47553078" w14:textId="77777777" w:rsidR="004E6452" w:rsidRPr="001570EA" w:rsidRDefault="004E6452">
            <w:pPr>
              <w:keepNext/>
              <w:keepLines/>
              <w:spacing w:before="80" w:after="80"/>
              <w:jc w:val="center"/>
              <w:rPr>
                <w:sz w:val="18"/>
                <w:szCs w:val="18"/>
              </w:rPr>
            </w:pPr>
          </w:p>
        </w:tc>
        <w:tc>
          <w:tcPr>
            <w:tcW w:w="2044" w:type="dxa"/>
            <w:vMerge/>
            <w:vAlign w:val="center"/>
          </w:tcPr>
          <w:p w14:paraId="2A3156F8" w14:textId="77777777" w:rsidR="004E6452" w:rsidRPr="001570EA" w:rsidRDefault="004E6452">
            <w:pPr>
              <w:keepNext/>
              <w:keepLines/>
              <w:spacing w:before="80" w:after="80"/>
              <w:jc w:val="center"/>
              <w:rPr>
                <w:rFonts w:cs="Arial"/>
                <w:sz w:val="18"/>
                <w:szCs w:val="18"/>
              </w:rPr>
            </w:pPr>
          </w:p>
        </w:tc>
        <w:tc>
          <w:tcPr>
            <w:tcW w:w="2083" w:type="dxa"/>
            <w:vAlign w:val="center"/>
          </w:tcPr>
          <w:p w14:paraId="41E226BC" w14:textId="77777777" w:rsidR="004E6452" w:rsidRPr="001570EA" w:rsidRDefault="004E6452">
            <w:pPr>
              <w:keepNext/>
              <w:keepLines/>
              <w:spacing w:before="80" w:after="80"/>
              <w:jc w:val="center"/>
              <w:rPr>
                <w:rFonts w:cs="Arial"/>
                <w:color w:val="000000"/>
                <w:sz w:val="18"/>
                <w:szCs w:val="18"/>
              </w:rPr>
            </w:pPr>
            <w:r w:rsidRPr="001570EA">
              <w:rPr>
                <w:rFonts w:cs="Arial"/>
                <w:color w:val="000000"/>
                <w:sz w:val="18"/>
                <w:szCs w:val="18"/>
              </w:rPr>
              <w:t>11.80 × AV + 423.2</w:t>
            </w:r>
          </w:p>
        </w:tc>
      </w:tr>
      <w:tr w:rsidR="004E6452" w:rsidRPr="001570EA" w14:paraId="631E23EC" w14:textId="77777777">
        <w:tc>
          <w:tcPr>
            <w:tcW w:w="1145" w:type="dxa"/>
            <w:vAlign w:val="center"/>
          </w:tcPr>
          <w:p w14:paraId="19A09E38" w14:textId="77777777" w:rsidR="004E6452" w:rsidRPr="001570EA" w:rsidRDefault="004E6452">
            <w:pPr>
              <w:keepNext/>
              <w:keepLines/>
              <w:spacing w:before="80" w:after="80"/>
              <w:jc w:val="center"/>
              <w:rPr>
                <w:rFonts w:cs="Arial"/>
                <w:sz w:val="18"/>
                <w:szCs w:val="18"/>
              </w:rPr>
            </w:pPr>
            <w:r w:rsidRPr="001570EA">
              <w:rPr>
                <w:rFonts w:cs="Arial"/>
                <w:sz w:val="18"/>
                <w:szCs w:val="18"/>
              </w:rPr>
              <w:t>13A</w:t>
            </w:r>
          </w:p>
        </w:tc>
        <w:tc>
          <w:tcPr>
            <w:tcW w:w="2044" w:type="dxa"/>
            <w:vMerge/>
            <w:vAlign w:val="center"/>
          </w:tcPr>
          <w:p w14:paraId="41E283AA" w14:textId="77777777" w:rsidR="004E6452" w:rsidRPr="001570EA" w:rsidRDefault="004E6452">
            <w:pPr>
              <w:keepNext/>
              <w:keepLines/>
              <w:spacing w:before="80" w:after="80"/>
              <w:jc w:val="center"/>
              <w:rPr>
                <w:rFonts w:cs="Arial"/>
                <w:sz w:val="18"/>
                <w:szCs w:val="18"/>
              </w:rPr>
            </w:pPr>
          </w:p>
        </w:tc>
        <w:tc>
          <w:tcPr>
            <w:tcW w:w="2044" w:type="dxa"/>
            <w:vMerge/>
            <w:vAlign w:val="center"/>
          </w:tcPr>
          <w:p w14:paraId="29E1E8E0" w14:textId="77777777" w:rsidR="004E6452" w:rsidRPr="001570EA" w:rsidRDefault="004E6452">
            <w:pPr>
              <w:keepNext/>
              <w:keepLines/>
              <w:spacing w:before="80" w:after="80"/>
              <w:jc w:val="center"/>
              <w:rPr>
                <w:rFonts w:cs="Arial"/>
                <w:sz w:val="18"/>
                <w:szCs w:val="18"/>
              </w:rPr>
            </w:pPr>
          </w:p>
        </w:tc>
        <w:tc>
          <w:tcPr>
            <w:tcW w:w="2044" w:type="dxa"/>
            <w:vMerge/>
            <w:vAlign w:val="center"/>
          </w:tcPr>
          <w:p w14:paraId="5AAFA43A" w14:textId="77777777" w:rsidR="004E6452" w:rsidRPr="001570EA" w:rsidRDefault="004E6452">
            <w:pPr>
              <w:keepNext/>
              <w:keepLines/>
              <w:spacing w:before="80" w:after="80"/>
              <w:jc w:val="center"/>
              <w:rPr>
                <w:rFonts w:cs="Arial"/>
                <w:sz w:val="18"/>
                <w:szCs w:val="18"/>
              </w:rPr>
            </w:pPr>
          </w:p>
        </w:tc>
        <w:tc>
          <w:tcPr>
            <w:tcW w:w="2083" w:type="dxa"/>
            <w:vAlign w:val="center"/>
          </w:tcPr>
          <w:p w14:paraId="1F3C3085" w14:textId="77777777" w:rsidR="004E6452" w:rsidRPr="001570EA" w:rsidRDefault="004E6452">
            <w:pPr>
              <w:keepNext/>
              <w:keepLines/>
              <w:spacing w:before="80" w:after="80"/>
              <w:jc w:val="center"/>
              <w:rPr>
                <w:rFonts w:cs="Arial"/>
                <w:sz w:val="18"/>
                <w:szCs w:val="18"/>
              </w:rPr>
            </w:pPr>
            <w:r w:rsidRPr="001570EA">
              <w:rPr>
                <w:rFonts w:cs="Arial"/>
                <w:color w:val="000000"/>
                <w:sz w:val="18"/>
                <w:szCs w:val="18"/>
              </w:rPr>
              <w:t>9.17 × AV + 259.3</w:t>
            </w:r>
          </w:p>
        </w:tc>
      </w:tr>
      <w:tr w:rsidR="004E6452" w:rsidRPr="001570EA" w14:paraId="244C5A73" w14:textId="77777777">
        <w:tc>
          <w:tcPr>
            <w:tcW w:w="1145" w:type="dxa"/>
            <w:vAlign w:val="center"/>
          </w:tcPr>
          <w:p w14:paraId="16550B20" w14:textId="77777777" w:rsidR="004E6452" w:rsidRPr="001570EA" w:rsidRDefault="004E6452">
            <w:pPr>
              <w:keepNext/>
              <w:keepLines/>
              <w:spacing w:before="80" w:after="80"/>
              <w:jc w:val="center"/>
              <w:rPr>
                <w:rFonts w:cs="Arial"/>
                <w:sz w:val="18"/>
                <w:szCs w:val="18"/>
              </w:rPr>
            </w:pPr>
            <w:r w:rsidRPr="001570EA">
              <w:rPr>
                <w:rFonts w:cs="Arial"/>
                <w:sz w:val="18"/>
                <w:szCs w:val="18"/>
              </w:rPr>
              <w:t>14</w:t>
            </w:r>
          </w:p>
        </w:tc>
        <w:tc>
          <w:tcPr>
            <w:tcW w:w="2044" w:type="dxa"/>
            <w:vMerge w:val="restart"/>
            <w:vAlign w:val="center"/>
          </w:tcPr>
          <w:p w14:paraId="57987DCD" w14:textId="77777777" w:rsidR="004E6452" w:rsidRPr="001570EA" w:rsidRDefault="004E6452">
            <w:pPr>
              <w:keepNext/>
              <w:keepLines/>
              <w:spacing w:before="80" w:after="80"/>
              <w:jc w:val="center"/>
              <w:rPr>
                <w:rFonts w:cs="Arial"/>
                <w:sz w:val="18"/>
                <w:szCs w:val="18"/>
              </w:rPr>
            </w:pPr>
            <w:r w:rsidRPr="001570EA">
              <w:rPr>
                <w:sz w:val="18"/>
                <w:szCs w:val="18"/>
              </w:rPr>
              <w:t>27.7 × AV + 488</w:t>
            </w:r>
          </w:p>
        </w:tc>
        <w:tc>
          <w:tcPr>
            <w:tcW w:w="2044" w:type="dxa"/>
            <w:vMerge w:val="restart"/>
            <w:vAlign w:val="center"/>
          </w:tcPr>
          <w:p w14:paraId="101EFDA3" w14:textId="77777777" w:rsidR="004E6452" w:rsidRPr="001570EA" w:rsidRDefault="004E6452">
            <w:pPr>
              <w:keepNext/>
              <w:keepLines/>
              <w:spacing w:before="80" w:after="80"/>
              <w:jc w:val="center"/>
              <w:rPr>
                <w:rFonts w:cs="Arial"/>
                <w:sz w:val="18"/>
                <w:szCs w:val="18"/>
              </w:rPr>
            </w:pPr>
            <w:r w:rsidRPr="001570EA">
              <w:rPr>
                <w:sz w:val="18"/>
                <w:szCs w:val="18"/>
              </w:rPr>
              <w:t>11.8 × AV + 501</w:t>
            </w:r>
          </w:p>
        </w:tc>
        <w:tc>
          <w:tcPr>
            <w:tcW w:w="2044" w:type="dxa"/>
            <w:vMerge w:val="restart"/>
            <w:vAlign w:val="center"/>
          </w:tcPr>
          <w:p w14:paraId="0FF519BA" w14:textId="77777777" w:rsidR="004E6452" w:rsidRPr="001570EA" w:rsidRDefault="004E6452">
            <w:pPr>
              <w:keepNext/>
              <w:keepLines/>
              <w:spacing w:before="80" w:after="80"/>
              <w:jc w:val="center"/>
              <w:rPr>
                <w:rFonts w:cs="Arial"/>
                <w:sz w:val="18"/>
                <w:szCs w:val="18"/>
              </w:rPr>
            </w:pPr>
            <w:r w:rsidRPr="001570EA">
              <w:rPr>
                <w:rFonts w:cs="Arial"/>
                <w:sz w:val="18"/>
                <w:szCs w:val="18"/>
              </w:rPr>
              <w:t>7.60</w:t>
            </w:r>
            <w:r w:rsidRPr="001570EA">
              <w:rPr>
                <w:rFonts w:cs="Arial"/>
                <w:color w:val="000000"/>
                <w:sz w:val="18"/>
                <w:szCs w:val="18"/>
              </w:rPr>
              <w:t xml:space="preserve"> × </w:t>
            </w:r>
            <w:r w:rsidRPr="001570EA">
              <w:rPr>
                <w:rFonts w:cs="Arial"/>
                <w:sz w:val="18"/>
                <w:szCs w:val="18"/>
              </w:rPr>
              <w:t>AV + 501.0</w:t>
            </w:r>
          </w:p>
        </w:tc>
        <w:tc>
          <w:tcPr>
            <w:tcW w:w="2083" w:type="dxa"/>
            <w:vAlign w:val="center"/>
          </w:tcPr>
          <w:p w14:paraId="48E8C14C" w14:textId="77777777" w:rsidR="004E6452" w:rsidRPr="001570EA" w:rsidRDefault="004E6452">
            <w:pPr>
              <w:keepNext/>
              <w:keepLines/>
              <w:spacing w:before="80" w:after="80"/>
              <w:jc w:val="center"/>
              <w:rPr>
                <w:rFonts w:cs="Arial"/>
                <w:sz w:val="18"/>
                <w:szCs w:val="18"/>
              </w:rPr>
            </w:pPr>
            <w:r w:rsidRPr="001570EA">
              <w:rPr>
                <w:rFonts w:cs="Arial"/>
                <w:color w:val="000000"/>
                <w:sz w:val="18"/>
                <w:szCs w:val="18"/>
              </w:rPr>
              <w:t>6.82 × AV + 456.9</w:t>
            </w:r>
          </w:p>
        </w:tc>
      </w:tr>
      <w:tr w:rsidR="004E6452" w:rsidRPr="001570EA" w14:paraId="62844D79" w14:textId="77777777">
        <w:tc>
          <w:tcPr>
            <w:tcW w:w="1145" w:type="dxa"/>
            <w:vAlign w:val="center"/>
          </w:tcPr>
          <w:p w14:paraId="2036BF74" w14:textId="77777777" w:rsidR="004E6452" w:rsidRPr="001570EA" w:rsidRDefault="004E6452">
            <w:pPr>
              <w:keepNext/>
              <w:keepLines/>
              <w:spacing w:before="80" w:after="80"/>
              <w:jc w:val="center"/>
              <w:rPr>
                <w:rFonts w:cs="Arial"/>
                <w:sz w:val="18"/>
                <w:szCs w:val="18"/>
              </w:rPr>
            </w:pPr>
            <w:r w:rsidRPr="001570EA">
              <w:rPr>
                <w:rFonts w:cs="Arial"/>
                <w:sz w:val="18"/>
                <w:szCs w:val="18"/>
              </w:rPr>
              <w:t>14I</w:t>
            </w:r>
          </w:p>
        </w:tc>
        <w:tc>
          <w:tcPr>
            <w:tcW w:w="2044" w:type="dxa"/>
            <w:vMerge/>
            <w:vAlign w:val="center"/>
          </w:tcPr>
          <w:p w14:paraId="6F5B782A" w14:textId="77777777" w:rsidR="004E6452" w:rsidRPr="001570EA" w:rsidRDefault="004E6452">
            <w:pPr>
              <w:keepNext/>
              <w:keepLines/>
              <w:spacing w:before="80" w:after="80"/>
              <w:jc w:val="center"/>
              <w:rPr>
                <w:rFonts w:cs="Arial"/>
                <w:sz w:val="18"/>
                <w:szCs w:val="18"/>
              </w:rPr>
            </w:pPr>
          </w:p>
        </w:tc>
        <w:tc>
          <w:tcPr>
            <w:tcW w:w="2044" w:type="dxa"/>
            <w:vMerge/>
            <w:vAlign w:val="center"/>
          </w:tcPr>
          <w:p w14:paraId="231DD7D9" w14:textId="77777777" w:rsidR="004E6452" w:rsidRPr="001570EA" w:rsidRDefault="004E6452">
            <w:pPr>
              <w:keepNext/>
              <w:keepLines/>
              <w:spacing w:before="80" w:after="80"/>
              <w:jc w:val="center"/>
              <w:rPr>
                <w:rFonts w:cs="Arial"/>
                <w:sz w:val="18"/>
                <w:szCs w:val="18"/>
              </w:rPr>
            </w:pPr>
          </w:p>
        </w:tc>
        <w:tc>
          <w:tcPr>
            <w:tcW w:w="2044" w:type="dxa"/>
            <w:vMerge/>
            <w:vAlign w:val="center"/>
          </w:tcPr>
          <w:p w14:paraId="4AEE6B96" w14:textId="77777777" w:rsidR="004E6452" w:rsidRPr="001570EA" w:rsidRDefault="004E6452">
            <w:pPr>
              <w:keepNext/>
              <w:keepLines/>
              <w:spacing w:before="80" w:after="80"/>
              <w:jc w:val="center"/>
              <w:rPr>
                <w:rFonts w:cs="Arial"/>
                <w:sz w:val="18"/>
                <w:szCs w:val="18"/>
              </w:rPr>
            </w:pPr>
          </w:p>
        </w:tc>
        <w:tc>
          <w:tcPr>
            <w:tcW w:w="2083" w:type="dxa"/>
            <w:vAlign w:val="center"/>
          </w:tcPr>
          <w:p w14:paraId="37A22578" w14:textId="77777777" w:rsidR="004E6452" w:rsidRPr="001570EA" w:rsidRDefault="004E6452">
            <w:pPr>
              <w:keepNext/>
              <w:keepLines/>
              <w:spacing w:before="80" w:after="80"/>
              <w:jc w:val="center"/>
              <w:rPr>
                <w:rFonts w:cs="Arial"/>
                <w:sz w:val="18"/>
                <w:szCs w:val="18"/>
              </w:rPr>
            </w:pPr>
            <w:r w:rsidRPr="001570EA">
              <w:rPr>
                <w:rFonts w:cs="Arial"/>
                <w:color w:val="000000"/>
                <w:sz w:val="18"/>
                <w:szCs w:val="18"/>
              </w:rPr>
              <w:t>6.82 × AV + 540.9</w:t>
            </w:r>
          </w:p>
        </w:tc>
      </w:tr>
      <w:tr w:rsidR="004E6452" w:rsidRPr="001570EA" w14:paraId="0141A79C" w14:textId="77777777">
        <w:tc>
          <w:tcPr>
            <w:tcW w:w="1145" w:type="dxa"/>
            <w:vAlign w:val="center"/>
          </w:tcPr>
          <w:p w14:paraId="089D15D8" w14:textId="77777777" w:rsidR="004E6452" w:rsidRPr="001570EA" w:rsidRDefault="004E6452">
            <w:pPr>
              <w:keepNext/>
              <w:keepLines/>
              <w:spacing w:before="80" w:after="80"/>
              <w:jc w:val="center"/>
              <w:rPr>
                <w:rFonts w:cs="Arial"/>
                <w:sz w:val="18"/>
                <w:szCs w:val="18"/>
              </w:rPr>
            </w:pPr>
            <w:r w:rsidRPr="001570EA">
              <w:rPr>
                <w:rFonts w:cs="Arial"/>
                <w:sz w:val="18"/>
                <w:szCs w:val="18"/>
              </w:rPr>
              <w:t>15</w:t>
            </w:r>
          </w:p>
        </w:tc>
        <w:tc>
          <w:tcPr>
            <w:tcW w:w="2044" w:type="dxa"/>
            <w:vMerge w:val="restart"/>
            <w:vAlign w:val="center"/>
          </w:tcPr>
          <w:p w14:paraId="0D5BAEC0" w14:textId="77777777" w:rsidR="004E6452" w:rsidRPr="001570EA" w:rsidRDefault="004E6452">
            <w:pPr>
              <w:keepNext/>
              <w:keepLines/>
              <w:spacing w:before="80" w:after="80"/>
              <w:jc w:val="center"/>
              <w:rPr>
                <w:rFonts w:cs="Arial"/>
                <w:sz w:val="18"/>
                <w:szCs w:val="18"/>
              </w:rPr>
            </w:pPr>
            <w:r w:rsidRPr="001570EA">
              <w:rPr>
                <w:sz w:val="18"/>
                <w:szCs w:val="18"/>
              </w:rPr>
              <w:t>27.7 × AV + 488</w:t>
            </w:r>
          </w:p>
        </w:tc>
        <w:tc>
          <w:tcPr>
            <w:tcW w:w="2044" w:type="dxa"/>
            <w:vMerge w:val="restart"/>
            <w:vAlign w:val="center"/>
          </w:tcPr>
          <w:p w14:paraId="114BC6D5" w14:textId="77777777" w:rsidR="004E6452" w:rsidRPr="001570EA" w:rsidRDefault="004E6452">
            <w:pPr>
              <w:keepNext/>
              <w:keepLines/>
              <w:spacing w:before="80" w:after="80"/>
              <w:jc w:val="center"/>
              <w:rPr>
                <w:rFonts w:cs="Arial"/>
                <w:sz w:val="18"/>
                <w:szCs w:val="18"/>
              </w:rPr>
            </w:pPr>
            <w:r w:rsidRPr="001570EA">
              <w:rPr>
                <w:sz w:val="18"/>
                <w:szCs w:val="18"/>
              </w:rPr>
              <w:t>16.5 × AV + 367</w:t>
            </w:r>
          </w:p>
        </w:tc>
        <w:tc>
          <w:tcPr>
            <w:tcW w:w="2044" w:type="dxa"/>
            <w:vMerge w:val="restart"/>
            <w:vAlign w:val="center"/>
          </w:tcPr>
          <w:p w14:paraId="23178D02" w14:textId="77777777" w:rsidR="004E6452" w:rsidRPr="001570EA" w:rsidRDefault="004E6452">
            <w:pPr>
              <w:keepNext/>
              <w:keepLines/>
              <w:spacing w:before="80" w:after="80"/>
              <w:jc w:val="center"/>
              <w:rPr>
                <w:rFonts w:cs="Arial"/>
                <w:sz w:val="18"/>
                <w:szCs w:val="18"/>
              </w:rPr>
            </w:pPr>
            <w:r w:rsidRPr="001570EA">
              <w:rPr>
                <w:rFonts w:cs="Arial"/>
                <w:sz w:val="18"/>
                <w:szCs w:val="18"/>
              </w:rPr>
              <w:t>13.10</w:t>
            </w:r>
            <w:r w:rsidRPr="001570EA">
              <w:rPr>
                <w:rFonts w:cs="Arial"/>
                <w:color w:val="000000"/>
                <w:sz w:val="18"/>
                <w:szCs w:val="18"/>
              </w:rPr>
              <w:t xml:space="preserve"> × </w:t>
            </w:r>
            <w:r w:rsidRPr="001570EA">
              <w:rPr>
                <w:rFonts w:cs="Arial"/>
                <w:sz w:val="18"/>
                <w:szCs w:val="18"/>
              </w:rPr>
              <w:t>AV + 367.0</w:t>
            </w:r>
          </w:p>
        </w:tc>
        <w:tc>
          <w:tcPr>
            <w:tcW w:w="2083" w:type="dxa"/>
            <w:vAlign w:val="center"/>
          </w:tcPr>
          <w:p w14:paraId="59893EF8" w14:textId="77777777" w:rsidR="004E6452" w:rsidRPr="001570EA" w:rsidRDefault="004E6452">
            <w:pPr>
              <w:keepNext/>
              <w:keepLines/>
              <w:spacing w:before="80" w:after="80"/>
              <w:jc w:val="center"/>
              <w:rPr>
                <w:rFonts w:cs="Arial"/>
                <w:sz w:val="18"/>
                <w:szCs w:val="18"/>
              </w:rPr>
            </w:pPr>
            <w:r w:rsidRPr="001570EA">
              <w:rPr>
                <w:rFonts w:cs="Arial"/>
                <w:color w:val="000000"/>
                <w:sz w:val="18"/>
                <w:szCs w:val="18"/>
              </w:rPr>
              <w:t>11.80 × AV + 339.2</w:t>
            </w:r>
          </w:p>
        </w:tc>
      </w:tr>
      <w:tr w:rsidR="004E6452" w:rsidRPr="001570EA" w14:paraId="052BDCC7" w14:textId="77777777">
        <w:tc>
          <w:tcPr>
            <w:tcW w:w="1145" w:type="dxa"/>
            <w:vAlign w:val="center"/>
          </w:tcPr>
          <w:p w14:paraId="4EC7B448" w14:textId="77777777" w:rsidR="004E6452" w:rsidRPr="001570EA" w:rsidRDefault="004E6452">
            <w:pPr>
              <w:keepNext/>
              <w:keepLines/>
              <w:spacing w:before="80" w:after="80"/>
              <w:jc w:val="center"/>
              <w:rPr>
                <w:rFonts w:cs="Arial"/>
                <w:sz w:val="18"/>
                <w:szCs w:val="18"/>
              </w:rPr>
            </w:pPr>
            <w:r w:rsidRPr="001570EA">
              <w:rPr>
                <w:rFonts w:cs="Arial"/>
                <w:sz w:val="18"/>
                <w:szCs w:val="18"/>
              </w:rPr>
              <w:t>15I</w:t>
            </w:r>
          </w:p>
        </w:tc>
        <w:tc>
          <w:tcPr>
            <w:tcW w:w="2044" w:type="dxa"/>
            <w:vMerge/>
            <w:vAlign w:val="center"/>
          </w:tcPr>
          <w:p w14:paraId="5E5C193A" w14:textId="77777777" w:rsidR="004E6452" w:rsidRPr="001570EA" w:rsidRDefault="004E6452">
            <w:pPr>
              <w:keepNext/>
              <w:keepLines/>
              <w:spacing w:before="80" w:after="80"/>
              <w:jc w:val="center"/>
              <w:rPr>
                <w:rFonts w:cs="Arial"/>
                <w:sz w:val="18"/>
                <w:szCs w:val="18"/>
              </w:rPr>
            </w:pPr>
          </w:p>
        </w:tc>
        <w:tc>
          <w:tcPr>
            <w:tcW w:w="2044" w:type="dxa"/>
            <w:vMerge/>
            <w:vAlign w:val="center"/>
          </w:tcPr>
          <w:p w14:paraId="0E40C108" w14:textId="77777777" w:rsidR="004E6452" w:rsidRPr="001570EA" w:rsidRDefault="004E6452">
            <w:pPr>
              <w:keepNext/>
              <w:keepLines/>
              <w:spacing w:before="80" w:after="80"/>
              <w:jc w:val="center"/>
              <w:rPr>
                <w:rFonts w:cs="Arial"/>
                <w:sz w:val="18"/>
                <w:szCs w:val="18"/>
              </w:rPr>
            </w:pPr>
          </w:p>
        </w:tc>
        <w:tc>
          <w:tcPr>
            <w:tcW w:w="2044" w:type="dxa"/>
            <w:vMerge/>
            <w:vAlign w:val="center"/>
          </w:tcPr>
          <w:p w14:paraId="653A0627" w14:textId="77777777" w:rsidR="004E6452" w:rsidRPr="001570EA" w:rsidRDefault="004E6452">
            <w:pPr>
              <w:keepNext/>
              <w:keepLines/>
              <w:spacing w:before="80" w:after="80"/>
              <w:jc w:val="center"/>
              <w:rPr>
                <w:rFonts w:cs="Arial"/>
                <w:sz w:val="18"/>
                <w:szCs w:val="18"/>
              </w:rPr>
            </w:pPr>
          </w:p>
        </w:tc>
        <w:tc>
          <w:tcPr>
            <w:tcW w:w="2083" w:type="dxa"/>
            <w:vAlign w:val="center"/>
          </w:tcPr>
          <w:p w14:paraId="7E0AF37C" w14:textId="77777777" w:rsidR="004E6452" w:rsidRPr="001570EA" w:rsidRDefault="004E6452">
            <w:pPr>
              <w:keepNext/>
              <w:keepLines/>
              <w:spacing w:before="80" w:after="80"/>
              <w:jc w:val="center"/>
              <w:rPr>
                <w:rFonts w:cs="Arial"/>
                <w:sz w:val="18"/>
                <w:szCs w:val="18"/>
              </w:rPr>
            </w:pPr>
            <w:r w:rsidRPr="001570EA">
              <w:rPr>
                <w:rFonts w:cs="Arial"/>
                <w:color w:val="000000"/>
                <w:sz w:val="18"/>
                <w:szCs w:val="18"/>
              </w:rPr>
              <w:t>11.80 × AV + 423.2</w:t>
            </w:r>
          </w:p>
        </w:tc>
      </w:tr>
      <w:tr w:rsidR="004E6452" w:rsidRPr="001570EA" w14:paraId="3245F1CC" w14:textId="77777777">
        <w:tc>
          <w:tcPr>
            <w:tcW w:w="1145" w:type="dxa"/>
            <w:vAlign w:val="center"/>
          </w:tcPr>
          <w:p w14:paraId="7EC1742A" w14:textId="77777777" w:rsidR="004E6452" w:rsidRPr="001570EA" w:rsidRDefault="004E6452">
            <w:pPr>
              <w:keepNext/>
              <w:keepLines/>
              <w:spacing w:before="80" w:after="80"/>
              <w:jc w:val="center"/>
              <w:rPr>
                <w:rFonts w:cs="Arial"/>
                <w:sz w:val="18"/>
                <w:szCs w:val="18"/>
              </w:rPr>
            </w:pPr>
            <w:r w:rsidRPr="001570EA">
              <w:rPr>
                <w:rFonts w:cs="Arial"/>
                <w:sz w:val="18"/>
                <w:szCs w:val="18"/>
              </w:rPr>
              <w:t>16</w:t>
            </w:r>
          </w:p>
        </w:tc>
        <w:tc>
          <w:tcPr>
            <w:tcW w:w="2044" w:type="dxa"/>
            <w:vAlign w:val="center"/>
          </w:tcPr>
          <w:p w14:paraId="5E926019" w14:textId="77777777" w:rsidR="004E6452" w:rsidRPr="001570EA" w:rsidRDefault="004E6452">
            <w:pPr>
              <w:keepNext/>
              <w:keepLines/>
              <w:spacing w:before="80" w:after="80"/>
              <w:jc w:val="center"/>
              <w:rPr>
                <w:rFonts w:cs="Arial"/>
                <w:sz w:val="18"/>
                <w:szCs w:val="18"/>
              </w:rPr>
            </w:pPr>
            <w:r w:rsidRPr="001570EA">
              <w:rPr>
                <w:sz w:val="18"/>
                <w:szCs w:val="18"/>
              </w:rPr>
              <w:t>10.9 × AV + 422</w:t>
            </w:r>
          </w:p>
        </w:tc>
        <w:tc>
          <w:tcPr>
            <w:tcW w:w="2044" w:type="dxa"/>
            <w:vAlign w:val="center"/>
          </w:tcPr>
          <w:p w14:paraId="307D8E34" w14:textId="77777777" w:rsidR="004E6452" w:rsidRPr="001570EA" w:rsidRDefault="004E6452">
            <w:pPr>
              <w:keepNext/>
              <w:keepLines/>
              <w:spacing w:before="80" w:after="80"/>
              <w:jc w:val="center"/>
              <w:rPr>
                <w:rFonts w:cs="Arial"/>
                <w:sz w:val="18"/>
                <w:szCs w:val="18"/>
              </w:rPr>
            </w:pPr>
            <w:r w:rsidRPr="001570EA">
              <w:rPr>
                <w:sz w:val="18"/>
                <w:szCs w:val="18"/>
              </w:rPr>
              <w:t>10.3 × AV + 264</w:t>
            </w:r>
          </w:p>
        </w:tc>
        <w:tc>
          <w:tcPr>
            <w:tcW w:w="2044" w:type="dxa"/>
            <w:vAlign w:val="center"/>
          </w:tcPr>
          <w:p w14:paraId="5BC522AD" w14:textId="77777777" w:rsidR="004E6452" w:rsidRPr="001570EA" w:rsidRDefault="004E6452">
            <w:pPr>
              <w:keepNext/>
              <w:keepLines/>
              <w:spacing w:before="80" w:after="80"/>
              <w:jc w:val="center"/>
              <w:rPr>
                <w:rFonts w:cs="Arial"/>
                <w:sz w:val="18"/>
                <w:szCs w:val="18"/>
              </w:rPr>
            </w:pPr>
            <w:r w:rsidRPr="001570EA">
              <w:rPr>
                <w:rFonts w:cs="Arial"/>
                <w:sz w:val="18"/>
                <w:szCs w:val="18"/>
              </w:rPr>
              <w:t>9.78</w:t>
            </w:r>
            <w:r w:rsidRPr="001570EA">
              <w:rPr>
                <w:rFonts w:cs="Arial"/>
                <w:color w:val="000000"/>
                <w:sz w:val="18"/>
                <w:szCs w:val="18"/>
              </w:rPr>
              <w:t xml:space="preserve"> × </w:t>
            </w:r>
            <w:r w:rsidRPr="001570EA">
              <w:rPr>
                <w:rFonts w:cs="Arial"/>
                <w:sz w:val="18"/>
                <w:szCs w:val="18"/>
              </w:rPr>
              <w:t>AV + 250.8</w:t>
            </w:r>
          </w:p>
        </w:tc>
        <w:tc>
          <w:tcPr>
            <w:tcW w:w="2083" w:type="dxa"/>
            <w:vAlign w:val="center"/>
          </w:tcPr>
          <w:p w14:paraId="34D0331F" w14:textId="77777777" w:rsidR="004E6452" w:rsidRPr="001570EA" w:rsidRDefault="004E6452">
            <w:pPr>
              <w:keepNext/>
              <w:keepLines/>
              <w:spacing w:before="80" w:after="80"/>
              <w:jc w:val="center"/>
              <w:rPr>
                <w:rFonts w:cs="Arial"/>
                <w:sz w:val="18"/>
                <w:szCs w:val="18"/>
              </w:rPr>
            </w:pPr>
            <w:r w:rsidRPr="001570EA">
              <w:rPr>
                <w:rFonts w:cs="Arial"/>
                <w:color w:val="000000"/>
                <w:sz w:val="18"/>
                <w:szCs w:val="18"/>
              </w:rPr>
              <w:t>8.65 × AV + 225.7</w:t>
            </w:r>
          </w:p>
        </w:tc>
      </w:tr>
      <w:tr w:rsidR="004E6452" w:rsidRPr="001570EA" w14:paraId="122956EE" w14:textId="77777777">
        <w:tc>
          <w:tcPr>
            <w:tcW w:w="1145" w:type="dxa"/>
            <w:vAlign w:val="center"/>
          </w:tcPr>
          <w:p w14:paraId="4059E82A" w14:textId="77777777" w:rsidR="004E6452" w:rsidRPr="001570EA" w:rsidRDefault="004E6452">
            <w:pPr>
              <w:keepNext/>
              <w:keepLines/>
              <w:spacing w:before="80" w:after="80"/>
              <w:jc w:val="center"/>
              <w:rPr>
                <w:rFonts w:cs="Arial"/>
                <w:sz w:val="18"/>
                <w:szCs w:val="18"/>
              </w:rPr>
            </w:pPr>
            <w:r w:rsidRPr="001570EA">
              <w:rPr>
                <w:rFonts w:cs="Arial"/>
                <w:sz w:val="18"/>
                <w:szCs w:val="18"/>
              </w:rPr>
              <w:t>17</w:t>
            </w:r>
          </w:p>
        </w:tc>
        <w:tc>
          <w:tcPr>
            <w:tcW w:w="2044" w:type="dxa"/>
            <w:vAlign w:val="center"/>
          </w:tcPr>
          <w:p w14:paraId="542C70EB" w14:textId="77777777" w:rsidR="004E6452" w:rsidRPr="001570EA" w:rsidRDefault="004E6452">
            <w:pPr>
              <w:keepNext/>
              <w:keepLines/>
              <w:spacing w:before="80" w:after="80"/>
              <w:jc w:val="center"/>
              <w:rPr>
                <w:rFonts w:cs="Arial"/>
                <w:sz w:val="18"/>
                <w:szCs w:val="18"/>
              </w:rPr>
            </w:pPr>
            <w:r w:rsidRPr="001570EA">
              <w:rPr>
                <w:sz w:val="18"/>
                <w:szCs w:val="18"/>
              </w:rPr>
              <w:t>16.0 × AV + 623</w:t>
            </w:r>
          </w:p>
        </w:tc>
        <w:tc>
          <w:tcPr>
            <w:tcW w:w="2044" w:type="dxa"/>
            <w:vAlign w:val="center"/>
          </w:tcPr>
          <w:p w14:paraId="47F4C328" w14:textId="77777777" w:rsidR="004E6452" w:rsidRPr="001570EA" w:rsidRDefault="004E6452">
            <w:pPr>
              <w:keepNext/>
              <w:keepLines/>
              <w:spacing w:before="80" w:after="80"/>
              <w:jc w:val="center"/>
              <w:rPr>
                <w:rFonts w:cs="Arial"/>
                <w:sz w:val="18"/>
                <w:szCs w:val="18"/>
              </w:rPr>
            </w:pPr>
            <w:r w:rsidRPr="001570EA">
              <w:rPr>
                <w:sz w:val="18"/>
                <w:szCs w:val="18"/>
              </w:rPr>
              <w:t>14.9 × AV + 391</w:t>
            </w:r>
          </w:p>
        </w:tc>
        <w:tc>
          <w:tcPr>
            <w:tcW w:w="2044" w:type="dxa"/>
            <w:vAlign w:val="center"/>
          </w:tcPr>
          <w:p w14:paraId="13EFC2EE" w14:textId="77777777" w:rsidR="004E6452" w:rsidRPr="001570EA" w:rsidRDefault="004E6452">
            <w:pPr>
              <w:keepNext/>
              <w:keepLines/>
              <w:spacing w:before="80" w:after="80"/>
              <w:jc w:val="center"/>
              <w:rPr>
                <w:rFonts w:cs="Arial"/>
                <w:sz w:val="18"/>
                <w:szCs w:val="18"/>
              </w:rPr>
            </w:pPr>
            <w:r w:rsidRPr="001570EA">
              <w:rPr>
                <w:rFonts w:cs="Arial"/>
                <w:sz w:val="18"/>
                <w:szCs w:val="18"/>
              </w:rPr>
              <w:t>11.40</w:t>
            </w:r>
            <w:r w:rsidRPr="001570EA">
              <w:rPr>
                <w:rFonts w:cs="Arial"/>
                <w:color w:val="000000"/>
                <w:sz w:val="18"/>
                <w:szCs w:val="18"/>
              </w:rPr>
              <w:t xml:space="preserve"> × </w:t>
            </w:r>
            <w:r w:rsidRPr="001570EA">
              <w:rPr>
                <w:rFonts w:cs="Arial"/>
                <w:sz w:val="18"/>
                <w:szCs w:val="18"/>
              </w:rPr>
              <w:t>AV + 391.0</w:t>
            </w:r>
          </w:p>
        </w:tc>
        <w:tc>
          <w:tcPr>
            <w:tcW w:w="2083" w:type="dxa"/>
            <w:vAlign w:val="center"/>
          </w:tcPr>
          <w:p w14:paraId="7015DF6D" w14:textId="77777777" w:rsidR="004E6452" w:rsidRPr="001570EA" w:rsidRDefault="004E6452">
            <w:pPr>
              <w:keepNext/>
              <w:keepLines/>
              <w:spacing w:before="80" w:after="80"/>
              <w:jc w:val="center"/>
              <w:rPr>
                <w:rFonts w:cs="Arial"/>
                <w:sz w:val="18"/>
                <w:szCs w:val="18"/>
              </w:rPr>
            </w:pPr>
            <w:r w:rsidRPr="001570EA">
              <w:rPr>
                <w:rFonts w:cs="Arial"/>
                <w:color w:val="000000"/>
                <w:sz w:val="18"/>
                <w:szCs w:val="18"/>
              </w:rPr>
              <w:t>10.17 × AV + 351.9</w:t>
            </w:r>
          </w:p>
        </w:tc>
      </w:tr>
      <w:tr w:rsidR="004E6452" w:rsidRPr="001570EA" w14:paraId="144A0638" w14:textId="77777777">
        <w:tc>
          <w:tcPr>
            <w:tcW w:w="1145" w:type="dxa"/>
            <w:vAlign w:val="center"/>
          </w:tcPr>
          <w:p w14:paraId="56F8A587" w14:textId="77777777" w:rsidR="004E6452" w:rsidRPr="001570EA" w:rsidRDefault="004E6452">
            <w:pPr>
              <w:keepLines/>
              <w:spacing w:before="80" w:after="80"/>
              <w:jc w:val="center"/>
              <w:rPr>
                <w:rFonts w:cs="Arial"/>
                <w:sz w:val="18"/>
                <w:szCs w:val="18"/>
              </w:rPr>
            </w:pPr>
            <w:r w:rsidRPr="001570EA">
              <w:rPr>
                <w:rFonts w:cs="Arial"/>
                <w:sz w:val="18"/>
                <w:szCs w:val="18"/>
              </w:rPr>
              <w:t>18</w:t>
            </w:r>
          </w:p>
        </w:tc>
        <w:tc>
          <w:tcPr>
            <w:tcW w:w="2044" w:type="dxa"/>
            <w:vAlign w:val="center"/>
          </w:tcPr>
          <w:p w14:paraId="1BF3074F" w14:textId="77777777" w:rsidR="004E6452" w:rsidRPr="001570EA" w:rsidRDefault="004E6452">
            <w:pPr>
              <w:keepLines/>
              <w:spacing w:before="80" w:after="80"/>
              <w:jc w:val="center"/>
              <w:rPr>
                <w:rFonts w:cs="Arial"/>
                <w:sz w:val="18"/>
                <w:szCs w:val="18"/>
              </w:rPr>
            </w:pPr>
            <w:r w:rsidRPr="001570EA">
              <w:rPr>
                <w:sz w:val="18"/>
                <w:szCs w:val="18"/>
              </w:rPr>
              <w:t>14.8 × AV + 223</w:t>
            </w:r>
          </w:p>
        </w:tc>
        <w:tc>
          <w:tcPr>
            <w:tcW w:w="2044" w:type="dxa"/>
            <w:vAlign w:val="center"/>
          </w:tcPr>
          <w:p w14:paraId="556C1E51" w14:textId="77777777" w:rsidR="004E6452" w:rsidRPr="001570EA" w:rsidRDefault="004E6452">
            <w:pPr>
              <w:keepLines/>
              <w:spacing w:before="80" w:after="80"/>
              <w:jc w:val="center"/>
              <w:rPr>
                <w:rFonts w:cs="Arial"/>
                <w:sz w:val="18"/>
                <w:szCs w:val="18"/>
              </w:rPr>
            </w:pPr>
            <w:r w:rsidRPr="001570EA">
              <w:rPr>
                <w:sz w:val="18"/>
                <w:szCs w:val="18"/>
              </w:rPr>
              <w:t>11.0 × AV + 160</w:t>
            </w:r>
          </w:p>
        </w:tc>
        <w:tc>
          <w:tcPr>
            <w:tcW w:w="2044" w:type="dxa"/>
            <w:vAlign w:val="center"/>
          </w:tcPr>
          <w:p w14:paraId="2FD3E13E" w14:textId="77777777" w:rsidR="004E6452" w:rsidRPr="001570EA" w:rsidRDefault="004E6452">
            <w:pPr>
              <w:keepLines/>
              <w:spacing w:before="80" w:after="80"/>
              <w:jc w:val="center"/>
              <w:rPr>
                <w:rFonts w:cs="Arial"/>
                <w:sz w:val="18"/>
                <w:szCs w:val="18"/>
              </w:rPr>
            </w:pPr>
            <w:r w:rsidRPr="001570EA">
              <w:rPr>
                <w:rFonts w:cs="Arial"/>
                <w:sz w:val="18"/>
                <w:szCs w:val="18"/>
              </w:rPr>
              <w:t>10.45</w:t>
            </w:r>
            <w:r w:rsidRPr="001570EA">
              <w:rPr>
                <w:rFonts w:cs="Arial"/>
                <w:color w:val="000000"/>
                <w:sz w:val="18"/>
                <w:szCs w:val="18"/>
              </w:rPr>
              <w:t xml:space="preserve"> × </w:t>
            </w:r>
            <w:r w:rsidRPr="001570EA">
              <w:rPr>
                <w:rFonts w:cs="Arial"/>
                <w:sz w:val="18"/>
                <w:szCs w:val="18"/>
              </w:rPr>
              <w:t>AV + 152.0</w:t>
            </w:r>
          </w:p>
        </w:tc>
        <w:tc>
          <w:tcPr>
            <w:tcW w:w="2083" w:type="dxa"/>
            <w:vAlign w:val="center"/>
          </w:tcPr>
          <w:p w14:paraId="6E74DCDD" w14:textId="77777777" w:rsidR="004E6452" w:rsidRPr="001570EA" w:rsidRDefault="004E6452">
            <w:pPr>
              <w:keepLines/>
              <w:spacing w:before="80" w:after="80"/>
              <w:jc w:val="center"/>
              <w:rPr>
                <w:rFonts w:cs="Arial"/>
                <w:sz w:val="18"/>
                <w:szCs w:val="18"/>
              </w:rPr>
            </w:pPr>
            <w:r w:rsidRPr="001570EA">
              <w:rPr>
                <w:rFonts w:cs="Arial"/>
                <w:color w:val="000000"/>
                <w:sz w:val="18"/>
                <w:szCs w:val="18"/>
              </w:rPr>
              <w:t>9.25 × AV + 136.8</w:t>
            </w:r>
          </w:p>
        </w:tc>
      </w:tr>
    </w:tbl>
    <w:p w14:paraId="76DD569A" w14:textId="77777777" w:rsidR="004E6452" w:rsidRPr="001570EA" w:rsidRDefault="004E6452" w:rsidP="004E6452"/>
    <w:p w14:paraId="24503DFE" w14:textId="1C170478" w:rsidR="004E6452" w:rsidRPr="001570EA" w:rsidRDefault="004E6452" w:rsidP="004E6452">
      <w:pPr>
        <w:rPr>
          <w:rFonts w:cs="Arial"/>
        </w:rPr>
      </w:pPr>
      <w:r w:rsidRPr="001570EA">
        <w:rPr>
          <w:rFonts w:cs="Arial"/>
        </w:rPr>
        <w:t xml:space="preserve">The average adjusted volumes </w:t>
      </w:r>
      <w:r w:rsidR="00643494" w:rsidRPr="001570EA">
        <w:rPr>
          <w:rFonts w:cs="Arial"/>
        </w:rPr>
        <w:t xml:space="preserve">below </w:t>
      </w:r>
      <w:r w:rsidRPr="001570EA">
        <w:rPr>
          <w:rFonts w:cs="Arial"/>
        </w:rPr>
        <w:t>were calculated by the SWE using a combined database of refrigerators and freezers from Sources 5–8. These were combined into a single data set, and readily identifiable duplicate entries were removed. In addition, low-voltage devices intended for use in cars and RVs were excluded. The number of models in each class is given, as are some historic class prevalence data based on AHAM sales information from 2008.</w:t>
      </w:r>
    </w:p>
    <w:p w14:paraId="3567106A" w14:textId="77777777" w:rsidR="004E6452" w:rsidRPr="001570EA" w:rsidRDefault="004E6452" w:rsidP="004E6452"/>
    <w:p w14:paraId="4DED95DD" w14:textId="711AACD8" w:rsidR="004E6452" w:rsidRPr="001570EA" w:rsidRDefault="00643494" w:rsidP="00643494">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96</w:t>
      </w:r>
      <w:r w:rsidR="002E093A" w:rsidRPr="001570EA">
        <w:fldChar w:fldCharType="end"/>
      </w:r>
      <w:r w:rsidRPr="001570EA">
        <w:t>: Average Adjusted Volume (AV) and AV to Total Volume ratio by Product Class</w:t>
      </w:r>
    </w:p>
    <w:tbl>
      <w:tblPr>
        <w:tblStyle w:val="TableGrid"/>
        <w:tblW w:w="9355" w:type="dxa"/>
        <w:tblLayout w:type="fixed"/>
        <w:tblLook w:val="04A0" w:firstRow="1" w:lastRow="0" w:firstColumn="1" w:lastColumn="0" w:noHBand="0" w:noVBand="1"/>
      </w:tblPr>
      <w:tblGrid>
        <w:gridCol w:w="1146"/>
        <w:gridCol w:w="1999"/>
        <w:gridCol w:w="1552"/>
        <w:gridCol w:w="1553"/>
        <w:gridCol w:w="1552"/>
        <w:gridCol w:w="1553"/>
      </w:tblGrid>
      <w:tr w:rsidR="004E6452" w:rsidRPr="001570EA" w14:paraId="2C268A39" w14:textId="77777777">
        <w:tc>
          <w:tcPr>
            <w:tcW w:w="1146" w:type="dxa"/>
            <w:vMerge w:val="restart"/>
            <w:shd w:val="clear" w:color="auto" w:fill="BFBFBF" w:themeFill="background1" w:themeFillShade="BF"/>
          </w:tcPr>
          <w:p w14:paraId="2E9B1395" w14:textId="77777777" w:rsidR="004E6452" w:rsidRPr="001570EA" w:rsidRDefault="004E6452">
            <w:pPr>
              <w:pStyle w:val="source10"/>
              <w:keepNext/>
              <w:spacing w:before="80" w:after="80" w:line="264" w:lineRule="auto"/>
              <w:jc w:val="center"/>
              <w:rPr>
                <w:b/>
                <w:bCs/>
                <w:color w:val="000000"/>
                <w:sz w:val="18"/>
                <w:szCs w:val="18"/>
              </w:rPr>
            </w:pPr>
            <w:r w:rsidRPr="001570EA">
              <w:rPr>
                <w:b/>
                <w:bCs/>
                <w:color w:val="000000"/>
                <w:sz w:val="18"/>
                <w:szCs w:val="18"/>
              </w:rPr>
              <w:t>Class</w:t>
            </w:r>
          </w:p>
        </w:tc>
        <w:tc>
          <w:tcPr>
            <w:tcW w:w="1999" w:type="dxa"/>
            <w:vMerge w:val="restart"/>
            <w:shd w:val="clear" w:color="auto" w:fill="BFBFBF" w:themeFill="background1" w:themeFillShade="BF"/>
          </w:tcPr>
          <w:p w14:paraId="0E4AFBDF" w14:textId="4B3B3995" w:rsidR="004E6452" w:rsidRPr="001570EA" w:rsidRDefault="004E6452">
            <w:pPr>
              <w:pStyle w:val="source10"/>
              <w:keepNext/>
              <w:spacing w:before="80" w:after="80" w:line="264" w:lineRule="auto"/>
              <w:jc w:val="center"/>
              <w:rPr>
                <w:b/>
                <w:bCs/>
                <w:color w:val="000000"/>
                <w:sz w:val="18"/>
                <w:szCs w:val="18"/>
              </w:rPr>
            </w:pPr>
            <w:r w:rsidRPr="001570EA">
              <w:rPr>
                <w:b/>
                <w:bCs/>
                <w:color w:val="000000"/>
                <w:sz w:val="18"/>
                <w:szCs w:val="18"/>
              </w:rPr>
              <w:t>Compact Products Historic Share</w:t>
            </w:r>
            <w:r w:rsidRPr="001570EA">
              <w:rPr>
                <w:b/>
                <w:bCs/>
                <w:color w:val="000000"/>
                <w:sz w:val="18"/>
                <w:szCs w:val="18"/>
                <w:vertAlign w:val="superscript"/>
              </w:rPr>
              <w:t xml:space="preserve">Source 5 </w:t>
            </w:r>
          </w:p>
        </w:tc>
        <w:tc>
          <w:tcPr>
            <w:tcW w:w="6210" w:type="dxa"/>
            <w:gridSpan w:val="4"/>
            <w:shd w:val="clear" w:color="auto" w:fill="BFBFBF" w:themeFill="background1" w:themeFillShade="BF"/>
          </w:tcPr>
          <w:p w14:paraId="6DAD4B16" w14:textId="3A1CE883" w:rsidR="004E6452" w:rsidRPr="001570EA" w:rsidRDefault="004E6452">
            <w:pPr>
              <w:pStyle w:val="source10"/>
              <w:keepNext/>
              <w:spacing w:before="80" w:after="80" w:line="264" w:lineRule="auto"/>
              <w:jc w:val="center"/>
              <w:rPr>
                <w:b/>
                <w:bCs/>
                <w:color w:val="000000"/>
                <w:sz w:val="18"/>
                <w:szCs w:val="18"/>
              </w:rPr>
            </w:pPr>
            <w:r w:rsidRPr="001570EA">
              <w:rPr>
                <w:b/>
                <w:bCs/>
                <w:color w:val="000000"/>
                <w:sz w:val="18"/>
                <w:szCs w:val="18"/>
              </w:rPr>
              <w:t>Adjusted Volume</w:t>
            </w:r>
            <w:r w:rsidRPr="001570EA">
              <w:rPr>
                <w:b/>
                <w:bCs/>
                <w:color w:val="000000"/>
                <w:sz w:val="18"/>
                <w:szCs w:val="18"/>
                <w:vertAlign w:val="superscript"/>
              </w:rPr>
              <w:t>Sources 6 - 8</w:t>
            </w:r>
          </w:p>
        </w:tc>
      </w:tr>
      <w:tr w:rsidR="004E6452" w:rsidRPr="001570EA" w14:paraId="1F6BBED1" w14:textId="77777777">
        <w:tc>
          <w:tcPr>
            <w:tcW w:w="1146" w:type="dxa"/>
            <w:vMerge/>
            <w:shd w:val="clear" w:color="auto" w:fill="BFBFBF" w:themeFill="background1" w:themeFillShade="BF"/>
          </w:tcPr>
          <w:p w14:paraId="5D9170AA" w14:textId="77777777" w:rsidR="004E6452" w:rsidRPr="001570EA" w:rsidRDefault="004E6452">
            <w:pPr>
              <w:pStyle w:val="source10"/>
              <w:keepNext/>
              <w:spacing w:before="80" w:after="80" w:line="264" w:lineRule="auto"/>
              <w:jc w:val="center"/>
              <w:rPr>
                <w:b/>
                <w:bCs/>
                <w:color w:val="000000"/>
                <w:sz w:val="18"/>
                <w:szCs w:val="18"/>
              </w:rPr>
            </w:pPr>
          </w:p>
        </w:tc>
        <w:tc>
          <w:tcPr>
            <w:tcW w:w="1999" w:type="dxa"/>
            <w:vMerge/>
            <w:shd w:val="clear" w:color="auto" w:fill="BFBFBF" w:themeFill="background1" w:themeFillShade="BF"/>
          </w:tcPr>
          <w:p w14:paraId="2F9C204C" w14:textId="77777777" w:rsidR="004E6452" w:rsidRPr="001570EA" w:rsidRDefault="004E6452">
            <w:pPr>
              <w:pStyle w:val="source10"/>
              <w:keepNext/>
              <w:spacing w:before="80" w:after="80" w:line="264" w:lineRule="auto"/>
              <w:jc w:val="center"/>
              <w:rPr>
                <w:b/>
                <w:bCs/>
                <w:color w:val="000000"/>
                <w:sz w:val="18"/>
                <w:szCs w:val="18"/>
              </w:rPr>
            </w:pPr>
          </w:p>
        </w:tc>
        <w:tc>
          <w:tcPr>
            <w:tcW w:w="1552" w:type="dxa"/>
            <w:shd w:val="clear" w:color="auto" w:fill="BFBFBF" w:themeFill="background1" w:themeFillShade="BF"/>
          </w:tcPr>
          <w:p w14:paraId="138FC4BA" w14:textId="77777777" w:rsidR="004E6452" w:rsidRPr="001570EA" w:rsidRDefault="004E6452">
            <w:pPr>
              <w:pStyle w:val="source10"/>
              <w:keepNext/>
              <w:spacing w:before="80" w:after="80" w:line="264" w:lineRule="auto"/>
              <w:jc w:val="center"/>
              <w:rPr>
                <w:b/>
                <w:bCs/>
                <w:color w:val="000000"/>
                <w:sz w:val="18"/>
                <w:szCs w:val="18"/>
              </w:rPr>
            </w:pPr>
            <w:r w:rsidRPr="001570EA">
              <w:rPr>
                <w:b/>
                <w:bCs/>
                <w:color w:val="000000"/>
                <w:sz w:val="18"/>
                <w:szCs w:val="18"/>
              </w:rPr>
              <w:t>Sample Size</w:t>
            </w:r>
          </w:p>
        </w:tc>
        <w:tc>
          <w:tcPr>
            <w:tcW w:w="1553" w:type="dxa"/>
            <w:shd w:val="clear" w:color="auto" w:fill="BFBFBF" w:themeFill="background1" w:themeFillShade="BF"/>
          </w:tcPr>
          <w:p w14:paraId="0D7AC121" w14:textId="77777777" w:rsidR="004E6452" w:rsidRPr="001570EA" w:rsidRDefault="004E6452">
            <w:pPr>
              <w:pStyle w:val="source10"/>
              <w:keepNext/>
              <w:spacing w:before="80" w:after="80" w:line="264" w:lineRule="auto"/>
              <w:jc w:val="center"/>
              <w:rPr>
                <w:b/>
                <w:bCs/>
                <w:color w:val="000000"/>
                <w:sz w:val="18"/>
                <w:szCs w:val="18"/>
              </w:rPr>
            </w:pPr>
            <w:r w:rsidRPr="001570EA">
              <w:rPr>
                <w:b/>
                <w:bCs/>
                <w:sz w:val="18"/>
                <w:szCs w:val="18"/>
              </w:rPr>
              <w:t>2014 or earlier</w:t>
            </w:r>
          </w:p>
        </w:tc>
        <w:tc>
          <w:tcPr>
            <w:tcW w:w="1552" w:type="dxa"/>
            <w:shd w:val="clear" w:color="auto" w:fill="BFBFBF" w:themeFill="background1" w:themeFillShade="BF"/>
          </w:tcPr>
          <w:p w14:paraId="394FD340" w14:textId="77777777" w:rsidR="004E6452" w:rsidRPr="001570EA" w:rsidRDefault="004E6452">
            <w:pPr>
              <w:pStyle w:val="source10"/>
              <w:keepNext/>
              <w:spacing w:before="80" w:after="80" w:line="264" w:lineRule="auto"/>
              <w:jc w:val="center"/>
              <w:rPr>
                <w:b/>
                <w:bCs/>
                <w:color w:val="000000"/>
                <w:sz w:val="18"/>
                <w:szCs w:val="18"/>
              </w:rPr>
            </w:pPr>
            <w:r w:rsidRPr="001570EA">
              <w:rPr>
                <w:b/>
                <w:bCs/>
                <w:sz w:val="18"/>
                <w:szCs w:val="18"/>
              </w:rPr>
              <w:t>2015 to date</w:t>
            </w:r>
          </w:p>
        </w:tc>
        <w:tc>
          <w:tcPr>
            <w:tcW w:w="1553" w:type="dxa"/>
            <w:shd w:val="clear" w:color="auto" w:fill="BFBFBF" w:themeFill="background1" w:themeFillShade="BF"/>
          </w:tcPr>
          <w:p w14:paraId="466803EF" w14:textId="77777777" w:rsidR="004E6452" w:rsidRPr="001570EA" w:rsidRDefault="004E6452">
            <w:pPr>
              <w:pStyle w:val="source10"/>
              <w:keepNext/>
              <w:spacing w:before="80" w:after="80" w:line="264" w:lineRule="auto"/>
              <w:jc w:val="center"/>
              <w:rPr>
                <w:b/>
                <w:bCs/>
                <w:color w:val="000000"/>
                <w:sz w:val="18"/>
                <w:szCs w:val="18"/>
              </w:rPr>
            </w:pPr>
            <w:r w:rsidRPr="001570EA">
              <w:rPr>
                <w:b/>
                <w:bCs/>
                <w:color w:val="000000"/>
                <w:sz w:val="18"/>
                <w:szCs w:val="18"/>
              </w:rPr>
              <w:t>AV ÷ Total Vol.</w:t>
            </w:r>
          </w:p>
        </w:tc>
      </w:tr>
      <w:tr w:rsidR="004E6452" w:rsidRPr="001570EA" w14:paraId="014C248D" w14:textId="77777777">
        <w:trPr>
          <w:trHeight w:val="20"/>
        </w:trPr>
        <w:tc>
          <w:tcPr>
            <w:tcW w:w="1146" w:type="dxa"/>
          </w:tcPr>
          <w:p w14:paraId="03842D59" w14:textId="77777777" w:rsidR="004E6452" w:rsidRPr="001570EA" w:rsidRDefault="004E6452">
            <w:pPr>
              <w:pStyle w:val="source10"/>
              <w:keepNext/>
              <w:spacing w:before="80" w:after="80"/>
              <w:jc w:val="left"/>
              <w:rPr>
                <w:rFonts w:eastAsia="Calibri"/>
                <w:sz w:val="18"/>
                <w:szCs w:val="18"/>
              </w:rPr>
            </w:pPr>
            <w:r w:rsidRPr="001570EA">
              <w:rPr>
                <w:sz w:val="18"/>
                <w:szCs w:val="18"/>
              </w:rPr>
              <w:t>11</w:t>
            </w:r>
          </w:p>
        </w:tc>
        <w:tc>
          <w:tcPr>
            <w:tcW w:w="1999" w:type="dxa"/>
            <w:vMerge w:val="restart"/>
            <w:vAlign w:val="center"/>
          </w:tcPr>
          <w:p w14:paraId="00CC6582" w14:textId="77777777" w:rsidR="004E6452" w:rsidRPr="001570EA" w:rsidRDefault="004E6452">
            <w:pPr>
              <w:pStyle w:val="source10"/>
              <w:keepNext/>
              <w:spacing w:after="120" w:line="264" w:lineRule="auto"/>
              <w:jc w:val="center"/>
              <w:rPr>
                <w:rFonts w:eastAsia="Calibri"/>
                <w:sz w:val="18"/>
                <w:szCs w:val="18"/>
              </w:rPr>
            </w:pPr>
            <w:r w:rsidRPr="001570EA">
              <w:rPr>
                <w:rFonts w:eastAsia="Calibri"/>
                <w:sz w:val="18"/>
                <w:szCs w:val="18"/>
              </w:rPr>
              <w:t>69%</w:t>
            </w:r>
          </w:p>
        </w:tc>
        <w:tc>
          <w:tcPr>
            <w:tcW w:w="1552" w:type="dxa"/>
          </w:tcPr>
          <w:p w14:paraId="3C5EEC37" w14:textId="77777777" w:rsidR="004E6452" w:rsidRPr="001570EA" w:rsidRDefault="004E6452">
            <w:pPr>
              <w:pStyle w:val="source10"/>
              <w:keepNext/>
              <w:spacing w:after="120" w:line="264" w:lineRule="auto"/>
              <w:ind w:right="450"/>
              <w:jc w:val="right"/>
              <w:rPr>
                <w:rFonts w:eastAsia="Calibri"/>
                <w:sz w:val="18"/>
                <w:szCs w:val="18"/>
              </w:rPr>
            </w:pPr>
            <w:r w:rsidRPr="001570EA">
              <w:t>51</w:t>
            </w:r>
          </w:p>
        </w:tc>
        <w:tc>
          <w:tcPr>
            <w:tcW w:w="1553" w:type="dxa"/>
            <w:vMerge w:val="restart"/>
            <w:vAlign w:val="center"/>
          </w:tcPr>
          <w:p w14:paraId="2098D878" w14:textId="77777777" w:rsidR="004E6452" w:rsidRPr="001570EA" w:rsidRDefault="004E6452">
            <w:pPr>
              <w:pStyle w:val="source10"/>
              <w:keepNext/>
              <w:tabs>
                <w:tab w:val="decimal" w:pos="586"/>
              </w:tabs>
              <w:spacing w:after="120" w:line="264" w:lineRule="auto"/>
              <w:jc w:val="left"/>
              <w:rPr>
                <w:rFonts w:eastAsia="Calibri"/>
                <w:sz w:val="18"/>
                <w:szCs w:val="18"/>
              </w:rPr>
            </w:pPr>
            <w:r w:rsidRPr="001570EA">
              <w:rPr>
                <w:rFonts w:eastAsia="Calibri"/>
                <w:sz w:val="18"/>
                <w:szCs w:val="18"/>
              </w:rPr>
              <w:t>3.13</w:t>
            </w:r>
          </w:p>
        </w:tc>
        <w:tc>
          <w:tcPr>
            <w:tcW w:w="1552" w:type="dxa"/>
          </w:tcPr>
          <w:p w14:paraId="22B53469" w14:textId="77777777" w:rsidR="004E6452" w:rsidRPr="001570EA" w:rsidRDefault="004E6452">
            <w:pPr>
              <w:pStyle w:val="source10"/>
              <w:keepNext/>
              <w:tabs>
                <w:tab w:val="decimal" w:pos="661"/>
              </w:tabs>
              <w:spacing w:after="120" w:line="264" w:lineRule="auto"/>
              <w:jc w:val="left"/>
              <w:rPr>
                <w:rFonts w:eastAsia="Calibri"/>
                <w:sz w:val="18"/>
                <w:szCs w:val="18"/>
              </w:rPr>
            </w:pPr>
            <w:r w:rsidRPr="001570EA">
              <w:t>4.3</w:t>
            </w:r>
          </w:p>
        </w:tc>
        <w:tc>
          <w:tcPr>
            <w:tcW w:w="1553" w:type="dxa"/>
          </w:tcPr>
          <w:p w14:paraId="1CA85832" w14:textId="77777777" w:rsidR="004E6452" w:rsidRPr="001570EA" w:rsidRDefault="004E6452">
            <w:pPr>
              <w:pStyle w:val="source10"/>
              <w:keepNext/>
              <w:tabs>
                <w:tab w:val="decimal" w:pos="721"/>
              </w:tabs>
              <w:spacing w:after="120" w:line="264" w:lineRule="auto"/>
              <w:jc w:val="left"/>
              <w:rPr>
                <w:rFonts w:eastAsia="Calibri"/>
                <w:sz w:val="18"/>
                <w:szCs w:val="18"/>
              </w:rPr>
            </w:pPr>
            <w:r w:rsidRPr="001570EA">
              <w:t>109%</w:t>
            </w:r>
          </w:p>
        </w:tc>
      </w:tr>
      <w:tr w:rsidR="004E6452" w:rsidRPr="001570EA" w14:paraId="1202DC6B" w14:textId="77777777">
        <w:trPr>
          <w:trHeight w:val="20"/>
        </w:trPr>
        <w:tc>
          <w:tcPr>
            <w:tcW w:w="1146" w:type="dxa"/>
          </w:tcPr>
          <w:p w14:paraId="6122D30B" w14:textId="77777777" w:rsidR="004E6452" w:rsidRPr="001570EA" w:rsidRDefault="004E6452">
            <w:pPr>
              <w:pStyle w:val="source10"/>
              <w:keepNext/>
              <w:spacing w:before="80" w:after="80"/>
              <w:jc w:val="left"/>
              <w:rPr>
                <w:rFonts w:eastAsia="Calibri"/>
                <w:sz w:val="18"/>
                <w:szCs w:val="18"/>
              </w:rPr>
            </w:pPr>
            <w:r w:rsidRPr="001570EA">
              <w:rPr>
                <w:sz w:val="18"/>
                <w:szCs w:val="18"/>
              </w:rPr>
              <w:t>11A</w:t>
            </w:r>
          </w:p>
        </w:tc>
        <w:tc>
          <w:tcPr>
            <w:tcW w:w="1999" w:type="dxa"/>
            <w:vMerge/>
            <w:vAlign w:val="center"/>
          </w:tcPr>
          <w:p w14:paraId="10073214" w14:textId="77777777" w:rsidR="004E6452" w:rsidRPr="001570EA" w:rsidRDefault="004E6452">
            <w:pPr>
              <w:pStyle w:val="source10"/>
              <w:keepNext/>
              <w:tabs>
                <w:tab w:val="decimal" w:pos="361"/>
              </w:tabs>
              <w:spacing w:after="120" w:line="264" w:lineRule="auto"/>
              <w:jc w:val="left"/>
              <w:rPr>
                <w:rFonts w:eastAsia="Calibri"/>
                <w:sz w:val="18"/>
                <w:szCs w:val="18"/>
              </w:rPr>
            </w:pPr>
          </w:p>
        </w:tc>
        <w:tc>
          <w:tcPr>
            <w:tcW w:w="1552" w:type="dxa"/>
          </w:tcPr>
          <w:p w14:paraId="7F18E97A" w14:textId="77777777" w:rsidR="004E6452" w:rsidRPr="001570EA" w:rsidRDefault="004E6452">
            <w:pPr>
              <w:pStyle w:val="source10"/>
              <w:keepNext/>
              <w:spacing w:after="120" w:line="264" w:lineRule="auto"/>
              <w:ind w:right="450"/>
              <w:jc w:val="right"/>
              <w:rPr>
                <w:rFonts w:eastAsia="Calibri"/>
                <w:sz w:val="18"/>
                <w:szCs w:val="18"/>
              </w:rPr>
            </w:pPr>
            <w:r w:rsidRPr="001570EA">
              <w:t>626</w:t>
            </w:r>
          </w:p>
        </w:tc>
        <w:tc>
          <w:tcPr>
            <w:tcW w:w="1553" w:type="dxa"/>
            <w:vMerge/>
            <w:vAlign w:val="center"/>
          </w:tcPr>
          <w:p w14:paraId="79C1E0B5" w14:textId="77777777" w:rsidR="004E6452" w:rsidRPr="001570EA" w:rsidRDefault="004E6452">
            <w:pPr>
              <w:pStyle w:val="source10"/>
              <w:keepNext/>
              <w:tabs>
                <w:tab w:val="decimal" w:pos="586"/>
              </w:tabs>
              <w:spacing w:after="120" w:line="264" w:lineRule="auto"/>
              <w:jc w:val="left"/>
              <w:rPr>
                <w:rFonts w:eastAsia="Calibri"/>
                <w:sz w:val="18"/>
                <w:szCs w:val="18"/>
              </w:rPr>
            </w:pPr>
          </w:p>
        </w:tc>
        <w:tc>
          <w:tcPr>
            <w:tcW w:w="1552" w:type="dxa"/>
          </w:tcPr>
          <w:p w14:paraId="1DD67578" w14:textId="77777777" w:rsidR="004E6452" w:rsidRPr="001570EA" w:rsidRDefault="004E6452">
            <w:pPr>
              <w:pStyle w:val="source10"/>
              <w:keepNext/>
              <w:tabs>
                <w:tab w:val="decimal" w:pos="661"/>
              </w:tabs>
              <w:spacing w:after="120" w:line="264" w:lineRule="auto"/>
              <w:jc w:val="left"/>
              <w:rPr>
                <w:rFonts w:eastAsia="Calibri"/>
                <w:sz w:val="18"/>
                <w:szCs w:val="18"/>
              </w:rPr>
            </w:pPr>
            <w:r w:rsidRPr="001570EA">
              <w:t>3.0</w:t>
            </w:r>
          </w:p>
        </w:tc>
        <w:tc>
          <w:tcPr>
            <w:tcW w:w="1553" w:type="dxa"/>
          </w:tcPr>
          <w:p w14:paraId="47653DDB" w14:textId="77777777" w:rsidR="004E6452" w:rsidRPr="001570EA" w:rsidRDefault="004E6452">
            <w:pPr>
              <w:pStyle w:val="source10"/>
              <w:keepNext/>
              <w:tabs>
                <w:tab w:val="decimal" w:pos="721"/>
              </w:tabs>
              <w:spacing w:after="120" w:line="264" w:lineRule="auto"/>
              <w:jc w:val="left"/>
              <w:rPr>
                <w:rFonts w:eastAsia="Calibri"/>
                <w:sz w:val="18"/>
                <w:szCs w:val="18"/>
              </w:rPr>
            </w:pPr>
            <w:r w:rsidRPr="001570EA">
              <w:t>101%</w:t>
            </w:r>
          </w:p>
        </w:tc>
      </w:tr>
      <w:tr w:rsidR="004E6452" w:rsidRPr="001570EA" w14:paraId="1C445A8C" w14:textId="77777777">
        <w:trPr>
          <w:trHeight w:val="20"/>
        </w:trPr>
        <w:tc>
          <w:tcPr>
            <w:tcW w:w="1146" w:type="dxa"/>
          </w:tcPr>
          <w:p w14:paraId="12CEB0E4" w14:textId="77777777" w:rsidR="004E6452" w:rsidRPr="001570EA" w:rsidRDefault="004E6452">
            <w:pPr>
              <w:pStyle w:val="source10"/>
              <w:keepNext/>
              <w:spacing w:before="80" w:after="80"/>
              <w:jc w:val="left"/>
              <w:rPr>
                <w:rFonts w:eastAsia="Calibri"/>
                <w:sz w:val="18"/>
                <w:szCs w:val="18"/>
              </w:rPr>
            </w:pPr>
            <w:r w:rsidRPr="001570EA">
              <w:rPr>
                <w:sz w:val="18"/>
                <w:szCs w:val="18"/>
              </w:rPr>
              <w:t>12</w:t>
            </w:r>
          </w:p>
        </w:tc>
        <w:tc>
          <w:tcPr>
            <w:tcW w:w="1999" w:type="dxa"/>
            <w:vAlign w:val="center"/>
          </w:tcPr>
          <w:p w14:paraId="1E64E143" w14:textId="77777777" w:rsidR="004E6452" w:rsidRPr="001570EA" w:rsidRDefault="004E6452">
            <w:pPr>
              <w:pStyle w:val="source10"/>
              <w:keepNext/>
              <w:tabs>
                <w:tab w:val="decimal" w:pos="811"/>
              </w:tabs>
              <w:spacing w:after="120" w:line="264" w:lineRule="auto"/>
              <w:jc w:val="left"/>
              <w:rPr>
                <w:rFonts w:eastAsia="Calibri"/>
                <w:sz w:val="18"/>
                <w:szCs w:val="18"/>
              </w:rPr>
            </w:pPr>
            <w:r w:rsidRPr="001570EA">
              <w:rPr>
                <w:rFonts w:eastAsia="Calibri"/>
                <w:sz w:val="18"/>
                <w:szCs w:val="18"/>
              </w:rPr>
              <w:t>4.9%</w:t>
            </w:r>
          </w:p>
        </w:tc>
        <w:tc>
          <w:tcPr>
            <w:tcW w:w="1552" w:type="dxa"/>
          </w:tcPr>
          <w:p w14:paraId="1F22974A" w14:textId="77777777" w:rsidR="004E6452" w:rsidRPr="001570EA" w:rsidRDefault="004E6452">
            <w:pPr>
              <w:pStyle w:val="source10"/>
              <w:keepNext/>
              <w:spacing w:after="120" w:line="264" w:lineRule="auto"/>
              <w:ind w:right="450"/>
              <w:jc w:val="right"/>
              <w:rPr>
                <w:rFonts w:eastAsia="Calibri"/>
                <w:sz w:val="18"/>
                <w:szCs w:val="18"/>
              </w:rPr>
            </w:pPr>
            <w:r w:rsidRPr="001570EA">
              <w:t>369</w:t>
            </w:r>
          </w:p>
        </w:tc>
        <w:tc>
          <w:tcPr>
            <w:tcW w:w="1553" w:type="dxa"/>
            <w:vAlign w:val="center"/>
          </w:tcPr>
          <w:p w14:paraId="0D12C475" w14:textId="77777777" w:rsidR="004E6452" w:rsidRPr="001570EA" w:rsidRDefault="004E6452">
            <w:pPr>
              <w:pStyle w:val="source10"/>
              <w:keepNext/>
              <w:tabs>
                <w:tab w:val="decimal" w:pos="586"/>
              </w:tabs>
              <w:spacing w:after="120" w:line="264" w:lineRule="auto"/>
              <w:jc w:val="left"/>
              <w:rPr>
                <w:rFonts w:eastAsia="Calibri"/>
                <w:sz w:val="18"/>
                <w:szCs w:val="18"/>
              </w:rPr>
            </w:pPr>
            <w:r w:rsidRPr="001570EA">
              <w:rPr>
                <w:rFonts w:eastAsia="Calibri"/>
                <w:sz w:val="18"/>
                <w:szCs w:val="18"/>
              </w:rPr>
              <w:t>5.2</w:t>
            </w:r>
          </w:p>
        </w:tc>
        <w:tc>
          <w:tcPr>
            <w:tcW w:w="1552" w:type="dxa"/>
          </w:tcPr>
          <w:p w14:paraId="2407766D" w14:textId="77777777" w:rsidR="004E6452" w:rsidRPr="001570EA" w:rsidRDefault="004E6452">
            <w:pPr>
              <w:pStyle w:val="source10"/>
              <w:keepNext/>
              <w:tabs>
                <w:tab w:val="decimal" w:pos="661"/>
              </w:tabs>
              <w:spacing w:after="120" w:line="264" w:lineRule="auto"/>
              <w:jc w:val="left"/>
              <w:rPr>
                <w:rFonts w:eastAsia="Calibri"/>
                <w:sz w:val="18"/>
                <w:szCs w:val="18"/>
              </w:rPr>
            </w:pPr>
            <w:r w:rsidRPr="001570EA">
              <w:t>5.2</w:t>
            </w:r>
          </w:p>
        </w:tc>
        <w:tc>
          <w:tcPr>
            <w:tcW w:w="1553" w:type="dxa"/>
          </w:tcPr>
          <w:p w14:paraId="4D56F6BC" w14:textId="77777777" w:rsidR="004E6452" w:rsidRPr="001570EA" w:rsidRDefault="004E6452">
            <w:pPr>
              <w:pStyle w:val="source10"/>
              <w:keepNext/>
              <w:tabs>
                <w:tab w:val="decimal" w:pos="721"/>
              </w:tabs>
              <w:spacing w:after="120" w:line="264" w:lineRule="auto"/>
              <w:jc w:val="left"/>
              <w:rPr>
                <w:rFonts w:eastAsia="Calibri"/>
                <w:sz w:val="18"/>
                <w:szCs w:val="18"/>
              </w:rPr>
            </w:pPr>
            <w:r w:rsidRPr="001570EA">
              <w:t>118%</w:t>
            </w:r>
          </w:p>
        </w:tc>
      </w:tr>
      <w:tr w:rsidR="004E6452" w:rsidRPr="001570EA" w14:paraId="6B1CBB1F" w14:textId="77777777">
        <w:trPr>
          <w:trHeight w:val="20"/>
        </w:trPr>
        <w:tc>
          <w:tcPr>
            <w:tcW w:w="1146" w:type="dxa"/>
          </w:tcPr>
          <w:p w14:paraId="055274F2" w14:textId="77777777" w:rsidR="004E6452" w:rsidRPr="001570EA" w:rsidRDefault="004E6452">
            <w:pPr>
              <w:pStyle w:val="source10"/>
              <w:keepNext/>
              <w:spacing w:before="80" w:after="80"/>
              <w:jc w:val="left"/>
              <w:rPr>
                <w:rFonts w:eastAsia="Calibri"/>
                <w:sz w:val="18"/>
                <w:szCs w:val="18"/>
              </w:rPr>
            </w:pPr>
            <w:r w:rsidRPr="001570EA">
              <w:rPr>
                <w:sz w:val="18"/>
                <w:szCs w:val="18"/>
              </w:rPr>
              <w:t>13</w:t>
            </w:r>
          </w:p>
        </w:tc>
        <w:tc>
          <w:tcPr>
            <w:tcW w:w="1999" w:type="dxa"/>
            <w:vMerge w:val="restart"/>
            <w:vAlign w:val="center"/>
          </w:tcPr>
          <w:p w14:paraId="475D1159" w14:textId="77777777" w:rsidR="004E6452" w:rsidRPr="001570EA" w:rsidRDefault="004E6452">
            <w:pPr>
              <w:pStyle w:val="source10"/>
              <w:keepNext/>
              <w:tabs>
                <w:tab w:val="decimal" w:pos="811"/>
              </w:tabs>
              <w:spacing w:after="120" w:line="264" w:lineRule="auto"/>
              <w:jc w:val="left"/>
              <w:rPr>
                <w:rFonts w:eastAsia="Calibri"/>
                <w:sz w:val="18"/>
                <w:szCs w:val="18"/>
              </w:rPr>
            </w:pPr>
            <w:r w:rsidRPr="001570EA">
              <w:rPr>
                <w:rFonts w:eastAsia="Calibri"/>
                <w:sz w:val="18"/>
                <w:szCs w:val="18"/>
              </w:rPr>
              <w:t>0.7%</w:t>
            </w:r>
          </w:p>
        </w:tc>
        <w:tc>
          <w:tcPr>
            <w:tcW w:w="1552" w:type="dxa"/>
          </w:tcPr>
          <w:p w14:paraId="586F6E54" w14:textId="77777777" w:rsidR="004E6452" w:rsidRPr="001570EA" w:rsidRDefault="004E6452">
            <w:pPr>
              <w:pStyle w:val="source10"/>
              <w:keepNext/>
              <w:spacing w:after="120" w:line="264" w:lineRule="auto"/>
              <w:ind w:right="450"/>
              <w:jc w:val="right"/>
              <w:rPr>
                <w:rFonts w:eastAsia="Calibri"/>
                <w:sz w:val="18"/>
                <w:szCs w:val="18"/>
              </w:rPr>
            </w:pPr>
            <w:r w:rsidRPr="001570EA">
              <w:t>58</w:t>
            </w:r>
          </w:p>
        </w:tc>
        <w:tc>
          <w:tcPr>
            <w:tcW w:w="1553" w:type="dxa"/>
            <w:vMerge w:val="restart"/>
            <w:vAlign w:val="center"/>
          </w:tcPr>
          <w:p w14:paraId="45E8750A" w14:textId="77777777" w:rsidR="004E6452" w:rsidRPr="001570EA" w:rsidRDefault="004E6452">
            <w:pPr>
              <w:pStyle w:val="source10"/>
              <w:keepNext/>
              <w:tabs>
                <w:tab w:val="decimal" w:pos="586"/>
              </w:tabs>
              <w:spacing w:after="120" w:line="264" w:lineRule="auto"/>
              <w:jc w:val="left"/>
              <w:rPr>
                <w:rFonts w:eastAsia="Calibri"/>
                <w:sz w:val="18"/>
                <w:szCs w:val="18"/>
              </w:rPr>
            </w:pPr>
            <w:r w:rsidRPr="001570EA">
              <w:rPr>
                <w:rFonts w:eastAsia="Calibri"/>
                <w:sz w:val="18"/>
                <w:szCs w:val="18"/>
              </w:rPr>
              <w:t>4.4</w:t>
            </w:r>
          </w:p>
        </w:tc>
        <w:tc>
          <w:tcPr>
            <w:tcW w:w="1552" w:type="dxa"/>
          </w:tcPr>
          <w:p w14:paraId="01DEE963" w14:textId="77777777" w:rsidR="004E6452" w:rsidRPr="001570EA" w:rsidRDefault="004E6452">
            <w:pPr>
              <w:pStyle w:val="source10"/>
              <w:keepNext/>
              <w:tabs>
                <w:tab w:val="decimal" w:pos="661"/>
              </w:tabs>
              <w:spacing w:after="120" w:line="264" w:lineRule="auto"/>
              <w:jc w:val="left"/>
              <w:rPr>
                <w:rFonts w:eastAsia="Calibri"/>
                <w:sz w:val="18"/>
                <w:szCs w:val="18"/>
              </w:rPr>
            </w:pPr>
            <w:r w:rsidRPr="001570EA">
              <w:t>6.7</w:t>
            </w:r>
          </w:p>
        </w:tc>
        <w:tc>
          <w:tcPr>
            <w:tcW w:w="1553" w:type="dxa"/>
          </w:tcPr>
          <w:p w14:paraId="5FAC2BE4" w14:textId="77777777" w:rsidR="004E6452" w:rsidRPr="001570EA" w:rsidRDefault="004E6452">
            <w:pPr>
              <w:pStyle w:val="source10"/>
              <w:keepNext/>
              <w:tabs>
                <w:tab w:val="decimal" w:pos="721"/>
              </w:tabs>
              <w:spacing w:after="120" w:line="264" w:lineRule="auto"/>
              <w:jc w:val="left"/>
              <w:rPr>
                <w:rFonts w:eastAsia="Calibri"/>
                <w:sz w:val="18"/>
                <w:szCs w:val="18"/>
              </w:rPr>
            </w:pPr>
            <w:r w:rsidRPr="001570EA">
              <w:t>121%</w:t>
            </w:r>
          </w:p>
        </w:tc>
      </w:tr>
      <w:tr w:rsidR="004E6452" w:rsidRPr="001570EA" w14:paraId="116B2B7D" w14:textId="77777777">
        <w:trPr>
          <w:trHeight w:val="20"/>
        </w:trPr>
        <w:tc>
          <w:tcPr>
            <w:tcW w:w="1146" w:type="dxa"/>
          </w:tcPr>
          <w:p w14:paraId="48437751" w14:textId="77777777" w:rsidR="004E6452" w:rsidRPr="001570EA" w:rsidRDefault="004E6452">
            <w:pPr>
              <w:pStyle w:val="source10"/>
              <w:keepNext/>
              <w:spacing w:before="80" w:after="80"/>
              <w:jc w:val="left"/>
              <w:rPr>
                <w:sz w:val="18"/>
                <w:szCs w:val="18"/>
              </w:rPr>
            </w:pPr>
            <w:r w:rsidRPr="001570EA">
              <w:rPr>
                <w:sz w:val="18"/>
                <w:szCs w:val="18"/>
              </w:rPr>
              <w:t>13I</w:t>
            </w:r>
          </w:p>
        </w:tc>
        <w:tc>
          <w:tcPr>
            <w:tcW w:w="1999" w:type="dxa"/>
            <w:vMerge/>
            <w:vAlign w:val="center"/>
          </w:tcPr>
          <w:p w14:paraId="5F453D5C" w14:textId="77777777" w:rsidR="004E6452" w:rsidRPr="001570EA" w:rsidRDefault="004E6452">
            <w:pPr>
              <w:pStyle w:val="source10"/>
              <w:keepNext/>
              <w:tabs>
                <w:tab w:val="decimal" w:pos="811"/>
              </w:tabs>
              <w:spacing w:after="120" w:line="264" w:lineRule="auto"/>
              <w:jc w:val="left"/>
              <w:rPr>
                <w:rFonts w:eastAsia="Calibri"/>
                <w:sz w:val="18"/>
                <w:szCs w:val="18"/>
              </w:rPr>
            </w:pPr>
          </w:p>
        </w:tc>
        <w:tc>
          <w:tcPr>
            <w:tcW w:w="1552" w:type="dxa"/>
          </w:tcPr>
          <w:p w14:paraId="7E4FD194" w14:textId="77777777" w:rsidR="004E6452" w:rsidRPr="001570EA" w:rsidRDefault="004E6452">
            <w:pPr>
              <w:pStyle w:val="source10"/>
              <w:keepNext/>
              <w:spacing w:after="120" w:line="264" w:lineRule="auto"/>
              <w:ind w:right="450"/>
              <w:jc w:val="right"/>
            </w:pPr>
            <w:r w:rsidRPr="001570EA">
              <w:t>1</w:t>
            </w:r>
          </w:p>
        </w:tc>
        <w:tc>
          <w:tcPr>
            <w:tcW w:w="1553" w:type="dxa"/>
            <w:vMerge/>
            <w:vAlign w:val="center"/>
          </w:tcPr>
          <w:p w14:paraId="57280ED4" w14:textId="77777777" w:rsidR="004E6452" w:rsidRPr="001570EA" w:rsidRDefault="004E6452">
            <w:pPr>
              <w:pStyle w:val="source10"/>
              <w:keepNext/>
              <w:tabs>
                <w:tab w:val="decimal" w:pos="586"/>
              </w:tabs>
              <w:spacing w:after="120" w:line="264" w:lineRule="auto"/>
              <w:jc w:val="left"/>
              <w:rPr>
                <w:rFonts w:eastAsia="Calibri"/>
                <w:sz w:val="18"/>
                <w:szCs w:val="18"/>
              </w:rPr>
            </w:pPr>
          </w:p>
        </w:tc>
        <w:tc>
          <w:tcPr>
            <w:tcW w:w="1552" w:type="dxa"/>
          </w:tcPr>
          <w:p w14:paraId="36CDC2CB" w14:textId="77777777" w:rsidR="004E6452" w:rsidRPr="001570EA" w:rsidRDefault="004E6452">
            <w:pPr>
              <w:pStyle w:val="source10"/>
              <w:keepNext/>
              <w:tabs>
                <w:tab w:val="decimal" w:pos="661"/>
              </w:tabs>
              <w:spacing w:after="120" w:line="264" w:lineRule="auto"/>
              <w:jc w:val="left"/>
            </w:pPr>
            <w:r w:rsidRPr="001570EA">
              <w:t>11.7</w:t>
            </w:r>
          </w:p>
        </w:tc>
        <w:tc>
          <w:tcPr>
            <w:tcW w:w="1553" w:type="dxa"/>
          </w:tcPr>
          <w:p w14:paraId="0EB6AF2E" w14:textId="77777777" w:rsidR="004E6452" w:rsidRPr="001570EA" w:rsidRDefault="004E6452">
            <w:pPr>
              <w:pStyle w:val="source10"/>
              <w:keepNext/>
              <w:tabs>
                <w:tab w:val="decimal" w:pos="721"/>
              </w:tabs>
              <w:spacing w:after="120" w:line="264" w:lineRule="auto"/>
              <w:jc w:val="left"/>
            </w:pPr>
            <w:r w:rsidRPr="001570EA">
              <w:t>119%</w:t>
            </w:r>
          </w:p>
        </w:tc>
      </w:tr>
      <w:tr w:rsidR="004E6452" w:rsidRPr="001570EA" w14:paraId="4E4D3C09" w14:textId="77777777">
        <w:trPr>
          <w:trHeight w:val="20"/>
        </w:trPr>
        <w:tc>
          <w:tcPr>
            <w:tcW w:w="1146" w:type="dxa"/>
          </w:tcPr>
          <w:p w14:paraId="57702197" w14:textId="77777777" w:rsidR="004E6452" w:rsidRPr="001570EA" w:rsidRDefault="004E6452">
            <w:pPr>
              <w:pStyle w:val="source10"/>
              <w:keepNext/>
              <w:spacing w:before="80" w:after="80"/>
              <w:jc w:val="left"/>
              <w:rPr>
                <w:rFonts w:eastAsia="Calibri"/>
                <w:sz w:val="18"/>
                <w:szCs w:val="18"/>
              </w:rPr>
            </w:pPr>
            <w:r w:rsidRPr="001570EA">
              <w:rPr>
                <w:sz w:val="18"/>
                <w:szCs w:val="18"/>
              </w:rPr>
              <w:t>13A</w:t>
            </w:r>
          </w:p>
        </w:tc>
        <w:tc>
          <w:tcPr>
            <w:tcW w:w="1999" w:type="dxa"/>
            <w:vAlign w:val="center"/>
          </w:tcPr>
          <w:p w14:paraId="03C58D21" w14:textId="77777777" w:rsidR="004E6452" w:rsidRPr="001570EA" w:rsidRDefault="004E6452">
            <w:pPr>
              <w:pStyle w:val="source10"/>
              <w:keepNext/>
              <w:tabs>
                <w:tab w:val="decimal" w:pos="811"/>
              </w:tabs>
              <w:spacing w:after="120" w:line="264" w:lineRule="auto"/>
              <w:jc w:val="left"/>
              <w:rPr>
                <w:rFonts w:eastAsia="Calibri"/>
                <w:sz w:val="18"/>
                <w:szCs w:val="18"/>
              </w:rPr>
            </w:pPr>
            <w:r w:rsidRPr="001570EA">
              <w:rPr>
                <w:rFonts w:eastAsia="Calibri"/>
                <w:sz w:val="18"/>
                <w:szCs w:val="18"/>
              </w:rPr>
              <w:t>6.6%</w:t>
            </w:r>
          </w:p>
        </w:tc>
        <w:tc>
          <w:tcPr>
            <w:tcW w:w="1552" w:type="dxa"/>
          </w:tcPr>
          <w:p w14:paraId="4CC3D459" w14:textId="77777777" w:rsidR="004E6452" w:rsidRPr="001570EA" w:rsidRDefault="004E6452">
            <w:pPr>
              <w:pStyle w:val="source10"/>
              <w:keepNext/>
              <w:spacing w:after="120" w:line="264" w:lineRule="auto"/>
              <w:ind w:right="450"/>
              <w:jc w:val="right"/>
              <w:rPr>
                <w:rFonts w:eastAsia="Calibri"/>
                <w:sz w:val="18"/>
                <w:szCs w:val="18"/>
              </w:rPr>
            </w:pPr>
            <w:r w:rsidRPr="001570EA">
              <w:t>1,029</w:t>
            </w:r>
          </w:p>
        </w:tc>
        <w:tc>
          <w:tcPr>
            <w:tcW w:w="1553" w:type="dxa"/>
            <w:vMerge/>
            <w:vAlign w:val="center"/>
          </w:tcPr>
          <w:p w14:paraId="0FB63E5D" w14:textId="77777777" w:rsidR="004E6452" w:rsidRPr="001570EA" w:rsidRDefault="004E6452">
            <w:pPr>
              <w:pStyle w:val="source10"/>
              <w:keepNext/>
              <w:tabs>
                <w:tab w:val="decimal" w:pos="586"/>
              </w:tabs>
              <w:spacing w:after="120" w:line="264" w:lineRule="auto"/>
              <w:jc w:val="left"/>
              <w:rPr>
                <w:rFonts w:eastAsia="Calibri"/>
                <w:sz w:val="18"/>
                <w:szCs w:val="18"/>
              </w:rPr>
            </w:pPr>
          </w:p>
        </w:tc>
        <w:tc>
          <w:tcPr>
            <w:tcW w:w="1552" w:type="dxa"/>
          </w:tcPr>
          <w:p w14:paraId="5D833C11" w14:textId="77777777" w:rsidR="004E6452" w:rsidRPr="001570EA" w:rsidRDefault="004E6452">
            <w:pPr>
              <w:pStyle w:val="source10"/>
              <w:keepNext/>
              <w:tabs>
                <w:tab w:val="decimal" w:pos="661"/>
              </w:tabs>
              <w:spacing w:after="120" w:line="264" w:lineRule="auto"/>
              <w:jc w:val="left"/>
              <w:rPr>
                <w:rFonts w:eastAsia="Calibri"/>
                <w:sz w:val="18"/>
                <w:szCs w:val="18"/>
              </w:rPr>
            </w:pPr>
            <w:r w:rsidRPr="001570EA">
              <w:t>4.2</w:t>
            </w:r>
          </w:p>
        </w:tc>
        <w:tc>
          <w:tcPr>
            <w:tcW w:w="1553" w:type="dxa"/>
          </w:tcPr>
          <w:p w14:paraId="0EA4408E" w14:textId="77777777" w:rsidR="004E6452" w:rsidRPr="001570EA" w:rsidRDefault="004E6452">
            <w:pPr>
              <w:pStyle w:val="source10"/>
              <w:keepNext/>
              <w:tabs>
                <w:tab w:val="decimal" w:pos="721"/>
              </w:tabs>
              <w:spacing w:after="120" w:line="264" w:lineRule="auto"/>
              <w:jc w:val="left"/>
              <w:rPr>
                <w:rFonts w:eastAsia="Calibri"/>
                <w:sz w:val="18"/>
                <w:szCs w:val="18"/>
              </w:rPr>
            </w:pPr>
            <w:r w:rsidRPr="001570EA">
              <w:t>100%</w:t>
            </w:r>
          </w:p>
        </w:tc>
      </w:tr>
      <w:tr w:rsidR="004E6452" w:rsidRPr="001570EA" w14:paraId="034BBDDF" w14:textId="77777777">
        <w:trPr>
          <w:trHeight w:val="20"/>
        </w:trPr>
        <w:tc>
          <w:tcPr>
            <w:tcW w:w="1146" w:type="dxa"/>
          </w:tcPr>
          <w:p w14:paraId="040504CF" w14:textId="77777777" w:rsidR="004E6452" w:rsidRPr="001570EA" w:rsidRDefault="004E6452">
            <w:pPr>
              <w:pStyle w:val="source10"/>
              <w:keepNext/>
              <w:spacing w:before="80" w:after="80"/>
              <w:jc w:val="left"/>
              <w:rPr>
                <w:rFonts w:eastAsia="Calibri"/>
                <w:sz w:val="18"/>
                <w:szCs w:val="18"/>
              </w:rPr>
            </w:pPr>
            <w:r w:rsidRPr="001570EA">
              <w:rPr>
                <w:sz w:val="18"/>
                <w:szCs w:val="18"/>
              </w:rPr>
              <w:t>14</w:t>
            </w:r>
          </w:p>
        </w:tc>
        <w:tc>
          <w:tcPr>
            <w:tcW w:w="1999" w:type="dxa"/>
            <w:vMerge w:val="restart"/>
            <w:vAlign w:val="center"/>
          </w:tcPr>
          <w:p w14:paraId="4F961D04" w14:textId="77777777" w:rsidR="004E6452" w:rsidRPr="001570EA" w:rsidRDefault="004E6452">
            <w:pPr>
              <w:pStyle w:val="source10"/>
              <w:keepNext/>
              <w:tabs>
                <w:tab w:val="decimal" w:pos="811"/>
              </w:tabs>
              <w:spacing w:after="120" w:line="264" w:lineRule="auto"/>
              <w:jc w:val="left"/>
              <w:rPr>
                <w:rFonts w:eastAsia="Calibri"/>
                <w:sz w:val="18"/>
                <w:szCs w:val="18"/>
              </w:rPr>
            </w:pPr>
            <w:r w:rsidRPr="001570EA">
              <w:rPr>
                <w:rFonts w:eastAsia="Calibri"/>
                <w:sz w:val="18"/>
                <w:szCs w:val="18"/>
              </w:rPr>
              <w:t>0.3%</w:t>
            </w:r>
          </w:p>
        </w:tc>
        <w:tc>
          <w:tcPr>
            <w:tcW w:w="1552" w:type="dxa"/>
          </w:tcPr>
          <w:p w14:paraId="4CE3F58C" w14:textId="77777777" w:rsidR="004E6452" w:rsidRPr="001570EA" w:rsidRDefault="004E6452">
            <w:pPr>
              <w:pStyle w:val="source10"/>
              <w:keepNext/>
              <w:spacing w:after="120" w:line="264" w:lineRule="auto"/>
              <w:ind w:right="450"/>
              <w:jc w:val="right"/>
              <w:rPr>
                <w:rFonts w:eastAsia="Calibri"/>
                <w:sz w:val="18"/>
                <w:szCs w:val="18"/>
              </w:rPr>
            </w:pPr>
            <w:r w:rsidRPr="001570EA">
              <w:t>27</w:t>
            </w:r>
          </w:p>
        </w:tc>
        <w:tc>
          <w:tcPr>
            <w:tcW w:w="1553" w:type="dxa"/>
            <w:vMerge w:val="restart"/>
            <w:vAlign w:val="center"/>
          </w:tcPr>
          <w:p w14:paraId="604FE68E" w14:textId="77777777" w:rsidR="004E6452" w:rsidRPr="001570EA" w:rsidRDefault="004E6452">
            <w:pPr>
              <w:pStyle w:val="source10"/>
              <w:keepNext/>
              <w:tabs>
                <w:tab w:val="decimal" w:pos="586"/>
              </w:tabs>
              <w:spacing w:after="120" w:line="264" w:lineRule="auto"/>
              <w:jc w:val="left"/>
              <w:rPr>
                <w:rFonts w:eastAsia="Calibri"/>
                <w:sz w:val="18"/>
                <w:szCs w:val="18"/>
              </w:rPr>
            </w:pPr>
            <w:r w:rsidRPr="001570EA">
              <w:rPr>
                <w:rFonts w:eastAsia="Calibri"/>
                <w:sz w:val="18"/>
                <w:szCs w:val="18"/>
              </w:rPr>
              <w:t>5.5</w:t>
            </w:r>
          </w:p>
        </w:tc>
        <w:tc>
          <w:tcPr>
            <w:tcW w:w="1552" w:type="dxa"/>
          </w:tcPr>
          <w:p w14:paraId="744CC899" w14:textId="77777777" w:rsidR="004E6452" w:rsidRPr="001570EA" w:rsidRDefault="004E6452">
            <w:pPr>
              <w:pStyle w:val="source10"/>
              <w:keepNext/>
              <w:tabs>
                <w:tab w:val="decimal" w:pos="661"/>
              </w:tabs>
              <w:spacing w:after="120" w:line="264" w:lineRule="auto"/>
              <w:jc w:val="left"/>
              <w:rPr>
                <w:rFonts w:eastAsia="Calibri"/>
                <w:sz w:val="18"/>
                <w:szCs w:val="18"/>
              </w:rPr>
            </w:pPr>
            <w:r w:rsidRPr="001570EA">
              <w:t>6.0</w:t>
            </w:r>
          </w:p>
        </w:tc>
        <w:tc>
          <w:tcPr>
            <w:tcW w:w="1553" w:type="dxa"/>
          </w:tcPr>
          <w:p w14:paraId="40B88ED1" w14:textId="77777777" w:rsidR="004E6452" w:rsidRPr="001570EA" w:rsidRDefault="004E6452">
            <w:pPr>
              <w:pStyle w:val="source10"/>
              <w:keepNext/>
              <w:tabs>
                <w:tab w:val="decimal" w:pos="721"/>
              </w:tabs>
              <w:spacing w:after="120" w:line="264" w:lineRule="auto"/>
              <w:jc w:val="left"/>
              <w:rPr>
                <w:rFonts w:eastAsia="Calibri"/>
                <w:sz w:val="18"/>
                <w:szCs w:val="18"/>
              </w:rPr>
            </w:pPr>
            <w:r w:rsidRPr="001570EA">
              <w:t>116%</w:t>
            </w:r>
          </w:p>
        </w:tc>
      </w:tr>
      <w:tr w:rsidR="004E6452" w:rsidRPr="001570EA" w14:paraId="2797DBB7" w14:textId="77777777">
        <w:trPr>
          <w:trHeight w:val="20"/>
        </w:trPr>
        <w:tc>
          <w:tcPr>
            <w:tcW w:w="1146" w:type="dxa"/>
          </w:tcPr>
          <w:p w14:paraId="0BBFD49A" w14:textId="77777777" w:rsidR="004E6452" w:rsidRPr="001570EA" w:rsidRDefault="004E6452">
            <w:pPr>
              <w:pStyle w:val="source10"/>
              <w:keepNext/>
              <w:spacing w:before="80" w:after="80"/>
              <w:jc w:val="left"/>
              <w:rPr>
                <w:rFonts w:eastAsia="Calibri"/>
                <w:sz w:val="18"/>
                <w:szCs w:val="18"/>
              </w:rPr>
            </w:pPr>
            <w:r w:rsidRPr="001570EA">
              <w:rPr>
                <w:sz w:val="18"/>
                <w:szCs w:val="18"/>
              </w:rPr>
              <w:t>14I</w:t>
            </w:r>
          </w:p>
        </w:tc>
        <w:tc>
          <w:tcPr>
            <w:tcW w:w="1999" w:type="dxa"/>
            <w:vMerge/>
            <w:vAlign w:val="center"/>
          </w:tcPr>
          <w:p w14:paraId="594BE173" w14:textId="77777777" w:rsidR="004E6452" w:rsidRPr="001570EA" w:rsidRDefault="004E6452">
            <w:pPr>
              <w:pStyle w:val="source10"/>
              <w:keepNext/>
              <w:tabs>
                <w:tab w:val="decimal" w:pos="811"/>
              </w:tabs>
              <w:spacing w:after="120" w:line="264" w:lineRule="auto"/>
              <w:jc w:val="left"/>
              <w:rPr>
                <w:rFonts w:eastAsia="Calibri"/>
                <w:sz w:val="18"/>
                <w:szCs w:val="18"/>
              </w:rPr>
            </w:pPr>
          </w:p>
        </w:tc>
        <w:tc>
          <w:tcPr>
            <w:tcW w:w="1552" w:type="dxa"/>
          </w:tcPr>
          <w:p w14:paraId="4F14F0E1" w14:textId="77777777" w:rsidR="004E6452" w:rsidRPr="001570EA" w:rsidRDefault="004E6452">
            <w:pPr>
              <w:pStyle w:val="source10"/>
              <w:keepNext/>
              <w:spacing w:after="120" w:line="264" w:lineRule="auto"/>
              <w:ind w:right="450"/>
              <w:jc w:val="right"/>
              <w:rPr>
                <w:rFonts w:eastAsia="Calibri"/>
                <w:sz w:val="18"/>
                <w:szCs w:val="18"/>
              </w:rPr>
            </w:pPr>
            <w:r w:rsidRPr="001570EA">
              <w:t>24</w:t>
            </w:r>
          </w:p>
        </w:tc>
        <w:tc>
          <w:tcPr>
            <w:tcW w:w="1553" w:type="dxa"/>
            <w:vMerge/>
            <w:vAlign w:val="center"/>
          </w:tcPr>
          <w:p w14:paraId="7169B8CF" w14:textId="77777777" w:rsidR="004E6452" w:rsidRPr="001570EA" w:rsidRDefault="004E6452">
            <w:pPr>
              <w:pStyle w:val="source10"/>
              <w:keepNext/>
              <w:tabs>
                <w:tab w:val="decimal" w:pos="586"/>
              </w:tabs>
              <w:spacing w:after="120" w:line="264" w:lineRule="auto"/>
              <w:jc w:val="left"/>
              <w:rPr>
                <w:rFonts w:eastAsia="Calibri"/>
                <w:sz w:val="18"/>
                <w:szCs w:val="18"/>
              </w:rPr>
            </w:pPr>
          </w:p>
        </w:tc>
        <w:tc>
          <w:tcPr>
            <w:tcW w:w="1552" w:type="dxa"/>
          </w:tcPr>
          <w:p w14:paraId="7FE3CB91" w14:textId="77777777" w:rsidR="004E6452" w:rsidRPr="001570EA" w:rsidRDefault="004E6452">
            <w:pPr>
              <w:pStyle w:val="source10"/>
              <w:keepNext/>
              <w:tabs>
                <w:tab w:val="decimal" w:pos="661"/>
              </w:tabs>
              <w:spacing w:after="120" w:line="264" w:lineRule="auto"/>
              <w:jc w:val="left"/>
              <w:rPr>
                <w:rFonts w:eastAsia="Calibri"/>
                <w:sz w:val="18"/>
                <w:szCs w:val="18"/>
              </w:rPr>
            </w:pPr>
            <w:r w:rsidRPr="001570EA">
              <w:t>4.9</w:t>
            </w:r>
          </w:p>
        </w:tc>
        <w:tc>
          <w:tcPr>
            <w:tcW w:w="1553" w:type="dxa"/>
          </w:tcPr>
          <w:p w14:paraId="610568F1" w14:textId="77777777" w:rsidR="004E6452" w:rsidRPr="001570EA" w:rsidRDefault="004E6452">
            <w:pPr>
              <w:pStyle w:val="source10"/>
              <w:keepNext/>
              <w:tabs>
                <w:tab w:val="decimal" w:pos="721"/>
              </w:tabs>
              <w:spacing w:after="120" w:line="264" w:lineRule="auto"/>
              <w:jc w:val="left"/>
              <w:rPr>
                <w:rFonts w:eastAsia="Calibri"/>
                <w:sz w:val="18"/>
                <w:szCs w:val="18"/>
              </w:rPr>
            </w:pPr>
            <w:r w:rsidRPr="001570EA">
              <w:t>110%</w:t>
            </w:r>
          </w:p>
        </w:tc>
      </w:tr>
      <w:tr w:rsidR="004E6452" w:rsidRPr="001570EA" w14:paraId="66DE7B6E" w14:textId="77777777">
        <w:trPr>
          <w:trHeight w:val="20"/>
        </w:trPr>
        <w:tc>
          <w:tcPr>
            <w:tcW w:w="1146" w:type="dxa"/>
          </w:tcPr>
          <w:p w14:paraId="07D4C01E" w14:textId="77777777" w:rsidR="004E6452" w:rsidRPr="001570EA" w:rsidRDefault="004E6452">
            <w:pPr>
              <w:pStyle w:val="source10"/>
              <w:keepNext/>
              <w:spacing w:before="80" w:after="80"/>
              <w:jc w:val="left"/>
              <w:rPr>
                <w:rFonts w:eastAsia="Calibri"/>
                <w:sz w:val="18"/>
                <w:szCs w:val="18"/>
              </w:rPr>
            </w:pPr>
            <w:r w:rsidRPr="001570EA">
              <w:rPr>
                <w:sz w:val="18"/>
                <w:szCs w:val="18"/>
              </w:rPr>
              <w:t>15</w:t>
            </w:r>
          </w:p>
        </w:tc>
        <w:tc>
          <w:tcPr>
            <w:tcW w:w="1999" w:type="dxa"/>
            <w:vMerge w:val="restart"/>
            <w:vAlign w:val="center"/>
          </w:tcPr>
          <w:p w14:paraId="07DB0110" w14:textId="77777777" w:rsidR="004E6452" w:rsidRPr="001570EA" w:rsidRDefault="004E6452">
            <w:pPr>
              <w:pStyle w:val="source10"/>
              <w:keepNext/>
              <w:tabs>
                <w:tab w:val="decimal" w:pos="811"/>
              </w:tabs>
              <w:spacing w:after="120" w:line="264" w:lineRule="auto"/>
              <w:jc w:val="left"/>
              <w:rPr>
                <w:rFonts w:eastAsia="Calibri"/>
                <w:sz w:val="18"/>
                <w:szCs w:val="18"/>
              </w:rPr>
            </w:pPr>
            <w:r w:rsidRPr="001570EA">
              <w:rPr>
                <w:rFonts w:eastAsia="Calibri"/>
                <w:sz w:val="18"/>
                <w:szCs w:val="18"/>
              </w:rPr>
              <w:t>0.3%</w:t>
            </w:r>
          </w:p>
        </w:tc>
        <w:tc>
          <w:tcPr>
            <w:tcW w:w="1552" w:type="dxa"/>
          </w:tcPr>
          <w:p w14:paraId="77C48532" w14:textId="77777777" w:rsidR="004E6452" w:rsidRPr="001570EA" w:rsidRDefault="004E6452">
            <w:pPr>
              <w:pStyle w:val="source10"/>
              <w:keepNext/>
              <w:spacing w:after="120" w:line="264" w:lineRule="auto"/>
              <w:ind w:right="450"/>
              <w:jc w:val="right"/>
              <w:rPr>
                <w:rFonts w:eastAsia="Calibri"/>
                <w:sz w:val="18"/>
                <w:szCs w:val="18"/>
              </w:rPr>
            </w:pPr>
            <w:r w:rsidRPr="001570EA">
              <w:t>20</w:t>
            </w:r>
          </w:p>
        </w:tc>
        <w:tc>
          <w:tcPr>
            <w:tcW w:w="1553" w:type="dxa"/>
            <w:vMerge w:val="restart"/>
            <w:vAlign w:val="center"/>
          </w:tcPr>
          <w:p w14:paraId="4936CCD2" w14:textId="77777777" w:rsidR="004E6452" w:rsidRPr="001570EA" w:rsidRDefault="004E6452">
            <w:pPr>
              <w:pStyle w:val="source10"/>
              <w:keepNext/>
              <w:tabs>
                <w:tab w:val="decimal" w:pos="586"/>
              </w:tabs>
              <w:spacing w:after="120" w:line="264" w:lineRule="auto"/>
              <w:jc w:val="left"/>
              <w:rPr>
                <w:rFonts w:eastAsia="Calibri"/>
                <w:sz w:val="18"/>
                <w:szCs w:val="18"/>
              </w:rPr>
            </w:pPr>
            <w:r w:rsidRPr="001570EA">
              <w:rPr>
                <w:rFonts w:eastAsia="Calibri"/>
                <w:sz w:val="18"/>
                <w:szCs w:val="18"/>
              </w:rPr>
              <w:t>7.4</w:t>
            </w:r>
          </w:p>
        </w:tc>
        <w:tc>
          <w:tcPr>
            <w:tcW w:w="1552" w:type="dxa"/>
          </w:tcPr>
          <w:p w14:paraId="565C5F4B" w14:textId="77777777" w:rsidR="004E6452" w:rsidRPr="001570EA" w:rsidRDefault="004E6452">
            <w:pPr>
              <w:pStyle w:val="source10"/>
              <w:keepNext/>
              <w:tabs>
                <w:tab w:val="decimal" w:pos="661"/>
              </w:tabs>
              <w:spacing w:after="120" w:line="264" w:lineRule="auto"/>
              <w:jc w:val="left"/>
              <w:rPr>
                <w:rFonts w:eastAsia="Calibri"/>
                <w:sz w:val="18"/>
                <w:szCs w:val="18"/>
              </w:rPr>
            </w:pPr>
            <w:r w:rsidRPr="001570EA">
              <w:t>7.9</w:t>
            </w:r>
          </w:p>
        </w:tc>
        <w:tc>
          <w:tcPr>
            <w:tcW w:w="1553" w:type="dxa"/>
          </w:tcPr>
          <w:p w14:paraId="30C09345" w14:textId="77777777" w:rsidR="004E6452" w:rsidRPr="001570EA" w:rsidRDefault="004E6452">
            <w:pPr>
              <w:pStyle w:val="source10"/>
              <w:keepNext/>
              <w:tabs>
                <w:tab w:val="decimal" w:pos="721"/>
              </w:tabs>
              <w:spacing w:after="120" w:line="264" w:lineRule="auto"/>
              <w:jc w:val="left"/>
              <w:rPr>
                <w:rFonts w:eastAsia="Calibri"/>
                <w:sz w:val="18"/>
                <w:szCs w:val="18"/>
              </w:rPr>
            </w:pPr>
            <w:r w:rsidRPr="001570EA">
              <w:t>125%</w:t>
            </w:r>
          </w:p>
        </w:tc>
      </w:tr>
      <w:tr w:rsidR="004E6452" w:rsidRPr="001570EA" w14:paraId="13511D7C" w14:textId="77777777">
        <w:trPr>
          <w:trHeight w:val="20"/>
        </w:trPr>
        <w:tc>
          <w:tcPr>
            <w:tcW w:w="1146" w:type="dxa"/>
          </w:tcPr>
          <w:p w14:paraId="0032221A" w14:textId="77777777" w:rsidR="004E6452" w:rsidRPr="001570EA" w:rsidRDefault="004E6452">
            <w:pPr>
              <w:pStyle w:val="source10"/>
              <w:keepNext/>
              <w:spacing w:before="80" w:after="80"/>
              <w:jc w:val="left"/>
              <w:rPr>
                <w:rFonts w:eastAsia="Calibri"/>
                <w:sz w:val="18"/>
                <w:szCs w:val="18"/>
              </w:rPr>
            </w:pPr>
            <w:r w:rsidRPr="001570EA">
              <w:rPr>
                <w:sz w:val="18"/>
                <w:szCs w:val="18"/>
              </w:rPr>
              <w:t>15I</w:t>
            </w:r>
          </w:p>
        </w:tc>
        <w:tc>
          <w:tcPr>
            <w:tcW w:w="1999" w:type="dxa"/>
            <w:vMerge/>
            <w:vAlign w:val="center"/>
          </w:tcPr>
          <w:p w14:paraId="1E52EB95" w14:textId="77777777" w:rsidR="004E6452" w:rsidRPr="001570EA" w:rsidRDefault="004E6452">
            <w:pPr>
              <w:pStyle w:val="source10"/>
              <w:keepNext/>
              <w:tabs>
                <w:tab w:val="decimal" w:pos="811"/>
              </w:tabs>
              <w:spacing w:after="120" w:line="264" w:lineRule="auto"/>
              <w:jc w:val="left"/>
              <w:rPr>
                <w:rFonts w:eastAsia="Calibri"/>
                <w:sz w:val="18"/>
                <w:szCs w:val="18"/>
              </w:rPr>
            </w:pPr>
          </w:p>
        </w:tc>
        <w:tc>
          <w:tcPr>
            <w:tcW w:w="1552" w:type="dxa"/>
          </w:tcPr>
          <w:p w14:paraId="6E246614" w14:textId="77777777" w:rsidR="004E6452" w:rsidRPr="001570EA" w:rsidRDefault="004E6452">
            <w:pPr>
              <w:pStyle w:val="source10"/>
              <w:keepNext/>
              <w:spacing w:after="120" w:line="264" w:lineRule="auto"/>
              <w:ind w:right="450"/>
              <w:jc w:val="right"/>
              <w:rPr>
                <w:rFonts w:eastAsia="Calibri"/>
                <w:sz w:val="18"/>
                <w:szCs w:val="18"/>
              </w:rPr>
            </w:pPr>
            <w:r w:rsidRPr="001570EA">
              <w:t>21</w:t>
            </w:r>
          </w:p>
        </w:tc>
        <w:tc>
          <w:tcPr>
            <w:tcW w:w="1553" w:type="dxa"/>
            <w:vMerge/>
            <w:vAlign w:val="center"/>
          </w:tcPr>
          <w:p w14:paraId="056D0947" w14:textId="77777777" w:rsidR="004E6452" w:rsidRPr="001570EA" w:rsidRDefault="004E6452">
            <w:pPr>
              <w:pStyle w:val="source10"/>
              <w:keepNext/>
              <w:tabs>
                <w:tab w:val="decimal" w:pos="586"/>
              </w:tabs>
              <w:spacing w:after="120" w:line="264" w:lineRule="auto"/>
              <w:jc w:val="left"/>
              <w:rPr>
                <w:rFonts w:eastAsia="Calibri"/>
                <w:sz w:val="18"/>
                <w:szCs w:val="18"/>
              </w:rPr>
            </w:pPr>
          </w:p>
        </w:tc>
        <w:tc>
          <w:tcPr>
            <w:tcW w:w="1552" w:type="dxa"/>
          </w:tcPr>
          <w:p w14:paraId="43098D95" w14:textId="77777777" w:rsidR="004E6452" w:rsidRPr="001570EA" w:rsidRDefault="004E6452">
            <w:pPr>
              <w:pStyle w:val="source10"/>
              <w:keepNext/>
              <w:tabs>
                <w:tab w:val="decimal" w:pos="661"/>
              </w:tabs>
              <w:spacing w:after="120" w:line="264" w:lineRule="auto"/>
              <w:jc w:val="left"/>
              <w:rPr>
                <w:rFonts w:eastAsia="Calibri"/>
                <w:sz w:val="18"/>
                <w:szCs w:val="18"/>
              </w:rPr>
            </w:pPr>
            <w:r w:rsidRPr="001570EA">
              <w:t>7.0</w:t>
            </w:r>
          </w:p>
        </w:tc>
        <w:tc>
          <w:tcPr>
            <w:tcW w:w="1553" w:type="dxa"/>
          </w:tcPr>
          <w:p w14:paraId="60896E16" w14:textId="77777777" w:rsidR="004E6452" w:rsidRPr="001570EA" w:rsidRDefault="004E6452">
            <w:pPr>
              <w:pStyle w:val="source10"/>
              <w:keepNext/>
              <w:tabs>
                <w:tab w:val="decimal" w:pos="721"/>
              </w:tabs>
              <w:spacing w:after="120" w:line="264" w:lineRule="auto"/>
              <w:jc w:val="left"/>
              <w:rPr>
                <w:rFonts w:eastAsia="Calibri"/>
                <w:sz w:val="18"/>
                <w:szCs w:val="18"/>
              </w:rPr>
            </w:pPr>
            <w:r w:rsidRPr="001570EA">
              <w:t>130%</w:t>
            </w:r>
          </w:p>
        </w:tc>
      </w:tr>
      <w:tr w:rsidR="004E6452" w:rsidRPr="001570EA" w14:paraId="72070D2F" w14:textId="77777777">
        <w:trPr>
          <w:trHeight w:val="20"/>
        </w:trPr>
        <w:tc>
          <w:tcPr>
            <w:tcW w:w="1146" w:type="dxa"/>
          </w:tcPr>
          <w:p w14:paraId="29E4C935" w14:textId="77777777" w:rsidR="004E6452" w:rsidRPr="001570EA" w:rsidRDefault="004E6452">
            <w:pPr>
              <w:pStyle w:val="source10"/>
              <w:keepNext/>
              <w:spacing w:before="80" w:after="80"/>
              <w:jc w:val="left"/>
              <w:rPr>
                <w:rFonts w:eastAsia="Calibri"/>
                <w:sz w:val="18"/>
                <w:szCs w:val="18"/>
              </w:rPr>
            </w:pPr>
            <w:r w:rsidRPr="001570EA">
              <w:rPr>
                <w:sz w:val="18"/>
                <w:szCs w:val="18"/>
              </w:rPr>
              <w:t>16</w:t>
            </w:r>
          </w:p>
        </w:tc>
        <w:tc>
          <w:tcPr>
            <w:tcW w:w="1999" w:type="dxa"/>
            <w:vAlign w:val="center"/>
          </w:tcPr>
          <w:p w14:paraId="4907C1B5" w14:textId="77777777" w:rsidR="004E6452" w:rsidRPr="001570EA" w:rsidRDefault="004E6452">
            <w:pPr>
              <w:pStyle w:val="source10"/>
              <w:keepNext/>
              <w:tabs>
                <w:tab w:val="decimal" w:pos="811"/>
              </w:tabs>
              <w:spacing w:after="120" w:line="264" w:lineRule="auto"/>
              <w:jc w:val="left"/>
              <w:rPr>
                <w:rFonts w:eastAsia="Calibri"/>
                <w:sz w:val="18"/>
                <w:szCs w:val="18"/>
              </w:rPr>
            </w:pPr>
            <w:r w:rsidRPr="001570EA">
              <w:rPr>
                <w:rFonts w:eastAsia="Calibri"/>
                <w:sz w:val="18"/>
                <w:szCs w:val="18"/>
              </w:rPr>
              <w:t>9.1%</w:t>
            </w:r>
          </w:p>
        </w:tc>
        <w:tc>
          <w:tcPr>
            <w:tcW w:w="1552" w:type="dxa"/>
          </w:tcPr>
          <w:p w14:paraId="499F1339" w14:textId="77777777" w:rsidR="004E6452" w:rsidRPr="001570EA" w:rsidRDefault="004E6452">
            <w:pPr>
              <w:pStyle w:val="source10"/>
              <w:keepNext/>
              <w:spacing w:after="120" w:line="264" w:lineRule="auto"/>
              <w:ind w:right="450"/>
              <w:jc w:val="right"/>
              <w:rPr>
                <w:rFonts w:eastAsia="Calibri"/>
                <w:sz w:val="18"/>
                <w:szCs w:val="18"/>
              </w:rPr>
            </w:pPr>
            <w:r w:rsidRPr="001570EA">
              <w:t>84</w:t>
            </w:r>
          </w:p>
        </w:tc>
        <w:tc>
          <w:tcPr>
            <w:tcW w:w="1553" w:type="dxa"/>
            <w:vAlign w:val="center"/>
          </w:tcPr>
          <w:p w14:paraId="76B13CB5" w14:textId="77777777" w:rsidR="004E6452" w:rsidRPr="001570EA" w:rsidRDefault="004E6452">
            <w:pPr>
              <w:pStyle w:val="source10"/>
              <w:keepNext/>
              <w:tabs>
                <w:tab w:val="decimal" w:pos="586"/>
              </w:tabs>
              <w:spacing w:after="120" w:line="264" w:lineRule="auto"/>
              <w:jc w:val="left"/>
              <w:rPr>
                <w:rFonts w:eastAsia="Calibri"/>
                <w:sz w:val="18"/>
                <w:szCs w:val="18"/>
              </w:rPr>
            </w:pPr>
            <w:r w:rsidRPr="001570EA">
              <w:rPr>
                <w:rFonts w:eastAsia="Calibri"/>
                <w:sz w:val="18"/>
                <w:szCs w:val="18"/>
              </w:rPr>
              <w:t>5.5</w:t>
            </w:r>
          </w:p>
        </w:tc>
        <w:tc>
          <w:tcPr>
            <w:tcW w:w="1552" w:type="dxa"/>
          </w:tcPr>
          <w:p w14:paraId="0872E524" w14:textId="77777777" w:rsidR="004E6452" w:rsidRPr="001570EA" w:rsidRDefault="004E6452">
            <w:pPr>
              <w:pStyle w:val="source10"/>
              <w:keepNext/>
              <w:tabs>
                <w:tab w:val="decimal" w:pos="661"/>
              </w:tabs>
              <w:spacing w:after="120" w:line="264" w:lineRule="auto"/>
              <w:jc w:val="left"/>
              <w:rPr>
                <w:rFonts w:eastAsia="Calibri"/>
                <w:sz w:val="18"/>
                <w:szCs w:val="18"/>
              </w:rPr>
            </w:pPr>
            <w:r w:rsidRPr="001570EA">
              <w:t>5.5</w:t>
            </w:r>
          </w:p>
        </w:tc>
        <w:tc>
          <w:tcPr>
            <w:tcW w:w="1553" w:type="dxa"/>
          </w:tcPr>
          <w:p w14:paraId="3ACD5372" w14:textId="77777777" w:rsidR="004E6452" w:rsidRPr="001570EA" w:rsidRDefault="004E6452">
            <w:pPr>
              <w:pStyle w:val="source10"/>
              <w:keepNext/>
              <w:tabs>
                <w:tab w:val="decimal" w:pos="721"/>
              </w:tabs>
              <w:spacing w:after="120" w:line="264" w:lineRule="auto"/>
              <w:jc w:val="left"/>
              <w:rPr>
                <w:rFonts w:eastAsia="Calibri"/>
                <w:sz w:val="18"/>
                <w:szCs w:val="18"/>
              </w:rPr>
            </w:pPr>
            <w:r w:rsidRPr="001570EA">
              <w:t>–</w:t>
            </w:r>
          </w:p>
        </w:tc>
      </w:tr>
      <w:tr w:rsidR="004E6452" w:rsidRPr="001570EA" w14:paraId="2A2700D7" w14:textId="77777777">
        <w:trPr>
          <w:trHeight w:val="20"/>
        </w:trPr>
        <w:tc>
          <w:tcPr>
            <w:tcW w:w="1146" w:type="dxa"/>
          </w:tcPr>
          <w:p w14:paraId="1391BCF0" w14:textId="77777777" w:rsidR="004E6452" w:rsidRPr="001570EA" w:rsidRDefault="004E6452">
            <w:pPr>
              <w:pStyle w:val="source10"/>
              <w:keepNext/>
              <w:spacing w:before="80" w:after="80"/>
              <w:jc w:val="left"/>
              <w:rPr>
                <w:rFonts w:eastAsia="Calibri"/>
                <w:sz w:val="18"/>
                <w:szCs w:val="18"/>
              </w:rPr>
            </w:pPr>
            <w:r w:rsidRPr="001570EA">
              <w:rPr>
                <w:sz w:val="18"/>
                <w:szCs w:val="18"/>
              </w:rPr>
              <w:t>17</w:t>
            </w:r>
          </w:p>
        </w:tc>
        <w:tc>
          <w:tcPr>
            <w:tcW w:w="1999" w:type="dxa"/>
            <w:vAlign w:val="center"/>
          </w:tcPr>
          <w:p w14:paraId="5909F636" w14:textId="77777777" w:rsidR="004E6452" w:rsidRPr="001570EA" w:rsidRDefault="004E6452">
            <w:pPr>
              <w:pStyle w:val="source10"/>
              <w:keepNext/>
              <w:tabs>
                <w:tab w:val="decimal" w:pos="811"/>
              </w:tabs>
              <w:spacing w:after="120" w:line="264" w:lineRule="auto"/>
              <w:jc w:val="left"/>
              <w:rPr>
                <w:rFonts w:eastAsia="Calibri"/>
                <w:sz w:val="18"/>
                <w:szCs w:val="18"/>
              </w:rPr>
            </w:pPr>
            <w:r w:rsidRPr="001570EA">
              <w:rPr>
                <w:rFonts w:eastAsia="Calibri"/>
                <w:sz w:val="18"/>
                <w:szCs w:val="18"/>
              </w:rPr>
              <w:t>5.5%</w:t>
            </w:r>
          </w:p>
        </w:tc>
        <w:tc>
          <w:tcPr>
            <w:tcW w:w="1552" w:type="dxa"/>
          </w:tcPr>
          <w:p w14:paraId="6E376A34" w14:textId="77777777" w:rsidR="004E6452" w:rsidRPr="001570EA" w:rsidRDefault="004E6452">
            <w:pPr>
              <w:pStyle w:val="source10"/>
              <w:keepNext/>
              <w:spacing w:after="120" w:line="264" w:lineRule="auto"/>
              <w:ind w:right="450"/>
              <w:jc w:val="right"/>
              <w:rPr>
                <w:rFonts w:eastAsia="Calibri"/>
                <w:sz w:val="18"/>
                <w:szCs w:val="18"/>
              </w:rPr>
            </w:pPr>
            <w:r w:rsidRPr="001570EA">
              <w:t>44</w:t>
            </w:r>
          </w:p>
        </w:tc>
        <w:tc>
          <w:tcPr>
            <w:tcW w:w="1553" w:type="dxa"/>
            <w:vAlign w:val="center"/>
          </w:tcPr>
          <w:p w14:paraId="5EF23F01" w14:textId="77777777" w:rsidR="004E6452" w:rsidRPr="001570EA" w:rsidRDefault="004E6452">
            <w:pPr>
              <w:pStyle w:val="source10"/>
              <w:keepNext/>
              <w:tabs>
                <w:tab w:val="decimal" w:pos="586"/>
              </w:tabs>
              <w:spacing w:after="120" w:line="264" w:lineRule="auto"/>
              <w:jc w:val="left"/>
              <w:rPr>
                <w:rFonts w:eastAsia="Calibri"/>
                <w:sz w:val="18"/>
                <w:szCs w:val="18"/>
              </w:rPr>
            </w:pPr>
            <w:r w:rsidRPr="001570EA">
              <w:rPr>
                <w:rFonts w:eastAsia="Calibri"/>
                <w:sz w:val="18"/>
                <w:szCs w:val="18"/>
              </w:rPr>
              <w:t>6.9</w:t>
            </w:r>
          </w:p>
        </w:tc>
        <w:tc>
          <w:tcPr>
            <w:tcW w:w="1552" w:type="dxa"/>
          </w:tcPr>
          <w:p w14:paraId="0E67FBC8" w14:textId="77777777" w:rsidR="004E6452" w:rsidRPr="001570EA" w:rsidRDefault="004E6452">
            <w:pPr>
              <w:pStyle w:val="source10"/>
              <w:keepNext/>
              <w:tabs>
                <w:tab w:val="decimal" w:pos="661"/>
              </w:tabs>
              <w:spacing w:after="120" w:line="264" w:lineRule="auto"/>
              <w:jc w:val="left"/>
              <w:rPr>
                <w:rFonts w:eastAsia="Calibri"/>
                <w:sz w:val="18"/>
                <w:szCs w:val="18"/>
              </w:rPr>
            </w:pPr>
            <w:r w:rsidRPr="001570EA">
              <w:t>6.9</w:t>
            </w:r>
          </w:p>
        </w:tc>
        <w:tc>
          <w:tcPr>
            <w:tcW w:w="1553" w:type="dxa"/>
          </w:tcPr>
          <w:p w14:paraId="4632E925" w14:textId="77777777" w:rsidR="004E6452" w:rsidRPr="001570EA" w:rsidRDefault="004E6452">
            <w:pPr>
              <w:pStyle w:val="source10"/>
              <w:keepNext/>
              <w:tabs>
                <w:tab w:val="decimal" w:pos="721"/>
              </w:tabs>
              <w:spacing w:after="120" w:line="264" w:lineRule="auto"/>
              <w:jc w:val="left"/>
              <w:rPr>
                <w:rFonts w:eastAsia="Calibri"/>
                <w:sz w:val="18"/>
                <w:szCs w:val="18"/>
              </w:rPr>
            </w:pPr>
            <w:r w:rsidRPr="001570EA">
              <w:t>–</w:t>
            </w:r>
          </w:p>
        </w:tc>
      </w:tr>
      <w:tr w:rsidR="004E6452" w:rsidRPr="001570EA" w14:paraId="15992101" w14:textId="77777777">
        <w:trPr>
          <w:trHeight w:val="20"/>
        </w:trPr>
        <w:tc>
          <w:tcPr>
            <w:tcW w:w="1146" w:type="dxa"/>
          </w:tcPr>
          <w:p w14:paraId="35580E20" w14:textId="77777777" w:rsidR="004E6452" w:rsidRPr="001570EA" w:rsidRDefault="004E6452">
            <w:pPr>
              <w:pStyle w:val="source10"/>
              <w:spacing w:before="80" w:after="80"/>
              <w:jc w:val="left"/>
              <w:rPr>
                <w:rFonts w:eastAsia="Calibri"/>
                <w:sz w:val="18"/>
                <w:szCs w:val="18"/>
              </w:rPr>
            </w:pPr>
            <w:r w:rsidRPr="001570EA">
              <w:rPr>
                <w:sz w:val="18"/>
                <w:szCs w:val="18"/>
              </w:rPr>
              <w:t>18</w:t>
            </w:r>
          </w:p>
        </w:tc>
        <w:tc>
          <w:tcPr>
            <w:tcW w:w="1999" w:type="dxa"/>
            <w:vAlign w:val="center"/>
          </w:tcPr>
          <w:p w14:paraId="0E22A92F" w14:textId="77777777" w:rsidR="004E6452" w:rsidRPr="001570EA" w:rsidRDefault="004E6452">
            <w:pPr>
              <w:pStyle w:val="source10"/>
              <w:tabs>
                <w:tab w:val="decimal" w:pos="811"/>
              </w:tabs>
              <w:spacing w:after="120" w:line="264" w:lineRule="auto"/>
              <w:jc w:val="left"/>
              <w:rPr>
                <w:rFonts w:eastAsia="Calibri"/>
                <w:sz w:val="18"/>
                <w:szCs w:val="18"/>
              </w:rPr>
            </w:pPr>
            <w:r w:rsidRPr="001570EA">
              <w:rPr>
                <w:rFonts w:eastAsia="Calibri"/>
                <w:sz w:val="18"/>
                <w:szCs w:val="18"/>
              </w:rPr>
              <w:t>3.6%</w:t>
            </w:r>
          </w:p>
        </w:tc>
        <w:tc>
          <w:tcPr>
            <w:tcW w:w="1552" w:type="dxa"/>
          </w:tcPr>
          <w:p w14:paraId="62C13575" w14:textId="77777777" w:rsidR="004E6452" w:rsidRPr="001570EA" w:rsidRDefault="004E6452">
            <w:pPr>
              <w:pStyle w:val="source10"/>
              <w:spacing w:after="120" w:line="264" w:lineRule="auto"/>
              <w:ind w:right="450"/>
              <w:jc w:val="right"/>
              <w:rPr>
                <w:rFonts w:eastAsia="Calibri"/>
                <w:sz w:val="18"/>
                <w:szCs w:val="18"/>
              </w:rPr>
            </w:pPr>
            <w:r w:rsidRPr="001570EA">
              <w:t>223</w:t>
            </w:r>
          </w:p>
        </w:tc>
        <w:tc>
          <w:tcPr>
            <w:tcW w:w="1553" w:type="dxa"/>
            <w:vAlign w:val="center"/>
          </w:tcPr>
          <w:p w14:paraId="292CAAFD" w14:textId="77777777" w:rsidR="004E6452" w:rsidRPr="001570EA" w:rsidRDefault="004E6452">
            <w:pPr>
              <w:pStyle w:val="source10"/>
              <w:tabs>
                <w:tab w:val="decimal" w:pos="586"/>
              </w:tabs>
              <w:spacing w:after="120" w:line="264" w:lineRule="auto"/>
              <w:jc w:val="left"/>
              <w:rPr>
                <w:rFonts w:eastAsia="Calibri"/>
                <w:sz w:val="18"/>
                <w:szCs w:val="18"/>
              </w:rPr>
            </w:pPr>
            <w:r w:rsidRPr="001570EA">
              <w:rPr>
                <w:rFonts w:eastAsia="Calibri"/>
                <w:sz w:val="18"/>
                <w:szCs w:val="18"/>
              </w:rPr>
              <w:t>8.2</w:t>
            </w:r>
          </w:p>
        </w:tc>
        <w:tc>
          <w:tcPr>
            <w:tcW w:w="1552" w:type="dxa"/>
          </w:tcPr>
          <w:p w14:paraId="31A86B73" w14:textId="77777777" w:rsidR="004E6452" w:rsidRPr="001570EA" w:rsidRDefault="004E6452">
            <w:pPr>
              <w:pStyle w:val="source10"/>
              <w:tabs>
                <w:tab w:val="decimal" w:pos="661"/>
              </w:tabs>
              <w:spacing w:after="120" w:line="264" w:lineRule="auto"/>
              <w:jc w:val="left"/>
              <w:rPr>
                <w:rFonts w:eastAsia="Calibri"/>
                <w:sz w:val="18"/>
                <w:szCs w:val="18"/>
              </w:rPr>
            </w:pPr>
            <w:r w:rsidRPr="001570EA">
              <w:t>8.2</w:t>
            </w:r>
          </w:p>
        </w:tc>
        <w:tc>
          <w:tcPr>
            <w:tcW w:w="1553" w:type="dxa"/>
          </w:tcPr>
          <w:p w14:paraId="252EF5D1" w14:textId="77777777" w:rsidR="004E6452" w:rsidRPr="001570EA" w:rsidRDefault="004E6452">
            <w:pPr>
              <w:pStyle w:val="source10"/>
              <w:tabs>
                <w:tab w:val="decimal" w:pos="721"/>
              </w:tabs>
              <w:spacing w:after="120" w:line="264" w:lineRule="auto"/>
              <w:jc w:val="left"/>
              <w:rPr>
                <w:rFonts w:eastAsia="Calibri"/>
                <w:sz w:val="18"/>
                <w:szCs w:val="18"/>
              </w:rPr>
            </w:pPr>
            <w:r w:rsidRPr="001570EA">
              <w:t>–</w:t>
            </w:r>
          </w:p>
        </w:tc>
      </w:tr>
    </w:tbl>
    <w:p w14:paraId="2E93E12E" w14:textId="77777777" w:rsidR="004E6452" w:rsidRPr="001570EA" w:rsidRDefault="004E6452" w:rsidP="004E6452"/>
    <w:p w14:paraId="7A3275ED" w14:textId="77777777" w:rsidR="004E6452" w:rsidRPr="001570EA" w:rsidRDefault="004E6452" w:rsidP="004E6452">
      <w:pPr>
        <w:pStyle w:val="SubStyle"/>
      </w:pPr>
      <w:r w:rsidRPr="001570EA">
        <w:t>Measure Life</w:t>
      </w:r>
    </w:p>
    <w:p w14:paraId="7CE30B97" w14:textId="77777777" w:rsidR="004E6452" w:rsidRPr="001570EA" w:rsidRDefault="004E6452" w:rsidP="004E6452">
      <w:r w:rsidRPr="001570EA">
        <w:t xml:space="preserve">The measure lives for refrigerators and freezers recycled without replacement are 5 years and 4 years, respectively, from the California </w:t>
      </w:r>
      <w:r w:rsidRPr="001570EA">
        <w:rPr>
          <w:rFonts w:cs="Arial"/>
          <w:color w:val="000000"/>
        </w:rPr>
        <w:t>Electronic Technical Reference Manual</w:t>
      </w:r>
      <w:r w:rsidRPr="001570EA">
        <w:t>. These values represent 1/3 of the EUL of a new refrigerator or freezer.</w:t>
      </w:r>
    </w:p>
    <w:p w14:paraId="2D40A1DC" w14:textId="77777777" w:rsidR="004E6452" w:rsidRPr="001570EA" w:rsidRDefault="004E6452" w:rsidP="004E6452"/>
    <w:p w14:paraId="238E2E18" w14:textId="77777777" w:rsidR="004E6452" w:rsidRPr="001570EA" w:rsidRDefault="004E6452" w:rsidP="004E6452">
      <w:pPr>
        <w:pStyle w:val="SubStyle"/>
      </w:pPr>
      <w:r w:rsidRPr="001570EA">
        <w:t>Evaluation Protocols</w:t>
      </w:r>
    </w:p>
    <w:p w14:paraId="208B18E6" w14:textId="77777777" w:rsidR="004E6452" w:rsidRPr="001570EA" w:rsidRDefault="004E6452" w:rsidP="004E6452">
      <w:pPr>
        <w:pStyle w:val="BodyText"/>
        <w:ind w:right="0"/>
        <w:rPr>
          <w:rFonts w:cs="Arial"/>
        </w:rPr>
      </w:pPr>
      <w:r w:rsidRPr="001570EA">
        <w:t>For most projects, the appropriate evaluation protocol is to verify installation and proper selection of default values. For projects using customer-specific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134702A7" w14:textId="77777777" w:rsidR="004E6452" w:rsidRPr="001570EA" w:rsidRDefault="004E6452" w:rsidP="004E6452"/>
    <w:p w14:paraId="263D8501" w14:textId="77777777" w:rsidR="004E6452" w:rsidRPr="001570EA" w:rsidRDefault="004E6452" w:rsidP="004E6452">
      <w:pPr>
        <w:pStyle w:val="SubStyle"/>
      </w:pPr>
      <w:r w:rsidRPr="001570EA">
        <w:t>Sources</w:t>
      </w:r>
    </w:p>
    <w:p w14:paraId="21244404" w14:textId="0210CC33" w:rsidR="004E6452" w:rsidRPr="001570EA" w:rsidRDefault="004E6452" w:rsidP="006D787B">
      <w:pPr>
        <w:pStyle w:val="ListParagraph"/>
        <w:numPr>
          <w:ilvl w:val="0"/>
          <w:numId w:val="66"/>
        </w:numPr>
        <w:overflowPunct/>
        <w:autoSpaceDE/>
        <w:autoSpaceDN/>
        <w:adjustRightInd/>
        <w:spacing w:after="120"/>
        <w:ind w:left="360"/>
        <w:textAlignment w:val="auto"/>
        <w:rPr>
          <w:rFonts w:eastAsiaTheme="minorHAnsi" w:cs="Arial"/>
        </w:rPr>
      </w:pPr>
      <w:r w:rsidRPr="001570EA">
        <w:rPr>
          <w:rFonts w:cs="Arial"/>
          <w:color w:val="000000"/>
        </w:rPr>
        <w:t xml:space="preserve">California Electronic Technical Reference Manual. “Refrigerator or Freezer, Residential”. Accessed December 2023. </w:t>
      </w:r>
      <w:hyperlink r:id="rId235" w:history="1">
        <w:r w:rsidRPr="001570EA">
          <w:rPr>
            <w:rStyle w:val="Hyperlink"/>
            <w:rFonts w:cs="Arial"/>
          </w:rPr>
          <w:t>Weblink</w:t>
        </w:r>
      </w:hyperlink>
    </w:p>
    <w:p w14:paraId="07522054" w14:textId="77777777" w:rsidR="004E6452" w:rsidRPr="001570EA" w:rsidRDefault="004E6452" w:rsidP="006D787B">
      <w:pPr>
        <w:pStyle w:val="ListParagraph"/>
        <w:numPr>
          <w:ilvl w:val="0"/>
          <w:numId w:val="66"/>
        </w:numPr>
        <w:overflowPunct/>
        <w:autoSpaceDE/>
        <w:autoSpaceDN/>
        <w:adjustRightInd/>
        <w:spacing w:after="120"/>
        <w:ind w:left="360"/>
        <w:textAlignment w:val="auto"/>
      </w:pPr>
      <w:r w:rsidRPr="001570EA">
        <w:t>Based on a Cadmus survey of 510 PPL participants in PY8.</w:t>
      </w:r>
    </w:p>
    <w:p w14:paraId="74AEE5F1" w14:textId="415790C9" w:rsidR="004E6452" w:rsidRPr="001570EA" w:rsidRDefault="004E6452" w:rsidP="006D787B">
      <w:pPr>
        <w:pStyle w:val="ListParagraph"/>
        <w:numPr>
          <w:ilvl w:val="0"/>
          <w:numId w:val="66"/>
        </w:numPr>
        <w:overflowPunct/>
        <w:autoSpaceDE/>
        <w:autoSpaceDN/>
        <w:adjustRightInd/>
        <w:spacing w:after="120"/>
        <w:ind w:left="360"/>
        <w:textAlignment w:val="auto"/>
      </w:pPr>
      <w:r w:rsidRPr="001570EA">
        <w:t xml:space="preserve">Keeling, J., Bruchs, D. (2017). "Chapter 7: Refrigerator Recycling Evaluation Protocol. The Uniform Methods Project: Methods for Determining Energy-Efficiency Savings for Specific Measures". Section 4.4. National Renewable Energy Laboratory. </w:t>
      </w:r>
      <w:hyperlink r:id="rId236" w:history="1">
        <w:r w:rsidRPr="001570EA">
          <w:rPr>
            <w:rStyle w:val="Hyperlink"/>
            <w:rFonts w:cs="Arial"/>
          </w:rPr>
          <w:t>Weblink</w:t>
        </w:r>
      </w:hyperlink>
      <w:r w:rsidRPr="001570EA">
        <w:t xml:space="preserve"> </w:t>
      </w:r>
    </w:p>
    <w:p w14:paraId="74B84DED" w14:textId="3D36F6C4" w:rsidR="004E6452" w:rsidRPr="001570EA" w:rsidRDefault="004E6452" w:rsidP="006D787B">
      <w:pPr>
        <w:pStyle w:val="source10"/>
        <w:numPr>
          <w:ilvl w:val="0"/>
          <w:numId w:val="66"/>
        </w:numPr>
        <w:spacing w:after="120"/>
        <w:ind w:left="360"/>
      </w:pPr>
      <w:r w:rsidRPr="001570EA">
        <w:t xml:space="preserve">Wilson et al. 2021. End-Use Load Profiles for the U.S. Building Stock: Methodology and Results of Model Calibration, Validation, and Uncertainty Quantification. NREL/TP-5500-80889. </w:t>
      </w:r>
      <w:hyperlink r:id="rId237" w:history="1">
        <w:r w:rsidRPr="001570EA">
          <w:rPr>
            <w:rStyle w:val="Hyperlink"/>
            <w:rFonts w:cs="Arial"/>
          </w:rPr>
          <w:t>Weblink</w:t>
        </w:r>
      </w:hyperlink>
    </w:p>
    <w:p w14:paraId="5D927535" w14:textId="6D43FFC9" w:rsidR="004E6452" w:rsidRPr="001570EA" w:rsidRDefault="004E6452" w:rsidP="006D787B">
      <w:pPr>
        <w:pStyle w:val="source10"/>
        <w:numPr>
          <w:ilvl w:val="0"/>
          <w:numId w:val="66"/>
        </w:numPr>
        <w:spacing w:after="120"/>
        <w:ind w:left="360"/>
      </w:pPr>
      <w:r w:rsidRPr="001570EA">
        <w:t xml:space="preserve">Greenblatt, J., Hopkins, A., Letschert, V., and Blasnik, M. (2012, April). “Energy use of US residential refrigerators and freezers: function derivation based on household and climate characteristics”. Lawrence Berkeley National Lab. </w:t>
      </w:r>
      <w:hyperlink r:id="rId238" w:history="1">
        <w:r w:rsidRPr="001570EA">
          <w:rPr>
            <w:rStyle w:val="Hyperlink"/>
            <w:rFonts w:cs="Arial"/>
          </w:rPr>
          <w:t>Weblink</w:t>
        </w:r>
      </w:hyperlink>
      <w:r w:rsidRPr="001570EA">
        <w:t xml:space="preserve"> </w:t>
      </w:r>
    </w:p>
    <w:p w14:paraId="56A752B0" w14:textId="1B009009" w:rsidR="004E6452" w:rsidRPr="001570EA" w:rsidRDefault="004E6452" w:rsidP="006D787B">
      <w:pPr>
        <w:pStyle w:val="ListParagraph"/>
        <w:numPr>
          <w:ilvl w:val="0"/>
          <w:numId w:val="66"/>
        </w:numPr>
        <w:overflowPunct/>
        <w:autoSpaceDE/>
        <w:autoSpaceDN/>
        <w:adjustRightInd/>
        <w:spacing w:after="120"/>
        <w:ind w:left="360"/>
        <w:jc w:val="left"/>
        <w:textAlignment w:val="auto"/>
      </w:pPr>
      <w:r w:rsidRPr="001570EA">
        <w:t xml:space="preserve">U.S. Department of Energy Compliance Certification Database. Accessed October 2021. </w:t>
      </w:r>
      <w:hyperlink r:id="rId239" w:anchor="fq=Total_Adjusted_Volume__Cubic_Feet__d%3A[0.1%20TO%2010]&amp;q=Product_Group_s%3A%22Refrigerators%2C%20Refrigerator-Freezers%2C%20and%20Freezers%22" w:history="1">
        <w:r w:rsidRPr="001570EA">
          <w:rPr>
            <w:rStyle w:val="Hyperlink"/>
          </w:rPr>
          <w:t>Weblink</w:t>
        </w:r>
      </w:hyperlink>
    </w:p>
    <w:p w14:paraId="6C1BFB02" w14:textId="15032396" w:rsidR="004E6452" w:rsidRPr="001570EA" w:rsidRDefault="004E6452" w:rsidP="006D787B">
      <w:pPr>
        <w:pStyle w:val="ListParagraph"/>
        <w:numPr>
          <w:ilvl w:val="0"/>
          <w:numId w:val="66"/>
        </w:numPr>
        <w:overflowPunct/>
        <w:autoSpaceDE/>
        <w:autoSpaceDN/>
        <w:adjustRightInd/>
        <w:spacing w:after="120"/>
        <w:ind w:left="360"/>
        <w:jc w:val="left"/>
        <w:textAlignment w:val="auto"/>
      </w:pPr>
      <w:r w:rsidRPr="001570EA">
        <w:rPr>
          <w:rFonts w:cs="Arial"/>
          <w:color w:val="000000"/>
        </w:rPr>
        <w:t xml:space="preserve">ENERGY STAR-certified refrigerators. Accessed November 2021. </w:t>
      </w:r>
      <w:hyperlink r:id="rId240" w:history="1">
        <w:r w:rsidRPr="001570EA">
          <w:rPr>
            <w:rStyle w:val="Hyperlink"/>
            <w:rFonts w:cs="Arial"/>
          </w:rPr>
          <w:t>Weblink</w:t>
        </w:r>
      </w:hyperlink>
      <w:r w:rsidRPr="001570EA">
        <w:t xml:space="preserve"> </w:t>
      </w:r>
    </w:p>
    <w:p w14:paraId="08796A1A" w14:textId="1BF7DB26" w:rsidR="004E6452" w:rsidRPr="001570EA" w:rsidRDefault="004E6452" w:rsidP="006D787B">
      <w:pPr>
        <w:pStyle w:val="ListParagraph"/>
        <w:numPr>
          <w:ilvl w:val="0"/>
          <w:numId w:val="66"/>
        </w:numPr>
        <w:overflowPunct/>
        <w:autoSpaceDE/>
        <w:autoSpaceDN/>
        <w:adjustRightInd/>
        <w:spacing w:after="120"/>
        <w:ind w:left="360"/>
        <w:jc w:val="left"/>
        <w:textAlignment w:val="auto"/>
      </w:pPr>
      <w:r w:rsidRPr="001570EA">
        <w:rPr>
          <w:rFonts w:cs="Arial"/>
          <w:color w:val="000000"/>
        </w:rPr>
        <w:t xml:space="preserve">ENERGY STAR-certified freezers. Accessed November 2011. </w:t>
      </w:r>
      <w:hyperlink r:id="rId241" w:history="1">
        <w:r w:rsidRPr="001570EA">
          <w:rPr>
            <w:rStyle w:val="Hyperlink"/>
            <w:rFonts w:cs="Arial"/>
          </w:rPr>
          <w:t>Weblink</w:t>
        </w:r>
      </w:hyperlink>
    </w:p>
    <w:p w14:paraId="34E809FD" w14:textId="5DB78D6F" w:rsidR="009939AF" w:rsidRPr="001570EA" w:rsidRDefault="009939AF">
      <w:pPr>
        <w:jc w:val="left"/>
      </w:pPr>
      <w:r w:rsidRPr="001570EA">
        <w:br w:type="page"/>
      </w:r>
    </w:p>
    <w:p w14:paraId="44D3FEA2" w14:textId="77777777" w:rsidR="004E6452" w:rsidRPr="001570EA" w:rsidRDefault="004E6452" w:rsidP="00462D97">
      <w:pPr>
        <w:pStyle w:val="Heading3"/>
      </w:pPr>
      <w:bookmarkStart w:id="574" w:name="_Toc164786664"/>
      <w:r w:rsidRPr="001570EA">
        <w:t>ENERGY STAR Coolers</w:t>
      </w:r>
      <w:bookmarkEnd w:id="574"/>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8"/>
        <w:gridCol w:w="4964"/>
      </w:tblGrid>
      <w:tr w:rsidR="004E6452" w:rsidRPr="001570EA" w14:paraId="4E291BFA"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13DC70E2" w14:textId="77777777" w:rsidR="004E6452" w:rsidRPr="001570EA" w:rsidRDefault="004E6452">
            <w:pPr>
              <w:pStyle w:val="TableCell"/>
              <w:spacing w:before="60" w:after="60"/>
              <w:rPr>
                <w:b/>
                <w:bCs/>
                <w:color w:val="000000"/>
              </w:rPr>
            </w:pPr>
            <w:r w:rsidRPr="001570EA">
              <w:rPr>
                <w:b/>
                <w:bCs/>
                <w:color w:val="000000"/>
              </w:rPr>
              <w:t>Target Sector</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AE35463" w14:textId="77777777" w:rsidR="004E6452" w:rsidRPr="001570EA" w:rsidRDefault="004E6452">
            <w:pPr>
              <w:pStyle w:val="TableCell"/>
              <w:spacing w:before="60" w:after="60"/>
              <w:jc w:val="center"/>
              <w:rPr>
                <w:color w:val="000000"/>
              </w:rPr>
            </w:pPr>
            <w:r w:rsidRPr="001570EA">
              <w:rPr>
                <w:color w:val="000000"/>
              </w:rPr>
              <w:t>Residential</w:t>
            </w:r>
          </w:p>
        </w:tc>
      </w:tr>
      <w:tr w:rsidR="004E6452" w:rsidRPr="001570EA" w14:paraId="4F728E25"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1A2320A3" w14:textId="77777777" w:rsidR="004E6452" w:rsidRPr="001570EA" w:rsidRDefault="004E6452">
            <w:pPr>
              <w:pStyle w:val="TableCell"/>
              <w:spacing w:before="60" w:after="60"/>
              <w:rPr>
                <w:b/>
                <w:bCs/>
                <w:color w:val="000000"/>
              </w:rPr>
            </w:pPr>
            <w:r w:rsidRPr="001570EA">
              <w:rPr>
                <w:b/>
                <w:bCs/>
                <w:color w:val="000000"/>
              </w:rPr>
              <w:t>Measure Unit</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50A7C662" w14:textId="77777777" w:rsidR="004E6452" w:rsidRPr="001570EA" w:rsidRDefault="004E6452">
            <w:pPr>
              <w:pStyle w:val="TableCell"/>
              <w:spacing w:before="60" w:after="60"/>
              <w:jc w:val="center"/>
              <w:rPr>
                <w:color w:val="000000"/>
              </w:rPr>
            </w:pPr>
            <w:r w:rsidRPr="001570EA">
              <w:rPr>
                <w:color w:val="000000"/>
              </w:rPr>
              <w:t>Cooler</w:t>
            </w:r>
          </w:p>
        </w:tc>
      </w:tr>
      <w:tr w:rsidR="004E6452" w:rsidRPr="001570EA" w14:paraId="762FC63E"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78C3F489" w14:textId="77777777" w:rsidR="004E6452" w:rsidRPr="001570EA" w:rsidRDefault="004E6452">
            <w:pPr>
              <w:pStyle w:val="TableCell"/>
              <w:spacing w:before="60" w:after="60"/>
              <w:rPr>
                <w:b/>
                <w:bCs/>
                <w:color w:val="000000"/>
              </w:rPr>
            </w:pPr>
            <w:r w:rsidRPr="001570EA">
              <w:rPr>
                <w:b/>
                <w:bCs/>
                <w:color w:val="000000"/>
              </w:rPr>
              <w:t>Measure Life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10891678" w14:textId="77777777" w:rsidR="004E6452" w:rsidRPr="001570EA" w:rsidRDefault="004E6452">
            <w:pPr>
              <w:pStyle w:val="TableCell"/>
              <w:spacing w:before="60" w:after="60"/>
              <w:jc w:val="center"/>
              <w:rPr>
                <w:color w:val="000000"/>
                <w:vertAlign w:val="superscript"/>
              </w:rPr>
            </w:pPr>
            <w:r w:rsidRPr="001570EA">
              <w:rPr>
                <w:color w:val="000000"/>
              </w:rPr>
              <w:t>14 years</w:t>
            </w:r>
            <w:r w:rsidRPr="001570EA">
              <w:rPr>
                <w:color w:val="000000"/>
                <w:vertAlign w:val="superscript"/>
              </w:rPr>
              <w:t>Source 1</w:t>
            </w:r>
          </w:p>
        </w:tc>
      </w:tr>
      <w:tr w:rsidR="004E6452" w:rsidRPr="001570EA" w14:paraId="3656B0D3"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21D531C2" w14:textId="77777777" w:rsidR="004E6452" w:rsidRPr="001570EA" w:rsidRDefault="004E6452">
            <w:pPr>
              <w:pStyle w:val="TableCell"/>
              <w:spacing w:before="60" w:after="60"/>
              <w:jc w:val="left"/>
              <w:rPr>
                <w:b/>
                <w:bCs/>
                <w:color w:val="000000"/>
              </w:rPr>
            </w:pPr>
            <w:r w:rsidRPr="001570EA">
              <w:rPr>
                <w:b/>
                <w:bCs/>
                <w:color w:val="000000"/>
              </w:rPr>
              <w:t>Vintage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AE2B56C" w14:textId="77777777" w:rsidR="004E6452" w:rsidRPr="001570EA" w:rsidRDefault="004E6452">
            <w:pPr>
              <w:pStyle w:val="TableCell"/>
              <w:spacing w:before="60" w:after="60"/>
              <w:jc w:val="center"/>
              <w:rPr>
                <w:color w:val="000000"/>
              </w:rPr>
            </w:pPr>
            <w:r w:rsidRPr="001570EA">
              <w:rPr>
                <w:color w:val="000000"/>
              </w:rPr>
              <w:t>Replace on Burnout</w:t>
            </w:r>
          </w:p>
        </w:tc>
      </w:tr>
    </w:tbl>
    <w:p w14:paraId="36CA5828" w14:textId="77777777" w:rsidR="004E6452" w:rsidRPr="001570EA" w:rsidRDefault="004E6452" w:rsidP="004E6452"/>
    <w:p w14:paraId="0BA4D7A4" w14:textId="77777777" w:rsidR="004E6452" w:rsidRPr="001570EA" w:rsidRDefault="004E6452" w:rsidP="004E6452">
      <w:pPr>
        <w:pStyle w:val="SubStyle"/>
      </w:pPr>
      <w:r w:rsidRPr="001570EA">
        <w:t>Eligibility</w:t>
      </w:r>
    </w:p>
    <w:p w14:paraId="4DF171A3" w14:textId="0215D8C8" w:rsidR="004E6452" w:rsidRPr="001570EA" w:rsidRDefault="004E6452" w:rsidP="004E6452">
      <w:r w:rsidRPr="001570EA">
        <w:t>This measure is for the purchase and installation of a new cooler meeting ENERGY STAR or ENERGY STAR Most Efficient criteria. An ENERGY STAR cooler is 10</w:t>
      </w:r>
      <w:r w:rsidR="004A5BAC" w:rsidRPr="001570EA">
        <w:rPr>
          <w:rFonts w:cs="Arial"/>
        </w:rPr>
        <w:t xml:space="preserve">% - 30% </w:t>
      </w:r>
      <w:r w:rsidRPr="001570EA">
        <w:t xml:space="preserve">more efficient than the minimum federal government standard. Coolers are sometimes called beverage coolers, beverage refrigerators, wine chillers or wine fridges. They typically have glass </w:t>
      </w:r>
      <w:r w:rsidR="004A5BAC" w:rsidRPr="001570EA">
        <w:t>fronts and</w:t>
      </w:r>
      <w:r w:rsidRPr="001570EA">
        <w:t xml:space="preserve"> operate at higher temperatures than refrigerators. There is currently no ENERGY STAR standard for refrigerator or freezer combination coolers.</w:t>
      </w:r>
    </w:p>
    <w:p w14:paraId="42A169DC" w14:textId="77777777" w:rsidR="004E6452" w:rsidRPr="001570EA" w:rsidRDefault="004E6452" w:rsidP="004E6452"/>
    <w:p w14:paraId="4566E920" w14:textId="77777777" w:rsidR="004E6452" w:rsidRPr="001570EA" w:rsidRDefault="004E6452" w:rsidP="004E6452">
      <w:pPr>
        <w:pStyle w:val="SubStyle"/>
      </w:pPr>
      <w:r w:rsidRPr="001570EA">
        <w:t>Algorithms</w:t>
      </w:r>
    </w:p>
    <w:p w14:paraId="180A400D" w14:textId="77777777" w:rsidR="004E6452" w:rsidRPr="001570EA" w:rsidRDefault="004E6452" w:rsidP="004E6452">
      <w:r w:rsidRPr="001570EA">
        <w:t>To determine resource savings, the per-unit estimates in the algorithms will be multiplied by the number of coolers. The number of coolers will be determined using market assessments and market tracking.</w:t>
      </w:r>
    </w:p>
    <w:p w14:paraId="5C47FAE1" w14:textId="77777777" w:rsidR="004E6452" w:rsidRPr="001570EA" w:rsidRDefault="004E6452" w:rsidP="004E6452"/>
    <w:p w14:paraId="50706081" w14:textId="12A2E456" w:rsidR="004E6452" w:rsidRPr="001570EA" w:rsidRDefault="004E6452" w:rsidP="004E6452">
      <w:r w:rsidRPr="001570EA">
        <w:t>If the volume and configuration of a cooler is known, the baseline model’s annual energy consumption (kWh</w:t>
      </w:r>
      <w:r w:rsidRPr="001570EA">
        <w:rPr>
          <w:vertAlign w:val="subscript"/>
        </w:rPr>
        <w:t>base</w:t>
      </w:r>
      <w:r w:rsidRPr="001570EA">
        <w:t>) may be determined using</w:t>
      </w:r>
      <w:r w:rsidR="003D306E" w:rsidRPr="001570EA">
        <w:t xml:space="preserve"> </w:t>
      </w:r>
      <w:r w:rsidR="003D306E" w:rsidRPr="001570EA">
        <w:fldChar w:fldCharType="begin"/>
      </w:r>
      <w:r w:rsidR="003D306E" w:rsidRPr="001570EA">
        <w:instrText xml:space="preserve"> REF _Ref163828805 \h </w:instrText>
      </w:r>
      <w:r w:rsidR="001570EA">
        <w:instrText xml:space="preserve"> \* MERGEFORMAT </w:instrText>
      </w:r>
      <w:r w:rsidR="003D306E" w:rsidRPr="001570EA">
        <w:fldChar w:fldCharType="separate"/>
      </w:r>
      <w:r w:rsidR="00234C6C" w:rsidRPr="001570EA">
        <w:t xml:space="preserve">Table </w:t>
      </w:r>
      <w:r w:rsidR="00234C6C" w:rsidRPr="001570EA">
        <w:rPr>
          <w:noProof/>
        </w:rPr>
        <w:t>2</w:t>
      </w:r>
      <w:r w:rsidR="003D306E" w:rsidRPr="001570EA">
        <w:fldChar w:fldCharType="end"/>
      </w:r>
      <w:r w:rsidRPr="001570EA">
        <w:t>.</w:t>
      </w:r>
    </w:p>
    <w:p w14:paraId="02331BBE" w14:textId="77777777" w:rsidR="004E6452" w:rsidRPr="001570EA" w:rsidRDefault="004E6452" w:rsidP="004E6452"/>
    <w:p w14:paraId="3F48DD48" w14:textId="77777777" w:rsidR="001723B1" w:rsidRDefault="004E6452" w:rsidP="00A468BB">
      <w:pPr>
        <w:pStyle w:val="NoSpacing"/>
      </w:pPr>
      <w:r w:rsidRPr="001570EA">
        <w:rPr>
          <w:rFonts w:cs="Arial"/>
          <w:szCs w:val="20"/>
        </w:rPr>
        <w:t>The efficient model’s annual energy consumption (</w:t>
      </w:r>
      <w:r w:rsidRPr="001570EA">
        <w:rPr>
          <w:rFonts w:cs="Arial"/>
          <w:iCs/>
          <w:szCs w:val="20"/>
        </w:rPr>
        <w:t>kWh</w:t>
      </w:r>
      <w:r w:rsidRPr="001570EA">
        <w:rPr>
          <w:rFonts w:cs="Arial"/>
          <w:iCs/>
          <w:szCs w:val="20"/>
          <w:vertAlign w:val="subscript"/>
        </w:rPr>
        <w:t>ee</w:t>
      </w:r>
      <w:r w:rsidRPr="001570EA">
        <w:rPr>
          <w:rFonts w:cs="Arial"/>
          <w:szCs w:val="20"/>
        </w:rPr>
        <w:t xml:space="preserve">) may be determined using manufacturers’ test data for the given model. Where test data is not available the algorithms in </w:t>
      </w:r>
      <w:r w:rsidR="004A5BAC" w:rsidRPr="001570EA">
        <w:rPr>
          <w:rFonts w:cs="Arial"/>
          <w:szCs w:val="20"/>
        </w:rPr>
        <w:fldChar w:fldCharType="begin"/>
      </w:r>
      <w:r w:rsidR="004A5BAC" w:rsidRPr="001570EA">
        <w:rPr>
          <w:rFonts w:cs="Arial"/>
          <w:szCs w:val="20"/>
        </w:rPr>
        <w:instrText xml:space="preserve"> REF _Ref163828805 \h </w:instrText>
      </w:r>
      <w:r w:rsidR="001570EA">
        <w:rPr>
          <w:rFonts w:cs="Arial"/>
          <w:szCs w:val="20"/>
        </w:rPr>
        <w:instrText xml:space="preserve"> \* MERGEFORMAT </w:instrText>
      </w:r>
      <w:r w:rsidR="004A5BAC" w:rsidRPr="001570EA">
        <w:rPr>
          <w:rFonts w:cs="Arial"/>
          <w:szCs w:val="20"/>
        </w:rPr>
      </w:r>
      <w:r w:rsidR="004A5BAC" w:rsidRPr="001570EA">
        <w:rPr>
          <w:rFonts w:cs="Arial"/>
          <w:szCs w:val="20"/>
        </w:rPr>
        <w:fldChar w:fldCharType="separate"/>
      </w:r>
    </w:p>
    <w:p w14:paraId="7DBC0A8E" w14:textId="338E48C4" w:rsidR="004E6452" w:rsidRPr="001570EA" w:rsidRDefault="001723B1" w:rsidP="004E6452">
      <w:pPr>
        <w:pStyle w:val="NoSpacing"/>
        <w:rPr>
          <w:rFonts w:cs="Arial"/>
          <w:szCs w:val="20"/>
        </w:rPr>
      </w:pPr>
      <w:r w:rsidRPr="001570EA">
        <w:t>Table</w:t>
      </w:r>
      <w:r w:rsidRPr="001570EA">
        <w:rPr>
          <w:noProof/>
        </w:rPr>
        <w:t xml:space="preserve"> 2</w:t>
      </w:r>
      <w:r w:rsidRPr="001570EA">
        <w:noBreakHyphen/>
      </w:r>
      <w:r w:rsidRPr="001570EA">
        <w:rPr>
          <w:noProof/>
        </w:rPr>
        <w:t>98</w:t>
      </w:r>
      <w:r w:rsidR="004A5BAC" w:rsidRPr="001570EA">
        <w:rPr>
          <w:rFonts w:cs="Arial"/>
          <w:szCs w:val="20"/>
        </w:rPr>
        <w:fldChar w:fldCharType="end"/>
      </w:r>
      <w:r w:rsidR="004E6452" w:rsidRPr="001570EA">
        <w:rPr>
          <w:rFonts w:cs="Arial"/>
          <w:szCs w:val="20"/>
        </w:rPr>
        <w:t xml:space="preserve"> for “ENERGY STAR maximum energy usage in kWh/year” may be used to determine the efficient energy consumption for a conservative savings estimate.</w:t>
      </w:r>
    </w:p>
    <w:p w14:paraId="31EDF52E" w14:textId="77777777" w:rsidR="004E6452" w:rsidRPr="001570EA" w:rsidRDefault="004E6452" w:rsidP="004E6452">
      <w:pPr>
        <w:pStyle w:val="NoSpacing"/>
        <w:rPr>
          <w:b/>
        </w:rPr>
      </w:pPr>
      <w:r w:rsidRPr="001570EA">
        <w:rPr>
          <w:b/>
        </w:rPr>
        <w:t>ENERGY STAR Cooler</w:t>
      </w:r>
    </w:p>
    <w:p w14:paraId="10E3BF67" w14:textId="36E8DB55" w:rsidR="004E6452" w:rsidRPr="001570EA" w:rsidRDefault="004E6452" w:rsidP="004E6452">
      <w:pPr>
        <w:pStyle w:val="NoSpacing"/>
        <w:spacing w:line="360" w:lineRule="auto"/>
        <w:rPr>
          <w:rFonts w:cs="Arial"/>
          <w:i/>
          <w:szCs w:val="20"/>
          <w:vertAlign w:val="subscript"/>
        </w:rPr>
      </w:pPr>
      <w:r w:rsidRPr="001570EA">
        <w:rPr>
          <w:rFonts w:cs="Arial"/>
          <w:i/>
          <w:szCs w:val="20"/>
        </w:rPr>
        <w:t>ΔkWh</w:t>
      </w:r>
      <w:r w:rsidRPr="001570EA">
        <w:rPr>
          <w:rFonts w:cs="Arial"/>
          <w:i/>
          <w:szCs w:val="20"/>
        </w:rPr>
        <w:tab/>
      </w:r>
      <w:r w:rsidR="00D81BE1">
        <w:rPr>
          <w:rFonts w:cs="Arial"/>
          <w:i/>
          <w:szCs w:val="20"/>
        </w:rPr>
        <w:tab/>
      </w:r>
      <w:r w:rsidRPr="001570EA">
        <w:rPr>
          <w:rFonts w:cs="Arial"/>
          <w:i/>
          <w:szCs w:val="20"/>
        </w:rPr>
        <w:tab/>
      </w:r>
      <m:oMath>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kWh</m:t>
            </m:r>
            <m:r>
              <w:rPr>
                <w:rFonts w:ascii="Cambria Math" w:hAnsi="Cambria Math" w:cs="Arial"/>
                <w:szCs w:val="20"/>
                <w:vertAlign w:val="subscript"/>
              </w:rPr>
              <m:t xml:space="preserve"> </m:t>
            </m:r>
          </m:e>
          <m:sub>
            <m:r>
              <w:rPr>
                <w:rFonts w:ascii="Cambria Math" w:hAnsi="Cambria Math" w:cs="Arial"/>
                <w:szCs w:val="20"/>
              </w:rPr>
              <m:t>base</m:t>
            </m:r>
          </m:sub>
        </m:sSub>
        <m:r>
          <w:rPr>
            <w:rFonts w:ascii="Cambria Math" w:hAnsi="Cambria Math" w:cs="Arial"/>
            <w:szCs w:val="20"/>
            <w:vertAlign w:val="subscript"/>
          </w:rPr>
          <m:t xml:space="preserve"> </m:t>
        </m:r>
        <m:r>
          <w:rPr>
            <w:rFonts w:ascii="Cambria Math" w:hAnsi="Cambria Math" w:cs="Arial"/>
            <w:szCs w:val="20"/>
          </w:rPr>
          <m:t xml:space="preserve">–  </m:t>
        </m:r>
        <m:sSub>
          <m:sSubPr>
            <m:ctrlPr>
              <w:rPr>
                <w:rFonts w:ascii="Cambria Math" w:hAnsi="Cambria Math" w:cs="Arial"/>
                <w:i/>
                <w:szCs w:val="20"/>
              </w:rPr>
            </m:ctrlPr>
          </m:sSubPr>
          <m:e>
            <m:r>
              <w:rPr>
                <w:rFonts w:ascii="Cambria Math" w:hAnsi="Cambria Math" w:cs="Arial"/>
                <w:szCs w:val="20"/>
              </w:rPr>
              <m:t>kWh</m:t>
            </m:r>
          </m:e>
          <m:sub>
            <m:r>
              <w:rPr>
                <w:rFonts w:ascii="Cambria Math" w:hAnsi="Cambria Math" w:cs="Arial"/>
                <w:szCs w:val="20"/>
              </w:rPr>
              <m:t>ee</m:t>
            </m:r>
          </m:sub>
        </m:sSub>
      </m:oMath>
    </w:p>
    <w:p w14:paraId="0C329628" w14:textId="77777777" w:rsidR="004E6452" w:rsidRPr="001570EA" w:rsidRDefault="004E6452" w:rsidP="004E6452">
      <w:pPr>
        <w:pStyle w:val="NoSpacing"/>
        <w:spacing w:line="360" w:lineRule="auto"/>
        <w:rPr>
          <w:rFonts w:cs="Arial"/>
          <w:i/>
          <w:szCs w:val="20"/>
        </w:rPr>
      </w:pPr>
      <w:r w:rsidRPr="001570EA">
        <w:rPr>
          <w:rFonts w:cs="Arial"/>
          <w:i/>
          <w:szCs w:val="20"/>
        </w:rPr>
        <w:t>ΔkW</w:t>
      </w:r>
      <w:r w:rsidRPr="001570EA">
        <w:rPr>
          <w:rFonts w:cs="Arial"/>
          <w:i/>
          <w:szCs w:val="20"/>
          <w:vertAlign w:val="subscript"/>
        </w:rPr>
        <w:t>summer peak</w:t>
      </w:r>
      <w:r w:rsidRPr="001570EA">
        <w:rPr>
          <w:rFonts w:cs="Arial"/>
          <w:i/>
          <w:szCs w:val="20"/>
          <w:vertAlign w:val="subscript"/>
        </w:rPr>
        <w:tab/>
      </w:r>
      <w:r w:rsidRPr="001570EA">
        <w:rPr>
          <w:rFonts w:cs="Arial"/>
          <w:i/>
          <w:szCs w:val="20"/>
          <w:vertAlign w:val="subscript"/>
        </w:rPr>
        <w:tab/>
      </w:r>
      <m:oMath>
        <m:r>
          <w:rPr>
            <w:rFonts w:ascii="Cambria Math" w:hAnsi="Cambria Math" w:cs="Arial"/>
            <w:szCs w:val="20"/>
          </w:rPr>
          <m:t>=∆kWh×</m:t>
        </m:r>
        <m:sSub>
          <m:sSubPr>
            <m:ctrlPr>
              <w:rPr>
                <w:rFonts w:ascii="Cambria Math" w:hAnsi="Cambria Math" w:cs="Arial"/>
                <w:i/>
                <w:szCs w:val="20"/>
              </w:rPr>
            </m:ctrlPr>
          </m:sSubPr>
          <m:e>
            <m:r>
              <w:rPr>
                <w:rFonts w:ascii="Cambria Math" w:hAnsi="Cambria Math" w:cs="Arial"/>
                <w:szCs w:val="20"/>
              </w:rPr>
              <m:t>ETDF</m:t>
            </m:r>
          </m:e>
          <m:sub>
            <m:r>
              <w:rPr>
                <w:rFonts w:ascii="Cambria Math" w:hAnsi="Cambria Math" w:cs="Arial"/>
                <w:szCs w:val="20"/>
              </w:rPr>
              <m:t>s</m:t>
            </m:r>
          </m:sub>
        </m:sSub>
      </m:oMath>
    </w:p>
    <w:p w14:paraId="0BB737CE" w14:textId="77777777" w:rsidR="004E6452" w:rsidRPr="001570EA" w:rsidRDefault="004E6452" w:rsidP="004E6452">
      <w:pPr>
        <w:pStyle w:val="NoSpacing"/>
        <w:spacing w:line="360" w:lineRule="auto"/>
        <w:rPr>
          <w:rFonts w:cs="Arial"/>
          <w:i/>
          <w:szCs w:val="20"/>
        </w:rPr>
      </w:pPr>
      <w:r w:rsidRPr="001570EA">
        <w:rPr>
          <w:rFonts w:cs="Arial"/>
          <w:i/>
          <w:szCs w:val="20"/>
        </w:rPr>
        <w:t>ΔkW</w:t>
      </w:r>
      <w:r w:rsidRPr="001570EA">
        <w:rPr>
          <w:rFonts w:cs="Arial"/>
          <w:i/>
          <w:szCs w:val="20"/>
          <w:vertAlign w:val="subscript"/>
        </w:rPr>
        <w:t>winter peak</w:t>
      </w:r>
      <w:r w:rsidRPr="001570EA">
        <w:rPr>
          <w:rFonts w:cs="Arial"/>
          <w:i/>
          <w:szCs w:val="20"/>
          <w:vertAlign w:val="subscript"/>
        </w:rPr>
        <w:tab/>
      </w:r>
      <w:r w:rsidRPr="001570EA">
        <w:rPr>
          <w:rFonts w:cs="Arial"/>
          <w:i/>
          <w:szCs w:val="20"/>
          <w:vertAlign w:val="subscript"/>
        </w:rPr>
        <w:tab/>
      </w:r>
      <m:oMath>
        <m:r>
          <w:rPr>
            <w:rFonts w:ascii="Cambria Math" w:hAnsi="Cambria Math" w:cs="Arial"/>
            <w:szCs w:val="20"/>
          </w:rPr>
          <m:t>=∆kWh×</m:t>
        </m:r>
        <m:sSub>
          <m:sSubPr>
            <m:ctrlPr>
              <w:rPr>
                <w:rFonts w:ascii="Cambria Math" w:hAnsi="Cambria Math" w:cs="Arial"/>
                <w:i/>
                <w:szCs w:val="20"/>
              </w:rPr>
            </m:ctrlPr>
          </m:sSubPr>
          <m:e>
            <m:r>
              <w:rPr>
                <w:rFonts w:ascii="Cambria Math" w:hAnsi="Cambria Math" w:cs="Arial"/>
                <w:szCs w:val="20"/>
              </w:rPr>
              <m:t>ETDF</m:t>
            </m:r>
          </m:e>
          <m:sub>
            <m:r>
              <w:rPr>
                <w:rFonts w:ascii="Cambria Math" w:hAnsi="Cambria Math" w:cs="Arial"/>
                <w:szCs w:val="20"/>
              </w:rPr>
              <m:t>w</m:t>
            </m:r>
          </m:sub>
        </m:sSub>
      </m:oMath>
    </w:p>
    <w:p w14:paraId="0EE480F4" w14:textId="77777777" w:rsidR="004E6452" w:rsidRPr="001570EA" w:rsidRDefault="004E6452" w:rsidP="004E6452">
      <w:pPr>
        <w:pStyle w:val="SubStyle"/>
        <w:keepNext/>
      </w:pPr>
      <w:r w:rsidRPr="001570EA">
        <w:t>Definition of Terms</w:t>
      </w:r>
    </w:p>
    <w:p w14:paraId="6F33BD12" w14:textId="11953C30" w:rsidR="004E6452" w:rsidRPr="001570EA" w:rsidRDefault="004E6452" w:rsidP="004E6452">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97</w:t>
      </w:r>
      <w:r w:rsidR="002E093A" w:rsidRPr="001570EA">
        <w:fldChar w:fldCharType="end"/>
      </w:r>
      <w:r w:rsidRPr="001570EA">
        <w:t>: Terms, Values, and References for ENERGY STAR Refrigerators</w:t>
      </w:r>
    </w:p>
    <w:tbl>
      <w:tblPr>
        <w:tblW w:w="8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1080"/>
        <w:gridCol w:w="2029"/>
        <w:gridCol w:w="1080"/>
      </w:tblGrid>
      <w:tr w:rsidR="004E6452" w:rsidRPr="001570EA" w14:paraId="2925FB93" w14:textId="77777777">
        <w:trPr>
          <w:trHeight w:hRule="exact" w:val="424"/>
        </w:trPr>
        <w:tc>
          <w:tcPr>
            <w:tcW w:w="4297" w:type="dxa"/>
            <w:shd w:val="clear" w:color="auto" w:fill="BFBFBF" w:themeFill="background1" w:themeFillShade="BF"/>
            <w:vAlign w:val="bottom"/>
          </w:tcPr>
          <w:p w14:paraId="2EE950BA" w14:textId="77777777" w:rsidR="004E6452" w:rsidRPr="001570EA" w:rsidRDefault="004E6452">
            <w:pPr>
              <w:keepNext/>
              <w:rPr>
                <w:rFonts w:cs="Arial"/>
                <w:sz w:val="18"/>
                <w:szCs w:val="18"/>
              </w:rPr>
            </w:pPr>
            <w:r w:rsidRPr="001570EA">
              <w:rPr>
                <w:rFonts w:cs="Arial"/>
                <w:b/>
                <w:sz w:val="18"/>
                <w:szCs w:val="18"/>
              </w:rPr>
              <w:t>Term</w:t>
            </w:r>
          </w:p>
        </w:tc>
        <w:tc>
          <w:tcPr>
            <w:tcW w:w="1080" w:type="dxa"/>
            <w:shd w:val="clear" w:color="auto" w:fill="BFBFBF" w:themeFill="background1" w:themeFillShade="BF"/>
            <w:vAlign w:val="bottom"/>
          </w:tcPr>
          <w:p w14:paraId="47CACCB5" w14:textId="77777777" w:rsidR="004E6452" w:rsidRPr="001570EA" w:rsidRDefault="004E6452">
            <w:pPr>
              <w:keepNext/>
              <w:jc w:val="center"/>
              <w:rPr>
                <w:rFonts w:cs="Arial"/>
                <w:sz w:val="18"/>
                <w:szCs w:val="18"/>
              </w:rPr>
            </w:pPr>
            <w:r w:rsidRPr="001570EA">
              <w:rPr>
                <w:rFonts w:cs="Arial"/>
                <w:b/>
                <w:sz w:val="18"/>
                <w:szCs w:val="18"/>
              </w:rPr>
              <w:t>Unit</w:t>
            </w:r>
          </w:p>
        </w:tc>
        <w:tc>
          <w:tcPr>
            <w:tcW w:w="2029" w:type="dxa"/>
            <w:shd w:val="clear" w:color="auto" w:fill="BFBFBF" w:themeFill="background1" w:themeFillShade="BF"/>
            <w:vAlign w:val="bottom"/>
          </w:tcPr>
          <w:p w14:paraId="4A1C0D20" w14:textId="77777777" w:rsidR="004E6452" w:rsidRPr="001570EA" w:rsidRDefault="004E6452">
            <w:pPr>
              <w:keepNext/>
              <w:jc w:val="center"/>
              <w:rPr>
                <w:rFonts w:cs="Arial"/>
                <w:sz w:val="18"/>
                <w:szCs w:val="18"/>
              </w:rPr>
            </w:pPr>
            <w:r w:rsidRPr="001570EA">
              <w:rPr>
                <w:rFonts w:cs="Arial"/>
                <w:b/>
                <w:sz w:val="18"/>
                <w:szCs w:val="18"/>
              </w:rPr>
              <w:t>Value</w:t>
            </w:r>
          </w:p>
        </w:tc>
        <w:tc>
          <w:tcPr>
            <w:tcW w:w="1080" w:type="dxa"/>
            <w:shd w:val="clear" w:color="auto" w:fill="BFBFBF" w:themeFill="background1" w:themeFillShade="BF"/>
            <w:vAlign w:val="bottom"/>
          </w:tcPr>
          <w:p w14:paraId="31306881" w14:textId="77777777" w:rsidR="004E6452" w:rsidRPr="001570EA" w:rsidRDefault="004E6452">
            <w:pPr>
              <w:keepNext/>
              <w:jc w:val="center"/>
              <w:rPr>
                <w:rFonts w:cs="Arial"/>
                <w:sz w:val="18"/>
                <w:szCs w:val="18"/>
              </w:rPr>
            </w:pPr>
            <w:r w:rsidRPr="001570EA">
              <w:rPr>
                <w:rFonts w:cs="Arial"/>
                <w:b/>
                <w:sz w:val="18"/>
                <w:szCs w:val="18"/>
              </w:rPr>
              <w:t>Source</w:t>
            </w:r>
          </w:p>
        </w:tc>
      </w:tr>
      <w:tr w:rsidR="004E6452" w:rsidRPr="001570EA" w14:paraId="2E29DE2D" w14:textId="77777777">
        <w:trPr>
          <w:trHeight w:hRule="exact" w:val="685"/>
        </w:trPr>
        <w:tc>
          <w:tcPr>
            <w:tcW w:w="4297" w:type="dxa"/>
            <w:vAlign w:val="center"/>
          </w:tcPr>
          <w:p w14:paraId="313100A8" w14:textId="59767580" w:rsidR="004E6452" w:rsidRPr="001570EA" w:rsidRDefault="004E6452">
            <w:pPr>
              <w:keepNext/>
              <w:rPr>
                <w:rFonts w:cs="Arial"/>
                <w:sz w:val="18"/>
                <w:szCs w:val="18"/>
              </w:rPr>
            </w:pPr>
            <w:r w:rsidRPr="001570EA">
              <w:rPr>
                <w:rFonts w:cs="Arial"/>
                <w:i/>
                <w:sz w:val="18"/>
                <w:szCs w:val="18"/>
              </w:rPr>
              <w:t>kWh</w:t>
            </w:r>
            <w:r w:rsidRPr="001570EA">
              <w:rPr>
                <w:rFonts w:cs="Arial"/>
                <w:i/>
                <w:sz w:val="18"/>
                <w:szCs w:val="18"/>
                <w:vertAlign w:val="subscript"/>
              </w:rPr>
              <w:t>base</w:t>
            </w:r>
            <w:r w:rsidRPr="001570EA">
              <w:rPr>
                <w:rFonts w:cs="Arial"/>
                <w:sz w:val="18"/>
                <w:szCs w:val="18"/>
              </w:rPr>
              <w:t>, Annual energy consumption of baseline unit</w:t>
            </w:r>
          </w:p>
        </w:tc>
        <w:tc>
          <w:tcPr>
            <w:tcW w:w="1080" w:type="dxa"/>
            <w:vAlign w:val="center"/>
          </w:tcPr>
          <w:p w14:paraId="3FF30718" w14:textId="77777777" w:rsidR="004E6452" w:rsidRPr="001570EA" w:rsidRDefault="004E6452">
            <w:pPr>
              <w:keepNext/>
              <w:jc w:val="center"/>
              <w:rPr>
                <w:rFonts w:cs="Arial"/>
                <w:i/>
                <w:sz w:val="18"/>
                <w:szCs w:val="18"/>
              </w:rPr>
            </w:pPr>
            <w:r w:rsidRPr="001570EA">
              <w:rPr>
                <w:rFonts w:cs="Arial"/>
                <w:i/>
                <w:sz w:val="18"/>
                <w:szCs w:val="18"/>
              </w:rPr>
              <w:t>kWh/yr</w:t>
            </w:r>
          </w:p>
        </w:tc>
        <w:tc>
          <w:tcPr>
            <w:tcW w:w="2029" w:type="dxa"/>
          </w:tcPr>
          <w:p w14:paraId="69640A4B" w14:textId="77777777" w:rsidR="004E6452" w:rsidRPr="001570EA" w:rsidRDefault="004E6452">
            <w:pPr>
              <w:keepNext/>
              <w:spacing w:before="60" w:after="60"/>
              <w:jc w:val="center"/>
              <w:rPr>
                <w:rFonts w:cs="Arial"/>
                <w:sz w:val="18"/>
                <w:szCs w:val="18"/>
              </w:rPr>
            </w:pPr>
            <w:r w:rsidRPr="001570EA">
              <w:rPr>
                <w:rFonts w:cs="Arial"/>
                <w:sz w:val="18"/>
                <w:szCs w:val="18"/>
              </w:rPr>
              <w:t>EDC Data Gathering</w:t>
            </w:r>
          </w:p>
          <w:p w14:paraId="3DEBD2A3" w14:textId="57214D0F" w:rsidR="004E6452" w:rsidRPr="001570EA" w:rsidRDefault="004E6452">
            <w:pPr>
              <w:keepNext/>
              <w:spacing w:before="60" w:after="60"/>
              <w:jc w:val="center"/>
              <w:rPr>
                <w:sz w:val="18"/>
                <w:szCs w:val="18"/>
              </w:rPr>
            </w:pPr>
            <w:r w:rsidRPr="001570EA">
              <w:rPr>
                <w:rFonts w:cs="Arial"/>
                <w:sz w:val="18"/>
                <w:szCs w:val="18"/>
              </w:rPr>
              <w:t xml:space="preserve">Default = </w:t>
            </w:r>
            <w:r w:rsidR="003D306E" w:rsidRPr="001570EA">
              <w:rPr>
                <w:rFonts w:cs="Arial"/>
                <w:sz w:val="18"/>
                <w:szCs w:val="18"/>
              </w:rPr>
              <w:fldChar w:fldCharType="begin"/>
            </w:r>
            <w:r w:rsidR="003D306E" w:rsidRPr="001570EA">
              <w:rPr>
                <w:rFonts w:cs="Arial"/>
                <w:sz w:val="18"/>
                <w:szCs w:val="18"/>
              </w:rPr>
              <w:instrText xml:space="preserve"> REF _Ref163912572 \h </w:instrText>
            </w:r>
            <w:r w:rsidR="001E4EE0" w:rsidRPr="001570EA">
              <w:rPr>
                <w:rFonts w:cs="Arial"/>
                <w:sz w:val="18"/>
                <w:szCs w:val="18"/>
              </w:rPr>
              <w:instrText xml:space="preserve"> \* MERGEFORMAT </w:instrText>
            </w:r>
            <w:r w:rsidR="003D306E" w:rsidRPr="001570EA">
              <w:rPr>
                <w:rFonts w:cs="Arial"/>
                <w:sz w:val="18"/>
                <w:szCs w:val="18"/>
              </w:rPr>
            </w:r>
            <w:r w:rsidR="003D306E" w:rsidRPr="001570EA">
              <w:rPr>
                <w:rFonts w:cs="Arial"/>
                <w:sz w:val="18"/>
                <w:szCs w:val="18"/>
              </w:rPr>
              <w:fldChar w:fldCharType="separate"/>
            </w:r>
            <w:r w:rsidR="00234C6C" w:rsidRPr="001570EA">
              <w:rPr>
                <w:sz w:val="18"/>
                <w:szCs w:val="18"/>
              </w:rPr>
              <w:t xml:space="preserve">Table </w:t>
            </w:r>
            <w:r w:rsidR="00234C6C" w:rsidRPr="001570EA">
              <w:rPr>
                <w:noProof/>
                <w:sz w:val="18"/>
                <w:szCs w:val="18"/>
              </w:rPr>
              <w:t>2</w:t>
            </w:r>
            <w:r w:rsidR="003D306E" w:rsidRPr="001570EA">
              <w:rPr>
                <w:rFonts w:cs="Arial"/>
                <w:sz w:val="18"/>
                <w:szCs w:val="18"/>
              </w:rPr>
              <w:fldChar w:fldCharType="end"/>
            </w:r>
          </w:p>
        </w:tc>
        <w:tc>
          <w:tcPr>
            <w:tcW w:w="1080" w:type="dxa"/>
            <w:vAlign w:val="center"/>
          </w:tcPr>
          <w:p w14:paraId="1AFC8691" w14:textId="77777777" w:rsidR="004E6452" w:rsidRPr="001570EA" w:rsidRDefault="004E6452">
            <w:pPr>
              <w:keepNext/>
              <w:jc w:val="center"/>
              <w:rPr>
                <w:rFonts w:cs="Arial"/>
                <w:sz w:val="18"/>
                <w:szCs w:val="18"/>
              </w:rPr>
            </w:pPr>
            <w:r w:rsidRPr="001570EA">
              <w:rPr>
                <w:rFonts w:cs="Arial"/>
                <w:sz w:val="18"/>
                <w:szCs w:val="18"/>
              </w:rPr>
              <w:t>EDC Data Gathering,</w:t>
            </w:r>
          </w:p>
          <w:p w14:paraId="64C329DD" w14:textId="77777777" w:rsidR="004E6452" w:rsidRPr="001570EA" w:rsidRDefault="004E6452">
            <w:pPr>
              <w:keepNext/>
              <w:jc w:val="center"/>
              <w:rPr>
                <w:rFonts w:cs="Arial"/>
                <w:sz w:val="18"/>
                <w:szCs w:val="18"/>
              </w:rPr>
            </w:pPr>
            <w:r w:rsidRPr="001570EA">
              <w:rPr>
                <w:rFonts w:cs="Arial"/>
                <w:sz w:val="18"/>
                <w:szCs w:val="18"/>
              </w:rPr>
              <w:t>2</w:t>
            </w:r>
          </w:p>
        </w:tc>
      </w:tr>
      <w:tr w:rsidR="004E6452" w:rsidRPr="001570EA" w14:paraId="5977A5F4" w14:textId="77777777">
        <w:trPr>
          <w:trHeight w:val="548"/>
        </w:trPr>
        <w:tc>
          <w:tcPr>
            <w:tcW w:w="4297" w:type="dxa"/>
            <w:vAlign w:val="center"/>
          </w:tcPr>
          <w:p w14:paraId="173D247D" w14:textId="30869974" w:rsidR="004E6452" w:rsidRPr="001570EA" w:rsidRDefault="004E6452">
            <w:pPr>
              <w:keepNext/>
              <w:rPr>
                <w:rFonts w:cs="Arial"/>
                <w:sz w:val="18"/>
                <w:szCs w:val="18"/>
              </w:rPr>
            </w:pPr>
            <w:r w:rsidRPr="001570EA">
              <w:rPr>
                <w:rFonts w:cs="Arial"/>
                <w:i/>
                <w:sz w:val="18"/>
                <w:szCs w:val="18"/>
              </w:rPr>
              <w:t>kWh</w:t>
            </w:r>
            <w:r w:rsidRPr="001570EA">
              <w:rPr>
                <w:rFonts w:cs="Arial"/>
                <w:i/>
                <w:sz w:val="18"/>
                <w:szCs w:val="18"/>
                <w:vertAlign w:val="subscript"/>
              </w:rPr>
              <w:t>ee</w:t>
            </w:r>
            <w:r w:rsidRPr="001570EA">
              <w:rPr>
                <w:rFonts w:cs="Arial"/>
                <w:i/>
                <w:sz w:val="18"/>
                <w:szCs w:val="18"/>
              </w:rPr>
              <w:t xml:space="preserve">, </w:t>
            </w:r>
            <w:r w:rsidRPr="001570EA">
              <w:rPr>
                <w:rFonts w:cs="Arial"/>
                <w:sz w:val="18"/>
                <w:szCs w:val="18"/>
              </w:rPr>
              <w:t>Annual energy consumption of ENERGY STAR qualified unit</w:t>
            </w:r>
          </w:p>
        </w:tc>
        <w:tc>
          <w:tcPr>
            <w:tcW w:w="1080" w:type="dxa"/>
            <w:vAlign w:val="center"/>
          </w:tcPr>
          <w:p w14:paraId="1FAD9578" w14:textId="77777777" w:rsidR="004E6452" w:rsidRPr="001570EA" w:rsidRDefault="004E6452">
            <w:pPr>
              <w:keepNext/>
              <w:jc w:val="center"/>
              <w:rPr>
                <w:rFonts w:cs="Arial"/>
                <w:i/>
                <w:sz w:val="18"/>
                <w:szCs w:val="18"/>
              </w:rPr>
            </w:pPr>
            <w:r w:rsidRPr="001570EA">
              <w:rPr>
                <w:rFonts w:cs="Arial"/>
                <w:i/>
                <w:sz w:val="18"/>
                <w:szCs w:val="18"/>
              </w:rPr>
              <w:t>kWh/yr</w:t>
            </w:r>
          </w:p>
        </w:tc>
        <w:tc>
          <w:tcPr>
            <w:tcW w:w="2029" w:type="dxa"/>
            <w:vAlign w:val="center"/>
          </w:tcPr>
          <w:p w14:paraId="614BF010" w14:textId="77777777" w:rsidR="004E6452" w:rsidRPr="001570EA" w:rsidRDefault="004E6452">
            <w:pPr>
              <w:keepNext/>
              <w:spacing w:before="60" w:after="60"/>
              <w:jc w:val="center"/>
              <w:rPr>
                <w:rFonts w:cs="Arial"/>
                <w:sz w:val="18"/>
                <w:szCs w:val="18"/>
              </w:rPr>
            </w:pPr>
            <w:r w:rsidRPr="001570EA">
              <w:rPr>
                <w:rFonts w:cs="Arial"/>
                <w:sz w:val="18"/>
                <w:szCs w:val="18"/>
              </w:rPr>
              <w:t>EDC Data Gathering</w:t>
            </w:r>
          </w:p>
          <w:p w14:paraId="39457CFD" w14:textId="33961DFA" w:rsidR="004E6452" w:rsidRPr="001570EA" w:rsidRDefault="004E6452">
            <w:pPr>
              <w:keepNext/>
              <w:spacing w:before="60" w:after="60"/>
              <w:jc w:val="center"/>
              <w:rPr>
                <w:rFonts w:cs="Arial"/>
                <w:sz w:val="18"/>
                <w:szCs w:val="18"/>
              </w:rPr>
            </w:pPr>
            <w:r w:rsidRPr="001570EA">
              <w:rPr>
                <w:rFonts w:cs="Arial"/>
                <w:sz w:val="18"/>
                <w:szCs w:val="18"/>
              </w:rPr>
              <w:t xml:space="preserve">Default = </w:t>
            </w:r>
            <w:r w:rsidR="003D306E" w:rsidRPr="001570EA">
              <w:rPr>
                <w:rFonts w:cs="Arial"/>
                <w:sz w:val="18"/>
                <w:szCs w:val="18"/>
              </w:rPr>
              <w:fldChar w:fldCharType="begin"/>
            </w:r>
            <w:r w:rsidR="003D306E" w:rsidRPr="001570EA">
              <w:rPr>
                <w:rFonts w:cs="Arial"/>
                <w:sz w:val="18"/>
                <w:szCs w:val="18"/>
              </w:rPr>
              <w:instrText xml:space="preserve"> REF _Ref163912572 \h </w:instrText>
            </w:r>
            <w:r w:rsidR="001E4EE0" w:rsidRPr="001570EA">
              <w:rPr>
                <w:rFonts w:cs="Arial"/>
                <w:sz w:val="18"/>
                <w:szCs w:val="18"/>
              </w:rPr>
              <w:instrText xml:space="preserve"> \* MERGEFORMAT </w:instrText>
            </w:r>
            <w:r w:rsidR="003D306E" w:rsidRPr="001570EA">
              <w:rPr>
                <w:rFonts w:cs="Arial"/>
                <w:sz w:val="18"/>
                <w:szCs w:val="18"/>
              </w:rPr>
            </w:r>
            <w:r w:rsidR="003D306E" w:rsidRPr="001570EA">
              <w:rPr>
                <w:rFonts w:cs="Arial"/>
                <w:sz w:val="18"/>
                <w:szCs w:val="18"/>
              </w:rPr>
              <w:fldChar w:fldCharType="separate"/>
            </w:r>
            <w:r w:rsidR="00234C6C" w:rsidRPr="001570EA">
              <w:rPr>
                <w:sz w:val="18"/>
                <w:szCs w:val="18"/>
              </w:rPr>
              <w:t xml:space="preserve">Table </w:t>
            </w:r>
            <w:r w:rsidR="00234C6C" w:rsidRPr="001570EA">
              <w:rPr>
                <w:noProof/>
                <w:sz w:val="18"/>
                <w:szCs w:val="18"/>
              </w:rPr>
              <w:t>2</w:t>
            </w:r>
            <w:r w:rsidR="003D306E" w:rsidRPr="001570EA">
              <w:rPr>
                <w:rFonts w:cs="Arial"/>
                <w:sz w:val="18"/>
                <w:szCs w:val="18"/>
              </w:rPr>
              <w:fldChar w:fldCharType="end"/>
            </w:r>
          </w:p>
        </w:tc>
        <w:tc>
          <w:tcPr>
            <w:tcW w:w="1080" w:type="dxa"/>
            <w:vAlign w:val="center"/>
          </w:tcPr>
          <w:p w14:paraId="39D8D452" w14:textId="77777777" w:rsidR="004E6452" w:rsidRPr="001570EA" w:rsidRDefault="004E6452">
            <w:pPr>
              <w:keepNext/>
              <w:jc w:val="center"/>
              <w:rPr>
                <w:rFonts w:cs="Arial"/>
                <w:sz w:val="18"/>
                <w:szCs w:val="18"/>
              </w:rPr>
            </w:pPr>
            <w:r w:rsidRPr="001570EA">
              <w:rPr>
                <w:rFonts w:cs="Arial"/>
                <w:sz w:val="18"/>
                <w:szCs w:val="18"/>
              </w:rPr>
              <w:t>EDC Data Gathering,</w:t>
            </w:r>
          </w:p>
          <w:p w14:paraId="4E562288" w14:textId="77777777" w:rsidR="004E6452" w:rsidRPr="001570EA" w:rsidRDefault="004E6452">
            <w:pPr>
              <w:keepNext/>
              <w:jc w:val="center"/>
              <w:rPr>
                <w:rFonts w:cs="Arial"/>
                <w:sz w:val="18"/>
                <w:szCs w:val="18"/>
              </w:rPr>
            </w:pPr>
            <w:r w:rsidRPr="001570EA">
              <w:rPr>
                <w:rFonts w:cs="Arial"/>
                <w:sz w:val="18"/>
                <w:szCs w:val="18"/>
              </w:rPr>
              <w:t>3</w:t>
            </w:r>
          </w:p>
        </w:tc>
      </w:tr>
      <w:tr w:rsidR="004E6452" w:rsidRPr="001570EA" w14:paraId="0391C379" w14:textId="77777777">
        <w:trPr>
          <w:trHeight w:hRule="exact" w:val="748"/>
        </w:trPr>
        <w:tc>
          <w:tcPr>
            <w:tcW w:w="4297" w:type="dxa"/>
            <w:vAlign w:val="center"/>
          </w:tcPr>
          <w:p w14:paraId="5E2666B8" w14:textId="77777777" w:rsidR="004E6452" w:rsidRPr="001570EA" w:rsidRDefault="004E6452">
            <w:pPr>
              <w:keepNext/>
              <w:rPr>
                <w:rFonts w:cs="Arial"/>
                <w:sz w:val="18"/>
                <w:szCs w:val="18"/>
              </w:rPr>
            </w:pPr>
            <w:r w:rsidRPr="001570EA">
              <w:rPr>
                <w:rFonts w:cs="Arial"/>
                <w:i/>
                <w:sz w:val="18"/>
                <w:szCs w:val="18"/>
              </w:rPr>
              <w:t>ETDF</w:t>
            </w:r>
            <w:r w:rsidRPr="001570EA">
              <w:rPr>
                <w:rFonts w:cs="Arial"/>
                <w:sz w:val="18"/>
                <w:szCs w:val="18"/>
                <w:vertAlign w:val="subscript"/>
              </w:rPr>
              <w:t>s</w:t>
            </w:r>
            <w:r w:rsidRPr="001570EA">
              <w:rPr>
                <w:rFonts w:cs="Arial"/>
                <w:sz w:val="18"/>
                <w:szCs w:val="18"/>
              </w:rPr>
              <w:t>, Summer peak Energy to Demand Factor</w:t>
            </w:r>
          </w:p>
        </w:tc>
        <w:tc>
          <w:tcPr>
            <w:tcW w:w="1080" w:type="dxa"/>
            <w:vAlign w:val="center"/>
          </w:tcPr>
          <w:p w14:paraId="023F7BF6" w14:textId="77777777" w:rsidR="004E6452" w:rsidRPr="001570EA" w:rsidRDefault="003B5E04">
            <w:pPr>
              <w:keepNext/>
              <w:jc w:val="center"/>
              <w:rPr>
                <w:rFonts w:cs="Arial"/>
                <w:sz w:val="18"/>
                <w:szCs w:val="18"/>
              </w:rPr>
            </w:pPr>
            <m:oMathPara>
              <m:oMath>
                <m:f>
                  <m:fPr>
                    <m:ctrlPr>
                      <w:rPr>
                        <w:rFonts w:ascii="Cambria Math" w:eastAsia="Arial Unicode MS" w:hAnsi="Cambria Math"/>
                        <w:i/>
                        <w:iCs/>
                        <w:sz w:val="18"/>
                        <w:szCs w:val="18"/>
                      </w:rPr>
                    </m:ctrlPr>
                  </m:fPr>
                  <m:num>
                    <m:r>
                      <w:rPr>
                        <w:rFonts w:ascii="Cambria Math" w:eastAsia="Arial Unicode MS" w:hAnsi="Cambria Math"/>
                        <w:sz w:val="18"/>
                        <w:szCs w:val="18"/>
                      </w:rPr>
                      <m:t>kW</m:t>
                    </m:r>
                  </m:num>
                  <m:den>
                    <m:r>
                      <w:rPr>
                        <w:rFonts w:ascii="Cambria Math" w:eastAsia="Arial Unicode MS" w:hAnsi="Cambria Math"/>
                        <w:sz w:val="18"/>
                        <w:szCs w:val="18"/>
                      </w:rPr>
                      <m:t>kWh</m:t>
                    </m:r>
                  </m:den>
                </m:f>
              </m:oMath>
            </m:oMathPara>
          </w:p>
        </w:tc>
        <w:tc>
          <w:tcPr>
            <w:tcW w:w="2029" w:type="dxa"/>
            <w:vAlign w:val="center"/>
          </w:tcPr>
          <w:p w14:paraId="58833B0C" w14:textId="77777777" w:rsidR="004E6452" w:rsidRPr="001570EA" w:rsidRDefault="004E6452">
            <w:pPr>
              <w:keepNext/>
              <w:spacing w:before="60" w:after="60"/>
              <w:jc w:val="center"/>
              <w:rPr>
                <w:rFonts w:cs="Arial"/>
                <w:sz w:val="18"/>
                <w:szCs w:val="18"/>
              </w:rPr>
            </w:pPr>
            <w:r w:rsidRPr="001570EA">
              <w:rPr>
                <w:rFonts w:cs="Arial"/>
                <w:sz w:val="18"/>
                <w:szCs w:val="18"/>
              </w:rPr>
              <w:t>0.0001354</w:t>
            </w:r>
          </w:p>
        </w:tc>
        <w:tc>
          <w:tcPr>
            <w:tcW w:w="1080" w:type="dxa"/>
            <w:vAlign w:val="center"/>
          </w:tcPr>
          <w:p w14:paraId="3D7D1B6C" w14:textId="77777777" w:rsidR="004E6452" w:rsidRPr="001570EA" w:rsidRDefault="004E6452">
            <w:pPr>
              <w:keepNext/>
              <w:jc w:val="center"/>
              <w:rPr>
                <w:rFonts w:cs="Arial"/>
                <w:sz w:val="18"/>
                <w:szCs w:val="18"/>
              </w:rPr>
            </w:pPr>
            <w:r w:rsidRPr="001570EA">
              <w:rPr>
                <w:rFonts w:cs="Arial"/>
                <w:sz w:val="18"/>
                <w:szCs w:val="18"/>
              </w:rPr>
              <w:t>4</w:t>
            </w:r>
          </w:p>
        </w:tc>
      </w:tr>
      <w:tr w:rsidR="004E6452" w:rsidRPr="001570EA" w14:paraId="3021F332" w14:textId="77777777">
        <w:trPr>
          <w:trHeight w:hRule="exact" w:val="748"/>
        </w:trPr>
        <w:tc>
          <w:tcPr>
            <w:tcW w:w="4297" w:type="dxa"/>
            <w:vAlign w:val="center"/>
          </w:tcPr>
          <w:p w14:paraId="0A04A624" w14:textId="77777777" w:rsidR="004E6452" w:rsidRPr="001570EA" w:rsidRDefault="004E6452">
            <w:pPr>
              <w:keepNext/>
              <w:rPr>
                <w:rFonts w:cs="Arial"/>
                <w:i/>
                <w:sz w:val="18"/>
                <w:szCs w:val="18"/>
              </w:rPr>
            </w:pPr>
            <w:r w:rsidRPr="001570EA">
              <w:rPr>
                <w:rFonts w:cs="Arial"/>
                <w:i/>
                <w:sz w:val="18"/>
                <w:szCs w:val="18"/>
              </w:rPr>
              <w:t>ETDF</w:t>
            </w:r>
            <w:r w:rsidRPr="001570EA">
              <w:rPr>
                <w:rFonts w:cs="Arial"/>
                <w:i/>
                <w:sz w:val="18"/>
                <w:szCs w:val="18"/>
                <w:vertAlign w:val="subscript"/>
              </w:rPr>
              <w:t>w</w:t>
            </w:r>
            <w:r w:rsidRPr="001570EA">
              <w:rPr>
                <w:rFonts w:cs="Arial"/>
                <w:sz w:val="18"/>
                <w:szCs w:val="18"/>
              </w:rPr>
              <w:t>, Winter peak Energy to Demand Factor</w:t>
            </w:r>
          </w:p>
        </w:tc>
        <w:tc>
          <w:tcPr>
            <w:tcW w:w="1080" w:type="dxa"/>
            <w:vAlign w:val="center"/>
          </w:tcPr>
          <w:p w14:paraId="6F667ADB" w14:textId="77777777" w:rsidR="004E6452" w:rsidRPr="001570EA" w:rsidRDefault="003B5E04">
            <w:pPr>
              <w:keepNext/>
              <w:jc w:val="center"/>
              <w:rPr>
                <w:rFonts w:cs="Arial"/>
                <w:color w:val="000000"/>
                <w:sz w:val="18"/>
                <w:szCs w:val="18"/>
              </w:rPr>
            </w:pPr>
            <m:oMathPara>
              <m:oMath>
                <m:f>
                  <m:fPr>
                    <m:ctrlPr>
                      <w:rPr>
                        <w:rFonts w:ascii="Cambria Math" w:eastAsia="Arial Unicode MS" w:hAnsi="Cambria Math"/>
                        <w:i/>
                        <w:iCs/>
                        <w:sz w:val="18"/>
                        <w:szCs w:val="18"/>
                      </w:rPr>
                    </m:ctrlPr>
                  </m:fPr>
                  <m:num>
                    <m:r>
                      <w:rPr>
                        <w:rFonts w:ascii="Cambria Math" w:eastAsia="Arial Unicode MS" w:hAnsi="Cambria Math"/>
                        <w:sz w:val="18"/>
                        <w:szCs w:val="18"/>
                      </w:rPr>
                      <m:t>kW</m:t>
                    </m:r>
                  </m:num>
                  <m:den>
                    <m:r>
                      <w:rPr>
                        <w:rFonts w:ascii="Cambria Math" w:eastAsia="Arial Unicode MS" w:hAnsi="Cambria Math"/>
                        <w:sz w:val="18"/>
                        <w:szCs w:val="18"/>
                      </w:rPr>
                      <m:t>kWh</m:t>
                    </m:r>
                  </m:den>
                </m:f>
              </m:oMath>
            </m:oMathPara>
          </w:p>
        </w:tc>
        <w:tc>
          <w:tcPr>
            <w:tcW w:w="2029" w:type="dxa"/>
            <w:vAlign w:val="center"/>
          </w:tcPr>
          <w:p w14:paraId="49842436" w14:textId="77777777" w:rsidR="004E6452" w:rsidRPr="001570EA" w:rsidRDefault="004E6452">
            <w:pPr>
              <w:keepNext/>
              <w:spacing w:before="60" w:after="60"/>
              <w:jc w:val="center"/>
              <w:rPr>
                <w:rFonts w:cs="Arial"/>
                <w:sz w:val="18"/>
                <w:szCs w:val="18"/>
              </w:rPr>
            </w:pPr>
            <w:r w:rsidRPr="001570EA">
              <w:rPr>
                <w:rFonts w:cs="Arial"/>
                <w:sz w:val="18"/>
                <w:szCs w:val="18"/>
              </w:rPr>
              <w:t>0.0001014</w:t>
            </w:r>
          </w:p>
        </w:tc>
        <w:tc>
          <w:tcPr>
            <w:tcW w:w="1080" w:type="dxa"/>
            <w:vAlign w:val="center"/>
          </w:tcPr>
          <w:p w14:paraId="6D6E00CF" w14:textId="77777777" w:rsidR="004E6452" w:rsidRPr="001570EA" w:rsidRDefault="004E6452">
            <w:pPr>
              <w:keepNext/>
              <w:jc w:val="center"/>
              <w:rPr>
                <w:rFonts w:cs="Arial"/>
                <w:sz w:val="18"/>
                <w:szCs w:val="18"/>
              </w:rPr>
            </w:pPr>
            <w:r w:rsidRPr="001570EA">
              <w:rPr>
                <w:rFonts w:cs="Arial"/>
                <w:sz w:val="18"/>
                <w:szCs w:val="18"/>
              </w:rPr>
              <w:t>4</w:t>
            </w:r>
          </w:p>
        </w:tc>
      </w:tr>
    </w:tbl>
    <w:p w14:paraId="217B9185" w14:textId="77777777" w:rsidR="004E6452" w:rsidRPr="001570EA" w:rsidRDefault="004E6452" w:rsidP="004E6452">
      <w:pPr>
        <w:rPr>
          <w:rFonts w:cs="Arial"/>
        </w:rPr>
      </w:pPr>
    </w:p>
    <w:p w14:paraId="34791D04" w14:textId="16FE04EB" w:rsidR="005B71B3" w:rsidRDefault="004E6452" w:rsidP="00A468BB">
      <w:r w:rsidRPr="001570EA">
        <w:rPr>
          <w:rStyle w:val="normaltextrun"/>
          <w:rFonts w:cs="Arial"/>
          <w:color w:val="000000"/>
          <w:shd w:val="clear" w:color="auto" w:fill="FFFFFF"/>
        </w:rPr>
        <w:t xml:space="preserve">Cooler energy consumption is characterized by volume, whether there are refrigerator or freezer compartments, and configuration (built-in, icemaker). </w:t>
      </w:r>
      <w:r w:rsidRPr="001570EA">
        <w:rPr>
          <w:rFonts w:cs="Arial"/>
          <w:color w:val="000000"/>
          <w:shd w:val="clear" w:color="auto" w:fill="FFFFFF"/>
        </w:rPr>
        <w:t xml:space="preserve">If this information is known, annual energy consumption </w:t>
      </w:r>
      <w:r w:rsidRPr="001570EA">
        <w:rPr>
          <w:rFonts w:cs="Arial"/>
          <w:iCs/>
          <w:color w:val="000000"/>
          <w:shd w:val="clear" w:color="auto" w:fill="FFFFFF"/>
        </w:rPr>
        <w:t>(</w:t>
      </w:r>
      <w:r w:rsidRPr="001570EA">
        <w:rPr>
          <w:rFonts w:cs="Arial"/>
          <w:color w:val="000000"/>
          <w:shd w:val="clear" w:color="auto" w:fill="FFFFFF"/>
        </w:rPr>
        <w:t>kWh</w:t>
      </w:r>
      <w:r w:rsidRPr="001570EA">
        <w:rPr>
          <w:rFonts w:cs="Arial"/>
          <w:color w:val="000000"/>
          <w:shd w:val="clear" w:color="auto" w:fill="FFFFFF"/>
          <w:vertAlign w:val="subscript"/>
        </w:rPr>
        <w:t>base</w:t>
      </w:r>
      <w:r w:rsidRPr="001570EA">
        <w:rPr>
          <w:rFonts w:cs="Arial"/>
          <w:i/>
          <w:iCs/>
          <w:color w:val="000000"/>
          <w:shd w:val="clear" w:color="auto" w:fill="FFFFFF"/>
        </w:rPr>
        <w:t xml:space="preserve">) </w:t>
      </w:r>
      <w:r w:rsidRPr="001570EA">
        <w:rPr>
          <w:rFonts w:cs="Arial"/>
          <w:color w:val="000000"/>
          <w:shd w:val="clear" w:color="auto" w:fill="FFFFFF"/>
        </w:rPr>
        <w:t>of the “Federal Standard” may be determined using</w:t>
      </w:r>
      <w:r w:rsidR="001440D9" w:rsidRPr="001570EA">
        <w:rPr>
          <w:rFonts w:cs="Arial"/>
          <w:color w:val="000000"/>
          <w:shd w:val="clear" w:color="auto" w:fill="FFFFFF"/>
        </w:rPr>
        <w:t xml:space="preserve"> </w:t>
      </w:r>
      <w:r w:rsidR="001440D9" w:rsidRPr="001570EA">
        <w:fldChar w:fldCharType="begin"/>
      </w:r>
      <w:r w:rsidR="001440D9" w:rsidRPr="001570EA">
        <w:instrText xml:space="preserve"> REF _Ref163828805 \h </w:instrText>
      </w:r>
      <w:r w:rsidR="001570EA">
        <w:instrText xml:space="preserve"> \* MERGEFORMAT </w:instrText>
      </w:r>
      <w:r w:rsidR="001440D9" w:rsidRPr="001570EA">
        <w:fldChar w:fldCharType="separate"/>
      </w:r>
      <w:r w:rsidR="00234C6C" w:rsidRPr="001570EA">
        <w:t xml:space="preserve">Table </w:t>
      </w:r>
      <w:r w:rsidR="00234C6C" w:rsidRPr="001570EA">
        <w:rPr>
          <w:noProof/>
        </w:rPr>
        <w:t>2</w:t>
      </w:r>
      <w:r w:rsidR="001440D9" w:rsidRPr="001570EA">
        <w:fldChar w:fldCharType="end"/>
      </w:r>
      <w:r w:rsidR="00A468BB">
        <w:t>-98</w:t>
      </w:r>
      <w:r w:rsidRPr="001570EA">
        <w:rPr>
          <w:rFonts w:cs="Arial"/>
          <w:color w:val="000000"/>
          <w:shd w:val="clear" w:color="auto" w:fill="FFFFFF"/>
        </w:rPr>
        <w:t>.</w:t>
      </w:r>
      <w:r w:rsidRPr="001570EA">
        <w:rPr>
          <w:rFonts w:cs="Arial"/>
        </w:rPr>
        <w:t xml:space="preserve"> The efficient model’s annual energy consumption (</w:t>
      </w:r>
      <w:r w:rsidRPr="001570EA">
        <w:rPr>
          <w:rFonts w:cs="Arial"/>
          <w:iCs/>
        </w:rPr>
        <w:t>kWh</w:t>
      </w:r>
      <w:r w:rsidRPr="001570EA">
        <w:rPr>
          <w:rFonts w:cs="Arial"/>
          <w:iCs/>
          <w:vertAlign w:val="subscript"/>
        </w:rPr>
        <w:t>ee</w:t>
      </w:r>
      <w:r w:rsidRPr="001570EA">
        <w:rPr>
          <w:rFonts w:cs="Arial"/>
        </w:rPr>
        <w:t xml:space="preserve">) may be determined using manufacturer’s test data for the given model. Where test data is not available, the algorithm in </w:t>
      </w:r>
      <w:r w:rsidR="001440D9" w:rsidRPr="001570EA">
        <w:fldChar w:fldCharType="begin"/>
      </w:r>
      <w:r w:rsidR="001440D9" w:rsidRPr="001570EA">
        <w:instrText xml:space="preserve"> REF _Ref163828805 \h </w:instrText>
      </w:r>
      <w:r w:rsidR="001570EA">
        <w:instrText xml:space="preserve"> \* MERGEFORMAT </w:instrText>
      </w:r>
      <w:r w:rsidR="001440D9" w:rsidRPr="001570EA">
        <w:fldChar w:fldCharType="separate"/>
      </w:r>
    </w:p>
    <w:p w14:paraId="1C8A5251" w14:textId="7176840C" w:rsidR="004E6452" w:rsidRPr="001570EA" w:rsidRDefault="005B71B3" w:rsidP="004E6452">
      <w:pPr>
        <w:rPr>
          <w:rFonts w:cs="Arial"/>
        </w:rPr>
      </w:pPr>
      <w:r w:rsidRPr="001570EA">
        <w:t>Table</w:t>
      </w:r>
      <w:r w:rsidRPr="001570EA">
        <w:rPr>
          <w:noProof/>
        </w:rPr>
        <w:t xml:space="preserve"> 2</w:t>
      </w:r>
      <w:r w:rsidRPr="001570EA">
        <w:noBreakHyphen/>
      </w:r>
      <w:r w:rsidRPr="001570EA">
        <w:rPr>
          <w:noProof/>
        </w:rPr>
        <w:t>98</w:t>
      </w:r>
      <w:r w:rsidR="001440D9" w:rsidRPr="001570EA">
        <w:fldChar w:fldCharType="end"/>
      </w:r>
      <w:r w:rsidR="001440D9" w:rsidRPr="001570EA">
        <w:t xml:space="preserve"> </w:t>
      </w:r>
      <w:r w:rsidR="004E6452" w:rsidRPr="001570EA">
        <w:rPr>
          <w:rFonts w:cs="Arial"/>
        </w:rPr>
        <w:t>for “ENERGY STAR Maximum Energy Usage in kWh/year” may be used to determine efficient energy consumption for a conservative savings estimate.</w:t>
      </w:r>
    </w:p>
    <w:p w14:paraId="0184AD58" w14:textId="77777777" w:rsidR="004E6452" w:rsidRPr="001570EA" w:rsidRDefault="004E6452" w:rsidP="004E6452">
      <w:pPr>
        <w:rPr>
          <w:rFonts w:cs="Arial"/>
        </w:rPr>
      </w:pPr>
    </w:p>
    <w:p w14:paraId="59FABA1F" w14:textId="77777777" w:rsidR="004E6452" w:rsidRPr="001570EA" w:rsidRDefault="004E6452" w:rsidP="004E6452">
      <w:pPr>
        <w:rPr>
          <w:rFonts w:cs="Arial"/>
        </w:rPr>
      </w:pPr>
      <w:r w:rsidRPr="001570EA">
        <w:rPr>
          <w:rFonts w:cs="Arial"/>
        </w:rPr>
        <w:t>The term “AV” in the equations refers to “Adjusted Volume” in ft</w:t>
      </w:r>
      <w:r w:rsidRPr="001570EA">
        <w:rPr>
          <w:rFonts w:cs="Arial"/>
          <w:vertAlign w:val="superscript"/>
        </w:rPr>
        <w:t>3</w:t>
      </w:r>
      <w:r w:rsidRPr="001570EA">
        <w:rPr>
          <w:rFonts w:cs="Arial"/>
        </w:rPr>
        <w:t>. For cooler-freezers, Categories beginning with C-9):</w:t>
      </w:r>
    </w:p>
    <w:p w14:paraId="02C3171A" w14:textId="77777777" w:rsidR="004E6452" w:rsidRPr="001570EA" w:rsidRDefault="004E6452" w:rsidP="004E6452">
      <w:pPr>
        <w:spacing w:before="120" w:after="120"/>
        <w:rPr>
          <w:rFonts w:cs="Arial"/>
        </w:rPr>
      </w:pPr>
      <w:r w:rsidRPr="001570EA">
        <w:rPr>
          <w:rFonts w:ascii="Cambria Math" w:hAnsi="Cambria Math" w:cs="Arial"/>
          <w:i/>
        </w:rPr>
        <w:t>AV</w:t>
      </w:r>
      <w:r w:rsidRPr="001570EA">
        <w:rPr>
          <w:rFonts w:cs="Arial"/>
        </w:rPr>
        <w:tab/>
      </w:r>
      <m:oMath>
        <m:r>
          <w:rPr>
            <w:rFonts w:ascii="Cambria Math" w:hAnsi="Cambria Math" w:cs="Arial"/>
          </w:rPr>
          <m:t>=Cooler Volume+Fresh Volume+1.76×Freezer Volume</m:t>
        </m:r>
      </m:oMath>
    </w:p>
    <w:p w14:paraId="1159E53D" w14:textId="77777777" w:rsidR="004E6452" w:rsidRPr="001570EA" w:rsidRDefault="004E6452" w:rsidP="004E6452">
      <w:pPr>
        <w:rPr>
          <w:rFonts w:cs="Arial"/>
        </w:rPr>
      </w:pPr>
      <w:r w:rsidRPr="001570EA">
        <w:rPr>
          <w:rFonts w:cs="Arial"/>
        </w:rPr>
        <w:t>For all other categories:</w:t>
      </w:r>
    </w:p>
    <w:p w14:paraId="40BC0FC2" w14:textId="77777777" w:rsidR="004E6452" w:rsidRPr="001570EA" w:rsidRDefault="004E6452" w:rsidP="004E6452">
      <w:pPr>
        <w:spacing w:before="120" w:after="120"/>
        <w:rPr>
          <w:rFonts w:cs="Arial"/>
        </w:rPr>
      </w:pPr>
      <w:r w:rsidRPr="001570EA">
        <w:rPr>
          <w:rFonts w:ascii="Cambria Math" w:hAnsi="Cambria Math" w:cs="Arial"/>
          <w:i/>
        </w:rPr>
        <w:t>AV</w:t>
      </w:r>
      <w:r w:rsidRPr="001570EA">
        <w:rPr>
          <w:rFonts w:cs="Arial"/>
        </w:rPr>
        <w:tab/>
      </w:r>
      <m:oMath>
        <m:r>
          <w:rPr>
            <w:rFonts w:ascii="Cambria Math" w:hAnsi="Cambria Math" w:cs="Arial"/>
          </w:rPr>
          <m:t>=Cooler Volume+Fresh Volume</m:t>
        </m:r>
      </m:oMath>
    </w:p>
    <w:p w14:paraId="735850B3" w14:textId="77777777" w:rsidR="00F53624" w:rsidRDefault="00F53624" w:rsidP="004E6452">
      <w:pPr>
        <w:pStyle w:val="Caption"/>
      </w:pPr>
      <w:bookmarkStart w:id="575" w:name="_Ref163828805"/>
    </w:p>
    <w:p w14:paraId="09B5519B" w14:textId="42167A22" w:rsidR="004E6452" w:rsidRPr="001570EA" w:rsidRDefault="004E6452" w:rsidP="004E6452">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98</w:t>
      </w:r>
      <w:r w:rsidR="002E093A" w:rsidRPr="001570EA">
        <w:fldChar w:fldCharType="end"/>
      </w:r>
      <w:bookmarkEnd w:id="575"/>
      <w:r w:rsidRPr="001570EA">
        <w:t>: Federal Standard and ENERGY STAR Coolers Maximum Annual Energy Consumption for Known Configuration and Volume</w:t>
      </w:r>
      <w:r w:rsidRPr="001570EA">
        <w:rPr>
          <w:rStyle w:val="FootnoteReference"/>
          <w:rFonts w:cs="Arial"/>
        </w:rPr>
        <w:footnoteReference w:id="14"/>
      </w:r>
    </w:p>
    <w:tbl>
      <w:tblPr>
        <w:tblW w:w="8715" w:type="dxa"/>
        <w:tblInd w:w="108" w:type="dxa"/>
        <w:tblLook w:val="04A0" w:firstRow="1" w:lastRow="0" w:firstColumn="1" w:lastColumn="0" w:noHBand="0" w:noVBand="1"/>
      </w:tblPr>
      <w:tblGrid>
        <w:gridCol w:w="5197"/>
        <w:gridCol w:w="1710"/>
        <w:gridCol w:w="1800"/>
        <w:gridCol w:w="8"/>
      </w:tblGrid>
      <w:tr w:rsidR="004E6452" w:rsidRPr="001570EA" w14:paraId="7466C24C" w14:textId="77777777">
        <w:trPr>
          <w:gridAfter w:val="1"/>
          <w:wAfter w:w="8" w:type="dxa"/>
          <w:trHeight w:val="845"/>
          <w:tblHeader/>
        </w:trPr>
        <w:tc>
          <w:tcPr>
            <w:tcW w:w="51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C086FC5" w14:textId="77777777" w:rsidR="004E6452" w:rsidRPr="001570EA" w:rsidRDefault="004E6452">
            <w:pPr>
              <w:keepNext/>
              <w:spacing w:before="80" w:after="80"/>
              <w:jc w:val="left"/>
              <w:rPr>
                <w:rFonts w:cs="Arial"/>
                <w:b/>
                <w:bCs/>
                <w:color w:val="000000"/>
                <w:sz w:val="18"/>
                <w:szCs w:val="18"/>
              </w:rPr>
            </w:pPr>
            <w:r w:rsidRPr="001570EA">
              <w:rPr>
                <w:rFonts w:cs="Arial"/>
                <w:b/>
                <w:bCs/>
                <w:color w:val="000000"/>
                <w:sz w:val="18"/>
                <w:szCs w:val="18"/>
              </w:rPr>
              <w:t>Cooler Configuration Class</w:t>
            </w:r>
          </w:p>
        </w:tc>
        <w:tc>
          <w:tcPr>
            <w:tcW w:w="171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AB47E7B" w14:textId="77777777" w:rsidR="004E6452" w:rsidRPr="001570EA" w:rsidRDefault="004E6452">
            <w:pPr>
              <w:keepNext/>
              <w:spacing w:before="80" w:after="80"/>
              <w:jc w:val="center"/>
              <w:rPr>
                <w:rFonts w:cs="Arial"/>
                <w:b/>
                <w:bCs/>
                <w:color w:val="000000"/>
                <w:sz w:val="18"/>
                <w:szCs w:val="18"/>
              </w:rPr>
            </w:pPr>
            <w:r w:rsidRPr="001570EA">
              <w:rPr>
                <w:rFonts w:cs="Arial"/>
                <w:b/>
                <w:bCs/>
                <w:color w:val="000000"/>
                <w:sz w:val="18"/>
                <w:szCs w:val="18"/>
              </w:rPr>
              <w:t>Federal Standard Maximum Usage in kWh/yr</w:t>
            </w:r>
          </w:p>
        </w:tc>
        <w:tc>
          <w:tcPr>
            <w:tcW w:w="180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9650B14" w14:textId="77777777" w:rsidR="004E6452" w:rsidRPr="001570EA" w:rsidRDefault="004E6452">
            <w:pPr>
              <w:keepNext/>
              <w:spacing w:before="80" w:after="80"/>
              <w:jc w:val="center"/>
              <w:rPr>
                <w:rFonts w:cs="Arial"/>
                <w:b/>
                <w:bCs/>
                <w:color w:val="000000"/>
                <w:sz w:val="18"/>
                <w:szCs w:val="18"/>
              </w:rPr>
            </w:pPr>
            <w:r w:rsidRPr="001570EA">
              <w:rPr>
                <w:rFonts w:cs="Arial"/>
                <w:b/>
                <w:bCs/>
                <w:color w:val="000000"/>
                <w:sz w:val="18"/>
                <w:szCs w:val="18"/>
              </w:rPr>
              <w:t>ENERGY STAR Maximum Energy Usage in kWh/yr</w:t>
            </w:r>
          </w:p>
        </w:tc>
      </w:tr>
      <w:tr w:rsidR="004E6452" w:rsidRPr="001570EA" w14:paraId="113ACAF8" w14:textId="77777777">
        <w:trPr>
          <w:trHeight w:val="395"/>
        </w:trPr>
        <w:tc>
          <w:tcPr>
            <w:tcW w:w="8715" w:type="dxa"/>
            <w:gridSpan w:val="4"/>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noWrap/>
            <w:vAlign w:val="center"/>
          </w:tcPr>
          <w:p w14:paraId="2538DB1E" w14:textId="77777777" w:rsidR="004E6452" w:rsidRPr="001570EA" w:rsidRDefault="004E6452">
            <w:pPr>
              <w:keepNext/>
              <w:spacing w:before="80" w:after="80"/>
              <w:rPr>
                <w:rFonts w:cs="Arial"/>
                <w:b/>
                <w:bCs/>
                <w:color w:val="000000"/>
                <w:sz w:val="18"/>
                <w:szCs w:val="18"/>
              </w:rPr>
            </w:pPr>
            <w:r w:rsidRPr="001570EA">
              <w:rPr>
                <w:rFonts w:cs="Arial"/>
                <w:b/>
                <w:bCs/>
                <w:color w:val="000000"/>
                <w:sz w:val="18"/>
                <w:szCs w:val="18"/>
              </w:rPr>
              <w:t>Standard: 7.75 cubic feet or greater</w:t>
            </w:r>
          </w:p>
        </w:tc>
      </w:tr>
      <w:tr w:rsidR="004E6452" w:rsidRPr="001570EA" w14:paraId="01857D4F" w14:textId="77777777">
        <w:trPr>
          <w:gridAfter w:val="1"/>
          <w:wAfter w:w="8" w:type="dxa"/>
          <w:trHeight w:val="352"/>
        </w:trPr>
        <w:tc>
          <w:tcPr>
            <w:tcW w:w="5197" w:type="dxa"/>
            <w:tcBorders>
              <w:top w:val="nil"/>
              <w:left w:val="single" w:sz="4" w:space="0" w:color="auto"/>
              <w:bottom w:val="single" w:sz="4" w:space="0" w:color="auto"/>
              <w:right w:val="single" w:sz="4" w:space="0" w:color="auto"/>
            </w:tcBorders>
            <w:shd w:val="clear" w:color="auto" w:fill="FFFFFF" w:themeFill="background1"/>
            <w:vAlign w:val="center"/>
          </w:tcPr>
          <w:p w14:paraId="178940FF" w14:textId="77777777" w:rsidR="004E6452" w:rsidRPr="001570EA" w:rsidRDefault="004E6452">
            <w:pPr>
              <w:keepNext/>
              <w:spacing w:before="80" w:after="80"/>
              <w:rPr>
                <w:rFonts w:cs="Arial"/>
                <w:color w:val="000000"/>
                <w:sz w:val="18"/>
                <w:szCs w:val="18"/>
              </w:rPr>
            </w:pPr>
            <w:r w:rsidRPr="001570EA">
              <w:rPr>
                <w:rFonts w:cs="Arial"/>
                <w:color w:val="000000"/>
                <w:sz w:val="18"/>
                <w:szCs w:val="18"/>
              </w:rPr>
              <w:t>2. Built-in</w:t>
            </w:r>
          </w:p>
        </w:tc>
        <w:tc>
          <w:tcPr>
            <w:tcW w:w="1710" w:type="dxa"/>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078F3342"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7.88 × AV + 155.8</w:t>
            </w:r>
          </w:p>
        </w:tc>
        <w:tc>
          <w:tcPr>
            <w:tcW w:w="1800" w:type="dxa"/>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1BAE1C6F"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5.52 × AV + 109.1</w:t>
            </w:r>
          </w:p>
        </w:tc>
      </w:tr>
      <w:tr w:rsidR="004E6452" w:rsidRPr="001570EA" w14:paraId="61B7D3E0" w14:textId="77777777">
        <w:trPr>
          <w:gridAfter w:val="1"/>
          <w:wAfter w:w="8" w:type="dxa"/>
          <w:trHeight w:val="352"/>
        </w:trPr>
        <w:tc>
          <w:tcPr>
            <w:tcW w:w="5197" w:type="dxa"/>
            <w:tcBorders>
              <w:top w:val="nil"/>
              <w:left w:val="single" w:sz="4" w:space="0" w:color="auto"/>
              <w:bottom w:val="single" w:sz="4" w:space="0" w:color="auto"/>
              <w:right w:val="single" w:sz="4" w:space="0" w:color="auto"/>
            </w:tcBorders>
            <w:shd w:val="clear" w:color="auto" w:fill="FFFFFF" w:themeFill="background1"/>
          </w:tcPr>
          <w:p w14:paraId="7924EEE7" w14:textId="77777777" w:rsidR="004E6452" w:rsidRPr="001570EA" w:rsidRDefault="004E6452">
            <w:pPr>
              <w:keepNext/>
              <w:spacing w:before="80" w:after="80"/>
              <w:rPr>
                <w:rFonts w:cs="Arial"/>
                <w:color w:val="000000"/>
                <w:sz w:val="18"/>
                <w:szCs w:val="18"/>
              </w:rPr>
            </w:pPr>
            <w:r w:rsidRPr="001570EA">
              <w:rPr>
                <w:rFonts w:cs="Arial"/>
                <w:color w:val="000000"/>
                <w:sz w:val="18"/>
                <w:szCs w:val="18"/>
              </w:rPr>
              <w:t>4. Freestanding</w:t>
            </w:r>
          </w:p>
        </w:tc>
        <w:tc>
          <w:tcPr>
            <w:tcW w:w="1710" w:type="dxa"/>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18EDFE65"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7.88 × AV + 155.8</w:t>
            </w:r>
          </w:p>
        </w:tc>
        <w:tc>
          <w:tcPr>
            <w:tcW w:w="1800" w:type="dxa"/>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7D452C0C"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7.09 × AV + 140.2</w:t>
            </w:r>
          </w:p>
        </w:tc>
      </w:tr>
      <w:tr w:rsidR="004E6452" w:rsidRPr="001570EA" w14:paraId="3D318B2B" w14:textId="77777777">
        <w:trPr>
          <w:trHeight w:val="395"/>
        </w:trPr>
        <w:tc>
          <w:tcPr>
            <w:tcW w:w="8715" w:type="dxa"/>
            <w:gridSpan w:val="4"/>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noWrap/>
            <w:vAlign w:val="center"/>
            <w:hideMark/>
          </w:tcPr>
          <w:p w14:paraId="64481A9B" w14:textId="77777777" w:rsidR="004E6452" w:rsidRPr="001570EA" w:rsidRDefault="004E6452">
            <w:pPr>
              <w:keepNext/>
              <w:spacing w:before="80" w:after="80"/>
              <w:rPr>
                <w:rFonts w:cs="Arial"/>
                <w:b/>
                <w:bCs/>
                <w:color w:val="000000"/>
                <w:sz w:val="18"/>
                <w:szCs w:val="18"/>
              </w:rPr>
            </w:pPr>
            <w:r w:rsidRPr="001570EA">
              <w:rPr>
                <w:rFonts w:cs="Arial"/>
                <w:b/>
                <w:bCs/>
                <w:color w:val="000000"/>
                <w:sz w:val="18"/>
                <w:szCs w:val="18"/>
              </w:rPr>
              <w:t>Compact: less than 7.75 cubic feet</w:t>
            </w:r>
          </w:p>
        </w:tc>
      </w:tr>
      <w:tr w:rsidR="004E6452" w:rsidRPr="001570EA" w14:paraId="26947B72" w14:textId="77777777">
        <w:trPr>
          <w:gridAfter w:val="1"/>
          <w:wAfter w:w="8" w:type="dxa"/>
          <w:trHeight w:val="352"/>
        </w:trPr>
        <w:tc>
          <w:tcPr>
            <w:tcW w:w="5197" w:type="dxa"/>
            <w:tcBorders>
              <w:top w:val="nil"/>
              <w:left w:val="single" w:sz="4" w:space="0" w:color="auto"/>
              <w:bottom w:val="single" w:sz="4" w:space="0" w:color="auto"/>
              <w:right w:val="single" w:sz="4" w:space="0" w:color="auto"/>
            </w:tcBorders>
            <w:shd w:val="clear" w:color="auto" w:fill="FFFFFF" w:themeFill="background1"/>
            <w:vAlign w:val="center"/>
          </w:tcPr>
          <w:p w14:paraId="30B4C8D0" w14:textId="77777777" w:rsidR="004E6452" w:rsidRPr="001570EA" w:rsidRDefault="004E6452">
            <w:pPr>
              <w:keepNext/>
              <w:spacing w:before="80" w:after="80"/>
              <w:rPr>
                <w:rFonts w:cs="Arial"/>
                <w:color w:val="000000"/>
                <w:sz w:val="18"/>
                <w:szCs w:val="18"/>
              </w:rPr>
            </w:pPr>
            <w:r w:rsidRPr="001570EA">
              <w:rPr>
                <w:rFonts w:cs="Arial"/>
                <w:color w:val="000000"/>
                <w:sz w:val="18"/>
                <w:szCs w:val="18"/>
              </w:rPr>
              <w:t>1. Built-in compact</w:t>
            </w:r>
          </w:p>
        </w:tc>
        <w:tc>
          <w:tcPr>
            <w:tcW w:w="1710" w:type="dxa"/>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2288A563"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7.88 × AV + 155.8</w:t>
            </w:r>
          </w:p>
        </w:tc>
        <w:tc>
          <w:tcPr>
            <w:tcW w:w="1800" w:type="dxa"/>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6F3D87ED"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5.52 × AV + 109.1</w:t>
            </w:r>
          </w:p>
        </w:tc>
      </w:tr>
      <w:tr w:rsidR="004E6452" w:rsidRPr="001570EA" w14:paraId="577EF72F" w14:textId="77777777">
        <w:trPr>
          <w:gridAfter w:val="1"/>
          <w:wAfter w:w="8" w:type="dxa"/>
          <w:trHeight w:val="352"/>
        </w:trPr>
        <w:tc>
          <w:tcPr>
            <w:tcW w:w="5197" w:type="dxa"/>
            <w:tcBorders>
              <w:top w:val="nil"/>
              <w:left w:val="single" w:sz="4" w:space="0" w:color="auto"/>
              <w:bottom w:val="single" w:sz="4" w:space="0" w:color="auto"/>
              <w:right w:val="single" w:sz="4" w:space="0" w:color="auto"/>
            </w:tcBorders>
            <w:shd w:val="clear" w:color="auto" w:fill="FFFFFF" w:themeFill="background1"/>
          </w:tcPr>
          <w:p w14:paraId="29509111" w14:textId="77777777" w:rsidR="004E6452" w:rsidRPr="001570EA" w:rsidRDefault="004E6452">
            <w:pPr>
              <w:keepNext/>
              <w:spacing w:before="80" w:after="80"/>
              <w:rPr>
                <w:rFonts w:cs="Arial"/>
                <w:color w:val="000000"/>
                <w:sz w:val="18"/>
                <w:szCs w:val="18"/>
              </w:rPr>
            </w:pPr>
            <w:r w:rsidRPr="001570EA">
              <w:rPr>
                <w:rFonts w:cs="Arial"/>
                <w:color w:val="000000"/>
                <w:sz w:val="18"/>
                <w:szCs w:val="18"/>
              </w:rPr>
              <w:t>3. Freestanding compact</w:t>
            </w:r>
          </w:p>
        </w:tc>
        <w:tc>
          <w:tcPr>
            <w:tcW w:w="1710" w:type="dxa"/>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12DA0C0D"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7.88 × AV + 155.8</w:t>
            </w:r>
          </w:p>
        </w:tc>
        <w:tc>
          <w:tcPr>
            <w:tcW w:w="1800" w:type="dxa"/>
            <w:tcBorders>
              <w:top w:val="nil"/>
              <w:left w:val="single" w:sz="4" w:space="0" w:color="auto"/>
              <w:bottom w:val="single" w:sz="4" w:space="0" w:color="000000" w:themeColor="text1"/>
              <w:right w:val="single" w:sz="4" w:space="0" w:color="auto"/>
            </w:tcBorders>
            <w:shd w:val="clear" w:color="auto" w:fill="FFFFFF" w:themeFill="background1"/>
            <w:noWrap/>
            <w:vAlign w:val="center"/>
          </w:tcPr>
          <w:p w14:paraId="520CFE27"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6.30 × AV + 124.6</w:t>
            </w:r>
          </w:p>
        </w:tc>
      </w:tr>
    </w:tbl>
    <w:p w14:paraId="3CDD97D2" w14:textId="77777777" w:rsidR="004E6452" w:rsidRPr="001570EA" w:rsidRDefault="004E6452" w:rsidP="004E6452">
      <w:pPr>
        <w:pStyle w:val="NoSpacing"/>
        <w:jc w:val="left"/>
        <w:rPr>
          <w:rFonts w:cs="Arial"/>
          <w:szCs w:val="20"/>
        </w:rPr>
      </w:pPr>
    </w:p>
    <w:p w14:paraId="1C1633A6" w14:textId="77777777" w:rsidR="004E6452" w:rsidRPr="001570EA" w:rsidRDefault="004E6452" w:rsidP="004E6452">
      <w:pPr>
        <w:pStyle w:val="SubStyle"/>
        <w:keepNext/>
      </w:pPr>
      <w:r w:rsidRPr="001570EA">
        <w:t>Default Savings</w:t>
      </w:r>
    </w:p>
    <w:p w14:paraId="1AC83169" w14:textId="5AFC855C" w:rsidR="004E6452" w:rsidRPr="001570EA" w:rsidRDefault="004E6452" w:rsidP="004E6452">
      <w:pPr>
        <w:pStyle w:val="Caption"/>
        <w:rPr>
          <w:rFonts w:cs="Arial"/>
          <w:b w:val="0"/>
        </w:rPr>
      </w:pPr>
      <w:bookmarkStart w:id="576" w:name="_Ref16391257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99</w:t>
      </w:r>
      <w:r w:rsidR="002E093A" w:rsidRPr="001570EA">
        <w:fldChar w:fldCharType="end"/>
      </w:r>
      <w:bookmarkEnd w:id="576"/>
      <w:r w:rsidRPr="001570EA">
        <w:rPr>
          <w:rFonts w:cs="Arial"/>
        </w:rPr>
        <w:t>: Default Savings Values for ENERGY STAR Coolers</w:t>
      </w:r>
      <w:r w:rsidRPr="001570EA">
        <w:rPr>
          <w:rStyle w:val="FootnoteReference"/>
        </w:rPr>
        <w:footnoteReference w:id="15"/>
      </w:r>
    </w:p>
    <w:tbl>
      <w:tblPr>
        <w:tblW w:w="9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1207"/>
        <w:gridCol w:w="1440"/>
        <w:gridCol w:w="1170"/>
        <w:gridCol w:w="1080"/>
        <w:gridCol w:w="941"/>
        <w:gridCol w:w="941"/>
      </w:tblGrid>
      <w:tr w:rsidR="004E6452" w:rsidRPr="001570EA" w14:paraId="619B7E9D" w14:textId="77777777">
        <w:trPr>
          <w:trHeight w:val="1142"/>
          <w:tblHeader/>
        </w:trPr>
        <w:tc>
          <w:tcPr>
            <w:tcW w:w="2910" w:type="dxa"/>
            <w:shd w:val="clear" w:color="auto" w:fill="BFBFBF" w:themeFill="background1" w:themeFillShade="BF"/>
            <w:noWrap/>
            <w:vAlign w:val="center"/>
            <w:hideMark/>
          </w:tcPr>
          <w:p w14:paraId="0D1C5546" w14:textId="77777777" w:rsidR="004E6452" w:rsidRPr="001570EA" w:rsidRDefault="004E6452">
            <w:pPr>
              <w:keepNext/>
              <w:spacing w:before="80" w:after="80"/>
              <w:jc w:val="left"/>
              <w:rPr>
                <w:rFonts w:cs="Arial"/>
                <w:b/>
                <w:bCs/>
                <w:color w:val="000000"/>
                <w:sz w:val="18"/>
                <w:szCs w:val="18"/>
              </w:rPr>
            </w:pPr>
            <w:r w:rsidRPr="001570EA">
              <w:rPr>
                <w:rFonts w:cs="Arial"/>
                <w:b/>
                <w:bCs/>
                <w:color w:val="000000"/>
                <w:sz w:val="18"/>
                <w:szCs w:val="18"/>
              </w:rPr>
              <w:t>Cooler Configuration Class</w:t>
            </w:r>
          </w:p>
        </w:tc>
        <w:tc>
          <w:tcPr>
            <w:tcW w:w="1207" w:type="dxa"/>
            <w:shd w:val="clear" w:color="auto" w:fill="BFBFBF" w:themeFill="background1" w:themeFillShade="BF"/>
            <w:vAlign w:val="center"/>
          </w:tcPr>
          <w:p w14:paraId="130026E3" w14:textId="0E5A03FA" w:rsidR="004E6452" w:rsidRPr="001570EA" w:rsidRDefault="004E6452">
            <w:pPr>
              <w:keepNext/>
              <w:spacing w:before="80" w:after="80"/>
              <w:jc w:val="center"/>
              <w:rPr>
                <w:rFonts w:cs="Arial"/>
                <w:b/>
                <w:bCs/>
                <w:color w:val="000000"/>
                <w:sz w:val="18"/>
                <w:szCs w:val="18"/>
              </w:rPr>
            </w:pPr>
            <w:r w:rsidRPr="001570EA">
              <w:rPr>
                <w:rFonts w:cs="Arial"/>
                <w:b/>
                <w:bCs/>
                <w:color w:val="000000"/>
                <w:sz w:val="18"/>
                <w:szCs w:val="18"/>
              </w:rPr>
              <w:t>Assumed Adjusted Volume (cubic feet)</w:t>
            </w:r>
            <w:r w:rsidRPr="001570EA">
              <w:rPr>
                <w:vertAlign w:val="superscript"/>
              </w:rPr>
              <w:t>Source 5,6</w:t>
            </w:r>
          </w:p>
        </w:tc>
        <w:tc>
          <w:tcPr>
            <w:tcW w:w="1440" w:type="dxa"/>
            <w:shd w:val="clear" w:color="auto" w:fill="BFBFBF" w:themeFill="background1" w:themeFillShade="BF"/>
            <w:vAlign w:val="center"/>
            <w:hideMark/>
          </w:tcPr>
          <w:p w14:paraId="07E09EBF" w14:textId="77777777" w:rsidR="004E6452" w:rsidRPr="001570EA" w:rsidRDefault="004E6452">
            <w:pPr>
              <w:keepNext/>
              <w:spacing w:before="80" w:after="80"/>
              <w:jc w:val="center"/>
              <w:rPr>
                <w:rFonts w:cs="Arial"/>
                <w:b/>
                <w:bCs/>
                <w:color w:val="000000"/>
                <w:sz w:val="18"/>
                <w:szCs w:val="18"/>
              </w:rPr>
            </w:pPr>
            <w:r w:rsidRPr="001570EA">
              <w:rPr>
                <w:rFonts w:cs="Arial"/>
                <w:b/>
                <w:bCs/>
                <w:color w:val="000000"/>
                <w:sz w:val="18"/>
                <w:szCs w:val="18"/>
              </w:rPr>
              <w:t>Conventional Unit Energy Usage in  kWh/yr</w:t>
            </w:r>
          </w:p>
        </w:tc>
        <w:tc>
          <w:tcPr>
            <w:tcW w:w="1170" w:type="dxa"/>
            <w:shd w:val="clear" w:color="auto" w:fill="BFBFBF" w:themeFill="background1" w:themeFillShade="BF"/>
            <w:vAlign w:val="center"/>
            <w:hideMark/>
          </w:tcPr>
          <w:p w14:paraId="4F36B56A" w14:textId="77777777" w:rsidR="004E6452" w:rsidRPr="001570EA" w:rsidRDefault="004E6452">
            <w:pPr>
              <w:keepNext/>
              <w:spacing w:before="80" w:after="80"/>
              <w:jc w:val="center"/>
              <w:rPr>
                <w:rFonts w:cs="Arial"/>
                <w:b/>
                <w:bCs/>
                <w:color w:val="000000"/>
                <w:sz w:val="18"/>
                <w:szCs w:val="18"/>
              </w:rPr>
            </w:pPr>
            <w:r w:rsidRPr="001570EA">
              <w:rPr>
                <w:rFonts w:cs="Arial"/>
                <w:b/>
                <w:bCs/>
                <w:color w:val="000000"/>
                <w:sz w:val="18"/>
                <w:szCs w:val="18"/>
              </w:rPr>
              <w:t>ENERGY STAR Energy Usage in kWh/yr</w:t>
            </w:r>
          </w:p>
        </w:tc>
        <w:tc>
          <w:tcPr>
            <w:tcW w:w="1080" w:type="dxa"/>
            <w:shd w:val="clear" w:color="auto" w:fill="BFBFBF" w:themeFill="background1" w:themeFillShade="BF"/>
            <w:noWrap/>
            <w:vAlign w:val="center"/>
            <w:hideMark/>
          </w:tcPr>
          <w:p w14:paraId="00DA8DE9" w14:textId="77777777" w:rsidR="004E6452" w:rsidRPr="001570EA" w:rsidRDefault="004E6452">
            <w:pPr>
              <w:keepNext/>
              <w:spacing w:before="80" w:after="80"/>
              <w:jc w:val="center"/>
              <w:rPr>
                <w:rFonts w:cs="Arial"/>
                <w:b/>
                <w:bCs/>
                <w:color w:val="000000"/>
                <w:sz w:val="18"/>
                <w:szCs w:val="18"/>
              </w:rPr>
            </w:pPr>
            <w:r w:rsidRPr="001570EA">
              <w:rPr>
                <w:rFonts w:cs="Arial"/>
                <w:b/>
                <w:bCs/>
                <w:color w:val="000000"/>
                <w:sz w:val="18"/>
                <w:szCs w:val="18"/>
              </w:rPr>
              <w:t>ΔkWh/yr</w:t>
            </w:r>
            <w:r w:rsidRPr="001570EA">
              <w:rPr>
                <w:rStyle w:val="FootnoteReference"/>
                <w:b/>
                <w:bCs/>
                <w:color w:val="000000"/>
                <w:sz w:val="18"/>
                <w:szCs w:val="18"/>
              </w:rPr>
              <w:footnoteReference w:id="16"/>
            </w:r>
          </w:p>
        </w:tc>
        <w:tc>
          <w:tcPr>
            <w:tcW w:w="941" w:type="dxa"/>
            <w:shd w:val="clear" w:color="auto" w:fill="BFBFBF" w:themeFill="background1" w:themeFillShade="BF"/>
            <w:noWrap/>
            <w:vAlign w:val="center"/>
            <w:hideMark/>
          </w:tcPr>
          <w:p w14:paraId="5B82D46C" w14:textId="77777777" w:rsidR="004E6452" w:rsidRPr="001570EA" w:rsidRDefault="004E6452">
            <w:pPr>
              <w:keepNext/>
              <w:spacing w:before="80" w:after="80"/>
              <w:jc w:val="center"/>
              <w:rPr>
                <w:rFonts w:cs="Arial"/>
                <w:b/>
                <w:bCs/>
                <w:color w:val="000000"/>
                <w:sz w:val="18"/>
                <w:szCs w:val="18"/>
                <w:vertAlign w:val="subscript"/>
              </w:rPr>
            </w:pPr>
            <w:r w:rsidRPr="001570EA">
              <w:rPr>
                <w:rFonts w:cs="Arial"/>
                <w:b/>
                <w:bCs/>
                <w:color w:val="000000"/>
                <w:sz w:val="18"/>
                <w:szCs w:val="18"/>
              </w:rPr>
              <w:t>ΔkW</w:t>
            </w:r>
            <w:r w:rsidRPr="001570EA">
              <w:rPr>
                <w:rFonts w:cs="Arial"/>
                <w:b/>
                <w:bCs/>
                <w:color w:val="000000"/>
                <w:sz w:val="18"/>
                <w:szCs w:val="18"/>
                <w:vertAlign w:val="subscript"/>
              </w:rPr>
              <w:t>summer peak</w:t>
            </w:r>
          </w:p>
        </w:tc>
        <w:tc>
          <w:tcPr>
            <w:tcW w:w="941" w:type="dxa"/>
            <w:shd w:val="clear" w:color="auto" w:fill="BFBFBF" w:themeFill="background1" w:themeFillShade="BF"/>
            <w:vAlign w:val="center"/>
          </w:tcPr>
          <w:p w14:paraId="451C1697" w14:textId="77777777" w:rsidR="004E6452" w:rsidRPr="001570EA" w:rsidRDefault="004E6452">
            <w:pPr>
              <w:keepNext/>
              <w:spacing w:before="80" w:after="80"/>
              <w:jc w:val="center"/>
              <w:rPr>
                <w:rFonts w:cs="Arial"/>
                <w:b/>
                <w:bCs/>
                <w:color w:val="000000"/>
                <w:sz w:val="18"/>
                <w:szCs w:val="18"/>
              </w:rPr>
            </w:pPr>
            <w:r w:rsidRPr="001570EA">
              <w:rPr>
                <w:rFonts w:cs="Arial"/>
                <w:b/>
                <w:bCs/>
                <w:color w:val="000000"/>
                <w:sz w:val="18"/>
                <w:szCs w:val="18"/>
              </w:rPr>
              <w:t>ΔkW</w:t>
            </w:r>
            <w:r w:rsidRPr="001570EA">
              <w:rPr>
                <w:rFonts w:cs="Arial"/>
                <w:b/>
                <w:bCs/>
                <w:color w:val="000000"/>
                <w:sz w:val="18"/>
                <w:szCs w:val="18"/>
                <w:vertAlign w:val="subscript"/>
              </w:rPr>
              <w:t>winter peak</w:t>
            </w:r>
          </w:p>
        </w:tc>
      </w:tr>
      <w:tr w:rsidR="004E6452" w:rsidRPr="001570EA" w14:paraId="4F8A67FE" w14:textId="77777777">
        <w:trPr>
          <w:trHeight w:val="389"/>
          <w:tblHeader/>
        </w:trPr>
        <w:tc>
          <w:tcPr>
            <w:tcW w:w="9689" w:type="dxa"/>
            <w:gridSpan w:val="7"/>
            <w:shd w:val="clear" w:color="auto" w:fill="F2F2F2" w:themeFill="background1" w:themeFillShade="F2"/>
            <w:noWrap/>
            <w:vAlign w:val="center"/>
          </w:tcPr>
          <w:p w14:paraId="25552C1F" w14:textId="77777777" w:rsidR="004E6452" w:rsidRPr="001570EA" w:rsidRDefault="004E6452">
            <w:pPr>
              <w:keepNext/>
              <w:spacing w:before="80" w:after="80"/>
              <w:jc w:val="left"/>
              <w:rPr>
                <w:rFonts w:cs="Arial"/>
                <w:b/>
                <w:bCs/>
                <w:color w:val="000000"/>
                <w:sz w:val="18"/>
                <w:szCs w:val="18"/>
              </w:rPr>
            </w:pPr>
            <w:r w:rsidRPr="001570EA">
              <w:rPr>
                <w:rFonts w:cs="Arial"/>
                <w:b/>
                <w:bCs/>
                <w:color w:val="000000"/>
                <w:sz w:val="18"/>
                <w:szCs w:val="18"/>
              </w:rPr>
              <w:t>Standard: 7.75 cubic feet or greater</w:t>
            </w:r>
          </w:p>
        </w:tc>
      </w:tr>
      <w:tr w:rsidR="004E6452" w:rsidRPr="001570EA" w14:paraId="79813954" w14:textId="77777777">
        <w:trPr>
          <w:trHeight w:val="299"/>
        </w:trPr>
        <w:tc>
          <w:tcPr>
            <w:tcW w:w="2910" w:type="dxa"/>
            <w:noWrap/>
            <w:vAlign w:val="center"/>
          </w:tcPr>
          <w:p w14:paraId="0BC46719" w14:textId="77777777" w:rsidR="004E6452" w:rsidRPr="001570EA" w:rsidRDefault="004E6452">
            <w:pPr>
              <w:keepNext/>
              <w:spacing w:before="80" w:after="80"/>
              <w:jc w:val="left"/>
              <w:rPr>
                <w:rFonts w:cs="Arial"/>
                <w:color w:val="000000"/>
                <w:sz w:val="18"/>
                <w:szCs w:val="18"/>
              </w:rPr>
            </w:pPr>
            <w:r w:rsidRPr="001570EA">
              <w:rPr>
                <w:rFonts w:cs="Arial"/>
                <w:color w:val="000000"/>
                <w:sz w:val="18"/>
                <w:szCs w:val="18"/>
              </w:rPr>
              <w:t>2. Built-in</w:t>
            </w:r>
          </w:p>
        </w:tc>
        <w:tc>
          <w:tcPr>
            <w:tcW w:w="1207" w:type="dxa"/>
          </w:tcPr>
          <w:p w14:paraId="08B3EC2C"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11.26</w:t>
            </w:r>
          </w:p>
        </w:tc>
        <w:tc>
          <w:tcPr>
            <w:tcW w:w="1440" w:type="dxa"/>
            <w:noWrap/>
          </w:tcPr>
          <w:p w14:paraId="79780F66" w14:textId="77777777" w:rsidR="004E6452" w:rsidRPr="001570EA" w:rsidDel="00C043FE" w:rsidRDefault="004E6452">
            <w:pPr>
              <w:keepNext/>
              <w:spacing w:before="80" w:after="80"/>
              <w:jc w:val="center"/>
              <w:rPr>
                <w:rFonts w:cs="Arial"/>
                <w:color w:val="000000"/>
                <w:sz w:val="18"/>
                <w:szCs w:val="18"/>
              </w:rPr>
            </w:pPr>
            <w:r w:rsidRPr="001570EA">
              <w:rPr>
                <w:sz w:val="18"/>
                <w:szCs w:val="18"/>
              </w:rPr>
              <w:t>244.5</w:t>
            </w:r>
          </w:p>
        </w:tc>
        <w:tc>
          <w:tcPr>
            <w:tcW w:w="1170" w:type="dxa"/>
            <w:noWrap/>
          </w:tcPr>
          <w:p w14:paraId="0DF3BDD5" w14:textId="77777777" w:rsidR="004E6452" w:rsidRPr="001570EA" w:rsidDel="00C043FE" w:rsidRDefault="004E6452">
            <w:pPr>
              <w:keepNext/>
              <w:spacing w:before="80" w:after="80"/>
              <w:jc w:val="center"/>
              <w:rPr>
                <w:rFonts w:cs="Arial"/>
                <w:color w:val="000000"/>
                <w:sz w:val="18"/>
                <w:szCs w:val="18"/>
              </w:rPr>
            </w:pPr>
            <w:r w:rsidRPr="001570EA">
              <w:rPr>
                <w:sz w:val="18"/>
                <w:szCs w:val="18"/>
              </w:rPr>
              <w:t>171.3</w:t>
            </w:r>
          </w:p>
        </w:tc>
        <w:tc>
          <w:tcPr>
            <w:tcW w:w="1080" w:type="dxa"/>
            <w:noWrap/>
          </w:tcPr>
          <w:p w14:paraId="5AC65EEE" w14:textId="77777777" w:rsidR="004E6452" w:rsidRPr="001570EA" w:rsidDel="00C043FE" w:rsidRDefault="004E6452">
            <w:pPr>
              <w:keepNext/>
              <w:spacing w:before="80" w:after="80"/>
              <w:jc w:val="center"/>
              <w:rPr>
                <w:rFonts w:cs="Arial"/>
                <w:color w:val="000000"/>
                <w:sz w:val="18"/>
                <w:szCs w:val="18"/>
              </w:rPr>
            </w:pPr>
            <w:r w:rsidRPr="001570EA">
              <w:rPr>
                <w:sz w:val="18"/>
                <w:szCs w:val="18"/>
              </w:rPr>
              <w:t>73</w:t>
            </w:r>
          </w:p>
        </w:tc>
        <w:tc>
          <w:tcPr>
            <w:tcW w:w="941" w:type="dxa"/>
            <w:noWrap/>
            <w:vAlign w:val="bottom"/>
          </w:tcPr>
          <w:p w14:paraId="0734C667" w14:textId="77777777" w:rsidR="004E6452" w:rsidRPr="001570EA" w:rsidDel="00C043FE" w:rsidRDefault="004E6452">
            <w:pPr>
              <w:keepNext/>
              <w:spacing w:before="80" w:after="80"/>
              <w:jc w:val="center"/>
              <w:rPr>
                <w:sz w:val="18"/>
                <w:szCs w:val="18"/>
              </w:rPr>
            </w:pPr>
            <w:r w:rsidRPr="001570EA">
              <w:rPr>
                <w:sz w:val="18"/>
                <w:szCs w:val="18"/>
              </w:rPr>
              <w:t>0.0099</w:t>
            </w:r>
          </w:p>
        </w:tc>
        <w:tc>
          <w:tcPr>
            <w:tcW w:w="941" w:type="dxa"/>
            <w:vAlign w:val="bottom"/>
          </w:tcPr>
          <w:p w14:paraId="0EAC0D27" w14:textId="77777777" w:rsidR="004E6452" w:rsidRPr="001570EA" w:rsidRDefault="004E6452">
            <w:pPr>
              <w:keepNext/>
              <w:spacing w:before="80" w:after="80"/>
              <w:jc w:val="center"/>
              <w:rPr>
                <w:sz w:val="18"/>
                <w:szCs w:val="18"/>
              </w:rPr>
            </w:pPr>
            <w:r w:rsidRPr="001570EA">
              <w:rPr>
                <w:sz w:val="18"/>
                <w:szCs w:val="18"/>
              </w:rPr>
              <w:t>0.0074</w:t>
            </w:r>
          </w:p>
        </w:tc>
      </w:tr>
      <w:tr w:rsidR="004E6452" w:rsidRPr="001570EA" w14:paraId="274E9FC9" w14:textId="77777777">
        <w:trPr>
          <w:trHeight w:val="299"/>
        </w:trPr>
        <w:tc>
          <w:tcPr>
            <w:tcW w:w="2910" w:type="dxa"/>
            <w:noWrap/>
            <w:hideMark/>
          </w:tcPr>
          <w:p w14:paraId="6D813324" w14:textId="77777777" w:rsidR="004E6452" w:rsidRPr="001570EA" w:rsidRDefault="004E6452">
            <w:pPr>
              <w:spacing w:before="80" w:after="80"/>
              <w:jc w:val="left"/>
              <w:rPr>
                <w:rFonts w:cs="Arial"/>
                <w:color w:val="000000"/>
                <w:sz w:val="18"/>
                <w:szCs w:val="18"/>
              </w:rPr>
            </w:pPr>
            <w:r w:rsidRPr="001570EA">
              <w:rPr>
                <w:rFonts w:cs="Arial"/>
                <w:color w:val="000000"/>
                <w:sz w:val="18"/>
                <w:szCs w:val="18"/>
              </w:rPr>
              <w:t>4. Freestanding</w:t>
            </w:r>
          </w:p>
        </w:tc>
        <w:tc>
          <w:tcPr>
            <w:tcW w:w="1207" w:type="dxa"/>
          </w:tcPr>
          <w:p w14:paraId="1093CE03"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14.63</w:t>
            </w:r>
          </w:p>
        </w:tc>
        <w:tc>
          <w:tcPr>
            <w:tcW w:w="1440" w:type="dxa"/>
            <w:noWrap/>
          </w:tcPr>
          <w:p w14:paraId="11530C27" w14:textId="77777777" w:rsidR="004E6452" w:rsidRPr="001570EA" w:rsidRDefault="004E6452">
            <w:pPr>
              <w:keepNext/>
              <w:spacing w:before="80" w:after="80"/>
              <w:jc w:val="center"/>
              <w:rPr>
                <w:rFonts w:cs="Arial"/>
                <w:color w:val="000000"/>
                <w:sz w:val="18"/>
                <w:szCs w:val="18"/>
              </w:rPr>
            </w:pPr>
            <w:r w:rsidRPr="001570EA">
              <w:rPr>
                <w:sz w:val="18"/>
                <w:szCs w:val="18"/>
              </w:rPr>
              <w:t>271.1</w:t>
            </w:r>
          </w:p>
        </w:tc>
        <w:tc>
          <w:tcPr>
            <w:tcW w:w="1170" w:type="dxa"/>
            <w:noWrap/>
          </w:tcPr>
          <w:p w14:paraId="3A05FD73" w14:textId="77777777" w:rsidR="004E6452" w:rsidRPr="001570EA" w:rsidRDefault="004E6452">
            <w:pPr>
              <w:keepNext/>
              <w:spacing w:before="80" w:after="80"/>
              <w:jc w:val="center"/>
              <w:rPr>
                <w:rFonts w:cs="Arial"/>
                <w:color w:val="000000"/>
                <w:sz w:val="18"/>
                <w:szCs w:val="18"/>
              </w:rPr>
            </w:pPr>
            <w:r w:rsidRPr="001570EA">
              <w:rPr>
                <w:sz w:val="18"/>
                <w:szCs w:val="18"/>
              </w:rPr>
              <w:t>243.9</w:t>
            </w:r>
          </w:p>
        </w:tc>
        <w:tc>
          <w:tcPr>
            <w:tcW w:w="1080" w:type="dxa"/>
            <w:noWrap/>
          </w:tcPr>
          <w:p w14:paraId="12D8F0FC" w14:textId="77777777" w:rsidR="004E6452" w:rsidRPr="001570EA" w:rsidRDefault="004E6452">
            <w:pPr>
              <w:keepNext/>
              <w:spacing w:before="80" w:after="80"/>
              <w:jc w:val="center"/>
              <w:rPr>
                <w:rFonts w:cs="Arial"/>
                <w:color w:val="000000"/>
                <w:sz w:val="18"/>
                <w:szCs w:val="18"/>
              </w:rPr>
            </w:pPr>
            <w:r w:rsidRPr="001570EA">
              <w:rPr>
                <w:sz w:val="18"/>
                <w:szCs w:val="18"/>
              </w:rPr>
              <w:t>27</w:t>
            </w:r>
          </w:p>
        </w:tc>
        <w:tc>
          <w:tcPr>
            <w:tcW w:w="941" w:type="dxa"/>
            <w:noWrap/>
            <w:vAlign w:val="bottom"/>
          </w:tcPr>
          <w:p w14:paraId="27A19C9C" w14:textId="77777777" w:rsidR="004E6452" w:rsidRPr="001570EA" w:rsidRDefault="004E6452">
            <w:pPr>
              <w:keepNext/>
              <w:spacing w:before="80" w:after="80"/>
              <w:jc w:val="center"/>
              <w:rPr>
                <w:sz w:val="18"/>
                <w:szCs w:val="18"/>
              </w:rPr>
            </w:pPr>
            <w:r w:rsidRPr="001570EA">
              <w:rPr>
                <w:sz w:val="18"/>
                <w:szCs w:val="18"/>
              </w:rPr>
              <w:t>0.0037</w:t>
            </w:r>
          </w:p>
        </w:tc>
        <w:tc>
          <w:tcPr>
            <w:tcW w:w="941" w:type="dxa"/>
            <w:vAlign w:val="bottom"/>
          </w:tcPr>
          <w:p w14:paraId="7E01D4D3" w14:textId="77777777" w:rsidR="004E6452" w:rsidRPr="001570EA" w:rsidRDefault="004E6452">
            <w:pPr>
              <w:keepNext/>
              <w:spacing w:before="80" w:after="80"/>
              <w:jc w:val="center"/>
              <w:rPr>
                <w:sz w:val="18"/>
                <w:szCs w:val="18"/>
              </w:rPr>
            </w:pPr>
            <w:r w:rsidRPr="001570EA">
              <w:rPr>
                <w:sz w:val="18"/>
                <w:szCs w:val="18"/>
              </w:rPr>
              <w:t>0.0027</w:t>
            </w:r>
          </w:p>
        </w:tc>
      </w:tr>
      <w:tr w:rsidR="004E6452" w:rsidRPr="001570EA" w14:paraId="5FF1E40C" w14:textId="77777777">
        <w:trPr>
          <w:trHeight w:val="389"/>
          <w:tblHeader/>
        </w:trPr>
        <w:tc>
          <w:tcPr>
            <w:tcW w:w="9689" w:type="dxa"/>
            <w:gridSpan w:val="7"/>
            <w:shd w:val="clear" w:color="auto" w:fill="F2F2F2" w:themeFill="background1" w:themeFillShade="F2"/>
            <w:noWrap/>
            <w:vAlign w:val="center"/>
          </w:tcPr>
          <w:p w14:paraId="0E54A2B0" w14:textId="77777777" w:rsidR="004E6452" w:rsidRPr="001570EA" w:rsidRDefault="004E6452">
            <w:pPr>
              <w:keepNext/>
              <w:spacing w:before="80" w:after="80"/>
              <w:jc w:val="left"/>
              <w:rPr>
                <w:rFonts w:cs="Arial"/>
                <w:b/>
                <w:bCs/>
                <w:color w:val="000000"/>
                <w:sz w:val="18"/>
                <w:szCs w:val="18"/>
              </w:rPr>
            </w:pPr>
            <w:r w:rsidRPr="001570EA">
              <w:rPr>
                <w:rFonts w:cs="Arial"/>
                <w:b/>
                <w:bCs/>
                <w:color w:val="000000"/>
                <w:sz w:val="18"/>
                <w:szCs w:val="18"/>
              </w:rPr>
              <w:t>Compact: less than 7.75 cubic feet</w:t>
            </w:r>
          </w:p>
        </w:tc>
      </w:tr>
      <w:tr w:rsidR="004E6452" w:rsidRPr="001570EA" w14:paraId="60004F5C" w14:textId="77777777">
        <w:trPr>
          <w:trHeight w:val="299"/>
        </w:trPr>
        <w:tc>
          <w:tcPr>
            <w:tcW w:w="2910" w:type="dxa"/>
            <w:noWrap/>
            <w:vAlign w:val="center"/>
            <w:hideMark/>
          </w:tcPr>
          <w:p w14:paraId="5DC67D58" w14:textId="77777777" w:rsidR="004E6452" w:rsidRPr="001570EA" w:rsidRDefault="004E6452">
            <w:pPr>
              <w:keepNext/>
              <w:spacing w:before="80" w:after="80"/>
              <w:jc w:val="left"/>
              <w:rPr>
                <w:rFonts w:cs="Arial"/>
                <w:color w:val="000000"/>
                <w:sz w:val="18"/>
                <w:szCs w:val="18"/>
              </w:rPr>
            </w:pPr>
            <w:r w:rsidRPr="001570EA">
              <w:rPr>
                <w:rFonts w:cs="Arial"/>
                <w:color w:val="000000"/>
                <w:sz w:val="18"/>
                <w:szCs w:val="18"/>
              </w:rPr>
              <w:t>1. Built-in compact</w:t>
            </w:r>
          </w:p>
        </w:tc>
        <w:tc>
          <w:tcPr>
            <w:tcW w:w="1207" w:type="dxa"/>
          </w:tcPr>
          <w:p w14:paraId="22C382C5"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3.97</w:t>
            </w:r>
          </w:p>
        </w:tc>
        <w:tc>
          <w:tcPr>
            <w:tcW w:w="1440" w:type="dxa"/>
            <w:noWrap/>
          </w:tcPr>
          <w:p w14:paraId="417C8553" w14:textId="77777777" w:rsidR="004E6452" w:rsidRPr="001570EA" w:rsidRDefault="004E6452">
            <w:pPr>
              <w:keepNext/>
              <w:spacing w:before="80" w:after="80"/>
              <w:jc w:val="center"/>
              <w:rPr>
                <w:rFonts w:cs="Arial"/>
                <w:color w:val="000000"/>
                <w:sz w:val="18"/>
                <w:szCs w:val="18"/>
              </w:rPr>
            </w:pPr>
            <w:r w:rsidRPr="001570EA">
              <w:rPr>
                <w:sz w:val="18"/>
                <w:szCs w:val="18"/>
              </w:rPr>
              <w:t>187.1</w:t>
            </w:r>
          </w:p>
        </w:tc>
        <w:tc>
          <w:tcPr>
            <w:tcW w:w="1170" w:type="dxa"/>
            <w:noWrap/>
          </w:tcPr>
          <w:p w14:paraId="61139F1C" w14:textId="77777777" w:rsidR="004E6452" w:rsidRPr="001570EA" w:rsidRDefault="004E6452">
            <w:pPr>
              <w:keepNext/>
              <w:spacing w:before="80" w:after="80"/>
              <w:jc w:val="center"/>
              <w:rPr>
                <w:rFonts w:cs="Arial"/>
                <w:color w:val="000000"/>
                <w:sz w:val="18"/>
                <w:szCs w:val="18"/>
              </w:rPr>
            </w:pPr>
            <w:r w:rsidRPr="001570EA">
              <w:rPr>
                <w:sz w:val="18"/>
                <w:szCs w:val="18"/>
              </w:rPr>
              <w:t>131</w:t>
            </w:r>
          </w:p>
        </w:tc>
        <w:tc>
          <w:tcPr>
            <w:tcW w:w="1080" w:type="dxa"/>
            <w:noWrap/>
          </w:tcPr>
          <w:p w14:paraId="48CBECD5" w14:textId="77777777" w:rsidR="004E6452" w:rsidRPr="001570EA" w:rsidRDefault="004E6452">
            <w:pPr>
              <w:keepNext/>
              <w:spacing w:before="80" w:after="80"/>
              <w:jc w:val="center"/>
              <w:rPr>
                <w:rFonts w:cs="Arial"/>
                <w:color w:val="000000"/>
                <w:sz w:val="18"/>
                <w:szCs w:val="18"/>
              </w:rPr>
            </w:pPr>
            <w:r w:rsidRPr="001570EA">
              <w:rPr>
                <w:sz w:val="18"/>
                <w:szCs w:val="18"/>
              </w:rPr>
              <w:t>56</w:t>
            </w:r>
          </w:p>
        </w:tc>
        <w:tc>
          <w:tcPr>
            <w:tcW w:w="941" w:type="dxa"/>
            <w:noWrap/>
            <w:vAlign w:val="bottom"/>
          </w:tcPr>
          <w:p w14:paraId="5249844A" w14:textId="77777777" w:rsidR="004E6452" w:rsidRPr="001570EA" w:rsidRDefault="004E6452">
            <w:pPr>
              <w:keepNext/>
              <w:spacing w:before="80" w:after="80"/>
              <w:jc w:val="center"/>
              <w:rPr>
                <w:sz w:val="18"/>
                <w:szCs w:val="18"/>
              </w:rPr>
            </w:pPr>
            <w:r w:rsidRPr="001570EA">
              <w:rPr>
                <w:sz w:val="18"/>
                <w:szCs w:val="18"/>
              </w:rPr>
              <w:t>0.0076</w:t>
            </w:r>
          </w:p>
        </w:tc>
        <w:tc>
          <w:tcPr>
            <w:tcW w:w="941" w:type="dxa"/>
            <w:vAlign w:val="bottom"/>
          </w:tcPr>
          <w:p w14:paraId="6964EDB6" w14:textId="77777777" w:rsidR="004E6452" w:rsidRPr="001570EA" w:rsidRDefault="004E6452">
            <w:pPr>
              <w:keepNext/>
              <w:spacing w:before="80" w:after="80"/>
              <w:jc w:val="center"/>
              <w:rPr>
                <w:sz w:val="18"/>
                <w:szCs w:val="18"/>
              </w:rPr>
            </w:pPr>
            <w:r w:rsidRPr="001570EA">
              <w:rPr>
                <w:sz w:val="18"/>
                <w:szCs w:val="18"/>
              </w:rPr>
              <w:t>0.0057</w:t>
            </w:r>
          </w:p>
        </w:tc>
      </w:tr>
      <w:tr w:rsidR="004E6452" w:rsidRPr="001570EA" w14:paraId="718B8B6C" w14:textId="77777777">
        <w:trPr>
          <w:trHeight w:val="299"/>
        </w:trPr>
        <w:tc>
          <w:tcPr>
            <w:tcW w:w="2910" w:type="dxa"/>
            <w:noWrap/>
          </w:tcPr>
          <w:p w14:paraId="06F15A03" w14:textId="77777777" w:rsidR="004E6452" w:rsidRPr="001570EA" w:rsidRDefault="004E6452">
            <w:pPr>
              <w:spacing w:before="80" w:after="80"/>
              <w:jc w:val="left"/>
              <w:rPr>
                <w:rFonts w:cs="Arial"/>
                <w:color w:val="000000"/>
                <w:sz w:val="18"/>
                <w:szCs w:val="18"/>
              </w:rPr>
            </w:pPr>
            <w:r w:rsidRPr="001570EA">
              <w:rPr>
                <w:rFonts w:cs="Arial"/>
                <w:color w:val="000000"/>
                <w:sz w:val="18"/>
                <w:szCs w:val="18"/>
              </w:rPr>
              <w:t>3. Freestanding compact</w:t>
            </w:r>
          </w:p>
        </w:tc>
        <w:tc>
          <w:tcPr>
            <w:tcW w:w="1207" w:type="dxa"/>
          </w:tcPr>
          <w:p w14:paraId="7416D38B" w14:textId="77777777" w:rsidR="004E6452" w:rsidRPr="001570EA" w:rsidDel="008364F5" w:rsidRDefault="004E6452">
            <w:pPr>
              <w:spacing w:before="80" w:after="80"/>
              <w:jc w:val="center"/>
              <w:rPr>
                <w:rFonts w:cs="Arial"/>
                <w:color w:val="000000"/>
                <w:sz w:val="18"/>
                <w:szCs w:val="18"/>
              </w:rPr>
            </w:pPr>
            <w:r w:rsidRPr="001570EA">
              <w:rPr>
                <w:rFonts w:cs="Arial"/>
                <w:color w:val="000000"/>
                <w:sz w:val="18"/>
                <w:szCs w:val="18"/>
              </w:rPr>
              <w:t>3.82</w:t>
            </w:r>
          </w:p>
        </w:tc>
        <w:tc>
          <w:tcPr>
            <w:tcW w:w="1440" w:type="dxa"/>
            <w:noWrap/>
          </w:tcPr>
          <w:p w14:paraId="2ABE6D04" w14:textId="77777777" w:rsidR="004E6452" w:rsidRPr="001570EA" w:rsidDel="008364F5" w:rsidRDefault="004E6452">
            <w:pPr>
              <w:spacing w:before="80" w:after="80"/>
              <w:jc w:val="center"/>
              <w:rPr>
                <w:rFonts w:cs="Arial"/>
                <w:color w:val="000000"/>
                <w:sz w:val="18"/>
                <w:szCs w:val="18"/>
              </w:rPr>
            </w:pPr>
            <w:r w:rsidRPr="001570EA">
              <w:rPr>
                <w:sz w:val="18"/>
                <w:szCs w:val="18"/>
              </w:rPr>
              <w:t>185.9</w:t>
            </w:r>
          </w:p>
        </w:tc>
        <w:tc>
          <w:tcPr>
            <w:tcW w:w="1170" w:type="dxa"/>
            <w:noWrap/>
          </w:tcPr>
          <w:p w14:paraId="6668ED1F" w14:textId="77777777" w:rsidR="004E6452" w:rsidRPr="001570EA" w:rsidDel="008364F5" w:rsidRDefault="004E6452">
            <w:pPr>
              <w:spacing w:before="80" w:after="80"/>
              <w:jc w:val="center"/>
              <w:rPr>
                <w:rFonts w:cs="Arial"/>
                <w:color w:val="000000"/>
                <w:sz w:val="18"/>
                <w:szCs w:val="18"/>
              </w:rPr>
            </w:pPr>
            <w:r w:rsidRPr="001570EA">
              <w:rPr>
                <w:sz w:val="18"/>
                <w:szCs w:val="18"/>
              </w:rPr>
              <w:t>148.7</w:t>
            </w:r>
          </w:p>
        </w:tc>
        <w:tc>
          <w:tcPr>
            <w:tcW w:w="1080" w:type="dxa"/>
            <w:noWrap/>
          </w:tcPr>
          <w:p w14:paraId="625DA0B7" w14:textId="77777777" w:rsidR="004E6452" w:rsidRPr="001570EA" w:rsidDel="008364F5" w:rsidRDefault="004E6452">
            <w:pPr>
              <w:spacing w:before="80" w:after="80"/>
              <w:jc w:val="center"/>
              <w:rPr>
                <w:rFonts w:cs="Arial"/>
                <w:color w:val="000000"/>
                <w:sz w:val="18"/>
                <w:szCs w:val="18"/>
              </w:rPr>
            </w:pPr>
            <w:r w:rsidRPr="001570EA">
              <w:rPr>
                <w:sz w:val="18"/>
                <w:szCs w:val="18"/>
              </w:rPr>
              <w:t>37</w:t>
            </w:r>
          </w:p>
        </w:tc>
        <w:tc>
          <w:tcPr>
            <w:tcW w:w="941" w:type="dxa"/>
            <w:noWrap/>
            <w:vAlign w:val="bottom"/>
          </w:tcPr>
          <w:p w14:paraId="3CEB803F" w14:textId="77777777" w:rsidR="004E6452" w:rsidRPr="001570EA" w:rsidRDefault="004E6452">
            <w:pPr>
              <w:keepNext/>
              <w:spacing w:before="80" w:after="80"/>
              <w:jc w:val="center"/>
              <w:rPr>
                <w:sz w:val="18"/>
                <w:szCs w:val="18"/>
              </w:rPr>
            </w:pPr>
            <w:r w:rsidRPr="001570EA">
              <w:rPr>
                <w:sz w:val="18"/>
                <w:szCs w:val="18"/>
              </w:rPr>
              <w:t>0.0050</w:t>
            </w:r>
          </w:p>
        </w:tc>
        <w:tc>
          <w:tcPr>
            <w:tcW w:w="941" w:type="dxa"/>
            <w:vAlign w:val="bottom"/>
          </w:tcPr>
          <w:p w14:paraId="31A3BCB7" w14:textId="77777777" w:rsidR="004E6452" w:rsidRPr="001570EA" w:rsidRDefault="004E6452">
            <w:pPr>
              <w:keepNext/>
              <w:spacing w:before="80" w:after="80"/>
              <w:jc w:val="center"/>
              <w:rPr>
                <w:sz w:val="18"/>
                <w:szCs w:val="18"/>
              </w:rPr>
            </w:pPr>
            <w:r w:rsidRPr="001570EA">
              <w:rPr>
                <w:sz w:val="18"/>
                <w:szCs w:val="18"/>
              </w:rPr>
              <w:t>0.0038</w:t>
            </w:r>
          </w:p>
        </w:tc>
      </w:tr>
    </w:tbl>
    <w:p w14:paraId="1170B15D" w14:textId="77777777" w:rsidR="004E6452" w:rsidRPr="001570EA" w:rsidRDefault="004E6452" w:rsidP="004E6452">
      <w:pPr>
        <w:pStyle w:val="NoSpacing"/>
        <w:jc w:val="left"/>
        <w:rPr>
          <w:rFonts w:cs="Arial"/>
          <w:szCs w:val="20"/>
        </w:rPr>
      </w:pPr>
    </w:p>
    <w:p w14:paraId="2B50EB78" w14:textId="77777777" w:rsidR="004E6452" w:rsidRPr="001570EA" w:rsidRDefault="004E6452" w:rsidP="004E6452">
      <w:pPr>
        <w:pStyle w:val="SubStyle"/>
        <w:keepNext/>
        <w:keepLines/>
      </w:pPr>
      <w:r w:rsidRPr="001570EA">
        <w:t>Evaluation Protocols</w:t>
      </w:r>
    </w:p>
    <w:p w14:paraId="5A66144A" w14:textId="77777777" w:rsidR="004E6452" w:rsidRPr="001570EA" w:rsidRDefault="004E6452" w:rsidP="004E6452">
      <w:pPr>
        <w:pStyle w:val="BodyText"/>
        <w:ind w:right="0"/>
        <w:rPr>
          <w:rFonts w:cs="Arial"/>
        </w:rPr>
      </w:pPr>
      <w:r w:rsidRPr="001570EA">
        <w:t>For most projects, the appropriate evaluation protocol is to verify installation and proper selection of default values. For projects using customer-specific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19252F7B" w14:textId="77777777" w:rsidR="004E6452" w:rsidRPr="001570EA" w:rsidRDefault="004E6452" w:rsidP="004E6452">
      <w:pPr>
        <w:pStyle w:val="NoSpacing"/>
        <w:jc w:val="left"/>
        <w:rPr>
          <w:rFonts w:cs="Arial"/>
          <w:szCs w:val="20"/>
        </w:rPr>
      </w:pPr>
    </w:p>
    <w:p w14:paraId="429B37EF" w14:textId="77777777" w:rsidR="004E6452" w:rsidRPr="001570EA" w:rsidRDefault="004E6452" w:rsidP="004E6452">
      <w:pPr>
        <w:pStyle w:val="SubStyle"/>
      </w:pPr>
      <w:r w:rsidRPr="001570EA">
        <w:t>Sources</w:t>
      </w:r>
    </w:p>
    <w:p w14:paraId="57BD92C8" w14:textId="18E535B5" w:rsidR="004E6452" w:rsidRPr="001570EA" w:rsidRDefault="004E6452" w:rsidP="006D787B">
      <w:pPr>
        <w:pStyle w:val="ListParagraph"/>
        <w:numPr>
          <w:ilvl w:val="0"/>
          <w:numId w:val="64"/>
        </w:numPr>
        <w:overflowPunct/>
        <w:autoSpaceDE/>
        <w:autoSpaceDN/>
        <w:adjustRightInd/>
        <w:spacing w:after="120"/>
        <w:ind w:left="360"/>
        <w:jc w:val="left"/>
        <w:textAlignment w:val="auto"/>
        <w:rPr>
          <w:rFonts w:eastAsiaTheme="minorHAnsi" w:cs="Arial"/>
        </w:rPr>
      </w:pPr>
      <w:r w:rsidRPr="001570EA">
        <w:rPr>
          <w:rFonts w:cs="Arial"/>
          <w:color w:val="000000"/>
        </w:rPr>
        <w:t xml:space="preserve">California Electronic Technical Reference Manual. “Refrigerator or Freezer, Residential”. Accessed December 2023. </w:t>
      </w:r>
      <w:hyperlink r:id="rId242" w:history="1">
        <w:r w:rsidRPr="001570EA">
          <w:rPr>
            <w:rStyle w:val="Hyperlink"/>
            <w:rFonts w:cs="Arial"/>
          </w:rPr>
          <w:t>Weblink</w:t>
        </w:r>
      </w:hyperlink>
      <w:r w:rsidRPr="001570EA">
        <w:rPr>
          <w:rFonts w:cs="Arial"/>
          <w:color w:val="000000"/>
        </w:rPr>
        <w:t xml:space="preserve"> </w:t>
      </w:r>
    </w:p>
    <w:p w14:paraId="1EB4DD06" w14:textId="313EC9E0" w:rsidR="004E6452" w:rsidRPr="001570EA" w:rsidRDefault="004E6452" w:rsidP="006D787B">
      <w:pPr>
        <w:pStyle w:val="ListParagraph"/>
        <w:numPr>
          <w:ilvl w:val="0"/>
          <w:numId w:val="64"/>
        </w:numPr>
        <w:overflowPunct/>
        <w:autoSpaceDE/>
        <w:autoSpaceDN/>
        <w:adjustRightInd/>
        <w:spacing w:after="120"/>
        <w:ind w:left="360"/>
        <w:jc w:val="left"/>
        <w:textAlignment w:val="auto"/>
      </w:pPr>
      <w:r w:rsidRPr="001570EA">
        <w:rPr>
          <w:rFonts w:eastAsiaTheme="minorHAnsi" w:cs="Arial"/>
        </w:rPr>
        <w:t xml:space="preserve">10 CFR 430.32(aa) </w:t>
      </w:r>
      <w:hyperlink r:id="rId243" w:anchor="p-430.32(aa)" w:history="1">
        <w:r w:rsidRPr="001570EA">
          <w:rPr>
            <w:rStyle w:val="Hyperlink"/>
          </w:rPr>
          <w:t>Weblink</w:t>
        </w:r>
      </w:hyperlink>
    </w:p>
    <w:p w14:paraId="1B8FE4E8" w14:textId="56828DD2" w:rsidR="004E6452" w:rsidRPr="001570EA" w:rsidRDefault="004E6452" w:rsidP="006D787B">
      <w:pPr>
        <w:pStyle w:val="ListParagraph"/>
        <w:numPr>
          <w:ilvl w:val="0"/>
          <w:numId w:val="64"/>
        </w:numPr>
        <w:overflowPunct/>
        <w:autoSpaceDE/>
        <w:autoSpaceDN/>
        <w:adjustRightInd/>
        <w:spacing w:after="120"/>
        <w:ind w:left="360"/>
        <w:jc w:val="left"/>
        <w:textAlignment w:val="auto"/>
        <w:rPr>
          <w:rFonts w:cs="Arial"/>
          <w:color w:val="000000"/>
        </w:rPr>
      </w:pPr>
      <w:r w:rsidRPr="001570EA">
        <w:rPr>
          <w:rFonts w:cs="Arial"/>
          <w:color w:val="000000"/>
        </w:rPr>
        <w:t xml:space="preserve">U.S. EPA. (2014). ENERGY STAR Program Requirements Product Specifications for Consumer Refrigeration Products Version 5.1. </w:t>
      </w:r>
      <w:hyperlink r:id="rId244" w:history="1">
        <w:r w:rsidRPr="001570EA">
          <w:rPr>
            <w:rStyle w:val="Hyperlink"/>
            <w:rFonts w:cs="Arial"/>
          </w:rPr>
          <w:t>Weblink</w:t>
        </w:r>
      </w:hyperlink>
    </w:p>
    <w:p w14:paraId="7A4D54D2" w14:textId="11E28C4A" w:rsidR="004E6452" w:rsidRPr="001570EA" w:rsidRDefault="004E6452" w:rsidP="006D787B">
      <w:pPr>
        <w:pStyle w:val="ListParagraph"/>
        <w:numPr>
          <w:ilvl w:val="0"/>
          <w:numId w:val="64"/>
        </w:numPr>
        <w:overflowPunct/>
        <w:autoSpaceDE/>
        <w:autoSpaceDN/>
        <w:adjustRightInd/>
        <w:spacing w:after="120"/>
        <w:ind w:left="360"/>
        <w:jc w:val="left"/>
        <w:textAlignment w:val="auto"/>
        <w:rPr>
          <w:rFonts w:cs="Arial"/>
          <w:color w:val="000000"/>
        </w:rPr>
      </w:pPr>
      <w:r w:rsidRPr="001570EA">
        <w:rPr>
          <w:rFonts w:cs="Arial"/>
          <w:color w:val="000000"/>
        </w:rPr>
        <w:t xml:space="preserve">Wilson et al. 2021. End-Use Load Profiles for the U.S. Building Stock: Methodology and Results of Model Calibration, Validation, and Uncertainty Quantification. NREL/TP-5500-80889. </w:t>
      </w:r>
      <w:hyperlink r:id="rId245" w:history="1">
        <w:r w:rsidRPr="001570EA">
          <w:rPr>
            <w:rStyle w:val="Hyperlink"/>
            <w:rFonts w:cs="Arial"/>
          </w:rPr>
          <w:t>Weblink</w:t>
        </w:r>
      </w:hyperlink>
      <w:r w:rsidRPr="001570EA">
        <w:rPr>
          <w:rFonts w:cs="Arial"/>
          <w:color w:val="000000"/>
        </w:rPr>
        <w:t xml:space="preserve">  </w:t>
      </w:r>
    </w:p>
    <w:p w14:paraId="03BBF381" w14:textId="3D49EE53" w:rsidR="004E6452" w:rsidRPr="001570EA" w:rsidRDefault="004E6452" w:rsidP="006D787B">
      <w:pPr>
        <w:pStyle w:val="ListParagraph"/>
        <w:numPr>
          <w:ilvl w:val="0"/>
          <w:numId w:val="64"/>
        </w:numPr>
        <w:overflowPunct/>
        <w:autoSpaceDE/>
        <w:autoSpaceDN/>
        <w:adjustRightInd/>
        <w:spacing w:after="120"/>
        <w:ind w:left="360"/>
        <w:jc w:val="left"/>
        <w:textAlignment w:val="auto"/>
        <w:rPr>
          <w:rFonts w:cs="Arial"/>
          <w:color w:val="000000"/>
        </w:rPr>
      </w:pPr>
      <w:r w:rsidRPr="001570EA">
        <w:rPr>
          <w:rFonts w:cs="Arial"/>
          <w:color w:val="000000"/>
        </w:rPr>
        <w:t xml:space="preserve">DOE Compliance Certificate Database. </w:t>
      </w:r>
      <w:r w:rsidRPr="001570EA">
        <w:rPr>
          <w:rFonts w:eastAsiaTheme="minorHAnsi" w:cs="Arial"/>
        </w:rPr>
        <w:t>Accessed July 2022.</w:t>
      </w:r>
      <w:r w:rsidRPr="001570EA">
        <w:t xml:space="preserve"> </w:t>
      </w:r>
      <w:hyperlink r:id="rId246" w:history="1">
        <w:r w:rsidRPr="001570EA">
          <w:rPr>
            <w:rStyle w:val="Hyperlink"/>
            <w:rFonts w:cs="Arial"/>
          </w:rPr>
          <w:t>Weblink</w:t>
        </w:r>
      </w:hyperlink>
    </w:p>
    <w:p w14:paraId="5C794F0A" w14:textId="788D355E" w:rsidR="004E6452" w:rsidRPr="001570EA" w:rsidRDefault="004E6452" w:rsidP="006D787B">
      <w:pPr>
        <w:pStyle w:val="ListParagraph"/>
        <w:numPr>
          <w:ilvl w:val="0"/>
          <w:numId w:val="64"/>
        </w:numPr>
        <w:overflowPunct/>
        <w:autoSpaceDE/>
        <w:autoSpaceDN/>
        <w:adjustRightInd/>
        <w:spacing w:after="120"/>
        <w:ind w:left="360"/>
        <w:jc w:val="left"/>
        <w:textAlignment w:val="auto"/>
        <w:rPr>
          <w:rFonts w:cs="Arial"/>
          <w:color w:val="000000"/>
        </w:rPr>
      </w:pPr>
      <w:r w:rsidRPr="001570EA">
        <w:rPr>
          <w:rFonts w:eastAsiaTheme="minorHAnsi" w:cs="Arial"/>
        </w:rPr>
        <w:t>ENERGY STAR-certified refrigerators. Accessed July 2022.</w:t>
      </w:r>
      <w:r w:rsidRPr="001570EA">
        <w:rPr>
          <w:rFonts w:cs="Arial"/>
          <w:color w:val="000000"/>
        </w:rPr>
        <w:t xml:space="preserve"> </w:t>
      </w:r>
      <w:hyperlink r:id="rId247" w:history="1">
        <w:r w:rsidRPr="001570EA">
          <w:rPr>
            <w:rStyle w:val="Hyperlink"/>
            <w:rFonts w:cs="Arial"/>
          </w:rPr>
          <w:t>Weblink</w:t>
        </w:r>
      </w:hyperlink>
    </w:p>
    <w:p w14:paraId="34DA0ECC" w14:textId="77777777" w:rsidR="004E6452" w:rsidRPr="001570EA" w:rsidRDefault="004E6452" w:rsidP="004E6452">
      <w:pPr>
        <w:jc w:val="left"/>
      </w:pPr>
      <w:r w:rsidRPr="001570EA">
        <w:br w:type="page"/>
      </w:r>
    </w:p>
    <w:p w14:paraId="2C766B9F" w14:textId="77777777" w:rsidR="004E6452" w:rsidRPr="001570EA" w:rsidRDefault="004E6452" w:rsidP="004E6452"/>
    <w:p w14:paraId="560B7F7D" w14:textId="77777777" w:rsidR="004E6452" w:rsidRPr="001570EA" w:rsidRDefault="004E6452" w:rsidP="00462D97">
      <w:pPr>
        <w:pStyle w:val="Heading3"/>
      </w:pPr>
      <w:bookmarkStart w:id="577" w:name="_Toc164786665"/>
      <w:r w:rsidRPr="001570EA">
        <w:t>Cooler Recycling with and without Replacement</w:t>
      </w:r>
      <w:bookmarkEnd w:id="577"/>
    </w:p>
    <w:tbl>
      <w:tblPr>
        <w:tblW w:w="48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350"/>
      </w:tblGrid>
      <w:tr w:rsidR="004E6452" w:rsidRPr="001570EA" w14:paraId="6402771F" w14:textId="77777777">
        <w:trPr>
          <w:trHeight w:val="534"/>
        </w:trPr>
        <w:tc>
          <w:tcPr>
            <w:tcW w:w="2401" w:type="pct"/>
            <w:shd w:val="clear" w:color="auto" w:fill="auto"/>
          </w:tcPr>
          <w:p w14:paraId="1226B841" w14:textId="77777777" w:rsidR="004E6452" w:rsidRPr="001570EA" w:rsidRDefault="004E6452">
            <w:pPr>
              <w:pStyle w:val="TableCell"/>
              <w:spacing w:before="60" w:after="60"/>
              <w:jc w:val="left"/>
              <w:rPr>
                <w:b/>
                <w:sz w:val="20"/>
              </w:rPr>
            </w:pPr>
            <w:r w:rsidRPr="001570EA">
              <w:rPr>
                <w:b/>
              </w:rPr>
              <w:t>Target Sector</w:t>
            </w:r>
          </w:p>
        </w:tc>
        <w:tc>
          <w:tcPr>
            <w:tcW w:w="2599" w:type="pct"/>
            <w:shd w:val="clear" w:color="auto" w:fill="auto"/>
          </w:tcPr>
          <w:p w14:paraId="727740EB" w14:textId="77777777" w:rsidR="004E6452" w:rsidRPr="001570EA" w:rsidRDefault="004E6452">
            <w:pPr>
              <w:pStyle w:val="TableCell"/>
              <w:spacing w:before="60" w:after="60"/>
              <w:jc w:val="center"/>
              <w:rPr>
                <w:rFonts w:eastAsia="Arial Unicode MS" w:cs="Arial"/>
                <w:i/>
                <w:iCs/>
                <w:sz w:val="20"/>
                <w:szCs w:val="24"/>
              </w:rPr>
            </w:pPr>
            <w:r w:rsidRPr="001570EA">
              <w:t>Residential</w:t>
            </w:r>
          </w:p>
        </w:tc>
      </w:tr>
      <w:tr w:rsidR="004E6452" w:rsidRPr="001570EA" w14:paraId="1A80E795" w14:textId="77777777">
        <w:trPr>
          <w:trHeight w:val="534"/>
        </w:trPr>
        <w:tc>
          <w:tcPr>
            <w:tcW w:w="2401" w:type="pct"/>
            <w:shd w:val="clear" w:color="auto" w:fill="auto"/>
          </w:tcPr>
          <w:p w14:paraId="4DA0D4ED" w14:textId="77777777" w:rsidR="004E6452" w:rsidRPr="001570EA" w:rsidRDefault="004E6452">
            <w:pPr>
              <w:pStyle w:val="TableCell"/>
              <w:spacing w:before="60" w:after="60"/>
              <w:jc w:val="left"/>
              <w:rPr>
                <w:b/>
                <w:sz w:val="20"/>
              </w:rPr>
            </w:pPr>
            <w:r w:rsidRPr="001570EA">
              <w:rPr>
                <w:b/>
              </w:rPr>
              <w:t>Measure Life</w:t>
            </w:r>
          </w:p>
        </w:tc>
        <w:tc>
          <w:tcPr>
            <w:tcW w:w="2599" w:type="pct"/>
            <w:shd w:val="clear" w:color="auto" w:fill="auto"/>
          </w:tcPr>
          <w:p w14:paraId="2E155AD2" w14:textId="77777777" w:rsidR="004E6452" w:rsidRPr="001570EA" w:rsidRDefault="004E6452">
            <w:pPr>
              <w:pStyle w:val="TableCell"/>
              <w:tabs>
                <w:tab w:val="center" w:pos="2067"/>
                <w:tab w:val="left" w:pos="2880"/>
              </w:tabs>
              <w:spacing w:before="60" w:after="60"/>
              <w:jc w:val="center"/>
              <w:rPr>
                <w:szCs w:val="18"/>
              </w:rPr>
            </w:pPr>
            <w:r w:rsidRPr="001570EA">
              <w:rPr>
                <w:b/>
                <w:szCs w:val="18"/>
              </w:rPr>
              <w:t>Without Replacement:</w:t>
            </w:r>
            <w:r w:rsidRPr="001570EA">
              <w:rPr>
                <w:vertAlign w:val="superscript"/>
              </w:rPr>
              <w:t xml:space="preserve"> Source 1</w:t>
            </w:r>
          </w:p>
          <w:p w14:paraId="0449F226" w14:textId="2B5600EB" w:rsidR="004E6452" w:rsidRPr="001570EA" w:rsidRDefault="004E6452">
            <w:pPr>
              <w:pStyle w:val="TableCell"/>
              <w:tabs>
                <w:tab w:val="center" w:pos="2067"/>
                <w:tab w:val="left" w:pos="2880"/>
              </w:tabs>
              <w:spacing w:before="60" w:after="60"/>
              <w:jc w:val="center"/>
              <w:rPr>
                <w:szCs w:val="18"/>
              </w:rPr>
            </w:pPr>
            <w:r w:rsidRPr="001570EA">
              <w:rPr>
                <w:szCs w:val="18"/>
              </w:rPr>
              <w:t>5 years</w:t>
            </w:r>
          </w:p>
          <w:p w14:paraId="23DB56B3" w14:textId="77777777" w:rsidR="004E6452" w:rsidRPr="001570EA" w:rsidRDefault="004E6452">
            <w:pPr>
              <w:pStyle w:val="TableCell"/>
              <w:tabs>
                <w:tab w:val="center" w:pos="2067"/>
                <w:tab w:val="left" w:pos="2880"/>
              </w:tabs>
              <w:spacing w:before="60" w:after="60"/>
              <w:jc w:val="center"/>
              <w:rPr>
                <w:rFonts w:eastAsia="Arial Unicode MS" w:cs="Arial"/>
                <w:b/>
                <w:iCs/>
                <w:szCs w:val="18"/>
              </w:rPr>
            </w:pPr>
            <w:r w:rsidRPr="001570EA">
              <w:rPr>
                <w:rFonts w:eastAsia="Arial Unicode MS" w:cs="Arial"/>
                <w:b/>
                <w:iCs/>
                <w:szCs w:val="18"/>
              </w:rPr>
              <w:t>With Replacement:</w:t>
            </w:r>
          </w:p>
          <w:p w14:paraId="3099E207" w14:textId="1D6E0992" w:rsidR="004E6452" w:rsidRPr="001570EA" w:rsidRDefault="004E6452">
            <w:pPr>
              <w:pStyle w:val="TableCell"/>
              <w:tabs>
                <w:tab w:val="center" w:pos="2067"/>
                <w:tab w:val="left" w:pos="2880"/>
              </w:tabs>
              <w:spacing w:before="60" w:after="60"/>
              <w:jc w:val="center"/>
              <w:rPr>
                <w:szCs w:val="18"/>
              </w:rPr>
            </w:pPr>
            <w:r w:rsidRPr="001570EA">
              <w:rPr>
                <w:szCs w:val="18"/>
              </w:rPr>
              <w:t>9 years</w:t>
            </w:r>
          </w:p>
        </w:tc>
      </w:tr>
      <w:tr w:rsidR="004E6452" w:rsidRPr="001570EA" w14:paraId="48191A66" w14:textId="77777777">
        <w:trPr>
          <w:trHeight w:val="534"/>
        </w:trPr>
        <w:tc>
          <w:tcPr>
            <w:tcW w:w="2401" w:type="pct"/>
            <w:shd w:val="clear" w:color="auto" w:fill="auto"/>
          </w:tcPr>
          <w:p w14:paraId="5E410C14" w14:textId="77777777" w:rsidR="004E6452" w:rsidRPr="001570EA" w:rsidRDefault="004E6452">
            <w:pPr>
              <w:pStyle w:val="TableCell"/>
              <w:spacing w:before="60" w:after="60"/>
              <w:jc w:val="left"/>
              <w:rPr>
                <w:b/>
              </w:rPr>
            </w:pPr>
            <w:r w:rsidRPr="001570EA">
              <w:rPr>
                <w:b/>
              </w:rPr>
              <w:t>Vintage</w:t>
            </w:r>
          </w:p>
        </w:tc>
        <w:tc>
          <w:tcPr>
            <w:tcW w:w="2599" w:type="pct"/>
            <w:shd w:val="clear" w:color="auto" w:fill="auto"/>
          </w:tcPr>
          <w:p w14:paraId="00794A04" w14:textId="77777777" w:rsidR="004E6452" w:rsidRPr="001570EA" w:rsidRDefault="004E6452">
            <w:pPr>
              <w:pStyle w:val="TableCell"/>
              <w:spacing w:before="60" w:after="60"/>
              <w:jc w:val="center"/>
            </w:pPr>
            <w:r w:rsidRPr="001570EA">
              <w:t>Early Retirement, Early Replacement</w:t>
            </w:r>
          </w:p>
        </w:tc>
      </w:tr>
    </w:tbl>
    <w:p w14:paraId="06169593" w14:textId="77777777" w:rsidR="004E6452" w:rsidRPr="001570EA" w:rsidRDefault="004E6452" w:rsidP="004E6452"/>
    <w:p w14:paraId="2B74D12A" w14:textId="77777777" w:rsidR="004E6452" w:rsidRPr="001570EA" w:rsidRDefault="004E6452" w:rsidP="004E6452">
      <w:pPr>
        <w:pStyle w:val="SubStyle"/>
      </w:pPr>
      <w:r w:rsidRPr="001570EA">
        <w:t>Eligibility</w:t>
      </w:r>
    </w:p>
    <w:p w14:paraId="3B890AE8" w14:textId="748FDFCF" w:rsidR="004E6452" w:rsidRPr="001570EA" w:rsidRDefault="004E6452" w:rsidP="004E6452">
      <w:r w:rsidRPr="001570EA">
        <w:t xml:space="preserve">Coolers are sometimes called beverage coolers, beverage refrigerators, wine chillers or wine fridges. They typically have glass </w:t>
      </w:r>
      <w:r w:rsidR="000B6EC4" w:rsidRPr="001570EA">
        <w:t>fronts and</w:t>
      </w:r>
      <w:r w:rsidRPr="001570EA">
        <w:t xml:space="preserve"> operate at higher temperatures than refrigerators.</w:t>
      </w:r>
      <w:r w:rsidR="002C68E5" w:rsidRPr="001570EA">
        <w:t xml:space="preserve"> This </w:t>
      </w:r>
      <w:r w:rsidR="002E0DAC" w:rsidRPr="001570EA">
        <w:t xml:space="preserve">protocol is for the recycling of a cooler manufactured prior to </w:t>
      </w:r>
      <w:r w:rsidR="0034597F" w:rsidRPr="001570EA">
        <w:t xml:space="preserve">October </w:t>
      </w:r>
      <w:r w:rsidR="002E0DAC" w:rsidRPr="001570EA">
        <w:t>2019</w:t>
      </w:r>
      <w:r w:rsidR="0034597F" w:rsidRPr="001570EA">
        <w:t xml:space="preserve">. </w:t>
      </w:r>
    </w:p>
    <w:p w14:paraId="1374272C" w14:textId="77777777" w:rsidR="004E6452" w:rsidRPr="001570EA" w:rsidRDefault="004E6452" w:rsidP="004E6452">
      <w:pPr>
        <w:pStyle w:val="BodyText"/>
        <w:spacing w:after="120"/>
        <w:ind w:right="0"/>
        <w:rPr>
          <w:rFonts w:eastAsia="Calibri"/>
        </w:rPr>
      </w:pPr>
    </w:p>
    <w:p w14:paraId="6A0F81FF" w14:textId="77777777" w:rsidR="004E6452" w:rsidRPr="001570EA" w:rsidRDefault="004E6452" w:rsidP="004E6452">
      <w:pPr>
        <w:pStyle w:val="BodyText"/>
        <w:spacing w:after="120"/>
        <w:ind w:right="0"/>
        <w:rPr>
          <w:rFonts w:eastAsia="Calibri"/>
        </w:rPr>
      </w:pPr>
      <w:r w:rsidRPr="001570EA">
        <w:rPr>
          <w:rFonts w:eastAsia="Calibri"/>
        </w:rPr>
        <w:t>Consumer refrigeration appliance recycling programs are designed to save energy through the removal of old-but-operable appliances from service. By offering free pickup, providing incentives, and disseminating information about the operating cost of old appliances, these programs are designed to encourage consumers to:</w:t>
      </w:r>
    </w:p>
    <w:p w14:paraId="6FFB0A9F" w14:textId="77777777" w:rsidR="004E6452" w:rsidRPr="001570EA" w:rsidRDefault="004E6452" w:rsidP="004E6452">
      <w:pPr>
        <w:pStyle w:val="BodyText"/>
        <w:numPr>
          <w:ilvl w:val="0"/>
          <w:numId w:val="51"/>
        </w:numPr>
        <w:ind w:left="360" w:right="0"/>
        <w:rPr>
          <w:rFonts w:eastAsia="Calibri"/>
        </w:rPr>
      </w:pPr>
      <w:r w:rsidRPr="001570EA">
        <w:rPr>
          <w:rFonts w:eastAsia="Calibri"/>
        </w:rPr>
        <w:t>Discontinue the use of secondary refrigeration equipment</w:t>
      </w:r>
    </w:p>
    <w:p w14:paraId="0CD360B0" w14:textId="77777777" w:rsidR="004E6452" w:rsidRPr="001570EA" w:rsidRDefault="004E6452" w:rsidP="004E6452">
      <w:pPr>
        <w:pStyle w:val="BodyText"/>
        <w:numPr>
          <w:ilvl w:val="0"/>
          <w:numId w:val="51"/>
        </w:numPr>
        <w:ind w:left="360" w:right="0"/>
        <w:rPr>
          <w:rFonts w:eastAsia="Calibri"/>
        </w:rPr>
      </w:pPr>
      <w:r w:rsidRPr="001570EA">
        <w:rPr>
          <w:rFonts w:eastAsia="Calibri"/>
        </w:rPr>
        <w:t>Relinquish units when they are replaced (rather than keeping the old appliance as a secondary unit)</w:t>
      </w:r>
    </w:p>
    <w:p w14:paraId="2430FB35" w14:textId="77777777" w:rsidR="004E6452" w:rsidRPr="001570EA" w:rsidRDefault="004E6452" w:rsidP="004E6452">
      <w:pPr>
        <w:pStyle w:val="BodyText"/>
        <w:numPr>
          <w:ilvl w:val="0"/>
          <w:numId w:val="51"/>
        </w:numPr>
        <w:ind w:left="360" w:right="0"/>
        <w:rPr>
          <w:rFonts w:eastAsia="Calibri"/>
        </w:rPr>
      </w:pPr>
      <w:r w:rsidRPr="001570EA">
        <w:rPr>
          <w:rFonts w:eastAsia="Calibri"/>
        </w:rPr>
        <w:t>Prevent the continued use of old refrigeration equipment in another household through a direct transfer (giving it away or selling it) or indirect transfer (resale on the used appliance market).</w:t>
      </w:r>
    </w:p>
    <w:p w14:paraId="0621EDBC" w14:textId="77777777" w:rsidR="004E6452" w:rsidRPr="001570EA" w:rsidRDefault="004E6452" w:rsidP="004E6452">
      <w:pPr>
        <w:rPr>
          <w:rFonts w:eastAsia="Calibri"/>
        </w:rPr>
      </w:pPr>
    </w:p>
    <w:p w14:paraId="5EA9F1BA" w14:textId="77777777" w:rsidR="004E6452" w:rsidRPr="001570EA" w:rsidRDefault="004E6452" w:rsidP="004E6452">
      <w:pPr>
        <w:rPr>
          <w:rFonts w:eastAsia="Calibri"/>
        </w:rPr>
      </w:pPr>
      <w:r w:rsidRPr="001570EA">
        <w:rPr>
          <w:rFonts w:eastAsia="Calibri"/>
        </w:rPr>
        <w:t>Commonly implemented by third-party contractors (who collect and decommission participating appliances), these programs generate energy savings through the retirement of inefficient appliances. The decommissioning process captures environmentally harmful refrigerants and foam and enables the recycling of the plastic, metal, and wiring components.</w:t>
      </w:r>
    </w:p>
    <w:p w14:paraId="38AB61C2" w14:textId="77777777" w:rsidR="004E6452" w:rsidRPr="001570EA" w:rsidRDefault="004E6452" w:rsidP="004E6452">
      <w:pPr>
        <w:rPr>
          <w:rFonts w:eastAsia="Calibri"/>
        </w:rPr>
      </w:pPr>
    </w:p>
    <w:p w14:paraId="21D22C9D" w14:textId="77777777" w:rsidR="004E6452" w:rsidRPr="001570EA" w:rsidRDefault="004E6452" w:rsidP="004E6452">
      <w:r w:rsidRPr="001570EA">
        <w:t>This protocol applies to both residential and non-residential sectors since consumer-grade cooler usage and energy consumption are assumed to be independent of customer rate class.</w:t>
      </w:r>
      <w:r w:rsidRPr="001570EA">
        <w:rPr>
          <w:vertAlign w:val="superscript"/>
        </w:rPr>
        <w:footnoteReference w:id="17"/>
      </w:r>
    </w:p>
    <w:p w14:paraId="17065469" w14:textId="77777777" w:rsidR="004E6452" w:rsidRPr="001570EA" w:rsidRDefault="004E6452" w:rsidP="004E6452"/>
    <w:p w14:paraId="68E0FDA9" w14:textId="77777777" w:rsidR="004E6452" w:rsidRPr="001570EA" w:rsidRDefault="004E6452" w:rsidP="004E6452">
      <w:r w:rsidRPr="001570EA">
        <w:t>This measure may be combined with ENERGY STAR Coolers if the cooler is replaced with qualifying equipment.</w:t>
      </w:r>
    </w:p>
    <w:p w14:paraId="1A701B1B" w14:textId="77777777" w:rsidR="004E6452" w:rsidRPr="001570EA" w:rsidRDefault="004E6452" w:rsidP="004E6452"/>
    <w:p w14:paraId="59CCA510" w14:textId="77777777" w:rsidR="004E6452" w:rsidRPr="001570EA" w:rsidRDefault="004E6452" w:rsidP="004E6452">
      <w:pPr>
        <w:pStyle w:val="SubStyle"/>
      </w:pPr>
      <w:r w:rsidRPr="001570EA">
        <w:t>Algorithms</w:t>
      </w:r>
    </w:p>
    <w:p w14:paraId="1AE530E1" w14:textId="77777777" w:rsidR="004E6452" w:rsidRPr="001570EA" w:rsidRDefault="004E6452" w:rsidP="004E6452">
      <w:pPr>
        <w:spacing w:after="120"/>
        <w:rPr>
          <w:rFonts w:cs="Arial"/>
          <w:iCs/>
        </w:rPr>
      </w:pPr>
      <w:r w:rsidRPr="001570EA">
        <w:rPr>
          <w:rFonts w:cs="Arial"/>
          <w:iCs/>
        </w:rPr>
        <w:t>The total annual energy savings (kWh/yr) achieved from recycling old-but-operable coolers are calculated using the following general algorithms:</w:t>
      </w:r>
    </w:p>
    <w:p w14:paraId="6590E7F3" w14:textId="77777777" w:rsidR="004E6452" w:rsidRPr="001570EA" w:rsidRDefault="004E6452" w:rsidP="004E6452">
      <w:pPr>
        <w:spacing w:after="120" w:line="264" w:lineRule="auto"/>
        <w:rPr>
          <w:b/>
        </w:rPr>
      </w:pPr>
      <w:r w:rsidRPr="001570EA">
        <w:rPr>
          <w:b/>
        </w:rPr>
        <w:t>Energy Savings</w:t>
      </w:r>
    </w:p>
    <w:p w14:paraId="031F48AC" w14:textId="2930BD6D" w:rsidR="004E6452" w:rsidRPr="001570EA" w:rsidRDefault="004E6452" w:rsidP="004E6452">
      <w:pPr>
        <w:tabs>
          <w:tab w:val="left" w:pos="1440"/>
        </w:tabs>
        <w:rPr>
          <w:rFonts w:ascii="Cambria Math" w:hAnsi="Cambria Math" w:cs="Arial"/>
          <w:sz w:val="22"/>
          <w:szCs w:val="22"/>
        </w:rPr>
      </w:pPr>
      <w:r w:rsidRPr="001570EA">
        <w:rPr>
          <w:rFonts w:ascii="Calibri" w:hAnsi="Calibri" w:cs="Arial"/>
          <w:i/>
          <w:iCs/>
        </w:rPr>
        <w:t>Δ</w:t>
      </w:r>
      <w:r w:rsidRPr="001570EA">
        <w:rPr>
          <w:rFonts w:cs="Arial"/>
          <w:i/>
          <w:iCs/>
        </w:rPr>
        <w:t>kWh</w:t>
      </w:r>
      <w:r w:rsidRPr="001570EA">
        <w:rPr>
          <w:rFonts w:cs="Arial"/>
          <w:i/>
          <w:iCs/>
        </w:rPr>
        <w:tab/>
      </w:r>
      <w:r w:rsidRPr="001570EA">
        <w:rPr>
          <w:rFonts w:ascii="Cambria Math" w:hAnsi="Cambria Math" w:cs="Arial"/>
          <w:iCs/>
          <w:sz w:val="22"/>
          <w:szCs w:val="22"/>
        </w:rPr>
        <w:t>=</w:t>
      </w:r>
      <m:oMath>
        <m:r>
          <w:rPr>
            <w:rFonts w:ascii="Cambria Math" w:hAnsi="Cambria Math" w:cs="Arial"/>
            <w:sz w:val="22"/>
            <w:szCs w:val="22"/>
          </w:rPr>
          <m:t>N×</m:t>
        </m:r>
        <m:d>
          <m:dPr>
            <m:ctrlPr>
              <w:rPr>
                <w:rFonts w:ascii="Cambria Math" w:hAnsi="Cambria Math" w:cs="Arial"/>
                <w:i/>
                <w:sz w:val="22"/>
                <w:szCs w:val="22"/>
              </w:rPr>
            </m:ctrlPr>
          </m:dPr>
          <m:e>
            <m:r>
              <w:rPr>
                <w:rFonts w:ascii="Cambria Math" w:hAnsi="Cambria Math" w:cs="Arial"/>
                <w:sz w:val="22"/>
                <w:szCs w:val="22"/>
              </w:rPr>
              <m:t>UEC-</m:t>
            </m:r>
            <m:sSub>
              <m:sSubPr>
                <m:ctrlPr>
                  <w:rPr>
                    <w:rFonts w:ascii="Cambria Math" w:hAnsi="Cambria Math" w:cs="Arial"/>
                    <w:i/>
                    <w:sz w:val="22"/>
                    <w:szCs w:val="22"/>
                  </w:rPr>
                </m:ctrlPr>
              </m:sSubPr>
              <m:e>
                <m:r>
                  <w:rPr>
                    <w:rFonts w:ascii="Cambria Math" w:hAnsi="Cambria Math" w:cs="Arial"/>
                    <w:sz w:val="22"/>
                    <w:szCs w:val="22"/>
                  </w:rPr>
                  <m:t>kWh</m:t>
                </m:r>
              </m:e>
              <m:sub>
                <m:r>
                  <w:rPr>
                    <w:rFonts w:ascii="Cambria Math" w:hAnsi="Cambria Math" w:cs="Arial"/>
                    <w:sz w:val="22"/>
                    <w:szCs w:val="22"/>
                  </w:rPr>
                  <m:t>ee</m:t>
                </m:r>
              </m:sub>
            </m:sSub>
          </m:e>
        </m:d>
        <m:r>
          <w:rPr>
            <w:rFonts w:ascii="Cambria Math" w:hAnsi="Cambria Math" w:cs="Arial"/>
            <w:sz w:val="22"/>
            <w:szCs w:val="22"/>
          </w:rPr>
          <m:t>×PAR</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USE</m:t>
            </m:r>
          </m:sub>
        </m:sSub>
      </m:oMath>
    </w:p>
    <w:p w14:paraId="62339778" w14:textId="77777777" w:rsidR="004E6452" w:rsidRPr="001570EA" w:rsidRDefault="004E6452" w:rsidP="004E6452"/>
    <w:p w14:paraId="7046BE25" w14:textId="77777777" w:rsidR="004E6452" w:rsidRPr="001570EA" w:rsidRDefault="004E6452" w:rsidP="004E6452">
      <w:pPr>
        <w:rPr>
          <w:rFonts w:eastAsia="Calibri"/>
        </w:rPr>
      </w:pPr>
      <w:r w:rsidRPr="001570EA">
        <w:rPr>
          <w:rFonts w:eastAsia="Calibri"/>
        </w:rPr>
        <w:t>Note that lifetime savings will be calculated with this same general algorithm but with an adjusted measure life.</w:t>
      </w:r>
    </w:p>
    <w:p w14:paraId="64F98355" w14:textId="77777777" w:rsidR="004E6452" w:rsidRPr="001570EA" w:rsidRDefault="004E6452" w:rsidP="004E6452">
      <w:pPr>
        <w:rPr>
          <w:rFonts w:eastAsia="Calibri"/>
        </w:rPr>
      </w:pPr>
    </w:p>
    <w:p w14:paraId="53303150" w14:textId="00DAE38B" w:rsidR="004E6452" w:rsidRPr="001570EA" w:rsidRDefault="009E3E4C" w:rsidP="004E6452">
      <w:pPr>
        <w:rPr>
          <w:b/>
          <w:vertAlign w:val="superscript"/>
        </w:rPr>
      </w:pPr>
      <w:r w:rsidRPr="001570EA">
        <w:rPr>
          <w:b/>
        </w:rPr>
        <w:t>Unit Energy Consumption</w:t>
      </w:r>
    </w:p>
    <w:p w14:paraId="4D0F23AD" w14:textId="2E573A54" w:rsidR="007652C9" w:rsidRPr="001570EA" w:rsidRDefault="004E6452" w:rsidP="004E6452">
      <w:r w:rsidRPr="001570EA">
        <w:t>Coolers were not federally regulated until October 2019. However, California Energy Commission Title 20 regulations for this product class were introduced in 2002,</w:t>
      </w:r>
      <w:r w:rsidRPr="001570EA">
        <w:rPr>
          <w:vertAlign w:val="superscript"/>
        </w:rPr>
        <w:t>Source 3</w:t>
      </w:r>
      <w:r w:rsidRPr="001570EA">
        <w:t xml:space="preserve"> and remained unchanged and in effect until they were superseded by the federal standards. </w:t>
      </w:r>
    </w:p>
    <w:p w14:paraId="4A65CC8E" w14:textId="77777777" w:rsidR="007652C9" w:rsidRPr="001570EA" w:rsidRDefault="007652C9" w:rsidP="004E6452"/>
    <w:p w14:paraId="06CCEA01" w14:textId="15D7DC61" w:rsidR="004E6452" w:rsidRPr="001570EA" w:rsidRDefault="0096555B" w:rsidP="004E6452">
      <w:r w:rsidRPr="001570EA">
        <w:t xml:space="preserve">Annual energy consumption (UEC) </w:t>
      </w:r>
      <w:r w:rsidRPr="001570EA">
        <w:rPr>
          <w:rFonts w:eastAsia="Calibri"/>
        </w:rPr>
        <w:t>of the decommissioned cooler may be determined using manufacturers’ test data for the given model. If test data are not available,</w:t>
      </w:r>
      <w:r w:rsidR="00140749" w:rsidRPr="001570EA">
        <w:rPr>
          <w:rFonts w:eastAsia="Calibri"/>
        </w:rPr>
        <w:t xml:space="preserve"> </w:t>
      </w:r>
      <w:r w:rsidR="00F86B74" w:rsidRPr="001570EA">
        <w:t xml:space="preserve">annual unit energy consumption </w:t>
      </w:r>
      <w:r w:rsidR="00815239" w:rsidRPr="001570EA">
        <w:t>is</w:t>
      </w:r>
      <w:r w:rsidR="004E6452" w:rsidRPr="001570EA">
        <w:t xml:space="preserve"> </w:t>
      </w:r>
      <w:r w:rsidR="00815239" w:rsidRPr="001570EA">
        <w:t>equal to the derated maximum Title 20 annual energy consumption (</w:t>
      </w:r>
      <w:r w:rsidR="00815239" w:rsidRPr="001570EA">
        <w:rPr>
          <w:i/>
          <w:iCs/>
        </w:rPr>
        <w:t>η</w:t>
      </w:r>
      <w:r w:rsidR="00815239" w:rsidRPr="001570EA">
        <w:t xml:space="preserve"> </w:t>
      </w:r>
      <w:r w:rsidR="002406B5" w:rsidRPr="001570EA">
        <w:rPr>
          <w:rFonts w:cs="Arial"/>
        </w:rPr>
        <w:t>×</w:t>
      </w:r>
      <w:r w:rsidR="002406B5" w:rsidRPr="001570EA">
        <w:t xml:space="preserve"> </w:t>
      </w:r>
      <w:r w:rsidR="00815239" w:rsidRPr="001570EA">
        <w:rPr>
          <w:rFonts w:cs="Arial"/>
          <w:iCs/>
          <w:szCs w:val="18"/>
        </w:rPr>
        <w:t>kWh</w:t>
      </w:r>
      <w:r w:rsidR="00815239" w:rsidRPr="001570EA">
        <w:rPr>
          <w:rFonts w:cs="Arial"/>
          <w:iCs/>
          <w:szCs w:val="18"/>
          <w:vertAlign w:val="subscript"/>
        </w:rPr>
        <w:t>recycled</w:t>
      </w:r>
      <w:r w:rsidR="00251737" w:rsidRPr="001570EA">
        <w:t>)</w:t>
      </w:r>
      <w:r w:rsidR="00815239" w:rsidRPr="001570EA">
        <w:t>.</w:t>
      </w:r>
      <w:r w:rsidR="00815239" w:rsidRPr="001570EA">
        <w:rPr>
          <w:rStyle w:val="FootnoteReference"/>
        </w:rPr>
        <w:footnoteReference w:id="18"/>
      </w:r>
      <w:r w:rsidR="00815239" w:rsidRPr="001570EA">
        <w:t xml:space="preserve"> </w:t>
      </w:r>
      <w:r w:rsidR="004E6452" w:rsidRPr="001570EA">
        <w:rPr>
          <w:rFonts w:eastAsia="Calibri"/>
        </w:rPr>
        <w:t>The algorithm</w:t>
      </w:r>
      <w:r w:rsidR="008350BF" w:rsidRPr="001570EA">
        <w:rPr>
          <w:rFonts w:eastAsia="Calibri"/>
        </w:rPr>
        <w:t>s</w:t>
      </w:r>
      <w:r w:rsidR="004E6452" w:rsidRPr="001570EA">
        <w:rPr>
          <w:rFonts w:eastAsia="Calibri"/>
        </w:rPr>
        <w:t xml:space="preserve"> in </w:t>
      </w:r>
      <w:r w:rsidR="004E6452" w:rsidRPr="001570EA">
        <w:rPr>
          <w:rFonts w:eastAsia="Calibri"/>
        </w:rPr>
        <w:fldChar w:fldCharType="begin"/>
      </w:r>
      <w:r w:rsidR="004E6452" w:rsidRPr="001570EA">
        <w:rPr>
          <w:rFonts w:eastAsia="Calibri"/>
        </w:rPr>
        <w:instrText xml:space="preserve"> REF _Ref163227612 \h </w:instrText>
      </w:r>
      <w:r w:rsidR="001570EA">
        <w:rPr>
          <w:rFonts w:eastAsia="Calibri"/>
        </w:rPr>
        <w:instrText xml:space="preserve"> \* MERGEFORMAT </w:instrText>
      </w:r>
      <w:r w:rsidR="004E6452" w:rsidRPr="001570EA">
        <w:rPr>
          <w:rFonts w:eastAsia="Calibri"/>
        </w:rPr>
      </w:r>
      <w:r w:rsidR="004E6452" w:rsidRPr="001570EA">
        <w:rPr>
          <w:rFonts w:eastAsia="Calibri"/>
        </w:rPr>
        <w:fldChar w:fldCharType="separate"/>
      </w:r>
      <w:r w:rsidR="005B71B3" w:rsidRPr="001570EA">
        <w:t xml:space="preserve">Table </w:t>
      </w:r>
      <w:r w:rsidR="005B71B3" w:rsidRPr="001570EA">
        <w:rPr>
          <w:noProof/>
        </w:rPr>
        <w:t>2</w:t>
      </w:r>
      <w:r w:rsidR="005B71B3" w:rsidRPr="001570EA">
        <w:rPr>
          <w:noProof/>
        </w:rPr>
        <w:noBreakHyphen/>
        <w:t>101</w:t>
      </w:r>
      <w:r w:rsidR="004E6452" w:rsidRPr="001570EA">
        <w:rPr>
          <w:rFonts w:eastAsia="Calibri"/>
        </w:rPr>
        <w:fldChar w:fldCharType="end"/>
      </w:r>
      <w:r w:rsidR="004E6452" w:rsidRPr="001570EA">
        <w:rPr>
          <w:rFonts w:eastAsia="Calibri"/>
        </w:rPr>
        <w:t xml:space="preserve"> may be used to determine </w:t>
      </w:r>
      <w:r w:rsidR="008350BF" w:rsidRPr="001570EA">
        <w:rPr>
          <w:rFonts w:cs="Arial"/>
          <w:iCs/>
          <w:szCs w:val="18"/>
        </w:rPr>
        <w:t>kWh</w:t>
      </w:r>
      <w:r w:rsidR="008350BF" w:rsidRPr="001570EA">
        <w:rPr>
          <w:rFonts w:cs="Arial"/>
          <w:iCs/>
          <w:szCs w:val="18"/>
          <w:vertAlign w:val="subscript"/>
        </w:rPr>
        <w:t>recycled</w:t>
      </w:r>
      <w:r w:rsidR="008350BF" w:rsidRPr="001570EA">
        <w:t>.</w:t>
      </w:r>
    </w:p>
    <w:p w14:paraId="7E39EB7F" w14:textId="77777777" w:rsidR="004E6452" w:rsidRPr="001570EA" w:rsidRDefault="004E6452" w:rsidP="004E6452">
      <w:pPr>
        <w:rPr>
          <w:rFonts w:eastAsia="Calibri" w:cs="Arial"/>
        </w:rPr>
      </w:pPr>
    </w:p>
    <w:p w14:paraId="0F0C5DC0" w14:textId="261E0139" w:rsidR="004E6452" w:rsidRPr="001570EA" w:rsidRDefault="004E6452" w:rsidP="004E6452">
      <w:r w:rsidRPr="001570EA">
        <w:rPr>
          <w:rFonts w:eastAsia="Calibri" w:cs="Arial"/>
        </w:rPr>
        <w:t xml:space="preserve">Note that if the unit is being recycled without replacement, the </w:t>
      </w:r>
      <w:r w:rsidR="00B93003" w:rsidRPr="001570EA">
        <w:rPr>
          <w:rFonts w:eastAsia="Calibri" w:cs="Arial"/>
          <w:iCs/>
        </w:rPr>
        <w:t>kWh</w:t>
      </w:r>
      <w:r w:rsidR="00B93003" w:rsidRPr="001570EA">
        <w:rPr>
          <w:rFonts w:eastAsia="Calibri" w:cs="Arial"/>
          <w:iCs/>
          <w:vertAlign w:val="subscript"/>
        </w:rPr>
        <w:t>ee</w:t>
      </w:r>
      <w:r w:rsidR="00B93003" w:rsidRPr="001570EA">
        <w:rPr>
          <w:rFonts w:eastAsia="Calibri" w:cs="Arial"/>
          <w:i/>
          <w:vertAlign w:val="subscript"/>
        </w:rPr>
        <w:t xml:space="preserve"> </w:t>
      </w:r>
      <w:r w:rsidRPr="001570EA">
        <w:rPr>
          <w:rFonts w:eastAsia="Calibri" w:cs="Arial"/>
        </w:rPr>
        <w:t xml:space="preserve">variable takes on the value of zero. </w:t>
      </w:r>
      <w:r w:rsidR="003257E3" w:rsidRPr="001570EA">
        <w:rPr>
          <w:rFonts w:eastAsia="Calibri" w:cs="Arial"/>
        </w:rPr>
        <w:t xml:space="preserve">The </w:t>
      </w:r>
      <w:r w:rsidR="003257E3" w:rsidRPr="001570EA">
        <w:rPr>
          <w:rFonts w:eastAsia="Calibri" w:cs="Arial"/>
          <w:iCs/>
        </w:rPr>
        <w:t>kWh</w:t>
      </w:r>
      <w:r w:rsidR="003257E3" w:rsidRPr="001570EA">
        <w:rPr>
          <w:rFonts w:eastAsia="Calibri" w:cs="Arial"/>
          <w:iCs/>
          <w:vertAlign w:val="subscript"/>
        </w:rPr>
        <w:t>ee</w:t>
      </w:r>
      <w:r w:rsidR="003257E3" w:rsidRPr="001570EA">
        <w:rPr>
          <w:rFonts w:eastAsia="Calibri" w:cs="Arial"/>
          <w:i/>
          <w:vertAlign w:val="subscript"/>
        </w:rPr>
        <w:t xml:space="preserve"> </w:t>
      </w:r>
      <w:r w:rsidR="003257E3" w:rsidRPr="001570EA">
        <w:rPr>
          <w:rFonts w:eastAsia="Calibri" w:cs="Arial"/>
          <w:iCs/>
        </w:rPr>
        <w:t xml:space="preserve">variable only applies to direct install replacement of the recycled </w:t>
      </w:r>
      <w:r w:rsidR="000169B7" w:rsidRPr="001570EA">
        <w:rPr>
          <w:rFonts w:eastAsia="Calibri" w:cs="Arial"/>
          <w:iCs/>
        </w:rPr>
        <w:t>cooler</w:t>
      </w:r>
      <w:r w:rsidR="003257E3" w:rsidRPr="001570EA">
        <w:rPr>
          <w:rFonts w:eastAsia="Calibri" w:cs="Arial"/>
          <w:iCs/>
        </w:rPr>
        <w:t>.</w:t>
      </w:r>
    </w:p>
    <w:p w14:paraId="687556E7" w14:textId="77777777" w:rsidR="004E6452" w:rsidRPr="001570EA" w:rsidRDefault="004E6452" w:rsidP="004E6452">
      <w:pPr>
        <w:rPr>
          <w:rFonts w:cs="Arial"/>
        </w:rPr>
      </w:pPr>
    </w:p>
    <w:p w14:paraId="7893D90C" w14:textId="77777777" w:rsidR="004E6452" w:rsidRPr="001570EA" w:rsidRDefault="004E6452" w:rsidP="004E6452">
      <w:pPr>
        <w:rPr>
          <w:rFonts w:cs="Arial"/>
          <w:b/>
        </w:rPr>
      </w:pPr>
      <w:r w:rsidRPr="001570EA">
        <w:rPr>
          <w:rFonts w:cs="Arial"/>
          <w:b/>
        </w:rPr>
        <w:t>Adjusted Volume (AV)</w:t>
      </w:r>
    </w:p>
    <w:p w14:paraId="5AFA883C" w14:textId="77777777" w:rsidR="004E6452" w:rsidRPr="001570EA" w:rsidRDefault="004E6452" w:rsidP="004E6452">
      <w:pPr>
        <w:rPr>
          <w:rFonts w:cs="Arial"/>
        </w:rPr>
      </w:pPr>
      <w:r w:rsidRPr="001570EA">
        <w:t xml:space="preserve">The adjusted volume equations below account for the greater load of freezer compartments compared to compartments for fresh food. </w:t>
      </w:r>
      <w:r w:rsidRPr="001570EA">
        <w:rPr>
          <w:rFonts w:cs="Arial"/>
        </w:rPr>
        <w:t>For Category 1 and 1A “All-refrigerators”, i.e; equipment with not more than 0.5 ft</w:t>
      </w:r>
      <w:r w:rsidRPr="001570EA">
        <w:rPr>
          <w:rFonts w:cs="Arial"/>
          <w:vertAlign w:val="superscript"/>
        </w:rPr>
        <w:t>3</w:t>
      </w:r>
      <w:r w:rsidRPr="001570EA">
        <w:rPr>
          <w:rFonts w:cs="Arial"/>
        </w:rPr>
        <w:t xml:space="preserve"> of freezer volume:</w:t>
      </w:r>
    </w:p>
    <w:p w14:paraId="58494EC5" w14:textId="77777777" w:rsidR="004E6452" w:rsidRPr="001570EA" w:rsidRDefault="004E6452" w:rsidP="004E6452">
      <w:pPr>
        <w:spacing w:before="120" w:after="120"/>
        <w:rPr>
          <w:rFonts w:cs="Arial"/>
        </w:rPr>
      </w:pPr>
      <w:r w:rsidRPr="001570EA">
        <w:rPr>
          <w:rFonts w:ascii="Cambria Math" w:hAnsi="Cambria Math" w:cs="Arial"/>
          <w:i/>
        </w:rPr>
        <w:t>AV</w:t>
      </w:r>
      <w:r w:rsidRPr="001570EA">
        <w:rPr>
          <w:rFonts w:cs="Arial"/>
        </w:rPr>
        <w:tab/>
      </w:r>
      <m:oMath>
        <m:r>
          <w:rPr>
            <w:rFonts w:ascii="Cambria Math" w:hAnsi="Cambria Math" w:cs="Arial"/>
          </w:rPr>
          <m:t>=Cooler Volume+Fresh Volume+Freezer Volume</m:t>
        </m:r>
      </m:oMath>
    </w:p>
    <w:p w14:paraId="0F5FC7C4" w14:textId="77777777" w:rsidR="004E6452" w:rsidRPr="001570EA" w:rsidRDefault="004E6452" w:rsidP="004E6452">
      <w:pPr>
        <w:rPr>
          <w:rFonts w:cs="Arial"/>
        </w:rPr>
      </w:pPr>
      <w:r w:rsidRPr="001570EA">
        <w:rPr>
          <w:rFonts w:cs="Arial"/>
        </w:rPr>
        <w:t>For all other categories:</w:t>
      </w:r>
    </w:p>
    <w:p w14:paraId="687F68C4" w14:textId="77777777" w:rsidR="004E6452" w:rsidRPr="001570EA" w:rsidRDefault="004E6452" w:rsidP="004E6452">
      <w:pPr>
        <w:spacing w:before="120"/>
        <w:rPr>
          <w:rFonts w:cs="Arial"/>
        </w:rPr>
      </w:pPr>
      <w:r w:rsidRPr="001570EA">
        <w:rPr>
          <w:rFonts w:ascii="Cambria Math" w:hAnsi="Cambria Math" w:cs="Arial"/>
          <w:i/>
        </w:rPr>
        <w:t>AV</w:t>
      </w:r>
      <w:r w:rsidRPr="001570EA">
        <w:rPr>
          <w:rFonts w:cs="Arial"/>
        </w:rPr>
        <w:tab/>
      </w:r>
      <m:oMath>
        <m:r>
          <w:rPr>
            <w:rFonts w:ascii="Cambria Math" w:hAnsi="Cambria Math" w:cs="Arial"/>
          </w:rPr>
          <m:t>=Cooler Volume+Fresh Volume+1.76×Freezer Volume</m:t>
        </m:r>
      </m:oMath>
    </w:p>
    <w:p w14:paraId="7AE31ABD" w14:textId="77777777" w:rsidR="004E6452" w:rsidRPr="001570EA" w:rsidRDefault="004E6452" w:rsidP="004E6452">
      <w:pPr>
        <w:rPr>
          <w:rFonts w:cs="Arial"/>
          <w:b/>
        </w:rPr>
      </w:pPr>
    </w:p>
    <w:p w14:paraId="7585C84E" w14:textId="77777777" w:rsidR="004E6452" w:rsidRPr="001570EA" w:rsidRDefault="004E6452" w:rsidP="004E6452">
      <w:pPr>
        <w:rPr>
          <w:rFonts w:cs="Arial"/>
          <w:b/>
        </w:rPr>
      </w:pPr>
      <w:r w:rsidRPr="001570EA">
        <w:rPr>
          <w:rFonts w:cs="Arial"/>
          <w:b/>
        </w:rPr>
        <w:t>Part-Use Factor</w:t>
      </w:r>
      <w:r w:rsidRPr="001570EA">
        <w:rPr>
          <w:vertAlign w:val="superscript"/>
        </w:rPr>
        <w:t xml:space="preserve"> </w:t>
      </w:r>
    </w:p>
    <w:p w14:paraId="28625E16" w14:textId="77777777" w:rsidR="004E6452" w:rsidRPr="001570EA" w:rsidRDefault="004E6452" w:rsidP="004E6452">
      <w:pPr>
        <w:rPr>
          <w:rFonts w:cs="Arial"/>
        </w:rPr>
      </w:pPr>
      <w:r w:rsidRPr="001570EA">
        <w:rPr>
          <w:rFonts w:cs="Arial"/>
        </w:rPr>
        <w:t>When calculating default per unit kWh savings for a removed cooler, it is necessary to calculate and apply a “Part-Use” factor. “Part-use” is an appliance recycling-specific adjustment factor used to convert the UEC</w:t>
      </w:r>
      <w:r w:rsidRPr="001570EA" w:rsidDel="006F733E">
        <w:rPr>
          <w:rFonts w:cs="Arial"/>
        </w:rPr>
        <w:t xml:space="preserve"> </w:t>
      </w:r>
      <w:r w:rsidRPr="001570EA">
        <w:rPr>
          <w:rFonts w:cs="Arial"/>
        </w:rPr>
        <w:t>into an average per-unit deemed savings value. The UEC</w:t>
      </w:r>
      <w:r w:rsidRPr="001570EA" w:rsidDel="006F733E">
        <w:rPr>
          <w:rFonts w:cs="Arial"/>
        </w:rPr>
        <w:t xml:space="preserve"> </w:t>
      </w:r>
      <w:r w:rsidRPr="001570EA">
        <w:rPr>
          <w:rFonts w:cs="Arial"/>
        </w:rPr>
        <w:t>itself is not equal to the default savings value, because not all coolers would have operated year-round had they not been decommissioned through the program.</w:t>
      </w:r>
    </w:p>
    <w:p w14:paraId="60C02E4F" w14:textId="77777777" w:rsidR="004E6452" w:rsidRPr="001570EA" w:rsidRDefault="004E6452" w:rsidP="004E6452">
      <w:pPr>
        <w:rPr>
          <w:rFonts w:cs="Arial"/>
        </w:rPr>
      </w:pPr>
    </w:p>
    <w:p w14:paraId="47BD6F01" w14:textId="6821AA17" w:rsidR="004E6452" w:rsidRPr="001570EA" w:rsidRDefault="004E6452" w:rsidP="004E6452">
      <w:pPr>
        <w:rPr>
          <w:rFonts w:cs="Arial"/>
        </w:rPr>
      </w:pPr>
      <w:r w:rsidRPr="001570EA">
        <w:t xml:space="preserve">EDC’s may use either a cooler-specific part-use, or that calculated for refrigerators. </w:t>
      </w:r>
      <w:r w:rsidRPr="001570EA">
        <w:rPr>
          <w:rFonts w:cs="Arial"/>
        </w:rPr>
        <w:t>In Program Year 8, the Commission determined that the average removed refrigerator was plugged in and used 72.8% of the year.</w:t>
      </w:r>
      <w:r w:rsidRPr="001570EA">
        <w:rPr>
          <w:rFonts w:cs="Arial"/>
          <w:vertAlign w:val="superscript"/>
        </w:rPr>
        <w:t xml:space="preserve">Source 5 </w:t>
      </w:r>
      <w:r w:rsidRPr="001570EA">
        <w:rPr>
          <w:rFonts w:cs="Arial"/>
        </w:rPr>
        <w:t xml:space="preserve">These are the default values for the part-use factor. EDCs may elect to calculate an EDC-specific part-use factor for a specific program year. In the event an EDC desires to calculate an EDC-specific part-use factor, EDCs should use the methodology described in section 4.4 of the </w:t>
      </w:r>
      <w:r w:rsidRPr="001570EA">
        <w:t>DOE, Uniform Methods Project protocol.</w:t>
      </w:r>
      <w:r w:rsidRPr="001570EA">
        <w:rPr>
          <w:vertAlign w:val="superscript"/>
        </w:rPr>
        <w:t>Source 4</w:t>
      </w:r>
    </w:p>
    <w:p w14:paraId="49585F31" w14:textId="77777777" w:rsidR="004E6452" w:rsidRPr="001570EA" w:rsidRDefault="004E6452" w:rsidP="004E6452">
      <w:pPr>
        <w:rPr>
          <w:rFonts w:eastAsia="Calibri" w:cs="Arial"/>
        </w:rPr>
      </w:pPr>
    </w:p>
    <w:p w14:paraId="5E48AEDE" w14:textId="77777777" w:rsidR="004E6452" w:rsidRPr="001570EA" w:rsidRDefault="004E6452" w:rsidP="004E6452">
      <w:pPr>
        <w:spacing w:after="120" w:line="264" w:lineRule="auto"/>
        <w:rPr>
          <w:b/>
        </w:rPr>
      </w:pPr>
      <w:r w:rsidRPr="001570EA">
        <w:rPr>
          <w:b/>
        </w:rPr>
        <w:t>Peak Demand Savings</w:t>
      </w:r>
    </w:p>
    <w:p w14:paraId="25697336" w14:textId="77777777" w:rsidR="004E6452" w:rsidRPr="001570EA" w:rsidRDefault="004E6452" w:rsidP="004E6452">
      <w:pPr>
        <w:spacing w:after="120" w:line="264" w:lineRule="auto"/>
      </w:pPr>
      <w:r w:rsidRPr="001570EA">
        <w:t>Use the below algorithm to calculate the peak demand savings. Multiply the annual kWh savings by an Energy to Demand Factor (ETDF), which is supplied below.</w:t>
      </w:r>
    </w:p>
    <w:p w14:paraId="59759C0F" w14:textId="77777777" w:rsidR="004E6452" w:rsidRPr="001570EA" w:rsidRDefault="004E6452" w:rsidP="004E6452">
      <w:pPr>
        <w:spacing w:after="120" w:line="264" w:lineRule="auto"/>
        <w:rPr>
          <w:rFonts w:ascii="Cambria Math" w:hAnsi="Cambria Math" w:cs="Arial"/>
          <w:oMath/>
        </w:rPr>
      </w:pPr>
      <w:r w:rsidRPr="001570EA">
        <w:rPr>
          <w:rFonts w:cs="Arial"/>
          <w:i/>
        </w:rPr>
        <w:t>ΔkW</w:t>
      </w:r>
      <w:r w:rsidRPr="001570EA">
        <w:rPr>
          <w:rFonts w:cs="Arial"/>
          <w:i/>
          <w:vertAlign w:val="subscript"/>
        </w:rPr>
        <w:t>summer peak</w:t>
      </w:r>
      <w:r w:rsidRPr="001570EA">
        <w:rPr>
          <w:rFonts w:cs="Arial"/>
          <w:i/>
          <w:vertAlign w:val="subscript"/>
        </w:rPr>
        <w:tab/>
      </w:r>
      <w:r w:rsidRPr="001570EA">
        <w:rPr>
          <w:rFonts w:cs="Arial"/>
          <w:i/>
          <w:vertAlign w:val="subscript"/>
        </w:rPr>
        <w:tab/>
      </w:r>
      <w:r w:rsidRPr="001570EA">
        <w:rPr>
          <w:rFonts w:cs="Arial"/>
          <w:i/>
          <w:vertAlign w:val="subscript"/>
        </w:rPr>
        <w:tab/>
      </w:r>
      <m:oMath>
        <m:r>
          <w:rPr>
            <w:rFonts w:ascii="Cambria Math" w:hAnsi="Cambria Math" w:cs="Arial"/>
          </w:rPr>
          <m:t>=∆kWh×</m:t>
        </m:r>
        <m:r>
          <w:rPr>
            <w:rFonts w:ascii="Cambria Math" w:hAnsi="Cambria Math" w:cs="Arial"/>
            <w:sz w:val="18"/>
            <w:szCs w:val="20"/>
          </w:rPr>
          <m:t>ETD</m:t>
        </m:r>
        <m:sSub>
          <m:sSubPr>
            <m:ctrlPr>
              <w:rPr>
                <w:rFonts w:ascii="Cambria Math" w:hAnsi="Cambria Math" w:cs="Arial"/>
                <w:sz w:val="18"/>
                <w:szCs w:val="20"/>
              </w:rPr>
            </m:ctrlPr>
          </m:sSubPr>
          <m:e>
            <m:r>
              <w:rPr>
                <w:rFonts w:ascii="Cambria Math" w:hAnsi="Cambria Math" w:cs="Arial"/>
                <w:sz w:val="18"/>
                <w:szCs w:val="20"/>
              </w:rPr>
              <m:t>F</m:t>
            </m:r>
          </m:e>
          <m:sub>
            <m:r>
              <w:rPr>
                <w:rFonts w:ascii="Cambria Math" w:hAnsi="Cambria Math" w:cs="Arial"/>
                <w:sz w:val="18"/>
                <w:szCs w:val="20"/>
              </w:rPr>
              <m:t>s</m:t>
            </m:r>
          </m:sub>
        </m:sSub>
      </m:oMath>
    </w:p>
    <w:p w14:paraId="0FF0C332" w14:textId="77777777" w:rsidR="004E6452" w:rsidRPr="001570EA" w:rsidRDefault="004E6452" w:rsidP="004E6452">
      <w:pPr>
        <w:spacing w:after="120" w:line="264" w:lineRule="auto"/>
        <w:rPr>
          <w:rFonts w:ascii="Cambria Math" w:hAnsi="Cambria Math" w:cs="Arial"/>
          <w:oMath/>
        </w:rPr>
      </w:pPr>
      <w:r w:rsidRPr="001570EA">
        <w:rPr>
          <w:rFonts w:cs="Arial"/>
          <w:i/>
        </w:rPr>
        <w:t>ΔkW</w:t>
      </w:r>
      <w:r w:rsidRPr="001570EA">
        <w:rPr>
          <w:rFonts w:cs="Arial"/>
          <w:i/>
          <w:vertAlign w:val="subscript"/>
        </w:rPr>
        <w:t>winter peak</w:t>
      </w:r>
      <w:r w:rsidRPr="001570EA">
        <w:rPr>
          <w:rFonts w:cs="Arial"/>
          <w:i/>
          <w:vertAlign w:val="subscript"/>
        </w:rPr>
        <w:tab/>
      </w:r>
      <w:r w:rsidRPr="001570EA">
        <w:rPr>
          <w:rFonts w:cs="Arial"/>
          <w:i/>
          <w:vertAlign w:val="subscript"/>
        </w:rPr>
        <w:tab/>
      </w:r>
      <w:r w:rsidRPr="001570EA">
        <w:rPr>
          <w:rFonts w:cs="Arial"/>
          <w:i/>
          <w:vertAlign w:val="subscript"/>
        </w:rPr>
        <w:tab/>
      </w:r>
      <m:oMath>
        <m:r>
          <w:rPr>
            <w:rFonts w:ascii="Cambria Math" w:hAnsi="Cambria Math" w:cs="Arial"/>
          </w:rPr>
          <m:t>=∆kWh×</m:t>
        </m:r>
        <m:r>
          <w:rPr>
            <w:rFonts w:ascii="Cambria Math" w:hAnsi="Cambria Math" w:cs="Arial"/>
            <w:sz w:val="18"/>
            <w:szCs w:val="20"/>
          </w:rPr>
          <m:t>ETD</m:t>
        </m:r>
        <m:sSub>
          <m:sSubPr>
            <m:ctrlPr>
              <w:rPr>
                <w:rFonts w:ascii="Cambria Math" w:hAnsi="Cambria Math" w:cs="Arial"/>
                <w:sz w:val="18"/>
                <w:szCs w:val="20"/>
              </w:rPr>
            </m:ctrlPr>
          </m:sSubPr>
          <m:e>
            <m:r>
              <w:rPr>
                <w:rFonts w:ascii="Cambria Math" w:hAnsi="Cambria Math" w:cs="Arial"/>
                <w:sz w:val="18"/>
                <w:szCs w:val="20"/>
              </w:rPr>
              <m:t>F</m:t>
            </m:r>
          </m:e>
          <m:sub>
            <m:r>
              <w:rPr>
                <w:rFonts w:ascii="Cambria Math" w:hAnsi="Cambria Math" w:cs="Arial"/>
                <w:sz w:val="18"/>
                <w:szCs w:val="20"/>
              </w:rPr>
              <m:t>w</m:t>
            </m:r>
          </m:sub>
        </m:sSub>
      </m:oMath>
    </w:p>
    <w:p w14:paraId="52817A12" w14:textId="77777777" w:rsidR="00F53624" w:rsidRDefault="00F53624" w:rsidP="004E6452">
      <w:pPr>
        <w:pStyle w:val="SubStyle"/>
        <w:keepNext/>
      </w:pPr>
    </w:p>
    <w:p w14:paraId="227CFD2E" w14:textId="342A36B5" w:rsidR="004E6452" w:rsidRPr="001570EA" w:rsidRDefault="004E6452" w:rsidP="00597241">
      <w:pPr>
        <w:pStyle w:val="SubStyle"/>
        <w:keepNext/>
        <w:keepLines/>
      </w:pPr>
      <w:r w:rsidRPr="001570EA">
        <w:t>Definition of Terms</w:t>
      </w:r>
    </w:p>
    <w:p w14:paraId="3009810A" w14:textId="63B85B8A" w:rsidR="004E6452" w:rsidRPr="001570EA" w:rsidRDefault="004E6452" w:rsidP="00597241">
      <w:pPr>
        <w:pStyle w:val="Caption"/>
        <w:keepLines/>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100</w:t>
      </w:r>
      <w:r w:rsidR="002E093A" w:rsidRPr="001570EA">
        <w:fldChar w:fldCharType="end"/>
      </w:r>
      <w:r w:rsidRPr="001570EA">
        <w:t>: Terms</w:t>
      </w:r>
      <w:r w:rsidRPr="001570EA">
        <w:rPr>
          <w:rFonts w:cs="Arial"/>
        </w:rPr>
        <w:t>, Values, and References for</w:t>
      </w:r>
      <w:r w:rsidRPr="001570EA">
        <w:t xml:space="preserve"> Refrigerator and Freezer Recycling</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1497"/>
        <w:gridCol w:w="2207"/>
        <w:gridCol w:w="1057"/>
      </w:tblGrid>
      <w:tr w:rsidR="004E6452" w:rsidRPr="001570EA" w14:paraId="2D21B285" w14:textId="77777777" w:rsidTr="002E1D27">
        <w:trPr>
          <w:tblHeader/>
        </w:trPr>
        <w:tc>
          <w:tcPr>
            <w:tcW w:w="2156" w:type="pct"/>
            <w:shd w:val="clear" w:color="auto" w:fill="BFBFBF"/>
          </w:tcPr>
          <w:p w14:paraId="77A8205D" w14:textId="77777777" w:rsidR="004E6452" w:rsidRPr="001570EA" w:rsidRDefault="004E6452" w:rsidP="00597241">
            <w:pPr>
              <w:pStyle w:val="TableCell"/>
              <w:keepLines/>
              <w:spacing w:before="60" w:after="60"/>
              <w:jc w:val="left"/>
              <w:rPr>
                <w:b/>
              </w:rPr>
            </w:pPr>
            <w:r w:rsidRPr="001570EA">
              <w:rPr>
                <w:b/>
              </w:rPr>
              <w:t>Term</w:t>
            </w:r>
          </w:p>
        </w:tc>
        <w:tc>
          <w:tcPr>
            <w:tcW w:w="894" w:type="pct"/>
            <w:shd w:val="clear" w:color="auto" w:fill="BFBFBF"/>
          </w:tcPr>
          <w:p w14:paraId="07EE97C9" w14:textId="77777777" w:rsidR="004E6452" w:rsidRPr="001570EA" w:rsidRDefault="004E6452" w:rsidP="00597241">
            <w:pPr>
              <w:pStyle w:val="TableCell"/>
              <w:keepLines/>
              <w:spacing w:before="60" w:after="60"/>
              <w:jc w:val="center"/>
              <w:rPr>
                <w:b/>
              </w:rPr>
            </w:pPr>
            <w:r w:rsidRPr="001570EA">
              <w:rPr>
                <w:b/>
              </w:rPr>
              <w:t>Unit</w:t>
            </w:r>
          </w:p>
        </w:tc>
        <w:tc>
          <w:tcPr>
            <w:tcW w:w="1318" w:type="pct"/>
            <w:shd w:val="clear" w:color="auto" w:fill="BFBFBF"/>
          </w:tcPr>
          <w:p w14:paraId="6741A134" w14:textId="77777777" w:rsidR="004E6452" w:rsidRPr="001570EA" w:rsidRDefault="004E6452" w:rsidP="00597241">
            <w:pPr>
              <w:pStyle w:val="TableCell"/>
              <w:keepLines/>
              <w:spacing w:before="60" w:after="60"/>
              <w:jc w:val="center"/>
              <w:rPr>
                <w:b/>
              </w:rPr>
            </w:pPr>
            <w:r w:rsidRPr="001570EA">
              <w:rPr>
                <w:b/>
              </w:rPr>
              <w:t>Values</w:t>
            </w:r>
          </w:p>
        </w:tc>
        <w:tc>
          <w:tcPr>
            <w:tcW w:w="631" w:type="pct"/>
            <w:shd w:val="clear" w:color="auto" w:fill="BFBFBF"/>
          </w:tcPr>
          <w:p w14:paraId="5BD24804" w14:textId="77777777" w:rsidR="004E6452" w:rsidRPr="001570EA" w:rsidRDefault="004E6452" w:rsidP="00597241">
            <w:pPr>
              <w:pStyle w:val="TableCell"/>
              <w:keepLines/>
              <w:spacing w:before="60" w:after="60"/>
              <w:jc w:val="center"/>
              <w:rPr>
                <w:b/>
              </w:rPr>
            </w:pPr>
            <w:r w:rsidRPr="001570EA">
              <w:rPr>
                <w:b/>
              </w:rPr>
              <w:t>Source</w:t>
            </w:r>
          </w:p>
        </w:tc>
      </w:tr>
      <w:tr w:rsidR="004E6452" w:rsidRPr="001570EA" w14:paraId="190D7E99" w14:textId="77777777" w:rsidTr="002E1D27">
        <w:tc>
          <w:tcPr>
            <w:tcW w:w="2156" w:type="pct"/>
          </w:tcPr>
          <w:p w14:paraId="00CA75D5" w14:textId="63657E4F" w:rsidR="004E6452" w:rsidRPr="001570EA" w:rsidRDefault="004E6452" w:rsidP="00597241">
            <w:pPr>
              <w:pStyle w:val="TableCell"/>
              <w:keepLines/>
              <w:spacing w:before="0" w:after="0"/>
              <w:jc w:val="left"/>
              <w:rPr>
                <w:rFonts w:cs="Arial"/>
                <w:iCs/>
              </w:rPr>
            </w:pPr>
            <w:r w:rsidRPr="001570EA">
              <w:rPr>
                <w:rFonts w:cs="Arial"/>
                <w:i/>
                <w:iCs/>
              </w:rPr>
              <w:t>N</w:t>
            </w:r>
            <w:r w:rsidRPr="001570EA">
              <w:rPr>
                <w:rFonts w:cs="Arial"/>
                <w:iCs/>
              </w:rPr>
              <w:t>, The number of refrigerators recycled through the program</w:t>
            </w:r>
          </w:p>
        </w:tc>
        <w:tc>
          <w:tcPr>
            <w:tcW w:w="894" w:type="pct"/>
            <w:vAlign w:val="center"/>
          </w:tcPr>
          <w:p w14:paraId="721713DD" w14:textId="77777777" w:rsidR="004E6452" w:rsidRPr="001570EA" w:rsidRDefault="004E6452" w:rsidP="00597241">
            <w:pPr>
              <w:pStyle w:val="TableCell"/>
              <w:keepLines/>
              <w:spacing w:before="0" w:after="0"/>
              <w:jc w:val="center"/>
              <w:rPr>
                <w:i/>
              </w:rPr>
            </w:pPr>
            <w:r w:rsidRPr="001570EA">
              <w:rPr>
                <w:i/>
              </w:rPr>
              <w:t>None</w:t>
            </w:r>
          </w:p>
        </w:tc>
        <w:tc>
          <w:tcPr>
            <w:tcW w:w="1318" w:type="pct"/>
            <w:vAlign w:val="center"/>
          </w:tcPr>
          <w:p w14:paraId="7A61FAEC" w14:textId="77777777" w:rsidR="004E6452" w:rsidRPr="001570EA" w:rsidRDefault="004E6452" w:rsidP="00597241">
            <w:pPr>
              <w:pStyle w:val="TableCell"/>
              <w:keepLines/>
              <w:spacing w:before="0" w:after="0"/>
              <w:jc w:val="center"/>
            </w:pPr>
            <w:r w:rsidRPr="001570EA">
              <w:t>EDC Data Gathering</w:t>
            </w:r>
          </w:p>
        </w:tc>
        <w:tc>
          <w:tcPr>
            <w:tcW w:w="631" w:type="pct"/>
            <w:vAlign w:val="center"/>
          </w:tcPr>
          <w:p w14:paraId="1BE41BDC" w14:textId="77777777" w:rsidR="004E6452" w:rsidRPr="001570EA" w:rsidRDefault="004E6452" w:rsidP="00597241">
            <w:pPr>
              <w:pStyle w:val="TableCell"/>
              <w:keepLines/>
              <w:spacing w:before="0" w:after="0"/>
              <w:jc w:val="center"/>
            </w:pPr>
            <w:r w:rsidRPr="001570EA">
              <w:t>EDC Data Gathering</w:t>
            </w:r>
          </w:p>
        </w:tc>
      </w:tr>
      <w:tr w:rsidR="00064702" w:rsidRPr="001570EA" w14:paraId="38249D2B" w14:textId="77777777" w:rsidTr="007F64EC">
        <w:tc>
          <w:tcPr>
            <w:tcW w:w="2156" w:type="pct"/>
            <w:vAlign w:val="center"/>
          </w:tcPr>
          <w:p w14:paraId="6C4622AC" w14:textId="0CF6898B" w:rsidR="00064702" w:rsidRPr="001570EA" w:rsidRDefault="00A937F4" w:rsidP="00597241">
            <w:pPr>
              <w:pStyle w:val="TableCell"/>
              <w:keepLines/>
              <w:spacing w:before="0" w:after="0"/>
              <w:jc w:val="left"/>
              <w:rPr>
                <w:rFonts w:cs="Arial"/>
              </w:rPr>
            </w:pPr>
            <w:r w:rsidRPr="001570EA">
              <w:rPr>
                <w:rFonts w:cs="Arial"/>
                <w:i/>
                <w:iCs/>
              </w:rPr>
              <w:t xml:space="preserve">UEC, </w:t>
            </w:r>
            <w:r w:rsidR="002E1D27" w:rsidRPr="001570EA">
              <w:rPr>
                <w:rFonts w:cs="Arial"/>
              </w:rPr>
              <w:t>Annual energy consumption of the cooler being recycled</w:t>
            </w:r>
          </w:p>
        </w:tc>
        <w:tc>
          <w:tcPr>
            <w:tcW w:w="894" w:type="pct"/>
            <w:vAlign w:val="center"/>
          </w:tcPr>
          <w:p w14:paraId="59AD1C57" w14:textId="602DD30E" w:rsidR="00064702" w:rsidRPr="001570EA" w:rsidRDefault="002E1D27" w:rsidP="00597241">
            <w:pPr>
              <w:pStyle w:val="TableCell"/>
              <w:keepLines/>
              <w:spacing w:before="0" w:after="0"/>
              <w:jc w:val="center"/>
              <w:rPr>
                <w:i/>
              </w:rPr>
            </w:pPr>
            <w:r w:rsidRPr="001570EA">
              <w:rPr>
                <w:rFonts w:cs="Arial"/>
                <w:i/>
                <w:szCs w:val="18"/>
              </w:rPr>
              <w:t>kWh/yr</w:t>
            </w:r>
          </w:p>
        </w:tc>
        <w:tc>
          <w:tcPr>
            <w:tcW w:w="1318" w:type="pct"/>
            <w:vAlign w:val="center"/>
          </w:tcPr>
          <w:p w14:paraId="6125192F" w14:textId="03EB466E" w:rsidR="00064702" w:rsidRPr="001570EA" w:rsidRDefault="00043EE7" w:rsidP="00597241">
            <w:pPr>
              <w:pStyle w:val="TableCell"/>
              <w:keepLines/>
              <w:spacing w:before="0" w:after="0"/>
              <w:jc w:val="center"/>
            </w:pPr>
            <w:r w:rsidRPr="001570EA">
              <w:t xml:space="preserve">EDC Data Gathering, or </w:t>
            </w:r>
            <m:oMath>
              <m:sSub>
                <m:sSubPr>
                  <m:ctrlPr>
                    <w:rPr>
                      <w:rFonts w:ascii="Cambria Math" w:hAnsi="Cambria Math" w:cs="Arial"/>
                      <w:i/>
                      <w:sz w:val="22"/>
                      <w:szCs w:val="22"/>
                    </w:rPr>
                  </m:ctrlPr>
                </m:sSubPr>
                <m:e>
                  <m:r>
                    <w:rPr>
                      <w:rFonts w:ascii="Cambria Math" w:hAnsi="Cambria Math" w:cs="Arial"/>
                      <w:sz w:val="22"/>
                      <w:szCs w:val="22"/>
                    </w:rPr>
                    <m:t>η×kWh</m:t>
                  </m:r>
                </m:e>
                <m:sub>
                  <m:r>
                    <w:rPr>
                      <w:rFonts w:ascii="Cambria Math" w:hAnsi="Cambria Math" w:cs="Arial"/>
                      <w:sz w:val="22"/>
                      <w:szCs w:val="22"/>
                    </w:rPr>
                    <m:t>recycled</m:t>
                  </m:r>
                </m:sub>
              </m:sSub>
            </m:oMath>
          </w:p>
        </w:tc>
        <w:tc>
          <w:tcPr>
            <w:tcW w:w="631" w:type="pct"/>
            <w:vAlign w:val="center"/>
          </w:tcPr>
          <w:p w14:paraId="67440945" w14:textId="387C73A6" w:rsidR="00D17752" w:rsidRPr="001570EA" w:rsidRDefault="002E1D27" w:rsidP="00597241">
            <w:pPr>
              <w:pStyle w:val="TableCell"/>
              <w:keepLines/>
              <w:spacing w:before="0" w:after="0"/>
              <w:jc w:val="center"/>
            </w:pPr>
            <w:r w:rsidRPr="001570EA">
              <w:t>EDC Data Gathering,</w:t>
            </w:r>
            <w:r w:rsidR="00D17752" w:rsidRPr="001570EA">
              <w:t xml:space="preserve"> 2, 3</w:t>
            </w:r>
          </w:p>
        </w:tc>
      </w:tr>
      <w:tr w:rsidR="004E6452" w:rsidRPr="001570EA" w14:paraId="5D1EE4DB" w14:textId="77777777" w:rsidTr="002E1D27">
        <w:tc>
          <w:tcPr>
            <w:tcW w:w="2156" w:type="pct"/>
          </w:tcPr>
          <w:p w14:paraId="35BE657C" w14:textId="47AB75B7" w:rsidR="004E6452" w:rsidRPr="001570EA" w:rsidRDefault="004E6452" w:rsidP="00597241">
            <w:pPr>
              <w:pStyle w:val="TableCell"/>
              <w:keepLines/>
              <w:spacing w:before="0" w:after="0"/>
              <w:jc w:val="left"/>
              <w:rPr>
                <w:rFonts w:cs="Arial"/>
                <w:iCs/>
                <w:szCs w:val="18"/>
              </w:rPr>
            </w:pPr>
            <w:r w:rsidRPr="001570EA">
              <w:rPr>
                <w:rFonts w:cs="Arial"/>
                <w:i/>
                <w:iCs/>
              </w:rPr>
              <w:t>η,</w:t>
            </w:r>
            <w:r w:rsidR="00925A9A">
              <w:rPr>
                <w:rFonts w:cs="Arial"/>
                <w:i/>
                <w:iCs/>
              </w:rPr>
              <w:t xml:space="preserve"> </w:t>
            </w:r>
            <w:r w:rsidRPr="001570EA">
              <w:rPr>
                <w:rFonts w:cs="Arial"/>
              </w:rPr>
              <w:t>Average fraction of rated usage ÷</w:t>
            </w:r>
            <w:r w:rsidRPr="001570EA">
              <w:rPr>
                <w:rFonts w:cs="Arial"/>
                <w:i/>
              </w:rPr>
              <w:t xml:space="preserve"> </w:t>
            </w:r>
            <w:r w:rsidRPr="001570EA">
              <w:rPr>
                <w:rFonts w:cs="Arial"/>
                <w:iCs/>
                <w:szCs w:val="18"/>
              </w:rPr>
              <w:t>Title 20 Annual Energy Consumption.</w:t>
            </w:r>
          </w:p>
          <w:p w14:paraId="64481ED6" w14:textId="77777777" w:rsidR="004E6452" w:rsidRPr="001570EA" w:rsidRDefault="004E6452" w:rsidP="00597241">
            <w:pPr>
              <w:pStyle w:val="TableCell"/>
              <w:keepLines/>
              <w:spacing w:before="0" w:after="0"/>
              <w:jc w:val="left"/>
              <w:rPr>
                <w:rFonts w:cs="Arial"/>
                <w:i/>
                <w:iCs/>
              </w:rPr>
            </w:pPr>
            <w:r w:rsidRPr="001570EA">
              <w:rPr>
                <w:rFonts w:eastAsiaTheme="minorHAnsi" w:cs="Arial"/>
              </w:rPr>
              <w:t>This is a measure of how much more efficient equipment on the market was than what Title 20 permitted.</w:t>
            </w:r>
          </w:p>
        </w:tc>
        <w:tc>
          <w:tcPr>
            <w:tcW w:w="894" w:type="pct"/>
            <w:vAlign w:val="center"/>
          </w:tcPr>
          <w:p w14:paraId="3DD3DAF3" w14:textId="77777777" w:rsidR="004E6452" w:rsidRPr="001570EA" w:rsidRDefault="004E6452" w:rsidP="00597241">
            <w:pPr>
              <w:pStyle w:val="TableCell"/>
              <w:keepLines/>
              <w:spacing w:before="0" w:after="0"/>
              <w:jc w:val="center"/>
              <w:rPr>
                <w:i/>
              </w:rPr>
            </w:pPr>
            <w:r w:rsidRPr="001570EA">
              <w:rPr>
                <w:i/>
              </w:rPr>
              <w:t>%</w:t>
            </w:r>
          </w:p>
        </w:tc>
        <w:tc>
          <w:tcPr>
            <w:tcW w:w="1318" w:type="pct"/>
            <w:vAlign w:val="center"/>
          </w:tcPr>
          <w:p w14:paraId="038362A4" w14:textId="77777777" w:rsidR="004E6452" w:rsidRPr="001570EA" w:rsidRDefault="004E6452" w:rsidP="00597241">
            <w:pPr>
              <w:pStyle w:val="TableCell"/>
              <w:keepLines/>
              <w:spacing w:before="0" w:after="0"/>
              <w:jc w:val="center"/>
            </w:pPr>
            <w:r w:rsidRPr="001570EA">
              <w:t>89%</w:t>
            </w:r>
          </w:p>
        </w:tc>
        <w:tc>
          <w:tcPr>
            <w:tcW w:w="631" w:type="pct"/>
            <w:vAlign w:val="center"/>
          </w:tcPr>
          <w:p w14:paraId="626BD031" w14:textId="77777777" w:rsidR="004E6452" w:rsidRPr="001570EA" w:rsidRDefault="004E6452" w:rsidP="00597241">
            <w:pPr>
              <w:pStyle w:val="TableCell"/>
              <w:keepLines/>
              <w:spacing w:before="0" w:after="0"/>
              <w:jc w:val="center"/>
            </w:pPr>
            <w:r w:rsidRPr="001570EA">
              <w:t>2</w:t>
            </w:r>
          </w:p>
        </w:tc>
      </w:tr>
      <w:tr w:rsidR="002E1D27" w:rsidRPr="001570EA" w14:paraId="511BED5B" w14:textId="77777777" w:rsidTr="007F64EC">
        <w:tc>
          <w:tcPr>
            <w:tcW w:w="2156" w:type="pct"/>
            <w:vAlign w:val="center"/>
          </w:tcPr>
          <w:p w14:paraId="50F77469" w14:textId="17CFBF3B" w:rsidR="002E1D27" w:rsidRPr="001570EA" w:rsidRDefault="002E1D27" w:rsidP="00597241">
            <w:pPr>
              <w:pStyle w:val="TableCell"/>
              <w:keepLines/>
              <w:spacing w:before="0" w:after="0"/>
              <w:jc w:val="left"/>
              <w:rPr>
                <w:rFonts w:cs="Arial"/>
                <w:i/>
                <w:iCs/>
              </w:rPr>
            </w:pPr>
            <w:r w:rsidRPr="001570EA">
              <w:rPr>
                <w:rFonts w:cs="Arial"/>
                <w:i/>
                <w:szCs w:val="18"/>
              </w:rPr>
              <w:t>kWh</w:t>
            </w:r>
            <w:r w:rsidRPr="001570EA">
              <w:rPr>
                <w:rFonts w:cs="Arial"/>
                <w:i/>
                <w:szCs w:val="18"/>
                <w:vertAlign w:val="subscript"/>
              </w:rPr>
              <w:t>recycle</w:t>
            </w:r>
            <w:r w:rsidR="00C62EA2" w:rsidRPr="001570EA">
              <w:rPr>
                <w:rFonts w:cs="Arial"/>
                <w:i/>
                <w:szCs w:val="18"/>
                <w:vertAlign w:val="subscript"/>
              </w:rPr>
              <w:t>d</w:t>
            </w:r>
            <w:r w:rsidRPr="001570EA">
              <w:rPr>
                <w:rFonts w:cs="Arial"/>
                <w:i/>
                <w:szCs w:val="18"/>
              </w:rPr>
              <w:t xml:space="preserve">, </w:t>
            </w:r>
            <w:r w:rsidRPr="001570EA">
              <w:rPr>
                <w:rFonts w:cs="Arial"/>
                <w:iCs/>
                <w:szCs w:val="18"/>
              </w:rPr>
              <w:t>Maximum</w:t>
            </w:r>
            <w:r w:rsidRPr="001570EA">
              <w:rPr>
                <w:rFonts w:cs="Arial"/>
                <w:i/>
                <w:szCs w:val="18"/>
              </w:rPr>
              <w:t xml:space="preserve"> </w:t>
            </w:r>
            <w:r w:rsidRPr="001570EA">
              <w:rPr>
                <w:rFonts w:cs="Arial"/>
                <w:iCs/>
                <w:szCs w:val="18"/>
              </w:rPr>
              <w:t>a</w:t>
            </w:r>
            <w:r w:rsidRPr="001570EA">
              <w:rPr>
                <w:rFonts w:cs="Arial"/>
                <w:szCs w:val="18"/>
              </w:rPr>
              <w:t>nnual energy consumption of California Title 20 standard for the recycled unit</w:t>
            </w:r>
          </w:p>
        </w:tc>
        <w:tc>
          <w:tcPr>
            <w:tcW w:w="894" w:type="pct"/>
            <w:vAlign w:val="center"/>
          </w:tcPr>
          <w:p w14:paraId="4039C5BF" w14:textId="319737EE" w:rsidR="002E1D27" w:rsidRPr="001570EA" w:rsidRDefault="002E1D27" w:rsidP="00597241">
            <w:pPr>
              <w:pStyle w:val="TableCell"/>
              <w:keepLines/>
              <w:spacing w:before="0" w:after="0"/>
              <w:jc w:val="center"/>
              <w:rPr>
                <w:i/>
              </w:rPr>
            </w:pPr>
            <w:r w:rsidRPr="001570EA">
              <w:rPr>
                <w:rFonts w:cs="Arial"/>
                <w:i/>
                <w:szCs w:val="18"/>
              </w:rPr>
              <w:t>kWh/yr</w:t>
            </w:r>
          </w:p>
        </w:tc>
        <w:tc>
          <w:tcPr>
            <w:tcW w:w="1318" w:type="pct"/>
            <w:vAlign w:val="center"/>
          </w:tcPr>
          <w:p w14:paraId="036415EB" w14:textId="344B8587" w:rsidR="002E1D27" w:rsidRPr="001570EA" w:rsidRDefault="00D65484" w:rsidP="00597241">
            <w:pPr>
              <w:pStyle w:val="TableCell"/>
              <w:keepLines/>
              <w:spacing w:before="0" w:after="0"/>
              <w:jc w:val="center"/>
              <w:rPr>
                <w:szCs w:val="18"/>
              </w:rPr>
            </w:pPr>
            <w:r w:rsidRPr="001570EA">
              <w:rPr>
                <w:szCs w:val="18"/>
              </w:rPr>
              <w:fldChar w:fldCharType="begin"/>
            </w:r>
            <w:r w:rsidRPr="001570EA">
              <w:rPr>
                <w:rFonts w:cs="Arial"/>
                <w:szCs w:val="18"/>
              </w:rPr>
              <w:instrText xml:space="preserve"> REF _Ref163227612 \h </w:instrText>
            </w:r>
            <w:r w:rsidR="001570EA">
              <w:rPr>
                <w:szCs w:val="18"/>
              </w:rPr>
              <w:instrText xml:space="preserve"> \* MERGEFORMAT </w:instrText>
            </w:r>
            <w:r w:rsidRPr="001570EA">
              <w:rPr>
                <w:szCs w:val="18"/>
              </w:rPr>
            </w:r>
            <w:r w:rsidRPr="001570EA">
              <w:rPr>
                <w:szCs w:val="18"/>
              </w:rPr>
              <w:fldChar w:fldCharType="separate"/>
            </w:r>
            <w:r w:rsidR="005B71B3" w:rsidRPr="001570EA">
              <w:t xml:space="preserve">Table </w:t>
            </w:r>
            <w:r w:rsidR="005B71B3" w:rsidRPr="001570EA">
              <w:rPr>
                <w:noProof/>
              </w:rPr>
              <w:t>2</w:t>
            </w:r>
            <w:r w:rsidR="005B71B3" w:rsidRPr="001570EA">
              <w:rPr>
                <w:noProof/>
              </w:rPr>
              <w:noBreakHyphen/>
              <w:t>101</w:t>
            </w:r>
            <w:r w:rsidRPr="001570EA">
              <w:rPr>
                <w:szCs w:val="18"/>
              </w:rPr>
              <w:fldChar w:fldCharType="end"/>
            </w:r>
            <w:r w:rsidR="004E6A64" w:rsidRPr="001570EA">
              <w:rPr>
                <w:szCs w:val="18"/>
              </w:rPr>
              <w:t xml:space="preserve"> </w:t>
            </w:r>
          </w:p>
        </w:tc>
        <w:tc>
          <w:tcPr>
            <w:tcW w:w="631" w:type="pct"/>
            <w:vAlign w:val="center"/>
          </w:tcPr>
          <w:p w14:paraId="31A99092" w14:textId="40427C2D" w:rsidR="002E1D27" w:rsidRPr="001570EA" w:rsidRDefault="002E1D27" w:rsidP="00597241">
            <w:pPr>
              <w:pStyle w:val="TableCell"/>
              <w:keepLines/>
              <w:spacing w:before="0" w:after="0"/>
              <w:jc w:val="center"/>
            </w:pPr>
            <w:r w:rsidRPr="001570EA">
              <w:rPr>
                <w:rFonts w:cs="Arial"/>
                <w:szCs w:val="18"/>
              </w:rPr>
              <w:t>3</w:t>
            </w:r>
          </w:p>
        </w:tc>
      </w:tr>
      <w:tr w:rsidR="002E1D27" w:rsidRPr="001570EA" w14:paraId="63CEADA7" w14:textId="77777777" w:rsidTr="002E1D27">
        <w:tc>
          <w:tcPr>
            <w:tcW w:w="2156" w:type="pct"/>
            <w:vAlign w:val="center"/>
          </w:tcPr>
          <w:p w14:paraId="1F6CD741" w14:textId="17E7F46E" w:rsidR="002E1D27" w:rsidRPr="001570EA" w:rsidRDefault="002E1D27" w:rsidP="00597241">
            <w:pPr>
              <w:pStyle w:val="TableCell"/>
              <w:keepLines/>
              <w:spacing w:before="0" w:after="0"/>
              <w:jc w:val="left"/>
              <w:rPr>
                <w:rFonts w:cs="Arial"/>
                <w:i/>
                <w:iCs/>
              </w:rPr>
            </w:pPr>
            <w:r w:rsidRPr="001570EA">
              <w:rPr>
                <w:rFonts w:cs="Arial"/>
                <w:i/>
                <w:szCs w:val="18"/>
              </w:rPr>
              <w:t>kWh</w:t>
            </w:r>
            <w:r w:rsidRPr="001570EA">
              <w:rPr>
                <w:rFonts w:cs="Arial"/>
                <w:i/>
                <w:szCs w:val="18"/>
                <w:vertAlign w:val="subscript"/>
              </w:rPr>
              <w:t>ee</w:t>
            </w:r>
            <w:r w:rsidRPr="001570EA">
              <w:rPr>
                <w:rFonts w:cs="Arial"/>
                <w:i/>
                <w:szCs w:val="18"/>
              </w:rPr>
              <w:t xml:space="preserve">, </w:t>
            </w:r>
            <w:r w:rsidRPr="001570EA">
              <w:rPr>
                <w:rFonts w:cs="Arial"/>
                <w:iCs/>
                <w:szCs w:val="18"/>
              </w:rPr>
              <w:t>Maximum</w:t>
            </w:r>
            <w:r w:rsidRPr="001570EA">
              <w:rPr>
                <w:rFonts w:cs="Arial"/>
                <w:i/>
                <w:szCs w:val="18"/>
              </w:rPr>
              <w:t xml:space="preserve"> a</w:t>
            </w:r>
            <w:r w:rsidRPr="001570EA">
              <w:rPr>
                <w:rFonts w:cs="Arial"/>
                <w:szCs w:val="18"/>
              </w:rPr>
              <w:t>nnual energy consumption of ENERGY STAR qualified unit</w:t>
            </w:r>
          </w:p>
        </w:tc>
        <w:tc>
          <w:tcPr>
            <w:tcW w:w="894" w:type="pct"/>
            <w:vAlign w:val="center"/>
          </w:tcPr>
          <w:p w14:paraId="2D8A9708" w14:textId="276EE06E" w:rsidR="002E1D27" w:rsidRPr="001570EA" w:rsidRDefault="002E1D27" w:rsidP="00597241">
            <w:pPr>
              <w:pStyle w:val="TableCell"/>
              <w:keepLines/>
              <w:spacing w:before="0" w:after="0"/>
              <w:jc w:val="center"/>
              <w:rPr>
                <w:i/>
              </w:rPr>
            </w:pPr>
            <w:r w:rsidRPr="001570EA">
              <w:rPr>
                <w:rFonts w:cs="Arial"/>
                <w:i/>
                <w:szCs w:val="18"/>
              </w:rPr>
              <w:t>kWh/yr</w:t>
            </w:r>
          </w:p>
        </w:tc>
        <w:tc>
          <w:tcPr>
            <w:tcW w:w="1318" w:type="pct"/>
            <w:vAlign w:val="center"/>
          </w:tcPr>
          <w:p w14:paraId="63A4B4D3" w14:textId="77777777" w:rsidR="002E1D27" w:rsidRPr="001570EA" w:rsidRDefault="002E1D27" w:rsidP="00597241">
            <w:pPr>
              <w:keepNext/>
              <w:keepLines/>
              <w:jc w:val="center"/>
              <w:rPr>
                <w:rFonts w:cs="Arial"/>
                <w:sz w:val="18"/>
                <w:szCs w:val="18"/>
              </w:rPr>
            </w:pPr>
            <w:r w:rsidRPr="001570EA">
              <w:rPr>
                <w:rFonts w:cs="Arial"/>
                <w:sz w:val="18"/>
                <w:szCs w:val="18"/>
              </w:rPr>
              <w:t>EDC Data Gathering</w:t>
            </w:r>
          </w:p>
          <w:p w14:paraId="40B9ECD3" w14:textId="6B3FE981" w:rsidR="002E1D27" w:rsidRPr="001570EA" w:rsidRDefault="002E1D27" w:rsidP="00597241">
            <w:pPr>
              <w:keepNext/>
              <w:keepLines/>
              <w:jc w:val="center"/>
              <w:rPr>
                <w:rFonts w:cs="Arial"/>
                <w:sz w:val="18"/>
                <w:szCs w:val="18"/>
              </w:rPr>
            </w:pPr>
            <w:r w:rsidRPr="001570EA">
              <w:rPr>
                <w:sz w:val="18"/>
                <w:szCs w:val="18"/>
              </w:rPr>
              <w:fldChar w:fldCharType="begin"/>
            </w:r>
            <w:r w:rsidRPr="001570EA">
              <w:rPr>
                <w:sz w:val="18"/>
                <w:szCs w:val="18"/>
              </w:rPr>
              <w:instrText xml:space="preserve"> REF _Ref163828805 \h  \* MERGEFORMAT </w:instrText>
            </w:r>
            <w:r w:rsidRPr="001570EA">
              <w:rPr>
                <w:sz w:val="18"/>
                <w:szCs w:val="18"/>
              </w:rPr>
            </w:r>
            <w:r w:rsidRPr="001570EA">
              <w:rPr>
                <w:sz w:val="18"/>
                <w:szCs w:val="18"/>
              </w:rPr>
              <w:fldChar w:fldCharType="separate"/>
            </w:r>
            <w:r w:rsidR="00234C6C" w:rsidRPr="001570EA">
              <w:rPr>
                <w:sz w:val="18"/>
                <w:szCs w:val="18"/>
              </w:rPr>
              <w:t xml:space="preserve">Table </w:t>
            </w:r>
            <w:r w:rsidR="00234C6C" w:rsidRPr="001570EA">
              <w:rPr>
                <w:noProof/>
                <w:sz w:val="18"/>
                <w:szCs w:val="18"/>
              </w:rPr>
              <w:t>2</w:t>
            </w:r>
            <w:r w:rsidRPr="001570EA">
              <w:rPr>
                <w:sz w:val="18"/>
                <w:szCs w:val="18"/>
              </w:rPr>
              <w:fldChar w:fldCharType="end"/>
            </w:r>
          </w:p>
          <w:p w14:paraId="38D0CD26" w14:textId="5E327D1D" w:rsidR="002E1D27" w:rsidRPr="001570EA" w:rsidRDefault="002E1D27" w:rsidP="00597241">
            <w:pPr>
              <w:pStyle w:val="TableCell"/>
              <w:keepLines/>
              <w:spacing w:before="0" w:after="0"/>
              <w:jc w:val="center"/>
            </w:pPr>
            <w:r w:rsidRPr="001570EA">
              <w:rPr>
                <w:rFonts w:cs="Arial"/>
                <w:szCs w:val="18"/>
              </w:rPr>
              <w:t>Default:</w:t>
            </w:r>
            <w:r w:rsidRPr="001570EA">
              <w:rPr>
                <w:rFonts w:cs="Arial"/>
                <w:szCs w:val="18"/>
              </w:rPr>
              <w:br/>
            </w:r>
            <w:r w:rsidRPr="001570EA">
              <w:rPr>
                <w:rStyle w:val="normaltextrun"/>
                <w:rFonts w:cs="Arial"/>
                <w:color w:val="000000"/>
                <w:szCs w:val="18"/>
                <w:shd w:val="clear" w:color="auto" w:fill="FFFFFF"/>
              </w:rPr>
              <w:fldChar w:fldCharType="begin"/>
            </w:r>
            <w:r w:rsidRPr="001570EA">
              <w:rPr>
                <w:rStyle w:val="normaltextrun"/>
                <w:rFonts w:cs="Arial"/>
                <w:color w:val="000000"/>
                <w:szCs w:val="18"/>
                <w:shd w:val="clear" w:color="auto" w:fill="FFFFFF"/>
              </w:rPr>
              <w:instrText xml:space="preserve"> REF _Ref163912572 \h  \* MERGEFORMAT </w:instrText>
            </w:r>
            <w:r w:rsidRPr="001570EA">
              <w:rPr>
                <w:rStyle w:val="normaltextrun"/>
                <w:rFonts w:cs="Arial"/>
                <w:color w:val="000000"/>
                <w:szCs w:val="18"/>
                <w:shd w:val="clear" w:color="auto" w:fill="FFFFFF"/>
              </w:rPr>
            </w:r>
            <w:r w:rsidRPr="001570EA">
              <w:rPr>
                <w:rStyle w:val="normaltextrun"/>
                <w:rFonts w:cs="Arial"/>
                <w:color w:val="000000"/>
                <w:szCs w:val="18"/>
                <w:shd w:val="clear" w:color="auto" w:fill="FFFFFF"/>
              </w:rPr>
              <w:fldChar w:fldCharType="separate"/>
            </w:r>
            <w:r w:rsidR="005B71B3" w:rsidRPr="005B71B3">
              <w:rPr>
                <w:szCs w:val="18"/>
              </w:rPr>
              <w:t xml:space="preserve">Table </w:t>
            </w:r>
            <w:r w:rsidR="005B71B3" w:rsidRPr="005B71B3">
              <w:rPr>
                <w:noProof/>
                <w:szCs w:val="18"/>
              </w:rPr>
              <w:t>2</w:t>
            </w:r>
            <w:r w:rsidR="005B71B3" w:rsidRPr="00DA76C6">
              <w:rPr>
                <w:noProof/>
                <w:szCs w:val="18"/>
              </w:rPr>
              <w:noBreakHyphen/>
            </w:r>
            <w:r w:rsidR="005B71B3" w:rsidRPr="005B71B3">
              <w:rPr>
                <w:noProof/>
                <w:szCs w:val="18"/>
              </w:rPr>
              <w:t>99</w:t>
            </w:r>
            <w:r w:rsidRPr="001570EA">
              <w:rPr>
                <w:rStyle w:val="normaltextrun"/>
                <w:rFonts w:cs="Arial"/>
                <w:color w:val="000000"/>
                <w:szCs w:val="18"/>
                <w:shd w:val="clear" w:color="auto" w:fill="FFFFFF"/>
              </w:rPr>
              <w:fldChar w:fldCharType="end"/>
            </w:r>
            <w:r w:rsidRPr="001570EA">
              <w:rPr>
                <w:rStyle w:val="normaltextrun"/>
                <w:rFonts w:cs="Arial"/>
                <w:color w:val="000000"/>
                <w:szCs w:val="18"/>
                <w:shd w:val="clear" w:color="auto" w:fill="FFFFFF"/>
              </w:rPr>
              <w:t xml:space="preserve"> </w:t>
            </w:r>
          </w:p>
        </w:tc>
        <w:tc>
          <w:tcPr>
            <w:tcW w:w="631" w:type="pct"/>
            <w:vAlign w:val="center"/>
          </w:tcPr>
          <w:p w14:paraId="3F83DDF8" w14:textId="77777777" w:rsidR="002E1D27" w:rsidRPr="001570EA" w:rsidRDefault="002E1D27" w:rsidP="00597241">
            <w:pPr>
              <w:pStyle w:val="TableCell"/>
              <w:keepLines/>
              <w:spacing w:before="0" w:after="0"/>
              <w:jc w:val="center"/>
            </w:pPr>
            <w:r w:rsidRPr="001570EA">
              <w:t>EDC Data Gathering,</w:t>
            </w:r>
          </w:p>
          <w:p w14:paraId="3D5AE9F8" w14:textId="40E74644" w:rsidR="002E1D27" w:rsidRPr="001570EA" w:rsidRDefault="002E1D27" w:rsidP="00597241">
            <w:pPr>
              <w:pStyle w:val="TableCell"/>
              <w:keepLines/>
              <w:spacing w:before="0" w:after="0"/>
              <w:jc w:val="center"/>
            </w:pPr>
            <w:r w:rsidRPr="001570EA">
              <w:rPr>
                <w:szCs w:val="18"/>
              </w:rPr>
              <w:t>7</w:t>
            </w:r>
          </w:p>
        </w:tc>
      </w:tr>
      <w:tr w:rsidR="004E6452" w:rsidRPr="001570EA" w14:paraId="5A56D18B" w14:textId="77777777" w:rsidTr="002E1D27">
        <w:tc>
          <w:tcPr>
            <w:tcW w:w="2156" w:type="pct"/>
            <w:vAlign w:val="center"/>
          </w:tcPr>
          <w:p w14:paraId="053E8579" w14:textId="3898EA11" w:rsidR="004E6452" w:rsidRPr="001570EA" w:rsidRDefault="004E6452" w:rsidP="00597241">
            <w:pPr>
              <w:pStyle w:val="TableCell"/>
              <w:keepLines/>
              <w:spacing w:before="0" w:after="0"/>
              <w:jc w:val="left"/>
            </w:pPr>
            <w:r w:rsidRPr="001570EA">
              <w:rPr>
                <w:rFonts w:cs="Arial"/>
                <w:i/>
                <w:iCs/>
              </w:rPr>
              <w:t>PART_USE,</w:t>
            </w:r>
            <w:r w:rsidRPr="001570EA">
              <w:rPr>
                <w:rFonts w:cs="Arial"/>
              </w:rPr>
              <w:t xml:space="preserve"> The portion of the year the average cooler would likely have operated if not recycled through the program</w:t>
            </w:r>
          </w:p>
        </w:tc>
        <w:tc>
          <w:tcPr>
            <w:tcW w:w="894" w:type="pct"/>
            <w:vAlign w:val="center"/>
          </w:tcPr>
          <w:p w14:paraId="4A931340" w14:textId="77777777" w:rsidR="004E6452" w:rsidRPr="001570EA" w:rsidRDefault="004E6452" w:rsidP="00597241">
            <w:pPr>
              <w:pStyle w:val="TableCell"/>
              <w:keepLines/>
              <w:spacing w:before="0" w:after="0"/>
              <w:jc w:val="center"/>
              <w:rPr>
                <w:i/>
              </w:rPr>
            </w:pPr>
            <w:r w:rsidRPr="001570EA">
              <w:rPr>
                <w:i/>
              </w:rPr>
              <w:t>%</w:t>
            </w:r>
          </w:p>
        </w:tc>
        <w:tc>
          <w:tcPr>
            <w:tcW w:w="1318" w:type="pct"/>
            <w:vAlign w:val="center"/>
          </w:tcPr>
          <w:p w14:paraId="0756631B" w14:textId="77777777" w:rsidR="004E6452" w:rsidRPr="001570EA" w:rsidRDefault="004E6452" w:rsidP="00597241">
            <w:pPr>
              <w:pStyle w:val="TableCell"/>
              <w:keepLines/>
              <w:spacing w:before="0" w:after="0"/>
              <w:jc w:val="center"/>
            </w:pPr>
            <w:r w:rsidRPr="001570EA">
              <w:t>EDC Data Gathering According to Section 4.4 of UMP Protocol</w:t>
            </w:r>
          </w:p>
          <w:p w14:paraId="56407FDC" w14:textId="359B5380" w:rsidR="004E6452" w:rsidRPr="001570EA" w:rsidRDefault="004E6452" w:rsidP="00597241">
            <w:pPr>
              <w:pStyle w:val="TableCell"/>
              <w:keepLines/>
              <w:spacing w:before="80" w:after="80"/>
              <w:jc w:val="center"/>
            </w:pPr>
            <w:r w:rsidRPr="001570EA">
              <w:t xml:space="preserve">Default: </w:t>
            </w:r>
            <w:r w:rsidRPr="001570EA">
              <w:br/>
              <w:t>Refrigerator= 72.8%</w:t>
            </w:r>
          </w:p>
        </w:tc>
        <w:tc>
          <w:tcPr>
            <w:tcW w:w="631" w:type="pct"/>
            <w:vAlign w:val="center"/>
          </w:tcPr>
          <w:p w14:paraId="0375F9DC" w14:textId="77777777" w:rsidR="004E6452" w:rsidRPr="001570EA" w:rsidRDefault="004E6452" w:rsidP="00597241">
            <w:pPr>
              <w:pStyle w:val="TableCell"/>
              <w:keepLines/>
              <w:spacing w:before="0" w:after="0"/>
              <w:jc w:val="center"/>
            </w:pPr>
            <w:r w:rsidRPr="001570EA">
              <w:t>EDC Data Gathering,</w:t>
            </w:r>
          </w:p>
          <w:p w14:paraId="5FFF25B7" w14:textId="77777777" w:rsidR="004E6452" w:rsidRPr="001570EA" w:rsidRDefault="004E6452" w:rsidP="00597241">
            <w:pPr>
              <w:pStyle w:val="TableCell"/>
              <w:keepLines/>
              <w:spacing w:before="0" w:after="0"/>
              <w:jc w:val="center"/>
            </w:pPr>
            <w:r w:rsidRPr="001570EA">
              <w:t>5</w:t>
            </w:r>
          </w:p>
        </w:tc>
      </w:tr>
      <w:tr w:rsidR="004E6452" w:rsidRPr="001570EA" w14:paraId="15D51CEB" w14:textId="77777777" w:rsidTr="002E1D27">
        <w:trPr>
          <w:trHeight w:val="77"/>
        </w:trPr>
        <w:tc>
          <w:tcPr>
            <w:tcW w:w="2156" w:type="pct"/>
            <w:vAlign w:val="center"/>
          </w:tcPr>
          <w:p w14:paraId="4FB1A932" w14:textId="77777777" w:rsidR="004E6452" w:rsidRPr="001570EA" w:rsidRDefault="004E6452" w:rsidP="00597241">
            <w:pPr>
              <w:pStyle w:val="TableCell"/>
              <w:keepLines/>
              <w:spacing w:before="0" w:after="0"/>
              <w:jc w:val="left"/>
              <w:rPr>
                <w:rFonts w:cs="Arial"/>
                <w:iCs/>
              </w:rPr>
            </w:pPr>
            <w:r w:rsidRPr="001570EA">
              <w:rPr>
                <w:rFonts w:cs="Arial"/>
                <w:i/>
                <w:szCs w:val="18"/>
              </w:rPr>
              <w:t>ETDF</w:t>
            </w:r>
            <w:r w:rsidRPr="001570EA">
              <w:rPr>
                <w:rFonts w:cs="Arial"/>
                <w:szCs w:val="18"/>
                <w:vertAlign w:val="subscript"/>
              </w:rPr>
              <w:t>s</w:t>
            </w:r>
            <w:r w:rsidRPr="001570EA">
              <w:rPr>
                <w:rFonts w:cs="Arial"/>
                <w:szCs w:val="18"/>
              </w:rPr>
              <w:t>, Summer peak Energy to Demand Factor</w:t>
            </w:r>
          </w:p>
        </w:tc>
        <w:tc>
          <w:tcPr>
            <w:tcW w:w="894" w:type="pct"/>
            <w:vAlign w:val="center"/>
          </w:tcPr>
          <w:p w14:paraId="6DB4CBFC" w14:textId="77777777" w:rsidR="004E6452" w:rsidRPr="001570EA" w:rsidRDefault="003B5E04" w:rsidP="00597241">
            <w:pPr>
              <w:pStyle w:val="TableCell"/>
              <w:keepLines/>
              <w:spacing w:before="0" w:after="0"/>
              <w:jc w:val="cente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318" w:type="pct"/>
            <w:vAlign w:val="center"/>
          </w:tcPr>
          <w:p w14:paraId="4C02872B" w14:textId="77777777" w:rsidR="004E6452" w:rsidRPr="001570EA" w:rsidRDefault="004E6452" w:rsidP="00597241">
            <w:pPr>
              <w:pStyle w:val="TableCell"/>
              <w:keepLines/>
              <w:spacing w:before="0" w:after="0"/>
              <w:jc w:val="center"/>
            </w:pPr>
            <w:r w:rsidRPr="001570EA">
              <w:rPr>
                <w:rFonts w:cs="Arial"/>
                <w:szCs w:val="18"/>
              </w:rPr>
              <w:t>0.0001354</w:t>
            </w:r>
          </w:p>
        </w:tc>
        <w:tc>
          <w:tcPr>
            <w:tcW w:w="631" w:type="pct"/>
            <w:vAlign w:val="center"/>
          </w:tcPr>
          <w:p w14:paraId="180869F2" w14:textId="77777777" w:rsidR="004E6452" w:rsidRPr="001570EA" w:rsidRDefault="004E6452" w:rsidP="00597241">
            <w:pPr>
              <w:pStyle w:val="TableCell"/>
              <w:keepLines/>
              <w:spacing w:before="0" w:after="0"/>
              <w:jc w:val="center"/>
            </w:pPr>
            <w:r w:rsidRPr="001570EA">
              <w:t>6</w:t>
            </w:r>
          </w:p>
        </w:tc>
      </w:tr>
      <w:tr w:rsidR="004E6452" w:rsidRPr="001570EA" w14:paraId="3F4761E0" w14:textId="77777777" w:rsidTr="002E1D27">
        <w:trPr>
          <w:trHeight w:val="77"/>
        </w:trPr>
        <w:tc>
          <w:tcPr>
            <w:tcW w:w="2156" w:type="pct"/>
            <w:vAlign w:val="center"/>
          </w:tcPr>
          <w:p w14:paraId="2BC31919" w14:textId="77777777" w:rsidR="004E6452" w:rsidRPr="001570EA" w:rsidRDefault="004E6452" w:rsidP="00597241">
            <w:pPr>
              <w:pStyle w:val="TableCell"/>
              <w:keepLines/>
              <w:spacing w:before="0" w:after="0"/>
              <w:jc w:val="left"/>
              <w:rPr>
                <w:rFonts w:cs="Arial"/>
                <w:i/>
                <w:iCs/>
              </w:rPr>
            </w:pPr>
            <w:r w:rsidRPr="001570EA">
              <w:rPr>
                <w:rFonts w:cs="Arial"/>
                <w:i/>
                <w:szCs w:val="18"/>
              </w:rPr>
              <w:t>ETDF</w:t>
            </w:r>
            <w:r w:rsidRPr="001570EA">
              <w:rPr>
                <w:rFonts w:cs="Arial"/>
                <w:i/>
                <w:szCs w:val="18"/>
                <w:vertAlign w:val="subscript"/>
              </w:rPr>
              <w:t>w</w:t>
            </w:r>
            <w:r w:rsidRPr="001570EA">
              <w:rPr>
                <w:rFonts w:cs="Arial"/>
                <w:szCs w:val="18"/>
              </w:rPr>
              <w:t>, Winter peak Energy to Demand Factor</w:t>
            </w:r>
          </w:p>
        </w:tc>
        <w:tc>
          <w:tcPr>
            <w:tcW w:w="894" w:type="pct"/>
            <w:vAlign w:val="center"/>
          </w:tcPr>
          <w:p w14:paraId="76A6909F" w14:textId="77777777" w:rsidR="004E6452" w:rsidRPr="001570EA" w:rsidRDefault="003B5E04" w:rsidP="00597241">
            <w:pPr>
              <w:pStyle w:val="TableCell"/>
              <w:keepLines/>
              <w:spacing w:before="0" w:after="0"/>
              <w:jc w:val="center"/>
              <w:rPr>
                <w:rFonts w:cs="Arial"/>
                <w:color w:val="000000"/>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318" w:type="pct"/>
            <w:vAlign w:val="center"/>
          </w:tcPr>
          <w:p w14:paraId="6F071AF8" w14:textId="77777777" w:rsidR="004E6452" w:rsidRPr="001570EA" w:rsidRDefault="004E6452" w:rsidP="00597241">
            <w:pPr>
              <w:pStyle w:val="TableCell"/>
              <w:keepLines/>
              <w:spacing w:before="0" w:after="0"/>
              <w:jc w:val="center"/>
              <w:rPr>
                <w:rFonts w:cs="Arial"/>
                <w:szCs w:val="18"/>
              </w:rPr>
            </w:pPr>
            <w:r w:rsidRPr="001570EA">
              <w:rPr>
                <w:rFonts w:cs="Arial"/>
                <w:szCs w:val="18"/>
              </w:rPr>
              <w:t>0.0001014</w:t>
            </w:r>
          </w:p>
        </w:tc>
        <w:tc>
          <w:tcPr>
            <w:tcW w:w="631" w:type="pct"/>
            <w:vAlign w:val="center"/>
          </w:tcPr>
          <w:p w14:paraId="7EA29BFE" w14:textId="77777777" w:rsidR="004E6452" w:rsidRPr="001570EA" w:rsidRDefault="004E6452" w:rsidP="00597241">
            <w:pPr>
              <w:pStyle w:val="TableCell"/>
              <w:keepLines/>
              <w:spacing w:before="0" w:after="0"/>
              <w:jc w:val="center"/>
            </w:pPr>
            <w:r w:rsidRPr="001570EA">
              <w:t>6</w:t>
            </w:r>
          </w:p>
        </w:tc>
      </w:tr>
      <w:tr w:rsidR="004E6452" w:rsidRPr="001570EA" w14:paraId="07E205EC" w14:textId="77777777" w:rsidTr="002E1D27">
        <w:trPr>
          <w:trHeight w:val="1601"/>
        </w:trPr>
        <w:tc>
          <w:tcPr>
            <w:tcW w:w="2156" w:type="pct"/>
            <w:shd w:val="clear" w:color="auto" w:fill="auto"/>
            <w:vAlign w:val="center"/>
          </w:tcPr>
          <w:p w14:paraId="308298EE" w14:textId="77777777" w:rsidR="004E6452" w:rsidRPr="001570EA" w:rsidRDefault="004E6452" w:rsidP="00597241">
            <w:pPr>
              <w:pStyle w:val="TableCell"/>
              <w:keepLines/>
              <w:spacing w:before="0" w:after="0"/>
              <w:jc w:val="left"/>
              <w:rPr>
                <w:rFonts w:cs="Arial"/>
                <w:i/>
                <w:szCs w:val="18"/>
              </w:rPr>
            </w:pPr>
            <w:r w:rsidRPr="001570EA">
              <w:rPr>
                <w:rFonts w:cs="Arial"/>
                <w:i/>
                <w:color w:val="000000"/>
                <w:szCs w:val="18"/>
              </w:rPr>
              <w:t>AV</w:t>
            </w:r>
            <w:r w:rsidRPr="001570EA">
              <w:rPr>
                <w:rFonts w:cs="Arial"/>
                <w:color w:val="000000"/>
                <w:szCs w:val="18"/>
              </w:rPr>
              <w:t>, Adjusted Volume/calculated as described above</w:t>
            </w:r>
          </w:p>
        </w:tc>
        <w:tc>
          <w:tcPr>
            <w:tcW w:w="894" w:type="pct"/>
            <w:shd w:val="clear" w:color="auto" w:fill="auto"/>
            <w:vAlign w:val="center"/>
          </w:tcPr>
          <w:p w14:paraId="1D31B20A" w14:textId="77777777" w:rsidR="004E6452" w:rsidRPr="001570EA" w:rsidRDefault="004E6452" w:rsidP="00597241">
            <w:pPr>
              <w:pStyle w:val="TableCell"/>
              <w:keepLines/>
              <w:spacing w:before="0" w:after="0"/>
              <w:jc w:val="center"/>
              <w:rPr>
                <w:rFonts w:cs="Arial"/>
                <w:i/>
                <w:szCs w:val="18"/>
              </w:rPr>
            </w:pPr>
            <w:r w:rsidRPr="001570EA">
              <w:rPr>
                <w:rFonts w:cs="Arial"/>
                <w:i/>
                <w:color w:val="000000"/>
                <w:szCs w:val="18"/>
              </w:rPr>
              <w:t>ft</w:t>
            </w:r>
            <w:r w:rsidRPr="001570EA">
              <w:rPr>
                <w:rFonts w:cs="Arial"/>
                <w:i/>
                <w:color w:val="000000"/>
                <w:szCs w:val="18"/>
                <w:vertAlign w:val="superscript"/>
              </w:rPr>
              <w:t>3</w:t>
            </w:r>
          </w:p>
        </w:tc>
        <w:tc>
          <w:tcPr>
            <w:tcW w:w="1318" w:type="pct"/>
            <w:shd w:val="clear" w:color="auto" w:fill="auto"/>
            <w:tcMar>
              <w:left w:w="58" w:type="dxa"/>
              <w:right w:w="58" w:type="dxa"/>
            </w:tcMar>
            <w:vAlign w:val="center"/>
          </w:tcPr>
          <w:p w14:paraId="1687D95D" w14:textId="77777777" w:rsidR="004E6452" w:rsidRPr="001570EA" w:rsidRDefault="004E6452" w:rsidP="00597241">
            <w:pPr>
              <w:pStyle w:val="TableCell"/>
              <w:keepLines/>
              <w:spacing w:before="0" w:after="0"/>
              <w:jc w:val="center"/>
              <w:rPr>
                <w:rFonts w:cs="Arial"/>
                <w:color w:val="000000"/>
                <w:szCs w:val="18"/>
              </w:rPr>
            </w:pPr>
            <w:r w:rsidRPr="001570EA">
              <w:rPr>
                <w:rFonts w:cs="Arial"/>
                <w:color w:val="000000"/>
                <w:szCs w:val="18"/>
              </w:rPr>
              <w:t>EDC Data Gathering</w:t>
            </w:r>
          </w:p>
          <w:p w14:paraId="74AA934F" w14:textId="77777777" w:rsidR="004E6452" w:rsidRPr="001570EA" w:rsidRDefault="004E6452" w:rsidP="00597241">
            <w:pPr>
              <w:pStyle w:val="TableCell"/>
              <w:keepLines/>
              <w:spacing w:before="0" w:after="0"/>
              <w:jc w:val="center"/>
              <w:rPr>
                <w:rFonts w:cs="Arial"/>
                <w:color w:val="000000"/>
                <w:szCs w:val="18"/>
              </w:rPr>
            </w:pPr>
          </w:p>
          <w:p w14:paraId="4EE22553" w14:textId="77777777" w:rsidR="004E6452" w:rsidRPr="001570EA" w:rsidRDefault="004E6452" w:rsidP="00597241">
            <w:pPr>
              <w:pStyle w:val="TableCell"/>
              <w:keepLines/>
              <w:spacing w:before="0" w:after="0"/>
              <w:jc w:val="center"/>
              <w:rPr>
                <w:rFonts w:cs="Arial"/>
                <w:color w:val="000000"/>
                <w:szCs w:val="18"/>
              </w:rPr>
            </w:pPr>
            <w:r w:rsidRPr="001570EA">
              <w:rPr>
                <w:rFonts w:cs="Arial"/>
                <w:color w:val="000000"/>
                <w:szCs w:val="18"/>
              </w:rPr>
              <w:t>Default:</w:t>
            </w:r>
            <w:r w:rsidRPr="001570EA">
              <w:rPr>
                <w:rFonts w:cs="Arial"/>
                <w:color w:val="000000"/>
                <w:szCs w:val="18"/>
              </w:rPr>
              <w:br/>
              <w:t>Recycled Compact=4.3</w:t>
            </w:r>
          </w:p>
          <w:p w14:paraId="354EE5FB" w14:textId="5FCBF53B" w:rsidR="004E6452" w:rsidRPr="001570EA" w:rsidRDefault="004E6452" w:rsidP="00597241">
            <w:pPr>
              <w:pStyle w:val="TableCell"/>
              <w:keepLines/>
              <w:spacing w:before="0" w:after="0"/>
              <w:jc w:val="center"/>
              <w:rPr>
                <w:rFonts w:cs="Arial"/>
                <w:color w:val="000000"/>
                <w:szCs w:val="18"/>
              </w:rPr>
            </w:pPr>
            <w:r w:rsidRPr="001570EA">
              <w:rPr>
                <w:rFonts w:cs="Arial"/>
                <w:color w:val="000000"/>
                <w:szCs w:val="18"/>
              </w:rPr>
              <w:t>Recycled Standard=14.6</w:t>
            </w:r>
            <w:r w:rsidRPr="001570EA">
              <w:rPr>
                <w:rFonts w:cs="Arial"/>
                <w:color w:val="000000"/>
                <w:szCs w:val="18"/>
              </w:rPr>
              <w:br/>
            </w:r>
          </w:p>
        </w:tc>
        <w:tc>
          <w:tcPr>
            <w:tcW w:w="631" w:type="pct"/>
            <w:shd w:val="clear" w:color="auto" w:fill="auto"/>
            <w:vAlign w:val="center"/>
          </w:tcPr>
          <w:p w14:paraId="2ED9907F" w14:textId="77777777" w:rsidR="004E6452" w:rsidRPr="001570EA" w:rsidRDefault="004E6452" w:rsidP="00597241">
            <w:pPr>
              <w:pStyle w:val="TableCell"/>
              <w:keepLines/>
              <w:spacing w:before="0" w:after="0"/>
              <w:jc w:val="center"/>
            </w:pPr>
            <w:r w:rsidRPr="001570EA">
              <w:t>EDC Data Gathering,</w:t>
            </w:r>
          </w:p>
          <w:p w14:paraId="6B892875" w14:textId="77777777" w:rsidR="004E6452" w:rsidRPr="001570EA" w:rsidRDefault="004E6452" w:rsidP="00597241">
            <w:pPr>
              <w:pStyle w:val="TableCell"/>
              <w:keepLines/>
              <w:spacing w:before="0" w:after="0"/>
              <w:jc w:val="center"/>
              <w:rPr>
                <w:rFonts w:cs="Arial"/>
                <w:szCs w:val="18"/>
              </w:rPr>
            </w:pPr>
            <w:r w:rsidRPr="001570EA">
              <w:rPr>
                <w:rFonts w:cs="Arial"/>
                <w:szCs w:val="18"/>
              </w:rPr>
              <w:t>2</w:t>
            </w:r>
          </w:p>
        </w:tc>
      </w:tr>
    </w:tbl>
    <w:p w14:paraId="1008E4C8" w14:textId="77777777" w:rsidR="004E6452" w:rsidRPr="001570EA" w:rsidRDefault="004E6452" w:rsidP="004E6452"/>
    <w:p w14:paraId="403D80A8" w14:textId="0DFF12ED" w:rsidR="004E6452" w:rsidRPr="001570EA" w:rsidRDefault="004E6452" w:rsidP="004E6452">
      <w:pPr>
        <w:rPr>
          <w:rStyle w:val="normaltextrun"/>
          <w:rFonts w:cs="Arial"/>
          <w:color w:val="000000"/>
          <w:shd w:val="clear" w:color="auto" w:fill="FFFFFF"/>
        </w:rPr>
      </w:pPr>
      <w:r w:rsidRPr="001570EA">
        <w:rPr>
          <w:rStyle w:val="normaltextrun"/>
          <w:rFonts w:cs="Arial"/>
          <w:color w:val="000000"/>
          <w:shd w:val="clear" w:color="auto" w:fill="FFFFFF"/>
        </w:rPr>
        <w:t xml:space="preserve">Cooler energy consumption is characterized by volume, whether there are refrigerator or freezer compartments, and configuration (built-in, icemaker). Annual energy </w:t>
      </w:r>
      <w:r w:rsidR="00C53D8D" w:rsidRPr="001570EA">
        <w:rPr>
          <w:rStyle w:val="normaltextrun"/>
          <w:rFonts w:cs="Arial"/>
          <w:color w:val="000000"/>
          <w:shd w:val="clear" w:color="auto" w:fill="FFFFFF"/>
        </w:rPr>
        <w:t>consumption</w:t>
      </w:r>
      <w:r w:rsidRPr="001570EA">
        <w:rPr>
          <w:rStyle w:val="normaltextrun"/>
          <w:rFonts w:cs="Arial"/>
          <w:color w:val="000000"/>
          <w:shd w:val="clear" w:color="auto" w:fill="FFFFFF"/>
        </w:rPr>
        <w:t xml:space="preserve"> may be determined using manufacturer’s test data for the given model, or if unavailable and the </w:t>
      </w:r>
      <w:r w:rsidRPr="001570EA">
        <w:rPr>
          <w:shd w:val="clear" w:color="auto" w:fill="FFFFFF"/>
        </w:rPr>
        <w:t>configuration details are known, using the algorithms in</w:t>
      </w:r>
      <w:r w:rsidR="00987403" w:rsidRPr="001570EA">
        <w:rPr>
          <w:shd w:val="clear" w:color="auto" w:fill="FFFFFF"/>
        </w:rPr>
        <w:t xml:space="preserve"> </w:t>
      </w:r>
      <w:r w:rsidR="00987403" w:rsidRPr="001570EA">
        <w:rPr>
          <w:sz w:val="18"/>
          <w:szCs w:val="18"/>
        </w:rPr>
        <w:fldChar w:fldCharType="begin"/>
      </w:r>
      <w:r w:rsidR="00987403" w:rsidRPr="001570EA">
        <w:rPr>
          <w:sz w:val="18"/>
          <w:szCs w:val="18"/>
        </w:rPr>
        <w:instrText xml:space="preserve"> REF _Ref163227612 \h </w:instrText>
      </w:r>
      <w:r w:rsidR="001570EA">
        <w:rPr>
          <w:sz w:val="18"/>
          <w:szCs w:val="18"/>
        </w:rPr>
        <w:instrText xml:space="preserve"> \* MERGEFORMAT </w:instrText>
      </w:r>
      <w:r w:rsidR="00987403" w:rsidRPr="001570EA">
        <w:rPr>
          <w:sz w:val="18"/>
          <w:szCs w:val="18"/>
        </w:rPr>
      </w:r>
      <w:r w:rsidR="00987403" w:rsidRPr="001570EA">
        <w:rPr>
          <w:sz w:val="18"/>
          <w:szCs w:val="18"/>
        </w:rPr>
        <w:fldChar w:fldCharType="separate"/>
      </w:r>
      <w:r w:rsidR="00234C6C" w:rsidRPr="001570EA">
        <w:t xml:space="preserve">Table </w:t>
      </w:r>
      <w:r w:rsidR="00234C6C" w:rsidRPr="001570EA">
        <w:rPr>
          <w:noProof/>
        </w:rPr>
        <w:t>2</w:t>
      </w:r>
      <w:r w:rsidR="00987403" w:rsidRPr="001570EA">
        <w:rPr>
          <w:sz w:val="18"/>
          <w:szCs w:val="18"/>
        </w:rPr>
        <w:fldChar w:fldCharType="end"/>
      </w:r>
      <w:r w:rsidR="00DA76C6">
        <w:rPr>
          <w:sz w:val="18"/>
          <w:szCs w:val="18"/>
        </w:rPr>
        <w:t>-</w:t>
      </w:r>
      <w:r w:rsidR="00DA76C6" w:rsidRPr="00DA76C6">
        <w:rPr>
          <w:szCs w:val="20"/>
        </w:rPr>
        <w:t>101</w:t>
      </w:r>
      <w:r w:rsidRPr="001570EA">
        <w:rPr>
          <w:shd w:val="clear" w:color="auto" w:fill="FFFFFF"/>
        </w:rPr>
        <w:t>. Otherwise, t</w:t>
      </w:r>
      <w:r w:rsidRPr="001570EA">
        <w:rPr>
          <w:rStyle w:val="normaltextrun"/>
          <w:rFonts w:cs="Arial"/>
          <w:color w:val="000000"/>
          <w:shd w:val="clear" w:color="auto" w:fill="FFFFFF"/>
        </w:rPr>
        <w:t xml:space="preserve">he default values in </w:t>
      </w:r>
      <w:r w:rsidR="0089655E" w:rsidRPr="001570EA">
        <w:rPr>
          <w:sz w:val="18"/>
          <w:szCs w:val="18"/>
        </w:rPr>
        <w:fldChar w:fldCharType="begin"/>
      </w:r>
      <w:r w:rsidR="0089655E" w:rsidRPr="001570EA">
        <w:rPr>
          <w:sz w:val="18"/>
          <w:szCs w:val="18"/>
        </w:rPr>
        <w:instrText xml:space="preserve"> REF _Ref163227612 \h </w:instrText>
      </w:r>
      <w:r w:rsidR="001570EA">
        <w:rPr>
          <w:sz w:val="18"/>
          <w:szCs w:val="18"/>
        </w:rPr>
        <w:instrText xml:space="preserve"> \* MERGEFORMAT </w:instrText>
      </w:r>
      <w:r w:rsidR="0089655E" w:rsidRPr="001570EA">
        <w:rPr>
          <w:sz w:val="18"/>
          <w:szCs w:val="18"/>
        </w:rPr>
      </w:r>
      <w:r w:rsidR="0089655E" w:rsidRPr="001570EA">
        <w:rPr>
          <w:sz w:val="18"/>
          <w:szCs w:val="18"/>
        </w:rPr>
        <w:fldChar w:fldCharType="separate"/>
      </w:r>
      <w:r w:rsidR="005B71B3" w:rsidRPr="001570EA">
        <w:t xml:space="preserve">Table </w:t>
      </w:r>
      <w:r w:rsidR="005B71B3" w:rsidRPr="001570EA">
        <w:rPr>
          <w:noProof/>
        </w:rPr>
        <w:t>2</w:t>
      </w:r>
      <w:r w:rsidR="005B71B3" w:rsidRPr="001570EA">
        <w:rPr>
          <w:noProof/>
        </w:rPr>
        <w:noBreakHyphen/>
        <w:t>101</w:t>
      </w:r>
      <w:r w:rsidR="0089655E" w:rsidRPr="001570EA">
        <w:rPr>
          <w:sz w:val="18"/>
          <w:szCs w:val="18"/>
        </w:rPr>
        <w:fldChar w:fldCharType="end"/>
      </w:r>
      <w:r w:rsidRPr="001570EA">
        <w:rPr>
          <w:rStyle w:val="normaltextrun"/>
          <w:rFonts w:cs="Arial"/>
          <w:color w:val="000000"/>
          <w:shd w:val="clear" w:color="auto" w:fill="FFFFFF"/>
        </w:rPr>
        <w:t xml:space="preserve"> may be used.</w:t>
      </w:r>
    </w:p>
    <w:p w14:paraId="127D891F" w14:textId="77777777" w:rsidR="004E6452" w:rsidRPr="001570EA" w:rsidRDefault="004E6452" w:rsidP="004E6452"/>
    <w:p w14:paraId="750226CD" w14:textId="03B1852F" w:rsidR="004E6452" w:rsidRPr="001570EA" w:rsidRDefault="004E6452" w:rsidP="004E6452">
      <w:pPr>
        <w:pStyle w:val="Caption"/>
        <w:rPr>
          <w:rStyle w:val="normaltextrun"/>
        </w:rPr>
      </w:pPr>
      <w:bookmarkStart w:id="578" w:name="_Ref16322761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101</w:t>
      </w:r>
      <w:r w:rsidR="002E093A" w:rsidRPr="001570EA">
        <w:fldChar w:fldCharType="end"/>
      </w:r>
      <w:bookmarkEnd w:id="578"/>
      <w:r w:rsidRPr="001570EA">
        <w:t xml:space="preserve">: </w:t>
      </w:r>
      <w:r w:rsidR="00266D74" w:rsidRPr="001570EA">
        <w:t xml:space="preserve">Pre-2019 California </w:t>
      </w:r>
      <w:r w:rsidRPr="001570EA">
        <w:t>Title 20 Maximum Annual Energy Consumption</w:t>
      </w:r>
      <w:r w:rsidRPr="001570EA">
        <w:rPr>
          <w:rStyle w:val="FootnoteReference"/>
          <w:rFonts w:cs="Arial"/>
        </w:rPr>
        <w:footnoteReference w:id="19"/>
      </w:r>
    </w:p>
    <w:tbl>
      <w:tblPr>
        <w:tblW w:w="8977" w:type="dxa"/>
        <w:tblInd w:w="108" w:type="dxa"/>
        <w:tblLook w:val="04A0" w:firstRow="1" w:lastRow="0" w:firstColumn="1" w:lastColumn="0" w:noHBand="0" w:noVBand="1"/>
      </w:tblPr>
      <w:tblGrid>
        <w:gridCol w:w="5827"/>
        <w:gridCol w:w="1625"/>
        <w:gridCol w:w="1525"/>
      </w:tblGrid>
      <w:tr w:rsidR="004E6452" w:rsidRPr="001570EA" w14:paraId="171E79F7" w14:textId="77777777" w:rsidTr="007F64EC">
        <w:trPr>
          <w:trHeight w:val="845"/>
          <w:tblHeader/>
        </w:trPr>
        <w:tc>
          <w:tcPr>
            <w:tcW w:w="5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E977DAE" w14:textId="0E62596D" w:rsidR="004E6452" w:rsidRPr="001570EA" w:rsidRDefault="004E6452">
            <w:pPr>
              <w:keepNext/>
              <w:spacing w:before="80" w:after="80"/>
              <w:jc w:val="left"/>
              <w:rPr>
                <w:rFonts w:cs="Arial"/>
                <w:b/>
                <w:bCs/>
                <w:color w:val="000000"/>
                <w:sz w:val="18"/>
                <w:szCs w:val="18"/>
              </w:rPr>
            </w:pPr>
            <w:r w:rsidRPr="001570EA">
              <w:rPr>
                <w:rFonts w:cs="Arial"/>
                <w:b/>
                <w:bCs/>
                <w:color w:val="000000"/>
                <w:sz w:val="18"/>
                <w:szCs w:val="18"/>
              </w:rPr>
              <w:t>Cooler Configuration</w:t>
            </w:r>
          </w:p>
        </w:tc>
        <w:tc>
          <w:tcPr>
            <w:tcW w:w="162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44F40C6" w14:textId="1756C2E6" w:rsidR="004E6452" w:rsidRPr="001570EA" w:rsidRDefault="00C83695">
            <w:pPr>
              <w:keepNext/>
              <w:spacing w:before="80" w:after="80"/>
              <w:jc w:val="center"/>
              <w:rPr>
                <w:rFonts w:cs="Arial"/>
                <w:b/>
                <w:bCs/>
                <w:color w:val="000000"/>
                <w:sz w:val="18"/>
                <w:szCs w:val="18"/>
              </w:rPr>
            </w:pPr>
            <w:r w:rsidRPr="001570EA">
              <w:rPr>
                <w:rFonts w:cs="Arial"/>
                <w:b/>
                <w:bCs/>
                <w:color w:val="000000"/>
                <w:sz w:val="18"/>
                <w:szCs w:val="18"/>
              </w:rPr>
              <w:t>kWh</w:t>
            </w:r>
            <w:r w:rsidRPr="001570EA">
              <w:rPr>
                <w:rFonts w:cs="Arial"/>
                <w:b/>
                <w:bCs/>
                <w:color w:val="000000"/>
                <w:sz w:val="18"/>
                <w:szCs w:val="18"/>
                <w:vertAlign w:val="subscript"/>
              </w:rPr>
              <w:t>recycled</w:t>
            </w:r>
          </w:p>
        </w:tc>
        <w:tc>
          <w:tcPr>
            <w:tcW w:w="152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750C42D" w14:textId="3A88E0A5" w:rsidR="00355A64" w:rsidRPr="001570EA" w:rsidRDefault="00355A64" w:rsidP="003857B4">
            <w:pPr>
              <w:keepNext/>
              <w:spacing w:before="80" w:after="80"/>
              <w:jc w:val="center"/>
              <w:rPr>
                <w:rFonts w:cs="Arial"/>
                <w:b/>
                <w:bCs/>
                <w:color w:val="000000"/>
                <w:sz w:val="18"/>
                <w:szCs w:val="18"/>
              </w:rPr>
            </w:pPr>
            <w:r w:rsidRPr="001570EA">
              <w:rPr>
                <w:rFonts w:cs="Arial"/>
                <w:b/>
                <w:bCs/>
                <w:color w:val="000000"/>
                <w:sz w:val="18"/>
                <w:szCs w:val="18"/>
              </w:rPr>
              <w:t>Default</w:t>
            </w:r>
          </w:p>
        </w:tc>
      </w:tr>
      <w:tr w:rsidR="004E6452" w:rsidRPr="001570EA" w14:paraId="4E8F90E3" w14:textId="77777777" w:rsidTr="007F64EC">
        <w:trPr>
          <w:trHeight w:val="352"/>
        </w:trPr>
        <w:tc>
          <w:tcPr>
            <w:tcW w:w="582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273018D" w14:textId="77777777" w:rsidR="00C83695" w:rsidRPr="001570EA" w:rsidRDefault="00C83695">
            <w:pPr>
              <w:keepNext/>
              <w:spacing w:before="80" w:after="80"/>
              <w:jc w:val="left"/>
              <w:rPr>
                <w:rFonts w:cs="Arial"/>
                <w:b/>
                <w:bCs/>
                <w:color w:val="000000"/>
                <w:sz w:val="18"/>
                <w:szCs w:val="18"/>
              </w:rPr>
            </w:pPr>
            <w:r w:rsidRPr="001570EA">
              <w:rPr>
                <w:rFonts w:cs="Arial"/>
                <w:b/>
                <w:bCs/>
                <w:color w:val="000000"/>
                <w:sz w:val="18"/>
                <w:szCs w:val="18"/>
              </w:rPr>
              <w:t>Standard: 7.75 cubic feet or greater</w:t>
            </w:r>
          </w:p>
        </w:tc>
        <w:tc>
          <w:tcPr>
            <w:tcW w:w="162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10F6999" w14:textId="77777777" w:rsidR="00C83695" w:rsidRPr="001570EA" w:rsidRDefault="00C83695">
            <w:pPr>
              <w:keepNext/>
              <w:spacing w:before="80" w:after="80"/>
              <w:jc w:val="left"/>
              <w:rPr>
                <w:rFonts w:cs="Arial"/>
                <w:color w:val="000000"/>
                <w:sz w:val="18"/>
                <w:szCs w:val="18"/>
              </w:rPr>
            </w:pPr>
          </w:p>
        </w:tc>
        <w:tc>
          <w:tcPr>
            <w:tcW w:w="1525" w:type="dxa"/>
            <w:tcBorders>
              <w:top w:val="nil"/>
              <w:left w:val="single" w:sz="4" w:space="0" w:color="auto"/>
              <w:bottom w:val="single" w:sz="4" w:space="0" w:color="auto"/>
              <w:right w:val="single" w:sz="4" w:space="0" w:color="auto"/>
            </w:tcBorders>
            <w:shd w:val="clear" w:color="auto" w:fill="F2F2F2" w:themeFill="background1" w:themeFillShade="F2"/>
          </w:tcPr>
          <w:p w14:paraId="7BB25A87" w14:textId="77777777" w:rsidR="00C83695" w:rsidRPr="001570EA" w:rsidRDefault="00C83695">
            <w:pPr>
              <w:keepNext/>
              <w:spacing w:before="80" w:after="80"/>
              <w:jc w:val="left"/>
              <w:rPr>
                <w:rFonts w:cs="Arial"/>
                <w:color w:val="000000"/>
                <w:sz w:val="18"/>
                <w:szCs w:val="18"/>
              </w:rPr>
            </w:pPr>
          </w:p>
        </w:tc>
      </w:tr>
      <w:tr w:rsidR="004E6452" w:rsidRPr="001570EA" w14:paraId="177258C4" w14:textId="77777777" w:rsidTr="007F64EC">
        <w:trPr>
          <w:trHeight w:val="352"/>
        </w:trPr>
        <w:tc>
          <w:tcPr>
            <w:tcW w:w="5827" w:type="dxa"/>
            <w:tcBorders>
              <w:top w:val="nil"/>
              <w:left w:val="single" w:sz="4" w:space="0" w:color="auto"/>
              <w:bottom w:val="single" w:sz="4" w:space="0" w:color="auto"/>
              <w:right w:val="single" w:sz="4" w:space="0" w:color="auto"/>
            </w:tcBorders>
            <w:shd w:val="clear" w:color="auto" w:fill="FFFFFF" w:themeFill="background1"/>
            <w:vAlign w:val="center"/>
          </w:tcPr>
          <w:p w14:paraId="74B6248F" w14:textId="77777777" w:rsidR="004E6452" w:rsidRPr="001570EA" w:rsidRDefault="004E6452">
            <w:pPr>
              <w:keepNext/>
              <w:spacing w:before="80" w:after="80"/>
              <w:rPr>
                <w:rFonts w:cs="Arial"/>
                <w:color w:val="000000"/>
                <w:sz w:val="18"/>
                <w:szCs w:val="18"/>
              </w:rPr>
            </w:pPr>
            <w:r w:rsidRPr="001570EA">
              <w:rPr>
                <w:rFonts w:cs="Arial"/>
                <w:color w:val="000000"/>
                <w:sz w:val="18"/>
                <w:szCs w:val="18"/>
              </w:rPr>
              <w:t>2. Built-in</w:t>
            </w:r>
          </w:p>
        </w:tc>
        <w:tc>
          <w:tcPr>
            <w:tcW w:w="16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0AA588D3"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13.7 × AV + 267</w:t>
            </w:r>
          </w:p>
        </w:tc>
        <w:tc>
          <w:tcPr>
            <w:tcW w:w="15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45AEC6C1" w14:textId="23C13E26" w:rsidR="000A335E" w:rsidRPr="001570EA" w:rsidRDefault="000A335E" w:rsidP="000A335E">
            <w:pPr>
              <w:keepNext/>
              <w:spacing w:before="80" w:after="80"/>
              <w:jc w:val="center"/>
              <w:rPr>
                <w:rFonts w:cs="Arial"/>
                <w:color w:val="000000"/>
                <w:sz w:val="18"/>
                <w:szCs w:val="18"/>
              </w:rPr>
            </w:pPr>
            <w:r w:rsidRPr="001570EA">
              <w:rPr>
                <w:rFonts w:cs="Arial"/>
                <w:color w:val="000000"/>
                <w:sz w:val="18"/>
                <w:szCs w:val="18"/>
              </w:rPr>
              <w:t>467</w:t>
            </w:r>
          </w:p>
        </w:tc>
      </w:tr>
      <w:tr w:rsidR="004E6452" w:rsidRPr="001570EA" w14:paraId="2C363BCD" w14:textId="77777777" w:rsidTr="007F64EC">
        <w:trPr>
          <w:trHeight w:val="352"/>
        </w:trPr>
        <w:tc>
          <w:tcPr>
            <w:tcW w:w="5827" w:type="dxa"/>
            <w:tcBorders>
              <w:top w:val="nil"/>
              <w:left w:val="single" w:sz="4" w:space="0" w:color="auto"/>
              <w:bottom w:val="single" w:sz="4" w:space="0" w:color="auto"/>
              <w:right w:val="single" w:sz="4" w:space="0" w:color="auto"/>
            </w:tcBorders>
            <w:shd w:val="clear" w:color="auto" w:fill="FFFFFF" w:themeFill="background1"/>
          </w:tcPr>
          <w:p w14:paraId="18C42069" w14:textId="77777777" w:rsidR="004E6452" w:rsidRPr="001570EA" w:rsidRDefault="004E6452">
            <w:pPr>
              <w:keepNext/>
              <w:spacing w:before="80" w:after="80"/>
              <w:rPr>
                <w:rFonts w:cs="Arial"/>
                <w:color w:val="000000"/>
                <w:sz w:val="18"/>
                <w:szCs w:val="18"/>
              </w:rPr>
            </w:pPr>
            <w:r w:rsidRPr="001570EA">
              <w:rPr>
                <w:rFonts w:cs="Arial"/>
                <w:color w:val="000000"/>
                <w:sz w:val="18"/>
                <w:szCs w:val="18"/>
              </w:rPr>
              <w:t>4. Freestanding</w:t>
            </w:r>
          </w:p>
        </w:tc>
        <w:tc>
          <w:tcPr>
            <w:tcW w:w="16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371C2161"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13.7 × AV + 267</w:t>
            </w:r>
          </w:p>
        </w:tc>
        <w:tc>
          <w:tcPr>
            <w:tcW w:w="15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5151133C" w14:textId="4779FC70" w:rsidR="000A335E" w:rsidRPr="001570EA" w:rsidRDefault="000A335E" w:rsidP="000A335E">
            <w:pPr>
              <w:keepNext/>
              <w:spacing w:before="80" w:after="80"/>
              <w:jc w:val="center"/>
              <w:rPr>
                <w:rFonts w:cs="Arial"/>
                <w:color w:val="000000"/>
                <w:sz w:val="18"/>
                <w:szCs w:val="18"/>
              </w:rPr>
            </w:pPr>
            <w:r w:rsidRPr="001570EA">
              <w:rPr>
                <w:rFonts w:cs="Arial"/>
                <w:color w:val="000000"/>
                <w:sz w:val="18"/>
                <w:szCs w:val="18"/>
              </w:rPr>
              <w:t>467</w:t>
            </w:r>
          </w:p>
        </w:tc>
      </w:tr>
      <w:tr w:rsidR="004E6452" w:rsidRPr="001570EA" w14:paraId="1E12A362" w14:textId="77777777" w:rsidTr="007F64EC">
        <w:trPr>
          <w:trHeight w:val="352"/>
        </w:trPr>
        <w:tc>
          <w:tcPr>
            <w:tcW w:w="5827" w:type="dxa"/>
            <w:tcBorders>
              <w:top w:val="nil"/>
              <w:left w:val="single" w:sz="4" w:space="0" w:color="auto"/>
              <w:bottom w:val="single" w:sz="4" w:space="0" w:color="auto"/>
              <w:right w:val="single" w:sz="4" w:space="0" w:color="auto"/>
            </w:tcBorders>
            <w:shd w:val="clear" w:color="auto" w:fill="FFFFFF" w:themeFill="background1"/>
            <w:vAlign w:val="bottom"/>
          </w:tcPr>
          <w:p w14:paraId="37A101C3" w14:textId="77777777" w:rsidR="004E6452" w:rsidRPr="001570EA" w:rsidRDefault="004E6452">
            <w:pPr>
              <w:keepNext/>
              <w:spacing w:before="80" w:after="80"/>
              <w:rPr>
                <w:rFonts w:cs="Arial"/>
                <w:color w:val="000000"/>
                <w:sz w:val="18"/>
                <w:szCs w:val="18"/>
              </w:rPr>
            </w:pPr>
            <w:r w:rsidRPr="001570EA">
              <w:rPr>
                <w:rFonts w:cs="Arial"/>
                <w:color w:val="000000"/>
                <w:sz w:val="18"/>
                <w:szCs w:val="18"/>
              </w:rPr>
              <w:t>C-3A. Cooler with all-refrigerator - automatic defrost</w:t>
            </w:r>
          </w:p>
        </w:tc>
        <w:tc>
          <w:tcPr>
            <w:tcW w:w="16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36CD6AF6"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17.4 × AV + 344</w:t>
            </w:r>
          </w:p>
        </w:tc>
        <w:tc>
          <w:tcPr>
            <w:tcW w:w="15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626E6EE2" w14:textId="2DD63D37" w:rsidR="000A335E" w:rsidRPr="001570EA" w:rsidRDefault="000A335E" w:rsidP="000A335E">
            <w:pPr>
              <w:keepNext/>
              <w:spacing w:before="80" w:after="80"/>
              <w:jc w:val="center"/>
              <w:rPr>
                <w:rFonts w:cs="Arial"/>
                <w:color w:val="000000"/>
                <w:sz w:val="18"/>
                <w:szCs w:val="18"/>
              </w:rPr>
            </w:pPr>
            <w:r w:rsidRPr="001570EA">
              <w:rPr>
                <w:rFonts w:cs="Arial"/>
                <w:color w:val="000000"/>
                <w:sz w:val="18"/>
                <w:szCs w:val="18"/>
              </w:rPr>
              <w:t>598</w:t>
            </w:r>
          </w:p>
        </w:tc>
      </w:tr>
      <w:tr w:rsidR="004E6452" w:rsidRPr="001570EA" w14:paraId="732214C9" w14:textId="77777777" w:rsidTr="007F64EC">
        <w:trPr>
          <w:trHeight w:val="352"/>
        </w:trPr>
        <w:tc>
          <w:tcPr>
            <w:tcW w:w="5827" w:type="dxa"/>
            <w:tcBorders>
              <w:top w:val="nil"/>
              <w:left w:val="single" w:sz="4" w:space="0" w:color="auto"/>
              <w:bottom w:val="single" w:sz="4" w:space="0" w:color="auto"/>
              <w:right w:val="single" w:sz="4" w:space="0" w:color="auto"/>
            </w:tcBorders>
            <w:shd w:val="clear" w:color="auto" w:fill="FFFFFF" w:themeFill="background1"/>
            <w:vAlign w:val="bottom"/>
          </w:tcPr>
          <w:p w14:paraId="4C129D3A" w14:textId="77777777" w:rsidR="004E6452" w:rsidRPr="001570EA" w:rsidRDefault="004E6452">
            <w:pPr>
              <w:keepNext/>
              <w:spacing w:before="80" w:after="80"/>
              <w:rPr>
                <w:rFonts w:cs="Arial"/>
                <w:color w:val="000000"/>
                <w:sz w:val="18"/>
                <w:szCs w:val="18"/>
              </w:rPr>
            </w:pPr>
            <w:r w:rsidRPr="001570EA">
              <w:rPr>
                <w:rFonts w:cs="Arial"/>
                <w:color w:val="000000"/>
                <w:sz w:val="18"/>
                <w:szCs w:val="18"/>
              </w:rPr>
              <w:t>C-3A-BI. Built-in cooler with all-refrigerator - automatic defrost</w:t>
            </w:r>
          </w:p>
        </w:tc>
        <w:tc>
          <w:tcPr>
            <w:tcW w:w="16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01268903"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17.4 × AV + 344</w:t>
            </w:r>
          </w:p>
        </w:tc>
        <w:tc>
          <w:tcPr>
            <w:tcW w:w="15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79C152B5" w14:textId="0EF7295F" w:rsidR="000A335E" w:rsidRPr="001570EA" w:rsidRDefault="000A335E" w:rsidP="000A335E">
            <w:pPr>
              <w:keepNext/>
              <w:spacing w:before="80" w:after="80"/>
              <w:jc w:val="center"/>
              <w:rPr>
                <w:rFonts w:cs="Arial"/>
                <w:color w:val="000000"/>
                <w:sz w:val="18"/>
                <w:szCs w:val="18"/>
              </w:rPr>
            </w:pPr>
            <w:r w:rsidRPr="001570EA">
              <w:rPr>
                <w:rFonts w:cs="Arial"/>
                <w:color w:val="000000"/>
                <w:sz w:val="18"/>
                <w:szCs w:val="18"/>
              </w:rPr>
              <w:t>598</w:t>
            </w:r>
          </w:p>
        </w:tc>
      </w:tr>
      <w:tr w:rsidR="004E6452" w:rsidRPr="001570EA" w14:paraId="7338AADB" w14:textId="77777777" w:rsidTr="007F64EC">
        <w:trPr>
          <w:trHeight w:val="352"/>
        </w:trPr>
        <w:tc>
          <w:tcPr>
            <w:tcW w:w="5827" w:type="dxa"/>
            <w:tcBorders>
              <w:top w:val="nil"/>
              <w:left w:val="single" w:sz="4" w:space="0" w:color="auto"/>
              <w:bottom w:val="single" w:sz="4" w:space="0" w:color="auto"/>
              <w:right w:val="single" w:sz="4" w:space="0" w:color="auto"/>
            </w:tcBorders>
            <w:shd w:val="clear" w:color="auto" w:fill="FFFFFF" w:themeFill="background1"/>
            <w:vAlign w:val="bottom"/>
          </w:tcPr>
          <w:p w14:paraId="7D84682A" w14:textId="77777777" w:rsidR="004E6452" w:rsidRPr="001570EA" w:rsidRDefault="004E6452">
            <w:pPr>
              <w:keepNext/>
              <w:spacing w:before="80" w:after="80"/>
              <w:rPr>
                <w:rFonts w:cs="Arial"/>
                <w:color w:val="000000"/>
                <w:sz w:val="18"/>
                <w:szCs w:val="18"/>
              </w:rPr>
            </w:pPr>
            <w:r w:rsidRPr="001570EA">
              <w:rPr>
                <w:rFonts w:cs="Arial"/>
                <w:color w:val="000000"/>
                <w:sz w:val="18"/>
                <w:szCs w:val="18"/>
              </w:rPr>
              <w:t>C-9. Cooler with upright freezers with automatic defrost without an automatic icemaker</w:t>
            </w:r>
          </w:p>
        </w:tc>
        <w:tc>
          <w:tcPr>
            <w:tcW w:w="16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5B9D0AEB"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17.4 × AV + 344</w:t>
            </w:r>
          </w:p>
        </w:tc>
        <w:tc>
          <w:tcPr>
            <w:tcW w:w="15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75BCC13A" w14:textId="3AFAD271" w:rsidR="000A335E" w:rsidRPr="001570EA" w:rsidRDefault="000A335E" w:rsidP="000A335E">
            <w:pPr>
              <w:keepNext/>
              <w:spacing w:before="80" w:after="80"/>
              <w:jc w:val="center"/>
              <w:rPr>
                <w:rFonts w:cs="Arial"/>
                <w:color w:val="000000"/>
                <w:sz w:val="18"/>
                <w:szCs w:val="18"/>
              </w:rPr>
            </w:pPr>
            <w:r w:rsidRPr="001570EA">
              <w:rPr>
                <w:rFonts w:cs="Arial"/>
                <w:color w:val="000000"/>
                <w:sz w:val="18"/>
                <w:szCs w:val="18"/>
              </w:rPr>
              <w:t>598</w:t>
            </w:r>
          </w:p>
        </w:tc>
      </w:tr>
      <w:tr w:rsidR="004E6452" w:rsidRPr="001570EA" w14:paraId="49B6E9F5" w14:textId="77777777" w:rsidTr="007F64EC">
        <w:trPr>
          <w:trHeight w:val="352"/>
        </w:trPr>
        <w:tc>
          <w:tcPr>
            <w:tcW w:w="5827" w:type="dxa"/>
            <w:tcBorders>
              <w:top w:val="nil"/>
              <w:left w:val="single" w:sz="4" w:space="0" w:color="auto"/>
              <w:bottom w:val="single" w:sz="4" w:space="0" w:color="auto"/>
              <w:right w:val="single" w:sz="4" w:space="0" w:color="auto"/>
            </w:tcBorders>
            <w:shd w:val="clear" w:color="auto" w:fill="FFFFFF" w:themeFill="background1"/>
            <w:vAlign w:val="bottom"/>
          </w:tcPr>
          <w:p w14:paraId="5FFF7FAE" w14:textId="77777777" w:rsidR="004E6452" w:rsidRPr="001570EA" w:rsidRDefault="004E6452">
            <w:pPr>
              <w:keepNext/>
              <w:spacing w:before="80" w:after="80"/>
              <w:rPr>
                <w:rFonts w:cs="Arial"/>
                <w:color w:val="000000"/>
                <w:sz w:val="18"/>
                <w:szCs w:val="18"/>
              </w:rPr>
            </w:pPr>
            <w:r w:rsidRPr="001570EA">
              <w:rPr>
                <w:rFonts w:cs="Arial"/>
                <w:color w:val="000000"/>
                <w:sz w:val="18"/>
                <w:szCs w:val="18"/>
              </w:rPr>
              <w:t>C-9-BI. Built-in cooler with upright freezer with automatic defrost without an automatic icemaker</w:t>
            </w:r>
          </w:p>
        </w:tc>
        <w:tc>
          <w:tcPr>
            <w:tcW w:w="16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67D2143E"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17.4 × AV + 344</w:t>
            </w:r>
          </w:p>
        </w:tc>
        <w:tc>
          <w:tcPr>
            <w:tcW w:w="15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7E40DB1E" w14:textId="436803FB" w:rsidR="000A335E" w:rsidRPr="001570EA" w:rsidRDefault="000A335E" w:rsidP="000A335E">
            <w:pPr>
              <w:keepNext/>
              <w:spacing w:before="80" w:after="80"/>
              <w:jc w:val="center"/>
              <w:rPr>
                <w:rFonts w:cs="Arial"/>
                <w:color w:val="000000"/>
                <w:sz w:val="18"/>
                <w:szCs w:val="18"/>
              </w:rPr>
            </w:pPr>
            <w:r w:rsidRPr="001570EA">
              <w:rPr>
                <w:rFonts w:cs="Arial"/>
                <w:color w:val="000000"/>
                <w:sz w:val="18"/>
                <w:szCs w:val="18"/>
              </w:rPr>
              <w:t>598</w:t>
            </w:r>
          </w:p>
        </w:tc>
      </w:tr>
      <w:tr w:rsidR="004E6452" w:rsidRPr="001570EA" w14:paraId="03C17B71" w14:textId="77777777" w:rsidTr="007F64EC">
        <w:trPr>
          <w:trHeight w:val="352"/>
        </w:trPr>
        <w:tc>
          <w:tcPr>
            <w:tcW w:w="5827" w:type="dxa"/>
            <w:tcBorders>
              <w:top w:val="nil"/>
              <w:left w:val="single" w:sz="4" w:space="0" w:color="auto"/>
              <w:bottom w:val="single" w:sz="4" w:space="0" w:color="auto"/>
              <w:right w:val="single" w:sz="4" w:space="0" w:color="auto"/>
            </w:tcBorders>
            <w:shd w:val="clear" w:color="auto" w:fill="FFFFFF" w:themeFill="background1"/>
            <w:vAlign w:val="bottom"/>
          </w:tcPr>
          <w:p w14:paraId="093A3F37" w14:textId="77777777" w:rsidR="004E6452" w:rsidRPr="001570EA" w:rsidRDefault="004E6452">
            <w:pPr>
              <w:keepNext/>
              <w:spacing w:before="80" w:after="80"/>
              <w:rPr>
                <w:rFonts w:cs="Arial"/>
                <w:color w:val="000000"/>
                <w:sz w:val="18"/>
                <w:szCs w:val="18"/>
              </w:rPr>
            </w:pPr>
            <w:r w:rsidRPr="001570EA">
              <w:rPr>
                <w:rFonts w:cs="Arial"/>
                <w:color w:val="000000"/>
                <w:sz w:val="18"/>
                <w:szCs w:val="18"/>
              </w:rPr>
              <w:t>C-9I. Cooler with upright freezer with automatic defrost with an automatic icemaker</w:t>
            </w:r>
          </w:p>
        </w:tc>
        <w:tc>
          <w:tcPr>
            <w:tcW w:w="16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1A97CC71"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17.4 × AV + 344</w:t>
            </w:r>
          </w:p>
        </w:tc>
        <w:tc>
          <w:tcPr>
            <w:tcW w:w="15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398E2BA9" w14:textId="086D803D" w:rsidR="000A335E" w:rsidRPr="001570EA" w:rsidRDefault="000A335E" w:rsidP="000A335E">
            <w:pPr>
              <w:keepNext/>
              <w:spacing w:before="80" w:after="80"/>
              <w:jc w:val="center"/>
              <w:rPr>
                <w:rFonts w:cs="Arial"/>
                <w:color w:val="000000"/>
                <w:sz w:val="18"/>
                <w:szCs w:val="18"/>
              </w:rPr>
            </w:pPr>
            <w:r w:rsidRPr="001570EA">
              <w:rPr>
                <w:rFonts w:cs="Arial"/>
                <w:color w:val="000000"/>
                <w:sz w:val="18"/>
                <w:szCs w:val="18"/>
              </w:rPr>
              <w:t>598</w:t>
            </w:r>
          </w:p>
        </w:tc>
      </w:tr>
      <w:tr w:rsidR="004E6452" w:rsidRPr="001570EA" w14:paraId="4C628725" w14:textId="77777777" w:rsidTr="007F64EC">
        <w:trPr>
          <w:trHeight w:val="352"/>
        </w:trPr>
        <w:tc>
          <w:tcPr>
            <w:tcW w:w="5827" w:type="dxa"/>
            <w:tcBorders>
              <w:top w:val="nil"/>
              <w:left w:val="single" w:sz="4" w:space="0" w:color="auto"/>
              <w:bottom w:val="single" w:sz="4" w:space="0" w:color="auto"/>
              <w:right w:val="single" w:sz="4" w:space="0" w:color="auto"/>
            </w:tcBorders>
            <w:shd w:val="clear" w:color="auto" w:fill="FFFFFF" w:themeFill="background1"/>
            <w:vAlign w:val="bottom"/>
          </w:tcPr>
          <w:p w14:paraId="30A94431" w14:textId="77777777" w:rsidR="004E6452" w:rsidRPr="001570EA" w:rsidRDefault="004E6452">
            <w:pPr>
              <w:spacing w:before="80" w:after="80"/>
              <w:rPr>
                <w:rFonts w:cs="Arial"/>
                <w:color w:val="000000"/>
                <w:sz w:val="18"/>
                <w:szCs w:val="18"/>
              </w:rPr>
            </w:pPr>
            <w:r w:rsidRPr="001570EA">
              <w:rPr>
                <w:rFonts w:cs="Arial"/>
                <w:color w:val="000000"/>
                <w:sz w:val="18"/>
                <w:szCs w:val="18"/>
              </w:rPr>
              <w:t>C-9I-BI. Built-in cooler with upright freezer with automatic defrost with an automatic icemaker</w:t>
            </w:r>
          </w:p>
        </w:tc>
        <w:tc>
          <w:tcPr>
            <w:tcW w:w="16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68A9D0BC"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17.4 × AV + 344</w:t>
            </w:r>
          </w:p>
        </w:tc>
        <w:tc>
          <w:tcPr>
            <w:tcW w:w="15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3115ADDC" w14:textId="6BDD65A5" w:rsidR="000A335E" w:rsidRPr="001570EA" w:rsidRDefault="000A335E" w:rsidP="000A335E">
            <w:pPr>
              <w:keepNext/>
              <w:spacing w:before="80" w:after="80"/>
              <w:jc w:val="center"/>
              <w:rPr>
                <w:rFonts w:cs="Arial"/>
                <w:color w:val="000000"/>
                <w:sz w:val="18"/>
                <w:szCs w:val="18"/>
              </w:rPr>
            </w:pPr>
            <w:r w:rsidRPr="001570EA">
              <w:rPr>
                <w:rFonts w:cs="Arial"/>
                <w:color w:val="000000"/>
                <w:sz w:val="18"/>
                <w:szCs w:val="18"/>
              </w:rPr>
              <w:t>598</w:t>
            </w:r>
          </w:p>
        </w:tc>
      </w:tr>
      <w:tr w:rsidR="004E6452" w:rsidRPr="001570EA" w14:paraId="1BA30DA4" w14:textId="77777777" w:rsidTr="007F64EC">
        <w:trPr>
          <w:trHeight w:val="389"/>
          <w:tblHeader/>
        </w:trPr>
        <w:tc>
          <w:tcPr>
            <w:tcW w:w="5827" w:type="dxa"/>
            <w:tcBorders>
              <w:top w:val="single" w:sz="4" w:space="0" w:color="auto"/>
              <w:left w:val="single" w:sz="4" w:space="0" w:color="auto"/>
              <w:right w:val="single" w:sz="4" w:space="0" w:color="auto"/>
            </w:tcBorders>
            <w:shd w:val="clear" w:color="auto" w:fill="F2F2F2" w:themeFill="background1" w:themeFillShade="F2"/>
            <w:noWrap/>
            <w:vAlign w:val="center"/>
          </w:tcPr>
          <w:p w14:paraId="01E22990" w14:textId="77777777" w:rsidR="00C83695" w:rsidRPr="001570EA" w:rsidRDefault="00C83695">
            <w:pPr>
              <w:keepNext/>
              <w:spacing w:before="80" w:after="80"/>
              <w:jc w:val="left"/>
              <w:rPr>
                <w:rFonts w:cs="Arial"/>
                <w:b/>
                <w:bCs/>
                <w:color w:val="000000"/>
                <w:sz w:val="18"/>
                <w:szCs w:val="18"/>
              </w:rPr>
            </w:pPr>
            <w:r w:rsidRPr="001570EA">
              <w:rPr>
                <w:rFonts w:cs="Arial"/>
                <w:b/>
                <w:bCs/>
                <w:color w:val="000000"/>
                <w:sz w:val="18"/>
                <w:szCs w:val="18"/>
              </w:rPr>
              <w:t>Compact: less than 7.75 cubic feet</w:t>
            </w:r>
          </w:p>
        </w:tc>
        <w:tc>
          <w:tcPr>
            <w:tcW w:w="1625" w:type="dxa"/>
            <w:tcBorders>
              <w:top w:val="single" w:sz="4" w:space="0" w:color="auto"/>
              <w:left w:val="single" w:sz="4" w:space="0" w:color="auto"/>
              <w:right w:val="single" w:sz="4" w:space="0" w:color="auto"/>
            </w:tcBorders>
            <w:shd w:val="clear" w:color="auto" w:fill="F2F2F2" w:themeFill="background1" w:themeFillShade="F2"/>
            <w:vAlign w:val="center"/>
          </w:tcPr>
          <w:p w14:paraId="5C611E53" w14:textId="77777777" w:rsidR="00C83695" w:rsidRPr="001570EA" w:rsidRDefault="00C83695">
            <w:pPr>
              <w:keepNext/>
              <w:spacing w:before="80" w:after="80"/>
              <w:jc w:val="left"/>
              <w:rPr>
                <w:rFonts w:cs="Arial"/>
                <w:b/>
                <w:bCs/>
                <w:color w:val="000000"/>
                <w:sz w:val="18"/>
                <w:szCs w:val="18"/>
              </w:rPr>
            </w:pPr>
          </w:p>
        </w:tc>
        <w:tc>
          <w:tcPr>
            <w:tcW w:w="1525" w:type="dxa"/>
            <w:tcBorders>
              <w:top w:val="single" w:sz="4" w:space="0" w:color="auto"/>
              <w:left w:val="single" w:sz="4" w:space="0" w:color="auto"/>
              <w:right w:val="single" w:sz="4" w:space="0" w:color="auto"/>
            </w:tcBorders>
            <w:shd w:val="clear" w:color="auto" w:fill="F2F2F2" w:themeFill="background1" w:themeFillShade="F2"/>
          </w:tcPr>
          <w:p w14:paraId="2E16B255" w14:textId="77777777" w:rsidR="00C83695" w:rsidRPr="001570EA" w:rsidRDefault="00C83695">
            <w:pPr>
              <w:keepNext/>
              <w:spacing w:before="80" w:after="80"/>
              <w:jc w:val="left"/>
              <w:rPr>
                <w:rFonts w:cs="Arial"/>
                <w:b/>
                <w:bCs/>
                <w:color w:val="000000"/>
                <w:sz w:val="18"/>
                <w:szCs w:val="18"/>
              </w:rPr>
            </w:pPr>
          </w:p>
        </w:tc>
      </w:tr>
      <w:tr w:rsidR="004E6452" w:rsidRPr="001570EA" w14:paraId="3F6C1EF9" w14:textId="77777777" w:rsidTr="007F64EC">
        <w:trPr>
          <w:trHeight w:val="352"/>
        </w:trPr>
        <w:tc>
          <w:tcPr>
            <w:tcW w:w="5827" w:type="dxa"/>
            <w:tcBorders>
              <w:top w:val="nil"/>
              <w:left w:val="single" w:sz="4" w:space="0" w:color="auto"/>
              <w:bottom w:val="single" w:sz="4" w:space="0" w:color="auto"/>
              <w:right w:val="single" w:sz="4" w:space="0" w:color="auto"/>
            </w:tcBorders>
            <w:shd w:val="clear" w:color="auto" w:fill="FFFFFF" w:themeFill="background1"/>
            <w:vAlign w:val="center"/>
          </w:tcPr>
          <w:p w14:paraId="594F12EF" w14:textId="77777777" w:rsidR="004E6452" w:rsidRPr="001570EA" w:rsidRDefault="004E6452">
            <w:pPr>
              <w:keepNext/>
              <w:spacing w:before="80" w:after="80"/>
              <w:rPr>
                <w:rFonts w:cs="Arial"/>
                <w:color w:val="000000"/>
                <w:sz w:val="18"/>
                <w:szCs w:val="18"/>
              </w:rPr>
            </w:pPr>
            <w:r w:rsidRPr="001570EA">
              <w:rPr>
                <w:rFonts w:cs="Arial"/>
                <w:color w:val="000000"/>
                <w:sz w:val="18"/>
                <w:szCs w:val="18"/>
              </w:rPr>
              <w:t>1. Built-in compact</w:t>
            </w:r>
          </w:p>
        </w:tc>
        <w:tc>
          <w:tcPr>
            <w:tcW w:w="16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49964A2B"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13.7 × AV + 267</w:t>
            </w:r>
          </w:p>
        </w:tc>
        <w:tc>
          <w:tcPr>
            <w:tcW w:w="15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09391519" w14:textId="3CE909B3" w:rsidR="009A1EA9" w:rsidRPr="001570EA" w:rsidRDefault="009A1EA9" w:rsidP="009A1EA9">
            <w:pPr>
              <w:keepNext/>
              <w:spacing w:before="80" w:after="80"/>
              <w:jc w:val="center"/>
              <w:rPr>
                <w:rFonts w:cs="Arial"/>
                <w:color w:val="000000"/>
                <w:sz w:val="18"/>
                <w:szCs w:val="18"/>
              </w:rPr>
            </w:pPr>
            <w:r w:rsidRPr="001570EA">
              <w:rPr>
                <w:rFonts w:cs="Arial"/>
                <w:color w:val="000000"/>
                <w:sz w:val="18"/>
                <w:szCs w:val="18"/>
              </w:rPr>
              <w:t>326</w:t>
            </w:r>
          </w:p>
        </w:tc>
      </w:tr>
      <w:tr w:rsidR="004E6452" w:rsidRPr="001570EA" w14:paraId="36DDB941" w14:textId="77777777" w:rsidTr="007F64EC">
        <w:trPr>
          <w:trHeight w:val="352"/>
        </w:trPr>
        <w:tc>
          <w:tcPr>
            <w:tcW w:w="5827" w:type="dxa"/>
            <w:tcBorders>
              <w:top w:val="nil"/>
              <w:left w:val="single" w:sz="4" w:space="0" w:color="auto"/>
              <w:bottom w:val="single" w:sz="4" w:space="0" w:color="auto"/>
              <w:right w:val="single" w:sz="4" w:space="0" w:color="auto"/>
            </w:tcBorders>
            <w:shd w:val="clear" w:color="auto" w:fill="FFFFFF" w:themeFill="background1"/>
          </w:tcPr>
          <w:p w14:paraId="31ECFD1E" w14:textId="77777777" w:rsidR="004E6452" w:rsidRPr="001570EA" w:rsidRDefault="004E6452">
            <w:pPr>
              <w:keepNext/>
              <w:spacing w:before="80" w:after="80"/>
              <w:rPr>
                <w:rFonts w:cs="Arial"/>
                <w:color w:val="000000"/>
                <w:sz w:val="18"/>
                <w:szCs w:val="18"/>
              </w:rPr>
            </w:pPr>
            <w:r w:rsidRPr="001570EA">
              <w:rPr>
                <w:rFonts w:cs="Arial"/>
                <w:color w:val="000000"/>
                <w:sz w:val="18"/>
                <w:szCs w:val="18"/>
              </w:rPr>
              <w:t>3. Freestanding compact</w:t>
            </w:r>
          </w:p>
        </w:tc>
        <w:tc>
          <w:tcPr>
            <w:tcW w:w="16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6BB72663"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13.7 × AV + 267</w:t>
            </w:r>
          </w:p>
        </w:tc>
        <w:tc>
          <w:tcPr>
            <w:tcW w:w="15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5AE97BCF" w14:textId="5325F922" w:rsidR="009A1EA9" w:rsidRPr="001570EA" w:rsidRDefault="009A1EA9" w:rsidP="009A1EA9">
            <w:pPr>
              <w:keepNext/>
              <w:spacing w:before="80" w:after="80"/>
              <w:jc w:val="center"/>
              <w:rPr>
                <w:rFonts w:cs="Arial"/>
                <w:color w:val="000000"/>
                <w:sz w:val="18"/>
                <w:szCs w:val="18"/>
              </w:rPr>
            </w:pPr>
            <w:r w:rsidRPr="001570EA">
              <w:rPr>
                <w:rFonts w:cs="Arial"/>
                <w:color w:val="000000"/>
                <w:sz w:val="18"/>
                <w:szCs w:val="18"/>
              </w:rPr>
              <w:t>326</w:t>
            </w:r>
          </w:p>
        </w:tc>
      </w:tr>
      <w:tr w:rsidR="004E6452" w:rsidRPr="001570EA" w14:paraId="66AA32E5" w14:textId="77777777" w:rsidTr="007F64EC">
        <w:trPr>
          <w:trHeight w:val="352"/>
        </w:trPr>
        <w:tc>
          <w:tcPr>
            <w:tcW w:w="5827" w:type="dxa"/>
            <w:tcBorders>
              <w:top w:val="nil"/>
              <w:left w:val="single" w:sz="4" w:space="0" w:color="auto"/>
              <w:bottom w:val="single" w:sz="4" w:space="0" w:color="auto"/>
              <w:right w:val="single" w:sz="4" w:space="0" w:color="auto"/>
            </w:tcBorders>
            <w:shd w:val="clear" w:color="auto" w:fill="FFFFFF" w:themeFill="background1"/>
            <w:vAlign w:val="bottom"/>
          </w:tcPr>
          <w:p w14:paraId="7318B23A" w14:textId="77777777" w:rsidR="004E6452" w:rsidRPr="001570EA" w:rsidRDefault="004E6452">
            <w:pPr>
              <w:keepNext/>
              <w:spacing w:before="80" w:after="80"/>
              <w:rPr>
                <w:rFonts w:cs="Arial"/>
                <w:color w:val="000000"/>
                <w:sz w:val="18"/>
                <w:szCs w:val="18"/>
              </w:rPr>
            </w:pPr>
            <w:r w:rsidRPr="001570EA">
              <w:rPr>
                <w:rFonts w:cs="Arial"/>
                <w:color w:val="000000"/>
                <w:sz w:val="18"/>
                <w:szCs w:val="18"/>
              </w:rPr>
              <w:t>C-13A. Compact cooler with all-refrigerator - automatic defrost</w:t>
            </w:r>
          </w:p>
        </w:tc>
        <w:tc>
          <w:tcPr>
            <w:tcW w:w="16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157A3D14" w14:textId="77777777" w:rsidR="004E6452" w:rsidRPr="001570EA" w:rsidRDefault="004E6452">
            <w:pPr>
              <w:keepNext/>
              <w:spacing w:before="80" w:after="80"/>
              <w:jc w:val="center"/>
              <w:rPr>
                <w:rFonts w:cs="Arial"/>
                <w:color w:val="000000"/>
                <w:sz w:val="18"/>
                <w:szCs w:val="18"/>
              </w:rPr>
            </w:pPr>
            <w:r w:rsidRPr="001570EA">
              <w:rPr>
                <w:rFonts w:cs="Arial"/>
                <w:color w:val="000000"/>
                <w:sz w:val="18"/>
                <w:szCs w:val="18"/>
              </w:rPr>
              <w:t>17.4 × AV + 344</w:t>
            </w:r>
          </w:p>
        </w:tc>
        <w:tc>
          <w:tcPr>
            <w:tcW w:w="15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1EE84407" w14:textId="72D376C6" w:rsidR="009A1EA9" w:rsidRPr="001570EA" w:rsidRDefault="009A1EA9" w:rsidP="009A1EA9">
            <w:pPr>
              <w:keepNext/>
              <w:spacing w:before="80" w:after="80"/>
              <w:jc w:val="center"/>
              <w:rPr>
                <w:rFonts w:cs="Arial"/>
                <w:color w:val="000000"/>
                <w:sz w:val="18"/>
                <w:szCs w:val="18"/>
              </w:rPr>
            </w:pPr>
            <w:r w:rsidRPr="001570EA">
              <w:rPr>
                <w:rFonts w:cs="Arial"/>
                <w:color w:val="000000"/>
                <w:sz w:val="18"/>
                <w:szCs w:val="18"/>
              </w:rPr>
              <w:t>419</w:t>
            </w:r>
          </w:p>
        </w:tc>
      </w:tr>
      <w:tr w:rsidR="004E6452" w:rsidRPr="001570EA" w14:paraId="20A253D6" w14:textId="77777777" w:rsidTr="007F64EC">
        <w:trPr>
          <w:trHeight w:val="352"/>
        </w:trPr>
        <w:tc>
          <w:tcPr>
            <w:tcW w:w="5827" w:type="dxa"/>
            <w:tcBorders>
              <w:top w:val="nil"/>
              <w:left w:val="single" w:sz="4" w:space="0" w:color="auto"/>
              <w:bottom w:val="nil"/>
              <w:right w:val="single" w:sz="4" w:space="0" w:color="auto"/>
            </w:tcBorders>
            <w:shd w:val="clear" w:color="auto" w:fill="FFFFFF" w:themeFill="background1"/>
            <w:vAlign w:val="bottom"/>
          </w:tcPr>
          <w:p w14:paraId="2A6F7241" w14:textId="77777777" w:rsidR="004E6452" w:rsidRPr="001570EA" w:rsidRDefault="004E6452">
            <w:pPr>
              <w:spacing w:before="80" w:after="80"/>
              <w:rPr>
                <w:rFonts w:cs="Arial"/>
                <w:color w:val="000000"/>
                <w:sz w:val="18"/>
                <w:szCs w:val="18"/>
              </w:rPr>
            </w:pPr>
            <w:r w:rsidRPr="001570EA">
              <w:rPr>
                <w:rFonts w:cs="Arial"/>
                <w:color w:val="000000"/>
                <w:sz w:val="18"/>
                <w:szCs w:val="18"/>
              </w:rPr>
              <w:t>C-13A-BI. Built-in compact cooler with all-refrigerator - automatic defrost</w:t>
            </w:r>
          </w:p>
        </w:tc>
        <w:tc>
          <w:tcPr>
            <w:tcW w:w="1625" w:type="dxa"/>
            <w:tcBorders>
              <w:top w:val="nil"/>
              <w:left w:val="single" w:sz="4" w:space="0" w:color="auto"/>
              <w:bottom w:val="nil"/>
              <w:right w:val="single" w:sz="4" w:space="0" w:color="auto"/>
            </w:tcBorders>
            <w:shd w:val="clear" w:color="auto" w:fill="FFFFFF" w:themeFill="background1"/>
            <w:vAlign w:val="center"/>
          </w:tcPr>
          <w:p w14:paraId="107EF325" w14:textId="77777777" w:rsidR="004E6452" w:rsidRPr="001570EA" w:rsidRDefault="004E6452">
            <w:pPr>
              <w:spacing w:before="80" w:after="80"/>
              <w:jc w:val="center"/>
              <w:rPr>
                <w:rFonts w:cs="Arial"/>
                <w:color w:val="000000"/>
                <w:sz w:val="18"/>
                <w:szCs w:val="18"/>
              </w:rPr>
            </w:pPr>
            <w:r w:rsidRPr="001570EA">
              <w:rPr>
                <w:rFonts w:cs="Arial"/>
                <w:color w:val="000000"/>
                <w:sz w:val="18"/>
                <w:szCs w:val="18"/>
              </w:rPr>
              <w:t>17.4 × AV + 344</w:t>
            </w:r>
          </w:p>
        </w:tc>
        <w:tc>
          <w:tcPr>
            <w:tcW w:w="1525" w:type="dxa"/>
            <w:tcBorders>
              <w:top w:val="nil"/>
              <w:left w:val="single" w:sz="4" w:space="0" w:color="auto"/>
              <w:bottom w:val="nil"/>
              <w:right w:val="single" w:sz="4" w:space="0" w:color="auto"/>
            </w:tcBorders>
            <w:shd w:val="clear" w:color="auto" w:fill="FFFFFF" w:themeFill="background1"/>
            <w:vAlign w:val="center"/>
          </w:tcPr>
          <w:p w14:paraId="69F4A8A8" w14:textId="35807993" w:rsidR="009A1EA9" w:rsidRPr="001570EA" w:rsidRDefault="009A1EA9" w:rsidP="009A1EA9">
            <w:pPr>
              <w:spacing w:before="80" w:after="80"/>
              <w:jc w:val="center"/>
              <w:rPr>
                <w:rFonts w:cs="Arial"/>
                <w:color w:val="000000"/>
                <w:sz w:val="18"/>
                <w:szCs w:val="18"/>
              </w:rPr>
            </w:pPr>
            <w:r w:rsidRPr="001570EA">
              <w:rPr>
                <w:rFonts w:cs="Arial"/>
                <w:color w:val="000000"/>
                <w:sz w:val="18"/>
                <w:szCs w:val="18"/>
              </w:rPr>
              <w:t>419</w:t>
            </w:r>
          </w:p>
        </w:tc>
      </w:tr>
      <w:tr w:rsidR="00757D35" w:rsidRPr="001570EA" w14:paraId="36914F8A" w14:textId="77777777" w:rsidTr="007F64EC">
        <w:trPr>
          <w:trHeight w:val="352"/>
        </w:trPr>
        <w:tc>
          <w:tcPr>
            <w:tcW w:w="5827" w:type="dxa"/>
            <w:tcBorders>
              <w:top w:val="nil"/>
              <w:left w:val="single" w:sz="4" w:space="0" w:color="auto"/>
              <w:bottom w:val="nil"/>
              <w:right w:val="single" w:sz="4" w:space="0" w:color="auto"/>
            </w:tcBorders>
            <w:shd w:val="clear" w:color="auto" w:fill="F2F2F2" w:themeFill="background1" w:themeFillShade="F2"/>
            <w:vAlign w:val="bottom"/>
          </w:tcPr>
          <w:p w14:paraId="7D9D730F" w14:textId="505C5E89" w:rsidR="00757D35" w:rsidRPr="001570EA" w:rsidRDefault="00757D35" w:rsidP="009A1EA9">
            <w:pPr>
              <w:spacing w:before="80" w:after="80"/>
              <w:rPr>
                <w:rFonts w:cs="Arial"/>
                <w:b/>
                <w:bCs/>
                <w:color w:val="000000"/>
                <w:sz w:val="18"/>
                <w:szCs w:val="18"/>
              </w:rPr>
            </w:pPr>
            <w:r w:rsidRPr="001570EA">
              <w:rPr>
                <w:rFonts w:cs="Arial"/>
                <w:b/>
                <w:bCs/>
                <w:color w:val="000000"/>
                <w:sz w:val="18"/>
                <w:szCs w:val="18"/>
              </w:rPr>
              <w:t xml:space="preserve">Unknown </w:t>
            </w:r>
            <w:r w:rsidR="00CC39AD" w:rsidRPr="001570EA">
              <w:rPr>
                <w:rFonts w:cs="Arial"/>
                <w:b/>
                <w:bCs/>
                <w:color w:val="000000"/>
                <w:sz w:val="18"/>
                <w:szCs w:val="18"/>
              </w:rPr>
              <w:t>Configuration</w:t>
            </w:r>
          </w:p>
        </w:tc>
        <w:tc>
          <w:tcPr>
            <w:tcW w:w="1625" w:type="dxa"/>
            <w:tcBorders>
              <w:top w:val="nil"/>
              <w:left w:val="single" w:sz="4" w:space="0" w:color="auto"/>
              <w:bottom w:val="nil"/>
              <w:right w:val="single" w:sz="4" w:space="0" w:color="auto"/>
            </w:tcBorders>
            <w:shd w:val="clear" w:color="auto" w:fill="F2F2F2" w:themeFill="background1" w:themeFillShade="F2"/>
            <w:vAlign w:val="center"/>
          </w:tcPr>
          <w:p w14:paraId="1C541112" w14:textId="77777777" w:rsidR="00757D35" w:rsidRPr="001570EA" w:rsidRDefault="00757D35" w:rsidP="009A1EA9">
            <w:pPr>
              <w:spacing w:before="80" w:after="80"/>
              <w:jc w:val="center"/>
              <w:rPr>
                <w:rFonts w:cs="Arial"/>
                <w:b/>
                <w:bCs/>
                <w:color w:val="000000"/>
                <w:sz w:val="18"/>
                <w:szCs w:val="18"/>
              </w:rPr>
            </w:pPr>
          </w:p>
        </w:tc>
        <w:tc>
          <w:tcPr>
            <w:tcW w:w="1525" w:type="dxa"/>
            <w:tcBorders>
              <w:top w:val="nil"/>
              <w:left w:val="single" w:sz="4" w:space="0" w:color="auto"/>
              <w:bottom w:val="nil"/>
              <w:right w:val="single" w:sz="4" w:space="0" w:color="auto"/>
            </w:tcBorders>
            <w:shd w:val="clear" w:color="auto" w:fill="F2F2F2" w:themeFill="background1" w:themeFillShade="F2"/>
            <w:vAlign w:val="center"/>
          </w:tcPr>
          <w:p w14:paraId="601F9483" w14:textId="77777777" w:rsidR="00757D35" w:rsidRPr="001570EA" w:rsidRDefault="00757D35" w:rsidP="009A1EA9">
            <w:pPr>
              <w:spacing w:before="80" w:after="80"/>
              <w:jc w:val="center"/>
              <w:rPr>
                <w:rFonts w:cs="Arial"/>
                <w:b/>
                <w:bCs/>
                <w:color w:val="000000"/>
                <w:sz w:val="18"/>
                <w:szCs w:val="18"/>
              </w:rPr>
            </w:pPr>
          </w:p>
        </w:tc>
      </w:tr>
      <w:tr w:rsidR="00757D35" w:rsidRPr="001570EA" w14:paraId="6E34D9B5" w14:textId="77777777" w:rsidTr="007F64EC">
        <w:trPr>
          <w:trHeight w:val="352"/>
        </w:trPr>
        <w:tc>
          <w:tcPr>
            <w:tcW w:w="5827" w:type="dxa"/>
            <w:tcBorders>
              <w:top w:val="nil"/>
              <w:left w:val="single" w:sz="4" w:space="0" w:color="auto"/>
              <w:bottom w:val="nil"/>
              <w:right w:val="single" w:sz="4" w:space="0" w:color="auto"/>
            </w:tcBorders>
            <w:shd w:val="clear" w:color="auto" w:fill="FFFFFF" w:themeFill="background1"/>
            <w:vAlign w:val="bottom"/>
          </w:tcPr>
          <w:p w14:paraId="01AEAEC8" w14:textId="42C61E17" w:rsidR="00757D35" w:rsidRPr="001570EA" w:rsidRDefault="00757D35" w:rsidP="009A1EA9">
            <w:pPr>
              <w:spacing w:before="80" w:after="80"/>
              <w:rPr>
                <w:rFonts w:cs="Arial"/>
                <w:color w:val="000000"/>
                <w:sz w:val="18"/>
                <w:szCs w:val="18"/>
              </w:rPr>
            </w:pPr>
            <w:r w:rsidRPr="001570EA">
              <w:rPr>
                <w:rFonts w:cs="Arial"/>
                <w:color w:val="000000"/>
                <w:sz w:val="18"/>
                <w:szCs w:val="18"/>
              </w:rPr>
              <w:t>Standard</w:t>
            </w:r>
          </w:p>
        </w:tc>
        <w:tc>
          <w:tcPr>
            <w:tcW w:w="1625" w:type="dxa"/>
            <w:tcBorders>
              <w:top w:val="nil"/>
              <w:left w:val="single" w:sz="4" w:space="0" w:color="auto"/>
              <w:bottom w:val="nil"/>
              <w:right w:val="single" w:sz="4" w:space="0" w:color="auto"/>
            </w:tcBorders>
            <w:shd w:val="clear" w:color="auto" w:fill="FFFFFF" w:themeFill="background1"/>
            <w:vAlign w:val="center"/>
          </w:tcPr>
          <w:p w14:paraId="2573DE9D" w14:textId="492CE5E2" w:rsidR="00757D35" w:rsidRPr="001570EA" w:rsidRDefault="00CC39AD" w:rsidP="009A1EA9">
            <w:pPr>
              <w:spacing w:before="80" w:after="80"/>
              <w:jc w:val="center"/>
              <w:rPr>
                <w:rFonts w:cs="Arial"/>
                <w:color w:val="000000"/>
                <w:sz w:val="18"/>
                <w:szCs w:val="18"/>
              </w:rPr>
            </w:pPr>
            <w:r w:rsidRPr="001570EA">
              <w:rPr>
                <w:rFonts w:cs="Arial"/>
                <w:color w:val="000000"/>
                <w:sz w:val="18"/>
                <w:szCs w:val="18"/>
              </w:rPr>
              <w:t>-</w:t>
            </w:r>
          </w:p>
        </w:tc>
        <w:tc>
          <w:tcPr>
            <w:tcW w:w="1525" w:type="dxa"/>
            <w:tcBorders>
              <w:top w:val="nil"/>
              <w:left w:val="single" w:sz="4" w:space="0" w:color="auto"/>
              <w:bottom w:val="nil"/>
              <w:right w:val="single" w:sz="4" w:space="0" w:color="auto"/>
            </w:tcBorders>
            <w:shd w:val="clear" w:color="auto" w:fill="FFFFFF" w:themeFill="background1"/>
            <w:vAlign w:val="center"/>
          </w:tcPr>
          <w:p w14:paraId="692FEA1A" w14:textId="74D49B3A" w:rsidR="00757D35" w:rsidRPr="001570EA" w:rsidRDefault="00CC39AD" w:rsidP="009A1EA9">
            <w:pPr>
              <w:spacing w:before="80" w:after="80"/>
              <w:jc w:val="center"/>
              <w:rPr>
                <w:rFonts w:cs="Arial"/>
                <w:color w:val="000000"/>
                <w:sz w:val="18"/>
                <w:szCs w:val="18"/>
              </w:rPr>
            </w:pPr>
            <w:r w:rsidRPr="001570EA">
              <w:rPr>
                <w:rFonts w:cs="Arial"/>
                <w:color w:val="000000"/>
                <w:sz w:val="18"/>
                <w:szCs w:val="18"/>
              </w:rPr>
              <w:t>467</w:t>
            </w:r>
          </w:p>
        </w:tc>
      </w:tr>
      <w:tr w:rsidR="00CC39AD" w:rsidRPr="001570EA" w14:paraId="59F13D61" w14:textId="77777777" w:rsidTr="007F64EC">
        <w:trPr>
          <w:trHeight w:val="352"/>
        </w:trPr>
        <w:tc>
          <w:tcPr>
            <w:tcW w:w="5827" w:type="dxa"/>
            <w:tcBorders>
              <w:top w:val="nil"/>
              <w:left w:val="single" w:sz="4" w:space="0" w:color="auto"/>
              <w:bottom w:val="nil"/>
              <w:right w:val="single" w:sz="4" w:space="0" w:color="auto"/>
            </w:tcBorders>
            <w:shd w:val="clear" w:color="auto" w:fill="FFFFFF" w:themeFill="background1"/>
            <w:vAlign w:val="bottom"/>
          </w:tcPr>
          <w:p w14:paraId="30764A98" w14:textId="020FBE47" w:rsidR="00CC39AD" w:rsidRPr="001570EA" w:rsidRDefault="00CC39AD" w:rsidP="00CC39AD">
            <w:pPr>
              <w:spacing w:before="80" w:after="80"/>
              <w:rPr>
                <w:rFonts w:cs="Arial"/>
                <w:color w:val="000000"/>
                <w:sz w:val="18"/>
                <w:szCs w:val="18"/>
              </w:rPr>
            </w:pPr>
            <w:r w:rsidRPr="001570EA">
              <w:rPr>
                <w:rFonts w:cs="Arial"/>
                <w:color w:val="000000"/>
                <w:sz w:val="18"/>
                <w:szCs w:val="18"/>
              </w:rPr>
              <w:t>Compact</w:t>
            </w:r>
          </w:p>
        </w:tc>
        <w:tc>
          <w:tcPr>
            <w:tcW w:w="1625" w:type="dxa"/>
            <w:tcBorders>
              <w:top w:val="nil"/>
              <w:left w:val="single" w:sz="4" w:space="0" w:color="auto"/>
              <w:bottom w:val="nil"/>
              <w:right w:val="single" w:sz="4" w:space="0" w:color="auto"/>
            </w:tcBorders>
            <w:shd w:val="clear" w:color="auto" w:fill="FFFFFF" w:themeFill="background1"/>
            <w:vAlign w:val="center"/>
          </w:tcPr>
          <w:p w14:paraId="45187798" w14:textId="2EBD7454" w:rsidR="00CC39AD" w:rsidRPr="001570EA" w:rsidRDefault="00CC39AD" w:rsidP="00CC39AD">
            <w:pPr>
              <w:spacing w:before="80" w:after="80"/>
              <w:jc w:val="center"/>
              <w:rPr>
                <w:rFonts w:cs="Arial"/>
                <w:color w:val="000000"/>
                <w:sz w:val="18"/>
                <w:szCs w:val="18"/>
              </w:rPr>
            </w:pPr>
            <w:r w:rsidRPr="001570EA">
              <w:rPr>
                <w:rFonts w:cs="Arial"/>
                <w:color w:val="000000"/>
                <w:sz w:val="18"/>
                <w:szCs w:val="18"/>
              </w:rPr>
              <w:t>-</w:t>
            </w:r>
          </w:p>
        </w:tc>
        <w:tc>
          <w:tcPr>
            <w:tcW w:w="1525" w:type="dxa"/>
            <w:tcBorders>
              <w:top w:val="nil"/>
              <w:left w:val="single" w:sz="4" w:space="0" w:color="auto"/>
              <w:bottom w:val="nil"/>
              <w:right w:val="single" w:sz="4" w:space="0" w:color="auto"/>
            </w:tcBorders>
            <w:shd w:val="clear" w:color="auto" w:fill="FFFFFF" w:themeFill="background1"/>
            <w:vAlign w:val="center"/>
          </w:tcPr>
          <w:p w14:paraId="56B0DBE8" w14:textId="2DE1AD08" w:rsidR="00CC39AD" w:rsidRPr="001570EA" w:rsidRDefault="00CC39AD" w:rsidP="00CC39AD">
            <w:pPr>
              <w:spacing w:before="80" w:after="80"/>
              <w:jc w:val="center"/>
              <w:rPr>
                <w:rFonts w:cs="Arial"/>
                <w:color w:val="000000"/>
                <w:sz w:val="18"/>
                <w:szCs w:val="18"/>
              </w:rPr>
            </w:pPr>
            <w:r w:rsidRPr="001570EA">
              <w:rPr>
                <w:rFonts w:cs="Arial"/>
                <w:color w:val="000000"/>
                <w:sz w:val="18"/>
                <w:szCs w:val="18"/>
              </w:rPr>
              <w:t>326</w:t>
            </w:r>
          </w:p>
        </w:tc>
      </w:tr>
      <w:tr w:rsidR="00CC39AD" w:rsidRPr="001570EA" w14:paraId="068DAC6E" w14:textId="77777777" w:rsidTr="007F64EC">
        <w:trPr>
          <w:trHeight w:val="352"/>
        </w:trPr>
        <w:tc>
          <w:tcPr>
            <w:tcW w:w="5827" w:type="dxa"/>
            <w:tcBorders>
              <w:top w:val="nil"/>
              <w:left w:val="single" w:sz="4" w:space="0" w:color="auto"/>
              <w:bottom w:val="single" w:sz="4" w:space="0" w:color="auto"/>
              <w:right w:val="single" w:sz="4" w:space="0" w:color="auto"/>
            </w:tcBorders>
            <w:shd w:val="clear" w:color="auto" w:fill="FFFFFF" w:themeFill="background1"/>
            <w:vAlign w:val="bottom"/>
          </w:tcPr>
          <w:p w14:paraId="3B63804B" w14:textId="0A299BC3" w:rsidR="00CC39AD" w:rsidRPr="001570EA" w:rsidRDefault="00CC39AD" w:rsidP="00CC39AD">
            <w:pPr>
              <w:spacing w:before="80" w:after="80"/>
              <w:rPr>
                <w:rFonts w:cs="Arial"/>
                <w:color w:val="000000"/>
                <w:sz w:val="18"/>
                <w:szCs w:val="18"/>
              </w:rPr>
            </w:pPr>
            <w:r w:rsidRPr="001570EA">
              <w:rPr>
                <w:rFonts w:cs="Arial"/>
                <w:color w:val="000000"/>
                <w:sz w:val="18"/>
                <w:szCs w:val="18"/>
              </w:rPr>
              <w:t>Unknown</w:t>
            </w:r>
          </w:p>
        </w:tc>
        <w:tc>
          <w:tcPr>
            <w:tcW w:w="16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733DA146" w14:textId="76523709" w:rsidR="00CC39AD" w:rsidRPr="001570EA" w:rsidRDefault="00CC39AD" w:rsidP="00CC39AD">
            <w:pPr>
              <w:spacing w:before="80" w:after="80"/>
              <w:jc w:val="center"/>
              <w:rPr>
                <w:rFonts w:cs="Arial"/>
                <w:color w:val="000000"/>
                <w:sz w:val="18"/>
                <w:szCs w:val="18"/>
              </w:rPr>
            </w:pPr>
            <w:r w:rsidRPr="001570EA">
              <w:rPr>
                <w:rFonts w:cs="Arial"/>
                <w:color w:val="000000"/>
                <w:sz w:val="18"/>
                <w:szCs w:val="18"/>
              </w:rPr>
              <w:t>-</w:t>
            </w:r>
          </w:p>
        </w:tc>
        <w:tc>
          <w:tcPr>
            <w:tcW w:w="1525" w:type="dxa"/>
            <w:tcBorders>
              <w:top w:val="nil"/>
              <w:left w:val="single" w:sz="4" w:space="0" w:color="auto"/>
              <w:bottom w:val="single" w:sz="4" w:space="0" w:color="000000" w:themeColor="text1"/>
              <w:right w:val="single" w:sz="4" w:space="0" w:color="auto"/>
            </w:tcBorders>
            <w:shd w:val="clear" w:color="auto" w:fill="FFFFFF" w:themeFill="background1"/>
            <w:vAlign w:val="center"/>
          </w:tcPr>
          <w:p w14:paraId="1E60E714" w14:textId="45B7E48C" w:rsidR="00CC39AD" w:rsidRPr="001570EA" w:rsidRDefault="00CC39AD" w:rsidP="00CC39AD">
            <w:pPr>
              <w:spacing w:before="80" w:after="80"/>
              <w:jc w:val="center"/>
              <w:rPr>
                <w:rFonts w:cs="Arial"/>
                <w:color w:val="000000"/>
                <w:sz w:val="18"/>
                <w:szCs w:val="18"/>
              </w:rPr>
            </w:pPr>
            <w:r w:rsidRPr="001570EA">
              <w:rPr>
                <w:rFonts w:cs="Arial"/>
                <w:color w:val="000000"/>
                <w:sz w:val="18"/>
                <w:szCs w:val="18"/>
              </w:rPr>
              <w:t>353</w:t>
            </w:r>
          </w:p>
        </w:tc>
      </w:tr>
    </w:tbl>
    <w:p w14:paraId="0E770C4A" w14:textId="77777777" w:rsidR="004E6452" w:rsidRPr="001570EA" w:rsidRDefault="004E6452" w:rsidP="004E6452"/>
    <w:p w14:paraId="2AC7BE26" w14:textId="77777777" w:rsidR="004E6452" w:rsidRPr="001570EA" w:rsidRDefault="004E6452" w:rsidP="004E6452">
      <w:pPr>
        <w:pStyle w:val="SubStyle"/>
        <w:keepNext/>
      </w:pPr>
      <w:r w:rsidRPr="001570EA">
        <w:t>Measure Life</w:t>
      </w:r>
    </w:p>
    <w:p w14:paraId="4BD6947E" w14:textId="77777777" w:rsidR="004E6452" w:rsidRPr="001570EA" w:rsidRDefault="004E6452" w:rsidP="004E6452">
      <w:r w:rsidRPr="001570EA">
        <w:t>Since coolers function similarly to refrigerators, the California Electronic Technical Reference Manual</w:t>
      </w:r>
      <w:r w:rsidRPr="001570EA" w:rsidDel="000A41A3">
        <w:t xml:space="preserve"> </w:t>
      </w:r>
      <w:r w:rsidRPr="001570EA">
        <w:t>refrigerator EUL is used as a proxy. The measure life for refrigerators WITHOUT replacement is 5 years, representing ⅓ of the EUL of a new refrigerator and by extension cooler. The adjusted measure life of coolers recycled WITH replacement is 5 years for federal units and 9 years for ENERGY STAR units.</w:t>
      </w:r>
    </w:p>
    <w:p w14:paraId="020B73B4" w14:textId="77777777" w:rsidR="004E6452" w:rsidRPr="001570EA" w:rsidRDefault="004E6452" w:rsidP="004E6452"/>
    <w:p w14:paraId="0C627046" w14:textId="77777777" w:rsidR="004E6452" w:rsidRPr="001570EA" w:rsidRDefault="004E6452" w:rsidP="004E6452">
      <w:pPr>
        <w:pStyle w:val="BodyText"/>
        <w:ind w:right="0"/>
        <w:jc w:val="left"/>
        <w:rPr>
          <w:rFonts w:eastAsia="Calibri"/>
          <w:b/>
        </w:rPr>
      </w:pPr>
      <w:r w:rsidRPr="001570EA">
        <w:rPr>
          <w:rFonts w:eastAsia="Calibri"/>
          <w:b/>
        </w:rPr>
        <w:t>Adjusted Measure Life with Replacement Rationale:</w:t>
      </w:r>
    </w:p>
    <w:p w14:paraId="3779E388" w14:textId="67BAC99B" w:rsidR="004E6452" w:rsidRPr="001570EA" w:rsidRDefault="004E6452" w:rsidP="004E6452">
      <w:pPr>
        <w:pStyle w:val="BodyText"/>
        <w:rPr>
          <w:rFonts w:eastAsia="Calibri"/>
        </w:rPr>
      </w:pPr>
      <w:r w:rsidRPr="001570EA">
        <w:rPr>
          <w:rFonts w:eastAsia="Calibri"/>
        </w:rPr>
        <w:t>Consumer refrigeration appliance recycling with replacement programs commonly calculate savings over two periods, the RUL of the existing unit, and the remainder of the EUL of the efficient unit beyond the RUL of the existing unit. For the first period of savings (the RUL of the existing unit), the energy savings are equal to the savings difference between the recycled unit and the replacement unit; the RUL can be assumed to be 1/3 of the measure EUL of an ENERGY STAR cooler. For the second period of savings (the remaining EUL of the replacement unit), the energy savings are equal to the difference between a Federal Standard unit and the replacement unit.</w:t>
      </w:r>
    </w:p>
    <w:p w14:paraId="5A1AA86B" w14:textId="77777777" w:rsidR="004E6452" w:rsidRPr="001570EA" w:rsidRDefault="004E6452" w:rsidP="004E6452">
      <w:pPr>
        <w:pStyle w:val="BodyText"/>
        <w:rPr>
          <w:rFonts w:eastAsia="Calibri"/>
        </w:rPr>
      </w:pPr>
    </w:p>
    <w:p w14:paraId="4BBC017D" w14:textId="76325BC3" w:rsidR="004E6452" w:rsidRPr="001570EA" w:rsidRDefault="004E6452" w:rsidP="004E6452">
      <w:pPr>
        <w:pStyle w:val="BodyText"/>
        <w:rPr>
          <w:color w:val="000000"/>
          <w:vertAlign w:val="superscript"/>
        </w:rPr>
      </w:pPr>
      <w:r w:rsidRPr="001570EA">
        <w:rPr>
          <w:rFonts w:eastAsia="Calibri"/>
        </w:rPr>
        <w:t xml:space="preserve">The EUL of a new ENERGY STAR refrigerator or cooler is </w:t>
      </w:r>
      <w:r w:rsidRPr="001570EA">
        <w:rPr>
          <w:color w:val="000000"/>
        </w:rPr>
        <w:t>14 years. However, a study of a low-income refrigerator replacement program for SDG&amp;E (2006) found that among the program’s target population, refrigerators are likely to be replaced less frequently than among average customers. As a result, the report updating the California DEER database recommended an EUL of 18 years for such programs.</w:t>
      </w:r>
      <w:r w:rsidRPr="001570EA">
        <w:rPr>
          <w:color w:val="000000"/>
          <w:vertAlign w:val="superscript"/>
        </w:rPr>
        <w:t>Source 8</w:t>
      </w:r>
    </w:p>
    <w:p w14:paraId="0691F27A" w14:textId="77777777" w:rsidR="004E6452" w:rsidRPr="001570EA" w:rsidRDefault="004E6452" w:rsidP="004E6452">
      <w:pPr>
        <w:pStyle w:val="BodyText"/>
        <w:rPr>
          <w:color w:val="000000"/>
        </w:rPr>
      </w:pPr>
    </w:p>
    <w:p w14:paraId="280FF289" w14:textId="0A086B75" w:rsidR="004E6452" w:rsidRPr="001570EA" w:rsidRDefault="004E6452" w:rsidP="004E6452">
      <w:pPr>
        <w:pStyle w:val="BodyText"/>
        <w:rPr>
          <w:color w:val="000000"/>
        </w:rPr>
      </w:pPr>
      <w:r w:rsidRPr="001570EA">
        <w:rPr>
          <w:color w:val="000000"/>
        </w:rPr>
        <w:t xml:space="preserve">To simplify the calculation of savings and remove the need to calculate different savings for each population, adjusted measure life values for the state can be used with the savings </w:t>
      </w:r>
      <w:r w:rsidRPr="001570EA">
        <w:rPr>
          <w:rFonts w:eastAsia="Calibri"/>
        </w:rPr>
        <w:t>difference between the recycled baseline unit and the replacement unit</w:t>
      </w:r>
      <w:r w:rsidRPr="001570EA">
        <w:rPr>
          <w:color w:val="000000"/>
        </w:rPr>
        <w:t xml:space="preserve"> over the adjusted measure life. These are provided in </w:t>
      </w:r>
      <w:r w:rsidRPr="001570EA">
        <w:rPr>
          <w:color w:val="000000"/>
        </w:rPr>
        <w:fldChar w:fldCharType="begin"/>
      </w:r>
      <w:r w:rsidRPr="001570EA">
        <w:rPr>
          <w:color w:val="000000"/>
        </w:rPr>
        <w:instrText xml:space="preserve"> REF _Ref108436531 \h </w:instrText>
      </w:r>
      <w:r w:rsidR="001570EA">
        <w:rPr>
          <w:color w:val="000000"/>
        </w:rPr>
        <w:instrText xml:space="preserve"> \* MERGEFORMAT </w:instrText>
      </w:r>
      <w:r w:rsidRPr="001570EA">
        <w:rPr>
          <w:color w:val="000000"/>
        </w:rPr>
      </w:r>
      <w:r w:rsidRPr="001570EA">
        <w:rPr>
          <w:color w:val="000000"/>
        </w:rPr>
        <w:fldChar w:fldCharType="separate"/>
      </w:r>
      <w:r w:rsidR="005B71B3" w:rsidRPr="001570EA">
        <w:t xml:space="preserve">Table </w:t>
      </w:r>
      <w:r w:rsidR="005B71B3" w:rsidRPr="001570EA">
        <w:rPr>
          <w:noProof/>
        </w:rPr>
        <w:t>2</w:t>
      </w:r>
      <w:r w:rsidR="005B71B3" w:rsidRPr="001570EA">
        <w:rPr>
          <w:noProof/>
        </w:rPr>
        <w:noBreakHyphen/>
        <w:t>102</w:t>
      </w:r>
      <w:r w:rsidRPr="001570EA">
        <w:rPr>
          <w:color w:val="000000"/>
        </w:rPr>
        <w:fldChar w:fldCharType="end"/>
      </w:r>
      <w:r w:rsidRPr="001570EA">
        <w:rPr>
          <w:color w:val="000000"/>
        </w:rPr>
        <w:t xml:space="preserve"> below. The duration of each period (5.2 and 10.4) are based on weighting the aforementioned EULs of 14 and 18 years by the proportion of Pennsylvania’s low-income population (40% at or below 150% of federal poverty level).</w:t>
      </w:r>
      <w:r w:rsidRPr="001570EA">
        <w:rPr>
          <w:color w:val="000000"/>
          <w:vertAlign w:val="superscript"/>
        </w:rPr>
        <w:t>Source 10</w:t>
      </w:r>
    </w:p>
    <w:p w14:paraId="06D83ECD" w14:textId="77777777" w:rsidR="004E6452" w:rsidRPr="001570EA" w:rsidRDefault="004E6452" w:rsidP="004E6452">
      <w:pPr>
        <w:pStyle w:val="BodyText"/>
        <w:rPr>
          <w:color w:val="000000"/>
        </w:rPr>
      </w:pPr>
    </w:p>
    <w:p w14:paraId="30EDE776" w14:textId="7A71C5E5" w:rsidR="004E6452" w:rsidRPr="001570EA" w:rsidRDefault="004E6452" w:rsidP="004E6452">
      <w:pPr>
        <w:pStyle w:val="Caption"/>
      </w:pPr>
      <w:bookmarkStart w:id="579" w:name="_Ref108436531"/>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102</w:t>
      </w:r>
      <w:r w:rsidR="002E093A" w:rsidRPr="001570EA">
        <w:fldChar w:fldCharType="end"/>
      </w:r>
      <w:bookmarkEnd w:id="579"/>
      <w:r w:rsidRPr="001570EA">
        <w:t>: Adjusted Measure Life</w:t>
      </w:r>
    </w:p>
    <w:tbl>
      <w:tblPr>
        <w:tblStyle w:val="TableGrid"/>
        <w:tblW w:w="8815" w:type="dxa"/>
        <w:tblLayout w:type="fixed"/>
        <w:tblLook w:val="04A0" w:firstRow="1" w:lastRow="0" w:firstColumn="1" w:lastColumn="0" w:noHBand="0" w:noVBand="1"/>
      </w:tblPr>
      <w:tblGrid>
        <w:gridCol w:w="1763"/>
        <w:gridCol w:w="1763"/>
        <w:gridCol w:w="1763"/>
        <w:gridCol w:w="1763"/>
        <w:gridCol w:w="1763"/>
      </w:tblGrid>
      <w:tr w:rsidR="004E6452" w:rsidRPr="001570EA" w14:paraId="4F8B035A" w14:textId="77777777">
        <w:trPr>
          <w:trHeight w:val="539"/>
        </w:trPr>
        <w:tc>
          <w:tcPr>
            <w:tcW w:w="1763" w:type="dxa"/>
            <w:shd w:val="clear" w:color="auto" w:fill="BFBFBF" w:themeFill="background1" w:themeFillShade="BF"/>
          </w:tcPr>
          <w:p w14:paraId="31D55B0E" w14:textId="77777777" w:rsidR="004E6452" w:rsidRPr="001570EA" w:rsidRDefault="004E6452">
            <w:pPr>
              <w:pStyle w:val="BodyText"/>
              <w:rPr>
                <w:b/>
                <w:bCs/>
                <w:color w:val="000000"/>
                <w:sz w:val="18"/>
                <w:szCs w:val="18"/>
              </w:rPr>
            </w:pPr>
            <w:r w:rsidRPr="001570EA">
              <w:rPr>
                <w:b/>
                <w:bCs/>
                <w:color w:val="000000"/>
                <w:sz w:val="18"/>
                <w:szCs w:val="18"/>
              </w:rPr>
              <w:t>Replacement</w:t>
            </w:r>
          </w:p>
        </w:tc>
        <w:tc>
          <w:tcPr>
            <w:tcW w:w="1763" w:type="dxa"/>
            <w:shd w:val="clear" w:color="auto" w:fill="BFBFBF" w:themeFill="background1" w:themeFillShade="BF"/>
          </w:tcPr>
          <w:p w14:paraId="611302F9" w14:textId="77777777" w:rsidR="004E6452" w:rsidRPr="001570EA" w:rsidRDefault="004E6452">
            <w:pPr>
              <w:pStyle w:val="BodyText"/>
              <w:ind w:right="0"/>
              <w:jc w:val="center"/>
              <w:rPr>
                <w:b/>
                <w:bCs/>
                <w:color w:val="000000"/>
                <w:sz w:val="18"/>
                <w:szCs w:val="18"/>
              </w:rPr>
            </w:pPr>
            <w:r w:rsidRPr="001570EA">
              <w:rPr>
                <w:b/>
                <w:bCs/>
                <w:color w:val="000000"/>
                <w:sz w:val="18"/>
                <w:szCs w:val="18"/>
              </w:rPr>
              <w:t>RUL Savings</w:t>
            </w:r>
          </w:p>
        </w:tc>
        <w:tc>
          <w:tcPr>
            <w:tcW w:w="1763" w:type="dxa"/>
            <w:shd w:val="clear" w:color="auto" w:fill="BFBFBF" w:themeFill="background1" w:themeFillShade="BF"/>
          </w:tcPr>
          <w:p w14:paraId="3165F0F6" w14:textId="77777777" w:rsidR="004E6452" w:rsidRPr="001570EA" w:rsidRDefault="004E6452">
            <w:pPr>
              <w:pStyle w:val="BodyText"/>
              <w:ind w:right="0"/>
              <w:jc w:val="center"/>
              <w:rPr>
                <w:b/>
                <w:bCs/>
                <w:color w:val="000000"/>
                <w:sz w:val="18"/>
                <w:szCs w:val="18"/>
              </w:rPr>
            </w:pPr>
            <w:r w:rsidRPr="001570EA">
              <w:rPr>
                <w:b/>
                <w:bCs/>
                <w:color w:val="000000"/>
                <w:sz w:val="18"/>
                <w:szCs w:val="18"/>
              </w:rPr>
              <w:t>+ EUL Remainder Savings</w:t>
            </w:r>
          </w:p>
        </w:tc>
        <w:tc>
          <w:tcPr>
            <w:tcW w:w="1763" w:type="dxa"/>
            <w:shd w:val="clear" w:color="auto" w:fill="BFBFBF" w:themeFill="background1" w:themeFillShade="BF"/>
          </w:tcPr>
          <w:p w14:paraId="2ED9D36D" w14:textId="77777777" w:rsidR="004E6452" w:rsidRPr="001570EA" w:rsidRDefault="004E6452">
            <w:pPr>
              <w:pStyle w:val="BodyText"/>
              <w:ind w:right="0"/>
              <w:jc w:val="center"/>
              <w:rPr>
                <w:b/>
                <w:bCs/>
                <w:color w:val="000000"/>
                <w:sz w:val="18"/>
                <w:szCs w:val="18"/>
              </w:rPr>
            </w:pPr>
            <w:r w:rsidRPr="001570EA">
              <w:rPr>
                <w:b/>
                <w:bCs/>
                <w:color w:val="000000"/>
                <w:sz w:val="18"/>
                <w:szCs w:val="18"/>
              </w:rPr>
              <w:t>= Total Savings</w:t>
            </w:r>
          </w:p>
        </w:tc>
        <w:tc>
          <w:tcPr>
            <w:tcW w:w="1763" w:type="dxa"/>
            <w:shd w:val="clear" w:color="auto" w:fill="BFBFBF" w:themeFill="background1" w:themeFillShade="BF"/>
          </w:tcPr>
          <w:p w14:paraId="7590D011" w14:textId="77777777" w:rsidR="004E6452" w:rsidRPr="001570EA" w:rsidRDefault="004E6452">
            <w:pPr>
              <w:pStyle w:val="BodyText"/>
              <w:ind w:right="0"/>
              <w:jc w:val="center"/>
              <w:rPr>
                <w:b/>
                <w:bCs/>
                <w:color w:val="000000"/>
                <w:sz w:val="18"/>
                <w:szCs w:val="18"/>
              </w:rPr>
            </w:pPr>
            <w:r w:rsidRPr="001570EA">
              <w:rPr>
                <w:b/>
                <w:bCs/>
                <w:color w:val="000000"/>
                <w:sz w:val="18"/>
                <w:szCs w:val="18"/>
              </w:rPr>
              <w:t>Equivalent Years (Total ÷ RUL)</w:t>
            </w:r>
          </w:p>
        </w:tc>
      </w:tr>
      <w:tr w:rsidR="004E6452" w:rsidRPr="001570EA" w14:paraId="60C0DEB6" w14:textId="77777777">
        <w:tc>
          <w:tcPr>
            <w:tcW w:w="1763" w:type="dxa"/>
          </w:tcPr>
          <w:p w14:paraId="143C9434" w14:textId="77777777" w:rsidR="004E6452" w:rsidRPr="001570EA" w:rsidRDefault="004E6452">
            <w:pPr>
              <w:pStyle w:val="BodyText"/>
              <w:spacing w:before="80" w:after="80"/>
              <w:rPr>
                <w:color w:val="000000"/>
                <w:sz w:val="18"/>
                <w:szCs w:val="18"/>
              </w:rPr>
            </w:pPr>
            <w:r w:rsidRPr="001570EA">
              <w:rPr>
                <w:color w:val="000000"/>
                <w:sz w:val="18"/>
                <w:szCs w:val="18"/>
              </w:rPr>
              <w:t>ENERGY STAR</w:t>
            </w:r>
          </w:p>
        </w:tc>
        <w:tc>
          <w:tcPr>
            <w:tcW w:w="1763" w:type="dxa"/>
          </w:tcPr>
          <w:p w14:paraId="730E51E0" w14:textId="77777777" w:rsidR="004E6452" w:rsidRPr="001570EA" w:rsidRDefault="004E6452">
            <w:pPr>
              <w:pStyle w:val="BodyText"/>
              <w:spacing w:before="80" w:after="80"/>
              <w:rPr>
                <w:color w:val="000000"/>
                <w:sz w:val="18"/>
                <w:szCs w:val="18"/>
              </w:rPr>
            </w:pPr>
            <w:r w:rsidRPr="001570EA">
              <w:rPr>
                <w:color w:val="000000"/>
                <w:sz w:val="18"/>
                <w:szCs w:val="18"/>
              </w:rPr>
              <w:t>⅓ × 5.2</w:t>
            </w:r>
            <w:r w:rsidRPr="001570EA">
              <w:rPr>
                <w:rFonts w:eastAsiaTheme="minorHAnsi" w:cs="Arial"/>
                <w:sz w:val="18"/>
                <w:szCs w:val="18"/>
              </w:rPr>
              <w:t xml:space="preserve"> </w:t>
            </w:r>
            <w:r w:rsidRPr="001570EA">
              <w:rPr>
                <w:color w:val="000000"/>
                <w:sz w:val="18"/>
                <w:szCs w:val="18"/>
              </w:rPr>
              <w:t>× (314-148)</w:t>
            </w:r>
          </w:p>
        </w:tc>
        <w:tc>
          <w:tcPr>
            <w:tcW w:w="1763" w:type="dxa"/>
          </w:tcPr>
          <w:p w14:paraId="0767E70E" w14:textId="77777777" w:rsidR="004E6452" w:rsidRPr="001570EA" w:rsidRDefault="004E6452">
            <w:pPr>
              <w:pStyle w:val="BodyText"/>
              <w:spacing w:before="80" w:after="80"/>
              <w:rPr>
                <w:color w:val="000000"/>
                <w:sz w:val="18"/>
                <w:szCs w:val="18"/>
              </w:rPr>
            </w:pPr>
            <w:r w:rsidRPr="001570EA">
              <w:rPr>
                <w:color w:val="000000"/>
                <w:sz w:val="18"/>
                <w:szCs w:val="18"/>
              </w:rPr>
              <w:t>⅔× 10.4</w:t>
            </w:r>
            <w:r w:rsidRPr="001570EA">
              <w:rPr>
                <w:rFonts w:eastAsiaTheme="minorHAnsi" w:cs="Arial"/>
                <w:sz w:val="18"/>
                <w:szCs w:val="18"/>
              </w:rPr>
              <w:t xml:space="preserve"> </w:t>
            </w:r>
            <w:r w:rsidRPr="001570EA">
              <w:rPr>
                <w:color w:val="000000"/>
                <w:sz w:val="18"/>
                <w:szCs w:val="18"/>
              </w:rPr>
              <w:t>× (203-148)</w:t>
            </w:r>
          </w:p>
        </w:tc>
        <w:tc>
          <w:tcPr>
            <w:tcW w:w="1763" w:type="dxa"/>
          </w:tcPr>
          <w:p w14:paraId="3817AE1F" w14:textId="77777777" w:rsidR="004E6452" w:rsidRPr="001570EA" w:rsidRDefault="004E6452">
            <w:pPr>
              <w:pStyle w:val="BodyText"/>
              <w:tabs>
                <w:tab w:val="decimal" w:pos="1072"/>
              </w:tabs>
              <w:spacing w:before="80" w:after="80"/>
              <w:jc w:val="left"/>
              <w:rPr>
                <w:color w:val="000000"/>
                <w:sz w:val="18"/>
                <w:szCs w:val="18"/>
              </w:rPr>
            </w:pPr>
            <w:r w:rsidRPr="001570EA">
              <w:rPr>
                <w:color w:val="000000"/>
                <w:sz w:val="18"/>
                <w:szCs w:val="18"/>
              </w:rPr>
              <w:t>1,437</w:t>
            </w:r>
          </w:p>
        </w:tc>
        <w:tc>
          <w:tcPr>
            <w:tcW w:w="1763" w:type="dxa"/>
          </w:tcPr>
          <w:p w14:paraId="7F7FB147" w14:textId="77777777" w:rsidR="004E6452" w:rsidRPr="001570EA" w:rsidRDefault="004E6452">
            <w:pPr>
              <w:pStyle w:val="BodyText"/>
              <w:tabs>
                <w:tab w:val="decimal" w:pos="850"/>
              </w:tabs>
              <w:spacing w:before="80" w:after="80"/>
              <w:jc w:val="left"/>
              <w:rPr>
                <w:color w:val="000000"/>
                <w:sz w:val="18"/>
                <w:szCs w:val="18"/>
              </w:rPr>
            </w:pPr>
            <w:r w:rsidRPr="001570EA">
              <w:rPr>
                <w:color w:val="000000"/>
                <w:sz w:val="18"/>
                <w:szCs w:val="18"/>
              </w:rPr>
              <w:t>9</w:t>
            </w:r>
          </w:p>
        </w:tc>
      </w:tr>
    </w:tbl>
    <w:p w14:paraId="622CD7F0" w14:textId="77777777" w:rsidR="004E6452" w:rsidRPr="001570EA" w:rsidRDefault="004E6452" w:rsidP="004E6452">
      <w:pPr>
        <w:pStyle w:val="BodyText"/>
        <w:rPr>
          <w:color w:val="000000"/>
        </w:rPr>
      </w:pPr>
    </w:p>
    <w:p w14:paraId="6D64FAA3" w14:textId="77777777" w:rsidR="004E6452" w:rsidRPr="001570EA" w:rsidRDefault="004E6452" w:rsidP="004E6452">
      <w:pPr>
        <w:pStyle w:val="SubStyle"/>
      </w:pPr>
      <w:r w:rsidRPr="001570EA">
        <w:t>Evaluation Protocols</w:t>
      </w:r>
    </w:p>
    <w:p w14:paraId="55F020FF" w14:textId="77777777" w:rsidR="004E6452" w:rsidRPr="001570EA" w:rsidRDefault="004E6452" w:rsidP="004E6452">
      <w:pPr>
        <w:pStyle w:val="BodyText"/>
        <w:ind w:right="0"/>
        <w:rPr>
          <w:rFonts w:cs="Arial"/>
        </w:rPr>
      </w:pPr>
      <w:r w:rsidRPr="001570EA">
        <w:t>For most projects, the appropriate evaluation protocol is to verify installation and proper selection of default values. For projects using customer-specific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782EB21F" w14:textId="77777777" w:rsidR="004E6452" w:rsidRPr="001570EA" w:rsidRDefault="004E6452" w:rsidP="004E6452"/>
    <w:p w14:paraId="32744726" w14:textId="77777777" w:rsidR="004E6452" w:rsidRPr="001570EA" w:rsidRDefault="004E6452" w:rsidP="004E6452">
      <w:pPr>
        <w:pStyle w:val="SubStyle"/>
      </w:pPr>
      <w:r w:rsidRPr="001570EA">
        <w:t>Sources</w:t>
      </w:r>
    </w:p>
    <w:p w14:paraId="31DA4842" w14:textId="20472EE5" w:rsidR="004E6452" w:rsidRPr="001570EA" w:rsidRDefault="004E6452" w:rsidP="006D787B">
      <w:pPr>
        <w:pStyle w:val="ListParagraph"/>
        <w:numPr>
          <w:ilvl w:val="0"/>
          <w:numId w:val="67"/>
        </w:numPr>
        <w:overflowPunct/>
        <w:autoSpaceDE/>
        <w:autoSpaceDN/>
        <w:adjustRightInd/>
        <w:spacing w:after="120"/>
        <w:ind w:left="360"/>
        <w:jc w:val="left"/>
        <w:textAlignment w:val="auto"/>
        <w:rPr>
          <w:rFonts w:eastAsiaTheme="minorHAnsi" w:cs="Arial"/>
        </w:rPr>
      </w:pPr>
      <w:r w:rsidRPr="001570EA">
        <w:rPr>
          <w:rFonts w:cs="Arial"/>
          <w:color w:val="000000"/>
        </w:rPr>
        <w:t xml:space="preserve">California Electronic Technical Reference Manual. “Refrigerator Recycling”. Accessed December 2023. </w:t>
      </w:r>
      <w:hyperlink r:id="rId248" w:history="1">
        <w:r w:rsidRPr="001570EA">
          <w:rPr>
            <w:rStyle w:val="Hyperlink"/>
            <w:rFonts w:cs="Arial"/>
          </w:rPr>
          <w:t>Weblink</w:t>
        </w:r>
      </w:hyperlink>
    </w:p>
    <w:p w14:paraId="1E12E272" w14:textId="2D97B931" w:rsidR="004E6452" w:rsidRPr="001570EA" w:rsidRDefault="004E6452" w:rsidP="006D787B">
      <w:pPr>
        <w:pStyle w:val="ListParagraph"/>
        <w:numPr>
          <w:ilvl w:val="0"/>
          <w:numId w:val="67"/>
        </w:numPr>
        <w:overflowPunct/>
        <w:autoSpaceDE/>
        <w:autoSpaceDN/>
        <w:adjustRightInd/>
        <w:spacing w:after="120"/>
        <w:ind w:left="360"/>
        <w:jc w:val="left"/>
        <w:textAlignment w:val="auto"/>
        <w:rPr>
          <w:rFonts w:eastAsiaTheme="minorHAnsi" w:cs="Arial"/>
        </w:rPr>
      </w:pPr>
      <w:r w:rsidRPr="001570EA">
        <w:rPr>
          <w:rFonts w:eastAsiaTheme="minorHAnsi" w:cs="Arial"/>
        </w:rPr>
        <w:t xml:space="preserve">SWE analysis of 143 wine chiller models in historic records (dated 2002–2013) of the California Energy Commission’s Modernized Appliance Efficiency Database System, including 116 compact models and 27 standard models. </w:t>
      </w:r>
      <w:hyperlink r:id="rId249" w:history="1">
        <w:r w:rsidRPr="001570EA">
          <w:rPr>
            <w:rStyle w:val="Hyperlink"/>
            <w:rFonts w:eastAsiaTheme="minorHAnsi" w:cs="Arial"/>
          </w:rPr>
          <w:t>Weblink</w:t>
        </w:r>
      </w:hyperlink>
    </w:p>
    <w:p w14:paraId="5585FA6B" w14:textId="42BF2991" w:rsidR="004E6452" w:rsidRPr="001570EA" w:rsidRDefault="004E6452" w:rsidP="006D787B">
      <w:pPr>
        <w:pStyle w:val="ListParagraph"/>
        <w:numPr>
          <w:ilvl w:val="0"/>
          <w:numId w:val="67"/>
        </w:numPr>
        <w:spacing w:after="120"/>
        <w:ind w:left="360"/>
        <w:jc w:val="left"/>
      </w:pPr>
      <w:r w:rsidRPr="001570EA">
        <w:rPr>
          <w:rFonts w:cs="Arial"/>
          <w:color w:val="000000"/>
        </w:rPr>
        <w:t xml:space="preserve">California Energy Commission 2015 Appliance Efficiency Regulations, Effective 2002. Accessed 7/7/2022. </w:t>
      </w:r>
      <w:hyperlink r:id="rId250" w:history="1">
        <w:r w:rsidRPr="001570EA">
          <w:rPr>
            <w:rStyle w:val="Hyperlink"/>
            <w:rFonts w:cs="Arial"/>
          </w:rPr>
          <w:t>Weblink</w:t>
        </w:r>
      </w:hyperlink>
      <w:r w:rsidRPr="001570EA">
        <w:rPr>
          <w:rFonts w:cs="Arial"/>
          <w:color w:val="000000"/>
        </w:rPr>
        <w:t xml:space="preserve"> </w:t>
      </w:r>
    </w:p>
    <w:p w14:paraId="0FE4ADE5" w14:textId="399FC7A4" w:rsidR="004E6452" w:rsidRPr="001570EA" w:rsidRDefault="004E6452" w:rsidP="006D787B">
      <w:pPr>
        <w:pStyle w:val="ListParagraph"/>
        <w:numPr>
          <w:ilvl w:val="0"/>
          <w:numId w:val="67"/>
        </w:numPr>
        <w:ind w:left="360"/>
        <w:rPr>
          <w:rFonts w:cs="Arial"/>
        </w:rPr>
      </w:pPr>
      <w:r w:rsidRPr="001570EA">
        <w:t xml:space="preserve">Keeling, J., Bruchs, D. (2017). "Chapter 7: Refrigerator Recycling Evaluation Protocol. The Uniform Methods Project: Methods for Determining Energy-Efficiency Savings for Specific Measures". Section 4.4. National Renewable Energy Laboratory. </w:t>
      </w:r>
      <w:hyperlink r:id="rId251" w:history="1">
        <w:r w:rsidRPr="001570EA">
          <w:rPr>
            <w:rStyle w:val="Hyperlink"/>
            <w:rFonts w:cs="Arial"/>
          </w:rPr>
          <w:t>Weblink</w:t>
        </w:r>
      </w:hyperlink>
    </w:p>
    <w:p w14:paraId="52EFE78F" w14:textId="77777777" w:rsidR="004E6452" w:rsidRPr="001570EA" w:rsidRDefault="004E6452" w:rsidP="006D787B">
      <w:pPr>
        <w:pStyle w:val="ListParagraph"/>
        <w:numPr>
          <w:ilvl w:val="0"/>
          <w:numId w:val="67"/>
        </w:numPr>
        <w:overflowPunct/>
        <w:autoSpaceDE/>
        <w:autoSpaceDN/>
        <w:adjustRightInd/>
        <w:spacing w:after="120"/>
        <w:ind w:left="360"/>
        <w:textAlignment w:val="auto"/>
      </w:pPr>
      <w:r w:rsidRPr="001570EA">
        <w:t>Based on a Cadmus survey of 510 PPL participants in PY8.</w:t>
      </w:r>
    </w:p>
    <w:p w14:paraId="589329B9" w14:textId="3455A621" w:rsidR="004E6452" w:rsidRPr="001570EA" w:rsidRDefault="004E6452" w:rsidP="006D787B">
      <w:pPr>
        <w:pStyle w:val="ListParagraph"/>
        <w:numPr>
          <w:ilvl w:val="0"/>
          <w:numId w:val="67"/>
        </w:numPr>
        <w:overflowPunct/>
        <w:autoSpaceDE/>
        <w:autoSpaceDN/>
        <w:adjustRightInd/>
        <w:spacing w:after="120"/>
        <w:ind w:left="360"/>
        <w:jc w:val="left"/>
        <w:textAlignment w:val="auto"/>
        <w:rPr>
          <w:rFonts w:cs="Arial"/>
        </w:rPr>
      </w:pPr>
      <w:r w:rsidRPr="001570EA">
        <w:rPr>
          <w:rFonts w:cs="Arial"/>
        </w:rPr>
        <w:t xml:space="preserve">Wilson et al. 2021. End-Use Load Profiles for the U.S. Building Stock: Methodology and Results of Model Calibration, Validation, and Uncertainty Quantification. NREL/TP-5500-80889. </w:t>
      </w:r>
      <w:hyperlink r:id="rId252" w:history="1">
        <w:r w:rsidRPr="001570EA">
          <w:rPr>
            <w:rStyle w:val="Hyperlink"/>
            <w:rFonts w:cs="Arial"/>
          </w:rPr>
          <w:t>Weblink</w:t>
        </w:r>
      </w:hyperlink>
      <w:r w:rsidRPr="001570EA">
        <w:rPr>
          <w:rFonts w:cs="Arial"/>
        </w:rPr>
        <w:t xml:space="preserve">  </w:t>
      </w:r>
    </w:p>
    <w:p w14:paraId="20B470B5" w14:textId="3FB58128" w:rsidR="004E6452" w:rsidRPr="001570EA" w:rsidRDefault="004E6452" w:rsidP="006D787B">
      <w:pPr>
        <w:pStyle w:val="ListParagraph"/>
        <w:numPr>
          <w:ilvl w:val="0"/>
          <w:numId w:val="67"/>
        </w:numPr>
        <w:spacing w:after="120"/>
        <w:ind w:left="360"/>
      </w:pPr>
      <w:r w:rsidRPr="001570EA">
        <w:rPr>
          <w:rFonts w:eastAsiaTheme="minorHAnsi" w:cs="Arial"/>
        </w:rPr>
        <w:t xml:space="preserve">10 CFR 430.32(aa) </w:t>
      </w:r>
      <w:hyperlink r:id="rId253" w:anchor="p-430.32(aa)" w:history="1">
        <w:r w:rsidRPr="001570EA">
          <w:rPr>
            <w:rStyle w:val="Hyperlink"/>
          </w:rPr>
          <w:t>Weblink</w:t>
        </w:r>
      </w:hyperlink>
    </w:p>
    <w:p w14:paraId="455482B5" w14:textId="00BA5B16" w:rsidR="004E6452" w:rsidRPr="001570EA" w:rsidRDefault="004E6452" w:rsidP="006D787B">
      <w:pPr>
        <w:pStyle w:val="ListParagraph"/>
        <w:numPr>
          <w:ilvl w:val="0"/>
          <w:numId w:val="67"/>
        </w:numPr>
        <w:spacing w:after="120"/>
        <w:ind w:left="360"/>
      </w:pPr>
      <w:r w:rsidRPr="001570EA">
        <w:t xml:space="preserve">Seiden, K., Bruchs, D., Peters, J., Moran, D., Burdick, M. (2006, July). “2004–2005 Final Report: A Measurement and Evaluation Study of the 2004-2005 Limited Income Refrigerator Replacement &amp; Lighting Program”. </w:t>
      </w:r>
      <w:hyperlink r:id="rId254" w:history="1">
        <w:r w:rsidRPr="001570EA">
          <w:rPr>
            <w:rStyle w:val="Hyperlink"/>
            <w:rFonts w:cs="Arial"/>
          </w:rPr>
          <w:t>Weblink</w:t>
        </w:r>
      </w:hyperlink>
    </w:p>
    <w:p w14:paraId="56272102" w14:textId="77777777" w:rsidR="004E6452" w:rsidRPr="001570EA" w:rsidRDefault="004E6452" w:rsidP="006D787B">
      <w:pPr>
        <w:pStyle w:val="ListParagraph"/>
        <w:numPr>
          <w:ilvl w:val="0"/>
          <w:numId w:val="67"/>
        </w:numPr>
        <w:overflowPunct/>
        <w:autoSpaceDE/>
        <w:autoSpaceDN/>
        <w:adjustRightInd/>
        <w:spacing w:after="120"/>
        <w:ind w:left="360"/>
        <w:jc w:val="left"/>
        <w:textAlignment w:val="auto"/>
        <w:rPr>
          <w:rFonts w:eastAsiaTheme="minorHAnsi" w:cs="Arial"/>
        </w:rPr>
      </w:pPr>
      <w:r w:rsidRPr="001570EA">
        <w:rPr>
          <w:rFonts w:eastAsiaTheme="minorHAnsi" w:cs="Arial"/>
        </w:rPr>
        <w:t>SWE analysis of 591 cooler models from EPA and DOE records, including 482 compact models (82% class 3, 9% class C-13A, 6% class 1) and 109 standard models (80% class 4, 17% class 2).</w:t>
      </w:r>
    </w:p>
    <w:p w14:paraId="362A3FF7" w14:textId="5B8B2BCD" w:rsidR="004E6452" w:rsidRPr="001570EA" w:rsidRDefault="004E6452" w:rsidP="006D787B">
      <w:pPr>
        <w:pStyle w:val="ListParagraph"/>
        <w:numPr>
          <w:ilvl w:val="1"/>
          <w:numId w:val="67"/>
        </w:numPr>
        <w:spacing w:after="120"/>
        <w:ind w:left="720"/>
        <w:jc w:val="left"/>
        <w:rPr>
          <w:rFonts w:eastAsiaTheme="minorHAnsi" w:cs="Arial"/>
        </w:rPr>
      </w:pPr>
      <w:r w:rsidRPr="001570EA">
        <w:rPr>
          <w:rFonts w:eastAsiaTheme="minorHAnsi" w:cs="Arial"/>
        </w:rPr>
        <w:t xml:space="preserve">DOE Compliance Certificate Database. Accessed July 2022. </w:t>
      </w:r>
      <w:hyperlink r:id="rId255" w:history="1">
        <w:r w:rsidRPr="001570EA">
          <w:rPr>
            <w:rStyle w:val="Hyperlink"/>
            <w:rFonts w:eastAsiaTheme="minorHAnsi" w:cs="Arial"/>
          </w:rPr>
          <w:t>Weblink</w:t>
        </w:r>
      </w:hyperlink>
      <w:r w:rsidRPr="001570EA">
        <w:rPr>
          <w:rFonts w:eastAsiaTheme="minorHAnsi" w:cs="Arial"/>
        </w:rPr>
        <w:t xml:space="preserve"> </w:t>
      </w:r>
    </w:p>
    <w:p w14:paraId="0DE4B256" w14:textId="218D2ACB" w:rsidR="004E6452" w:rsidRPr="001570EA" w:rsidRDefault="004E6452" w:rsidP="006D787B">
      <w:pPr>
        <w:pStyle w:val="ListParagraph"/>
        <w:numPr>
          <w:ilvl w:val="1"/>
          <w:numId w:val="67"/>
        </w:numPr>
        <w:spacing w:after="120"/>
        <w:ind w:left="720"/>
        <w:jc w:val="left"/>
        <w:rPr>
          <w:rFonts w:eastAsiaTheme="minorHAnsi" w:cs="Arial"/>
        </w:rPr>
      </w:pPr>
      <w:r w:rsidRPr="001570EA">
        <w:rPr>
          <w:rFonts w:eastAsiaTheme="minorHAnsi" w:cs="Arial"/>
        </w:rPr>
        <w:t xml:space="preserve">ENERGY STAR-certified refrigerators. Accessed July 2022. </w:t>
      </w:r>
      <w:hyperlink r:id="rId256" w:history="1">
        <w:r w:rsidRPr="001570EA">
          <w:rPr>
            <w:rStyle w:val="Hyperlink"/>
            <w:rFonts w:eastAsiaTheme="minorHAnsi" w:cs="Arial"/>
          </w:rPr>
          <w:t>Weblink</w:t>
        </w:r>
      </w:hyperlink>
    </w:p>
    <w:p w14:paraId="199A4B49" w14:textId="50828658" w:rsidR="004E6452" w:rsidRPr="001570EA" w:rsidRDefault="004E6452" w:rsidP="006D787B">
      <w:pPr>
        <w:pStyle w:val="ListParagraph"/>
        <w:numPr>
          <w:ilvl w:val="0"/>
          <w:numId w:val="67"/>
        </w:numPr>
        <w:spacing w:after="120"/>
        <w:ind w:left="360"/>
        <w:jc w:val="left"/>
        <w:rPr>
          <w:rFonts w:eastAsiaTheme="minorHAnsi" w:cs="Arial"/>
        </w:rPr>
      </w:pPr>
      <w:r w:rsidRPr="001570EA">
        <w:rPr>
          <w:rFonts w:eastAsiaTheme="minorHAnsi"/>
        </w:rPr>
        <w:t xml:space="preserve"> </w:t>
      </w:r>
      <w:r w:rsidRPr="001570EA">
        <w:rPr>
          <w:rFonts w:eastAsiaTheme="minorHAnsi" w:cs="Arial"/>
        </w:rPr>
        <w:t xml:space="preserve">U.S. Census Bureau, 2017-2021 American Community Survey 5-Year Estimates. </w:t>
      </w:r>
      <w:hyperlink r:id="rId257" w:history="1">
        <w:r w:rsidRPr="001570EA">
          <w:rPr>
            <w:rStyle w:val="Hyperlink"/>
            <w:rFonts w:eastAsiaTheme="minorHAnsi" w:cs="Arial"/>
          </w:rPr>
          <w:t>Weblink</w:t>
        </w:r>
      </w:hyperlink>
      <w:r w:rsidRPr="001570EA">
        <w:rPr>
          <w:rFonts w:eastAsiaTheme="minorHAnsi" w:cs="Arial"/>
        </w:rPr>
        <w:t xml:space="preserve"> </w:t>
      </w:r>
    </w:p>
    <w:p w14:paraId="4F46F248" w14:textId="77777777" w:rsidR="004E6452" w:rsidRPr="001570EA" w:rsidRDefault="004E6452" w:rsidP="004E6452">
      <w:pPr>
        <w:pStyle w:val="ListParagraph"/>
      </w:pPr>
    </w:p>
    <w:p w14:paraId="55241B73" w14:textId="77777777" w:rsidR="007B09F4" w:rsidRPr="001570EA" w:rsidRDefault="004E6452" w:rsidP="00462D97">
      <w:pPr>
        <w:pStyle w:val="Heading3"/>
      </w:pPr>
      <w:r w:rsidRPr="001570EA">
        <w:br w:type="page"/>
      </w:r>
      <w:bookmarkStart w:id="580" w:name="_Toc164786666"/>
      <w:r w:rsidR="007B09F4" w:rsidRPr="001570EA">
        <w:t>Residential Induction Cooktop</w:t>
      </w:r>
      <w:bookmarkEnd w:id="580"/>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6"/>
        <w:gridCol w:w="4966"/>
      </w:tblGrid>
      <w:tr w:rsidR="007B09F4" w:rsidRPr="001570EA" w14:paraId="65F32046" w14:textId="77777777">
        <w:tc>
          <w:tcPr>
            <w:tcW w:w="354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653DEEA8" w14:textId="77777777" w:rsidR="007B09F4" w:rsidRPr="001570EA" w:rsidRDefault="007B09F4">
            <w:pPr>
              <w:pStyle w:val="TableCell"/>
              <w:spacing w:before="60" w:after="60"/>
              <w:jc w:val="left"/>
              <w:rPr>
                <w:b/>
                <w:bCs/>
                <w:color w:val="000000"/>
              </w:rPr>
            </w:pPr>
            <w:r w:rsidRPr="001570EA">
              <w:rPr>
                <w:b/>
                <w:bCs/>
                <w:color w:val="000000"/>
              </w:rPr>
              <w:t>Target Sector</w:t>
            </w:r>
          </w:p>
        </w:tc>
        <w:tc>
          <w:tcPr>
            <w:tcW w:w="496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13F981BE" w14:textId="77777777" w:rsidR="007B09F4" w:rsidRPr="001570EA" w:rsidRDefault="007B09F4">
            <w:pPr>
              <w:pStyle w:val="TableCell"/>
              <w:spacing w:before="60" w:after="60"/>
              <w:jc w:val="center"/>
              <w:rPr>
                <w:color w:val="000000"/>
              </w:rPr>
            </w:pPr>
            <w:r w:rsidRPr="001570EA">
              <w:rPr>
                <w:color w:val="000000" w:themeColor="text1"/>
              </w:rPr>
              <w:t>Residential</w:t>
            </w:r>
          </w:p>
        </w:tc>
      </w:tr>
      <w:tr w:rsidR="007B09F4" w:rsidRPr="001570EA" w14:paraId="7277A8BD" w14:textId="77777777">
        <w:tc>
          <w:tcPr>
            <w:tcW w:w="354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vAlign w:val="center"/>
          </w:tcPr>
          <w:p w14:paraId="3B2A1DDB" w14:textId="77777777" w:rsidR="007B09F4" w:rsidRPr="001570EA" w:rsidRDefault="007B09F4">
            <w:pPr>
              <w:pStyle w:val="TableCell"/>
              <w:spacing w:before="60" w:after="60"/>
              <w:jc w:val="left"/>
              <w:rPr>
                <w:b/>
                <w:bCs/>
                <w:color w:val="000000"/>
              </w:rPr>
            </w:pPr>
            <w:r w:rsidRPr="001570EA">
              <w:rPr>
                <w:b/>
                <w:bCs/>
                <w:color w:val="000000"/>
              </w:rPr>
              <w:t>Measure Unit</w:t>
            </w:r>
          </w:p>
        </w:tc>
        <w:tc>
          <w:tcPr>
            <w:tcW w:w="496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59C84122" w14:textId="77777777" w:rsidR="007B09F4" w:rsidRPr="001570EA" w:rsidRDefault="007B09F4">
            <w:pPr>
              <w:pStyle w:val="TableCell"/>
              <w:spacing w:before="60" w:after="60"/>
              <w:jc w:val="center"/>
              <w:rPr>
                <w:color w:val="000000"/>
              </w:rPr>
            </w:pPr>
            <w:r w:rsidRPr="001570EA">
              <w:rPr>
                <w:color w:val="000000"/>
              </w:rPr>
              <w:t>Induction Cooktop</w:t>
            </w:r>
          </w:p>
        </w:tc>
      </w:tr>
      <w:tr w:rsidR="007B09F4" w:rsidRPr="001570EA" w14:paraId="306E04A6" w14:textId="77777777">
        <w:tc>
          <w:tcPr>
            <w:tcW w:w="354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7391505F" w14:textId="77777777" w:rsidR="007B09F4" w:rsidRPr="001570EA" w:rsidRDefault="007B09F4">
            <w:pPr>
              <w:pStyle w:val="TableCell"/>
              <w:spacing w:before="60" w:after="60"/>
              <w:jc w:val="left"/>
              <w:rPr>
                <w:b/>
                <w:bCs/>
                <w:color w:val="000000"/>
              </w:rPr>
            </w:pPr>
            <w:r w:rsidRPr="001570EA">
              <w:rPr>
                <w:b/>
                <w:bCs/>
                <w:color w:val="000000"/>
              </w:rPr>
              <w:t>Measure Life</w:t>
            </w:r>
          </w:p>
        </w:tc>
        <w:tc>
          <w:tcPr>
            <w:tcW w:w="496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28C53424" w14:textId="3FAF7A06" w:rsidR="007B09F4" w:rsidRPr="001570EA" w:rsidRDefault="007B09F4">
            <w:pPr>
              <w:pStyle w:val="TableCell"/>
              <w:spacing w:before="60" w:after="60"/>
              <w:jc w:val="center"/>
              <w:rPr>
                <w:color w:val="000000"/>
                <w:vertAlign w:val="superscript"/>
              </w:rPr>
            </w:pPr>
            <w:r w:rsidRPr="001570EA">
              <w:rPr>
                <w:color w:val="000000"/>
              </w:rPr>
              <w:t>15 years</w:t>
            </w:r>
            <w:r w:rsidRPr="001570EA">
              <w:rPr>
                <w:color w:val="000000"/>
                <w:vertAlign w:val="superscript"/>
              </w:rPr>
              <w:t>Source 1</w:t>
            </w:r>
          </w:p>
        </w:tc>
      </w:tr>
      <w:tr w:rsidR="007B09F4" w:rsidRPr="001570EA" w14:paraId="6ADDF045" w14:textId="77777777">
        <w:tc>
          <w:tcPr>
            <w:tcW w:w="354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07B5174B" w14:textId="77777777" w:rsidR="007B09F4" w:rsidRPr="001570EA" w:rsidRDefault="007B09F4">
            <w:pPr>
              <w:pStyle w:val="TableCell"/>
              <w:spacing w:before="60" w:after="60"/>
              <w:jc w:val="left"/>
              <w:rPr>
                <w:b/>
                <w:bCs/>
                <w:color w:val="000000"/>
              </w:rPr>
            </w:pPr>
            <w:r w:rsidRPr="001570EA">
              <w:rPr>
                <w:b/>
                <w:bCs/>
                <w:color w:val="000000"/>
              </w:rPr>
              <w:t>Vintage</w:t>
            </w:r>
          </w:p>
        </w:tc>
        <w:tc>
          <w:tcPr>
            <w:tcW w:w="496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94B5A8F" w14:textId="77777777" w:rsidR="007B09F4" w:rsidRPr="001570EA" w:rsidRDefault="007B09F4">
            <w:pPr>
              <w:pStyle w:val="TableCell"/>
              <w:spacing w:before="60" w:after="60"/>
              <w:jc w:val="center"/>
              <w:rPr>
                <w:color w:val="000000"/>
              </w:rPr>
            </w:pPr>
            <w:r w:rsidRPr="001570EA">
              <w:rPr>
                <w:color w:val="000000"/>
              </w:rPr>
              <w:t>Retrofit, Replace on Burnout, or New Construction</w:t>
            </w:r>
          </w:p>
        </w:tc>
      </w:tr>
    </w:tbl>
    <w:p w14:paraId="3A4F4670" w14:textId="77777777" w:rsidR="007B09F4" w:rsidRPr="001570EA" w:rsidRDefault="007B09F4" w:rsidP="007B09F4">
      <w:pPr>
        <w:pStyle w:val="BodyText"/>
        <w:ind w:right="0"/>
        <w:rPr>
          <w:rFonts w:eastAsia="Calibri"/>
        </w:rPr>
      </w:pPr>
    </w:p>
    <w:p w14:paraId="0E4E02AB" w14:textId="77777777" w:rsidR="007B09F4" w:rsidRPr="001570EA" w:rsidRDefault="007B09F4" w:rsidP="007B09F4">
      <w:pPr>
        <w:pStyle w:val="SubStyle"/>
      </w:pPr>
      <w:r w:rsidRPr="001570EA">
        <w:t>Eligibility</w:t>
      </w:r>
    </w:p>
    <w:p w14:paraId="61C914A3" w14:textId="77777777" w:rsidR="007B09F4" w:rsidRPr="001570EA" w:rsidRDefault="007B09F4" w:rsidP="007B09F4">
      <w:pPr>
        <w:pStyle w:val="BodyText"/>
        <w:rPr>
          <w:rFonts w:eastAsia="Calibri"/>
        </w:rPr>
      </w:pPr>
      <w:r w:rsidRPr="001570EA">
        <w:rPr>
          <w:rFonts w:eastAsia="Calibri"/>
        </w:rPr>
        <w:t>Electric induction cooktops are either a freestanding cooktop that heats cooking vessels using electrical induction or a range with an electric resistance oven and an electric induction cooktop. Electric induction cooktops save energy by heating the cookware directly as opposed to the surface of the range as seen in traditional electric resistance cooktops.</w:t>
      </w:r>
    </w:p>
    <w:p w14:paraId="7A29AC18" w14:textId="77777777" w:rsidR="007B09F4" w:rsidRPr="001570EA" w:rsidRDefault="007B09F4" w:rsidP="007B09F4">
      <w:pPr>
        <w:pStyle w:val="BodyText"/>
        <w:ind w:right="0"/>
        <w:rPr>
          <w:rFonts w:eastAsia="Calibri"/>
        </w:rPr>
      </w:pPr>
    </w:p>
    <w:p w14:paraId="2BBC10BA" w14:textId="77777777" w:rsidR="007B09F4" w:rsidRPr="001570EA" w:rsidRDefault="007B09F4" w:rsidP="007B09F4">
      <w:pPr>
        <w:pStyle w:val="BodyText"/>
        <w:ind w:right="0"/>
      </w:pPr>
      <w:r w:rsidRPr="001570EA">
        <w:rPr>
          <w:rFonts w:eastAsia="Calibri"/>
        </w:rPr>
        <w:t>Electric induction cooktops may replace electric ovens with electric resistance cooktops or freestanding electric resistance cooktops.</w:t>
      </w:r>
    </w:p>
    <w:p w14:paraId="68DA7AB9" w14:textId="77777777" w:rsidR="007B09F4" w:rsidRPr="001570EA" w:rsidRDefault="007B09F4" w:rsidP="007B09F4"/>
    <w:p w14:paraId="20A2EC2B" w14:textId="77777777" w:rsidR="007B09F4" w:rsidRPr="001570EA" w:rsidRDefault="007B09F4" w:rsidP="007B09F4">
      <w:pPr>
        <w:pStyle w:val="SubStyle"/>
      </w:pPr>
      <w:r w:rsidRPr="001570EA">
        <w:t>Algorithms</w:t>
      </w:r>
    </w:p>
    <w:p w14:paraId="254AE2BF" w14:textId="77777777" w:rsidR="007B09F4" w:rsidRPr="001570EA" w:rsidRDefault="007B09F4" w:rsidP="007B09F4">
      <w:pPr>
        <w:pStyle w:val="Equation"/>
        <w:tabs>
          <w:tab w:val="left" w:pos="2160"/>
        </w:tabs>
        <w:ind w:left="0" w:firstLine="0"/>
        <w:rPr>
          <w:rFonts w:cs="Arial"/>
          <w:i w:val="0"/>
          <w:iCs/>
          <w:szCs w:val="20"/>
        </w:rPr>
      </w:pPr>
      <w:r w:rsidRPr="001570EA">
        <w:rPr>
          <w:rFonts w:cs="Arial"/>
          <w:i w:val="0"/>
          <w:szCs w:val="20"/>
        </w:rPr>
        <w:t>Total savings are calculated based on the increased cooking efficiency of an electric induction cooktop over an existing electric resistance cooktop. Cooking efficiency is defined as the ratio of energy absorbed by the object being heated (food, water, etc.) and the energy consumed by the appliance.</w:t>
      </w:r>
    </w:p>
    <w:p w14:paraId="44E98AE9" w14:textId="77777777" w:rsidR="007B09F4" w:rsidRPr="001570EA" w:rsidRDefault="007B09F4" w:rsidP="007B09F4">
      <w:pPr>
        <w:pStyle w:val="Equation"/>
        <w:tabs>
          <w:tab w:val="clear" w:pos="2880"/>
          <w:tab w:val="left" w:pos="2160"/>
        </w:tabs>
        <w:rPr>
          <w:rFonts w:cs="Arial"/>
          <w:szCs w:val="20"/>
        </w:rPr>
      </w:pPr>
    </w:p>
    <w:p w14:paraId="4E82D819" w14:textId="77777777" w:rsidR="007B09F4" w:rsidRPr="001570EA" w:rsidRDefault="007B09F4" w:rsidP="007B09F4">
      <w:pPr>
        <w:pStyle w:val="Equation"/>
        <w:tabs>
          <w:tab w:val="clear" w:pos="720"/>
          <w:tab w:val="clear" w:pos="2880"/>
          <w:tab w:val="left" w:pos="2160"/>
        </w:tabs>
      </w:pPr>
      <w:r w:rsidRPr="001570EA">
        <w:rPr>
          <w:rFonts w:ascii="Cambria Math" w:hAnsi="Cambria Math" w:cs="Arial"/>
          <w:szCs w:val="20"/>
        </w:rPr>
        <w:t>ΔkWh</w:t>
      </w:r>
      <w:r w:rsidRPr="001570EA">
        <w:rPr>
          <w:rFonts w:cs="Arial"/>
          <w:szCs w:val="20"/>
        </w:rPr>
        <w:tab/>
      </w:r>
      <m:oMath>
        <m:r>
          <w:rPr>
            <w:rFonts w:ascii="Cambria Math" w:hAnsi="Cambria Math"/>
          </w:rPr>
          <m:t>=(</m:t>
        </m:r>
        <m:sSub>
          <m:sSubPr>
            <m:ctrlPr>
              <w:rPr>
                <w:rFonts w:ascii="Cambria Math" w:hAnsi="Cambria Math"/>
              </w:rPr>
            </m:ctrlPr>
          </m:sSubPr>
          <m:e>
            <m:r>
              <w:rPr>
                <w:rFonts w:ascii="Cambria Math" w:hAnsi="Cambria Math"/>
              </w:rPr>
              <m:t>AEC</m:t>
            </m:r>
          </m:e>
          <m:sub>
            <m:r>
              <w:rPr>
                <w:rFonts w:ascii="Cambria Math" w:hAnsi="Cambria Math"/>
              </w:rPr>
              <m:t>base</m:t>
            </m:r>
          </m:sub>
        </m:sSub>
        <m:r>
          <w:rPr>
            <w:rFonts w:ascii="Cambria Math" w:hAnsi="Cambria Math"/>
          </w:rPr>
          <m:t>-</m:t>
        </m:r>
        <m:sSub>
          <m:sSubPr>
            <m:ctrlPr>
              <w:rPr>
                <w:rFonts w:ascii="Cambria Math" w:hAnsi="Cambria Math"/>
                <w:i w:val="0"/>
              </w:rPr>
            </m:ctrlPr>
          </m:sSubPr>
          <m:e>
            <m:r>
              <w:rPr>
                <w:rFonts w:ascii="Cambria Math" w:hAnsi="Cambria Math"/>
              </w:rPr>
              <m:t>AEC</m:t>
            </m:r>
          </m:e>
          <m:sub>
            <m:r>
              <w:rPr>
                <w:rFonts w:ascii="Cambria Math" w:hAnsi="Cambria Math"/>
              </w:rPr>
              <m:t>ee</m:t>
            </m:r>
          </m:sub>
        </m:sSub>
        <m:r>
          <w:rPr>
            <w:rFonts w:ascii="Cambria Math" w:hAnsi="Cambria Math"/>
          </w:rPr>
          <m:t>)×</m:t>
        </m:r>
        <m:sSub>
          <m:sSubPr>
            <m:ctrlPr>
              <w:rPr>
                <w:rFonts w:ascii="Cambria Math" w:hAnsi="Cambria Math"/>
              </w:rPr>
            </m:ctrlPr>
          </m:sSubPr>
          <m:e>
            <m:r>
              <w:rPr>
                <w:rFonts w:ascii="Cambria Math" w:hAnsi="Cambria Math"/>
              </w:rPr>
              <m:t>%</m:t>
            </m:r>
          </m:e>
          <m:sub>
            <m:r>
              <w:rPr>
                <w:rFonts w:ascii="Cambria Math" w:hAnsi="Cambria Math"/>
              </w:rPr>
              <m:t>elec</m:t>
            </m:r>
          </m:sub>
        </m:sSub>
      </m:oMath>
    </w:p>
    <w:p w14:paraId="0CA90D8E" w14:textId="77777777" w:rsidR="007B09F4" w:rsidRPr="001570EA" w:rsidRDefault="007B09F4" w:rsidP="007B09F4"/>
    <w:p w14:paraId="4C79A53A" w14:textId="77777777" w:rsidR="007B09F4" w:rsidRPr="001570EA" w:rsidRDefault="007B09F4" w:rsidP="007B09F4">
      <w:pPr>
        <w:pStyle w:val="Equation"/>
        <w:tabs>
          <w:tab w:val="clear" w:pos="720"/>
          <w:tab w:val="clear" w:pos="2880"/>
          <w:tab w:val="left" w:pos="2160"/>
        </w:tabs>
        <w:rPr>
          <w:rFonts w:cs="Arial"/>
          <w:lang w:val="es-ES"/>
        </w:rPr>
      </w:pPr>
      <w:r w:rsidRPr="001570EA">
        <w:rPr>
          <w:rFonts w:ascii="Cambria Math" w:hAnsi="Cambria Math" w:cs="Arial"/>
          <w:szCs w:val="20"/>
          <w:lang w:val="es-ES"/>
        </w:rPr>
        <w:t>AEC</w:t>
      </w:r>
      <w:r w:rsidRPr="001570EA">
        <w:rPr>
          <w:rFonts w:ascii="Cambria Math" w:hAnsi="Cambria Math" w:cs="Arial"/>
          <w:szCs w:val="20"/>
          <w:vertAlign w:val="subscript"/>
          <w:lang w:val="es-ES"/>
        </w:rPr>
        <w:t>base</w:t>
      </w:r>
      <w:r w:rsidRPr="001570EA">
        <w:rPr>
          <w:rFonts w:cs="Arial"/>
          <w:szCs w:val="20"/>
          <w:lang w:val="es-ES"/>
        </w:rPr>
        <w:tab/>
      </w:r>
      <m:oMath>
        <m:r>
          <w:rPr>
            <w:rFonts w:ascii="Cambria Math" w:hAnsi="Cambria Math"/>
            <w:lang w:val="es-ES"/>
          </w:rPr>
          <m:t>=</m:t>
        </m:r>
        <m:sSub>
          <m:sSubPr>
            <m:ctrlPr>
              <w:rPr>
                <w:rFonts w:ascii="Cambria Math" w:hAnsi="Cambria Math"/>
                <w:i w:val="0"/>
              </w:rPr>
            </m:ctrlPr>
          </m:sSubPr>
          <m:e>
            <m:r>
              <w:rPr>
                <w:rFonts w:ascii="Cambria Math" w:hAnsi="Cambria Math"/>
              </w:rPr>
              <m:t>AEC</m:t>
            </m:r>
          </m:e>
          <m:sub>
            <m:r>
              <w:rPr>
                <w:rFonts w:ascii="Cambria Math" w:hAnsi="Cambria Math"/>
              </w:rPr>
              <m:t>ee</m:t>
            </m:r>
          </m:sub>
        </m:sSub>
        <m:r>
          <w:rPr>
            <w:rFonts w:ascii="Cambria Math" w:hAnsi="Cambria Math"/>
            <w:lang w:val="es-ES"/>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Eff</m:t>
                    </m:r>
                  </m:e>
                  <m:sub>
                    <m:r>
                      <w:rPr>
                        <w:rFonts w:ascii="Cambria Math" w:hAnsi="Cambria Math"/>
                      </w:rPr>
                      <m:t>ee</m:t>
                    </m:r>
                  </m:sub>
                </m:sSub>
              </m:num>
              <m:den>
                <m:sSub>
                  <m:sSubPr>
                    <m:ctrlPr>
                      <w:rPr>
                        <w:rFonts w:ascii="Cambria Math" w:hAnsi="Cambria Math"/>
                      </w:rPr>
                    </m:ctrlPr>
                  </m:sSubPr>
                  <m:e>
                    <m:r>
                      <w:rPr>
                        <w:rFonts w:ascii="Cambria Math" w:hAnsi="Cambria Math"/>
                      </w:rPr>
                      <m:t>Eff</m:t>
                    </m:r>
                  </m:e>
                  <m:sub>
                    <m:r>
                      <w:rPr>
                        <w:rFonts w:ascii="Cambria Math" w:hAnsi="Cambria Math"/>
                      </w:rPr>
                      <m:t>base</m:t>
                    </m:r>
                  </m:sub>
                </m:sSub>
              </m:den>
            </m:f>
          </m:e>
        </m:d>
      </m:oMath>
    </w:p>
    <w:p w14:paraId="71C47517" w14:textId="77777777" w:rsidR="007B09F4" w:rsidRPr="001570EA" w:rsidRDefault="007B09F4" w:rsidP="007B09F4">
      <w:pPr>
        <w:pStyle w:val="Equation"/>
        <w:tabs>
          <w:tab w:val="clear" w:pos="720"/>
          <w:tab w:val="clear" w:pos="2880"/>
          <w:tab w:val="left" w:pos="2160"/>
        </w:tabs>
        <w:rPr>
          <w:rFonts w:cs="Arial"/>
          <w:lang w:val="es-ES"/>
        </w:rPr>
      </w:pPr>
    </w:p>
    <w:p w14:paraId="18CCD716" w14:textId="77777777" w:rsidR="007B09F4" w:rsidRPr="001570EA" w:rsidRDefault="007B09F4" w:rsidP="007B09F4">
      <w:pPr>
        <w:pStyle w:val="Equation"/>
        <w:tabs>
          <w:tab w:val="clear" w:pos="720"/>
          <w:tab w:val="clear" w:pos="2880"/>
          <w:tab w:val="left" w:pos="2160"/>
        </w:tabs>
        <w:rPr>
          <w:rFonts w:cs="Arial"/>
          <w:sz w:val="22"/>
          <w:szCs w:val="22"/>
        </w:rPr>
      </w:pPr>
      <w:r w:rsidRPr="001570EA">
        <w:rPr>
          <w:rFonts w:ascii="Cambria Math" w:hAnsi="Cambria Math" w:cs="Arial"/>
          <w:szCs w:val="20"/>
        </w:rPr>
        <w:t>ΔkW</w:t>
      </w:r>
      <w:r w:rsidRPr="001570EA">
        <w:rPr>
          <w:rFonts w:ascii="Cambria Math" w:hAnsi="Cambria Math" w:cs="Arial"/>
          <w:szCs w:val="20"/>
          <w:vertAlign w:val="subscript"/>
        </w:rPr>
        <w:t>summer peak</w:t>
      </w:r>
      <w:r w:rsidRPr="001570EA">
        <w:rPr>
          <w:rFonts w:cs="Arial"/>
          <w:szCs w:val="20"/>
        </w:rPr>
        <w:tab/>
      </w:r>
      <m:oMath>
        <m:r>
          <w:rPr>
            <w:rFonts w:ascii="Cambria Math" w:hAnsi="Cambria Math"/>
            <w:szCs w:val="20"/>
          </w:rPr>
          <m:t>=</m:t>
        </m:r>
        <m:r>
          <w:rPr>
            <w:rFonts w:ascii="Cambria Math" w:hAnsi="Cambria Math" w:cs="Arial"/>
            <w:szCs w:val="20"/>
          </w:rPr>
          <m:t>∆kWh</m:t>
        </m:r>
        <m:r>
          <w:rPr>
            <w:rFonts w:ascii="Cambria Math" w:hAnsi="Cambria Math"/>
            <w:szCs w:val="20"/>
          </w:rPr>
          <m:t>×</m:t>
        </m:r>
        <m:sSub>
          <m:sSubPr>
            <m:ctrlPr>
              <w:rPr>
                <w:rFonts w:ascii="Cambria Math" w:hAnsi="Cambria Math"/>
                <w:szCs w:val="20"/>
              </w:rPr>
            </m:ctrlPr>
          </m:sSubPr>
          <m:e>
            <m:r>
              <w:rPr>
                <w:rFonts w:ascii="Cambria Math" w:hAnsi="Cambria Math"/>
                <w:szCs w:val="20"/>
              </w:rPr>
              <m:t>ETDF</m:t>
            </m:r>
          </m:e>
          <m:sub>
            <m:r>
              <w:rPr>
                <w:rFonts w:ascii="Cambria Math" w:hAnsi="Cambria Math"/>
                <w:szCs w:val="20"/>
              </w:rPr>
              <m:t>s</m:t>
            </m:r>
          </m:sub>
        </m:sSub>
      </m:oMath>
    </w:p>
    <w:p w14:paraId="056437D8" w14:textId="77777777" w:rsidR="007B09F4" w:rsidRPr="001570EA" w:rsidRDefault="007B09F4" w:rsidP="007B09F4">
      <w:pPr>
        <w:pStyle w:val="Equation"/>
        <w:tabs>
          <w:tab w:val="clear" w:pos="720"/>
          <w:tab w:val="clear" w:pos="2880"/>
          <w:tab w:val="left" w:pos="2160"/>
        </w:tabs>
        <w:rPr>
          <w:rFonts w:cs="Arial"/>
          <w:sz w:val="22"/>
          <w:szCs w:val="22"/>
        </w:rPr>
      </w:pPr>
    </w:p>
    <w:p w14:paraId="70BF0C91" w14:textId="77777777" w:rsidR="007B09F4" w:rsidRPr="001570EA" w:rsidRDefault="007B09F4" w:rsidP="007B09F4">
      <w:pPr>
        <w:pStyle w:val="Equation"/>
        <w:tabs>
          <w:tab w:val="clear" w:pos="720"/>
          <w:tab w:val="clear" w:pos="2880"/>
          <w:tab w:val="left" w:pos="2160"/>
        </w:tabs>
      </w:pPr>
      <w:r w:rsidRPr="001570EA">
        <w:rPr>
          <w:rFonts w:ascii="Cambria Math" w:hAnsi="Cambria Math" w:cs="Arial"/>
          <w:szCs w:val="20"/>
        </w:rPr>
        <w:t>ΔkW</w:t>
      </w:r>
      <w:r w:rsidRPr="001570EA">
        <w:rPr>
          <w:rFonts w:ascii="Cambria Math" w:hAnsi="Cambria Math" w:cs="Arial"/>
          <w:szCs w:val="20"/>
          <w:vertAlign w:val="subscript"/>
        </w:rPr>
        <w:t>winter peak</w:t>
      </w:r>
      <w:r w:rsidRPr="001570EA">
        <w:rPr>
          <w:rFonts w:cs="Arial"/>
          <w:szCs w:val="20"/>
        </w:rPr>
        <w:tab/>
      </w:r>
      <m:oMath>
        <m:r>
          <w:rPr>
            <w:rFonts w:ascii="Cambria Math" w:hAnsi="Cambria Math"/>
            <w:szCs w:val="20"/>
          </w:rPr>
          <m:t>=</m:t>
        </m:r>
        <m:r>
          <w:rPr>
            <w:rFonts w:ascii="Cambria Math" w:hAnsi="Cambria Math" w:cs="Arial"/>
            <w:szCs w:val="20"/>
          </w:rPr>
          <m:t>∆kWh</m:t>
        </m:r>
        <m:r>
          <w:rPr>
            <w:rFonts w:ascii="Cambria Math" w:hAnsi="Cambria Math"/>
            <w:szCs w:val="20"/>
          </w:rPr>
          <m:t>×</m:t>
        </m:r>
        <m:sSub>
          <m:sSubPr>
            <m:ctrlPr>
              <w:rPr>
                <w:rFonts w:ascii="Cambria Math" w:hAnsi="Cambria Math"/>
                <w:szCs w:val="20"/>
              </w:rPr>
            </m:ctrlPr>
          </m:sSubPr>
          <m:e>
            <m:r>
              <w:rPr>
                <w:rFonts w:ascii="Cambria Math" w:hAnsi="Cambria Math"/>
                <w:szCs w:val="20"/>
              </w:rPr>
              <m:t>ETDF</m:t>
            </m:r>
          </m:e>
          <m:sub>
            <m:r>
              <w:rPr>
                <w:rFonts w:ascii="Cambria Math" w:hAnsi="Cambria Math"/>
                <w:szCs w:val="20"/>
              </w:rPr>
              <m:t>w</m:t>
            </m:r>
          </m:sub>
        </m:sSub>
      </m:oMath>
    </w:p>
    <w:p w14:paraId="6C52123B" w14:textId="77777777" w:rsidR="007B09F4" w:rsidRPr="001570EA" w:rsidRDefault="007B09F4" w:rsidP="007B09F4">
      <w:pPr>
        <w:pStyle w:val="Equation"/>
        <w:ind w:left="0" w:firstLine="0"/>
        <w:rPr>
          <w:i w:val="0"/>
        </w:rPr>
      </w:pPr>
    </w:p>
    <w:p w14:paraId="23924F81" w14:textId="77777777" w:rsidR="007B09F4" w:rsidRPr="001570EA" w:rsidRDefault="007B09F4" w:rsidP="007B09F4">
      <w:pPr>
        <w:pStyle w:val="SubStyle"/>
      </w:pPr>
      <w:r w:rsidRPr="001570EA">
        <w:t>Definition of Terms</w:t>
      </w:r>
    </w:p>
    <w:p w14:paraId="3F00DB42" w14:textId="37F9895F" w:rsidR="007B09F4" w:rsidRPr="001570EA" w:rsidRDefault="007B09F4" w:rsidP="007B09F4">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103</w:t>
      </w:r>
      <w:r w:rsidR="002E093A" w:rsidRPr="001570EA">
        <w:fldChar w:fldCharType="end"/>
      </w:r>
      <w:r w:rsidRPr="001570EA">
        <w:t>: Terms, Values, and References for Electric Induction Cooktops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10"/>
        <w:gridCol w:w="1165"/>
        <w:gridCol w:w="3122"/>
        <w:gridCol w:w="1833"/>
      </w:tblGrid>
      <w:tr w:rsidR="007B09F4" w:rsidRPr="001570EA" w14:paraId="20EA9EB2" w14:textId="77777777">
        <w:trPr>
          <w:trHeight w:val="20"/>
          <w:tblHeader/>
        </w:trPr>
        <w:tc>
          <w:tcPr>
            <w:tcW w:w="1454" w:type="pct"/>
            <w:shd w:val="clear" w:color="auto" w:fill="A6A6A6" w:themeFill="background1" w:themeFillShade="A6"/>
          </w:tcPr>
          <w:p w14:paraId="1EE85330" w14:textId="77777777" w:rsidR="007B09F4" w:rsidRPr="001570EA" w:rsidRDefault="007B09F4">
            <w:pPr>
              <w:pStyle w:val="TableCell"/>
              <w:keepNext w:val="0"/>
              <w:spacing w:before="60" w:after="60"/>
              <w:jc w:val="left"/>
              <w:rPr>
                <w:rFonts w:eastAsia="Calibri" w:cs="Arial"/>
                <w:b/>
                <w:szCs w:val="18"/>
              </w:rPr>
            </w:pPr>
            <w:r w:rsidRPr="001570EA">
              <w:rPr>
                <w:rFonts w:eastAsia="Calibri" w:cs="Arial"/>
                <w:b/>
                <w:szCs w:val="18"/>
              </w:rPr>
              <w:t>Term</w:t>
            </w:r>
          </w:p>
        </w:tc>
        <w:tc>
          <w:tcPr>
            <w:tcW w:w="675" w:type="pct"/>
            <w:shd w:val="clear" w:color="auto" w:fill="A6A6A6" w:themeFill="background1" w:themeFillShade="A6"/>
          </w:tcPr>
          <w:p w14:paraId="51CC149B" w14:textId="77777777" w:rsidR="007B09F4" w:rsidRPr="001570EA" w:rsidRDefault="007B09F4">
            <w:pPr>
              <w:pStyle w:val="TableCell"/>
              <w:keepNext w:val="0"/>
              <w:spacing w:before="60" w:after="60"/>
              <w:jc w:val="center"/>
              <w:rPr>
                <w:rFonts w:eastAsia="Calibri" w:cs="Arial"/>
                <w:b/>
                <w:szCs w:val="18"/>
              </w:rPr>
            </w:pPr>
            <w:r w:rsidRPr="001570EA">
              <w:rPr>
                <w:rFonts w:eastAsia="Calibri" w:cs="Arial"/>
                <w:b/>
                <w:szCs w:val="18"/>
              </w:rPr>
              <w:t>Unit</w:t>
            </w:r>
          </w:p>
        </w:tc>
        <w:tc>
          <w:tcPr>
            <w:tcW w:w="1809" w:type="pct"/>
            <w:shd w:val="clear" w:color="auto" w:fill="A6A6A6" w:themeFill="background1" w:themeFillShade="A6"/>
          </w:tcPr>
          <w:p w14:paraId="1D3F52AE" w14:textId="77777777" w:rsidR="007B09F4" w:rsidRPr="001570EA" w:rsidRDefault="007B09F4">
            <w:pPr>
              <w:pStyle w:val="TableCell"/>
              <w:keepNext w:val="0"/>
              <w:spacing w:before="60" w:after="60"/>
              <w:jc w:val="center"/>
              <w:rPr>
                <w:rFonts w:eastAsia="Calibri" w:cs="Arial"/>
                <w:b/>
                <w:szCs w:val="18"/>
              </w:rPr>
            </w:pPr>
            <w:r w:rsidRPr="001570EA">
              <w:rPr>
                <w:rFonts w:eastAsia="Calibri" w:cs="Arial"/>
                <w:b/>
                <w:szCs w:val="18"/>
              </w:rPr>
              <w:t>Value</w:t>
            </w:r>
          </w:p>
        </w:tc>
        <w:tc>
          <w:tcPr>
            <w:tcW w:w="1062" w:type="pct"/>
            <w:shd w:val="clear" w:color="auto" w:fill="A6A6A6" w:themeFill="background1" w:themeFillShade="A6"/>
          </w:tcPr>
          <w:p w14:paraId="2153A4EB" w14:textId="77777777" w:rsidR="007B09F4" w:rsidRPr="001570EA" w:rsidRDefault="007B09F4">
            <w:pPr>
              <w:pStyle w:val="TableCell"/>
              <w:keepNext w:val="0"/>
              <w:spacing w:before="60" w:after="60"/>
              <w:jc w:val="center"/>
              <w:rPr>
                <w:rFonts w:eastAsia="Calibri" w:cs="Arial"/>
                <w:b/>
                <w:szCs w:val="18"/>
              </w:rPr>
            </w:pPr>
            <w:r w:rsidRPr="001570EA">
              <w:rPr>
                <w:rFonts w:eastAsia="Calibri" w:cs="Arial"/>
                <w:b/>
                <w:szCs w:val="18"/>
              </w:rPr>
              <w:t>Sources</w:t>
            </w:r>
          </w:p>
        </w:tc>
      </w:tr>
      <w:tr w:rsidR="007B09F4" w:rsidRPr="001570EA" w14:paraId="11F9BD29" w14:textId="77777777">
        <w:trPr>
          <w:trHeight w:val="20"/>
        </w:trPr>
        <w:tc>
          <w:tcPr>
            <w:tcW w:w="1454" w:type="pct"/>
            <w:vMerge w:val="restart"/>
            <w:vAlign w:val="center"/>
          </w:tcPr>
          <w:p w14:paraId="63D6C58A" w14:textId="77777777" w:rsidR="007B09F4" w:rsidRPr="001570EA" w:rsidRDefault="007B09F4">
            <w:pPr>
              <w:pStyle w:val="TableCell"/>
              <w:keepNext w:val="0"/>
              <w:spacing w:before="60" w:after="60"/>
              <w:jc w:val="left"/>
              <w:rPr>
                <w:rFonts w:eastAsia="Calibri" w:cs="Arial"/>
                <w:szCs w:val="18"/>
              </w:rPr>
            </w:pPr>
            <w:r w:rsidRPr="001570EA">
              <w:rPr>
                <w:rFonts w:eastAsia="Calibri" w:cs="Arial"/>
                <w:i/>
                <w:szCs w:val="18"/>
              </w:rPr>
              <w:t>AEC</w:t>
            </w:r>
            <w:r w:rsidRPr="001570EA">
              <w:rPr>
                <w:rFonts w:eastAsia="Calibri" w:cs="Arial"/>
                <w:i/>
                <w:szCs w:val="18"/>
                <w:vertAlign w:val="subscript"/>
              </w:rPr>
              <w:t>base</w:t>
            </w:r>
            <w:r w:rsidRPr="001570EA">
              <w:rPr>
                <w:rFonts w:eastAsia="Calibri" w:cs="Arial"/>
                <w:szCs w:val="18"/>
              </w:rPr>
              <w:t>, Annual Energy Consumption of a baseline electric cooktop</w:t>
            </w:r>
          </w:p>
        </w:tc>
        <w:tc>
          <w:tcPr>
            <w:tcW w:w="675" w:type="pct"/>
            <w:vMerge w:val="restart"/>
            <w:vAlign w:val="center"/>
          </w:tcPr>
          <w:p w14:paraId="416525C9" w14:textId="77777777" w:rsidR="007B09F4" w:rsidRPr="001570EA" w:rsidRDefault="003B5E04">
            <w:pPr>
              <w:pStyle w:val="TableCell"/>
              <w:keepNext w:val="0"/>
              <w:spacing w:before="60" w:after="60"/>
              <w:jc w:val="center"/>
              <w:rPr>
                <w:rFonts w:eastAsia="Calibri" w:cs="Arial"/>
                <w:i/>
                <w:szCs w:val="18"/>
              </w:rPr>
            </w:pPr>
            <m:oMathPara>
              <m:oMath>
                <m:f>
                  <m:fPr>
                    <m:ctrlPr>
                      <w:rPr>
                        <w:rFonts w:ascii="Cambria Math" w:hAnsi="Cambria Math" w:cs="Arial"/>
                        <w:i/>
                      </w:rPr>
                    </m:ctrlPr>
                  </m:fPr>
                  <m:num>
                    <m:r>
                      <w:rPr>
                        <w:rFonts w:ascii="Cambria Math" w:hAnsi="Cambria Math" w:cs="Arial"/>
                      </w:rPr>
                      <m:t>kWh</m:t>
                    </m:r>
                  </m:num>
                  <m:den>
                    <m:r>
                      <w:rPr>
                        <w:rFonts w:ascii="Cambria Math" w:hAnsi="Cambria Math" w:cs="Arial"/>
                      </w:rPr>
                      <m:t>yr</m:t>
                    </m:r>
                  </m:den>
                </m:f>
              </m:oMath>
            </m:oMathPara>
          </w:p>
        </w:tc>
        <w:tc>
          <w:tcPr>
            <w:tcW w:w="1809" w:type="pct"/>
          </w:tcPr>
          <w:p w14:paraId="60676403" w14:textId="77777777" w:rsidR="007B09F4" w:rsidRPr="001570EA" w:rsidRDefault="007B09F4">
            <w:pPr>
              <w:pStyle w:val="TableCell"/>
              <w:keepNext w:val="0"/>
              <w:spacing w:before="60" w:after="60"/>
              <w:jc w:val="center"/>
            </w:pPr>
            <w:r w:rsidRPr="001570EA">
              <w:t>EDC Data Gathering of</w:t>
            </w:r>
          </w:p>
          <w:p w14:paraId="7974B8AE" w14:textId="77777777" w:rsidR="007B09F4" w:rsidRPr="001570EA" w:rsidRDefault="007B09F4">
            <w:pPr>
              <w:pStyle w:val="TableCell"/>
              <w:keepNext w:val="0"/>
              <w:spacing w:before="60" w:after="60"/>
              <w:jc w:val="center"/>
              <w:rPr>
                <w:rFonts w:eastAsia="Calibri" w:cs="Arial"/>
                <w:szCs w:val="18"/>
              </w:rPr>
            </w:pPr>
            <w:r w:rsidRPr="001570EA">
              <w:rPr>
                <w:rFonts w:eastAsia="Calibri" w:cs="Arial"/>
                <w:szCs w:val="18"/>
              </w:rPr>
              <w:t>Nameplate data</w:t>
            </w:r>
          </w:p>
        </w:tc>
        <w:tc>
          <w:tcPr>
            <w:tcW w:w="1062" w:type="pct"/>
          </w:tcPr>
          <w:p w14:paraId="0DDDD324" w14:textId="77777777" w:rsidR="007B09F4" w:rsidRPr="001570EA" w:rsidRDefault="007B09F4">
            <w:pPr>
              <w:pStyle w:val="TableCell"/>
              <w:keepNext w:val="0"/>
              <w:spacing w:before="60" w:after="60"/>
              <w:jc w:val="center"/>
              <w:rPr>
                <w:rFonts w:eastAsia="Calibri" w:cs="Arial"/>
                <w:szCs w:val="18"/>
              </w:rPr>
            </w:pPr>
            <w:r w:rsidRPr="001570EA">
              <w:rPr>
                <w:rFonts w:eastAsia="Calibri" w:cs="Arial"/>
                <w:szCs w:val="18"/>
              </w:rPr>
              <w:t>EDC Data Gathering</w:t>
            </w:r>
          </w:p>
        </w:tc>
      </w:tr>
      <w:tr w:rsidR="007B09F4" w:rsidRPr="001570EA" w14:paraId="1DFA3689" w14:textId="77777777">
        <w:trPr>
          <w:trHeight w:val="20"/>
        </w:trPr>
        <w:tc>
          <w:tcPr>
            <w:tcW w:w="1454" w:type="pct"/>
            <w:vMerge/>
            <w:vAlign w:val="center"/>
          </w:tcPr>
          <w:p w14:paraId="34DA8066" w14:textId="77777777" w:rsidR="007B09F4" w:rsidRPr="001570EA" w:rsidRDefault="007B09F4">
            <w:pPr>
              <w:pStyle w:val="TableCell"/>
              <w:keepNext w:val="0"/>
              <w:spacing w:before="60" w:after="60"/>
              <w:jc w:val="left"/>
              <w:rPr>
                <w:rFonts w:eastAsia="Calibri" w:cs="Arial"/>
                <w:szCs w:val="18"/>
              </w:rPr>
            </w:pPr>
          </w:p>
        </w:tc>
        <w:tc>
          <w:tcPr>
            <w:tcW w:w="675" w:type="pct"/>
            <w:vMerge/>
            <w:vAlign w:val="center"/>
          </w:tcPr>
          <w:p w14:paraId="3D7C8CDE" w14:textId="77777777" w:rsidR="007B09F4" w:rsidRPr="001570EA" w:rsidRDefault="007B09F4">
            <w:pPr>
              <w:pStyle w:val="TableCell"/>
              <w:keepNext w:val="0"/>
              <w:spacing w:before="60" w:after="60"/>
              <w:jc w:val="center"/>
              <w:rPr>
                <w:rFonts w:eastAsia="Calibri" w:cs="Arial"/>
                <w:i/>
                <w:szCs w:val="18"/>
              </w:rPr>
            </w:pPr>
          </w:p>
        </w:tc>
        <w:tc>
          <w:tcPr>
            <w:tcW w:w="1809" w:type="pct"/>
          </w:tcPr>
          <w:p w14:paraId="6E34E2E2" w14:textId="77777777" w:rsidR="007B09F4" w:rsidRPr="001570EA" w:rsidRDefault="007B09F4">
            <w:pPr>
              <w:pStyle w:val="TableCell"/>
              <w:keepNext w:val="0"/>
              <w:spacing w:before="60" w:after="60"/>
              <w:jc w:val="center"/>
              <w:rPr>
                <w:rFonts w:eastAsia="Calibri" w:cs="Arial"/>
                <w:szCs w:val="18"/>
              </w:rPr>
            </w:pPr>
            <w:r w:rsidRPr="001570EA">
              <w:rPr>
                <w:rFonts w:eastAsia="Calibri" w:cs="Arial"/>
                <w:szCs w:val="18"/>
              </w:rPr>
              <w:t>Default = 209</w:t>
            </w:r>
          </w:p>
        </w:tc>
        <w:tc>
          <w:tcPr>
            <w:tcW w:w="1062" w:type="pct"/>
          </w:tcPr>
          <w:p w14:paraId="7DF0E7D1" w14:textId="77777777" w:rsidR="007B09F4" w:rsidRPr="001570EA" w:rsidRDefault="007B09F4">
            <w:pPr>
              <w:pStyle w:val="TableCell"/>
              <w:keepNext w:val="0"/>
              <w:spacing w:before="60" w:after="60"/>
              <w:jc w:val="center"/>
              <w:rPr>
                <w:rFonts w:eastAsia="Calibri" w:cs="Arial"/>
                <w:szCs w:val="18"/>
              </w:rPr>
            </w:pPr>
            <w:r w:rsidRPr="001570EA">
              <w:rPr>
                <w:rFonts w:eastAsia="Calibri" w:cs="Arial"/>
                <w:szCs w:val="18"/>
              </w:rPr>
              <w:t>Calculated</w:t>
            </w:r>
          </w:p>
        </w:tc>
      </w:tr>
      <w:tr w:rsidR="007B09F4" w:rsidRPr="001570EA" w14:paraId="609D6FAC" w14:textId="77777777">
        <w:trPr>
          <w:trHeight w:val="20"/>
        </w:trPr>
        <w:tc>
          <w:tcPr>
            <w:tcW w:w="1454" w:type="pct"/>
            <w:vMerge w:val="restart"/>
            <w:vAlign w:val="center"/>
          </w:tcPr>
          <w:p w14:paraId="230AF81E" w14:textId="77777777" w:rsidR="007B09F4" w:rsidRPr="001570EA" w:rsidRDefault="007B09F4">
            <w:pPr>
              <w:pStyle w:val="TableCell"/>
              <w:keepNext w:val="0"/>
              <w:spacing w:before="60" w:after="60"/>
              <w:jc w:val="left"/>
              <w:rPr>
                <w:rFonts w:eastAsia="Calibri" w:cs="Arial"/>
                <w:szCs w:val="18"/>
              </w:rPr>
            </w:pPr>
            <w:r w:rsidRPr="001570EA">
              <w:rPr>
                <w:rFonts w:eastAsia="Calibri"/>
                <w:i/>
                <w:szCs w:val="18"/>
              </w:rPr>
              <w:t>AEC</w:t>
            </w:r>
            <w:r w:rsidRPr="001570EA">
              <w:rPr>
                <w:rFonts w:eastAsia="Calibri" w:cs="Arial"/>
                <w:i/>
                <w:szCs w:val="18"/>
                <w:vertAlign w:val="subscript"/>
              </w:rPr>
              <w:t>e</w:t>
            </w:r>
            <w:r w:rsidRPr="001570EA">
              <w:rPr>
                <w:rFonts w:eastAsia="Calibri"/>
                <w:i/>
                <w:szCs w:val="18"/>
                <w:vertAlign w:val="subscript"/>
              </w:rPr>
              <w:t>e</w:t>
            </w:r>
            <w:r w:rsidRPr="001570EA">
              <w:rPr>
                <w:rFonts w:eastAsia="Calibri" w:cs="Arial"/>
                <w:szCs w:val="18"/>
              </w:rPr>
              <w:t xml:space="preserve">, Annual Energy Consumption of efficient induction cooktop </w:t>
            </w:r>
          </w:p>
        </w:tc>
        <w:tc>
          <w:tcPr>
            <w:tcW w:w="675" w:type="pct"/>
            <w:vMerge w:val="restart"/>
            <w:vAlign w:val="center"/>
          </w:tcPr>
          <w:p w14:paraId="76DD6246" w14:textId="77777777" w:rsidR="007B09F4" w:rsidRPr="001570EA" w:rsidRDefault="003B5E04">
            <w:pPr>
              <w:pStyle w:val="TableCell"/>
              <w:keepNext w:val="0"/>
              <w:spacing w:before="60" w:after="60"/>
              <w:jc w:val="center"/>
              <w:rPr>
                <w:rFonts w:eastAsia="Calibri" w:cs="Arial"/>
                <w:i/>
                <w:szCs w:val="18"/>
              </w:rPr>
            </w:pPr>
            <m:oMathPara>
              <m:oMath>
                <m:f>
                  <m:fPr>
                    <m:ctrlPr>
                      <w:rPr>
                        <w:rFonts w:ascii="Cambria Math" w:hAnsi="Cambria Math" w:cs="Arial"/>
                        <w:i/>
                      </w:rPr>
                    </m:ctrlPr>
                  </m:fPr>
                  <m:num>
                    <m:r>
                      <w:rPr>
                        <w:rFonts w:ascii="Cambria Math" w:hAnsi="Cambria Math" w:cs="Arial"/>
                      </w:rPr>
                      <m:t>kWh</m:t>
                    </m:r>
                  </m:num>
                  <m:den>
                    <m:r>
                      <w:rPr>
                        <w:rFonts w:ascii="Cambria Math" w:hAnsi="Cambria Math" w:cs="Arial"/>
                      </w:rPr>
                      <m:t>yr</m:t>
                    </m:r>
                  </m:den>
                </m:f>
              </m:oMath>
            </m:oMathPara>
          </w:p>
        </w:tc>
        <w:tc>
          <w:tcPr>
            <w:tcW w:w="1809" w:type="pct"/>
          </w:tcPr>
          <w:p w14:paraId="26100D4B" w14:textId="77777777" w:rsidR="007B09F4" w:rsidRPr="001570EA" w:rsidRDefault="007B09F4">
            <w:pPr>
              <w:pStyle w:val="TableCell"/>
              <w:keepNext w:val="0"/>
              <w:spacing w:before="60" w:after="60"/>
              <w:jc w:val="center"/>
            </w:pPr>
            <w:r w:rsidRPr="001570EA">
              <w:t>EDC Data Gathering of</w:t>
            </w:r>
          </w:p>
          <w:p w14:paraId="50DAC572" w14:textId="77777777" w:rsidR="007B09F4" w:rsidRPr="001570EA" w:rsidRDefault="007B09F4">
            <w:pPr>
              <w:pStyle w:val="TableCell"/>
              <w:keepNext w:val="0"/>
              <w:spacing w:before="60" w:after="60"/>
              <w:jc w:val="center"/>
              <w:rPr>
                <w:rFonts w:eastAsia="Calibri" w:cs="Arial"/>
                <w:szCs w:val="18"/>
              </w:rPr>
            </w:pPr>
            <w:r w:rsidRPr="001570EA">
              <w:rPr>
                <w:rFonts w:eastAsia="Calibri" w:cs="Arial"/>
                <w:szCs w:val="18"/>
              </w:rPr>
              <w:t>Nameplate Data</w:t>
            </w:r>
          </w:p>
        </w:tc>
        <w:tc>
          <w:tcPr>
            <w:tcW w:w="1062" w:type="pct"/>
          </w:tcPr>
          <w:p w14:paraId="73D58007" w14:textId="77777777" w:rsidR="007B09F4" w:rsidRPr="001570EA" w:rsidRDefault="007B09F4">
            <w:pPr>
              <w:pStyle w:val="TableCell"/>
              <w:keepNext w:val="0"/>
              <w:spacing w:before="60" w:after="60"/>
              <w:jc w:val="center"/>
              <w:rPr>
                <w:rFonts w:eastAsia="Calibri" w:cs="Arial"/>
                <w:szCs w:val="18"/>
              </w:rPr>
            </w:pPr>
            <w:r w:rsidRPr="001570EA">
              <w:rPr>
                <w:rFonts w:eastAsia="Calibri" w:cs="Arial"/>
                <w:szCs w:val="18"/>
              </w:rPr>
              <w:t>EDC Data Gathering</w:t>
            </w:r>
          </w:p>
        </w:tc>
      </w:tr>
      <w:tr w:rsidR="007B09F4" w:rsidRPr="001570EA" w14:paraId="7708F57F" w14:textId="77777777">
        <w:trPr>
          <w:trHeight w:val="20"/>
        </w:trPr>
        <w:tc>
          <w:tcPr>
            <w:tcW w:w="1454" w:type="pct"/>
            <w:vMerge/>
            <w:vAlign w:val="center"/>
          </w:tcPr>
          <w:p w14:paraId="12D1FF51" w14:textId="77777777" w:rsidR="007B09F4" w:rsidRPr="001570EA" w:rsidRDefault="007B09F4">
            <w:pPr>
              <w:pStyle w:val="TableCell"/>
              <w:keepNext w:val="0"/>
              <w:spacing w:before="60" w:after="60"/>
              <w:jc w:val="left"/>
              <w:rPr>
                <w:rFonts w:eastAsia="Calibri" w:cs="Arial"/>
                <w:szCs w:val="18"/>
              </w:rPr>
            </w:pPr>
          </w:p>
        </w:tc>
        <w:tc>
          <w:tcPr>
            <w:tcW w:w="675" w:type="pct"/>
            <w:vMerge/>
            <w:vAlign w:val="center"/>
          </w:tcPr>
          <w:p w14:paraId="1D3C7422" w14:textId="77777777" w:rsidR="007B09F4" w:rsidRPr="001570EA" w:rsidRDefault="007B09F4">
            <w:pPr>
              <w:pStyle w:val="TableCell"/>
              <w:keepNext w:val="0"/>
              <w:spacing w:before="60" w:after="60"/>
              <w:jc w:val="center"/>
              <w:rPr>
                <w:rFonts w:eastAsia="Calibri" w:cs="Arial"/>
                <w:i/>
                <w:szCs w:val="18"/>
              </w:rPr>
            </w:pPr>
          </w:p>
        </w:tc>
        <w:tc>
          <w:tcPr>
            <w:tcW w:w="1809" w:type="pct"/>
          </w:tcPr>
          <w:p w14:paraId="33400E8D" w14:textId="77777777" w:rsidR="007B09F4" w:rsidRPr="001570EA" w:rsidRDefault="007B09F4">
            <w:pPr>
              <w:pStyle w:val="TableCell"/>
              <w:keepNext w:val="0"/>
              <w:spacing w:before="60" w:after="60"/>
              <w:jc w:val="center"/>
              <w:rPr>
                <w:rFonts w:eastAsia="Calibri" w:cs="Arial"/>
                <w:szCs w:val="18"/>
              </w:rPr>
            </w:pPr>
            <w:r w:rsidRPr="001570EA">
              <w:rPr>
                <w:rFonts w:eastAsia="Calibri" w:cs="Arial"/>
                <w:szCs w:val="18"/>
              </w:rPr>
              <w:t>Default = 189</w:t>
            </w:r>
          </w:p>
        </w:tc>
        <w:tc>
          <w:tcPr>
            <w:tcW w:w="1062" w:type="pct"/>
          </w:tcPr>
          <w:p w14:paraId="3B7AF4AA" w14:textId="77777777" w:rsidR="007B09F4" w:rsidRPr="001570EA" w:rsidRDefault="007B09F4">
            <w:pPr>
              <w:pStyle w:val="TableCell"/>
              <w:keepNext w:val="0"/>
              <w:spacing w:before="60" w:after="60"/>
              <w:jc w:val="center"/>
              <w:rPr>
                <w:rFonts w:eastAsia="Calibri" w:cs="Arial"/>
                <w:szCs w:val="18"/>
              </w:rPr>
            </w:pPr>
            <w:r w:rsidRPr="001570EA">
              <w:rPr>
                <w:rFonts w:eastAsia="Calibri" w:cs="Arial"/>
                <w:szCs w:val="18"/>
              </w:rPr>
              <w:t>2</w:t>
            </w:r>
          </w:p>
        </w:tc>
      </w:tr>
      <w:tr w:rsidR="007B09F4" w:rsidRPr="001570EA" w14:paraId="3A59309A" w14:textId="77777777">
        <w:trPr>
          <w:trHeight w:val="20"/>
        </w:trPr>
        <w:tc>
          <w:tcPr>
            <w:tcW w:w="1454" w:type="pct"/>
            <w:vMerge w:val="restart"/>
            <w:vAlign w:val="center"/>
          </w:tcPr>
          <w:p w14:paraId="2DBEFDE0" w14:textId="77777777" w:rsidR="007B09F4" w:rsidRPr="001570EA" w:rsidRDefault="007B09F4">
            <w:pPr>
              <w:pStyle w:val="TableCell"/>
              <w:spacing w:before="60" w:after="60"/>
              <w:jc w:val="left"/>
              <w:rPr>
                <w:rFonts w:eastAsia="Calibri" w:cs="Arial"/>
                <w:i/>
                <w:szCs w:val="18"/>
              </w:rPr>
            </w:pPr>
            <w:r w:rsidRPr="001570EA">
              <w:rPr>
                <w:rFonts w:eastAsia="Calibri" w:cs="Arial"/>
                <w:i/>
                <w:szCs w:val="18"/>
              </w:rPr>
              <w:t>Eff</w:t>
            </w:r>
            <w:r w:rsidRPr="001570EA">
              <w:rPr>
                <w:rFonts w:eastAsia="Calibri" w:cs="Arial"/>
                <w:i/>
                <w:szCs w:val="18"/>
                <w:vertAlign w:val="subscript"/>
              </w:rPr>
              <w:t>ee</w:t>
            </w:r>
            <w:r w:rsidRPr="001570EA">
              <w:rPr>
                <w:rFonts w:eastAsia="Calibri" w:cs="Arial"/>
                <w:szCs w:val="18"/>
              </w:rPr>
              <w:t>, Efficiency of electric induction cooktop</w:t>
            </w:r>
          </w:p>
        </w:tc>
        <w:tc>
          <w:tcPr>
            <w:tcW w:w="675" w:type="pct"/>
            <w:vMerge w:val="restart"/>
            <w:vAlign w:val="center"/>
          </w:tcPr>
          <w:p w14:paraId="131E5438" w14:textId="77777777" w:rsidR="007B09F4" w:rsidRPr="001570EA" w:rsidRDefault="007B09F4">
            <w:pPr>
              <w:pStyle w:val="TableCell"/>
              <w:spacing w:before="60" w:after="60"/>
              <w:jc w:val="center"/>
              <w:rPr>
                <w:rFonts w:eastAsia="Calibri" w:cs="Arial"/>
                <w:i/>
              </w:rPr>
            </w:pPr>
            <m:oMathPara>
              <m:oMath>
                <m:r>
                  <w:rPr>
                    <w:rFonts w:ascii="Cambria Math" w:hAnsi="Cambria Math" w:cs="Arial"/>
                  </w:rPr>
                  <m:t>%</m:t>
                </m:r>
              </m:oMath>
            </m:oMathPara>
          </w:p>
        </w:tc>
        <w:tc>
          <w:tcPr>
            <w:tcW w:w="1809" w:type="pct"/>
          </w:tcPr>
          <w:p w14:paraId="0D9193A8" w14:textId="77777777" w:rsidR="007B09F4" w:rsidRPr="001570EA" w:rsidRDefault="007B09F4">
            <w:pPr>
              <w:pStyle w:val="TableCell"/>
              <w:keepNext w:val="0"/>
              <w:spacing w:before="60" w:after="60"/>
              <w:jc w:val="center"/>
            </w:pPr>
            <w:r w:rsidRPr="001570EA">
              <w:t>EDC Data Gathering of</w:t>
            </w:r>
          </w:p>
          <w:p w14:paraId="24DA470F" w14:textId="77777777" w:rsidR="007B09F4" w:rsidRPr="001570EA" w:rsidRDefault="007B09F4">
            <w:pPr>
              <w:pStyle w:val="TableCell"/>
              <w:keepNext w:val="0"/>
              <w:spacing w:before="60" w:after="60"/>
              <w:jc w:val="center"/>
            </w:pPr>
            <w:r w:rsidRPr="001570EA">
              <w:rPr>
                <w:rFonts w:eastAsia="Calibri" w:cs="Arial"/>
                <w:szCs w:val="18"/>
              </w:rPr>
              <w:t>Nameplate data</w:t>
            </w:r>
          </w:p>
        </w:tc>
        <w:tc>
          <w:tcPr>
            <w:tcW w:w="1062" w:type="pct"/>
          </w:tcPr>
          <w:p w14:paraId="64E4D8AC" w14:textId="77777777" w:rsidR="007B09F4" w:rsidRPr="001570EA" w:rsidRDefault="007B09F4">
            <w:pPr>
              <w:pStyle w:val="TableCell"/>
              <w:keepNext w:val="0"/>
              <w:spacing w:before="60" w:after="60"/>
              <w:jc w:val="center"/>
              <w:rPr>
                <w:rFonts w:eastAsia="Calibri" w:cs="Arial"/>
                <w:szCs w:val="18"/>
              </w:rPr>
            </w:pPr>
            <w:r w:rsidRPr="001570EA">
              <w:rPr>
                <w:rFonts w:eastAsia="Calibri" w:cs="Arial"/>
                <w:szCs w:val="18"/>
              </w:rPr>
              <w:t>EDC Data Gathering</w:t>
            </w:r>
          </w:p>
        </w:tc>
      </w:tr>
      <w:tr w:rsidR="007B09F4" w:rsidRPr="001570EA" w14:paraId="0C8B1B89" w14:textId="77777777">
        <w:trPr>
          <w:trHeight w:val="20"/>
        </w:trPr>
        <w:tc>
          <w:tcPr>
            <w:tcW w:w="1454" w:type="pct"/>
            <w:vMerge/>
            <w:vAlign w:val="center"/>
          </w:tcPr>
          <w:p w14:paraId="0AAA4FED" w14:textId="77777777" w:rsidR="007B09F4" w:rsidRPr="001570EA" w:rsidRDefault="007B09F4">
            <w:pPr>
              <w:pStyle w:val="TableCell"/>
              <w:keepNext w:val="0"/>
              <w:spacing w:before="60" w:after="60"/>
              <w:jc w:val="left"/>
              <w:rPr>
                <w:rFonts w:eastAsia="Calibri" w:cs="Arial"/>
                <w:i/>
                <w:szCs w:val="18"/>
              </w:rPr>
            </w:pPr>
          </w:p>
        </w:tc>
        <w:tc>
          <w:tcPr>
            <w:tcW w:w="675" w:type="pct"/>
            <w:vMerge/>
            <w:vAlign w:val="center"/>
          </w:tcPr>
          <w:p w14:paraId="42C8F19E" w14:textId="77777777" w:rsidR="007B09F4" w:rsidRPr="001570EA" w:rsidRDefault="007B09F4">
            <w:pPr>
              <w:pStyle w:val="TableCell"/>
              <w:keepNext w:val="0"/>
              <w:spacing w:before="60" w:after="60"/>
              <w:jc w:val="center"/>
              <w:rPr>
                <w:rFonts w:ascii="Cambria Math" w:hAnsi="Cambria Math" w:cs="Arial"/>
                <w:i/>
              </w:rPr>
            </w:pPr>
          </w:p>
        </w:tc>
        <w:tc>
          <w:tcPr>
            <w:tcW w:w="1809" w:type="pct"/>
          </w:tcPr>
          <w:p w14:paraId="31EA0EEB" w14:textId="77777777" w:rsidR="007B09F4" w:rsidRPr="001570EA" w:rsidRDefault="007B09F4">
            <w:pPr>
              <w:pStyle w:val="TableCell"/>
              <w:keepNext w:val="0"/>
              <w:spacing w:before="60" w:after="60"/>
              <w:jc w:val="center"/>
            </w:pPr>
            <w:r w:rsidRPr="001570EA">
              <w:t>Default = 85%</w:t>
            </w:r>
          </w:p>
        </w:tc>
        <w:tc>
          <w:tcPr>
            <w:tcW w:w="1062" w:type="pct"/>
          </w:tcPr>
          <w:p w14:paraId="7B4B2303" w14:textId="77777777" w:rsidR="007B09F4" w:rsidRPr="001570EA" w:rsidRDefault="007B09F4">
            <w:pPr>
              <w:pStyle w:val="TableCell"/>
              <w:keepNext w:val="0"/>
              <w:spacing w:before="60" w:after="60"/>
              <w:jc w:val="center"/>
              <w:rPr>
                <w:rFonts w:eastAsia="Calibri" w:cs="Arial"/>
                <w:szCs w:val="18"/>
              </w:rPr>
            </w:pPr>
            <w:r w:rsidRPr="001570EA">
              <w:rPr>
                <w:rFonts w:eastAsia="Calibri" w:cs="Arial"/>
                <w:szCs w:val="18"/>
              </w:rPr>
              <w:t>3</w:t>
            </w:r>
          </w:p>
        </w:tc>
      </w:tr>
      <w:tr w:rsidR="007B09F4" w:rsidRPr="001570EA" w14:paraId="0E92CC6C" w14:textId="77777777">
        <w:trPr>
          <w:trHeight w:val="20"/>
        </w:trPr>
        <w:tc>
          <w:tcPr>
            <w:tcW w:w="1454" w:type="pct"/>
            <w:vMerge w:val="restart"/>
            <w:vAlign w:val="center"/>
          </w:tcPr>
          <w:p w14:paraId="4FAC0A8B" w14:textId="77777777" w:rsidR="007B09F4" w:rsidRPr="001570EA" w:rsidRDefault="007B09F4">
            <w:pPr>
              <w:pStyle w:val="TableCell"/>
              <w:keepNext w:val="0"/>
              <w:spacing w:before="60" w:after="60"/>
              <w:jc w:val="left"/>
              <w:rPr>
                <w:rFonts w:eastAsia="Calibri" w:cs="Arial"/>
                <w:szCs w:val="18"/>
              </w:rPr>
            </w:pPr>
            <w:r w:rsidRPr="001570EA">
              <w:rPr>
                <w:rFonts w:eastAsia="Calibri" w:cs="Arial"/>
                <w:i/>
                <w:szCs w:val="18"/>
              </w:rPr>
              <w:t>Eff</w:t>
            </w:r>
            <w:r w:rsidRPr="001570EA">
              <w:rPr>
                <w:rFonts w:eastAsia="Calibri" w:cs="Arial"/>
                <w:i/>
                <w:szCs w:val="18"/>
                <w:vertAlign w:val="subscript"/>
              </w:rPr>
              <w:t>base</w:t>
            </w:r>
            <w:r w:rsidRPr="001570EA">
              <w:rPr>
                <w:rFonts w:eastAsia="Calibri" w:cs="Arial"/>
                <w:szCs w:val="18"/>
              </w:rPr>
              <w:t xml:space="preserve">, </w:t>
            </w:r>
            <w:r w:rsidRPr="001570EA">
              <w:t>Efficiency of baseline electric resistance cooktop</w:t>
            </w:r>
          </w:p>
        </w:tc>
        <w:tc>
          <w:tcPr>
            <w:tcW w:w="675" w:type="pct"/>
            <w:vMerge w:val="restart"/>
            <w:vAlign w:val="center"/>
          </w:tcPr>
          <w:p w14:paraId="161D640B" w14:textId="77777777" w:rsidR="007B09F4" w:rsidRPr="001570EA" w:rsidRDefault="007B09F4">
            <w:pPr>
              <w:pStyle w:val="TableCell"/>
              <w:keepNext w:val="0"/>
              <w:spacing w:before="60" w:after="60"/>
              <w:jc w:val="center"/>
              <w:rPr>
                <w:rFonts w:cs="Arial"/>
                <w:i/>
                <w:szCs w:val="18"/>
              </w:rPr>
            </w:pPr>
            <m:oMathPara>
              <m:oMath>
                <m:r>
                  <m:rPr>
                    <m:sty m:val="p"/>
                  </m:rPr>
                  <w:rPr>
                    <w:rFonts w:ascii="Cambria Math" w:hAnsi="Cambria Math" w:cs="Arial"/>
                    <w:szCs w:val="18"/>
                  </w:rPr>
                  <m:t>%</m:t>
                </m:r>
              </m:oMath>
            </m:oMathPara>
          </w:p>
        </w:tc>
        <w:tc>
          <w:tcPr>
            <w:tcW w:w="1809" w:type="pct"/>
          </w:tcPr>
          <w:p w14:paraId="0093C2E8" w14:textId="77777777" w:rsidR="007B09F4" w:rsidRPr="001570EA" w:rsidRDefault="007B09F4">
            <w:pPr>
              <w:pStyle w:val="TableCell"/>
              <w:keepNext w:val="0"/>
              <w:spacing w:before="60" w:after="60"/>
              <w:jc w:val="center"/>
            </w:pPr>
            <w:r w:rsidRPr="001570EA">
              <w:t>EDC Data Gathering of</w:t>
            </w:r>
          </w:p>
          <w:p w14:paraId="3FA8E7A4" w14:textId="77777777" w:rsidR="007B09F4" w:rsidRPr="001570EA" w:rsidRDefault="007B09F4">
            <w:pPr>
              <w:pStyle w:val="TableCell"/>
              <w:keepNext w:val="0"/>
              <w:spacing w:before="60" w:after="60"/>
              <w:jc w:val="center"/>
              <w:rPr>
                <w:rFonts w:eastAsia="Calibri" w:cs="Arial"/>
                <w:szCs w:val="18"/>
              </w:rPr>
            </w:pPr>
            <w:r w:rsidRPr="001570EA">
              <w:rPr>
                <w:rFonts w:eastAsia="Calibri" w:cs="Arial"/>
                <w:szCs w:val="18"/>
              </w:rPr>
              <w:t>Nameplate data</w:t>
            </w:r>
          </w:p>
        </w:tc>
        <w:tc>
          <w:tcPr>
            <w:tcW w:w="1062" w:type="pct"/>
          </w:tcPr>
          <w:p w14:paraId="4DCB629C" w14:textId="77777777" w:rsidR="007B09F4" w:rsidRPr="001570EA" w:rsidRDefault="007B09F4">
            <w:pPr>
              <w:pStyle w:val="TableCell"/>
              <w:keepNext w:val="0"/>
              <w:spacing w:before="60" w:after="60"/>
              <w:jc w:val="center"/>
              <w:rPr>
                <w:rFonts w:eastAsia="Calibri" w:cs="Arial"/>
                <w:szCs w:val="18"/>
              </w:rPr>
            </w:pPr>
            <w:r w:rsidRPr="001570EA">
              <w:rPr>
                <w:rFonts w:eastAsia="Calibri" w:cs="Arial"/>
                <w:szCs w:val="18"/>
              </w:rPr>
              <w:t>EDC Data Gathering</w:t>
            </w:r>
          </w:p>
        </w:tc>
      </w:tr>
      <w:tr w:rsidR="007B09F4" w:rsidRPr="001570EA" w14:paraId="5840AC63" w14:textId="77777777">
        <w:trPr>
          <w:trHeight w:val="20"/>
        </w:trPr>
        <w:tc>
          <w:tcPr>
            <w:tcW w:w="1454" w:type="pct"/>
            <w:vMerge/>
            <w:vAlign w:val="center"/>
          </w:tcPr>
          <w:p w14:paraId="30B9053B" w14:textId="77777777" w:rsidR="007B09F4" w:rsidRPr="001570EA" w:rsidRDefault="007B09F4">
            <w:pPr>
              <w:pStyle w:val="TableCell"/>
              <w:keepNext w:val="0"/>
              <w:spacing w:before="60" w:after="60"/>
              <w:jc w:val="left"/>
              <w:rPr>
                <w:rFonts w:eastAsia="Calibri" w:cs="Arial"/>
                <w:szCs w:val="18"/>
              </w:rPr>
            </w:pPr>
          </w:p>
        </w:tc>
        <w:tc>
          <w:tcPr>
            <w:tcW w:w="675" w:type="pct"/>
            <w:vMerge/>
            <w:vAlign w:val="center"/>
          </w:tcPr>
          <w:p w14:paraId="450A728A" w14:textId="77777777" w:rsidR="007B09F4" w:rsidRPr="001570EA" w:rsidRDefault="007B09F4">
            <w:pPr>
              <w:pStyle w:val="TableCell"/>
              <w:keepNext w:val="0"/>
              <w:spacing w:before="60" w:after="60"/>
              <w:jc w:val="center"/>
              <w:rPr>
                <w:rFonts w:cs="Arial"/>
                <w:i/>
                <w:szCs w:val="18"/>
              </w:rPr>
            </w:pPr>
          </w:p>
        </w:tc>
        <w:tc>
          <w:tcPr>
            <w:tcW w:w="1809" w:type="pct"/>
          </w:tcPr>
          <w:p w14:paraId="3CD8E443" w14:textId="77777777" w:rsidR="007B09F4" w:rsidRPr="001570EA" w:rsidRDefault="007B09F4">
            <w:pPr>
              <w:pStyle w:val="TableCell"/>
              <w:keepNext w:val="0"/>
              <w:spacing w:before="60" w:after="60"/>
              <w:jc w:val="center"/>
            </w:pPr>
            <w:r w:rsidRPr="001570EA">
              <w:rPr>
                <w:rFonts w:eastAsia="Calibri" w:cs="Arial"/>
                <w:szCs w:val="18"/>
              </w:rPr>
              <w:t>Default = 77%</w:t>
            </w:r>
          </w:p>
        </w:tc>
        <w:tc>
          <w:tcPr>
            <w:tcW w:w="1062" w:type="pct"/>
            <w:vAlign w:val="center"/>
          </w:tcPr>
          <w:p w14:paraId="67B9A6CB" w14:textId="77777777" w:rsidR="007B09F4" w:rsidRPr="001570EA" w:rsidRDefault="007B09F4">
            <w:pPr>
              <w:pStyle w:val="TableCell"/>
              <w:keepNext w:val="0"/>
              <w:spacing w:before="60" w:after="60"/>
              <w:jc w:val="center"/>
              <w:rPr>
                <w:rFonts w:eastAsia="Calibri" w:cs="Arial"/>
                <w:szCs w:val="18"/>
              </w:rPr>
            </w:pPr>
            <w:r w:rsidRPr="001570EA">
              <w:rPr>
                <w:rFonts w:eastAsia="Calibri" w:cs="Arial"/>
                <w:szCs w:val="18"/>
              </w:rPr>
              <w:t>3</w:t>
            </w:r>
          </w:p>
        </w:tc>
      </w:tr>
      <w:tr w:rsidR="007B09F4" w:rsidRPr="001570EA" w14:paraId="7FB620D9" w14:textId="77777777">
        <w:trPr>
          <w:trHeight w:val="420"/>
        </w:trPr>
        <w:tc>
          <w:tcPr>
            <w:tcW w:w="1454" w:type="pct"/>
            <w:vMerge w:val="restart"/>
            <w:tcBorders>
              <w:left w:val="single" w:sz="4" w:space="0" w:color="auto"/>
              <w:right w:val="single" w:sz="4" w:space="0" w:color="auto"/>
            </w:tcBorders>
            <w:vAlign w:val="center"/>
          </w:tcPr>
          <w:p w14:paraId="4422285B" w14:textId="77777777" w:rsidR="007B09F4" w:rsidRPr="001570EA" w:rsidRDefault="003B5E04">
            <w:pPr>
              <w:pStyle w:val="TableCell"/>
              <w:keepNext w:val="0"/>
              <w:spacing w:before="60" w:after="60" w:line="256" w:lineRule="auto"/>
              <w:jc w:val="left"/>
              <w:rPr>
                <w:rFonts w:eastAsia="Calibri" w:cs="Arial"/>
                <w:i/>
                <w:szCs w:val="18"/>
              </w:rPr>
            </w:pPr>
            <m:oMath>
              <m:sSub>
                <m:sSubPr>
                  <m:ctrlPr>
                    <w:rPr>
                      <w:rFonts w:ascii="Cambria Math" w:eastAsia="Calibri" w:hAnsi="Cambria Math"/>
                      <w:i/>
                      <w:sz w:val="20"/>
                    </w:rPr>
                  </m:ctrlPr>
                </m:sSubPr>
                <m:e>
                  <m:r>
                    <w:rPr>
                      <w:rFonts w:ascii="Cambria Math" w:hAnsi="Cambria Math"/>
                      <w:sz w:val="20"/>
                    </w:rPr>
                    <m:t>ETDF</m:t>
                  </m:r>
                </m:e>
                <m:sub>
                  <m:r>
                    <w:rPr>
                      <w:rFonts w:ascii="Cambria Math" w:hAnsi="Cambria Math"/>
                      <w:sz w:val="20"/>
                    </w:rPr>
                    <m:t>s</m:t>
                  </m:r>
                </m:sub>
              </m:sSub>
            </m:oMath>
            <w:r w:rsidR="007B09F4" w:rsidRPr="001570EA">
              <w:rPr>
                <w:szCs w:val="18"/>
              </w:rPr>
              <w:t>, summer peak energy to demand factor</w:t>
            </w:r>
          </w:p>
        </w:tc>
        <w:tc>
          <w:tcPr>
            <w:tcW w:w="675" w:type="pct"/>
            <w:vMerge w:val="restart"/>
            <w:tcBorders>
              <w:left w:val="single" w:sz="4" w:space="0" w:color="auto"/>
              <w:right w:val="single" w:sz="4" w:space="0" w:color="auto"/>
            </w:tcBorders>
            <w:vAlign w:val="center"/>
          </w:tcPr>
          <w:p w14:paraId="6D731574" w14:textId="77777777" w:rsidR="007B09F4" w:rsidRPr="001570EA" w:rsidRDefault="003B5E04">
            <w:pPr>
              <w:pStyle w:val="TableCell"/>
              <w:keepNext w:val="0"/>
              <w:spacing w:before="60" w:after="60" w:line="256" w:lineRule="auto"/>
              <w:jc w:val="center"/>
              <w:rPr>
                <w:rFonts w:eastAsia="Calibri" w:cs="Arial"/>
                <w:i/>
                <w:iCs/>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809" w:type="pct"/>
            <w:tcBorders>
              <w:top w:val="single" w:sz="4" w:space="0" w:color="auto"/>
              <w:left w:val="single" w:sz="4" w:space="0" w:color="auto"/>
              <w:right w:val="single" w:sz="4" w:space="0" w:color="auto"/>
            </w:tcBorders>
            <w:vAlign w:val="bottom"/>
          </w:tcPr>
          <w:p w14:paraId="730B00A5" w14:textId="77777777" w:rsidR="007B09F4" w:rsidRPr="001570EA" w:rsidRDefault="007B09F4">
            <w:pPr>
              <w:keepNext/>
              <w:spacing w:before="60" w:after="60"/>
              <w:jc w:val="center"/>
              <w:rPr>
                <w:rFonts w:cs="Arial"/>
                <w:sz w:val="18"/>
                <w:szCs w:val="18"/>
              </w:rPr>
            </w:pPr>
            <w:r w:rsidRPr="001570EA">
              <w:rPr>
                <w:rFonts w:cs="Arial"/>
                <w:sz w:val="18"/>
                <w:szCs w:val="18"/>
              </w:rPr>
              <w:t>EDC Data Gathering</w:t>
            </w:r>
          </w:p>
        </w:tc>
        <w:tc>
          <w:tcPr>
            <w:tcW w:w="1062" w:type="pct"/>
            <w:tcBorders>
              <w:top w:val="single" w:sz="4" w:space="0" w:color="auto"/>
              <w:left w:val="single" w:sz="4" w:space="0" w:color="auto"/>
              <w:bottom w:val="single" w:sz="4" w:space="0" w:color="auto"/>
              <w:right w:val="single" w:sz="4" w:space="0" w:color="auto"/>
            </w:tcBorders>
            <w:vAlign w:val="center"/>
          </w:tcPr>
          <w:p w14:paraId="08249D60" w14:textId="77777777" w:rsidR="007B09F4" w:rsidRPr="001570EA" w:rsidRDefault="007B09F4">
            <w:pPr>
              <w:keepNext/>
              <w:spacing w:before="60" w:after="60"/>
              <w:jc w:val="center"/>
              <w:rPr>
                <w:rFonts w:eastAsia="Calibri" w:cs="Arial"/>
                <w:szCs w:val="18"/>
              </w:rPr>
            </w:pPr>
            <w:r w:rsidRPr="001570EA">
              <w:rPr>
                <w:rFonts w:cs="Arial"/>
                <w:sz w:val="18"/>
                <w:szCs w:val="18"/>
              </w:rPr>
              <w:t>EDC Data Gathering</w:t>
            </w:r>
          </w:p>
        </w:tc>
      </w:tr>
      <w:tr w:rsidR="007B09F4" w:rsidRPr="001570EA" w14:paraId="2FBEEDEF" w14:textId="77777777">
        <w:trPr>
          <w:trHeight w:val="420"/>
        </w:trPr>
        <w:tc>
          <w:tcPr>
            <w:tcW w:w="1454" w:type="pct"/>
            <w:vMerge/>
            <w:vAlign w:val="center"/>
          </w:tcPr>
          <w:p w14:paraId="09170EC9" w14:textId="77777777" w:rsidR="007B09F4" w:rsidRPr="001570EA" w:rsidRDefault="007B09F4">
            <w:pPr>
              <w:pStyle w:val="TableCell"/>
              <w:keepNext w:val="0"/>
              <w:spacing w:before="60" w:after="60" w:line="256" w:lineRule="auto"/>
              <w:jc w:val="left"/>
              <w:rPr>
                <w:sz w:val="22"/>
                <w:szCs w:val="22"/>
              </w:rPr>
            </w:pPr>
          </w:p>
        </w:tc>
        <w:tc>
          <w:tcPr>
            <w:tcW w:w="675" w:type="pct"/>
            <w:vMerge/>
            <w:vAlign w:val="center"/>
          </w:tcPr>
          <w:p w14:paraId="549EE280" w14:textId="77777777" w:rsidR="007B09F4" w:rsidRPr="001570EA" w:rsidRDefault="007B09F4">
            <w:pPr>
              <w:pStyle w:val="TableCell"/>
              <w:keepNext w:val="0"/>
              <w:spacing w:before="60" w:after="60" w:line="256" w:lineRule="auto"/>
              <w:jc w:val="center"/>
              <w:rPr>
                <w:i/>
                <w:iCs/>
                <w:szCs w:val="18"/>
              </w:rPr>
            </w:pPr>
          </w:p>
        </w:tc>
        <w:tc>
          <w:tcPr>
            <w:tcW w:w="1809" w:type="pct"/>
            <w:tcBorders>
              <w:left w:val="single" w:sz="4" w:space="0" w:color="auto"/>
              <w:bottom w:val="single" w:sz="4" w:space="0" w:color="auto"/>
              <w:right w:val="single" w:sz="4" w:space="0" w:color="auto"/>
            </w:tcBorders>
            <w:vAlign w:val="center"/>
          </w:tcPr>
          <w:p w14:paraId="6E642C27" w14:textId="77777777" w:rsidR="007B09F4" w:rsidRPr="001570EA" w:rsidRDefault="007B09F4">
            <w:pPr>
              <w:keepNext/>
              <w:spacing w:before="60" w:after="60"/>
              <w:jc w:val="center"/>
              <w:rPr>
                <w:rFonts w:cs="Arial"/>
                <w:color w:val="000000"/>
                <w:sz w:val="18"/>
                <w:szCs w:val="18"/>
              </w:rPr>
            </w:pPr>
            <w:r w:rsidRPr="001570EA">
              <w:rPr>
                <w:rFonts w:cs="Arial"/>
                <w:color w:val="000000"/>
                <w:sz w:val="18"/>
                <w:szCs w:val="18"/>
              </w:rPr>
              <w:t>Default = 0.0002153</w:t>
            </w:r>
          </w:p>
        </w:tc>
        <w:tc>
          <w:tcPr>
            <w:tcW w:w="1062" w:type="pct"/>
            <w:tcBorders>
              <w:top w:val="single" w:sz="4" w:space="0" w:color="auto"/>
              <w:left w:val="single" w:sz="4" w:space="0" w:color="auto"/>
              <w:bottom w:val="single" w:sz="4" w:space="0" w:color="auto"/>
              <w:right w:val="single" w:sz="4" w:space="0" w:color="auto"/>
            </w:tcBorders>
            <w:vAlign w:val="center"/>
          </w:tcPr>
          <w:p w14:paraId="13FEC457" w14:textId="77777777" w:rsidR="007B09F4" w:rsidRPr="001570EA" w:rsidRDefault="007B09F4">
            <w:pPr>
              <w:keepNext/>
              <w:spacing w:before="60" w:after="60"/>
              <w:jc w:val="center"/>
              <w:rPr>
                <w:rFonts w:eastAsia="Calibri" w:cs="Arial"/>
                <w:szCs w:val="18"/>
              </w:rPr>
            </w:pPr>
            <w:r w:rsidRPr="001570EA">
              <w:rPr>
                <w:rFonts w:eastAsia="Calibri" w:cs="Arial"/>
                <w:szCs w:val="18"/>
              </w:rPr>
              <w:t>4</w:t>
            </w:r>
          </w:p>
        </w:tc>
      </w:tr>
      <w:tr w:rsidR="007B09F4" w:rsidRPr="001570EA" w14:paraId="1AB1571F" w14:textId="77777777">
        <w:trPr>
          <w:trHeight w:val="308"/>
        </w:trPr>
        <w:tc>
          <w:tcPr>
            <w:tcW w:w="1454" w:type="pct"/>
            <w:vMerge w:val="restart"/>
            <w:tcBorders>
              <w:left w:val="single" w:sz="4" w:space="0" w:color="auto"/>
              <w:right w:val="single" w:sz="4" w:space="0" w:color="auto"/>
            </w:tcBorders>
            <w:vAlign w:val="center"/>
          </w:tcPr>
          <w:p w14:paraId="4ABAC9BB" w14:textId="77777777" w:rsidR="007B09F4" w:rsidRPr="001570EA" w:rsidRDefault="003B5E04">
            <w:pPr>
              <w:pStyle w:val="TableCell"/>
              <w:keepNext w:val="0"/>
              <w:spacing w:before="60" w:after="60" w:line="256" w:lineRule="auto"/>
              <w:jc w:val="left"/>
              <w:rPr>
                <w:sz w:val="22"/>
                <w:szCs w:val="22"/>
              </w:rPr>
            </w:pPr>
            <m:oMath>
              <m:sSub>
                <m:sSubPr>
                  <m:ctrlPr>
                    <w:rPr>
                      <w:rFonts w:ascii="Cambria Math" w:eastAsia="Calibri" w:hAnsi="Cambria Math"/>
                      <w:i/>
                      <w:sz w:val="20"/>
                    </w:rPr>
                  </m:ctrlPr>
                </m:sSubPr>
                <m:e>
                  <m:r>
                    <w:rPr>
                      <w:rFonts w:ascii="Cambria Math" w:hAnsi="Cambria Math"/>
                      <w:sz w:val="20"/>
                    </w:rPr>
                    <m:t>ETDF</m:t>
                  </m:r>
                </m:e>
                <m:sub>
                  <m:r>
                    <w:rPr>
                      <w:rFonts w:ascii="Cambria Math" w:hAnsi="Cambria Math"/>
                      <w:sz w:val="20"/>
                    </w:rPr>
                    <m:t>w</m:t>
                  </m:r>
                </m:sub>
              </m:sSub>
            </m:oMath>
            <w:r w:rsidR="007B09F4" w:rsidRPr="001570EA">
              <w:rPr>
                <w:szCs w:val="18"/>
              </w:rPr>
              <w:t>, winter peak energy to demand factor</w:t>
            </w:r>
          </w:p>
        </w:tc>
        <w:tc>
          <w:tcPr>
            <w:tcW w:w="675" w:type="pct"/>
            <w:vMerge w:val="restart"/>
            <w:tcBorders>
              <w:left w:val="single" w:sz="4" w:space="0" w:color="auto"/>
              <w:right w:val="single" w:sz="4" w:space="0" w:color="auto"/>
            </w:tcBorders>
            <w:vAlign w:val="center"/>
          </w:tcPr>
          <w:p w14:paraId="7AD9F7F3" w14:textId="77777777" w:rsidR="007B09F4" w:rsidRPr="001570EA" w:rsidRDefault="003B5E04">
            <w:pPr>
              <w:pStyle w:val="TableCell"/>
              <w:keepNext w:val="0"/>
              <w:spacing w:before="60" w:after="60" w:line="256" w:lineRule="auto"/>
              <w:jc w:val="center"/>
              <w:rPr>
                <w:i/>
                <w:iCs/>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809" w:type="pct"/>
            <w:tcBorders>
              <w:top w:val="single" w:sz="4" w:space="0" w:color="auto"/>
              <w:left w:val="single" w:sz="4" w:space="0" w:color="auto"/>
              <w:right w:val="single" w:sz="4" w:space="0" w:color="auto"/>
            </w:tcBorders>
            <w:vAlign w:val="center"/>
          </w:tcPr>
          <w:p w14:paraId="170A307F" w14:textId="77777777" w:rsidR="007B09F4" w:rsidRPr="001570EA" w:rsidRDefault="007B09F4">
            <w:pPr>
              <w:keepNext/>
              <w:spacing w:before="60" w:after="60"/>
              <w:jc w:val="center"/>
              <w:rPr>
                <w:rFonts w:cs="Arial"/>
                <w:sz w:val="18"/>
                <w:szCs w:val="18"/>
              </w:rPr>
            </w:pPr>
            <w:r w:rsidRPr="001570EA">
              <w:rPr>
                <w:rFonts w:cs="Arial"/>
                <w:sz w:val="18"/>
                <w:szCs w:val="18"/>
              </w:rPr>
              <w:t>EDC Data Gathering</w:t>
            </w:r>
          </w:p>
        </w:tc>
        <w:tc>
          <w:tcPr>
            <w:tcW w:w="1062" w:type="pct"/>
            <w:tcBorders>
              <w:top w:val="single" w:sz="4" w:space="0" w:color="auto"/>
              <w:left w:val="single" w:sz="4" w:space="0" w:color="auto"/>
              <w:bottom w:val="single" w:sz="4" w:space="0" w:color="auto"/>
              <w:right w:val="single" w:sz="4" w:space="0" w:color="auto"/>
            </w:tcBorders>
            <w:vAlign w:val="center"/>
          </w:tcPr>
          <w:p w14:paraId="7CF33E7E" w14:textId="77777777" w:rsidR="007B09F4" w:rsidRPr="001570EA" w:rsidRDefault="007B09F4">
            <w:pPr>
              <w:keepNext/>
              <w:spacing w:before="60" w:after="60"/>
              <w:jc w:val="center"/>
              <w:rPr>
                <w:rFonts w:eastAsia="Calibri" w:cs="Arial"/>
                <w:szCs w:val="18"/>
              </w:rPr>
            </w:pPr>
            <w:r w:rsidRPr="001570EA">
              <w:rPr>
                <w:rFonts w:cs="Arial"/>
                <w:sz w:val="18"/>
                <w:szCs w:val="18"/>
              </w:rPr>
              <w:t>EDC Data Gathering</w:t>
            </w:r>
          </w:p>
        </w:tc>
      </w:tr>
      <w:tr w:rsidR="007B09F4" w:rsidRPr="001570EA" w14:paraId="6D41B03D" w14:textId="77777777">
        <w:trPr>
          <w:trHeight w:val="307"/>
        </w:trPr>
        <w:tc>
          <w:tcPr>
            <w:tcW w:w="1454" w:type="pct"/>
            <w:vMerge/>
            <w:vAlign w:val="center"/>
          </w:tcPr>
          <w:p w14:paraId="2067F0BE" w14:textId="77777777" w:rsidR="007B09F4" w:rsidRPr="001570EA" w:rsidRDefault="007B09F4">
            <w:pPr>
              <w:pStyle w:val="TableCell"/>
              <w:keepNext w:val="0"/>
              <w:spacing w:before="60" w:after="60" w:line="256" w:lineRule="auto"/>
              <w:jc w:val="left"/>
              <w:rPr>
                <w:sz w:val="22"/>
                <w:szCs w:val="22"/>
              </w:rPr>
            </w:pPr>
          </w:p>
        </w:tc>
        <w:tc>
          <w:tcPr>
            <w:tcW w:w="675" w:type="pct"/>
            <w:vMerge/>
            <w:vAlign w:val="center"/>
          </w:tcPr>
          <w:p w14:paraId="4E8B7081" w14:textId="77777777" w:rsidR="007B09F4" w:rsidRPr="001570EA" w:rsidRDefault="007B09F4">
            <w:pPr>
              <w:pStyle w:val="TableCell"/>
              <w:keepNext w:val="0"/>
              <w:spacing w:before="60" w:after="60" w:line="256" w:lineRule="auto"/>
              <w:jc w:val="center"/>
              <w:rPr>
                <w:i/>
                <w:iCs/>
                <w:szCs w:val="18"/>
              </w:rPr>
            </w:pPr>
          </w:p>
        </w:tc>
        <w:tc>
          <w:tcPr>
            <w:tcW w:w="1809" w:type="pct"/>
            <w:tcBorders>
              <w:left w:val="single" w:sz="4" w:space="0" w:color="auto"/>
              <w:bottom w:val="single" w:sz="4" w:space="0" w:color="auto"/>
              <w:right w:val="single" w:sz="4" w:space="0" w:color="auto"/>
            </w:tcBorders>
            <w:vAlign w:val="center"/>
          </w:tcPr>
          <w:p w14:paraId="5667E9A4" w14:textId="77777777" w:rsidR="007B09F4" w:rsidRPr="001570EA" w:rsidRDefault="007B09F4">
            <w:pPr>
              <w:keepNext/>
              <w:spacing w:before="60" w:after="60"/>
              <w:jc w:val="center"/>
              <w:rPr>
                <w:rFonts w:cs="Arial"/>
                <w:sz w:val="18"/>
                <w:szCs w:val="18"/>
              </w:rPr>
            </w:pPr>
            <w:r w:rsidRPr="001570EA">
              <w:rPr>
                <w:rFonts w:eastAsia="Calibri"/>
                <w:sz w:val="18"/>
                <w:szCs w:val="18"/>
              </w:rPr>
              <w:t xml:space="preserve">Default = </w:t>
            </w:r>
            <w:r w:rsidRPr="001570EA">
              <w:rPr>
                <w:rFonts w:cs="Arial"/>
                <w:color w:val="000000"/>
                <w:sz w:val="18"/>
                <w:szCs w:val="18"/>
              </w:rPr>
              <w:t>0.0002237</w:t>
            </w:r>
          </w:p>
        </w:tc>
        <w:tc>
          <w:tcPr>
            <w:tcW w:w="1062" w:type="pct"/>
            <w:tcBorders>
              <w:top w:val="single" w:sz="4" w:space="0" w:color="auto"/>
              <w:left w:val="single" w:sz="4" w:space="0" w:color="auto"/>
              <w:bottom w:val="single" w:sz="4" w:space="0" w:color="auto"/>
              <w:right w:val="single" w:sz="4" w:space="0" w:color="auto"/>
            </w:tcBorders>
            <w:vAlign w:val="center"/>
          </w:tcPr>
          <w:p w14:paraId="6B7B1E2E" w14:textId="77777777" w:rsidR="007B09F4" w:rsidRPr="001570EA" w:rsidRDefault="007B09F4">
            <w:pPr>
              <w:keepNext/>
              <w:spacing w:before="60" w:after="60"/>
              <w:jc w:val="center"/>
              <w:rPr>
                <w:rFonts w:eastAsia="Calibri" w:cs="Arial"/>
                <w:szCs w:val="18"/>
              </w:rPr>
            </w:pPr>
            <w:r w:rsidRPr="001570EA">
              <w:rPr>
                <w:rFonts w:eastAsia="Calibri" w:cs="Arial"/>
                <w:szCs w:val="18"/>
              </w:rPr>
              <w:t>4</w:t>
            </w:r>
          </w:p>
        </w:tc>
      </w:tr>
      <w:tr w:rsidR="007B09F4" w:rsidRPr="001570EA" w14:paraId="050CC498" w14:textId="77777777">
        <w:trPr>
          <w:trHeight w:val="308"/>
        </w:trPr>
        <w:tc>
          <w:tcPr>
            <w:tcW w:w="1454" w:type="pct"/>
            <w:vMerge w:val="restart"/>
            <w:tcBorders>
              <w:left w:val="single" w:sz="4" w:space="0" w:color="auto"/>
              <w:right w:val="single" w:sz="4" w:space="0" w:color="auto"/>
            </w:tcBorders>
            <w:vAlign w:val="center"/>
          </w:tcPr>
          <w:p w14:paraId="0C12F2CC" w14:textId="77777777" w:rsidR="007B09F4" w:rsidRPr="001570EA" w:rsidRDefault="003B5E04">
            <w:pPr>
              <w:pStyle w:val="TableCell"/>
              <w:keepNext w:val="0"/>
              <w:spacing w:before="60" w:after="60" w:line="256" w:lineRule="auto"/>
              <w:jc w:val="left"/>
              <w:rPr>
                <w:sz w:val="22"/>
                <w:szCs w:val="22"/>
              </w:rPr>
            </w:pPr>
            <m:oMath>
              <m:sSub>
                <m:sSubPr>
                  <m:ctrlPr>
                    <w:rPr>
                      <w:rFonts w:ascii="Cambria Math" w:hAnsi="Cambria Math"/>
                      <w:i/>
                      <w:sz w:val="22"/>
                      <w:szCs w:val="22"/>
                    </w:rPr>
                  </m:ctrlPr>
                </m:sSubPr>
                <m:e>
                  <m:r>
                    <w:rPr>
                      <w:rFonts w:ascii="Cambria Math" w:hAnsi="Cambria Math"/>
                      <w:sz w:val="22"/>
                      <w:szCs w:val="22"/>
                    </w:rPr>
                    <m:t>%</m:t>
                  </m:r>
                </m:e>
                <m:sub>
                  <m:r>
                    <w:rPr>
                      <w:rFonts w:ascii="Cambria Math" w:hAnsi="Cambria Math"/>
                      <w:sz w:val="22"/>
                      <w:szCs w:val="22"/>
                    </w:rPr>
                    <m:t>elec</m:t>
                  </m:r>
                </m:sub>
              </m:sSub>
            </m:oMath>
            <w:r w:rsidR="007B09F4" w:rsidRPr="001570EA">
              <w:rPr>
                <w:sz w:val="22"/>
                <w:szCs w:val="22"/>
              </w:rPr>
              <w:t xml:space="preserve">, </w:t>
            </w:r>
            <w:r w:rsidR="007B09F4" w:rsidRPr="001570EA">
              <w:rPr>
                <w:szCs w:val="18"/>
              </w:rPr>
              <w:t>electric cooktop penetration</w:t>
            </w:r>
          </w:p>
        </w:tc>
        <w:tc>
          <w:tcPr>
            <w:tcW w:w="675" w:type="pct"/>
            <w:vMerge w:val="restart"/>
            <w:tcBorders>
              <w:left w:val="single" w:sz="4" w:space="0" w:color="auto"/>
              <w:right w:val="single" w:sz="4" w:space="0" w:color="auto"/>
            </w:tcBorders>
            <w:vAlign w:val="center"/>
          </w:tcPr>
          <w:p w14:paraId="4DF93F78" w14:textId="77777777" w:rsidR="007B09F4" w:rsidRPr="001570EA" w:rsidRDefault="007B09F4">
            <w:pPr>
              <w:pStyle w:val="TableCell"/>
              <w:keepNext w:val="0"/>
              <w:spacing w:before="60" w:after="60" w:line="256" w:lineRule="auto"/>
              <w:jc w:val="center"/>
              <w:rPr>
                <w:i/>
                <w:iCs/>
                <w:szCs w:val="18"/>
              </w:rPr>
            </w:pPr>
            <w:r w:rsidRPr="001570EA">
              <w:rPr>
                <w:i/>
                <w:iCs/>
                <w:szCs w:val="18"/>
              </w:rPr>
              <w:t>%</w:t>
            </w:r>
          </w:p>
        </w:tc>
        <w:tc>
          <w:tcPr>
            <w:tcW w:w="1809" w:type="pct"/>
            <w:tcBorders>
              <w:left w:val="single" w:sz="4" w:space="0" w:color="auto"/>
              <w:bottom w:val="single" w:sz="4" w:space="0" w:color="auto"/>
              <w:right w:val="single" w:sz="4" w:space="0" w:color="auto"/>
            </w:tcBorders>
            <w:vAlign w:val="center"/>
          </w:tcPr>
          <w:p w14:paraId="6E04C3BF" w14:textId="77777777" w:rsidR="007B09F4" w:rsidRPr="001570EA" w:rsidRDefault="007B09F4">
            <w:pPr>
              <w:keepNext/>
              <w:spacing w:before="60" w:after="60"/>
              <w:jc w:val="center"/>
              <w:rPr>
                <w:rFonts w:eastAsia="Calibri"/>
                <w:sz w:val="18"/>
                <w:szCs w:val="18"/>
              </w:rPr>
            </w:pPr>
            <w:r w:rsidRPr="001570EA">
              <w:rPr>
                <w:rFonts w:cs="Arial"/>
                <w:sz w:val="18"/>
                <w:szCs w:val="18"/>
              </w:rPr>
              <w:t>EDC Data Gathering</w:t>
            </w:r>
          </w:p>
        </w:tc>
        <w:tc>
          <w:tcPr>
            <w:tcW w:w="1062" w:type="pct"/>
            <w:tcBorders>
              <w:top w:val="single" w:sz="4" w:space="0" w:color="auto"/>
              <w:left w:val="single" w:sz="4" w:space="0" w:color="auto"/>
              <w:right w:val="single" w:sz="4" w:space="0" w:color="auto"/>
            </w:tcBorders>
            <w:vAlign w:val="center"/>
          </w:tcPr>
          <w:p w14:paraId="47D65878" w14:textId="77777777" w:rsidR="007B09F4" w:rsidRPr="001570EA" w:rsidRDefault="007B09F4">
            <w:pPr>
              <w:keepNext/>
              <w:spacing w:before="60" w:after="60"/>
              <w:jc w:val="center"/>
              <w:rPr>
                <w:rFonts w:eastAsia="Calibri" w:cs="Arial"/>
                <w:szCs w:val="18"/>
              </w:rPr>
            </w:pPr>
            <w:r w:rsidRPr="001570EA">
              <w:rPr>
                <w:rFonts w:cs="Arial"/>
                <w:sz w:val="18"/>
                <w:szCs w:val="18"/>
              </w:rPr>
              <w:t>EDC Data Gathering</w:t>
            </w:r>
          </w:p>
        </w:tc>
      </w:tr>
      <w:tr w:rsidR="007B09F4" w:rsidRPr="001570EA" w14:paraId="6262D1E1" w14:textId="77777777">
        <w:trPr>
          <w:trHeight w:val="307"/>
        </w:trPr>
        <w:tc>
          <w:tcPr>
            <w:tcW w:w="1454" w:type="pct"/>
            <w:vMerge/>
            <w:vAlign w:val="center"/>
          </w:tcPr>
          <w:p w14:paraId="55DEBC41" w14:textId="77777777" w:rsidR="007B09F4" w:rsidRPr="001570EA" w:rsidRDefault="007B09F4">
            <w:pPr>
              <w:pStyle w:val="TableCell"/>
              <w:keepNext w:val="0"/>
              <w:spacing w:before="60" w:after="60" w:line="256" w:lineRule="auto"/>
              <w:jc w:val="left"/>
              <w:rPr>
                <w:sz w:val="22"/>
                <w:szCs w:val="22"/>
              </w:rPr>
            </w:pPr>
          </w:p>
        </w:tc>
        <w:tc>
          <w:tcPr>
            <w:tcW w:w="675" w:type="pct"/>
            <w:vMerge/>
            <w:vAlign w:val="center"/>
          </w:tcPr>
          <w:p w14:paraId="5CE8FCED" w14:textId="77777777" w:rsidR="007B09F4" w:rsidRPr="001570EA" w:rsidRDefault="007B09F4">
            <w:pPr>
              <w:pStyle w:val="TableCell"/>
              <w:keepNext w:val="0"/>
              <w:spacing w:before="60" w:after="60" w:line="256" w:lineRule="auto"/>
              <w:jc w:val="center"/>
              <w:rPr>
                <w:i/>
                <w:iCs/>
                <w:szCs w:val="18"/>
              </w:rPr>
            </w:pPr>
          </w:p>
        </w:tc>
        <w:tc>
          <w:tcPr>
            <w:tcW w:w="1809" w:type="pct"/>
            <w:tcBorders>
              <w:left w:val="single" w:sz="4" w:space="0" w:color="auto"/>
              <w:bottom w:val="single" w:sz="4" w:space="0" w:color="auto"/>
              <w:right w:val="single" w:sz="4" w:space="0" w:color="auto"/>
            </w:tcBorders>
            <w:vAlign w:val="center"/>
          </w:tcPr>
          <w:p w14:paraId="713BFED7" w14:textId="77777777" w:rsidR="007B09F4" w:rsidRPr="001570EA" w:rsidRDefault="007B09F4">
            <w:pPr>
              <w:keepNext/>
              <w:spacing w:before="60" w:after="60"/>
              <w:jc w:val="center"/>
              <w:rPr>
                <w:rFonts w:eastAsia="Calibri"/>
                <w:sz w:val="18"/>
                <w:szCs w:val="18"/>
              </w:rPr>
            </w:pPr>
            <w:r w:rsidRPr="001570EA">
              <w:rPr>
                <w:rFonts w:eastAsia="Calibri"/>
                <w:sz w:val="18"/>
                <w:szCs w:val="18"/>
              </w:rPr>
              <w:t>61%</w:t>
            </w:r>
          </w:p>
        </w:tc>
        <w:tc>
          <w:tcPr>
            <w:tcW w:w="1062" w:type="pct"/>
            <w:tcBorders>
              <w:left w:val="single" w:sz="4" w:space="0" w:color="auto"/>
              <w:bottom w:val="single" w:sz="4" w:space="0" w:color="auto"/>
              <w:right w:val="single" w:sz="4" w:space="0" w:color="auto"/>
            </w:tcBorders>
            <w:vAlign w:val="center"/>
          </w:tcPr>
          <w:p w14:paraId="25AC69C8" w14:textId="77777777" w:rsidR="007B09F4" w:rsidRPr="001570EA" w:rsidRDefault="007B09F4">
            <w:pPr>
              <w:keepNext/>
              <w:spacing w:before="60" w:after="60"/>
              <w:jc w:val="center"/>
              <w:rPr>
                <w:rFonts w:eastAsia="Calibri" w:cs="Arial"/>
                <w:szCs w:val="18"/>
              </w:rPr>
            </w:pPr>
            <w:r w:rsidRPr="001570EA">
              <w:rPr>
                <w:rFonts w:eastAsia="Calibri" w:cs="Arial"/>
                <w:szCs w:val="18"/>
              </w:rPr>
              <w:t>5</w:t>
            </w:r>
          </w:p>
        </w:tc>
      </w:tr>
    </w:tbl>
    <w:p w14:paraId="0AEEFD7B" w14:textId="77777777" w:rsidR="007B09F4" w:rsidRPr="001570EA" w:rsidRDefault="007B09F4" w:rsidP="007B09F4">
      <w:pPr>
        <w:pStyle w:val="TableCell"/>
        <w:spacing w:before="0"/>
        <w:rPr>
          <w:i/>
          <w:sz w:val="16"/>
        </w:rPr>
      </w:pPr>
    </w:p>
    <w:p w14:paraId="0D7F034C" w14:textId="77777777" w:rsidR="007B09F4" w:rsidRPr="001570EA" w:rsidRDefault="007B09F4" w:rsidP="007B09F4">
      <w:pPr>
        <w:pStyle w:val="SubStyle"/>
        <w:rPr>
          <w:rFonts w:eastAsia="Calibri"/>
        </w:rPr>
      </w:pPr>
      <w:r w:rsidRPr="001570EA">
        <w:rPr>
          <w:rFonts w:eastAsia="Calibri"/>
        </w:rPr>
        <w:t>Default Savings</w:t>
      </w:r>
    </w:p>
    <w:p w14:paraId="5CAE2325" w14:textId="77777777" w:rsidR="007B09F4" w:rsidRPr="001570EA" w:rsidRDefault="007B09F4" w:rsidP="007B09F4">
      <w:pPr>
        <w:rPr>
          <w:rFonts w:eastAsia="Calibri"/>
        </w:rPr>
      </w:pPr>
      <w:r w:rsidRPr="001570EA">
        <w:rPr>
          <w:rFonts w:eastAsia="Calibri"/>
        </w:rPr>
        <w:t>Default savings for this measure are based on the default energy consumption and efficiencies for the efficient induction and baseline electric resistance measure.</w:t>
      </w:r>
    </w:p>
    <w:p w14:paraId="1F87268C" w14:textId="77777777" w:rsidR="007B09F4" w:rsidRPr="001570EA" w:rsidRDefault="007B09F4" w:rsidP="007B09F4">
      <w:pPr>
        <w:rPr>
          <w:rFonts w:eastAsia="Calibri"/>
        </w:rPr>
      </w:pPr>
    </w:p>
    <w:p w14:paraId="1EDE961D" w14:textId="77777777" w:rsidR="007B09F4" w:rsidRPr="001570EA" w:rsidRDefault="007B09F4" w:rsidP="007B09F4">
      <w:pPr>
        <w:pStyle w:val="Equation"/>
        <w:tabs>
          <w:tab w:val="clear" w:pos="720"/>
          <w:tab w:val="clear" w:pos="2880"/>
          <w:tab w:val="left" w:pos="2160"/>
        </w:tabs>
        <w:rPr>
          <w:rFonts w:cs="Arial"/>
        </w:rPr>
      </w:pPr>
      <w:r w:rsidRPr="001570EA">
        <w:rPr>
          <w:rFonts w:ascii="Cambria Math" w:hAnsi="Cambria Math" w:cs="Arial"/>
          <w:szCs w:val="20"/>
        </w:rPr>
        <w:t>ΔkWh</w:t>
      </w:r>
      <w:r w:rsidRPr="001570EA">
        <w:rPr>
          <w:rFonts w:ascii="Cambria Math" w:hAnsi="Cambria Math" w:cs="Arial"/>
          <w:szCs w:val="20"/>
          <w:vertAlign w:val="subscript"/>
        </w:rPr>
        <w:t>default</w:t>
      </w:r>
      <w:r w:rsidRPr="001570EA">
        <w:rPr>
          <w:rFonts w:cs="Arial"/>
          <w:szCs w:val="20"/>
        </w:rPr>
        <w:tab/>
      </w:r>
      <m:oMath>
        <m:r>
          <w:rPr>
            <w:rFonts w:ascii="Cambria Math" w:hAnsi="Cambria Math"/>
          </w:rPr>
          <m:t>=</m:t>
        </m:r>
        <m:sSub>
          <m:sSubPr>
            <m:ctrlPr>
              <w:rPr>
                <w:rFonts w:ascii="Cambria Math" w:hAnsi="Cambria Math"/>
              </w:rPr>
            </m:ctrlPr>
          </m:sSubPr>
          <m:e>
            <m:r>
              <w:rPr>
                <w:rFonts w:ascii="Cambria Math" w:hAnsi="Cambria Math"/>
              </w:rPr>
              <m:t>(AEC</m:t>
            </m:r>
          </m:e>
          <m:sub>
            <m:r>
              <w:rPr>
                <w:rFonts w:ascii="Cambria Math" w:hAnsi="Cambria Math"/>
              </w:rPr>
              <m:t>base,default</m:t>
            </m:r>
          </m:sub>
        </m:sSub>
        <m:r>
          <w:rPr>
            <w:rFonts w:ascii="Cambria Math" w:hAnsi="Cambria Math"/>
          </w:rPr>
          <m:t>-</m:t>
        </m:r>
        <m:sSub>
          <m:sSubPr>
            <m:ctrlPr>
              <w:rPr>
                <w:rFonts w:ascii="Cambria Math" w:hAnsi="Cambria Math"/>
                <w:i w:val="0"/>
              </w:rPr>
            </m:ctrlPr>
          </m:sSubPr>
          <m:e>
            <m:r>
              <w:rPr>
                <w:rFonts w:ascii="Cambria Math" w:hAnsi="Cambria Math"/>
              </w:rPr>
              <m:t>AEC</m:t>
            </m:r>
          </m:e>
          <m:sub>
            <m:r>
              <w:rPr>
                <w:rFonts w:ascii="Cambria Math" w:hAnsi="Cambria Math"/>
              </w:rPr>
              <m:t>ee,default</m:t>
            </m:r>
          </m:sub>
        </m:sSub>
        <m:r>
          <w:rPr>
            <w:rFonts w:ascii="Cambria Math" w:hAnsi="Cambria Math"/>
          </w:rPr>
          <m:t>)×</m:t>
        </m:r>
        <m:r>
          <w:rPr>
            <w:rFonts w:ascii="Cambria Math" w:eastAsia="Times New Roman" w:hAnsi="Cambria Math"/>
            <w:sz w:val="22"/>
            <w:szCs w:val="22"/>
          </w:rPr>
          <m:t xml:space="preserve"> </m:t>
        </m:r>
        <m:sSub>
          <m:sSubPr>
            <m:ctrlPr>
              <w:rPr>
                <w:rFonts w:ascii="Cambria Math" w:eastAsia="Times New Roman" w:hAnsi="Cambria Math"/>
                <w:sz w:val="22"/>
                <w:szCs w:val="22"/>
              </w:rPr>
            </m:ctrlPr>
          </m:sSubPr>
          <m:e>
            <m:r>
              <w:rPr>
                <w:rFonts w:ascii="Cambria Math" w:hAnsi="Cambria Math"/>
                <w:sz w:val="22"/>
                <w:szCs w:val="22"/>
              </w:rPr>
              <m:t>%</m:t>
            </m:r>
          </m:e>
          <m:sub>
            <m:r>
              <w:rPr>
                <w:rFonts w:ascii="Cambria Math" w:hAnsi="Cambria Math"/>
                <w:sz w:val="22"/>
                <w:szCs w:val="22"/>
              </w:rPr>
              <m:t>elec</m:t>
            </m:r>
          </m:sub>
        </m:sSub>
      </m:oMath>
    </w:p>
    <w:p w14:paraId="5C31946D" w14:textId="77777777" w:rsidR="007B09F4" w:rsidRPr="001570EA" w:rsidRDefault="007B09F4" w:rsidP="007B09F4">
      <w:pPr>
        <w:pStyle w:val="Equation"/>
        <w:tabs>
          <w:tab w:val="clear" w:pos="720"/>
          <w:tab w:val="clear" w:pos="2880"/>
          <w:tab w:val="left" w:pos="2160"/>
        </w:tabs>
        <w:rPr>
          <w:rFonts w:cs="Arial"/>
        </w:rPr>
      </w:pPr>
      <w:r w:rsidRPr="001570EA">
        <w:rPr>
          <w:rFonts w:cs="Arial"/>
          <w:szCs w:val="20"/>
        </w:rPr>
        <w:tab/>
      </w:r>
      <m:oMath>
        <m:r>
          <w:rPr>
            <w:rFonts w:ascii="Cambria Math" w:hAnsi="Cambria Math"/>
          </w:rPr>
          <m:t>=</m:t>
        </m:r>
        <m:d>
          <m:dPr>
            <m:ctrlPr>
              <w:rPr>
                <w:rFonts w:ascii="Cambria Math" w:hAnsi="Cambria Math"/>
              </w:rPr>
            </m:ctrlPr>
          </m:dPr>
          <m:e>
            <m:r>
              <w:rPr>
                <w:rFonts w:ascii="Cambria Math" w:hAnsi="Cambria Math"/>
              </w:rPr>
              <m:t>209-189</m:t>
            </m:r>
          </m:e>
        </m:d>
        <m:r>
          <w:rPr>
            <w:rFonts w:ascii="Cambria Math" w:hAnsi="Cambria Math"/>
          </w:rPr>
          <m:t>×61%</m:t>
        </m:r>
      </m:oMath>
    </w:p>
    <w:p w14:paraId="7517F4C8" w14:textId="77777777" w:rsidR="007B09F4" w:rsidRPr="001570EA" w:rsidRDefault="007B09F4" w:rsidP="007B09F4">
      <w:pPr>
        <w:pStyle w:val="Equation"/>
        <w:tabs>
          <w:tab w:val="clear" w:pos="720"/>
          <w:tab w:val="clear" w:pos="2880"/>
          <w:tab w:val="left" w:pos="2160"/>
        </w:tabs>
        <w:rPr>
          <w:rFonts w:cs="Arial"/>
        </w:rPr>
      </w:pPr>
      <w:r w:rsidRPr="001570EA">
        <w:rPr>
          <w:rFonts w:cs="Arial"/>
          <w:szCs w:val="20"/>
        </w:rPr>
        <w:tab/>
      </w:r>
      <m:oMath>
        <m:r>
          <w:rPr>
            <w:rFonts w:ascii="Cambria Math" w:hAnsi="Cambria Math"/>
          </w:rPr>
          <m:t>=12.2</m:t>
        </m:r>
      </m:oMath>
      <w:r w:rsidRPr="001570EA">
        <w:rPr>
          <w:rFonts w:cs="Arial"/>
        </w:rPr>
        <w:t xml:space="preserve"> </w:t>
      </w:r>
      <w:r w:rsidRPr="001570EA">
        <w:rPr>
          <w:rFonts w:ascii="Cambria Math" w:hAnsi="Cambria Math"/>
        </w:rPr>
        <w:t>kWh/yr</w:t>
      </w:r>
    </w:p>
    <w:p w14:paraId="33169F08" w14:textId="77777777" w:rsidR="007B09F4" w:rsidRPr="001570EA" w:rsidRDefault="007B09F4" w:rsidP="007B09F4">
      <w:pPr>
        <w:pStyle w:val="Equation"/>
        <w:tabs>
          <w:tab w:val="clear" w:pos="720"/>
          <w:tab w:val="clear" w:pos="2880"/>
          <w:tab w:val="left" w:pos="2160"/>
        </w:tabs>
      </w:pPr>
    </w:p>
    <w:p w14:paraId="05DFD1D9" w14:textId="77777777" w:rsidR="007B09F4" w:rsidRPr="001570EA" w:rsidRDefault="007B09F4" w:rsidP="007B09F4">
      <w:pPr>
        <w:pStyle w:val="Equation"/>
        <w:tabs>
          <w:tab w:val="clear" w:pos="720"/>
          <w:tab w:val="clear" w:pos="2880"/>
          <w:tab w:val="left" w:pos="2160"/>
        </w:tabs>
        <w:rPr>
          <w:rFonts w:cs="Arial"/>
          <w:lang w:val="es-ES"/>
        </w:rPr>
      </w:pPr>
      <w:r w:rsidRPr="001570EA">
        <w:rPr>
          <w:rFonts w:ascii="Cambria Math" w:hAnsi="Cambria Math" w:cs="Arial"/>
          <w:szCs w:val="20"/>
          <w:lang w:val="es-ES"/>
        </w:rPr>
        <w:t>AEC</w:t>
      </w:r>
      <w:r w:rsidRPr="001570EA">
        <w:rPr>
          <w:rFonts w:ascii="Cambria Math" w:hAnsi="Cambria Math" w:cs="Arial"/>
          <w:szCs w:val="20"/>
          <w:vertAlign w:val="subscript"/>
          <w:lang w:val="es-ES"/>
        </w:rPr>
        <w:t>base, default</w:t>
      </w:r>
      <w:r w:rsidRPr="001570EA">
        <w:rPr>
          <w:rFonts w:cs="Arial"/>
          <w:szCs w:val="20"/>
          <w:lang w:val="es-ES"/>
        </w:rPr>
        <w:tab/>
      </w:r>
      <m:oMath>
        <m:r>
          <w:rPr>
            <w:rFonts w:ascii="Cambria Math" w:hAnsi="Cambria Math"/>
            <w:lang w:val="es-ES"/>
          </w:rPr>
          <m:t>=</m:t>
        </m:r>
        <m:sSub>
          <m:sSubPr>
            <m:ctrlPr>
              <w:rPr>
                <w:rFonts w:ascii="Cambria Math" w:hAnsi="Cambria Math"/>
                <w:i w:val="0"/>
              </w:rPr>
            </m:ctrlPr>
          </m:sSubPr>
          <m:e>
            <m:r>
              <w:rPr>
                <w:rFonts w:ascii="Cambria Math" w:hAnsi="Cambria Math"/>
              </w:rPr>
              <m:t>AEC</m:t>
            </m:r>
          </m:e>
          <m:sub>
            <m:r>
              <w:rPr>
                <w:rFonts w:ascii="Cambria Math" w:hAnsi="Cambria Math"/>
              </w:rPr>
              <m:t>ee</m:t>
            </m:r>
            <m:r>
              <w:rPr>
                <w:rFonts w:ascii="Cambria Math" w:hAnsi="Cambria Math"/>
                <w:lang w:val="es-ES"/>
              </w:rPr>
              <m:t xml:space="preserve">, </m:t>
            </m:r>
            <m:r>
              <w:rPr>
                <w:rFonts w:ascii="Cambria Math" w:hAnsi="Cambria Math"/>
              </w:rPr>
              <m:t>default</m:t>
            </m:r>
          </m:sub>
        </m:sSub>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Eff</m:t>
                    </m:r>
                  </m:e>
                  <m:sub>
                    <m:r>
                      <w:rPr>
                        <w:rFonts w:ascii="Cambria Math" w:hAnsi="Cambria Math"/>
                      </w:rPr>
                      <m:t>ee</m:t>
                    </m:r>
                    <m:r>
                      <w:rPr>
                        <w:rFonts w:ascii="Cambria Math" w:hAnsi="Cambria Math"/>
                        <w:lang w:val="es-ES"/>
                      </w:rPr>
                      <m:t>,</m:t>
                    </m:r>
                    <m:r>
                      <w:rPr>
                        <w:rFonts w:ascii="Cambria Math" w:hAnsi="Cambria Math"/>
                      </w:rPr>
                      <m:t>default</m:t>
                    </m:r>
                  </m:sub>
                </m:sSub>
              </m:num>
              <m:den>
                <m:sSub>
                  <m:sSubPr>
                    <m:ctrlPr>
                      <w:rPr>
                        <w:rFonts w:ascii="Cambria Math" w:hAnsi="Cambria Math"/>
                      </w:rPr>
                    </m:ctrlPr>
                  </m:sSubPr>
                  <m:e>
                    <m:r>
                      <w:rPr>
                        <w:rFonts w:ascii="Cambria Math" w:hAnsi="Cambria Math"/>
                      </w:rPr>
                      <m:t>Eff</m:t>
                    </m:r>
                  </m:e>
                  <m:sub>
                    <m:r>
                      <w:rPr>
                        <w:rFonts w:ascii="Cambria Math" w:hAnsi="Cambria Math"/>
                      </w:rPr>
                      <m:t>base</m:t>
                    </m:r>
                    <m:r>
                      <w:rPr>
                        <w:rFonts w:ascii="Cambria Math" w:hAnsi="Cambria Math"/>
                        <w:lang w:val="es-ES"/>
                      </w:rPr>
                      <m:t>,</m:t>
                    </m:r>
                    <m:r>
                      <w:rPr>
                        <w:rFonts w:ascii="Cambria Math" w:hAnsi="Cambria Math"/>
                      </w:rPr>
                      <m:t>default</m:t>
                    </m:r>
                  </m:sub>
                </m:sSub>
              </m:den>
            </m:f>
          </m:e>
        </m:d>
      </m:oMath>
    </w:p>
    <w:p w14:paraId="7682206F" w14:textId="77777777" w:rsidR="007B09F4" w:rsidRPr="001570EA" w:rsidRDefault="007B09F4" w:rsidP="007B09F4">
      <w:pPr>
        <w:pStyle w:val="Equation"/>
        <w:tabs>
          <w:tab w:val="clear" w:pos="720"/>
          <w:tab w:val="clear" w:pos="2880"/>
          <w:tab w:val="left" w:pos="2160"/>
        </w:tabs>
        <w:rPr>
          <w:rFonts w:cs="Arial"/>
        </w:rPr>
      </w:pPr>
      <w:r w:rsidRPr="001570EA">
        <w:rPr>
          <w:rFonts w:cs="Arial"/>
          <w:szCs w:val="20"/>
          <w:lang w:val="es-ES"/>
        </w:rPr>
        <w:tab/>
      </w:r>
      <m:oMath>
        <m:r>
          <w:rPr>
            <w:rFonts w:ascii="Cambria Math" w:hAnsi="Cambria Math"/>
            <w:lang w:val="es-ES"/>
          </w:rPr>
          <m:t>=</m:t>
        </m:r>
        <m:r>
          <w:rPr>
            <w:rFonts w:ascii="Cambria Math" w:hAnsi="Cambria Math"/>
          </w:rPr>
          <m:t>189×</m:t>
        </m:r>
        <m:d>
          <m:dPr>
            <m:ctrlPr>
              <w:rPr>
                <w:rFonts w:ascii="Cambria Math" w:hAnsi="Cambria Math"/>
              </w:rPr>
            </m:ctrlPr>
          </m:dPr>
          <m:e>
            <m:f>
              <m:fPr>
                <m:ctrlPr>
                  <w:rPr>
                    <w:rFonts w:ascii="Cambria Math" w:hAnsi="Cambria Math"/>
                  </w:rPr>
                </m:ctrlPr>
              </m:fPr>
              <m:num>
                <m:r>
                  <w:rPr>
                    <w:rFonts w:ascii="Cambria Math" w:hAnsi="Cambria Math"/>
                  </w:rPr>
                  <m:t>85</m:t>
                </m:r>
              </m:num>
              <m:den>
                <m:r>
                  <w:rPr>
                    <w:rFonts w:ascii="Cambria Math" w:hAnsi="Cambria Math"/>
                  </w:rPr>
                  <m:t>77</m:t>
                </m:r>
              </m:den>
            </m:f>
          </m:e>
        </m:d>
      </m:oMath>
    </w:p>
    <w:p w14:paraId="792341C6" w14:textId="77777777" w:rsidR="007B09F4" w:rsidRPr="001570EA" w:rsidRDefault="007B09F4" w:rsidP="007B09F4">
      <w:pPr>
        <w:pStyle w:val="Equation"/>
        <w:tabs>
          <w:tab w:val="clear" w:pos="720"/>
          <w:tab w:val="clear" w:pos="2880"/>
          <w:tab w:val="left" w:pos="2160"/>
        </w:tabs>
        <w:rPr>
          <w:rFonts w:cs="Arial"/>
        </w:rPr>
      </w:pPr>
      <w:r w:rsidRPr="001570EA">
        <w:rPr>
          <w:rFonts w:cs="Arial"/>
          <w:szCs w:val="20"/>
          <w:lang w:val="es-ES"/>
        </w:rPr>
        <w:tab/>
      </w:r>
      <m:oMath>
        <m:r>
          <w:rPr>
            <w:rFonts w:ascii="Cambria Math" w:hAnsi="Cambria Math"/>
          </w:rPr>
          <m:t>=209</m:t>
        </m:r>
      </m:oMath>
      <w:r w:rsidRPr="001570EA">
        <w:rPr>
          <w:rFonts w:ascii="Cambria Math" w:hAnsi="Cambria Math"/>
        </w:rPr>
        <w:t xml:space="preserve"> kWh/yr</w:t>
      </w:r>
    </w:p>
    <w:p w14:paraId="589F4815" w14:textId="77777777" w:rsidR="007B09F4" w:rsidRPr="001570EA" w:rsidRDefault="007B09F4" w:rsidP="007B09F4">
      <w:pPr>
        <w:pStyle w:val="Equation"/>
        <w:tabs>
          <w:tab w:val="clear" w:pos="720"/>
          <w:tab w:val="clear" w:pos="2880"/>
          <w:tab w:val="left" w:pos="2160"/>
        </w:tabs>
        <w:rPr>
          <w:rFonts w:cs="Arial"/>
        </w:rPr>
      </w:pPr>
    </w:p>
    <w:p w14:paraId="719D30E8" w14:textId="77777777" w:rsidR="007B09F4" w:rsidRPr="001570EA" w:rsidRDefault="007B09F4" w:rsidP="007B09F4">
      <w:pPr>
        <w:pStyle w:val="Equation"/>
        <w:tabs>
          <w:tab w:val="clear" w:pos="720"/>
          <w:tab w:val="clear" w:pos="2880"/>
          <w:tab w:val="left" w:pos="2160"/>
        </w:tabs>
        <w:rPr>
          <w:rFonts w:cs="Arial"/>
        </w:rPr>
      </w:pPr>
      <w:r w:rsidRPr="001570EA">
        <w:rPr>
          <w:rFonts w:ascii="Cambria Math" w:hAnsi="Cambria Math" w:cs="Arial"/>
          <w:szCs w:val="20"/>
        </w:rPr>
        <w:t>AEC</w:t>
      </w:r>
      <w:r w:rsidRPr="001570EA">
        <w:rPr>
          <w:rFonts w:ascii="Cambria Math" w:hAnsi="Cambria Math" w:cs="Arial"/>
          <w:szCs w:val="20"/>
          <w:vertAlign w:val="subscript"/>
        </w:rPr>
        <w:t>ee, default</w:t>
      </w:r>
      <w:r w:rsidRPr="001570EA">
        <w:rPr>
          <w:rFonts w:cs="Arial"/>
          <w:szCs w:val="20"/>
        </w:rPr>
        <w:tab/>
      </w:r>
      <m:oMath>
        <m:r>
          <w:rPr>
            <w:rFonts w:ascii="Cambria Math" w:hAnsi="Cambria Math"/>
          </w:rPr>
          <m:t>=189</m:t>
        </m:r>
      </m:oMath>
      <w:r w:rsidRPr="001570EA">
        <w:rPr>
          <w:rFonts w:cs="Arial"/>
        </w:rPr>
        <w:t xml:space="preserve"> </w:t>
      </w:r>
      <w:r w:rsidRPr="001570EA">
        <w:rPr>
          <w:rFonts w:ascii="Cambria Math" w:hAnsi="Cambria Math"/>
        </w:rPr>
        <w:t>kWh/yr</w:t>
      </w:r>
    </w:p>
    <w:p w14:paraId="366A27F9" w14:textId="77777777" w:rsidR="007B09F4" w:rsidRPr="001570EA" w:rsidRDefault="007B09F4" w:rsidP="007B09F4">
      <w:pPr>
        <w:pStyle w:val="Equation"/>
        <w:tabs>
          <w:tab w:val="clear" w:pos="720"/>
          <w:tab w:val="clear" w:pos="2880"/>
          <w:tab w:val="left" w:pos="2160"/>
        </w:tabs>
        <w:ind w:left="0" w:firstLine="0"/>
      </w:pPr>
    </w:p>
    <w:p w14:paraId="218C4051" w14:textId="77777777" w:rsidR="007B09F4" w:rsidRPr="001570EA" w:rsidRDefault="007B09F4" w:rsidP="007B09F4">
      <w:pPr>
        <w:pStyle w:val="Equation"/>
        <w:tabs>
          <w:tab w:val="clear" w:pos="720"/>
          <w:tab w:val="clear" w:pos="2880"/>
          <w:tab w:val="left" w:pos="2160"/>
        </w:tabs>
        <w:rPr>
          <w:rFonts w:ascii="Cambria Math" w:hAnsi="Cambria Math" w:cs="Arial"/>
          <w:szCs w:val="20"/>
        </w:rPr>
      </w:pPr>
      <w:r w:rsidRPr="001570EA">
        <w:rPr>
          <w:rFonts w:ascii="Cambria Math" w:hAnsi="Cambria Math" w:cs="Arial"/>
          <w:szCs w:val="20"/>
        </w:rPr>
        <w:t>ΔkW</w:t>
      </w:r>
      <w:r w:rsidRPr="001570EA">
        <w:rPr>
          <w:rFonts w:ascii="Cambria Math" w:hAnsi="Cambria Math" w:cs="Arial"/>
          <w:szCs w:val="20"/>
          <w:vertAlign w:val="subscript"/>
        </w:rPr>
        <w:t>summer peak</w:t>
      </w:r>
      <w:r w:rsidRPr="001570EA">
        <w:rPr>
          <w:rFonts w:ascii="Cambria Math" w:hAnsi="Cambria Math" w:cs="Arial"/>
          <w:szCs w:val="20"/>
          <w:vertAlign w:val="subscript"/>
        </w:rPr>
        <w:tab/>
      </w:r>
      <w:r w:rsidRPr="001570EA">
        <w:rPr>
          <w:rFonts w:ascii="Cambria Math" w:hAnsi="Cambria Math" w:cs="Arial"/>
          <w:szCs w:val="20"/>
        </w:rPr>
        <w:t>=</w:t>
      </w:r>
      <w:r w:rsidRPr="001570EA">
        <w:rPr>
          <w:rFonts w:ascii="Cambria Math" w:hAnsi="Cambria Math" w:cs="Arial"/>
          <w:szCs w:val="20"/>
          <w:vertAlign w:val="subscript"/>
        </w:rPr>
        <w:t xml:space="preserve"> </w:t>
      </w:r>
      <m:oMath>
        <m:sSub>
          <m:sSubPr>
            <m:ctrlPr>
              <w:rPr>
                <w:rFonts w:ascii="Cambria Math" w:hAnsi="Cambria Math" w:cs="Arial"/>
                <w:szCs w:val="20"/>
              </w:rPr>
            </m:ctrlPr>
          </m:sSubPr>
          <m:e>
            <m:r>
              <w:rPr>
                <w:rFonts w:ascii="Cambria Math" w:hAnsi="Cambria Math" w:cs="Arial"/>
                <w:szCs w:val="20"/>
                <w:vertAlign w:val="subscript"/>
              </w:rPr>
              <m:t xml:space="preserve"> </m:t>
            </m:r>
            <m:r>
              <w:rPr>
                <w:rFonts w:ascii="Cambria Math" w:hAnsi="Cambria Math" w:cs="Arial"/>
                <w:szCs w:val="20"/>
              </w:rPr>
              <m:t>ΔkWh</m:t>
            </m:r>
          </m:e>
          <m:sub>
            <m:r>
              <w:rPr>
                <w:rFonts w:ascii="Cambria Math" w:hAnsi="Cambria Math" w:cs="Arial"/>
                <w:szCs w:val="20"/>
                <w:vertAlign w:val="subscript"/>
              </w:rPr>
              <m:t>default</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ETDF</m:t>
            </m:r>
          </m:e>
          <m:sub>
            <m:r>
              <w:rPr>
                <w:rFonts w:ascii="Cambria Math" w:hAnsi="Cambria Math" w:cs="Arial"/>
                <w:szCs w:val="20"/>
              </w:rPr>
              <m:t>s</m:t>
            </m:r>
          </m:sub>
        </m:sSub>
      </m:oMath>
    </w:p>
    <w:p w14:paraId="1C8C3A7F" w14:textId="77777777" w:rsidR="007B09F4" w:rsidRPr="001570EA" w:rsidRDefault="007B09F4" w:rsidP="007B09F4">
      <w:pPr>
        <w:pStyle w:val="Equation"/>
        <w:tabs>
          <w:tab w:val="clear" w:pos="720"/>
          <w:tab w:val="clear" w:pos="2880"/>
          <w:tab w:val="left" w:pos="2160"/>
        </w:tabs>
        <w:rPr>
          <w:rFonts w:ascii="Cambria Math" w:hAnsi="Cambria Math" w:cs="Arial"/>
          <w:szCs w:val="20"/>
        </w:rPr>
      </w:pPr>
      <w:r w:rsidRPr="001570EA">
        <w:rPr>
          <w:rFonts w:ascii="Cambria Math" w:hAnsi="Cambria Math" w:cs="Arial"/>
          <w:szCs w:val="20"/>
        </w:rPr>
        <w:tab/>
        <w:t xml:space="preserve">= </w:t>
      </w:r>
      <m:oMath>
        <m:r>
          <w:rPr>
            <w:rFonts w:ascii="Cambria Math" w:hAnsi="Cambria Math" w:cs="Arial"/>
            <w:szCs w:val="20"/>
          </w:rPr>
          <m:t>12.2×0.0002153</m:t>
        </m:r>
      </m:oMath>
    </w:p>
    <w:p w14:paraId="4AACD029" w14:textId="77777777" w:rsidR="007B09F4" w:rsidRPr="001570EA" w:rsidRDefault="007B09F4" w:rsidP="007B09F4">
      <w:pPr>
        <w:pStyle w:val="Equation"/>
        <w:tabs>
          <w:tab w:val="clear" w:pos="720"/>
          <w:tab w:val="clear" w:pos="2880"/>
          <w:tab w:val="left" w:pos="2160"/>
        </w:tabs>
        <w:rPr>
          <w:rFonts w:ascii="Cambria Math" w:hAnsi="Cambria Math" w:cs="Arial"/>
          <w:szCs w:val="20"/>
        </w:rPr>
      </w:pPr>
      <w:r w:rsidRPr="001570EA">
        <w:rPr>
          <w:rFonts w:ascii="Cambria Math" w:hAnsi="Cambria Math" w:cs="Arial"/>
          <w:szCs w:val="20"/>
        </w:rPr>
        <w:tab/>
        <w:t>= 0.0026 kW</w:t>
      </w:r>
    </w:p>
    <w:p w14:paraId="62BA8D4F" w14:textId="77777777" w:rsidR="007B09F4" w:rsidRPr="001570EA" w:rsidRDefault="007B09F4" w:rsidP="007B09F4">
      <w:pPr>
        <w:pStyle w:val="Equation"/>
        <w:tabs>
          <w:tab w:val="clear" w:pos="720"/>
          <w:tab w:val="clear" w:pos="2880"/>
          <w:tab w:val="left" w:pos="2160"/>
        </w:tabs>
        <w:rPr>
          <w:rFonts w:ascii="Cambria Math" w:hAnsi="Cambria Math" w:cs="Arial"/>
          <w:szCs w:val="20"/>
        </w:rPr>
      </w:pPr>
    </w:p>
    <w:p w14:paraId="29CBF66D" w14:textId="77777777" w:rsidR="007B09F4" w:rsidRPr="001570EA" w:rsidRDefault="007B09F4" w:rsidP="007B09F4">
      <w:pPr>
        <w:pStyle w:val="Equation"/>
        <w:tabs>
          <w:tab w:val="clear" w:pos="720"/>
          <w:tab w:val="clear" w:pos="2880"/>
          <w:tab w:val="left" w:pos="2160"/>
        </w:tabs>
        <w:rPr>
          <w:rFonts w:ascii="Cambria Math" w:hAnsi="Cambria Math" w:cs="Arial"/>
          <w:szCs w:val="20"/>
        </w:rPr>
      </w:pPr>
      <w:r w:rsidRPr="001570EA">
        <w:rPr>
          <w:rFonts w:ascii="Cambria Math" w:hAnsi="Cambria Math" w:cs="Arial"/>
          <w:szCs w:val="20"/>
        </w:rPr>
        <w:t>ΔkW</w:t>
      </w:r>
      <w:r w:rsidRPr="001570EA">
        <w:rPr>
          <w:rFonts w:ascii="Cambria Math" w:hAnsi="Cambria Math" w:cs="Arial"/>
          <w:szCs w:val="20"/>
          <w:vertAlign w:val="subscript"/>
        </w:rPr>
        <w:t>winter peak</w:t>
      </w:r>
      <w:r w:rsidRPr="001570EA">
        <w:rPr>
          <w:rFonts w:ascii="Cambria Math" w:hAnsi="Cambria Math" w:cs="Arial"/>
          <w:szCs w:val="20"/>
          <w:vertAlign w:val="subscript"/>
        </w:rPr>
        <w:tab/>
      </w:r>
      <w:r w:rsidRPr="001570EA">
        <w:rPr>
          <w:rFonts w:ascii="Cambria Math" w:hAnsi="Cambria Math" w:cs="Arial"/>
          <w:szCs w:val="20"/>
        </w:rPr>
        <w:t>=</w:t>
      </w:r>
      <w:r w:rsidRPr="001570EA">
        <w:rPr>
          <w:rFonts w:ascii="Cambria Math" w:hAnsi="Cambria Math" w:cs="Arial"/>
          <w:szCs w:val="20"/>
          <w:vertAlign w:val="subscript"/>
        </w:rPr>
        <w:t xml:space="preserve"> </w:t>
      </w:r>
      <m:oMath>
        <m:sSub>
          <m:sSubPr>
            <m:ctrlPr>
              <w:rPr>
                <w:rFonts w:ascii="Cambria Math" w:hAnsi="Cambria Math" w:cs="Arial"/>
                <w:szCs w:val="20"/>
              </w:rPr>
            </m:ctrlPr>
          </m:sSubPr>
          <m:e>
            <m:r>
              <w:rPr>
                <w:rFonts w:ascii="Cambria Math" w:hAnsi="Cambria Math" w:cs="Arial"/>
                <w:szCs w:val="20"/>
                <w:vertAlign w:val="subscript"/>
              </w:rPr>
              <m:t xml:space="preserve"> </m:t>
            </m:r>
            <m:r>
              <w:rPr>
                <w:rFonts w:ascii="Cambria Math" w:hAnsi="Cambria Math" w:cs="Arial"/>
                <w:szCs w:val="20"/>
              </w:rPr>
              <m:t>ΔkWh</m:t>
            </m:r>
          </m:e>
          <m:sub>
            <m:r>
              <w:rPr>
                <w:rFonts w:ascii="Cambria Math" w:hAnsi="Cambria Math" w:cs="Arial"/>
                <w:szCs w:val="20"/>
                <w:vertAlign w:val="subscript"/>
              </w:rPr>
              <m:t>default</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ETDF</m:t>
            </m:r>
          </m:e>
          <m:sub>
            <m:r>
              <w:rPr>
                <w:rFonts w:ascii="Cambria Math" w:hAnsi="Cambria Math" w:cs="Arial"/>
                <w:szCs w:val="20"/>
              </w:rPr>
              <m:t>w</m:t>
            </m:r>
          </m:sub>
        </m:sSub>
      </m:oMath>
    </w:p>
    <w:p w14:paraId="10B98E90" w14:textId="77777777" w:rsidR="007B09F4" w:rsidRPr="001570EA" w:rsidRDefault="007B09F4" w:rsidP="007B09F4">
      <w:pPr>
        <w:pStyle w:val="Equation"/>
        <w:tabs>
          <w:tab w:val="clear" w:pos="720"/>
          <w:tab w:val="clear" w:pos="2880"/>
          <w:tab w:val="left" w:pos="2160"/>
        </w:tabs>
        <w:rPr>
          <w:rFonts w:ascii="Cambria Math" w:hAnsi="Cambria Math" w:cs="Arial"/>
          <w:szCs w:val="20"/>
        </w:rPr>
      </w:pPr>
      <w:r w:rsidRPr="001570EA">
        <w:rPr>
          <w:rFonts w:ascii="Cambria Math" w:hAnsi="Cambria Math" w:cs="Arial"/>
          <w:szCs w:val="20"/>
        </w:rPr>
        <w:tab/>
        <w:t xml:space="preserve">= </w:t>
      </w:r>
      <m:oMath>
        <m:r>
          <w:rPr>
            <w:rFonts w:ascii="Cambria Math" w:hAnsi="Cambria Math" w:cs="Arial"/>
            <w:szCs w:val="20"/>
          </w:rPr>
          <m:t>12.2×0.0002237</m:t>
        </m:r>
      </m:oMath>
    </w:p>
    <w:p w14:paraId="399EF16C" w14:textId="77777777" w:rsidR="007B09F4" w:rsidRPr="001570EA" w:rsidRDefault="007B09F4" w:rsidP="007B09F4">
      <w:pPr>
        <w:pStyle w:val="Equation"/>
        <w:tabs>
          <w:tab w:val="clear" w:pos="720"/>
          <w:tab w:val="clear" w:pos="2880"/>
          <w:tab w:val="left" w:pos="2160"/>
        </w:tabs>
        <w:rPr>
          <w:rFonts w:ascii="Cambria Math" w:hAnsi="Cambria Math" w:cs="Arial"/>
        </w:rPr>
      </w:pPr>
      <w:r w:rsidRPr="001570EA">
        <w:rPr>
          <w:rFonts w:ascii="Cambria Math" w:hAnsi="Cambria Math" w:cs="Arial"/>
          <w:szCs w:val="20"/>
        </w:rPr>
        <w:tab/>
        <w:t>= 0.0027 kW</w:t>
      </w:r>
      <w:r w:rsidRPr="001570EA">
        <w:rPr>
          <w:rFonts w:ascii="Cambria Math" w:hAnsi="Cambria Math" w:cs="Arial"/>
          <w:szCs w:val="20"/>
          <w:vertAlign w:val="subscript"/>
        </w:rPr>
        <w:tab/>
      </w:r>
    </w:p>
    <w:p w14:paraId="21A07E2C" w14:textId="77777777" w:rsidR="007B09F4" w:rsidRPr="001570EA" w:rsidRDefault="007B09F4" w:rsidP="007B09F4">
      <w:pPr>
        <w:pStyle w:val="Equation"/>
        <w:tabs>
          <w:tab w:val="clear" w:pos="720"/>
          <w:tab w:val="clear" w:pos="2880"/>
          <w:tab w:val="left" w:pos="2160"/>
        </w:tabs>
      </w:pPr>
    </w:p>
    <w:p w14:paraId="251531D5" w14:textId="77777777" w:rsidR="007B09F4" w:rsidRPr="001570EA" w:rsidRDefault="007B09F4" w:rsidP="007B09F4">
      <w:pPr>
        <w:pStyle w:val="SubStyle"/>
        <w:rPr>
          <w:rFonts w:eastAsia="Calibri"/>
        </w:rPr>
      </w:pPr>
      <w:r w:rsidRPr="001570EA">
        <w:rPr>
          <w:rFonts w:eastAsia="Calibri"/>
        </w:rPr>
        <w:t>Evaluation Protocols</w:t>
      </w:r>
    </w:p>
    <w:p w14:paraId="392575AC" w14:textId="77777777" w:rsidR="007B09F4" w:rsidRPr="001570EA" w:rsidRDefault="007B09F4" w:rsidP="007B09F4">
      <w:pPr>
        <w:pStyle w:val="BodyText"/>
        <w:ind w:right="0"/>
      </w:pPr>
      <w:r w:rsidRPr="001570EA">
        <w:t>For most projects, the appropriate evaluation protocol is to verify installation and proper selection of default values. For projects using customer-specific data for open variables, the appropriate evaluation protocol is to verify installation and proper application of TRM protocol along with verification of open variables. Evaluation contractors may choose to propose independent assessments of the ESF factors to the SWE in their EM&amp;V plans. The Pennsylvania Evaluation Framework provides specific guidelines and requirements for evaluation procedures.</w:t>
      </w:r>
    </w:p>
    <w:p w14:paraId="6D201149" w14:textId="77777777" w:rsidR="007B09F4" w:rsidRPr="001570EA" w:rsidRDefault="007B09F4" w:rsidP="007B09F4">
      <w:pPr>
        <w:pStyle w:val="BodyText"/>
        <w:ind w:right="0"/>
      </w:pPr>
    </w:p>
    <w:p w14:paraId="02441A81" w14:textId="77777777" w:rsidR="007B09F4" w:rsidRPr="001570EA" w:rsidRDefault="007B09F4" w:rsidP="007B09F4">
      <w:pPr>
        <w:pStyle w:val="SubStyle"/>
      </w:pPr>
      <w:r w:rsidRPr="001570EA">
        <w:t>Sources</w:t>
      </w:r>
    </w:p>
    <w:p w14:paraId="09B97972" w14:textId="3FD4E74F" w:rsidR="007B09F4" w:rsidRPr="001570EA" w:rsidRDefault="007B09F4" w:rsidP="007B09F4">
      <w:pPr>
        <w:pStyle w:val="source10"/>
        <w:numPr>
          <w:ilvl w:val="0"/>
          <w:numId w:val="16"/>
        </w:numPr>
        <w:spacing w:after="120"/>
        <w:ind w:left="360"/>
        <w:jc w:val="left"/>
        <w:rPr>
          <w:rFonts w:eastAsia="Calibri"/>
        </w:rPr>
      </w:pPr>
      <w:r w:rsidRPr="001570EA">
        <w:rPr>
          <w:rFonts w:eastAsia="Calibri"/>
        </w:rPr>
        <w:t xml:space="preserve">Federal Register 10 CFR Parts 429 and 430. Vol. 81, No. 171. (2016, September). Measure life capped at 15 years per PA Act 129. </w:t>
      </w:r>
      <w:hyperlink r:id="rId258" w:history="1">
        <w:r w:rsidRPr="001570EA">
          <w:rPr>
            <w:rStyle w:val="Hyperlink"/>
            <w:rFonts w:eastAsia="Calibri" w:cs="Arial"/>
          </w:rPr>
          <w:t>Weblink</w:t>
        </w:r>
      </w:hyperlink>
    </w:p>
    <w:p w14:paraId="2B74AED5" w14:textId="4194DE53" w:rsidR="007B09F4" w:rsidRPr="001570EA" w:rsidRDefault="007B09F4" w:rsidP="007B09F4">
      <w:pPr>
        <w:pStyle w:val="source10"/>
        <w:numPr>
          <w:ilvl w:val="0"/>
          <w:numId w:val="16"/>
        </w:numPr>
        <w:spacing w:after="120"/>
        <w:ind w:left="360"/>
        <w:jc w:val="left"/>
        <w:rPr>
          <w:rStyle w:val="Hyperlink"/>
          <w:rFonts w:eastAsia="Calibri" w:cs="Arial"/>
          <w:color w:val="auto"/>
          <w:u w:val="none"/>
        </w:rPr>
      </w:pPr>
      <w:r w:rsidRPr="001570EA">
        <w:rPr>
          <w:rStyle w:val="Hyperlink"/>
          <w:rFonts w:eastAsia="Calibri" w:cs="Arial"/>
          <w:color w:val="auto"/>
          <w:u w:val="none"/>
        </w:rPr>
        <w:t xml:space="preserve">Assigned value for ENERGY STAR-certified Residential Induction Cooktops. QPL accessed 11/21/2023. </w:t>
      </w:r>
      <w:hyperlink r:id="rId259" w:history="1">
        <w:r w:rsidRPr="001570EA">
          <w:rPr>
            <w:rStyle w:val="Hyperlink"/>
            <w:rFonts w:eastAsia="Calibri" w:cs="Arial"/>
          </w:rPr>
          <w:t>Weblink</w:t>
        </w:r>
      </w:hyperlink>
    </w:p>
    <w:p w14:paraId="3663F67D" w14:textId="3B4E7CF7" w:rsidR="007B09F4" w:rsidRPr="001570EA" w:rsidRDefault="007B09F4" w:rsidP="007B09F4">
      <w:pPr>
        <w:pStyle w:val="source10"/>
        <w:numPr>
          <w:ilvl w:val="0"/>
          <w:numId w:val="16"/>
        </w:numPr>
        <w:spacing w:after="120"/>
        <w:ind w:left="360"/>
        <w:jc w:val="left"/>
      </w:pPr>
      <w:r w:rsidRPr="001570EA">
        <w:t xml:space="preserve">Livchak, D., Hedrick R., and Young, R. (2019, July). “Residential Cooktop Performance and Energy Comparison Study”. Frontier Energy Report # 501318071-R0. </w:t>
      </w:r>
      <w:hyperlink r:id="rId260" w:history="1">
        <w:r w:rsidRPr="001570EA">
          <w:rPr>
            <w:rStyle w:val="Hyperlink"/>
            <w:rFonts w:cs="Arial"/>
          </w:rPr>
          <w:t>Weblink</w:t>
        </w:r>
      </w:hyperlink>
    </w:p>
    <w:p w14:paraId="33F3F131" w14:textId="6733EEFD" w:rsidR="007B09F4" w:rsidRPr="001570EA" w:rsidRDefault="007B09F4" w:rsidP="007B09F4">
      <w:pPr>
        <w:pStyle w:val="source10"/>
        <w:numPr>
          <w:ilvl w:val="0"/>
          <w:numId w:val="16"/>
        </w:numPr>
        <w:spacing w:after="120"/>
        <w:ind w:left="360"/>
        <w:jc w:val="left"/>
      </w:pPr>
      <w:r w:rsidRPr="001570EA">
        <w:t xml:space="preserve">Wilson et al. 2021. End-Use Load Profiles for the U.S. Building Stock: Methodology and Results of Model Calibration, Validation, and Uncertainty Quantification. NREL/TP-5500-80889. </w:t>
      </w:r>
      <w:hyperlink r:id="rId261" w:history="1">
        <w:r w:rsidRPr="001570EA">
          <w:rPr>
            <w:rStyle w:val="Hyperlink"/>
            <w:rFonts w:cs="Arial"/>
          </w:rPr>
          <w:t>Weblink</w:t>
        </w:r>
      </w:hyperlink>
      <w:r w:rsidRPr="001570EA">
        <w:t xml:space="preserve">  </w:t>
      </w:r>
    </w:p>
    <w:p w14:paraId="3078A371" w14:textId="77E576F3" w:rsidR="007B09F4" w:rsidRPr="001570EA" w:rsidRDefault="007B09F4" w:rsidP="007B09F4">
      <w:pPr>
        <w:pStyle w:val="source10"/>
        <w:numPr>
          <w:ilvl w:val="0"/>
          <w:numId w:val="16"/>
        </w:numPr>
        <w:spacing w:after="120"/>
        <w:ind w:left="360"/>
        <w:jc w:val="left"/>
      </w:pPr>
      <w:r w:rsidRPr="001570EA">
        <w:t xml:space="preserve">NMR Group for the Pennsylvania Public Utility Commission. (2024, March). 2023 Pennsylvania Statewide Act 129 Residential Baseline Study. Page 145, Table 130. </w:t>
      </w:r>
      <w:hyperlink r:id="rId262" w:history="1">
        <w:r w:rsidRPr="001570EA">
          <w:rPr>
            <w:rStyle w:val="Hyperlink"/>
            <w:rFonts w:cs="Arial"/>
          </w:rPr>
          <w:t>Weblink</w:t>
        </w:r>
      </w:hyperlink>
    </w:p>
    <w:p w14:paraId="1F22FA33" w14:textId="77777777" w:rsidR="007B09F4" w:rsidRPr="001570EA" w:rsidRDefault="007B09F4" w:rsidP="007B09F4">
      <w:pPr>
        <w:spacing w:after="160" w:line="259" w:lineRule="auto"/>
        <w:ind w:firstLine="360"/>
        <w:jc w:val="left"/>
        <w:rPr>
          <w:rStyle w:val="Hyperlink"/>
          <w:rFonts w:cs="Arial"/>
          <w:color w:val="auto"/>
          <w:szCs w:val="20"/>
          <w:u w:val="none"/>
        </w:rPr>
      </w:pPr>
    </w:p>
    <w:p w14:paraId="6FC987EC" w14:textId="1BE52955" w:rsidR="007B09F4" w:rsidRPr="001570EA" w:rsidRDefault="007B09F4" w:rsidP="004E6452">
      <w:pPr>
        <w:jc w:val="left"/>
      </w:pPr>
      <w:r w:rsidRPr="001570EA">
        <w:br w:type="page"/>
      </w:r>
    </w:p>
    <w:p w14:paraId="69F0342A" w14:textId="77777777" w:rsidR="004E6452" w:rsidRPr="001570EA" w:rsidRDefault="004E6452" w:rsidP="004E6452">
      <w:pPr>
        <w:jc w:val="left"/>
        <w:rPr>
          <w:szCs w:val="20"/>
        </w:rPr>
      </w:pPr>
    </w:p>
    <w:p w14:paraId="21706BC9" w14:textId="77777777" w:rsidR="004E6452" w:rsidRPr="001570EA" w:rsidRDefault="004E6452" w:rsidP="00462D97">
      <w:pPr>
        <w:pStyle w:val="Heading3"/>
      </w:pPr>
      <w:bookmarkStart w:id="581" w:name="_Toc164786667"/>
      <w:r w:rsidRPr="001570EA">
        <w:t>ENERGY STAR Clothes Washers</w:t>
      </w:r>
      <w:bookmarkEnd w:id="571"/>
      <w:bookmarkEnd w:id="573"/>
      <w:bookmarkEnd w:id="581"/>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8"/>
        <w:gridCol w:w="4964"/>
      </w:tblGrid>
      <w:tr w:rsidR="004E6452" w:rsidRPr="001570EA" w14:paraId="78C519E1"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70E3CC04" w14:textId="77777777" w:rsidR="004E6452" w:rsidRPr="001570EA" w:rsidRDefault="004E6452">
            <w:pPr>
              <w:pStyle w:val="TableCell"/>
              <w:spacing w:before="60" w:after="60"/>
              <w:rPr>
                <w:b/>
                <w:bCs/>
                <w:color w:val="000000"/>
              </w:rPr>
            </w:pPr>
            <w:r w:rsidRPr="001570EA">
              <w:rPr>
                <w:b/>
                <w:bCs/>
                <w:color w:val="000000"/>
              </w:rPr>
              <w:t>Target Sector</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E16B906" w14:textId="77777777" w:rsidR="004E6452" w:rsidRPr="001570EA" w:rsidRDefault="004E6452">
            <w:pPr>
              <w:pStyle w:val="TableCell"/>
              <w:spacing w:before="60" w:after="60"/>
              <w:jc w:val="center"/>
              <w:rPr>
                <w:color w:val="000000"/>
              </w:rPr>
            </w:pPr>
            <w:r w:rsidRPr="001570EA">
              <w:rPr>
                <w:color w:val="000000"/>
              </w:rPr>
              <w:t xml:space="preserve">Residential </w:t>
            </w:r>
          </w:p>
        </w:tc>
      </w:tr>
      <w:tr w:rsidR="004E6452" w:rsidRPr="001570EA" w14:paraId="05845A39"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3C7ED2EF" w14:textId="77777777" w:rsidR="004E6452" w:rsidRPr="001570EA" w:rsidRDefault="004E6452">
            <w:pPr>
              <w:pStyle w:val="TableCell"/>
              <w:spacing w:before="60" w:after="60"/>
              <w:rPr>
                <w:b/>
                <w:bCs/>
                <w:color w:val="000000"/>
              </w:rPr>
            </w:pPr>
            <w:r w:rsidRPr="001570EA">
              <w:rPr>
                <w:b/>
                <w:bCs/>
                <w:color w:val="000000"/>
              </w:rPr>
              <w:t>Measure Unit</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686F00F3" w14:textId="77777777" w:rsidR="004E6452" w:rsidRPr="001570EA" w:rsidRDefault="004E6452">
            <w:pPr>
              <w:pStyle w:val="TableCell"/>
              <w:spacing w:before="60" w:after="60"/>
              <w:jc w:val="center"/>
              <w:rPr>
                <w:color w:val="000000"/>
              </w:rPr>
            </w:pPr>
            <w:r w:rsidRPr="001570EA">
              <w:rPr>
                <w:color w:val="000000"/>
              </w:rPr>
              <w:t>Clothes Washer</w:t>
            </w:r>
          </w:p>
        </w:tc>
      </w:tr>
      <w:tr w:rsidR="004E6452" w:rsidRPr="001570EA" w14:paraId="20A46C01"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185FE6B" w14:textId="77777777" w:rsidR="004E6452" w:rsidRPr="001570EA" w:rsidRDefault="004E6452">
            <w:pPr>
              <w:pStyle w:val="TableCell"/>
              <w:spacing w:before="60" w:after="60"/>
              <w:rPr>
                <w:b/>
                <w:bCs/>
                <w:color w:val="000000"/>
              </w:rPr>
            </w:pPr>
            <w:r w:rsidRPr="001570EA">
              <w:rPr>
                <w:b/>
                <w:bCs/>
                <w:color w:val="000000"/>
              </w:rPr>
              <w:t>Measure Life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C7E342C" w14:textId="77777777" w:rsidR="004E6452" w:rsidRPr="001570EA" w:rsidRDefault="004E6452">
            <w:pPr>
              <w:pStyle w:val="TableCell"/>
              <w:spacing w:before="60" w:after="60"/>
              <w:jc w:val="center"/>
              <w:rPr>
                <w:color w:val="000000"/>
                <w:vertAlign w:val="superscript"/>
              </w:rPr>
            </w:pPr>
            <w:r w:rsidRPr="001570EA">
              <w:rPr>
                <w:color w:val="000000"/>
              </w:rPr>
              <w:t>14 years</w:t>
            </w:r>
            <w:r w:rsidRPr="001570EA">
              <w:rPr>
                <w:color w:val="000000"/>
                <w:vertAlign w:val="superscript"/>
              </w:rPr>
              <w:t>Source 1</w:t>
            </w:r>
          </w:p>
        </w:tc>
      </w:tr>
      <w:tr w:rsidR="004E6452" w:rsidRPr="001570EA" w14:paraId="4D957CBD" w14:textId="77777777">
        <w:tc>
          <w:tcPr>
            <w:tcW w:w="354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5ED02B0B" w14:textId="77777777" w:rsidR="004E6452" w:rsidRPr="001570EA" w:rsidRDefault="004E6452">
            <w:pPr>
              <w:pStyle w:val="TableCell"/>
              <w:spacing w:before="60" w:after="60"/>
              <w:rPr>
                <w:b/>
                <w:bCs/>
                <w:color w:val="000000"/>
              </w:rPr>
            </w:pPr>
            <w:r w:rsidRPr="001570EA">
              <w:rPr>
                <w:b/>
                <w:bCs/>
                <w:color w:val="000000"/>
              </w:rPr>
              <w:t>Vintage</w:t>
            </w:r>
          </w:p>
        </w:tc>
        <w:tc>
          <w:tcPr>
            <w:tcW w:w="496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7310262D" w14:textId="77777777" w:rsidR="004E6452" w:rsidRPr="001570EA" w:rsidRDefault="004E6452">
            <w:pPr>
              <w:pStyle w:val="TableCell"/>
              <w:spacing w:before="60" w:after="60"/>
              <w:jc w:val="center"/>
              <w:rPr>
                <w:color w:val="000000"/>
              </w:rPr>
            </w:pPr>
            <w:r w:rsidRPr="001570EA">
              <w:rPr>
                <w:color w:val="000000"/>
              </w:rPr>
              <w:t>Replace on Burnout</w:t>
            </w:r>
          </w:p>
        </w:tc>
      </w:tr>
    </w:tbl>
    <w:p w14:paraId="7ADF4A2E" w14:textId="77777777" w:rsidR="004E6452" w:rsidRPr="001570EA" w:rsidRDefault="004E6452" w:rsidP="004E6452"/>
    <w:p w14:paraId="632DB9A6" w14:textId="77777777" w:rsidR="004E6452" w:rsidRPr="001570EA" w:rsidRDefault="004E6452" w:rsidP="004E6452">
      <w:r w:rsidRPr="001570EA">
        <w:t>This measure is for the purchase and installation of an ENERGY STAR clothes washer. ENERGY STAR clothes washers use less energy and hot water than non-qualified models.</w:t>
      </w:r>
    </w:p>
    <w:p w14:paraId="6C3807B8" w14:textId="77777777" w:rsidR="004E6452" w:rsidRPr="001570EA" w:rsidRDefault="004E6452" w:rsidP="000B6EC4"/>
    <w:p w14:paraId="3C8D05B2" w14:textId="77777777" w:rsidR="004E6452" w:rsidRPr="001570EA" w:rsidRDefault="004E6452" w:rsidP="004E6452">
      <w:pPr>
        <w:pStyle w:val="SubStyle"/>
      </w:pPr>
      <w:r w:rsidRPr="001570EA">
        <w:t>Eligibility</w:t>
      </w:r>
    </w:p>
    <w:p w14:paraId="09204E37" w14:textId="77777777" w:rsidR="004E6452" w:rsidRPr="001570EA" w:rsidRDefault="004E6452" w:rsidP="004E6452">
      <w:pPr>
        <w:pStyle w:val="BodyText"/>
        <w:ind w:right="0"/>
      </w:pPr>
      <w:r w:rsidRPr="001570EA">
        <w:t xml:space="preserve">This protocol documents the energy savings attributed to purchasing an ENERGY STAR clothes washer that exceeds federal minimum efficiency standards. </w:t>
      </w:r>
    </w:p>
    <w:p w14:paraId="37655193" w14:textId="77777777" w:rsidR="004E6452" w:rsidRPr="001570EA" w:rsidRDefault="004E6452" w:rsidP="000B6EC4"/>
    <w:p w14:paraId="44F733B7" w14:textId="77777777" w:rsidR="004E6452" w:rsidRPr="001570EA" w:rsidRDefault="004E6452" w:rsidP="004E6452">
      <w:pPr>
        <w:pStyle w:val="SubStyle"/>
      </w:pPr>
      <w:r w:rsidRPr="001570EA">
        <w:t>Algorithms</w:t>
      </w:r>
    </w:p>
    <w:p w14:paraId="5A87DFFA" w14:textId="77777777" w:rsidR="004E6452" w:rsidRPr="001570EA" w:rsidRDefault="004E6452" w:rsidP="004E6452">
      <w:pPr>
        <w:pStyle w:val="NoSpacing"/>
        <w:rPr>
          <w:rFonts w:cs="Arial"/>
          <w:szCs w:val="20"/>
        </w:rPr>
      </w:pPr>
      <w:r w:rsidRPr="001570EA">
        <w:rPr>
          <w:rFonts w:cs="Arial"/>
          <w:szCs w:val="20"/>
        </w:rPr>
        <w:t>The general form of the equation for the ENERGY STAR Clothes Washer measure savings algorithm is:</w:t>
      </w:r>
    </w:p>
    <w:p w14:paraId="29A85443" w14:textId="77777777" w:rsidR="004E6452" w:rsidRPr="001570EA" w:rsidRDefault="004E6452" w:rsidP="004E6452">
      <w:pPr>
        <w:tabs>
          <w:tab w:val="left" w:pos="2160"/>
        </w:tabs>
      </w:pPr>
      <w:r w:rsidRPr="001570EA">
        <w:t>Total Savings</w:t>
      </w:r>
      <w:r w:rsidRPr="001570EA">
        <w:tab/>
      </w:r>
      <m:oMath>
        <m:r>
          <m:rPr>
            <m:sty m:val="p"/>
          </m:rPr>
          <w:rPr>
            <w:rFonts w:ascii="Cambria Math" w:hAnsi="Cambria Math"/>
          </w:rPr>
          <m:t>=</m:t>
        </m:r>
        <m:r>
          <w:rPr>
            <w:rFonts w:ascii="Cambria Math" w:hAnsi="Cambria Math"/>
          </w:rPr>
          <m:t>Number</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Clothes</m:t>
        </m:r>
        <m:r>
          <m:rPr>
            <m:sty m:val="p"/>
          </m:rPr>
          <w:rPr>
            <w:rFonts w:ascii="Cambria Math" w:hAnsi="Cambria Math"/>
          </w:rPr>
          <m:t xml:space="preserve"> </m:t>
        </m:r>
        <m:r>
          <w:rPr>
            <w:rFonts w:ascii="Cambria Math" w:hAnsi="Cambria Math"/>
          </w:rPr>
          <m:t>Washers</m:t>
        </m:r>
        <m:r>
          <m:rPr>
            <m:sty m:val="p"/>
          </m:rPr>
          <w:rPr>
            <w:rFonts w:ascii="Cambria Math" w:hAnsi="Cambria Math"/>
          </w:rPr>
          <m:t xml:space="preserve"> × </m:t>
        </m:r>
        <m:r>
          <w:rPr>
            <w:rFonts w:ascii="Cambria Math" w:hAnsi="Cambria Math"/>
          </w:rPr>
          <m:t>Savings</m:t>
        </m:r>
        <m:r>
          <m:rPr>
            <m:sty m:val="p"/>
          </m:rPr>
          <w:rPr>
            <w:rFonts w:ascii="Cambria Math" w:hAnsi="Cambria Math"/>
          </w:rPr>
          <m:t xml:space="preserve"> </m:t>
        </m:r>
        <m:r>
          <w:rPr>
            <w:rFonts w:ascii="Cambria Math" w:hAnsi="Cambria Math"/>
          </w:rPr>
          <m:t>per</m:t>
        </m:r>
        <m:r>
          <m:rPr>
            <m:sty m:val="p"/>
          </m:rPr>
          <w:rPr>
            <w:rFonts w:ascii="Cambria Math" w:hAnsi="Cambria Math"/>
          </w:rPr>
          <m:t xml:space="preserve"> </m:t>
        </m:r>
        <m:r>
          <w:rPr>
            <w:rFonts w:ascii="Cambria Math" w:hAnsi="Cambria Math"/>
          </w:rPr>
          <m:t>Clothes</m:t>
        </m:r>
        <m:r>
          <m:rPr>
            <m:sty m:val="p"/>
          </m:rPr>
          <w:rPr>
            <w:rFonts w:ascii="Cambria Math" w:hAnsi="Cambria Math"/>
          </w:rPr>
          <m:t xml:space="preserve"> </m:t>
        </m:r>
        <m:r>
          <w:rPr>
            <w:rFonts w:ascii="Cambria Math" w:hAnsi="Cambria Math"/>
          </w:rPr>
          <m:t>Washer</m:t>
        </m:r>
      </m:oMath>
    </w:p>
    <w:p w14:paraId="39B54B08" w14:textId="77777777" w:rsidR="004E6452" w:rsidRPr="001570EA" w:rsidRDefault="004E6452" w:rsidP="004E6452"/>
    <w:p w14:paraId="7B0C50B0" w14:textId="77777777" w:rsidR="004E6452" w:rsidRPr="001570EA" w:rsidRDefault="004E6452" w:rsidP="004E6452">
      <w:pPr>
        <w:pStyle w:val="NoSpacing"/>
        <w:rPr>
          <w:rFonts w:cs="Arial"/>
          <w:szCs w:val="20"/>
        </w:rPr>
      </w:pPr>
      <w:r w:rsidRPr="001570EA">
        <w:rPr>
          <w:rFonts w:cs="Arial"/>
          <w:szCs w:val="20"/>
        </w:rPr>
        <w:t>To determine resource savings, the per-unit estimates in the algorithms will be multiplied by the number of clothes washers.</w:t>
      </w:r>
    </w:p>
    <w:p w14:paraId="22806786" w14:textId="77777777" w:rsidR="004E6452" w:rsidRPr="001570EA" w:rsidRDefault="004E6452" w:rsidP="004E6452">
      <w:pPr>
        <w:pStyle w:val="NoSpacing"/>
        <w:rPr>
          <w:rFonts w:cs="Arial"/>
          <w:szCs w:val="20"/>
        </w:rPr>
      </w:pPr>
      <w:r w:rsidRPr="001570EA">
        <w:rPr>
          <w:rFonts w:cs="Arial"/>
          <w:szCs w:val="20"/>
        </w:rPr>
        <w:t>Per unit energy and demand savings are given by the following algorithms:</w:t>
      </w:r>
    </w:p>
    <w:p w14:paraId="331055A0" w14:textId="77777777" w:rsidR="004E6452" w:rsidRPr="001570EA" w:rsidRDefault="004E6452" w:rsidP="004E6452">
      <w:pPr>
        <w:rPr>
          <w:rFonts w:eastAsiaTheme="minorEastAsia" w:cs="Arial"/>
        </w:rPr>
      </w:pPr>
      <m:oMathPara>
        <m:oMathParaPr>
          <m:jc m:val="left"/>
        </m:oMathParaPr>
        <m:oMath>
          <m:r>
            <m:rPr>
              <m:sty m:val="p"/>
            </m:rPr>
            <w:rPr>
              <w:rFonts w:ascii="Cambria Math" w:hAnsi="Cambria Math" w:cs="Arial"/>
            </w:rPr>
            <w:sym w:font="Symbol" w:char="F044"/>
          </m:r>
          <m:r>
            <w:rPr>
              <w:rFonts w:ascii="Cambria Math" w:hAnsi="Cambria Math" w:cs="Arial"/>
            </w:rPr>
            <m:t xml:space="preserve"> kWh=Cycles×</m:t>
          </m:r>
        </m:oMath>
      </m:oMathPara>
    </w:p>
    <w:p w14:paraId="14B19BB7" w14:textId="77777777" w:rsidR="004E6452" w:rsidRPr="001570EA" w:rsidRDefault="004E6452" w:rsidP="004E6452">
      <w:pPr>
        <w:rPr>
          <w:rFonts w:cs="Arial"/>
          <w:i/>
        </w:rPr>
      </w:pPr>
      <m:oMathPara>
        <m:oMathParaPr>
          <m:jc m:val="left"/>
        </m:oMathParaPr>
        <m:oMath>
          <m:r>
            <w:rPr>
              <w:rFonts w:ascii="Cambria Math" w:hAnsi="Cambria Math" w:cs="Arial"/>
            </w:rPr>
            <m:t xml:space="preserve"> </m:t>
          </m:r>
          <m:d>
            <m:dPr>
              <m:ctrlPr>
                <w:rPr>
                  <w:rFonts w:ascii="Cambria Math" w:hAnsi="Cambria Math" w:cs="Arial"/>
                </w:rPr>
              </m:ctrlPr>
            </m:dPr>
            <m:e>
              <m:eqArr>
                <m:eqArrPr>
                  <m:ctrlPr>
                    <w:rPr>
                      <w:rFonts w:ascii="Cambria Math" w:hAnsi="Cambria Math" w:cs="Arial"/>
                      <w:i/>
                    </w:rPr>
                  </m:ctrlPr>
                </m:eqArrPr>
                <m:e>
                  <m:f>
                    <m:fPr>
                      <m:ctrlPr>
                        <w:rPr>
                          <w:rFonts w:ascii="Cambria Math" w:hAnsi="Cambria Math" w:cs="Arial"/>
                        </w:rPr>
                      </m:ctrlPr>
                    </m:fPr>
                    <m:num>
                      <m:r>
                        <w:rPr>
                          <w:rFonts w:ascii="Cambria Math" w:hAnsi="Cambria Math" w:cs="Arial"/>
                        </w:rPr>
                        <m:t>CAPY</m:t>
                      </m:r>
                    </m:num>
                    <m:den>
                      <m:sSub>
                        <m:sSubPr>
                          <m:ctrlPr>
                            <w:rPr>
                              <w:rFonts w:ascii="Cambria Math" w:hAnsi="Cambria Math" w:cs="Arial"/>
                            </w:rPr>
                          </m:ctrlPr>
                        </m:sSubPr>
                        <m:e>
                          <m:r>
                            <w:rPr>
                              <w:rFonts w:ascii="Cambria Math" w:hAnsi="Cambria Math" w:cs="Arial"/>
                            </w:rPr>
                            <m:t>IMEF</m:t>
                          </m:r>
                        </m:e>
                        <m:sub>
                          <m:r>
                            <w:rPr>
                              <w:rFonts w:ascii="Cambria Math" w:hAnsi="Cambria Math" w:cs="Arial"/>
                            </w:rPr>
                            <m:t>base</m:t>
                          </m:r>
                        </m:sub>
                      </m:sSub>
                    </m:den>
                  </m:f>
                  <m:r>
                    <w:rPr>
                      <w:rFonts w:ascii="Cambria Math" w:hAnsi="Cambria Math" w:cs="Arial"/>
                    </w:rPr>
                    <m:t>×</m:t>
                  </m:r>
                  <m:d>
                    <m:dPr>
                      <m:ctrlPr>
                        <w:rPr>
                          <w:rFonts w:ascii="Cambria Math" w:hAnsi="Cambria Math" w:cs="Arial"/>
                        </w:rPr>
                      </m:ctrlPr>
                    </m:dPr>
                    <m:e>
                      <m:sSub>
                        <m:sSubPr>
                          <m:ctrlPr>
                            <w:rPr>
                              <w:rFonts w:ascii="Cambria Math" w:hAnsi="Cambria Math" w:cs="Arial"/>
                            </w:rPr>
                          </m:ctrlPr>
                        </m:sSubPr>
                        <m:e>
                          <m:r>
                            <w:rPr>
                              <w:rFonts w:ascii="Cambria Math" w:hAnsi="Cambria Math" w:cs="Arial"/>
                            </w:rPr>
                            <m:t>CW</m:t>
                          </m:r>
                        </m:e>
                        <m:sub>
                          <m:r>
                            <w:rPr>
                              <w:rFonts w:ascii="Cambria Math" w:hAnsi="Cambria Math" w:cs="Arial"/>
                            </w:rPr>
                            <m:t>base</m:t>
                          </m:r>
                        </m:sub>
                      </m:sSub>
                      <m:r>
                        <w:rPr>
                          <w:rFonts w:ascii="Cambria Math" w:hAnsi="Cambria Math" w:cs="Arial"/>
                        </w:rPr>
                        <m:t>+</m:t>
                      </m:r>
                      <m:sSub>
                        <m:sSubPr>
                          <m:ctrlPr>
                            <w:rPr>
                              <w:rFonts w:ascii="Cambria Math" w:hAnsi="Cambria Math" w:cs="Arial"/>
                            </w:rPr>
                          </m:ctrlPr>
                        </m:sSubPr>
                        <m:e>
                          <m:r>
                            <w:rPr>
                              <w:rFonts w:ascii="Cambria Math" w:hAnsi="Cambria Math" w:cs="Arial"/>
                            </w:rPr>
                            <m:t>DHW</m:t>
                          </m:r>
                        </m:e>
                        <m:sub>
                          <m:r>
                            <w:rPr>
                              <w:rFonts w:ascii="Cambria Math" w:hAnsi="Cambria Math" w:cs="Arial"/>
                            </w:rPr>
                            <m:t>base</m:t>
                          </m:r>
                        </m:sub>
                      </m:sSub>
                      <m:r>
                        <w:rPr>
                          <w:rFonts w:ascii="Cambria Math" w:hAnsi="Cambria Math" w:cs="Arial"/>
                        </w:rPr>
                        <m:t>×</m:t>
                      </m:r>
                      <m:sSub>
                        <m:sSubPr>
                          <m:ctrlPr>
                            <w:rPr>
                              <w:rFonts w:ascii="Cambria Math" w:hAnsi="Cambria Math" w:cs="Arial"/>
                            </w:rPr>
                          </m:ctrlPr>
                        </m:sSubPr>
                        <m:e>
                          <m:r>
                            <w:rPr>
                              <w:rFonts w:ascii="Cambria Math" w:hAnsi="Cambria Math" w:cs="Arial"/>
                            </w:rPr>
                            <m:t>%</m:t>
                          </m:r>
                        </m:e>
                        <m:sub>
                          <m:r>
                            <w:rPr>
                              <w:rFonts w:ascii="Cambria Math" w:hAnsi="Cambria Math" w:cs="Arial"/>
                            </w:rPr>
                            <m:t>ElecDHW</m:t>
                          </m:r>
                        </m:sub>
                      </m:sSub>
                      <m:r>
                        <w:rPr>
                          <w:rFonts w:ascii="Cambria Math" w:hAnsi="Cambria Math" w:cs="Arial"/>
                        </w:rPr>
                        <m:t>+</m:t>
                      </m:r>
                      <m:sSub>
                        <m:sSubPr>
                          <m:ctrlPr>
                            <w:rPr>
                              <w:rFonts w:ascii="Cambria Math" w:hAnsi="Cambria Math" w:cs="Arial"/>
                            </w:rPr>
                          </m:ctrlPr>
                        </m:sSubPr>
                        <m:e>
                          <m:r>
                            <w:rPr>
                              <w:rFonts w:ascii="Cambria Math" w:hAnsi="Cambria Math" w:cs="Arial"/>
                            </w:rPr>
                            <m:t>Dryer</m:t>
                          </m:r>
                        </m:e>
                        <m:sub>
                          <m:r>
                            <w:rPr>
                              <w:rFonts w:ascii="Cambria Math" w:hAnsi="Cambria Math" w:cs="Arial"/>
                            </w:rPr>
                            <m:t>base</m:t>
                          </m:r>
                        </m:sub>
                      </m:sSub>
                      <m:r>
                        <w:rPr>
                          <w:rFonts w:ascii="Cambria Math" w:hAnsi="Cambria Math" w:cs="Arial"/>
                        </w:rPr>
                        <m:t>×</m:t>
                      </m:r>
                      <m:sSub>
                        <m:sSubPr>
                          <m:ctrlPr>
                            <w:rPr>
                              <w:rFonts w:ascii="Cambria Math" w:hAnsi="Cambria Math" w:cs="Arial"/>
                            </w:rPr>
                          </m:ctrlPr>
                        </m:sSubPr>
                        <m:e>
                          <m:r>
                            <w:rPr>
                              <w:rFonts w:ascii="Cambria Math" w:hAnsi="Cambria Math" w:cs="Arial"/>
                            </w:rPr>
                            <m:t>%</m:t>
                          </m:r>
                        </m:e>
                        <m:sub>
                          <m:r>
                            <w:rPr>
                              <w:rFonts w:ascii="Cambria Math" w:hAnsi="Cambria Math" w:cs="Arial"/>
                            </w:rPr>
                            <m:t>ElecDryer</m:t>
                          </m:r>
                        </m:sub>
                      </m:sSub>
                      <m:r>
                        <w:rPr>
                          <w:rFonts w:ascii="Cambria Math" w:hAnsi="Cambria Math" w:cs="Arial"/>
                        </w:rPr>
                        <m:t>×</m:t>
                      </m:r>
                      <m:sSub>
                        <m:sSubPr>
                          <m:ctrlPr>
                            <w:rPr>
                              <w:rFonts w:ascii="Cambria Math" w:eastAsia="Calibri" w:hAnsi="Cambria Math" w:cs="Arial"/>
                              <w:i/>
                            </w:rPr>
                          </m:ctrlPr>
                        </m:sSubPr>
                        <m:e>
                          <m:r>
                            <m:rPr>
                              <m:sty m:val="p"/>
                            </m:rPr>
                            <w:rPr>
                              <w:rFonts w:ascii="Cambria Math" w:hAnsi="Cambria Math" w:cs="Arial"/>
                            </w:rPr>
                            <m:t>%</m:t>
                          </m:r>
                        </m:e>
                        <m:sub>
                          <m:f>
                            <m:fPr>
                              <m:ctrlPr>
                                <w:rPr>
                                  <w:rFonts w:ascii="Cambria Math" w:hAnsi="Cambria Math" w:cs="Arial"/>
                                </w:rPr>
                              </m:ctrlPr>
                            </m:fPr>
                            <m:num>
                              <m:r>
                                <m:rPr>
                                  <m:sty m:val="p"/>
                                </m:rPr>
                                <w:rPr>
                                  <w:rFonts w:ascii="Cambria Math" w:hAnsi="Cambria Math" w:cs="Arial"/>
                                </w:rPr>
                                <m:t>dry</m:t>
                              </m:r>
                            </m:num>
                            <m:den>
                              <m:r>
                                <m:rPr>
                                  <m:sty m:val="p"/>
                                </m:rPr>
                                <w:rPr>
                                  <w:rFonts w:ascii="Cambria Math" w:hAnsi="Cambria Math" w:cs="Arial"/>
                                </w:rPr>
                                <m:t>wash</m:t>
                              </m:r>
                            </m:den>
                          </m:f>
                        </m:sub>
                      </m:sSub>
                    </m:e>
                  </m:d>
                  <m:r>
                    <w:rPr>
                      <w:rFonts w:ascii="Cambria Math" w:hAnsi="Cambria Math" w:cs="Arial"/>
                    </w:rPr>
                    <m:t>-</m:t>
                  </m:r>
                </m:e>
                <m:e>
                  <m:f>
                    <m:fPr>
                      <m:ctrlPr>
                        <w:rPr>
                          <w:rFonts w:ascii="Cambria Math" w:hAnsi="Cambria Math" w:cs="Arial"/>
                        </w:rPr>
                      </m:ctrlPr>
                    </m:fPr>
                    <m:num>
                      <m:r>
                        <w:rPr>
                          <w:rFonts w:ascii="Cambria Math" w:hAnsi="Cambria Math" w:cs="Arial"/>
                        </w:rPr>
                        <m:t>CAPY</m:t>
                      </m:r>
                    </m:num>
                    <m:den>
                      <m:sSub>
                        <m:sSubPr>
                          <m:ctrlPr>
                            <w:rPr>
                              <w:rFonts w:ascii="Cambria Math" w:hAnsi="Cambria Math" w:cs="Arial"/>
                            </w:rPr>
                          </m:ctrlPr>
                        </m:sSubPr>
                        <m:e>
                          <m:r>
                            <w:rPr>
                              <w:rFonts w:ascii="Cambria Math" w:hAnsi="Cambria Math" w:cs="Arial"/>
                            </w:rPr>
                            <m:t>IMEF</m:t>
                          </m:r>
                        </m:e>
                        <m:sub>
                          <m:r>
                            <w:rPr>
                              <w:rFonts w:ascii="Cambria Math" w:hAnsi="Cambria Math" w:cs="Arial"/>
                            </w:rPr>
                            <m:t>ee</m:t>
                          </m:r>
                        </m:sub>
                      </m:sSub>
                    </m:den>
                  </m:f>
                  <m:r>
                    <w:rPr>
                      <w:rFonts w:ascii="Cambria Math" w:hAnsi="Cambria Math" w:cs="Arial"/>
                    </w:rPr>
                    <m:t>×</m:t>
                  </m:r>
                  <m:d>
                    <m:dPr>
                      <m:ctrlPr>
                        <w:rPr>
                          <w:rFonts w:ascii="Cambria Math" w:hAnsi="Cambria Math" w:cs="Arial"/>
                        </w:rPr>
                      </m:ctrlPr>
                    </m:dPr>
                    <m:e>
                      <m:sSub>
                        <m:sSubPr>
                          <m:ctrlPr>
                            <w:rPr>
                              <w:rFonts w:ascii="Cambria Math" w:hAnsi="Cambria Math" w:cs="Arial"/>
                            </w:rPr>
                          </m:ctrlPr>
                        </m:sSubPr>
                        <m:e>
                          <m:r>
                            <w:rPr>
                              <w:rFonts w:ascii="Cambria Math" w:hAnsi="Cambria Math" w:cs="Arial"/>
                            </w:rPr>
                            <m:t>CW</m:t>
                          </m:r>
                        </m:e>
                        <m:sub>
                          <m:r>
                            <w:rPr>
                              <w:rFonts w:ascii="Cambria Math" w:hAnsi="Cambria Math" w:cs="Arial"/>
                            </w:rPr>
                            <m:t>ee</m:t>
                          </m:r>
                        </m:sub>
                      </m:sSub>
                      <m:r>
                        <w:rPr>
                          <w:rFonts w:ascii="Cambria Math" w:hAnsi="Cambria Math" w:cs="Arial"/>
                        </w:rPr>
                        <m:t>+</m:t>
                      </m:r>
                      <m:sSub>
                        <m:sSubPr>
                          <m:ctrlPr>
                            <w:rPr>
                              <w:rFonts w:ascii="Cambria Math" w:hAnsi="Cambria Math" w:cs="Arial"/>
                            </w:rPr>
                          </m:ctrlPr>
                        </m:sSubPr>
                        <m:e>
                          <m:r>
                            <w:rPr>
                              <w:rFonts w:ascii="Cambria Math" w:hAnsi="Cambria Math" w:cs="Arial"/>
                            </w:rPr>
                            <m:t>DHW</m:t>
                          </m:r>
                        </m:e>
                        <m:sub>
                          <m:r>
                            <w:rPr>
                              <w:rFonts w:ascii="Cambria Math" w:hAnsi="Cambria Math" w:cs="Arial"/>
                            </w:rPr>
                            <m:t>ee</m:t>
                          </m:r>
                        </m:sub>
                      </m:sSub>
                      <m:r>
                        <w:rPr>
                          <w:rFonts w:ascii="Cambria Math" w:hAnsi="Cambria Math" w:cs="Arial"/>
                        </w:rPr>
                        <m:t>×</m:t>
                      </m:r>
                      <m:sSub>
                        <m:sSubPr>
                          <m:ctrlPr>
                            <w:rPr>
                              <w:rFonts w:ascii="Cambria Math" w:hAnsi="Cambria Math" w:cs="Arial"/>
                            </w:rPr>
                          </m:ctrlPr>
                        </m:sSubPr>
                        <m:e>
                          <m:r>
                            <w:rPr>
                              <w:rFonts w:ascii="Cambria Math" w:hAnsi="Cambria Math" w:cs="Arial"/>
                            </w:rPr>
                            <m:t>%</m:t>
                          </m:r>
                        </m:e>
                        <m:sub>
                          <m:r>
                            <w:rPr>
                              <w:rFonts w:ascii="Cambria Math" w:hAnsi="Cambria Math" w:cs="Arial"/>
                            </w:rPr>
                            <m:t>ElecDHW</m:t>
                          </m:r>
                        </m:sub>
                      </m:sSub>
                      <m:r>
                        <w:rPr>
                          <w:rFonts w:ascii="Cambria Math" w:hAnsi="Cambria Math" w:cs="Arial"/>
                        </w:rPr>
                        <m:t>+</m:t>
                      </m:r>
                      <m:sSub>
                        <m:sSubPr>
                          <m:ctrlPr>
                            <w:rPr>
                              <w:rFonts w:ascii="Cambria Math" w:hAnsi="Cambria Math" w:cs="Arial"/>
                            </w:rPr>
                          </m:ctrlPr>
                        </m:sSubPr>
                        <m:e>
                          <m:r>
                            <w:rPr>
                              <w:rFonts w:ascii="Cambria Math" w:hAnsi="Cambria Math" w:cs="Arial"/>
                            </w:rPr>
                            <m:t>Dryer</m:t>
                          </m:r>
                        </m:e>
                        <m:sub>
                          <m:r>
                            <w:rPr>
                              <w:rFonts w:ascii="Cambria Math" w:hAnsi="Cambria Math" w:cs="Arial"/>
                            </w:rPr>
                            <m:t>ee</m:t>
                          </m:r>
                        </m:sub>
                      </m:sSub>
                      <m:r>
                        <w:rPr>
                          <w:rFonts w:ascii="Cambria Math" w:hAnsi="Cambria Math" w:cs="Arial"/>
                        </w:rPr>
                        <m:t>×</m:t>
                      </m:r>
                      <m:sSub>
                        <m:sSubPr>
                          <m:ctrlPr>
                            <w:rPr>
                              <w:rFonts w:ascii="Cambria Math" w:hAnsi="Cambria Math" w:cs="Arial"/>
                            </w:rPr>
                          </m:ctrlPr>
                        </m:sSubPr>
                        <m:e>
                          <m:r>
                            <w:rPr>
                              <w:rFonts w:ascii="Cambria Math" w:hAnsi="Cambria Math" w:cs="Arial"/>
                            </w:rPr>
                            <m:t>%</m:t>
                          </m:r>
                        </m:e>
                        <m:sub>
                          <m:r>
                            <w:rPr>
                              <w:rFonts w:ascii="Cambria Math" w:hAnsi="Cambria Math" w:cs="Arial"/>
                            </w:rPr>
                            <m:t>ElecDryer</m:t>
                          </m:r>
                        </m:sub>
                      </m:sSub>
                      <m:r>
                        <w:rPr>
                          <w:rFonts w:ascii="Cambria Math" w:hAnsi="Cambria Math" w:cs="Arial"/>
                        </w:rPr>
                        <m:t>×</m:t>
                      </m:r>
                      <m:sSub>
                        <m:sSubPr>
                          <m:ctrlPr>
                            <w:rPr>
                              <w:rFonts w:ascii="Cambria Math" w:eastAsia="Calibri" w:hAnsi="Cambria Math" w:cs="Arial"/>
                              <w:i/>
                            </w:rPr>
                          </m:ctrlPr>
                        </m:sSubPr>
                        <m:e>
                          <m:r>
                            <m:rPr>
                              <m:sty m:val="p"/>
                            </m:rPr>
                            <w:rPr>
                              <w:rFonts w:ascii="Cambria Math" w:hAnsi="Cambria Math" w:cs="Arial"/>
                            </w:rPr>
                            <m:t>%</m:t>
                          </m:r>
                        </m:e>
                        <m:sub>
                          <m:f>
                            <m:fPr>
                              <m:ctrlPr>
                                <w:rPr>
                                  <w:rFonts w:ascii="Cambria Math" w:hAnsi="Cambria Math" w:cs="Arial"/>
                                </w:rPr>
                              </m:ctrlPr>
                            </m:fPr>
                            <m:num>
                              <m:r>
                                <m:rPr>
                                  <m:sty m:val="p"/>
                                </m:rPr>
                                <w:rPr>
                                  <w:rFonts w:ascii="Cambria Math" w:hAnsi="Cambria Math" w:cs="Arial"/>
                                </w:rPr>
                                <m:t>dry</m:t>
                              </m:r>
                            </m:num>
                            <m:den>
                              <m:r>
                                <m:rPr>
                                  <m:sty m:val="p"/>
                                </m:rPr>
                                <w:rPr>
                                  <w:rFonts w:ascii="Cambria Math" w:hAnsi="Cambria Math" w:cs="Arial"/>
                                </w:rPr>
                                <m:t>wash</m:t>
                              </m:r>
                            </m:den>
                          </m:f>
                        </m:sub>
                      </m:sSub>
                    </m:e>
                  </m:d>
                </m:e>
              </m:eqArr>
            </m:e>
          </m:d>
        </m:oMath>
      </m:oMathPara>
    </w:p>
    <w:p w14:paraId="7CAF84FB" w14:textId="77777777" w:rsidR="004E6452" w:rsidRPr="001570EA" w:rsidRDefault="004E6452" w:rsidP="004E6452">
      <w:pPr>
        <w:rPr>
          <w:rFonts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6483"/>
      </w:tblGrid>
      <w:tr w:rsidR="004E6452" w:rsidRPr="001570EA" w:rsidDel="00F24288" w14:paraId="0DDCEA14" w14:textId="77777777">
        <w:trPr>
          <w:trHeight w:val="720"/>
        </w:trPr>
        <w:tc>
          <w:tcPr>
            <w:tcW w:w="2157" w:type="dxa"/>
            <w:vAlign w:val="center"/>
          </w:tcPr>
          <w:p w14:paraId="748D98A7" w14:textId="77777777" w:rsidR="004E6452" w:rsidRPr="001570EA" w:rsidDel="00F24288" w:rsidRDefault="004E6452">
            <w:pPr>
              <w:pStyle w:val="Equation"/>
              <w:ind w:left="0" w:firstLine="0"/>
              <w:jc w:val="left"/>
              <w:rPr>
                <w:rFonts w:eastAsia="Times New Roman"/>
                <w:i w:val="0"/>
                <w:sz w:val="18"/>
              </w:rPr>
            </w:pPr>
            <m:oMathPara>
              <m:oMathParaPr>
                <m:jc m:val="left"/>
              </m:oMathParaPr>
              <m:oMath>
                <m:r>
                  <w:rPr>
                    <w:rFonts w:ascii="Cambria Math" w:hAnsi="Cambria Math"/>
                    <w:sz w:val="18"/>
                  </w:rPr>
                  <m:t>∆</m:t>
                </m:r>
                <m:sSub>
                  <m:sSubPr>
                    <m:ctrlPr>
                      <w:rPr>
                        <w:rFonts w:ascii="Cambria Math" w:hAnsi="Cambria Math"/>
                        <w:sz w:val="18"/>
                      </w:rPr>
                    </m:ctrlPr>
                  </m:sSubPr>
                  <m:e>
                    <m:r>
                      <w:rPr>
                        <w:rFonts w:ascii="Cambria Math" w:hAnsi="Cambria Math"/>
                        <w:sz w:val="18"/>
                      </w:rPr>
                      <m:t>kW</m:t>
                    </m:r>
                  </m:e>
                  <m:sub>
                    <m:r>
                      <w:rPr>
                        <w:rFonts w:ascii="Cambria Math" w:hAnsi="Cambria Math"/>
                        <w:sz w:val="18"/>
                      </w:rPr>
                      <m:t>summer peak</m:t>
                    </m:r>
                  </m:sub>
                </m:sSub>
              </m:oMath>
            </m:oMathPara>
          </w:p>
        </w:tc>
        <w:tc>
          <w:tcPr>
            <w:tcW w:w="6483" w:type="dxa"/>
            <w:vAlign w:val="center"/>
          </w:tcPr>
          <w:p w14:paraId="77262817" w14:textId="77777777" w:rsidR="004E6452" w:rsidRPr="001570EA" w:rsidDel="00F24288" w:rsidRDefault="004E6452">
            <w:pPr>
              <w:pStyle w:val="Equation"/>
              <w:ind w:left="0" w:firstLine="0"/>
              <w:jc w:val="left"/>
              <w:rPr>
                <w:rFonts w:cs="Arial"/>
                <w:sz w:val="18"/>
              </w:rPr>
            </w:pPr>
            <w:r w:rsidRPr="001570EA">
              <w:rPr>
                <w:rFonts w:cs="Arial"/>
                <w:sz w:val="18"/>
              </w:rPr>
              <w:t xml:space="preserve">= </w:t>
            </w:r>
            <m:oMath>
              <m:r>
                <w:rPr>
                  <w:rFonts w:ascii="Cambria Math" w:hAnsi="Cambria Math"/>
                  <w:sz w:val="18"/>
                </w:rPr>
                <m:t>∆</m:t>
              </m:r>
              <m:r>
                <w:rPr>
                  <w:rFonts w:ascii="Cambria Math" w:hAnsi="Cambria Math" w:cs="Arial"/>
                  <w:sz w:val="18"/>
                  <w:szCs w:val="20"/>
                </w:rPr>
                <m:t>kWh ×ETD</m:t>
              </m:r>
              <m:sSub>
                <m:sSubPr>
                  <m:ctrlPr>
                    <w:rPr>
                      <w:rFonts w:ascii="Cambria Math" w:hAnsi="Cambria Math" w:cs="Arial"/>
                      <w:sz w:val="18"/>
                      <w:szCs w:val="20"/>
                    </w:rPr>
                  </m:ctrlPr>
                </m:sSubPr>
                <m:e>
                  <m:r>
                    <w:rPr>
                      <w:rFonts w:ascii="Cambria Math" w:hAnsi="Cambria Math" w:cs="Arial"/>
                      <w:sz w:val="18"/>
                      <w:szCs w:val="20"/>
                    </w:rPr>
                    <m:t>F</m:t>
                  </m:r>
                </m:e>
                <m:sub>
                  <m:r>
                    <w:rPr>
                      <w:rFonts w:ascii="Cambria Math" w:hAnsi="Cambria Math" w:cs="Arial"/>
                      <w:sz w:val="18"/>
                      <w:szCs w:val="20"/>
                    </w:rPr>
                    <m:t>s</m:t>
                  </m:r>
                </m:sub>
              </m:sSub>
            </m:oMath>
          </w:p>
        </w:tc>
      </w:tr>
    </w:tbl>
    <w:p w14:paraId="6F0CAE25" w14:textId="77777777" w:rsidR="004E6452" w:rsidRPr="001570EA" w:rsidRDefault="004E6452" w:rsidP="004E6452">
      <w:pPr>
        <w:rPr>
          <w:rFonts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6483"/>
      </w:tblGrid>
      <w:tr w:rsidR="004E6452" w:rsidRPr="001570EA" w:rsidDel="00F24288" w14:paraId="2D056136" w14:textId="77777777">
        <w:trPr>
          <w:trHeight w:val="720"/>
        </w:trPr>
        <w:tc>
          <w:tcPr>
            <w:tcW w:w="2157" w:type="dxa"/>
            <w:vAlign w:val="center"/>
          </w:tcPr>
          <w:p w14:paraId="5481BA13" w14:textId="77777777" w:rsidR="004E6452" w:rsidRPr="001570EA" w:rsidDel="00F24288" w:rsidRDefault="004E6452">
            <w:pPr>
              <w:pStyle w:val="Equation"/>
              <w:ind w:left="0" w:firstLine="0"/>
              <w:jc w:val="left"/>
              <w:rPr>
                <w:rFonts w:eastAsia="Times New Roman"/>
                <w:i w:val="0"/>
                <w:sz w:val="18"/>
              </w:rPr>
            </w:pPr>
            <m:oMathPara>
              <m:oMathParaPr>
                <m:jc m:val="left"/>
              </m:oMathParaPr>
              <m:oMath>
                <m:r>
                  <w:rPr>
                    <w:rFonts w:ascii="Cambria Math" w:hAnsi="Cambria Math"/>
                    <w:sz w:val="18"/>
                  </w:rPr>
                  <m:t>∆</m:t>
                </m:r>
                <m:sSub>
                  <m:sSubPr>
                    <m:ctrlPr>
                      <w:rPr>
                        <w:rFonts w:ascii="Cambria Math" w:hAnsi="Cambria Math"/>
                        <w:sz w:val="18"/>
                      </w:rPr>
                    </m:ctrlPr>
                  </m:sSubPr>
                  <m:e>
                    <m:r>
                      <w:rPr>
                        <w:rFonts w:ascii="Cambria Math" w:hAnsi="Cambria Math"/>
                        <w:sz w:val="18"/>
                      </w:rPr>
                      <m:t>kW</m:t>
                    </m:r>
                  </m:e>
                  <m:sub>
                    <m:r>
                      <w:rPr>
                        <w:rFonts w:ascii="Cambria Math" w:hAnsi="Cambria Math"/>
                        <w:sz w:val="18"/>
                      </w:rPr>
                      <m:t>winter peak</m:t>
                    </m:r>
                  </m:sub>
                </m:sSub>
              </m:oMath>
            </m:oMathPara>
          </w:p>
        </w:tc>
        <w:tc>
          <w:tcPr>
            <w:tcW w:w="6483" w:type="dxa"/>
            <w:vAlign w:val="center"/>
          </w:tcPr>
          <w:p w14:paraId="0FCC55D4" w14:textId="77777777" w:rsidR="004E6452" w:rsidRPr="001570EA" w:rsidDel="00F24288" w:rsidRDefault="004E6452">
            <w:pPr>
              <w:pStyle w:val="Equation"/>
              <w:ind w:left="0" w:firstLine="0"/>
              <w:jc w:val="left"/>
              <w:rPr>
                <w:rFonts w:cs="Arial"/>
                <w:sz w:val="18"/>
              </w:rPr>
            </w:pPr>
            <w:r w:rsidRPr="001570EA">
              <w:rPr>
                <w:rFonts w:cs="Arial"/>
                <w:sz w:val="18"/>
              </w:rPr>
              <w:t xml:space="preserve">= </w:t>
            </w:r>
            <m:oMath>
              <m:r>
                <w:rPr>
                  <w:rFonts w:ascii="Cambria Math" w:hAnsi="Cambria Math"/>
                  <w:sz w:val="18"/>
                </w:rPr>
                <m:t>∆</m:t>
              </m:r>
              <m:r>
                <w:rPr>
                  <w:rFonts w:ascii="Cambria Math" w:hAnsi="Cambria Math" w:cs="Arial"/>
                  <w:sz w:val="18"/>
                  <w:szCs w:val="20"/>
                </w:rPr>
                <m:t>kWh ×ETD</m:t>
              </m:r>
              <m:sSub>
                <m:sSubPr>
                  <m:ctrlPr>
                    <w:rPr>
                      <w:rFonts w:ascii="Cambria Math" w:hAnsi="Cambria Math" w:cs="Arial"/>
                      <w:sz w:val="18"/>
                      <w:szCs w:val="20"/>
                    </w:rPr>
                  </m:ctrlPr>
                </m:sSubPr>
                <m:e>
                  <m:r>
                    <w:rPr>
                      <w:rFonts w:ascii="Cambria Math" w:hAnsi="Cambria Math" w:cs="Arial"/>
                      <w:sz w:val="18"/>
                      <w:szCs w:val="20"/>
                    </w:rPr>
                    <m:t>F</m:t>
                  </m:r>
                </m:e>
                <m:sub>
                  <m:r>
                    <w:rPr>
                      <w:rFonts w:ascii="Cambria Math" w:hAnsi="Cambria Math" w:cs="Arial"/>
                      <w:sz w:val="18"/>
                      <w:szCs w:val="20"/>
                    </w:rPr>
                    <m:t>w</m:t>
                  </m:r>
                </m:sub>
              </m:sSub>
            </m:oMath>
          </w:p>
        </w:tc>
      </w:tr>
    </w:tbl>
    <w:p w14:paraId="426F1B20" w14:textId="77777777" w:rsidR="004E6452" w:rsidRPr="001570EA" w:rsidRDefault="004E6452" w:rsidP="004E6452">
      <w:pPr>
        <w:rPr>
          <w:rFonts w:cs="Arial"/>
          <w:i/>
        </w:rPr>
      </w:pPr>
    </w:p>
    <w:p w14:paraId="3B70718B" w14:textId="77777777" w:rsidR="004E6452" w:rsidRPr="001570EA" w:rsidRDefault="004E6452" w:rsidP="004E6452">
      <w:pPr>
        <w:spacing w:after="120"/>
      </w:pPr>
      <w:r w:rsidRPr="001570EA">
        <w:t>Where IMEF is the integrated modified energy factor, which is the energy performance metric for clothes washers. IMEF is defined as:</w:t>
      </w:r>
    </w:p>
    <w:p w14:paraId="63C0AFF2" w14:textId="77777777" w:rsidR="004E6452" w:rsidRPr="001570EA" w:rsidRDefault="004E6452" w:rsidP="004E6452">
      <w:pPr>
        <w:spacing w:after="120"/>
        <w:ind w:left="634"/>
        <w:rPr>
          <w:i/>
        </w:rPr>
      </w:pPr>
      <w:r w:rsidRPr="001570EA">
        <w:rPr>
          <w:i/>
        </w:rPr>
        <w:t>IMEF is the quotient of the cubic foot capacity of the clothes container, C, divided by the total clothes washer energy consumption per cycle, with such energy consumption expressed as the sum of the machine electrical energy consumption (M), the hot water energy consumption (E), the energy required for removal of the remaining moisture in the wash load (D), and the combined low-power mode energy consumption (L). The higher the value, the more efficient the clothes washer is.</w:t>
      </w:r>
      <w:r w:rsidRPr="001570EA">
        <w:rPr>
          <w:vertAlign w:val="superscript"/>
        </w:rPr>
        <w:t>Source 2</w:t>
      </w:r>
    </w:p>
    <w:p w14:paraId="722AB792" w14:textId="77777777" w:rsidR="004E6452" w:rsidRPr="001570EA" w:rsidRDefault="004E6452" w:rsidP="004E6452">
      <m:oMathPara>
        <m:oMath>
          <m:r>
            <w:rPr>
              <w:rFonts w:ascii="Cambria Math" w:hAnsi="Cambria Math"/>
            </w:rPr>
            <m:t>IMEF</m:t>
          </m:r>
          <m:r>
            <m:rPr>
              <m:sty m:val="p"/>
            </m:rPr>
            <w:rPr>
              <w:rFonts w:ascii="Cambria Math" w:hAnsi="Cambria Math"/>
            </w:rPr>
            <m:t>=</m:t>
          </m:r>
          <m:f>
            <m:fPr>
              <m:ctrlPr>
                <w:rPr>
                  <w:rFonts w:ascii="Cambria Math" w:hAnsi="Cambria Math"/>
                </w:rPr>
              </m:ctrlPr>
            </m:fPr>
            <m:num>
              <m:r>
                <w:rPr>
                  <w:rFonts w:ascii="Cambria Math" w:hAnsi="Cambria Math"/>
                </w:rPr>
                <m:t>C</m:t>
              </m:r>
            </m:num>
            <m:den>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D+L</m:t>
                  </m:r>
                </m:e>
              </m:d>
            </m:den>
          </m:f>
        </m:oMath>
      </m:oMathPara>
    </w:p>
    <w:p w14:paraId="6BD14204" w14:textId="77777777" w:rsidR="004E6452" w:rsidRPr="001570EA" w:rsidRDefault="004E6452" w:rsidP="004E6452">
      <w:pPr>
        <w:pStyle w:val="SubStyle"/>
      </w:pPr>
    </w:p>
    <w:p w14:paraId="55DE7589" w14:textId="77777777" w:rsidR="004E6452" w:rsidRPr="001570EA" w:rsidRDefault="004E6452" w:rsidP="004E6452">
      <w:pPr>
        <w:pStyle w:val="SubStyle"/>
      </w:pPr>
      <w:r w:rsidRPr="001570EA">
        <w:t>Definition of Terms</w:t>
      </w:r>
    </w:p>
    <w:p w14:paraId="524FD9C4" w14:textId="366BDC2C" w:rsidR="004E6452" w:rsidRPr="001570EA" w:rsidRDefault="004E6452" w:rsidP="004E6452">
      <w:pPr>
        <w:pStyle w:val="Caption"/>
      </w:pPr>
      <w:bookmarkStart w:id="582" w:name="_Ref532212944"/>
      <w:bookmarkStart w:id="583" w:name="_Toc530141745"/>
      <w:bookmarkStart w:id="584" w:name="_Toc47598321"/>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104</w:t>
      </w:r>
      <w:r w:rsidR="002E093A" w:rsidRPr="001570EA">
        <w:fldChar w:fldCharType="end"/>
      </w:r>
      <w:bookmarkEnd w:id="582"/>
      <w:r w:rsidRPr="001570EA">
        <w:t>: Terms</w:t>
      </w:r>
      <w:r w:rsidRPr="001570EA">
        <w:rPr>
          <w:rFonts w:cs="Arial"/>
        </w:rPr>
        <w:t>, Values, and References for</w:t>
      </w:r>
      <w:r w:rsidRPr="001570EA">
        <w:t xml:space="preserve"> ENERGY STAR Clothes Washers</w:t>
      </w:r>
      <w:bookmarkEnd w:id="583"/>
      <w:bookmarkEnd w:id="5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995"/>
        <w:gridCol w:w="2369"/>
        <w:gridCol w:w="1982"/>
      </w:tblGrid>
      <w:tr w:rsidR="004E6452" w:rsidRPr="001570EA" w14:paraId="7EA0788A" w14:textId="77777777">
        <w:trPr>
          <w:trHeight w:hRule="exact" w:val="432"/>
          <w:tblHeader/>
        </w:trPr>
        <w:tc>
          <w:tcPr>
            <w:tcW w:w="2176" w:type="dxa"/>
            <w:shd w:val="clear" w:color="auto" w:fill="BFBFBF" w:themeFill="background1" w:themeFillShade="BF"/>
            <w:vAlign w:val="center"/>
          </w:tcPr>
          <w:p w14:paraId="5C621B9A" w14:textId="77777777" w:rsidR="004E6452" w:rsidRPr="001570EA" w:rsidRDefault="004E6452">
            <w:pPr>
              <w:rPr>
                <w:rFonts w:cs="Arial"/>
                <w:sz w:val="18"/>
                <w:szCs w:val="18"/>
              </w:rPr>
            </w:pPr>
            <w:r w:rsidRPr="001570EA">
              <w:rPr>
                <w:rFonts w:cs="Arial"/>
                <w:b/>
                <w:sz w:val="18"/>
                <w:szCs w:val="18"/>
              </w:rPr>
              <w:t>Term</w:t>
            </w:r>
          </w:p>
        </w:tc>
        <w:tc>
          <w:tcPr>
            <w:tcW w:w="1995" w:type="dxa"/>
            <w:shd w:val="clear" w:color="auto" w:fill="BFBFBF" w:themeFill="background1" w:themeFillShade="BF"/>
            <w:vAlign w:val="center"/>
          </w:tcPr>
          <w:p w14:paraId="3AC9D643" w14:textId="77777777" w:rsidR="004E6452" w:rsidRPr="001570EA" w:rsidRDefault="004E6452">
            <w:pPr>
              <w:jc w:val="center"/>
              <w:rPr>
                <w:rFonts w:cs="Arial"/>
                <w:sz w:val="18"/>
                <w:szCs w:val="18"/>
              </w:rPr>
            </w:pPr>
            <w:r w:rsidRPr="001570EA">
              <w:rPr>
                <w:rFonts w:cs="Arial"/>
                <w:b/>
                <w:sz w:val="18"/>
                <w:szCs w:val="18"/>
              </w:rPr>
              <w:t>Unit</w:t>
            </w:r>
          </w:p>
        </w:tc>
        <w:tc>
          <w:tcPr>
            <w:tcW w:w="2369" w:type="dxa"/>
            <w:shd w:val="clear" w:color="auto" w:fill="BFBFBF" w:themeFill="background1" w:themeFillShade="BF"/>
            <w:vAlign w:val="center"/>
          </w:tcPr>
          <w:p w14:paraId="6C2D90B8" w14:textId="77777777" w:rsidR="004E6452" w:rsidRPr="001570EA" w:rsidRDefault="004E6452">
            <w:pPr>
              <w:jc w:val="center"/>
              <w:rPr>
                <w:rFonts w:cs="Arial"/>
                <w:sz w:val="18"/>
                <w:szCs w:val="18"/>
              </w:rPr>
            </w:pPr>
            <w:r w:rsidRPr="001570EA">
              <w:rPr>
                <w:rFonts w:cs="Arial"/>
                <w:b/>
                <w:sz w:val="18"/>
                <w:szCs w:val="18"/>
              </w:rPr>
              <w:t>Value</w:t>
            </w:r>
          </w:p>
        </w:tc>
        <w:tc>
          <w:tcPr>
            <w:tcW w:w="1982" w:type="dxa"/>
            <w:shd w:val="clear" w:color="auto" w:fill="BFBFBF" w:themeFill="background1" w:themeFillShade="BF"/>
            <w:vAlign w:val="center"/>
          </w:tcPr>
          <w:p w14:paraId="2B15CE84" w14:textId="77777777" w:rsidR="004E6452" w:rsidRPr="001570EA" w:rsidRDefault="004E6452">
            <w:pPr>
              <w:jc w:val="center"/>
              <w:rPr>
                <w:rFonts w:cs="Arial"/>
                <w:sz w:val="18"/>
                <w:szCs w:val="18"/>
              </w:rPr>
            </w:pPr>
            <w:r w:rsidRPr="001570EA">
              <w:rPr>
                <w:rFonts w:cs="Arial"/>
                <w:b/>
                <w:sz w:val="18"/>
                <w:szCs w:val="18"/>
              </w:rPr>
              <w:t>Source</w:t>
            </w:r>
          </w:p>
        </w:tc>
      </w:tr>
      <w:tr w:rsidR="004E6452" w:rsidRPr="001570EA" w14:paraId="1FCF3EA9" w14:textId="77777777">
        <w:trPr>
          <w:trHeight w:val="946"/>
        </w:trPr>
        <w:tc>
          <w:tcPr>
            <w:tcW w:w="2176" w:type="dxa"/>
            <w:vAlign w:val="center"/>
          </w:tcPr>
          <w:p w14:paraId="6D3D371F" w14:textId="77777777" w:rsidR="004E6452" w:rsidRPr="001570EA" w:rsidRDefault="004E6452">
            <w:pPr>
              <w:spacing w:before="120" w:after="200"/>
              <w:rPr>
                <w:rFonts w:cs="Arial"/>
                <w:sz w:val="18"/>
                <w:szCs w:val="18"/>
              </w:rPr>
            </w:pPr>
            <w:r w:rsidRPr="001570EA">
              <w:rPr>
                <w:rFonts w:cs="Arial"/>
                <w:i/>
                <w:sz w:val="18"/>
                <w:szCs w:val="18"/>
              </w:rPr>
              <w:t>CAPY</w:t>
            </w:r>
            <w:r w:rsidRPr="001570EA">
              <w:rPr>
                <w:rFonts w:cs="Arial"/>
                <w:sz w:val="18"/>
                <w:szCs w:val="18"/>
              </w:rPr>
              <w:t xml:space="preserve">, </w:t>
            </w:r>
            <w:r w:rsidRPr="001570EA">
              <w:rPr>
                <w:sz w:val="18"/>
                <w:szCs w:val="18"/>
              </w:rPr>
              <w:t>Clothes washer capacity</w:t>
            </w:r>
          </w:p>
        </w:tc>
        <w:tc>
          <w:tcPr>
            <w:tcW w:w="1995" w:type="dxa"/>
            <w:vAlign w:val="center"/>
          </w:tcPr>
          <w:p w14:paraId="60789D2A" w14:textId="77777777" w:rsidR="004E6452" w:rsidRPr="001570EA" w:rsidRDefault="004E6452">
            <w:pPr>
              <w:spacing w:before="120" w:after="200"/>
              <w:jc w:val="center"/>
              <w:rPr>
                <w:rFonts w:cs="Arial"/>
                <w:i/>
                <w:sz w:val="18"/>
                <w:szCs w:val="18"/>
                <w:vertAlign w:val="superscript"/>
              </w:rPr>
            </w:pPr>
            <w:r w:rsidRPr="001570EA">
              <w:rPr>
                <w:rFonts w:cs="Arial"/>
                <w:i/>
                <w:sz w:val="18"/>
                <w:szCs w:val="18"/>
              </w:rPr>
              <w:t>ft</w:t>
            </w:r>
            <w:r w:rsidRPr="001570EA">
              <w:rPr>
                <w:rFonts w:cs="Arial"/>
                <w:i/>
                <w:sz w:val="18"/>
                <w:szCs w:val="18"/>
                <w:vertAlign w:val="superscript"/>
              </w:rPr>
              <w:t>3</w:t>
            </w:r>
          </w:p>
        </w:tc>
        <w:tc>
          <w:tcPr>
            <w:tcW w:w="2369" w:type="dxa"/>
            <w:vAlign w:val="center"/>
          </w:tcPr>
          <w:p w14:paraId="0E324CAC" w14:textId="77777777" w:rsidR="004E6452" w:rsidRPr="001570EA" w:rsidRDefault="004E6452">
            <w:pPr>
              <w:spacing w:before="120"/>
              <w:jc w:val="center"/>
              <w:rPr>
                <w:rFonts w:cs="Arial"/>
                <w:sz w:val="18"/>
                <w:szCs w:val="18"/>
              </w:rPr>
            </w:pPr>
            <w:r w:rsidRPr="001570EA">
              <w:rPr>
                <w:rFonts w:cs="Arial"/>
                <w:sz w:val="18"/>
                <w:szCs w:val="18"/>
              </w:rPr>
              <w:t>EDC Data Gathering</w:t>
            </w:r>
          </w:p>
          <w:p w14:paraId="3AB411FD" w14:textId="70DB8408" w:rsidR="004E6452" w:rsidRPr="001570EA" w:rsidRDefault="004E6452">
            <w:pPr>
              <w:spacing w:before="120"/>
              <w:jc w:val="center"/>
              <w:rPr>
                <w:rFonts w:cs="Arial"/>
                <w:sz w:val="18"/>
                <w:szCs w:val="18"/>
              </w:rPr>
            </w:pPr>
            <w:r w:rsidRPr="001570EA">
              <w:rPr>
                <w:rFonts w:cs="Arial"/>
                <w:sz w:val="18"/>
                <w:szCs w:val="18"/>
              </w:rPr>
              <w:t xml:space="preserve">Default: </w:t>
            </w:r>
            <w:r w:rsidRPr="001570EA">
              <w:rPr>
                <w:rFonts w:cs="Arial"/>
                <w:sz w:val="18"/>
                <w:szCs w:val="18"/>
              </w:rPr>
              <w:fldChar w:fldCharType="begin"/>
            </w:r>
            <w:r w:rsidRPr="001570EA">
              <w:rPr>
                <w:rFonts w:cs="Arial"/>
                <w:sz w:val="18"/>
                <w:szCs w:val="18"/>
              </w:rPr>
              <w:instrText xml:space="preserve"> REF _Ref532214369 \h  \* MERGEFORMAT </w:instrText>
            </w:r>
            <w:r w:rsidRPr="001570EA">
              <w:rPr>
                <w:rFonts w:cs="Arial"/>
                <w:sz w:val="18"/>
                <w:szCs w:val="18"/>
              </w:rPr>
            </w:r>
            <w:r w:rsidRPr="001570EA">
              <w:rPr>
                <w:rFonts w:cs="Arial"/>
                <w:sz w:val="18"/>
                <w:szCs w:val="18"/>
              </w:rPr>
              <w:fldChar w:fldCharType="separate"/>
            </w:r>
            <w:r w:rsidR="00234C6C" w:rsidRPr="001570EA">
              <w:rPr>
                <w:sz w:val="18"/>
                <w:szCs w:val="18"/>
              </w:rPr>
              <w:t xml:space="preserve">Table </w:t>
            </w:r>
            <w:r w:rsidR="00234C6C" w:rsidRPr="001570EA">
              <w:rPr>
                <w:noProof/>
                <w:sz w:val="18"/>
                <w:szCs w:val="18"/>
              </w:rPr>
              <w:t>2</w:t>
            </w:r>
            <w:r w:rsidRPr="001570EA">
              <w:rPr>
                <w:rFonts w:cs="Arial"/>
                <w:sz w:val="18"/>
                <w:szCs w:val="18"/>
              </w:rPr>
              <w:fldChar w:fldCharType="end"/>
            </w:r>
          </w:p>
        </w:tc>
        <w:tc>
          <w:tcPr>
            <w:tcW w:w="1982" w:type="dxa"/>
            <w:vAlign w:val="center"/>
          </w:tcPr>
          <w:p w14:paraId="2922F6E5" w14:textId="77777777" w:rsidR="004E6452" w:rsidRPr="001570EA" w:rsidRDefault="004E6452">
            <w:pPr>
              <w:spacing w:before="120"/>
              <w:jc w:val="center"/>
              <w:rPr>
                <w:rFonts w:eastAsia="Arial" w:cs="Arial"/>
                <w:sz w:val="18"/>
                <w:szCs w:val="18"/>
              </w:rPr>
            </w:pPr>
            <w:r w:rsidRPr="001570EA">
              <w:rPr>
                <w:rFonts w:cs="Arial"/>
                <w:sz w:val="18"/>
                <w:szCs w:val="18"/>
              </w:rPr>
              <w:t>EDC Data Gathering,</w:t>
            </w:r>
          </w:p>
          <w:p w14:paraId="3D667CD1" w14:textId="77777777" w:rsidR="004E6452" w:rsidRPr="001570EA" w:rsidRDefault="004E6452">
            <w:pPr>
              <w:spacing w:before="120"/>
              <w:jc w:val="center"/>
              <w:rPr>
                <w:rFonts w:eastAsia="Arial" w:cs="Arial"/>
                <w:sz w:val="18"/>
                <w:szCs w:val="18"/>
              </w:rPr>
            </w:pPr>
            <w:r w:rsidRPr="001570EA">
              <w:rPr>
                <w:rFonts w:cs="Arial"/>
                <w:sz w:val="18"/>
                <w:szCs w:val="18"/>
              </w:rPr>
              <w:t>2</w:t>
            </w:r>
          </w:p>
        </w:tc>
      </w:tr>
      <w:tr w:rsidR="004E6452" w:rsidRPr="001570EA" w14:paraId="1B64FABE" w14:textId="77777777">
        <w:trPr>
          <w:trHeight w:hRule="exact" w:val="973"/>
        </w:trPr>
        <w:tc>
          <w:tcPr>
            <w:tcW w:w="2176" w:type="dxa"/>
            <w:vAlign w:val="center"/>
          </w:tcPr>
          <w:p w14:paraId="6CA39FF9" w14:textId="77777777" w:rsidR="004E6452" w:rsidRPr="001570EA" w:rsidRDefault="004E6452">
            <w:pPr>
              <w:rPr>
                <w:i/>
                <w:sz w:val="18"/>
                <w:szCs w:val="18"/>
              </w:rPr>
            </w:pPr>
            <w:r w:rsidRPr="001570EA">
              <w:rPr>
                <w:rFonts w:cs="Arial"/>
                <w:i/>
                <w:sz w:val="18"/>
                <w:szCs w:val="18"/>
              </w:rPr>
              <w:t>IMEF</w:t>
            </w:r>
            <w:r w:rsidRPr="001570EA">
              <w:rPr>
                <w:rFonts w:cs="Arial"/>
                <w:i/>
                <w:sz w:val="18"/>
                <w:szCs w:val="18"/>
                <w:vertAlign w:val="subscript"/>
              </w:rPr>
              <w:t>base</w:t>
            </w:r>
            <w:r w:rsidRPr="001570EA">
              <w:rPr>
                <w:rFonts w:cs="Arial"/>
                <w:sz w:val="18"/>
                <w:szCs w:val="18"/>
              </w:rPr>
              <w:t xml:space="preserve">, Integrated </w:t>
            </w:r>
            <w:r w:rsidRPr="001570EA">
              <w:rPr>
                <w:sz w:val="18"/>
                <w:szCs w:val="18"/>
              </w:rPr>
              <w:t>Modified Energy Factor of baseline clothes washer</w:t>
            </w:r>
          </w:p>
        </w:tc>
        <w:tc>
          <w:tcPr>
            <w:tcW w:w="1995" w:type="dxa"/>
            <w:vAlign w:val="center"/>
          </w:tcPr>
          <w:p w14:paraId="5C3D17B4" w14:textId="77777777" w:rsidR="004E6452" w:rsidRPr="001570EA" w:rsidRDefault="003B5E04">
            <w:pPr>
              <w:spacing w:before="120"/>
              <w:jc w:val="center"/>
              <w:rPr>
                <w:rFonts w:cs="Arial"/>
                <w:sz w:val="18"/>
                <w:szCs w:val="18"/>
              </w:rPr>
            </w:pPr>
            <m:oMathPara>
              <m:oMath>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ft</m:t>
                        </m:r>
                      </m:e>
                      <m:sup>
                        <m:r>
                          <w:rPr>
                            <w:rFonts w:ascii="Cambria Math" w:hAnsi="Cambria Math"/>
                            <w:sz w:val="18"/>
                            <w:szCs w:val="18"/>
                          </w:rPr>
                          <m:t>3</m:t>
                        </m:r>
                      </m:sup>
                    </m:sSup>
                  </m:num>
                  <m:den>
                    <m:d>
                      <m:dPr>
                        <m:ctrlPr>
                          <w:rPr>
                            <w:rFonts w:ascii="Cambria Math" w:hAnsi="Cambria Math"/>
                            <w:i/>
                            <w:sz w:val="18"/>
                            <w:szCs w:val="18"/>
                          </w:rPr>
                        </m:ctrlPr>
                      </m:dPr>
                      <m:e>
                        <m:f>
                          <m:fPr>
                            <m:type m:val="lin"/>
                            <m:ctrlPr>
                              <w:rPr>
                                <w:rFonts w:ascii="Cambria Math" w:hAnsi="Cambria Math"/>
                                <w:i/>
                                <w:sz w:val="18"/>
                                <w:szCs w:val="18"/>
                              </w:rPr>
                            </m:ctrlPr>
                          </m:fPr>
                          <m:num>
                            <m:r>
                              <w:rPr>
                                <w:rFonts w:ascii="Cambria Math" w:hAnsi="Cambria Math"/>
                                <w:sz w:val="18"/>
                                <w:szCs w:val="18"/>
                              </w:rPr>
                              <m:t>kWh</m:t>
                            </m:r>
                          </m:num>
                          <m:den>
                            <m:r>
                              <w:rPr>
                                <w:rFonts w:ascii="Cambria Math" w:hAnsi="Cambria Math"/>
                                <w:sz w:val="18"/>
                                <w:szCs w:val="18"/>
                              </w:rPr>
                              <m:t>cycle</m:t>
                            </m:r>
                          </m:den>
                        </m:f>
                      </m:e>
                    </m:d>
                  </m:den>
                </m:f>
              </m:oMath>
            </m:oMathPara>
          </w:p>
        </w:tc>
        <w:tc>
          <w:tcPr>
            <w:tcW w:w="2369" w:type="dxa"/>
            <w:vAlign w:val="center"/>
          </w:tcPr>
          <w:p w14:paraId="2EC34529" w14:textId="306516C7" w:rsidR="004E6452" w:rsidRPr="001570EA" w:rsidRDefault="004E6452">
            <w:pPr>
              <w:spacing w:before="120"/>
              <w:jc w:val="center"/>
              <w:rPr>
                <w:rFonts w:cs="Arial"/>
                <w:sz w:val="18"/>
                <w:szCs w:val="18"/>
              </w:rPr>
            </w:pPr>
            <w:r w:rsidRPr="001570EA">
              <w:rPr>
                <w:rFonts w:cs="Arial"/>
                <w:sz w:val="18"/>
                <w:szCs w:val="18"/>
              </w:rPr>
              <w:fldChar w:fldCharType="begin"/>
            </w:r>
            <w:r w:rsidRPr="001570EA">
              <w:rPr>
                <w:rFonts w:cs="Arial"/>
                <w:sz w:val="18"/>
                <w:szCs w:val="18"/>
              </w:rPr>
              <w:instrText xml:space="preserve"> REF _Ref532214369 \h  \* MERGEFORMAT </w:instrText>
            </w:r>
            <w:r w:rsidRPr="001570EA">
              <w:rPr>
                <w:rFonts w:cs="Arial"/>
                <w:sz w:val="18"/>
                <w:szCs w:val="18"/>
              </w:rPr>
            </w:r>
            <w:r w:rsidRPr="001570EA">
              <w:rPr>
                <w:rFonts w:cs="Arial"/>
                <w:sz w:val="18"/>
                <w:szCs w:val="18"/>
              </w:rPr>
              <w:fldChar w:fldCharType="separate"/>
            </w:r>
            <w:r w:rsidR="00234C6C" w:rsidRPr="001570EA">
              <w:rPr>
                <w:sz w:val="18"/>
                <w:szCs w:val="18"/>
              </w:rPr>
              <w:t xml:space="preserve">Table </w:t>
            </w:r>
            <w:r w:rsidR="00234C6C" w:rsidRPr="001570EA">
              <w:rPr>
                <w:noProof/>
                <w:sz w:val="18"/>
                <w:szCs w:val="18"/>
              </w:rPr>
              <w:t>2</w:t>
            </w:r>
            <w:r w:rsidRPr="001570EA">
              <w:rPr>
                <w:rFonts w:cs="Arial"/>
                <w:sz w:val="18"/>
                <w:szCs w:val="18"/>
              </w:rPr>
              <w:fldChar w:fldCharType="end"/>
            </w:r>
          </w:p>
        </w:tc>
        <w:tc>
          <w:tcPr>
            <w:tcW w:w="1982" w:type="dxa"/>
            <w:vAlign w:val="center"/>
          </w:tcPr>
          <w:p w14:paraId="1440F789" w14:textId="77777777" w:rsidR="004E6452" w:rsidRPr="001570EA" w:rsidRDefault="004E6452">
            <w:pPr>
              <w:spacing w:before="120"/>
              <w:jc w:val="center"/>
              <w:rPr>
                <w:rFonts w:cs="Arial"/>
                <w:sz w:val="18"/>
                <w:szCs w:val="18"/>
              </w:rPr>
            </w:pPr>
            <w:r w:rsidRPr="001570EA">
              <w:rPr>
                <w:rFonts w:cs="Arial"/>
                <w:sz w:val="18"/>
                <w:szCs w:val="18"/>
              </w:rPr>
              <w:t>7, 10</w:t>
            </w:r>
          </w:p>
        </w:tc>
      </w:tr>
      <w:tr w:rsidR="004E6452" w:rsidRPr="001570EA" w14:paraId="7DABA2B8" w14:textId="77777777">
        <w:trPr>
          <w:trHeight w:val="1148"/>
        </w:trPr>
        <w:tc>
          <w:tcPr>
            <w:tcW w:w="2176" w:type="dxa"/>
            <w:vAlign w:val="center"/>
          </w:tcPr>
          <w:p w14:paraId="0BF418CD" w14:textId="77777777" w:rsidR="004E6452" w:rsidRPr="001570EA" w:rsidRDefault="004E6452">
            <w:pPr>
              <w:spacing w:before="120" w:after="200"/>
              <w:rPr>
                <w:rFonts w:cs="Arial"/>
                <w:sz w:val="18"/>
                <w:szCs w:val="18"/>
              </w:rPr>
            </w:pPr>
            <w:r w:rsidRPr="001570EA">
              <w:rPr>
                <w:rFonts w:cs="Arial"/>
                <w:i/>
                <w:sz w:val="18"/>
                <w:szCs w:val="18"/>
              </w:rPr>
              <w:t>IMEF</w:t>
            </w:r>
            <w:r w:rsidRPr="001570EA">
              <w:rPr>
                <w:rFonts w:cs="Arial"/>
                <w:i/>
                <w:sz w:val="18"/>
                <w:szCs w:val="18"/>
                <w:vertAlign w:val="subscript"/>
              </w:rPr>
              <w:t>ee</w:t>
            </w:r>
            <w:r w:rsidRPr="001570EA">
              <w:rPr>
                <w:rFonts w:cs="Arial"/>
                <w:sz w:val="18"/>
                <w:szCs w:val="18"/>
              </w:rPr>
              <w:t xml:space="preserve">, Integrated </w:t>
            </w:r>
            <w:r w:rsidRPr="001570EA">
              <w:rPr>
                <w:sz w:val="18"/>
                <w:szCs w:val="18"/>
              </w:rPr>
              <w:t xml:space="preserve">Modified Energy Factor of ENERGY STAR clothes washer </w:t>
            </w:r>
          </w:p>
        </w:tc>
        <w:tc>
          <w:tcPr>
            <w:tcW w:w="1995" w:type="dxa"/>
            <w:vAlign w:val="center"/>
          </w:tcPr>
          <w:p w14:paraId="2E6838C8" w14:textId="77777777" w:rsidR="004E6452" w:rsidRPr="001570EA" w:rsidRDefault="003B5E04">
            <w:pPr>
              <w:spacing w:before="120"/>
              <w:jc w:val="center"/>
              <w:rPr>
                <w:rFonts w:cs="Arial"/>
                <w:sz w:val="18"/>
                <w:szCs w:val="18"/>
              </w:rPr>
            </w:pPr>
            <m:oMathPara>
              <m:oMath>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ft</m:t>
                        </m:r>
                      </m:e>
                      <m:sup>
                        <m:r>
                          <w:rPr>
                            <w:rFonts w:ascii="Cambria Math" w:hAnsi="Cambria Math"/>
                            <w:sz w:val="18"/>
                            <w:szCs w:val="18"/>
                          </w:rPr>
                          <m:t>3</m:t>
                        </m:r>
                      </m:sup>
                    </m:sSup>
                  </m:num>
                  <m:den>
                    <m:d>
                      <m:dPr>
                        <m:ctrlPr>
                          <w:rPr>
                            <w:rFonts w:ascii="Cambria Math" w:hAnsi="Cambria Math"/>
                            <w:i/>
                            <w:sz w:val="18"/>
                            <w:szCs w:val="18"/>
                          </w:rPr>
                        </m:ctrlPr>
                      </m:dPr>
                      <m:e>
                        <m:f>
                          <m:fPr>
                            <m:type m:val="lin"/>
                            <m:ctrlPr>
                              <w:rPr>
                                <w:rFonts w:ascii="Cambria Math" w:hAnsi="Cambria Math"/>
                                <w:i/>
                                <w:sz w:val="18"/>
                                <w:szCs w:val="18"/>
                              </w:rPr>
                            </m:ctrlPr>
                          </m:fPr>
                          <m:num>
                            <m:r>
                              <w:rPr>
                                <w:rFonts w:ascii="Cambria Math" w:hAnsi="Cambria Math"/>
                                <w:sz w:val="18"/>
                                <w:szCs w:val="18"/>
                              </w:rPr>
                              <m:t>kWh</m:t>
                            </m:r>
                          </m:num>
                          <m:den>
                            <m:r>
                              <w:rPr>
                                <w:rFonts w:ascii="Cambria Math" w:hAnsi="Cambria Math"/>
                                <w:sz w:val="18"/>
                                <w:szCs w:val="18"/>
                              </w:rPr>
                              <m:t>cycle</m:t>
                            </m:r>
                          </m:den>
                        </m:f>
                      </m:e>
                    </m:d>
                  </m:den>
                </m:f>
              </m:oMath>
            </m:oMathPara>
          </w:p>
        </w:tc>
        <w:tc>
          <w:tcPr>
            <w:tcW w:w="2369" w:type="dxa"/>
            <w:vAlign w:val="center"/>
          </w:tcPr>
          <w:p w14:paraId="6F570EFE" w14:textId="77777777" w:rsidR="004E6452" w:rsidRPr="001570EA" w:rsidRDefault="004E6452">
            <w:pPr>
              <w:spacing w:before="120"/>
              <w:jc w:val="center"/>
              <w:rPr>
                <w:rFonts w:cs="Arial"/>
                <w:sz w:val="18"/>
                <w:szCs w:val="18"/>
              </w:rPr>
            </w:pPr>
            <w:r w:rsidRPr="001570EA">
              <w:rPr>
                <w:rFonts w:cs="Arial"/>
                <w:sz w:val="18"/>
                <w:szCs w:val="18"/>
              </w:rPr>
              <w:t>EDC Data Gathering</w:t>
            </w:r>
          </w:p>
          <w:p w14:paraId="79E72B45" w14:textId="31278B1D" w:rsidR="004E6452" w:rsidRPr="001570EA" w:rsidRDefault="004E6452">
            <w:pPr>
              <w:spacing w:before="120"/>
              <w:jc w:val="center"/>
              <w:rPr>
                <w:rFonts w:cs="Arial"/>
                <w:sz w:val="18"/>
                <w:szCs w:val="18"/>
              </w:rPr>
            </w:pPr>
            <w:r w:rsidRPr="001570EA">
              <w:rPr>
                <w:rFonts w:cs="Arial"/>
                <w:sz w:val="18"/>
                <w:szCs w:val="18"/>
              </w:rPr>
              <w:t xml:space="preserve">Default: </w:t>
            </w:r>
            <w:r w:rsidRPr="001570EA">
              <w:rPr>
                <w:rFonts w:cs="Arial"/>
                <w:sz w:val="18"/>
                <w:szCs w:val="18"/>
              </w:rPr>
              <w:fldChar w:fldCharType="begin"/>
            </w:r>
            <w:r w:rsidRPr="001570EA">
              <w:rPr>
                <w:rFonts w:cs="Arial"/>
                <w:sz w:val="18"/>
                <w:szCs w:val="18"/>
              </w:rPr>
              <w:instrText xml:space="preserve"> REF _Ref532214369 \h  \* MERGEFORMAT </w:instrText>
            </w:r>
            <w:r w:rsidRPr="001570EA">
              <w:rPr>
                <w:rFonts w:cs="Arial"/>
                <w:sz w:val="18"/>
                <w:szCs w:val="18"/>
              </w:rPr>
            </w:r>
            <w:r w:rsidRPr="001570EA">
              <w:rPr>
                <w:rFonts w:cs="Arial"/>
                <w:sz w:val="18"/>
                <w:szCs w:val="18"/>
              </w:rPr>
              <w:fldChar w:fldCharType="separate"/>
            </w:r>
            <w:r w:rsidR="00234C6C" w:rsidRPr="001570EA">
              <w:rPr>
                <w:sz w:val="18"/>
                <w:szCs w:val="18"/>
              </w:rPr>
              <w:t xml:space="preserve">Table </w:t>
            </w:r>
            <w:r w:rsidR="00234C6C" w:rsidRPr="001570EA">
              <w:rPr>
                <w:noProof/>
                <w:sz w:val="18"/>
                <w:szCs w:val="18"/>
              </w:rPr>
              <w:t>2</w:t>
            </w:r>
            <w:r w:rsidRPr="001570EA">
              <w:rPr>
                <w:rFonts w:cs="Arial"/>
                <w:sz w:val="18"/>
                <w:szCs w:val="18"/>
              </w:rPr>
              <w:fldChar w:fldCharType="end"/>
            </w:r>
          </w:p>
        </w:tc>
        <w:tc>
          <w:tcPr>
            <w:tcW w:w="1982" w:type="dxa"/>
            <w:vAlign w:val="center"/>
          </w:tcPr>
          <w:p w14:paraId="3473DFCB" w14:textId="77777777" w:rsidR="004E6452" w:rsidRPr="001570EA" w:rsidRDefault="004E6452">
            <w:pPr>
              <w:spacing w:before="120"/>
              <w:jc w:val="center"/>
              <w:rPr>
                <w:rFonts w:cs="Arial"/>
                <w:sz w:val="18"/>
                <w:szCs w:val="18"/>
              </w:rPr>
            </w:pPr>
            <w:r w:rsidRPr="001570EA">
              <w:rPr>
                <w:rFonts w:cs="Arial"/>
                <w:sz w:val="18"/>
                <w:szCs w:val="18"/>
              </w:rPr>
              <w:t>EDC Data Gathering,</w:t>
            </w:r>
          </w:p>
          <w:p w14:paraId="5C5D2D9C" w14:textId="77777777" w:rsidR="004E6452" w:rsidRPr="001570EA" w:rsidRDefault="004E6452">
            <w:pPr>
              <w:spacing w:before="120"/>
              <w:jc w:val="center"/>
              <w:rPr>
                <w:rFonts w:cs="Arial"/>
                <w:sz w:val="18"/>
                <w:szCs w:val="18"/>
              </w:rPr>
            </w:pPr>
            <w:r w:rsidRPr="001570EA">
              <w:rPr>
                <w:rFonts w:cs="Arial"/>
                <w:sz w:val="18"/>
                <w:szCs w:val="18"/>
              </w:rPr>
              <w:t>3</w:t>
            </w:r>
          </w:p>
        </w:tc>
      </w:tr>
      <w:tr w:rsidR="004E6452" w:rsidRPr="001570EA" w14:paraId="27F5177E" w14:textId="77777777">
        <w:trPr>
          <w:trHeight w:hRule="exact" w:val="784"/>
        </w:trPr>
        <w:tc>
          <w:tcPr>
            <w:tcW w:w="2176" w:type="dxa"/>
            <w:vAlign w:val="center"/>
          </w:tcPr>
          <w:p w14:paraId="3C8E6002" w14:textId="77777777" w:rsidR="004E6452" w:rsidRPr="001570EA" w:rsidRDefault="004E6452">
            <w:pPr>
              <w:spacing w:before="120"/>
              <w:rPr>
                <w:rFonts w:cs="Arial"/>
                <w:sz w:val="18"/>
                <w:szCs w:val="18"/>
              </w:rPr>
            </w:pPr>
            <w:r w:rsidRPr="001570EA">
              <w:rPr>
                <w:rFonts w:cs="Arial"/>
                <w:i/>
                <w:sz w:val="18"/>
                <w:szCs w:val="18"/>
              </w:rPr>
              <w:t>Cycles</w:t>
            </w:r>
            <w:r w:rsidRPr="001570EA">
              <w:rPr>
                <w:rFonts w:cs="Arial"/>
                <w:sz w:val="18"/>
                <w:szCs w:val="18"/>
              </w:rPr>
              <w:t xml:space="preserve">, </w:t>
            </w:r>
            <w:r w:rsidRPr="001570EA">
              <w:rPr>
                <w:sz w:val="18"/>
                <w:szCs w:val="18"/>
              </w:rPr>
              <w:t>Number of clothes washer cycles per year</w:t>
            </w:r>
          </w:p>
        </w:tc>
        <w:tc>
          <w:tcPr>
            <w:tcW w:w="1995" w:type="dxa"/>
            <w:vAlign w:val="center"/>
          </w:tcPr>
          <w:p w14:paraId="3D060D9C" w14:textId="77777777" w:rsidR="004E6452" w:rsidRPr="001570EA" w:rsidRDefault="003B5E04">
            <w:pPr>
              <w:spacing w:before="120"/>
              <w:jc w:val="center"/>
              <w:rPr>
                <w:rFonts w:cs="Arial"/>
                <w:sz w:val="18"/>
                <w:szCs w:val="18"/>
              </w:rPr>
            </w:pPr>
            <m:oMathPara>
              <m:oMath>
                <m:f>
                  <m:fPr>
                    <m:ctrlPr>
                      <w:rPr>
                        <w:rFonts w:ascii="Cambria Math" w:hAnsi="Cambria Math" w:cs="Arial"/>
                        <w:i/>
                        <w:sz w:val="18"/>
                        <w:szCs w:val="18"/>
                      </w:rPr>
                    </m:ctrlPr>
                  </m:fPr>
                  <m:num>
                    <m:r>
                      <w:rPr>
                        <w:rFonts w:ascii="Cambria Math" w:hAnsi="Cambria Math" w:cs="Arial"/>
                        <w:sz w:val="18"/>
                        <w:szCs w:val="18"/>
                      </w:rPr>
                      <m:t>cycles</m:t>
                    </m:r>
                  </m:num>
                  <m:den>
                    <m:r>
                      <w:rPr>
                        <w:rFonts w:ascii="Cambria Math" w:hAnsi="Cambria Math" w:cs="Arial"/>
                        <w:sz w:val="18"/>
                        <w:szCs w:val="18"/>
                      </w:rPr>
                      <m:t>yr</m:t>
                    </m:r>
                  </m:den>
                </m:f>
              </m:oMath>
            </m:oMathPara>
          </w:p>
        </w:tc>
        <w:tc>
          <w:tcPr>
            <w:tcW w:w="2369" w:type="dxa"/>
            <w:vAlign w:val="center"/>
          </w:tcPr>
          <w:p w14:paraId="2C44EE31" w14:textId="77777777" w:rsidR="004E6452" w:rsidRPr="001570EA" w:rsidRDefault="004E6452">
            <w:pPr>
              <w:spacing w:before="120"/>
              <w:jc w:val="center"/>
              <w:rPr>
                <w:rFonts w:cs="Arial"/>
                <w:sz w:val="18"/>
                <w:szCs w:val="18"/>
              </w:rPr>
            </w:pPr>
            <w:r w:rsidRPr="001570EA">
              <w:rPr>
                <w:rFonts w:cs="Arial"/>
                <w:sz w:val="18"/>
                <w:szCs w:val="18"/>
              </w:rPr>
              <w:t>178</w:t>
            </w:r>
          </w:p>
        </w:tc>
        <w:tc>
          <w:tcPr>
            <w:tcW w:w="1982" w:type="dxa"/>
            <w:vAlign w:val="center"/>
          </w:tcPr>
          <w:p w14:paraId="6B72A371" w14:textId="77777777" w:rsidR="004E6452" w:rsidRPr="001570EA" w:rsidRDefault="004E6452">
            <w:pPr>
              <w:spacing w:before="120"/>
              <w:jc w:val="center"/>
              <w:rPr>
                <w:rFonts w:cs="Arial"/>
                <w:sz w:val="18"/>
                <w:szCs w:val="18"/>
              </w:rPr>
            </w:pPr>
            <w:r w:rsidRPr="001570EA">
              <w:rPr>
                <w:rFonts w:cs="Arial"/>
                <w:sz w:val="18"/>
                <w:szCs w:val="18"/>
              </w:rPr>
              <w:t>6</w:t>
            </w:r>
          </w:p>
        </w:tc>
      </w:tr>
      <w:tr w:rsidR="004E6452" w:rsidRPr="001570EA" w14:paraId="3CDF8980" w14:textId="77777777">
        <w:trPr>
          <w:trHeight w:hRule="exact" w:val="955"/>
        </w:trPr>
        <w:tc>
          <w:tcPr>
            <w:tcW w:w="2176" w:type="dxa"/>
            <w:vAlign w:val="center"/>
          </w:tcPr>
          <w:p w14:paraId="009316EB" w14:textId="77777777" w:rsidR="004E6452" w:rsidRPr="001570EA" w:rsidRDefault="004E6452">
            <w:pPr>
              <w:spacing w:before="120" w:after="200"/>
              <w:rPr>
                <w:rFonts w:cs="Arial"/>
                <w:sz w:val="18"/>
                <w:szCs w:val="18"/>
              </w:rPr>
            </w:pPr>
            <w:r w:rsidRPr="001570EA">
              <w:rPr>
                <w:rFonts w:cs="Arial"/>
                <w:i/>
                <w:sz w:val="18"/>
                <w:szCs w:val="18"/>
              </w:rPr>
              <w:t>CW</w:t>
            </w:r>
            <w:r w:rsidRPr="001570EA">
              <w:rPr>
                <w:rFonts w:cs="Arial"/>
                <w:i/>
                <w:sz w:val="18"/>
                <w:szCs w:val="18"/>
                <w:vertAlign w:val="subscript"/>
              </w:rPr>
              <w:t>base</w:t>
            </w:r>
            <w:r w:rsidRPr="001570EA">
              <w:rPr>
                <w:rFonts w:cs="Arial"/>
                <w:sz w:val="18"/>
                <w:szCs w:val="18"/>
              </w:rPr>
              <w:t>, % of t</w:t>
            </w:r>
            <w:r w:rsidRPr="001570EA">
              <w:rPr>
                <w:sz w:val="18"/>
                <w:szCs w:val="18"/>
              </w:rPr>
              <w:t>otal energy consumption for baseline clothes washer mechanical operation</w:t>
            </w:r>
          </w:p>
        </w:tc>
        <w:tc>
          <w:tcPr>
            <w:tcW w:w="1995" w:type="dxa"/>
            <w:vAlign w:val="center"/>
          </w:tcPr>
          <w:p w14:paraId="25E2D631" w14:textId="77777777" w:rsidR="004E6452" w:rsidRPr="001570EA" w:rsidRDefault="004E6452">
            <w:pPr>
              <w:spacing w:before="120"/>
              <w:jc w:val="center"/>
              <w:rPr>
                <w:rFonts w:cs="Arial"/>
                <w:i/>
                <w:sz w:val="18"/>
                <w:szCs w:val="18"/>
              </w:rPr>
            </w:pPr>
            <w:r w:rsidRPr="001570EA">
              <w:rPr>
                <w:rFonts w:cs="Arial"/>
                <w:i/>
                <w:sz w:val="18"/>
                <w:szCs w:val="18"/>
              </w:rPr>
              <w:t>%</w:t>
            </w:r>
          </w:p>
        </w:tc>
        <w:tc>
          <w:tcPr>
            <w:tcW w:w="2369" w:type="dxa"/>
            <w:vAlign w:val="center"/>
          </w:tcPr>
          <w:p w14:paraId="0A3FDEB6" w14:textId="77777777" w:rsidR="004E6452" w:rsidRPr="001570EA" w:rsidRDefault="004E6452">
            <w:pPr>
              <w:spacing w:before="120"/>
              <w:jc w:val="center"/>
              <w:rPr>
                <w:rFonts w:cs="Arial"/>
                <w:sz w:val="18"/>
                <w:szCs w:val="18"/>
              </w:rPr>
            </w:pPr>
            <w:r w:rsidRPr="001570EA">
              <w:rPr>
                <w:rFonts w:cs="Arial"/>
                <w:sz w:val="18"/>
                <w:szCs w:val="18"/>
              </w:rPr>
              <w:t>8.2%</w:t>
            </w:r>
          </w:p>
        </w:tc>
        <w:tc>
          <w:tcPr>
            <w:tcW w:w="1982" w:type="dxa"/>
            <w:vAlign w:val="center"/>
          </w:tcPr>
          <w:p w14:paraId="4F4FA0FA" w14:textId="77777777" w:rsidR="004E6452" w:rsidRPr="001570EA" w:rsidRDefault="004E6452">
            <w:pPr>
              <w:spacing w:before="120"/>
              <w:jc w:val="center"/>
              <w:rPr>
                <w:rFonts w:cs="Arial"/>
                <w:sz w:val="18"/>
                <w:szCs w:val="18"/>
              </w:rPr>
            </w:pPr>
            <w:r w:rsidRPr="001570EA">
              <w:rPr>
                <w:rFonts w:cs="Arial"/>
                <w:sz w:val="18"/>
                <w:szCs w:val="18"/>
              </w:rPr>
              <w:t>5</w:t>
            </w:r>
          </w:p>
        </w:tc>
      </w:tr>
      <w:tr w:rsidR="004E6452" w:rsidRPr="001570EA" w14:paraId="0E8D6CA2" w14:textId="77777777">
        <w:trPr>
          <w:trHeight w:hRule="exact" w:val="1270"/>
        </w:trPr>
        <w:tc>
          <w:tcPr>
            <w:tcW w:w="2176" w:type="dxa"/>
            <w:vAlign w:val="center"/>
          </w:tcPr>
          <w:p w14:paraId="66AABA3B" w14:textId="77777777" w:rsidR="004E6452" w:rsidRPr="001570EA" w:rsidRDefault="004E6452">
            <w:pPr>
              <w:spacing w:before="120" w:after="200"/>
              <w:rPr>
                <w:rFonts w:cs="Arial"/>
                <w:sz w:val="18"/>
                <w:szCs w:val="18"/>
              </w:rPr>
            </w:pPr>
            <w:r w:rsidRPr="001570EA">
              <w:rPr>
                <w:rFonts w:cs="Arial"/>
                <w:i/>
                <w:sz w:val="18"/>
                <w:szCs w:val="18"/>
              </w:rPr>
              <w:t>CW</w:t>
            </w:r>
            <w:r w:rsidRPr="001570EA">
              <w:rPr>
                <w:rFonts w:cs="Arial"/>
                <w:i/>
                <w:sz w:val="18"/>
                <w:szCs w:val="18"/>
                <w:vertAlign w:val="subscript"/>
              </w:rPr>
              <w:t>ee</w:t>
            </w:r>
            <w:r w:rsidRPr="001570EA">
              <w:rPr>
                <w:rFonts w:cs="Arial"/>
                <w:sz w:val="18"/>
                <w:szCs w:val="18"/>
              </w:rPr>
              <w:t xml:space="preserve">, </w:t>
            </w:r>
            <w:r w:rsidRPr="001570EA">
              <w:rPr>
                <w:sz w:val="18"/>
                <w:szCs w:val="18"/>
              </w:rPr>
              <w:t>% of total energy consumption for ENERGY STAR clothes washer mechanical operation</w:t>
            </w:r>
          </w:p>
        </w:tc>
        <w:tc>
          <w:tcPr>
            <w:tcW w:w="1995" w:type="dxa"/>
            <w:vAlign w:val="center"/>
          </w:tcPr>
          <w:p w14:paraId="3EB75541" w14:textId="77777777" w:rsidR="004E6452" w:rsidRPr="001570EA" w:rsidRDefault="004E6452">
            <w:pPr>
              <w:spacing w:before="120"/>
              <w:jc w:val="center"/>
              <w:rPr>
                <w:rFonts w:cs="Arial"/>
                <w:i/>
                <w:sz w:val="18"/>
                <w:szCs w:val="18"/>
              </w:rPr>
            </w:pPr>
            <w:r w:rsidRPr="001570EA">
              <w:rPr>
                <w:rFonts w:cs="Arial"/>
                <w:i/>
                <w:sz w:val="18"/>
                <w:szCs w:val="18"/>
              </w:rPr>
              <w:t>%</w:t>
            </w:r>
          </w:p>
        </w:tc>
        <w:tc>
          <w:tcPr>
            <w:tcW w:w="2369" w:type="dxa"/>
            <w:vAlign w:val="center"/>
          </w:tcPr>
          <w:p w14:paraId="1A4E8711" w14:textId="77777777" w:rsidR="004E6452" w:rsidRPr="001570EA" w:rsidRDefault="004E6452">
            <w:pPr>
              <w:spacing w:before="120"/>
              <w:jc w:val="center"/>
              <w:rPr>
                <w:rFonts w:cs="Arial"/>
                <w:sz w:val="18"/>
                <w:szCs w:val="18"/>
              </w:rPr>
            </w:pPr>
            <w:r w:rsidRPr="001570EA">
              <w:rPr>
                <w:rFonts w:cs="Arial"/>
                <w:sz w:val="18"/>
                <w:szCs w:val="18"/>
              </w:rPr>
              <w:t>7.6%</w:t>
            </w:r>
          </w:p>
        </w:tc>
        <w:tc>
          <w:tcPr>
            <w:tcW w:w="1982" w:type="dxa"/>
            <w:vAlign w:val="center"/>
          </w:tcPr>
          <w:p w14:paraId="51A05298" w14:textId="77777777" w:rsidR="004E6452" w:rsidRPr="001570EA" w:rsidRDefault="004E6452">
            <w:pPr>
              <w:spacing w:before="120"/>
              <w:jc w:val="center"/>
              <w:rPr>
                <w:rFonts w:cs="Arial"/>
                <w:sz w:val="18"/>
                <w:szCs w:val="18"/>
              </w:rPr>
            </w:pPr>
            <w:r w:rsidRPr="001570EA">
              <w:rPr>
                <w:rFonts w:cs="Arial"/>
                <w:sz w:val="18"/>
                <w:szCs w:val="18"/>
              </w:rPr>
              <w:t>5</w:t>
            </w:r>
          </w:p>
        </w:tc>
      </w:tr>
      <w:tr w:rsidR="004E6452" w:rsidRPr="001570EA" w14:paraId="347C92ED" w14:textId="77777777">
        <w:trPr>
          <w:trHeight w:hRule="exact" w:val="1081"/>
        </w:trPr>
        <w:tc>
          <w:tcPr>
            <w:tcW w:w="2176" w:type="dxa"/>
            <w:vAlign w:val="center"/>
          </w:tcPr>
          <w:p w14:paraId="628D4D67" w14:textId="77777777" w:rsidR="004E6452" w:rsidRPr="001570EA" w:rsidRDefault="004E6452">
            <w:pPr>
              <w:spacing w:before="120" w:after="200"/>
              <w:rPr>
                <w:rFonts w:cs="Arial"/>
                <w:sz w:val="18"/>
                <w:szCs w:val="18"/>
              </w:rPr>
            </w:pPr>
            <w:r w:rsidRPr="001570EA">
              <w:rPr>
                <w:rFonts w:cs="Arial"/>
                <w:i/>
                <w:sz w:val="18"/>
                <w:szCs w:val="18"/>
              </w:rPr>
              <w:t>DHW</w:t>
            </w:r>
            <w:r w:rsidRPr="001570EA">
              <w:rPr>
                <w:rFonts w:cs="Arial"/>
                <w:i/>
                <w:sz w:val="18"/>
                <w:szCs w:val="18"/>
                <w:vertAlign w:val="subscript"/>
              </w:rPr>
              <w:t>base</w:t>
            </w:r>
            <w:r w:rsidRPr="001570EA">
              <w:rPr>
                <w:rFonts w:cs="Arial"/>
                <w:sz w:val="18"/>
                <w:szCs w:val="18"/>
              </w:rPr>
              <w:t>, % of t</w:t>
            </w:r>
            <w:r w:rsidRPr="001570EA">
              <w:rPr>
                <w:sz w:val="18"/>
                <w:szCs w:val="18"/>
              </w:rPr>
              <w:t>otal energy consumption attributed to baseline clothes washer water heating</w:t>
            </w:r>
          </w:p>
        </w:tc>
        <w:tc>
          <w:tcPr>
            <w:tcW w:w="1995" w:type="dxa"/>
            <w:vAlign w:val="center"/>
          </w:tcPr>
          <w:p w14:paraId="61DF5E5A" w14:textId="77777777" w:rsidR="004E6452" w:rsidRPr="001570EA" w:rsidRDefault="004E6452">
            <w:pPr>
              <w:spacing w:before="120"/>
              <w:jc w:val="center"/>
              <w:rPr>
                <w:rFonts w:cs="Arial"/>
                <w:i/>
                <w:sz w:val="18"/>
                <w:szCs w:val="18"/>
              </w:rPr>
            </w:pPr>
            <w:r w:rsidRPr="001570EA">
              <w:rPr>
                <w:rFonts w:cs="Arial"/>
                <w:i/>
                <w:sz w:val="18"/>
                <w:szCs w:val="18"/>
              </w:rPr>
              <w:t>%</w:t>
            </w:r>
          </w:p>
        </w:tc>
        <w:tc>
          <w:tcPr>
            <w:tcW w:w="2369" w:type="dxa"/>
            <w:vAlign w:val="center"/>
          </w:tcPr>
          <w:p w14:paraId="51339F27" w14:textId="77777777" w:rsidR="004E6452" w:rsidRPr="001570EA" w:rsidRDefault="004E6452">
            <w:pPr>
              <w:spacing w:before="120"/>
              <w:jc w:val="center"/>
              <w:rPr>
                <w:rFonts w:cs="Arial"/>
                <w:sz w:val="18"/>
                <w:szCs w:val="18"/>
              </w:rPr>
            </w:pPr>
            <w:r w:rsidRPr="001570EA">
              <w:rPr>
                <w:rFonts w:cs="Arial"/>
                <w:sz w:val="18"/>
                <w:szCs w:val="18"/>
              </w:rPr>
              <w:t>10.8%</w:t>
            </w:r>
          </w:p>
        </w:tc>
        <w:tc>
          <w:tcPr>
            <w:tcW w:w="1982" w:type="dxa"/>
            <w:vAlign w:val="center"/>
          </w:tcPr>
          <w:p w14:paraId="446D69B1" w14:textId="77777777" w:rsidR="004E6452" w:rsidRPr="001570EA" w:rsidRDefault="004E6452">
            <w:pPr>
              <w:spacing w:before="120"/>
              <w:jc w:val="center"/>
              <w:rPr>
                <w:rFonts w:cs="Arial"/>
                <w:sz w:val="18"/>
                <w:szCs w:val="18"/>
              </w:rPr>
            </w:pPr>
            <w:r w:rsidRPr="001570EA">
              <w:rPr>
                <w:rFonts w:cs="Arial"/>
                <w:sz w:val="18"/>
                <w:szCs w:val="18"/>
              </w:rPr>
              <w:t>5</w:t>
            </w:r>
          </w:p>
        </w:tc>
      </w:tr>
      <w:tr w:rsidR="004E6452" w:rsidRPr="001570EA" w14:paraId="1261BE32" w14:textId="77777777">
        <w:trPr>
          <w:trHeight w:hRule="exact" w:val="1072"/>
        </w:trPr>
        <w:tc>
          <w:tcPr>
            <w:tcW w:w="2176" w:type="dxa"/>
            <w:vAlign w:val="center"/>
          </w:tcPr>
          <w:p w14:paraId="2A1D6FF5" w14:textId="77777777" w:rsidR="004E6452" w:rsidRPr="001570EA" w:rsidRDefault="004E6452">
            <w:pPr>
              <w:spacing w:before="120" w:after="200"/>
              <w:rPr>
                <w:rFonts w:cs="Arial"/>
                <w:sz w:val="18"/>
                <w:szCs w:val="18"/>
              </w:rPr>
            </w:pPr>
            <w:r w:rsidRPr="001570EA">
              <w:rPr>
                <w:rFonts w:cs="Arial"/>
                <w:i/>
                <w:sz w:val="18"/>
                <w:szCs w:val="18"/>
              </w:rPr>
              <w:t>DHW</w:t>
            </w:r>
            <w:r w:rsidRPr="001570EA">
              <w:rPr>
                <w:rFonts w:cs="Arial"/>
                <w:i/>
                <w:sz w:val="18"/>
                <w:szCs w:val="18"/>
                <w:vertAlign w:val="subscript"/>
              </w:rPr>
              <w:t>ee</w:t>
            </w:r>
            <w:r w:rsidRPr="001570EA">
              <w:rPr>
                <w:rFonts w:cs="Arial"/>
                <w:sz w:val="18"/>
                <w:szCs w:val="18"/>
              </w:rPr>
              <w:t xml:space="preserve">, % of </w:t>
            </w:r>
            <w:r w:rsidRPr="001570EA">
              <w:rPr>
                <w:sz w:val="18"/>
                <w:szCs w:val="18"/>
              </w:rPr>
              <w:t>total energy consumption attributed to ENERGY STAR clothes washer water heating</w:t>
            </w:r>
          </w:p>
        </w:tc>
        <w:tc>
          <w:tcPr>
            <w:tcW w:w="1995" w:type="dxa"/>
            <w:vAlign w:val="center"/>
          </w:tcPr>
          <w:p w14:paraId="465CC605" w14:textId="77777777" w:rsidR="004E6452" w:rsidRPr="001570EA" w:rsidRDefault="004E6452">
            <w:pPr>
              <w:spacing w:before="120"/>
              <w:jc w:val="center"/>
              <w:rPr>
                <w:rFonts w:cs="Arial"/>
                <w:i/>
                <w:sz w:val="18"/>
                <w:szCs w:val="18"/>
              </w:rPr>
            </w:pPr>
            <w:r w:rsidRPr="001570EA">
              <w:rPr>
                <w:rFonts w:cs="Arial"/>
                <w:i/>
                <w:sz w:val="18"/>
                <w:szCs w:val="18"/>
              </w:rPr>
              <w:t>%</w:t>
            </w:r>
          </w:p>
        </w:tc>
        <w:tc>
          <w:tcPr>
            <w:tcW w:w="2369" w:type="dxa"/>
            <w:vAlign w:val="center"/>
          </w:tcPr>
          <w:p w14:paraId="70259A9C" w14:textId="77777777" w:rsidR="004E6452" w:rsidRPr="001570EA" w:rsidRDefault="004E6452">
            <w:pPr>
              <w:spacing w:before="120"/>
              <w:jc w:val="center"/>
              <w:rPr>
                <w:rFonts w:cs="Arial"/>
                <w:sz w:val="18"/>
                <w:szCs w:val="18"/>
              </w:rPr>
            </w:pPr>
            <w:r w:rsidRPr="001570EA">
              <w:rPr>
                <w:rFonts w:cs="Arial"/>
                <w:sz w:val="18"/>
                <w:szCs w:val="18"/>
              </w:rPr>
              <w:t>10.8%</w:t>
            </w:r>
          </w:p>
        </w:tc>
        <w:tc>
          <w:tcPr>
            <w:tcW w:w="1982" w:type="dxa"/>
            <w:vAlign w:val="center"/>
          </w:tcPr>
          <w:p w14:paraId="6DA948FB" w14:textId="77777777" w:rsidR="004E6452" w:rsidRPr="001570EA" w:rsidRDefault="004E6452">
            <w:pPr>
              <w:spacing w:before="120"/>
              <w:jc w:val="center"/>
              <w:rPr>
                <w:rFonts w:cs="Arial"/>
                <w:sz w:val="18"/>
                <w:szCs w:val="18"/>
              </w:rPr>
            </w:pPr>
            <w:r w:rsidRPr="001570EA">
              <w:rPr>
                <w:rFonts w:cs="Arial"/>
                <w:sz w:val="18"/>
                <w:szCs w:val="18"/>
              </w:rPr>
              <w:t>5</w:t>
            </w:r>
          </w:p>
        </w:tc>
      </w:tr>
      <w:tr w:rsidR="004E6452" w:rsidRPr="001570EA" w14:paraId="6992D310" w14:textId="77777777">
        <w:trPr>
          <w:trHeight w:val="1078"/>
        </w:trPr>
        <w:tc>
          <w:tcPr>
            <w:tcW w:w="2176" w:type="dxa"/>
            <w:vAlign w:val="center"/>
          </w:tcPr>
          <w:p w14:paraId="4ACA4520" w14:textId="77777777" w:rsidR="004E6452" w:rsidRPr="001570EA" w:rsidRDefault="003B5E04">
            <w:pPr>
              <w:spacing w:before="120"/>
              <w:rPr>
                <w:rFonts w:cs="Arial"/>
                <w:sz w:val="18"/>
                <w:szCs w:val="18"/>
              </w:rPr>
            </w:pPr>
            <m:oMath>
              <m:sSub>
                <m:sSubPr>
                  <m:ctrlPr>
                    <w:rPr>
                      <w:rFonts w:ascii="Cambria Math" w:hAnsi="Cambria Math" w:cs="Arial"/>
                      <w:sz w:val="18"/>
                      <w:szCs w:val="18"/>
                    </w:rPr>
                  </m:ctrlPr>
                </m:sSubPr>
                <m:e>
                  <m:r>
                    <w:rPr>
                      <w:rFonts w:ascii="Cambria Math" w:hAnsi="Cambria Math" w:cs="Arial"/>
                      <w:sz w:val="18"/>
                      <w:szCs w:val="18"/>
                    </w:rPr>
                    <m:t>%</m:t>
                  </m:r>
                </m:e>
                <m:sub>
                  <m:r>
                    <w:rPr>
                      <w:rFonts w:ascii="Cambria Math" w:hAnsi="Cambria Math" w:cs="Arial"/>
                      <w:sz w:val="18"/>
                      <w:szCs w:val="18"/>
                    </w:rPr>
                    <m:t>ElecDHW</m:t>
                  </m:r>
                </m:sub>
              </m:sSub>
            </m:oMath>
            <w:r w:rsidR="004E6452" w:rsidRPr="001570EA">
              <w:rPr>
                <w:rFonts w:cs="Arial"/>
                <w:sz w:val="18"/>
                <w:szCs w:val="18"/>
              </w:rPr>
              <w:t xml:space="preserve">, % of </w:t>
            </w:r>
            <w:r w:rsidR="004E6452" w:rsidRPr="001570EA">
              <w:rPr>
                <w:sz w:val="18"/>
                <w:szCs w:val="18"/>
              </w:rPr>
              <w:t>water heaters that are electric</w:t>
            </w:r>
          </w:p>
        </w:tc>
        <w:tc>
          <w:tcPr>
            <w:tcW w:w="1995" w:type="dxa"/>
            <w:vAlign w:val="center"/>
          </w:tcPr>
          <w:p w14:paraId="4CCAC8F9" w14:textId="77777777" w:rsidR="004E6452" w:rsidRPr="001570EA" w:rsidRDefault="004E6452">
            <w:pPr>
              <w:spacing w:before="120"/>
              <w:jc w:val="center"/>
              <w:rPr>
                <w:rFonts w:cs="Arial"/>
                <w:i/>
                <w:sz w:val="18"/>
                <w:szCs w:val="18"/>
              </w:rPr>
            </w:pPr>
            <w:r w:rsidRPr="001570EA">
              <w:rPr>
                <w:rFonts w:eastAsiaTheme="minorHAnsi" w:cs="Arial"/>
                <w:i/>
                <w:sz w:val="18"/>
                <w:szCs w:val="18"/>
              </w:rPr>
              <w:t>%</w:t>
            </w:r>
          </w:p>
        </w:tc>
        <w:tc>
          <w:tcPr>
            <w:tcW w:w="2369" w:type="dxa"/>
            <w:vAlign w:val="center"/>
          </w:tcPr>
          <w:p w14:paraId="1A8CC4F6" w14:textId="77777777" w:rsidR="004E6452" w:rsidRPr="001570EA" w:rsidRDefault="004E6452">
            <w:pPr>
              <w:spacing w:before="120"/>
              <w:jc w:val="center"/>
              <w:rPr>
                <w:rFonts w:cs="Arial"/>
                <w:sz w:val="18"/>
                <w:szCs w:val="18"/>
              </w:rPr>
            </w:pPr>
            <w:r w:rsidRPr="001570EA">
              <w:rPr>
                <w:rFonts w:eastAsiaTheme="minorHAnsi" w:cs="Arial"/>
                <w:sz w:val="18"/>
                <w:szCs w:val="18"/>
              </w:rPr>
              <w:t>EDC Data Gathering</w:t>
            </w:r>
          </w:p>
          <w:p w14:paraId="256CD64E" w14:textId="77777777" w:rsidR="004E6452" w:rsidRPr="001570EA" w:rsidRDefault="004E6452">
            <w:pPr>
              <w:spacing w:before="120"/>
              <w:jc w:val="center"/>
              <w:rPr>
                <w:rFonts w:cs="Arial"/>
                <w:sz w:val="18"/>
                <w:szCs w:val="18"/>
              </w:rPr>
            </w:pPr>
            <w:r w:rsidRPr="001570EA">
              <w:rPr>
                <w:rFonts w:eastAsiaTheme="minorHAnsi" w:cs="Arial"/>
                <w:sz w:val="18"/>
                <w:szCs w:val="18"/>
              </w:rPr>
              <w:t>Default: 47%</w:t>
            </w:r>
          </w:p>
        </w:tc>
        <w:tc>
          <w:tcPr>
            <w:tcW w:w="1982" w:type="dxa"/>
            <w:vAlign w:val="center"/>
          </w:tcPr>
          <w:p w14:paraId="5B662602" w14:textId="77777777" w:rsidR="004E6452" w:rsidRPr="001570EA" w:rsidRDefault="004E6452">
            <w:pPr>
              <w:spacing w:before="120"/>
              <w:jc w:val="center"/>
              <w:rPr>
                <w:rFonts w:eastAsiaTheme="minorHAnsi" w:cs="Arial"/>
                <w:i/>
                <w:iCs/>
                <w:sz w:val="18"/>
                <w:szCs w:val="18"/>
              </w:rPr>
            </w:pPr>
            <w:r w:rsidRPr="001570EA">
              <w:rPr>
                <w:rFonts w:eastAsiaTheme="minorHAnsi" w:cs="Arial"/>
                <w:sz w:val="18"/>
                <w:szCs w:val="18"/>
              </w:rPr>
              <w:t>EDC Data Gathering,</w:t>
            </w:r>
          </w:p>
          <w:p w14:paraId="78CCF2FD" w14:textId="77777777" w:rsidR="004E6452" w:rsidRPr="001570EA" w:rsidRDefault="004E6452">
            <w:pPr>
              <w:spacing w:before="120"/>
              <w:jc w:val="center"/>
              <w:rPr>
                <w:rFonts w:eastAsiaTheme="minorHAnsi" w:cs="Arial"/>
                <w:i/>
                <w:iCs/>
                <w:sz w:val="18"/>
                <w:szCs w:val="18"/>
              </w:rPr>
            </w:pPr>
            <w:r w:rsidRPr="001570EA">
              <w:rPr>
                <w:rFonts w:eastAsiaTheme="minorHAnsi" w:cs="Arial"/>
                <w:sz w:val="18"/>
                <w:szCs w:val="18"/>
              </w:rPr>
              <w:t>4</w:t>
            </w:r>
          </w:p>
        </w:tc>
      </w:tr>
      <w:tr w:rsidR="004E6452" w:rsidRPr="001570EA" w14:paraId="07D1AE68" w14:textId="77777777">
        <w:trPr>
          <w:trHeight w:hRule="exact" w:val="1180"/>
        </w:trPr>
        <w:tc>
          <w:tcPr>
            <w:tcW w:w="2176" w:type="dxa"/>
            <w:vAlign w:val="center"/>
          </w:tcPr>
          <w:p w14:paraId="40B7F018" w14:textId="77777777" w:rsidR="004E6452" w:rsidRPr="001570EA" w:rsidRDefault="004E6452">
            <w:pPr>
              <w:spacing w:before="120" w:after="200"/>
              <w:rPr>
                <w:sz w:val="18"/>
                <w:szCs w:val="18"/>
              </w:rPr>
            </w:pPr>
            <w:r w:rsidRPr="001570EA">
              <w:rPr>
                <w:rFonts w:cs="Arial"/>
                <w:i/>
                <w:sz w:val="18"/>
                <w:szCs w:val="18"/>
              </w:rPr>
              <w:t>Dryer</w:t>
            </w:r>
            <w:r w:rsidRPr="001570EA">
              <w:rPr>
                <w:rFonts w:cs="Arial"/>
                <w:i/>
                <w:sz w:val="18"/>
                <w:szCs w:val="18"/>
                <w:vertAlign w:val="subscript"/>
              </w:rPr>
              <w:t>base</w:t>
            </w:r>
            <w:r w:rsidRPr="001570EA">
              <w:rPr>
                <w:rFonts w:cs="Arial"/>
                <w:sz w:val="18"/>
                <w:szCs w:val="18"/>
              </w:rPr>
              <w:t xml:space="preserve">, % of </w:t>
            </w:r>
            <w:r w:rsidRPr="001570EA">
              <w:rPr>
                <w:sz w:val="18"/>
                <w:szCs w:val="18"/>
              </w:rPr>
              <w:t xml:space="preserve">total energy consumption for baseline clothes washer dryer operation </w:t>
            </w:r>
          </w:p>
        </w:tc>
        <w:tc>
          <w:tcPr>
            <w:tcW w:w="1995" w:type="dxa"/>
            <w:vAlign w:val="center"/>
          </w:tcPr>
          <w:p w14:paraId="6B82960B" w14:textId="77777777" w:rsidR="004E6452" w:rsidRPr="001570EA" w:rsidRDefault="004E6452">
            <w:pPr>
              <w:spacing w:before="120"/>
              <w:jc w:val="center"/>
              <w:rPr>
                <w:rFonts w:cs="Arial"/>
                <w:i/>
                <w:sz w:val="18"/>
                <w:szCs w:val="18"/>
              </w:rPr>
            </w:pPr>
            <w:r w:rsidRPr="001570EA">
              <w:rPr>
                <w:rFonts w:cs="Arial"/>
                <w:i/>
                <w:sz w:val="18"/>
                <w:szCs w:val="18"/>
              </w:rPr>
              <w:t>%</w:t>
            </w:r>
          </w:p>
        </w:tc>
        <w:tc>
          <w:tcPr>
            <w:tcW w:w="2369" w:type="dxa"/>
            <w:vAlign w:val="center"/>
          </w:tcPr>
          <w:p w14:paraId="0BC30F39" w14:textId="77777777" w:rsidR="004E6452" w:rsidRPr="001570EA" w:rsidRDefault="004E6452">
            <w:pPr>
              <w:spacing w:before="120"/>
              <w:jc w:val="center"/>
              <w:rPr>
                <w:rFonts w:cs="Arial"/>
                <w:sz w:val="18"/>
                <w:szCs w:val="18"/>
              </w:rPr>
            </w:pPr>
            <w:r w:rsidRPr="001570EA">
              <w:rPr>
                <w:rFonts w:cs="Arial"/>
                <w:sz w:val="18"/>
                <w:szCs w:val="18"/>
              </w:rPr>
              <w:t>81.0%</w:t>
            </w:r>
          </w:p>
        </w:tc>
        <w:tc>
          <w:tcPr>
            <w:tcW w:w="1982" w:type="dxa"/>
            <w:vAlign w:val="center"/>
          </w:tcPr>
          <w:p w14:paraId="552BAE7C" w14:textId="77777777" w:rsidR="004E6452" w:rsidRPr="001570EA" w:rsidRDefault="004E6452">
            <w:pPr>
              <w:spacing w:before="120"/>
              <w:jc w:val="center"/>
              <w:rPr>
                <w:rFonts w:cs="Arial"/>
                <w:sz w:val="18"/>
                <w:szCs w:val="18"/>
              </w:rPr>
            </w:pPr>
            <w:r w:rsidRPr="001570EA">
              <w:rPr>
                <w:rFonts w:cs="Arial"/>
                <w:sz w:val="18"/>
                <w:szCs w:val="18"/>
              </w:rPr>
              <w:t>5</w:t>
            </w:r>
          </w:p>
        </w:tc>
      </w:tr>
      <w:tr w:rsidR="004E6452" w:rsidRPr="001570EA" w14:paraId="2F8D806D" w14:textId="77777777">
        <w:trPr>
          <w:trHeight w:hRule="exact" w:val="1297"/>
        </w:trPr>
        <w:tc>
          <w:tcPr>
            <w:tcW w:w="2176" w:type="dxa"/>
            <w:vAlign w:val="center"/>
          </w:tcPr>
          <w:p w14:paraId="121C79B7" w14:textId="77777777" w:rsidR="004E6452" w:rsidRPr="001570EA" w:rsidRDefault="004E6452">
            <w:pPr>
              <w:spacing w:before="120" w:after="200"/>
              <w:rPr>
                <w:rFonts w:cs="Arial"/>
                <w:sz w:val="18"/>
                <w:szCs w:val="18"/>
              </w:rPr>
            </w:pPr>
            <w:r w:rsidRPr="001570EA">
              <w:rPr>
                <w:rFonts w:cs="Arial"/>
                <w:i/>
                <w:sz w:val="18"/>
                <w:szCs w:val="18"/>
              </w:rPr>
              <w:t>Dryer</w:t>
            </w:r>
            <w:r w:rsidRPr="001570EA">
              <w:rPr>
                <w:rFonts w:cs="Arial"/>
                <w:i/>
                <w:sz w:val="18"/>
                <w:szCs w:val="18"/>
                <w:vertAlign w:val="subscript"/>
              </w:rPr>
              <w:t>ee</w:t>
            </w:r>
            <w:r w:rsidRPr="001570EA">
              <w:rPr>
                <w:rFonts w:cs="Arial"/>
                <w:sz w:val="18"/>
                <w:szCs w:val="18"/>
              </w:rPr>
              <w:t xml:space="preserve">, </w:t>
            </w:r>
            <w:r w:rsidRPr="001570EA">
              <w:rPr>
                <w:sz w:val="18"/>
                <w:szCs w:val="18"/>
              </w:rPr>
              <w:t>% of total energy consumption for ENERGY STAR clothes washer dryer operation</w:t>
            </w:r>
          </w:p>
        </w:tc>
        <w:tc>
          <w:tcPr>
            <w:tcW w:w="1995" w:type="dxa"/>
            <w:vAlign w:val="center"/>
          </w:tcPr>
          <w:p w14:paraId="69762237" w14:textId="77777777" w:rsidR="004E6452" w:rsidRPr="001570EA" w:rsidRDefault="004E6452">
            <w:pPr>
              <w:spacing w:before="120"/>
              <w:jc w:val="center"/>
              <w:rPr>
                <w:rFonts w:cs="Arial"/>
                <w:i/>
                <w:sz w:val="18"/>
                <w:szCs w:val="18"/>
              </w:rPr>
            </w:pPr>
            <w:r w:rsidRPr="001570EA">
              <w:rPr>
                <w:rFonts w:cs="Arial"/>
                <w:i/>
                <w:sz w:val="18"/>
                <w:szCs w:val="18"/>
              </w:rPr>
              <w:t>%</w:t>
            </w:r>
          </w:p>
        </w:tc>
        <w:tc>
          <w:tcPr>
            <w:tcW w:w="2369" w:type="dxa"/>
            <w:vAlign w:val="center"/>
          </w:tcPr>
          <w:p w14:paraId="740B95C8" w14:textId="77777777" w:rsidR="004E6452" w:rsidRPr="001570EA" w:rsidRDefault="004E6452">
            <w:pPr>
              <w:spacing w:before="120"/>
              <w:jc w:val="center"/>
              <w:rPr>
                <w:rFonts w:cs="Arial"/>
                <w:sz w:val="18"/>
                <w:szCs w:val="18"/>
              </w:rPr>
            </w:pPr>
            <w:r w:rsidRPr="001570EA">
              <w:rPr>
                <w:rFonts w:cs="Arial"/>
                <w:sz w:val="18"/>
                <w:szCs w:val="18"/>
              </w:rPr>
              <w:t>81.6%</w:t>
            </w:r>
          </w:p>
        </w:tc>
        <w:tc>
          <w:tcPr>
            <w:tcW w:w="1982" w:type="dxa"/>
            <w:vAlign w:val="center"/>
          </w:tcPr>
          <w:p w14:paraId="7B7E18E2" w14:textId="77777777" w:rsidR="004E6452" w:rsidRPr="001570EA" w:rsidRDefault="004E6452">
            <w:pPr>
              <w:spacing w:before="120"/>
              <w:jc w:val="center"/>
              <w:rPr>
                <w:rFonts w:cs="Arial"/>
                <w:sz w:val="18"/>
                <w:szCs w:val="18"/>
              </w:rPr>
            </w:pPr>
            <w:r w:rsidRPr="001570EA">
              <w:rPr>
                <w:rFonts w:cs="Arial"/>
                <w:sz w:val="18"/>
                <w:szCs w:val="18"/>
              </w:rPr>
              <w:t>5</w:t>
            </w:r>
          </w:p>
        </w:tc>
      </w:tr>
      <w:tr w:rsidR="004E6452" w:rsidRPr="001570EA" w14:paraId="011FAB84" w14:textId="77777777">
        <w:trPr>
          <w:trHeight w:val="861"/>
        </w:trPr>
        <w:tc>
          <w:tcPr>
            <w:tcW w:w="2176" w:type="dxa"/>
            <w:vAlign w:val="center"/>
          </w:tcPr>
          <w:p w14:paraId="6284A5D8" w14:textId="49E90E92" w:rsidR="004E6452" w:rsidRPr="001570EA" w:rsidRDefault="003B5E04">
            <w:pPr>
              <w:spacing w:before="120"/>
              <w:rPr>
                <w:rFonts w:cs="Arial"/>
                <w:sz w:val="18"/>
                <w:szCs w:val="18"/>
              </w:rPr>
            </w:pPr>
            <m:oMath>
              <m:sSub>
                <m:sSubPr>
                  <m:ctrlPr>
                    <w:rPr>
                      <w:rFonts w:ascii="Cambria Math" w:hAnsi="Cambria Math" w:cs="Arial"/>
                      <w:sz w:val="18"/>
                      <w:szCs w:val="18"/>
                    </w:rPr>
                  </m:ctrlPr>
                </m:sSubPr>
                <m:e>
                  <m:r>
                    <w:rPr>
                      <w:rFonts w:ascii="Cambria Math" w:hAnsi="Cambria Math" w:cs="Arial"/>
                      <w:sz w:val="18"/>
                      <w:szCs w:val="18"/>
                    </w:rPr>
                    <m:t>%</m:t>
                  </m:r>
                </m:e>
                <m:sub>
                  <m:r>
                    <w:rPr>
                      <w:rFonts w:ascii="Cambria Math" w:hAnsi="Cambria Math" w:cs="Arial"/>
                      <w:sz w:val="18"/>
                      <w:szCs w:val="18"/>
                    </w:rPr>
                    <m:t>ElecDryer</m:t>
                  </m:r>
                </m:sub>
              </m:sSub>
            </m:oMath>
            <w:r w:rsidR="004E6452" w:rsidRPr="001570EA">
              <w:rPr>
                <w:rFonts w:cs="Arial"/>
                <w:sz w:val="18"/>
                <w:szCs w:val="18"/>
              </w:rPr>
              <w:t xml:space="preserve">, </w:t>
            </w:r>
            <w:r w:rsidR="004E6452" w:rsidRPr="001570EA">
              <w:rPr>
                <w:sz w:val="18"/>
                <w:szCs w:val="18"/>
              </w:rPr>
              <w:t>Percentage of dryers that are electric</w:t>
            </w:r>
          </w:p>
        </w:tc>
        <w:tc>
          <w:tcPr>
            <w:tcW w:w="1995" w:type="dxa"/>
            <w:vAlign w:val="center"/>
          </w:tcPr>
          <w:p w14:paraId="15DB3DEA" w14:textId="77777777" w:rsidR="004E6452" w:rsidRPr="001570EA" w:rsidRDefault="004E6452">
            <w:pPr>
              <w:spacing w:before="120"/>
              <w:jc w:val="center"/>
              <w:rPr>
                <w:rFonts w:cs="Arial"/>
                <w:i/>
                <w:sz w:val="18"/>
                <w:szCs w:val="18"/>
              </w:rPr>
            </w:pPr>
            <w:r w:rsidRPr="001570EA">
              <w:rPr>
                <w:rFonts w:eastAsiaTheme="minorHAnsi" w:cs="Arial"/>
                <w:i/>
                <w:sz w:val="18"/>
                <w:szCs w:val="18"/>
              </w:rPr>
              <w:t>%</w:t>
            </w:r>
          </w:p>
        </w:tc>
        <w:tc>
          <w:tcPr>
            <w:tcW w:w="2369" w:type="dxa"/>
            <w:vAlign w:val="center"/>
          </w:tcPr>
          <w:p w14:paraId="16E309CF" w14:textId="77777777" w:rsidR="004E6452" w:rsidRPr="001570EA" w:rsidRDefault="004E6452">
            <w:pPr>
              <w:spacing w:before="120"/>
              <w:jc w:val="center"/>
              <w:rPr>
                <w:rFonts w:cs="Arial"/>
                <w:sz w:val="18"/>
                <w:szCs w:val="18"/>
              </w:rPr>
            </w:pPr>
            <w:r w:rsidRPr="001570EA">
              <w:rPr>
                <w:rFonts w:eastAsiaTheme="minorHAnsi" w:cs="Arial"/>
                <w:sz w:val="18"/>
                <w:szCs w:val="18"/>
              </w:rPr>
              <w:t>EDC Data Gathering</w:t>
            </w:r>
          </w:p>
          <w:p w14:paraId="1EFC0ED6" w14:textId="77777777" w:rsidR="004E6452" w:rsidRPr="001570EA" w:rsidRDefault="004E6452">
            <w:pPr>
              <w:spacing w:before="120"/>
              <w:jc w:val="center"/>
              <w:rPr>
                <w:rFonts w:cs="Arial"/>
                <w:sz w:val="18"/>
                <w:szCs w:val="18"/>
              </w:rPr>
            </w:pPr>
            <w:r w:rsidRPr="001570EA">
              <w:rPr>
                <w:rFonts w:eastAsiaTheme="minorHAnsi" w:cs="Arial"/>
                <w:sz w:val="18"/>
                <w:szCs w:val="18"/>
              </w:rPr>
              <w:t>Default: 82%</w:t>
            </w:r>
          </w:p>
        </w:tc>
        <w:tc>
          <w:tcPr>
            <w:tcW w:w="1982" w:type="dxa"/>
            <w:vAlign w:val="center"/>
          </w:tcPr>
          <w:p w14:paraId="46D1E9E7" w14:textId="77777777" w:rsidR="004E6452" w:rsidRPr="001570EA" w:rsidRDefault="004E6452">
            <w:pPr>
              <w:jc w:val="center"/>
              <w:rPr>
                <w:rFonts w:eastAsiaTheme="minorHAnsi" w:cs="Arial"/>
                <w:sz w:val="18"/>
                <w:szCs w:val="18"/>
              </w:rPr>
            </w:pPr>
            <w:r w:rsidRPr="001570EA">
              <w:rPr>
                <w:rFonts w:eastAsiaTheme="minorHAnsi" w:cs="Arial"/>
                <w:sz w:val="18"/>
                <w:szCs w:val="18"/>
              </w:rPr>
              <w:t>EDC Data Gathering,</w:t>
            </w:r>
          </w:p>
          <w:p w14:paraId="7E072BAA" w14:textId="77777777" w:rsidR="004E6452" w:rsidRPr="001570EA" w:rsidRDefault="004E6452">
            <w:pPr>
              <w:jc w:val="center"/>
              <w:rPr>
                <w:rFonts w:eastAsiaTheme="minorHAnsi" w:cs="Arial"/>
                <w:sz w:val="18"/>
                <w:szCs w:val="18"/>
              </w:rPr>
            </w:pPr>
          </w:p>
          <w:p w14:paraId="74231669" w14:textId="77777777" w:rsidR="004E6452" w:rsidRPr="001570EA" w:rsidRDefault="004E6452">
            <w:pPr>
              <w:jc w:val="center"/>
              <w:rPr>
                <w:rFonts w:eastAsiaTheme="minorHAnsi" w:cs="Arial"/>
                <w:sz w:val="18"/>
                <w:szCs w:val="18"/>
              </w:rPr>
            </w:pPr>
            <w:r w:rsidRPr="001570EA">
              <w:rPr>
                <w:rFonts w:eastAsiaTheme="minorHAnsi" w:cs="Arial"/>
                <w:sz w:val="18"/>
                <w:szCs w:val="18"/>
              </w:rPr>
              <w:t>4</w:t>
            </w:r>
          </w:p>
        </w:tc>
      </w:tr>
      <w:tr w:rsidR="004E6452" w:rsidRPr="001570EA" w14:paraId="5A871E48" w14:textId="77777777">
        <w:trPr>
          <w:trHeight w:val="72"/>
        </w:trPr>
        <w:tc>
          <w:tcPr>
            <w:tcW w:w="2176" w:type="dxa"/>
          </w:tcPr>
          <w:p w14:paraId="370393B0" w14:textId="0CE0E171" w:rsidR="004E6452" w:rsidRPr="001570EA" w:rsidRDefault="003B5E04">
            <w:pPr>
              <w:spacing w:before="120"/>
              <w:rPr>
                <w:rFonts w:cs="Arial"/>
                <w:sz w:val="18"/>
                <w:szCs w:val="18"/>
              </w:rPr>
            </w:pPr>
            <m:oMath>
              <m:sSub>
                <m:sSubPr>
                  <m:ctrlPr>
                    <w:rPr>
                      <w:rFonts w:ascii="Cambria Math" w:eastAsia="Calibri" w:hAnsi="Cambria Math" w:cs="Arial"/>
                      <w:i/>
                      <w:sz w:val="18"/>
                      <w:szCs w:val="18"/>
                    </w:rPr>
                  </m:ctrlPr>
                </m:sSubPr>
                <m:e>
                  <m:r>
                    <m:rPr>
                      <m:sty m:val="p"/>
                    </m:rPr>
                    <w:rPr>
                      <w:rFonts w:ascii="Cambria Math" w:hAnsi="Cambria Math" w:cs="Arial"/>
                      <w:sz w:val="18"/>
                      <w:szCs w:val="18"/>
                    </w:rPr>
                    <m:t>%</m:t>
                  </m:r>
                </m:e>
                <m:sub>
                  <m:f>
                    <m:fPr>
                      <m:ctrlPr>
                        <w:rPr>
                          <w:rFonts w:ascii="Cambria Math" w:hAnsi="Cambria Math" w:cs="Arial"/>
                          <w:sz w:val="18"/>
                          <w:szCs w:val="18"/>
                        </w:rPr>
                      </m:ctrlPr>
                    </m:fPr>
                    <m:num>
                      <m:r>
                        <m:rPr>
                          <m:sty m:val="p"/>
                        </m:rPr>
                        <w:rPr>
                          <w:rFonts w:ascii="Cambria Math" w:hAnsi="Cambria Math" w:cs="Arial"/>
                          <w:sz w:val="18"/>
                          <w:szCs w:val="18"/>
                        </w:rPr>
                        <m:t>dry</m:t>
                      </m:r>
                    </m:num>
                    <m:den>
                      <m:r>
                        <m:rPr>
                          <m:sty m:val="p"/>
                        </m:rPr>
                        <w:rPr>
                          <w:rFonts w:ascii="Cambria Math" w:hAnsi="Cambria Math" w:cs="Arial"/>
                          <w:sz w:val="18"/>
                          <w:szCs w:val="18"/>
                        </w:rPr>
                        <m:t>wash</m:t>
                      </m:r>
                    </m:den>
                  </m:f>
                </m:sub>
              </m:sSub>
            </m:oMath>
            <w:r w:rsidR="004E6452" w:rsidRPr="001570EA">
              <w:rPr>
                <w:sz w:val="18"/>
                <w:szCs w:val="18"/>
              </w:rPr>
              <w:t>, Percentage of homes with a dryer that use the dryer every time clothes are washed</w:t>
            </w:r>
          </w:p>
        </w:tc>
        <w:tc>
          <w:tcPr>
            <w:tcW w:w="1995" w:type="dxa"/>
          </w:tcPr>
          <w:p w14:paraId="1F458B47" w14:textId="77777777" w:rsidR="004E6452" w:rsidRPr="001570EA" w:rsidRDefault="004E6452">
            <w:pPr>
              <w:spacing w:before="120"/>
              <w:jc w:val="center"/>
              <w:rPr>
                <w:rFonts w:eastAsiaTheme="minorHAnsi" w:cs="Arial"/>
                <w:i/>
                <w:sz w:val="18"/>
                <w:szCs w:val="18"/>
              </w:rPr>
            </w:pPr>
            <w:r w:rsidRPr="001570EA">
              <w:rPr>
                <w:rFonts w:eastAsia="Arial Unicode MS" w:cs="Arial"/>
                <w:i/>
                <w:sz w:val="18"/>
                <w:szCs w:val="18"/>
              </w:rPr>
              <w:t>%</w:t>
            </w:r>
          </w:p>
        </w:tc>
        <w:tc>
          <w:tcPr>
            <w:tcW w:w="2369" w:type="dxa"/>
            <w:vAlign w:val="center"/>
          </w:tcPr>
          <w:p w14:paraId="49FCD48C" w14:textId="77777777" w:rsidR="004E6452" w:rsidRPr="001570EA" w:rsidRDefault="004E6452">
            <w:pPr>
              <w:spacing w:before="120"/>
              <w:jc w:val="center"/>
              <w:rPr>
                <w:rFonts w:eastAsia="Arial Unicode MS" w:cs="Arial"/>
                <w:iCs/>
                <w:sz w:val="18"/>
                <w:szCs w:val="18"/>
              </w:rPr>
            </w:pPr>
            <w:r w:rsidRPr="001570EA">
              <w:rPr>
                <w:rFonts w:eastAsia="Arial Unicode MS" w:cs="Arial"/>
                <w:iCs/>
                <w:sz w:val="18"/>
                <w:szCs w:val="18"/>
              </w:rPr>
              <w:t>Default= 99%</w:t>
            </w:r>
          </w:p>
          <w:p w14:paraId="0372C9B7" w14:textId="77777777" w:rsidR="004E6452" w:rsidRPr="001570EA" w:rsidRDefault="004E6452">
            <w:pPr>
              <w:spacing w:before="120"/>
              <w:jc w:val="center"/>
              <w:rPr>
                <w:rFonts w:eastAsiaTheme="minorHAnsi" w:cs="Arial"/>
                <w:sz w:val="18"/>
                <w:szCs w:val="18"/>
              </w:rPr>
            </w:pPr>
            <w:r w:rsidRPr="001570EA">
              <w:rPr>
                <w:rFonts w:eastAsia="Arial Unicode MS" w:cs="Arial"/>
                <w:iCs/>
                <w:sz w:val="18"/>
                <w:szCs w:val="18"/>
              </w:rPr>
              <w:t>Or EDC data gathering</w:t>
            </w:r>
          </w:p>
        </w:tc>
        <w:tc>
          <w:tcPr>
            <w:tcW w:w="1982" w:type="dxa"/>
            <w:vAlign w:val="center"/>
          </w:tcPr>
          <w:p w14:paraId="65B13690" w14:textId="77777777" w:rsidR="004E6452" w:rsidRPr="001570EA" w:rsidRDefault="004E6452">
            <w:pPr>
              <w:jc w:val="center"/>
              <w:rPr>
                <w:rFonts w:eastAsiaTheme="minorHAnsi" w:cs="Arial"/>
                <w:sz w:val="18"/>
                <w:szCs w:val="18"/>
              </w:rPr>
            </w:pPr>
            <w:r w:rsidRPr="001570EA">
              <w:rPr>
                <w:rFonts w:eastAsiaTheme="minorHAnsi" w:cs="Arial"/>
                <w:sz w:val="18"/>
                <w:szCs w:val="18"/>
              </w:rPr>
              <w:t>6</w:t>
            </w:r>
          </w:p>
        </w:tc>
      </w:tr>
      <w:tr w:rsidR="004E6452" w:rsidRPr="001570EA" w14:paraId="737C1877" w14:textId="77777777">
        <w:trPr>
          <w:trHeight w:val="72"/>
        </w:trPr>
        <w:tc>
          <w:tcPr>
            <w:tcW w:w="2176" w:type="dxa"/>
            <w:vAlign w:val="center"/>
          </w:tcPr>
          <w:p w14:paraId="0CA1A68C" w14:textId="77777777" w:rsidR="004E6452" w:rsidRPr="001570EA" w:rsidRDefault="004E6452">
            <w:pPr>
              <w:spacing w:before="120"/>
              <w:rPr>
                <w:sz w:val="18"/>
                <w:szCs w:val="18"/>
              </w:rPr>
            </w:pPr>
            <m:oMath>
              <m:r>
                <w:rPr>
                  <w:rFonts w:ascii="Cambria Math" w:hAnsi="Cambria Math" w:cs="Arial"/>
                </w:rPr>
                <m:t>ETD</m:t>
              </m:r>
              <m:sSub>
                <m:sSubPr>
                  <m:ctrlPr>
                    <w:rPr>
                      <w:rFonts w:ascii="Cambria Math" w:hAnsi="Cambria Math" w:cs="Arial"/>
                    </w:rPr>
                  </m:ctrlPr>
                </m:sSubPr>
                <m:e>
                  <m:r>
                    <w:rPr>
                      <w:rFonts w:ascii="Cambria Math" w:hAnsi="Cambria Math" w:cs="Arial"/>
                    </w:rPr>
                    <m:t>F</m:t>
                  </m:r>
                </m:e>
                <m:sub>
                  <m:r>
                    <w:rPr>
                      <w:rFonts w:ascii="Cambria Math" w:hAnsi="Cambria Math" w:cs="Arial"/>
                    </w:rPr>
                    <m:t>s</m:t>
                  </m:r>
                </m:sub>
              </m:sSub>
            </m:oMath>
            <w:r w:rsidRPr="001570EA">
              <w:t xml:space="preserve">, </w:t>
            </w:r>
            <w:r w:rsidRPr="001570EA">
              <w:rPr>
                <w:rFonts w:cs="Arial"/>
                <w:sz w:val="18"/>
                <w:szCs w:val="18"/>
              </w:rPr>
              <w:t>Summer energy to Demand Factor</w:t>
            </w:r>
          </w:p>
        </w:tc>
        <w:tc>
          <w:tcPr>
            <w:tcW w:w="1995" w:type="dxa"/>
            <w:vAlign w:val="center"/>
          </w:tcPr>
          <w:p w14:paraId="307EFC09" w14:textId="77777777" w:rsidR="004E6452" w:rsidRPr="001570EA" w:rsidRDefault="003B5E04">
            <w:pPr>
              <w:spacing w:before="120"/>
              <w:jc w:val="center"/>
              <w:rPr>
                <w:rFonts w:eastAsiaTheme="minorHAnsi" w:cs="Arial"/>
                <w:i/>
                <w:sz w:val="18"/>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369" w:type="dxa"/>
            <w:vAlign w:val="center"/>
          </w:tcPr>
          <w:p w14:paraId="1297C16F" w14:textId="77777777" w:rsidR="004E6452" w:rsidRPr="001570EA" w:rsidRDefault="004E6452">
            <w:pPr>
              <w:spacing w:before="120"/>
              <w:jc w:val="center"/>
              <w:rPr>
                <w:rFonts w:eastAsiaTheme="minorHAnsi" w:cs="Arial"/>
                <w:sz w:val="18"/>
                <w:szCs w:val="18"/>
              </w:rPr>
            </w:pPr>
            <w:r w:rsidRPr="001570EA">
              <w:rPr>
                <w:rFonts w:eastAsiaTheme="minorHAnsi" w:cs="Arial"/>
                <w:sz w:val="18"/>
                <w:szCs w:val="18"/>
              </w:rPr>
              <w:t>0.0001475</w:t>
            </w:r>
          </w:p>
        </w:tc>
        <w:tc>
          <w:tcPr>
            <w:tcW w:w="1982" w:type="dxa"/>
            <w:vAlign w:val="center"/>
          </w:tcPr>
          <w:p w14:paraId="62E482D5" w14:textId="77777777" w:rsidR="004E6452" w:rsidRPr="001570EA" w:rsidRDefault="004E6452">
            <w:pPr>
              <w:jc w:val="center"/>
              <w:rPr>
                <w:rFonts w:eastAsiaTheme="minorHAnsi" w:cs="Arial"/>
                <w:sz w:val="18"/>
                <w:szCs w:val="18"/>
              </w:rPr>
            </w:pPr>
            <w:r w:rsidRPr="001570EA">
              <w:rPr>
                <w:rFonts w:eastAsiaTheme="minorHAnsi" w:cs="Arial"/>
                <w:sz w:val="18"/>
                <w:szCs w:val="18"/>
              </w:rPr>
              <w:t>8</w:t>
            </w:r>
          </w:p>
        </w:tc>
      </w:tr>
      <w:tr w:rsidR="004E6452" w:rsidRPr="001570EA" w14:paraId="46D5296A" w14:textId="77777777">
        <w:trPr>
          <w:trHeight w:val="72"/>
        </w:trPr>
        <w:tc>
          <w:tcPr>
            <w:tcW w:w="2176" w:type="dxa"/>
            <w:vAlign w:val="center"/>
          </w:tcPr>
          <w:p w14:paraId="7AC38D6E" w14:textId="77777777" w:rsidR="004E6452" w:rsidRPr="001570EA" w:rsidRDefault="004E6452">
            <w:pPr>
              <w:spacing w:before="120"/>
              <w:rPr>
                <w:rFonts w:cs="Arial"/>
                <w:sz w:val="18"/>
                <w:szCs w:val="18"/>
              </w:rPr>
            </w:pPr>
            <m:oMath>
              <m:r>
                <w:rPr>
                  <w:rFonts w:ascii="Cambria Math" w:hAnsi="Cambria Math" w:cs="Arial"/>
                </w:rPr>
                <m:t>ETD</m:t>
              </m:r>
              <m:sSub>
                <m:sSubPr>
                  <m:ctrlPr>
                    <w:rPr>
                      <w:rFonts w:ascii="Cambria Math" w:hAnsi="Cambria Math" w:cs="Arial"/>
                    </w:rPr>
                  </m:ctrlPr>
                </m:sSubPr>
                <m:e>
                  <m:r>
                    <w:rPr>
                      <w:rFonts w:ascii="Cambria Math" w:hAnsi="Cambria Math" w:cs="Arial"/>
                    </w:rPr>
                    <m:t>F</m:t>
                  </m:r>
                </m:e>
                <m:sub>
                  <m:r>
                    <w:rPr>
                      <w:rFonts w:ascii="Cambria Math" w:hAnsi="Cambria Math" w:cs="Arial"/>
                    </w:rPr>
                    <m:t>w</m:t>
                  </m:r>
                </m:sub>
              </m:sSub>
            </m:oMath>
            <w:r w:rsidRPr="001570EA">
              <w:t xml:space="preserve">, </w:t>
            </w:r>
            <w:r w:rsidRPr="001570EA">
              <w:rPr>
                <w:rFonts w:cs="Arial"/>
                <w:sz w:val="18"/>
                <w:szCs w:val="18"/>
              </w:rPr>
              <w:t>Winter energy to Demand Factor</w:t>
            </w:r>
          </w:p>
        </w:tc>
        <w:tc>
          <w:tcPr>
            <w:tcW w:w="1995" w:type="dxa"/>
            <w:vAlign w:val="center"/>
          </w:tcPr>
          <w:p w14:paraId="3B15AD12" w14:textId="77777777" w:rsidR="004E6452" w:rsidRPr="001570EA" w:rsidRDefault="003B5E04">
            <w:pPr>
              <w:spacing w:before="120"/>
              <w:jc w:val="center"/>
              <w:rPr>
                <w:rFonts w:eastAsiaTheme="minorHAnsi" w:cs="Arial"/>
                <w:i/>
                <w:sz w:val="18"/>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2369" w:type="dxa"/>
            <w:vAlign w:val="center"/>
          </w:tcPr>
          <w:p w14:paraId="499D6BF9" w14:textId="77777777" w:rsidR="004E6452" w:rsidRPr="001570EA" w:rsidRDefault="004E6452">
            <w:pPr>
              <w:spacing w:before="120"/>
              <w:jc w:val="center"/>
              <w:rPr>
                <w:rFonts w:ascii="Calibri" w:hAnsi="Calibri" w:cs="Calibri"/>
                <w:sz w:val="22"/>
                <w:szCs w:val="22"/>
              </w:rPr>
            </w:pPr>
            <w:r w:rsidRPr="001570EA">
              <w:rPr>
                <w:rFonts w:eastAsiaTheme="minorHAnsi" w:cs="Arial"/>
                <w:sz w:val="18"/>
                <w:szCs w:val="18"/>
              </w:rPr>
              <w:t>0.0001490</w:t>
            </w:r>
          </w:p>
        </w:tc>
        <w:tc>
          <w:tcPr>
            <w:tcW w:w="1982" w:type="dxa"/>
            <w:vAlign w:val="center"/>
          </w:tcPr>
          <w:p w14:paraId="37440088" w14:textId="77777777" w:rsidR="004E6452" w:rsidRPr="001570EA" w:rsidRDefault="004E6452">
            <w:pPr>
              <w:jc w:val="center"/>
              <w:rPr>
                <w:rFonts w:eastAsiaTheme="minorHAnsi" w:cs="Arial"/>
                <w:sz w:val="18"/>
                <w:szCs w:val="18"/>
              </w:rPr>
            </w:pPr>
            <w:r w:rsidRPr="001570EA">
              <w:rPr>
                <w:rFonts w:eastAsiaTheme="minorHAnsi" w:cs="Arial"/>
                <w:sz w:val="18"/>
                <w:szCs w:val="18"/>
              </w:rPr>
              <w:t>8</w:t>
            </w:r>
          </w:p>
        </w:tc>
      </w:tr>
    </w:tbl>
    <w:p w14:paraId="7AA29056" w14:textId="77777777" w:rsidR="004E6452" w:rsidRPr="001570EA" w:rsidRDefault="004E6452" w:rsidP="004E6452"/>
    <w:p w14:paraId="4988225C" w14:textId="49CC6FF5" w:rsidR="004E6452" w:rsidRPr="001570EA" w:rsidRDefault="004E6452" w:rsidP="004E6452">
      <w:r w:rsidRPr="001570EA">
        <w:t>Federal standards for clothes washers through 2/29/28 are based on IMEF (ft</w:t>
      </w:r>
      <w:r w:rsidRPr="001570EA">
        <w:rPr>
          <w:vertAlign w:val="superscript"/>
        </w:rPr>
        <w:t>3</w:t>
      </w:r>
      <w:r w:rsidRPr="001570EA">
        <w:t>/kWh/cycle). Starting 3/1/28 the federal standards will be based on energy efficiency ratio (EER, lb/kWh/cycle).</w:t>
      </w:r>
      <w:r w:rsidRPr="001570EA">
        <w:rPr>
          <w:color w:val="000000"/>
          <w:vertAlign w:val="superscript"/>
        </w:rPr>
        <w:t xml:space="preserve">Source 9 </w:t>
      </w:r>
      <w:r w:rsidRPr="001570EA">
        <w:fldChar w:fldCharType="begin"/>
      </w:r>
      <w:r w:rsidRPr="001570EA">
        <w:instrText xml:space="preserve"> REF _Ref532214369 \h </w:instrText>
      </w:r>
      <w:r w:rsidR="001570EA">
        <w:instrText xml:space="preserve"> \* MERGEFORMAT </w:instrText>
      </w:r>
      <w:r w:rsidRPr="001570EA">
        <w:fldChar w:fldCharType="separate"/>
      </w:r>
      <w:r w:rsidR="005B71B3" w:rsidRPr="001570EA">
        <w:t xml:space="preserve">Table </w:t>
      </w:r>
      <w:r w:rsidR="005B71B3" w:rsidRPr="001570EA">
        <w:rPr>
          <w:noProof/>
        </w:rPr>
        <w:t>2</w:t>
      </w:r>
      <w:r w:rsidR="005B71B3" w:rsidRPr="001570EA">
        <w:rPr>
          <w:noProof/>
        </w:rPr>
        <w:noBreakHyphen/>
        <w:t>105</w:t>
      </w:r>
      <w:r w:rsidRPr="001570EA">
        <w:fldChar w:fldCharType="end"/>
      </w:r>
      <w:r w:rsidRPr="001570EA">
        <w:t xml:space="preserve"> converts the 3/1/28 federal minimum EERs to IMEFs for use in the savings algorithm. </w:t>
      </w:r>
    </w:p>
    <w:p w14:paraId="069B0BA7" w14:textId="77777777" w:rsidR="004E6452" w:rsidRPr="001570EA" w:rsidRDefault="004E6452" w:rsidP="004E6452"/>
    <w:p w14:paraId="051AAC2F" w14:textId="3D2AAC67" w:rsidR="004E6452" w:rsidRPr="001570EA" w:rsidRDefault="004E6452" w:rsidP="004E6452">
      <w:pPr>
        <w:pStyle w:val="Caption"/>
      </w:pPr>
      <w:bookmarkStart w:id="585" w:name="_Ref532214369"/>
      <w:bookmarkStart w:id="586" w:name="_Toc530141746"/>
      <w:bookmarkStart w:id="587" w:name="_Toc4759832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105</w:t>
      </w:r>
      <w:r w:rsidR="002E093A" w:rsidRPr="001570EA">
        <w:fldChar w:fldCharType="end"/>
      </w:r>
      <w:bookmarkEnd w:id="585"/>
      <w:r w:rsidRPr="001570EA">
        <w:t>: Federal Standards and ENERGY STAR Specifications for Clothes Washers through 2/29/28</w:t>
      </w:r>
      <w:bookmarkEnd w:id="586"/>
      <w:bookmarkEnd w:id="587"/>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1890"/>
        <w:gridCol w:w="1618"/>
        <w:gridCol w:w="1704"/>
        <w:gridCol w:w="1704"/>
      </w:tblGrid>
      <w:tr w:rsidR="004E6452" w:rsidRPr="001570EA" w14:paraId="6928343B" w14:textId="77777777">
        <w:trPr>
          <w:trHeight w:val="367"/>
        </w:trPr>
        <w:tc>
          <w:tcPr>
            <w:tcW w:w="2767" w:type="dxa"/>
            <w:shd w:val="clear" w:color="auto" w:fill="BFBFBF" w:themeFill="background1" w:themeFillShade="BF"/>
            <w:vAlign w:val="center"/>
          </w:tcPr>
          <w:p w14:paraId="6B4C487C" w14:textId="77777777" w:rsidR="004E6452" w:rsidRPr="001570EA" w:rsidRDefault="004E6452">
            <w:pPr>
              <w:jc w:val="center"/>
              <w:rPr>
                <w:b/>
                <w:sz w:val="18"/>
                <w:szCs w:val="18"/>
              </w:rPr>
            </w:pPr>
            <w:r w:rsidRPr="001570EA">
              <w:rPr>
                <w:b/>
                <w:sz w:val="18"/>
                <w:szCs w:val="18"/>
              </w:rPr>
              <w:t>Configuration</w:t>
            </w:r>
            <w:r w:rsidRPr="001570EA">
              <w:rPr>
                <w:rStyle w:val="FootnoteReference"/>
                <w:b/>
                <w:sz w:val="18"/>
                <w:szCs w:val="18"/>
              </w:rPr>
              <w:footnoteReference w:id="20"/>
            </w:r>
          </w:p>
        </w:tc>
        <w:tc>
          <w:tcPr>
            <w:tcW w:w="1890" w:type="dxa"/>
            <w:shd w:val="clear" w:color="auto" w:fill="BFBFBF" w:themeFill="background1" w:themeFillShade="BF"/>
            <w:vAlign w:val="center"/>
          </w:tcPr>
          <w:p w14:paraId="6885ACD6" w14:textId="77777777" w:rsidR="004E6452" w:rsidRPr="001570EA" w:rsidRDefault="004E6452">
            <w:pPr>
              <w:jc w:val="center"/>
              <w:rPr>
                <w:b/>
                <w:sz w:val="18"/>
                <w:szCs w:val="18"/>
              </w:rPr>
            </w:pPr>
            <w:r w:rsidRPr="001570EA">
              <w:rPr>
                <w:b/>
                <w:sz w:val="18"/>
                <w:szCs w:val="18"/>
              </w:rPr>
              <w:t>CAPY</w:t>
            </w:r>
          </w:p>
        </w:tc>
        <w:tc>
          <w:tcPr>
            <w:tcW w:w="1618" w:type="dxa"/>
            <w:shd w:val="clear" w:color="auto" w:fill="BFBFBF" w:themeFill="background1" w:themeFillShade="BF"/>
            <w:vAlign w:val="center"/>
          </w:tcPr>
          <w:p w14:paraId="6B448E3E" w14:textId="77777777" w:rsidR="004E6452" w:rsidRPr="001570EA" w:rsidRDefault="004E6452">
            <w:pPr>
              <w:jc w:val="center"/>
              <w:rPr>
                <w:b/>
                <w:sz w:val="18"/>
                <w:szCs w:val="18"/>
              </w:rPr>
            </w:pPr>
            <w:r w:rsidRPr="001570EA">
              <w:rPr>
                <w:b/>
                <w:sz w:val="18"/>
                <w:szCs w:val="18"/>
              </w:rPr>
              <w:t>IMEF</w:t>
            </w:r>
            <w:r w:rsidRPr="001570EA">
              <w:rPr>
                <w:b/>
                <w:sz w:val="18"/>
                <w:szCs w:val="18"/>
                <w:vertAlign w:val="subscript"/>
              </w:rPr>
              <w:t xml:space="preserve">base </w:t>
            </w:r>
            <w:r w:rsidRPr="001570EA">
              <w:rPr>
                <w:b/>
                <w:sz w:val="18"/>
                <w:szCs w:val="18"/>
              </w:rPr>
              <w:t xml:space="preserve">through </w:t>
            </w:r>
          </w:p>
          <w:p w14:paraId="4011CE12" w14:textId="77777777" w:rsidR="004E6452" w:rsidRPr="001570EA" w:rsidRDefault="004E6452">
            <w:pPr>
              <w:jc w:val="center"/>
              <w:rPr>
                <w:b/>
                <w:sz w:val="18"/>
                <w:szCs w:val="18"/>
              </w:rPr>
            </w:pPr>
            <w:r w:rsidRPr="001570EA">
              <w:rPr>
                <w:b/>
                <w:sz w:val="18"/>
                <w:szCs w:val="18"/>
              </w:rPr>
              <w:t>2/29/28</w:t>
            </w:r>
          </w:p>
        </w:tc>
        <w:tc>
          <w:tcPr>
            <w:tcW w:w="1704" w:type="dxa"/>
            <w:shd w:val="clear" w:color="auto" w:fill="BFBFBF" w:themeFill="background1" w:themeFillShade="BF"/>
            <w:vAlign w:val="center"/>
          </w:tcPr>
          <w:p w14:paraId="061B5199" w14:textId="77777777" w:rsidR="004E6452" w:rsidRPr="001570EA" w:rsidRDefault="004E6452">
            <w:pPr>
              <w:jc w:val="center"/>
              <w:rPr>
                <w:b/>
                <w:sz w:val="18"/>
                <w:szCs w:val="18"/>
                <w:vertAlign w:val="subscript"/>
              </w:rPr>
            </w:pPr>
            <w:r w:rsidRPr="001570EA">
              <w:rPr>
                <w:b/>
                <w:sz w:val="18"/>
                <w:szCs w:val="18"/>
              </w:rPr>
              <w:t>IMEF</w:t>
            </w:r>
            <w:r w:rsidRPr="001570EA">
              <w:rPr>
                <w:b/>
                <w:sz w:val="18"/>
                <w:szCs w:val="18"/>
                <w:vertAlign w:val="subscript"/>
              </w:rPr>
              <w:t xml:space="preserve">base </w:t>
            </w:r>
          </w:p>
          <w:p w14:paraId="611611E1" w14:textId="77777777" w:rsidR="004E6452" w:rsidRPr="001570EA" w:rsidRDefault="004E6452">
            <w:pPr>
              <w:jc w:val="center"/>
              <w:rPr>
                <w:b/>
                <w:sz w:val="18"/>
                <w:szCs w:val="18"/>
              </w:rPr>
            </w:pPr>
            <w:r w:rsidRPr="001570EA">
              <w:rPr>
                <w:b/>
                <w:sz w:val="18"/>
                <w:szCs w:val="18"/>
              </w:rPr>
              <w:t xml:space="preserve">as of </w:t>
            </w:r>
          </w:p>
          <w:p w14:paraId="26B8C087" w14:textId="77777777" w:rsidR="004E6452" w:rsidRPr="001570EA" w:rsidRDefault="004E6452">
            <w:pPr>
              <w:jc w:val="center"/>
              <w:rPr>
                <w:b/>
                <w:sz w:val="18"/>
                <w:szCs w:val="18"/>
              </w:rPr>
            </w:pPr>
            <w:r w:rsidRPr="001570EA">
              <w:rPr>
                <w:b/>
                <w:sz w:val="18"/>
                <w:szCs w:val="18"/>
              </w:rPr>
              <w:t>3/1/28</w:t>
            </w:r>
          </w:p>
        </w:tc>
        <w:tc>
          <w:tcPr>
            <w:tcW w:w="1704" w:type="dxa"/>
            <w:shd w:val="clear" w:color="auto" w:fill="BFBFBF" w:themeFill="background1" w:themeFillShade="BF"/>
            <w:vAlign w:val="center"/>
          </w:tcPr>
          <w:p w14:paraId="18BEC214" w14:textId="77777777" w:rsidR="004E6452" w:rsidRPr="001570EA" w:rsidRDefault="004E6452">
            <w:pPr>
              <w:jc w:val="center"/>
              <w:rPr>
                <w:b/>
                <w:sz w:val="18"/>
                <w:szCs w:val="18"/>
              </w:rPr>
            </w:pPr>
            <w:r w:rsidRPr="001570EA">
              <w:rPr>
                <w:b/>
                <w:sz w:val="18"/>
                <w:szCs w:val="18"/>
              </w:rPr>
              <w:t>IMEF</w:t>
            </w:r>
            <w:r w:rsidRPr="001570EA">
              <w:rPr>
                <w:b/>
                <w:sz w:val="18"/>
                <w:szCs w:val="18"/>
                <w:vertAlign w:val="subscript"/>
              </w:rPr>
              <w:t>ee</w:t>
            </w:r>
          </w:p>
        </w:tc>
      </w:tr>
      <w:tr w:rsidR="004E6452" w:rsidRPr="001570EA" w14:paraId="4FEAD63F" w14:textId="77777777">
        <w:trPr>
          <w:trHeight w:val="332"/>
        </w:trPr>
        <w:tc>
          <w:tcPr>
            <w:tcW w:w="2767" w:type="dxa"/>
            <w:vAlign w:val="center"/>
          </w:tcPr>
          <w:p w14:paraId="4668B9C3" w14:textId="77777777" w:rsidR="004E6452" w:rsidRPr="001570EA" w:rsidRDefault="004E6452">
            <w:pPr>
              <w:rPr>
                <w:sz w:val="18"/>
                <w:szCs w:val="18"/>
              </w:rPr>
            </w:pPr>
            <w:r w:rsidRPr="001570EA">
              <w:rPr>
                <w:sz w:val="18"/>
                <w:szCs w:val="18"/>
              </w:rPr>
              <w:t>Top-loading, &gt; 2.5 ft</w:t>
            </w:r>
            <w:r w:rsidRPr="001570EA">
              <w:rPr>
                <w:sz w:val="18"/>
                <w:szCs w:val="18"/>
                <w:vertAlign w:val="superscript"/>
              </w:rPr>
              <w:t>3</w:t>
            </w:r>
          </w:p>
        </w:tc>
        <w:tc>
          <w:tcPr>
            <w:tcW w:w="1890" w:type="dxa"/>
            <w:vAlign w:val="center"/>
          </w:tcPr>
          <w:p w14:paraId="3AAB511F" w14:textId="77777777" w:rsidR="004E6452" w:rsidRPr="001570EA" w:rsidRDefault="004E6452">
            <w:pPr>
              <w:jc w:val="center"/>
              <w:rPr>
                <w:sz w:val="18"/>
                <w:szCs w:val="18"/>
              </w:rPr>
            </w:pPr>
            <w:r w:rsidRPr="001570EA">
              <w:rPr>
                <w:sz w:val="18"/>
                <w:szCs w:val="18"/>
              </w:rPr>
              <w:t>5.0</w:t>
            </w:r>
          </w:p>
        </w:tc>
        <w:tc>
          <w:tcPr>
            <w:tcW w:w="1618" w:type="dxa"/>
            <w:vAlign w:val="center"/>
          </w:tcPr>
          <w:p w14:paraId="5953DF96" w14:textId="77777777" w:rsidR="004E6452" w:rsidRPr="001570EA" w:rsidRDefault="004E6452">
            <w:pPr>
              <w:jc w:val="center"/>
              <w:rPr>
                <w:sz w:val="18"/>
                <w:szCs w:val="18"/>
              </w:rPr>
            </w:pPr>
            <w:r w:rsidRPr="001570EA">
              <w:rPr>
                <w:sz w:val="18"/>
                <w:szCs w:val="18"/>
              </w:rPr>
              <w:t>1.57</w:t>
            </w:r>
          </w:p>
        </w:tc>
        <w:tc>
          <w:tcPr>
            <w:tcW w:w="1704" w:type="dxa"/>
            <w:vAlign w:val="center"/>
          </w:tcPr>
          <w:p w14:paraId="01B568B8" w14:textId="77777777" w:rsidR="004E6452" w:rsidRPr="001570EA" w:rsidRDefault="004E6452">
            <w:pPr>
              <w:jc w:val="center"/>
              <w:rPr>
                <w:sz w:val="18"/>
                <w:szCs w:val="18"/>
              </w:rPr>
            </w:pPr>
            <w:r w:rsidRPr="001570EA">
              <w:rPr>
                <w:sz w:val="18"/>
                <w:szCs w:val="18"/>
              </w:rPr>
              <w:t>2.06</w:t>
            </w:r>
          </w:p>
        </w:tc>
        <w:tc>
          <w:tcPr>
            <w:tcW w:w="1704" w:type="dxa"/>
            <w:vAlign w:val="center"/>
          </w:tcPr>
          <w:p w14:paraId="277F0B8D" w14:textId="77777777" w:rsidR="004E6452" w:rsidRPr="001570EA" w:rsidRDefault="004E6452">
            <w:pPr>
              <w:jc w:val="center"/>
              <w:rPr>
                <w:sz w:val="18"/>
                <w:szCs w:val="18"/>
              </w:rPr>
            </w:pPr>
            <w:r w:rsidRPr="001570EA">
              <w:rPr>
                <w:sz w:val="18"/>
                <w:szCs w:val="18"/>
              </w:rPr>
              <w:t>2.06</w:t>
            </w:r>
          </w:p>
        </w:tc>
      </w:tr>
      <w:tr w:rsidR="004E6452" w:rsidRPr="001570EA" w14:paraId="17BE86AA" w14:textId="77777777">
        <w:trPr>
          <w:trHeight w:val="350"/>
        </w:trPr>
        <w:tc>
          <w:tcPr>
            <w:tcW w:w="2767" w:type="dxa"/>
            <w:vAlign w:val="center"/>
          </w:tcPr>
          <w:p w14:paraId="7F2A1E4D" w14:textId="77777777" w:rsidR="004E6452" w:rsidRPr="001570EA" w:rsidRDefault="004E6452">
            <w:pPr>
              <w:rPr>
                <w:sz w:val="18"/>
                <w:szCs w:val="18"/>
              </w:rPr>
            </w:pPr>
            <w:r w:rsidRPr="001570EA">
              <w:rPr>
                <w:sz w:val="18"/>
                <w:szCs w:val="18"/>
              </w:rPr>
              <w:t>Front-loading, 1.6 ft</w:t>
            </w:r>
            <w:r w:rsidRPr="001570EA">
              <w:rPr>
                <w:sz w:val="18"/>
                <w:szCs w:val="18"/>
                <w:vertAlign w:val="superscript"/>
              </w:rPr>
              <w:t>3</w:t>
            </w:r>
            <w:r w:rsidRPr="001570EA">
              <w:rPr>
                <w:sz w:val="18"/>
                <w:szCs w:val="18"/>
              </w:rPr>
              <w:t xml:space="preserve"> </w:t>
            </w:r>
            <w:r w:rsidRPr="001570EA">
              <w:rPr>
                <w:rFonts w:cs="Arial"/>
                <w:sz w:val="18"/>
                <w:szCs w:val="18"/>
              </w:rPr>
              <w:t>≤</w:t>
            </w:r>
            <w:r w:rsidRPr="001570EA">
              <w:rPr>
                <w:sz w:val="18"/>
                <w:szCs w:val="18"/>
              </w:rPr>
              <w:t xml:space="preserve"> 2.5 ft</w:t>
            </w:r>
            <w:r w:rsidRPr="001570EA">
              <w:rPr>
                <w:sz w:val="18"/>
                <w:szCs w:val="18"/>
                <w:vertAlign w:val="superscript"/>
              </w:rPr>
              <w:t>3</w:t>
            </w:r>
          </w:p>
        </w:tc>
        <w:tc>
          <w:tcPr>
            <w:tcW w:w="1890" w:type="dxa"/>
            <w:vAlign w:val="center"/>
          </w:tcPr>
          <w:p w14:paraId="0DD97400" w14:textId="77777777" w:rsidR="004E6452" w:rsidRPr="001570EA" w:rsidRDefault="004E6452">
            <w:pPr>
              <w:jc w:val="center"/>
              <w:rPr>
                <w:sz w:val="18"/>
                <w:szCs w:val="18"/>
              </w:rPr>
            </w:pPr>
            <w:r w:rsidRPr="001570EA">
              <w:rPr>
                <w:sz w:val="18"/>
                <w:szCs w:val="18"/>
              </w:rPr>
              <w:t>2.2</w:t>
            </w:r>
          </w:p>
        </w:tc>
        <w:tc>
          <w:tcPr>
            <w:tcW w:w="1618" w:type="dxa"/>
            <w:vAlign w:val="center"/>
          </w:tcPr>
          <w:p w14:paraId="6A43D992" w14:textId="77777777" w:rsidR="004E6452" w:rsidRPr="001570EA" w:rsidRDefault="004E6452">
            <w:pPr>
              <w:jc w:val="center"/>
              <w:rPr>
                <w:sz w:val="18"/>
                <w:szCs w:val="18"/>
              </w:rPr>
            </w:pPr>
            <w:r w:rsidRPr="001570EA">
              <w:rPr>
                <w:sz w:val="18"/>
                <w:szCs w:val="18"/>
              </w:rPr>
              <w:t>1.84</w:t>
            </w:r>
          </w:p>
        </w:tc>
        <w:tc>
          <w:tcPr>
            <w:tcW w:w="1704" w:type="dxa"/>
            <w:vAlign w:val="center"/>
          </w:tcPr>
          <w:p w14:paraId="47FEB15F" w14:textId="77777777" w:rsidR="004E6452" w:rsidRPr="001570EA" w:rsidRDefault="004E6452">
            <w:pPr>
              <w:jc w:val="center"/>
              <w:rPr>
                <w:sz w:val="18"/>
                <w:szCs w:val="18"/>
              </w:rPr>
            </w:pPr>
            <w:r w:rsidRPr="001570EA">
              <w:rPr>
                <w:sz w:val="18"/>
                <w:szCs w:val="18"/>
              </w:rPr>
              <w:t>2.76</w:t>
            </w:r>
          </w:p>
        </w:tc>
        <w:tc>
          <w:tcPr>
            <w:tcW w:w="1704" w:type="dxa"/>
            <w:vAlign w:val="center"/>
          </w:tcPr>
          <w:p w14:paraId="10E7629B" w14:textId="77777777" w:rsidR="004E6452" w:rsidRPr="001570EA" w:rsidRDefault="004E6452">
            <w:pPr>
              <w:jc w:val="center"/>
              <w:rPr>
                <w:sz w:val="18"/>
                <w:szCs w:val="18"/>
              </w:rPr>
            </w:pPr>
            <w:r w:rsidRPr="001570EA">
              <w:rPr>
                <w:sz w:val="18"/>
                <w:szCs w:val="18"/>
              </w:rPr>
              <w:t>2.07</w:t>
            </w:r>
          </w:p>
        </w:tc>
      </w:tr>
      <w:tr w:rsidR="004E6452" w:rsidRPr="001570EA" w14:paraId="0B685525" w14:textId="77777777">
        <w:trPr>
          <w:trHeight w:val="350"/>
        </w:trPr>
        <w:tc>
          <w:tcPr>
            <w:tcW w:w="2767" w:type="dxa"/>
            <w:vAlign w:val="center"/>
          </w:tcPr>
          <w:p w14:paraId="0340DDA3" w14:textId="77777777" w:rsidR="004E6452" w:rsidRPr="001570EA" w:rsidRDefault="004E6452">
            <w:pPr>
              <w:rPr>
                <w:sz w:val="18"/>
                <w:szCs w:val="18"/>
              </w:rPr>
            </w:pPr>
            <w:r w:rsidRPr="001570EA">
              <w:rPr>
                <w:sz w:val="18"/>
                <w:szCs w:val="18"/>
              </w:rPr>
              <w:t>Front-loading, &gt; 2.5 ft</w:t>
            </w:r>
            <w:r w:rsidRPr="001570EA">
              <w:rPr>
                <w:sz w:val="18"/>
                <w:szCs w:val="18"/>
                <w:vertAlign w:val="superscript"/>
              </w:rPr>
              <w:t>3</w:t>
            </w:r>
          </w:p>
        </w:tc>
        <w:tc>
          <w:tcPr>
            <w:tcW w:w="1890" w:type="dxa"/>
            <w:vAlign w:val="center"/>
          </w:tcPr>
          <w:p w14:paraId="6A835A54" w14:textId="77777777" w:rsidR="004E6452" w:rsidRPr="001570EA" w:rsidRDefault="004E6452">
            <w:pPr>
              <w:jc w:val="center"/>
              <w:rPr>
                <w:sz w:val="18"/>
                <w:szCs w:val="18"/>
              </w:rPr>
            </w:pPr>
            <w:r w:rsidRPr="001570EA">
              <w:rPr>
                <w:sz w:val="18"/>
                <w:szCs w:val="18"/>
              </w:rPr>
              <w:t>4.5</w:t>
            </w:r>
          </w:p>
        </w:tc>
        <w:tc>
          <w:tcPr>
            <w:tcW w:w="1618" w:type="dxa"/>
            <w:vAlign w:val="center"/>
          </w:tcPr>
          <w:p w14:paraId="4C2D377D" w14:textId="77777777" w:rsidR="004E6452" w:rsidRPr="001570EA" w:rsidRDefault="004E6452">
            <w:pPr>
              <w:jc w:val="center"/>
              <w:rPr>
                <w:sz w:val="18"/>
                <w:szCs w:val="18"/>
              </w:rPr>
            </w:pPr>
            <w:r w:rsidRPr="001570EA">
              <w:rPr>
                <w:sz w:val="18"/>
                <w:szCs w:val="18"/>
              </w:rPr>
              <w:t>1.84</w:t>
            </w:r>
          </w:p>
        </w:tc>
        <w:tc>
          <w:tcPr>
            <w:tcW w:w="1704" w:type="dxa"/>
            <w:vAlign w:val="center"/>
          </w:tcPr>
          <w:p w14:paraId="7DB68143" w14:textId="77777777" w:rsidR="004E6452" w:rsidRPr="001570EA" w:rsidRDefault="004E6452">
            <w:pPr>
              <w:jc w:val="center"/>
              <w:rPr>
                <w:sz w:val="18"/>
                <w:szCs w:val="18"/>
              </w:rPr>
            </w:pPr>
            <w:r w:rsidRPr="001570EA">
              <w:rPr>
                <w:sz w:val="18"/>
                <w:szCs w:val="18"/>
              </w:rPr>
              <w:t>2.76</w:t>
            </w:r>
          </w:p>
        </w:tc>
        <w:tc>
          <w:tcPr>
            <w:tcW w:w="1704" w:type="dxa"/>
            <w:vAlign w:val="center"/>
          </w:tcPr>
          <w:p w14:paraId="5D89D2C9" w14:textId="77777777" w:rsidR="004E6452" w:rsidRPr="001570EA" w:rsidRDefault="004E6452">
            <w:pPr>
              <w:jc w:val="center"/>
              <w:rPr>
                <w:sz w:val="18"/>
                <w:szCs w:val="18"/>
              </w:rPr>
            </w:pPr>
            <w:r w:rsidRPr="001570EA">
              <w:rPr>
                <w:sz w:val="18"/>
                <w:szCs w:val="18"/>
              </w:rPr>
              <w:t>2.76</w:t>
            </w:r>
          </w:p>
        </w:tc>
      </w:tr>
    </w:tbl>
    <w:p w14:paraId="3C97240A" w14:textId="77777777" w:rsidR="004E6452" w:rsidRPr="001570EA" w:rsidRDefault="004E6452" w:rsidP="004E6452"/>
    <w:p w14:paraId="0D4E64EF" w14:textId="77777777" w:rsidR="004E6452" w:rsidRPr="001570EA" w:rsidRDefault="004E6452" w:rsidP="004E6452"/>
    <w:p w14:paraId="1382DB60" w14:textId="77777777" w:rsidR="004E6452" w:rsidRPr="001570EA" w:rsidRDefault="004E6452" w:rsidP="004E6452">
      <w:pPr>
        <w:pStyle w:val="SubStyle"/>
      </w:pPr>
      <w:r w:rsidRPr="001570EA">
        <w:t>Default Savings</w:t>
      </w:r>
    </w:p>
    <w:bookmarkStart w:id="588" w:name="_Ref534967347"/>
    <w:bookmarkStart w:id="589" w:name="_Toc530141748"/>
    <w:bookmarkStart w:id="590" w:name="_Toc47598323"/>
    <w:p w14:paraId="1E26AE58" w14:textId="3D84BA50" w:rsidR="004E6452" w:rsidRPr="001570EA" w:rsidRDefault="004E6452" w:rsidP="004E6452">
      <w:r w:rsidRPr="001570EA">
        <w:fldChar w:fldCharType="begin"/>
      </w:r>
      <w:r w:rsidRPr="001570EA">
        <w:instrText xml:space="preserve"> REF _Ref162456289 \h </w:instrText>
      </w:r>
      <w:r w:rsidR="001570EA">
        <w:instrText xml:space="preserve"> \* MERGEFORMAT </w:instrText>
      </w:r>
      <w:r w:rsidRPr="001570EA">
        <w:fldChar w:fldCharType="separate"/>
      </w:r>
      <w:r w:rsidR="005B71B3" w:rsidRPr="001570EA">
        <w:t xml:space="preserve">Table </w:t>
      </w:r>
      <w:r w:rsidR="005B71B3" w:rsidRPr="001570EA">
        <w:rPr>
          <w:noProof/>
        </w:rPr>
        <w:t>2</w:t>
      </w:r>
      <w:r w:rsidR="005B71B3" w:rsidRPr="001570EA">
        <w:rPr>
          <w:noProof/>
        </w:rPr>
        <w:noBreakHyphen/>
        <w:t>106</w:t>
      </w:r>
      <w:r w:rsidRPr="001570EA">
        <w:fldChar w:fldCharType="end"/>
      </w:r>
      <w:r w:rsidRPr="001570EA">
        <w:t xml:space="preserve"> displays default savings from clothes washers through 2/29/28. There are no default savings as of 3/1/28 when federal minimum efficiency standards meet or exceed ENERGY STAR Version 8.1 minimums. However, EDCs can still calculate savings using EDC-gathered data for ENERGY STAR clothes washers that exceed federal minimum efficiency standards. </w:t>
      </w:r>
    </w:p>
    <w:p w14:paraId="4CFB2FD9" w14:textId="77777777" w:rsidR="004E6452" w:rsidRPr="001570EA" w:rsidRDefault="004E6452" w:rsidP="004E6452"/>
    <w:p w14:paraId="5B67756B" w14:textId="44DF4AD8" w:rsidR="004E6452" w:rsidRPr="001570EA" w:rsidRDefault="004E6452" w:rsidP="004E6452">
      <w:pPr>
        <w:pStyle w:val="Caption"/>
      </w:pPr>
      <w:bookmarkStart w:id="591" w:name="_Ref162456289"/>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106</w:t>
      </w:r>
      <w:r w:rsidR="002E093A" w:rsidRPr="001570EA">
        <w:fldChar w:fldCharType="end"/>
      </w:r>
      <w:bookmarkEnd w:id="588"/>
      <w:bookmarkEnd w:id="591"/>
      <w:r w:rsidRPr="001570EA">
        <w:t>: Default Clothes Washer Savings</w:t>
      </w:r>
      <w:bookmarkEnd w:id="589"/>
      <w:bookmarkEnd w:id="590"/>
      <w:r w:rsidRPr="001570EA">
        <w:t xml:space="preserve"> through 2/29/28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2926"/>
        <w:gridCol w:w="1255"/>
        <w:gridCol w:w="1665"/>
        <w:gridCol w:w="1390"/>
      </w:tblGrid>
      <w:tr w:rsidR="004E6452" w:rsidRPr="001570EA" w14:paraId="4DB269C4" w14:textId="77777777">
        <w:tc>
          <w:tcPr>
            <w:tcW w:w="1286" w:type="dxa"/>
            <w:shd w:val="clear" w:color="auto" w:fill="BFBFBF"/>
          </w:tcPr>
          <w:p w14:paraId="2B105EB1" w14:textId="77777777" w:rsidR="004E6452" w:rsidRPr="001570EA" w:rsidRDefault="004E6452">
            <w:pPr>
              <w:spacing w:before="120"/>
              <w:rPr>
                <w:b/>
                <w:sz w:val="18"/>
                <w:szCs w:val="18"/>
              </w:rPr>
            </w:pPr>
            <w:r w:rsidRPr="001570EA">
              <w:rPr>
                <w:b/>
                <w:sz w:val="18"/>
                <w:szCs w:val="18"/>
              </w:rPr>
              <w:t>Fuel Mix</w:t>
            </w:r>
          </w:p>
        </w:tc>
        <w:tc>
          <w:tcPr>
            <w:tcW w:w="2926" w:type="dxa"/>
            <w:shd w:val="clear" w:color="auto" w:fill="BFBFBF"/>
          </w:tcPr>
          <w:p w14:paraId="2E0D7775" w14:textId="77777777" w:rsidR="004E6452" w:rsidRPr="001570EA" w:rsidRDefault="004E6452">
            <w:pPr>
              <w:spacing w:before="120"/>
              <w:jc w:val="center"/>
              <w:rPr>
                <w:b/>
                <w:sz w:val="18"/>
                <w:szCs w:val="18"/>
              </w:rPr>
            </w:pPr>
            <w:r w:rsidRPr="001570EA">
              <w:rPr>
                <w:b/>
                <w:sz w:val="18"/>
                <w:szCs w:val="18"/>
              </w:rPr>
              <w:t>Washer Type</w:t>
            </w:r>
          </w:p>
        </w:tc>
        <w:tc>
          <w:tcPr>
            <w:tcW w:w="1255" w:type="dxa"/>
            <w:shd w:val="clear" w:color="auto" w:fill="BFBFBF"/>
          </w:tcPr>
          <w:p w14:paraId="55AC7E19" w14:textId="77777777" w:rsidR="004E6452" w:rsidRPr="001570EA" w:rsidRDefault="004E6452">
            <w:pPr>
              <w:spacing w:before="120"/>
              <w:jc w:val="center"/>
              <w:rPr>
                <w:b/>
                <w:sz w:val="18"/>
                <w:szCs w:val="18"/>
              </w:rPr>
            </w:pPr>
            <m:oMathPara>
              <m:oMath>
                <m:r>
                  <m:rPr>
                    <m:sty m:val="bi"/>
                  </m:rPr>
                  <w:rPr>
                    <w:rFonts w:ascii="Cambria Math" w:hAnsi="Cambria Math"/>
                    <w:sz w:val="18"/>
                    <w:szCs w:val="18"/>
                  </w:rPr>
                  <m:t>∆</m:t>
                </m:r>
                <m:r>
                  <m:rPr>
                    <m:sty m:val="bi"/>
                  </m:rPr>
                  <w:rPr>
                    <w:rFonts w:ascii="Cambria Math" w:hAnsi="Cambria Math" w:cs="Arial"/>
                    <w:sz w:val="18"/>
                    <w:szCs w:val="18"/>
                  </w:rPr>
                  <m:t>kWh</m:t>
                </m:r>
              </m:oMath>
            </m:oMathPara>
          </w:p>
        </w:tc>
        <w:tc>
          <w:tcPr>
            <w:tcW w:w="1665" w:type="dxa"/>
            <w:shd w:val="clear" w:color="auto" w:fill="BFBFBF"/>
          </w:tcPr>
          <w:p w14:paraId="556E6092" w14:textId="77777777" w:rsidR="004E6452" w:rsidRPr="001570EA" w:rsidRDefault="004E6452">
            <w:pPr>
              <w:spacing w:before="120"/>
              <w:jc w:val="center"/>
              <w:rPr>
                <w:b/>
                <w:sz w:val="18"/>
                <w:szCs w:val="18"/>
              </w:rPr>
            </w:pPr>
            <m:oMathPara>
              <m:oMath>
                <m:r>
                  <m:rPr>
                    <m:sty m:val="bi"/>
                  </m:rPr>
                  <w:rPr>
                    <w:rFonts w:ascii="Cambria Math" w:hAnsi="Cambria Math"/>
                    <w:sz w:val="18"/>
                    <w:szCs w:val="18"/>
                  </w:rPr>
                  <m:t>∆</m:t>
                </m:r>
                <m:sSub>
                  <m:sSubPr>
                    <m:ctrlPr>
                      <w:rPr>
                        <w:rFonts w:ascii="Cambria Math" w:hAnsi="Cambria Math"/>
                        <w:b/>
                        <w:sz w:val="18"/>
                        <w:szCs w:val="18"/>
                      </w:rPr>
                    </m:ctrlPr>
                  </m:sSubPr>
                  <m:e>
                    <m:r>
                      <m:rPr>
                        <m:sty m:val="bi"/>
                      </m:rPr>
                      <w:rPr>
                        <w:rFonts w:ascii="Cambria Math" w:hAnsi="Cambria Math"/>
                        <w:sz w:val="18"/>
                        <w:szCs w:val="18"/>
                      </w:rPr>
                      <m:t>kW</m:t>
                    </m:r>
                  </m:e>
                  <m:sub>
                    <m:r>
                      <m:rPr>
                        <m:sty m:val="bi"/>
                      </m:rPr>
                      <w:rPr>
                        <w:rFonts w:ascii="Cambria Math" w:hAnsi="Cambria Math"/>
                        <w:sz w:val="18"/>
                        <w:szCs w:val="18"/>
                      </w:rPr>
                      <m:t>summer peak</m:t>
                    </m:r>
                  </m:sub>
                </m:sSub>
              </m:oMath>
            </m:oMathPara>
          </w:p>
        </w:tc>
        <w:tc>
          <w:tcPr>
            <w:tcW w:w="1390" w:type="dxa"/>
            <w:shd w:val="clear" w:color="auto" w:fill="BFBFBF"/>
          </w:tcPr>
          <w:p w14:paraId="067B9291" w14:textId="77777777" w:rsidR="004E6452" w:rsidRPr="001570EA" w:rsidRDefault="004E6452">
            <w:pPr>
              <w:spacing w:before="120"/>
              <w:jc w:val="center"/>
              <w:rPr>
                <w:b/>
                <w:sz w:val="18"/>
                <w:szCs w:val="18"/>
              </w:rPr>
            </w:pPr>
            <m:oMathPara>
              <m:oMath>
                <m:r>
                  <m:rPr>
                    <m:sty m:val="bi"/>
                  </m:rPr>
                  <w:rPr>
                    <w:rFonts w:ascii="Cambria Math" w:hAnsi="Cambria Math"/>
                    <w:sz w:val="18"/>
                    <w:szCs w:val="18"/>
                  </w:rPr>
                  <m:t>∆</m:t>
                </m:r>
                <m:sSub>
                  <m:sSubPr>
                    <m:ctrlPr>
                      <w:rPr>
                        <w:rFonts w:ascii="Cambria Math" w:hAnsi="Cambria Math"/>
                        <w:b/>
                        <w:sz w:val="18"/>
                        <w:szCs w:val="18"/>
                      </w:rPr>
                    </m:ctrlPr>
                  </m:sSubPr>
                  <m:e>
                    <m:r>
                      <m:rPr>
                        <m:sty m:val="bi"/>
                      </m:rPr>
                      <w:rPr>
                        <w:rFonts w:ascii="Cambria Math" w:hAnsi="Cambria Math"/>
                        <w:sz w:val="18"/>
                        <w:szCs w:val="18"/>
                      </w:rPr>
                      <m:t>kW</m:t>
                    </m:r>
                  </m:e>
                  <m:sub>
                    <m:r>
                      <m:rPr>
                        <m:sty m:val="bi"/>
                      </m:rPr>
                      <w:rPr>
                        <w:rFonts w:ascii="Cambria Math" w:hAnsi="Cambria Math"/>
                        <w:sz w:val="18"/>
                        <w:szCs w:val="18"/>
                      </w:rPr>
                      <m:t>winter peak</m:t>
                    </m:r>
                  </m:sub>
                </m:sSub>
              </m:oMath>
            </m:oMathPara>
          </w:p>
        </w:tc>
      </w:tr>
      <w:tr w:rsidR="004E6452" w:rsidRPr="001570EA" w14:paraId="74935665" w14:textId="77777777">
        <w:trPr>
          <w:trHeight w:hRule="exact" w:val="352"/>
        </w:trPr>
        <w:tc>
          <w:tcPr>
            <w:tcW w:w="1286" w:type="dxa"/>
            <w:vMerge w:val="restart"/>
            <w:vAlign w:val="center"/>
          </w:tcPr>
          <w:p w14:paraId="50905AAB" w14:textId="77777777" w:rsidR="004E6452" w:rsidRPr="001570EA" w:rsidRDefault="004E6452">
            <w:pPr>
              <w:jc w:val="center"/>
              <w:rPr>
                <w:rFonts w:cs="Arial"/>
                <w:color w:val="000000"/>
                <w:sz w:val="18"/>
                <w:szCs w:val="18"/>
              </w:rPr>
            </w:pPr>
            <w:r w:rsidRPr="001570EA">
              <w:rPr>
                <w:rFonts w:cs="Arial"/>
                <w:color w:val="000000"/>
                <w:sz w:val="18"/>
                <w:szCs w:val="18"/>
              </w:rPr>
              <w:t>Electric DHW/Electric Dryer</w:t>
            </w:r>
          </w:p>
        </w:tc>
        <w:tc>
          <w:tcPr>
            <w:tcW w:w="2926" w:type="dxa"/>
            <w:vAlign w:val="center"/>
          </w:tcPr>
          <w:p w14:paraId="4CF3437D" w14:textId="77777777" w:rsidR="004E6452" w:rsidRPr="001570EA" w:rsidDel="00AE679E" w:rsidRDefault="004E6452">
            <w:pPr>
              <w:jc w:val="center"/>
              <w:rPr>
                <w:rFonts w:cs="Arial"/>
                <w:color w:val="000000"/>
                <w:sz w:val="18"/>
                <w:szCs w:val="18"/>
              </w:rPr>
            </w:pPr>
            <w:r w:rsidRPr="001570EA">
              <w:rPr>
                <w:rFonts w:cs="Arial"/>
                <w:color w:val="000000"/>
                <w:sz w:val="18"/>
                <w:szCs w:val="18"/>
              </w:rPr>
              <w:t>Top-loading, &gt; 2.5 ft3</w:t>
            </w:r>
          </w:p>
        </w:tc>
        <w:tc>
          <w:tcPr>
            <w:tcW w:w="1255" w:type="dxa"/>
            <w:vAlign w:val="center"/>
          </w:tcPr>
          <w:p w14:paraId="2B70E56F" w14:textId="77777777" w:rsidR="004E6452" w:rsidRPr="001570EA" w:rsidRDefault="004E6452">
            <w:pPr>
              <w:jc w:val="center"/>
              <w:rPr>
                <w:rFonts w:cs="Arial"/>
                <w:color w:val="000000"/>
                <w:sz w:val="18"/>
                <w:szCs w:val="18"/>
              </w:rPr>
            </w:pPr>
            <w:r w:rsidRPr="001570EA">
              <w:rPr>
                <w:rFonts w:cs="Arial"/>
                <w:color w:val="000000"/>
                <w:sz w:val="18"/>
                <w:szCs w:val="18"/>
              </w:rPr>
              <w:t>133.8</w:t>
            </w:r>
          </w:p>
        </w:tc>
        <w:tc>
          <w:tcPr>
            <w:tcW w:w="1665" w:type="dxa"/>
            <w:vAlign w:val="center"/>
          </w:tcPr>
          <w:p w14:paraId="251E90B1" w14:textId="77777777" w:rsidR="004E6452" w:rsidRPr="001570EA" w:rsidRDefault="004E6452">
            <w:pPr>
              <w:jc w:val="center"/>
              <w:rPr>
                <w:rFonts w:cs="Arial"/>
                <w:color w:val="000000"/>
                <w:sz w:val="18"/>
                <w:szCs w:val="18"/>
              </w:rPr>
            </w:pPr>
            <w:r w:rsidRPr="001570EA">
              <w:rPr>
                <w:rFonts w:cs="Arial"/>
                <w:color w:val="000000"/>
                <w:sz w:val="18"/>
                <w:szCs w:val="18"/>
              </w:rPr>
              <w:t>0.0197</w:t>
            </w:r>
          </w:p>
        </w:tc>
        <w:tc>
          <w:tcPr>
            <w:tcW w:w="1390" w:type="dxa"/>
            <w:vAlign w:val="center"/>
          </w:tcPr>
          <w:p w14:paraId="20A1A713" w14:textId="77777777" w:rsidR="004E6452" w:rsidRPr="001570EA" w:rsidRDefault="004E6452">
            <w:pPr>
              <w:jc w:val="center"/>
              <w:rPr>
                <w:sz w:val="18"/>
                <w:szCs w:val="18"/>
              </w:rPr>
            </w:pPr>
            <w:r w:rsidRPr="001570EA">
              <w:rPr>
                <w:rFonts w:cs="Arial"/>
                <w:color w:val="000000"/>
                <w:sz w:val="18"/>
                <w:szCs w:val="18"/>
              </w:rPr>
              <w:t>0.0199</w:t>
            </w:r>
          </w:p>
        </w:tc>
      </w:tr>
      <w:tr w:rsidR="004E6452" w:rsidRPr="001570EA" w14:paraId="482600AA" w14:textId="77777777">
        <w:trPr>
          <w:trHeight w:hRule="exact" w:val="487"/>
        </w:trPr>
        <w:tc>
          <w:tcPr>
            <w:tcW w:w="1286" w:type="dxa"/>
            <w:vMerge/>
            <w:vAlign w:val="center"/>
          </w:tcPr>
          <w:p w14:paraId="5366605E" w14:textId="77777777" w:rsidR="004E6452" w:rsidRPr="001570EA" w:rsidRDefault="004E6452">
            <w:pPr>
              <w:jc w:val="center"/>
              <w:rPr>
                <w:rFonts w:cs="Arial"/>
                <w:color w:val="000000"/>
                <w:sz w:val="18"/>
                <w:szCs w:val="18"/>
              </w:rPr>
            </w:pPr>
          </w:p>
        </w:tc>
        <w:tc>
          <w:tcPr>
            <w:tcW w:w="2926" w:type="dxa"/>
            <w:vAlign w:val="center"/>
          </w:tcPr>
          <w:p w14:paraId="198BE3C5" w14:textId="77777777" w:rsidR="004E6452" w:rsidRPr="001570EA" w:rsidRDefault="004E6452">
            <w:pPr>
              <w:jc w:val="center"/>
              <w:rPr>
                <w:rFonts w:cs="Arial"/>
                <w:color w:val="000000"/>
                <w:sz w:val="18"/>
                <w:szCs w:val="18"/>
              </w:rPr>
            </w:pPr>
            <w:r w:rsidRPr="001570EA">
              <w:rPr>
                <w:rFonts w:cs="Arial"/>
                <w:color w:val="000000"/>
                <w:sz w:val="18"/>
                <w:szCs w:val="18"/>
              </w:rPr>
              <w:t>Front-loading, 1.6 ft3 ≤ 2.5 ft3</w:t>
            </w:r>
          </w:p>
        </w:tc>
        <w:tc>
          <w:tcPr>
            <w:tcW w:w="1255" w:type="dxa"/>
            <w:vAlign w:val="center"/>
          </w:tcPr>
          <w:p w14:paraId="26ADCC71" w14:textId="77777777" w:rsidR="004E6452" w:rsidRPr="001570EA" w:rsidRDefault="004E6452">
            <w:pPr>
              <w:jc w:val="center"/>
              <w:rPr>
                <w:rFonts w:cs="Arial"/>
                <w:color w:val="000000"/>
                <w:sz w:val="18"/>
                <w:szCs w:val="18"/>
              </w:rPr>
            </w:pPr>
            <w:r w:rsidRPr="001570EA">
              <w:rPr>
                <w:rFonts w:cs="Arial"/>
                <w:color w:val="000000"/>
                <w:sz w:val="18"/>
                <w:szCs w:val="18"/>
              </w:rPr>
              <w:t>23.5</w:t>
            </w:r>
          </w:p>
        </w:tc>
        <w:tc>
          <w:tcPr>
            <w:tcW w:w="1665" w:type="dxa"/>
            <w:vAlign w:val="center"/>
          </w:tcPr>
          <w:p w14:paraId="7488D6A7" w14:textId="77777777" w:rsidR="004E6452" w:rsidRPr="001570EA" w:rsidRDefault="004E6452">
            <w:pPr>
              <w:jc w:val="center"/>
              <w:rPr>
                <w:rFonts w:cs="Arial"/>
                <w:color w:val="000000"/>
                <w:sz w:val="18"/>
                <w:szCs w:val="18"/>
              </w:rPr>
            </w:pPr>
            <w:r w:rsidRPr="001570EA">
              <w:rPr>
                <w:rFonts w:cs="Arial"/>
                <w:color w:val="000000"/>
                <w:sz w:val="18"/>
                <w:szCs w:val="18"/>
              </w:rPr>
              <w:t>0.0035</w:t>
            </w:r>
          </w:p>
        </w:tc>
        <w:tc>
          <w:tcPr>
            <w:tcW w:w="1390" w:type="dxa"/>
            <w:vAlign w:val="center"/>
          </w:tcPr>
          <w:p w14:paraId="409FA912" w14:textId="77777777" w:rsidR="004E6452" w:rsidRPr="001570EA" w:rsidRDefault="004E6452">
            <w:pPr>
              <w:jc w:val="center"/>
              <w:rPr>
                <w:rFonts w:cs="Arial"/>
                <w:color w:val="000000"/>
                <w:sz w:val="18"/>
                <w:szCs w:val="18"/>
              </w:rPr>
            </w:pPr>
            <w:r w:rsidRPr="001570EA">
              <w:rPr>
                <w:rFonts w:cs="Arial"/>
                <w:color w:val="000000"/>
                <w:sz w:val="18"/>
                <w:szCs w:val="18"/>
              </w:rPr>
              <w:t>0.0035</w:t>
            </w:r>
          </w:p>
        </w:tc>
      </w:tr>
      <w:tr w:rsidR="004E6452" w:rsidRPr="001570EA" w14:paraId="56E0F16C" w14:textId="77777777">
        <w:trPr>
          <w:trHeight w:hRule="exact" w:val="487"/>
        </w:trPr>
        <w:tc>
          <w:tcPr>
            <w:tcW w:w="1286" w:type="dxa"/>
            <w:vMerge/>
            <w:vAlign w:val="center"/>
          </w:tcPr>
          <w:p w14:paraId="74F44D86" w14:textId="77777777" w:rsidR="004E6452" w:rsidRPr="001570EA" w:rsidRDefault="004E6452">
            <w:pPr>
              <w:jc w:val="center"/>
              <w:rPr>
                <w:rFonts w:cs="Arial"/>
                <w:color w:val="000000"/>
                <w:sz w:val="18"/>
                <w:szCs w:val="18"/>
              </w:rPr>
            </w:pPr>
          </w:p>
        </w:tc>
        <w:tc>
          <w:tcPr>
            <w:tcW w:w="2926" w:type="dxa"/>
            <w:vAlign w:val="center"/>
          </w:tcPr>
          <w:p w14:paraId="5B4F10BA" w14:textId="77777777" w:rsidR="004E6452" w:rsidRPr="001570EA" w:rsidDel="00AE679E" w:rsidRDefault="004E6452">
            <w:pPr>
              <w:jc w:val="center"/>
              <w:rPr>
                <w:rFonts w:cs="Arial"/>
                <w:color w:val="000000"/>
                <w:sz w:val="18"/>
                <w:szCs w:val="18"/>
              </w:rPr>
            </w:pPr>
            <w:r w:rsidRPr="001570EA">
              <w:rPr>
                <w:rFonts w:cs="Arial"/>
                <w:color w:val="000000"/>
                <w:sz w:val="18"/>
                <w:szCs w:val="18"/>
              </w:rPr>
              <w:t>Front-loading, &gt; 2.5 ft3</w:t>
            </w:r>
          </w:p>
        </w:tc>
        <w:tc>
          <w:tcPr>
            <w:tcW w:w="1255" w:type="dxa"/>
            <w:vAlign w:val="center"/>
          </w:tcPr>
          <w:p w14:paraId="0341A3F0" w14:textId="77777777" w:rsidR="004E6452" w:rsidRPr="001570EA" w:rsidDel="00AE679E" w:rsidRDefault="004E6452">
            <w:pPr>
              <w:jc w:val="center"/>
              <w:rPr>
                <w:rFonts w:cs="Arial"/>
                <w:color w:val="000000"/>
                <w:sz w:val="18"/>
                <w:szCs w:val="18"/>
              </w:rPr>
            </w:pPr>
            <w:r w:rsidRPr="001570EA">
              <w:rPr>
                <w:rFonts w:cs="Arial"/>
                <w:color w:val="000000"/>
                <w:sz w:val="18"/>
                <w:szCs w:val="18"/>
              </w:rPr>
              <w:t>144.0</w:t>
            </w:r>
          </w:p>
        </w:tc>
        <w:tc>
          <w:tcPr>
            <w:tcW w:w="1665" w:type="dxa"/>
            <w:vAlign w:val="center"/>
          </w:tcPr>
          <w:p w14:paraId="083AE50A" w14:textId="77777777" w:rsidR="004E6452" w:rsidRPr="001570EA" w:rsidDel="00AE679E" w:rsidRDefault="004E6452">
            <w:pPr>
              <w:jc w:val="center"/>
              <w:rPr>
                <w:rFonts w:cs="Arial"/>
                <w:color w:val="000000"/>
                <w:sz w:val="18"/>
                <w:szCs w:val="18"/>
              </w:rPr>
            </w:pPr>
            <w:r w:rsidRPr="001570EA">
              <w:rPr>
                <w:rFonts w:cs="Arial"/>
                <w:color w:val="000000"/>
                <w:sz w:val="18"/>
                <w:szCs w:val="18"/>
              </w:rPr>
              <w:t>0.0212</w:t>
            </w:r>
          </w:p>
        </w:tc>
        <w:tc>
          <w:tcPr>
            <w:tcW w:w="1390" w:type="dxa"/>
            <w:vAlign w:val="center"/>
          </w:tcPr>
          <w:p w14:paraId="5671629C" w14:textId="77777777" w:rsidR="004E6452" w:rsidRPr="001570EA" w:rsidRDefault="004E6452">
            <w:pPr>
              <w:jc w:val="center"/>
              <w:rPr>
                <w:rFonts w:cs="Arial"/>
                <w:color w:val="000000"/>
                <w:sz w:val="18"/>
                <w:szCs w:val="18"/>
              </w:rPr>
            </w:pPr>
            <w:r w:rsidRPr="001570EA">
              <w:rPr>
                <w:rFonts w:cs="Arial"/>
                <w:color w:val="000000"/>
                <w:sz w:val="18"/>
                <w:szCs w:val="18"/>
              </w:rPr>
              <w:t>0.0214</w:t>
            </w:r>
          </w:p>
        </w:tc>
      </w:tr>
    </w:tbl>
    <w:p w14:paraId="6371A4B0" w14:textId="77777777" w:rsidR="009A6CEF" w:rsidRDefault="009A6CE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2926"/>
        <w:gridCol w:w="1255"/>
        <w:gridCol w:w="1665"/>
        <w:gridCol w:w="1390"/>
      </w:tblGrid>
      <w:tr w:rsidR="004E6452" w:rsidRPr="001570EA" w14:paraId="6B44E36B" w14:textId="77777777">
        <w:trPr>
          <w:trHeight w:hRule="exact" w:val="325"/>
        </w:trPr>
        <w:tc>
          <w:tcPr>
            <w:tcW w:w="1286" w:type="dxa"/>
            <w:vMerge w:val="restart"/>
            <w:vAlign w:val="center"/>
          </w:tcPr>
          <w:p w14:paraId="0E9AA955" w14:textId="5004CE78" w:rsidR="004E6452" w:rsidRPr="001570EA" w:rsidRDefault="004E6452">
            <w:pPr>
              <w:jc w:val="center"/>
              <w:rPr>
                <w:rFonts w:cs="Arial"/>
                <w:color w:val="000000"/>
                <w:sz w:val="18"/>
                <w:szCs w:val="18"/>
              </w:rPr>
            </w:pPr>
            <w:r w:rsidRPr="001570EA">
              <w:rPr>
                <w:rFonts w:cs="Arial"/>
                <w:color w:val="000000"/>
                <w:sz w:val="18"/>
                <w:szCs w:val="18"/>
              </w:rPr>
              <w:t>Electric DHW/Gas Dryer</w:t>
            </w:r>
          </w:p>
        </w:tc>
        <w:tc>
          <w:tcPr>
            <w:tcW w:w="2926" w:type="dxa"/>
            <w:vAlign w:val="center"/>
          </w:tcPr>
          <w:p w14:paraId="5E5EE756" w14:textId="77777777" w:rsidR="004E6452" w:rsidRPr="001570EA" w:rsidDel="00AE679E" w:rsidRDefault="004E6452">
            <w:pPr>
              <w:jc w:val="center"/>
              <w:rPr>
                <w:rFonts w:cs="Arial"/>
                <w:color w:val="000000"/>
                <w:sz w:val="18"/>
                <w:szCs w:val="18"/>
              </w:rPr>
            </w:pPr>
            <w:r w:rsidRPr="001570EA">
              <w:rPr>
                <w:rFonts w:cs="Arial"/>
                <w:color w:val="000000"/>
                <w:sz w:val="18"/>
                <w:szCs w:val="18"/>
              </w:rPr>
              <w:t>Top-loading, &gt; 2.5 ft3</w:t>
            </w:r>
          </w:p>
        </w:tc>
        <w:tc>
          <w:tcPr>
            <w:tcW w:w="1255" w:type="dxa"/>
            <w:vAlign w:val="center"/>
          </w:tcPr>
          <w:p w14:paraId="79DDB6B0" w14:textId="77777777" w:rsidR="004E6452" w:rsidRPr="001570EA" w:rsidRDefault="004E6452">
            <w:pPr>
              <w:jc w:val="center"/>
              <w:rPr>
                <w:rFonts w:cs="Arial"/>
                <w:color w:val="000000"/>
                <w:sz w:val="18"/>
                <w:szCs w:val="18"/>
              </w:rPr>
            </w:pPr>
            <w:r w:rsidRPr="001570EA">
              <w:rPr>
                <w:rFonts w:cs="Arial"/>
                <w:color w:val="000000"/>
                <w:sz w:val="18"/>
                <w:szCs w:val="18"/>
              </w:rPr>
              <w:t>28.2</w:t>
            </w:r>
          </w:p>
        </w:tc>
        <w:tc>
          <w:tcPr>
            <w:tcW w:w="1665" w:type="dxa"/>
            <w:vAlign w:val="center"/>
          </w:tcPr>
          <w:p w14:paraId="49B68615" w14:textId="77777777" w:rsidR="004E6452" w:rsidRPr="001570EA" w:rsidRDefault="004E6452">
            <w:pPr>
              <w:jc w:val="center"/>
              <w:rPr>
                <w:rFonts w:cs="Arial"/>
                <w:color w:val="000000"/>
                <w:sz w:val="18"/>
                <w:szCs w:val="18"/>
              </w:rPr>
            </w:pPr>
            <w:r w:rsidRPr="001570EA">
              <w:rPr>
                <w:rFonts w:cs="Arial"/>
                <w:color w:val="000000"/>
                <w:sz w:val="18"/>
                <w:szCs w:val="18"/>
              </w:rPr>
              <w:t>0.0042</w:t>
            </w:r>
          </w:p>
        </w:tc>
        <w:tc>
          <w:tcPr>
            <w:tcW w:w="1390" w:type="dxa"/>
            <w:vAlign w:val="center"/>
          </w:tcPr>
          <w:p w14:paraId="7A42AF1D" w14:textId="77777777" w:rsidR="004E6452" w:rsidRPr="001570EA" w:rsidRDefault="004E6452">
            <w:pPr>
              <w:jc w:val="center"/>
              <w:rPr>
                <w:rFonts w:cs="Arial"/>
                <w:color w:val="000000"/>
                <w:sz w:val="18"/>
                <w:szCs w:val="18"/>
              </w:rPr>
            </w:pPr>
            <w:r w:rsidRPr="001570EA">
              <w:rPr>
                <w:rFonts w:cs="Arial"/>
                <w:color w:val="000000"/>
                <w:sz w:val="18"/>
                <w:szCs w:val="18"/>
              </w:rPr>
              <w:t>0.0042</w:t>
            </w:r>
          </w:p>
        </w:tc>
      </w:tr>
      <w:tr w:rsidR="004E6452" w:rsidRPr="001570EA" w14:paraId="62EA2F6D" w14:textId="77777777">
        <w:trPr>
          <w:trHeight w:hRule="exact" w:val="487"/>
        </w:trPr>
        <w:tc>
          <w:tcPr>
            <w:tcW w:w="1286" w:type="dxa"/>
            <w:vMerge/>
            <w:vAlign w:val="center"/>
          </w:tcPr>
          <w:p w14:paraId="4CD571B0" w14:textId="77777777" w:rsidR="004E6452" w:rsidRPr="001570EA" w:rsidRDefault="004E6452">
            <w:pPr>
              <w:jc w:val="center"/>
              <w:rPr>
                <w:rFonts w:cs="Arial"/>
                <w:color w:val="000000"/>
                <w:sz w:val="18"/>
                <w:szCs w:val="18"/>
              </w:rPr>
            </w:pPr>
          </w:p>
        </w:tc>
        <w:tc>
          <w:tcPr>
            <w:tcW w:w="2926" w:type="dxa"/>
            <w:vAlign w:val="center"/>
          </w:tcPr>
          <w:p w14:paraId="3377437B" w14:textId="77777777" w:rsidR="004E6452" w:rsidRPr="001570EA" w:rsidRDefault="004E6452">
            <w:pPr>
              <w:jc w:val="center"/>
              <w:rPr>
                <w:rFonts w:cs="Arial"/>
                <w:color w:val="000000"/>
                <w:sz w:val="18"/>
                <w:szCs w:val="18"/>
              </w:rPr>
            </w:pPr>
            <w:r w:rsidRPr="001570EA">
              <w:rPr>
                <w:rFonts w:cs="Arial"/>
                <w:color w:val="000000"/>
                <w:sz w:val="18"/>
                <w:szCs w:val="18"/>
              </w:rPr>
              <w:t>Front-loading, 1.6 ft3 ≤ 2.5 ft3</w:t>
            </w:r>
          </w:p>
        </w:tc>
        <w:tc>
          <w:tcPr>
            <w:tcW w:w="1255" w:type="dxa"/>
            <w:vAlign w:val="center"/>
          </w:tcPr>
          <w:p w14:paraId="016497A9" w14:textId="77777777" w:rsidR="004E6452" w:rsidRPr="001570EA" w:rsidRDefault="004E6452">
            <w:pPr>
              <w:jc w:val="center"/>
              <w:rPr>
                <w:rFonts w:cs="Arial"/>
                <w:color w:val="000000"/>
                <w:sz w:val="18"/>
                <w:szCs w:val="18"/>
              </w:rPr>
            </w:pPr>
            <w:r w:rsidRPr="001570EA">
              <w:rPr>
                <w:rFonts w:cs="Arial"/>
                <w:color w:val="000000"/>
                <w:sz w:val="18"/>
                <w:szCs w:val="18"/>
              </w:rPr>
              <w:t>5.6</w:t>
            </w:r>
          </w:p>
        </w:tc>
        <w:tc>
          <w:tcPr>
            <w:tcW w:w="1665" w:type="dxa"/>
            <w:vAlign w:val="center"/>
          </w:tcPr>
          <w:p w14:paraId="0B1AD6EF" w14:textId="77777777" w:rsidR="004E6452" w:rsidRPr="001570EA" w:rsidRDefault="004E6452">
            <w:pPr>
              <w:jc w:val="center"/>
              <w:rPr>
                <w:rFonts w:cs="Arial"/>
                <w:color w:val="000000"/>
                <w:sz w:val="18"/>
                <w:szCs w:val="18"/>
              </w:rPr>
            </w:pPr>
            <w:r w:rsidRPr="001570EA">
              <w:rPr>
                <w:rFonts w:cs="Arial"/>
                <w:color w:val="000000"/>
                <w:sz w:val="18"/>
                <w:szCs w:val="18"/>
              </w:rPr>
              <w:t>0.0008</w:t>
            </w:r>
          </w:p>
        </w:tc>
        <w:tc>
          <w:tcPr>
            <w:tcW w:w="1390" w:type="dxa"/>
            <w:vAlign w:val="center"/>
          </w:tcPr>
          <w:p w14:paraId="1FB44C92" w14:textId="77777777" w:rsidR="004E6452" w:rsidRPr="001570EA" w:rsidRDefault="004E6452">
            <w:pPr>
              <w:jc w:val="center"/>
              <w:rPr>
                <w:rFonts w:cs="Arial"/>
                <w:color w:val="000000"/>
                <w:sz w:val="18"/>
                <w:szCs w:val="18"/>
              </w:rPr>
            </w:pPr>
            <w:r w:rsidRPr="001570EA">
              <w:rPr>
                <w:rFonts w:cs="Arial"/>
                <w:color w:val="000000"/>
                <w:sz w:val="18"/>
                <w:szCs w:val="18"/>
              </w:rPr>
              <w:t>0.0008</w:t>
            </w:r>
          </w:p>
        </w:tc>
      </w:tr>
      <w:tr w:rsidR="004E6452" w:rsidRPr="001570EA" w14:paraId="72FD00F8" w14:textId="77777777">
        <w:trPr>
          <w:trHeight w:hRule="exact" w:val="487"/>
        </w:trPr>
        <w:tc>
          <w:tcPr>
            <w:tcW w:w="1286" w:type="dxa"/>
            <w:vMerge/>
            <w:vAlign w:val="center"/>
          </w:tcPr>
          <w:p w14:paraId="4D2A5B80" w14:textId="77777777" w:rsidR="004E6452" w:rsidRPr="001570EA" w:rsidRDefault="004E6452">
            <w:pPr>
              <w:jc w:val="center"/>
              <w:rPr>
                <w:rFonts w:cs="Arial"/>
                <w:color w:val="000000"/>
                <w:sz w:val="18"/>
                <w:szCs w:val="18"/>
              </w:rPr>
            </w:pPr>
          </w:p>
        </w:tc>
        <w:tc>
          <w:tcPr>
            <w:tcW w:w="2926" w:type="dxa"/>
            <w:vAlign w:val="center"/>
          </w:tcPr>
          <w:p w14:paraId="6D05190F" w14:textId="77777777" w:rsidR="004E6452" w:rsidRPr="001570EA" w:rsidDel="00AE679E" w:rsidRDefault="004E6452">
            <w:pPr>
              <w:jc w:val="center"/>
              <w:rPr>
                <w:rFonts w:cs="Arial"/>
                <w:color w:val="000000"/>
                <w:sz w:val="18"/>
                <w:szCs w:val="18"/>
              </w:rPr>
            </w:pPr>
            <w:r w:rsidRPr="001570EA">
              <w:rPr>
                <w:rFonts w:cs="Arial"/>
                <w:color w:val="000000"/>
                <w:sz w:val="18"/>
                <w:szCs w:val="18"/>
              </w:rPr>
              <w:t>Front-loading, &gt; 2.5 ft3</w:t>
            </w:r>
          </w:p>
        </w:tc>
        <w:tc>
          <w:tcPr>
            <w:tcW w:w="1255" w:type="dxa"/>
            <w:vAlign w:val="center"/>
          </w:tcPr>
          <w:p w14:paraId="779F534D" w14:textId="77777777" w:rsidR="004E6452" w:rsidRPr="001570EA" w:rsidDel="00AE679E" w:rsidRDefault="004E6452">
            <w:pPr>
              <w:jc w:val="center"/>
              <w:rPr>
                <w:rFonts w:cs="Arial"/>
                <w:color w:val="000000"/>
                <w:sz w:val="18"/>
                <w:szCs w:val="18"/>
              </w:rPr>
            </w:pPr>
            <w:r w:rsidRPr="001570EA">
              <w:rPr>
                <w:rFonts w:cs="Arial"/>
                <w:color w:val="000000"/>
                <w:sz w:val="18"/>
                <w:szCs w:val="18"/>
              </w:rPr>
              <w:t>29.3</w:t>
            </w:r>
          </w:p>
        </w:tc>
        <w:tc>
          <w:tcPr>
            <w:tcW w:w="1665" w:type="dxa"/>
            <w:vAlign w:val="center"/>
          </w:tcPr>
          <w:p w14:paraId="364B9EBE" w14:textId="77777777" w:rsidR="004E6452" w:rsidRPr="001570EA" w:rsidDel="00AE679E" w:rsidRDefault="004E6452">
            <w:pPr>
              <w:jc w:val="center"/>
              <w:rPr>
                <w:rFonts w:cs="Arial"/>
                <w:color w:val="000000"/>
                <w:sz w:val="18"/>
                <w:szCs w:val="18"/>
              </w:rPr>
            </w:pPr>
            <w:r w:rsidRPr="001570EA">
              <w:rPr>
                <w:rFonts w:cs="Arial"/>
                <w:color w:val="000000"/>
                <w:sz w:val="18"/>
                <w:szCs w:val="18"/>
              </w:rPr>
              <w:t>0.0043</w:t>
            </w:r>
          </w:p>
        </w:tc>
        <w:tc>
          <w:tcPr>
            <w:tcW w:w="1390" w:type="dxa"/>
            <w:vAlign w:val="center"/>
          </w:tcPr>
          <w:p w14:paraId="0E15BCE9" w14:textId="77777777" w:rsidR="004E6452" w:rsidRPr="001570EA" w:rsidRDefault="004E6452">
            <w:pPr>
              <w:jc w:val="center"/>
              <w:rPr>
                <w:rFonts w:cs="Arial"/>
                <w:color w:val="000000"/>
                <w:sz w:val="18"/>
                <w:szCs w:val="18"/>
              </w:rPr>
            </w:pPr>
            <w:r w:rsidRPr="001570EA">
              <w:rPr>
                <w:rFonts w:cs="Arial"/>
                <w:color w:val="000000"/>
                <w:sz w:val="18"/>
                <w:szCs w:val="18"/>
              </w:rPr>
              <w:t>0.0044</w:t>
            </w:r>
          </w:p>
        </w:tc>
      </w:tr>
      <w:tr w:rsidR="004E6452" w:rsidRPr="001570EA" w14:paraId="6A393A22" w14:textId="77777777">
        <w:trPr>
          <w:trHeight w:hRule="exact" w:val="370"/>
        </w:trPr>
        <w:tc>
          <w:tcPr>
            <w:tcW w:w="1286" w:type="dxa"/>
            <w:vMerge w:val="restart"/>
            <w:vAlign w:val="center"/>
          </w:tcPr>
          <w:p w14:paraId="6F1B317D" w14:textId="77777777" w:rsidR="004E6452" w:rsidRPr="001570EA" w:rsidRDefault="004E6452">
            <w:pPr>
              <w:jc w:val="center"/>
              <w:rPr>
                <w:rFonts w:cs="Arial"/>
                <w:color w:val="000000"/>
                <w:sz w:val="18"/>
                <w:szCs w:val="18"/>
              </w:rPr>
            </w:pPr>
            <w:r w:rsidRPr="001570EA">
              <w:rPr>
                <w:rFonts w:cs="Arial"/>
                <w:color w:val="000000"/>
                <w:sz w:val="18"/>
                <w:szCs w:val="18"/>
              </w:rPr>
              <w:t>Gas DHW/Electric Dryer</w:t>
            </w:r>
          </w:p>
        </w:tc>
        <w:tc>
          <w:tcPr>
            <w:tcW w:w="2926" w:type="dxa"/>
            <w:vAlign w:val="center"/>
          </w:tcPr>
          <w:p w14:paraId="01466AF2" w14:textId="77777777" w:rsidR="004E6452" w:rsidRPr="001570EA" w:rsidDel="00AE679E" w:rsidRDefault="004E6452">
            <w:pPr>
              <w:jc w:val="center"/>
              <w:rPr>
                <w:rFonts w:cs="Arial"/>
                <w:color w:val="000000"/>
                <w:sz w:val="18"/>
                <w:szCs w:val="18"/>
              </w:rPr>
            </w:pPr>
            <w:r w:rsidRPr="001570EA">
              <w:rPr>
                <w:rFonts w:cs="Arial"/>
                <w:color w:val="000000"/>
                <w:sz w:val="18"/>
                <w:szCs w:val="18"/>
              </w:rPr>
              <w:t>Top-loading, &gt; 2.5 ft3</w:t>
            </w:r>
          </w:p>
        </w:tc>
        <w:tc>
          <w:tcPr>
            <w:tcW w:w="1255" w:type="dxa"/>
            <w:vAlign w:val="center"/>
          </w:tcPr>
          <w:p w14:paraId="05817400" w14:textId="77777777" w:rsidR="004E6452" w:rsidRPr="001570EA" w:rsidRDefault="004E6452">
            <w:pPr>
              <w:jc w:val="center"/>
              <w:rPr>
                <w:rFonts w:cs="Arial"/>
                <w:color w:val="000000"/>
                <w:sz w:val="18"/>
                <w:szCs w:val="18"/>
              </w:rPr>
            </w:pPr>
            <w:r w:rsidRPr="001570EA">
              <w:rPr>
                <w:rFonts w:cs="Arial"/>
                <w:color w:val="000000"/>
                <w:sz w:val="18"/>
                <w:szCs w:val="18"/>
              </w:rPr>
              <w:t>119.2</w:t>
            </w:r>
          </w:p>
        </w:tc>
        <w:tc>
          <w:tcPr>
            <w:tcW w:w="1665" w:type="dxa"/>
            <w:vAlign w:val="center"/>
          </w:tcPr>
          <w:p w14:paraId="524BCC50" w14:textId="77777777" w:rsidR="004E6452" w:rsidRPr="001570EA" w:rsidRDefault="004E6452">
            <w:pPr>
              <w:jc w:val="center"/>
              <w:rPr>
                <w:rFonts w:cs="Arial"/>
                <w:color w:val="000000"/>
                <w:sz w:val="18"/>
                <w:szCs w:val="18"/>
              </w:rPr>
            </w:pPr>
            <w:r w:rsidRPr="001570EA">
              <w:rPr>
                <w:rFonts w:cs="Arial"/>
                <w:color w:val="000000"/>
                <w:sz w:val="18"/>
                <w:szCs w:val="18"/>
              </w:rPr>
              <w:t>0.0176</w:t>
            </w:r>
          </w:p>
        </w:tc>
        <w:tc>
          <w:tcPr>
            <w:tcW w:w="1390" w:type="dxa"/>
            <w:vAlign w:val="center"/>
          </w:tcPr>
          <w:p w14:paraId="40E9F3C2" w14:textId="77777777" w:rsidR="004E6452" w:rsidRPr="001570EA" w:rsidRDefault="004E6452">
            <w:pPr>
              <w:jc w:val="center"/>
              <w:rPr>
                <w:rFonts w:cs="Arial"/>
                <w:color w:val="000000"/>
                <w:sz w:val="18"/>
                <w:szCs w:val="18"/>
              </w:rPr>
            </w:pPr>
            <w:r w:rsidRPr="001570EA">
              <w:rPr>
                <w:rFonts w:cs="Arial"/>
                <w:color w:val="000000"/>
                <w:sz w:val="18"/>
                <w:szCs w:val="18"/>
              </w:rPr>
              <w:t>0.0178</w:t>
            </w:r>
          </w:p>
        </w:tc>
      </w:tr>
      <w:tr w:rsidR="004E6452" w:rsidRPr="001570EA" w14:paraId="7A902935" w14:textId="77777777">
        <w:trPr>
          <w:trHeight w:hRule="exact" w:val="541"/>
        </w:trPr>
        <w:tc>
          <w:tcPr>
            <w:tcW w:w="1286" w:type="dxa"/>
            <w:vMerge/>
            <w:vAlign w:val="center"/>
          </w:tcPr>
          <w:p w14:paraId="30781055" w14:textId="77777777" w:rsidR="004E6452" w:rsidRPr="001570EA" w:rsidRDefault="004E6452">
            <w:pPr>
              <w:jc w:val="center"/>
              <w:rPr>
                <w:rFonts w:cs="Arial"/>
                <w:color w:val="000000"/>
                <w:sz w:val="18"/>
                <w:szCs w:val="18"/>
              </w:rPr>
            </w:pPr>
          </w:p>
        </w:tc>
        <w:tc>
          <w:tcPr>
            <w:tcW w:w="2926" w:type="dxa"/>
            <w:vAlign w:val="center"/>
          </w:tcPr>
          <w:p w14:paraId="09174887" w14:textId="77777777" w:rsidR="004E6452" w:rsidRPr="001570EA" w:rsidRDefault="004E6452">
            <w:pPr>
              <w:jc w:val="center"/>
              <w:rPr>
                <w:rFonts w:cs="Arial"/>
                <w:color w:val="000000"/>
                <w:sz w:val="18"/>
                <w:szCs w:val="18"/>
              </w:rPr>
            </w:pPr>
            <w:r w:rsidRPr="001570EA">
              <w:rPr>
                <w:rFonts w:cs="Arial"/>
                <w:color w:val="000000"/>
                <w:sz w:val="18"/>
                <w:szCs w:val="18"/>
              </w:rPr>
              <w:t>Front-loading, 1.6 ft3 ≤ 2.5 ft3</w:t>
            </w:r>
          </w:p>
        </w:tc>
        <w:tc>
          <w:tcPr>
            <w:tcW w:w="1255" w:type="dxa"/>
            <w:vAlign w:val="center"/>
          </w:tcPr>
          <w:p w14:paraId="5D4606A2" w14:textId="77777777" w:rsidR="004E6452" w:rsidRPr="001570EA" w:rsidRDefault="004E6452">
            <w:pPr>
              <w:jc w:val="center"/>
              <w:rPr>
                <w:rFonts w:cs="Arial"/>
                <w:color w:val="000000"/>
                <w:sz w:val="18"/>
                <w:szCs w:val="18"/>
              </w:rPr>
            </w:pPr>
            <w:r w:rsidRPr="001570EA">
              <w:rPr>
                <w:rFonts w:cs="Arial"/>
                <w:color w:val="000000"/>
                <w:sz w:val="18"/>
                <w:szCs w:val="18"/>
              </w:rPr>
              <w:t>20.9</w:t>
            </w:r>
          </w:p>
        </w:tc>
        <w:tc>
          <w:tcPr>
            <w:tcW w:w="1665" w:type="dxa"/>
            <w:vAlign w:val="center"/>
          </w:tcPr>
          <w:p w14:paraId="62795967" w14:textId="77777777" w:rsidR="004E6452" w:rsidRPr="001570EA" w:rsidRDefault="004E6452">
            <w:pPr>
              <w:jc w:val="center"/>
              <w:rPr>
                <w:rFonts w:cs="Arial"/>
                <w:color w:val="000000"/>
                <w:sz w:val="18"/>
                <w:szCs w:val="18"/>
              </w:rPr>
            </w:pPr>
            <w:r w:rsidRPr="001570EA">
              <w:rPr>
                <w:rFonts w:cs="Arial"/>
                <w:color w:val="000000"/>
                <w:sz w:val="18"/>
                <w:szCs w:val="18"/>
              </w:rPr>
              <w:t>0.0031</w:t>
            </w:r>
          </w:p>
        </w:tc>
        <w:tc>
          <w:tcPr>
            <w:tcW w:w="1390" w:type="dxa"/>
            <w:vAlign w:val="center"/>
          </w:tcPr>
          <w:p w14:paraId="6467BB7A" w14:textId="77777777" w:rsidR="004E6452" w:rsidRPr="001570EA" w:rsidRDefault="004E6452">
            <w:pPr>
              <w:jc w:val="center"/>
              <w:rPr>
                <w:rFonts w:cs="Arial"/>
                <w:color w:val="000000"/>
                <w:sz w:val="18"/>
                <w:szCs w:val="18"/>
              </w:rPr>
            </w:pPr>
            <w:r w:rsidRPr="001570EA">
              <w:rPr>
                <w:rFonts w:cs="Arial"/>
                <w:color w:val="000000"/>
                <w:sz w:val="18"/>
                <w:szCs w:val="18"/>
              </w:rPr>
              <w:t>0.0031</w:t>
            </w:r>
          </w:p>
        </w:tc>
      </w:tr>
      <w:tr w:rsidR="004E6452" w:rsidRPr="001570EA" w14:paraId="23CBAE26" w14:textId="77777777">
        <w:trPr>
          <w:trHeight w:hRule="exact" w:val="541"/>
        </w:trPr>
        <w:tc>
          <w:tcPr>
            <w:tcW w:w="1286" w:type="dxa"/>
            <w:vMerge/>
            <w:vAlign w:val="center"/>
          </w:tcPr>
          <w:p w14:paraId="0789DA0E" w14:textId="77777777" w:rsidR="004E6452" w:rsidRPr="001570EA" w:rsidRDefault="004E6452">
            <w:pPr>
              <w:jc w:val="center"/>
              <w:rPr>
                <w:rFonts w:cs="Arial"/>
                <w:color w:val="000000"/>
                <w:sz w:val="18"/>
                <w:szCs w:val="18"/>
              </w:rPr>
            </w:pPr>
          </w:p>
        </w:tc>
        <w:tc>
          <w:tcPr>
            <w:tcW w:w="2926" w:type="dxa"/>
            <w:vAlign w:val="center"/>
          </w:tcPr>
          <w:p w14:paraId="4E7F120B" w14:textId="77777777" w:rsidR="004E6452" w:rsidRPr="001570EA" w:rsidDel="00AE679E" w:rsidRDefault="004E6452">
            <w:pPr>
              <w:jc w:val="center"/>
              <w:rPr>
                <w:rFonts w:cs="Arial"/>
                <w:color w:val="000000"/>
                <w:sz w:val="18"/>
                <w:szCs w:val="18"/>
              </w:rPr>
            </w:pPr>
            <w:r w:rsidRPr="001570EA">
              <w:rPr>
                <w:rFonts w:cs="Arial"/>
                <w:color w:val="000000"/>
                <w:sz w:val="18"/>
                <w:szCs w:val="18"/>
              </w:rPr>
              <w:t>Front-loading, &gt; 2.5 ft3</w:t>
            </w:r>
          </w:p>
        </w:tc>
        <w:tc>
          <w:tcPr>
            <w:tcW w:w="1255" w:type="dxa"/>
            <w:vAlign w:val="center"/>
          </w:tcPr>
          <w:p w14:paraId="7BE40A5B" w14:textId="77777777" w:rsidR="004E6452" w:rsidRPr="001570EA" w:rsidDel="00AE679E" w:rsidRDefault="004E6452">
            <w:pPr>
              <w:jc w:val="center"/>
              <w:rPr>
                <w:rFonts w:cs="Arial"/>
                <w:color w:val="000000"/>
                <w:sz w:val="18"/>
                <w:szCs w:val="18"/>
              </w:rPr>
            </w:pPr>
            <w:r w:rsidRPr="001570EA">
              <w:rPr>
                <w:rFonts w:cs="Arial"/>
                <w:color w:val="000000"/>
                <w:sz w:val="18"/>
                <w:szCs w:val="18"/>
              </w:rPr>
              <w:t>128.3</w:t>
            </w:r>
          </w:p>
        </w:tc>
        <w:tc>
          <w:tcPr>
            <w:tcW w:w="1665" w:type="dxa"/>
            <w:vAlign w:val="center"/>
          </w:tcPr>
          <w:p w14:paraId="766E4781" w14:textId="77777777" w:rsidR="004E6452" w:rsidRPr="001570EA" w:rsidDel="00AE679E" w:rsidRDefault="004E6452">
            <w:pPr>
              <w:jc w:val="center"/>
              <w:rPr>
                <w:rFonts w:cs="Arial"/>
                <w:color w:val="000000"/>
                <w:sz w:val="18"/>
                <w:szCs w:val="18"/>
              </w:rPr>
            </w:pPr>
            <w:r w:rsidRPr="001570EA">
              <w:rPr>
                <w:rFonts w:cs="Arial"/>
                <w:color w:val="000000"/>
                <w:sz w:val="18"/>
                <w:szCs w:val="18"/>
              </w:rPr>
              <w:t>0.0189</w:t>
            </w:r>
          </w:p>
        </w:tc>
        <w:tc>
          <w:tcPr>
            <w:tcW w:w="1390" w:type="dxa"/>
            <w:vAlign w:val="center"/>
          </w:tcPr>
          <w:p w14:paraId="7FBA2934" w14:textId="77777777" w:rsidR="004E6452" w:rsidRPr="001570EA" w:rsidRDefault="004E6452">
            <w:pPr>
              <w:jc w:val="center"/>
              <w:rPr>
                <w:rFonts w:cs="Arial"/>
                <w:color w:val="000000"/>
                <w:sz w:val="18"/>
                <w:szCs w:val="18"/>
              </w:rPr>
            </w:pPr>
            <w:r w:rsidRPr="001570EA">
              <w:rPr>
                <w:rFonts w:cs="Arial"/>
                <w:color w:val="000000"/>
                <w:sz w:val="18"/>
                <w:szCs w:val="18"/>
              </w:rPr>
              <w:t>0.0191</w:t>
            </w:r>
          </w:p>
        </w:tc>
      </w:tr>
      <w:tr w:rsidR="004E6452" w:rsidRPr="001570EA" w14:paraId="7CD3E384" w14:textId="77777777">
        <w:trPr>
          <w:trHeight w:hRule="exact" w:val="352"/>
        </w:trPr>
        <w:tc>
          <w:tcPr>
            <w:tcW w:w="1286" w:type="dxa"/>
            <w:vMerge w:val="restart"/>
            <w:vAlign w:val="center"/>
          </w:tcPr>
          <w:p w14:paraId="57E49DD4" w14:textId="77777777" w:rsidR="004E6452" w:rsidRPr="001570EA" w:rsidRDefault="004E6452">
            <w:pPr>
              <w:jc w:val="center"/>
              <w:rPr>
                <w:rFonts w:cs="Arial"/>
                <w:color w:val="000000"/>
                <w:sz w:val="18"/>
                <w:szCs w:val="18"/>
              </w:rPr>
            </w:pPr>
            <w:r w:rsidRPr="001570EA">
              <w:rPr>
                <w:rFonts w:cs="Arial"/>
                <w:color w:val="000000"/>
                <w:sz w:val="18"/>
                <w:szCs w:val="18"/>
              </w:rPr>
              <w:t>Gas DHW/Gas Dryer</w:t>
            </w:r>
          </w:p>
        </w:tc>
        <w:tc>
          <w:tcPr>
            <w:tcW w:w="2926" w:type="dxa"/>
            <w:vAlign w:val="center"/>
          </w:tcPr>
          <w:p w14:paraId="7887A66E" w14:textId="77777777" w:rsidR="004E6452" w:rsidRPr="001570EA" w:rsidDel="00AE679E" w:rsidRDefault="004E6452">
            <w:pPr>
              <w:jc w:val="center"/>
              <w:rPr>
                <w:rFonts w:cs="Arial"/>
                <w:color w:val="000000"/>
                <w:sz w:val="18"/>
                <w:szCs w:val="18"/>
              </w:rPr>
            </w:pPr>
            <w:r w:rsidRPr="001570EA">
              <w:rPr>
                <w:rFonts w:cs="Arial"/>
                <w:color w:val="000000"/>
                <w:sz w:val="18"/>
                <w:szCs w:val="18"/>
              </w:rPr>
              <w:t>Top-loading, &gt; 2.5 ft3</w:t>
            </w:r>
          </w:p>
        </w:tc>
        <w:tc>
          <w:tcPr>
            <w:tcW w:w="1255" w:type="dxa"/>
            <w:vAlign w:val="center"/>
          </w:tcPr>
          <w:p w14:paraId="0708B0B1" w14:textId="77777777" w:rsidR="004E6452" w:rsidRPr="001570EA" w:rsidRDefault="004E6452">
            <w:pPr>
              <w:jc w:val="center"/>
              <w:rPr>
                <w:rFonts w:cs="Arial"/>
                <w:color w:val="000000"/>
                <w:sz w:val="18"/>
                <w:szCs w:val="18"/>
              </w:rPr>
            </w:pPr>
            <w:r w:rsidRPr="001570EA">
              <w:rPr>
                <w:rFonts w:cs="Arial"/>
                <w:color w:val="000000"/>
                <w:sz w:val="18"/>
                <w:szCs w:val="18"/>
              </w:rPr>
              <w:t>13.6</w:t>
            </w:r>
          </w:p>
        </w:tc>
        <w:tc>
          <w:tcPr>
            <w:tcW w:w="1665" w:type="dxa"/>
            <w:vAlign w:val="center"/>
          </w:tcPr>
          <w:p w14:paraId="736F2AF9" w14:textId="77777777" w:rsidR="004E6452" w:rsidRPr="001570EA" w:rsidRDefault="004E6452">
            <w:pPr>
              <w:jc w:val="center"/>
              <w:rPr>
                <w:rFonts w:cs="Arial"/>
                <w:color w:val="000000"/>
                <w:sz w:val="18"/>
                <w:szCs w:val="18"/>
              </w:rPr>
            </w:pPr>
            <w:r w:rsidRPr="001570EA">
              <w:rPr>
                <w:rFonts w:cs="Arial"/>
                <w:color w:val="000000"/>
                <w:sz w:val="18"/>
                <w:szCs w:val="18"/>
              </w:rPr>
              <w:t>0.0020</w:t>
            </w:r>
          </w:p>
        </w:tc>
        <w:tc>
          <w:tcPr>
            <w:tcW w:w="1390" w:type="dxa"/>
            <w:vAlign w:val="center"/>
          </w:tcPr>
          <w:p w14:paraId="0AD086E6" w14:textId="77777777" w:rsidR="004E6452" w:rsidRPr="001570EA" w:rsidRDefault="004E6452">
            <w:pPr>
              <w:jc w:val="center"/>
              <w:rPr>
                <w:rFonts w:cs="Arial"/>
                <w:color w:val="000000"/>
                <w:sz w:val="18"/>
                <w:szCs w:val="18"/>
              </w:rPr>
            </w:pPr>
            <w:r w:rsidRPr="001570EA">
              <w:rPr>
                <w:rFonts w:cs="Arial"/>
                <w:color w:val="000000"/>
                <w:sz w:val="18"/>
                <w:szCs w:val="18"/>
              </w:rPr>
              <w:t>0.0020</w:t>
            </w:r>
          </w:p>
        </w:tc>
      </w:tr>
      <w:tr w:rsidR="004E6452" w:rsidRPr="001570EA" w14:paraId="7A9C7E63" w14:textId="77777777">
        <w:trPr>
          <w:trHeight w:hRule="exact" w:val="460"/>
        </w:trPr>
        <w:tc>
          <w:tcPr>
            <w:tcW w:w="1286" w:type="dxa"/>
            <w:vMerge/>
            <w:vAlign w:val="center"/>
          </w:tcPr>
          <w:p w14:paraId="67CC4778" w14:textId="77777777" w:rsidR="004E6452" w:rsidRPr="001570EA" w:rsidRDefault="004E6452">
            <w:pPr>
              <w:jc w:val="center"/>
              <w:rPr>
                <w:rFonts w:cs="Arial"/>
                <w:color w:val="000000"/>
                <w:sz w:val="18"/>
                <w:szCs w:val="18"/>
              </w:rPr>
            </w:pPr>
          </w:p>
        </w:tc>
        <w:tc>
          <w:tcPr>
            <w:tcW w:w="2926" w:type="dxa"/>
            <w:vAlign w:val="center"/>
          </w:tcPr>
          <w:p w14:paraId="22DEC500" w14:textId="77777777" w:rsidR="004E6452" w:rsidRPr="001570EA" w:rsidRDefault="004E6452">
            <w:pPr>
              <w:jc w:val="center"/>
              <w:rPr>
                <w:rFonts w:cs="Arial"/>
                <w:color w:val="000000"/>
                <w:sz w:val="18"/>
                <w:szCs w:val="18"/>
              </w:rPr>
            </w:pPr>
            <w:r w:rsidRPr="001570EA">
              <w:rPr>
                <w:rFonts w:cs="Arial"/>
                <w:color w:val="000000"/>
                <w:sz w:val="18"/>
                <w:szCs w:val="18"/>
              </w:rPr>
              <w:t>Front-loading, 1.6 ft3 ≤ 2.5 ft3</w:t>
            </w:r>
          </w:p>
        </w:tc>
        <w:tc>
          <w:tcPr>
            <w:tcW w:w="1255" w:type="dxa"/>
            <w:vAlign w:val="center"/>
          </w:tcPr>
          <w:p w14:paraId="573854E2" w14:textId="77777777" w:rsidR="004E6452" w:rsidRPr="001570EA" w:rsidRDefault="004E6452">
            <w:pPr>
              <w:jc w:val="center"/>
              <w:rPr>
                <w:rFonts w:cs="Arial"/>
                <w:color w:val="000000"/>
                <w:sz w:val="18"/>
                <w:szCs w:val="18"/>
              </w:rPr>
            </w:pPr>
            <w:r w:rsidRPr="001570EA">
              <w:rPr>
                <w:rFonts w:cs="Arial"/>
                <w:color w:val="000000"/>
                <w:sz w:val="18"/>
                <w:szCs w:val="18"/>
              </w:rPr>
              <w:t>3.1</w:t>
            </w:r>
          </w:p>
        </w:tc>
        <w:tc>
          <w:tcPr>
            <w:tcW w:w="1665" w:type="dxa"/>
            <w:vAlign w:val="center"/>
          </w:tcPr>
          <w:p w14:paraId="271D51AC" w14:textId="77777777" w:rsidR="004E6452" w:rsidRPr="001570EA" w:rsidRDefault="004E6452">
            <w:pPr>
              <w:jc w:val="center"/>
              <w:rPr>
                <w:rFonts w:cs="Arial"/>
                <w:color w:val="000000"/>
                <w:sz w:val="18"/>
                <w:szCs w:val="18"/>
              </w:rPr>
            </w:pPr>
            <w:r w:rsidRPr="001570EA">
              <w:rPr>
                <w:rFonts w:cs="Arial"/>
                <w:color w:val="000000"/>
                <w:sz w:val="18"/>
                <w:szCs w:val="18"/>
              </w:rPr>
              <w:t>0.0005</w:t>
            </w:r>
          </w:p>
        </w:tc>
        <w:tc>
          <w:tcPr>
            <w:tcW w:w="1390" w:type="dxa"/>
            <w:vAlign w:val="center"/>
          </w:tcPr>
          <w:p w14:paraId="2AD2F8B8" w14:textId="77777777" w:rsidR="004E6452" w:rsidRPr="001570EA" w:rsidRDefault="004E6452">
            <w:pPr>
              <w:jc w:val="center"/>
              <w:rPr>
                <w:rFonts w:cs="Arial"/>
                <w:color w:val="000000"/>
                <w:sz w:val="18"/>
                <w:szCs w:val="18"/>
              </w:rPr>
            </w:pPr>
            <w:r w:rsidRPr="001570EA">
              <w:rPr>
                <w:rFonts w:cs="Arial"/>
                <w:color w:val="000000"/>
                <w:sz w:val="18"/>
                <w:szCs w:val="18"/>
              </w:rPr>
              <w:t>0.0005</w:t>
            </w:r>
          </w:p>
        </w:tc>
      </w:tr>
      <w:tr w:rsidR="004E6452" w:rsidRPr="001570EA" w14:paraId="5E4AAEF8" w14:textId="77777777">
        <w:trPr>
          <w:trHeight w:hRule="exact" w:val="460"/>
        </w:trPr>
        <w:tc>
          <w:tcPr>
            <w:tcW w:w="1286" w:type="dxa"/>
            <w:vMerge/>
            <w:vAlign w:val="center"/>
          </w:tcPr>
          <w:p w14:paraId="60A98A1C" w14:textId="77777777" w:rsidR="004E6452" w:rsidRPr="001570EA" w:rsidRDefault="004E6452">
            <w:pPr>
              <w:jc w:val="center"/>
              <w:rPr>
                <w:rFonts w:cs="Arial"/>
                <w:color w:val="000000"/>
                <w:sz w:val="18"/>
                <w:szCs w:val="18"/>
              </w:rPr>
            </w:pPr>
          </w:p>
        </w:tc>
        <w:tc>
          <w:tcPr>
            <w:tcW w:w="2926" w:type="dxa"/>
            <w:vAlign w:val="center"/>
          </w:tcPr>
          <w:p w14:paraId="63242E9C" w14:textId="77777777" w:rsidR="004E6452" w:rsidRPr="001570EA" w:rsidDel="00AE679E" w:rsidRDefault="004E6452">
            <w:pPr>
              <w:jc w:val="center"/>
              <w:rPr>
                <w:rFonts w:cs="Arial"/>
                <w:color w:val="000000"/>
                <w:sz w:val="18"/>
                <w:szCs w:val="18"/>
              </w:rPr>
            </w:pPr>
            <w:r w:rsidRPr="001570EA">
              <w:rPr>
                <w:rFonts w:cs="Arial"/>
                <w:color w:val="000000"/>
                <w:sz w:val="18"/>
                <w:szCs w:val="18"/>
              </w:rPr>
              <w:t>Front-loading, &gt; 2.5 ft3</w:t>
            </w:r>
          </w:p>
        </w:tc>
        <w:tc>
          <w:tcPr>
            <w:tcW w:w="1255" w:type="dxa"/>
            <w:vAlign w:val="center"/>
          </w:tcPr>
          <w:p w14:paraId="7E1CF9B9" w14:textId="77777777" w:rsidR="004E6452" w:rsidRPr="001570EA" w:rsidDel="00AE679E" w:rsidRDefault="004E6452">
            <w:pPr>
              <w:jc w:val="center"/>
              <w:rPr>
                <w:rFonts w:cs="Arial"/>
                <w:color w:val="000000"/>
                <w:sz w:val="18"/>
                <w:szCs w:val="18"/>
              </w:rPr>
            </w:pPr>
            <w:r w:rsidRPr="001570EA">
              <w:rPr>
                <w:rFonts w:cs="Arial"/>
                <w:color w:val="000000"/>
                <w:sz w:val="18"/>
                <w:szCs w:val="18"/>
              </w:rPr>
              <w:t>13.6</w:t>
            </w:r>
          </w:p>
        </w:tc>
        <w:tc>
          <w:tcPr>
            <w:tcW w:w="1665" w:type="dxa"/>
            <w:vAlign w:val="center"/>
          </w:tcPr>
          <w:p w14:paraId="38A5335B" w14:textId="77777777" w:rsidR="004E6452" w:rsidRPr="001570EA" w:rsidDel="00AE679E" w:rsidRDefault="004E6452">
            <w:pPr>
              <w:jc w:val="center"/>
              <w:rPr>
                <w:rFonts w:cs="Arial"/>
                <w:color w:val="000000"/>
                <w:sz w:val="18"/>
                <w:szCs w:val="18"/>
              </w:rPr>
            </w:pPr>
            <w:r w:rsidRPr="001570EA">
              <w:rPr>
                <w:rFonts w:cs="Arial"/>
                <w:color w:val="000000"/>
                <w:sz w:val="18"/>
                <w:szCs w:val="18"/>
              </w:rPr>
              <w:t>0.0020</w:t>
            </w:r>
          </w:p>
        </w:tc>
        <w:tc>
          <w:tcPr>
            <w:tcW w:w="1390" w:type="dxa"/>
            <w:vAlign w:val="center"/>
          </w:tcPr>
          <w:p w14:paraId="34AFFB5B" w14:textId="77777777" w:rsidR="004E6452" w:rsidRPr="001570EA" w:rsidRDefault="004E6452">
            <w:pPr>
              <w:jc w:val="center"/>
              <w:rPr>
                <w:rFonts w:cs="Arial"/>
                <w:color w:val="000000"/>
                <w:sz w:val="18"/>
                <w:szCs w:val="18"/>
              </w:rPr>
            </w:pPr>
            <w:r w:rsidRPr="001570EA">
              <w:rPr>
                <w:rFonts w:cs="Arial"/>
                <w:color w:val="000000"/>
                <w:sz w:val="18"/>
                <w:szCs w:val="18"/>
              </w:rPr>
              <w:t>0.0020</w:t>
            </w:r>
          </w:p>
        </w:tc>
      </w:tr>
      <w:tr w:rsidR="004E6452" w:rsidRPr="001570EA" w14:paraId="60322F72" w14:textId="77777777">
        <w:trPr>
          <w:trHeight w:hRule="exact" w:val="343"/>
        </w:trPr>
        <w:tc>
          <w:tcPr>
            <w:tcW w:w="1286" w:type="dxa"/>
            <w:vMerge w:val="restart"/>
            <w:vAlign w:val="center"/>
          </w:tcPr>
          <w:p w14:paraId="722742EC" w14:textId="77777777" w:rsidR="004E6452" w:rsidRPr="001570EA" w:rsidRDefault="004E6452">
            <w:pPr>
              <w:jc w:val="center"/>
              <w:rPr>
                <w:rFonts w:cs="Arial"/>
                <w:color w:val="000000"/>
                <w:sz w:val="18"/>
                <w:szCs w:val="18"/>
              </w:rPr>
            </w:pPr>
            <w:r w:rsidRPr="001570EA">
              <w:rPr>
                <w:rFonts w:cs="Arial"/>
                <w:color w:val="000000"/>
                <w:sz w:val="18"/>
                <w:szCs w:val="18"/>
              </w:rPr>
              <w:t>Default (47% Electric DHW, 82% Electric Dryer)</w:t>
            </w:r>
          </w:p>
        </w:tc>
        <w:tc>
          <w:tcPr>
            <w:tcW w:w="2926" w:type="dxa"/>
            <w:vAlign w:val="center"/>
          </w:tcPr>
          <w:p w14:paraId="673F47FA" w14:textId="77777777" w:rsidR="004E6452" w:rsidRPr="001570EA" w:rsidDel="00AE679E" w:rsidRDefault="004E6452">
            <w:pPr>
              <w:jc w:val="center"/>
              <w:rPr>
                <w:rFonts w:cs="Arial"/>
                <w:color w:val="000000"/>
                <w:sz w:val="18"/>
                <w:szCs w:val="18"/>
              </w:rPr>
            </w:pPr>
            <w:r w:rsidRPr="001570EA">
              <w:rPr>
                <w:rFonts w:cs="Arial"/>
                <w:color w:val="000000"/>
                <w:sz w:val="18"/>
                <w:szCs w:val="18"/>
              </w:rPr>
              <w:t>Top-loading, &gt; 2.5 ft3</w:t>
            </w:r>
          </w:p>
        </w:tc>
        <w:tc>
          <w:tcPr>
            <w:tcW w:w="1255" w:type="dxa"/>
            <w:vAlign w:val="center"/>
          </w:tcPr>
          <w:p w14:paraId="01B91F8F" w14:textId="77777777" w:rsidR="004E6452" w:rsidRPr="001570EA" w:rsidRDefault="004E6452">
            <w:pPr>
              <w:jc w:val="center"/>
              <w:rPr>
                <w:rFonts w:cs="Arial"/>
                <w:color w:val="000000"/>
                <w:sz w:val="18"/>
                <w:szCs w:val="18"/>
              </w:rPr>
            </w:pPr>
            <w:r w:rsidRPr="001570EA">
              <w:rPr>
                <w:rFonts w:cs="Arial"/>
                <w:color w:val="000000"/>
                <w:sz w:val="18"/>
                <w:szCs w:val="18"/>
              </w:rPr>
              <w:t>107.1</w:t>
            </w:r>
          </w:p>
        </w:tc>
        <w:tc>
          <w:tcPr>
            <w:tcW w:w="1665" w:type="dxa"/>
            <w:vAlign w:val="center"/>
          </w:tcPr>
          <w:p w14:paraId="35FC6D58" w14:textId="77777777" w:rsidR="004E6452" w:rsidRPr="001570EA" w:rsidRDefault="004E6452">
            <w:pPr>
              <w:jc w:val="center"/>
              <w:rPr>
                <w:rFonts w:cs="Arial"/>
                <w:color w:val="000000"/>
                <w:sz w:val="18"/>
                <w:szCs w:val="18"/>
              </w:rPr>
            </w:pPr>
            <w:r w:rsidRPr="001570EA">
              <w:rPr>
                <w:rFonts w:cs="Arial"/>
                <w:color w:val="000000"/>
                <w:sz w:val="18"/>
                <w:szCs w:val="18"/>
              </w:rPr>
              <w:t>0.0158</w:t>
            </w:r>
          </w:p>
        </w:tc>
        <w:tc>
          <w:tcPr>
            <w:tcW w:w="1390" w:type="dxa"/>
            <w:vAlign w:val="center"/>
          </w:tcPr>
          <w:p w14:paraId="2FFB8BE2" w14:textId="77777777" w:rsidR="004E6452" w:rsidRPr="001570EA" w:rsidRDefault="004E6452">
            <w:pPr>
              <w:jc w:val="center"/>
              <w:rPr>
                <w:rFonts w:cs="Arial"/>
                <w:color w:val="000000"/>
                <w:sz w:val="18"/>
                <w:szCs w:val="18"/>
              </w:rPr>
            </w:pPr>
            <w:r w:rsidRPr="001570EA">
              <w:rPr>
                <w:rFonts w:cs="Arial"/>
                <w:color w:val="000000"/>
                <w:sz w:val="18"/>
                <w:szCs w:val="18"/>
              </w:rPr>
              <w:t>0.0159</w:t>
            </w:r>
          </w:p>
        </w:tc>
      </w:tr>
      <w:tr w:rsidR="004E6452" w:rsidRPr="001570EA" w14:paraId="79B6AED6" w14:textId="77777777">
        <w:trPr>
          <w:trHeight w:hRule="exact" w:val="469"/>
        </w:trPr>
        <w:tc>
          <w:tcPr>
            <w:tcW w:w="1286" w:type="dxa"/>
            <w:vMerge/>
            <w:vAlign w:val="center"/>
          </w:tcPr>
          <w:p w14:paraId="00531A29" w14:textId="77777777" w:rsidR="004E6452" w:rsidRPr="001570EA" w:rsidRDefault="004E6452">
            <w:pPr>
              <w:jc w:val="center"/>
              <w:rPr>
                <w:rFonts w:cs="Arial"/>
                <w:color w:val="000000"/>
                <w:sz w:val="18"/>
                <w:szCs w:val="18"/>
              </w:rPr>
            </w:pPr>
          </w:p>
        </w:tc>
        <w:tc>
          <w:tcPr>
            <w:tcW w:w="2926" w:type="dxa"/>
            <w:vAlign w:val="center"/>
          </w:tcPr>
          <w:p w14:paraId="0F1F4009" w14:textId="77777777" w:rsidR="004E6452" w:rsidRPr="001570EA" w:rsidRDefault="004E6452">
            <w:pPr>
              <w:jc w:val="center"/>
              <w:rPr>
                <w:rFonts w:cs="Arial"/>
                <w:color w:val="000000"/>
                <w:sz w:val="18"/>
                <w:szCs w:val="18"/>
              </w:rPr>
            </w:pPr>
            <w:r w:rsidRPr="001570EA">
              <w:rPr>
                <w:rFonts w:cs="Arial"/>
                <w:color w:val="000000"/>
                <w:sz w:val="18"/>
                <w:szCs w:val="18"/>
              </w:rPr>
              <w:t>Front-loading, 1.6 ft3 ≤ 2.5 ft3</w:t>
            </w:r>
          </w:p>
        </w:tc>
        <w:tc>
          <w:tcPr>
            <w:tcW w:w="1255" w:type="dxa"/>
            <w:vAlign w:val="center"/>
          </w:tcPr>
          <w:p w14:paraId="3CE84208" w14:textId="77777777" w:rsidR="004E6452" w:rsidRPr="001570EA" w:rsidRDefault="004E6452">
            <w:pPr>
              <w:jc w:val="center"/>
              <w:rPr>
                <w:rFonts w:cs="Arial"/>
                <w:color w:val="000000"/>
                <w:sz w:val="18"/>
                <w:szCs w:val="18"/>
              </w:rPr>
            </w:pPr>
            <w:r w:rsidRPr="001570EA">
              <w:rPr>
                <w:rFonts w:cs="Arial"/>
                <w:color w:val="000000"/>
                <w:sz w:val="18"/>
                <w:szCs w:val="18"/>
              </w:rPr>
              <w:t>18.9</w:t>
            </w:r>
          </w:p>
        </w:tc>
        <w:tc>
          <w:tcPr>
            <w:tcW w:w="1665" w:type="dxa"/>
            <w:vAlign w:val="center"/>
          </w:tcPr>
          <w:p w14:paraId="353A0DEC" w14:textId="77777777" w:rsidR="004E6452" w:rsidRPr="001570EA" w:rsidRDefault="004E6452">
            <w:pPr>
              <w:jc w:val="center"/>
              <w:rPr>
                <w:rFonts w:cs="Arial"/>
                <w:color w:val="000000"/>
                <w:sz w:val="18"/>
                <w:szCs w:val="18"/>
              </w:rPr>
            </w:pPr>
            <w:r w:rsidRPr="001570EA">
              <w:rPr>
                <w:rFonts w:cs="Arial"/>
                <w:color w:val="000000"/>
                <w:sz w:val="18"/>
                <w:szCs w:val="18"/>
              </w:rPr>
              <w:t>0.0028</w:t>
            </w:r>
          </w:p>
        </w:tc>
        <w:tc>
          <w:tcPr>
            <w:tcW w:w="1390" w:type="dxa"/>
            <w:vAlign w:val="center"/>
          </w:tcPr>
          <w:p w14:paraId="0F34DAB3" w14:textId="77777777" w:rsidR="004E6452" w:rsidRPr="001570EA" w:rsidRDefault="004E6452">
            <w:pPr>
              <w:jc w:val="center"/>
              <w:rPr>
                <w:rFonts w:cs="Arial"/>
                <w:color w:val="000000"/>
                <w:sz w:val="18"/>
                <w:szCs w:val="18"/>
              </w:rPr>
            </w:pPr>
            <w:r w:rsidRPr="001570EA">
              <w:rPr>
                <w:rFonts w:cs="Arial"/>
                <w:color w:val="000000"/>
                <w:sz w:val="18"/>
                <w:szCs w:val="18"/>
              </w:rPr>
              <w:t>0.0028</w:t>
            </w:r>
          </w:p>
        </w:tc>
      </w:tr>
      <w:tr w:rsidR="004E6452" w:rsidRPr="001570EA" w14:paraId="3011307E" w14:textId="77777777">
        <w:trPr>
          <w:trHeight w:hRule="exact" w:val="469"/>
        </w:trPr>
        <w:tc>
          <w:tcPr>
            <w:tcW w:w="1286" w:type="dxa"/>
            <w:vMerge/>
            <w:vAlign w:val="center"/>
          </w:tcPr>
          <w:p w14:paraId="705E2F37" w14:textId="77777777" w:rsidR="004E6452" w:rsidRPr="001570EA" w:rsidRDefault="004E6452">
            <w:pPr>
              <w:jc w:val="center"/>
              <w:rPr>
                <w:rFonts w:cs="Arial"/>
                <w:color w:val="000000"/>
                <w:sz w:val="18"/>
                <w:szCs w:val="18"/>
              </w:rPr>
            </w:pPr>
          </w:p>
        </w:tc>
        <w:tc>
          <w:tcPr>
            <w:tcW w:w="2926" w:type="dxa"/>
            <w:vAlign w:val="center"/>
          </w:tcPr>
          <w:p w14:paraId="68464B56" w14:textId="77777777" w:rsidR="004E6452" w:rsidRPr="001570EA" w:rsidDel="00AE679E" w:rsidRDefault="004E6452">
            <w:pPr>
              <w:jc w:val="center"/>
              <w:rPr>
                <w:rFonts w:cs="Arial"/>
                <w:color w:val="000000"/>
                <w:sz w:val="18"/>
                <w:szCs w:val="18"/>
              </w:rPr>
            </w:pPr>
            <w:r w:rsidRPr="001570EA">
              <w:rPr>
                <w:rFonts w:cs="Arial"/>
                <w:color w:val="000000"/>
                <w:sz w:val="18"/>
                <w:szCs w:val="18"/>
              </w:rPr>
              <w:t>Front-loading, &gt; 2.5 ft3</w:t>
            </w:r>
          </w:p>
        </w:tc>
        <w:tc>
          <w:tcPr>
            <w:tcW w:w="1255" w:type="dxa"/>
            <w:vAlign w:val="center"/>
          </w:tcPr>
          <w:p w14:paraId="6BC513E8" w14:textId="77777777" w:rsidR="004E6452" w:rsidRPr="001570EA" w:rsidDel="00AE679E" w:rsidRDefault="004E6452">
            <w:pPr>
              <w:jc w:val="center"/>
              <w:rPr>
                <w:rFonts w:cs="Arial"/>
                <w:color w:val="000000"/>
                <w:sz w:val="18"/>
                <w:szCs w:val="18"/>
              </w:rPr>
            </w:pPr>
            <w:r w:rsidRPr="001570EA">
              <w:rPr>
                <w:rFonts w:cs="Arial"/>
                <w:color w:val="000000"/>
                <w:sz w:val="18"/>
                <w:szCs w:val="18"/>
              </w:rPr>
              <w:t>115.0</w:t>
            </w:r>
          </w:p>
        </w:tc>
        <w:tc>
          <w:tcPr>
            <w:tcW w:w="1665" w:type="dxa"/>
            <w:vAlign w:val="center"/>
          </w:tcPr>
          <w:p w14:paraId="02999A2E" w14:textId="77777777" w:rsidR="004E6452" w:rsidRPr="001570EA" w:rsidDel="00AE679E" w:rsidRDefault="004E6452">
            <w:pPr>
              <w:jc w:val="center"/>
              <w:rPr>
                <w:rFonts w:cs="Arial"/>
                <w:color w:val="000000"/>
                <w:sz w:val="18"/>
                <w:szCs w:val="18"/>
              </w:rPr>
            </w:pPr>
            <w:r w:rsidRPr="001570EA">
              <w:rPr>
                <w:rFonts w:cs="Arial"/>
                <w:color w:val="000000"/>
                <w:sz w:val="18"/>
                <w:szCs w:val="18"/>
              </w:rPr>
              <w:t>0.0170</w:t>
            </w:r>
          </w:p>
        </w:tc>
        <w:tc>
          <w:tcPr>
            <w:tcW w:w="1390" w:type="dxa"/>
            <w:vAlign w:val="center"/>
          </w:tcPr>
          <w:p w14:paraId="59BC8397" w14:textId="77777777" w:rsidR="004E6452" w:rsidRPr="001570EA" w:rsidRDefault="004E6452">
            <w:pPr>
              <w:jc w:val="center"/>
              <w:rPr>
                <w:rFonts w:cs="Arial"/>
                <w:color w:val="000000"/>
                <w:sz w:val="18"/>
                <w:szCs w:val="18"/>
              </w:rPr>
            </w:pPr>
            <w:r w:rsidRPr="001570EA">
              <w:rPr>
                <w:rFonts w:cs="Arial"/>
                <w:color w:val="000000"/>
                <w:sz w:val="18"/>
                <w:szCs w:val="18"/>
              </w:rPr>
              <w:t>0.0171</w:t>
            </w:r>
          </w:p>
        </w:tc>
      </w:tr>
    </w:tbl>
    <w:p w14:paraId="1E7E2D30" w14:textId="77777777" w:rsidR="004E6452" w:rsidRPr="001570EA" w:rsidRDefault="004E6452" w:rsidP="004E6452">
      <w:pPr>
        <w:jc w:val="center"/>
        <w:rPr>
          <w:rFonts w:cs="Arial"/>
          <w:color w:val="000000"/>
          <w:sz w:val="18"/>
          <w:szCs w:val="18"/>
        </w:rPr>
      </w:pPr>
    </w:p>
    <w:p w14:paraId="699854FD" w14:textId="77777777" w:rsidR="004E6452" w:rsidRPr="001570EA" w:rsidRDefault="004E6452" w:rsidP="004E6452">
      <w:pPr>
        <w:pStyle w:val="SubStyle"/>
      </w:pPr>
      <w:r w:rsidRPr="001570EA">
        <w:t>Evaluation Protocols</w:t>
      </w:r>
    </w:p>
    <w:p w14:paraId="140163DA" w14:textId="77777777" w:rsidR="004E6452" w:rsidRPr="001570EA" w:rsidRDefault="004E6452" w:rsidP="004E6452">
      <w:pPr>
        <w:pStyle w:val="BodyText"/>
        <w:ind w:right="0"/>
        <w:rPr>
          <w:rFonts w:cs="Arial"/>
        </w:rPr>
      </w:pPr>
      <w:r w:rsidRPr="001570EA">
        <w:t>For most projects, the appropriate evaluation protocol is to verify installation and proper selection of default values. For projects using customer-specific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146051ED" w14:textId="77777777" w:rsidR="004E6452" w:rsidRPr="001570EA" w:rsidRDefault="004E6452" w:rsidP="004E6452"/>
    <w:p w14:paraId="4E33BF9F" w14:textId="77777777" w:rsidR="004E6452" w:rsidRPr="001570EA" w:rsidRDefault="004E6452" w:rsidP="004E6452">
      <w:pPr>
        <w:pStyle w:val="SubStyle"/>
      </w:pPr>
      <w:r w:rsidRPr="001570EA">
        <w:t>Sources</w:t>
      </w:r>
    </w:p>
    <w:p w14:paraId="324B1E64" w14:textId="0CDE3A46" w:rsidR="004E6452" w:rsidRPr="001570EA" w:rsidRDefault="004E6452" w:rsidP="006D787B">
      <w:pPr>
        <w:pStyle w:val="ListParagraph"/>
        <w:numPr>
          <w:ilvl w:val="0"/>
          <w:numId w:val="55"/>
        </w:numPr>
        <w:spacing w:after="120"/>
        <w:ind w:left="360"/>
        <w:jc w:val="left"/>
      </w:pPr>
      <w:r w:rsidRPr="001570EA">
        <w:t xml:space="preserve">DOE (2021). Residential Clothes Washers Life-Cycle Cost Analysis (LCC) Spreadsheets. </w:t>
      </w:r>
      <w:hyperlink r:id="rId263" w:history="1">
        <w:r w:rsidRPr="001570EA">
          <w:rPr>
            <w:rStyle w:val="Hyperlink"/>
          </w:rPr>
          <w:t>Weblink</w:t>
        </w:r>
      </w:hyperlink>
      <w:r w:rsidRPr="001570EA">
        <w:t xml:space="preserve"> </w:t>
      </w:r>
    </w:p>
    <w:p w14:paraId="06D99DD3" w14:textId="53FB5C1C" w:rsidR="004E6452" w:rsidRPr="001570EA" w:rsidRDefault="004E6452" w:rsidP="006D787B">
      <w:pPr>
        <w:pStyle w:val="ListParagraph"/>
        <w:numPr>
          <w:ilvl w:val="0"/>
          <w:numId w:val="55"/>
        </w:numPr>
        <w:spacing w:after="120"/>
        <w:ind w:left="360"/>
        <w:jc w:val="left"/>
      </w:pPr>
      <w:r w:rsidRPr="001570EA">
        <w:t xml:space="preserve">Median capacity of ENERGY STAR-certified models by configuration. Accessed December 2023. </w:t>
      </w:r>
      <w:hyperlink r:id="rId264" w:history="1">
        <w:r w:rsidRPr="001570EA">
          <w:rPr>
            <w:rStyle w:val="Hyperlink"/>
          </w:rPr>
          <w:t>Weblink</w:t>
        </w:r>
      </w:hyperlink>
    </w:p>
    <w:p w14:paraId="658863AB" w14:textId="1FCC5713" w:rsidR="004E6452" w:rsidRPr="001570EA" w:rsidRDefault="004E6452" w:rsidP="006D787B">
      <w:pPr>
        <w:pStyle w:val="ListParagraph"/>
        <w:numPr>
          <w:ilvl w:val="0"/>
          <w:numId w:val="55"/>
        </w:numPr>
        <w:spacing w:after="120"/>
        <w:ind w:left="360"/>
        <w:jc w:val="left"/>
      </w:pPr>
      <w:r w:rsidRPr="001570EA">
        <w:t xml:space="preserve">U.S. EPA. (2021). ENERGY STAR Program Requirements Product Specification for Clothes Washers, Eligibility Criteria Version 8.1. </w:t>
      </w:r>
      <w:hyperlink r:id="rId265" w:history="1">
        <w:r w:rsidRPr="001570EA">
          <w:rPr>
            <w:rStyle w:val="Hyperlink"/>
          </w:rPr>
          <w:t>Weblink</w:t>
        </w:r>
      </w:hyperlink>
    </w:p>
    <w:p w14:paraId="3C6483EB" w14:textId="7CBB7452" w:rsidR="004E6452" w:rsidRPr="001570EA" w:rsidRDefault="004E6452" w:rsidP="006D787B">
      <w:pPr>
        <w:pStyle w:val="ListParagraph"/>
        <w:numPr>
          <w:ilvl w:val="0"/>
          <w:numId w:val="55"/>
        </w:numPr>
        <w:spacing w:after="120"/>
        <w:ind w:left="360"/>
        <w:jc w:val="left"/>
      </w:pPr>
      <w:r w:rsidRPr="001570EA">
        <w:t>NMR Group for the Pennsylvania Public Utility Commission. (2024, March). 2023 Pennsylvania Statewide Act 129 Residential Baseline Study. Page 122, Table 105 (%</w:t>
      </w:r>
      <w:r w:rsidRPr="001570EA">
        <w:rPr>
          <w:vertAlign w:val="subscript"/>
        </w:rPr>
        <w:t>ElecDHW</w:t>
      </w:r>
      <w:r w:rsidRPr="001570EA">
        <w:t>). Page 158, Table 149 (%</w:t>
      </w:r>
      <w:r w:rsidRPr="001570EA">
        <w:rPr>
          <w:vertAlign w:val="subscript"/>
        </w:rPr>
        <w:t>ElecDryer</w:t>
      </w:r>
      <w:r w:rsidRPr="001570EA">
        <w:t xml:space="preserve">). </w:t>
      </w:r>
      <w:hyperlink r:id="rId266" w:history="1">
        <w:r w:rsidRPr="001570EA">
          <w:rPr>
            <w:rStyle w:val="Hyperlink"/>
          </w:rPr>
          <w:t>Weblink</w:t>
        </w:r>
      </w:hyperlink>
    </w:p>
    <w:p w14:paraId="77259E51" w14:textId="25CE6108" w:rsidR="004E6452" w:rsidRPr="001570EA" w:rsidRDefault="004E6452" w:rsidP="006D787B">
      <w:pPr>
        <w:pStyle w:val="ListParagraph"/>
        <w:numPr>
          <w:ilvl w:val="0"/>
          <w:numId w:val="55"/>
        </w:numPr>
        <w:spacing w:after="120"/>
        <w:ind w:left="360"/>
        <w:jc w:val="left"/>
      </w:pPr>
      <w:r w:rsidRPr="001570EA">
        <w:t xml:space="preserve">The percentage of total energy consumption that is used for the machine, heating the hot water, or by the dryer varies depending on the efficiency of the unit. Values are based on a weighted average of top-loading and front-loading units by consumption data from </w:t>
      </w:r>
      <w:r w:rsidR="002068C8" w:rsidRPr="001570EA">
        <w:t>Source</w:t>
      </w:r>
      <w:r w:rsidRPr="001570EA">
        <w:t xml:space="preserve"> 1. Distribution of baseline top- and front-loading units from NMR Group for the Pennsylvania Public Utility Commission. (2024, March). 2023 Pennsylvania Statewide Act 129 Residential Baseline Study. Page 151, Table 139. </w:t>
      </w:r>
      <w:hyperlink r:id="rId267" w:history="1">
        <w:r w:rsidRPr="001570EA">
          <w:rPr>
            <w:rStyle w:val="Hyperlink"/>
          </w:rPr>
          <w:t>Weblink</w:t>
        </w:r>
      </w:hyperlink>
      <w:r w:rsidRPr="001570EA">
        <w:t xml:space="preserve">. Distribution of ENERGY STAR top- and front-loading units from ENERGY STAR-certified models. Accessed December 2023. </w:t>
      </w:r>
      <w:hyperlink r:id="rId268" w:history="1">
        <w:r w:rsidRPr="001570EA">
          <w:rPr>
            <w:rStyle w:val="Hyperlink"/>
          </w:rPr>
          <w:t>Weblink</w:t>
        </w:r>
      </w:hyperlink>
      <w:r w:rsidRPr="001570EA" w:rsidDel="00B724E7">
        <w:t xml:space="preserve"> </w:t>
      </w:r>
    </w:p>
    <w:p w14:paraId="7937825B" w14:textId="37B49216" w:rsidR="004E6452" w:rsidRPr="001570EA" w:rsidRDefault="004E6452" w:rsidP="006D787B">
      <w:pPr>
        <w:pStyle w:val="source10"/>
        <w:numPr>
          <w:ilvl w:val="0"/>
          <w:numId w:val="55"/>
        </w:numPr>
        <w:spacing w:after="120"/>
        <w:ind w:left="360"/>
        <w:jc w:val="left"/>
      </w:pPr>
      <w:r w:rsidRPr="001570EA">
        <w:t xml:space="preserve">Calculated using “Frequency of clothes washer use” and “Frequency of dryer use” data for Pennsylvania from U.S. Department of Energy, 2020 Residential Energy Consumption Survey. </w:t>
      </w:r>
      <w:hyperlink r:id="rId269" w:history="1">
        <w:r w:rsidRPr="001570EA">
          <w:rPr>
            <w:rStyle w:val="Hyperlink"/>
            <w:rFonts w:cs="Arial"/>
          </w:rPr>
          <w:t>Weblink</w:t>
        </w:r>
      </w:hyperlink>
      <w:r w:rsidRPr="001570EA">
        <w:t xml:space="preserve"> </w:t>
      </w:r>
    </w:p>
    <w:p w14:paraId="6190E3DA" w14:textId="5157E1B2" w:rsidR="004E6452" w:rsidRPr="001570EA" w:rsidRDefault="004E6452" w:rsidP="006D787B">
      <w:pPr>
        <w:pStyle w:val="source10"/>
        <w:numPr>
          <w:ilvl w:val="0"/>
          <w:numId w:val="55"/>
        </w:numPr>
        <w:spacing w:after="120"/>
        <w:ind w:left="360"/>
        <w:jc w:val="left"/>
      </w:pPr>
      <w:r w:rsidRPr="001570EA">
        <w:t xml:space="preserve">10 CFR 430.32(g)(4) </w:t>
      </w:r>
      <w:hyperlink r:id="rId270" w:anchor="p-430.32(g)(4)" w:history="1">
        <w:r w:rsidRPr="001570EA">
          <w:rPr>
            <w:rStyle w:val="Hyperlink"/>
            <w:rFonts w:cs="Arial"/>
          </w:rPr>
          <w:t>Weblink</w:t>
        </w:r>
      </w:hyperlink>
    </w:p>
    <w:p w14:paraId="0E8219B6" w14:textId="74DB5944" w:rsidR="004E6452" w:rsidRPr="001570EA" w:rsidRDefault="004E6452" w:rsidP="006D787B">
      <w:pPr>
        <w:pStyle w:val="source10"/>
        <w:numPr>
          <w:ilvl w:val="0"/>
          <w:numId w:val="55"/>
        </w:numPr>
        <w:spacing w:after="120"/>
        <w:ind w:left="360"/>
        <w:jc w:val="left"/>
      </w:pPr>
      <w:r w:rsidRPr="001570EA">
        <w:t xml:space="preserve">Wilson et al. 2021. End-Use Load Profiles for the U.S. Building Stock: Methodology and Results of Model Calibration, Validation, and Uncertainty Quantification. NREL/TP-5500-80889. </w:t>
      </w:r>
      <w:hyperlink r:id="rId271" w:history="1">
        <w:r w:rsidRPr="001570EA">
          <w:rPr>
            <w:rStyle w:val="Hyperlink"/>
            <w:rFonts w:cs="Arial"/>
          </w:rPr>
          <w:t>Weblink</w:t>
        </w:r>
      </w:hyperlink>
    </w:p>
    <w:p w14:paraId="302103BB" w14:textId="7876ABF5" w:rsidR="004E6452" w:rsidRPr="001570EA" w:rsidRDefault="004E6452" w:rsidP="006D787B">
      <w:pPr>
        <w:pStyle w:val="source10"/>
        <w:numPr>
          <w:ilvl w:val="0"/>
          <w:numId w:val="55"/>
        </w:numPr>
        <w:spacing w:after="120"/>
        <w:ind w:left="360"/>
        <w:jc w:val="left"/>
      </w:pPr>
      <w:r w:rsidRPr="001570EA">
        <w:t xml:space="preserve">U.S. DOE. (2024, March 15). Direct final rule. Federal Register, 89 (52), pages 19,026- 19,126. </w:t>
      </w:r>
      <w:hyperlink r:id="rId272" w:history="1">
        <w:r w:rsidRPr="001570EA">
          <w:rPr>
            <w:rStyle w:val="Hyperlink"/>
            <w:rFonts w:cs="Arial"/>
          </w:rPr>
          <w:t>Weblink</w:t>
        </w:r>
      </w:hyperlink>
    </w:p>
    <w:p w14:paraId="7D98E1A4" w14:textId="2388A347" w:rsidR="004E6452" w:rsidRPr="001570EA" w:rsidRDefault="004E6452" w:rsidP="006D787B">
      <w:pPr>
        <w:pStyle w:val="source10"/>
        <w:numPr>
          <w:ilvl w:val="0"/>
          <w:numId w:val="55"/>
        </w:numPr>
        <w:spacing w:after="120"/>
        <w:ind w:left="360"/>
        <w:jc w:val="left"/>
        <w:rPr>
          <w:rFonts w:eastAsiaTheme="minorHAnsi"/>
        </w:rPr>
      </w:pPr>
      <w:bookmarkStart w:id="592" w:name="_Toc530141489"/>
      <w:bookmarkStart w:id="593" w:name="_Ref534706333"/>
      <w:bookmarkStart w:id="594" w:name="_Ref534706872"/>
      <w:r w:rsidRPr="001570EA">
        <w:t xml:space="preserve">U.S. DOE (2024). </w:t>
      </w:r>
      <w:r w:rsidRPr="001570EA">
        <w:rPr>
          <w:rFonts w:eastAsiaTheme="minorHAnsi"/>
        </w:rPr>
        <w:t xml:space="preserve">Life-Cycle Cost (LCC) Analysis RCW ECS Direct Final Rule Spreadsheet. </w:t>
      </w:r>
      <w:hyperlink r:id="rId273" w:history="1">
        <w:r w:rsidRPr="001570EA">
          <w:rPr>
            <w:rStyle w:val="Hyperlink"/>
            <w:rFonts w:eastAsiaTheme="minorHAnsi" w:cs="Arial"/>
          </w:rPr>
          <w:t>Weblink</w:t>
        </w:r>
      </w:hyperlink>
    </w:p>
    <w:p w14:paraId="6D154012" w14:textId="77777777" w:rsidR="004E6452" w:rsidRPr="001570EA" w:rsidRDefault="004E6452" w:rsidP="004E6452">
      <w:pPr>
        <w:rPr>
          <w:rFonts w:eastAsiaTheme="minorHAnsi" w:cs="Arial"/>
        </w:rPr>
      </w:pPr>
    </w:p>
    <w:p w14:paraId="6347D72A" w14:textId="77777777" w:rsidR="004E6452" w:rsidRPr="001570EA" w:rsidRDefault="004E6452" w:rsidP="004E6452">
      <w:pPr>
        <w:rPr>
          <w:rFonts w:eastAsiaTheme="minorHAnsi" w:cs="Arial"/>
        </w:rPr>
        <w:sectPr w:rsidR="004E6452" w:rsidRPr="001570EA" w:rsidSect="002D556C">
          <w:footerReference w:type="first" r:id="rId274"/>
          <w:pgSz w:w="12240" w:h="15840"/>
          <w:pgMar w:top="1440" w:right="1800" w:bottom="1440" w:left="1800" w:header="720" w:footer="501" w:gutter="0"/>
          <w:cols w:space="720"/>
        </w:sectPr>
      </w:pPr>
    </w:p>
    <w:p w14:paraId="5616645C" w14:textId="77777777" w:rsidR="004E6452" w:rsidRPr="001570EA" w:rsidRDefault="004E6452" w:rsidP="00462D97">
      <w:pPr>
        <w:pStyle w:val="Heading3"/>
      </w:pPr>
      <w:bookmarkStart w:id="595" w:name="_Ref534967325"/>
      <w:bookmarkStart w:id="596" w:name="_Toc48143044"/>
      <w:bookmarkStart w:id="597" w:name="_Toc164786668"/>
      <w:r w:rsidRPr="001570EA">
        <w:t>ENERGY STAR Clothes Dryers</w:t>
      </w:r>
      <w:bookmarkEnd w:id="592"/>
      <w:bookmarkEnd w:id="593"/>
      <w:bookmarkEnd w:id="594"/>
      <w:bookmarkEnd w:id="595"/>
      <w:bookmarkEnd w:id="596"/>
      <w:bookmarkEnd w:id="5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4968"/>
      </w:tblGrid>
      <w:tr w:rsidR="004E6452" w:rsidRPr="001570EA" w14:paraId="2392A63B" w14:textId="77777777">
        <w:tc>
          <w:tcPr>
            <w:tcW w:w="3554" w:type="dxa"/>
            <w:tcBorders>
              <w:top w:val="single" w:sz="4" w:space="0" w:color="auto"/>
              <w:left w:val="single" w:sz="4" w:space="0" w:color="auto"/>
              <w:bottom w:val="single" w:sz="4" w:space="0" w:color="auto"/>
              <w:right w:val="single" w:sz="4" w:space="0" w:color="auto"/>
            </w:tcBorders>
            <w:hideMark/>
          </w:tcPr>
          <w:p w14:paraId="34151229" w14:textId="77777777" w:rsidR="004E6452" w:rsidRPr="001570EA" w:rsidRDefault="004E6452">
            <w:pPr>
              <w:pStyle w:val="TableCell"/>
              <w:spacing w:before="60" w:after="60"/>
              <w:jc w:val="left"/>
              <w:rPr>
                <w:b/>
                <w:sz w:val="20"/>
              </w:rPr>
            </w:pPr>
            <w:r w:rsidRPr="001570EA">
              <w:rPr>
                <w:b/>
              </w:rPr>
              <w:t>Target Sector</w:t>
            </w:r>
          </w:p>
        </w:tc>
        <w:tc>
          <w:tcPr>
            <w:tcW w:w="4968" w:type="dxa"/>
            <w:tcBorders>
              <w:top w:val="single" w:sz="4" w:space="0" w:color="auto"/>
              <w:left w:val="single" w:sz="4" w:space="0" w:color="auto"/>
              <w:bottom w:val="single" w:sz="4" w:space="0" w:color="auto"/>
              <w:right w:val="single" w:sz="4" w:space="0" w:color="auto"/>
            </w:tcBorders>
            <w:hideMark/>
          </w:tcPr>
          <w:p w14:paraId="27668896" w14:textId="77777777" w:rsidR="004E6452" w:rsidRPr="001570EA" w:rsidRDefault="004E6452">
            <w:pPr>
              <w:pStyle w:val="TableCell"/>
              <w:spacing w:before="60" w:after="60"/>
              <w:jc w:val="center"/>
              <w:rPr>
                <w:rFonts w:eastAsia="Arial Unicode MS" w:cs="Arial"/>
                <w:i/>
                <w:iCs/>
                <w:sz w:val="20"/>
                <w:szCs w:val="24"/>
              </w:rPr>
            </w:pPr>
            <w:r w:rsidRPr="001570EA">
              <w:t>Residential</w:t>
            </w:r>
          </w:p>
        </w:tc>
      </w:tr>
      <w:tr w:rsidR="004E6452" w:rsidRPr="001570EA" w14:paraId="144BE572" w14:textId="77777777">
        <w:tc>
          <w:tcPr>
            <w:tcW w:w="3554" w:type="dxa"/>
            <w:tcBorders>
              <w:top w:val="single" w:sz="4" w:space="0" w:color="auto"/>
              <w:left w:val="single" w:sz="4" w:space="0" w:color="auto"/>
              <w:bottom w:val="single" w:sz="4" w:space="0" w:color="auto"/>
              <w:right w:val="single" w:sz="4" w:space="0" w:color="auto"/>
            </w:tcBorders>
            <w:hideMark/>
          </w:tcPr>
          <w:p w14:paraId="4BFFE0B4" w14:textId="77777777" w:rsidR="004E6452" w:rsidRPr="001570EA" w:rsidRDefault="004E6452">
            <w:pPr>
              <w:pStyle w:val="TableCell"/>
              <w:spacing w:before="60" w:after="60"/>
              <w:jc w:val="left"/>
              <w:rPr>
                <w:b/>
                <w:sz w:val="20"/>
              </w:rPr>
            </w:pPr>
            <w:r w:rsidRPr="001570EA">
              <w:rPr>
                <w:b/>
              </w:rPr>
              <w:t>Measure Unit</w:t>
            </w:r>
          </w:p>
        </w:tc>
        <w:tc>
          <w:tcPr>
            <w:tcW w:w="4968" w:type="dxa"/>
            <w:tcBorders>
              <w:top w:val="single" w:sz="4" w:space="0" w:color="auto"/>
              <w:left w:val="single" w:sz="4" w:space="0" w:color="auto"/>
              <w:bottom w:val="single" w:sz="4" w:space="0" w:color="auto"/>
              <w:right w:val="single" w:sz="4" w:space="0" w:color="auto"/>
            </w:tcBorders>
            <w:hideMark/>
          </w:tcPr>
          <w:p w14:paraId="325C26DE" w14:textId="77777777" w:rsidR="004E6452" w:rsidRPr="001570EA" w:rsidRDefault="004E6452">
            <w:pPr>
              <w:pStyle w:val="TableCell"/>
              <w:spacing w:before="60" w:after="60"/>
              <w:jc w:val="center"/>
              <w:rPr>
                <w:rFonts w:eastAsia="Arial Unicode MS" w:cs="Arial"/>
                <w:i/>
                <w:iCs/>
                <w:sz w:val="20"/>
                <w:szCs w:val="24"/>
              </w:rPr>
            </w:pPr>
            <w:r w:rsidRPr="001570EA">
              <w:t>Clothes Dryer</w:t>
            </w:r>
          </w:p>
        </w:tc>
      </w:tr>
      <w:tr w:rsidR="004E6452" w:rsidRPr="001570EA" w14:paraId="1D6C0EFC" w14:textId="77777777">
        <w:tc>
          <w:tcPr>
            <w:tcW w:w="3554" w:type="dxa"/>
            <w:tcBorders>
              <w:top w:val="single" w:sz="4" w:space="0" w:color="auto"/>
              <w:left w:val="single" w:sz="4" w:space="0" w:color="auto"/>
              <w:bottom w:val="single" w:sz="4" w:space="0" w:color="auto"/>
              <w:right w:val="single" w:sz="4" w:space="0" w:color="auto"/>
            </w:tcBorders>
            <w:hideMark/>
          </w:tcPr>
          <w:p w14:paraId="3EAE153D" w14:textId="77777777" w:rsidR="004E6452" w:rsidRPr="001570EA" w:rsidRDefault="004E6452">
            <w:pPr>
              <w:pStyle w:val="TableCell"/>
              <w:spacing w:before="60" w:after="60"/>
              <w:jc w:val="left"/>
              <w:rPr>
                <w:b/>
                <w:sz w:val="20"/>
              </w:rPr>
            </w:pPr>
            <w:r w:rsidRPr="001570EA">
              <w:rPr>
                <w:b/>
              </w:rPr>
              <w:t>Measure Life</w:t>
            </w:r>
          </w:p>
        </w:tc>
        <w:tc>
          <w:tcPr>
            <w:tcW w:w="4968" w:type="dxa"/>
            <w:tcBorders>
              <w:top w:val="single" w:sz="4" w:space="0" w:color="auto"/>
              <w:left w:val="single" w:sz="4" w:space="0" w:color="auto"/>
              <w:bottom w:val="single" w:sz="4" w:space="0" w:color="auto"/>
              <w:right w:val="single" w:sz="4" w:space="0" w:color="auto"/>
            </w:tcBorders>
            <w:hideMark/>
          </w:tcPr>
          <w:p w14:paraId="3771A24C" w14:textId="77777777" w:rsidR="004E6452" w:rsidRPr="001570EA" w:rsidRDefault="004E6452">
            <w:pPr>
              <w:pStyle w:val="TableCell"/>
              <w:spacing w:before="60" w:after="60"/>
              <w:jc w:val="center"/>
              <w:rPr>
                <w:color w:val="000000"/>
                <w:vertAlign w:val="superscript"/>
              </w:rPr>
            </w:pPr>
            <w:r w:rsidRPr="001570EA">
              <w:rPr>
                <w:color w:val="000000"/>
              </w:rPr>
              <w:t>14 years</w:t>
            </w:r>
            <w:r w:rsidRPr="001570EA">
              <w:rPr>
                <w:color w:val="000000"/>
                <w:vertAlign w:val="superscript"/>
              </w:rPr>
              <w:t>Source 3</w:t>
            </w:r>
          </w:p>
        </w:tc>
      </w:tr>
      <w:tr w:rsidR="004E6452" w:rsidRPr="001570EA" w14:paraId="1EB521F0" w14:textId="77777777">
        <w:tc>
          <w:tcPr>
            <w:tcW w:w="3554" w:type="dxa"/>
            <w:tcBorders>
              <w:top w:val="single" w:sz="4" w:space="0" w:color="auto"/>
              <w:left w:val="single" w:sz="4" w:space="0" w:color="auto"/>
              <w:bottom w:val="single" w:sz="4" w:space="0" w:color="auto"/>
              <w:right w:val="single" w:sz="4" w:space="0" w:color="auto"/>
            </w:tcBorders>
            <w:hideMark/>
          </w:tcPr>
          <w:p w14:paraId="55879710" w14:textId="77777777" w:rsidR="004E6452" w:rsidRPr="001570EA" w:rsidRDefault="004E6452">
            <w:pPr>
              <w:pStyle w:val="TableCell"/>
              <w:spacing w:before="60" w:after="60"/>
              <w:jc w:val="left"/>
              <w:rPr>
                <w:b/>
              </w:rPr>
            </w:pPr>
            <w:r w:rsidRPr="001570EA">
              <w:rPr>
                <w:b/>
              </w:rPr>
              <w:t>Vintage</w:t>
            </w:r>
          </w:p>
        </w:tc>
        <w:tc>
          <w:tcPr>
            <w:tcW w:w="4968" w:type="dxa"/>
            <w:tcBorders>
              <w:top w:val="single" w:sz="4" w:space="0" w:color="auto"/>
              <w:left w:val="single" w:sz="4" w:space="0" w:color="auto"/>
              <w:bottom w:val="single" w:sz="4" w:space="0" w:color="auto"/>
              <w:right w:val="single" w:sz="4" w:space="0" w:color="auto"/>
            </w:tcBorders>
            <w:hideMark/>
          </w:tcPr>
          <w:p w14:paraId="4DBB1F85" w14:textId="77777777" w:rsidR="004E6452" w:rsidRPr="001570EA" w:rsidRDefault="004E6452">
            <w:pPr>
              <w:pStyle w:val="TableCell"/>
              <w:spacing w:before="60" w:after="60"/>
              <w:jc w:val="center"/>
              <w:rPr>
                <w:color w:val="000000"/>
              </w:rPr>
            </w:pPr>
            <w:r w:rsidRPr="001570EA">
              <w:rPr>
                <w:color w:val="000000"/>
              </w:rPr>
              <w:t>Replace on Burnout, New Construction</w:t>
            </w:r>
          </w:p>
        </w:tc>
      </w:tr>
    </w:tbl>
    <w:p w14:paraId="25E3A7E4" w14:textId="77777777" w:rsidR="004E6452" w:rsidRPr="001570EA" w:rsidRDefault="004E6452" w:rsidP="004E6452"/>
    <w:p w14:paraId="29AC960B" w14:textId="77777777" w:rsidR="004E6452" w:rsidRPr="001570EA" w:rsidRDefault="004E6452" w:rsidP="004E6452">
      <w:pPr>
        <w:pStyle w:val="BodyText"/>
        <w:ind w:right="0"/>
      </w:pPr>
      <w:r w:rsidRPr="001570EA">
        <w:t xml:space="preserve">ENERGY STAR clothes dryers have a higher CEF (combined energy factor) than standard dryers. They save energy by using lower temperatures than standard dryers and incorporating a moisture sensor to reduce excessive drying of clothes and prolonged drying cycles. </w:t>
      </w:r>
    </w:p>
    <w:p w14:paraId="5D04F105" w14:textId="77777777" w:rsidR="004E6452" w:rsidRPr="001570EA" w:rsidRDefault="004E6452" w:rsidP="004E6452">
      <w:pPr>
        <w:pStyle w:val="BodyText"/>
        <w:ind w:right="0"/>
      </w:pPr>
    </w:p>
    <w:p w14:paraId="219F4288" w14:textId="77777777" w:rsidR="004E6452" w:rsidRPr="001570EA" w:rsidRDefault="004E6452" w:rsidP="004E6452">
      <w:pPr>
        <w:pStyle w:val="BodyText"/>
        <w:ind w:right="0"/>
      </w:pPr>
      <w:r w:rsidRPr="001570EA">
        <w:t>ENERGY STAR clothes dryers that use heat pump technology have the highest CEFs. Whereas a conventional dryer heats air, passes it through the clothing drum, and exhausts the hot air, a heat pump dryer works by circulating hot air through the clothing drum, extracting moisture from the clothing that becomes condensation after passing over an evaporator coil, then reheating the air before it passes through the drum again. The heat pump dryer saves energy by recirculating the warm air, requiring less heat to reach the desired temperature, and because the process requires a lower air temperature overall to dry clothes.</w:t>
      </w:r>
    </w:p>
    <w:p w14:paraId="75C81C97" w14:textId="77777777" w:rsidR="004E6452" w:rsidRPr="001570EA" w:rsidRDefault="004E6452" w:rsidP="004E6452">
      <w:pPr>
        <w:pStyle w:val="BodyText"/>
      </w:pPr>
    </w:p>
    <w:p w14:paraId="18FDCE1C" w14:textId="77777777" w:rsidR="004E6452" w:rsidRPr="001570EA" w:rsidRDefault="004E6452" w:rsidP="004E6452">
      <w:pPr>
        <w:pStyle w:val="SubStyle"/>
      </w:pPr>
      <w:r w:rsidRPr="001570EA">
        <w:t>Eligibility</w:t>
      </w:r>
    </w:p>
    <w:p w14:paraId="5BD8C862" w14:textId="77777777" w:rsidR="004E6452" w:rsidRPr="001570EA" w:rsidRDefault="004E6452" w:rsidP="004E6452">
      <w:pPr>
        <w:pStyle w:val="BodyText"/>
        <w:ind w:right="0"/>
      </w:pPr>
      <w:r w:rsidRPr="001570EA">
        <w:t xml:space="preserve">This protocol documents the energy savings attributed to purchasing an electric dryer that meets ENERGY STAR criteria. Different default </w:t>
      </w:r>
      <m:oMath>
        <m:sSub>
          <m:sSubPr>
            <m:ctrlPr>
              <w:rPr>
                <w:rFonts w:ascii="Cambria Math" w:hAnsi="Cambria Math"/>
              </w:rPr>
            </m:ctrlPr>
          </m:sSubPr>
          <m:e>
            <m:r>
              <m:rPr>
                <m:sty m:val="p"/>
              </m:rPr>
              <w:rPr>
                <w:rFonts w:ascii="Cambria Math" w:hAnsi="Cambria Math"/>
              </w:rPr>
              <m:t>CEF</m:t>
            </m:r>
          </m:e>
          <m:sub>
            <m:r>
              <m:rPr>
                <m:sty m:val="p"/>
              </m:rPr>
              <w:rPr>
                <w:rFonts w:ascii="Cambria Math" w:hAnsi="Cambria Math"/>
              </w:rPr>
              <m:t>ee</m:t>
            </m:r>
          </m:sub>
        </m:sSub>
      </m:oMath>
      <w:r w:rsidRPr="001570EA">
        <w:t>’s are provided for dryers that use heat pump technology (including hybrid heat pump dryers) and those that do not.</w:t>
      </w:r>
    </w:p>
    <w:p w14:paraId="268C4AFE" w14:textId="77777777" w:rsidR="004E6452" w:rsidRPr="001570EA" w:rsidRDefault="004E6452" w:rsidP="004E6452">
      <w:pPr>
        <w:pStyle w:val="SubStyle"/>
      </w:pPr>
    </w:p>
    <w:p w14:paraId="6F25C19F" w14:textId="77777777" w:rsidR="004E6452" w:rsidRPr="001570EA" w:rsidRDefault="004E6452" w:rsidP="004E6452">
      <w:pPr>
        <w:pStyle w:val="SubStyle"/>
      </w:pPr>
      <w:r w:rsidRPr="001570EA">
        <w:t>Algorithms</w:t>
      </w:r>
    </w:p>
    <w:p w14:paraId="1681D851" w14:textId="77777777" w:rsidR="004E6452" w:rsidRPr="001570EA" w:rsidRDefault="004E6452" w:rsidP="004E6452">
      <w:pPr>
        <w:pStyle w:val="BodyText"/>
        <w:spacing w:after="120"/>
      </w:pPr>
      <w:r w:rsidRPr="001570EA">
        <w:t>The energy savings are obtained through the following formulas:</w:t>
      </w:r>
    </w:p>
    <w:p w14:paraId="0E54501B" w14:textId="77777777" w:rsidR="004E6452" w:rsidRPr="001570EA" w:rsidRDefault="004E6452" w:rsidP="004E6452">
      <w:pPr>
        <w:pStyle w:val="Equation"/>
        <w:spacing w:line="276" w:lineRule="auto"/>
        <w:ind w:left="0" w:firstLine="0"/>
        <w:rPr>
          <w:i w:val="0"/>
        </w:rPr>
      </w:pPr>
      <m:oMathPara>
        <m:oMathParaPr>
          <m:jc m:val="left"/>
        </m:oMathParaPr>
        <m:oMath>
          <m:r>
            <w:rPr>
              <w:rFonts w:ascii="Cambria Math" w:hAnsi="Cambria Math" w:cs="Arial"/>
              <w:sz w:val="18"/>
              <w:szCs w:val="20"/>
            </w:rPr>
            <m:t xml:space="preserve">   </m:t>
          </m:r>
          <m:r>
            <w:rPr>
              <w:rFonts w:ascii="Cambria Math" w:hAnsi="Cambria Math"/>
              <w:sz w:val="18"/>
            </w:rPr>
            <m:t>∆</m:t>
          </m:r>
          <m:r>
            <w:rPr>
              <w:rFonts w:ascii="Cambria Math" w:hAnsi="Cambria Math" w:cs="Arial"/>
              <w:sz w:val="18"/>
              <w:szCs w:val="20"/>
            </w:rPr>
            <m:t>kWh</m:t>
          </m:r>
          <m:r>
            <w:rPr>
              <w:rFonts w:ascii="Cambria Math" w:hAnsi="Cambria Math" w:cs="Arial"/>
              <w:szCs w:val="20"/>
            </w:rPr>
            <m:t xml:space="preserve">                                  = </m:t>
          </m:r>
          <m:d>
            <m:dPr>
              <m:ctrlPr>
                <w:rPr>
                  <w:rFonts w:ascii="Cambria Math" w:hAnsi="Cambria Math" w:cs="Arial"/>
                  <w:i w:val="0"/>
                </w:rPr>
              </m:ctrlPr>
            </m:dPr>
            <m:e>
              <m:f>
                <m:fPr>
                  <m:ctrlPr>
                    <w:rPr>
                      <w:rFonts w:ascii="Cambria Math" w:hAnsi="Cambria Math" w:cs="Arial"/>
                      <w:i w:val="0"/>
                    </w:rPr>
                  </m:ctrlPr>
                </m:fPr>
                <m:num>
                  <m:r>
                    <w:rPr>
                      <w:rFonts w:ascii="Cambria Math" w:hAnsi="Cambria Math" w:cs="Arial"/>
                      <w:szCs w:val="20"/>
                    </w:rPr>
                    <m:t>1</m:t>
                  </m:r>
                </m:num>
                <m:den>
                  <m:sSub>
                    <m:sSubPr>
                      <m:ctrlPr>
                        <w:rPr>
                          <w:rFonts w:ascii="Cambria Math" w:hAnsi="Cambria Math"/>
                          <w:i w:val="0"/>
                          <w:sz w:val="18"/>
                          <w:szCs w:val="18"/>
                        </w:rPr>
                      </m:ctrlPr>
                    </m:sSubPr>
                    <m:e>
                      <m:r>
                        <w:rPr>
                          <w:rFonts w:ascii="Cambria Math" w:hAnsi="Cambria Math"/>
                          <w:szCs w:val="18"/>
                        </w:rPr>
                        <m:t>CEF</m:t>
                      </m:r>
                    </m:e>
                    <m:sub>
                      <m:r>
                        <w:rPr>
                          <w:rFonts w:ascii="Cambria Math" w:hAnsi="Cambria Math"/>
                          <w:szCs w:val="18"/>
                        </w:rPr>
                        <m:t>base</m:t>
                      </m:r>
                    </m:sub>
                  </m:sSub>
                </m:den>
              </m:f>
              <m:r>
                <w:rPr>
                  <w:rFonts w:ascii="Cambria Math" w:hAnsi="Cambria Math" w:cs="Arial"/>
                  <w:szCs w:val="20"/>
                </w:rPr>
                <m:t>-</m:t>
              </m:r>
              <m:f>
                <m:fPr>
                  <m:ctrlPr>
                    <w:rPr>
                      <w:rFonts w:ascii="Cambria Math" w:hAnsi="Cambria Math" w:cs="Arial"/>
                      <w:i w:val="0"/>
                    </w:rPr>
                  </m:ctrlPr>
                </m:fPr>
                <m:num>
                  <m:r>
                    <w:rPr>
                      <w:rFonts w:ascii="Cambria Math" w:hAnsi="Cambria Math" w:cs="Arial"/>
                      <w:szCs w:val="20"/>
                    </w:rPr>
                    <m:t>1</m:t>
                  </m:r>
                </m:num>
                <m:den>
                  <m:sSub>
                    <m:sSubPr>
                      <m:ctrlPr>
                        <w:rPr>
                          <w:rFonts w:ascii="Cambria Math" w:hAnsi="Cambria Math"/>
                          <w:i w:val="0"/>
                          <w:sz w:val="18"/>
                          <w:szCs w:val="18"/>
                        </w:rPr>
                      </m:ctrlPr>
                    </m:sSubPr>
                    <m:e>
                      <m:r>
                        <w:rPr>
                          <w:rFonts w:ascii="Cambria Math" w:hAnsi="Cambria Math"/>
                          <w:szCs w:val="18"/>
                        </w:rPr>
                        <m:t>CEF</m:t>
                      </m:r>
                    </m:e>
                    <m:sub>
                      <m:r>
                        <w:rPr>
                          <w:rFonts w:ascii="Cambria Math" w:hAnsi="Cambria Math"/>
                          <w:szCs w:val="18"/>
                        </w:rPr>
                        <m:t>ee</m:t>
                      </m:r>
                    </m:sub>
                  </m:sSub>
                </m:den>
              </m:f>
            </m:e>
          </m:d>
          <m:sSub>
            <m:sSubPr>
              <m:ctrlPr>
                <w:rPr>
                  <w:rFonts w:ascii="Cambria Math" w:hAnsi="Cambria Math" w:cs="Arial"/>
                  <w:i w:val="0"/>
                </w:rPr>
              </m:ctrlPr>
            </m:sSubPr>
            <m:e>
              <m:r>
                <w:rPr>
                  <w:rFonts w:ascii="Cambria Math" w:hAnsi="Cambria Math" w:cs="Arial"/>
                  <w:szCs w:val="20"/>
                </w:rPr>
                <m:t>×</m:t>
              </m:r>
              <m:sSub>
                <m:sSubPr>
                  <m:ctrlPr>
                    <w:rPr>
                      <w:rFonts w:ascii="Cambria Math" w:hAnsi="Cambria Math" w:cs="Arial"/>
                      <w:i w:val="0"/>
                    </w:rPr>
                  </m:ctrlPr>
                </m:sSubPr>
                <m:e>
                  <m:r>
                    <w:rPr>
                      <w:rFonts w:ascii="Cambria Math" w:hAnsi="Cambria Math" w:cs="Arial"/>
                      <w:szCs w:val="20"/>
                    </w:rPr>
                    <m:t>Load</m:t>
                  </m:r>
                </m:e>
                <m:sub>
                  <m:r>
                    <w:rPr>
                      <w:rFonts w:ascii="Cambria Math" w:hAnsi="Cambria Math" w:cs="Arial"/>
                      <w:szCs w:val="20"/>
                    </w:rPr>
                    <m:t>avg</m:t>
                  </m:r>
                </m:sub>
              </m:sSub>
              <m:r>
                <w:rPr>
                  <w:rFonts w:ascii="Cambria Math" w:hAnsi="Cambria Math" w:cs="Arial"/>
                  <w:szCs w:val="20"/>
                </w:rPr>
                <m:t>×Cycles</m:t>
              </m:r>
            </m:e>
            <m:sub>
              <m:r>
                <w:rPr>
                  <w:rFonts w:ascii="Cambria Math" w:hAnsi="Cambria Math" w:cs="Arial"/>
                  <w:szCs w:val="20"/>
                </w:rPr>
                <m:t>wash</m:t>
              </m:r>
            </m:sub>
          </m:sSub>
          <m:r>
            <w:rPr>
              <w:rFonts w:ascii="Cambria Math" w:hAnsi="Cambria Math" w:cs="Arial"/>
              <w:szCs w:val="20"/>
            </w:rPr>
            <m:t>×</m:t>
          </m:r>
          <m:sSub>
            <m:sSubPr>
              <m:ctrlPr>
                <w:rPr>
                  <w:rFonts w:ascii="Cambria Math" w:hAnsi="Cambria Math" w:cs="Arial"/>
                  <w:i w:val="0"/>
                </w:rPr>
              </m:ctrlPr>
            </m:sSubPr>
            <m:e>
              <m:r>
                <w:rPr>
                  <w:rFonts w:ascii="Cambria Math" w:hAnsi="Cambria Math" w:cs="Arial"/>
                  <w:szCs w:val="20"/>
                </w:rPr>
                <m:t>%</m:t>
              </m:r>
            </m:e>
            <m:sub>
              <m:f>
                <m:fPr>
                  <m:ctrlPr>
                    <w:rPr>
                      <w:rFonts w:ascii="Cambria Math" w:hAnsi="Cambria Math" w:cs="Arial"/>
                      <w:i w:val="0"/>
                      <w:szCs w:val="20"/>
                    </w:rPr>
                  </m:ctrlPr>
                </m:fPr>
                <m:num>
                  <m:r>
                    <w:rPr>
                      <w:rFonts w:ascii="Cambria Math" w:hAnsi="Cambria Math" w:cs="Arial"/>
                      <w:szCs w:val="20"/>
                    </w:rPr>
                    <m:t>dry</m:t>
                  </m:r>
                </m:num>
                <m:den>
                  <m:r>
                    <w:rPr>
                      <w:rFonts w:ascii="Cambria Math" w:hAnsi="Cambria Math" w:cs="Arial"/>
                      <w:szCs w:val="20"/>
                    </w:rPr>
                    <m:t>wash</m:t>
                  </m:r>
                </m:den>
              </m:f>
            </m:sub>
          </m:sSub>
        </m:oMath>
      </m:oMathPara>
    </w:p>
    <w:p w14:paraId="5391C385" w14:textId="77777777" w:rsidR="004E6452" w:rsidRPr="001570EA" w:rsidRDefault="004E6452" w:rsidP="004E6452">
      <w:pPr>
        <w:pStyle w:val="Equation"/>
        <w:spacing w:line="276" w:lineRule="auto"/>
        <w:ind w:left="0" w:firstLine="0"/>
        <w:rPr>
          <w:i w:val="0"/>
          <w:sz w:val="18"/>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157"/>
        <w:gridCol w:w="6483"/>
      </w:tblGrid>
      <w:tr w:rsidR="004E6452" w:rsidRPr="001570EA" w:rsidDel="00F24288" w14:paraId="59C0D35D" w14:textId="77777777">
        <w:trPr>
          <w:trHeight w:val="720"/>
        </w:trPr>
        <w:tc>
          <w:tcPr>
            <w:tcW w:w="2265" w:type="dxa"/>
            <w:gridSpan w:val="2"/>
            <w:vAlign w:val="center"/>
          </w:tcPr>
          <w:p w14:paraId="1A06A980" w14:textId="77777777" w:rsidR="004E6452" w:rsidRPr="001570EA" w:rsidDel="00F24288" w:rsidRDefault="004E6452">
            <w:pPr>
              <w:pStyle w:val="Equation"/>
              <w:ind w:left="0" w:firstLine="0"/>
              <w:jc w:val="left"/>
              <w:rPr>
                <w:rFonts w:eastAsia="Times New Roman"/>
                <w:i w:val="0"/>
                <w:sz w:val="18"/>
              </w:rPr>
            </w:pPr>
            <m:oMathPara>
              <m:oMathParaPr>
                <m:jc m:val="left"/>
              </m:oMathParaPr>
              <m:oMath>
                <m:r>
                  <w:rPr>
                    <w:rFonts w:ascii="Cambria Math" w:hAnsi="Cambria Math"/>
                    <w:sz w:val="18"/>
                  </w:rPr>
                  <m:t>∆</m:t>
                </m:r>
                <m:sSub>
                  <m:sSubPr>
                    <m:ctrlPr>
                      <w:rPr>
                        <w:rFonts w:ascii="Cambria Math" w:hAnsi="Cambria Math"/>
                        <w:sz w:val="18"/>
                      </w:rPr>
                    </m:ctrlPr>
                  </m:sSubPr>
                  <m:e>
                    <m:r>
                      <w:rPr>
                        <w:rFonts w:ascii="Cambria Math" w:hAnsi="Cambria Math"/>
                        <w:sz w:val="18"/>
                      </w:rPr>
                      <m:t>kW</m:t>
                    </m:r>
                  </m:e>
                  <m:sub>
                    <m:r>
                      <w:rPr>
                        <w:rFonts w:ascii="Cambria Math" w:hAnsi="Cambria Math"/>
                        <w:sz w:val="18"/>
                      </w:rPr>
                      <m:t>summer peak</m:t>
                    </m:r>
                  </m:sub>
                </m:sSub>
              </m:oMath>
            </m:oMathPara>
          </w:p>
        </w:tc>
        <w:tc>
          <w:tcPr>
            <w:tcW w:w="6483" w:type="dxa"/>
            <w:vAlign w:val="center"/>
          </w:tcPr>
          <w:p w14:paraId="0CA1415C" w14:textId="77777777" w:rsidR="004E6452" w:rsidRPr="001570EA" w:rsidRDefault="004E6452">
            <w:pPr>
              <w:pStyle w:val="Equation"/>
              <w:ind w:left="0" w:firstLine="0"/>
              <w:jc w:val="left"/>
              <w:rPr>
                <w:rFonts w:cs="Arial"/>
                <w:sz w:val="18"/>
                <w:szCs w:val="20"/>
              </w:rPr>
            </w:pPr>
            <w:r w:rsidRPr="001570EA">
              <w:rPr>
                <w:rFonts w:cs="Arial"/>
                <w:sz w:val="18"/>
              </w:rPr>
              <w:t xml:space="preserve">= </w:t>
            </w:r>
            <m:oMath>
              <m:r>
                <w:rPr>
                  <w:rFonts w:ascii="Cambria Math" w:hAnsi="Cambria Math"/>
                  <w:sz w:val="18"/>
                </w:rPr>
                <m:t>∆</m:t>
              </m:r>
              <m:r>
                <w:rPr>
                  <w:rFonts w:ascii="Cambria Math" w:hAnsi="Cambria Math" w:cs="Arial"/>
                  <w:sz w:val="18"/>
                  <w:szCs w:val="20"/>
                </w:rPr>
                <m:t>kWh ×ETD</m:t>
              </m:r>
              <m:sSub>
                <m:sSubPr>
                  <m:ctrlPr>
                    <w:rPr>
                      <w:rFonts w:ascii="Cambria Math" w:hAnsi="Cambria Math" w:cs="Arial"/>
                      <w:sz w:val="18"/>
                      <w:szCs w:val="20"/>
                    </w:rPr>
                  </m:ctrlPr>
                </m:sSubPr>
                <m:e>
                  <m:r>
                    <w:rPr>
                      <w:rFonts w:ascii="Cambria Math" w:hAnsi="Cambria Math" w:cs="Arial"/>
                      <w:sz w:val="18"/>
                      <w:szCs w:val="20"/>
                    </w:rPr>
                    <m:t>F</m:t>
                  </m:r>
                </m:e>
                <m:sub>
                  <m:r>
                    <w:rPr>
                      <w:rFonts w:ascii="Cambria Math" w:hAnsi="Cambria Math" w:cs="Arial"/>
                      <w:sz w:val="18"/>
                      <w:szCs w:val="20"/>
                    </w:rPr>
                    <m:t>s</m:t>
                  </m:r>
                </m:sub>
              </m:sSub>
            </m:oMath>
          </w:p>
          <w:p w14:paraId="21552032" w14:textId="77777777" w:rsidR="004E6452" w:rsidRPr="001570EA" w:rsidDel="00F24288" w:rsidRDefault="004E6452">
            <w:pPr>
              <w:pStyle w:val="Equation"/>
              <w:ind w:left="0" w:firstLine="0"/>
              <w:jc w:val="left"/>
              <w:rPr>
                <w:rFonts w:cs="Arial"/>
                <w:sz w:val="18"/>
              </w:rPr>
            </w:pPr>
          </w:p>
        </w:tc>
      </w:tr>
      <w:tr w:rsidR="004E6452" w:rsidRPr="001570EA" w:rsidDel="00F24288" w14:paraId="7A0BCB12" w14:textId="77777777">
        <w:trPr>
          <w:gridBefore w:val="1"/>
          <w:wBefore w:w="108" w:type="dxa"/>
          <w:trHeight w:val="720"/>
        </w:trPr>
        <w:tc>
          <w:tcPr>
            <w:tcW w:w="2157" w:type="dxa"/>
            <w:vAlign w:val="center"/>
          </w:tcPr>
          <w:p w14:paraId="55796F46" w14:textId="77777777" w:rsidR="004E6452" w:rsidRPr="001570EA" w:rsidDel="00F24288" w:rsidRDefault="004E6452">
            <w:pPr>
              <w:pStyle w:val="Equation"/>
              <w:ind w:left="0" w:firstLine="0"/>
              <w:jc w:val="left"/>
              <w:rPr>
                <w:rFonts w:eastAsia="Times New Roman"/>
                <w:i w:val="0"/>
                <w:sz w:val="18"/>
              </w:rPr>
            </w:pPr>
            <m:oMathPara>
              <m:oMathParaPr>
                <m:jc m:val="left"/>
              </m:oMathParaPr>
              <m:oMath>
                <m:r>
                  <w:rPr>
                    <w:rFonts w:ascii="Cambria Math" w:hAnsi="Cambria Math"/>
                    <w:sz w:val="18"/>
                  </w:rPr>
                  <m:t>∆</m:t>
                </m:r>
                <m:sSub>
                  <m:sSubPr>
                    <m:ctrlPr>
                      <w:rPr>
                        <w:rFonts w:ascii="Cambria Math" w:hAnsi="Cambria Math"/>
                        <w:sz w:val="18"/>
                      </w:rPr>
                    </m:ctrlPr>
                  </m:sSubPr>
                  <m:e>
                    <m:r>
                      <w:rPr>
                        <w:rFonts w:ascii="Cambria Math" w:hAnsi="Cambria Math"/>
                        <w:sz w:val="18"/>
                      </w:rPr>
                      <m:t>kW</m:t>
                    </m:r>
                  </m:e>
                  <m:sub>
                    <m:r>
                      <w:rPr>
                        <w:rFonts w:ascii="Cambria Math" w:hAnsi="Cambria Math"/>
                        <w:sz w:val="18"/>
                      </w:rPr>
                      <m:t>winter peak</m:t>
                    </m:r>
                  </m:sub>
                </m:sSub>
              </m:oMath>
            </m:oMathPara>
          </w:p>
        </w:tc>
        <w:tc>
          <w:tcPr>
            <w:tcW w:w="6483" w:type="dxa"/>
            <w:vAlign w:val="center"/>
          </w:tcPr>
          <w:p w14:paraId="2EAEBE20" w14:textId="77777777" w:rsidR="004E6452" w:rsidRPr="001570EA" w:rsidRDefault="004E6452">
            <w:pPr>
              <w:pStyle w:val="Equation"/>
              <w:ind w:left="0" w:firstLine="0"/>
              <w:jc w:val="left"/>
              <w:rPr>
                <w:rFonts w:cs="Arial"/>
                <w:sz w:val="18"/>
                <w:szCs w:val="20"/>
              </w:rPr>
            </w:pPr>
            <w:r w:rsidRPr="001570EA">
              <w:rPr>
                <w:rFonts w:cs="Arial"/>
                <w:sz w:val="18"/>
              </w:rPr>
              <w:t xml:space="preserve">= </w:t>
            </w:r>
            <m:oMath>
              <m:r>
                <w:rPr>
                  <w:rFonts w:ascii="Cambria Math" w:hAnsi="Cambria Math"/>
                  <w:sz w:val="18"/>
                </w:rPr>
                <m:t>∆</m:t>
              </m:r>
              <m:r>
                <w:rPr>
                  <w:rFonts w:ascii="Cambria Math" w:hAnsi="Cambria Math" w:cs="Arial"/>
                  <w:sz w:val="18"/>
                  <w:szCs w:val="20"/>
                </w:rPr>
                <m:t>kWh ×ETD</m:t>
              </m:r>
              <m:sSub>
                <m:sSubPr>
                  <m:ctrlPr>
                    <w:rPr>
                      <w:rFonts w:ascii="Cambria Math" w:hAnsi="Cambria Math" w:cs="Arial"/>
                      <w:sz w:val="18"/>
                      <w:szCs w:val="20"/>
                    </w:rPr>
                  </m:ctrlPr>
                </m:sSubPr>
                <m:e>
                  <m:r>
                    <w:rPr>
                      <w:rFonts w:ascii="Cambria Math" w:hAnsi="Cambria Math" w:cs="Arial"/>
                      <w:sz w:val="18"/>
                      <w:szCs w:val="20"/>
                    </w:rPr>
                    <m:t>F</m:t>
                  </m:r>
                </m:e>
                <m:sub>
                  <m:r>
                    <w:rPr>
                      <w:rFonts w:ascii="Cambria Math" w:hAnsi="Cambria Math" w:cs="Arial"/>
                      <w:sz w:val="18"/>
                      <w:szCs w:val="20"/>
                    </w:rPr>
                    <m:t>w</m:t>
                  </m:r>
                </m:sub>
              </m:sSub>
            </m:oMath>
          </w:p>
          <w:p w14:paraId="00C0A879" w14:textId="77777777" w:rsidR="004E6452" w:rsidRPr="001570EA" w:rsidDel="00F24288" w:rsidRDefault="004E6452">
            <w:pPr>
              <w:pStyle w:val="Equation"/>
              <w:ind w:left="0" w:firstLine="0"/>
              <w:jc w:val="left"/>
              <w:rPr>
                <w:rFonts w:cs="Arial"/>
                <w:sz w:val="18"/>
              </w:rPr>
            </w:pPr>
          </w:p>
        </w:tc>
      </w:tr>
    </w:tbl>
    <w:p w14:paraId="317A7CAF" w14:textId="77777777" w:rsidR="004E6452" w:rsidRPr="001570EA" w:rsidRDefault="004E6452" w:rsidP="004E6452">
      <w:pPr>
        <w:pStyle w:val="SubStyle"/>
      </w:pPr>
    </w:p>
    <w:p w14:paraId="430E106D" w14:textId="77777777" w:rsidR="004E6452" w:rsidRPr="001570EA" w:rsidRDefault="004E6452" w:rsidP="004E6452">
      <w:pPr>
        <w:pStyle w:val="SubStyle"/>
      </w:pPr>
      <w:r w:rsidRPr="001570EA">
        <w:t>Definition of Terms</w:t>
      </w:r>
    </w:p>
    <w:p w14:paraId="0D99110C" w14:textId="0145863E" w:rsidR="004E6452" w:rsidRPr="001570EA" w:rsidRDefault="004E6452" w:rsidP="004E6452">
      <w:pPr>
        <w:pStyle w:val="Caption"/>
        <w:keepNext w:val="0"/>
      </w:pPr>
      <w:bookmarkStart w:id="598" w:name="_Toc530141749"/>
      <w:bookmarkStart w:id="599" w:name="_Toc47598324"/>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107</w:t>
      </w:r>
      <w:r w:rsidR="002E093A" w:rsidRPr="001570EA">
        <w:fldChar w:fldCharType="end"/>
      </w:r>
      <w:r w:rsidRPr="001570EA">
        <w:t>: Terms</w:t>
      </w:r>
      <w:r w:rsidRPr="001570EA">
        <w:rPr>
          <w:rFonts w:cs="Arial"/>
        </w:rPr>
        <w:t>, Values, and References for</w:t>
      </w:r>
      <w:r w:rsidRPr="001570EA">
        <w:t xml:space="preserve"> ENERGY STAR Clothes Dryers</w:t>
      </w:r>
      <w:bookmarkEnd w:id="598"/>
      <w:bookmarkEnd w:id="599"/>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2107"/>
        <w:gridCol w:w="1703"/>
        <w:gridCol w:w="1158"/>
      </w:tblGrid>
      <w:tr w:rsidR="004E6452" w:rsidRPr="001570EA" w14:paraId="5398FAA7" w14:textId="77777777">
        <w:tc>
          <w:tcPr>
            <w:tcW w:w="20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FBEF8" w14:textId="77777777" w:rsidR="004E6452" w:rsidRPr="001570EA" w:rsidRDefault="004E6452">
            <w:pPr>
              <w:pStyle w:val="TableCell"/>
              <w:keepNext w:val="0"/>
              <w:spacing w:before="60" w:after="60"/>
              <w:jc w:val="left"/>
              <w:rPr>
                <w:b/>
                <w:szCs w:val="18"/>
              </w:rPr>
            </w:pPr>
            <w:r w:rsidRPr="001570EA">
              <w:rPr>
                <w:b/>
                <w:szCs w:val="18"/>
              </w:rPr>
              <w:t>Term</w:t>
            </w:r>
          </w:p>
        </w:tc>
        <w:tc>
          <w:tcPr>
            <w:tcW w:w="12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BE001D" w14:textId="77777777" w:rsidR="004E6452" w:rsidRPr="001570EA" w:rsidRDefault="004E6452">
            <w:pPr>
              <w:pStyle w:val="TableCell"/>
              <w:keepNext w:val="0"/>
              <w:spacing w:before="60" w:after="60"/>
              <w:jc w:val="center"/>
              <w:rPr>
                <w:b/>
                <w:szCs w:val="18"/>
              </w:rPr>
            </w:pPr>
            <w:r w:rsidRPr="001570EA">
              <w:rPr>
                <w:b/>
                <w:szCs w:val="18"/>
              </w:rPr>
              <w:t>Unit</w:t>
            </w:r>
          </w:p>
        </w:tc>
        <w:tc>
          <w:tcPr>
            <w:tcW w:w="9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17586F" w14:textId="77777777" w:rsidR="004E6452" w:rsidRPr="001570EA" w:rsidRDefault="004E6452">
            <w:pPr>
              <w:pStyle w:val="TableCell"/>
              <w:keepNext w:val="0"/>
              <w:spacing w:before="60" w:after="60"/>
              <w:jc w:val="center"/>
              <w:rPr>
                <w:b/>
                <w:szCs w:val="18"/>
              </w:rPr>
            </w:pPr>
            <w:r w:rsidRPr="001570EA">
              <w:rPr>
                <w:b/>
                <w:szCs w:val="18"/>
              </w:rPr>
              <w:t>Values</w:t>
            </w:r>
          </w:p>
        </w:tc>
        <w:tc>
          <w:tcPr>
            <w:tcW w:w="6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A89CEE" w14:textId="77777777" w:rsidR="004E6452" w:rsidRPr="001570EA" w:rsidRDefault="004E6452">
            <w:pPr>
              <w:pStyle w:val="TableCell"/>
              <w:keepNext w:val="0"/>
              <w:spacing w:before="60" w:after="60"/>
              <w:jc w:val="center"/>
              <w:rPr>
                <w:b/>
                <w:szCs w:val="18"/>
              </w:rPr>
            </w:pPr>
            <w:r w:rsidRPr="001570EA">
              <w:rPr>
                <w:b/>
                <w:szCs w:val="18"/>
              </w:rPr>
              <w:t>Source</w:t>
            </w:r>
          </w:p>
        </w:tc>
      </w:tr>
      <w:tr w:rsidR="004E6452" w:rsidRPr="001570EA" w14:paraId="24F91748" w14:textId="77777777">
        <w:tc>
          <w:tcPr>
            <w:tcW w:w="2086" w:type="pct"/>
            <w:tcBorders>
              <w:top w:val="single" w:sz="4" w:space="0" w:color="auto"/>
              <w:left w:val="single" w:sz="4" w:space="0" w:color="auto"/>
              <w:bottom w:val="single" w:sz="4" w:space="0" w:color="auto"/>
              <w:right w:val="single" w:sz="4" w:space="0" w:color="auto"/>
            </w:tcBorders>
            <w:hideMark/>
          </w:tcPr>
          <w:p w14:paraId="2ED4A83E" w14:textId="2A355CD5" w:rsidR="004E6452" w:rsidRPr="001570EA" w:rsidRDefault="003B5E04">
            <w:pPr>
              <w:pStyle w:val="TableCell"/>
              <w:keepNext w:val="0"/>
              <w:spacing w:before="60" w:after="60"/>
              <w:jc w:val="left"/>
              <w:rPr>
                <w:szCs w:val="18"/>
              </w:rPr>
            </w:pPr>
            <m:oMath>
              <m:sSub>
                <m:sSubPr>
                  <m:ctrlPr>
                    <w:rPr>
                      <w:rFonts w:ascii="Cambria Math" w:hAnsi="Cambria Math"/>
                      <w:i/>
                      <w:szCs w:val="18"/>
                    </w:rPr>
                  </m:ctrlPr>
                </m:sSubPr>
                <m:e>
                  <m:r>
                    <w:rPr>
                      <w:rFonts w:ascii="Cambria Math" w:hAnsi="Cambria Math"/>
                      <w:szCs w:val="18"/>
                    </w:rPr>
                    <m:t>Cycles</m:t>
                  </m:r>
                </m:e>
                <m:sub>
                  <m:r>
                    <w:rPr>
                      <w:rFonts w:ascii="Cambria Math" w:hAnsi="Cambria Math"/>
                      <w:szCs w:val="18"/>
                    </w:rPr>
                    <m:t>wash</m:t>
                  </m:r>
                </m:sub>
              </m:sSub>
            </m:oMath>
            <w:r w:rsidR="004E6452" w:rsidRPr="001570EA">
              <w:rPr>
                <w:szCs w:val="18"/>
              </w:rPr>
              <w:t>, Number of washing machine cycles per year</w:t>
            </w:r>
          </w:p>
        </w:tc>
        <w:tc>
          <w:tcPr>
            <w:tcW w:w="1236" w:type="pct"/>
            <w:tcBorders>
              <w:top w:val="single" w:sz="4" w:space="0" w:color="auto"/>
              <w:left w:val="single" w:sz="4" w:space="0" w:color="auto"/>
              <w:bottom w:val="single" w:sz="4" w:space="0" w:color="auto"/>
              <w:right w:val="single" w:sz="4" w:space="0" w:color="auto"/>
            </w:tcBorders>
            <w:hideMark/>
          </w:tcPr>
          <w:p w14:paraId="2F47289E" w14:textId="77777777" w:rsidR="004E6452" w:rsidRPr="001570EA" w:rsidRDefault="004E6452">
            <w:pPr>
              <w:pStyle w:val="TableCell"/>
              <w:keepNext w:val="0"/>
              <w:spacing w:before="60" w:after="60"/>
              <w:jc w:val="center"/>
              <w:rPr>
                <w:rFonts w:eastAsia="Arial Unicode MS" w:cs="Arial"/>
                <w:i/>
                <w:iCs/>
                <w:szCs w:val="18"/>
              </w:rPr>
            </w:pPr>
            <w:r w:rsidRPr="001570EA">
              <w:rPr>
                <w:i/>
                <w:szCs w:val="18"/>
              </w:rPr>
              <w:t>cycles/yr</w:t>
            </w:r>
          </w:p>
        </w:tc>
        <w:tc>
          <w:tcPr>
            <w:tcW w:w="999" w:type="pct"/>
            <w:tcBorders>
              <w:top w:val="single" w:sz="4" w:space="0" w:color="auto"/>
              <w:left w:val="single" w:sz="4" w:space="0" w:color="auto"/>
              <w:bottom w:val="single" w:sz="4" w:space="0" w:color="auto"/>
              <w:right w:val="single" w:sz="4" w:space="0" w:color="auto"/>
            </w:tcBorders>
            <w:hideMark/>
          </w:tcPr>
          <w:p w14:paraId="57EE03EC" w14:textId="77777777" w:rsidR="004E6452" w:rsidRPr="001570EA" w:rsidRDefault="004E6452">
            <w:pPr>
              <w:pStyle w:val="TableCell"/>
              <w:keepNext w:val="0"/>
              <w:spacing w:before="60" w:after="60"/>
              <w:jc w:val="center"/>
              <w:rPr>
                <w:rFonts w:eastAsia="Arial Unicode MS" w:cs="Arial"/>
                <w:iCs/>
                <w:szCs w:val="18"/>
              </w:rPr>
            </w:pPr>
            <w:r w:rsidRPr="001570EA">
              <w:rPr>
                <w:rFonts w:eastAsia="Arial Unicode MS" w:cs="Arial"/>
                <w:iCs/>
                <w:szCs w:val="18"/>
              </w:rPr>
              <w:t>178</w:t>
            </w:r>
          </w:p>
        </w:tc>
        <w:tc>
          <w:tcPr>
            <w:tcW w:w="679" w:type="pct"/>
            <w:tcBorders>
              <w:top w:val="single" w:sz="4" w:space="0" w:color="auto"/>
              <w:left w:val="single" w:sz="4" w:space="0" w:color="auto"/>
              <w:bottom w:val="single" w:sz="4" w:space="0" w:color="auto"/>
              <w:right w:val="single" w:sz="4" w:space="0" w:color="auto"/>
            </w:tcBorders>
            <w:hideMark/>
          </w:tcPr>
          <w:p w14:paraId="61195C5C" w14:textId="77777777" w:rsidR="004E6452" w:rsidRPr="001570EA" w:rsidRDefault="004E6452">
            <w:pPr>
              <w:pStyle w:val="TableCell"/>
              <w:keepNext w:val="0"/>
              <w:spacing w:before="60" w:after="60"/>
              <w:jc w:val="center"/>
              <w:rPr>
                <w:rFonts w:eastAsia="Arial Unicode MS" w:cs="Arial"/>
                <w:i/>
                <w:iCs/>
                <w:szCs w:val="18"/>
              </w:rPr>
            </w:pPr>
            <w:r w:rsidRPr="001570EA">
              <w:rPr>
                <w:szCs w:val="18"/>
              </w:rPr>
              <w:t>5</w:t>
            </w:r>
          </w:p>
        </w:tc>
      </w:tr>
      <w:tr w:rsidR="004E6452" w:rsidRPr="001570EA" w14:paraId="18AE6190" w14:textId="77777777">
        <w:tc>
          <w:tcPr>
            <w:tcW w:w="2086" w:type="pct"/>
            <w:tcBorders>
              <w:top w:val="single" w:sz="4" w:space="0" w:color="auto"/>
              <w:left w:val="single" w:sz="4" w:space="0" w:color="auto"/>
              <w:bottom w:val="single" w:sz="4" w:space="0" w:color="auto"/>
              <w:right w:val="single" w:sz="4" w:space="0" w:color="auto"/>
            </w:tcBorders>
            <w:hideMark/>
          </w:tcPr>
          <w:p w14:paraId="02FEE12E" w14:textId="5C37145F" w:rsidR="004E6452" w:rsidRPr="001570EA" w:rsidRDefault="003B5E04">
            <w:pPr>
              <w:pStyle w:val="TableCell"/>
              <w:keepNext w:val="0"/>
              <w:spacing w:before="60" w:after="60"/>
              <w:jc w:val="left"/>
              <w:rPr>
                <w:szCs w:val="18"/>
              </w:rPr>
            </w:pPr>
            <m:oMath>
              <m:sSub>
                <m:sSubPr>
                  <m:ctrlPr>
                    <w:rPr>
                      <w:rFonts w:ascii="Cambria Math" w:hAnsi="Cambria Math"/>
                      <w:i/>
                      <w:szCs w:val="18"/>
                    </w:rPr>
                  </m:ctrlPr>
                </m:sSubPr>
                <m:e>
                  <m:r>
                    <w:rPr>
                      <w:rFonts w:ascii="Cambria Math" w:hAnsi="Cambria Math"/>
                      <w:szCs w:val="18"/>
                    </w:rPr>
                    <m:t>Load</m:t>
                  </m:r>
                </m:e>
                <m:sub>
                  <m:r>
                    <w:rPr>
                      <w:rFonts w:ascii="Cambria Math" w:hAnsi="Cambria Math"/>
                      <w:szCs w:val="18"/>
                    </w:rPr>
                    <m:t>avg</m:t>
                  </m:r>
                </m:sub>
              </m:sSub>
            </m:oMath>
            <w:r w:rsidR="004E6452" w:rsidRPr="001570EA">
              <w:rPr>
                <w:szCs w:val="18"/>
              </w:rPr>
              <w:t>, Weight of average dryer load, in pounds per load</w:t>
            </w:r>
          </w:p>
        </w:tc>
        <w:tc>
          <w:tcPr>
            <w:tcW w:w="1236" w:type="pct"/>
            <w:tcBorders>
              <w:top w:val="single" w:sz="4" w:space="0" w:color="auto"/>
              <w:left w:val="single" w:sz="4" w:space="0" w:color="auto"/>
              <w:bottom w:val="single" w:sz="4" w:space="0" w:color="auto"/>
              <w:right w:val="single" w:sz="4" w:space="0" w:color="auto"/>
            </w:tcBorders>
            <w:hideMark/>
          </w:tcPr>
          <w:p w14:paraId="071141C9" w14:textId="77777777" w:rsidR="004E6452" w:rsidRPr="001570EA" w:rsidRDefault="004E6452">
            <w:pPr>
              <w:pStyle w:val="TableCell"/>
              <w:keepNext w:val="0"/>
              <w:spacing w:before="60" w:after="60"/>
              <w:jc w:val="center"/>
              <w:rPr>
                <w:rFonts w:eastAsia="Arial Unicode MS" w:cs="Arial"/>
                <w:i/>
                <w:iCs/>
                <w:szCs w:val="18"/>
              </w:rPr>
            </w:pPr>
            <w:r w:rsidRPr="001570EA">
              <w:rPr>
                <w:rFonts w:eastAsia="Arial Unicode MS" w:cs="Arial"/>
                <w:i/>
                <w:iCs/>
                <w:szCs w:val="18"/>
              </w:rPr>
              <w:t>lbs/load</w:t>
            </w:r>
          </w:p>
        </w:tc>
        <w:tc>
          <w:tcPr>
            <w:tcW w:w="999" w:type="pct"/>
            <w:tcBorders>
              <w:top w:val="single" w:sz="4" w:space="0" w:color="auto"/>
              <w:left w:val="single" w:sz="4" w:space="0" w:color="auto"/>
              <w:bottom w:val="single" w:sz="4" w:space="0" w:color="auto"/>
              <w:right w:val="single" w:sz="4" w:space="0" w:color="auto"/>
            </w:tcBorders>
            <w:hideMark/>
          </w:tcPr>
          <w:p w14:paraId="3C15659C" w14:textId="77777777" w:rsidR="004E6452" w:rsidRPr="001570EA" w:rsidRDefault="004E6452">
            <w:pPr>
              <w:pStyle w:val="TableCell"/>
              <w:keepNext w:val="0"/>
              <w:spacing w:before="60" w:after="60"/>
              <w:jc w:val="center"/>
              <w:rPr>
                <w:rFonts w:eastAsia="Arial Unicode MS" w:cs="Arial"/>
                <w:iCs/>
                <w:szCs w:val="18"/>
              </w:rPr>
            </w:pPr>
            <w:r w:rsidRPr="001570EA">
              <w:rPr>
                <w:rFonts w:eastAsia="Arial Unicode MS" w:cs="Arial"/>
                <w:iCs/>
                <w:szCs w:val="18"/>
              </w:rPr>
              <w:t>Standard: 8.45</w:t>
            </w:r>
          </w:p>
          <w:p w14:paraId="1BE7D4E0" w14:textId="77777777" w:rsidR="004E6452" w:rsidRPr="001570EA" w:rsidRDefault="004E6452">
            <w:pPr>
              <w:pStyle w:val="TableCell"/>
              <w:keepNext w:val="0"/>
              <w:spacing w:before="60" w:after="60"/>
              <w:jc w:val="center"/>
              <w:rPr>
                <w:rFonts w:eastAsia="Arial Unicode MS" w:cs="Arial"/>
                <w:iCs/>
                <w:szCs w:val="18"/>
              </w:rPr>
            </w:pPr>
            <w:r w:rsidRPr="001570EA">
              <w:rPr>
                <w:rFonts w:eastAsia="Arial Unicode MS" w:cs="Arial"/>
                <w:iCs/>
                <w:szCs w:val="18"/>
              </w:rPr>
              <w:t>Compact: 3.00</w:t>
            </w:r>
          </w:p>
        </w:tc>
        <w:tc>
          <w:tcPr>
            <w:tcW w:w="679" w:type="pct"/>
            <w:tcBorders>
              <w:top w:val="single" w:sz="4" w:space="0" w:color="auto"/>
              <w:left w:val="single" w:sz="4" w:space="0" w:color="auto"/>
              <w:bottom w:val="single" w:sz="4" w:space="0" w:color="auto"/>
              <w:right w:val="single" w:sz="4" w:space="0" w:color="auto"/>
            </w:tcBorders>
            <w:hideMark/>
          </w:tcPr>
          <w:p w14:paraId="27DE5D4F" w14:textId="77777777" w:rsidR="004E6452" w:rsidRPr="001570EA" w:rsidRDefault="004E6452">
            <w:pPr>
              <w:pStyle w:val="TableCell"/>
              <w:keepNext w:val="0"/>
              <w:spacing w:before="60" w:after="60"/>
              <w:jc w:val="center"/>
              <w:rPr>
                <w:rFonts w:eastAsia="Arial Unicode MS" w:cs="Arial"/>
                <w:iCs/>
                <w:szCs w:val="18"/>
              </w:rPr>
            </w:pPr>
            <w:r w:rsidRPr="001570EA">
              <w:rPr>
                <w:rFonts w:eastAsia="Arial Unicode MS" w:cs="Arial"/>
                <w:iCs/>
                <w:szCs w:val="18"/>
              </w:rPr>
              <w:t>6</w:t>
            </w:r>
          </w:p>
        </w:tc>
      </w:tr>
      <w:tr w:rsidR="004E6452" w:rsidRPr="001570EA" w14:paraId="49CA6BDA" w14:textId="77777777">
        <w:tc>
          <w:tcPr>
            <w:tcW w:w="2086" w:type="pct"/>
            <w:tcBorders>
              <w:top w:val="single" w:sz="4" w:space="0" w:color="auto"/>
              <w:left w:val="single" w:sz="4" w:space="0" w:color="auto"/>
              <w:bottom w:val="single" w:sz="4" w:space="0" w:color="auto"/>
              <w:right w:val="single" w:sz="4" w:space="0" w:color="auto"/>
            </w:tcBorders>
            <w:hideMark/>
          </w:tcPr>
          <w:p w14:paraId="74E19E30" w14:textId="481554CE" w:rsidR="004E6452" w:rsidRPr="001570EA" w:rsidRDefault="003B5E04">
            <w:pPr>
              <w:pStyle w:val="TableCell"/>
              <w:keepNext w:val="0"/>
              <w:spacing w:before="60" w:after="60"/>
              <w:jc w:val="left"/>
              <w:rPr>
                <w:szCs w:val="18"/>
              </w:rPr>
            </w:pPr>
            <m:oMath>
              <m:sSub>
                <m:sSubPr>
                  <m:ctrlPr>
                    <w:rPr>
                      <w:rFonts w:ascii="Cambria Math" w:eastAsia="Calibri" w:hAnsi="Cambria Math" w:cs="Arial"/>
                      <w:i/>
                      <w:szCs w:val="18"/>
                    </w:rPr>
                  </m:ctrlPr>
                </m:sSubPr>
                <m:e>
                  <m:r>
                    <w:rPr>
                      <w:rFonts w:ascii="Cambria Math" w:hAnsi="Cambria Math" w:cs="Arial"/>
                      <w:szCs w:val="18"/>
                    </w:rPr>
                    <m:t>%</m:t>
                  </m:r>
                </m:e>
                <m:sub>
                  <m:f>
                    <m:fPr>
                      <m:ctrlPr>
                        <w:rPr>
                          <w:rFonts w:ascii="Cambria Math" w:hAnsi="Cambria Math" w:cs="Arial"/>
                          <w:i/>
                          <w:szCs w:val="18"/>
                        </w:rPr>
                      </m:ctrlPr>
                    </m:fPr>
                    <m:num>
                      <m:r>
                        <w:rPr>
                          <w:rFonts w:ascii="Cambria Math" w:hAnsi="Cambria Math" w:cs="Arial"/>
                          <w:szCs w:val="18"/>
                        </w:rPr>
                        <m:t>dry</m:t>
                      </m:r>
                    </m:num>
                    <m:den>
                      <m:r>
                        <w:rPr>
                          <w:rFonts w:ascii="Cambria Math" w:hAnsi="Cambria Math" w:cs="Arial"/>
                          <w:szCs w:val="18"/>
                        </w:rPr>
                        <m:t>wash</m:t>
                      </m:r>
                    </m:den>
                  </m:f>
                </m:sub>
              </m:sSub>
            </m:oMath>
            <w:r w:rsidR="004E6452" w:rsidRPr="001570EA">
              <w:rPr>
                <w:szCs w:val="18"/>
              </w:rPr>
              <w:t>, Percentage of homes with a dryer that use the dryer for every load</w:t>
            </w:r>
          </w:p>
        </w:tc>
        <w:tc>
          <w:tcPr>
            <w:tcW w:w="1236" w:type="pct"/>
            <w:tcBorders>
              <w:top w:val="single" w:sz="4" w:space="0" w:color="auto"/>
              <w:left w:val="single" w:sz="4" w:space="0" w:color="auto"/>
              <w:bottom w:val="single" w:sz="4" w:space="0" w:color="auto"/>
              <w:right w:val="single" w:sz="4" w:space="0" w:color="auto"/>
            </w:tcBorders>
            <w:hideMark/>
          </w:tcPr>
          <w:p w14:paraId="0E7E7F37" w14:textId="77777777" w:rsidR="004E6452" w:rsidRPr="001570EA" w:rsidRDefault="004E6452">
            <w:pPr>
              <w:pStyle w:val="TableCell"/>
              <w:keepNext w:val="0"/>
              <w:spacing w:before="60" w:after="60"/>
              <w:jc w:val="center"/>
              <w:rPr>
                <w:rFonts w:eastAsia="Arial Unicode MS" w:cs="Arial"/>
                <w:i/>
                <w:iCs/>
                <w:szCs w:val="18"/>
              </w:rPr>
            </w:pPr>
            <w:r w:rsidRPr="001570EA">
              <w:rPr>
                <w:rFonts w:eastAsia="Arial Unicode MS" w:cs="Arial"/>
                <w:i/>
                <w:iCs/>
                <w:szCs w:val="18"/>
              </w:rPr>
              <w:t>%</w:t>
            </w:r>
          </w:p>
        </w:tc>
        <w:tc>
          <w:tcPr>
            <w:tcW w:w="999" w:type="pct"/>
            <w:tcBorders>
              <w:top w:val="single" w:sz="4" w:space="0" w:color="auto"/>
              <w:left w:val="single" w:sz="4" w:space="0" w:color="auto"/>
              <w:bottom w:val="single" w:sz="4" w:space="0" w:color="auto"/>
              <w:right w:val="single" w:sz="4" w:space="0" w:color="auto"/>
            </w:tcBorders>
            <w:hideMark/>
          </w:tcPr>
          <w:p w14:paraId="25E32A7D" w14:textId="77777777" w:rsidR="004E6452" w:rsidRPr="001570EA" w:rsidRDefault="004E6452">
            <w:pPr>
              <w:pStyle w:val="TableCell"/>
              <w:keepNext w:val="0"/>
              <w:spacing w:before="60" w:after="60"/>
              <w:jc w:val="center"/>
              <w:rPr>
                <w:rFonts w:eastAsia="Arial Unicode MS" w:cs="Arial"/>
                <w:iCs/>
                <w:szCs w:val="18"/>
              </w:rPr>
            </w:pPr>
            <w:r w:rsidRPr="001570EA">
              <w:rPr>
                <w:rFonts w:eastAsia="Arial Unicode MS" w:cs="Arial"/>
                <w:iCs/>
                <w:szCs w:val="18"/>
              </w:rPr>
              <w:t>99%</w:t>
            </w:r>
          </w:p>
          <w:p w14:paraId="16E1B828" w14:textId="77777777" w:rsidR="004E6452" w:rsidRPr="001570EA" w:rsidRDefault="004E6452">
            <w:pPr>
              <w:pStyle w:val="TableCell"/>
              <w:keepNext w:val="0"/>
              <w:spacing w:before="60" w:after="60"/>
              <w:jc w:val="center"/>
              <w:rPr>
                <w:rFonts w:eastAsia="Arial Unicode MS" w:cs="Arial"/>
                <w:iCs/>
                <w:szCs w:val="18"/>
              </w:rPr>
            </w:pPr>
            <w:r w:rsidRPr="001570EA">
              <w:rPr>
                <w:rFonts w:eastAsia="Arial Unicode MS" w:cs="Arial"/>
                <w:iCs/>
                <w:szCs w:val="18"/>
              </w:rPr>
              <w:t>Or EDC data gathering</w:t>
            </w:r>
          </w:p>
        </w:tc>
        <w:tc>
          <w:tcPr>
            <w:tcW w:w="679" w:type="pct"/>
            <w:tcBorders>
              <w:top w:val="single" w:sz="4" w:space="0" w:color="auto"/>
              <w:left w:val="single" w:sz="4" w:space="0" w:color="auto"/>
              <w:bottom w:val="single" w:sz="4" w:space="0" w:color="auto"/>
              <w:right w:val="single" w:sz="4" w:space="0" w:color="auto"/>
            </w:tcBorders>
            <w:hideMark/>
          </w:tcPr>
          <w:p w14:paraId="6C629997" w14:textId="77777777" w:rsidR="004E6452" w:rsidRPr="001570EA" w:rsidRDefault="004E6452">
            <w:pPr>
              <w:pStyle w:val="TableCell"/>
              <w:keepNext w:val="0"/>
              <w:spacing w:before="60" w:after="60"/>
              <w:jc w:val="center"/>
              <w:rPr>
                <w:rFonts w:eastAsia="Arial Unicode MS" w:cs="Arial"/>
                <w:iCs/>
                <w:szCs w:val="18"/>
              </w:rPr>
            </w:pPr>
            <w:r w:rsidRPr="001570EA">
              <w:rPr>
                <w:rFonts w:eastAsia="Arial Unicode MS" w:cs="Arial"/>
                <w:iCs/>
                <w:szCs w:val="18"/>
              </w:rPr>
              <w:t xml:space="preserve">5, </w:t>
            </w:r>
          </w:p>
          <w:p w14:paraId="1DAB2580" w14:textId="77777777" w:rsidR="004E6452" w:rsidRPr="001570EA" w:rsidRDefault="004E6452">
            <w:pPr>
              <w:pStyle w:val="TableCell"/>
              <w:keepNext w:val="0"/>
              <w:spacing w:before="60" w:after="60"/>
              <w:jc w:val="center"/>
              <w:rPr>
                <w:rFonts w:eastAsia="Arial Unicode MS" w:cs="Arial"/>
                <w:iCs/>
                <w:szCs w:val="18"/>
              </w:rPr>
            </w:pPr>
            <w:r w:rsidRPr="001570EA">
              <w:rPr>
                <w:rFonts w:eastAsia="Arial Unicode MS" w:cs="Arial"/>
                <w:iCs/>
                <w:szCs w:val="18"/>
              </w:rPr>
              <w:t>EDC data gathering</w:t>
            </w:r>
          </w:p>
        </w:tc>
      </w:tr>
      <w:tr w:rsidR="004E6452" w:rsidRPr="001570EA" w14:paraId="285E3009" w14:textId="77777777">
        <w:tc>
          <w:tcPr>
            <w:tcW w:w="2086" w:type="pct"/>
            <w:tcBorders>
              <w:top w:val="single" w:sz="4" w:space="0" w:color="auto"/>
              <w:left w:val="single" w:sz="4" w:space="0" w:color="auto"/>
              <w:bottom w:val="single" w:sz="4" w:space="0" w:color="auto"/>
              <w:right w:val="single" w:sz="4" w:space="0" w:color="auto"/>
            </w:tcBorders>
            <w:hideMark/>
          </w:tcPr>
          <w:p w14:paraId="7598678E" w14:textId="756349EF" w:rsidR="004E6452" w:rsidRPr="001570EA" w:rsidRDefault="003B5E04">
            <w:pPr>
              <w:pStyle w:val="TableCell"/>
              <w:keepNext w:val="0"/>
              <w:spacing w:before="60" w:after="60"/>
              <w:jc w:val="left"/>
              <w:rPr>
                <w:szCs w:val="18"/>
              </w:rPr>
            </w:pPr>
            <m:oMath>
              <m:sSub>
                <m:sSubPr>
                  <m:ctrlPr>
                    <w:rPr>
                      <w:rFonts w:ascii="Cambria Math" w:hAnsi="Cambria Math"/>
                      <w:i/>
                      <w:szCs w:val="18"/>
                    </w:rPr>
                  </m:ctrlPr>
                </m:sSubPr>
                <m:e>
                  <m:r>
                    <w:rPr>
                      <w:rFonts w:ascii="Cambria Math" w:hAnsi="Cambria Math"/>
                      <w:szCs w:val="18"/>
                    </w:rPr>
                    <m:t>CEF</m:t>
                  </m:r>
                </m:e>
                <m:sub>
                  <m:r>
                    <w:rPr>
                      <w:rFonts w:ascii="Cambria Math" w:hAnsi="Cambria Math"/>
                      <w:szCs w:val="18"/>
                    </w:rPr>
                    <m:t>base</m:t>
                  </m:r>
                </m:sub>
              </m:sSub>
            </m:oMath>
            <w:r w:rsidR="004E6452" w:rsidRPr="001570EA">
              <w:rPr>
                <w:szCs w:val="18"/>
              </w:rPr>
              <w:t>, Combined Energy Factor of baseline dryer, in lbs/kWh</w:t>
            </w:r>
          </w:p>
        </w:tc>
        <w:tc>
          <w:tcPr>
            <w:tcW w:w="1236" w:type="pct"/>
            <w:tcBorders>
              <w:top w:val="single" w:sz="4" w:space="0" w:color="auto"/>
              <w:left w:val="single" w:sz="4" w:space="0" w:color="auto"/>
              <w:bottom w:val="single" w:sz="4" w:space="0" w:color="auto"/>
              <w:right w:val="single" w:sz="4" w:space="0" w:color="auto"/>
            </w:tcBorders>
            <w:hideMark/>
          </w:tcPr>
          <w:p w14:paraId="72C998DC" w14:textId="77777777" w:rsidR="004E6452" w:rsidRPr="001570EA" w:rsidRDefault="004E6452">
            <w:pPr>
              <w:pStyle w:val="TableCell"/>
              <w:keepNext w:val="0"/>
              <w:spacing w:before="60" w:after="60"/>
              <w:jc w:val="center"/>
              <w:rPr>
                <w:rFonts w:eastAsia="Arial Unicode MS" w:cs="Arial"/>
                <w:i/>
                <w:iCs/>
                <w:szCs w:val="18"/>
              </w:rPr>
            </w:pPr>
            <w:r w:rsidRPr="001570EA">
              <w:rPr>
                <w:rFonts w:eastAsia="Arial Unicode MS" w:cs="Arial"/>
                <w:i/>
                <w:iCs/>
                <w:szCs w:val="18"/>
              </w:rPr>
              <w:t>lbs/kWh</w:t>
            </w:r>
          </w:p>
        </w:tc>
        <w:tc>
          <w:tcPr>
            <w:tcW w:w="999" w:type="pct"/>
            <w:tcBorders>
              <w:top w:val="single" w:sz="4" w:space="0" w:color="auto"/>
              <w:left w:val="single" w:sz="4" w:space="0" w:color="auto"/>
              <w:bottom w:val="single" w:sz="4" w:space="0" w:color="auto"/>
              <w:right w:val="single" w:sz="4" w:space="0" w:color="auto"/>
            </w:tcBorders>
            <w:hideMark/>
          </w:tcPr>
          <w:p w14:paraId="3AFA2DE1" w14:textId="76373993" w:rsidR="004E6452" w:rsidRPr="001570EA" w:rsidRDefault="004E6452">
            <w:pPr>
              <w:pStyle w:val="TableCell"/>
              <w:keepNext w:val="0"/>
              <w:spacing w:before="60" w:after="60"/>
              <w:jc w:val="center"/>
              <w:rPr>
                <w:rFonts w:eastAsia="Arial Unicode MS" w:cs="Arial"/>
                <w:iCs/>
                <w:szCs w:val="18"/>
              </w:rPr>
            </w:pPr>
            <w:r w:rsidRPr="001570EA">
              <w:fldChar w:fldCharType="begin"/>
            </w:r>
            <w:r w:rsidRPr="001570EA">
              <w:instrText xml:space="preserve"> REF _Ref532217892 \h </w:instrText>
            </w:r>
            <w:r w:rsidR="001570EA">
              <w:instrText xml:space="preserve"> \* MERGEFORMAT </w:instrText>
            </w:r>
            <w:r w:rsidRPr="001570EA">
              <w:fldChar w:fldCharType="separate"/>
            </w:r>
            <w:r w:rsidR="005B71B3" w:rsidRPr="001570EA">
              <w:t xml:space="preserve">Table </w:t>
            </w:r>
            <w:r w:rsidR="005B71B3" w:rsidRPr="001570EA">
              <w:rPr>
                <w:noProof/>
              </w:rPr>
              <w:t>2</w:t>
            </w:r>
            <w:r w:rsidR="005B71B3" w:rsidRPr="001570EA">
              <w:rPr>
                <w:noProof/>
              </w:rPr>
              <w:noBreakHyphen/>
              <w:t>108</w:t>
            </w:r>
            <w:r w:rsidRPr="001570EA">
              <w:fldChar w:fldCharType="end"/>
            </w:r>
            <w:r w:rsidRPr="001570EA">
              <w:t xml:space="preserve"> </w:t>
            </w:r>
            <w:r w:rsidRPr="001570EA">
              <w:rPr>
                <w:rFonts w:eastAsia="Arial Unicode MS" w:cs="Arial"/>
                <w:iCs/>
                <w:szCs w:val="18"/>
              </w:rPr>
              <w:t>or EDC Data Gathering</w:t>
            </w:r>
          </w:p>
        </w:tc>
        <w:tc>
          <w:tcPr>
            <w:tcW w:w="679" w:type="pct"/>
            <w:tcBorders>
              <w:top w:val="single" w:sz="4" w:space="0" w:color="auto"/>
              <w:left w:val="single" w:sz="4" w:space="0" w:color="auto"/>
              <w:bottom w:val="single" w:sz="4" w:space="0" w:color="auto"/>
              <w:right w:val="single" w:sz="4" w:space="0" w:color="auto"/>
            </w:tcBorders>
            <w:hideMark/>
          </w:tcPr>
          <w:p w14:paraId="2ABED141" w14:textId="77777777" w:rsidR="004E6452" w:rsidRPr="001570EA" w:rsidRDefault="004E6452">
            <w:pPr>
              <w:pStyle w:val="TableCell"/>
              <w:keepNext w:val="0"/>
              <w:spacing w:before="60" w:after="60"/>
              <w:jc w:val="center"/>
              <w:rPr>
                <w:szCs w:val="18"/>
              </w:rPr>
            </w:pPr>
            <w:r w:rsidRPr="001570EA">
              <w:rPr>
                <w:szCs w:val="18"/>
              </w:rPr>
              <w:t xml:space="preserve">2, 7, </w:t>
            </w:r>
          </w:p>
          <w:p w14:paraId="756E6D26" w14:textId="77777777" w:rsidR="004E6452" w:rsidRPr="001570EA" w:rsidRDefault="004E6452">
            <w:pPr>
              <w:pStyle w:val="TableCell"/>
              <w:keepNext w:val="0"/>
              <w:spacing w:before="60" w:after="60"/>
              <w:jc w:val="center"/>
              <w:rPr>
                <w:szCs w:val="18"/>
              </w:rPr>
            </w:pPr>
            <w:r w:rsidRPr="001570EA">
              <w:rPr>
                <w:rFonts w:eastAsia="Arial Unicode MS" w:cs="Arial"/>
                <w:iCs/>
                <w:szCs w:val="18"/>
              </w:rPr>
              <w:t>EDC data gathering</w:t>
            </w:r>
          </w:p>
        </w:tc>
      </w:tr>
      <w:tr w:rsidR="004E6452" w:rsidRPr="001570EA" w14:paraId="7D3C1520" w14:textId="77777777">
        <w:trPr>
          <w:trHeight w:val="77"/>
        </w:trPr>
        <w:tc>
          <w:tcPr>
            <w:tcW w:w="2086" w:type="pct"/>
            <w:tcBorders>
              <w:top w:val="single" w:sz="4" w:space="0" w:color="auto"/>
              <w:left w:val="single" w:sz="4" w:space="0" w:color="auto"/>
              <w:bottom w:val="single" w:sz="4" w:space="0" w:color="auto"/>
              <w:right w:val="single" w:sz="4" w:space="0" w:color="auto"/>
            </w:tcBorders>
            <w:hideMark/>
          </w:tcPr>
          <w:p w14:paraId="40658C08" w14:textId="7D1853A0" w:rsidR="004E6452" w:rsidRPr="001570EA" w:rsidRDefault="003B5E04">
            <w:pPr>
              <w:pStyle w:val="TableCell"/>
              <w:keepNext w:val="0"/>
              <w:spacing w:before="60" w:after="60"/>
              <w:jc w:val="left"/>
              <w:rPr>
                <w:szCs w:val="18"/>
              </w:rPr>
            </w:pPr>
            <m:oMath>
              <m:sSub>
                <m:sSubPr>
                  <m:ctrlPr>
                    <w:rPr>
                      <w:rFonts w:ascii="Cambria Math" w:hAnsi="Cambria Math"/>
                      <w:i/>
                      <w:szCs w:val="18"/>
                    </w:rPr>
                  </m:ctrlPr>
                </m:sSubPr>
                <m:e>
                  <m:r>
                    <w:rPr>
                      <w:rFonts w:ascii="Cambria Math" w:hAnsi="Cambria Math"/>
                      <w:szCs w:val="18"/>
                    </w:rPr>
                    <m:t>CEF</m:t>
                  </m:r>
                </m:e>
                <m:sub>
                  <m:r>
                    <w:rPr>
                      <w:rFonts w:ascii="Cambria Math" w:hAnsi="Cambria Math"/>
                      <w:szCs w:val="18"/>
                    </w:rPr>
                    <m:t>ee</m:t>
                  </m:r>
                </m:sub>
              </m:sSub>
            </m:oMath>
            <w:r w:rsidR="004E6452" w:rsidRPr="001570EA">
              <w:rPr>
                <w:szCs w:val="18"/>
              </w:rPr>
              <w:t>, Combined Energy Factor of ENERGY STAR dryer, in lbs/kWh</w:t>
            </w:r>
          </w:p>
        </w:tc>
        <w:tc>
          <w:tcPr>
            <w:tcW w:w="1236" w:type="pct"/>
            <w:tcBorders>
              <w:top w:val="single" w:sz="4" w:space="0" w:color="auto"/>
              <w:left w:val="single" w:sz="4" w:space="0" w:color="auto"/>
              <w:bottom w:val="single" w:sz="4" w:space="0" w:color="auto"/>
              <w:right w:val="single" w:sz="4" w:space="0" w:color="auto"/>
            </w:tcBorders>
            <w:hideMark/>
          </w:tcPr>
          <w:p w14:paraId="12B9E2AE" w14:textId="77777777" w:rsidR="004E6452" w:rsidRPr="001570EA" w:rsidRDefault="004E6452">
            <w:pPr>
              <w:pStyle w:val="TableCell"/>
              <w:keepNext w:val="0"/>
              <w:spacing w:before="60" w:after="60"/>
              <w:jc w:val="center"/>
              <w:rPr>
                <w:rFonts w:eastAsia="Arial Unicode MS" w:cs="Arial"/>
                <w:i/>
                <w:iCs/>
                <w:szCs w:val="18"/>
              </w:rPr>
            </w:pPr>
            <w:r w:rsidRPr="001570EA">
              <w:rPr>
                <w:rFonts w:eastAsia="Arial Unicode MS" w:cs="Arial"/>
                <w:i/>
                <w:iCs/>
                <w:szCs w:val="18"/>
              </w:rPr>
              <w:t>lbs/kWh</w:t>
            </w:r>
          </w:p>
        </w:tc>
        <w:tc>
          <w:tcPr>
            <w:tcW w:w="999" w:type="pct"/>
            <w:tcBorders>
              <w:top w:val="single" w:sz="4" w:space="0" w:color="auto"/>
              <w:left w:val="single" w:sz="4" w:space="0" w:color="auto"/>
              <w:bottom w:val="single" w:sz="4" w:space="0" w:color="auto"/>
              <w:right w:val="single" w:sz="4" w:space="0" w:color="auto"/>
            </w:tcBorders>
            <w:hideMark/>
          </w:tcPr>
          <w:p w14:paraId="0039E38A" w14:textId="43EC936A" w:rsidR="004E6452" w:rsidRPr="001570EA" w:rsidRDefault="004E6452">
            <w:pPr>
              <w:pStyle w:val="TableCell"/>
              <w:keepNext w:val="0"/>
              <w:spacing w:before="60" w:after="60"/>
              <w:jc w:val="center"/>
              <w:rPr>
                <w:rFonts w:eastAsia="Arial Unicode MS" w:cs="Arial"/>
                <w:iCs/>
                <w:szCs w:val="18"/>
              </w:rPr>
            </w:pPr>
            <w:r w:rsidRPr="001570EA">
              <w:fldChar w:fldCharType="begin"/>
            </w:r>
            <w:r w:rsidRPr="001570EA">
              <w:instrText xml:space="preserve"> REF _Ref532217892 \h </w:instrText>
            </w:r>
            <w:r w:rsidR="001570EA">
              <w:instrText xml:space="preserve"> \* MERGEFORMAT </w:instrText>
            </w:r>
            <w:r w:rsidRPr="001570EA">
              <w:fldChar w:fldCharType="separate"/>
            </w:r>
            <w:r w:rsidR="005B71B3" w:rsidRPr="001570EA">
              <w:t xml:space="preserve">Table </w:t>
            </w:r>
            <w:r w:rsidR="005B71B3" w:rsidRPr="001570EA">
              <w:rPr>
                <w:noProof/>
              </w:rPr>
              <w:t>2</w:t>
            </w:r>
            <w:r w:rsidR="005B71B3" w:rsidRPr="001570EA">
              <w:rPr>
                <w:noProof/>
              </w:rPr>
              <w:noBreakHyphen/>
              <w:t>108</w:t>
            </w:r>
            <w:r w:rsidRPr="001570EA">
              <w:fldChar w:fldCharType="end"/>
            </w:r>
            <w:r w:rsidRPr="001570EA">
              <w:t xml:space="preserve"> </w:t>
            </w:r>
            <w:r w:rsidRPr="001570EA">
              <w:rPr>
                <w:rFonts w:eastAsia="Arial Unicode MS" w:cs="Arial"/>
                <w:iCs/>
                <w:szCs w:val="18"/>
              </w:rPr>
              <w:t>or EDC Data Gathering</w:t>
            </w:r>
          </w:p>
        </w:tc>
        <w:tc>
          <w:tcPr>
            <w:tcW w:w="679" w:type="pct"/>
            <w:tcBorders>
              <w:top w:val="single" w:sz="4" w:space="0" w:color="auto"/>
              <w:left w:val="single" w:sz="4" w:space="0" w:color="auto"/>
              <w:bottom w:val="single" w:sz="4" w:space="0" w:color="auto"/>
              <w:right w:val="single" w:sz="4" w:space="0" w:color="auto"/>
            </w:tcBorders>
            <w:hideMark/>
          </w:tcPr>
          <w:p w14:paraId="47DACCB2" w14:textId="77777777" w:rsidR="004E6452" w:rsidRPr="001570EA" w:rsidRDefault="004E6452">
            <w:pPr>
              <w:pStyle w:val="TableCell"/>
              <w:keepNext w:val="0"/>
              <w:spacing w:before="60" w:after="60"/>
              <w:jc w:val="center"/>
              <w:rPr>
                <w:szCs w:val="18"/>
              </w:rPr>
            </w:pPr>
            <w:r w:rsidRPr="001570EA">
              <w:rPr>
                <w:szCs w:val="18"/>
              </w:rPr>
              <w:t xml:space="preserve">1, </w:t>
            </w:r>
          </w:p>
          <w:p w14:paraId="2FEB9EE9" w14:textId="77777777" w:rsidR="004E6452" w:rsidRPr="001570EA" w:rsidRDefault="004E6452">
            <w:pPr>
              <w:pStyle w:val="TableCell"/>
              <w:keepNext w:val="0"/>
              <w:spacing w:before="60" w:after="60"/>
              <w:jc w:val="center"/>
              <w:rPr>
                <w:szCs w:val="18"/>
              </w:rPr>
            </w:pPr>
            <w:r w:rsidRPr="001570EA">
              <w:rPr>
                <w:rFonts w:eastAsia="Arial Unicode MS" w:cs="Arial"/>
                <w:iCs/>
                <w:szCs w:val="18"/>
              </w:rPr>
              <w:t>EDC data gathering</w:t>
            </w:r>
            <w:r w:rsidRPr="001570EA">
              <w:rPr>
                <w:szCs w:val="18"/>
              </w:rPr>
              <w:t xml:space="preserve"> </w:t>
            </w:r>
          </w:p>
        </w:tc>
      </w:tr>
      <w:tr w:rsidR="004E6452" w:rsidRPr="001570EA" w14:paraId="42FE2DBE" w14:textId="77777777">
        <w:trPr>
          <w:trHeight w:val="665"/>
        </w:trPr>
        <w:tc>
          <w:tcPr>
            <w:tcW w:w="2086" w:type="pct"/>
            <w:tcBorders>
              <w:top w:val="single" w:sz="4" w:space="0" w:color="auto"/>
              <w:left w:val="single" w:sz="4" w:space="0" w:color="auto"/>
              <w:bottom w:val="single" w:sz="4" w:space="0" w:color="auto"/>
              <w:right w:val="single" w:sz="4" w:space="0" w:color="auto"/>
            </w:tcBorders>
            <w:vAlign w:val="center"/>
          </w:tcPr>
          <w:p w14:paraId="05036D95" w14:textId="77777777" w:rsidR="004E6452" w:rsidRPr="001570EA" w:rsidRDefault="004E6452">
            <w:pPr>
              <w:pStyle w:val="TableCell"/>
              <w:keepNext w:val="0"/>
              <w:spacing w:before="60" w:after="60"/>
              <w:jc w:val="left"/>
              <w:rPr>
                <w:sz w:val="20"/>
              </w:rPr>
            </w:pPr>
            <m:oMath>
              <m:r>
                <w:rPr>
                  <w:rFonts w:ascii="Cambria Math" w:hAnsi="Cambria Math" w:cs="Arial"/>
                </w:rPr>
                <m:t>ETD</m:t>
              </m:r>
              <m:sSub>
                <m:sSubPr>
                  <m:ctrlPr>
                    <w:rPr>
                      <w:rFonts w:ascii="Cambria Math" w:hAnsi="Cambria Math" w:cs="Arial"/>
                    </w:rPr>
                  </m:ctrlPr>
                </m:sSubPr>
                <m:e>
                  <m:r>
                    <w:rPr>
                      <w:rFonts w:ascii="Cambria Math" w:hAnsi="Cambria Math" w:cs="Arial"/>
                    </w:rPr>
                    <m:t>F</m:t>
                  </m:r>
                </m:e>
                <m:sub>
                  <m:r>
                    <w:rPr>
                      <w:rFonts w:ascii="Cambria Math" w:hAnsi="Cambria Math" w:cs="Arial"/>
                    </w:rPr>
                    <m:t>s</m:t>
                  </m:r>
                </m:sub>
              </m:sSub>
            </m:oMath>
            <w:r w:rsidRPr="001570EA">
              <w:t>, Summer energy to Demand Factor</w:t>
            </w:r>
          </w:p>
        </w:tc>
        <w:tc>
          <w:tcPr>
            <w:tcW w:w="1236" w:type="pct"/>
            <w:tcBorders>
              <w:top w:val="single" w:sz="4" w:space="0" w:color="auto"/>
              <w:left w:val="single" w:sz="4" w:space="0" w:color="auto"/>
              <w:bottom w:val="single" w:sz="4" w:space="0" w:color="auto"/>
              <w:right w:val="single" w:sz="4" w:space="0" w:color="auto"/>
            </w:tcBorders>
            <w:vAlign w:val="center"/>
          </w:tcPr>
          <w:p w14:paraId="6F8F9177" w14:textId="77777777" w:rsidR="004E6452" w:rsidRPr="001570EA" w:rsidRDefault="003B5E04">
            <w:pPr>
              <w:pStyle w:val="TableCell"/>
              <w:keepNext w:val="0"/>
              <w:spacing w:before="60" w:after="60"/>
              <w:jc w:val="center"/>
              <w:rPr>
                <w:i/>
                <w:iCs/>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999" w:type="pct"/>
            <w:tcBorders>
              <w:top w:val="single" w:sz="4" w:space="0" w:color="auto"/>
              <w:left w:val="single" w:sz="4" w:space="0" w:color="auto"/>
              <w:bottom w:val="single" w:sz="4" w:space="0" w:color="auto"/>
              <w:right w:val="single" w:sz="4" w:space="0" w:color="auto"/>
            </w:tcBorders>
            <w:vAlign w:val="center"/>
          </w:tcPr>
          <w:p w14:paraId="71CC861A" w14:textId="77777777" w:rsidR="004E6452" w:rsidRPr="001570EA" w:rsidRDefault="004E6452">
            <w:pPr>
              <w:pStyle w:val="TableCell"/>
              <w:keepNext w:val="0"/>
              <w:spacing w:before="60" w:after="60"/>
              <w:jc w:val="center"/>
              <w:rPr>
                <w:rFonts w:ascii="Calibri" w:hAnsi="Calibri" w:cs="Calibri"/>
                <w:b/>
                <w:bCs/>
                <w:color w:val="000000"/>
                <w:sz w:val="22"/>
                <w:szCs w:val="22"/>
              </w:rPr>
            </w:pPr>
            <w:r w:rsidRPr="001570EA">
              <w:t>0.0001346</w:t>
            </w:r>
          </w:p>
        </w:tc>
        <w:tc>
          <w:tcPr>
            <w:tcW w:w="679" w:type="pct"/>
            <w:tcBorders>
              <w:top w:val="single" w:sz="4" w:space="0" w:color="auto"/>
              <w:left w:val="single" w:sz="4" w:space="0" w:color="auto"/>
              <w:bottom w:val="single" w:sz="4" w:space="0" w:color="auto"/>
              <w:right w:val="single" w:sz="4" w:space="0" w:color="auto"/>
            </w:tcBorders>
            <w:vAlign w:val="center"/>
          </w:tcPr>
          <w:p w14:paraId="4E4187A9" w14:textId="77777777" w:rsidR="004E6452" w:rsidRPr="001570EA" w:rsidRDefault="004E6452">
            <w:pPr>
              <w:pStyle w:val="TableCell"/>
              <w:keepNext w:val="0"/>
              <w:spacing w:before="60" w:after="60"/>
              <w:jc w:val="center"/>
              <w:rPr>
                <w:rFonts w:eastAsia="Arial Unicode MS"/>
              </w:rPr>
            </w:pPr>
            <w:r w:rsidRPr="001570EA">
              <w:t>4</w:t>
            </w:r>
          </w:p>
        </w:tc>
      </w:tr>
      <w:tr w:rsidR="004E6452" w:rsidRPr="001570EA" w14:paraId="70DD7DA6" w14:textId="77777777">
        <w:tc>
          <w:tcPr>
            <w:tcW w:w="2086" w:type="pct"/>
            <w:tcBorders>
              <w:top w:val="single" w:sz="4" w:space="0" w:color="auto"/>
              <w:left w:val="single" w:sz="4" w:space="0" w:color="auto"/>
              <w:bottom w:val="single" w:sz="4" w:space="0" w:color="auto"/>
              <w:right w:val="single" w:sz="4" w:space="0" w:color="auto"/>
            </w:tcBorders>
            <w:vAlign w:val="center"/>
          </w:tcPr>
          <w:p w14:paraId="2C2DB993" w14:textId="77777777" w:rsidR="004E6452" w:rsidRPr="001570EA" w:rsidRDefault="004E6452">
            <w:pPr>
              <w:pStyle w:val="TableCell"/>
              <w:keepNext w:val="0"/>
              <w:spacing w:before="60" w:after="60"/>
              <w:jc w:val="left"/>
              <w:rPr>
                <w:szCs w:val="18"/>
              </w:rPr>
            </w:pPr>
            <m:oMath>
              <m:r>
                <w:rPr>
                  <w:rFonts w:ascii="Cambria Math" w:hAnsi="Cambria Math" w:cs="Arial"/>
                </w:rPr>
                <m:t>ETD</m:t>
              </m:r>
              <m:sSub>
                <m:sSubPr>
                  <m:ctrlPr>
                    <w:rPr>
                      <w:rFonts w:ascii="Cambria Math" w:hAnsi="Cambria Math" w:cs="Arial"/>
                    </w:rPr>
                  </m:ctrlPr>
                </m:sSubPr>
                <m:e>
                  <m:r>
                    <w:rPr>
                      <w:rFonts w:ascii="Cambria Math" w:hAnsi="Cambria Math" w:cs="Arial"/>
                    </w:rPr>
                    <m:t>F</m:t>
                  </m:r>
                </m:e>
                <m:sub>
                  <m:r>
                    <w:rPr>
                      <w:rFonts w:ascii="Cambria Math" w:hAnsi="Cambria Math" w:cs="Arial"/>
                    </w:rPr>
                    <m:t>w</m:t>
                  </m:r>
                </m:sub>
              </m:sSub>
            </m:oMath>
            <w:r w:rsidRPr="001570EA">
              <w:t>, Winter energy to Demand Factor</w:t>
            </w:r>
          </w:p>
        </w:tc>
        <w:tc>
          <w:tcPr>
            <w:tcW w:w="1236" w:type="pct"/>
            <w:tcBorders>
              <w:top w:val="single" w:sz="4" w:space="0" w:color="auto"/>
              <w:left w:val="single" w:sz="4" w:space="0" w:color="auto"/>
              <w:bottom w:val="single" w:sz="4" w:space="0" w:color="auto"/>
              <w:right w:val="single" w:sz="4" w:space="0" w:color="auto"/>
            </w:tcBorders>
            <w:vAlign w:val="center"/>
          </w:tcPr>
          <w:p w14:paraId="7135174A" w14:textId="77777777" w:rsidR="004E6452" w:rsidRPr="001570EA" w:rsidRDefault="003B5E04">
            <w:pPr>
              <w:pStyle w:val="TableCell"/>
              <w:keepNext w:val="0"/>
              <w:spacing w:before="60" w:after="60"/>
              <w:jc w:val="center"/>
              <w:rPr>
                <w:rFonts w:eastAsia="Arial Unicode MS" w:cs="Arial"/>
                <w:i/>
                <w:iCs/>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999" w:type="pct"/>
            <w:tcBorders>
              <w:top w:val="single" w:sz="4" w:space="0" w:color="auto"/>
              <w:left w:val="single" w:sz="4" w:space="0" w:color="auto"/>
              <w:bottom w:val="single" w:sz="4" w:space="0" w:color="auto"/>
              <w:right w:val="single" w:sz="4" w:space="0" w:color="auto"/>
            </w:tcBorders>
            <w:vAlign w:val="center"/>
          </w:tcPr>
          <w:p w14:paraId="1CCB5863" w14:textId="77777777" w:rsidR="004E6452" w:rsidRPr="001570EA" w:rsidRDefault="004E6452">
            <w:pPr>
              <w:pStyle w:val="TableCell"/>
              <w:keepNext w:val="0"/>
              <w:spacing w:before="60" w:after="60"/>
              <w:jc w:val="center"/>
              <w:rPr>
                <w:rFonts w:eastAsia="Arial Unicode MS" w:cs="Arial"/>
                <w:iCs/>
                <w:szCs w:val="18"/>
              </w:rPr>
            </w:pPr>
            <w:r w:rsidRPr="001570EA">
              <w:t>0.0001350</w:t>
            </w:r>
            <w:r w:rsidRPr="001570EA" w:rsidDel="004F5F1A">
              <w:t xml:space="preserve"> </w:t>
            </w:r>
          </w:p>
        </w:tc>
        <w:tc>
          <w:tcPr>
            <w:tcW w:w="679" w:type="pct"/>
            <w:tcBorders>
              <w:top w:val="single" w:sz="4" w:space="0" w:color="auto"/>
              <w:left w:val="single" w:sz="4" w:space="0" w:color="auto"/>
              <w:bottom w:val="single" w:sz="4" w:space="0" w:color="auto"/>
              <w:right w:val="single" w:sz="4" w:space="0" w:color="auto"/>
            </w:tcBorders>
            <w:vAlign w:val="center"/>
          </w:tcPr>
          <w:p w14:paraId="400A9406" w14:textId="77777777" w:rsidR="004E6452" w:rsidRPr="001570EA" w:rsidRDefault="004E6452">
            <w:pPr>
              <w:pStyle w:val="TableCell"/>
              <w:keepNext w:val="0"/>
              <w:spacing w:before="60" w:after="60"/>
              <w:jc w:val="center"/>
              <w:rPr>
                <w:rFonts w:eastAsia="Arial Unicode MS" w:cs="Arial"/>
                <w:iCs/>
                <w:szCs w:val="18"/>
              </w:rPr>
            </w:pPr>
            <w:r w:rsidRPr="001570EA">
              <w:rPr>
                <w:iCs/>
              </w:rPr>
              <w:t>4</w:t>
            </w:r>
          </w:p>
        </w:tc>
      </w:tr>
    </w:tbl>
    <w:p w14:paraId="7C2A307A" w14:textId="77777777" w:rsidR="004E6452" w:rsidRPr="001570EA" w:rsidRDefault="004E6452" w:rsidP="004E6452"/>
    <w:p w14:paraId="7992BD2A" w14:textId="77777777" w:rsidR="004E6452" w:rsidRPr="001570EA" w:rsidRDefault="004E6452" w:rsidP="004E6452"/>
    <w:p w14:paraId="0D6FF669" w14:textId="093DDF30" w:rsidR="004E6452" w:rsidRPr="001570EA" w:rsidRDefault="004E6452" w:rsidP="004E6452">
      <w:pPr>
        <w:pStyle w:val="Caption"/>
      </w:pPr>
      <w:bookmarkStart w:id="600" w:name="_Ref532217892"/>
      <w:bookmarkStart w:id="601" w:name="_Toc530141750"/>
      <w:bookmarkStart w:id="602" w:name="_Toc47598325"/>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108</w:t>
      </w:r>
      <w:r w:rsidR="002E093A" w:rsidRPr="001570EA">
        <w:fldChar w:fldCharType="end"/>
      </w:r>
      <w:bookmarkEnd w:id="600"/>
      <w:r w:rsidRPr="001570EA">
        <w:t xml:space="preserve">: Combined Energy Factor for Federal Minimum Standard and ENERGY STAR </w:t>
      </w:r>
      <w:bookmarkEnd w:id="601"/>
      <w:r w:rsidRPr="001570EA">
        <w:t>Dryers</w:t>
      </w:r>
      <w:bookmarkEnd w:id="602"/>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69"/>
        <w:gridCol w:w="1456"/>
        <w:gridCol w:w="1868"/>
      </w:tblGrid>
      <w:tr w:rsidR="004E6452" w:rsidRPr="001570EA" w14:paraId="04C2710F" w14:textId="77777777">
        <w:tc>
          <w:tcPr>
            <w:tcW w:w="177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4CE141" w14:textId="77777777" w:rsidR="004E6452" w:rsidRPr="001570EA" w:rsidRDefault="004E6452">
            <w:pPr>
              <w:pStyle w:val="TableCell"/>
              <w:spacing w:before="60" w:after="60"/>
              <w:jc w:val="left"/>
              <w:rPr>
                <w:b/>
                <w:sz w:val="20"/>
              </w:rPr>
            </w:pPr>
            <w:r w:rsidRPr="001570EA">
              <w:rPr>
                <w:b/>
              </w:rPr>
              <w:t>Product Type</w:t>
            </w:r>
          </w:p>
        </w:tc>
        <w:tc>
          <w:tcPr>
            <w:tcW w:w="127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6A3C8C" w14:textId="77777777" w:rsidR="004E6452" w:rsidRPr="001570EA" w:rsidRDefault="003B5E04">
            <w:pPr>
              <w:pStyle w:val="TableCell"/>
              <w:spacing w:before="60" w:after="60"/>
              <w:jc w:val="center"/>
              <w:rPr>
                <w:b/>
                <w:sz w:val="20"/>
              </w:rPr>
            </w:pPr>
            <m:oMath>
              <m:sSub>
                <m:sSubPr>
                  <m:ctrlPr>
                    <w:rPr>
                      <w:rFonts w:ascii="Cambria Math" w:eastAsia="Calibri" w:hAnsi="Cambria Math" w:cs="Arial"/>
                      <w:b/>
                      <w:i/>
                    </w:rPr>
                  </m:ctrlPr>
                </m:sSubPr>
                <m:e>
                  <m:r>
                    <m:rPr>
                      <m:sty m:val="bi"/>
                    </m:rPr>
                    <w:rPr>
                      <w:rFonts w:ascii="Cambria Math" w:hAnsi="Cambria Math" w:cs="Arial"/>
                    </w:rPr>
                    <m:t>CEF</m:t>
                  </m:r>
                </m:e>
                <m:sub>
                  <m:r>
                    <m:rPr>
                      <m:sty m:val="bi"/>
                    </m:rPr>
                    <w:rPr>
                      <w:rFonts w:ascii="Cambria Math" w:hAnsi="Cambria Math" w:cs="Arial"/>
                    </w:rPr>
                    <m:t>base</m:t>
                  </m:r>
                </m:sub>
              </m:sSub>
            </m:oMath>
            <w:r w:rsidR="004E6452" w:rsidRPr="001570EA">
              <w:rPr>
                <w:b/>
                <w:sz w:val="20"/>
              </w:rPr>
              <w:t xml:space="preserve"> </w:t>
            </w:r>
            <w:r w:rsidR="004E6452" w:rsidRPr="001570EA">
              <w:rPr>
                <w:b/>
                <w:szCs w:val="18"/>
              </w:rPr>
              <w:t>through 2/29/28</w:t>
            </w:r>
          </w:p>
        </w:tc>
        <w:tc>
          <w:tcPr>
            <w:tcW w:w="8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A1C111" w14:textId="77777777" w:rsidR="004E6452" w:rsidRPr="001570EA" w:rsidRDefault="003B5E04">
            <w:pPr>
              <w:pStyle w:val="TableCell"/>
              <w:spacing w:before="60" w:after="60"/>
              <w:jc w:val="center"/>
              <w:rPr>
                <w:b/>
              </w:rPr>
            </w:pPr>
            <m:oMath>
              <m:sSub>
                <m:sSubPr>
                  <m:ctrlPr>
                    <w:rPr>
                      <w:rFonts w:ascii="Cambria Math" w:eastAsia="Calibri" w:hAnsi="Cambria Math" w:cs="Arial"/>
                      <w:b/>
                      <w:i/>
                    </w:rPr>
                  </m:ctrlPr>
                </m:sSubPr>
                <m:e>
                  <m:r>
                    <m:rPr>
                      <m:sty m:val="bi"/>
                    </m:rPr>
                    <w:rPr>
                      <w:rFonts w:ascii="Cambria Math" w:hAnsi="Cambria Math" w:cs="Arial"/>
                    </w:rPr>
                    <m:t>CEF</m:t>
                  </m:r>
                </m:e>
                <m:sub>
                  <m:r>
                    <m:rPr>
                      <m:sty m:val="bi"/>
                    </m:rPr>
                    <w:rPr>
                      <w:rFonts w:ascii="Cambria Math" w:hAnsi="Cambria Math" w:cs="Arial"/>
                    </w:rPr>
                    <m:t>base</m:t>
                  </m:r>
                </m:sub>
              </m:sSub>
            </m:oMath>
            <w:r w:rsidR="004E6452" w:rsidRPr="001570EA">
              <w:rPr>
                <w:b/>
                <w:sz w:val="20"/>
              </w:rPr>
              <w:t xml:space="preserve"> </w:t>
            </w:r>
            <w:r w:rsidR="004E6452" w:rsidRPr="001570EA">
              <w:rPr>
                <w:b/>
                <w:szCs w:val="18"/>
              </w:rPr>
              <w:t>starting 3/1/28</w:t>
            </w:r>
          </w:p>
        </w:tc>
        <w:tc>
          <w:tcPr>
            <w:tcW w:w="109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788CE8" w14:textId="77777777" w:rsidR="004E6452" w:rsidRPr="001570EA" w:rsidRDefault="003B5E04">
            <w:pPr>
              <w:pStyle w:val="TableCell"/>
              <w:spacing w:before="60" w:after="60"/>
              <w:jc w:val="center"/>
              <w:rPr>
                <w:b/>
                <w:sz w:val="20"/>
              </w:rPr>
            </w:pPr>
            <m:oMathPara>
              <m:oMath>
                <m:sSub>
                  <m:sSubPr>
                    <m:ctrlPr>
                      <w:rPr>
                        <w:rFonts w:ascii="Cambria Math" w:eastAsia="Calibri" w:hAnsi="Cambria Math" w:cs="Arial"/>
                        <w:b/>
                        <w:i/>
                      </w:rPr>
                    </m:ctrlPr>
                  </m:sSubPr>
                  <m:e>
                    <m:r>
                      <m:rPr>
                        <m:sty m:val="bi"/>
                      </m:rPr>
                      <w:rPr>
                        <w:rFonts w:ascii="Cambria Math" w:hAnsi="Cambria Math" w:cs="Arial"/>
                      </w:rPr>
                      <m:t>CEF</m:t>
                    </m:r>
                  </m:e>
                  <m:sub>
                    <m:r>
                      <m:rPr>
                        <m:sty m:val="bi"/>
                      </m:rPr>
                      <w:rPr>
                        <w:rFonts w:ascii="Cambria Math" w:hAnsi="Cambria Math" w:cs="Arial"/>
                      </w:rPr>
                      <m:t>ee</m:t>
                    </m:r>
                  </m:sub>
                </m:sSub>
              </m:oMath>
            </m:oMathPara>
          </w:p>
        </w:tc>
      </w:tr>
      <w:tr w:rsidR="004E6452" w:rsidRPr="001570EA" w14:paraId="1F565296" w14:textId="77777777">
        <w:tc>
          <w:tcPr>
            <w:tcW w:w="1774" w:type="pct"/>
            <w:tcBorders>
              <w:top w:val="single" w:sz="4" w:space="0" w:color="auto"/>
              <w:left w:val="single" w:sz="4" w:space="0" w:color="auto"/>
              <w:bottom w:val="single" w:sz="4" w:space="0" w:color="auto"/>
              <w:right w:val="single" w:sz="4" w:space="0" w:color="auto"/>
            </w:tcBorders>
            <w:vAlign w:val="center"/>
            <w:hideMark/>
          </w:tcPr>
          <w:p w14:paraId="3277F895" w14:textId="77777777" w:rsidR="004E6452" w:rsidRPr="001570EA" w:rsidRDefault="004E6452">
            <w:pPr>
              <w:pStyle w:val="TableCell"/>
              <w:spacing w:before="60" w:after="60"/>
              <w:jc w:val="left"/>
              <w:rPr>
                <w:szCs w:val="18"/>
              </w:rPr>
            </w:pPr>
            <w:r w:rsidRPr="001570EA">
              <w:rPr>
                <w:szCs w:val="18"/>
              </w:rPr>
              <w:t>Vented Electric, Standard</w:t>
            </w:r>
          </w:p>
          <w:p w14:paraId="3F884572" w14:textId="77777777" w:rsidR="004E6452" w:rsidRPr="001570EA" w:rsidRDefault="004E6452">
            <w:pPr>
              <w:pStyle w:val="TableCell"/>
              <w:spacing w:before="60" w:after="60"/>
              <w:jc w:val="left"/>
              <w:rPr>
                <w:szCs w:val="18"/>
              </w:rPr>
            </w:pPr>
            <w:r w:rsidRPr="001570EA">
              <w:rPr>
                <w:szCs w:val="18"/>
              </w:rPr>
              <w:t>(4.4 ft</w:t>
            </w:r>
            <w:r w:rsidRPr="001570EA">
              <w:rPr>
                <w:rFonts w:cs="Arial"/>
                <w:szCs w:val="18"/>
              </w:rPr>
              <w:t>³</w:t>
            </w:r>
            <w:r w:rsidRPr="001570EA">
              <w:rPr>
                <w:szCs w:val="18"/>
              </w:rPr>
              <w:t xml:space="preserve"> or greater capacity)</w:t>
            </w:r>
          </w:p>
        </w:tc>
        <w:tc>
          <w:tcPr>
            <w:tcW w:w="1274" w:type="pct"/>
            <w:tcBorders>
              <w:top w:val="single" w:sz="4" w:space="0" w:color="auto"/>
              <w:left w:val="single" w:sz="4" w:space="0" w:color="auto"/>
              <w:bottom w:val="single" w:sz="4" w:space="0" w:color="auto"/>
              <w:right w:val="single" w:sz="4" w:space="0" w:color="auto"/>
            </w:tcBorders>
            <w:vAlign w:val="center"/>
            <w:hideMark/>
          </w:tcPr>
          <w:p w14:paraId="69DCEDAB"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3.73</w:t>
            </w:r>
          </w:p>
        </w:tc>
        <w:tc>
          <w:tcPr>
            <w:tcW w:w="855" w:type="pct"/>
            <w:tcBorders>
              <w:top w:val="single" w:sz="4" w:space="0" w:color="auto"/>
              <w:left w:val="single" w:sz="4" w:space="0" w:color="auto"/>
              <w:bottom w:val="single" w:sz="4" w:space="0" w:color="auto"/>
              <w:right w:val="single" w:sz="4" w:space="0" w:color="auto"/>
            </w:tcBorders>
            <w:vAlign w:val="center"/>
          </w:tcPr>
          <w:p w14:paraId="5B96AF5B"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3.93</w:t>
            </w:r>
          </w:p>
        </w:tc>
        <w:tc>
          <w:tcPr>
            <w:tcW w:w="1097" w:type="pct"/>
            <w:tcBorders>
              <w:top w:val="single" w:sz="4" w:space="0" w:color="auto"/>
              <w:left w:val="single" w:sz="4" w:space="0" w:color="auto"/>
              <w:bottom w:val="single" w:sz="4" w:space="0" w:color="auto"/>
              <w:right w:val="single" w:sz="4" w:space="0" w:color="auto"/>
            </w:tcBorders>
            <w:vAlign w:val="center"/>
            <w:hideMark/>
          </w:tcPr>
          <w:p w14:paraId="3ED22806"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 xml:space="preserve">No heat pump: </w:t>
            </w:r>
            <w:r w:rsidRPr="001570EA">
              <w:rPr>
                <w:rFonts w:eastAsia="Arial Unicode MS"/>
                <w:iCs/>
                <w:szCs w:val="18"/>
              </w:rPr>
              <w:t>3.93</w:t>
            </w:r>
            <w:r w:rsidRPr="001570EA">
              <w:rPr>
                <w:rFonts w:eastAsia="Arial Unicode MS" w:cs="Arial"/>
                <w:iCs/>
                <w:szCs w:val="18"/>
              </w:rPr>
              <w:t xml:space="preserve"> Hybrid: 4.50</w:t>
            </w:r>
          </w:p>
        </w:tc>
      </w:tr>
      <w:tr w:rsidR="004E6452" w:rsidRPr="001570EA" w14:paraId="7FF9D90F" w14:textId="77777777">
        <w:tc>
          <w:tcPr>
            <w:tcW w:w="1774" w:type="pct"/>
            <w:tcBorders>
              <w:top w:val="single" w:sz="4" w:space="0" w:color="auto"/>
              <w:left w:val="single" w:sz="4" w:space="0" w:color="auto"/>
              <w:bottom w:val="single" w:sz="4" w:space="0" w:color="auto"/>
              <w:right w:val="single" w:sz="4" w:space="0" w:color="auto"/>
            </w:tcBorders>
            <w:vAlign w:val="center"/>
          </w:tcPr>
          <w:p w14:paraId="4DAB0741" w14:textId="77777777" w:rsidR="004E6452" w:rsidRPr="001570EA" w:rsidRDefault="004E6452">
            <w:pPr>
              <w:keepNext/>
              <w:tabs>
                <w:tab w:val="left" w:pos="720"/>
              </w:tabs>
              <w:spacing w:before="60" w:after="60"/>
              <w:rPr>
                <w:sz w:val="18"/>
                <w:szCs w:val="18"/>
              </w:rPr>
            </w:pPr>
            <w:r w:rsidRPr="001570EA">
              <w:rPr>
                <w:sz w:val="18"/>
                <w:szCs w:val="18"/>
              </w:rPr>
              <w:t xml:space="preserve">Ventless Electric, Standard </w:t>
            </w:r>
          </w:p>
          <w:p w14:paraId="35421C62" w14:textId="77777777" w:rsidR="004E6452" w:rsidRPr="001570EA" w:rsidRDefault="004E6452">
            <w:pPr>
              <w:pStyle w:val="TableCell"/>
              <w:spacing w:before="60" w:after="60"/>
              <w:jc w:val="left"/>
              <w:rPr>
                <w:szCs w:val="18"/>
              </w:rPr>
            </w:pPr>
            <w:r w:rsidRPr="001570EA">
              <w:rPr>
                <w:szCs w:val="18"/>
              </w:rPr>
              <w:t>(4.4 ft³ or greater capacity)</w:t>
            </w:r>
          </w:p>
        </w:tc>
        <w:tc>
          <w:tcPr>
            <w:tcW w:w="1274" w:type="pct"/>
            <w:tcBorders>
              <w:top w:val="single" w:sz="4" w:space="0" w:color="auto"/>
              <w:left w:val="single" w:sz="4" w:space="0" w:color="auto"/>
              <w:bottom w:val="single" w:sz="4" w:space="0" w:color="auto"/>
              <w:right w:val="single" w:sz="4" w:space="0" w:color="auto"/>
            </w:tcBorders>
            <w:vAlign w:val="center"/>
          </w:tcPr>
          <w:p w14:paraId="4447B84A" w14:textId="77777777" w:rsidR="004E6452" w:rsidRPr="001570EA" w:rsidRDefault="004E6452">
            <w:pPr>
              <w:pStyle w:val="TableCell"/>
              <w:spacing w:before="60" w:after="60"/>
              <w:jc w:val="center"/>
              <w:rPr>
                <w:rFonts w:eastAsia="Arial Unicode MS" w:cs="Arial"/>
                <w:iCs/>
                <w:szCs w:val="18"/>
              </w:rPr>
            </w:pPr>
            <w:r w:rsidRPr="001570EA">
              <w:rPr>
                <w:rFonts w:eastAsia="Arial Unicode MS"/>
                <w:iCs/>
                <w:szCs w:val="18"/>
              </w:rPr>
              <w:t>3.73</w:t>
            </w:r>
          </w:p>
        </w:tc>
        <w:tc>
          <w:tcPr>
            <w:tcW w:w="855" w:type="pct"/>
            <w:tcBorders>
              <w:top w:val="single" w:sz="4" w:space="0" w:color="auto"/>
              <w:left w:val="single" w:sz="4" w:space="0" w:color="auto"/>
              <w:bottom w:val="single" w:sz="4" w:space="0" w:color="auto"/>
              <w:right w:val="single" w:sz="4" w:space="0" w:color="auto"/>
            </w:tcBorders>
            <w:vAlign w:val="center"/>
          </w:tcPr>
          <w:p w14:paraId="0E75BCD0" w14:textId="77777777" w:rsidR="004E6452" w:rsidRPr="001570EA" w:rsidRDefault="004E6452">
            <w:pPr>
              <w:pStyle w:val="TableCell"/>
              <w:spacing w:before="60" w:after="60"/>
              <w:jc w:val="center"/>
              <w:rPr>
                <w:rFonts w:eastAsia="Arial Unicode MS" w:cs="Arial"/>
                <w:iCs/>
                <w:szCs w:val="18"/>
              </w:rPr>
            </w:pPr>
            <w:r w:rsidRPr="001570EA">
              <w:rPr>
                <w:rFonts w:eastAsia="Arial Unicode MS"/>
                <w:iCs/>
                <w:szCs w:val="18"/>
              </w:rPr>
              <w:t>3.93</w:t>
            </w:r>
          </w:p>
        </w:tc>
        <w:tc>
          <w:tcPr>
            <w:tcW w:w="1097" w:type="pct"/>
            <w:tcBorders>
              <w:top w:val="single" w:sz="4" w:space="0" w:color="auto"/>
              <w:left w:val="single" w:sz="4" w:space="0" w:color="auto"/>
              <w:bottom w:val="single" w:sz="4" w:space="0" w:color="auto"/>
              <w:right w:val="single" w:sz="4" w:space="0" w:color="auto"/>
            </w:tcBorders>
            <w:vAlign w:val="center"/>
          </w:tcPr>
          <w:p w14:paraId="55D92771"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 xml:space="preserve">No heat pump: </w:t>
            </w:r>
            <w:r w:rsidRPr="001570EA">
              <w:rPr>
                <w:rFonts w:eastAsia="Arial Unicode MS"/>
                <w:iCs/>
                <w:szCs w:val="18"/>
              </w:rPr>
              <w:t>3.93</w:t>
            </w:r>
            <w:r w:rsidRPr="001570EA">
              <w:rPr>
                <w:rFonts w:eastAsia="Arial Unicode MS" w:cs="Arial"/>
                <w:iCs/>
                <w:szCs w:val="18"/>
              </w:rPr>
              <w:t xml:space="preserve"> </w:t>
            </w:r>
          </w:p>
          <w:p w14:paraId="06CAF684"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Hybrid: 5.20</w:t>
            </w:r>
          </w:p>
          <w:p w14:paraId="335FDEFA"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Heat pump: 9.75</w:t>
            </w:r>
          </w:p>
        </w:tc>
      </w:tr>
      <w:tr w:rsidR="004E6452" w:rsidRPr="001570EA" w14:paraId="5946028C" w14:textId="77777777">
        <w:tc>
          <w:tcPr>
            <w:tcW w:w="1774" w:type="pct"/>
            <w:tcBorders>
              <w:top w:val="single" w:sz="4" w:space="0" w:color="auto"/>
              <w:left w:val="single" w:sz="4" w:space="0" w:color="auto"/>
              <w:bottom w:val="single" w:sz="4" w:space="0" w:color="auto"/>
              <w:right w:val="single" w:sz="4" w:space="0" w:color="auto"/>
            </w:tcBorders>
            <w:vAlign w:val="center"/>
            <w:hideMark/>
          </w:tcPr>
          <w:p w14:paraId="2F091627" w14:textId="77777777" w:rsidR="004E6452" w:rsidRPr="001570EA" w:rsidRDefault="004E6452">
            <w:pPr>
              <w:pStyle w:val="TableCell"/>
              <w:spacing w:before="60" w:after="60"/>
              <w:jc w:val="left"/>
              <w:rPr>
                <w:szCs w:val="18"/>
              </w:rPr>
            </w:pPr>
            <w:r w:rsidRPr="001570EA">
              <w:rPr>
                <w:szCs w:val="18"/>
              </w:rPr>
              <w:t>Vented or Ventless Electric, Compact (120V)</w:t>
            </w:r>
          </w:p>
          <w:p w14:paraId="0AA399D5" w14:textId="77777777" w:rsidR="004E6452" w:rsidRPr="001570EA" w:rsidRDefault="004E6452">
            <w:pPr>
              <w:pStyle w:val="TableCell"/>
              <w:spacing w:before="60" w:after="60"/>
              <w:jc w:val="left"/>
              <w:rPr>
                <w:szCs w:val="18"/>
              </w:rPr>
            </w:pPr>
            <w:r w:rsidRPr="001570EA">
              <w:rPr>
                <w:szCs w:val="18"/>
              </w:rPr>
              <w:t>(less than 4.4 ft</w:t>
            </w:r>
            <w:r w:rsidRPr="001570EA">
              <w:rPr>
                <w:rFonts w:cs="Arial"/>
                <w:szCs w:val="18"/>
              </w:rPr>
              <w:t>³</w:t>
            </w:r>
            <w:r w:rsidRPr="001570EA">
              <w:rPr>
                <w:szCs w:val="18"/>
              </w:rPr>
              <w:t xml:space="preserve"> capacity)</w:t>
            </w:r>
          </w:p>
        </w:tc>
        <w:tc>
          <w:tcPr>
            <w:tcW w:w="1274" w:type="pct"/>
            <w:tcBorders>
              <w:top w:val="single" w:sz="4" w:space="0" w:color="auto"/>
              <w:left w:val="single" w:sz="4" w:space="0" w:color="auto"/>
              <w:bottom w:val="single" w:sz="4" w:space="0" w:color="auto"/>
              <w:right w:val="single" w:sz="4" w:space="0" w:color="auto"/>
            </w:tcBorders>
            <w:vAlign w:val="center"/>
            <w:hideMark/>
          </w:tcPr>
          <w:p w14:paraId="415134AE"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3.61</w:t>
            </w:r>
          </w:p>
        </w:tc>
        <w:tc>
          <w:tcPr>
            <w:tcW w:w="855" w:type="pct"/>
            <w:tcBorders>
              <w:top w:val="single" w:sz="4" w:space="0" w:color="auto"/>
              <w:left w:val="single" w:sz="4" w:space="0" w:color="auto"/>
              <w:bottom w:val="single" w:sz="4" w:space="0" w:color="auto"/>
              <w:right w:val="single" w:sz="4" w:space="0" w:color="auto"/>
            </w:tcBorders>
            <w:vAlign w:val="center"/>
          </w:tcPr>
          <w:p w14:paraId="635EC8CE"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4.33</w:t>
            </w:r>
          </w:p>
        </w:tc>
        <w:tc>
          <w:tcPr>
            <w:tcW w:w="1097" w:type="pct"/>
            <w:tcBorders>
              <w:top w:val="single" w:sz="4" w:space="0" w:color="auto"/>
              <w:left w:val="single" w:sz="4" w:space="0" w:color="auto"/>
              <w:bottom w:val="single" w:sz="4" w:space="0" w:color="auto"/>
              <w:right w:val="single" w:sz="4" w:space="0" w:color="auto"/>
            </w:tcBorders>
            <w:vAlign w:val="center"/>
            <w:hideMark/>
          </w:tcPr>
          <w:p w14:paraId="464A7F9F" w14:textId="77777777" w:rsidR="004E6452" w:rsidRPr="001570EA" w:rsidRDefault="004E6452">
            <w:pPr>
              <w:pStyle w:val="TableCell"/>
              <w:spacing w:before="60" w:after="60"/>
              <w:jc w:val="center"/>
              <w:rPr>
                <w:rFonts w:eastAsia="Arial Unicode MS"/>
                <w:iCs/>
                <w:szCs w:val="18"/>
              </w:rPr>
            </w:pPr>
            <w:r w:rsidRPr="001570EA">
              <w:rPr>
                <w:rFonts w:eastAsia="Arial Unicode MS" w:cs="Arial"/>
                <w:iCs/>
                <w:szCs w:val="18"/>
              </w:rPr>
              <w:t xml:space="preserve">No heat pump: </w:t>
            </w:r>
            <w:r w:rsidRPr="001570EA">
              <w:rPr>
                <w:rFonts w:eastAsia="Arial Unicode MS"/>
                <w:iCs/>
                <w:szCs w:val="18"/>
              </w:rPr>
              <w:t>3.80</w:t>
            </w:r>
          </w:p>
          <w:p w14:paraId="330EC91C"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Heat pump: 6.37</w:t>
            </w:r>
          </w:p>
        </w:tc>
      </w:tr>
      <w:tr w:rsidR="004E6452" w:rsidRPr="001570EA" w14:paraId="416D0378" w14:textId="77777777">
        <w:trPr>
          <w:trHeight w:val="77"/>
        </w:trPr>
        <w:tc>
          <w:tcPr>
            <w:tcW w:w="1774" w:type="pct"/>
            <w:tcBorders>
              <w:top w:val="single" w:sz="4" w:space="0" w:color="auto"/>
              <w:left w:val="single" w:sz="4" w:space="0" w:color="auto"/>
              <w:bottom w:val="single" w:sz="4" w:space="0" w:color="auto"/>
              <w:right w:val="single" w:sz="4" w:space="0" w:color="auto"/>
            </w:tcBorders>
            <w:vAlign w:val="center"/>
            <w:hideMark/>
          </w:tcPr>
          <w:p w14:paraId="6DDCAAB8" w14:textId="77777777" w:rsidR="004E6452" w:rsidRPr="001570EA" w:rsidRDefault="004E6452">
            <w:pPr>
              <w:pStyle w:val="TableCell"/>
              <w:spacing w:before="60" w:after="60"/>
              <w:jc w:val="left"/>
              <w:rPr>
                <w:szCs w:val="18"/>
              </w:rPr>
            </w:pPr>
            <w:r w:rsidRPr="001570EA">
              <w:rPr>
                <w:szCs w:val="18"/>
              </w:rPr>
              <w:t xml:space="preserve">Vented Electric, Compact (240V) </w:t>
            </w:r>
          </w:p>
          <w:p w14:paraId="458E4A55" w14:textId="77777777" w:rsidR="004E6452" w:rsidRPr="001570EA" w:rsidRDefault="004E6452">
            <w:pPr>
              <w:pStyle w:val="TableCell"/>
              <w:spacing w:before="60" w:after="60"/>
              <w:jc w:val="left"/>
              <w:rPr>
                <w:szCs w:val="18"/>
              </w:rPr>
            </w:pPr>
            <w:r w:rsidRPr="001570EA">
              <w:rPr>
                <w:szCs w:val="18"/>
              </w:rPr>
              <w:t>(less than 4.4 ft</w:t>
            </w:r>
            <w:r w:rsidRPr="001570EA">
              <w:rPr>
                <w:rFonts w:cs="Arial"/>
                <w:szCs w:val="18"/>
              </w:rPr>
              <w:t>³</w:t>
            </w:r>
            <w:r w:rsidRPr="001570EA">
              <w:rPr>
                <w:szCs w:val="18"/>
              </w:rPr>
              <w:t xml:space="preserve"> capacity)</w:t>
            </w:r>
          </w:p>
        </w:tc>
        <w:tc>
          <w:tcPr>
            <w:tcW w:w="1274" w:type="pct"/>
            <w:tcBorders>
              <w:top w:val="single" w:sz="4" w:space="0" w:color="auto"/>
              <w:left w:val="single" w:sz="4" w:space="0" w:color="auto"/>
              <w:bottom w:val="single" w:sz="4" w:space="0" w:color="auto"/>
              <w:right w:val="single" w:sz="4" w:space="0" w:color="auto"/>
            </w:tcBorders>
            <w:vAlign w:val="center"/>
            <w:hideMark/>
          </w:tcPr>
          <w:p w14:paraId="7EC67185"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3.27</w:t>
            </w:r>
          </w:p>
        </w:tc>
        <w:tc>
          <w:tcPr>
            <w:tcW w:w="855" w:type="pct"/>
            <w:tcBorders>
              <w:top w:val="single" w:sz="4" w:space="0" w:color="auto"/>
              <w:left w:val="single" w:sz="4" w:space="0" w:color="auto"/>
              <w:bottom w:val="single" w:sz="4" w:space="0" w:color="auto"/>
              <w:right w:val="single" w:sz="4" w:space="0" w:color="auto"/>
            </w:tcBorders>
            <w:vAlign w:val="center"/>
          </w:tcPr>
          <w:p w14:paraId="1DFE08EF"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3.57</w:t>
            </w:r>
          </w:p>
        </w:tc>
        <w:tc>
          <w:tcPr>
            <w:tcW w:w="1097" w:type="pct"/>
            <w:tcBorders>
              <w:top w:val="single" w:sz="4" w:space="0" w:color="auto"/>
              <w:left w:val="single" w:sz="4" w:space="0" w:color="auto"/>
              <w:bottom w:val="single" w:sz="4" w:space="0" w:color="auto"/>
              <w:right w:val="single" w:sz="4" w:space="0" w:color="auto"/>
            </w:tcBorders>
            <w:vAlign w:val="center"/>
            <w:hideMark/>
          </w:tcPr>
          <w:p w14:paraId="35A977FD"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No heat pump: 3.45</w:t>
            </w:r>
          </w:p>
        </w:tc>
      </w:tr>
      <w:tr w:rsidR="004E6452" w:rsidRPr="001570EA" w14:paraId="7359E14F" w14:textId="77777777">
        <w:trPr>
          <w:trHeight w:val="77"/>
        </w:trPr>
        <w:tc>
          <w:tcPr>
            <w:tcW w:w="1774" w:type="pct"/>
            <w:tcBorders>
              <w:top w:val="single" w:sz="4" w:space="0" w:color="auto"/>
              <w:left w:val="single" w:sz="4" w:space="0" w:color="auto"/>
              <w:bottom w:val="single" w:sz="4" w:space="0" w:color="auto"/>
              <w:right w:val="single" w:sz="4" w:space="0" w:color="auto"/>
            </w:tcBorders>
            <w:vAlign w:val="center"/>
          </w:tcPr>
          <w:p w14:paraId="0E2AF547" w14:textId="77777777" w:rsidR="004E6452" w:rsidRPr="001570EA" w:rsidRDefault="004E6452">
            <w:pPr>
              <w:pStyle w:val="TableCell"/>
              <w:spacing w:before="60" w:after="60" w:line="276" w:lineRule="auto"/>
              <w:rPr>
                <w:rFonts w:cs="Arial"/>
                <w:szCs w:val="18"/>
              </w:rPr>
            </w:pPr>
            <w:r w:rsidRPr="001570EA">
              <w:rPr>
                <w:rFonts w:cs="Arial"/>
                <w:szCs w:val="18"/>
              </w:rPr>
              <w:t xml:space="preserve">Ventless Electric, Compact (240V) </w:t>
            </w:r>
          </w:p>
          <w:p w14:paraId="211060BD" w14:textId="77777777" w:rsidR="004E6452" w:rsidRPr="001570EA" w:rsidRDefault="004E6452">
            <w:pPr>
              <w:pStyle w:val="TableCell"/>
              <w:spacing w:before="60" w:after="60"/>
              <w:jc w:val="left"/>
              <w:rPr>
                <w:szCs w:val="18"/>
              </w:rPr>
            </w:pPr>
            <w:r w:rsidRPr="001570EA">
              <w:rPr>
                <w:szCs w:val="18"/>
              </w:rPr>
              <w:t>(less than 4.4 ft³ capacity)</w:t>
            </w:r>
          </w:p>
        </w:tc>
        <w:tc>
          <w:tcPr>
            <w:tcW w:w="1274" w:type="pct"/>
            <w:tcBorders>
              <w:top w:val="single" w:sz="4" w:space="0" w:color="auto"/>
              <w:left w:val="single" w:sz="4" w:space="0" w:color="auto"/>
              <w:bottom w:val="single" w:sz="4" w:space="0" w:color="auto"/>
              <w:right w:val="single" w:sz="4" w:space="0" w:color="auto"/>
            </w:tcBorders>
            <w:vAlign w:val="center"/>
          </w:tcPr>
          <w:p w14:paraId="0C5BF221" w14:textId="77777777" w:rsidR="004E6452" w:rsidRPr="001570EA" w:rsidRDefault="004E6452">
            <w:pPr>
              <w:pStyle w:val="TableCell"/>
              <w:spacing w:before="60" w:after="60"/>
              <w:jc w:val="center"/>
              <w:rPr>
                <w:rFonts w:eastAsia="Arial Unicode MS" w:cs="Arial"/>
                <w:iCs/>
                <w:szCs w:val="18"/>
              </w:rPr>
            </w:pPr>
            <w:r w:rsidRPr="001570EA">
              <w:rPr>
                <w:rFonts w:eastAsia="Arial Unicode MS"/>
                <w:iCs/>
                <w:szCs w:val="18"/>
              </w:rPr>
              <w:t>2.55</w:t>
            </w:r>
          </w:p>
        </w:tc>
        <w:tc>
          <w:tcPr>
            <w:tcW w:w="855" w:type="pct"/>
            <w:tcBorders>
              <w:top w:val="single" w:sz="4" w:space="0" w:color="auto"/>
              <w:left w:val="single" w:sz="4" w:space="0" w:color="auto"/>
              <w:bottom w:val="single" w:sz="4" w:space="0" w:color="auto"/>
              <w:right w:val="single" w:sz="4" w:space="0" w:color="auto"/>
            </w:tcBorders>
            <w:vAlign w:val="center"/>
          </w:tcPr>
          <w:p w14:paraId="3E6489B2"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2.68</w:t>
            </w:r>
          </w:p>
        </w:tc>
        <w:tc>
          <w:tcPr>
            <w:tcW w:w="1097" w:type="pct"/>
            <w:tcBorders>
              <w:top w:val="single" w:sz="4" w:space="0" w:color="auto"/>
              <w:left w:val="single" w:sz="4" w:space="0" w:color="auto"/>
              <w:bottom w:val="single" w:sz="4" w:space="0" w:color="auto"/>
              <w:right w:val="single" w:sz="4" w:space="0" w:color="auto"/>
            </w:tcBorders>
            <w:vAlign w:val="center"/>
          </w:tcPr>
          <w:p w14:paraId="320343DD" w14:textId="77777777" w:rsidR="004E6452" w:rsidRPr="001570EA" w:rsidRDefault="004E6452">
            <w:pPr>
              <w:pStyle w:val="TableCell"/>
              <w:spacing w:before="60" w:after="60"/>
              <w:jc w:val="center"/>
              <w:rPr>
                <w:rFonts w:eastAsia="Arial Unicode MS"/>
                <w:iCs/>
                <w:szCs w:val="18"/>
              </w:rPr>
            </w:pPr>
            <w:r w:rsidRPr="001570EA">
              <w:rPr>
                <w:rFonts w:eastAsia="Arial Unicode MS" w:cs="Arial"/>
                <w:iCs/>
                <w:szCs w:val="18"/>
              </w:rPr>
              <w:t xml:space="preserve">No heat pump: </w:t>
            </w:r>
            <w:r w:rsidRPr="001570EA">
              <w:rPr>
                <w:rFonts w:eastAsia="Arial Unicode MS"/>
                <w:iCs/>
                <w:szCs w:val="18"/>
              </w:rPr>
              <w:t>2.68</w:t>
            </w:r>
          </w:p>
          <w:p w14:paraId="424F32BA"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Heat pump: 5.60</w:t>
            </w:r>
          </w:p>
        </w:tc>
      </w:tr>
    </w:tbl>
    <w:p w14:paraId="5A258870" w14:textId="77777777" w:rsidR="004E6452" w:rsidRPr="001570EA" w:rsidRDefault="004E6452" w:rsidP="004E6452">
      <w:pPr>
        <w:pStyle w:val="SubStyle"/>
      </w:pPr>
    </w:p>
    <w:p w14:paraId="6CF00A86" w14:textId="77777777" w:rsidR="004E6452" w:rsidRPr="001570EA" w:rsidRDefault="004E6452" w:rsidP="004E6452">
      <w:pPr>
        <w:pStyle w:val="SubStyle"/>
      </w:pPr>
      <w:r w:rsidRPr="001570EA">
        <w:t>Default Savings</w:t>
      </w:r>
    </w:p>
    <w:bookmarkStart w:id="603" w:name="_Toc530141751"/>
    <w:bookmarkStart w:id="604" w:name="_Toc47598326"/>
    <w:p w14:paraId="4FD0AEB7" w14:textId="48D1942A" w:rsidR="004E6452" w:rsidRPr="001570EA" w:rsidRDefault="004E6452" w:rsidP="004E6452">
      <w:pPr>
        <w:pStyle w:val="BodyText"/>
        <w:ind w:right="0"/>
      </w:pPr>
      <w:r w:rsidRPr="001570EA">
        <w:fldChar w:fldCharType="begin"/>
      </w:r>
      <w:r w:rsidRPr="001570EA">
        <w:instrText xml:space="preserve"> REF _Ref162002928 \h </w:instrText>
      </w:r>
      <w:r w:rsidR="001570EA">
        <w:instrText xml:space="preserve"> \* MERGEFORMAT </w:instrText>
      </w:r>
      <w:r w:rsidRPr="001570EA">
        <w:fldChar w:fldCharType="separate"/>
      </w:r>
      <w:r w:rsidR="005B71B3" w:rsidRPr="001570EA">
        <w:t xml:space="preserve">Table </w:t>
      </w:r>
      <w:r w:rsidR="005B71B3" w:rsidRPr="001570EA">
        <w:rPr>
          <w:noProof/>
        </w:rPr>
        <w:t>2</w:t>
      </w:r>
      <w:r w:rsidR="005B71B3" w:rsidRPr="001570EA">
        <w:rPr>
          <w:noProof/>
        </w:rPr>
        <w:noBreakHyphen/>
        <w:t>109</w:t>
      </w:r>
      <w:r w:rsidRPr="001570EA">
        <w:fldChar w:fldCharType="end"/>
      </w:r>
      <w:r w:rsidRPr="001570EA">
        <w:t xml:space="preserve"> displays default energy savings for ENERGY STAR clothes dryers through 2/29/28. </w:t>
      </w:r>
      <w:r w:rsidRPr="001570EA">
        <w:fldChar w:fldCharType="begin"/>
      </w:r>
      <w:r w:rsidRPr="001570EA">
        <w:instrText xml:space="preserve"> REF _Ref162204388 \h </w:instrText>
      </w:r>
      <w:r w:rsidR="001570EA">
        <w:instrText xml:space="preserve"> \* MERGEFORMAT </w:instrText>
      </w:r>
      <w:r w:rsidRPr="001570EA">
        <w:fldChar w:fldCharType="separate"/>
      </w:r>
      <w:r w:rsidR="005B71B3" w:rsidRPr="001570EA">
        <w:t xml:space="preserve">Table </w:t>
      </w:r>
      <w:r w:rsidR="005B71B3" w:rsidRPr="001570EA">
        <w:rPr>
          <w:noProof/>
        </w:rPr>
        <w:t>2</w:t>
      </w:r>
      <w:r w:rsidR="005B71B3" w:rsidRPr="001570EA">
        <w:rPr>
          <w:noProof/>
        </w:rPr>
        <w:noBreakHyphen/>
        <w:t>110</w:t>
      </w:r>
      <w:r w:rsidRPr="001570EA">
        <w:fldChar w:fldCharType="end"/>
      </w:r>
      <w:r w:rsidRPr="001570EA">
        <w:t xml:space="preserve"> displays default energy savings for ENERGY STAR clothes dryers starting 3/1/28 when new federal minimum CEFs go into effect, at which point only clothes dryers with heat pump technology will be efficient enough to generate energy savings. </w:t>
      </w:r>
    </w:p>
    <w:p w14:paraId="13CB7C06" w14:textId="0510C3F7" w:rsidR="009A6CEF" w:rsidRDefault="009A6CEF">
      <w:pPr>
        <w:jc w:val="left"/>
        <w:rPr>
          <w:szCs w:val="20"/>
        </w:rPr>
      </w:pPr>
      <w:r>
        <w:br w:type="page"/>
      </w:r>
    </w:p>
    <w:p w14:paraId="6F3A99F8" w14:textId="77777777" w:rsidR="004E6452" w:rsidRPr="001570EA" w:rsidRDefault="004E6452" w:rsidP="004E6452">
      <w:pPr>
        <w:pStyle w:val="BodyText"/>
        <w:ind w:right="0"/>
      </w:pPr>
    </w:p>
    <w:p w14:paraId="0061A7FB" w14:textId="443485E0" w:rsidR="004E6452" w:rsidRPr="001570EA" w:rsidRDefault="004E6452" w:rsidP="004E6452">
      <w:pPr>
        <w:pStyle w:val="Caption"/>
      </w:pPr>
      <w:bookmarkStart w:id="605" w:name="_Ref16200292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109</w:t>
      </w:r>
      <w:r w:rsidR="002E093A" w:rsidRPr="001570EA">
        <w:fldChar w:fldCharType="end"/>
      </w:r>
      <w:bookmarkEnd w:id="605"/>
      <w:r w:rsidRPr="001570EA">
        <w:t xml:space="preserve">: </w:t>
      </w:r>
      <w:bookmarkStart w:id="606" w:name="_Hlk162204320"/>
      <w:r w:rsidRPr="001570EA">
        <w:t>Default Energy Savings and Demand Reductions for ENERGY STAR Clothes Dryers</w:t>
      </w:r>
      <w:bookmarkEnd w:id="603"/>
      <w:bookmarkEnd w:id="604"/>
      <w:bookmarkEnd w:id="606"/>
      <w:r w:rsidRPr="001570EA">
        <w:t xml:space="preserve"> through 2/29/28</w:t>
      </w:r>
    </w:p>
    <w:tbl>
      <w:tblPr>
        <w:tblW w:w="8522" w:type="dxa"/>
        <w:tblInd w:w="108" w:type="dxa"/>
        <w:tblLook w:val="04A0" w:firstRow="1" w:lastRow="0" w:firstColumn="1" w:lastColumn="0" w:noHBand="0" w:noVBand="1"/>
      </w:tblPr>
      <w:tblGrid>
        <w:gridCol w:w="2807"/>
        <w:gridCol w:w="1554"/>
        <w:gridCol w:w="2265"/>
        <w:gridCol w:w="1896"/>
      </w:tblGrid>
      <w:tr w:rsidR="004E6452" w:rsidRPr="001570EA" w14:paraId="26CE1697" w14:textId="77777777">
        <w:trPr>
          <w:trHeight w:val="278"/>
        </w:trPr>
        <w:tc>
          <w:tcPr>
            <w:tcW w:w="28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760BB2" w14:textId="77777777" w:rsidR="004E6452" w:rsidRPr="001570EA" w:rsidRDefault="004E6452">
            <w:pPr>
              <w:rPr>
                <w:sz w:val="18"/>
                <w:szCs w:val="18"/>
              </w:rPr>
            </w:pPr>
            <w:r w:rsidRPr="001570EA">
              <w:rPr>
                <w:b/>
                <w:bCs/>
                <w:sz w:val="18"/>
                <w:szCs w:val="18"/>
              </w:rPr>
              <w:t>Product Type</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AB7864" w14:textId="77777777" w:rsidR="004E6452" w:rsidRPr="001570EA" w:rsidRDefault="004E6452">
            <w:pPr>
              <w:jc w:val="center"/>
              <w:rPr>
                <w:sz w:val="18"/>
                <w:szCs w:val="18"/>
              </w:rPr>
            </w:pPr>
            <m:oMathPara>
              <m:oMath>
                <m:r>
                  <m:rPr>
                    <m:sty m:val="bi"/>
                  </m:rPr>
                  <w:rPr>
                    <w:rFonts w:ascii="Cambria Math" w:hAnsi="Cambria Math"/>
                    <w:sz w:val="18"/>
                    <w:szCs w:val="18"/>
                  </w:rPr>
                  <m:t>∆</m:t>
                </m:r>
                <m:r>
                  <m:rPr>
                    <m:sty m:val="bi"/>
                  </m:rPr>
                  <w:rPr>
                    <w:rFonts w:ascii="Cambria Math" w:hAnsi="Cambria Math" w:cs="Arial"/>
                    <w:sz w:val="18"/>
                    <w:szCs w:val="18"/>
                  </w:rPr>
                  <m:t>kWh</m:t>
                </m:r>
              </m:oMath>
            </m:oMathPara>
          </w:p>
        </w:tc>
        <w:tc>
          <w:tcPr>
            <w:tcW w:w="2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367C8D" w14:textId="77777777" w:rsidR="004E6452" w:rsidRPr="001570EA" w:rsidRDefault="004E6452">
            <w:pPr>
              <w:jc w:val="center"/>
              <w:rPr>
                <w:sz w:val="18"/>
                <w:szCs w:val="18"/>
              </w:rPr>
            </w:pPr>
            <m:oMathPara>
              <m:oMath>
                <m:r>
                  <m:rPr>
                    <m:sty m:val="bi"/>
                  </m:rPr>
                  <w:rPr>
                    <w:rFonts w:ascii="Cambria Math" w:hAnsi="Cambria Math"/>
                    <w:sz w:val="18"/>
                    <w:szCs w:val="18"/>
                  </w:rPr>
                  <m:t>∆</m:t>
                </m:r>
                <m:sSub>
                  <m:sSubPr>
                    <m:ctrlPr>
                      <w:rPr>
                        <w:rFonts w:ascii="Cambria Math" w:hAnsi="Cambria Math"/>
                        <w:b/>
                        <w:sz w:val="18"/>
                        <w:szCs w:val="18"/>
                      </w:rPr>
                    </m:ctrlPr>
                  </m:sSubPr>
                  <m:e>
                    <m:r>
                      <m:rPr>
                        <m:sty m:val="bi"/>
                      </m:rPr>
                      <w:rPr>
                        <w:rFonts w:ascii="Cambria Math" w:hAnsi="Cambria Math"/>
                        <w:sz w:val="18"/>
                        <w:szCs w:val="18"/>
                      </w:rPr>
                      <m:t>kW</m:t>
                    </m:r>
                  </m:e>
                  <m:sub>
                    <m:r>
                      <m:rPr>
                        <m:sty m:val="bi"/>
                      </m:rPr>
                      <w:rPr>
                        <w:rFonts w:ascii="Cambria Math" w:hAnsi="Cambria Math"/>
                        <w:sz w:val="18"/>
                        <w:szCs w:val="18"/>
                      </w:rPr>
                      <m:t>summer peak</m:t>
                    </m:r>
                  </m:sub>
                </m:sSub>
              </m:oMath>
            </m:oMathPara>
          </w:p>
        </w:tc>
        <w:tc>
          <w:tcPr>
            <w:tcW w:w="18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552089" w14:textId="77777777" w:rsidR="004E6452" w:rsidRPr="001570EA" w:rsidRDefault="004E6452">
            <w:pPr>
              <w:jc w:val="center"/>
              <w:rPr>
                <w:b/>
              </w:rPr>
            </w:pPr>
            <m:oMathPara>
              <m:oMath>
                <m:r>
                  <m:rPr>
                    <m:sty m:val="bi"/>
                  </m:rPr>
                  <w:rPr>
                    <w:rFonts w:ascii="Cambria Math" w:hAnsi="Cambria Math"/>
                    <w:sz w:val="18"/>
                    <w:szCs w:val="18"/>
                  </w:rPr>
                  <m:t>∆</m:t>
                </m:r>
                <m:sSub>
                  <m:sSubPr>
                    <m:ctrlPr>
                      <w:rPr>
                        <w:rFonts w:ascii="Cambria Math" w:hAnsi="Cambria Math"/>
                        <w:b/>
                        <w:sz w:val="18"/>
                        <w:szCs w:val="18"/>
                      </w:rPr>
                    </m:ctrlPr>
                  </m:sSubPr>
                  <m:e>
                    <m:r>
                      <m:rPr>
                        <m:sty m:val="bi"/>
                      </m:rPr>
                      <w:rPr>
                        <w:rFonts w:ascii="Cambria Math" w:hAnsi="Cambria Math"/>
                        <w:sz w:val="18"/>
                        <w:szCs w:val="18"/>
                      </w:rPr>
                      <m:t>kW</m:t>
                    </m:r>
                  </m:e>
                  <m:sub>
                    <m:r>
                      <m:rPr>
                        <m:sty m:val="bi"/>
                      </m:rPr>
                      <w:rPr>
                        <w:rFonts w:ascii="Cambria Math" w:hAnsi="Cambria Math"/>
                        <w:sz w:val="18"/>
                        <w:szCs w:val="18"/>
                      </w:rPr>
                      <m:t>winter peak</m:t>
                    </m:r>
                  </m:sub>
                </m:sSub>
              </m:oMath>
            </m:oMathPara>
          </w:p>
        </w:tc>
      </w:tr>
      <w:tr w:rsidR="004E6452" w:rsidRPr="001570EA" w14:paraId="7723303A" w14:textId="77777777">
        <w:tc>
          <w:tcPr>
            <w:tcW w:w="2807" w:type="dxa"/>
            <w:tcBorders>
              <w:top w:val="single" w:sz="4" w:space="0" w:color="auto"/>
              <w:left w:val="single" w:sz="4" w:space="0" w:color="auto"/>
              <w:bottom w:val="single" w:sz="4" w:space="0" w:color="auto"/>
              <w:right w:val="single" w:sz="4" w:space="0" w:color="auto"/>
            </w:tcBorders>
            <w:vAlign w:val="bottom"/>
          </w:tcPr>
          <w:p w14:paraId="4B456B22" w14:textId="77777777" w:rsidR="004E6452" w:rsidRPr="001570EA" w:rsidRDefault="004E6452">
            <w:pPr>
              <w:pStyle w:val="TableCell"/>
              <w:spacing w:before="60" w:after="60"/>
              <w:jc w:val="left"/>
              <w:rPr>
                <w:szCs w:val="18"/>
              </w:rPr>
            </w:pPr>
            <w:r w:rsidRPr="001570EA">
              <w:rPr>
                <w:szCs w:val="18"/>
              </w:rPr>
              <w:t>Vented Electric, Standard Capacity</w:t>
            </w:r>
          </w:p>
        </w:tc>
        <w:tc>
          <w:tcPr>
            <w:tcW w:w="1554" w:type="dxa"/>
            <w:tcBorders>
              <w:top w:val="single" w:sz="4" w:space="0" w:color="auto"/>
              <w:left w:val="single" w:sz="4" w:space="0" w:color="auto"/>
              <w:bottom w:val="single" w:sz="4" w:space="0" w:color="auto"/>
              <w:right w:val="single" w:sz="4" w:space="0" w:color="auto"/>
            </w:tcBorders>
            <w:vAlign w:val="center"/>
          </w:tcPr>
          <w:p w14:paraId="412BCDBE"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20.3</w:t>
            </w:r>
          </w:p>
        </w:tc>
        <w:tc>
          <w:tcPr>
            <w:tcW w:w="2265" w:type="dxa"/>
            <w:tcBorders>
              <w:top w:val="single" w:sz="4" w:space="0" w:color="auto"/>
              <w:left w:val="single" w:sz="4" w:space="0" w:color="auto"/>
              <w:bottom w:val="single" w:sz="4" w:space="0" w:color="auto"/>
              <w:right w:val="single" w:sz="4" w:space="0" w:color="auto"/>
            </w:tcBorders>
            <w:vAlign w:val="center"/>
          </w:tcPr>
          <w:p w14:paraId="4880DC6C"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0.0027345</w:t>
            </w:r>
          </w:p>
        </w:tc>
        <w:tc>
          <w:tcPr>
            <w:tcW w:w="1896" w:type="dxa"/>
            <w:tcBorders>
              <w:top w:val="single" w:sz="4" w:space="0" w:color="auto"/>
              <w:left w:val="single" w:sz="4" w:space="0" w:color="auto"/>
              <w:bottom w:val="single" w:sz="4" w:space="0" w:color="auto"/>
              <w:right w:val="single" w:sz="4" w:space="0" w:color="auto"/>
            </w:tcBorders>
            <w:vAlign w:val="center"/>
          </w:tcPr>
          <w:p w14:paraId="1294F261"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0.0027435</w:t>
            </w:r>
          </w:p>
        </w:tc>
      </w:tr>
      <w:tr w:rsidR="004E6452" w:rsidRPr="001570EA" w14:paraId="2EBEB1BF" w14:textId="77777777">
        <w:tc>
          <w:tcPr>
            <w:tcW w:w="2807" w:type="dxa"/>
            <w:tcBorders>
              <w:top w:val="single" w:sz="4" w:space="0" w:color="auto"/>
              <w:left w:val="single" w:sz="4" w:space="0" w:color="auto"/>
              <w:bottom w:val="single" w:sz="4" w:space="0" w:color="auto"/>
              <w:right w:val="single" w:sz="4" w:space="0" w:color="auto"/>
            </w:tcBorders>
            <w:vAlign w:val="bottom"/>
          </w:tcPr>
          <w:p w14:paraId="1BFE1BBB" w14:textId="77777777" w:rsidR="004E6452" w:rsidRPr="001570EA" w:rsidRDefault="004E6452">
            <w:pPr>
              <w:pStyle w:val="TableCell"/>
              <w:spacing w:before="60" w:after="60"/>
              <w:jc w:val="left"/>
              <w:rPr>
                <w:szCs w:val="18"/>
              </w:rPr>
            </w:pPr>
            <w:r w:rsidRPr="001570EA">
              <w:rPr>
                <w:szCs w:val="18"/>
              </w:rPr>
              <w:t>Vented Electric, Standard Capacity, Hybrid</w:t>
            </w:r>
          </w:p>
        </w:tc>
        <w:tc>
          <w:tcPr>
            <w:tcW w:w="1554" w:type="dxa"/>
            <w:tcBorders>
              <w:top w:val="single" w:sz="4" w:space="0" w:color="auto"/>
              <w:left w:val="single" w:sz="4" w:space="0" w:color="auto"/>
              <w:bottom w:val="single" w:sz="4" w:space="0" w:color="auto"/>
              <w:right w:val="single" w:sz="4" w:space="0" w:color="auto"/>
            </w:tcBorders>
            <w:vAlign w:val="center"/>
          </w:tcPr>
          <w:p w14:paraId="7E7A95BE"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68.3</w:t>
            </w:r>
          </w:p>
        </w:tc>
        <w:tc>
          <w:tcPr>
            <w:tcW w:w="2265" w:type="dxa"/>
            <w:tcBorders>
              <w:top w:val="single" w:sz="4" w:space="0" w:color="auto"/>
              <w:left w:val="single" w:sz="4" w:space="0" w:color="auto"/>
              <w:bottom w:val="single" w:sz="4" w:space="0" w:color="auto"/>
              <w:right w:val="single" w:sz="4" w:space="0" w:color="auto"/>
            </w:tcBorders>
            <w:vAlign w:val="center"/>
          </w:tcPr>
          <w:p w14:paraId="3FCF9ECC"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0.0091945</w:t>
            </w:r>
          </w:p>
        </w:tc>
        <w:tc>
          <w:tcPr>
            <w:tcW w:w="1896" w:type="dxa"/>
            <w:tcBorders>
              <w:top w:val="single" w:sz="4" w:space="0" w:color="auto"/>
              <w:left w:val="single" w:sz="4" w:space="0" w:color="auto"/>
              <w:bottom w:val="single" w:sz="4" w:space="0" w:color="auto"/>
              <w:right w:val="single" w:sz="4" w:space="0" w:color="auto"/>
            </w:tcBorders>
            <w:vAlign w:val="center"/>
          </w:tcPr>
          <w:p w14:paraId="1B0BCCDB"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0.0092247</w:t>
            </w:r>
          </w:p>
        </w:tc>
      </w:tr>
      <w:tr w:rsidR="004E6452" w:rsidRPr="001570EA" w14:paraId="704BEE78" w14:textId="77777777">
        <w:tc>
          <w:tcPr>
            <w:tcW w:w="2807" w:type="dxa"/>
            <w:tcBorders>
              <w:top w:val="single" w:sz="4" w:space="0" w:color="auto"/>
              <w:left w:val="single" w:sz="4" w:space="0" w:color="auto"/>
              <w:bottom w:val="single" w:sz="4" w:space="0" w:color="auto"/>
              <w:right w:val="single" w:sz="4" w:space="0" w:color="auto"/>
            </w:tcBorders>
            <w:vAlign w:val="bottom"/>
          </w:tcPr>
          <w:p w14:paraId="64B5AB1A" w14:textId="77777777" w:rsidR="004E6452" w:rsidRPr="001570EA" w:rsidRDefault="004E6452">
            <w:pPr>
              <w:pStyle w:val="TableCell"/>
              <w:spacing w:before="60" w:after="60"/>
              <w:jc w:val="left"/>
              <w:rPr>
                <w:szCs w:val="18"/>
              </w:rPr>
            </w:pPr>
            <w:r w:rsidRPr="001570EA">
              <w:rPr>
                <w:szCs w:val="18"/>
              </w:rPr>
              <w:t>Ventless Electric, Standard Capacity</w:t>
            </w:r>
          </w:p>
        </w:tc>
        <w:tc>
          <w:tcPr>
            <w:tcW w:w="1554" w:type="dxa"/>
            <w:tcBorders>
              <w:top w:val="single" w:sz="4" w:space="0" w:color="auto"/>
              <w:left w:val="single" w:sz="4" w:space="0" w:color="auto"/>
              <w:bottom w:val="single" w:sz="4" w:space="0" w:color="auto"/>
              <w:right w:val="single" w:sz="4" w:space="0" w:color="auto"/>
            </w:tcBorders>
            <w:vAlign w:val="center"/>
          </w:tcPr>
          <w:p w14:paraId="2871DF8F"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20.3</w:t>
            </w:r>
          </w:p>
        </w:tc>
        <w:tc>
          <w:tcPr>
            <w:tcW w:w="2265" w:type="dxa"/>
            <w:tcBorders>
              <w:top w:val="single" w:sz="4" w:space="0" w:color="auto"/>
              <w:left w:val="single" w:sz="4" w:space="0" w:color="auto"/>
              <w:bottom w:val="single" w:sz="4" w:space="0" w:color="auto"/>
              <w:right w:val="single" w:sz="4" w:space="0" w:color="auto"/>
            </w:tcBorders>
            <w:vAlign w:val="center"/>
          </w:tcPr>
          <w:p w14:paraId="339A45FE"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0.0027345</w:t>
            </w:r>
          </w:p>
        </w:tc>
        <w:tc>
          <w:tcPr>
            <w:tcW w:w="1896" w:type="dxa"/>
            <w:tcBorders>
              <w:top w:val="single" w:sz="4" w:space="0" w:color="auto"/>
              <w:left w:val="single" w:sz="4" w:space="0" w:color="auto"/>
              <w:bottom w:val="single" w:sz="4" w:space="0" w:color="auto"/>
              <w:right w:val="single" w:sz="4" w:space="0" w:color="auto"/>
            </w:tcBorders>
            <w:vAlign w:val="center"/>
          </w:tcPr>
          <w:p w14:paraId="407C0155"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0.0027435</w:t>
            </w:r>
          </w:p>
        </w:tc>
      </w:tr>
      <w:tr w:rsidR="004E6452" w:rsidRPr="001570EA" w14:paraId="2DC16AF9" w14:textId="77777777">
        <w:tc>
          <w:tcPr>
            <w:tcW w:w="2807" w:type="dxa"/>
            <w:tcBorders>
              <w:top w:val="single" w:sz="4" w:space="0" w:color="auto"/>
              <w:left w:val="single" w:sz="4" w:space="0" w:color="auto"/>
              <w:bottom w:val="single" w:sz="4" w:space="0" w:color="auto"/>
              <w:right w:val="single" w:sz="4" w:space="0" w:color="auto"/>
            </w:tcBorders>
            <w:vAlign w:val="bottom"/>
          </w:tcPr>
          <w:p w14:paraId="2C087492" w14:textId="77777777" w:rsidR="004E6452" w:rsidRPr="001570EA" w:rsidRDefault="004E6452">
            <w:pPr>
              <w:pStyle w:val="TableCell"/>
              <w:spacing w:before="60" w:after="60"/>
              <w:jc w:val="left"/>
              <w:rPr>
                <w:szCs w:val="18"/>
              </w:rPr>
            </w:pPr>
            <w:r w:rsidRPr="001570EA">
              <w:rPr>
                <w:szCs w:val="18"/>
              </w:rPr>
              <w:t>Ventless Electric, Standard Capacity, Hybrid</w:t>
            </w:r>
          </w:p>
        </w:tc>
        <w:tc>
          <w:tcPr>
            <w:tcW w:w="1554" w:type="dxa"/>
            <w:tcBorders>
              <w:top w:val="single" w:sz="4" w:space="0" w:color="auto"/>
              <w:left w:val="single" w:sz="4" w:space="0" w:color="auto"/>
              <w:bottom w:val="single" w:sz="4" w:space="0" w:color="auto"/>
              <w:right w:val="single" w:sz="4" w:space="0" w:color="auto"/>
            </w:tcBorders>
            <w:vAlign w:val="center"/>
          </w:tcPr>
          <w:p w14:paraId="5B6CCBFF"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112.9</w:t>
            </w:r>
          </w:p>
        </w:tc>
        <w:tc>
          <w:tcPr>
            <w:tcW w:w="2265" w:type="dxa"/>
            <w:tcBorders>
              <w:top w:val="single" w:sz="4" w:space="0" w:color="auto"/>
              <w:left w:val="single" w:sz="4" w:space="0" w:color="auto"/>
              <w:bottom w:val="single" w:sz="4" w:space="0" w:color="auto"/>
              <w:right w:val="single" w:sz="4" w:space="0" w:color="auto"/>
            </w:tcBorders>
            <w:vAlign w:val="center"/>
          </w:tcPr>
          <w:p w14:paraId="77DACFFF"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0.0151902</w:t>
            </w:r>
          </w:p>
        </w:tc>
        <w:tc>
          <w:tcPr>
            <w:tcW w:w="1896" w:type="dxa"/>
            <w:tcBorders>
              <w:top w:val="single" w:sz="4" w:space="0" w:color="auto"/>
              <w:left w:val="single" w:sz="4" w:space="0" w:color="auto"/>
              <w:bottom w:val="single" w:sz="4" w:space="0" w:color="auto"/>
              <w:right w:val="single" w:sz="4" w:space="0" w:color="auto"/>
            </w:tcBorders>
            <w:vAlign w:val="center"/>
          </w:tcPr>
          <w:p w14:paraId="206A6C17"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0.0152402</w:t>
            </w:r>
          </w:p>
        </w:tc>
      </w:tr>
      <w:tr w:rsidR="004E6452" w:rsidRPr="001570EA" w14:paraId="40043FAD" w14:textId="77777777">
        <w:tc>
          <w:tcPr>
            <w:tcW w:w="2807" w:type="dxa"/>
            <w:tcBorders>
              <w:top w:val="single" w:sz="4" w:space="0" w:color="auto"/>
              <w:left w:val="single" w:sz="4" w:space="0" w:color="auto"/>
              <w:bottom w:val="single" w:sz="4" w:space="0" w:color="auto"/>
              <w:right w:val="single" w:sz="4" w:space="0" w:color="auto"/>
            </w:tcBorders>
            <w:vAlign w:val="bottom"/>
          </w:tcPr>
          <w:p w14:paraId="7031AA45" w14:textId="77777777" w:rsidR="004E6452" w:rsidRPr="001570EA" w:rsidRDefault="004E6452">
            <w:pPr>
              <w:pStyle w:val="TableCell"/>
              <w:spacing w:before="60" w:after="60"/>
              <w:jc w:val="left"/>
              <w:rPr>
                <w:szCs w:val="18"/>
              </w:rPr>
            </w:pPr>
            <w:r w:rsidRPr="001570EA">
              <w:rPr>
                <w:szCs w:val="18"/>
              </w:rPr>
              <w:t xml:space="preserve">Ventless Electric, Standard Capacity, Heat Pump </w:t>
            </w:r>
          </w:p>
        </w:tc>
        <w:tc>
          <w:tcPr>
            <w:tcW w:w="1554" w:type="dxa"/>
            <w:tcBorders>
              <w:top w:val="single" w:sz="4" w:space="0" w:color="auto"/>
              <w:left w:val="single" w:sz="4" w:space="0" w:color="auto"/>
              <w:bottom w:val="single" w:sz="4" w:space="0" w:color="auto"/>
              <w:right w:val="single" w:sz="4" w:space="0" w:color="auto"/>
            </w:tcBorders>
            <w:vAlign w:val="center"/>
          </w:tcPr>
          <w:p w14:paraId="3C5E14C6"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246.5</w:t>
            </w:r>
          </w:p>
        </w:tc>
        <w:tc>
          <w:tcPr>
            <w:tcW w:w="2265" w:type="dxa"/>
            <w:tcBorders>
              <w:top w:val="single" w:sz="4" w:space="0" w:color="auto"/>
              <w:left w:val="single" w:sz="4" w:space="0" w:color="auto"/>
              <w:bottom w:val="single" w:sz="4" w:space="0" w:color="auto"/>
              <w:right w:val="single" w:sz="4" w:space="0" w:color="auto"/>
            </w:tcBorders>
            <w:vAlign w:val="center"/>
          </w:tcPr>
          <w:p w14:paraId="004FC594"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0.0331772</w:t>
            </w:r>
          </w:p>
        </w:tc>
        <w:tc>
          <w:tcPr>
            <w:tcW w:w="1896" w:type="dxa"/>
            <w:tcBorders>
              <w:top w:val="single" w:sz="4" w:space="0" w:color="auto"/>
              <w:left w:val="single" w:sz="4" w:space="0" w:color="auto"/>
              <w:bottom w:val="single" w:sz="4" w:space="0" w:color="auto"/>
              <w:right w:val="single" w:sz="4" w:space="0" w:color="auto"/>
            </w:tcBorders>
            <w:vAlign w:val="center"/>
          </w:tcPr>
          <w:p w14:paraId="0F5B637C"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0.0332864</w:t>
            </w:r>
          </w:p>
        </w:tc>
      </w:tr>
      <w:tr w:rsidR="004E6452" w:rsidRPr="001570EA" w14:paraId="5B9E16ED" w14:textId="77777777">
        <w:tc>
          <w:tcPr>
            <w:tcW w:w="2807" w:type="dxa"/>
            <w:tcBorders>
              <w:top w:val="single" w:sz="4" w:space="0" w:color="auto"/>
              <w:left w:val="single" w:sz="4" w:space="0" w:color="auto"/>
              <w:bottom w:val="single" w:sz="4" w:space="0" w:color="auto"/>
              <w:right w:val="single" w:sz="4" w:space="0" w:color="auto"/>
            </w:tcBorders>
            <w:vAlign w:val="bottom"/>
          </w:tcPr>
          <w:p w14:paraId="7E0B9775" w14:textId="77777777" w:rsidR="004E6452" w:rsidRPr="001570EA" w:rsidRDefault="004E6452">
            <w:pPr>
              <w:pStyle w:val="TableCell"/>
              <w:spacing w:before="60" w:after="60"/>
              <w:jc w:val="left"/>
              <w:rPr>
                <w:szCs w:val="18"/>
              </w:rPr>
            </w:pPr>
            <w:r w:rsidRPr="001570EA">
              <w:rPr>
                <w:szCs w:val="18"/>
              </w:rPr>
              <w:t>Vented or Ventless Electric, Compact Capacity, 120V, Heat Pump</w:t>
            </w:r>
          </w:p>
        </w:tc>
        <w:tc>
          <w:tcPr>
            <w:tcW w:w="1554" w:type="dxa"/>
            <w:tcBorders>
              <w:top w:val="single" w:sz="4" w:space="0" w:color="auto"/>
              <w:left w:val="single" w:sz="4" w:space="0" w:color="auto"/>
              <w:bottom w:val="single" w:sz="4" w:space="0" w:color="auto"/>
              <w:right w:val="single" w:sz="4" w:space="0" w:color="auto"/>
            </w:tcBorders>
            <w:vAlign w:val="center"/>
          </w:tcPr>
          <w:p w14:paraId="1DBE5E17"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63.5</w:t>
            </w:r>
          </w:p>
        </w:tc>
        <w:tc>
          <w:tcPr>
            <w:tcW w:w="2265" w:type="dxa"/>
            <w:tcBorders>
              <w:top w:val="single" w:sz="4" w:space="0" w:color="auto"/>
              <w:left w:val="single" w:sz="4" w:space="0" w:color="auto"/>
              <w:bottom w:val="single" w:sz="4" w:space="0" w:color="auto"/>
              <w:right w:val="single" w:sz="4" w:space="0" w:color="auto"/>
            </w:tcBorders>
            <w:vAlign w:val="center"/>
          </w:tcPr>
          <w:p w14:paraId="2B2C5220"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0.0085405</w:t>
            </w:r>
          </w:p>
        </w:tc>
        <w:tc>
          <w:tcPr>
            <w:tcW w:w="1896" w:type="dxa"/>
            <w:tcBorders>
              <w:top w:val="single" w:sz="4" w:space="0" w:color="auto"/>
              <w:left w:val="single" w:sz="4" w:space="0" w:color="auto"/>
              <w:bottom w:val="single" w:sz="4" w:space="0" w:color="auto"/>
              <w:right w:val="single" w:sz="4" w:space="0" w:color="auto"/>
            </w:tcBorders>
            <w:vAlign w:val="center"/>
          </w:tcPr>
          <w:p w14:paraId="5E577130"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0.0085686</w:t>
            </w:r>
          </w:p>
        </w:tc>
      </w:tr>
      <w:tr w:rsidR="004E6452" w:rsidRPr="001570EA" w14:paraId="389DDE6C" w14:textId="77777777">
        <w:tc>
          <w:tcPr>
            <w:tcW w:w="2807" w:type="dxa"/>
            <w:tcBorders>
              <w:top w:val="single" w:sz="4" w:space="0" w:color="auto"/>
              <w:left w:val="single" w:sz="4" w:space="0" w:color="auto"/>
              <w:bottom w:val="single" w:sz="4" w:space="0" w:color="auto"/>
              <w:right w:val="single" w:sz="4" w:space="0" w:color="auto"/>
            </w:tcBorders>
            <w:vAlign w:val="bottom"/>
          </w:tcPr>
          <w:p w14:paraId="5AE26FCB" w14:textId="77777777" w:rsidR="004E6452" w:rsidRPr="001570EA" w:rsidRDefault="004E6452">
            <w:pPr>
              <w:pStyle w:val="TableCell"/>
              <w:spacing w:before="60" w:after="60"/>
              <w:jc w:val="left"/>
              <w:rPr>
                <w:szCs w:val="18"/>
              </w:rPr>
            </w:pPr>
            <w:r w:rsidRPr="001570EA">
              <w:rPr>
                <w:szCs w:val="18"/>
              </w:rPr>
              <w:t>Vented Electric, Compact Capacity, 240V</w:t>
            </w:r>
          </w:p>
        </w:tc>
        <w:tc>
          <w:tcPr>
            <w:tcW w:w="1554" w:type="dxa"/>
            <w:tcBorders>
              <w:top w:val="single" w:sz="4" w:space="0" w:color="auto"/>
              <w:left w:val="single" w:sz="4" w:space="0" w:color="auto"/>
              <w:bottom w:val="single" w:sz="4" w:space="0" w:color="auto"/>
              <w:right w:val="single" w:sz="4" w:space="0" w:color="auto"/>
            </w:tcBorders>
            <w:vAlign w:val="center"/>
          </w:tcPr>
          <w:p w14:paraId="3BE79597"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8.4</w:t>
            </w:r>
          </w:p>
        </w:tc>
        <w:tc>
          <w:tcPr>
            <w:tcW w:w="2265" w:type="dxa"/>
            <w:tcBorders>
              <w:top w:val="single" w:sz="4" w:space="0" w:color="auto"/>
              <w:left w:val="single" w:sz="4" w:space="0" w:color="auto"/>
              <w:bottom w:val="single" w:sz="4" w:space="0" w:color="auto"/>
              <w:right w:val="single" w:sz="4" w:space="0" w:color="auto"/>
            </w:tcBorders>
            <w:vAlign w:val="center"/>
          </w:tcPr>
          <w:p w14:paraId="3E628956"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0.0011353</w:t>
            </w:r>
          </w:p>
        </w:tc>
        <w:tc>
          <w:tcPr>
            <w:tcW w:w="1896" w:type="dxa"/>
            <w:tcBorders>
              <w:top w:val="single" w:sz="4" w:space="0" w:color="auto"/>
              <w:left w:val="single" w:sz="4" w:space="0" w:color="auto"/>
              <w:bottom w:val="single" w:sz="4" w:space="0" w:color="auto"/>
              <w:right w:val="single" w:sz="4" w:space="0" w:color="auto"/>
            </w:tcBorders>
            <w:vAlign w:val="center"/>
          </w:tcPr>
          <w:p w14:paraId="653B8D05"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0.0011391</w:t>
            </w:r>
          </w:p>
        </w:tc>
      </w:tr>
      <w:tr w:rsidR="004E6452" w:rsidRPr="001570EA" w14:paraId="6B1262D8" w14:textId="77777777">
        <w:tc>
          <w:tcPr>
            <w:tcW w:w="2807" w:type="dxa"/>
            <w:tcBorders>
              <w:top w:val="single" w:sz="4" w:space="0" w:color="auto"/>
              <w:left w:val="single" w:sz="4" w:space="0" w:color="auto"/>
              <w:bottom w:val="single" w:sz="4" w:space="0" w:color="auto"/>
              <w:right w:val="single" w:sz="4" w:space="0" w:color="auto"/>
            </w:tcBorders>
            <w:vAlign w:val="bottom"/>
          </w:tcPr>
          <w:p w14:paraId="1B6A9467" w14:textId="77777777" w:rsidR="004E6452" w:rsidRPr="001570EA" w:rsidRDefault="004E6452">
            <w:pPr>
              <w:pStyle w:val="TableCell"/>
              <w:spacing w:before="60" w:after="60"/>
              <w:jc w:val="left"/>
              <w:rPr>
                <w:szCs w:val="18"/>
              </w:rPr>
            </w:pPr>
            <w:r w:rsidRPr="001570EA">
              <w:rPr>
                <w:szCs w:val="18"/>
              </w:rPr>
              <w:t>Ventless Electric, Compact Capacity, 240V</w:t>
            </w:r>
            <w:r w:rsidRPr="001570EA" w:rsidDel="00A0045B">
              <w:rPr>
                <w:szCs w:val="18"/>
              </w:rPr>
              <w:t xml:space="preserve"> </w:t>
            </w:r>
          </w:p>
        </w:tc>
        <w:tc>
          <w:tcPr>
            <w:tcW w:w="1554" w:type="dxa"/>
            <w:tcBorders>
              <w:top w:val="single" w:sz="4" w:space="0" w:color="auto"/>
              <w:left w:val="single" w:sz="4" w:space="0" w:color="auto"/>
              <w:bottom w:val="single" w:sz="4" w:space="0" w:color="auto"/>
              <w:right w:val="single" w:sz="4" w:space="0" w:color="auto"/>
            </w:tcBorders>
            <w:vAlign w:val="center"/>
          </w:tcPr>
          <w:p w14:paraId="62CBEB9D"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10.1</w:t>
            </w:r>
          </w:p>
        </w:tc>
        <w:tc>
          <w:tcPr>
            <w:tcW w:w="2265" w:type="dxa"/>
            <w:tcBorders>
              <w:top w:val="single" w:sz="4" w:space="0" w:color="auto"/>
              <w:left w:val="single" w:sz="4" w:space="0" w:color="auto"/>
              <w:bottom w:val="single" w:sz="4" w:space="0" w:color="auto"/>
              <w:right w:val="single" w:sz="4" w:space="0" w:color="auto"/>
            </w:tcBorders>
            <w:vAlign w:val="center"/>
          </w:tcPr>
          <w:p w14:paraId="441AC8B7"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0.0013536</w:t>
            </w:r>
          </w:p>
        </w:tc>
        <w:tc>
          <w:tcPr>
            <w:tcW w:w="1896" w:type="dxa"/>
            <w:tcBorders>
              <w:top w:val="single" w:sz="4" w:space="0" w:color="auto"/>
              <w:left w:val="single" w:sz="4" w:space="0" w:color="auto"/>
              <w:bottom w:val="single" w:sz="4" w:space="0" w:color="auto"/>
              <w:right w:val="single" w:sz="4" w:space="0" w:color="auto"/>
            </w:tcBorders>
            <w:vAlign w:val="center"/>
          </w:tcPr>
          <w:p w14:paraId="5292F6C9"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0.0013581</w:t>
            </w:r>
          </w:p>
        </w:tc>
      </w:tr>
      <w:tr w:rsidR="004E6452" w:rsidRPr="001570EA" w14:paraId="21301FDB" w14:textId="77777777">
        <w:tc>
          <w:tcPr>
            <w:tcW w:w="2807" w:type="dxa"/>
            <w:tcBorders>
              <w:top w:val="single" w:sz="4" w:space="0" w:color="auto"/>
              <w:left w:val="single" w:sz="4" w:space="0" w:color="auto"/>
              <w:bottom w:val="single" w:sz="4" w:space="0" w:color="auto"/>
              <w:right w:val="single" w:sz="4" w:space="0" w:color="auto"/>
            </w:tcBorders>
            <w:vAlign w:val="bottom"/>
          </w:tcPr>
          <w:p w14:paraId="3B66F2E7" w14:textId="77777777" w:rsidR="004E6452" w:rsidRPr="001570EA" w:rsidRDefault="004E6452">
            <w:pPr>
              <w:pStyle w:val="TableCell"/>
              <w:spacing w:before="60" w:after="60"/>
              <w:jc w:val="left"/>
              <w:rPr>
                <w:szCs w:val="18"/>
              </w:rPr>
            </w:pPr>
            <w:r w:rsidRPr="001570EA">
              <w:rPr>
                <w:szCs w:val="18"/>
              </w:rPr>
              <w:t>Ventless Electric, Compact Capacity, 240V, Heat Pump</w:t>
            </w:r>
          </w:p>
        </w:tc>
        <w:tc>
          <w:tcPr>
            <w:tcW w:w="1554" w:type="dxa"/>
            <w:tcBorders>
              <w:top w:val="single" w:sz="4" w:space="0" w:color="auto"/>
              <w:left w:val="single" w:sz="4" w:space="0" w:color="auto"/>
              <w:bottom w:val="single" w:sz="4" w:space="0" w:color="auto"/>
              <w:right w:val="single" w:sz="4" w:space="0" w:color="auto"/>
            </w:tcBorders>
            <w:vAlign w:val="center"/>
          </w:tcPr>
          <w:p w14:paraId="77815A43"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112.9</w:t>
            </w:r>
          </w:p>
        </w:tc>
        <w:tc>
          <w:tcPr>
            <w:tcW w:w="2265" w:type="dxa"/>
            <w:tcBorders>
              <w:top w:val="single" w:sz="4" w:space="0" w:color="auto"/>
              <w:left w:val="single" w:sz="4" w:space="0" w:color="auto"/>
              <w:bottom w:val="single" w:sz="4" w:space="0" w:color="auto"/>
              <w:right w:val="single" w:sz="4" w:space="0" w:color="auto"/>
            </w:tcBorders>
            <w:vAlign w:val="center"/>
          </w:tcPr>
          <w:p w14:paraId="3870AE15"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0.0151982</w:t>
            </w:r>
          </w:p>
        </w:tc>
        <w:tc>
          <w:tcPr>
            <w:tcW w:w="1896" w:type="dxa"/>
            <w:tcBorders>
              <w:top w:val="single" w:sz="4" w:space="0" w:color="auto"/>
              <w:left w:val="single" w:sz="4" w:space="0" w:color="auto"/>
              <w:bottom w:val="single" w:sz="4" w:space="0" w:color="auto"/>
              <w:right w:val="single" w:sz="4" w:space="0" w:color="auto"/>
            </w:tcBorders>
            <w:vAlign w:val="center"/>
          </w:tcPr>
          <w:p w14:paraId="55D32B47"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0.0152483</w:t>
            </w:r>
          </w:p>
        </w:tc>
      </w:tr>
    </w:tbl>
    <w:p w14:paraId="76706B5D" w14:textId="77777777" w:rsidR="004E6452" w:rsidRPr="001570EA" w:rsidRDefault="004E6452" w:rsidP="004E6452"/>
    <w:p w14:paraId="51D3D37B" w14:textId="43E5E74E" w:rsidR="004E6452" w:rsidRPr="001570EA" w:rsidRDefault="004E6452" w:rsidP="004E6452">
      <w:pPr>
        <w:pStyle w:val="Caption"/>
      </w:pPr>
      <w:bookmarkStart w:id="607" w:name="_Ref16220438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110</w:t>
      </w:r>
      <w:r w:rsidR="002E093A" w:rsidRPr="001570EA">
        <w:fldChar w:fldCharType="end"/>
      </w:r>
      <w:bookmarkEnd w:id="607"/>
      <w:r w:rsidRPr="001570EA">
        <w:t>: Default Energy Savings and Demand Reductions for ENERGY STAR Clothes Dryers as of 3/1/28</w:t>
      </w:r>
    </w:p>
    <w:tbl>
      <w:tblPr>
        <w:tblW w:w="8522" w:type="dxa"/>
        <w:tblInd w:w="108" w:type="dxa"/>
        <w:tblLook w:val="04A0" w:firstRow="1" w:lastRow="0" w:firstColumn="1" w:lastColumn="0" w:noHBand="0" w:noVBand="1"/>
      </w:tblPr>
      <w:tblGrid>
        <w:gridCol w:w="2807"/>
        <w:gridCol w:w="1554"/>
        <w:gridCol w:w="2265"/>
        <w:gridCol w:w="1896"/>
      </w:tblGrid>
      <w:tr w:rsidR="004E6452" w:rsidRPr="001570EA" w14:paraId="1602E6FC" w14:textId="77777777">
        <w:trPr>
          <w:trHeight w:val="278"/>
        </w:trPr>
        <w:tc>
          <w:tcPr>
            <w:tcW w:w="28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6509E6" w14:textId="77777777" w:rsidR="004E6452" w:rsidRPr="001570EA" w:rsidRDefault="004E6452">
            <w:pPr>
              <w:rPr>
                <w:sz w:val="18"/>
                <w:szCs w:val="18"/>
              </w:rPr>
            </w:pPr>
            <w:r w:rsidRPr="001570EA">
              <w:rPr>
                <w:b/>
                <w:bCs/>
                <w:sz w:val="18"/>
                <w:szCs w:val="18"/>
              </w:rPr>
              <w:t>Product Type</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398BD5" w14:textId="77777777" w:rsidR="004E6452" w:rsidRPr="001570EA" w:rsidRDefault="004E6452">
            <w:pPr>
              <w:jc w:val="center"/>
              <w:rPr>
                <w:sz w:val="18"/>
                <w:szCs w:val="18"/>
              </w:rPr>
            </w:pPr>
            <m:oMathPara>
              <m:oMath>
                <m:r>
                  <m:rPr>
                    <m:sty m:val="bi"/>
                  </m:rPr>
                  <w:rPr>
                    <w:rFonts w:ascii="Cambria Math" w:hAnsi="Cambria Math"/>
                    <w:sz w:val="18"/>
                    <w:szCs w:val="18"/>
                  </w:rPr>
                  <m:t>∆</m:t>
                </m:r>
                <m:r>
                  <m:rPr>
                    <m:sty m:val="bi"/>
                  </m:rPr>
                  <w:rPr>
                    <w:rFonts w:ascii="Cambria Math" w:hAnsi="Cambria Math" w:cs="Arial"/>
                    <w:sz w:val="18"/>
                    <w:szCs w:val="18"/>
                  </w:rPr>
                  <m:t>kWh</m:t>
                </m:r>
              </m:oMath>
            </m:oMathPara>
          </w:p>
        </w:tc>
        <w:tc>
          <w:tcPr>
            <w:tcW w:w="2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B6249A" w14:textId="77777777" w:rsidR="004E6452" w:rsidRPr="001570EA" w:rsidRDefault="004E6452">
            <w:pPr>
              <w:jc w:val="center"/>
              <w:rPr>
                <w:sz w:val="18"/>
                <w:szCs w:val="18"/>
              </w:rPr>
            </w:pPr>
            <m:oMathPara>
              <m:oMath>
                <m:r>
                  <m:rPr>
                    <m:sty m:val="bi"/>
                  </m:rPr>
                  <w:rPr>
                    <w:rFonts w:ascii="Cambria Math" w:hAnsi="Cambria Math"/>
                    <w:sz w:val="18"/>
                    <w:szCs w:val="18"/>
                  </w:rPr>
                  <m:t>∆</m:t>
                </m:r>
                <m:sSub>
                  <m:sSubPr>
                    <m:ctrlPr>
                      <w:rPr>
                        <w:rFonts w:ascii="Cambria Math" w:hAnsi="Cambria Math"/>
                        <w:b/>
                        <w:sz w:val="18"/>
                        <w:szCs w:val="18"/>
                      </w:rPr>
                    </m:ctrlPr>
                  </m:sSubPr>
                  <m:e>
                    <m:r>
                      <m:rPr>
                        <m:sty m:val="bi"/>
                      </m:rPr>
                      <w:rPr>
                        <w:rFonts w:ascii="Cambria Math" w:hAnsi="Cambria Math"/>
                        <w:sz w:val="18"/>
                        <w:szCs w:val="18"/>
                      </w:rPr>
                      <m:t>kW</m:t>
                    </m:r>
                  </m:e>
                  <m:sub>
                    <m:r>
                      <m:rPr>
                        <m:sty m:val="bi"/>
                      </m:rPr>
                      <w:rPr>
                        <w:rFonts w:ascii="Cambria Math" w:hAnsi="Cambria Math"/>
                        <w:sz w:val="18"/>
                        <w:szCs w:val="18"/>
                      </w:rPr>
                      <m:t>summer peak</m:t>
                    </m:r>
                  </m:sub>
                </m:sSub>
              </m:oMath>
            </m:oMathPara>
          </w:p>
        </w:tc>
        <w:tc>
          <w:tcPr>
            <w:tcW w:w="18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6E097" w14:textId="77777777" w:rsidR="004E6452" w:rsidRPr="001570EA" w:rsidRDefault="004E6452">
            <w:pPr>
              <w:jc w:val="center"/>
              <w:rPr>
                <w:b/>
              </w:rPr>
            </w:pPr>
            <m:oMathPara>
              <m:oMath>
                <m:r>
                  <m:rPr>
                    <m:sty m:val="bi"/>
                  </m:rPr>
                  <w:rPr>
                    <w:rFonts w:ascii="Cambria Math" w:hAnsi="Cambria Math"/>
                    <w:sz w:val="18"/>
                    <w:szCs w:val="18"/>
                  </w:rPr>
                  <m:t>∆</m:t>
                </m:r>
                <m:sSub>
                  <m:sSubPr>
                    <m:ctrlPr>
                      <w:rPr>
                        <w:rFonts w:ascii="Cambria Math" w:hAnsi="Cambria Math"/>
                        <w:b/>
                        <w:sz w:val="18"/>
                        <w:szCs w:val="18"/>
                      </w:rPr>
                    </m:ctrlPr>
                  </m:sSubPr>
                  <m:e>
                    <m:r>
                      <m:rPr>
                        <m:sty m:val="bi"/>
                      </m:rPr>
                      <w:rPr>
                        <w:rFonts w:ascii="Cambria Math" w:hAnsi="Cambria Math"/>
                        <w:sz w:val="18"/>
                        <w:szCs w:val="18"/>
                      </w:rPr>
                      <m:t>kW</m:t>
                    </m:r>
                  </m:e>
                  <m:sub>
                    <m:r>
                      <m:rPr>
                        <m:sty m:val="bi"/>
                      </m:rPr>
                      <w:rPr>
                        <w:rFonts w:ascii="Cambria Math" w:hAnsi="Cambria Math"/>
                        <w:sz w:val="18"/>
                        <w:szCs w:val="18"/>
                      </w:rPr>
                      <m:t>winter peak</m:t>
                    </m:r>
                  </m:sub>
                </m:sSub>
              </m:oMath>
            </m:oMathPara>
          </w:p>
        </w:tc>
      </w:tr>
      <w:tr w:rsidR="004E6452" w:rsidRPr="001570EA" w14:paraId="0F1A0074" w14:textId="77777777">
        <w:tc>
          <w:tcPr>
            <w:tcW w:w="2807" w:type="dxa"/>
            <w:tcBorders>
              <w:top w:val="single" w:sz="4" w:space="0" w:color="auto"/>
              <w:left w:val="single" w:sz="4" w:space="0" w:color="auto"/>
              <w:bottom w:val="single" w:sz="4" w:space="0" w:color="auto"/>
              <w:right w:val="single" w:sz="4" w:space="0" w:color="auto"/>
            </w:tcBorders>
            <w:vAlign w:val="bottom"/>
          </w:tcPr>
          <w:p w14:paraId="08641B21" w14:textId="77777777" w:rsidR="004E6452" w:rsidRPr="001570EA" w:rsidRDefault="004E6452">
            <w:pPr>
              <w:pStyle w:val="TableCell"/>
              <w:spacing w:before="60" w:after="60"/>
              <w:jc w:val="left"/>
              <w:rPr>
                <w:szCs w:val="18"/>
              </w:rPr>
            </w:pPr>
            <w:r w:rsidRPr="001570EA">
              <w:rPr>
                <w:szCs w:val="18"/>
              </w:rPr>
              <w:t>Vented Electric, Standard Capacity, Hybrid</w:t>
            </w:r>
          </w:p>
        </w:tc>
        <w:tc>
          <w:tcPr>
            <w:tcW w:w="1554" w:type="dxa"/>
            <w:tcBorders>
              <w:top w:val="single" w:sz="4" w:space="0" w:color="auto"/>
              <w:left w:val="single" w:sz="4" w:space="0" w:color="auto"/>
              <w:bottom w:val="single" w:sz="4" w:space="0" w:color="auto"/>
              <w:right w:val="single" w:sz="4" w:space="0" w:color="auto"/>
            </w:tcBorders>
            <w:vAlign w:val="center"/>
          </w:tcPr>
          <w:p w14:paraId="037182B4"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48.0</w:t>
            </w:r>
          </w:p>
        </w:tc>
        <w:tc>
          <w:tcPr>
            <w:tcW w:w="2265" w:type="dxa"/>
            <w:tcBorders>
              <w:top w:val="single" w:sz="4" w:space="0" w:color="auto"/>
              <w:left w:val="single" w:sz="4" w:space="0" w:color="auto"/>
              <w:bottom w:val="single" w:sz="4" w:space="0" w:color="auto"/>
              <w:right w:val="single" w:sz="4" w:space="0" w:color="auto"/>
            </w:tcBorders>
            <w:vAlign w:val="center"/>
          </w:tcPr>
          <w:p w14:paraId="34AFF255"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0.0064599</w:t>
            </w:r>
          </w:p>
        </w:tc>
        <w:tc>
          <w:tcPr>
            <w:tcW w:w="1896" w:type="dxa"/>
            <w:tcBorders>
              <w:top w:val="single" w:sz="4" w:space="0" w:color="auto"/>
              <w:left w:val="single" w:sz="4" w:space="0" w:color="auto"/>
              <w:bottom w:val="single" w:sz="4" w:space="0" w:color="auto"/>
              <w:right w:val="single" w:sz="4" w:space="0" w:color="auto"/>
            </w:tcBorders>
            <w:vAlign w:val="center"/>
          </w:tcPr>
          <w:p w14:paraId="5CF07088"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0.0064812</w:t>
            </w:r>
          </w:p>
        </w:tc>
      </w:tr>
      <w:tr w:rsidR="004E6452" w:rsidRPr="001570EA" w14:paraId="4DFDD8B9" w14:textId="77777777">
        <w:tc>
          <w:tcPr>
            <w:tcW w:w="2807" w:type="dxa"/>
            <w:tcBorders>
              <w:top w:val="single" w:sz="4" w:space="0" w:color="auto"/>
              <w:left w:val="single" w:sz="4" w:space="0" w:color="auto"/>
              <w:bottom w:val="single" w:sz="4" w:space="0" w:color="auto"/>
              <w:right w:val="single" w:sz="4" w:space="0" w:color="auto"/>
            </w:tcBorders>
            <w:vAlign w:val="bottom"/>
          </w:tcPr>
          <w:p w14:paraId="73901CF5" w14:textId="77777777" w:rsidR="004E6452" w:rsidRPr="001570EA" w:rsidRDefault="004E6452">
            <w:pPr>
              <w:pStyle w:val="TableCell"/>
              <w:spacing w:before="60" w:after="60"/>
              <w:jc w:val="left"/>
              <w:rPr>
                <w:szCs w:val="18"/>
              </w:rPr>
            </w:pPr>
            <w:r w:rsidRPr="001570EA">
              <w:rPr>
                <w:szCs w:val="18"/>
              </w:rPr>
              <w:t>Ventless Electric, Standard Capacity, Hybrid</w:t>
            </w:r>
          </w:p>
        </w:tc>
        <w:tc>
          <w:tcPr>
            <w:tcW w:w="1554" w:type="dxa"/>
            <w:tcBorders>
              <w:top w:val="single" w:sz="4" w:space="0" w:color="auto"/>
              <w:left w:val="single" w:sz="4" w:space="0" w:color="auto"/>
              <w:bottom w:val="single" w:sz="4" w:space="0" w:color="auto"/>
              <w:right w:val="single" w:sz="4" w:space="0" w:color="auto"/>
            </w:tcBorders>
            <w:vAlign w:val="center"/>
          </w:tcPr>
          <w:p w14:paraId="7AB3D365"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92.5</w:t>
            </w:r>
          </w:p>
        </w:tc>
        <w:tc>
          <w:tcPr>
            <w:tcW w:w="2265" w:type="dxa"/>
            <w:tcBorders>
              <w:top w:val="single" w:sz="4" w:space="0" w:color="auto"/>
              <w:left w:val="single" w:sz="4" w:space="0" w:color="auto"/>
              <w:bottom w:val="single" w:sz="4" w:space="0" w:color="auto"/>
              <w:right w:val="single" w:sz="4" w:space="0" w:color="auto"/>
            </w:tcBorders>
            <w:vAlign w:val="center"/>
          </w:tcPr>
          <w:p w14:paraId="5FC1B536"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0.0124556</w:t>
            </w:r>
          </w:p>
        </w:tc>
        <w:tc>
          <w:tcPr>
            <w:tcW w:w="1896" w:type="dxa"/>
            <w:tcBorders>
              <w:top w:val="single" w:sz="4" w:space="0" w:color="auto"/>
              <w:left w:val="single" w:sz="4" w:space="0" w:color="auto"/>
              <w:bottom w:val="single" w:sz="4" w:space="0" w:color="auto"/>
              <w:right w:val="single" w:sz="4" w:space="0" w:color="auto"/>
            </w:tcBorders>
            <w:vAlign w:val="center"/>
          </w:tcPr>
          <w:p w14:paraId="2551CBA2"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0.0124966</w:t>
            </w:r>
          </w:p>
        </w:tc>
      </w:tr>
      <w:tr w:rsidR="004E6452" w:rsidRPr="001570EA" w14:paraId="2FD1B992" w14:textId="77777777">
        <w:tc>
          <w:tcPr>
            <w:tcW w:w="2807" w:type="dxa"/>
            <w:tcBorders>
              <w:top w:val="single" w:sz="4" w:space="0" w:color="auto"/>
              <w:left w:val="single" w:sz="4" w:space="0" w:color="auto"/>
              <w:bottom w:val="single" w:sz="4" w:space="0" w:color="auto"/>
              <w:right w:val="single" w:sz="4" w:space="0" w:color="auto"/>
            </w:tcBorders>
            <w:vAlign w:val="bottom"/>
          </w:tcPr>
          <w:p w14:paraId="1E700701" w14:textId="77777777" w:rsidR="004E6452" w:rsidRPr="001570EA" w:rsidRDefault="004E6452">
            <w:pPr>
              <w:pStyle w:val="TableCell"/>
              <w:spacing w:before="60" w:after="60"/>
              <w:jc w:val="left"/>
              <w:rPr>
                <w:szCs w:val="18"/>
              </w:rPr>
            </w:pPr>
            <w:r w:rsidRPr="001570EA">
              <w:rPr>
                <w:szCs w:val="18"/>
              </w:rPr>
              <w:t xml:space="preserve">Ventless Electric, Standard Capacity, Heat Pump </w:t>
            </w:r>
          </w:p>
        </w:tc>
        <w:tc>
          <w:tcPr>
            <w:tcW w:w="1554" w:type="dxa"/>
            <w:tcBorders>
              <w:top w:val="single" w:sz="4" w:space="0" w:color="auto"/>
              <w:left w:val="single" w:sz="4" w:space="0" w:color="auto"/>
              <w:bottom w:val="single" w:sz="4" w:space="0" w:color="auto"/>
              <w:right w:val="single" w:sz="4" w:space="0" w:color="auto"/>
            </w:tcBorders>
            <w:vAlign w:val="center"/>
          </w:tcPr>
          <w:p w14:paraId="4AC96404"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226.2</w:t>
            </w:r>
          </w:p>
        </w:tc>
        <w:tc>
          <w:tcPr>
            <w:tcW w:w="2265" w:type="dxa"/>
            <w:tcBorders>
              <w:top w:val="single" w:sz="4" w:space="0" w:color="auto"/>
              <w:left w:val="single" w:sz="4" w:space="0" w:color="auto"/>
              <w:bottom w:val="single" w:sz="4" w:space="0" w:color="auto"/>
              <w:right w:val="single" w:sz="4" w:space="0" w:color="auto"/>
            </w:tcBorders>
            <w:vAlign w:val="center"/>
          </w:tcPr>
          <w:p w14:paraId="2B0EBF34"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0.0304427</w:t>
            </w:r>
          </w:p>
        </w:tc>
        <w:tc>
          <w:tcPr>
            <w:tcW w:w="1896" w:type="dxa"/>
            <w:tcBorders>
              <w:top w:val="single" w:sz="4" w:space="0" w:color="auto"/>
              <w:left w:val="single" w:sz="4" w:space="0" w:color="auto"/>
              <w:bottom w:val="single" w:sz="4" w:space="0" w:color="auto"/>
              <w:right w:val="single" w:sz="4" w:space="0" w:color="auto"/>
            </w:tcBorders>
            <w:vAlign w:val="center"/>
          </w:tcPr>
          <w:p w14:paraId="6FC9E7E2"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0.0305429</w:t>
            </w:r>
          </w:p>
        </w:tc>
      </w:tr>
      <w:tr w:rsidR="004E6452" w:rsidRPr="001570EA" w14:paraId="762A8F61" w14:textId="77777777">
        <w:tc>
          <w:tcPr>
            <w:tcW w:w="2807" w:type="dxa"/>
            <w:tcBorders>
              <w:top w:val="single" w:sz="4" w:space="0" w:color="auto"/>
              <w:left w:val="single" w:sz="4" w:space="0" w:color="auto"/>
              <w:bottom w:val="single" w:sz="4" w:space="0" w:color="auto"/>
              <w:right w:val="single" w:sz="4" w:space="0" w:color="auto"/>
            </w:tcBorders>
            <w:vAlign w:val="bottom"/>
          </w:tcPr>
          <w:p w14:paraId="1BC8E23E" w14:textId="77777777" w:rsidR="004E6452" w:rsidRPr="001570EA" w:rsidRDefault="004E6452">
            <w:pPr>
              <w:pStyle w:val="TableCell"/>
              <w:spacing w:before="60" w:after="60"/>
              <w:jc w:val="left"/>
              <w:rPr>
                <w:szCs w:val="18"/>
              </w:rPr>
            </w:pPr>
            <w:r w:rsidRPr="001570EA">
              <w:rPr>
                <w:szCs w:val="18"/>
              </w:rPr>
              <w:t>Vented or Ventless Electric, Compact Capacity, 120V, Heat Pump</w:t>
            </w:r>
          </w:p>
        </w:tc>
        <w:tc>
          <w:tcPr>
            <w:tcW w:w="1554" w:type="dxa"/>
            <w:tcBorders>
              <w:top w:val="single" w:sz="4" w:space="0" w:color="auto"/>
              <w:left w:val="single" w:sz="4" w:space="0" w:color="auto"/>
              <w:bottom w:val="single" w:sz="4" w:space="0" w:color="auto"/>
              <w:right w:val="single" w:sz="4" w:space="0" w:color="auto"/>
            </w:tcBorders>
            <w:vAlign w:val="center"/>
          </w:tcPr>
          <w:p w14:paraId="049C33F4"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39.1</w:t>
            </w:r>
          </w:p>
        </w:tc>
        <w:tc>
          <w:tcPr>
            <w:tcW w:w="2265" w:type="dxa"/>
            <w:tcBorders>
              <w:top w:val="single" w:sz="4" w:space="0" w:color="auto"/>
              <w:left w:val="single" w:sz="4" w:space="0" w:color="auto"/>
              <w:bottom w:val="single" w:sz="4" w:space="0" w:color="auto"/>
              <w:right w:val="single" w:sz="4" w:space="0" w:color="auto"/>
            </w:tcBorders>
            <w:vAlign w:val="center"/>
          </w:tcPr>
          <w:p w14:paraId="7781B96E"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0.0052629</w:t>
            </w:r>
          </w:p>
        </w:tc>
        <w:tc>
          <w:tcPr>
            <w:tcW w:w="1896" w:type="dxa"/>
            <w:tcBorders>
              <w:top w:val="single" w:sz="4" w:space="0" w:color="auto"/>
              <w:left w:val="single" w:sz="4" w:space="0" w:color="auto"/>
              <w:bottom w:val="single" w:sz="4" w:space="0" w:color="auto"/>
              <w:right w:val="single" w:sz="4" w:space="0" w:color="auto"/>
            </w:tcBorders>
            <w:vAlign w:val="center"/>
          </w:tcPr>
          <w:p w14:paraId="46B3AE17"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0.0052802</w:t>
            </w:r>
          </w:p>
        </w:tc>
      </w:tr>
      <w:tr w:rsidR="004E6452" w:rsidRPr="001570EA" w14:paraId="773B94F9" w14:textId="77777777">
        <w:tc>
          <w:tcPr>
            <w:tcW w:w="2807" w:type="dxa"/>
            <w:tcBorders>
              <w:top w:val="single" w:sz="4" w:space="0" w:color="auto"/>
              <w:left w:val="single" w:sz="4" w:space="0" w:color="auto"/>
              <w:bottom w:val="single" w:sz="4" w:space="0" w:color="auto"/>
              <w:right w:val="single" w:sz="4" w:space="0" w:color="auto"/>
            </w:tcBorders>
            <w:vAlign w:val="bottom"/>
          </w:tcPr>
          <w:p w14:paraId="59CB7313" w14:textId="77777777" w:rsidR="004E6452" w:rsidRPr="001570EA" w:rsidRDefault="004E6452">
            <w:pPr>
              <w:pStyle w:val="TableCell"/>
              <w:spacing w:before="60" w:after="60"/>
              <w:jc w:val="left"/>
              <w:rPr>
                <w:szCs w:val="18"/>
              </w:rPr>
            </w:pPr>
            <w:r w:rsidRPr="001570EA">
              <w:rPr>
                <w:szCs w:val="18"/>
              </w:rPr>
              <w:t>Ventless Electric, Compact Capacity, 240V, Heat Pump</w:t>
            </w:r>
          </w:p>
        </w:tc>
        <w:tc>
          <w:tcPr>
            <w:tcW w:w="1554" w:type="dxa"/>
            <w:tcBorders>
              <w:top w:val="single" w:sz="4" w:space="0" w:color="auto"/>
              <w:left w:val="single" w:sz="4" w:space="0" w:color="auto"/>
              <w:bottom w:val="single" w:sz="4" w:space="0" w:color="auto"/>
              <w:right w:val="single" w:sz="4" w:space="0" w:color="auto"/>
            </w:tcBorders>
            <w:vAlign w:val="center"/>
          </w:tcPr>
          <w:p w14:paraId="6D0A7D09"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102.9</w:t>
            </w:r>
          </w:p>
        </w:tc>
        <w:tc>
          <w:tcPr>
            <w:tcW w:w="2265" w:type="dxa"/>
            <w:tcBorders>
              <w:top w:val="single" w:sz="4" w:space="0" w:color="auto"/>
              <w:left w:val="single" w:sz="4" w:space="0" w:color="auto"/>
              <w:bottom w:val="single" w:sz="4" w:space="0" w:color="auto"/>
              <w:right w:val="single" w:sz="4" w:space="0" w:color="auto"/>
            </w:tcBorders>
            <w:vAlign w:val="center"/>
          </w:tcPr>
          <w:p w14:paraId="466BBA01"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0.0138446</w:t>
            </w:r>
          </w:p>
        </w:tc>
        <w:tc>
          <w:tcPr>
            <w:tcW w:w="1896" w:type="dxa"/>
            <w:tcBorders>
              <w:top w:val="single" w:sz="4" w:space="0" w:color="auto"/>
              <w:left w:val="single" w:sz="4" w:space="0" w:color="auto"/>
              <w:bottom w:val="single" w:sz="4" w:space="0" w:color="auto"/>
              <w:right w:val="single" w:sz="4" w:space="0" w:color="auto"/>
            </w:tcBorders>
            <w:vAlign w:val="center"/>
          </w:tcPr>
          <w:p w14:paraId="2DCB9C65" w14:textId="77777777" w:rsidR="004E6452" w:rsidRPr="001570EA" w:rsidRDefault="004E6452">
            <w:pPr>
              <w:pStyle w:val="TableCell"/>
              <w:spacing w:before="60" w:after="60"/>
              <w:jc w:val="center"/>
              <w:rPr>
                <w:rFonts w:eastAsia="Arial Unicode MS"/>
                <w:iCs/>
                <w:szCs w:val="18"/>
              </w:rPr>
            </w:pPr>
            <w:r w:rsidRPr="001570EA">
              <w:rPr>
                <w:rFonts w:eastAsia="Arial Unicode MS"/>
                <w:iCs/>
                <w:szCs w:val="18"/>
              </w:rPr>
              <w:t>0.0138902</w:t>
            </w:r>
          </w:p>
        </w:tc>
      </w:tr>
    </w:tbl>
    <w:p w14:paraId="43CEFCD5" w14:textId="77777777" w:rsidR="004E6452" w:rsidRPr="001570EA" w:rsidRDefault="004E6452" w:rsidP="004E6452">
      <w:pPr>
        <w:rPr>
          <w:b/>
          <w:bCs/>
        </w:rPr>
      </w:pPr>
    </w:p>
    <w:p w14:paraId="314EE135" w14:textId="77777777" w:rsidR="004E6452" w:rsidRPr="001570EA" w:rsidRDefault="004E6452" w:rsidP="004E6452">
      <w:pPr>
        <w:pStyle w:val="SubStyle"/>
      </w:pPr>
      <w:r w:rsidRPr="001570EA">
        <w:t>Evaluation Protocols</w:t>
      </w:r>
    </w:p>
    <w:p w14:paraId="3A227450" w14:textId="721467BA" w:rsidR="004E6452" w:rsidRPr="001570EA" w:rsidRDefault="004E6452" w:rsidP="004E6452">
      <w:pPr>
        <w:pStyle w:val="BodyText"/>
        <w:ind w:right="0"/>
      </w:pPr>
      <w:r w:rsidRPr="001570EA">
        <w:t xml:space="preserve">The most appropriate evaluation protocol for this measure is verification of installation coupled with calculation of energy and demand savings using </w:t>
      </w:r>
      <w:r w:rsidR="00B147B4" w:rsidRPr="001570EA">
        <w:t xml:space="preserve">the </w:t>
      </w:r>
      <w:r w:rsidRPr="001570EA">
        <w:t>above algorithms.</w:t>
      </w:r>
    </w:p>
    <w:p w14:paraId="56D4F488" w14:textId="77777777" w:rsidR="004E6452" w:rsidRPr="001570EA" w:rsidRDefault="004E6452" w:rsidP="004E6452">
      <w:pPr>
        <w:pStyle w:val="SubStyle"/>
      </w:pPr>
    </w:p>
    <w:p w14:paraId="42B5EC95" w14:textId="77777777" w:rsidR="004E6452" w:rsidRPr="001570EA" w:rsidRDefault="004E6452" w:rsidP="004E6452">
      <w:pPr>
        <w:pStyle w:val="SubStyle"/>
      </w:pPr>
      <w:r w:rsidRPr="001570EA">
        <w:t>Sources</w:t>
      </w:r>
    </w:p>
    <w:p w14:paraId="5841EE8A" w14:textId="61DEACEA" w:rsidR="004E6452" w:rsidRPr="001570EA" w:rsidRDefault="004E6452" w:rsidP="006D787B">
      <w:pPr>
        <w:pStyle w:val="source10"/>
        <w:numPr>
          <w:ilvl w:val="0"/>
          <w:numId w:val="58"/>
        </w:numPr>
        <w:tabs>
          <w:tab w:val="clear" w:pos="810"/>
        </w:tabs>
        <w:spacing w:after="120"/>
        <w:ind w:left="360"/>
        <w:jc w:val="left"/>
        <w:textAlignment w:val="auto"/>
      </w:pPr>
      <w:r w:rsidRPr="001570EA">
        <w:t xml:space="preserve">U.S. EPA. (2015). ENERGY STAR Program Requirements Product Specification for Clothes Dryers Version 1.1. </w:t>
      </w:r>
      <w:hyperlink r:id="rId275" w:history="1">
        <w:r w:rsidRPr="001570EA">
          <w:rPr>
            <w:rStyle w:val="Hyperlink"/>
            <w:rFonts w:cs="Arial"/>
          </w:rPr>
          <w:t>Weblink</w:t>
        </w:r>
      </w:hyperlink>
    </w:p>
    <w:p w14:paraId="7468F8E0" w14:textId="2A16B983" w:rsidR="004E6452" w:rsidRPr="001570EA" w:rsidRDefault="004E6452" w:rsidP="006D787B">
      <w:pPr>
        <w:pStyle w:val="ListParagraph"/>
        <w:numPr>
          <w:ilvl w:val="0"/>
          <w:numId w:val="58"/>
        </w:numPr>
        <w:tabs>
          <w:tab w:val="clear" w:pos="810"/>
        </w:tabs>
        <w:overflowPunct/>
        <w:autoSpaceDE/>
        <w:autoSpaceDN/>
        <w:adjustRightInd/>
        <w:ind w:left="360"/>
        <w:jc w:val="left"/>
        <w:textAlignment w:val="auto"/>
      </w:pPr>
      <w:r w:rsidRPr="001570EA">
        <w:t xml:space="preserve">10 CFR 430.32(h) </w:t>
      </w:r>
      <w:hyperlink r:id="rId276" w:anchor="p-430.32(h)" w:history="1">
        <w:r w:rsidRPr="001570EA">
          <w:rPr>
            <w:rStyle w:val="Hyperlink"/>
          </w:rPr>
          <w:t>Weblink</w:t>
        </w:r>
      </w:hyperlink>
      <w:r w:rsidRPr="001570EA">
        <w:t xml:space="preserve"> </w:t>
      </w:r>
    </w:p>
    <w:p w14:paraId="7A2093EB" w14:textId="20C66713" w:rsidR="004E6452" w:rsidRPr="001570EA" w:rsidRDefault="004E6452" w:rsidP="006D787B">
      <w:pPr>
        <w:pStyle w:val="source10"/>
        <w:numPr>
          <w:ilvl w:val="0"/>
          <w:numId w:val="58"/>
        </w:numPr>
        <w:tabs>
          <w:tab w:val="num" w:pos="360"/>
        </w:tabs>
        <w:spacing w:after="120"/>
        <w:ind w:left="360"/>
        <w:jc w:val="left"/>
        <w:textAlignment w:val="auto"/>
      </w:pPr>
      <w:r w:rsidRPr="001570EA">
        <w:t xml:space="preserve">Energy Efficiency and Renewable Energy Office (2021). National Impact Preliminary Analysis Spreadsheets. U.S DOE. </w:t>
      </w:r>
      <w:hyperlink r:id="rId277" w:history="1">
        <w:r w:rsidRPr="001570EA">
          <w:rPr>
            <w:rStyle w:val="Hyperlink"/>
            <w:rFonts w:cs="Arial"/>
          </w:rPr>
          <w:t xml:space="preserve">Weblink </w:t>
        </w:r>
      </w:hyperlink>
      <w:r w:rsidRPr="001570EA">
        <w:t xml:space="preserve"> </w:t>
      </w:r>
    </w:p>
    <w:p w14:paraId="4ED7A9F6" w14:textId="5220BEF2" w:rsidR="004E6452" w:rsidRPr="001570EA" w:rsidRDefault="004E6452" w:rsidP="006D787B">
      <w:pPr>
        <w:pStyle w:val="source10"/>
        <w:numPr>
          <w:ilvl w:val="0"/>
          <w:numId w:val="58"/>
        </w:numPr>
        <w:tabs>
          <w:tab w:val="num" w:pos="360"/>
        </w:tabs>
        <w:spacing w:after="120"/>
        <w:ind w:left="360"/>
        <w:jc w:val="left"/>
        <w:textAlignment w:val="auto"/>
      </w:pPr>
      <w:r w:rsidRPr="001570EA">
        <w:t xml:space="preserve">Wilson et al. 2021. End-Use Load Profiles for the U.S. Building Stock: Methodology and Results of Model Calibration, Validation, and Uncertainty Quantification. NREL/TP-5500-80889. </w:t>
      </w:r>
      <w:hyperlink r:id="rId278" w:history="1">
        <w:r w:rsidRPr="001570EA">
          <w:rPr>
            <w:rStyle w:val="Hyperlink"/>
            <w:rFonts w:cs="Arial"/>
          </w:rPr>
          <w:t>Weblink</w:t>
        </w:r>
      </w:hyperlink>
    </w:p>
    <w:p w14:paraId="42A02B7E" w14:textId="3238DE8B" w:rsidR="004E6452" w:rsidRPr="001570EA" w:rsidRDefault="004E6452" w:rsidP="006D787B">
      <w:pPr>
        <w:pStyle w:val="source10"/>
        <w:numPr>
          <w:ilvl w:val="0"/>
          <w:numId w:val="58"/>
        </w:numPr>
        <w:tabs>
          <w:tab w:val="num" w:pos="360"/>
        </w:tabs>
        <w:spacing w:after="120"/>
        <w:ind w:left="360"/>
        <w:jc w:val="left"/>
        <w:textAlignment w:val="auto"/>
      </w:pPr>
      <w:r w:rsidRPr="001570EA">
        <w:t xml:space="preserve">Calculated using “Frequency of clothes washer use” and “Frequency of dryer use” data for Pennsylvania from U.S. Department of Energy, 2020 Residential Energy Consumption Survey. </w:t>
      </w:r>
      <w:hyperlink r:id="rId279" w:history="1">
        <w:r w:rsidRPr="001570EA">
          <w:rPr>
            <w:rStyle w:val="Hyperlink"/>
            <w:rFonts w:cs="Arial"/>
          </w:rPr>
          <w:t>Weblink</w:t>
        </w:r>
      </w:hyperlink>
      <w:r w:rsidRPr="001570EA">
        <w:t xml:space="preserve"> </w:t>
      </w:r>
    </w:p>
    <w:p w14:paraId="15B1548C" w14:textId="7FE7993E" w:rsidR="004E6452" w:rsidRPr="001570EA" w:rsidRDefault="004E6452" w:rsidP="006D787B">
      <w:pPr>
        <w:pStyle w:val="ListParagraph"/>
        <w:numPr>
          <w:ilvl w:val="0"/>
          <w:numId w:val="58"/>
        </w:numPr>
        <w:tabs>
          <w:tab w:val="clear" w:pos="810"/>
        </w:tabs>
        <w:overflowPunct/>
        <w:autoSpaceDE/>
        <w:autoSpaceDN/>
        <w:adjustRightInd/>
        <w:ind w:left="360"/>
        <w:jc w:val="left"/>
        <w:textAlignment w:val="auto"/>
      </w:pPr>
      <w:r w:rsidRPr="001570EA">
        <w:t xml:space="preserve">10 CFR Appendix-D1-to-Subpart-B-of-Part-430 2.7.1 </w:t>
      </w:r>
      <w:hyperlink r:id="rId280" w:anchor="p-Appendix-D1-to-Subpart-B-of-Part-430(2.)(2.7)(2.7.1)" w:history="1">
        <w:r w:rsidRPr="001570EA">
          <w:rPr>
            <w:rStyle w:val="Hyperlink"/>
          </w:rPr>
          <w:t>Weblink</w:t>
        </w:r>
      </w:hyperlink>
    </w:p>
    <w:p w14:paraId="4F05352F" w14:textId="5023BEAA" w:rsidR="004E6452" w:rsidRPr="001570EA" w:rsidRDefault="004E6452" w:rsidP="006D787B">
      <w:pPr>
        <w:pStyle w:val="ListParagraph"/>
        <w:numPr>
          <w:ilvl w:val="0"/>
          <w:numId w:val="58"/>
        </w:numPr>
        <w:tabs>
          <w:tab w:val="clear" w:pos="810"/>
        </w:tabs>
        <w:overflowPunct/>
        <w:autoSpaceDE/>
        <w:autoSpaceDN/>
        <w:adjustRightInd/>
        <w:ind w:left="360"/>
        <w:jc w:val="left"/>
        <w:textAlignment w:val="auto"/>
      </w:pPr>
      <w:r w:rsidRPr="001570EA">
        <w:t xml:space="preserve">U.S. DOE. (2024, March 12). Direct final rule. Federal Register, 89 (49), pages 18,164-18,243. </w:t>
      </w:r>
      <w:hyperlink r:id="rId281" w:history="1">
        <w:r w:rsidRPr="001570EA">
          <w:rPr>
            <w:rStyle w:val="Hyperlink"/>
          </w:rPr>
          <w:t>Weblink</w:t>
        </w:r>
      </w:hyperlink>
    </w:p>
    <w:p w14:paraId="15D61A01" w14:textId="77777777" w:rsidR="004E6452" w:rsidRPr="001570EA" w:rsidRDefault="004E6452" w:rsidP="004E6452">
      <w:pPr>
        <w:rPr>
          <w:rFonts w:eastAsiaTheme="minorHAnsi" w:cs="Arial"/>
        </w:rPr>
      </w:pPr>
      <w:bookmarkStart w:id="608" w:name="_Toc530141491"/>
    </w:p>
    <w:p w14:paraId="51B0483E" w14:textId="77777777" w:rsidR="004E6452" w:rsidRPr="001570EA" w:rsidRDefault="004E6452" w:rsidP="004E6452">
      <w:pPr>
        <w:rPr>
          <w:rFonts w:eastAsiaTheme="minorHAnsi" w:cs="Arial"/>
        </w:rPr>
        <w:sectPr w:rsidR="004E6452" w:rsidRPr="001570EA" w:rsidSect="002D556C">
          <w:footerReference w:type="first" r:id="rId282"/>
          <w:pgSz w:w="12240" w:h="15840"/>
          <w:pgMar w:top="1440" w:right="1800" w:bottom="1440" w:left="1800" w:header="720" w:footer="501" w:gutter="0"/>
          <w:cols w:space="720"/>
        </w:sectPr>
      </w:pPr>
    </w:p>
    <w:p w14:paraId="72D04EFB" w14:textId="77777777" w:rsidR="004E6452" w:rsidRPr="001570EA" w:rsidRDefault="004E6452" w:rsidP="00462D97">
      <w:pPr>
        <w:pStyle w:val="Heading3"/>
      </w:pPr>
      <w:bookmarkStart w:id="609" w:name="_Toc530141492"/>
      <w:bookmarkStart w:id="610" w:name="_Toc48143047"/>
      <w:bookmarkStart w:id="611" w:name="_Toc164786669"/>
      <w:bookmarkEnd w:id="608"/>
      <w:r w:rsidRPr="001570EA">
        <w:t>ENERGY STAR Dishwashers</w:t>
      </w:r>
      <w:bookmarkEnd w:id="609"/>
      <w:bookmarkEnd w:id="610"/>
      <w:bookmarkEnd w:id="611"/>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05"/>
        <w:gridCol w:w="5007"/>
      </w:tblGrid>
      <w:tr w:rsidR="004E6452" w:rsidRPr="001570EA" w14:paraId="10003863"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3C72F8EE" w14:textId="77777777" w:rsidR="004E6452" w:rsidRPr="001570EA" w:rsidRDefault="004E6452">
            <w:pPr>
              <w:pStyle w:val="TableCell"/>
              <w:spacing w:before="60" w:after="60"/>
              <w:rPr>
                <w:b/>
                <w:bCs/>
                <w:color w:val="000000"/>
              </w:rPr>
            </w:pPr>
            <w:r w:rsidRPr="001570EA">
              <w:rPr>
                <w:b/>
                <w:bCs/>
                <w:color w:val="000000"/>
              </w:rPr>
              <w:t>Target Sector</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21C4A525" w14:textId="77777777" w:rsidR="004E6452" w:rsidRPr="001570EA" w:rsidRDefault="004E6452">
            <w:pPr>
              <w:pStyle w:val="TableCell"/>
              <w:spacing w:before="60" w:after="60"/>
              <w:jc w:val="center"/>
              <w:rPr>
                <w:color w:val="000000"/>
              </w:rPr>
            </w:pPr>
            <w:r w:rsidRPr="001570EA">
              <w:rPr>
                <w:color w:val="000000"/>
              </w:rPr>
              <w:t>Residential</w:t>
            </w:r>
          </w:p>
        </w:tc>
      </w:tr>
      <w:tr w:rsidR="004E6452" w:rsidRPr="001570EA" w14:paraId="42FE2A41"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hideMark/>
          </w:tcPr>
          <w:p w14:paraId="737FED6D" w14:textId="77777777" w:rsidR="004E6452" w:rsidRPr="001570EA" w:rsidRDefault="004E6452">
            <w:pPr>
              <w:pStyle w:val="TableCell"/>
              <w:spacing w:before="60" w:after="60"/>
              <w:rPr>
                <w:b/>
                <w:bCs/>
                <w:color w:val="000000"/>
              </w:rPr>
            </w:pPr>
            <w:r w:rsidRPr="001570EA">
              <w:rPr>
                <w:b/>
                <w:bCs/>
                <w:color w:val="000000"/>
              </w:rPr>
              <w:t>Measure Unit</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hideMark/>
          </w:tcPr>
          <w:p w14:paraId="0DC46909" w14:textId="77777777" w:rsidR="004E6452" w:rsidRPr="001570EA" w:rsidRDefault="004E6452">
            <w:pPr>
              <w:pStyle w:val="TableCell"/>
              <w:spacing w:before="60" w:after="60"/>
              <w:jc w:val="center"/>
              <w:rPr>
                <w:color w:val="000000"/>
              </w:rPr>
            </w:pPr>
            <w:r w:rsidRPr="001570EA">
              <w:rPr>
                <w:color w:val="000000"/>
              </w:rPr>
              <w:t>Dishwasher</w:t>
            </w:r>
          </w:p>
        </w:tc>
      </w:tr>
      <w:tr w:rsidR="004E6452" w:rsidRPr="001570EA" w14:paraId="669F180D"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2BA7CAFE" w14:textId="77777777" w:rsidR="004E6452" w:rsidRPr="001570EA" w:rsidRDefault="004E6452">
            <w:pPr>
              <w:pStyle w:val="TableCell"/>
              <w:spacing w:before="60" w:after="60"/>
              <w:rPr>
                <w:b/>
                <w:bCs/>
                <w:color w:val="000000"/>
              </w:rPr>
            </w:pPr>
            <w:r w:rsidRPr="001570EA">
              <w:rPr>
                <w:b/>
                <w:bCs/>
                <w:color w:val="000000"/>
              </w:rPr>
              <w:t>Measure Life</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5F2341C5" w14:textId="77777777" w:rsidR="004E6452" w:rsidRPr="001570EA" w:rsidRDefault="004E6452">
            <w:pPr>
              <w:pStyle w:val="TableCell"/>
              <w:spacing w:before="60" w:after="60"/>
              <w:jc w:val="center"/>
              <w:rPr>
                <w:color w:val="000000"/>
                <w:vertAlign w:val="superscript"/>
              </w:rPr>
            </w:pPr>
            <w:r w:rsidRPr="001570EA">
              <w:rPr>
                <w:color w:val="000000"/>
              </w:rPr>
              <w:t>10 years</w:t>
            </w:r>
            <w:r w:rsidRPr="001570EA">
              <w:rPr>
                <w:color w:val="000000"/>
                <w:vertAlign w:val="superscript"/>
              </w:rPr>
              <w:t>Source 1</w:t>
            </w:r>
          </w:p>
        </w:tc>
      </w:tr>
      <w:tr w:rsidR="004E6452" w:rsidRPr="001570EA" w14:paraId="37310474"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006AA3BC" w14:textId="77777777" w:rsidR="004E6452" w:rsidRPr="001570EA" w:rsidRDefault="004E6452">
            <w:pPr>
              <w:pStyle w:val="TableCell"/>
              <w:spacing w:before="60" w:after="60"/>
              <w:rPr>
                <w:b/>
                <w:bCs/>
                <w:color w:val="000000"/>
              </w:rPr>
            </w:pPr>
            <w:r w:rsidRPr="001570EA">
              <w:rPr>
                <w:b/>
                <w:bCs/>
                <w:color w:val="000000"/>
              </w:rPr>
              <w:t>Vintage</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hideMark/>
          </w:tcPr>
          <w:p w14:paraId="16182430" w14:textId="77777777" w:rsidR="004E6452" w:rsidRPr="001570EA" w:rsidRDefault="004E6452">
            <w:pPr>
              <w:pStyle w:val="TableCell"/>
              <w:spacing w:before="60" w:after="60"/>
              <w:jc w:val="center"/>
              <w:rPr>
                <w:color w:val="000000"/>
              </w:rPr>
            </w:pPr>
            <w:r w:rsidRPr="001570EA">
              <w:rPr>
                <w:color w:val="000000"/>
              </w:rPr>
              <w:t>Replace on Burnout</w:t>
            </w:r>
          </w:p>
        </w:tc>
      </w:tr>
    </w:tbl>
    <w:p w14:paraId="6E84B243" w14:textId="77777777" w:rsidR="004E6452" w:rsidRPr="001570EA" w:rsidRDefault="004E6452" w:rsidP="004E6452">
      <w:pPr>
        <w:pStyle w:val="SubStyle"/>
        <w:rPr>
          <w:rFonts w:ascii="Arial" w:hAnsi="Arial" w:cs="Arial"/>
        </w:rPr>
      </w:pPr>
    </w:p>
    <w:p w14:paraId="73B7ADDF" w14:textId="77777777" w:rsidR="004E6452" w:rsidRPr="001570EA" w:rsidRDefault="004E6452" w:rsidP="004E6452">
      <w:pPr>
        <w:pStyle w:val="SubStyle"/>
      </w:pPr>
      <w:r w:rsidRPr="001570EA">
        <w:t>Eligibility</w:t>
      </w:r>
    </w:p>
    <w:p w14:paraId="689635D3" w14:textId="77777777" w:rsidR="004E6452" w:rsidRPr="001570EA" w:rsidRDefault="004E6452" w:rsidP="004E6452">
      <w:pPr>
        <w:rPr>
          <w:rFonts w:cs="Arial"/>
        </w:rPr>
      </w:pPr>
      <w:r w:rsidRPr="001570EA">
        <w:t>This measure is for the purchase and installation of an ENERGY STAR dishwasher. ENERGY STAR dishwashers use less energy and hot water than non-qualified models.</w:t>
      </w:r>
    </w:p>
    <w:p w14:paraId="659BDC8E" w14:textId="77777777" w:rsidR="004E6452" w:rsidRPr="001570EA" w:rsidRDefault="004E6452" w:rsidP="004E6452">
      <w:pPr>
        <w:pStyle w:val="SubStyle"/>
        <w:rPr>
          <w:rFonts w:ascii="Arial" w:hAnsi="Arial" w:cs="Arial"/>
        </w:rPr>
      </w:pPr>
    </w:p>
    <w:p w14:paraId="27692BEC" w14:textId="77777777" w:rsidR="004E6452" w:rsidRPr="001570EA" w:rsidRDefault="004E6452" w:rsidP="004E6452">
      <w:pPr>
        <w:pStyle w:val="SubStyle"/>
      </w:pPr>
      <w:r w:rsidRPr="001570EA">
        <w:t>Algorithms</w:t>
      </w:r>
    </w:p>
    <w:p w14:paraId="08C6CBA3" w14:textId="77777777" w:rsidR="004E6452" w:rsidRPr="001570EA" w:rsidRDefault="004E6452" w:rsidP="004E6452">
      <w:pPr>
        <w:pStyle w:val="NoSpacing"/>
        <w:rPr>
          <w:rFonts w:cs="Arial"/>
          <w:szCs w:val="20"/>
        </w:rPr>
      </w:pPr>
      <w:r w:rsidRPr="001570EA">
        <w:rPr>
          <w:rFonts w:cs="Arial"/>
          <w:szCs w:val="20"/>
        </w:rPr>
        <w:t>The general form of the measure savings equation for ENERGY STAR Dishwashers is:</w:t>
      </w:r>
    </w:p>
    <w:p w14:paraId="4D7EE9F5" w14:textId="77777777" w:rsidR="004E6452" w:rsidRPr="001570EA" w:rsidRDefault="004E6452" w:rsidP="004E6452">
      <w:pPr>
        <w:tabs>
          <w:tab w:val="left" w:pos="2160"/>
        </w:tabs>
      </w:pPr>
      <w:r w:rsidRPr="001570EA">
        <w:t>Total Savings</w:t>
      </w:r>
      <w:r w:rsidRPr="001570EA">
        <w:tab/>
      </w:r>
      <m:oMath>
        <m:r>
          <m:rPr>
            <m:sty m:val="p"/>
          </m:rPr>
          <w:rPr>
            <w:rFonts w:ascii="Cambria Math" w:hAnsi="Cambria Math"/>
          </w:rPr>
          <m:t>=</m:t>
        </m:r>
        <m:r>
          <w:rPr>
            <w:rFonts w:ascii="Cambria Math" w:hAnsi="Cambria Math"/>
          </w:rPr>
          <m:t>Number</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Dishwashers</m:t>
        </m:r>
        <m:r>
          <m:rPr>
            <m:sty m:val="p"/>
          </m:rPr>
          <w:rPr>
            <w:rFonts w:ascii="Cambria Math" w:hAnsi="Cambria Math"/>
          </w:rPr>
          <m:t xml:space="preserve"> × </m:t>
        </m:r>
        <m:r>
          <w:rPr>
            <w:rFonts w:ascii="Cambria Math" w:hAnsi="Cambria Math"/>
          </w:rPr>
          <m:t>Savings</m:t>
        </m:r>
        <m:r>
          <m:rPr>
            <m:sty m:val="p"/>
          </m:rPr>
          <w:rPr>
            <w:rFonts w:ascii="Cambria Math" w:hAnsi="Cambria Math"/>
          </w:rPr>
          <m:t xml:space="preserve"> </m:t>
        </m:r>
        <m:r>
          <w:rPr>
            <w:rFonts w:ascii="Cambria Math" w:hAnsi="Cambria Math"/>
          </w:rPr>
          <m:t>per</m:t>
        </m:r>
        <m:r>
          <m:rPr>
            <m:sty m:val="p"/>
          </m:rPr>
          <w:rPr>
            <w:rFonts w:ascii="Cambria Math" w:hAnsi="Cambria Math"/>
          </w:rPr>
          <m:t xml:space="preserve"> </m:t>
        </m:r>
        <m:r>
          <w:rPr>
            <w:rFonts w:ascii="Cambria Math" w:hAnsi="Cambria Math"/>
          </w:rPr>
          <m:t>Dishwasher</m:t>
        </m:r>
      </m:oMath>
    </w:p>
    <w:p w14:paraId="18E22942" w14:textId="77777777" w:rsidR="004E6452" w:rsidRPr="001570EA" w:rsidRDefault="004E6452" w:rsidP="004E6452"/>
    <w:p w14:paraId="375586DE" w14:textId="77777777" w:rsidR="004E6452" w:rsidRPr="001570EA" w:rsidRDefault="004E6452" w:rsidP="004E6452">
      <w:r w:rsidRPr="001570EA">
        <w:t xml:space="preserve">To determine resource savings, the per-unit estimates in the algorithms will be multiplied by the number of dishwashers. The number of dishwashers will be determined using market assessments and market tracking. EDC data gathering is permitted for </w:t>
      </w:r>
      <m:oMath>
        <m:sSub>
          <m:sSubPr>
            <m:ctrlPr>
              <w:rPr>
                <w:rFonts w:ascii="Cambria Math" w:hAnsi="Cambria Math" w:cs="Arial"/>
                <w:iCs/>
              </w:rPr>
            </m:ctrlPr>
          </m:sSubPr>
          <m:e>
            <m:r>
              <m:rPr>
                <m:sty m:val="p"/>
              </m:rPr>
              <w:rPr>
                <w:rFonts w:ascii="Cambria Math" w:hAnsi="Cambria Math" w:cs="Arial"/>
                <w:szCs w:val="20"/>
              </w:rPr>
              <m:t>kWh</m:t>
            </m:r>
            <m:ctrlPr>
              <w:rPr>
                <w:rFonts w:ascii="Cambria Math" w:hAnsi="Cambria Math" w:cs="Arial"/>
                <w:iCs/>
                <w:szCs w:val="20"/>
              </w:rPr>
            </m:ctrlPr>
          </m:e>
          <m:sub>
            <m:r>
              <m:rPr>
                <m:sty m:val="p"/>
              </m:rPr>
              <w:rPr>
                <w:rFonts w:ascii="Cambria Math" w:hAnsi="Cambria Math" w:cs="Arial"/>
                <w:szCs w:val="20"/>
              </w:rPr>
              <m:t>ee</m:t>
            </m:r>
          </m:sub>
        </m:sSub>
      </m:oMath>
      <w:r w:rsidRPr="001570EA">
        <w:t xml:space="preserve"> provided that it is gathered from the ENERGY STAR qualified product list. </w:t>
      </w:r>
    </w:p>
    <w:p w14:paraId="6723CDD6" w14:textId="77777777" w:rsidR="004E6452" w:rsidRPr="001570EA" w:rsidRDefault="004E6452" w:rsidP="004E6452"/>
    <w:p w14:paraId="639C66C1" w14:textId="77777777" w:rsidR="004E6452" w:rsidRPr="001570EA" w:rsidRDefault="004E6452" w:rsidP="004E6452">
      <w:pPr>
        <w:pStyle w:val="NoSpacing"/>
        <w:rPr>
          <w:rFonts w:cs="Arial"/>
          <w:szCs w:val="20"/>
        </w:rPr>
      </w:pPr>
      <w:r w:rsidRPr="001570EA">
        <w:rPr>
          <w:rFonts w:cs="Arial"/>
          <w:szCs w:val="20"/>
        </w:rPr>
        <w:t>Per unit energy and demand savings algorithms for dishwashers utilizing electrically heated hot water:</w:t>
      </w:r>
    </w:p>
    <w:p w14:paraId="021ED60E" w14:textId="77777777" w:rsidR="004E6452" w:rsidRPr="001570EA" w:rsidRDefault="004E6452" w:rsidP="004E6452">
      <w:pPr>
        <w:pStyle w:val="NoSpacing"/>
        <w:spacing w:line="360" w:lineRule="auto"/>
        <w:jc w:val="center"/>
        <w:rPr>
          <w:rFonts w:eastAsiaTheme="minorEastAsia" w:cs="Arial"/>
          <w:szCs w:val="20"/>
        </w:rPr>
      </w:pPr>
      <m:oMathPara>
        <m:oMathParaPr>
          <m:jc m:val="left"/>
        </m:oMathParaPr>
        <m:oMath>
          <m:r>
            <w:rPr>
              <w:rFonts w:ascii="Cambria Math" w:hAnsi="Cambria Math"/>
            </w:rPr>
            <m:t>∆</m:t>
          </m:r>
          <m:r>
            <w:rPr>
              <w:rFonts w:ascii="Cambria Math" w:hAnsi="Cambria Math" w:cs="Arial"/>
              <w:szCs w:val="20"/>
            </w:rPr>
            <m:t xml:space="preserve">kWh           =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szCs w:val="20"/>
                    </w:rPr>
                    <m:t>kWh</m:t>
                  </m:r>
                </m:e>
                <m:sub>
                  <m:r>
                    <w:rPr>
                      <w:rFonts w:ascii="Cambria Math" w:hAnsi="Cambria Math" w:cs="Arial"/>
                      <w:szCs w:val="20"/>
                    </w:rPr>
                    <m:t>base</m:t>
                  </m:r>
                </m:sub>
              </m:sSub>
              <m:r>
                <w:rPr>
                  <w:rFonts w:ascii="Cambria Math" w:hAnsi="Cambria Math" w:cs="Arial"/>
                  <w:szCs w:val="20"/>
                </w:rPr>
                <m:t>-</m:t>
              </m:r>
              <m:sSub>
                <m:sSubPr>
                  <m:ctrlPr>
                    <w:rPr>
                      <w:rFonts w:ascii="Cambria Math" w:hAnsi="Cambria Math" w:cs="Arial"/>
                      <w:i/>
                    </w:rPr>
                  </m:ctrlPr>
                </m:sSubPr>
                <m:e>
                  <m:r>
                    <w:rPr>
                      <w:rFonts w:ascii="Cambria Math" w:hAnsi="Cambria Math" w:cs="Arial"/>
                      <w:szCs w:val="20"/>
                    </w:rPr>
                    <m:t>kWh</m:t>
                  </m:r>
                  <m:ctrlPr>
                    <w:rPr>
                      <w:rFonts w:ascii="Cambria Math" w:hAnsi="Cambria Math" w:cs="Arial"/>
                      <w:i/>
                      <w:szCs w:val="20"/>
                    </w:rPr>
                  </m:ctrlPr>
                </m:e>
                <m:sub>
                  <m:r>
                    <w:rPr>
                      <w:rFonts w:ascii="Cambria Math" w:hAnsi="Cambria Math" w:cs="Arial"/>
                      <w:szCs w:val="20"/>
                    </w:rPr>
                    <m:t>ee</m:t>
                  </m:r>
                </m:sub>
              </m:sSub>
            </m:e>
          </m:d>
          <m:r>
            <w:rPr>
              <w:rFonts w:ascii="Cambria Math" w:hAnsi="Cambria Math" w:cs="Arial"/>
              <w:szCs w:val="20"/>
            </w:rPr>
            <m:t xml:space="preserve"> ×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szCs w:val="20"/>
                    </w:rPr>
                    <m:t>%kWh</m:t>
                  </m:r>
                </m:e>
                <m:sub>
                  <m:r>
                    <w:rPr>
                      <w:rFonts w:ascii="Cambria Math" w:hAnsi="Cambria Math" w:cs="Arial"/>
                      <w:szCs w:val="20"/>
                    </w:rPr>
                    <m:t>OP</m:t>
                  </m:r>
                </m:sub>
              </m:sSub>
              <m:r>
                <w:rPr>
                  <w:rFonts w:ascii="Cambria Math" w:hAnsi="Cambria Math" w:cs="Arial"/>
                  <w:szCs w:val="20"/>
                </w:rPr>
                <m:t>+</m:t>
              </m:r>
              <m:sSub>
                <m:sSubPr>
                  <m:ctrlPr>
                    <w:rPr>
                      <w:rFonts w:ascii="Cambria Math" w:hAnsi="Cambria Math" w:cs="Arial"/>
                      <w:i/>
                    </w:rPr>
                  </m:ctrlPr>
                </m:sSubPr>
                <m:e>
                  <m:r>
                    <w:rPr>
                      <w:rFonts w:ascii="Cambria Math" w:hAnsi="Cambria Math" w:cs="Arial"/>
                      <w:szCs w:val="20"/>
                    </w:rPr>
                    <m:t>%kWh</m:t>
                  </m:r>
                  <m:ctrlPr>
                    <w:rPr>
                      <w:rFonts w:ascii="Cambria Math" w:hAnsi="Cambria Math" w:cs="Arial"/>
                      <w:i/>
                      <w:szCs w:val="20"/>
                    </w:rPr>
                  </m:ctrlPr>
                </m:e>
                <m:sub>
                  <m:r>
                    <w:rPr>
                      <w:rFonts w:ascii="Cambria Math" w:hAnsi="Cambria Math" w:cs="Arial"/>
                      <w:szCs w:val="20"/>
                    </w:rPr>
                    <m:t>heat</m:t>
                  </m:r>
                </m:sub>
              </m:sSub>
              <m:r>
                <w:rPr>
                  <w:rFonts w:ascii="Cambria Math" w:hAnsi="Cambria Math" w:cs="Arial"/>
                  <w:szCs w:val="20"/>
                </w:rPr>
                <m:t>×</m:t>
              </m:r>
              <m:sSub>
                <m:sSubPr>
                  <m:ctrlPr>
                    <w:rPr>
                      <w:rFonts w:ascii="Cambria Math" w:hAnsi="Cambria Math" w:cs="Arial"/>
                      <w:i/>
                    </w:rPr>
                  </m:ctrlPr>
                </m:sSubPr>
                <m:e>
                  <m:r>
                    <w:rPr>
                      <w:rFonts w:ascii="Cambria Math" w:hAnsi="Cambria Math" w:cs="Arial"/>
                      <w:szCs w:val="20"/>
                    </w:rPr>
                    <m:t>%Elec</m:t>
                  </m:r>
                  <m:ctrlPr>
                    <w:rPr>
                      <w:rFonts w:ascii="Cambria Math" w:hAnsi="Cambria Math" w:cs="Arial"/>
                      <w:i/>
                      <w:szCs w:val="20"/>
                    </w:rPr>
                  </m:ctrlPr>
                </m:e>
                <m:sub>
                  <m:r>
                    <w:rPr>
                      <w:rFonts w:ascii="Cambria Math" w:hAnsi="Cambria Math" w:cs="Arial"/>
                      <w:szCs w:val="20"/>
                    </w:rPr>
                    <m:t>DHW</m:t>
                  </m:r>
                </m:sub>
              </m:sSub>
            </m:e>
          </m:d>
        </m:oMath>
      </m:oMathPara>
    </w:p>
    <w:p w14:paraId="740685B0" w14:textId="77777777" w:rsidR="004E6452" w:rsidRPr="001570EA" w:rsidRDefault="004E6452" w:rsidP="004E6452">
      <w:pPr>
        <w:rPr>
          <w:sz w:val="16"/>
          <w:szCs w:val="16"/>
        </w:rPr>
      </w:pPr>
    </w:p>
    <w:p w14:paraId="3943B065" w14:textId="77777777" w:rsidR="004E6452" w:rsidRPr="001570EA" w:rsidRDefault="004E6452" w:rsidP="004E6452">
      <w:pPr>
        <w:jc w:val="center"/>
        <w:rPr>
          <w:i/>
          <w:szCs w:val="20"/>
        </w:rPr>
      </w:pPr>
      <m:oMathPara>
        <m:oMathParaPr>
          <m:jc m:val="left"/>
        </m:oMathParaPr>
        <m:oMath>
          <m:r>
            <w:rPr>
              <w:rFonts w:ascii="Cambria Math" w:hAnsi="Cambria Math"/>
              <w:szCs w:val="20"/>
            </w:rPr>
            <m:t>∆</m:t>
          </m:r>
          <m:sSub>
            <m:sSubPr>
              <m:ctrlPr>
                <w:rPr>
                  <w:rFonts w:ascii="Cambria Math" w:hAnsi="Cambria Math"/>
                  <w:i/>
                  <w:szCs w:val="20"/>
                </w:rPr>
              </m:ctrlPr>
            </m:sSubPr>
            <m:e>
              <m:r>
                <w:rPr>
                  <w:rFonts w:ascii="Cambria Math" w:hAnsi="Cambria Math"/>
                  <w:szCs w:val="20"/>
                </w:rPr>
                <m:t>kW</m:t>
              </m:r>
            </m:e>
            <m:sub>
              <m:r>
                <w:rPr>
                  <w:rFonts w:ascii="Cambria Math" w:hAnsi="Cambria Math"/>
                  <w:szCs w:val="20"/>
                </w:rPr>
                <m:t>summer peak</m:t>
              </m:r>
            </m:sub>
          </m:sSub>
          <m:r>
            <w:rPr>
              <w:rFonts w:ascii="Cambria Math" w:hAnsi="Cambria Math"/>
              <w:szCs w:val="20"/>
            </w:rPr>
            <m:t xml:space="preserve">        =</m:t>
          </m:r>
          <m:r>
            <m:rPr>
              <m:sty m:val="p"/>
            </m:rPr>
            <w:rPr>
              <w:rFonts w:ascii="Cambria Math" w:hAnsi="Cambria Math" w:cs="Arial"/>
              <w:szCs w:val="20"/>
            </w:rPr>
            <m:t xml:space="preserve"> </m:t>
          </m:r>
          <m:r>
            <w:rPr>
              <w:rFonts w:ascii="Cambria Math" w:hAnsi="Cambria Math"/>
            </w:rPr>
            <m:t>∆</m:t>
          </m:r>
          <m:r>
            <w:rPr>
              <w:rFonts w:ascii="Cambria Math" w:hAnsi="Cambria Math" w:cs="Arial"/>
              <w:szCs w:val="20"/>
            </w:rPr>
            <m:t>kWh ×ETD</m:t>
          </m:r>
          <m:sSub>
            <m:sSubPr>
              <m:ctrlPr>
                <w:rPr>
                  <w:rFonts w:ascii="Cambria Math" w:hAnsi="Cambria Math" w:cs="Arial"/>
                  <w:szCs w:val="20"/>
                </w:rPr>
              </m:ctrlPr>
            </m:sSubPr>
            <m:e>
              <m:r>
                <w:rPr>
                  <w:rFonts w:ascii="Cambria Math" w:hAnsi="Cambria Math" w:cs="Arial"/>
                  <w:szCs w:val="20"/>
                </w:rPr>
                <m:t>F</m:t>
              </m:r>
            </m:e>
            <m:sub>
              <m:r>
                <w:rPr>
                  <w:rFonts w:ascii="Cambria Math" w:hAnsi="Cambria Math" w:cs="Arial"/>
                  <w:szCs w:val="20"/>
                </w:rPr>
                <m:t>s</m:t>
              </m:r>
            </m:sub>
          </m:sSub>
        </m:oMath>
      </m:oMathPara>
    </w:p>
    <w:p w14:paraId="74D2DC0B" w14:textId="77777777" w:rsidR="004E6452" w:rsidRPr="001570EA" w:rsidRDefault="004E6452" w:rsidP="004E6452">
      <w:pPr>
        <w:jc w:val="center"/>
        <w:rPr>
          <w:i/>
        </w:rPr>
      </w:pPr>
    </w:p>
    <w:p w14:paraId="58508B87" w14:textId="77777777" w:rsidR="004E6452" w:rsidRPr="001570EA" w:rsidRDefault="004E6452" w:rsidP="004E6452">
      <w:pPr>
        <w:jc w:val="left"/>
        <w:rPr>
          <w:i/>
        </w:rPr>
      </w:pPr>
      <m:oMathPara>
        <m:oMathParaPr>
          <m:jc m:val="left"/>
        </m:oMathParaPr>
        <m:oMath>
          <m:r>
            <w:rPr>
              <w:rFonts w:ascii="Cambria Math" w:hAnsi="Cambria Math"/>
            </w:rPr>
            <m:t>∆</m:t>
          </m:r>
          <m:sSub>
            <m:sSubPr>
              <m:ctrlPr>
                <w:rPr>
                  <w:rFonts w:ascii="Cambria Math" w:hAnsi="Cambria Math"/>
                  <w:i/>
                </w:rPr>
              </m:ctrlPr>
            </m:sSubPr>
            <m:e>
              <m:r>
                <w:rPr>
                  <w:rFonts w:ascii="Cambria Math" w:hAnsi="Cambria Math"/>
                </w:rPr>
                <m:t>kW</m:t>
              </m:r>
            </m:e>
            <m:sub>
              <m:r>
                <w:rPr>
                  <w:rFonts w:ascii="Cambria Math" w:hAnsi="Cambria Math"/>
                </w:rPr>
                <m:t>winter peak</m:t>
              </m:r>
            </m:sub>
          </m:sSub>
          <m:r>
            <w:rPr>
              <w:rFonts w:ascii="Cambria Math" w:hAnsi="Cambria Math"/>
            </w:rPr>
            <m:t xml:space="preserve">        = ∆</m:t>
          </m:r>
          <m:r>
            <w:rPr>
              <w:rFonts w:ascii="Cambria Math" w:hAnsi="Cambria Math" w:cs="Arial"/>
              <w:szCs w:val="20"/>
            </w:rPr>
            <m:t xml:space="preserve">kWh </m:t>
          </m:r>
          <m:r>
            <w:rPr>
              <w:rFonts w:ascii="Cambria Math" w:hAnsi="Cambria Math"/>
            </w:rPr>
            <m:t>×</m:t>
          </m:r>
          <m:r>
            <w:rPr>
              <w:rFonts w:ascii="Cambria Math" w:hAnsi="Cambria Math" w:cs="Arial"/>
              <w:sz w:val="18"/>
              <w:szCs w:val="20"/>
            </w:rPr>
            <m:t>ETD</m:t>
          </m:r>
          <m:sSub>
            <m:sSubPr>
              <m:ctrlPr>
                <w:rPr>
                  <w:rFonts w:ascii="Cambria Math" w:hAnsi="Cambria Math" w:cs="Arial"/>
                  <w:sz w:val="18"/>
                  <w:szCs w:val="20"/>
                </w:rPr>
              </m:ctrlPr>
            </m:sSubPr>
            <m:e>
              <m:r>
                <w:rPr>
                  <w:rFonts w:ascii="Cambria Math" w:hAnsi="Cambria Math" w:cs="Arial"/>
                  <w:sz w:val="18"/>
                  <w:szCs w:val="20"/>
                </w:rPr>
                <m:t>F</m:t>
              </m:r>
            </m:e>
            <m:sub>
              <m:r>
                <w:rPr>
                  <w:rFonts w:ascii="Cambria Math" w:hAnsi="Cambria Math" w:cs="Arial"/>
                  <w:sz w:val="18"/>
                  <w:szCs w:val="20"/>
                </w:rPr>
                <m:t>w</m:t>
              </m:r>
            </m:sub>
          </m:sSub>
          <m:r>
            <w:rPr>
              <w:rFonts w:ascii="Cambria Math" w:hAnsi="Cambria Math" w:cs="Arial"/>
              <w:szCs w:val="20"/>
            </w:rPr>
            <m:t xml:space="preserve">     </m:t>
          </m:r>
          <m:r>
            <w:rPr>
              <w:rFonts w:ascii="Cambria Math" w:hAnsi="Cambria Math"/>
            </w:rPr>
            <m:t xml:space="preserve"> </m:t>
          </m:r>
        </m:oMath>
      </m:oMathPara>
    </w:p>
    <w:p w14:paraId="2505ABDC" w14:textId="77777777" w:rsidR="004E6452" w:rsidRPr="001570EA" w:rsidRDefault="004E6452" w:rsidP="004E6452">
      <w:pPr>
        <w:pStyle w:val="SubStyle"/>
        <w:rPr>
          <w:rFonts w:ascii="Arial" w:hAnsi="Arial" w:cs="Arial"/>
        </w:rPr>
      </w:pPr>
    </w:p>
    <w:p w14:paraId="659EED63" w14:textId="77777777" w:rsidR="004E6452" w:rsidRPr="001570EA" w:rsidRDefault="004E6452" w:rsidP="004E6452">
      <w:pPr>
        <w:pStyle w:val="SubStyle"/>
      </w:pPr>
      <w:r w:rsidRPr="001570EA">
        <w:t>Definition of Terms</w:t>
      </w:r>
    </w:p>
    <w:p w14:paraId="1D05E055" w14:textId="02687FB7" w:rsidR="004E6452" w:rsidRPr="001570EA" w:rsidRDefault="004E6452" w:rsidP="004E6452">
      <w:pPr>
        <w:pStyle w:val="Caption"/>
      </w:pPr>
      <w:bookmarkStart w:id="612" w:name="_Toc530141755"/>
      <w:bookmarkStart w:id="613" w:name="_Toc4759833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111</w:t>
      </w:r>
      <w:r w:rsidR="002E093A" w:rsidRPr="001570EA">
        <w:fldChar w:fldCharType="end"/>
      </w:r>
      <w:r w:rsidRPr="001570EA">
        <w:t>: Terms</w:t>
      </w:r>
      <w:r w:rsidRPr="001570EA">
        <w:rPr>
          <w:rFonts w:cs="Arial"/>
        </w:rPr>
        <w:t>, Values, and References for</w:t>
      </w:r>
      <w:r w:rsidRPr="001570EA">
        <w:t xml:space="preserve"> ENERGY STAR Dishwashers</w:t>
      </w:r>
      <w:bookmarkEnd w:id="612"/>
      <w:bookmarkEnd w:id="613"/>
    </w:p>
    <w:tbl>
      <w:tblPr>
        <w:tblW w:w="0" w:type="auto"/>
        <w:jc w:val="center"/>
        <w:tblLook w:val="04A0" w:firstRow="1" w:lastRow="0" w:firstColumn="1" w:lastColumn="0" w:noHBand="0" w:noVBand="1"/>
      </w:tblPr>
      <w:tblGrid>
        <w:gridCol w:w="4451"/>
        <w:gridCol w:w="1080"/>
        <w:gridCol w:w="1918"/>
        <w:gridCol w:w="1181"/>
      </w:tblGrid>
      <w:tr w:rsidR="004E6452" w:rsidRPr="001570EA" w14:paraId="12A5F415" w14:textId="77777777">
        <w:trPr>
          <w:trHeight w:hRule="exact" w:val="360"/>
          <w:tblHeader/>
          <w:jc w:val="center"/>
        </w:trPr>
        <w:tc>
          <w:tcPr>
            <w:tcW w:w="44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7BEFE7" w14:textId="77777777" w:rsidR="004E6452" w:rsidRPr="001570EA" w:rsidRDefault="004E6452">
            <w:pPr>
              <w:rPr>
                <w:rFonts w:eastAsiaTheme="minorHAnsi"/>
                <w:b/>
                <w:sz w:val="18"/>
                <w:szCs w:val="18"/>
              </w:rPr>
            </w:pPr>
            <w:r w:rsidRPr="001570EA">
              <w:rPr>
                <w:rFonts w:eastAsiaTheme="minorHAnsi"/>
                <w:b/>
                <w:sz w:val="18"/>
                <w:szCs w:val="18"/>
              </w:rPr>
              <w:t>Term</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AF2E48" w14:textId="77777777" w:rsidR="004E6452" w:rsidRPr="001570EA" w:rsidRDefault="004E6452">
            <w:pPr>
              <w:jc w:val="center"/>
              <w:rPr>
                <w:rFonts w:eastAsiaTheme="minorHAnsi"/>
                <w:b/>
                <w:sz w:val="18"/>
                <w:szCs w:val="18"/>
              </w:rPr>
            </w:pPr>
            <w:r w:rsidRPr="001570EA">
              <w:rPr>
                <w:rFonts w:eastAsiaTheme="minorHAnsi"/>
                <w:b/>
                <w:sz w:val="18"/>
                <w:szCs w:val="18"/>
              </w:rPr>
              <w:t>Unit</w:t>
            </w:r>
          </w:p>
        </w:tc>
        <w:tc>
          <w:tcPr>
            <w:tcW w:w="19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8F774B" w14:textId="77777777" w:rsidR="004E6452" w:rsidRPr="001570EA" w:rsidRDefault="004E6452">
            <w:pPr>
              <w:jc w:val="center"/>
              <w:rPr>
                <w:rFonts w:eastAsiaTheme="minorHAnsi"/>
                <w:b/>
                <w:sz w:val="18"/>
                <w:szCs w:val="18"/>
              </w:rPr>
            </w:pPr>
            <w:r w:rsidRPr="001570EA">
              <w:rPr>
                <w:rFonts w:eastAsiaTheme="minorHAnsi"/>
                <w:b/>
                <w:sz w:val="18"/>
                <w:szCs w:val="18"/>
              </w:rPr>
              <w:t>Value</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E04AE5" w14:textId="77777777" w:rsidR="004E6452" w:rsidRPr="001570EA" w:rsidRDefault="004E6452">
            <w:pPr>
              <w:jc w:val="center"/>
              <w:rPr>
                <w:rFonts w:eastAsiaTheme="minorHAnsi"/>
                <w:b/>
                <w:sz w:val="18"/>
                <w:szCs w:val="18"/>
              </w:rPr>
            </w:pPr>
            <w:r w:rsidRPr="001570EA">
              <w:rPr>
                <w:rFonts w:eastAsiaTheme="minorHAnsi"/>
                <w:b/>
                <w:sz w:val="18"/>
                <w:szCs w:val="18"/>
              </w:rPr>
              <w:t>Source</w:t>
            </w:r>
          </w:p>
        </w:tc>
      </w:tr>
      <w:tr w:rsidR="004E6452" w:rsidRPr="001570EA" w14:paraId="7582A6F4" w14:textId="77777777">
        <w:trPr>
          <w:trHeight w:hRule="exact" w:val="835"/>
          <w:jc w:val="center"/>
        </w:trPr>
        <w:tc>
          <w:tcPr>
            <w:tcW w:w="4451" w:type="dxa"/>
            <w:tcBorders>
              <w:top w:val="single" w:sz="4" w:space="0" w:color="auto"/>
              <w:left w:val="single" w:sz="4" w:space="0" w:color="auto"/>
              <w:bottom w:val="single" w:sz="4" w:space="0" w:color="auto"/>
              <w:right w:val="single" w:sz="4" w:space="0" w:color="auto"/>
            </w:tcBorders>
            <w:vAlign w:val="center"/>
            <w:hideMark/>
          </w:tcPr>
          <w:p w14:paraId="039188A6" w14:textId="77777777" w:rsidR="004E6452" w:rsidRPr="001570EA" w:rsidRDefault="004E6452">
            <w:pPr>
              <w:rPr>
                <w:sz w:val="18"/>
                <w:szCs w:val="18"/>
              </w:rPr>
            </w:pPr>
            <w:r w:rsidRPr="001570EA">
              <w:rPr>
                <w:i/>
                <w:sz w:val="18"/>
                <w:szCs w:val="18"/>
              </w:rPr>
              <w:t>kWh</w:t>
            </w:r>
            <w:r w:rsidRPr="001570EA">
              <w:rPr>
                <w:i/>
                <w:sz w:val="18"/>
                <w:szCs w:val="18"/>
                <w:vertAlign w:val="subscript"/>
              </w:rPr>
              <w:t>base</w:t>
            </w:r>
            <w:r w:rsidRPr="001570EA">
              <w:rPr>
                <w:sz w:val="18"/>
                <w:szCs w:val="18"/>
              </w:rPr>
              <w:t xml:space="preserve">, </w:t>
            </w:r>
            <w:r w:rsidRPr="001570EA">
              <w:rPr>
                <w:iCs/>
                <w:sz w:val="18"/>
                <w:szCs w:val="18"/>
              </w:rPr>
              <w:t>Annual energy consumption of baseline dishwasher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133F292" w14:textId="77777777" w:rsidR="004E6452" w:rsidRPr="001570EA" w:rsidRDefault="004E6452">
            <w:pPr>
              <w:jc w:val="center"/>
              <w:rPr>
                <w:rFonts w:eastAsiaTheme="minorHAnsi"/>
                <w:i/>
                <w:sz w:val="18"/>
                <w:szCs w:val="18"/>
              </w:rPr>
            </w:pPr>
            <w:r w:rsidRPr="001570EA">
              <w:rPr>
                <w:i/>
                <w:sz w:val="18"/>
                <w:szCs w:val="18"/>
              </w:rPr>
              <w:t>kWh/yr</w:t>
            </w:r>
          </w:p>
        </w:tc>
        <w:tc>
          <w:tcPr>
            <w:tcW w:w="1918" w:type="dxa"/>
            <w:tcBorders>
              <w:top w:val="single" w:sz="4" w:space="0" w:color="auto"/>
              <w:left w:val="single" w:sz="4" w:space="0" w:color="auto"/>
              <w:bottom w:val="single" w:sz="4" w:space="0" w:color="auto"/>
              <w:right w:val="single" w:sz="4" w:space="0" w:color="auto"/>
            </w:tcBorders>
            <w:vAlign w:val="center"/>
            <w:hideMark/>
          </w:tcPr>
          <w:p w14:paraId="40ED693C" w14:textId="77777777" w:rsidR="004E6452" w:rsidRPr="001570EA" w:rsidRDefault="004E6452">
            <w:pPr>
              <w:spacing w:before="120"/>
              <w:jc w:val="center"/>
              <w:rPr>
                <w:sz w:val="18"/>
                <w:szCs w:val="18"/>
              </w:rPr>
            </w:pPr>
            <w:r w:rsidRPr="001570EA">
              <w:rPr>
                <w:sz w:val="18"/>
                <w:szCs w:val="18"/>
              </w:rPr>
              <w:t>Standard: 307</w:t>
            </w:r>
          </w:p>
          <w:p w14:paraId="6EEB045A" w14:textId="77777777" w:rsidR="004E6452" w:rsidRPr="001570EA" w:rsidRDefault="004E6452">
            <w:pPr>
              <w:jc w:val="center"/>
              <w:rPr>
                <w:rFonts w:eastAsiaTheme="minorHAnsi"/>
                <w:sz w:val="18"/>
                <w:szCs w:val="18"/>
              </w:rPr>
            </w:pPr>
            <w:r w:rsidRPr="001570EA">
              <w:rPr>
                <w:sz w:val="18"/>
                <w:szCs w:val="18"/>
              </w:rPr>
              <w:t>Compact: 222</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912E908" w14:textId="77777777" w:rsidR="004E6452" w:rsidRPr="001570EA" w:rsidRDefault="004E6452">
            <w:pPr>
              <w:jc w:val="center"/>
              <w:rPr>
                <w:rFonts w:eastAsiaTheme="minorHAnsi"/>
                <w:sz w:val="18"/>
                <w:szCs w:val="18"/>
              </w:rPr>
            </w:pPr>
            <w:r w:rsidRPr="001570EA">
              <w:rPr>
                <w:sz w:val="18"/>
                <w:szCs w:val="18"/>
              </w:rPr>
              <w:t>1, 3</w:t>
            </w:r>
          </w:p>
        </w:tc>
      </w:tr>
      <w:tr w:rsidR="004E6452" w:rsidRPr="001570EA" w14:paraId="0C69DC54" w14:textId="77777777">
        <w:trPr>
          <w:trHeight w:hRule="exact" w:val="1584"/>
          <w:jc w:val="center"/>
        </w:trPr>
        <w:tc>
          <w:tcPr>
            <w:tcW w:w="4451" w:type="dxa"/>
            <w:tcBorders>
              <w:top w:val="single" w:sz="4" w:space="0" w:color="auto"/>
              <w:left w:val="single" w:sz="4" w:space="0" w:color="auto"/>
              <w:bottom w:val="single" w:sz="4" w:space="0" w:color="auto"/>
              <w:right w:val="single" w:sz="4" w:space="0" w:color="auto"/>
            </w:tcBorders>
            <w:vAlign w:val="center"/>
            <w:hideMark/>
          </w:tcPr>
          <w:p w14:paraId="304BD0AF" w14:textId="77777777" w:rsidR="004E6452" w:rsidRPr="001570EA" w:rsidRDefault="004E6452">
            <w:pPr>
              <w:rPr>
                <w:sz w:val="18"/>
                <w:szCs w:val="18"/>
                <w:vertAlign w:val="subscript"/>
              </w:rPr>
            </w:pPr>
            <w:r w:rsidRPr="001570EA">
              <w:rPr>
                <w:i/>
                <w:sz w:val="18"/>
                <w:szCs w:val="18"/>
              </w:rPr>
              <w:t>kWh</w:t>
            </w:r>
            <w:r w:rsidRPr="001570EA">
              <w:rPr>
                <w:i/>
                <w:sz w:val="18"/>
                <w:szCs w:val="18"/>
                <w:vertAlign w:val="subscript"/>
              </w:rPr>
              <w:t>ee</w:t>
            </w:r>
            <w:r w:rsidRPr="001570EA">
              <w:rPr>
                <w:sz w:val="18"/>
                <w:szCs w:val="18"/>
              </w:rPr>
              <w:t xml:space="preserve">, </w:t>
            </w:r>
            <w:r w:rsidRPr="001570EA">
              <w:rPr>
                <w:iCs/>
                <w:sz w:val="18"/>
                <w:szCs w:val="18"/>
              </w:rPr>
              <w:t xml:space="preserve">Annual energy consumption of ENERGY STAR qualified unit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7918EBB" w14:textId="77777777" w:rsidR="004E6452" w:rsidRPr="001570EA" w:rsidRDefault="004E6452">
            <w:pPr>
              <w:jc w:val="center"/>
              <w:rPr>
                <w:rFonts w:eastAsiaTheme="minorHAnsi"/>
                <w:i/>
                <w:sz w:val="18"/>
                <w:szCs w:val="18"/>
              </w:rPr>
            </w:pPr>
            <w:r w:rsidRPr="001570EA">
              <w:rPr>
                <w:i/>
                <w:sz w:val="18"/>
                <w:szCs w:val="18"/>
              </w:rPr>
              <w:t>kWh/yr</w:t>
            </w:r>
          </w:p>
        </w:tc>
        <w:tc>
          <w:tcPr>
            <w:tcW w:w="1918" w:type="dxa"/>
            <w:tcBorders>
              <w:top w:val="single" w:sz="4" w:space="0" w:color="auto"/>
              <w:left w:val="single" w:sz="4" w:space="0" w:color="auto"/>
              <w:bottom w:val="single" w:sz="4" w:space="0" w:color="auto"/>
              <w:right w:val="single" w:sz="4" w:space="0" w:color="auto"/>
            </w:tcBorders>
            <w:vAlign w:val="center"/>
            <w:hideMark/>
          </w:tcPr>
          <w:p w14:paraId="561D8EDF" w14:textId="77777777" w:rsidR="004E6452" w:rsidRPr="001570EA" w:rsidRDefault="004E6452">
            <w:pPr>
              <w:spacing w:before="120"/>
              <w:jc w:val="center"/>
              <w:rPr>
                <w:sz w:val="18"/>
                <w:szCs w:val="18"/>
              </w:rPr>
            </w:pPr>
            <w:r w:rsidRPr="001570EA">
              <w:rPr>
                <w:sz w:val="18"/>
                <w:szCs w:val="18"/>
              </w:rPr>
              <w:t>EDC data gathering</w:t>
            </w:r>
          </w:p>
          <w:p w14:paraId="46FEF347" w14:textId="77777777" w:rsidR="004E6452" w:rsidRPr="001570EA" w:rsidRDefault="004E6452">
            <w:pPr>
              <w:spacing w:before="120"/>
              <w:jc w:val="center"/>
              <w:rPr>
                <w:sz w:val="18"/>
                <w:szCs w:val="18"/>
              </w:rPr>
            </w:pPr>
            <w:r w:rsidRPr="001570EA">
              <w:rPr>
                <w:sz w:val="18"/>
                <w:szCs w:val="18"/>
              </w:rPr>
              <w:t>Defaults:</w:t>
            </w:r>
          </w:p>
          <w:p w14:paraId="3DC7C4B5" w14:textId="77777777" w:rsidR="004E6452" w:rsidRPr="001570EA" w:rsidRDefault="004E6452">
            <w:pPr>
              <w:jc w:val="center"/>
              <w:rPr>
                <w:sz w:val="18"/>
                <w:szCs w:val="18"/>
              </w:rPr>
            </w:pPr>
            <w:r w:rsidRPr="001570EA">
              <w:rPr>
                <w:sz w:val="18"/>
                <w:szCs w:val="18"/>
              </w:rPr>
              <w:t>Standard: 240</w:t>
            </w:r>
          </w:p>
          <w:p w14:paraId="33D22C65" w14:textId="77777777" w:rsidR="004E6452" w:rsidRPr="001570EA" w:rsidRDefault="004E6452">
            <w:pPr>
              <w:jc w:val="center"/>
              <w:rPr>
                <w:rFonts w:eastAsiaTheme="minorHAnsi"/>
                <w:sz w:val="18"/>
                <w:szCs w:val="18"/>
              </w:rPr>
            </w:pPr>
            <w:r w:rsidRPr="001570EA">
              <w:rPr>
                <w:sz w:val="18"/>
                <w:szCs w:val="18"/>
              </w:rPr>
              <w:t>Compact :155</w:t>
            </w:r>
          </w:p>
        </w:tc>
        <w:tc>
          <w:tcPr>
            <w:tcW w:w="1181" w:type="dxa"/>
            <w:tcBorders>
              <w:top w:val="single" w:sz="4" w:space="0" w:color="auto"/>
              <w:left w:val="single" w:sz="4" w:space="0" w:color="auto"/>
              <w:bottom w:val="single" w:sz="4" w:space="0" w:color="auto"/>
              <w:right w:val="single" w:sz="4" w:space="0" w:color="auto"/>
            </w:tcBorders>
            <w:vAlign w:val="center"/>
            <w:hideMark/>
          </w:tcPr>
          <w:p w14:paraId="20FDF3F6" w14:textId="77777777" w:rsidR="004E6452" w:rsidRPr="001570EA" w:rsidRDefault="004E6452">
            <w:pPr>
              <w:jc w:val="center"/>
              <w:rPr>
                <w:sz w:val="18"/>
                <w:szCs w:val="18"/>
              </w:rPr>
            </w:pPr>
            <w:r w:rsidRPr="001570EA">
              <w:rPr>
                <w:sz w:val="18"/>
                <w:szCs w:val="18"/>
              </w:rPr>
              <w:t>EDC data gathering,</w:t>
            </w:r>
            <w:r w:rsidRPr="001570EA" w:rsidDel="00193870">
              <w:rPr>
                <w:sz w:val="18"/>
                <w:szCs w:val="18"/>
              </w:rPr>
              <w:t xml:space="preserve"> </w:t>
            </w:r>
          </w:p>
          <w:p w14:paraId="4984F2F7" w14:textId="77777777" w:rsidR="004E6452" w:rsidRPr="001570EA" w:rsidRDefault="004E6452">
            <w:pPr>
              <w:jc w:val="center"/>
              <w:rPr>
                <w:rFonts w:eastAsiaTheme="minorHAnsi"/>
                <w:sz w:val="18"/>
                <w:szCs w:val="18"/>
              </w:rPr>
            </w:pPr>
            <w:r w:rsidRPr="001570EA">
              <w:rPr>
                <w:sz w:val="18"/>
                <w:szCs w:val="18"/>
              </w:rPr>
              <w:t>4</w:t>
            </w:r>
          </w:p>
        </w:tc>
      </w:tr>
      <w:tr w:rsidR="004E6452" w:rsidRPr="001570EA" w14:paraId="17BB5441" w14:textId="77777777">
        <w:trPr>
          <w:trHeight w:hRule="exact" w:val="835"/>
          <w:jc w:val="center"/>
        </w:trPr>
        <w:tc>
          <w:tcPr>
            <w:tcW w:w="4451" w:type="dxa"/>
            <w:tcBorders>
              <w:top w:val="single" w:sz="4" w:space="0" w:color="auto"/>
              <w:left w:val="single" w:sz="4" w:space="0" w:color="auto"/>
              <w:bottom w:val="single" w:sz="4" w:space="0" w:color="auto"/>
              <w:right w:val="single" w:sz="4" w:space="0" w:color="auto"/>
            </w:tcBorders>
            <w:vAlign w:val="center"/>
            <w:hideMark/>
          </w:tcPr>
          <w:p w14:paraId="543639E3" w14:textId="294D206E" w:rsidR="004E6452" w:rsidRPr="001570EA" w:rsidRDefault="004E6452">
            <w:pPr>
              <w:rPr>
                <w:rFonts w:eastAsiaTheme="minorHAnsi"/>
                <w:sz w:val="18"/>
                <w:szCs w:val="18"/>
              </w:rPr>
            </w:pPr>
            <w:r w:rsidRPr="001570EA">
              <w:rPr>
                <w:i/>
                <w:sz w:val="18"/>
                <w:szCs w:val="18"/>
              </w:rPr>
              <w:t>%kWh</w:t>
            </w:r>
            <w:r w:rsidRPr="001570EA">
              <w:rPr>
                <w:i/>
                <w:sz w:val="18"/>
                <w:szCs w:val="18"/>
                <w:vertAlign w:val="subscript"/>
              </w:rPr>
              <w:t>op</w:t>
            </w:r>
            <w:r w:rsidRPr="001570EA">
              <w:rPr>
                <w:sz w:val="18"/>
                <w:szCs w:val="18"/>
              </w:rPr>
              <w:t xml:space="preserve">, </w:t>
            </w:r>
            <w:r w:rsidRPr="001570EA">
              <w:rPr>
                <w:iCs/>
                <w:sz w:val="18"/>
                <w:szCs w:val="18"/>
              </w:rPr>
              <w:t>Percentage of unit dishwasher energy consumption used for operation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579C38" w14:textId="77777777" w:rsidR="004E6452" w:rsidRPr="001570EA" w:rsidRDefault="004E6452">
            <w:pPr>
              <w:jc w:val="center"/>
              <w:rPr>
                <w:rFonts w:eastAsiaTheme="minorHAnsi"/>
                <w:i/>
                <w:sz w:val="18"/>
                <w:szCs w:val="18"/>
              </w:rPr>
            </w:pPr>
            <w:r w:rsidRPr="001570EA">
              <w:rPr>
                <w:i/>
                <w:sz w:val="18"/>
                <w:szCs w:val="18"/>
              </w:rPr>
              <w:t>%</w:t>
            </w:r>
          </w:p>
        </w:tc>
        <w:tc>
          <w:tcPr>
            <w:tcW w:w="1918" w:type="dxa"/>
            <w:tcBorders>
              <w:top w:val="single" w:sz="4" w:space="0" w:color="auto"/>
              <w:left w:val="single" w:sz="4" w:space="0" w:color="auto"/>
              <w:bottom w:val="single" w:sz="4" w:space="0" w:color="auto"/>
              <w:right w:val="single" w:sz="4" w:space="0" w:color="auto"/>
            </w:tcBorders>
            <w:vAlign w:val="center"/>
            <w:hideMark/>
          </w:tcPr>
          <w:p w14:paraId="1F10F99F" w14:textId="77777777" w:rsidR="004E6452" w:rsidRPr="001570EA" w:rsidRDefault="004E6452">
            <w:pPr>
              <w:jc w:val="center"/>
              <w:rPr>
                <w:rFonts w:eastAsiaTheme="minorHAnsi"/>
                <w:sz w:val="18"/>
                <w:szCs w:val="18"/>
              </w:rPr>
            </w:pPr>
            <w:r w:rsidRPr="001570EA">
              <w:rPr>
                <w:sz w:val="18"/>
                <w:szCs w:val="18"/>
              </w:rPr>
              <w:t>44%</w:t>
            </w:r>
          </w:p>
        </w:tc>
        <w:tc>
          <w:tcPr>
            <w:tcW w:w="1181" w:type="dxa"/>
            <w:tcBorders>
              <w:top w:val="single" w:sz="4" w:space="0" w:color="auto"/>
              <w:left w:val="single" w:sz="4" w:space="0" w:color="auto"/>
              <w:bottom w:val="single" w:sz="4" w:space="0" w:color="auto"/>
              <w:right w:val="single" w:sz="4" w:space="0" w:color="auto"/>
            </w:tcBorders>
            <w:vAlign w:val="center"/>
            <w:hideMark/>
          </w:tcPr>
          <w:p w14:paraId="6945041A" w14:textId="77777777" w:rsidR="004E6452" w:rsidRPr="001570EA" w:rsidRDefault="004E6452">
            <w:pPr>
              <w:jc w:val="center"/>
              <w:rPr>
                <w:rFonts w:eastAsiaTheme="minorHAnsi"/>
                <w:sz w:val="18"/>
                <w:szCs w:val="18"/>
              </w:rPr>
            </w:pPr>
            <w:r w:rsidRPr="001570EA">
              <w:rPr>
                <w:sz w:val="18"/>
                <w:szCs w:val="18"/>
              </w:rPr>
              <w:t>1</w:t>
            </w:r>
          </w:p>
        </w:tc>
      </w:tr>
      <w:tr w:rsidR="004E6452" w:rsidRPr="001570EA" w14:paraId="23B50A6C" w14:textId="77777777">
        <w:trPr>
          <w:trHeight w:hRule="exact" w:val="835"/>
          <w:jc w:val="center"/>
        </w:trPr>
        <w:tc>
          <w:tcPr>
            <w:tcW w:w="4451" w:type="dxa"/>
            <w:tcBorders>
              <w:top w:val="single" w:sz="4" w:space="0" w:color="auto"/>
              <w:left w:val="single" w:sz="4" w:space="0" w:color="auto"/>
              <w:bottom w:val="single" w:sz="4" w:space="0" w:color="auto"/>
              <w:right w:val="single" w:sz="4" w:space="0" w:color="auto"/>
            </w:tcBorders>
            <w:vAlign w:val="center"/>
            <w:hideMark/>
          </w:tcPr>
          <w:p w14:paraId="089C104B" w14:textId="0EE1E6D1" w:rsidR="004E6452" w:rsidRPr="001570EA" w:rsidRDefault="004E6452">
            <w:pPr>
              <w:rPr>
                <w:rFonts w:eastAsiaTheme="minorHAnsi"/>
                <w:sz w:val="18"/>
                <w:szCs w:val="18"/>
              </w:rPr>
            </w:pPr>
            <w:r w:rsidRPr="001570EA">
              <w:rPr>
                <w:i/>
                <w:sz w:val="18"/>
                <w:szCs w:val="18"/>
              </w:rPr>
              <w:t>%kWh</w:t>
            </w:r>
            <w:r w:rsidRPr="001570EA">
              <w:rPr>
                <w:i/>
                <w:sz w:val="18"/>
                <w:szCs w:val="18"/>
                <w:vertAlign w:val="subscript"/>
              </w:rPr>
              <w:t>heat</w:t>
            </w:r>
            <w:r w:rsidRPr="001570EA">
              <w:rPr>
                <w:sz w:val="18"/>
                <w:szCs w:val="18"/>
              </w:rPr>
              <w:t>,</w:t>
            </w:r>
            <w:r w:rsidRPr="001570EA">
              <w:rPr>
                <w:i/>
                <w:sz w:val="18"/>
                <w:szCs w:val="18"/>
              </w:rPr>
              <w:t xml:space="preserve"> </w:t>
            </w:r>
            <w:r w:rsidRPr="001570EA">
              <w:rPr>
                <w:iCs/>
                <w:sz w:val="18"/>
                <w:szCs w:val="18"/>
              </w:rPr>
              <w:t>Percentage of dishwasher unit energy consumption used for water heating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29B614" w14:textId="77777777" w:rsidR="004E6452" w:rsidRPr="001570EA" w:rsidRDefault="004E6452">
            <w:pPr>
              <w:jc w:val="center"/>
              <w:rPr>
                <w:rFonts w:eastAsiaTheme="minorHAnsi"/>
                <w:i/>
                <w:sz w:val="18"/>
                <w:szCs w:val="18"/>
              </w:rPr>
            </w:pPr>
            <w:r w:rsidRPr="001570EA">
              <w:rPr>
                <w:i/>
                <w:sz w:val="18"/>
                <w:szCs w:val="18"/>
              </w:rPr>
              <w:t>%</w:t>
            </w:r>
          </w:p>
        </w:tc>
        <w:tc>
          <w:tcPr>
            <w:tcW w:w="1918" w:type="dxa"/>
            <w:tcBorders>
              <w:top w:val="single" w:sz="4" w:space="0" w:color="auto"/>
              <w:left w:val="single" w:sz="4" w:space="0" w:color="auto"/>
              <w:bottom w:val="single" w:sz="4" w:space="0" w:color="auto"/>
              <w:right w:val="single" w:sz="4" w:space="0" w:color="auto"/>
            </w:tcBorders>
            <w:vAlign w:val="center"/>
            <w:hideMark/>
          </w:tcPr>
          <w:p w14:paraId="693B1D3E" w14:textId="77777777" w:rsidR="004E6452" w:rsidRPr="001570EA" w:rsidRDefault="004E6452">
            <w:pPr>
              <w:jc w:val="center"/>
              <w:rPr>
                <w:rFonts w:eastAsiaTheme="minorHAnsi"/>
                <w:sz w:val="18"/>
                <w:szCs w:val="18"/>
              </w:rPr>
            </w:pPr>
            <w:r w:rsidRPr="001570EA">
              <w:rPr>
                <w:sz w:val="18"/>
                <w:szCs w:val="18"/>
              </w:rPr>
              <w:t>56%</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BDDB6A8" w14:textId="77777777" w:rsidR="004E6452" w:rsidRPr="001570EA" w:rsidRDefault="004E6452">
            <w:pPr>
              <w:jc w:val="center"/>
              <w:rPr>
                <w:rFonts w:eastAsiaTheme="minorHAnsi"/>
                <w:sz w:val="18"/>
                <w:szCs w:val="18"/>
              </w:rPr>
            </w:pPr>
            <w:r w:rsidRPr="001570EA">
              <w:rPr>
                <w:sz w:val="18"/>
                <w:szCs w:val="18"/>
              </w:rPr>
              <w:t>1</w:t>
            </w:r>
          </w:p>
        </w:tc>
      </w:tr>
      <w:tr w:rsidR="004E6452" w:rsidRPr="001570EA" w14:paraId="7AB6DB92" w14:textId="77777777">
        <w:trPr>
          <w:trHeight w:hRule="exact" w:val="835"/>
          <w:jc w:val="center"/>
        </w:trPr>
        <w:tc>
          <w:tcPr>
            <w:tcW w:w="4451" w:type="dxa"/>
            <w:tcBorders>
              <w:top w:val="single" w:sz="4" w:space="0" w:color="auto"/>
              <w:left w:val="single" w:sz="4" w:space="0" w:color="auto"/>
              <w:bottom w:val="single" w:sz="4" w:space="0" w:color="auto"/>
              <w:right w:val="single" w:sz="4" w:space="0" w:color="auto"/>
            </w:tcBorders>
            <w:vAlign w:val="center"/>
            <w:hideMark/>
          </w:tcPr>
          <w:p w14:paraId="735D9E55" w14:textId="77777777" w:rsidR="004E6452" w:rsidRPr="001570EA" w:rsidRDefault="004E6452">
            <w:pPr>
              <w:rPr>
                <w:rFonts w:eastAsiaTheme="minorHAnsi"/>
                <w:sz w:val="18"/>
                <w:szCs w:val="18"/>
              </w:rPr>
            </w:pPr>
            <w:r w:rsidRPr="001570EA">
              <w:rPr>
                <w:i/>
                <w:sz w:val="18"/>
                <w:szCs w:val="18"/>
              </w:rPr>
              <w:t>%Elec</w:t>
            </w:r>
            <w:r w:rsidRPr="001570EA">
              <w:rPr>
                <w:i/>
                <w:sz w:val="18"/>
                <w:szCs w:val="18"/>
                <w:vertAlign w:val="subscript"/>
              </w:rPr>
              <w:t>DHW</w:t>
            </w:r>
            <w:r w:rsidRPr="001570EA">
              <w:rPr>
                <w:sz w:val="18"/>
                <w:szCs w:val="18"/>
              </w:rPr>
              <w:t xml:space="preserve">, </w:t>
            </w:r>
            <w:r w:rsidRPr="001570EA">
              <w:rPr>
                <w:iCs/>
                <w:sz w:val="18"/>
                <w:szCs w:val="18"/>
              </w:rPr>
              <w:t>Percentage of water heaters that are electric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901F8F" w14:textId="77777777" w:rsidR="004E6452" w:rsidRPr="001570EA" w:rsidRDefault="004E6452">
            <w:pPr>
              <w:jc w:val="center"/>
              <w:rPr>
                <w:rFonts w:eastAsiaTheme="minorHAnsi"/>
                <w:i/>
                <w:sz w:val="18"/>
                <w:szCs w:val="18"/>
              </w:rPr>
            </w:pPr>
            <w:r w:rsidRPr="001570EA">
              <w:rPr>
                <w:i/>
                <w:sz w:val="18"/>
                <w:szCs w:val="18"/>
              </w:rPr>
              <w:t>%</w:t>
            </w:r>
          </w:p>
        </w:tc>
        <w:tc>
          <w:tcPr>
            <w:tcW w:w="1918" w:type="dxa"/>
            <w:tcBorders>
              <w:top w:val="single" w:sz="4" w:space="0" w:color="auto"/>
              <w:left w:val="single" w:sz="4" w:space="0" w:color="auto"/>
              <w:bottom w:val="single" w:sz="4" w:space="0" w:color="auto"/>
              <w:right w:val="single" w:sz="4" w:space="0" w:color="auto"/>
            </w:tcBorders>
            <w:vAlign w:val="center"/>
            <w:hideMark/>
          </w:tcPr>
          <w:p w14:paraId="59179461" w14:textId="77777777" w:rsidR="004E6452" w:rsidRPr="001570EA" w:rsidRDefault="004E6452">
            <w:pPr>
              <w:pStyle w:val="TableCell"/>
              <w:jc w:val="center"/>
              <w:rPr>
                <w:szCs w:val="18"/>
              </w:rPr>
            </w:pPr>
            <w:r w:rsidRPr="001570EA">
              <w:rPr>
                <w:szCs w:val="18"/>
              </w:rPr>
              <w:t>EDC Data Gathering</w:t>
            </w:r>
          </w:p>
          <w:p w14:paraId="78A4287F" w14:textId="77777777" w:rsidR="004E6452" w:rsidRPr="001570EA" w:rsidRDefault="004E6452">
            <w:pPr>
              <w:pStyle w:val="TableCell"/>
              <w:jc w:val="center"/>
              <w:rPr>
                <w:rFonts w:eastAsiaTheme="minorHAnsi"/>
                <w:szCs w:val="18"/>
              </w:rPr>
            </w:pPr>
            <w:r w:rsidRPr="001570EA">
              <w:rPr>
                <w:szCs w:val="18"/>
              </w:rPr>
              <w:t>Default = 47%</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CB2997B" w14:textId="77777777" w:rsidR="004E6452" w:rsidRPr="001570EA" w:rsidRDefault="004E6452">
            <w:pPr>
              <w:jc w:val="center"/>
              <w:rPr>
                <w:rFonts w:eastAsiaTheme="minorHAnsi"/>
                <w:sz w:val="18"/>
                <w:szCs w:val="18"/>
              </w:rPr>
            </w:pPr>
            <w:r w:rsidRPr="001570EA">
              <w:rPr>
                <w:sz w:val="18"/>
                <w:szCs w:val="18"/>
              </w:rPr>
              <w:t>EDC data gathering,  3</w:t>
            </w:r>
          </w:p>
        </w:tc>
      </w:tr>
      <w:tr w:rsidR="004E6452" w:rsidRPr="001570EA" w14:paraId="0006A67F" w14:textId="77777777">
        <w:trPr>
          <w:trHeight w:hRule="exact" w:val="835"/>
          <w:jc w:val="center"/>
        </w:trPr>
        <w:tc>
          <w:tcPr>
            <w:tcW w:w="4451" w:type="dxa"/>
            <w:tcBorders>
              <w:top w:val="single" w:sz="4" w:space="0" w:color="auto"/>
              <w:left w:val="single" w:sz="4" w:space="0" w:color="auto"/>
              <w:bottom w:val="single" w:sz="4" w:space="0" w:color="auto"/>
              <w:right w:val="single" w:sz="4" w:space="0" w:color="auto"/>
            </w:tcBorders>
            <w:vAlign w:val="center"/>
          </w:tcPr>
          <w:p w14:paraId="541272B7" w14:textId="77777777" w:rsidR="004E6452" w:rsidRPr="001570EA" w:rsidRDefault="004E6452">
            <w:pPr>
              <w:rPr>
                <w:i/>
                <w:sz w:val="18"/>
                <w:szCs w:val="18"/>
              </w:rPr>
            </w:pPr>
            <m:oMath>
              <m:r>
                <w:rPr>
                  <w:rFonts w:ascii="Cambria Math" w:hAnsi="Cambria Math"/>
                  <w:sz w:val="18"/>
                  <w:szCs w:val="18"/>
                </w:rPr>
                <m:t>ETD</m:t>
              </m:r>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s</m:t>
                  </m:r>
                </m:sub>
              </m:sSub>
            </m:oMath>
            <w:r w:rsidRPr="001570EA">
              <w:rPr>
                <w:i/>
                <w:sz w:val="18"/>
                <w:szCs w:val="18"/>
              </w:rPr>
              <w:t xml:space="preserve">, </w:t>
            </w:r>
            <w:r w:rsidRPr="001570EA">
              <w:rPr>
                <w:iCs/>
                <w:sz w:val="18"/>
                <w:szCs w:val="18"/>
              </w:rPr>
              <w:t>Summer energy to Demand Factor</w:t>
            </w:r>
          </w:p>
        </w:tc>
        <w:tc>
          <w:tcPr>
            <w:tcW w:w="1080" w:type="dxa"/>
            <w:tcBorders>
              <w:top w:val="single" w:sz="4" w:space="0" w:color="auto"/>
              <w:left w:val="single" w:sz="4" w:space="0" w:color="auto"/>
              <w:bottom w:val="single" w:sz="4" w:space="0" w:color="auto"/>
              <w:right w:val="single" w:sz="4" w:space="0" w:color="auto"/>
            </w:tcBorders>
            <w:vAlign w:val="center"/>
          </w:tcPr>
          <w:p w14:paraId="62C7A7ED" w14:textId="77777777" w:rsidR="004E6452" w:rsidRPr="001570EA" w:rsidRDefault="003B5E04">
            <w:pPr>
              <w:jc w:val="center"/>
              <w:rPr>
                <w:i/>
                <w:sz w:val="18"/>
                <w:szCs w:val="18"/>
              </w:rPr>
            </w:pPr>
            <m:oMathPara>
              <m:oMath>
                <m:f>
                  <m:fPr>
                    <m:ctrlPr>
                      <w:rPr>
                        <w:rFonts w:ascii="Cambria Math" w:hAnsi="Cambria Math"/>
                        <w:i/>
                        <w:sz w:val="18"/>
                        <w:szCs w:val="18"/>
                      </w:rPr>
                    </m:ctrlPr>
                  </m:fPr>
                  <m:num>
                    <m:r>
                      <w:rPr>
                        <w:rFonts w:ascii="Cambria Math" w:hAnsi="Cambria Math"/>
                        <w:sz w:val="18"/>
                        <w:szCs w:val="18"/>
                      </w:rPr>
                      <m:t>kW</m:t>
                    </m:r>
                  </m:num>
                  <m:den>
                    <m:r>
                      <w:rPr>
                        <w:rFonts w:ascii="Cambria Math" w:hAnsi="Cambria Math"/>
                        <w:sz w:val="18"/>
                        <w:szCs w:val="18"/>
                      </w:rPr>
                      <m:t>kWh</m:t>
                    </m:r>
                  </m:den>
                </m:f>
              </m:oMath>
            </m:oMathPara>
          </w:p>
        </w:tc>
        <w:tc>
          <w:tcPr>
            <w:tcW w:w="1918" w:type="dxa"/>
            <w:tcBorders>
              <w:top w:val="single" w:sz="4" w:space="0" w:color="auto"/>
              <w:left w:val="single" w:sz="4" w:space="0" w:color="auto"/>
              <w:bottom w:val="single" w:sz="4" w:space="0" w:color="auto"/>
              <w:right w:val="single" w:sz="4" w:space="0" w:color="auto"/>
            </w:tcBorders>
            <w:vAlign w:val="center"/>
          </w:tcPr>
          <w:p w14:paraId="208219F3" w14:textId="77777777" w:rsidR="004E6452" w:rsidRPr="001570EA" w:rsidRDefault="004E6452">
            <w:pPr>
              <w:jc w:val="center"/>
              <w:rPr>
                <w:szCs w:val="18"/>
              </w:rPr>
            </w:pPr>
            <w:r w:rsidRPr="001570EA">
              <w:rPr>
                <w:sz w:val="18"/>
                <w:szCs w:val="18"/>
              </w:rPr>
              <w:t>0.0001699</w:t>
            </w:r>
          </w:p>
        </w:tc>
        <w:tc>
          <w:tcPr>
            <w:tcW w:w="1181" w:type="dxa"/>
            <w:tcBorders>
              <w:top w:val="single" w:sz="4" w:space="0" w:color="auto"/>
              <w:left w:val="single" w:sz="4" w:space="0" w:color="auto"/>
              <w:bottom w:val="single" w:sz="4" w:space="0" w:color="auto"/>
              <w:right w:val="single" w:sz="4" w:space="0" w:color="auto"/>
            </w:tcBorders>
            <w:vAlign w:val="center"/>
          </w:tcPr>
          <w:p w14:paraId="3A2A3381" w14:textId="77777777" w:rsidR="004E6452" w:rsidRPr="001570EA" w:rsidRDefault="004E6452">
            <w:pPr>
              <w:jc w:val="center"/>
              <w:rPr>
                <w:sz w:val="18"/>
                <w:szCs w:val="18"/>
              </w:rPr>
            </w:pPr>
            <w:r w:rsidRPr="001570EA">
              <w:rPr>
                <w:sz w:val="18"/>
                <w:szCs w:val="18"/>
              </w:rPr>
              <w:t>5</w:t>
            </w:r>
          </w:p>
        </w:tc>
      </w:tr>
      <w:tr w:rsidR="004E6452" w:rsidRPr="001570EA" w14:paraId="57E34C43" w14:textId="77777777">
        <w:trPr>
          <w:trHeight w:hRule="exact" w:val="835"/>
          <w:jc w:val="center"/>
        </w:trPr>
        <w:tc>
          <w:tcPr>
            <w:tcW w:w="4451" w:type="dxa"/>
            <w:tcBorders>
              <w:top w:val="single" w:sz="4" w:space="0" w:color="auto"/>
              <w:left w:val="single" w:sz="4" w:space="0" w:color="auto"/>
              <w:bottom w:val="single" w:sz="4" w:space="0" w:color="auto"/>
              <w:right w:val="single" w:sz="4" w:space="0" w:color="auto"/>
            </w:tcBorders>
            <w:vAlign w:val="center"/>
          </w:tcPr>
          <w:p w14:paraId="1A2E0651" w14:textId="77777777" w:rsidR="004E6452" w:rsidRPr="001570EA" w:rsidRDefault="004E6452">
            <w:pPr>
              <w:rPr>
                <w:i/>
                <w:sz w:val="18"/>
                <w:szCs w:val="18"/>
              </w:rPr>
            </w:pPr>
            <m:oMath>
              <m:r>
                <w:rPr>
                  <w:rFonts w:ascii="Cambria Math" w:hAnsi="Cambria Math" w:cs="Arial"/>
                </w:rPr>
                <m:t>ETD</m:t>
              </m:r>
              <m:sSub>
                <m:sSubPr>
                  <m:ctrlPr>
                    <w:rPr>
                      <w:rFonts w:ascii="Cambria Math" w:hAnsi="Cambria Math" w:cs="Arial"/>
                    </w:rPr>
                  </m:ctrlPr>
                </m:sSubPr>
                <m:e>
                  <m:r>
                    <w:rPr>
                      <w:rFonts w:ascii="Cambria Math" w:hAnsi="Cambria Math" w:cs="Arial"/>
                    </w:rPr>
                    <m:t>F</m:t>
                  </m:r>
                </m:e>
                <m:sub>
                  <m:r>
                    <w:rPr>
                      <w:rFonts w:ascii="Cambria Math" w:hAnsi="Cambria Math" w:cs="Arial"/>
                    </w:rPr>
                    <m:t>w</m:t>
                  </m:r>
                </m:sub>
              </m:sSub>
            </m:oMath>
            <w:r w:rsidRPr="001570EA">
              <w:t xml:space="preserve">, </w:t>
            </w:r>
            <w:r w:rsidRPr="001570EA">
              <w:rPr>
                <w:sz w:val="18"/>
                <w:szCs w:val="18"/>
              </w:rPr>
              <w:t>Winter energy to Demand Factor</w:t>
            </w:r>
          </w:p>
        </w:tc>
        <w:tc>
          <w:tcPr>
            <w:tcW w:w="1080" w:type="dxa"/>
            <w:tcBorders>
              <w:top w:val="single" w:sz="4" w:space="0" w:color="auto"/>
              <w:left w:val="single" w:sz="4" w:space="0" w:color="auto"/>
              <w:bottom w:val="single" w:sz="4" w:space="0" w:color="auto"/>
              <w:right w:val="single" w:sz="4" w:space="0" w:color="auto"/>
            </w:tcBorders>
            <w:vAlign w:val="center"/>
          </w:tcPr>
          <w:p w14:paraId="72B52365" w14:textId="77777777" w:rsidR="004E6452" w:rsidRPr="001570EA" w:rsidRDefault="003B5E04">
            <w:pPr>
              <w:jc w:val="center"/>
              <w:rPr>
                <w:i/>
                <w:sz w:val="18"/>
                <w:szCs w:val="18"/>
              </w:rPr>
            </w:pPr>
            <m:oMathPara>
              <m:oMath>
                <m:f>
                  <m:fPr>
                    <m:ctrlPr>
                      <w:rPr>
                        <w:rFonts w:ascii="Cambria Math" w:hAnsi="Cambria Math"/>
                        <w:i/>
                        <w:sz w:val="18"/>
                        <w:szCs w:val="18"/>
                      </w:rPr>
                    </m:ctrlPr>
                  </m:fPr>
                  <m:num>
                    <m:r>
                      <w:rPr>
                        <w:rFonts w:ascii="Cambria Math" w:hAnsi="Cambria Math"/>
                        <w:sz w:val="18"/>
                        <w:szCs w:val="18"/>
                      </w:rPr>
                      <m:t>kW</m:t>
                    </m:r>
                  </m:num>
                  <m:den>
                    <m:r>
                      <w:rPr>
                        <w:rFonts w:ascii="Cambria Math" w:hAnsi="Cambria Math"/>
                        <w:sz w:val="18"/>
                        <w:szCs w:val="18"/>
                      </w:rPr>
                      <m:t>kWh</m:t>
                    </m:r>
                  </m:den>
                </m:f>
              </m:oMath>
            </m:oMathPara>
          </w:p>
        </w:tc>
        <w:tc>
          <w:tcPr>
            <w:tcW w:w="1918" w:type="dxa"/>
            <w:tcBorders>
              <w:top w:val="single" w:sz="4" w:space="0" w:color="auto"/>
              <w:left w:val="single" w:sz="4" w:space="0" w:color="auto"/>
              <w:bottom w:val="single" w:sz="4" w:space="0" w:color="auto"/>
              <w:right w:val="single" w:sz="4" w:space="0" w:color="auto"/>
            </w:tcBorders>
            <w:vAlign w:val="center"/>
          </w:tcPr>
          <w:p w14:paraId="2A1BDC9D" w14:textId="77777777" w:rsidR="004E6452" w:rsidRPr="001570EA" w:rsidRDefault="004E6452">
            <w:pPr>
              <w:jc w:val="center"/>
              <w:rPr>
                <w:sz w:val="18"/>
                <w:szCs w:val="18"/>
              </w:rPr>
            </w:pPr>
          </w:p>
          <w:p w14:paraId="09EB2B4F" w14:textId="77777777" w:rsidR="004E6452" w:rsidRPr="001570EA" w:rsidRDefault="004E6452">
            <w:pPr>
              <w:jc w:val="center"/>
              <w:rPr>
                <w:sz w:val="18"/>
                <w:szCs w:val="18"/>
              </w:rPr>
            </w:pPr>
          </w:p>
          <w:p w14:paraId="1DE938FD" w14:textId="77777777" w:rsidR="004E6452" w:rsidRPr="001570EA" w:rsidRDefault="004E6452">
            <w:pPr>
              <w:jc w:val="center"/>
              <w:rPr>
                <w:rFonts w:ascii="Calibri" w:hAnsi="Calibri" w:cs="Calibri"/>
                <w:b/>
                <w:bCs/>
                <w:color w:val="000000"/>
                <w:sz w:val="22"/>
                <w:szCs w:val="22"/>
              </w:rPr>
            </w:pPr>
            <w:r w:rsidRPr="001570EA">
              <w:rPr>
                <w:sz w:val="18"/>
                <w:szCs w:val="18"/>
              </w:rPr>
              <w:t>0.0002640</w:t>
            </w:r>
          </w:p>
          <w:p w14:paraId="173BF9BC" w14:textId="77777777" w:rsidR="004E6452" w:rsidRPr="001570EA" w:rsidRDefault="004E6452">
            <w:pPr>
              <w:pStyle w:val="TableCell"/>
              <w:jc w:val="center"/>
              <w:rPr>
                <w:szCs w:val="18"/>
              </w:rPr>
            </w:pPr>
          </w:p>
        </w:tc>
        <w:tc>
          <w:tcPr>
            <w:tcW w:w="1181" w:type="dxa"/>
            <w:tcBorders>
              <w:top w:val="single" w:sz="4" w:space="0" w:color="auto"/>
              <w:left w:val="single" w:sz="4" w:space="0" w:color="auto"/>
              <w:bottom w:val="single" w:sz="4" w:space="0" w:color="auto"/>
              <w:right w:val="single" w:sz="4" w:space="0" w:color="auto"/>
            </w:tcBorders>
            <w:vAlign w:val="center"/>
          </w:tcPr>
          <w:p w14:paraId="72E86122" w14:textId="77777777" w:rsidR="004E6452" w:rsidRPr="001570EA" w:rsidRDefault="004E6452">
            <w:pPr>
              <w:jc w:val="center"/>
              <w:rPr>
                <w:sz w:val="18"/>
                <w:szCs w:val="18"/>
              </w:rPr>
            </w:pPr>
            <w:r w:rsidRPr="001570EA">
              <w:rPr>
                <w:sz w:val="18"/>
                <w:szCs w:val="18"/>
              </w:rPr>
              <w:t>5</w:t>
            </w:r>
          </w:p>
        </w:tc>
      </w:tr>
    </w:tbl>
    <w:p w14:paraId="5E5624CB" w14:textId="77777777" w:rsidR="004E6452" w:rsidRPr="001570EA" w:rsidRDefault="004E6452" w:rsidP="004E6452">
      <w:pPr>
        <w:rPr>
          <w:rFonts w:eastAsiaTheme="minorHAnsi" w:cs="Arial"/>
        </w:rPr>
      </w:pPr>
    </w:p>
    <w:p w14:paraId="29CE681F" w14:textId="4BCA1389" w:rsidR="004E6452" w:rsidRPr="001570EA" w:rsidRDefault="004E6452" w:rsidP="004E6452">
      <w:pPr>
        <w:rPr>
          <w:rFonts w:cs="Arial"/>
          <w:vertAlign w:val="superscript"/>
        </w:rPr>
      </w:pPr>
      <w:r w:rsidRPr="001570EA">
        <w:rPr>
          <w:rFonts w:cs="Arial"/>
        </w:rPr>
        <w:t xml:space="preserve">ENERGY STAR qualified dishwashers must use less than or equal to the water and energy consumption values in </w:t>
      </w:r>
      <w:r w:rsidR="00EA4E90" w:rsidRPr="001570EA">
        <w:rPr>
          <w:rFonts w:cs="Arial"/>
        </w:rPr>
        <w:fldChar w:fldCharType="begin"/>
      </w:r>
      <w:r w:rsidR="00EA4E90" w:rsidRPr="001570EA">
        <w:rPr>
          <w:rFonts w:cs="Arial"/>
        </w:rPr>
        <w:instrText xml:space="preserve"> REF _Ref163828901 \h </w:instrText>
      </w:r>
      <w:r w:rsidR="001570EA">
        <w:rPr>
          <w:rFonts w:cs="Arial"/>
        </w:rPr>
        <w:instrText xml:space="preserve"> \* MERGEFORMAT </w:instrText>
      </w:r>
      <w:r w:rsidR="00EA4E90" w:rsidRPr="001570EA">
        <w:rPr>
          <w:rFonts w:cs="Arial"/>
        </w:rPr>
      </w:r>
      <w:r w:rsidR="00EA4E90" w:rsidRPr="001570EA">
        <w:rPr>
          <w:rFonts w:cs="Arial"/>
        </w:rPr>
        <w:fldChar w:fldCharType="separate"/>
      </w:r>
      <w:r w:rsidR="005B71B3" w:rsidRPr="001570EA">
        <w:t xml:space="preserve">Table </w:t>
      </w:r>
      <w:r w:rsidR="005B71B3" w:rsidRPr="001570EA">
        <w:rPr>
          <w:noProof/>
        </w:rPr>
        <w:t>2</w:t>
      </w:r>
      <w:r w:rsidR="005B71B3" w:rsidRPr="001570EA">
        <w:rPr>
          <w:noProof/>
        </w:rPr>
        <w:noBreakHyphen/>
        <w:t>112</w:t>
      </w:r>
      <w:r w:rsidR="00EA4E90" w:rsidRPr="001570EA">
        <w:rPr>
          <w:rFonts w:cs="Arial"/>
        </w:rPr>
        <w:fldChar w:fldCharType="end"/>
      </w:r>
      <w:r w:rsidR="00EF1AAE" w:rsidRPr="001570EA">
        <w:rPr>
          <w:rFonts w:cs="Arial"/>
        </w:rPr>
        <w:t xml:space="preserve"> and </w:t>
      </w:r>
      <w:r w:rsidR="00EF1AAE" w:rsidRPr="001570EA">
        <w:rPr>
          <w:rFonts w:cs="Arial"/>
        </w:rPr>
        <w:fldChar w:fldCharType="begin"/>
      </w:r>
      <w:r w:rsidR="00EF1AAE" w:rsidRPr="001570EA">
        <w:rPr>
          <w:rFonts w:cs="Arial"/>
        </w:rPr>
        <w:instrText xml:space="preserve"> REF _Ref532224779 \h </w:instrText>
      </w:r>
      <w:r w:rsidR="001570EA">
        <w:rPr>
          <w:rFonts w:cs="Arial"/>
        </w:rPr>
        <w:instrText xml:space="preserve"> \* MERGEFORMAT </w:instrText>
      </w:r>
      <w:r w:rsidR="00EF1AAE" w:rsidRPr="001570EA">
        <w:rPr>
          <w:rFonts w:cs="Arial"/>
        </w:rPr>
      </w:r>
      <w:r w:rsidR="00EF1AAE" w:rsidRPr="001570EA">
        <w:rPr>
          <w:rFonts w:cs="Arial"/>
        </w:rPr>
        <w:fldChar w:fldCharType="separate"/>
      </w:r>
      <w:r w:rsidR="005B71B3" w:rsidRPr="001570EA">
        <w:t xml:space="preserve">Table </w:t>
      </w:r>
      <w:r w:rsidR="005B71B3" w:rsidRPr="001570EA">
        <w:rPr>
          <w:noProof/>
        </w:rPr>
        <w:t>2</w:t>
      </w:r>
      <w:r w:rsidR="005B71B3" w:rsidRPr="001570EA">
        <w:rPr>
          <w:noProof/>
        </w:rPr>
        <w:noBreakHyphen/>
        <w:t>113</w:t>
      </w:r>
      <w:r w:rsidR="00EF1AAE" w:rsidRPr="001570EA">
        <w:rPr>
          <w:rFonts w:cs="Arial"/>
        </w:rPr>
        <w:fldChar w:fldCharType="end"/>
      </w:r>
      <w:r w:rsidRPr="001570EA">
        <w:rPr>
          <w:rFonts w:cs="Arial"/>
        </w:rPr>
        <w:t>. A standard sized dishwasher is defined as any dishwasher that can hold 8 or more place settings and at least six serving pieces while compact size dishwashers have a capacity less than eight place settings plus six serving pieces.</w:t>
      </w:r>
      <w:r w:rsidRPr="001570EA">
        <w:rPr>
          <w:rFonts w:cs="Arial"/>
          <w:vertAlign w:val="superscript"/>
        </w:rPr>
        <w:t>Source 6</w:t>
      </w:r>
    </w:p>
    <w:p w14:paraId="6E7D4813" w14:textId="77777777" w:rsidR="004E6452" w:rsidRPr="001570EA" w:rsidRDefault="004E6452" w:rsidP="004E6452">
      <w:pPr>
        <w:rPr>
          <w:rFonts w:cs="Arial"/>
        </w:rPr>
      </w:pPr>
    </w:p>
    <w:p w14:paraId="5742E06F" w14:textId="2088B9C2" w:rsidR="004E6452" w:rsidRPr="001570EA" w:rsidRDefault="004E6452" w:rsidP="004E6452">
      <w:pPr>
        <w:pStyle w:val="Table"/>
        <w:rPr>
          <w:szCs w:val="24"/>
        </w:rPr>
      </w:pPr>
      <w:bookmarkStart w:id="614" w:name="_Ref163828901"/>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112</w:t>
      </w:r>
      <w:r w:rsidR="002E093A" w:rsidRPr="001570EA">
        <w:fldChar w:fldCharType="end"/>
      </w:r>
      <w:bookmarkEnd w:id="614"/>
      <w:r w:rsidRPr="001570EA">
        <w:t>: Federal Standard and ENERGY STAR v 7.0 Residential Dishwasher Standard</w:t>
      </w:r>
    </w:p>
    <w:tbl>
      <w:tblPr>
        <w:tblW w:w="0" w:type="auto"/>
        <w:tblInd w:w="108" w:type="dxa"/>
        <w:tblLook w:val="04A0" w:firstRow="1" w:lastRow="0" w:firstColumn="1" w:lastColumn="0" w:noHBand="0" w:noVBand="1"/>
      </w:tblPr>
      <w:tblGrid>
        <w:gridCol w:w="1863"/>
        <w:gridCol w:w="1688"/>
        <w:gridCol w:w="1510"/>
        <w:gridCol w:w="1688"/>
        <w:gridCol w:w="1773"/>
      </w:tblGrid>
      <w:tr w:rsidR="004E6452" w:rsidRPr="001570EA" w14:paraId="45B79610" w14:textId="77777777">
        <w:trPr>
          <w:trHeight w:val="465"/>
        </w:trPr>
        <w:tc>
          <w:tcPr>
            <w:tcW w:w="189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A8F2F1" w14:textId="77777777" w:rsidR="004E6452" w:rsidRPr="001570EA" w:rsidRDefault="004E6452">
            <w:pPr>
              <w:rPr>
                <w:rFonts w:cs="Arial"/>
                <w:b/>
                <w:sz w:val="18"/>
                <w:szCs w:val="18"/>
              </w:rPr>
            </w:pPr>
            <w:r w:rsidRPr="001570EA">
              <w:rPr>
                <w:rFonts w:cs="Arial"/>
                <w:b/>
                <w:sz w:val="18"/>
                <w:szCs w:val="18"/>
              </w:rPr>
              <w:t>Product Type</w:t>
            </w:r>
          </w:p>
        </w:tc>
        <w:tc>
          <w:tcPr>
            <w:tcW w:w="32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7CE19D" w14:textId="77777777" w:rsidR="004E6452" w:rsidRPr="001570EA" w:rsidRDefault="004E6452">
            <w:pPr>
              <w:jc w:val="center"/>
              <w:rPr>
                <w:rFonts w:cs="Arial"/>
                <w:b/>
                <w:sz w:val="18"/>
                <w:szCs w:val="18"/>
              </w:rPr>
            </w:pPr>
            <w:r w:rsidRPr="001570EA">
              <w:rPr>
                <w:rFonts w:cs="Arial"/>
                <w:b/>
                <w:sz w:val="18"/>
                <w:szCs w:val="18"/>
              </w:rPr>
              <w:t>Federal Standard</w:t>
            </w:r>
            <w:r w:rsidRPr="001570EA">
              <w:rPr>
                <w:rFonts w:cs="Arial"/>
                <w:b/>
                <w:sz w:val="18"/>
                <w:szCs w:val="18"/>
                <w:vertAlign w:val="superscript"/>
              </w:rPr>
              <w:t>Source 2</w:t>
            </w:r>
          </w:p>
        </w:tc>
        <w:tc>
          <w:tcPr>
            <w:tcW w:w="351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E82A9C" w14:textId="77777777" w:rsidR="004E6452" w:rsidRPr="001570EA" w:rsidRDefault="004E6452">
            <w:pPr>
              <w:jc w:val="center"/>
              <w:rPr>
                <w:rFonts w:cs="Arial"/>
                <w:b/>
                <w:sz w:val="18"/>
                <w:szCs w:val="18"/>
              </w:rPr>
            </w:pPr>
            <w:r w:rsidRPr="001570EA">
              <w:rPr>
                <w:rFonts w:cs="Arial"/>
                <w:b/>
                <w:sz w:val="18"/>
                <w:szCs w:val="18"/>
              </w:rPr>
              <w:t>ENERGY STAR v 7.0</w:t>
            </w:r>
            <w:r w:rsidRPr="001570EA">
              <w:rPr>
                <w:rFonts w:cs="Arial"/>
                <w:b/>
                <w:sz w:val="18"/>
                <w:szCs w:val="18"/>
                <w:vertAlign w:val="superscript"/>
              </w:rPr>
              <w:t>Source 4</w:t>
            </w:r>
          </w:p>
        </w:tc>
      </w:tr>
      <w:tr w:rsidR="004E6452" w:rsidRPr="001570EA" w14:paraId="70DBE510" w14:textId="77777777">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04B32A" w14:textId="77777777" w:rsidR="004E6452" w:rsidRPr="001570EA" w:rsidRDefault="004E6452">
            <w:pPr>
              <w:rPr>
                <w:rFonts w:cs="Arial"/>
                <w:b/>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5A1372" w14:textId="77777777" w:rsidR="004E6452" w:rsidRPr="001570EA" w:rsidRDefault="004E6452">
            <w:pPr>
              <w:jc w:val="center"/>
              <w:rPr>
                <w:rFonts w:cs="Arial"/>
                <w:b/>
                <w:sz w:val="18"/>
                <w:szCs w:val="18"/>
              </w:rPr>
            </w:pPr>
            <w:r w:rsidRPr="001570EA">
              <w:rPr>
                <w:rFonts w:cs="Arial"/>
                <w:b/>
                <w:sz w:val="18"/>
                <w:szCs w:val="18"/>
              </w:rPr>
              <w:t>Water</w:t>
            </w:r>
          </w:p>
          <w:p w14:paraId="34A8D74E" w14:textId="77777777" w:rsidR="004E6452" w:rsidRPr="001570EA" w:rsidRDefault="004E6452">
            <w:pPr>
              <w:jc w:val="center"/>
              <w:rPr>
                <w:rFonts w:cs="Arial"/>
                <w:b/>
                <w:sz w:val="18"/>
                <w:szCs w:val="18"/>
              </w:rPr>
            </w:pPr>
            <w:r w:rsidRPr="001570EA">
              <w:rPr>
                <w:rFonts w:cs="Arial"/>
                <w:b/>
                <w:sz w:val="18"/>
                <w:szCs w:val="18"/>
              </w:rPr>
              <w:t>(gallons per cycle)</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588B79" w14:textId="77777777" w:rsidR="004E6452" w:rsidRPr="001570EA" w:rsidRDefault="004E6452">
            <w:pPr>
              <w:jc w:val="center"/>
              <w:rPr>
                <w:rFonts w:cs="Arial"/>
                <w:b/>
                <w:sz w:val="18"/>
                <w:szCs w:val="18"/>
              </w:rPr>
            </w:pPr>
            <w:r w:rsidRPr="001570EA">
              <w:rPr>
                <w:rFonts w:cs="Arial"/>
                <w:b/>
                <w:sz w:val="18"/>
                <w:szCs w:val="18"/>
              </w:rPr>
              <w:t>Energy</w:t>
            </w:r>
          </w:p>
          <w:p w14:paraId="7BEB8D60" w14:textId="77777777" w:rsidR="004E6452" w:rsidRPr="001570EA" w:rsidRDefault="004E6452">
            <w:pPr>
              <w:jc w:val="center"/>
              <w:rPr>
                <w:rFonts w:cs="Arial"/>
                <w:b/>
                <w:sz w:val="18"/>
                <w:szCs w:val="18"/>
              </w:rPr>
            </w:pPr>
            <w:r w:rsidRPr="001570EA">
              <w:rPr>
                <w:rFonts w:cs="Arial"/>
                <w:b/>
                <w:sz w:val="18"/>
                <w:szCs w:val="18"/>
              </w:rPr>
              <w:t>(kWh per year)</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9B95B6" w14:textId="77777777" w:rsidR="004E6452" w:rsidRPr="001570EA" w:rsidRDefault="004E6452">
            <w:pPr>
              <w:jc w:val="center"/>
              <w:rPr>
                <w:rFonts w:cs="Arial"/>
                <w:b/>
                <w:sz w:val="18"/>
                <w:szCs w:val="18"/>
              </w:rPr>
            </w:pPr>
            <w:r w:rsidRPr="001570EA">
              <w:rPr>
                <w:rFonts w:cs="Arial"/>
                <w:b/>
                <w:sz w:val="18"/>
                <w:szCs w:val="18"/>
              </w:rPr>
              <w:t>Water</w:t>
            </w:r>
          </w:p>
          <w:p w14:paraId="69CB2814" w14:textId="77777777" w:rsidR="004E6452" w:rsidRPr="001570EA" w:rsidRDefault="004E6452">
            <w:pPr>
              <w:jc w:val="center"/>
              <w:rPr>
                <w:rFonts w:cs="Arial"/>
                <w:b/>
                <w:sz w:val="18"/>
                <w:szCs w:val="18"/>
              </w:rPr>
            </w:pPr>
            <w:r w:rsidRPr="001570EA">
              <w:rPr>
                <w:rFonts w:cs="Arial"/>
                <w:b/>
                <w:sz w:val="18"/>
                <w:szCs w:val="18"/>
              </w:rPr>
              <w:t>(gallons per cycle)</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CD739D" w14:textId="77777777" w:rsidR="004E6452" w:rsidRPr="001570EA" w:rsidRDefault="004E6452">
            <w:pPr>
              <w:jc w:val="center"/>
              <w:rPr>
                <w:rFonts w:cs="Arial"/>
                <w:b/>
                <w:sz w:val="18"/>
                <w:szCs w:val="18"/>
              </w:rPr>
            </w:pPr>
            <w:r w:rsidRPr="001570EA">
              <w:rPr>
                <w:rFonts w:cs="Arial"/>
                <w:b/>
                <w:sz w:val="18"/>
                <w:szCs w:val="18"/>
              </w:rPr>
              <w:t>Energy</w:t>
            </w:r>
          </w:p>
          <w:p w14:paraId="31D91A8A" w14:textId="77777777" w:rsidR="004E6452" w:rsidRPr="001570EA" w:rsidRDefault="004E6452">
            <w:pPr>
              <w:jc w:val="center"/>
              <w:rPr>
                <w:rFonts w:cs="Arial"/>
                <w:b/>
                <w:sz w:val="18"/>
                <w:szCs w:val="18"/>
              </w:rPr>
            </w:pPr>
            <w:r w:rsidRPr="001570EA">
              <w:rPr>
                <w:rFonts w:cs="Arial"/>
                <w:b/>
                <w:sz w:val="18"/>
                <w:szCs w:val="18"/>
              </w:rPr>
              <w:t>(kWh per year)</w:t>
            </w:r>
          </w:p>
        </w:tc>
      </w:tr>
      <w:tr w:rsidR="004E6452" w:rsidRPr="001570EA" w14:paraId="19C944D8" w14:textId="77777777">
        <w:trPr>
          <w:trHeight w:hRule="exact" w:val="576"/>
        </w:trPr>
        <w:tc>
          <w:tcPr>
            <w:tcW w:w="1890" w:type="dxa"/>
            <w:tcBorders>
              <w:top w:val="single" w:sz="4" w:space="0" w:color="auto"/>
              <w:left w:val="single" w:sz="4" w:space="0" w:color="auto"/>
              <w:bottom w:val="single" w:sz="4" w:space="0" w:color="auto"/>
              <w:right w:val="single" w:sz="4" w:space="0" w:color="auto"/>
            </w:tcBorders>
            <w:vAlign w:val="center"/>
            <w:hideMark/>
          </w:tcPr>
          <w:p w14:paraId="3EEF9B36" w14:textId="77777777" w:rsidR="004E6452" w:rsidRPr="001570EA" w:rsidRDefault="004E6452">
            <w:pPr>
              <w:spacing w:line="360" w:lineRule="auto"/>
              <w:rPr>
                <w:rFonts w:cs="Arial"/>
                <w:sz w:val="18"/>
                <w:szCs w:val="18"/>
              </w:rPr>
            </w:pPr>
            <w:r w:rsidRPr="001570EA">
              <w:rPr>
                <w:rFonts w:cs="Arial"/>
                <w:sz w:val="18"/>
                <w:szCs w:val="18"/>
              </w:rPr>
              <w:t>Standard</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9223EF6" w14:textId="77777777" w:rsidR="004E6452" w:rsidRPr="001570EA" w:rsidRDefault="004E6452">
            <w:pPr>
              <w:spacing w:line="360" w:lineRule="auto"/>
              <w:jc w:val="center"/>
              <w:rPr>
                <w:rFonts w:cs="Arial"/>
                <w:sz w:val="18"/>
                <w:szCs w:val="18"/>
              </w:rPr>
            </w:pPr>
            <w:r w:rsidRPr="001570EA">
              <w:rPr>
                <w:rFonts w:cs="Arial"/>
                <w:sz w:val="18"/>
                <w:szCs w:val="18"/>
              </w:rPr>
              <w:t>≤ 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1D61CC4" w14:textId="77777777" w:rsidR="004E6452" w:rsidRPr="001570EA" w:rsidRDefault="004E6452">
            <w:pPr>
              <w:spacing w:line="360" w:lineRule="auto"/>
              <w:jc w:val="center"/>
              <w:rPr>
                <w:rFonts w:cs="Arial"/>
                <w:sz w:val="18"/>
                <w:szCs w:val="18"/>
              </w:rPr>
            </w:pPr>
            <w:r w:rsidRPr="001570EA">
              <w:rPr>
                <w:rFonts w:cs="Arial"/>
                <w:sz w:val="18"/>
                <w:szCs w:val="18"/>
              </w:rPr>
              <w:t>≤ 307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E1A43ED" w14:textId="77777777" w:rsidR="004E6452" w:rsidRPr="001570EA" w:rsidRDefault="004E6452">
            <w:pPr>
              <w:spacing w:line="360" w:lineRule="auto"/>
              <w:jc w:val="center"/>
              <w:rPr>
                <w:rFonts w:cs="Arial"/>
                <w:sz w:val="18"/>
                <w:szCs w:val="18"/>
              </w:rPr>
            </w:pPr>
            <w:r w:rsidRPr="001570EA">
              <w:rPr>
                <w:rFonts w:cs="Arial"/>
                <w:sz w:val="18"/>
                <w:szCs w:val="18"/>
              </w:rPr>
              <w:t xml:space="preserve"> ≤ 3.2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ACA1D6" w14:textId="77777777" w:rsidR="004E6452" w:rsidRPr="001570EA" w:rsidRDefault="004E6452">
            <w:pPr>
              <w:spacing w:line="360" w:lineRule="auto"/>
              <w:jc w:val="center"/>
              <w:rPr>
                <w:rFonts w:cs="Arial"/>
                <w:sz w:val="18"/>
                <w:szCs w:val="18"/>
              </w:rPr>
            </w:pPr>
            <w:r w:rsidRPr="001570EA">
              <w:rPr>
                <w:rFonts w:cs="Arial"/>
                <w:sz w:val="18"/>
                <w:szCs w:val="18"/>
              </w:rPr>
              <w:t>≤ 240</w:t>
            </w:r>
          </w:p>
        </w:tc>
      </w:tr>
      <w:tr w:rsidR="004E6452" w:rsidRPr="001570EA" w14:paraId="11364520" w14:textId="77777777">
        <w:trPr>
          <w:trHeight w:hRule="exact" w:val="576"/>
        </w:trPr>
        <w:tc>
          <w:tcPr>
            <w:tcW w:w="1890" w:type="dxa"/>
            <w:tcBorders>
              <w:top w:val="single" w:sz="4" w:space="0" w:color="auto"/>
              <w:left w:val="single" w:sz="4" w:space="0" w:color="auto"/>
              <w:bottom w:val="single" w:sz="4" w:space="0" w:color="auto"/>
              <w:right w:val="single" w:sz="4" w:space="0" w:color="auto"/>
            </w:tcBorders>
            <w:vAlign w:val="center"/>
          </w:tcPr>
          <w:p w14:paraId="5962CB7D" w14:textId="77777777" w:rsidR="004E6452" w:rsidRPr="001570EA" w:rsidRDefault="004E6452">
            <w:pPr>
              <w:spacing w:line="360" w:lineRule="auto"/>
              <w:rPr>
                <w:rFonts w:cs="Arial"/>
                <w:sz w:val="18"/>
                <w:szCs w:val="18"/>
              </w:rPr>
            </w:pPr>
            <w:r w:rsidRPr="001570EA">
              <w:rPr>
                <w:rFonts w:cs="Arial"/>
                <w:sz w:val="18"/>
                <w:szCs w:val="18"/>
              </w:rPr>
              <w:t>Compact</w:t>
            </w:r>
          </w:p>
        </w:tc>
        <w:tc>
          <w:tcPr>
            <w:tcW w:w="1710" w:type="dxa"/>
            <w:tcBorders>
              <w:top w:val="single" w:sz="4" w:space="0" w:color="auto"/>
              <w:left w:val="single" w:sz="4" w:space="0" w:color="auto"/>
              <w:bottom w:val="single" w:sz="4" w:space="0" w:color="auto"/>
              <w:right w:val="single" w:sz="4" w:space="0" w:color="auto"/>
            </w:tcBorders>
            <w:vAlign w:val="center"/>
          </w:tcPr>
          <w:p w14:paraId="3E255D04" w14:textId="77777777" w:rsidR="004E6452" w:rsidRPr="001570EA" w:rsidRDefault="004E6452">
            <w:pPr>
              <w:spacing w:line="360" w:lineRule="auto"/>
              <w:jc w:val="center"/>
              <w:rPr>
                <w:rFonts w:cs="Arial"/>
                <w:sz w:val="18"/>
                <w:szCs w:val="18"/>
              </w:rPr>
            </w:pPr>
            <w:r w:rsidRPr="001570EA">
              <w:rPr>
                <w:rFonts w:cs="Arial"/>
                <w:sz w:val="18"/>
                <w:szCs w:val="18"/>
              </w:rPr>
              <w:t>≤ 3.5</w:t>
            </w:r>
          </w:p>
        </w:tc>
        <w:tc>
          <w:tcPr>
            <w:tcW w:w="1530" w:type="dxa"/>
            <w:tcBorders>
              <w:top w:val="single" w:sz="4" w:space="0" w:color="auto"/>
              <w:left w:val="single" w:sz="4" w:space="0" w:color="auto"/>
              <w:bottom w:val="single" w:sz="4" w:space="0" w:color="auto"/>
              <w:right w:val="single" w:sz="4" w:space="0" w:color="auto"/>
            </w:tcBorders>
            <w:vAlign w:val="center"/>
          </w:tcPr>
          <w:p w14:paraId="3A6E3DCB" w14:textId="77777777" w:rsidR="004E6452" w:rsidRPr="001570EA" w:rsidRDefault="004E6452">
            <w:pPr>
              <w:spacing w:line="360" w:lineRule="auto"/>
              <w:jc w:val="center"/>
              <w:rPr>
                <w:rFonts w:cs="Arial"/>
                <w:sz w:val="18"/>
                <w:szCs w:val="18"/>
              </w:rPr>
            </w:pPr>
            <w:r w:rsidRPr="001570EA">
              <w:rPr>
                <w:rFonts w:cs="Arial"/>
                <w:sz w:val="18"/>
                <w:szCs w:val="18"/>
              </w:rPr>
              <w:t>≤ 222</w:t>
            </w:r>
          </w:p>
        </w:tc>
        <w:tc>
          <w:tcPr>
            <w:tcW w:w="1710" w:type="dxa"/>
            <w:tcBorders>
              <w:top w:val="single" w:sz="4" w:space="0" w:color="auto"/>
              <w:left w:val="single" w:sz="4" w:space="0" w:color="auto"/>
              <w:bottom w:val="single" w:sz="4" w:space="0" w:color="auto"/>
              <w:right w:val="single" w:sz="4" w:space="0" w:color="auto"/>
            </w:tcBorders>
            <w:vAlign w:val="center"/>
          </w:tcPr>
          <w:p w14:paraId="32455855" w14:textId="77777777" w:rsidR="004E6452" w:rsidRPr="001570EA" w:rsidRDefault="004E6452">
            <w:pPr>
              <w:spacing w:line="360" w:lineRule="auto"/>
              <w:jc w:val="center"/>
              <w:rPr>
                <w:rFonts w:cs="Arial"/>
                <w:sz w:val="18"/>
                <w:szCs w:val="18"/>
              </w:rPr>
            </w:pPr>
            <w:r w:rsidRPr="001570EA">
              <w:rPr>
                <w:rFonts w:cs="Arial"/>
                <w:sz w:val="18"/>
                <w:szCs w:val="18"/>
              </w:rPr>
              <w:t xml:space="preserve"> ≤ 2.0 </w:t>
            </w:r>
          </w:p>
        </w:tc>
        <w:tc>
          <w:tcPr>
            <w:tcW w:w="1800" w:type="dxa"/>
            <w:tcBorders>
              <w:top w:val="single" w:sz="4" w:space="0" w:color="auto"/>
              <w:left w:val="single" w:sz="4" w:space="0" w:color="auto"/>
              <w:bottom w:val="single" w:sz="4" w:space="0" w:color="auto"/>
              <w:right w:val="single" w:sz="4" w:space="0" w:color="auto"/>
            </w:tcBorders>
            <w:vAlign w:val="center"/>
          </w:tcPr>
          <w:p w14:paraId="295A8893" w14:textId="77777777" w:rsidR="004E6452" w:rsidRPr="001570EA" w:rsidRDefault="004E6452">
            <w:pPr>
              <w:spacing w:line="360" w:lineRule="auto"/>
              <w:jc w:val="center"/>
              <w:rPr>
                <w:rFonts w:cs="Arial"/>
                <w:sz w:val="18"/>
                <w:szCs w:val="18"/>
              </w:rPr>
            </w:pPr>
            <w:r w:rsidRPr="001570EA">
              <w:rPr>
                <w:rFonts w:cs="Arial"/>
                <w:sz w:val="18"/>
                <w:szCs w:val="18"/>
              </w:rPr>
              <w:t>≤ 155</w:t>
            </w:r>
          </w:p>
        </w:tc>
      </w:tr>
    </w:tbl>
    <w:p w14:paraId="6A06884E" w14:textId="77777777" w:rsidR="004E6452" w:rsidRPr="001570EA" w:rsidRDefault="004E6452" w:rsidP="004E6452">
      <w:pPr>
        <w:rPr>
          <w:rFonts w:eastAsiaTheme="minorHAnsi"/>
        </w:rPr>
      </w:pPr>
    </w:p>
    <w:p w14:paraId="17A81492" w14:textId="4765DBA0" w:rsidR="004E6452" w:rsidRPr="001570EA" w:rsidRDefault="004E6452" w:rsidP="004E6452">
      <w:pPr>
        <w:rPr>
          <w:rFonts w:eastAsiaTheme="minorHAnsi"/>
        </w:rPr>
      </w:pPr>
      <w:r w:rsidRPr="001570EA">
        <w:rPr>
          <w:rFonts w:eastAsiaTheme="minorHAnsi"/>
        </w:rPr>
        <w:t xml:space="preserve">The default savings values for electric and non-electric water heating and the default fuel mix from </w:t>
      </w:r>
      <w:r w:rsidRPr="001570EA">
        <w:fldChar w:fldCharType="begin"/>
      </w:r>
      <w:r w:rsidRPr="001570EA">
        <w:rPr>
          <w:rFonts w:eastAsiaTheme="minorHAnsi"/>
        </w:rPr>
        <w:instrText xml:space="preserve"> REF _Ref532224779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Pr="001570EA">
        <w:fldChar w:fldCharType="end"/>
      </w:r>
      <w:r w:rsidRPr="001570EA">
        <w:rPr>
          <w:rFonts w:eastAsiaTheme="minorHAnsi"/>
        </w:rPr>
        <w:t xml:space="preserve">. Note that default savings for standard and compact dishwashers are the same because the difference in consumption between the baseline and efficient models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szCs w:val="20"/>
                  </w:rPr>
                  <m:t>kWh</m:t>
                </m:r>
              </m:e>
              <m:sub>
                <m:r>
                  <w:rPr>
                    <w:rFonts w:ascii="Cambria Math" w:hAnsi="Cambria Math" w:cs="Arial"/>
                    <w:szCs w:val="20"/>
                  </w:rPr>
                  <m:t>base</m:t>
                </m:r>
              </m:sub>
            </m:sSub>
            <m:r>
              <w:rPr>
                <w:rFonts w:ascii="Cambria Math" w:hAnsi="Cambria Math" w:cs="Arial"/>
                <w:szCs w:val="20"/>
              </w:rPr>
              <m:t>-</m:t>
            </m:r>
            <m:sSub>
              <m:sSubPr>
                <m:ctrlPr>
                  <w:rPr>
                    <w:rFonts w:ascii="Cambria Math" w:hAnsi="Cambria Math" w:cs="Arial"/>
                    <w:i/>
                  </w:rPr>
                </m:ctrlPr>
              </m:sSubPr>
              <m:e>
                <m:r>
                  <w:rPr>
                    <w:rFonts w:ascii="Cambria Math" w:hAnsi="Cambria Math" w:cs="Arial"/>
                    <w:szCs w:val="20"/>
                  </w:rPr>
                  <m:t>kWh</m:t>
                </m:r>
                <m:ctrlPr>
                  <w:rPr>
                    <w:rFonts w:ascii="Cambria Math" w:hAnsi="Cambria Math" w:cs="Arial"/>
                    <w:i/>
                    <w:szCs w:val="20"/>
                  </w:rPr>
                </m:ctrlPr>
              </m:e>
              <m:sub>
                <m:r>
                  <w:rPr>
                    <w:rFonts w:ascii="Cambria Math" w:hAnsi="Cambria Math" w:cs="Arial"/>
                    <w:szCs w:val="20"/>
                  </w:rPr>
                  <m:t>ee</m:t>
                </m:r>
              </m:sub>
            </m:sSub>
          </m:e>
        </m:d>
      </m:oMath>
      <w:r w:rsidRPr="001570EA">
        <w:rPr>
          <w:rFonts w:eastAsiaTheme="minorEastAsia"/>
        </w:rPr>
        <w:t xml:space="preserve"> </w:t>
      </w:r>
      <w:r w:rsidRPr="001570EA">
        <w:rPr>
          <w:rFonts w:eastAsiaTheme="minorHAnsi"/>
        </w:rPr>
        <w:t>is the same (67 kwh).</w:t>
      </w:r>
    </w:p>
    <w:p w14:paraId="2629DEA9" w14:textId="77777777" w:rsidR="004E6452" w:rsidRPr="001570EA" w:rsidRDefault="004E6452" w:rsidP="004E6452">
      <w:pPr>
        <w:rPr>
          <w:rFonts w:eastAsiaTheme="minorHAnsi" w:cs="Arial"/>
        </w:rPr>
      </w:pPr>
    </w:p>
    <w:p w14:paraId="2F4FC706" w14:textId="1829D023" w:rsidR="004E6452" w:rsidRPr="001570EA" w:rsidRDefault="004E6452" w:rsidP="004E6452">
      <w:pPr>
        <w:pStyle w:val="Caption"/>
        <w:rPr>
          <w:rFonts w:cs="Arial"/>
          <w:szCs w:val="24"/>
        </w:rPr>
      </w:pPr>
      <w:bookmarkStart w:id="615" w:name="_Ref532224779"/>
      <w:bookmarkStart w:id="616" w:name="_Toc530141757"/>
      <w:bookmarkStart w:id="617" w:name="_Toc4759833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113</w:t>
      </w:r>
      <w:r w:rsidR="002E093A" w:rsidRPr="001570EA">
        <w:fldChar w:fldCharType="end"/>
      </w:r>
      <w:bookmarkEnd w:id="615"/>
      <w:r w:rsidRPr="001570EA">
        <w:t>: Default Dishwasher Energy Savings</w:t>
      </w:r>
      <w:bookmarkEnd w:id="616"/>
      <w:bookmarkEnd w:id="617"/>
      <w:r w:rsidRPr="001570EA">
        <w:t xml:space="preserve"> (Standard and Compact)</w:t>
      </w:r>
    </w:p>
    <w:tbl>
      <w:tblPr>
        <w:tblW w:w="0" w:type="auto"/>
        <w:tblInd w:w="108" w:type="dxa"/>
        <w:tblLook w:val="04A0" w:firstRow="1" w:lastRow="0" w:firstColumn="1" w:lastColumn="0" w:noHBand="0" w:noVBand="1"/>
      </w:tblPr>
      <w:tblGrid>
        <w:gridCol w:w="2047"/>
        <w:gridCol w:w="2522"/>
        <w:gridCol w:w="2221"/>
        <w:gridCol w:w="1732"/>
      </w:tblGrid>
      <w:tr w:rsidR="004E6452" w:rsidRPr="001570EA" w14:paraId="447E59B1" w14:textId="77777777">
        <w:trPr>
          <w:trHeight w:val="323"/>
        </w:trPr>
        <w:tc>
          <w:tcPr>
            <w:tcW w:w="20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292EB8D" w14:textId="77777777" w:rsidR="004E6452" w:rsidRPr="001570EA" w:rsidRDefault="004E6452">
            <w:pPr>
              <w:rPr>
                <w:rFonts w:cs="Arial"/>
                <w:b/>
                <w:sz w:val="18"/>
              </w:rPr>
            </w:pPr>
            <w:r w:rsidRPr="001570EA">
              <w:rPr>
                <w:rFonts w:cs="Arial"/>
                <w:b/>
                <w:sz w:val="18"/>
              </w:rPr>
              <w:t>Water Heating</w:t>
            </w:r>
          </w:p>
        </w:tc>
        <w:tc>
          <w:tcPr>
            <w:tcW w:w="25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96346CD" w14:textId="77777777" w:rsidR="004E6452" w:rsidRPr="001570EA" w:rsidRDefault="004E6452">
            <w:pPr>
              <w:jc w:val="center"/>
              <w:rPr>
                <w:rFonts w:cs="Arial"/>
                <w:b/>
                <w:sz w:val="18"/>
              </w:rPr>
            </w:pPr>
            <m:oMathPara>
              <m:oMath>
                <m:r>
                  <m:rPr>
                    <m:sty m:val="bi"/>
                  </m:rPr>
                  <w:rPr>
                    <w:rFonts w:ascii="Cambria Math" w:hAnsi="Cambria Math" w:cs="Arial"/>
                    <w:sz w:val="18"/>
                  </w:rPr>
                  <m:t>∆</m:t>
                </m:r>
                <m:f>
                  <m:fPr>
                    <m:type m:val="lin"/>
                    <m:ctrlPr>
                      <w:rPr>
                        <w:rFonts w:ascii="Cambria Math" w:hAnsi="Cambria Math" w:cs="Arial"/>
                        <w:b/>
                        <w:i/>
                        <w:sz w:val="18"/>
                        <w:szCs w:val="18"/>
                      </w:rPr>
                    </m:ctrlPr>
                  </m:fPr>
                  <m:num>
                    <m:r>
                      <m:rPr>
                        <m:sty m:val="bi"/>
                      </m:rPr>
                      <w:rPr>
                        <w:rFonts w:ascii="Cambria Math" w:hAnsi="Cambria Math" w:cs="Arial"/>
                        <w:sz w:val="18"/>
                      </w:rPr>
                      <m:t>kWh</m:t>
                    </m:r>
                  </m:num>
                  <m:den>
                    <m:r>
                      <m:rPr>
                        <m:sty m:val="bi"/>
                      </m:rPr>
                      <w:rPr>
                        <w:rFonts w:ascii="Cambria Math" w:hAnsi="Cambria Math" w:cs="Arial"/>
                        <w:sz w:val="18"/>
                      </w:rPr>
                      <m:t>yr</m:t>
                    </m:r>
                  </m:den>
                </m:f>
              </m:oMath>
            </m:oMathPara>
          </w:p>
        </w:tc>
        <w:tc>
          <w:tcPr>
            <w:tcW w:w="22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0A02AB8" w14:textId="77777777" w:rsidR="004E6452" w:rsidRPr="001570EA" w:rsidRDefault="004E6452">
            <w:pPr>
              <w:jc w:val="center"/>
              <w:rPr>
                <w:rFonts w:cs="Arial"/>
                <w:b/>
                <w:sz w:val="18"/>
              </w:rPr>
            </w:pPr>
            <m:oMathPara>
              <m:oMath>
                <m:r>
                  <m:rPr>
                    <m:sty m:val="bi"/>
                  </m:rPr>
                  <w:rPr>
                    <w:rFonts w:ascii="Cambria Math" w:hAnsi="Cambria Math" w:cs="Arial"/>
                    <w:sz w:val="18"/>
                  </w:rPr>
                  <m:t>∆</m:t>
                </m:r>
                <m:sSub>
                  <m:sSubPr>
                    <m:ctrlPr>
                      <w:rPr>
                        <w:rFonts w:ascii="Cambria Math" w:hAnsi="Cambria Math" w:cs="Arial"/>
                        <w:b/>
                        <w:i/>
                        <w:sz w:val="18"/>
                        <w:szCs w:val="18"/>
                      </w:rPr>
                    </m:ctrlPr>
                  </m:sSubPr>
                  <m:e>
                    <m:r>
                      <m:rPr>
                        <m:sty m:val="bi"/>
                      </m:rPr>
                      <w:rPr>
                        <w:rFonts w:ascii="Cambria Math" w:hAnsi="Cambria Math" w:cs="Arial"/>
                        <w:sz w:val="18"/>
                      </w:rPr>
                      <m:t>kW</m:t>
                    </m:r>
                  </m:e>
                  <m:sub>
                    <m:r>
                      <m:rPr>
                        <m:sty m:val="bi"/>
                      </m:rPr>
                      <w:rPr>
                        <w:rFonts w:ascii="Cambria Math" w:hAnsi="Cambria Math" w:cs="Arial"/>
                        <w:sz w:val="18"/>
                      </w:rPr>
                      <m:t>summer peak</m:t>
                    </m:r>
                  </m:sub>
                </m:sSub>
              </m:oMath>
            </m:oMathPara>
          </w:p>
        </w:tc>
        <w:tc>
          <w:tcPr>
            <w:tcW w:w="17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93C59C" w14:textId="77777777" w:rsidR="004E6452" w:rsidRPr="001570EA" w:rsidRDefault="004E6452">
            <w:pPr>
              <w:jc w:val="center"/>
              <w:rPr>
                <w:rFonts w:cs="Arial"/>
                <w:b/>
                <w:sz w:val="18"/>
              </w:rPr>
            </w:pPr>
          </w:p>
          <w:p w14:paraId="7F10D9BE" w14:textId="77777777" w:rsidR="004E6452" w:rsidRPr="001570EA" w:rsidRDefault="004E6452">
            <w:pPr>
              <w:jc w:val="center"/>
              <w:rPr>
                <w:b/>
                <w:sz w:val="18"/>
              </w:rPr>
            </w:pPr>
            <m:oMathPara>
              <m:oMath>
                <m:r>
                  <m:rPr>
                    <m:sty m:val="bi"/>
                  </m:rPr>
                  <w:rPr>
                    <w:rFonts w:ascii="Cambria Math" w:hAnsi="Cambria Math" w:cs="Arial"/>
                    <w:sz w:val="18"/>
                  </w:rPr>
                  <m:t>∆</m:t>
                </m:r>
                <m:sSub>
                  <m:sSubPr>
                    <m:ctrlPr>
                      <w:rPr>
                        <w:rFonts w:ascii="Cambria Math" w:hAnsi="Cambria Math" w:cs="Arial"/>
                        <w:b/>
                        <w:i/>
                        <w:sz w:val="18"/>
                        <w:szCs w:val="18"/>
                      </w:rPr>
                    </m:ctrlPr>
                  </m:sSubPr>
                  <m:e>
                    <m:r>
                      <m:rPr>
                        <m:sty m:val="bi"/>
                      </m:rPr>
                      <w:rPr>
                        <w:rFonts w:ascii="Cambria Math" w:hAnsi="Cambria Math" w:cs="Arial"/>
                        <w:sz w:val="18"/>
                      </w:rPr>
                      <m:t>kW</m:t>
                    </m:r>
                  </m:e>
                  <m:sub>
                    <m:r>
                      <m:rPr>
                        <m:sty m:val="bi"/>
                      </m:rPr>
                      <w:rPr>
                        <w:rFonts w:ascii="Cambria Math" w:hAnsi="Cambria Math" w:cs="Arial"/>
                        <w:sz w:val="18"/>
                      </w:rPr>
                      <m:t>winter peak</m:t>
                    </m:r>
                  </m:sub>
                </m:sSub>
              </m:oMath>
            </m:oMathPara>
          </w:p>
        </w:tc>
      </w:tr>
      <w:tr w:rsidR="004E6452" w:rsidRPr="001570EA" w14:paraId="3246F563" w14:textId="77777777">
        <w:trPr>
          <w:trHeight w:val="288"/>
        </w:trPr>
        <w:tc>
          <w:tcPr>
            <w:tcW w:w="2047" w:type="dxa"/>
            <w:tcBorders>
              <w:top w:val="single" w:sz="4" w:space="0" w:color="auto"/>
              <w:left w:val="single" w:sz="4" w:space="0" w:color="auto"/>
              <w:bottom w:val="single" w:sz="4" w:space="0" w:color="auto"/>
              <w:right w:val="single" w:sz="4" w:space="0" w:color="auto"/>
            </w:tcBorders>
            <w:vAlign w:val="center"/>
            <w:hideMark/>
          </w:tcPr>
          <w:p w14:paraId="3E43A4F5" w14:textId="77777777" w:rsidR="004E6452" w:rsidRPr="001570EA" w:rsidRDefault="004E6452">
            <w:pPr>
              <w:rPr>
                <w:rFonts w:cs="Arial"/>
                <w:sz w:val="18"/>
              </w:rPr>
            </w:pPr>
            <w:r w:rsidRPr="001570EA">
              <w:rPr>
                <w:rFonts w:cs="Arial"/>
                <w:sz w:val="18"/>
              </w:rPr>
              <w:t>Electric (%Electric</w:t>
            </w:r>
            <w:r w:rsidRPr="001570EA">
              <w:rPr>
                <w:rFonts w:cs="Arial"/>
                <w:sz w:val="18"/>
                <w:vertAlign w:val="subscript"/>
              </w:rPr>
              <w:t xml:space="preserve">DHW = </w:t>
            </w:r>
            <w:r w:rsidRPr="001570EA">
              <w:rPr>
                <w:rFonts w:cs="Arial"/>
                <w:sz w:val="18"/>
              </w:rPr>
              <w:t>100%)</w:t>
            </w:r>
          </w:p>
        </w:tc>
        <w:tc>
          <w:tcPr>
            <w:tcW w:w="2522" w:type="dxa"/>
            <w:tcBorders>
              <w:top w:val="single" w:sz="4" w:space="0" w:color="auto"/>
              <w:left w:val="single" w:sz="4" w:space="0" w:color="auto"/>
              <w:bottom w:val="single" w:sz="4" w:space="0" w:color="auto"/>
              <w:right w:val="single" w:sz="4" w:space="0" w:color="auto"/>
            </w:tcBorders>
            <w:vAlign w:val="bottom"/>
            <w:hideMark/>
          </w:tcPr>
          <w:p w14:paraId="441C13AF" w14:textId="77777777" w:rsidR="004E6452" w:rsidRPr="001570EA" w:rsidRDefault="004E6452">
            <w:pPr>
              <w:spacing w:line="360" w:lineRule="auto"/>
              <w:jc w:val="center"/>
              <w:rPr>
                <w:rFonts w:cs="Arial"/>
                <w:sz w:val="18"/>
                <w:szCs w:val="18"/>
              </w:rPr>
            </w:pPr>
            <w:r w:rsidRPr="001570EA">
              <w:rPr>
                <w:rFonts w:cs="Arial"/>
                <w:sz w:val="18"/>
                <w:szCs w:val="18"/>
              </w:rPr>
              <w:t>67.0</w:t>
            </w:r>
          </w:p>
        </w:tc>
        <w:tc>
          <w:tcPr>
            <w:tcW w:w="2221" w:type="dxa"/>
            <w:tcBorders>
              <w:top w:val="single" w:sz="4" w:space="0" w:color="auto"/>
              <w:left w:val="single" w:sz="4" w:space="0" w:color="auto"/>
              <w:bottom w:val="single" w:sz="4" w:space="0" w:color="auto"/>
              <w:right w:val="single" w:sz="4" w:space="0" w:color="auto"/>
            </w:tcBorders>
            <w:vAlign w:val="bottom"/>
            <w:hideMark/>
          </w:tcPr>
          <w:p w14:paraId="042C01C3" w14:textId="77777777" w:rsidR="004E6452" w:rsidRPr="001570EA" w:rsidRDefault="004E6452">
            <w:pPr>
              <w:spacing w:line="360" w:lineRule="auto"/>
              <w:jc w:val="center"/>
              <w:rPr>
                <w:rFonts w:cs="Arial"/>
                <w:sz w:val="18"/>
                <w:szCs w:val="18"/>
              </w:rPr>
            </w:pPr>
            <w:r w:rsidRPr="001570EA">
              <w:rPr>
                <w:rFonts w:cs="Arial"/>
                <w:sz w:val="18"/>
                <w:szCs w:val="18"/>
              </w:rPr>
              <w:t>0.01138</w:t>
            </w:r>
          </w:p>
        </w:tc>
        <w:tc>
          <w:tcPr>
            <w:tcW w:w="1732" w:type="dxa"/>
            <w:tcBorders>
              <w:top w:val="single" w:sz="4" w:space="0" w:color="auto"/>
              <w:left w:val="single" w:sz="4" w:space="0" w:color="auto"/>
              <w:bottom w:val="single" w:sz="4" w:space="0" w:color="auto"/>
              <w:right w:val="single" w:sz="4" w:space="0" w:color="auto"/>
            </w:tcBorders>
            <w:vAlign w:val="bottom"/>
          </w:tcPr>
          <w:p w14:paraId="274C3982" w14:textId="77777777" w:rsidR="004E6452" w:rsidRPr="001570EA" w:rsidRDefault="004E6452">
            <w:pPr>
              <w:spacing w:line="360" w:lineRule="auto"/>
              <w:jc w:val="center"/>
              <w:rPr>
                <w:rFonts w:cs="Arial"/>
                <w:sz w:val="18"/>
                <w:szCs w:val="18"/>
              </w:rPr>
            </w:pPr>
            <w:r w:rsidRPr="001570EA">
              <w:rPr>
                <w:rFonts w:cs="Arial"/>
                <w:sz w:val="18"/>
                <w:szCs w:val="18"/>
              </w:rPr>
              <w:t>0.01769</w:t>
            </w:r>
          </w:p>
        </w:tc>
      </w:tr>
      <w:tr w:rsidR="004E6452" w:rsidRPr="001570EA" w14:paraId="2ED2A091" w14:textId="77777777">
        <w:trPr>
          <w:trHeight w:val="288"/>
        </w:trPr>
        <w:tc>
          <w:tcPr>
            <w:tcW w:w="2047" w:type="dxa"/>
            <w:tcBorders>
              <w:top w:val="single" w:sz="4" w:space="0" w:color="auto"/>
              <w:left w:val="single" w:sz="4" w:space="0" w:color="auto"/>
              <w:bottom w:val="single" w:sz="4" w:space="0" w:color="auto"/>
              <w:right w:val="single" w:sz="4" w:space="0" w:color="auto"/>
            </w:tcBorders>
            <w:vAlign w:val="center"/>
            <w:hideMark/>
          </w:tcPr>
          <w:p w14:paraId="6740A38A" w14:textId="77777777" w:rsidR="004E6452" w:rsidRPr="001570EA" w:rsidRDefault="004E6452">
            <w:pPr>
              <w:rPr>
                <w:rFonts w:cs="Arial"/>
                <w:sz w:val="18"/>
              </w:rPr>
            </w:pPr>
            <w:r w:rsidRPr="001570EA">
              <w:rPr>
                <w:rFonts w:cs="Arial"/>
                <w:sz w:val="18"/>
              </w:rPr>
              <w:t>Non-Electric (%Electric</w:t>
            </w:r>
            <w:r w:rsidRPr="001570EA">
              <w:rPr>
                <w:rFonts w:cs="Arial"/>
                <w:sz w:val="18"/>
                <w:vertAlign w:val="subscript"/>
              </w:rPr>
              <w:t xml:space="preserve">DHW </w:t>
            </w:r>
            <w:r w:rsidRPr="001570EA">
              <w:rPr>
                <w:rFonts w:cs="Arial"/>
                <w:sz w:val="18"/>
              </w:rPr>
              <w:t>= 0%)</w:t>
            </w:r>
          </w:p>
        </w:tc>
        <w:tc>
          <w:tcPr>
            <w:tcW w:w="2522" w:type="dxa"/>
            <w:tcBorders>
              <w:top w:val="single" w:sz="4" w:space="0" w:color="auto"/>
              <w:left w:val="single" w:sz="4" w:space="0" w:color="auto"/>
              <w:bottom w:val="single" w:sz="4" w:space="0" w:color="auto"/>
              <w:right w:val="single" w:sz="4" w:space="0" w:color="auto"/>
            </w:tcBorders>
            <w:vAlign w:val="bottom"/>
            <w:hideMark/>
          </w:tcPr>
          <w:p w14:paraId="35CED766" w14:textId="77777777" w:rsidR="004E6452" w:rsidRPr="001570EA" w:rsidRDefault="004E6452">
            <w:pPr>
              <w:spacing w:line="360" w:lineRule="auto"/>
              <w:jc w:val="center"/>
              <w:rPr>
                <w:rFonts w:cs="Arial"/>
                <w:sz w:val="18"/>
                <w:szCs w:val="18"/>
              </w:rPr>
            </w:pPr>
            <w:r w:rsidRPr="001570EA">
              <w:rPr>
                <w:rFonts w:cs="Arial"/>
                <w:sz w:val="18"/>
                <w:szCs w:val="18"/>
              </w:rPr>
              <w:t>29.5</w:t>
            </w:r>
          </w:p>
        </w:tc>
        <w:tc>
          <w:tcPr>
            <w:tcW w:w="2221" w:type="dxa"/>
            <w:tcBorders>
              <w:top w:val="single" w:sz="4" w:space="0" w:color="auto"/>
              <w:left w:val="single" w:sz="4" w:space="0" w:color="auto"/>
              <w:bottom w:val="single" w:sz="4" w:space="0" w:color="auto"/>
              <w:right w:val="single" w:sz="4" w:space="0" w:color="auto"/>
            </w:tcBorders>
            <w:vAlign w:val="bottom"/>
            <w:hideMark/>
          </w:tcPr>
          <w:p w14:paraId="5B2A3DF8" w14:textId="77777777" w:rsidR="004E6452" w:rsidRPr="001570EA" w:rsidRDefault="004E6452">
            <w:pPr>
              <w:spacing w:line="360" w:lineRule="auto"/>
              <w:jc w:val="center"/>
              <w:rPr>
                <w:rFonts w:cs="Arial"/>
                <w:sz w:val="18"/>
                <w:szCs w:val="18"/>
              </w:rPr>
            </w:pPr>
            <w:r w:rsidRPr="001570EA">
              <w:rPr>
                <w:rFonts w:cs="Arial"/>
                <w:sz w:val="18"/>
                <w:szCs w:val="18"/>
              </w:rPr>
              <w:t>0.00501</w:t>
            </w:r>
          </w:p>
        </w:tc>
        <w:tc>
          <w:tcPr>
            <w:tcW w:w="1732" w:type="dxa"/>
            <w:tcBorders>
              <w:top w:val="single" w:sz="4" w:space="0" w:color="auto"/>
              <w:left w:val="single" w:sz="4" w:space="0" w:color="auto"/>
              <w:bottom w:val="single" w:sz="4" w:space="0" w:color="auto"/>
              <w:right w:val="single" w:sz="4" w:space="0" w:color="auto"/>
            </w:tcBorders>
            <w:vAlign w:val="bottom"/>
          </w:tcPr>
          <w:p w14:paraId="7E982BBB" w14:textId="77777777" w:rsidR="004E6452" w:rsidRPr="001570EA" w:rsidRDefault="004E6452">
            <w:pPr>
              <w:spacing w:line="360" w:lineRule="auto"/>
              <w:jc w:val="center"/>
              <w:rPr>
                <w:rFonts w:cs="Arial"/>
                <w:sz w:val="18"/>
                <w:szCs w:val="18"/>
              </w:rPr>
            </w:pPr>
            <w:r w:rsidRPr="001570EA">
              <w:rPr>
                <w:rFonts w:cs="Arial"/>
                <w:sz w:val="18"/>
                <w:szCs w:val="18"/>
              </w:rPr>
              <w:t>0.00778</w:t>
            </w:r>
          </w:p>
        </w:tc>
      </w:tr>
      <w:tr w:rsidR="004E6452" w:rsidRPr="001570EA" w14:paraId="555247DA" w14:textId="77777777">
        <w:trPr>
          <w:trHeight w:val="288"/>
        </w:trPr>
        <w:tc>
          <w:tcPr>
            <w:tcW w:w="2047" w:type="dxa"/>
            <w:tcBorders>
              <w:top w:val="single" w:sz="4" w:space="0" w:color="auto"/>
              <w:left w:val="single" w:sz="4" w:space="0" w:color="auto"/>
              <w:bottom w:val="single" w:sz="4" w:space="0" w:color="auto"/>
              <w:right w:val="single" w:sz="4" w:space="0" w:color="auto"/>
            </w:tcBorders>
            <w:vAlign w:val="center"/>
            <w:hideMark/>
          </w:tcPr>
          <w:p w14:paraId="6166A96C" w14:textId="77777777" w:rsidR="004E6452" w:rsidRPr="001570EA" w:rsidRDefault="004E6452">
            <w:pPr>
              <w:rPr>
                <w:rFonts w:cs="Arial"/>
                <w:sz w:val="18"/>
              </w:rPr>
            </w:pPr>
            <w:r w:rsidRPr="001570EA">
              <w:rPr>
                <w:rFonts w:cs="Arial"/>
                <w:sz w:val="18"/>
              </w:rPr>
              <w:t>Default Fuel Mix (%Electric</w:t>
            </w:r>
            <w:r w:rsidRPr="001570EA">
              <w:rPr>
                <w:rFonts w:cs="Arial"/>
                <w:sz w:val="18"/>
                <w:vertAlign w:val="subscript"/>
              </w:rPr>
              <w:t xml:space="preserve">DHW </w:t>
            </w:r>
            <w:r w:rsidRPr="001570EA">
              <w:rPr>
                <w:rFonts w:cs="Arial"/>
                <w:sz w:val="18"/>
              </w:rPr>
              <w:t>= 47%)</w:t>
            </w:r>
          </w:p>
        </w:tc>
        <w:tc>
          <w:tcPr>
            <w:tcW w:w="2522" w:type="dxa"/>
            <w:tcBorders>
              <w:top w:val="single" w:sz="4" w:space="0" w:color="auto"/>
              <w:left w:val="single" w:sz="4" w:space="0" w:color="auto"/>
              <w:bottom w:val="single" w:sz="4" w:space="0" w:color="auto"/>
              <w:right w:val="single" w:sz="4" w:space="0" w:color="auto"/>
            </w:tcBorders>
            <w:vAlign w:val="bottom"/>
            <w:hideMark/>
          </w:tcPr>
          <w:p w14:paraId="3A7E90C4" w14:textId="77777777" w:rsidR="004E6452" w:rsidRPr="001570EA" w:rsidRDefault="004E6452">
            <w:pPr>
              <w:spacing w:line="360" w:lineRule="auto"/>
              <w:jc w:val="center"/>
              <w:rPr>
                <w:rFonts w:cs="Arial"/>
                <w:sz w:val="18"/>
                <w:szCs w:val="18"/>
              </w:rPr>
            </w:pPr>
            <w:r w:rsidRPr="001570EA">
              <w:rPr>
                <w:rFonts w:cs="Arial"/>
                <w:sz w:val="18"/>
                <w:szCs w:val="18"/>
              </w:rPr>
              <w:t>47.1</w:t>
            </w:r>
          </w:p>
        </w:tc>
        <w:tc>
          <w:tcPr>
            <w:tcW w:w="2221" w:type="dxa"/>
            <w:tcBorders>
              <w:top w:val="single" w:sz="4" w:space="0" w:color="auto"/>
              <w:left w:val="single" w:sz="4" w:space="0" w:color="auto"/>
              <w:bottom w:val="single" w:sz="4" w:space="0" w:color="auto"/>
              <w:right w:val="single" w:sz="4" w:space="0" w:color="auto"/>
            </w:tcBorders>
            <w:vAlign w:val="bottom"/>
            <w:hideMark/>
          </w:tcPr>
          <w:p w14:paraId="248484B3" w14:textId="77777777" w:rsidR="004E6452" w:rsidRPr="001570EA" w:rsidRDefault="004E6452">
            <w:pPr>
              <w:spacing w:line="360" w:lineRule="auto"/>
              <w:jc w:val="center"/>
              <w:rPr>
                <w:rFonts w:cs="Arial"/>
                <w:sz w:val="18"/>
                <w:szCs w:val="18"/>
              </w:rPr>
            </w:pPr>
            <w:r w:rsidRPr="001570EA">
              <w:rPr>
                <w:rFonts w:cs="Arial"/>
                <w:sz w:val="18"/>
                <w:szCs w:val="18"/>
              </w:rPr>
              <w:t>0.00800</w:t>
            </w:r>
          </w:p>
        </w:tc>
        <w:tc>
          <w:tcPr>
            <w:tcW w:w="1732" w:type="dxa"/>
            <w:tcBorders>
              <w:top w:val="single" w:sz="4" w:space="0" w:color="auto"/>
              <w:left w:val="single" w:sz="4" w:space="0" w:color="auto"/>
              <w:bottom w:val="single" w:sz="4" w:space="0" w:color="auto"/>
              <w:right w:val="single" w:sz="4" w:space="0" w:color="auto"/>
            </w:tcBorders>
            <w:vAlign w:val="bottom"/>
          </w:tcPr>
          <w:p w14:paraId="0AE3842C" w14:textId="77777777" w:rsidR="004E6452" w:rsidRPr="001570EA" w:rsidRDefault="004E6452">
            <w:pPr>
              <w:spacing w:line="360" w:lineRule="auto"/>
              <w:jc w:val="center"/>
              <w:rPr>
                <w:rFonts w:cs="Arial"/>
                <w:sz w:val="18"/>
                <w:szCs w:val="18"/>
              </w:rPr>
            </w:pPr>
            <w:r w:rsidRPr="001570EA">
              <w:rPr>
                <w:rFonts w:cs="Arial"/>
                <w:sz w:val="18"/>
                <w:szCs w:val="18"/>
              </w:rPr>
              <w:t>0.01244</w:t>
            </w:r>
          </w:p>
        </w:tc>
      </w:tr>
    </w:tbl>
    <w:p w14:paraId="509B550E" w14:textId="77777777" w:rsidR="004E6452" w:rsidRPr="001570EA" w:rsidRDefault="004E6452" w:rsidP="004E6452"/>
    <w:p w14:paraId="721AD246" w14:textId="77777777" w:rsidR="004E6452" w:rsidRPr="001570EA" w:rsidRDefault="004E6452" w:rsidP="004E6452">
      <w:pPr>
        <w:pStyle w:val="SubStyle"/>
      </w:pPr>
      <w:r w:rsidRPr="001570EA">
        <w:t>Evaluation Protocols</w:t>
      </w:r>
    </w:p>
    <w:p w14:paraId="0A01BF9E" w14:textId="77777777" w:rsidR="004E6452" w:rsidRPr="001570EA" w:rsidRDefault="004E6452" w:rsidP="004E6452">
      <w:pPr>
        <w:pStyle w:val="BodyText"/>
        <w:ind w:right="0"/>
        <w:rPr>
          <w:rFonts w:cs="Arial"/>
        </w:rPr>
      </w:pPr>
      <w:r w:rsidRPr="001570EA">
        <w:t>For most projects, the appropriate evaluation protocol is to verify installation and proper selection of default values. For projects using customer-specific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0020D15E" w14:textId="77777777" w:rsidR="004E6452" w:rsidRPr="001570EA" w:rsidRDefault="004E6452" w:rsidP="004E6452">
      <w:pPr>
        <w:pStyle w:val="BodyText"/>
        <w:ind w:right="0"/>
        <w:rPr>
          <w:rFonts w:cs="Arial"/>
        </w:rPr>
      </w:pPr>
    </w:p>
    <w:p w14:paraId="060CA2C6" w14:textId="77777777" w:rsidR="004E6452" w:rsidRPr="001570EA" w:rsidRDefault="004E6452" w:rsidP="004E6452">
      <w:pPr>
        <w:pStyle w:val="SubStyle"/>
      </w:pPr>
      <w:r w:rsidRPr="001570EA">
        <w:t>Sources</w:t>
      </w:r>
    </w:p>
    <w:p w14:paraId="2DCD2C12" w14:textId="3804B020" w:rsidR="004E6452" w:rsidRPr="001570EA" w:rsidRDefault="004E6452" w:rsidP="006D787B">
      <w:pPr>
        <w:pStyle w:val="ListParagraph"/>
        <w:numPr>
          <w:ilvl w:val="0"/>
          <w:numId w:val="59"/>
        </w:numPr>
        <w:spacing w:after="120"/>
        <w:ind w:left="360"/>
        <w:jc w:val="left"/>
        <w:textAlignment w:val="auto"/>
        <w:rPr>
          <w:rFonts w:eastAsiaTheme="minorHAnsi"/>
        </w:rPr>
      </w:pPr>
      <w:r w:rsidRPr="001570EA">
        <w:rPr>
          <w:rFonts w:eastAsiaTheme="minorHAnsi"/>
        </w:rPr>
        <w:t xml:space="preserve">ENERGY STAR (2016). Savings Calculator for ENERGY STAR Qualified Appliances. U.S. EPA. </w:t>
      </w:r>
      <w:hyperlink r:id="rId283">
        <w:r w:rsidRPr="001570EA">
          <w:rPr>
            <w:rStyle w:val="Hyperlink"/>
          </w:rPr>
          <w:t>Weblink</w:t>
        </w:r>
      </w:hyperlink>
    </w:p>
    <w:p w14:paraId="332081D9" w14:textId="4FAC9306" w:rsidR="004E6452" w:rsidRPr="001570EA" w:rsidRDefault="004E6452" w:rsidP="006D787B">
      <w:pPr>
        <w:pStyle w:val="ListParagraph"/>
        <w:numPr>
          <w:ilvl w:val="0"/>
          <w:numId w:val="59"/>
        </w:numPr>
        <w:spacing w:after="120"/>
        <w:ind w:left="360"/>
        <w:textAlignment w:val="auto"/>
        <w:rPr>
          <w:rFonts w:eastAsiaTheme="minorHAnsi"/>
        </w:rPr>
      </w:pPr>
      <w:r w:rsidRPr="001570EA">
        <w:rPr>
          <w:rFonts w:eastAsiaTheme="minorHAnsi"/>
        </w:rPr>
        <w:t xml:space="preserve">10 CFR 430.32(f) </w:t>
      </w:r>
      <w:hyperlink r:id="rId284" w:anchor="p-430.32(f)" w:history="1">
        <w:r w:rsidRPr="001570EA">
          <w:rPr>
            <w:rStyle w:val="Hyperlink"/>
            <w:rFonts w:eastAsiaTheme="minorHAnsi"/>
          </w:rPr>
          <w:t>Weblink</w:t>
        </w:r>
      </w:hyperlink>
    </w:p>
    <w:p w14:paraId="0122242F" w14:textId="1EE02D7D" w:rsidR="004E6452" w:rsidRPr="001570EA" w:rsidRDefault="004E6452" w:rsidP="006D787B">
      <w:pPr>
        <w:pStyle w:val="ListParagraph"/>
        <w:numPr>
          <w:ilvl w:val="0"/>
          <w:numId w:val="59"/>
        </w:numPr>
        <w:spacing w:after="120"/>
        <w:ind w:left="360"/>
        <w:textAlignment w:val="auto"/>
        <w:rPr>
          <w:rFonts w:eastAsiaTheme="minorHAnsi"/>
        </w:rPr>
      </w:pPr>
      <w:r w:rsidRPr="001570EA">
        <w:t xml:space="preserve">NMR Group for the Pennsylvania Public Utility Commission. (2024, March). 2023 Pennsylvania Statewide Act 129 Residential Baseline Study. Page 122, Table 105. </w:t>
      </w:r>
      <w:hyperlink r:id="rId285" w:history="1">
        <w:r w:rsidRPr="001570EA">
          <w:rPr>
            <w:rStyle w:val="Hyperlink"/>
          </w:rPr>
          <w:t>Weblink</w:t>
        </w:r>
      </w:hyperlink>
    </w:p>
    <w:p w14:paraId="15D2DFB4" w14:textId="75323E37" w:rsidR="004E6452" w:rsidRPr="001570EA" w:rsidRDefault="004E6452" w:rsidP="006D787B">
      <w:pPr>
        <w:pStyle w:val="ListParagraph"/>
        <w:numPr>
          <w:ilvl w:val="0"/>
          <w:numId w:val="59"/>
        </w:numPr>
        <w:spacing w:after="120"/>
        <w:ind w:left="360"/>
        <w:jc w:val="left"/>
        <w:textAlignment w:val="auto"/>
        <w:rPr>
          <w:rFonts w:eastAsiaTheme="minorHAnsi"/>
        </w:rPr>
      </w:pPr>
      <w:r w:rsidRPr="001570EA">
        <w:t xml:space="preserve">U.S. EPA. (2023). ENERGY STAR Program Requirements Product Specification for Residential Dishwashers Eligibility Criteria Version 7.0. </w:t>
      </w:r>
      <w:hyperlink r:id="rId286" w:history="1">
        <w:r w:rsidRPr="001570EA">
          <w:rPr>
            <w:rStyle w:val="Hyperlink"/>
          </w:rPr>
          <w:t>Weblink</w:t>
        </w:r>
      </w:hyperlink>
    </w:p>
    <w:p w14:paraId="55DCB633" w14:textId="772111DA" w:rsidR="004E6452" w:rsidRPr="001570EA" w:rsidRDefault="004E6452" w:rsidP="006D787B">
      <w:pPr>
        <w:pStyle w:val="ListParagraph"/>
        <w:numPr>
          <w:ilvl w:val="0"/>
          <w:numId w:val="59"/>
        </w:numPr>
        <w:spacing w:after="120"/>
        <w:ind w:left="360"/>
        <w:jc w:val="left"/>
        <w:textAlignment w:val="auto"/>
        <w:rPr>
          <w:rFonts w:eastAsiaTheme="minorHAnsi"/>
        </w:rPr>
      </w:pPr>
      <w:r w:rsidRPr="001570EA">
        <w:t xml:space="preserve">Wilson et al. 2021. End-Use Load Profiles for the U.S. Building Stock: Methodology and Results of Model Calibration, Validation, and Uncertainty Quantification. NREL/TP-5500-80889. </w:t>
      </w:r>
      <w:hyperlink r:id="rId287" w:history="1">
        <w:r w:rsidRPr="001570EA">
          <w:rPr>
            <w:rStyle w:val="Hyperlink"/>
            <w:rFonts w:cs="Arial"/>
          </w:rPr>
          <w:t>Weblink</w:t>
        </w:r>
      </w:hyperlink>
    </w:p>
    <w:p w14:paraId="0F4699E6" w14:textId="0B60A503" w:rsidR="004E6452" w:rsidRPr="001570EA" w:rsidRDefault="004E6452" w:rsidP="004E6452">
      <w:pPr>
        <w:pStyle w:val="ListParagraph"/>
        <w:spacing w:after="120"/>
        <w:ind w:left="360"/>
        <w:jc w:val="left"/>
        <w:textAlignment w:val="auto"/>
        <w:rPr>
          <w:rFonts w:eastAsiaTheme="minorHAnsi"/>
        </w:rPr>
      </w:pPr>
    </w:p>
    <w:p w14:paraId="228AB817" w14:textId="77777777" w:rsidR="004E6452" w:rsidRPr="001570EA" w:rsidRDefault="004E6452" w:rsidP="004E6452">
      <w:pPr>
        <w:rPr>
          <w:rFonts w:eastAsiaTheme="minorHAnsi" w:cs="Arial"/>
        </w:rPr>
      </w:pPr>
      <w:bookmarkStart w:id="618" w:name="_Toc530141629"/>
    </w:p>
    <w:p w14:paraId="3EC51249" w14:textId="77777777" w:rsidR="004E6452" w:rsidRPr="001570EA" w:rsidRDefault="004E6452" w:rsidP="004E6452">
      <w:pPr>
        <w:rPr>
          <w:rFonts w:eastAsiaTheme="minorHAnsi" w:cs="Arial"/>
        </w:rPr>
        <w:sectPr w:rsidR="004E6452" w:rsidRPr="001570EA" w:rsidSect="002D556C">
          <w:footerReference w:type="first" r:id="rId288"/>
          <w:pgSz w:w="12240" w:h="15840"/>
          <w:pgMar w:top="1440" w:right="1800" w:bottom="1440" w:left="1800" w:header="720" w:footer="501" w:gutter="0"/>
          <w:cols w:space="720"/>
        </w:sectPr>
      </w:pPr>
    </w:p>
    <w:p w14:paraId="295B62BF" w14:textId="77777777" w:rsidR="004E6452" w:rsidRPr="001570EA" w:rsidRDefault="004E6452" w:rsidP="00462D97">
      <w:pPr>
        <w:pStyle w:val="Heading3"/>
      </w:pPr>
      <w:bookmarkStart w:id="619" w:name="_Toc48143048"/>
      <w:bookmarkStart w:id="620" w:name="_Toc164786670"/>
      <w:r w:rsidRPr="001570EA">
        <w:t>ENERGY STAR Dehumidifiers</w:t>
      </w:r>
      <w:bookmarkEnd w:id="618"/>
      <w:bookmarkEnd w:id="619"/>
      <w:bookmarkEnd w:id="620"/>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05"/>
        <w:gridCol w:w="5007"/>
      </w:tblGrid>
      <w:tr w:rsidR="004E6452" w:rsidRPr="001570EA" w14:paraId="4FEDE854"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31E80644" w14:textId="77777777" w:rsidR="004E6452" w:rsidRPr="001570EA" w:rsidRDefault="004E6452">
            <w:pPr>
              <w:pStyle w:val="TableCell"/>
              <w:spacing w:before="60" w:after="60"/>
              <w:rPr>
                <w:b/>
                <w:bCs/>
                <w:color w:val="000000"/>
              </w:rPr>
            </w:pPr>
            <w:r w:rsidRPr="001570EA">
              <w:rPr>
                <w:b/>
                <w:bCs/>
                <w:color w:val="000000"/>
              </w:rPr>
              <w:t>Target Sector</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2D45201E" w14:textId="77777777" w:rsidR="004E6452" w:rsidRPr="001570EA" w:rsidRDefault="004E6452">
            <w:pPr>
              <w:pStyle w:val="TableCell"/>
              <w:spacing w:before="60" w:after="60"/>
              <w:jc w:val="center"/>
              <w:rPr>
                <w:color w:val="000000"/>
              </w:rPr>
            </w:pPr>
            <w:r w:rsidRPr="001570EA">
              <w:rPr>
                <w:color w:val="000000"/>
              </w:rPr>
              <w:t>Residential</w:t>
            </w:r>
          </w:p>
        </w:tc>
      </w:tr>
      <w:tr w:rsidR="004E6452" w:rsidRPr="001570EA" w14:paraId="5DA52309"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74F6B8A7" w14:textId="77777777" w:rsidR="004E6452" w:rsidRPr="001570EA" w:rsidRDefault="004E6452">
            <w:pPr>
              <w:pStyle w:val="TableCell"/>
              <w:spacing w:before="60" w:after="60"/>
              <w:rPr>
                <w:b/>
                <w:bCs/>
                <w:color w:val="000000"/>
              </w:rPr>
            </w:pPr>
            <w:r w:rsidRPr="001570EA">
              <w:rPr>
                <w:b/>
                <w:bCs/>
                <w:color w:val="000000"/>
              </w:rPr>
              <w:t>Measure Unit</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3816CC37" w14:textId="77777777" w:rsidR="004E6452" w:rsidRPr="001570EA" w:rsidRDefault="004E6452">
            <w:pPr>
              <w:pStyle w:val="TableCell"/>
              <w:spacing w:before="60" w:after="60"/>
              <w:jc w:val="center"/>
              <w:rPr>
                <w:color w:val="000000"/>
              </w:rPr>
            </w:pPr>
            <w:r w:rsidRPr="001570EA">
              <w:rPr>
                <w:color w:val="000000"/>
              </w:rPr>
              <w:t>Dehumidifier</w:t>
            </w:r>
          </w:p>
        </w:tc>
      </w:tr>
      <w:tr w:rsidR="004E6452" w:rsidRPr="001570EA" w14:paraId="66332148"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233DEDEF" w14:textId="77777777" w:rsidR="004E6452" w:rsidRPr="001570EA" w:rsidRDefault="004E6452">
            <w:pPr>
              <w:pStyle w:val="TableCell"/>
              <w:spacing w:before="60" w:after="60"/>
              <w:rPr>
                <w:b/>
                <w:bCs/>
                <w:color w:val="000000"/>
              </w:rPr>
            </w:pPr>
            <w:r w:rsidRPr="001570EA">
              <w:rPr>
                <w:b/>
                <w:bCs/>
                <w:color w:val="000000"/>
              </w:rPr>
              <w:t>Measure Life</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19DD9F40" w14:textId="77777777" w:rsidR="004E6452" w:rsidRPr="001570EA" w:rsidRDefault="004E6452">
            <w:pPr>
              <w:pStyle w:val="TableCell"/>
              <w:spacing w:before="60" w:after="60"/>
              <w:jc w:val="center"/>
              <w:rPr>
                <w:color w:val="000000"/>
                <w:vertAlign w:val="superscript"/>
              </w:rPr>
            </w:pPr>
            <w:r w:rsidRPr="001570EA">
              <w:rPr>
                <w:color w:val="000000"/>
              </w:rPr>
              <w:t>12 years</w:t>
            </w:r>
            <w:r w:rsidRPr="001570EA">
              <w:rPr>
                <w:sz w:val="20"/>
                <w:vertAlign w:val="superscript"/>
              </w:rPr>
              <w:t>Source 1</w:t>
            </w:r>
          </w:p>
        </w:tc>
      </w:tr>
      <w:tr w:rsidR="004E6452" w:rsidRPr="001570EA" w14:paraId="1D019528"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5290A87D" w14:textId="77777777" w:rsidR="004E6452" w:rsidRPr="001570EA" w:rsidRDefault="004E6452">
            <w:pPr>
              <w:pStyle w:val="TableCell"/>
              <w:spacing w:before="60" w:after="60"/>
              <w:rPr>
                <w:b/>
                <w:bCs/>
                <w:color w:val="000000"/>
              </w:rPr>
            </w:pPr>
            <w:r w:rsidRPr="001570EA">
              <w:rPr>
                <w:b/>
                <w:bCs/>
                <w:color w:val="000000"/>
              </w:rPr>
              <w:t>Vintage</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129C9B61" w14:textId="77777777" w:rsidR="004E6452" w:rsidRPr="001570EA" w:rsidRDefault="004E6452">
            <w:pPr>
              <w:pStyle w:val="TableCell"/>
              <w:spacing w:before="60" w:after="60"/>
              <w:jc w:val="center"/>
              <w:rPr>
                <w:color w:val="000000"/>
              </w:rPr>
            </w:pPr>
            <w:r w:rsidRPr="001570EA">
              <w:rPr>
                <w:color w:val="000000"/>
              </w:rPr>
              <w:t>Replace on Burnout</w:t>
            </w:r>
          </w:p>
        </w:tc>
      </w:tr>
    </w:tbl>
    <w:p w14:paraId="60C3ECDB" w14:textId="77777777" w:rsidR="004E6452" w:rsidRPr="001570EA" w:rsidRDefault="004E6452" w:rsidP="004E6452">
      <w:pPr>
        <w:pStyle w:val="NoSpacing"/>
        <w:rPr>
          <w:rFonts w:cs="Arial"/>
          <w:szCs w:val="20"/>
        </w:rPr>
      </w:pPr>
    </w:p>
    <w:p w14:paraId="576278C8" w14:textId="20781F6F" w:rsidR="004E6452" w:rsidRPr="001570EA" w:rsidRDefault="004E6452" w:rsidP="004E6452">
      <w:pPr>
        <w:pStyle w:val="NoSpacing"/>
        <w:rPr>
          <w:rFonts w:cs="Arial"/>
          <w:szCs w:val="20"/>
          <w:vertAlign w:val="superscript"/>
        </w:rPr>
      </w:pPr>
      <w:r w:rsidRPr="001570EA">
        <w:rPr>
          <w:rFonts w:cs="Arial"/>
          <w:szCs w:val="20"/>
        </w:rPr>
        <w:t>ENERGY STAR qualified dehumidifiers are 13% more efficient than non-qualified models due to more efficient refrigeration coils, compressors</w:t>
      </w:r>
      <w:r w:rsidR="00466915">
        <w:rPr>
          <w:rFonts w:cs="Arial"/>
          <w:szCs w:val="20"/>
        </w:rPr>
        <w:t>,</w:t>
      </w:r>
      <w:r w:rsidRPr="001570EA">
        <w:rPr>
          <w:rFonts w:cs="Arial"/>
          <w:szCs w:val="20"/>
        </w:rPr>
        <w:t xml:space="preserve"> and fans.</w:t>
      </w:r>
      <w:r w:rsidRPr="001570EA">
        <w:rPr>
          <w:rFonts w:cs="Arial"/>
          <w:szCs w:val="20"/>
          <w:vertAlign w:val="superscript"/>
        </w:rPr>
        <w:t>Source 2</w:t>
      </w:r>
      <w:r w:rsidRPr="001570EA">
        <w:rPr>
          <w:rFonts w:cs="Arial"/>
          <w:szCs w:val="20"/>
        </w:rPr>
        <w:t xml:space="preserve"> ENERGY STAR Most Efficient portable dehumidifiers are over 20% more efficient than federal minimum standards.</w:t>
      </w:r>
      <w:r w:rsidRPr="001570EA">
        <w:rPr>
          <w:rFonts w:cs="Arial"/>
          <w:szCs w:val="20"/>
          <w:vertAlign w:val="superscript"/>
        </w:rPr>
        <w:t>Source 7</w:t>
      </w:r>
    </w:p>
    <w:p w14:paraId="77C067B8" w14:textId="77777777" w:rsidR="004E6452" w:rsidRPr="001570EA" w:rsidRDefault="004E6452" w:rsidP="004E6452">
      <w:pPr>
        <w:pStyle w:val="SubStyle"/>
      </w:pPr>
      <w:r w:rsidRPr="001570EA">
        <w:t>Eligibility</w:t>
      </w:r>
    </w:p>
    <w:p w14:paraId="2B580098" w14:textId="77777777" w:rsidR="004E6452" w:rsidRPr="001570EA" w:rsidRDefault="004E6452" w:rsidP="004E6452">
      <w:pPr>
        <w:rPr>
          <w:rFonts w:eastAsiaTheme="minorHAnsi" w:cs="Arial"/>
        </w:rPr>
      </w:pPr>
      <w:r w:rsidRPr="001570EA">
        <w:rPr>
          <w:rFonts w:eastAsiaTheme="minorHAnsi" w:cs="Arial"/>
        </w:rPr>
        <w:t>This protocol documents the energy and demand savings attributed to purchasing an ENERGY STAR or ENERGY STAR Most Efficient dehumidifier instead of a standard one. Dehumidifiers must meet ENERGY STAR Version 5.0 Product Specifications to qualify.</w:t>
      </w:r>
      <w:r w:rsidRPr="001570EA">
        <w:rPr>
          <w:rFonts w:eastAsiaTheme="minorHAnsi" w:cs="Arial"/>
          <w:vertAlign w:val="superscript"/>
        </w:rPr>
        <w:t>Source 3</w:t>
      </w:r>
      <w:r w:rsidRPr="001570EA">
        <w:rPr>
          <w:rFonts w:eastAsiaTheme="minorHAnsi" w:cs="Arial"/>
        </w:rPr>
        <w:t xml:space="preserve"> The target sector is residential.</w:t>
      </w:r>
    </w:p>
    <w:p w14:paraId="6A1B9FB5" w14:textId="77777777" w:rsidR="004E6452" w:rsidRPr="001570EA" w:rsidRDefault="004E6452" w:rsidP="004E6452"/>
    <w:p w14:paraId="40CAD073" w14:textId="77777777" w:rsidR="004E6452" w:rsidRPr="001570EA" w:rsidRDefault="004E6452" w:rsidP="004E6452">
      <w:pPr>
        <w:pStyle w:val="SubStyle"/>
      </w:pPr>
      <w:r w:rsidRPr="001570EA">
        <w:t>Algorithms</w:t>
      </w:r>
    </w:p>
    <w:p w14:paraId="3FABA29F" w14:textId="77777777" w:rsidR="004E6452" w:rsidRPr="001570EA" w:rsidRDefault="004E6452" w:rsidP="004E6452">
      <w:pPr>
        <w:pStyle w:val="NoSpacing"/>
        <w:rPr>
          <w:rFonts w:cs="Arial"/>
          <w:szCs w:val="20"/>
        </w:rPr>
      </w:pPr>
      <w:r w:rsidRPr="001570EA">
        <w:rPr>
          <w:rFonts w:cs="Arial"/>
          <w:szCs w:val="20"/>
        </w:rPr>
        <w:t>The general form of the equation for the ENERGY STAR Dehumidifier savings algorithm is:</w:t>
      </w:r>
    </w:p>
    <w:p w14:paraId="368A753F" w14:textId="77777777" w:rsidR="004E6452" w:rsidRPr="001570EA" w:rsidRDefault="004E6452" w:rsidP="004E6452">
      <w:pPr>
        <w:tabs>
          <w:tab w:val="left" w:pos="1440"/>
        </w:tabs>
      </w:pPr>
      <w:r w:rsidRPr="001570EA">
        <w:t>Total Savings</w:t>
      </w:r>
      <w:r w:rsidRPr="001570EA">
        <w:tab/>
      </w:r>
      <m:oMath>
        <m:r>
          <m:rPr>
            <m:sty m:val="p"/>
          </m:rPr>
          <w:rPr>
            <w:rFonts w:ascii="Cambria Math" w:hAnsi="Cambria Math"/>
          </w:rPr>
          <m:t>=</m:t>
        </m:r>
        <m:r>
          <w:rPr>
            <w:rFonts w:ascii="Cambria Math" w:hAnsi="Cambria Math"/>
          </w:rPr>
          <m:t>Number</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Dehumidifiers</m:t>
        </m:r>
        <m:r>
          <m:rPr>
            <m:sty m:val="p"/>
          </m:rPr>
          <w:rPr>
            <w:rFonts w:ascii="Cambria Math" w:hAnsi="Cambria Math"/>
          </w:rPr>
          <m:t xml:space="preserve"> × </m:t>
        </m:r>
        <m:r>
          <w:rPr>
            <w:rFonts w:ascii="Cambria Math" w:hAnsi="Cambria Math"/>
          </w:rPr>
          <m:t>Savings</m:t>
        </m:r>
        <m:r>
          <m:rPr>
            <m:sty m:val="p"/>
          </m:rPr>
          <w:rPr>
            <w:rFonts w:ascii="Cambria Math" w:hAnsi="Cambria Math"/>
          </w:rPr>
          <m:t xml:space="preserve"> </m:t>
        </m:r>
        <m:r>
          <w:rPr>
            <w:rFonts w:ascii="Cambria Math" w:hAnsi="Cambria Math"/>
          </w:rPr>
          <m:t>per</m:t>
        </m:r>
        <m:r>
          <m:rPr>
            <m:sty m:val="p"/>
          </m:rPr>
          <w:rPr>
            <w:rFonts w:ascii="Cambria Math" w:hAnsi="Cambria Math"/>
          </w:rPr>
          <m:t xml:space="preserve"> </m:t>
        </m:r>
        <m:r>
          <w:rPr>
            <w:rFonts w:ascii="Cambria Math" w:hAnsi="Cambria Math"/>
          </w:rPr>
          <m:t>Dehumidifier</m:t>
        </m:r>
      </m:oMath>
    </w:p>
    <w:p w14:paraId="78C0B04D" w14:textId="77777777" w:rsidR="004E6452" w:rsidRPr="001570EA" w:rsidRDefault="004E6452" w:rsidP="004E6452"/>
    <w:p w14:paraId="13385F94" w14:textId="77777777" w:rsidR="004E6452" w:rsidRPr="001570EA" w:rsidRDefault="004E6452" w:rsidP="004E6452">
      <w:r w:rsidRPr="001570EA">
        <w:t>To determine resource savings, the per-unit estimates in the algorithms will be multiplied by the number of dehumidifiers. The number of dehumidifiers will be determined using market assessments and market tracking.</w:t>
      </w:r>
    </w:p>
    <w:p w14:paraId="74B76FED" w14:textId="77777777" w:rsidR="004E6452" w:rsidRPr="001570EA" w:rsidRDefault="004E6452" w:rsidP="004E6452"/>
    <w:p w14:paraId="3C4DDC05" w14:textId="77777777" w:rsidR="004E6452" w:rsidRPr="001570EA" w:rsidRDefault="004E6452" w:rsidP="004E6452">
      <w:pPr>
        <w:pStyle w:val="NoSpacing"/>
        <w:rPr>
          <w:rFonts w:cs="Arial"/>
          <w:szCs w:val="20"/>
        </w:rPr>
      </w:pPr>
      <w:r w:rsidRPr="001570EA">
        <w:rPr>
          <w:rFonts w:cs="Arial"/>
          <w:szCs w:val="20"/>
        </w:rPr>
        <w:t>Per unit energy and summer peak demand savings algorithms:</w:t>
      </w:r>
    </w:p>
    <w:p w14:paraId="11FE8EA6" w14:textId="77777777" w:rsidR="004E6452" w:rsidRPr="001B6A32" w:rsidRDefault="004E6452" w:rsidP="004E6452">
      <w:pPr>
        <w:pStyle w:val="NoSpacing"/>
        <w:spacing w:line="360" w:lineRule="auto"/>
        <w:rPr>
          <w:rFonts w:cs="Arial"/>
          <w:i/>
          <w:szCs w:val="20"/>
        </w:rPr>
      </w:pPr>
      <m:oMathPara>
        <m:oMathParaPr>
          <m:jc m:val="left"/>
        </m:oMathParaPr>
        <m:oMath>
          <m:r>
            <w:rPr>
              <w:rFonts w:ascii="Cambria Math" w:hAnsi="Cambria Math" w:cs="Arial"/>
              <w:szCs w:val="20"/>
            </w:rPr>
            <m:t>∆</m:t>
          </m:r>
          <m:r>
            <w:rPr>
              <w:rFonts w:ascii="Cambria Math" w:hAnsi="Cambria Math" w:cs="Arial"/>
            </w:rPr>
            <m:t>kWh</m:t>
          </m:r>
          <m:r>
            <w:rPr>
              <w:rFonts w:ascii="Cambria Math" w:hAnsi="Cambria Math" w:cs="Arial"/>
              <w:szCs w:val="20"/>
            </w:rPr>
            <m:t xml:space="preserve">           = </m:t>
          </m:r>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 xml:space="preserve">CAPY×0.473 </m:t>
                  </m:r>
                  <m:box>
                    <m:boxPr>
                      <m:ctrlPr>
                        <w:rPr>
                          <w:rFonts w:ascii="Cambria Math" w:hAnsi="Cambria Math" w:cs="Arial"/>
                          <w:szCs w:val="20"/>
                        </w:rPr>
                      </m:ctrlPr>
                    </m:boxPr>
                    <m:e>
                      <m:argPr>
                        <m:argSz m:val="-1"/>
                      </m:argPr>
                      <m:f>
                        <m:fPr>
                          <m:ctrlPr>
                            <w:rPr>
                              <w:rFonts w:ascii="Cambria Math" w:hAnsi="Cambria Math" w:cs="Arial"/>
                              <w:szCs w:val="20"/>
                            </w:rPr>
                          </m:ctrlPr>
                        </m:fPr>
                        <m:num>
                          <m:r>
                            <m:rPr>
                              <m:sty m:val="p"/>
                            </m:rPr>
                            <w:rPr>
                              <w:rFonts w:ascii="Cambria Math" w:hAnsi="Cambria Math" w:cs="Arial"/>
                              <w:szCs w:val="20"/>
                            </w:rPr>
                            <m:t>liters</m:t>
                          </m:r>
                        </m:num>
                        <m:den>
                          <m:r>
                            <m:rPr>
                              <m:sty m:val="p"/>
                            </m:rPr>
                            <w:rPr>
                              <w:rFonts w:ascii="Cambria Math" w:hAnsi="Cambria Math" w:cs="Arial"/>
                              <w:szCs w:val="20"/>
                            </w:rPr>
                            <m:t>pint</m:t>
                          </m:r>
                        </m:den>
                      </m:f>
                    </m:e>
                  </m:box>
                </m:num>
                <m:den>
                  <m:r>
                    <w:rPr>
                      <w:rFonts w:ascii="Cambria Math" w:hAnsi="Cambria Math" w:cs="Arial"/>
                      <w:szCs w:val="20"/>
                    </w:rPr>
                    <m:t>24</m:t>
                  </m:r>
                  <m:box>
                    <m:boxPr>
                      <m:ctrlPr>
                        <w:rPr>
                          <w:rFonts w:ascii="Cambria Math" w:hAnsi="Cambria Math" w:cs="Arial"/>
                          <w:szCs w:val="20"/>
                        </w:rPr>
                      </m:ctrlPr>
                    </m:boxPr>
                    <m:e>
                      <m:argPr>
                        <m:argSz m:val="-1"/>
                      </m:argPr>
                      <m:r>
                        <w:rPr>
                          <w:rFonts w:ascii="Cambria Math" w:hAnsi="Cambria Math" w:cs="Arial"/>
                          <w:szCs w:val="20"/>
                        </w:rPr>
                        <m:t xml:space="preserve"> </m:t>
                      </m:r>
                      <m:f>
                        <m:fPr>
                          <m:ctrlPr>
                            <w:rPr>
                              <w:rFonts w:ascii="Cambria Math" w:hAnsi="Cambria Math" w:cs="Arial"/>
                              <w:szCs w:val="20"/>
                            </w:rPr>
                          </m:ctrlPr>
                        </m:fPr>
                        <m:num>
                          <m:r>
                            <m:rPr>
                              <m:sty m:val="p"/>
                            </m:rPr>
                            <w:rPr>
                              <w:rFonts w:ascii="Cambria Math" w:hAnsi="Cambria Math" w:cs="Arial"/>
                              <w:szCs w:val="20"/>
                            </w:rPr>
                            <m:t>hours</m:t>
                          </m:r>
                        </m:num>
                        <m:den>
                          <m:r>
                            <m:rPr>
                              <m:sty m:val="p"/>
                            </m:rPr>
                            <w:rPr>
                              <w:rFonts w:ascii="Cambria Math" w:hAnsi="Cambria Math" w:cs="Arial"/>
                              <w:szCs w:val="20"/>
                            </w:rPr>
                            <m:t>day</m:t>
                          </m:r>
                        </m:den>
                      </m:f>
                    </m:e>
                  </m:box>
                </m:den>
              </m:f>
              <m:r>
                <w:rPr>
                  <w:rFonts w:ascii="Cambria Math" w:hAnsi="Cambria Math" w:cs="Arial"/>
                  <w:szCs w:val="20"/>
                </w:rPr>
                <m:t xml:space="preserve"> </m:t>
              </m:r>
            </m:e>
          </m:d>
          <m:r>
            <w:rPr>
              <w:rFonts w:ascii="Cambria Math" w:hAnsi="Cambria Math" w:cs="Arial"/>
              <w:szCs w:val="20"/>
            </w:rPr>
            <m:t xml:space="preserve">×HOU× </m:t>
          </m:r>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1</m:t>
                  </m:r>
                </m:num>
                <m:den>
                  <m:r>
                    <w:rPr>
                      <w:rFonts w:ascii="Cambria Math" w:eastAsia="Times New Roman" w:hAnsi="Cambria Math" w:cs="Times New Roman"/>
                      <w:sz w:val="18"/>
                      <w:szCs w:val="20"/>
                    </w:rPr>
                    <m:t>IE</m:t>
                  </m:r>
                  <m:sSub>
                    <m:sSubPr>
                      <m:ctrlPr>
                        <w:rPr>
                          <w:rFonts w:ascii="Cambria Math" w:eastAsia="Times New Roman" w:hAnsi="Cambria Math" w:cs="Times New Roman"/>
                          <w:i/>
                          <w:sz w:val="18"/>
                          <w:szCs w:val="20"/>
                        </w:rPr>
                      </m:ctrlPr>
                    </m:sSubPr>
                    <m:e>
                      <m:r>
                        <w:rPr>
                          <w:rFonts w:ascii="Cambria Math" w:eastAsia="Times New Roman" w:hAnsi="Cambria Math" w:cs="Times New Roman"/>
                          <w:sz w:val="18"/>
                          <w:szCs w:val="20"/>
                        </w:rPr>
                        <m:t>F</m:t>
                      </m:r>
                    </m:e>
                    <m:sub>
                      <m:r>
                        <w:rPr>
                          <w:rFonts w:ascii="Cambria Math" w:eastAsia="Times New Roman" w:hAnsi="Cambria Math" w:cs="Times New Roman"/>
                          <w:sz w:val="18"/>
                          <w:szCs w:val="20"/>
                        </w:rPr>
                        <m:t>base</m:t>
                      </m:r>
                    </m:sub>
                  </m:sSub>
                </m:den>
              </m:f>
              <m:r>
                <w:rPr>
                  <w:rFonts w:ascii="Cambria Math" w:hAnsi="Cambria Math" w:cs="Arial"/>
                  <w:szCs w:val="20"/>
                </w:rPr>
                <m:t xml:space="preserve"> -  </m:t>
              </m:r>
              <m:f>
                <m:fPr>
                  <m:ctrlPr>
                    <w:rPr>
                      <w:rFonts w:ascii="Cambria Math" w:hAnsi="Cambria Math" w:cs="Arial"/>
                      <w:i/>
                      <w:szCs w:val="20"/>
                    </w:rPr>
                  </m:ctrlPr>
                </m:fPr>
                <m:num>
                  <m:r>
                    <w:rPr>
                      <w:rFonts w:ascii="Cambria Math" w:hAnsi="Cambria Math" w:cs="Arial"/>
                      <w:szCs w:val="20"/>
                    </w:rPr>
                    <m:t>1</m:t>
                  </m:r>
                </m:num>
                <m:den>
                  <m:sSub>
                    <m:sSubPr>
                      <m:ctrlPr>
                        <w:rPr>
                          <w:rFonts w:ascii="Cambria Math" w:eastAsia="Times New Roman" w:hAnsi="Cambria Math" w:cs="Times New Roman"/>
                          <w:i/>
                          <w:sz w:val="18"/>
                          <w:szCs w:val="20"/>
                        </w:rPr>
                      </m:ctrlPr>
                    </m:sSubPr>
                    <m:e>
                      <m:r>
                        <w:rPr>
                          <w:rFonts w:ascii="Cambria Math" w:eastAsia="Times New Roman" w:hAnsi="Cambria Math" w:cs="Times New Roman"/>
                          <w:sz w:val="18"/>
                          <w:szCs w:val="20"/>
                        </w:rPr>
                        <m:t>IEF</m:t>
                      </m:r>
                    </m:e>
                    <m:sub>
                      <m:r>
                        <w:rPr>
                          <w:rFonts w:ascii="Cambria Math" w:eastAsia="Times New Roman" w:hAnsi="Cambria Math" w:cs="Times New Roman"/>
                          <w:sz w:val="18"/>
                          <w:szCs w:val="20"/>
                        </w:rPr>
                        <m:t>ee</m:t>
                      </m:r>
                    </m:sub>
                  </m:sSub>
                </m:den>
              </m:f>
            </m:e>
          </m:d>
          <m:r>
            <w:rPr>
              <w:rFonts w:ascii="Cambria Math" w:hAnsi="Cambria Math" w:cs="Arial"/>
              <w:szCs w:val="20"/>
            </w:rPr>
            <m:t xml:space="preserve"> </m:t>
          </m:r>
        </m:oMath>
      </m:oMathPara>
    </w:p>
    <w:p w14:paraId="6DB3402E" w14:textId="77777777" w:rsidR="004E6452" w:rsidRPr="001570EA" w:rsidRDefault="004E6452" w:rsidP="004E6452">
      <w:pPr>
        <w:pStyle w:val="NoSpacing"/>
        <w:spacing w:line="360" w:lineRule="auto"/>
        <w:rPr>
          <w:rFonts w:eastAsiaTheme="minorEastAsia" w:cs="Arial"/>
          <w:i/>
          <w:szCs w:val="20"/>
        </w:rPr>
      </w:pPr>
      <m:oMathPara>
        <m:oMathParaPr>
          <m:jc m:val="left"/>
        </m:oMathParaPr>
        <m:oMath>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kW</m:t>
              </m:r>
            </m:e>
            <m:sub>
              <m:r>
                <w:rPr>
                  <w:rFonts w:ascii="Cambria Math" w:hAnsi="Cambria Math" w:cs="Arial"/>
                  <w:szCs w:val="20"/>
                </w:rPr>
                <m:t>summer peak</m:t>
              </m:r>
            </m:sub>
          </m:sSub>
          <m:r>
            <w:rPr>
              <w:rFonts w:ascii="Cambria Math" w:hAnsi="Cambria Math" w:cs="Arial"/>
              <w:szCs w:val="20"/>
            </w:rPr>
            <m:t xml:space="preserve">                =</m:t>
          </m:r>
          <m:f>
            <m:fPr>
              <m:ctrlPr>
                <w:rPr>
                  <w:rFonts w:ascii="Cambria Math" w:hAnsi="Cambria Math" w:cs="Arial"/>
                  <w:i/>
                  <w:szCs w:val="20"/>
                </w:rPr>
              </m:ctrlPr>
            </m:fPr>
            <m:num>
              <m:r>
                <w:rPr>
                  <w:rFonts w:ascii="Cambria Math" w:hAnsi="Cambria Math" w:cs="Arial"/>
                  <w:szCs w:val="20"/>
                </w:rPr>
                <m:t>∆</m:t>
              </m:r>
              <m:f>
                <m:fPr>
                  <m:type m:val="lin"/>
                  <m:ctrlPr>
                    <w:rPr>
                      <w:rFonts w:ascii="Cambria Math" w:hAnsi="Cambria Math" w:cs="Arial"/>
                      <w:i/>
                      <w:szCs w:val="20"/>
                    </w:rPr>
                  </m:ctrlPr>
                </m:fPr>
                <m:num>
                  <m:r>
                    <w:rPr>
                      <w:rFonts w:ascii="Cambria Math" w:hAnsi="Cambria Math" w:cs="Arial"/>
                      <w:szCs w:val="20"/>
                    </w:rPr>
                    <m:t>kWh</m:t>
                  </m:r>
                </m:num>
                <m:den>
                  <m:r>
                    <w:rPr>
                      <w:rFonts w:ascii="Cambria Math" w:hAnsi="Cambria Math" w:cs="Arial"/>
                      <w:szCs w:val="20"/>
                    </w:rPr>
                    <m:t>yr</m:t>
                  </m:r>
                </m:den>
              </m:f>
            </m:num>
            <m:den>
              <m:r>
                <w:rPr>
                  <w:rFonts w:ascii="Cambria Math" w:hAnsi="Cambria Math" w:cs="Arial"/>
                  <w:szCs w:val="20"/>
                </w:rPr>
                <m:t>HOU</m:t>
              </m:r>
            </m:den>
          </m:f>
          <m:r>
            <w:rPr>
              <w:rFonts w:ascii="Cambria Math" w:hAnsi="Cambria Math" w:cs="Arial"/>
              <w:szCs w:val="20"/>
            </w:rPr>
            <m:t>×CF</m:t>
          </m:r>
        </m:oMath>
      </m:oMathPara>
    </w:p>
    <w:p w14:paraId="10B228AA" w14:textId="77777777" w:rsidR="004E6452" w:rsidRPr="001570EA" w:rsidRDefault="004E6452" w:rsidP="004E6452">
      <w:pPr>
        <w:pStyle w:val="NoSpacing"/>
        <w:spacing w:line="360" w:lineRule="auto"/>
        <w:rPr>
          <w:rFonts w:eastAsiaTheme="minorEastAsia" w:cs="Arial"/>
          <w:i/>
          <w:szCs w:val="20"/>
        </w:rPr>
      </w:pPr>
      <m:oMathPara>
        <m:oMathParaPr>
          <m:jc m:val="left"/>
        </m:oMathParaPr>
        <m:oMath>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kW</m:t>
              </m:r>
            </m:e>
            <m:sub>
              <m:r>
                <w:rPr>
                  <w:rFonts w:ascii="Cambria Math" w:hAnsi="Cambria Math" w:cs="Arial"/>
                  <w:szCs w:val="20"/>
                </w:rPr>
                <m:t>winter peak</m:t>
              </m:r>
            </m:sub>
          </m:sSub>
          <m:r>
            <w:rPr>
              <w:rFonts w:ascii="Cambria Math" w:hAnsi="Cambria Math" w:cs="Arial"/>
              <w:szCs w:val="20"/>
            </w:rPr>
            <m:t xml:space="preserve">                =0</m:t>
          </m:r>
        </m:oMath>
      </m:oMathPara>
    </w:p>
    <w:p w14:paraId="48F8C2F2" w14:textId="77777777" w:rsidR="00F53624" w:rsidRDefault="00F53624" w:rsidP="004E6452">
      <w:pPr>
        <w:pStyle w:val="SubStyle"/>
        <w:spacing w:after="240"/>
      </w:pPr>
    </w:p>
    <w:p w14:paraId="1DCEB04A" w14:textId="6820AF7A" w:rsidR="004E6452" w:rsidRPr="001570EA" w:rsidRDefault="004E6452" w:rsidP="00597241">
      <w:pPr>
        <w:pStyle w:val="SubStyle"/>
        <w:keepNext/>
        <w:keepLines/>
        <w:spacing w:after="240"/>
      </w:pPr>
      <w:r w:rsidRPr="001570EA">
        <w:t>Definition of Terms</w:t>
      </w:r>
    </w:p>
    <w:p w14:paraId="1D4DD902" w14:textId="341DB35E" w:rsidR="004E6452" w:rsidRPr="001570EA" w:rsidRDefault="004E6452" w:rsidP="00597241">
      <w:pPr>
        <w:pStyle w:val="Caption"/>
        <w:keepLines/>
      </w:pPr>
      <w:bookmarkStart w:id="621" w:name="_Toc66786299"/>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114</w:t>
      </w:r>
      <w:r w:rsidR="002E093A" w:rsidRPr="001570EA">
        <w:fldChar w:fldCharType="end"/>
      </w:r>
      <w:r w:rsidRPr="001570EA">
        <w:t>: Terms</w:t>
      </w:r>
      <w:r w:rsidRPr="001570EA">
        <w:rPr>
          <w:rFonts w:cs="Arial"/>
        </w:rPr>
        <w:t>, Values, and References for</w:t>
      </w:r>
      <w:r w:rsidRPr="001570EA">
        <w:t xml:space="preserve"> ENERGY STAR Dehumidifier</w:t>
      </w:r>
      <w:bookmarkEnd w:id="621"/>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320"/>
        <w:gridCol w:w="1147"/>
        <w:gridCol w:w="1980"/>
        <w:gridCol w:w="1170"/>
      </w:tblGrid>
      <w:tr w:rsidR="004E6452" w:rsidRPr="001570EA" w14:paraId="4515F0E9" w14:textId="77777777">
        <w:trPr>
          <w:trHeight w:val="317"/>
          <w:jc w:val="center"/>
        </w:trPr>
        <w:tc>
          <w:tcPr>
            <w:tcW w:w="4320" w:type="dxa"/>
            <w:shd w:val="clear" w:color="auto" w:fill="BFBFBF" w:themeFill="background1" w:themeFillShade="BF"/>
            <w:vAlign w:val="bottom"/>
          </w:tcPr>
          <w:p w14:paraId="4E8AD833" w14:textId="77777777" w:rsidR="004E6452" w:rsidRPr="001570EA" w:rsidRDefault="004E6452" w:rsidP="00597241">
            <w:pPr>
              <w:pStyle w:val="TableCell"/>
              <w:keepLines/>
              <w:spacing w:before="60" w:after="60"/>
              <w:rPr>
                <w:b/>
              </w:rPr>
            </w:pPr>
            <w:r w:rsidRPr="001570EA">
              <w:rPr>
                <w:b/>
              </w:rPr>
              <w:t>Term</w:t>
            </w:r>
          </w:p>
        </w:tc>
        <w:tc>
          <w:tcPr>
            <w:tcW w:w="1147" w:type="dxa"/>
            <w:shd w:val="clear" w:color="auto" w:fill="BFBFBF" w:themeFill="background1" w:themeFillShade="BF"/>
            <w:vAlign w:val="bottom"/>
          </w:tcPr>
          <w:p w14:paraId="3F94F864" w14:textId="77777777" w:rsidR="004E6452" w:rsidRPr="001570EA" w:rsidRDefault="004E6452" w:rsidP="00597241">
            <w:pPr>
              <w:pStyle w:val="TableCell"/>
              <w:keepLines/>
              <w:spacing w:before="60" w:after="60"/>
              <w:jc w:val="center"/>
              <w:rPr>
                <w:b/>
              </w:rPr>
            </w:pPr>
            <w:r w:rsidRPr="001570EA">
              <w:rPr>
                <w:b/>
              </w:rPr>
              <w:t>Unit</w:t>
            </w:r>
          </w:p>
        </w:tc>
        <w:tc>
          <w:tcPr>
            <w:tcW w:w="1980" w:type="dxa"/>
            <w:shd w:val="clear" w:color="auto" w:fill="BFBFBF" w:themeFill="background1" w:themeFillShade="BF"/>
            <w:vAlign w:val="bottom"/>
          </w:tcPr>
          <w:p w14:paraId="5109E254" w14:textId="77777777" w:rsidR="004E6452" w:rsidRPr="001570EA" w:rsidRDefault="004E6452" w:rsidP="00597241">
            <w:pPr>
              <w:pStyle w:val="TableCell"/>
              <w:keepLines/>
              <w:spacing w:before="60" w:after="60"/>
              <w:jc w:val="center"/>
              <w:rPr>
                <w:b/>
              </w:rPr>
            </w:pPr>
            <w:r w:rsidRPr="001570EA">
              <w:rPr>
                <w:b/>
              </w:rPr>
              <w:t>Value</w:t>
            </w:r>
          </w:p>
        </w:tc>
        <w:tc>
          <w:tcPr>
            <w:tcW w:w="1170" w:type="dxa"/>
            <w:shd w:val="clear" w:color="auto" w:fill="BFBFBF" w:themeFill="background1" w:themeFillShade="BF"/>
            <w:vAlign w:val="bottom"/>
          </w:tcPr>
          <w:p w14:paraId="033C8DBB" w14:textId="77777777" w:rsidR="004E6452" w:rsidRPr="001570EA" w:rsidRDefault="004E6452" w:rsidP="00597241">
            <w:pPr>
              <w:pStyle w:val="TableCell"/>
              <w:keepLines/>
              <w:spacing w:before="60" w:after="60"/>
              <w:jc w:val="center"/>
              <w:rPr>
                <w:b/>
              </w:rPr>
            </w:pPr>
            <w:r w:rsidRPr="001570EA">
              <w:rPr>
                <w:b/>
              </w:rPr>
              <w:t>Sources</w:t>
            </w:r>
          </w:p>
        </w:tc>
      </w:tr>
      <w:tr w:rsidR="004E6452" w:rsidRPr="001570EA" w14:paraId="29977055" w14:textId="77777777">
        <w:trPr>
          <w:trHeight w:val="317"/>
          <w:jc w:val="center"/>
        </w:trPr>
        <w:tc>
          <w:tcPr>
            <w:tcW w:w="4320" w:type="dxa"/>
            <w:vAlign w:val="center"/>
          </w:tcPr>
          <w:p w14:paraId="75C7FA67" w14:textId="77777777" w:rsidR="004E6452" w:rsidRPr="001570EA" w:rsidRDefault="004E6452" w:rsidP="00597241">
            <w:pPr>
              <w:pStyle w:val="TableCell"/>
              <w:keepLines/>
              <w:spacing w:before="60" w:after="60"/>
              <w:jc w:val="left"/>
              <w:rPr>
                <w:szCs w:val="18"/>
              </w:rPr>
            </w:pPr>
            <w:r w:rsidRPr="001570EA">
              <w:rPr>
                <w:i/>
                <w:szCs w:val="18"/>
              </w:rPr>
              <w:t>CAPY</w:t>
            </w:r>
            <w:r w:rsidRPr="001570EA">
              <w:rPr>
                <w:szCs w:val="18"/>
              </w:rPr>
              <w:t xml:space="preserve">, </w:t>
            </w:r>
            <w:r w:rsidRPr="001570EA">
              <w:rPr>
                <w:rFonts w:cs="Arial"/>
                <w:iCs/>
                <w:szCs w:val="18"/>
              </w:rPr>
              <w:t>Average capacity of the unit</w:t>
            </w:r>
          </w:p>
        </w:tc>
        <w:tc>
          <w:tcPr>
            <w:tcW w:w="1147" w:type="dxa"/>
          </w:tcPr>
          <w:p w14:paraId="13DE3782" w14:textId="77777777" w:rsidR="004E6452" w:rsidRPr="001570EA" w:rsidRDefault="003B5E04" w:rsidP="00597241">
            <w:pPr>
              <w:pStyle w:val="TableCell"/>
              <w:keepLines/>
              <w:spacing w:before="60" w:after="60"/>
              <w:jc w:val="center"/>
              <w:rPr>
                <w:szCs w:val="18"/>
              </w:rPr>
            </w:pPr>
            <m:oMathPara>
              <m:oMath>
                <m:f>
                  <m:fPr>
                    <m:ctrlPr>
                      <w:rPr>
                        <w:rFonts w:ascii="Cambria Math" w:hAnsi="Cambria Math"/>
                        <w:i/>
                        <w:szCs w:val="18"/>
                      </w:rPr>
                    </m:ctrlPr>
                  </m:fPr>
                  <m:num>
                    <m:r>
                      <w:rPr>
                        <w:rFonts w:ascii="Cambria Math" w:hAnsi="Cambria Math"/>
                        <w:szCs w:val="18"/>
                      </w:rPr>
                      <m:t>pints</m:t>
                    </m:r>
                  </m:num>
                  <m:den>
                    <m:r>
                      <w:rPr>
                        <w:rFonts w:ascii="Cambria Math" w:hAnsi="Cambria Math"/>
                        <w:szCs w:val="18"/>
                      </w:rPr>
                      <m:t>day</m:t>
                    </m:r>
                  </m:den>
                </m:f>
              </m:oMath>
            </m:oMathPara>
          </w:p>
        </w:tc>
        <w:tc>
          <w:tcPr>
            <w:tcW w:w="1980" w:type="dxa"/>
            <w:vAlign w:val="center"/>
          </w:tcPr>
          <w:p w14:paraId="4F0433E4" w14:textId="77777777" w:rsidR="004E6452" w:rsidRPr="001570EA" w:rsidRDefault="004E6452" w:rsidP="00597241">
            <w:pPr>
              <w:pStyle w:val="TableCell"/>
              <w:keepLines/>
              <w:jc w:val="center"/>
              <w:rPr>
                <w:szCs w:val="18"/>
              </w:rPr>
            </w:pPr>
            <w:r w:rsidRPr="001570EA">
              <w:rPr>
                <w:szCs w:val="18"/>
              </w:rPr>
              <w:t>EDC Data Gathering</w:t>
            </w:r>
          </w:p>
        </w:tc>
        <w:tc>
          <w:tcPr>
            <w:tcW w:w="1170" w:type="dxa"/>
            <w:vAlign w:val="center"/>
          </w:tcPr>
          <w:p w14:paraId="6F479E79" w14:textId="77777777" w:rsidR="004E6452" w:rsidRPr="001570EA" w:rsidRDefault="004E6452" w:rsidP="00597241">
            <w:pPr>
              <w:pStyle w:val="TableCell"/>
              <w:keepLines/>
              <w:spacing w:before="60" w:after="60"/>
              <w:jc w:val="center"/>
              <w:rPr>
                <w:szCs w:val="18"/>
              </w:rPr>
            </w:pPr>
            <w:r w:rsidRPr="001570EA">
              <w:rPr>
                <w:szCs w:val="18"/>
              </w:rPr>
              <w:t>EDC Data Gathering</w:t>
            </w:r>
          </w:p>
        </w:tc>
      </w:tr>
      <w:tr w:rsidR="004E6452" w:rsidRPr="001570EA" w14:paraId="331ADA15" w14:textId="77777777">
        <w:trPr>
          <w:trHeight w:val="317"/>
          <w:jc w:val="center"/>
        </w:trPr>
        <w:tc>
          <w:tcPr>
            <w:tcW w:w="4320" w:type="dxa"/>
            <w:vAlign w:val="center"/>
          </w:tcPr>
          <w:p w14:paraId="31BD47C5" w14:textId="77777777" w:rsidR="004E6452" w:rsidRPr="001570EA" w:rsidRDefault="004E6452" w:rsidP="00597241">
            <w:pPr>
              <w:pStyle w:val="TableCell"/>
              <w:keepLines/>
              <w:spacing w:before="60" w:after="60"/>
              <w:jc w:val="left"/>
              <w:rPr>
                <w:szCs w:val="18"/>
              </w:rPr>
            </w:pPr>
            <w:r w:rsidRPr="001570EA">
              <w:rPr>
                <w:i/>
                <w:szCs w:val="18"/>
              </w:rPr>
              <w:t>HOU</w:t>
            </w:r>
            <w:r w:rsidRPr="001570EA">
              <w:rPr>
                <w:szCs w:val="18"/>
              </w:rPr>
              <w:t xml:space="preserve">, </w:t>
            </w:r>
            <w:r w:rsidRPr="001570EA">
              <w:rPr>
                <w:rFonts w:cs="Arial"/>
                <w:iCs/>
                <w:szCs w:val="18"/>
              </w:rPr>
              <w:t>Annual hours of operation</w:t>
            </w:r>
          </w:p>
        </w:tc>
        <w:tc>
          <w:tcPr>
            <w:tcW w:w="1147" w:type="dxa"/>
          </w:tcPr>
          <w:p w14:paraId="457710B4" w14:textId="77777777" w:rsidR="004E6452" w:rsidRPr="001570EA" w:rsidRDefault="003B5E04" w:rsidP="00597241">
            <w:pPr>
              <w:pStyle w:val="TableCell"/>
              <w:keepLines/>
              <w:spacing w:before="60" w:after="60"/>
              <w:jc w:val="center"/>
              <w:rPr>
                <w:szCs w:val="18"/>
              </w:rPr>
            </w:pPr>
            <m:oMathPara>
              <m:oMath>
                <m:f>
                  <m:fPr>
                    <m:ctrlPr>
                      <w:rPr>
                        <w:rFonts w:ascii="Cambria Math" w:hAnsi="Cambria Math"/>
                        <w:i/>
                        <w:szCs w:val="18"/>
                      </w:rPr>
                    </m:ctrlPr>
                  </m:fPr>
                  <m:num>
                    <m:r>
                      <w:rPr>
                        <w:rFonts w:ascii="Cambria Math" w:hAnsi="Cambria Math"/>
                        <w:szCs w:val="18"/>
                      </w:rPr>
                      <m:t>hours</m:t>
                    </m:r>
                  </m:num>
                  <m:den>
                    <m:r>
                      <w:rPr>
                        <w:rFonts w:ascii="Cambria Math" w:hAnsi="Cambria Math"/>
                        <w:szCs w:val="18"/>
                      </w:rPr>
                      <m:t>yr</m:t>
                    </m:r>
                  </m:den>
                </m:f>
              </m:oMath>
            </m:oMathPara>
          </w:p>
        </w:tc>
        <w:tc>
          <w:tcPr>
            <w:tcW w:w="1980" w:type="dxa"/>
            <w:vAlign w:val="center"/>
          </w:tcPr>
          <w:p w14:paraId="03C8B5D1" w14:textId="77777777" w:rsidR="004E6452" w:rsidRPr="001570EA" w:rsidRDefault="004E6452" w:rsidP="00597241">
            <w:pPr>
              <w:pStyle w:val="TableCell"/>
              <w:keepLines/>
              <w:spacing w:before="60" w:after="60"/>
              <w:jc w:val="center"/>
              <w:rPr>
                <w:szCs w:val="18"/>
              </w:rPr>
            </w:pPr>
            <w:r w:rsidRPr="001570EA">
              <w:rPr>
                <w:szCs w:val="18"/>
              </w:rPr>
              <w:t>2,160</w:t>
            </w:r>
          </w:p>
        </w:tc>
        <w:tc>
          <w:tcPr>
            <w:tcW w:w="1170" w:type="dxa"/>
            <w:vAlign w:val="center"/>
          </w:tcPr>
          <w:p w14:paraId="45F3C008" w14:textId="77777777" w:rsidR="004E6452" w:rsidRPr="001570EA" w:rsidRDefault="004E6452" w:rsidP="00597241">
            <w:pPr>
              <w:pStyle w:val="TableCell"/>
              <w:keepLines/>
              <w:spacing w:before="60" w:after="60"/>
              <w:jc w:val="center"/>
              <w:rPr>
                <w:szCs w:val="18"/>
              </w:rPr>
            </w:pPr>
            <w:r w:rsidRPr="001570EA">
              <w:rPr>
                <w:szCs w:val="18"/>
              </w:rPr>
              <w:t>1</w:t>
            </w:r>
          </w:p>
        </w:tc>
      </w:tr>
      <w:tr w:rsidR="004E6452" w:rsidRPr="001570EA" w14:paraId="5B744B2D" w14:textId="77777777">
        <w:trPr>
          <w:trHeight w:val="317"/>
          <w:jc w:val="center"/>
        </w:trPr>
        <w:tc>
          <w:tcPr>
            <w:tcW w:w="4320" w:type="dxa"/>
            <w:vAlign w:val="center"/>
          </w:tcPr>
          <w:p w14:paraId="282D360A" w14:textId="77777777" w:rsidR="004E6452" w:rsidRPr="001570EA" w:rsidRDefault="003B5E04" w:rsidP="00597241">
            <w:pPr>
              <w:pStyle w:val="TableCell"/>
              <w:keepLines/>
              <w:spacing w:before="60" w:after="60"/>
              <w:jc w:val="left"/>
              <w:rPr>
                <w:szCs w:val="18"/>
              </w:rPr>
            </w:pPr>
            <m:oMath>
              <m:sSub>
                <m:sSubPr>
                  <m:ctrlPr>
                    <w:rPr>
                      <w:rFonts w:ascii="Cambria Math" w:hAnsi="Cambria Math"/>
                      <w:i/>
                      <w:szCs w:val="18"/>
                    </w:rPr>
                  </m:ctrlPr>
                </m:sSubPr>
                <m:e>
                  <m:r>
                    <w:rPr>
                      <w:rFonts w:ascii="Cambria Math" w:hAnsi="Cambria Math"/>
                      <w:szCs w:val="18"/>
                    </w:rPr>
                    <m:t>IEF</m:t>
                  </m:r>
                </m:e>
                <m:sub>
                  <m:r>
                    <w:rPr>
                      <w:rFonts w:ascii="Cambria Math" w:hAnsi="Cambria Math"/>
                      <w:szCs w:val="18"/>
                    </w:rPr>
                    <m:t>base</m:t>
                  </m:r>
                </m:sub>
              </m:sSub>
            </m:oMath>
            <w:r w:rsidR="004E6452" w:rsidRPr="001570EA">
              <w:rPr>
                <w:szCs w:val="18"/>
              </w:rPr>
              <w:t xml:space="preserve">, </w:t>
            </w:r>
            <w:r w:rsidR="004E6452" w:rsidRPr="001570EA">
              <w:rPr>
                <w:rFonts w:cs="Arial"/>
                <w:iCs/>
                <w:szCs w:val="18"/>
              </w:rPr>
              <w:t>Baseline unit liters of condensate per kWh consumed</w:t>
            </w:r>
          </w:p>
        </w:tc>
        <w:tc>
          <w:tcPr>
            <w:tcW w:w="1147" w:type="dxa"/>
            <w:vAlign w:val="center"/>
          </w:tcPr>
          <w:p w14:paraId="697EF260" w14:textId="77777777" w:rsidR="004E6452" w:rsidRPr="001570EA" w:rsidRDefault="003B5E04" w:rsidP="00597241">
            <w:pPr>
              <w:pStyle w:val="TableCell"/>
              <w:keepLines/>
              <w:spacing w:before="60" w:after="60"/>
              <w:jc w:val="center"/>
              <w:rPr>
                <w:szCs w:val="18"/>
              </w:rPr>
            </w:pPr>
            <m:oMathPara>
              <m:oMath>
                <m:f>
                  <m:fPr>
                    <m:ctrlPr>
                      <w:rPr>
                        <w:rFonts w:ascii="Cambria Math" w:hAnsi="Cambria Math"/>
                        <w:i/>
                        <w:szCs w:val="18"/>
                      </w:rPr>
                    </m:ctrlPr>
                  </m:fPr>
                  <m:num>
                    <m:r>
                      <w:rPr>
                        <w:rFonts w:ascii="Cambria Math" w:hAnsi="Cambria Math"/>
                        <w:szCs w:val="18"/>
                      </w:rPr>
                      <m:t>liters</m:t>
                    </m:r>
                  </m:num>
                  <m:den>
                    <m:r>
                      <w:rPr>
                        <w:rFonts w:ascii="Cambria Math" w:hAnsi="Cambria Math"/>
                        <w:szCs w:val="18"/>
                      </w:rPr>
                      <m:t>kWh</m:t>
                    </m:r>
                  </m:den>
                </m:f>
              </m:oMath>
            </m:oMathPara>
          </w:p>
        </w:tc>
        <w:tc>
          <w:tcPr>
            <w:tcW w:w="1980" w:type="dxa"/>
            <w:vAlign w:val="center"/>
          </w:tcPr>
          <w:p w14:paraId="4625376C" w14:textId="29A75DF2" w:rsidR="004E6452" w:rsidRPr="001570EA" w:rsidRDefault="004E6452" w:rsidP="00597241">
            <w:pPr>
              <w:pStyle w:val="TableCell"/>
              <w:keepLines/>
              <w:spacing w:before="60" w:after="60"/>
              <w:jc w:val="center"/>
              <w:rPr>
                <w:szCs w:val="18"/>
              </w:rPr>
            </w:pPr>
            <w:r w:rsidRPr="001570EA">
              <w:rPr>
                <w:szCs w:val="18"/>
              </w:rPr>
              <w:fldChar w:fldCharType="begin"/>
            </w:r>
            <w:r w:rsidRPr="001570EA">
              <w:rPr>
                <w:szCs w:val="18"/>
              </w:rPr>
              <w:instrText xml:space="preserve"> REF _Ref535144719 \h </w:instrText>
            </w:r>
            <w:r w:rsidR="001570EA">
              <w:rPr>
                <w:szCs w:val="18"/>
              </w:rPr>
              <w:instrText xml:space="preserve"> \* MERGEFORMAT </w:instrText>
            </w:r>
            <w:r w:rsidRPr="001570EA">
              <w:rPr>
                <w:szCs w:val="18"/>
              </w:rPr>
            </w:r>
            <w:r w:rsidRPr="001570EA">
              <w:rPr>
                <w:szCs w:val="18"/>
              </w:rPr>
              <w:fldChar w:fldCharType="separate"/>
            </w:r>
            <w:r w:rsidR="00234C6C" w:rsidRPr="001570EA">
              <w:t xml:space="preserve">Table </w:t>
            </w:r>
            <w:r w:rsidR="00234C6C" w:rsidRPr="001570EA">
              <w:rPr>
                <w:noProof/>
              </w:rPr>
              <w:t>2</w:t>
            </w:r>
            <w:r w:rsidRPr="001570EA">
              <w:rPr>
                <w:szCs w:val="18"/>
              </w:rPr>
              <w:fldChar w:fldCharType="end"/>
            </w:r>
          </w:p>
        </w:tc>
        <w:tc>
          <w:tcPr>
            <w:tcW w:w="1170" w:type="dxa"/>
            <w:vAlign w:val="center"/>
          </w:tcPr>
          <w:p w14:paraId="1CCC0F51" w14:textId="77777777" w:rsidR="004E6452" w:rsidRPr="001570EA" w:rsidRDefault="004E6452" w:rsidP="00597241">
            <w:pPr>
              <w:pStyle w:val="TableCell"/>
              <w:keepLines/>
              <w:spacing w:before="60" w:after="60"/>
              <w:jc w:val="center"/>
              <w:rPr>
                <w:szCs w:val="18"/>
              </w:rPr>
            </w:pPr>
            <w:r w:rsidRPr="001570EA">
              <w:rPr>
                <w:szCs w:val="18"/>
              </w:rPr>
              <w:t>4</w:t>
            </w:r>
          </w:p>
        </w:tc>
      </w:tr>
      <w:tr w:rsidR="004E6452" w:rsidRPr="001570EA" w14:paraId="1D65BC25" w14:textId="77777777">
        <w:trPr>
          <w:trHeight w:val="317"/>
          <w:jc w:val="center"/>
        </w:trPr>
        <w:tc>
          <w:tcPr>
            <w:tcW w:w="4320" w:type="dxa"/>
            <w:vAlign w:val="center"/>
          </w:tcPr>
          <w:p w14:paraId="1774D265" w14:textId="77777777" w:rsidR="004E6452" w:rsidRPr="001570EA" w:rsidRDefault="003B5E04" w:rsidP="00597241">
            <w:pPr>
              <w:pStyle w:val="TableCell"/>
              <w:keepLines/>
              <w:spacing w:before="60" w:after="60"/>
              <w:jc w:val="left"/>
              <w:rPr>
                <w:szCs w:val="18"/>
              </w:rPr>
            </w:pPr>
            <m:oMath>
              <m:sSub>
                <m:sSubPr>
                  <m:ctrlPr>
                    <w:rPr>
                      <w:rFonts w:ascii="Cambria Math" w:hAnsi="Cambria Math"/>
                      <w:i/>
                      <w:szCs w:val="18"/>
                    </w:rPr>
                  </m:ctrlPr>
                </m:sSubPr>
                <m:e>
                  <m:r>
                    <w:rPr>
                      <w:rFonts w:ascii="Cambria Math" w:hAnsi="Cambria Math"/>
                      <w:szCs w:val="18"/>
                    </w:rPr>
                    <m:t>IEF</m:t>
                  </m:r>
                </m:e>
                <m:sub>
                  <m:r>
                    <w:rPr>
                      <w:rFonts w:ascii="Cambria Math" w:hAnsi="Cambria Math"/>
                      <w:szCs w:val="18"/>
                    </w:rPr>
                    <m:t>ee</m:t>
                  </m:r>
                </m:sub>
              </m:sSub>
            </m:oMath>
            <w:r w:rsidR="004E6452" w:rsidRPr="001570EA">
              <w:rPr>
                <w:szCs w:val="18"/>
              </w:rPr>
              <w:t xml:space="preserve">, </w:t>
            </w:r>
            <w:r w:rsidR="004E6452" w:rsidRPr="001570EA">
              <w:rPr>
                <w:rFonts w:cs="Arial"/>
                <w:iCs/>
                <w:szCs w:val="18"/>
              </w:rPr>
              <w:t>ENERGY STAR qualified unit liters of condensate per kWh consumed</w:t>
            </w:r>
          </w:p>
        </w:tc>
        <w:tc>
          <w:tcPr>
            <w:tcW w:w="1147" w:type="dxa"/>
            <w:vAlign w:val="center"/>
          </w:tcPr>
          <w:p w14:paraId="77B82662" w14:textId="77777777" w:rsidR="004E6452" w:rsidRPr="001570EA" w:rsidRDefault="003B5E04" w:rsidP="00597241">
            <w:pPr>
              <w:pStyle w:val="TableCell"/>
              <w:keepLines/>
              <w:spacing w:before="60" w:after="60"/>
              <w:jc w:val="center"/>
              <w:rPr>
                <w:szCs w:val="18"/>
              </w:rPr>
            </w:pPr>
            <m:oMathPara>
              <m:oMath>
                <m:f>
                  <m:fPr>
                    <m:ctrlPr>
                      <w:rPr>
                        <w:rFonts w:ascii="Cambria Math" w:hAnsi="Cambria Math"/>
                        <w:i/>
                        <w:szCs w:val="18"/>
                      </w:rPr>
                    </m:ctrlPr>
                  </m:fPr>
                  <m:num>
                    <m:r>
                      <w:rPr>
                        <w:rFonts w:ascii="Cambria Math" w:hAnsi="Cambria Math"/>
                        <w:szCs w:val="18"/>
                      </w:rPr>
                      <m:t>liters</m:t>
                    </m:r>
                  </m:num>
                  <m:den>
                    <m:r>
                      <w:rPr>
                        <w:rFonts w:ascii="Cambria Math" w:hAnsi="Cambria Math"/>
                        <w:szCs w:val="18"/>
                      </w:rPr>
                      <m:t>kWh</m:t>
                    </m:r>
                  </m:den>
                </m:f>
              </m:oMath>
            </m:oMathPara>
          </w:p>
        </w:tc>
        <w:tc>
          <w:tcPr>
            <w:tcW w:w="1980" w:type="dxa"/>
            <w:vAlign w:val="center"/>
          </w:tcPr>
          <w:p w14:paraId="6EA5788E" w14:textId="77777777" w:rsidR="004E6452" w:rsidRPr="001570EA" w:rsidRDefault="004E6452" w:rsidP="00597241">
            <w:pPr>
              <w:pStyle w:val="TableCell"/>
              <w:keepLines/>
              <w:jc w:val="center"/>
              <w:rPr>
                <w:szCs w:val="18"/>
              </w:rPr>
            </w:pPr>
            <w:r w:rsidRPr="001570EA">
              <w:rPr>
                <w:szCs w:val="18"/>
              </w:rPr>
              <w:t>EDC Data Gathering</w:t>
            </w:r>
          </w:p>
          <w:p w14:paraId="5D0EE2A2" w14:textId="14CBD812" w:rsidR="004E6452" w:rsidRPr="001570EA" w:rsidRDefault="004E6452" w:rsidP="00597241">
            <w:pPr>
              <w:pStyle w:val="TableCell"/>
              <w:keepLines/>
              <w:spacing w:before="60" w:after="60"/>
              <w:jc w:val="center"/>
              <w:rPr>
                <w:szCs w:val="18"/>
              </w:rPr>
            </w:pPr>
            <w:r w:rsidRPr="001570EA">
              <w:rPr>
                <w:szCs w:val="18"/>
              </w:rPr>
              <w:t xml:space="preserve">Default: </w:t>
            </w:r>
            <w:r w:rsidRPr="001570EA">
              <w:rPr>
                <w:szCs w:val="18"/>
              </w:rPr>
              <w:fldChar w:fldCharType="begin"/>
            </w:r>
            <w:r w:rsidRPr="001570EA">
              <w:rPr>
                <w:szCs w:val="18"/>
              </w:rPr>
              <w:instrText xml:space="preserve"> REF _Ref535144719 \h </w:instrText>
            </w:r>
            <w:r w:rsidR="001570EA">
              <w:rPr>
                <w:szCs w:val="18"/>
              </w:rPr>
              <w:instrText xml:space="preserve"> \* MERGEFORMAT </w:instrText>
            </w:r>
            <w:r w:rsidRPr="001570EA">
              <w:rPr>
                <w:szCs w:val="18"/>
              </w:rPr>
            </w:r>
            <w:r w:rsidRPr="001570EA">
              <w:rPr>
                <w:szCs w:val="18"/>
              </w:rPr>
              <w:fldChar w:fldCharType="separate"/>
            </w:r>
            <w:r w:rsidR="00234C6C" w:rsidRPr="001570EA">
              <w:t xml:space="preserve">Table </w:t>
            </w:r>
            <w:r w:rsidR="00234C6C" w:rsidRPr="001570EA">
              <w:rPr>
                <w:noProof/>
              </w:rPr>
              <w:t>2</w:t>
            </w:r>
            <w:r w:rsidRPr="001570EA">
              <w:rPr>
                <w:szCs w:val="18"/>
              </w:rPr>
              <w:fldChar w:fldCharType="end"/>
            </w:r>
          </w:p>
        </w:tc>
        <w:tc>
          <w:tcPr>
            <w:tcW w:w="1170" w:type="dxa"/>
            <w:vAlign w:val="center"/>
          </w:tcPr>
          <w:p w14:paraId="1F195538" w14:textId="77777777" w:rsidR="004E6452" w:rsidRPr="001570EA" w:rsidRDefault="004E6452" w:rsidP="00597241">
            <w:pPr>
              <w:pStyle w:val="TableCell"/>
              <w:keepLines/>
              <w:spacing w:before="60" w:after="60"/>
              <w:jc w:val="center"/>
              <w:rPr>
                <w:szCs w:val="18"/>
              </w:rPr>
            </w:pPr>
            <w:r w:rsidRPr="001570EA">
              <w:rPr>
                <w:szCs w:val="18"/>
              </w:rPr>
              <w:t>EDC data gathering,</w:t>
            </w:r>
          </w:p>
          <w:p w14:paraId="29E6FC31" w14:textId="77777777" w:rsidR="004E6452" w:rsidRPr="001570EA" w:rsidRDefault="004E6452" w:rsidP="00597241">
            <w:pPr>
              <w:pStyle w:val="TableCell"/>
              <w:keepLines/>
              <w:spacing w:before="60" w:after="60"/>
              <w:jc w:val="center"/>
              <w:rPr>
                <w:szCs w:val="18"/>
              </w:rPr>
            </w:pPr>
            <w:r w:rsidRPr="001570EA">
              <w:rPr>
                <w:szCs w:val="18"/>
              </w:rPr>
              <w:t xml:space="preserve">3, 6 </w:t>
            </w:r>
          </w:p>
        </w:tc>
      </w:tr>
      <w:tr w:rsidR="004E6452" w:rsidRPr="001570EA" w14:paraId="2D4BBBB5" w14:textId="77777777">
        <w:trPr>
          <w:trHeight w:val="317"/>
          <w:jc w:val="center"/>
        </w:trPr>
        <w:tc>
          <w:tcPr>
            <w:tcW w:w="4320" w:type="dxa"/>
            <w:vAlign w:val="center"/>
          </w:tcPr>
          <w:p w14:paraId="62EF90D6" w14:textId="15A729B3" w:rsidR="004E6452" w:rsidRPr="001570EA" w:rsidRDefault="004E6452" w:rsidP="00597241">
            <w:pPr>
              <w:pStyle w:val="TableCell"/>
              <w:keepLines/>
              <w:spacing w:before="60" w:after="60"/>
              <w:jc w:val="left"/>
              <w:rPr>
                <w:szCs w:val="18"/>
              </w:rPr>
            </w:pPr>
            <w:r w:rsidRPr="001570EA">
              <w:rPr>
                <w:i/>
                <w:szCs w:val="18"/>
              </w:rPr>
              <w:t>CF</w:t>
            </w:r>
            <w:r w:rsidRPr="001570EA">
              <w:rPr>
                <w:szCs w:val="18"/>
              </w:rPr>
              <w:t xml:space="preserve">, Summer </w:t>
            </w:r>
            <w:r w:rsidRPr="001570EA">
              <w:rPr>
                <w:rFonts w:cs="Arial"/>
                <w:iCs/>
                <w:szCs w:val="18"/>
              </w:rPr>
              <w:t>demand coincidence factor</w:t>
            </w:r>
            <w:r w:rsidRPr="001570EA">
              <w:rPr>
                <w:rFonts w:cs="Arial"/>
                <w:i/>
                <w:szCs w:val="18"/>
              </w:rPr>
              <w:t xml:space="preserve"> </w:t>
            </w:r>
          </w:p>
        </w:tc>
        <w:tc>
          <w:tcPr>
            <w:tcW w:w="1147" w:type="dxa"/>
            <w:vAlign w:val="center"/>
          </w:tcPr>
          <w:p w14:paraId="1B9440D4" w14:textId="77777777" w:rsidR="004E6452" w:rsidRPr="001570EA" w:rsidRDefault="004E6452" w:rsidP="00597241">
            <w:pPr>
              <w:pStyle w:val="TableCell"/>
              <w:keepLines/>
              <w:spacing w:before="60" w:after="60"/>
              <w:jc w:val="center"/>
              <w:rPr>
                <w:i/>
                <w:szCs w:val="18"/>
              </w:rPr>
            </w:pPr>
            <w:r w:rsidRPr="001570EA">
              <w:rPr>
                <w:i/>
                <w:szCs w:val="18"/>
              </w:rPr>
              <w:t>Proportion</w:t>
            </w:r>
          </w:p>
        </w:tc>
        <w:tc>
          <w:tcPr>
            <w:tcW w:w="1980" w:type="dxa"/>
            <w:vAlign w:val="center"/>
          </w:tcPr>
          <w:p w14:paraId="2187CBC0" w14:textId="77777777" w:rsidR="004E6452" w:rsidRPr="001570EA" w:rsidRDefault="004E6452" w:rsidP="00597241">
            <w:pPr>
              <w:pStyle w:val="TableCell"/>
              <w:keepLines/>
              <w:jc w:val="center"/>
              <w:rPr>
                <w:szCs w:val="18"/>
              </w:rPr>
            </w:pPr>
            <w:r w:rsidRPr="001570EA">
              <w:rPr>
                <w:szCs w:val="18"/>
              </w:rPr>
              <w:t>0.405</w:t>
            </w:r>
          </w:p>
        </w:tc>
        <w:tc>
          <w:tcPr>
            <w:tcW w:w="1170" w:type="dxa"/>
            <w:vAlign w:val="center"/>
          </w:tcPr>
          <w:p w14:paraId="71A04A35" w14:textId="77777777" w:rsidR="004E6452" w:rsidRPr="001570EA" w:rsidRDefault="004E6452" w:rsidP="00597241">
            <w:pPr>
              <w:pStyle w:val="TableCell"/>
              <w:keepLines/>
              <w:spacing w:before="60" w:after="60"/>
              <w:jc w:val="center"/>
              <w:rPr>
                <w:szCs w:val="18"/>
              </w:rPr>
            </w:pPr>
            <w:r w:rsidRPr="001570EA">
              <w:rPr>
                <w:szCs w:val="18"/>
              </w:rPr>
              <w:t>5</w:t>
            </w:r>
          </w:p>
        </w:tc>
      </w:tr>
    </w:tbl>
    <w:p w14:paraId="4D6CCA52" w14:textId="59EE2ABC" w:rsidR="004E6452" w:rsidRPr="001570EA" w:rsidRDefault="00EA4E90" w:rsidP="00EA4E90">
      <w:pPr>
        <w:pStyle w:val="NoSpacing"/>
        <w:tabs>
          <w:tab w:val="left" w:pos="3290"/>
        </w:tabs>
        <w:spacing w:after="0"/>
        <w:jc w:val="left"/>
        <w:rPr>
          <w:rFonts w:cs="Arial"/>
          <w:szCs w:val="20"/>
        </w:rPr>
      </w:pPr>
      <w:r w:rsidRPr="001570EA">
        <w:rPr>
          <w:rFonts w:cs="Arial"/>
          <w:szCs w:val="20"/>
        </w:rPr>
        <w:tab/>
      </w:r>
    </w:p>
    <w:p w14:paraId="619A9523" w14:textId="65891A3F" w:rsidR="004E6452" w:rsidRPr="001570EA" w:rsidRDefault="004E6452" w:rsidP="004E6452">
      <w:pPr>
        <w:pStyle w:val="NoSpacing"/>
        <w:rPr>
          <w:rFonts w:cs="Arial"/>
          <w:szCs w:val="20"/>
        </w:rPr>
      </w:pPr>
      <w:r w:rsidRPr="001570EA">
        <w:rPr>
          <w:rFonts w:cs="Arial"/>
          <w:szCs w:val="20"/>
        </w:rPr>
        <w:fldChar w:fldCharType="begin"/>
      </w:r>
      <w:r w:rsidRPr="001570EA">
        <w:rPr>
          <w:rFonts w:cs="Arial"/>
          <w:szCs w:val="20"/>
        </w:rPr>
        <w:instrText xml:space="preserve"> REF _Ref535144719 \h </w:instrText>
      </w:r>
      <w:r w:rsidR="001570EA">
        <w:rPr>
          <w:rFonts w:cs="Arial"/>
          <w:szCs w:val="20"/>
        </w:rPr>
        <w:instrText xml:space="preserve"> \* MERGEFORMAT </w:instrText>
      </w:r>
      <w:r w:rsidRPr="001570EA">
        <w:rPr>
          <w:rFonts w:cs="Arial"/>
          <w:szCs w:val="20"/>
        </w:rPr>
      </w:r>
      <w:r w:rsidRPr="001570EA">
        <w:rPr>
          <w:rFonts w:cs="Arial"/>
          <w:szCs w:val="20"/>
        </w:rPr>
        <w:fldChar w:fldCharType="separate"/>
      </w:r>
      <w:r w:rsidR="00EA2E5D" w:rsidRPr="001570EA">
        <w:t xml:space="preserve">Table </w:t>
      </w:r>
      <w:r w:rsidR="00EA2E5D" w:rsidRPr="001570EA">
        <w:rPr>
          <w:noProof/>
        </w:rPr>
        <w:t>2</w:t>
      </w:r>
      <w:r w:rsidR="00EA2E5D" w:rsidRPr="001570EA">
        <w:rPr>
          <w:noProof/>
        </w:rPr>
        <w:noBreakHyphen/>
        <w:t>115</w:t>
      </w:r>
      <w:r w:rsidRPr="001570EA">
        <w:rPr>
          <w:rFonts w:cs="Arial"/>
          <w:szCs w:val="20"/>
        </w:rPr>
        <w:fldChar w:fldCharType="end"/>
      </w:r>
      <w:r w:rsidRPr="001570EA">
        <w:rPr>
          <w:rFonts w:cs="Arial"/>
          <w:szCs w:val="20"/>
        </w:rPr>
        <w:t xml:space="preserve"> shows the federal standard minimum efficiency standards. Federal standards are effective as of June 13, 2019.</w:t>
      </w:r>
      <w:r w:rsidR="00E21FF8" w:rsidRPr="001570EA">
        <w:rPr>
          <w:rFonts w:cs="Arial"/>
          <w:szCs w:val="20"/>
        </w:rPr>
        <w:t xml:space="preserve"> </w:t>
      </w:r>
      <w:r w:rsidR="00E21FF8" w:rsidRPr="001570EA">
        <w:rPr>
          <w:rFonts w:cs="Arial"/>
          <w:szCs w:val="20"/>
        </w:rPr>
        <w:fldChar w:fldCharType="begin"/>
      </w:r>
      <w:r w:rsidR="00E21FF8" w:rsidRPr="001570EA">
        <w:rPr>
          <w:rFonts w:cs="Arial"/>
          <w:szCs w:val="20"/>
        </w:rPr>
        <w:instrText xml:space="preserve"> REF _Ref535144656 \h </w:instrText>
      </w:r>
      <w:r w:rsidR="001570EA">
        <w:rPr>
          <w:rFonts w:cs="Arial"/>
          <w:szCs w:val="20"/>
        </w:rPr>
        <w:instrText xml:space="preserve"> \* MERGEFORMAT </w:instrText>
      </w:r>
      <w:r w:rsidR="00E21FF8" w:rsidRPr="001570EA">
        <w:rPr>
          <w:rFonts w:cs="Arial"/>
          <w:szCs w:val="20"/>
        </w:rPr>
      </w:r>
      <w:r w:rsidR="00E21FF8" w:rsidRPr="001570EA">
        <w:rPr>
          <w:rFonts w:cs="Arial"/>
          <w:szCs w:val="20"/>
        </w:rPr>
        <w:fldChar w:fldCharType="separate"/>
      </w:r>
      <w:r w:rsidR="00EA2E5D" w:rsidRPr="001570EA">
        <w:t xml:space="preserve">Table </w:t>
      </w:r>
      <w:r w:rsidR="00EA2E5D" w:rsidRPr="001570EA">
        <w:rPr>
          <w:noProof/>
        </w:rPr>
        <w:t>2</w:t>
      </w:r>
      <w:r w:rsidR="00EA2E5D" w:rsidRPr="001570EA">
        <w:rPr>
          <w:noProof/>
        </w:rPr>
        <w:noBreakHyphen/>
        <w:t>116</w:t>
      </w:r>
      <w:r w:rsidR="00E21FF8" w:rsidRPr="001570EA">
        <w:rPr>
          <w:rFonts w:cs="Arial"/>
          <w:szCs w:val="20"/>
        </w:rPr>
        <w:fldChar w:fldCharType="end"/>
      </w:r>
      <w:r w:rsidRPr="001570EA">
        <w:rPr>
          <w:rFonts w:cs="Arial"/>
          <w:szCs w:val="20"/>
        </w:rPr>
        <w:t xml:space="preserve"> shows ENERGY STAR 5.0 standards effective as of October 31, 2019. </w:t>
      </w:r>
      <w:r w:rsidR="00E21FF8" w:rsidRPr="001570EA">
        <w:rPr>
          <w:rFonts w:cs="Arial"/>
          <w:szCs w:val="20"/>
        </w:rPr>
        <w:fldChar w:fldCharType="begin"/>
      </w:r>
      <w:r w:rsidR="00E21FF8" w:rsidRPr="001570EA">
        <w:rPr>
          <w:rFonts w:cs="Arial"/>
          <w:szCs w:val="20"/>
        </w:rPr>
        <w:instrText xml:space="preserve"> REF _Ref163829022 \h </w:instrText>
      </w:r>
      <w:r w:rsidR="001570EA">
        <w:rPr>
          <w:rFonts w:cs="Arial"/>
          <w:szCs w:val="20"/>
        </w:rPr>
        <w:instrText xml:space="preserve"> \* MERGEFORMAT </w:instrText>
      </w:r>
      <w:r w:rsidR="00E21FF8" w:rsidRPr="001570EA">
        <w:rPr>
          <w:rFonts w:cs="Arial"/>
          <w:szCs w:val="20"/>
        </w:rPr>
      </w:r>
      <w:r w:rsidR="00E21FF8" w:rsidRPr="001570EA">
        <w:rPr>
          <w:rFonts w:cs="Arial"/>
          <w:szCs w:val="20"/>
        </w:rPr>
        <w:fldChar w:fldCharType="separate"/>
      </w:r>
      <w:r w:rsidR="00EA2E5D" w:rsidRPr="001570EA">
        <w:t xml:space="preserve">Table </w:t>
      </w:r>
      <w:r w:rsidR="00EA2E5D" w:rsidRPr="001570EA">
        <w:rPr>
          <w:noProof/>
        </w:rPr>
        <w:t>2</w:t>
      </w:r>
      <w:r w:rsidR="00EA2E5D" w:rsidRPr="001570EA">
        <w:rPr>
          <w:noProof/>
        </w:rPr>
        <w:noBreakHyphen/>
        <w:t>117</w:t>
      </w:r>
      <w:r w:rsidR="00E21FF8" w:rsidRPr="001570EA">
        <w:rPr>
          <w:rFonts w:cs="Arial"/>
          <w:szCs w:val="20"/>
        </w:rPr>
        <w:fldChar w:fldCharType="end"/>
      </w:r>
      <w:r w:rsidR="00E21FF8" w:rsidRPr="001570EA">
        <w:rPr>
          <w:rFonts w:cs="Arial"/>
          <w:szCs w:val="20"/>
        </w:rPr>
        <w:t xml:space="preserve"> </w:t>
      </w:r>
      <w:r w:rsidRPr="001570EA">
        <w:rPr>
          <w:rFonts w:cs="Arial"/>
          <w:szCs w:val="20"/>
        </w:rPr>
        <w:t>shows ENERGY STAR Most Efficient 2024 criteria, effective January 2024.</w:t>
      </w:r>
      <w:r w:rsidRPr="001570EA">
        <w:rPr>
          <w:rFonts w:cs="Arial"/>
          <w:szCs w:val="20"/>
          <w:vertAlign w:val="superscript"/>
        </w:rPr>
        <w:t>Source 6</w:t>
      </w:r>
      <w:r w:rsidRPr="001570EA">
        <w:rPr>
          <w:rFonts w:cs="Arial"/>
          <w:szCs w:val="20"/>
        </w:rPr>
        <w:t xml:space="preserve"> Federal standards and ENERGY STAR Most Efficient criteria distinguish between portable dehumidifiers (designed to dehumidify a confined living space and plugged into an electrical outlet) and whole-home dehumidifiers (incorporated into the home’s HVAC system and designed to dehumidify all conditioned spaces).</w:t>
      </w:r>
      <w:r w:rsidR="00E21FF8" w:rsidRPr="001570EA">
        <w:rPr>
          <w:rFonts w:cs="Arial"/>
          <w:szCs w:val="20"/>
        </w:rPr>
        <w:t xml:space="preserve"> </w:t>
      </w:r>
    </w:p>
    <w:p w14:paraId="02584865" w14:textId="45138B44" w:rsidR="004E6452" w:rsidRPr="001570EA" w:rsidRDefault="004E6452" w:rsidP="004E6452">
      <w:pPr>
        <w:pStyle w:val="Caption"/>
      </w:pPr>
      <w:bookmarkStart w:id="622" w:name="_Ref535144719"/>
      <w:bookmarkStart w:id="623" w:name="_Toc6678630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115</w:t>
      </w:r>
      <w:r w:rsidR="002E093A" w:rsidRPr="001570EA">
        <w:fldChar w:fldCharType="end"/>
      </w:r>
      <w:bookmarkEnd w:id="622"/>
      <w:r w:rsidRPr="001570EA">
        <w:t>: Dehumidifier Efficiency Standards</w:t>
      </w:r>
      <w:bookmarkEnd w:id="623"/>
    </w:p>
    <w:tbl>
      <w:tblPr>
        <w:tblW w:w="8662" w:type="dxa"/>
        <w:jc w:val="center"/>
        <w:tblLook w:val="04A0" w:firstRow="1" w:lastRow="0" w:firstColumn="1" w:lastColumn="0" w:noHBand="0" w:noVBand="1"/>
      </w:tblPr>
      <w:tblGrid>
        <w:gridCol w:w="1750"/>
        <w:gridCol w:w="1728"/>
        <w:gridCol w:w="1728"/>
        <w:gridCol w:w="1728"/>
        <w:gridCol w:w="1728"/>
      </w:tblGrid>
      <w:tr w:rsidR="004E6452" w:rsidRPr="001570EA" w14:paraId="4A8AD405" w14:textId="77777777">
        <w:trPr>
          <w:trHeight w:val="480"/>
          <w:jc w:val="center"/>
        </w:trPr>
        <w:tc>
          <w:tcPr>
            <w:tcW w:w="1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DDF4A8" w14:textId="77777777" w:rsidR="004E6452" w:rsidRPr="001570EA" w:rsidRDefault="004E6452">
            <w:pPr>
              <w:jc w:val="center"/>
              <w:rPr>
                <w:rFonts w:cs="Arial"/>
                <w:b/>
                <w:bCs/>
                <w:color w:val="000000"/>
                <w:sz w:val="18"/>
                <w:szCs w:val="18"/>
              </w:rPr>
            </w:pPr>
            <w:r w:rsidRPr="001570EA">
              <w:rPr>
                <w:rFonts w:cs="Arial"/>
                <w:b/>
                <w:bCs/>
                <w:color w:val="000000"/>
                <w:sz w:val="18"/>
                <w:szCs w:val="18"/>
              </w:rPr>
              <w:t>Type</w:t>
            </w:r>
          </w:p>
        </w:tc>
        <w:tc>
          <w:tcPr>
            <w:tcW w:w="1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FF79B8" w14:textId="77777777" w:rsidR="004E6452" w:rsidRPr="001570EA" w:rsidRDefault="004E6452">
            <w:pPr>
              <w:jc w:val="center"/>
              <w:rPr>
                <w:rFonts w:cs="Arial"/>
                <w:b/>
                <w:bCs/>
                <w:color w:val="000000"/>
                <w:sz w:val="18"/>
                <w:szCs w:val="18"/>
              </w:rPr>
            </w:pPr>
            <w:r w:rsidRPr="001570EA">
              <w:rPr>
                <w:rFonts w:cs="Arial"/>
                <w:b/>
                <w:bCs/>
                <w:color w:val="000000"/>
                <w:sz w:val="18"/>
                <w:szCs w:val="18"/>
              </w:rPr>
              <w:t>Capacity</w:t>
            </w:r>
            <w:r w:rsidRPr="001570EA">
              <w:rPr>
                <w:rFonts w:cs="Arial"/>
                <w:b/>
                <w:bCs/>
                <w:color w:val="000000"/>
                <w:sz w:val="18"/>
                <w:szCs w:val="18"/>
              </w:rPr>
              <w:br/>
              <w:t>(pints/day)</w:t>
            </w:r>
          </w:p>
        </w:tc>
        <w:tc>
          <w:tcPr>
            <w:tcW w:w="172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3ED6A85" w14:textId="77777777" w:rsidR="004E6452" w:rsidRPr="001570EA" w:rsidRDefault="004E6452">
            <w:pPr>
              <w:jc w:val="center"/>
              <w:rPr>
                <w:rFonts w:cs="Arial"/>
                <w:b/>
                <w:bCs/>
                <w:color w:val="000000"/>
                <w:sz w:val="18"/>
                <w:szCs w:val="18"/>
              </w:rPr>
            </w:pPr>
            <w:r w:rsidRPr="001570EA">
              <w:rPr>
                <w:rFonts w:cs="Arial"/>
                <w:b/>
                <w:bCs/>
                <w:color w:val="000000"/>
                <w:sz w:val="18"/>
                <w:szCs w:val="18"/>
              </w:rPr>
              <w:t>Federal Standard</w:t>
            </w:r>
            <w:r w:rsidRPr="001570EA">
              <w:rPr>
                <w:rFonts w:cs="Arial"/>
                <w:b/>
                <w:bCs/>
                <w:color w:val="000000"/>
                <w:sz w:val="18"/>
                <w:szCs w:val="18"/>
              </w:rPr>
              <w:br/>
              <w:t>(</w:t>
            </w:r>
            <m:oMath>
              <m:sSub>
                <m:sSubPr>
                  <m:ctrlPr>
                    <w:rPr>
                      <w:rFonts w:ascii="Cambria Math" w:hAnsi="Cambria Math"/>
                      <w:i/>
                      <w:szCs w:val="18"/>
                    </w:rPr>
                  </m:ctrlPr>
                </m:sSubPr>
                <m:e>
                  <m:r>
                    <w:rPr>
                      <w:rFonts w:ascii="Cambria Math" w:hAnsi="Cambria Math"/>
                      <w:szCs w:val="18"/>
                    </w:rPr>
                    <m:t>IEF</m:t>
                  </m:r>
                </m:e>
                <m:sub>
                  <m:r>
                    <w:rPr>
                      <w:rFonts w:ascii="Cambria Math" w:hAnsi="Cambria Math"/>
                      <w:szCs w:val="18"/>
                    </w:rPr>
                    <m:t>base</m:t>
                  </m:r>
                </m:sub>
              </m:sSub>
              <m:r>
                <m:rPr>
                  <m:sty m:val="p"/>
                </m:rPr>
                <w:rPr>
                  <w:rFonts w:ascii="Cambria Math" w:hAnsi="Cambria Math"/>
                  <w:szCs w:val="18"/>
                </w:rPr>
                <m:t xml:space="preserve"> </m:t>
              </m:r>
            </m:oMath>
            <w:r w:rsidRPr="001570EA">
              <w:rPr>
                <w:rFonts w:cs="Arial"/>
                <w:b/>
                <w:bCs/>
                <w:color w:val="000000"/>
                <w:sz w:val="18"/>
                <w:szCs w:val="18"/>
              </w:rPr>
              <w:t>)</w:t>
            </w:r>
          </w:p>
        </w:tc>
        <w:tc>
          <w:tcPr>
            <w:tcW w:w="172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61C78FC" w14:textId="77777777" w:rsidR="004E6452" w:rsidRPr="001570EA" w:rsidRDefault="004E6452">
            <w:pPr>
              <w:jc w:val="center"/>
              <w:rPr>
                <w:rFonts w:cs="Arial"/>
                <w:b/>
                <w:bCs/>
                <w:color w:val="000000"/>
                <w:sz w:val="18"/>
                <w:szCs w:val="18"/>
              </w:rPr>
            </w:pPr>
            <w:r w:rsidRPr="001570EA">
              <w:rPr>
                <w:rFonts w:cs="Arial"/>
                <w:b/>
                <w:bCs/>
                <w:color w:val="000000"/>
                <w:sz w:val="18"/>
                <w:szCs w:val="18"/>
              </w:rPr>
              <w:t>ENERGY STAR</w:t>
            </w:r>
            <w:r w:rsidRPr="001570EA">
              <w:rPr>
                <w:rFonts w:cs="Arial"/>
                <w:b/>
                <w:bCs/>
                <w:color w:val="000000"/>
                <w:sz w:val="18"/>
                <w:szCs w:val="18"/>
              </w:rPr>
              <w:br/>
              <w:t>(</w:t>
            </w:r>
            <m:oMath>
              <m:sSub>
                <m:sSubPr>
                  <m:ctrlPr>
                    <w:rPr>
                      <w:rFonts w:ascii="Cambria Math" w:hAnsi="Cambria Math"/>
                      <w:i/>
                      <w:szCs w:val="18"/>
                    </w:rPr>
                  </m:ctrlPr>
                </m:sSubPr>
                <m:e>
                  <m:r>
                    <w:rPr>
                      <w:rFonts w:ascii="Cambria Math" w:hAnsi="Cambria Math"/>
                      <w:szCs w:val="18"/>
                    </w:rPr>
                    <m:t>IEF</m:t>
                  </m:r>
                </m:e>
                <m:sub>
                  <m:r>
                    <w:rPr>
                      <w:rFonts w:ascii="Cambria Math" w:hAnsi="Cambria Math"/>
                      <w:szCs w:val="18"/>
                    </w:rPr>
                    <m:t>ee</m:t>
                  </m:r>
                </m:sub>
              </m:sSub>
            </m:oMath>
            <w:r w:rsidRPr="001570EA">
              <w:rPr>
                <w:rFonts w:cs="Arial"/>
                <w:b/>
                <w:bCs/>
                <w:color w:val="000000"/>
                <w:sz w:val="18"/>
                <w:szCs w:val="18"/>
              </w:rPr>
              <w:t>)</w:t>
            </w:r>
          </w:p>
        </w:tc>
        <w:tc>
          <w:tcPr>
            <w:tcW w:w="1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5A4160" w14:textId="77777777" w:rsidR="004E6452" w:rsidRPr="001570EA" w:rsidRDefault="004E6452">
            <w:pPr>
              <w:jc w:val="center"/>
              <w:rPr>
                <w:rFonts w:cs="Arial"/>
                <w:b/>
                <w:bCs/>
                <w:color w:val="000000"/>
                <w:sz w:val="18"/>
                <w:szCs w:val="18"/>
              </w:rPr>
            </w:pPr>
            <w:r w:rsidRPr="001570EA">
              <w:rPr>
                <w:rFonts w:cs="Arial"/>
                <w:b/>
                <w:bCs/>
                <w:color w:val="000000"/>
                <w:sz w:val="18"/>
                <w:szCs w:val="18"/>
              </w:rPr>
              <w:t>ENERGY STAR Most Efficient</w:t>
            </w:r>
            <w:r w:rsidRPr="001570EA">
              <w:rPr>
                <w:rFonts w:cs="Arial"/>
                <w:b/>
                <w:bCs/>
                <w:color w:val="000000"/>
                <w:sz w:val="18"/>
                <w:szCs w:val="18"/>
              </w:rPr>
              <w:br/>
              <w:t>(</w:t>
            </w:r>
            <m:oMath>
              <m:sSub>
                <m:sSubPr>
                  <m:ctrlPr>
                    <w:rPr>
                      <w:rFonts w:ascii="Cambria Math" w:hAnsi="Cambria Math"/>
                      <w:i/>
                      <w:szCs w:val="18"/>
                    </w:rPr>
                  </m:ctrlPr>
                </m:sSubPr>
                <m:e>
                  <m:r>
                    <w:rPr>
                      <w:rFonts w:ascii="Cambria Math" w:hAnsi="Cambria Math"/>
                      <w:szCs w:val="18"/>
                    </w:rPr>
                    <m:t>IEF</m:t>
                  </m:r>
                </m:e>
                <m:sub>
                  <m:r>
                    <w:rPr>
                      <w:rFonts w:ascii="Cambria Math" w:hAnsi="Cambria Math"/>
                      <w:szCs w:val="18"/>
                    </w:rPr>
                    <m:t>ee</m:t>
                  </m:r>
                </m:sub>
              </m:sSub>
            </m:oMath>
            <w:r w:rsidRPr="001570EA">
              <w:rPr>
                <w:rFonts w:cs="Arial"/>
                <w:b/>
                <w:bCs/>
                <w:color w:val="000000"/>
                <w:sz w:val="18"/>
                <w:szCs w:val="18"/>
              </w:rPr>
              <w:t>)</w:t>
            </w:r>
          </w:p>
        </w:tc>
      </w:tr>
      <w:tr w:rsidR="004E6452" w:rsidRPr="001570EA" w14:paraId="2A30EF61" w14:textId="77777777">
        <w:trPr>
          <w:trHeight w:val="240"/>
          <w:jc w:val="center"/>
        </w:trPr>
        <w:tc>
          <w:tcPr>
            <w:tcW w:w="1750" w:type="dxa"/>
            <w:vMerge w:val="restart"/>
            <w:tcBorders>
              <w:top w:val="nil"/>
              <w:left w:val="single" w:sz="4" w:space="0" w:color="auto"/>
              <w:right w:val="single" w:sz="4" w:space="0" w:color="auto"/>
            </w:tcBorders>
            <w:shd w:val="clear" w:color="auto" w:fill="FFFFFF" w:themeFill="background1"/>
            <w:vAlign w:val="center"/>
          </w:tcPr>
          <w:p w14:paraId="4AF49CFB" w14:textId="77777777" w:rsidR="004E6452" w:rsidRPr="001570EA" w:rsidRDefault="004E6452">
            <w:pPr>
              <w:jc w:val="center"/>
              <w:rPr>
                <w:rFonts w:cs="Arial"/>
                <w:color w:val="000000"/>
                <w:sz w:val="18"/>
                <w:szCs w:val="18"/>
              </w:rPr>
            </w:pPr>
            <w:r w:rsidRPr="001570EA">
              <w:rPr>
                <w:rFonts w:cs="Arial"/>
                <w:color w:val="000000"/>
                <w:sz w:val="18"/>
                <w:szCs w:val="18"/>
              </w:rPr>
              <w:t>Portable dehumidifier</w:t>
            </w:r>
          </w:p>
        </w:tc>
        <w:tc>
          <w:tcPr>
            <w:tcW w:w="1728" w:type="dxa"/>
            <w:tcBorders>
              <w:top w:val="nil"/>
              <w:left w:val="single" w:sz="4" w:space="0" w:color="auto"/>
              <w:bottom w:val="single" w:sz="4" w:space="0" w:color="auto"/>
              <w:right w:val="single" w:sz="4" w:space="0" w:color="auto"/>
            </w:tcBorders>
            <w:shd w:val="clear" w:color="auto" w:fill="FFFFFF" w:themeFill="background1"/>
            <w:noWrap/>
            <w:vAlign w:val="center"/>
          </w:tcPr>
          <w:p w14:paraId="253728DE" w14:textId="77777777" w:rsidR="004E6452" w:rsidRPr="001570EA" w:rsidRDefault="004E6452">
            <w:pPr>
              <w:jc w:val="center"/>
              <w:rPr>
                <w:rFonts w:cs="Arial"/>
                <w:color w:val="000000"/>
                <w:sz w:val="18"/>
                <w:szCs w:val="18"/>
              </w:rPr>
            </w:pPr>
            <w:r w:rsidRPr="001570EA">
              <w:rPr>
                <w:rFonts w:cs="Arial"/>
                <w:color w:val="000000"/>
                <w:sz w:val="18"/>
                <w:szCs w:val="18"/>
              </w:rPr>
              <w:t>≤ 25</w:t>
            </w:r>
          </w:p>
        </w:tc>
        <w:tc>
          <w:tcPr>
            <w:tcW w:w="1728" w:type="dxa"/>
            <w:tcBorders>
              <w:top w:val="nil"/>
              <w:left w:val="nil"/>
              <w:bottom w:val="single" w:sz="4" w:space="0" w:color="auto"/>
              <w:right w:val="single" w:sz="4" w:space="0" w:color="auto"/>
            </w:tcBorders>
            <w:shd w:val="clear" w:color="auto" w:fill="FFFFFF" w:themeFill="background1"/>
            <w:noWrap/>
            <w:vAlign w:val="center"/>
          </w:tcPr>
          <w:p w14:paraId="5027A4C3" w14:textId="77777777" w:rsidR="004E6452" w:rsidRPr="001570EA" w:rsidRDefault="004E6452">
            <w:pPr>
              <w:jc w:val="center"/>
              <w:rPr>
                <w:rFonts w:cs="Arial"/>
                <w:color w:val="000000"/>
                <w:sz w:val="18"/>
                <w:szCs w:val="18"/>
              </w:rPr>
            </w:pPr>
            <w:r w:rsidRPr="001570EA">
              <w:rPr>
                <w:rFonts w:cs="Arial"/>
                <w:color w:val="000000"/>
                <w:sz w:val="18"/>
                <w:szCs w:val="18"/>
              </w:rPr>
              <w:t>≥ 1.30</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tcPr>
          <w:p w14:paraId="1BE8BE0F" w14:textId="77777777" w:rsidR="004E6452" w:rsidRPr="001570EA" w:rsidRDefault="004E6452">
            <w:pPr>
              <w:jc w:val="center"/>
              <w:rPr>
                <w:rFonts w:cs="Arial"/>
                <w:color w:val="000000"/>
                <w:sz w:val="18"/>
                <w:szCs w:val="18"/>
              </w:rPr>
            </w:pPr>
            <w:r w:rsidRPr="001570EA">
              <w:rPr>
                <w:rFonts w:cs="Arial"/>
                <w:color w:val="000000"/>
                <w:sz w:val="18"/>
                <w:szCs w:val="18"/>
              </w:rPr>
              <w:t>≥ 1.57</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00A88" w14:textId="77777777" w:rsidR="004E6452" w:rsidRPr="001570EA" w:rsidRDefault="004E6452">
            <w:pPr>
              <w:jc w:val="center"/>
              <w:rPr>
                <w:rFonts w:cs="Arial"/>
                <w:color w:val="000000"/>
                <w:sz w:val="18"/>
                <w:szCs w:val="18"/>
              </w:rPr>
            </w:pPr>
            <w:r w:rsidRPr="001570EA">
              <w:rPr>
                <w:rFonts w:cs="Arial"/>
                <w:color w:val="000000"/>
                <w:sz w:val="18"/>
                <w:szCs w:val="18"/>
              </w:rPr>
              <w:t>≥ 1.75</w:t>
            </w:r>
          </w:p>
        </w:tc>
      </w:tr>
      <w:tr w:rsidR="004E6452" w:rsidRPr="001570EA" w14:paraId="7DB478C6" w14:textId="77777777">
        <w:trPr>
          <w:trHeight w:val="240"/>
          <w:jc w:val="center"/>
        </w:trPr>
        <w:tc>
          <w:tcPr>
            <w:tcW w:w="1750" w:type="dxa"/>
            <w:vMerge/>
            <w:tcBorders>
              <w:left w:val="single" w:sz="4" w:space="0" w:color="auto"/>
              <w:right w:val="single" w:sz="4" w:space="0" w:color="auto"/>
            </w:tcBorders>
            <w:shd w:val="clear" w:color="auto" w:fill="FFFFFF" w:themeFill="background1"/>
          </w:tcPr>
          <w:p w14:paraId="325C2C43" w14:textId="77777777" w:rsidR="004E6452" w:rsidRPr="001570EA" w:rsidRDefault="004E6452">
            <w:pPr>
              <w:rPr>
                <w:rFonts w:cs="Arial"/>
                <w:color w:val="000000"/>
                <w:sz w:val="18"/>
                <w:szCs w:val="18"/>
              </w:rPr>
            </w:pPr>
          </w:p>
        </w:tc>
        <w:tc>
          <w:tcPr>
            <w:tcW w:w="1728" w:type="dxa"/>
            <w:tcBorders>
              <w:top w:val="nil"/>
              <w:left w:val="single" w:sz="4" w:space="0" w:color="auto"/>
              <w:bottom w:val="single" w:sz="4" w:space="0" w:color="auto"/>
              <w:right w:val="single" w:sz="4" w:space="0" w:color="auto"/>
            </w:tcBorders>
            <w:shd w:val="clear" w:color="auto" w:fill="FFFFFF" w:themeFill="background1"/>
            <w:noWrap/>
            <w:vAlign w:val="center"/>
          </w:tcPr>
          <w:p w14:paraId="151ADFE2" w14:textId="77777777" w:rsidR="004E6452" w:rsidRPr="001570EA" w:rsidRDefault="004E6452">
            <w:pPr>
              <w:jc w:val="center"/>
              <w:rPr>
                <w:rFonts w:cs="Arial"/>
                <w:color w:val="000000"/>
                <w:sz w:val="18"/>
                <w:szCs w:val="18"/>
              </w:rPr>
            </w:pPr>
            <w:r w:rsidRPr="001570EA">
              <w:rPr>
                <w:rFonts w:cs="Arial"/>
                <w:color w:val="000000"/>
                <w:sz w:val="18"/>
                <w:szCs w:val="18"/>
              </w:rPr>
              <w:t>&gt; 25 to ≤ 50</w:t>
            </w:r>
          </w:p>
        </w:tc>
        <w:tc>
          <w:tcPr>
            <w:tcW w:w="1728" w:type="dxa"/>
            <w:tcBorders>
              <w:top w:val="nil"/>
              <w:left w:val="nil"/>
              <w:bottom w:val="single" w:sz="4" w:space="0" w:color="auto"/>
              <w:right w:val="single" w:sz="4" w:space="0" w:color="auto"/>
            </w:tcBorders>
            <w:shd w:val="clear" w:color="auto" w:fill="FFFFFF" w:themeFill="background1"/>
            <w:noWrap/>
            <w:vAlign w:val="center"/>
          </w:tcPr>
          <w:p w14:paraId="430B96E6" w14:textId="77777777" w:rsidR="004E6452" w:rsidRPr="001570EA" w:rsidRDefault="004E6452">
            <w:pPr>
              <w:jc w:val="center"/>
              <w:rPr>
                <w:rFonts w:cs="Arial"/>
                <w:color w:val="000000"/>
                <w:sz w:val="18"/>
                <w:szCs w:val="18"/>
              </w:rPr>
            </w:pPr>
            <w:r w:rsidRPr="001570EA">
              <w:rPr>
                <w:rFonts w:cs="Arial"/>
                <w:color w:val="000000"/>
                <w:sz w:val="18"/>
                <w:szCs w:val="18"/>
              </w:rPr>
              <w:t>≥ 1.60</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tcPr>
          <w:p w14:paraId="2EA8DF6E" w14:textId="77777777" w:rsidR="004E6452" w:rsidRPr="001570EA" w:rsidRDefault="004E6452">
            <w:pPr>
              <w:jc w:val="center"/>
              <w:rPr>
                <w:rFonts w:cs="Arial"/>
                <w:color w:val="000000"/>
                <w:sz w:val="18"/>
                <w:szCs w:val="18"/>
              </w:rPr>
            </w:pPr>
            <w:r w:rsidRPr="001570EA">
              <w:rPr>
                <w:rFonts w:cs="Arial"/>
                <w:color w:val="000000"/>
                <w:sz w:val="18"/>
                <w:szCs w:val="18"/>
              </w:rPr>
              <w:t>≥ 1.80</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04BB1" w14:textId="77777777" w:rsidR="004E6452" w:rsidRPr="001570EA" w:rsidRDefault="004E6452">
            <w:pPr>
              <w:jc w:val="center"/>
              <w:rPr>
                <w:rFonts w:cs="Arial"/>
                <w:color w:val="000000"/>
                <w:sz w:val="18"/>
                <w:szCs w:val="18"/>
              </w:rPr>
            </w:pPr>
            <w:r w:rsidRPr="001570EA">
              <w:rPr>
                <w:rFonts w:cs="Arial"/>
                <w:color w:val="000000"/>
                <w:sz w:val="18"/>
                <w:szCs w:val="18"/>
              </w:rPr>
              <w:t>≥ 2.01</w:t>
            </w:r>
          </w:p>
        </w:tc>
      </w:tr>
      <w:tr w:rsidR="004E6452" w:rsidRPr="001570EA" w14:paraId="7539326A" w14:textId="77777777">
        <w:trPr>
          <w:trHeight w:val="240"/>
          <w:jc w:val="center"/>
        </w:trPr>
        <w:tc>
          <w:tcPr>
            <w:tcW w:w="1750" w:type="dxa"/>
            <w:vMerge/>
            <w:tcBorders>
              <w:left w:val="single" w:sz="4" w:space="0" w:color="auto"/>
              <w:bottom w:val="single" w:sz="4" w:space="0" w:color="auto"/>
              <w:right w:val="single" w:sz="4" w:space="0" w:color="auto"/>
            </w:tcBorders>
            <w:shd w:val="clear" w:color="auto" w:fill="FFFFFF" w:themeFill="background1"/>
          </w:tcPr>
          <w:p w14:paraId="0F8A3BF8" w14:textId="77777777" w:rsidR="004E6452" w:rsidRPr="001570EA" w:rsidRDefault="004E6452">
            <w:pPr>
              <w:rPr>
                <w:rFonts w:cs="Arial"/>
                <w:color w:val="000000"/>
                <w:sz w:val="18"/>
                <w:szCs w:val="18"/>
              </w:rPr>
            </w:pPr>
          </w:p>
        </w:tc>
        <w:tc>
          <w:tcPr>
            <w:tcW w:w="1728" w:type="dxa"/>
            <w:tcBorders>
              <w:top w:val="nil"/>
              <w:left w:val="single" w:sz="4" w:space="0" w:color="auto"/>
              <w:bottom w:val="single" w:sz="4" w:space="0" w:color="auto"/>
              <w:right w:val="single" w:sz="4" w:space="0" w:color="auto"/>
            </w:tcBorders>
            <w:shd w:val="clear" w:color="auto" w:fill="FFFFFF" w:themeFill="background1"/>
            <w:noWrap/>
            <w:vAlign w:val="center"/>
          </w:tcPr>
          <w:p w14:paraId="452B4C45" w14:textId="77777777" w:rsidR="004E6452" w:rsidRPr="001570EA" w:rsidRDefault="004E6452">
            <w:pPr>
              <w:jc w:val="center"/>
              <w:rPr>
                <w:rFonts w:cs="Arial"/>
                <w:color w:val="000000"/>
                <w:sz w:val="18"/>
                <w:szCs w:val="18"/>
              </w:rPr>
            </w:pPr>
            <w:r w:rsidRPr="001570EA">
              <w:rPr>
                <w:rFonts w:cs="Arial"/>
                <w:color w:val="000000"/>
                <w:sz w:val="18"/>
                <w:szCs w:val="18"/>
              </w:rPr>
              <w:t>&gt; 50</w:t>
            </w:r>
          </w:p>
        </w:tc>
        <w:tc>
          <w:tcPr>
            <w:tcW w:w="1728" w:type="dxa"/>
            <w:tcBorders>
              <w:top w:val="nil"/>
              <w:left w:val="nil"/>
              <w:bottom w:val="single" w:sz="4" w:space="0" w:color="auto"/>
              <w:right w:val="single" w:sz="4" w:space="0" w:color="auto"/>
            </w:tcBorders>
            <w:shd w:val="clear" w:color="auto" w:fill="FFFFFF" w:themeFill="background1"/>
            <w:noWrap/>
            <w:vAlign w:val="center"/>
          </w:tcPr>
          <w:p w14:paraId="2919CF3B" w14:textId="77777777" w:rsidR="004E6452" w:rsidRPr="001570EA" w:rsidRDefault="004E6452">
            <w:pPr>
              <w:jc w:val="center"/>
              <w:rPr>
                <w:rFonts w:cs="Arial"/>
                <w:color w:val="000000"/>
                <w:sz w:val="18"/>
                <w:szCs w:val="18"/>
              </w:rPr>
            </w:pPr>
            <w:r w:rsidRPr="001570EA">
              <w:rPr>
                <w:rFonts w:cs="Arial"/>
                <w:color w:val="000000"/>
                <w:sz w:val="18"/>
                <w:szCs w:val="18"/>
              </w:rPr>
              <w:t>≥ 2.80</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tcPr>
          <w:p w14:paraId="5E2FCDF1" w14:textId="77777777" w:rsidR="004E6452" w:rsidRPr="001570EA" w:rsidRDefault="004E6452">
            <w:pPr>
              <w:jc w:val="center"/>
              <w:rPr>
                <w:rFonts w:cs="Arial"/>
                <w:color w:val="000000"/>
                <w:sz w:val="18"/>
                <w:szCs w:val="18"/>
              </w:rPr>
            </w:pPr>
            <w:r w:rsidRPr="001570EA">
              <w:rPr>
                <w:rFonts w:cs="Arial"/>
                <w:color w:val="000000"/>
                <w:sz w:val="18"/>
                <w:szCs w:val="18"/>
              </w:rPr>
              <w:t>≥ 3.30</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C89A3" w14:textId="77777777" w:rsidR="004E6452" w:rsidRPr="001570EA" w:rsidRDefault="004E6452">
            <w:pPr>
              <w:jc w:val="center"/>
              <w:rPr>
                <w:rFonts w:cs="Arial"/>
                <w:color w:val="000000"/>
                <w:sz w:val="18"/>
                <w:szCs w:val="18"/>
              </w:rPr>
            </w:pPr>
            <w:r w:rsidRPr="001570EA">
              <w:rPr>
                <w:rFonts w:cs="Arial"/>
                <w:color w:val="000000"/>
                <w:sz w:val="18"/>
                <w:szCs w:val="18"/>
              </w:rPr>
              <w:t>≥ 3.40</w:t>
            </w:r>
          </w:p>
        </w:tc>
      </w:tr>
      <w:tr w:rsidR="004E6452" w:rsidRPr="001570EA" w14:paraId="5BFDFEF8" w14:textId="77777777">
        <w:trPr>
          <w:trHeight w:val="240"/>
          <w:jc w:val="center"/>
        </w:trPr>
        <w:tc>
          <w:tcPr>
            <w:tcW w:w="1750" w:type="dxa"/>
            <w:vMerge w:val="restart"/>
            <w:tcBorders>
              <w:top w:val="nil"/>
              <w:left w:val="single" w:sz="4" w:space="0" w:color="auto"/>
              <w:right w:val="single" w:sz="4" w:space="0" w:color="auto"/>
            </w:tcBorders>
            <w:shd w:val="clear" w:color="auto" w:fill="FFFFFF" w:themeFill="background1"/>
            <w:vAlign w:val="center"/>
          </w:tcPr>
          <w:p w14:paraId="2E50049F" w14:textId="77777777" w:rsidR="004E6452" w:rsidRPr="001570EA" w:rsidRDefault="004E6452">
            <w:pPr>
              <w:jc w:val="center"/>
              <w:rPr>
                <w:rFonts w:cs="Arial"/>
                <w:color w:val="000000"/>
                <w:sz w:val="18"/>
                <w:szCs w:val="18"/>
              </w:rPr>
            </w:pPr>
            <w:r w:rsidRPr="001570EA">
              <w:rPr>
                <w:rFonts w:cs="Arial"/>
                <w:color w:val="000000"/>
                <w:sz w:val="18"/>
                <w:szCs w:val="18"/>
              </w:rPr>
              <w:t>Whole-home dehumidifier</w:t>
            </w:r>
          </w:p>
        </w:tc>
        <w:tc>
          <w:tcPr>
            <w:tcW w:w="1728"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4ECE01D5" w14:textId="77777777" w:rsidR="004E6452" w:rsidRPr="001570EA" w:rsidRDefault="004E6452">
            <w:pPr>
              <w:jc w:val="center"/>
              <w:rPr>
                <w:rFonts w:cs="Arial"/>
                <w:color w:val="000000"/>
                <w:sz w:val="18"/>
                <w:szCs w:val="18"/>
              </w:rPr>
            </w:pPr>
            <w:r w:rsidRPr="001570EA">
              <w:rPr>
                <w:rFonts w:cs="Arial"/>
                <w:b/>
                <w:bCs/>
                <w:color w:val="000000"/>
                <w:sz w:val="18"/>
                <w:szCs w:val="18"/>
              </w:rPr>
              <w:t>Product Case Volume</w:t>
            </w:r>
            <w:r w:rsidRPr="001570EA">
              <w:rPr>
                <w:rFonts w:cs="Arial"/>
                <w:b/>
                <w:bCs/>
                <w:color w:val="000000"/>
                <w:sz w:val="18"/>
                <w:szCs w:val="18"/>
              </w:rPr>
              <w:br/>
              <w:t>(ft</w:t>
            </w:r>
            <w:r w:rsidRPr="001570EA">
              <w:rPr>
                <w:rFonts w:cs="Arial"/>
                <w:b/>
                <w:bCs/>
                <w:color w:val="000000"/>
                <w:sz w:val="18"/>
                <w:szCs w:val="18"/>
                <w:vertAlign w:val="superscript"/>
              </w:rPr>
              <w:t>3</w:t>
            </w:r>
            <w:r w:rsidRPr="001570EA">
              <w:rPr>
                <w:rFonts w:cs="Arial"/>
                <w:b/>
                <w:bCs/>
                <w:color w:val="000000"/>
                <w:sz w:val="18"/>
                <w:szCs w:val="18"/>
              </w:rPr>
              <w:t>)</w:t>
            </w:r>
          </w:p>
        </w:tc>
        <w:tc>
          <w:tcPr>
            <w:tcW w:w="1728" w:type="dxa"/>
            <w:tcBorders>
              <w:top w:val="nil"/>
              <w:left w:val="nil"/>
              <w:bottom w:val="single" w:sz="4" w:space="0" w:color="auto"/>
              <w:right w:val="single" w:sz="4" w:space="0" w:color="auto"/>
            </w:tcBorders>
            <w:shd w:val="clear" w:color="auto" w:fill="BFBFBF" w:themeFill="background1" w:themeFillShade="BF"/>
            <w:noWrap/>
            <w:vAlign w:val="center"/>
          </w:tcPr>
          <w:p w14:paraId="50291973" w14:textId="77777777" w:rsidR="004E6452" w:rsidRPr="001570EA" w:rsidRDefault="004E6452">
            <w:pPr>
              <w:jc w:val="center"/>
              <w:rPr>
                <w:rFonts w:cs="Arial"/>
                <w:color w:val="000000"/>
                <w:sz w:val="18"/>
                <w:szCs w:val="18"/>
              </w:rPr>
            </w:pPr>
            <w:r w:rsidRPr="001570EA">
              <w:rPr>
                <w:rFonts w:cs="Arial"/>
                <w:b/>
                <w:bCs/>
                <w:color w:val="000000"/>
                <w:sz w:val="18"/>
                <w:szCs w:val="18"/>
              </w:rPr>
              <w:t>Federal Standard</w:t>
            </w:r>
            <w:r w:rsidRPr="001570EA">
              <w:rPr>
                <w:rFonts w:cs="Arial"/>
                <w:b/>
                <w:bCs/>
                <w:color w:val="000000"/>
                <w:sz w:val="18"/>
                <w:szCs w:val="18"/>
              </w:rPr>
              <w:br/>
              <w:t>(</w:t>
            </w:r>
            <m:oMath>
              <m:sSub>
                <m:sSubPr>
                  <m:ctrlPr>
                    <w:rPr>
                      <w:rFonts w:ascii="Cambria Math" w:hAnsi="Cambria Math"/>
                      <w:i/>
                      <w:szCs w:val="18"/>
                    </w:rPr>
                  </m:ctrlPr>
                </m:sSubPr>
                <m:e>
                  <m:r>
                    <w:rPr>
                      <w:rFonts w:ascii="Cambria Math" w:hAnsi="Cambria Math"/>
                      <w:szCs w:val="18"/>
                    </w:rPr>
                    <m:t>IEF</m:t>
                  </m:r>
                </m:e>
                <m:sub>
                  <m:r>
                    <w:rPr>
                      <w:rFonts w:ascii="Cambria Math" w:hAnsi="Cambria Math"/>
                      <w:szCs w:val="18"/>
                    </w:rPr>
                    <m:t>base</m:t>
                  </m:r>
                </m:sub>
              </m:sSub>
              <m:r>
                <m:rPr>
                  <m:sty m:val="p"/>
                </m:rPr>
                <w:rPr>
                  <w:rFonts w:ascii="Cambria Math" w:hAnsi="Cambria Math"/>
                  <w:szCs w:val="18"/>
                </w:rPr>
                <m:t xml:space="preserve"> </m:t>
              </m:r>
            </m:oMath>
            <w:r w:rsidRPr="001570EA">
              <w:rPr>
                <w:rFonts w:cs="Arial"/>
                <w:b/>
                <w:bCs/>
                <w:color w:val="000000"/>
                <w:sz w:val="18"/>
                <w:szCs w:val="18"/>
              </w:rPr>
              <w:t>)</w:t>
            </w:r>
          </w:p>
        </w:tc>
        <w:tc>
          <w:tcPr>
            <w:tcW w:w="172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3C23F25" w14:textId="77777777" w:rsidR="004E6452" w:rsidRPr="001570EA" w:rsidRDefault="004E6452">
            <w:pPr>
              <w:jc w:val="center"/>
              <w:rPr>
                <w:rFonts w:cs="Arial"/>
                <w:b/>
                <w:bCs/>
                <w:color w:val="000000"/>
                <w:sz w:val="18"/>
                <w:szCs w:val="18"/>
              </w:rPr>
            </w:pPr>
            <w:r w:rsidRPr="001570EA">
              <w:rPr>
                <w:rFonts w:cs="Arial"/>
                <w:b/>
                <w:bCs/>
                <w:color w:val="000000"/>
                <w:sz w:val="18"/>
                <w:szCs w:val="18"/>
              </w:rPr>
              <w:t>ENERGY STAR</w:t>
            </w:r>
            <w:r w:rsidRPr="001570EA">
              <w:rPr>
                <w:rFonts w:cs="Arial"/>
                <w:b/>
                <w:bCs/>
                <w:color w:val="000000"/>
                <w:sz w:val="18"/>
                <w:szCs w:val="18"/>
              </w:rPr>
              <w:br/>
              <w:t>(</w:t>
            </w:r>
            <m:oMath>
              <m:sSub>
                <m:sSubPr>
                  <m:ctrlPr>
                    <w:rPr>
                      <w:rFonts w:ascii="Cambria Math" w:hAnsi="Cambria Math"/>
                      <w:i/>
                      <w:szCs w:val="18"/>
                    </w:rPr>
                  </m:ctrlPr>
                </m:sSubPr>
                <m:e>
                  <m:r>
                    <w:rPr>
                      <w:rFonts w:ascii="Cambria Math" w:hAnsi="Cambria Math"/>
                      <w:szCs w:val="18"/>
                    </w:rPr>
                    <m:t>IEF</m:t>
                  </m:r>
                </m:e>
                <m:sub>
                  <m:r>
                    <w:rPr>
                      <w:rFonts w:ascii="Cambria Math" w:hAnsi="Cambria Math"/>
                      <w:szCs w:val="18"/>
                    </w:rPr>
                    <m:t>ee</m:t>
                  </m:r>
                </m:sub>
              </m:sSub>
            </m:oMath>
            <w:r w:rsidRPr="001570EA">
              <w:rPr>
                <w:rFonts w:cs="Arial"/>
                <w:b/>
                <w:bCs/>
                <w:color w:val="000000"/>
                <w:sz w:val="18"/>
                <w:szCs w:val="18"/>
              </w:rPr>
              <w:t>)</w:t>
            </w:r>
          </w:p>
        </w:tc>
        <w:tc>
          <w:tcPr>
            <w:tcW w:w="1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FD5DA2" w14:textId="77777777" w:rsidR="004E6452" w:rsidRPr="001570EA" w:rsidRDefault="004E6452">
            <w:pPr>
              <w:jc w:val="center"/>
              <w:rPr>
                <w:rFonts w:cs="Arial"/>
                <w:b/>
                <w:bCs/>
                <w:color w:val="000000"/>
                <w:sz w:val="18"/>
                <w:szCs w:val="18"/>
              </w:rPr>
            </w:pPr>
            <w:r w:rsidRPr="001570EA">
              <w:rPr>
                <w:rFonts w:cs="Arial"/>
                <w:b/>
                <w:bCs/>
                <w:color w:val="000000"/>
                <w:sz w:val="18"/>
                <w:szCs w:val="18"/>
              </w:rPr>
              <w:t>ENERGY STAR Most Efficient</w:t>
            </w:r>
            <w:r w:rsidRPr="001570EA">
              <w:rPr>
                <w:rFonts w:cs="Arial"/>
                <w:b/>
                <w:bCs/>
                <w:color w:val="000000"/>
                <w:sz w:val="18"/>
                <w:szCs w:val="18"/>
              </w:rPr>
              <w:br/>
              <w:t>(</w:t>
            </w:r>
            <m:oMath>
              <m:sSub>
                <m:sSubPr>
                  <m:ctrlPr>
                    <w:rPr>
                      <w:rFonts w:ascii="Cambria Math" w:hAnsi="Cambria Math"/>
                      <w:i/>
                      <w:szCs w:val="18"/>
                    </w:rPr>
                  </m:ctrlPr>
                </m:sSubPr>
                <m:e>
                  <m:r>
                    <w:rPr>
                      <w:rFonts w:ascii="Cambria Math" w:hAnsi="Cambria Math"/>
                      <w:szCs w:val="18"/>
                    </w:rPr>
                    <m:t>IEF</m:t>
                  </m:r>
                </m:e>
                <m:sub>
                  <m:r>
                    <w:rPr>
                      <w:rFonts w:ascii="Cambria Math" w:hAnsi="Cambria Math"/>
                      <w:szCs w:val="18"/>
                    </w:rPr>
                    <m:t>ee</m:t>
                  </m:r>
                </m:sub>
              </m:sSub>
            </m:oMath>
            <w:r w:rsidRPr="001570EA">
              <w:rPr>
                <w:rFonts w:cs="Arial"/>
                <w:szCs w:val="18"/>
              </w:rPr>
              <w:t>)</w:t>
            </w:r>
          </w:p>
        </w:tc>
      </w:tr>
      <w:tr w:rsidR="004E6452" w:rsidRPr="001570EA" w14:paraId="7578D665" w14:textId="77777777">
        <w:trPr>
          <w:trHeight w:val="240"/>
          <w:jc w:val="center"/>
        </w:trPr>
        <w:tc>
          <w:tcPr>
            <w:tcW w:w="1750" w:type="dxa"/>
            <w:vMerge/>
            <w:tcBorders>
              <w:left w:val="single" w:sz="4" w:space="0" w:color="auto"/>
              <w:right w:val="single" w:sz="4" w:space="0" w:color="auto"/>
            </w:tcBorders>
            <w:shd w:val="clear" w:color="auto" w:fill="FFFFFF" w:themeFill="background1"/>
            <w:vAlign w:val="center"/>
          </w:tcPr>
          <w:p w14:paraId="3A2B583F" w14:textId="77777777" w:rsidR="004E6452" w:rsidRPr="001570EA" w:rsidRDefault="004E6452">
            <w:pPr>
              <w:jc w:val="center"/>
              <w:rPr>
                <w:rFonts w:cs="Arial"/>
                <w:color w:val="000000"/>
                <w:sz w:val="18"/>
                <w:szCs w:val="18"/>
              </w:rPr>
            </w:pPr>
          </w:p>
        </w:tc>
        <w:tc>
          <w:tcPr>
            <w:tcW w:w="1728" w:type="dxa"/>
            <w:tcBorders>
              <w:top w:val="nil"/>
              <w:left w:val="single" w:sz="4" w:space="0" w:color="auto"/>
              <w:bottom w:val="single" w:sz="4" w:space="0" w:color="auto"/>
              <w:right w:val="single" w:sz="4" w:space="0" w:color="auto"/>
            </w:tcBorders>
            <w:shd w:val="clear" w:color="auto" w:fill="FFFFFF" w:themeFill="background1"/>
            <w:noWrap/>
            <w:vAlign w:val="center"/>
          </w:tcPr>
          <w:p w14:paraId="2BE52ECC" w14:textId="77777777" w:rsidR="004E6452" w:rsidRPr="001570EA" w:rsidRDefault="004E6452">
            <w:pPr>
              <w:jc w:val="center"/>
              <w:rPr>
                <w:rFonts w:cs="Arial"/>
                <w:color w:val="000000"/>
                <w:sz w:val="18"/>
                <w:szCs w:val="18"/>
              </w:rPr>
            </w:pPr>
            <w:r w:rsidRPr="001570EA">
              <w:rPr>
                <w:rFonts w:cs="Arial"/>
                <w:color w:val="000000"/>
                <w:sz w:val="18"/>
                <w:szCs w:val="18"/>
              </w:rPr>
              <w:t>≤ 8</w:t>
            </w:r>
          </w:p>
        </w:tc>
        <w:tc>
          <w:tcPr>
            <w:tcW w:w="1728" w:type="dxa"/>
            <w:tcBorders>
              <w:top w:val="nil"/>
              <w:left w:val="nil"/>
              <w:bottom w:val="single" w:sz="4" w:space="0" w:color="auto"/>
              <w:right w:val="single" w:sz="4" w:space="0" w:color="auto"/>
            </w:tcBorders>
            <w:shd w:val="clear" w:color="auto" w:fill="FFFFFF" w:themeFill="background1"/>
            <w:noWrap/>
            <w:vAlign w:val="center"/>
          </w:tcPr>
          <w:p w14:paraId="12410DA5" w14:textId="77777777" w:rsidR="004E6452" w:rsidRPr="001570EA" w:rsidRDefault="004E6452">
            <w:pPr>
              <w:jc w:val="center"/>
              <w:rPr>
                <w:rFonts w:cs="Arial"/>
                <w:color w:val="000000"/>
                <w:sz w:val="18"/>
                <w:szCs w:val="18"/>
              </w:rPr>
            </w:pPr>
            <w:r w:rsidRPr="001570EA">
              <w:rPr>
                <w:rFonts w:cs="Arial"/>
                <w:color w:val="000000"/>
                <w:sz w:val="18"/>
                <w:szCs w:val="18"/>
              </w:rPr>
              <w:t>≥ 1.77</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tcPr>
          <w:p w14:paraId="64B53BFF" w14:textId="77777777" w:rsidR="004E6452" w:rsidRPr="001570EA" w:rsidRDefault="004E6452">
            <w:pPr>
              <w:jc w:val="center"/>
              <w:rPr>
                <w:rFonts w:cs="Arial"/>
                <w:color w:val="000000"/>
                <w:sz w:val="18"/>
                <w:szCs w:val="18"/>
              </w:rPr>
            </w:pPr>
            <w:r w:rsidRPr="001570EA">
              <w:rPr>
                <w:rFonts w:cs="Arial"/>
                <w:color w:val="000000"/>
                <w:sz w:val="18"/>
                <w:szCs w:val="18"/>
              </w:rPr>
              <w:t>≥ 2.09</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B834D" w14:textId="77777777" w:rsidR="004E6452" w:rsidRPr="001570EA" w:rsidRDefault="004E6452">
            <w:pPr>
              <w:jc w:val="center"/>
              <w:rPr>
                <w:rFonts w:cs="Arial"/>
                <w:color w:val="000000"/>
                <w:sz w:val="18"/>
                <w:szCs w:val="18"/>
              </w:rPr>
            </w:pPr>
            <w:r w:rsidRPr="001570EA">
              <w:rPr>
                <w:rFonts w:cs="Arial"/>
                <w:color w:val="000000"/>
                <w:sz w:val="18"/>
                <w:szCs w:val="18"/>
              </w:rPr>
              <w:t>≥ 2.22</w:t>
            </w:r>
          </w:p>
        </w:tc>
      </w:tr>
      <w:tr w:rsidR="004E6452" w:rsidRPr="001570EA" w14:paraId="5517BB7E" w14:textId="77777777">
        <w:trPr>
          <w:trHeight w:val="240"/>
          <w:jc w:val="center"/>
        </w:trPr>
        <w:tc>
          <w:tcPr>
            <w:tcW w:w="1750" w:type="dxa"/>
            <w:vMerge/>
            <w:tcBorders>
              <w:left w:val="single" w:sz="4" w:space="0" w:color="auto"/>
              <w:bottom w:val="single" w:sz="4" w:space="0" w:color="auto"/>
              <w:right w:val="single" w:sz="4" w:space="0" w:color="auto"/>
            </w:tcBorders>
            <w:shd w:val="clear" w:color="auto" w:fill="FFFFFF" w:themeFill="background1"/>
          </w:tcPr>
          <w:p w14:paraId="37C5CE16" w14:textId="77777777" w:rsidR="004E6452" w:rsidRPr="001570EA" w:rsidRDefault="004E6452">
            <w:pPr>
              <w:rPr>
                <w:rFonts w:cs="Arial"/>
                <w:color w:val="000000"/>
                <w:sz w:val="18"/>
                <w:szCs w:val="18"/>
              </w:rPr>
            </w:pPr>
          </w:p>
        </w:tc>
        <w:tc>
          <w:tcPr>
            <w:tcW w:w="1728" w:type="dxa"/>
            <w:tcBorders>
              <w:top w:val="nil"/>
              <w:left w:val="single" w:sz="4" w:space="0" w:color="auto"/>
              <w:bottom w:val="single" w:sz="4" w:space="0" w:color="auto"/>
              <w:right w:val="single" w:sz="4" w:space="0" w:color="auto"/>
            </w:tcBorders>
            <w:shd w:val="clear" w:color="auto" w:fill="FFFFFF" w:themeFill="background1"/>
            <w:noWrap/>
            <w:vAlign w:val="center"/>
          </w:tcPr>
          <w:p w14:paraId="3A800353" w14:textId="77777777" w:rsidR="004E6452" w:rsidRPr="001570EA" w:rsidRDefault="004E6452">
            <w:pPr>
              <w:jc w:val="center"/>
              <w:rPr>
                <w:rFonts w:cs="Arial"/>
                <w:color w:val="000000"/>
                <w:sz w:val="18"/>
                <w:szCs w:val="18"/>
              </w:rPr>
            </w:pPr>
            <w:r w:rsidRPr="001570EA">
              <w:rPr>
                <w:rFonts w:cs="Arial"/>
                <w:color w:val="000000"/>
                <w:sz w:val="18"/>
                <w:szCs w:val="18"/>
              </w:rPr>
              <w:t>&gt; 8</w:t>
            </w:r>
          </w:p>
        </w:tc>
        <w:tc>
          <w:tcPr>
            <w:tcW w:w="1728" w:type="dxa"/>
            <w:tcBorders>
              <w:top w:val="nil"/>
              <w:left w:val="nil"/>
              <w:bottom w:val="single" w:sz="4" w:space="0" w:color="auto"/>
              <w:right w:val="single" w:sz="4" w:space="0" w:color="auto"/>
            </w:tcBorders>
            <w:shd w:val="clear" w:color="auto" w:fill="FFFFFF" w:themeFill="background1"/>
            <w:noWrap/>
            <w:vAlign w:val="center"/>
          </w:tcPr>
          <w:p w14:paraId="5C0C5F1E" w14:textId="77777777" w:rsidR="004E6452" w:rsidRPr="001570EA" w:rsidRDefault="004E6452">
            <w:pPr>
              <w:jc w:val="center"/>
              <w:rPr>
                <w:rFonts w:cs="Arial"/>
                <w:color w:val="000000"/>
                <w:sz w:val="18"/>
                <w:szCs w:val="18"/>
              </w:rPr>
            </w:pPr>
            <w:r w:rsidRPr="001570EA">
              <w:rPr>
                <w:rFonts w:cs="Arial"/>
                <w:color w:val="000000"/>
                <w:sz w:val="18"/>
                <w:szCs w:val="18"/>
              </w:rPr>
              <w:t>≥ 2.41</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tcPr>
          <w:p w14:paraId="61A9E52D" w14:textId="77777777" w:rsidR="004E6452" w:rsidRPr="001570EA" w:rsidRDefault="004E6452">
            <w:pPr>
              <w:jc w:val="center"/>
              <w:rPr>
                <w:rFonts w:cs="Arial"/>
                <w:color w:val="000000"/>
                <w:sz w:val="18"/>
                <w:szCs w:val="18"/>
              </w:rPr>
            </w:pPr>
            <w:r w:rsidRPr="001570EA">
              <w:rPr>
                <w:rFonts w:cs="Arial"/>
                <w:color w:val="000000"/>
                <w:sz w:val="18"/>
                <w:szCs w:val="18"/>
              </w:rPr>
              <w:t>≥ 3.30</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9E309" w14:textId="77777777" w:rsidR="004E6452" w:rsidRPr="001570EA" w:rsidRDefault="004E6452">
            <w:pPr>
              <w:jc w:val="center"/>
              <w:rPr>
                <w:rFonts w:cs="Arial"/>
                <w:color w:val="000000"/>
                <w:sz w:val="18"/>
                <w:szCs w:val="18"/>
              </w:rPr>
            </w:pPr>
            <w:r w:rsidRPr="001570EA">
              <w:rPr>
                <w:rFonts w:cs="Arial"/>
                <w:color w:val="000000"/>
                <w:sz w:val="18"/>
                <w:szCs w:val="18"/>
              </w:rPr>
              <w:t>≥ 3.81</w:t>
            </w:r>
          </w:p>
        </w:tc>
      </w:tr>
    </w:tbl>
    <w:p w14:paraId="04B3BF7F" w14:textId="77777777" w:rsidR="004E6452" w:rsidRPr="001570EA" w:rsidRDefault="004E6452" w:rsidP="004E6452"/>
    <w:p w14:paraId="7EC61D2F" w14:textId="77777777" w:rsidR="004E6452" w:rsidRPr="001570EA" w:rsidRDefault="004E6452" w:rsidP="004E6452">
      <w:pPr>
        <w:pStyle w:val="SubStyle"/>
      </w:pPr>
      <w:r w:rsidRPr="001570EA">
        <w:t>Default Savings</w:t>
      </w:r>
    </w:p>
    <w:p w14:paraId="115AA12B" w14:textId="38EC1300" w:rsidR="004E6452" w:rsidRPr="001570EA" w:rsidRDefault="004E6452" w:rsidP="004E6452">
      <w:r w:rsidRPr="001570EA">
        <w:t xml:space="preserve">The annual energy usage and savings of an ENERGY STAR unit over the federal minimum standard are presented in </w:t>
      </w:r>
      <w:r w:rsidRPr="001570EA">
        <w:fldChar w:fldCharType="begin"/>
      </w:r>
      <w:r w:rsidRPr="001570EA">
        <w:instrText xml:space="preserve"> REF _Ref535144656 \h </w:instrText>
      </w:r>
      <w:r w:rsidR="001570EA">
        <w:instrText xml:space="preserve"> \* MERGEFORMAT </w:instrText>
      </w:r>
      <w:r w:rsidRPr="001570EA">
        <w:fldChar w:fldCharType="separate"/>
      </w:r>
      <w:r w:rsidR="00E42D12" w:rsidRPr="001570EA">
        <w:t xml:space="preserve">Table </w:t>
      </w:r>
      <w:r w:rsidR="00E42D12" w:rsidRPr="001570EA">
        <w:rPr>
          <w:noProof/>
        </w:rPr>
        <w:t>2</w:t>
      </w:r>
      <w:r w:rsidR="00E42D12" w:rsidRPr="001570EA">
        <w:rPr>
          <w:noProof/>
        </w:rPr>
        <w:noBreakHyphen/>
        <w:t>116</w:t>
      </w:r>
      <w:r w:rsidRPr="001570EA">
        <w:fldChar w:fldCharType="end"/>
      </w:r>
      <w:r w:rsidRPr="001570EA">
        <w:t xml:space="preserve"> for each capacity range.</w:t>
      </w:r>
    </w:p>
    <w:p w14:paraId="5CE5A34B" w14:textId="77777777" w:rsidR="004E6452" w:rsidRPr="001570EA" w:rsidRDefault="004E6452" w:rsidP="004E6452"/>
    <w:p w14:paraId="70B668AF" w14:textId="6DC07508" w:rsidR="004E6452" w:rsidRPr="001570EA" w:rsidRDefault="004E6452" w:rsidP="004E6452">
      <w:pPr>
        <w:pStyle w:val="Caption"/>
        <w:jc w:val="left"/>
        <w:rPr>
          <w:rFonts w:cs="Arial"/>
        </w:rPr>
      </w:pPr>
      <w:bookmarkStart w:id="624" w:name="_Ref535144656"/>
      <w:bookmarkStart w:id="625" w:name="_Toc6678630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116</w:t>
      </w:r>
      <w:r w:rsidR="002E093A" w:rsidRPr="001570EA">
        <w:fldChar w:fldCharType="end"/>
      </w:r>
      <w:bookmarkEnd w:id="624"/>
      <w:r w:rsidRPr="001570EA">
        <w:t xml:space="preserve">: </w:t>
      </w:r>
      <w:r w:rsidRPr="001570EA">
        <w:rPr>
          <w:rFonts w:cs="Arial"/>
        </w:rPr>
        <w:t>Dehumidifier Default Energy Savings</w:t>
      </w:r>
      <w:bookmarkEnd w:id="625"/>
    </w:p>
    <w:tbl>
      <w:tblPr>
        <w:tblW w:w="10265" w:type="dxa"/>
        <w:jc w:val="center"/>
        <w:tblLayout w:type="fixed"/>
        <w:tblLook w:val="04A0" w:firstRow="1" w:lastRow="0" w:firstColumn="1" w:lastColumn="0" w:noHBand="0" w:noVBand="1"/>
      </w:tblPr>
      <w:tblGrid>
        <w:gridCol w:w="990"/>
        <w:gridCol w:w="990"/>
        <w:gridCol w:w="1265"/>
        <w:gridCol w:w="990"/>
        <w:gridCol w:w="1040"/>
        <w:gridCol w:w="1030"/>
        <w:gridCol w:w="1170"/>
        <w:gridCol w:w="1435"/>
        <w:gridCol w:w="1355"/>
      </w:tblGrid>
      <w:tr w:rsidR="004E6452" w:rsidRPr="001570EA" w14:paraId="182AE3B1" w14:textId="77777777">
        <w:trPr>
          <w:trHeight w:val="480"/>
          <w:jc w:val="center"/>
        </w:trPr>
        <w:tc>
          <w:tcPr>
            <w:tcW w:w="990" w:type="dxa"/>
            <w:vMerge w:val="restart"/>
            <w:tcBorders>
              <w:top w:val="single" w:sz="4" w:space="0" w:color="auto"/>
              <w:left w:val="single" w:sz="4" w:space="0" w:color="auto"/>
              <w:bottom w:val="single" w:sz="8" w:space="0" w:color="000000"/>
              <w:right w:val="single" w:sz="8" w:space="0" w:color="auto"/>
            </w:tcBorders>
            <w:shd w:val="clear" w:color="000000" w:fill="BFBFBF"/>
            <w:hideMark/>
          </w:tcPr>
          <w:p w14:paraId="20DAE5C1" w14:textId="77777777" w:rsidR="004E6452" w:rsidRPr="001570EA" w:rsidRDefault="004E6452">
            <w:pPr>
              <w:keepNext/>
              <w:jc w:val="center"/>
              <w:rPr>
                <w:rFonts w:cs="Arial"/>
                <w:b/>
                <w:bCs/>
                <w:color w:val="000000"/>
                <w:sz w:val="18"/>
                <w:szCs w:val="18"/>
              </w:rPr>
            </w:pPr>
          </w:p>
          <w:p w14:paraId="08ACF169" w14:textId="77777777" w:rsidR="004E6452" w:rsidRPr="001570EA" w:rsidRDefault="004E6452">
            <w:pPr>
              <w:keepNext/>
              <w:jc w:val="center"/>
              <w:rPr>
                <w:rFonts w:cs="Arial"/>
                <w:b/>
                <w:bCs/>
                <w:color w:val="000000"/>
                <w:sz w:val="18"/>
                <w:szCs w:val="18"/>
              </w:rPr>
            </w:pPr>
          </w:p>
        </w:tc>
        <w:tc>
          <w:tcPr>
            <w:tcW w:w="990" w:type="dxa"/>
            <w:vMerge w:val="restart"/>
            <w:tcBorders>
              <w:top w:val="single" w:sz="4" w:space="0" w:color="auto"/>
              <w:left w:val="single" w:sz="8" w:space="0" w:color="auto"/>
              <w:bottom w:val="single" w:sz="8" w:space="0" w:color="000000"/>
              <w:right w:val="single" w:sz="8" w:space="0" w:color="auto"/>
            </w:tcBorders>
            <w:shd w:val="clear" w:color="000000" w:fill="BFBFBF"/>
            <w:vAlign w:val="center"/>
            <w:hideMark/>
          </w:tcPr>
          <w:p w14:paraId="6DB609E1" w14:textId="77777777" w:rsidR="004E6452" w:rsidRPr="001570EA" w:rsidRDefault="004E6452">
            <w:pPr>
              <w:keepNext/>
              <w:jc w:val="center"/>
              <w:rPr>
                <w:rFonts w:cs="Arial"/>
                <w:b/>
                <w:bCs/>
                <w:color w:val="000000"/>
                <w:sz w:val="18"/>
                <w:szCs w:val="18"/>
                <w:vertAlign w:val="superscript"/>
              </w:rPr>
            </w:pPr>
            <w:r w:rsidRPr="001570EA">
              <w:rPr>
                <w:rFonts w:cs="Arial"/>
                <w:b/>
                <w:bCs/>
                <w:color w:val="000000"/>
                <w:sz w:val="18"/>
                <w:szCs w:val="18"/>
              </w:rPr>
              <w:t>Product</w:t>
            </w:r>
            <w:r w:rsidRPr="001570EA">
              <w:rPr>
                <w:rFonts w:cs="Arial"/>
                <w:b/>
                <w:bCs/>
                <w:color w:val="000000"/>
                <w:sz w:val="18"/>
                <w:szCs w:val="18"/>
                <w:vertAlign w:val="superscript"/>
              </w:rPr>
              <w:t>a</w:t>
            </w:r>
          </w:p>
        </w:tc>
        <w:tc>
          <w:tcPr>
            <w:tcW w:w="1265" w:type="dxa"/>
            <w:tcBorders>
              <w:top w:val="single" w:sz="8" w:space="0" w:color="auto"/>
              <w:left w:val="nil"/>
              <w:bottom w:val="nil"/>
              <w:right w:val="single" w:sz="8" w:space="0" w:color="auto"/>
            </w:tcBorders>
            <w:shd w:val="clear" w:color="000000" w:fill="BFBFBF"/>
            <w:vAlign w:val="center"/>
            <w:hideMark/>
          </w:tcPr>
          <w:p w14:paraId="7BA5FA8A"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Capacity Range</w:t>
            </w:r>
          </w:p>
        </w:tc>
        <w:tc>
          <w:tcPr>
            <w:tcW w:w="990" w:type="dxa"/>
            <w:tcBorders>
              <w:top w:val="single" w:sz="8" w:space="0" w:color="auto"/>
              <w:left w:val="nil"/>
              <w:bottom w:val="nil"/>
              <w:right w:val="single" w:sz="8" w:space="0" w:color="auto"/>
            </w:tcBorders>
            <w:shd w:val="clear" w:color="000000" w:fill="BFBFBF"/>
            <w:vAlign w:val="center"/>
            <w:hideMark/>
          </w:tcPr>
          <w:p w14:paraId="29897F70"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Default Capacity</w:t>
            </w:r>
          </w:p>
        </w:tc>
        <w:tc>
          <w:tcPr>
            <w:tcW w:w="1040" w:type="dxa"/>
            <w:tcBorders>
              <w:top w:val="single" w:sz="8" w:space="0" w:color="auto"/>
              <w:left w:val="nil"/>
              <w:bottom w:val="nil"/>
              <w:right w:val="single" w:sz="8" w:space="0" w:color="auto"/>
            </w:tcBorders>
            <w:shd w:val="clear" w:color="000000" w:fill="BFBFBF"/>
            <w:vAlign w:val="center"/>
            <w:hideMark/>
          </w:tcPr>
          <w:p w14:paraId="1AEAB68B"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Federal Standard</w:t>
            </w:r>
          </w:p>
        </w:tc>
        <w:tc>
          <w:tcPr>
            <w:tcW w:w="1030" w:type="dxa"/>
            <w:tcBorders>
              <w:top w:val="single" w:sz="8" w:space="0" w:color="auto"/>
              <w:left w:val="nil"/>
              <w:bottom w:val="nil"/>
              <w:right w:val="single" w:sz="8" w:space="0" w:color="auto"/>
            </w:tcBorders>
            <w:shd w:val="clear" w:color="000000" w:fill="BFBFBF"/>
            <w:vAlign w:val="center"/>
            <w:hideMark/>
          </w:tcPr>
          <w:p w14:paraId="3969B795"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 xml:space="preserve">Efficient </w:t>
            </w:r>
          </w:p>
        </w:tc>
        <w:tc>
          <w:tcPr>
            <w:tcW w:w="117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7B494BD" w14:textId="77777777" w:rsidR="004E6452" w:rsidRPr="001570EA" w:rsidRDefault="004E6452">
            <w:pPr>
              <w:keepNext/>
              <w:jc w:val="center"/>
              <w:rPr>
                <w:rFonts w:ascii="Calibri" w:hAnsi="Calibri" w:cs="Calibri"/>
                <w:b/>
                <w:bCs/>
                <w:color w:val="000000"/>
                <w:sz w:val="18"/>
                <w:szCs w:val="18"/>
              </w:rPr>
            </w:pPr>
            <w:r w:rsidRPr="001570EA">
              <w:rPr>
                <w:rFonts w:ascii="Cambria Math" w:hAnsi="Cambria Math" w:cs="Arial"/>
                <w:b/>
                <w:i/>
                <w:sz w:val="18"/>
              </w:rPr>
              <w:t>ΔkWh/yr</w:t>
            </w:r>
          </w:p>
        </w:tc>
        <w:tc>
          <w:tcPr>
            <w:tcW w:w="143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5BAE6AF" w14:textId="77777777" w:rsidR="004E6452" w:rsidRPr="001570EA" w:rsidRDefault="004E6452">
            <w:pPr>
              <w:keepNext/>
              <w:jc w:val="center"/>
              <w:rPr>
                <w:rFonts w:ascii="Calibri" w:hAnsi="Calibri" w:cs="Calibri"/>
                <w:b/>
                <w:bCs/>
                <w:color w:val="000000"/>
                <w:sz w:val="18"/>
                <w:szCs w:val="18"/>
              </w:rPr>
            </w:pPr>
            <m:oMathPara>
              <m:oMath>
                <m:r>
                  <m:rPr>
                    <m:sty m:val="bi"/>
                  </m:rPr>
                  <w:rPr>
                    <w:rFonts w:ascii="Cambria Math" w:hAnsi="Cambria Math" w:cs="Arial"/>
                    <w:sz w:val="18"/>
                  </w:rPr>
                  <m:t>∆</m:t>
                </m:r>
                <m:sSub>
                  <m:sSubPr>
                    <m:ctrlPr>
                      <w:rPr>
                        <w:rFonts w:ascii="Cambria Math" w:hAnsi="Cambria Math" w:cs="Arial"/>
                        <w:b/>
                        <w:i/>
                        <w:sz w:val="18"/>
                        <w:szCs w:val="18"/>
                      </w:rPr>
                    </m:ctrlPr>
                  </m:sSubPr>
                  <m:e>
                    <m:r>
                      <m:rPr>
                        <m:sty m:val="bi"/>
                      </m:rPr>
                      <w:rPr>
                        <w:rFonts w:ascii="Cambria Math" w:hAnsi="Cambria Math" w:cs="Arial"/>
                        <w:sz w:val="18"/>
                      </w:rPr>
                      <m:t>kW</m:t>
                    </m:r>
                  </m:e>
                  <m:sub>
                    <m:r>
                      <m:rPr>
                        <m:sty m:val="bi"/>
                      </m:rPr>
                      <w:rPr>
                        <w:rFonts w:ascii="Cambria Math" w:hAnsi="Cambria Math" w:cs="Arial"/>
                        <w:sz w:val="18"/>
                      </w:rPr>
                      <m:t>summer peak</m:t>
                    </m:r>
                  </m:sub>
                </m:sSub>
              </m:oMath>
            </m:oMathPara>
          </w:p>
        </w:tc>
        <w:tc>
          <w:tcPr>
            <w:tcW w:w="1355" w:type="dxa"/>
            <w:vMerge w:val="restart"/>
            <w:tcBorders>
              <w:top w:val="single" w:sz="8" w:space="0" w:color="auto"/>
              <w:left w:val="single" w:sz="8" w:space="0" w:color="auto"/>
              <w:right w:val="single" w:sz="8" w:space="0" w:color="auto"/>
            </w:tcBorders>
            <w:shd w:val="clear" w:color="000000" w:fill="BFBFBF"/>
            <w:vAlign w:val="center"/>
          </w:tcPr>
          <w:p w14:paraId="2AA1B1B3" w14:textId="77777777" w:rsidR="004E6452" w:rsidRPr="001570EA" w:rsidRDefault="004E6452">
            <w:pPr>
              <w:keepNext/>
              <w:jc w:val="center"/>
              <w:rPr>
                <w:rFonts w:ascii="Calibri" w:hAnsi="Calibri" w:cs="Calibri"/>
                <w:b/>
                <w:bCs/>
                <w:color w:val="000000"/>
                <w:sz w:val="18"/>
                <w:szCs w:val="18"/>
              </w:rPr>
            </w:pPr>
            <m:oMathPara>
              <m:oMath>
                <m:r>
                  <m:rPr>
                    <m:sty m:val="bi"/>
                  </m:rPr>
                  <w:rPr>
                    <w:rFonts w:ascii="Cambria Math" w:hAnsi="Cambria Math" w:cs="Arial"/>
                    <w:sz w:val="18"/>
                  </w:rPr>
                  <m:t>∆</m:t>
                </m:r>
                <m:sSub>
                  <m:sSubPr>
                    <m:ctrlPr>
                      <w:rPr>
                        <w:rFonts w:ascii="Cambria Math" w:hAnsi="Cambria Math" w:cs="Arial"/>
                        <w:b/>
                        <w:i/>
                        <w:sz w:val="18"/>
                        <w:szCs w:val="18"/>
                      </w:rPr>
                    </m:ctrlPr>
                  </m:sSubPr>
                  <m:e>
                    <m:r>
                      <m:rPr>
                        <m:sty m:val="bi"/>
                      </m:rPr>
                      <w:rPr>
                        <w:rFonts w:ascii="Cambria Math" w:hAnsi="Cambria Math" w:cs="Arial"/>
                        <w:sz w:val="18"/>
                      </w:rPr>
                      <m:t>kW</m:t>
                    </m:r>
                  </m:e>
                  <m:sub>
                    <m:r>
                      <m:rPr>
                        <m:sty m:val="bi"/>
                      </m:rPr>
                      <w:rPr>
                        <w:rFonts w:ascii="Cambria Math" w:hAnsi="Cambria Math" w:cs="Arial"/>
                        <w:sz w:val="18"/>
                      </w:rPr>
                      <m:t>winter peak</m:t>
                    </m:r>
                  </m:sub>
                </m:sSub>
              </m:oMath>
            </m:oMathPara>
          </w:p>
        </w:tc>
      </w:tr>
      <w:tr w:rsidR="004E6452" w:rsidRPr="001570EA" w14:paraId="1AE9B15A" w14:textId="77777777">
        <w:trPr>
          <w:trHeight w:val="495"/>
          <w:jc w:val="center"/>
        </w:trPr>
        <w:tc>
          <w:tcPr>
            <w:tcW w:w="990" w:type="dxa"/>
            <w:vMerge/>
            <w:tcBorders>
              <w:top w:val="single" w:sz="8" w:space="0" w:color="auto"/>
              <w:left w:val="single" w:sz="4" w:space="0" w:color="auto"/>
              <w:bottom w:val="single" w:sz="8" w:space="0" w:color="000000"/>
              <w:right w:val="single" w:sz="8" w:space="0" w:color="auto"/>
            </w:tcBorders>
            <w:hideMark/>
          </w:tcPr>
          <w:p w14:paraId="406DB19A" w14:textId="77777777" w:rsidR="004E6452" w:rsidRPr="001570EA" w:rsidRDefault="004E6452">
            <w:pPr>
              <w:keepNext/>
              <w:jc w:val="left"/>
              <w:rPr>
                <w:rFonts w:cs="Arial"/>
                <w:b/>
                <w:bCs/>
                <w:color w:val="000000"/>
                <w:sz w:val="18"/>
                <w:szCs w:val="18"/>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14:paraId="4B43328B" w14:textId="77777777" w:rsidR="004E6452" w:rsidRPr="001570EA" w:rsidRDefault="004E6452">
            <w:pPr>
              <w:keepNext/>
              <w:jc w:val="left"/>
              <w:rPr>
                <w:rFonts w:cs="Arial"/>
                <w:b/>
                <w:bCs/>
                <w:color w:val="000000"/>
                <w:sz w:val="18"/>
                <w:szCs w:val="18"/>
              </w:rPr>
            </w:pPr>
          </w:p>
        </w:tc>
        <w:tc>
          <w:tcPr>
            <w:tcW w:w="1265" w:type="dxa"/>
            <w:tcBorders>
              <w:top w:val="nil"/>
              <w:left w:val="nil"/>
              <w:bottom w:val="single" w:sz="8" w:space="0" w:color="auto"/>
              <w:right w:val="single" w:sz="8" w:space="0" w:color="auto"/>
            </w:tcBorders>
            <w:shd w:val="clear" w:color="000000" w:fill="BFBFBF"/>
            <w:vAlign w:val="center"/>
            <w:hideMark/>
          </w:tcPr>
          <w:p w14:paraId="6BF6D0EA"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(pints/day or ft</w:t>
            </w:r>
            <w:r w:rsidRPr="001570EA">
              <w:rPr>
                <w:rFonts w:cs="Arial"/>
                <w:b/>
                <w:bCs/>
                <w:color w:val="000000"/>
                <w:sz w:val="18"/>
                <w:szCs w:val="18"/>
                <w:vertAlign w:val="superscript"/>
              </w:rPr>
              <w:t>3</w:t>
            </w:r>
            <w:r w:rsidRPr="001570EA">
              <w:rPr>
                <w:rFonts w:cs="Arial"/>
                <w:b/>
                <w:bCs/>
                <w:color w:val="000000"/>
                <w:sz w:val="18"/>
                <w:szCs w:val="18"/>
              </w:rPr>
              <w:t>)</w:t>
            </w:r>
          </w:p>
        </w:tc>
        <w:tc>
          <w:tcPr>
            <w:tcW w:w="990" w:type="dxa"/>
            <w:tcBorders>
              <w:top w:val="nil"/>
              <w:left w:val="nil"/>
              <w:bottom w:val="single" w:sz="8" w:space="0" w:color="auto"/>
              <w:right w:val="single" w:sz="8" w:space="0" w:color="auto"/>
            </w:tcBorders>
            <w:shd w:val="clear" w:color="000000" w:fill="BFBFBF"/>
            <w:vAlign w:val="center"/>
            <w:hideMark/>
          </w:tcPr>
          <w:p w14:paraId="76B999B7"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(pints/day)</w:t>
            </w:r>
          </w:p>
        </w:tc>
        <w:tc>
          <w:tcPr>
            <w:tcW w:w="1040" w:type="dxa"/>
            <w:tcBorders>
              <w:top w:val="nil"/>
              <w:left w:val="nil"/>
              <w:bottom w:val="single" w:sz="8" w:space="0" w:color="auto"/>
              <w:right w:val="single" w:sz="8" w:space="0" w:color="auto"/>
            </w:tcBorders>
            <w:shd w:val="clear" w:color="000000" w:fill="BFBFBF"/>
            <w:vAlign w:val="center"/>
            <w:hideMark/>
          </w:tcPr>
          <w:p w14:paraId="494AF34C"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(IEF)</w:t>
            </w:r>
          </w:p>
        </w:tc>
        <w:tc>
          <w:tcPr>
            <w:tcW w:w="1030" w:type="dxa"/>
            <w:tcBorders>
              <w:top w:val="nil"/>
              <w:left w:val="nil"/>
              <w:bottom w:val="single" w:sz="8" w:space="0" w:color="auto"/>
              <w:right w:val="single" w:sz="8" w:space="0" w:color="auto"/>
            </w:tcBorders>
            <w:shd w:val="clear" w:color="000000" w:fill="BFBFBF"/>
            <w:vAlign w:val="center"/>
            <w:hideMark/>
          </w:tcPr>
          <w:p w14:paraId="5B648126"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(IEF)</w:t>
            </w: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39BB8724" w14:textId="77777777" w:rsidR="004E6452" w:rsidRPr="001570EA" w:rsidRDefault="004E6452">
            <w:pPr>
              <w:keepNext/>
              <w:jc w:val="left"/>
              <w:rPr>
                <w:rFonts w:ascii="Calibri" w:hAnsi="Calibri" w:cs="Calibri"/>
                <w:b/>
                <w:bCs/>
                <w:color w:val="000000"/>
                <w:sz w:val="18"/>
                <w:szCs w:val="18"/>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14:paraId="6A3C3EFA" w14:textId="77777777" w:rsidR="004E6452" w:rsidRPr="001570EA" w:rsidRDefault="004E6452">
            <w:pPr>
              <w:keepNext/>
              <w:jc w:val="left"/>
              <w:rPr>
                <w:rFonts w:ascii="Calibri" w:hAnsi="Calibri" w:cs="Calibri"/>
                <w:b/>
                <w:bCs/>
                <w:color w:val="000000"/>
                <w:sz w:val="18"/>
                <w:szCs w:val="18"/>
              </w:rPr>
            </w:pPr>
          </w:p>
        </w:tc>
        <w:tc>
          <w:tcPr>
            <w:tcW w:w="1355" w:type="dxa"/>
            <w:vMerge/>
            <w:tcBorders>
              <w:left w:val="single" w:sz="8" w:space="0" w:color="auto"/>
              <w:bottom w:val="single" w:sz="8" w:space="0" w:color="000000"/>
              <w:right w:val="single" w:sz="8" w:space="0" w:color="auto"/>
            </w:tcBorders>
          </w:tcPr>
          <w:p w14:paraId="2448E0ED" w14:textId="77777777" w:rsidR="004E6452" w:rsidRPr="001570EA" w:rsidRDefault="004E6452">
            <w:pPr>
              <w:keepNext/>
              <w:jc w:val="left"/>
              <w:rPr>
                <w:rFonts w:ascii="Calibri" w:hAnsi="Calibri" w:cs="Calibri"/>
                <w:b/>
                <w:bCs/>
                <w:color w:val="000000"/>
                <w:sz w:val="18"/>
                <w:szCs w:val="18"/>
              </w:rPr>
            </w:pPr>
          </w:p>
        </w:tc>
      </w:tr>
      <w:tr w:rsidR="004E6452" w:rsidRPr="001570EA" w14:paraId="61CF28AB" w14:textId="77777777">
        <w:trPr>
          <w:trHeight w:val="315"/>
          <w:jc w:val="center"/>
        </w:trPr>
        <w:tc>
          <w:tcPr>
            <w:tcW w:w="990" w:type="dxa"/>
            <w:vMerge w:val="restart"/>
            <w:tcBorders>
              <w:top w:val="nil"/>
              <w:left w:val="single" w:sz="8" w:space="0" w:color="auto"/>
              <w:right w:val="single" w:sz="8" w:space="0" w:color="auto"/>
            </w:tcBorders>
            <w:shd w:val="clear" w:color="000000" w:fill="FFFFFF"/>
            <w:vAlign w:val="center"/>
            <w:hideMark/>
          </w:tcPr>
          <w:p w14:paraId="12458797" w14:textId="77777777" w:rsidR="004E6452" w:rsidRPr="001570EA" w:rsidRDefault="004E6452">
            <w:pPr>
              <w:keepNext/>
              <w:jc w:val="center"/>
              <w:rPr>
                <w:rFonts w:cs="Arial"/>
                <w:color w:val="000000"/>
                <w:sz w:val="18"/>
                <w:szCs w:val="18"/>
              </w:rPr>
            </w:pPr>
            <w:r w:rsidRPr="001570EA">
              <w:rPr>
                <w:rFonts w:cs="Arial"/>
                <w:color w:val="000000"/>
                <w:sz w:val="18"/>
                <w:szCs w:val="18"/>
              </w:rPr>
              <w:t>ENERGY STAR</w:t>
            </w:r>
          </w:p>
        </w:tc>
        <w:tc>
          <w:tcPr>
            <w:tcW w:w="990" w:type="dxa"/>
            <w:tcBorders>
              <w:top w:val="nil"/>
              <w:left w:val="nil"/>
              <w:bottom w:val="single" w:sz="8" w:space="0" w:color="auto"/>
              <w:right w:val="single" w:sz="8" w:space="0" w:color="auto"/>
            </w:tcBorders>
            <w:shd w:val="clear" w:color="000000" w:fill="FFFFFF"/>
            <w:vAlign w:val="center"/>
            <w:hideMark/>
          </w:tcPr>
          <w:p w14:paraId="106F60AF" w14:textId="77777777" w:rsidR="004E6452" w:rsidRPr="001570EA" w:rsidRDefault="004E6452">
            <w:pPr>
              <w:keepNext/>
              <w:jc w:val="center"/>
              <w:rPr>
                <w:rFonts w:cs="Arial"/>
                <w:color w:val="000000"/>
                <w:sz w:val="18"/>
                <w:szCs w:val="18"/>
              </w:rPr>
            </w:pPr>
            <w:r w:rsidRPr="001570EA">
              <w:rPr>
                <w:rFonts w:cs="Arial"/>
                <w:color w:val="000000"/>
                <w:sz w:val="18"/>
                <w:szCs w:val="18"/>
              </w:rPr>
              <w:t>Portable</w:t>
            </w:r>
          </w:p>
        </w:tc>
        <w:tc>
          <w:tcPr>
            <w:tcW w:w="1265" w:type="dxa"/>
            <w:tcBorders>
              <w:top w:val="nil"/>
              <w:left w:val="nil"/>
              <w:bottom w:val="single" w:sz="8" w:space="0" w:color="auto"/>
              <w:right w:val="single" w:sz="8" w:space="0" w:color="auto"/>
            </w:tcBorders>
            <w:shd w:val="clear" w:color="000000" w:fill="FFFFFF"/>
            <w:noWrap/>
            <w:vAlign w:val="center"/>
            <w:hideMark/>
          </w:tcPr>
          <w:p w14:paraId="1BDCCF3A" w14:textId="77777777" w:rsidR="004E6452" w:rsidRPr="001570EA" w:rsidRDefault="004E6452">
            <w:pPr>
              <w:keepNext/>
              <w:jc w:val="center"/>
              <w:rPr>
                <w:rFonts w:cs="Arial"/>
                <w:color w:val="000000"/>
                <w:sz w:val="18"/>
                <w:szCs w:val="18"/>
              </w:rPr>
            </w:pPr>
            <w:r w:rsidRPr="001570EA">
              <w:rPr>
                <w:rFonts w:cs="Arial"/>
                <w:color w:val="000000"/>
                <w:sz w:val="18"/>
                <w:szCs w:val="18"/>
              </w:rPr>
              <w:t>≤ 25 pints/day</w:t>
            </w:r>
          </w:p>
        </w:tc>
        <w:tc>
          <w:tcPr>
            <w:tcW w:w="990" w:type="dxa"/>
            <w:tcBorders>
              <w:top w:val="nil"/>
              <w:left w:val="nil"/>
              <w:bottom w:val="single" w:sz="8" w:space="0" w:color="auto"/>
              <w:right w:val="single" w:sz="8" w:space="0" w:color="auto"/>
            </w:tcBorders>
            <w:shd w:val="clear" w:color="000000" w:fill="FFFFFF"/>
            <w:noWrap/>
            <w:vAlign w:val="center"/>
            <w:hideMark/>
          </w:tcPr>
          <w:p w14:paraId="010699A6" w14:textId="77777777" w:rsidR="004E6452" w:rsidRPr="001570EA" w:rsidRDefault="004E6452">
            <w:pPr>
              <w:keepNext/>
              <w:jc w:val="center"/>
              <w:rPr>
                <w:rFonts w:cs="Arial"/>
                <w:color w:val="000000"/>
                <w:sz w:val="18"/>
                <w:szCs w:val="18"/>
              </w:rPr>
            </w:pPr>
            <w:r w:rsidRPr="001570EA">
              <w:rPr>
                <w:rFonts w:cs="Arial"/>
                <w:color w:val="000000"/>
                <w:sz w:val="18"/>
                <w:szCs w:val="18"/>
              </w:rPr>
              <w:t>25</w:t>
            </w:r>
          </w:p>
        </w:tc>
        <w:tc>
          <w:tcPr>
            <w:tcW w:w="1040" w:type="dxa"/>
            <w:tcBorders>
              <w:top w:val="nil"/>
              <w:left w:val="nil"/>
              <w:bottom w:val="single" w:sz="8" w:space="0" w:color="auto"/>
              <w:right w:val="single" w:sz="8" w:space="0" w:color="auto"/>
            </w:tcBorders>
            <w:shd w:val="clear" w:color="000000" w:fill="FFFFFF"/>
            <w:noWrap/>
            <w:vAlign w:val="center"/>
            <w:hideMark/>
          </w:tcPr>
          <w:p w14:paraId="754123E8" w14:textId="77777777" w:rsidR="004E6452" w:rsidRPr="001570EA" w:rsidRDefault="004E6452">
            <w:pPr>
              <w:keepNext/>
              <w:jc w:val="center"/>
              <w:rPr>
                <w:rFonts w:cs="Arial"/>
                <w:color w:val="000000"/>
                <w:sz w:val="18"/>
                <w:szCs w:val="18"/>
              </w:rPr>
            </w:pPr>
            <w:r w:rsidRPr="001570EA">
              <w:rPr>
                <w:rFonts w:cs="Arial"/>
                <w:color w:val="000000"/>
                <w:sz w:val="18"/>
                <w:szCs w:val="18"/>
              </w:rPr>
              <w:t>1.30</w:t>
            </w:r>
          </w:p>
        </w:tc>
        <w:tc>
          <w:tcPr>
            <w:tcW w:w="1030" w:type="dxa"/>
            <w:tcBorders>
              <w:top w:val="nil"/>
              <w:left w:val="nil"/>
              <w:bottom w:val="single" w:sz="8" w:space="0" w:color="auto"/>
              <w:right w:val="single" w:sz="8" w:space="0" w:color="auto"/>
            </w:tcBorders>
            <w:shd w:val="clear" w:color="000000" w:fill="FFFFFF"/>
            <w:vAlign w:val="center"/>
            <w:hideMark/>
          </w:tcPr>
          <w:p w14:paraId="5F0B7ABC" w14:textId="77777777" w:rsidR="004E6452" w:rsidRPr="001570EA" w:rsidRDefault="004E6452">
            <w:pPr>
              <w:keepNext/>
              <w:jc w:val="center"/>
              <w:rPr>
                <w:rFonts w:cs="Arial"/>
                <w:color w:val="000000"/>
                <w:sz w:val="18"/>
                <w:szCs w:val="18"/>
              </w:rPr>
            </w:pPr>
            <w:r w:rsidRPr="001570EA">
              <w:rPr>
                <w:rFonts w:cs="Arial"/>
                <w:color w:val="000000"/>
                <w:sz w:val="18"/>
                <w:szCs w:val="18"/>
              </w:rPr>
              <w:t>1.57</w:t>
            </w:r>
          </w:p>
        </w:tc>
        <w:tc>
          <w:tcPr>
            <w:tcW w:w="1170" w:type="dxa"/>
            <w:tcBorders>
              <w:top w:val="nil"/>
              <w:left w:val="nil"/>
              <w:bottom w:val="single" w:sz="8" w:space="0" w:color="auto"/>
              <w:right w:val="single" w:sz="8" w:space="0" w:color="auto"/>
            </w:tcBorders>
            <w:shd w:val="clear" w:color="000000" w:fill="FFFFFF"/>
            <w:noWrap/>
            <w:vAlign w:val="center"/>
            <w:hideMark/>
          </w:tcPr>
          <w:p w14:paraId="567062A0" w14:textId="77777777" w:rsidR="004E6452" w:rsidRPr="001570EA" w:rsidRDefault="004E6452">
            <w:pPr>
              <w:keepNext/>
              <w:jc w:val="center"/>
              <w:rPr>
                <w:rFonts w:cs="Arial"/>
                <w:color w:val="000000"/>
                <w:sz w:val="18"/>
                <w:szCs w:val="18"/>
              </w:rPr>
            </w:pPr>
            <w:r w:rsidRPr="001570EA">
              <w:rPr>
                <w:rFonts w:cs="Arial"/>
                <w:color w:val="000000"/>
                <w:sz w:val="18"/>
                <w:szCs w:val="18"/>
              </w:rPr>
              <w:t>141</w:t>
            </w:r>
          </w:p>
        </w:tc>
        <w:tc>
          <w:tcPr>
            <w:tcW w:w="1435" w:type="dxa"/>
            <w:tcBorders>
              <w:top w:val="nil"/>
              <w:left w:val="nil"/>
              <w:bottom w:val="single" w:sz="8" w:space="0" w:color="auto"/>
              <w:right w:val="single" w:sz="8" w:space="0" w:color="auto"/>
            </w:tcBorders>
            <w:shd w:val="clear" w:color="000000" w:fill="FFFFFF"/>
            <w:vAlign w:val="center"/>
            <w:hideMark/>
          </w:tcPr>
          <w:p w14:paraId="30847648" w14:textId="77777777" w:rsidR="004E6452" w:rsidRPr="001570EA" w:rsidRDefault="004E6452">
            <w:pPr>
              <w:keepNext/>
              <w:jc w:val="center"/>
              <w:rPr>
                <w:rFonts w:cs="Arial"/>
                <w:color w:val="000000"/>
                <w:sz w:val="18"/>
                <w:szCs w:val="18"/>
              </w:rPr>
            </w:pPr>
            <w:r w:rsidRPr="001570EA">
              <w:rPr>
                <w:rFonts w:cs="Arial"/>
                <w:color w:val="000000"/>
                <w:sz w:val="18"/>
                <w:szCs w:val="18"/>
              </w:rPr>
              <w:t>0.0160</w:t>
            </w:r>
          </w:p>
        </w:tc>
        <w:tc>
          <w:tcPr>
            <w:tcW w:w="1355" w:type="dxa"/>
            <w:tcBorders>
              <w:top w:val="nil"/>
              <w:left w:val="nil"/>
              <w:bottom w:val="single" w:sz="8" w:space="0" w:color="auto"/>
              <w:right w:val="single" w:sz="8" w:space="0" w:color="auto"/>
            </w:tcBorders>
            <w:shd w:val="clear" w:color="000000" w:fill="FFFFFF"/>
            <w:vAlign w:val="center"/>
          </w:tcPr>
          <w:p w14:paraId="64BA800C" w14:textId="77777777" w:rsidR="004E6452" w:rsidRPr="001570EA" w:rsidRDefault="004E6452">
            <w:pPr>
              <w:keepNext/>
              <w:jc w:val="center"/>
              <w:rPr>
                <w:rFonts w:cs="Arial"/>
                <w:color w:val="000000"/>
                <w:sz w:val="18"/>
                <w:szCs w:val="18"/>
              </w:rPr>
            </w:pPr>
            <w:r w:rsidRPr="001570EA">
              <w:rPr>
                <w:rFonts w:cs="Arial"/>
                <w:color w:val="000000"/>
                <w:sz w:val="18"/>
                <w:szCs w:val="18"/>
              </w:rPr>
              <w:t>0.0206</w:t>
            </w:r>
          </w:p>
        </w:tc>
      </w:tr>
      <w:tr w:rsidR="004E6452" w:rsidRPr="001570EA" w14:paraId="4CC2D7F5" w14:textId="77777777">
        <w:trPr>
          <w:trHeight w:val="308"/>
          <w:jc w:val="center"/>
        </w:trPr>
        <w:tc>
          <w:tcPr>
            <w:tcW w:w="990" w:type="dxa"/>
            <w:vMerge/>
            <w:tcBorders>
              <w:left w:val="single" w:sz="8" w:space="0" w:color="auto"/>
              <w:right w:val="single" w:sz="8" w:space="0" w:color="auto"/>
            </w:tcBorders>
            <w:vAlign w:val="center"/>
            <w:hideMark/>
          </w:tcPr>
          <w:p w14:paraId="63581FEE" w14:textId="77777777" w:rsidR="004E6452" w:rsidRPr="001570EA" w:rsidRDefault="004E6452">
            <w:pPr>
              <w:keepNext/>
              <w:jc w:val="left"/>
              <w:rPr>
                <w:rFonts w:cs="Arial"/>
                <w:color w:val="000000"/>
                <w:sz w:val="18"/>
                <w:szCs w:val="18"/>
              </w:rPr>
            </w:pPr>
          </w:p>
        </w:tc>
        <w:tc>
          <w:tcPr>
            <w:tcW w:w="990" w:type="dxa"/>
            <w:tcBorders>
              <w:top w:val="nil"/>
              <w:left w:val="nil"/>
              <w:bottom w:val="single" w:sz="4" w:space="0" w:color="auto"/>
              <w:right w:val="single" w:sz="8" w:space="0" w:color="auto"/>
            </w:tcBorders>
            <w:shd w:val="clear" w:color="000000" w:fill="FFFFFF"/>
            <w:vAlign w:val="center"/>
            <w:hideMark/>
          </w:tcPr>
          <w:p w14:paraId="46CDD84F" w14:textId="77777777" w:rsidR="004E6452" w:rsidRPr="001570EA" w:rsidRDefault="004E6452">
            <w:pPr>
              <w:keepNext/>
              <w:jc w:val="center"/>
              <w:rPr>
                <w:rFonts w:cs="Arial"/>
                <w:color w:val="000000"/>
                <w:sz w:val="18"/>
                <w:szCs w:val="18"/>
              </w:rPr>
            </w:pPr>
            <w:r w:rsidRPr="001570EA">
              <w:rPr>
                <w:rFonts w:cs="Arial"/>
                <w:color w:val="000000"/>
                <w:sz w:val="18"/>
                <w:szCs w:val="18"/>
              </w:rPr>
              <w:t>Portable</w:t>
            </w:r>
          </w:p>
        </w:tc>
        <w:tc>
          <w:tcPr>
            <w:tcW w:w="1265" w:type="dxa"/>
            <w:tcBorders>
              <w:top w:val="nil"/>
              <w:left w:val="nil"/>
              <w:bottom w:val="single" w:sz="4" w:space="0" w:color="auto"/>
              <w:right w:val="single" w:sz="8" w:space="0" w:color="auto"/>
            </w:tcBorders>
            <w:shd w:val="clear" w:color="000000" w:fill="FFFFFF"/>
            <w:noWrap/>
            <w:vAlign w:val="center"/>
            <w:hideMark/>
          </w:tcPr>
          <w:p w14:paraId="61F02949" w14:textId="77777777" w:rsidR="004E6452" w:rsidRPr="001570EA" w:rsidRDefault="004E6452">
            <w:pPr>
              <w:keepNext/>
              <w:jc w:val="center"/>
              <w:rPr>
                <w:rFonts w:cs="Arial"/>
                <w:color w:val="000000"/>
                <w:sz w:val="18"/>
                <w:szCs w:val="18"/>
              </w:rPr>
            </w:pPr>
            <w:r w:rsidRPr="001570EA">
              <w:rPr>
                <w:rFonts w:cs="Arial"/>
                <w:color w:val="000000"/>
                <w:sz w:val="18"/>
                <w:szCs w:val="18"/>
              </w:rPr>
              <w:t>&gt; 25 to ≤ 50 pints/day</w:t>
            </w:r>
          </w:p>
        </w:tc>
        <w:tc>
          <w:tcPr>
            <w:tcW w:w="990" w:type="dxa"/>
            <w:tcBorders>
              <w:top w:val="nil"/>
              <w:left w:val="nil"/>
              <w:bottom w:val="single" w:sz="4" w:space="0" w:color="auto"/>
              <w:right w:val="single" w:sz="8" w:space="0" w:color="auto"/>
            </w:tcBorders>
            <w:shd w:val="clear" w:color="000000" w:fill="FFFFFF"/>
            <w:noWrap/>
            <w:vAlign w:val="center"/>
            <w:hideMark/>
          </w:tcPr>
          <w:p w14:paraId="556CC683" w14:textId="77777777" w:rsidR="004E6452" w:rsidRPr="001570EA" w:rsidRDefault="004E6452">
            <w:pPr>
              <w:keepNext/>
              <w:jc w:val="center"/>
              <w:rPr>
                <w:rFonts w:cs="Arial"/>
                <w:color w:val="000000"/>
                <w:sz w:val="18"/>
                <w:szCs w:val="18"/>
              </w:rPr>
            </w:pPr>
            <w:r w:rsidRPr="001570EA">
              <w:rPr>
                <w:rFonts w:cs="Arial"/>
                <w:color w:val="000000"/>
                <w:sz w:val="18"/>
                <w:szCs w:val="18"/>
              </w:rPr>
              <w:t>50</w:t>
            </w:r>
          </w:p>
        </w:tc>
        <w:tc>
          <w:tcPr>
            <w:tcW w:w="1040" w:type="dxa"/>
            <w:tcBorders>
              <w:top w:val="nil"/>
              <w:left w:val="nil"/>
              <w:bottom w:val="single" w:sz="4" w:space="0" w:color="auto"/>
              <w:right w:val="single" w:sz="8" w:space="0" w:color="auto"/>
            </w:tcBorders>
            <w:shd w:val="clear" w:color="000000" w:fill="FFFFFF"/>
            <w:noWrap/>
            <w:vAlign w:val="center"/>
            <w:hideMark/>
          </w:tcPr>
          <w:p w14:paraId="49086622" w14:textId="77777777" w:rsidR="004E6452" w:rsidRPr="001570EA" w:rsidRDefault="004E6452">
            <w:pPr>
              <w:keepNext/>
              <w:jc w:val="center"/>
              <w:rPr>
                <w:rFonts w:cs="Arial"/>
                <w:color w:val="000000"/>
                <w:sz w:val="18"/>
                <w:szCs w:val="18"/>
              </w:rPr>
            </w:pPr>
            <w:r w:rsidRPr="001570EA">
              <w:rPr>
                <w:rFonts w:cs="Arial"/>
                <w:color w:val="000000"/>
                <w:sz w:val="18"/>
                <w:szCs w:val="18"/>
              </w:rPr>
              <w:t>1.60</w:t>
            </w:r>
          </w:p>
        </w:tc>
        <w:tc>
          <w:tcPr>
            <w:tcW w:w="1030" w:type="dxa"/>
            <w:tcBorders>
              <w:top w:val="nil"/>
              <w:left w:val="nil"/>
              <w:bottom w:val="single" w:sz="4" w:space="0" w:color="auto"/>
              <w:right w:val="single" w:sz="8" w:space="0" w:color="auto"/>
            </w:tcBorders>
            <w:shd w:val="clear" w:color="000000" w:fill="FFFFFF"/>
            <w:vAlign w:val="center"/>
            <w:hideMark/>
          </w:tcPr>
          <w:p w14:paraId="6242F852" w14:textId="77777777" w:rsidR="004E6452" w:rsidRPr="001570EA" w:rsidRDefault="004E6452">
            <w:pPr>
              <w:keepNext/>
              <w:jc w:val="center"/>
              <w:rPr>
                <w:rFonts w:cs="Arial"/>
                <w:color w:val="000000"/>
                <w:sz w:val="18"/>
                <w:szCs w:val="18"/>
              </w:rPr>
            </w:pPr>
            <w:r w:rsidRPr="001570EA">
              <w:rPr>
                <w:rFonts w:cs="Arial"/>
                <w:color w:val="000000"/>
                <w:sz w:val="18"/>
                <w:szCs w:val="18"/>
              </w:rPr>
              <w:t>1.80</w:t>
            </w:r>
          </w:p>
        </w:tc>
        <w:tc>
          <w:tcPr>
            <w:tcW w:w="1170" w:type="dxa"/>
            <w:tcBorders>
              <w:top w:val="nil"/>
              <w:left w:val="nil"/>
              <w:bottom w:val="single" w:sz="4" w:space="0" w:color="auto"/>
              <w:right w:val="single" w:sz="8" w:space="0" w:color="auto"/>
            </w:tcBorders>
            <w:shd w:val="clear" w:color="000000" w:fill="FFFFFF"/>
            <w:noWrap/>
            <w:vAlign w:val="center"/>
            <w:hideMark/>
          </w:tcPr>
          <w:p w14:paraId="3E3D570D" w14:textId="77777777" w:rsidR="004E6452" w:rsidRPr="001570EA" w:rsidRDefault="004E6452">
            <w:pPr>
              <w:keepNext/>
              <w:jc w:val="center"/>
              <w:rPr>
                <w:rFonts w:cs="Arial"/>
                <w:color w:val="000000"/>
                <w:sz w:val="18"/>
                <w:szCs w:val="18"/>
              </w:rPr>
            </w:pPr>
            <w:r w:rsidRPr="001570EA">
              <w:rPr>
                <w:rFonts w:cs="Arial"/>
                <w:color w:val="000000"/>
                <w:sz w:val="18"/>
                <w:szCs w:val="18"/>
              </w:rPr>
              <w:t>148</w:t>
            </w:r>
          </w:p>
        </w:tc>
        <w:tc>
          <w:tcPr>
            <w:tcW w:w="1435" w:type="dxa"/>
            <w:tcBorders>
              <w:top w:val="nil"/>
              <w:left w:val="nil"/>
              <w:bottom w:val="single" w:sz="4" w:space="0" w:color="auto"/>
              <w:right w:val="single" w:sz="8" w:space="0" w:color="auto"/>
            </w:tcBorders>
            <w:shd w:val="clear" w:color="000000" w:fill="FFFFFF"/>
            <w:vAlign w:val="center"/>
            <w:hideMark/>
          </w:tcPr>
          <w:p w14:paraId="524171D3" w14:textId="77777777" w:rsidR="004E6452" w:rsidRPr="001570EA" w:rsidRDefault="004E6452">
            <w:pPr>
              <w:keepNext/>
              <w:jc w:val="center"/>
              <w:rPr>
                <w:rFonts w:cs="Arial"/>
                <w:color w:val="000000"/>
                <w:sz w:val="18"/>
                <w:szCs w:val="18"/>
              </w:rPr>
            </w:pPr>
            <w:r w:rsidRPr="001570EA">
              <w:rPr>
                <w:rFonts w:cs="Arial"/>
                <w:color w:val="000000"/>
                <w:sz w:val="18"/>
                <w:szCs w:val="18"/>
              </w:rPr>
              <w:t>0.0168</w:t>
            </w:r>
          </w:p>
        </w:tc>
        <w:tc>
          <w:tcPr>
            <w:tcW w:w="1355" w:type="dxa"/>
            <w:tcBorders>
              <w:top w:val="nil"/>
              <w:left w:val="nil"/>
              <w:bottom w:val="single" w:sz="4" w:space="0" w:color="auto"/>
              <w:right w:val="single" w:sz="8" w:space="0" w:color="auto"/>
            </w:tcBorders>
            <w:shd w:val="clear" w:color="000000" w:fill="FFFFFF"/>
            <w:vAlign w:val="center"/>
          </w:tcPr>
          <w:p w14:paraId="33B89F45" w14:textId="77777777" w:rsidR="004E6452" w:rsidRPr="001570EA" w:rsidRDefault="004E6452">
            <w:pPr>
              <w:keepNext/>
              <w:jc w:val="center"/>
              <w:rPr>
                <w:rFonts w:cs="Arial"/>
                <w:color w:val="000000"/>
                <w:sz w:val="18"/>
                <w:szCs w:val="18"/>
              </w:rPr>
            </w:pPr>
            <w:r w:rsidRPr="001570EA">
              <w:rPr>
                <w:rFonts w:cs="Arial"/>
                <w:color w:val="000000"/>
                <w:sz w:val="18"/>
                <w:szCs w:val="18"/>
              </w:rPr>
              <w:t>0.0216</w:t>
            </w:r>
          </w:p>
        </w:tc>
      </w:tr>
      <w:tr w:rsidR="004E6452" w:rsidRPr="001570EA" w14:paraId="720DDDB3" w14:textId="77777777">
        <w:trPr>
          <w:trHeight w:val="315"/>
          <w:jc w:val="center"/>
        </w:trPr>
        <w:tc>
          <w:tcPr>
            <w:tcW w:w="990" w:type="dxa"/>
            <w:vMerge/>
            <w:tcBorders>
              <w:left w:val="single" w:sz="8" w:space="0" w:color="auto"/>
              <w:bottom w:val="single" w:sz="8" w:space="0" w:color="auto"/>
              <w:right w:val="single" w:sz="8" w:space="0" w:color="auto"/>
            </w:tcBorders>
            <w:vAlign w:val="center"/>
            <w:hideMark/>
          </w:tcPr>
          <w:p w14:paraId="69E3AD30" w14:textId="77777777" w:rsidR="004E6452" w:rsidRPr="001570EA" w:rsidRDefault="004E6452">
            <w:pPr>
              <w:keepNext/>
              <w:jc w:val="left"/>
              <w:rPr>
                <w:rFonts w:cs="Arial"/>
                <w:color w:val="000000"/>
                <w:sz w:val="18"/>
                <w:szCs w:val="18"/>
              </w:rPr>
            </w:pPr>
          </w:p>
        </w:tc>
        <w:tc>
          <w:tcPr>
            <w:tcW w:w="990" w:type="dxa"/>
            <w:tcBorders>
              <w:top w:val="single" w:sz="4" w:space="0" w:color="auto"/>
              <w:left w:val="nil"/>
              <w:bottom w:val="single" w:sz="8" w:space="0" w:color="auto"/>
              <w:right w:val="single" w:sz="8" w:space="0" w:color="auto"/>
            </w:tcBorders>
            <w:shd w:val="clear" w:color="000000" w:fill="FFFFFF"/>
            <w:vAlign w:val="center"/>
            <w:hideMark/>
          </w:tcPr>
          <w:p w14:paraId="5E780CD0" w14:textId="77777777" w:rsidR="004E6452" w:rsidRPr="001570EA" w:rsidRDefault="004E6452">
            <w:pPr>
              <w:keepNext/>
              <w:jc w:val="center"/>
              <w:rPr>
                <w:rFonts w:cs="Arial"/>
                <w:color w:val="000000"/>
                <w:sz w:val="18"/>
                <w:szCs w:val="18"/>
              </w:rPr>
            </w:pPr>
            <w:r w:rsidRPr="001570EA">
              <w:rPr>
                <w:rFonts w:cs="Arial"/>
                <w:color w:val="000000"/>
                <w:sz w:val="18"/>
                <w:szCs w:val="18"/>
              </w:rPr>
              <w:t>Whole house</w:t>
            </w:r>
          </w:p>
        </w:tc>
        <w:tc>
          <w:tcPr>
            <w:tcW w:w="1265" w:type="dxa"/>
            <w:tcBorders>
              <w:top w:val="single" w:sz="4" w:space="0" w:color="auto"/>
              <w:left w:val="nil"/>
              <w:bottom w:val="single" w:sz="8" w:space="0" w:color="auto"/>
              <w:right w:val="single" w:sz="8" w:space="0" w:color="auto"/>
            </w:tcBorders>
            <w:shd w:val="clear" w:color="000000" w:fill="FFFFFF"/>
            <w:noWrap/>
            <w:vAlign w:val="center"/>
            <w:hideMark/>
          </w:tcPr>
          <w:p w14:paraId="3E906380" w14:textId="77777777" w:rsidR="004E6452" w:rsidRPr="001570EA" w:rsidRDefault="004E6452">
            <w:pPr>
              <w:keepNext/>
              <w:jc w:val="center"/>
              <w:rPr>
                <w:rFonts w:cs="Arial"/>
                <w:color w:val="000000"/>
                <w:sz w:val="18"/>
                <w:szCs w:val="18"/>
              </w:rPr>
            </w:pPr>
            <w:r w:rsidRPr="001570EA">
              <w:rPr>
                <w:rFonts w:cs="Arial"/>
                <w:color w:val="000000"/>
                <w:sz w:val="18"/>
                <w:szCs w:val="18"/>
              </w:rPr>
              <w:t>≤8 ft</w:t>
            </w:r>
            <w:r w:rsidRPr="001570EA">
              <w:rPr>
                <w:rFonts w:cs="Arial"/>
                <w:color w:val="000000"/>
                <w:sz w:val="18"/>
                <w:szCs w:val="18"/>
                <w:vertAlign w:val="superscript"/>
              </w:rPr>
              <w:t>3</w:t>
            </w:r>
          </w:p>
        </w:tc>
        <w:tc>
          <w:tcPr>
            <w:tcW w:w="990" w:type="dxa"/>
            <w:tcBorders>
              <w:top w:val="single" w:sz="4" w:space="0" w:color="auto"/>
              <w:left w:val="nil"/>
              <w:bottom w:val="single" w:sz="8" w:space="0" w:color="auto"/>
              <w:right w:val="single" w:sz="8" w:space="0" w:color="auto"/>
            </w:tcBorders>
            <w:shd w:val="clear" w:color="000000" w:fill="FFFFFF"/>
            <w:noWrap/>
            <w:vAlign w:val="center"/>
            <w:hideMark/>
          </w:tcPr>
          <w:p w14:paraId="4445FA78" w14:textId="77777777" w:rsidR="004E6452" w:rsidRPr="001570EA" w:rsidRDefault="004E6452">
            <w:pPr>
              <w:keepNext/>
              <w:jc w:val="center"/>
              <w:rPr>
                <w:rFonts w:cs="Arial"/>
                <w:color w:val="000000"/>
                <w:sz w:val="18"/>
                <w:szCs w:val="18"/>
              </w:rPr>
            </w:pPr>
            <w:r w:rsidRPr="001570EA">
              <w:rPr>
                <w:rFonts w:cs="Arial"/>
                <w:color w:val="000000"/>
                <w:sz w:val="18"/>
                <w:szCs w:val="18"/>
              </w:rPr>
              <w:t>84</w:t>
            </w:r>
            <w:r w:rsidRPr="001570EA">
              <w:rPr>
                <w:rFonts w:cs="Arial"/>
                <w:color w:val="000000"/>
                <w:sz w:val="18"/>
                <w:szCs w:val="18"/>
                <w:vertAlign w:val="superscript"/>
              </w:rPr>
              <w:t>b</w:t>
            </w:r>
          </w:p>
        </w:tc>
        <w:tc>
          <w:tcPr>
            <w:tcW w:w="1040" w:type="dxa"/>
            <w:tcBorders>
              <w:top w:val="single" w:sz="4" w:space="0" w:color="auto"/>
              <w:left w:val="nil"/>
              <w:bottom w:val="single" w:sz="8" w:space="0" w:color="auto"/>
              <w:right w:val="single" w:sz="8" w:space="0" w:color="auto"/>
            </w:tcBorders>
            <w:shd w:val="clear" w:color="000000" w:fill="FFFFFF"/>
            <w:noWrap/>
            <w:vAlign w:val="center"/>
            <w:hideMark/>
          </w:tcPr>
          <w:p w14:paraId="4BA6A6AF" w14:textId="77777777" w:rsidR="004E6452" w:rsidRPr="001570EA" w:rsidRDefault="004E6452">
            <w:pPr>
              <w:keepNext/>
              <w:jc w:val="center"/>
              <w:rPr>
                <w:rFonts w:cs="Arial"/>
                <w:color w:val="000000"/>
                <w:sz w:val="18"/>
                <w:szCs w:val="18"/>
              </w:rPr>
            </w:pPr>
            <w:r w:rsidRPr="001570EA">
              <w:rPr>
                <w:rFonts w:cs="Arial"/>
                <w:color w:val="000000"/>
                <w:sz w:val="18"/>
                <w:szCs w:val="18"/>
              </w:rPr>
              <w:t>1.77</w:t>
            </w:r>
          </w:p>
        </w:tc>
        <w:tc>
          <w:tcPr>
            <w:tcW w:w="1030" w:type="dxa"/>
            <w:tcBorders>
              <w:top w:val="single" w:sz="4" w:space="0" w:color="auto"/>
              <w:left w:val="nil"/>
              <w:bottom w:val="single" w:sz="8" w:space="0" w:color="auto"/>
              <w:right w:val="single" w:sz="8" w:space="0" w:color="auto"/>
            </w:tcBorders>
            <w:shd w:val="clear" w:color="000000" w:fill="FFFFFF"/>
            <w:vAlign w:val="center"/>
            <w:hideMark/>
          </w:tcPr>
          <w:p w14:paraId="5355604A" w14:textId="77777777" w:rsidR="004E6452" w:rsidRPr="001570EA" w:rsidRDefault="004E6452">
            <w:pPr>
              <w:keepNext/>
              <w:jc w:val="center"/>
              <w:rPr>
                <w:rFonts w:cs="Arial"/>
                <w:color w:val="000000"/>
                <w:sz w:val="18"/>
                <w:szCs w:val="18"/>
              </w:rPr>
            </w:pPr>
            <w:r w:rsidRPr="001570EA">
              <w:rPr>
                <w:rFonts w:cs="Arial"/>
                <w:color w:val="000000"/>
                <w:sz w:val="18"/>
                <w:szCs w:val="18"/>
              </w:rPr>
              <w:t>2.09</w:t>
            </w:r>
          </w:p>
        </w:tc>
        <w:tc>
          <w:tcPr>
            <w:tcW w:w="1170" w:type="dxa"/>
            <w:tcBorders>
              <w:top w:val="single" w:sz="4" w:space="0" w:color="auto"/>
              <w:left w:val="nil"/>
              <w:bottom w:val="single" w:sz="8" w:space="0" w:color="auto"/>
              <w:right w:val="single" w:sz="8" w:space="0" w:color="auto"/>
            </w:tcBorders>
            <w:shd w:val="clear" w:color="000000" w:fill="FFFFFF"/>
            <w:noWrap/>
            <w:vAlign w:val="center"/>
            <w:hideMark/>
          </w:tcPr>
          <w:p w14:paraId="0D5BD31F" w14:textId="77777777" w:rsidR="004E6452" w:rsidRPr="001570EA" w:rsidRDefault="004E6452">
            <w:pPr>
              <w:keepNext/>
              <w:jc w:val="center"/>
              <w:rPr>
                <w:rFonts w:cs="Arial"/>
                <w:color w:val="000000"/>
                <w:sz w:val="18"/>
                <w:szCs w:val="18"/>
              </w:rPr>
            </w:pPr>
            <w:r w:rsidRPr="001570EA">
              <w:rPr>
                <w:sz w:val="18"/>
                <w:szCs w:val="18"/>
              </w:rPr>
              <w:t>309</w:t>
            </w:r>
          </w:p>
        </w:tc>
        <w:tc>
          <w:tcPr>
            <w:tcW w:w="1435" w:type="dxa"/>
            <w:tcBorders>
              <w:top w:val="single" w:sz="4" w:space="0" w:color="auto"/>
              <w:left w:val="nil"/>
              <w:bottom w:val="single" w:sz="8" w:space="0" w:color="auto"/>
              <w:right w:val="single" w:sz="8" w:space="0" w:color="auto"/>
            </w:tcBorders>
            <w:shd w:val="clear" w:color="000000" w:fill="FFFFFF"/>
            <w:vAlign w:val="center"/>
            <w:hideMark/>
          </w:tcPr>
          <w:p w14:paraId="16BF16BE" w14:textId="77777777" w:rsidR="004E6452" w:rsidRPr="001570EA" w:rsidRDefault="004E6452">
            <w:pPr>
              <w:keepNext/>
              <w:jc w:val="center"/>
              <w:rPr>
                <w:rFonts w:cs="Arial"/>
                <w:color w:val="000000"/>
                <w:sz w:val="18"/>
                <w:szCs w:val="18"/>
              </w:rPr>
            </w:pPr>
            <w:r w:rsidRPr="001570EA">
              <w:rPr>
                <w:rFonts w:cs="Arial"/>
                <w:color w:val="000000"/>
                <w:sz w:val="18"/>
                <w:szCs w:val="18"/>
              </w:rPr>
              <w:t>0.0351</w:t>
            </w:r>
          </w:p>
        </w:tc>
        <w:tc>
          <w:tcPr>
            <w:tcW w:w="1355" w:type="dxa"/>
            <w:tcBorders>
              <w:top w:val="single" w:sz="4" w:space="0" w:color="auto"/>
              <w:left w:val="nil"/>
              <w:bottom w:val="single" w:sz="8" w:space="0" w:color="auto"/>
              <w:right w:val="single" w:sz="8" w:space="0" w:color="auto"/>
            </w:tcBorders>
            <w:shd w:val="clear" w:color="000000" w:fill="FFFFFF"/>
            <w:vAlign w:val="center"/>
          </w:tcPr>
          <w:p w14:paraId="3BD83FA1" w14:textId="77777777" w:rsidR="004E6452" w:rsidRPr="001570EA" w:rsidRDefault="004E6452">
            <w:pPr>
              <w:keepNext/>
              <w:jc w:val="center"/>
              <w:rPr>
                <w:rFonts w:cs="Arial"/>
                <w:color w:val="000000"/>
                <w:sz w:val="18"/>
                <w:szCs w:val="18"/>
              </w:rPr>
            </w:pPr>
            <w:r w:rsidRPr="001570EA">
              <w:rPr>
                <w:rFonts w:cs="Arial"/>
                <w:color w:val="000000"/>
                <w:sz w:val="18"/>
                <w:szCs w:val="18"/>
              </w:rPr>
              <w:t>0.0453</w:t>
            </w:r>
          </w:p>
        </w:tc>
      </w:tr>
      <w:tr w:rsidR="004E6452" w:rsidRPr="001570EA" w14:paraId="7C34450C" w14:textId="77777777">
        <w:trPr>
          <w:trHeight w:val="315"/>
          <w:jc w:val="center"/>
        </w:trPr>
        <w:tc>
          <w:tcPr>
            <w:tcW w:w="990" w:type="dxa"/>
            <w:vMerge w:val="restart"/>
            <w:tcBorders>
              <w:top w:val="nil"/>
              <w:left w:val="single" w:sz="8" w:space="0" w:color="auto"/>
              <w:bottom w:val="single" w:sz="8" w:space="0" w:color="auto"/>
              <w:right w:val="single" w:sz="8" w:space="0" w:color="auto"/>
            </w:tcBorders>
            <w:shd w:val="clear" w:color="000000" w:fill="FFFFFF"/>
            <w:vAlign w:val="center"/>
            <w:hideMark/>
          </w:tcPr>
          <w:p w14:paraId="18FF108B" w14:textId="77777777" w:rsidR="004E6452" w:rsidRPr="001570EA" w:rsidRDefault="004E6452">
            <w:pPr>
              <w:keepNext/>
              <w:jc w:val="center"/>
              <w:rPr>
                <w:rFonts w:cs="Arial"/>
                <w:color w:val="000000"/>
                <w:sz w:val="18"/>
                <w:szCs w:val="18"/>
              </w:rPr>
            </w:pPr>
            <w:r w:rsidRPr="001570EA">
              <w:rPr>
                <w:rFonts w:cs="Arial"/>
                <w:color w:val="000000"/>
                <w:sz w:val="18"/>
                <w:szCs w:val="18"/>
              </w:rPr>
              <w:t>ENERGY STAR Most Efficient</w:t>
            </w:r>
          </w:p>
        </w:tc>
        <w:tc>
          <w:tcPr>
            <w:tcW w:w="990" w:type="dxa"/>
            <w:tcBorders>
              <w:top w:val="nil"/>
              <w:left w:val="nil"/>
              <w:bottom w:val="single" w:sz="8" w:space="0" w:color="auto"/>
              <w:right w:val="single" w:sz="8" w:space="0" w:color="auto"/>
            </w:tcBorders>
            <w:shd w:val="clear" w:color="000000" w:fill="FFFFFF"/>
            <w:vAlign w:val="center"/>
            <w:hideMark/>
          </w:tcPr>
          <w:p w14:paraId="0C2A695C" w14:textId="77777777" w:rsidR="004E6452" w:rsidRPr="001570EA" w:rsidRDefault="004E6452">
            <w:pPr>
              <w:keepNext/>
              <w:jc w:val="center"/>
              <w:rPr>
                <w:rFonts w:cs="Arial"/>
                <w:color w:val="000000"/>
                <w:sz w:val="18"/>
                <w:szCs w:val="18"/>
              </w:rPr>
            </w:pPr>
            <w:r w:rsidRPr="001570EA">
              <w:rPr>
                <w:rFonts w:cs="Arial"/>
                <w:color w:val="000000"/>
                <w:sz w:val="18"/>
                <w:szCs w:val="18"/>
              </w:rPr>
              <w:t>Portable</w:t>
            </w:r>
          </w:p>
        </w:tc>
        <w:tc>
          <w:tcPr>
            <w:tcW w:w="1265" w:type="dxa"/>
            <w:tcBorders>
              <w:top w:val="nil"/>
              <w:left w:val="nil"/>
              <w:bottom w:val="single" w:sz="8" w:space="0" w:color="auto"/>
              <w:right w:val="single" w:sz="8" w:space="0" w:color="auto"/>
            </w:tcBorders>
            <w:shd w:val="clear" w:color="000000" w:fill="FFFFFF"/>
            <w:noWrap/>
            <w:vAlign w:val="center"/>
            <w:hideMark/>
          </w:tcPr>
          <w:p w14:paraId="52189F20" w14:textId="77777777" w:rsidR="004E6452" w:rsidRPr="001570EA" w:rsidRDefault="004E6452">
            <w:pPr>
              <w:keepNext/>
              <w:jc w:val="center"/>
              <w:rPr>
                <w:rFonts w:cs="Arial"/>
                <w:color w:val="000000"/>
                <w:sz w:val="18"/>
                <w:szCs w:val="18"/>
              </w:rPr>
            </w:pPr>
            <w:r w:rsidRPr="001570EA">
              <w:rPr>
                <w:rFonts w:cs="Arial"/>
                <w:color w:val="000000"/>
                <w:sz w:val="18"/>
                <w:szCs w:val="18"/>
              </w:rPr>
              <w:t>≤ 25 pints/day</w:t>
            </w:r>
          </w:p>
        </w:tc>
        <w:tc>
          <w:tcPr>
            <w:tcW w:w="990" w:type="dxa"/>
            <w:tcBorders>
              <w:top w:val="nil"/>
              <w:left w:val="nil"/>
              <w:bottom w:val="single" w:sz="8" w:space="0" w:color="auto"/>
              <w:right w:val="single" w:sz="8" w:space="0" w:color="auto"/>
            </w:tcBorders>
            <w:shd w:val="clear" w:color="000000" w:fill="FFFFFF"/>
            <w:noWrap/>
            <w:vAlign w:val="center"/>
            <w:hideMark/>
          </w:tcPr>
          <w:p w14:paraId="159D6B04" w14:textId="77777777" w:rsidR="004E6452" w:rsidRPr="001570EA" w:rsidRDefault="004E6452">
            <w:pPr>
              <w:keepNext/>
              <w:jc w:val="center"/>
              <w:rPr>
                <w:rFonts w:cs="Arial"/>
                <w:color w:val="000000"/>
                <w:sz w:val="18"/>
                <w:szCs w:val="18"/>
              </w:rPr>
            </w:pPr>
            <w:r w:rsidRPr="001570EA">
              <w:rPr>
                <w:rFonts w:cs="Arial"/>
                <w:color w:val="000000"/>
                <w:sz w:val="18"/>
                <w:szCs w:val="18"/>
              </w:rPr>
              <w:t>25</w:t>
            </w:r>
          </w:p>
        </w:tc>
        <w:tc>
          <w:tcPr>
            <w:tcW w:w="1040" w:type="dxa"/>
            <w:tcBorders>
              <w:top w:val="nil"/>
              <w:left w:val="nil"/>
              <w:bottom w:val="single" w:sz="8" w:space="0" w:color="auto"/>
              <w:right w:val="single" w:sz="8" w:space="0" w:color="auto"/>
            </w:tcBorders>
            <w:shd w:val="clear" w:color="000000" w:fill="FFFFFF"/>
            <w:noWrap/>
            <w:vAlign w:val="center"/>
            <w:hideMark/>
          </w:tcPr>
          <w:p w14:paraId="531F2A81" w14:textId="77777777" w:rsidR="004E6452" w:rsidRPr="001570EA" w:rsidRDefault="004E6452">
            <w:pPr>
              <w:keepNext/>
              <w:jc w:val="center"/>
              <w:rPr>
                <w:rFonts w:cs="Arial"/>
                <w:color w:val="000000"/>
                <w:sz w:val="18"/>
                <w:szCs w:val="18"/>
              </w:rPr>
            </w:pPr>
            <w:r w:rsidRPr="001570EA">
              <w:rPr>
                <w:rFonts w:cs="Arial"/>
                <w:color w:val="000000"/>
                <w:sz w:val="18"/>
                <w:szCs w:val="18"/>
              </w:rPr>
              <w:t>1.30</w:t>
            </w:r>
          </w:p>
        </w:tc>
        <w:tc>
          <w:tcPr>
            <w:tcW w:w="1030" w:type="dxa"/>
            <w:tcBorders>
              <w:top w:val="nil"/>
              <w:left w:val="nil"/>
              <w:bottom w:val="single" w:sz="8" w:space="0" w:color="auto"/>
              <w:right w:val="single" w:sz="8" w:space="0" w:color="auto"/>
            </w:tcBorders>
            <w:shd w:val="clear" w:color="000000" w:fill="FFFFFF"/>
            <w:vAlign w:val="center"/>
            <w:hideMark/>
          </w:tcPr>
          <w:p w14:paraId="6DAE7D96" w14:textId="77777777" w:rsidR="004E6452" w:rsidRPr="001570EA" w:rsidRDefault="004E6452">
            <w:pPr>
              <w:keepNext/>
              <w:jc w:val="center"/>
              <w:rPr>
                <w:rFonts w:cs="Arial"/>
                <w:color w:val="000000"/>
                <w:sz w:val="18"/>
                <w:szCs w:val="18"/>
              </w:rPr>
            </w:pPr>
            <w:r w:rsidRPr="001570EA">
              <w:rPr>
                <w:rFonts w:cs="Arial"/>
                <w:color w:val="000000"/>
                <w:sz w:val="18"/>
                <w:szCs w:val="18"/>
              </w:rPr>
              <w:t>1.75</w:t>
            </w:r>
          </w:p>
        </w:tc>
        <w:tc>
          <w:tcPr>
            <w:tcW w:w="1170" w:type="dxa"/>
            <w:tcBorders>
              <w:top w:val="nil"/>
              <w:left w:val="nil"/>
              <w:bottom w:val="single" w:sz="8" w:space="0" w:color="auto"/>
              <w:right w:val="single" w:sz="8" w:space="0" w:color="auto"/>
            </w:tcBorders>
            <w:shd w:val="clear" w:color="000000" w:fill="FFFFFF"/>
            <w:noWrap/>
            <w:vAlign w:val="center"/>
            <w:hideMark/>
          </w:tcPr>
          <w:p w14:paraId="5A14E4D1" w14:textId="77777777" w:rsidR="004E6452" w:rsidRPr="001570EA" w:rsidRDefault="004E6452">
            <w:pPr>
              <w:keepNext/>
              <w:jc w:val="center"/>
              <w:rPr>
                <w:rFonts w:cs="Arial"/>
                <w:color w:val="000000"/>
                <w:sz w:val="18"/>
                <w:szCs w:val="18"/>
              </w:rPr>
            </w:pPr>
            <w:r w:rsidRPr="001570EA">
              <w:rPr>
                <w:rFonts w:cs="Arial"/>
                <w:color w:val="000000"/>
                <w:sz w:val="18"/>
                <w:szCs w:val="18"/>
              </w:rPr>
              <w:t>211</w:t>
            </w:r>
          </w:p>
        </w:tc>
        <w:tc>
          <w:tcPr>
            <w:tcW w:w="1435" w:type="dxa"/>
            <w:tcBorders>
              <w:top w:val="nil"/>
              <w:left w:val="nil"/>
              <w:bottom w:val="single" w:sz="8" w:space="0" w:color="auto"/>
              <w:right w:val="single" w:sz="8" w:space="0" w:color="auto"/>
            </w:tcBorders>
            <w:shd w:val="clear" w:color="000000" w:fill="FFFFFF"/>
            <w:vAlign w:val="center"/>
            <w:hideMark/>
          </w:tcPr>
          <w:p w14:paraId="6E9B138B" w14:textId="77777777" w:rsidR="004E6452" w:rsidRPr="001570EA" w:rsidRDefault="004E6452">
            <w:pPr>
              <w:keepNext/>
              <w:jc w:val="center"/>
              <w:rPr>
                <w:rFonts w:cs="Arial"/>
                <w:color w:val="000000"/>
                <w:sz w:val="18"/>
                <w:szCs w:val="18"/>
              </w:rPr>
            </w:pPr>
            <w:r w:rsidRPr="001570EA">
              <w:rPr>
                <w:rFonts w:cs="Arial"/>
                <w:color w:val="000000"/>
                <w:sz w:val="18"/>
                <w:szCs w:val="18"/>
              </w:rPr>
              <w:t>0.0239</w:t>
            </w:r>
          </w:p>
        </w:tc>
        <w:tc>
          <w:tcPr>
            <w:tcW w:w="1355" w:type="dxa"/>
            <w:tcBorders>
              <w:top w:val="nil"/>
              <w:left w:val="nil"/>
              <w:bottom w:val="single" w:sz="8" w:space="0" w:color="auto"/>
              <w:right w:val="single" w:sz="8" w:space="0" w:color="auto"/>
            </w:tcBorders>
            <w:shd w:val="clear" w:color="000000" w:fill="FFFFFF"/>
            <w:vAlign w:val="center"/>
          </w:tcPr>
          <w:p w14:paraId="4E49B1BB" w14:textId="77777777" w:rsidR="004E6452" w:rsidRPr="001570EA" w:rsidRDefault="004E6452">
            <w:pPr>
              <w:keepNext/>
              <w:jc w:val="center"/>
              <w:rPr>
                <w:rFonts w:cs="Arial"/>
                <w:color w:val="000000"/>
                <w:sz w:val="18"/>
                <w:szCs w:val="18"/>
              </w:rPr>
            </w:pPr>
            <w:r w:rsidRPr="001570EA">
              <w:rPr>
                <w:rFonts w:cs="Arial"/>
                <w:color w:val="000000"/>
                <w:sz w:val="18"/>
                <w:szCs w:val="18"/>
              </w:rPr>
              <w:t>0.0308</w:t>
            </w:r>
          </w:p>
        </w:tc>
      </w:tr>
      <w:tr w:rsidR="004E6452" w:rsidRPr="001570EA" w14:paraId="0CDFB88F" w14:textId="77777777">
        <w:trPr>
          <w:trHeight w:val="615"/>
          <w:jc w:val="center"/>
        </w:trPr>
        <w:tc>
          <w:tcPr>
            <w:tcW w:w="990" w:type="dxa"/>
            <w:vMerge/>
            <w:tcBorders>
              <w:top w:val="nil"/>
              <w:left w:val="single" w:sz="8" w:space="0" w:color="auto"/>
              <w:bottom w:val="single" w:sz="8" w:space="0" w:color="auto"/>
              <w:right w:val="single" w:sz="8" w:space="0" w:color="auto"/>
            </w:tcBorders>
            <w:vAlign w:val="center"/>
            <w:hideMark/>
          </w:tcPr>
          <w:p w14:paraId="7C49CFB2" w14:textId="77777777" w:rsidR="004E6452" w:rsidRPr="001570EA" w:rsidRDefault="004E6452">
            <w:pPr>
              <w:keepNext/>
              <w:jc w:val="left"/>
              <w:rPr>
                <w:rFonts w:cs="Arial"/>
                <w:color w:val="000000"/>
                <w:sz w:val="18"/>
                <w:szCs w:val="18"/>
              </w:rPr>
            </w:pPr>
          </w:p>
        </w:tc>
        <w:tc>
          <w:tcPr>
            <w:tcW w:w="990" w:type="dxa"/>
            <w:tcBorders>
              <w:top w:val="nil"/>
              <w:left w:val="nil"/>
              <w:bottom w:val="single" w:sz="8" w:space="0" w:color="auto"/>
              <w:right w:val="single" w:sz="8" w:space="0" w:color="auto"/>
            </w:tcBorders>
            <w:shd w:val="clear" w:color="000000" w:fill="FFFFFF"/>
            <w:vAlign w:val="center"/>
            <w:hideMark/>
          </w:tcPr>
          <w:p w14:paraId="36B1E70F" w14:textId="77777777" w:rsidR="004E6452" w:rsidRPr="001570EA" w:rsidRDefault="004E6452">
            <w:pPr>
              <w:keepNext/>
              <w:jc w:val="center"/>
              <w:rPr>
                <w:rFonts w:cs="Arial"/>
                <w:color w:val="000000"/>
                <w:sz w:val="18"/>
                <w:szCs w:val="18"/>
              </w:rPr>
            </w:pPr>
            <w:r w:rsidRPr="001570EA">
              <w:rPr>
                <w:rFonts w:cs="Arial"/>
                <w:color w:val="000000"/>
                <w:sz w:val="18"/>
                <w:szCs w:val="18"/>
              </w:rPr>
              <w:t>Portable</w:t>
            </w:r>
          </w:p>
        </w:tc>
        <w:tc>
          <w:tcPr>
            <w:tcW w:w="1265" w:type="dxa"/>
            <w:tcBorders>
              <w:top w:val="nil"/>
              <w:left w:val="nil"/>
              <w:bottom w:val="single" w:sz="8" w:space="0" w:color="auto"/>
              <w:right w:val="single" w:sz="8" w:space="0" w:color="auto"/>
            </w:tcBorders>
            <w:shd w:val="clear" w:color="000000" w:fill="FFFFFF"/>
            <w:noWrap/>
            <w:vAlign w:val="center"/>
            <w:hideMark/>
          </w:tcPr>
          <w:p w14:paraId="61FA0CFA" w14:textId="77777777" w:rsidR="004E6452" w:rsidRPr="001570EA" w:rsidRDefault="004E6452">
            <w:pPr>
              <w:keepNext/>
              <w:jc w:val="center"/>
              <w:rPr>
                <w:rFonts w:cs="Arial"/>
                <w:color w:val="000000"/>
                <w:sz w:val="18"/>
                <w:szCs w:val="18"/>
              </w:rPr>
            </w:pPr>
            <w:r w:rsidRPr="001570EA">
              <w:rPr>
                <w:rFonts w:cs="Arial"/>
                <w:color w:val="000000"/>
                <w:sz w:val="18"/>
                <w:szCs w:val="18"/>
              </w:rPr>
              <w:t>&gt; 25 to ≤ 50 pints/day</w:t>
            </w:r>
          </w:p>
        </w:tc>
        <w:tc>
          <w:tcPr>
            <w:tcW w:w="990" w:type="dxa"/>
            <w:tcBorders>
              <w:top w:val="nil"/>
              <w:left w:val="nil"/>
              <w:bottom w:val="single" w:sz="8" w:space="0" w:color="auto"/>
              <w:right w:val="single" w:sz="8" w:space="0" w:color="auto"/>
            </w:tcBorders>
            <w:shd w:val="clear" w:color="000000" w:fill="FFFFFF"/>
            <w:noWrap/>
            <w:vAlign w:val="center"/>
            <w:hideMark/>
          </w:tcPr>
          <w:p w14:paraId="50D0CD8D" w14:textId="77777777" w:rsidR="004E6452" w:rsidRPr="001570EA" w:rsidRDefault="004E6452">
            <w:pPr>
              <w:keepNext/>
              <w:jc w:val="center"/>
              <w:rPr>
                <w:rFonts w:cs="Arial"/>
                <w:color w:val="000000"/>
                <w:sz w:val="18"/>
                <w:szCs w:val="18"/>
              </w:rPr>
            </w:pPr>
            <w:r w:rsidRPr="001570EA">
              <w:rPr>
                <w:rFonts w:cs="Arial"/>
                <w:color w:val="000000"/>
                <w:sz w:val="18"/>
                <w:szCs w:val="18"/>
              </w:rPr>
              <w:t>50</w:t>
            </w:r>
          </w:p>
        </w:tc>
        <w:tc>
          <w:tcPr>
            <w:tcW w:w="1040" w:type="dxa"/>
            <w:tcBorders>
              <w:top w:val="nil"/>
              <w:left w:val="nil"/>
              <w:bottom w:val="single" w:sz="8" w:space="0" w:color="auto"/>
              <w:right w:val="single" w:sz="8" w:space="0" w:color="auto"/>
            </w:tcBorders>
            <w:shd w:val="clear" w:color="000000" w:fill="FFFFFF"/>
            <w:noWrap/>
            <w:vAlign w:val="center"/>
            <w:hideMark/>
          </w:tcPr>
          <w:p w14:paraId="756A884A" w14:textId="77777777" w:rsidR="004E6452" w:rsidRPr="001570EA" w:rsidRDefault="004E6452">
            <w:pPr>
              <w:keepNext/>
              <w:jc w:val="center"/>
              <w:rPr>
                <w:rFonts w:cs="Arial"/>
                <w:color w:val="000000"/>
                <w:sz w:val="18"/>
                <w:szCs w:val="18"/>
              </w:rPr>
            </w:pPr>
            <w:r w:rsidRPr="001570EA">
              <w:rPr>
                <w:rFonts w:cs="Arial"/>
                <w:color w:val="000000"/>
                <w:sz w:val="18"/>
                <w:szCs w:val="18"/>
              </w:rPr>
              <w:t>1.60</w:t>
            </w:r>
          </w:p>
        </w:tc>
        <w:tc>
          <w:tcPr>
            <w:tcW w:w="1030" w:type="dxa"/>
            <w:tcBorders>
              <w:top w:val="nil"/>
              <w:left w:val="nil"/>
              <w:bottom w:val="single" w:sz="8" w:space="0" w:color="auto"/>
              <w:right w:val="single" w:sz="8" w:space="0" w:color="auto"/>
            </w:tcBorders>
            <w:shd w:val="clear" w:color="000000" w:fill="FFFFFF"/>
            <w:vAlign w:val="center"/>
            <w:hideMark/>
          </w:tcPr>
          <w:p w14:paraId="12FB7892" w14:textId="77777777" w:rsidR="004E6452" w:rsidRPr="001570EA" w:rsidRDefault="004E6452">
            <w:pPr>
              <w:keepNext/>
              <w:jc w:val="center"/>
              <w:rPr>
                <w:rFonts w:cs="Arial"/>
                <w:color w:val="000000"/>
                <w:sz w:val="18"/>
                <w:szCs w:val="18"/>
              </w:rPr>
            </w:pPr>
            <w:r w:rsidRPr="001570EA">
              <w:rPr>
                <w:rFonts w:cs="Arial"/>
                <w:color w:val="000000"/>
                <w:sz w:val="18"/>
                <w:szCs w:val="18"/>
              </w:rPr>
              <w:t>2.01</w:t>
            </w:r>
          </w:p>
        </w:tc>
        <w:tc>
          <w:tcPr>
            <w:tcW w:w="1170" w:type="dxa"/>
            <w:tcBorders>
              <w:top w:val="nil"/>
              <w:left w:val="nil"/>
              <w:bottom w:val="single" w:sz="8" w:space="0" w:color="auto"/>
              <w:right w:val="single" w:sz="8" w:space="0" w:color="auto"/>
            </w:tcBorders>
            <w:shd w:val="clear" w:color="000000" w:fill="FFFFFF"/>
            <w:noWrap/>
            <w:vAlign w:val="center"/>
            <w:hideMark/>
          </w:tcPr>
          <w:p w14:paraId="544D2BEA" w14:textId="77777777" w:rsidR="004E6452" w:rsidRPr="001570EA" w:rsidRDefault="004E6452">
            <w:pPr>
              <w:keepNext/>
              <w:jc w:val="center"/>
              <w:rPr>
                <w:rFonts w:cs="Arial"/>
                <w:color w:val="000000"/>
                <w:sz w:val="18"/>
                <w:szCs w:val="18"/>
              </w:rPr>
            </w:pPr>
            <w:r w:rsidRPr="001570EA">
              <w:rPr>
                <w:rFonts w:cs="Arial"/>
                <w:color w:val="000000"/>
                <w:sz w:val="18"/>
                <w:szCs w:val="18"/>
              </w:rPr>
              <w:t>271</w:t>
            </w:r>
          </w:p>
        </w:tc>
        <w:tc>
          <w:tcPr>
            <w:tcW w:w="1435" w:type="dxa"/>
            <w:tcBorders>
              <w:top w:val="nil"/>
              <w:left w:val="nil"/>
              <w:bottom w:val="single" w:sz="8" w:space="0" w:color="auto"/>
              <w:right w:val="single" w:sz="8" w:space="0" w:color="auto"/>
            </w:tcBorders>
            <w:shd w:val="clear" w:color="000000" w:fill="FFFFFF"/>
            <w:vAlign w:val="center"/>
            <w:hideMark/>
          </w:tcPr>
          <w:p w14:paraId="2F9A96A9" w14:textId="77777777" w:rsidR="004E6452" w:rsidRPr="001570EA" w:rsidRDefault="004E6452">
            <w:pPr>
              <w:keepNext/>
              <w:jc w:val="center"/>
              <w:rPr>
                <w:rFonts w:cs="Arial"/>
                <w:color w:val="000000"/>
                <w:sz w:val="18"/>
                <w:szCs w:val="18"/>
              </w:rPr>
            </w:pPr>
            <w:r w:rsidRPr="001570EA">
              <w:rPr>
                <w:rFonts w:cs="Arial"/>
                <w:color w:val="000000"/>
                <w:sz w:val="18"/>
                <w:szCs w:val="18"/>
              </w:rPr>
              <w:t>0.0308</w:t>
            </w:r>
          </w:p>
        </w:tc>
        <w:tc>
          <w:tcPr>
            <w:tcW w:w="1355" w:type="dxa"/>
            <w:tcBorders>
              <w:top w:val="nil"/>
              <w:left w:val="nil"/>
              <w:bottom w:val="single" w:sz="8" w:space="0" w:color="auto"/>
              <w:right w:val="single" w:sz="8" w:space="0" w:color="auto"/>
            </w:tcBorders>
            <w:shd w:val="clear" w:color="000000" w:fill="FFFFFF"/>
            <w:vAlign w:val="center"/>
          </w:tcPr>
          <w:p w14:paraId="5892A563" w14:textId="77777777" w:rsidR="004E6452" w:rsidRPr="001570EA" w:rsidRDefault="004E6452">
            <w:pPr>
              <w:keepNext/>
              <w:jc w:val="center"/>
              <w:rPr>
                <w:rFonts w:cs="Arial"/>
                <w:color w:val="000000"/>
                <w:sz w:val="18"/>
                <w:szCs w:val="18"/>
              </w:rPr>
            </w:pPr>
            <w:r w:rsidRPr="001570EA">
              <w:rPr>
                <w:rFonts w:cs="Arial"/>
                <w:color w:val="000000"/>
                <w:sz w:val="18"/>
                <w:szCs w:val="18"/>
              </w:rPr>
              <w:t>0.0397</w:t>
            </w:r>
          </w:p>
        </w:tc>
      </w:tr>
      <w:tr w:rsidR="004E6452" w:rsidRPr="001570EA" w14:paraId="47045A1F" w14:textId="77777777">
        <w:trPr>
          <w:trHeight w:val="315"/>
          <w:jc w:val="center"/>
        </w:trPr>
        <w:tc>
          <w:tcPr>
            <w:tcW w:w="990" w:type="dxa"/>
            <w:vMerge/>
            <w:tcBorders>
              <w:top w:val="nil"/>
              <w:left w:val="single" w:sz="8" w:space="0" w:color="auto"/>
              <w:bottom w:val="single" w:sz="8" w:space="0" w:color="auto"/>
              <w:right w:val="single" w:sz="8" w:space="0" w:color="auto"/>
            </w:tcBorders>
            <w:vAlign w:val="center"/>
            <w:hideMark/>
          </w:tcPr>
          <w:p w14:paraId="7DB80782" w14:textId="77777777" w:rsidR="004E6452" w:rsidRPr="001570EA" w:rsidRDefault="004E6452">
            <w:pPr>
              <w:jc w:val="left"/>
              <w:rPr>
                <w:rFonts w:cs="Arial"/>
                <w:color w:val="000000"/>
                <w:sz w:val="18"/>
                <w:szCs w:val="18"/>
              </w:rPr>
            </w:pPr>
          </w:p>
        </w:tc>
        <w:tc>
          <w:tcPr>
            <w:tcW w:w="990" w:type="dxa"/>
            <w:tcBorders>
              <w:top w:val="nil"/>
              <w:left w:val="nil"/>
              <w:bottom w:val="single" w:sz="8" w:space="0" w:color="auto"/>
              <w:right w:val="single" w:sz="8" w:space="0" w:color="auto"/>
            </w:tcBorders>
            <w:shd w:val="clear" w:color="000000" w:fill="FFFFFF"/>
            <w:vAlign w:val="center"/>
            <w:hideMark/>
          </w:tcPr>
          <w:p w14:paraId="180503F6" w14:textId="77777777" w:rsidR="004E6452" w:rsidRPr="001570EA" w:rsidRDefault="004E6452">
            <w:pPr>
              <w:jc w:val="center"/>
              <w:rPr>
                <w:rFonts w:cs="Arial"/>
                <w:color w:val="000000"/>
                <w:sz w:val="18"/>
                <w:szCs w:val="18"/>
              </w:rPr>
            </w:pPr>
            <w:r w:rsidRPr="001570EA">
              <w:rPr>
                <w:rFonts w:cs="Arial"/>
                <w:color w:val="000000"/>
                <w:sz w:val="18"/>
                <w:szCs w:val="18"/>
              </w:rPr>
              <w:t>Whole house</w:t>
            </w:r>
          </w:p>
        </w:tc>
        <w:tc>
          <w:tcPr>
            <w:tcW w:w="1265" w:type="dxa"/>
            <w:tcBorders>
              <w:top w:val="nil"/>
              <w:left w:val="nil"/>
              <w:bottom w:val="single" w:sz="8" w:space="0" w:color="auto"/>
              <w:right w:val="single" w:sz="8" w:space="0" w:color="auto"/>
            </w:tcBorders>
            <w:shd w:val="clear" w:color="000000" w:fill="FFFFFF"/>
            <w:noWrap/>
            <w:vAlign w:val="center"/>
            <w:hideMark/>
          </w:tcPr>
          <w:p w14:paraId="1375A00E" w14:textId="77777777" w:rsidR="004E6452" w:rsidRPr="001570EA" w:rsidRDefault="004E6452">
            <w:pPr>
              <w:jc w:val="center"/>
              <w:rPr>
                <w:rFonts w:cs="Arial"/>
                <w:color w:val="000000"/>
                <w:sz w:val="18"/>
                <w:szCs w:val="18"/>
              </w:rPr>
            </w:pPr>
            <w:r w:rsidRPr="001570EA">
              <w:rPr>
                <w:rFonts w:cs="Arial"/>
                <w:color w:val="000000"/>
                <w:sz w:val="18"/>
                <w:szCs w:val="18"/>
              </w:rPr>
              <w:t>≤8 ft</w:t>
            </w:r>
            <w:r w:rsidRPr="001570EA">
              <w:rPr>
                <w:rFonts w:cs="Arial"/>
                <w:color w:val="000000"/>
                <w:sz w:val="18"/>
                <w:szCs w:val="18"/>
                <w:vertAlign w:val="superscript"/>
              </w:rPr>
              <w:t>3</w:t>
            </w:r>
          </w:p>
        </w:tc>
        <w:tc>
          <w:tcPr>
            <w:tcW w:w="990" w:type="dxa"/>
            <w:tcBorders>
              <w:top w:val="nil"/>
              <w:left w:val="nil"/>
              <w:bottom w:val="single" w:sz="8" w:space="0" w:color="auto"/>
              <w:right w:val="single" w:sz="8" w:space="0" w:color="auto"/>
            </w:tcBorders>
            <w:shd w:val="clear" w:color="000000" w:fill="FFFFFF"/>
            <w:noWrap/>
            <w:vAlign w:val="center"/>
            <w:hideMark/>
          </w:tcPr>
          <w:p w14:paraId="2289E898" w14:textId="77777777" w:rsidR="004E6452" w:rsidRPr="001570EA" w:rsidRDefault="004E6452">
            <w:pPr>
              <w:jc w:val="center"/>
              <w:rPr>
                <w:rFonts w:cs="Arial"/>
                <w:color w:val="000000"/>
                <w:sz w:val="18"/>
                <w:szCs w:val="18"/>
              </w:rPr>
            </w:pPr>
            <w:r w:rsidRPr="001570EA">
              <w:rPr>
                <w:rFonts w:cs="Arial"/>
                <w:color w:val="000000"/>
                <w:sz w:val="18"/>
                <w:szCs w:val="18"/>
              </w:rPr>
              <w:t>84</w:t>
            </w:r>
            <w:r w:rsidRPr="001570EA">
              <w:rPr>
                <w:rFonts w:cs="Arial"/>
                <w:color w:val="000000"/>
                <w:sz w:val="18"/>
                <w:szCs w:val="18"/>
                <w:vertAlign w:val="superscript"/>
              </w:rPr>
              <w:t>b</w:t>
            </w:r>
          </w:p>
        </w:tc>
        <w:tc>
          <w:tcPr>
            <w:tcW w:w="1040" w:type="dxa"/>
            <w:tcBorders>
              <w:top w:val="nil"/>
              <w:left w:val="nil"/>
              <w:bottom w:val="single" w:sz="8" w:space="0" w:color="auto"/>
              <w:right w:val="single" w:sz="8" w:space="0" w:color="auto"/>
            </w:tcBorders>
            <w:shd w:val="clear" w:color="000000" w:fill="FFFFFF"/>
            <w:noWrap/>
            <w:vAlign w:val="center"/>
            <w:hideMark/>
          </w:tcPr>
          <w:p w14:paraId="1FACC8D7" w14:textId="77777777" w:rsidR="004E6452" w:rsidRPr="001570EA" w:rsidRDefault="004E6452">
            <w:pPr>
              <w:jc w:val="center"/>
              <w:rPr>
                <w:rFonts w:cs="Arial"/>
                <w:color w:val="000000"/>
                <w:sz w:val="18"/>
                <w:szCs w:val="18"/>
              </w:rPr>
            </w:pPr>
            <w:r w:rsidRPr="001570EA">
              <w:rPr>
                <w:rFonts w:cs="Arial"/>
                <w:color w:val="000000"/>
                <w:sz w:val="18"/>
                <w:szCs w:val="18"/>
              </w:rPr>
              <w:t>1.77</w:t>
            </w:r>
          </w:p>
        </w:tc>
        <w:tc>
          <w:tcPr>
            <w:tcW w:w="1030" w:type="dxa"/>
            <w:tcBorders>
              <w:top w:val="nil"/>
              <w:left w:val="nil"/>
              <w:bottom w:val="single" w:sz="8" w:space="0" w:color="auto"/>
              <w:right w:val="single" w:sz="8" w:space="0" w:color="auto"/>
            </w:tcBorders>
            <w:shd w:val="clear" w:color="000000" w:fill="FFFFFF"/>
            <w:vAlign w:val="center"/>
            <w:hideMark/>
          </w:tcPr>
          <w:p w14:paraId="42A1ADBB" w14:textId="77777777" w:rsidR="004E6452" w:rsidRPr="001570EA" w:rsidRDefault="004E6452">
            <w:pPr>
              <w:jc w:val="center"/>
              <w:rPr>
                <w:rFonts w:cs="Arial"/>
                <w:color w:val="000000"/>
                <w:sz w:val="18"/>
                <w:szCs w:val="18"/>
              </w:rPr>
            </w:pPr>
            <w:r w:rsidRPr="001570EA">
              <w:rPr>
                <w:rFonts w:cs="Arial"/>
                <w:color w:val="000000"/>
                <w:sz w:val="18"/>
                <w:szCs w:val="18"/>
              </w:rPr>
              <w:t>2.22</w:t>
            </w:r>
          </w:p>
        </w:tc>
        <w:tc>
          <w:tcPr>
            <w:tcW w:w="1170" w:type="dxa"/>
            <w:tcBorders>
              <w:top w:val="nil"/>
              <w:left w:val="nil"/>
              <w:bottom w:val="single" w:sz="8" w:space="0" w:color="auto"/>
              <w:right w:val="single" w:sz="8" w:space="0" w:color="auto"/>
            </w:tcBorders>
            <w:shd w:val="clear" w:color="000000" w:fill="FFFFFF"/>
            <w:noWrap/>
            <w:vAlign w:val="center"/>
            <w:hideMark/>
          </w:tcPr>
          <w:p w14:paraId="4F92BFAA" w14:textId="77777777" w:rsidR="004E6452" w:rsidRPr="001570EA" w:rsidRDefault="004E6452">
            <w:pPr>
              <w:jc w:val="center"/>
              <w:rPr>
                <w:rFonts w:cs="Arial"/>
                <w:color w:val="000000"/>
                <w:sz w:val="18"/>
                <w:szCs w:val="18"/>
              </w:rPr>
            </w:pPr>
            <w:r w:rsidRPr="001570EA">
              <w:rPr>
                <w:sz w:val="18"/>
                <w:szCs w:val="18"/>
              </w:rPr>
              <w:t>410</w:t>
            </w:r>
          </w:p>
        </w:tc>
        <w:tc>
          <w:tcPr>
            <w:tcW w:w="1435" w:type="dxa"/>
            <w:tcBorders>
              <w:top w:val="nil"/>
              <w:left w:val="nil"/>
              <w:bottom w:val="single" w:sz="8" w:space="0" w:color="auto"/>
              <w:right w:val="single" w:sz="8" w:space="0" w:color="auto"/>
            </w:tcBorders>
            <w:shd w:val="clear" w:color="000000" w:fill="FFFFFF"/>
            <w:vAlign w:val="center"/>
            <w:hideMark/>
          </w:tcPr>
          <w:p w14:paraId="4BCFC9B4" w14:textId="77777777" w:rsidR="004E6452" w:rsidRPr="001570EA" w:rsidRDefault="004E6452">
            <w:pPr>
              <w:keepNext/>
              <w:jc w:val="center"/>
              <w:rPr>
                <w:rFonts w:cs="Arial"/>
                <w:color w:val="000000"/>
                <w:sz w:val="18"/>
                <w:szCs w:val="18"/>
              </w:rPr>
            </w:pPr>
            <w:r w:rsidRPr="001570EA">
              <w:rPr>
                <w:rFonts w:cs="Arial"/>
                <w:color w:val="000000"/>
                <w:sz w:val="18"/>
                <w:szCs w:val="18"/>
              </w:rPr>
              <w:t>0.0465</w:t>
            </w:r>
          </w:p>
        </w:tc>
        <w:tc>
          <w:tcPr>
            <w:tcW w:w="1355" w:type="dxa"/>
            <w:tcBorders>
              <w:top w:val="nil"/>
              <w:left w:val="nil"/>
              <w:bottom w:val="single" w:sz="8" w:space="0" w:color="auto"/>
              <w:right w:val="single" w:sz="8" w:space="0" w:color="auto"/>
            </w:tcBorders>
            <w:shd w:val="clear" w:color="000000" w:fill="FFFFFF"/>
            <w:vAlign w:val="center"/>
          </w:tcPr>
          <w:p w14:paraId="7D79DC46" w14:textId="77777777" w:rsidR="004E6452" w:rsidRPr="001570EA" w:rsidRDefault="004E6452">
            <w:pPr>
              <w:keepNext/>
              <w:jc w:val="center"/>
              <w:rPr>
                <w:rFonts w:cs="Arial"/>
                <w:color w:val="000000"/>
                <w:sz w:val="18"/>
                <w:szCs w:val="18"/>
              </w:rPr>
            </w:pPr>
            <w:r w:rsidRPr="001570EA">
              <w:rPr>
                <w:rFonts w:cs="Arial"/>
                <w:color w:val="000000"/>
                <w:sz w:val="18"/>
                <w:szCs w:val="18"/>
              </w:rPr>
              <w:t>0.0599</w:t>
            </w:r>
          </w:p>
        </w:tc>
      </w:tr>
    </w:tbl>
    <w:p w14:paraId="0D02384C" w14:textId="77777777" w:rsidR="004E6452" w:rsidRPr="001570EA" w:rsidRDefault="004E6452" w:rsidP="004E6452">
      <w:pPr>
        <w:rPr>
          <w:sz w:val="18"/>
          <w:szCs w:val="18"/>
        </w:rPr>
      </w:pPr>
      <w:r w:rsidRPr="001570EA">
        <w:rPr>
          <w:sz w:val="18"/>
          <w:szCs w:val="18"/>
          <w:vertAlign w:val="superscript"/>
        </w:rPr>
        <w:t>a</w:t>
      </w:r>
      <w:r w:rsidRPr="001570EA">
        <w:rPr>
          <w:sz w:val="18"/>
          <w:szCs w:val="18"/>
        </w:rPr>
        <w:t xml:space="preserve"> There are no default values for portable humidifiers &gt;50 pints/day or whole house dehumidifiers &gt;8ft</w:t>
      </w:r>
      <w:r w:rsidRPr="001570EA">
        <w:rPr>
          <w:sz w:val="18"/>
          <w:szCs w:val="18"/>
          <w:vertAlign w:val="superscript"/>
        </w:rPr>
        <w:t>3</w:t>
      </w:r>
      <w:r w:rsidRPr="001570EA">
        <w:rPr>
          <w:sz w:val="18"/>
          <w:szCs w:val="18"/>
        </w:rPr>
        <w:t xml:space="preserve"> because there were no ENERGY STAR qualified dehumidifiers with these capacities as of August 15, 2023.</w:t>
      </w:r>
    </w:p>
    <w:p w14:paraId="293677B4" w14:textId="77777777" w:rsidR="004E6452" w:rsidRPr="001570EA" w:rsidRDefault="004E6452" w:rsidP="004E6452">
      <w:pPr>
        <w:rPr>
          <w:sz w:val="18"/>
        </w:rPr>
      </w:pPr>
      <w:r w:rsidRPr="001570EA">
        <w:rPr>
          <w:sz w:val="18"/>
          <w:szCs w:val="18"/>
          <w:vertAlign w:val="superscript"/>
        </w:rPr>
        <w:t>b</w:t>
      </w:r>
      <w:r w:rsidRPr="001570EA">
        <w:rPr>
          <w:sz w:val="18"/>
          <w:szCs w:val="18"/>
        </w:rPr>
        <w:t xml:space="preserve"> Default capacity is based on the average capacity of ENERGY STAR whole home models as listed on August 15, 2023.</w:t>
      </w:r>
    </w:p>
    <w:p w14:paraId="299B01CB" w14:textId="77777777" w:rsidR="004E6452" w:rsidRPr="001570EA" w:rsidRDefault="004E6452" w:rsidP="004E6452"/>
    <w:p w14:paraId="3AA09493" w14:textId="77777777" w:rsidR="004E6452" w:rsidRPr="001570EA" w:rsidRDefault="004E6452" w:rsidP="004E6452">
      <w:pPr>
        <w:pStyle w:val="SubStyle"/>
      </w:pPr>
      <w:r w:rsidRPr="001570EA">
        <w:t>Evaluation Protocols</w:t>
      </w:r>
    </w:p>
    <w:p w14:paraId="3D709E59" w14:textId="77777777" w:rsidR="004E6452" w:rsidRPr="001570EA" w:rsidRDefault="004E6452" w:rsidP="004E6452">
      <w:pPr>
        <w:pStyle w:val="BodyText"/>
        <w:ind w:right="0"/>
      </w:pPr>
      <w:r w:rsidRPr="001570EA">
        <w:t>For most projects, the appropriate evaluation protocol is to verify installation and proper selection of default values. For projects using customer-specific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24779918" w14:textId="77777777" w:rsidR="004E6452" w:rsidRPr="001570EA" w:rsidRDefault="004E6452" w:rsidP="004E6452">
      <w:pPr>
        <w:pStyle w:val="BodyText"/>
        <w:ind w:right="0"/>
        <w:rPr>
          <w:rFonts w:cs="Arial"/>
        </w:rPr>
      </w:pPr>
    </w:p>
    <w:p w14:paraId="1B39029D" w14:textId="77777777" w:rsidR="004E6452" w:rsidRPr="001570EA" w:rsidRDefault="004E6452" w:rsidP="004E6452">
      <w:pPr>
        <w:pStyle w:val="SubStyle"/>
      </w:pPr>
      <w:r w:rsidRPr="001570EA">
        <w:t>Sources</w:t>
      </w:r>
    </w:p>
    <w:p w14:paraId="75261327" w14:textId="2BC00FB9" w:rsidR="004E6452" w:rsidRPr="001570EA" w:rsidRDefault="004E6452" w:rsidP="006D787B">
      <w:pPr>
        <w:pStyle w:val="ListParagraph"/>
        <w:numPr>
          <w:ilvl w:val="0"/>
          <w:numId w:val="56"/>
        </w:numPr>
        <w:spacing w:after="120"/>
        <w:ind w:left="360"/>
        <w:jc w:val="left"/>
      </w:pPr>
      <w:r w:rsidRPr="001570EA">
        <w:t xml:space="preserve">Mattison, Lauren et al. (2012). "Dehumidifiers: A Major Consumer of Residential Electricity". Pages 9-208. The Cadmus Group. </w:t>
      </w:r>
      <w:hyperlink r:id="rId289" w:history="1">
        <w:r w:rsidRPr="001570EA">
          <w:rPr>
            <w:rStyle w:val="Hyperlink"/>
          </w:rPr>
          <w:t>Weblink</w:t>
        </w:r>
      </w:hyperlink>
      <w:r w:rsidRPr="001570EA">
        <w:t xml:space="preserve"> </w:t>
      </w:r>
    </w:p>
    <w:p w14:paraId="50B9C25E" w14:textId="4FE520ED" w:rsidR="004E6452" w:rsidRPr="001570EA" w:rsidRDefault="004E6452" w:rsidP="006D787B">
      <w:pPr>
        <w:pStyle w:val="ListParagraph"/>
        <w:numPr>
          <w:ilvl w:val="0"/>
          <w:numId w:val="56"/>
        </w:numPr>
        <w:spacing w:after="120"/>
        <w:ind w:left="360"/>
        <w:jc w:val="left"/>
        <w:rPr>
          <w:rStyle w:val="Hyperlink"/>
          <w:rFonts w:eastAsiaTheme="minorHAnsi"/>
          <w:color w:val="000000" w:themeColor="text1"/>
        </w:rPr>
      </w:pPr>
      <w:r w:rsidRPr="001570EA">
        <w:t xml:space="preserve">U.S. EPA. (2019). ENERGY STAR Dehumidifiers </w:t>
      </w:r>
      <w:r w:rsidRPr="001570EA">
        <w:rPr>
          <w:color w:val="000000" w:themeColor="text1"/>
        </w:rPr>
        <w:t>Version 5.</w:t>
      </w:r>
      <w:r w:rsidRPr="001570EA">
        <w:rPr>
          <w:rStyle w:val="Hyperlink"/>
          <w:rFonts w:eastAsiaTheme="minorHAnsi"/>
          <w:color w:val="000000" w:themeColor="text1"/>
          <w:u w:val="none"/>
        </w:rPr>
        <w:t xml:space="preserve">0 Cover letter. </w:t>
      </w:r>
      <w:hyperlink r:id="rId290" w:history="1">
        <w:r w:rsidRPr="001570EA">
          <w:rPr>
            <w:rStyle w:val="Hyperlink"/>
            <w:rFonts w:eastAsiaTheme="minorHAnsi"/>
          </w:rPr>
          <w:t>Weblink</w:t>
        </w:r>
      </w:hyperlink>
      <w:r w:rsidRPr="001570EA">
        <w:rPr>
          <w:rStyle w:val="Hyperlink"/>
          <w:rFonts w:eastAsiaTheme="minorHAnsi"/>
          <w:color w:val="000000" w:themeColor="text1"/>
          <w:u w:val="none"/>
        </w:rPr>
        <w:t xml:space="preserve"> </w:t>
      </w:r>
    </w:p>
    <w:p w14:paraId="01626C17" w14:textId="6CA6ADE7" w:rsidR="004E6452" w:rsidRPr="001570EA" w:rsidRDefault="004E6452" w:rsidP="006D787B">
      <w:pPr>
        <w:pStyle w:val="ListParagraph"/>
        <w:numPr>
          <w:ilvl w:val="0"/>
          <w:numId w:val="56"/>
        </w:numPr>
        <w:spacing w:after="120"/>
        <w:ind w:left="360"/>
        <w:jc w:val="left"/>
      </w:pPr>
      <w:r w:rsidRPr="001570EA">
        <w:t xml:space="preserve">U.S. EPA. (2019). ENERGY STAR Program Requirements Product Specification for Dehumidifiers Eligibility Criteria Version 5.0. </w:t>
      </w:r>
      <w:hyperlink r:id="rId291" w:history="1">
        <w:r w:rsidRPr="001570EA">
          <w:rPr>
            <w:rStyle w:val="Hyperlink"/>
          </w:rPr>
          <w:t>Weblink</w:t>
        </w:r>
      </w:hyperlink>
      <w:r w:rsidRPr="001570EA">
        <w:t xml:space="preserve"> </w:t>
      </w:r>
    </w:p>
    <w:p w14:paraId="37D95CF6" w14:textId="7C1275E3" w:rsidR="004E6452" w:rsidRPr="001570EA" w:rsidRDefault="004E6452" w:rsidP="006D787B">
      <w:pPr>
        <w:pStyle w:val="ListParagraph"/>
        <w:numPr>
          <w:ilvl w:val="0"/>
          <w:numId w:val="56"/>
        </w:numPr>
        <w:spacing w:after="120"/>
        <w:ind w:left="360"/>
        <w:jc w:val="left"/>
      </w:pPr>
      <w:r w:rsidRPr="001570EA">
        <w:t xml:space="preserve">10 CFR 430.32(v) </w:t>
      </w:r>
      <w:hyperlink r:id="rId292" w:anchor="p-430.32(v)" w:history="1">
        <w:r w:rsidRPr="001570EA">
          <w:rPr>
            <w:rStyle w:val="Hyperlink"/>
          </w:rPr>
          <w:t>Weblink</w:t>
        </w:r>
      </w:hyperlink>
    </w:p>
    <w:p w14:paraId="28D02276" w14:textId="77777777" w:rsidR="004E6452" w:rsidRPr="001570EA" w:rsidRDefault="004E6452" w:rsidP="006D787B">
      <w:pPr>
        <w:pStyle w:val="ListParagraph"/>
        <w:numPr>
          <w:ilvl w:val="0"/>
          <w:numId w:val="56"/>
        </w:numPr>
        <w:spacing w:after="120"/>
        <w:ind w:left="360"/>
        <w:jc w:val="left"/>
      </w:pPr>
      <w:r w:rsidRPr="001570EA">
        <w:t>Dehumidifier Metering in PA and Ohio by ADM from 7/17/2013 to 9/22/2013. Thirty-one units metered. Assumes all non-coincident peaks occur within window and that the average load during this window is representative of the June PJM days as well.</w:t>
      </w:r>
    </w:p>
    <w:p w14:paraId="53C6C6AF" w14:textId="4833CB03" w:rsidR="004E6452" w:rsidRPr="001570EA" w:rsidRDefault="004E6452" w:rsidP="006D787B">
      <w:pPr>
        <w:pStyle w:val="ListParagraph"/>
        <w:numPr>
          <w:ilvl w:val="0"/>
          <w:numId w:val="56"/>
        </w:numPr>
        <w:spacing w:after="120"/>
        <w:ind w:left="360"/>
        <w:jc w:val="left"/>
      </w:pPr>
      <w:r w:rsidRPr="001570EA">
        <w:t xml:space="preserve">U.S. EPA. (2024). ENERGY STAR Most Efficient 2024 Dehumidifiers Recognition Criteria. </w:t>
      </w:r>
      <w:hyperlink r:id="rId293" w:history="1">
        <w:r w:rsidRPr="001570EA">
          <w:rPr>
            <w:rStyle w:val="Hyperlink"/>
          </w:rPr>
          <w:t>Weblink</w:t>
        </w:r>
      </w:hyperlink>
    </w:p>
    <w:p w14:paraId="0BC0FBCC" w14:textId="4D20E0C0" w:rsidR="004E6452" w:rsidRPr="001570EA" w:rsidRDefault="004E6452" w:rsidP="006D787B">
      <w:pPr>
        <w:pStyle w:val="ListParagraph"/>
        <w:numPr>
          <w:ilvl w:val="0"/>
          <w:numId w:val="56"/>
        </w:numPr>
        <w:spacing w:after="120"/>
        <w:ind w:left="360"/>
        <w:jc w:val="left"/>
        <w:rPr>
          <w:rFonts w:eastAsiaTheme="minorHAnsi"/>
        </w:rPr>
      </w:pPr>
      <w:r w:rsidRPr="001570EA">
        <w:t xml:space="preserve">U.S. EPA. (2023). ENERGY STAR Most Efficient 2024 Final Criteria Recognition Letter. </w:t>
      </w:r>
      <w:hyperlink r:id="rId294" w:history="1">
        <w:r w:rsidRPr="001570EA">
          <w:rPr>
            <w:rStyle w:val="Hyperlink"/>
          </w:rPr>
          <w:t>Weblink</w:t>
        </w:r>
      </w:hyperlink>
    </w:p>
    <w:p w14:paraId="05887AE2" w14:textId="77777777" w:rsidR="004E6452" w:rsidRPr="001570EA" w:rsidRDefault="004E6452" w:rsidP="004E6452">
      <w:pPr>
        <w:rPr>
          <w:rFonts w:eastAsiaTheme="minorHAnsi" w:cs="Arial"/>
        </w:rPr>
        <w:sectPr w:rsidR="004E6452" w:rsidRPr="001570EA" w:rsidSect="002D556C">
          <w:footerReference w:type="first" r:id="rId295"/>
          <w:pgSz w:w="12240" w:h="15840"/>
          <w:pgMar w:top="1440" w:right="1800" w:bottom="1440" w:left="1800" w:header="720" w:footer="501" w:gutter="0"/>
          <w:cols w:space="720"/>
        </w:sectPr>
      </w:pPr>
      <w:bookmarkStart w:id="626" w:name="_Toc530141630"/>
    </w:p>
    <w:p w14:paraId="5FDEE54D" w14:textId="77777777" w:rsidR="004E6452" w:rsidRPr="001570EA" w:rsidRDefault="004E6452" w:rsidP="00462D97">
      <w:pPr>
        <w:pStyle w:val="Heading3"/>
      </w:pPr>
      <w:bookmarkStart w:id="627" w:name="_Toc48143049"/>
      <w:bookmarkStart w:id="628" w:name="_Toc164786671"/>
      <w:r w:rsidRPr="001570EA">
        <w:t>Dehumidifier Retirement</w:t>
      </w:r>
      <w:bookmarkEnd w:id="626"/>
      <w:bookmarkEnd w:id="627"/>
      <w:bookmarkEnd w:id="628"/>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497"/>
        <w:gridCol w:w="5015"/>
      </w:tblGrid>
      <w:tr w:rsidR="004E6452" w:rsidRPr="001570EA" w14:paraId="262A8228" w14:textId="77777777">
        <w:tc>
          <w:tcPr>
            <w:tcW w:w="349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50F9378" w14:textId="77777777" w:rsidR="004E6452" w:rsidRPr="001570EA" w:rsidRDefault="004E6452">
            <w:pPr>
              <w:pStyle w:val="TableCell"/>
              <w:spacing w:before="60" w:after="60"/>
              <w:rPr>
                <w:b/>
                <w:bCs/>
                <w:color w:val="000000"/>
              </w:rPr>
            </w:pPr>
            <w:r w:rsidRPr="001570EA">
              <w:rPr>
                <w:b/>
                <w:bCs/>
                <w:color w:val="000000"/>
              </w:rPr>
              <w:t>Target Sector</w:t>
            </w:r>
          </w:p>
        </w:tc>
        <w:tc>
          <w:tcPr>
            <w:tcW w:w="501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1990390" w14:textId="77777777" w:rsidR="004E6452" w:rsidRPr="001570EA" w:rsidRDefault="004E6452">
            <w:pPr>
              <w:pStyle w:val="TableCell"/>
              <w:spacing w:before="60" w:after="60"/>
              <w:jc w:val="center"/>
              <w:rPr>
                <w:color w:val="000000"/>
              </w:rPr>
            </w:pPr>
            <w:r w:rsidRPr="001570EA">
              <w:rPr>
                <w:color w:val="000000"/>
              </w:rPr>
              <w:t>Residential</w:t>
            </w:r>
          </w:p>
        </w:tc>
      </w:tr>
      <w:tr w:rsidR="004E6452" w:rsidRPr="001570EA" w14:paraId="5C40C540" w14:textId="77777777">
        <w:tc>
          <w:tcPr>
            <w:tcW w:w="349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47D00003" w14:textId="77777777" w:rsidR="004E6452" w:rsidRPr="001570EA" w:rsidRDefault="004E6452">
            <w:pPr>
              <w:pStyle w:val="TableCell"/>
              <w:spacing w:before="60" w:after="60"/>
              <w:rPr>
                <w:b/>
                <w:bCs/>
                <w:color w:val="000000"/>
              </w:rPr>
            </w:pPr>
            <w:r w:rsidRPr="001570EA">
              <w:rPr>
                <w:b/>
                <w:bCs/>
                <w:color w:val="000000"/>
              </w:rPr>
              <w:t>Measure Unit</w:t>
            </w:r>
          </w:p>
        </w:tc>
        <w:tc>
          <w:tcPr>
            <w:tcW w:w="501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119D57DF" w14:textId="77777777" w:rsidR="004E6452" w:rsidRPr="001570EA" w:rsidRDefault="004E6452">
            <w:pPr>
              <w:pStyle w:val="TableCell"/>
              <w:spacing w:before="60" w:after="60"/>
              <w:jc w:val="center"/>
              <w:rPr>
                <w:color w:val="000000"/>
              </w:rPr>
            </w:pPr>
            <w:r w:rsidRPr="001570EA">
              <w:rPr>
                <w:color w:val="000000"/>
              </w:rPr>
              <w:t>Dehumidifier</w:t>
            </w:r>
          </w:p>
        </w:tc>
      </w:tr>
      <w:tr w:rsidR="004E6452" w:rsidRPr="001570EA" w14:paraId="782EB2DF" w14:textId="77777777">
        <w:tc>
          <w:tcPr>
            <w:tcW w:w="349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3BDC0DC7" w14:textId="77777777" w:rsidR="004E6452" w:rsidRPr="001570EA" w:rsidRDefault="004E6452">
            <w:pPr>
              <w:pStyle w:val="TableCell"/>
              <w:spacing w:before="60" w:after="60"/>
              <w:rPr>
                <w:b/>
                <w:bCs/>
                <w:color w:val="000000"/>
              </w:rPr>
            </w:pPr>
            <w:r w:rsidRPr="001570EA">
              <w:rPr>
                <w:b/>
                <w:bCs/>
                <w:color w:val="000000"/>
              </w:rPr>
              <w:t>Measure Life</w:t>
            </w:r>
          </w:p>
        </w:tc>
        <w:tc>
          <w:tcPr>
            <w:tcW w:w="501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40969DB" w14:textId="77777777" w:rsidR="004E6452" w:rsidRPr="001570EA" w:rsidRDefault="004E6452">
            <w:pPr>
              <w:pStyle w:val="TableCell"/>
              <w:spacing w:before="60" w:after="60"/>
              <w:jc w:val="center"/>
              <w:rPr>
                <w:color w:val="000000"/>
                <w:vertAlign w:val="superscript"/>
              </w:rPr>
            </w:pPr>
            <w:r w:rsidRPr="001570EA">
              <w:rPr>
                <w:color w:val="000000"/>
              </w:rPr>
              <w:t>4 years</w:t>
            </w:r>
            <w:r w:rsidRPr="001570EA">
              <w:rPr>
                <w:color w:val="000000"/>
                <w:vertAlign w:val="superscript"/>
              </w:rPr>
              <w:t>Source 7</w:t>
            </w:r>
          </w:p>
        </w:tc>
      </w:tr>
      <w:tr w:rsidR="004E6452" w:rsidRPr="001570EA" w14:paraId="3A858DB4" w14:textId="77777777">
        <w:tc>
          <w:tcPr>
            <w:tcW w:w="349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32911DAF" w14:textId="77777777" w:rsidR="004E6452" w:rsidRPr="001570EA" w:rsidRDefault="004E6452">
            <w:pPr>
              <w:pStyle w:val="TableCell"/>
              <w:spacing w:before="60" w:after="60"/>
              <w:rPr>
                <w:b/>
                <w:bCs/>
                <w:color w:val="000000"/>
              </w:rPr>
            </w:pPr>
            <w:r w:rsidRPr="001570EA">
              <w:rPr>
                <w:b/>
                <w:bCs/>
                <w:color w:val="000000"/>
              </w:rPr>
              <w:t>Vintage</w:t>
            </w:r>
          </w:p>
        </w:tc>
        <w:tc>
          <w:tcPr>
            <w:tcW w:w="501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42C820B" w14:textId="77777777" w:rsidR="004E6452" w:rsidRPr="001570EA" w:rsidRDefault="004E6452">
            <w:pPr>
              <w:pStyle w:val="TableCell"/>
              <w:spacing w:before="60" w:after="60"/>
              <w:jc w:val="center"/>
              <w:rPr>
                <w:color w:val="000000"/>
              </w:rPr>
            </w:pPr>
            <w:r w:rsidRPr="001570EA">
              <w:rPr>
                <w:color w:val="000000"/>
              </w:rPr>
              <w:t>Early Retirement</w:t>
            </w:r>
          </w:p>
        </w:tc>
      </w:tr>
    </w:tbl>
    <w:p w14:paraId="309A0497" w14:textId="77777777" w:rsidR="004E6452" w:rsidRPr="001570EA" w:rsidRDefault="004E6452" w:rsidP="004E6452">
      <w:pPr>
        <w:pStyle w:val="NoSpacing"/>
        <w:spacing w:after="0"/>
        <w:rPr>
          <w:rFonts w:cs="Arial"/>
          <w:szCs w:val="20"/>
        </w:rPr>
      </w:pPr>
    </w:p>
    <w:p w14:paraId="1FAED24D" w14:textId="658B188F" w:rsidR="004E6452" w:rsidRPr="001570EA" w:rsidRDefault="004E6452" w:rsidP="004E6452">
      <w:pPr>
        <w:pStyle w:val="NoSpacing"/>
        <w:rPr>
          <w:rFonts w:eastAsia="Arial" w:cs="Arial"/>
        </w:rPr>
      </w:pPr>
      <w:r w:rsidRPr="001570EA">
        <w:t xml:space="preserve">This measure is defined as retirement and recycling </w:t>
      </w:r>
      <w:r w:rsidRPr="001570EA">
        <w:rPr>
          <w:u w:val="single"/>
        </w:rPr>
        <w:t>without direct EDC replacement</w:t>
      </w:r>
      <w:r w:rsidRPr="001570EA">
        <w:t xml:space="preserve"> of an </w:t>
      </w:r>
      <w:r w:rsidRPr="001570EA">
        <w:rPr>
          <w:i/>
          <w:iCs/>
        </w:rPr>
        <w:t>operable</w:t>
      </w:r>
      <w:r w:rsidRPr="001570EA">
        <w:t xml:space="preserve"> but older and inefficient room dehumidifier unit that would not have otherwise been recycled. The assumption is that these units will be permanently removed from the grid rather than handed down or sold for use in another location by another EDC customer, and furthermore that they would not have been recycled without this program. This measure is quite different from other energy-efficiency measures in that the energy/demand savings is not the difference between a pre- and post- </w:t>
      </w:r>
      <w:r w:rsidR="0011700A" w:rsidRPr="001570EA">
        <w:t>configuration but</w:t>
      </w:r>
      <w:r w:rsidRPr="001570EA">
        <w:t xml:space="preserve"> is instead the result of complete elimination of the existing dehumidifier</w:t>
      </w:r>
      <w:r w:rsidRPr="001570EA">
        <w:rPr>
          <w:rFonts w:eastAsia="Arial" w:cs="Arial"/>
        </w:rPr>
        <w:t>.</w:t>
      </w:r>
    </w:p>
    <w:p w14:paraId="10C6855B" w14:textId="77777777" w:rsidR="004E6452" w:rsidRPr="001570EA" w:rsidRDefault="004E6452" w:rsidP="004E6452">
      <w:pPr>
        <w:pStyle w:val="SubStyle"/>
      </w:pPr>
      <w:r w:rsidRPr="001570EA">
        <w:t>Eligibility</w:t>
      </w:r>
    </w:p>
    <w:p w14:paraId="2AF69C12" w14:textId="77777777" w:rsidR="004E6452" w:rsidRPr="001570EA" w:rsidRDefault="004E6452" w:rsidP="004E6452">
      <w:pPr>
        <w:pStyle w:val="NoSpacing"/>
        <w:rPr>
          <w:rFonts w:eastAsia="Arial" w:cs="Arial"/>
        </w:rPr>
      </w:pPr>
      <w:r w:rsidRPr="001570EA">
        <w:t xml:space="preserve">The savings are not attributable to the customer that owned the dehumidifier, but instead are attributed to a </w:t>
      </w:r>
      <w:r w:rsidRPr="001570EA">
        <w:rPr>
          <w:i/>
          <w:iCs/>
        </w:rPr>
        <w:t>hypothetical user</w:t>
      </w:r>
      <w:r w:rsidRPr="001570EA">
        <w:t xml:space="preserve"> of the equipment had it not been recycled. Energy and demand savings is the estimated energy consumption of the retired unit over its remaining useful life (RUL).</w:t>
      </w:r>
    </w:p>
    <w:p w14:paraId="51CE383A" w14:textId="77777777" w:rsidR="004E6452" w:rsidRPr="001570EA" w:rsidRDefault="004E6452" w:rsidP="004E6452">
      <w:pPr>
        <w:pStyle w:val="SubStyle"/>
      </w:pPr>
      <w:r w:rsidRPr="001570EA">
        <w:t>Algorithms</w:t>
      </w:r>
    </w:p>
    <w:p w14:paraId="6F4FF32B" w14:textId="77777777" w:rsidR="004E6452" w:rsidRPr="001570EA" w:rsidRDefault="004E6452" w:rsidP="004E6452">
      <w:pPr>
        <w:pStyle w:val="BodyText"/>
        <w:ind w:right="0"/>
      </w:pPr>
      <w:r w:rsidRPr="001570EA">
        <w:t>Impacts are based only on the existing unit, and savings apply</w:t>
      </w:r>
      <w:r w:rsidRPr="001570EA">
        <w:rPr>
          <w:i/>
          <w:iCs/>
        </w:rPr>
        <w:t xml:space="preserve"> only for the remaining useful life (RUL) of the unit</w:t>
      </w:r>
      <w:r w:rsidRPr="001570EA">
        <w:t>.</w:t>
      </w:r>
    </w:p>
    <w:p w14:paraId="69309A40" w14:textId="77777777" w:rsidR="004E6452" w:rsidRPr="001570EA" w:rsidRDefault="004E6452" w:rsidP="004E6452"/>
    <w:p w14:paraId="089A7D2B" w14:textId="77777777" w:rsidR="004E6452" w:rsidRPr="001570EA" w:rsidRDefault="004E6452" w:rsidP="004E6452">
      <w:r w:rsidRPr="001570EA">
        <w:t>The energy savings and demand reduction of this measure were established using actual metered residential dehumidifier usage data.</w:t>
      </w:r>
    </w:p>
    <w:p w14:paraId="29C08E06" w14:textId="77777777" w:rsidR="004E6452" w:rsidRPr="001570EA" w:rsidRDefault="004E6452" w:rsidP="004E6452"/>
    <w:p w14:paraId="5B1546E2" w14:textId="77777777" w:rsidR="004E6452" w:rsidRPr="001570EA" w:rsidRDefault="004E6452" w:rsidP="004E6452">
      <w:pPr>
        <w:rPr>
          <w:vertAlign w:val="superscript"/>
        </w:rPr>
      </w:pPr>
      <w:r w:rsidRPr="001570EA">
        <w:t>The metered data was best fit with a polynomial which is second order in temperature humidity index and first order in capacity:</w:t>
      </w:r>
      <w:r w:rsidRPr="001570EA">
        <w:rPr>
          <w:vertAlign w:val="superscript"/>
        </w:rPr>
        <w:t>Source 1</w:t>
      </w:r>
    </w:p>
    <w:p w14:paraId="5A4D299C" w14:textId="77777777" w:rsidR="004E6452" w:rsidRPr="001570EA" w:rsidRDefault="004E6452" w:rsidP="004E6452"/>
    <w:p w14:paraId="5D4239E2" w14:textId="77777777" w:rsidR="004E6452" w:rsidRPr="001570EA" w:rsidRDefault="004E6452" w:rsidP="004E6452">
      <w:pPr>
        <w:tabs>
          <w:tab w:val="left" w:pos="1080"/>
          <w:tab w:val="left" w:pos="3600"/>
          <w:tab w:val="left" w:pos="4320"/>
          <w:tab w:val="left" w:pos="5040"/>
          <w:tab w:val="right" w:pos="9360"/>
        </w:tabs>
      </w:pPr>
      <w:r w:rsidRPr="001570EA">
        <w:rPr>
          <w:rFonts w:ascii="Cambria Math" w:hAnsi="Cambria Math"/>
          <w:i/>
        </w:rPr>
        <w:t>kWh</w:t>
      </w:r>
      <w:r w:rsidRPr="001570EA">
        <w:tab/>
        <w:t xml:space="preserve"> = </w:t>
      </w:r>
      <m:oMath>
        <m:r>
          <w:rPr>
            <w:rFonts w:ascii="Cambria Math" w:hAnsi="Cambria Math"/>
          </w:rPr>
          <m:t>-8.36</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THI</m:t>
                </m:r>
              </m:e>
              <m:sub>
                <m:r>
                  <w:rPr>
                    <w:rFonts w:ascii="Cambria Math" w:hAnsi="Cambria Math"/>
                  </w:rPr>
                  <m:t>PJM</m:t>
                </m:r>
              </m:sub>
            </m:sSub>
          </m:e>
          <m:sup>
            <m:r>
              <w:rPr>
                <w:rFonts w:ascii="Cambria Math" w:hAnsi="Cambria Math"/>
              </w:rPr>
              <m:t>2</m:t>
            </m:r>
          </m:sup>
        </m:sSup>
        <m:r>
          <w:rPr>
            <w:rFonts w:ascii="Cambria Math" w:hAnsi="Cambria Math"/>
          </w:rPr>
          <m:t>+</m:t>
        </m:r>
        <m:r>
          <m:rPr>
            <m:sty m:val="p"/>
          </m:rPr>
          <w:rPr>
            <w:rFonts w:ascii="Cambria Math" w:hAnsi="Cambria Math"/>
          </w:rPr>
          <m:t>1.19</m:t>
        </m:r>
        <m:r>
          <w:rPr>
            <w:rFonts w:ascii="Cambria Math" w:hAnsi="Cambria Math"/>
          </w:rPr>
          <m:t>×</m:t>
        </m:r>
        <m:sSub>
          <m:sSubPr>
            <m:ctrlPr>
              <w:rPr>
                <w:rFonts w:ascii="Cambria Math" w:hAnsi="Cambria Math"/>
                <w:i/>
              </w:rPr>
            </m:ctrlPr>
          </m:sSubPr>
          <m:e>
            <m:r>
              <w:rPr>
                <w:rFonts w:ascii="Cambria Math" w:hAnsi="Cambria Math"/>
              </w:rPr>
              <m:t>THI</m:t>
            </m:r>
          </m:e>
          <m:sub>
            <m:r>
              <w:rPr>
                <w:rFonts w:ascii="Cambria Math" w:hAnsi="Cambria Math"/>
              </w:rPr>
              <m:t>PJM</m:t>
            </m:r>
          </m:sub>
        </m:sSub>
        <m:r>
          <w:rPr>
            <w:rFonts w:ascii="Cambria Math" w:hAnsi="Cambria Math"/>
          </w:rPr>
          <m:t>+4.07∙</m:t>
        </m:r>
        <m:sSup>
          <m:sSupPr>
            <m:ctrlPr>
              <w:rPr>
                <w:rFonts w:ascii="Cambria Math" w:hAnsi="Cambria Math"/>
                <w:i/>
              </w:rPr>
            </m:ctrlPr>
          </m:sSupPr>
          <m:e>
            <m:r>
              <w:rPr>
                <w:rFonts w:ascii="Cambria Math" w:hAnsi="Cambria Math"/>
              </w:rPr>
              <m:t>10</m:t>
            </m:r>
          </m:e>
          <m:sup>
            <m:r>
              <w:rPr>
                <w:rFonts w:ascii="Cambria Math" w:hAnsi="Cambria Math"/>
              </w:rPr>
              <m:t>-2</m:t>
            </m:r>
          </m:sup>
        </m:sSup>
        <m:r>
          <w:rPr>
            <w:rFonts w:ascii="Cambria Math" w:hAnsi="Cambria Math"/>
          </w:rPr>
          <m:t xml:space="preserve">×CAPY+ </m:t>
        </m:r>
        <m:r>
          <m:rPr>
            <m:sty m:val="p"/>
          </m:rPr>
          <w:rPr>
            <w:rFonts w:ascii="Cambria Math" w:hAnsi="Cambria Math"/>
          </w:rPr>
          <m:t>-38.37</m:t>
        </m:r>
      </m:oMath>
    </w:p>
    <w:p w14:paraId="50B388BD" w14:textId="77777777" w:rsidR="004E6452" w:rsidRPr="001570EA" w:rsidRDefault="004E6452" w:rsidP="004E6452">
      <w:pPr>
        <w:tabs>
          <w:tab w:val="left" w:pos="720"/>
          <w:tab w:val="left" w:pos="1440"/>
          <w:tab w:val="left" w:pos="2160"/>
          <w:tab w:val="left" w:pos="2880"/>
          <w:tab w:val="left" w:pos="3600"/>
          <w:tab w:val="left" w:pos="4320"/>
          <w:tab w:val="left" w:pos="5040"/>
          <w:tab w:val="right" w:pos="9360"/>
        </w:tabs>
      </w:pPr>
    </w:p>
    <w:p w14:paraId="12919B3F" w14:textId="77777777" w:rsidR="004E6452" w:rsidRPr="001570EA" w:rsidRDefault="004E6452" w:rsidP="004E6452">
      <w:r w:rsidRPr="001570EA">
        <w:t>where:</w:t>
      </w:r>
    </w:p>
    <w:p w14:paraId="76FD7888" w14:textId="77777777" w:rsidR="004E6452" w:rsidRPr="001570EA" w:rsidRDefault="004E6452" w:rsidP="004E6452"/>
    <w:p w14:paraId="7505DF88" w14:textId="77777777" w:rsidR="004E6452" w:rsidRPr="001570EA" w:rsidRDefault="004E6452" w:rsidP="004E6452">
      <w:pPr>
        <w:tabs>
          <w:tab w:val="left" w:pos="1170"/>
        </w:tabs>
      </w:pPr>
      <w:r w:rsidRPr="001570EA">
        <w:rPr>
          <w:rFonts w:ascii="Cambria Math" w:hAnsi="Cambria Math"/>
          <w:i/>
        </w:rPr>
        <w:t>THI</w:t>
      </w:r>
      <w:r w:rsidRPr="001570EA">
        <w:rPr>
          <w:rFonts w:ascii="Cambria Math" w:hAnsi="Cambria Math"/>
          <w:i/>
          <w:vertAlign w:val="subscript"/>
        </w:rPr>
        <w:t>PJM</w:t>
      </w:r>
      <w:r w:rsidRPr="001570EA">
        <w:tab/>
        <w:t xml:space="preserve">= </w:t>
      </w:r>
      <m:oMath>
        <m:r>
          <w:rPr>
            <w:rFonts w:ascii="Cambria Math" w:hAnsi="Cambria Math"/>
          </w:rPr>
          <m:t>DB-0.55×</m:t>
        </m:r>
        <m:d>
          <m:dPr>
            <m:ctrlPr>
              <w:rPr>
                <w:rFonts w:ascii="Cambria Math" w:hAnsi="Cambria Math"/>
                <w:i/>
              </w:rPr>
            </m:ctrlPr>
          </m:dPr>
          <m:e>
            <m:r>
              <w:rPr>
                <w:rFonts w:ascii="Cambria Math" w:hAnsi="Cambria Math"/>
              </w:rPr>
              <m:t>1-RH</m:t>
            </m:r>
          </m:e>
        </m:d>
        <m:r>
          <w:rPr>
            <w:rFonts w:ascii="Cambria Math" w:hAnsi="Cambria Math"/>
          </w:rPr>
          <m:t>×</m:t>
        </m:r>
        <m:d>
          <m:dPr>
            <m:ctrlPr>
              <w:rPr>
                <w:rFonts w:ascii="Cambria Math" w:hAnsi="Cambria Math"/>
                <w:i/>
              </w:rPr>
            </m:ctrlPr>
          </m:dPr>
          <m:e>
            <m:r>
              <w:rPr>
                <w:rFonts w:ascii="Cambria Math" w:hAnsi="Cambria Math"/>
              </w:rPr>
              <m:t>DB-58</m:t>
            </m:r>
          </m:e>
        </m:d>
      </m:oMath>
      <w:r w:rsidRPr="001570EA">
        <w:tab/>
        <w:t>for DB ≥ 58°F</w:t>
      </w:r>
    </w:p>
    <w:p w14:paraId="7D5D546C" w14:textId="77777777" w:rsidR="004E6452" w:rsidRPr="001570EA" w:rsidRDefault="004E6452" w:rsidP="004E6452">
      <w:pPr>
        <w:tabs>
          <w:tab w:val="left" w:pos="1170"/>
          <w:tab w:val="left" w:pos="5040"/>
        </w:tabs>
      </w:pPr>
      <w:r w:rsidRPr="001570EA">
        <w:tab/>
        <w:t xml:space="preserve">= </w:t>
      </w:r>
      <w:r w:rsidRPr="001570EA">
        <w:rPr>
          <w:rFonts w:ascii="Cambria Math" w:hAnsi="Cambria Math"/>
          <w:i/>
        </w:rPr>
        <w:t>DB</w:t>
      </w:r>
      <w:r w:rsidRPr="001570EA">
        <w:tab/>
        <w:t>for DB &lt; 58°F</w:t>
      </w:r>
    </w:p>
    <w:p w14:paraId="007CA25B" w14:textId="77777777" w:rsidR="004E6452" w:rsidRPr="001570EA" w:rsidRDefault="004E6452" w:rsidP="004E6452"/>
    <w:p w14:paraId="486D3EEC" w14:textId="77777777" w:rsidR="004E6452" w:rsidRPr="001570EA" w:rsidRDefault="004E6452" w:rsidP="004E6452">
      <w:pPr>
        <w:pStyle w:val="ListParagraph"/>
        <w:spacing w:after="0"/>
        <w:ind w:left="0"/>
      </w:pPr>
      <w:r w:rsidRPr="001570EA">
        <w:t>Similarly, summer peak demand was modeled with the following capacity-dependent linear regression:</w:t>
      </w:r>
      <w:r w:rsidRPr="001570EA">
        <w:rPr>
          <w:vertAlign w:val="superscript"/>
        </w:rPr>
        <w:t>Source 2</w:t>
      </w:r>
    </w:p>
    <w:p w14:paraId="2213B09D" w14:textId="77777777" w:rsidR="004E6452" w:rsidRPr="001570EA" w:rsidRDefault="004E6452" w:rsidP="004E6452"/>
    <w:p w14:paraId="686B43E9" w14:textId="77777777" w:rsidR="004E6452" w:rsidRPr="001570EA" w:rsidRDefault="004E6452" w:rsidP="004E6452">
      <w:pPr>
        <w:tabs>
          <w:tab w:val="left" w:pos="1170"/>
          <w:tab w:val="left" w:pos="3600"/>
          <w:tab w:val="left" w:pos="4320"/>
          <w:tab w:val="left" w:pos="5040"/>
          <w:tab w:val="right" w:pos="9360"/>
        </w:tabs>
        <w:jc w:val="left"/>
      </w:pPr>
      <m:oMath>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kW</m:t>
            </m:r>
          </m:e>
          <m:sub>
            <m:r>
              <w:rPr>
                <w:rFonts w:ascii="Cambria Math" w:hAnsi="Cambria Math" w:cs="Arial"/>
                <w:szCs w:val="20"/>
              </w:rPr>
              <m:t>summer peak</m:t>
            </m:r>
          </m:sub>
        </m:sSub>
      </m:oMath>
      <w:r w:rsidRPr="001570EA">
        <w:t xml:space="preserve"> </w:t>
      </w:r>
      <w:r w:rsidRPr="001570EA">
        <w:rPr>
          <w:rFonts w:ascii="Cambria Math" w:hAnsi="Cambria Math"/>
        </w:rPr>
        <w:t>=</w:t>
      </w:r>
      <m:oMath>
        <m:r>
          <w:rPr>
            <w:rFonts w:ascii="Cambria Math" w:hAnsi="Cambria Math"/>
          </w:rPr>
          <m:t>1.3∙</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 xml:space="preserve">×CAPY+ </m:t>
        </m:r>
        <m:r>
          <m:rPr>
            <m:sty m:val="p"/>
          </m:rPr>
          <w:rPr>
            <w:rFonts w:ascii="Cambria Math" w:hAnsi="Cambria Math"/>
          </w:rPr>
          <m:t>1.07</m:t>
        </m:r>
        <m:sSup>
          <m:sSupPr>
            <m:ctrlPr>
              <w:rPr>
                <w:rFonts w:ascii="Cambria Math" w:hAnsi="Cambria Math"/>
                <w:i/>
              </w:rPr>
            </m:ctrlPr>
          </m:sSupPr>
          <m:e>
            <m:r>
              <w:rPr>
                <w:rFonts w:ascii="Cambria Math" w:hAnsi="Cambria Math"/>
              </w:rPr>
              <m:t>∙10</m:t>
            </m:r>
          </m:e>
          <m:sup>
            <m:r>
              <w:rPr>
                <w:rFonts w:ascii="Cambria Math" w:hAnsi="Cambria Math"/>
              </w:rPr>
              <m:t>-1</m:t>
            </m:r>
          </m:sup>
        </m:sSup>
      </m:oMath>
    </w:p>
    <w:p w14:paraId="7619296B" w14:textId="77777777" w:rsidR="004E6452" w:rsidRPr="001570EA" w:rsidRDefault="004E6452" w:rsidP="004E6452"/>
    <w:p w14:paraId="3E56DDAA" w14:textId="77777777" w:rsidR="004E6452" w:rsidRPr="001570EA" w:rsidRDefault="004E6452" w:rsidP="004E6452">
      <w:pPr>
        <w:pStyle w:val="NoSpacing"/>
        <w:spacing w:line="360" w:lineRule="auto"/>
        <w:rPr>
          <w:rFonts w:eastAsiaTheme="minorEastAsia" w:cs="Arial"/>
          <w:i/>
          <w:szCs w:val="20"/>
        </w:rPr>
      </w:pPr>
      <m:oMathPara>
        <m:oMathParaPr>
          <m:jc m:val="left"/>
        </m:oMathParaPr>
        <m:oMath>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kW</m:t>
              </m:r>
            </m:e>
            <m:sub>
              <m:r>
                <w:rPr>
                  <w:rFonts w:ascii="Cambria Math" w:hAnsi="Cambria Math" w:cs="Arial"/>
                  <w:szCs w:val="20"/>
                </w:rPr>
                <m:t>winter peak</m:t>
              </m:r>
            </m:sub>
          </m:sSub>
          <m:r>
            <w:rPr>
              <w:rFonts w:ascii="Cambria Math" w:hAnsi="Cambria Math" w:cs="Arial"/>
              <w:szCs w:val="20"/>
            </w:rPr>
            <m:t>=0</m:t>
          </m:r>
        </m:oMath>
      </m:oMathPara>
    </w:p>
    <w:p w14:paraId="25829CE6" w14:textId="77777777" w:rsidR="004E6452" w:rsidRPr="001570EA" w:rsidRDefault="004E6452" w:rsidP="004E6452"/>
    <w:p w14:paraId="1EC9EABD" w14:textId="77777777" w:rsidR="004E6452" w:rsidRPr="001570EA" w:rsidRDefault="004E6452" w:rsidP="004E6452">
      <w:pPr>
        <w:pStyle w:val="SubStyle"/>
        <w:keepNext/>
        <w:spacing w:after="240"/>
      </w:pPr>
      <w:r w:rsidRPr="001570EA">
        <w:t>Definition of Terms</w:t>
      </w:r>
    </w:p>
    <w:p w14:paraId="433F1D91" w14:textId="633E43B4" w:rsidR="004E6452" w:rsidRPr="001570EA" w:rsidRDefault="004E6452" w:rsidP="004E6452">
      <w:pPr>
        <w:pStyle w:val="Caption"/>
        <w:jc w:val="left"/>
      </w:pPr>
      <w:bookmarkStart w:id="629" w:name="_Ref163829022"/>
      <w:bookmarkStart w:id="630" w:name="_Toc530141761"/>
      <w:bookmarkStart w:id="631" w:name="_Toc4759833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117</w:t>
      </w:r>
      <w:r w:rsidR="002E093A" w:rsidRPr="001570EA">
        <w:fldChar w:fldCharType="end"/>
      </w:r>
      <w:bookmarkEnd w:id="629"/>
      <w:r w:rsidRPr="001570EA">
        <w:t>: Terms</w:t>
      </w:r>
      <w:r w:rsidRPr="001570EA">
        <w:rPr>
          <w:rFonts w:cs="Arial"/>
        </w:rPr>
        <w:t>, Values, and References for</w:t>
      </w:r>
      <w:r w:rsidRPr="001570EA">
        <w:t xml:space="preserve"> Dehumidifier Retirement</w:t>
      </w:r>
      <w:bookmarkEnd w:id="630"/>
      <w:bookmarkEnd w:id="631"/>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775"/>
        <w:gridCol w:w="900"/>
        <w:gridCol w:w="2070"/>
        <w:gridCol w:w="1885"/>
      </w:tblGrid>
      <w:tr w:rsidR="004E6452" w:rsidRPr="001570EA" w14:paraId="35B8F0BA" w14:textId="77777777">
        <w:trPr>
          <w:trHeight w:val="317"/>
        </w:trPr>
        <w:tc>
          <w:tcPr>
            <w:tcW w:w="3775" w:type="dxa"/>
            <w:shd w:val="clear" w:color="auto" w:fill="BFBFBF" w:themeFill="background1" w:themeFillShade="BF"/>
            <w:vAlign w:val="center"/>
          </w:tcPr>
          <w:p w14:paraId="675E1366" w14:textId="77777777" w:rsidR="004E6452" w:rsidRPr="001570EA" w:rsidRDefault="004E6452">
            <w:pPr>
              <w:pStyle w:val="TableCell"/>
              <w:spacing w:before="60" w:after="60"/>
              <w:rPr>
                <w:b/>
                <w:bCs/>
              </w:rPr>
            </w:pPr>
            <w:r w:rsidRPr="001570EA">
              <w:rPr>
                <w:b/>
                <w:bCs/>
              </w:rPr>
              <w:t>Term</w:t>
            </w:r>
          </w:p>
        </w:tc>
        <w:tc>
          <w:tcPr>
            <w:tcW w:w="900" w:type="dxa"/>
            <w:shd w:val="clear" w:color="auto" w:fill="BFBFBF" w:themeFill="background1" w:themeFillShade="BF"/>
            <w:vAlign w:val="center"/>
          </w:tcPr>
          <w:p w14:paraId="1F1B1416" w14:textId="77777777" w:rsidR="004E6452" w:rsidRPr="001570EA" w:rsidRDefault="004E6452">
            <w:pPr>
              <w:pStyle w:val="TableCell"/>
              <w:spacing w:before="60" w:after="60"/>
              <w:jc w:val="center"/>
              <w:rPr>
                <w:b/>
                <w:bCs/>
              </w:rPr>
            </w:pPr>
            <w:r w:rsidRPr="001570EA">
              <w:rPr>
                <w:b/>
                <w:bCs/>
              </w:rPr>
              <w:t>Unit</w:t>
            </w:r>
          </w:p>
        </w:tc>
        <w:tc>
          <w:tcPr>
            <w:tcW w:w="2070" w:type="dxa"/>
            <w:shd w:val="clear" w:color="auto" w:fill="BFBFBF" w:themeFill="background1" w:themeFillShade="BF"/>
            <w:vAlign w:val="center"/>
          </w:tcPr>
          <w:p w14:paraId="6CDE5646" w14:textId="77777777" w:rsidR="004E6452" w:rsidRPr="001570EA" w:rsidRDefault="004E6452">
            <w:pPr>
              <w:pStyle w:val="TableCell"/>
              <w:spacing w:before="60" w:after="60"/>
              <w:jc w:val="center"/>
              <w:rPr>
                <w:b/>
                <w:bCs/>
              </w:rPr>
            </w:pPr>
            <w:r w:rsidRPr="001570EA">
              <w:rPr>
                <w:b/>
                <w:bCs/>
              </w:rPr>
              <w:t>Value</w:t>
            </w:r>
          </w:p>
        </w:tc>
        <w:tc>
          <w:tcPr>
            <w:tcW w:w="1885" w:type="dxa"/>
            <w:shd w:val="clear" w:color="auto" w:fill="BFBFBF" w:themeFill="background1" w:themeFillShade="BF"/>
            <w:vAlign w:val="center"/>
          </w:tcPr>
          <w:p w14:paraId="28A0A3CE" w14:textId="77777777" w:rsidR="004E6452" w:rsidRPr="001570EA" w:rsidRDefault="004E6452">
            <w:pPr>
              <w:pStyle w:val="TableCell"/>
              <w:spacing w:before="60" w:after="60"/>
              <w:jc w:val="center"/>
              <w:rPr>
                <w:b/>
                <w:bCs/>
              </w:rPr>
            </w:pPr>
            <w:r w:rsidRPr="001570EA">
              <w:rPr>
                <w:b/>
                <w:bCs/>
              </w:rPr>
              <w:t>Sources</w:t>
            </w:r>
          </w:p>
        </w:tc>
      </w:tr>
      <w:tr w:rsidR="004E6452" w:rsidRPr="001570EA" w14:paraId="7A6DAE84" w14:textId="77777777">
        <w:trPr>
          <w:trHeight w:val="317"/>
        </w:trPr>
        <w:tc>
          <w:tcPr>
            <w:tcW w:w="3775" w:type="dxa"/>
            <w:vAlign w:val="center"/>
          </w:tcPr>
          <w:p w14:paraId="12F7CFB6" w14:textId="48F7880D" w:rsidR="004E6452" w:rsidRPr="001570EA" w:rsidRDefault="004E6452">
            <w:pPr>
              <w:pStyle w:val="TableCell"/>
              <w:spacing w:before="60" w:after="60"/>
              <w:jc w:val="left"/>
              <w:rPr>
                <w:szCs w:val="18"/>
              </w:rPr>
            </w:pPr>
            <w:r w:rsidRPr="001570EA">
              <w:rPr>
                <w:i/>
                <w:szCs w:val="18"/>
              </w:rPr>
              <w:t>CAPY</w:t>
            </w:r>
            <w:r w:rsidRPr="001570EA">
              <w:rPr>
                <w:szCs w:val="18"/>
              </w:rPr>
              <w:t xml:space="preserve">, </w:t>
            </w:r>
            <w:r w:rsidRPr="001570EA">
              <w:rPr>
                <w:rFonts w:cs="Arial"/>
                <w:iCs/>
                <w:szCs w:val="18"/>
              </w:rPr>
              <w:t>Average capacity of the unit</w:t>
            </w:r>
          </w:p>
        </w:tc>
        <w:tc>
          <w:tcPr>
            <w:tcW w:w="900" w:type="dxa"/>
            <w:vAlign w:val="center"/>
          </w:tcPr>
          <w:p w14:paraId="47E83F2D" w14:textId="77777777" w:rsidR="004E6452" w:rsidRPr="001570EA" w:rsidRDefault="003B5E04">
            <w:pPr>
              <w:pStyle w:val="TableCell"/>
              <w:spacing w:before="60" w:after="60"/>
              <w:jc w:val="center"/>
            </w:pPr>
            <m:oMathPara>
              <m:oMath>
                <m:f>
                  <m:fPr>
                    <m:ctrlPr>
                      <w:rPr>
                        <w:rFonts w:ascii="Cambria Math" w:hAnsi="Cambria Math"/>
                        <w:i/>
                      </w:rPr>
                    </m:ctrlPr>
                  </m:fPr>
                  <m:num>
                    <m:r>
                      <w:rPr>
                        <w:rFonts w:ascii="Cambria Math" w:hAnsi="Cambria Math"/>
                      </w:rPr>
                      <m:t>pints</m:t>
                    </m:r>
                  </m:num>
                  <m:den>
                    <m:r>
                      <w:rPr>
                        <w:rFonts w:ascii="Cambria Math" w:hAnsi="Cambria Math"/>
                      </w:rPr>
                      <m:t>day</m:t>
                    </m:r>
                  </m:den>
                </m:f>
              </m:oMath>
            </m:oMathPara>
          </w:p>
        </w:tc>
        <w:tc>
          <w:tcPr>
            <w:tcW w:w="2070" w:type="dxa"/>
            <w:vAlign w:val="center"/>
          </w:tcPr>
          <w:p w14:paraId="33CC74D2" w14:textId="77777777" w:rsidR="004E6452" w:rsidRPr="001570EA" w:rsidRDefault="004E6452">
            <w:pPr>
              <w:pStyle w:val="TableCell"/>
              <w:jc w:val="center"/>
            </w:pPr>
            <w:r w:rsidRPr="001570EA">
              <w:t>EDC Data Gathering</w:t>
            </w:r>
          </w:p>
          <w:p w14:paraId="45AA5D1A" w14:textId="77777777" w:rsidR="004E6452" w:rsidRPr="001570EA" w:rsidRDefault="004E6452">
            <w:pPr>
              <w:pStyle w:val="TableCell"/>
              <w:jc w:val="center"/>
            </w:pPr>
            <w:r w:rsidRPr="001570EA">
              <w:t>Default: 51 pt/day</w:t>
            </w:r>
          </w:p>
        </w:tc>
        <w:tc>
          <w:tcPr>
            <w:tcW w:w="1885" w:type="dxa"/>
            <w:vAlign w:val="center"/>
          </w:tcPr>
          <w:p w14:paraId="33C28CDB" w14:textId="77777777" w:rsidR="004E6452" w:rsidRPr="001570EA" w:rsidRDefault="004E6452">
            <w:pPr>
              <w:pStyle w:val="TableCell"/>
              <w:jc w:val="center"/>
            </w:pPr>
            <w:r w:rsidRPr="001570EA">
              <w:t>EDC Data Gathering,</w:t>
            </w:r>
          </w:p>
          <w:p w14:paraId="49A2824D" w14:textId="77777777" w:rsidR="004E6452" w:rsidRPr="001570EA" w:rsidRDefault="004E6452">
            <w:pPr>
              <w:pStyle w:val="TableCell"/>
              <w:jc w:val="center"/>
            </w:pPr>
            <w:r w:rsidRPr="001570EA">
              <w:t>3</w:t>
            </w:r>
          </w:p>
        </w:tc>
      </w:tr>
      <w:tr w:rsidR="004E6452" w:rsidRPr="001570EA" w14:paraId="5C7C66E8" w14:textId="77777777">
        <w:trPr>
          <w:trHeight w:val="317"/>
        </w:trPr>
        <w:tc>
          <w:tcPr>
            <w:tcW w:w="3775" w:type="dxa"/>
            <w:vAlign w:val="center"/>
          </w:tcPr>
          <w:p w14:paraId="5CCD0965" w14:textId="5B2B3443" w:rsidR="004E6452" w:rsidRPr="001570EA" w:rsidRDefault="004E6452">
            <w:pPr>
              <w:pStyle w:val="TableCell"/>
              <w:spacing w:before="60" w:after="60"/>
              <w:jc w:val="left"/>
              <w:rPr>
                <w:i/>
                <w:iCs/>
              </w:rPr>
            </w:pPr>
            <w:r w:rsidRPr="001570EA">
              <w:rPr>
                <w:i/>
                <w:iCs/>
              </w:rPr>
              <w:t>THI, Temperature Humidity Index</w:t>
            </w:r>
          </w:p>
        </w:tc>
        <w:tc>
          <w:tcPr>
            <w:tcW w:w="900" w:type="dxa"/>
            <w:vAlign w:val="center"/>
          </w:tcPr>
          <w:p w14:paraId="40EE42E1" w14:textId="77777777" w:rsidR="004E6452" w:rsidRPr="001570EA" w:rsidRDefault="004E6452">
            <w:pPr>
              <w:pStyle w:val="TableCell"/>
              <w:spacing w:before="60" w:after="60"/>
              <w:jc w:val="center"/>
            </w:pPr>
            <w:r w:rsidRPr="001570EA">
              <w:t>-</w:t>
            </w:r>
          </w:p>
        </w:tc>
        <w:tc>
          <w:tcPr>
            <w:tcW w:w="2070" w:type="dxa"/>
            <w:vAlign w:val="center"/>
          </w:tcPr>
          <w:p w14:paraId="0F888DC1" w14:textId="77777777" w:rsidR="004E6452" w:rsidRPr="001570EA" w:rsidRDefault="004E6452">
            <w:pPr>
              <w:pStyle w:val="TableCell"/>
              <w:jc w:val="center"/>
            </w:pPr>
            <w:r w:rsidRPr="001570EA">
              <w:t>Calculated</w:t>
            </w:r>
          </w:p>
        </w:tc>
        <w:tc>
          <w:tcPr>
            <w:tcW w:w="1885" w:type="dxa"/>
            <w:vAlign w:val="center"/>
          </w:tcPr>
          <w:p w14:paraId="04B2DAB1" w14:textId="77777777" w:rsidR="004E6452" w:rsidRPr="001570EA" w:rsidRDefault="004E6452">
            <w:pPr>
              <w:pStyle w:val="TableCell"/>
              <w:jc w:val="center"/>
            </w:pPr>
            <w:r w:rsidRPr="001570EA">
              <w:t>4</w:t>
            </w:r>
          </w:p>
        </w:tc>
      </w:tr>
      <w:tr w:rsidR="004E6452" w:rsidRPr="001570EA" w14:paraId="41FCE351" w14:textId="77777777">
        <w:trPr>
          <w:trHeight w:val="317"/>
        </w:trPr>
        <w:tc>
          <w:tcPr>
            <w:tcW w:w="3775" w:type="dxa"/>
            <w:vAlign w:val="center"/>
          </w:tcPr>
          <w:p w14:paraId="2B84AB5F" w14:textId="2380CA81" w:rsidR="004E6452" w:rsidRPr="001570EA" w:rsidRDefault="004E6452">
            <w:pPr>
              <w:pStyle w:val="TableCell"/>
              <w:spacing w:before="60" w:after="60"/>
              <w:jc w:val="left"/>
              <w:rPr>
                <w:i/>
                <w:iCs/>
              </w:rPr>
            </w:pPr>
            <w:r w:rsidRPr="001570EA">
              <w:rPr>
                <w:i/>
                <w:iCs/>
              </w:rPr>
              <w:t xml:space="preserve">DB, </w:t>
            </w:r>
            <w:r w:rsidRPr="001570EA">
              <w:t>Dry bulb temperature</w:t>
            </w:r>
          </w:p>
        </w:tc>
        <w:tc>
          <w:tcPr>
            <w:tcW w:w="900" w:type="dxa"/>
            <w:vAlign w:val="center"/>
          </w:tcPr>
          <w:p w14:paraId="1BAF343B" w14:textId="77777777" w:rsidR="004E6452" w:rsidRPr="001570EA" w:rsidRDefault="004E6452">
            <w:pPr>
              <w:pStyle w:val="TableCell"/>
              <w:spacing w:before="60" w:after="60"/>
              <w:jc w:val="center"/>
              <w:rPr>
                <w:rFonts w:ascii="Cambria Math" w:hAnsi="Cambria Math"/>
                <w:i/>
                <w:sz w:val="20"/>
              </w:rPr>
            </w:pPr>
            <w:r w:rsidRPr="001570EA">
              <w:rPr>
                <w:rFonts w:ascii="Cambria Math" w:hAnsi="Cambria Math" w:cs="Cambria Math"/>
                <w:i/>
                <w:sz w:val="20"/>
              </w:rPr>
              <w:t>℉</w:t>
            </w:r>
          </w:p>
        </w:tc>
        <w:tc>
          <w:tcPr>
            <w:tcW w:w="2070" w:type="dxa"/>
            <w:vAlign w:val="center"/>
          </w:tcPr>
          <w:p w14:paraId="2B73714F" w14:textId="77777777" w:rsidR="004E6452" w:rsidRPr="001570EA" w:rsidRDefault="004E6452">
            <w:pPr>
              <w:pStyle w:val="TableCell"/>
              <w:jc w:val="center"/>
            </w:pPr>
            <w:r w:rsidRPr="001570EA">
              <w:t>See Source</w:t>
            </w:r>
          </w:p>
        </w:tc>
        <w:tc>
          <w:tcPr>
            <w:tcW w:w="1885" w:type="dxa"/>
            <w:vAlign w:val="center"/>
          </w:tcPr>
          <w:p w14:paraId="06CEAE2F" w14:textId="77777777" w:rsidR="004E6452" w:rsidRPr="001570EA" w:rsidRDefault="004E6452">
            <w:pPr>
              <w:pStyle w:val="TableCell"/>
              <w:jc w:val="center"/>
            </w:pPr>
            <w:r w:rsidRPr="001570EA">
              <w:t>5</w:t>
            </w:r>
          </w:p>
        </w:tc>
      </w:tr>
      <w:tr w:rsidR="004E6452" w:rsidRPr="001570EA" w14:paraId="3117CB22" w14:textId="77777777">
        <w:trPr>
          <w:trHeight w:val="317"/>
        </w:trPr>
        <w:tc>
          <w:tcPr>
            <w:tcW w:w="3775" w:type="dxa"/>
            <w:vAlign w:val="center"/>
          </w:tcPr>
          <w:p w14:paraId="1DA974A4" w14:textId="1EE57A60" w:rsidR="004E6452" w:rsidRPr="001570EA" w:rsidRDefault="004E6452">
            <w:pPr>
              <w:pStyle w:val="TableCell"/>
              <w:spacing w:before="60" w:after="60"/>
              <w:jc w:val="left"/>
              <w:rPr>
                <w:i/>
                <w:iCs/>
              </w:rPr>
            </w:pPr>
            <w:r w:rsidRPr="001570EA">
              <w:rPr>
                <w:i/>
                <w:iCs/>
              </w:rPr>
              <w:t xml:space="preserve">RH, </w:t>
            </w:r>
            <w:r w:rsidRPr="001570EA">
              <w:t>Relative humidity</w:t>
            </w:r>
          </w:p>
        </w:tc>
        <w:tc>
          <w:tcPr>
            <w:tcW w:w="900" w:type="dxa"/>
            <w:vAlign w:val="center"/>
          </w:tcPr>
          <w:p w14:paraId="08EC85BB" w14:textId="77777777" w:rsidR="004E6452" w:rsidRPr="001570EA" w:rsidRDefault="004E6452">
            <w:pPr>
              <w:pStyle w:val="TableCell"/>
              <w:spacing w:before="60" w:after="60"/>
              <w:jc w:val="center"/>
              <w:rPr>
                <w:rFonts w:ascii="Cambria Math" w:hAnsi="Cambria Math" w:cs="Cambria Math"/>
                <w:i/>
                <w:szCs w:val="18"/>
              </w:rPr>
            </w:pPr>
            <w:r w:rsidRPr="001570EA">
              <w:rPr>
                <w:rFonts w:ascii="Cambria Math" w:hAnsi="Cambria Math" w:cs="Cambria Math"/>
                <w:i/>
                <w:szCs w:val="18"/>
              </w:rPr>
              <w:t>%</w:t>
            </w:r>
          </w:p>
        </w:tc>
        <w:tc>
          <w:tcPr>
            <w:tcW w:w="2070" w:type="dxa"/>
            <w:vAlign w:val="center"/>
          </w:tcPr>
          <w:p w14:paraId="74D31BB7" w14:textId="77777777" w:rsidR="004E6452" w:rsidRPr="001570EA" w:rsidRDefault="004E6452">
            <w:pPr>
              <w:pStyle w:val="TableCell"/>
              <w:jc w:val="center"/>
            </w:pPr>
            <w:r w:rsidRPr="001570EA">
              <w:t>See Source</w:t>
            </w:r>
          </w:p>
        </w:tc>
        <w:tc>
          <w:tcPr>
            <w:tcW w:w="1885" w:type="dxa"/>
            <w:vAlign w:val="center"/>
          </w:tcPr>
          <w:p w14:paraId="61DB31F1" w14:textId="77777777" w:rsidR="004E6452" w:rsidRPr="001570EA" w:rsidRDefault="004E6452">
            <w:pPr>
              <w:pStyle w:val="TableCell"/>
              <w:jc w:val="center"/>
            </w:pPr>
            <w:r w:rsidRPr="001570EA">
              <w:t>5</w:t>
            </w:r>
          </w:p>
        </w:tc>
      </w:tr>
    </w:tbl>
    <w:p w14:paraId="78D8B65C" w14:textId="77777777" w:rsidR="004E6452" w:rsidRPr="001570EA" w:rsidRDefault="004E6452" w:rsidP="004E6452"/>
    <w:p w14:paraId="2CD8CD8D" w14:textId="77777777" w:rsidR="004E6452" w:rsidRPr="001570EA" w:rsidRDefault="004E6452" w:rsidP="00E21FF8">
      <w:pPr>
        <w:pStyle w:val="ListParagraph"/>
        <w:spacing w:after="0"/>
        <w:ind w:left="0"/>
      </w:pPr>
      <w:r w:rsidRPr="001570EA">
        <w:t>The results of the kWh calculation for typical dehumidifier capacities in each of the Climate Regions are presented in the following table. For capacity values not listed in the table, it is acceptable to calculate a value by linear interpolation of the savings values for the adjacent capacities.</w:t>
      </w:r>
    </w:p>
    <w:p w14:paraId="145263E1" w14:textId="77777777" w:rsidR="004E6452" w:rsidRPr="001570EA" w:rsidRDefault="004E6452" w:rsidP="004E6452">
      <w:pPr>
        <w:pStyle w:val="ListParagraph"/>
        <w:ind w:left="0"/>
      </w:pPr>
    </w:p>
    <w:p w14:paraId="37CE776B" w14:textId="4DC3BF93" w:rsidR="004E6452" w:rsidRPr="001570EA" w:rsidRDefault="004E6452" w:rsidP="004E6452">
      <w:pPr>
        <w:pStyle w:val="Caption"/>
        <w:jc w:val="left"/>
      </w:pPr>
      <w:bookmarkStart w:id="632" w:name="_Toc530141762"/>
      <w:bookmarkStart w:id="633" w:name="_Toc47598339"/>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118</w:t>
      </w:r>
      <w:r w:rsidR="002E093A" w:rsidRPr="001570EA">
        <w:fldChar w:fldCharType="end"/>
      </w:r>
      <w:r w:rsidRPr="001570EA">
        <w:t>: Dehumidifier Retirement Annual Energy Savings (kWh)</w:t>
      </w:r>
      <w:bookmarkEnd w:id="632"/>
      <w:bookmarkEnd w:id="633"/>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350"/>
        <w:gridCol w:w="610"/>
        <w:gridCol w:w="683"/>
        <w:gridCol w:w="681"/>
        <w:gridCol w:w="636"/>
        <w:gridCol w:w="630"/>
        <w:gridCol w:w="630"/>
        <w:gridCol w:w="630"/>
        <w:gridCol w:w="630"/>
        <w:gridCol w:w="630"/>
        <w:gridCol w:w="630"/>
      </w:tblGrid>
      <w:tr w:rsidR="004E6452" w:rsidRPr="001570EA" w14:paraId="4742541D" w14:textId="77777777">
        <w:trPr>
          <w:trHeight w:val="289"/>
        </w:trPr>
        <w:tc>
          <w:tcPr>
            <w:tcW w:w="8635" w:type="dxa"/>
            <w:gridSpan w:val="12"/>
            <w:shd w:val="clear" w:color="auto" w:fill="BFBFBF" w:themeFill="background1" w:themeFillShade="BF"/>
            <w:noWrap/>
            <w:vAlign w:val="center"/>
          </w:tcPr>
          <w:p w14:paraId="06C8250F" w14:textId="77777777" w:rsidR="004E6452" w:rsidRPr="001570EA" w:rsidRDefault="004E6452">
            <w:pPr>
              <w:jc w:val="center"/>
              <w:rPr>
                <w:rFonts w:cs="Arial"/>
                <w:b/>
                <w:bCs/>
                <w:color w:val="000000"/>
                <w:sz w:val="18"/>
                <w:szCs w:val="18"/>
              </w:rPr>
            </w:pPr>
            <w:r w:rsidRPr="001570EA">
              <w:rPr>
                <w:rFonts w:cs="Arial"/>
                <w:b/>
                <w:bCs/>
                <w:color w:val="000000"/>
                <w:sz w:val="18"/>
                <w:szCs w:val="18"/>
              </w:rPr>
              <w:t>Annual kWh Savings by Climate Region</w:t>
            </w:r>
          </w:p>
        </w:tc>
      </w:tr>
      <w:tr w:rsidR="004E6452" w:rsidRPr="001570EA" w14:paraId="394ABB54" w14:textId="77777777">
        <w:trPr>
          <w:trHeight w:val="289"/>
        </w:trPr>
        <w:tc>
          <w:tcPr>
            <w:tcW w:w="895" w:type="dxa"/>
            <w:vMerge w:val="restart"/>
            <w:shd w:val="clear" w:color="auto" w:fill="BFBFBF" w:themeFill="background1" w:themeFillShade="BF"/>
            <w:noWrap/>
            <w:vAlign w:val="bottom"/>
          </w:tcPr>
          <w:p w14:paraId="56A1C80E" w14:textId="77777777" w:rsidR="004E6452" w:rsidRPr="001570EA" w:rsidRDefault="004E6452">
            <w:pPr>
              <w:jc w:val="center"/>
              <w:rPr>
                <w:rFonts w:cs="Arial"/>
                <w:b/>
                <w:bCs/>
                <w:color w:val="000000"/>
                <w:sz w:val="18"/>
                <w:szCs w:val="18"/>
              </w:rPr>
            </w:pPr>
            <w:r w:rsidRPr="001570EA">
              <w:rPr>
                <w:rFonts w:cs="Arial"/>
                <w:b/>
                <w:sz w:val="18"/>
                <w:szCs w:val="18"/>
              </w:rPr>
              <w:t>Climate Region</w:t>
            </w:r>
          </w:p>
        </w:tc>
        <w:tc>
          <w:tcPr>
            <w:tcW w:w="1350" w:type="dxa"/>
            <w:vMerge w:val="restart"/>
            <w:shd w:val="clear" w:color="auto" w:fill="BFBFBF" w:themeFill="background1" w:themeFillShade="BF"/>
            <w:noWrap/>
            <w:vAlign w:val="bottom"/>
          </w:tcPr>
          <w:p w14:paraId="1784B407" w14:textId="77777777" w:rsidR="004E6452" w:rsidRPr="001570EA" w:rsidRDefault="004E6452">
            <w:pPr>
              <w:jc w:val="center"/>
              <w:rPr>
                <w:rFonts w:cs="Arial"/>
                <w:b/>
                <w:bCs/>
                <w:color w:val="000000"/>
                <w:sz w:val="18"/>
                <w:szCs w:val="18"/>
              </w:rPr>
            </w:pPr>
            <w:r w:rsidRPr="001570EA">
              <w:rPr>
                <w:rFonts w:cs="Arial"/>
                <w:b/>
                <w:bCs/>
                <w:color w:val="000000"/>
                <w:sz w:val="18"/>
                <w:szCs w:val="18"/>
              </w:rPr>
              <w:t>Reference City</w:t>
            </w:r>
          </w:p>
        </w:tc>
        <w:tc>
          <w:tcPr>
            <w:tcW w:w="6390" w:type="dxa"/>
            <w:gridSpan w:val="10"/>
            <w:shd w:val="clear" w:color="auto" w:fill="BFBFBF" w:themeFill="background1" w:themeFillShade="BF"/>
            <w:noWrap/>
            <w:vAlign w:val="center"/>
          </w:tcPr>
          <w:p w14:paraId="58FB3C72" w14:textId="77777777" w:rsidR="004E6452" w:rsidRPr="001570EA" w:rsidRDefault="004E6452">
            <w:pPr>
              <w:jc w:val="center"/>
              <w:rPr>
                <w:rFonts w:cs="Arial"/>
                <w:b/>
                <w:bCs/>
                <w:color w:val="000000"/>
                <w:sz w:val="18"/>
                <w:szCs w:val="18"/>
              </w:rPr>
            </w:pPr>
            <w:r w:rsidRPr="001570EA">
              <w:rPr>
                <w:rFonts w:cs="Arial"/>
                <w:b/>
                <w:bCs/>
                <w:color w:val="000000"/>
                <w:sz w:val="18"/>
                <w:szCs w:val="18"/>
              </w:rPr>
              <w:t>Capacity (pints per day)</w:t>
            </w:r>
          </w:p>
        </w:tc>
      </w:tr>
      <w:tr w:rsidR="004E6452" w:rsidRPr="001570EA" w14:paraId="68F2B391" w14:textId="77777777">
        <w:trPr>
          <w:trHeight w:val="289"/>
        </w:trPr>
        <w:tc>
          <w:tcPr>
            <w:tcW w:w="895" w:type="dxa"/>
            <w:vMerge/>
            <w:shd w:val="clear" w:color="auto" w:fill="BFBFBF" w:themeFill="background1" w:themeFillShade="BF"/>
            <w:noWrap/>
            <w:hideMark/>
          </w:tcPr>
          <w:p w14:paraId="03015E29" w14:textId="77777777" w:rsidR="004E6452" w:rsidRPr="001570EA" w:rsidRDefault="004E6452">
            <w:pPr>
              <w:jc w:val="center"/>
              <w:rPr>
                <w:rFonts w:cs="Arial"/>
                <w:b/>
                <w:color w:val="000000"/>
                <w:sz w:val="18"/>
                <w:szCs w:val="18"/>
              </w:rPr>
            </w:pPr>
          </w:p>
        </w:tc>
        <w:tc>
          <w:tcPr>
            <w:tcW w:w="1350" w:type="dxa"/>
            <w:vMerge/>
            <w:shd w:val="clear" w:color="auto" w:fill="BFBFBF" w:themeFill="background1" w:themeFillShade="BF"/>
            <w:noWrap/>
            <w:hideMark/>
          </w:tcPr>
          <w:p w14:paraId="6685F9CC" w14:textId="77777777" w:rsidR="004E6452" w:rsidRPr="001570EA" w:rsidRDefault="004E6452">
            <w:pPr>
              <w:jc w:val="center"/>
              <w:rPr>
                <w:rFonts w:cs="Arial"/>
                <w:color w:val="000000"/>
                <w:sz w:val="18"/>
                <w:szCs w:val="18"/>
              </w:rPr>
            </w:pPr>
          </w:p>
        </w:tc>
        <w:tc>
          <w:tcPr>
            <w:tcW w:w="610" w:type="dxa"/>
            <w:shd w:val="clear" w:color="auto" w:fill="BFBFBF" w:themeFill="background1" w:themeFillShade="BF"/>
            <w:noWrap/>
            <w:vAlign w:val="center"/>
            <w:hideMark/>
          </w:tcPr>
          <w:p w14:paraId="3CCCFC13" w14:textId="77777777" w:rsidR="004E6452" w:rsidRPr="001570EA" w:rsidRDefault="004E6452">
            <w:pPr>
              <w:jc w:val="center"/>
              <w:rPr>
                <w:rFonts w:cs="Arial"/>
                <w:color w:val="000000"/>
                <w:sz w:val="18"/>
                <w:szCs w:val="18"/>
              </w:rPr>
            </w:pPr>
            <w:r w:rsidRPr="001570EA">
              <w:rPr>
                <w:rFonts w:cs="Arial"/>
                <w:b/>
                <w:bCs/>
                <w:color w:val="000000"/>
                <w:sz w:val="18"/>
                <w:szCs w:val="18"/>
              </w:rPr>
              <w:t>25</w:t>
            </w:r>
          </w:p>
        </w:tc>
        <w:tc>
          <w:tcPr>
            <w:tcW w:w="683" w:type="dxa"/>
            <w:shd w:val="clear" w:color="auto" w:fill="BFBFBF" w:themeFill="background1" w:themeFillShade="BF"/>
            <w:noWrap/>
            <w:vAlign w:val="center"/>
            <w:hideMark/>
          </w:tcPr>
          <w:p w14:paraId="1EEF4423" w14:textId="77777777" w:rsidR="004E6452" w:rsidRPr="001570EA" w:rsidRDefault="004E6452">
            <w:pPr>
              <w:jc w:val="center"/>
              <w:rPr>
                <w:rFonts w:cs="Arial"/>
                <w:color w:val="000000"/>
                <w:sz w:val="18"/>
                <w:szCs w:val="18"/>
              </w:rPr>
            </w:pPr>
            <w:r w:rsidRPr="001570EA">
              <w:rPr>
                <w:rFonts w:cs="Arial"/>
                <w:b/>
                <w:bCs/>
                <w:color w:val="000000"/>
                <w:sz w:val="18"/>
                <w:szCs w:val="18"/>
              </w:rPr>
              <w:t>30</w:t>
            </w:r>
          </w:p>
        </w:tc>
        <w:tc>
          <w:tcPr>
            <w:tcW w:w="681" w:type="dxa"/>
            <w:shd w:val="clear" w:color="auto" w:fill="BFBFBF" w:themeFill="background1" w:themeFillShade="BF"/>
            <w:noWrap/>
            <w:vAlign w:val="center"/>
            <w:hideMark/>
          </w:tcPr>
          <w:p w14:paraId="5C15C762" w14:textId="77777777" w:rsidR="004E6452" w:rsidRPr="001570EA" w:rsidRDefault="004E6452">
            <w:pPr>
              <w:jc w:val="center"/>
              <w:rPr>
                <w:rFonts w:cs="Arial"/>
                <w:color w:val="000000"/>
                <w:sz w:val="18"/>
                <w:szCs w:val="18"/>
              </w:rPr>
            </w:pPr>
            <w:r w:rsidRPr="001570EA">
              <w:rPr>
                <w:rFonts w:cs="Arial"/>
                <w:b/>
                <w:bCs/>
                <w:color w:val="000000"/>
                <w:sz w:val="18"/>
                <w:szCs w:val="18"/>
              </w:rPr>
              <w:t>35</w:t>
            </w:r>
          </w:p>
        </w:tc>
        <w:tc>
          <w:tcPr>
            <w:tcW w:w="636" w:type="dxa"/>
            <w:shd w:val="clear" w:color="auto" w:fill="BFBFBF" w:themeFill="background1" w:themeFillShade="BF"/>
            <w:noWrap/>
            <w:vAlign w:val="center"/>
            <w:hideMark/>
          </w:tcPr>
          <w:p w14:paraId="4A8EDE2E" w14:textId="77777777" w:rsidR="004E6452" w:rsidRPr="001570EA" w:rsidRDefault="004E6452">
            <w:pPr>
              <w:jc w:val="center"/>
              <w:rPr>
                <w:rFonts w:cs="Arial"/>
                <w:color w:val="000000"/>
                <w:sz w:val="18"/>
                <w:szCs w:val="18"/>
              </w:rPr>
            </w:pPr>
            <w:r w:rsidRPr="001570EA">
              <w:rPr>
                <w:rFonts w:cs="Arial"/>
                <w:b/>
                <w:bCs/>
                <w:color w:val="000000"/>
                <w:sz w:val="18"/>
                <w:szCs w:val="18"/>
              </w:rPr>
              <w:t>40</w:t>
            </w:r>
          </w:p>
        </w:tc>
        <w:tc>
          <w:tcPr>
            <w:tcW w:w="630" w:type="dxa"/>
            <w:shd w:val="clear" w:color="auto" w:fill="BFBFBF" w:themeFill="background1" w:themeFillShade="BF"/>
            <w:noWrap/>
            <w:vAlign w:val="center"/>
            <w:hideMark/>
          </w:tcPr>
          <w:p w14:paraId="65EE73E9" w14:textId="77777777" w:rsidR="004E6452" w:rsidRPr="001570EA" w:rsidRDefault="004E6452">
            <w:pPr>
              <w:jc w:val="center"/>
              <w:rPr>
                <w:rFonts w:cs="Arial"/>
                <w:color w:val="000000"/>
                <w:sz w:val="18"/>
                <w:szCs w:val="18"/>
              </w:rPr>
            </w:pPr>
            <w:r w:rsidRPr="001570EA">
              <w:rPr>
                <w:rFonts w:cs="Arial"/>
                <w:b/>
                <w:bCs/>
                <w:color w:val="000000"/>
                <w:sz w:val="18"/>
                <w:szCs w:val="18"/>
              </w:rPr>
              <w:t>45</w:t>
            </w:r>
          </w:p>
        </w:tc>
        <w:tc>
          <w:tcPr>
            <w:tcW w:w="630" w:type="dxa"/>
            <w:shd w:val="clear" w:color="auto" w:fill="BFBFBF" w:themeFill="background1" w:themeFillShade="BF"/>
            <w:vAlign w:val="center"/>
          </w:tcPr>
          <w:p w14:paraId="07E18C63" w14:textId="77777777" w:rsidR="004E6452" w:rsidRPr="001570EA" w:rsidRDefault="004E6452">
            <w:pPr>
              <w:jc w:val="center"/>
              <w:rPr>
                <w:rFonts w:cs="Arial"/>
                <w:color w:val="000000"/>
                <w:sz w:val="18"/>
                <w:szCs w:val="18"/>
              </w:rPr>
            </w:pPr>
            <w:r w:rsidRPr="001570EA">
              <w:rPr>
                <w:rFonts w:cs="Arial"/>
                <w:b/>
                <w:bCs/>
                <w:color w:val="000000"/>
                <w:sz w:val="18"/>
                <w:szCs w:val="18"/>
              </w:rPr>
              <w:t>50</w:t>
            </w:r>
          </w:p>
        </w:tc>
        <w:tc>
          <w:tcPr>
            <w:tcW w:w="630" w:type="dxa"/>
            <w:shd w:val="clear" w:color="auto" w:fill="BFBFBF" w:themeFill="background1" w:themeFillShade="BF"/>
            <w:vAlign w:val="center"/>
          </w:tcPr>
          <w:p w14:paraId="72D3642A" w14:textId="77777777" w:rsidR="004E6452" w:rsidRPr="001570EA" w:rsidRDefault="004E6452">
            <w:pPr>
              <w:jc w:val="center"/>
              <w:rPr>
                <w:rFonts w:cs="Arial"/>
                <w:color w:val="000000"/>
                <w:sz w:val="18"/>
                <w:szCs w:val="18"/>
              </w:rPr>
            </w:pPr>
            <w:r w:rsidRPr="001570EA">
              <w:rPr>
                <w:rFonts w:cs="Arial"/>
                <w:b/>
                <w:bCs/>
                <w:color w:val="000000"/>
                <w:sz w:val="18"/>
                <w:szCs w:val="18"/>
              </w:rPr>
              <w:t>60</w:t>
            </w:r>
          </w:p>
        </w:tc>
        <w:tc>
          <w:tcPr>
            <w:tcW w:w="630" w:type="dxa"/>
            <w:shd w:val="clear" w:color="auto" w:fill="BFBFBF" w:themeFill="background1" w:themeFillShade="BF"/>
            <w:vAlign w:val="center"/>
          </w:tcPr>
          <w:p w14:paraId="32B693EC" w14:textId="77777777" w:rsidR="004E6452" w:rsidRPr="001570EA" w:rsidRDefault="004E6452">
            <w:pPr>
              <w:jc w:val="center"/>
              <w:rPr>
                <w:rFonts w:cs="Arial"/>
                <w:color w:val="000000"/>
                <w:sz w:val="18"/>
                <w:szCs w:val="18"/>
              </w:rPr>
            </w:pPr>
            <w:r w:rsidRPr="001570EA">
              <w:rPr>
                <w:rFonts w:cs="Arial"/>
                <w:b/>
                <w:bCs/>
                <w:color w:val="000000"/>
                <w:sz w:val="18"/>
                <w:szCs w:val="18"/>
              </w:rPr>
              <w:t>65</w:t>
            </w:r>
          </w:p>
        </w:tc>
        <w:tc>
          <w:tcPr>
            <w:tcW w:w="630" w:type="dxa"/>
            <w:shd w:val="clear" w:color="auto" w:fill="BFBFBF" w:themeFill="background1" w:themeFillShade="BF"/>
            <w:vAlign w:val="center"/>
          </w:tcPr>
          <w:p w14:paraId="21559788" w14:textId="77777777" w:rsidR="004E6452" w:rsidRPr="001570EA" w:rsidRDefault="004E6452">
            <w:pPr>
              <w:jc w:val="center"/>
              <w:rPr>
                <w:rFonts w:cs="Arial"/>
                <w:color w:val="000000"/>
                <w:sz w:val="18"/>
                <w:szCs w:val="18"/>
              </w:rPr>
            </w:pPr>
            <w:r w:rsidRPr="001570EA">
              <w:rPr>
                <w:rFonts w:cs="Arial"/>
                <w:b/>
                <w:bCs/>
                <w:color w:val="000000"/>
                <w:sz w:val="18"/>
                <w:szCs w:val="18"/>
              </w:rPr>
              <w:t>70</w:t>
            </w:r>
          </w:p>
        </w:tc>
        <w:tc>
          <w:tcPr>
            <w:tcW w:w="630" w:type="dxa"/>
            <w:shd w:val="clear" w:color="auto" w:fill="BFBFBF" w:themeFill="background1" w:themeFillShade="BF"/>
            <w:vAlign w:val="center"/>
          </w:tcPr>
          <w:p w14:paraId="6BA30B3A" w14:textId="77777777" w:rsidR="004E6452" w:rsidRPr="001570EA" w:rsidRDefault="004E6452">
            <w:pPr>
              <w:jc w:val="center"/>
              <w:rPr>
                <w:rFonts w:cs="Arial"/>
                <w:color w:val="000000"/>
                <w:sz w:val="18"/>
                <w:szCs w:val="18"/>
              </w:rPr>
            </w:pPr>
            <w:r w:rsidRPr="001570EA">
              <w:rPr>
                <w:rFonts w:cs="Arial"/>
                <w:b/>
                <w:bCs/>
                <w:color w:val="000000"/>
                <w:sz w:val="18"/>
                <w:szCs w:val="18"/>
              </w:rPr>
              <w:t>110</w:t>
            </w:r>
          </w:p>
        </w:tc>
      </w:tr>
      <w:tr w:rsidR="004E6452" w:rsidRPr="001570EA" w14:paraId="69BF5761" w14:textId="77777777">
        <w:trPr>
          <w:trHeight w:val="289"/>
        </w:trPr>
        <w:tc>
          <w:tcPr>
            <w:tcW w:w="895" w:type="dxa"/>
            <w:tcBorders>
              <w:top w:val="single" w:sz="8" w:space="0" w:color="auto"/>
              <w:left w:val="single" w:sz="8" w:space="0" w:color="auto"/>
              <w:bottom w:val="single" w:sz="4" w:space="0" w:color="auto"/>
              <w:right w:val="single" w:sz="8" w:space="0" w:color="auto"/>
            </w:tcBorders>
            <w:shd w:val="clear" w:color="auto" w:fill="BFBFBF" w:themeFill="background1" w:themeFillShade="BF"/>
            <w:noWrap/>
            <w:vAlign w:val="center"/>
            <w:hideMark/>
          </w:tcPr>
          <w:p w14:paraId="41DFB97D" w14:textId="77777777" w:rsidR="004E6452" w:rsidRPr="001570EA" w:rsidRDefault="004E6452">
            <w:pPr>
              <w:jc w:val="center"/>
              <w:rPr>
                <w:rFonts w:cs="Arial"/>
                <w:b/>
                <w:color w:val="000000"/>
                <w:sz w:val="18"/>
                <w:szCs w:val="18"/>
              </w:rPr>
            </w:pPr>
            <w:r w:rsidRPr="001570EA">
              <w:rPr>
                <w:rFonts w:cs="Arial"/>
                <w:b/>
                <w:bCs/>
                <w:color w:val="000000"/>
                <w:sz w:val="18"/>
                <w:szCs w:val="18"/>
              </w:rPr>
              <w:t>C</w:t>
            </w:r>
          </w:p>
        </w:tc>
        <w:tc>
          <w:tcPr>
            <w:tcW w:w="1350" w:type="dxa"/>
            <w:tcBorders>
              <w:top w:val="single" w:sz="8" w:space="0" w:color="auto"/>
              <w:left w:val="nil"/>
              <w:bottom w:val="single" w:sz="4" w:space="0" w:color="auto"/>
              <w:right w:val="single" w:sz="8" w:space="0" w:color="auto"/>
            </w:tcBorders>
            <w:shd w:val="clear" w:color="auto" w:fill="auto"/>
            <w:noWrap/>
            <w:vAlign w:val="center"/>
            <w:hideMark/>
          </w:tcPr>
          <w:p w14:paraId="3EDBB4E5" w14:textId="77777777" w:rsidR="004E6452" w:rsidRPr="001570EA" w:rsidRDefault="004E6452">
            <w:pPr>
              <w:rPr>
                <w:rFonts w:cs="Arial"/>
                <w:color w:val="000000"/>
                <w:sz w:val="18"/>
                <w:szCs w:val="18"/>
              </w:rPr>
            </w:pPr>
            <w:r w:rsidRPr="001570EA">
              <w:rPr>
                <w:rFonts w:cs="Arial"/>
                <w:b/>
                <w:bCs/>
                <w:color w:val="000000"/>
                <w:sz w:val="18"/>
                <w:szCs w:val="18"/>
              </w:rPr>
              <w:t>Allentown</w:t>
            </w:r>
          </w:p>
        </w:tc>
        <w:tc>
          <w:tcPr>
            <w:tcW w:w="610" w:type="dxa"/>
            <w:tcBorders>
              <w:top w:val="single" w:sz="8" w:space="0" w:color="auto"/>
              <w:left w:val="nil"/>
              <w:bottom w:val="single" w:sz="4" w:space="0" w:color="auto"/>
              <w:right w:val="single" w:sz="4" w:space="0" w:color="auto"/>
            </w:tcBorders>
            <w:shd w:val="clear" w:color="auto" w:fill="auto"/>
            <w:noWrap/>
            <w:vAlign w:val="center"/>
            <w:hideMark/>
          </w:tcPr>
          <w:p w14:paraId="0DB78FC8" w14:textId="77777777" w:rsidR="004E6452" w:rsidRPr="001570EA" w:rsidRDefault="004E6452">
            <w:pPr>
              <w:jc w:val="center"/>
              <w:rPr>
                <w:rFonts w:cs="Arial"/>
                <w:color w:val="000000"/>
                <w:sz w:val="18"/>
                <w:szCs w:val="18"/>
              </w:rPr>
            </w:pPr>
            <w:r w:rsidRPr="001570EA">
              <w:rPr>
                <w:rFonts w:cs="Arial"/>
                <w:bCs/>
                <w:color w:val="000000"/>
                <w:sz w:val="18"/>
                <w:szCs w:val="18"/>
              </w:rPr>
              <w:t>628</w:t>
            </w:r>
          </w:p>
        </w:tc>
        <w:tc>
          <w:tcPr>
            <w:tcW w:w="683" w:type="dxa"/>
            <w:tcBorders>
              <w:top w:val="single" w:sz="8" w:space="0" w:color="auto"/>
              <w:left w:val="nil"/>
              <w:bottom w:val="single" w:sz="4" w:space="0" w:color="auto"/>
              <w:right w:val="single" w:sz="4" w:space="0" w:color="auto"/>
            </w:tcBorders>
            <w:shd w:val="clear" w:color="auto" w:fill="auto"/>
            <w:noWrap/>
            <w:vAlign w:val="center"/>
            <w:hideMark/>
          </w:tcPr>
          <w:p w14:paraId="5613B649" w14:textId="77777777" w:rsidR="004E6452" w:rsidRPr="001570EA" w:rsidRDefault="004E6452">
            <w:pPr>
              <w:jc w:val="center"/>
              <w:rPr>
                <w:rFonts w:cs="Arial"/>
                <w:color w:val="000000"/>
                <w:sz w:val="18"/>
                <w:szCs w:val="18"/>
              </w:rPr>
            </w:pPr>
            <w:r w:rsidRPr="001570EA">
              <w:rPr>
                <w:rFonts w:cs="Arial"/>
                <w:bCs/>
                <w:color w:val="000000"/>
                <w:sz w:val="18"/>
                <w:szCs w:val="18"/>
              </w:rPr>
              <w:t>656</w:t>
            </w:r>
          </w:p>
        </w:tc>
        <w:tc>
          <w:tcPr>
            <w:tcW w:w="681" w:type="dxa"/>
            <w:tcBorders>
              <w:top w:val="single" w:sz="8" w:space="0" w:color="auto"/>
              <w:left w:val="nil"/>
              <w:bottom w:val="single" w:sz="4" w:space="0" w:color="auto"/>
              <w:right w:val="single" w:sz="4" w:space="0" w:color="auto"/>
            </w:tcBorders>
            <w:shd w:val="clear" w:color="auto" w:fill="auto"/>
            <w:noWrap/>
            <w:vAlign w:val="center"/>
            <w:hideMark/>
          </w:tcPr>
          <w:p w14:paraId="4D44E510" w14:textId="77777777" w:rsidR="004E6452" w:rsidRPr="001570EA" w:rsidRDefault="004E6452">
            <w:pPr>
              <w:jc w:val="center"/>
              <w:rPr>
                <w:rFonts w:cs="Arial"/>
                <w:color w:val="000000"/>
                <w:sz w:val="18"/>
                <w:szCs w:val="18"/>
              </w:rPr>
            </w:pPr>
            <w:r w:rsidRPr="001570EA">
              <w:rPr>
                <w:rFonts w:cs="Arial"/>
                <w:bCs/>
                <w:color w:val="000000"/>
                <w:sz w:val="18"/>
                <w:szCs w:val="18"/>
              </w:rPr>
              <w:t>684</w:t>
            </w:r>
          </w:p>
        </w:tc>
        <w:tc>
          <w:tcPr>
            <w:tcW w:w="636" w:type="dxa"/>
            <w:tcBorders>
              <w:top w:val="single" w:sz="8" w:space="0" w:color="auto"/>
              <w:left w:val="nil"/>
              <w:bottom w:val="single" w:sz="4" w:space="0" w:color="auto"/>
              <w:right w:val="single" w:sz="4" w:space="0" w:color="auto"/>
            </w:tcBorders>
            <w:shd w:val="clear" w:color="auto" w:fill="auto"/>
            <w:noWrap/>
            <w:vAlign w:val="center"/>
            <w:hideMark/>
          </w:tcPr>
          <w:p w14:paraId="671468C8" w14:textId="77777777" w:rsidR="004E6452" w:rsidRPr="001570EA" w:rsidRDefault="004E6452">
            <w:pPr>
              <w:jc w:val="center"/>
              <w:rPr>
                <w:rFonts w:cs="Arial"/>
                <w:color w:val="000000"/>
                <w:sz w:val="18"/>
                <w:szCs w:val="18"/>
              </w:rPr>
            </w:pPr>
            <w:r w:rsidRPr="001570EA">
              <w:rPr>
                <w:rFonts w:cs="Arial"/>
                <w:bCs/>
                <w:color w:val="000000"/>
                <w:sz w:val="18"/>
                <w:szCs w:val="18"/>
              </w:rPr>
              <w:t>712</w:t>
            </w:r>
          </w:p>
        </w:tc>
        <w:tc>
          <w:tcPr>
            <w:tcW w:w="630" w:type="dxa"/>
            <w:tcBorders>
              <w:top w:val="single" w:sz="8" w:space="0" w:color="auto"/>
              <w:left w:val="nil"/>
              <w:bottom w:val="single" w:sz="4" w:space="0" w:color="auto"/>
              <w:right w:val="single" w:sz="4" w:space="0" w:color="auto"/>
            </w:tcBorders>
            <w:shd w:val="clear" w:color="auto" w:fill="auto"/>
            <w:noWrap/>
            <w:vAlign w:val="center"/>
            <w:hideMark/>
          </w:tcPr>
          <w:p w14:paraId="1504B5EC" w14:textId="77777777" w:rsidR="004E6452" w:rsidRPr="001570EA" w:rsidRDefault="004E6452">
            <w:pPr>
              <w:jc w:val="center"/>
              <w:rPr>
                <w:rFonts w:cs="Arial"/>
                <w:color w:val="000000"/>
                <w:sz w:val="18"/>
                <w:szCs w:val="18"/>
              </w:rPr>
            </w:pPr>
            <w:r w:rsidRPr="001570EA">
              <w:rPr>
                <w:rFonts w:cs="Arial"/>
                <w:bCs/>
                <w:color w:val="000000"/>
                <w:sz w:val="18"/>
                <w:szCs w:val="18"/>
              </w:rPr>
              <w:t>740</w:t>
            </w:r>
          </w:p>
        </w:tc>
        <w:tc>
          <w:tcPr>
            <w:tcW w:w="630" w:type="dxa"/>
            <w:tcBorders>
              <w:top w:val="single" w:sz="8" w:space="0" w:color="auto"/>
              <w:left w:val="nil"/>
              <w:bottom w:val="single" w:sz="4" w:space="0" w:color="auto"/>
              <w:right w:val="single" w:sz="4" w:space="0" w:color="auto"/>
            </w:tcBorders>
            <w:shd w:val="clear" w:color="auto" w:fill="auto"/>
            <w:vAlign w:val="center"/>
          </w:tcPr>
          <w:p w14:paraId="70C3DC79" w14:textId="77777777" w:rsidR="004E6452" w:rsidRPr="001570EA" w:rsidRDefault="004E6452">
            <w:pPr>
              <w:jc w:val="center"/>
              <w:rPr>
                <w:rFonts w:cs="Arial"/>
                <w:color w:val="000000"/>
                <w:sz w:val="18"/>
                <w:szCs w:val="18"/>
              </w:rPr>
            </w:pPr>
            <w:r w:rsidRPr="001570EA">
              <w:rPr>
                <w:rFonts w:cs="Arial"/>
                <w:bCs/>
                <w:color w:val="000000"/>
                <w:sz w:val="18"/>
                <w:szCs w:val="18"/>
              </w:rPr>
              <w:t>768</w:t>
            </w:r>
          </w:p>
        </w:tc>
        <w:tc>
          <w:tcPr>
            <w:tcW w:w="630" w:type="dxa"/>
            <w:tcBorders>
              <w:top w:val="single" w:sz="8" w:space="0" w:color="auto"/>
              <w:left w:val="nil"/>
              <w:bottom w:val="single" w:sz="4" w:space="0" w:color="auto"/>
              <w:right w:val="single" w:sz="4" w:space="0" w:color="auto"/>
            </w:tcBorders>
            <w:shd w:val="clear" w:color="auto" w:fill="auto"/>
            <w:vAlign w:val="center"/>
          </w:tcPr>
          <w:p w14:paraId="24EE0193" w14:textId="77777777" w:rsidR="004E6452" w:rsidRPr="001570EA" w:rsidRDefault="004E6452">
            <w:pPr>
              <w:jc w:val="center"/>
              <w:rPr>
                <w:rFonts w:cs="Arial"/>
                <w:color w:val="000000"/>
                <w:sz w:val="18"/>
                <w:szCs w:val="18"/>
              </w:rPr>
            </w:pPr>
            <w:r w:rsidRPr="001570EA">
              <w:rPr>
                <w:rFonts w:cs="Arial"/>
                <w:bCs/>
                <w:color w:val="000000"/>
                <w:sz w:val="18"/>
                <w:szCs w:val="18"/>
              </w:rPr>
              <w:t>824</w:t>
            </w:r>
          </w:p>
        </w:tc>
        <w:tc>
          <w:tcPr>
            <w:tcW w:w="630" w:type="dxa"/>
            <w:tcBorders>
              <w:top w:val="single" w:sz="8" w:space="0" w:color="auto"/>
              <w:left w:val="nil"/>
              <w:bottom w:val="single" w:sz="4" w:space="0" w:color="auto"/>
              <w:right w:val="single" w:sz="4" w:space="0" w:color="auto"/>
            </w:tcBorders>
            <w:shd w:val="clear" w:color="auto" w:fill="auto"/>
            <w:vAlign w:val="center"/>
          </w:tcPr>
          <w:p w14:paraId="59BF225E" w14:textId="77777777" w:rsidR="004E6452" w:rsidRPr="001570EA" w:rsidRDefault="004E6452">
            <w:pPr>
              <w:jc w:val="center"/>
              <w:rPr>
                <w:rFonts w:cs="Arial"/>
                <w:color w:val="000000"/>
                <w:sz w:val="18"/>
                <w:szCs w:val="18"/>
              </w:rPr>
            </w:pPr>
            <w:r w:rsidRPr="001570EA">
              <w:rPr>
                <w:rFonts w:cs="Arial"/>
                <w:bCs/>
                <w:color w:val="000000"/>
                <w:sz w:val="18"/>
                <w:szCs w:val="18"/>
              </w:rPr>
              <w:t>852</w:t>
            </w:r>
          </w:p>
        </w:tc>
        <w:tc>
          <w:tcPr>
            <w:tcW w:w="630" w:type="dxa"/>
            <w:tcBorders>
              <w:top w:val="single" w:sz="8" w:space="0" w:color="auto"/>
              <w:left w:val="nil"/>
              <w:bottom w:val="single" w:sz="4" w:space="0" w:color="auto"/>
              <w:right w:val="single" w:sz="4" w:space="0" w:color="auto"/>
            </w:tcBorders>
            <w:shd w:val="clear" w:color="auto" w:fill="auto"/>
            <w:vAlign w:val="center"/>
          </w:tcPr>
          <w:p w14:paraId="1496524F" w14:textId="77777777" w:rsidR="004E6452" w:rsidRPr="001570EA" w:rsidRDefault="004E6452">
            <w:pPr>
              <w:jc w:val="center"/>
              <w:rPr>
                <w:rFonts w:cs="Arial"/>
                <w:color w:val="000000"/>
                <w:sz w:val="18"/>
                <w:szCs w:val="18"/>
              </w:rPr>
            </w:pPr>
            <w:r w:rsidRPr="001570EA">
              <w:rPr>
                <w:rFonts w:cs="Arial"/>
                <w:bCs/>
                <w:color w:val="000000"/>
                <w:sz w:val="18"/>
                <w:szCs w:val="18"/>
              </w:rPr>
              <w:t>881</w:t>
            </w:r>
          </w:p>
        </w:tc>
        <w:tc>
          <w:tcPr>
            <w:tcW w:w="630" w:type="dxa"/>
            <w:tcBorders>
              <w:top w:val="single" w:sz="8" w:space="0" w:color="auto"/>
              <w:left w:val="nil"/>
              <w:bottom w:val="single" w:sz="4" w:space="0" w:color="auto"/>
              <w:right w:val="single" w:sz="4" w:space="0" w:color="auto"/>
            </w:tcBorders>
            <w:shd w:val="clear" w:color="auto" w:fill="auto"/>
            <w:vAlign w:val="center"/>
          </w:tcPr>
          <w:p w14:paraId="65E0523A" w14:textId="77777777" w:rsidR="004E6452" w:rsidRPr="001570EA" w:rsidRDefault="004E6452">
            <w:pPr>
              <w:jc w:val="center"/>
              <w:rPr>
                <w:rFonts w:cs="Arial"/>
                <w:color w:val="000000"/>
                <w:sz w:val="18"/>
                <w:szCs w:val="18"/>
              </w:rPr>
            </w:pPr>
            <w:r w:rsidRPr="001570EA">
              <w:rPr>
                <w:rFonts w:cs="Arial"/>
                <w:bCs/>
                <w:color w:val="000000"/>
                <w:sz w:val="18"/>
                <w:szCs w:val="18"/>
              </w:rPr>
              <w:t>1105</w:t>
            </w:r>
          </w:p>
        </w:tc>
      </w:tr>
      <w:tr w:rsidR="004E6452" w:rsidRPr="001570EA" w14:paraId="5EAF3AA0" w14:textId="77777777">
        <w:trPr>
          <w:trHeight w:val="289"/>
        </w:trPr>
        <w:tc>
          <w:tcPr>
            <w:tcW w:w="895" w:type="dxa"/>
            <w:tcBorders>
              <w:top w:val="nil"/>
              <w:left w:val="single" w:sz="8" w:space="0" w:color="auto"/>
              <w:bottom w:val="single" w:sz="4" w:space="0" w:color="auto"/>
              <w:right w:val="single" w:sz="8" w:space="0" w:color="auto"/>
            </w:tcBorders>
            <w:shd w:val="clear" w:color="auto" w:fill="BFBFBF" w:themeFill="background1" w:themeFillShade="BF"/>
            <w:noWrap/>
            <w:vAlign w:val="center"/>
            <w:hideMark/>
          </w:tcPr>
          <w:p w14:paraId="6C881C0C" w14:textId="77777777" w:rsidR="004E6452" w:rsidRPr="001570EA" w:rsidRDefault="004E6452">
            <w:pPr>
              <w:jc w:val="center"/>
              <w:rPr>
                <w:rFonts w:cs="Arial"/>
                <w:b/>
                <w:color w:val="000000"/>
                <w:sz w:val="18"/>
                <w:szCs w:val="18"/>
              </w:rPr>
            </w:pPr>
            <w:r w:rsidRPr="001570EA">
              <w:rPr>
                <w:rFonts w:cs="Arial"/>
                <w:b/>
                <w:bCs/>
                <w:color w:val="000000"/>
                <w:sz w:val="18"/>
                <w:szCs w:val="18"/>
              </w:rPr>
              <w:t>A</w:t>
            </w:r>
          </w:p>
        </w:tc>
        <w:tc>
          <w:tcPr>
            <w:tcW w:w="1350" w:type="dxa"/>
            <w:tcBorders>
              <w:top w:val="nil"/>
              <w:left w:val="nil"/>
              <w:bottom w:val="single" w:sz="4" w:space="0" w:color="auto"/>
              <w:right w:val="single" w:sz="8" w:space="0" w:color="auto"/>
            </w:tcBorders>
            <w:shd w:val="clear" w:color="auto" w:fill="auto"/>
            <w:noWrap/>
            <w:vAlign w:val="center"/>
            <w:hideMark/>
          </w:tcPr>
          <w:p w14:paraId="3CA8E335" w14:textId="77777777" w:rsidR="004E6452" w:rsidRPr="001570EA" w:rsidRDefault="004E6452">
            <w:pPr>
              <w:rPr>
                <w:rFonts w:cs="Arial"/>
                <w:color w:val="000000"/>
                <w:sz w:val="18"/>
                <w:szCs w:val="18"/>
              </w:rPr>
            </w:pPr>
            <w:r w:rsidRPr="001570EA">
              <w:rPr>
                <w:rFonts w:cs="Arial"/>
                <w:b/>
                <w:bCs/>
                <w:color w:val="000000"/>
                <w:sz w:val="18"/>
                <w:szCs w:val="18"/>
              </w:rPr>
              <w:t>Bradford</w:t>
            </w:r>
          </w:p>
        </w:tc>
        <w:tc>
          <w:tcPr>
            <w:tcW w:w="610" w:type="dxa"/>
            <w:tcBorders>
              <w:top w:val="nil"/>
              <w:left w:val="nil"/>
              <w:bottom w:val="single" w:sz="4" w:space="0" w:color="auto"/>
              <w:right w:val="single" w:sz="4" w:space="0" w:color="auto"/>
            </w:tcBorders>
            <w:shd w:val="clear" w:color="auto" w:fill="auto"/>
            <w:noWrap/>
            <w:vAlign w:val="center"/>
            <w:hideMark/>
          </w:tcPr>
          <w:p w14:paraId="362142FE" w14:textId="77777777" w:rsidR="004E6452" w:rsidRPr="001570EA" w:rsidRDefault="004E6452">
            <w:pPr>
              <w:jc w:val="center"/>
              <w:rPr>
                <w:rFonts w:cs="Arial"/>
                <w:color w:val="000000"/>
                <w:sz w:val="18"/>
                <w:szCs w:val="18"/>
              </w:rPr>
            </w:pPr>
            <w:r w:rsidRPr="001570EA">
              <w:rPr>
                <w:rFonts w:cs="Arial"/>
                <w:bCs/>
                <w:color w:val="000000"/>
                <w:sz w:val="18"/>
                <w:szCs w:val="18"/>
              </w:rPr>
              <w:t>386</w:t>
            </w:r>
          </w:p>
        </w:tc>
        <w:tc>
          <w:tcPr>
            <w:tcW w:w="683" w:type="dxa"/>
            <w:tcBorders>
              <w:top w:val="nil"/>
              <w:left w:val="nil"/>
              <w:bottom w:val="single" w:sz="4" w:space="0" w:color="auto"/>
              <w:right w:val="single" w:sz="4" w:space="0" w:color="auto"/>
            </w:tcBorders>
            <w:shd w:val="clear" w:color="auto" w:fill="auto"/>
            <w:noWrap/>
            <w:vAlign w:val="center"/>
            <w:hideMark/>
          </w:tcPr>
          <w:p w14:paraId="3513E2D7" w14:textId="77777777" w:rsidR="004E6452" w:rsidRPr="001570EA" w:rsidRDefault="004E6452">
            <w:pPr>
              <w:jc w:val="center"/>
              <w:rPr>
                <w:rFonts w:cs="Arial"/>
                <w:color w:val="000000"/>
                <w:sz w:val="18"/>
                <w:szCs w:val="18"/>
              </w:rPr>
            </w:pPr>
            <w:r w:rsidRPr="001570EA">
              <w:rPr>
                <w:rFonts w:cs="Arial"/>
                <w:bCs/>
                <w:color w:val="000000"/>
                <w:sz w:val="18"/>
                <w:szCs w:val="18"/>
              </w:rPr>
              <w:t>404</w:t>
            </w:r>
          </w:p>
        </w:tc>
        <w:tc>
          <w:tcPr>
            <w:tcW w:w="681" w:type="dxa"/>
            <w:tcBorders>
              <w:top w:val="nil"/>
              <w:left w:val="nil"/>
              <w:bottom w:val="single" w:sz="4" w:space="0" w:color="auto"/>
              <w:right w:val="single" w:sz="4" w:space="0" w:color="auto"/>
            </w:tcBorders>
            <w:shd w:val="clear" w:color="auto" w:fill="auto"/>
            <w:noWrap/>
            <w:vAlign w:val="center"/>
            <w:hideMark/>
          </w:tcPr>
          <w:p w14:paraId="56F22068" w14:textId="77777777" w:rsidR="004E6452" w:rsidRPr="001570EA" w:rsidRDefault="004E6452">
            <w:pPr>
              <w:jc w:val="center"/>
              <w:rPr>
                <w:rFonts w:cs="Arial"/>
                <w:color w:val="000000"/>
                <w:sz w:val="18"/>
                <w:szCs w:val="18"/>
              </w:rPr>
            </w:pPr>
            <w:r w:rsidRPr="001570EA">
              <w:rPr>
                <w:rFonts w:cs="Arial"/>
                <w:bCs/>
                <w:color w:val="000000"/>
                <w:sz w:val="18"/>
                <w:szCs w:val="18"/>
              </w:rPr>
              <w:t>422</w:t>
            </w:r>
          </w:p>
        </w:tc>
        <w:tc>
          <w:tcPr>
            <w:tcW w:w="636" w:type="dxa"/>
            <w:tcBorders>
              <w:top w:val="nil"/>
              <w:left w:val="nil"/>
              <w:bottom w:val="single" w:sz="4" w:space="0" w:color="auto"/>
              <w:right w:val="single" w:sz="4" w:space="0" w:color="auto"/>
            </w:tcBorders>
            <w:shd w:val="clear" w:color="auto" w:fill="auto"/>
            <w:noWrap/>
            <w:vAlign w:val="center"/>
            <w:hideMark/>
          </w:tcPr>
          <w:p w14:paraId="21D20881" w14:textId="77777777" w:rsidR="004E6452" w:rsidRPr="001570EA" w:rsidRDefault="004E6452">
            <w:pPr>
              <w:jc w:val="center"/>
              <w:rPr>
                <w:rFonts w:cs="Arial"/>
                <w:color w:val="000000"/>
                <w:sz w:val="18"/>
                <w:szCs w:val="18"/>
              </w:rPr>
            </w:pPr>
            <w:r w:rsidRPr="001570EA">
              <w:rPr>
                <w:rFonts w:cs="Arial"/>
                <w:bCs/>
                <w:color w:val="000000"/>
                <w:sz w:val="18"/>
                <w:szCs w:val="18"/>
              </w:rPr>
              <w:t>440</w:t>
            </w:r>
          </w:p>
        </w:tc>
        <w:tc>
          <w:tcPr>
            <w:tcW w:w="630" w:type="dxa"/>
            <w:tcBorders>
              <w:top w:val="nil"/>
              <w:left w:val="nil"/>
              <w:bottom w:val="single" w:sz="4" w:space="0" w:color="auto"/>
              <w:right w:val="single" w:sz="4" w:space="0" w:color="auto"/>
            </w:tcBorders>
            <w:shd w:val="clear" w:color="auto" w:fill="auto"/>
            <w:noWrap/>
            <w:vAlign w:val="center"/>
            <w:hideMark/>
          </w:tcPr>
          <w:p w14:paraId="119D04B9" w14:textId="77777777" w:rsidR="004E6452" w:rsidRPr="001570EA" w:rsidRDefault="004E6452">
            <w:pPr>
              <w:jc w:val="center"/>
              <w:rPr>
                <w:rFonts w:cs="Arial"/>
                <w:color w:val="000000"/>
                <w:sz w:val="18"/>
                <w:szCs w:val="18"/>
              </w:rPr>
            </w:pPr>
            <w:r w:rsidRPr="001570EA">
              <w:rPr>
                <w:rFonts w:cs="Arial"/>
                <w:bCs/>
                <w:color w:val="000000"/>
                <w:sz w:val="18"/>
                <w:szCs w:val="18"/>
              </w:rPr>
              <w:t>458</w:t>
            </w:r>
          </w:p>
        </w:tc>
        <w:tc>
          <w:tcPr>
            <w:tcW w:w="630" w:type="dxa"/>
            <w:tcBorders>
              <w:top w:val="nil"/>
              <w:left w:val="nil"/>
              <w:bottom w:val="single" w:sz="4" w:space="0" w:color="auto"/>
              <w:right w:val="single" w:sz="4" w:space="0" w:color="auto"/>
            </w:tcBorders>
            <w:shd w:val="clear" w:color="auto" w:fill="auto"/>
            <w:vAlign w:val="center"/>
          </w:tcPr>
          <w:p w14:paraId="4FCAE81A" w14:textId="77777777" w:rsidR="004E6452" w:rsidRPr="001570EA" w:rsidRDefault="004E6452">
            <w:pPr>
              <w:jc w:val="center"/>
              <w:rPr>
                <w:rFonts w:cs="Arial"/>
                <w:color w:val="000000"/>
                <w:sz w:val="18"/>
                <w:szCs w:val="18"/>
              </w:rPr>
            </w:pPr>
            <w:r w:rsidRPr="001570EA">
              <w:rPr>
                <w:rFonts w:cs="Arial"/>
                <w:bCs/>
                <w:color w:val="000000"/>
                <w:sz w:val="18"/>
                <w:szCs w:val="18"/>
              </w:rPr>
              <w:t>476</w:t>
            </w:r>
          </w:p>
        </w:tc>
        <w:tc>
          <w:tcPr>
            <w:tcW w:w="630" w:type="dxa"/>
            <w:tcBorders>
              <w:top w:val="nil"/>
              <w:left w:val="nil"/>
              <w:bottom w:val="single" w:sz="4" w:space="0" w:color="auto"/>
              <w:right w:val="single" w:sz="4" w:space="0" w:color="auto"/>
            </w:tcBorders>
            <w:shd w:val="clear" w:color="auto" w:fill="auto"/>
            <w:vAlign w:val="center"/>
          </w:tcPr>
          <w:p w14:paraId="3636FE72" w14:textId="77777777" w:rsidR="004E6452" w:rsidRPr="001570EA" w:rsidRDefault="004E6452">
            <w:pPr>
              <w:jc w:val="center"/>
              <w:rPr>
                <w:rFonts w:cs="Arial"/>
                <w:color w:val="000000"/>
                <w:sz w:val="18"/>
                <w:szCs w:val="18"/>
              </w:rPr>
            </w:pPr>
            <w:r w:rsidRPr="001570EA">
              <w:rPr>
                <w:rFonts w:cs="Arial"/>
                <w:bCs/>
                <w:color w:val="000000"/>
                <w:sz w:val="18"/>
                <w:szCs w:val="18"/>
              </w:rPr>
              <w:t>512</w:t>
            </w:r>
          </w:p>
        </w:tc>
        <w:tc>
          <w:tcPr>
            <w:tcW w:w="630" w:type="dxa"/>
            <w:tcBorders>
              <w:top w:val="nil"/>
              <w:left w:val="nil"/>
              <w:bottom w:val="single" w:sz="4" w:space="0" w:color="auto"/>
              <w:right w:val="single" w:sz="4" w:space="0" w:color="auto"/>
            </w:tcBorders>
            <w:shd w:val="clear" w:color="auto" w:fill="auto"/>
            <w:vAlign w:val="center"/>
          </w:tcPr>
          <w:p w14:paraId="76CC1C73" w14:textId="77777777" w:rsidR="004E6452" w:rsidRPr="001570EA" w:rsidRDefault="004E6452">
            <w:pPr>
              <w:jc w:val="center"/>
              <w:rPr>
                <w:rFonts w:cs="Arial"/>
                <w:color w:val="000000"/>
                <w:sz w:val="18"/>
                <w:szCs w:val="18"/>
              </w:rPr>
            </w:pPr>
            <w:r w:rsidRPr="001570EA">
              <w:rPr>
                <w:rFonts w:cs="Arial"/>
                <w:bCs/>
                <w:color w:val="000000"/>
                <w:sz w:val="18"/>
                <w:szCs w:val="18"/>
              </w:rPr>
              <w:t>530</w:t>
            </w:r>
          </w:p>
        </w:tc>
        <w:tc>
          <w:tcPr>
            <w:tcW w:w="630" w:type="dxa"/>
            <w:tcBorders>
              <w:top w:val="nil"/>
              <w:left w:val="nil"/>
              <w:bottom w:val="single" w:sz="4" w:space="0" w:color="auto"/>
              <w:right w:val="single" w:sz="4" w:space="0" w:color="auto"/>
            </w:tcBorders>
            <w:shd w:val="clear" w:color="auto" w:fill="auto"/>
            <w:vAlign w:val="center"/>
          </w:tcPr>
          <w:p w14:paraId="0F6C5B18" w14:textId="77777777" w:rsidR="004E6452" w:rsidRPr="001570EA" w:rsidRDefault="004E6452">
            <w:pPr>
              <w:jc w:val="center"/>
              <w:rPr>
                <w:rFonts w:cs="Arial"/>
                <w:color w:val="000000"/>
                <w:sz w:val="18"/>
                <w:szCs w:val="18"/>
              </w:rPr>
            </w:pPr>
            <w:r w:rsidRPr="001570EA">
              <w:rPr>
                <w:rFonts w:cs="Arial"/>
                <w:bCs/>
                <w:color w:val="000000"/>
                <w:sz w:val="18"/>
                <w:szCs w:val="18"/>
              </w:rPr>
              <w:t>547</w:t>
            </w:r>
          </w:p>
        </w:tc>
        <w:tc>
          <w:tcPr>
            <w:tcW w:w="630" w:type="dxa"/>
            <w:tcBorders>
              <w:top w:val="nil"/>
              <w:left w:val="nil"/>
              <w:bottom w:val="single" w:sz="4" w:space="0" w:color="auto"/>
              <w:right w:val="single" w:sz="4" w:space="0" w:color="auto"/>
            </w:tcBorders>
            <w:shd w:val="clear" w:color="auto" w:fill="auto"/>
            <w:vAlign w:val="center"/>
          </w:tcPr>
          <w:p w14:paraId="4AEF702D" w14:textId="77777777" w:rsidR="004E6452" w:rsidRPr="001570EA" w:rsidRDefault="004E6452">
            <w:pPr>
              <w:jc w:val="center"/>
              <w:rPr>
                <w:rFonts w:cs="Arial"/>
                <w:color w:val="000000"/>
                <w:sz w:val="18"/>
                <w:szCs w:val="18"/>
              </w:rPr>
            </w:pPr>
            <w:r w:rsidRPr="001570EA">
              <w:rPr>
                <w:rFonts w:cs="Arial"/>
                <w:bCs/>
                <w:color w:val="000000"/>
                <w:sz w:val="18"/>
                <w:szCs w:val="18"/>
              </w:rPr>
              <w:t>691</w:t>
            </w:r>
          </w:p>
        </w:tc>
      </w:tr>
      <w:tr w:rsidR="004E6452" w:rsidRPr="001570EA" w14:paraId="4B157A8B" w14:textId="77777777">
        <w:trPr>
          <w:trHeight w:val="289"/>
        </w:trPr>
        <w:tc>
          <w:tcPr>
            <w:tcW w:w="895" w:type="dxa"/>
            <w:tcBorders>
              <w:top w:val="nil"/>
              <w:left w:val="single" w:sz="8" w:space="0" w:color="auto"/>
              <w:bottom w:val="single" w:sz="4" w:space="0" w:color="auto"/>
              <w:right w:val="single" w:sz="8" w:space="0" w:color="auto"/>
            </w:tcBorders>
            <w:shd w:val="clear" w:color="auto" w:fill="BFBFBF" w:themeFill="background1" w:themeFillShade="BF"/>
            <w:noWrap/>
            <w:vAlign w:val="center"/>
            <w:hideMark/>
          </w:tcPr>
          <w:p w14:paraId="0368E285" w14:textId="77777777" w:rsidR="004E6452" w:rsidRPr="001570EA" w:rsidRDefault="004E6452">
            <w:pPr>
              <w:jc w:val="center"/>
              <w:rPr>
                <w:rFonts w:cs="Arial"/>
                <w:b/>
                <w:color w:val="000000"/>
                <w:sz w:val="18"/>
                <w:szCs w:val="18"/>
              </w:rPr>
            </w:pPr>
            <w:r w:rsidRPr="001570EA">
              <w:rPr>
                <w:rFonts w:cs="Arial"/>
                <w:b/>
                <w:bCs/>
                <w:color w:val="000000"/>
                <w:sz w:val="18"/>
                <w:szCs w:val="18"/>
              </w:rPr>
              <w:t>G</w:t>
            </w:r>
          </w:p>
        </w:tc>
        <w:tc>
          <w:tcPr>
            <w:tcW w:w="1350" w:type="dxa"/>
            <w:tcBorders>
              <w:top w:val="nil"/>
              <w:left w:val="nil"/>
              <w:bottom w:val="single" w:sz="4" w:space="0" w:color="auto"/>
              <w:right w:val="single" w:sz="8" w:space="0" w:color="auto"/>
            </w:tcBorders>
            <w:shd w:val="clear" w:color="auto" w:fill="auto"/>
            <w:noWrap/>
            <w:vAlign w:val="center"/>
            <w:hideMark/>
          </w:tcPr>
          <w:p w14:paraId="69C6CC59" w14:textId="77777777" w:rsidR="004E6452" w:rsidRPr="001570EA" w:rsidRDefault="004E6452">
            <w:pPr>
              <w:rPr>
                <w:rFonts w:cs="Arial"/>
                <w:color w:val="000000"/>
                <w:sz w:val="18"/>
                <w:szCs w:val="18"/>
              </w:rPr>
            </w:pPr>
            <w:r w:rsidRPr="001570EA">
              <w:rPr>
                <w:rFonts w:cs="Arial"/>
                <w:b/>
                <w:bCs/>
                <w:color w:val="000000"/>
                <w:sz w:val="18"/>
                <w:szCs w:val="18"/>
              </w:rPr>
              <w:t>Binghamton</w:t>
            </w:r>
          </w:p>
        </w:tc>
        <w:tc>
          <w:tcPr>
            <w:tcW w:w="610" w:type="dxa"/>
            <w:tcBorders>
              <w:top w:val="nil"/>
              <w:left w:val="nil"/>
              <w:bottom w:val="single" w:sz="4" w:space="0" w:color="auto"/>
              <w:right w:val="single" w:sz="4" w:space="0" w:color="auto"/>
            </w:tcBorders>
            <w:shd w:val="clear" w:color="auto" w:fill="auto"/>
            <w:noWrap/>
            <w:vAlign w:val="center"/>
            <w:hideMark/>
          </w:tcPr>
          <w:p w14:paraId="0A9A6FD7" w14:textId="77777777" w:rsidR="004E6452" w:rsidRPr="001570EA" w:rsidRDefault="004E6452">
            <w:pPr>
              <w:jc w:val="center"/>
              <w:rPr>
                <w:rFonts w:cs="Arial"/>
                <w:color w:val="000000"/>
                <w:sz w:val="18"/>
                <w:szCs w:val="18"/>
              </w:rPr>
            </w:pPr>
            <w:r w:rsidRPr="001570EA">
              <w:rPr>
                <w:rFonts w:cs="Arial"/>
                <w:bCs/>
                <w:color w:val="000000"/>
                <w:sz w:val="18"/>
                <w:szCs w:val="18"/>
              </w:rPr>
              <w:t>470</w:t>
            </w:r>
          </w:p>
        </w:tc>
        <w:tc>
          <w:tcPr>
            <w:tcW w:w="683" w:type="dxa"/>
            <w:tcBorders>
              <w:top w:val="nil"/>
              <w:left w:val="nil"/>
              <w:bottom w:val="single" w:sz="4" w:space="0" w:color="auto"/>
              <w:right w:val="single" w:sz="4" w:space="0" w:color="auto"/>
            </w:tcBorders>
            <w:shd w:val="clear" w:color="auto" w:fill="auto"/>
            <w:noWrap/>
            <w:vAlign w:val="center"/>
            <w:hideMark/>
          </w:tcPr>
          <w:p w14:paraId="61C14818" w14:textId="77777777" w:rsidR="004E6452" w:rsidRPr="001570EA" w:rsidRDefault="004E6452">
            <w:pPr>
              <w:jc w:val="center"/>
              <w:rPr>
                <w:rFonts w:cs="Arial"/>
                <w:color w:val="000000"/>
                <w:sz w:val="18"/>
                <w:szCs w:val="18"/>
              </w:rPr>
            </w:pPr>
            <w:r w:rsidRPr="001570EA">
              <w:rPr>
                <w:rFonts w:cs="Arial"/>
                <w:bCs/>
                <w:color w:val="000000"/>
                <w:sz w:val="18"/>
                <w:szCs w:val="18"/>
              </w:rPr>
              <w:t>492</w:t>
            </w:r>
          </w:p>
        </w:tc>
        <w:tc>
          <w:tcPr>
            <w:tcW w:w="681" w:type="dxa"/>
            <w:tcBorders>
              <w:top w:val="nil"/>
              <w:left w:val="nil"/>
              <w:bottom w:val="single" w:sz="4" w:space="0" w:color="auto"/>
              <w:right w:val="single" w:sz="4" w:space="0" w:color="auto"/>
            </w:tcBorders>
            <w:shd w:val="clear" w:color="auto" w:fill="auto"/>
            <w:noWrap/>
            <w:vAlign w:val="center"/>
            <w:hideMark/>
          </w:tcPr>
          <w:p w14:paraId="4EF7BB60" w14:textId="77777777" w:rsidR="004E6452" w:rsidRPr="001570EA" w:rsidRDefault="004E6452">
            <w:pPr>
              <w:jc w:val="center"/>
              <w:rPr>
                <w:rFonts w:cs="Arial"/>
                <w:color w:val="000000"/>
                <w:sz w:val="18"/>
                <w:szCs w:val="18"/>
              </w:rPr>
            </w:pPr>
            <w:r w:rsidRPr="001570EA">
              <w:rPr>
                <w:rFonts w:cs="Arial"/>
                <w:bCs/>
                <w:color w:val="000000"/>
                <w:sz w:val="18"/>
                <w:szCs w:val="18"/>
              </w:rPr>
              <w:t>513</w:t>
            </w:r>
          </w:p>
        </w:tc>
        <w:tc>
          <w:tcPr>
            <w:tcW w:w="636" w:type="dxa"/>
            <w:tcBorders>
              <w:top w:val="nil"/>
              <w:left w:val="nil"/>
              <w:bottom w:val="single" w:sz="4" w:space="0" w:color="auto"/>
              <w:right w:val="single" w:sz="4" w:space="0" w:color="auto"/>
            </w:tcBorders>
            <w:shd w:val="clear" w:color="auto" w:fill="auto"/>
            <w:noWrap/>
            <w:vAlign w:val="center"/>
            <w:hideMark/>
          </w:tcPr>
          <w:p w14:paraId="10DC38FB" w14:textId="77777777" w:rsidR="004E6452" w:rsidRPr="001570EA" w:rsidRDefault="004E6452">
            <w:pPr>
              <w:jc w:val="center"/>
              <w:rPr>
                <w:rFonts w:cs="Arial"/>
                <w:color w:val="000000"/>
                <w:sz w:val="18"/>
                <w:szCs w:val="18"/>
              </w:rPr>
            </w:pPr>
            <w:r w:rsidRPr="001570EA">
              <w:rPr>
                <w:rFonts w:cs="Arial"/>
                <w:bCs/>
                <w:color w:val="000000"/>
                <w:sz w:val="18"/>
                <w:szCs w:val="18"/>
              </w:rPr>
              <w:t>534</w:t>
            </w:r>
          </w:p>
        </w:tc>
        <w:tc>
          <w:tcPr>
            <w:tcW w:w="630" w:type="dxa"/>
            <w:tcBorders>
              <w:top w:val="nil"/>
              <w:left w:val="nil"/>
              <w:bottom w:val="single" w:sz="4" w:space="0" w:color="auto"/>
              <w:right w:val="single" w:sz="4" w:space="0" w:color="auto"/>
            </w:tcBorders>
            <w:shd w:val="clear" w:color="auto" w:fill="auto"/>
            <w:noWrap/>
            <w:vAlign w:val="center"/>
            <w:hideMark/>
          </w:tcPr>
          <w:p w14:paraId="6B82A642" w14:textId="77777777" w:rsidR="004E6452" w:rsidRPr="001570EA" w:rsidRDefault="004E6452">
            <w:pPr>
              <w:jc w:val="center"/>
              <w:rPr>
                <w:rFonts w:cs="Arial"/>
                <w:color w:val="000000"/>
                <w:sz w:val="18"/>
                <w:szCs w:val="18"/>
              </w:rPr>
            </w:pPr>
            <w:r w:rsidRPr="001570EA">
              <w:rPr>
                <w:rFonts w:cs="Arial"/>
                <w:bCs/>
                <w:color w:val="000000"/>
                <w:sz w:val="18"/>
                <w:szCs w:val="18"/>
              </w:rPr>
              <w:t>556</w:t>
            </w:r>
          </w:p>
        </w:tc>
        <w:tc>
          <w:tcPr>
            <w:tcW w:w="630" w:type="dxa"/>
            <w:tcBorders>
              <w:top w:val="nil"/>
              <w:left w:val="nil"/>
              <w:bottom w:val="single" w:sz="4" w:space="0" w:color="auto"/>
              <w:right w:val="single" w:sz="4" w:space="0" w:color="auto"/>
            </w:tcBorders>
            <w:shd w:val="clear" w:color="auto" w:fill="auto"/>
            <w:vAlign w:val="center"/>
          </w:tcPr>
          <w:p w14:paraId="0E313135" w14:textId="77777777" w:rsidR="004E6452" w:rsidRPr="001570EA" w:rsidRDefault="004E6452">
            <w:pPr>
              <w:jc w:val="center"/>
              <w:rPr>
                <w:rFonts w:cs="Arial"/>
                <w:color w:val="000000"/>
                <w:sz w:val="18"/>
                <w:szCs w:val="18"/>
              </w:rPr>
            </w:pPr>
            <w:r w:rsidRPr="001570EA">
              <w:rPr>
                <w:rFonts w:cs="Arial"/>
                <w:bCs/>
                <w:color w:val="000000"/>
                <w:sz w:val="18"/>
                <w:szCs w:val="18"/>
              </w:rPr>
              <w:t>577</w:t>
            </w:r>
          </w:p>
        </w:tc>
        <w:tc>
          <w:tcPr>
            <w:tcW w:w="630" w:type="dxa"/>
            <w:tcBorders>
              <w:top w:val="nil"/>
              <w:left w:val="nil"/>
              <w:bottom w:val="single" w:sz="4" w:space="0" w:color="auto"/>
              <w:right w:val="single" w:sz="4" w:space="0" w:color="auto"/>
            </w:tcBorders>
            <w:shd w:val="clear" w:color="auto" w:fill="auto"/>
            <w:vAlign w:val="center"/>
          </w:tcPr>
          <w:p w14:paraId="10398238" w14:textId="77777777" w:rsidR="004E6452" w:rsidRPr="001570EA" w:rsidRDefault="004E6452">
            <w:pPr>
              <w:jc w:val="center"/>
              <w:rPr>
                <w:rFonts w:cs="Arial"/>
                <w:color w:val="000000"/>
                <w:sz w:val="18"/>
                <w:szCs w:val="18"/>
              </w:rPr>
            </w:pPr>
            <w:r w:rsidRPr="001570EA">
              <w:rPr>
                <w:rFonts w:cs="Arial"/>
                <w:bCs/>
                <w:color w:val="000000"/>
                <w:sz w:val="18"/>
                <w:szCs w:val="18"/>
              </w:rPr>
              <w:t>620</w:t>
            </w:r>
          </w:p>
        </w:tc>
        <w:tc>
          <w:tcPr>
            <w:tcW w:w="630" w:type="dxa"/>
            <w:tcBorders>
              <w:top w:val="nil"/>
              <w:left w:val="nil"/>
              <w:bottom w:val="single" w:sz="4" w:space="0" w:color="auto"/>
              <w:right w:val="single" w:sz="4" w:space="0" w:color="auto"/>
            </w:tcBorders>
            <w:shd w:val="clear" w:color="auto" w:fill="auto"/>
            <w:vAlign w:val="center"/>
          </w:tcPr>
          <w:p w14:paraId="09454828" w14:textId="77777777" w:rsidR="004E6452" w:rsidRPr="001570EA" w:rsidRDefault="004E6452">
            <w:pPr>
              <w:jc w:val="center"/>
              <w:rPr>
                <w:rFonts w:cs="Arial"/>
                <w:color w:val="000000"/>
                <w:sz w:val="18"/>
                <w:szCs w:val="18"/>
              </w:rPr>
            </w:pPr>
            <w:r w:rsidRPr="001570EA">
              <w:rPr>
                <w:rFonts w:cs="Arial"/>
                <w:bCs/>
                <w:color w:val="000000"/>
                <w:sz w:val="18"/>
                <w:szCs w:val="18"/>
              </w:rPr>
              <w:t>641</w:t>
            </w:r>
          </w:p>
        </w:tc>
        <w:tc>
          <w:tcPr>
            <w:tcW w:w="630" w:type="dxa"/>
            <w:tcBorders>
              <w:top w:val="nil"/>
              <w:left w:val="nil"/>
              <w:bottom w:val="single" w:sz="4" w:space="0" w:color="auto"/>
              <w:right w:val="single" w:sz="4" w:space="0" w:color="auto"/>
            </w:tcBorders>
            <w:shd w:val="clear" w:color="auto" w:fill="auto"/>
            <w:vAlign w:val="center"/>
          </w:tcPr>
          <w:p w14:paraId="41EDE7A5" w14:textId="77777777" w:rsidR="004E6452" w:rsidRPr="001570EA" w:rsidRDefault="004E6452">
            <w:pPr>
              <w:jc w:val="center"/>
              <w:rPr>
                <w:rFonts w:cs="Arial"/>
                <w:color w:val="000000"/>
                <w:sz w:val="18"/>
                <w:szCs w:val="18"/>
              </w:rPr>
            </w:pPr>
            <w:r w:rsidRPr="001570EA">
              <w:rPr>
                <w:rFonts w:cs="Arial"/>
                <w:bCs/>
                <w:color w:val="000000"/>
                <w:sz w:val="18"/>
                <w:szCs w:val="18"/>
              </w:rPr>
              <w:t>663</w:t>
            </w:r>
          </w:p>
        </w:tc>
        <w:tc>
          <w:tcPr>
            <w:tcW w:w="630" w:type="dxa"/>
            <w:tcBorders>
              <w:top w:val="nil"/>
              <w:left w:val="nil"/>
              <w:bottom w:val="single" w:sz="4" w:space="0" w:color="auto"/>
              <w:right w:val="single" w:sz="4" w:space="0" w:color="auto"/>
            </w:tcBorders>
            <w:shd w:val="clear" w:color="auto" w:fill="auto"/>
            <w:vAlign w:val="center"/>
          </w:tcPr>
          <w:p w14:paraId="5EDC78DC" w14:textId="77777777" w:rsidR="004E6452" w:rsidRPr="001570EA" w:rsidRDefault="004E6452">
            <w:pPr>
              <w:jc w:val="center"/>
              <w:rPr>
                <w:rFonts w:cs="Arial"/>
                <w:color w:val="000000"/>
                <w:sz w:val="18"/>
                <w:szCs w:val="18"/>
              </w:rPr>
            </w:pPr>
            <w:r w:rsidRPr="001570EA">
              <w:rPr>
                <w:rFonts w:cs="Arial"/>
                <w:bCs/>
                <w:color w:val="000000"/>
                <w:sz w:val="18"/>
                <w:szCs w:val="18"/>
              </w:rPr>
              <w:t>834</w:t>
            </w:r>
          </w:p>
        </w:tc>
      </w:tr>
      <w:tr w:rsidR="004E6452" w:rsidRPr="001570EA" w14:paraId="6631C7DE" w14:textId="77777777">
        <w:trPr>
          <w:trHeight w:val="289"/>
        </w:trPr>
        <w:tc>
          <w:tcPr>
            <w:tcW w:w="895" w:type="dxa"/>
            <w:tcBorders>
              <w:top w:val="nil"/>
              <w:left w:val="single" w:sz="8" w:space="0" w:color="auto"/>
              <w:bottom w:val="single" w:sz="4" w:space="0" w:color="auto"/>
              <w:right w:val="single" w:sz="8" w:space="0" w:color="auto"/>
            </w:tcBorders>
            <w:shd w:val="clear" w:color="auto" w:fill="BFBFBF" w:themeFill="background1" w:themeFillShade="BF"/>
            <w:noWrap/>
            <w:vAlign w:val="center"/>
            <w:hideMark/>
          </w:tcPr>
          <w:p w14:paraId="120B128C" w14:textId="77777777" w:rsidR="004E6452" w:rsidRPr="001570EA" w:rsidRDefault="004E6452">
            <w:pPr>
              <w:jc w:val="center"/>
              <w:rPr>
                <w:rFonts w:cs="Arial"/>
                <w:b/>
                <w:color w:val="000000"/>
                <w:sz w:val="18"/>
                <w:szCs w:val="18"/>
              </w:rPr>
            </w:pPr>
            <w:r w:rsidRPr="001570EA">
              <w:rPr>
                <w:rFonts w:cs="Arial"/>
                <w:b/>
                <w:bCs/>
                <w:color w:val="000000"/>
                <w:sz w:val="18"/>
                <w:szCs w:val="18"/>
              </w:rPr>
              <w:t>I</w:t>
            </w:r>
          </w:p>
        </w:tc>
        <w:tc>
          <w:tcPr>
            <w:tcW w:w="1350" w:type="dxa"/>
            <w:tcBorders>
              <w:top w:val="nil"/>
              <w:left w:val="nil"/>
              <w:bottom w:val="single" w:sz="4" w:space="0" w:color="auto"/>
              <w:right w:val="single" w:sz="8" w:space="0" w:color="auto"/>
            </w:tcBorders>
            <w:shd w:val="clear" w:color="auto" w:fill="auto"/>
            <w:noWrap/>
            <w:vAlign w:val="center"/>
            <w:hideMark/>
          </w:tcPr>
          <w:p w14:paraId="4DD3357D" w14:textId="77777777" w:rsidR="004E6452" w:rsidRPr="001570EA" w:rsidRDefault="004E6452">
            <w:pPr>
              <w:rPr>
                <w:rFonts w:cs="Arial"/>
                <w:color w:val="000000"/>
                <w:sz w:val="18"/>
                <w:szCs w:val="18"/>
              </w:rPr>
            </w:pPr>
            <w:r w:rsidRPr="001570EA">
              <w:rPr>
                <w:rFonts w:cs="Arial"/>
                <w:b/>
                <w:bCs/>
                <w:color w:val="000000"/>
                <w:sz w:val="18"/>
                <w:szCs w:val="18"/>
              </w:rPr>
              <w:t>Erie</w:t>
            </w:r>
          </w:p>
        </w:tc>
        <w:tc>
          <w:tcPr>
            <w:tcW w:w="610" w:type="dxa"/>
            <w:tcBorders>
              <w:top w:val="nil"/>
              <w:left w:val="nil"/>
              <w:bottom w:val="single" w:sz="4" w:space="0" w:color="auto"/>
              <w:right w:val="single" w:sz="4" w:space="0" w:color="auto"/>
            </w:tcBorders>
            <w:shd w:val="clear" w:color="auto" w:fill="auto"/>
            <w:noWrap/>
            <w:vAlign w:val="center"/>
            <w:hideMark/>
          </w:tcPr>
          <w:p w14:paraId="3AB7D1D4" w14:textId="77777777" w:rsidR="004E6452" w:rsidRPr="001570EA" w:rsidRDefault="004E6452">
            <w:pPr>
              <w:jc w:val="center"/>
              <w:rPr>
                <w:rFonts w:cs="Arial"/>
                <w:color w:val="000000"/>
                <w:sz w:val="18"/>
                <w:szCs w:val="18"/>
              </w:rPr>
            </w:pPr>
            <w:r w:rsidRPr="001570EA">
              <w:rPr>
                <w:rFonts w:cs="Arial"/>
                <w:bCs/>
                <w:color w:val="000000"/>
                <w:sz w:val="18"/>
                <w:szCs w:val="18"/>
              </w:rPr>
              <w:t>557</w:t>
            </w:r>
          </w:p>
        </w:tc>
        <w:tc>
          <w:tcPr>
            <w:tcW w:w="683" w:type="dxa"/>
            <w:tcBorders>
              <w:top w:val="nil"/>
              <w:left w:val="nil"/>
              <w:bottom w:val="single" w:sz="4" w:space="0" w:color="auto"/>
              <w:right w:val="single" w:sz="4" w:space="0" w:color="auto"/>
            </w:tcBorders>
            <w:shd w:val="clear" w:color="auto" w:fill="auto"/>
            <w:noWrap/>
            <w:vAlign w:val="center"/>
            <w:hideMark/>
          </w:tcPr>
          <w:p w14:paraId="38F98E8E" w14:textId="77777777" w:rsidR="004E6452" w:rsidRPr="001570EA" w:rsidRDefault="004E6452">
            <w:pPr>
              <w:jc w:val="center"/>
              <w:rPr>
                <w:rFonts w:cs="Arial"/>
                <w:color w:val="000000"/>
                <w:sz w:val="18"/>
                <w:szCs w:val="18"/>
              </w:rPr>
            </w:pPr>
            <w:r w:rsidRPr="001570EA">
              <w:rPr>
                <w:rFonts w:cs="Arial"/>
                <w:bCs/>
                <w:color w:val="000000"/>
                <w:sz w:val="18"/>
                <w:szCs w:val="18"/>
              </w:rPr>
              <w:t>582</w:t>
            </w:r>
          </w:p>
        </w:tc>
        <w:tc>
          <w:tcPr>
            <w:tcW w:w="681" w:type="dxa"/>
            <w:tcBorders>
              <w:top w:val="nil"/>
              <w:left w:val="nil"/>
              <w:bottom w:val="single" w:sz="4" w:space="0" w:color="auto"/>
              <w:right w:val="single" w:sz="4" w:space="0" w:color="auto"/>
            </w:tcBorders>
            <w:shd w:val="clear" w:color="auto" w:fill="auto"/>
            <w:noWrap/>
            <w:vAlign w:val="center"/>
            <w:hideMark/>
          </w:tcPr>
          <w:p w14:paraId="58DE9D93" w14:textId="77777777" w:rsidR="004E6452" w:rsidRPr="001570EA" w:rsidRDefault="004E6452">
            <w:pPr>
              <w:jc w:val="center"/>
              <w:rPr>
                <w:rFonts w:cs="Arial"/>
                <w:color w:val="000000"/>
                <w:sz w:val="18"/>
                <w:szCs w:val="18"/>
              </w:rPr>
            </w:pPr>
            <w:r w:rsidRPr="001570EA">
              <w:rPr>
                <w:rFonts w:cs="Arial"/>
                <w:bCs/>
                <w:color w:val="000000"/>
                <w:sz w:val="18"/>
                <w:szCs w:val="18"/>
              </w:rPr>
              <w:t>607</w:t>
            </w:r>
          </w:p>
        </w:tc>
        <w:tc>
          <w:tcPr>
            <w:tcW w:w="636" w:type="dxa"/>
            <w:tcBorders>
              <w:top w:val="nil"/>
              <w:left w:val="nil"/>
              <w:bottom w:val="single" w:sz="4" w:space="0" w:color="auto"/>
              <w:right w:val="single" w:sz="4" w:space="0" w:color="auto"/>
            </w:tcBorders>
            <w:shd w:val="clear" w:color="auto" w:fill="auto"/>
            <w:noWrap/>
            <w:vAlign w:val="center"/>
            <w:hideMark/>
          </w:tcPr>
          <w:p w14:paraId="6F4FEEE2" w14:textId="77777777" w:rsidR="004E6452" w:rsidRPr="001570EA" w:rsidRDefault="004E6452">
            <w:pPr>
              <w:jc w:val="center"/>
              <w:rPr>
                <w:rFonts w:cs="Arial"/>
                <w:color w:val="000000"/>
                <w:sz w:val="18"/>
                <w:szCs w:val="18"/>
              </w:rPr>
            </w:pPr>
            <w:r w:rsidRPr="001570EA">
              <w:rPr>
                <w:rFonts w:cs="Arial"/>
                <w:bCs/>
                <w:color w:val="000000"/>
                <w:sz w:val="18"/>
                <w:szCs w:val="18"/>
              </w:rPr>
              <w:t>632</w:t>
            </w:r>
          </w:p>
        </w:tc>
        <w:tc>
          <w:tcPr>
            <w:tcW w:w="630" w:type="dxa"/>
            <w:tcBorders>
              <w:top w:val="nil"/>
              <w:left w:val="nil"/>
              <w:bottom w:val="single" w:sz="4" w:space="0" w:color="auto"/>
              <w:right w:val="single" w:sz="4" w:space="0" w:color="auto"/>
            </w:tcBorders>
            <w:shd w:val="clear" w:color="auto" w:fill="auto"/>
            <w:noWrap/>
            <w:vAlign w:val="center"/>
            <w:hideMark/>
          </w:tcPr>
          <w:p w14:paraId="688C562D" w14:textId="77777777" w:rsidR="004E6452" w:rsidRPr="001570EA" w:rsidRDefault="004E6452">
            <w:pPr>
              <w:jc w:val="center"/>
              <w:rPr>
                <w:rFonts w:cs="Arial"/>
                <w:color w:val="000000"/>
                <w:sz w:val="18"/>
                <w:szCs w:val="18"/>
              </w:rPr>
            </w:pPr>
            <w:r w:rsidRPr="001570EA">
              <w:rPr>
                <w:rFonts w:cs="Arial"/>
                <w:bCs/>
                <w:color w:val="000000"/>
                <w:sz w:val="18"/>
                <w:szCs w:val="18"/>
              </w:rPr>
              <w:t>656</w:t>
            </w:r>
          </w:p>
        </w:tc>
        <w:tc>
          <w:tcPr>
            <w:tcW w:w="630" w:type="dxa"/>
            <w:tcBorders>
              <w:top w:val="nil"/>
              <w:left w:val="nil"/>
              <w:bottom w:val="single" w:sz="4" w:space="0" w:color="auto"/>
              <w:right w:val="single" w:sz="4" w:space="0" w:color="auto"/>
            </w:tcBorders>
            <w:shd w:val="clear" w:color="auto" w:fill="auto"/>
            <w:vAlign w:val="center"/>
          </w:tcPr>
          <w:p w14:paraId="6AD2E2C6" w14:textId="77777777" w:rsidR="004E6452" w:rsidRPr="001570EA" w:rsidRDefault="004E6452">
            <w:pPr>
              <w:jc w:val="center"/>
              <w:rPr>
                <w:rFonts w:cs="Arial"/>
                <w:color w:val="000000"/>
                <w:sz w:val="18"/>
                <w:szCs w:val="18"/>
              </w:rPr>
            </w:pPr>
            <w:r w:rsidRPr="001570EA">
              <w:rPr>
                <w:rFonts w:cs="Arial"/>
                <w:bCs/>
                <w:color w:val="000000"/>
                <w:sz w:val="18"/>
                <w:szCs w:val="18"/>
              </w:rPr>
              <w:t>681</w:t>
            </w:r>
          </w:p>
        </w:tc>
        <w:tc>
          <w:tcPr>
            <w:tcW w:w="630" w:type="dxa"/>
            <w:tcBorders>
              <w:top w:val="nil"/>
              <w:left w:val="nil"/>
              <w:bottom w:val="single" w:sz="4" w:space="0" w:color="auto"/>
              <w:right w:val="single" w:sz="4" w:space="0" w:color="auto"/>
            </w:tcBorders>
            <w:shd w:val="clear" w:color="auto" w:fill="auto"/>
            <w:vAlign w:val="center"/>
          </w:tcPr>
          <w:p w14:paraId="3752AB62" w14:textId="77777777" w:rsidR="004E6452" w:rsidRPr="001570EA" w:rsidRDefault="004E6452">
            <w:pPr>
              <w:jc w:val="center"/>
              <w:rPr>
                <w:rFonts w:cs="Arial"/>
                <w:color w:val="000000"/>
                <w:sz w:val="18"/>
                <w:szCs w:val="18"/>
              </w:rPr>
            </w:pPr>
            <w:r w:rsidRPr="001570EA">
              <w:rPr>
                <w:rFonts w:cs="Arial"/>
                <w:bCs/>
                <w:color w:val="000000"/>
                <w:sz w:val="18"/>
                <w:szCs w:val="18"/>
              </w:rPr>
              <w:t>731</w:t>
            </w:r>
          </w:p>
        </w:tc>
        <w:tc>
          <w:tcPr>
            <w:tcW w:w="630" w:type="dxa"/>
            <w:tcBorders>
              <w:top w:val="nil"/>
              <w:left w:val="nil"/>
              <w:bottom w:val="single" w:sz="4" w:space="0" w:color="auto"/>
              <w:right w:val="single" w:sz="4" w:space="0" w:color="auto"/>
            </w:tcBorders>
            <w:shd w:val="clear" w:color="auto" w:fill="auto"/>
            <w:vAlign w:val="center"/>
          </w:tcPr>
          <w:p w14:paraId="7985A657" w14:textId="77777777" w:rsidR="004E6452" w:rsidRPr="001570EA" w:rsidRDefault="004E6452">
            <w:pPr>
              <w:jc w:val="center"/>
              <w:rPr>
                <w:rFonts w:cs="Arial"/>
                <w:color w:val="000000"/>
                <w:sz w:val="18"/>
                <w:szCs w:val="18"/>
              </w:rPr>
            </w:pPr>
            <w:r w:rsidRPr="001570EA">
              <w:rPr>
                <w:rFonts w:cs="Arial"/>
                <w:bCs/>
                <w:color w:val="000000"/>
                <w:sz w:val="18"/>
                <w:szCs w:val="18"/>
              </w:rPr>
              <w:t>756</w:t>
            </w:r>
          </w:p>
        </w:tc>
        <w:tc>
          <w:tcPr>
            <w:tcW w:w="630" w:type="dxa"/>
            <w:tcBorders>
              <w:top w:val="nil"/>
              <w:left w:val="nil"/>
              <w:bottom w:val="single" w:sz="4" w:space="0" w:color="auto"/>
              <w:right w:val="single" w:sz="4" w:space="0" w:color="auto"/>
            </w:tcBorders>
            <w:shd w:val="clear" w:color="auto" w:fill="auto"/>
            <w:vAlign w:val="center"/>
          </w:tcPr>
          <w:p w14:paraId="174B4C59" w14:textId="77777777" w:rsidR="004E6452" w:rsidRPr="001570EA" w:rsidRDefault="004E6452">
            <w:pPr>
              <w:jc w:val="center"/>
              <w:rPr>
                <w:rFonts w:cs="Arial"/>
                <w:color w:val="000000"/>
                <w:sz w:val="18"/>
                <w:szCs w:val="18"/>
              </w:rPr>
            </w:pPr>
            <w:r w:rsidRPr="001570EA">
              <w:rPr>
                <w:rFonts w:cs="Arial"/>
                <w:bCs/>
                <w:color w:val="000000"/>
                <w:sz w:val="18"/>
                <w:szCs w:val="18"/>
              </w:rPr>
              <w:t>781</w:t>
            </w:r>
          </w:p>
        </w:tc>
        <w:tc>
          <w:tcPr>
            <w:tcW w:w="630" w:type="dxa"/>
            <w:tcBorders>
              <w:top w:val="nil"/>
              <w:left w:val="nil"/>
              <w:bottom w:val="single" w:sz="4" w:space="0" w:color="auto"/>
              <w:right w:val="single" w:sz="4" w:space="0" w:color="auto"/>
            </w:tcBorders>
            <w:shd w:val="clear" w:color="auto" w:fill="auto"/>
            <w:vAlign w:val="center"/>
          </w:tcPr>
          <w:p w14:paraId="3EBCA5CF" w14:textId="77777777" w:rsidR="004E6452" w:rsidRPr="001570EA" w:rsidRDefault="004E6452">
            <w:pPr>
              <w:jc w:val="center"/>
              <w:rPr>
                <w:rFonts w:cs="Arial"/>
                <w:color w:val="000000"/>
                <w:sz w:val="18"/>
                <w:szCs w:val="18"/>
              </w:rPr>
            </w:pPr>
            <w:r w:rsidRPr="001570EA">
              <w:rPr>
                <w:rFonts w:cs="Arial"/>
                <w:bCs/>
                <w:color w:val="000000"/>
                <w:sz w:val="18"/>
                <w:szCs w:val="18"/>
              </w:rPr>
              <w:t>979</w:t>
            </w:r>
          </w:p>
        </w:tc>
      </w:tr>
      <w:tr w:rsidR="004E6452" w:rsidRPr="001570EA" w14:paraId="6C6452DC" w14:textId="77777777">
        <w:trPr>
          <w:trHeight w:val="289"/>
        </w:trPr>
        <w:tc>
          <w:tcPr>
            <w:tcW w:w="895" w:type="dxa"/>
            <w:tcBorders>
              <w:top w:val="nil"/>
              <w:left w:val="single" w:sz="8" w:space="0" w:color="auto"/>
              <w:bottom w:val="single" w:sz="4" w:space="0" w:color="auto"/>
              <w:right w:val="single" w:sz="8" w:space="0" w:color="auto"/>
            </w:tcBorders>
            <w:shd w:val="clear" w:color="auto" w:fill="BFBFBF" w:themeFill="background1" w:themeFillShade="BF"/>
            <w:noWrap/>
            <w:vAlign w:val="center"/>
            <w:hideMark/>
          </w:tcPr>
          <w:p w14:paraId="1ECD8F67" w14:textId="77777777" w:rsidR="004E6452" w:rsidRPr="001570EA" w:rsidRDefault="004E6452">
            <w:pPr>
              <w:jc w:val="center"/>
              <w:rPr>
                <w:rFonts w:cs="Arial"/>
                <w:b/>
                <w:color w:val="000000"/>
                <w:sz w:val="18"/>
                <w:szCs w:val="18"/>
              </w:rPr>
            </w:pPr>
            <w:r w:rsidRPr="001570EA">
              <w:rPr>
                <w:rFonts w:cs="Arial"/>
                <w:b/>
                <w:bCs/>
                <w:color w:val="000000"/>
                <w:sz w:val="18"/>
                <w:szCs w:val="18"/>
              </w:rPr>
              <w:t>E</w:t>
            </w:r>
          </w:p>
        </w:tc>
        <w:tc>
          <w:tcPr>
            <w:tcW w:w="1350" w:type="dxa"/>
            <w:tcBorders>
              <w:top w:val="nil"/>
              <w:left w:val="nil"/>
              <w:bottom w:val="single" w:sz="4" w:space="0" w:color="auto"/>
              <w:right w:val="single" w:sz="8" w:space="0" w:color="auto"/>
            </w:tcBorders>
            <w:shd w:val="clear" w:color="auto" w:fill="auto"/>
            <w:noWrap/>
            <w:vAlign w:val="center"/>
            <w:hideMark/>
          </w:tcPr>
          <w:p w14:paraId="4F0330A4" w14:textId="77777777" w:rsidR="004E6452" w:rsidRPr="001570EA" w:rsidRDefault="004E6452">
            <w:pPr>
              <w:rPr>
                <w:rFonts w:cs="Arial"/>
                <w:color w:val="000000"/>
                <w:sz w:val="18"/>
                <w:szCs w:val="18"/>
              </w:rPr>
            </w:pPr>
            <w:r w:rsidRPr="001570EA">
              <w:rPr>
                <w:rFonts w:cs="Arial"/>
                <w:b/>
                <w:bCs/>
                <w:color w:val="000000"/>
                <w:sz w:val="18"/>
                <w:szCs w:val="18"/>
              </w:rPr>
              <w:t>Harrisburg</w:t>
            </w:r>
          </w:p>
        </w:tc>
        <w:tc>
          <w:tcPr>
            <w:tcW w:w="610" w:type="dxa"/>
            <w:tcBorders>
              <w:top w:val="nil"/>
              <w:left w:val="nil"/>
              <w:bottom w:val="single" w:sz="4" w:space="0" w:color="auto"/>
              <w:right w:val="single" w:sz="4" w:space="0" w:color="auto"/>
            </w:tcBorders>
            <w:shd w:val="clear" w:color="auto" w:fill="auto"/>
            <w:noWrap/>
            <w:vAlign w:val="center"/>
            <w:hideMark/>
          </w:tcPr>
          <w:p w14:paraId="486DF5B2" w14:textId="77777777" w:rsidR="004E6452" w:rsidRPr="001570EA" w:rsidRDefault="004E6452">
            <w:pPr>
              <w:jc w:val="center"/>
              <w:rPr>
                <w:rFonts w:cs="Arial"/>
                <w:color w:val="000000"/>
                <w:sz w:val="18"/>
                <w:szCs w:val="18"/>
              </w:rPr>
            </w:pPr>
            <w:r w:rsidRPr="001570EA">
              <w:rPr>
                <w:rFonts w:cs="Arial"/>
                <w:bCs/>
                <w:color w:val="000000"/>
                <w:sz w:val="18"/>
                <w:szCs w:val="18"/>
              </w:rPr>
              <w:t>656</w:t>
            </w:r>
          </w:p>
        </w:tc>
        <w:tc>
          <w:tcPr>
            <w:tcW w:w="683" w:type="dxa"/>
            <w:tcBorders>
              <w:top w:val="nil"/>
              <w:left w:val="nil"/>
              <w:bottom w:val="single" w:sz="4" w:space="0" w:color="auto"/>
              <w:right w:val="single" w:sz="4" w:space="0" w:color="auto"/>
            </w:tcBorders>
            <w:shd w:val="clear" w:color="auto" w:fill="auto"/>
            <w:noWrap/>
            <w:vAlign w:val="center"/>
            <w:hideMark/>
          </w:tcPr>
          <w:p w14:paraId="3D7779A4" w14:textId="77777777" w:rsidR="004E6452" w:rsidRPr="001570EA" w:rsidRDefault="004E6452">
            <w:pPr>
              <w:jc w:val="center"/>
              <w:rPr>
                <w:rFonts w:cs="Arial"/>
                <w:color w:val="000000"/>
                <w:sz w:val="18"/>
                <w:szCs w:val="18"/>
              </w:rPr>
            </w:pPr>
            <w:r w:rsidRPr="001570EA">
              <w:rPr>
                <w:rFonts w:cs="Arial"/>
                <w:bCs/>
                <w:color w:val="000000"/>
                <w:sz w:val="18"/>
                <w:szCs w:val="18"/>
              </w:rPr>
              <w:t>686</w:t>
            </w:r>
          </w:p>
        </w:tc>
        <w:tc>
          <w:tcPr>
            <w:tcW w:w="681" w:type="dxa"/>
            <w:tcBorders>
              <w:top w:val="nil"/>
              <w:left w:val="nil"/>
              <w:bottom w:val="single" w:sz="4" w:space="0" w:color="auto"/>
              <w:right w:val="single" w:sz="4" w:space="0" w:color="auto"/>
            </w:tcBorders>
            <w:shd w:val="clear" w:color="auto" w:fill="auto"/>
            <w:noWrap/>
            <w:vAlign w:val="center"/>
            <w:hideMark/>
          </w:tcPr>
          <w:p w14:paraId="2B826976" w14:textId="77777777" w:rsidR="004E6452" w:rsidRPr="001570EA" w:rsidRDefault="004E6452">
            <w:pPr>
              <w:jc w:val="center"/>
              <w:rPr>
                <w:rFonts w:cs="Arial"/>
                <w:color w:val="000000"/>
                <w:sz w:val="18"/>
                <w:szCs w:val="18"/>
              </w:rPr>
            </w:pPr>
            <w:r w:rsidRPr="001570EA">
              <w:rPr>
                <w:rFonts w:cs="Arial"/>
                <w:bCs/>
                <w:color w:val="000000"/>
                <w:sz w:val="18"/>
                <w:szCs w:val="18"/>
              </w:rPr>
              <w:t>715</w:t>
            </w:r>
          </w:p>
        </w:tc>
        <w:tc>
          <w:tcPr>
            <w:tcW w:w="636" w:type="dxa"/>
            <w:tcBorders>
              <w:top w:val="nil"/>
              <w:left w:val="nil"/>
              <w:bottom w:val="single" w:sz="4" w:space="0" w:color="auto"/>
              <w:right w:val="single" w:sz="4" w:space="0" w:color="auto"/>
            </w:tcBorders>
            <w:shd w:val="clear" w:color="auto" w:fill="auto"/>
            <w:noWrap/>
            <w:vAlign w:val="center"/>
            <w:hideMark/>
          </w:tcPr>
          <w:p w14:paraId="4514A863" w14:textId="77777777" w:rsidR="004E6452" w:rsidRPr="001570EA" w:rsidRDefault="004E6452">
            <w:pPr>
              <w:jc w:val="center"/>
              <w:rPr>
                <w:rFonts w:cs="Arial"/>
                <w:color w:val="000000"/>
                <w:sz w:val="18"/>
                <w:szCs w:val="18"/>
              </w:rPr>
            </w:pPr>
            <w:r w:rsidRPr="001570EA">
              <w:rPr>
                <w:rFonts w:cs="Arial"/>
                <w:bCs/>
                <w:color w:val="000000"/>
                <w:sz w:val="18"/>
                <w:szCs w:val="18"/>
              </w:rPr>
              <w:t>745</w:t>
            </w:r>
          </w:p>
        </w:tc>
        <w:tc>
          <w:tcPr>
            <w:tcW w:w="630" w:type="dxa"/>
            <w:tcBorders>
              <w:top w:val="nil"/>
              <w:left w:val="nil"/>
              <w:bottom w:val="single" w:sz="4" w:space="0" w:color="auto"/>
              <w:right w:val="single" w:sz="4" w:space="0" w:color="auto"/>
            </w:tcBorders>
            <w:shd w:val="clear" w:color="auto" w:fill="auto"/>
            <w:noWrap/>
            <w:vAlign w:val="center"/>
            <w:hideMark/>
          </w:tcPr>
          <w:p w14:paraId="448CB39C" w14:textId="77777777" w:rsidR="004E6452" w:rsidRPr="001570EA" w:rsidRDefault="004E6452">
            <w:pPr>
              <w:jc w:val="center"/>
              <w:rPr>
                <w:rFonts w:cs="Arial"/>
                <w:color w:val="000000"/>
                <w:sz w:val="18"/>
                <w:szCs w:val="18"/>
              </w:rPr>
            </w:pPr>
            <w:r w:rsidRPr="001570EA">
              <w:rPr>
                <w:rFonts w:cs="Arial"/>
                <w:bCs/>
                <w:color w:val="000000"/>
                <w:sz w:val="18"/>
                <w:szCs w:val="18"/>
              </w:rPr>
              <w:t>774</w:t>
            </w:r>
          </w:p>
        </w:tc>
        <w:tc>
          <w:tcPr>
            <w:tcW w:w="630" w:type="dxa"/>
            <w:tcBorders>
              <w:top w:val="nil"/>
              <w:left w:val="nil"/>
              <w:bottom w:val="single" w:sz="4" w:space="0" w:color="auto"/>
              <w:right w:val="single" w:sz="4" w:space="0" w:color="auto"/>
            </w:tcBorders>
            <w:shd w:val="clear" w:color="auto" w:fill="auto"/>
            <w:vAlign w:val="center"/>
          </w:tcPr>
          <w:p w14:paraId="64D332C0" w14:textId="77777777" w:rsidR="004E6452" w:rsidRPr="001570EA" w:rsidRDefault="004E6452">
            <w:pPr>
              <w:jc w:val="center"/>
              <w:rPr>
                <w:rFonts w:cs="Arial"/>
                <w:color w:val="000000"/>
                <w:sz w:val="18"/>
                <w:szCs w:val="18"/>
              </w:rPr>
            </w:pPr>
            <w:r w:rsidRPr="001570EA">
              <w:rPr>
                <w:rFonts w:cs="Arial"/>
                <w:bCs/>
                <w:color w:val="000000"/>
                <w:sz w:val="18"/>
                <w:szCs w:val="18"/>
              </w:rPr>
              <w:t>804</w:t>
            </w:r>
          </w:p>
        </w:tc>
        <w:tc>
          <w:tcPr>
            <w:tcW w:w="630" w:type="dxa"/>
            <w:tcBorders>
              <w:top w:val="nil"/>
              <w:left w:val="nil"/>
              <w:bottom w:val="single" w:sz="4" w:space="0" w:color="auto"/>
              <w:right w:val="single" w:sz="4" w:space="0" w:color="auto"/>
            </w:tcBorders>
            <w:shd w:val="clear" w:color="auto" w:fill="auto"/>
            <w:vAlign w:val="center"/>
          </w:tcPr>
          <w:p w14:paraId="154EC9BE" w14:textId="77777777" w:rsidR="004E6452" w:rsidRPr="001570EA" w:rsidRDefault="004E6452">
            <w:pPr>
              <w:jc w:val="center"/>
              <w:rPr>
                <w:rFonts w:cs="Arial"/>
                <w:color w:val="000000"/>
                <w:sz w:val="18"/>
                <w:szCs w:val="18"/>
              </w:rPr>
            </w:pPr>
            <w:r w:rsidRPr="001570EA">
              <w:rPr>
                <w:rFonts w:cs="Arial"/>
                <w:bCs/>
                <w:color w:val="000000"/>
                <w:sz w:val="18"/>
                <w:szCs w:val="18"/>
              </w:rPr>
              <w:t>863</w:t>
            </w:r>
          </w:p>
        </w:tc>
        <w:tc>
          <w:tcPr>
            <w:tcW w:w="630" w:type="dxa"/>
            <w:tcBorders>
              <w:top w:val="nil"/>
              <w:left w:val="nil"/>
              <w:bottom w:val="single" w:sz="4" w:space="0" w:color="auto"/>
              <w:right w:val="single" w:sz="4" w:space="0" w:color="auto"/>
            </w:tcBorders>
            <w:shd w:val="clear" w:color="auto" w:fill="auto"/>
            <w:vAlign w:val="center"/>
          </w:tcPr>
          <w:p w14:paraId="0A9E3746" w14:textId="77777777" w:rsidR="004E6452" w:rsidRPr="001570EA" w:rsidRDefault="004E6452">
            <w:pPr>
              <w:jc w:val="center"/>
              <w:rPr>
                <w:rFonts w:cs="Arial"/>
                <w:color w:val="000000"/>
                <w:sz w:val="18"/>
                <w:szCs w:val="18"/>
              </w:rPr>
            </w:pPr>
            <w:r w:rsidRPr="001570EA">
              <w:rPr>
                <w:rFonts w:cs="Arial"/>
                <w:bCs/>
                <w:color w:val="000000"/>
                <w:sz w:val="18"/>
                <w:szCs w:val="18"/>
              </w:rPr>
              <w:t>892</w:t>
            </w:r>
          </w:p>
        </w:tc>
        <w:tc>
          <w:tcPr>
            <w:tcW w:w="630" w:type="dxa"/>
            <w:tcBorders>
              <w:top w:val="nil"/>
              <w:left w:val="nil"/>
              <w:bottom w:val="single" w:sz="4" w:space="0" w:color="auto"/>
              <w:right w:val="single" w:sz="4" w:space="0" w:color="auto"/>
            </w:tcBorders>
            <w:shd w:val="clear" w:color="auto" w:fill="auto"/>
            <w:vAlign w:val="center"/>
          </w:tcPr>
          <w:p w14:paraId="72BB2336" w14:textId="77777777" w:rsidR="004E6452" w:rsidRPr="001570EA" w:rsidRDefault="004E6452">
            <w:pPr>
              <w:jc w:val="center"/>
              <w:rPr>
                <w:rFonts w:cs="Arial"/>
                <w:color w:val="000000"/>
                <w:sz w:val="18"/>
                <w:szCs w:val="18"/>
              </w:rPr>
            </w:pPr>
            <w:r w:rsidRPr="001570EA">
              <w:rPr>
                <w:rFonts w:cs="Arial"/>
                <w:bCs/>
                <w:color w:val="000000"/>
                <w:sz w:val="18"/>
                <w:szCs w:val="18"/>
              </w:rPr>
              <w:t>922</w:t>
            </w:r>
          </w:p>
        </w:tc>
        <w:tc>
          <w:tcPr>
            <w:tcW w:w="630" w:type="dxa"/>
            <w:tcBorders>
              <w:top w:val="nil"/>
              <w:left w:val="nil"/>
              <w:bottom w:val="single" w:sz="4" w:space="0" w:color="auto"/>
              <w:right w:val="single" w:sz="4" w:space="0" w:color="auto"/>
            </w:tcBorders>
            <w:shd w:val="clear" w:color="auto" w:fill="auto"/>
            <w:vAlign w:val="center"/>
          </w:tcPr>
          <w:p w14:paraId="1042C3F5" w14:textId="77777777" w:rsidR="004E6452" w:rsidRPr="001570EA" w:rsidRDefault="004E6452">
            <w:pPr>
              <w:jc w:val="center"/>
              <w:rPr>
                <w:rFonts w:cs="Arial"/>
                <w:color w:val="000000"/>
                <w:sz w:val="18"/>
                <w:szCs w:val="18"/>
              </w:rPr>
            </w:pPr>
            <w:r w:rsidRPr="001570EA">
              <w:rPr>
                <w:rFonts w:cs="Arial"/>
                <w:bCs/>
                <w:color w:val="000000"/>
                <w:sz w:val="18"/>
                <w:szCs w:val="18"/>
              </w:rPr>
              <w:t>1158</w:t>
            </w:r>
          </w:p>
        </w:tc>
      </w:tr>
      <w:tr w:rsidR="004E6452" w:rsidRPr="001570EA" w14:paraId="7BE5E7AD" w14:textId="77777777">
        <w:trPr>
          <w:trHeight w:val="289"/>
        </w:trPr>
        <w:tc>
          <w:tcPr>
            <w:tcW w:w="895" w:type="dxa"/>
            <w:tcBorders>
              <w:top w:val="nil"/>
              <w:left w:val="single" w:sz="8" w:space="0" w:color="auto"/>
              <w:bottom w:val="single" w:sz="4" w:space="0" w:color="auto"/>
              <w:right w:val="single" w:sz="8" w:space="0" w:color="auto"/>
            </w:tcBorders>
            <w:shd w:val="clear" w:color="auto" w:fill="BFBFBF" w:themeFill="background1" w:themeFillShade="BF"/>
            <w:noWrap/>
            <w:vAlign w:val="center"/>
            <w:hideMark/>
          </w:tcPr>
          <w:p w14:paraId="5FCBBF5A" w14:textId="77777777" w:rsidR="004E6452" w:rsidRPr="001570EA" w:rsidRDefault="004E6452">
            <w:pPr>
              <w:jc w:val="center"/>
              <w:rPr>
                <w:rFonts w:cs="Arial"/>
                <w:b/>
                <w:color w:val="000000"/>
                <w:sz w:val="18"/>
                <w:szCs w:val="18"/>
              </w:rPr>
            </w:pPr>
            <w:r w:rsidRPr="001570EA">
              <w:rPr>
                <w:rFonts w:cs="Arial"/>
                <w:b/>
                <w:bCs/>
                <w:color w:val="000000"/>
                <w:sz w:val="18"/>
                <w:szCs w:val="18"/>
              </w:rPr>
              <w:t>D</w:t>
            </w:r>
          </w:p>
        </w:tc>
        <w:tc>
          <w:tcPr>
            <w:tcW w:w="1350" w:type="dxa"/>
            <w:tcBorders>
              <w:top w:val="nil"/>
              <w:left w:val="nil"/>
              <w:bottom w:val="single" w:sz="4" w:space="0" w:color="auto"/>
              <w:right w:val="single" w:sz="8" w:space="0" w:color="auto"/>
            </w:tcBorders>
            <w:shd w:val="clear" w:color="auto" w:fill="auto"/>
            <w:noWrap/>
            <w:vAlign w:val="center"/>
            <w:hideMark/>
          </w:tcPr>
          <w:p w14:paraId="2678BC3C" w14:textId="77777777" w:rsidR="004E6452" w:rsidRPr="001570EA" w:rsidRDefault="004E6452">
            <w:pPr>
              <w:rPr>
                <w:rFonts w:cs="Arial"/>
                <w:color w:val="000000"/>
                <w:sz w:val="18"/>
                <w:szCs w:val="18"/>
              </w:rPr>
            </w:pPr>
            <w:r w:rsidRPr="001570EA">
              <w:rPr>
                <w:rFonts w:cs="Arial"/>
                <w:b/>
                <w:bCs/>
                <w:color w:val="000000"/>
                <w:sz w:val="18"/>
                <w:szCs w:val="18"/>
              </w:rPr>
              <w:t>Philadelphia</w:t>
            </w:r>
          </w:p>
        </w:tc>
        <w:tc>
          <w:tcPr>
            <w:tcW w:w="610" w:type="dxa"/>
            <w:tcBorders>
              <w:top w:val="nil"/>
              <w:left w:val="nil"/>
              <w:bottom w:val="single" w:sz="4" w:space="0" w:color="auto"/>
              <w:right w:val="single" w:sz="4" w:space="0" w:color="auto"/>
            </w:tcBorders>
            <w:shd w:val="clear" w:color="auto" w:fill="auto"/>
            <w:noWrap/>
            <w:vAlign w:val="center"/>
            <w:hideMark/>
          </w:tcPr>
          <w:p w14:paraId="00DA09CA" w14:textId="77777777" w:rsidR="004E6452" w:rsidRPr="001570EA" w:rsidRDefault="004E6452">
            <w:pPr>
              <w:jc w:val="center"/>
              <w:rPr>
                <w:rFonts w:cs="Arial"/>
                <w:color w:val="000000"/>
                <w:sz w:val="18"/>
                <w:szCs w:val="18"/>
              </w:rPr>
            </w:pPr>
            <w:r w:rsidRPr="001570EA">
              <w:rPr>
                <w:rFonts w:cs="Arial"/>
                <w:bCs/>
                <w:color w:val="000000"/>
                <w:sz w:val="18"/>
                <w:szCs w:val="18"/>
              </w:rPr>
              <w:t>726</w:t>
            </w:r>
          </w:p>
        </w:tc>
        <w:tc>
          <w:tcPr>
            <w:tcW w:w="683" w:type="dxa"/>
            <w:tcBorders>
              <w:top w:val="nil"/>
              <w:left w:val="nil"/>
              <w:bottom w:val="single" w:sz="4" w:space="0" w:color="auto"/>
              <w:right w:val="single" w:sz="4" w:space="0" w:color="auto"/>
            </w:tcBorders>
            <w:shd w:val="clear" w:color="auto" w:fill="auto"/>
            <w:noWrap/>
            <w:vAlign w:val="center"/>
            <w:hideMark/>
          </w:tcPr>
          <w:p w14:paraId="47B64281" w14:textId="77777777" w:rsidR="004E6452" w:rsidRPr="001570EA" w:rsidRDefault="004E6452">
            <w:pPr>
              <w:jc w:val="center"/>
              <w:rPr>
                <w:rFonts w:cs="Arial"/>
                <w:color w:val="000000"/>
                <w:sz w:val="18"/>
                <w:szCs w:val="18"/>
              </w:rPr>
            </w:pPr>
            <w:r w:rsidRPr="001570EA">
              <w:rPr>
                <w:rFonts w:cs="Arial"/>
                <w:bCs/>
                <w:color w:val="000000"/>
                <w:sz w:val="18"/>
                <w:szCs w:val="18"/>
              </w:rPr>
              <w:t>758</w:t>
            </w:r>
          </w:p>
        </w:tc>
        <w:tc>
          <w:tcPr>
            <w:tcW w:w="681" w:type="dxa"/>
            <w:tcBorders>
              <w:top w:val="nil"/>
              <w:left w:val="nil"/>
              <w:bottom w:val="single" w:sz="4" w:space="0" w:color="auto"/>
              <w:right w:val="single" w:sz="4" w:space="0" w:color="auto"/>
            </w:tcBorders>
            <w:shd w:val="clear" w:color="auto" w:fill="auto"/>
            <w:noWrap/>
            <w:vAlign w:val="center"/>
            <w:hideMark/>
          </w:tcPr>
          <w:p w14:paraId="36222A94" w14:textId="77777777" w:rsidR="004E6452" w:rsidRPr="001570EA" w:rsidRDefault="004E6452">
            <w:pPr>
              <w:jc w:val="center"/>
              <w:rPr>
                <w:rFonts w:cs="Arial"/>
                <w:color w:val="000000"/>
                <w:sz w:val="18"/>
                <w:szCs w:val="18"/>
              </w:rPr>
            </w:pPr>
            <w:r w:rsidRPr="001570EA">
              <w:rPr>
                <w:rFonts w:cs="Arial"/>
                <w:bCs/>
                <w:color w:val="000000"/>
                <w:sz w:val="18"/>
                <w:szCs w:val="18"/>
              </w:rPr>
              <w:t>791</w:t>
            </w:r>
          </w:p>
        </w:tc>
        <w:tc>
          <w:tcPr>
            <w:tcW w:w="636" w:type="dxa"/>
            <w:tcBorders>
              <w:top w:val="nil"/>
              <w:left w:val="nil"/>
              <w:bottom w:val="single" w:sz="4" w:space="0" w:color="auto"/>
              <w:right w:val="single" w:sz="4" w:space="0" w:color="auto"/>
            </w:tcBorders>
            <w:shd w:val="clear" w:color="auto" w:fill="auto"/>
            <w:noWrap/>
            <w:vAlign w:val="center"/>
            <w:hideMark/>
          </w:tcPr>
          <w:p w14:paraId="57C83B4B" w14:textId="77777777" w:rsidR="004E6452" w:rsidRPr="001570EA" w:rsidRDefault="004E6452">
            <w:pPr>
              <w:jc w:val="center"/>
              <w:rPr>
                <w:rFonts w:cs="Arial"/>
                <w:color w:val="000000"/>
                <w:sz w:val="18"/>
                <w:szCs w:val="18"/>
              </w:rPr>
            </w:pPr>
            <w:r w:rsidRPr="001570EA">
              <w:rPr>
                <w:rFonts w:cs="Arial"/>
                <w:bCs/>
                <w:color w:val="000000"/>
                <w:sz w:val="18"/>
                <w:szCs w:val="18"/>
              </w:rPr>
              <w:t>823</w:t>
            </w:r>
          </w:p>
        </w:tc>
        <w:tc>
          <w:tcPr>
            <w:tcW w:w="630" w:type="dxa"/>
            <w:tcBorders>
              <w:top w:val="nil"/>
              <w:left w:val="nil"/>
              <w:bottom w:val="single" w:sz="4" w:space="0" w:color="auto"/>
              <w:right w:val="single" w:sz="4" w:space="0" w:color="auto"/>
            </w:tcBorders>
            <w:shd w:val="clear" w:color="auto" w:fill="auto"/>
            <w:noWrap/>
            <w:vAlign w:val="center"/>
            <w:hideMark/>
          </w:tcPr>
          <w:p w14:paraId="379789AF" w14:textId="77777777" w:rsidR="004E6452" w:rsidRPr="001570EA" w:rsidRDefault="004E6452">
            <w:pPr>
              <w:jc w:val="center"/>
              <w:rPr>
                <w:rFonts w:cs="Arial"/>
                <w:color w:val="000000"/>
                <w:sz w:val="18"/>
                <w:szCs w:val="18"/>
              </w:rPr>
            </w:pPr>
            <w:r w:rsidRPr="001570EA">
              <w:rPr>
                <w:rFonts w:cs="Arial"/>
                <w:bCs/>
                <w:color w:val="000000"/>
                <w:sz w:val="18"/>
                <w:szCs w:val="18"/>
              </w:rPr>
              <w:t>856</w:t>
            </w:r>
          </w:p>
        </w:tc>
        <w:tc>
          <w:tcPr>
            <w:tcW w:w="630" w:type="dxa"/>
            <w:tcBorders>
              <w:top w:val="nil"/>
              <w:left w:val="nil"/>
              <w:bottom w:val="single" w:sz="4" w:space="0" w:color="auto"/>
              <w:right w:val="single" w:sz="4" w:space="0" w:color="auto"/>
            </w:tcBorders>
            <w:shd w:val="clear" w:color="auto" w:fill="auto"/>
            <w:vAlign w:val="center"/>
          </w:tcPr>
          <w:p w14:paraId="4B89C575" w14:textId="77777777" w:rsidR="004E6452" w:rsidRPr="001570EA" w:rsidRDefault="004E6452">
            <w:pPr>
              <w:jc w:val="center"/>
              <w:rPr>
                <w:rFonts w:cs="Arial"/>
                <w:color w:val="000000"/>
                <w:sz w:val="18"/>
                <w:szCs w:val="18"/>
              </w:rPr>
            </w:pPr>
            <w:r w:rsidRPr="001570EA">
              <w:rPr>
                <w:rFonts w:cs="Arial"/>
                <w:bCs/>
                <w:color w:val="000000"/>
                <w:sz w:val="18"/>
                <w:szCs w:val="18"/>
              </w:rPr>
              <w:t>888</w:t>
            </w:r>
          </w:p>
        </w:tc>
        <w:tc>
          <w:tcPr>
            <w:tcW w:w="630" w:type="dxa"/>
            <w:tcBorders>
              <w:top w:val="nil"/>
              <w:left w:val="nil"/>
              <w:bottom w:val="single" w:sz="4" w:space="0" w:color="auto"/>
              <w:right w:val="single" w:sz="4" w:space="0" w:color="auto"/>
            </w:tcBorders>
            <w:shd w:val="clear" w:color="auto" w:fill="auto"/>
            <w:vAlign w:val="center"/>
          </w:tcPr>
          <w:p w14:paraId="7F68ECE5" w14:textId="77777777" w:rsidR="004E6452" w:rsidRPr="001570EA" w:rsidRDefault="004E6452">
            <w:pPr>
              <w:jc w:val="center"/>
              <w:rPr>
                <w:rFonts w:cs="Arial"/>
                <w:color w:val="000000"/>
                <w:sz w:val="18"/>
                <w:szCs w:val="18"/>
              </w:rPr>
            </w:pPr>
            <w:r w:rsidRPr="001570EA">
              <w:rPr>
                <w:rFonts w:cs="Arial"/>
                <w:bCs/>
                <w:color w:val="000000"/>
                <w:sz w:val="18"/>
                <w:szCs w:val="18"/>
              </w:rPr>
              <w:t>954</w:t>
            </w:r>
          </w:p>
        </w:tc>
        <w:tc>
          <w:tcPr>
            <w:tcW w:w="630" w:type="dxa"/>
            <w:tcBorders>
              <w:top w:val="nil"/>
              <w:left w:val="nil"/>
              <w:bottom w:val="single" w:sz="4" w:space="0" w:color="auto"/>
              <w:right w:val="single" w:sz="4" w:space="0" w:color="auto"/>
            </w:tcBorders>
            <w:shd w:val="clear" w:color="auto" w:fill="auto"/>
            <w:vAlign w:val="center"/>
          </w:tcPr>
          <w:p w14:paraId="775513C2" w14:textId="77777777" w:rsidR="004E6452" w:rsidRPr="001570EA" w:rsidRDefault="004E6452">
            <w:pPr>
              <w:jc w:val="center"/>
              <w:rPr>
                <w:rFonts w:cs="Arial"/>
                <w:color w:val="000000"/>
                <w:sz w:val="18"/>
                <w:szCs w:val="18"/>
              </w:rPr>
            </w:pPr>
            <w:r w:rsidRPr="001570EA">
              <w:rPr>
                <w:rFonts w:cs="Arial"/>
                <w:bCs/>
                <w:color w:val="000000"/>
                <w:sz w:val="18"/>
                <w:szCs w:val="18"/>
              </w:rPr>
              <w:t>986</w:t>
            </w:r>
          </w:p>
        </w:tc>
        <w:tc>
          <w:tcPr>
            <w:tcW w:w="630" w:type="dxa"/>
            <w:tcBorders>
              <w:top w:val="nil"/>
              <w:left w:val="nil"/>
              <w:bottom w:val="single" w:sz="4" w:space="0" w:color="auto"/>
              <w:right w:val="single" w:sz="4" w:space="0" w:color="auto"/>
            </w:tcBorders>
            <w:shd w:val="clear" w:color="auto" w:fill="auto"/>
            <w:vAlign w:val="center"/>
          </w:tcPr>
          <w:p w14:paraId="15E40260" w14:textId="77777777" w:rsidR="004E6452" w:rsidRPr="001570EA" w:rsidRDefault="004E6452">
            <w:pPr>
              <w:jc w:val="center"/>
              <w:rPr>
                <w:rFonts w:cs="Arial"/>
                <w:color w:val="000000"/>
                <w:sz w:val="18"/>
                <w:szCs w:val="18"/>
              </w:rPr>
            </w:pPr>
            <w:r w:rsidRPr="001570EA">
              <w:rPr>
                <w:rFonts w:cs="Arial"/>
                <w:bCs/>
                <w:color w:val="000000"/>
                <w:sz w:val="18"/>
                <w:szCs w:val="18"/>
              </w:rPr>
              <w:t>1019</w:t>
            </w:r>
          </w:p>
        </w:tc>
        <w:tc>
          <w:tcPr>
            <w:tcW w:w="630" w:type="dxa"/>
            <w:tcBorders>
              <w:top w:val="nil"/>
              <w:left w:val="nil"/>
              <w:bottom w:val="single" w:sz="4" w:space="0" w:color="auto"/>
              <w:right w:val="single" w:sz="4" w:space="0" w:color="auto"/>
            </w:tcBorders>
            <w:shd w:val="clear" w:color="auto" w:fill="auto"/>
            <w:vAlign w:val="center"/>
          </w:tcPr>
          <w:p w14:paraId="673BCAF4" w14:textId="77777777" w:rsidR="004E6452" w:rsidRPr="001570EA" w:rsidRDefault="004E6452">
            <w:pPr>
              <w:jc w:val="center"/>
              <w:rPr>
                <w:rFonts w:cs="Arial"/>
                <w:color w:val="000000"/>
                <w:sz w:val="18"/>
                <w:szCs w:val="18"/>
              </w:rPr>
            </w:pPr>
            <w:r w:rsidRPr="001570EA">
              <w:rPr>
                <w:rFonts w:cs="Arial"/>
                <w:bCs/>
                <w:color w:val="000000"/>
                <w:sz w:val="18"/>
                <w:szCs w:val="18"/>
              </w:rPr>
              <w:t>1280</w:t>
            </w:r>
          </w:p>
        </w:tc>
      </w:tr>
      <w:tr w:rsidR="004E6452" w:rsidRPr="001570EA" w14:paraId="5714CF23" w14:textId="77777777">
        <w:trPr>
          <w:trHeight w:val="289"/>
        </w:trPr>
        <w:tc>
          <w:tcPr>
            <w:tcW w:w="895" w:type="dxa"/>
            <w:tcBorders>
              <w:top w:val="nil"/>
              <w:left w:val="single" w:sz="8" w:space="0" w:color="auto"/>
              <w:bottom w:val="single" w:sz="4" w:space="0" w:color="auto"/>
              <w:right w:val="single" w:sz="8" w:space="0" w:color="auto"/>
            </w:tcBorders>
            <w:shd w:val="clear" w:color="auto" w:fill="BFBFBF" w:themeFill="background1" w:themeFillShade="BF"/>
            <w:noWrap/>
            <w:vAlign w:val="center"/>
            <w:hideMark/>
          </w:tcPr>
          <w:p w14:paraId="3DF5CD69" w14:textId="77777777" w:rsidR="004E6452" w:rsidRPr="001570EA" w:rsidRDefault="004E6452">
            <w:pPr>
              <w:jc w:val="center"/>
              <w:rPr>
                <w:rFonts w:cs="Arial"/>
                <w:b/>
                <w:color w:val="000000"/>
                <w:sz w:val="18"/>
                <w:szCs w:val="18"/>
              </w:rPr>
            </w:pPr>
            <w:r w:rsidRPr="001570EA">
              <w:rPr>
                <w:rFonts w:cs="Arial"/>
                <w:b/>
                <w:bCs/>
                <w:color w:val="000000"/>
                <w:sz w:val="18"/>
                <w:szCs w:val="18"/>
              </w:rPr>
              <w:t>H</w:t>
            </w:r>
          </w:p>
        </w:tc>
        <w:tc>
          <w:tcPr>
            <w:tcW w:w="1350" w:type="dxa"/>
            <w:tcBorders>
              <w:top w:val="nil"/>
              <w:left w:val="nil"/>
              <w:bottom w:val="single" w:sz="4" w:space="0" w:color="auto"/>
              <w:right w:val="single" w:sz="8" w:space="0" w:color="auto"/>
            </w:tcBorders>
            <w:shd w:val="clear" w:color="auto" w:fill="auto"/>
            <w:noWrap/>
            <w:vAlign w:val="center"/>
            <w:hideMark/>
          </w:tcPr>
          <w:p w14:paraId="19D60ED6" w14:textId="77777777" w:rsidR="004E6452" w:rsidRPr="001570EA" w:rsidRDefault="004E6452">
            <w:pPr>
              <w:rPr>
                <w:rFonts w:cs="Arial"/>
                <w:color w:val="000000"/>
                <w:sz w:val="18"/>
                <w:szCs w:val="18"/>
              </w:rPr>
            </w:pPr>
            <w:r w:rsidRPr="001570EA">
              <w:rPr>
                <w:rFonts w:cs="Arial"/>
                <w:b/>
                <w:bCs/>
                <w:color w:val="000000"/>
                <w:sz w:val="18"/>
                <w:szCs w:val="18"/>
              </w:rPr>
              <w:t>Pittsburgh</w:t>
            </w:r>
          </w:p>
        </w:tc>
        <w:tc>
          <w:tcPr>
            <w:tcW w:w="610" w:type="dxa"/>
            <w:tcBorders>
              <w:top w:val="nil"/>
              <w:left w:val="nil"/>
              <w:bottom w:val="single" w:sz="4" w:space="0" w:color="auto"/>
              <w:right w:val="single" w:sz="4" w:space="0" w:color="auto"/>
            </w:tcBorders>
            <w:shd w:val="clear" w:color="auto" w:fill="auto"/>
            <w:noWrap/>
            <w:vAlign w:val="center"/>
            <w:hideMark/>
          </w:tcPr>
          <w:p w14:paraId="4403EB7A" w14:textId="77777777" w:rsidR="004E6452" w:rsidRPr="001570EA" w:rsidRDefault="004E6452">
            <w:pPr>
              <w:jc w:val="center"/>
              <w:rPr>
                <w:rFonts w:cs="Arial"/>
                <w:color w:val="000000"/>
                <w:sz w:val="18"/>
                <w:szCs w:val="18"/>
              </w:rPr>
            </w:pPr>
            <w:r w:rsidRPr="001570EA">
              <w:rPr>
                <w:rFonts w:cs="Arial"/>
                <w:bCs/>
                <w:color w:val="000000"/>
                <w:sz w:val="18"/>
                <w:szCs w:val="18"/>
              </w:rPr>
              <w:t>605</w:t>
            </w:r>
          </w:p>
        </w:tc>
        <w:tc>
          <w:tcPr>
            <w:tcW w:w="683" w:type="dxa"/>
            <w:tcBorders>
              <w:top w:val="nil"/>
              <w:left w:val="nil"/>
              <w:bottom w:val="single" w:sz="4" w:space="0" w:color="auto"/>
              <w:right w:val="single" w:sz="4" w:space="0" w:color="auto"/>
            </w:tcBorders>
            <w:shd w:val="clear" w:color="auto" w:fill="auto"/>
            <w:noWrap/>
            <w:vAlign w:val="center"/>
            <w:hideMark/>
          </w:tcPr>
          <w:p w14:paraId="656D88F3" w14:textId="77777777" w:rsidR="004E6452" w:rsidRPr="001570EA" w:rsidRDefault="004E6452">
            <w:pPr>
              <w:jc w:val="center"/>
              <w:rPr>
                <w:rFonts w:cs="Arial"/>
                <w:color w:val="000000"/>
                <w:sz w:val="18"/>
                <w:szCs w:val="18"/>
              </w:rPr>
            </w:pPr>
            <w:r w:rsidRPr="001570EA">
              <w:rPr>
                <w:rFonts w:cs="Arial"/>
                <w:bCs/>
                <w:color w:val="000000"/>
                <w:sz w:val="18"/>
                <w:szCs w:val="18"/>
              </w:rPr>
              <w:t>632</w:t>
            </w:r>
          </w:p>
        </w:tc>
        <w:tc>
          <w:tcPr>
            <w:tcW w:w="681" w:type="dxa"/>
            <w:tcBorders>
              <w:top w:val="nil"/>
              <w:left w:val="nil"/>
              <w:bottom w:val="single" w:sz="4" w:space="0" w:color="auto"/>
              <w:right w:val="single" w:sz="4" w:space="0" w:color="auto"/>
            </w:tcBorders>
            <w:shd w:val="clear" w:color="auto" w:fill="auto"/>
            <w:noWrap/>
            <w:vAlign w:val="center"/>
            <w:hideMark/>
          </w:tcPr>
          <w:p w14:paraId="362BC61E" w14:textId="77777777" w:rsidR="004E6452" w:rsidRPr="001570EA" w:rsidRDefault="004E6452">
            <w:pPr>
              <w:jc w:val="center"/>
              <w:rPr>
                <w:rFonts w:cs="Arial"/>
                <w:color w:val="000000"/>
                <w:sz w:val="18"/>
                <w:szCs w:val="18"/>
              </w:rPr>
            </w:pPr>
            <w:r w:rsidRPr="001570EA">
              <w:rPr>
                <w:rFonts w:cs="Arial"/>
                <w:bCs/>
                <w:color w:val="000000"/>
                <w:sz w:val="18"/>
                <w:szCs w:val="18"/>
              </w:rPr>
              <w:t>659</w:t>
            </w:r>
          </w:p>
        </w:tc>
        <w:tc>
          <w:tcPr>
            <w:tcW w:w="636" w:type="dxa"/>
            <w:tcBorders>
              <w:top w:val="nil"/>
              <w:left w:val="nil"/>
              <w:bottom w:val="single" w:sz="4" w:space="0" w:color="auto"/>
              <w:right w:val="single" w:sz="4" w:space="0" w:color="auto"/>
            </w:tcBorders>
            <w:shd w:val="clear" w:color="auto" w:fill="auto"/>
            <w:noWrap/>
            <w:vAlign w:val="center"/>
            <w:hideMark/>
          </w:tcPr>
          <w:p w14:paraId="485C3FB2" w14:textId="77777777" w:rsidR="004E6452" w:rsidRPr="001570EA" w:rsidRDefault="004E6452">
            <w:pPr>
              <w:jc w:val="center"/>
              <w:rPr>
                <w:rFonts w:cs="Arial"/>
                <w:color w:val="000000"/>
                <w:sz w:val="18"/>
                <w:szCs w:val="18"/>
              </w:rPr>
            </w:pPr>
            <w:r w:rsidRPr="001570EA">
              <w:rPr>
                <w:rFonts w:cs="Arial"/>
                <w:bCs/>
                <w:color w:val="000000"/>
                <w:sz w:val="18"/>
                <w:szCs w:val="18"/>
              </w:rPr>
              <w:t>686</w:t>
            </w:r>
          </w:p>
        </w:tc>
        <w:tc>
          <w:tcPr>
            <w:tcW w:w="630" w:type="dxa"/>
            <w:tcBorders>
              <w:top w:val="nil"/>
              <w:left w:val="nil"/>
              <w:bottom w:val="single" w:sz="4" w:space="0" w:color="auto"/>
              <w:right w:val="single" w:sz="4" w:space="0" w:color="auto"/>
            </w:tcBorders>
            <w:shd w:val="clear" w:color="auto" w:fill="auto"/>
            <w:noWrap/>
            <w:vAlign w:val="center"/>
            <w:hideMark/>
          </w:tcPr>
          <w:p w14:paraId="16045E7E" w14:textId="77777777" w:rsidR="004E6452" w:rsidRPr="001570EA" w:rsidRDefault="004E6452">
            <w:pPr>
              <w:jc w:val="center"/>
              <w:rPr>
                <w:rFonts w:cs="Arial"/>
                <w:color w:val="000000"/>
                <w:sz w:val="18"/>
                <w:szCs w:val="18"/>
              </w:rPr>
            </w:pPr>
            <w:r w:rsidRPr="001570EA">
              <w:rPr>
                <w:rFonts w:cs="Arial"/>
                <w:bCs/>
                <w:color w:val="000000"/>
                <w:sz w:val="18"/>
                <w:szCs w:val="18"/>
              </w:rPr>
              <w:t>713</w:t>
            </w:r>
          </w:p>
        </w:tc>
        <w:tc>
          <w:tcPr>
            <w:tcW w:w="630" w:type="dxa"/>
            <w:tcBorders>
              <w:top w:val="nil"/>
              <w:left w:val="nil"/>
              <w:bottom w:val="single" w:sz="4" w:space="0" w:color="auto"/>
              <w:right w:val="single" w:sz="4" w:space="0" w:color="auto"/>
            </w:tcBorders>
            <w:shd w:val="clear" w:color="auto" w:fill="auto"/>
            <w:vAlign w:val="center"/>
          </w:tcPr>
          <w:p w14:paraId="40A9BE8C" w14:textId="77777777" w:rsidR="004E6452" w:rsidRPr="001570EA" w:rsidRDefault="004E6452">
            <w:pPr>
              <w:jc w:val="center"/>
              <w:rPr>
                <w:rFonts w:cs="Arial"/>
                <w:color w:val="000000"/>
                <w:sz w:val="18"/>
                <w:szCs w:val="18"/>
              </w:rPr>
            </w:pPr>
            <w:r w:rsidRPr="001570EA">
              <w:rPr>
                <w:rFonts w:cs="Arial"/>
                <w:bCs/>
                <w:color w:val="000000"/>
                <w:sz w:val="18"/>
                <w:szCs w:val="18"/>
              </w:rPr>
              <w:t>740</w:t>
            </w:r>
          </w:p>
        </w:tc>
        <w:tc>
          <w:tcPr>
            <w:tcW w:w="630" w:type="dxa"/>
            <w:tcBorders>
              <w:top w:val="nil"/>
              <w:left w:val="nil"/>
              <w:bottom w:val="single" w:sz="4" w:space="0" w:color="auto"/>
              <w:right w:val="single" w:sz="4" w:space="0" w:color="auto"/>
            </w:tcBorders>
            <w:shd w:val="clear" w:color="auto" w:fill="auto"/>
            <w:vAlign w:val="center"/>
          </w:tcPr>
          <w:p w14:paraId="4AFFD23B" w14:textId="77777777" w:rsidR="004E6452" w:rsidRPr="001570EA" w:rsidRDefault="004E6452">
            <w:pPr>
              <w:jc w:val="center"/>
              <w:rPr>
                <w:rFonts w:cs="Arial"/>
                <w:color w:val="000000"/>
                <w:sz w:val="18"/>
                <w:szCs w:val="18"/>
              </w:rPr>
            </w:pPr>
            <w:r w:rsidRPr="001570EA">
              <w:rPr>
                <w:rFonts w:cs="Arial"/>
                <w:bCs/>
                <w:color w:val="000000"/>
                <w:sz w:val="18"/>
                <w:szCs w:val="18"/>
              </w:rPr>
              <w:t>795</w:t>
            </w:r>
          </w:p>
        </w:tc>
        <w:tc>
          <w:tcPr>
            <w:tcW w:w="630" w:type="dxa"/>
            <w:tcBorders>
              <w:top w:val="nil"/>
              <w:left w:val="nil"/>
              <w:bottom w:val="single" w:sz="4" w:space="0" w:color="auto"/>
              <w:right w:val="single" w:sz="4" w:space="0" w:color="auto"/>
            </w:tcBorders>
            <w:shd w:val="clear" w:color="auto" w:fill="auto"/>
            <w:vAlign w:val="center"/>
          </w:tcPr>
          <w:p w14:paraId="53310550" w14:textId="77777777" w:rsidR="004E6452" w:rsidRPr="001570EA" w:rsidRDefault="004E6452">
            <w:pPr>
              <w:jc w:val="center"/>
              <w:rPr>
                <w:rFonts w:cs="Arial"/>
                <w:color w:val="000000"/>
                <w:sz w:val="18"/>
                <w:szCs w:val="18"/>
              </w:rPr>
            </w:pPr>
            <w:r w:rsidRPr="001570EA">
              <w:rPr>
                <w:rFonts w:cs="Arial"/>
                <w:bCs/>
                <w:color w:val="000000"/>
                <w:sz w:val="18"/>
                <w:szCs w:val="18"/>
              </w:rPr>
              <w:t>822</w:t>
            </w:r>
          </w:p>
        </w:tc>
        <w:tc>
          <w:tcPr>
            <w:tcW w:w="630" w:type="dxa"/>
            <w:tcBorders>
              <w:top w:val="nil"/>
              <w:left w:val="nil"/>
              <w:bottom w:val="single" w:sz="4" w:space="0" w:color="auto"/>
              <w:right w:val="single" w:sz="4" w:space="0" w:color="auto"/>
            </w:tcBorders>
            <w:shd w:val="clear" w:color="auto" w:fill="auto"/>
            <w:vAlign w:val="center"/>
          </w:tcPr>
          <w:p w14:paraId="1AA5ACC6" w14:textId="77777777" w:rsidR="004E6452" w:rsidRPr="001570EA" w:rsidRDefault="004E6452">
            <w:pPr>
              <w:jc w:val="center"/>
              <w:rPr>
                <w:rFonts w:cs="Arial"/>
                <w:color w:val="000000"/>
                <w:sz w:val="18"/>
                <w:szCs w:val="18"/>
              </w:rPr>
            </w:pPr>
            <w:r w:rsidRPr="001570EA">
              <w:rPr>
                <w:rFonts w:cs="Arial"/>
                <w:bCs/>
                <w:color w:val="000000"/>
                <w:sz w:val="18"/>
                <w:szCs w:val="18"/>
              </w:rPr>
              <w:t>849</w:t>
            </w:r>
          </w:p>
        </w:tc>
        <w:tc>
          <w:tcPr>
            <w:tcW w:w="630" w:type="dxa"/>
            <w:tcBorders>
              <w:top w:val="nil"/>
              <w:left w:val="nil"/>
              <w:bottom w:val="single" w:sz="4" w:space="0" w:color="auto"/>
              <w:right w:val="single" w:sz="4" w:space="0" w:color="auto"/>
            </w:tcBorders>
            <w:shd w:val="clear" w:color="auto" w:fill="auto"/>
            <w:vAlign w:val="center"/>
          </w:tcPr>
          <w:p w14:paraId="60E1F22F" w14:textId="77777777" w:rsidR="004E6452" w:rsidRPr="001570EA" w:rsidRDefault="004E6452">
            <w:pPr>
              <w:jc w:val="center"/>
              <w:rPr>
                <w:rFonts w:cs="Arial"/>
                <w:color w:val="000000"/>
                <w:sz w:val="18"/>
                <w:szCs w:val="18"/>
              </w:rPr>
            </w:pPr>
            <w:r w:rsidRPr="001570EA">
              <w:rPr>
                <w:rFonts w:cs="Arial"/>
                <w:bCs/>
                <w:color w:val="000000"/>
                <w:sz w:val="18"/>
                <w:szCs w:val="18"/>
              </w:rPr>
              <w:t>1066</w:t>
            </w:r>
          </w:p>
        </w:tc>
      </w:tr>
      <w:tr w:rsidR="004E6452" w:rsidRPr="001570EA" w14:paraId="0098DF34" w14:textId="77777777">
        <w:trPr>
          <w:trHeight w:val="58"/>
        </w:trPr>
        <w:tc>
          <w:tcPr>
            <w:tcW w:w="895" w:type="dxa"/>
            <w:tcBorders>
              <w:top w:val="nil"/>
              <w:left w:val="single" w:sz="8" w:space="0" w:color="auto"/>
              <w:bottom w:val="single" w:sz="4" w:space="0" w:color="auto"/>
              <w:right w:val="single" w:sz="8" w:space="0" w:color="auto"/>
            </w:tcBorders>
            <w:shd w:val="clear" w:color="auto" w:fill="BFBFBF" w:themeFill="background1" w:themeFillShade="BF"/>
            <w:noWrap/>
            <w:vAlign w:val="center"/>
            <w:hideMark/>
          </w:tcPr>
          <w:p w14:paraId="545B584A" w14:textId="77777777" w:rsidR="004E6452" w:rsidRPr="001570EA" w:rsidRDefault="004E6452">
            <w:pPr>
              <w:jc w:val="center"/>
              <w:rPr>
                <w:rFonts w:cs="Arial"/>
                <w:b/>
                <w:color w:val="000000"/>
                <w:sz w:val="18"/>
                <w:szCs w:val="18"/>
              </w:rPr>
            </w:pPr>
            <w:r w:rsidRPr="001570EA">
              <w:rPr>
                <w:rFonts w:cs="Arial"/>
                <w:b/>
                <w:bCs/>
                <w:color w:val="000000"/>
                <w:sz w:val="18"/>
                <w:szCs w:val="18"/>
              </w:rPr>
              <w:t>B</w:t>
            </w:r>
          </w:p>
        </w:tc>
        <w:tc>
          <w:tcPr>
            <w:tcW w:w="1350" w:type="dxa"/>
            <w:tcBorders>
              <w:top w:val="nil"/>
              <w:left w:val="nil"/>
              <w:bottom w:val="single" w:sz="4" w:space="0" w:color="auto"/>
              <w:right w:val="single" w:sz="8" w:space="0" w:color="auto"/>
            </w:tcBorders>
            <w:shd w:val="clear" w:color="auto" w:fill="auto"/>
            <w:noWrap/>
            <w:vAlign w:val="center"/>
            <w:hideMark/>
          </w:tcPr>
          <w:p w14:paraId="4F570246" w14:textId="77777777" w:rsidR="004E6452" w:rsidRPr="001570EA" w:rsidRDefault="004E6452">
            <w:pPr>
              <w:rPr>
                <w:rFonts w:cs="Arial"/>
                <w:color w:val="000000"/>
                <w:sz w:val="18"/>
                <w:szCs w:val="18"/>
              </w:rPr>
            </w:pPr>
            <w:r w:rsidRPr="001570EA">
              <w:rPr>
                <w:rFonts w:cs="Arial"/>
                <w:b/>
                <w:bCs/>
                <w:color w:val="000000"/>
                <w:sz w:val="18"/>
                <w:szCs w:val="18"/>
              </w:rPr>
              <w:t>Scranton</w:t>
            </w:r>
          </w:p>
        </w:tc>
        <w:tc>
          <w:tcPr>
            <w:tcW w:w="610" w:type="dxa"/>
            <w:tcBorders>
              <w:top w:val="nil"/>
              <w:left w:val="nil"/>
              <w:bottom w:val="nil"/>
              <w:right w:val="single" w:sz="4" w:space="0" w:color="auto"/>
            </w:tcBorders>
            <w:shd w:val="clear" w:color="auto" w:fill="auto"/>
            <w:noWrap/>
            <w:vAlign w:val="center"/>
            <w:hideMark/>
          </w:tcPr>
          <w:p w14:paraId="57FF06C7" w14:textId="77777777" w:rsidR="004E6452" w:rsidRPr="001570EA" w:rsidRDefault="004E6452">
            <w:pPr>
              <w:jc w:val="center"/>
              <w:rPr>
                <w:rFonts w:cs="Arial"/>
                <w:color w:val="000000"/>
                <w:sz w:val="18"/>
                <w:szCs w:val="18"/>
              </w:rPr>
            </w:pPr>
            <w:r w:rsidRPr="001570EA">
              <w:rPr>
                <w:rFonts w:cs="Arial"/>
                <w:bCs/>
                <w:color w:val="000000"/>
                <w:sz w:val="18"/>
                <w:szCs w:val="18"/>
              </w:rPr>
              <w:t>577</w:t>
            </w:r>
          </w:p>
        </w:tc>
        <w:tc>
          <w:tcPr>
            <w:tcW w:w="683" w:type="dxa"/>
            <w:tcBorders>
              <w:top w:val="nil"/>
              <w:left w:val="nil"/>
              <w:bottom w:val="nil"/>
              <w:right w:val="single" w:sz="4" w:space="0" w:color="auto"/>
            </w:tcBorders>
            <w:shd w:val="clear" w:color="auto" w:fill="auto"/>
            <w:noWrap/>
            <w:vAlign w:val="center"/>
            <w:hideMark/>
          </w:tcPr>
          <w:p w14:paraId="6DB3E7D7" w14:textId="77777777" w:rsidR="004E6452" w:rsidRPr="001570EA" w:rsidRDefault="004E6452">
            <w:pPr>
              <w:jc w:val="center"/>
              <w:rPr>
                <w:rFonts w:cs="Arial"/>
                <w:color w:val="000000"/>
                <w:sz w:val="18"/>
                <w:szCs w:val="18"/>
              </w:rPr>
            </w:pPr>
            <w:r w:rsidRPr="001570EA">
              <w:rPr>
                <w:rFonts w:cs="Arial"/>
                <w:bCs/>
                <w:color w:val="000000"/>
                <w:sz w:val="18"/>
                <w:szCs w:val="18"/>
              </w:rPr>
              <w:t>603</w:t>
            </w:r>
          </w:p>
        </w:tc>
        <w:tc>
          <w:tcPr>
            <w:tcW w:w="681" w:type="dxa"/>
            <w:tcBorders>
              <w:top w:val="nil"/>
              <w:left w:val="nil"/>
              <w:bottom w:val="nil"/>
              <w:right w:val="single" w:sz="4" w:space="0" w:color="auto"/>
            </w:tcBorders>
            <w:shd w:val="clear" w:color="auto" w:fill="auto"/>
            <w:noWrap/>
            <w:vAlign w:val="center"/>
            <w:hideMark/>
          </w:tcPr>
          <w:p w14:paraId="29D2245C" w14:textId="77777777" w:rsidR="004E6452" w:rsidRPr="001570EA" w:rsidRDefault="004E6452">
            <w:pPr>
              <w:jc w:val="center"/>
              <w:rPr>
                <w:rFonts w:cs="Arial"/>
                <w:color w:val="000000"/>
                <w:sz w:val="18"/>
                <w:szCs w:val="18"/>
              </w:rPr>
            </w:pPr>
            <w:r w:rsidRPr="001570EA">
              <w:rPr>
                <w:rFonts w:cs="Arial"/>
                <w:bCs/>
                <w:color w:val="000000"/>
                <w:sz w:val="18"/>
                <w:szCs w:val="18"/>
              </w:rPr>
              <w:t>628</w:t>
            </w:r>
          </w:p>
        </w:tc>
        <w:tc>
          <w:tcPr>
            <w:tcW w:w="636" w:type="dxa"/>
            <w:tcBorders>
              <w:top w:val="nil"/>
              <w:left w:val="nil"/>
              <w:bottom w:val="nil"/>
              <w:right w:val="single" w:sz="4" w:space="0" w:color="auto"/>
            </w:tcBorders>
            <w:shd w:val="clear" w:color="auto" w:fill="auto"/>
            <w:noWrap/>
            <w:vAlign w:val="center"/>
            <w:hideMark/>
          </w:tcPr>
          <w:p w14:paraId="7DC99DA2" w14:textId="77777777" w:rsidR="004E6452" w:rsidRPr="001570EA" w:rsidRDefault="004E6452">
            <w:pPr>
              <w:jc w:val="center"/>
              <w:rPr>
                <w:rFonts w:cs="Arial"/>
                <w:color w:val="000000"/>
                <w:sz w:val="18"/>
                <w:szCs w:val="18"/>
              </w:rPr>
            </w:pPr>
            <w:r w:rsidRPr="001570EA">
              <w:rPr>
                <w:rFonts w:cs="Arial"/>
                <w:bCs/>
                <w:color w:val="000000"/>
                <w:sz w:val="18"/>
                <w:szCs w:val="18"/>
              </w:rPr>
              <w:t>654</w:t>
            </w:r>
          </w:p>
        </w:tc>
        <w:tc>
          <w:tcPr>
            <w:tcW w:w="630" w:type="dxa"/>
            <w:tcBorders>
              <w:top w:val="nil"/>
              <w:left w:val="nil"/>
              <w:bottom w:val="nil"/>
              <w:right w:val="single" w:sz="4" w:space="0" w:color="auto"/>
            </w:tcBorders>
            <w:shd w:val="clear" w:color="auto" w:fill="auto"/>
            <w:noWrap/>
            <w:vAlign w:val="center"/>
            <w:hideMark/>
          </w:tcPr>
          <w:p w14:paraId="3AB1433E" w14:textId="77777777" w:rsidR="004E6452" w:rsidRPr="001570EA" w:rsidRDefault="004E6452">
            <w:pPr>
              <w:jc w:val="center"/>
              <w:rPr>
                <w:rFonts w:cs="Arial"/>
                <w:color w:val="000000"/>
                <w:sz w:val="18"/>
                <w:szCs w:val="18"/>
              </w:rPr>
            </w:pPr>
            <w:r w:rsidRPr="001570EA">
              <w:rPr>
                <w:rFonts w:cs="Arial"/>
                <w:bCs/>
                <w:color w:val="000000"/>
                <w:sz w:val="18"/>
                <w:szCs w:val="18"/>
              </w:rPr>
              <w:t>680</w:t>
            </w:r>
          </w:p>
        </w:tc>
        <w:tc>
          <w:tcPr>
            <w:tcW w:w="630" w:type="dxa"/>
            <w:tcBorders>
              <w:top w:val="nil"/>
              <w:left w:val="nil"/>
              <w:bottom w:val="nil"/>
              <w:right w:val="single" w:sz="4" w:space="0" w:color="auto"/>
            </w:tcBorders>
            <w:shd w:val="clear" w:color="auto" w:fill="auto"/>
            <w:vAlign w:val="center"/>
          </w:tcPr>
          <w:p w14:paraId="3D6D70DF" w14:textId="77777777" w:rsidR="004E6452" w:rsidRPr="001570EA" w:rsidRDefault="004E6452">
            <w:pPr>
              <w:jc w:val="center"/>
              <w:rPr>
                <w:rFonts w:cs="Arial"/>
                <w:color w:val="000000"/>
                <w:sz w:val="18"/>
                <w:szCs w:val="18"/>
              </w:rPr>
            </w:pPr>
            <w:r w:rsidRPr="001570EA">
              <w:rPr>
                <w:rFonts w:cs="Arial"/>
                <w:bCs/>
                <w:color w:val="000000"/>
                <w:sz w:val="18"/>
                <w:szCs w:val="18"/>
              </w:rPr>
              <w:t>706</w:t>
            </w:r>
          </w:p>
        </w:tc>
        <w:tc>
          <w:tcPr>
            <w:tcW w:w="630" w:type="dxa"/>
            <w:tcBorders>
              <w:top w:val="nil"/>
              <w:left w:val="nil"/>
              <w:bottom w:val="nil"/>
              <w:right w:val="single" w:sz="4" w:space="0" w:color="auto"/>
            </w:tcBorders>
            <w:shd w:val="clear" w:color="auto" w:fill="auto"/>
            <w:vAlign w:val="center"/>
          </w:tcPr>
          <w:p w14:paraId="2A900290" w14:textId="77777777" w:rsidR="004E6452" w:rsidRPr="001570EA" w:rsidRDefault="004E6452">
            <w:pPr>
              <w:jc w:val="center"/>
              <w:rPr>
                <w:rFonts w:cs="Arial"/>
                <w:color w:val="000000"/>
                <w:sz w:val="18"/>
                <w:szCs w:val="18"/>
              </w:rPr>
            </w:pPr>
            <w:r w:rsidRPr="001570EA">
              <w:rPr>
                <w:rFonts w:cs="Arial"/>
                <w:bCs/>
                <w:color w:val="000000"/>
                <w:sz w:val="18"/>
                <w:szCs w:val="18"/>
              </w:rPr>
              <w:t>758</w:t>
            </w:r>
          </w:p>
        </w:tc>
        <w:tc>
          <w:tcPr>
            <w:tcW w:w="630" w:type="dxa"/>
            <w:tcBorders>
              <w:top w:val="nil"/>
              <w:left w:val="nil"/>
              <w:bottom w:val="nil"/>
              <w:right w:val="single" w:sz="4" w:space="0" w:color="auto"/>
            </w:tcBorders>
            <w:shd w:val="clear" w:color="auto" w:fill="auto"/>
            <w:vAlign w:val="center"/>
          </w:tcPr>
          <w:p w14:paraId="71BF2933" w14:textId="77777777" w:rsidR="004E6452" w:rsidRPr="001570EA" w:rsidRDefault="004E6452">
            <w:pPr>
              <w:jc w:val="center"/>
              <w:rPr>
                <w:rFonts w:cs="Arial"/>
                <w:color w:val="000000"/>
                <w:sz w:val="18"/>
                <w:szCs w:val="18"/>
              </w:rPr>
            </w:pPr>
            <w:r w:rsidRPr="001570EA">
              <w:rPr>
                <w:rFonts w:cs="Arial"/>
                <w:bCs/>
                <w:color w:val="000000"/>
                <w:sz w:val="18"/>
                <w:szCs w:val="18"/>
              </w:rPr>
              <w:t>784</w:t>
            </w:r>
          </w:p>
        </w:tc>
        <w:tc>
          <w:tcPr>
            <w:tcW w:w="630" w:type="dxa"/>
            <w:tcBorders>
              <w:top w:val="nil"/>
              <w:left w:val="nil"/>
              <w:bottom w:val="nil"/>
              <w:right w:val="single" w:sz="4" w:space="0" w:color="auto"/>
            </w:tcBorders>
            <w:shd w:val="clear" w:color="auto" w:fill="auto"/>
            <w:vAlign w:val="center"/>
          </w:tcPr>
          <w:p w14:paraId="4D9C7007" w14:textId="77777777" w:rsidR="004E6452" w:rsidRPr="001570EA" w:rsidRDefault="004E6452">
            <w:pPr>
              <w:jc w:val="center"/>
              <w:rPr>
                <w:rFonts w:cs="Arial"/>
                <w:color w:val="000000"/>
                <w:sz w:val="18"/>
                <w:szCs w:val="18"/>
              </w:rPr>
            </w:pPr>
            <w:r w:rsidRPr="001570EA">
              <w:rPr>
                <w:rFonts w:cs="Arial"/>
                <w:bCs/>
                <w:color w:val="000000"/>
                <w:sz w:val="18"/>
                <w:szCs w:val="18"/>
              </w:rPr>
              <w:t>810</w:t>
            </w:r>
          </w:p>
        </w:tc>
        <w:tc>
          <w:tcPr>
            <w:tcW w:w="630" w:type="dxa"/>
            <w:tcBorders>
              <w:top w:val="nil"/>
              <w:left w:val="nil"/>
              <w:bottom w:val="nil"/>
              <w:right w:val="single" w:sz="4" w:space="0" w:color="auto"/>
            </w:tcBorders>
            <w:shd w:val="clear" w:color="auto" w:fill="auto"/>
            <w:vAlign w:val="center"/>
          </w:tcPr>
          <w:p w14:paraId="0582A8F8" w14:textId="77777777" w:rsidR="004E6452" w:rsidRPr="001570EA" w:rsidRDefault="004E6452">
            <w:pPr>
              <w:jc w:val="center"/>
              <w:rPr>
                <w:rFonts w:cs="Arial"/>
                <w:color w:val="000000"/>
                <w:sz w:val="18"/>
                <w:szCs w:val="18"/>
              </w:rPr>
            </w:pPr>
            <w:r w:rsidRPr="001570EA">
              <w:rPr>
                <w:rFonts w:cs="Arial"/>
                <w:bCs/>
                <w:color w:val="000000"/>
                <w:sz w:val="18"/>
                <w:szCs w:val="18"/>
              </w:rPr>
              <w:t>1016</w:t>
            </w:r>
          </w:p>
        </w:tc>
      </w:tr>
      <w:tr w:rsidR="004E6452" w:rsidRPr="001570EA" w14:paraId="18BD8018" w14:textId="77777777">
        <w:trPr>
          <w:trHeight w:val="289"/>
        </w:trPr>
        <w:tc>
          <w:tcPr>
            <w:tcW w:w="895"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14:paraId="03B78EB5" w14:textId="77777777" w:rsidR="004E6452" w:rsidRPr="001570EA" w:rsidRDefault="004E6452">
            <w:pPr>
              <w:jc w:val="center"/>
              <w:rPr>
                <w:rFonts w:cs="Arial"/>
                <w:b/>
                <w:color w:val="000000"/>
                <w:sz w:val="18"/>
                <w:szCs w:val="18"/>
              </w:rPr>
            </w:pPr>
            <w:r w:rsidRPr="001570EA">
              <w:rPr>
                <w:rFonts w:cs="Arial"/>
                <w:b/>
                <w:bCs/>
                <w:color w:val="000000"/>
                <w:sz w:val="18"/>
                <w:szCs w:val="18"/>
              </w:rPr>
              <w:t>F</w:t>
            </w:r>
          </w:p>
        </w:tc>
        <w:tc>
          <w:tcPr>
            <w:tcW w:w="1350" w:type="dxa"/>
            <w:tcBorders>
              <w:top w:val="nil"/>
              <w:left w:val="nil"/>
              <w:bottom w:val="single" w:sz="8" w:space="0" w:color="auto"/>
              <w:right w:val="single" w:sz="8" w:space="0" w:color="auto"/>
            </w:tcBorders>
            <w:shd w:val="clear" w:color="auto" w:fill="auto"/>
            <w:noWrap/>
            <w:vAlign w:val="center"/>
            <w:hideMark/>
          </w:tcPr>
          <w:p w14:paraId="33EA6DCD" w14:textId="77777777" w:rsidR="004E6452" w:rsidRPr="001570EA" w:rsidRDefault="004E6452">
            <w:pPr>
              <w:rPr>
                <w:rFonts w:cs="Arial"/>
                <w:color w:val="000000"/>
                <w:sz w:val="18"/>
                <w:szCs w:val="18"/>
              </w:rPr>
            </w:pPr>
            <w:r w:rsidRPr="001570EA">
              <w:rPr>
                <w:rFonts w:cs="Arial"/>
                <w:b/>
                <w:bCs/>
                <w:color w:val="000000"/>
                <w:sz w:val="18"/>
                <w:szCs w:val="18"/>
              </w:rPr>
              <w:t>Williamsport</w:t>
            </w:r>
          </w:p>
        </w:tc>
        <w:tc>
          <w:tcPr>
            <w:tcW w:w="610" w:type="dxa"/>
            <w:tcBorders>
              <w:top w:val="single" w:sz="4" w:space="0" w:color="auto"/>
              <w:left w:val="nil"/>
              <w:bottom w:val="single" w:sz="8" w:space="0" w:color="auto"/>
              <w:right w:val="single" w:sz="4" w:space="0" w:color="auto"/>
            </w:tcBorders>
            <w:shd w:val="clear" w:color="auto" w:fill="auto"/>
            <w:noWrap/>
            <w:vAlign w:val="center"/>
            <w:hideMark/>
          </w:tcPr>
          <w:p w14:paraId="438331B7" w14:textId="77777777" w:rsidR="004E6452" w:rsidRPr="001570EA" w:rsidRDefault="004E6452">
            <w:pPr>
              <w:jc w:val="center"/>
              <w:rPr>
                <w:rFonts w:cs="Arial"/>
                <w:color w:val="000000"/>
                <w:sz w:val="18"/>
                <w:szCs w:val="18"/>
              </w:rPr>
            </w:pPr>
            <w:r w:rsidRPr="001570EA">
              <w:rPr>
                <w:rFonts w:cs="Arial"/>
                <w:bCs/>
                <w:color w:val="000000"/>
                <w:sz w:val="18"/>
                <w:szCs w:val="18"/>
              </w:rPr>
              <w:t>651</w:t>
            </w:r>
          </w:p>
        </w:tc>
        <w:tc>
          <w:tcPr>
            <w:tcW w:w="683" w:type="dxa"/>
            <w:tcBorders>
              <w:top w:val="single" w:sz="4" w:space="0" w:color="auto"/>
              <w:left w:val="nil"/>
              <w:bottom w:val="single" w:sz="8" w:space="0" w:color="auto"/>
              <w:right w:val="single" w:sz="4" w:space="0" w:color="auto"/>
            </w:tcBorders>
            <w:shd w:val="clear" w:color="auto" w:fill="auto"/>
            <w:noWrap/>
            <w:vAlign w:val="center"/>
            <w:hideMark/>
          </w:tcPr>
          <w:p w14:paraId="1B1704AC" w14:textId="77777777" w:rsidR="004E6452" w:rsidRPr="001570EA" w:rsidRDefault="004E6452">
            <w:pPr>
              <w:jc w:val="center"/>
              <w:rPr>
                <w:rFonts w:cs="Arial"/>
                <w:color w:val="000000"/>
                <w:sz w:val="18"/>
                <w:szCs w:val="18"/>
              </w:rPr>
            </w:pPr>
            <w:r w:rsidRPr="001570EA">
              <w:rPr>
                <w:rFonts w:cs="Arial"/>
                <w:bCs/>
                <w:color w:val="000000"/>
                <w:sz w:val="18"/>
                <w:szCs w:val="18"/>
              </w:rPr>
              <w:t>680</w:t>
            </w:r>
          </w:p>
        </w:tc>
        <w:tc>
          <w:tcPr>
            <w:tcW w:w="681" w:type="dxa"/>
            <w:tcBorders>
              <w:top w:val="single" w:sz="4" w:space="0" w:color="auto"/>
              <w:left w:val="nil"/>
              <w:bottom w:val="single" w:sz="8" w:space="0" w:color="auto"/>
              <w:right w:val="single" w:sz="4" w:space="0" w:color="auto"/>
            </w:tcBorders>
            <w:shd w:val="clear" w:color="auto" w:fill="auto"/>
            <w:noWrap/>
            <w:vAlign w:val="center"/>
            <w:hideMark/>
          </w:tcPr>
          <w:p w14:paraId="5D1B0BB5" w14:textId="77777777" w:rsidR="004E6452" w:rsidRPr="001570EA" w:rsidRDefault="004E6452">
            <w:pPr>
              <w:jc w:val="center"/>
              <w:rPr>
                <w:rFonts w:cs="Arial"/>
                <w:color w:val="000000"/>
                <w:sz w:val="18"/>
                <w:szCs w:val="18"/>
              </w:rPr>
            </w:pPr>
            <w:r w:rsidRPr="001570EA">
              <w:rPr>
                <w:rFonts w:cs="Arial"/>
                <w:bCs/>
                <w:color w:val="000000"/>
                <w:sz w:val="18"/>
                <w:szCs w:val="18"/>
              </w:rPr>
              <w:t>709</w:t>
            </w:r>
          </w:p>
        </w:tc>
        <w:tc>
          <w:tcPr>
            <w:tcW w:w="636" w:type="dxa"/>
            <w:tcBorders>
              <w:top w:val="single" w:sz="4" w:space="0" w:color="auto"/>
              <w:left w:val="nil"/>
              <w:bottom w:val="single" w:sz="8" w:space="0" w:color="auto"/>
              <w:right w:val="single" w:sz="4" w:space="0" w:color="auto"/>
            </w:tcBorders>
            <w:shd w:val="clear" w:color="auto" w:fill="auto"/>
            <w:noWrap/>
            <w:vAlign w:val="center"/>
            <w:hideMark/>
          </w:tcPr>
          <w:p w14:paraId="719CF4B2" w14:textId="77777777" w:rsidR="004E6452" w:rsidRPr="001570EA" w:rsidRDefault="004E6452">
            <w:pPr>
              <w:jc w:val="center"/>
              <w:rPr>
                <w:rFonts w:cs="Arial"/>
                <w:color w:val="000000"/>
                <w:sz w:val="18"/>
                <w:szCs w:val="18"/>
              </w:rPr>
            </w:pPr>
            <w:r w:rsidRPr="001570EA">
              <w:rPr>
                <w:rFonts w:cs="Arial"/>
                <w:bCs/>
                <w:color w:val="000000"/>
                <w:sz w:val="18"/>
                <w:szCs w:val="18"/>
              </w:rPr>
              <w:t>738</w:t>
            </w:r>
          </w:p>
        </w:tc>
        <w:tc>
          <w:tcPr>
            <w:tcW w:w="630" w:type="dxa"/>
            <w:tcBorders>
              <w:top w:val="single" w:sz="4" w:space="0" w:color="auto"/>
              <w:left w:val="nil"/>
              <w:bottom w:val="single" w:sz="8" w:space="0" w:color="auto"/>
              <w:right w:val="single" w:sz="4" w:space="0" w:color="auto"/>
            </w:tcBorders>
            <w:shd w:val="clear" w:color="auto" w:fill="auto"/>
            <w:noWrap/>
            <w:vAlign w:val="center"/>
            <w:hideMark/>
          </w:tcPr>
          <w:p w14:paraId="2D64379E" w14:textId="77777777" w:rsidR="004E6452" w:rsidRPr="001570EA" w:rsidRDefault="004E6452">
            <w:pPr>
              <w:jc w:val="center"/>
              <w:rPr>
                <w:rFonts w:cs="Arial"/>
                <w:color w:val="000000"/>
                <w:sz w:val="18"/>
                <w:szCs w:val="18"/>
              </w:rPr>
            </w:pPr>
            <w:r w:rsidRPr="001570EA">
              <w:rPr>
                <w:rFonts w:cs="Arial"/>
                <w:bCs/>
                <w:color w:val="000000"/>
                <w:sz w:val="18"/>
                <w:szCs w:val="18"/>
              </w:rPr>
              <w:t>767</w:t>
            </w:r>
          </w:p>
        </w:tc>
        <w:tc>
          <w:tcPr>
            <w:tcW w:w="630" w:type="dxa"/>
            <w:tcBorders>
              <w:top w:val="single" w:sz="4" w:space="0" w:color="auto"/>
              <w:left w:val="nil"/>
              <w:bottom w:val="single" w:sz="8" w:space="0" w:color="auto"/>
              <w:right w:val="single" w:sz="4" w:space="0" w:color="auto"/>
            </w:tcBorders>
            <w:shd w:val="clear" w:color="auto" w:fill="auto"/>
            <w:vAlign w:val="center"/>
          </w:tcPr>
          <w:p w14:paraId="78B6720D" w14:textId="77777777" w:rsidR="004E6452" w:rsidRPr="001570EA" w:rsidRDefault="004E6452">
            <w:pPr>
              <w:jc w:val="center"/>
              <w:rPr>
                <w:rFonts w:cs="Arial"/>
                <w:color w:val="000000"/>
                <w:sz w:val="18"/>
                <w:szCs w:val="18"/>
              </w:rPr>
            </w:pPr>
            <w:r w:rsidRPr="001570EA">
              <w:rPr>
                <w:rFonts w:cs="Arial"/>
                <w:bCs/>
                <w:color w:val="000000"/>
                <w:sz w:val="18"/>
                <w:szCs w:val="18"/>
              </w:rPr>
              <w:t>797</w:t>
            </w:r>
          </w:p>
        </w:tc>
        <w:tc>
          <w:tcPr>
            <w:tcW w:w="630" w:type="dxa"/>
            <w:tcBorders>
              <w:top w:val="single" w:sz="4" w:space="0" w:color="auto"/>
              <w:left w:val="nil"/>
              <w:bottom w:val="single" w:sz="8" w:space="0" w:color="auto"/>
              <w:right w:val="single" w:sz="4" w:space="0" w:color="auto"/>
            </w:tcBorders>
            <w:shd w:val="clear" w:color="auto" w:fill="auto"/>
            <w:vAlign w:val="center"/>
          </w:tcPr>
          <w:p w14:paraId="0A424BC5" w14:textId="77777777" w:rsidR="004E6452" w:rsidRPr="001570EA" w:rsidRDefault="004E6452">
            <w:pPr>
              <w:jc w:val="center"/>
              <w:rPr>
                <w:rFonts w:cs="Arial"/>
                <w:color w:val="000000"/>
                <w:sz w:val="18"/>
                <w:szCs w:val="18"/>
              </w:rPr>
            </w:pPr>
            <w:r w:rsidRPr="001570EA">
              <w:rPr>
                <w:rFonts w:cs="Arial"/>
                <w:bCs/>
                <w:color w:val="000000"/>
                <w:sz w:val="18"/>
                <w:szCs w:val="18"/>
              </w:rPr>
              <w:t>855</w:t>
            </w:r>
          </w:p>
        </w:tc>
        <w:tc>
          <w:tcPr>
            <w:tcW w:w="630" w:type="dxa"/>
            <w:tcBorders>
              <w:top w:val="single" w:sz="4" w:space="0" w:color="auto"/>
              <w:left w:val="nil"/>
              <w:bottom w:val="single" w:sz="8" w:space="0" w:color="auto"/>
              <w:right w:val="single" w:sz="4" w:space="0" w:color="auto"/>
            </w:tcBorders>
            <w:shd w:val="clear" w:color="auto" w:fill="auto"/>
            <w:vAlign w:val="center"/>
          </w:tcPr>
          <w:p w14:paraId="2C617F89" w14:textId="77777777" w:rsidR="004E6452" w:rsidRPr="001570EA" w:rsidRDefault="004E6452">
            <w:pPr>
              <w:jc w:val="center"/>
              <w:rPr>
                <w:rFonts w:cs="Arial"/>
                <w:color w:val="000000"/>
                <w:sz w:val="18"/>
                <w:szCs w:val="18"/>
              </w:rPr>
            </w:pPr>
            <w:r w:rsidRPr="001570EA">
              <w:rPr>
                <w:rFonts w:cs="Arial"/>
                <w:bCs/>
                <w:color w:val="000000"/>
                <w:sz w:val="18"/>
                <w:szCs w:val="18"/>
              </w:rPr>
              <w:t>884</w:t>
            </w:r>
          </w:p>
        </w:tc>
        <w:tc>
          <w:tcPr>
            <w:tcW w:w="630" w:type="dxa"/>
            <w:tcBorders>
              <w:top w:val="single" w:sz="4" w:space="0" w:color="auto"/>
              <w:left w:val="nil"/>
              <w:bottom w:val="single" w:sz="8" w:space="0" w:color="auto"/>
              <w:right w:val="single" w:sz="4" w:space="0" w:color="auto"/>
            </w:tcBorders>
            <w:shd w:val="clear" w:color="auto" w:fill="auto"/>
            <w:vAlign w:val="center"/>
          </w:tcPr>
          <w:p w14:paraId="336682BD" w14:textId="77777777" w:rsidR="004E6452" w:rsidRPr="001570EA" w:rsidRDefault="004E6452">
            <w:pPr>
              <w:jc w:val="center"/>
              <w:rPr>
                <w:rFonts w:cs="Arial"/>
                <w:color w:val="000000"/>
                <w:sz w:val="18"/>
                <w:szCs w:val="18"/>
              </w:rPr>
            </w:pPr>
            <w:r w:rsidRPr="001570EA">
              <w:rPr>
                <w:rFonts w:cs="Arial"/>
                <w:bCs/>
                <w:color w:val="000000"/>
                <w:sz w:val="18"/>
                <w:szCs w:val="18"/>
              </w:rPr>
              <w:t>913</w:t>
            </w:r>
          </w:p>
        </w:tc>
        <w:tc>
          <w:tcPr>
            <w:tcW w:w="630" w:type="dxa"/>
            <w:tcBorders>
              <w:top w:val="single" w:sz="4" w:space="0" w:color="auto"/>
              <w:left w:val="nil"/>
              <w:bottom w:val="single" w:sz="8" w:space="0" w:color="auto"/>
              <w:right w:val="single" w:sz="4" w:space="0" w:color="auto"/>
            </w:tcBorders>
            <w:shd w:val="clear" w:color="auto" w:fill="auto"/>
            <w:vAlign w:val="center"/>
          </w:tcPr>
          <w:p w14:paraId="7EB24993" w14:textId="77777777" w:rsidR="004E6452" w:rsidRPr="001570EA" w:rsidRDefault="004E6452">
            <w:pPr>
              <w:jc w:val="center"/>
              <w:rPr>
                <w:rFonts w:cs="Arial"/>
                <w:color w:val="000000"/>
                <w:sz w:val="18"/>
                <w:szCs w:val="18"/>
              </w:rPr>
            </w:pPr>
            <w:r w:rsidRPr="001570EA">
              <w:rPr>
                <w:rFonts w:cs="Arial"/>
                <w:bCs/>
                <w:color w:val="000000"/>
                <w:sz w:val="18"/>
                <w:szCs w:val="18"/>
              </w:rPr>
              <w:t>1146</w:t>
            </w:r>
          </w:p>
        </w:tc>
      </w:tr>
    </w:tbl>
    <w:p w14:paraId="38E7DD94" w14:textId="77777777" w:rsidR="004E6452" w:rsidRPr="001570EA" w:rsidRDefault="004E6452" w:rsidP="004E6452"/>
    <w:p w14:paraId="322C4DD5" w14:textId="77777777" w:rsidR="004E6452" w:rsidRPr="001570EA" w:rsidRDefault="004E6452" w:rsidP="004E6452">
      <w:r w:rsidRPr="001570EA">
        <w:t>The summer peak kW reduction for recycling a dehumidifier was taken to be equal to the peak demand of the existing unit. These results are presented in the following table:</w:t>
      </w:r>
    </w:p>
    <w:p w14:paraId="68B2C0C3" w14:textId="77777777" w:rsidR="004E6452" w:rsidRPr="001570EA" w:rsidRDefault="004E6452" w:rsidP="004E6452"/>
    <w:p w14:paraId="2C99F79F" w14:textId="4F2F60F3" w:rsidR="004E6452" w:rsidRPr="001570EA" w:rsidRDefault="004E6452" w:rsidP="004E6452">
      <w:pPr>
        <w:pStyle w:val="Caption"/>
        <w:jc w:val="left"/>
      </w:pPr>
      <w:bookmarkStart w:id="634" w:name="_Toc530141763"/>
      <w:bookmarkStart w:id="635" w:name="_Toc4759834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119</w:t>
      </w:r>
      <w:r w:rsidR="002E093A" w:rsidRPr="001570EA">
        <w:fldChar w:fldCharType="end"/>
      </w:r>
      <w:r w:rsidRPr="001570EA">
        <w:t>: Dehumidifier Retirement Peak Demand Reduction (kW)</w:t>
      </w:r>
      <w:bookmarkEnd w:id="634"/>
      <w:bookmarkEnd w:id="635"/>
    </w:p>
    <w:tbl>
      <w:tblPr>
        <w:tblStyle w:val="TableGrid"/>
        <w:tblW w:w="9175" w:type="dxa"/>
        <w:jc w:val="center"/>
        <w:tblLayout w:type="fixed"/>
        <w:tblLook w:val="04A0" w:firstRow="1" w:lastRow="0" w:firstColumn="1" w:lastColumn="0" w:noHBand="0" w:noVBand="1"/>
      </w:tblPr>
      <w:tblGrid>
        <w:gridCol w:w="985"/>
        <w:gridCol w:w="818"/>
        <w:gridCol w:w="810"/>
        <w:gridCol w:w="802"/>
        <w:gridCol w:w="900"/>
        <w:gridCol w:w="810"/>
        <w:gridCol w:w="810"/>
        <w:gridCol w:w="810"/>
        <w:gridCol w:w="810"/>
        <w:gridCol w:w="810"/>
        <w:gridCol w:w="810"/>
      </w:tblGrid>
      <w:tr w:rsidR="004E6452" w:rsidRPr="001570EA" w14:paraId="7FF6C671" w14:textId="77777777">
        <w:trPr>
          <w:jc w:val="center"/>
        </w:trPr>
        <w:tc>
          <w:tcPr>
            <w:tcW w:w="985" w:type="dxa"/>
            <w:shd w:val="clear" w:color="auto" w:fill="BFBFBF" w:themeFill="background1" w:themeFillShade="BF"/>
          </w:tcPr>
          <w:p w14:paraId="29BD4F20" w14:textId="77777777" w:rsidR="004E6452" w:rsidRPr="001570EA" w:rsidRDefault="004E6452">
            <w:pPr>
              <w:overflowPunct/>
              <w:autoSpaceDE/>
              <w:autoSpaceDN/>
              <w:adjustRightInd/>
              <w:jc w:val="right"/>
              <w:textAlignment w:val="auto"/>
              <w:rPr>
                <w:rFonts w:cs="Arial"/>
                <w:b/>
                <w:bCs/>
                <w:color w:val="000000"/>
                <w:sz w:val="18"/>
                <w:szCs w:val="18"/>
              </w:rPr>
            </w:pPr>
            <w:r w:rsidRPr="001570EA">
              <w:rPr>
                <w:rFonts w:cs="Arial"/>
                <w:b/>
                <w:sz w:val="18"/>
                <w:szCs w:val="18"/>
              </w:rPr>
              <w:t>Capacity</w:t>
            </w:r>
          </w:p>
        </w:tc>
        <w:tc>
          <w:tcPr>
            <w:tcW w:w="818" w:type="dxa"/>
            <w:shd w:val="clear" w:color="auto" w:fill="BFBFBF" w:themeFill="background1" w:themeFillShade="BF"/>
          </w:tcPr>
          <w:p w14:paraId="5E915996" w14:textId="77777777" w:rsidR="004E6452" w:rsidRPr="001570EA" w:rsidRDefault="004E6452">
            <w:pPr>
              <w:overflowPunct/>
              <w:autoSpaceDE/>
              <w:autoSpaceDN/>
              <w:adjustRightInd/>
              <w:jc w:val="center"/>
              <w:textAlignment w:val="auto"/>
              <w:rPr>
                <w:rFonts w:cs="Arial"/>
                <w:b/>
                <w:bCs/>
                <w:color w:val="000000"/>
                <w:sz w:val="18"/>
                <w:szCs w:val="18"/>
              </w:rPr>
            </w:pPr>
            <w:r w:rsidRPr="001570EA">
              <w:rPr>
                <w:rFonts w:cs="Arial"/>
                <w:b/>
                <w:sz w:val="18"/>
                <w:szCs w:val="18"/>
              </w:rPr>
              <w:t>25</w:t>
            </w:r>
          </w:p>
        </w:tc>
        <w:tc>
          <w:tcPr>
            <w:tcW w:w="810" w:type="dxa"/>
            <w:shd w:val="clear" w:color="auto" w:fill="BFBFBF" w:themeFill="background1" w:themeFillShade="BF"/>
          </w:tcPr>
          <w:p w14:paraId="0926BCF7" w14:textId="77777777" w:rsidR="004E6452" w:rsidRPr="001570EA" w:rsidRDefault="004E6452">
            <w:pPr>
              <w:overflowPunct/>
              <w:autoSpaceDE/>
              <w:autoSpaceDN/>
              <w:adjustRightInd/>
              <w:jc w:val="center"/>
              <w:textAlignment w:val="auto"/>
              <w:rPr>
                <w:rFonts w:cs="Arial"/>
                <w:b/>
                <w:bCs/>
                <w:color w:val="000000"/>
                <w:sz w:val="18"/>
                <w:szCs w:val="18"/>
              </w:rPr>
            </w:pPr>
            <w:r w:rsidRPr="001570EA">
              <w:rPr>
                <w:rFonts w:cs="Arial"/>
                <w:b/>
                <w:sz w:val="18"/>
                <w:szCs w:val="18"/>
              </w:rPr>
              <w:t>30</w:t>
            </w:r>
          </w:p>
        </w:tc>
        <w:tc>
          <w:tcPr>
            <w:tcW w:w="802" w:type="dxa"/>
            <w:shd w:val="clear" w:color="auto" w:fill="BFBFBF" w:themeFill="background1" w:themeFillShade="BF"/>
          </w:tcPr>
          <w:p w14:paraId="2E2C11AB" w14:textId="77777777" w:rsidR="004E6452" w:rsidRPr="001570EA" w:rsidRDefault="004E6452">
            <w:pPr>
              <w:overflowPunct/>
              <w:autoSpaceDE/>
              <w:autoSpaceDN/>
              <w:adjustRightInd/>
              <w:jc w:val="center"/>
              <w:textAlignment w:val="auto"/>
              <w:rPr>
                <w:rFonts w:cs="Arial"/>
                <w:b/>
                <w:bCs/>
                <w:color w:val="000000"/>
                <w:sz w:val="18"/>
                <w:szCs w:val="18"/>
              </w:rPr>
            </w:pPr>
            <w:r w:rsidRPr="001570EA">
              <w:rPr>
                <w:rFonts w:cs="Arial"/>
                <w:b/>
                <w:sz w:val="18"/>
                <w:szCs w:val="18"/>
              </w:rPr>
              <w:t>35</w:t>
            </w:r>
          </w:p>
        </w:tc>
        <w:tc>
          <w:tcPr>
            <w:tcW w:w="900" w:type="dxa"/>
            <w:shd w:val="clear" w:color="auto" w:fill="BFBFBF" w:themeFill="background1" w:themeFillShade="BF"/>
          </w:tcPr>
          <w:p w14:paraId="6BAEA0F7" w14:textId="77777777" w:rsidR="004E6452" w:rsidRPr="001570EA" w:rsidRDefault="004E6452">
            <w:pPr>
              <w:overflowPunct/>
              <w:autoSpaceDE/>
              <w:autoSpaceDN/>
              <w:adjustRightInd/>
              <w:jc w:val="center"/>
              <w:textAlignment w:val="auto"/>
              <w:rPr>
                <w:rFonts w:cs="Arial"/>
                <w:b/>
                <w:bCs/>
                <w:color w:val="000000"/>
                <w:sz w:val="18"/>
                <w:szCs w:val="18"/>
              </w:rPr>
            </w:pPr>
            <w:r w:rsidRPr="001570EA">
              <w:rPr>
                <w:rFonts w:cs="Arial"/>
                <w:b/>
                <w:sz w:val="18"/>
                <w:szCs w:val="18"/>
              </w:rPr>
              <w:t>40</w:t>
            </w:r>
          </w:p>
        </w:tc>
        <w:tc>
          <w:tcPr>
            <w:tcW w:w="810" w:type="dxa"/>
            <w:shd w:val="clear" w:color="auto" w:fill="BFBFBF" w:themeFill="background1" w:themeFillShade="BF"/>
          </w:tcPr>
          <w:p w14:paraId="25620763" w14:textId="77777777" w:rsidR="004E6452" w:rsidRPr="001570EA" w:rsidRDefault="004E6452">
            <w:pPr>
              <w:overflowPunct/>
              <w:autoSpaceDE/>
              <w:autoSpaceDN/>
              <w:adjustRightInd/>
              <w:jc w:val="center"/>
              <w:textAlignment w:val="auto"/>
              <w:rPr>
                <w:rFonts w:cs="Arial"/>
                <w:b/>
                <w:bCs/>
                <w:color w:val="000000"/>
                <w:sz w:val="18"/>
                <w:szCs w:val="18"/>
              </w:rPr>
            </w:pPr>
            <w:r w:rsidRPr="001570EA">
              <w:rPr>
                <w:rFonts w:cs="Arial"/>
                <w:b/>
                <w:sz w:val="18"/>
                <w:szCs w:val="18"/>
              </w:rPr>
              <w:t>45</w:t>
            </w:r>
          </w:p>
        </w:tc>
        <w:tc>
          <w:tcPr>
            <w:tcW w:w="810" w:type="dxa"/>
            <w:shd w:val="clear" w:color="auto" w:fill="BFBFBF" w:themeFill="background1" w:themeFillShade="BF"/>
          </w:tcPr>
          <w:p w14:paraId="3CC22AEB" w14:textId="77777777" w:rsidR="004E6452" w:rsidRPr="001570EA" w:rsidRDefault="004E6452">
            <w:pPr>
              <w:overflowPunct/>
              <w:autoSpaceDE/>
              <w:autoSpaceDN/>
              <w:adjustRightInd/>
              <w:jc w:val="center"/>
              <w:textAlignment w:val="auto"/>
              <w:rPr>
                <w:rFonts w:cs="Arial"/>
                <w:b/>
                <w:bCs/>
                <w:color w:val="000000"/>
                <w:sz w:val="18"/>
                <w:szCs w:val="18"/>
              </w:rPr>
            </w:pPr>
            <w:r w:rsidRPr="001570EA">
              <w:rPr>
                <w:rFonts w:cs="Arial"/>
                <w:b/>
                <w:sz w:val="18"/>
                <w:szCs w:val="18"/>
              </w:rPr>
              <w:t>50</w:t>
            </w:r>
          </w:p>
        </w:tc>
        <w:tc>
          <w:tcPr>
            <w:tcW w:w="810" w:type="dxa"/>
            <w:shd w:val="clear" w:color="auto" w:fill="BFBFBF" w:themeFill="background1" w:themeFillShade="BF"/>
          </w:tcPr>
          <w:p w14:paraId="7FF55DEC" w14:textId="77777777" w:rsidR="004E6452" w:rsidRPr="001570EA" w:rsidRDefault="004E6452">
            <w:pPr>
              <w:overflowPunct/>
              <w:autoSpaceDE/>
              <w:autoSpaceDN/>
              <w:adjustRightInd/>
              <w:jc w:val="center"/>
              <w:textAlignment w:val="auto"/>
              <w:rPr>
                <w:rFonts w:cs="Arial"/>
                <w:b/>
                <w:bCs/>
                <w:color w:val="000000"/>
                <w:sz w:val="18"/>
                <w:szCs w:val="18"/>
              </w:rPr>
            </w:pPr>
            <w:r w:rsidRPr="001570EA">
              <w:rPr>
                <w:rFonts w:cs="Arial"/>
                <w:b/>
                <w:sz w:val="18"/>
                <w:szCs w:val="18"/>
              </w:rPr>
              <w:t>60</w:t>
            </w:r>
          </w:p>
        </w:tc>
        <w:tc>
          <w:tcPr>
            <w:tcW w:w="810" w:type="dxa"/>
            <w:shd w:val="clear" w:color="auto" w:fill="BFBFBF" w:themeFill="background1" w:themeFillShade="BF"/>
          </w:tcPr>
          <w:p w14:paraId="03211DCD" w14:textId="77777777" w:rsidR="004E6452" w:rsidRPr="001570EA" w:rsidRDefault="004E6452">
            <w:pPr>
              <w:overflowPunct/>
              <w:autoSpaceDE/>
              <w:autoSpaceDN/>
              <w:adjustRightInd/>
              <w:jc w:val="center"/>
              <w:textAlignment w:val="auto"/>
              <w:rPr>
                <w:rFonts w:cs="Arial"/>
                <w:b/>
                <w:bCs/>
                <w:color w:val="000000"/>
                <w:sz w:val="18"/>
                <w:szCs w:val="18"/>
              </w:rPr>
            </w:pPr>
            <w:r w:rsidRPr="001570EA">
              <w:rPr>
                <w:rFonts w:cs="Arial"/>
                <w:b/>
                <w:sz w:val="18"/>
                <w:szCs w:val="18"/>
              </w:rPr>
              <w:t>65</w:t>
            </w:r>
          </w:p>
        </w:tc>
        <w:tc>
          <w:tcPr>
            <w:tcW w:w="810" w:type="dxa"/>
            <w:shd w:val="clear" w:color="auto" w:fill="BFBFBF" w:themeFill="background1" w:themeFillShade="BF"/>
          </w:tcPr>
          <w:p w14:paraId="2880E6B7" w14:textId="77777777" w:rsidR="004E6452" w:rsidRPr="001570EA" w:rsidRDefault="004E6452">
            <w:pPr>
              <w:overflowPunct/>
              <w:autoSpaceDE/>
              <w:autoSpaceDN/>
              <w:adjustRightInd/>
              <w:jc w:val="center"/>
              <w:textAlignment w:val="auto"/>
              <w:rPr>
                <w:rFonts w:cs="Arial"/>
                <w:b/>
                <w:bCs/>
                <w:color w:val="000000"/>
                <w:sz w:val="18"/>
                <w:szCs w:val="18"/>
              </w:rPr>
            </w:pPr>
            <w:r w:rsidRPr="001570EA">
              <w:rPr>
                <w:rFonts w:cs="Arial"/>
                <w:b/>
                <w:sz w:val="18"/>
                <w:szCs w:val="18"/>
              </w:rPr>
              <w:t>70</w:t>
            </w:r>
          </w:p>
        </w:tc>
        <w:tc>
          <w:tcPr>
            <w:tcW w:w="810" w:type="dxa"/>
            <w:shd w:val="clear" w:color="auto" w:fill="BFBFBF" w:themeFill="background1" w:themeFillShade="BF"/>
          </w:tcPr>
          <w:p w14:paraId="741FB885" w14:textId="77777777" w:rsidR="004E6452" w:rsidRPr="001570EA" w:rsidRDefault="004E6452">
            <w:pPr>
              <w:overflowPunct/>
              <w:autoSpaceDE/>
              <w:autoSpaceDN/>
              <w:adjustRightInd/>
              <w:jc w:val="center"/>
              <w:textAlignment w:val="auto"/>
              <w:rPr>
                <w:rFonts w:cs="Arial"/>
                <w:b/>
                <w:bCs/>
                <w:color w:val="000000"/>
                <w:sz w:val="18"/>
                <w:szCs w:val="18"/>
              </w:rPr>
            </w:pPr>
            <w:r w:rsidRPr="001570EA">
              <w:rPr>
                <w:rFonts w:cs="Arial"/>
                <w:b/>
                <w:sz w:val="18"/>
                <w:szCs w:val="18"/>
              </w:rPr>
              <w:t>110</w:t>
            </w:r>
          </w:p>
        </w:tc>
      </w:tr>
      <w:tr w:rsidR="004E6452" w:rsidRPr="001570EA" w14:paraId="1121624D" w14:textId="77777777">
        <w:trPr>
          <w:jc w:val="center"/>
        </w:trPr>
        <w:tc>
          <w:tcPr>
            <w:tcW w:w="985" w:type="dxa"/>
            <w:shd w:val="clear" w:color="auto" w:fill="BFBFBF" w:themeFill="background1" w:themeFillShade="BF"/>
          </w:tcPr>
          <w:p w14:paraId="3927CE45" w14:textId="77777777" w:rsidR="004E6452" w:rsidRPr="001570EA" w:rsidRDefault="004E6452">
            <w:pPr>
              <w:jc w:val="right"/>
              <w:rPr>
                <w:rFonts w:cs="Arial"/>
                <w:b/>
                <w:bCs/>
                <w:color w:val="000000"/>
                <w:sz w:val="18"/>
                <w:szCs w:val="18"/>
              </w:rPr>
            </w:pPr>
            <w:r w:rsidRPr="001570EA">
              <w:rPr>
                <w:rFonts w:cs="Arial"/>
                <w:b/>
                <w:sz w:val="18"/>
                <w:szCs w:val="18"/>
              </w:rPr>
              <w:t>kW</w:t>
            </w:r>
          </w:p>
        </w:tc>
        <w:tc>
          <w:tcPr>
            <w:tcW w:w="818" w:type="dxa"/>
          </w:tcPr>
          <w:p w14:paraId="4720F23A" w14:textId="77777777" w:rsidR="004E6452" w:rsidRPr="001570EA" w:rsidRDefault="004E6452">
            <w:pPr>
              <w:overflowPunct/>
              <w:autoSpaceDE/>
              <w:autoSpaceDN/>
              <w:adjustRightInd/>
              <w:jc w:val="right"/>
              <w:textAlignment w:val="auto"/>
              <w:rPr>
                <w:rFonts w:cs="Arial"/>
                <w:color w:val="000000"/>
                <w:sz w:val="18"/>
                <w:szCs w:val="18"/>
              </w:rPr>
            </w:pPr>
            <w:r w:rsidRPr="001570EA">
              <w:rPr>
                <w:rFonts w:cs="Arial"/>
                <w:sz w:val="18"/>
                <w:szCs w:val="18"/>
              </w:rPr>
              <w:t>0.1393</w:t>
            </w:r>
          </w:p>
        </w:tc>
        <w:tc>
          <w:tcPr>
            <w:tcW w:w="810" w:type="dxa"/>
          </w:tcPr>
          <w:p w14:paraId="55F967A5" w14:textId="77777777" w:rsidR="004E6452" w:rsidRPr="001570EA" w:rsidRDefault="004E6452">
            <w:pPr>
              <w:overflowPunct/>
              <w:autoSpaceDE/>
              <w:autoSpaceDN/>
              <w:adjustRightInd/>
              <w:jc w:val="right"/>
              <w:textAlignment w:val="auto"/>
              <w:rPr>
                <w:rFonts w:cs="Arial"/>
                <w:color w:val="000000"/>
                <w:sz w:val="18"/>
                <w:szCs w:val="18"/>
              </w:rPr>
            </w:pPr>
            <w:r w:rsidRPr="001570EA">
              <w:rPr>
                <w:rFonts w:cs="Arial"/>
                <w:sz w:val="18"/>
                <w:szCs w:val="18"/>
              </w:rPr>
              <w:t>0.1458</w:t>
            </w:r>
          </w:p>
        </w:tc>
        <w:tc>
          <w:tcPr>
            <w:tcW w:w="802" w:type="dxa"/>
          </w:tcPr>
          <w:p w14:paraId="5C0A1735" w14:textId="77777777" w:rsidR="004E6452" w:rsidRPr="001570EA" w:rsidRDefault="004E6452">
            <w:pPr>
              <w:overflowPunct/>
              <w:autoSpaceDE/>
              <w:autoSpaceDN/>
              <w:adjustRightInd/>
              <w:jc w:val="right"/>
              <w:textAlignment w:val="auto"/>
              <w:rPr>
                <w:rFonts w:cs="Arial"/>
                <w:color w:val="000000"/>
                <w:sz w:val="18"/>
                <w:szCs w:val="18"/>
              </w:rPr>
            </w:pPr>
            <w:r w:rsidRPr="001570EA">
              <w:rPr>
                <w:rFonts w:cs="Arial"/>
                <w:sz w:val="18"/>
                <w:szCs w:val="18"/>
              </w:rPr>
              <w:t>0.1523</w:t>
            </w:r>
          </w:p>
        </w:tc>
        <w:tc>
          <w:tcPr>
            <w:tcW w:w="900" w:type="dxa"/>
          </w:tcPr>
          <w:p w14:paraId="0A29262C" w14:textId="77777777" w:rsidR="004E6452" w:rsidRPr="001570EA" w:rsidRDefault="004E6452">
            <w:pPr>
              <w:overflowPunct/>
              <w:autoSpaceDE/>
              <w:autoSpaceDN/>
              <w:adjustRightInd/>
              <w:jc w:val="right"/>
              <w:textAlignment w:val="auto"/>
              <w:rPr>
                <w:rFonts w:cs="Arial"/>
                <w:color w:val="000000"/>
                <w:sz w:val="18"/>
                <w:szCs w:val="18"/>
              </w:rPr>
            </w:pPr>
            <w:r w:rsidRPr="001570EA">
              <w:rPr>
                <w:rFonts w:cs="Arial"/>
                <w:sz w:val="18"/>
                <w:szCs w:val="18"/>
              </w:rPr>
              <w:t>0.1588</w:t>
            </w:r>
          </w:p>
        </w:tc>
        <w:tc>
          <w:tcPr>
            <w:tcW w:w="810" w:type="dxa"/>
          </w:tcPr>
          <w:p w14:paraId="67AA1842" w14:textId="77777777" w:rsidR="004E6452" w:rsidRPr="001570EA" w:rsidRDefault="004E6452">
            <w:pPr>
              <w:overflowPunct/>
              <w:autoSpaceDE/>
              <w:autoSpaceDN/>
              <w:adjustRightInd/>
              <w:jc w:val="right"/>
              <w:textAlignment w:val="auto"/>
              <w:rPr>
                <w:rFonts w:cs="Arial"/>
                <w:color w:val="000000"/>
                <w:sz w:val="18"/>
                <w:szCs w:val="18"/>
              </w:rPr>
            </w:pPr>
            <w:r w:rsidRPr="001570EA">
              <w:rPr>
                <w:rFonts w:cs="Arial"/>
                <w:sz w:val="18"/>
                <w:szCs w:val="18"/>
              </w:rPr>
              <w:t>0.1653</w:t>
            </w:r>
          </w:p>
        </w:tc>
        <w:tc>
          <w:tcPr>
            <w:tcW w:w="810" w:type="dxa"/>
          </w:tcPr>
          <w:p w14:paraId="0371979D" w14:textId="77777777" w:rsidR="004E6452" w:rsidRPr="001570EA" w:rsidRDefault="004E6452">
            <w:pPr>
              <w:overflowPunct/>
              <w:autoSpaceDE/>
              <w:autoSpaceDN/>
              <w:adjustRightInd/>
              <w:jc w:val="right"/>
              <w:textAlignment w:val="auto"/>
              <w:rPr>
                <w:rFonts w:cs="Arial"/>
                <w:color w:val="000000"/>
                <w:sz w:val="18"/>
                <w:szCs w:val="18"/>
              </w:rPr>
            </w:pPr>
            <w:r w:rsidRPr="001570EA">
              <w:rPr>
                <w:rFonts w:cs="Arial"/>
                <w:sz w:val="18"/>
                <w:szCs w:val="18"/>
              </w:rPr>
              <w:t>0.1718</w:t>
            </w:r>
          </w:p>
        </w:tc>
        <w:tc>
          <w:tcPr>
            <w:tcW w:w="810" w:type="dxa"/>
          </w:tcPr>
          <w:p w14:paraId="37D20A46" w14:textId="77777777" w:rsidR="004E6452" w:rsidRPr="001570EA" w:rsidRDefault="004E6452">
            <w:pPr>
              <w:overflowPunct/>
              <w:autoSpaceDE/>
              <w:autoSpaceDN/>
              <w:adjustRightInd/>
              <w:jc w:val="right"/>
              <w:textAlignment w:val="auto"/>
              <w:rPr>
                <w:rFonts w:cs="Arial"/>
                <w:color w:val="000000"/>
                <w:sz w:val="18"/>
                <w:szCs w:val="18"/>
              </w:rPr>
            </w:pPr>
            <w:r w:rsidRPr="001570EA">
              <w:rPr>
                <w:rFonts w:cs="Arial"/>
                <w:sz w:val="18"/>
                <w:szCs w:val="18"/>
              </w:rPr>
              <w:t>0.1848</w:t>
            </w:r>
          </w:p>
        </w:tc>
        <w:tc>
          <w:tcPr>
            <w:tcW w:w="810" w:type="dxa"/>
          </w:tcPr>
          <w:p w14:paraId="0FE0E7AA" w14:textId="77777777" w:rsidR="004E6452" w:rsidRPr="001570EA" w:rsidRDefault="004E6452">
            <w:pPr>
              <w:overflowPunct/>
              <w:autoSpaceDE/>
              <w:autoSpaceDN/>
              <w:adjustRightInd/>
              <w:jc w:val="right"/>
              <w:textAlignment w:val="auto"/>
              <w:rPr>
                <w:rFonts w:cs="Arial"/>
                <w:color w:val="000000"/>
                <w:sz w:val="18"/>
                <w:szCs w:val="18"/>
              </w:rPr>
            </w:pPr>
            <w:r w:rsidRPr="001570EA">
              <w:rPr>
                <w:rFonts w:cs="Arial"/>
                <w:sz w:val="18"/>
                <w:szCs w:val="18"/>
              </w:rPr>
              <w:t>0.1913</w:t>
            </w:r>
          </w:p>
        </w:tc>
        <w:tc>
          <w:tcPr>
            <w:tcW w:w="810" w:type="dxa"/>
          </w:tcPr>
          <w:p w14:paraId="42241C21" w14:textId="77777777" w:rsidR="004E6452" w:rsidRPr="001570EA" w:rsidRDefault="004E6452">
            <w:pPr>
              <w:overflowPunct/>
              <w:autoSpaceDE/>
              <w:autoSpaceDN/>
              <w:adjustRightInd/>
              <w:jc w:val="right"/>
              <w:textAlignment w:val="auto"/>
              <w:rPr>
                <w:rFonts w:cs="Arial"/>
                <w:color w:val="000000"/>
                <w:sz w:val="18"/>
                <w:szCs w:val="18"/>
              </w:rPr>
            </w:pPr>
            <w:r w:rsidRPr="001570EA">
              <w:rPr>
                <w:rFonts w:cs="Arial"/>
                <w:sz w:val="18"/>
                <w:szCs w:val="18"/>
              </w:rPr>
              <w:t>0.1979</w:t>
            </w:r>
          </w:p>
        </w:tc>
        <w:tc>
          <w:tcPr>
            <w:tcW w:w="810" w:type="dxa"/>
          </w:tcPr>
          <w:p w14:paraId="7E5800BE" w14:textId="77777777" w:rsidR="004E6452" w:rsidRPr="001570EA" w:rsidRDefault="004E6452">
            <w:pPr>
              <w:overflowPunct/>
              <w:autoSpaceDE/>
              <w:autoSpaceDN/>
              <w:adjustRightInd/>
              <w:jc w:val="right"/>
              <w:textAlignment w:val="auto"/>
              <w:rPr>
                <w:rFonts w:cs="Arial"/>
                <w:color w:val="000000"/>
                <w:sz w:val="18"/>
                <w:szCs w:val="18"/>
              </w:rPr>
            </w:pPr>
            <w:r w:rsidRPr="001570EA">
              <w:rPr>
                <w:rFonts w:cs="Arial"/>
                <w:sz w:val="18"/>
                <w:szCs w:val="18"/>
              </w:rPr>
              <w:t>0.2499</w:t>
            </w:r>
          </w:p>
        </w:tc>
      </w:tr>
    </w:tbl>
    <w:p w14:paraId="48C4DF64" w14:textId="77777777" w:rsidR="004E6452" w:rsidRPr="001570EA" w:rsidRDefault="004E6452" w:rsidP="004E6452">
      <w:pPr>
        <w:pStyle w:val="SubStyle"/>
        <w:rPr>
          <w:rFonts w:ascii="Arial" w:hAnsi="Arial" w:cs="Arial"/>
          <w:bCs/>
          <w:smallCaps w:val="0"/>
          <w:color w:val="auto"/>
          <w:spacing w:val="0"/>
          <w:sz w:val="18"/>
          <w:szCs w:val="18"/>
          <w:vertAlign w:val="subscript"/>
        </w:rPr>
      </w:pPr>
    </w:p>
    <w:p w14:paraId="43BADABE" w14:textId="77777777" w:rsidR="004E6452" w:rsidRPr="001570EA" w:rsidRDefault="004E6452" w:rsidP="004E6452">
      <w:pPr>
        <w:pStyle w:val="SubStyle"/>
      </w:pPr>
      <w:r w:rsidRPr="001570EA">
        <w:t>Default Savings</w:t>
      </w:r>
    </w:p>
    <w:p w14:paraId="72667593" w14:textId="77777777" w:rsidR="004E6452" w:rsidRPr="001570EA" w:rsidRDefault="004E6452" w:rsidP="004E6452">
      <w:r w:rsidRPr="001570EA">
        <w:t>For programs that do not track capacity, an “unknown” category has been provided based on the weighted average capacity of dehumidifier sales data:</w:t>
      </w:r>
    </w:p>
    <w:p w14:paraId="5FB97E56" w14:textId="77777777" w:rsidR="004E6452" w:rsidRPr="001570EA" w:rsidRDefault="004E6452" w:rsidP="004E6452"/>
    <w:p w14:paraId="6A30A5D8" w14:textId="1467FB98" w:rsidR="004E6452" w:rsidRPr="001570EA" w:rsidRDefault="004E6452" w:rsidP="004E6452">
      <w:pPr>
        <w:pStyle w:val="Caption"/>
        <w:jc w:val="left"/>
      </w:pPr>
      <w:bookmarkStart w:id="636" w:name="_Toc530141764"/>
      <w:bookmarkStart w:id="637" w:name="_Toc47598341"/>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120</w:t>
      </w:r>
      <w:r w:rsidR="002E093A" w:rsidRPr="001570EA">
        <w:fldChar w:fldCharType="end"/>
      </w:r>
      <w:r w:rsidRPr="001570EA">
        <w:t>: Default Dehumidifier Retirement Annual Energy Savings (kWh)</w:t>
      </w:r>
      <w:bookmarkEnd w:id="636"/>
      <w:bookmarkEnd w:id="637"/>
    </w:p>
    <w:tbl>
      <w:tblPr>
        <w:tblW w:w="3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710"/>
        <w:gridCol w:w="1080"/>
      </w:tblGrid>
      <w:tr w:rsidR="004E6452" w:rsidRPr="001570EA" w14:paraId="1BFCE6A2" w14:textId="77777777">
        <w:trPr>
          <w:trHeight w:val="302"/>
        </w:trPr>
        <w:tc>
          <w:tcPr>
            <w:tcW w:w="3685" w:type="dxa"/>
            <w:gridSpan w:val="3"/>
            <w:shd w:val="clear" w:color="auto" w:fill="BFBFBF" w:themeFill="background1" w:themeFillShade="BF"/>
            <w:noWrap/>
            <w:vAlign w:val="bottom"/>
          </w:tcPr>
          <w:p w14:paraId="6757524B" w14:textId="77777777" w:rsidR="004E6452" w:rsidRPr="001570EA" w:rsidRDefault="004E6452">
            <w:pPr>
              <w:keepNext/>
              <w:rPr>
                <w:rFonts w:cs="Arial"/>
                <w:b/>
                <w:bCs/>
                <w:color w:val="000000"/>
                <w:sz w:val="18"/>
                <w:szCs w:val="18"/>
              </w:rPr>
            </w:pPr>
            <w:r w:rsidRPr="001570EA">
              <w:rPr>
                <w:rFonts w:cs="Arial"/>
                <w:b/>
                <w:bCs/>
                <w:color w:val="000000"/>
                <w:sz w:val="18"/>
                <w:szCs w:val="18"/>
              </w:rPr>
              <w:t>Annual kWh Savings by Climate Region</w:t>
            </w:r>
          </w:p>
        </w:tc>
      </w:tr>
      <w:tr w:rsidR="004E6452" w:rsidRPr="001570EA" w14:paraId="60962CF6" w14:textId="77777777">
        <w:trPr>
          <w:trHeight w:val="302"/>
        </w:trPr>
        <w:tc>
          <w:tcPr>
            <w:tcW w:w="895" w:type="dxa"/>
            <w:shd w:val="clear" w:color="auto" w:fill="BFBFBF" w:themeFill="background1" w:themeFillShade="BF"/>
            <w:noWrap/>
            <w:vAlign w:val="bottom"/>
          </w:tcPr>
          <w:p w14:paraId="50289118" w14:textId="77777777" w:rsidR="004E6452" w:rsidRPr="001570EA" w:rsidRDefault="004E6452">
            <w:pPr>
              <w:keepNext/>
              <w:rPr>
                <w:rFonts w:cs="Arial"/>
                <w:b/>
                <w:bCs/>
                <w:color w:val="000000"/>
                <w:sz w:val="18"/>
                <w:szCs w:val="18"/>
              </w:rPr>
            </w:pPr>
            <w:r w:rsidRPr="001570EA">
              <w:rPr>
                <w:rFonts w:cs="Arial"/>
                <w:b/>
                <w:bCs/>
                <w:color w:val="000000"/>
                <w:sz w:val="18"/>
                <w:szCs w:val="18"/>
              </w:rPr>
              <w:t>Region</w:t>
            </w:r>
          </w:p>
        </w:tc>
        <w:tc>
          <w:tcPr>
            <w:tcW w:w="1710" w:type="dxa"/>
            <w:shd w:val="clear" w:color="auto" w:fill="BFBFBF" w:themeFill="background1" w:themeFillShade="BF"/>
            <w:noWrap/>
            <w:vAlign w:val="bottom"/>
          </w:tcPr>
          <w:p w14:paraId="3F53210F" w14:textId="77777777" w:rsidR="004E6452" w:rsidRPr="001570EA" w:rsidRDefault="004E6452">
            <w:pPr>
              <w:keepNext/>
              <w:rPr>
                <w:rFonts w:cs="Arial"/>
                <w:b/>
                <w:bCs/>
                <w:color w:val="000000"/>
                <w:sz w:val="18"/>
                <w:szCs w:val="18"/>
              </w:rPr>
            </w:pPr>
            <w:r w:rsidRPr="001570EA">
              <w:rPr>
                <w:rFonts w:cs="Arial"/>
                <w:b/>
                <w:bCs/>
                <w:color w:val="000000"/>
                <w:sz w:val="18"/>
                <w:szCs w:val="18"/>
              </w:rPr>
              <w:t>Reference City</w:t>
            </w:r>
          </w:p>
        </w:tc>
        <w:tc>
          <w:tcPr>
            <w:tcW w:w="1080" w:type="dxa"/>
            <w:shd w:val="clear" w:color="auto" w:fill="BFBFBF" w:themeFill="background1" w:themeFillShade="BF"/>
            <w:noWrap/>
            <w:vAlign w:val="bottom"/>
          </w:tcPr>
          <w:p w14:paraId="73280008" w14:textId="77777777" w:rsidR="004E6452" w:rsidRPr="001570EA" w:rsidRDefault="004E6452">
            <w:pPr>
              <w:keepNext/>
              <w:rPr>
                <w:rFonts w:cs="Arial"/>
                <w:b/>
                <w:bCs/>
                <w:color w:val="000000"/>
                <w:sz w:val="18"/>
                <w:szCs w:val="18"/>
              </w:rPr>
            </w:pPr>
            <w:r w:rsidRPr="001570EA">
              <w:rPr>
                <w:rFonts w:cs="Arial"/>
                <w:b/>
                <w:bCs/>
                <w:color w:val="000000"/>
                <w:sz w:val="18"/>
                <w:szCs w:val="18"/>
              </w:rPr>
              <w:t>Default</w:t>
            </w:r>
          </w:p>
        </w:tc>
      </w:tr>
      <w:tr w:rsidR="004E6452" w:rsidRPr="001570EA" w14:paraId="5ECBA093" w14:textId="77777777">
        <w:trPr>
          <w:trHeight w:val="302"/>
        </w:trPr>
        <w:tc>
          <w:tcPr>
            <w:tcW w:w="895" w:type="dxa"/>
            <w:shd w:val="clear" w:color="auto" w:fill="BFBFBF" w:themeFill="background1" w:themeFillShade="BF"/>
            <w:noWrap/>
            <w:vAlign w:val="center"/>
            <w:hideMark/>
          </w:tcPr>
          <w:p w14:paraId="7C47D585"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C</w:t>
            </w:r>
          </w:p>
        </w:tc>
        <w:tc>
          <w:tcPr>
            <w:tcW w:w="1710" w:type="dxa"/>
            <w:shd w:val="clear" w:color="auto" w:fill="auto"/>
            <w:noWrap/>
            <w:vAlign w:val="center"/>
            <w:hideMark/>
          </w:tcPr>
          <w:p w14:paraId="6AD74EB1" w14:textId="77777777" w:rsidR="004E6452" w:rsidRPr="001570EA" w:rsidRDefault="004E6452">
            <w:pPr>
              <w:keepNext/>
              <w:rPr>
                <w:rFonts w:cs="Arial"/>
                <w:sz w:val="18"/>
                <w:szCs w:val="18"/>
              </w:rPr>
            </w:pPr>
            <w:r w:rsidRPr="001570EA">
              <w:rPr>
                <w:rFonts w:cs="Arial"/>
                <w:bCs/>
                <w:color w:val="000000"/>
                <w:sz w:val="18"/>
                <w:szCs w:val="18"/>
              </w:rPr>
              <w:t>Allentown</w:t>
            </w:r>
          </w:p>
        </w:tc>
        <w:tc>
          <w:tcPr>
            <w:tcW w:w="1080" w:type="dxa"/>
            <w:shd w:val="clear" w:color="auto" w:fill="auto"/>
            <w:noWrap/>
            <w:vAlign w:val="center"/>
            <w:hideMark/>
          </w:tcPr>
          <w:p w14:paraId="60F2D469" w14:textId="77777777" w:rsidR="004E6452" w:rsidRPr="001570EA" w:rsidRDefault="004E6452">
            <w:pPr>
              <w:keepNext/>
              <w:jc w:val="center"/>
              <w:rPr>
                <w:rFonts w:cs="Arial"/>
                <w:sz w:val="18"/>
                <w:szCs w:val="18"/>
              </w:rPr>
            </w:pPr>
            <w:r w:rsidRPr="001570EA">
              <w:rPr>
                <w:sz w:val="18"/>
                <w:szCs w:val="18"/>
              </w:rPr>
              <w:t>774</w:t>
            </w:r>
          </w:p>
        </w:tc>
      </w:tr>
      <w:tr w:rsidR="004E6452" w:rsidRPr="001570EA" w14:paraId="144B71E8" w14:textId="77777777">
        <w:trPr>
          <w:trHeight w:val="302"/>
        </w:trPr>
        <w:tc>
          <w:tcPr>
            <w:tcW w:w="895" w:type="dxa"/>
            <w:shd w:val="clear" w:color="auto" w:fill="BFBFBF" w:themeFill="background1" w:themeFillShade="BF"/>
            <w:noWrap/>
            <w:vAlign w:val="center"/>
          </w:tcPr>
          <w:p w14:paraId="44DC1ED7"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A</w:t>
            </w:r>
          </w:p>
        </w:tc>
        <w:tc>
          <w:tcPr>
            <w:tcW w:w="1710" w:type="dxa"/>
            <w:shd w:val="clear" w:color="auto" w:fill="auto"/>
            <w:noWrap/>
            <w:vAlign w:val="center"/>
          </w:tcPr>
          <w:p w14:paraId="4B97E61C" w14:textId="77777777" w:rsidR="004E6452" w:rsidRPr="001570EA" w:rsidRDefault="004E6452">
            <w:pPr>
              <w:keepNext/>
              <w:rPr>
                <w:rFonts w:cs="Arial"/>
                <w:sz w:val="18"/>
                <w:szCs w:val="18"/>
              </w:rPr>
            </w:pPr>
            <w:r w:rsidRPr="001570EA">
              <w:rPr>
                <w:rFonts w:cs="Arial"/>
                <w:bCs/>
                <w:color w:val="000000"/>
                <w:sz w:val="18"/>
                <w:szCs w:val="18"/>
              </w:rPr>
              <w:t>Bradford</w:t>
            </w:r>
          </w:p>
        </w:tc>
        <w:tc>
          <w:tcPr>
            <w:tcW w:w="1080" w:type="dxa"/>
            <w:shd w:val="clear" w:color="auto" w:fill="auto"/>
            <w:noWrap/>
            <w:vAlign w:val="center"/>
          </w:tcPr>
          <w:p w14:paraId="1D63AF5E" w14:textId="77777777" w:rsidR="004E6452" w:rsidRPr="001570EA" w:rsidRDefault="004E6452">
            <w:pPr>
              <w:keepNext/>
              <w:jc w:val="center"/>
              <w:rPr>
                <w:rFonts w:cs="Arial"/>
                <w:sz w:val="18"/>
                <w:szCs w:val="18"/>
              </w:rPr>
            </w:pPr>
            <w:r w:rsidRPr="001570EA">
              <w:rPr>
                <w:sz w:val="18"/>
                <w:szCs w:val="18"/>
              </w:rPr>
              <w:t>479</w:t>
            </w:r>
          </w:p>
        </w:tc>
      </w:tr>
      <w:tr w:rsidR="004E6452" w:rsidRPr="001570EA" w14:paraId="428E3A1E" w14:textId="77777777">
        <w:trPr>
          <w:trHeight w:val="302"/>
        </w:trPr>
        <w:tc>
          <w:tcPr>
            <w:tcW w:w="895" w:type="dxa"/>
            <w:shd w:val="clear" w:color="auto" w:fill="BFBFBF" w:themeFill="background1" w:themeFillShade="BF"/>
            <w:noWrap/>
            <w:vAlign w:val="center"/>
          </w:tcPr>
          <w:p w14:paraId="2D5D9312"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G</w:t>
            </w:r>
          </w:p>
        </w:tc>
        <w:tc>
          <w:tcPr>
            <w:tcW w:w="1710" w:type="dxa"/>
            <w:shd w:val="clear" w:color="auto" w:fill="auto"/>
            <w:noWrap/>
            <w:vAlign w:val="center"/>
          </w:tcPr>
          <w:p w14:paraId="79DFDF72" w14:textId="77777777" w:rsidR="004E6452" w:rsidRPr="001570EA" w:rsidRDefault="004E6452">
            <w:pPr>
              <w:keepNext/>
              <w:rPr>
                <w:rFonts w:cs="Arial"/>
                <w:sz w:val="18"/>
                <w:szCs w:val="18"/>
              </w:rPr>
            </w:pPr>
            <w:r w:rsidRPr="001570EA">
              <w:rPr>
                <w:rFonts w:cs="Arial"/>
                <w:bCs/>
                <w:color w:val="000000"/>
                <w:sz w:val="18"/>
                <w:szCs w:val="18"/>
              </w:rPr>
              <w:t>Binghamton, NY</w:t>
            </w:r>
          </w:p>
        </w:tc>
        <w:tc>
          <w:tcPr>
            <w:tcW w:w="1080" w:type="dxa"/>
            <w:shd w:val="clear" w:color="auto" w:fill="auto"/>
            <w:noWrap/>
            <w:vAlign w:val="center"/>
          </w:tcPr>
          <w:p w14:paraId="1C8C0450" w14:textId="77777777" w:rsidR="004E6452" w:rsidRPr="001570EA" w:rsidRDefault="004E6452">
            <w:pPr>
              <w:keepNext/>
              <w:jc w:val="center"/>
              <w:rPr>
                <w:rFonts w:cs="Arial"/>
                <w:sz w:val="18"/>
                <w:szCs w:val="18"/>
              </w:rPr>
            </w:pPr>
            <w:r w:rsidRPr="001570EA">
              <w:rPr>
                <w:sz w:val="18"/>
                <w:szCs w:val="18"/>
              </w:rPr>
              <w:t>581</w:t>
            </w:r>
          </w:p>
        </w:tc>
      </w:tr>
      <w:tr w:rsidR="004E6452" w:rsidRPr="001570EA" w14:paraId="6245F3A2" w14:textId="77777777">
        <w:trPr>
          <w:trHeight w:val="302"/>
        </w:trPr>
        <w:tc>
          <w:tcPr>
            <w:tcW w:w="895" w:type="dxa"/>
            <w:shd w:val="clear" w:color="auto" w:fill="BFBFBF" w:themeFill="background1" w:themeFillShade="BF"/>
            <w:noWrap/>
            <w:vAlign w:val="center"/>
          </w:tcPr>
          <w:p w14:paraId="65586E8F"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I</w:t>
            </w:r>
          </w:p>
        </w:tc>
        <w:tc>
          <w:tcPr>
            <w:tcW w:w="1710" w:type="dxa"/>
            <w:shd w:val="clear" w:color="auto" w:fill="auto"/>
            <w:noWrap/>
            <w:vAlign w:val="center"/>
          </w:tcPr>
          <w:p w14:paraId="0C963FBD" w14:textId="77777777" w:rsidR="004E6452" w:rsidRPr="001570EA" w:rsidRDefault="004E6452">
            <w:pPr>
              <w:keepNext/>
              <w:rPr>
                <w:rFonts w:cs="Arial"/>
                <w:sz w:val="18"/>
                <w:szCs w:val="18"/>
              </w:rPr>
            </w:pPr>
            <w:r w:rsidRPr="001570EA">
              <w:rPr>
                <w:rFonts w:cs="Arial"/>
                <w:bCs/>
                <w:color w:val="000000"/>
                <w:sz w:val="18"/>
                <w:szCs w:val="18"/>
              </w:rPr>
              <w:t>Erie</w:t>
            </w:r>
          </w:p>
        </w:tc>
        <w:tc>
          <w:tcPr>
            <w:tcW w:w="1080" w:type="dxa"/>
            <w:shd w:val="clear" w:color="auto" w:fill="auto"/>
            <w:noWrap/>
            <w:vAlign w:val="center"/>
          </w:tcPr>
          <w:p w14:paraId="7B17FCB0" w14:textId="77777777" w:rsidR="004E6452" w:rsidRPr="001570EA" w:rsidRDefault="004E6452">
            <w:pPr>
              <w:keepNext/>
              <w:jc w:val="center"/>
              <w:rPr>
                <w:rFonts w:cs="Arial"/>
                <w:sz w:val="18"/>
                <w:szCs w:val="18"/>
              </w:rPr>
            </w:pPr>
            <w:r w:rsidRPr="001570EA">
              <w:rPr>
                <w:sz w:val="18"/>
                <w:szCs w:val="18"/>
              </w:rPr>
              <w:t>686</w:t>
            </w:r>
          </w:p>
        </w:tc>
      </w:tr>
      <w:tr w:rsidR="004E6452" w:rsidRPr="001570EA" w14:paraId="0E0D0532" w14:textId="77777777">
        <w:trPr>
          <w:trHeight w:val="302"/>
        </w:trPr>
        <w:tc>
          <w:tcPr>
            <w:tcW w:w="895" w:type="dxa"/>
            <w:shd w:val="clear" w:color="auto" w:fill="BFBFBF" w:themeFill="background1" w:themeFillShade="BF"/>
            <w:noWrap/>
            <w:vAlign w:val="center"/>
          </w:tcPr>
          <w:p w14:paraId="30A065E5"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E</w:t>
            </w:r>
          </w:p>
        </w:tc>
        <w:tc>
          <w:tcPr>
            <w:tcW w:w="1710" w:type="dxa"/>
            <w:shd w:val="clear" w:color="auto" w:fill="auto"/>
            <w:noWrap/>
            <w:vAlign w:val="center"/>
          </w:tcPr>
          <w:p w14:paraId="1471C614" w14:textId="77777777" w:rsidR="004E6452" w:rsidRPr="001570EA" w:rsidRDefault="004E6452">
            <w:pPr>
              <w:keepNext/>
              <w:rPr>
                <w:rFonts w:cs="Arial"/>
                <w:sz w:val="18"/>
                <w:szCs w:val="18"/>
              </w:rPr>
            </w:pPr>
            <w:r w:rsidRPr="001570EA">
              <w:rPr>
                <w:rFonts w:cs="Arial"/>
                <w:bCs/>
                <w:color w:val="000000"/>
                <w:sz w:val="18"/>
                <w:szCs w:val="18"/>
              </w:rPr>
              <w:t>Harrisburg</w:t>
            </w:r>
          </w:p>
        </w:tc>
        <w:tc>
          <w:tcPr>
            <w:tcW w:w="1080" w:type="dxa"/>
            <w:shd w:val="clear" w:color="auto" w:fill="auto"/>
            <w:noWrap/>
            <w:vAlign w:val="center"/>
          </w:tcPr>
          <w:p w14:paraId="6BC8B678" w14:textId="77777777" w:rsidR="004E6452" w:rsidRPr="001570EA" w:rsidRDefault="004E6452">
            <w:pPr>
              <w:keepNext/>
              <w:jc w:val="center"/>
              <w:rPr>
                <w:rFonts w:cs="Arial"/>
                <w:sz w:val="18"/>
                <w:szCs w:val="18"/>
              </w:rPr>
            </w:pPr>
            <w:r w:rsidRPr="001570EA">
              <w:rPr>
                <w:sz w:val="18"/>
                <w:szCs w:val="18"/>
              </w:rPr>
              <w:t>810</w:t>
            </w:r>
          </w:p>
        </w:tc>
      </w:tr>
      <w:tr w:rsidR="004E6452" w:rsidRPr="001570EA" w14:paraId="7F2017C4" w14:textId="77777777">
        <w:trPr>
          <w:trHeight w:val="302"/>
        </w:trPr>
        <w:tc>
          <w:tcPr>
            <w:tcW w:w="895" w:type="dxa"/>
            <w:shd w:val="clear" w:color="auto" w:fill="BFBFBF" w:themeFill="background1" w:themeFillShade="BF"/>
            <w:noWrap/>
            <w:vAlign w:val="center"/>
          </w:tcPr>
          <w:p w14:paraId="248CFC59"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D</w:t>
            </w:r>
          </w:p>
        </w:tc>
        <w:tc>
          <w:tcPr>
            <w:tcW w:w="1710" w:type="dxa"/>
            <w:shd w:val="clear" w:color="auto" w:fill="auto"/>
            <w:noWrap/>
            <w:vAlign w:val="center"/>
          </w:tcPr>
          <w:p w14:paraId="4FB9AA1D" w14:textId="77777777" w:rsidR="004E6452" w:rsidRPr="001570EA" w:rsidRDefault="004E6452">
            <w:pPr>
              <w:keepNext/>
              <w:rPr>
                <w:rFonts w:cs="Arial"/>
                <w:sz w:val="18"/>
                <w:szCs w:val="18"/>
              </w:rPr>
            </w:pPr>
            <w:r w:rsidRPr="001570EA">
              <w:rPr>
                <w:rFonts w:cs="Arial"/>
                <w:bCs/>
                <w:color w:val="000000"/>
                <w:sz w:val="18"/>
                <w:szCs w:val="18"/>
              </w:rPr>
              <w:t>Philadelphia</w:t>
            </w:r>
          </w:p>
        </w:tc>
        <w:tc>
          <w:tcPr>
            <w:tcW w:w="1080" w:type="dxa"/>
            <w:shd w:val="clear" w:color="auto" w:fill="auto"/>
            <w:noWrap/>
            <w:vAlign w:val="center"/>
          </w:tcPr>
          <w:p w14:paraId="20BFF4D3" w14:textId="77777777" w:rsidR="004E6452" w:rsidRPr="001570EA" w:rsidRDefault="004E6452">
            <w:pPr>
              <w:keepNext/>
              <w:jc w:val="center"/>
              <w:rPr>
                <w:rFonts w:cs="Arial"/>
                <w:sz w:val="18"/>
                <w:szCs w:val="18"/>
              </w:rPr>
            </w:pPr>
            <w:r w:rsidRPr="001570EA">
              <w:rPr>
                <w:sz w:val="18"/>
                <w:szCs w:val="18"/>
              </w:rPr>
              <w:t>895</w:t>
            </w:r>
          </w:p>
        </w:tc>
      </w:tr>
      <w:tr w:rsidR="004E6452" w:rsidRPr="001570EA" w14:paraId="4073AD5C" w14:textId="77777777">
        <w:trPr>
          <w:trHeight w:val="302"/>
        </w:trPr>
        <w:tc>
          <w:tcPr>
            <w:tcW w:w="895" w:type="dxa"/>
            <w:shd w:val="clear" w:color="auto" w:fill="BFBFBF" w:themeFill="background1" w:themeFillShade="BF"/>
            <w:noWrap/>
            <w:vAlign w:val="center"/>
          </w:tcPr>
          <w:p w14:paraId="0D3CC799"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H</w:t>
            </w:r>
          </w:p>
        </w:tc>
        <w:tc>
          <w:tcPr>
            <w:tcW w:w="1710" w:type="dxa"/>
            <w:shd w:val="clear" w:color="auto" w:fill="auto"/>
            <w:noWrap/>
            <w:vAlign w:val="center"/>
          </w:tcPr>
          <w:p w14:paraId="6FC1E2C4" w14:textId="77777777" w:rsidR="004E6452" w:rsidRPr="001570EA" w:rsidRDefault="004E6452">
            <w:pPr>
              <w:keepNext/>
              <w:rPr>
                <w:rFonts w:cs="Arial"/>
                <w:sz w:val="18"/>
                <w:szCs w:val="18"/>
              </w:rPr>
            </w:pPr>
            <w:r w:rsidRPr="001570EA">
              <w:rPr>
                <w:rFonts w:cs="Arial"/>
                <w:bCs/>
                <w:color w:val="000000"/>
                <w:sz w:val="18"/>
                <w:szCs w:val="18"/>
              </w:rPr>
              <w:t>Pittsburgh</w:t>
            </w:r>
          </w:p>
        </w:tc>
        <w:tc>
          <w:tcPr>
            <w:tcW w:w="1080" w:type="dxa"/>
            <w:shd w:val="clear" w:color="auto" w:fill="auto"/>
            <w:noWrap/>
            <w:vAlign w:val="center"/>
          </w:tcPr>
          <w:p w14:paraId="7C255D27" w14:textId="77777777" w:rsidR="004E6452" w:rsidRPr="001570EA" w:rsidRDefault="004E6452">
            <w:pPr>
              <w:keepNext/>
              <w:jc w:val="center"/>
              <w:rPr>
                <w:rFonts w:cs="Arial"/>
                <w:sz w:val="18"/>
                <w:szCs w:val="18"/>
              </w:rPr>
            </w:pPr>
            <w:r w:rsidRPr="001570EA">
              <w:rPr>
                <w:sz w:val="18"/>
                <w:szCs w:val="18"/>
              </w:rPr>
              <w:t>746</w:t>
            </w:r>
          </w:p>
        </w:tc>
      </w:tr>
      <w:tr w:rsidR="004E6452" w:rsidRPr="001570EA" w14:paraId="2FDB3193" w14:textId="77777777">
        <w:trPr>
          <w:trHeight w:val="302"/>
        </w:trPr>
        <w:tc>
          <w:tcPr>
            <w:tcW w:w="895" w:type="dxa"/>
            <w:shd w:val="clear" w:color="auto" w:fill="BFBFBF" w:themeFill="background1" w:themeFillShade="BF"/>
            <w:noWrap/>
            <w:vAlign w:val="center"/>
          </w:tcPr>
          <w:p w14:paraId="30CE7691" w14:textId="77777777" w:rsidR="004E6452" w:rsidRPr="001570EA" w:rsidRDefault="004E6452">
            <w:pPr>
              <w:keepNext/>
              <w:jc w:val="center"/>
              <w:rPr>
                <w:rFonts w:cs="Arial"/>
                <w:b/>
                <w:bCs/>
                <w:color w:val="000000"/>
                <w:sz w:val="18"/>
                <w:szCs w:val="18"/>
              </w:rPr>
            </w:pPr>
            <w:r w:rsidRPr="001570EA">
              <w:rPr>
                <w:rFonts w:cs="Arial"/>
                <w:b/>
                <w:bCs/>
                <w:color w:val="000000"/>
                <w:sz w:val="18"/>
                <w:szCs w:val="18"/>
              </w:rPr>
              <w:t>B</w:t>
            </w:r>
          </w:p>
        </w:tc>
        <w:tc>
          <w:tcPr>
            <w:tcW w:w="1710" w:type="dxa"/>
            <w:shd w:val="clear" w:color="auto" w:fill="auto"/>
            <w:noWrap/>
            <w:vAlign w:val="center"/>
          </w:tcPr>
          <w:p w14:paraId="7BA771D6" w14:textId="77777777" w:rsidR="004E6452" w:rsidRPr="001570EA" w:rsidRDefault="004E6452">
            <w:pPr>
              <w:keepNext/>
              <w:rPr>
                <w:rFonts w:cs="Arial"/>
                <w:sz w:val="18"/>
                <w:szCs w:val="18"/>
              </w:rPr>
            </w:pPr>
            <w:r w:rsidRPr="001570EA">
              <w:rPr>
                <w:rFonts w:cs="Arial"/>
                <w:bCs/>
                <w:color w:val="000000"/>
                <w:sz w:val="18"/>
                <w:szCs w:val="18"/>
              </w:rPr>
              <w:t>Scranton</w:t>
            </w:r>
          </w:p>
        </w:tc>
        <w:tc>
          <w:tcPr>
            <w:tcW w:w="1080" w:type="dxa"/>
            <w:shd w:val="clear" w:color="auto" w:fill="auto"/>
            <w:noWrap/>
            <w:vAlign w:val="center"/>
          </w:tcPr>
          <w:p w14:paraId="61C724CA" w14:textId="77777777" w:rsidR="004E6452" w:rsidRPr="001570EA" w:rsidRDefault="004E6452">
            <w:pPr>
              <w:keepNext/>
              <w:jc w:val="center"/>
              <w:rPr>
                <w:rFonts w:cs="Arial"/>
                <w:sz w:val="18"/>
                <w:szCs w:val="18"/>
              </w:rPr>
            </w:pPr>
            <w:r w:rsidRPr="001570EA">
              <w:rPr>
                <w:sz w:val="18"/>
                <w:szCs w:val="18"/>
              </w:rPr>
              <w:t>711</w:t>
            </w:r>
          </w:p>
        </w:tc>
      </w:tr>
      <w:tr w:rsidR="004E6452" w:rsidRPr="001570EA" w14:paraId="2DB28D1E" w14:textId="77777777">
        <w:trPr>
          <w:trHeight w:val="302"/>
        </w:trPr>
        <w:tc>
          <w:tcPr>
            <w:tcW w:w="895" w:type="dxa"/>
            <w:shd w:val="clear" w:color="auto" w:fill="BFBFBF" w:themeFill="background1" w:themeFillShade="BF"/>
            <w:noWrap/>
            <w:vAlign w:val="center"/>
          </w:tcPr>
          <w:p w14:paraId="0709A63A" w14:textId="77777777" w:rsidR="004E6452" w:rsidRPr="001570EA" w:rsidRDefault="004E6452">
            <w:pPr>
              <w:jc w:val="center"/>
              <w:rPr>
                <w:rFonts w:cs="Arial"/>
                <w:b/>
                <w:bCs/>
                <w:color w:val="000000"/>
                <w:sz w:val="18"/>
                <w:szCs w:val="18"/>
              </w:rPr>
            </w:pPr>
            <w:r w:rsidRPr="001570EA">
              <w:rPr>
                <w:rFonts w:cs="Arial"/>
                <w:b/>
                <w:bCs/>
                <w:color w:val="000000"/>
                <w:sz w:val="18"/>
                <w:szCs w:val="18"/>
              </w:rPr>
              <w:t>F</w:t>
            </w:r>
          </w:p>
        </w:tc>
        <w:tc>
          <w:tcPr>
            <w:tcW w:w="1710" w:type="dxa"/>
            <w:shd w:val="clear" w:color="auto" w:fill="auto"/>
            <w:noWrap/>
            <w:vAlign w:val="center"/>
          </w:tcPr>
          <w:p w14:paraId="183AC009" w14:textId="77777777" w:rsidR="004E6452" w:rsidRPr="001570EA" w:rsidRDefault="004E6452">
            <w:pPr>
              <w:rPr>
                <w:rFonts w:cs="Arial"/>
                <w:sz w:val="18"/>
                <w:szCs w:val="18"/>
              </w:rPr>
            </w:pPr>
            <w:r w:rsidRPr="001570EA">
              <w:rPr>
                <w:rFonts w:cs="Arial"/>
                <w:bCs/>
                <w:color w:val="000000"/>
                <w:sz w:val="18"/>
                <w:szCs w:val="18"/>
              </w:rPr>
              <w:t>Williamsport</w:t>
            </w:r>
          </w:p>
        </w:tc>
        <w:tc>
          <w:tcPr>
            <w:tcW w:w="1080" w:type="dxa"/>
            <w:shd w:val="clear" w:color="auto" w:fill="auto"/>
            <w:noWrap/>
            <w:vAlign w:val="center"/>
          </w:tcPr>
          <w:p w14:paraId="20E5DF41" w14:textId="77777777" w:rsidR="004E6452" w:rsidRPr="001570EA" w:rsidRDefault="004E6452">
            <w:pPr>
              <w:jc w:val="center"/>
              <w:rPr>
                <w:rFonts w:cs="Arial"/>
                <w:sz w:val="18"/>
                <w:szCs w:val="18"/>
              </w:rPr>
            </w:pPr>
            <w:r w:rsidRPr="001570EA">
              <w:rPr>
                <w:sz w:val="18"/>
                <w:szCs w:val="18"/>
              </w:rPr>
              <w:t>802</w:t>
            </w:r>
          </w:p>
        </w:tc>
      </w:tr>
    </w:tbl>
    <w:p w14:paraId="35DC7CD5" w14:textId="77777777" w:rsidR="004E6452" w:rsidRPr="001570EA" w:rsidRDefault="004E6452" w:rsidP="004E6452"/>
    <w:p w14:paraId="66ADD569" w14:textId="6E6DE172" w:rsidR="004E6452" w:rsidRPr="001570EA" w:rsidRDefault="004E6452" w:rsidP="004E6452">
      <w:pPr>
        <w:pStyle w:val="Caption"/>
        <w:jc w:val="left"/>
      </w:pPr>
      <w:bookmarkStart w:id="638" w:name="_Toc530141765"/>
      <w:bookmarkStart w:id="639" w:name="_Toc4759834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121</w:t>
      </w:r>
      <w:r w:rsidR="002E093A" w:rsidRPr="001570EA">
        <w:fldChar w:fldCharType="end"/>
      </w:r>
      <w:r w:rsidRPr="001570EA">
        <w:t>: Default Dehumidifier Retirement Summer Peak Demand Reduction (kW)</w:t>
      </w:r>
      <w:bookmarkEnd w:id="638"/>
      <w:bookmarkEnd w:id="6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963"/>
      </w:tblGrid>
      <w:tr w:rsidR="004E6452" w:rsidRPr="001570EA" w14:paraId="6CDF9D0C" w14:textId="77777777">
        <w:tc>
          <w:tcPr>
            <w:tcW w:w="1761" w:type="dxa"/>
            <w:shd w:val="clear" w:color="auto" w:fill="BFBFBF" w:themeFill="background1" w:themeFillShade="BF"/>
            <w:vAlign w:val="bottom"/>
          </w:tcPr>
          <w:p w14:paraId="35E11BC6" w14:textId="77777777" w:rsidR="004E6452" w:rsidRPr="001570EA" w:rsidRDefault="004E6452">
            <w:pPr>
              <w:rPr>
                <w:rFonts w:cs="Arial"/>
                <w:b/>
                <w:bCs/>
                <w:color w:val="000000"/>
                <w:sz w:val="18"/>
                <w:szCs w:val="18"/>
              </w:rPr>
            </w:pPr>
            <w:r w:rsidRPr="001570EA">
              <w:rPr>
                <w:rFonts w:cs="Arial"/>
                <w:b/>
                <w:bCs/>
                <w:color w:val="000000"/>
                <w:sz w:val="18"/>
                <w:szCs w:val="18"/>
              </w:rPr>
              <w:t>Capacity</w:t>
            </w:r>
          </w:p>
        </w:tc>
        <w:tc>
          <w:tcPr>
            <w:tcW w:w="963" w:type="dxa"/>
            <w:shd w:val="clear" w:color="auto" w:fill="BFBFBF" w:themeFill="background1" w:themeFillShade="BF"/>
            <w:vAlign w:val="bottom"/>
          </w:tcPr>
          <w:p w14:paraId="17F353B9" w14:textId="77777777" w:rsidR="004E6452" w:rsidRPr="001570EA" w:rsidRDefault="004E6452">
            <w:pPr>
              <w:rPr>
                <w:rFonts w:cs="Arial"/>
                <w:b/>
                <w:bCs/>
                <w:color w:val="000000"/>
                <w:sz w:val="18"/>
                <w:szCs w:val="18"/>
              </w:rPr>
            </w:pPr>
            <w:r w:rsidRPr="001570EA">
              <w:rPr>
                <w:rFonts w:cs="Arial"/>
                <w:b/>
                <w:bCs/>
                <w:color w:val="000000"/>
                <w:sz w:val="18"/>
                <w:szCs w:val="18"/>
              </w:rPr>
              <w:t>Default</w:t>
            </w:r>
          </w:p>
        </w:tc>
      </w:tr>
      <w:tr w:rsidR="004E6452" w:rsidRPr="001570EA" w14:paraId="2B6EDF3C" w14:textId="77777777">
        <w:tc>
          <w:tcPr>
            <w:tcW w:w="1761" w:type="dxa"/>
            <w:shd w:val="clear" w:color="auto" w:fill="BFBFBF" w:themeFill="background1" w:themeFillShade="BF"/>
            <w:vAlign w:val="bottom"/>
          </w:tcPr>
          <w:p w14:paraId="5998C214" w14:textId="77777777" w:rsidR="004E6452" w:rsidRPr="001570EA" w:rsidRDefault="004E6452">
            <w:pPr>
              <w:rPr>
                <w:rFonts w:cs="Arial"/>
                <w:b/>
                <w:bCs/>
                <w:color w:val="000000"/>
                <w:sz w:val="18"/>
                <w:szCs w:val="18"/>
              </w:rPr>
            </w:pPr>
            <m:oMathPara>
              <m:oMath>
                <m:r>
                  <m:rPr>
                    <m:sty m:val="bi"/>
                  </m:rPr>
                  <w:rPr>
                    <w:rFonts w:ascii="Cambria Math" w:hAnsi="Cambria Math" w:cs="Arial"/>
                    <w:sz w:val="18"/>
                  </w:rPr>
                  <m:t>∆</m:t>
                </m:r>
                <m:sSub>
                  <m:sSubPr>
                    <m:ctrlPr>
                      <w:rPr>
                        <w:rFonts w:ascii="Cambria Math" w:hAnsi="Cambria Math" w:cs="Arial"/>
                        <w:b/>
                        <w:i/>
                        <w:sz w:val="18"/>
                        <w:szCs w:val="18"/>
                      </w:rPr>
                    </m:ctrlPr>
                  </m:sSubPr>
                  <m:e>
                    <m:r>
                      <m:rPr>
                        <m:sty m:val="bi"/>
                      </m:rPr>
                      <w:rPr>
                        <w:rFonts w:ascii="Cambria Math" w:hAnsi="Cambria Math" w:cs="Arial"/>
                        <w:sz w:val="18"/>
                      </w:rPr>
                      <m:t>kW</m:t>
                    </m:r>
                  </m:e>
                  <m:sub>
                    <m:r>
                      <m:rPr>
                        <m:sty m:val="bi"/>
                      </m:rPr>
                      <w:rPr>
                        <w:rFonts w:ascii="Cambria Math" w:hAnsi="Cambria Math" w:cs="Arial"/>
                        <w:sz w:val="18"/>
                      </w:rPr>
                      <m:t>summer peak</m:t>
                    </m:r>
                  </m:sub>
                </m:sSub>
              </m:oMath>
            </m:oMathPara>
          </w:p>
        </w:tc>
        <w:tc>
          <w:tcPr>
            <w:tcW w:w="963" w:type="dxa"/>
            <w:vAlign w:val="bottom"/>
          </w:tcPr>
          <w:p w14:paraId="545A68AF" w14:textId="77777777" w:rsidR="004E6452" w:rsidRPr="001570EA" w:rsidRDefault="004E6452">
            <w:pPr>
              <w:rPr>
                <w:rFonts w:cs="Arial"/>
                <w:color w:val="000000"/>
                <w:sz w:val="18"/>
                <w:szCs w:val="18"/>
              </w:rPr>
            </w:pPr>
            <w:r w:rsidRPr="001570EA">
              <w:rPr>
                <w:rFonts w:cs="Arial"/>
                <w:color w:val="000000"/>
                <w:sz w:val="18"/>
                <w:szCs w:val="18"/>
              </w:rPr>
              <w:t>0.1731</w:t>
            </w:r>
          </w:p>
        </w:tc>
      </w:tr>
    </w:tbl>
    <w:p w14:paraId="5776DC95" w14:textId="77777777" w:rsidR="004E6452" w:rsidRPr="001570EA" w:rsidRDefault="004E6452" w:rsidP="004E6452"/>
    <w:p w14:paraId="05F92D87" w14:textId="77777777" w:rsidR="004E6452" w:rsidRPr="001570EA" w:rsidRDefault="004E6452" w:rsidP="004E6452">
      <w:pPr>
        <w:pStyle w:val="SubStyle"/>
      </w:pPr>
      <w:r w:rsidRPr="001570EA">
        <w:t>Evaluation Protocols</w:t>
      </w:r>
    </w:p>
    <w:p w14:paraId="43544F03" w14:textId="77777777" w:rsidR="004E6452" w:rsidRPr="001570EA" w:rsidRDefault="004E6452" w:rsidP="004E6452">
      <w:pPr>
        <w:pStyle w:val="BodyText"/>
        <w:ind w:right="0"/>
      </w:pPr>
      <w:r w:rsidRPr="001570EA">
        <w:t>For most projects, the appropriate evaluation protocol is to verify retirement and proper selection of default values. For projects using customer-specific data for open variables, the appropriate evaluation protocol is to verify retirement and proper application of TRM protocol along with verification of open variables. The Pennsylvania Evaluation Framework provides specific guidelines and requirements for evaluation procedures.</w:t>
      </w:r>
    </w:p>
    <w:p w14:paraId="1467FE0F" w14:textId="77777777" w:rsidR="004E6452" w:rsidRPr="001570EA" w:rsidRDefault="004E6452" w:rsidP="004E6452">
      <w:pPr>
        <w:pStyle w:val="BodyText"/>
        <w:ind w:right="0"/>
        <w:rPr>
          <w:rFonts w:cs="Arial"/>
        </w:rPr>
      </w:pPr>
    </w:p>
    <w:p w14:paraId="748A425D" w14:textId="77777777" w:rsidR="004E6452" w:rsidRPr="001570EA" w:rsidRDefault="004E6452" w:rsidP="004E6452">
      <w:pPr>
        <w:pStyle w:val="SubStyle"/>
      </w:pPr>
      <w:r w:rsidRPr="001570EA">
        <w:t>Sources</w:t>
      </w:r>
    </w:p>
    <w:p w14:paraId="7720DD79" w14:textId="77777777" w:rsidR="004E6452" w:rsidRPr="001570EA" w:rsidRDefault="004E6452" w:rsidP="006D787B">
      <w:pPr>
        <w:pStyle w:val="ListParagraph"/>
        <w:numPr>
          <w:ilvl w:val="0"/>
          <w:numId w:val="60"/>
        </w:numPr>
        <w:spacing w:after="120"/>
        <w:ind w:left="360"/>
        <w:jc w:val="left"/>
      </w:pPr>
      <w:r w:rsidRPr="001570EA">
        <w:t>Dehumidifier Metering in PA and Ohio by ADM from 7/17/2013 to 9/22/2013. 31 Units metered; five-minute interval power data was recorded. 58% of the units were Energy Star rated.</w:t>
      </w:r>
    </w:p>
    <w:p w14:paraId="42DD562E" w14:textId="77777777" w:rsidR="004E6452" w:rsidRPr="001570EA" w:rsidRDefault="004E6452" w:rsidP="006D787B">
      <w:pPr>
        <w:pStyle w:val="ListParagraph"/>
        <w:numPr>
          <w:ilvl w:val="0"/>
          <w:numId w:val="60"/>
        </w:numPr>
        <w:spacing w:after="120"/>
        <w:ind w:left="360"/>
        <w:jc w:val="left"/>
      </w:pPr>
      <w:r w:rsidRPr="001570EA">
        <w:t>Ibid., by Act 129 Peak Demand window</w:t>
      </w:r>
    </w:p>
    <w:p w14:paraId="403FF9DA" w14:textId="12ACE2E2" w:rsidR="004E6452" w:rsidRPr="001570EA" w:rsidRDefault="004E6452" w:rsidP="006D787B">
      <w:pPr>
        <w:pStyle w:val="ListParagraph"/>
        <w:numPr>
          <w:ilvl w:val="0"/>
          <w:numId w:val="60"/>
        </w:numPr>
        <w:spacing w:after="120"/>
        <w:ind w:left="360"/>
        <w:jc w:val="left"/>
      </w:pPr>
      <w:r w:rsidRPr="001570EA">
        <w:t xml:space="preserve">NMR Group for the Pennsylvania Public Utility Commission. (2024, March). 2023 Pennsylvania Statewide Act 129 Residential Baseline Study. Page 164, Table 156. </w:t>
      </w:r>
      <w:hyperlink r:id="rId296" w:history="1">
        <w:r w:rsidRPr="001570EA">
          <w:rPr>
            <w:rStyle w:val="Hyperlink"/>
          </w:rPr>
          <w:t>Weblink</w:t>
        </w:r>
      </w:hyperlink>
    </w:p>
    <w:p w14:paraId="7161038C" w14:textId="4F227ED3" w:rsidR="004E6452" w:rsidRPr="001570EA" w:rsidRDefault="004E6452" w:rsidP="006D787B">
      <w:pPr>
        <w:pStyle w:val="ListParagraph"/>
        <w:numPr>
          <w:ilvl w:val="0"/>
          <w:numId w:val="60"/>
        </w:numPr>
        <w:spacing w:after="120"/>
        <w:ind w:left="360"/>
        <w:jc w:val="left"/>
      </w:pPr>
      <w:r w:rsidRPr="001570EA">
        <w:t xml:space="preserve">Resource Adequacy Planning for PJM. (2017, December). PJM Manual 19: Load Forecasting and Analysis Revision: 32. Page 14. Accessed January 2019. </w:t>
      </w:r>
      <w:hyperlink r:id="rId297" w:history="1">
        <w:r w:rsidRPr="001570EA">
          <w:rPr>
            <w:rStyle w:val="Hyperlink"/>
          </w:rPr>
          <w:t>Weblink</w:t>
        </w:r>
      </w:hyperlink>
    </w:p>
    <w:p w14:paraId="31D20C85" w14:textId="4286B2CA" w:rsidR="004E6452" w:rsidRPr="001570EA" w:rsidRDefault="004E6452" w:rsidP="006D787B">
      <w:pPr>
        <w:pStyle w:val="ListParagraph"/>
        <w:numPr>
          <w:ilvl w:val="0"/>
          <w:numId w:val="60"/>
        </w:numPr>
        <w:spacing w:after="120"/>
        <w:ind w:left="360"/>
        <w:jc w:val="left"/>
        <w:rPr>
          <w:lang w:val="fr-FR"/>
        </w:rPr>
      </w:pPr>
      <w:r w:rsidRPr="001570EA">
        <w:t xml:space="preserve">National Solar Radiation Database. 1991–2005 Update: Typical Meteorological Year 3. </w:t>
      </w:r>
      <w:r w:rsidRPr="001570EA">
        <w:rPr>
          <w:lang w:val="fr-FR"/>
        </w:rPr>
        <w:t>NREL</w:t>
      </w:r>
      <w:r w:rsidRPr="001570EA">
        <w:t xml:space="preserve">. </w:t>
      </w:r>
      <w:hyperlink r:id="rId298" w:history="1">
        <w:r w:rsidRPr="001570EA">
          <w:rPr>
            <w:rStyle w:val="Hyperlink"/>
            <w:lang w:val="fr-FR"/>
          </w:rPr>
          <w:t>Weblink</w:t>
        </w:r>
      </w:hyperlink>
      <w:r w:rsidRPr="001570EA">
        <w:rPr>
          <w:rStyle w:val="Hyperlink"/>
          <w:lang w:val="fr-FR"/>
        </w:rPr>
        <w:t xml:space="preserve"> </w:t>
      </w:r>
    </w:p>
    <w:p w14:paraId="62370B21" w14:textId="1C4B942D" w:rsidR="004E6452" w:rsidRPr="001570EA" w:rsidRDefault="004E6452" w:rsidP="006D787B">
      <w:pPr>
        <w:pStyle w:val="ListParagraph"/>
        <w:numPr>
          <w:ilvl w:val="0"/>
          <w:numId w:val="60"/>
        </w:numPr>
        <w:spacing w:after="120"/>
        <w:ind w:left="360"/>
        <w:jc w:val="left"/>
        <w:rPr>
          <w:lang w:val="fr-FR"/>
        </w:rPr>
      </w:pPr>
      <w:r w:rsidRPr="001570EA">
        <w:t xml:space="preserve">Wilson et al. 2021. End-Use Load Profiles for the U.S. Building Stock: Methodology and Results of Model Calibration, Validation, and Uncertainty Quantification. NREL/TP-5500-80889. </w:t>
      </w:r>
      <w:hyperlink r:id="rId299" w:history="1">
        <w:r w:rsidRPr="001570EA">
          <w:rPr>
            <w:rStyle w:val="Hyperlink"/>
          </w:rPr>
          <w:t>Weblink</w:t>
        </w:r>
      </w:hyperlink>
      <w:r w:rsidRPr="001570EA">
        <w:t xml:space="preserve">  </w:t>
      </w:r>
    </w:p>
    <w:p w14:paraId="74B2CF65" w14:textId="77777777" w:rsidR="004E6452" w:rsidRPr="001570EA" w:rsidRDefault="004E6452" w:rsidP="006D787B">
      <w:pPr>
        <w:pStyle w:val="ListParagraph"/>
        <w:numPr>
          <w:ilvl w:val="0"/>
          <w:numId w:val="60"/>
        </w:numPr>
        <w:spacing w:after="120"/>
        <w:ind w:left="360"/>
        <w:jc w:val="left"/>
        <w:rPr>
          <w:lang w:val="fr-FR"/>
        </w:rPr>
      </w:pPr>
      <w:r w:rsidRPr="001570EA">
        <w:rPr>
          <w:szCs w:val="18"/>
        </w:rPr>
        <w:t>CA DEER gives the following rule-of-thumb for remaining useful life: RUL = (1/3) X EUL.  As the Energy Star Dehumidifier [replacement] uses an EUL of 12 years, we have a suggested RUL of (1/3) X 12 years = 4 years.</w:t>
      </w:r>
    </w:p>
    <w:p w14:paraId="0ACB50CD" w14:textId="77777777" w:rsidR="004E6452" w:rsidRPr="001570EA" w:rsidRDefault="004E6452" w:rsidP="004E6452">
      <w:pPr>
        <w:rPr>
          <w:rFonts w:eastAsiaTheme="minorHAnsi" w:cs="Arial"/>
          <w:lang w:val="fr-FR"/>
        </w:rPr>
      </w:pPr>
      <w:bookmarkStart w:id="640" w:name="_Toc525828096"/>
      <w:bookmarkStart w:id="641" w:name="_Toc527022893"/>
      <w:bookmarkStart w:id="642" w:name="_Toc527023659"/>
      <w:bookmarkStart w:id="643" w:name="_Toc525828097"/>
      <w:bookmarkStart w:id="644" w:name="_Toc527022894"/>
      <w:bookmarkStart w:id="645" w:name="_Toc527023660"/>
      <w:bookmarkStart w:id="646" w:name="_Toc525828098"/>
      <w:bookmarkStart w:id="647" w:name="_Toc527022895"/>
      <w:bookmarkStart w:id="648" w:name="_Toc527023661"/>
      <w:bookmarkStart w:id="649" w:name="_Toc525828099"/>
      <w:bookmarkStart w:id="650" w:name="_Toc527022896"/>
      <w:bookmarkStart w:id="651" w:name="_Toc527023662"/>
      <w:bookmarkStart w:id="652" w:name="_Toc525828100"/>
      <w:bookmarkStart w:id="653" w:name="_Toc527022897"/>
      <w:bookmarkStart w:id="654" w:name="_Toc527023663"/>
      <w:bookmarkStart w:id="655" w:name="_Toc525828101"/>
      <w:bookmarkStart w:id="656" w:name="_Toc527022898"/>
      <w:bookmarkStart w:id="657" w:name="_Toc527023664"/>
      <w:bookmarkStart w:id="658" w:name="_Toc525828102"/>
      <w:bookmarkStart w:id="659" w:name="_Toc527022899"/>
      <w:bookmarkStart w:id="660" w:name="_Toc527023665"/>
      <w:bookmarkStart w:id="661" w:name="_Toc525828103"/>
      <w:bookmarkStart w:id="662" w:name="_Toc527022900"/>
      <w:bookmarkStart w:id="663" w:name="_Toc527023666"/>
      <w:bookmarkStart w:id="664" w:name="_Toc525828104"/>
      <w:bookmarkStart w:id="665" w:name="_Toc527022901"/>
      <w:bookmarkStart w:id="666" w:name="_Toc527023667"/>
      <w:bookmarkStart w:id="667" w:name="_Toc525828105"/>
      <w:bookmarkStart w:id="668" w:name="_Toc527022902"/>
      <w:bookmarkStart w:id="669" w:name="_Toc527023668"/>
      <w:bookmarkStart w:id="670" w:name="_Toc525828106"/>
      <w:bookmarkStart w:id="671" w:name="_Toc527022903"/>
      <w:bookmarkStart w:id="672" w:name="_Toc527023669"/>
      <w:bookmarkStart w:id="673" w:name="_Toc525828107"/>
      <w:bookmarkStart w:id="674" w:name="_Toc527022904"/>
      <w:bookmarkStart w:id="675" w:name="_Toc527023670"/>
      <w:bookmarkStart w:id="676" w:name="_Toc525828108"/>
      <w:bookmarkStart w:id="677" w:name="_Toc527022905"/>
      <w:bookmarkStart w:id="678" w:name="_Toc527023671"/>
      <w:bookmarkStart w:id="679" w:name="_Toc525828109"/>
      <w:bookmarkStart w:id="680" w:name="_Toc527022906"/>
      <w:bookmarkStart w:id="681" w:name="_Toc527023672"/>
      <w:bookmarkStart w:id="682" w:name="_Toc525828110"/>
      <w:bookmarkStart w:id="683" w:name="_Toc527022907"/>
      <w:bookmarkStart w:id="684" w:name="_Toc527023673"/>
      <w:bookmarkStart w:id="685" w:name="_Toc525828155"/>
      <w:bookmarkStart w:id="686" w:name="_Toc527022952"/>
      <w:bookmarkStart w:id="687" w:name="_Toc527023718"/>
      <w:bookmarkStart w:id="688" w:name="_Toc525828156"/>
      <w:bookmarkStart w:id="689" w:name="_Toc527022953"/>
      <w:bookmarkStart w:id="690" w:name="_Toc527023719"/>
      <w:bookmarkStart w:id="691" w:name="_Toc525828176"/>
      <w:bookmarkStart w:id="692" w:name="_Toc527022973"/>
      <w:bookmarkStart w:id="693" w:name="_Toc527023739"/>
      <w:bookmarkStart w:id="694" w:name="_Toc525828177"/>
      <w:bookmarkStart w:id="695" w:name="_Toc527022974"/>
      <w:bookmarkStart w:id="696" w:name="_Toc527023740"/>
      <w:bookmarkStart w:id="697" w:name="_Toc525828178"/>
      <w:bookmarkStart w:id="698" w:name="_Toc527022975"/>
      <w:bookmarkStart w:id="699" w:name="_Toc527023741"/>
      <w:bookmarkStart w:id="700" w:name="_Toc525828198"/>
      <w:bookmarkStart w:id="701" w:name="_Toc527022995"/>
      <w:bookmarkStart w:id="702" w:name="_Toc527023761"/>
      <w:bookmarkStart w:id="703" w:name="_Toc525828199"/>
      <w:bookmarkStart w:id="704" w:name="_Toc527022996"/>
      <w:bookmarkStart w:id="705" w:name="_Toc527023762"/>
      <w:bookmarkStart w:id="706" w:name="_Toc525828200"/>
      <w:bookmarkStart w:id="707" w:name="_Toc527022997"/>
      <w:bookmarkStart w:id="708" w:name="_Toc527023763"/>
      <w:bookmarkStart w:id="709" w:name="_Toc525828201"/>
      <w:bookmarkStart w:id="710" w:name="_Toc527022998"/>
      <w:bookmarkStart w:id="711" w:name="_Toc527023764"/>
      <w:bookmarkStart w:id="712" w:name="_Toc525828202"/>
      <w:bookmarkStart w:id="713" w:name="_Toc527022999"/>
      <w:bookmarkStart w:id="714" w:name="_Toc527023765"/>
      <w:bookmarkStart w:id="715" w:name="_Toc525828203"/>
      <w:bookmarkStart w:id="716" w:name="_Toc527023000"/>
      <w:bookmarkStart w:id="717" w:name="_Toc527023766"/>
      <w:bookmarkStart w:id="718" w:name="_Toc525828204"/>
      <w:bookmarkStart w:id="719" w:name="_Toc527023001"/>
      <w:bookmarkStart w:id="720" w:name="_Toc527023767"/>
      <w:bookmarkStart w:id="721" w:name="_Toc525828205"/>
      <w:bookmarkStart w:id="722" w:name="_Toc527023002"/>
      <w:bookmarkStart w:id="723" w:name="_Toc527023768"/>
      <w:bookmarkStart w:id="724" w:name="_Toc525828206"/>
      <w:bookmarkStart w:id="725" w:name="_Toc527023003"/>
      <w:bookmarkStart w:id="726" w:name="_Toc527023769"/>
      <w:bookmarkStart w:id="727" w:name="_Toc525828207"/>
      <w:bookmarkStart w:id="728" w:name="_Toc527023004"/>
      <w:bookmarkStart w:id="729" w:name="_Toc527023770"/>
      <w:bookmarkStart w:id="730" w:name="_Toc525828208"/>
      <w:bookmarkStart w:id="731" w:name="_Toc527023005"/>
      <w:bookmarkStart w:id="732" w:name="_Toc527023771"/>
      <w:bookmarkStart w:id="733" w:name="_Toc525828209"/>
      <w:bookmarkStart w:id="734" w:name="_Toc527023006"/>
      <w:bookmarkStart w:id="735" w:name="_Toc527023772"/>
      <w:bookmarkStart w:id="736" w:name="_Toc363810118"/>
      <w:bookmarkStart w:id="737" w:name="_Toc363810185"/>
      <w:bookmarkStart w:id="738" w:name="_Toc363810192"/>
      <w:bookmarkStart w:id="739" w:name="_Toc275867042"/>
      <w:bookmarkStart w:id="740" w:name="_Toc275867537"/>
      <w:bookmarkStart w:id="741" w:name="_Toc275878785"/>
      <w:bookmarkStart w:id="742" w:name="_Toc275902924"/>
      <w:bookmarkStart w:id="743" w:name="_Toc275942698"/>
      <w:bookmarkStart w:id="744" w:name="_Toc275942981"/>
      <w:bookmarkStart w:id="745" w:name="_Toc275943364"/>
      <w:bookmarkStart w:id="746" w:name="_Toc276630886"/>
      <w:bookmarkStart w:id="747" w:name="_Toc276631105"/>
      <w:bookmarkStart w:id="748" w:name="_Toc276631329"/>
      <w:bookmarkStart w:id="749" w:name="_Toc276631548"/>
      <w:bookmarkStart w:id="750" w:name="_Toc283146696"/>
      <w:bookmarkStart w:id="751" w:name="_Toc283154179"/>
      <w:bookmarkStart w:id="752" w:name="_Toc283715928"/>
      <w:bookmarkStart w:id="753" w:name="_Toc283719063"/>
      <w:bookmarkStart w:id="754" w:name="_Toc283719239"/>
      <w:bookmarkStart w:id="755" w:name="_Toc283719415"/>
      <w:bookmarkStart w:id="756" w:name="_Toc283738924"/>
      <w:bookmarkStart w:id="757" w:name="_Toc283739276"/>
      <w:bookmarkStart w:id="758" w:name="_Toc283739627"/>
      <w:bookmarkStart w:id="759" w:name="_Toc283739971"/>
      <w:bookmarkStart w:id="760" w:name="_Toc283740312"/>
      <w:bookmarkStart w:id="761" w:name="_Toc283740645"/>
      <w:bookmarkStart w:id="762" w:name="_Toc283740974"/>
      <w:bookmarkStart w:id="763" w:name="_Toc283741297"/>
      <w:bookmarkStart w:id="764" w:name="_Toc283741609"/>
      <w:bookmarkStart w:id="765" w:name="_Toc283741918"/>
      <w:bookmarkStart w:id="766" w:name="_Toc283742455"/>
      <w:bookmarkStart w:id="767" w:name="_Toc283742720"/>
      <w:bookmarkStart w:id="768" w:name="_Toc283742981"/>
      <w:bookmarkStart w:id="769" w:name="_Toc283743159"/>
      <w:bookmarkStart w:id="770" w:name="_Toc283743335"/>
      <w:bookmarkStart w:id="771" w:name="_Toc283743512"/>
      <w:bookmarkStart w:id="772" w:name="_Toc283743688"/>
      <w:bookmarkStart w:id="773" w:name="_Toc275867043"/>
      <w:bookmarkStart w:id="774" w:name="_Toc275867538"/>
      <w:bookmarkStart w:id="775" w:name="_Toc275878786"/>
      <w:bookmarkStart w:id="776" w:name="_Toc275902925"/>
      <w:bookmarkStart w:id="777" w:name="_Toc275942699"/>
      <w:bookmarkStart w:id="778" w:name="_Toc275942982"/>
      <w:bookmarkStart w:id="779" w:name="_Toc275943365"/>
      <w:bookmarkStart w:id="780" w:name="_Toc276630887"/>
      <w:bookmarkStart w:id="781" w:name="_Toc276631106"/>
      <w:bookmarkStart w:id="782" w:name="_Toc276631330"/>
      <w:bookmarkStart w:id="783" w:name="_Toc276631549"/>
      <w:bookmarkStart w:id="784" w:name="_Toc283146697"/>
      <w:bookmarkStart w:id="785" w:name="_Toc283154180"/>
      <w:bookmarkStart w:id="786" w:name="_Toc283715929"/>
      <w:bookmarkStart w:id="787" w:name="_Toc283719064"/>
      <w:bookmarkStart w:id="788" w:name="_Toc283719240"/>
      <w:bookmarkStart w:id="789" w:name="_Toc283719416"/>
      <w:bookmarkStart w:id="790" w:name="_Toc283738925"/>
      <w:bookmarkStart w:id="791" w:name="_Toc283739277"/>
      <w:bookmarkStart w:id="792" w:name="_Toc283739628"/>
      <w:bookmarkStart w:id="793" w:name="_Toc283739972"/>
      <w:bookmarkStart w:id="794" w:name="_Toc283740313"/>
      <w:bookmarkStart w:id="795" w:name="_Toc283740646"/>
      <w:bookmarkStart w:id="796" w:name="_Toc283740975"/>
      <w:bookmarkStart w:id="797" w:name="_Toc283741298"/>
      <w:bookmarkStart w:id="798" w:name="_Toc283741610"/>
      <w:bookmarkStart w:id="799" w:name="_Toc283741919"/>
      <w:bookmarkStart w:id="800" w:name="_Toc283742456"/>
      <w:bookmarkStart w:id="801" w:name="_Toc283742721"/>
      <w:bookmarkStart w:id="802" w:name="_Toc283742982"/>
      <w:bookmarkStart w:id="803" w:name="_Toc283743160"/>
      <w:bookmarkStart w:id="804" w:name="_Toc283743336"/>
      <w:bookmarkStart w:id="805" w:name="_Toc283743513"/>
      <w:bookmarkStart w:id="806" w:name="_Toc283743689"/>
      <w:bookmarkStart w:id="807" w:name="_Toc275867044"/>
      <w:bookmarkStart w:id="808" w:name="_Toc275867539"/>
      <w:bookmarkStart w:id="809" w:name="_Toc275878787"/>
      <w:bookmarkStart w:id="810" w:name="_Toc275902926"/>
      <w:bookmarkStart w:id="811" w:name="_Toc275942700"/>
      <w:bookmarkStart w:id="812" w:name="_Toc275942983"/>
      <w:bookmarkStart w:id="813" w:name="_Toc275943366"/>
      <w:bookmarkStart w:id="814" w:name="_Toc276630888"/>
      <w:bookmarkStart w:id="815" w:name="_Toc276631107"/>
      <w:bookmarkStart w:id="816" w:name="_Toc276631331"/>
      <w:bookmarkStart w:id="817" w:name="_Toc276631550"/>
      <w:bookmarkStart w:id="818" w:name="_Toc283146698"/>
      <w:bookmarkStart w:id="819" w:name="_Toc283154181"/>
      <w:bookmarkStart w:id="820" w:name="_Toc283715930"/>
      <w:bookmarkStart w:id="821" w:name="_Toc283719065"/>
      <w:bookmarkStart w:id="822" w:name="_Toc283719241"/>
      <w:bookmarkStart w:id="823" w:name="_Toc283719417"/>
      <w:bookmarkStart w:id="824" w:name="_Toc283738926"/>
      <w:bookmarkStart w:id="825" w:name="_Toc283739278"/>
      <w:bookmarkStart w:id="826" w:name="_Toc283739629"/>
      <w:bookmarkStart w:id="827" w:name="_Toc283739973"/>
      <w:bookmarkStart w:id="828" w:name="_Toc283740314"/>
      <w:bookmarkStart w:id="829" w:name="_Toc283740647"/>
      <w:bookmarkStart w:id="830" w:name="_Toc283740976"/>
      <w:bookmarkStart w:id="831" w:name="_Toc283741299"/>
      <w:bookmarkStart w:id="832" w:name="_Toc283741611"/>
      <w:bookmarkStart w:id="833" w:name="_Toc283741920"/>
      <w:bookmarkStart w:id="834" w:name="_Toc283742457"/>
      <w:bookmarkStart w:id="835" w:name="_Toc283742722"/>
      <w:bookmarkStart w:id="836" w:name="_Toc283742983"/>
      <w:bookmarkStart w:id="837" w:name="_Toc283743161"/>
      <w:bookmarkStart w:id="838" w:name="_Toc283743337"/>
      <w:bookmarkStart w:id="839" w:name="_Toc283743514"/>
      <w:bookmarkStart w:id="840" w:name="_Toc283743690"/>
      <w:bookmarkStart w:id="841" w:name="_Toc530133642"/>
      <w:bookmarkStart w:id="842" w:name="_Toc530134011"/>
      <w:bookmarkStart w:id="843" w:name="_Toc530140910"/>
      <w:bookmarkStart w:id="844" w:name="_Toc530141112"/>
      <w:bookmarkStart w:id="845" w:name="_Toc530141314"/>
      <w:bookmarkStart w:id="846" w:name="_Toc530141514"/>
      <w:bookmarkStart w:id="847" w:name="_Toc530133643"/>
      <w:bookmarkStart w:id="848" w:name="_Toc530134012"/>
      <w:bookmarkStart w:id="849" w:name="_Toc530140911"/>
      <w:bookmarkStart w:id="850" w:name="_Toc530141113"/>
      <w:bookmarkStart w:id="851" w:name="_Toc530141315"/>
      <w:bookmarkStart w:id="852" w:name="_Toc530141515"/>
      <w:bookmarkStart w:id="853" w:name="_Toc530133644"/>
      <w:bookmarkStart w:id="854" w:name="_Toc530134013"/>
      <w:bookmarkStart w:id="855" w:name="_Toc530140912"/>
      <w:bookmarkStart w:id="856" w:name="_Toc530141114"/>
      <w:bookmarkStart w:id="857" w:name="_Toc530141316"/>
      <w:bookmarkStart w:id="858" w:name="_Toc530141516"/>
      <w:bookmarkStart w:id="859" w:name="_Toc530133645"/>
      <w:bookmarkStart w:id="860" w:name="_Toc530134014"/>
      <w:bookmarkStart w:id="861" w:name="_Toc530140913"/>
      <w:bookmarkStart w:id="862" w:name="_Toc530141115"/>
      <w:bookmarkStart w:id="863" w:name="_Toc530141317"/>
      <w:bookmarkStart w:id="864" w:name="_Toc530141517"/>
      <w:bookmarkStart w:id="865" w:name="_Toc530133646"/>
      <w:bookmarkStart w:id="866" w:name="_Toc530134015"/>
      <w:bookmarkStart w:id="867" w:name="_Toc530140914"/>
      <w:bookmarkStart w:id="868" w:name="_Toc530141116"/>
      <w:bookmarkStart w:id="869" w:name="_Toc530141318"/>
      <w:bookmarkStart w:id="870" w:name="_Toc530141518"/>
      <w:bookmarkStart w:id="871" w:name="_Toc530133647"/>
      <w:bookmarkStart w:id="872" w:name="_Toc530134016"/>
      <w:bookmarkStart w:id="873" w:name="_Toc530140915"/>
      <w:bookmarkStart w:id="874" w:name="_Toc530141117"/>
      <w:bookmarkStart w:id="875" w:name="_Toc530141319"/>
      <w:bookmarkStart w:id="876" w:name="_Toc530141519"/>
      <w:bookmarkStart w:id="877" w:name="_Toc530133648"/>
      <w:bookmarkStart w:id="878" w:name="_Toc530134017"/>
      <w:bookmarkStart w:id="879" w:name="_Toc530140916"/>
      <w:bookmarkStart w:id="880" w:name="_Toc530141118"/>
      <w:bookmarkStart w:id="881" w:name="_Toc530141320"/>
      <w:bookmarkStart w:id="882" w:name="_Toc530141520"/>
      <w:bookmarkStart w:id="883" w:name="_Toc530133649"/>
      <w:bookmarkStart w:id="884" w:name="_Toc530134018"/>
      <w:bookmarkStart w:id="885" w:name="_Toc530140917"/>
      <w:bookmarkStart w:id="886" w:name="_Toc530141119"/>
      <w:bookmarkStart w:id="887" w:name="_Toc530141321"/>
      <w:bookmarkStart w:id="888" w:name="_Toc530141521"/>
      <w:bookmarkStart w:id="889" w:name="_Toc530133650"/>
      <w:bookmarkStart w:id="890" w:name="_Toc530134019"/>
      <w:bookmarkStart w:id="891" w:name="_Toc530140918"/>
      <w:bookmarkStart w:id="892" w:name="_Toc530141120"/>
      <w:bookmarkStart w:id="893" w:name="_Toc530141322"/>
      <w:bookmarkStart w:id="894" w:name="_Toc530141522"/>
      <w:bookmarkStart w:id="895" w:name="_Toc530133651"/>
      <w:bookmarkStart w:id="896" w:name="_Toc530134020"/>
      <w:bookmarkStart w:id="897" w:name="_Toc530140919"/>
      <w:bookmarkStart w:id="898" w:name="_Toc530141121"/>
      <w:bookmarkStart w:id="899" w:name="_Toc530141323"/>
      <w:bookmarkStart w:id="900" w:name="_Toc530141523"/>
      <w:bookmarkStart w:id="901" w:name="_Toc530133652"/>
      <w:bookmarkStart w:id="902" w:name="_Toc530134021"/>
      <w:bookmarkStart w:id="903" w:name="_Toc530140920"/>
      <w:bookmarkStart w:id="904" w:name="_Toc530141122"/>
      <w:bookmarkStart w:id="905" w:name="_Toc530141324"/>
      <w:bookmarkStart w:id="906" w:name="_Toc530141524"/>
      <w:bookmarkStart w:id="907" w:name="_Toc530133653"/>
      <w:bookmarkStart w:id="908" w:name="_Toc530134022"/>
      <w:bookmarkStart w:id="909" w:name="_Toc530140921"/>
      <w:bookmarkStart w:id="910" w:name="_Toc530141123"/>
      <w:bookmarkStart w:id="911" w:name="_Toc530141325"/>
      <w:bookmarkStart w:id="912" w:name="_Toc530141525"/>
      <w:bookmarkStart w:id="913" w:name="_Toc530133654"/>
      <w:bookmarkStart w:id="914" w:name="_Toc530134023"/>
      <w:bookmarkStart w:id="915" w:name="_Toc530140922"/>
      <w:bookmarkStart w:id="916" w:name="_Toc530141124"/>
      <w:bookmarkStart w:id="917" w:name="_Toc530141326"/>
      <w:bookmarkStart w:id="918" w:name="_Toc530141526"/>
      <w:bookmarkStart w:id="919" w:name="_Toc530133655"/>
      <w:bookmarkStart w:id="920" w:name="_Toc530134024"/>
      <w:bookmarkStart w:id="921" w:name="_Toc530140923"/>
      <w:bookmarkStart w:id="922" w:name="_Toc530141125"/>
      <w:bookmarkStart w:id="923" w:name="_Toc530141327"/>
      <w:bookmarkStart w:id="924" w:name="_Toc530141527"/>
      <w:bookmarkStart w:id="925" w:name="_Toc530133656"/>
      <w:bookmarkStart w:id="926" w:name="_Toc530134025"/>
      <w:bookmarkStart w:id="927" w:name="_Toc530140924"/>
      <w:bookmarkStart w:id="928" w:name="_Toc530141126"/>
      <w:bookmarkStart w:id="929" w:name="_Toc530141328"/>
      <w:bookmarkStart w:id="930" w:name="_Toc530141528"/>
      <w:bookmarkStart w:id="931" w:name="_Toc530133657"/>
      <w:bookmarkStart w:id="932" w:name="_Toc530134026"/>
      <w:bookmarkStart w:id="933" w:name="_Toc530140925"/>
      <w:bookmarkStart w:id="934" w:name="_Toc530141127"/>
      <w:bookmarkStart w:id="935" w:name="_Toc530141329"/>
      <w:bookmarkStart w:id="936" w:name="_Toc530141529"/>
      <w:bookmarkStart w:id="937" w:name="_Toc530133658"/>
      <w:bookmarkStart w:id="938" w:name="_Toc530134027"/>
      <w:bookmarkStart w:id="939" w:name="_Toc530140926"/>
      <w:bookmarkStart w:id="940" w:name="_Toc530141128"/>
      <w:bookmarkStart w:id="941" w:name="_Toc530141330"/>
      <w:bookmarkStart w:id="942" w:name="_Toc530141530"/>
      <w:bookmarkStart w:id="943" w:name="_Toc530133700"/>
      <w:bookmarkStart w:id="944" w:name="_Toc530134069"/>
      <w:bookmarkStart w:id="945" w:name="_Toc530140968"/>
      <w:bookmarkStart w:id="946" w:name="_Toc530141170"/>
      <w:bookmarkStart w:id="947" w:name="_Toc530141372"/>
      <w:bookmarkStart w:id="948" w:name="_Toc530141572"/>
      <w:bookmarkStart w:id="949" w:name="_Toc530133701"/>
      <w:bookmarkStart w:id="950" w:name="_Toc530134070"/>
      <w:bookmarkStart w:id="951" w:name="_Toc530140969"/>
      <w:bookmarkStart w:id="952" w:name="_Toc530141171"/>
      <w:bookmarkStart w:id="953" w:name="_Toc530141373"/>
      <w:bookmarkStart w:id="954" w:name="_Toc530141573"/>
      <w:bookmarkStart w:id="955" w:name="_Toc530133702"/>
      <w:bookmarkStart w:id="956" w:name="_Toc530134071"/>
      <w:bookmarkStart w:id="957" w:name="_Toc530140970"/>
      <w:bookmarkStart w:id="958" w:name="_Toc530141172"/>
      <w:bookmarkStart w:id="959" w:name="_Toc530141374"/>
      <w:bookmarkStart w:id="960" w:name="_Toc530141574"/>
      <w:bookmarkStart w:id="961" w:name="_Toc530133703"/>
      <w:bookmarkStart w:id="962" w:name="_Toc530134072"/>
      <w:bookmarkStart w:id="963" w:name="_Toc530140971"/>
      <w:bookmarkStart w:id="964" w:name="_Toc530141173"/>
      <w:bookmarkStart w:id="965" w:name="_Toc530141375"/>
      <w:bookmarkStart w:id="966" w:name="_Toc530141575"/>
      <w:bookmarkStart w:id="967" w:name="_Toc530133708"/>
      <w:bookmarkStart w:id="968" w:name="_Toc530134077"/>
      <w:bookmarkStart w:id="969" w:name="_Toc530140976"/>
      <w:bookmarkStart w:id="970" w:name="_Toc530141178"/>
      <w:bookmarkStart w:id="971" w:name="_Toc530141380"/>
      <w:bookmarkStart w:id="972" w:name="_Toc530141580"/>
      <w:bookmarkStart w:id="973" w:name="_Toc530133724"/>
      <w:bookmarkStart w:id="974" w:name="_Toc530134093"/>
      <w:bookmarkStart w:id="975" w:name="_Toc530140992"/>
      <w:bookmarkStart w:id="976" w:name="_Toc530141194"/>
      <w:bookmarkStart w:id="977" w:name="_Toc530141396"/>
      <w:bookmarkStart w:id="978" w:name="_Toc530141596"/>
      <w:bookmarkStart w:id="979" w:name="_Toc530133725"/>
      <w:bookmarkStart w:id="980" w:name="_Toc530134094"/>
      <w:bookmarkStart w:id="981" w:name="_Toc530140993"/>
      <w:bookmarkStart w:id="982" w:name="_Toc530141195"/>
      <w:bookmarkStart w:id="983" w:name="_Toc530141397"/>
      <w:bookmarkStart w:id="984" w:name="_Toc530141597"/>
      <w:bookmarkStart w:id="985" w:name="_Toc530133726"/>
      <w:bookmarkStart w:id="986" w:name="_Toc530134095"/>
      <w:bookmarkStart w:id="987" w:name="_Toc530140994"/>
      <w:bookmarkStart w:id="988" w:name="_Toc530141196"/>
      <w:bookmarkStart w:id="989" w:name="_Toc530141398"/>
      <w:bookmarkStart w:id="990" w:name="_Toc530141598"/>
      <w:bookmarkStart w:id="991" w:name="_Toc530133727"/>
      <w:bookmarkStart w:id="992" w:name="_Toc530134096"/>
      <w:bookmarkStart w:id="993" w:name="_Toc530140995"/>
      <w:bookmarkStart w:id="994" w:name="_Toc530141197"/>
      <w:bookmarkStart w:id="995" w:name="_Toc530141399"/>
      <w:bookmarkStart w:id="996" w:name="_Toc530141599"/>
      <w:bookmarkStart w:id="997" w:name="_Toc530133744"/>
      <w:bookmarkStart w:id="998" w:name="_Toc530134113"/>
      <w:bookmarkStart w:id="999" w:name="_Toc530141012"/>
      <w:bookmarkStart w:id="1000" w:name="_Toc530141214"/>
      <w:bookmarkStart w:id="1001" w:name="_Toc530141416"/>
      <w:bookmarkStart w:id="1002" w:name="_Toc530141616"/>
      <w:bookmarkStart w:id="1003" w:name="_Toc530133745"/>
      <w:bookmarkStart w:id="1004" w:name="_Toc530134114"/>
      <w:bookmarkStart w:id="1005" w:name="_Toc530141013"/>
      <w:bookmarkStart w:id="1006" w:name="_Toc530141215"/>
      <w:bookmarkStart w:id="1007" w:name="_Toc530141417"/>
      <w:bookmarkStart w:id="1008" w:name="_Toc530141617"/>
      <w:bookmarkStart w:id="1009" w:name="_Toc530133746"/>
      <w:bookmarkStart w:id="1010" w:name="_Toc530134115"/>
      <w:bookmarkStart w:id="1011" w:name="_Toc530141014"/>
      <w:bookmarkStart w:id="1012" w:name="_Toc530141216"/>
      <w:bookmarkStart w:id="1013" w:name="_Toc530141418"/>
      <w:bookmarkStart w:id="1014" w:name="_Toc530141618"/>
      <w:bookmarkStart w:id="1015" w:name="_Toc530133747"/>
      <w:bookmarkStart w:id="1016" w:name="_Toc530134116"/>
      <w:bookmarkStart w:id="1017" w:name="_Toc530141015"/>
      <w:bookmarkStart w:id="1018" w:name="_Toc530141217"/>
      <w:bookmarkStart w:id="1019" w:name="_Toc530141419"/>
      <w:bookmarkStart w:id="1020" w:name="_Toc530141619"/>
      <w:bookmarkStart w:id="1021" w:name="_Toc530133748"/>
      <w:bookmarkStart w:id="1022" w:name="_Toc530134117"/>
      <w:bookmarkStart w:id="1023" w:name="_Toc530141016"/>
      <w:bookmarkStart w:id="1024" w:name="_Toc530141218"/>
      <w:bookmarkStart w:id="1025" w:name="_Toc530141420"/>
      <w:bookmarkStart w:id="1026" w:name="_Toc530141620"/>
      <w:bookmarkStart w:id="1027" w:name="_Toc530133749"/>
      <w:bookmarkStart w:id="1028" w:name="_Toc530134118"/>
      <w:bookmarkStart w:id="1029" w:name="_Toc530141017"/>
      <w:bookmarkStart w:id="1030" w:name="_Toc530141219"/>
      <w:bookmarkStart w:id="1031" w:name="_Toc530141421"/>
      <w:bookmarkStart w:id="1032" w:name="_Toc530141621"/>
      <w:bookmarkStart w:id="1033" w:name="_Toc530133750"/>
      <w:bookmarkStart w:id="1034" w:name="_Toc530134119"/>
      <w:bookmarkStart w:id="1035" w:name="_Toc530141018"/>
      <w:bookmarkStart w:id="1036" w:name="_Toc530141220"/>
      <w:bookmarkStart w:id="1037" w:name="_Toc530141422"/>
      <w:bookmarkStart w:id="1038" w:name="_Toc530141622"/>
      <w:bookmarkStart w:id="1039" w:name="_Toc530133751"/>
      <w:bookmarkStart w:id="1040" w:name="_Toc530134120"/>
      <w:bookmarkStart w:id="1041" w:name="_Toc530141019"/>
      <w:bookmarkStart w:id="1042" w:name="_Toc530141221"/>
      <w:bookmarkStart w:id="1043" w:name="_Toc530141423"/>
      <w:bookmarkStart w:id="1044" w:name="_Toc530141623"/>
      <w:bookmarkStart w:id="1045" w:name="_Toc530133752"/>
      <w:bookmarkStart w:id="1046" w:name="_Toc530134121"/>
      <w:bookmarkStart w:id="1047" w:name="_Toc530141020"/>
      <w:bookmarkStart w:id="1048" w:name="_Toc530141222"/>
      <w:bookmarkStart w:id="1049" w:name="_Toc530141424"/>
      <w:bookmarkStart w:id="1050" w:name="_Toc530141624"/>
      <w:bookmarkStart w:id="1051" w:name="_Toc530133753"/>
      <w:bookmarkStart w:id="1052" w:name="_Toc530134122"/>
      <w:bookmarkStart w:id="1053" w:name="_Toc530141021"/>
      <w:bookmarkStart w:id="1054" w:name="_Toc530141223"/>
      <w:bookmarkStart w:id="1055" w:name="_Toc530141425"/>
      <w:bookmarkStart w:id="1056" w:name="_Toc530141625"/>
      <w:bookmarkStart w:id="1057" w:name="_Toc530133754"/>
      <w:bookmarkStart w:id="1058" w:name="_Toc530134123"/>
      <w:bookmarkStart w:id="1059" w:name="_Toc530141022"/>
      <w:bookmarkStart w:id="1060" w:name="_Toc530141224"/>
      <w:bookmarkStart w:id="1061" w:name="_Toc530141426"/>
      <w:bookmarkStart w:id="1062" w:name="_Toc530141626"/>
      <w:bookmarkStart w:id="1063" w:name="_Toc530133755"/>
      <w:bookmarkStart w:id="1064" w:name="_Toc530134124"/>
      <w:bookmarkStart w:id="1065" w:name="_Toc530141023"/>
      <w:bookmarkStart w:id="1066" w:name="_Toc530141225"/>
      <w:bookmarkStart w:id="1067" w:name="_Toc530141427"/>
      <w:bookmarkStart w:id="1068" w:name="_Toc530141627"/>
      <w:bookmarkStart w:id="1069" w:name="_Toc530133756"/>
      <w:bookmarkStart w:id="1070" w:name="_Toc530134125"/>
      <w:bookmarkStart w:id="1071" w:name="_Toc530141024"/>
      <w:bookmarkStart w:id="1072" w:name="_Toc530141226"/>
      <w:bookmarkStart w:id="1073" w:name="_Toc530141428"/>
      <w:bookmarkStart w:id="1074" w:name="_Toc530141628"/>
      <w:bookmarkStart w:id="1075" w:name="_Toc373320440"/>
      <w:bookmarkStart w:id="1076" w:name="_Toc364420788"/>
      <w:bookmarkStart w:id="1077" w:name="_Toc373320425"/>
      <w:bookmarkStart w:id="1078" w:name="_Toc364760903"/>
      <w:bookmarkEnd w:id="529"/>
      <w:bookmarkEnd w:id="530"/>
      <w:bookmarkEnd w:id="531"/>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34E78CBC" w14:textId="77777777" w:rsidR="004E6452" w:rsidRPr="001570EA" w:rsidRDefault="004E6452" w:rsidP="004E6452">
      <w:pPr>
        <w:rPr>
          <w:rFonts w:eastAsiaTheme="minorHAnsi" w:cs="Arial"/>
          <w:lang w:val="fr-FR"/>
        </w:rPr>
        <w:sectPr w:rsidR="004E6452" w:rsidRPr="001570EA" w:rsidSect="002D556C">
          <w:footerReference w:type="first" r:id="rId300"/>
          <w:pgSz w:w="12240" w:h="15840"/>
          <w:pgMar w:top="1440" w:right="1800" w:bottom="1440" w:left="1800" w:header="720" w:footer="501" w:gutter="0"/>
          <w:cols w:space="720"/>
        </w:sectPr>
      </w:pPr>
    </w:p>
    <w:p w14:paraId="320ECDFB" w14:textId="77777777" w:rsidR="004E6452" w:rsidRPr="001570EA" w:rsidRDefault="004E6452" w:rsidP="00462D97">
      <w:pPr>
        <w:pStyle w:val="Heading3"/>
      </w:pPr>
      <w:bookmarkStart w:id="1079" w:name="_Toc48143050"/>
      <w:bookmarkStart w:id="1080" w:name="_Toc164786672"/>
      <w:r w:rsidRPr="001570EA">
        <w:t>ENERGY STAR Ceiling Fans</w:t>
      </w:r>
      <w:bookmarkEnd w:id="1079"/>
      <w:bookmarkEnd w:id="10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4970"/>
      </w:tblGrid>
      <w:tr w:rsidR="004E6452" w:rsidRPr="001570EA" w14:paraId="00CBB7BE" w14:textId="77777777">
        <w:tc>
          <w:tcPr>
            <w:tcW w:w="3552" w:type="dxa"/>
            <w:shd w:val="clear" w:color="auto" w:fill="auto"/>
          </w:tcPr>
          <w:p w14:paraId="7D00ED2C" w14:textId="77777777" w:rsidR="004E6452" w:rsidRPr="001570EA" w:rsidRDefault="004E6452">
            <w:pPr>
              <w:pStyle w:val="TableCell"/>
              <w:spacing w:before="60" w:after="60"/>
              <w:rPr>
                <w:b/>
                <w:sz w:val="20"/>
              </w:rPr>
            </w:pPr>
            <w:r w:rsidRPr="001570EA">
              <w:rPr>
                <w:b/>
              </w:rPr>
              <w:t>Target Sector</w:t>
            </w:r>
          </w:p>
        </w:tc>
        <w:tc>
          <w:tcPr>
            <w:tcW w:w="4970" w:type="dxa"/>
            <w:shd w:val="clear" w:color="auto" w:fill="auto"/>
          </w:tcPr>
          <w:p w14:paraId="2797ACC5" w14:textId="77777777" w:rsidR="004E6452" w:rsidRPr="001570EA" w:rsidRDefault="004E6452">
            <w:pPr>
              <w:pStyle w:val="TableCell"/>
              <w:spacing w:before="60" w:after="60"/>
              <w:jc w:val="center"/>
              <w:rPr>
                <w:rFonts w:eastAsia="Arial Unicode MS" w:cs="Arial"/>
                <w:i/>
                <w:iCs/>
                <w:sz w:val="20"/>
                <w:szCs w:val="24"/>
              </w:rPr>
            </w:pPr>
            <w:r w:rsidRPr="001570EA">
              <w:t>Residential</w:t>
            </w:r>
          </w:p>
        </w:tc>
      </w:tr>
      <w:tr w:rsidR="004E6452" w:rsidRPr="001570EA" w14:paraId="3264AF9E" w14:textId="77777777">
        <w:tc>
          <w:tcPr>
            <w:tcW w:w="3552" w:type="dxa"/>
            <w:shd w:val="clear" w:color="auto" w:fill="auto"/>
          </w:tcPr>
          <w:p w14:paraId="2254B404" w14:textId="77777777" w:rsidR="004E6452" w:rsidRPr="001570EA" w:rsidRDefault="004E6452">
            <w:pPr>
              <w:pStyle w:val="TableCell"/>
              <w:spacing w:before="60" w:after="60"/>
              <w:rPr>
                <w:b/>
                <w:sz w:val="20"/>
              </w:rPr>
            </w:pPr>
            <w:r w:rsidRPr="001570EA">
              <w:rPr>
                <w:b/>
              </w:rPr>
              <w:t>Measure Unit</w:t>
            </w:r>
          </w:p>
        </w:tc>
        <w:tc>
          <w:tcPr>
            <w:tcW w:w="4970" w:type="dxa"/>
            <w:shd w:val="clear" w:color="auto" w:fill="auto"/>
          </w:tcPr>
          <w:p w14:paraId="268AB594" w14:textId="77777777" w:rsidR="004E6452" w:rsidRPr="001570EA" w:rsidRDefault="004E6452">
            <w:pPr>
              <w:pStyle w:val="TableCell"/>
              <w:spacing w:before="60" w:after="60"/>
              <w:jc w:val="center"/>
              <w:rPr>
                <w:rFonts w:eastAsia="Arial Unicode MS" w:cs="Arial"/>
                <w:i/>
                <w:iCs/>
                <w:sz w:val="20"/>
                <w:szCs w:val="24"/>
              </w:rPr>
            </w:pPr>
            <w:r w:rsidRPr="001570EA">
              <w:t>Ceiling Fan Unit</w:t>
            </w:r>
          </w:p>
        </w:tc>
      </w:tr>
      <w:tr w:rsidR="004E6452" w:rsidRPr="001570EA" w14:paraId="1EB4C2F8" w14:textId="77777777">
        <w:tc>
          <w:tcPr>
            <w:tcW w:w="3552" w:type="dxa"/>
            <w:shd w:val="clear" w:color="auto" w:fill="auto"/>
          </w:tcPr>
          <w:p w14:paraId="5BB20F1C" w14:textId="77777777" w:rsidR="004E6452" w:rsidRPr="001570EA" w:rsidRDefault="004E6452">
            <w:pPr>
              <w:pStyle w:val="TableCell"/>
              <w:spacing w:before="60" w:after="60"/>
              <w:rPr>
                <w:b/>
                <w:sz w:val="20"/>
              </w:rPr>
            </w:pPr>
            <w:r w:rsidRPr="001570EA">
              <w:rPr>
                <w:b/>
              </w:rPr>
              <w:t>Measure Life</w:t>
            </w:r>
          </w:p>
        </w:tc>
        <w:tc>
          <w:tcPr>
            <w:tcW w:w="4970" w:type="dxa"/>
            <w:shd w:val="clear" w:color="auto" w:fill="auto"/>
            <w:vAlign w:val="center"/>
          </w:tcPr>
          <w:p w14:paraId="58FA8B09" w14:textId="6494819A" w:rsidR="004E6452" w:rsidRPr="001570EA" w:rsidRDefault="004E6452">
            <w:pPr>
              <w:pStyle w:val="TableCell"/>
              <w:spacing w:before="60" w:after="60"/>
              <w:jc w:val="center"/>
              <w:rPr>
                <w:color w:val="000000"/>
              </w:rPr>
            </w:pPr>
            <w:r w:rsidRPr="001570EA">
              <w:rPr>
                <w:color w:val="000000"/>
              </w:rPr>
              <w:t>10 years</w:t>
            </w:r>
            <w:r w:rsidRPr="001570EA">
              <w:rPr>
                <w:color w:val="000000"/>
                <w:vertAlign w:val="superscript"/>
              </w:rPr>
              <w:t>Source 1</w:t>
            </w:r>
          </w:p>
        </w:tc>
      </w:tr>
      <w:tr w:rsidR="004E6452" w:rsidRPr="001570EA" w14:paraId="1E0113C6" w14:textId="77777777">
        <w:tc>
          <w:tcPr>
            <w:tcW w:w="3552" w:type="dxa"/>
            <w:shd w:val="clear" w:color="auto" w:fill="auto"/>
          </w:tcPr>
          <w:p w14:paraId="17A870C0" w14:textId="77777777" w:rsidR="004E6452" w:rsidRPr="001570EA" w:rsidRDefault="004E6452">
            <w:pPr>
              <w:pStyle w:val="TableCell"/>
              <w:spacing w:before="60" w:after="60"/>
              <w:rPr>
                <w:b/>
              </w:rPr>
            </w:pPr>
            <w:r w:rsidRPr="001570EA">
              <w:rPr>
                <w:b/>
              </w:rPr>
              <w:t>Vintage</w:t>
            </w:r>
          </w:p>
        </w:tc>
        <w:tc>
          <w:tcPr>
            <w:tcW w:w="4970" w:type="dxa"/>
            <w:shd w:val="clear" w:color="auto" w:fill="auto"/>
          </w:tcPr>
          <w:p w14:paraId="33FA2242" w14:textId="77777777" w:rsidR="004E6452" w:rsidRPr="001570EA" w:rsidRDefault="004E6452">
            <w:pPr>
              <w:pStyle w:val="TableCell"/>
              <w:spacing w:before="60" w:after="60"/>
              <w:jc w:val="center"/>
              <w:rPr>
                <w:color w:val="000000"/>
              </w:rPr>
            </w:pPr>
            <w:r w:rsidRPr="001570EA">
              <w:rPr>
                <w:color w:val="000000"/>
              </w:rPr>
              <w:t>Replace on Burnout</w:t>
            </w:r>
          </w:p>
        </w:tc>
      </w:tr>
    </w:tbl>
    <w:p w14:paraId="2A604595" w14:textId="77777777" w:rsidR="004E6452" w:rsidRPr="001570EA" w:rsidRDefault="004E6452" w:rsidP="004E6452"/>
    <w:p w14:paraId="4A5A36E0" w14:textId="77777777" w:rsidR="004E6452" w:rsidRPr="001570EA" w:rsidRDefault="004E6452" w:rsidP="004E6452">
      <w:pPr>
        <w:pStyle w:val="BodyText"/>
        <w:ind w:right="0"/>
      </w:pPr>
      <w:r w:rsidRPr="001570EA">
        <w:t>ENERGY STAR ceiling fans require a more efficient CFM/Watt rating than standard ceiling fans.</w:t>
      </w:r>
    </w:p>
    <w:p w14:paraId="01F80FBD" w14:textId="77777777" w:rsidR="004E6452" w:rsidRPr="001570EA" w:rsidRDefault="004E6452" w:rsidP="004E6452"/>
    <w:p w14:paraId="24806967" w14:textId="77777777" w:rsidR="004E6452" w:rsidRPr="001570EA" w:rsidRDefault="004E6452" w:rsidP="004E6452">
      <w:pPr>
        <w:pStyle w:val="SubStyle"/>
      </w:pPr>
      <w:r w:rsidRPr="001570EA">
        <w:t>Eligibility</w:t>
      </w:r>
    </w:p>
    <w:p w14:paraId="6D58608C" w14:textId="77777777" w:rsidR="004E6452" w:rsidRPr="001570EA" w:rsidRDefault="004E6452" w:rsidP="004E6452">
      <w:pPr>
        <w:pStyle w:val="BodyText"/>
        <w:ind w:right="0"/>
      </w:pPr>
      <w:r w:rsidRPr="001570EA">
        <w:t xml:space="preserve">This protocol documents the energy savings attributed to installing an ENERGY STAR ceiling </w:t>
      </w:r>
    </w:p>
    <w:p w14:paraId="727CBA51" w14:textId="303CCAC9" w:rsidR="004E6452" w:rsidRPr="001570EA" w:rsidRDefault="004E6452" w:rsidP="004E6452">
      <w:pPr>
        <w:pStyle w:val="BodyText"/>
        <w:ind w:right="0"/>
      </w:pPr>
      <w:r w:rsidRPr="001570EA">
        <w:t>fan</w:t>
      </w:r>
      <w:r w:rsidRPr="001570EA">
        <w:rPr>
          <w:vertAlign w:val="superscript"/>
        </w:rPr>
        <w:t>Source 2</w:t>
      </w:r>
      <w:r w:rsidRPr="001570EA">
        <w:t xml:space="preserve"> in lieu of a ceiling fan meeting federal efficiency requirements.</w:t>
      </w:r>
      <w:r w:rsidRPr="001570EA">
        <w:rPr>
          <w:vertAlign w:val="superscript"/>
        </w:rPr>
        <w:t>Source 3</w:t>
      </w:r>
      <w:r w:rsidRPr="001570EA">
        <w:t xml:space="preserve">  </w:t>
      </w:r>
      <w:r w:rsidRPr="001570EA" w:rsidDel="002E1CB8">
        <w:t xml:space="preserve"> </w:t>
      </w:r>
    </w:p>
    <w:p w14:paraId="36049F27" w14:textId="77777777" w:rsidR="004E6452" w:rsidRPr="001570EA" w:rsidRDefault="004E6452" w:rsidP="004E6452"/>
    <w:p w14:paraId="6A5A5A08" w14:textId="77777777" w:rsidR="004E6452" w:rsidRPr="001570EA" w:rsidRDefault="004E6452" w:rsidP="004E6452">
      <w:pPr>
        <w:pStyle w:val="SubStyle"/>
      </w:pPr>
      <w:r w:rsidRPr="001570EA">
        <w:t>Algorithms</w:t>
      </w:r>
    </w:p>
    <w:p w14:paraId="273CCDF5" w14:textId="77777777" w:rsidR="004E6452" w:rsidRPr="001570EA" w:rsidRDefault="004E6452" w:rsidP="004E6452">
      <w:pPr>
        <w:pStyle w:val="NoSpacing"/>
      </w:pPr>
      <w:r w:rsidRPr="001570EA">
        <w:t>The energy and peak demand savings are obtained through the following formulas. These algorithms do not seek to estimate the behavioral change attributable to the use of a ceiling fan versus a lower AC setting.</w:t>
      </w:r>
    </w:p>
    <w:p w14:paraId="62B5FCCE" w14:textId="77777777" w:rsidR="004E6452" w:rsidRPr="001570EA" w:rsidRDefault="004E6452" w:rsidP="004E6452">
      <w:pPr>
        <w:pStyle w:val="BodyText"/>
      </w:pPr>
    </w:p>
    <w:p w14:paraId="7AB04BA4" w14:textId="77777777" w:rsidR="004E6452" w:rsidRPr="001570EA" w:rsidRDefault="004E6452" w:rsidP="004E6452">
      <w:pPr>
        <w:pStyle w:val="Equation"/>
        <w:ind w:left="0" w:firstLine="0"/>
        <w:rPr>
          <w:i w:val="0"/>
          <w:szCs w:val="20"/>
        </w:rPr>
      </w:pPr>
      <m:oMathPara>
        <m:oMathParaPr>
          <m:jc m:val="left"/>
        </m:oMathParaPr>
        <m:oMath>
          <m:r>
            <w:rPr>
              <w:rFonts w:ascii="Cambria Math" w:hAnsi="Cambria Math"/>
            </w:rPr>
            <m:t>∆</m:t>
          </m:r>
          <m:r>
            <w:rPr>
              <w:rFonts w:ascii="Cambria Math" w:hAnsi="Cambria Math" w:cs="Arial"/>
              <w:szCs w:val="20"/>
            </w:rPr>
            <m:t xml:space="preserve">kWh       = </m:t>
          </m:r>
          <m:sSub>
            <m:sSubPr>
              <m:ctrlPr>
                <w:rPr>
                  <w:rFonts w:ascii="Cambria Math" w:hAnsi="Cambria Math" w:cs="Arial"/>
                  <w:i w:val="0"/>
                  <w:szCs w:val="20"/>
                </w:rPr>
              </m:ctrlPr>
            </m:sSubPr>
            <m:e>
              <m:r>
                <w:rPr>
                  <w:rFonts w:ascii="Cambria Math" w:hAnsi="Cambria Math"/>
                </w:rPr>
                <m:t>∆</m:t>
              </m:r>
              <m:r>
                <w:rPr>
                  <w:rFonts w:ascii="Cambria Math" w:hAnsi="Cambria Math" w:cs="Arial"/>
                  <w:szCs w:val="20"/>
                </w:rPr>
                <m:t>W</m:t>
              </m:r>
            </m:e>
            <m:sub>
              <m:r>
                <w:rPr>
                  <w:rFonts w:ascii="Cambria Math" w:hAnsi="Cambria Math" w:cs="Arial"/>
                  <w:szCs w:val="20"/>
                </w:rPr>
                <m:t>fan</m:t>
              </m:r>
            </m:sub>
          </m:sSub>
          <m:r>
            <w:rPr>
              <w:rFonts w:ascii="Cambria Math" w:hAnsi="Cambria Math"/>
              <w:szCs w:val="20"/>
            </w:rPr>
            <m:t>×</m:t>
          </m:r>
          <m:f>
            <m:fPr>
              <m:ctrlPr>
                <w:rPr>
                  <w:rFonts w:ascii="Cambria Math" w:hAnsi="Cambria Math"/>
                  <w:i w:val="0"/>
                  <w:szCs w:val="20"/>
                </w:rPr>
              </m:ctrlPr>
            </m:fPr>
            <m:num>
              <m:r>
                <w:rPr>
                  <w:rFonts w:ascii="Cambria Math" w:hAnsi="Cambria Math"/>
                  <w:szCs w:val="20"/>
                </w:rPr>
                <m:t>1</m:t>
              </m:r>
            </m:num>
            <m:den>
              <m:r>
                <w:rPr>
                  <w:rFonts w:ascii="Cambria Math" w:hAnsi="Cambria Math"/>
                  <w:szCs w:val="20"/>
                </w:rPr>
                <m:t>1,000</m:t>
              </m:r>
            </m:den>
          </m:f>
          <m:r>
            <w:rPr>
              <w:rFonts w:ascii="Cambria Math" w:hAnsi="Cambria Math"/>
              <w:szCs w:val="20"/>
            </w:rPr>
            <m:t>×</m:t>
          </m:r>
          <m:sSub>
            <m:sSubPr>
              <m:ctrlPr>
                <w:rPr>
                  <w:rFonts w:ascii="Cambria Math" w:hAnsi="Cambria Math"/>
                  <w:i w:val="0"/>
                  <w:szCs w:val="20"/>
                </w:rPr>
              </m:ctrlPr>
            </m:sSubPr>
            <m:e>
              <m:r>
                <w:rPr>
                  <w:rFonts w:ascii="Cambria Math" w:hAnsi="Cambria Math"/>
                  <w:szCs w:val="20"/>
                </w:rPr>
                <m:t>HOU</m:t>
              </m:r>
            </m:e>
            <m:sub>
              <m:r>
                <w:rPr>
                  <w:rFonts w:ascii="Cambria Math" w:hAnsi="Cambria Math"/>
                  <w:szCs w:val="20"/>
                </w:rPr>
                <m:t>fan</m:t>
              </m:r>
            </m:sub>
          </m:sSub>
          <m:r>
            <w:rPr>
              <w:rFonts w:ascii="Cambria Math" w:hAnsi="Cambria Math"/>
              <w:szCs w:val="20"/>
            </w:rPr>
            <m:t>×365</m:t>
          </m:r>
        </m:oMath>
      </m:oMathPara>
    </w:p>
    <w:p w14:paraId="5852C67E" w14:textId="77777777" w:rsidR="004E6452" w:rsidRPr="001570EA" w:rsidRDefault="004E6452" w:rsidP="004E6452">
      <w:pPr>
        <w:pStyle w:val="Equation"/>
        <w:ind w:left="0" w:firstLine="0"/>
        <w:rPr>
          <w:i w:val="0"/>
          <w:szCs w:val="20"/>
        </w:rPr>
      </w:pPr>
    </w:p>
    <w:p w14:paraId="7A95A99C" w14:textId="77777777" w:rsidR="004E6452" w:rsidRPr="001570EA" w:rsidRDefault="004E6452" w:rsidP="004E6452">
      <w:pPr>
        <w:pStyle w:val="Equation"/>
        <w:ind w:left="0" w:firstLine="0"/>
        <w:rPr>
          <w:szCs w:val="20"/>
        </w:rPr>
      </w:pPr>
    </w:p>
    <w:p w14:paraId="5A98BDB5" w14:textId="77777777" w:rsidR="004E6452" w:rsidRPr="001570EA" w:rsidRDefault="003B5E04" w:rsidP="004E6452">
      <w:pPr>
        <w:pStyle w:val="Equation"/>
        <w:ind w:left="0" w:firstLine="0"/>
        <w:rPr>
          <w:szCs w:val="20"/>
        </w:rPr>
      </w:pPr>
      <m:oMathPara>
        <m:oMathParaPr>
          <m:jc m:val="left"/>
        </m:oMathParaPr>
        <m:oMath>
          <m:sSub>
            <m:sSubPr>
              <m:ctrlPr>
                <w:rPr>
                  <w:rFonts w:ascii="Cambria Math" w:hAnsi="Cambria Math" w:cs="Arial"/>
                  <w:i w:val="0"/>
                  <w:szCs w:val="20"/>
                </w:rPr>
              </m:ctrlPr>
            </m:sSubPr>
            <m:e>
              <m:r>
                <w:rPr>
                  <w:rFonts w:ascii="Cambria Math" w:hAnsi="Cambria Math"/>
                </w:rPr>
                <m:t>∆</m:t>
              </m:r>
              <m:r>
                <w:rPr>
                  <w:rFonts w:ascii="Cambria Math" w:hAnsi="Cambria Math" w:cs="Arial"/>
                  <w:szCs w:val="20"/>
                </w:rPr>
                <m:t>kW</m:t>
              </m:r>
            </m:e>
            <m:sub>
              <m:r>
                <w:rPr>
                  <w:rFonts w:ascii="Cambria Math" w:hAnsi="Cambria Math" w:cs="Arial"/>
                  <w:szCs w:val="20"/>
                </w:rPr>
                <m:t>summer peak</m:t>
              </m:r>
            </m:sub>
          </m:sSub>
          <m:r>
            <w:rPr>
              <w:rFonts w:ascii="Cambria Math" w:hAnsi="Cambria Math" w:cs="Arial"/>
              <w:szCs w:val="20"/>
            </w:rPr>
            <m:t xml:space="preserve">       =</m:t>
          </m:r>
          <m:r>
            <w:rPr>
              <w:rFonts w:ascii="Cambria Math" w:hAnsi="Cambria Math"/>
            </w:rPr>
            <m:t>∆</m:t>
          </m:r>
          <m:r>
            <w:rPr>
              <w:rFonts w:ascii="Cambria Math" w:hAnsi="Cambria Math"/>
              <w:szCs w:val="20"/>
            </w:rPr>
            <m:t>kWh ×ETD</m:t>
          </m:r>
          <m:sSub>
            <m:sSubPr>
              <m:ctrlPr>
                <w:rPr>
                  <w:rFonts w:ascii="Cambria Math" w:hAnsi="Cambria Math"/>
                  <w:szCs w:val="20"/>
                </w:rPr>
              </m:ctrlPr>
            </m:sSubPr>
            <m:e>
              <m:r>
                <w:rPr>
                  <w:rFonts w:ascii="Cambria Math" w:hAnsi="Cambria Math"/>
                  <w:szCs w:val="20"/>
                </w:rPr>
                <m:t>F</m:t>
              </m:r>
            </m:e>
            <m:sub>
              <m:r>
                <w:rPr>
                  <w:rFonts w:ascii="Cambria Math" w:hAnsi="Cambria Math"/>
                  <w:szCs w:val="20"/>
                </w:rPr>
                <m:t>s</m:t>
              </m:r>
            </m:sub>
          </m:sSub>
        </m:oMath>
      </m:oMathPara>
    </w:p>
    <w:p w14:paraId="30B2A24B" w14:textId="77777777" w:rsidR="004E6452" w:rsidRPr="001570EA" w:rsidRDefault="004E6452" w:rsidP="004E6452">
      <w:pPr>
        <w:pStyle w:val="Equation"/>
        <w:ind w:left="0" w:firstLine="0"/>
        <w:rPr>
          <w:rFonts w:ascii="Cambria Math" w:hAnsi="Cambria Math"/>
          <w:szCs w:val="20"/>
        </w:rPr>
      </w:pPr>
    </w:p>
    <w:p w14:paraId="5008F368" w14:textId="77777777" w:rsidR="004E6452" w:rsidRPr="001570EA" w:rsidRDefault="003B5E04" w:rsidP="004E6452">
      <w:pPr>
        <w:pStyle w:val="Equation"/>
        <w:ind w:left="0" w:firstLine="0"/>
        <w:rPr>
          <w:rFonts w:ascii="Arial Black" w:hAnsi="Arial Black"/>
          <w:b/>
          <w:smallCaps/>
          <w:color w:val="44546A" w:themeColor="text2"/>
          <w:spacing w:val="40"/>
        </w:rPr>
      </w:pPr>
      <m:oMath>
        <m:sSub>
          <m:sSubPr>
            <m:ctrlPr>
              <w:rPr>
                <w:rFonts w:ascii="Cambria Math" w:hAnsi="Cambria Math" w:cs="Arial"/>
                <w:i w:val="0"/>
                <w:szCs w:val="20"/>
              </w:rPr>
            </m:ctrlPr>
          </m:sSubPr>
          <m:e>
            <m:r>
              <w:rPr>
                <w:rFonts w:ascii="Cambria Math" w:hAnsi="Cambria Math"/>
              </w:rPr>
              <m:t>∆</m:t>
            </m:r>
            <m:r>
              <w:rPr>
                <w:rFonts w:ascii="Cambria Math" w:hAnsi="Cambria Math" w:cs="Arial"/>
                <w:szCs w:val="20"/>
              </w:rPr>
              <m:t>kW</m:t>
            </m:r>
          </m:e>
          <m:sub>
            <m:r>
              <w:rPr>
                <w:rFonts w:ascii="Cambria Math" w:hAnsi="Cambria Math" w:cs="Arial"/>
                <w:szCs w:val="20"/>
              </w:rPr>
              <m:t>winter peak</m:t>
            </m:r>
          </m:sub>
        </m:sSub>
        <m:r>
          <w:rPr>
            <w:rFonts w:ascii="Cambria Math" w:hAnsi="Cambria Math" w:cs="Arial"/>
            <w:szCs w:val="20"/>
          </w:rPr>
          <m:t xml:space="preserve">          =</m:t>
        </m:r>
        <m:r>
          <w:rPr>
            <w:rFonts w:ascii="Cambria Math" w:hAnsi="Cambria Math"/>
          </w:rPr>
          <m:t>∆</m:t>
        </m:r>
        <m:r>
          <w:rPr>
            <w:rFonts w:ascii="Cambria Math" w:hAnsi="Cambria Math"/>
            <w:szCs w:val="20"/>
          </w:rPr>
          <m:t>kWh ×ETD</m:t>
        </m:r>
        <m:sSub>
          <m:sSubPr>
            <m:ctrlPr>
              <w:rPr>
                <w:rFonts w:ascii="Cambria Math" w:hAnsi="Cambria Math"/>
                <w:iCs/>
                <w:szCs w:val="20"/>
              </w:rPr>
            </m:ctrlPr>
          </m:sSubPr>
          <m:e>
            <m:r>
              <w:rPr>
                <w:rFonts w:ascii="Cambria Math" w:hAnsi="Cambria Math"/>
                <w:szCs w:val="20"/>
              </w:rPr>
              <m:t>F</m:t>
            </m:r>
          </m:e>
          <m:sub>
            <m:r>
              <w:rPr>
                <w:rFonts w:ascii="Cambria Math" w:hAnsi="Cambria Math"/>
                <w:szCs w:val="20"/>
              </w:rPr>
              <m:t>w</m:t>
            </m:r>
          </m:sub>
        </m:sSub>
      </m:oMath>
      <w:r w:rsidR="004E6452" w:rsidRPr="001570EA">
        <w:br w:type="page"/>
      </w:r>
    </w:p>
    <w:p w14:paraId="026EC6A9" w14:textId="77777777" w:rsidR="004E6452" w:rsidRPr="001570EA" w:rsidRDefault="004E6452" w:rsidP="004E6452">
      <w:pPr>
        <w:pStyle w:val="SubStyle"/>
        <w:keepNext/>
      </w:pPr>
      <w:r w:rsidRPr="001570EA">
        <w:t>Definition of Terms</w:t>
      </w:r>
    </w:p>
    <w:p w14:paraId="6EC7E7C1" w14:textId="7B595825" w:rsidR="004E6452" w:rsidRPr="001570EA" w:rsidRDefault="004E6452" w:rsidP="004E6452">
      <w:pPr>
        <w:pStyle w:val="Caption"/>
      </w:pPr>
      <w:bookmarkStart w:id="1081" w:name="_Ref532477008"/>
      <w:bookmarkStart w:id="1082" w:name="_Toc4759834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122</w:t>
      </w:r>
      <w:r w:rsidR="002E093A" w:rsidRPr="001570EA">
        <w:fldChar w:fldCharType="end"/>
      </w:r>
      <w:bookmarkEnd w:id="1081"/>
      <w:r w:rsidRPr="001570EA">
        <w:t>: Terms</w:t>
      </w:r>
      <w:r w:rsidRPr="001570EA">
        <w:rPr>
          <w:rFonts w:cs="Arial"/>
        </w:rPr>
        <w:t>, Values, and References for</w:t>
      </w:r>
      <w:r w:rsidRPr="001570EA">
        <w:t xml:space="preserve"> ENERGY STAR Ceiling Fans</w:t>
      </w:r>
      <w:bookmarkEnd w:id="1082"/>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1394"/>
        <w:gridCol w:w="2267"/>
        <w:gridCol w:w="1017"/>
      </w:tblGrid>
      <w:tr w:rsidR="004E6452" w:rsidRPr="001570EA" w14:paraId="497BDD13" w14:textId="77777777">
        <w:tc>
          <w:tcPr>
            <w:tcW w:w="2276" w:type="pct"/>
            <w:shd w:val="clear" w:color="auto" w:fill="BFBFBF" w:themeFill="background1" w:themeFillShade="BF"/>
            <w:vAlign w:val="bottom"/>
          </w:tcPr>
          <w:p w14:paraId="0612D752" w14:textId="77777777" w:rsidR="004E6452" w:rsidRPr="001570EA" w:rsidRDefault="004E6452">
            <w:pPr>
              <w:pStyle w:val="TableCell"/>
              <w:spacing w:before="60" w:after="60"/>
              <w:rPr>
                <w:b/>
                <w:sz w:val="20"/>
              </w:rPr>
            </w:pPr>
            <w:bookmarkStart w:id="1083" w:name="_Hlk529281754"/>
            <w:r w:rsidRPr="001570EA">
              <w:rPr>
                <w:b/>
              </w:rPr>
              <w:t>Component</w:t>
            </w:r>
          </w:p>
        </w:tc>
        <w:tc>
          <w:tcPr>
            <w:tcW w:w="837" w:type="pct"/>
            <w:shd w:val="clear" w:color="auto" w:fill="BFBFBF" w:themeFill="background1" w:themeFillShade="BF"/>
            <w:vAlign w:val="bottom"/>
          </w:tcPr>
          <w:p w14:paraId="1BDB271A" w14:textId="77777777" w:rsidR="004E6452" w:rsidRPr="001570EA" w:rsidRDefault="004E6452">
            <w:pPr>
              <w:pStyle w:val="TableCell"/>
              <w:spacing w:before="60" w:after="60"/>
              <w:jc w:val="center"/>
              <w:rPr>
                <w:b/>
                <w:sz w:val="20"/>
              </w:rPr>
            </w:pPr>
            <w:r w:rsidRPr="001570EA">
              <w:rPr>
                <w:b/>
              </w:rPr>
              <w:t>Unit</w:t>
            </w:r>
          </w:p>
        </w:tc>
        <w:tc>
          <w:tcPr>
            <w:tcW w:w="1348" w:type="pct"/>
            <w:shd w:val="clear" w:color="auto" w:fill="BFBFBF" w:themeFill="background1" w:themeFillShade="BF"/>
            <w:vAlign w:val="bottom"/>
          </w:tcPr>
          <w:p w14:paraId="4177E0C5" w14:textId="77777777" w:rsidR="004E6452" w:rsidRPr="001570EA" w:rsidRDefault="004E6452">
            <w:pPr>
              <w:pStyle w:val="TableCell"/>
              <w:spacing w:before="60" w:after="60"/>
              <w:jc w:val="center"/>
              <w:rPr>
                <w:b/>
                <w:sz w:val="20"/>
              </w:rPr>
            </w:pPr>
            <w:r w:rsidRPr="001570EA">
              <w:rPr>
                <w:b/>
              </w:rPr>
              <w:t>Values</w:t>
            </w:r>
          </w:p>
        </w:tc>
        <w:tc>
          <w:tcPr>
            <w:tcW w:w="539" w:type="pct"/>
            <w:shd w:val="clear" w:color="auto" w:fill="BFBFBF" w:themeFill="background1" w:themeFillShade="BF"/>
            <w:vAlign w:val="bottom"/>
          </w:tcPr>
          <w:p w14:paraId="2EF6B49E" w14:textId="77777777" w:rsidR="004E6452" w:rsidRPr="001570EA" w:rsidRDefault="004E6452">
            <w:pPr>
              <w:pStyle w:val="TableCell"/>
              <w:spacing w:before="60" w:after="60"/>
              <w:jc w:val="center"/>
              <w:rPr>
                <w:b/>
                <w:sz w:val="20"/>
              </w:rPr>
            </w:pPr>
            <w:r w:rsidRPr="001570EA">
              <w:rPr>
                <w:b/>
              </w:rPr>
              <w:t>Source</w:t>
            </w:r>
          </w:p>
        </w:tc>
      </w:tr>
      <w:tr w:rsidR="004E6452" w:rsidRPr="001570EA" w14:paraId="52CC2329" w14:textId="77777777">
        <w:tc>
          <w:tcPr>
            <w:tcW w:w="2276" w:type="pct"/>
          </w:tcPr>
          <w:p w14:paraId="2FDD0D47" w14:textId="77777777" w:rsidR="004E6452" w:rsidRPr="001570EA" w:rsidRDefault="003B5E04">
            <w:pPr>
              <w:pStyle w:val="TableCell"/>
              <w:spacing w:before="60" w:after="60"/>
              <w:jc w:val="left"/>
              <w:rPr>
                <w:szCs w:val="18"/>
              </w:rPr>
            </w:pPr>
            <m:oMath>
              <m:sSub>
                <m:sSubPr>
                  <m:ctrlPr>
                    <w:rPr>
                      <w:rFonts w:ascii="Cambria Math" w:hAnsi="Cambria Math" w:cs="Arial"/>
                    </w:rPr>
                  </m:ctrlPr>
                </m:sSubPr>
                <m:e>
                  <m:r>
                    <w:rPr>
                      <w:rFonts w:ascii="Cambria Math" w:hAnsi="Cambria Math"/>
                    </w:rPr>
                    <m:t>∆</m:t>
                  </m:r>
                  <m:r>
                    <w:rPr>
                      <w:rFonts w:ascii="Cambria Math" w:hAnsi="Cambria Math" w:cs="Arial"/>
                    </w:rPr>
                    <m:t>W</m:t>
                  </m:r>
                </m:e>
                <m:sub>
                  <m:r>
                    <w:rPr>
                      <w:rFonts w:ascii="Cambria Math" w:hAnsi="Cambria Math" w:cs="Arial"/>
                    </w:rPr>
                    <m:t>fan</m:t>
                  </m:r>
                </m:sub>
              </m:sSub>
            </m:oMath>
            <w:r w:rsidR="004E6452" w:rsidRPr="001570EA">
              <w:rPr>
                <w:szCs w:val="18"/>
              </w:rPr>
              <w:t>, Weighted average wattage reduction from ENERGY STAR ceiling fan</w:t>
            </w:r>
          </w:p>
        </w:tc>
        <w:tc>
          <w:tcPr>
            <w:tcW w:w="837" w:type="pct"/>
          </w:tcPr>
          <w:p w14:paraId="4E531B6F"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
                <w:iCs/>
                <w:szCs w:val="18"/>
              </w:rPr>
              <w:t>Watts</w:t>
            </w:r>
          </w:p>
        </w:tc>
        <w:tc>
          <w:tcPr>
            <w:tcW w:w="1348" w:type="pct"/>
          </w:tcPr>
          <w:p w14:paraId="65504577" w14:textId="33BF81E9"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 xml:space="preserve">Default: See </w:t>
            </w:r>
            <w:r w:rsidRPr="001570EA">
              <w:rPr>
                <w:rFonts w:eastAsia="Arial Unicode MS" w:cs="Arial"/>
                <w:iCs/>
                <w:szCs w:val="18"/>
              </w:rPr>
              <w:fldChar w:fldCharType="begin"/>
            </w:r>
            <w:r w:rsidRPr="001570EA">
              <w:rPr>
                <w:rFonts w:eastAsia="Arial Unicode MS" w:cs="Arial"/>
                <w:iCs/>
                <w:szCs w:val="18"/>
              </w:rPr>
              <w:instrText xml:space="preserve"> REF _Ref532477018 \h </w:instrText>
            </w:r>
            <w:r w:rsidR="001570EA">
              <w:rPr>
                <w:rFonts w:eastAsia="Arial Unicode MS" w:cs="Arial"/>
                <w:iCs/>
                <w:szCs w:val="18"/>
              </w:rPr>
              <w:instrText xml:space="preserve"> \* MERGEFORMAT </w:instrText>
            </w:r>
            <w:r w:rsidRPr="001570EA">
              <w:rPr>
                <w:rFonts w:eastAsia="Arial Unicode MS" w:cs="Arial"/>
                <w:iCs/>
                <w:szCs w:val="18"/>
              </w:rPr>
            </w:r>
            <w:r w:rsidRPr="001570EA">
              <w:rPr>
                <w:rFonts w:eastAsia="Arial Unicode MS" w:cs="Arial"/>
                <w:iCs/>
                <w:szCs w:val="18"/>
              </w:rPr>
              <w:fldChar w:fldCharType="separate"/>
            </w:r>
            <w:r w:rsidR="00234C6C" w:rsidRPr="001570EA">
              <w:t xml:space="preserve">Table </w:t>
            </w:r>
            <w:r w:rsidR="00234C6C" w:rsidRPr="001570EA">
              <w:rPr>
                <w:noProof/>
              </w:rPr>
              <w:t>2</w:t>
            </w:r>
            <w:r w:rsidRPr="001570EA">
              <w:rPr>
                <w:rFonts w:eastAsia="Arial Unicode MS" w:cs="Arial"/>
                <w:iCs/>
                <w:szCs w:val="18"/>
              </w:rPr>
              <w:fldChar w:fldCharType="end"/>
            </w:r>
          </w:p>
        </w:tc>
        <w:tc>
          <w:tcPr>
            <w:tcW w:w="539" w:type="pct"/>
          </w:tcPr>
          <w:p w14:paraId="5385E5C2"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4</w:t>
            </w:r>
          </w:p>
        </w:tc>
      </w:tr>
      <w:tr w:rsidR="004E6452" w:rsidRPr="001570EA" w14:paraId="64479167" w14:textId="77777777">
        <w:tc>
          <w:tcPr>
            <w:tcW w:w="2276" w:type="pct"/>
          </w:tcPr>
          <w:p w14:paraId="7C6DB402" w14:textId="273C52B1" w:rsidR="004E6452" w:rsidRPr="001570EA" w:rsidRDefault="003B5E04">
            <w:pPr>
              <w:pStyle w:val="TableCell"/>
              <w:spacing w:before="60" w:after="60"/>
              <w:jc w:val="left"/>
              <w:rPr>
                <w:szCs w:val="18"/>
              </w:rPr>
            </w:pPr>
            <m:oMath>
              <m:sSub>
                <m:sSubPr>
                  <m:ctrlPr>
                    <w:rPr>
                      <w:rFonts w:ascii="Cambria Math" w:eastAsia="Calibri" w:hAnsi="Cambria Math"/>
                      <w:i/>
                      <w:szCs w:val="18"/>
                    </w:rPr>
                  </m:ctrlPr>
                </m:sSubPr>
                <m:e>
                  <m:r>
                    <w:rPr>
                      <w:rFonts w:ascii="Cambria Math" w:hAnsi="Cambria Math"/>
                      <w:szCs w:val="18"/>
                    </w:rPr>
                    <m:t>HOU</m:t>
                  </m:r>
                </m:e>
                <m:sub>
                  <m:r>
                    <w:rPr>
                      <w:rFonts w:ascii="Cambria Math" w:hAnsi="Cambria Math"/>
                      <w:szCs w:val="18"/>
                    </w:rPr>
                    <m:t>fan</m:t>
                  </m:r>
                </m:sub>
              </m:sSub>
            </m:oMath>
            <w:r w:rsidR="004E6452" w:rsidRPr="001570EA">
              <w:rPr>
                <w:szCs w:val="18"/>
              </w:rPr>
              <w:t xml:space="preserve">, fan daily hours of use </w:t>
            </w:r>
          </w:p>
        </w:tc>
        <w:tc>
          <w:tcPr>
            <w:tcW w:w="837" w:type="pct"/>
          </w:tcPr>
          <w:p w14:paraId="179FA1F2" w14:textId="77777777" w:rsidR="004E6452" w:rsidRPr="001570EA" w:rsidRDefault="003B5E04">
            <w:pPr>
              <w:pStyle w:val="TableCell"/>
              <w:spacing w:before="60" w:after="60"/>
              <w:jc w:val="center"/>
              <w:rPr>
                <w:rFonts w:eastAsia="Arial Unicode MS" w:cs="Arial"/>
                <w:iCs/>
                <w:szCs w:val="18"/>
              </w:rPr>
            </w:pPr>
            <m:oMathPara>
              <m:oMath>
                <m:f>
                  <m:fPr>
                    <m:ctrlPr>
                      <w:rPr>
                        <w:rFonts w:ascii="Cambria Math" w:eastAsia="Arial Unicode MS" w:hAnsi="Cambria Math" w:cs="Arial"/>
                        <w:i/>
                        <w:iCs/>
                        <w:szCs w:val="18"/>
                      </w:rPr>
                    </m:ctrlPr>
                  </m:fPr>
                  <m:num>
                    <m:r>
                      <w:rPr>
                        <w:rFonts w:ascii="Cambria Math" w:eastAsia="Arial Unicode MS" w:hAnsi="Cambria Math" w:cs="Arial"/>
                        <w:szCs w:val="18"/>
                      </w:rPr>
                      <m:t>hours</m:t>
                    </m:r>
                  </m:num>
                  <m:den>
                    <m:r>
                      <w:rPr>
                        <w:rFonts w:ascii="Cambria Math" w:eastAsia="Arial Unicode MS" w:hAnsi="Cambria Math" w:cs="Arial"/>
                        <w:szCs w:val="18"/>
                      </w:rPr>
                      <m:t>day</m:t>
                    </m:r>
                  </m:den>
                </m:f>
              </m:oMath>
            </m:oMathPara>
          </w:p>
        </w:tc>
        <w:tc>
          <w:tcPr>
            <w:tcW w:w="1348" w:type="pct"/>
          </w:tcPr>
          <w:p w14:paraId="62148612"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EDC Data Gathering</w:t>
            </w:r>
          </w:p>
          <w:p w14:paraId="4868537B" w14:textId="77777777" w:rsidR="004E6452" w:rsidRPr="001570EA" w:rsidRDefault="004E6452">
            <w:pPr>
              <w:pStyle w:val="TableCell"/>
              <w:spacing w:before="60" w:after="60"/>
              <w:jc w:val="center"/>
              <w:rPr>
                <w:rFonts w:eastAsia="Arial Unicode MS" w:cs="Arial"/>
                <w:szCs w:val="18"/>
              </w:rPr>
            </w:pPr>
            <w:r w:rsidRPr="001570EA">
              <w:rPr>
                <w:rFonts w:eastAsia="Arial Unicode MS" w:cs="Arial"/>
                <w:iCs/>
                <w:szCs w:val="18"/>
              </w:rPr>
              <w:t>Default: 3</w:t>
            </w:r>
          </w:p>
        </w:tc>
        <w:tc>
          <w:tcPr>
            <w:tcW w:w="539" w:type="pct"/>
          </w:tcPr>
          <w:p w14:paraId="65576196" w14:textId="77777777" w:rsidR="004E6452" w:rsidRPr="001570EA" w:rsidRDefault="004E6452">
            <w:pPr>
              <w:pStyle w:val="TableCell"/>
              <w:spacing w:before="60" w:after="60"/>
              <w:jc w:val="center"/>
              <w:rPr>
                <w:rFonts w:eastAsia="Arial Unicode MS" w:cs="Arial"/>
                <w:iCs/>
                <w:szCs w:val="18"/>
              </w:rPr>
            </w:pPr>
            <w:r w:rsidRPr="001570EA">
              <w:rPr>
                <w:szCs w:val="18"/>
              </w:rPr>
              <w:t>EDC data gathering,</w:t>
            </w:r>
            <w:r w:rsidRPr="001570EA">
              <w:rPr>
                <w:rFonts w:eastAsia="Arial Unicode MS" w:cs="Arial"/>
                <w:iCs/>
                <w:szCs w:val="18"/>
              </w:rPr>
              <w:t xml:space="preserve"> 1</w:t>
            </w:r>
          </w:p>
        </w:tc>
      </w:tr>
      <w:tr w:rsidR="004E6452" w:rsidRPr="001570EA" w14:paraId="67870F8C" w14:textId="77777777">
        <w:trPr>
          <w:trHeight w:val="485"/>
        </w:trPr>
        <w:tc>
          <w:tcPr>
            <w:tcW w:w="2276" w:type="pct"/>
            <w:vAlign w:val="center"/>
          </w:tcPr>
          <w:p w14:paraId="28A21B6C" w14:textId="77777777" w:rsidR="004E6452" w:rsidRPr="001570EA" w:rsidRDefault="004E6452">
            <w:pPr>
              <w:pStyle w:val="TableCell"/>
              <w:spacing w:before="60" w:after="60"/>
              <w:jc w:val="left"/>
            </w:pPr>
            <m:oMath>
              <m:r>
                <w:rPr>
                  <w:rFonts w:ascii="Cambria Math" w:hAnsi="Cambria Math" w:cs="Arial"/>
                </w:rPr>
                <m:t>ETD</m:t>
              </m:r>
              <m:sSub>
                <m:sSubPr>
                  <m:ctrlPr>
                    <w:rPr>
                      <w:rFonts w:ascii="Cambria Math" w:hAnsi="Cambria Math" w:cs="Arial"/>
                    </w:rPr>
                  </m:ctrlPr>
                </m:sSubPr>
                <m:e>
                  <m:r>
                    <w:rPr>
                      <w:rFonts w:ascii="Cambria Math" w:hAnsi="Cambria Math" w:cs="Arial"/>
                    </w:rPr>
                    <m:t>F</m:t>
                  </m:r>
                </m:e>
                <m:sub>
                  <m:r>
                    <w:rPr>
                      <w:rFonts w:ascii="Cambria Math" w:hAnsi="Cambria Math" w:cs="Arial"/>
                    </w:rPr>
                    <m:t>s</m:t>
                  </m:r>
                </m:sub>
              </m:sSub>
            </m:oMath>
            <w:r w:rsidRPr="001570EA">
              <w:t>, Summer energy to Demand Factor</w:t>
            </w:r>
          </w:p>
        </w:tc>
        <w:tc>
          <w:tcPr>
            <w:tcW w:w="837" w:type="pct"/>
            <w:vAlign w:val="center"/>
          </w:tcPr>
          <w:p w14:paraId="6E02D380" w14:textId="77777777" w:rsidR="004E6452" w:rsidRPr="001570EA" w:rsidRDefault="003B5E04">
            <w:pPr>
              <w:pStyle w:val="TableCell"/>
              <w:spacing w:before="60" w:after="60"/>
              <w:jc w:val="center"/>
              <w:rPr>
                <w:iCs/>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348" w:type="pct"/>
            <w:vAlign w:val="center"/>
          </w:tcPr>
          <w:p w14:paraId="7D78CA76"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SF Only: 0.0001114</w:t>
            </w:r>
          </w:p>
        </w:tc>
        <w:tc>
          <w:tcPr>
            <w:tcW w:w="539" w:type="pct"/>
          </w:tcPr>
          <w:p w14:paraId="1DFBFF8A" w14:textId="77777777" w:rsidR="004E6452" w:rsidRPr="001570EA" w:rsidDel="007D6091" w:rsidRDefault="004E6452">
            <w:pPr>
              <w:pStyle w:val="TableCell"/>
              <w:spacing w:before="60" w:after="60"/>
              <w:jc w:val="center"/>
              <w:rPr>
                <w:rFonts w:eastAsia="Arial Unicode MS" w:cs="Arial"/>
                <w:iCs/>
                <w:szCs w:val="18"/>
              </w:rPr>
            </w:pPr>
            <w:r w:rsidRPr="001570EA">
              <w:rPr>
                <w:rFonts w:eastAsia="Arial Unicode MS" w:cs="Arial"/>
                <w:iCs/>
                <w:szCs w:val="18"/>
              </w:rPr>
              <w:t>5</w:t>
            </w:r>
          </w:p>
        </w:tc>
      </w:tr>
      <w:tr w:rsidR="004E6452" w:rsidRPr="001570EA" w14:paraId="6517F1C4" w14:textId="77777777">
        <w:trPr>
          <w:trHeight w:val="485"/>
        </w:trPr>
        <w:tc>
          <w:tcPr>
            <w:tcW w:w="2276" w:type="pct"/>
            <w:vAlign w:val="center"/>
          </w:tcPr>
          <w:p w14:paraId="436C5376" w14:textId="77777777" w:rsidR="004E6452" w:rsidRPr="001570EA" w:rsidRDefault="004E6452">
            <w:pPr>
              <w:pStyle w:val="TableCell"/>
              <w:spacing w:before="60" w:after="60"/>
              <w:jc w:val="left"/>
              <w:rPr>
                <w:szCs w:val="18"/>
              </w:rPr>
            </w:pPr>
            <m:oMath>
              <m:r>
                <w:rPr>
                  <w:rFonts w:ascii="Cambria Math" w:hAnsi="Cambria Math" w:cs="Arial"/>
                </w:rPr>
                <m:t>ETD</m:t>
              </m:r>
              <m:sSub>
                <m:sSubPr>
                  <m:ctrlPr>
                    <w:rPr>
                      <w:rFonts w:ascii="Cambria Math" w:hAnsi="Cambria Math" w:cs="Arial"/>
                    </w:rPr>
                  </m:ctrlPr>
                </m:sSubPr>
                <m:e>
                  <m:r>
                    <w:rPr>
                      <w:rFonts w:ascii="Cambria Math" w:hAnsi="Cambria Math" w:cs="Arial"/>
                    </w:rPr>
                    <m:t>F</m:t>
                  </m:r>
                </m:e>
                <m:sub>
                  <m:r>
                    <w:rPr>
                      <w:rFonts w:ascii="Cambria Math" w:hAnsi="Cambria Math" w:cs="Arial"/>
                    </w:rPr>
                    <m:t>w</m:t>
                  </m:r>
                </m:sub>
              </m:sSub>
            </m:oMath>
            <w:r w:rsidRPr="001570EA">
              <w:t>, Winter energy to Demand Factor</w:t>
            </w:r>
          </w:p>
        </w:tc>
        <w:tc>
          <w:tcPr>
            <w:tcW w:w="837" w:type="pct"/>
            <w:vAlign w:val="center"/>
          </w:tcPr>
          <w:p w14:paraId="2DCABB65" w14:textId="77777777" w:rsidR="004E6452" w:rsidRPr="001570EA" w:rsidRDefault="003B5E04">
            <w:pPr>
              <w:pStyle w:val="TableCell"/>
              <w:spacing w:before="60" w:after="60"/>
              <w:jc w:val="center"/>
              <w:rPr>
                <w:rFonts w:eastAsia="Arial Unicode MS" w:cs="Arial"/>
                <w:i/>
                <w:iCs/>
                <w:szCs w:val="18"/>
              </w:rPr>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348" w:type="pct"/>
            <w:vAlign w:val="center"/>
          </w:tcPr>
          <w:p w14:paraId="5583F040"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SF Only: 0.0001788</w:t>
            </w:r>
          </w:p>
        </w:tc>
        <w:tc>
          <w:tcPr>
            <w:tcW w:w="539" w:type="pct"/>
          </w:tcPr>
          <w:p w14:paraId="41A4A9EE"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5</w:t>
            </w:r>
          </w:p>
        </w:tc>
      </w:tr>
      <w:bookmarkEnd w:id="1083"/>
    </w:tbl>
    <w:p w14:paraId="62A2D207" w14:textId="77777777" w:rsidR="004E6452" w:rsidRPr="001570EA" w:rsidRDefault="004E6452" w:rsidP="004E6452">
      <w:pPr>
        <w:pStyle w:val="Caption"/>
      </w:pPr>
    </w:p>
    <w:p w14:paraId="1B6050FA" w14:textId="30DBF22C" w:rsidR="004E6452" w:rsidRPr="001570EA" w:rsidRDefault="004E6452" w:rsidP="004E6452">
      <w:pPr>
        <w:pStyle w:val="Caption"/>
      </w:pPr>
      <w:bookmarkStart w:id="1084" w:name="_Ref532477018"/>
      <w:bookmarkStart w:id="1085" w:name="_Toc47598344"/>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123</w:t>
      </w:r>
      <w:r w:rsidR="002E093A" w:rsidRPr="001570EA">
        <w:fldChar w:fldCharType="end"/>
      </w:r>
      <w:bookmarkEnd w:id="1084"/>
      <w:r w:rsidRPr="001570EA">
        <w:t>: Assumed Wattage of ENERGY STAR Ceiling Fans on High Setting</w:t>
      </w:r>
      <w:bookmarkEnd w:id="1085"/>
    </w:p>
    <w:tbl>
      <w:tblPr>
        <w:tblW w:w="42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8"/>
        <w:gridCol w:w="1709"/>
        <w:gridCol w:w="1850"/>
      </w:tblGrid>
      <w:tr w:rsidR="004E6452" w:rsidRPr="001570EA" w14:paraId="5DE13238" w14:textId="77777777">
        <w:tc>
          <w:tcPr>
            <w:tcW w:w="2568" w:type="pct"/>
            <w:shd w:val="clear" w:color="auto" w:fill="BFBFBF" w:themeFill="background1" w:themeFillShade="BF"/>
            <w:vAlign w:val="center"/>
          </w:tcPr>
          <w:p w14:paraId="590F5904" w14:textId="77777777" w:rsidR="004E6452" w:rsidRPr="001570EA" w:rsidRDefault="004E6452">
            <w:pPr>
              <w:pStyle w:val="Caption"/>
              <w:jc w:val="center"/>
              <w:rPr>
                <w:rFonts w:ascii="Arial" w:hAnsi="Arial" w:cs="Arial"/>
                <w:sz w:val="18"/>
                <w:szCs w:val="18"/>
              </w:rPr>
            </w:pPr>
            <w:r w:rsidRPr="001570EA">
              <w:rPr>
                <w:rFonts w:ascii="Arial" w:hAnsi="Arial" w:cs="Arial"/>
                <w:sz w:val="18"/>
                <w:szCs w:val="18"/>
              </w:rPr>
              <w:t>Ceiling Fan Type</w:t>
            </w:r>
          </w:p>
        </w:tc>
        <w:tc>
          <w:tcPr>
            <w:tcW w:w="1168" w:type="pct"/>
            <w:shd w:val="clear" w:color="auto" w:fill="BFBFBF" w:themeFill="background1" w:themeFillShade="BF"/>
            <w:vAlign w:val="bottom"/>
          </w:tcPr>
          <w:p w14:paraId="3CD6D242" w14:textId="77777777" w:rsidR="004E6452" w:rsidRPr="001570EA" w:rsidRDefault="004E6452">
            <w:pPr>
              <w:pStyle w:val="TableCell"/>
              <w:spacing w:before="60" w:after="60"/>
              <w:jc w:val="center"/>
              <w:rPr>
                <w:b/>
                <w:szCs w:val="18"/>
              </w:rPr>
            </w:pPr>
            <w:r w:rsidRPr="001570EA">
              <w:rPr>
                <w:b/>
                <w:szCs w:val="18"/>
              </w:rPr>
              <w:t>Diameter, D (inches)</w:t>
            </w:r>
          </w:p>
        </w:tc>
        <w:tc>
          <w:tcPr>
            <w:tcW w:w="1264" w:type="pct"/>
            <w:shd w:val="clear" w:color="auto" w:fill="BFBFBF" w:themeFill="background1" w:themeFillShade="BF"/>
            <w:vAlign w:val="bottom"/>
          </w:tcPr>
          <w:p w14:paraId="184D05B8" w14:textId="77777777" w:rsidR="004E6452" w:rsidRPr="001570EA" w:rsidRDefault="003B5E04">
            <w:pPr>
              <w:pStyle w:val="TableCell"/>
              <w:spacing w:before="60" w:after="60"/>
              <w:jc w:val="center"/>
              <w:rPr>
                <w:b/>
                <w:szCs w:val="18"/>
              </w:rPr>
            </w:pPr>
            <m:oMath>
              <m:sSub>
                <m:sSubPr>
                  <m:ctrlPr>
                    <w:rPr>
                      <w:rFonts w:ascii="Cambria Math" w:hAnsi="Cambria Math" w:cs="Arial"/>
                      <w:b/>
                      <w:szCs w:val="18"/>
                    </w:rPr>
                  </m:ctrlPr>
                </m:sSubPr>
                <m:e>
                  <m:r>
                    <w:rPr>
                      <w:rFonts w:ascii="Cambria Math" w:hAnsi="Cambria Math"/>
                    </w:rPr>
                    <m:t>∆</m:t>
                  </m:r>
                  <m:r>
                    <m:rPr>
                      <m:sty m:val="bi"/>
                    </m:rPr>
                    <w:rPr>
                      <w:rFonts w:ascii="Cambria Math" w:hAnsi="Cambria Math" w:cs="Arial"/>
                      <w:szCs w:val="18"/>
                    </w:rPr>
                    <m:t>W</m:t>
                  </m:r>
                </m:e>
                <m:sub>
                  <m:r>
                    <m:rPr>
                      <m:sty m:val="bi"/>
                    </m:rPr>
                    <w:rPr>
                      <w:rFonts w:ascii="Cambria Math" w:hAnsi="Cambria Math" w:cs="Arial"/>
                      <w:szCs w:val="18"/>
                    </w:rPr>
                    <m:t>fan</m:t>
                  </m:r>
                </m:sub>
              </m:sSub>
            </m:oMath>
            <w:r w:rsidR="004E6452" w:rsidRPr="001570EA">
              <w:rPr>
                <w:b/>
                <w:szCs w:val="18"/>
                <w:vertAlign w:val="subscript"/>
              </w:rPr>
              <w:t xml:space="preserve"> </w:t>
            </w:r>
            <w:r w:rsidR="004E6452" w:rsidRPr="001570EA">
              <w:rPr>
                <w:b/>
                <w:szCs w:val="18"/>
              </w:rPr>
              <w:t>(Watts)</w:t>
            </w:r>
          </w:p>
        </w:tc>
      </w:tr>
      <w:tr w:rsidR="004E6452" w:rsidRPr="001570EA" w14:paraId="64485C1C" w14:textId="77777777">
        <w:trPr>
          <w:trHeight w:val="77"/>
        </w:trPr>
        <w:tc>
          <w:tcPr>
            <w:tcW w:w="2568" w:type="pct"/>
            <w:vMerge w:val="restart"/>
            <w:vAlign w:val="center"/>
          </w:tcPr>
          <w:p w14:paraId="23506809" w14:textId="77777777" w:rsidR="004E6452" w:rsidRPr="001570EA" w:rsidRDefault="004E6452">
            <w:pPr>
              <w:pStyle w:val="TableCell"/>
              <w:spacing w:before="60" w:after="60"/>
              <w:jc w:val="left"/>
              <w:rPr>
                <w:szCs w:val="18"/>
              </w:rPr>
            </w:pPr>
            <w:r w:rsidRPr="001570EA">
              <w:rPr>
                <w:szCs w:val="18"/>
              </w:rPr>
              <w:t>Standard and Low-Mount High Speed</w:t>
            </w:r>
            <w:r w:rsidRPr="001570EA">
              <w:rPr>
                <w:szCs w:val="18"/>
              </w:rPr>
              <w:br/>
              <w:t>Small Diameter (HSSD) Ceiling Fans</w:t>
            </w:r>
          </w:p>
        </w:tc>
        <w:tc>
          <w:tcPr>
            <w:tcW w:w="1168" w:type="pct"/>
          </w:tcPr>
          <w:p w14:paraId="5EB3E501" w14:textId="77777777" w:rsidR="004E6452" w:rsidRPr="001570EA" w:rsidRDefault="004E6452">
            <w:pPr>
              <w:pStyle w:val="TableCell"/>
              <w:spacing w:before="60" w:after="60"/>
              <w:jc w:val="center"/>
              <w:rPr>
                <w:rFonts w:eastAsia="Arial Unicode MS" w:cs="Arial"/>
                <w:iCs/>
                <w:szCs w:val="18"/>
              </w:rPr>
            </w:pPr>
            <w:r w:rsidRPr="001570EA">
              <w:rPr>
                <w:iCs/>
                <w:szCs w:val="18"/>
              </w:rPr>
              <w:t xml:space="preserve">D </w:t>
            </w:r>
            <w:r w:rsidRPr="001570EA">
              <w:rPr>
                <w:rFonts w:cs="Arial"/>
                <w:iCs/>
                <w:szCs w:val="18"/>
              </w:rPr>
              <w:t>≤</w:t>
            </w:r>
            <w:r w:rsidRPr="001570EA">
              <w:rPr>
                <w:iCs/>
                <w:szCs w:val="18"/>
              </w:rPr>
              <w:t xml:space="preserve"> 36</w:t>
            </w:r>
          </w:p>
        </w:tc>
        <w:tc>
          <w:tcPr>
            <w:tcW w:w="1264" w:type="pct"/>
          </w:tcPr>
          <w:p w14:paraId="366538FF"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0</w:t>
            </w:r>
          </w:p>
        </w:tc>
      </w:tr>
      <w:tr w:rsidR="004E6452" w:rsidRPr="001570EA" w14:paraId="180FE06B" w14:textId="77777777">
        <w:tc>
          <w:tcPr>
            <w:tcW w:w="2568" w:type="pct"/>
            <w:vMerge/>
          </w:tcPr>
          <w:p w14:paraId="47029755" w14:textId="77777777" w:rsidR="004E6452" w:rsidRPr="001570EA" w:rsidRDefault="004E6452">
            <w:pPr>
              <w:pStyle w:val="TableCell"/>
              <w:spacing w:before="60" w:after="60"/>
              <w:jc w:val="left"/>
              <w:rPr>
                <w:szCs w:val="18"/>
              </w:rPr>
            </w:pPr>
          </w:p>
        </w:tc>
        <w:tc>
          <w:tcPr>
            <w:tcW w:w="1168" w:type="pct"/>
          </w:tcPr>
          <w:p w14:paraId="497466B4"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36 &lt; D &lt; 78</w:t>
            </w:r>
          </w:p>
        </w:tc>
        <w:tc>
          <w:tcPr>
            <w:tcW w:w="1264" w:type="pct"/>
          </w:tcPr>
          <w:p w14:paraId="1194E488"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23</w:t>
            </w:r>
          </w:p>
        </w:tc>
      </w:tr>
      <w:tr w:rsidR="004E6452" w:rsidRPr="001570EA" w14:paraId="7C454C95" w14:textId="77777777">
        <w:trPr>
          <w:trHeight w:val="58"/>
        </w:trPr>
        <w:tc>
          <w:tcPr>
            <w:tcW w:w="2568" w:type="pct"/>
            <w:vMerge/>
          </w:tcPr>
          <w:p w14:paraId="34212663" w14:textId="77777777" w:rsidR="004E6452" w:rsidRPr="001570EA" w:rsidRDefault="004E6452">
            <w:pPr>
              <w:pStyle w:val="TableCell"/>
              <w:spacing w:before="60" w:after="60"/>
              <w:jc w:val="left"/>
              <w:rPr>
                <w:szCs w:val="18"/>
              </w:rPr>
            </w:pPr>
          </w:p>
        </w:tc>
        <w:tc>
          <w:tcPr>
            <w:tcW w:w="1168" w:type="pct"/>
          </w:tcPr>
          <w:p w14:paraId="76CA82AC"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D ≥ 78”</w:t>
            </w:r>
          </w:p>
        </w:tc>
        <w:tc>
          <w:tcPr>
            <w:tcW w:w="1264" w:type="pct"/>
          </w:tcPr>
          <w:p w14:paraId="5203F11A"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31</w:t>
            </w:r>
          </w:p>
        </w:tc>
      </w:tr>
      <w:tr w:rsidR="004E6452" w:rsidRPr="001570EA" w14:paraId="7349268D" w14:textId="77777777">
        <w:tc>
          <w:tcPr>
            <w:tcW w:w="2568" w:type="pct"/>
            <w:vAlign w:val="bottom"/>
          </w:tcPr>
          <w:p w14:paraId="0997DDAD" w14:textId="77777777" w:rsidR="004E6452" w:rsidRPr="001570EA" w:rsidRDefault="004E6452">
            <w:pPr>
              <w:pStyle w:val="TableCell"/>
              <w:spacing w:before="60" w:after="60"/>
              <w:jc w:val="left"/>
              <w:rPr>
                <w:szCs w:val="18"/>
              </w:rPr>
            </w:pPr>
            <w:r w:rsidRPr="001570EA">
              <w:rPr>
                <w:szCs w:val="18"/>
              </w:rPr>
              <w:t>Hugger Ceiling Fan</w:t>
            </w:r>
            <w:r w:rsidRPr="001570EA">
              <w:rPr>
                <w:rStyle w:val="FootnoteReference"/>
                <w:szCs w:val="18"/>
              </w:rPr>
              <w:footnoteReference w:id="21"/>
            </w:r>
          </w:p>
        </w:tc>
        <w:tc>
          <w:tcPr>
            <w:tcW w:w="1168" w:type="pct"/>
          </w:tcPr>
          <w:p w14:paraId="221FFEE8"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36 &lt; D &lt; 78</w:t>
            </w:r>
          </w:p>
        </w:tc>
        <w:tc>
          <w:tcPr>
            <w:tcW w:w="1264" w:type="pct"/>
          </w:tcPr>
          <w:p w14:paraId="4082C194"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33</w:t>
            </w:r>
          </w:p>
        </w:tc>
      </w:tr>
    </w:tbl>
    <w:p w14:paraId="5858DC9E" w14:textId="77777777" w:rsidR="004E6452" w:rsidRPr="001570EA" w:rsidRDefault="004E6452" w:rsidP="004E6452"/>
    <w:p w14:paraId="64147ABA" w14:textId="77777777" w:rsidR="004E6452" w:rsidRPr="001570EA" w:rsidRDefault="004E6452" w:rsidP="004E6452">
      <w:pPr>
        <w:pStyle w:val="SubStyle"/>
      </w:pPr>
      <w:r w:rsidRPr="001570EA">
        <w:t>Default Savings</w:t>
      </w:r>
    </w:p>
    <w:p w14:paraId="00B52FE7" w14:textId="0EA1DDBB" w:rsidR="004E6452" w:rsidRPr="001570EA" w:rsidRDefault="004E6452" w:rsidP="004E6452">
      <w:pPr>
        <w:pStyle w:val="Caption"/>
      </w:pPr>
      <w:bookmarkStart w:id="1086" w:name="_Toc47598345"/>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124</w:t>
      </w:r>
      <w:r w:rsidR="002E093A" w:rsidRPr="001570EA">
        <w:fldChar w:fldCharType="end"/>
      </w:r>
      <w:r w:rsidRPr="001570EA">
        <w:t>: Energy Savings and Peak Demand Reductions for ENERGY STAR Ceiling Fans</w:t>
      </w:r>
      <w:bookmarkEnd w:id="1086"/>
      <w:r w:rsidRPr="001570EA">
        <w:t xml:space="preserve"> </w:t>
      </w:r>
    </w:p>
    <w:tbl>
      <w:tblPr>
        <w:tblW w:w="8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581"/>
        <w:gridCol w:w="1466"/>
        <w:gridCol w:w="1491"/>
        <w:gridCol w:w="2100"/>
      </w:tblGrid>
      <w:tr w:rsidR="004E6452" w:rsidRPr="001570EA" w14:paraId="0D68EFBF" w14:textId="77777777">
        <w:tc>
          <w:tcPr>
            <w:tcW w:w="1033" w:type="pct"/>
            <w:shd w:val="clear" w:color="auto" w:fill="BFBFBF"/>
            <w:vAlign w:val="center"/>
          </w:tcPr>
          <w:p w14:paraId="41FB6DD6" w14:textId="77777777" w:rsidR="004E6452" w:rsidRPr="001570EA" w:rsidRDefault="004E6452">
            <w:pPr>
              <w:pStyle w:val="TableCell"/>
              <w:spacing w:before="60" w:after="60"/>
              <w:jc w:val="center"/>
              <w:rPr>
                <w:b/>
                <w:bCs/>
                <w:szCs w:val="18"/>
              </w:rPr>
            </w:pPr>
            <w:r w:rsidRPr="001570EA">
              <w:rPr>
                <w:b/>
                <w:bCs/>
                <w:szCs w:val="18"/>
              </w:rPr>
              <w:t>Product Type</w:t>
            </w:r>
            <w:r w:rsidRPr="001570EA">
              <w:rPr>
                <w:b/>
                <w:bCs/>
                <w:szCs w:val="18"/>
              </w:rPr>
              <w:br/>
              <w:t>(Fan Only)</w:t>
            </w:r>
          </w:p>
        </w:tc>
        <w:tc>
          <w:tcPr>
            <w:tcW w:w="945" w:type="pct"/>
            <w:shd w:val="clear" w:color="auto" w:fill="BFBFBF"/>
            <w:vAlign w:val="bottom"/>
          </w:tcPr>
          <w:p w14:paraId="65B17811" w14:textId="77777777" w:rsidR="004E6452" w:rsidRPr="001570EA" w:rsidRDefault="004E6452">
            <w:pPr>
              <w:pStyle w:val="TableCell"/>
              <w:spacing w:before="60" w:after="60"/>
              <w:jc w:val="center"/>
              <w:rPr>
                <w:b/>
                <w:bCs/>
                <w:szCs w:val="18"/>
              </w:rPr>
            </w:pPr>
            <w:r w:rsidRPr="001570EA">
              <w:rPr>
                <w:b/>
                <w:szCs w:val="18"/>
              </w:rPr>
              <w:t>Diameter, D (inches)</w:t>
            </w:r>
          </w:p>
        </w:tc>
        <w:tc>
          <w:tcPr>
            <w:tcW w:w="876" w:type="pct"/>
            <w:shd w:val="clear" w:color="auto" w:fill="BFBFBF"/>
            <w:vAlign w:val="center"/>
          </w:tcPr>
          <w:p w14:paraId="64581ADC" w14:textId="77777777" w:rsidR="004E6452" w:rsidRPr="001570EA" w:rsidRDefault="004E6452">
            <w:pPr>
              <w:pStyle w:val="TableCell"/>
              <w:spacing w:before="60" w:after="60"/>
              <w:jc w:val="center"/>
              <w:rPr>
                <w:b/>
                <w:bCs/>
                <w:szCs w:val="18"/>
              </w:rPr>
            </w:pPr>
            <m:oMathPara>
              <m:oMath>
                <m:r>
                  <w:rPr>
                    <w:rFonts w:ascii="Cambria Math" w:hAnsi="Cambria Math"/>
                  </w:rPr>
                  <m:t>∆</m:t>
                </m:r>
                <m:r>
                  <m:rPr>
                    <m:sty m:val="bi"/>
                  </m:rPr>
                  <w:rPr>
                    <w:rFonts w:ascii="Cambria Math" w:hAnsi="Cambria Math" w:cs="Arial"/>
                    <w:szCs w:val="18"/>
                  </w:rPr>
                  <m:t>kWh</m:t>
                </m:r>
              </m:oMath>
            </m:oMathPara>
          </w:p>
        </w:tc>
        <w:tc>
          <w:tcPr>
            <w:tcW w:w="891" w:type="pct"/>
            <w:shd w:val="clear" w:color="auto" w:fill="BFBFBF"/>
            <w:vAlign w:val="center"/>
          </w:tcPr>
          <w:p w14:paraId="230B5F56" w14:textId="77777777" w:rsidR="004E6452" w:rsidRPr="001570EA" w:rsidRDefault="004E6452">
            <w:pPr>
              <w:pStyle w:val="TableCell"/>
              <w:spacing w:before="60" w:after="60"/>
              <w:jc w:val="center"/>
              <w:rPr>
                <w:b/>
                <w:szCs w:val="18"/>
              </w:rPr>
            </w:pPr>
            <m:oMathPara>
              <m:oMath>
                <m:r>
                  <m:rPr>
                    <m:sty m:val="bi"/>
                  </m:rPr>
                  <w:rPr>
                    <w:rFonts w:ascii="Cambria Math" w:hAnsi="Cambria Math"/>
                    <w:szCs w:val="18"/>
                  </w:rPr>
                  <m:t>∆</m:t>
                </m:r>
                <m:sSub>
                  <m:sSubPr>
                    <m:ctrlPr>
                      <w:rPr>
                        <w:rFonts w:ascii="Cambria Math" w:hAnsi="Cambria Math"/>
                        <w:b/>
                        <w:szCs w:val="18"/>
                      </w:rPr>
                    </m:ctrlPr>
                  </m:sSubPr>
                  <m:e>
                    <m:r>
                      <m:rPr>
                        <m:sty m:val="bi"/>
                      </m:rPr>
                      <w:rPr>
                        <w:rFonts w:ascii="Cambria Math" w:hAnsi="Cambria Math"/>
                        <w:szCs w:val="18"/>
                      </w:rPr>
                      <m:t>kW</m:t>
                    </m:r>
                  </m:e>
                  <m:sub>
                    <m:r>
                      <m:rPr>
                        <m:sty m:val="bi"/>
                      </m:rPr>
                      <w:rPr>
                        <w:rFonts w:ascii="Cambria Math" w:hAnsi="Cambria Math"/>
                        <w:szCs w:val="18"/>
                      </w:rPr>
                      <m:t>summer peak</m:t>
                    </m:r>
                  </m:sub>
                </m:sSub>
              </m:oMath>
            </m:oMathPara>
          </w:p>
        </w:tc>
        <w:tc>
          <w:tcPr>
            <w:tcW w:w="1255" w:type="pct"/>
            <w:shd w:val="clear" w:color="auto" w:fill="BFBFBF"/>
            <w:vAlign w:val="center"/>
          </w:tcPr>
          <w:p w14:paraId="065531EC" w14:textId="77777777" w:rsidR="004E6452" w:rsidRPr="001570EA" w:rsidRDefault="004E6452">
            <w:pPr>
              <w:pStyle w:val="TableCell"/>
              <w:spacing w:before="60" w:after="60"/>
              <w:jc w:val="center"/>
              <w:rPr>
                <w:b/>
                <w:bCs/>
                <w:szCs w:val="18"/>
              </w:rPr>
            </w:pPr>
            <m:oMathPara>
              <m:oMath>
                <m:r>
                  <m:rPr>
                    <m:sty m:val="bi"/>
                  </m:rPr>
                  <w:rPr>
                    <w:rFonts w:ascii="Cambria Math" w:hAnsi="Cambria Math"/>
                    <w:szCs w:val="18"/>
                  </w:rPr>
                  <m:t>∆</m:t>
                </m:r>
                <m:sSub>
                  <m:sSubPr>
                    <m:ctrlPr>
                      <w:rPr>
                        <w:rFonts w:ascii="Cambria Math" w:hAnsi="Cambria Math"/>
                        <w:b/>
                        <w:szCs w:val="18"/>
                      </w:rPr>
                    </m:ctrlPr>
                  </m:sSubPr>
                  <m:e>
                    <m:r>
                      <m:rPr>
                        <m:sty m:val="bi"/>
                      </m:rPr>
                      <w:rPr>
                        <w:rFonts w:ascii="Cambria Math" w:hAnsi="Cambria Math"/>
                        <w:szCs w:val="18"/>
                      </w:rPr>
                      <m:t>kW</m:t>
                    </m:r>
                  </m:e>
                  <m:sub>
                    <m:r>
                      <m:rPr>
                        <m:sty m:val="bi"/>
                      </m:rPr>
                      <w:rPr>
                        <w:rFonts w:ascii="Cambria Math" w:hAnsi="Cambria Math"/>
                        <w:szCs w:val="18"/>
                      </w:rPr>
                      <m:t>winter peak</m:t>
                    </m:r>
                  </m:sub>
                </m:sSub>
              </m:oMath>
            </m:oMathPara>
          </w:p>
        </w:tc>
      </w:tr>
      <w:tr w:rsidR="004E6452" w:rsidRPr="001570EA" w14:paraId="072F1372" w14:textId="77777777">
        <w:tc>
          <w:tcPr>
            <w:tcW w:w="1033" w:type="pct"/>
            <w:vMerge w:val="restart"/>
            <w:vAlign w:val="center"/>
          </w:tcPr>
          <w:p w14:paraId="0DC23108" w14:textId="77777777" w:rsidR="004E6452" w:rsidRPr="001570EA" w:rsidRDefault="004E6452">
            <w:pPr>
              <w:pStyle w:val="TableCell"/>
              <w:spacing w:before="60" w:after="60"/>
              <w:jc w:val="left"/>
              <w:rPr>
                <w:bCs/>
                <w:szCs w:val="18"/>
                <w:u w:val="single"/>
              </w:rPr>
            </w:pPr>
            <w:r w:rsidRPr="001570EA">
              <w:rPr>
                <w:szCs w:val="18"/>
              </w:rPr>
              <w:t>Standard and Low-Mount High Speed Small Diameter (HSSD) Ceiling Fans</w:t>
            </w:r>
          </w:p>
        </w:tc>
        <w:tc>
          <w:tcPr>
            <w:tcW w:w="945" w:type="pct"/>
          </w:tcPr>
          <w:p w14:paraId="6DDFADAF" w14:textId="77777777" w:rsidR="004E6452" w:rsidRPr="001570EA" w:rsidRDefault="004E6452">
            <w:pPr>
              <w:pStyle w:val="TableCell"/>
              <w:spacing w:before="60" w:after="60"/>
              <w:jc w:val="center"/>
              <w:rPr>
                <w:rFonts w:eastAsia="Arial Unicode MS" w:cs="Arial"/>
                <w:iCs/>
                <w:szCs w:val="18"/>
              </w:rPr>
            </w:pPr>
            <w:r w:rsidRPr="001570EA">
              <w:rPr>
                <w:iCs/>
                <w:szCs w:val="18"/>
              </w:rPr>
              <w:t xml:space="preserve">D </w:t>
            </w:r>
            <w:r w:rsidRPr="001570EA">
              <w:rPr>
                <w:rFonts w:cs="Arial"/>
                <w:iCs/>
                <w:szCs w:val="18"/>
              </w:rPr>
              <w:t>≤</w:t>
            </w:r>
            <w:r w:rsidRPr="001570EA">
              <w:rPr>
                <w:iCs/>
                <w:szCs w:val="18"/>
              </w:rPr>
              <w:t xml:space="preserve"> 36</w:t>
            </w:r>
          </w:p>
        </w:tc>
        <w:tc>
          <w:tcPr>
            <w:tcW w:w="876" w:type="pct"/>
            <w:shd w:val="clear" w:color="auto" w:fill="auto"/>
            <w:vAlign w:val="center"/>
          </w:tcPr>
          <w:p w14:paraId="3917121A" w14:textId="77777777" w:rsidR="004E6452" w:rsidRPr="001570EA" w:rsidRDefault="004E6452">
            <w:pPr>
              <w:pStyle w:val="TableCell"/>
              <w:spacing w:before="60" w:after="60"/>
              <w:jc w:val="center"/>
              <w:rPr>
                <w:rFonts w:eastAsia="Arial Unicode MS" w:cs="Arial"/>
                <w:iCs/>
                <w:szCs w:val="18"/>
              </w:rPr>
            </w:pPr>
            <w:r w:rsidRPr="001570EA">
              <w:rPr>
                <w:rFonts w:cs="Arial"/>
                <w:szCs w:val="18"/>
              </w:rPr>
              <w:t>0.0</w:t>
            </w:r>
          </w:p>
        </w:tc>
        <w:tc>
          <w:tcPr>
            <w:tcW w:w="891" w:type="pct"/>
            <w:vAlign w:val="center"/>
          </w:tcPr>
          <w:p w14:paraId="451E4F47"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0.0000</w:t>
            </w:r>
          </w:p>
        </w:tc>
        <w:tc>
          <w:tcPr>
            <w:tcW w:w="1255" w:type="pct"/>
            <w:shd w:val="clear" w:color="auto" w:fill="auto"/>
            <w:vAlign w:val="center"/>
          </w:tcPr>
          <w:p w14:paraId="36D43CD9"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0.0000</w:t>
            </w:r>
          </w:p>
        </w:tc>
      </w:tr>
      <w:tr w:rsidR="004E6452" w:rsidRPr="001570EA" w14:paraId="3EE216F1" w14:textId="77777777">
        <w:tc>
          <w:tcPr>
            <w:tcW w:w="1033" w:type="pct"/>
            <w:vMerge/>
          </w:tcPr>
          <w:p w14:paraId="3409C240" w14:textId="77777777" w:rsidR="004E6452" w:rsidRPr="001570EA" w:rsidRDefault="004E6452">
            <w:pPr>
              <w:pStyle w:val="TableCell"/>
              <w:spacing w:before="60" w:after="60"/>
              <w:rPr>
                <w:bCs/>
                <w:szCs w:val="18"/>
                <w:u w:val="single"/>
              </w:rPr>
            </w:pPr>
          </w:p>
        </w:tc>
        <w:tc>
          <w:tcPr>
            <w:tcW w:w="945" w:type="pct"/>
          </w:tcPr>
          <w:p w14:paraId="756DCFD0"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36 &lt; D &lt; 78</w:t>
            </w:r>
          </w:p>
        </w:tc>
        <w:tc>
          <w:tcPr>
            <w:tcW w:w="876" w:type="pct"/>
            <w:shd w:val="clear" w:color="auto" w:fill="auto"/>
            <w:vAlign w:val="center"/>
          </w:tcPr>
          <w:p w14:paraId="10CA521B" w14:textId="77777777" w:rsidR="004E6452" w:rsidRPr="001570EA" w:rsidRDefault="004E6452">
            <w:pPr>
              <w:pStyle w:val="TableCell"/>
              <w:spacing w:before="60" w:after="60"/>
              <w:jc w:val="center"/>
              <w:rPr>
                <w:rFonts w:eastAsia="Arial Unicode MS" w:cs="Arial"/>
                <w:iCs/>
                <w:szCs w:val="18"/>
              </w:rPr>
            </w:pPr>
            <w:r w:rsidRPr="001570EA">
              <w:rPr>
                <w:rFonts w:cs="Arial"/>
                <w:szCs w:val="18"/>
              </w:rPr>
              <w:t>25.2</w:t>
            </w:r>
          </w:p>
        </w:tc>
        <w:tc>
          <w:tcPr>
            <w:tcW w:w="891" w:type="pct"/>
            <w:vAlign w:val="center"/>
          </w:tcPr>
          <w:p w14:paraId="3CBC8CE2"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0.0028</w:t>
            </w:r>
          </w:p>
        </w:tc>
        <w:tc>
          <w:tcPr>
            <w:tcW w:w="1255" w:type="pct"/>
            <w:shd w:val="clear" w:color="auto" w:fill="auto"/>
            <w:vAlign w:val="center"/>
          </w:tcPr>
          <w:p w14:paraId="287580FC"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0.0045</w:t>
            </w:r>
          </w:p>
        </w:tc>
      </w:tr>
      <w:tr w:rsidR="004E6452" w:rsidRPr="001570EA" w14:paraId="03F90FD4" w14:textId="77777777">
        <w:tc>
          <w:tcPr>
            <w:tcW w:w="1033" w:type="pct"/>
            <w:vMerge/>
          </w:tcPr>
          <w:p w14:paraId="0296FBC3" w14:textId="77777777" w:rsidR="004E6452" w:rsidRPr="001570EA" w:rsidRDefault="004E6452">
            <w:pPr>
              <w:pStyle w:val="TableCell"/>
              <w:spacing w:before="60" w:after="60"/>
              <w:rPr>
                <w:bCs/>
                <w:szCs w:val="18"/>
                <w:u w:val="single"/>
              </w:rPr>
            </w:pPr>
          </w:p>
        </w:tc>
        <w:tc>
          <w:tcPr>
            <w:tcW w:w="945" w:type="pct"/>
          </w:tcPr>
          <w:p w14:paraId="75452401"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D ≥ 78</w:t>
            </w:r>
          </w:p>
        </w:tc>
        <w:tc>
          <w:tcPr>
            <w:tcW w:w="876" w:type="pct"/>
            <w:shd w:val="clear" w:color="auto" w:fill="auto"/>
            <w:vAlign w:val="center"/>
          </w:tcPr>
          <w:p w14:paraId="78833518" w14:textId="77777777" w:rsidR="004E6452" w:rsidRPr="001570EA" w:rsidRDefault="004E6452">
            <w:pPr>
              <w:pStyle w:val="TableCell"/>
              <w:spacing w:before="60" w:after="60"/>
              <w:jc w:val="center"/>
              <w:rPr>
                <w:rFonts w:eastAsia="Arial Unicode MS" w:cs="Arial"/>
                <w:iCs/>
                <w:szCs w:val="18"/>
              </w:rPr>
            </w:pPr>
            <w:r w:rsidRPr="001570EA">
              <w:rPr>
                <w:rFonts w:cs="Arial"/>
                <w:szCs w:val="18"/>
              </w:rPr>
              <w:t>33.9</w:t>
            </w:r>
          </w:p>
        </w:tc>
        <w:tc>
          <w:tcPr>
            <w:tcW w:w="891" w:type="pct"/>
            <w:vAlign w:val="center"/>
          </w:tcPr>
          <w:p w14:paraId="5C98DEDD"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0.0038</w:t>
            </w:r>
          </w:p>
        </w:tc>
        <w:tc>
          <w:tcPr>
            <w:tcW w:w="1255" w:type="pct"/>
            <w:shd w:val="clear" w:color="auto" w:fill="auto"/>
            <w:vAlign w:val="center"/>
          </w:tcPr>
          <w:p w14:paraId="6FAABBF1"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0.0061</w:t>
            </w:r>
          </w:p>
        </w:tc>
      </w:tr>
      <w:tr w:rsidR="004E6452" w:rsidRPr="001570EA" w14:paraId="0C19DD6E" w14:textId="77777777">
        <w:tc>
          <w:tcPr>
            <w:tcW w:w="1033" w:type="pct"/>
          </w:tcPr>
          <w:p w14:paraId="04E0F47D" w14:textId="77777777" w:rsidR="004E6452" w:rsidRPr="001570EA" w:rsidRDefault="004E6452">
            <w:pPr>
              <w:pStyle w:val="TableCell"/>
              <w:spacing w:before="60" w:after="60"/>
              <w:rPr>
                <w:bCs/>
                <w:szCs w:val="18"/>
                <w:u w:val="single"/>
              </w:rPr>
            </w:pPr>
            <w:r w:rsidRPr="001570EA">
              <w:rPr>
                <w:szCs w:val="18"/>
              </w:rPr>
              <w:t>Hugger Ceiling Fan</w:t>
            </w:r>
          </w:p>
        </w:tc>
        <w:tc>
          <w:tcPr>
            <w:tcW w:w="945" w:type="pct"/>
          </w:tcPr>
          <w:p w14:paraId="451002ED"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36 &lt; D &lt; 78</w:t>
            </w:r>
          </w:p>
        </w:tc>
        <w:tc>
          <w:tcPr>
            <w:tcW w:w="876" w:type="pct"/>
            <w:shd w:val="clear" w:color="auto" w:fill="auto"/>
            <w:vAlign w:val="center"/>
          </w:tcPr>
          <w:p w14:paraId="124D1BB0" w14:textId="77777777" w:rsidR="004E6452" w:rsidRPr="001570EA" w:rsidRDefault="004E6452">
            <w:pPr>
              <w:pStyle w:val="TableCell"/>
              <w:spacing w:before="60" w:after="60"/>
              <w:jc w:val="center"/>
              <w:rPr>
                <w:rFonts w:eastAsia="Arial Unicode MS" w:cs="Arial"/>
                <w:iCs/>
                <w:szCs w:val="18"/>
              </w:rPr>
            </w:pPr>
            <w:r w:rsidRPr="001570EA">
              <w:rPr>
                <w:rFonts w:cs="Arial"/>
                <w:szCs w:val="18"/>
              </w:rPr>
              <w:t>36.1</w:t>
            </w:r>
          </w:p>
        </w:tc>
        <w:tc>
          <w:tcPr>
            <w:tcW w:w="891" w:type="pct"/>
            <w:vAlign w:val="center"/>
          </w:tcPr>
          <w:p w14:paraId="332BDD65"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0.0040</w:t>
            </w:r>
          </w:p>
        </w:tc>
        <w:tc>
          <w:tcPr>
            <w:tcW w:w="1255" w:type="pct"/>
            <w:shd w:val="clear" w:color="auto" w:fill="auto"/>
            <w:vAlign w:val="center"/>
          </w:tcPr>
          <w:p w14:paraId="34D936D8" w14:textId="77777777" w:rsidR="004E6452" w:rsidRPr="001570EA" w:rsidRDefault="004E6452">
            <w:pPr>
              <w:pStyle w:val="TableCell"/>
              <w:spacing w:before="60" w:after="60"/>
              <w:jc w:val="center"/>
              <w:rPr>
                <w:rFonts w:eastAsia="Arial Unicode MS" w:cs="Arial"/>
                <w:iCs/>
                <w:szCs w:val="18"/>
              </w:rPr>
            </w:pPr>
            <w:r w:rsidRPr="001570EA">
              <w:rPr>
                <w:rFonts w:eastAsia="Arial Unicode MS" w:cs="Arial"/>
                <w:iCs/>
                <w:szCs w:val="18"/>
              </w:rPr>
              <w:t>0.0065</w:t>
            </w:r>
          </w:p>
        </w:tc>
      </w:tr>
    </w:tbl>
    <w:p w14:paraId="57507A16" w14:textId="77777777" w:rsidR="004E6452" w:rsidRPr="001570EA" w:rsidRDefault="004E6452" w:rsidP="004E6452"/>
    <w:p w14:paraId="45686F84" w14:textId="77777777" w:rsidR="004E6452" w:rsidRPr="001570EA" w:rsidRDefault="004E6452" w:rsidP="004E6452">
      <w:pPr>
        <w:pStyle w:val="SubStyle"/>
      </w:pPr>
      <w:r w:rsidRPr="001570EA">
        <w:t>Evaluation Protocols</w:t>
      </w:r>
    </w:p>
    <w:p w14:paraId="528AE668" w14:textId="77777777" w:rsidR="004E6452" w:rsidRPr="001570EA" w:rsidRDefault="004E6452" w:rsidP="004E6452">
      <w:pPr>
        <w:pStyle w:val="BodyText"/>
        <w:ind w:right="0"/>
      </w:pPr>
      <w:r w:rsidRPr="001570EA">
        <w:t>The most appropriate evaluation protocol for this measure is verification of installation coupled with calculation of energy and demand savings using above algorithms.</w:t>
      </w:r>
    </w:p>
    <w:p w14:paraId="35B5FA40" w14:textId="77777777" w:rsidR="004E6452" w:rsidRPr="001570EA" w:rsidRDefault="004E6452" w:rsidP="004E6452"/>
    <w:p w14:paraId="214E3441" w14:textId="77777777" w:rsidR="004E6452" w:rsidRPr="001570EA" w:rsidRDefault="004E6452" w:rsidP="004E6452">
      <w:pPr>
        <w:pStyle w:val="SubStyle"/>
      </w:pPr>
      <w:r w:rsidRPr="001570EA">
        <w:t>Sources</w:t>
      </w:r>
    </w:p>
    <w:p w14:paraId="503774A2" w14:textId="38E93A8E" w:rsidR="004E6452" w:rsidRPr="001570EA" w:rsidRDefault="004E6452" w:rsidP="006D787B">
      <w:pPr>
        <w:pStyle w:val="source10"/>
        <w:numPr>
          <w:ilvl w:val="0"/>
          <w:numId w:val="57"/>
        </w:numPr>
        <w:tabs>
          <w:tab w:val="clear" w:pos="810"/>
          <w:tab w:val="num" w:pos="360"/>
          <w:tab w:val="left" w:pos="720"/>
        </w:tabs>
        <w:spacing w:after="120"/>
        <w:ind w:left="360"/>
        <w:jc w:val="left"/>
      </w:pPr>
      <w:r w:rsidRPr="001570EA">
        <w:rPr>
          <w:szCs w:val="24"/>
        </w:rPr>
        <w:t xml:space="preserve">ENERGY STAR (2013). Savings Calculator for ENERGY STAR Qualified Light Fixtures &amp; Ceiling Fans U.S. EPA. </w:t>
      </w:r>
      <w:hyperlink r:id="rId301">
        <w:r w:rsidRPr="001570EA">
          <w:rPr>
            <w:rStyle w:val="Hyperlink"/>
            <w:rFonts w:cs="Arial"/>
          </w:rPr>
          <w:t>Weblink</w:t>
        </w:r>
      </w:hyperlink>
    </w:p>
    <w:p w14:paraId="7A824E94" w14:textId="2A7C83BD" w:rsidR="004E6452" w:rsidRPr="001570EA" w:rsidRDefault="004E6452" w:rsidP="006D787B">
      <w:pPr>
        <w:pStyle w:val="source10"/>
        <w:numPr>
          <w:ilvl w:val="0"/>
          <w:numId w:val="57"/>
        </w:numPr>
        <w:tabs>
          <w:tab w:val="clear" w:pos="810"/>
          <w:tab w:val="num" w:pos="360"/>
          <w:tab w:val="left" w:pos="720"/>
        </w:tabs>
        <w:spacing w:after="120"/>
        <w:ind w:left="360"/>
        <w:jc w:val="left"/>
      </w:pPr>
      <w:r w:rsidRPr="001570EA">
        <w:t xml:space="preserve">U.S. EPA. (2018). ENERGY STAR Program Requirements Product Specification for Residential Ceiling Fans Eligibility Criteria Version 4.1. </w:t>
      </w:r>
      <w:hyperlink r:id="rId302" w:history="1">
        <w:r w:rsidRPr="001570EA">
          <w:rPr>
            <w:rStyle w:val="Hyperlink"/>
            <w:rFonts w:cs="Arial"/>
          </w:rPr>
          <w:t>Weblink</w:t>
        </w:r>
      </w:hyperlink>
    </w:p>
    <w:p w14:paraId="740D7AE6" w14:textId="1A0E6313" w:rsidR="004E6452" w:rsidRPr="001570EA" w:rsidRDefault="004E6452" w:rsidP="006D787B">
      <w:pPr>
        <w:pStyle w:val="source10"/>
        <w:numPr>
          <w:ilvl w:val="0"/>
          <w:numId w:val="57"/>
        </w:numPr>
        <w:tabs>
          <w:tab w:val="clear" w:pos="810"/>
          <w:tab w:val="num" w:pos="360"/>
          <w:tab w:val="left" w:pos="720"/>
        </w:tabs>
        <w:spacing w:after="120"/>
        <w:ind w:left="360"/>
        <w:jc w:val="left"/>
      </w:pPr>
      <w:r w:rsidRPr="001570EA">
        <w:rPr>
          <w:szCs w:val="16"/>
        </w:rPr>
        <w:t xml:space="preserve">10 CFR 430.32(s) </w:t>
      </w:r>
      <w:hyperlink r:id="rId303" w:anchor="p-430.32(s)" w:history="1">
        <w:r w:rsidRPr="001570EA">
          <w:rPr>
            <w:rStyle w:val="Hyperlink"/>
            <w:rFonts w:cs="Arial"/>
          </w:rPr>
          <w:t>Weblink</w:t>
        </w:r>
      </w:hyperlink>
    </w:p>
    <w:p w14:paraId="4430C290" w14:textId="2F2E3A72" w:rsidR="004E6452" w:rsidRPr="001570EA" w:rsidRDefault="004E6452" w:rsidP="006D787B">
      <w:pPr>
        <w:pStyle w:val="source10"/>
        <w:numPr>
          <w:ilvl w:val="0"/>
          <w:numId w:val="57"/>
        </w:numPr>
        <w:tabs>
          <w:tab w:val="clear" w:pos="810"/>
          <w:tab w:val="num" w:pos="360"/>
          <w:tab w:val="left" w:pos="720"/>
        </w:tabs>
        <w:spacing w:after="120"/>
        <w:ind w:left="360"/>
        <w:jc w:val="left"/>
      </w:pPr>
      <w:r w:rsidRPr="001570EA">
        <w:t xml:space="preserve">SWE analysis of ENERGY STAR-Certified Ceiling Fans. Accessed 12/5/18. </w:t>
      </w:r>
      <w:hyperlink r:id="rId304" w:history="1">
        <w:r w:rsidRPr="001570EA">
          <w:rPr>
            <w:rStyle w:val="Hyperlink"/>
            <w:rFonts w:cs="Arial"/>
          </w:rPr>
          <w:t>Weblink</w:t>
        </w:r>
      </w:hyperlink>
      <w:r w:rsidRPr="001570EA">
        <w:t xml:space="preserve"> </w:t>
      </w:r>
    </w:p>
    <w:p w14:paraId="1DA4F5A4" w14:textId="5900E71C" w:rsidR="004E6452" w:rsidRPr="001570EA" w:rsidRDefault="004E6452" w:rsidP="006D787B">
      <w:pPr>
        <w:pStyle w:val="source10"/>
        <w:numPr>
          <w:ilvl w:val="0"/>
          <w:numId w:val="57"/>
        </w:numPr>
        <w:tabs>
          <w:tab w:val="clear" w:pos="810"/>
          <w:tab w:val="num" w:pos="360"/>
          <w:tab w:val="left" w:pos="720"/>
        </w:tabs>
        <w:spacing w:after="120"/>
        <w:ind w:left="360"/>
        <w:jc w:val="left"/>
      </w:pPr>
      <w:r w:rsidRPr="001570EA">
        <w:t xml:space="preserve">Wilson et al. 2021. End-Use Load Profiles for the U.S. Building Stock: Methodology and Results of Model Calibration, Validation, and Uncertainty Quantification. NREL/TP-5500-80889. </w:t>
      </w:r>
      <w:hyperlink r:id="rId305" w:history="1">
        <w:r w:rsidRPr="001570EA">
          <w:rPr>
            <w:rStyle w:val="Hyperlink"/>
            <w:rFonts w:cs="Arial"/>
          </w:rPr>
          <w:t>Weblink</w:t>
        </w:r>
      </w:hyperlink>
    </w:p>
    <w:p w14:paraId="5C705A8F" w14:textId="77777777" w:rsidR="004E6452" w:rsidRPr="001570EA" w:rsidDel="008E1C71" w:rsidRDefault="004E6452" w:rsidP="00462D97">
      <w:pPr>
        <w:pStyle w:val="Heading3"/>
        <w:rPr>
          <w:rFonts w:eastAsiaTheme="minorHAnsi"/>
        </w:rPr>
        <w:sectPr w:rsidR="004E6452" w:rsidRPr="001570EA" w:rsidDel="008E1C71" w:rsidSect="002D556C">
          <w:footerReference w:type="first" r:id="rId306"/>
          <w:pgSz w:w="12240" w:h="15840"/>
          <w:pgMar w:top="1440" w:right="1800" w:bottom="1440" w:left="1800" w:header="720" w:footer="501" w:gutter="0"/>
          <w:cols w:space="720"/>
        </w:sectPr>
      </w:pPr>
      <w:bookmarkStart w:id="1087" w:name="_Toc527023779"/>
    </w:p>
    <w:p w14:paraId="5D4F12D0" w14:textId="77777777" w:rsidR="004E6452" w:rsidRPr="001570EA" w:rsidDel="00D30D4C" w:rsidRDefault="004E6452" w:rsidP="00462D97">
      <w:pPr>
        <w:pStyle w:val="Heading3"/>
      </w:pPr>
      <w:bookmarkStart w:id="1088" w:name="_Toc48143051"/>
      <w:bookmarkStart w:id="1089" w:name="_Toc164786673"/>
      <w:r w:rsidRPr="001570EA" w:rsidDel="00D30D4C">
        <w:t>ENERGY STAR Air Purifier</w:t>
      </w:r>
      <w:bookmarkEnd w:id="1087"/>
      <w:r w:rsidRPr="001570EA" w:rsidDel="00D30D4C">
        <w:t>s</w:t>
      </w:r>
      <w:bookmarkEnd w:id="1088"/>
      <w:bookmarkEnd w:id="1089"/>
      <w:r w:rsidRPr="001570EA" w:rsidDel="00D30D4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5796"/>
      </w:tblGrid>
      <w:tr w:rsidR="004E6452" w:rsidRPr="001570EA" w:rsidDel="00D30D4C" w14:paraId="02EC9046" w14:textId="77777777">
        <w:trPr>
          <w:trHeight w:val="302"/>
          <w:jc w:val="center"/>
        </w:trPr>
        <w:tc>
          <w:tcPr>
            <w:tcW w:w="2834" w:type="dxa"/>
            <w:shd w:val="clear" w:color="auto" w:fill="auto"/>
          </w:tcPr>
          <w:p w14:paraId="3D91A0DC" w14:textId="77777777" w:rsidR="004E6452" w:rsidRPr="001570EA" w:rsidDel="00D30D4C" w:rsidRDefault="004E6452">
            <w:pPr>
              <w:pStyle w:val="TableCell"/>
              <w:spacing w:before="60" w:after="60"/>
            </w:pPr>
            <w:r w:rsidRPr="001570EA" w:rsidDel="00D30D4C">
              <w:t>Target Sector</w:t>
            </w:r>
          </w:p>
        </w:tc>
        <w:tc>
          <w:tcPr>
            <w:tcW w:w="5796" w:type="dxa"/>
            <w:shd w:val="clear" w:color="auto" w:fill="auto"/>
          </w:tcPr>
          <w:p w14:paraId="16D4F5F6" w14:textId="77777777" w:rsidR="004E6452" w:rsidRPr="001570EA" w:rsidDel="00D30D4C" w:rsidRDefault="004E6452">
            <w:pPr>
              <w:pStyle w:val="TableCell"/>
              <w:spacing w:before="60" w:after="60"/>
              <w:jc w:val="center"/>
              <w:rPr>
                <w:rFonts w:ascii="Arial,Arial Unicode MS" w:eastAsia="Arial,Arial Unicode MS" w:hAnsi="Arial,Arial Unicode MS" w:cs="Arial,Arial Unicode MS"/>
                <w:i/>
              </w:rPr>
            </w:pPr>
            <w:r w:rsidRPr="001570EA" w:rsidDel="00D30D4C">
              <w:t>Residential</w:t>
            </w:r>
          </w:p>
        </w:tc>
      </w:tr>
      <w:tr w:rsidR="004E6452" w:rsidRPr="001570EA" w:rsidDel="00D30D4C" w14:paraId="46825790" w14:textId="77777777">
        <w:trPr>
          <w:trHeight w:val="302"/>
          <w:jc w:val="center"/>
        </w:trPr>
        <w:tc>
          <w:tcPr>
            <w:tcW w:w="2834" w:type="dxa"/>
            <w:shd w:val="clear" w:color="auto" w:fill="auto"/>
          </w:tcPr>
          <w:p w14:paraId="48677FDB" w14:textId="77777777" w:rsidR="004E6452" w:rsidRPr="001570EA" w:rsidDel="00D30D4C" w:rsidRDefault="004E6452">
            <w:pPr>
              <w:pStyle w:val="TableCell"/>
              <w:spacing w:before="60" w:after="60"/>
            </w:pPr>
            <w:r w:rsidRPr="001570EA" w:rsidDel="00D30D4C">
              <w:t>Measure Unit</w:t>
            </w:r>
          </w:p>
        </w:tc>
        <w:tc>
          <w:tcPr>
            <w:tcW w:w="5796" w:type="dxa"/>
            <w:shd w:val="clear" w:color="auto" w:fill="auto"/>
          </w:tcPr>
          <w:p w14:paraId="45A0D7C4" w14:textId="77777777" w:rsidR="004E6452" w:rsidRPr="001570EA" w:rsidDel="00D30D4C" w:rsidRDefault="004E6452">
            <w:pPr>
              <w:pStyle w:val="TableCell"/>
              <w:spacing w:before="60" w:after="60"/>
              <w:jc w:val="center"/>
              <w:rPr>
                <w:rFonts w:ascii="Arial,Arial Unicode MS" w:eastAsia="Arial,Arial Unicode MS" w:hAnsi="Arial,Arial Unicode MS" w:cs="Arial,Arial Unicode MS"/>
                <w:i/>
              </w:rPr>
            </w:pPr>
            <w:r w:rsidRPr="001570EA" w:rsidDel="00D30D4C">
              <w:t>Air Purifier</w:t>
            </w:r>
          </w:p>
        </w:tc>
      </w:tr>
      <w:tr w:rsidR="004E6452" w:rsidRPr="001570EA" w:rsidDel="00D30D4C" w14:paraId="6C753158" w14:textId="77777777">
        <w:trPr>
          <w:trHeight w:val="302"/>
          <w:jc w:val="center"/>
        </w:trPr>
        <w:tc>
          <w:tcPr>
            <w:tcW w:w="2834" w:type="dxa"/>
            <w:shd w:val="clear" w:color="auto" w:fill="auto"/>
          </w:tcPr>
          <w:p w14:paraId="11661598" w14:textId="77777777" w:rsidR="004E6452" w:rsidRPr="001570EA" w:rsidDel="00D30D4C" w:rsidRDefault="004E6452">
            <w:pPr>
              <w:pStyle w:val="TableCell"/>
              <w:spacing w:before="60" w:after="60"/>
            </w:pPr>
            <w:r w:rsidRPr="001570EA" w:rsidDel="00D30D4C">
              <w:t>Measure Life</w:t>
            </w:r>
          </w:p>
        </w:tc>
        <w:tc>
          <w:tcPr>
            <w:tcW w:w="5796" w:type="dxa"/>
            <w:shd w:val="clear" w:color="auto" w:fill="auto"/>
          </w:tcPr>
          <w:p w14:paraId="14571960" w14:textId="77777777" w:rsidR="004E6452" w:rsidRPr="001570EA" w:rsidDel="00D30D4C" w:rsidRDefault="004E6452">
            <w:pPr>
              <w:pStyle w:val="TableCell"/>
              <w:spacing w:before="60" w:after="60"/>
              <w:jc w:val="center"/>
              <w:rPr>
                <w:rFonts w:ascii="Arial,Arial Unicode MS" w:eastAsia="Arial,Arial Unicode MS" w:hAnsi="Arial,Arial Unicode MS" w:cs="Arial,Arial Unicode MS"/>
                <w:i/>
              </w:rPr>
            </w:pPr>
            <w:r w:rsidRPr="001570EA" w:rsidDel="00D30D4C">
              <w:t>9 years</w:t>
            </w:r>
            <w:r w:rsidRPr="001570EA" w:rsidDel="00D30D4C">
              <w:rPr>
                <w:vertAlign w:val="superscript"/>
              </w:rPr>
              <w:t>Source 1</w:t>
            </w:r>
          </w:p>
        </w:tc>
      </w:tr>
      <w:tr w:rsidR="004E6452" w:rsidRPr="001570EA" w:rsidDel="00D30D4C" w14:paraId="79623451" w14:textId="77777777">
        <w:trPr>
          <w:trHeight w:val="302"/>
          <w:jc w:val="center"/>
        </w:trPr>
        <w:tc>
          <w:tcPr>
            <w:tcW w:w="2834" w:type="dxa"/>
            <w:shd w:val="clear" w:color="auto" w:fill="auto"/>
          </w:tcPr>
          <w:p w14:paraId="66F2E305" w14:textId="77777777" w:rsidR="004E6452" w:rsidRPr="001570EA" w:rsidDel="00D30D4C" w:rsidRDefault="004E6452">
            <w:pPr>
              <w:pStyle w:val="TableCell"/>
              <w:spacing w:before="60" w:after="60"/>
            </w:pPr>
            <w:r w:rsidRPr="001570EA" w:rsidDel="00D30D4C">
              <w:t>Vintage</w:t>
            </w:r>
          </w:p>
        </w:tc>
        <w:tc>
          <w:tcPr>
            <w:tcW w:w="5796" w:type="dxa"/>
            <w:shd w:val="clear" w:color="auto" w:fill="auto"/>
          </w:tcPr>
          <w:p w14:paraId="0EFC1FF2" w14:textId="77777777" w:rsidR="004E6452" w:rsidRPr="001570EA" w:rsidDel="00D30D4C" w:rsidRDefault="004E6452">
            <w:pPr>
              <w:pStyle w:val="TableCell"/>
              <w:spacing w:before="60" w:after="60"/>
              <w:jc w:val="center"/>
            </w:pPr>
            <w:r w:rsidRPr="001570EA" w:rsidDel="00D30D4C">
              <w:t>Replace on Burnout, Early Replacement, Retrofit, New Construction</w:t>
            </w:r>
          </w:p>
        </w:tc>
      </w:tr>
    </w:tbl>
    <w:p w14:paraId="477E0A7A" w14:textId="77777777" w:rsidR="004E6452" w:rsidRPr="001570EA" w:rsidDel="00D30D4C" w:rsidRDefault="004E6452" w:rsidP="004E6452"/>
    <w:p w14:paraId="4964B852" w14:textId="77777777" w:rsidR="004E6452" w:rsidRPr="001570EA" w:rsidRDefault="004E6452" w:rsidP="004E6452">
      <w:pPr>
        <w:pStyle w:val="BodyText"/>
        <w:rPr>
          <w:rFonts w:eastAsia="Arial"/>
        </w:rPr>
      </w:pPr>
      <w:r w:rsidRPr="001570EA" w:rsidDel="00D30D4C">
        <w:rPr>
          <w:rFonts w:eastAsia="Arial"/>
        </w:rPr>
        <w:t xml:space="preserve">An air purifier (cleaner) is a portable electric appliance that removes dust and fine particles from indoor air. This measure characterizes the purchase and installation of an </w:t>
      </w:r>
      <w:r w:rsidRPr="001570EA">
        <w:rPr>
          <w:rFonts w:eastAsia="Arial"/>
        </w:rPr>
        <w:t>ENERGY STAR</w:t>
      </w:r>
      <w:r w:rsidRPr="001570EA" w:rsidDel="00D30D4C">
        <w:rPr>
          <w:rFonts w:eastAsia="Arial"/>
        </w:rPr>
        <w:t xml:space="preserve"> unit </w:t>
      </w:r>
      <w:r w:rsidRPr="001570EA">
        <w:rPr>
          <w:rFonts w:eastAsia="Arial"/>
        </w:rPr>
        <w:t>that is more energy-efficient than a</w:t>
      </w:r>
      <w:r w:rsidRPr="001570EA" w:rsidDel="00D30D4C">
        <w:rPr>
          <w:rFonts w:eastAsia="Arial"/>
        </w:rPr>
        <w:t xml:space="preserve"> </w:t>
      </w:r>
      <w:r w:rsidRPr="001570EA">
        <w:rPr>
          <w:rFonts w:eastAsia="Arial"/>
        </w:rPr>
        <w:t>non-ENERGY STAR unit</w:t>
      </w:r>
      <w:r w:rsidRPr="001570EA" w:rsidDel="00D30D4C">
        <w:rPr>
          <w:rFonts w:eastAsia="Arial"/>
        </w:rPr>
        <w:t>.</w:t>
      </w:r>
    </w:p>
    <w:p w14:paraId="37FFFF00" w14:textId="77777777" w:rsidR="004E6452" w:rsidRPr="001570EA" w:rsidDel="00D30D4C" w:rsidRDefault="004E6452" w:rsidP="004E6452">
      <w:pPr>
        <w:pStyle w:val="BodyText"/>
        <w:rPr>
          <w:rFonts w:eastAsia="Arial"/>
        </w:rPr>
      </w:pPr>
    </w:p>
    <w:p w14:paraId="72E67B56" w14:textId="77777777" w:rsidR="004E6452" w:rsidRPr="001570EA" w:rsidDel="00D30D4C" w:rsidRDefault="004E6452" w:rsidP="004E6452">
      <w:pPr>
        <w:pStyle w:val="SubStyle"/>
      </w:pPr>
      <w:r w:rsidRPr="001570EA" w:rsidDel="00D30D4C">
        <w:t>Eligibility</w:t>
      </w:r>
    </w:p>
    <w:p w14:paraId="0F16985E" w14:textId="77777777" w:rsidR="004E6452" w:rsidRPr="001570EA" w:rsidDel="00D30D4C" w:rsidRDefault="004E6452" w:rsidP="004E6452">
      <w:pPr>
        <w:pStyle w:val="BodyText"/>
        <w:rPr>
          <w:sz w:val="18"/>
          <w:szCs w:val="18"/>
        </w:rPr>
      </w:pPr>
      <w:r w:rsidRPr="001570EA" w:rsidDel="00D30D4C">
        <w:t xml:space="preserve">In order to qualify, installed air purifiers must </w:t>
      </w:r>
      <w:r w:rsidRPr="001570EA">
        <w:t xml:space="preserve">be </w:t>
      </w:r>
      <w:r w:rsidRPr="001570EA">
        <w:rPr>
          <w:rFonts w:eastAsiaTheme="minorHAnsi" w:cs="Arial"/>
        </w:rPr>
        <w:t xml:space="preserve">ENERGY STAR-certified and </w:t>
      </w:r>
      <w:r w:rsidRPr="001570EA">
        <w:t>exceed</w:t>
      </w:r>
      <w:r w:rsidRPr="001570EA">
        <w:rPr>
          <w:rFonts w:eastAsiaTheme="minorHAnsi" w:cs="Arial"/>
        </w:rPr>
        <w:t xml:space="preserve"> federal minimum integrated energy factor (IEF) standards.</w:t>
      </w:r>
    </w:p>
    <w:p w14:paraId="70E00704" w14:textId="77777777" w:rsidR="004E6452" w:rsidRPr="001570EA" w:rsidDel="00D30D4C" w:rsidRDefault="004E6452" w:rsidP="004E6452">
      <w:pPr>
        <w:pStyle w:val="BodyText"/>
        <w:rPr>
          <w:sz w:val="18"/>
          <w:szCs w:val="18"/>
        </w:rPr>
      </w:pPr>
    </w:p>
    <w:p w14:paraId="5D7A1F7C" w14:textId="77777777" w:rsidR="004E6452" w:rsidRPr="001570EA" w:rsidDel="00D30D4C" w:rsidRDefault="004E6452" w:rsidP="004E6452">
      <w:pPr>
        <w:pStyle w:val="SubStyle"/>
      </w:pPr>
      <w:r w:rsidRPr="001570EA" w:rsidDel="00D30D4C">
        <w:t>Algorithms</w:t>
      </w:r>
    </w:p>
    <w:p w14:paraId="3116BBC7" w14:textId="77777777" w:rsidR="004E6452" w:rsidRPr="001570EA" w:rsidDel="00D30D4C" w:rsidRDefault="004E6452" w:rsidP="004E6452">
      <w:pPr>
        <w:pStyle w:val="BodyText"/>
      </w:pPr>
      <w:r w:rsidRPr="001570EA" w:rsidDel="00D30D4C">
        <w:t>The following algorithms shall be used to calculate the annual energy savings and coincident peak demand savings for this measure:</w:t>
      </w:r>
    </w:p>
    <w:p w14:paraId="502E9211" w14:textId="77777777" w:rsidR="004E6452" w:rsidRPr="001570EA" w:rsidRDefault="004E6452" w:rsidP="004E6452">
      <w:pPr>
        <w:pStyle w:val="BodyText"/>
      </w:pPr>
    </w:p>
    <w:p w14:paraId="25A668AC" w14:textId="77777777" w:rsidR="004E6452" w:rsidRPr="006C4C0D" w:rsidRDefault="004E6452" w:rsidP="004E6452">
      <m:oMathPara>
        <m:oMathParaPr>
          <m:jc m:val="left"/>
        </m:oMathParaPr>
        <m:oMath>
          <m:r>
            <w:rPr>
              <w:rFonts w:ascii="Cambria Math" w:hAnsi="Cambria Math"/>
              <w:szCs w:val="20"/>
            </w:rPr>
            <m:t>∆kWh=</m:t>
          </m:r>
          <m:f>
            <m:fPr>
              <m:ctrlPr>
                <w:rPr>
                  <w:rFonts w:ascii="Cambria Math" w:hAnsi="Cambria Math"/>
                  <w:szCs w:val="20"/>
                </w:rPr>
              </m:ctrlPr>
            </m:fPr>
            <m:num>
              <m:r>
                <w:rPr>
                  <w:rFonts w:ascii="Cambria Math" w:hAnsi="Cambria Math"/>
                  <w:szCs w:val="20"/>
                </w:rPr>
                <m:t xml:space="preserve">CADR×Hours× </m:t>
              </m:r>
              <m:d>
                <m:dPr>
                  <m:ctrlPr>
                    <w:rPr>
                      <w:rFonts w:ascii="Cambria Math" w:hAnsi="Cambria Math"/>
                      <w:szCs w:val="20"/>
                    </w:rPr>
                  </m:ctrlPr>
                </m:dPr>
                <m:e>
                  <m:f>
                    <m:fPr>
                      <m:ctrlPr>
                        <w:rPr>
                          <w:rFonts w:ascii="Cambria Math" w:hAnsi="Cambria Math"/>
                          <w:szCs w:val="20"/>
                        </w:rPr>
                      </m:ctrlPr>
                    </m:fPr>
                    <m:num>
                      <m:r>
                        <w:rPr>
                          <w:rFonts w:ascii="Cambria Math" w:hAnsi="Cambria Math"/>
                          <w:szCs w:val="20"/>
                        </w:rPr>
                        <m:t>1</m:t>
                      </m:r>
                    </m:num>
                    <m:den>
                      <m:sSub>
                        <m:sSubPr>
                          <m:ctrlPr>
                            <w:rPr>
                              <w:rFonts w:ascii="Cambria Math" w:hAnsi="Cambria Math"/>
                              <w:szCs w:val="20"/>
                            </w:rPr>
                          </m:ctrlPr>
                        </m:sSubPr>
                        <m:e>
                          <m:r>
                            <w:rPr>
                              <w:rFonts w:ascii="Cambria Math" w:hAnsi="Cambria Math"/>
                              <w:szCs w:val="20"/>
                            </w:rPr>
                            <m:t>CADR/W</m:t>
                          </m:r>
                        </m:e>
                        <m:sub>
                          <m:r>
                            <w:rPr>
                              <w:rFonts w:ascii="Cambria Math" w:hAnsi="Cambria Math"/>
                              <w:szCs w:val="20"/>
                            </w:rPr>
                            <m:t>base</m:t>
                          </m:r>
                        </m:sub>
                      </m:sSub>
                    </m:den>
                  </m:f>
                  <m:r>
                    <w:rPr>
                      <w:rFonts w:ascii="Cambria Math" w:hAnsi="Cambria Math"/>
                      <w:szCs w:val="20"/>
                    </w:rPr>
                    <m:t>-</m:t>
                  </m:r>
                  <m:f>
                    <m:fPr>
                      <m:ctrlPr>
                        <w:rPr>
                          <w:rFonts w:ascii="Cambria Math" w:hAnsi="Cambria Math"/>
                          <w:szCs w:val="20"/>
                        </w:rPr>
                      </m:ctrlPr>
                    </m:fPr>
                    <m:num>
                      <m:r>
                        <w:rPr>
                          <w:rFonts w:ascii="Cambria Math" w:hAnsi="Cambria Math"/>
                          <w:szCs w:val="20"/>
                        </w:rPr>
                        <m:t>1</m:t>
                      </m:r>
                    </m:num>
                    <m:den>
                      <m:sSub>
                        <m:sSubPr>
                          <m:ctrlPr>
                            <w:rPr>
                              <w:rFonts w:ascii="Cambria Math" w:hAnsi="Cambria Math"/>
                              <w:szCs w:val="20"/>
                            </w:rPr>
                          </m:ctrlPr>
                        </m:sSubPr>
                        <m:e>
                          <m:r>
                            <w:rPr>
                              <w:rFonts w:ascii="Cambria Math" w:hAnsi="Cambria Math"/>
                              <w:szCs w:val="20"/>
                            </w:rPr>
                            <m:t>CADR/W</m:t>
                          </m:r>
                        </m:e>
                        <m:sub>
                          <m:r>
                            <w:rPr>
                              <w:rFonts w:ascii="Cambria Math" w:hAnsi="Cambria Math"/>
                              <w:szCs w:val="20"/>
                            </w:rPr>
                            <m:t>eff</m:t>
                          </m:r>
                        </m:sub>
                      </m:sSub>
                    </m:den>
                  </m:f>
                </m:e>
              </m:d>
              <m: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POW</m:t>
                      </m:r>
                    </m:e>
                    <m:sub>
                      <m:r>
                        <w:rPr>
                          <w:rFonts w:ascii="Cambria Math" w:hAnsi="Cambria Math"/>
                          <w:szCs w:val="20"/>
                        </w:rPr>
                        <m:t>base</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POW</m:t>
                      </m:r>
                    </m:e>
                    <m:sub>
                      <m:r>
                        <w:rPr>
                          <w:rFonts w:ascii="Cambria Math" w:hAnsi="Cambria Math"/>
                          <w:szCs w:val="20"/>
                        </w:rPr>
                        <m:t>eff</m:t>
                      </m:r>
                    </m:sub>
                  </m:sSub>
                </m:e>
              </m:d>
              <m:r>
                <w:rPr>
                  <w:rFonts w:ascii="Cambria Math" w:hAnsi="Cambria Math"/>
                  <w:szCs w:val="20"/>
                </w:rPr>
                <m:t>×POHours</m:t>
              </m:r>
            </m:num>
            <m:den>
              <m:r>
                <w:rPr>
                  <w:rFonts w:ascii="Cambria Math" w:hAnsi="Cambria Math"/>
                  <w:szCs w:val="20"/>
                </w:rPr>
                <m:t>1000</m:t>
              </m:r>
            </m:den>
          </m:f>
        </m:oMath>
      </m:oMathPara>
    </w:p>
    <w:p w14:paraId="7C0A67CC" w14:textId="77777777" w:rsidR="004E6452" w:rsidRPr="001570EA" w:rsidRDefault="004E6452" w:rsidP="004E6452">
      <w:pPr>
        <w:pStyle w:val="BodyText"/>
      </w:pPr>
    </w:p>
    <w:p w14:paraId="363CEABB" w14:textId="77777777" w:rsidR="004E6452" w:rsidRPr="001570EA" w:rsidRDefault="003B5E04" w:rsidP="004E6452">
      <w:pPr>
        <w:pStyle w:val="BodyText"/>
      </w:pPr>
      <m:oMathPara>
        <m:oMathParaPr>
          <m:jc m:val="left"/>
        </m:oMathParaPr>
        <m:oMath>
          <m:sSub>
            <m:sSubPr>
              <m:ctrlPr>
                <w:rPr>
                  <w:rFonts w:ascii="Cambria Math" w:hAnsi="Cambria Math" w:cs="Arial"/>
                </w:rPr>
              </m:ctrlPr>
            </m:sSubPr>
            <m:e>
              <m:r>
                <w:rPr>
                  <w:rFonts w:ascii="Cambria Math" w:hAnsi="Cambria Math"/>
                </w:rPr>
                <m:t>∆k</m:t>
              </m:r>
              <m:r>
                <w:rPr>
                  <w:rFonts w:ascii="Cambria Math" w:hAnsi="Cambria Math" w:cs="Arial"/>
                </w:rPr>
                <m:t>W</m:t>
              </m:r>
            </m:e>
            <m:sub>
              <m:r>
                <w:rPr>
                  <w:rFonts w:ascii="Cambria Math" w:hAnsi="Cambria Math" w:cs="Arial"/>
                </w:rPr>
                <m:t>summer peak</m:t>
              </m:r>
            </m:sub>
          </m:sSub>
          <m:r>
            <w:rPr>
              <w:rFonts w:ascii="Cambria Math" w:hAnsi="Cambria Math" w:cs="Arial"/>
            </w:rPr>
            <m:t xml:space="preserve">     =  </m:t>
          </m:r>
          <m:r>
            <w:rPr>
              <w:rFonts w:ascii="Cambria Math" w:hAnsi="Cambria Math"/>
            </w:rPr>
            <m:t>∆</m:t>
          </m:r>
          <m:r>
            <w:rPr>
              <w:rFonts w:ascii="Cambria Math" w:hAnsi="Cambria Math" w:cs="Arial"/>
            </w:rPr>
            <m:t xml:space="preserve">kWh× </m:t>
          </m:r>
          <m:sSub>
            <m:sSubPr>
              <m:ctrlPr>
                <w:rPr>
                  <w:rFonts w:ascii="Cambria Math" w:hAnsi="Cambria Math" w:cs="Arial"/>
                  <w:i/>
                </w:rPr>
              </m:ctrlPr>
            </m:sSubPr>
            <m:e>
              <m:r>
                <w:rPr>
                  <w:rFonts w:ascii="Cambria Math" w:hAnsi="Cambria Math" w:cs="Arial"/>
                </w:rPr>
                <m:t>ETDF</m:t>
              </m:r>
            </m:e>
            <m:sub>
              <m:r>
                <w:rPr>
                  <w:rFonts w:ascii="Cambria Math" w:hAnsi="Cambria Math" w:cs="Arial"/>
                </w:rPr>
                <m:t>s</m:t>
              </m:r>
            </m:sub>
          </m:sSub>
        </m:oMath>
      </m:oMathPara>
    </w:p>
    <w:p w14:paraId="5A05D7E1" w14:textId="77777777" w:rsidR="004E6452" w:rsidRPr="001570EA" w:rsidRDefault="004E6452" w:rsidP="004E6452">
      <w:pPr>
        <w:pStyle w:val="BodyText"/>
      </w:pPr>
    </w:p>
    <w:p w14:paraId="2D37CBAD" w14:textId="77777777" w:rsidR="004E6452" w:rsidRPr="001570EA" w:rsidRDefault="003B5E04" w:rsidP="004E6452">
      <w:pPr>
        <w:pStyle w:val="BodyText"/>
      </w:pPr>
      <m:oMathPara>
        <m:oMathParaPr>
          <m:jc m:val="left"/>
        </m:oMathParaPr>
        <m:oMath>
          <m:sSub>
            <m:sSubPr>
              <m:ctrlPr>
                <w:rPr>
                  <w:rFonts w:ascii="Cambria Math" w:hAnsi="Cambria Math" w:cs="Arial"/>
                </w:rPr>
              </m:ctrlPr>
            </m:sSubPr>
            <m:e>
              <m:r>
                <w:rPr>
                  <w:rFonts w:ascii="Cambria Math" w:hAnsi="Cambria Math"/>
                </w:rPr>
                <m:t>∆k</m:t>
              </m:r>
              <m:r>
                <w:rPr>
                  <w:rFonts w:ascii="Cambria Math" w:hAnsi="Cambria Math" w:cs="Arial"/>
                </w:rPr>
                <m:t>W</m:t>
              </m:r>
            </m:e>
            <m:sub>
              <m:r>
                <w:rPr>
                  <w:rFonts w:ascii="Cambria Math" w:hAnsi="Cambria Math" w:cs="Arial"/>
                </w:rPr>
                <m:t>winter peak</m:t>
              </m:r>
            </m:sub>
          </m:sSub>
          <m:r>
            <w:rPr>
              <w:rFonts w:ascii="Cambria Math" w:hAnsi="Cambria Math" w:cs="Arial"/>
            </w:rPr>
            <m:t xml:space="preserve">     =  </m:t>
          </m:r>
          <m:r>
            <w:rPr>
              <w:rFonts w:ascii="Cambria Math" w:hAnsi="Cambria Math"/>
            </w:rPr>
            <m:t>∆</m:t>
          </m:r>
          <m:r>
            <w:rPr>
              <w:rFonts w:ascii="Cambria Math" w:hAnsi="Cambria Math" w:cs="Arial"/>
            </w:rPr>
            <m:t xml:space="preserve">kWh× </m:t>
          </m:r>
          <m:sSub>
            <m:sSubPr>
              <m:ctrlPr>
                <w:rPr>
                  <w:rFonts w:ascii="Cambria Math" w:hAnsi="Cambria Math" w:cs="Arial"/>
                  <w:i/>
                </w:rPr>
              </m:ctrlPr>
            </m:sSubPr>
            <m:e>
              <m:r>
                <w:rPr>
                  <w:rFonts w:ascii="Cambria Math" w:hAnsi="Cambria Math" w:cs="Arial"/>
                </w:rPr>
                <m:t>ETDF</m:t>
              </m:r>
            </m:e>
            <m:sub>
              <m:r>
                <w:rPr>
                  <w:rFonts w:ascii="Cambria Math" w:hAnsi="Cambria Math" w:cs="Arial"/>
                </w:rPr>
                <m:t>w</m:t>
              </m:r>
            </m:sub>
          </m:sSub>
        </m:oMath>
      </m:oMathPara>
    </w:p>
    <w:p w14:paraId="508D65C4" w14:textId="77777777" w:rsidR="004E6452" w:rsidRPr="001570EA" w:rsidDel="00D30D4C" w:rsidRDefault="004E6452" w:rsidP="004E6452">
      <w:pPr>
        <w:pStyle w:val="BodyText"/>
      </w:pPr>
    </w:p>
    <w:p w14:paraId="5B85F9B3" w14:textId="77777777" w:rsidR="004E6452" w:rsidRPr="001570EA" w:rsidDel="00D30D4C" w:rsidRDefault="004E6452" w:rsidP="004E6452">
      <w:pPr>
        <w:pStyle w:val="SubStyle"/>
      </w:pPr>
      <w:r w:rsidRPr="001570EA" w:rsidDel="00D30D4C">
        <w:t>Definition of Terms</w:t>
      </w:r>
    </w:p>
    <w:p w14:paraId="3DC93EA4" w14:textId="096C411D" w:rsidR="004E6452" w:rsidRPr="001570EA" w:rsidDel="00D30D4C" w:rsidRDefault="004E6452" w:rsidP="004E6452">
      <w:pPr>
        <w:pStyle w:val="Caption"/>
        <w:keepNext w:val="0"/>
      </w:pPr>
      <w:bookmarkStart w:id="1090" w:name="_Toc530141768"/>
      <w:bookmarkStart w:id="1091" w:name="_Toc47598346"/>
      <w:r w:rsidRPr="001570EA" w:rsidDel="00D30D4C">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125</w:t>
      </w:r>
      <w:r w:rsidR="002E093A" w:rsidRPr="001570EA">
        <w:fldChar w:fldCharType="end"/>
      </w:r>
      <w:r w:rsidRPr="001570EA" w:rsidDel="00D30D4C">
        <w:t>: Terms, Values, and References for ENERGY STAR Air Purifier</w:t>
      </w:r>
      <w:bookmarkEnd w:id="1090"/>
      <w:bookmarkEnd w:id="1091"/>
    </w:p>
    <w:tbl>
      <w:tblPr>
        <w:tblW w:w="497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1097"/>
        <w:gridCol w:w="2095"/>
        <w:gridCol w:w="1017"/>
      </w:tblGrid>
      <w:tr w:rsidR="004E6452" w:rsidRPr="001570EA" w:rsidDel="00D30D4C" w14:paraId="2FFE1D7E" w14:textId="77777777">
        <w:trPr>
          <w:trHeight w:val="378"/>
        </w:trPr>
        <w:tc>
          <w:tcPr>
            <w:tcW w:w="2576" w:type="pct"/>
            <w:shd w:val="clear" w:color="auto" w:fill="BFBFBF" w:themeFill="background1" w:themeFillShade="BF"/>
          </w:tcPr>
          <w:p w14:paraId="6C74E1A8" w14:textId="77777777" w:rsidR="004E6452" w:rsidRPr="001570EA" w:rsidDel="00D30D4C" w:rsidRDefault="004E6452">
            <w:pPr>
              <w:pStyle w:val="TableCell"/>
              <w:keepNext w:val="0"/>
            </w:pPr>
            <w:r w:rsidRPr="001570EA" w:rsidDel="00D30D4C">
              <w:t>Term</w:t>
            </w:r>
          </w:p>
        </w:tc>
        <w:tc>
          <w:tcPr>
            <w:tcW w:w="640" w:type="pct"/>
            <w:shd w:val="clear" w:color="auto" w:fill="BFBFBF" w:themeFill="background1" w:themeFillShade="BF"/>
            <w:vAlign w:val="center"/>
          </w:tcPr>
          <w:p w14:paraId="5B01E031" w14:textId="77777777" w:rsidR="004E6452" w:rsidRPr="001570EA" w:rsidDel="00D30D4C" w:rsidRDefault="004E6452">
            <w:pPr>
              <w:pStyle w:val="TableCell"/>
              <w:keepNext w:val="0"/>
              <w:jc w:val="center"/>
            </w:pPr>
            <w:r w:rsidRPr="001570EA" w:rsidDel="00D30D4C">
              <w:t>Unit</w:t>
            </w:r>
          </w:p>
        </w:tc>
        <w:tc>
          <w:tcPr>
            <w:tcW w:w="1278" w:type="pct"/>
            <w:shd w:val="clear" w:color="auto" w:fill="BFBFBF" w:themeFill="background1" w:themeFillShade="BF"/>
          </w:tcPr>
          <w:p w14:paraId="7202A2DF" w14:textId="77777777" w:rsidR="004E6452" w:rsidRPr="001570EA" w:rsidDel="00D30D4C" w:rsidRDefault="004E6452">
            <w:pPr>
              <w:pStyle w:val="TableCell"/>
              <w:keepNext w:val="0"/>
            </w:pPr>
            <w:r w:rsidRPr="001570EA" w:rsidDel="00D30D4C">
              <w:t>Values</w:t>
            </w:r>
          </w:p>
        </w:tc>
        <w:tc>
          <w:tcPr>
            <w:tcW w:w="506" w:type="pct"/>
            <w:shd w:val="clear" w:color="auto" w:fill="BFBFBF" w:themeFill="background1" w:themeFillShade="BF"/>
          </w:tcPr>
          <w:p w14:paraId="6A2F3481" w14:textId="77777777" w:rsidR="004E6452" w:rsidRPr="001570EA" w:rsidDel="00D30D4C" w:rsidRDefault="004E6452">
            <w:pPr>
              <w:pStyle w:val="TableCell"/>
              <w:keepNext w:val="0"/>
            </w:pPr>
            <w:r w:rsidRPr="001570EA" w:rsidDel="00D30D4C">
              <w:t>Source</w:t>
            </w:r>
          </w:p>
        </w:tc>
      </w:tr>
      <w:tr w:rsidR="004E6452" w:rsidRPr="001570EA" w:rsidDel="00D30D4C" w14:paraId="052D1840" w14:textId="77777777">
        <w:trPr>
          <w:trHeight w:val="560"/>
        </w:trPr>
        <w:tc>
          <w:tcPr>
            <w:tcW w:w="2576" w:type="pct"/>
            <w:shd w:val="clear" w:color="auto" w:fill="auto"/>
          </w:tcPr>
          <w:p w14:paraId="42BE4271" w14:textId="77777777" w:rsidR="004E6452" w:rsidRPr="001570EA" w:rsidDel="00D30D4C" w:rsidRDefault="004E6452">
            <w:pPr>
              <w:pStyle w:val="TableCell"/>
              <w:keepNext w:val="0"/>
              <w:jc w:val="left"/>
            </w:pPr>
            <m:oMath>
              <m:r>
                <w:rPr>
                  <w:rFonts w:ascii="Cambria Math" w:hAnsi="Cambria Math"/>
                  <w:sz w:val="20"/>
                </w:rPr>
                <m:t>CADR</m:t>
              </m:r>
            </m:oMath>
            <w:r w:rsidRPr="001570EA">
              <w:t xml:space="preserve">, Clean Air Delivery Rate </w:t>
            </w:r>
          </w:p>
        </w:tc>
        <w:tc>
          <w:tcPr>
            <w:tcW w:w="640" w:type="pct"/>
            <w:shd w:val="clear" w:color="auto" w:fill="auto"/>
            <w:vAlign w:val="center"/>
          </w:tcPr>
          <w:p w14:paraId="1807B076" w14:textId="77777777" w:rsidR="004E6452" w:rsidRPr="001570EA" w:rsidDel="00D30D4C" w:rsidRDefault="004E6452">
            <w:pPr>
              <w:pStyle w:val="TableCell"/>
              <w:keepNext w:val="0"/>
              <w:jc w:val="center"/>
              <w:rPr>
                <w:i/>
                <w:iCs/>
              </w:rPr>
            </w:pPr>
            <w:r w:rsidRPr="001570EA">
              <w:rPr>
                <w:i/>
                <w:iCs/>
              </w:rPr>
              <w:t>CFM</w:t>
            </w:r>
          </w:p>
        </w:tc>
        <w:tc>
          <w:tcPr>
            <w:tcW w:w="1278" w:type="pct"/>
            <w:shd w:val="clear" w:color="auto" w:fill="auto"/>
          </w:tcPr>
          <w:p w14:paraId="7A095650" w14:textId="77777777" w:rsidR="004E6452" w:rsidRPr="001570EA" w:rsidDel="00D30D4C" w:rsidRDefault="004E6452">
            <w:pPr>
              <w:pStyle w:val="TableCell"/>
              <w:keepNext w:val="0"/>
              <w:jc w:val="center"/>
            </w:pPr>
            <w:r w:rsidRPr="001570EA">
              <w:t>EDC Data Gathering</w:t>
            </w:r>
          </w:p>
        </w:tc>
        <w:tc>
          <w:tcPr>
            <w:tcW w:w="506" w:type="pct"/>
            <w:shd w:val="clear" w:color="auto" w:fill="auto"/>
          </w:tcPr>
          <w:p w14:paraId="534124C9" w14:textId="77777777" w:rsidR="004E6452" w:rsidRPr="001570EA" w:rsidDel="00D30D4C" w:rsidRDefault="004E6452">
            <w:pPr>
              <w:pStyle w:val="TableCell"/>
              <w:keepNext w:val="0"/>
              <w:jc w:val="center"/>
            </w:pPr>
            <w:r w:rsidRPr="001570EA">
              <w:rPr>
                <w:szCs w:val="18"/>
              </w:rPr>
              <w:t>EDC data gathering</w:t>
            </w:r>
          </w:p>
        </w:tc>
      </w:tr>
      <w:tr w:rsidR="004E6452" w:rsidRPr="001570EA" w:rsidDel="00D30D4C" w14:paraId="5A4A2CB5" w14:textId="77777777">
        <w:trPr>
          <w:trHeight w:val="560"/>
        </w:trPr>
        <w:tc>
          <w:tcPr>
            <w:tcW w:w="2576" w:type="pct"/>
            <w:shd w:val="clear" w:color="auto" w:fill="auto"/>
          </w:tcPr>
          <w:p w14:paraId="2E0811F0" w14:textId="77777777" w:rsidR="004E6452" w:rsidRPr="001570EA" w:rsidRDefault="004E6452">
            <w:pPr>
              <w:pStyle w:val="TableCell"/>
              <w:keepNext w:val="0"/>
            </w:pPr>
            <m:oMath>
              <m:r>
                <w:rPr>
                  <w:rFonts w:ascii="Cambria Math" w:hAnsi="Cambria Math"/>
                  <w:sz w:val="20"/>
                </w:rPr>
                <m:t>Hours</m:t>
              </m:r>
            </m:oMath>
            <w:r w:rsidRPr="001570EA" w:rsidDel="00D30D4C">
              <w:t>, Average hours of use per year</w:t>
            </w:r>
          </w:p>
        </w:tc>
        <w:tc>
          <w:tcPr>
            <w:tcW w:w="640" w:type="pct"/>
            <w:shd w:val="clear" w:color="auto" w:fill="auto"/>
            <w:vAlign w:val="center"/>
          </w:tcPr>
          <w:p w14:paraId="06A4F0FE" w14:textId="77777777" w:rsidR="004E6452" w:rsidRPr="001570EA" w:rsidRDefault="004E6452">
            <w:pPr>
              <w:pStyle w:val="TableCell"/>
              <w:keepNext w:val="0"/>
              <w:jc w:val="center"/>
              <w:rPr>
                <w:i/>
                <w:iCs/>
              </w:rPr>
            </w:pPr>
            <w:r w:rsidRPr="001570EA" w:rsidDel="00D30D4C">
              <w:rPr>
                <w:i/>
                <w:iCs/>
              </w:rPr>
              <w:t>Hours/year</w:t>
            </w:r>
          </w:p>
        </w:tc>
        <w:tc>
          <w:tcPr>
            <w:tcW w:w="1278" w:type="pct"/>
            <w:shd w:val="clear" w:color="auto" w:fill="auto"/>
          </w:tcPr>
          <w:p w14:paraId="00BDFAB9" w14:textId="77777777" w:rsidR="004E6452" w:rsidRPr="001570EA" w:rsidRDefault="004E6452">
            <w:pPr>
              <w:pStyle w:val="TableCell"/>
              <w:keepNext w:val="0"/>
              <w:jc w:val="center"/>
            </w:pPr>
            <w:r w:rsidRPr="001570EA">
              <w:t>EDC Data Gathering</w:t>
            </w:r>
          </w:p>
          <w:p w14:paraId="13483266" w14:textId="77777777" w:rsidR="004E6452" w:rsidRPr="001570EA" w:rsidRDefault="004E6452">
            <w:pPr>
              <w:pStyle w:val="TableCell"/>
              <w:keepNext w:val="0"/>
              <w:jc w:val="center"/>
            </w:pPr>
            <w:r w:rsidRPr="001570EA">
              <w:t xml:space="preserve">Default = </w:t>
            </w:r>
            <w:r w:rsidRPr="001570EA" w:rsidDel="00D30D4C">
              <w:t>5,840</w:t>
            </w:r>
          </w:p>
        </w:tc>
        <w:tc>
          <w:tcPr>
            <w:tcW w:w="506" w:type="pct"/>
            <w:shd w:val="clear" w:color="auto" w:fill="auto"/>
          </w:tcPr>
          <w:p w14:paraId="53C22675" w14:textId="77777777" w:rsidR="004E6452" w:rsidRPr="001570EA" w:rsidDel="0075352F" w:rsidRDefault="004E6452">
            <w:pPr>
              <w:pStyle w:val="TableCell"/>
              <w:keepNext w:val="0"/>
              <w:jc w:val="center"/>
            </w:pPr>
            <w:r w:rsidRPr="001570EA">
              <w:rPr>
                <w:szCs w:val="18"/>
              </w:rPr>
              <w:t>EDC data gathering,</w:t>
            </w:r>
            <w:r w:rsidRPr="001570EA" w:rsidDel="00D30D4C">
              <w:t xml:space="preserve"> 1</w:t>
            </w:r>
          </w:p>
        </w:tc>
      </w:tr>
      <w:tr w:rsidR="004E6452" w:rsidRPr="001570EA" w:rsidDel="00D30D4C" w14:paraId="6F4C1531" w14:textId="77777777">
        <w:trPr>
          <w:trHeight w:val="560"/>
        </w:trPr>
        <w:tc>
          <w:tcPr>
            <w:tcW w:w="2576" w:type="pct"/>
            <w:shd w:val="clear" w:color="auto" w:fill="auto"/>
          </w:tcPr>
          <w:p w14:paraId="6AA207F3" w14:textId="77777777" w:rsidR="004E6452" w:rsidRPr="001570EA" w:rsidRDefault="003B5E04">
            <w:pPr>
              <w:pStyle w:val="TableCell"/>
              <w:keepNext w:val="0"/>
            </w:pPr>
            <m:oMath>
              <m:sSub>
                <m:sSubPr>
                  <m:ctrlPr>
                    <w:rPr>
                      <w:rFonts w:ascii="Cambria Math" w:hAnsi="Cambria Math"/>
                      <w:sz w:val="20"/>
                    </w:rPr>
                  </m:ctrlPr>
                </m:sSubPr>
                <m:e>
                  <m:r>
                    <w:rPr>
                      <w:rFonts w:ascii="Cambria Math" w:hAnsi="Cambria Math"/>
                      <w:sz w:val="20"/>
                    </w:rPr>
                    <m:t>CADR/W</m:t>
                  </m:r>
                </m:e>
                <m:sub>
                  <m:r>
                    <w:rPr>
                      <w:rFonts w:ascii="Cambria Math" w:hAnsi="Cambria Math"/>
                      <w:sz w:val="20"/>
                    </w:rPr>
                    <m:t>base</m:t>
                  </m:r>
                </m:sub>
              </m:sSub>
            </m:oMath>
            <w:r w:rsidR="004E6452" w:rsidRPr="001570EA">
              <w:rPr>
                <w:vertAlign w:val="subscript"/>
              </w:rPr>
              <w:t xml:space="preserve">, </w:t>
            </w:r>
            <w:r w:rsidR="004E6452" w:rsidRPr="001570EA">
              <w:t>Clean Air Delivery Rate per watt for baseline unit</w:t>
            </w:r>
          </w:p>
        </w:tc>
        <w:tc>
          <w:tcPr>
            <w:tcW w:w="640" w:type="pct"/>
            <w:shd w:val="clear" w:color="auto" w:fill="auto"/>
            <w:vAlign w:val="center"/>
          </w:tcPr>
          <w:p w14:paraId="6517DA34" w14:textId="77777777" w:rsidR="004E6452" w:rsidRPr="001570EA" w:rsidRDefault="004E6452">
            <w:pPr>
              <w:pStyle w:val="TableCell"/>
              <w:keepNext w:val="0"/>
              <w:jc w:val="center"/>
              <w:rPr>
                <w:i/>
                <w:iCs/>
              </w:rPr>
            </w:pPr>
            <w:r w:rsidRPr="001570EA">
              <w:rPr>
                <w:i/>
                <w:iCs/>
              </w:rPr>
              <w:t>CFM/W</w:t>
            </w:r>
          </w:p>
        </w:tc>
        <w:tc>
          <w:tcPr>
            <w:tcW w:w="1278" w:type="pct"/>
            <w:shd w:val="clear" w:color="auto" w:fill="auto"/>
          </w:tcPr>
          <w:p w14:paraId="3D91A643" w14:textId="77777777" w:rsidR="002C2E7C" w:rsidRPr="001570EA" w:rsidRDefault="002C2E7C" w:rsidP="002C2E7C">
            <w:pPr>
              <w:pStyle w:val="TableCell"/>
              <w:keepNext w:val="0"/>
              <w:jc w:val="center"/>
            </w:pPr>
            <w:r w:rsidRPr="001570EA">
              <w:t>EDC Data Gathering</w:t>
            </w:r>
          </w:p>
          <w:p w14:paraId="5F1AF06E" w14:textId="54E79305" w:rsidR="004E6452" w:rsidRPr="001570EA" w:rsidRDefault="002C2E7C" w:rsidP="002C2E7C">
            <w:pPr>
              <w:pStyle w:val="TableCell"/>
              <w:keepNext w:val="0"/>
              <w:jc w:val="center"/>
            </w:pPr>
            <w:r w:rsidRPr="001570EA">
              <w:t xml:space="preserve">Default = </w:t>
            </w:r>
            <w:r w:rsidR="00F25A1F" w:rsidRPr="001570EA">
              <w:fldChar w:fldCharType="begin"/>
            </w:r>
            <w:r w:rsidR="00F25A1F" w:rsidRPr="001570EA">
              <w:instrText xml:space="preserve"> REF _Ref465261161 \h </w:instrText>
            </w:r>
            <w:r w:rsidR="001570EA">
              <w:instrText xml:space="preserve"> \* MERGEFORMAT </w:instrText>
            </w:r>
            <w:r w:rsidR="00F25A1F" w:rsidRPr="001570EA">
              <w:fldChar w:fldCharType="separate"/>
            </w:r>
            <w:r w:rsidR="00234C6C" w:rsidRPr="001570EA" w:rsidDel="00D30D4C">
              <w:t xml:space="preserve">Table </w:t>
            </w:r>
            <w:r w:rsidR="00234C6C" w:rsidRPr="001570EA">
              <w:rPr>
                <w:noProof/>
              </w:rPr>
              <w:t>2</w:t>
            </w:r>
            <w:r w:rsidR="00F25A1F" w:rsidRPr="001570EA">
              <w:fldChar w:fldCharType="end"/>
            </w:r>
          </w:p>
        </w:tc>
        <w:tc>
          <w:tcPr>
            <w:tcW w:w="506" w:type="pct"/>
            <w:shd w:val="clear" w:color="auto" w:fill="auto"/>
          </w:tcPr>
          <w:p w14:paraId="27868940" w14:textId="77777777" w:rsidR="004E6452" w:rsidRPr="001570EA" w:rsidDel="00D30D4C" w:rsidRDefault="004E6452">
            <w:pPr>
              <w:pStyle w:val="TableCell"/>
              <w:keepNext w:val="0"/>
              <w:jc w:val="center"/>
            </w:pPr>
            <w:r w:rsidRPr="001570EA">
              <w:t>2</w:t>
            </w:r>
          </w:p>
        </w:tc>
      </w:tr>
      <w:tr w:rsidR="004E6452" w:rsidRPr="001570EA" w:rsidDel="00D30D4C" w14:paraId="55348092" w14:textId="77777777">
        <w:trPr>
          <w:trHeight w:val="560"/>
        </w:trPr>
        <w:tc>
          <w:tcPr>
            <w:tcW w:w="2576" w:type="pct"/>
            <w:shd w:val="clear" w:color="auto" w:fill="auto"/>
          </w:tcPr>
          <w:p w14:paraId="54D5FACD" w14:textId="77777777" w:rsidR="004E6452" w:rsidRPr="001570EA" w:rsidRDefault="003B5E04">
            <w:pPr>
              <w:pStyle w:val="TableCell"/>
              <w:keepNext w:val="0"/>
            </w:pPr>
            <m:oMath>
              <m:sSub>
                <m:sSubPr>
                  <m:ctrlPr>
                    <w:rPr>
                      <w:rFonts w:ascii="Cambria Math" w:hAnsi="Cambria Math"/>
                      <w:sz w:val="20"/>
                    </w:rPr>
                  </m:ctrlPr>
                </m:sSubPr>
                <m:e>
                  <m:r>
                    <w:rPr>
                      <w:rFonts w:ascii="Cambria Math" w:hAnsi="Cambria Math"/>
                      <w:sz w:val="20"/>
                    </w:rPr>
                    <m:t>CADR/W</m:t>
                  </m:r>
                </m:e>
                <m:sub>
                  <m:r>
                    <w:rPr>
                      <w:rFonts w:ascii="Cambria Math" w:hAnsi="Cambria Math"/>
                      <w:sz w:val="20"/>
                    </w:rPr>
                    <m:t>eff</m:t>
                  </m:r>
                </m:sub>
              </m:sSub>
            </m:oMath>
            <w:r w:rsidR="004E6452" w:rsidRPr="001570EA">
              <w:rPr>
                <w:vertAlign w:val="subscript"/>
              </w:rPr>
              <w:t xml:space="preserve">, </w:t>
            </w:r>
            <w:r w:rsidR="004E6452" w:rsidRPr="001570EA">
              <w:t>Clean Air Delivery Rate per watt for efficient unit</w:t>
            </w:r>
          </w:p>
        </w:tc>
        <w:tc>
          <w:tcPr>
            <w:tcW w:w="640" w:type="pct"/>
            <w:shd w:val="clear" w:color="auto" w:fill="auto"/>
            <w:vAlign w:val="center"/>
          </w:tcPr>
          <w:p w14:paraId="30036A02" w14:textId="77777777" w:rsidR="004E6452" w:rsidRPr="001570EA" w:rsidRDefault="004E6452">
            <w:pPr>
              <w:pStyle w:val="TableCell"/>
              <w:keepNext w:val="0"/>
              <w:jc w:val="center"/>
              <w:rPr>
                <w:i/>
                <w:iCs/>
              </w:rPr>
            </w:pPr>
            <w:r w:rsidRPr="001570EA">
              <w:rPr>
                <w:i/>
                <w:iCs/>
              </w:rPr>
              <w:t>CFM/W</w:t>
            </w:r>
          </w:p>
        </w:tc>
        <w:tc>
          <w:tcPr>
            <w:tcW w:w="1278" w:type="pct"/>
            <w:shd w:val="clear" w:color="auto" w:fill="auto"/>
          </w:tcPr>
          <w:p w14:paraId="0E0698E9" w14:textId="77777777" w:rsidR="004E6452" w:rsidRPr="001570EA" w:rsidRDefault="004E6452">
            <w:pPr>
              <w:pStyle w:val="TableCell"/>
              <w:keepNext w:val="0"/>
              <w:jc w:val="center"/>
            </w:pPr>
            <w:r w:rsidRPr="001570EA">
              <w:t>EDC Data Gathering</w:t>
            </w:r>
          </w:p>
        </w:tc>
        <w:tc>
          <w:tcPr>
            <w:tcW w:w="506" w:type="pct"/>
            <w:shd w:val="clear" w:color="auto" w:fill="auto"/>
          </w:tcPr>
          <w:p w14:paraId="2E24CF61" w14:textId="77777777" w:rsidR="004E6452" w:rsidRPr="001570EA" w:rsidDel="00D30D4C" w:rsidRDefault="004E6452">
            <w:pPr>
              <w:pStyle w:val="TableCell"/>
              <w:keepNext w:val="0"/>
              <w:jc w:val="center"/>
            </w:pPr>
            <w:r w:rsidRPr="001570EA">
              <w:rPr>
                <w:szCs w:val="18"/>
              </w:rPr>
              <w:t>EDC data gathering</w:t>
            </w:r>
          </w:p>
        </w:tc>
      </w:tr>
      <w:tr w:rsidR="004E6452" w:rsidRPr="001570EA" w:rsidDel="00D30D4C" w14:paraId="4834935F" w14:textId="77777777">
        <w:trPr>
          <w:trHeight w:val="560"/>
        </w:trPr>
        <w:tc>
          <w:tcPr>
            <w:tcW w:w="2576" w:type="pct"/>
            <w:shd w:val="clear" w:color="auto" w:fill="auto"/>
          </w:tcPr>
          <w:p w14:paraId="5A35540D" w14:textId="77777777" w:rsidR="004E6452" w:rsidRPr="001570EA" w:rsidDel="005E1C4F" w:rsidRDefault="003B5E04">
            <w:pPr>
              <w:pStyle w:val="TableCell"/>
              <w:keepNext w:val="0"/>
            </w:pPr>
            <m:oMath>
              <m:sSub>
                <m:sSubPr>
                  <m:ctrlPr>
                    <w:rPr>
                      <w:rFonts w:ascii="Cambria Math" w:hAnsi="Cambria Math"/>
                      <w:sz w:val="20"/>
                    </w:rPr>
                  </m:ctrlPr>
                </m:sSubPr>
                <m:e>
                  <m:r>
                    <w:rPr>
                      <w:rFonts w:ascii="Cambria Math" w:hAnsi="Cambria Math"/>
                      <w:sz w:val="20"/>
                    </w:rPr>
                    <m:t>POW</m:t>
                  </m:r>
                </m:e>
                <m:sub>
                  <m:r>
                    <w:rPr>
                      <w:rFonts w:ascii="Cambria Math" w:hAnsi="Cambria Math"/>
                      <w:sz w:val="20"/>
                    </w:rPr>
                    <m:t>base</m:t>
                  </m:r>
                </m:sub>
              </m:sSub>
              <m:r>
                <w:rPr>
                  <w:rFonts w:ascii="Cambria Math" w:hAnsi="Cambria Math"/>
                  <w:sz w:val="20"/>
                </w:rPr>
                <m:t>,</m:t>
              </m:r>
            </m:oMath>
            <w:r w:rsidR="004E6452" w:rsidRPr="001570EA">
              <w:rPr>
                <w:sz w:val="20"/>
              </w:rPr>
              <w:t xml:space="preserve"> </w:t>
            </w:r>
            <w:r w:rsidR="004E6452" w:rsidRPr="001570EA">
              <w:rPr>
                <w:szCs w:val="18"/>
              </w:rPr>
              <w:t>Partial on mode power of baseline unit</w:t>
            </w:r>
          </w:p>
        </w:tc>
        <w:tc>
          <w:tcPr>
            <w:tcW w:w="640" w:type="pct"/>
            <w:shd w:val="clear" w:color="auto" w:fill="auto"/>
            <w:vAlign w:val="center"/>
          </w:tcPr>
          <w:p w14:paraId="4AE66FF5" w14:textId="77777777" w:rsidR="004E6452" w:rsidRPr="001570EA" w:rsidRDefault="004E6452">
            <w:pPr>
              <w:pStyle w:val="TableCell"/>
              <w:keepNext w:val="0"/>
              <w:jc w:val="center"/>
              <w:rPr>
                <w:i/>
                <w:iCs/>
                <w:szCs w:val="18"/>
              </w:rPr>
            </w:pPr>
            <w:r w:rsidRPr="001570EA">
              <w:rPr>
                <w:i/>
                <w:iCs/>
                <w:szCs w:val="18"/>
              </w:rPr>
              <w:t>watts</w:t>
            </w:r>
          </w:p>
        </w:tc>
        <w:tc>
          <w:tcPr>
            <w:tcW w:w="1278" w:type="pct"/>
            <w:shd w:val="clear" w:color="auto" w:fill="auto"/>
          </w:tcPr>
          <w:p w14:paraId="0561DFCD" w14:textId="77777777" w:rsidR="004E6452" w:rsidRPr="001570EA" w:rsidRDefault="004E6452">
            <w:pPr>
              <w:pStyle w:val="TableCell"/>
              <w:keepNext w:val="0"/>
              <w:jc w:val="center"/>
            </w:pPr>
            <w:r w:rsidRPr="001570EA">
              <w:t>1.0</w:t>
            </w:r>
          </w:p>
        </w:tc>
        <w:tc>
          <w:tcPr>
            <w:tcW w:w="506" w:type="pct"/>
            <w:shd w:val="clear" w:color="auto" w:fill="auto"/>
          </w:tcPr>
          <w:p w14:paraId="16D36E21" w14:textId="77777777" w:rsidR="004E6452" w:rsidRPr="001570EA" w:rsidDel="00D30D4C" w:rsidRDefault="004E6452">
            <w:pPr>
              <w:pStyle w:val="TableCell"/>
              <w:keepNext w:val="0"/>
              <w:jc w:val="center"/>
            </w:pPr>
            <w:r w:rsidRPr="001570EA" w:rsidDel="00D30D4C">
              <w:t>1</w:t>
            </w:r>
          </w:p>
        </w:tc>
      </w:tr>
      <w:tr w:rsidR="004E6452" w:rsidRPr="001570EA" w:rsidDel="00D30D4C" w14:paraId="2EF90C47" w14:textId="77777777">
        <w:trPr>
          <w:trHeight w:val="560"/>
        </w:trPr>
        <w:tc>
          <w:tcPr>
            <w:tcW w:w="2576" w:type="pct"/>
            <w:shd w:val="clear" w:color="auto" w:fill="auto"/>
          </w:tcPr>
          <w:p w14:paraId="240683DF" w14:textId="77777777" w:rsidR="004E6452" w:rsidRPr="001570EA" w:rsidDel="005E1C4F" w:rsidRDefault="003B5E04">
            <w:pPr>
              <w:pStyle w:val="TableCell"/>
              <w:keepNext w:val="0"/>
            </w:pPr>
            <m:oMath>
              <m:sSub>
                <m:sSubPr>
                  <m:ctrlPr>
                    <w:rPr>
                      <w:rFonts w:ascii="Cambria Math" w:hAnsi="Cambria Math"/>
                      <w:sz w:val="20"/>
                    </w:rPr>
                  </m:ctrlPr>
                </m:sSubPr>
                <m:e>
                  <m:r>
                    <w:rPr>
                      <w:rFonts w:ascii="Cambria Math" w:hAnsi="Cambria Math"/>
                      <w:sz w:val="20"/>
                    </w:rPr>
                    <m:t>POW</m:t>
                  </m:r>
                </m:e>
                <m:sub>
                  <m:r>
                    <w:rPr>
                      <w:rFonts w:ascii="Cambria Math" w:hAnsi="Cambria Math"/>
                      <w:sz w:val="20"/>
                    </w:rPr>
                    <m:t>eff</m:t>
                  </m:r>
                </m:sub>
              </m:sSub>
              <m:r>
                <w:rPr>
                  <w:rFonts w:ascii="Cambria Math" w:hAnsi="Cambria Math"/>
                  <w:sz w:val="20"/>
                </w:rPr>
                <m:t>,</m:t>
              </m:r>
            </m:oMath>
            <w:r w:rsidR="004E6452" w:rsidRPr="001570EA">
              <w:rPr>
                <w:sz w:val="20"/>
              </w:rPr>
              <w:t xml:space="preserve"> </w:t>
            </w:r>
            <w:r w:rsidR="004E6452" w:rsidRPr="001570EA">
              <w:rPr>
                <w:szCs w:val="18"/>
              </w:rPr>
              <w:t>Partial on mode power of efficient unit</w:t>
            </w:r>
          </w:p>
        </w:tc>
        <w:tc>
          <w:tcPr>
            <w:tcW w:w="640" w:type="pct"/>
            <w:shd w:val="clear" w:color="auto" w:fill="auto"/>
            <w:vAlign w:val="center"/>
          </w:tcPr>
          <w:p w14:paraId="28FDCC1E" w14:textId="77777777" w:rsidR="004E6452" w:rsidRPr="001570EA" w:rsidRDefault="004E6452">
            <w:pPr>
              <w:pStyle w:val="TableCell"/>
              <w:keepNext w:val="0"/>
              <w:jc w:val="center"/>
              <w:rPr>
                <w:i/>
                <w:iCs/>
                <w:szCs w:val="18"/>
              </w:rPr>
            </w:pPr>
            <w:r w:rsidRPr="001570EA">
              <w:rPr>
                <w:i/>
                <w:iCs/>
                <w:szCs w:val="18"/>
              </w:rPr>
              <w:t>watts</w:t>
            </w:r>
          </w:p>
        </w:tc>
        <w:tc>
          <w:tcPr>
            <w:tcW w:w="1278" w:type="pct"/>
            <w:shd w:val="clear" w:color="auto" w:fill="auto"/>
          </w:tcPr>
          <w:p w14:paraId="2B8C6707" w14:textId="77777777" w:rsidR="004E6452" w:rsidRPr="001570EA" w:rsidRDefault="004E6452">
            <w:pPr>
              <w:pStyle w:val="TableCell"/>
              <w:keepNext w:val="0"/>
              <w:jc w:val="center"/>
            </w:pPr>
            <w:r w:rsidRPr="001570EA">
              <w:t>EDC Data Gathering</w:t>
            </w:r>
          </w:p>
        </w:tc>
        <w:tc>
          <w:tcPr>
            <w:tcW w:w="506" w:type="pct"/>
            <w:shd w:val="clear" w:color="auto" w:fill="auto"/>
          </w:tcPr>
          <w:p w14:paraId="44594000" w14:textId="77777777" w:rsidR="004E6452" w:rsidRPr="001570EA" w:rsidDel="00D30D4C" w:rsidRDefault="004E6452">
            <w:pPr>
              <w:pStyle w:val="TableCell"/>
              <w:keepNext w:val="0"/>
              <w:jc w:val="center"/>
            </w:pPr>
            <w:r w:rsidRPr="001570EA">
              <w:rPr>
                <w:szCs w:val="18"/>
              </w:rPr>
              <w:t>EDC data gathering</w:t>
            </w:r>
          </w:p>
        </w:tc>
      </w:tr>
      <w:tr w:rsidR="004E6452" w:rsidRPr="001570EA" w:rsidDel="00D30D4C" w14:paraId="622C6248" w14:textId="77777777">
        <w:trPr>
          <w:trHeight w:val="560"/>
        </w:trPr>
        <w:tc>
          <w:tcPr>
            <w:tcW w:w="2576" w:type="pct"/>
            <w:shd w:val="clear" w:color="auto" w:fill="auto"/>
          </w:tcPr>
          <w:p w14:paraId="2358D630" w14:textId="77777777" w:rsidR="004E6452" w:rsidRPr="001570EA" w:rsidDel="005E1C4F" w:rsidRDefault="004E6452">
            <w:pPr>
              <w:pStyle w:val="TableCell"/>
              <w:keepNext w:val="0"/>
            </w:pPr>
            <m:oMath>
              <m:r>
                <w:rPr>
                  <w:rFonts w:ascii="Cambria Math" w:hAnsi="Cambria Math"/>
                  <w:sz w:val="20"/>
                </w:rPr>
                <m:t>POHours,</m:t>
              </m:r>
            </m:oMath>
            <w:r w:rsidRPr="001570EA">
              <w:rPr>
                <w:sz w:val="20"/>
              </w:rPr>
              <w:t xml:space="preserve"> </w:t>
            </w:r>
            <w:r w:rsidRPr="001570EA">
              <w:rPr>
                <w:szCs w:val="18"/>
              </w:rPr>
              <w:t>Partial on mode hours per year</w:t>
            </w:r>
          </w:p>
        </w:tc>
        <w:tc>
          <w:tcPr>
            <w:tcW w:w="640" w:type="pct"/>
            <w:shd w:val="clear" w:color="auto" w:fill="auto"/>
            <w:vAlign w:val="center"/>
          </w:tcPr>
          <w:p w14:paraId="221DB379" w14:textId="77777777" w:rsidR="004E6452" w:rsidRPr="001570EA" w:rsidRDefault="004E6452">
            <w:pPr>
              <w:pStyle w:val="TableCell"/>
              <w:keepNext w:val="0"/>
              <w:jc w:val="center"/>
              <w:rPr>
                <w:i/>
                <w:iCs/>
              </w:rPr>
            </w:pPr>
            <w:r w:rsidRPr="001570EA" w:rsidDel="00D30D4C">
              <w:rPr>
                <w:i/>
                <w:iCs/>
              </w:rPr>
              <w:t>Hours/year</w:t>
            </w:r>
          </w:p>
        </w:tc>
        <w:tc>
          <w:tcPr>
            <w:tcW w:w="1278" w:type="pct"/>
            <w:shd w:val="clear" w:color="auto" w:fill="auto"/>
          </w:tcPr>
          <w:p w14:paraId="687B0019" w14:textId="77777777" w:rsidR="004E6452" w:rsidRPr="001570EA" w:rsidRDefault="004E6452">
            <w:pPr>
              <w:pStyle w:val="TableCell"/>
              <w:jc w:val="center"/>
            </w:pPr>
            <w:r w:rsidRPr="001570EA">
              <w:t>EDC Data Gathering</w:t>
            </w:r>
          </w:p>
          <w:p w14:paraId="51BFA270" w14:textId="77777777" w:rsidR="004E6452" w:rsidRPr="001570EA" w:rsidRDefault="004E6452">
            <w:pPr>
              <w:pStyle w:val="TableCell"/>
              <w:keepNext w:val="0"/>
              <w:jc w:val="center"/>
            </w:pPr>
            <w:r w:rsidRPr="001570EA">
              <w:t>Default = 2,920</w:t>
            </w:r>
          </w:p>
        </w:tc>
        <w:tc>
          <w:tcPr>
            <w:tcW w:w="506" w:type="pct"/>
            <w:shd w:val="clear" w:color="auto" w:fill="auto"/>
          </w:tcPr>
          <w:p w14:paraId="3FC776FB" w14:textId="77777777" w:rsidR="004E6452" w:rsidRPr="001570EA" w:rsidDel="00D30D4C" w:rsidRDefault="004E6452">
            <w:pPr>
              <w:pStyle w:val="TableCell"/>
              <w:keepNext w:val="0"/>
              <w:jc w:val="center"/>
            </w:pPr>
            <w:r w:rsidRPr="001570EA">
              <w:rPr>
                <w:szCs w:val="18"/>
              </w:rPr>
              <w:t>EDC data gathering,</w:t>
            </w:r>
            <w:r w:rsidRPr="001570EA">
              <w:t xml:space="preserve"> 3</w:t>
            </w:r>
          </w:p>
        </w:tc>
      </w:tr>
      <w:tr w:rsidR="004E6452" w:rsidRPr="001570EA" w:rsidDel="00D30D4C" w14:paraId="2DA235DF" w14:textId="77777777">
        <w:trPr>
          <w:trHeight w:val="512"/>
        </w:trPr>
        <w:tc>
          <w:tcPr>
            <w:tcW w:w="2576" w:type="pct"/>
            <w:shd w:val="clear" w:color="auto" w:fill="auto"/>
          </w:tcPr>
          <w:p w14:paraId="5BC361F6" w14:textId="77777777" w:rsidR="004E6452" w:rsidRPr="001570EA" w:rsidDel="00D30D4C" w:rsidRDefault="003B5E04">
            <w:pPr>
              <w:pStyle w:val="TableCell"/>
              <w:keepNext w:val="0"/>
            </w:pPr>
            <m:oMath>
              <m:sSub>
                <m:sSubPr>
                  <m:ctrlPr>
                    <w:rPr>
                      <w:rFonts w:ascii="Cambria Math" w:hAnsi="Cambria Math" w:cs="Arial"/>
                      <w:i/>
                      <w:sz w:val="20"/>
                    </w:rPr>
                  </m:ctrlPr>
                </m:sSubPr>
                <m:e>
                  <m:r>
                    <w:rPr>
                      <w:rFonts w:ascii="Cambria Math" w:hAnsi="Cambria Math" w:cs="Arial"/>
                    </w:rPr>
                    <m:t>ETDF</m:t>
                  </m:r>
                </m:e>
                <m:sub>
                  <m:r>
                    <w:rPr>
                      <w:rFonts w:ascii="Cambria Math" w:hAnsi="Cambria Math" w:cs="Arial"/>
                    </w:rPr>
                    <m:t>s</m:t>
                  </m:r>
                </m:sub>
              </m:sSub>
              <m:r>
                <w:rPr>
                  <w:rFonts w:ascii="Cambria Math" w:hAnsi="Cambria Math" w:cs="Arial"/>
                  <w:sz w:val="20"/>
                </w:rPr>
                <m:t>,</m:t>
              </m:r>
            </m:oMath>
            <w:r w:rsidR="004E6452" w:rsidRPr="001570EA">
              <w:rPr>
                <w:sz w:val="20"/>
              </w:rPr>
              <w:t xml:space="preserve"> </w:t>
            </w:r>
            <w:r w:rsidR="004E6452" w:rsidRPr="001570EA">
              <w:rPr>
                <w:szCs w:val="18"/>
              </w:rPr>
              <w:t>Summer energy to Demand Factor</w:t>
            </w:r>
          </w:p>
        </w:tc>
        <w:tc>
          <w:tcPr>
            <w:tcW w:w="640" w:type="pct"/>
            <w:shd w:val="clear" w:color="auto" w:fill="auto"/>
            <w:vAlign w:val="center"/>
          </w:tcPr>
          <w:p w14:paraId="7191F33B" w14:textId="77777777" w:rsidR="004E6452" w:rsidRPr="001570EA" w:rsidDel="00D30D4C" w:rsidRDefault="003B5E04">
            <w:pPr>
              <w:pStyle w:val="TableCell"/>
              <w:keepNext w:val="0"/>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278" w:type="pct"/>
            <w:shd w:val="clear" w:color="auto" w:fill="auto"/>
          </w:tcPr>
          <w:p w14:paraId="072D089C" w14:textId="77777777" w:rsidR="004E6452" w:rsidRPr="001570EA" w:rsidRDefault="004E6452">
            <w:pPr>
              <w:pStyle w:val="TableCell"/>
              <w:keepNext w:val="0"/>
              <w:jc w:val="center"/>
            </w:pPr>
            <w:r w:rsidRPr="001570EA">
              <w:t>0.0001136</w:t>
            </w:r>
          </w:p>
        </w:tc>
        <w:tc>
          <w:tcPr>
            <w:tcW w:w="506" w:type="pct"/>
            <w:shd w:val="clear" w:color="auto" w:fill="auto"/>
          </w:tcPr>
          <w:p w14:paraId="65B00AFB" w14:textId="77777777" w:rsidR="004E6452" w:rsidRPr="001570EA" w:rsidDel="00D30D4C" w:rsidRDefault="004E6452">
            <w:pPr>
              <w:pStyle w:val="TableCell"/>
              <w:keepNext w:val="0"/>
              <w:jc w:val="center"/>
            </w:pPr>
            <w:r w:rsidRPr="001570EA">
              <w:t>4</w:t>
            </w:r>
          </w:p>
        </w:tc>
      </w:tr>
      <w:tr w:rsidR="004E6452" w:rsidRPr="001570EA" w:rsidDel="00D30D4C" w14:paraId="10AF066A" w14:textId="77777777">
        <w:trPr>
          <w:trHeight w:val="512"/>
        </w:trPr>
        <w:tc>
          <w:tcPr>
            <w:tcW w:w="2576" w:type="pct"/>
            <w:shd w:val="clear" w:color="auto" w:fill="auto"/>
          </w:tcPr>
          <w:p w14:paraId="42F97B10" w14:textId="77777777" w:rsidR="004E6452" w:rsidRPr="001570EA" w:rsidDel="00D30D4C" w:rsidRDefault="003B5E04">
            <w:pPr>
              <w:pStyle w:val="TableCell"/>
              <w:keepNext w:val="0"/>
            </w:pPr>
            <m:oMath>
              <m:sSub>
                <m:sSubPr>
                  <m:ctrlPr>
                    <w:rPr>
                      <w:rFonts w:ascii="Cambria Math" w:hAnsi="Cambria Math" w:cs="Arial"/>
                      <w:i/>
                      <w:sz w:val="20"/>
                    </w:rPr>
                  </m:ctrlPr>
                </m:sSubPr>
                <m:e>
                  <m:r>
                    <w:rPr>
                      <w:rFonts w:ascii="Cambria Math" w:hAnsi="Cambria Math" w:cs="Arial"/>
                    </w:rPr>
                    <m:t>ETDF</m:t>
                  </m:r>
                </m:e>
                <m:sub>
                  <m:r>
                    <w:rPr>
                      <w:rFonts w:ascii="Cambria Math" w:hAnsi="Cambria Math" w:cs="Arial"/>
                    </w:rPr>
                    <m:t>w</m:t>
                  </m:r>
                </m:sub>
              </m:sSub>
              <m:r>
                <w:rPr>
                  <w:rFonts w:ascii="Cambria Math" w:hAnsi="Cambria Math" w:cs="Arial"/>
                  <w:sz w:val="20"/>
                </w:rPr>
                <m:t>,</m:t>
              </m:r>
            </m:oMath>
            <w:r w:rsidR="004E6452" w:rsidRPr="001570EA">
              <w:rPr>
                <w:sz w:val="20"/>
              </w:rPr>
              <w:t xml:space="preserve"> </w:t>
            </w:r>
            <w:r w:rsidR="004E6452" w:rsidRPr="001570EA">
              <w:rPr>
                <w:szCs w:val="18"/>
              </w:rPr>
              <w:t>Winter energy to Demand Factor</w:t>
            </w:r>
          </w:p>
        </w:tc>
        <w:tc>
          <w:tcPr>
            <w:tcW w:w="640" w:type="pct"/>
            <w:shd w:val="clear" w:color="auto" w:fill="auto"/>
            <w:vAlign w:val="center"/>
          </w:tcPr>
          <w:p w14:paraId="77F2E07D" w14:textId="77777777" w:rsidR="004E6452" w:rsidRPr="001570EA" w:rsidDel="00D30D4C" w:rsidRDefault="003B5E04">
            <w:pPr>
              <w:pStyle w:val="TableCell"/>
              <w:keepNext w:val="0"/>
            </w:pPr>
            <m:oMathPara>
              <m:oMath>
                <m:f>
                  <m:fPr>
                    <m:ctrlPr>
                      <w:rPr>
                        <w:rFonts w:ascii="Cambria Math" w:eastAsia="Arial Unicode MS" w:hAnsi="Cambria Math"/>
                        <w:i/>
                        <w:iCs/>
                      </w:rPr>
                    </m:ctrlPr>
                  </m:fPr>
                  <m:num>
                    <m:r>
                      <w:rPr>
                        <w:rFonts w:ascii="Cambria Math" w:eastAsia="Arial Unicode MS" w:hAnsi="Cambria Math"/>
                      </w:rPr>
                      <m:t>kW</m:t>
                    </m:r>
                  </m:num>
                  <m:den>
                    <m:r>
                      <w:rPr>
                        <w:rFonts w:ascii="Cambria Math" w:eastAsia="Arial Unicode MS" w:hAnsi="Cambria Math"/>
                      </w:rPr>
                      <m:t>kWh</m:t>
                    </m:r>
                  </m:den>
                </m:f>
              </m:oMath>
            </m:oMathPara>
          </w:p>
        </w:tc>
        <w:tc>
          <w:tcPr>
            <w:tcW w:w="1278" w:type="pct"/>
            <w:shd w:val="clear" w:color="auto" w:fill="auto"/>
          </w:tcPr>
          <w:p w14:paraId="3B9B06C8" w14:textId="77777777" w:rsidR="004E6452" w:rsidRPr="001570EA" w:rsidRDefault="004E6452">
            <w:pPr>
              <w:pStyle w:val="TableCell"/>
              <w:keepNext w:val="0"/>
              <w:jc w:val="center"/>
            </w:pPr>
            <w:r w:rsidRPr="001570EA">
              <w:t>0.0001463</w:t>
            </w:r>
          </w:p>
        </w:tc>
        <w:tc>
          <w:tcPr>
            <w:tcW w:w="506" w:type="pct"/>
            <w:shd w:val="clear" w:color="auto" w:fill="auto"/>
          </w:tcPr>
          <w:p w14:paraId="45600BBC" w14:textId="77777777" w:rsidR="004E6452" w:rsidRPr="001570EA" w:rsidDel="00D30D4C" w:rsidRDefault="004E6452">
            <w:pPr>
              <w:pStyle w:val="TableCell"/>
              <w:keepNext w:val="0"/>
              <w:jc w:val="center"/>
            </w:pPr>
            <w:r w:rsidRPr="001570EA">
              <w:t>4</w:t>
            </w:r>
          </w:p>
        </w:tc>
      </w:tr>
    </w:tbl>
    <w:p w14:paraId="2595BF31" w14:textId="77777777" w:rsidR="004E6452" w:rsidRPr="001570EA" w:rsidDel="00D30D4C" w:rsidRDefault="004E6452" w:rsidP="004E6452"/>
    <w:p w14:paraId="7CD4747E" w14:textId="527EEDBF" w:rsidR="004E6452" w:rsidRPr="001570EA" w:rsidRDefault="002C2E7C" w:rsidP="004E6452">
      <w:pPr>
        <w:pStyle w:val="NoSpacing"/>
        <w:rPr>
          <w:rFonts w:cs="Arial"/>
          <w:szCs w:val="20"/>
        </w:rPr>
      </w:pPr>
      <w:r w:rsidRPr="001570EA">
        <w:rPr>
          <w:rFonts w:cs="Arial"/>
          <w:szCs w:val="20"/>
        </w:rPr>
        <w:fldChar w:fldCharType="begin"/>
      </w:r>
      <w:r w:rsidRPr="001570EA">
        <w:rPr>
          <w:rFonts w:cs="Arial"/>
          <w:szCs w:val="20"/>
        </w:rPr>
        <w:instrText xml:space="preserve"> REF _Ref465261161 \h </w:instrText>
      </w:r>
      <w:r w:rsidR="001570EA">
        <w:rPr>
          <w:rFonts w:cs="Arial"/>
          <w:szCs w:val="20"/>
        </w:rPr>
        <w:instrText xml:space="preserve"> \* MERGEFORMAT </w:instrText>
      </w:r>
      <w:r w:rsidRPr="001570EA">
        <w:rPr>
          <w:rFonts w:cs="Arial"/>
          <w:szCs w:val="20"/>
        </w:rPr>
      </w:r>
      <w:r w:rsidRPr="001570EA">
        <w:rPr>
          <w:rFonts w:cs="Arial"/>
          <w:szCs w:val="20"/>
        </w:rPr>
        <w:fldChar w:fldCharType="separate"/>
      </w:r>
      <w:r w:rsidR="003854F2" w:rsidRPr="001570EA" w:rsidDel="00D30D4C">
        <w:t xml:space="preserve">Table </w:t>
      </w:r>
      <w:r w:rsidR="003854F2" w:rsidRPr="001570EA">
        <w:rPr>
          <w:noProof/>
        </w:rPr>
        <w:t>2</w:t>
      </w:r>
      <w:r w:rsidR="003854F2" w:rsidRPr="001570EA">
        <w:rPr>
          <w:noProof/>
        </w:rPr>
        <w:noBreakHyphen/>
        <w:t>126</w:t>
      </w:r>
      <w:r w:rsidRPr="001570EA">
        <w:rPr>
          <w:rFonts w:cs="Arial"/>
          <w:szCs w:val="20"/>
        </w:rPr>
        <w:fldChar w:fldCharType="end"/>
      </w:r>
      <w:r w:rsidRPr="001570EA">
        <w:rPr>
          <w:rFonts w:cs="Arial"/>
          <w:szCs w:val="20"/>
        </w:rPr>
        <w:t xml:space="preserve"> </w:t>
      </w:r>
      <w:r w:rsidR="004E6452" w:rsidRPr="001570EA">
        <w:rPr>
          <w:rFonts w:cs="Arial"/>
          <w:szCs w:val="20"/>
        </w:rPr>
        <w:t xml:space="preserve">shows the federal minimum integrated energy factors. </w:t>
      </w:r>
    </w:p>
    <w:p w14:paraId="7D8600BA" w14:textId="77777777" w:rsidR="004E6452" w:rsidRPr="001570EA" w:rsidDel="00D30D4C" w:rsidRDefault="004E6452" w:rsidP="004E6452"/>
    <w:p w14:paraId="18D6E29F" w14:textId="678D7A1B" w:rsidR="004E6452" w:rsidRPr="001570EA" w:rsidDel="00D30D4C" w:rsidRDefault="004E6452" w:rsidP="004E6452">
      <w:pPr>
        <w:pStyle w:val="Caption"/>
      </w:pPr>
      <w:bookmarkStart w:id="1092" w:name="_Ref465261161"/>
      <w:bookmarkStart w:id="1093" w:name="_Toc530141769"/>
      <w:bookmarkStart w:id="1094" w:name="_Toc47598347"/>
      <w:r w:rsidRPr="001570EA" w:rsidDel="00D30D4C">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126</w:t>
      </w:r>
      <w:r w:rsidR="002E093A" w:rsidRPr="001570EA">
        <w:fldChar w:fldCharType="end"/>
      </w:r>
      <w:bookmarkEnd w:id="1092"/>
      <w:r w:rsidRPr="001570EA" w:rsidDel="00D30D4C">
        <w:t xml:space="preserve">: </w:t>
      </w:r>
      <w:r w:rsidRPr="001570EA">
        <w:t>Air Purifier Federal Efficiency Standards</w:t>
      </w:r>
      <w:bookmarkEnd w:id="1093"/>
      <w:bookmarkEnd w:id="1094"/>
    </w:p>
    <w:tbl>
      <w:tblPr>
        <w:tblW w:w="62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060"/>
      </w:tblGrid>
      <w:tr w:rsidR="004E6452" w:rsidRPr="001570EA" w:rsidDel="00D30D4C" w14:paraId="54FE9C10" w14:textId="77777777">
        <w:trPr>
          <w:trHeight w:val="302"/>
        </w:trPr>
        <w:tc>
          <w:tcPr>
            <w:tcW w:w="3210" w:type="dxa"/>
            <w:shd w:val="clear" w:color="auto" w:fill="BFBFBF" w:themeFill="background1" w:themeFillShade="BF"/>
            <w:vAlign w:val="center"/>
          </w:tcPr>
          <w:p w14:paraId="06C0BBC4" w14:textId="77777777" w:rsidR="004E6452" w:rsidRPr="001570EA" w:rsidDel="00D30D4C" w:rsidRDefault="004E6452">
            <w:pPr>
              <w:pStyle w:val="TableCell"/>
              <w:spacing w:before="60" w:after="60"/>
              <w:jc w:val="center"/>
              <w:rPr>
                <w:b/>
                <w:szCs w:val="18"/>
              </w:rPr>
            </w:pPr>
            <w:r w:rsidRPr="001570EA">
              <w:rPr>
                <w:b/>
                <w:bCs/>
                <w:szCs w:val="18"/>
              </w:rPr>
              <w:t>Product Capacity (CADR)</w:t>
            </w:r>
          </w:p>
        </w:tc>
        <w:tc>
          <w:tcPr>
            <w:tcW w:w="3060" w:type="dxa"/>
            <w:shd w:val="clear" w:color="auto" w:fill="BFBFBF" w:themeFill="background1" w:themeFillShade="BF"/>
            <w:vAlign w:val="center"/>
          </w:tcPr>
          <w:p w14:paraId="2AF0050D" w14:textId="77777777" w:rsidR="004E6452" w:rsidRPr="001570EA" w:rsidDel="00D30D4C" w:rsidRDefault="004E6452">
            <w:pPr>
              <w:pStyle w:val="TableCell"/>
              <w:spacing w:before="60" w:after="60"/>
              <w:jc w:val="center"/>
              <w:rPr>
                <w:b/>
                <w:szCs w:val="18"/>
              </w:rPr>
            </w:pPr>
            <w:r w:rsidRPr="001570EA">
              <w:rPr>
                <w:b/>
                <w:bCs/>
                <w:szCs w:val="18"/>
              </w:rPr>
              <w:t>Integrated Energy Factor (PM</w:t>
            </w:r>
            <w:r w:rsidRPr="001570EA">
              <w:rPr>
                <w:b/>
                <w:bCs/>
                <w:szCs w:val="18"/>
                <w:vertAlign w:val="subscript"/>
              </w:rPr>
              <w:t>2.5</w:t>
            </w:r>
            <w:r w:rsidRPr="001570EA">
              <w:rPr>
                <w:b/>
                <w:bCs/>
                <w:szCs w:val="18"/>
              </w:rPr>
              <w:t xml:space="preserve"> CADR/W)</w:t>
            </w:r>
            <w:r w:rsidRPr="001570EA" w:rsidDel="00EB4F52">
              <w:rPr>
                <w:b/>
                <w:bCs/>
                <w:szCs w:val="18"/>
              </w:rPr>
              <w:t xml:space="preserve"> </w:t>
            </w:r>
          </w:p>
        </w:tc>
      </w:tr>
      <w:tr w:rsidR="004E6452" w:rsidRPr="001570EA" w:rsidDel="00D30D4C" w14:paraId="45F88B5B" w14:textId="77777777">
        <w:trPr>
          <w:trHeight w:val="302"/>
        </w:trPr>
        <w:tc>
          <w:tcPr>
            <w:tcW w:w="3210" w:type="dxa"/>
            <w:shd w:val="clear" w:color="auto" w:fill="auto"/>
            <w:vAlign w:val="center"/>
          </w:tcPr>
          <w:p w14:paraId="46B5F192" w14:textId="77777777" w:rsidR="004E6452" w:rsidRPr="001570EA" w:rsidDel="00D30D4C" w:rsidRDefault="004E6452">
            <w:pPr>
              <w:pStyle w:val="TableCell"/>
              <w:spacing w:before="60" w:after="60"/>
            </w:pPr>
            <w:r w:rsidRPr="001570EA">
              <w:t>10 ≤PM</w:t>
            </w:r>
            <w:r w:rsidRPr="001570EA">
              <w:rPr>
                <w:vertAlign w:val="subscript"/>
              </w:rPr>
              <w:t>2.5</w:t>
            </w:r>
            <w:r w:rsidRPr="001570EA">
              <w:t xml:space="preserve"> CADR &lt;100</w:t>
            </w:r>
          </w:p>
        </w:tc>
        <w:tc>
          <w:tcPr>
            <w:tcW w:w="3060" w:type="dxa"/>
            <w:shd w:val="clear" w:color="auto" w:fill="auto"/>
            <w:vAlign w:val="center"/>
          </w:tcPr>
          <w:p w14:paraId="4D014D1F" w14:textId="77777777" w:rsidR="004E6452" w:rsidRPr="001570EA" w:rsidDel="00D30D4C" w:rsidRDefault="004E6452">
            <w:pPr>
              <w:pStyle w:val="TableCell"/>
              <w:spacing w:before="60" w:after="60"/>
              <w:jc w:val="center"/>
              <w:rPr>
                <w:rFonts w:eastAsia="Arial Unicode MS"/>
              </w:rPr>
            </w:pPr>
            <w:r w:rsidRPr="001570EA">
              <w:t>1.9</w:t>
            </w:r>
          </w:p>
        </w:tc>
      </w:tr>
      <w:tr w:rsidR="004E6452" w:rsidRPr="001570EA" w:rsidDel="00D30D4C" w14:paraId="56E6685E" w14:textId="77777777">
        <w:trPr>
          <w:trHeight w:val="302"/>
        </w:trPr>
        <w:tc>
          <w:tcPr>
            <w:tcW w:w="3210" w:type="dxa"/>
            <w:shd w:val="clear" w:color="auto" w:fill="auto"/>
            <w:vAlign w:val="center"/>
          </w:tcPr>
          <w:p w14:paraId="6B070DE1" w14:textId="77777777" w:rsidR="004E6452" w:rsidRPr="001570EA" w:rsidDel="00D30D4C" w:rsidRDefault="004E6452">
            <w:pPr>
              <w:pStyle w:val="TableCell"/>
              <w:spacing w:before="60" w:after="60"/>
            </w:pPr>
            <w:r w:rsidRPr="001570EA">
              <w:t>100 ≤PM</w:t>
            </w:r>
            <w:r w:rsidRPr="001570EA">
              <w:rPr>
                <w:vertAlign w:val="subscript"/>
              </w:rPr>
              <w:t>2.5</w:t>
            </w:r>
            <w:r w:rsidRPr="001570EA">
              <w:t xml:space="preserve"> CADR &lt;150</w:t>
            </w:r>
          </w:p>
        </w:tc>
        <w:tc>
          <w:tcPr>
            <w:tcW w:w="3060" w:type="dxa"/>
            <w:shd w:val="clear" w:color="auto" w:fill="auto"/>
            <w:vAlign w:val="center"/>
          </w:tcPr>
          <w:p w14:paraId="08AC5931" w14:textId="77777777" w:rsidR="004E6452" w:rsidRPr="001570EA" w:rsidDel="00D30D4C" w:rsidRDefault="004E6452">
            <w:pPr>
              <w:pStyle w:val="TableCell"/>
              <w:spacing w:before="60" w:after="60"/>
              <w:jc w:val="center"/>
              <w:rPr>
                <w:rFonts w:eastAsia="Arial Unicode MS"/>
              </w:rPr>
            </w:pPr>
            <w:r w:rsidRPr="001570EA">
              <w:t>2.4</w:t>
            </w:r>
          </w:p>
        </w:tc>
      </w:tr>
      <w:tr w:rsidR="004E6452" w:rsidRPr="001570EA" w:rsidDel="00D30D4C" w14:paraId="169B6AE3" w14:textId="77777777">
        <w:trPr>
          <w:trHeight w:val="302"/>
        </w:trPr>
        <w:tc>
          <w:tcPr>
            <w:tcW w:w="3210" w:type="dxa"/>
            <w:shd w:val="clear" w:color="auto" w:fill="auto"/>
            <w:vAlign w:val="center"/>
          </w:tcPr>
          <w:p w14:paraId="603EC77F" w14:textId="77777777" w:rsidR="004E6452" w:rsidRPr="001570EA" w:rsidDel="00D30D4C" w:rsidRDefault="004E6452">
            <w:pPr>
              <w:pStyle w:val="TableCell"/>
              <w:spacing w:before="60" w:after="60"/>
            </w:pPr>
            <w:r w:rsidRPr="001570EA">
              <w:t>PM</w:t>
            </w:r>
            <w:r w:rsidRPr="001570EA">
              <w:rPr>
                <w:vertAlign w:val="subscript"/>
              </w:rPr>
              <w:t>2.5</w:t>
            </w:r>
            <w:r w:rsidRPr="001570EA">
              <w:t xml:space="preserve"> CADR ≥150</w:t>
            </w:r>
          </w:p>
        </w:tc>
        <w:tc>
          <w:tcPr>
            <w:tcW w:w="3060" w:type="dxa"/>
            <w:shd w:val="clear" w:color="auto" w:fill="auto"/>
            <w:vAlign w:val="center"/>
          </w:tcPr>
          <w:p w14:paraId="63783BCF" w14:textId="77777777" w:rsidR="004E6452" w:rsidRPr="001570EA" w:rsidDel="00D30D4C" w:rsidRDefault="004E6452">
            <w:pPr>
              <w:pStyle w:val="TableCell"/>
              <w:spacing w:before="60" w:after="60"/>
              <w:jc w:val="center"/>
              <w:rPr>
                <w:rFonts w:eastAsia="Arial Unicode MS"/>
              </w:rPr>
            </w:pPr>
            <w:r w:rsidRPr="001570EA">
              <w:t>2.9</w:t>
            </w:r>
          </w:p>
        </w:tc>
      </w:tr>
    </w:tbl>
    <w:p w14:paraId="63605583" w14:textId="77777777" w:rsidR="004E6452" w:rsidRPr="001570EA" w:rsidRDefault="004E6452" w:rsidP="004E6452">
      <w:pPr>
        <w:pStyle w:val="SubStyle"/>
      </w:pPr>
    </w:p>
    <w:p w14:paraId="01BD74A3" w14:textId="77777777" w:rsidR="004E6452" w:rsidRPr="001570EA" w:rsidRDefault="004E6452" w:rsidP="004E6452">
      <w:pPr>
        <w:pStyle w:val="SubStyle"/>
      </w:pPr>
      <w:r w:rsidRPr="001570EA">
        <w:t>Sources</w:t>
      </w:r>
    </w:p>
    <w:p w14:paraId="5C302FDC" w14:textId="62581A08" w:rsidR="004E6452" w:rsidRPr="001570EA" w:rsidRDefault="004E6452" w:rsidP="006D787B">
      <w:pPr>
        <w:pStyle w:val="source10"/>
        <w:numPr>
          <w:ilvl w:val="0"/>
          <w:numId w:val="62"/>
        </w:numPr>
        <w:tabs>
          <w:tab w:val="clear" w:pos="720"/>
          <w:tab w:val="num" w:pos="360"/>
        </w:tabs>
        <w:spacing w:after="120"/>
        <w:ind w:left="360"/>
        <w:jc w:val="left"/>
        <w:rPr>
          <w:rStyle w:val="Hyperlink"/>
        </w:rPr>
      </w:pPr>
      <w:r w:rsidRPr="001570EA">
        <w:rPr>
          <w:rFonts w:eastAsiaTheme="minorHAnsi"/>
        </w:rPr>
        <w:t xml:space="preserve">16 hours per day * 365 days per year. ENERGY STAR (2016). Savings Calculator for ENERGY STAR Qualified Appliances. U.S. EPA. </w:t>
      </w:r>
      <w:hyperlink r:id="rId307">
        <w:r w:rsidRPr="001570EA">
          <w:rPr>
            <w:rStyle w:val="Hyperlink"/>
          </w:rPr>
          <w:t>Weblink</w:t>
        </w:r>
      </w:hyperlink>
      <w:r w:rsidRPr="001570EA">
        <w:rPr>
          <w:rStyle w:val="Hyperlink"/>
        </w:rPr>
        <w:t xml:space="preserve"> </w:t>
      </w:r>
    </w:p>
    <w:p w14:paraId="3FA8EFEE" w14:textId="301C1806" w:rsidR="004E6452" w:rsidRPr="001570EA" w:rsidRDefault="004E6452" w:rsidP="006D787B">
      <w:pPr>
        <w:pStyle w:val="source10"/>
        <w:numPr>
          <w:ilvl w:val="0"/>
          <w:numId w:val="62"/>
        </w:numPr>
        <w:tabs>
          <w:tab w:val="clear" w:pos="720"/>
          <w:tab w:val="num" w:pos="360"/>
        </w:tabs>
        <w:spacing w:after="120"/>
        <w:ind w:left="360"/>
        <w:jc w:val="left"/>
      </w:pPr>
      <w:r w:rsidRPr="001570EA">
        <w:rPr>
          <w:shd w:val="clear" w:color="auto" w:fill="FFFFFF"/>
        </w:rPr>
        <w:t xml:space="preserve">10 CFR 430.32(ee) </w:t>
      </w:r>
      <w:hyperlink r:id="rId308" w:anchor="p-430.32(ee)" w:history="1">
        <w:r w:rsidRPr="001570EA">
          <w:rPr>
            <w:rStyle w:val="Hyperlink"/>
            <w:rFonts w:cs="Arial"/>
            <w:shd w:val="clear" w:color="auto" w:fill="FFFFFF"/>
          </w:rPr>
          <w:t>Weblink</w:t>
        </w:r>
      </w:hyperlink>
    </w:p>
    <w:p w14:paraId="4F09423F" w14:textId="77777777" w:rsidR="004E6452" w:rsidRPr="001570EA" w:rsidRDefault="004E6452" w:rsidP="006D787B">
      <w:pPr>
        <w:pStyle w:val="source10"/>
        <w:numPr>
          <w:ilvl w:val="0"/>
          <w:numId w:val="62"/>
        </w:numPr>
        <w:tabs>
          <w:tab w:val="clear" w:pos="720"/>
          <w:tab w:val="num" w:pos="360"/>
        </w:tabs>
        <w:spacing w:after="120"/>
        <w:ind w:left="360"/>
        <w:jc w:val="left"/>
      </w:pPr>
      <w:r w:rsidRPr="001570EA">
        <w:t>(24 hours per day * 365 days per year) – 5,840 run hours per year</w:t>
      </w:r>
    </w:p>
    <w:p w14:paraId="313F3AFC" w14:textId="60C41DFE" w:rsidR="004E6452" w:rsidRPr="001570EA" w:rsidRDefault="004E6452" w:rsidP="006D787B">
      <w:pPr>
        <w:pStyle w:val="source10"/>
        <w:numPr>
          <w:ilvl w:val="0"/>
          <w:numId w:val="62"/>
        </w:numPr>
        <w:tabs>
          <w:tab w:val="clear" w:pos="720"/>
          <w:tab w:val="num" w:pos="360"/>
        </w:tabs>
        <w:spacing w:after="120"/>
        <w:ind w:left="360"/>
        <w:jc w:val="left"/>
      </w:pPr>
      <w:r w:rsidRPr="001570EA">
        <w:t xml:space="preserve">Wilson et al. 2021. End-Use Load Profiles for the U.S. Building Stock: Methodology and Results of Model Calibration, Validation, and Uncertainty Quantification. NREL/TP-5500-80889. </w:t>
      </w:r>
      <w:hyperlink r:id="rId309" w:history="1">
        <w:r w:rsidRPr="001570EA">
          <w:rPr>
            <w:rStyle w:val="Hyperlink"/>
            <w:rFonts w:cs="Arial"/>
          </w:rPr>
          <w:t>Weblink</w:t>
        </w:r>
      </w:hyperlink>
      <w:r w:rsidRPr="001570EA">
        <w:t xml:space="preserve">  </w:t>
      </w:r>
    </w:p>
    <w:p w14:paraId="61C6B60E" w14:textId="77777777" w:rsidR="004E6452" w:rsidRPr="001570EA" w:rsidRDefault="004E6452" w:rsidP="004E6452">
      <w:r w:rsidRPr="001570EA">
        <w:br w:type="page"/>
      </w:r>
    </w:p>
    <w:p w14:paraId="5457C70D" w14:textId="77777777" w:rsidR="00A80B62" w:rsidRPr="001570EA" w:rsidRDefault="00A80B62" w:rsidP="00A80B62">
      <w:pPr>
        <w:pStyle w:val="Heading2"/>
      </w:pPr>
      <w:bookmarkStart w:id="1095" w:name="_Toc48143052"/>
      <w:bookmarkStart w:id="1096" w:name="_Toc164786674"/>
      <w:bookmarkEnd w:id="1076"/>
      <w:bookmarkEnd w:id="1077"/>
      <w:bookmarkEnd w:id="1078"/>
      <w:r w:rsidRPr="001570EA">
        <w:t>Consumer Electronics</w:t>
      </w:r>
      <w:bookmarkEnd w:id="1095"/>
      <w:bookmarkEnd w:id="1096"/>
    </w:p>
    <w:p w14:paraId="467C22F3" w14:textId="77777777" w:rsidR="00A80B62" w:rsidRPr="001570EA" w:rsidRDefault="00A80B62" w:rsidP="00C64DB8">
      <w:pPr>
        <w:pStyle w:val="Heading3"/>
      </w:pPr>
      <w:bookmarkStart w:id="1097" w:name="_Toc525828304"/>
      <w:bookmarkStart w:id="1098" w:name="_Toc525828222"/>
      <w:bookmarkStart w:id="1099" w:name="_Toc527023019"/>
      <w:bookmarkStart w:id="1100" w:name="_Toc527023785"/>
      <w:bookmarkStart w:id="1101" w:name="_Toc525828223"/>
      <w:bookmarkStart w:id="1102" w:name="_Toc527023020"/>
      <w:bookmarkStart w:id="1103" w:name="_Toc527023786"/>
      <w:bookmarkStart w:id="1104" w:name="_Toc525828224"/>
      <w:bookmarkStart w:id="1105" w:name="_Toc527023021"/>
      <w:bookmarkStart w:id="1106" w:name="_Toc527023787"/>
      <w:bookmarkStart w:id="1107" w:name="_Toc525828225"/>
      <w:bookmarkStart w:id="1108" w:name="_Toc527023022"/>
      <w:bookmarkStart w:id="1109" w:name="_Toc527023788"/>
      <w:bookmarkStart w:id="1110" w:name="_Toc525828226"/>
      <w:bookmarkStart w:id="1111" w:name="_Toc527023023"/>
      <w:bookmarkStart w:id="1112" w:name="_Toc527023789"/>
      <w:bookmarkStart w:id="1113" w:name="_Toc525828227"/>
      <w:bookmarkStart w:id="1114" w:name="_Toc527023024"/>
      <w:bookmarkStart w:id="1115" w:name="_Toc527023790"/>
      <w:bookmarkStart w:id="1116" w:name="_Toc525828228"/>
      <w:bookmarkStart w:id="1117" w:name="_Toc527023025"/>
      <w:bookmarkStart w:id="1118" w:name="_Toc527023791"/>
      <w:bookmarkStart w:id="1119" w:name="_Toc525828229"/>
      <w:bookmarkStart w:id="1120" w:name="_Toc527023026"/>
      <w:bookmarkStart w:id="1121" w:name="_Toc527023792"/>
      <w:bookmarkStart w:id="1122" w:name="_Toc525828230"/>
      <w:bookmarkStart w:id="1123" w:name="_Toc527023027"/>
      <w:bookmarkStart w:id="1124" w:name="_Toc527023793"/>
      <w:bookmarkStart w:id="1125" w:name="_Toc48143054"/>
      <w:bookmarkStart w:id="1126" w:name="_Toc164786675"/>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r w:rsidRPr="001570EA">
        <w:t>Advanced Power Strips</w:t>
      </w:r>
      <w:bookmarkEnd w:id="1125"/>
      <w:bookmarkEnd w:id="1126"/>
      <w:r w:rsidRPr="001570EA">
        <w:t xml:space="preserve"> </w:t>
      </w:r>
    </w:p>
    <w:tbl>
      <w:tblPr>
        <w:tblW w:w="8520" w:type="dxa"/>
        <w:tblInd w:w="1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4920"/>
      </w:tblGrid>
      <w:tr w:rsidR="00A80B62" w:rsidRPr="001570EA" w14:paraId="4A01D03C" w14:textId="77777777">
        <w:tc>
          <w:tcPr>
            <w:tcW w:w="360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FFFFF" w:themeFill="background1"/>
            <w:hideMark/>
          </w:tcPr>
          <w:p w14:paraId="2355AD54" w14:textId="77777777" w:rsidR="00A80B62" w:rsidRPr="001570EA" w:rsidRDefault="00A80B62">
            <w:pPr>
              <w:pStyle w:val="TableCell"/>
              <w:spacing w:before="60" w:after="60"/>
              <w:ind w:left="142"/>
              <w:rPr>
                <w:b/>
                <w:bCs/>
                <w:color w:val="000000"/>
              </w:rPr>
            </w:pPr>
            <w:bookmarkStart w:id="1127" w:name="_Hlk519605840"/>
            <w:r w:rsidRPr="001570EA">
              <w:rPr>
                <w:b/>
                <w:bCs/>
                <w:color w:val="000000"/>
              </w:rPr>
              <w:t xml:space="preserve">Target Sector </w:t>
            </w:r>
          </w:p>
        </w:tc>
        <w:tc>
          <w:tcPr>
            <w:tcW w:w="492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FFFFF" w:themeFill="background1"/>
            <w:hideMark/>
          </w:tcPr>
          <w:p w14:paraId="28E73C52" w14:textId="77777777" w:rsidR="00A80B62" w:rsidRPr="001570EA" w:rsidRDefault="00A80B62">
            <w:pPr>
              <w:spacing w:before="40" w:after="40"/>
              <w:jc w:val="center"/>
            </w:pPr>
            <w:r w:rsidRPr="001570EA">
              <w:rPr>
                <w:rFonts w:cs="Arial"/>
                <w:color w:val="000000"/>
                <w:sz w:val="18"/>
                <w:szCs w:val="18"/>
              </w:rPr>
              <w:t>Residential</w:t>
            </w:r>
          </w:p>
        </w:tc>
      </w:tr>
      <w:tr w:rsidR="00A80B62" w:rsidRPr="001570EA" w14:paraId="73386CC8" w14:textId="77777777">
        <w:tc>
          <w:tcPr>
            <w:tcW w:w="360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hideMark/>
          </w:tcPr>
          <w:p w14:paraId="429E5B59" w14:textId="77777777" w:rsidR="00A80B62" w:rsidRPr="001570EA" w:rsidRDefault="00A80B62">
            <w:pPr>
              <w:pStyle w:val="TableCell"/>
              <w:spacing w:before="60" w:after="60"/>
              <w:ind w:left="142"/>
              <w:rPr>
                <w:b/>
                <w:bCs/>
                <w:color w:val="000000"/>
              </w:rPr>
            </w:pPr>
            <w:r w:rsidRPr="001570EA">
              <w:rPr>
                <w:b/>
                <w:bCs/>
                <w:color w:val="000000"/>
              </w:rPr>
              <w:t xml:space="preserve">Measure Unit </w:t>
            </w:r>
          </w:p>
        </w:tc>
        <w:tc>
          <w:tcPr>
            <w:tcW w:w="492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FFFFF" w:themeFill="background1"/>
            <w:hideMark/>
          </w:tcPr>
          <w:p w14:paraId="50233F18" w14:textId="77777777" w:rsidR="00A80B62" w:rsidRPr="001570EA" w:rsidRDefault="00A80B62">
            <w:pPr>
              <w:spacing w:before="40" w:after="40"/>
              <w:jc w:val="center"/>
            </w:pPr>
            <w:r w:rsidRPr="001570EA">
              <w:rPr>
                <w:rFonts w:cs="Arial"/>
                <w:color w:val="000000"/>
                <w:sz w:val="18"/>
                <w:szCs w:val="18"/>
              </w:rPr>
              <w:t>Per Advanced Power Strip</w:t>
            </w:r>
            <w:r w:rsidRPr="001570EA">
              <w:rPr>
                <w:rFonts w:cs="Arial"/>
                <w:sz w:val="18"/>
                <w:szCs w:val="18"/>
              </w:rPr>
              <w:t xml:space="preserve"> </w:t>
            </w:r>
          </w:p>
        </w:tc>
      </w:tr>
      <w:tr w:rsidR="00A80B62" w:rsidRPr="001570EA" w14:paraId="5064BE40" w14:textId="77777777">
        <w:tc>
          <w:tcPr>
            <w:tcW w:w="360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FFFFF" w:themeFill="background1"/>
            <w:hideMark/>
          </w:tcPr>
          <w:p w14:paraId="56B23887" w14:textId="77777777" w:rsidR="00A80B62" w:rsidRPr="001570EA" w:rsidRDefault="00A80B62">
            <w:pPr>
              <w:pStyle w:val="TableCell"/>
              <w:spacing w:before="60" w:after="60"/>
              <w:ind w:left="142"/>
              <w:rPr>
                <w:b/>
                <w:bCs/>
                <w:color w:val="000000"/>
              </w:rPr>
            </w:pPr>
            <w:r w:rsidRPr="001570EA">
              <w:rPr>
                <w:b/>
                <w:bCs/>
                <w:color w:val="000000"/>
              </w:rPr>
              <w:t xml:space="preserve">Measure Life </w:t>
            </w:r>
          </w:p>
        </w:tc>
        <w:tc>
          <w:tcPr>
            <w:tcW w:w="492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FFFFF" w:themeFill="background1"/>
            <w:hideMark/>
          </w:tcPr>
          <w:p w14:paraId="0E2F8743" w14:textId="3290FCAD" w:rsidR="00A80B62" w:rsidRPr="001570EA" w:rsidRDefault="00A80B62">
            <w:pPr>
              <w:spacing w:before="40" w:after="40"/>
              <w:jc w:val="center"/>
            </w:pPr>
            <w:r w:rsidRPr="001570EA">
              <w:rPr>
                <w:rFonts w:cs="Arial"/>
                <w:color w:val="000000"/>
                <w:sz w:val="18"/>
                <w:szCs w:val="18"/>
              </w:rPr>
              <w:t>5 years</w:t>
            </w:r>
            <w:r w:rsidR="00127F5A">
              <w:rPr>
                <w:rFonts w:cs="Arial"/>
                <w:color w:val="000000"/>
                <w:sz w:val="18"/>
                <w:szCs w:val="18"/>
              </w:rPr>
              <w:t xml:space="preserve"> </w:t>
            </w:r>
            <w:r w:rsidR="00127F5A" w:rsidRPr="00597241">
              <w:rPr>
                <w:rFonts w:cs="Arial"/>
                <w:color w:val="000000"/>
                <w:sz w:val="18"/>
                <w:szCs w:val="18"/>
                <w:vertAlign w:val="superscript"/>
              </w:rPr>
              <w:t>S</w:t>
            </w:r>
            <w:r w:rsidR="00127F5A">
              <w:rPr>
                <w:rFonts w:cs="Arial"/>
                <w:color w:val="000000"/>
                <w:sz w:val="18"/>
                <w:szCs w:val="18"/>
                <w:vertAlign w:val="superscript"/>
              </w:rPr>
              <w:t xml:space="preserve">ource </w:t>
            </w:r>
            <w:r w:rsidRPr="001570EA">
              <w:rPr>
                <w:rFonts w:cs="Arial"/>
                <w:color w:val="000000"/>
                <w:sz w:val="18"/>
                <w:szCs w:val="18"/>
                <w:vertAlign w:val="superscript"/>
              </w:rPr>
              <w:t>1</w:t>
            </w:r>
          </w:p>
        </w:tc>
      </w:tr>
      <w:tr w:rsidR="00A80B62" w:rsidRPr="001570EA" w14:paraId="24434318" w14:textId="77777777">
        <w:tc>
          <w:tcPr>
            <w:tcW w:w="360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FFFFF" w:themeFill="background1"/>
            <w:hideMark/>
          </w:tcPr>
          <w:p w14:paraId="43E37DD5" w14:textId="77777777" w:rsidR="00A80B62" w:rsidRPr="001570EA" w:rsidRDefault="00A80B62">
            <w:pPr>
              <w:pStyle w:val="TableCell"/>
              <w:spacing w:before="60" w:after="60"/>
              <w:ind w:left="142"/>
              <w:rPr>
                <w:b/>
                <w:bCs/>
                <w:color w:val="000000"/>
              </w:rPr>
            </w:pPr>
            <w:r w:rsidRPr="001570EA">
              <w:rPr>
                <w:b/>
                <w:bCs/>
                <w:color w:val="000000"/>
              </w:rPr>
              <w:t xml:space="preserve">Vintage </w:t>
            </w:r>
          </w:p>
        </w:tc>
        <w:tc>
          <w:tcPr>
            <w:tcW w:w="492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FFFFF" w:themeFill="background1"/>
            <w:hideMark/>
          </w:tcPr>
          <w:p w14:paraId="095F3364" w14:textId="77777777" w:rsidR="00A80B62" w:rsidRPr="001570EA" w:rsidRDefault="00A80B62">
            <w:pPr>
              <w:tabs>
                <w:tab w:val="center" w:pos="2452"/>
                <w:tab w:val="left" w:pos="3615"/>
              </w:tabs>
              <w:spacing w:before="40" w:after="40"/>
              <w:jc w:val="center"/>
            </w:pPr>
            <w:r w:rsidRPr="001570EA">
              <w:rPr>
                <w:rFonts w:cs="Arial"/>
                <w:color w:val="000000"/>
                <w:sz w:val="18"/>
                <w:szCs w:val="18"/>
              </w:rPr>
              <w:t>Retrofit</w:t>
            </w:r>
          </w:p>
        </w:tc>
      </w:tr>
    </w:tbl>
    <w:p w14:paraId="4371B94C" w14:textId="77777777" w:rsidR="00A80B62" w:rsidRPr="001570EA" w:rsidRDefault="00A80B62" w:rsidP="00A80B62">
      <w:pPr>
        <w:ind w:right="-195"/>
        <w:rPr>
          <w:rFonts w:cs="Arial"/>
        </w:rPr>
      </w:pPr>
      <w:r w:rsidRPr="001570EA">
        <w:rPr>
          <w:rFonts w:cs="Arial"/>
        </w:rPr>
        <w:t xml:space="preserve"> </w:t>
      </w:r>
      <w:bookmarkStart w:id="1128" w:name="_Hlk519518165"/>
    </w:p>
    <w:p w14:paraId="7CDE80AE" w14:textId="77777777" w:rsidR="00A80B62" w:rsidRPr="001570EA" w:rsidRDefault="00A80B62" w:rsidP="00A80B62">
      <w:pPr>
        <w:rPr>
          <w:rFonts w:cs="Arial"/>
        </w:rPr>
      </w:pPr>
      <w:r w:rsidRPr="001570EA">
        <w:rPr>
          <w:rFonts w:cs="Arial"/>
        </w:rPr>
        <w:t>Advanced Power Strips (APS) are surge protectors that contain a number of power-saver sockets. This measure develops equipment savings for both Tier 1 and Tier 2 APS installed for residential home entertainment centers (HEC) or home office applications.</w:t>
      </w:r>
    </w:p>
    <w:p w14:paraId="7EFB9EE0" w14:textId="77777777" w:rsidR="00A80B62" w:rsidRPr="001570EA" w:rsidRDefault="00A80B62" w:rsidP="00A80B62">
      <w:pPr>
        <w:rPr>
          <w:rFonts w:cs="Arial"/>
        </w:rPr>
      </w:pPr>
    </w:p>
    <w:p w14:paraId="160AE765" w14:textId="77777777" w:rsidR="00A80B62" w:rsidRPr="001570EA" w:rsidRDefault="00A80B62" w:rsidP="00A80B62">
      <w:pPr>
        <w:rPr>
          <w:rFonts w:cs="Arial"/>
        </w:rPr>
      </w:pPr>
      <w:r w:rsidRPr="001570EA">
        <w:rPr>
          <w:rFonts w:cs="Arial"/>
        </w:rPr>
        <w:t>Tier 1 APS have a master control socket arrangement and will shut off the items plugged into the controlled power-saver sockets when they identify the appliance plugged into the master socket has been turned off. Conversely, the appliance plugged into the master control socket has to be turned on and left on for the devices plugged into the power-saver sockets to function.</w:t>
      </w:r>
    </w:p>
    <w:bookmarkEnd w:id="1128"/>
    <w:p w14:paraId="3B5BD673" w14:textId="77777777" w:rsidR="00A80B62" w:rsidRPr="001570EA" w:rsidRDefault="00A80B62" w:rsidP="00A80B62">
      <w:pPr>
        <w:rPr>
          <w:rFonts w:cs="Arial"/>
        </w:rPr>
      </w:pPr>
    </w:p>
    <w:p w14:paraId="4D3EBB90" w14:textId="63FA6E11" w:rsidR="00A80B62" w:rsidRPr="001570EA" w:rsidRDefault="00A80B62" w:rsidP="00A80B62">
      <w:pPr>
        <w:rPr>
          <w:rFonts w:cs="Arial"/>
        </w:rPr>
      </w:pPr>
      <w:r w:rsidRPr="001570EA">
        <w:rPr>
          <w:rFonts w:cs="Arial"/>
        </w:rPr>
        <w:t>Tier 2 APS deliver additional functionality beyond that of a Tier 1 unit, as Tier 2 units manage both standby and active power consumption. The Tier 2 APS manage standby power consumption by turning off devices from a control event; this could be a TV or other item powering off, which then powers off the controlled outlets to save energy. Active power consumption is managed by the Tier 2 unit by monitoring a user’s engagement or presence in a room by either or both infrared remote signals sensing or motion sensing. After a period of user absence or inactivity, The Tier 2 unit will shut off all items plugged into the controlled outlets, thus saving energy. There are two types of Tier 2 APS available on the market. Tier 2 Infrared (IR) detect signals sent by remote controls to identify activity, while Tier 2 Infrared-Occupancy Sensing (IR-OS) use remote signals as well as an occupancy sensing component to detect activity and sense for times to shut down. Due to uncertainty surrounding the differences in savings for each technology, the Tier 2 savings are blended into a single number.</w:t>
      </w:r>
    </w:p>
    <w:p w14:paraId="7AAE6F95" w14:textId="77777777" w:rsidR="00A80B62" w:rsidRPr="001570EA" w:rsidRDefault="00A80B62" w:rsidP="00A80B62">
      <w:pPr>
        <w:rPr>
          <w:rFonts w:cs="Arial"/>
          <w:b/>
          <w:bCs/>
          <w:smallCaps/>
          <w:color w:val="1F497D"/>
        </w:rPr>
      </w:pPr>
      <w:r w:rsidRPr="001570EA">
        <w:rPr>
          <w:rFonts w:ascii="Arial Black" w:hAnsi="Arial Black" w:cs="Arial"/>
          <w:b/>
          <w:bCs/>
          <w:smallCaps/>
          <w:color w:val="1F497D"/>
        </w:rPr>
        <w:t xml:space="preserve"> </w:t>
      </w:r>
    </w:p>
    <w:p w14:paraId="10FB9307" w14:textId="77777777" w:rsidR="00A80B62" w:rsidRPr="001570EA" w:rsidRDefault="00A80B62" w:rsidP="00A80B62">
      <w:pPr>
        <w:pStyle w:val="SubStyle"/>
        <w:rPr>
          <w:sz w:val="24"/>
          <w:szCs w:val="24"/>
        </w:rPr>
      </w:pPr>
      <w:r w:rsidRPr="001570EA">
        <w:t>Eligibility</w:t>
      </w:r>
    </w:p>
    <w:p w14:paraId="1E443C9A" w14:textId="71DF43D4" w:rsidR="00A80B62" w:rsidRPr="001570EA" w:rsidRDefault="00A80B62" w:rsidP="00A80B62">
      <w:pPr>
        <w:rPr>
          <w:rFonts w:cs="Arial"/>
        </w:rPr>
      </w:pPr>
      <w:r w:rsidRPr="001570EA">
        <w:rPr>
          <w:rFonts w:cs="Arial"/>
        </w:rPr>
        <w:t>This protocol documents the energy savings attributed to the installation of APS. The most likely area of application is in residential spaces, i.e. single-family and multifamily homes. However, commercial applications are also appropriate for Advanced Power Strips</w:t>
      </w:r>
      <w:r w:rsidRPr="001570EA" w:rsidDel="008226C1">
        <w:rPr>
          <w:rFonts w:cs="Arial"/>
        </w:rPr>
        <w:t xml:space="preserve"> </w:t>
      </w:r>
      <w:r w:rsidRPr="001570EA">
        <w:rPr>
          <w:rFonts w:cs="Arial"/>
        </w:rPr>
        <w:t>(see Volume 3, Section 3.9.</w:t>
      </w:r>
      <w:r w:rsidR="00E13597" w:rsidRPr="001570EA">
        <w:rPr>
          <w:rFonts w:cs="Arial"/>
        </w:rPr>
        <w:t>1</w:t>
      </w:r>
      <w:r w:rsidRPr="001570EA">
        <w:rPr>
          <w:rFonts w:cs="Arial"/>
        </w:rPr>
        <w:t xml:space="preserve"> Advanced Power Strip Plug Outlets). The protocol considers usage of Advanced Power Strips for HEC and home offices.</w:t>
      </w:r>
    </w:p>
    <w:p w14:paraId="3AD5973E" w14:textId="77777777" w:rsidR="00A80B62" w:rsidRPr="001570EA" w:rsidRDefault="00A80B62" w:rsidP="00A80B62">
      <w:pPr>
        <w:rPr>
          <w:rFonts w:cs="Arial"/>
        </w:rPr>
      </w:pPr>
    </w:p>
    <w:p w14:paraId="2F180150" w14:textId="77777777" w:rsidR="00A80B62" w:rsidRPr="001570EA" w:rsidRDefault="00A80B62" w:rsidP="00A80B62">
      <w:pPr>
        <w:pStyle w:val="SubStyle"/>
        <w:rPr>
          <w:sz w:val="24"/>
          <w:szCs w:val="24"/>
        </w:rPr>
      </w:pPr>
      <w:r w:rsidRPr="001570EA">
        <w:t>Algorithms</w:t>
      </w:r>
    </w:p>
    <w:p w14:paraId="46F72118" w14:textId="77777777" w:rsidR="00A80B62" w:rsidRPr="001570EA" w:rsidRDefault="00A80B62" w:rsidP="00A80B62">
      <w:pPr>
        <w:rPr>
          <w:rFonts w:cs="Arial"/>
        </w:rPr>
      </w:pPr>
      <w:r w:rsidRPr="001570EA">
        <w:rPr>
          <w:rFonts w:cs="Arial"/>
        </w:rPr>
        <w:t>The energy savings and demand reduction for Tier 1 and Tier 2 APS outlets are obtained from several recently conducted field studies, with the savings estimates applied to measured in-service rates (ISR) and realization rates (RR) to determine final savings.</w:t>
      </w:r>
    </w:p>
    <w:p w14:paraId="11BD770E" w14:textId="77777777" w:rsidR="00A80B62" w:rsidRPr="001570EA" w:rsidRDefault="00A80B62" w:rsidP="00A80B62">
      <w:pPr>
        <w:rPr>
          <w:rFonts w:cs="Arial"/>
        </w:rPr>
      </w:pPr>
    </w:p>
    <w:p w14:paraId="2C8D05B1" w14:textId="77777777" w:rsidR="00A80B62" w:rsidRPr="001570EA" w:rsidRDefault="00A80B62" w:rsidP="00A80B62">
      <w:pPr>
        <w:rPr>
          <w:rFonts w:cs="Arial"/>
        </w:rPr>
      </w:pPr>
      <w:r w:rsidRPr="001570EA">
        <w:rPr>
          <w:rFonts w:cs="Arial"/>
        </w:rPr>
        <w:t>The energy savings and demand reduction are calculated for both HEC and home office use for Tier 1 strips. When possible, identify the equipment connected to the APS and apply the associated energy reduction percentage (ERP). If the intended use for a Tier 1 APS is not identified, or if multiple power strips are purchased, the algorithm for “unspecified use” should be applied. Values for “unspecified use” are based on 69% HEC and 31% home office use.</w:t>
      </w:r>
      <w:r w:rsidRPr="001570EA">
        <w:rPr>
          <w:rFonts w:cs="Arial"/>
          <w:vertAlign w:val="superscript"/>
        </w:rPr>
        <w:t>2</w:t>
      </w:r>
      <w:r w:rsidRPr="001570EA">
        <w:rPr>
          <w:rFonts w:cs="Arial"/>
        </w:rPr>
        <w:t xml:space="preserve"> Tier 2 APS savings are only identified for HEC as this is where they are typically installed for residential use.</w:t>
      </w:r>
    </w:p>
    <w:p w14:paraId="39201438" w14:textId="77777777" w:rsidR="00A80B62" w:rsidRPr="001570EA" w:rsidRDefault="00A80B62" w:rsidP="00A80B62">
      <w:pPr>
        <w:rPr>
          <w:rFonts w:cs="Arial"/>
        </w:rPr>
      </w:pPr>
    </w:p>
    <w:p w14:paraId="1EB475AC" w14:textId="77777777" w:rsidR="00A80B62" w:rsidRPr="001570EA" w:rsidRDefault="00A80B62" w:rsidP="00A80B62">
      <w:pPr>
        <w:keepNext/>
        <w:keepLines/>
        <w:rPr>
          <w:rFonts w:cs="Arial"/>
          <w:b/>
          <w:bCs/>
        </w:rPr>
      </w:pPr>
      <w:bookmarkStart w:id="1129" w:name="_Hlk519518023"/>
      <w:r w:rsidRPr="001570EA">
        <w:rPr>
          <w:rFonts w:cs="Arial"/>
          <w:b/>
          <w:bCs/>
        </w:rPr>
        <w:t>Tier 1</w:t>
      </w:r>
      <w:r w:rsidRPr="001570EA">
        <w:t xml:space="preserve"> </w:t>
      </w:r>
      <w:r w:rsidRPr="001570EA">
        <w:rPr>
          <w:rFonts w:cs="Arial"/>
          <w:b/>
        </w:rPr>
        <w:t>Advanced Power Strip</w:t>
      </w:r>
      <w:r w:rsidRPr="001570EA">
        <w:rPr>
          <w:rFonts w:cs="Arial"/>
          <w:b/>
          <w:bCs/>
        </w:rPr>
        <w:t>:</w:t>
      </w:r>
    </w:p>
    <w:p w14:paraId="0C130C59" w14:textId="77777777" w:rsidR="00A80B62" w:rsidRPr="001570EA" w:rsidRDefault="00A80B62" w:rsidP="00A80B62">
      <w:pPr>
        <w:keepNext/>
        <w:keepLines/>
        <w:rPr>
          <w:rFonts w:cs="Arial"/>
        </w:rPr>
      </w:pPr>
    </w:p>
    <w:bookmarkEnd w:id="1129"/>
    <w:p w14:paraId="51CD6309" w14:textId="77777777" w:rsidR="00A80B62" w:rsidRPr="001570EA" w:rsidRDefault="00A80B62" w:rsidP="00A80B62">
      <w:pPr>
        <w:shd w:val="clear" w:color="auto" w:fill="FFFFFF" w:themeFill="background1"/>
        <w:tabs>
          <w:tab w:val="left" w:pos="2430"/>
        </w:tabs>
        <w:rPr>
          <w:rFonts w:cs="Arial"/>
          <w:i/>
          <w:iCs/>
          <w:color w:val="000000"/>
        </w:rPr>
      </w:pPr>
      <m:oMath>
        <m:r>
          <w:rPr>
            <w:rFonts w:ascii="Cambria Math" w:hAnsi="Cambria Math" w:cs="Arial"/>
            <w:color w:val="000000"/>
            <w:bdr w:val="none" w:sz="0" w:space="0" w:color="auto" w:frame="1"/>
          </w:rPr>
          <m:t>∆kWh</m:t>
        </m:r>
      </m:oMath>
      <w:r w:rsidRPr="001570EA">
        <w:rPr>
          <w:rFonts w:cs="Arial"/>
          <w:i/>
          <w:iCs/>
          <w:color w:val="000000"/>
          <w:bdr w:val="none" w:sz="0" w:space="0" w:color="auto" w:frame="1"/>
          <w:vertAlign w:val="subscript"/>
        </w:rPr>
        <w:tab/>
      </w:r>
      <w:r w:rsidRPr="001570EA">
        <w:rPr>
          <w:rFonts w:cs="Arial"/>
          <w:i/>
          <w:iCs/>
          <w:color w:val="000000"/>
          <w:bdr w:val="none" w:sz="0" w:space="0" w:color="auto" w:frame="1"/>
        </w:rPr>
        <w:t xml:space="preserve">= </w:t>
      </w:r>
      <m:oMath>
        <m:r>
          <w:rPr>
            <w:rFonts w:ascii="Cambria Math" w:hAnsi="Cambria Math" w:cs="Arial"/>
            <w:color w:val="000000"/>
            <w:bdr w:val="none" w:sz="0" w:space="0" w:color="auto" w:frame="1"/>
          </w:rPr>
          <m:t xml:space="preserve">Annual_Usage x </m:t>
        </m:r>
        <m:sSub>
          <m:sSubPr>
            <m:ctrlPr>
              <w:rPr>
                <w:rFonts w:ascii="Cambria Math" w:hAnsi="Cambria Math" w:cs="Arial"/>
                <w:i/>
                <w:iCs/>
                <w:color w:val="000000"/>
                <w:bdr w:val="none" w:sz="0" w:space="0" w:color="auto" w:frame="1"/>
              </w:rPr>
            </m:ctrlPr>
          </m:sSubPr>
          <m:e>
            <m:r>
              <w:rPr>
                <w:rFonts w:ascii="Cambria Math" w:hAnsi="Cambria Math" w:cs="Arial"/>
                <w:color w:val="000000"/>
                <w:bdr w:val="none" w:sz="0" w:space="0" w:color="auto" w:frame="1"/>
              </w:rPr>
              <m:t>ERP</m:t>
            </m:r>
          </m:e>
          <m:sub>
            <m:r>
              <w:rPr>
                <w:rFonts w:ascii="Cambria Math" w:hAnsi="Cambria Math" w:cs="Arial"/>
                <w:color w:val="000000"/>
                <w:bdr w:val="none" w:sz="0" w:space="0" w:color="auto" w:frame="1"/>
              </w:rPr>
              <m:t>T1</m:t>
            </m:r>
          </m:sub>
        </m:sSub>
        <m:r>
          <w:rPr>
            <w:rFonts w:ascii="Cambria Math" w:hAnsi="Cambria Math" w:cs="Arial"/>
            <w:color w:val="000000"/>
            <w:bdr w:val="none" w:sz="0" w:space="0" w:color="auto" w:frame="1"/>
          </w:rPr>
          <m:t xml:space="preserve"> x ISR x RR</m:t>
        </m:r>
      </m:oMath>
    </w:p>
    <w:p w14:paraId="4F5D2CA8" w14:textId="77777777" w:rsidR="00A80B62" w:rsidRPr="001570EA" w:rsidRDefault="00A80B62" w:rsidP="00A80B62">
      <w:pPr>
        <w:shd w:val="clear" w:color="auto" w:fill="FFFFFF" w:themeFill="background1"/>
        <w:tabs>
          <w:tab w:val="left" w:pos="2430"/>
        </w:tabs>
        <w:rPr>
          <w:rFonts w:cs="Arial"/>
          <w:i/>
          <w:iCs/>
          <w:color w:val="000000"/>
        </w:rPr>
      </w:pPr>
    </w:p>
    <w:p w14:paraId="44870172" w14:textId="5ADE23DF" w:rsidR="00A80B62" w:rsidRPr="001570EA" w:rsidRDefault="003B5E04" w:rsidP="00A80B62">
      <w:pPr>
        <w:shd w:val="clear" w:color="auto" w:fill="FFFFFF" w:themeFill="background1"/>
        <w:tabs>
          <w:tab w:val="left" w:pos="2430"/>
        </w:tabs>
        <w:rPr>
          <w:rFonts w:cs="Arial"/>
          <w:i/>
          <w:iCs/>
          <w:color w:val="000000"/>
          <w:bdr w:val="none" w:sz="0" w:space="0" w:color="auto" w:frame="1"/>
          <w:vertAlign w:val="subscript"/>
        </w:rPr>
      </w:pPr>
      <m:oMath>
        <m:sSub>
          <m:sSubPr>
            <m:ctrlPr>
              <w:rPr>
                <w:rFonts w:ascii="Cambria Math" w:hAnsi="Cambria Math" w:cs="Arial"/>
                <w:i/>
                <w:iCs/>
                <w:color w:val="000000"/>
                <w:bdr w:val="none" w:sz="0" w:space="0" w:color="auto" w:frame="1"/>
              </w:rPr>
            </m:ctrlPr>
          </m:sSubPr>
          <m:e>
            <m:r>
              <w:rPr>
                <w:rFonts w:ascii="Cambria Math" w:hAnsi="Cambria Math" w:cs="Arial"/>
                <w:color w:val="000000"/>
                <w:bdr w:val="none" w:sz="0" w:space="0" w:color="auto" w:frame="1"/>
              </w:rPr>
              <m:t>ΔkW</m:t>
            </m:r>
          </m:e>
          <m:sub>
            <m:r>
              <w:rPr>
                <w:rFonts w:ascii="Cambria Math" w:hAnsi="Cambria Math" w:cs="Arial"/>
                <w:color w:val="000000"/>
                <w:bdr w:val="none" w:sz="0" w:space="0" w:color="auto" w:frame="1"/>
              </w:rPr>
              <m:t>summer peak</m:t>
            </m:r>
          </m:sub>
        </m:sSub>
      </m:oMath>
      <w:r w:rsidR="00A80B62" w:rsidRPr="001570EA">
        <w:rPr>
          <w:rFonts w:cs="Arial"/>
          <w:i/>
          <w:iCs/>
        </w:rPr>
        <w:tab/>
      </w:r>
      <w:r w:rsidR="00A80B62" w:rsidRPr="001570EA">
        <w:rPr>
          <w:rFonts w:cs="Arial"/>
          <w:i/>
          <w:iCs/>
          <w:color w:val="000000"/>
          <w:bdr w:val="none" w:sz="0" w:space="0" w:color="auto" w:frame="1"/>
        </w:rPr>
        <w:t xml:space="preserve">= </w:t>
      </w:r>
      <m:oMath>
        <m:r>
          <w:rPr>
            <w:rFonts w:ascii="Cambria Math" w:hAnsi="Cambria Math" w:cs="Arial"/>
            <w:color w:val="000000"/>
            <w:bdr w:val="none" w:sz="0" w:space="0" w:color="auto" w:frame="1"/>
          </w:rPr>
          <m:t xml:space="preserve">ΔkWh x </m:t>
        </m:r>
        <m:sSub>
          <m:sSubPr>
            <m:ctrlPr>
              <w:rPr>
                <w:rFonts w:ascii="Cambria Math" w:hAnsi="Cambria Math" w:cs="Arial"/>
                <w:i/>
                <w:iCs/>
                <w:color w:val="000000"/>
                <w:bdr w:val="none" w:sz="0" w:space="0" w:color="auto" w:frame="1"/>
              </w:rPr>
            </m:ctrlPr>
          </m:sSubPr>
          <m:e>
            <m:r>
              <w:rPr>
                <w:rFonts w:ascii="Cambria Math" w:hAnsi="Cambria Math" w:cs="Arial"/>
                <w:color w:val="000000"/>
                <w:bdr w:val="none" w:sz="0" w:space="0" w:color="auto" w:frame="1"/>
              </w:rPr>
              <m:t>ETDF</m:t>
            </m:r>
          </m:e>
          <m:sub>
            <m:r>
              <w:rPr>
                <w:rFonts w:ascii="Cambria Math" w:hAnsi="Cambria Math" w:cs="Arial"/>
                <w:color w:val="000000"/>
                <w:bdr w:val="none" w:sz="0" w:space="0" w:color="auto" w:frame="1"/>
              </w:rPr>
              <m:t>summer</m:t>
            </m:r>
          </m:sub>
        </m:sSub>
      </m:oMath>
    </w:p>
    <w:p w14:paraId="0A4F5925" w14:textId="77777777" w:rsidR="00A80B62" w:rsidRPr="001570EA" w:rsidRDefault="00A80B62" w:rsidP="00A80B62">
      <w:pPr>
        <w:shd w:val="clear" w:color="auto" w:fill="FFFFFF" w:themeFill="background1"/>
        <w:tabs>
          <w:tab w:val="left" w:pos="2430"/>
        </w:tabs>
        <w:rPr>
          <w:rFonts w:cs="Arial"/>
          <w:i/>
          <w:iCs/>
          <w:color w:val="000000"/>
          <w:bdr w:val="none" w:sz="0" w:space="0" w:color="auto" w:frame="1"/>
          <w:vertAlign w:val="subscript"/>
        </w:rPr>
      </w:pPr>
    </w:p>
    <w:p w14:paraId="211B950B" w14:textId="5F850282" w:rsidR="00A80B62" w:rsidRPr="001570EA" w:rsidRDefault="003B5E04" w:rsidP="00A80B62">
      <w:pPr>
        <w:shd w:val="clear" w:color="auto" w:fill="FFFFFF" w:themeFill="background1"/>
        <w:tabs>
          <w:tab w:val="left" w:pos="2430"/>
        </w:tabs>
        <w:rPr>
          <w:rFonts w:cs="Arial"/>
          <w:i/>
          <w:iCs/>
          <w:color w:val="000000"/>
          <w:bdr w:val="none" w:sz="0" w:space="0" w:color="auto" w:frame="1"/>
        </w:rPr>
      </w:pPr>
      <m:oMath>
        <m:sSub>
          <m:sSubPr>
            <m:ctrlPr>
              <w:rPr>
                <w:rFonts w:ascii="Cambria Math" w:hAnsi="Cambria Math" w:cs="Arial"/>
                <w:i/>
                <w:iCs/>
                <w:color w:val="000000"/>
                <w:bdr w:val="none" w:sz="0" w:space="0" w:color="auto" w:frame="1"/>
              </w:rPr>
            </m:ctrlPr>
          </m:sSubPr>
          <m:e>
            <m:r>
              <w:rPr>
                <w:rFonts w:ascii="Cambria Math" w:hAnsi="Cambria Math" w:cs="Arial"/>
                <w:color w:val="000000"/>
                <w:bdr w:val="none" w:sz="0" w:space="0" w:color="auto" w:frame="1"/>
              </w:rPr>
              <m:t>ΔkW</m:t>
            </m:r>
          </m:e>
          <m:sub>
            <m:r>
              <w:rPr>
                <w:rFonts w:ascii="Cambria Math" w:hAnsi="Cambria Math" w:cs="Arial"/>
                <w:color w:val="000000"/>
                <w:bdr w:val="none" w:sz="0" w:space="0" w:color="auto" w:frame="1"/>
              </w:rPr>
              <m:t>winter peak</m:t>
            </m:r>
          </m:sub>
        </m:sSub>
      </m:oMath>
      <w:r w:rsidR="00A80B62" w:rsidRPr="001570EA">
        <w:rPr>
          <w:rFonts w:cs="Arial"/>
          <w:i/>
          <w:iCs/>
        </w:rPr>
        <w:tab/>
      </w:r>
      <w:r w:rsidR="00A80B62" w:rsidRPr="001570EA">
        <w:rPr>
          <w:rFonts w:cs="Arial"/>
          <w:i/>
          <w:iCs/>
          <w:color w:val="000000"/>
          <w:bdr w:val="none" w:sz="0" w:space="0" w:color="auto" w:frame="1"/>
        </w:rPr>
        <w:t xml:space="preserve">= </w:t>
      </w:r>
      <m:oMath>
        <m:r>
          <w:rPr>
            <w:rFonts w:ascii="Cambria Math" w:hAnsi="Cambria Math" w:cs="Arial"/>
            <w:color w:val="000000"/>
            <w:bdr w:val="none" w:sz="0" w:space="0" w:color="auto" w:frame="1"/>
          </w:rPr>
          <m:t xml:space="preserve">ΔkWh x </m:t>
        </m:r>
        <m:sSub>
          <m:sSubPr>
            <m:ctrlPr>
              <w:rPr>
                <w:rFonts w:ascii="Cambria Math" w:hAnsi="Cambria Math" w:cs="Arial"/>
                <w:i/>
                <w:iCs/>
                <w:color w:val="000000"/>
                <w:bdr w:val="none" w:sz="0" w:space="0" w:color="auto" w:frame="1"/>
              </w:rPr>
            </m:ctrlPr>
          </m:sSubPr>
          <m:e>
            <m:r>
              <w:rPr>
                <w:rFonts w:ascii="Cambria Math" w:hAnsi="Cambria Math" w:cs="Arial"/>
                <w:color w:val="000000"/>
                <w:bdr w:val="none" w:sz="0" w:space="0" w:color="auto" w:frame="1"/>
              </w:rPr>
              <m:t>ETDF</m:t>
            </m:r>
          </m:e>
          <m:sub>
            <m:r>
              <w:rPr>
                <w:rFonts w:ascii="Cambria Math" w:hAnsi="Cambria Math" w:cs="Arial"/>
                <w:color w:val="000000"/>
                <w:bdr w:val="none" w:sz="0" w:space="0" w:color="auto" w:frame="1"/>
              </w:rPr>
              <m:t>winter</m:t>
            </m:r>
          </m:sub>
        </m:sSub>
      </m:oMath>
    </w:p>
    <w:p w14:paraId="3A318E1B" w14:textId="77777777" w:rsidR="00A80B62" w:rsidRPr="001570EA" w:rsidRDefault="00A80B62" w:rsidP="00A80B62">
      <w:pPr>
        <w:shd w:val="clear" w:color="auto" w:fill="FFFFFF" w:themeFill="background1"/>
        <w:tabs>
          <w:tab w:val="left" w:pos="2430"/>
        </w:tabs>
        <w:rPr>
          <w:rFonts w:cs="Arial"/>
          <w:i/>
          <w:iCs/>
          <w:color w:val="000000"/>
        </w:rPr>
      </w:pPr>
    </w:p>
    <w:p w14:paraId="1A2563C0" w14:textId="77777777" w:rsidR="00A80B62" w:rsidRPr="001570EA" w:rsidRDefault="00A80B62" w:rsidP="00A80B62">
      <w:pPr>
        <w:shd w:val="clear" w:color="auto" w:fill="FFFFFF" w:themeFill="background1"/>
        <w:rPr>
          <w:rFonts w:cs="Arial"/>
          <w:i/>
          <w:iCs/>
          <w:color w:val="000000"/>
          <w:sz w:val="16"/>
          <w:szCs w:val="16"/>
        </w:rPr>
      </w:pPr>
    </w:p>
    <w:p w14:paraId="27706A3C" w14:textId="77777777" w:rsidR="00A80B62" w:rsidRPr="001570EA" w:rsidRDefault="00A80B62" w:rsidP="00A80B62">
      <w:pPr>
        <w:rPr>
          <w:rFonts w:cs="Arial"/>
          <w:b/>
          <w:bCs/>
        </w:rPr>
      </w:pPr>
      <w:r w:rsidRPr="001570EA">
        <w:rPr>
          <w:rFonts w:cs="Arial"/>
          <w:b/>
          <w:bCs/>
        </w:rPr>
        <w:t xml:space="preserve">Tier 2 </w:t>
      </w:r>
      <w:r w:rsidRPr="001570EA">
        <w:rPr>
          <w:rFonts w:cs="Arial"/>
          <w:b/>
        </w:rPr>
        <w:t>Advanced Power Strips</w:t>
      </w:r>
      <w:r w:rsidRPr="001570EA">
        <w:rPr>
          <w:rFonts w:cs="Arial"/>
          <w:b/>
          <w:bCs/>
        </w:rPr>
        <w:t>:</w:t>
      </w:r>
    </w:p>
    <w:p w14:paraId="1EA83D17" w14:textId="77777777" w:rsidR="00A80B62" w:rsidRPr="001570EA" w:rsidRDefault="00A80B62" w:rsidP="00A80B62">
      <w:pPr>
        <w:rPr>
          <w:rFonts w:cs="Arial"/>
        </w:rPr>
      </w:pPr>
    </w:p>
    <w:p w14:paraId="373C6529" w14:textId="77777777" w:rsidR="00A80B62" w:rsidRPr="001570EA" w:rsidRDefault="00A80B62" w:rsidP="00A80B62">
      <w:pPr>
        <w:shd w:val="clear" w:color="auto" w:fill="FFFFFF" w:themeFill="background1"/>
        <w:tabs>
          <w:tab w:val="left" w:pos="2430"/>
        </w:tabs>
        <w:rPr>
          <w:rFonts w:cs="Arial"/>
          <w:i/>
          <w:iCs/>
          <w:color w:val="000000"/>
          <w:bdr w:val="none" w:sz="0" w:space="0" w:color="auto" w:frame="1"/>
        </w:rPr>
      </w:pPr>
      <m:oMath>
        <m:r>
          <w:rPr>
            <w:rFonts w:ascii="Cambria Math" w:hAnsi="Cambria Math" w:cs="Arial"/>
            <w:color w:val="000000"/>
            <w:bdr w:val="none" w:sz="0" w:space="0" w:color="auto" w:frame="1"/>
          </w:rPr>
          <m:t>∆kWh</m:t>
        </m:r>
      </m:oMath>
      <w:r w:rsidRPr="001570EA">
        <w:rPr>
          <w:rFonts w:cs="Arial"/>
          <w:i/>
          <w:iCs/>
          <w:color w:val="000000"/>
          <w:bdr w:val="none" w:sz="0" w:space="0" w:color="auto" w:frame="1"/>
        </w:rPr>
        <w:tab/>
        <w:t xml:space="preserve">= </w:t>
      </w:r>
      <m:oMath>
        <m:r>
          <w:rPr>
            <w:rFonts w:ascii="Cambria Math" w:hAnsi="Cambria Math" w:cs="Arial"/>
            <w:color w:val="000000"/>
            <w:bdr w:val="none" w:sz="0" w:space="0" w:color="auto" w:frame="1"/>
          </w:rPr>
          <m:t xml:space="preserve">Annual_Usage x </m:t>
        </m:r>
        <m:sSub>
          <m:sSubPr>
            <m:ctrlPr>
              <w:rPr>
                <w:rFonts w:ascii="Cambria Math" w:hAnsi="Cambria Math" w:cs="Arial"/>
                <w:i/>
                <w:iCs/>
                <w:color w:val="000000"/>
                <w:bdr w:val="none" w:sz="0" w:space="0" w:color="auto" w:frame="1"/>
              </w:rPr>
            </m:ctrlPr>
          </m:sSubPr>
          <m:e>
            <m:r>
              <w:rPr>
                <w:rFonts w:ascii="Cambria Math" w:hAnsi="Cambria Math" w:cs="Arial"/>
                <w:color w:val="000000"/>
                <w:bdr w:val="none" w:sz="0" w:space="0" w:color="auto" w:frame="1"/>
              </w:rPr>
              <m:t>ERP</m:t>
            </m:r>
          </m:e>
          <m:sub>
            <m:r>
              <w:rPr>
                <w:rFonts w:ascii="Cambria Math" w:hAnsi="Cambria Math" w:cs="Arial"/>
                <w:color w:val="000000"/>
                <w:bdr w:val="none" w:sz="0" w:space="0" w:color="auto" w:frame="1"/>
              </w:rPr>
              <m:t>T2</m:t>
            </m:r>
          </m:sub>
        </m:sSub>
        <m:r>
          <w:rPr>
            <w:rFonts w:ascii="Cambria Math" w:hAnsi="Cambria Math" w:cs="Arial"/>
            <w:color w:val="000000"/>
            <w:bdr w:val="none" w:sz="0" w:space="0" w:color="auto" w:frame="1"/>
          </w:rPr>
          <m:t xml:space="preserve"> x ISR x RR</m:t>
        </m:r>
      </m:oMath>
    </w:p>
    <w:p w14:paraId="2301AC84" w14:textId="77777777" w:rsidR="00A80B62" w:rsidRPr="001570EA" w:rsidRDefault="00A80B62" w:rsidP="00A80B62">
      <w:pPr>
        <w:shd w:val="clear" w:color="auto" w:fill="FFFFFF" w:themeFill="background1"/>
        <w:tabs>
          <w:tab w:val="left" w:pos="2430"/>
        </w:tabs>
        <w:rPr>
          <w:rFonts w:cs="Arial"/>
          <w:i/>
          <w:iCs/>
          <w:color w:val="000000"/>
        </w:rPr>
      </w:pPr>
    </w:p>
    <w:p w14:paraId="1243F688" w14:textId="5E43FA18" w:rsidR="00A80B62" w:rsidRPr="001570EA" w:rsidRDefault="003B5E04" w:rsidP="00A80B62">
      <w:pPr>
        <w:shd w:val="clear" w:color="auto" w:fill="FFFFFF" w:themeFill="background1"/>
        <w:tabs>
          <w:tab w:val="left" w:pos="2430"/>
        </w:tabs>
        <w:rPr>
          <w:rFonts w:cs="Arial"/>
          <w:i/>
          <w:iCs/>
          <w:color w:val="000000"/>
          <w:bdr w:val="none" w:sz="0" w:space="0" w:color="auto" w:frame="1"/>
          <w:vertAlign w:val="subscript"/>
        </w:rPr>
      </w:pPr>
      <m:oMath>
        <m:sSub>
          <m:sSubPr>
            <m:ctrlPr>
              <w:rPr>
                <w:rFonts w:ascii="Cambria Math" w:hAnsi="Cambria Math" w:cs="Arial"/>
                <w:i/>
                <w:iCs/>
                <w:color w:val="000000"/>
                <w:bdr w:val="none" w:sz="0" w:space="0" w:color="auto" w:frame="1"/>
              </w:rPr>
            </m:ctrlPr>
          </m:sSubPr>
          <m:e>
            <m:r>
              <w:rPr>
                <w:rFonts w:ascii="Cambria Math" w:hAnsi="Cambria Math" w:cs="Arial"/>
                <w:color w:val="000000"/>
                <w:bdr w:val="none" w:sz="0" w:space="0" w:color="auto" w:frame="1"/>
              </w:rPr>
              <m:t>ΔkW</m:t>
            </m:r>
          </m:e>
          <m:sub>
            <m:r>
              <w:rPr>
                <w:rFonts w:ascii="Cambria Math" w:hAnsi="Cambria Math" w:cs="Arial"/>
                <w:color w:val="000000"/>
                <w:bdr w:val="none" w:sz="0" w:space="0" w:color="auto" w:frame="1"/>
              </w:rPr>
              <m:t>summer peak</m:t>
            </m:r>
          </m:sub>
        </m:sSub>
      </m:oMath>
      <w:r w:rsidR="00A80B62" w:rsidRPr="001570EA">
        <w:rPr>
          <w:rFonts w:cs="Arial"/>
          <w:i/>
          <w:iCs/>
        </w:rPr>
        <w:tab/>
      </w:r>
      <w:r w:rsidR="00A80B62" w:rsidRPr="001570EA">
        <w:rPr>
          <w:rFonts w:cs="Arial"/>
          <w:i/>
          <w:iCs/>
          <w:color w:val="000000"/>
          <w:bdr w:val="none" w:sz="0" w:space="0" w:color="auto" w:frame="1"/>
        </w:rPr>
        <w:t xml:space="preserve">= </w:t>
      </w:r>
      <m:oMath>
        <m:r>
          <w:rPr>
            <w:rFonts w:ascii="Cambria Math" w:hAnsi="Cambria Math" w:cs="Arial"/>
            <w:color w:val="000000"/>
            <w:bdr w:val="none" w:sz="0" w:space="0" w:color="auto" w:frame="1"/>
          </w:rPr>
          <m:t xml:space="preserve">ΔkWh x </m:t>
        </m:r>
        <m:sSub>
          <m:sSubPr>
            <m:ctrlPr>
              <w:rPr>
                <w:rFonts w:ascii="Cambria Math" w:hAnsi="Cambria Math" w:cs="Arial"/>
                <w:i/>
                <w:iCs/>
                <w:color w:val="000000"/>
                <w:bdr w:val="none" w:sz="0" w:space="0" w:color="auto" w:frame="1"/>
              </w:rPr>
            </m:ctrlPr>
          </m:sSubPr>
          <m:e>
            <m:r>
              <w:rPr>
                <w:rFonts w:ascii="Cambria Math" w:hAnsi="Cambria Math" w:cs="Arial"/>
                <w:color w:val="000000"/>
                <w:bdr w:val="none" w:sz="0" w:space="0" w:color="auto" w:frame="1"/>
              </w:rPr>
              <m:t>ETDF</m:t>
            </m:r>
          </m:e>
          <m:sub>
            <m:r>
              <w:rPr>
                <w:rFonts w:ascii="Cambria Math" w:hAnsi="Cambria Math" w:cs="Arial"/>
                <w:color w:val="000000"/>
                <w:bdr w:val="none" w:sz="0" w:space="0" w:color="auto" w:frame="1"/>
              </w:rPr>
              <m:t>summer</m:t>
            </m:r>
          </m:sub>
        </m:sSub>
      </m:oMath>
    </w:p>
    <w:p w14:paraId="54558A2F" w14:textId="77777777" w:rsidR="00A80B62" w:rsidRPr="001570EA" w:rsidRDefault="00A80B62" w:rsidP="00A80B62">
      <w:pPr>
        <w:shd w:val="clear" w:color="auto" w:fill="FFFFFF" w:themeFill="background1"/>
        <w:tabs>
          <w:tab w:val="left" w:pos="2430"/>
        </w:tabs>
        <w:rPr>
          <w:rFonts w:cs="Arial"/>
          <w:i/>
          <w:iCs/>
          <w:color w:val="000000"/>
          <w:bdr w:val="none" w:sz="0" w:space="0" w:color="auto" w:frame="1"/>
          <w:vertAlign w:val="subscript"/>
        </w:rPr>
      </w:pPr>
    </w:p>
    <w:p w14:paraId="70A3118D" w14:textId="02189D5F" w:rsidR="00A80B62" w:rsidRPr="001570EA" w:rsidRDefault="003B5E04" w:rsidP="00A80B62">
      <w:pPr>
        <w:shd w:val="clear" w:color="auto" w:fill="FFFFFF" w:themeFill="background1"/>
        <w:tabs>
          <w:tab w:val="left" w:pos="2430"/>
        </w:tabs>
        <w:rPr>
          <w:rFonts w:cs="Arial"/>
          <w:i/>
          <w:iCs/>
          <w:color w:val="000000"/>
          <w:bdr w:val="none" w:sz="0" w:space="0" w:color="auto" w:frame="1"/>
        </w:rPr>
      </w:pPr>
      <m:oMath>
        <m:sSub>
          <m:sSubPr>
            <m:ctrlPr>
              <w:rPr>
                <w:rFonts w:ascii="Cambria Math" w:hAnsi="Cambria Math" w:cs="Arial"/>
                <w:i/>
                <w:iCs/>
                <w:color w:val="000000"/>
                <w:bdr w:val="none" w:sz="0" w:space="0" w:color="auto" w:frame="1"/>
              </w:rPr>
            </m:ctrlPr>
          </m:sSubPr>
          <m:e>
            <m:r>
              <w:rPr>
                <w:rFonts w:ascii="Cambria Math" w:hAnsi="Cambria Math" w:cs="Arial"/>
                <w:color w:val="000000"/>
                <w:bdr w:val="none" w:sz="0" w:space="0" w:color="auto" w:frame="1"/>
              </w:rPr>
              <m:t>ΔkW</m:t>
            </m:r>
          </m:e>
          <m:sub>
            <m:r>
              <w:rPr>
                <w:rFonts w:ascii="Cambria Math" w:hAnsi="Cambria Math" w:cs="Arial"/>
                <w:color w:val="000000"/>
                <w:bdr w:val="none" w:sz="0" w:space="0" w:color="auto" w:frame="1"/>
              </w:rPr>
              <m:t>winter peak</m:t>
            </m:r>
          </m:sub>
        </m:sSub>
      </m:oMath>
      <w:r w:rsidR="00A80B62" w:rsidRPr="001570EA">
        <w:rPr>
          <w:rFonts w:cs="Arial"/>
          <w:i/>
          <w:iCs/>
        </w:rPr>
        <w:tab/>
      </w:r>
      <w:r w:rsidR="00A80B62" w:rsidRPr="001570EA">
        <w:rPr>
          <w:rFonts w:cs="Arial"/>
          <w:i/>
          <w:iCs/>
          <w:color w:val="000000"/>
          <w:bdr w:val="none" w:sz="0" w:space="0" w:color="auto" w:frame="1"/>
        </w:rPr>
        <w:t xml:space="preserve">= </w:t>
      </w:r>
      <m:oMath>
        <m:r>
          <w:rPr>
            <w:rFonts w:ascii="Cambria Math" w:hAnsi="Cambria Math" w:cs="Arial"/>
            <w:color w:val="000000"/>
            <w:bdr w:val="none" w:sz="0" w:space="0" w:color="auto" w:frame="1"/>
          </w:rPr>
          <m:t xml:space="preserve">ΔkWh x </m:t>
        </m:r>
        <m:sSub>
          <m:sSubPr>
            <m:ctrlPr>
              <w:rPr>
                <w:rFonts w:ascii="Cambria Math" w:hAnsi="Cambria Math" w:cs="Arial"/>
                <w:i/>
                <w:iCs/>
                <w:color w:val="000000"/>
                <w:bdr w:val="none" w:sz="0" w:space="0" w:color="auto" w:frame="1"/>
              </w:rPr>
            </m:ctrlPr>
          </m:sSubPr>
          <m:e>
            <m:r>
              <w:rPr>
                <w:rFonts w:ascii="Cambria Math" w:hAnsi="Cambria Math" w:cs="Arial"/>
                <w:color w:val="000000"/>
                <w:bdr w:val="none" w:sz="0" w:space="0" w:color="auto" w:frame="1"/>
              </w:rPr>
              <m:t>ETDF</m:t>
            </m:r>
          </m:e>
          <m:sub>
            <m:r>
              <w:rPr>
                <w:rFonts w:ascii="Cambria Math" w:hAnsi="Cambria Math" w:cs="Arial"/>
                <w:color w:val="000000"/>
                <w:bdr w:val="none" w:sz="0" w:space="0" w:color="auto" w:frame="1"/>
              </w:rPr>
              <m:t>winter</m:t>
            </m:r>
          </m:sub>
        </m:sSub>
      </m:oMath>
    </w:p>
    <w:p w14:paraId="3AE53E51" w14:textId="77777777" w:rsidR="00A80B62" w:rsidRPr="001570EA" w:rsidRDefault="00A80B62" w:rsidP="00A80B62">
      <w:pPr>
        <w:shd w:val="clear" w:color="auto" w:fill="FFFFFF" w:themeFill="background1"/>
        <w:tabs>
          <w:tab w:val="left" w:pos="2430"/>
        </w:tabs>
        <w:rPr>
          <w:rFonts w:cs="Arial"/>
          <w:i/>
          <w:iCs/>
          <w:color w:val="000000"/>
        </w:rPr>
      </w:pPr>
    </w:p>
    <w:p w14:paraId="07947914" w14:textId="77777777" w:rsidR="00A80B62" w:rsidRPr="001570EA" w:rsidRDefault="00A80B62" w:rsidP="00A80B62">
      <w:pPr>
        <w:shd w:val="clear" w:color="auto" w:fill="FFFFFF" w:themeFill="background1"/>
        <w:rPr>
          <w:rFonts w:cs="Arial"/>
          <w:color w:val="000000"/>
        </w:rPr>
      </w:pPr>
    </w:p>
    <w:p w14:paraId="65F5AAF6" w14:textId="77777777" w:rsidR="00A80B62" w:rsidRPr="001570EA" w:rsidRDefault="00A80B62" w:rsidP="00A80B62">
      <w:pPr>
        <w:pStyle w:val="SubStyle"/>
        <w:rPr>
          <w:rFonts w:cs="Arial"/>
          <w:b w:val="0"/>
          <w:bCs/>
          <w:smallCaps w:val="0"/>
          <w:color w:val="1F497D"/>
          <w:sz w:val="24"/>
          <w:szCs w:val="24"/>
        </w:rPr>
      </w:pPr>
      <w:r w:rsidRPr="001570EA">
        <w:t>Definition of Terms</w:t>
      </w:r>
    </w:p>
    <w:p w14:paraId="1CAC9023" w14:textId="46AB2669" w:rsidR="00A80B62" w:rsidRPr="001570EA" w:rsidRDefault="00A80B62" w:rsidP="00A80B62">
      <w:pPr>
        <w:pStyle w:val="Caption"/>
        <w:rPr>
          <w:sz w:val="24"/>
          <w:szCs w:val="24"/>
        </w:rPr>
      </w:pPr>
      <w:bookmarkStart w:id="1130" w:name="_Toc47598351"/>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127</w:t>
      </w:r>
      <w:r w:rsidR="002E093A" w:rsidRPr="001570EA">
        <w:fldChar w:fldCharType="end"/>
      </w:r>
      <w:r w:rsidRPr="001570EA">
        <w:t>: Terms, Values, and References for Advanced Power Strips</w:t>
      </w:r>
      <w:bookmarkEnd w:id="1130"/>
    </w:p>
    <w:tbl>
      <w:tblPr>
        <w:tblW w:w="86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1350"/>
        <w:gridCol w:w="2700"/>
        <w:gridCol w:w="900"/>
      </w:tblGrid>
      <w:tr w:rsidR="00A80B62" w:rsidRPr="001570EA" w14:paraId="7352D041" w14:textId="77777777">
        <w:tc>
          <w:tcPr>
            <w:tcW w:w="3682" w:type="dxa"/>
            <w:tcBorders>
              <w:top w:val="single" w:sz="6" w:space="0" w:color="auto"/>
              <w:left w:val="single" w:sz="6" w:space="0" w:color="auto"/>
              <w:bottom w:val="single" w:sz="6" w:space="0" w:color="auto"/>
              <w:right w:val="single" w:sz="6" w:space="0" w:color="auto"/>
            </w:tcBorders>
            <w:shd w:val="clear" w:color="auto" w:fill="BFBFBF"/>
            <w:hideMark/>
          </w:tcPr>
          <w:p w14:paraId="2322505B" w14:textId="77777777" w:rsidR="00A80B62" w:rsidRPr="001570EA" w:rsidRDefault="00A80B62">
            <w:pPr>
              <w:spacing w:before="40" w:after="40"/>
            </w:pPr>
            <w:r w:rsidRPr="001570EA">
              <w:rPr>
                <w:rFonts w:cs="Arial"/>
                <w:b/>
                <w:bCs/>
                <w:sz w:val="18"/>
                <w:szCs w:val="18"/>
              </w:rPr>
              <w:t>Parameter</w:t>
            </w:r>
            <w:r w:rsidRPr="001570EA">
              <w:rPr>
                <w:rFonts w:cs="Arial"/>
                <w:sz w:val="18"/>
                <w:szCs w:val="18"/>
              </w:rPr>
              <w:t xml:space="preserve"> </w:t>
            </w:r>
          </w:p>
        </w:tc>
        <w:tc>
          <w:tcPr>
            <w:tcW w:w="1350" w:type="dxa"/>
            <w:tcBorders>
              <w:top w:val="single" w:sz="6" w:space="0" w:color="auto"/>
              <w:left w:val="outset" w:sz="6" w:space="0" w:color="auto"/>
              <w:bottom w:val="single" w:sz="6" w:space="0" w:color="auto"/>
              <w:right w:val="single" w:sz="6" w:space="0" w:color="auto"/>
            </w:tcBorders>
            <w:shd w:val="clear" w:color="auto" w:fill="BFBFBF"/>
            <w:hideMark/>
          </w:tcPr>
          <w:p w14:paraId="76716B07" w14:textId="77777777" w:rsidR="00A80B62" w:rsidRPr="001570EA" w:rsidRDefault="00A80B62">
            <w:pPr>
              <w:spacing w:before="40" w:after="40"/>
              <w:jc w:val="center"/>
            </w:pPr>
            <w:r w:rsidRPr="001570EA">
              <w:rPr>
                <w:rFonts w:cs="Arial"/>
                <w:b/>
                <w:bCs/>
                <w:sz w:val="18"/>
                <w:szCs w:val="18"/>
              </w:rPr>
              <w:t>Unit</w:t>
            </w:r>
            <w:r w:rsidRPr="001570EA">
              <w:rPr>
                <w:rFonts w:cs="Arial"/>
                <w:sz w:val="18"/>
                <w:szCs w:val="18"/>
              </w:rPr>
              <w:t xml:space="preserve"> </w:t>
            </w:r>
          </w:p>
        </w:tc>
        <w:tc>
          <w:tcPr>
            <w:tcW w:w="2700" w:type="dxa"/>
            <w:tcBorders>
              <w:top w:val="single" w:sz="6" w:space="0" w:color="auto"/>
              <w:left w:val="outset" w:sz="6" w:space="0" w:color="auto"/>
              <w:bottom w:val="single" w:sz="6" w:space="0" w:color="auto"/>
              <w:right w:val="single" w:sz="6" w:space="0" w:color="auto"/>
            </w:tcBorders>
            <w:shd w:val="clear" w:color="auto" w:fill="BFBFBF"/>
            <w:hideMark/>
          </w:tcPr>
          <w:p w14:paraId="7823DFAE" w14:textId="77777777" w:rsidR="00A80B62" w:rsidRPr="001570EA" w:rsidRDefault="00A80B62">
            <w:pPr>
              <w:spacing w:before="40" w:after="40"/>
              <w:jc w:val="center"/>
            </w:pPr>
            <w:r w:rsidRPr="001570EA">
              <w:rPr>
                <w:rFonts w:cs="Arial"/>
                <w:b/>
                <w:bCs/>
                <w:sz w:val="18"/>
                <w:szCs w:val="18"/>
              </w:rPr>
              <w:t>Value</w:t>
            </w:r>
            <w:r w:rsidRPr="001570EA">
              <w:rPr>
                <w:rFonts w:cs="Arial"/>
                <w:sz w:val="18"/>
                <w:szCs w:val="18"/>
              </w:rPr>
              <w:t xml:space="preserve"> </w:t>
            </w:r>
          </w:p>
        </w:tc>
        <w:tc>
          <w:tcPr>
            <w:tcW w:w="900" w:type="dxa"/>
            <w:tcBorders>
              <w:top w:val="single" w:sz="6" w:space="0" w:color="auto"/>
              <w:left w:val="outset" w:sz="6" w:space="0" w:color="auto"/>
              <w:bottom w:val="single" w:sz="6" w:space="0" w:color="auto"/>
              <w:right w:val="single" w:sz="6" w:space="0" w:color="auto"/>
            </w:tcBorders>
            <w:shd w:val="clear" w:color="auto" w:fill="BFBFBF"/>
            <w:hideMark/>
          </w:tcPr>
          <w:p w14:paraId="13490508" w14:textId="77777777" w:rsidR="00A80B62" w:rsidRPr="001570EA" w:rsidRDefault="00A80B62">
            <w:pPr>
              <w:spacing w:before="40" w:after="40"/>
              <w:jc w:val="center"/>
            </w:pPr>
            <w:r w:rsidRPr="001570EA">
              <w:rPr>
                <w:rFonts w:cs="Arial"/>
                <w:b/>
                <w:bCs/>
                <w:sz w:val="18"/>
                <w:szCs w:val="18"/>
              </w:rPr>
              <w:t>Source</w:t>
            </w:r>
            <w:r w:rsidRPr="001570EA">
              <w:rPr>
                <w:rFonts w:cs="Arial"/>
                <w:sz w:val="18"/>
                <w:szCs w:val="18"/>
              </w:rPr>
              <w:t xml:space="preserve"> </w:t>
            </w:r>
          </w:p>
        </w:tc>
      </w:tr>
      <w:tr w:rsidR="00A80B62" w:rsidRPr="001570EA" w14:paraId="516F1813" w14:textId="77777777">
        <w:tc>
          <w:tcPr>
            <w:tcW w:w="368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4B0C5156" w14:textId="77777777" w:rsidR="00A80B62" w:rsidRPr="001570EA" w:rsidRDefault="00A80B62">
            <w:pPr>
              <w:spacing w:before="40" w:after="40"/>
              <w:ind w:left="76"/>
              <w:jc w:val="left"/>
              <w:rPr>
                <w:sz w:val="18"/>
                <w:szCs w:val="18"/>
              </w:rPr>
            </w:pPr>
            <w:r w:rsidRPr="001570EA">
              <w:rPr>
                <w:rFonts w:cs="Arial"/>
                <w:i/>
                <w:color w:val="000000"/>
                <w:sz w:val="18"/>
                <w:szCs w:val="18"/>
                <w:bdr w:val="none" w:sz="0" w:space="0" w:color="auto" w:frame="1"/>
              </w:rPr>
              <w:t>Annual_Usage</w:t>
            </w:r>
          </w:p>
        </w:tc>
        <w:tc>
          <w:tcPr>
            <w:tcW w:w="135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329936AC" w14:textId="77777777" w:rsidR="00A80B62" w:rsidRPr="001570EA" w:rsidRDefault="00A80B62">
            <w:pPr>
              <w:spacing w:before="40" w:after="40"/>
              <w:jc w:val="center"/>
              <w:rPr>
                <w:i/>
                <w:sz w:val="18"/>
                <w:szCs w:val="18"/>
              </w:rPr>
            </w:pPr>
            <w:r w:rsidRPr="001570EA">
              <w:rPr>
                <w:rFonts w:cs="Arial"/>
                <w:i/>
                <w:iCs/>
                <w:sz w:val="18"/>
                <w:szCs w:val="18"/>
              </w:rPr>
              <w:t>kWh</w:t>
            </w:r>
          </w:p>
        </w:tc>
        <w:tc>
          <w:tcPr>
            <w:tcW w:w="270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3AD32393" w14:textId="3F4C1271" w:rsidR="00A80B62" w:rsidRPr="001570EA" w:rsidRDefault="00A80B62">
            <w:pPr>
              <w:spacing w:before="40" w:after="40"/>
              <w:jc w:val="center"/>
              <w:rPr>
                <w:sz w:val="18"/>
                <w:szCs w:val="18"/>
              </w:rPr>
            </w:pPr>
            <w:r w:rsidRPr="001570EA">
              <w:rPr>
                <w:sz w:val="18"/>
                <w:szCs w:val="18"/>
              </w:rPr>
              <w:t xml:space="preserve">See </w:t>
            </w:r>
            <w:r w:rsidRPr="001570EA">
              <w:rPr>
                <w:sz w:val="18"/>
                <w:szCs w:val="18"/>
              </w:rPr>
              <w:fldChar w:fldCharType="begin"/>
            </w:r>
            <w:r w:rsidRPr="001570EA">
              <w:rPr>
                <w:sz w:val="18"/>
                <w:szCs w:val="18"/>
              </w:rPr>
              <w:instrText xml:space="preserve"> REF _Ref162411112 \h  \* MERGEFORMAT </w:instrText>
            </w:r>
            <w:r w:rsidRPr="001570EA">
              <w:rPr>
                <w:sz w:val="18"/>
                <w:szCs w:val="18"/>
              </w:rPr>
            </w:r>
            <w:r w:rsidRPr="001570EA">
              <w:rPr>
                <w:sz w:val="18"/>
                <w:szCs w:val="18"/>
              </w:rPr>
              <w:fldChar w:fldCharType="separate"/>
            </w:r>
            <w:r w:rsidR="00234C6C" w:rsidRPr="001570EA">
              <w:rPr>
                <w:sz w:val="18"/>
                <w:szCs w:val="18"/>
              </w:rPr>
              <w:t xml:space="preserve">Table </w:t>
            </w:r>
            <w:r w:rsidR="00234C6C" w:rsidRPr="001570EA">
              <w:rPr>
                <w:noProof/>
                <w:sz w:val="18"/>
                <w:szCs w:val="18"/>
              </w:rPr>
              <w:t>2</w:t>
            </w:r>
            <w:r w:rsidR="00234C6C" w:rsidRPr="001570EA">
              <w:rPr>
                <w:noProof/>
                <w:sz w:val="18"/>
                <w:szCs w:val="18"/>
              </w:rPr>
              <w:noBreakHyphen/>
              <w:t>128</w:t>
            </w:r>
            <w:r w:rsidRPr="001570EA">
              <w:rPr>
                <w:sz w:val="18"/>
                <w:szCs w:val="18"/>
              </w:rPr>
              <w:fldChar w:fldCharType="end"/>
            </w:r>
          </w:p>
        </w:tc>
        <w:tc>
          <w:tcPr>
            <w:tcW w:w="90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510895FE" w14:textId="77777777" w:rsidR="00A80B62" w:rsidRPr="001570EA" w:rsidRDefault="00A80B62">
            <w:pPr>
              <w:spacing w:before="40" w:after="40"/>
              <w:jc w:val="center"/>
              <w:rPr>
                <w:sz w:val="18"/>
                <w:szCs w:val="18"/>
              </w:rPr>
            </w:pPr>
            <w:r w:rsidRPr="001570EA">
              <w:rPr>
                <w:rFonts w:cs="Arial"/>
                <w:sz w:val="18"/>
                <w:szCs w:val="18"/>
              </w:rPr>
              <w:t>3</w:t>
            </w:r>
          </w:p>
        </w:tc>
      </w:tr>
      <w:tr w:rsidR="00A80B62" w:rsidRPr="001570EA" w14:paraId="67C988DF" w14:textId="77777777">
        <w:tc>
          <w:tcPr>
            <w:tcW w:w="3682" w:type="dxa"/>
            <w:tcBorders>
              <w:top w:val="outset" w:sz="6" w:space="0" w:color="auto"/>
              <w:left w:val="single" w:sz="6" w:space="0" w:color="auto"/>
              <w:bottom w:val="single" w:sz="6" w:space="0" w:color="auto"/>
              <w:right w:val="single" w:sz="6" w:space="0" w:color="auto"/>
            </w:tcBorders>
            <w:shd w:val="clear" w:color="auto" w:fill="auto"/>
            <w:vAlign w:val="center"/>
          </w:tcPr>
          <w:p w14:paraId="2DFB72D6" w14:textId="77777777" w:rsidR="00A80B62" w:rsidRPr="001570EA" w:rsidRDefault="00A80B62">
            <w:pPr>
              <w:spacing w:before="40" w:after="40"/>
              <w:ind w:left="76"/>
              <w:jc w:val="left"/>
              <w:rPr>
                <w:rFonts w:cs="Arial"/>
                <w:i/>
                <w:color w:val="000000"/>
                <w:sz w:val="18"/>
                <w:szCs w:val="18"/>
                <w:bdr w:val="none" w:sz="0" w:space="0" w:color="auto" w:frame="1"/>
              </w:rPr>
            </w:pPr>
            <w:r w:rsidRPr="001570EA">
              <w:rPr>
                <w:i/>
                <w:iCs/>
                <w:sz w:val="18"/>
                <w:szCs w:val="18"/>
              </w:rPr>
              <w:t>ISR</w:t>
            </w:r>
            <w:r w:rsidRPr="001570EA">
              <w:rPr>
                <w:iCs/>
                <w:sz w:val="18"/>
                <w:szCs w:val="18"/>
              </w:rPr>
              <w:t>, In-service Rate</w:t>
            </w:r>
          </w:p>
        </w:tc>
        <w:tc>
          <w:tcPr>
            <w:tcW w:w="1350" w:type="dxa"/>
            <w:tcBorders>
              <w:top w:val="outset" w:sz="6" w:space="0" w:color="auto"/>
              <w:left w:val="outset" w:sz="6" w:space="0" w:color="auto"/>
              <w:bottom w:val="single" w:sz="6" w:space="0" w:color="auto"/>
              <w:right w:val="single" w:sz="6" w:space="0" w:color="auto"/>
            </w:tcBorders>
            <w:shd w:val="clear" w:color="auto" w:fill="auto"/>
            <w:vAlign w:val="center"/>
          </w:tcPr>
          <w:p w14:paraId="22713EBB" w14:textId="77777777" w:rsidR="00A80B62" w:rsidRPr="001570EA" w:rsidRDefault="00A80B62">
            <w:pPr>
              <w:spacing w:before="40" w:after="40"/>
              <w:jc w:val="center"/>
              <w:rPr>
                <w:i/>
                <w:sz w:val="18"/>
                <w:szCs w:val="18"/>
                <w:bdr w:val="none" w:sz="0" w:space="0" w:color="auto" w:frame="1"/>
              </w:rPr>
            </w:pPr>
            <w:r w:rsidRPr="001570EA">
              <w:rPr>
                <w:rFonts w:cs="Arial"/>
                <w:i/>
                <w:iCs/>
                <w:sz w:val="18"/>
                <w:szCs w:val="18"/>
              </w:rPr>
              <w:t>%</w:t>
            </w:r>
          </w:p>
        </w:tc>
        <w:tc>
          <w:tcPr>
            <w:tcW w:w="2700" w:type="dxa"/>
            <w:tcBorders>
              <w:top w:val="outset" w:sz="6" w:space="0" w:color="auto"/>
              <w:left w:val="outset" w:sz="6" w:space="0" w:color="auto"/>
              <w:bottom w:val="single" w:sz="6" w:space="0" w:color="auto"/>
              <w:right w:val="single" w:sz="6" w:space="0" w:color="auto"/>
            </w:tcBorders>
            <w:shd w:val="clear" w:color="auto" w:fill="auto"/>
            <w:vAlign w:val="center"/>
          </w:tcPr>
          <w:p w14:paraId="6D804E3E" w14:textId="77777777" w:rsidR="00A80B62" w:rsidRPr="001570EA" w:rsidRDefault="00A80B62">
            <w:pPr>
              <w:spacing w:before="40" w:after="40"/>
              <w:jc w:val="center"/>
              <w:rPr>
                <w:rFonts w:cs="Arial"/>
                <w:sz w:val="18"/>
                <w:szCs w:val="18"/>
              </w:rPr>
            </w:pPr>
            <w:r w:rsidRPr="001570EA">
              <w:rPr>
                <w:rFonts w:cs="Arial"/>
                <w:sz w:val="18"/>
                <w:szCs w:val="18"/>
              </w:rPr>
              <w:t>EDC Data Collection</w:t>
            </w:r>
          </w:p>
          <w:p w14:paraId="6E469735" w14:textId="77777777" w:rsidR="00A80B62" w:rsidRPr="001570EA" w:rsidRDefault="00A80B62">
            <w:pPr>
              <w:spacing w:before="40" w:after="40"/>
              <w:jc w:val="center"/>
              <w:rPr>
                <w:rFonts w:cs="Arial"/>
                <w:sz w:val="18"/>
                <w:szCs w:val="18"/>
              </w:rPr>
            </w:pPr>
            <w:r w:rsidRPr="001570EA">
              <w:rPr>
                <w:rFonts w:cs="Arial"/>
                <w:sz w:val="18"/>
                <w:szCs w:val="18"/>
              </w:rPr>
              <w:t xml:space="preserve">Default = 72% </w:t>
            </w:r>
          </w:p>
        </w:tc>
        <w:tc>
          <w:tcPr>
            <w:tcW w:w="900" w:type="dxa"/>
            <w:tcBorders>
              <w:top w:val="outset" w:sz="6" w:space="0" w:color="auto"/>
              <w:left w:val="outset" w:sz="6" w:space="0" w:color="auto"/>
              <w:bottom w:val="single" w:sz="6" w:space="0" w:color="auto"/>
              <w:right w:val="single" w:sz="6" w:space="0" w:color="auto"/>
            </w:tcBorders>
            <w:shd w:val="clear" w:color="auto" w:fill="auto"/>
            <w:vAlign w:val="center"/>
          </w:tcPr>
          <w:p w14:paraId="2523C1AB" w14:textId="77777777" w:rsidR="00A80B62" w:rsidRPr="001570EA" w:rsidRDefault="00A80B62">
            <w:pPr>
              <w:spacing w:before="40" w:after="40"/>
              <w:jc w:val="center"/>
              <w:rPr>
                <w:rFonts w:cs="Arial"/>
                <w:sz w:val="18"/>
                <w:szCs w:val="18"/>
              </w:rPr>
            </w:pPr>
            <w:r w:rsidRPr="001570EA">
              <w:rPr>
                <w:rFonts w:cs="Arial"/>
                <w:sz w:val="18"/>
                <w:szCs w:val="18"/>
              </w:rPr>
              <w:t>4</w:t>
            </w:r>
          </w:p>
        </w:tc>
      </w:tr>
      <w:tr w:rsidR="00A80B62" w:rsidRPr="001570EA" w14:paraId="63F43C56" w14:textId="77777777">
        <w:tc>
          <w:tcPr>
            <w:tcW w:w="3682" w:type="dxa"/>
            <w:tcBorders>
              <w:top w:val="outset" w:sz="6" w:space="0" w:color="auto"/>
              <w:left w:val="single" w:sz="6" w:space="0" w:color="auto"/>
              <w:bottom w:val="single" w:sz="6" w:space="0" w:color="auto"/>
              <w:right w:val="single" w:sz="6" w:space="0" w:color="auto"/>
            </w:tcBorders>
            <w:shd w:val="clear" w:color="auto" w:fill="auto"/>
            <w:vAlign w:val="center"/>
          </w:tcPr>
          <w:p w14:paraId="3994C55A" w14:textId="77777777" w:rsidR="00A80B62" w:rsidRPr="001570EA" w:rsidRDefault="00A80B62">
            <w:pPr>
              <w:spacing w:before="40" w:after="40"/>
              <w:ind w:left="76"/>
              <w:jc w:val="left"/>
              <w:rPr>
                <w:rFonts w:cs="Arial"/>
                <w:i/>
                <w:color w:val="000000"/>
                <w:sz w:val="18"/>
                <w:szCs w:val="18"/>
                <w:bdr w:val="none" w:sz="0" w:space="0" w:color="auto" w:frame="1"/>
              </w:rPr>
            </w:pPr>
            <w:r w:rsidRPr="001570EA">
              <w:rPr>
                <w:i/>
                <w:iCs/>
                <w:sz w:val="18"/>
                <w:szCs w:val="18"/>
              </w:rPr>
              <w:t xml:space="preserve">RR, </w:t>
            </w:r>
            <w:r w:rsidRPr="001570EA">
              <w:rPr>
                <w:iCs/>
                <w:sz w:val="18"/>
                <w:szCs w:val="18"/>
              </w:rPr>
              <w:t>Realization Rate</w:t>
            </w:r>
            <w:r w:rsidRPr="001570EA">
              <w:rPr>
                <w:i/>
                <w:iCs/>
                <w:sz w:val="18"/>
                <w:szCs w:val="18"/>
              </w:rPr>
              <w:t xml:space="preserve"> </w:t>
            </w:r>
          </w:p>
        </w:tc>
        <w:tc>
          <w:tcPr>
            <w:tcW w:w="1350" w:type="dxa"/>
            <w:tcBorders>
              <w:top w:val="outset" w:sz="6" w:space="0" w:color="auto"/>
              <w:left w:val="outset" w:sz="6" w:space="0" w:color="auto"/>
              <w:bottom w:val="single" w:sz="6" w:space="0" w:color="auto"/>
              <w:right w:val="single" w:sz="6" w:space="0" w:color="auto"/>
            </w:tcBorders>
            <w:shd w:val="clear" w:color="auto" w:fill="auto"/>
            <w:vAlign w:val="center"/>
          </w:tcPr>
          <w:p w14:paraId="1B63EE95" w14:textId="77777777" w:rsidR="00A80B62" w:rsidRPr="001570EA" w:rsidRDefault="00A80B62">
            <w:pPr>
              <w:spacing w:before="40" w:after="40"/>
              <w:jc w:val="center"/>
              <w:rPr>
                <w:i/>
                <w:sz w:val="18"/>
                <w:szCs w:val="18"/>
                <w:bdr w:val="none" w:sz="0" w:space="0" w:color="auto" w:frame="1"/>
              </w:rPr>
            </w:pPr>
            <w:r w:rsidRPr="001570EA">
              <w:rPr>
                <w:rFonts w:cs="Arial"/>
                <w:i/>
                <w:iCs/>
                <w:sz w:val="18"/>
                <w:szCs w:val="18"/>
              </w:rPr>
              <w:t>%</w:t>
            </w:r>
          </w:p>
        </w:tc>
        <w:tc>
          <w:tcPr>
            <w:tcW w:w="2700" w:type="dxa"/>
            <w:tcBorders>
              <w:top w:val="outset" w:sz="6" w:space="0" w:color="auto"/>
              <w:left w:val="outset" w:sz="6" w:space="0" w:color="auto"/>
              <w:bottom w:val="single" w:sz="6" w:space="0" w:color="auto"/>
              <w:right w:val="single" w:sz="6" w:space="0" w:color="auto"/>
            </w:tcBorders>
            <w:shd w:val="clear" w:color="auto" w:fill="auto"/>
            <w:vAlign w:val="center"/>
          </w:tcPr>
          <w:p w14:paraId="63C47848" w14:textId="77777777" w:rsidR="00A80B62" w:rsidRPr="001570EA" w:rsidRDefault="00A80B62">
            <w:pPr>
              <w:spacing w:before="40" w:after="40"/>
              <w:jc w:val="center"/>
              <w:rPr>
                <w:rFonts w:cs="Arial"/>
                <w:sz w:val="18"/>
                <w:szCs w:val="18"/>
              </w:rPr>
            </w:pPr>
            <w:r w:rsidRPr="001570EA">
              <w:rPr>
                <w:rFonts w:cs="Arial"/>
                <w:sz w:val="18"/>
                <w:szCs w:val="18"/>
              </w:rPr>
              <w:t>92%</w:t>
            </w:r>
          </w:p>
        </w:tc>
        <w:tc>
          <w:tcPr>
            <w:tcW w:w="900" w:type="dxa"/>
            <w:tcBorders>
              <w:top w:val="outset" w:sz="6" w:space="0" w:color="auto"/>
              <w:left w:val="outset" w:sz="6" w:space="0" w:color="auto"/>
              <w:bottom w:val="single" w:sz="6" w:space="0" w:color="auto"/>
              <w:right w:val="single" w:sz="6" w:space="0" w:color="auto"/>
            </w:tcBorders>
            <w:shd w:val="clear" w:color="auto" w:fill="auto"/>
            <w:vAlign w:val="center"/>
          </w:tcPr>
          <w:p w14:paraId="03475E2B" w14:textId="77777777" w:rsidR="00A80B62" w:rsidRPr="001570EA" w:rsidRDefault="00A80B62">
            <w:pPr>
              <w:spacing w:before="40" w:after="40"/>
              <w:jc w:val="center"/>
              <w:rPr>
                <w:rFonts w:cs="Arial"/>
                <w:sz w:val="18"/>
                <w:szCs w:val="18"/>
              </w:rPr>
            </w:pPr>
            <w:r w:rsidRPr="001570EA">
              <w:rPr>
                <w:rFonts w:cs="Arial"/>
                <w:sz w:val="18"/>
                <w:szCs w:val="18"/>
              </w:rPr>
              <w:t>3</w:t>
            </w:r>
          </w:p>
        </w:tc>
      </w:tr>
      <w:tr w:rsidR="00A80B62" w:rsidRPr="001570EA" w14:paraId="6F7C88D4" w14:textId="77777777">
        <w:tc>
          <w:tcPr>
            <w:tcW w:w="368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2BBB893C" w14:textId="77777777" w:rsidR="00A80B62" w:rsidRPr="001570EA" w:rsidRDefault="00A80B62">
            <w:pPr>
              <w:spacing w:before="40" w:after="40"/>
              <w:ind w:left="76"/>
              <w:jc w:val="left"/>
              <w:rPr>
                <w:sz w:val="18"/>
                <w:szCs w:val="18"/>
              </w:rPr>
            </w:pPr>
            <w:r w:rsidRPr="001570EA">
              <w:rPr>
                <w:rFonts w:cs="Arial"/>
                <w:i/>
                <w:color w:val="000000"/>
                <w:sz w:val="18"/>
                <w:szCs w:val="18"/>
                <w:bdr w:val="none" w:sz="0" w:space="0" w:color="auto" w:frame="1"/>
              </w:rPr>
              <w:t>ERP</w:t>
            </w:r>
            <w:r w:rsidRPr="001570EA">
              <w:rPr>
                <w:rFonts w:cs="Arial"/>
                <w:color w:val="000000"/>
                <w:sz w:val="18"/>
                <w:szCs w:val="18"/>
                <w:bdr w:val="none" w:sz="0" w:space="0" w:color="auto" w:frame="1"/>
              </w:rPr>
              <w:t>, energy reduction percentage</w:t>
            </w:r>
          </w:p>
        </w:tc>
        <w:tc>
          <w:tcPr>
            <w:tcW w:w="135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548C930B" w14:textId="77777777" w:rsidR="00A80B62" w:rsidRPr="001570EA" w:rsidRDefault="00A80B62">
            <w:pPr>
              <w:spacing w:before="40" w:after="40"/>
              <w:jc w:val="center"/>
              <w:rPr>
                <w:i/>
                <w:sz w:val="18"/>
                <w:szCs w:val="18"/>
              </w:rPr>
            </w:pPr>
            <w:r w:rsidRPr="001570EA">
              <w:rPr>
                <w:i/>
                <w:sz w:val="18"/>
                <w:szCs w:val="18"/>
                <w:bdr w:val="none" w:sz="0" w:space="0" w:color="auto" w:frame="1"/>
              </w:rPr>
              <w:t>%</w:t>
            </w:r>
          </w:p>
        </w:tc>
        <w:tc>
          <w:tcPr>
            <w:tcW w:w="270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2FF1FB71" w14:textId="6128E730" w:rsidR="00A80B62" w:rsidRPr="001570EA" w:rsidRDefault="00A80B62">
            <w:pPr>
              <w:spacing w:before="40" w:after="40"/>
              <w:jc w:val="center"/>
              <w:rPr>
                <w:sz w:val="18"/>
                <w:szCs w:val="18"/>
              </w:rPr>
            </w:pPr>
            <w:r w:rsidRPr="001570EA">
              <w:rPr>
                <w:rFonts w:cs="Arial"/>
                <w:sz w:val="18"/>
                <w:szCs w:val="18"/>
              </w:rPr>
              <w:t xml:space="preserve">See </w:t>
            </w:r>
            <w:r w:rsidRPr="001570EA">
              <w:rPr>
                <w:rFonts w:cs="Arial"/>
                <w:sz w:val="18"/>
                <w:szCs w:val="18"/>
              </w:rPr>
              <w:fldChar w:fldCharType="begin"/>
            </w:r>
            <w:r w:rsidRPr="001570EA">
              <w:rPr>
                <w:rFonts w:cs="Arial"/>
                <w:sz w:val="18"/>
                <w:szCs w:val="18"/>
              </w:rPr>
              <w:instrText xml:space="preserve"> REF _Ref529976133 \h  \* MERGEFORMAT </w:instrText>
            </w:r>
            <w:r w:rsidRPr="001570EA">
              <w:rPr>
                <w:rFonts w:cs="Arial"/>
                <w:sz w:val="18"/>
                <w:szCs w:val="18"/>
              </w:rPr>
            </w:r>
            <w:r w:rsidRPr="001570EA">
              <w:rPr>
                <w:rFonts w:cs="Arial"/>
                <w:sz w:val="18"/>
                <w:szCs w:val="18"/>
              </w:rPr>
              <w:fldChar w:fldCharType="separate"/>
            </w:r>
            <w:r w:rsidR="00234C6C" w:rsidRPr="001570EA">
              <w:rPr>
                <w:sz w:val="18"/>
                <w:szCs w:val="18"/>
              </w:rPr>
              <w:t xml:space="preserve">Table </w:t>
            </w:r>
            <w:r w:rsidR="00234C6C" w:rsidRPr="001570EA">
              <w:rPr>
                <w:noProof/>
                <w:sz w:val="18"/>
                <w:szCs w:val="18"/>
              </w:rPr>
              <w:t>2</w:t>
            </w:r>
            <w:r w:rsidR="00234C6C" w:rsidRPr="001570EA">
              <w:rPr>
                <w:noProof/>
                <w:sz w:val="18"/>
                <w:szCs w:val="18"/>
              </w:rPr>
              <w:noBreakHyphen/>
              <w:t>129</w:t>
            </w:r>
            <w:r w:rsidRPr="001570EA">
              <w:rPr>
                <w:rFonts w:cs="Arial"/>
                <w:sz w:val="18"/>
                <w:szCs w:val="18"/>
              </w:rPr>
              <w:fldChar w:fldCharType="end"/>
            </w:r>
          </w:p>
        </w:tc>
        <w:tc>
          <w:tcPr>
            <w:tcW w:w="900"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7147EDD9" w14:textId="77777777" w:rsidR="00A80B62" w:rsidRPr="001570EA" w:rsidRDefault="00A80B62">
            <w:pPr>
              <w:spacing w:before="40" w:after="40"/>
              <w:jc w:val="center"/>
              <w:rPr>
                <w:sz w:val="18"/>
                <w:szCs w:val="18"/>
              </w:rPr>
            </w:pPr>
            <w:r w:rsidRPr="001570EA">
              <w:rPr>
                <w:rFonts w:cs="Arial"/>
                <w:sz w:val="18"/>
                <w:szCs w:val="18"/>
              </w:rPr>
              <w:t>3</w:t>
            </w:r>
          </w:p>
        </w:tc>
      </w:tr>
      <w:tr w:rsidR="00A80B62" w:rsidRPr="001570EA" w14:paraId="45273904" w14:textId="77777777">
        <w:tc>
          <w:tcPr>
            <w:tcW w:w="3682" w:type="dxa"/>
            <w:tcBorders>
              <w:top w:val="outset" w:sz="6" w:space="0" w:color="auto"/>
              <w:left w:val="single" w:sz="6" w:space="0" w:color="auto"/>
              <w:bottom w:val="outset" w:sz="6" w:space="0" w:color="auto"/>
              <w:right w:val="single" w:sz="6" w:space="0" w:color="auto"/>
            </w:tcBorders>
            <w:shd w:val="clear" w:color="auto" w:fill="auto"/>
            <w:vAlign w:val="center"/>
          </w:tcPr>
          <w:p w14:paraId="179A158B" w14:textId="77777777" w:rsidR="00A80B62" w:rsidRPr="001570EA" w:rsidRDefault="003B5E04">
            <w:pPr>
              <w:spacing w:before="40" w:after="40"/>
              <w:ind w:left="76"/>
              <w:jc w:val="left"/>
              <w:rPr>
                <w:rFonts w:cs="Arial"/>
                <w:i/>
                <w:color w:val="000000"/>
                <w:sz w:val="18"/>
                <w:szCs w:val="18"/>
                <w:bdr w:val="none" w:sz="0" w:space="0" w:color="auto" w:frame="1"/>
              </w:rPr>
            </w:pPr>
            <m:oMath>
              <m:sSub>
                <m:sSubPr>
                  <m:ctrlPr>
                    <w:rPr>
                      <w:rFonts w:ascii="Cambria Math" w:hAnsi="Cambria Math" w:cs="Arial"/>
                      <w:i/>
                      <w:color w:val="000000"/>
                      <w:sz w:val="18"/>
                      <w:szCs w:val="18"/>
                      <w:bdr w:val="none" w:sz="0" w:space="0" w:color="auto" w:frame="1"/>
                    </w:rPr>
                  </m:ctrlPr>
                </m:sSubPr>
                <m:e>
                  <m:r>
                    <w:rPr>
                      <w:rFonts w:ascii="Cambria Math" w:hAnsi="Cambria Math" w:cs="Arial"/>
                      <w:color w:val="000000"/>
                      <w:sz w:val="18"/>
                      <w:szCs w:val="18"/>
                      <w:bdr w:val="none" w:sz="0" w:space="0" w:color="auto" w:frame="1"/>
                    </w:rPr>
                    <m:t>ETDF</m:t>
                  </m:r>
                </m:e>
                <m:sub>
                  <m:r>
                    <w:rPr>
                      <w:rFonts w:ascii="Cambria Math" w:hAnsi="Cambria Math" w:cs="Arial"/>
                      <w:color w:val="000000"/>
                      <w:sz w:val="18"/>
                      <w:szCs w:val="18"/>
                      <w:bdr w:val="none" w:sz="0" w:space="0" w:color="auto" w:frame="1"/>
                    </w:rPr>
                    <m:t>s</m:t>
                  </m:r>
                </m:sub>
              </m:sSub>
            </m:oMath>
            <w:r w:rsidR="00A80B62" w:rsidRPr="001570EA">
              <w:rPr>
                <w:rFonts w:cs="Arial"/>
                <w:i/>
                <w:color w:val="000000"/>
                <w:sz w:val="18"/>
                <w:szCs w:val="18"/>
                <w:bdr w:val="none" w:sz="0" w:space="0" w:color="auto" w:frame="1"/>
              </w:rPr>
              <w:t xml:space="preserve">, </w:t>
            </w:r>
            <w:r w:rsidR="00A80B62" w:rsidRPr="001570EA">
              <w:rPr>
                <w:rFonts w:cs="Arial"/>
                <w:iCs/>
                <w:color w:val="000000"/>
                <w:sz w:val="18"/>
                <w:szCs w:val="18"/>
                <w:bdr w:val="none" w:sz="0" w:space="0" w:color="auto" w:frame="1"/>
              </w:rPr>
              <w:t>Summer energy to demand factor</w:t>
            </w:r>
          </w:p>
        </w:tc>
        <w:tc>
          <w:tcPr>
            <w:tcW w:w="1350" w:type="dxa"/>
            <w:tcBorders>
              <w:top w:val="outset" w:sz="6" w:space="0" w:color="auto"/>
              <w:left w:val="outset" w:sz="6" w:space="0" w:color="auto"/>
              <w:bottom w:val="outset" w:sz="6" w:space="0" w:color="auto"/>
              <w:right w:val="single" w:sz="6" w:space="0" w:color="auto"/>
            </w:tcBorders>
            <w:shd w:val="clear" w:color="auto" w:fill="auto"/>
            <w:vAlign w:val="center"/>
          </w:tcPr>
          <w:p w14:paraId="0D3937F6" w14:textId="77777777" w:rsidR="00A80B62" w:rsidRPr="001570EA" w:rsidRDefault="003B5E04">
            <w:pPr>
              <w:spacing w:before="40" w:after="40"/>
              <w:jc w:val="center"/>
              <w:rPr>
                <w:i/>
                <w:sz w:val="18"/>
                <w:szCs w:val="18"/>
                <w:bdr w:val="none" w:sz="0" w:space="0" w:color="auto" w:frame="1"/>
              </w:rPr>
            </w:pPr>
            <m:oMathPara>
              <m:oMath>
                <m:f>
                  <m:fPr>
                    <m:ctrlPr>
                      <w:rPr>
                        <w:rFonts w:ascii="Cambria Math" w:hAnsi="Cambria Math"/>
                        <w:i/>
                        <w:sz w:val="18"/>
                        <w:szCs w:val="18"/>
                        <w:bdr w:val="none" w:sz="0" w:space="0" w:color="auto" w:frame="1"/>
                      </w:rPr>
                    </m:ctrlPr>
                  </m:fPr>
                  <m:num>
                    <m:r>
                      <w:rPr>
                        <w:rFonts w:ascii="Cambria Math" w:hAnsi="Cambria Math"/>
                        <w:sz w:val="18"/>
                        <w:szCs w:val="18"/>
                        <w:bdr w:val="none" w:sz="0" w:space="0" w:color="auto" w:frame="1"/>
                      </w:rPr>
                      <m:t>kW</m:t>
                    </m:r>
                  </m:num>
                  <m:den>
                    <m:r>
                      <w:rPr>
                        <w:rFonts w:ascii="Cambria Math" w:hAnsi="Cambria Math"/>
                        <w:sz w:val="18"/>
                        <w:szCs w:val="18"/>
                        <w:bdr w:val="none" w:sz="0" w:space="0" w:color="auto" w:frame="1"/>
                      </w:rPr>
                      <m:t>kWh</m:t>
                    </m:r>
                  </m:den>
                </m:f>
              </m:oMath>
            </m:oMathPara>
          </w:p>
        </w:tc>
        <w:tc>
          <w:tcPr>
            <w:tcW w:w="2700" w:type="dxa"/>
            <w:tcBorders>
              <w:top w:val="outset" w:sz="6" w:space="0" w:color="auto"/>
              <w:left w:val="outset" w:sz="6" w:space="0" w:color="auto"/>
              <w:bottom w:val="outset" w:sz="6" w:space="0" w:color="auto"/>
              <w:right w:val="single" w:sz="6" w:space="0" w:color="auto"/>
            </w:tcBorders>
            <w:shd w:val="clear" w:color="auto" w:fill="auto"/>
            <w:vAlign w:val="center"/>
          </w:tcPr>
          <w:p w14:paraId="67249043" w14:textId="77777777" w:rsidR="00A80B62" w:rsidRPr="001570EA" w:rsidRDefault="00A80B62">
            <w:pPr>
              <w:spacing w:before="40" w:after="40"/>
              <w:jc w:val="center"/>
              <w:rPr>
                <w:rFonts w:cs="Arial"/>
                <w:sz w:val="18"/>
                <w:szCs w:val="18"/>
              </w:rPr>
            </w:pPr>
            <w:r w:rsidRPr="001570EA">
              <w:rPr>
                <w:rFonts w:cs="Arial"/>
                <w:sz w:val="18"/>
                <w:szCs w:val="18"/>
              </w:rPr>
              <w:t>0.0001136</w:t>
            </w:r>
          </w:p>
        </w:tc>
        <w:tc>
          <w:tcPr>
            <w:tcW w:w="900" w:type="dxa"/>
            <w:tcBorders>
              <w:top w:val="outset" w:sz="6" w:space="0" w:color="auto"/>
              <w:left w:val="outset" w:sz="6" w:space="0" w:color="auto"/>
              <w:bottom w:val="outset" w:sz="6" w:space="0" w:color="auto"/>
              <w:right w:val="single" w:sz="6" w:space="0" w:color="auto"/>
            </w:tcBorders>
            <w:shd w:val="clear" w:color="auto" w:fill="auto"/>
            <w:vAlign w:val="center"/>
          </w:tcPr>
          <w:p w14:paraId="00BF4784" w14:textId="77777777" w:rsidR="00A80B62" w:rsidRPr="001570EA" w:rsidRDefault="00A80B62">
            <w:pPr>
              <w:spacing w:before="40" w:after="40"/>
              <w:jc w:val="center"/>
              <w:rPr>
                <w:rFonts w:cs="Arial"/>
                <w:sz w:val="18"/>
                <w:szCs w:val="18"/>
              </w:rPr>
            </w:pPr>
            <w:r w:rsidRPr="001570EA">
              <w:rPr>
                <w:rFonts w:cs="Arial"/>
                <w:sz w:val="18"/>
                <w:szCs w:val="18"/>
              </w:rPr>
              <w:t>5</w:t>
            </w:r>
          </w:p>
        </w:tc>
      </w:tr>
      <w:tr w:rsidR="00A80B62" w:rsidRPr="001570EA" w14:paraId="6050179C" w14:textId="77777777">
        <w:tc>
          <w:tcPr>
            <w:tcW w:w="3682" w:type="dxa"/>
            <w:tcBorders>
              <w:top w:val="outset" w:sz="6" w:space="0" w:color="auto"/>
              <w:left w:val="single" w:sz="6" w:space="0" w:color="auto"/>
              <w:bottom w:val="single" w:sz="6" w:space="0" w:color="auto"/>
              <w:right w:val="single" w:sz="6" w:space="0" w:color="auto"/>
            </w:tcBorders>
            <w:shd w:val="clear" w:color="auto" w:fill="auto"/>
            <w:vAlign w:val="center"/>
          </w:tcPr>
          <w:p w14:paraId="0CC332C9" w14:textId="77777777" w:rsidR="00A80B62" w:rsidRPr="001570EA" w:rsidDel="00040845" w:rsidRDefault="003B5E04">
            <w:pPr>
              <w:spacing w:before="40" w:after="40"/>
              <w:ind w:left="76"/>
              <w:jc w:val="left"/>
              <w:rPr>
                <w:rFonts w:cs="Arial"/>
                <w:i/>
                <w:color w:val="000000"/>
                <w:sz w:val="18"/>
                <w:szCs w:val="18"/>
                <w:bdr w:val="none" w:sz="0" w:space="0" w:color="auto" w:frame="1"/>
                <w:vertAlign w:val="subscript"/>
              </w:rPr>
            </w:pPr>
            <m:oMath>
              <m:sSub>
                <m:sSubPr>
                  <m:ctrlPr>
                    <w:rPr>
                      <w:rFonts w:ascii="Cambria Math" w:hAnsi="Cambria Math" w:cs="Arial"/>
                      <w:i/>
                      <w:color w:val="000000"/>
                      <w:sz w:val="18"/>
                      <w:szCs w:val="18"/>
                      <w:bdr w:val="none" w:sz="0" w:space="0" w:color="auto" w:frame="1"/>
                    </w:rPr>
                  </m:ctrlPr>
                </m:sSubPr>
                <m:e>
                  <m:r>
                    <w:rPr>
                      <w:rFonts w:ascii="Cambria Math" w:hAnsi="Cambria Math" w:cs="Arial"/>
                      <w:color w:val="000000"/>
                      <w:sz w:val="18"/>
                      <w:szCs w:val="18"/>
                      <w:bdr w:val="none" w:sz="0" w:space="0" w:color="auto" w:frame="1"/>
                    </w:rPr>
                    <m:t>ETDF</m:t>
                  </m:r>
                </m:e>
                <m:sub>
                  <m:r>
                    <w:rPr>
                      <w:rFonts w:ascii="Cambria Math" w:hAnsi="Cambria Math" w:cs="Arial"/>
                      <w:color w:val="000000"/>
                      <w:sz w:val="18"/>
                      <w:szCs w:val="18"/>
                      <w:bdr w:val="none" w:sz="0" w:space="0" w:color="auto" w:frame="1"/>
                    </w:rPr>
                    <m:t>w</m:t>
                  </m:r>
                </m:sub>
              </m:sSub>
            </m:oMath>
            <w:r w:rsidR="00A80B62" w:rsidRPr="001570EA">
              <w:rPr>
                <w:rFonts w:cs="Arial"/>
                <w:i/>
                <w:color w:val="000000"/>
                <w:sz w:val="18"/>
                <w:szCs w:val="18"/>
                <w:bdr w:val="none" w:sz="0" w:space="0" w:color="auto" w:frame="1"/>
              </w:rPr>
              <w:t xml:space="preserve">, </w:t>
            </w:r>
            <w:r w:rsidR="00A80B62" w:rsidRPr="001570EA">
              <w:rPr>
                <w:rFonts w:cs="Arial"/>
                <w:iCs/>
                <w:color w:val="000000"/>
                <w:sz w:val="18"/>
                <w:szCs w:val="18"/>
                <w:bdr w:val="none" w:sz="0" w:space="0" w:color="auto" w:frame="1"/>
              </w:rPr>
              <w:t>Winter energy to demand factor</w:t>
            </w:r>
          </w:p>
        </w:tc>
        <w:tc>
          <w:tcPr>
            <w:tcW w:w="1350" w:type="dxa"/>
            <w:tcBorders>
              <w:top w:val="outset" w:sz="6" w:space="0" w:color="auto"/>
              <w:left w:val="outset" w:sz="6" w:space="0" w:color="auto"/>
              <w:bottom w:val="single" w:sz="6" w:space="0" w:color="auto"/>
              <w:right w:val="single" w:sz="6" w:space="0" w:color="auto"/>
            </w:tcBorders>
            <w:shd w:val="clear" w:color="auto" w:fill="auto"/>
            <w:vAlign w:val="center"/>
          </w:tcPr>
          <w:p w14:paraId="37801047" w14:textId="77777777" w:rsidR="00A80B62" w:rsidRPr="001570EA" w:rsidDel="00040845" w:rsidRDefault="003B5E04">
            <w:pPr>
              <w:spacing w:before="40" w:after="40"/>
              <w:jc w:val="center"/>
              <w:rPr>
                <w:i/>
                <w:sz w:val="18"/>
                <w:szCs w:val="18"/>
                <w:bdr w:val="none" w:sz="0" w:space="0" w:color="auto" w:frame="1"/>
              </w:rPr>
            </w:pPr>
            <m:oMathPara>
              <m:oMath>
                <m:f>
                  <m:fPr>
                    <m:ctrlPr>
                      <w:rPr>
                        <w:rFonts w:ascii="Cambria Math" w:hAnsi="Cambria Math"/>
                        <w:i/>
                        <w:sz w:val="18"/>
                        <w:szCs w:val="18"/>
                        <w:bdr w:val="none" w:sz="0" w:space="0" w:color="auto" w:frame="1"/>
                      </w:rPr>
                    </m:ctrlPr>
                  </m:fPr>
                  <m:num>
                    <m:r>
                      <w:rPr>
                        <w:rFonts w:ascii="Cambria Math" w:hAnsi="Cambria Math"/>
                        <w:sz w:val="18"/>
                        <w:szCs w:val="18"/>
                        <w:bdr w:val="none" w:sz="0" w:space="0" w:color="auto" w:frame="1"/>
                      </w:rPr>
                      <m:t>kW</m:t>
                    </m:r>
                  </m:num>
                  <m:den>
                    <m:r>
                      <w:rPr>
                        <w:rFonts w:ascii="Cambria Math" w:hAnsi="Cambria Math"/>
                        <w:sz w:val="18"/>
                        <w:szCs w:val="18"/>
                        <w:bdr w:val="none" w:sz="0" w:space="0" w:color="auto" w:frame="1"/>
                      </w:rPr>
                      <m:t>kWh</m:t>
                    </m:r>
                  </m:den>
                </m:f>
              </m:oMath>
            </m:oMathPara>
          </w:p>
        </w:tc>
        <w:tc>
          <w:tcPr>
            <w:tcW w:w="2700" w:type="dxa"/>
            <w:tcBorders>
              <w:top w:val="outset" w:sz="6" w:space="0" w:color="auto"/>
              <w:left w:val="outset" w:sz="6" w:space="0" w:color="auto"/>
              <w:bottom w:val="single" w:sz="6" w:space="0" w:color="auto"/>
              <w:right w:val="single" w:sz="6" w:space="0" w:color="auto"/>
            </w:tcBorders>
            <w:shd w:val="clear" w:color="auto" w:fill="auto"/>
            <w:vAlign w:val="center"/>
          </w:tcPr>
          <w:p w14:paraId="46FD43AB" w14:textId="77777777" w:rsidR="00A80B62" w:rsidRPr="001570EA" w:rsidDel="00040845" w:rsidRDefault="00A80B62">
            <w:pPr>
              <w:spacing w:before="40" w:after="40"/>
              <w:jc w:val="center"/>
              <w:rPr>
                <w:rFonts w:cs="Arial"/>
                <w:sz w:val="18"/>
                <w:szCs w:val="18"/>
              </w:rPr>
            </w:pPr>
            <w:r w:rsidRPr="001570EA">
              <w:rPr>
                <w:rFonts w:cs="Arial"/>
                <w:sz w:val="18"/>
                <w:szCs w:val="18"/>
              </w:rPr>
              <w:t>0.0001463</w:t>
            </w:r>
          </w:p>
        </w:tc>
        <w:tc>
          <w:tcPr>
            <w:tcW w:w="900" w:type="dxa"/>
            <w:tcBorders>
              <w:top w:val="outset" w:sz="6" w:space="0" w:color="auto"/>
              <w:left w:val="outset" w:sz="6" w:space="0" w:color="auto"/>
              <w:bottom w:val="single" w:sz="6" w:space="0" w:color="auto"/>
              <w:right w:val="single" w:sz="6" w:space="0" w:color="auto"/>
            </w:tcBorders>
            <w:shd w:val="clear" w:color="auto" w:fill="auto"/>
            <w:vAlign w:val="center"/>
          </w:tcPr>
          <w:p w14:paraId="7D19C2B8" w14:textId="77777777" w:rsidR="00A80B62" w:rsidRPr="001570EA" w:rsidDel="00B81AAC" w:rsidRDefault="00A80B62">
            <w:pPr>
              <w:spacing w:before="40" w:after="40"/>
              <w:jc w:val="center"/>
              <w:rPr>
                <w:rFonts w:cs="Arial"/>
                <w:sz w:val="18"/>
                <w:szCs w:val="18"/>
              </w:rPr>
            </w:pPr>
            <w:r w:rsidRPr="001570EA">
              <w:rPr>
                <w:rFonts w:cs="Arial"/>
                <w:sz w:val="18"/>
                <w:szCs w:val="18"/>
              </w:rPr>
              <w:t>5</w:t>
            </w:r>
          </w:p>
        </w:tc>
      </w:tr>
    </w:tbl>
    <w:p w14:paraId="7BA6A4CB" w14:textId="77777777" w:rsidR="00A80B62" w:rsidRPr="001570EA" w:rsidRDefault="00A80B62" w:rsidP="00A80B62"/>
    <w:p w14:paraId="430CF9E1" w14:textId="77777777" w:rsidR="00A80B62" w:rsidRPr="001570EA" w:rsidRDefault="00A80B62" w:rsidP="00A80B62">
      <w:pPr>
        <w:rPr>
          <w:sz w:val="18"/>
          <w:szCs w:val="18"/>
        </w:rPr>
      </w:pPr>
      <w:r w:rsidRPr="001570EA">
        <w:rPr>
          <w:sz w:val="18"/>
          <w:szCs w:val="18"/>
        </w:rPr>
        <w:t>The following table shows the Energy Reduction Percentage (ERP) for each strip type and end use.</w:t>
      </w:r>
    </w:p>
    <w:p w14:paraId="63DB0993" w14:textId="77777777" w:rsidR="00A80B62" w:rsidRPr="001570EA" w:rsidRDefault="00A80B62" w:rsidP="00A80B62">
      <w:pPr>
        <w:rPr>
          <w:sz w:val="18"/>
          <w:szCs w:val="18"/>
        </w:rPr>
      </w:pPr>
    </w:p>
    <w:p w14:paraId="650B2843" w14:textId="3E3CB2FA" w:rsidR="00A80B62" w:rsidRPr="001570EA" w:rsidRDefault="00A80B62" w:rsidP="00A80B62">
      <w:pPr>
        <w:pStyle w:val="Caption"/>
      </w:pPr>
      <w:bookmarkStart w:id="1131" w:name="_Ref16241111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128</w:t>
      </w:r>
      <w:r w:rsidR="002E093A" w:rsidRPr="001570EA">
        <w:fldChar w:fldCharType="end"/>
      </w:r>
      <w:bookmarkEnd w:id="1131"/>
      <w:r w:rsidRPr="001570EA">
        <w:t>: Annual Usage by End-use</w:t>
      </w:r>
    </w:p>
    <w:tbl>
      <w:tblPr>
        <w:tblStyle w:val="TableGrid"/>
        <w:tblW w:w="0" w:type="auto"/>
        <w:tblLook w:val="04A0" w:firstRow="1" w:lastRow="0" w:firstColumn="1" w:lastColumn="0" w:noHBand="0" w:noVBand="1"/>
      </w:tblPr>
      <w:tblGrid>
        <w:gridCol w:w="2805"/>
        <w:gridCol w:w="2140"/>
      </w:tblGrid>
      <w:tr w:rsidR="00A80B62" w:rsidRPr="001570EA" w14:paraId="4B6BE049" w14:textId="77777777">
        <w:tc>
          <w:tcPr>
            <w:tcW w:w="2805" w:type="dxa"/>
            <w:shd w:val="clear" w:color="auto" w:fill="BFBFBF" w:themeFill="background1" w:themeFillShade="BF"/>
          </w:tcPr>
          <w:p w14:paraId="781486B3" w14:textId="77777777" w:rsidR="00A80B62" w:rsidRPr="001570EA" w:rsidRDefault="00A80B62">
            <w:pPr>
              <w:keepNext/>
              <w:spacing w:before="40" w:after="40"/>
              <w:rPr>
                <w:b/>
                <w:sz w:val="18"/>
                <w:szCs w:val="18"/>
              </w:rPr>
            </w:pPr>
            <w:r w:rsidRPr="001570EA">
              <w:rPr>
                <w:b/>
                <w:sz w:val="18"/>
                <w:szCs w:val="18"/>
              </w:rPr>
              <w:t>End-Use</w:t>
            </w:r>
          </w:p>
        </w:tc>
        <w:tc>
          <w:tcPr>
            <w:tcW w:w="2140" w:type="dxa"/>
            <w:shd w:val="clear" w:color="auto" w:fill="BFBFBF" w:themeFill="background1" w:themeFillShade="BF"/>
            <w:vAlign w:val="center"/>
          </w:tcPr>
          <w:p w14:paraId="4680849A" w14:textId="77777777" w:rsidR="00A80B62" w:rsidRPr="001570EA" w:rsidRDefault="00A80B62">
            <w:pPr>
              <w:keepNext/>
              <w:spacing w:before="40" w:after="40"/>
              <w:jc w:val="center"/>
              <w:rPr>
                <w:b/>
                <w:sz w:val="18"/>
                <w:szCs w:val="18"/>
              </w:rPr>
            </w:pPr>
            <w:r w:rsidRPr="001570EA">
              <w:rPr>
                <w:b/>
                <w:sz w:val="18"/>
                <w:szCs w:val="18"/>
              </w:rPr>
              <w:t>Annual Usage (</w:t>
            </w:r>
            <m:oMath>
              <m:r>
                <m:rPr>
                  <m:sty m:val="bi"/>
                </m:rPr>
                <w:rPr>
                  <w:rFonts w:ascii="Cambria Math" w:hAnsi="Cambria Math"/>
                  <w:sz w:val="18"/>
                  <w:szCs w:val="18"/>
                </w:rPr>
                <m:t>kWh</m:t>
              </m:r>
            </m:oMath>
            <w:r w:rsidRPr="001570EA">
              <w:rPr>
                <w:b/>
                <w:sz w:val="18"/>
                <w:szCs w:val="18"/>
              </w:rPr>
              <w:t>)</w:t>
            </w:r>
          </w:p>
        </w:tc>
      </w:tr>
      <w:tr w:rsidR="00A80B62" w:rsidRPr="001570EA" w14:paraId="5A626878" w14:textId="77777777">
        <w:tc>
          <w:tcPr>
            <w:tcW w:w="2805" w:type="dxa"/>
          </w:tcPr>
          <w:p w14:paraId="04883048" w14:textId="77777777" w:rsidR="00A80B62" w:rsidRPr="001570EA" w:rsidRDefault="00A80B62">
            <w:pPr>
              <w:keepNext/>
              <w:spacing w:before="40" w:after="40"/>
              <w:rPr>
                <w:sz w:val="18"/>
                <w:szCs w:val="18"/>
              </w:rPr>
            </w:pPr>
            <w:r w:rsidRPr="001570EA">
              <w:rPr>
                <w:sz w:val="18"/>
                <w:szCs w:val="18"/>
              </w:rPr>
              <w:t>Home Entertainment Center</w:t>
            </w:r>
          </w:p>
        </w:tc>
        <w:tc>
          <w:tcPr>
            <w:tcW w:w="2140" w:type="dxa"/>
            <w:vAlign w:val="center"/>
          </w:tcPr>
          <w:p w14:paraId="77B0F2E0" w14:textId="77777777" w:rsidR="00A80B62" w:rsidRPr="001570EA" w:rsidRDefault="00A80B62">
            <w:pPr>
              <w:keepNext/>
              <w:spacing w:before="40" w:after="40"/>
              <w:jc w:val="center"/>
              <w:rPr>
                <w:sz w:val="18"/>
                <w:szCs w:val="18"/>
              </w:rPr>
            </w:pPr>
            <w:r w:rsidRPr="001570EA">
              <w:rPr>
                <w:sz w:val="18"/>
                <w:szCs w:val="18"/>
              </w:rPr>
              <w:t>471</w:t>
            </w:r>
          </w:p>
        </w:tc>
      </w:tr>
      <w:tr w:rsidR="00A80B62" w:rsidRPr="001570EA" w14:paraId="0C9D61CA" w14:textId="77777777">
        <w:tc>
          <w:tcPr>
            <w:tcW w:w="2805" w:type="dxa"/>
          </w:tcPr>
          <w:p w14:paraId="0C4EAF6B" w14:textId="77777777" w:rsidR="00A80B62" w:rsidRPr="001570EA" w:rsidRDefault="00A80B62">
            <w:pPr>
              <w:keepNext/>
              <w:spacing w:before="40" w:after="40"/>
              <w:rPr>
                <w:sz w:val="18"/>
                <w:szCs w:val="18"/>
              </w:rPr>
            </w:pPr>
            <w:r w:rsidRPr="001570EA">
              <w:rPr>
                <w:sz w:val="18"/>
                <w:szCs w:val="18"/>
              </w:rPr>
              <w:t>Home Office</w:t>
            </w:r>
          </w:p>
        </w:tc>
        <w:tc>
          <w:tcPr>
            <w:tcW w:w="2140" w:type="dxa"/>
            <w:vAlign w:val="center"/>
          </w:tcPr>
          <w:p w14:paraId="41AC5DF5" w14:textId="77777777" w:rsidR="00A80B62" w:rsidRPr="001570EA" w:rsidRDefault="00A80B62">
            <w:pPr>
              <w:keepNext/>
              <w:spacing w:before="40" w:after="40"/>
              <w:jc w:val="center"/>
              <w:rPr>
                <w:sz w:val="18"/>
                <w:szCs w:val="18"/>
              </w:rPr>
            </w:pPr>
            <w:r w:rsidRPr="001570EA">
              <w:rPr>
                <w:sz w:val="18"/>
                <w:szCs w:val="18"/>
              </w:rPr>
              <w:t>399</w:t>
            </w:r>
          </w:p>
        </w:tc>
      </w:tr>
      <w:tr w:rsidR="00A80B62" w:rsidRPr="001570EA" w14:paraId="0E11F251" w14:textId="77777777">
        <w:tc>
          <w:tcPr>
            <w:tcW w:w="2805" w:type="dxa"/>
          </w:tcPr>
          <w:p w14:paraId="0CBD376F" w14:textId="77777777" w:rsidR="00A80B62" w:rsidRPr="001570EA" w:rsidRDefault="00A80B62">
            <w:pPr>
              <w:keepNext/>
              <w:spacing w:before="40" w:after="40"/>
              <w:rPr>
                <w:sz w:val="18"/>
                <w:szCs w:val="18"/>
              </w:rPr>
            </w:pPr>
            <w:r w:rsidRPr="001570EA">
              <w:rPr>
                <w:sz w:val="18"/>
                <w:szCs w:val="18"/>
              </w:rPr>
              <w:t>Unspecified</w:t>
            </w:r>
          </w:p>
        </w:tc>
        <w:tc>
          <w:tcPr>
            <w:tcW w:w="2140" w:type="dxa"/>
            <w:vAlign w:val="center"/>
          </w:tcPr>
          <w:p w14:paraId="520467E1" w14:textId="77777777" w:rsidR="00A80B62" w:rsidRPr="001570EA" w:rsidRDefault="00A80B62">
            <w:pPr>
              <w:keepNext/>
              <w:spacing w:before="40" w:after="40"/>
              <w:jc w:val="center"/>
              <w:rPr>
                <w:sz w:val="18"/>
                <w:szCs w:val="18"/>
              </w:rPr>
            </w:pPr>
            <w:r w:rsidRPr="001570EA">
              <w:rPr>
                <w:sz w:val="18"/>
                <w:szCs w:val="18"/>
              </w:rPr>
              <w:t>449</w:t>
            </w:r>
          </w:p>
        </w:tc>
      </w:tr>
    </w:tbl>
    <w:p w14:paraId="7C2A760E" w14:textId="77777777" w:rsidR="00A80B62" w:rsidRPr="001570EA" w:rsidRDefault="00A80B62" w:rsidP="00A80B62">
      <w:pPr>
        <w:rPr>
          <w:sz w:val="18"/>
          <w:szCs w:val="18"/>
        </w:rPr>
      </w:pPr>
    </w:p>
    <w:p w14:paraId="03FFDEB7" w14:textId="793E85B5" w:rsidR="00A80B62" w:rsidRPr="001570EA" w:rsidRDefault="00A80B62" w:rsidP="00A80B62">
      <w:pPr>
        <w:pStyle w:val="Caption"/>
      </w:pPr>
      <w:bookmarkStart w:id="1132" w:name="_Ref529976133"/>
      <w:bookmarkStart w:id="1133" w:name="_Toc4759835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129</w:t>
      </w:r>
      <w:r w:rsidR="002E093A" w:rsidRPr="001570EA">
        <w:fldChar w:fldCharType="end"/>
      </w:r>
      <w:bookmarkEnd w:id="1132"/>
      <w:r w:rsidRPr="001570EA">
        <w:t>: Impact Factors for Advanced Power Strip Types</w:t>
      </w:r>
      <w:bookmarkEnd w:id="1133"/>
    </w:p>
    <w:tbl>
      <w:tblPr>
        <w:tblStyle w:val="TableGrid"/>
        <w:tblW w:w="0" w:type="auto"/>
        <w:tblLook w:val="04A0" w:firstRow="1" w:lastRow="0" w:firstColumn="1" w:lastColumn="0" w:noHBand="0" w:noVBand="1"/>
      </w:tblPr>
      <w:tblGrid>
        <w:gridCol w:w="1870"/>
        <w:gridCol w:w="2805"/>
        <w:gridCol w:w="810"/>
      </w:tblGrid>
      <w:tr w:rsidR="00A80B62" w:rsidRPr="001570EA" w14:paraId="64445748" w14:textId="77777777">
        <w:tc>
          <w:tcPr>
            <w:tcW w:w="1870" w:type="dxa"/>
            <w:shd w:val="clear" w:color="auto" w:fill="BFBFBF" w:themeFill="background1" w:themeFillShade="BF"/>
          </w:tcPr>
          <w:p w14:paraId="0A0FCE0D" w14:textId="77777777" w:rsidR="00A80B62" w:rsidRPr="001570EA" w:rsidRDefault="00A80B62">
            <w:pPr>
              <w:keepNext/>
              <w:spacing w:before="40" w:after="40"/>
              <w:rPr>
                <w:b/>
                <w:sz w:val="18"/>
                <w:szCs w:val="18"/>
              </w:rPr>
            </w:pPr>
            <w:r w:rsidRPr="001570EA">
              <w:rPr>
                <w:b/>
                <w:sz w:val="18"/>
                <w:szCs w:val="18"/>
              </w:rPr>
              <w:t>Strip Type</w:t>
            </w:r>
          </w:p>
        </w:tc>
        <w:tc>
          <w:tcPr>
            <w:tcW w:w="2805" w:type="dxa"/>
            <w:shd w:val="clear" w:color="auto" w:fill="BFBFBF" w:themeFill="background1" w:themeFillShade="BF"/>
          </w:tcPr>
          <w:p w14:paraId="1B608BB6" w14:textId="77777777" w:rsidR="00A80B62" w:rsidRPr="001570EA" w:rsidRDefault="00A80B62">
            <w:pPr>
              <w:keepNext/>
              <w:spacing w:before="40" w:after="40"/>
              <w:rPr>
                <w:b/>
                <w:sz w:val="18"/>
                <w:szCs w:val="18"/>
              </w:rPr>
            </w:pPr>
            <w:r w:rsidRPr="001570EA">
              <w:rPr>
                <w:b/>
                <w:sz w:val="18"/>
                <w:szCs w:val="18"/>
              </w:rPr>
              <w:t>End-Use</w:t>
            </w:r>
          </w:p>
        </w:tc>
        <w:tc>
          <w:tcPr>
            <w:tcW w:w="810" w:type="dxa"/>
            <w:shd w:val="clear" w:color="auto" w:fill="BFBFBF" w:themeFill="background1" w:themeFillShade="BF"/>
            <w:vAlign w:val="center"/>
          </w:tcPr>
          <w:p w14:paraId="61DC876D" w14:textId="77777777" w:rsidR="00A80B62" w:rsidRPr="001570EA" w:rsidRDefault="00A80B62">
            <w:pPr>
              <w:keepNext/>
              <w:spacing w:before="40" w:after="40"/>
              <w:jc w:val="center"/>
              <w:rPr>
                <w:b/>
                <w:sz w:val="18"/>
                <w:szCs w:val="18"/>
              </w:rPr>
            </w:pPr>
            <w:r w:rsidRPr="001570EA">
              <w:rPr>
                <w:b/>
                <w:sz w:val="18"/>
                <w:szCs w:val="18"/>
              </w:rPr>
              <w:t>ERP</w:t>
            </w:r>
          </w:p>
        </w:tc>
      </w:tr>
      <w:tr w:rsidR="00A80B62" w:rsidRPr="001570EA" w14:paraId="6D6EF932" w14:textId="77777777">
        <w:tc>
          <w:tcPr>
            <w:tcW w:w="1870" w:type="dxa"/>
          </w:tcPr>
          <w:p w14:paraId="2CD55A92" w14:textId="77777777" w:rsidR="00A80B62" w:rsidRPr="001570EA" w:rsidRDefault="00A80B62">
            <w:pPr>
              <w:keepNext/>
              <w:spacing w:before="40" w:after="40"/>
              <w:rPr>
                <w:sz w:val="18"/>
                <w:szCs w:val="18"/>
              </w:rPr>
            </w:pPr>
            <w:r w:rsidRPr="001570EA">
              <w:rPr>
                <w:sz w:val="18"/>
                <w:szCs w:val="18"/>
              </w:rPr>
              <w:t>Tier 1</w:t>
            </w:r>
          </w:p>
        </w:tc>
        <w:tc>
          <w:tcPr>
            <w:tcW w:w="2805" w:type="dxa"/>
          </w:tcPr>
          <w:p w14:paraId="10005EB8" w14:textId="77777777" w:rsidR="00A80B62" w:rsidRPr="001570EA" w:rsidRDefault="00A80B62">
            <w:pPr>
              <w:keepNext/>
              <w:spacing w:before="40" w:after="40"/>
              <w:rPr>
                <w:sz w:val="18"/>
                <w:szCs w:val="18"/>
              </w:rPr>
            </w:pPr>
            <w:r w:rsidRPr="001570EA">
              <w:rPr>
                <w:sz w:val="18"/>
                <w:szCs w:val="18"/>
              </w:rPr>
              <w:t>Home Entertainment Center</w:t>
            </w:r>
          </w:p>
        </w:tc>
        <w:tc>
          <w:tcPr>
            <w:tcW w:w="810" w:type="dxa"/>
            <w:vAlign w:val="center"/>
          </w:tcPr>
          <w:p w14:paraId="793E7DD9" w14:textId="77777777" w:rsidR="00A80B62" w:rsidRPr="001570EA" w:rsidRDefault="00A80B62">
            <w:pPr>
              <w:keepNext/>
              <w:spacing w:before="40" w:after="40"/>
              <w:jc w:val="center"/>
              <w:rPr>
                <w:sz w:val="18"/>
                <w:szCs w:val="18"/>
              </w:rPr>
            </w:pPr>
            <w:r w:rsidRPr="001570EA">
              <w:rPr>
                <w:sz w:val="18"/>
                <w:szCs w:val="18"/>
              </w:rPr>
              <w:t>27%</w:t>
            </w:r>
          </w:p>
        </w:tc>
      </w:tr>
      <w:tr w:rsidR="00A80B62" w:rsidRPr="001570EA" w14:paraId="012E06EC" w14:textId="77777777">
        <w:tc>
          <w:tcPr>
            <w:tcW w:w="1870" w:type="dxa"/>
          </w:tcPr>
          <w:p w14:paraId="555AEDAC" w14:textId="77777777" w:rsidR="00A80B62" w:rsidRPr="001570EA" w:rsidRDefault="00A80B62">
            <w:pPr>
              <w:keepNext/>
              <w:spacing w:before="40" w:after="40"/>
              <w:rPr>
                <w:sz w:val="18"/>
                <w:szCs w:val="18"/>
              </w:rPr>
            </w:pPr>
            <w:r w:rsidRPr="001570EA">
              <w:rPr>
                <w:sz w:val="18"/>
                <w:szCs w:val="18"/>
              </w:rPr>
              <w:t>Tier 1</w:t>
            </w:r>
          </w:p>
        </w:tc>
        <w:tc>
          <w:tcPr>
            <w:tcW w:w="2805" w:type="dxa"/>
          </w:tcPr>
          <w:p w14:paraId="1C5CB8BA" w14:textId="77777777" w:rsidR="00A80B62" w:rsidRPr="001570EA" w:rsidRDefault="00A80B62">
            <w:pPr>
              <w:keepNext/>
              <w:spacing w:before="40" w:after="40"/>
              <w:rPr>
                <w:sz w:val="18"/>
                <w:szCs w:val="18"/>
              </w:rPr>
            </w:pPr>
            <w:r w:rsidRPr="001570EA">
              <w:rPr>
                <w:sz w:val="18"/>
                <w:szCs w:val="18"/>
              </w:rPr>
              <w:t>Home Office</w:t>
            </w:r>
          </w:p>
        </w:tc>
        <w:tc>
          <w:tcPr>
            <w:tcW w:w="810" w:type="dxa"/>
            <w:vAlign w:val="center"/>
          </w:tcPr>
          <w:p w14:paraId="2C2777DC" w14:textId="77777777" w:rsidR="00A80B62" w:rsidRPr="001570EA" w:rsidRDefault="00A80B62">
            <w:pPr>
              <w:keepNext/>
              <w:spacing w:before="40" w:after="40"/>
              <w:jc w:val="center"/>
              <w:rPr>
                <w:sz w:val="18"/>
                <w:szCs w:val="18"/>
              </w:rPr>
            </w:pPr>
            <w:r w:rsidRPr="001570EA">
              <w:rPr>
                <w:sz w:val="18"/>
                <w:szCs w:val="18"/>
              </w:rPr>
              <w:t>21%</w:t>
            </w:r>
          </w:p>
        </w:tc>
      </w:tr>
      <w:tr w:rsidR="00A80B62" w:rsidRPr="001570EA" w14:paraId="5CA55C67" w14:textId="77777777">
        <w:tc>
          <w:tcPr>
            <w:tcW w:w="1870" w:type="dxa"/>
          </w:tcPr>
          <w:p w14:paraId="5DCC3099" w14:textId="77777777" w:rsidR="00A80B62" w:rsidRPr="001570EA" w:rsidRDefault="00A80B62">
            <w:pPr>
              <w:keepNext/>
              <w:spacing w:before="40" w:after="40"/>
              <w:rPr>
                <w:sz w:val="18"/>
                <w:szCs w:val="18"/>
              </w:rPr>
            </w:pPr>
            <w:r w:rsidRPr="001570EA">
              <w:rPr>
                <w:sz w:val="18"/>
                <w:szCs w:val="18"/>
              </w:rPr>
              <w:t>Tier 1</w:t>
            </w:r>
          </w:p>
        </w:tc>
        <w:tc>
          <w:tcPr>
            <w:tcW w:w="2805" w:type="dxa"/>
          </w:tcPr>
          <w:p w14:paraId="7D714581" w14:textId="77777777" w:rsidR="00A80B62" w:rsidRPr="001570EA" w:rsidRDefault="00A80B62">
            <w:pPr>
              <w:keepNext/>
              <w:spacing w:before="40" w:after="40"/>
              <w:rPr>
                <w:sz w:val="18"/>
                <w:szCs w:val="18"/>
              </w:rPr>
            </w:pPr>
            <w:r w:rsidRPr="001570EA">
              <w:rPr>
                <w:sz w:val="18"/>
                <w:szCs w:val="18"/>
              </w:rPr>
              <w:t>Unspecified</w:t>
            </w:r>
          </w:p>
        </w:tc>
        <w:tc>
          <w:tcPr>
            <w:tcW w:w="810" w:type="dxa"/>
            <w:vAlign w:val="center"/>
          </w:tcPr>
          <w:p w14:paraId="7D846F0E" w14:textId="77777777" w:rsidR="00A80B62" w:rsidRPr="001570EA" w:rsidRDefault="00A80B62">
            <w:pPr>
              <w:keepNext/>
              <w:spacing w:before="40" w:after="40"/>
              <w:jc w:val="center"/>
              <w:rPr>
                <w:sz w:val="18"/>
                <w:szCs w:val="18"/>
              </w:rPr>
            </w:pPr>
            <w:r w:rsidRPr="001570EA">
              <w:rPr>
                <w:sz w:val="18"/>
                <w:szCs w:val="18"/>
              </w:rPr>
              <w:t>25%</w:t>
            </w:r>
          </w:p>
        </w:tc>
      </w:tr>
      <w:tr w:rsidR="00A80B62" w:rsidRPr="001570EA" w14:paraId="764D7316" w14:textId="77777777">
        <w:tc>
          <w:tcPr>
            <w:tcW w:w="1870" w:type="dxa"/>
          </w:tcPr>
          <w:p w14:paraId="4ED6C00C" w14:textId="77777777" w:rsidR="00A80B62" w:rsidRPr="001570EA" w:rsidRDefault="00A80B62">
            <w:pPr>
              <w:keepNext/>
              <w:spacing w:before="40" w:after="40"/>
              <w:rPr>
                <w:sz w:val="18"/>
                <w:szCs w:val="18"/>
              </w:rPr>
            </w:pPr>
            <w:r w:rsidRPr="001570EA">
              <w:rPr>
                <w:sz w:val="18"/>
                <w:szCs w:val="18"/>
              </w:rPr>
              <w:t>Tier 2</w:t>
            </w:r>
          </w:p>
        </w:tc>
        <w:tc>
          <w:tcPr>
            <w:tcW w:w="2805" w:type="dxa"/>
          </w:tcPr>
          <w:p w14:paraId="1F926407" w14:textId="77777777" w:rsidR="00A80B62" w:rsidRPr="001570EA" w:rsidRDefault="00A80B62">
            <w:pPr>
              <w:keepNext/>
              <w:spacing w:before="40" w:after="40"/>
              <w:rPr>
                <w:sz w:val="18"/>
                <w:szCs w:val="18"/>
              </w:rPr>
            </w:pPr>
            <w:r w:rsidRPr="001570EA">
              <w:rPr>
                <w:sz w:val="18"/>
                <w:szCs w:val="18"/>
              </w:rPr>
              <w:t>Home Entertainment Center</w:t>
            </w:r>
          </w:p>
        </w:tc>
        <w:tc>
          <w:tcPr>
            <w:tcW w:w="810" w:type="dxa"/>
            <w:vAlign w:val="center"/>
          </w:tcPr>
          <w:p w14:paraId="4E1427F3" w14:textId="77777777" w:rsidR="00A80B62" w:rsidRPr="001570EA" w:rsidRDefault="00A80B62">
            <w:pPr>
              <w:keepNext/>
              <w:spacing w:before="40" w:after="40"/>
              <w:jc w:val="center"/>
              <w:rPr>
                <w:sz w:val="18"/>
                <w:szCs w:val="18"/>
              </w:rPr>
            </w:pPr>
            <w:r w:rsidRPr="001570EA">
              <w:rPr>
                <w:sz w:val="18"/>
                <w:szCs w:val="18"/>
              </w:rPr>
              <w:t>44%</w:t>
            </w:r>
          </w:p>
        </w:tc>
      </w:tr>
    </w:tbl>
    <w:p w14:paraId="1444FCB8" w14:textId="77777777" w:rsidR="00A80B62" w:rsidRPr="001570EA" w:rsidRDefault="00A80B62" w:rsidP="00A80B62"/>
    <w:p w14:paraId="3AEA0FB1" w14:textId="77777777" w:rsidR="00F53624" w:rsidRDefault="00F53624" w:rsidP="00A80B62">
      <w:pPr>
        <w:pStyle w:val="SubStyle"/>
      </w:pPr>
    </w:p>
    <w:p w14:paraId="359FDDB6" w14:textId="12329E28" w:rsidR="00A80B62" w:rsidRPr="001570EA" w:rsidRDefault="00A80B62" w:rsidP="00A80B62">
      <w:pPr>
        <w:pStyle w:val="SubStyle"/>
        <w:rPr>
          <w:rFonts w:cs="Arial"/>
          <w:b w:val="0"/>
          <w:bCs/>
          <w:smallCaps w:val="0"/>
          <w:color w:val="1F497D"/>
          <w:sz w:val="24"/>
          <w:szCs w:val="24"/>
        </w:rPr>
      </w:pPr>
      <w:r w:rsidRPr="001570EA">
        <w:t xml:space="preserve">Default Savings </w:t>
      </w:r>
    </w:p>
    <w:p w14:paraId="510951CD" w14:textId="6010DD33" w:rsidR="00A80B62" w:rsidRPr="001570EA" w:rsidRDefault="00A80B62" w:rsidP="00A80B62">
      <w:pPr>
        <w:pStyle w:val="Caption"/>
      </w:pPr>
      <w:bookmarkStart w:id="1134" w:name="_Toc4759835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130</w:t>
      </w:r>
      <w:r w:rsidR="002E093A" w:rsidRPr="001570EA">
        <w:fldChar w:fldCharType="end"/>
      </w:r>
      <w:r w:rsidRPr="001570EA">
        <w:t>: Default Savings for Advanced Power Strips</w:t>
      </w:r>
      <w:bookmarkEnd w:id="1134"/>
    </w:p>
    <w:tbl>
      <w:tblPr>
        <w:tblW w:w="84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3238"/>
        <w:gridCol w:w="1058"/>
        <w:gridCol w:w="1728"/>
        <w:gridCol w:w="1728"/>
      </w:tblGrid>
      <w:tr w:rsidR="00A80B62" w:rsidRPr="001570EA" w14:paraId="6E426871" w14:textId="77777777">
        <w:tc>
          <w:tcPr>
            <w:tcW w:w="716" w:type="dxa"/>
            <w:tcBorders>
              <w:top w:val="single" w:sz="6" w:space="0" w:color="auto"/>
              <w:left w:val="single" w:sz="6" w:space="0" w:color="auto"/>
              <w:bottom w:val="single" w:sz="6" w:space="0" w:color="auto"/>
              <w:right w:val="single" w:sz="6" w:space="0" w:color="auto"/>
            </w:tcBorders>
            <w:shd w:val="clear" w:color="auto" w:fill="BFBFBF"/>
            <w:vAlign w:val="center"/>
          </w:tcPr>
          <w:p w14:paraId="6D9418A3" w14:textId="77777777" w:rsidR="00A80B62" w:rsidRPr="001570EA" w:rsidRDefault="00A80B62">
            <w:pPr>
              <w:spacing w:afterAutospacing="1"/>
              <w:ind w:left="76" w:right="66"/>
              <w:jc w:val="center"/>
              <w:rPr>
                <w:rFonts w:cs="Arial"/>
                <w:b/>
                <w:bCs/>
                <w:sz w:val="18"/>
                <w:szCs w:val="18"/>
              </w:rPr>
            </w:pPr>
            <w:r w:rsidRPr="001570EA">
              <w:rPr>
                <w:rFonts w:cs="Arial"/>
                <w:b/>
                <w:bCs/>
                <w:sz w:val="18"/>
                <w:szCs w:val="18"/>
              </w:rPr>
              <w:t>APS Type</w:t>
            </w:r>
          </w:p>
        </w:tc>
        <w:tc>
          <w:tcPr>
            <w:tcW w:w="3238" w:type="dxa"/>
            <w:tcBorders>
              <w:top w:val="single" w:sz="6" w:space="0" w:color="auto"/>
              <w:left w:val="single" w:sz="6" w:space="0" w:color="auto"/>
              <w:bottom w:val="single" w:sz="6" w:space="0" w:color="auto"/>
              <w:right w:val="single" w:sz="6" w:space="0" w:color="auto"/>
            </w:tcBorders>
            <w:shd w:val="clear" w:color="auto" w:fill="BFBFBF"/>
            <w:vAlign w:val="center"/>
          </w:tcPr>
          <w:p w14:paraId="65820605" w14:textId="77777777" w:rsidR="00A80B62" w:rsidRPr="001570EA" w:rsidRDefault="00A80B62">
            <w:pPr>
              <w:spacing w:afterAutospacing="1"/>
              <w:ind w:left="76" w:right="66"/>
              <w:jc w:val="center"/>
              <w:rPr>
                <w:rFonts w:cs="Arial"/>
                <w:b/>
                <w:bCs/>
                <w:sz w:val="18"/>
                <w:szCs w:val="18"/>
              </w:rPr>
            </w:pPr>
            <w:r w:rsidRPr="001570EA">
              <w:rPr>
                <w:rFonts w:cs="Arial"/>
                <w:b/>
                <w:bCs/>
                <w:sz w:val="18"/>
                <w:szCs w:val="18"/>
              </w:rPr>
              <w:t>End Use</w:t>
            </w:r>
          </w:p>
        </w:tc>
        <w:tc>
          <w:tcPr>
            <w:tcW w:w="1058"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82DE1BB" w14:textId="77777777" w:rsidR="00A80B62" w:rsidRPr="001570EA" w:rsidRDefault="00A80B62">
            <w:pPr>
              <w:spacing w:afterAutospacing="1"/>
              <w:ind w:left="76" w:right="66"/>
              <w:jc w:val="center"/>
            </w:pPr>
            <w:r w:rsidRPr="001570EA">
              <w:rPr>
                <w:rFonts w:cs="Arial"/>
                <w:b/>
                <w:bCs/>
                <w:sz w:val="18"/>
                <w:szCs w:val="18"/>
              </w:rPr>
              <w:t>Energy Savings (</w:t>
            </w:r>
            <m:oMath>
              <m:r>
                <m:rPr>
                  <m:sty m:val="bi"/>
                </m:rPr>
                <w:rPr>
                  <w:rFonts w:ascii="Cambria Math" w:hAnsi="Cambria Math" w:cs="Arial"/>
                  <w:sz w:val="18"/>
                  <w:szCs w:val="18"/>
                </w:rPr>
                <m:t>∆kWh</m:t>
              </m:r>
            </m:oMath>
            <w:r w:rsidRPr="001570EA">
              <w:rPr>
                <w:rFonts w:cs="Arial"/>
                <w:b/>
                <w:bCs/>
                <w:sz w:val="18"/>
                <w:szCs w:val="18"/>
              </w:rPr>
              <w:t>)</w:t>
            </w:r>
          </w:p>
        </w:tc>
        <w:tc>
          <w:tcPr>
            <w:tcW w:w="1728" w:type="dxa"/>
            <w:tcBorders>
              <w:top w:val="single" w:sz="6" w:space="0" w:color="auto"/>
              <w:left w:val="outset" w:sz="6" w:space="0" w:color="auto"/>
              <w:bottom w:val="single" w:sz="6" w:space="0" w:color="auto"/>
              <w:right w:val="single" w:sz="6" w:space="0" w:color="auto"/>
            </w:tcBorders>
            <w:shd w:val="clear" w:color="auto" w:fill="BFBFBF"/>
            <w:vAlign w:val="center"/>
            <w:hideMark/>
          </w:tcPr>
          <w:p w14:paraId="23399CB3" w14:textId="77777777" w:rsidR="00A80B62" w:rsidRPr="001570EA" w:rsidRDefault="00A80B62">
            <w:pPr>
              <w:spacing w:after="100" w:afterAutospacing="1"/>
              <w:ind w:left="114" w:right="142"/>
              <w:jc w:val="center"/>
            </w:pPr>
            <w:r w:rsidRPr="001570EA">
              <w:rPr>
                <w:rFonts w:cs="Arial"/>
                <w:b/>
                <w:bCs/>
                <w:sz w:val="18"/>
                <w:szCs w:val="18"/>
              </w:rPr>
              <w:t>Summer Peak Demand Reduction (</w:t>
            </w:r>
            <m:oMath>
              <m:sSub>
                <m:sSubPr>
                  <m:ctrlPr>
                    <w:rPr>
                      <w:rFonts w:ascii="Cambria Math" w:hAnsi="Cambria Math" w:cs="Arial"/>
                      <w:b/>
                      <w:bCs/>
                      <w:i/>
                      <w:sz w:val="18"/>
                      <w:szCs w:val="18"/>
                    </w:rPr>
                  </m:ctrlPr>
                </m:sSubPr>
                <m:e>
                  <m:r>
                    <m:rPr>
                      <m:sty m:val="bi"/>
                    </m:rPr>
                    <w:rPr>
                      <w:rFonts w:ascii="Cambria Math" w:hAnsi="Cambria Math" w:cs="Arial"/>
                      <w:sz w:val="18"/>
                      <w:szCs w:val="18"/>
                    </w:rPr>
                    <m:t>∆kW</m:t>
                  </m:r>
                </m:e>
                <m:sub>
                  <m:r>
                    <m:rPr>
                      <m:sty m:val="bi"/>
                    </m:rPr>
                    <w:rPr>
                      <w:rFonts w:ascii="Cambria Math" w:hAnsi="Cambria Math" w:cs="Arial"/>
                      <w:sz w:val="18"/>
                      <w:szCs w:val="18"/>
                    </w:rPr>
                    <m:t>summer peak</m:t>
                  </m:r>
                </m:sub>
              </m:sSub>
            </m:oMath>
            <w:r w:rsidRPr="001570EA">
              <w:rPr>
                <w:rFonts w:cs="Arial"/>
                <w:b/>
                <w:bCs/>
                <w:sz w:val="18"/>
                <w:szCs w:val="18"/>
              </w:rPr>
              <w:t>)</w:t>
            </w:r>
          </w:p>
        </w:tc>
        <w:tc>
          <w:tcPr>
            <w:tcW w:w="1728" w:type="dxa"/>
            <w:tcBorders>
              <w:top w:val="single" w:sz="6" w:space="0" w:color="auto"/>
              <w:left w:val="outset" w:sz="6" w:space="0" w:color="auto"/>
              <w:bottom w:val="single" w:sz="6" w:space="0" w:color="auto"/>
              <w:right w:val="single" w:sz="6" w:space="0" w:color="auto"/>
            </w:tcBorders>
            <w:shd w:val="clear" w:color="auto" w:fill="BFBFBF"/>
          </w:tcPr>
          <w:p w14:paraId="743D49BA" w14:textId="77777777" w:rsidR="00A80B62" w:rsidRPr="001570EA" w:rsidRDefault="00A80B62">
            <w:pPr>
              <w:spacing w:after="100" w:afterAutospacing="1"/>
              <w:ind w:left="114" w:right="142"/>
              <w:jc w:val="center"/>
              <w:rPr>
                <w:rFonts w:cs="Arial"/>
                <w:b/>
                <w:bCs/>
                <w:sz w:val="18"/>
                <w:szCs w:val="18"/>
              </w:rPr>
            </w:pPr>
            <w:r w:rsidRPr="001570EA">
              <w:rPr>
                <w:rFonts w:cs="Arial"/>
                <w:b/>
                <w:bCs/>
                <w:sz w:val="18"/>
                <w:szCs w:val="18"/>
              </w:rPr>
              <w:t>Winter Peak Demand Reduction (</w:t>
            </w:r>
            <m:oMath>
              <m:sSub>
                <m:sSubPr>
                  <m:ctrlPr>
                    <w:rPr>
                      <w:rFonts w:ascii="Cambria Math" w:hAnsi="Cambria Math" w:cs="Arial"/>
                      <w:b/>
                      <w:bCs/>
                      <w:i/>
                      <w:sz w:val="18"/>
                      <w:szCs w:val="18"/>
                    </w:rPr>
                  </m:ctrlPr>
                </m:sSubPr>
                <m:e>
                  <m:r>
                    <m:rPr>
                      <m:sty m:val="bi"/>
                    </m:rPr>
                    <w:rPr>
                      <w:rFonts w:ascii="Cambria Math" w:hAnsi="Cambria Math" w:cs="Arial"/>
                      <w:sz w:val="18"/>
                      <w:szCs w:val="18"/>
                    </w:rPr>
                    <m:t>∆kW</m:t>
                  </m:r>
                </m:e>
                <m:sub>
                  <m:r>
                    <m:rPr>
                      <m:sty m:val="bi"/>
                    </m:rPr>
                    <w:rPr>
                      <w:rFonts w:ascii="Cambria Math" w:hAnsi="Cambria Math" w:cs="Arial"/>
                      <w:sz w:val="18"/>
                      <w:szCs w:val="18"/>
                    </w:rPr>
                    <m:t>winter peak</m:t>
                  </m:r>
                </m:sub>
              </m:sSub>
            </m:oMath>
            <w:r w:rsidRPr="001570EA">
              <w:rPr>
                <w:rFonts w:cs="Arial"/>
                <w:b/>
                <w:bCs/>
                <w:sz w:val="18"/>
                <w:szCs w:val="18"/>
              </w:rPr>
              <w:t>)</w:t>
            </w:r>
          </w:p>
        </w:tc>
      </w:tr>
      <w:tr w:rsidR="00A80B62" w:rsidRPr="001570EA" w14:paraId="1AA75E86" w14:textId="77777777">
        <w:trPr>
          <w:trHeight w:val="414"/>
        </w:trPr>
        <w:tc>
          <w:tcPr>
            <w:tcW w:w="716" w:type="dxa"/>
            <w:tcBorders>
              <w:top w:val="outset" w:sz="6" w:space="0" w:color="auto"/>
              <w:left w:val="single" w:sz="6" w:space="0" w:color="auto"/>
              <w:bottom w:val="single" w:sz="6" w:space="0" w:color="auto"/>
              <w:right w:val="single" w:sz="6" w:space="0" w:color="auto"/>
            </w:tcBorders>
            <w:vAlign w:val="center"/>
          </w:tcPr>
          <w:p w14:paraId="04ADAB45" w14:textId="77777777" w:rsidR="00A80B62" w:rsidRPr="001570EA" w:rsidRDefault="00A80B62">
            <w:pPr>
              <w:spacing w:afterAutospacing="1"/>
              <w:ind w:left="76" w:right="66"/>
              <w:jc w:val="center"/>
              <w:rPr>
                <w:rFonts w:cs="Arial"/>
                <w:sz w:val="18"/>
                <w:szCs w:val="18"/>
              </w:rPr>
            </w:pPr>
            <w:r w:rsidRPr="001570EA">
              <w:rPr>
                <w:rFonts w:cs="Arial"/>
                <w:sz w:val="18"/>
                <w:szCs w:val="18"/>
              </w:rPr>
              <w:t>Tier 1</w:t>
            </w:r>
          </w:p>
        </w:tc>
        <w:tc>
          <w:tcPr>
            <w:tcW w:w="3238" w:type="dxa"/>
            <w:tcBorders>
              <w:top w:val="outset" w:sz="6" w:space="0" w:color="auto"/>
              <w:left w:val="single" w:sz="6" w:space="0" w:color="auto"/>
              <w:bottom w:val="single" w:sz="6" w:space="0" w:color="auto"/>
              <w:right w:val="single" w:sz="6" w:space="0" w:color="auto"/>
            </w:tcBorders>
            <w:vAlign w:val="center"/>
          </w:tcPr>
          <w:p w14:paraId="15901F0E" w14:textId="77777777" w:rsidR="00A80B62" w:rsidRPr="001570EA" w:rsidRDefault="00A80B62">
            <w:pPr>
              <w:spacing w:afterAutospacing="1"/>
              <w:ind w:left="76" w:right="66"/>
              <w:jc w:val="center"/>
              <w:rPr>
                <w:rFonts w:cs="Arial"/>
                <w:sz w:val="18"/>
                <w:szCs w:val="18"/>
              </w:rPr>
            </w:pPr>
            <w:r w:rsidRPr="001570EA">
              <w:rPr>
                <w:rFonts w:cs="Arial"/>
                <w:sz w:val="18"/>
                <w:szCs w:val="18"/>
              </w:rPr>
              <w:t>Home Entertainment Center (HEC)</w:t>
            </w:r>
          </w:p>
        </w:tc>
        <w:tc>
          <w:tcPr>
            <w:tcW w:w="1058" w:type="dxa"/>
            <w:tcBorders>
              <w:top w:val="outset" w:sz="6" w:space="0" w:color="auto"/>
              <w:left w:val="single" w:sz="6" w:space="0" w:color="auto"/>
              <w:bottom w:val="single" w:sz="6" w:space="0" w:color="auto"/>
              <w:right w:val="single" w:sz="6" w:space="0" w:color="auto"/>
            </w:tcBorders>
            <w:shd w:val="clear" w:color="auto" w:fill="auto"/>
            <w:vAlign w:val="center"/>
          </w:tcPr>
          <w:p w14:paraId="55041D46" w14:textId="77777777" w:rsidR="00A80B62" w:rsidRPr="001570EA" w:rsidRDefault="00A80B62">
            <w:pPr>
              <w:spacing w:afterAutospacing="1"/>
              <w:ind w:left="76" w:right="66"/>
              <w:jc w:val="center"/>
            </w:pPr>
            <w:r w:rsidRPr="001570EA">
              <w:rPr>
                <w:rFonts w:cs="Arial"/>
                <w:sz w:val="18"/>
                <w:szCs w:val="18"/>
              </w:rPr>
              <w:t>84.2</w:t>
            </w:r>
          </w:p>
        </w:tc>
        <w:tc>
          <w:tcPr>
            <w:tcW w:w="1728" w:type="dxa"/>
            <w:tcBorders>
              <w:top w:val="outset" w:sz="6" w:space="0" w:color="auto"/>
              <w:left w:val="outset" w:sz="6" w:space="0" w:color="auto"/>
              <w:bottom w:val="single" w:sz="6" w:space="0" w:color="auto"/>
              <w:right w:val="single" w:sz="6" w:space="0" w:color="auto"/>
            </w:tcBorders>
            <w:shd w:val="clear" w:color="auto" w:fill="auto"/>
            <w:vAlign w:val="center"/>
          </w:tcPr>
          <w:p w14:paraId="19E3E152" w14:textId="77777777" w:rsidR="00A80B62" w:rsidRPr="001570EA" w:rsidRDefault="00A80B62">
            <w:pPr>
              <w:spacing w:afterAutospacing="1"/>
              <w:ind w:left="114" w:right="142"/>
              <w:jc w:val="center"/>
              <w:rPr>
                <w:sz w:val="18"/>
                <w:szCs w:val="18"/>
              </w:rPr>
            </w:pPr>
            <w:r w:rsidRPr="001570EA">
              <w:rPr>
                <w:sz w:val="18"/>
                <w:szCs w:val="18"/>
              </w:rPr>
              <w:t>0.010</w:t>
            </w:r>
          </w:p>
        </w:tc>
        <w:tc>
          <w:tcPr>
            <w:tcW w:w="1728" w:type="dxa"/>
            <w:tcBorders>
              <w:top w:val="outset" w:sz="6" w:space="0" w:color="auto"/>
              <w:left w:val="outset" w:sz="6" w:space="0" w:color="auto"/>
              <w:bottom w:val="single" w:sz="6" w:space="0" w:color="auto"/>
              <w:right w:val="single" w:sz="6" w:space="0" w:color="auto"/>
            </w:tcBorders>
            <w:vAlign w:val="center"/>
          </w:tcPr>
          <w:p w14:paraId="5647C6ED" w14:textId="77777777" w:rsidR="00A80B62" w:rsidRPr="001570EA" w:rsidRDefault="00A80B62">
            <w:pPr>
              <w:spacing w:afterAutospacing="1"/>
              <w:ind w:left="114" w:right="142"/>
              <w:jc w:val="center"/>
              <w:rPr>
                <w:sz w:val="18"/>
                <w:szCs w:val="18"/>
              </w:rPr>
            </w:pPr>
            <w:r w:rsidRPr="001570EA">
              <w:rPr>
                <w:sz w:val="18"/>
                <w:szCs w:val="18"/>
              </w:rPr>
              <w:t>0.012</w:t>
            </w:r>
          </w:p>
        </w:tc>
      </w:tr>
      <w:tr w:rsidR="00A80B62" w:rsidRPr="001570EA" w14:paraId="23A698FE" w14:textId="77777777">
        <w:trPr>
          <w:trHeight w:val="414"/>
        </w:trPr>
        <w:tc>
          <w:tcPr>
            <w:tcW w:w="716" w:type="dxa"/>
            <w:tcBorders>
              <w:top w:val="outset" w:sz="6" w:space="0" w:color="auto"/>
              <w:left w:val="single" w:sz="6" w:space="0" w:color="auto"/>
              <w:bottom w:val="single" w:sz="6" w:space="0" w:color="auto"/>
              <w:right w:val="single" w:sz="6" w:space="0" w:color="auto"/>
            </w:tcBorders>
            <w:vAlign w:val="center"/>
          </w:tcPr>
          <w:p w14:paraId="21E1E7CA" w14:textId="77777777" w:rsidR="00A80B62" w:rsidRPr="001570EA" w:rsidRDefault="00A80B62">
            <w:pPr>
              <w:spacing w:afterAutospacing="1"/>
              <w:ind w:left="76" w:right="66"/>
              <w:jc w:val="center"/>
              <w:rPr>
                <w:rFonts w:cs="Arial"/>
                <w:sz w:val="18"/>
                <w:szCs w:val="18"/>
              </w:rPr>
            </w:pPr>
            <w:r w:rsidRPr="001570EA">
              <w:rPr>
                <w:rFonts w:cs="Arial"/>
                <w:sz w:val="18"/>
                <w:szCs w:val="18"/>
              </w:rPr>
              <w:t>Tier 1</w:t>
            </w:r>
          </w:p>
        </w:tc>
        <w:tc>
          <w:tcPr>
            <w:tcW w:w="3238" w:type="dxa"/>
            <w:tcBorders>
              <w:top w:val="outset" w:sz="6" w:space="0" w:color="auto"/>
              <w:left w:val="single" w:sz="6" w:space="0" w:color="auto"/>
              <w:bottom w:val="single" w:sz="6" w:space="0" w:color="auto"/>
              <w:right w:val="single" w:sz="6" w:space="0" w:color="auto"/>
            </w:tcBorders>
            <w:vAlign w:val="center"/>
          </w:tcPr>
          <w:p w14:paraId="7285F131" w14:textId="77777777" w:rsidR="00A80B62" w:rsidRPr="001570EA" w:rsidRDefault="00A80B62">
            <w:pPr>
              <w:spacing w:afterAutospacing="1"/>
              <w:ind w:left="76" w:right="66"/>
              <w:jc w:val="center"/>
              <w:rPr>
                <w:rFonts w:cs="Arial"/>
                <w:sz w:val="18"/>
                <w:szCs w:val="18"/>
              </w:rPr>
            </w:pPr>
            <w:r w:rsidRPr="001570EA">
              <w:rPr>
                <w:rFonts w:cs="Arial"/>
                <w:sz w:val="18"/>
                <w:szCs w:val="18"/>
              </w:rPr>
              <w:t>Home Office</w:t>
            </w:r>
          </w:p>
        </w:tc>
        <w:tc>
          <w:tcPr>
            <w:tcW w:w="1058" w:type="dxa"/>
            <w:tcBorders>
              <w:top w:val="outset" w:sz="6" w:space="0" w:color="auto"/>
              <w:left w:val="single" w:sz="6" w:space="0" w:color="auto"/>
              <w:bottom w:val="single" w:sz="6" w:space="0" w:color="auto"/>
              <w:right w:val="single" w:sz="6" w:space="0" w:color="auto"/>
            </w:tcBorders>
            <w:shd w:val="clear" w:color="auto" w:fill="auto"/>
            <w:vAlign w:val="center"/>
          </w:tcPr>
          <w:p w14:paraId="1782E994" w14:textId="77777777" w:rsidR="00A80B62" w:rsidRPr="001570EA" w:rsidRDefault="00A80B62">
            <w:pPr>
              <w:spacing w:afterAutospacing="1"/>
              <w:ind w:left="76" w:right="66"/>
              <w:jc w:val="center"/>
            </w:pPr>
            <w:r w:rsidRPr="001570EA">
              <w:rPr>
                <w:rFonts w:cs="Arial"/>
                <w:sz w:val="18"/>
                <w:szCs w:val="18"/>
              </w:rPr>
              <w:t>55.5</w:t>
            </w:r>
          </w:p>
        </w:tc>
        <w:tc>
          <w:tcPr>
            <w:tcW w:w="1728" w:type="dxa"/>
            <w:tcBorders>
              <w:top w:val="outset" w:sz="6" w:space="0" w:color="auto"/>
              <w:left w:val="outset" w:sz="6" w:space="0" w:color="auto"/>
              <w:bottom w:val="single" w:sz="6" w:space="0" w:color="auto"/>
              <w:right w:val="single" w:sz="6" w:space="0" w:color="auto"/>
            </w:tcBorders>
            <w:shd w:val="clear" w:color="auto" w:fill="auto"/>
            <w:vAlign w:val="center"/>
          </w:tcPr>
          <w:p w14:paraId="14478126" w14:textId="77777777" w:rsidR="00A80B62" w:rsidRPr="001570EA" w:rsidRDefault="00A80B62">
            <w:pPr>
              <w:spacing w:afterAutospacing="1"/>
              <w:ind w:left="114" w:right="142"/>
              <w:jc w:val="center"/>
              <w:rPr>
                <w:sz w:val="18"/>
                <w:szCs w:val="18"/>
              </w:rPr>
            </w:pPr>
            <w:r w:rsidRPr="001570EA">
              <w:rPr>
                <w:rFonts w:cs="Arial"/>
                <w:sz w:val="18"/>
                <w:szCs w:val="18"/>
              </w:rPr>
              <w:t>0.006</w:t>
            </w:r>
          </w:p>
        </w:tc>
        <w:tc>
          <w:tcPr>
            <w:tcW w:w="1728" w:type="dxa"/>
            <w:tcBorders>
              <w:top w:val="outset" w:sz="6" w:space="0" w:color="auto"/>
              <w:left w:val="outset" w:sz="6" w:space="0" w:color="auto"/>
              <w:bottom w:val="single" w:sz="6" w:space="0" w:color="auto"/>
              <w:right w:val="single" w:sz="6" w:space="0" w:color="auto"/>
            </w:tcBorders>
            <w:vAlign w:val="center"/>
          </w:tcPr>
          <w:p w14:paraId="163252FE" w14:textId="77777777" w:rsidR="00A80B62" w:rsidRPr="001570EA" w:rsidRDefault="00A80B62">
            <w:pPr>
              <w:spacing w:afterAutospacing="1"/>
              <w:ind w:left="114" w:right="142"/>
              <w:jc w:val="center"/>
              <w:rPr>
                <w:sz w:val="18"/>
                <w:szCs w:val="18"/>
              </w:rPr>
            </w:pPr>
            <w:r w:rsidRPr="001570EA">
              <w:rPr>
                <w:sz w:val="18"/>
                <w:szCs w:val="18"/>
              </w:rPr>
              <w:t>0.008</w:t>
            </w:r>
          </w:p>
        </w:tc>
      </w:tr>
      <w:tr w:rsidR="00A80B62" w:rsidRPr="001570EA" w14:paraId="3D2E5709" w14:textId="77777777">
        <w:trPr>
          <w:trHeight w:val="414"/>
        </w:trPr>
        <w:tc>
          <w:tcPr>
            <w:tcW w:w="716" w:type="dxa"/>
            <w:tcBorders>
              <w:top w:val="outset" w:sz="6" w:space="0" w:color="auto"/>
              <w:left w:val="single" w:sz="6" w:space="0" w:color="auto"/>
              <w:bottom w:val="single" w:sz="6" w:space="0" w:color="auto"/>
              <w:right w:val="single" w:sz="6" w:space="0" w:color="auto"/>
            </w:tcBorders>
            <w:vAlign w:val="center"/>
          </w:tcPr>
          <w:p w14:paraId="4947FD06" w14:textId="77777777" w:rsidR="00A80B62" w:rsidRPr="001570EA" w:rsidRDefault="00A80B62">
            <w:pPr>
              <w:spacing w:afterAutospacing="1"/>
              <w:ind w:left="76" w:right="66"/>
              <w:jc w:val="center"/>
              <w:rPr>
                <w:rFonts w:cs="Arial"/>
                <w:sz w:val="18"/>
                <w:szCs w:val="18"/>
              </w:rPr>
            </w:pPr>
            <w:r w:rsidRPr="001570EA">
              <w:rPr>
                <w:rFonts w:cs="Arial"/>
                <w:sz w:val="18"/>
                <w:szCs w:val="18"/>
              </w:rPr>
              <w:t>Tier 1</w:t>
            </w:r>
          </w:p>
        </w:tc>
        <w:tc>
          <w:tcPr>
            <w:tcW w:w="3238" w:type="dxa"/>
            <w:tcBorders>
              <w:top w:val="outset" w:sz="6" w:space="0" w:color="auto"/>
              <w:left w:val="single" w:sz="6" w:space="0" w:color="auto"/>
              <w:bottom w:val="single" w:sz="6" w:space="0" w:color="auto"/>
              <w:right w:val="single" w:sz="6" w:space="0" w:color="auto"/>
            </w:tcBorders>
            <w:vAlign w:val="center"/>
          </w:tcPr>
          <w:p w14:paraId="69C2A439" w14:textId="77777777" w:rsidR="00A80B62" w:rsidRPr="001570EA" w:rsidRDefault="00A80B62">
            <w:pPr>
              <w:spacing w:afterAutospacing="1"/>
              <w:ind w:left="76" w:right="66"/>
              <w:jc w:val="center"/>
              <w:rPr>
                <w:rFonts w:cs="Arial"/>
                <w:sz w:val="18"/>
                <w:szCs w:val="18"/>
              </w:rPr>
            </w:pPr>
            <w:r w:rsidRPr="001570EA">
              <w:rPr>
                <w:rFonts w:cs="Arial"/>
                <w:sz w:val="18"/>
                <w:szCs w:val="18"/>
              </w:rPr>
              <w:t>Unspecified use or multiple purchased</w:t>
            </w:r>
          </w:p>
        </w:tc>
        <w:tc>
          <w:tcPr>
            <w:tcW w:w="1058" w:type="dxa"/>
            <w:tcBorders>
              <w:top w:val="outset" w:sz="6" w:space="0" w:color="auto"/>
              <w:left w:val="single" w:sz="6" w:space="0" w:color="auto"/>
              <w:bottom w:val="single" w:sz="6" w:space="0" w:color="auto"/>
              <w:right w:val="single" w:sz="6" w:space="0" w:color="auto"/>
            </w:tcBorders>
            <w:shd w:val="clear" w:color="auto" w:fill="auto"/>
            <w:vAlign w:val="center"/>
          </w:tcPr>
          <w:p w14:paraId="6B22FEC3" w14:textId="77777777" w:rsidR="00A80B62" w:rsidRPr="001570EA" w:rsidRDefault="00A80B62">
            <w:pPr>
              <w:spacing w:afterAutospacing="1"/>
              <w:ind w:left="76" w:right="66"/>
              <w:jc w:val="center"/>
            </w:pPr>
            <w:r w:rsidRPr="001570EA">
              <w:rPr>
                <w:rFonts w:cs="Arial"/>
                <w:sz w:val="18"/>
                <w:szCs w:val="18"/>
              </w:rPr>
              <w:t>74.4</w:t>
            </w:r>
          </w:p>
        </w:tc>
        <w:tc>
          <w:tcPr>
            <w:tcW w:w="1728" w:type="dxa"/>
            <w:tcBorders>
              <w:top w:val="outset" w:sz="6" w:space="0" w:color="auto"/>
              <w:left w:val="outset" w:sz="6" w:space="0" w:color="auto"/>
              <w:bottom w:val="single" w:sz="6" w:space="0" w:color="auto"/>
              <w:right w:val="single" w:sz="6" w:space="0" w:color="auto"/>
            </w:tcBorders>
            <w:shd w:val="clear" w:color="auto" w:fill="auto"/>
            <w:vAlign w:val="center"/>
          </w:tcPr>
          <w:p w14:paraId="389479CC" w14:textId="77777777" w:rsidR="00A80B62" w:rsidRPr="001570EA" w:rsidRDefault="00A80B62">
            <w:pPr>
              <w:spacing w:afterAutospacing="1"/>
              <w:ind w:left="114" w:right="142"/>
              <w:jc w:val="center"/>
              <w:rPr>
                <w:sz w:val="18"/>
                <w:szCs w:val="18"/>
              </w:rPr>
            </w:pPr>
            <w:r w:rsidRPr="001570EA">
              <w:rPr>
                <w:rFonts w:cs="Arial"/>
                <w:sz w:val="18"/>
                <w:szCs w:val="18"/>
              </w:rPr>
              <w:t>0.008</w:t>
            </w:r>
          </w:p>
        </w:tc>
        <w:tc>
          <w:tcPr>
            <w:tcW w:w="1728" w:type="dxa"/>
            <w:tcBorders>
              <w:top w:val="outset" w:sz="6" w:space="0" w:color="auto"/>
              <w:left w:val="outset" w:sz="6" w:space="0" w:color="auto"/>
              <w:bottom w:val="single" w:sz="6" w:space="0" w:color="auto"/>
              <w:right w:val="single" w:sz="6" w:space="0" w:color="auto"/>
            </w:tcBorders>
            <w:vAlign w:val="center"/>
          </w:tcPr>
          <w:p w14:paraId="331163CC" w14:textId="77777777" w:rsidR="00A80B62" w:rsidRPr="001570EA" w:rsidRDefault="00A80B62">
            <w:pPr>
              <w:spacing w:afterAutospacing="1"/>
              <w:ind w:left="114" w:right="142"/>
              <w:jc w:val="center"/>
              <w:rPr>
                <w:sz w:val="18"/>
                <w:szCs w:val="18"/>
              </w:rPr>
            </w:pPr>
            <w:r w:rsidRPr="001570EA">
              <w:rPr>
                <w:sz w:val="18"/>
                <w:szCs w:val="18"/>
              </w:rPr>
              <w:t>0.011</w:t>
            </w:r>
          </w:p>
        </w:tc>
      </w:tr>
      <w:tr w:rsidR="00A80B62" w:rsidRPr="001570EA" w14:paraId="701BC96A" w14:textId="77777777">
        <w:trPr>
          <w:trHeight w:val="414"/>
        </w:trPr>
        <w:tc>
          <w:tcPr>
            <w:tcW w:w="716" w:type="dxa"/>
            <w:tcBorders>
              <w:top w:val="outset" w:sz="6" w:space="0" w:color="auto"/>
              <w:left w:val="single" w:sz="6" w:space="0" w:color="auto"/>
              <w:bottom w:val="single" w:sz="6" w:space="0" w:color="auto"/>
              <w:right w:val="single" w:sz="6" w:space="0" w:color="auto"/>
            </w:tcBorders>
            <w:vAlign w:val="center"/>
          </w:tcPr>
          <w:p w14:paraId="35CDCA83" w14:textId="77777777" w:rsidR="00A80B62" w:rsidRPr="001570EA" w:rsidRDefault="00A80B62">
            <w:pPr>
              <w:spacing w:afterAutospacing="1"/>
              <w:ind w:left="76" w:right="66"/>
              <w:jc w:val="center"/>
              <w:rPr>
                <w:rFonts w:cs="Arial"/>
                <w:sz w:val="18"/>
                <w:szCs w:val="18"/>
              </w:rPr>
            </w:pPr>
            <w:r w:rsidRPr="001570EA">
              <w:rPr>
                <w:rFonts w:cs="Arial"/>
                <w:sz w:val="18"/>
                <w:szCs w:val="18"/>
              </w:rPr>
              <w:t>Tier 2</w:t>
            </w:r>
          </w:p>
        </w:tc>
        <w:tc>
          <w:tcPr>
            <w:tcW w:w="3238" w:type="dxa"/>
            <w:tcBorders>
              <w:top w:val="outset" w:sz="6" w:space="0" w:color="auto"/>
              <w:left w:val="single" w:sz="6" w:space="0" w:color="auto"/>
              <w:bottom w:val="single" w:sz="6" w:space="0" w:color="auto"/>
              <w:right w:val="single" w:sz="6" w:space="0" w:color="auto"/>
            </w:tcBorders>
            <w:vAlign w:val="center"/>
          </w:tcPr>
          <w:p w14:paraId="32DEE00D" w14:textId="77777777" w:rsidR="00A80B62" w:rsidRPr="001570EA" w:rsidRDefault="00A80B62">
            <w:pPr>
              <w:spacing w:afterAutospacing="1"/>
              <w:ind w:left="76" w:right="66"/>
              <w:jc w:val="center"/>
              <w:rPr>
                <w:rFonts w:cs="Arial"/>
                <w:sz w:val="18"/>
                <w:szCs w:val="18"/>
              </w:rPr>
            </w:pPr>
            <w:r w:rsidRPr="001570EA">
              <w:rPr>
                <w:rFonts w:cs="Arial"/>
                <w:sz w:val="18"/>
                <w:szCs w:val="18"/>
              </w:rPr>
              <w:t>Home Entertainment Center (HEC)</w:t>
            </w:r>
          </w:p>
        </w:tc>
        <w:tc>
          <w:tcPr>
            <w:tcW w:w="1058" w:type="dxa"/>
            <w:tcBorders>
              <w:top w:val="outset" w:sz="6" w:space="0" w:color="auto"/>
              <w:left w:val="single" w:sz="6" w:space="0" w:color="auto"/>
              <w:bottom w:val="single" w:sz="6" w:space="0" w:color="auto"/>
              <w:right w:val="single" w:sz="6" w:space="0" w:color="auto"/>
            </w:tcBorders>
            <w:shd w:val="clear" w:color="auto" w:fill="auto"/>
            <w:vAlign w:val="center"/>
          </w:tcPr>
          <w:p w14:paraId="2B46321C" w14:textId="77777777" w:rsidR="00A80B62" w:rsidRPr="001570EA" w:rsidRDefault="00A80B62">
            <w:pPr>
              <w:spacing w:afterAutospacing="1"/>
              <w:ind w:left="76" w:right="66"/>
              <w:jc w:val="center"/>
            </w:pPr>
            <w:r w:rsidRPr="001570EA">
              <w:rPr>
                <w:rFonts w:cs="Arial"/>
                <w:sz w:val="18"/>
                <w:szCs w:val="18"/>
              </w:rPr>
              <w:t>137.3</w:t>
            </w:r>
          </w:p>
        </w:tc>
        <w:tc>
          <w:tcPr>
            <w:tcW w:w="1728" w:type="dxa"/>
            <w:tcBorders>
              <w:top w:val="outset" w:sz="6" w:space="0" w:color="auto"/>
              <w:left w:val="outset" w:sz="6" w:space="0" w:color="auto"/>
              <w:bottom w:val="single" w:sz="6" w:space="0" w:color="auto"/>
              <w:right w:val="single" w:sz="6" w:space="0" w:color="auto"/>
            </w:tcBorders>
            <w:shd w:val="clear" w:color="auto" w:fill="auto"/>
            <w:vAlign w:val="center"/>
          </w:tcPr>
          <w:p w14:paraId="3EFD186A" w14:textId="77777777" w:rsidR="00A80B62" w:rsidRPr="001570EA" w:rsidRDefault="00A80B62">
            <w:pPr>
              <w:spacing w:afterAutospacing="1"/>
              <w:ind w:left="114" w:right="142"/>
              <w:jc w:val="center"/>
            </w:pPr>
            <w:r w:rsidRPr="001570EA">
              <w:rPr>
                <w:rFonts w:cs="Arial"/>
                <w:sz w:val="18"/>
                <w:szCs w:val="18"/>
              </w:rPr>
              <w:t>0.016</w:t>
            </w:r>
          </w:p>
        </w:tc>
        <w:tc>
          <w:tcPr>
            <w:tcW w:w="1728" w:type="dxa"/>
            <w:tcBorders>
              <w:top w:val="outset" w:sz="6" w:space="0" w:color="auto"/>
              <w:left w:val="outset" w:sz="6" w:space="0" w:color="auto"/>
              <w:bottom w:val="single" w:sz="6" w:space="0" w:color="auto"/>
              <w:right w:val="single" w:sz="6" w:space="0" w:color="auto"/>
            </w:tcBorders>
            <w:vAlign w:val="center"/>
          </w:tcPr>
          <w:p w14:paraId="0E9E75D9" w14:textId="77777777" w:rsidR="00A80B62" w:rsidRPr="001570EA" w:rsidRDefault="00A80B62">
            <w:pPr>
              <w:spacing w:afterAutospacing="1"/>
              <w:ind w:left="114" w:right="142"/>
              <w:jc w:val="center"/>
              <w:rPr>
                <w:sz w:val="18"/>
                <w:szCs w:val="18"/>
              </w:rPr>
            </w:pPr>
            <w:r w:rsidRPr="001570EA">
              <w:rPr>
                <w:sz w:val="18"/>
                <w:szCs w:val="18"/>
              </w:rPr>
              <w:t>0.020</w:t>
            </w:r>
          </w:p>
        </w:tc>
      </w:tr>
    </w:tbl>
    <w:p w14:paraId="750AE190" w14:textId="77777777" w:rsidR="00A80B62" w:rsidRPr="001570EA" w:rsidRDefault="00A80B62" w:rsidP="00A80B62">
      <w:pPr>
        <w:rPr>
          <w:rFonts w:cs="Arial"/>
          <w:b/>
          <w:bCs/>
          <w:smallCaps/>
          <w:color w:val="1F497D"/>
        </w:rPr>
      </w:pPr>
    </w:p>
    <w:p w14:paraId="3D7C4D78" w14:textId="77777777" w:rsidR="00A80B62" w:rsidRPr="001570EA" w:rsidRDefault="00A80B62" w:rsidP="00A80B62">
      <w:pPr>
        <w:pStyle w:val="SubStyle"/>
        <w:rPr>
          <w:rFonts w:cs="Arial"/>
          <w:b w:val="0"/>
          <w:bCs/>
          <w:smallCaps w:val="0"/>
          <w:color w:val="1F497D"/>
          <w:sz w:val="24"/>
          <w:szCs w:val="24"/>
        </w:rPr>
      </w:pPr>
      <w:r w:rsidRPr="001570EA">
        <w:t>Evaluation Protocols</w:t>
      </w:r>
    </w:p>
    <w:p w14:paraId="64B4CDAE" w14:textId="77777777" w:rsidR="00A80B62" w:rsidRPr="001570EA" w:rsidRDefault="00A80B62" w:rsidP="00A80B62">
      <w:pPr>
        <w:rPr>
          <w:rFonts w:cs="Arial"/>
        </w:rPr>
      </w:pPr>
      <w:r w:rsidRPr="001570EA">
        <w:rPr>
          <w:rFonts w:cs="Arial"/>
        </w:rPr>
        <w:t>The most appropriate evaluation protocol for this measure is verification of installation coupled with assignment of stipulated energy savings.</w:t>
      </w:r>
    </w:p>
    <w:p w14:paraId="07438B4B" w14:textId="77777777" w:rsidR="00A80B62" w:rsidRPr="001570EA" w:rsidRDefault="00A80B62" w:rsidP="00A80B62">
      <w:pPr>
        <w:rPr>
          <w:rFonts w:cs="Arial"/>
          <w:b/>
          <w:bCs/>
          <w:smallCaps/>
          <w:color w:val="1F497D"/>
        </w:rPr>
      </w:pPr>
    </w:p>
    <w:p w14:paraId="4543721F" w14:textId="77777777" w:rsidR="00A80B62" w:rsidRPr="001570EA" w:rsidRDefault="00A80B62" w:rsidP="00A80B62">
      <w:pPr>
        <w:pStyle w:val="SubStyle"/>
        <w:rPr>
          <w:rFonts w:cs="Arial"/>
          <w:b w:val="0"/>
          <w:bCs/>
          <w:smallCaps w:val="0"/>
          <w:color w:val="1F497D"/>
          <w:sz w:val="24"/>
          <w:szCs w:val="24"/>
        </w:rPr>
      </w:pPr>
      <w:r w:rsidRPr="001570EA">
        <w:t>Sources</w:t>
      </w:r>
    </w:p>
    <w:p w14:paraId="477DD9BE" w14:textId="34BC9673" w:rsidR="00A80B62" w:rsidRPr="001570EA" w:rsidRDefault="00A80B62" w:rsidP="00A80B62">
      <w:pPr>
        <w:numPr>
          <w:ilvl w:val="0"/>
          <w:numId w:val="69"/>
        </w:numPr>
        <w:tabs>
          <w:tab w:val="clear" w:pos="720"/>
        </w:tabs>
        <w:spacing w:after="120"/>
        <w:ind w:left="360"/>
        <w:jc w:val="left"/>
        <w:rPr>
          <w:rFonts w:cs="Arial"/>
        </w:rPr>
      </w:pPr>
      <w:r w:rsidRPr="001570EA">
        <w:rPr>
          <w:rFonts w:cs="Arial"/>
        </w:rPr>
        <w:t xml:space="preserve">California Electronic Technical Reference Manual. “Smart Connected Power Strip”. SWAP010-10. Accessed January 2024. </w:t>
      </w:r>
      <w:hyperlink r:id="rId310" w:history="1">
        <w:r w:rsidRPr="001570EA">
          <w:rPr>
            <w:rStyle w:val="Hyperlink"/>
            <w:rFonts w:cs="Arial"/>
          </w:rPr>
          <w:t>Weblink</w:t>
        </w:r>
      </w:hyperlink>
    </w:p>
    <w:p w14:paraId="421716A1" w14:textId="779E55F9" w:rsidR="00A80B62" w:rsidRPr="001570EA" w:rsidRDefault="00A80B62" w:rsidP="00A80B62">
      <w:pPr>
        <w:numPr>
          <w:ilvl w:val="0"/>
          <w:numId w:val="69"/>
        </w:numPr>
        <w:tabs>
          <w:tab w:val="clear" w:pos="720"/>
        </w:tabs>
        <w:spacing w:after="120"/>
        <w:ind w:left="360"/>
        <w:jc w:val="left"/>
        <w:rPr>
          <w:rFonts w:cs="Arial"/>
        </w:rPr>
      </w:pPr>
      <w:r w:rsidRPr="001570EA">
        <w:rPr>
          <w:rFonts w:cs="Arial"/>
        </w:rPr>
        <w:t>NMR Group for Massachusetts Program Administrators and EEAC. (2018, October). “</w:t>
      </w:r>
      <w:r w:rsidRPr="001570EA">
        <w:t>RLPNC 17-4 and 17-5: Products Impact Evaluation of In-service and Short-Term Retention Rates Study</w:t>
      </w:r>
      <w:r w:rsidRPr="001570EA">
        <w:rPr>
          <w:rFonts w:cs="Arial"/>
        </w:rPr>
        <w:t xml:space="preserve">”. </w:t>
      </w:r>
      <w:hyperlink r:id="rId311" w:history="1">
        <w:r w:rsidRPr="001570EA">
          <w:rPr>
            <w:rStyle w:val="Hyperlink"/>
            <w:rFonts w:cs="Arial"/>
          </w:rPr>
          <w:t>Weblink</w:t>
        </w:r>
      </w:hyperlink>
    </w:p>
    <w:p w14:paraId="0ACBF8B5" w14:textId="3EB9CDFD" w:rsidR="00A80B62" w:rsidRPr="001570EA" w:rsidRDefault="00A80B62" w:rsidP="00A80B62">
      <w:pPr>
        <w:numPr>
          <w:ilvl w:val="0"/>
          <w:numId w:val="69"/>
        </w:numPr>
        <w:tabs>
          <w:tab w:val="clear" w:pos="720"/>
        </w:tabs>
        <w:spacing w:after="120"/>
        <w:ind w:left="360"/>
        <w:jc w:val="left"/>
        <w:rPr>
          <w:rFonts w:cs="Arial"/>
        </w:rPr>
      </w:pPr>
      <w:r w:rsidRPr="001570EA">
        <w:rPr>
          <w:rFonts w:cs="Arial"/>
        </w:rPr>
        <w:t>NMR Group for Massachusetts Program Administrators and EEAC. (2019, March). “RLPNC 17-3: Advanced Power Strip Metering Study,” p</w:t>
      </w:r>
      <w:r w:rsidR="00A236B5">
        <w:rPr>
          <w:rFonts w:cs="Arial"/>
        </w:rPr>
        <w:t>a</w:t>
      </w:r>
      <w:r w:rsidRPr="001570EA">
        <w:rPr>
          <w:rFonts w:cs="Arial"/>
        </w:rPr>
        <w:t>g</w:t>
      </w:r>
      <w:r w:rsidR="00A236B5">
        <w:rPr>
          <w:rFonts w:cs="Arial"/>
        </w:rPr>
        <w:t>e</w:t>
      </w:r>
      <w:r w:rsidRPr="001570EA">
        <w:rPr>
          <w:rFonts w:cs="Arial"/>
        </w:rPr>
        <w:t xml:space="preserve"> 3, Table 1. </w:t>
      </w:r>
      <w:hyperlink r:id="rId312" w:history="1">
        <w:r w:rsidRPr="001570EA">
          <w:rPr>
            <w:rStyle w:val="Hyperlink"/>
            <w:rFonts w:cs="Arial"/>
          </w:rPr>
          <w:t>Weblink</w:t>
        </w:r>
      </w:hyperlink>
    </w:p>
    <w:bookmarkEnd w:id="1127"/>
    <w:p w14:paraId="4E10DF8A" w14:textId="77777777" w:rsidR="00A80B62" w:rsidRPr="00DA1B2E" w:rsidRDefault="00A80B62" w:rsidP="00A80B62">
      <w:pPr>
        <w:numPr>
          <w:ilvl w:val="0"/>
          <w:numId w:val="69"/>
        </w:numPr>
        <w:tabs>
          <w:tab w:val="clear" w:pos="720"/>
        </w:tabs>
        <w:spacing w:after="120"/>
        <w:ind w:left="360"/>
        <w:jc w:val="left"/>
        <w:rPr>
          <w:rFonts w:cs="Arial"/>
        </w:rPr>
      </w:pPr>
      <w:r w:rsidRPr="001570EA">
        <w:rPr>
          <w:rFonts w:cs="Arial"/>
        </w:rPr>
        <w:t xml:space="preserve">Survey and on-site analysis of 17,718 APS installed in Pennsylvania PY13 and PY14 </w:t>
      </w:r>
      <w:r w:rsidRPr="001570EA">
        <w:t xml:space="preserve">kit and </w:t>
      </w:r>
      <w:r w:rsidRPr="00DA1B2E">
        <w:t>direct install programs.</w:t>
      </w:r>
    </w:p>
    <w:p w14:paraId="59DE7ECB" w14:textId="0553DD4B" w:rsidR="00BF2563" w:rsidRPr="001570EA" w:rsidRDefault="00A80B62" w:rsidP="00A80B62">
      <w:pPr>
        <w:numPr>
          <w:ilvl w:val="0"/>
          <w:numId w:val="69"/>
        </w:numPr>
        <w:tabs>
          <w:tab w:val="clear" w:pos="720"/>
        </w:tabs>
        <w:spacing w:after="120"/>
        <w:ind w:left="360"/>
        <w:jc w:val="left"/>
        <w:rPr>
          <w:rStyle w:val="Hyperlink"/>
          <w:rFonts w:cs="Arial"/>
        </w:rPr>
        <w:sectPr w:rsidR="00BF2563" w:rsidRPr="001570EA" w:rsidSect="002D556C">
          <w:footerReference w:type="default" r:id="rId313"/>
          <w:footerReference w:type="first" r:id="rId314"/>
          <w:pgSz w:w="12240" w:h="15840"/>
          <w:pgMar w:top="1440" w:right="1800" w:bottom="1440" w:left="1800" w:header="720" w:footer="720" w:gutter="0"/>
          <w:cols w:space="720"/>
        </w:sectPr>
      </w:pPr>
      <w:r w:rsidRPr="00DA1B2E">
        <w:rPr>
          <w:rFonts w:cs="Arial"/>
        </w:rPr>
        <w:t>Wilson et al. 2021. En</w:t>
      </w:r>
      <w:r w:rsidRPr="001570EA">
        <w:rPr>
          <w:rFonts w:cs="Arial"/>
        </w:rPr>
        <w:t xml:space="preserve">d-Use Load Profiles for the U.S. Building Stock: Methodology and Results of Model Calibration, Validation, and Uncertainty Quantification. NREL/TP-5500-80889. Residential, plug-loads </w:t>
      </w:r>
      <w:hyperlink r:id="rId315" w:history="1">
        <w:r w:rsidRPr="001570EA">
          <w:rPr>
            <w:rStyle w:val="Hyperlink"/>
            <w:rFonts w:cs="Arial"/>
          </w:rPr>
          <w:t xml:space="preserve">Weblink </w:t>
        </w:r>
      </w:hyperlink>
    </w:p>
    <w:p w14:paraId="53A3C776" w14:textId="77777777" w:rsidR="00EA5BBF" w:rsidRPr="001570EA" w:rsidRDefault="00EA5BBF" w:rsidP="00EA5BBF">
      <w:pPr>
        <w:pStyle w:val="Heading2"/>
      </w:pPr>
      <w:bookmarkStart w:id="1135" w:name="_Toc48143055"/>
      <w:bookmarkStart w:id="1136" w:name="_Toc164786676"/>
      <w:bookmarkStart w:id="1137" w:name="_Toc364420796"/>
      <w:bookmarkStart w:id="1138" w:name="_Toc364760911"/>
      <w:r w:rsidRPr="001570EA">
        <w:t>Building Shell</w:t>
      </w:r>
      <w:bookmarkEnd w:id="1135"/>
      <w:bookmarkEnd w:id="1136"/>
    </w:p>
    <w:p w14:paraId="4D27D128" w14:textId="77777777" w:rsidR="00EA5BBF" w:rsidRPr="001570EA" w:rsidRDefault="00EA5BBF" w:rsidP="00C64DB8">
      <w:pPr>
        <w:pStyle w:val="Heading3"/>
      </w:pPr>
      <w:bookmarkStart w:id="1139" w:name="_Residential_Air_Sealing"/>
      <w:bookmarkStart w:id="1140" w:name="_Ref534295556"/>
      <w:bookmarkStart w:id="1141" w:name="_Toc48143056"/>
      <w:bookmarkStart w:id="1142" w:name="_Toc164786677"/>
      <w:bookmarkEnd w:id="1137"/>
      <w:bookmarkEnd w:id="1138"/>
      <w:bookmarkEnd w:id="1139"/>
      <w:r w:rsidRPr="001570EA">
        <w:t>Residential Air Sealing</w:t>
      </w:r>
      <w:bookmarkEnd w:id="1140"/>
      <w:bookmarkEnd w:id="1141"/>
      <w:bookmarkEnd w:id="114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4971"/>
      </w:tblGrid>
      <w:tr w:rsidR="00EA5BBF" w:rsidRPr="001570EA" w14:paraId="7F661F3D" w14:textId="77777777">
        <w:trPr>
          <w:trHeight w:hRule="exact" w:val="523"/>
        </w:trPr>
        <w:tc>
          <w:tcPr>
            <w:tcW w:w="3551" w:type="dxa"/>
            <w:shd w:val="clear" w:color="auto" w:fill="auto"/>
            <w:vAlign w:val="center"/>
          </w:tcPr>
          <w:p w14:paraId="0B8FDCD4" w14:textId="77777777" w:rsidR="00EA5BBF" w:rsidRPr="001570EA" w:rsidRDefault="00EA5BBF">
            <w:pPr>
              <w:pStyle w:val="TableCell"/>
              <w:spacing w:before="0" w:after="0"/>
              <w:jc w:val="left"/>
              <w:rPr>
                <w:b/>
                <w:bCs/>
                <w:sz w:val="20"/>
              </w:rPr>
            </w:pPr>
            <w:r w:rsidRPr="001570EA">
              <w:rPr>
                <w:b/>
                <w:bCs/>
              </w:rPr>
              <w:t>Target Sector</w:t>
            </w:r>
          </w:p>
        </w:tc>
        <w:tc>
          <w:tcPr>
            <w:tcW w:w="4971" w:type="dxa"/>
            <w:shd w:val="clear" w:color="auto" w:fill="auto"/>
            <w:vAlign w:val="center"/>
          </w:tcPr>
          <w:p w14:paraId="291756B5" w14:textId="77777777" w:rsidR="00EA5BBF" w:rsidRPr="001570EA" w:rsidRDefault="00EA5BBF">
            <w:pPr>
              <w:pStyle w:val="TableCell"/>
              <w:spacing w:before="0" w:after="0"/>
              <w:jc w:val="center"/>
              <w:rPr>
                <w:rFonts w:ascii="Arial,Arial Unicode MS" w:eastAsia="Arial,Arial Unicode MS" w:hAnsi="Arial,Arial Unicode MS" w:cs="Arial,Arial Unicode MS"/>
                <w:i/>
                <w:iCs/>
                <w:sz w:val="20"/>
              </w:rPr>
            </w:pPr>
            <w:r w:rsidRPr="001570EA">
              <w:t>Residential, limited to single family detached houses</w:t>
            </w:r>
          </w:p>
        </w:tc>
      </w:tr>
      <w:tr w:rsidR="00EA5BBF" w:rsidRPr="001570EA" w14:paraId="71041F8A" w14:textId="77777777">
        <w:trPr>
          <w:trHeight w:hRule="exact" w:val="360"/>
        </w:trPr>
        <w:tc>
          <w:tcPr>
            <w:tcW w:w="3551" w:type="dxa"/>
            <w:shd w:val="clear" w:color="auto" w:fill="auto"/>
            <w:vAlign w:val="center"/>
          </w:tcPr>
          <w:p w14:paraId="0BC95DED" w14:textId="77777777" w:rsidR="00EA5BBF" w:rsidRPr="001570EA" w:rsidRDefault="00EA5BBF">
            <w:pPr>
              <w:pStyle w:val="TableCell"/>
              <w:spacing w:before="0" w:after="0"/>
              <w:jc w:val="left"/>
              <w:rPr>
                <w:b/>
                <w:bCs/>
                <w:sz w:val="20"/>
              </w:rPr>
            </w:pPr>
            <w:r w:rsidRPr="001570EA">
              <w:rPr>
                <w:b/>
                <w:bCs/>
              </w:rPr>
              <w:t>Measure Unit</w:t>
            </w:r>
          </w:p>
        </w:tc>
        <w:tc>
          <w:tcPr>
            <w:tcW w:w="4971" w:type="dxa"/>
            <w:shd w:val="clear" w:color="auto" w:fill="auto"/>
            <w:vAlign w:val="center"/>
          </w:tcPr>
          <w:p w14:paraId="4724FCD4" w14:textId="77777777" w:rsidR="00EA5BBF" w:rsidRPr="001570EA" w:rsidRDefault="00EA5BBF">
            <w:pPr>
              <w:pStyle w:val="TableCell"/>
              <w:spacing w:before="0" w:after="0"/>
              <w:jc w:val="center"/>
              <w:rPr>
                <w:rFonts w:ascii="Arial,Arial Unicode MS" w:eastAsia="Arial,Arial Unicode MS" w:hAnsi="Arial,Arial Unicode MS" w:cs="Arial,Arial Unicode MS"/>
                <w:i/>
                <w:iCs/>
                <w:sz w:val="20"/>
              </w:rPr>
            </w:pPr>
            <w:r w:rsidRPr="001570EA">
              <w:t>Residential Air Sealing</w:t>
            </w:r>
          </w:p>
        </w:tc>
      </w:tr>
      <w:tr w:rsidR="00EA5BBF" w:rsidRPr="001570EA" w14:paraId="713DBB21" w14:textId="77777777">
        <w:trPr>
          <w:trHeight w:hRule="exact" w:val="360"/>
        </w:trPr>
        <w:tc>
          <w:tcPr>
            <w:tcW w:w="3551" w:type="dxa"/>
            <w:shd w:val="clear" w:color="auto" w:fill="auto"/>
            <w:vAlign w:val="center"/>
          </w:tcPr>
          <w:p w14:paraId="463AD8C2" w14:textId="77777777" w:rsidR="00EA5BBF" w:rsidRPr="001570EA" w:rsidRDefault="00EA5BBF">
            <w:pPr>
              <w:pStyle w:val="TableCell"/>
              <w:spacing w:before="0" w:after="0"/>
              <w:jc w:val="left"/>
              <w:rPr>
                <w:b/>
                <w:bCs/>
                <w:sz w:val="20"/>
              </w:rPr>
            </w:pPr>
            <w:r w:rsidRPr="001570EA">
              <w:rPr>
                <w:b/>
                <w:bCs/>
              </w:rPr>
              <w:t>Measure Life</w:t>
            </w:r>
          </w:p>
        </w:tc>
        <w:tc>
          <w:tcPr>
            <w:tcW w:w="4971" w:type="dxa"/>
            <w:shd w:val="clear" w:color="auto" w:fill="auto"/>
            <w:vAlign w:val="center"/>
          </w:tcPr>
          <w:p w14:paraId="5A9A6C68" w14:textId="5545FF9E" w:rsidR="00EA5BBF" w:rsidRPr="001570EA" w:rsidRDefault="00EA5BBF">
            <w:pPr>
              <w:pStyle w:val="TableCell"/>
              <w:spacing w:before="0" w:after="0"/>
              <w:jc w:val="center"/>
              <w:rPr>
                <w:rFonts w:ascii="Arial,Arial Unicode MS" w:eastAsia="Arial,Arial Unicode MS" w:hAnsi="Arial,Arial Unicode MS" w:cs="Arial,Arial Unicode MS"/>
                <w:i/>
                <w:iCs/>
                <w:sz w:val="20"/>
              </w:rPr>
            </w:pPr>
            <w:r w:rsidRPr="001570EA">
              <w:t>15 years</w:t>
            </w:r>
            <w:r w:rsidRPr="001570EA">
              <w:rPr>
                <w:vertAlign w:val="superscript"/>
              </w:rPr>
              <w:t>Source 1</w:t>
            </w:r>
          </w:p>
        </w:tc>
      </w:tr>
      <w:tr w:rsidR="00EA5BBF" w:rsidRPr="001570EA" w14:paraId="4D3A878C" w14:textId="77777777">
        <w:trPr>
          <w:trHeight w:hRule="exact" w:val="360"/>
        </w:trPr>
        <w:tc>
          <w:tcPr>
            <w:tcW w:w="3551" w:type="dxa"/>
            <w:shd w:val="clear" w:color="auto" w:fill="auto"/>
            <w:vAlign w:val="center"/>
          </w:tcPr>
          <w:p w14:paraId="6840C9A9" w14:textId="77777777" w:rsidR="00EA5BBF" w:rsidRPr="001570EA" w:rsidRDefault="00EA5BBF">
            <w:pPr>
              <w:pStyle w:val="TableCell"/>
              <w:spacing w:before="0" w:after="0"/>
              <w:jc w:val="left"/>
              <w:rPr>
                <w:b/>
              </w:rPr>
            </w:pPr>
            <w:r w:rsidRPr="001570EA">
              <w:rPr>
                <w:b/>
              </w:rPr>
              <w:t>Vintage</w:t>
            </w:r>
          </w:p>
        </w:tc>
        <w:tc>
          <w:tcPr>
            <w:tcW w:w="4971" w:type="dxa"/>
            <w:shd w:val="clear" w:color="auto" w:fill="auto"/>
            <w:vAlign w:val="center"/>
          </w:tcPr>
          <w:p w14:paraId="18854F29" w14:textId="77777777" w:rsidR="00EA5BBF" w:rsidRPr="001570EA" w:rsidRDefault="00EA5BBF">
            <w:pPr>
              <w:pStyle w:val="TableCell"/>
              <w:spacing w:before="0" w:after="0"/>
              <w:jc w:val="center"/>
            </w:pPr>
            <w:r w:rsidRPr="001570EA">
              <w:t>Retrofit</w:t>
            </w:r>
          </w:p>
        </w:tc>
      </w:tr>
    </w:tbl>
    <w:p w14:paraId="596EF3C7" w14:textId="77777777" w:rsidR="00EA5BBF" w:rsidRPr="001570EA" w:rsidRDefault="00EA5BBF" w:rsidP="00EA5BBF"/>
    <w:p w14:paraId="108B050B" w14:textId="77777777" w:rsidR="00EA5BBF" w:rsidRPr="001570EA" w:rsidRDefault="00EA5BBF" w:rsidP="00EA5BBF">
      <w:pPr>
        <w:widowControl w:val="0"/>
        <w:spacing w:after="240"/>
        <w:rPr>
          <w:rFonts w:eastAsiaTheme="minorEastAsia" w:cs="Arial"/>
        </w:rPr>
      </w:pPr>
      <w:r w:rsidRPr="001570EA">
        <w:rPr>
          <w:rFonts w:eastAsiaTheme="minorEastAsia" w:cs="Arial"/>
        </w:rPr>
        <w:t>Thermal shell air leaks are sealed through strategic use and installation of air-tight materials. Leaks are detected and leakage rates measured with the assistance of a blower-door test. This measure applies to the sealing of thermal shell air leaks in existing residential homes with a primary electric heating and/or cooling source.</w:t>
      </w:r>
    </w:p>
    <w:p w14:paraId="404D321D" w14:textId="77777777" w:rsidR="00EA5BBF" w:rsidRPr="001570EA" w:rsidRDefault="00EA5BBF" w:rsidP="00EA5BBF">
      <w:pPr>
        <w:pStyle w:val="SubStyle"/>
      </w:pPr>
      <w:r w:rsidRPr="001570EA">
        <w:t>Eligibility</w:t>
      </w:r>
    </w:p>
    <w:p w14:paraId="6C88686F" w14:textId="77777777" w:rsidR="00EA5BBF" w:rsidRPr="001570EA" w:rsidRDefault="00EA5BBF" w:rsidP="00EA5BBF">
      <w:pPr>
        <w:rPr>
          <w:rFonts w:eastAsiaTheme="minorEastAsia" w:cs="Arial"/>
        </w:rPr>
      </w:pPr>
      <w:r w:rsidRPr="001570EA">
        <w:rPr>
          <w:rFonts w:eastAsiaTheme="minorEastAsia" w:cs="Arial"/>
        </w:rPr>
        <w:t>This measure is applicable to single family detached (including manufactured and mobile homes) houses only.</w:t>
      </w:r>
    </w:p>
    <w:p w14:paraId="481B6BBA" w14:textId="77777777" w:rsidR="00EA5BBF" w:rsidRPr="001570EA" w:rsidRDefault="00EA5BBF" w:rsidP="00EA5BBF">
      <w:pPr>
        <w:rPr>
          <w:rFonts w:eastAsiaTheme="minorEastAsia" w:cs="Arial"/>
        </w:rPr>
      </w:pPr>
    </w:p>
    <w:p w14:paraId="5F008CB8" w14:textId="77777777" w:rsidR="00EA5BBF" w:rsidRPr="001570EA" w:rsidRDefault="00EA5BBF" w:rsidP="00EA5BBF">
      <w:pPr>
        <w:widowControl w:val="0"/>
        <w:spacing w:after="240"/>
        <w:rPr>
          <w:rFonts w:eastAsiaTheme="minorEastAsia" w:cs="Arial"/>
        </w:rPr>
      </w:pPr>
      <w:r w:rsidRPr="001570EA">
        <w:rPr>
          <w:rFonts w:eastAsiaTheme="minorEastAsia" w:cs="Arial"/>
        </w:rPr>
        <w:t>The baseline for this measure is the existing air leakage as determined through approved and appropriate blower door testing methods. The baseline condition of a building upon first inspection significantly impacts the opportunity for cost-effective energy savings through air-sealing.</w:t>
      </w:r>
    </w:p>
    <w:p w14:paraId="332359FE" w14:textId="77777777" w:rsidR="00EA5BBF" w:rsidRPr="001570EA" w:rsidRDefault="00EA5BBF" w:rsidP="00EA5BBF">
      <w:pPr>
        <w:rPr>
          <w:rFonts w:eastAsiaTheme="minorEastAsia" w:cs="Arial"/>
        </w:rPr>
      </w:pPr>
      <w:r w:rsidRPr="001570EA">
        <w:rPr>
          <w:rFonts w:eastAsiaTheme="minorEastAsia" w:cs="Arial"/>
        </w:rPr>
        <w:t>Air sealing materials and diagnostic testing should meet all qualification criteria for program eligibility. The initial and final tested leakage rates should be performed in such a manner that the identified reductions can be properly discerned, particularly in situations where multiple building envelope measures may be implemented simultaneously.</w:t>
      </w:r>
    </w:p>
    <w:p w14:paraId="6E40355F" w14:textId="77777777" w:rsidR="00EA5BBF" w:rsidRPr="001570EA" w:rsidRDefault="00EA5BBF" w:rsidP="00EA5BBF">
      <w:pPr>
        <w:rPr>
          <w:rFonts w:cs="Arial"/>
        </w:rPr>
      </w:pPr>
    </w:p>
    <w:p w14:paraId="304C5E05" w14:textId="77777777" w:rsidR="00EA5BBF" w:rsidRPr="001570EA" w:rsidRDefault="00EA5BBF" w:rsidP="00EA5BBF">
      <w:pPr>
        <w:rPr>
          <w:rFonts w:eastAsiaTheme="minorEastAsia" w:cs="Arial"/>
        </w:rPr>
      </w:pPr>
      <w:r w:rsidRPr="001570EA">
        <w:rPr>
          <w:rFonts w:eastAsiaTheme="minorEastAsia" w:cs="Arial"/>
        </w:rPr>
        <w:t>For example, if air sealing, duct sealing and insulation are all installed as a whole home retrofit, efforts should be made to isolate the CFM reductions of each measure. This may require performance of a blower door test between each measure installation. Alternatively, the baseline blower door test may be performed after the duct sealing is completed, then air sealing measures installed and the retrofit blower door test completed prior to installation of the new insulation.</w:t>
      </w:r>
    </w:p>
    <w:p w14:paraId="7CBFBDDB" w14:textId="77777777" w:rsidR="00EA5BBF" w:rsidRPr="001570EA" w:rsidRDefault="00EA5BBF" w:rsidP="00EA5BBF">
      <w:pPr>
        <w:rPr>
          <w:rFonts w:cs="Arial"/>
        </w:rPr>
      </w:pPr>
    </w:p>
    <w:p w14:paraId="62E364CE" w14:textId="77777777" w:rsidR="00EA5BBF" w:rsidRPr="001570EA" w:rsidRDefault="00EA5BBF" w:rsidP="00EA5BBF">
      <w:pPr>
        <w:rPr>
          <w:rFonts w:eastAsiaTheme="minorEastAsia" w:cs="Arial"/>
          <w:vertAlign w:val="superscript"/>
        </w:rPr>
      </w:pPr>
      <w:r w:rsidRPr="001570EA">
        <w:rPr>
          <w:rFonts w:eastAsiaTheme="minorEastAsia" w:cs="Arial"/>
        </w:rPr>
        <w:t xml:space="preserve">In addition, </w:t>
      </w:r>
      <w:r w:rsidRPr="001570EA">
        <w:rPr>
          <w:rFonts w:eastAsiaTheme="minorEastAsia" w:cs="Arial"/>
          <w:b/>
          <w:bCs/>
        </w:rPr>
        <w:t>savings are capped at 40% of the building’s heating/cooling load</w:t>
      </w:r>
      <w:r w:rsidRPr="001570EA">
        <w:rPr>
          <w:rFonts w:eastAsiaTheme="minorEastAsia" w:cs="Arial"/>
        </w:rPr>
        <w:t>.</w:t>
      </w:r>
      <w:r w:rsidRPr="001570EA">
        <w:rPr>
          <w:rFonts w:eastAsiaTheme="minorEastAsia" w:cs="Arial"/>
          <w:vertAlign w:val="superscript"/>
        </w:rPr>
        <w:t>Source 2</w:t>
      </w:r>
    </w:p>
    <w:p w14:paraId="489F228E" w14:textId="77777777" w:rsidR="00EA5BBF" w:rsidRPr="001570EA" w:rsidRDefault="00EA5BBF" w:rsidP="00EA5BBF">
      <w:pPr>
        <w:rPr>
          <w:rFonts w:eastAsiaTheme="minorEastAsia" w:cs="Arial"/>
        </w:rPr>
      </w:pPr>
    </w:p>
    <w:p w14:paraId="1BFD74C2" w14:textId="77777777" w:rsidR="00EA5BBF" w:rsidRPr="001570EA" w:rsidRDefault="003B5E04" w:rsidP="00EA5BBF">
      <w:pPr>
        <w:rPr>
          <w:rFonts w:eastAsiaTheme="minorEastAsia" w:cs="Arial"/>
        </w:rPr>
      </w:pPr>
      <m:oMathPara>
        <m:oMath>
          <m:sSub>
            <m:sSubPr>
              <m:ctrlPr>
                <w:rPr>
                  <w:rFonts w:ascii="Cambria Math" w:hAnsi="Cambria Math" w:cs="Arial"/>
                  <w:i/>
                </w:rPr>
              </m:ctrlPr>
            </m:sSubPr>
            <m:e>
              <m:r>
                <w:rPr>
                  <w:rFonts w:ascii="Cambria Math" w:hAnsi="Cambria Math" w:cs="Arial"/>
                </w:rPr>
                <m:t>∆kWh</m:t>
              </m:r>
            </m:e>
            <m:sub>
              <m:r>
                <w:rPr>
                  <w:rFonts w:ascii="Cambria Math" w:hAnsi="Cambria Math" w:cs="Arial"/>
                </w:rPr>
                <m:t>cool</m:t>
              </m:r>
            </m:sub>
          </m:sSub>
          <m:r>
            <w:rPr>
              <w:rFonts w:ascii="Cambria Math" w:hAnsi="Cambria Math" w:cs="Arial"/>
            </w:rPr>
            <m:t>≤40%×</m:t>
          </m:r>
          <m:sSub>
            <m:sSubPr>
              <m:ctrlPr>
                <w:rPr>
                  <w:rFonts w:ascii="Cambria Math" w:hAnsi="Cambria Math" w:cs="Arial"/>
                  <w:i/>
                </w:rPr>
              </m:ctrlPr>
            </m:sSubPr>
            <m:e>
              <m:r>
                <w:rPr>
                  <w:rFonts w:ascii="Cambria Math" w:hAnsi="Cambria Math" w:cs="Arial"/>
                </w:rPr>
                <m:t>CAPY</m:t>
              </m:r>
            </m:e>
            <m:sub>
              <m:r>
                <w:rPr>
                  <w:rFonts w:ascii="Cambria Math" w:hAnsi="Cambria Math" w:cs="Arial"/>
                </w:rPr>
                <m:t>cool</m:t>
              </m:r>
            </m:sub>
          </m:sSub>
          <m:r>
            <w:rPr>
              <w:rFonts w:ascii="Cambria Math" w:hAnsi="Cambria Math" w:cs="Arial"/>
            </w:rPr>
            <m:t>×</m:t>
          </m:r>
          <m:sSub>
            <m:sSubPr>
              <m:ctrlPr>
                <w:rPr>
                  <w:rFonts w:ascii="Cambria Math" w:hAnsi="Cambria Math" w:cs="Arial"/>
                  <w:i/>
                </w:rPr>
              </m:ctrlPr>
            </m:sSubPr>
            <m:e>
              <m:r>
                <w:rPr>
                  <w:rFonts w:ascii="Cambria Math" w:hAnsi="Cambria Math" w:cs="Arial"/>
                </w:rPr>
                <m:t>EFLH</m:t>
              </m:r>
            </m:e>
            <m:sub>
              <m:r>
                <w:rPr>
                  <w:rFonts w:ascii="Cambria Math" w:hAnsi="Cambria Math" w:cs="Arial"/>
                </w:rPr>
                <m:t>cool</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η</m:t>
              </m:r>
            </m:e>
            <m:sub>
              <m:r>
                <w:rPr>
                  <w:rFonts w:ascii="Cambria Math" w:hAnsi="Cambria Math" w:cs="Arial"/>
                </w:rPr>
                <m:t>base</m:t>
              </m:r>
            </m:sub>
          </m:sSub>
          <m:r>
            <w:rPr>
              <w:rFonts w:ascii="Cambria Math" w:hAnsi="Cambria Math" w:cs="Arial"/>
            </w:rPr>
            <m:t xml:space="preserve"> </m:t>
          </m:r>
        </m:oMath>
      </m:oMathPara>
    </w:p>
    <w:p w14:paraId="657501C7" w14:textId="77777777" w:rsidR="00EA5BBF" w:rsidRPr="001570EA" w:rsidRDefault="00EA5BBF" w:rsidP="00EA5BBF">
      <w:pPr>
        <w:rPr>
          <w:rFonts w:eastAsiaTheme="minorEastAsia" w:cs="Arial"/>
        </w:rPr>
      </w:pPr>
    </w:p>
    <w:p w14:paraId="54D21E30" w14:textId="77777777" w:rsidR="00EA5BBF" w:rsidRPr="001570EA" w:rsidRDefault="003B5E04" w:rsidP="00EA5BBF">
      <w:pPr>
        <w:rPr>
          <w:rFonts w:eastAsiaTheme="minorEastAsia" w:cs="Arial"/>
        </w:rPr>
      </w:pPr>
      <m:oMathPara>
        <m:oMath>
          <m:sSub>
            <m:sSubPr>
              <m:ctrlPr>
                <w:rPr>
                  <w:rFonts w:ascii="Cambria Math" w:hAnsi="Cambria Math" w:cs="Arial"/>
                  <w:i/>
                </w:rPr>
              </m:ctrlPr>
            </m:sSubPr>
            <m:e>
              <m:r>
                <w:rPr>
                  <w:rFonts w:ascii="Cambria Math" w:hAnsi="Cambria Math" w:cs="Arial"/>
                </w:rPr>
                <m:t>∆kWh</m:t>
              </m:r>
            </m:e>
            <m:sub>
              <m:r>
                <w:rPr>
                  <w:rFonts w:ascii="Cambria Math" w:hAnsi="Cambria Math" w:cs="Arial"/>
                </w:rPr>
                <m:t>heat</m:t>
              </m:r>
            </m:sub>
          </m:sSub>
          <m:r>
            <w:rPr>
              <w:rFonts w:ascii="Cambria Math" w:hAnsi="Cambria Math" w:cs="Arial"/>
            </w:rPr>
            <m:t>≤40%×</m:t>
          </m:r>
          <m:sSub>
            <m:sSubPr>
              <m:ctrlPr>
                <w:rPr>
                  <w:rFonts w:ascii="Cambria Math" w:hAnsi="Cambria Math" w:cs="Arial"/>
                  <w:i/>
                </w:rPr>
              </m:ctrlPr>
            </m:sSubPr>
            <m:e>
              <m:r>
                <w:rPr>
                  <w:rFonts w:ascii="Cambria Math" w:hAnsi="Cambria Math" w:cs="Arial"/>
                </w:rPr>
                <m:t>CAPY</m:t>
              </m:r>
            </m:e>
            <m:sub>
              <m:r>
                <w:rPr>
                  <w:rFonts w:ascii="Cambria Math" w:hAnsi="Cambria Math" w:cs="Arial"/>
                </w:rPr>
                <m:t>heat</m:t>
              </m:r>
            </m:sub>
          </m:sSub>
          <m:r>
            <w:rPr>
              <w:rFonts w:ascii="Cambria Math" w:hAnsi="Cambria Math" w:cs="Arial"/>
            </w:rPr>
            <m:t>×</m:t>
          </m:r>
          <m:sSub>
            <m:sSubPr>
              <m:ctrlPr>
                <w:rPr>
                  <w:rFonts w:ascii="Cambria Math" w:hAnsi="Cambria Math" w:cs="Arial"/>
                </w:rPr>
              </m:ctrlPr>
            </m:sSubPr>
            <m:e>
              <m:r>
                <w:rPr>
                  <w:rFonts w:ascii="Cambria Math" w:hAnsi="Cambria Math" w:cs="Arial"/>
                </w:rPr>
                <m:t>EFLH</m:t>
              </m:r>
            </m:e>
            <m:sub>
              <m:r>
                <w:rPr>
                  <w:rFonts w:ascii="Cambria Math" w:hAnsi="Cambria Math" w:cs="Arial"/>
                </w:rPr>
                <m:t>heat</m:t>
              </m:r>
            </m:sub>
          </m:sSub>
          <m:r>
            <w:rPr>
              <w:rFonts w:ascii="Cambria Math" w:eastAsiaTheme="minorEastAsia" w:hAnsi="Cambria Math" w:cs="Arial"/>
            </w:rPr>
            <m:t>×</m:t>
          </m:r>
          <m:sSub>
            <m:sSubPr>
              <m:ctrlPr>
                <w:rPr>
                  <w:rFonts w:ascii="Cambria Math" w:hAnsi="Cambria Math" w:cs="Arial"/>
                  <w:i/>
                </w:rPr>
              </m:ctrlPr>
            </m:sSubPr>
            <m:e>
              <m:r>
                <w:rPr>
                  <w:rFonts w:ascii="Cambria Math" w:hAnsi="Cambria Math" w:cs="Arial"/>
                </w:rPr>
                <m:t>η</m:t>
              </m:r>
            </m:e>
            <m:sub>
              <m:r>
                <w:rPr>
                  <w:rFonts w:ascii="Cambria Math" w:hAnsi="Cambria Math" w:cs="Arial"/>
                </w:rPr>
                <m:t>base</m:t>
              </m:r>
            </m:sub>
          </m:sSub>
        </m:oMath>
      </m:oMathPara>
    </w:p>
    <w:p w14:paraId="1BDCEAAF" w14:textId="77777777" w:rsidR="00EA5BBF" w:rsidRPr="001570EA" w:rsidRDefault="00EA5BBF" w:rsidP="00EA5BBF"/>
    <w:p w14:paraId="05240DD9" w14:textId="77777777" w:rsidR="00EA5BBF" w:rsidRPr="001570EA" w:rsidRDefault="00EA5BBF" w:rsidP="00EA5BBF">
      <w:r w:rsidRPr="001570EA">
        <w:t>Furthermore, if:</w:t>
      </w:r>
    </w:p>
    <w:p w14:paraId="5334023E" w14:textId="77777777" w:rsidR="00EA5BBF" w:rsidRPr="001570EA" w:rsidRDefault="00EA5BBF" w:rsidP="00EA5BBF">
      <m:oMathPara>
        <m:oMath>
          <m:r>
            <w:rPr>
              <w:rFonts w:ascii="Cambria Math" w:hAnsi="Cambria Math"/>
            </w:rPr>
            <m:t>CFM</m:t>
          </m:r>
          <m:sSub>
            <m:sSubPr>
              <m:ctrlPr>
                <w:rPr>
                  <w:rFonts w:ascii="Cambria Math" w:hAnsi="Cambria Math"/>
                </w:rPr>
              </m:ctrlPr>
            </m:sSubPr>
            <m:e>
              <m:r>
                <w:rPr>
                  <w:rFonts w:ascii="Cambria Math" w:hAnsi="Cambria Math"/>
                </w:rPr>
                <m:t>50</m:t>
              </m:r>
            </m:e>
            <m:sub>
              <m:r>
                <w:rPr>
                  <w:rFonts w:ascii="Cambria Math" w:hAnsi="Cambria Math"/>
                </w:rPr>
                <m:t>ee</m:t>
              </m:r>
            </m:sub>
          </m:sSub>
          <m:r>
            <w:rPr>
              <w:rFonts w:ascii="Cambria Math" w:hAnsi="Cambria Math"/>
            </w:rPr>
            <m:t>&lt;</m:t>
          </m:r>
          <m:f>
            <m:fPr>
              <m:ctrlPr>
                <w:rPr>
                  <w:rFonts w:ascii="Cambria Math" w:hAnsi="Cambria Math"/>
                  <w:i/>
                </w:rPr>
              </m:ctrlPr>
            </m:fPr>
            <m:num>
              <m:r>
                <w:rPr>
                  <w:rFonts w:ascii="Cambria Math" w:hAnsi="Cambria Math"/>
                </w:rPr>
                <m:t>3 ACH50×CondVol</m:t>
              </m:r>
            </m:num>
            <m:den>
              <m:r>
                <w:rPr>
                  <w:rFonts w:ascii="Cambria Math" w:hAnsi="Cambria Math"/>
                </w:rPr>
                <m:t xml:space="preserve">60 </m:t>
              </m:r>
              <m:f>
                <m:fPr>
                  <m:type m:val="skw"/>
                  <m:ctrlPr>
                    <w:rPr>
                      <w:rFonts w:ascii="Cambria Math" w:hAnsi="Cambria Math"/>
                      <w:i/>
                    </w:rPr>
                  </m:ctrlPr>
                </m:fPr>
                <m:num>
                  <m:r>
                    <w:rPr>
                      <w:rFonts w:ascii="Cambria Math" w:hAnsi="Cambria Math"/>
                    </w:rPr>
                    <m:t>min</m:t>
                  </m:r>
                </m:num>
                <m:den>
                  <m:r>
                    <w:rPr>
                      <w:rFonts w:ascii="Cambria Math" w:hAnsi="Cambria Math"/>
                    </w:rPr>
                    <m:t>hr</m:t>
                  </m:r>
                </m:den>
              </m:f>
            </m:den>
          </m:f>
        </m:oMath>
      </m:oMathPara>
    </w:p>
    <w:p w14:paraId="0D46D826" w14:textId="77777777" w:rsidR="00EA5BBF" w:rsidRPr="001570EA" w:rsidRDefault="00EA5BBF" w:rsidP="00EA5BBF"/>
    <w:p w14:paraId="71DED230" w14:textId="796C4043" w:rsidR="00EA5BBF" w:rsidRDefault="00EA5BBF" w:rsidP="00EA5BBF">
      <w:pPr>
        <w:rPr>
          <w:rFonts w:eastAsiaTheme="minorEastAsia" w:cs="Arial"/>
        </w:rPr>
      </w:pPr>
      <w:r w:rsidRPr="001570EA">
        <w:t>additional testing and intervention is necessary to ensure adequate ventilation for occupants and combustion equipment.</w:t>
      </w:r>
      <w:r w:rsidRPr="001570EA">
        <w:rPr>
          <w:rFonts w:eastAsiaTheme="minorEastAsia" w:cs="Arial"/>
          <w:vertAlign w:val="superscript"/>
        </w:rPr>
        <w:t>Source 3</w:t>
      </w:r>
      <w:r w:rsidRPr="001570EA">
        <w:rPr>
          <w:rFonts w:eastAsiaTheme="minorEastAsia" w:cs="Arial"/>
        </w:rPr>
        <w:t xml:space="preserve"> </w:t>
      </w:r>
      <w:r w:rsidRPr="001570EA">
        <w:t xml:space="preserve">Lower rates can increase savings but may require </w:t>
      </w:r>
      <w:r w:rsidRPr="001570EA">
        <w:rPr>
          <w:rFonts w:eastAsiaTheme="minorEastAsia" w:cs="Arial"/>
        </w:rPr>
        <w:t xml:space="preserve">the introduction of new mechanical ventilation. The operating energy of this new equipment, as well as the energy loss from the induced ventilation should be deducted from the savings of this measure. In other words, </w:t>
      </w:r>
      <w:r w:rsidRPr="001570EA">
        <w:rPr>
          <w:rFonts w:ascii="Cambria Math" w:eastAsiaTheme="minorEastAsia" w:hAnsi="Cambria Math" w:cs="Arial"/>
          <w:i/>
          <w:iCs/>
        </w:rPr>
        <w:t>CFM50</w:t>
      </w:r>
      <w:r w:rsidRPr="001570EA">
        <w:rPr>
          <w:rFonts w:ascii="Cambria Math" w:eastAsiaTheme="minorEastAsia" w:hAnsi="Cambria Math" w:cs="Arial"/>
          <w:i/>
          <w:iCs/>
          <w:vertAlign w:val="subscript"/>
        </w:rPr>
        <w:t>ee</w:t>
      </w:r>
      <w:r w:rsidRPr="001570EA">
        <w:rPr>
          <w:rFonts w:eastAsiaTheme="minorEastAsia" w:cs="Arial"/>
        </w:rPr>
        <w:t xml:space="preserve"> has an effective minimum equivalent to 3 ACH50 unless energy recovery ventilation is employed.</w:t>
      </w:r>
    </w:p>
    <w:p w14:paraId="4396A181" w14:textId="77777777" w:rsidR="00733225" w:rsidRPr="001570EA" w:rsidRDefault="00733225" w:rsidP="00EA5BBF"/>
    <w:p w14:paraId="0C3277F9" w14:textId="77777777" w:rsidR="00EA5BBF" w:rsidRPr="001570EA" w:rsidRDefault="00EA5BBF" w:rsidP="00EA5BBF">
      <w:r w:rsidRPr="001570EA">
        <w:t>Finally, to ensure that the alterations do not result in a backdraft, post air-sealing combustion appliance zone (CAZ) testing should be considered for any homes with Category I (gravity-draft) exhaust equipment that undergo a significant reduction in infiltration.</w:t>
      </w:r>
    </w:p>
    <w:p w14:paraId="07313ABE" w14:textId="77777777" w:rsidR="00EA5BBF" w:rsidRPr="001570EA" w:rsidRDefault="00EA5BBF" w:rsidP="00EA5BBF"/>
    <w:p w14:paraId="06A72FBE" w14:textId="77777777" w:rsidR="00EA5BBF" w:rsidRPr="001570EA" w:rsidRDefault="00EA5BBF" w:rsidP="00EA5BBF">
      <w:pPr>
        <w:pStyle w:val="SubStyle"/>
      </w:pPr>
      <w:r w:rsidRPr="001570EA">
        <w:t>Algorithms</w:t>
      </w:r>
    </w:p>
    <w:p w14:paraId="56DF3FA6" w14:textId="3B9313DC" w:rsidR="00EA5BBF" w:rsidRPr="001570EA" w:rsidRDefault="00EA5BBF" w:rsidP="00EA5BBF">
      <w:pPr>
        <w:rPr>
          <w:rFonts w:eastAsiaTheme="minorEastAsia"/>
        </w:rPr>
      </w:pPr>
      <w:r w:rsidRPr="001570EA">
        <w:t xml:space="preserve">To calculate </w:t>
      </w:r>
      <w:r w:rsidRPr="001570EA">
        <w:rPr>
          <w:rFonts w:ascii="Cambria Math" w:hAnsi="Cambria Math"/>
        </w:rPr>
        <w:t>∆</w:t>
      </w:r>
      <m:oMath>
        <m:r>
          <w:rPr>
            <w:rFonts w:ascii="Cambria Math" w:hAnsi="Cambria Math" w:cs="Arial"/>
          </w:rPr>
          <m:t>kWh</m:t>
        </m:r>
      </m:oMath>
      <w:r w:rsidRPr="001570EA">
        <w:t xml:space="preserve"> add together the cooling and heating savings calculated using the appropriate coefficients from </w:t>
      </w:r>
      <w:r w:rsidRPr="001570EA">
        <w:fldChar w:fldCharType="begin"/>
      </w:r>
      <w:r w:rsidRPr="001570EA">
        <w:instrText xml:space="preserve"> REF _Ref534357985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132</w:t>
      </w:r>
      <w:r w:rsidRPr="001570EA">
        <w:fldChar w:fldCharType="end"/>
      </w:r>
      <w:r w:rsidRPr="001570EA">
        <w:t xml:space="preserve"> and </w:t>
      </w:r>
      <w:r w:rsidRPr="001570EA">
        <w:fldChar w:fldCharType="begin"/>
      </w:r>
      <w:r w:rsidRPr="001570EA">
        <w:instrText xml:space="preserve"> REF _Ref410995149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133</w:t>
      </w:r>
      <w:r w:rsidRPr="001570EA">
        <w:fldChar w:fldCharType="end"/>
      </w:r>
      <w:r w:rsidRPr="001570EA">
        <w:t xml:space="preserve"> for the matching equipment type and climate region in the algorithm below. For example, if a residence has gas heat with Central AC, there is no heating component to the savings calculations. If a residence has Electric Resistance heating and no AC, calculate the savings for “Baseboard” heating. Ductless installations such as baseboards and mini-split heat pumps should substitute 100% for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Duct</m:t>
                </m:r>
              </m:e>
              <m:sub>
                <m:r>
                  <w:rPr>
                    <w:rFonts w:ascii="Cambria Math" w:hAnsi="Cambria Math" w:cs="Arial"/>
                  </w:rPr>
                  <m:t>proto</m:t>
                </m:r>
              </m:sub>
            </m:sSub>
          </m:num>
          <m:den>
            <m:sSub>
              <m:sSubPr>
                <m:ctrlPr>
                  <w:rPr>
                    <w:rFonts w:ascii="Cambria Math" w:hAnsi="Cambria Math" w:cs="Arial"/>
                    <w:i/>
                  </w:rPr>
                </m:ctrlPr>
              </m:sSubPr>
              <m:e>
                <m:r>
                  <w:rPr>
                    <w:rFonts w:ascii="Cambria Math" w:hAnsi="Cambria Math" w:cs="Arial"/>
                  </w:rPr>
                  <m:t>Duct</m:t>
                </m:r>
              </m:e>
              <m:sub>
                <m:r>
                  <w:rPr>
                    <w:rFonts w:ascii="Cambria Math" w:hAnsi="Cambria Math" w:cs="Arial"/>
                  </w:rPr>
                  <m:t>base</m:t>
                </m:r>
              </m:sub>
            </m:sSub>
          </m:den>
        </m:f>
      </m:oMath>
      <w:r w:rsidRPr="001570EA">
        <w:rPr>
          <w:rFonts w:eastAsiaTheme="minorEastAsia"/>
        </w:rPr>
        <w:t xml:space="preserve">. Values for </w:t>
      </w:r>
      <w:r w:rsidRPr="001570EA">
        <w:rPr>
          <w:rFonts w:eastAsiaTheme="minorEastAsia"/>
          <w:i/>
          <w:iCs/>
        </w:rPr>
        <w:t>Duct</w:t>
      </w:r>
      <w:r w:rsidRPr="001570EA">
        <w:rPr>
          <w:rFonts w:eastAsiaTheme="minorEastAsia"/>
          <w:i/>
          <w:iCs/>
          <w:vertAlign w:val="subscript"/>
        </w:rPr>
        <w:t>base</w:t>
      </w:r>
      <w:r w:rsidRPr="001570EA">
        <w:rPr>
          <w:rFonts w:eastAsiaTheme="minorEastAsia"/>
        </w:rPr>
        <w:t xml:space="preserve"> may be generated through measurement or by selecting an appropriate value from </w:t>
      </w:r>
      <w:r w:rsidRPr="001570EA">
        <w:fldChar w:fldCharType="begin"/>
      </w:r>
      <w:r w:rsidRPr="001570EA">
        <w:instrText xml:space="preserve"> REF _Ref531072530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40</w:t>
      </w:r>
      <w:r w:rsidRPr="001570EA">
        <w:fldChar w:fldCharType="end"/>
      </w:r>
      <w:r w:rsidRPr="001570EA">
        <w:t xml:space="preserve"> in Sec. </w:t>
      </w:r>
      <w:r w:rsidRPr="001570EA">
        <w:fldChar w:fldCharType="begin"/>
      </w:r>
      <w:r w:rsidRPr="001570EA">
        <w:instrText xml:space="preserve"> REF _Ref12380838 \w \h </w:instrText>
      </w:r>
      <w:r w:rsidR="001570EA">
        <w:instrText xml:space="preserve"> \* MERGEFORMAT </w:instrText>
      </w:r>
      <w:r w:rsidRPr="001570EA">
        <w:fldChar w:fldCharType="separate"/>
      </w:r>
      <w:r w:rsidR="00234C6C" w:rsidRPr="001570EA">
        <w:t>2.2.10</w:t>
      </w:r>
      <w:r w:rsidRPr="001570EA">
        <w:fldChar w:fldCharType="end"/>
      </w:r>
      <w:r w:rsidRPr="001570EA">
        <w:t>.</w:t>
      </w:r>
    </w:p>
    <w:p w14:paraId="4D99A2EA" w14:textId="77777777" w:rsidR="00EA5BBF" w:rsidRPr="001570EA" w:rsidRDefault="00EA5BBF" w:rsidP="00EA5BBF"/>
    <w:p w14:paraId="1A0BBC28" w14:textId="48EA51CF" w:rsidR="00EA5BBF" w:rsidRPr="001570EA" w:rsidRDefault="00EA5BBF" w:rsidP="00EA5BBF">
      <w:pPr>
        <w:rPr>
          <w:rFonts w:eastAsiaTheme="minorEastAsia" w:cs="Arial"/>
        </w:rPr>
      </w:pPr>
      <w:r w:rsidRPr="001570EA">
        <w:rPr>
          <w:rFonts w:eastAsiaTheme="minorEastAsia" w:cs="Arial"/>
        </w:rPr>
        <w:t xml:space="preserve">The prototype variables in the savings equations for this measure do not refer to the baseline or efficient conditions of the home undergoing improvement. Instead, expressions of the form </w:t>
      </w:r>
      <m:oMath>
        <m:f>
          <m:fPr>
            <m:ctrlPr>
              <w:rPr>
                <w:rFonts w:ascii="Cambria Math" w:eastAsiaTheme="minorEastAsia" w:hAnsi="Cambria Math" w:cs="Arial"/>
                <w:i/>
              </w:rPr>
            </m:ctrlPr>
          </m:fPr>
          <m:num>
            <m:r>
              <w:rPr>
                <w:rFonts w:ascii="Cambria Math" w:eastAsiaTheme="minorEastAsia" w:hAnsi="Cambria Math" w:cs="Arial"/>
              </w:rPr>
              <m:t>proto</m:t>
            </m:r>
          </m:num>
          <m:den>
            <m:r>
              <w:rPr>
                <w:rFonts w:ascii="Cambria Math" w:eastAsiaTheme="minorEastAsia" w:hAnsi="Cambria Math" w:cs="Arial"/>
              </w:rPr>
              <m:t>base</m:t>
            </m:r>
          </m:den>
        </m:f>
      </m:oMath>
      <w:r w:rsidRPr="001570EA">
        <w:rPr>
          <w:rFonts w:eastAsiaTheme="minorEastAsia" w:cs="Arial"/>
        </w:rPr>
        <w:t xml:space="preserve"> are used to scale the savings of the home being improved (</w:t>
      </w:r>
      <w:r w:rsidRPr="001570EA">
        <w:rPr>
          <w:rFonts w:ascii="Cambria Math" w:eastAsiaTheme="minorEastAsia" w:hAnsi="Cambria Math" w:cs="Arial"/>
          <w:i/>
          <w:iCs/>
        </w:rPr>
        <w:t>base</w:t>
      </w:r>
      <w:r w:rsidRPr="001570EA">
        <w:rPr>
          <w:rFonts w:eastAsiaTheme="minorEastAsia" w:cs="Arial"/>
        </w:rPr>
        <w:t xml:space="preserve">) to those of the prototype home which was based on statewide averages from the </w:t>
      </w:r>
      <w:r w:rsidR="006966DF">
        <w:rPr>
          <w:rFonts w:eastAsiaTheme="minorEastAsia" w:cs="Arial"/>
        </w:rPr>
        <w:t>Act 129</w:t>
      </w:r>
      <w:r w:rsidRPr="001570EA">
        <w:rPr>
          <w:rFonts w:eastAsiaTheme="minorEastAsia" w:cs="Arial"/>
        </w:rPr>
        <w:t xml:space="preserve"> </w:t>
      </w:r>
      <w:r w:rsidR="006966DF" w:rsidRPr="001570EA">
        <w:rPr>
          <w:rFonts w:eastAsiaTheme="minorEastAsia" w:cs="Arial"/>
        </w:rPr>
        <w:t>202</w:t>
      </w:r>
      <w:r w:rsidR="006966DF">
        <w:rPr>
          <w:rFonts w:eastAsiaTheme="minorEastAsia" w:cs="Arial"/>
        </w:rPr>
        <w:t>3 Pennsylvania</w:t>
      </w:r>
      <w:r w:rsidRPr="001570EA">
        <w:rPr>
          <w:rFonts w:eastAsiaTheme="minorEastAsia" w:cs="Arial"/>
        </w:rPr>
        <w:t xml:space="preserve"> Residential Baseline Study and used to derive the regressions below. This scaling accounts for differences in energy consumption resulting in deviations in HVAC equipment and distribution system efficiencies from those of the Baseline.</w:t>
      </w:r>
    </w:p>
    <w:p w14:paraId="4F3E1981" w14:textId="77777777" w:rsidR="00EA5BBF" w:rsidRPr="001570EA" w:rsidRDefault="00EA5BBF" w:rsidP="00EA5BBF"/>
    <w:p w14:paraId="1C6554F0" w14:textId="77777777" w:rsidR="00EA5BBF" w:rsidRPr="001570EA" w:rsidRDefault="003B5E04" w:rsidP="00EA5BBF">
      <w:pPr>
        <w:tabs>
          <w:tab w:val="left" w:pos="2880"/>
        </w:tabs>
      </w:pPr>
      <m:oMathPara>
        <m:oMathParaPr>
          <m:jc m:val="left"/>
        </m:oMathParaPr>
        <m:oMath>
          <m:sSub>
            <m:sSubPr>
              <m:ctrlPr>
                <w:rPr>
                  <w:rFonts w:ascii="Cambria Math" w:hAnsi="Cambria Math" w:cs="Arial"/>
                  <w:i/>
                </w:rPr>
              </m:ctrlPr>
            </m:sSubPr>
            <m:e>
              <m:r>
                <w:rPr>
                  <w:rFonts w:ascii="Cambria Math" w:hAnsi="Cambria Math" w:cs="Arial"/>
                </w:rPr>
                <m:t>∆kWh</m:t>
              </m:r>
            </m:e>
            <m:sub>
              <m:r>
                <w:rPr>
                  <w:rFonts w:ascii="Cambria Math" w:hAnsi="Cambria Math" w:cs="Arial"/>
                </w:rPr>
                <m:t>cool</m:t>
              </m:r>
            </m:sub>
          </m:sSub>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η</m:t>
                  </m:r>
                </m:e>
                <m:sub>
                  <m:r>
                    <w:rPr>
                      <w:rFonts w:ascii="Cambria Math" w:hAnsi="Cambria Math" w:cs="Arial"/>
                    </w:rPr>
                    <m:t>proto</m:t>
                  </m:r>
                </m:sub>
              </m:sSub>
            </m:num>
            <m:den>
              <m:sSub>
                <m:sSubPr>
                  <m:ctrlPr>
                    <w:rPr>
                      <w:rFonts w:ascii="Cambria Math" w:hAnsi="Cambria Math" w:cs="Arial"/>
                      <w:i/>
                    </w:rPr>
                  </m:ctrlPr>
                </m:sSubPr>
                <m:e>
                  <m:r>
                    <w:rPr>
                      <w:rFonts w:ascii="Cambria Math" w:hAnsi="Cambria Math" w:cs="Arial"/>
                    </w:rPr>
                    <m:t>η</m:t>
                  </m:r>
                </m:e>
                <m:sub>
                  <m:r>
                    <w:rPr>
                      <w:rFonts w:ascii="Cambria Math" w:hAnsi="Cambria Math" w:cs="Arial"/>
                    </w:rPr>
                    <m:t>base</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Duct</m:t>
                  </m:r>
                </m:e>
                <m:sub>
                  <m:r>
                    <w:rPr>
                      <w:rFonts w:ascii="Cambria Math" w:hAnsi="Cambria Math" w:cs="Arial"/>
                    </w:rPr>
                    <m:t>proto</m:t>
                  </m:r>
                </m:sub>
              </m:sSub>
            </m:num>
            <m:den>
              <m:sSub>
                <m:sSubPr>
                  <m:ctrlPr>
                    <w:rPr>
                      <w:rFonts w:ascii="Cambria Math" w:hAnsi="Cambria Math" w:cs="Arial"/>
                      <w:i/>
                    </w:rPr>
                  </m:ctrlPr>
                </m:sSubPr>
                <m:e>
                  <m:r>
                    <w:rPr>
                      <w:rFonts w:ascii="Cambria Math" w:hAnsi="Cambria Math" w:cs="Arial"/>
                    </w:rPr>
                    <m:t>Duct</m:t>
                  </m:r>
                </m:e>
                <m:sub>
                  <m:r>
                    <w:rPr>
                      <w:rFonts w:ascii="Cambria Math" w:hAnsi="Cambria Math" w:cs="Arial"/>
                    </w:rPr>
                    <m:t>base</m:t>
                  </m:r>
                </m:sub>
              </m:sSub>
            </m:den>
          </m:f>
          <m:r>
            <w:rPr>
              <w:rFonts w:ascii="Cambria Math" w:hAnsi="Cambria Math" w:cs="Arial"/>
            </w:rPr>
            <m:t>×</m:t>
          </m:r>
          <m:d>
            <m:dPr>
              <m:ctrlPr>
                <w:rPr>
                  <w:rFonts w:ascii="Cambria Math" w:hAnsi="Cambria Math"/>
                  <w:i/>
                </w:rPr>
              </m:ctrlPr>
            </m:dPr>
            <m:e>
              <m:f>
                <m:fPr>
                  <m:ctrlPr>
                    <w:rPr>
                      <w:rFonts w:ascii="Cambria Math" w:hAnsi="Cambria Math"/>
                      <w:i/>
                    </w:rPr>
                  </m:ctrlPr>
                </m:fPr>
                <m:num>
                  <m:sSub>
                    <m:sSubPr>
                      <m:ctrlPr>
                        <w:rPr>
                          <w:rFonts w:ascii="Cambria Math" w:hAnsi="Cambria Math"/>
                        </w:rPr>
                      </m:ctrlPr>
                    </m:sSubPr>
                    <m:e>
                      <m:r>
                        <w:rPr>
                          <w:rFonts w:ascii="Cambria Math" w:hAnsi="Cambria Math"/>
                        </w:rPr>
                        <m:t>a</m:t>
                      </m:r>
                    </m:e>
                    <m:sub>
                      <m:r>
                        <w:rPr>
                          <w:rFonts w:ascii="Cambria Math" w:hAnsi="Cambria Math"/>
                        </w:rPr>
                        <m:t>cool</m:t>
                      </m:r>
                    </m:sub>
                  </m:sSub>
                </m:num>
                <m:den>
                  <m:r>
                    <w:rPr>
                      <w:rFonts w:ascii="Cambria Math" w:hAnsi="Cambria Math"/>
                    </w:rPr>
                    <m:t>100,000</m:t>
                  </m:r>
                </m:den>
              </m:f>
              <m:r>
                <w:rPr>
                  <w:rFonts w:ascii="Cambria Math" w:hAnsi="Cambria Math"/>
                </w:rPr>
                <m:t xml:space="preserve"> ×</m:t>
              </m:r>
              <m:d>
                <m:dPr>
                  <m:ctrlPr>
                    <w:rPr>
                      <w:rFonts w:ascii="Cambria Math" w:hAnsi="Cambria Math"/>
                    </w:rPr>
                  </m:ctrlPr>
                </m:dPr>
                <m:e>
                  <m:sSup>
                    <m:sSupPr>
                      <m:ctrlPr>
                        <w:rPr>
                          <w:rFonts w:ascii="Cambria Math" w:hAnsi="Cambria Math"/>
                          <w:i/>
                        </w:rPr>
                      </m:ctrlPr>
                    </m:sSupPr>
                    <m:e>
                      <m:r>
                        <w:rPr>
                          <w:rFonts w:ascii="Cambria Math" w:hAnsi="Cambria Math"/>
                        </w:rPr>
                        <m:t>CFM</m:t>
                      </m:r>
                      <m:sSub>
                        <m:sSubPr>
                          <m:ctrlPr>
                            <w:rPr>
                              <w:rFonts w:ascii="Cambria Math" w:hAnsi="Cambria Math"/>
                            </w:rPr>
                          </m:ctrlPr>
                        </m:sSubPr>
                        <m:e>
                          <m:r>
                            <w:rPr>
                              <w:rFonts w:ascii="Cambria Math" w:hAnsi="Cambria Math"/>
                            </w:rPr>
                            <m:t>50</m:t>
                          </m:r>
                        </m:e>
                        <m:sub>
                          <m:r>
                            <w:rPr>
                              <w:rFonts w:ascii="Cambria Math" w:hAnsi="Cambria Math"/>
                            </w:rPr>
                            <m:t>base</m:t>
                          </m:r>
                        </m:sub>
                      </m:sSub>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CFM</m:t>
                      </m:r>
                      <m:sSub>
                        <m:sSubPr>
                          <m:ctrlPr>
                            <w:rPr>
                              <w:rFonts w:ascii="Cambria Math" w:hAnsi="Cambria Math"/>
                            </w:rPr>
                          </m:ctrlPr>
                        </m:sSubPr>
                        <m:e>
                          <m:r>
                            <w:rPr>
                              <w:rFonts w:ascii="Cambria Math" w:hAnsi="Cambria Math"/>
                            </w:rPr>
                            <m:t>50</m:t>
                          </m:r>
                        </m:e>
                        <m:sub>
                          <m:r>
                            <w:rPr>
                              <w:rFonts w:ascii="Cambria Math" w:hAnsi="Cambria Math"/>
                            </w:rPr>
                            <m:t>ee</m:t>
                          </m:r>
                        </m:sub>
                      </m:sSub>
                    </m:e>
                    <m:sup>
                      <m:r>
                        <w:rPr>
                          <w:rFonts w:ascii="Cambria Math" w:hAnsi="Cambria Math"/>
                        </w:rPr>
                        <m:t>2</m:t>
                      </m:r>
                    </m:sup>
                  </m:sSup>
                </m:e>
              </m:d>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cool</m:t>
                  </m:r>
                </m:sub>
              </m:sSub>
              <m:r>
                <w:rPr>
                  <w:rFonts w:ascii="Cambria Math" w:hAnsi="Cambria Math"/>
                </w:rPr>
                <m:t>×</m:t>
              </m:r>
              <m:d>
                <m:dPr>
                  <m:ctrlPr>
                    <w:rPr>
                      <w:rFonts w:ascii="Cambria Math" w:hAnsi="Cambria Math"/>
                    </w:rPr>
                  </m:ctrlPr>
                </m:dPr>
                <m:e>
                  <m:r>
                    <w:rPr>
                      <w:rFonts w:ascii="Cambria Math" w:hAnsi="Cambria Math"/>
                    </w:rPr>
                    <m:t>CFM</m:t>
                  </m:r>
                  <m:sSub>
                    <m:sSubPr>
                      <m:ctrlPr>
                        <w:rPr>
                          <w:rFonts w:ascii="Cambria Math" w:hAnsi="Cambria Math"/>
                        </w:rPr>
                      </m:ctrlPr>
                    </m:sSubPr>
                    <m:e>
                      <m:r>
                        <w:rPr>
                          <w:rFonts w:ascii="Cambria Math" w:hAnsi="Cambria Math"/>
                        </w:rPr>
                        <m:t>50</m:t>
                      </m:r>
                    </m:e>
                    <m:sub>
                      <m:r>
                        <w:rPr>
                          <w:rFonts w:ascii="Cambria Math" w:hAnsi="Cambria Math"/>
                        </w:rPr>
                        <m:t>base</m:t>
                      </m:r>
                    </m:sub>
                  </m:sSub>
                  <m:r>
                    <w:rPr>
                      <w:rFonts w:ascii="Cambria Math" w:hAnsi="Cambria Math"/>
                    </w:rPr>
                    <m:t>-CFM</m:t>
                  </m:r>
                  <m:sSub>
                    <m:sSubPr>
                      <m:ctrlPr>
                        <w:rPr>
                          <w:rFonts w:ascii="Cambria Math" w:hAnsi="Cambria Math"/>
                        </w:rPr>
                      </m:ctrlPr>
                    </m:sSubPr>
                    <m:e>
                      <m:r>
                        <w:rPr>
                          <w:rFonts w:ascii="Cambria Math" w:hAnsi="Cambria Math"/>
                        </w:rPr>
                        <m:t>50</m:t>
                      </m:r>
                    </m:e>
                    <m:sub>
                      <m:r>
                        <w:rPr>
                          <w:rFonts w:ascii="Cambria Math" w:hAnsi="Cambria Math"/>
                        </w:rPr>
                        <m:t>ee</m:t>
                      </m:r>
                    </m:sub>
                  </m:sSub>
                </m:e>
              </m:d>
            </m:e>
          </m:d>
        </m:oMath>
      </m:oMathPara>
    </w:p>
    <w:p w14:paraId="76784451" w14:textId="77777777" w:rsidR="00EA5BBF" w:rsidRPr="001570EA" w:rsidRDefault="00EA5BBF" w:rsidP="00EA5BBF"/>
    <w:p w14:paraId="7EE1BC0D" w14:textId="77777777" w:rsidR="00EA5BBF" w:rsidRPr="001570EA" w:rsidRDefault="003B5E04" w:rsidP="00EA5BBF">
      <w:pPr>
        <w:tabs>
          <w:tab w:val="left" w:pos="2880"/>
        </w:tabs>
      </w:pPr>
      <m:oMathPara>
        <m:oMathParaPr>
          <m:jc m:val="left"/>
        </m:oMathParaPr>
        <m:oMath>
          <m:sSub>
            <m:sSubPr>
              <m:ctrlPr>
                <w:rPr>
                  <w:rFonts w:ascii="Cambria Math" w:hAnsi="Cambria Math" w:cs="Arial"/>
                  <w:i/>
                </w:rPr>
              </m:ctrlPr>
            </m:sSubPr>
            <m:e>
              <m:r>
                <w:rPr>
                  <w:rFonts w:ascii="Cambria Math" w:hAnsi="Cambria Math" w:cs="Arial"/>
                </w:rPr>
                <m:t>∆kWh</m:t>
              </m:r>
            </m:e>
            <m:sub>
              <m:r>
                <w:rPr>
                  <w:rFonts w:ascii="Cambria Math" w:hAnsi="Cambria Math" w:cs="Arial"/>
                </w:rPr>
                <m:t>heat</m:t>
              </m:r>
            </m:sub>
          </m:sSub>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η</m:t>
                  </m:r>
                </m:e>
                <m:sub>
                  <m:r>
                    <w:rPr>
                      <w:rFonts w:ascii="Cambria Math" w:hAnsi="Cambria Math" w:cs="Arial"/>
                    </w:rPr>
                    <m:t>proto</m:t>
                  </m:r>
                </m:sub>
              </m:sSub>
            </m:num>
            <m:den>
              <m:sSub>
                <m:sSubPr>
                  <m:ctrlPr>
                    <w:rPr>
                      <w:rFonts w:ascii="Cambria Math" w:hAnsi="Cambria Math" w:cs="Arial"/>
                      <w:i/>
                    </w:rPr>
                  </m:ctrlPr>
                </m:sSubPr>
                <m:e>
                  <m:r>
                    <w:rPr>
                      <w:rFonts w:ascii="Cambria Math" w:hAnsi="Cambria Math" w:cs="Arial"/>
                    </w:rPr>
                    <m:t>η</m:t>
                  </m:r>
                </m:e>
                <m:sub>
                  <m:r>
                    <w:rPr>
                      <w:rFonts w:ascii="Cambria Math" w:hAnsi="Cambria Math" w:cs="Arial"/>
                    </w:rPr>
                    <m:t>base</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Duct</m:t>
                  </m:r>
                </m:e>
                <m:sub>
                  <m:r>
                    <w:rPr>
                      <w:rFonts w:ascii="Cambria Math" w:hAnsi="Cambria Math" w:cs="Arial"/>
                    </w:rPr>
                    <m:t>proto</m:t>
                  </m:r>
                </m:sub>
              </m:sSub>
            </m:num>
            <m:den>
              <m:sSub>
                <m:sSubPr>
                  <m:ctrlPr>
                    <w:rPr>
                      <w:rFonts w:ascii="Cambria Math" w:hAnsi="Cambria Math" w:cs="Arial"/>
                      <w:i/>
                    </w:rPr>
                  </m:ctrlPr>
                </m:sSubPr>
                <m:e>
                  <m:r>
                    <w:rPr>
                      <w:rFonts w:ascii="Cambria Math" w:hAnsi="Cambria Math" w:cs="Arial"/>
                    </w:rPr>
                    <m:t>Duct</m:t>
                  </m:r>
                </m:e>
                <m:sub>
                  <m:r>
                    <w:rPr>
                      <w:rFonts w:ascii="Cambria Math" w:hAnsi="Cambria Math" w:cs="Arial"/>
                    </w:rPr>
                    <m:t>base</m:t>
                  </m:r>
                </m:sub>
              </m:sSub>
            </m:den>
          </m:f>
          <m:r>
            <w:rPr>
              <w:rFonts w:ascii="Cambria Math" w:hAnsi="Cambria Math" w:cs="Arial"/>
            </w:rPr>
            <m:t>×</m:t>
          </m:r>
          <m:d>
            <m:dPr>
              <m:ctrlPr>
                <w:rPr>
                  <w:rFonts w:ascii="Cambria Math" w:hAnsi="Cambria Math"/>
                  <w:i/>
                </w:rPr>
              </m:ctrlPr>
            </m:dPr>
            <m:e>
              <m:f>
                <m:fPr>
                  <m:ctrlPr>
                    <w:rPr>
                      <w:rFonts w:ascii="Cambria Math" w:hAnsi="Cambria Math"/>
                      <w:i/>
                    </w:rPr>
                  </m:ctrlPr>
                </m:fPr>
                <m:num>
                  <m:sSub>
                    <m:sSubPr>
                      <m:ctrlPr>
                        <w:rPr>
                          <w:rFonts w:ascii="Cambria Math" w:hAnsi="Cambria Math"/>
                        </w:rPr>
                      </m:ctrlPr>
                    </m:sSubPr>
                    <m:e>
                      <m:r>
                        <w:rPr>
                          <w:rFonts w:ascii="Cambria Math" w:hAnsi="Cambria Math"/>
                        </w:rPr>
                        <m:t>a</m:t>
                      </m:r>
                    </m:e>
                    <m:sub>
                      <m:r>
                        <w:rPr>
                          <w:rFonts w:ascii="Cambria Math" w:hAnsi="Cambria Math"/>
                        </w:rPr>
                        <m:t>heat</m:t>
                      </m:r>
                    </m:sub>
                  </m:sSub>
                </m:num>
                <m:den>
                  <m:r>
                    <w:rPr>
                      <w:rFonts w:ascii="Cambria Math" w:hAnsi="Cambria Math"/>
                    </w:rPr>
                    <m:t>100,000</m:t>
                  </m:r>
                </m:den>
              </m:f>
              <m:r>
                <w:rPr>
                  <w:rFonts w:ascii="Cambria Math" w:hAnsi="Cambria Math"/>
                </w:rPr>
                <m:t xml:space="preserve"> ×</m:t>
              </m:r>
              <m:d>
                <m:dPr>
                  <m:ctrlPr>
                    <w:rPr>
                      <w:rFonts w:ascii="Cambria Math" w:hAnsi="Cambria Math"/>
                    </w:rPr>
                  </m:ctrlPr>
                </m:dPr>
                <m:e>
                  <m:sSup>
                    <m:sSupPr>
                      <m:ctrlPr>
                        <w:rPr>
                          <w:rFonts w:ascii="Cambria Math" w:hAnsi="Cambria Math"/>
                          <w:i/>
                        </w:rPr>
                      </m:ctrlPr>
                    </m:sSupPr>
                    <m:e>
                      <m:r>
                        <w:rPr>
                          <w:rFonts w:ascii="Cambria Math" w:hAnsi="Cambria Math"/>
                        </w:rPr>
                        <m:t>CFM</m:t>
                      </m:r>
                      <m:sSub>
                        <m:sSubPr>
                          <m:ctrlPr>
                            <w:rPr>
                              <w:rFonts w:ascii="Cambria Math" w:hAnsi="Cambria Math"/>
                            </w:rPr>
                          </m:ctrlPr>
                        </m:sSubPr>
                        <m:e>
                          <m:r>
                            <w:rPr>
                              <w:rFonts w:ascii="Cambria Math" w:hAnsi="Cambria Math"/>
                            </w:rPr>
                            <m:t>50</m:t>
                          </m:r>
                        </m:e>
                        <m:sub>
                          <m:r>
                            <w:rPr>
                              <w:rFonts w:ascii="Cambria Math" w:hAnsi="Cambria Math"/>
                            </w:rPr>
                            <m:t>base</m:t>
                          </m:r>
                        </m:sub>
                      </m:sSub>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CFM</m:t>
                      </m:r>
                      <m:sSub>
                        <m:sSubPr>
                          <m:ctrlPr>
                            <w:rPr>
                              <w:rFonts w:ascii="Cambria Math" w:hAnsi="Cambria Math"/>
                            </w:rPr>
                          </m:ctrlPr>
                        </m:sSubPr>
                        <m:e>
                          <m:r>
                            <w:rPr>
                              <w:rFonts w:ascii="Cambria Math" w:hAnsi="Cambria Math"/>
                            </w:rPr>
                            <m:t>50</m:t>
                          </m:r>
                        </m:e>
                        <m:sub>
                          <m:r>
                            <w:rPr>
                              <w:rFonts w:ascii="Cambria Math" w:hAnsi="Cambria Math"/>
                            </w:rPr>
                            <m:t>ee</m:t>
                          </m:r>
                        </m:sub>
                      </m:sSub>
                    </m:e>
                    <m:sup>
                      <m:r>
                        <w:rPr>
                          <w:rFonts w:ascii="Cambria Math" w:hAnsi="Cambria Math"/>
                        </w:rPr>
                        <m:t>2</m:t>
                      </m:r>
                    </m:sup>
                  </m:sSup>
                </m:e>
              </m:d>
              <m:r>
                <w:rPr>
                  <w:rFonts w:ascii="Cambria Math" w:hAnsi="Cambria Math"/>
                </w:rPr>
                <m:t xml:space="preserve">+ </m:t>
              </m:r>
              <m:sSub>
                <m:sSubPr>
                  <m:ctrlPr>
                    <w:rPr>
                      <w:rFonts w:ascii="Cambria Math" w:hAnsi="Cambria Math"/>
                    </w:rPr>
                  </m:ctrlPr>
                </m:sSubPr>
                <m:e>
                  <m:r>
                    <w:rPr>
                      <w:rFonts w:ascii="Cambria Math" w:hAnsi="Cambria Math"/>
                    </w:rPr>
                    <m:t>b</m:t>
                  </m:r>
                </m:e>
                <m:sub>
                  <m:r>
                    <w:rPr>
                      <w:rFonts w:ascii="Cambria Math" w:hAnsi="Cambria Math"/>
                    </w:rPr>
                    <m:t>heat</m:t>
                  </m:r>
                </m:sub>
              </m:sSub>
              <m:r>
                <w:rPr>
                  <w:rFonts w:ascii="Cambria Math" w:hAnsi="Cambria Math"/>
                </w:rPr>
                <m:t xml:space="preserve"> ×</m:t>
              </m:r>
              <m:d>
                <m:dPr>
                  <m:ctrlPr>
                    <w:rPr>
                      <w:rFonts w:ascii="Cambria Math" w:hAnsi="Cambria Math"/>
                    </w:rPr>
                  </m:ctrlPr>
                </m:dPr>
                <m:e>
                  <m:r>
                    <w:rPr>
                      <w:rFonts w:ascii="Cambria Math" w:hAnsi="Cambria Math"/>
                    </w:rPr>
                    <m:t>CFM</m:t>
                  </m:r>
                  <m:sSub>
                    <m:sSubPr>
                      <m:ctrlPr>
                        <w:rPr>
                          <w:rFonts w:ascii="Cambria Math" w:hAnsi="Cambria Math"/>
                        </w:rPr>
                      </m:ctrlPr>
                    </m:sSubPr>
                    <m:e>
                      <m:r>
                        <w:rPr>
                          <w:rFonts w:ascii="Cambria Math" w:hAnsi="Cambria Math"/>
                        </w:rPr>
                        <m:t>50</m:t>
                      </m:r>
                    </m:e>
                    <m:sub>
                      <m:r>
                        <w:rPr>
                          <w:rFonts w:ascii="Cambria Math" w:hAnsi="Cambria Math"/>
                        </w:rPr>
                        <m:t>base</m:t>
                      </m:r>
                    </m:sub>
                  </m:sSub>
                  <m:r>
                    <w:rPr>
                      <w:rFonts w:ascii="Cambria Math" w:hAnsi="Cambria Math"/>
                    </w:rPr>
                    <m:t>-CFM</m:t>
                  </m:r>
                  <m:sSub>
                    <m:sSubPr>
                      <m:ctrlPr>
                        <w:rPr>
                          <w:rFonts w:ascii="Cambria Math" w:hAnsi="Cambria Math"/>
                        </w:rPr>
                      </m:ctrlPr>
                    </m:sSubPr>
                    <m:e>
                      <m:r>
                        <w:rPr>
                          <w:rFonts w:ascii="Cambria Math" w:hAnsi="Cambria Math"/>
                        </w:rPr>
                        <m:t>50</m:t>
                      </m:r>
                    </m:e>
                    <m:sub>
                      <m:r>
                        <w:rPr>
                          <w:rFonts w:ascii="Cambria Math" w:hAnsi="Cambria Math"/>
                        </w:rPr>
                        <m:t>ee</m:t>
                      </m:r>
                    </m:sub>
                  </m:sSub>
                </m:e>
              </m:d>
            </m:e>
          </m:d>
        </m:oMath>
      </m:oMathPara>
    </w:p>
    <w:p w14:paraId="34F83CD4" w14:textId="77777777" w:rsidR="00EA5BBF" w:rsidRPr="001570EA" w:rsidRDefault="00EA5BBF" w:rsidP="00EA5BBF"/>
    <w:p w14:paraId="32425F77" w14:textId="77777777" w:rsidR="00EA5BBF" w:rsidRPr="001570EA" w:rsidRDefault="00EA5BBF" w:rsidP="00EA5BBF">
      <w:pPr>
        <w:tabs>
          <w:tab w:val="left" w:pos="2880"/>
        </w:tabs>
      </w:pPr>
      <m:oMathPara>
        <m:oMathParaPr>
          <m:jc m:val="left"/>
        </m:oMathParaPr>
        <m:oMath>
          <m:r>
            <w:rPr>
              <w:rFonts w:ascii="Cambria Math" w:hAnsi="Cambria Math" w:cs="Arial"/>
            </w:rPr>
            <m:t xml:space="preserve">∆kWh= </m:t>
          </m:r>
          <m:sSub>
            <m:sSubPr>
              <m:ctrlPr>
                <w:rPr>
                  <w:rFonts w:ascii="Cambria Math" w:hAnsi="Cambria Math" w:cs="Arial"/>
                  <w:i/>
                </w:rPr>
              </m:ctrlPr>
            </m:sSubPr>
            <m:e>
              <m:r>
                <w:rPr>
                  <w:rFonts w:ascii="Cambria Math" w:hAnsi="Cambria Math" w:cs="Arial"/>
                </w:rPr>
                <m:t>∆kWh</m:t>
              </m:r>
            </m:e>
            <m:sub>
              <m:r>
                <w:rPr>
                  <w:rFonts w:ascii="Cambria Math" w:hAnsi="Cambria Math" w:cs="Arial"/>
                </w:rPr>
                <m:t>cool</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∆kWh</m:t>
              </m:r>
            </m:e>
            <m:sub>
              <m:r>
                <w:rPr>
                  <w:rFonts w:ascii="Cambria Math" w:hAnsi="Cambria Math" w:cs="Arial"/>
                </w:rPr>
                <m:t>heat</m:t>
              </m:r>
            </m:sub>
          </m:sSub>
        </m:oMath>
      </m:oMathPara>
    </w:p>
    <w:p w14:paraId="375538E4" w14:textId="77777777" w:rsidR="00EA5BBF" w:rsidRPr="001570EA" w:rsidRDefault="00EA5BBF" w:rsidP="00EA5BBF"/>
    <w:p w14:paraId="5B744271" w14:textId="77777777" w:rsidR="00EA5BBF" w:rsidRPr="001570EA" w:rsidRDefault="00EA5BBF" w:rsidP="00EA5BBF">
      <w:pPr>
        <w:rPr>
          <w:rFonts w:ascii="Cambria Math" w:eastAsiaTheme="minorHAnsi" w:hAnsi="Cambria Math" w:cstheme="minorBidi"/>
          <w:i/>
          <w:szCs w:val="22"/>
        </w:rPr>
      </w:pPr>
      <m:oMathPara>
        <m:oMathParaPr>
          <m:jc m:val="left"/>
        </m:oMathParaPr>
        <m:oMath>
          <m:r>
            <w:rPr>
              <w:rFonts w:ascii="Cambria Math" w:eastAsiaTheme="minorHAnsi" w:hAnsi="Cambria Math" w:cstheme="minorBidi"/>
              <w:szCs w:val="22"/>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kW</m:t>
              </m:r>
            </m:e>
            <m:sub>
              <m:r>
                <w:rPr>
                  <w:rFonts w:ascii="Cambria Math" w:eastAsiaTheme="minorHAnsi" w:hAnsi="Cambria Math" w:cstheme="minorBidi"/>
                  <w:szCs w:val="22"/>
                </w:rPr>
                <m:t>summer peak</m:t>
              </m:r>
            </m:sub>
          </m:sSub>
          <m:r>
            <w:rPr>
              <w:rFonts w:ascii="Cambria Math" w:eastAsiaTheme="minorHAnsi" w:hAnsi="Cambria Math" w:cstheme="minorBidi"/>
              <w:szCs w:val="22"/>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∆kWh</m:t>
              </m:r>
            </m:e>
            <m:sub>
              <m:r>
                <w:rPr>
                  <w:rFonts w:ascii="Cambria Math" w:eastAsiaTheme="minorHAnsi" w:hAnsi="Cambria Math" w:cstheme="minorBidi"/>
                  <w:szCs w:val="22"/>
                </w:rPr>
                <m:t>cool</m:t>
              </m:r>
            </m:sub>
          </m:sSub>
          <m:r>
            <w:rPr>
              <w:rFonts w:ascii="Cambria Math" w:eastAsiaTheme="minorHAnsi" w:hAnsi="Cambria Math" w:cstheme="minorBidi"/>
              <w:szCs w:val="22"/>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EFLH</m:t>
              </m:r>
            </m:e>
            <m:sub>
              <m:r>
                <w:rPr>
                  <w:rFonts w:ascii="Cambria Math" w:eastAsiaTheme="minorHAnsi" w:hAnsi="Cambria Math" w:cstheme="minorBidi"/>
                  <w:szCs w:val="22"/>
                </w:rPr>
                <m:t>cool</m:t>
              </m:r>
            </m:sub>
          </m:sSub>
          <m:r>
            <w:rPr>
              <w:rFonts w:ascii="Cambria Math" w:eastAsiaTheme="minorHAnsi" w:hAnsi="Cambria Math" w:cstheme="minorBidi"/>
              <w:szCs w:val="22"/>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CF</m:t>
              </m:r>
            </m:e>
            <m:sub>
              <m:r>
                <w:rPr>
                  <w:rFonts w:ascii="Cambria Math" w:eastAsiaTheme="minorHAnsi" w:hAnsi="Cambria Math" w:cstheme="minorBidi"/>
                  <w:szCs w:val="22"/>
                </w:rPr>
                <m:t>cool</m:t>
              </m:r>
            </m:sub>
          </m:sSub>
        </m:oMath>
      </m:oMathPara>
    </w:p>
    <w:p w14:paraId="1625CB0F" w14:textId="77777777" w:rsidR="00EA5BBF" w:rsidRPr="001570EA" w:rsidRDefault="00EA5BBF" w:rsidP="00EA5BBF">
      <w:pPr>
        <w:rPr>
          <w:rFonts w:ascii="Cambria Math" w:eastAsiaTheme="minorHAnsi" w:hAnsi="Cambria Math" w:cstheme="minorBidi"/>
          <w:iCs/>
          <w:szCs w:val="22"/>
        </w:rPr>
      </w:pPr>
    </w:p>
    <w:p w14:paraId="42EBC867" w14:textId="77777777" w:rsidR="00EA5BBF" w:rsidRPr="001570EA" w:rsidRDefault="00EA5BBF" w:rsidP="00EA5BBF">
      <w:pPr>
        <w:rPr>
          <w:rFonts w:ascii="Cambria Math" w:eastAsiaTheme="minorHAnsi" w:hAnsi="Cambria Math" w:cstheme="minorBidi"/>
          <w:i/>
          <w:szCs w:val="22"/>
        </w:rPr>
      </w:pPr>
      <m:oMathPara>
        <m:oMathParaPr>
          <m:jc m:val="left"/>
        </m:oMathParaPr>
        <m:oMath>
          <m:r>
            <w:rPr>
              <w:rFonts w:ascii="Cambria Math" w:eastAsiaTheme="minorHAnsi" w:hAnsi="Cambria Math" w:cstheme="minorBidi"/>
              <w:szCs w:val="22"/>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kW</m:t>
              </m:r>
            </m:e>
            <m:sub>
              <m:r>
                <w:rPr>
                  <w:rFonts w:ascii="Cambria Math" w:eastAsiaTheme="minorHAnsi" w:hAnsi="Cambria Math" w:cstheme="minorBidi"/>
                  <w:szCs w:val="22"/>
                </w:rPr>
                <m:t>winter peak</m:t>
              </m:r>
            </m:sub>
          </m:sSub>
          <m:r>
            <w:rPr>
              <w:rFonts w:ascii="Cambria Math" w:eastAsiaTheme="minorHAnsi" w:hAnsi="Cambria Math" w:cstheme="minorBidi"/>
              <w:szCs w:val="22"/>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∆kWh</m:t>
              </m:r>
            </m:e>
            <m:sub>
              <m:r>
                <w:rPr>
                  <w:rFonts w:ascii="Cambria Math" w:eastAsiaTheme="minorHAnsi" w:hAnsi="Cambria Math" w:cstheme="minorBidi"/>
                  <w:szCs w:val="22"/>
                </w:rPr>
                <m:t>heat</m:t>
              </m:r>
            </m:sub>
          </m:sSub>
          <m:r>
            <w:rPr>
              <w:rFonts w:ascii="Cambria Math" w:eastAsiaTheme="minorHAnsi" w:hAnsi="Cambria Math" w:cstheme="minorBidi"/>
              <w:szCs w:val="22"/>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EFLH</m:t>
              </m:r>
            </m:e>
            <m:sub>
              <m:r>
                <w:rPr>
                  <w:rFonts w:ascii="Cambria Math" w:eastAsiaTheme="minorHAnsi" w:hAnsi="Cambria Math" w:cstheme="minorBidi"/>
                  <w:szCs w:val="22"/>
                </w:rPr>
                <m:t>heat</m:t>
              </m:r>
            </m:sub>
          </m:sSub>
          <m:r>
            <w:rPr>
              <w:rFonts w:ascii="Cambria Math" w:eastAsiaTheme="minorHAnsi" w:hAnsi="Cambria Math" w:cstheme="minorBidi"/>
              <w:szCs w:val="22"/>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CF</m:t>
              </m:r>
            </m:e>
            <m:sub>
              <m:r>
                <w:rPr>
                  <w:rFonts w:ascii="Cambria Math" w:eastAsiaTheme="minorHAnsi" w:hAnsi="Cambria Math" w:cstheme="minorBidi"/>
                  <w:szCs w:val="22"/>
                </w:rPr>
                <m:t>heat</m:t>
              </m:r>
            </m:sub>
          </m:sSub>
        </m:oMath>
      </m:oMathPara>
    </w:p>
    <w:p w14:paraId="6A73FBF8" w14:textId="77777777" w:rsidR="00EA5BBF" w:rsidRPr="001570EA" w:rsidRDefault="00EA5BBF" w:rsidP="00EA5BBF">
      <w:pPr>
        <w:pStyle w:val="NoSpacing"/>
      </w:pPr>
    </w:p>
    <w:p w14:paraId="7E965027" w14:textId="0E0AB46E" w:rsidR="00EA5BBF" w:rsidRPr="001570EA" w:rsidRDefault="00EA5BBF" w:rsidP="00EA5BBF">
      <w:r w:rsidRPr="001570EA">
        <w:t xml:space="preserve">Note: The savings equations above are based on </w:t>
      </w:r>
      <w:r w:rsidRPr="001570EA">
        <w:rPr>
          <w:i/>
        </w:rPr>
        <w:t>quadratic</w:t>
      </w:r>
      <w:r w:rsidRPr="001570EA">
        <w:t xml:space="preserve"> regressions because the change in energy savings for the same reduction in infiltration varies with the initial condition, as well as climate and HVAC technology. In general, there is a larger benefit for an equivalent reduction of CFM50 in a home when tightening very loose building shells compared to homes with a lower initial infiltration rate. For example, when starting from 6600 CFM50 in </w:t>
      </w:r>
      <w:r w:rsidRPr="001570EA">
        <w:fldChar w:fldCharType="begin"/>
      </w:r>
      <w:r w:rsidRPr="001570EA">
        <w:instrText xml:space="preserve"> REF _Ref155166334 \h </w:instrText>
      </w:r>
      <w:r w:rsidR="001570EA">
        <w:instrText xml:space="preserve"> \* MERGEFORMAT </w:instrText>
      </w:r>
      <w:r w:rsidRPr="001570EA">
        <w:fldChar w:fldCharType="separate"/>
      </w:r>
      <w:r w:rsidR="00234C6C" w:rsidRPr="001570EA">
        <w:t xml:space="preserve">Figure </w:t>
      </w:r>
      <w:r w:rsidR="00234C6C" w:rsidRPr="001570EA">
        <w:rPr>
          <w:noProof/>
        </w:rPr>
        <w:t>2</w:t>
      </w:r>
      <w:r w:rsidR="00234C6C" w:rsidRPr="001570EA">
        <w:noBreakHyphen/>
      </w:r>
      <w:r w:rsidR="00234C6C" w:rsidRPr="001570EA">
        <w:rPr>
          <w:noProof/>
        </w:rPr>
        <w:t>1</w:t>
      </w:r>
      <w:r w:rsidRPr="001570EA">
        <w:fldChar w:fldCharType="end"/>
      </w:r>
      <w:r w:rsidRPr="001570EA">
        <w:t>, a 1650 CFM50 reduction yields 24 kWh/yr savings whereas starting from 2300 CFM50 results in 9 kWh/yr savings. Since the coefficients of the squared infiltration reduction term are so small, they are multiplied by 10</w:t>
      </w:r>
      <w:r w:rsidRPr="001570EA">
        <w:rPr>
          <w:vertAlign w:val="superscript"/>
        </w:rPr>
        <w:t>5</w:t>
      </w:r>
      <w:r w:rsidRPr="001570EA">
        <w:t xml:space="preserve"> to simplify </w:t>
      </w:r>
      <w:r w:rsidRPr="001570EA">
        <w:fldChar w:fldCharType="begin"/>
      </w:r>
      <w:r w:rsidRPr="001570EA">
        <w:instrText xml:space="preserve"> REF _Ref534357985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132</w:t>
      </w:r>
      <w:r w:rsidRPr="001570EA">
        <w:fldChar w:fldCharType="end"/>
      </w:r>
      <w:r w:rsidRPr="001570EA">
        <w:t xml:space="preserve"> and </w:t>
      </w:r>
      <w:r w:rsidRPr="001570EA">
        <w:fldChar w:fldCharType="begin"/>
      </w:r>
      <w:r w:rsidRPr="001570EA">
        <w:instrText xml:space="preserve"> REF _Ref410995149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133</w:t>
      </w:r>
      <w:r w:rsidRPr="001570EA">
        <w:fldChar w:fldCharType="end"/>
      </w:r>
      <w:r w:rsidRPr="001570EA">
        <w:t>. This scaling is later reversed in the savings calculations.</w:t>
      </w:r>
    </w:p>
    <w:p w14:paraId="678DDA0F" w14:textId="19DA5046" w:rsidR="00EA5BBF" w:rsidRPr="001570EA" w:rsidRDefault="00EA5BBF" w:rsidP="00EA5BBF">
      <w:pPr>
        <w:pStyle w:val="Caption"/>
        <w:jc w:val="center"/>
      </w:pPr>
      <w:bookmarkStart w:id="1143" w:name="_Ref155166334"/>
      <w:bookmarkStart w:id="1144" w:name="_Toc47598390"/>
      <w:r w:rsidRPr="001570EA">
        <w:t xml:space="preserve">Figure </w:t>
      </w:r>
      <w:r w:rsidRPr="001570EA">
        <w:rPr>
          <w:noProof/>
        </w:rPr>
        <w:fldChar w:fldCharType="begin"/>
      </w:r>
      <w:r w:rsidRPr="001570EA">
        <w:rPr>
          <w:noProof/>
        </w:rPr>
        <w:instrText xml:space="preserve"> STYLEREF 1 \s </w:instrText>
      </w:r>
      <w:r w:rsidRPr="001570EA">
        <w:rPr>
          <w:noProof/>
        </w:rPr>
        <w:fldChar w:fldCharType="separate"/>
      </w:r>
      <w:r w:rsidR="00234C6C" w:rsidRPr="001570EA">
        <w:rPr>
          <w:noProof/>
        </w:rPr>
        <w:t>2</w:t>
      </w:r>
      <w:r w:rsidRPr="001570EA">
        <w:rPr>
          <w:noProof/>
        </w:rPr>
        <w:fldChar w:fldCharType="end"/>
      </w:r>
      <w:r w:rsidRPr="001570EA">
        <w:noBreakHyphen/>
      </w:r>
      <w:r w:rsidRPr="001570EA">
        <w:rPr>
          <w:noProof/>
        </w:rPr>
        <w:fldChar w:fldCharType="begin"/>
      </w:r>
      <w:r w:rsidRPr="001570EA">
        <w:rPr>
          <w:noProof/>
        </w:rPr>
        <w:instrText xml:space="preserve"> SEQ Figure \* ARABIC \s 1 </w:instrText>
      </w:r>
      <w:r w:rsidRPr="001570EA">
        <w:rPr>
          <w:noProof/>
        </w:rPr>
        <w:fldChar w:fldCharType="separate"/>
      </w:r>
      <w:r w:rsidR="00234C6C" w:rsidRPr="001570EA">
        <w:rPr>
          <w:noProof/>
        </w:rPr>
        <w:t>1</w:t>
      </w:r>
      <w:r w:rsidRPr="001570EA">
        <w:rPr>
          <w:noProof/>
        </w:rPr>
        <w:fldChar w:fldCharType="end"/>
      </w:r>
      <w:bookmarkEnd w:id="1143"/>
      <w:r w:rsidRPr="001570EA">
        <w:t xml:space="preserve">: Example Regressions for Ductless Mini-splits in Climate Region </w:t>
      </w:r>
      <w:bookmarkEnd w:id="1144"/>
      <w:r w:rsidRPr="001570EA">
        <w:t>D</w:t>
      </w:r>
    </w:p>
    <w:p w14:paraId="47F34EE2" w14:textId="77777777" w:rsidR="00EA5BBF" w:rsidRPr="001570EA" w:rsidRDefault="00EA5BBF" w:rsidP="00EA5BBF">
      <w:pPr>
        <w:pStyle w:val="NoSpacing"/>
        <w:jc w:val="center"/>
      </w:pPr>
      <w:r w:rsidRPr="001570EA">
        <w:rPr>
          <w:noProof/>
        </w:rPr>
        <w:drawing>
          <wp:inline distT="0" distB="0" distL="0" distR="0" wp14:anchorId="706D65E9" wp14:editId="2FEB9CAC">
            <wp:extent cx="3888391" cy="243230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16" cstate="print">
                      <a:extLst>
                        <a:ext uri="{28A0092B-C50C-407E-A947-70E740481C1C}">
                          <a14:useLocalDpi xmlns:a14="http://schemas.microsoft.com/office/drawing/2010/main" val="0"/>
                        </a:ext>
                        <a:ext uri="{96DAC541-7B7A-43D3-8B79-37D633B846F1}">
                          <asvg:svgBlip xmlns:asvg="http://schemas.microsoft.com/office/drawing/2016/SVG/main" r:embed="rId317"/>
                        </a:ext>
                      </a:extLst>
                    </a:blip>
                    <a:stretch>
                      <a:fillRect/>
                    </a:stretch>
                  </pic:blipFill>
                  <pic:spPr bwMode="auto">
                    <a:xfrm>
                      <a:off x="0" y="0"/>
                      <a:ext cx="3888391" cy="2432303"/>
                    </a:xfrm>
                    <a:prstGeom prst="rect">
                      <a:avLst/>
                    </a:prstGeom>
                  </pic:spPr>
                </pic:pic>
              </a:graphicData>
            </a:graphic>
          </wp:inline>
        </w:drawing>
      </w:r>
    </w:p>
    <w:p w14:paraId="5C262158" w14:textId="77777777" w:rsidR="00EA5BBF" w:rsidRPr="001570EA" w:rsidRDefault="00EA5BBF" w:rsidP="00EA5BBF">
      <w:pPr>
        <w:pStyle w:val="NoSpacing"/>
        <w:jc w:val="center"/>
        <w:rPr>
          <w:rFonts w:ascii="Arial Black" w:hAnsi="Arial Black"/>
          <w:b/>
          <w:smallCaps/>
          <w:color w:val="44546A" w:themeColor="text2"/>
          <w:spacing w:val="40"/>
        </w:rPr>
      </w:pPr>
      <w:r w:rsidRPr="001570EA">
        <w:rPr>
          <w:noProof/>
        </w:rPr>
        <w:drawing>
          <wp:inline distT="0" distB="0" distL="0" distR="0" wp14:anchorId="7CE6443A" wp14:editId="28D46BCB">
            <wp:extent cx="3888393" cy="243230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18" cstate="print">
                      <a:extLst>
                        <a:ext uri="{28A0092B-C50C-407E-A947-70E740481C1C}">
                          <a14:useLocalDpi xmlns:a14="http://schemas.microsoft.com/office/drawing/2010/main" val="0"/>
                        </a:ext>
                        <a:ext uri="{96DAC541-7B7A-43D3-8B79-37D633B846F1}">
                          <asvg:svgBlip xmlns:asvg="http://schemas.microsoft.com/office/drawing/2016/SVG/main" r:embed="rId319"/>
                        </a:ext>
                      </a:extLst>
                    </a:blip>
                    <a:stretch>
                      <a:fillRect/>
                    </a:stretch>
                  </pic:blipFill>
                  <pic:spPr bwMode="auto">
                    <a:xfrm>
                      <a:off x="0" y="0"/>
                      <a:ext cx="3888393" cy="2432304"/>
                    </a:xfrm>
                    <a:prstGeom prst="rect">
                      <a:avLst/>
                    </a:prstGeom>
                  </pic:spPr>
                </pic:pic>
              </a:graphicData>
            </a:graphic>
          </wp:inline>
        </w:drawing>
      </w:r>
    </w:p>
    <w:p w14:paraId="3DDA26BA" w14:textId="77777777" w:rsidR="00EA5BBF" w:rsidRPr="001570EA" w:rsidRDefault="00EA5BBF" w:rsidP="00EA5BBF">
      <w:pPr>
        <w:pStyle w:val="SubStyle"/>
        <w:keepNext/>
      </w:pPr>
      <w:r w:rsidRPr="001570EA">
        <w:t>Definition of Terms</w:t>
      </w:r>
    </w:p>
    <w:p w14:paraId="750C8DC6" w14:textId="7BFDC3AE" w:rsidR="00EA5BBF" w:rsidRPr="001570EA" w:rsidRDefault="000744E2" w:rsidP="000744E2">
      <w:pPr>
        <w:pStyle w:val="Caption"/>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131</w:t>
      </w:r>
      <w:r w:rsidR="002E093A" w:rsidRPr="001570EA">
        <w:fldChar w:fldCharType="end"/>
      </w:r>
      <w:r w:rsidRPr="001570EA">
        <w:t>: Terms</w:t>
      </w:r>
      <w:r w:rsidRPr="001570EA">
        <w:rPr>
          <w:rFonts w:cs="Arial"/>
        </w:rPr>
        <w:t>, Values, and References for</w:t>
      </w:r>
      <w:r w:rsidRPr="001570EA">
        <w:t xml:space="preserve"> Residential Air Sealing</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1153"/>
        <w:gridCol w:w="2285"/>
        <w:gridCol w:w="1405"/>
      </w:tblGrid>
      <w:tr w:rsidR="00EA5BBF" w:rsidRPr="001570EA" w14:paraId="1B4B5E5B" w14:textId="77777777">
        <w:tc>
          <w:tcPr>
            <w:tcW w:w="2160" w:type="pct"/>
            <w:shd w:val="clear" w:color="auto" w:fill="BFBFBF" w:themeFill="background1" w:themeFillShade="BF"/>
          </w:tcPr>
          <w:p w14:paraId="7DA7EDD2" w14:textId="77777777" w:rsidR="00EA5BBF" w:rsidRPr="001570EA" w:rsidRDefault="00EA5BBF">
            <w:pPr>
              <w:pStyle w:val="TableCell"/>
              <w:keepNext w:val="0"/>
              <w:jc w:val="left"/>
              <w:rPr>
                <w:rFonts w:eastAsia="Arial" w:cs="Arial"/>
                <w:b/>
                <w:bCs/>
              </w:rPr>
            </w:pPr>
            <w:r w:rsidRPr="001570EA">
              <w:rPr>
                <w:b/>
                <w:bCs/>
              </w:rPr>
              <w:t>Term</w:t>
            </w:r>
          </w:p>
        </w:tc>
        <w:tc>
          <w:tcPr>
            <w:tcW w:w="676" w:type="pct"/>
            <w:shd w:val="clear" w:color="auto" w:fill="BFBFBF" w:themeFill="background1" w:themeFillShade="BF"/>
          </w:tcPr>
          <w:p w14:paraId="2E5B8C19" w14:textId="77777777" w:rsidR="00EA5BBF" w:rsidRPr="001570EA" w:rsidRDefault="00EA5BBF">
            <w:pPr>
              <w:pStyle w:val="TableCell"/>
              <w:keepNext w:val="0"/>
              <w:jc w:val="center"/>
              <w:rPr>
                <w:rFonts w:eastAsia="Arial" w:cs="Arial"/>
                <w:b/>
                <w:bCs/>
              </w:rPr>
            </w:pPr>
            <w:r w:rsidRPr="001570EA">
              <w:rPr>
                <w:b/>
                <w:bCs/>
              </w:rPr>
              <w:t>Unit</w:t>
            </w:r>
          </w:p>
        </w:tc>
        <w:tc>
          <w:tcPr>
            <w:tcW w:w="1340" w:type="pct"/>
            <w:shd w:val="clear" w:color="auto" w:fill="BFBFBF" w:themeFill="background1" w:themeFillShade="BF"/>
          </w:tcPr>
          <w:p w14:paraId="091A69D6" w14:textId="77777777" w:rsidR="00EA5BBF" w:rsidRPr="001570EA" w:rsidRDefault="00EA5BBF">
            <w:pPr>
              <w:pStyle w:val="TableCell"/>
              <w:keepNext w:val="0"/>
              <w:jc w:val="center"/>
              <w:rPr>
                <w:rFonts w:eastAsia="Arial" w:cs="Arial"/>
                <w:b/>
                <w:bCs/>
              </w:rPr>
            </w:pPr>
            <w:r w:rsidRPr="001570EA">
              <w:rPr>
                <w:b/>
                <w:bCs/>
              </w:rPr>
              <w:t>Values</w:t>
            </w:r>
          </w:p>
        </w:tc>
        <w:tc>
          <w:tcPr>
            <w:tcW w:w="824" w:type="pct"/>
            <w:shd w:val="clear" w:color="auto" w:fill="BFBFBF" w:themeFill="background1" w:themeFillShade="BF"/>
          </w:tcPr>
          <w:p w14:paraId="555AE68C" w14:textId="77777777" w:rsidR="00EA5BBF" w:rsidRPr="001570EA" w:rsidRDefault="00EA5BBF">
            <w:pPr>
              <w:pStyle w:val="TableCell"/>
              <w:keepNext w:val="0"/>
              <w:jc w:val="center"/>
              <w:rPr>
                <w:rFonts w:eastAsia="Arial" w:cs="Arial"/>
                <w:b/>
                <w:bCs/>
              </w:rPr>
            </w:pPr>
            <w:r w:rsidRPr="001570EA">
              <w:rPr>
                <w:b/>
                <w:bCs/>
              </w:rPr>
              <w:t>Source</w:t>
            </w:r>
          </w:p>
        </w:tc>
      </w:tr>
      <w:tr w:rsidR="00EA5BBF" w:rsidRPr="001570EA" w14:paraId="2020A026" w14:textId="77777777">
        <w:tc>
          <w:tcPr>
            <w:tcW w:w="2160" w:type="pct"/>
            <w:shd w:val="clear" w:color="auto" w:fill="auto"/>
            <w:vAlign w:val="center"/>
          </w:tcPr>
          <w:p w14:paraId="356F8633" w14:textId="60515B9F" w:rsidR="00EA5BBF" w:rsidRPr="001570EA" w:rsidRDefault="00EA5BBF">
            <w:pPr>
              <w:pStyle w:val="TableCell"/>
              <w:keepNext w:val="0"/>
              <w:jc w:val="left"/>
              <w:rPr>
                <w:rFonts w:eastAsia="Arial" w:cs="Arial"/>
              </w:rPr>
            </w:pPr>
            <m:oMath>
              <m:r>
                <w:rPr>
                  <w:rFonts w:ascii="Cambria Math" w:hAnsi="Cambria Math" w:cs="Arial"/>
                </w:rPr>
                <m:t>CFM</m:t>
              </m:r>
              <m:sSub>
                <m:sSubPr>
                  <m:ctrlPr>
                    <w:rPr>
                      <w:rFonts w:ascii="Cambria Math" w:hAnsi="Cambria Math" w:cs="Arial"/>
                      <w:i/>
                    </w:rPr>
                  </m:ctrlPr>
                </m:sSubPr>
                <m:e>
                  <m:r>
                    <w:rPr>
                      <w:rFonts w:ascii="Cambria Math" w:hAnsi="Cambria Math" w:cs="Arial"/>
                    </w:rPr>
                    <m:t>50</m:t>
                  </m:r>
                </m:e>
                <m:sub>
                  <m:r>
                    <w:rPr>
                      <w:rFonts w:ascii="Cambria Math" w:hAnsi="Cambria Math" w:cs="Arial"/>
                    </w:rPr>
                    <m:t>base</m:t>
                  </m:r>
                </m:sub>
              </m:sSub>
            </m:oMath>
            <w:r w:rsidRPr="001570EA">
              <w:t>, Baseline infiltration at 50 Pa</w:t>
            </w:r>
          </w:p>
        </w:tc>
        <w:tc>
          <w:tcPr>
            <w:tcW w:w="676" w:type="pct"/>
            <w:vAlign w:val="center"/>
          </w:tcPr>
          <w:p w14:paraId="127C34C3" w14:textId="77777777" w:rsidR="00EA5BBF" w:rsidRPr="001570EA" w:rsidRDefault="003B5E04">
            <w:pPr>
              <w:pStyle w:val="TableCell"/>
              <w:keepNext w:val="0"/>
              <w:jc w:val="center"/>
              <w:rPr>
                <w:rFonts w:eastAsia="Arial Unicode MS" w:cs="Arial"/>
              </w:rPr>
            </w:pPr>
            <m:oMathPara>
              <m:oMath>
                <m:sSub>
                  <m:sSubPr>
                    <m:ctrlPr>
                      <w:rPr>
                        <w:rFonts w:ascii="Cambria Math" w:eastAsia="Arial Unicode MS" w:hAnsi="Cambria Math" w:cs="Arial"/>
                        <w:i/>
                      </w:rPr>
                    </m:ctrlPr>
                  </m:sSubPr>
                  <m:e>
                    <m:r>
                      <w:rPr>
                        <w:rFonts w:ascii="Cambria Math" w:eastAsia="Arial Unicode MS" w:hAnsi="Cambria Math" w:cs="Arial"/>
                      </w:rPr>
                      <m:t>CFM</m:t>
                    </m:r>
                  </m:e>
                  <m:sub>
                    <m:r>
                      <w:rPr>
                        <w:rFonts w:ascii="Cambria Math" w:eastAsia="Arial Unicode MS" w:hAnsi="Cambria Math" w:cs="Arial"/>
                      </w:rPr>
                      <m:t>50</m:t>
                    </m:r>
                  </m:sub>
                </m:sSub>
              </m:oMath>
            </m:oMathPara>
          </w:p>
        </w:tc>
        <w:tc>
          <w:tcPr>
            <w:tcW w:w="1340" w:type="pct"/>
            <w:shd w:val="clear" w:color="auto" w:fill="auto"/>
            <w:vAlign w:val="center"/>
          </w:tcPr>
          <w:p w14:paraId="4200D556" w14:textId="77777777" w:rsidR="00EA5BBF" w:rsidRPr="001570EA" w:rsidRDefault="00EA5BBF">
            <w:pPr>
              <w:pStyle w:val="TableCell"/>
              <w:keepNext w:val="0"/>
              <w:jc w:val="center"/>
              <w:rPr>
                <w:rFonts w:eastAsia="Arial" w:cs="Arial"/>
              </w:rPr>
            </w:pPr>
            <w:r w:rsidRPr="001570EA">
              <w:t>Measured, EDC Data Gathering</w:t>
            </w:r>
          </w:p>
        </w:tc>
        <w:tc>
          <w:tcPr>
            <w:tcW w:w="824" w:type="pct"/>
            <w:vAlign w:val="center"/>
          </w:tcPr>
          <w:p w14:paraId="35051C6F" w14:textId="77777777" w:rsidR="00EA5BBF" w:rsidRPr="001570EA" w:rsidRDefault="00EA5BBF">
            <w:pPr>
              <w:pStyle w:val="TableCell"/>
              <w:keepNext w:val="0"/>
              <w:jc w:val="center"/>
              <w:rPr>
                <w:rFonts w:eastAsia="Arial Unicode MS" w:cs="Arial"/>
              </w:rPr>
            </w:pPr>
            <w:r w:rsidRPr="001570EA">
              <w:t>EDC Data Gathering</w:t>
            </w:r>
          </w:p>
        </w:tc>
      </w:tr>
      <w:tr w:rsidR="00EA5BBF" w:rsidRPr="001570EA" w14:paraId="4AE484E6" w14:textId="77777777">
        <w:tc>
          <w:tcPr>
            <w:tcW w:w="2160" w:type="pct"/>
            <w:shd w:val="clear" w:color="auto" w:fill="auto"/>
            <w:vAlign w:val="center"/>
          </w:tcPr>
          <w:p w14:paraId="1EAC92C5" w14:textId="2C34D268" w:rsidR="00EA5BBF" w:rsidRPr="001570EA" w:rsidRDefault="00EA5BBF">
            <w:pPr>
              <w:pStyle w:val="TableCell"/>
              <w:keepNext w:val="0"/>
              <w:jc w:val="left"/>
              <w:rPr>
                <w:rFonts w:eastAsia="Arial" w:cs="Arial"/>
              </w:rPr>
            </w:pPr>
            <m:oMath>
              <m:r>
                <w:rPr>
                  <w:rFonts w:ascii="Cambria Math" w:hAnsi="Cambria Math" w:cs="Arial"/>
                </w:rPr>
                <m:t>CFM</m:t>
              </m:r>
              <m:sSub>
                <m:sSubPr>
                  <m:ctrlPr>
                    <w:rPr>
                      <w:rFonts w:ascii="Cambria Math" w:hAnsi="Cambria Math" w:cs="Arial"/>
                      <w:i/>
                    </w:rPr>
                  </m:ctrlPr>
                </m:sSubPr>
                <m:e>
                  <m:r>
                    <w:rPr>
                      <w:rFonts w:ascii="Cambria Math" w:hAnsi="Cambria Math" w:cs="Arial"/>
                    </w:rPr>
                    <m:t>50</m:t>
                  </m:r>
                </m:e>
                <m:sub>
                  <m:r>
                    <w:rPr>
                      <w:rFonts w:ascii="Cambria Math" w:hAnsi="Cambria Math" w:cs="Arial"/>
                    </w:rPr>
                    <m:t>ee</m:t>
                  </m:r>
                </m:sub>
              </m:sSub>
            </m:oMath>
            <w:r w:rsidRPr="001570EA">
              <w:t>, Infiltration at 50 Pa post air sealing</w:t>
            </w:r>
          </w:p>
        </w:tc>
        <w:tc>
          <w:tcPr>
            <w:tcW w:w="676" w:type="pct"/>
            <w:vAlign w:val="center"/>
          </w:tcPr>
          <w:p w14:paraId="5D87558C" w14:textId="77777777" w:rsidR="00EA5BBF" w:rsidRPr="001570EA" w:rsidRDefault="003B5E04">
            <w:pPr>
              <w:pStyle w:val="TableCell"/>
              <w:keepNext w:val="0"/>
              <w:jc w:val="center"/>
              <w:rPr>
                <w:rFonts w:eastAsia="Arial Unicode MS" w:cs="Arial"/>
              </w:rPr>
            </w:pPr>
            <m:oMathPara>
              <m:oMath>
                <m:sSub>
                  <m:sSubPr>
                    <m:ctrlPr>
                      <w:rPr>
                        <w:rFonts w:ascii="Cambria Math" w:eastAsia="Arial Unicode MS" w:hAnsi="Cambria Math" w:cs="Arial"/>
                        <w:i/>
                      </w:rPr>
                    </m:ctrlPr>
                  </m:sSubPr>
                  <m:e>
                    <m:r>
                      <w:rPr>
                        <w:rFonts w:ascii="Cambria Math" w:eastAsia="Arial Unicode MS" w:hAnsi="Cambria Math" w:cs="Arial"/>
                      </w:rPr>
                      <m:t>CFM</m:t>
                    </m:r>
                  </m:e>
                  <m:sub>
                    <m:r>
                      <w:rPr>
                        <w:rFonts w:ascii="Cambria Math" w:eastAsia="Arial Unicode MS" w:hAnsi="Cambria Math" w:cs="Arial"/>
                      </w:rPr>
                      <m:t>50</m:t>
                    </m:r>
                  </m:sub>
                </m:sSub>
              </m:oMath>
            </m:oMathPara>
          </w:p>
        </w:tc>
        <w:tc>
          <w:tcPr>
            <w:tcW w:w="1340" w:type="pct"/>
            <w:shd w:val="clear" w:color="auto" w:fill="auto"/>
            <w:vAlign w:val="center"/>
          </w:tcPr>
          <w:p w14:paraId="2BE9CEBA" w14:textId="77777777" w:rsidR="00EA5BBF" w:rsidRPr="001570EA" w:rsidRDefault="00EA5BBF">
            <w:pPr>
              <w:pStyle w:val="TableCell"/>
              <w:keepNext w:val="0"/>
              <w:jc w:val="center"/>
              <w:rPr>
                <w:rFonts w:ascii="Arial,Arial Unicode MS" w:eastAsia="Arial,Arial Unicode MS" w:hAnsi="Arial,Arial Unicode MS" w:cs="Arial,Arial Unicode MS"/>
              </w:rPr>
            </w:pPr>
            <w:r w:rsidRPr="001570EA">
              <w:t>Measured, EDC Data Gathering</w:t>
            </w:r>
          </w:p>
        </w:tc>
        <w:tc>
          <w:tcPr>
            <w:tcW w:w="824" w:type="pct"/>
            <w:vAlign w:val="center"/>
          </w:tcPr>
          <w:p w14:paraId="43AC7A81" w14:textId="77777777" w:rsidR="00EA5BBF" w:rsidRPr="001570EA" w:rsidRDefault="00EA5BBF">
            <w:pPr>
              <w:pStyle w:val="TableCell"/>
              <w:keepNext w:val="0"/>
              <w:jc w:val="center"/>
              <w:rPr>
                <w:rFonts w:eastAsia="Arial Unicode MS" w:cs="Arial"/>
              </w:rPr>
            </w:pPr>
            <w:r w:rsidRPr="001570EA">
              <w:t>EDC Data Gathering</w:t>
            </w:r>
          </w:p>
        </w:tc>
      </w:tr>
      <w:tr w:rsidR="00EA5BBF" w:rsidRPr="001570EA" w14:paraId="0621EE69" w14:textId="77777777">
        <w:tc>
          <w:tcPr>
            <w:tcW w:w="2160" w:type="pct"/>
            <w:shd w:val="clear" w:color="auto" w:fill="auto"/>
            <w:vAlign w:val="center"/>
          </w:tcPr>
          <w:p w14:paraId="3BCB43D2" w14:textId="0178ABFD" w:rsidR="00EA5BBF" w:rsidRPr="001570EA" w:rsidRDefault="00EA5BBF">
            <w:pPr>
              <w:pStyle w:val="TableCell"/>
              <w:keepNext w:val="0"/>
              <w:jc w:val="left"/>
            </w:pPr>
            <w:r w:rsidRPr="001570EA">
              <w:rPr>
                <w:i/>
                <w:iCs/>
              </w:rPr>
              <w:t>CondVol</w:t>
            </w:r>
            <w:r w:rsidR="001C7E9D">
              <w:rPr>
                <w:i/>
                <w:iCs/>
              </w:rPr>
              <w:t>,</w:t>
            </w:r>
            <w:r w:rsidRPr="001570EA">
              <w:t xml:space="preserve"> Conditioned volume of the home</w:t>
            </w:r>
          </w:p>
        </w:tc>
        <w:tc>
          <w:tcPr>
            <w:tcW w:w="676" w:type="pct"/>
            <w:vAlign w:val="center"/>
          </w:tcPr>
          <w:p w14:paraId="7FF5A813" w14:textId="77777777" w:rsidR="00EA5BBF" w:rsidRPr="001570EA" w:rsidRDefault="00EA5BBF">
            <w:pPr>
              <w:pStyle w:val="TableCell"/>
              <w:keepNext w:val="0"/>
              <w:jc w:val="center"/>
              <w:rPr>
                <w:rFonts w:eastAsia="Arial" w:cs="Arial"/>
                <w:i/>
                <w:iCs/>
              </w:rPr>
            </w:pPr>
            <w:r w:rsidRPr="001570EA">
              <w:rPr>
                <w:rFonts w:eastAsia="Arial" w:cs="Arial"/>
                <w:i/>
                <w:iCs/>
              </w:rPr>
              <w:t>ft</w:t>
            </w:r>
            <w:r w:rsidRPr="001570EA">
              <w:rPr>
                <w:rFonts w:eastAsia="Arial" w:cs="Arial"/>
                <w:i/>
                <w:iCs/>
                <w:vertAlign w:val="superscript"/>
              </w:rPr>
              <w:t>3</w:t>
            </w:r>
          </w:p>
        </w:tc>
        <w:tc>
          <w:tcPr>
            <w:tcW w:w="1340" w:type="pct"/>
            <w:shd w:val="clear" w:color="auto" w:fill="auto"/>
            <w:vAlign w:val="center"/>
          </w:tcPr>
          <w:p w14:paraId="0E3DEA79" w14:textId="77777777" w:rsidR="00EA5BBF" w:rsidRPr="001570EA" w:rsidRDefault="00EA5BBF">
            <w:pPr>
              <w:pStyle w:val="TableCell"/>
              <w:keepNext w:val="0"/>
              <w:jc w:val="center"/>
            </w:pPr>
            <w:r w:rsidRPr="001570EA">
              <w:t>Measured, EDC Data Gathering</w:t>
            </w:r>
          </w:p>
        </w:tc>
        <w:tc>
          <w:tcPr>
            <w:tcW w:w="824" w:type="pct"/>
            <w:vAlign w:val="center"/>
          </w:tcPr>
          <w:p w14:paraId="7858EA50" w14:textId="77777777" w:rsidR="00EA5BBF" w:rsidRPr="001570EA" w:rsidRDefault="00EA5BBF">
            <w:pPr>
              <w:pStyle w:val="TableCell"/>
              <w:keepNext w:val="0"/>
              <w:jc w:val="center"/>
            </w:pPr>
            <w:r w:rsidRPr="001570EA">
              <w:t>EDC Data Gathering</w:t>
            </w:r>
          </w:p>
        </w:tc>
      </w:tr>
      <w:tr w:rsidR="00EA5BBF" w:rsidRPr="001570EA" w14:paraId="31E417BF" w14:textId="77777777">
        <w:tc>
          <w:tcPr>
            <w:tcW w:w="2160" w:type="pct"/>
            <w:shd w:val="clear" w:color="auto" w:fill="auto"/>
            <w:vAlign w:val="center"/>
          </w:tcPr>
          <w:p w14:paraId="5EC3E29F" w14:textId="0D6AB1F9" w:rsidR="00EA5BBF" w:rsidRPr="001570EA" w:rsidRDefault="003B5E04">
            <w:pPr>
              <w:pStyle w:val="TableCell"/>
              <w:keepNext w:val="0"/>
              <w:jc w:val="left"/>
            </w:pPr>
            <m:oMath>
              <m:sSub>
                <m:sSubPr>
                  <m:ctrlPr>
                    <w:rPr>
                      <w:rFonts w:ascii="Cambria Math" w:hAnsi="Cambria Math" w:cs="Arial"/>
                      <w:i/>
                    </w:rPr>
                  </m:ctrlPr>
                </m:sSubPr>
                <m:e>
                  <m:r>
                    <w:rPr>
                      <w:rFonts w:ascii="Cambria Math" w:hAnsi="Cambria Math" w:cs="Arial"/>
                    </w:rPr>
                    <m:t>Duct</m:t>
                  </m:r>
                </m:e>
                <m:sub>
                  <m:r>
                    <w:rPr>
                      <w:rFonts w:ascii="Cambria Math" w:hAnsi="Cambria Math" w:cs="Arial"/>
                    </w:rPr>
                    <m:t>base</m:t>
                  </m:r>
                </m:sub>
              </m:sSub>
            </m:oMath>
            <w:r w:rsidR="00EA5BBF" w:rsidRPr="001570EA">
              <w:t>, Baseline duct efficiency</w:t>
            </w:r>
          </w:p>
        </w:tc>
        <w:tc>
          <w:tcPr>
            <w:tcW w:w="676" w:type="pct"/>
            <w:vAlign w:val="center"/>
          </w:tcPr>
          <w:p w14:paraId="1BD9DB9C" w14:textId="77777777" w:rsidR="00EA5BBF" w:rsidRPr="001570EA" w:rsidRDefault="00EA5BBF">
            <w:pPr>
              <w:pStyle w:val="TableCell"/>
              <w:keepNext w:val="0"/>
              <w:jc w:val="center"/>
              <w:rPr>
                <w:rFonts w:eastAsia="Arial" w:cs="Arial"/>
                <w:i/>
                <w:iCs/>
              </w:rPr>
            </w:pPr>
            <w:r w:rsidRPr="001570EA">
              <w:rPr>
                <w:rFonts w:eastAsia="Arial" w:cs="Arial"/>
                <w:i/>
                <w:iCs/>
              </w:rPr>
              <w:t>None</w:t>
            </w:r>
          </w:p>
        </w:tc>
        <w:tc>
          <w:tcPr>
            <w:tcW w:w="1340" w:type="pct"/>
            <w:shd w:val="clear" w:color="auto" w:fill="auto"/>
            <w:vAlign w:val="center"/>
          </w:tcPr>
          <w:p w14:paraId="0FCAAE17" w14:textId="0EFC567D" w:rsidR="00EA5BBF" w:rsidRPr="001570EA" w:rsidRDefault="00EA5BBF">
            <w:pPr>
              <w:pStyle w:val="TableCell"/>
              <w:keepNext w:val="0"/>
              <w:jc w:val="center"/>
            </w:pPr>
            <w:r w:rsidRPr="001570EA">
              <w:t xml:space="preserve">EDC Data Gathering: measured value, or appropriate value selected from </w:t>
            </w:r>
            <w:r w:rsidRPr="001570EA">
              <w:fldChar w:fldCharType="begin"/>
            </w:r>
            <w:r w:rsidRPr="001570EA">
              <w:instrText xml:space="preserve"> REF _Ref531072530 \h  \* MERGEFORMAT </w:instrText>
            </w:r>
            <w:r w:rsidRPr="001570EA">
              <w:fldChar w:fldCharType="separate"/>
            </w:r>
            <w:r w:rsidR="00234C6C" w:rsidRPr="001570EA">
              <w:t xml:space="preserve">Table </w:t>
            </w:r>
            <w:r w:rsidR="00234C6C" w:rsidRPr="001570EA">
              <w:rPr>
                <w:noProof/>
              </w:rPr>
              <w:t>2</w:t>
            </w:r>
            <w:r w:rsidR="00234C6C" w:rsidRPr="001570EA">
              <w:rPr>
                <w:noProof/>
              </w:rPr>
              <w:noBreakHyphen/>
              <w:t>40</w:t>
            </w:r>
            <w:r w:rsidRPr="001570EA">
              <w:fldChar w:fldCharType="end"/>
            </w:r>
            <w:r w:rsidRPr="001570EA">
              <w:t xml:space="preserve"> in Sec. </w:t>
            </w:r>
            <w:r w:rsidRPr="001570EA">
              <w:fldChar w:fldCharType="begin"/>
            </w:r>
            <w:r w:rsidRPr="001570EA">
              <w:instrText xml:space="preserve"> REF _Ref12380838 \w \h  \* MERGEFORMAT </w:instrText>
            </w:r>
            <w:r w:rsidRPr="001570EA">
              <w:fldChar w:fldCharType="separate"/>
            </w:r>
            <w:r w:rsidR="00234C6C" w:rsidRPr="001570EA">
              <w:t>2.2.10</w:t>
            </w:r>
            <w:r w:rsidRPr="001570EA">
              <w:fldChar w:fldCharType="end"/>
            </w:r>
          </w:p>
        </w:tc>
        <w:tc>
          <w:tcPr>
            <w:tcW w:w="824" w:type="pct"/>
            <w:vAlign w:val="center"/>
          </w:tcPr>
          <w:p w14:paraId="6D856798" w14:textId="77777777" w:rsidR="00EA5BBF" w:rsidRPr="001570EA" w:rsidRDefault="00EA5BBF">
            <w:pPr>
              <w:pStyle w:val="TableCell"/>
              <w:keepNext w:val="0"/>
              <w:jc w:val="center"/>
              <w:rPr>
                <w:rFonts w:eastAsia="Arial Unicode MS" w:cs="Arial"/>
              </w:rPr>
            </w:pPr>
            <w:r w:rsidRPr="001570EA">
              <w:t>EDC Data Gathering</w:t>
            </w:r>
          </w:p>
        </w:tc>
      </w:tr>
      <w:tr w:rsidR="00EA5BBF" w:rsidRPr="001570EA" w14:paraId="2C79BFAB" w14:textId="77777777">
        <w:tc>
          <w:tcPr>
            <w:tcW w:w="2160" w:type="pct"/>
            <w:shd w:val="clear" w:color="auto" w:fill="auto"/>
            <w:vAlign w:val="center"/>
          </w:tcPr>
          <w:p w14:paraId="166FD906" w14:textId="513A659D" w:rsidR="00EA5BBF" w:rsidRPr="001570EA" w:rsidRDefault="003B5E04">
            <w:pPr>
              <w:pStyle w:val="TableCell"/>
              <w:keepNext w:val="0"/>
              <w:jc w:val="left"/>
            </w:pPr>
            <m:oMath>
              <m:sSub>
                <m:sSubPr>
                  <m:ctrlPr>
                    <w:rPr>
                      <w:rFonts w:ascii="Cambria Math" w:hAnsi="Cambria Math" w:cs="Arial"/>
                      <w:i/>
                    </w:rPr>
                  </m:ctrlPr>
                </m:sSubPr>
                <m:e>
                  <m:r>
                    <w:rPr>
                      <w:rFonts w:ascii="Cambria Math" w:hAnsi="Cambria Math" w:cs="Arial"/>
                    </w:rPr>
                    <m:t>Duct</m:t>
                  </m:r>
                </m:e>
                <m:sub>
                  <m:r>
                    <w:rPr>
                      <w:rFonts w:ascii="Cambria Math" w:hAnsi="Cambria Math" w:cs="Arial"/>
                    </w:rPr>
                    <m:t>proto</m:t>
                  </m:r>
                </m:sub>
              </m:sSub>
            </m:oMath>
            <w:r w:rsidR="00EA5BBF" w:rsidRPr="001570EA">
              <w:t>, Prototype duct efficiency</w:t>
            </w:r>
          </w:p>
        </w:tc>
        <w:tc>
          <w:tcPr>
            <w:tcW w:w="676" w:type="pct"/>
            <w:vAlign w:val="center"/>
          </w:tcPr>
          <w:p w14:paraId="5BE57E77" w14:textId="77777777" w:rsidR="00EA5BBF" w:rsidRPr="001570EA" w:rsidRDefault="00EA5BBF">
            <w:pPr>
              <w:pStyle w:val="TableCell"/>
              <w:keepNext w:val="0"/>
              <w:jc w:val="center"/>
              <w:rPr>
                <w:rFonts w:eastAsia="Arial" w:cs="Arial"/>
                <w:i/>
                <w:iCs/>
              </w:rPr>
            </w:pPr>
            <w:r w:rsidRPr="001570EA">
              <w:rPr>
                <w:rFonts w:eastAsia="Arial" w:cs="Arial"/>
                <w:i/>
                <w:iCs/>
              </w:rPr>
              <w:t>None</w:t>
            </w:r>
          </w:p>
        </w:tc>
        <w:tc>
          <w:tcPr>
            <w:tcW w:w="1340" w:type="pct"/>
            <w:shd w:val="clear" w:color="auto" w:fill="auto"/>
            <w:vAlign w:val="center"/>
          </w:tcPr>
          <w:p w14:paraId="0E31796B" w14:textId="3F7F6C22" w:rsidR="00EA5BBF" w:rsidRPr="001570EA" w:rsidRDefault="00EA5BBF">
            <w:pPr>
              <w:pStyle w:val="TableCell"/>
              <w:keepNext w:val="0"/>
              <w:jc w:val="center"/>
            </w:pPr>
            <w:r w:rsidRPr="001570EA">
              <w:t xml:space="preserve">Default: See </w:t>
            </w:r>
            <w:r w:rsidRPr="001570EA">
              <w:fldChar w:fldCharType="begin"/>
            </w:r>
            <w:r w:rsidRPr="001570EA">
              <w:instrText xml:space="preserve"> REF _Ref531072530 \h  \* MERGEFORMAT </w:instrText>
            </w:r>
            <w:r w:rsidRPr="001570EA">
              <w:fldChar w:fldCharType="separate"/>
            </w:r>
            <w:r w:rsidR="00234C6C" w:rsidRPr="001570EA">
              <w:t>Table 2</w:t>
            </w:r>
            <w:r w:rsidR="00234C6C" w:rsidRPr="001570EA">
              <w:noBreakHyphen/>
              <w:t>40</w:t>
            </w:r>
            <w:r w:rsidRPr="001570EA">
              <w:fldChar w:fldCharType="end"/>
            </w:r>
            <w:r w:rsidRPr="001570EA">
              <w:t xml:space="preserve"> in Sec. </w:t>
            </w:r>
            <w:r w:rsidRPr="001570EA">
              <w:fldChar w:fldCharType="begin"/>
            </w:r>
            <w:r w:rsidRPr="001570EA">
              <w:instrText xml:space="preserve"> REF _Ref12380838 \w \h  \* MERGEFORMAT </w:instrText>
            </w:r>
            <w:r w:rsidRPr="001570EA">
              <w:fldChar w:fldCharType="separate"/>
            </w:r>
            <w:r w:rsidR="00234C6C" w:rsidRPr="001570EA">
              <w:t>2.2.10</w:t>
            </w:r>
            <w:r w:rsidRPr="001570EA">
              <w:fldChar w:fldCharType="end"/>
            </w:r>
            <w:r w:rsidRPr="001570EA">
              <w:t xml:space="preserve"> for “R-2 Average Basement + 50% Conditioned”</w:t>
            </w:r>
          </w:p>
        </w:tc>
        <w:tc>
          <w:tcPr>
            <w:tcW w:w="824" w:type="pct"/>
            <w:vAlign w:val="center"/>
          </w:tcPr>
          <w:p w14:paraId="1B0BBDB6" w14:textId="77777777" w:rsidR="00EA5BBF" w:rsidRPr="001570EA" w:rsidRDefault="00EA5BBF">
            <w:pPr>
              <w:pStyle w:val="TableCell"/>
              <w:keepNext w:val="0"/>
              <w:jc w:val="center"/>
              <w:rPr>
                <w:rFonts w:eastAsia="Arial Unicode MS" w:cs="Arial"/>
              </w:rPr>
            </w:pPr>
            <w:r w:rsidRPr="001570EA">
              <w:rPr>
                <w:rFonts w:eastAsia="Arial Unicode MS" w:cs="Arial"/>
              </w:rPr>
              <w:t>4</w:t>
            </w:r>
          </w:p>
        </w:tc>
      </w:tr>
      <w:tr w:rsidR="00EA5BBF" w:rsidRPr="001570EA" w14:paraId="7C3AA504" w14:textId="77777777">
        <w:tc>
          <w:tcPr>
            <w:tcW w:w="2160" w:type="pct"/>
            <w:shd w:val="clear" w:color="auto" w:fill="auto"/>
            <w:vAlign w:val="center"/>
          </w:tcPr>
          <w:p w14:paraId="55BAC0B6" w14:textId="48591A4E" w:rsidR="00EA5BBF" w:rsidRPr="001570EA" w:rsidRDefault="003B5E04">
            <w:pPr>
              <w:pStyle w:val="TableCell"/>
              <w:keepNext w:val="0"/>
              <w:jc w:val="left"/>
            </w:pPr>
            <m:oMath>
              <m:sSub>
                <m:sSubPr>
                  <m:ctrlPr>
                    <w:rPr>
                      <w:rFonts w:ascii="Cambria Math" w:hAnsi="Cambria Math" w:cs="Arial"/>
                      <w:i/>
                    </w:rPr>
                  </m:ctrlPr>
                </m:sSubPr>
                <m:e>
                  <m:r>
                    <w:rPr>
                      <w:rFonts w:ascii="Cambria Math" w:hAnsi="Cambria Math" w:cs="Arial"/>
                    </w:rPr>
                    <m:t>η</m:t>
                  </m:r>
                </m:e>
                <m:sub>
                  <m:r>
                    <w:rPr>
                      <w:rFonts w:ascii="Cambria Math" w:hAnsi="Cambria Math" w:cs="Arial"/>
                    </w:rPr>
                    <m:t>base</m:t>
                  </m:r>
                </m:sub>
              </m:sSub>
            </m:oMath>
            <w:r w:rsidR="00EA5BBF" w:rsidRPr="001570EA">
              <w:t>, Baseline equipment efficiency</w:t>
            </w:r>
          </w:p>
        </w:tc>
        <w:tc>
          <w:tcPr>
            <w:tcW w:w="676" w:type="pct"/>
            <w:vAlign w:val="center"/>
          </w:tcPr>
          <w:p w14:paraId="787FEBCB" w14:textId="77777777" w:rsidR="00EA5BBF" w:rsidRPr="001570EA" w:rsidRDefault="00EA5BBF">
            <w:pPr>
              <w:pStyle w:val="TableCell"/>
              <w:keepNext w:val="0"/>
              <w:jc w:val="center"/>
              <w:rPr>
                <w:rFonts w:eastAsia="Arial" w:cs="Arial"/>
                <w:i/>
                <w:iCs/>
              </w:rPr>
            </w:pPr>
            <w:r w:rsidRPr="001570EA">
              <w:rPr>
                <w:rFonts w:eastAsia="Arial" w:cs="Arial"/>
                <w:i/>
                <w:iCs/>
              </w:rPr>
              <w:t>varies</w:t>
            </w:r>
          </w:p>
        </w:tc>
        <w:tc>
          <w:tcPr>
            <w:tcW w:w="1340" w:type="pct"/>
            <w:shd w:val="clear" w:color="auto" w:fill="auto"/>
            <w:vAlign w:val="center"/>
          </w:tcPr>
          <w:p w14:paraId="5E85B73E" w14:textId="77777777" w:rsidR="00EA5BBF" w:rsidRPr="001570EA" w:rsidRDefault="00EA5BBF">
            <w:pPr>
              <w:pStyle w:val="TableCell"/>
              <w:keepNext w:val="0"/>
              <w:jc w:val="center"/>
            </w:pPr>
            <w:r w:rsidRPr="001570EA">
              <w:t>Measured, EDC Data Gathering</w:t>
            </w:r>
          </w:p>
          <w:p w14:paraId="4AD39FF6" w14:textId="77777777" w:rsidR="00EA5BBF" w:rsidRPr="001570EA" w:rsidRDefault="00EA5BBF">
            <w:pPr>
              <w:pStyle w:val="TableCell"/>
              <w:keepNext w:val="0"/>
              <w:jc w:val="center"/>
            </w:pPr>
            <w:r w:rsidRPr="001570EA">
              <w:t xml:space="preserve">Default: </w:t>
            </w:r>
            <m:oMath>
              <m:sSub>
                <m:sSubPr>
                  <m:ctrlPr>
                    <w:rPr>
                      <w:rFonts w:ascii="Cambria Math" w:hAnsi="Cambria Math" w:cs="Arial"/>
                      <w:i/>
                    </w:rPr>
                  </m:ctrlPr>
                </m:sSubPr>
                <m:e>
                  <m:r>
                    <w:rPr>
                      <w:rFonts w:ascii="Cambria Math" w:hAnsi="Cambria Math" w:cs="Arial"/>
                    </w:rPr>
                    <m:t>η</m:t>
                  </m:r>
                </m:e>
                <m:sub>
                  <m:r>
                    <w:rPr>
                      <w:rFonts w:ascii="Cambria Math" w:hAnsi="Cambria Math" w:cs="Arial"/>
                    </w:rPr>
                    <m:t>proto</m:t>
                  </m:r>
                </m:sub>
              </m:sSub>
            </m:oMath>
          </w:p>
        </w:tc>
        <w:tc>
          <w:tcPr>
            <w:tcW w:w="824" w:type="pct"/>
            <w:vAlign w:val="center"/>
          </w:tcPr>
          <w:p w14:paraId="33AC836C" w14:textId="77777777" w:rsidR="00EA5BBF" w:rsidRPr="001570EA" w:rsidRDefault="00EA5BBF">
            <w:pPr>
              <w:pStyle w:val="TableCell"/>
              <w:keepNext w:val="0"/>
              <w:jc w:val="center"/>
              <w:rPr>
                <w:rFonts w:eastAsia="Arial Unicode MS" w:cs="Arial"/>
              </w:rPr>
            </w:pPr>
            <w:r w:rsidRPr="001570EA">
              <w:t>EDC Data Gathering</w:t>
            </w:r>
          </w:p>
        </w:tc>
      </w:tr>
      <w:tr w:rsidR="00EA5BBF" w:rsidRPr="001570EA" w14:paraId="25BDC450" w14:textId="77777777">
        <w:tc>
          <w:tcPr>
            <w:tcW w:w="2160" w:type="pct"/>
            <w:shd w:val="clear" w:color="auto" w:fill="auto"/>
            <w:vAlign w:val="center"/>
          </w:tcPr>
          <w:p w14:paraId="70D98209" w14:textId="1D52F176" w:rsidR="00EA5BBF" w:rsidRPr="001570EA" w:rsidRDefault="003B5E04">
            <w:pPr>
              <w:pStyle w:val="TableCell"/>
              <w:keepNext w:val="0"/>
              <w:jc w:val="left"/>
            </w:pPr>
            <m:oMath>
              <m:sSub>
                <m:sSubPr>
                  <m:ctrlPr>
                    <w:rPr>
                      <w:rFonts w:ascii="Cambria Math" w:hAnsi="Cambria Math" w:cs="Arial"/>
                      <w:i/>
                    </w:rPr>
                  </m:ctrlPr>
                </m:sSubPr>
                <m:e>
                  <m:r>
                    <w:rPr>
                      <w:rFonts w:ascii="Cambria Math" w:hAnsi="Cambria Math" w:cs="Arial"/>
                    </w:rPr>
                    <m:t>η</m:t>
                  </m:r>
                </m:e>
                <m:sub>
                  <m:r>
                    <w:rPr>
                      <w:rFonts w:ascii="Cambria Math" w:hAnsi="Cambria Math" w:cs="Arial"/>
                    </w:rPr>
                    <m:t>proto</m:t>
                  </m:r>
                </m:sub>
              </m:sSub>
            </m:oMath>
            <w:r w:rsidR="00EA5BBF" w:rsidRPr="001570EA">
              <w:t>, Prototype equipment efficiency</w:t>
            </w:r>
          </w:p>
        </w:tc>
        <w:tc>
          <w:tcPr>
            <w:tcW w:w="676" w:type="pct"/>
            <w:vAlign w:val="center"/>
          </w:tcPr>
          <w:p w14:paraId="635E8F93" w14:textId="77777777" w:rsidR="00EA5BBF" w:rsidRPr="001570EA" w:rsidRDefault="00EA5BBF">
            <w:pPr>
              <w:pStyle w:val="TableCell"/>
              <w:keepNext w:val="0"/>
              <w:jc w:val="center"/>
              <w:rPr>
                <w:rFonts w:eastAsia="Arial" w:cs="Arial"/>
                <w:i/>
                <w:iCs/>
              </w:rPr>
            </w:pPr>
            <w:r w:rsidRPr="001570EA">
              <w:rPr>
                <w:rFonts w:eastAsia="Arial" w:cs="Arial"/>
                <w:i/>
                <w:iCs/>
              </w:rPr>
              <w:t>varies</w:t>
            </w:r>
          </w:p>
        </w:tc>
        <w:tc>
          <w:tcPr>
            <w:tcW w:w="1340" w:type="pct"/>
            <w:shd w:val="clear" w:color="auto" w:fill="auto"/>
            <w:vAlign w:val="center"/>
          </w:tcPr>
          <w:p w14:paraId="3DB6E16E" w14:textId="7C8248D1" w:rsidR="00EA5BBF" w:rsidRPr="001570EA" w:rsidRDefault="00EA5BBF">
            <w:pPr>
              <w:pStyle w:val="TableCell"/>
              <w:keepNext w:val="0"/>
              <w:jc w:val="center"/>
              <w:rPr>
                <w:szCs w:val="18"/>
              </w:rPr>
            </w:pPr>
            <w:r w:rsidRPr="001570EA">
              <w:rPr>
                <w:szCs w:val="18"/>
              </w:rPr>
              <w:t xml:space="preserve">See </w:t>
            </w:r>
            <w:r w:rsidRPr="001570EA">
              <w:rPr>
                <w:szCs w:val="18"/>
              </w:rPr>
              <w:fldChar w:fldCharType="begin"/>
            </w:r>
            <w:r w:rsidRPr="001570EA">
              <w:rPr>
                <w:szCs w:val="18"/>
              </w:rPr>
              <w:instrText xml:space="preserve"> REF _Ref154048449 \h  \* MERGEFORMAT </w:instrText>
            </w:r>
            <w:r w:rsidRPr="001570EA">
              <w:rPr>
                <w:szCs w:val="18"/>
              </w:rPr>
            </w:r>
            <w:r w:rsidRPr="001570EA">
              <w:rPr>
                <w:szCs w:val="18"/>
              </w:rPr>
              <w:fldChar w:fldCharType="separate"/>
            </w:r>
            <w:r w:rsidR="00234C6C" w:rsidRPr="001570EA">
              <w:t>Table 2</w:t>
            </w:r>
            <w:r w:rsidR="00234C6C" w:rsidRPr="001570EA">
              <w:noBreakHyphen/>
              <w:t>151</w:t>
            </w:r>
            <w:r w:rsidRPr="001570EA">
              <w:rPr>
                <w:szCs w:val="18"/>
              </w:rPr>
              <w:fldChar w:fldCharType="end"/>
            </w:r>
            <w:r w:rsidRPr="001570EA">
              <w:rPr>
                <w:szCs w:val="18"/>
              </w:rPr>
              <w:t xml:space="preserve"> in </w:t>
            </w:r>
            <w:r w:rsidRPr="001570EA">
              <w:rPr>
                <w:szCs w:val="18"/>
              </w:rPr>
              <w:fldChar w:fldCharType="begin"/>
            </w:r>
            <w:r w:rsidRPr="001570EA">
              <w:rPr>
                <w:szCs w:val="18"/>
              </w:rPr>
              <w:instrText xml:space="preserve"> REF _Ref154048490 \r \h  \* MERGEFORMAT </w:instrText>
            </w:r>
            <w:r w:rsidRPr="001570EA">
              <w:rPr>
                <w:szCs w:val="18"/>
              </w:rPr>
            </w:r>
            <w:r w:rsidRPr="001570EA">
              <w:rPr>
                <w:szCs w:val="18"/>
              </w:rPr>
              <w:fldChar w:fldCharType="separate"/>
            </w:r>
            <w:r w:rsidR="00234C6C" w:rsidRPr="001570EA">
              <w:rPr>
                <w:szCs w:val="18"/>
              </w:rPr>
              <w:t>2.6.5</w:t>
            </w:r>
            <w:r w:rsidRPr="001570EA">
              <w:rPr>
                <w:szCs w:val="18"/>
              </w:rPr>
              <w:fldChar w:fldCharType="end"/>
            </w:r>
          </w:p>
        </w:tc>
        <w:tc>
          <w:tcPr>
            <w:tcW w:w="824" w:type="pct"/>
            <w:vAlign w:val="center"/>
          </w:tcPr>
          <w:p w14:paraId="2BF3096F" w14:textId="77777777" w:rsidR="00EA5BBF" w:rsidRPr="001570EA" w:rsidRDefault="00EA5BBF">
            <w:pPr>
              <w:pStyle w:val="TableCell"/>
              <w:keepNext w:val="0"/>
              <w:jc w:val="center"/>
              <w:rPr>
                <w:rFonts w:eastAsia="Arial Unicode MS" w:cs="Arial"/>
              </w:rPr>
            </w:pPr>
            <w:r w:rsidRPr="001570EA">
              <w:rPr>
                <w:rFonts w:eastAsia="Arial Unicode MS" w:cs="Arial"/>
              </w:rPr>
              <w:t>5</w:t>
            </w:r>
          </w:p>
        </w:tc>
      </w:tr>
      <w:tr w:rsidR="00EA5BBF" w:rsidRPr="001570EA" w14:paraId="6B7C04D9" w14:textId="77777777">
        <w:tc>
          <w:tcPr>
            <w:tcW w:w="2160" w:type="pct"/>
            <w:shd w:val="clear" w:color="auto" w:fill="auto"/>
            <w:vAlign w:val="center"/>
          </w:tcPr>
          <w:p w14:paraId="7C20F47F" w14:textId="12060E84" w:rsidR="00EA5BBF" w:rsidRPr="001570EA" w:rsidRDefault="003B5E04">
            <w:pPr>
              <w:pStyle w:val="TableCell"/>
              <w:keepNext w:val="0"/>
              <w:jc w:val="left"/>
              <w:rPr>
                <w:rFonts w:eastAsia="Arial"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 xml:space="preserve"> system</m:t>
                  </m:r>
                </m:sub>
              </m:sSub>
            </m:oMath>
            <w:r w:rsidR="00EA5BBF" w:rsidRPr="001570EA">
              <w:t>, Unit Energy Savings per CFM50</w:t>
            </w:r>
            <w:r w:rsidR="00EA5BBF" w:rsidRPr="001570EA">
              <w:rPr>
                <w:vertAlign w:val="superscript"/>
              </w:rPr>
              <w:t>2</w:t>
            </w:r>
            <w:r w:rsidR="00EA5BBF" w:rsidRPr="001570EA">
              <w:t xml:space="preserve"> of air leakage reduction</w:t>
            </w:r>
          </w:p>
        </w:tc>
        <w:tc>
          <w:tcPr>
            <w:tcW w:w="676" w:type="pct"/>
            <w:vAlign w:val="center"/>
          </w:tcPr>
          <w:p w14:paraId="17509843" w14:textId="77777777" w:rsidR="00EA5BBF" w:rsidRPr="001570EA" w:rsidRDefault="003B5E04">
            <w:pPr>
              <w:pStyle w:val="TableCell"/>
              <w:keepNext w:val="0"/>
              <w:jc w:val="center"/>
              <w:rPr>
                <w:rFonts w:eastAsia="Arial Unicode MS" w:cs="Arial"/>
              </w:rPr>
            </w:pPr>
            <m:oMathPara>
              <m:oMath>
                <m:f>
                  <m:fPr>
                    <m:ctrlPr>
                      <w:rPr>
                        <w:rFonts w:ascii="Cambria Math" w:eastAsia="Arial Unicode MS" w:hAnsi="Cambria Math" w:cs="Arial"/>
                        <w:i/>
                      </w:rPr>
                    </m:ctrlPr>
                  </m:fPr>
                  <m:num>
                    <m:f>
                      <m:fPr>
                        <m:type m:val="skw"/>
                        <m:ctrlPr>
                          <w:rPr>
                            <w:rFonts w:ascii="Cambria Math" w:eastAsia="Arial Unicode MS" w:hAnsi="Cambria Math" w:cs="Arial"/>
                            <w:i/>
                          </w:rPr>
                        </m:ctrlPr>
                      </m:fPr>
                      <m:num>
                        <m:r>
                          <w:rPr>
                            <w:rFonts w:ascii="Cambria Math" w:eastAsia="Arial Unicode MS" w:hAnsi="Cambria Math" w:cs="Arial"/>
                          </w:rPr>
                          <m:t>kWh</m:t>
                        </m:r>
                      </m:num>
                      <m:den>
                        <m:r>
                          <w:rPr>
                            <w:rFonts w:ascii="Cambria Math" w:eastAsia="Arial Unicode MS" w:hAnsi="Cambria Math" w:cs="Arial"/>
                          </w:rPr>
                          <m:t>yr</m:t>
                        </m:r>
                      </m:den>
                    </m:f>
                  </m:num>
                  <m:den>
                    <m:sSup>
                      <m:sSupPr>
                        <m:ctrlPr>
                          <w:rPr>
                            <w:rFonts w:ascii="Cambria Math" w:eastAsia="Arial Unicode MS" w:hAnsi="Cambria Math" w:cs="Arial"/>
                            <w:i/>
                          </w:rPr>
                        </m:ctrlPr>
                      </m:sSupPr>
                      <m:e>
                        <m:sSub>
                          <m:sSubPr>
                            <m:ctrlPr>
                              <w:rPr>
                                <w:rFonts w:ascii="Cambria Math" w:eastAsia="Arial Unicode MS" w:hAnsi="Cambria Math" w:cs="Arial"/>
                                <w:i/>
                              </w:rPr>
                            </m:ctrlPr>
                          </m:sSubPr>
                          <m:e>
                            <m:r>
                              <w:rPr>
                                <w:rFonts w:ascii="Cambria Math" w:eastAsia="Arial Unicode MS" w:hAnsi="Cambria Math" w:cs="Arial"/>
                              </w:rPr>
                              <m:t>CFM</m:t>
                            </m:r>
                          </m:e>
                          <m:sub>
                            <m:r>
                              <w:rPr>
                                <w:rFonts w:ascii="Cambria Math" w:eastAsia="Arial Unicode MS" w:hAnsi="Cambria Math" w:cs="Arial"/>
                              </w:rPr>
                              <m:t>50</m:t>
                            </m:r>
                          </m:sub>
                        </m:sSub>
                      </m:e>
                      <m:sup>
                        <m:r>
                          <w:rPr>
                            <w:rFonts w:ascii="Cambria Math" w:eastAsia="Arial Unicode MS" w:hAnsi="Cambria Math" w:cs="Arial"/>
                          </w:rPr>
                          <m:t>2</m:t>
                        </m:r>
                      </m:sup>
                    </m:sSup>
                  </m:den>
                </m:f>
              </m:oMath>
            </m:oMathPara>
          </w:p>
        </w:tc>
        <w:tc>
          <w:tcPr>
            <w:tcW w:w="1340" w:type="pct"/>
            <w:shd w:val="clear" w:color="auto" w:fill="auto"/>
            <w:vAlign w:val="center"/>
          </w:tcPr>
          <w:p w14:paraId="09EDFA04" w14:textId="295332F4" w:rsidR="00EA5BBF" w:rsidRPr="001570EA" w:rsidRDefault="00EA5BBF">
            <w:pPr>
              <w:jc w:val="center"/>
              <w:rPr>
                <w:rFonts w:eastAsia="Arial"/>
                <w:sz w:val="18"/>
                <w:szCs w:val="18"/>
              </w:rPr>
            </w:pPr>
            <w:r w:rsidRPr="001570EA">
              <w:rPr>
                <w:sz w:val="18"/>
                <w:szCs w:val="18"/>
              </w:rPr>
              <w:t xml:space="preserve">See </w:t>
            </w:r>
            <w:r w:rsidRPr="001570EA">
              <w:rPr>
                <w:sz w:val="18"/>
                <w:szCs w:val="18"/>
              </w:rPr>
              <w:fldChar w:fldCharType="begin"/>
            </w:r>
            <w:r w:rsidRPr="001570EA">
              <w:rPr>
                <w:sz w:val="18"/>
                <w:szCs w:val="18"/>
              </w:rPr>
              <w:instrText xml:space="preserve"> REF _Ref532305512 \h  \* MERGEFORMAT </w:instrText>
            </w:r>
            <w:r w:rsidRPr="001570EA">
              <w:rPr>
                <w:sz w:val="18"/>
                <w:szCs w:val="18"/>
              </w:rPr>
            </w:r>
            <w:r w:rsidRPr="001570EA">
              <w:rPr>
                <w:sz w:val="18"/>
                <w:szCs w:val="18"/>
              </w:rPr>
              <w:fldChar w:fldCharType="separate"/>
            </w:r>
            <w:r w:rsidR="00234C6C" w:rsidRPr="001570EA">
              <w:rPr>
                <w:sz w:val="18"/>
                <w:szCs w:val="18"/>
              </w:rPr>
              <w:t>Table</w:t>
            </w:r>
            <w:r w:rsidR="00234C6C" w:rsidRPr="001570EA">
              <w:rPr>
                <w:noProof/>
                <w:sz w:val="18"/>
                <w:szCs w:val="18"/>
              </w:rPr>
              <w:t xml:space="preserve"> 2</w:t>
            </w:r>
            <w:r w:rsidR="00234C6C" w:rsidRPr="001570EA">
              <w:rPr>
                <w:noProof/>
                <w:sz w:val="18"/>
                <w:szCs w:val="18"/>
              </w:rPr>
              <w:noBreakHyphen/>
              <w:t>132</w:t>
            </w:r>
            <w:r w:rsidRPr="001570EA">
              <w:rPr>
                <w:sz w:val="18"/>
                <w:szCs w:val="18"/>
              </w:rPr>
              <w:fldChar w:fldCharType="end"/>
            </w:r>
          </w:p>
        </w:tc>
        <w:tc>
          <w:tcPr>
            <w:tcW w:w="824" w:type="pct"/>
            <w:vAlign w:val="center"/>
          </w:tcPr>
          <w:p w14:paraId="099D1D5C" w14:textId="77777777" w:rsidR="00EA5BBF" w:rsidRPr="001570EA" w:rsidRDefault="00EA5BBF">
            <w:pPr>
              <w:pStyle w:val="TableCell"/>
              <w:keepNext w:val="0"/>
              <w:jc w:val="center"/>
              <w:rPr>
                <w:rFonts w:cs="Arial"/>
              </w:rPr>
            </w:pPr>
            <w:r w:rsidRPr="001570EA">
              <w:rPr>
                <w:rFonts w:cs="Arial"/>
              </w:rPr>
              <w:t>6</w:t>
            </w:r>
          </w:p>
        </w:tc>
      </w:tr>
      <w:tr w:rsidR="00EA5BBF" w:rsidRPr="001570EA" w14:paraId="663EAA3E" w14:textId="77777777">
        <w:tc>
          <w:tcPr>
            <w:tcW w:w="2160" w:type="pct"/>
            <w:shd w:val="clear" w:color="auto" w:fill="auto"/>
            <w:vAlign w:val="center"/>
          </w:tcPr>
          <w:p w14:paraId="0FD2DC0A" w14:textId="0D679ED8" w:rsidR="00EA5BBF" w:rsidRPr="001570EA" w:rsidRDefault="003B5E04">
            <w:pPr>
              <w:pStyle w:val="TableCell"/>
              <w:keepNext w:val="0"/>
              <w:jc w:val="left"/>
              <w:rPr>
                <w:rFonts w:eastAsia="Arial" w:cs="Arial"/>
              </w:rPr>
            </w:pPr>
            <m:oMath>
              <m:sSub>
                <m:sSubPr>
                  <m:ctrlPr>
                    <w:rPr>
                      <w:rFonts w:ascii="Cambria Math" w:hAnsi="Cambria Math" w:cs="Arial"/>
                      <w:i/>
                    </w:rPr>
                  </m:ctrlPr>
                </m:sSubPr>
                <m:e>
                  <m:r>
                    <w:rPr>
                      <w:rFonts w:ascii="Cambria Math" w:hAnsi="Cambria Math" w:cs="Arial"/>
                    </w:rPr>
                    <m:t>b</m:t>
                  </m:r>
                </m:e>
                <m:sub>
                  <m:r>
                    <m:rPr>
                      <m:sty m:val="p"/>
                    </m:rPr>
                    <w:rPr>
                      <w:rFonts w:ascii="Cambria Math" w:hAnsi="Cambria Math" w:cs="Arial"/>
                    </w:rPr>
                    <m:t xml:space="preserve"> </m:t>
                  </m:r>
                  <m:r>
                    <w:rPr>
                      <w:rFonts w:ascii="Cambria Math" w:hAnsi="Cambria Math" w:cs="Arial"/>
                    </w:rPr>
                    <m:t>system</m:t>
                  </m:r>
                </m:sub>
              </m:sSub>
            </m:oMath>
            <w:r w:rsidR="00EA5BBF" w:rsidRPr="001570EA">
              <w:t>, Unit Energy Savings per CFM50 of air leakage reduction</w:t>
            </w:r>
          </w:p>
        </w:tc>
        <w:tc>
          <w:tcPr>
            <w:tcW w:w="676" w:type="pct"/>
            <w:vAlign w:val="center"/>
          </w:tcPr>
          <w:p w14:paraId="275031FE" w14:textId="77777777" w:rsidR="00EA5BBF" w:rsidRPr="001570EA" w:rsidRDefault="003B5E04">
            <w:pPr>
              <w:pStyle w:val="TableCell"/>
              <w:keepNext w:val="0"/>
              <w:jc w:val="center"/>
              <w:rPr>
                <w:rFonts w:eastAsia="Arial Unicode MS" w:cs="Arial"/>
              </w:rPr>
            </w:pPr>
            <m:oMathPara>
              <m:oMath>
                <m:f>
                  <m:fPr>
                    <m:ctrlPr>
                      <w:rPr>
                        <w:rFonts w:ascii="Cambria Math" w:eastAsia="Arial Unicode MS" w:hAnsi="Cambria Math" w:cs="Arial"/>
                        <w:i/>
                      </w:rPr>
                    </m:ctrlPr>
                  </m:fPr>
                  <m:num>
                    <m:f>
                      <m:fPr>
                        <m:type m:val="skw"/>
                        <m:ctrlPr>
                          <w:rPr>
                            <w:rFonts w:ascii="Cambria Math" w:eastAsia="Arial Unicode MS" w:hAnsi="Cambria Math" w:cs="Arial"/>
                            <w:i/>
                          </w:rPr>
                        </m:ctrlPr>
                      </m:fPr>
                      <m:num>
                        <m:r>
                          <w:rPr>
                            <w:rFonts w:ascii="Cambria Math" w:eastAsia="Arial Unicode MS" w:hAnsi="Cambria Math" w:cs="Arial"/>
                          </w:rPr>
                          <m:t>kWh</m:t>
                        </m:r>
                      </m:num>
                      <m:den>
                        <m:r>
                          <w:rPr>
                            <w:rFonts w:ascii="Cambria Math" w:eastAsia="Arial Unicode MS" w:hAnsi="Cambria Math" w:cs="Arial"/>
                          </w:rPr>
                          <m:t>yr</m:t>
                        </m:r>
                      </m:den>
                    </m:f>
                  </m:num>
                  <m:den>
                    <m:sSub>
                      <m:sSubPr>
                        <m:ctrlPr>
                          <w:rPr>
                            <w:rFonts w:ascii="Cambria Math" w:eastAsia="Arial Unicode MS" w:hAnsi="Cambria Math" w:cs="Arial"/>
                            <w:i/>
                          </w:rPr>
                        </m:ctrlPr>
                      </m:sSubPr>
                      <m:e>
                        <m:r>
                          <w:rPr>
                            <w:rFonts w:ascii="Cambria Math" w:eastAsia="Arial Unicode MS" w:hAnsi="Cambria Math" w:cs="Arial"/>
                          </w:rPr>
                          <m:t>CFM</m:t>
                        </m:r>
                      </m:e>
                      <m:sub>
                        <m:r>
                          <w:rPr>
                            <w:rFonts w:ascii="Cambria Math" w:eastAsia="Arial Unicode MS" w:hAnsi="Cambria Math" w:cs="Arial"/>
                          </w:rPr>
                          <m:t>50</m:t>
                        </m:r>
                      </m:sub>
                    </m:sSub>
                  </m:den>
                </m:f>
              </m:oMath>
            </m:oMathPara>
          </w:p>
        </w:tc>
        <w:tc>
          <w:tcPr>
            <w:tcW w:w="1340" w:type="pct"/>
            <w:shd w:val="clear" w:color="auto" w:fill="auto"/>
            <w:vAlign w:val="center"/>
          </w:tcPr>
          <w:p w14:paraId="4A9AA641" w14:textId="6F52FCD2" w:rsidR="00EA5BBF" w:rsidRPr="001570EA" w:rsidRDefault="00EA5BBF">
            <w:pPr>
              <w:pStyle w:val="TableCell"/>
              <w:keepNext w:val="0"/>
              <w:jc w:val="center"/>
              <w:rPr>
                <w:rFonts w:eastAsia="Arial" w:cs="Arial"/>
                <w:szCs w:val="18"/>
              </w:rPr>
            </w:pPr>
            <w:r w:rsidRPr="001570EA">
              <w:rPr>
                <w:szCs w:val="18"/>
              </w:rPr>
              <w:t xml:space="preserve">See </w:t>
            </w:r>
            <w:r w:rsidRPr="001570EA">
              <w:rPr>
                <w:szCs w:val="18"/>
              </w:rPr>
              <w:fldChar w:fldCharType="begin"/>
            </w:r>
            <w:r w:rsidRPr="001570EA">
              <w:rPr>
                <w:szCs w:val="18"/>
              </w:rPr>
              <w:instrText xml:space="preserve"> REF _Ref410995149 \h  \* MERGEFORMAT </w:instrText>
            </w:r>
            <w:r w:rsidRPr="001570EA">
              <w:rPr>
                <w:szCs w:val="18"/>
              </w:rPr>
            </w:r>
            <w:r w:rsidRPr="001570EA">
              <w:rPr>
                <w:szCs w:val="18"/>
              </w:rPr>
              <w:fldChar w:fldCharType="separate"/>
            </w:r>
            <w:r w:rsidR="00234C6C" w:rsidRPr="001570EA">
              <w:rPr>
                <w:szCs w:val="18"/>
              </w:rPr>
              <w:t xml:space="preserve">Table </w:t>
            </w:r>
            <w:r w:rsidR="00234C6C" w:rsidRPr="001570EA">
              <w:rPr>
                <w:noProof/>
                <w:szCs w:val="18"/>
              </w:rPr>
              <w:t>2</w:t>
            </w:r>
            <w:r w:rsidR="00234C6C" w:rsidRPr="001570EA">
              <w:rPr>
                <w:noProof/>
                <w:szCs w:val="18"/>
              </w:rPr>
              <w:noBreakHyphen/>
              <w:t>133</w:t>
            </w:r>
            <w:r w:rsidRPr="001570EA">
              <w:rPr>
                <w:szCs w:val="18"/>
              </w:rPr>
              <w:fldChar w:fldCharType="end"/>
            </w:r>
          </w:p>
        </w:tc>
        <w:tc>
          <w:tcPr>
            <w:tcW w:w="824" w:type="pct"/>
            <w:vAlign w:val="center"/>
          </w:tcPr>
          <w:p w14:paraId="29E8E24F" w14:textId="77777777" w:rsidR="00EA5BBF" w:rsidRPr="001570EA" w:rsidRDefault="00EA5BBF">
            <w:pPr>
              <w:pStyle w:val="TableCell"/>
              <w:keepNext w:val="0"/>
              <w:jc w:val="center"/>
              <w:rPr>
                <w:rFonts w:cs="Arial"/>
              </w:rPr>
            </w:pPr>
            <w:r w:rsidRPr="001570EA">
              <w:rPr>
                <w:rFonts w:cs="Arial"/>
              </w:rPr>
              <w:t>6</w:t>
            </w:r>
          </w:p>
        </w:tc>
      </w:tr>
      <w:tr w:rsidR="00EA5BBF" w:rsidRPr="001570EA" w14:paraId="71DC2A15" w14:textId="77777777">
        <w:tc>
          <w:tcPr>
            <w:tcW w:w="2160" w:type="pct"/>
            <w:shd w:val="clear" w:color="auto" w:fill="auto"/>
            <w:vAlign w:val="center"/>
          </w:tcPr>
          <w:p w14:paraId="0D15F98C" w14:textId="1ECB87D8" w:rsidR="00EA5BBF" w:rsidRPr="001570EA" w:rsidRDefault="00EA5BBF">
            <w:pPr>
              <w:pStyle w:val="TableCell"/>
              <w:keepNext w:val="0"/>
              <w:jc w:val="left"/>
              <w:rPr>
                <w:rFonts w:ascii="Cambria Math" w:hAnsi="Cambria Math"/>
                <w:i/>
              </w:rPr>
            </w:pPr>
            <w:r w:rsidRPr="001570EA">
              <w:rPr>
                <w:rFonts w:ascii="Cambria Math" w:hAnsi="Cambria Math"/>
                <w:i/>
                <w:iCs/>
                <w:szCs w:val="18"/>
              </w:rPr>
              <w:t>EFLH</w:t>
            </w:r>
            <w:r w:rsidRPr="001570EA">
              <w:rPr>
                <w:rFonts w:ascii="Cambria Math" w:hAnsi="Cambria Math"/>
                <w:i/>
                <w:iCs/>
                <w:szCs w:val="18"/>
                <w:vertAlign w:val="subscript"/>
              </w:rPr>
              <w:t>cool</w:t>
            </w:r>
            <w:r w:rsidRPr="001570EA">
              <w:rPr>
                <w:rFonts w:ascii="Cambria Math" w:hAnsi="Cambria Math"/>
                <w:szCs w:val="18"/>
                <w:vertAlign w:val="subscript"/>
              </w:rPr>
              <w:t xml:space="preserve"> </w:t>
            </w:r>
            <w:r w:rsidR="001C7E9D">
              <w:rPr>
                <w:rFonts w:ascii="Cambria Math" w:hAnsi="Cambria Math"/>
                <w:szCs w:val="18"/>
                <w:vertAlign w:val="subscript"/>
              </w:rPr>
              <w:t>,</w:t>
            </w:r>
            <w:r w:rsidRPr="001570EA">
              <w:rPr>
                <w:szCs w:val="18"/>
              </w:rPr>
              <w:t xml:space="preserve"> </w:t>
            </w:r>
            <w:r w:rsidRPr="001570EA">
              <w:rPr>
                <w:rFonts w:cs="Arial"/>
                <w:szCs w:val="18"/>
              </w:rPr>
              <w:t>Equivalent Full Load Hours of operation during the cooling season for the average unit</w:t>
            </w:r>
          </w:p>
        </w:tc>
        <w:tc>
          <w:tcPr>
            <w:tcW w:w="676" w:type="pct"/>
            <w:vAlign w:val="center"/>
          </w:tcPr>
          <w:p w14:paraId="1F132E5A" w14:textId="77777777" w:rsidR="00EA5BBF" w:rsidRPr="001570EA" w:rsidRDefault="003B5E04">
            <w:pPr>
              <w:pStyle w:val="TableCell"/>
              <w:keepNext w:val="0"/>
              <w:jc w:val="center"/>
              <w:rPr>
                <w:rFonts w:eastAsia="Arial" w:cs="Arial"/>
              </w:rPr>
            </w:pPr>
            <m:oMathPara>
              <m:oMath>
                <m:f>
                  <m:fPr>
                    <m:ctrlPr>
                      <w:rPr>
                        <w:rFonts w:ascii="Cambria Math" w:hAnsi="Cambria Math"/>
                        <w:i/>
                        <w:szCs w:val="18"/>
                      </w:rPr>
                    </m:ctrlPr>
                  </m:fPr>
                  <m:num>
                    <m:r>
                      <w:rPr>
                        <w:rFonts w:ascii="Cambria Math" w:hAnsi="Cambria Math"/>
                        <w:szCs w:val="18"/>
                      </w:rPr>
                      <m:t>hours</m:t>
                    </m:r>
                  </m:num>
                  <m:den>
                    <m:r>
                      <w:rPr>
                        <w:rFonts w:ascii="Cambria Math" w:hAnsi="Cambria Math"/>
                        <w:szCs w:val="18"/>
                      </w:rPr>
                      <m:t>yr</m:t>
                    </m:r>
                  </m:den>
                </m:f>
              </m:oMath>
            </m:oMathPara>
          </w:p>
        </w:tc>
        <w:tc>
          <w:tcPr>
            <w:tcW w:w="1340" w:type="pct"/>
            <w:shd w:val="clear" w:color="auto" w:fill="auto"/>
            <w:vAlign w:val="center"/>
          </w:tcPr>
          <w:p w14:paraId="3DE5F8E7" w14:textId="77777777" w:rsidR="00EA5BBF" w:rsidRPr="001570EA" w:rsidRDefault="00EA5BBF">
            <w:pPr>
              <w:pStyle w:val="TableCell"/>
              <w:keepNext w:val="0"/>
              <w:jc w:val="center"/>
              <w:rPr>
                <w:rFonts w:cs="Arial"/>
                <w:szCs w:val="18"/>
              </w:rPr>
            </w:pPr>
            <w:r w:rsidRPr="001570EA">
              <w:rPr>
                <w:szCs w:val="18"/>
              </w:rPr>
              <w:t xml:space="preserve">See </w:t>
            </w:r>
            <w:r w:rsidRPr="001570EA">
              <w:rPr>
                <w:i/>
                <w:szCs w:val="18"/>
              </w:rPr>
              <w:t>EFLH</w:t>
            </w:r>
            <w:r w:rsidRPr="001570EA">
              <w:rPr>
                <w:i/>
                <w:szCs w:val="18"/>
                <w:vertAlign w:val="subscript"/>
              </w:rPr>
              <w:t>cool</w:t>
            </w:r>
            <w:r w:rsidRPr="001570EA">
              <w:rPr>
                <w:szCs w:val="18"/>
              </w:rPr>
              <w:t xml:space="preserve"> in Vol. 1, App. A</w:t>
            </w:r>
          </w:p>
        </w:tc>
        <w:tc>
          <w:tcPr>
            <w:tcW w:w="824" w:type="pct"/>
            <w:vAlign w:val="center"/>
          </w:tcPr>
          <w:p w14:paraId="3A8A9753" w14:textId="77777777" w:rsidR="00EA5BBF" w:rsidRPr="001570EA" w:rsidRDefault="00EA5BBF">
            <w:pPr>
              <w:pStyle w:val="TableCell"/>
              <w:keepNext w:val="0"/>
              <w:jc w:val="center"/>
              <w:rPr>
                <w:rFonts w:cs="Arial"/>
                <w:szCs w:val="18"/>
              </w:rPr>
            </w:pPr>
            <w:r w:rsidRPr="001570EA">
              <w:rPr>
                <w:szCs w:val="18"/>
              </w:rPr>
              <w:t>7</w:t>
            </w:r>
          </w:p>
        </w:tc>
      </w:tr>
      <w:tr w:rsidR="00EA5BBF" w:rsidRPr="001570EA" w14:paraId="55BB2232" w14:textId="77777777">
        <w:tc>
          <w:tcPr>
            <w:tcW w:w="2160" w:type="pct"/>
            <w:shd w:val="clear" w:color="auto" w:fill="auto"/>
            <w:vAlign w:val="center"/>
          </w:tcPr>
          <w:p w14:paraId="26476D27" w14:textId="5B45837B" w:rsidR="00EA5BBF" w:rsidRPr="001570EA" w:rsidRDefault="003B5E04">
            <w:pPr>
              <w:pStyle w:val="TableCell"/>
              <w:keepNext w:val="0"/>
              <w:jc w:val="left"/>
            </w:pPr>
            <m:oMath>
              <m:sSub>
                <m:sSubPr>
                  <m:ctrlPr>
                    <w:rPr>
                      <w:rFonts w:ascii="Cambria Math" w:hAnsi="Cambria Math" w:cs="Arial"/>
                      <w:i/>
                    </w:rPr>
                  </m:ctrlPr>
                </m:sSubPr>
                <m:e>
                  <m:r>
                    <w:rPr>
                      <w:rFonts w:ascii="Cambria Math" w:hAnsi="Cambria Math" w:cs="Arial"/>
                    </w:rPr>
                    <m:t>EFLH</m:t>
                  </m:r>
                </m:e>
                <m:sub>
                  <m:r>
                    <w:rPr>
                      <w:rFonts w:ascii="Cambria Math" w:hAnsi="Cambria Math" w:cs="Arial"/>
                    </w:rPr>
                    <m:t>heat</m:t>
                  </m:r>
                </m:sub>
              </m:sSub>
            </m:oMath>
            <w:r w:rsidR="00EA5BBF" w:rsidRPr="001570EA">
              <w:t xml:space="preserve">, Equivalent Full Load </w:t>
            </w:r>
            <w:r w:rsidR="00EA5BBF" w:rsidRPr="001570EA">
              <w:rPr>
                <w:rFonts w:cs="Arial"/>
                <w:szCs w:val="18"/>
              </w:rPr>
              <w:t>Hours of operation during the heating season for the average unit</w:t>
            </w:r>
          </w:p>
        </w:tc>
        <w:tc>
          <w:tcPr>
            <w:tcW w:w="676" w:type="pct"/>
            <w:vAlign w:val="center"/>
          </w:tcPr>
          <w:p w14:paraId="1D333F05" w14:textId="77777777" w:rsidR="00EA5BBF" w:rsidRPr="001570EA" w:rsidRDefault="003B5E04">
            <w:pPr>
              <w:pStyle w:val="TableCell"/>
              <w:keepNext w:val="0"/>
              <w:jc w:val="center"/>
              <w:rPr>
                <w:rFonts w:eastAsia="Arial" w:cs="Arial"/>
              </w:rPr>
            </w:pPr>
            <m:oMathPara>
              <m:oMath>
                <m:f>
                  <m:fPr>
                    <m:ctrlPr>
                      <w:rPr>
                        <w:rFonts w:ascii="Cambria Math" w:hAnsi="Cambria Math"/>
                        <w:i/>
                      </w:rPr>
                    </m:ctrlPr>
                  </m:fPr>
                  <m:num>
                    <m:r>
                      <w:rPr>
                        <w:rFonts w:ascii="Cambria Math" w:hAnsi="Cambria Math"/>
                      </w:rPr>
                      <m:t>hours</m:t>
                    </m:r>
                  </m:num>
                  <m:den>
                    <m:r>
                      <w:rPr>
                        <w:rFonts w:ascii="Cambria Math" w:hAnsi="Cambria Math"/>
                      </w:rPr>
                      <m:t>yr</m:t>
                    </m:r>
                  </m:den>
                </m:f>
              </m:oMath>
            </m:oMathPara>
          </w:p>
        </w:tc>
        <w:tc>
          <w:tcPr>
            <w:tcW w:w="1340" w:type="pct"/>
            <w:shd w:val="clear" w:color="auto" w:fill="auto"/>
            <w:vAlign w:val="center"/>
          </w:tcPr>
          <w:p w14:paraId="52057217" w14:textId="77777777" w:rsidR="00EA5BBF" w:rsidRPr="001570EA" w:rsidRDefault="00EA5BBF">
            <w:pPr>
              <w:pStyle w:val="TableCell"/>
              <w:keepNext w:val="0"/>
              <w:jc w:val="center"/>
            </w:pPr>
            <w:r w:rsidRPr="001570EA">
              <w:rPr>
                <w:rFonts w:cs="Arial"/>
                <w:szCs w:val="18"/>
              </w:rPr>
              <w:t xml:space="preserve">See </w:t>
            </w:r>
            <w:r w:rsidRPr="001570EA">
              <w:rPr>
                <w:rFonts w:cs="Arial"/>
                <w:i/>
                <w:szCs w:val="18"/>
              </w:rPr>
              <w:t>EFLH</w:t>
            </w:r>
            <w:r w:rsidRPr="001570EA">
              <w:rPr>
                <w:rFonts w:cs="Arial"/>
                <w:i/>
                <w:szCs w:val="18"/>
                <w:vertAlign w:val="subscript"/>
              </w:rPr>
              <w:t>heat</w:t>
            </w:r>
            <w:r w:rsidRPr="001570EA">
              <w:rPr>
                <w:rFonts w:cs="Arial"/>
                <w:szCs w:val="18"/>
              </w:rPr>
              <w:t xml:space="preserve"> in Vol.1, App. A</w:t>
            </w:r>
          </w:p>
        </w:tc>
        <w:tc>
          <w:tcPr>
            <w:tcW w:w="824" w:type="pct"/>
            <w:vAlign w:val="center"/>
          </w:tcPr>
          <w:p w14:paraId="35F6BCF0" w14:textId="77777777" w:rsidR="00EA5BBF" w:rsidRPr="001570EA" w:rsidRDefault="00EA5BBF">
            <w:pPr>
              <w:pStyle w:val="TableCell"/>
              <w:keepNext w:val="0"/>
              <w:jc w:val="center"/>
              <w:rPr>
                <w:rFonts w:eastAsia="Arial Unicode MS" w:cs="Arial"/>
              </w:rPr>
            </w:pPr>
            <w:r w:rsidRPr="001570EA">
              <w:rPr>
                <w:rFonts w:cs="Arial"/>
                <w:szCs w:val="18"/>
              </w:rPr>
              <w:t>7</w:t>
            </w:r>
          </w:p>
        </w:tc>
      </w:tr>
      <w:tr w:rsidR="00EA5BBF" w:rsidRPr="001570EA" w14:paraId="2A390108" w14:textId="77777777">
        <w:tc>
          <w:tcPr>
            <w:tcW w:w="2160" w:type="pct"/>
            <w:shd w:val="clear" w:color="auto" w:fill="auto"/>
            <w:vAlign w:val="center"/>
          </w:tcPr>
          <w:p w14:paraId="071BBE4C" w14:textId="77777777" w:rsidR="00EA5BBF" w:rsidRPr="001570EA" w:rsidRDefault="003B5E04">
            <w:pPr>
              <w:pStyle w:val="TableCell"/>
              <w:keepNext w:val="0"/>
              <w:jc w:val="left"/>
            </w:pPr>
            <m:oMath>
              <m:sSub>
                <m:sSubPr>
                  <m:ctrlPr>
                    <w:rPr>
                      <w:rFonts w:ascii="Cambria Math" w:hAnsi="Cambria Math" w:cs="Arial"/>
                      <w:i/>
                    </w:rPr>
                  </m:ctrlPr>
                </m:sSubPr>
                <m:e>
                  <m:r>
                    <w:rPr>
                      <w:rFonts w:ascii="Cambria Math" w:hAnsi="Cambria Math" w:cs="Arial"/>
                    </w:rPr>
                    <m:t>CF</m:t>
                  </m:r>
                </m:e>
                <m:sub>
                  <m:r>
                    <w:rPr>
                      <w:rFonts w:ascii="Cambria Math" w:hAnsi="Cambria Math" w:cs="Arial"/>
                    </w:rPr>
                    <m:t>summer peak</m:t>
                  </m:r>
                </m:sub>
              </m:sSub>
            </m:oMath>
            <w:r w:rsidR="00EA5BBF" w:rsidRPr="001570EA">
              <w:t>, Summer demand Coincidence Factor</w:t>
            </w:r>
          </w:p>
        </w:tc>
        <w:tc>
          <w:tcPr>
            <w:tcW w:w="676" w:type="pct"/>
            <w:vAlign w:val="center"/>
          </w:tcPr>
          <w:p w14:paraId="4E600CD3" w14:textId="77777777" w:rsidR="00EA5BBF" w:rsidRPr="001570EA" w:rsidRDefault="00EA5BBF">
            <w:pPr>
              <w:pStyle w:val="TableCell"/>
              <w:keepNext w:val="0"/>
              <w:jc w:val="center"/>
              <w:rPr>
                <w:rFonts w:eastAsia="Arial" w:cs="Arial"/>
                <w:i/>
                <w:iCs/>
              </w:rPr>
            </w:pPr>
            <w:r w:rsidRPr="001570EA">
              <w:rPr>
                <w:rFonts w:eastAsia="Arial" w:cs="Arial"/>
                <w:i/>
                <w:iCs/>
              </w:rPr>
              <w:t>Proportion</w:t>
            </w:r>
          </w:p>
        </w:tc>
        <w:tc>
          <w:tcPr>
            <w:tcW w:w="1340" w:type="pct"/>
            <w:shd w:val="clear" w:color="auto" w:fill="auto"/>
            <w:vAlign w:val="center"/>
          </w:tcPr>
          <w:p w14:paraId="55D8E2BA" w14:textId="77777777" w:rsidR="00EA5BBF" w:rsidRPr="001570EA" w:rsidRDefault="00EA5BBF">
            <w:pPr>
              <w:pStyle w:val="TableCell"/>
              <w:keepNext w:val="0"/>
              <w:jc w:val="center"/>
            </w:pPr>
            <w:r w:rsidRPr="001570EA">
              <w:rPr>
                <w:rFonts w:cs="Arial"/>
                <w:szCs w:val="18"/>
              </w:rPr>
              <w:t xml:space="preserve">See </w:t>
            </w:r>
            <w:r w:rsidRPr="001570EA">
              <w:rPr>
                <w:rFonts w:cs="Arial"/>
                <w:i/>
                <w:iCs/>
                <w:szCs w:val="18"/>
              </w:rPr>
              <w:t>Summer</w:t>
            </w:r>
            <w:r w:rsidRPr="001570EA">
              <w:rPr>
                <w:rFonts w:cs="Arial"/>
                <w:szCs w:val="18"/>
              </w:rPr>
              <w:t xml:space="preserve"> </w:t>
            </w:r>
            <w:r w:rsidRPr="001570EA">
              <w:rPr>
                <w:rFonts w:cs="Arial"/>
                <w:i/>
                <w:szCs w:val="18"/>
              </w:rPr>
              <w:t>CF</w:t>
            </w:r>
            <w:r w:rsidRPr="001570EA">
              <w:rPr>
                <w:rFonts w:cs="Arial"/>
                <w:szCs w:val="18"/>
              </w:rPr>
              <w:t xml:space="preserve"> in Vol. 1, App. A</w:t>
            </w:r>
          </w:p>
        </w:tc>
        <w:tc>
          <w:tcPr>
            <w:tcW w:w="824" w:type="pct"/>
            <w:vAlign w:val="center"/>
          </w:tcPr>
          <w:p w14:paraId="7C7EDEDF" w14:textId="77777777" w:rsidR="00EA5BBF" w:rsidRPr="001570EA" w:rsidRDefault="00EA5BBF">
            <w:pPr>
              <w:pStyle w:val="TableCell"/>
              <w:keepNext w:val="0"/>
              <w:jc w:val="center"/>
              <w:rPr>
                <w:rFonts w:eastAsia="Arial Unicode MS" w:cs="Arial"/>
              </w:rPr>
            </w:pPr>
            <w:r w:rsidRPr="001570EA">
              <w:rPr>
                <w:rFonts w:cs="Arial"/>
                <w:szCs w:val="18"/>
              </w:rPr>
              <w:t>7</w:t>
            </w:r>
          </w:p>
        </w:tc>
      </w:tr>
      <w:tr w:rsidR="00EA5BBF" w:rsidRPr="001570EA" w14:paraId="77928C5E" w14:textId="77777777">
        <w:tc>
          <w:tcPr>
            <w:tcW w:w="2160" w:type="pct"/>
            <w:shd w:val="clear" w:color="auto" w:fill="auto"/>
            <w:vAlign w:val="center"/>
          </w:tcPr>
          <w:p w14:paraId="67E958A9" w14:textId="77777777" w:rsidR="00EA5BBF" w:rsidRPr="001570EA" w:rsidRDefault="003B5E04">
            <w:pPr>
              <w:pStyle w:val="TableCell"/>
              <w:keepNext w:val="0"/>
              <w:jc w:val="left"/>
              <w:rPr>
                <w:rFonts w:ascii="Cambria Math" w:hAnsi="Cambria Math"/>
                <w:i/>
              </w:rPr>
            </w:pPr>
            <m:oMath>
              <m:sSub>
                <m:sSubPr>
                  <m:ctrlPr>
                    <w:rPr>
                      <w:rFonts w:ascii="Cambria Math" w:hAnsi="Cambria Math" w:cs="Arial"/>
                      <w:i/>
                    </w:rPr>
                  </m:ctrlPr>
                </m:sSubPr>
                <m:e>
                  <m:r>
                    <w:rPr>
                      <w:rFonts w:ascii="Cambria Math" w:hAnsi="Cambria Math" w:cs="Arial"/>
                    </w:rPr>
                    <m:t>CF</m:t>
                  </m:r>
                </m:e>
                <m:sub>
                  <m:r>
                    <w:rPr>
                      <w:rFonts w:ascii="Cambria Math" w:hAnsi="Cambria Math" w:cs="Arial"/>
                    </w:rPr>
                    <m:t>winter peak</m:t>
                  </m:r>
                </m:sub>
              </m:sSub>
            </m:oMath>
            <w:r w:rsidR="00EA5BBF" w:rsidRPr="001570EA">
              <w:t>, Winter demand Coincidence Factor</w:t>
            </w:r>
          </w:p>
        </w:tc>
        <w:tc>
          <w:tcPr>
            <w:tcW w:w="676" w:type="pct"/>
            <w:vAlign w:val="center"/>
          </w:tcPr>
          <w:p w14:paraId="7DFB338B" w14:textId="77777777" w:rsidR="00EA5BBF" w:rsidRPr="001570EA" w:rsidRDefault="00EA5BBF">
            <w:pPr>
              <w:pStyle w:val="TableCell"/>
              <w:keepNext w:val="0"/>
              <w:jc w:val="center"/>
              <w:rPr>
                <w:rFonts w:eastAsia="Arial" w:cs="Arial"/>
                <w:i/>
                <w:iCs/>
              </w:rPr>
            </w:pPr>
            <w:r w:rsidRPr="001570EA">
              <w:rPr>
                <w:rFonts w:eastAsia="Arial" w:cs="Arial"/>
                <w:i/>
                <w:iCs/>
              </w:rPr>
              <w:t>Proportion</w:t>
            </w:r>
          </w:p>
        </w:tc>
        <w:tc>
          <w:tcPr>
            <w:tcW w:w="1340" w:type="pct"/>
            <w:shd w:val="clear" w:color="auto" w:fill="auto"/>
            <w:vAlign w:val="center"/>
          </w:tcPr>
          <w:p w14:paraId="28F547C5" w14:textId="77777777" w:rsidR="00EA5BBF" w:rsidRPr="001570EA" w:rsidRDefault="00EA5BBF">
            <w:pPr>
              <w:pStyle w:val="TableCell"/>
              <w:keepNext w:val="0"/>
              <w:jc w:val="center"/>
              <w:rPr>
                <w:rFonts w:cs="Arial"/>
                <w:szCs w:val="18"/>
              </w:rPr>
            </w:pPr>
            <w:r w:rsidRPr="001570EA">
              <w:rPr>
                <w:rFonts w:cs="Arial"/>
                <w:szCs w:val="18"/>
              </w:rPr>
              <w:t xml:space="preserve">See </w:t>
            </w:r>
            <w:r w:rsidRPr="001570EA">
              <w:rPr>
                <w:rFonts w:cs="Arial"/>
                <w:i/>
                <w:iCs/>
                <w:szCs w:val="18"/>
              </w:rPr>
              <w:t>Winter</w:t>
            </w:r>
            <w:r w:rsidRPr="001570EA">
              <w:rPr>
                <w:rFonts w:cs="Arial"/>
                <w:szCs w:val="18"/>
              </w:rPr>
              <w:t xml:space="preserve"> </w:t>
            </w:r>
            <w:r w:rsidRPr="001570EA">
              <w:rPr>
                <w:rFonts w:cs="Arial"/>
                <w:i/>
                <w:szCs w:val="18"/>
              </w:rPr>
              <w:t>CF</w:t>
            </w:r>
            <w:r w:rsidRPr="001570EA">
              <w:rPr>
                <w:rFonts w:cs="Arial"/>
                <w:szCs w:val="18"/>
              </w:rPr>
              <w:t xml:space="preserve"> in Vol. 1, App. A</w:t>
            </w:r>
          </w:p>
        </w:tc>
        <w:tc>
          <w:tcPr>
            <w:tcW w:w="824" w:type="pct"/>
            <w:vAlign w:val="center"/>
          </w:tcPr>
          <w:p w14:paraId="64CF162C" w14:textId="77777777" w:rsidR="00EA5BBF" w:rsidRPr="001570EA" w:rsidRDefault="00EA5BBF">
            <w:pPr>
              <w:pStyle w:val="TableCell"/>
              <w:keepNext w:val="0"/>
              <w:jc w:val="center"/>
              <w:rPr>
                <w:rFonts w:cs="Arial"/>
                <w:szCs w:val="18"/>
              </w:rPr>
            </w:pPr>
            <w:r w:rsidRPr="001570EA">
              <w:rPr>
                <w:rFonts w:cs="Arial"/>
                <w:szCs w:val="18"/>
              </w:rPr>
              <w:t>7</w:t>
            </w:r>
          </w:p>
        </w:tc>
      </w:tr>
      <w:tr w:rsidR="00EA5BBF" w:rsidRPr="001570EA" w14:paraId="71F45E66" w14:textId="77777777">
        <w:trPr>
          <w:trHeight w:val="908"/>
        </w:trPr>
        <w:tc>
          <w:tcPr>
            <w:tcW w:w="2160" w:type="pct"/>
            <w:shd w:val="clear" w:color="auto" w:fill="auto"/>
            <w:vAlign w:val="center"/>
          </w:tcPr>
          <w:p w14:paraId="4C1FF20D" w14:textId="14D1FCAC" w:rsidR="00EA5BBF" w:rsidRPr="001570EA" w:rsidRDefault="00EA5BBF">
            <w:pPr>
              <w:pStyle w:val="TableCell"/>
              <w:keepNext w:val="0"/>
              <w:jc w:val="left"/>
              <w:rPr>
                <w:rFonts w:ascii="Cambria Math" w:hAnsi="Cambria Math"/>
                <w:i/>
              </w:rPr>
            </w:pPr>
            <w:r w:rsidRPr="001570EA">
              <w:rPr>
                <w:i/>
                <w:iCs/>
                <w:szCs w:val="18"/>
              </w:rPr>
              <w:t>CAPY</w:t>
            </w:r>
            <w:r w:rsidRPr="001570EA">
              <w:rPr>
                <w:i/>
                <w:iCs/>
                <w:szCs w:val="18"/>
                <w:vertAlign w:val="subscript"/>
              </w:rPr>
              <w:t>cool</w:t>
            </w:r>
            <w:r w:rsidRPr="001570EA">
              <w:rPr>
                <w:szCs w:val="18"/>
              </w:rPr>
              <w:t xml:space="preserve">, </w:t>
            </w:r>
            <w:r w:rsidRPr="001570EA">
              <w:rPr>
                <w:rFonts w:cs="Arial"/>
                <w:szCs w:val="18"/>
              </w:rPr>
              <w:t>The cooling capacity of the equipment being installed</w:t>
            </w:r>
          </w:p>
        </w:tc>
        <w:tc>
          <w:tcPr>
            <w:tcW w:w="676" w:type="pct"/>
            <w:vAlign w:val="center"/>
          </w:tcPr>
          <w:p w14:paraId="0095B8F7" w14:textId="77777777" w:rsidR="00EA5BBF" w:rsidRPr="001570EA" w:rsidRDefault="00EA5BBF">
            <w:pPr>
              <w:pStyle w:val="TableCell"/>
              <w:keepNext w:val="0"/>
              <w:jc w:val="center"/>
              <w:rPr>
                <w:rFonts w:eastAsia="Arial" w:cs="Arial"/>
              </w:rPr>
            </w:pPr>
            <w:r w:rsidRPr="001570EA">
              <w:rPr>
                <w:rFonts w:ascii="Cambria Math" w:hAnsi="Cambria Math" w:cs="Arial"/>
                <w:i/>
                <w:iCs/>
                <w:szCs w:val="18"/>
              </w:rPr>
              <w:t>kBTU/hr</w:t>
            </w:r>
          </w:p>
        </w:tc>
        <w:tc>
          <w:tcPr>
            <w:tcW w:w="1340" w:type="pct"/>
            <w:shd w:val="clear" w:color="auto" w:fill="auto"/>
            <w:vAlign w:val="center"/>
          </w:tcPr>
          <w:p w14:paraId="0AE57FD9" w14:textId="77777777" w:rsidR="00EA5BBF" w:rsidRPr="001570EA" w:rsidRDefault="00EA5BBF">
            <w:pPr>
              <w:pStyle w:val="TableCell"/>
              <w:keepNext w:val="0"/>
              <w:spacing w:before="60" w:after="60"/>
              <w:jc w:val="center"/>
              <w:rPr>
                <w:rFonts w:cs="Arial"/>
                <w:szCs w:val="18"/>
              </w:rPr>
            </w:pPr>
            <w:r w:rsidRPr="001570EA">
              <w:rPr>
                <w:szCs w:val="18"/>
              </w:rPr>
              <w:t>EDC Data Gathering</w:t>
            </w:r>
          </w:p>
        </w:tc>
        <w:tc>
          <w:tcPr>
            <w:tcW w:w="824" w:type="pct"/>
            <w:vAlign w:val="center"/>
          </w:tcPr>
          <w:p w14:paraId="21667071" w14:textId="77777777" w:rsidR="00EA5BBF" w:rsidRPr="001570EA" w:rsidRDefault="00EA5BBF">
            <w:pPr>
              <w:pStyle w:val="TableCell"/>
              <w:keepNext w:val="0"/>
              <w:jc w:val="center"/>
              <w:rPr>
                <w:rFonts w:cs="Arial"/>
                <w:szCs w:val="18"/>
              </w:rPr>
            </w:pPr>
            <w:r w:rsidRPr="001570EA">
              <w:rPr>
                <w:szCs w:val="18"/>
              </w:rPr>
              <w:t>AEPS Application; EDC Data Gathering</w:t>
            </w:r>
          </w:p>
        </w:tc>
      </w:tr>
      <w:tr w:rsidR="00EA5BBF" w:rsidRPr="001570EA" w14:paraId="402C64F6" w14:textId="77777777">
        <w:tc>
          <w:tcPr>
            <w:tcW w:w="2160" w:type="pct"/>
            <w:shd w:val="clear" w:color="auto" w:fill="auto"/>
            <w:vAlign w:val="center"/>
          </w:tcPr>
          <w:p w14:paraId="46D67237" w14:textId="56D7170B" w:rsidR="00EA5BBF" w:rsidRPr="001570EA" w:rsidRDefault="00EA5BBF">
            <w:pPr>
              <w:pStyle w:val="TableCell"/>
              <w:jc w:val="left"/>
              <w:rPr>
                <w:i/>
                <w:iCs/>
                <w:szCs w:val="18"/>
              </w:rPr>
            </w:pPr>
            <w:r w:rsidRPr="001570EA">
              <w:rPr>
                <w:i/>
                <w:iCs/>
                <w:szCs w:val="18"/>
              </w:rPr>
              <w:t>CAPY</w:t>
            </w:r>
            <w:r w:rsidRPr="001570EA">
              <w:rPr>
                <w:i/>
                <w:iCs/>
                <w:szCs w:val="18"/>
                <w:vertAlign w:val="subscript"/>
              </w:rPr>
              <w:t>heat</w:t>
            </w:r>
            <w:r w:rsidRPr="001570EA">
              <w:rPr>
                <w:szCs w:val="18"/>
              </w:rPr>
              <w:t xml:space="preserve">, </w:t>
            </w:r>
            <w:r w:rsidRPr="001570EA">
              <w:rPr>
                <w:rFonts w:cs="Arial"/>
                <w:szCs w:val="18"/>
              </w:rPr>
              <w:t>The heating capacity of the heat pump being installed</w:t>
            </w:r>
          </w:p>
        </w:tc>
        <w:tc>
          <w:tcPr>
            <w:tcW w:w="676" w:type="pct"/>
            <w:vAlign w:val="center"/>
          </w:tcPr>
          <w:p w14:paraId="2BE893A7" w14:textId="77777777" w:rsidR="00EA5BBF" w:rsidRPr="001570EA" w:rsidRDefault="00EA5BBF">
            <w:pPr>
              <w:pStyle w:val="TableCell"/>
              <w:jc w:val="center"/>
              <w:rPr>
                <w:rFonts w:ascii="Cambria Math" w:hAnsi="Cambria Math" w:cs="Arial"/>
                <w:i/>
                <w:iCs/>
                <w:szCs w:val="18"/>
              </w:rPr>
            </w:pPr>
            <w:r w:rsidRPr="001570EA">
              <w:rPr>
                <w:rFonts w:ascii="Cambria Math" w:hAnsi="Cambria Math" w:cs="Arial"/>
                <w:i/>
                <w:iCs/>
                <w:szCs w:val="18"/>
              </w:rPr>
              <w:t>kBTU/hr</w:t>
            </w:r>
          </w:p>
        </w:tc>
        <w:tc>
          <w:tcPr>
            <w:tcW w:w="1340" w:type="pct"/>
            <w:shd w:val="clear" w:color="auto" w:fill="auto"/>
            <w:vAlign w:val="center"/>
          </w:tcPr>
          <w:p w14:paraId="1475482F" w14:textId="77777777" w:rsidR="00EA5BBF" w:rsidRPr="001570EA" w:rsidRDefault="00EA5BBF">
            <w:pPr>
              <w:pStyle w:val="TableCell"/>
              <w:spacing w:before="60" w:after="60"/>
              <w:jc w:val="center"/>
            </w:pPr>
            <w:r w:rsidRPr="001570EA">
              <w:rPr>
                <w:szCs w:val="18"/>
              </w:rPr>
              <w:t>EDC Data Gathering</w:t>
            </w:r>
          </w:p>
        </w:tc>
        <w:tc>
          <w:tcPr>
            <w:tcW w:w="824" w:type="pct"/>
            <w:vAlign w:val="center"/>
          </w:tcPr>
          <w:p w14:paraId="725EF6BB" w14:textId="77777777" w:rsidR="00EA5BBF" w:rsidRPr="001570EA" w:rsidRDefault="00EA5BBF">
            <w:pPr>
              <w:pStyle w:val="TableCell"/>
              <w:jc w:val="center"/>
              <w:rPr>
                <w:szCs w:val="18"/>
              </w:rPr>
            </w:pPr>
            <w:r w:rsidRPr="001570EA">
              <w:rPr>
                <w:szCs w:val="18"/>
              </w:rPr>
              <w:t>AEPS Application; EDC Data Gathering</w:t>
            </w:r>
          </w:p>
        </w:tc>
      </w:tr>
    </w:tbl>
    <w:p w14:paraId="022A031E" w14:textId="77777777" w:rsidR="00EA5BBF" w:rsidRPr="001570EA" w:rsidRDefault="00EA5BBF" w:rsidP="00EA5BBF">
      <w:pPr>
        <w:pStyle w:val="SubStyle"/>
      </w:pPr>
    </w:p>
    <w:p w14:paraId="20C64FE5" w14:textId="77777777" w:rsidR="00EA5BBF" w:rsidRPr="001570EA" w:rsidRDefault="00EA5BBF" w:rsidP="00EA5BBF">
      <w:pPr>
        <w:pStyle w:val="SubStyle"/>
      </w:pPr>
      <w:r w:rsidRPr="001570EA">
        <w:t>Default Unit Energy Savings Coefficient &amp; Equipment Efficiency Tables</w:t>
      </w:r>
    </w:p>
    <w:p w14:paraId="72F3CE4C" w14:textId="77777777" w:rsidR="00EA5BBF" w:rsidRPr="001570EA" w:rsidRDefault="00EA5BBF" w:rsidP="00EA5BBF">
      <w:r w:rsidRPr="001570EA">
        <w:t>Savings may be claimed using the algorithms above and the algorithm’s input default values below, in conjunction with customer-specific blower door test data. Site specific data from blower door testing is required to be used in conjunction with these default energy savings values, as outlined in the algorithms.</w:t>
      </w:r>
    </w:p>
    <w:p w14:paraId="0E3E1CBE" w14:textId="27F19D27" w:rsidR="00EA5BBF" w:rsidRPr="001570EA" w:rsidRDefault="00EA5BBF" w:rsidP="00EA5BBF">
      <w:pPr>
        <w:pStyle w:val="Caption"/>
        <w:keepLines/>
      </w:pPr>
      <w:bookmarkStart w:id="1145" w:name="_Ref389208554"/>
      <w:bookmarkStart w:id="1146" w:name="_Ref532305512"/>
      <w:bookmarkStart w:id="1147" w:name="_Ref534357985"/>
      <w:bookmarkStart w:id="1148" w:name="_Ref389208514"/>
      <w:bookmarkStart w:id="1149" w:name="_Ref531015958"/>
      <w:bookmarkStart w:id="1150" w:name="_Toc47598356"/>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132</w:t>
      </w:r>
      <w:r w:rsidR="002E093A" w:rsidRPr="001570EA">
        <w:fldChar w:fldCharType="end"/>
      </w:r>
      <w:bookmarkEnd w:id="1145"/>
      <w:bookmarkEnd w:id="1146"/>
      <w:bookmarkEnd w:id="1147"/>
      <w:r w:rsidRPr="001570EA">
        <w:t xml:space="preserve">: </w:t>
      </w:r>
      <w:bookmarkEnd w:id="1148"/>
      <w:r w:rsidRPr="001570EA">
        <w:t>Default Unit Energy Savings per Reduced CFM50</w:t>
      </w:r>
      <w:r w:rsidRPr="001570EA">
        <w:rPr>
          <w:vertAlign w:val="superscript"/>
        </w:rPr>
        <w:t>2</w:t>
      </w:r>
      <w:r w:rsidRPr="001570EA">
        <w:t xml:space="preserve"> for Air Sealing</w:t>
      </w:r>
      <w:bookmarkEnd w:id="1149"/>
      <w:bookmarkEnd w:id="1150"/>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253"/>
        <w:gridCol w:w="725"/>
        <w:gridCol w:w="897"/>
        <w:gridCol w:w="718"/>
        <w:gridCol w:w="832"/>
        <w:gridCol w:w="806"/>
        <w:gridCol w:w="717"/>
        <w:gridCol w:w="806"/>
        <w:gridCol w:w="806"/>
        <w:gridCol w:w="819"/>
        <w:gridCol w:w="6"/>
      </w:tblGrid>
      <w:tr w:rsidR="00EA5BBF" w:rsidRPr="001570EA" w14:paraId="02FC7E06" w14:textId="77777777">
        <w:trPr>
          <w:trHeight w:val="315"/>
          <w:jc w:val="center"/>
        </w:trPr>
        <w:tc>
          <w:tcPr>
            <w:tcW w:w="1698" w:type="dxa"/>
            <w:gridSpan w:val="2"/>
            <w:vMerge w:val="restart"/>
            <w:shd w:val="clear" w:color="auto" w:fill="BFBFBF" w:themeFill="background1" w:themeFillShade="BF"/>
            <w:vAlign w:val="center"/>
          </w:tcPr>
          <w:p w14:paraId="7FE1647C" w14:textId="77777777" w:rsidR="00EA5BBF" w:rsidRPr="001570EA" w:rsidRDefault="00EA5BBF">
            <w:pPr>
              <w:keepNext/>
              <w:keepLines/>
              <w:rPr>
                <w:b/>
                <w:bCs/>
                <w:sz w:val="18"/>
                <w:szCs w:val="18"/>
              </w:rPr>
            </w:pPr>
            <w:r w:rsidRPr="001570EA">
              <w:rPr>
                <w:b/>
                <w:bCs/>
                <w:sz w:val="18"/>
                <w:szCs w:val="18"/>
              </w:rPr>
              <w:t>Climate Region</w:t>
            </w:r>
          </w:p>
          <w:p w14:paraId="04D8E37C" w14:textId="77777777" w:rsidR="00EA5BBF" w:rsidRPr="001570EA" w:rsidRDefault="00EA5BBF">
            <w:pPr>
              <w:keepNext/>
              <w:keepLines/>
              <w:jc w:val="right"/>
              <w:rPr>
                <w:rFonts w:cs="Arial"/>
                <w:b/>
                <w:bCs/>
                <w:sz w:val="18"/>
                <w:szCs w:val="18"/>
              </w:rPr>
            </w:pPr>
            <w:r w:rsidRPr="001570EA">
              <w:rPr>
                <w:b/>
                <w:bCs/>
                <w:sz w:val="18"/>
                <w:szCs w:val="18"/>
              </w:rPr>
              <w:t>Reference City</w:t>
            </w:r>
          </w:p>
        </w:tc>
        <w:tc>
          <w:tcPr>
            <w:tcW w:w="3181" w:type="dxa"/>
            <w:gridSpan w:val="4"/>
            <w:shd w:val="clear" w:color="auto" w:fill="BFBFBF" w:themeFill="background1" w:themeFillShade="BF"/>
            <w:noWrap/>
            <w:vAlign w:val="center"/>
          </w:tcPr>
          <w:p w14:paraId="0F9BB808" w14:textId="77777777" w:rsidR="00EA5BBF" w:rsidRPr="001570EA" w:rsidRDefault="003B5E04">
            <w:pPr>
              <w:keepNext/>
              <w:keepLines/>
              <w:jc w:val="center"/>
              <w:rPr>
                <w:rFonts w:eastAsia="Arial" w:cs="Arial"/>
                <w:b/>
                <w:bCs/>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a</m:t>
                    </m:r>
                  </m:e>
                  <m:sub>
                    <m:r>
                      <m:rPr>
                        <m:sty m:val="bi"/>
                      </m:rPr>
                      <w:rPr>
                        <w:rFonts w:ascii="Cambria Math" w:hAnsi="Cambria Math" w:cs="Arial"/>
                        <w:sz w:val="18"/>
                        <w:szCs w:val="18"/>
                      </w:rPr>
                      <m:t>cool</m:t>
                    </m:r>
                  </m:sub>
                </m:sSub>
              </m:oMath>
            </m:oMathPara>
          </w:p>
        </w:tc>
        <w:tc>
          <w:tcPr>
            <w:tcW w:w="3944" w:type="dxa"/>
            <w:gridSpan w:val="6"/>
            <w:shd w:val="clear" w:color="auto" w:fill="BFBFBF" w:themeFill="background1" w:themeFillShade="BF"/>
          </w:tcPr>
          <w:p w14:paraId="63EFD648" w14:textId="77777777" w:rsidR="00EA5BBF" w:rsidRPr="001570EA" w:rsidRDefault="003B5E04">
            <w:pPr>
              <w:keepNext/>
              <w:keepLines/>
              <w:jc w:val="center"/>
              <w:rPr>
                <w:rFonts w:eastAsia="Arial" w:cs="Arial"/>
                <w:b/>
                <w:bCs/>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a</m:t>
                    </m:r>
                  </m:e>
                  <m:sub>
                    <m:r>
                      <m:rPr>
                        <m:sty m:val="bi"/>
                      </m:rPr>
                      <w:rPr>
                        <w:rFonts w:ascii="Cambria Math" w:hAnsi="Cambria Math" w:cs="Arial"/>
                        <w:sz w:val="18"/>
                        <w:szCs w:val="18"/>
                      </w:rPr>
                      <m:t>heat</m:t>
                    </m:r>
                  </m:sub>
                </m:sSub>
              </m:oMath>
            </m:oMathPara>
          </w:p>
        </w:tc>
      </w:tr>
      <w:tr w:rsidR="00EA5BBF" w:rsidRPr="001570EA" w14:paraId="3A2F8799" w14:textId="77777777">
        <w:trPr>
          <w:gridAfter w:val="1"/>
          <w:wAfter w:w="6" w:type="dxa"/>
          <w:trHeight w:val="525"/>
          <w:jc w:val="center"/>
        </w:trPr>
        <w:tc>
          <w:tcPr>
            <w:tcW w:w="1698" w:type="dxa"/>
            <w:gridSpan w:val="2"/>
            <w:vMerge/>
          </w:tcPr>
          <w:p w14:paraId="2B7B54F1" w14:textId="77777777" w:rsidR="00EA5BBF" w:rsidRPr="001570EA" w:rsidRDefault="00EA5BBF">
            <w:pPr>
              <w:keepNext/>
              <w:keepLines/>
              <w:rPr>
                <w:rFonts w:cs="Arial"/>
                <w:b/>
                <w:bCs/>
                <w:sz w:val="18"/>
                <w:szCs w:val="18"/>
              </w:rPr>
            </w:pPr>
          </w:p>
        </w:tc>
        <w:tc>
          <w:tcPr>
            <w:tcW w:w="727" w:type="dxa"/>
            <w:shd w:val="clear" w:color="auto" w:fill="BFBFBF" w:themeFill="background1" w:themeFillShade="BF"/>
            <w:noWrap/>
            <w:vAlign w:val="center"/>
            <w:hideMark/>
          </w:tcPr>
          <w:p w14:paraId="35767433" w14:textId="77777777" w:rsidR="00EA5BBF" w:rsidRPr="001570EA" w:rsidRDefault="00EA5BBF">
            <w:pPr>
              <w:keepNext/>
              <w:keepLines/>
              <w:jc w:val="center"/>
              <w:rPr>
                <w:rFonts w:eastAsia="Arial" w:cs="Arial"/>
                <w:b/>
                <w:bCs/>
                <w:sz w:val="18"/>
                <w:szCs w:val="18"/>
              </w:rPr>
            </w:pPr>
            <w:r w:rsidRPr="001570EA">
              <w:rPr>
                <w:b/>
                <w:bCs/>
                <w:sz w:val="18"/>
                <w:szCs w:val="18"/>
              </w:rPr>
              <w:t>ASHP</w:t>
            </w:r>
          </w:p>
        </w:tc>
        <w:tc>
          <w:tcPr>
            <w:tcW w:w="900" w:type="dxa"/>
            <w:shd w:val="clear" w:color="auto" w:fill="BFBFBF" w:themeFill="background1" w:themeFillShade="BF"/>
            <w:noWrap/>
            <w:vAlign w:val="center"/>
            <w:hideMark/>
          </w:tcPr>
          <w:p w14:paraId="1C54A06C" w14:textId="77777777" w:rsidR="00EA5BBF" w:rsidRPr="001570EA" w:rsidRDefault="00EA5BBF">
            <w:pPr>
              <w:keepNext/>
              <w:keepLines/>
              <w:jc w:val="center"/>
              <w:rPr>
                <w:rFonts w:eastAsia="Arial" w:cs="Arial"/>
                <w:b/>
                <w:bCs/>
                <w:sz w:val="18"/>
                <w:szCs w:val="18"/>
              </w:rPr>
            </w:pPr>
            <w:r w:rsidRPr="001570EA">
              <w:rPr>
                <w:b/>
                <w:bCs/>
                <w:sz w:val="18"/>
                <w:szCs w:val="18"/>
              </w:rPr>
              <w:t>Central AC</w:t>
            </w:r>
          </w:p>
        </w:tc>
        <w:tc>
          <w:tcPr>
            <w:tcW w:w="720" w:type="dxa"/>
            <w:shd w:val="clear" w:color="auto" w:fill="BFBFBF" w:themeFill="background1" w:themeFillShade="BF"/>
            <w:vAlign w:val="center"/>
            <w:hideMark/>
          </w:tcPr>
          <w:p w14:paraId="759B052E" w14:textId="77777777" w:rsidR="00EA5BBF" w:rsidRPr="001570EA" w:rsidRDefault="00EA5BBF">
            <w:pPr>
              <w:keepNext/>
              <w:keepLines/>
              <w:ind w:left="-108"/>
              <w:jc w:val="center"/>
              <w:rPr>
                <w:rFonts w:eastAsia="Arial" w:cs="Arial"/>
                <w:b/>
                <w:bCs/>
                <w:sz w:val="18"/>
                <w:szCs w:val="18"/>
              </w:rPr>
            </w:pPr>
            <w:r w:rsidRPr="001570EA">
              <w:rPr>
                <w:b/>
                <w:bCs/>
                <w:sz w:val="18"/>
                <w:szCs w:val="18"/>
              </w:rPr>
              <w:t>GSHP</w:t>
            </w:r>
          </w:p>
        </w:tc>
        <w:tc>
          <w:tcPr>
            <w:tcW w:w="808" w:type="dxa"/>
            <w:shd w:val="clear" w:color="auto" w:fill="BFBFBF" w:themeFill="background1" w:themeFillShade="BF"/>
            <w:noWrap/>
            <w:vAlign w:val="center"/>
            <w:hideMark/>
          </w:tcPr>
          <w:p w14:paraId="5722AD85" w14:textId="77777777" w:rsidR="00EA5BBF" w:rsidRPr="001570EA" w:rsidRDefault="00EA5BBF">
            <w:pPr>
              <w:keepNext/>
              <w:keepLines/>
              <w:ind w:left="-108"/>
              <w:jc w:val="center"/>
              <w:rPr>
                <w:rFonts w:eastAsia="Arial" w:cs="Arial"/>
                <w:b/>
                <w:bCs/>
                <w:sz w:val="18"/>
                <w:szCs w:val="18"/>
              </w:rPr>
            </w:pPr>
            <w:r w:rsidRPr="001570EA">
              <w:rPr>
                <w:b/>
                <w:bCs/>
                <w:sz w:val="18"/>
                <w:szCs w:val="18"/>
              </w:rPr>
              <w:t>Mini-split</w:t>
            </w:r>
          </w:p>
        </w:tc>
        <w:tc>
          <w:tcPr>
            <w:tcW w:w="808" w:type="dxa"/>
            <w:shd w:val="clear" w:color="auto" w:fill="BFBFBF" w:themeFill="background1" w:themeFillShade="BF"/>
            <w:vAlign w:val="center"/>
            <w:hideMark/>
          </w:tcPr>
          <w:p w14:paraId="6867B23D" w14:textId="77777777" w:rsidR="00EA5BBF" w:rsidRPr="001570EA" w:rsidRDefault="00EA5BBF">
            <w:pPr>
              <w:keepNext/>
              <w:keepLines/>
              <w:ind w:left="-108"/>
              <w:jc w:val="center"/>
              <w:rPr>
                <w:rFonts w:eastAsia="Arial" w:cs="Arial"/>
                <w:b/>
                <w:bCs/>
                <w:sz w:val="18"/>
                <w:szCs w:val="18"/>
              </w:rPr>
            </w:pPr>
            <w:r w:rsidRPr="001570EA">
              <w:rPr>
                <w:b/>
                <w:bCs/>
                <w:sz w:val="18"/>
                <w:szCs w:val="18"/>
              </w:rPr>
              <w:t>ASHP</w:t>
            </w:r>
          </w:p>
        </w:tc>
        <w:tc>
          <w:tcPr>
            <w:tcW w:w="719" w:type="dxa"/>
            <w:shd w:val="clear" w:color="auto" w:fill="BFBFBF" w:themeFill="background1" w:themeFillShade="BF"/>
            <w:noWrap/>
            <w:vAlign w:val="center"/>
            <w:hideMark/>
          </w:tcPr>
          <w:p w14:paraId="6D2DAFB7" w14:textId="77777777" w:rsidR="00EA5BBF" w:rsidRPr="001570EA" w:rsidRDefault="00EA5BBF">
            <w:pPr>
              <w:keepNext/>
              <w:keepLines/>
              <w:ind w:left="-108"/>
              <w:jc w:val="center"/>
              <w:rPr>
                <w:rFonts w:eastAsia="Arial" w:cs="Arial"/>
                <w:b/>
                <w:bCs/>
                <w:sz w:val="18"/>
                <w:szCs w:val="18"/>
              </w:rPr>
            </w:pPr>
            <w:r w:rsidRPr="001570EA">
              <w:rPr>
                <w:b/>
                <w:bCs/>
                <w:sz w:val="18"/>
                <w:szCs w:val="18"/>
              </w:rPr>
              <w:t>Base-board</w:t>
            </w:r>
          </w:p>
        </w:tc>
        <w:tc>
          <w:tcPr>
            <w:tcW w:w="808" w:type="dxa"/>
            <w:shd w:val="clear" w:color="auto" w:fill="BFBFBF" w:themeFill="background1" w:themeFillShade="BF"/>
            <w:vAlign w:val="center"/>
          </w:tcPr>
          <w:p w14:paraId="0CBAEC5B" w14:textId="77777777" w:rsidR="00EA5BBF" w:rsidRPr="001570EA" w:rsidRDefault="00EA5BBF">
            <w:pPr>
              <w:keepNext/>
              <w:keepLines/>
              <w:ind w:left="-108"/>
              <w:jc w:val="center"/>
              <w:rPr>
                <w:b/>
                <w:bCs/>
                <w:sz w:val="18"/>
                <w:szCs w:val="18"/>
              </w:rPr>
            </w:pPr>
            <w:r w:rsidRPr="001570EA">
              <w:rPr>
                <w:b/>
                <w:bCs/>
                <w:sz w:val="18"/>
                <w:szCs w:val="18"/>
              </w:rPr>
              <w:t>Electric Furnace</w:t>
            </w:r>
          </w:p>
        </w:tc>
        <w:tc>
          <w:tcPr>
            <w:tcW w:w="808" w:type="dxa"/>
            <w:shd w:val="clear" w:color="auto" w:fill="BFBFBF" w:themeFill="background1" w:themeFillShade="BF"/>
            <w:vAlign w:val="center"/>
          </w:tcPr>
          <w:p w14:paraId="7A0A0FAF" w14:textId="77777777" w:rsidR="00EA5BBF" w:rsidRPr="001570EA" w:rsidRDefault="00EA5BBF">
            <w:pPr>
              <w:keepNext/>
              <w:keepLines/>
              <w:ind w:left="-108"/>
              <w:jc w:val="center"/>
              <w:rPr>
                <w:b/>
                <w:bCs/>
                <w:sz w:val="18"/>
                <w:szCs w:val="18"/>
              </w:rPr>
            </w:pPr>
            <w:r w:rsidRPr="001570EA">
              <w:rPr>
                <w:b/>
                <w:bCs/>
                <w:sz w:val="18"/>
                <w:szCs w:val="18"/>
              </w:rPr>
              <w:t>GSHP</w:t>
            </w:r>
          </w:p>
        </w:tc>
        <w:tc>
          <w:tcPr>
            <w:tcW w:w="821" w:type="dxa"/>
            <w:shd w:val="clear" w:color="auto" w:fill="BFBFBF" w:themeFill="background1" w:themeFillShade="BF"/>
            <w:vAlign w:val="center"/>
          </w:tcPr>
          <w:p w14:paraId="6F08A85A" w14:textId="77777777" w:rsidR="00EA5BBF" w:rsidRPr="001570EA" w:rsidRDefault="00EA5BBF">
            <w:pPr>
              <w:keepNext/>
              <w:keepLines/>
              <w:ind w:left="-114"/>
              <w:jc w:val="center"/>
              <w:rPr>
                <w:b/>
                <w:bCs/>
                <w:sz w:val="18"/>
                <w:szCs w:val="18"/>
              </w:rPr>
            </w:pPr>
            <w:r w:rsidRPr="001570EA">
              <w:rPr>
                <w:b/>
                <w:bCs/>
                <w:sz w:val="18"/>
                <w:szCs w:val="18"/>
              </w:rPr>
              <w:t>Mini-split</w:t>
            </w:r>
          </w:p>
        </w:tc>
      </w:tr>
      <w:tr w:rsidR="00EA5BBF" w:rsidRPr="001570EA" w14:paraId="6EC23BD1" w14:textId="77777777">
        <w:trPr>
          <w:gridAfter w:val="1"/>
          <w:wAfter w:w="6" w:type="dxa"/>
          <w:trHeight w:val="302"/>
          <w:jc w:val="center"/>
        </w:trPr>
        <w:tc>
          <w:tcPr>
            <w:tcW w:w="440" w:type="dxa"/>
            <w:shd w:val="clear" w:color="auto" w:fill="BFBFBF" w:themeFill="background1" w:themeFillShade="BF"/>
            <w:vAlign w:val="center"/>
          </w:tcPr>
          <w:p w14:paraId="4C71B8A5" w14:textId="77777777" w:rsidR="00EA5BBF" w:rsidRPr="001570EA" w:rsidRDefault="00EA5BBF">
            <w:pPr>
              <w:keepNext/>
              <w:keepLines/>
              <w:jc w:val="center"/>
              <w:rPr>
                <w:b/>
                <w:color w:val="000000"/>
                <w:sz w:val="18"/>
                <w:szCs w:val="18"/>
              </w:rPr>
            </w:pPr>
            <w:r w:rsidRPr="001570EA">
              <w:rPr>
                <w:rFonts w:cs="Arial"/>
                <w:b/>
                <w:color w:val="000000"/>
                <w:sz w:val="18"/>
                <w:szCs w:val="18"/>
              </w:rPr>
              <w:t>C</w:t>
            </w:r>
          </w:p>
        </w:tc>
        <w:tc>
          <w:tcPr>
            <w:tcW w:w="1258" w:type="dxa"/>
            <w:shd w:val="clear" w:color="auto" w:fill="auto"/>
            <w:noWrap/>
            <w:vAlign w:val="center"/>
          </w:tcPr>
          <w:p w14:paraId="41C57765" w14:textId="77777777" w:rsidR="00EA5BBF" w:rsidRPr="001570EA" w:rsidRDefault="00EA5BBF">
            <w:pPr>
              <w:keepNext/>
              <w:keepLines/>
              <w:rPr>
                <w:color w:val="000000"/>
                <w:sz w:val="18"/>
                <w:szCs w:val="18"/>
              </w:rPr>
            </w:pPr>
            <w:r w:rsidRPr="001570EA">
              <w:rPr>
                <w:rFonts w:cs="Arial"/>
                <w:color w:val="000000"/>
                <w:sz w:val="18"/>
                <w:szCs w:val="18"/>
              </w:rPr>
              <w:t>Allentown</w:t>
            </w:r>
          </w:p>
        </w:tc>
        <w:tc>
          <w:tcPr>
            <w:tcW w:w="727" w:type="dxa"/>
            <w:shd w:val="clear" w:color="auto" w:fill="auto"/>
            <w:noWrap/>
            <w:vAlign w:val="center"/>
          </w:tcPr>
          <w:p w14:paraId="4F823548" w14:textId="77777777" w:rsidR="00EA5BBF" w:rsidRPr="001570EA" w:rsidRDefault="00EA5BBF">
            <w:pPr>
              <w:keepNext/>
              <w:keepLines/>
              <w:jc w:val="center"/>
              <w:rPr>
                <w:rFonts w:cs="Arial"/>
                <w:color w:val="000000"/>
                <w:sz w:val="18"/>
                <w:szCs w:val="18"/>
              </w:rPr>
            </w:pPr>
            <w:r w:rsidRPr="001570EA">
              <w:rPr>
                <w:rFonts w:cs="Arial"/>
                <w:sz w:val="18"/>
                <w:szCs w:val="18"/>
              </w:rPr>
              <w:t>-0.062</w:t>
            </w:r>
          </w:p>
        </w:tc>
        <w:tc>
          <w:tcPr>
            <w:tcW w:w="900" w:type="dxa"/>
            <w:shd w:val="clear" w:color="auto" w:fill="auto"/>
            <w:noWrap/>
            <w:vAlign w:val="center"/>
          </w:tcPr>
          <w:p w14:paraId="5142F1F5" w14:textId="77777777" w:rsidR="00EA5BBF" w:rsidRPr="001570EA" w:rsidRDefault="00EA5BBF">
            <w:pPr>
              <w:keepNext/>
              <w:keepLines/>
              <w:jc w:val="center"/>
              <w:rPr>
                <w:rFonts w:cs="Arial"/>
                <w:color w:val="000000"/>
                <w:sz w:val="18"/>
                <w:szCs w:val="18"/>
              </w:rPr>
            </w:pPr>
            <w:r w:rsidRPr="001570EA">
              <w:rPr>
                <w:rFonts w:cs="Arial"/>
                <w:sz w:val="18"/>
                <w:szCs w:val="18"/>
              </w:rPr>
              <w:t>-0.021</w:t>
            </w:r>
          </w:p>
        </w:tc>
        <w:tc>
          <w:tcPr>
            <w:tcW w:w="720" w:type="dxa"/>
            <w:shd w:val="clear" w:color="auto" w:fill="auto"/>
            <w:noWrap/>
            <w:vAlign w:val="center"/>
          </w:tcPr>
          <w:p w14:paraId="104925F0" w14:textId="77777777" w:rsidR="00EA5BBF" w:rsidRPr="001570EA" w:rsidRDefault="00EA5BBF">
            <w:pPr>
              <w:keepNext/>
              <w:keepLines/>
              <w:ind w:left="-108"/>
              <w:jc w:val="center"/>
              <w:rPr>
                <w:rFonts w:cs="Arial"/>
                <w:color w:val="000000"/>
                <w:sz w:val="18"/>
                <w:szCs w:val="18"/>
              </w:rPr>
            </w:pPr>
            <w:r w:rsidRPr="001570EA">
              <w:rPr>
                <w:rFonts w:cs="Arial"/>
                <w:sz w:val="18"/>
                <w:szCs w:val="18"/>
              </w:rPr>
              <w:t>0.028</w:t>
            </w:r>
          </w:p>
        </w:tc>
        <w:tc>
          <w:tcPr>
            <w:tcW w:w="808" w:type="dxa"/>
            <w:shd w:val="clear" w:color="auto" w:fill="auto"/>
            <w:noWrap/>
            <w:vAlign w:val="center"/>
          </w:tcPr>
          <w:p w14:paraId="61412B2C" w14:textId="77777777" w:rsidR="00EA5BBF" w:rsidRPr="001570EA" w:rsidRDefault="00EA5BBF">
            <w:pPr>
              <w:keepNext/>
              <w:keepLines/>
              <w:jc w:val="center"/>
              <w:rPr>
                <w:rFonts w:cs="Arial"/>
                <w:color w:val="000000"/>
                <w:sz w:val="18"/>
                <w:szCs w:val="18"/>
              </w:rPr>
            </w:pPr>
            <w:r w:rsidRPr="001570EA">
              <w:rPr>
                <w:rFonts w:cs="Arial"/>
                <w:sz w:val="18"/>
                <w:szCs w:val="18"/>
              </w:rPr>
              <w:t>0.097</w:t>
            </w:r>
          </w:p>
        </w:tc>
        <w:tc>
          <w:tcPr>
            <w:tcW w:w="808" w:type="dxa"/>
            <w:shd w:val="clear" w:color="auto" w:fill="auto"/>
            <w:noWrap/>
            <w:vAlign w:val="center"/>
          </w:tcPr>
          <w:p w14:paraId="1C221FA9" w14:textId="77777777" w:rsidR="00EA5BBF" w:rsidRPr="001570EA" w:rsidRDefault="00EA5BBF">
            <w:pPr>
              <w:keepNext/>
              <w:keepLines/>
              <w:ind w:left="-108"/>
              <w:jc w:val="center"/>
              <w:rPr>
                <w:rFonts w:cs="Arial"/>
                <w:color w:val="000000"/>
                <w:sz w:val="18"/>
                <w:szCs w:val="18"/>
              </w:rPr>
            </w:pPr>
            <w:r w:rsidRPr="001570EA">
              <w:rPr>
                <w:rFonts w:cs="Arial"/>
                <w:sz w:val="18"/>
                <w:szCs w:val="18"/>
              </w:rPr>
              <w:t>-1.445</w:t>
            </w:r>
          </w:p>
        </w:tc>
        <w:tc>
          <w:tcPr>
            <w:tcW w:w="719" w:type="dxa"/>
            <w:shd w:val="clear" w:color="auto" w:fill="auto"/>
            <w:noWrap/>
            <w:vAlign w:val="center"/>
          </w:tcPr>
          <w:p w14:paraId="642566B7" w14:textId="77777777" w:rsidR="00EA5BBF" w:rsidRPr="001570EA" w:rsidRDefault="00EA5BBF">
            <w:pPr>
              <w:keepNext/>
              <w:keepLines/>
              <w:ind w:left="-108"/>
              <w:jc w:val="center"/>
              <w:rPr>
                <w:rFonts w:cs="Arial"/>
                <w:color w:val="000000"/>
                <w:sz w:val="18"/>
                <w:szCs w:val="18"/>
              </w:rPr>
            </w:pPr>
            <w:r w:rsidRPr="001570EA">
              <w:rPr>
                <w:rFonts w:cs="Arial"/>
                <w:sz w:val="18"/>
                <w:szCs w:val="18"/>
              </w:rPr>
              <w:t>-1.790</w:t>
            </w:r>
          </w:p>
        </w:tc>
        <w:tc>
          <w:tcPr>
            <w:tcW w:w="808" w:type="dxa"/>
            <w:vAlign w:val="center"/>
          </w:tcPr>
          <w:p w14:paraId="09E26FE6" w14:textId="77777777" w:rsidR="00EA5BBF" w:rsidRPr="001570EA" w:rsidRDefault="00EA5BBF">
            <w:pPr>
              <w:keepNext/>
              <w:keepLines/>
              <w:jc w:val="center"/>
              <w:rPr>
                <w:rFonts w:cs="Arial"/>
                <w:color w:val="000000"/>
                <w:sz w:val="18"/>
                <w:szCs w:val="18"/>
              </w:rPr>
            </w:pPr>
            <w:r w:rsidRPr="001570EA">
              <w:rPr>
                <w:rFonts w:cs="Arial"/>
                <w:sz w:val="18"/>
                <w:szCs w:val="18"/>
              </w:rPr>
              <w:t>-3.317</w:t>
            </w:r>
          </w:p>
        </w:tc>
        <w:tc>
          <w:tcPr>
            <w:tcW w:w="808" w:type="dxa"/>
            <w:vAlign w:val="center"/>
          </w:tcPr>
          <w:p w14:paraId="4EEB6FDE" w14:textId="77777777" w:rsidR="00EA5BBF" w:rsidRPr="001570EA" w:rsidRDefault="00EA5BBF">
            <w:pPr>
              <w:keepNext/>
              <w:keepLines/>
              <w:jc w:val="center"/>
              <w:rPr>
                <w:rFonts w:cs="Arial"/>
                <w:color w:val="000000"/>
                <w:sz w:val="18"/>
                <w:szCs w:val="18"/>
              </w:rPr>
            </w:pPr>
            <w:r w:rsidRPr="001570EA">
              <w:rPr>
                <w:rFonts w:cs="Arial"/>
                <w:sz w:val="18"/>
                <w:szCs w:val="18"/>
              </w:rPr>
              <w:t>-1.396</w:t>
            </w:r>
          </w:p>
        </w:tc>
        <w:tc>
          <w:tcPr>
            <w:tcW w:w="821" w:type="dxa"/>
            <w:vAlign w:val="center"/>
          </w:tcPr>
          <w:p w14:paraId="392F8305" w14:textId="77777777" w:rsidR="00EA5BBF" w:rsidRPr="001570EA" w:rsidRDefault="00EA5BBF">
            <w:pPr>
              <w:keepNext/>
              <w:keepLines/>
              <w:jc w:val="center"/>
              <w:rPr>
                <w:rFonts w:cs="Arial"/>
                <w:color w:val="000000"/>
                <w:sz w:val="18"/>
                <w:szCs w:val="18"/>
              </w:rPr>
            </w:pPr>
            <w:r w:rsidRPr="001570EA">
              <w:rPr>
                <w:rFonts w:cs="Arial"/>
                <w:sz w:val="18"/>
                <w:szCs w:val="18"/>
              </w:rPr>
              <w:t>-0.909</w:t>
            </w:r>
          </w:p>
        </w:tc>
      </w:tr>
      <w:tr w:rsidR="00EA5BBF" w:rsidRPr="001570EA" w14:paraId="1C03209D" w14:textId="77777777">
        <w:trPr>
          <w:gridAfter w:val="1"/>
          <w:wAfter w:w="6" w:type="dxa"/>
          <w:trHeight w:val="302"/>
          <w:jc w:val="center"/>
        </w:trPr>
        <w:tc>
          <w:tcPr>
            <w:tcW w:w="440" w:type="dxa"/>
            <w:shd w:val="clear" w:color="auto" w:fill="BFBFBF" w:themeFill="background1" w:themeFillShade="BF"/>
            <w:vAlign w:val="center"/>
          </w:tcPr>
          <w:p w14:paraId="2C7DBB6F" w14:textId="77777777" w:rsidR="00EA5BBF" w:rsidRPr="001570EA" w:rsidRDefault="00EA5BBF">
            <w:pPr>
              <w:keepNext/>
              <w:keepLines/>
              <w:jc w:val="center"/>
              <w:rPr>
                <w:b/>
                <w:color w:val="000000"/>
                <w:sz w:val="18"/>
                <w:szCs w:val="18"/>
              </w:rPr>
            </w:pPr>
            <w:r w:rsidRPr="001570EA">
              <w:rPr>
                <w:rFonts w:cs="Arial"/>
                <w:b/>
                <w:color w:val="000000"/>
                <w:sz w:val="18"/>
                <w:szCs w:val="18"/>
              </w:rPr>
              <w:t>A</w:t>
            </w:r>
          </w:p>
        </w:tc>
        <w:tc>
          <w:tcPr>
            <w:tcW w:w="1258" w:type="dxa"/>
            <w:shd w:val="clear" w:color="auto" w:fill="auto"/>
            <w:noWrap/>
            <w:vAlign w:val="center"/>
            <w:hideMark/>
          </w:tcPr>
          <w:p w14:paraId="6E8C6A90" w14:textId="77777777" w:rsidR="00EA5BBF" w:rsidRPr="001570EA" w:rsidRDefault="00EA5BBF">
            <w:pPr>
              <w:keepNext/>
              <w:keepLines/>
              <w:rPr>
                <w:rFonts w:eastAsia="Arial" w:cs="Arial"/>
                <w:color w:val="000000"/>
                <w:sz w:val="18"/>
                <w:szCs w:val="18"/>
              </w:rPr>
            </w:pPr>
            <w:r w:rsidRPr="001570EA">
              <w:rPr>
                <w:rFonts w:cs="Arial"/>
                <w:color w:val="000000"/>
                <w:sz w:val="18"/>
                <w:szCs w:val="18"/>
              </w:rPr>
              <w:t>Binghamton</w:t>
            </w:r>
          </w:p>
        </w:tc>
        <w:tc>
          <w:tcPr>
            <w:tcW w:w="727" w:type="dxa"/>
            <w:shd w:val="clear" w:color="auto" w:fill="auto"/>
            <w:noWrap/>
            <w:vAlign w:val="center"/>
          </w:tcPr>
          <w:p w14:paraId="1BE0FCF8" w14:textId="77777777" w:rsidR="00EA5BBF" w:rsidRPr="001570EA" w:rsidRDefault="00EA5BBF">
            <w:pPr>
              <w:keepNext/>
              <w:keepLines/>
              <w:jc w:val="center"/>
              <w:rPr>
                <w:rFonts w:cs="Arial"/>
                <w:color w:val="000000"/>
                <w:sz w:val="18"/>
                <w:szCs w:val="18"/>
              </w:rPr>
            </w:pPr>
            <w:r w:rsidRPr="001570EA">
              <w:rPr>
                <w:rFonts w:cs="Arial"/>
                <w:sz w:val="18"/>
                <w:szCs w:val="18"/>
              </w:rPr>
              <w:t>0.000</w:t>
            </w:r>
          </w:p>
        </w:tc>
        <w:tc>
          <w:tcPr>
            <w:tcW w:w="900" w:type="dxa"/>
            <w:shd w:val="clear" w:color="auto" w:fill="auto"/>
            <w:noWrap/>
            <w:vAlign w:val="center"/>
          </w:tcPr>
          <w:p w14:paraId="215563E1" w14:textId="77777777" w:rsidR="00EA5BBF" w:rsidRPr="001570EA" w:rsidRDefault="00EA5BBF">
            <w:pPr>
              <w:keepNext/>
              <w:keepLines/>
              <w:jc w:val="center"/>
              <w:rPr>
                <w:rFonts w:cs="Arial"/>
                <w:color w:val="000000"/>
                <w:sz w:val="18"/>
                <w:szCs w:val="18"/>
              </w:rPr>
            </w:pPr>
            <w:r w:rsidRPr="001570EA">
              <w:rPr>
                <w:rFonts w:cs="Arial"/>
                <w:sz w:val="18"/>
                <w:szCs w:val="18"/>
              </w:rPr>
              <w:t>0.086</w:t>
            </w:r>
          </w:p>
        </w:tc>
        <w:tc>
          <w:tcPr>
            <w:tcW w:w="720" w:type="dxa"/>
            <w:shd w:val="clear" w:color="auto" w:fill="auto"/>
            <w:noWrap/>
            <w:vAlign w:val="center"/>
          </w:tcPr>
          <w:p w14:paraId="63E5618A" w14:textId="77777777" w:rsidR="00EA5BBF" w:rsidRPr="001570EA" w:rsidRDefault="00EA5BBF">
            <w:pPr>
              <w:keepNext/>
              <w:keepLines/>
              <w:ind w:left="-108"/>
              <w:jc w:val="center"/>
              <w:rPr>
                <w:rFonts w:cs="Arial"/>
                <w:color w:val="000000"/>
                <w:sz w:val="18"/>
                <w:szCs w:val="18"/>
              </w:rPr>
            </w:pPr>
            <w:r w:rsidRPr="001570EA">
              <w:rPr>
                <w:rFonts w:cs="Arial"/>
                <w:sz w:val="18"/>
                <w:szCs w:val="18"/>
              </w:rPr>
              <w:t>0.061</w:t>
            </w:r>
          </w:p>
        </w:tc>
        <w:tc>
          <w:tcPr>
            <w:tcW w:w="808" w:type="dxa"/>
            <w:shd w:val="clear" w:color="auto" w:fill="auto"/>
            <w:noWrap/>
            <w:vAlign w:val="center"/>
          </w:tcPr>
          <w:p w14:paraId="71DBCAD0" w14:textId="77777777" w:rsidR="00EA5BBF" w:rsidRPr="001570EA" w:rsidRDefault="00EA5BBF">
            <w:pPr>
              <w:keepNext/>
              <w:keepLines/>
              <w:jc w:val="center"/>
              <w:rPr>
                <w:rFonts w:cs="Arial"/>
                <w:color w:val="000000"/>
                <w:sz w:val="18"/>
                <w:szCs w:val="18"/>
              </w:rPr>
            </w:pPr>
            <w:r w:rsidRPr="001570EA">
              <w:rPr>
                <w:rFonts w:cs="Arial"/>
                <w:sz w:val="18"/>
                <w:szCs w:val="18"/>
              </w:rPr>
              <w:t>-1.648</w:t>
            </w:r>
          </w:p>
        </w:tc>
        <w:tc>
          <w:tcPr>
            <w:tcW w:w="808" w:type="dxa"/>
            <w:shd w:val="clear" w:color="auto" w:fill="auto"/>
            <w:noWrap/>
            <w:vAlign w:val="center"/>
          </w:tcPr>
          <w:p w14:paraId="18008C0B" w14:textId="77777777" w:rsidR="00EA5BBF" w:rsidRPr="001570EA" w:rsidRDefault="00EA5BBF">
            <w:pPr>
              <w:keepNext/>
              <w:keepLines/>
              <w:ind w:left="-108"/>
              <w:jc w:val="center"/>
              <w:rPr>
                <w:rFonts w:cs="Arial"/>
                <w:color w:val="000000"/>
                <w:sz w:val="18"/>
                <w:szCs w:val="18"/>
              </w:rPr>
            </w:pPr>
            <w:r w:rsidRPr="001570EA">
              <w:rPr>
                <w:rFonts w:cs="Arial"/>
                <w:sz w:val="18"/>
                <w:szCs w:val="18"/>
              </w:rPr>
              <w:t>-1.159</w:t>
            </w:r>
          </w:p>
        </w:tc>
        <w:tc>
          <w:tcPr>
            <w:tcW w:w="719" w:type="dxa"/>
            <w:shd w:val="clear" w:color="auto" w:fill="auto"/>
            <w:noWrap/>
            <w:vAlign w:val="center"/>
          </w:tcPr>
          <w:p w14:paraId="68094CD9" w14:textId="77777777" w:rsidR="00EA5BBF" w:rsidRPr="001570EA" w:rsidRDefault="00EA5BBF">
            <w:pPr>
              <w:keepNext/>
              <w:keepLines/>
              <w:ind w:left="-108"/>
              <w:jc w:val="center"/>
              <w:rPr>
                <w:rFonts w:cs="Arial"/>
                <w:color w:val="000000"/>
                <w:sz w:val="18"/>
                <w:szCs w:val="18"/>
              </w:rPr>
            </w:pPr>
            <w:r w:rsidRPr="001570EA">
              <w:rPr>
                <w:rFonts w:cs="Arial"/>
                <w:sz w:val="18"/>
                <w:szCs w:val="18"/>
              </w:rPr>
              <w:t>0.103</w:t>
            </w:r>
          </w:p>
        </w:tc>
        <w:tc>
          <w:tcPr>
            <w:tcW w:w="808" w:type="dxa"/>
            <w:vAlign w:val="center"/>
          </w:tcPr>
          <w:p w14:paraId="47D60C47" w14:textId="77777777" w:rsidR="00EA5BBF" w:rsidRPr="001570EA" w:rsidRDefault="00EA5BBF">
            <w:pPr>
              <w:keepNext/>
              <w:keepLines/>
              <w:jc w:val="center"/>
              <w:rPr>
                <w:rFonts w:cs="Arial"/>
                <w:color w:val="000000"/>
                <w:sz w:val="18"/>
                <w:szCs w:val="18"/>
              </w:rPr>
            </w:pPr>
            <w:r w:rsidRPr="001570EA">
              <w:rPr>
                <w:rFonts w:cs="Arial"/>
                <w:sz w:val="18"/>
                <w:szCs w:val="18"/>
              </w:rPr>
              <w:t>-0.287</w:t>
            </w:r>
          </w:p>
        </w:tc>
        <w:tc>
          <w:tcPr>
            <w:tcW w:w="808" w:type="dxa"/>
            <w:vAlign w:val="center"/>
          </w:tcPr>
          <w:p w14:paraId="79A1EBC3" w14:textId="77777777" w:rsidR="00EA5BBF" w:rsidRPr="001570EA" w:rsidRDefault="00EA5BBF">
            <w:pPr>
              <w:keepNext/>
              <w:keepLines/>
              <w:jc w:val="center"/>
              <w:rPr>
                <w:rFonts w:cs="Arial"/>
                <w:color w:val="000000"/>
                <w:sz w:val="18"/>
                <w:szCs w:val="18"/>
              </w:rPr>
            </w:pPr>
            <w:r w:rsidRPr="001570EA">
              <w:rPr>
                <w:rFonts w:cs="Arial"/>
                <w:sz w:val="18"/>
                <w:szCs w:val="18"/>
              </w:rPr>
              <w:t>-0.789</w:t>
            </w:r>
          </w:p>
        </w:tc>
        <w:tc>
          <w:tcPr>
            <w:tcW w:w="821" w:type="dxa"/>
            <w:vAlign w:val="center"/>
          </w:tcPr>
          <w:p w14:paraId="53DE8E3A" w14:textId="77777777" w:rsidR="00EA5BBF" w:rsidRPr="001570EA" w:rsidRDefault="00EA5BBF">
            <w:pPr>
              <w:keepNext/>
              <w:keepLines/>
              <w:jc w:val="center"/>
              <w:rPr>
                <w:rFonts w:cs="Arial"/>
                <w:color w:val="000000"/>
                <w:sz w:val="18"/>
                <w:szCs w:val="18"/>
              </w:rPr>
            </w:pPr>
            <w:r w:rsidRPr="001570EA">
              <w:rPr>
                <w:rFonts w:cs="Arial"/>
                <w:sz w:val="18"/>
                <w:szCs w:val="18"/>
              </w:rPr>
              <w:t>-1.232</w:t>
            </w:r>
          </w:p>
        </w:tc>
      </w:tr>
      <w:tr w:rsidR="00EA5BBF" w:rsidRPr="001570EA" w14:paraId="469F36EB" w14:textId="77777777">
        <w:trPr>
          <w:gridAfter w:val="1"/>
          <w:wAfter w:w="6" w:type="dxa"/>
          <w:trHeight w:val="302"/>
          <w:jc w:val="center"/>
        </w:trPr>
        <w:tc>
          <w:tcPr>
            <w:tcW w:w="440" w:type="dxa"/>
            <w:shd w:val="clear" w:color="auto" w:fill="BFBFBF" w:themeFill="background1" w:themeFillShade="BF"/>
            <w:vAlign w:val="center"/>
          </w:tcPr>
          <w:p w14:paraId="3F06DCD6" w14:textId="77777777" w:rsidR="00EA5BBF" w:rsidRPr="001570EA" w:rsidRDefault="00EA5BBF">
            <w:pPr>
              <w:keepNext/>
              <w:keepLines/>
              <w:jc w:val="center"/>
              <w:rPr>
                <w:b/>
                <w:color w:val="000000"/>
                <w:sz w:val="18"/>
                <w:szCs w:val="18"/>
              </w:rPr>
            </w:pPr>
            <w:r w:rsidRPr="001570EA">
              <w:rPr>
                <w:rFonts w:cs="Arial"/>
                <w:b/>
                <w:color w:val="000000"/>
                <w:sz w:val="18"/>
                <w:szCs w:val="18"/>
              </w:rPr>
              <w:t>G</w:t>
            </w:r>
          </w:p>
        </w:tc>
        <w:tc>
          <w:tcPr>
            <w:tcW w:w="1258" w:type="dxa"/>
            <w:shd w:val="clear" w:color="auto" w:fill="auto"/>
            <w:noWrap/>
            <w:vAlign w:val="center"/>
            <w:hideMark/>
          </w:tcPr>
          <w:p w14:paraId="0552C142" w14:textId="77777777" w:rsidR="00EA5BBF" w:rsidRPr="001570EA" w:rsidRDefault="00EA5BBF">
            <w:pPr>
              <w:keepNext/>
              <w:keepLines/>
              <w:rPr>
                <w:rFonts w:eastAsia="Arial" w:cs="Arial"/>
                <w:color w:val="000000"/>
                <w:sz w:val="18"/>
                <w:szCs w:val="18"/>
              </w:rPr>
            </w:pPr>
            <w:r w:rsidRPr="001570EA">
              <w:rPr>
                <w:rFonts w:cs="Arial"/>
                <w:color w:val="000000"/>
                <w:sz w:val="18"/>
                <w:szCs w:val="18"/>
              </w:rPr>
              <w:t>Bradford</w:t>
            </w:r>
          </w:p>
        </w:tc>
        <w:tc>
          <w:tcPr>
            <w:tcW w:w="727" w:type="dxa"/>
            <w:shd w:val="clear" w:color="auto" w:fill="auto"/>
            <w:noWrap/>
            <w:vAlign w:val="center"/>
          </w:tcPr>
          <w:p w14:paraId="52CCA757" w14:textId="77777777" w:rsidR="00EA5BBF" w:rsidRPr="001570EA" w:rsidRDefault="00EA5BBF">
            <w:pPr>
              <w:keepNext/>
              <w:keepLines/>
              <w:jc w:val="center"/>
              <w:rPr>
                <w:rFonts w:cs="Arial"/>
                <w:color w:val="000000"/>
                <w:sz w:val="18"/>
                <w:szCs w:val="18"/>
              </w:rPr>
            </w:pPr>
            <w:r w:rsidRPr="001570EA">
              <w:rPr>
                <w:rFonts w:cs="Arial"/>
                <w:sz w:val="18"/>
                <w:szCs w:val="18"/>
              </w:rPr>
              <w:t>-2.255</w:t>
            </w:r>
          </w:p>
        </w:tc>
        <w:tc>
          <w:tcPr>
            <w:tcW w:w="900" w:type="dxa"/>
            <w:shd w:val="clear" w:color="auto" w:fill="auto"/>
            <w:noWrap/>
            <w:vAlign w:val="center"/>
          </w:tcPr>
          <w:p w14:paraId="103C8E73" w14:textId="77777777" w:rsidR="00EA5BBF" w:rsidRPr="001570EA" w:rsidRDefault="00EA5BBF">
            <w:pPr>
              <w:keepNext/>
              <w:keepLines/>
              <w:jc w:val="center"/>
              <w:rPr>
                <w:rFonts w:cs="Arial"/>
                <w:color w:val="000000"/>
                <w:sz w:val="18"/>
                <w:szCs w:val="18"/>
              </w:rPr>
            </w:pPr>
            <w:r w:rsidRPr="001570EA">
              <w:rPr>
                <w:rFonts w:cs="Arial"/>
                <w:sz w:val="18"/>
                <w:szCs w:val="18"/>
              </w:rPr>
              <w:t>-2.660</w:t>
            </w:r>
          </w:p>
        </w:tc>
        <w:tc>
          <w:tcPr>
            <w:tcW w:w="720" w:type="dxa"/>
            <w:shd w:val="clear" w:color="auto" w:fill="auto"/>
            <w:noWrap/>
            <w:vAlign w:val="center"/>
          </w:tcPr>
          <w:p w14:paraId="7E317D15" w14:textId="77777777" w:rsidR="00EA5BBF" w:rsidRPr="001570EA" w:rsidRDefault="00EA5BBF">
            <w:pPr>
              <w:keepNext/>
              <w:keepLines/>
              <w:ind w:left="-108"/>
              <w:jc w:val="center"/>
              <w:rPr>
                <w:rFonts w:cs="Arial"/>
                <w:color w:val="000000"/>
                <w:sz w:val="18"/>
                <w:szCs w:val="18"/>
              </w:rPr>
            </w:pPr>
            <w:r w:rsidRPr="001570EA">
              <w:rPr>
                <w:rFonts w:cs="Arial"/>
                <w:sz w:val="18"/>
                <w:szCs w:val="18"/>
              </w:rPr>
              <w:t>-1.547</w:t>
            </w:r>
          </w:p>
        </w:tc>
        <w:tc>
          <w:tcPr>
            <w:tcW w:w="808" w:type="dxa"/>
            <w:shd w:val="clear" w:color="auto" w:fill="auto"/>
            <w:noWrap/>
            <w:vAlign w:val="center"/>
          </w:tcPr>
          <w:p w14:paraId="4B988E62" w14:textId="77777777" w:rsidR="00EA5BBF" w:rsidRPr="001570EA" w:rsidRDefault="00EA5BBF">
            <w:pPr>
              <w:keepNext/>
              <w:keepLines/>
              <w:jc w:val="center"/>
              <w:rPr>
                <w:rFonts w:cs="Arial"/>
                <w:color w:val="000000"/>
                <w:sz w:val="18"/>
                <w:szCs w:val="18"/>
              </w:rPr>
            </w:pPr>
            <w:r w:rsidRPr="001570EA">
              <w:rPr>
                <w:rFonts w:cs="Arial"/>
                <w:sz w:val="18"/>
                <w:szCs w:val="18"/>
              </w:rPr>
              <w:t>-4.326</w:t>
            </w:r>
          </w:p>
        </w:tc>
        <w:tc>
          <w:tcPr>
            <w:tcW w:w="808" w:type="dxa"/>
            <w:shd w:val="clear" w:color="auto" w:fill="auto"/>
            <w:noWrap/>
            <w:vAlign w:val="center"/>
          </w:tcPr>
          <w:p w14:paraId="369B13E7" w14:textId="77777777" w:rsidR="00EA5BBF" w:rsidRPr="001570EA" w:rsidRDefault="00EA5BBF">
            <w:pPr>
              <w:keepNext/>
              <w:keepLines/>
              <w:ind w:left="-108"/>
              <w:jc w:val="center"/>
              <w:rPr>
                <w:rFonts w:cs="Arial"/>
                <w:color w:val="000000"/>
                <w:sz w:val="18"/>
                <w:szCs w:val="18"/>
              </w:rPr>
            </w:pPr>
            <w:r w:rsidRPr="001570EA">
              <w:rPr>
                <w:rFonts w:cs="Arial"/>
                <w:sz w:val="18"/>
                <w:szCs w:val="18"/>
              </w:rPr>
              <w:t>-1.828</w:t>
            </w:r>
          </w:p>
        </w:tc>
        <w:tc>
          <w:tcPr>
            <w:tcW w:w="719" w:type="dxa"/>
            <w:shd w:val="clear" w:color="auto" w:fill="auto"/>
            <w:noWrap/>
            <w:vAlign w:val="center"/>
          </w:tcPr>
          <w:p w14:paraId="765757A3" w14:textId="77777777" w:rsidR="00EA5BBF" w:rsidRPr="001570EA" w:rsidRDefault="00EA5BBF">
            <w:pPr>
              <w:keepNext/>
              <w:keepLines/>
              <w:ind w:left="-108"/>
              <w:jc w:val="center"/>
              <w:rPr>
                <w:rFonts w:cs="Arial"/>
                <w:color w:val="000000"/>
                <w:sz w:val="18"/>
                <w:szCs w:val="18"/>
              </w:rPr>
            </w:pPr>
            <w:r w:rsidRPr="001570EA">
              <w:rPr>
                <w:rFonts w:cs="Arial"/>
                <w:sz w:val="18"/>
                <w:szCs w:val="18"/>
              </w:rPr>
              <w:t>-5.151</w:t>
            </w:r>
          </w:p>
        </w:tc>
        <w:tc>
          <w:tcPr>
            <w:tcW w:w="808" w:type="dxa"/>
            <w:vAlign w:val="center"/>
          </w:tcPr>
          <w:p w14:paraId="0FC9F670" w14:textId="77777777" w:rsidR="00EA5BBF" w:rsidRPr="001570EA" w:rsidRDefault="00EA5BBF">
            <w:pPr>
              <w:keepNext/>
              <w:keepLines/>
              <w:jc w:val="center"/>
              <w:rPr>
                <w:rFonts w:cs="Arial"/>
                <w:color w:val="000000"/>
                <w:sz w:val="18"/>
                <w:szCs w:val="18"/>
              </w:rPr>
            </w:pPr>
            <w:r w:rsidRPr="001570EA">
              <w:rPr>
                <w:rFonts w:cs="Arial"/>
                <w:sz w:val="18"/>
                <w:szCs w:val="18"/>
              </w:rPr>
              <w:t>-4.540</w:t>
            </w:r>
          </w:p>
        </w:tc>
        <w:tc>
          <w:tcPr>
            <w:tcW w:w="808" w:type="dxa"/>
            <w:vAlign w:val="center"/>
          </w:tcPr>
          <w:p w14:paraId="51FFE1A8" w14:textId="77777777" w:rsidR="00EA5BBF" w:rsidRPr="001570EA" w:rsidRDefault="00EA5BBF">
            <w:pPr>
              <w:keepNext/>
              <w:keepLines/>
              <w:jc w:val="center"/>
              <w:rPr>
                <w:rFonts w:cs="Arial"/>
                <w:color w:val="000000"/>
                <w:sz w:val="18"/>
                <w:szCs w:val="18"/>
              </w:rPr>
            </w:pPr>
            <w:r w:rsidRPr="001570EA">
              <w:rPr>
                <w:rFonts w:cs="Arial"/>
                <w:sz w:val="18"/>
                <w:szCs w:val="18"/>
              </w:rPr>
              <w:t>-1.831</w:t>
            </w:r>
          </w:p>
        </w:tc>
        <w:tc>
          <w:tcPr>
            <w:tcW w:w="821" w:type="dxa"/>
            <w:vAlign w:val="center"/>
          </w:tcPr>
          <w:p w14:paraId="6080C1FF" w14:textId="77777777" w:rsidR="00EA5BBF" w:rsidRPr="001570EA" w:rsidRDefault="00EA5BBF">
            <w:pPr>
              <w:keepNext/>
              <w:keepLines/>
              <w:jc w:val="center"/>
              <w:rPr>
                <w:rFonts w:cs="Arial"/>
                <w:color w:val="000000"/>
                <w:sz w:val="18"/>
                <w:szCs w:val="18"/>
              </w:rPr>
            </w:pPr>
            <w:r w:rsidRPr="001570EA">
              <w:rPr>
                <w:rFonts w:cs="Arial"/>
                <w:sz w:val="18"/>
                <w:szCs w:val="18"/>
              </w:rPr>
              <w:t>-0.709</w:t>
            </w:r>
          </w:p>
        </w:tc>
      </w:tr>
      <w:tr w:rsidR="00EA5BBF" w:rsidRPr="001570EA" w14:paraId="00624C74" w14:textId="77777777">
        <w:trPr>
          <w:gridAfter w:val="1"/>
          <w:wAfter w:w="6" w:type="dxa"/>
          <w:trHeight w:val="302"/>
          <w:jc w:val="center"/>
        </w:trPr>
        <w:tc>
          <w:tcPr>
            <w:tcW w:w="440" w:type="dxa"/>
            <w:shd w:val="clear" w:color="auto" w:fill="BFBFBF" w:themeFill="background1" w:themeFillShade="BF"/>
            <w:vAlign w:val="center"/>
          </w:tcPr>
          <w:p w14:paraId="650AA2B2" w14:textId="77777777" w:rsidR="00EA5BBF" w:rsidRPr="001570EA" w:rsidRDefault="00EA5BBF">
            <w:pPr>
              <w:keepNext/>
              <w:keepLines/>
              <w:jc w:val="center"/>
              <w:rPr>
                <w:b/>
                <w:color w:val="000000"/>
                <w:sz w:val="18"/>
                <w:szCs w:val="18"/>
              </w:rPr>
            </w:pPr>
            <w:r w:rsidRPr="001570EA">
              <w:rPr>
                <w:rFonts w:cs="Arial"/>
                <w:b/>
                <w:color w:val="000000"/>
                <w:sz w:val="18"/>
                <w:szCs w:val="18"/>
              </w:rPr>
              <w:t>I</w:t>
            </w:r>
          </w:p>
        </w:tc>
        <w:tc>
          <w:tcPr>
            <w:tcW w:w="1258" w:type="dxa"/>
            <w:shd w:val="clear" w:color="auto" w:fill="auto"/>
            <w:noWrap/>
            <w:vAlign w:val="center"/>
            <w:hideMark/>
          </w:tcPr>
          <w:p w14:paraId="641071E2" w14:textId="77777777" w:rsidR="00EA5BBF" w:rsidRPr="001570EA" w:rsidRDefault="00EA5BBF">
            <w:pPr>
              <w:keepNext/>
              <w:keepLines/>
              <w:rPr>
                <w:rFonts w:eastAsia="Arial" w:cs="Arial"/>
                <w:color w:val="000000"/>
                <w:sz w:val="18"/>
                <w:szCs w:val="18"/>
              </w:rPr>
            </w:pPr>
            <w:r w:rsidRPr="001570EA">
              <w:rPr>
                <w:rFonts w:cs="Arial"/>
                <w:color w:val="000000"/>
                <w:sz w:val="18"/>
                <w:szCs w:val="18"/>
              </w:rPr>
              <w:t>Erie</w:t>
            </w:r>
          </w:p>
        </w:tc>
        <w:tc>
          <w:tcPr>
            <w:tcW w:w="727" w:type="dxa"/>
            <w:shd w:val="clear" w:color="auto" w:fill="auto"/>
            <w:noWrap/>
            <w:vAlign w:val="center"/>
          </w:tcPr>
          <w:p w14:paraId="65EDE888" w14:textId="77777777" w:rsidR="00EA5BBF" w:rsidRPr="001570EA" w:rsidRDefault="00EA5BBF">
            <w:pPr>
              <w:keepNext/>
              <w:keepLines/>
              <w:jc w:val="center"/>
              <w:rPr>
                <w:rFonts w:cs="Arial"/>
                <w:color w:val="000000"/>
                <w:sz w:val="18"/>
                <w:szCs w:val="18"/>
              </w:rPr>
            </w:pPr>
            <w:r w:rsidRPr="001570EA">
              <w:rPr>
                <w:rFonts w:cs="Arial"/>
                <w:sz w:val="18"/>
                <w:szCs w:val="18"/>
              </w:rPr>
              <w:t>-0.062</w:t>
            </w:r>
          </w:p>
        </w:tc>
        <w:tc>
          <w:tcPr>
            <w:tcW w:w="900" w:type="dxa"/>
            <w:shd w:val="clear" w:color="auto" w:fill="auto"/>
            <w:noWrap/>
            <w:vAlign w:val="center"/>
          </w:tcPr>
          <w:p w14:paraId="72FE85CA" w14:textId="77777777" w:rsidR="00EA5BBF" w:rsidRPr="001570EA" w:rsidRDefault="00EA5BBF">
            <w:pPr>
              <w:keepNext/>
              <w:keepLines/>
              <w:jc w:val="center"/>
              <w:rPr>
                <w:rFonts w:cs="Arial"/>
                <w:color w:val="000000"/>
                <w:sz w:val="18"/>
                <w:szCs w:val="18"/>
              </w:rPr>
            </w:pPr>
            <w:r w:rsidRPr="001570EA">
              <w:rPr>
                <w:rFonts w:cs="Arial"/>
                <w:sz w:val="18"/>
                <w:szCs w:val="18"/>
              </w:rPr>
              <w:t>-0.067</w:t>
            </w:r>
          </w:p>
        </w:tc>
        <w:tc>
          <w:tcPr>
            <w:tcW w:w="720" w:type="dxa"/>
            <w:shd w:val="clear" w:color="auto" w:fill="auto"/>
            <w:noWrap/>
            <w:vAlign w:val="center"/>
          </w:tcPr>
          <w:p w14:paraId="295F952A" w14:textId="77777777" w:rsidR="00EA5BBF" w:rsidRPr="001570EA" w:rsidRDefault="00EA5BBF">
            <w:pPr>
              <w:keepNext/>
              <w:keepLines/>
              <w:ind w:left="-108"/>
              <w:jc w:val="center"/>
              <w:rPr>
                <w:rFonts w:cs="Arial"/>
                <w:color w:val="000000"/>
                <w:sz w:val="18"/>
                <w:szCs w:val="18"/>
              </w:rPr>
            </w:pPr>
            <w:r w:rsidRPr="001570EA">
              <w:rPr>
                <w:rFonts w:cs="Arial"/>
                <w:sz w:val="18"/>
                <w:szCs w:val="18"/>
              </w:rPr>
              <w:t>0.021</w:t>
            </w:r>
          </w:p>
        </w:tc>
        <w:tc>
          <w:tcPr>
            <w:tcW w:w="808" w:type="dxa"/>
            <w:shd w:val="clear" w:color="auto" w:fill="auto"/>
            <w:noWrap/>
            <w:vAlign w:val="center"/>
          </w:tcPr>
          <w:p w14:paraId="52EA2C9F" w14:textId="77777777" w:rsidR="00EA5BBF" w:rsidRPr="001570EA" w:rsidRDefault="00EA5BBF">
            <w:pPr>
              <w:keepNext/>
              <w:keepLines/>
              <w:jc w:val="center"/>
              <w:rPr>
                <w:rFonts w:cs="Arial"/>
                <w:color w:val="000000"/>
                <w:sz w:val="18"/>
                <w:szCs w:val="18"/>
              </w:rPr>
            </w:pPr>
            <w:r w:rsidRPr="001570EA">
              <w:rPr>
                <w:rFonts w:cs="Arial"/>
                <w:sz w:val="18"/>
                <w:szCs w:val="18"/>
              </w:rPr>
              <w:t>0.059</w:t>
            </w:r>
          </w:p>
        </w:tc>
        <w:tc>
          <w:tcPr>
            <w:tcW w:w="808" w:type="dxa"/>
            <w:shd w:val="clear" w:color="auto" w:fill="auto"/>
            <w:noWrap/>
            <w:vAlign w:val="center"/>
          </w:tcPr>
          <w:p w14:paraId="7CBEAAB9" w14:textId="77777777" w:rsidR="00EA5BBF" w:rsidRPr="001570EA" w:rsidRDefault="00EA5BBF">
            <w:pPr>
              <w:keepNext/>
              <w:keepLines/>
              <w:ind w:left="-108"/>
              <w:jc w:val="center"/>
              <w:rPr>
                <w:rFonts w:cs="Arial"/>
                <w:color w:val="000000"/>
                <w:sz w:val="18"/>
                <w:szCs w:val="18"/>
              </w:rPr>
            </w:pPr>
            <w:r w:rsidRPr="001570EA">
              <w:rPr>
                <w:rFonts w:cs="Arial"/>
                <w:sz w:val="18"/>
                <w:szCs w:val="18"/>
              </w:rPr>
              <w:t>-0.952</w:t>
            </w:r>
          </w:p>
        </w:tc>
        <w:tc>
          <w:tcPr>
            <w:tcW w:w="719" w:type="dxa"/>
            <w:shd w:val="clear" w:color="auto" w:fill="auto"/>
            <w:noWrap/>
            <w:vAlign w:val="center"/>
          </w:tcPr>
          <w:p w14:paraId="39A868AE" w14:textId="77777777" w:rsidR="00EA5BBF" w:rsidRPr="001570EA" w:rsidRDefault="00EA5BBF">
            <w:pPr>
              <w:keepNext/>
              <w:keepLines/>
              <w:ind w:left="-108"/>
              <w:jc w:val="center"/>
              <w:rPr>
                <w:rFonts w:cs="Arial"/>
                <w:color w:val="000000"/>
                <w:sz w:val="18"/>
                <w:szCs w:val="18"/>
              </w:rPr>
            </w:pPr>
            <w:r w:rsidRPr="001570EA">
              <w:rPr>
                <w:rFonts w:cs="Arial"/>
                <w:sz w:val="18"/>
                <w:szCs w:val="18"/>
              </w:rPr>
              <w:t>-1.803</w:t>
            </w:r>
          </w:p>
        </w:tc>
        <w:tc>
          <w:tcPr>
            <w:tcW w:w="808" w:type="dxa"/>
            <w:vAlign w:val="center"/>
          </w:tcPr>
          <w:p w14:paraId="0CC49D3A" w14:textId="77777777" w:rsidR="00EA5BBF" w:rsidRPr="001570EA" w:rsidRDefault="00EA5BBF">
            <w:pPr>
              <w:keepNext/>
              <w:keepLines/>
              <w:jc w:val="center"/>
              <w:rPr>
                <w:rFonts w:cs="Arial"/>
                <w:color w:val="000000"/>
                <w:sz w:val="18"/>
                <w:szCs w:val="18"/>
              </w:rPr>
            </w:pPr>
            <w:r w:rsidRPr="001570EA">
              <w:rPr>
                <w:rFonts w:cs="Arial"/>
                <w:sz w:val="18"/>
                <w:szCs w:val="18"/>
              </w:rPr>
              <w:t>-1.467</w:t>
            </w:r>
          </w:p>
        </w:tc>
        <w:tc>
          <w:tcPr>
            <w:tcW w:w="808" w:type="dxa"/>
            <w:vAlign w:val="center"/>
          </w:tcPr>
          <w:p w14:paraId="6DD06E85" w14:textId="77777777" w:rsidR="00EA5BBF" w:rsidRPr="001570EA" w:rsidRDefault="00EA5BBF">
            <w:pPr>
              <w:keepNext/>
              <w:keepLines/>
              <w:jc w:val="center"/>
              <w:rPr>
                <w:rFonts w:cs="Arial"/>
                <w:color w:val="000000"/>
                <w:sz w:val="18"/>
                <w:szCs w:val="18"/>
              </w:rPr>
            </w:pPr>
            <w:r w:rsidRPr="001570EA">
              <w:rPr>
                <w:rFonts w:cs="Arial"/>
                <w:sz w:val="18"/>
                <w:szCs w:val="18"/>
              </w:rPr>
              <w:t>-0.706</w:t>
            </w:r>
          </w:p>
        </w:tc>
        <w:tc>
          <w:tcPr>
            <w:tcW w:w="821" w:type="dxa"/>
            <w:vAlign w:val="center"/>
          </w:tcPr>
          <w:p w14:paraId="702CC3D9" w14:textId="77777777" w:rsidR="00EA5BBF" w:rsidRPr="001570EA" w:rsidRDefault="00EA5BBF">
            <w:pPr>
              <w:keepNext/>
              <w:keepLines/>
              <w:jc w:val="center"/>
              <w:rPr>
                <w:rFonts w:cs="Arial"/>
                <w:color w:val="000000"/>
                <w:sz w:val="18"/>
                <w:szCs w:val="18"/>
              </w:rPr>
            </w:pPr>
            <w:r w:rsidRPr="001570EA">
              <w:rPr>
                <w:rFonts w:cs="Arial"/>
                <w:sz w:val="18"/>
                <w:szCs w:val="18"/>
              </w:rPr>
              <w:t>-1.314</w:t>
            </w:r>
          </w:p>
        </w:tc>
      </w:tr>
      <w:tr w:rsidR="00EA5BBF" w:rsidRPr="001570EA" w14:paraId="2918DF89" w14:textId="77777777">
        <w:trPr>
          <w:gridAfter w:val="1"/>
          <w:wAfter w:w="6" w:type="dxa"/>
          <w:trHeight w:val="302"/>
          <w:jc w:val="center"/>
        </w:trPr>
        <w:tc>
          <w:tcPr>
            <w:tcW w:w="440" w:type="dxa"/>
            <w:shd w:val="clear" w:color="auto" w:fill="BFBFBF" w:themeFill="background1" w:themeFillShade="BF"/>
            <w:vAlign w:val="center"/>
          </w:tcPr>
          <w:p w14:paraId="561BB1EA" w14:textId="77777777" w:rsidR="00EA5BBF" w:rsidRPr="001570EA" w:rsidRDefault="00EA5BBF">
            <w:pPr>
              <w:keepNext/>
              <w:keepLines/>
              <w:jc w:val="center"/>
              <w:rPr>
                <w:b/>
                <w:color w:val="000000"/>
                <w:sz w:val="18"/>
                <w:szCs w:val="18"/>
              </w:rPr>
            </w:pPr>
            <w:r w:rsidRPr="001570EA">
              <w:rPr>
                <w:rFonts w:cs="Arial"/>
                <w:b/>
                <w:color w:val="000000"/>
                <w:sz w:val="18"/>
                <w:szCs w:val="18"/>
              </w:rPr>
              <w:t>E</w:t>
            </w:r>
          </w:p>
        </w:tc>
        <w:tc>
          <w:tcPr>
            <w:tcW w:w="1258" w:type="dxa"/>
            <w:shd w:val="clear" w:color="auto" w:fill="auto"/>
            <w:noWrap/>
            <w:vAlign w:val="center"/>
            <w:hideMark/>
          </w:tcPr>
          <w:p w14:paraId="7F854B8D" w14:textId="77777777" w:rsidR="00EA5BBF" w:rsidRPr="001570EA" w:rsidRDefault="00EA5BBF">
            <w:pPr>
              <w:keepNext/>
              <w:keepLines/>
              <w:rPr>
                <w:rFonts w:eastAsia="Arial" w:cs="Arial"/>
                <w:color w:val="000000"/>
                <w:sz w:val="18"/>
                <w:szCs w:val="18"/>
              </w:rPr>
            </w:pPr>
            <w:r w:rsidRPr="001570EA">
              <w:rPr>
                <w:rFonts w:cs="Arial"/>
                <w:color w:val="000000"/>
                <w:sz w:val="18"/>
                <w:szCs w:val="18"/>
              </w:rPr>
              <w:t>Harrisburg</w:t>
            </w:r>
          </w:p>
        </w:tc>
        <w:tc>
          <w:tcPr>
            <w:tcW w:w="727" w:type="dxa"/>
            <w:shd w:val="clear" w:color="auto" w:fill="auto"/>
            <w:noWrap/>
            <w:vAlign w:val="center"/>
          </w:tcPr>
          <w:p w14:paraId="37B05DE1" w14:textId="77777777" w:rsidR="00EA5BBF" w:rsidRPr="001570EA" w:rsidRDefault="00EA5BBF">
            <w:pPr>
              <w:keepNext/>
              <w:keepLines/>
              <w:jc w:val="center"/>
              <w:rPr>
                <w:rFonts w:cs="Arial"/>
                <w:color w:val="000000"/>
                <w:sz w:val="18"/>
                <w:szCs w:val="18"/>
              </w:rPr>
            </w:pPr>
            <w:r w:rsidRPr="001570EA">
              <w:rPr>
                <w:rFonts w:cs="Arial"/>
                <w:sz w:val="18"/>
                <w:szCs w:val="18"/>
              </w:rPr>
              <w:t>-0.067</w:t>
            </w:r>
          </w:p>
        </w:tc>
        <w:tc>
          <w:tcPr>
            <w:tcW w:w="900" w:type="dxa"/>
            <w:shd w:val="clear" w:color="auto" w:fill="auto"/>
            <w:noWrap/>
            <w:vAlign w:val="center"/>
          </w:tcPr>
          <w:p w14:paraId="040E4BBF" w14:textId="77777777" w:rsidR="00EA5BBF" w:rsidRPr="001570EA" w:rsidRDefault="00EA5BBF">
            <w:pPr>
              <w:keepNext/>
              <w:keepLines/>
              <w:jc w:val="center"/>
              <w:rPr>
                <w:rFonts w:cs="Arial"/>
                <w:color w:val="000000"/>
                <w:sz w:val="18"/>
                <w:szCs w:val="18"/>
              </w:rPr>
            </w:pPr>
            <w:r w:rsidRPr="001570EA">
              <w:rPr>
                <w:rFonts w:cs="Arial"/>
                <w:sz w:val="18"/>
                <w:szCs w:val="18"/>
              </w:rPr>
              <w:t>-1.906</w:t>
            </w:r>
          </w:p>
        </w:tc>
        <w:tc>
          <w:tcPr>
            <w:tcW w:w="720" w:type="dxa"/>
            <w:shd w:val="clear" w:color="auto" w:fill="auto"/>
            <w:noWrap/>
            <w:vAlign w:val="center"/>
          </w:tcPr>
          <w:p w14:paraId="337C8B0C" w14:textId="77777777" w:rsidR="00EA5BBF" w:rsidRPr="001570EA" w:rsidRDefault="00EA5BBF">
            <w:pPr>
              <w:keepNext/>
              <w:keepLines/>
              <w:ind w:left="-108"/>
              <w:jc w:val="center"/>
              <w:rPr>
                <w:rFonts w:cs="Arial"/>
                <w:color w:val="000000"/>
                <w:sz w:val="18"/>
                <w:szCs w:val="18"/>
              </w:rPr>
            </w:pPr>
            <w:r w:rsidRPr="001570EA">
              <w:rPr>
                <w:rFonts w:cs="Arial"/>
                <w:sz w:val="18"/>
                <w:szCs w:val="18"/>
              </w:rPr>
              <w:t>0.013</w:t>
            </w:r>
          </w:p>
        </w:tc>
        <w:tc>
          <w:tcPr>
            <w:tcW w:w="808" w:type="dxa"/>
            <w:shd w:val="clear" w:color="auto" w:fill="auto"/>
            <w:noWrap/>
            <w:vAlign w:val="center"/>
          </w:tcPr>
          <w:p w14:paraId="4BEF08BA" w14:textId="77777777" w:rsidR="00EA5BBF" w:rsidRPr="001570EA" w:rsidRDefault="00EA5BBF">
            <w:pPr>
              <w:keepNext/>
              <w:keepLines/>
              <w:jc w:val="center"/>
              <w:rPr>
                <w:rFonts w:cs="Arial"/>
                <w:color w:val="000000"/>
                <w:sz w:val="18"/>
                <w:szCs w:val="18"/>
              </w:rPr>
            </w:pPr>
            <w:r w:rsidRPr="001570EA">
              <w:rPr>
                <w:rFonts w:cs="Arial"/>
                <w:sz w:val="18"/>
                <w:szCs w:val="18"/>
              </w:rPr>
              <w:t>-0.641</w:t>
            </w:r>
          </w:p>
        </w:tc>
        <w:tc>
          <w:tcPr>
            <w:tcW w:w="808" w:type="dxa"/>
            <w:shd w:val="clear" w:color="auto" w:fill="auto"/>
            <w:noWrap/>
            <w:vAlign w:val="center"/>
          </w:tcPr>
          <w:p w14:paraId="2C2E9858" w14:textId="77777777" w:rsidR="00EA5BBF" w:rsidRPr="001570EA" w:rsidRDefault="00EA5BBF">
            <w:pPr>
              <w:keepNext/>
              <w:keepLines/>
              <w:ind w:left="-108"/>
              <w:jc w:val="center"/>
              <w:rPr>
                <w:rFonts w:cs="Arial"/>
                <w:color w:val="000000"/>
                <w:sz w:val="18"/>
                <w:szCs w:val="18"/>
              </w:rPr>
            </w:pPr>
            <w:r w:rsidRPr="001570EA">
              <w:rPr>
                <w:rFonts w:cs="Arial"/>
                <w:sz w:val="18"/>
                <w:szCs w:val="18"/>
              </w:rPr>
              <w:t>-1.722</w:t>
            </w:r>
          </w:p>
        </w:tc>
        <w:tc>
          <w:tcPr>
            <w:tcW w:w="719" w:type="dxa"/>
            <w:shd w:val="clear" w:color="auto" w:fill="auto"/>
            <w:noWrap/>
            <w:vAlign w:val="center"/>
          </w:tcPr>
          <w:p w14:paraId="12973A78" w14:textId="77777777" w:rsidR="00EA5BBF" w:rsidRPr="001570EA" w:rsidRDefault="00EA5BBF">
            <w:pPr>
              <w:keepNext/>
              <w:keepLines/>
              <w:ind w:left="-108"/>
              <w:jc w:val="center"/>
              <w:rPr>
                <w:rFonts w:cs="Arial"/>
                <w:color w:val="000000"/>
                <w:sz w:val="18"/>
                <w:szCs w:val="18"/>
              </w:rPr>
            </w:pPr>
            <w:r w:rsidRPr="001570EA">
              <w:rPr>
                <w:rFonts w:cs="Arial"/>
                <w:sz w:val="18"/>
                <w:szCs w:val="18"/>
              </w:rPr>
              <w:t>-3.238</w:t>
            </w:r>
          </w:p>
        </w:tc>
        <w:tc>
          <w:tcPr>
            <w:tcW w:w="808" w:type="dxa"/>
            <w:vAlign w:val="center"/>
          </w:tcPr>
          <w:p w14:paraId="4EAAC08B" w14:textId="77777777" w:rsidR="00EA5BBF" w:rsidRPr="001570EA" w:rsidRDefault="00EA5BBF">
            <w:pPr>
              <w:keepNext/>
              <w:keepLines/>
              <w:jc w:val="center"/>
              <w:rPr>
                <w:rFonts w:cs="Arial"/>
                <w:color w:val="000000"/>
                <w:sz w:val="18"/>
                <w:szCs w:val="18"/>
              </w:rPr>
            </w:pPr>
            <w:r w:rsidRPr="001570EA">
              <w:rPr>
                <w:rFonts w:cs="Arial"/>
                <w:sz w:val="18"/>
                <w:szCs w:val="18"/>
              </w:rPr>
              <w:t>-4.584</w:t>
            </w:r>
          </w:p>
        </w:tc>
        <w:tc>
          <w:tcPr>
            <w:tcW w:w="808" w:type="dxa"/>
            <w:vAlign w:val="center"/>
          </w:tcPr>
          <w:p w14:paraId="07A9821F" w14:textId="77777777" w:rsidR="00EA5BBF" w:rsidRPr="001570EA" w:rsidRDefault="00EA5BBF">
            <w:pPr>
              <w:keepNext/>
              <w:keepLines/>
              <w:jc w:val="center"/>
              <w:rPr>
                <w:rFonts w:cs="Arial"/>
                <w:color w:val="000000"/>
                <w:sz w:val="18"/>
                <w:szCs w:val="18"/>
              </w:rPr>
            </w:pPr>
            <w:r w:rsidRPr="001570EA">
              <w:rPr>
                <w:rFonts w:cs="Arial"/>
                <w:sz w:val="18"/>
                <w:szCs w:val="18"/>
              </w:rPr>
              <w:t>-2.131</w:t>
            </w:r>
          </w:p>
        </w:tc>
        <w:tc>
          <w:tcPr>
            <w:tcW w:w="821" w:type="dxa"/>
            <w:vAlign w:val="center"/>
          </w:tcPr>
          <w:p w14:paraId="0CF188C7" w14:textId="77777777" w:rsidR="00EA5BBF" w:rsidRPr="001570EA" w:rsidRDefault="00EA5BBF">
            <w:pPr>
              <w:keepNext/>
              <w:keepLines/>
              <w:jc w:val="center"/>
              <w:rPr>
                <w:rFonts w:cs="Arial"/>
                <w:color w:val="000000"/>
                <w:sz w:val="18"/>
                <w:szCs w:val="18"/>
              </w:rPr>
            </w:pPr>
            <w:r w:rsidRPr="001570EA">
              <w:rPr>
                <w:rFonts w:cs="Arial"/>
                <w:sz w:val="18"/>
                <w:szCs w:val="18"/>
              </w:rPr>
              <w:t>-1.141</w:t>
            </w:r>
          </w:p>
        </w:tc>
      </w:tr>
      <w:tr w:rsidR="00EA5BBF" w:rsidRPr="001570EA" w14:paraId="3FE99931" w14:textId="77777777">
        <w:trPr>
          <w:gridAfter w:val="1"/>
          <w:wAfter w:w="6" w:type="dxa"/>
          <w:trHeight w:val="302"/>
          <w:jc w:val="center"/>
        </w:trPr>
        <w:tc>
          <w:tcPr>
            <w:tcW w:w="440" w:type="dxa"/>
            <w:shd w:val="clear" w:color="auto" w:fill="BFBFBF" w:themeFill="background1" w:themeFillShade="BF"/>
            <w:vAlign w:val="center"/>
          </w:tcPr>
          <w:p w14:paraId="3A4448D0" w14:textId="77777777" w:rsidR="00EA5BBF" w:rsidRPr="001570EA" w:rsidRDefault="00EA5BBF">
            <w:pPr>
              <w:keepNext/>
              <w:keepLines/>
              <w:jc w:val="center"/>
              <w:rPr>
                <w:b/>
                <w:color w:val="000000"/>
                <w:sz w:val="18"/>
                <w:szCs w:val="18"/>
              </w:rPr>
            </w:pPr>
            <w:r w:rsidRPr="001570EA">
              <w:rPr>
                <w:rFonts w:cs="Arial"/>
                <w:b/>
                <w:color w:val="000000"/>
                <w:sz w:val="18"/>
                <w:szCs w:val="18"/>
              </w:rPr>
              <w:t>D</w:t>
            </w:r>
          </w:p>
        </w:tc>
        <w:tc>
          <w:tcPr>
            <w:tcW w:w="1258" w:type="dxa"/>
            <w:shd w:val="clear" w:color="auto" w:fill="auto"/>
            <w:noWrap/>
            <w:vAlign w:val="center"/>
            <w:hideMark/>
          </w:tcPr>
          <w:p w14:paraId="68AA1652" w14:textId="77777777" w:rsidR="00EA5BBF" w:rsidRPr="001570EA" w:rsidRDefault="00EA5BBF">
            <w:pPr>
              <w:keepNext/>
              <w:keepLines/>
              <w:rPr>
                <w:rFonts w:eastAsia="Arial" w:cs="Arial"/>
                <w:color w:val="000000"/>
                <w:sz w:val="18"/>
                <w:szCs w:val="18"/>
              </w:rPr>
            </w:pPr>
            <w:r w:rsidRPr="001570EA">
              <w:rPr>
                <w:rFonts w:cs="Arial"/>
                <w:color w:val="000000"/>
                <w:sz w:val="18"/>
                <w:szCs w:val="18"/>
              </w:rPr>
              <w:t>Philadelphia</w:t>
            </w:r>
          </w:p>
        </w:tc>
        <w:tc>
          <w:tcPr>
            <w:tcW w:w="727" w:type="dxa"/>
            <w:shd w:val="clear" w:color="auto" w:fill="auto"/>
            <w:noWrap/>
            <w:vAlign w:val="center"/>
          </w:tcPr>
          <w:p w14:paraId="602741EC" w14:textId="77777777" w:rsidR="00EA5BBF" w:rsidRPr="001570EA" w:rsidRDefault="00EA5BBF">
            <w:pPr>
              <w:keepNext/>
              <w:keepLines/>
              <w:jc w:val="center"/>
              <w:rPr>
                <w:rFonts w:cs="Arial"/>
                <w:color w:val="000000"/>
                <w:sz w:val="18"/>
                <w:szCs w:val="18"/>
              </w:rPr>
            </w:pPr>
            <w:r w:rsidRPr="001570EA">
              <w:rPr>
                <w:rFonts w:cs="Arial"/>
                <w:sz w:val="18"/>
                <w:szCs w:val="18"/>
              </w:rPr>
              <w:t>-0.148</w:t>
            </w:r>
          </w:p>
        </w:tc>
        <w:tc>
          <w:tcPr>
            <w:tcW w:w="900" w:type="dxa"/>
            <w:shd w:val="clear" w:color="auto" w:fill="auto"/>
            <w:noWrap/>
            <w:vAlign w:val="center"/>
          </w:tcPr>
          <w:p w14:paraId="5D18D76B" w14:textId="77777777" w:rsidR="00EA5BBF" w:rsidRPr="001570EA" w:rsidRDefault="00EA5BBF">
            <w:pPr>
              <w:keepNext/>
              <w:keepLines/>
              <w:jc w:val="center"/>
              <w:rPr>
                <w:rFonts w:cs="Arial"/>
                <w:color w:val="000000"/>
                <w:sz w:val="18"/>
                <w:szCs w:val="18"/>
              </w:rPr>
            </w:pPr>
            <w:r w:rsidRPr="001570EA">
              <w:rPr>
                <w:rFonts w:cs="Arial"/>
                <w:sz w:val="18"/>
                <w:szCs w:val="18"/>
              </w:rPr>
              <w:t>-0.162</w:t>
            </w:r>
          </w:p>
        </w:tc>
        <w:tc>
          <w:tcPr>
            <w:tcW w:w="720" w:type="dxa"/>
            <w:shd w:val="clear" w:color="auto" w:fill="auto"/>
            <w:noWrap/>
            <w:vAlign w:val="center"/>
          </w:tcPr>
          <w:p w14:paraId="1D0D182A" w14:textId="77777777" w:rsidR="00EA5BBF" w:rsidRPr="001570EA" w:rsidRDefault="00EA5BBF">
            <w:pPr>
              <w:keepNext/>
              <w:keepLines/>
              <w:ind w:left="-108"/>
              <w:jc w:val="center"/>
              <w:rPr>
                <w:rFonts w:cs="Arial"/>
                <w:color w:val="000000"/>
                <w:sz w:val="18"/>
                <w:szCs w:val="18"/>
              </w:rPr>
            </w:pPr>
            <w:r w:rsidRPr="001570EA">
              <w:rPr>
                <w:rFonts w:cs="Arial"/>
                <w:sz w:val="18"/>
                <w:szCs w:val="18"/>
              </w:rPr>
              <w:t>-0.202</w:t>
            </w:r>
          </w:p>
        </w:tc>
        <w:tc>
          <w:tcPr>
            <w:tcW w:w="808" w:type="dxa"/>
            <w:shd w:val="clear" w:color="auto" w:fill="auto"/>
            <w:noWrap/>
            <w:vAlign w:val="center"/>
          </w:tcPr>
          <w:p w14:paraId="1A64B324" w14:textId="77777777" w:rsidR="00EA5BBF" w:rsidRPr="001570EA" w:rsidRDefault="00EA5BBF">
            <w:pPr>
              <w:keepNext/>
              <w:keepLines/>
              <w:jc w:val="center"/>
              <w:rPr>
                <w:rFonts w:cs="Arial"/>
                <w:color w:val="000000"/>
                <w:sz w:val="18"/>
                <w:szCs w:val="18"/>
              </w:rPr>
            </w:pPr>
            <w:r w:rsidRPr="001570EA">
              <w:rPr>
                <w:rFonts w:cs="Arial"/>
                <w:sz w:val="18"/>
                <w:szCs w:val="18"/>
              </w:rPr>
              <w:t>0.111</w:t>
            </w:r>
          </w:p>
        </w:tc>
        <w:tc>
          <w:tcPr>
            <w:tcW w:w="808" w:type="dxa"/>
            <w:shd w:val="clear" w:color="auto" w:fill="auto"/>
            <w:noWrap/>
            <w:vAlign w:val="center"/>
          </w:tcPr>
          <w:p w14:paraId="2439222E" w14:textId="77777777" w:rsidR="00EA5BBF" w:rsidRPr="001570EA" w:rsidRDefault="00EA5BBF">
            <w:pPr>
              <w:keepNext/>
              <w:keepLines/>
              <w:ind w:left="-108"/>
              <w:jc w:val="center"/>
              <w:rPr>
                <w:rFonts w:cs="Arial"/>
                <w:color w:val="000000"/>
                <w:sz w:val="18"/>
                <w:szCs w:val="18"/>
              </w:rPr>
            </w:pPr>
            <w:r w:rsidRPr="001570EA">
              <w:rPr>
                <w:rFonts w:cs="Arial"/>
                <w:sz w:val="18"/>
                <w:szCs w:val="18"/>
              </w:rPr>
              <w:t>0.830</w:t>
            </w:r>
          </w:p>
        </w:tc>
        <w:tc>
          <w:tcPr>
            <w:tcW w:w="719" w:type="dxa"/>
            <w:shd w:val="clear" w:color="auto" w:fill="auto"/>
            <w:noWrap/>
            <w:vAlign w:val="center"/>
          </w:tcPr>
          <w:p w14:paraId="3EE0F7BB" w14:textId="77777777" w:rsidR="00EA5BBF" w:rsidRPr="001570EA" w:rsidRDefault="00EA5BBF">
            <w:pPr>
              <w:keepNext/>
              <w:keepLines/>
              <w:ind w:left="-108"/>
              <w:jc w:val="center"/>
              <w:rPr>
                <w:rFonts w:cs="Arial"/>
                <w:color w:val="000000"/>
                <w:sz w:val="18"/>
                <w:szCs w:val="18"/>
              </w:rPr>
            </w:pPr>
            <w:r w:rsidRPr="001570EA">
              <w:rPr>
                <w:rFonts w:cs="Arial"/>
                <w:sz w:val="18"/>
                <w:szCs w:val="18"/>
              </w:rPr>
              <w:t>3.626</w:t>
            </w:r>
          </w:p>
        </w:tc>
        <w:tc>
          <w:tcPr>
            <w:tcW w:w="808" w:type="dxa"/>
            <w:vAlign w:val="center"/>
          </w:tcPr>
          <w:p w14:paraId="578CA38A" w14:textId="77777777" w:rsidR="00EA5BBF" w:rsidRPr="001570EA" w:rsidRDefault="00EA5BBF">
            <w:pPr>
              <w:keepNext/>
              <w:keepLines/>
              <w:jc w:val="center"/>
              <w:rPr>
                <w:rFonts w:cs="Arial"/>
                <w:color w:val="000000"/>
                <w:sz w:val="18"/>
                <w:szCs w:val="18"/>
              </w:rPr>
            </w:pPr>
            <w:r w:rsidRPr="001570EA">
              <w:rPr>
                <w:rFonts w:cs="Arial"/>
                <w:sz w:val="18"/>
                <w:szCs w:val="18"/>
              </w:rPr>
              <w:t>2.806</w:t>
            </w:r>
          </w:p>
        </w:tc>
        <w:tc>
          <w:tcPr>
            <w:tcW w:w="808" w:type="dxa"/>
            <w:vAlign w:val="center"/>
          </w:tcPr>
          <w:p w14:paraId="496AC078" w14:textId="77777777" w:rsidR="00EA5BBF" w:rsidRPr="001570EA" w:rsidRDefault="00EA5BBF">
            <w:pPr>
              <w:keepNext/>
              <w:keepLines/>
              <w:jc w:val="center"/>
              <w:rPr>
                <w:rFonts w:cs="Arial"/>
                <w:color w:val="000000"/>
                <w:sz w:val="18"/>
                <w:szCs w:val="18"/>
              </w:rPr>
            </w:pPr>
            <w:r w:rsidRPr="001570EA">
              <w:rPr>
                <w:rFonts w:cs="Arial"/>
                <w:sz w:val="18"/>
                <w:szCs w:val="18"/>
              </w:rPr>
              <w:t>0.647</w:t>
            </w:r>
          </w:p>
        </w:tc>
        <w:tc>
          <w:tcPr>
            <w:tcW w:w="821" w:type="dxa"/>
            <w:vAlign w:val="center"/>
          </w:tcPr>
          <w:p w14:paraId="1F66A58B" w14:textId="77777777" w:rsidR="00EA5BBF" w:rsidRPr="001570EA" w:rsidRDefault="00EA5BBF">
            <w:pPr>
              <w:keepNext/>
              <w:keepLines/>
              <w:jc w:val="center"/>
              <w:rPr>
                <w:rFonts w:cs="Arial"/>
                <w:color w:val="000000"/>
                <w:sz w:val="18"/>
                <w:szCs w:val="18"/>
              </w:rPr>
            </w:pPr>
            <w:r w:rsidRPr="001570EA">
              <w:rPr>
                <w:rFonts w:cs="Arial"/>
                <w:sz w:val="18"/>
                <w:szCs w:val="18"/>
              </w:rPr>
              <w:t>0.649</w:t>
            </w:r>
          </w:p>
        </w:tc>
      </w:tr>
      <w:tr w:rsidR="00EA5BBF" w:rsidRPr="001570EA" w14:paraId="0D330915" w14:textId="77777777">
        <w:trPr>
          <w:gridAfter w:val="1"/>
          <w:wAfter w:w="6" w:type="dxa"/>
          <w:trHeight w:val="302"/>
          <w:jc w:val="center"/>
        </w:trPr>
        <w:tc>
          <w:tcPr>
            <w:tcW w:w="440" w:type="dxa"/>
            <w:shd w:val="clear" w:color="auto" w:fill="BFBFBF" w:themeFill="background1" w:themeFillShade="BF"/>
            <w:vAlign w:val="center"/>
          </w:tcPr>
          <w:p w14:paraId="7FA6C284" w14:textId="77777777" w:rsidR="00EA5BBF" w:rsidRPr="001570EA" w:rsidRDefault="00EA5BBF">
            <w:pPr>
              <w:keepNext/>
              <w:keepLines/>
              <w:jc w:val="center"/>
              <w:rPr>
                <w:b/>
                <w:color w:val="000000"/>
                <w:sz w:val="18"/>
                <w:szCs w:val="18"/>
              </w:rPr>
            </w:pPr>
            <w:r w:rsidRPr="001570EA">
              <w:rPr>
                <w:rFonts w:cs="Arial"/>
                <w:b/>
                <w:color w:val="000000"/>
                <w:sz w:val="18"/>
                <w:szCs w:val="18"/>
              </w:rPr>
              <w:t>H</w:t>
            </w:r>
          </w:p>
        </w:tc>
        <w:tc>
          <w:tcPr>
            <w:tcW w:w="1258" w:type="dxa"/>
            <w:shd w:val="clear" w:color="auto" w:fill="auto"/>
            <w:noWrap/>
            <w:vAlign w:val="center"/>
            <w:hideMark/>
          </w:tcPr>
          <w:p w14:paraId="3B813A5D" w14:textId="77777777" w:rsidR="00EA5BBF" w:rsidRPr="001570EA" w:rsidRDefault="00EA5BBF">
            <w:pPr>
              <w:keepNext/>
              <w:keepLines/>
              <w:rPr>
                <w:rFonts w:eastAsia="Arial" w:cs="Arial"/>
                <w:color w:val="000000"/>
                <w:sz w:val="18"/>
                <w:szCs w:val="18"/>
              </w:rPr>
            </w:pPr>
            <w:r w:rsidRPr="001570EA">
              <w:rPr>
                <w:rFonts w:cs="Arial"/>
                <w:color w:val="000000"/>
                <w:sz w:val="18"/>
                <w:szCs w:val="18"/>
              </w:rPr>
              <w:t>Pittsburgh</w:t>
            </w:r>
          </w:p>
        </w:tc>
        <w:tc>
          <w:tcPr>
            <w:tcW w:w="727" w:type="dxa"/>
            <w:shd w:val="clear" w:color="auto" w:fill="auto"/>
            <w:noWrap/>
            <w:vAlign w:val="center"/>
          </w:tcPr>
          <w:p w14:paraId="67A8D7BA" w14:textId="77777777" w:rsidR="00EA5BBF" w:rsidRPr="001570EA" w:rsidRDefault="00EA5BBF">
            <w:pPr>
              <w:keepNext/>
              <w:keepLines/>
              <w:jc w:val="center"/>
              <w:rPr>
                <w:rFonts w:cs="Arial"/>
                <w:color w:val="000000"/>
                <w:sz w:val="18"/>
                <w:szCs w:val="18"/>
              </w:rPr>
            </w:pPr>
            <w:r w:rsidRPr="001570EA">
              <w:rPr>
                <w:rFonts w:cs="Arial"/>
                <w:sz w:val="18"/>
                <w:szCs w:val="18"/>
              </w:rPr>
              <w:t>0.000</w:t>
            </w:r>
          </w:p>
        </w:tc>
        <w:tc>
          <w:tcPr>
            <w:tcW w:w="900" w:type="dxa"/>
            <w:shd w:val="clear" w:color="auto" w:fill="auto"/>
            <w:noWrap/>
            <w:vAlign w:val="center"/>
          </w:tcPr>
          <w:p w14:paraId="5368E185" w14:textId="77777777" w:rsidR="00EA5BBF" w:rsidRPr="001570EA" w:rsidRDefault="00EA5BBF">
            <w:pPr>
              <w:keepNext/>
              <w:keepLines/>
              <w:jc w:val="center"/>
              <w:rPr>
                <w:rFonts w:cs="Arial"/>
                <w:color w:val="000000"/>
                <w:sz w:val="18"/>
                <w:szCs w:val="18"/>
              </w:rPr>
            </w:pPr>
            <w:r w:rsidRPr="001570EA">
              <w:rPr>
                <w:rFonts w:cs="Arial"/>
                <w:sz w:val="18"/>
                <w:szCs w:val="18"/>
              </w:rPr>
              <w:t>0.026</w:t>
            </w:r>
          </w:p>
        </w:tc>
        <w:tc>
          <w:tcPr>
            <w:tcW w:w="720" w:type="dxa"/>
            <w:shd w:val="clear" w:color="auto" w:fill="auto"/>
            <w:noWrap/>
            <w:vAlign w:val="center"/>
          </w:tcPr>
          <w:p w14:paraId="79A09B2E" w14:textId="77777777" w:rsidR="00EA5BBF" w:rsidRPr="001570EA" w:rsidRDefault="00EA5BBF">
            <w:pPr>
              <w:keepNext/>
              <w:keepLines/>
              <w:ind w:left="-108"/>
              <w:jc w:val="center"/>
              <w:rPr>
                <w:rFonts w:cs="Arial"/>
                <w:color w:val="000000"/>
                <w:sz w:val="18"/>
                <w:szCs w:val="18"/>
              </w:rPr>
            </w:pPr>
            <w:r w:rsidRPr="001570EA">
              <w:rPr>
                <w:rFonts w:cs="Arial"/>
                <w:sz w:val="18"/>
                <w:szCs w:val="18"/>
              </w:rPr>
              <w:t>0.075</w:t>
            </w:r>
          </w:p>
        </w:tc>
        <w:tc>
          <w:tcPr>
            <w:tcW w:w="808" w:type="dxa"/>
            <w:shd w:val="clear" w:color="auto" w:fill="auto"/>
            <w:noWrap/>
            <w:vAlign w:val="center"/>
          </w:tcPr>
          <w:p w14:paraId="216E3B2F" w14:textId="77777777" w:rsidR="00EA5BBF" w:rsidRPr="001570EA" w:rsidRDefault="00EA5BBF">
            <w:pPr>
              <w:keepNext/>
              <w:keepLines/>
              <w:jc w:val="center"/>
              <w:rPr>
                <w:rFonts w:cs="Arial"/>
                <w:color w:val="000000"/>
                <w:sz w:val="18"/>
                <w:szCs w:val="18"/>
              </w:rPr>
            </w:pPr>
            <w:r w:rsidRPr="001570EA">
              <w:rPr>
                <w:rFonts w:cs="Arial"/>
                <w:sz w:val="18"/>
                <w:szCs w:val="18"/>
              </w:rPr>
              <w:t>0.068</w:t>
            </w:r>
          </w:p>
        </w:tc>
        <w:tc>
          <w:tcPr>
            <w:tcW w:w="808" w:type="dxa"/>
            <w:shd w:val="clear" w:color="auto" w:fill="auto"/>
            <w:noWrap/>
            <w:vAlign w:val="center"/>
          </w:tcPr>
          <w:p w14:paraId="1CE13D23" w14:textId="77777777" w:rsidR="00EA5BBF" w:rsidRPr="001570EA" w:rsidRDefault="00EA5BBF">
            <w:pPr>
              <w:keepNext/>
              <w:keepLines/>
              <w:ind w:left="-108"/>
              <w:jc w:val="center"/>
              <w:rPr>
                <w:rFonts w:cs="Arial"/>
                <w:color w:val="000000"/>
                <w:sz w:val="18"/>
                <w:szCs w:val="18"/>
              </w:rPr>
            </w:pPr>
            <w:r w:rsidRPr="001570EA">
              <w:rPr>
                <w:rFonts w:cs="Arial"/>
                <w:sz w:val="18"/>
                <w:szCs w:val="18"/>
              </w:rPr>
              <w:t>-1.264</w:t>
            </w:r>
          </w:p>
        </w:tc>
        <w:tc>
          <w:tcPr>
            <w:tcW w:w="719" w:type="dxa"/>
            <w:shd w:val="clear" w:color="auto" w:fill="auto"/>
            <w:noWrap/>
            <w:vAlign w:val="center"/>
          </w:tcPr>
          <w:p w14:paraId="07F33100" w14:textId="77777777" w:rsidR="00EA5BBF" w:rsidRPr="001570EA" w:rsidRDefault="00EA5BBF">
            <w:pPr>
              <w:keepNext/>
              <w:keepLines/>
              <w:ind w:left="-108"/>
              <w:jc w:val="center"/>
              <w:rPr>
                <w:rFonts w:cs="Arial"/>
                <w:color w:val="000000"/>
                <w:sz w:val="18"/>
                <w:szCs w:val="18"/>
              </w:rPr>
            </w:pPr>
            <w:r w:rsidRPr="001570EA">
              <w:rPr>
                <w:rFonts w:cs="Arial"/>
                <w:sz w:val="18"/>
                <w:szCs w:val="18"/>
              </w:rPr>
              <w:t>-2.548</w:t>
            </w:r>
          </w:p>
        </w:tc>
        <w:tc>
          <w:tcPr>
            <w:tcW w:w="808" w:type="dxa"/>
            <w:vAlign w:val="center"/>
          </w:tcPr>
          <w:p w14:paraId="17AB72D7" w14:textId="77777777" w:rsidR="00EA5BBF" w:rsidRPr="001570EA" w:rsidRDefault="00EA5BBF">
            <w:pPr>
              <w:keepNext/>
              <w:keepLines/>
              <w:jc w:val="center"/>
              <w:rPr>
                <w:rFonts w:cs="Arial"/>
                <w:color w:val="000000"/>
                <w:sz w:val="18"/>
                <w:szCs w:val="18"/>
              </w:rPr>
            </w:pPr>
            <w:r w:rsidRPr="001570EA">
              <w:rPr>
                <w:rFonts w:cs="Arial"/>
                <w:sz w:val="18"/>
                <w:szCs w:val="18"/>
              </w:rPr>
              <w:t>-2.277</w:t>
            </w:r>
          </w:p>
        </w:tc>
        <w:tc>
          <w:tcPr>
            <w:tcW w:w="808" w:type="dxa"/>
            <w:vAlign w:val="center"/>
          </w:tcPr>
          <w:p w14:paraId="27617188" w14:textId="77777777" w:rsidR="00EA5BBF" w:rsidRPr="001570EA" w:rsidRDefault="00EA5BBF">
            <w:pPr>
              <w:keepNext/>
              <w:keepLines/>
              <w:jc w:val="center"/>
              <w:rPr>
                <w:rFonts w:cs="Arial"/>
                <w:color w:val="000000"/>
                <w:sz w:val="18"/>
                <w:szCs w:val="18"/>
              </w:rPr>
            </w:pPr>
            <w:r w:rsidRPr="001570EA">
              <w:rPr>
                <w:rFonts w:cs="Arial"/>
                <w:sz w:val="18"/>
                <w:szCs w:val="18"/>
              </w:rPr>
              <w:t>-0.940</w:t>
            </w:r>
          </w:p>
        </w:tc>
        <w:tc>
          <w:tcPr>
            <w:tcW w:w="821" w:type="dxa"/>
            <w:vAlign w:val="center"/>
          </w:tcPr>
          <w:p w14:paraId="604D3690" w14:textId="77777777" w:rsidR="00EA5BBF" w:rsidRPr="001570EA" w:rsidRDefault="00EA5BBF">
            <w:pPr>
              <w:keepNext/>
              <w:keepLines/>
              <w:jc w:val="center"/>
              <w:rPr>
                <w:rFonts w:cs="Arial"/>
                <w:color w:val="000000"/>
                <w:sz w:val="18"/>
                <w:szCs w:val="18"/>
              </w:rPr>
            </w:pPr>
            <w:r w:rsidRPr="001570EA">
              <w:rPr>
                <w:rFonts w:cs="Arial"/>
                <w:sz w:val="18"/>
                <w:szCs w:val="18"/>
              </w:rPr>
              <w:t>-1.405</w:t>
            </w:r>
          </w:p>
        </w:tc>
      </w:tr>
      <w:tr w:rsidR="00EA5BBF" w:rsidRPr="001570EA" w14:paraId="4580FADB" w14:textId="77777777">
        <w:trPr>
          <w:gridAfter w:val="1"/>
          <w:wAfter w:w="6" w:type="dxa"/>
          <w:trHeight w:val="302"/>
          <w:jc w:val="center"/>
        </w:trPr>
        <w:tc>
          <w:tcPr>
            <w:tcW w:w="440" w:type="dxa"/>
            <w:shd w:val="clear" w:color="auto" w:fill="BFBFBF" w:themeFill="background1" w:themeFillShade="BF"/>
            <w:vAlign w:val="center"/>
          </w:tcPr>
          <w:p w14:paraId="79F02B24" w14:textId="77777777" w:rsidR="00EA5BBF" w:rsidRPr="001570EA" w:rsidRDefault="00EA5BBF">
            <w:pPr>
              <w:keepNext/>
              <w:keepLines/>
              <w:jc w:val="center"/>
              <w:rPr>
                <w:b/>
                <w:color w:val="000000"/>
                <w:sz w:val="18"/>
                <w:szCs w:val="18"/>
              </w:rPr>
            </w:pPr>
            <w:r w:rsidRPr="001570EA">
              <w:rPr>
                <w:rFonts w:cs="Arial"/>
                <w:b/>
                <w:color w:val="000000"/>
                <w:sz w:val="18"/>
                <w:szCs w:val="18"/>
              </w:rPr>
              <w:t>B</w:t>
            </w:r>
          </w:p>
        </w:tc>
        <w:tc>
          <w:tcPr>
            <w:tcW w:w="1258" w:type="dxa"/>
            <w:shd w:val="clear" w:color="auto" w:fill="auto"/>
            <w:noWrap/>
            <w:vAlign w:val="center"/>
          </w:tcPr>
          <w:p w14:paraId="0DB3ECFB" w14:textId="77777777" w:rsidR="00EA5BBF" w:rsidRPr="001570EA" w:rsidRDefault="00EA5BBF">
            <w:pPr>
              <w:keepNext/>
              <w:keepLines/>
              <w:rPr>
                <w:color w:val="000000"/>
                <w:sz w:val="18"/>
                <w:szCs w:val="18"/>
              </w:rPr>
            </w:pPr>
            <w:r w:rsidRPr="001570EA">
              <w:rPr>
                <w:rFonts w:cs="Arial"/>
                <w:color w:val="000000"/>
                <w:sz w:val="18"/>
                <w:szCs w:val="18"/>
              </w:rPr>
              <w:t>Scranton</w:t>
            </w:r>
          </w:p>
        </w:tc>
        <w:tc>
          <w:tcPr>
            <w:tcW w:w="727" w:type="dxa"/>
            <w:shd w:val="clear" w:color="auto" w:fill="auto"/>
            <w:noWrap/>
            <w:vAlign w:val="center"/>
          </w:tcPr>
          <w:p w14:paraId="4A97180C" w14:textId="77777777" w:rsidR="00EA5BBF" w:rsidRPr="001570EA" w:rsidRDefault="00EA5BBF">
            <w:pPr>
              <w:keepNext/>
              <w:keepLines/>
              <w:jc w:val="center"/>
              <w:rPr>
                <w:rFonts w:cs="Arial"/>
                <w:color w:val="000000"/>
                <w:sz w:val="18"/>
                <w:szCs w:val="18"/>
              </w:rPr>
            </w:pPr>
            <w:r w:rsidRPr="001570EA">
              <w:rPr>
                <w:rFonts w:cs="Arial"/>
                <w:color w:val="000000"/>
                <w:sz w:val="18"/>
                <w:szCs w:val="18"/>
              </w:rPr>
              <w:t>-0.031</w:t>
            </w:r>
          </w:p>
        </w:tc>
        <w:tc>
          <w:tcPr>
            <w:tcW w:w="900" w:type="dxa"/>
            <w:shd w:val="clear" w:color="auto" w:fill="auto"/>
            <w:noWrap/>
            <w:vAlign w:val="center"/>
          </w:tcPr>
          <w:p w14:paraId="21826D69" w14:textId="77777777" w:rsidR="00EA5BBF" w:rsidRPr="001570EA" w:rsidRDefault="00EA5BBF">
            <w:pPr>
              <w:keepNext/>
              <w:keepLines/>
              <w:jc w:val="center"/>
              <w:rPr>
                <w:rFonts w:cs="Arial"/>
                <w:color w:val="000000"/>
                <w:sz w:val="18"/>
                <w:szCs w:val="18"/>
              </w:rPr>
            </w:pPr>
            <w:r w:rsidRPr="001570EA">
              <w:rPr>
                <w:rFonts w:cs="Arial"/>
                <w:sz w:val="18"/>
                <w:szCs w:val="18"/>
              </w:rPr>
              <w:t>-0.023</w:t>
            </w:r>
          </w:p>
        </w:tc>
        <w:tc>
          <w:tcPr>
            <w:tcW w:w="720" w:type="dxa"/>
            <w:shd w:val="clear" w:color="auto" w:fill="auto"/>
            <w:noWrap/>
            <w:vAlign w:val="center"/>
          </w:tcPr>
          <w:p w14:paraId="23AC21F3" w14:textId="77777777" w:rsidR="00EA5BBF" w:rsidRPr="001570EA" w:rsidRDefault="00EA5BBF">
            <w:pPr>
              <w:keepNext/>
              <w:keepLines/>
              <w:ind w:left="-108"/>
              <w:jc w:val="center"/>
              <w:rPr>
                <w:rFonts w:cs="Arial"/>
                <w:color w:val="000000"/>
                <w:sz w:val="18"/>
                <w:szCs w:val="18"/>
              </w:rPr>
            </w:pPr>
            <w:r w:rsidRPr="001570EA">
              <w:rPr>
                <w:rFonts w:cs="Arial"/>
                <w:sz w:val="18"/>
                <w:szCs w:val="18"/>
              </w:rPr>
              <w:t>0.049</w:t>
            </w:r>
          </w:p>
        </w:tc>
        <w:tc>
          <w:tcPr>
            <w:tcW w:w="808" w:type="dxa"/>
            <w:shd w:val="clear" w:color="auto" w:fill="auto"/>
            <w:noWrap/>
            <w:vAlign w:val="center"/>
          </w:tcPr>
          <w:p w14:paraId="1D9F21B9" w14:textId="77777777" w:rsidR="00EA5BBF" w:rsidRPr="001570EA" w:rsidRDefault="00EA5BBF">
            <w:pPr>
              <w:keepNext/>
              <w:keepLines/>
              <w:jc w:val="center"/>
              <w:rPr>
                <w:rFonts w:cs="Arial"/>
                <w:color w:val="000000"/>
                <w:sz w:val="18"/>
                <w:szCs w:val="18"/>
              </w:rPr>
            </w:pPr>
            <w:r w:rsidRPr="001570EA">
              <w:rPr>
                <w:rFonts w:cs="Arial"/>
                <w:sz w:val="18"/>
                <w:szCs w:val="18"/>
              </w:rPr>
              <w:t>0.068</w:t>
            </w:r>
          </w:p>
        </w:tc>
        <w:tc>
          <w:tcPr>
            <w:tcW w:w="808" w:type="dxa"/>
            <w:shd w:val="clear" w:color="auto" w:fill="auto"/>
            <w:noWrap/>
            <w:vAlign w:val="center"/>
          </w:tcPr>
          <w:p w14:paraId="7CDD83C1" w14:textId="77777777" w:rsidR="00EA5BBF" w:rsidRPr="001570EA" w:rsidRDefault="00EA5BBF">
            <w:pPr>
              <w:keepNext/>
              <w:keepLines/>
              <w:ind w:left="-108"/>
              <w:jc w:val="center"/>
              <w:rPr>
                <w:rFonts w:cs="Arial"/>
                <w:color w:val="000000"/>
                <w:sz w:val="18"/>
                <w:szCs w:val="18"/>
              </w:rPr>
            </w:pPr>
            <w:r w:rsidRPr="001570EA">
              <w:rPr>
                <w:rFonts w:cs="Arial"/>
                <w:sz w:val="18"/>
                <w:szCs w:val="18"/>
              </w:rPr>
              <w:t>-1.42</w:t>
            </w:r>
          </w:p>
        </w:tc>
        <w:tc>
          <w:tcPr>
            <w:tcW w:w="719" w:type="dxa"/>
            <w:shd w:val="clear" w:color="auto" w:fill="auto"/>
            <w:noWrap/>
            <w:vAlign w:val="center"/>
          </w:tcPr>
          <w:p w14:paraId="5914833D" w14:textId="77777777" w:rsidR="00EA5BBF" w:rsidRPr="001570EA" w:rsidRDefault="00EA5BBF">
            <w:pPr>
              <w:keepNext/>
              <w:keepLines/>
              <w:ind w:left="-108"/>
              <w:jc w:val="center"/>
              <w:rPr>
                <w:rFonts w:cs="Arial"/>
                <w:color w:val="000000"/>
                <w:sz w:val="18"/>
                <w:szCs w:val="18"/>
              </w:rPr>
            </w:pPr>
            <w:r w:rsidRPr="001570EA">
              <w:rPr>
                <w:rFonts w:cs="Arial"/>
                <w:sz w:val="18"/>
                <w:szCs w:val="18"/>
              </w:rPr>
              <w:t>-2.354</w:t>
            </w:r>
          </w:p>
        </w:tc>
        <w:tc>
          <w:tcPr>
            <w:tcW w:w="808" w:type="dxa"/>
            <w:vAlign w:val="center"/>
          </w:tcPr>
          <w:p w14:paraId="02FBAC61" w14:textId="77777777" w:rsidR="00EA5BBF" w:rsidRPr="001570EA" w:rsidRDefault="00EA5BBF">
            <w:pPr>
              <w:keepNext/>
              <w:keepLines/>
              <w:jc w:val="center"/>
              <w:rPr>
                <w:rFonts w:cs="Arial"/>
                <w:color w:val="000000"/>
                <w:sz w:val="18"/>
                <w:szCs w:val="18"/>
              </w:rPr>
            </w:pPr>
            <w:r w:rsidRPr="001570EA">
              <w:rPr>
                <w:rFonts w:cs="Arial"/>
                <w:sz w:val="18"/>
                <w:szCs w:val="18"/>
              </w:rPr>
              <w:t>-2.606</w:t>
            </w:r>
          </w:p>
        </w:tc>
        <w:tc>
          <w:tcPr>
            <w:tcW w:w="808" w:type="dxa"/>
            <w:vAlign w:val="center"/>
          </w:tcPr>
          <w:p w14:paraId="0C10CA53" w14:textId="77777777" w:rsidR="00EA5BBF" w:rsidRPr="001570EA" w:rsidRDefault="00EA5BBF">
            <w:pPr>
              <w:keepNext/>
              <w:keepLines/>
              <w:jc w:val="center"/>
              <w:rPr>
                <w:rFonts w:cs="Arial"/>
                <w:color w:val="000000"/>
                <w:sz w:val="18"/>
                <w:szCs w:val="18"/>
              </w:rPr>
            </w:pPr>
            <w:r w:rsidRPr="001570EA">
              <w:rPr>
                <w:rFonts w:cs="Arial"/>
                <w:sz w:val="18"/>
                <w:szCs w:val="18"/>
              </w:rPr>
              <w:t>-0.990</w:t>
            </w:r>
          </w:p>
        </w:tc>
        <w:tc>
          <w:tcPr>
            <w:tcW w:w="821" w:type="dxa"/>
            <w:vAlign w:val="center"/>
          </w:tcPr>
          <w:p w14:paraId="7B2E97C3" w14:textId="77777777" w:rsidR="00EA5BBF" w:rsidRPr="001570EA" w:rsidRDefault="00EA5BBF">
            <w:pPr>
              <w:keepNext/>
              <w:keepLines/>
              <w:jc w:val="center"/>
              <w:rPr>
                <w:rFonts w:cs="Arial"/>
                <w:color w:val="000000"/>
                <w:sz w:val="18"/>
                <w:szCs w:val="18"/>
              </w:rPr>
            </w:pPr>
            <w:r w:rsidRPr="001570EA">
              <w:rPr>
                <w:rFonts w:cs="Arial"/>
                <w:sz w:val="18"/>
                <w:szCs w:val="18"/>
              </w:rPr>
              <w:t>-1.316</w:t>
            </w:r>
          </w:p>
        </w:tc>
      </w:tr>
      <w:tr w:rsidR="00EA5BBF" w:rsidRPr="001570EA" w14:paraId="78BEB0D1" w14:textId="77777777">
        <w:trPr>
          <w:gridAfter w:val="1"/>
          <w:wAfter w:w="6" w:type="dxa"/>
          <w:trHeight w:val="302"/>
          <w:jc w:val="center"/>
        </w:trPr>
        <w:tc>
          <w:tcPr>
            <w:tcW w:w="440" w:type="dxa"/>
            <w:shd w:val="clear" w:color="auto" w:fill="BFBFBF" w:themeFill="background1" w:themeFillShade="BF"/>
            <w:vAlign w:val="center"/>
          </w:tcPr>
          <w:p w14:paraId="00248B30" w14:textId="77777777" w:rsidR="00EA5BBF" w:rsidRPr="001570EA" w:rsidRDefault="00EA5BBF">
            <w:pPr>
              <w:keepLines/>
              <w:jc w:val="center"/>
              <w:rPr>
                <w:b/>
                <w:color w:val="000000"/>
                <w:sz w:val="18"/>
                <w:szCs w:val="18"/>
              </w:rPr>
            </w:pPr>
            <w:r w:rsidRPr="001570EA">
              <w:rPr>
                <w:rFonts w:cs="Arial"/>
                <w:b/>
                <w:color w:val="000000"/>
                <w:sz w:val="18"/>
                <w:szCs w:val="18"/>
              </w:rPr>
              <w:t>F</w:t>
            </w:r>
          </w:p>
        </w:tc>
        <w:tc>
          <w:tcPr>
            <w:tcW w:w="1258" w:type="dxa"/>
            <w:shd w:val="clear" w:color="auto" w:fill="auto"/>
            <w:noWrap/>
            <w:vAlign w:val="center"/>
            <w:hideMark/>
          </w:tcPr>
          <w:p w14:paraId="14FC6BEF" w14:textId="77777777" w:rsidR="00EA5BBF" w:rsidRPr="001570EA" w:rsidRDefault="00EA5BBF">
            <w:pPr>
              <w:keepLines/>
              <w:rPr>
                <w:rFonts w:eastAsia="Arial" w:cs="Arial"/>
                <w:color w:val="000000"/>
                <w:sz w:val="18"/>
                <w:szCs w:val="18"/>
              </w:rPr>
            </w:pPr>
            <w:r w:rsidRPr="001570EA">
              <w:rPr>
                <w:rFonts w:cs="Arial"/>
                <w:color w:val="000000"/>
                <w:sz w:val="18"/>
                <w:szCs w:val="18"/>
              </w:rPr>
              <w:t>Williamsport</w:t>
            </w:r>
          </w:p>
        </w:tc>
        <w:tc>
          <w:tcPr>
            <w:tcW w:w="727" w:type="dxa"/>
            <w:shd w:val="clear" w:color="auto" w:fill="auto"/>
            <w:noWrap/>
            <w:vAlign w:val="center"/>
          </w:tcPr>
          <w:p w14:paraId="32C56BD8" w14:textId="77777777" w:rsidR="00EA5BBF" w:rsidRPr="001570EA" w:rsidRDefault="00EA5BBF">
            <w:pPr>
              <w:keepLines/>
              <w:jc w:val="center"/>
              <w:rPr>
                <w:rFonts w:cs="Arial"/>
                <w:color w:val="000000"/>
                <w:sz w:val="18"/>
                <w:szCs w:val="18"/>
              </w:rPr>
            </w:pPr>
            <w:r w:rsidRPr="001570EA">
              <w:rPr>
                <w:rFonts w:cs="Arial"/>
                <w:sz w:val="18"/>
                <w:szCs w:val="18"/>
              </w:rPr>
              <w:t>-0.03</w:t>
            </w:r>
          </w:p>
        </w:tc>
        <w:tc>
          <w:tcPr>
            <w:tcW w:w="900" w:type="dxa"/>
            <w:shd w:val="clear" w:color="auto" w:fill="auto"/>
            <w:noWrap/>
            <w:vAlign w:val="center"/>
          </w:tcPr>
          <w:p w14:paraId="5AC71244" w14:textId="77777777" w:rsidR="00EA5BBF" w:rsidRPr="001570EA" w:rsidRDefault="00EA5BBF">
            <w:pPr>
              <w:keepLines/>
              <w:jc w:val="center"/>
              <w:rPr>
                <w:rFonts w:cs="Arial"/>
                <w:color w:val="000000"/>
                <w:sz w:val="18"/>
                <w:szCs w:val="18"/>
              </w:rPr>
            </w:pPr>
            <w:r w:rsidRPr="001570EA">
              <w:rPr>
                <w:rFonts w:cs="Arial"/>
                <w:sz w:val="18"/>
                <w:szCs w:val="18"/>
              </w:rPr>
              <w:t>-0.020</w:t>
            </w:r>
          </w:p>
        </w:tc>
        <w:tc>
          <w:tcPr>
            <w:tcW w:w="720" w:type="dxa"/>
            <w:shd w:val="clear" w:color="auto" w:fill="auto"/>
            <w:noWrap/>
            <w:vAlign w:val="center"/>
          </w:tcPr>
          <w:p w14:paraId="2214B417" w14:textId="77777777" w:rsidR="00EA5BBF" w:rsidRPr="001570EA" w:rsidRDefault="00EA5BBF">
            <w:pPr>
              <w:keepLines/>
              <w:ind w:left="-108"/>
              <w:jc w:val="center"/>
              <w:rPr>
                <w:rFonts w:cs="Arial"/>
                <w:color w:val="000000"/>
                <w:sz w:val="18"/>
                <w:szCs w:val="18"/>
              </w:rPr>
            </w:pPr>
            <w:r w:rsidRPr="001570EA">
              <w:rPr>
                <w:rFonts w:cs="Arial"/>
                <w:sz w:val="18"/>
                <w:szCs w:val="18"/>
              </w:rPr>
              <w:t>0.070</w:t>
            </w:r>
          </w:p>
        </w:tc>
        <w:tc>
          <w:tcPr>
            <w:tcW w:w="808" w:type="dxa"/>
            <w:shd w:val="clear" w:color="auto" w:fill="auto"/>
            <w:noWrap/>
            <w:vAlign w:val="center"/>
          </w:tcPr>
          <w:p w14:paraId="0F4D93BA" w14:textId="77777777" w:rsidR="00EA5BBF" w:rsidRPr="001570EA" w:rsidRDefault="00EA5BBF">
            <w:pPr>
              <w:keepLines/>
              <w:jc w:val="center"/>
              <w:rPr>
                <w:rFonts w:cs="Arial"/>
                <w:color w:val="000000"/>
                <w:sz w:val="18"/>
                <w:szCs w:val="18"/>
              </w:rPr>
            </w:pPr>
            <w:r w:rsidRPr="001570EA">
              <w:rPr>
                <w:rFonts w:cs="Arial"/>
                <w:sz w:val="18"/>
                <w:szCs w:val="18"/>
              </w:rPr>
              <w:t>0.067</w:t>
            </w:r>
          </w:p>
        </w:tc>
        <w:tc>
          <w:tcPr>
            <w:tcW w:w="808" w:type="dxa"/>
            <w:shd w:val="clear" w:color="auto" w:fill="auto"/>
            <w:noWrap/>
            <w:vAlign w:val="center"/>
          </w:tcPr>
          <w:p w14:paraId="2E28F0FB" w14:textId="77777777" w:rsidR="00EA5BBF" w:rsidRPr="001570EA" w:rsidRDefault="00EA5BBF">
            <w:pPr>
              <w:keepLines/>
              <w:ind w:left="-108"/>
              <w:jc w:val="center"/>
              <w:rPr>
                <w:rFonts w:cs="Arial"/>
                <w:color w:val="000000"/>
                <w:sz w:val="18"/>
                <w:szCs w:val="18"/>
              </w:rPr>
            </w:pPr>
            <w:r w:rsidRPr="001570EA">
              <w:rPr>
                <w:rFonts w:cs="Arial"/>
                <w:sz w:val="18"/>
                <w:szCs w:val="18"/>
              </w:rPr>
              <w:t>-1.921</w:t>
            </w:r>
          </w:p>
        </w:tc>
        <w:tc>
          <w:tcPr>
            <w:tcW w:w="719" w:type="dxa"/>
            <w:shd w:val="clear" w:color="auto" w:fill="auto"/>
            <w:noWrap/>
            <w:vAlign w:val="center"/>
          </w:tcPr>
          <w:p w14:paraId="73B19FAD" w14:textId="77777777" w:rsidR="00EA5BBF" w:rsidRPr="001570EA" w:rsidRDefault="00EA5BBF">
            <w:pPr>
              <w:keepLines/>
              <w:ind w:left="-108"/>
              <w:jc w:val="center"/>
              <w:rPr>
                <w:rFonts w:cs="Arial"/>
                <w:color w:val="000000"/>
                <w:sz w:val="18"/>
                <w:szCs w:val="18"/>
              </w:rPr>
            </w:pPr>
            <w:r w:rsidRPr="001570EA">
              <w:rPr>
                <w:rFonts w:cs="Arial"/>
                <w:sz w:val="18"/>
                <w:szCs w:val="18"/>
              </w:rPr>
              <w:t>-4.028</w:t>
            </w:r>
          </w:p>
        </w:tc>
        <w:tc>
          <w:tcPr>
            <w:tcW w:w="808" w:type="dxa"/>
            <w:vAlign w:val="center"/>
          </w:tcPr>
          <w:p w14:paraId="0047AF88" w14:textId="77777777" w:rsidR="00EA5BBF" w:rsidRPr="001570EA" w:rsidRDefault="00EA5BBF">
            <w:pPr>
              <w:keepLines/>
              <w:jc w:val="center"/>
              <w:rPr>
                <w:rFonts w:cs="Arial"/>
                <w:color w:val="000000"/>
                <w:sz w:val="18"/>
                <w:szCs w:val="18"/>
              </w:rPr>
            </w:pPr>
            <w:r w:rsidRPr="001570EA">
              <w:rPr>
                <w:rFonts w:cs="Arial"/>
                <w:sz w:val="18"/>
                <w:szCs w:val="18"/>
              </w:rPr>
              <w:t>-4.553</w:t>
            </w:r>
          </w:p>
        </w:tc>
        <w:tc>
          <w:tcPr>
            <w:tcW w:w="808" w:type="dxa"/>
            <w:vAlign w:val="center"/>
          </w:tcPr>
          <w:p w14:paraId="5925954C" w14:textId="77777777" w:rsidR="00EA5BBF" w:rsidRPr="001570EA" w:rsidRDefault="00EA5BBF">
            <w:pPr>
              <w:keepLines/>
              <w:jc w:val="center"/>
              <w:rPr>
                <w:rFonts w:cs="Arial"/>
                <w:color w:val="000000"/>
                <w:sz w:val="18"/>
                <w:szCs w:val="18"/>
              </w:rPr>
            </w:pPr>
            <w:r w:rsidRPr="001570EA">
              <w:rPr>
                <w:rFonts w:cs="Arial"/>
                <w:sz w:val="18"/>
                <w:szCs w:val="18"/>
              </w:rPr>
              <w:t>-1.740</w:t>
            </w:r>
          </w:p>
        </w:tc>
        <w:tc>
          <w:tcPr>
            <w:tcW w:w="821" w:type="dxa"/>
            <w:vAlign w:val="center"/>
          </w:tcPr>
          <w:p w14:paraId="11DD7ADA" w14:textId="77777777" w:rsidR="00EA5BBF" w:rsidRPr="001570EA" w:rsidRDefault="00EA5BBF">
            <w:pPr>
              <w:keepLines/>
              <w:jc w:val="center"/>
              <w:rPr>
                <w:rFonts w:cs="Arial"/>
                <w:color w:val="000000"/>
                <w:sz w:val="18"/>
                <w:szCs w:val="18"/>
              </w:rPr>
            </w:pPr>
            <w:r w:rsidRPr="001570EA">
              <w:rPr>
                <w:rFonts w:cs="Arial"/>
                <w:sz w:val="18"/>
                <w:szCs w:val="18"/>
              </w:rPr>
              <w:t>-1.662</w:t>
            </w:r>
          </w:p>
        </w:tc>
      </w:tr>
    </w:tbl>
    <w:p w14:paraId="469247E6" w14:textId="77777777" w:rsidR="00EA5BBF" w:rsidRPr="001570EA" w:rsidRDefault="00EA5BBF" w:rsidP="00EA5BBF"/>
    <w:p w14:paraId="74DD13B3" w14:textId="7541FA37" w:rsidR="00EA5BBF" w:rsidRPr="001570EA" w:rsidRDefault="00EA5BBF" w:rsidP="00EA5BBF">
      <w:pPr>
        <w:pStyle w:val="Caption"/>
        <w:keepLines/>
      </w:pPr>
      <w:bookmarkStart w:id="1151" w:name="_Ref410995149"/>
      <w:bookmarkStart w:id="1152" w:name="_Toc47598357"/>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133</w:t>
      </w:r>
      <w:r w:rsidR="002E093A" w:rsidRPr="001570EA">
        <w:fldChar w:fldCharType="end"/>
      </w:r>
      <w:bookmarkEnd w:id="1151"/>
      <w:r w:rsidRPr="001570EA">
        <w:t>: Default Unit Energy Savings per Reduced CFM50 for Air Sealing</w:t>
      </w:r>
      <w:bookmarkEnd w:id="1152"/>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1260"/>
        <w:gridCol w:w="810"/>
        <w:gridCol w:w="900"/>
        <w:gridCol w:w="810"/>
        <w:gridCol w:w="810"/>
        <w:gridCol w:w="810"/>
        <w:gridCol w:w="720"/>
        <w:gridCol w:w="810"/>
        <w:gridCol w:w="810"/>
        <w:gridCol w:w="720"/>
        <w:gridCol w:w="12"/>
      </w:tblGrid>
      <w:tr w:rsidR="00EA5BBF" w:rsidRPr="001570EA" w14:paraId="18D1B9C5" w14:textId="77777777">
        <w:trPr>
          <w:trHeight w:val="315"/>
          <w:jc w:val="center"/>
        </w:trPr>
        <w:tc>
          <w:tcPr>
            <w:tcW w:w="1700" w:type="dxa"/>
            <w:gridSpan w:val="2"/>
            <w:vMerge w:val="restart"/>
            <w:shd w:val="clear" w:color="auto" w:fill="BFBFBF" w:themeFill="background1" w:themeFillShade="BF"/>
            <w:vAlign w:val="center"/>
          </w:tcPr>
          <w:p w14:paraId="6049AF5D" w14:textId="77777777" w:rsidR="00EA5BBF" w:rsidRPr="001570EA" w:rsidRDefault="00EA5BBF">
            <w:pPr>
              <w:rPr>
                <w:b/>
                <w:sz w:val="18"/>
                <w:szCs w:val="18"/>
              </w:rPr>
            </w:pPr>
            <w:r w:rsidRPr="001570EA">
              <w:rPr>
                <w:b/>
                <w:sz w:val="18"/>
                <w:szCs w:val="18"/>
              </w:rPr>
              <w:t>Climate Region</w:t>
            </w:r>
          </w:p>
          <w:p w14:paraId="05D96E03" w14:textId="77777777" w:rsidR="00EA5BBF" w:rsidRPr="001570EA" w:rsidRDefault="00EA5BBF">
            <w:pPr>
              <w:jc w:val="right"/>
              <w:rPr>
                <w:rFonts w:cs="Arial"/>
                <w:b/>
                <w:bCs/>
                <w:sz w:val="18"/>
                <w:szCs w:val="18"/>
              </w:rPr>
            </w:pPr>
            <w:r w:rsidRPr="001570EA">
              <w:rPr>
                <w:b/>
                <w:sz w:val="18"/>
                <w:szCs w:val="18"/>
              </w:rPr>
              <w:t>Reference City</w:t>
            </w:r>
          </w:p>
        </w:tc>
        <w:tc>
          <w:tcPr>
            <w:tcW w:w="3330" w:type="dxa"/>
            <w:gridSpan w:val="4"/>
            <w:shd w:val="clear" w:color="auto" w:fill="BFBFBF" w:themeFill="background1" w:themeFillShade="BF"/>
            <w:noWrap/>
            <w:vAlign w:val="center"/>
          </w:tcPr>
          <w:p w14:paraId="015E19CC" w14:textId="77777777" w:rsidR="00EA5BBF" w:rsidRPr="001570EA" w:rsidRDefault="003B5E04">
            <w:pPr>
              <w:jc w:val="center"/>
              <w:rPr>
                <w:rFonts w:eastAsia="Arial" w:cs="Arial"/>
                <w:b/>
                <w:bCs/>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b</m:t>
                    </m:r>
                  </m:e>
                  <m:sub>
                    <m:r>
                      <m:rPr>
                        <m:sty m:val="bi"/>
                      </m:rPr>
                      <w:rPr>
                        <w:rFonts w:ascii="Cambria Math" w:hAnsi="Cambria Math" w:cs="Arial"/>
                        <w:sz w:val="18"/>
                        <w:szCs w:val="18"/>
                      </w:rPr>
                      <m:t>cool</m:t>
                    </m:r>
                  </m:sub>
                </m:sSub>
              </m:oMath>
            </m:oMathPara>
          </w:p>
        </w:tc>
        <w:tc>
          <w:tcPr>
            <w:tcW w:w="3882" w:type="dxa"/>
            <w:gridSpan w:val="6"/>
            <w:shd w:val="clear" w:color="auto" w:fill="BFBFBF" w:themeFill="background1" w:themeFillShade="BF"/>
            <w:vAlign w:val="center"/>
            <w:hideMark/>
          </w:tcPr>
          <w:p w14:paraId="12105D23" w14:textId="77777777" w:rsidR="00EA5BBF" w:rsidRPr="001570EA" w:rsidRDefault="003B5E04">
            <w:pPr>
              <w:jc w:val="center"/>
              <w:rPr>
                <w:rFonts w:eastAsia="Arial" w:cs="Arial"/>
                <w:b/>
                <w:bCs/>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b</m:t>
                    </m:r>
                  </m:e>
                  <m:sub>
                    <m:r>
                      <m:rPr>
                        <m:sty m:val="bi"/>
                      </m:rPr>
                      <w:rPr>
                        <w:rFonts w:ascii="Cambria Math" w:hAnsi="Cambria Math" w:cs="Arial"/>
                        <w:sz w:val="18"/>
                        <w:szCs w:val="18"/>
                      </w:rPr>
                      <m:t>heat</m:t>
                    </m:r>
                  </m:sub>
                </m:sSub>
              </m:oMath>
            </m:oMathPara>
          </w:p>
        </w:tc>
      </w:tr>
      <w:tr w:rsidR="00EA5BBF" w:rsidRPr="001570EA" w14:paraId="5058EE51" w14:textId="77777777">
        <w:trPr>
          <w:gridAfter w:val="1"/>
          <w:wAfter w:w="12" w:type="dxa"/>
          <w:trHeight w:val="525"/>
          <w:jc w:val="center"/>
        </w:trPr>
        <w:tc>
          <w:tcPr>
            <w:tcW w:w="1700" w:type="dxa"/>
            <w:gridSpan w:val="2"/>
            <w:vMerge/>
          </w:tcPr>
          <w:p w14:paraId="40D0866E" w14:textId="77777777" w:rsidR="00EA5BBF" w:rsidRPr="001570EA" w:rsidRDefault="00EA5BBF">
            <w:pPr>
              <w:rPr>
                <w:rFonts w:cs="Arial"/>
                <w:b/>
                <w:bCs/>
                <w:sz w:val="18"/>
                <w:szCs w:val="18"/>
              </w:rPr>
            </w:pPr>
          </w:p>
        </w:tc>
        <w:tc>
          <w:tcPr>
            <w:tcW w:w="810" w:type="dxa"/>
            <w:shd w:val="clear" w:color="auto" w:fill="BFBFBF" w:themeFill="background1" w:themeFillShade="BF"/>
            <w:noWrap/>
            <w:vAlign w:val="center"/>
            <w:hideMark/>
          </w:tcPr>
          <w:p w14:paraId="1AC21393" w14:textId="77777777" w:rsidR="00EA5BBF" w:rsidRPr="001570EA" w:rsidRDefault="00EA5BBF">
            <w:pPr>
              <w:jc w:val="center"/>
              <w:rPr>
                <w:rFonts w:eastAsia="Arial" w:cs="Arial"/>
                <w:b/>
                <w:bCs/>
                <w:sz w:val="18"/>
                <w:szCs w:val="18"/>
              </w:rPr>
            </w:pPr>
            <w:r w:rsidRPr="001570EA">
              <w:rPr>
                <w:b/>
                <w:sz w:val="18"/>
                <w:szCs w:val="18"/>
              </w:rPr>
              <w:t>ASHP</w:t>
            </w:r>
          </w:p>
        </w:tc>
        <w:tc>
          <w:tcPr>
            <w:tcW w:w="900" w:type="dxa"/>
            <w:shd w:val="clear" w:color="auto" w:fill="BFBFBF" w:themeFill="background1" w:themeFillShade="BF"/>
            <w:noWrap/>
            <w:vAlign w:val="center"/>
            <w:hideMark/>
          </w:tcPr>
          <w:p w14:paraId="2275B5E3" w14:textId="77777777" w:rsidR="00EA5BBF" w:rsidRPr="001570EA" w:rsidRDefault="00EA5BBF">
            <w:pPr>
              <w:jc w:val="center"/>
              <w:rPr>
                <w:rFonts w:eastAsia="Arial" w:cs="Arial"/>
                <w:b/>
                <w:bCs/>
                <w:sz w:val="18"/>
                <w:szCs w:val="18"/>
              </w:rPr>
            </w:pPr>
            <w:r w:rsidRPr="001570EA">
              <w:rPr>
                <w:b/>
                <w:bCs/>
                <w:sz w:val="18"/>
                <w:szCs w:val="18"/>
              </w:rPr>
              <w:t>Central AC</w:t>
            </w:r>
          </w:p>
        </w:tc>
        <w:tc>
          <w:tcPr>
            <w:tcW w:w="810" w:type="dxa"/>
            <w:shd w:val="clear" w:color="auto" w:fill="BFBFBF" w:themeFill="background1" w:themeFillShade="BF"/>
            <w:vAlign w:val="center"/>
            <w:hideMark/>
          </w:tcPr>
          <w:p w14:paraId="18CF83E2" w14:textId="77777777" w:rsidR="00EA5BBF" w:rsidRPr="001570EA" w:rsidRDefault="00EA5BBF">
            <w:pPr>
              <w:ind w:left="-108"/>
              <w:jc w:val="center"/>
              <w:rPr>
                <w:rFonts w:eastAsia="Arial" w:cs="Arial"/>
                <w:b/>
                <w:bCs/>
                <w:sz w:val="18"/>
                <w:szCs w:val="18"/>
              </w:rPr>
            </w:pPr>
            <w:r w:rsidRPr="001570EA">
              <w:rPr>
                <w:b/>
                <w:bCs/>
                <w:sz w:val="18"/>
                <w:szCs w:val="18"/>
              </w:rPr>
              <w:t>GSHP</w:t>
            </w:r>
          </w:p>
        </w:tc>
        <w:tc>
          <w:tcPr>
            <w:tcW w:w="810" w:type="dxa"/>
            <w:shd w:val="clear" w:color="auto" w:fill="BFBFBF" w:themeFill="background1" w:themeFillShade="BF"/>
            <w:noWrap/>
            <w:vAlign w:val="center"/>
            <w:hideMark/>
          </w:tcPr>
          <w:p w14:paraId="6C033457" w14:textId="77777777" w:rsidR="00EA5BBF" w:rsidRPr="001570EA" w:rsidRDefault="00EA5BBF">
            <w:pPr>
              <w:ind w:left="-108"/>
              <w:jc w:val="center"/>
              <w:rPr>
                <w:rFonts w:eastAsia="Arial" w:cs="Arial"/>
                <w:b/>
                <w:bCs/>
                <w:sz w:val="18"/>
                <w:szCs w:val="18"/>
              </w:rPr>
            </w:pPr>
            <w:r w:rsidRPr="001570EA">
              <w:rPr>
                <w:b/>
                <w:bCs/>
                <w:sz w:val="18"/>
                <w:szCs w:val="18"/>
              </w:rPr>
              <w:t>Mini-split</w:t>
            </w:r>
          </w:p>
        </w:tc>
        <w:tc>
          <w:tcPr>
            <w:tcW w:w="810" w:type="dxa"/>
            <w:shd w:val="clear" w:color="auto" w:fill="BFBFBF" w:themeFill="background1" w:themeFillShade="BF"/>
            <w:vAlign w:val="center"/>
            <w:hideMark/>
          </w:tcPr>
          <w:p w14:paraId="51FBD322" w14:textId="77777777" w:rsidR="00EA5BBF" w:rsidRPr="001570EA" w:rsidRDefault="00EA5BBF">
            <w:pPr>
              <w:ind w:left="-114"/>
              <w:jc w:val="center"/>
              <w:rPr>
                <w:rFonts w:eastAsia="Arial" w:cs="Arial"/>
                <w:b/>
                <w:bCs/>
                <w:sz w:val="18"/>
                <w:szCs w:val="18"/>
              </w:rPr>
            </w:pPr>
            <w:r w:rsidRPr="001570EA">
              <w:rPr>
                <w:b/>
                <w:sz w:val="18"/>
                <w:szCs w:val="18"/>
              </w:rPr>
              <w:t>ASHP</w:t>
            </w:r>
          </w:p>
        </w:tc>
        <w:tc>
          <w:tcPr>
            <w:tcW w:w="720" w:type="dxa"/>
            <w:shd w:val="clear" w:color="auto" w:fill="BFBFBF" w:themeFill="background1" w:themeFillShade="BF"/>
            <w:noWrap/>
            <w:vAlign w:val="center"/>
            <w:hideMark/>
          </w:tcPr>
          <w:p w14:paraId="44DF9DFC" w14:textId="77777777" w:rsidR="00EA5BBF" w:rsidRPr="001570EA" w:rsidRDefault="00EA5BBF">
            <w:pPr>
              <w:ind w:left="-114"/>
              <w:jc w:val="center"/>
              <w:rPr>
                <w:rFonts w:eastAsia="Arial" w:cs="Arial"/>
                <w:b/>
                <w:bCs/>
                <w:sz w:val="18"/>
                <w:szCs w:val="18"/>
              </w:rPr>
            </w:pPr>
            <w:r w:rsidRPr="001570EA">
              <w:rPr>
                <w:b/>
                <w:bCs/>
                <w:sz w:val="18"/>
                <w:szCs w:val="18"/>
              </w:rPr>
              <w:t>Base-board</w:t>
            </w:r>
          </w:p>
        </w:tc>
        <w:tc>
          <w:tcPr>
            <w:tcW w:w="810" w:type="dxa"/>
            <w:shd w:val="clear" w:color="auto" w:fill="BFBFBF" w:themeFill="background1" w:themeFillShade="BF"/>
            <w:vAlign w:val="center"/>
          </w:tcPr>
          <w:p w14:paraId="51BCB632" w14:textId="77777777" w:rsidR="00EA5BBF" w:rsidRPr="001570EA" w:rsidRDefault="00EA5BBF">
            <w:pPr>
              <w:ind w:left="-108"/>
              <w:jc w:val="center"/>
              <w:rPr>
                <w:b/>
                <w:sz w:val="18"/>
                <w:szCs w:val="18"/>
              </w:rPr>
            </w:pPr>
            <w:r w:rsidRPr="001570EA">
              <w:rPr>
                <w:b/>
                <w:bCs/>
                <w:sz w:val="18"/>
                <w:szCs w:val="18"/>
              </w:rPr>
              <w:t>Electric Furnace</w:t>
            </w:r>
          </w:p>
        </w:tc>
        <w:tc>
          <w:tcPr>
            <w:tcW w:w="810" w:type="dxa"/>
            <w:shd w:val="clear" w:color="auto" w:fill="BFBFBF" w:themeFill="background1" w:themeFillShade="BF"/>
            <w:vAlign w:val="center"/>
          </w:tcPr>
          <w:p w14:paraId="4FA67A59" w14:textId="77777777" w:rsidR="00EA5BBF" w:rsidRPr="001570EA" w:rsidRDefault="00EA5BBF">
            <w:pPr>
              <w:ind w:left="-108"/>
              <w:jc w:val="center"/>
              <w:rPr>
                <w:b/>
                <w:sz w:val="18"/>
                <w:szCs w:val="18"/>
              </w:rPr>
            </w:pPr>
            <w:r w:rsidRPr="001570EA">
              <w:rPr>
                <w:b/>
                <w:bCs/>
                <w:sz w:val="18"/>
                <w:szCs w:val="18"/>
              </w:rPr>
              <w:t>GSHP</w:t>
            </w:r>
          </w:p>
        </w:tc>
        <w:tc>
          <w:tcPr>
            <w:tcW w:w="720" w:type="dxa"/>
            <w:shd w:val="clear" w:color="auto" w:fill="BFBFBF" w:themeFill="background1" w:themeFillShade="BF"/>
            <w:vAlign w:val="center"/>
          </w:tcPr>
          <w:p w14:paraId="40B08E89" w14:textId="77777777" w:rsidR="00EA5BBF" w:rsidRPr="001570EA" w:rsidRDefault="00EA5BBF">
            <w:pPr>
              <w:ind w:left="-114"/>
              <w:jc w:val="center"/>
              <w:rPr>
                <w:b/>
                <w:sz w:val="18"/>
                <w:szCs w:val="18"/>
              </w:rPr>
            </w:pPr>
            <w:r w:rsidRPr="001570EA">
              <w:rPr>
                <w:b/>
                <w:bCs/>
                <w:sz w:val="18"/>
                <w:szCs w:val="18"/>
              </w:rPr>
              <w:t>Mini-split</w:t>
            </w:r>
          </w:p>
        </w:tc>
      </w:tr>
      <w:tr w:rsidR="00EA5BBF" w:rsidRPr="001570EA" w14:paraId="78B71494" w14:textId="77777777">
        <w:trPr>
          <w:gridAfter w:val="1"/>
          <w:wAfter w:w="12" w:type="dxa"/>
          <w:trHeight w:val="302"/>
          <w:jc w:val="center"/>
        </w:trPr>
        <w:tc>
          <w:tcPr>
            <w:tcW w:w="440" w:type="dxa"/>
            <w:shd w:val="clear" w:color="auto" w:fill="BFBFBF" w:themeFill="background1" w:themeFillShade="BF"/>
            <w:vAlign w:val="center"/>
          </w:tcPr>
          <w:p w14:paraId="7EBB7D60" w14:textId="77777777" w:rsidR="00EA5BBF" w:rsidRPr="001570EA" w:rsidRDefault="00EA5BBF">
            <w:pPr>
              <w:jc w:val="center"/>
              <w:rPr>
                <w:b/>
                <w:color w:val="000000"/>
                <w:sz w:val="18"/>
                <w:szCs w:val="18"/>
              </w:rPr>
            </w:pPr>
            <w:r w:rsidRPr="001570EA">
              <w:rPr>
                <w:rFonts w:cs="Arial"/>
                <w:b/>
                <w:color w:val="000000"/>
                <w:sz w:val="18"/>
                <w:szCs w:val="18"/>
              </w:rPr>
              <w:t>C</w:t>
            </w:r>
          </w:p>
        </w:tc>
        <w:tc>
          <w:tcPr>
            <w:tcW w:w="1260" w:type="dxa"/>
            <w:shd w:val="clear" w:color="auto" w:fill="auto"/>
            <w:noWrap/>
            <w:vAlign w:val="center"/>
          </w:tcPr>
          <w:p w14:paraId="79C5D7EA" w14:textId="77777777" w:rsidR="00EA5BBF" w:rsidRPr="001570EA" w:rsidRDefault="00EA5BBF">
            <w:pPr>
              <w:rPr>
                <w:color w:val="000000"/>
                <w:sz w:val="18"/>
                <w:szCs w:val="18"/>
              </w:rPr>
            </w:pPr>
            <w:r w:rsidRPr="001570EA">
              <w:rPr>
                <w:rFonts w:cs="Arial"/>
                <w:color w:val="000000"/>
                <w:sz w:val="18"/>
                <w:szCs w:val="18"/>
              </w:rPr>
              <w:t>Allentown</w:t>
            </w:r>
          </w:p>
        </w:tc>
        <w:tc>
          <w:tcPr>
            <w:tcW w:w="810" w:type="dxa"/>
            <w:shd w:val="clear" w:color="auto" w:fill="auto"/>
            <w:noWrap/>
            <w:vAlign w:val="center"/>
          </w:tcPr>
          <w:p w14:paraId="35F91894" w14:textId="77777777" w:rsidR="00EA5BBF" w:rsidRPr="001570EA" w:rsidRDefault="00EA5BBF">
            <w:pPr>
              <w:jc w:val="center"/>
              <w:rPr>
                <w:rFonts w:cs="Arial"/>
                <w:color w:val="000000"/>
                <w:sz w:val="18"/>
                <w:szCs w:val="18"/>
              </w:rPr>
            </w:pPr>
            <w:r w:rsidRPr="001570EA">
              <w:rPr>
                <w:rFonts w:cs="Arial"/>
                <w:sz w:val="18"/>
                <w:szCs w:val="18"/>
              </w:rPr>
              <w:t>0.021</w:t>
            </w:r>
          </w:p>
        </w:tc>
        <w:tc>
          <w:tcPr>
            <w:tcW w:w="900" w:type="dxa"/>
            <w:shd w:val="clear" w:color="auto" w:fill="auto"/>
            <w:noWrap/>
            <w:vAlign w:val="center"/>
          </w:tcPr>
          <w:p w14:paraId="3030C740" w14:textId="77777777" w:rsidR="00EA5BBF" w:rsidRPr="001570EA" w:rsidRDefault="00EA5BBF">
            <w:pPr>
              <w:jc w:val="center"/>
              <w:rPr>
                <w:rFonts w:cs="Arial"/>
                <w:color w:val="000000"/>
                <w:sz w:val="18"/>
                <w:szCs w:val="18"/>
              </w:rPr>
            </w:pPr>
            <w:r w:rsidRPr="001570EA">
              <w:rPr>
                <w:rFonts w:cs="Arial"/>
                <w:sz w:val="18"/>
                <w:szCs w:val="18"/>
              </w:rPr>
              <w:t>0.020</w:t>
            </w:r>
          </w:p>
        </w:tc>
        <w:tc>
          <w:tcPr>
            <w:tcW w:w="810" w:type="dxa"/>
            <w:shd w:val="clear" w:color="auto" w:fill="auto"/>
            <w:noWrap/>
            <w:vAlign w:val="center"/>
          </w:tcPr>
          <w:p w14:paraId="5A58A1CA" w14:textId="77777777" w:rsidR="00EA5BBF" w:rsidRPr="001570EA" w:rsidRDefault="00EA5BBF">
            <w:pPr>
              <w:ind w:left="-108"/>
              <w:jc w:val="center"/>
              <w:rPr>
                <w:rFonts w:cs="Arial"/>
                <w:color w:val="000000"/>
                <w:sz w:val="18"/>
                <w:szCs w:val="18"/>
              </w:rPr>
            </w:pPr>
            <w:r w:rsidRPr="001570EA">
              <w:rPr>
                <w:rFonts w:cs="Arial"/>
                <w:sz w:val="18"/>
                <w:szCs w:val="18"/>
              </w:rPr>
              <w:t>-0.007</w:t>
            </w:r>
          </w:p>
        </w:tc>
        <w:tc>
          <w:tcPr>
            <w:tcW w:w="810" w:type="dxa"/>
            <w:shd w:val="clear" w:color="auto" w:fill="auto"/>
            <w:noWrap/>
            <w:vAlign w:val="center"/>
          </w:tcPr>
          <w:p w14:paraId="15439D6C" w14:textId="77777777" w:rsidR="00EA5BBF" w:rsidRPr="001570EA" w:rsidRDefault="00EA5BBF">
            <w:pPr>
              <w:ind w:left="-114"/>
              <w:jc w:val="center"/>
              <w:rPr>
                <w:rFonts w:cs="Arial"/>
                <w:color w:val="000000"/>
                <w:sz w:val="18"/>
                <w:szCs w:val="18"/>
              </w:rPr>
            </w:pPr>
            <w:r w:rsidRPr="001570EA">
              <w:rPr>
                <w:rFonts w:cs="Arial"/>
                <w:sz w:val="18"/>
                <w:szCs w:val="18"/>
              </w:rPr>
              <w:t>-0.014</w:t>
            </w:r>
          </w:p>
        </w:tc>
        <w:tc>
          <w:tcPr>
            <w:tcW w:w="810" w:type="dxa"/>
            <w:shd w:val="clear" w:color="auto" w:fill="auto"/>
            <w:noWrap/>
            <w:vAlign w:val="center"/>
          </w:tcPr>
          <w:p w14:paraId="5DFB064F" w14:textId="77777777" w:rsidR="00EA5BBF" w:rsidRPr="001570EA" w:rsidRDefault="00EA5BBF">
            <w:pPr>
              <w:ind w:left="-114"/>
              <w:jc w:val="center"/>
              <w:rPr>
                <w:rFonts w:cs="Arial"/>
                <w:color w:val="000000"/>
                <w:sz w:val="18"/>
                <w:szCs w:val="18"/>
              </w:rPr>
            </w:pPr>
            <w:r w:rsidRPr="001570EA">
              <w:rPr>
                <w:rFonts w:cs="Arial"/>
                <w:sz w:val="18"/>
                <w:szCs w:val="18"/>
              </w:rPr>
              <w:t>0.833</w:t>
            </w:r>
          </w:p>
        </w:tc>
        <w:tc>
          <w:tcPr>
            <w:tcW w:w="720" w:type="dxa"/>
            <w:shd w:val="clear" w:color="auto" w:fill="auto"/>
            <w:noWrap/>
            <w:vAlign w:val="center"/>
          </w:tcPr>
          <w:p w14:paraId="022DE8E2" w14:textId="77777777" w:rsidR="00EA5BBF" w:rsidRPr="001570EA" w:rsidRDefault="00EA5BBF">
            <w:pPr>
              <w:jc w:val="center"/>
              <w:rPr>
                <w:rFonts w:cs="Arial"/>
                <w:color w:val="000000"/>
                <w:sz w:val="18"/>
                <w:szCs w:val="18"/>
              </w:rPr>
            </w:pPr>
            <w:r w:rsidRPr="001570EA">
              <w:rPr>
                <w:rFonts w:cs="Arial"/>
                <w:sz w:val="18"/>
                <w:szCs w:val="18"/>
              </w:rPr>
              <w:t>1.943</w:t>
            </w:r>
          </w:p>
        </w:tc>
        <w:tc>
          <w:tcPr>
            <w:tcW w:w="810" w:type="dxa"/>
            <w:vAlign w:val="center"/>
          </w:tcPr>
          <w:p w14:paraId="364BD3F5" w14:textId="77777777" w:rsidR="00EA5BBF" w:rsidRPr="001570EA" w:rsidRDefault="00EA5BBF">
            <w:pPr>
              <w:jc w:val="center"/>
              <w:rPr>
                <w:rFonts w:cs="Arial"/>
                <w:color w:val="000000"/>
                <w:sz w:val="18"/>
                <w:szCs w:val="18"/>
              </w:rPr>
            </w:pPr>
            <w:r w:rsidRPr="001570EA">
              <w:rPr>
                <w:rFonts w:cs="Arial"/>
                <w:sz w:val="18"/>
                <w:szCs w:val="18"/>
              </w:rPr>
              <w:t>2.179</w:t>
            </w:r>
          </w:p>
        </w:tc>
        <w:tc>
          <w:tcPr>
            <w:tcW w:w="810" w:type="dxa"/>
            <w:vAlign w:val="center"/>
          </w:tcPr>
          <w:p w14:paraId="160F3E24" w14:textId="77777777" w:rsidR="00EA5BBF" w:rsidRPr="001570EA" w:rsidRDefault="00EA5BBF">
            <w:pPr>
              <w:jc w:val="center"/>
              <w:rPr>
                <w:rFonts w:cs="Arial"/>
                <w:color w:val="000000"/>
                <w:sz w:val="18"/>
                <w:szCs w:val="18"/>
              </w:rPr>
            </w:pPr>
            <w:r w:rsidRPr="001570EA">
              <w:rPr>
                <w:rFonts w:cs="Arial"/>
                <w:sz w:val="18"/>
                <w:szCs w:val="18"/>
              </w:rPr>
              <w:t>0.684</w:t>
            </w:r>
          </w:p>
        </w:tc>
        <w:tc>
          <w:tcPr>
            <w:tcW w:w="720" w:type="dxa"/>
            <w:vAlign w:val="center"/>
          </w:tcPr>
          <w:p w14:paraId="61CFB747" w14:textId="77777777" w:rsidR="00EA5BBF" w:rsidRPr="001570EA" w:rsidRDefault="00EA5BBF">
            <w:pPr>
              <w:jc w:val="center"/>
              <w:rPr>
                <w:rFonts w:cs="Arial"/>
                <w:color w:val="000000"/>
                <w:sz w:val="18"/>
                <w:szCs w:val="18"/>
              </w:rPr>
            </w:pPr>
            <w:r w:rsidRPr="001570EA">
              <w:rPr>
                <w:rFonts w:cs="Arial"/>
                <w:sz w:val="18"/>
                <w:szCs w:val="18"/>
              </w:rPr>
              <w:t>0.553</w:t>
            </w:r>
          </w:p>
        </w:tc>
      </w:tr>
      <w:tr w:rsidR="00EA5BBF" w:rsidRPr="001570EA" w14:paraId="38180368" w14:textId="77777777">
        <w:trPr>
          <w:gridAfter w:val="1"/>
          <w:wAfter w:w="12" w:type="dxa"/>
          <w:trHeight w:val="302"/>
          <w:jc w:val="center"/>
        </w:trPr>
        <w:tc>
          <w:tcPr>
            <w:tcW w:w="440" w:type="dxa"/>
            <w:shd w:val="clear" w:color="auto" w:fill="BFBFBF" w:themeFill="background1" w:themeFillShade="BF"/>
            <w:vAlign w:val="center"/>
          </w:tcPr>
          <w:p w14:paraId="229D6049" w14:textId="77777777" w:rsidR="00EA5BBF" w:rsidRPr="001570EA" w:rsidRDefault="00EA5BBF">
            <w:pPr>
              <w:jc w:val="center"/>
              <w:rPr>
                <w:b/>
                <w:color w:val="000000"/>
                <w:sz w:val="18"/>
                <w:szCs w:val="18"/>
              </w:rPr>
            </w:pPr>
            <w:r w:rsidRPr="001570EA">
              <w:rPr>
                <w:rFonts w:cs="Arial"/>
                <w:b/>
                <w:color w:val="000000"/>
                <w:sz w:val="18"/>
                <w:szCs w:val="18"/>
              </w:rPr>
              <w:t>A</w:t>
            </w:r>
          </w:p>
        </w:tc>
        <w:tc>
          <w:tcPr>
            <w:tcW w:w="1260" w:type="dxa"/>
            <w:shd w:val="clear" w:color="auto" w:fill="auto"/>
            <w:noWrap/>
            <w:vAlign w:val="center"/>
            <w:hideMark/>
          </w:tcPr>
          <w:p w14:paraId="0A83A75D" w14:textId="77777777" w:rsidR="00EA5BBF" w:rsidRPr="001570EA" w:rsidRDefault="00EA5BBF">
            <w:pPr>
              <w:rPr>
                <w:rFonts w:eastAsia="Arial" w:cs="Arial"/>
                <w:color w:val="000000"/>
                <w:sz w:val="18"/>
                <w:szCs w:val="18"/>
              </w:rPr>
            </w:pPr>
            <w:r w:rsidRPr="001570EA">
              <w:rPr>
                <w:rFonts w:cs="Arial"/>
                <w:color w:val="000000"/>
                <w:sz w:val="18"/>
                <w:szCs w:val="18"/>
              </w:rPr>
              <w:t>Binghamton</w:t>
            </w:r>
          </w:p>
        </w:tc>
        <w:tc>
          <w:tcPr>
            <w:tcW w:w="810" w:type="dxa"/>
            <w:shd w:val="clear" w:color="auto" w:fill="auto"/>
            <w:noWrap/>
            <w:vAlign w:val="center"/>
          </w:tcPr>
          <w:p w14:paraId="77B86244" w14:textId="77777777" w:rsidR="00EA5BBF" w:rsidRPr="001570EA" w:rsidRDefault="00EA5BBF">
            <w:pPr>
              <w:jc w:val="center"/>
              <w:rPr>
                <w:rFonts w:cs="Arial"/>
                <w:color w:val="000000"/>
                <w:sz w:val="18"/>
                <w:szCs w:val="18"/>
              </w:rPr>
            </w:pPr>
            <w:r w:rsidRPr="001570EA">
              <w:rPr>
                <w:rFonts w:cs="Arial"/>
                <w:sz w:val="18"/>
                <w:szCs w:val="18"/>
              </w:rPr>
              <w:t>0.000</w:t>
            </w:r>
          </w:p>
        </w:tc>
        <w:tc>
          <w:tcPr>
            <w:tcW w:w="900" w:type="dxa"/>
            <w:shd w:val="clear" w:color="auto" w:fill="auto"/>
            <w:noWrap/>
            <w:vAlign w:val="center"/>
          </w:tcPr>
          <w:p w14:paraId="779EAF7B" w14:textId="77777777" w:rsidR="00EA5BBF" w:rsidRPr="001570EA" w:rsidRDefault="00EA5BBF">
            <w:pPr>
              <w:jc w:val="center"/>
              <w:rPr>
                <w:rFonts w:cs="Arial"/>
                <w:color w:val="000000"/>
                <w:sz w:val="18"/>
                <w:szCs w:val="18"/>
              </w:rPr>
            </w:pPr>
            <w:r w:rsidRPr="001570EA">
              <w:rPr>
                <w:rFonts w:cs="Arial"/>
                <w:sz w:val="18"/>
                <w:szCs w:val="18"/>
              </w:rPr>
              <w:t>-0.010</w:t>
            </w:r>
          </w:p>
        </w:tc>
        <w:tc>
          <w:tcPr>
            <w:tcW w:w="810" w:type="dxa"/>
            <w:shd w:val="clear" w:color="auto" w:fill="auto"/>
            <w:noWrap/>
            <w:vAlign w:val="center"/>
          </w:tcPr>
          <w:p w14:paraId="1DBEE75D" w14:textId="77777777" w:rsidR="00EA5BBF" w:rsidRPr="001570EA" w:rsidRDefault="00EA5BBF">
            <w:pPr>
              <w:ind w:left="-108"/>
              <w:jc w:val="center"/>
              <w:rPr>
                <w:rFonts w:cs="Arial"/>
                <w:color w:val="000000"/>
                <w:sz w:val="18"/>
                <w:szCs w:val="18"/>
              </w:rPr>
            </w:pPr>
            <w:r w:rsidRPr="001570EA">
              <w:rPr>
                <w:rFonts w:cs="Arial"/>
                <w:sz w:val="18"/>
                <w:szCs w:val="18"/>
              </w:rPr>
              <w:t>-0.014</w:t>
            </w:r>
          </w:p>
        </w:tc>
        <w:tc>
          <w:tcPr>
            <w:tcW w:w="810" w:type="dxa"/>
            <w:shd w:val="clear" w:color="auto" w:fill="auto"/>
            <w:noWrap/>
            <w:vAlign w:val="center"/>
          </w:tcPr>
          <w:p w14:paraId="3FBEA0FE" w14:textId="77777777" w:rsidR="00EA5BBF" w:rsidRPr="001570EA" w:rsidRDefault="00EA5BBF">
            <w:pPr>
              <w:ind w:left="-114"/>
              <w:jc w:val="center"/>
              <w:rPr>
                <w:rFonts w:cs="Arial"/>
                <w:color w:val="000000"/>
                <w:sz w:val="18"/>
                <w:szCs w:val="18"/>
              </w:rPr>
            </w:pPr>
            <w:r w:rsidRPr="001570EA">
              <w:rPr>
                <w:rFonts w:cs="Arial"/>
                <w:sz w:val="18"/>
                <w:szCs w:val="18"/>
              </w:rPr>
              <w:t>0.222</w:t>
            </w:r>
          </w:p>
        </w:tc>
        <w:tc>
          <w:tcPr>
            <w:tcW w:w="810" w:type="dxa"/>
            <w:shd w:val="clear" w:color="auto" w:fill="auto"/>
            <w:noWrap/>
            <w:vAlign w:val="center"/>
          </w:tcPr>
          <w:p w14:paraId="0F3311AF" w14:textId="77777777" w:rsidR="00EA5BBF" w:rsidRPr="001570EA" w:rsidRDefault="00EA5BBF">
            <w:pPr>
              <w:ind w:left="-114"/>
              <w:jc w:val="center"/>
              <w:rPr>
                <w:rFonts w:cs="Arial"/>
                <w:color w:val="000000"/>
                <w:sz w:val="18"/>
                <w:szCs w:val="18"/>
              </w:rPr>
            </w:pPr>
            <w:r w:rsidRPr="001570EA">
              <w:rPr>
                <w:rFonts w:cs="Arial"/>
                <w:sz w:val="18"/>
                <w:szCs w:val="18"/>
              </w:rPr>
              <w:t>1.141</w:t>
            </w:r>
          </w:p>
        </w:tc>
        <w:tc>
          <w:tcPr>
            <w:tcW w:w="720" w:type="dxa"/>
            <w:shd w:val="clear" w:color="auto" w:fill="auto"/>
            <w:noWrap/>
            <w:vAlign w:val="center"/>
          </w:tcPr>
          <w:p w14:paraId="353A1F25" w14:textId="77777777" w:rsidR="00EA5BBF" w:rsidRPr="001570EA" w:rsidRDefault="00EA5BBF">
            <w:pPr>
              <w:jc w:val="center"/>
              <w:rPr>
                <w:rFonts w:cs="Arial"/>
                <w:color w:val="000000"/>
                <w:sz w:val="18"/>
                <w:szCs w:val="18"/>
              </w:rPr>
            </w:pPr>
            <w:r w:rsidRPr="001570EA">
              <w:rPr>
                <w:rFonts w:cs="Arial"/>
                <w:sz w:val="18"/>
                <w:szCs w:val="18"/>
              </w:rPr>
              <w:t>2.527</w:t>
            </w:r>
          </w:p>
        </w:tc>
        <w:tc>
          <w:tcPr>
            <w:tcW w:w="810" w:type="dxa"/>
            <w:vAlign w:val="center"/>
          </w:tcPr>
          <w:p w14:paraId="11C9AD9A" w14:textId="77777777" w:rsidR="00EA5BBF" w:rsidRPr="001570EA" w:rsidRDefault="00EA5BBF">
            <w:pPr>
              <w:jc w:val="center"/>
              <w:rPr>
                <w:rFonts w:cs="Arial"/>
                <w:color w:val="000000"/>
                <w:sz w:val="18"/>
                <w:szCs w:val="18"/>
              </w:rPr>
            </w:pPr>
            <w:r w:rsidRPr="001570EA">
              <w:rPr>
                <w:rFonts w:cs="Arial"/>
                <w:sz w:val="18"/>
                <w:szCs w:val="18"/>
              </w:rPr>
              <w:t>2.702</w:t>
            </w:r>
          </w:p>
        </w:tc>
        <w:tc>
          <w:tcPr>
            <w:tcW w:w="810" w:type="dxa"/>
            <w:vAlign w:val="center"/>
          </w:tcPr>
          <w:p w14:paraId="0115BAA6" w14:textId="77777777" w:rsidR="00EA5BBF" w:rsidRPr="001570EA" w:rsidRDefault="00EA5BBF">
            <w:pPr>
              <w:jc w:val="center"/>
              <w:rPr>
                <w:rFonts w:cs="Arial"/>
                <w:color w:val="000000"/>
                <w:sz w:val="18"/>
                <w:szCs w:val="18"/>
              </w:rPr>
            </w:pPr>
            <w:r w:rsidRPr="001570EA">
              <w:rPr>
                <w:rFonts w:cs="Arial"/>
                <w:sz w:val="18"/>
                <w:szCs w:val="18"/>
              </w:rPr>
              <w:t>0.875</w:t>
            </w:r>
          </w:p>
        </w:tc>
        <w:tc>
          <w:tcPr>
            <w:tcW w:w="720" w:type="dxa"/>
            <w:vAlign w:val="center"/>
          </w:tcPr>
          <w:p w14:paraId="39A633A5" w14:textId="77777777" w:rsidR="00EA5BBF" w:rsidRPr="001570EA" w:rsidRDefault="00EA5BBF">
            <w:pPr>
              <w:jc w:val="center"/>
              <w:rPr>
                <w:rFonts w:cs="Arial"/>
                <w:color w:val="000000"/>
                <w:sz w:val="18"/>
                <w:szCs w:val="18"/>
              </w:rPr>
            </w:pPr>
            <w:r w:rsidRPr="001570EA">
              <w:rPr>
                <w:rFonts w:cs="Arial"/>
                <w:sz w:val="18"/>
                <w:szCs w:val="18"/>
              </w:rPr>
              <w:t>0.795</w:t>
            </w:r>
          </w:p>
        </w:tc>
      </w:tr>
      <w:tr w:rsidR="00EA5BBF" w:rsidRPr="001570EA" w14:paraId="09FF0831" w14:textId="77777777">
        <w:trPr>
          <w:gridAfter w:val="1"/>
          <w:wAfter w:w="12" w:type="dxa"/>
          <w:trHeight w:val="302"/>
          <w:jc w:val="center"/>
        </w:trPr>
        <w:tc>
          <w:tcPr>
            <w:tcW w:w="440" w:type="dxa"/>
            <w:shd w:val="clear" w:color="auto" w:fill="BFBFBF" w:themeFill="background1" w:themeFillShade="BF"/>
            <w:vAlign w:val="center"/>
          </w:tcPr>
          <w:p w14:paraId="0C477025" w14:textId="77777777" w:rsidR="00EA5BBF" w:rsidRPr="001570EA" w:rsidRDefault="00EA5BBF">
            <w:pPr>
              <w:jc w:val="center"/>
              <w:rPr>
                <w:b/>
                <w:color w:val="000000"/>
                <w:sz w:val="18"/>
                <w:szCs w:val="18"/>
              </w:rPr>
            </w:pPr>
            <w:r w:rsidRPr="001570EA">
              <w:rPr>
                <w:rFonts w:cs="Arial"/>
                <w:b/>
                <w:color w:val="000000"/>
                <w:sz w:val="18"/>
                <w:szCs w:val="18"/>
              </w:rPr>
              <w:t>G</w:t>
            </w:r>
          </w:p>
        </w:tc>
        <w:tc>
          <w:tcPr>
            <w:tcW w:w="1260" w:type="dxa"/>
            <w:shd w:val="clear" w:color="auto" w:fill="auto"/>
            <w:noWrap/>
            <w:vAlign w:val="center"/>
            <w:hideMark/>
          </w:tcPr>
          <w:p w14:paraId="2BA5FA3C" w14:textId="77777777" w:rsidR="00EA5BBF" w:rsidRPr="001570EA" w:rsidRDefault="00EA5BBF">
            <w:pPr>
              <w:rPr>
                <w:rFonts w:eastAsia="Arial" w:cs="Arial"/>
                <w:color w:val="000000"/>
                <w:sz w:val="18"/>
                <w:szCs w:val="18"/>
              </w:rPr>
            </w:pPr>
            <w:r w:rsidRPr="001570EA">
              <w:rPr>
                <w:rFonts w:cs="Arial"/>
                <w:color w:val="000000"/>
                <w:sz w:val="18"/>
                <w:szCs w:val="18"/>
              </w:rPr>
              <w:t>Bradford</w:t>
            </w:r>
          </w:p>
        </w:tc>
        <w:tc>
          <w:tcPr>
            <w:tcW w:w="810" w:type="dxa"/>
            <w:shd w:val="clear" w:color="auto" w:fill="auto"/>
            <w:noWrap/>
            <w:vAlign w:val="center"/>
          </w:tcPr>
          <w:p w14:paraId="197D8B84" w14:textId="77777777" w:rsidR="00EA5BBF" w:rsidRPr="001570EA" w:rsidRDefault="00EA5BBF">
            <w:pPr>
              <w:jc w:val="center"/>
              <w:rPr>
                <w:rFonts w:cs="Arial"/>
                <w:color w:val="000000"/>
                <w:sz w:val="18"/>
                <w:szCs w:val="18"/>
              </w:rPr>
            </w:pPr>
            <w:r w:rsidRPr="001570EA">
              <w:rPr>
                <w:rFonts w:cs="Arial"/>
                <w:sz w:val="18"/>
                <w:szCs w:val="18"/>
              </w:rPr>
              <w:t>0.321</w:t>
            </w:r>
          </w:p>
        </w:tc>
        <w:tc>
          <w:tcPr>
            <w:tcW w:w="900" w:type="dxa"/>
            <w:shd w:val="clear" w:color="auto" w:fill="auto"/>
            <w:noWrap/>
            <w:vAlign w:val="center"/>
          </w:tcPr>
          <w:p w14:paraId="005E17E1" w14:textId="77777777" w:rsidR="00EA5BBF" w:rsidRPr="001570EA" w:rsidRDefault="00EA5BBF">
            <w:pPr>
              <w:jc w:val="center"/>
              <w:rPr>
                <w:rFonts w:cs="Arial"/>
                <w:color w:val="000000"/>
                <w:sz w:val="18"/>
                <w:szCs w:val="18"/>
              </w:rPr>
            </w:pPr>
            <w:r w:rsidRPr="001570EA">
              <w:rPr>
                <w:rFonts w:cs="Arial"/>
                <w:sz w:val="18"/>
                <w:szCs w:val="18"/>
              </w:rPr>
              <w:t>0.380</w:t>
            </w:r>
          </w:p>
        </w:tc>
        <w:tc>
          <w:tcPr>
            <w:tcW w:w="810" w:type="dxa"/>
            <w:shd w:val="clear" w:color="auto" w:fill="auto"/>
            <w:noWrap/>
            <w:vAlign w:val="center"/>
          </w:tcPr>
          <w:p w14:paraId="34C6CCCF" w14:textId="77777777" w:rsidR="00EA5BBF" w:rsidRPr="001570EA" w:rsidRDefault="00EA5BBF">
            <w:pPr>
              <w:ind w:left="-108"/>
              <w:jc w:val="center"/>
              <w:rPr>
                <w:rFonts w:cs="Arial"/>
                <w:color w:val="000000"/>
                <w:sz w:val="18"/>
                <w:szCs w:val="18"/>
              </w:rPr>
            </w:pPr>
            <w:r w:rsidRPr="001570EA">
              <w:rPr>
                <w:rFonts w:cs="Arial"/>
                <w:sz w:val="18"/>
                <w:szCs w:val="18"/>
              </w:rPr>
              <w:t>0.240</w:t>
            </w:r>
          </w:p>
        </w:tc>
        <w:tc>
          <w:tcPr>
            <w:tcW w:w="810" w:type="dxa"/>
            <w:shd w:val="clear" w:color="auto" w:fill="auto"/>
            <w:noWrap/>
            <w:vAlign w:val="center"/>
          </w:tcPr>
          <w:p w14:paraId="49ABF246" w14:textId="77777777" w:rsidR="00EA5BBF" w:rsidRPr="001570EA" w:rsidRDefault="00EA5BBF">
            <w:pPr>
              <w:ind w:left="-114"/>
              <w:jc w:val="center"/>
              <w:rPr>
                <w:rFonts w:cs="Arial"/>
                <w:color w:val="000000"/>
                <w:sz w:val="18"/>
                <w:szCs w:val="18"/>
              </w:rPr>
            </w:pPr>
            <w:r w:rsidRPr="001570EA">
              <w:rPr>
                <w:rFonts w:cs="Arial"/>
                <w:sz w:val="18"/>
                <w:szCs w:val="18"/>
              </w:rPr>
              <w:t>0.478</w:t>
            </w:r>
          </w:p>
        </w:tc>
        <w:tc>
          <w:tcPr>
            <w:tcW w:w="810" w:type="dxa"/>
            <w:shd w:val="clear" w:color="auto" w:fill="auto"/>
            <w:noWrap/>
            <w:vAlign w:val="center"/>
          </w:tcPr>
          <w:p w14:paraId="647A3DD2" w14:textId="77777777" w:rsidR="00EA5BBF" w:rsidRPr="001570EA" w:rsidRDefault="00EA5BBF">
            <w:pPr>
              <w:ind w:left="-114"/>
              <w:jc w:val="center"/>
              <w:rPr>
                <w:rFonts w:cs="Arial"/>
                <w:color w:val="000000"/>
                <w:sz w:val="18"/>
                <w:szCs w:val="18"/>
              </w:rPr>
            </w:pPr>
            <w:r w:rsidRPr="001570EA">
              <w:rPr>
                <w:rFonts w:cs="Arial"/>
                <w:sz w:val="18"/>
                <w:szCs w:val="18"/>
              </w:rPr>
              <w:t>1.241</w:t>
            </w:r>
          </w:p>
        </w:tc>
        <w:tc>
          <w:tcPr>
            <w:tcW w:w="720" w:type="dxa"/>
            <w:shd w:val="clear" w:color="auto" w:fill="auto"/>
            <w:noWrap/>
            <w:vAlign w:val="center"/>
          </w:tcPr>
          <w:p w14:paraId="40A28BB0" w14:textId="77777777" w:rsidR="00EA5BBF" w:rsidRPr="001570EA" w:rsidRDefault="00EA5BBF">
            <w:pPr>
              <w:jc w:val="center"/>
              <w:rPr>
                <w:rFonts w:cs="Arial"/>
                <w:color w:val="000000"/>
                <w:sz w:val="18"/>
                <w:szCs w:val="18"/>
              </w:rPr>
            </w:pPr>
            <w:r w:rsidRPr="001570EA">
              <w:rPr>
                <w:rFonts w:cs="Arial"/>
                <w:sz w:val="18"/>
                <w:szCs w:val="18"/>
              </w:rPr>
              <w:t>3.137</w:t>
            </w:r>
          </w:p>
        </w:tc>
        <w:tc>
          <w:tcPr>
            <w:tcW w:w="810" w:type="dxa"/>
            <w:vAlign w:val="center"/>
          </w:tcPr>
          <w:p w14:paraId="36D5B614" w14:textId="77777777" w:rsidR="00EA5BBF" w:rsidRPr="001570EA" w:rsidRDefault="00EA5BBF">
            <w:pPr>
              <w:jc w:val="center"/>
              <w:rPr>
                <w:rFonts w:cs="Arial"/>
                <w:color w:val="000000"/>
                <w:sz w:val="18"/>
                <w:szCs w:val="18"/>
              </w:rPr>
            </w:pPr>
            <w:r w:rsidRPr="001570EA">
              <w:rPr>
                <w:rFonts w:cs="Arial"/>
                <w:sz w:val="18"/>
                <w:szCs w:val="18"/>
              </w:rPr>
              <w:t>3.233</w:t>
            </w:r>
          </w:p>
        </w:tc>
        <w:tc>
          <w:tcPr>
            <w:tcW w:w="810" w:type="dxa"/>
            <w:vAlign w:val="center"/>
          </w:tcPr>
          <w:p w14:paraId="3FB7009F" w14:textId="77777777" w:rsidR="00EA5BBF" w:rsidRPr="001570EA" w:rsidRDefault="00EA5BBF">
            <w:pPr>
              <w:jc w:val="center"/>
              <w:rPr>
                <w:rFonts w:cs="Arial"/>
                <w:color w:val="000000"/>
                <w:sz w:val="18"/>
                <w:szCs w:val="18"/>
              </w:rPr>
            </w:pPr>
            <w:r w:rsidRPr="001570EA">
              <w:rPr>
                <w:rFonts w:cs="Arial"/>
                <w:sz w:val="18"/>
                <w:szCs w:val="18"/>
              </w:rPr>
              <w:t>1.166</w:t>
            </w:r>
          </w:p>
        </w:tc>
        <w:tc>
          <w:tcPr>
            <w:tcW w:w="720" w:type="dxa"/>
            <w:vAlign w:val="center"/>
          </w:tcPr>
          <w:p w14:paraId="6A9FA80E" w14:textId="77777777" w:rsidR="00EA5BBF" w:rsidRPr="001570EA" w:rsidRDefault="00EA5BBF">
            <w:pPr>
              <w:jc w:val="center"/>
              <w:rPr>
                <w:rFonts w:cs="Arial"/>
                <w:color w:val="000000"/>
                <w:sz w:val="18"/>
                <w:szCs w:val="18"/>
              </w:rPr>
            </w:pPr>
            <w:r w:rsidRPr="001570EA">
              <w:rPr>
                <w:rFonts w:cs="Arial"/>
                <w:sz w:val="18"/>
                <w:szCs w:val="18"/>
              </w:rPr>
              <w:t>0.777</w:t>
            </w:r>
          </w:p>
        </w:tc>
      </w:tr>
      <w:tr w:rsidR="00EA5BBF" w:rsidRPr="001570EA" w14:paraId="5A72E3BC" w14:textId="77777777">
        <w:trPr>
          <w:gridAfter w:val="1"/>
          <w:wAfter w:w="12" w:type="dxa"/>
          <w:trHeight w:val="302"/>
          <w:jc w:val="center"/>
        </w:trPr>
        <w:tc>
          <w:tcPr>
            <w:tcW w:w="440" w:type="dxa"/>
            <w:shd w:val="clear" w:color="auto" w:fill="BFBFBF" w:themeFill="background1" w:themeFillShade="BF"/>
            <w:vAlign w:val="center"/>
          </w:tcPr>
          <w:p w14:paraId="17E9F0E2" w14:textId="77777777" w:rsidR="00EA5BBF" w:rsidRPr="001570EA" w:rsidRDefault="00EA5BBF">
            <w:pPr>
              <w:jc w:val="center"/>
              <w:rPr>
                <w:b/>
                <w:color w:val="000000"/>
                <w:sz w:val="18"/>
                <w:szCs w:val="18"/>
              </w:rPr>
            </w:pPr>
            <w:r w:rsidRPr="001570EA">
              <w:rPr>
                <w:rFonts w:cs="Arial"/>
                <w:b/>
                <w:color w:val="000000"/>
                <w:sz w:val="18"/>
                <w:szCs w:val="18"/>
              </w:rPr>
              <w:t>I</w:t>
            </w:r>
          </w:p>
        </w:tc>
        <w:tc>
          <w:tcPr>
            <w:tcW w:w="1260" w:type="dxa"/>
            <w:shd w:val="clear" w:color="auto" w:fill="auto"/>
            <w:noWrap/>
            <w:vAlign w:val="center"/>
            <w:hideMark/>
          </w:tcPr>
          <w:p w14:paraId="04CAC09B" w14:textId="77777777" w:rsidR="00EA5BBF" w:rsidRPr="001570EA" w:rsidRDefault="00EA5BBF">
            <w:pPr>
              <w:rPr>
                <w:rFonts w:eastAsia="Arial" w:cs="Arial"/>
                <w:color w:val="000000"/>
                <w:sz w:val="18"/>
                <w:szCs w:val="18"/>
              </w:rPr>
            </w:pPr>
            <w:r w:rsidRPr="001570EA">
              <w:rPr>
                <w:rFonts w:cs="Arial"/>
                <w:color w:val="000000"/>
                <w:sz w:val="18"/>
                <w:szCs w:val="18"/>
              </w:rPr>
              <w:t>Erie</w:t>
            </w:r>
          </w:p>
        </w:tc>
        <w:tc>
          <w:tcPr>
            <w:tcW w:w="810" w:type="dxa"/>
            <w:shd w:val="clear" w:color="auto" w:fill="auto"/>
            <w:noWrap/>
            <w:vAlign w:val="center"/>
          </w:tcPr>
          <w:p w14:paraId="714BBE1E" w14:textId="77777777" w:rsidR="00EA5BBF" w:rsidRPr="001570EA" w:rsidRDefault="00EA5BBF">
            <w:pPr>
              <w:jc w:val="center"/>
              <w:rPr>
                <w:rFonts w:cs="Arial"/>
                <w:color w:val="000000"/>
                <w:sz w:val="18"/>
                <w:szCs w:val="18"/>
              </w:rPr>
            </w:pPr>
            <w:r w:rsidRPr="001570EA">
              <w:rPr>
                <w:rFonts w:cs="Arial"/>
                <w:sz w:val="18"/>
                <w:szCs w:val="18"/>
              </w:rPr>
              <w:t>0.001</w:t>
            </w:r>
          </w:p>
        </w:tc>
        <w:tc>
          <w:tcPr>
            <w:tcW w:w="900" w:type="dxa"/>
            <w:shd w:val="clear" w:color="auto" w:fill="auto"/>
            <w:noWrap/>
            <w:vAlign w:val="center"/>
          </w:tcPr>
          <w:p w14:paraId="01C96D81" w14:textId="77777777" w:rsidR="00EA5BBF" w:rsidRPr="001570EA" w:rsidRDefault="00EA5BBF">
            <w:pPr>
              <w:jc w:val="center"/>
              <w:rPr>
                <w:rFonts w:cs="Arial"/>
                <w:color w:val="000000"/>
                <w:sz w:val="18"/>
                <w:szCs w:val="18"/>
              </w:rPr>
            </w:pPr>
            <w:r w:rsidRPr="001570EA">
              <w:rPr>
                <w:rFonts w:cs="Arial"/>
                <w:sz w:val="18"/>
                <w:szCs w:val="18"/>
              </w:rPr>
              <w:t>0.004</w:t>
            </w:r>
          </w:p>
        </w:tc>
        <w:tc>
          <w:tcPr>
            <w:tcW w:w="810" w:type="dxa"/>
            <w:shd w:val="clear" w:color="auto" w:fill="auto"/>
            <w:noWrap/>
            <w:vAlign w:val="center"/>
          </w:tcPr>
          <w:p w14:paraId="277A90DB" w14:textId="77777777" w:rsidR="00EA5BBF" w:rsidRPr="001570EA" w:rsidRDefault="00EA5BBF">
            <w:pPr>
              <w:ind w:left="-108"/>
              <w:jc w:val="center"/>
              <w:rPr>
                <w:rFonts w:cs="Arial"/>
                <w:color w:val="000000"/>
                <w:sz w:val="18"/>
                <w:szCs w:val="18"/>
              </w:rPr>
            </w:pPr>
            <w:r w:rsidRPr="001570EA">
              <w:rPr>
                <w:rFonts w:cs="Arial"/>
                <w:sz w:val="18"/>
                <w:szCs w:val="18"/>
              </w:rPr>
              <w:t>-0.017</w:t>
            </w:r>
          </w:p>
        </w:tc>
        <w:tc>
          <w:tcPr>
            <w:tcW w:w="810" w:type="dxa"/>
            <w:shd w:val="clear" w:color="auto" w:fill="auto"/>
            <w:noWrap/>
            <w:vAlign w:val="center"/>
          </w:tcPr>
          <w:p w14:paraId="2413F4BC" w14:textId="77777777" w:rsidR="00EA5BBF" w:rsidRPr="001570EA" w:rsidRDefault="00EA5BBF">
            <w:pPr>
              <w:ind w:left="-114"/>
              <w:jc w:val="center"/>
              <w:rPr>
                <w:rFonts w:cs="Arial"/>
                <w:color w:val="000000"/>
                <w:sz w:val="18"/>
                <w:szCs w:val="18"/>
              </w:rPr>
            </w:pPr>
            <w:r w:rsidRPr="001570EA">
              <w:rPr>
                <w:rFonts w:cs="Arial"/>
                <w:sz w:val="18"/>
                <w:szCs w:val="18"/>
              </w:rPr>
              <w:t>-0.021</w:t>
            </w:r>
          </w:p>
        </w:tc>
        <w:tc>
          <w:tcPr>
            <w:tcW w:w="810" w:type="dxa"/>
            <w:shd w:val="clear" w:color="auto" w:fill="auto"/>
            <w:noWrap/>
            <w:vAlign w:val="center"/>
          </w:tcPr>
          <w:p w14:paraId="2CA08C3E" w14:textId="77777777" w:rsidR="00EA5BBF" w:rsidRPr="001570EA" w:rsidRDefault="00EA5BBF">
            <w:pPr>
              <w:ind w:left="-114"/>
              <w:jc w:val="center"/>
              <w:rPr>
                <w:rFonts w:cs="Arial"/>
                <w:color w:val="000000"/>
                <w:sz w:val="18"/>
                <w:szCs w:val="18"/>
              </w:rPr>
            </w:pPr>
            <w:r w:rsidRPr="001570EA">
              <w:rPr>
                <w:rFonts w:cs="Arial"/>
                <w:sz w:val="18"/>
                <w:szCs w:val="18"/>
              </w:rPr>
              <w:t>0.977</w:t>
            </w:r>
          </w:p>
        </w:tc>
        <w:tc>
          <w:tcPr>
            <w:tcW w:w="720" w:type="dxa"/>
            <w:shd w:val="clear" w:color="auto" w:fill="auto"/>
            <w:noWrap/>
            <w:vAlign w:val="center"/>
          </w:tcPr>
          <w:p w14:paraId="2630E5FD" w14:textId="77777777" w:rsidR="00EA5BBF" w:rsidRPr="001570EA" w:rsidRDefault="00EA5BBF">
            <w:pPr>
              <w:jc w:val="center"/>
              <w:rPr>
                <w:rFonts w:cs="Arial"/>
                <w:color w:val="000000"/>
                <w:sz w:val="18"/>
                <w:szCs w:val="18"/>
              </w:rPr>
            </w:pPr>
            <w:r w:rsidRPr="001570EA">
              <w:rPr>
                <w:rFonts w:cs="Arial"/>
                <w:sz w:val="18"/>
                <w:szCs w:val="18"/>
              </w:rPr>
              <w:t>2.431</w:t>
            </w:r>
          </w:p>
        </w:tc>
        <w:tc>
          <w:tcPr>
            <w:tcW w:w="810" w:type="dxa"/>
            <w:vAlign w:val="center"/>
          </w:tcPr>
          <w:p w14:paraId="3CF3EEFB" w14:textId="77777777" w:rsidR="00EA5BBF" w:rsidRPr="001570EA" w:rsidRDefault="00EA5BBF">
            <w:pPr>
              <w:jc w:val="center"/>
              <w:rPr>
                <w:rFonts w:cs="Arial"/>
                <w:color w:val="000000"/>
                <w:sz w:val="18"/>
                <w:szCs w:val="18"/>
              </w:rPr>
            </w:pPr>
            <w:r w:rsidRPr="001570EA">
              <w:rPr>
                <w:rFonts w:cs="Arial"/>
                <w:sz w:val="18"/>
                <w:szCs w:val="18"/>
              </w:rPr>
              <w:t>2.518</w:t>
            </w:r>
          </w:p>
        </w:tc>
        <w:tc>
          <w:tcPr>
            <w:tcW w:w="810" w:type="dxa"/>
            <w:vAlign w:val="center"/>
          </w:tcPr>
          <w:p w14:paraId="7523E561" w14:textId="77777777" w:rsidR="00EA5BBF" w:rsidRPr="001570EA" w:rsidRDefault="00EA5BBF">
            <w:pPr>
              <w:jc w:val="center"/>
              <w:rPr>
                <w:rFonts w:cs="Arial"/>
                <w:color w:val="000000"/>
                <w:sz w:val="18"/>
                <w:szCs w:val="18"/>
              </w:rPr>
            </w:pPr>
            <w:r w:rsidRPr="001570EA">
              <w:rPr>
                <w:rFonts w:cs="Arial"/>
                <w:sz w:val="18"/>
                <w:szCs w:val="18"/>
              </w:rPr>
              <w:t>0.749</w:t>
            </w:r>
          </w:p>
        </w:tc>
        <w:tc>
          <w:tcPr>
            <w:tcW w:w="720" w:type="dxa"/>
            <w:vAlign w:val="center"/>
          </w:tcPr>
          <w:p w14:paraId="7D239E0A" w14:textId="77777777" w:rsidR="00EA5BBF" w:rsidRPr="001570EA" w:rsidRDefault="00EA5BBF">
            <w:pPr>
              <w:jc w:val="center"/>
              <w:rPr>
                <w:rFonts w:cs="Arial"/>
                <w:color w:val="000000"/>
                <w:sz w:val="18"/>
                <w:szCs w:val="18"/>
              </w:rPr>
            </w:pPr>
            <w:r w:rsidRPr="001570EA">
              <w:rPr>
                <w:rFonts w:cs="Arial"/>
                <w:sz w:val="18"/>
                <w:szCs w:val="18"/>
              </w:rPr>
              <w:t>0.712</w:t>
            </w:r>
          </w:p>
        </w:tc>
      </w:tr>
      <w:tr w:rsidR="00EA5BBF" w:rsidRPr="001570EA" w14:paraId="7BC1AC9F" w14:textId="77777777">
        <w:trPr>
          <w:gridAfter w:val="1"/>
          <w:wAfter w:w="12" w:type="dxa"/>
          <w:trHeight w:val="302"/>
          <w:jc w:val="center"/>
        </w:trPr>
        <w:tc>
          <w:tcPr>
            <w:tcW w:w="440" w:type="dxa"/>
            <w:shd w:val="clear" w:color="auto" w:fill="BFBFBF" w:themeFill="background1" w:themeFillShade="BF"/>
            <w:vAlign w:val="center"/>
          </w:tcPr>
          <w:p w14:paraId="0497981D" w14:textId="77777777" w:rsidR="00EA5BBF" w:rsidRPr="001570EA" w:rsidRDefault="00EA5BBF">
            <w:pPr>
              <w:jc w:val="center"/>
              <w:rPr>
                <w:b/>
                <w:color w:val="000000"/>
                <w:sz w:val="18"/>
                <w:szCs w:val="18"/>
              </w:rPr>
            </w:pPr>
            <w:r w:rsidRPr="001570EA">
              <w:rPr>
                <w:rFonts w:cs="Arial"/>
                <w:b/>
                <w:color w:val="000000"/>
                <w:sz w:val="18"/>
                <w:szCs w:val="18"/>
              </w:rPr>
              <w:t>E</w:t>
            </w:r>
          </w:p>
        </w:tc>
        <w:tc>
          <w:tcPr>
            <w:tcW w:w="1260" w:type="dxa"/>
            <w:shd w:val="clear" w:color="auto" w:fill="auto"/>
            <w:noWrap/>
            <w:vAlign w:val="center"/>
            <w:hideMark/>
          </w:tcPr>
          <w:p w14:paraId="46B34AD4" w14:textId="77777777" w:rsidR="00EA5BBF" w:rsidRPr="001570EA" w:rsidRDefault="00EA5BBF">
            <w:pPr>
              <w:rPr>
                <w:rFonts w:eastAsia="Arial" w:cs="Arial"/>
                <w:color w:val="000000"/>
                <w:sz w:val="18"/>
                <w:szCs w:val="18"/>
              </w:rPr>
            </w:pPr>
            <w:r w:rsidRPr="001570EA">
              <w:rPr>
                <w:rFonts w:cs="Arial"/>
                <w:color w:val="000000"/>
                <w:sz w:val="18"/>
                <w:szCs w:val="18"/>
              </w:rPr>
              <w:t>Harrisburg</w:t>
            </w:r>
          </w:p>
        </w:tc>
        <w:tc>
          <w:tcPr>
            <w:tcW w:w="810" w:type="dxa"/>
            <w:shd w:val="clear" w:color="auto" w:fill="auto"/>
            <w:noWrap/>
            <w:vAlign w:val="center"/>
          </w:tcPr>
          <w:p w14:paraId="674A8CFE" w14:textId="77777777" w:rsidR="00EA5BBF" w:rsidRPr="001570EA" w:rsidRDefault="00EA5BBF">
            <w:pPr>
              <w:jc w:val="center"/>
              <w:rPr>
                <w:rFonts w:cs="Arial"/>
                <w:color w:val="000000"/>
                <w:sz w:val="18"/>
                <w:szCs w:val="18"/>
              </w:rPr>
            </w:pPr>
            <w:r w:rsidRPr="001570EA">
              <w:rPr>
                <w:rFonts w:cs="Arial"/>
                <w:sz w:val="18"/>
                <w:szCs w:val="18"/>
              </w:rPr>
              <w:t>0.033</w:t>
            </w:r>
          </w:p>
        </w:tc>
        <w:tc>
          <w:tcPr>
            <w:tcW w:w="900" w:type="dxa"/>
            <w:shd w:val="clear" w:color="auto" w:fill="auto"/>
            <w:noWrap/>
            <w:vAlign w:val="center"/>
          </w:tcPr>
          <w:p w14:paraId="320FCE48" w14:textId="77777777" w:rsidR="00EA5BBF" w:rsidRPr="001570EA" w:rsidRDefault="00EA5BBF">
            <w:pPr>
              <w:jc w:val="center"/>
              <w:rPr>
                <w:rFonts w:cs="Arial"/>
                <w:color w:val="000000"/>
                <w:sz w:val="18"/>
                <w:szCs w:val="18"/>
              </w:rPr>
            </w:pPr>
            <w:r w:rsidRPr="001570EA">
              <w:rPr>
                <w:rFonts w:cs="Arial"/>
                <w:sz w:val="18"/>
                <w:szCs w:val="18"/>
              </w:rPr>
              <w:t>0.228</w:t>
            </w:r>
          </w:p>
        </w:tc>
        <w:tc>
          <w:tcPr>
            <w:tcW w:w="810" w:type="dxa"/>
            <w:shd w:val="clear" w:color="auto" w:fill="auto"/>
            <w:noWrap/>
            <w:vAlign w:val="center"/>
          </w:tcPr>
          <w:p w14:paraId="23696A1D" w14:textId="77777777" w:rsidR="00EA5BBF" w:rsidRPr="001570EA" w:rsidRDefault="00EA5BBF">
            <w:pPr>
              <w:ind w:left="-108"/>
              <w:jc w:val="center"/>
              <w:rPr>
                <w:rFonts w:cs="Arial"/>
                <w:color w:val="000000"/>
                <w:sz w:val="18"/>
                <w:szCs w:val="18"/>
              </w:rPr>
            </w:pPr>
            <w:r w:rsidRPr="001570EA">
              <w:rPr>
                <w:rFonts w:cs="Arial"/>
                <w:sz w:val="18"/>
                <w:szCs w:val="18"/>
              </w:rPr>
              <w:t>0.002</w:t>
            </w:r>
          </w:p>
        </w:tc>
        <w:tc>
          <w:tcPr>
            <w:tcW w:w="810" w:type="dxa"/>
            <w:shd w:val="clear" w:color="auto" w:fill="auto"/>
            <w:noWrap/>
            <w:vAlign w:val="center"/>
          </w:tcPr>
          <w:p w14:paraId="1E1898BA" w14:textId="77777777" w:rsidR="00EA5BBF" w:rsidRPr="001570EA" w:rsidRDefault="00EA5BBF">
            <w:pPr>
              <w:ind w:left="-114"/>
              <w:jc w:val="center"/>
              <w:rPr>
                <w:rFonts w:cs="Arial"/>
                <w:color w:val="000000"/>
                <w:sz w:val="18"/>
                <w:szCs w:val="18"/>
              </w:rPr>
            </w:pPr>
            <w:r w:rsidRPr="001570EA">
              <w:rPr>
                <w:rFonts w:cs="Arial"/>
                <w:sz w:val="18"/>
                <w:szCs w:val="18"/>
              </w:rPr>
              <w:t>0.126</w:t>
            </w:r>
          </w:p>
        </w:tc>
        <w:tc>
          <w:tcPr>
            <w:tcW w:w="810" w:type="dxa"/>
            <w:shd w:val="clear" w:color="auto" w:fill="auto"/>
            <w:noWrap/>
            <w:vAlign w:val="center"/>
          </w:tcPr>
          <w:p w14:paraId="30A7E845" w14:textId="77777777" w:rsidR="00EA5BBF" w:rsidRPr="001570EA" w:rsidRDefault="00EA5BBF">
            <w:pPr>
              <w:ind w:left="-114"/>
              <w:jc w:val="center"/>
              <w:rPr>
                <w:rFonts w:cs="Arial"/>
                <w:color w:val="000000"/>
                <w:sz w:val="18"/>
                <w:szCs w:val="18"/>
              </w:rPr>
            </w:pPr>
            <w:r w:rsidRPr="001570EA">
              <w:rPr>
                <w:rFonts w:cs="Arial"/>
                <w:sz w:val="18"/>
                <w:szCs w:val="18"/>
              </w:rPr>
              <w:t>0.827</w:t>
            </w:r>
          </w:p>
        </w:tc>
        <w:tc>
          <w:tcPr>
            <w:tcW w:w="720" w:type="dxa"/>
            <w:shd w:val="clear" w:color="auto" w:fill="auto"/>
            <w:noWrap/>
            <w:vAlign w:val="center"/>
          </w:tcPr>
          <w:p w14:paraId="34866A98" w14:textId="77777777" w:rsidR="00EA5BBF" w:rsidRPr="001570EA" w:rsidRDefault="00EA5BBF">
            <w:pPr>
              <w:jc w:val="center"/>
              <w:rPr>
                <w:rFonts w:cs="Arial"/>
                <w:color w:val="000000"/>
                <w:sz w:val="18"/>
                <w:szCs w:val="18"/>
              </w:rPr>
            </w:pPr>
            <w:r w:rsidRPr="001570EA">
              <w:rPr>
                <w:rFonts w:cs="Arial"/>
                <w:sz w:val="18"/>
                <w:szCs w:val="18"/>
              </w:rPr>
              <w:t>2.010</w:t>
            </w:r>
          </w:p>
        </w:tc>
        <w:tc>
          <w:tcPr>
            <w:tcW w:w="810" w:type="dxa"/>
            <w:vAlign w:val="center"/>
          </w:tcPr>
          <w:p w14:paraId="23B426A8" w14:textId="77777777" w:rsidR="00EA5BBF" w:rsidRPr="001570EA" w:rsidRDefault="00EA5BBF">
            <w:pPr>
              <w:jc w:val="center"/>
              <w:rPr>
                <w:rFonts w:cs="Arial"/>
                <w:color w:val="000000"/>
                <w:sz w:val="18"/>
                <w:szCs w:val="18"/>
              </w:rPr>
            </w:pPr>
            <w:r w:rsidRPr="001570EA">
              <w:rPr>
                <w:rFonts w:cs="Arial"/>
                <w:sz w:val="18"/>
                <w:szCs w:val="18"/>
              </w:rPr>
              <w:t>2.226</w:t>
            </w:r>
          </w:p>
        </w:tc>
        <w:tc>
          <w:tcPr>
            <w:tcW w:w="810" w:type="dxa"/>
            <w:vAlign w:val="center"/>
          </w:tcPr>
          <w:p w14:paraId="513BC1EA" w14:textId="77777777" w:rsidR="00EA5BBF" w:rsidRPr="001570EA" w:rsidRDefault="00EA5BBF">
            <w:pPr>
              <w:jc w:val="center"/>
              <w:rPr>
                <w:rFonts w:cs="Arial"/>
                <w:color w:val="000000"/>
                <w:sz w:val="18"/>
                <w:szCs w:val="18"/>
              </w:rPr>
            </w:pPr>
            <w:r w:rsidRPr="001570EA">
              <w:rPr>
                <w:rFonts w:cs="Arial"/>
                <w:sz w:val="18"/>
                <w:szCs w:val="18"/>
              </w:rPr>
              <w:t>0.713</w:t>
            </w:r>
          </w:p>
        </w:tc>
        <w:tc>
          <w:tcPr>
            <w:tcW w:w="720" w:type="dxa"/>
            <w:vAlign w:val="center"/>
          </w:tcPr>
          <w:p w14:paraId="7C8B0166" w14:textId="77777777" w:rsidR="00EA5BBF" w:rsidRPr="001570EA" w:rsidRDefault="00EA5BBF">
            <w:pPr>
              <w:jc w:val="center"/>
              <w:rPr>
                <w:rFonts w:cs="Arial"/>
                <w:color w:val="000000"/>
                <w:sz w:val="18"/>
                <w:szCs w:val="18"/>
              </w:rPr>
            </w:pPr>
            <w:r w:rsidRPr="001570EA">
              <w:rPr>
                <w:rFonts w:cs="Arial"/>
                <w:sz w:val="18"/>
                <w:szCs w:val="18"/>
              </w:rPr>
              <w:t>0.565</w:t>
            </w:r>
          </w:p>
        </w:tc>
      </w:tr>
      <w:tr w:rsidR="00EA5BBF" w:rsidRPr="001570EA" w14:paraId="6215876F" w14:textId="77777777">
        <w:trPr>
          <w:gridAfter w:val="1"/>
          <w:wAfter w:w="12" w:type="dxa"/>
          <w:trHeight w:val="302"/>
          <w:jc w:val="center"/>
        </w:trPr>
        <w:tc>
          <w:tcPr>
            <w:tcW w:w="440" w:type="dxa"/>
            <w:shd w:val="clear" w:color="auto" w:fill="BFBFBF" w:themeFill="background1" w:themeFillShade="BF"/>
            <w:vAlign w:val="center"/>
          </w:tcPr>
          <w:p w14:paraId="500858A8" w14:textId="77777777" w:rsidR="00EA5BBF" w:rsidRPr="001570EA" w:rsidRDefault="00EA5BBF">
            <w:pPr>
              <w:jc w:val="center"/>
              <w:rPr>
                <w:b/>
                <w:color w:val="000000"/>
                <w:sz w:val="18"/>
                <w:szCs w:val="18"/>
              </w:rPr>
            </w:pPr>
            <w:r w:rsidRPr="001570EA">
              <w:rPr>
                <w:rFonts w:cs="Arial"/>
                <w:b/>
                <w:color w:val="000000"/>
                <w:sz w:val="18"/>
                <w:szCs w:val="18"/>
              </w:rPr>
              <w:t>D</w:t>
            </w:r>
          </w:p>
        </w:tc>
        <w:tc>
          <w:tcPr>
            <w:tcW w:w="1260" w:type="dxa"/>
            <w:shd w:val="clear" w:color="auto" w:fill="auto"/>
            <w:noWrap/>
            <w:vAlign w:val="center"/>
            <w:hideMark/>
          </w:tcPr>
          <w:p w14:paraId="6B3DF979" w14:textId="77777777" w:rsidR="00EA5BBF" w:rsidRPr="001570EA" w:rsidRDefault="00EA5BBF">
            <w:pPr>
              <w:rPr>
                <w:rFonts w:eastAsia="Arial" w:cs="Arial"/>
                <w:color w:val="000000"/>
                <w:sz w:val="18"/>
                <w:szCs w:val="18"/>
              </w:rPr>
            </w:pPr>
            <w:r w:rsidRPr="001570EA">
              <w:rPr>
                <w:rFonts w:cs="Arial"/>
                <w:color w:val="000000"/>
                <w:sz w:val="18"/>
                <w:szCs w:val="18"/>
              </w:rPr>
              <w:t>Philadelphia</w:t>
            </w:r>
          </w:p>
        </w:tc>
        <w:tc>
          <w:tcPr>
            <w:tcW w:w="810" w:type="dxa"/>
            <w:shd w:val="clear" w:color="auto" w:fill="auto"/>
            <w:noWrap/>
            <w:vAlign w:val="center"/>
          </w:tcPr>
          <w:p w14:paraId="43988BFF" w14:textId="77777777" w:rsidR="00EA5BBF" w:rsidRPr="001570EA" w:rsidRDefault="00EA5BBF">
            <w:pPr>
              <w:jc w:val="center"/>
              <w:rPr>
                <w:rFonts w:cs="Arial"/>
                <w:color w:val="000000"/>
                <w:sz w:val="18"/>
                <w:szCs w:val="18"/>
              </w:rPr>
            </w:pPr>
            <w:r w:rsidRPr="001570EA">
              <w:rPr>
                <w:rFonts w:cs="Arial"/>
                <w:sz w:val="18"/>
                <w:szCs w:val="18"/>
              </w:rPr>
              <w:t>0.064</w:t>
            </w:r>
          </w:p>
        </w:tc>
        <w:tc>
          <w:tcPr>
            <w:tcW w:w="900" w:type="dxa"/>
            <w:shd w:val="clear" w:color="auto" w:fill="auto"/>
            <w:noWrap/>
            <w:vAlign w:val="center"/>
          </w:tcPr>
          <w:p w14:paraId="4E3F84FC" w14:textId="77777777" w:rsidR="00EA5BBF" w:rsidRPr="001570EA" w:rsidRDefault="00EA5BBF">
            <w:pPr>
              <w:jc w:val="center"/>
              <w:rPr>
                <w:rFonts w:cs="Arial"/>
                <w:color w:val="000000"/>
                <w:sz w:val="18"/>
                <w:szCs w:val="18"/>
              </w:rPr>
            </w:pPr>
            <w:r w:rsidRPr="001570EA">
              <w:rPr>
                <w:rFonts w:cs="Arial"/>
                <w:sz w:val="18"/>
                <w:szCs w:val="18"/>
              </w:rPr>
              <w:t>0.071</w:t>
            </w:r>
          </w:p>
        </w:tc>
        <w:tc>
          <w:tcPr>
            <w:tcW w:w="810" w:type="dxa"/>
            <w:shd w:val="clear" w:color="auto" w:fill="auto"/>
            <w:noWrap/>
            <w:vAlign w:val="center"/>
          </w:tcPr>
          <w:p w14:paraId="75DD9F18" w14:textId="77777777" w:rsidR="00EA5BBF" w:rsidRPr="001570EA" w:rsidRDefault="00EA5BBF">
            <w:pPr>
              <w:ind w:left="-108"/>
              <w:jc w:val="center"/>
              <w:rPr>
                <w:rFonts w:cs="Arial"/>
                <w:color w:val="000000"/>
                <w:sz w:val="18"/>
                <w:szCs w:val="18"/>
              </w:rPr>
            </w:pPr>
            <w:r w:rsidRPr="001570EA">
              <w:rPr>
                <w:rFonts w:cs="Arial"/>
                <w:sz w:val="18"/>
                <w:szCs w:val="18"/>
              </w:rPr>
              <w:t>0.071</w:t>
            </w:r>
          </w:p>
        </w:tc>
        <w:tc>
          <w:tcPr>
            <w:tcW w:w="810" w:type="dxa"/>
            <w:shd w:val="clear" w:color="auto" w:fill="auto"/>
            <w:noWrap/>
            <w:vAlign w:val="center"/>
          </w:tcPr>
          <w:p w14:paraId="522D5CF8" w14:textId="77777777" w:rsidR="00EA5BBF" w:rsidRPr="001570EA" w:rsidRDefault="00EA5BBF">
            <w:pPr>
              <w:ind w:left="-114"/>
              <w:jc w:val="center"/>
              <w:rPr>
                <w:rFonts w:cs="Arial"/>
                <w:color w:val="000000"/>
                <w:sz w:val="18"/>
                <w:szCs w:val="18"/>
              </w:rPr>
            </w:pPr>
            <w:r w:rsidRPr="001570EA">
              <w:rPr>
                <w:rFonts w:cs="Arial"/>
                <w:sz w:val="18"/>
                <w:szCs w:val="18"/>
              </w:rPr>
              <w:t>0.001</w:t>
            </w:r>
          </w:p>
        </w:tc>
        <w:tc>
          <w:tcPr>
            <w:tcW w:w="810" w:type="dxa"/>
            <w:shd w:val="clear" w:color="auto" w:fill="auto"/>
            <w:noWrap/>
            <w:vAlign w:val="center"/>
          </w:tcPr>
          <w:p w14:paraId="31547CAC" w14:textId="77777777" w:rsidR="00EA5BBF" w:rsidRPr="001570EA" w:rsidRDefault="00EA5BBF">
            <w:pPr>
              <w:ind w:left="-114"/>
              <w:jc w:val="center"/>
              <w:rPr>
                <w:rFonts w:cs="Arial"/>
                <w:color w:val="000000"/>
                <w:sz w:val="18"/>
                <w:szCs w:val="18"/>
              </w:rPr>
            </w:pPr>
            <w:r w:rsidRPr="001570EA">
              <w:rPr>
                <w:rFonts w:cs="Arial"/>
                <w:sz w:val="18"/>
                <w:szCs w:val="18"/>
              </w:rPr>
              <w:t>0.487</w:t>
            </w:r>
          </w:p>
        </w:tc>
        <w:tc>
          <w:tcPr>
            <w:tcW w:w="720" w:type="dxa"/>
            <w:shd w:val="clear" w:color="auto" w:fill="auto"/>
            <w:noWrap/>
            <w:vAlign w:val="center"/>
          </w:tcPr>
          <w:p w14:paraId="113F9F84" w14:textId="77777777" w:rsidR="00EA5BBF" w:rsidRPr="001570EA" w:rsidRDefault="00EA5BBF">
            <w:pPr>
              <w:jc w:val="center"/>
              <w:rPr>
                <w:rFonts w:cs="Arial"/>
                <w:color w:val="000000"/>
                <w:sz w:val="18"/>
                <w:szCs w:val="18"/>
              </w:rPr>
            </w:pPr>
            <w:r w:rsidRPr="001570EA">
              <w:rPr>
                <w:rFonts w:cs="Arial"/>
                <w:sz w:val="18"/>
                <w:szCs w:val="18"/>
              </w:rPr>
              <w:t>1.130</w:t>
            </w:r>
          </w:p>
        </w:tc>
        <w:tc>
          <w:tcPr>
            <w:tcW w:w="810" w:type="dxa"/>
            <w:vAlign w:val="center"/>
          </w:tcPr>
          <w:p w14:paraId="50D733F0" w14:textId="77777777" w:rsidR="00EA5BBF" w:rsidRPr="001570EA" w:rsidRDefault="00EA5BBF">
            <w:pPr>
              <w:jc w:val="center"/>
              <w:rPr>
                <w:rFonts w:cs="Arial"/>
                <w:color w:val="000000"/>
                <w:sz w:val="18"/>
                <w:szCs w:val="18"/>
              </w:rPr>
            </w:pPr>
            <w:r w:rsidRPr="001570EA">
              <w:rPr>
                <w:rFonts w:cs="Arial"/>
                <w:sz w:val="18"/>
                <w:szCs w:val="18"/>
              </w:rPr>
              <w:t>1.305</w:t>
            </w:r>
          </w:p>
        </w:tc>
        <w:tc>
          <w:tcPr>
            <w:tcW w:w="810" w:type="dxa"/>
            <w:vAlign w:val="center"/>
          </w:tcPr>
          <w:p w14:paraId="6AF065BC" w14:textId="77777777" w:rsidR="00EA5BBF" w:rsidRPr="001570EA" w:rsidRDefault="00EA5BBF">
            <w:pPr>
              <w:jc w:val="center"/>
              <w:rPr>
                <w:rFonts w:cs="Arial"/>
                <w:color w:val="000000"/>
                <w:sz w:val="18"/>
                <w:szCs w:val="18"/>
              </w:rPr>
            </w:pPr>
            <w:r w:rsidRPr="001570EA">
              <w:rPr>
                <w:rFonts w:cs="Arial"/>
                <w:sz w:val="18"/>
                <w:szCs w:val="18"/>
              </w:rPr>
              <w:t>0.466</w:t>
            </w:r>
          </w:p>
        </w:tc>
        <w:tc>
          <w:tcPr>
            <w:tcW w:w="720" w:type="dxa"/>
            <w:vAlign w:val="center"/>
          </w:tcPr>
          <w:p w14:paraId="237BDE8D" w14:textId="77777777" w:rsidR="00EA5BBF" w:rsidRPr="001570EA" w:rsidRDefault="00EA5BBF">
            <w:pPr>
              <w:jc w:val="center"/>
              <w:rPr>
                <w:rFonts w:cs="Arial"/>
                <w:color w:val="000000"/>
                <w:sz w:val="18"/>
                <w:szCs w:val="18"/>
              </w:rPr>
            </w:pPr>
            <w:r w:rsidRPr="001570EA">
              <w:rPr>
                <w:rFonts w:cs="Arial"/>
                <w:sz w:val="18"/>
                <w:szCs w:val="18"/>
              </w:rPr>
              <w:t>0.320</w:t>
            </w:r>
          </w:p>
        </w:tc>
      </w:tr>
      <w:tr w:rsidR="00EA5BBF" w:rsidRPr="001570EA" w14:paraId="1FFC6E16" w14:textId="77777777">
        <w:trPr>
          <w:gridAfter w:val="1"/>
          <w:wAfter w:w="12" w:type="dxa"/>
          <w:trHeight w:val="302"/>
          <w:jc w:val="center"/>
        </w:trPr>
        <w:tc>
          <w:tcPr>
            <w:tcW w:w="440" w:type="dxa"/>
            <w:shd w:val="clear" w:color="auto" w:fill="BFBFBF" w:themeFill="background1" w:themeFillShade="BF"/>
            <w:vAlign w:val="center"/>
          </w:tcPr>
          <w:p w14:paraId="6EF9A0B6" w14:textId="77777777" w:rsidR="00EA5BBF" w:rsidRPr="001570EA" w:rsidRDefault="00EA5BBF">
            <w:pPr>
              <w:jc w:val="center"/>
              <w:rPr>
                <w:b/>
                <w:color w:val="000000"/>
                <w:sz w:val="18"/>
                <w:szCs w:val="18"/>
              </w:rPr>
            </w:pPr>
            <w:r w:rsidRPr="001570EA">
              <w:rPr>
                <w:rFonts w:cs="Arial"/>
                <w:b/>
                <w:color w:val="000000"/>
                <w:sz w:val="18"/>
                <w:szCs w:val="18"/>
              </w:rPr>
              <w:t>H</w:t>
            </w:r>
          </w:p>
        </w:tc>
        <w:tc>
          <w:tcPr>
            <w:tcW w:w="1260" w:type="dxa"/>
            <w:shd w:val="clear" w:color="auto" w:fill="auto"/>
            <w:noWrap/>
            <w:vAlign w:val="center"/>
            <w:hideMark/>
          </w:tcPr>
          <w:p w14:paraId="79975BD4" w14:textId="77777777" w:rsidR="00EA5BBF" w:rsidRPr="001570EA" w:rsidRDefault="00EA5BBF">
            <w:pPr>
              <w:rPr>
                <w:rFonts w:eastAsia="Arial" w:cs="Arial"/>
                <w:color w:val="000000"/>
                <w:sz w:val="18"/>
                <w:szCs w:val="18"/>
              </w:rPr>
            </w:pPr>
            <w:r w:rsidRPr="001570EA">
              <w:rPr>
                <w:rFonts w:cs="Arial"/>
                <w:color w:val="000000"/>
                <w:sz w:val="18"/>
                <w:szCs w:val="18"/>
              </w:rPr>
              <w:t>Pittsburgh</w:t>
            </w:r>
          </w:p>
        </w:tc>
        <w:tc>
          <w:tcPr>
            <w:tcW w:w="810" w:type="dxa"/>
            <w:shd w:val="clear" w:color="auto" w:fill="auto"/>
            <w:noWrap/>
            <w:vAlign w:val="center"/>
          </w:tcPr>
          <w:p w14:paraId="3EAABBA4" w14:textId="77777777" w:rsidR="00EA5BBF" w:rsidRPr="001570EA" w:rsidRDefault="00EA5BBF">
            <w:pPr>
              <w:jc w:val="center"/>
              <w:rPr>
                <w:rFonts w:cs="Arial"/>
                <w:color w:val="000000"/>
                <w:sz w:val="18"/>
                <w:szCs w:val="18"/>
              </w:rPr>
            </w:pPr>
            <w:r w:rsidRPr="001570EA">
              <w:rPr>
                <w:rFonts w:cs="Arial"/>
                <w:sz w:val="18"/>
                <w:szCs w:val="18"/>
              </w:rPr>
              <w:t>0.000</w:t>
            </w:r>
          </w:p>
        </w:tc>
        <w:tc>
          <w:tcPr>
            <w:tcW w:w="900" w:type="dxa"/>
            <w:shd w:val="clear" w:color="auto" w:fill="auto"/>
            <w:noWrap/>
            <w:vAlign w:val="center"/>
          </w:tcPr>
          <w:p w14:paraId="36ED6483" w14:textId="77777777" w:rsidR="00EA5BBF" w:rsidRPr="001570EA" w:rsidRDefault="00EA5BBF">
            <w:pPr>
              <w:jc w:val="center"/>
              <w:rPr>
                <w:rFonts w:cs="Arial"/>
                <w:color w:val="000000"/>
                <w:sz w:val="18"/>
                <w:szCs w:val="18"/>
              </w:rPr>
            </w:pPr>
            <w:r w:rsidRPr="001570EA">
              <w:rPr>
                <w:rFonts w:cs="Arial"/>
                <w:sz w:val="18"/>
                <w:szCs w:val="18"/>
              </w:rPr>
              <w:t>0.001</w:t>
            </w:r>
          </w:p>
        </w:tc>
        <w:tc>
          <w:tcPr>
            <w:tcW w:w="810" w:type="dxa"/>
            <w:shd w:val="clear" w:color="auto" w:fill="auto"/>
            <w:noWrap/>
            <w:vAlign w:val="center"/>
          </w:tcPr>
          <w:p w14:paraId="4C35B893" w14:textId="77777777" w:rsidR="00EA5BBF" w:rsidRPr="001570EA" w:rsidRDefault="00EA5BBF">
            <w:pPr>
              <w:ind w:left="-108"/>
              <w:jc w:val="center"/>
              <w:rPr>
                <w:rFonts w:cs="Arial"/>
                <w:color w:val="000000"/>
                <w:sz w:val="18"/>
                <w:szCs w:val="18"/>
              </w:rPr>
            </w:pPr>
            <w:r w:rsidRPr="001570EA">
              <w:rPr>
                <w:rFonts w:cs="Arial"/>
                <w:sz w:val="18"/>
                <w:szCs w:val="18"/>
              </w:rPr>
              <w:t>-0.017</w:t>
            </w:r>
          </w:p>
        </w:tc>
        <w:tc>
          <w:tcPr>
            <w:tcW w:w="810" w:type="dxa"/>
            <w:shd w:val="clear" w:color="auto" w:fill="auto"/>
            <w:noWrap/>
            <w:vAlign w:val="center"/>
          </w:tcPr>
          <w:p w14:paraId="43F6C814" w14:textId="77777777" w:rsidR="00EA5BBF" w:rsidRPr="001570EA" w:rsidRDefault="00EA5BBF">
            <w:pPr>
              <w:ind w:left="-114"/>
              <w:jc w:val="center"/>
              <w:rPr>
                <w:rFonts w:cs="Arial"/>
                <w:color w:val="000000"/>
                <w:sz w:val="18"/>
                <w:szCs w:val="18"/>
              </w:rPr>
            </w:pPr>
            <w:r w:rsidRPr="001570EA">
              <w:rPr>
                <w:rFonts w:cs="Arial"/>
                <w:sz w:val="18"/>
                <w:szCs w:val="18"/>
              </w:rPr>
              <w:t>-0.018</w:t>
            </w:r>
          </w:p>
        </w:tc>
        <w:tc>
          <w:tcPr>
            <w:tcW w:w="810" w:type="dxa"/>
            <w:shd w:val="clear" w:color="auto" w:fill="auto"/>
            <w:noWrap/>
            <w:vAlign w:val="center"/>
          </w:tcPr>
          <w:p w14:paraId="6D667796" w14:textId="77777777" w:rsidR="00EA5BBF" w:rsidRPr="001570EA" w:rsidRDefault="00EA5BBF">
            <w:pPr>
              <w:ind w:left="-114"/>
              <w:jc w:val="center"/>
              <w:rPr>
                <w:rFonts w:cs="Arial"/>
                <w:color w:val="000000"/>
                <w:sz w:val="18"/>
                <w:szCs w:val="18"/>
              </w:rPr>
            </w:pPr>
            <w:r w:rsidRPr="001570EA">
              <w:rPr>
                <w:rFonts w:cs="Arial"/>
                <w:sz w:val="18"/>
                <w:szCs w:val="18"/>
              </w:rPr>
              <w:t>0.917</w:t>
            </w:r>
          </w:p>
        </w:tc>
        <w:tc>
          <w:tcPr>
            <w:tcW w:w="720" w:type="dxa"/>
            <w:shd w:val="clear" w:color="auto" w:fill="auto"/>
            <w:noWrap/>
            <w:vAlign w:val="center"/>
          </w:tcPr>
          <w:p w14:paraId="0F06AAE8" w14:textId="77777777" w:rsidR="00EA5BBF" w:rsidRPr="001570EA" w:rsidRDefault="00EA5BBF">
            <w:pPr>
              <w:jc w:val="center"/>
              <w:rPr>
                <w:rFonts w:cs="Arial"/>
                <w:color w:val="000000"/>
                <w:sz w:val="18"/>
                <w:szCs w:val="18"/>
              </w:rPr>
            </w:pPr>
            <w:r w:rsidRPr="001570EA">
              <w:rPr>
                <w:rFonts w:cs="Arial"/>
                <w:sz w:val="18"/>
                <w:szCs w:val="18"/>
              </w:rPr>
              <w:t>2.271</w:t>
            </w:r>
          </w:p>
        </w:tc>
        <w:tc>
          <w:tcPr>
            <w:tcW w:w="810" w:type="dxa"/>
            <w:vAlign w:val="center"/>
          </w:tcPr>
          <w:p w14:paraId="0DD7520A" w14:textId="77777777" w:rsidR="00EA5BBF" w:rsidRPr="001570EA" w:rsidRDefault="00EA5BBF">
            <w:pPr>
              <w:jc w:val="center"/>
              <w:rPr>
                <w:rFonts w:cs="Arial"/>
                <w:color w:val="000000"/>
                <w:sz w:val="18"/>
                <w:szCs w:val="18"/>
              </w:rPr>
            </w:pPr>
            <w:r w:rsidRPr="001570EA">
              <w:rPr>
                <w:rFonts w:cs="Arial"/>
                <w:sz w:val="18"/>
                <w:szCs w:val="18"/>
              </w:rPr>
              <w:t>2.340</w:t>
            </w:r>
          </w:p>
        </w:tc>
        <w:tc>
          <w:tcPr>
            <w:tcW w:w="810" w:type="dxa"/>
            <w:vAlign w:val="center"/>
          </w:tcPr>
          <w:p w14:paraId="1872EF40" w14:textId="77777777" w:rsidR="00EA5BBF" w:rsidRPr="001570EA" w:rsidRDefault="00EA5BBF">
            <w:pPr>
              <w:jc w:val="center"/>
              <w:rPr>
                <w:rFonts w:cs="Arial"/>
                <w:color w:val="000000"/>
                <w:sz w:val="18"/>
                <w:szCs w:val="18"/>
              </w:rPr>
            </w:pPr>
            <w:r w:rsidRPr="001570EA">
              <w:rPr>
                <w:rFonts w:cs="Arial"/>
                <w:sz w:val="18"/>
                <w:szCs w:val="18"/>
              </w:rPr>
              <w:t>0.711</w:t>
            </w:r>
          </w:p>
        </w:tc>
        <w:tc>
          <w:tcPr>
            <w:tcW w:w="720" w:type="dxa"/>
            <w:vAlign w:val="center"/>
          </w:tcPr>
          <w:p w14:paraId="0C5124C6" w14:textId="77777777" w:rsidR="00EA5BBF" w:rsidRPr="001570EA" w:rsidRDefault="00EA5BBF">
            <w:pPr>
              <w:jc w:val="center"/>
              <w:rPr>
                <w:rFonts w:cs="Arial"/>
                <w:color w:val="000000"/>
                <w:sz w:val="18"/>
                <w:szCs w:val="18"/>
              </w:rPr>
            </w:pPr>
            <w:r w:rsidRPr="001570EA">
              <w:rPr>
                <w:rFonts w:cs="Arial"/>
                <w:sz w:val="18"/>
                <w:szCs w:val="18"/>
              </w:rPr>
              <w:t>0.664</w:t>
            </w:r>
          </w:p>
        </w:tc>
      </w:tr>
      <w:tr w:rsidR="00EA5BBF" w:rsidRPr="001570EA" w14:paraId="705F06AA" w14:textId="77777777">
        <w:trPr>
          <w:gridAfter w:val="1"/>
          <w:wAfter w:w="12" w:type="dxa"/>
          <w:trHeight w:val="302"/>
          <w:jc w:val="center"/>
        </w:trPr>
        <w:tc>
          <w:tcPr>
            <w:tcW w:w="440" w:type="dxa"/>
            <w:shd w:val="clear" w:color="auto" w:fill="BFBFBF" w:themeFill="background1" w:themeFillShade="BF"/>
            <w:vAlign w:val="center"/>
          </w:tcPr>
          <w:p w14:paraId="321817A3" w14:textId="77777777" w:rsidR="00EA5BBF" w:rsidRPr="001570EA" w:rsidRDefault="00EA5BBF">
            <w:pPr>
              <w:jc w:val="center"/>
              <w:rPr>
                <w:b/>
                <w:color w:val="000000"/>
                <w:sz w:val="18"/>
                <w:szCs w:val="18"/>
              </w:rPr>
            </w:pPr>
            <w:r w:rsidRPr="001570EA">
              <w:rPr>
                <w:rFonts w:cs="Arial"/>
                <w:b/>
                <w:color w:val="000000"/>
                <w:sz w:val="18"/>
                <w:szCs w:val="18"/>
              </w:rPr>
              <w:t>B</w:t>
            </w:r>
          </w:p>
        </w:tc>
        <w:tc>
          <w:tcPr>
            <w:tcW w:w="1260" w:type="dxa"/>
            <w:shd w:val="clear" w:color="auto" w:fill="auto"/>
            <w:noWrap/>
            <w:vAlign w:val="center"/>
          </w:tcPr>
          <w:p w14:paraId="614F934B" w14:textId="77777777" w:rsidR="00EA5BBF" w:rsidRPr="001570EA" w:rsidRDefault="00EA5BBF">
            <w:pPr>
              <w:rPr>
                <w:color w:val="000000"/>
                <w:sz w:val="18"/>
                <w:szCs w:val="18"/>
              </w:rPr>
            </w:pPr>
            <w:r w:rsidRPr="001570EA">
              <w:rPr>
                <w:rFonts w:cs="Arial"/>
                <w:color w:val="000000"/>
                <w:sz w:val="18"/>
                <w:szCs w:val="18"/>
              </w:rPr>
              <w:t>Scranton</w:t>
            </w:r>
          </w:p>
        </w:tc>
        <w:tc>
          <w:tcPr>
            <w:tcW w:w="810" w:type="dxa"/>
            <w:shd w:val="clear" w:color="auto" w:fill="auto"/>
            <w:noWrap/>
            <w:vAlign w:val="center"/>
          </w:tcPr>
          <w:p w14:paraId="44D27E3C" w14:textId="77777777" w:rsidR="00EA5BBF" w:rsidRPr="001570EA" w:rsidRDefault="00EA5BBF">
            <w:pPr>
              <w:jc w:val="center"/>
              <w:rPr>
                <w:rFonts w:cs="Arial"/>
                <w:color w:val="000000"/>
                <w:sz w:val="18"/>
                <w:szCs w:val="18"/>
              </w:rPr>
            </w:pPr>
            <w:r w:rsidRPr="001570EA">
              <w:rPr>
                <w:rFonts w:cs="Arial"/>
                <w:sz w:val="18"/>
                <w:szCs w:val="18"/>
              </w:rPr>
              <w:t>0.004</w:t>
            </w:r>
          </w:p>
        </w:tc>
        <w:tc>
          <w:tcPr>
            <w:tcW w:w="900" w:type="dxa"/>
            <w:shd w:val="clear" w:color="auto" w:fill="auto"/>
            <w:noWrap/>
            <w:vAlign w:val="center"/>
          </w:tcPr>
          <w:p w14:paraId="5A41A367" w14:textId="77777777" w:rsidR="00EA5BBF" w:rsidRPr="001570EA" w:rsidRDefault="00EA5BBF">
            <w:pPr>
              <w:jc w:val="center"/>
              <w:rPr>
                <w:rFonts w:cs="Arial"/>
                <w:color w:val="000000"/>
                <w:sz w:val="18"/>
                <w:szCs w:val="18"/>
              </w:rPr>
            </w:pPr>
            <w:r w:rsidRPr="001570EA">
              <w:rPr>
                <w:rFonts w:cs="Arial"/>
                <w:sz w:val="18"/>
                <w:szCs w:val="18"/>
              </w:rPr>
              <w:t>0.005</w:t>
            </w:r>
          </w:p>
        </w:tc>
        <w:tc>
          <w:tcPr>
            <w:tcW w:w="810" w:type="dxa"/>
            <w:shd w:val="clear" w:color="auto" w:fill="auto"/>
            <w:noWrap/>
            <w:vAlign w:val="center"/>
          </w:tcPr>
          <w:p w14:paraId="23269DEE" w14:textId="77777777" w:rsidR="00EA5BBF" w:rsidRPr="001570EA" w:rsidRDefault="00EA5BBF">
            <w:pPr>
              <w:ind w:left="-108"/>
              <w:jc w:val="center"/>
              <w:rPr>
                <w:rFonts w:cs="Arial"/>
                <w:color w:val="000000"/>
                <w:sz w:val="18"/>
                <w:szCs w:val="18"/>
              </w:rPr>
            </w:pPr>
            <w:r w:rsidRPr="001570EA">
              <w:rPr>
                <w:rFonts w:cs="Arial"/>
                <w:sz w:val="18"/>
                <w:szCs w:val="18"/>
              </w:rPr>
              <w:t>-0.016</w:t>
            </w:r>
          </w:p>
        </w:tc>
        <w:tc>
          <w:tcPr>
            <w:tcW w:w="810" w:type="dxa"/>
            <w:shd w:val="clear" w:color="auto" w:fill="auto"/>
            <w:noWrap/>
            <w:vAlign w:val="center"/>
          </w:tcPr>
          <w:p w14:paraId="1B858270" w14:textId="77777777" w:rsidR="00EA5BBF" w:rsidRPr="001570EA" w:rsidRDefault="00EA5BBF">
            <w:pPr>
              <w:ind w:left="-114"/>
              <w:jc w:val="center"/>
              <w:rPr>
                <w:rFonts w:cs="Arial"/>
                <w:color w:val="000000"/>
                <w:sz w:val="18"/>
                <w:szCs w:val="18"/>
              </w:rPr>
            </w:pPr>
            <w:r w:rsidRPr="001570EA">
              <w:rPr>
                <w:rFonts w:cs="Arial"/>
                <w:sz w:val="18"/>
                <w:szCs w:val="18"/>
              </w:rPr>
              <w:t>-0.019</w:t>
            </w:r>
          </w:p>
        </w:tc>
        <w:tc>
          <w:tcPr>
            <w:tcW w:w="810" w:type="dxa"/>
            <w:shd w:val="clear" w:color="auto" w:fill="auto"/>
            <w:noWrap/>
            <w:vAlign w:val="center"/>
          </w:tcPr>
          <w:p w14:paraId="6BE9C765" w14:textId="77777777" w:rsidR="00EA5BBF" w:rsidRPr="001570EA" w:rsidRDefault="00EA5BBF">
            <w:pPr>
              <w:ind w:left="-114"/>
              <w:jc w:val="center"/>
              <w:rPr>
                <w:rFonts w:cs="Arial"/>
                <w:color w:val="000000"/>
                <w:sz w:val="18"/>
                <w:szCs w:val="18"/>
              </w:rPr>
            </w:pPr>
            <w:r w:rsidRPr="001570EA">
              <w:rPr>
                <w:rFonts w:cs="Arial"/>
                <w:sz w:val="18"/>
                <w:szCs w:val="18"/>
              </w:rPr>
              <w:t>0.899</w:t>
            </w:r>
          </w:p>
        </w:tc>
        <w:tc>
          <w:tcPr>
            <w:tcW w:w="720" w:type="dxa"/>
            <w:shd w:val="clear" w:color="auto" w:fill="auto"/>
            <w:noWrap/>
            <w:vAlign w:val="center"/>
          </w:tcPr>
          <w:p w14:paraId="02935D30" w14:textId="77777777" w:rsidR="00EA5BBF" w:rsidRPr="001570EA" w:rsidRDefault="00EA5BBF">
            <w:pPr>
              <w:jc w:val="center"/>
              <w:rPr>
                <w:rFonts w:cs="Arial"/>
                <w:color w:val="000000"/>
                <w:sz w:val="18"/>
                <w:szCs w:val="18"/>
              </w:rPr>
            </w:pPr>
            <w:r w:rsidRPr="001570EA">
              <w:rPr>
                <w:rFonts w:cs="Arial"/>
                <w:sz w:val="18"/>
                <w:szCs w:val="18"/>
              </w:rPr>
              <w:t>2.161</w:t>
            </w:r>
          </w:p>
        </w:tc>
        <w:tc>
          <w:tcPr>
            <w:tcW w:w="810" w:type="dxa"/>
            <w:vAlign w:val="center"/>
          </w:tcPr>
          <w:p w14:paraId="6A6AB8B3" w14:textId="77777777" w:rsidR="00EA5BBF" w:rsidRPr="001570EA" w:rsidRDefault="00EA5BBF">
            <w:pPr>
              <w:jc w:val="center"/>
              <w:rPr>
                <w:rFonts w:cs="Arial"/>
                <w:color w:val="000000"/>
                <w:sz w:val="18"/>
                <w:szCs w:val="18"/>
              </w:rPr>
            </w:pPr>
            <w:r w:rsidRPr="001570EA">
              <w:rPr>
                <w:rFonts w:cs="Arial"/>
                <w:sz w:val="18"/>
                <w:szCs w:val="18"/>
              </w:rPr>
              <w:t>2.273</w:t>
            </w:r>
          </w:p>
        </w:tc>
        <w:tc>
          <w:tcPr>
            <w:tcW w:w="810" w:type="dxa"/>
            <w:vAlign w:val="center"/>
          </w:tcPr>
          <w:p w14:paraId="1B3CA910" w14:textId="77777777" w:rsidR="00EA5BBF" w:rsidRPr="001570EA" w:rsidRDefault="00EA5BBF">
            <w:pPr>
              <w:jc w:val="center"/>
              <w:rPr>
                <w:rFonts w:cs="Arial"/>
                <w:color w:val="000000"/>
                <w:sz w:val="18"/>
                <w:szCs w:val="18"/>
              </w:rPr>
            </w:pPr>
            <w:r w:rsidRPr="001570EA">
              <w:rPr>
                <w:rFonts w:cs="Arial"/>
                <w:sz w:val="18"/>
                <w:szCs w:val="18"/>
              </w:rPr>
              <w:t>0.691</w:t>
            </w:r>
          </w:p>
        </w:tc>
        <w:tc>
          <w:tcPr>
            <w:tcW w:w="720" w:type="dxa"/>
            <w:vAlign w:val="center"/>
          </w:tcPr>
          <w:p w14:paraId="012E82DD" w14:textId="77777777" w:rsidR="00EA5BBF" w:rsidRPr="001570EA" w:rsidRDefault="00EA5BBF">
            <w:pPr>
              <w:jc w:val="center"/>
              <w:rPr>
                <w:rFonts w:cs="Arial"/>
                <w:color w:val="000000"/>
                <w:sz w:val="18"/>
                <w:szCs w:val="18"/>
              </w:rPr>
            </w:pPr>
            <w:r w:rsidRPr="001570EA">
              <w:rPr>
                <w:rFonts w:cs="Arial"/>
                <w:sz w:val="18"/>
                <w:szCs w:val="18"/>
              </w:rPr>
              <w:t>0.627</w:t>
            </w:r>
          </w:p>
        </w:tc>
      </w:tr>
      <w:tr w:rsidR="00EA5BBF" w:rsidRPr="001570EA" w14:paraId="3F6ABD11" w14:textId="77777777">
        <w:trPr>
          <w:gridAfter w:val="1"/>
          <w:wAfter w:w="12" w:type="dxa"/>
          <w:trHeight w:val="302"/>
          <w:jc w:val="center"/>
        </w:trPr>
        <w:tc>
          <w:tcPr>
            <w:tcW w:w="440" w:type="dxa"/>
            <w:shd w:val="clear" w:color="auto" w:fill="BFBFBF" w:themeFill="background1" w:themeFillShade="BF"/>
            <w:vAlign w:val="center"/>
          </w:tcPr>
          <w:p w14:paraId="088F9250" w14:textId="77777777" w:rsidR="00EA5BBF" w:rsidRPr="001570EA" w:rsidRDefault="00EA5BBF">
            <w:pPr>
              <w:jc w:val="center"/>
              <w:rPr>
                <w:b/>
                <w:color w:val="000000"/>
                <w:sz w:val="18"/>
                <w:szCs w:val="18"/>
              </w:rPr>
            </w:pPr>
            <w:r w:rsidRPr="001570EA">
              <w:rPr>
                <w:rFonts w:cs="Arial"/>
                <w:b/>
                <w:color w:val="000000"/>
                <w:sz w:val="18"/>
                <w:szCs w:val="18"/>
              </w:rPr>
              <w:t>F</w:t>
            </w:r>
          </w:p>
        </w:tc>
        <w:tc>
          <w:tcPr>
            <w:tcW w:w="1260" w:type="dxa"/>
            <w:shd w:val="clear" w:color="auto" w:fill="auto"/>
            <w:noWrap/>
            <w:vAlign w:val="center"/>
            <w:hideMark/>
          </w:tcPr>
          <w:p w14:paraId="06ECAAF5" w14:textId="77777777" w:rsidR="00EA5BBF" w:rsidRPr="001570EA" w:rsidRDefault="00EA5BBF">
            <w:pPr>
              <w:rPr>
                <w:rFonts w:eastAsia="Arial" w:cs="Arial"/>
                <w:color w:val="000000"/>
                <w:sz w:val="18"/>
                <w:szCs w:val="18"/>
              </w:rPr>
            </w:pPr>
            <w:r w:rsidRPr="001570EA">
              <w:rPr>
                <w:rFonts w:cs="Arial"/>
                <w:color w:val="000000"/>
                <w:sz w:val="18"/>
                <w:szCs w:val="18"/>
              </w:rPr>
              <w:t>Williamsport</w:t>
            </w:r>
          </w:p>
        </w:tc>
        <w:tc>
          <w:tcPr>
            <w:tcW w:w="810" w:type="dxa"/>
            <w:shd w:val="clear" w:color="auto" w:fill="auto"/>
            <w:noWrap/>
            <w:vAlign w:val="center"/>
          </w:tcPr>
          <w:p w14:paraId="40672CB4" w14:textId="77777777" w:rsidR="00EA5BBF" w:rsidRPr="001570EA" w:rsidRDefault="00EA5BBF">
            <w:pPr>
              <w:jc w:val="center"/>
              <w:rPr>
                <w:rFonts w:cs="Arial"/>
                <w:color w:val="000000"/>
                <w:sz w:val="18"/>
                <w:szCs w:val="18"/>
              </w:rPr>
            </w:pPr>
            <w:r w:rsidRPr="001570EA">
              <w:rPr>
                <w:rFonts w:cs="Arial"/>
                <w:sz w:val="18"/>
                <w:szCs w:val="18"/>
              </w:rPr>
              <w:t>0.008</w:t>
            </w:r>
          </w:p>
        </w:tc>
        <w:tc>
          <w:tcPr>
            <w:tcW w:w="900" w:type="dxa"/>
            <w:shd w:val="clear" w:color="auto" w:fill="auto"/>
            <w:noWrap/>
            <w:vAlign w:val="center"/>
          </w:tcPr>
          <w:p w14:paraId="512ADBF7" w14:textId="77777777" w:rsidR="00EA5BBF" w:rsidRPr="001570EA" w:rsidRDefault="00EA5BBF">
            <w:pPr>
              <w:jc w:val="center"/>
              <w:rPr>
                <w:rFonts w:cs="Arial"/>
                <w:color w:val="000000"/>
                <w:sz w:val="18"/>
                <w:szCs w:val="18"/>
              </w:rPr>
            </w:pPr>
            <w:r w:rsidRPr="001570EA">
              <w:rPr>
                <w:rFonts w:cs="Arial"/>
                <w:sz w:val="18"/>
                <w:szCs w:val="18"/>
              </w:rPr>
              <w:t>0.009</w:t>
            </w:r>
          </w:p>
        </w:tc>
        <w:tc>
          <w:tcPr>
            <w:tcW w:w="810" w:type="dxa"/>
            <w:shd w:val="clear" w:color="auto" w:fill="auto"/>
            <w:noWrap/>
            <w:vAlign w:val="center"/>
          </w:tcPr>
          <w:p w14:paraId="7445861E" w14:textId="77777777" w:rsidR="00EA5BBF" w:rsidRPr="001570EA" w:rsidRDefault="00EA5BBF">
            <w:pPr>
              <w:ind w:left="-108"/>
              <w:jc w:val="center"/>
              <w:rPr>
                <w:rFonts w:cs="Arial"/>
                <w:color w:val="000000"/>
                <w:sz w:val="18"/>
                <w:szCs w:val="18"/>
              </w:rPr>
            </w:pPr>
            <w:r w:rsidRPr="001570EA">
              <w:rPr>
                <w:rFonts w:cs="Arial"/>
                <w:sz w:val="18"/>
                <w:szCs w:val="18"/>
              </w:rPr>
              <w:t>-0.015</w:t>
            </w:r>
          </w:p>
        </w:tc>
        <w:tc>
          <w:tcPr>
            <w:tcW w:w="810" w:type="dxa"/>
            <w:shd w:val="clear" w:color="auto" w:fill="auto"/>
            <w:noWrap/>
            <w:vAlign w:val="center"/>
          </w:tcPr>
          <w:p w14:paraId="2A37229D" w14:textId="77777777" w:rsidR="00EA5BBF" w:rsidRPr="001570EA" w:rsidRDefault="00EA5BBF">
            <w:pPr>
              <w:ind w:left="-114"/>
              <w:jc w:val="center"/>
              <w:rPr>
                <w:rFonts w:cs="Arial"/>
                <w:color w:val="000000"/>
                <w:sz w:val="18"/>
                <w:szCs w:val="18"/>
              </w:rPr>
            </w:pPr>
            <w:r w:rsidRPr="001570EA">
              <w:rPr>
                <w:rFonts w:cs="Arial"/>
                <w:sz w:val="18"/>
                <w:szCs w:val="18"/>
              </w:rPr>
              <w:t>-0.017</w:t>
            </w:r>
          </w:p>
        </w:tc>
        <w:tc>
          <w:tcPr>
            <w:tcW w:w="810" w:type="dxa"/>
            <w:shd w:val="clear" w:color="auto" w:fill="auto"/>
            <w:noWrap/>
            <w:vAlign w:val="center"/>
          </w:tcPr>
          <w:p w14:paraId="2037A24D" w14:textId="77777777" w:rsidR="00EA5BBF" w:rsidRPr="001570EA" w:rsidRDefault="00EA5BBF">
            <w:pPr>
              <w:ind w:left="-114"/>
              <w:jc w:val="center"/>
              <w:rPr>
                <w:rFonts w:cs="Arial"/>
                <w:color w:val="000000"/>
                <w:sz w:val="18"/>
                <w:szCs w:val="18"/>
              </w:rPr>
            </w:pPr>
            <w:r w:rsidRPr="001570EA">
              <w:rPr>
                <w:rFonts w:cs="Arial"/>
                <w:sz w:val="18"/>
                <w:szCs w:val="18"/>
              </w:rPr>
              <w:t>0.929</w:t>
            </w:r>
          </w:p>
        </w:tc>
        <w:tc>
          <w:tcPr>
            <w:tcW w:w="720" w:type="dxa"/>
            <w:shd w:val="clear" w:color="auto" w:fill="auto"/>
            <w:noWrap/>
            <w:vAlign w:val="center"/>
          </w:tcPr>
          <w:p w14:paraId="115A1F78" w14:textId="77777777" w:rsidR="00EA5BBF" w:rsidRPr="001570EA" w:rsidRDefault="00EA5BBF">
            <w:pPr>
              <w:jc w:val="center"/>
              <w:rPr>
                <w:rFonts w:cs="Arial"/>
                <w:color w:val="000000"/>
                <w:sz w:val="18"/>
                <w:szCs w:val="18"/>
              </w:rPr>
            </w:pPr>
            <w:r w:rsidRPr="001570EA">
              <w:rPr>
                <w:rFonts w:cs="Arial"/>
                <w:sz w:val="18"/>
                <w:szCs w:val="18"/>
              </w:rPr>
              <w:t>2.278</w:t>
            </w:r>
          </w:p>
        </w:tc>
        <w:tc>
          <w:tcPr>
            <w:tcW w:w="810" w:type="dxa"/>
            <w:vAlign w:val="center"/>
          </w:tcPr>
          <w:p w14:paraId="4975FA9C" w14:textId="77777777" w:rsidR="00EA5BBF" w:rsidRPr="001570EA" w:rsidRDefault="00EA5BBF">
            <w:pPr>
              <w:jc w:val="center"/>
              <w:rPr>
                <w:rFonts w:cs="Arial"/>
                <w:color w:val="000000"/>
                <w:sz w:val="18"/>
                <w:szCs w:val="18"/>
              </w:rPr>
            </w:pPr>
            <w:r w:rsidRPr="001570EA">
              <w:rPr>
                <w:rFonts w:cs="Arial"/>
                <w:sz w:val="18"/>
                <w:szCs w:val="18"/>
              </w:rPr>
              <w:t>2.410</w:t>
            </w:r>
          </w:p>
        </w:tc>
        <w:tc>
          <w:tcPr>
            <w:tcW w:w="810" w:type="dxa"/>
            <w:vAlign w:val="center"/>
          </w:tcPr>
          <w:p w14:paraId="4E1C1F78" w14:textId="77777777" w:rsidR="00EA5BBF" w:rsidRPr="001570EA" w:rsidRDefault="00EA5BBF">
            <w:pPr>
              <w:jc w:val="center"/>
              <w:rPr>
                <w:rFonts w:cs="Arial"/>
                <w:color w:val="000000"/>
                <w:sz w:val="18"/>
                <w:szCs w:val="18"/>
              </w:rPr>
            </w:pPr>
            <w:r w:rsidRPr="001570EA">
              <w:rPr>
                <w:rFonts w:cs="Arial"/>
                <w:sz w:val="18"/>
                <w:szCs w:val="18"/>
              </w:rPr>
              <w:t>0.750</w:t>
            </w:r>
          </w:p>
        </w:tc>
        <w:tc>
          <w:tcPr>
            <w:tcW w:w="720" w:type="dxa"/>
            <w:vAlign w:val="center"/>
          </w:tcPr>
          <w:p w14:paraId="27F00E8B" w14:textId="77777777" w:rsidR="00EA5BBF" w:rsidRPr="001570EA" w:rsidRDefault="00EA5BBF">
            <w:pPr>
              <w:jc w:val="center"/>
              <w:rPr>
                <w:rFonts w:cs="Arial"/>
                <w:color w:val="000000"/>
                <w:sz w:val="18"/>
                <w:szCs w:val="18"/>
              </w:rPr>
            </w:pPr>
            <w:r w:rsidRPr="001570EA">
              <w:rPr>
                <w:rFonts w:cs="Arial"/>
                <w:sz w:val="18"/>
                <w:szCs w:val="18"/>
              </w:rPr>
              <w:t>0.657</w:t>
            </w:r>
          </w:p>
        </w:tc>
      </w:tr>
    </w:tbl>
    <w:p w14:paraId="7CE41575" w14:textId="77777777" w:rsidR="00EA5BBF" w:rsidRPr="001570EA" w:rsidRDefault="00EA5BBF" w:rsidP="00EA5BBF"/>
    <w:p w14:paraId="55181301" w14:textId="77777777" w:rsidR="00EA5BBF" w:rsidRPr="001570EA" w:rsidRDefault="00EA5BBF" w:rsidP="00EA5BBF">
      <w:pPr>
        <w:pStyle w:val="SubStyle"/>
      </w:pPr>
      <w:r w:rsidRPr="001570EA">
        <w:t>Evaluation Protocols</w:t>
      </w:r>
    </w:p>
    <w:p w14:paraId="179DDD9D" w14:textId="77777777" w:rsidR="00EA5BBF" w:rsidRPr="001570EA" w:rsidRDefault="00EA5BBF" w:rsidP="00EA5BBF">
      <w:pPr>
        <w:rPr>
          <w:rFonts w:ascii="Calibri" w:eastAsia="Calibri" w:hAnsi="Calibri" w:cs="Calibri"/>
        </w:rPr>
      </w:pPr>
      <w:r w:rsidRPr="001570EA">
        <w:t>The appropriate evaluation protocol for this measure is desk audit verification that the pre and post blower door tests were performed in accordance with industry standards. Verification through desk audits requires confirmation of the proper application of the TRM protocol using default unit energy and demand savings values in coordination with blower door test results. Field verification of each test or re-test is not required.</w:t>
      </w:r>
    </w:p>
    <w:p w14:paraId="1E4B981E" w14:textId="77777777" w:rsidR="00EA5BBF" w:rsidRPr="001570EA" w:rsidRDefault="00EA5BBF" w:rsidP="00EA5BBF"/>
    <w:p w14:paraId="551786B2" w14:textId="77777777" w:rsidR="00EA5BBF" w:rsidRPr="001570EA" w:rsidRDefault="00EA5BBF" w:rsidP="00EA5BBF">
      <w:pPr>
        <w:pStyle w:val="SubStyle"/>
        <w:pBdr>
          <w:bottom w:val="single" w:sz="4" w:space="0" w:color="auto"/>
        </w:pBdr>
      </w:pPr>
      <w:r w:rsidRPr="001570EA">
        <w:t>Sources</w:t>
      </w:r>
    </w:p>
    <w:p w14:paraId="029745AA" w14:textId="41430A70" w:rsidR="00EA5BBF" w:rsidRPr="001570EA" w:rsidRDefault="00EA5BBF" w:rsidP="00152CD6">
      <w:pPr>
        <w:pStyle w:val="source10"/>
        <w:numPr>
          <w:ilvl w:val="0"/>
          <w:numId w:val="72"/>
        </w:numPr>
        <w:tabs>
          <w:tab w:val="num" w:pos="450"/>
        </w:tabs>
        <w:spacing w:after="120"/>
        <w:ind w:left="360"/>
        <w:jc w:val="left"/>
      </w:pPr>
      <w:r w:rsidRPr="001570EA">
        <w:t xml:space="preserve">GDS Associates, Inc. (2007). Measure Life Report, Residential and Commercial/Industrial Lighting and HVAC Measures. Table 1 – Residential Measures. </w:t>
      </w:r>
      <w:hyperlink r:id="rId320" w:history="1">
        <w:r w:rsidRPr="001570EA">
          <w:rPr>
            <w:rStyle w:val="Hyperlink"/>
            <w:rFonts w:cs="Arial"/>
          </w:rPr>
          <w:t>Weblink</w:t>
        </w:r>
      </w:hyperlink>
    </w:p>
    <w:p w14:paraId="00584CEC" w14:textId="0DF59535" w:rsidR="00EA5BBF" w:rsidRPr="001570EA" w:rsidRDefault="00EA5BBF" w:rsidP="00152CD6">
      <w:pPr>
        <w:pStyle w:val="source10"/>
        <w:numPr>
          <w:ilvl w:val="0"/>
          <w:numId w:val="72"/>
        </w:numPr>
        <w:tabs>
          <w:tab w:val="num" w:pos="450"/>
        </w:tabs>
        <w:spacing w:after="120"/>
        <w:ind w:left="360"/>
        <w:jc w:val="left"/>
      </w:pPr>
      <w:r w:rsidRPr="001570EA">
        <w:t xml:space="preserve">Lawrence Berkley National Laboratory (1999). Residential Heating and Cooling Loads Component Analysis. </w:t>
      </w:r>
      <w:hyperlink r:id="rId321" w:history="1">
        <w:r w:rsidRPr="001570EA">
          <w:rPr>
            <w:rStyle w:val="Hyperlink"/>
            <w:rFonts w:cs="Arial"/>
          </w:rPr>
          <w:t>Weblink</w:t>
        </w:r>
      </w:hyperlink>
    </w:p>
    <w:p w14:paraId="568BBC1F" w14:textId="77777777" w:rsidR="00EA5BBF" w:rsidRPr="001570EA" w:rsidRDefault="00EA5BBF" w:rsidP="00152CD6">
      <w:pPr>
        <w:pStyle w:val="source10"/>
        <w:numPr>
          <w:ilvl w:val="0"/>
          <w:numId w:val="72"/>
        </w:numPr>
        <w:tabs>
          <w:tab w:val="num" w:pos="450"/>
        </w:tabs>
        <w:spacing w:after="120"/>
        <w:ind w:left="360"/>
      </w:pPr>
      <w:r w:rsidRPr="001570EA">
        <w:t>Estimate by Statewide Evaluator informed by the following construction standards:</w:t>
      </w:r>
    </w:p>
    <w:p w14:paraId="49BCDF8D" w14:textId="7448EC48" w:rsidR="00EA5BBF" w:rsidRPr="001570EA" w:rsidRDefault="00EA5BBF" w:rsidP="00152CD6">
      <w:pPr>
        <w:pStyle w:val="ListParagraph"/>
        <w:numPr>
          <w:ilvl w:val="1"/>
          <w:numId w:val="72"/>
        </w:numPr>
        <w:ind w:left="810" w:hanging="360"/>
        <w:jc w:val="left"/>
        <w:rPr>
          <w:rFonts w:cs="Arial"/>
          <w:lang w:val="fr-FR"/>
        </w:rPr>
      </w:pPr>
      <w:r w:rsidRPr="001570EA">
        <w:rPr>
          <w:rFonts w:cs="Arial"/>
        </w:rPr>
        <w:t xml:space="preserve">3 ACH50 maximum. International Code Council. </w:t>
      </w:r>
      <w:r w:rsidRPr="001570EA">
        <w:rPr>
          <w:rFonts w:cs="Arial"/>
          <w:lang w:val="fr-FR"/>
        </w:rPr>
        <w:t xml:space="preserve">(2017). 2018 International Energy Conservation Code. </w:t>
      </w:r>
      <w:hyperlink r:id="rId322" w:history="1">
        <w:r w:rsidRPr="001570EA">
          <w:rPr>
            <w:rStyle w:val="Hyperlink"/>
            <w:rFonts w:cs="Arial"/>
            <w:lang w:val="fr-FR"/>
          </w:rPr>
          <w:t>Weblink</w:t>
        </w:r>
      </w:hyperlink>
    </w:p>
    <w:p w14:paraId="6DD8FC30" w14:textId="149BE28E" w:rsidR="00EA5BBF" w:rsidRPr="001570EA" w:rsidRDefault="00EA5BBF" w:rsidP="00152CD6">
      <w:pPr>
        <w:pStyle w:val="ListParagraph"/>
        <w:numPr>
          <w:ilvl w:val="1"/>
          <w:numId w:val="72"/>
        </w:numPr>
        <w:ind w:left="810" w:hanging="360"/>
        <w:rPr>
          <w:rFonts w:cs="Arial"/>
        </w:rPr>
      </w:pPr>
      <w:r w:rsidRPr="001570EA">
        <w:rPr>
          <w:rFonts w:cs="Arial"/>
        </w:rPr>
        <w:t xml:space="preserve">0.93 ACH50 maximum. Passive House Institute US. (2003). Phius 2021: Passive Building Standard Certification Guidebook. Retrieved January 3, 2024 from </w:t>
      </w:r>
      <w:hyperlink r:id="rId323" w:history="1">
        <w:r w:rsidRPr="001570EA">
          <w:rPr>
            <w:rStyle w:val="Hyperlink"/>
            <w:rFonts w:cs="Arial"/>
          </w:rPr>
          <w:t>Weblink</w:t>
        </w:r>
      </w:hyperlink>
    </w:p>
    <w:p w14:paraId="384FA0B8" w14:textId="3B4F2818" w:rsidR="00EA5BBF" w:rsidRPr="001570EA" w:rsidRDefault="00EA5BBF" w:rsidP="00152CD6">
      <w:pPr>
        <w:pStyle w:val="ListParagraph"/>
        <w:numPr>
          <w:ilvl w:val="1"/>
          <w:numId w:val="72"/>
        </w:numPr>
        <w:ind w:left="810" w:hanging="360"/>
      </w:pPr>
      <w:r w:rsidRPr="001570EA">
        <w:rPr>
          <w:rFonts w:cs="Arial"/>
        </w:rPr>
        <w:t>3.6 ACH50 maximum. ASHRAE (2023). Standards Actions (Vol. 13, Issue 17). Retrieved January 5, 2024</w:t>
      </w:r>
      <w:r w:rsidR="00FD4FBF">
        <w:rPr>
          <w:rFonts w:cs="Arial"/>
        </w:rPr>
        <w:t>.</w:t>
      </w:r>
      <w:r w:rsidRPr="001570EA">
        <w:rPr>
          <w:rFonts w:cs="Arial"/>
        </w:rPr>
        <w:t xml:space="preserve"> </w:t>
      </w:r>
      <w:hyperlink r:id="rId324" w:history="1">
        <w:r w:rsidRPr="001570EA">
          <w:rPr>
            <w:rStyle w:val="Hyperlink"/>
            <w:rFonts w:cs="Arial"/>
          </w:rPr>
          <w:t>Weblink</w:t>
        </w:r>
      </w:hyperlink>
    </w:p>
    <w:p w14:paraId="61D5803E" w14:textId="428B08E8" w:rsidR="00EA5BBF" w:rsidRPr="001570EA" w:rsidRDefault="00EA5BBF" w:rsidP="00152CD6">
      <w:pPr>
        <w:pStyle w:val="source10"/>
        <w:numPr>
          <w:ilvl w:val="0"/>
          <w:numId w:val="72"/>
        </w:numPr>
        <w:spacing w:after="120"/>
        <w:ind w:left="360"/>
        <w:jc w:val="left"/>
      </w:pPr>
      <w:r w:rsidRPr="001570EA">
        <w:t xml:space="preserve">NMR Group for the Pennsylvania Public Utility Commission. (2024, March). 2023 Pennsylvania Statewide Act 129 Residential Baseline Study. </w:t>
      </w:r>
      <w:hyperlink r:id="rId325" w:history="1">
        <w:r w:rsidRPr="001570EA">
          <w:rPr>
            <w:rStyle w:val="Hyperlink"/>
            <w:rFonts w:cs="Arial"/>
          </w:rPr>
          <w:t>Weblink</w:t>
        </w:r>
      </w:hyperlink>
    </w:p>
    <w:p w14:paraId="56A5BCB7" w14:textId="77777777" w:rsidR="00EA5BBF" w:rsidRPr="001570EA" w:rsidRDefault="00EA5BBF" w:rsidP="00152CD6">
      <w:pPr>
        <w:pStyle w:val="source10"/>
        <w:numPr>
          <w:ilvl w:val="0"/>
          <w:numId w:val="72"/>
        </w:numPr>
        <w:spacing w:after="120"/>
        <w:ind w:left="360"/>
      </w:pPr>
      <w:r w:rsidRPr="001570EA">
        <w:t>Equipment efficiencies were chosen based on weighted single-family detached results from the 2023 Pennsylvania Residential Baseline, standardized equipment library entries (ASHP), and expertise (GSHP).</w:t>
      </w:r>
    </w:p>
    <w:p w14:paraId="2F458B6D" w14:textId="77777777" w:rsidR="00EA5BBF" w:rsidRPr="001570EA" w:rsidRDefault="00EA5BBF" w:rsidP="00152CD6">
      <w:pPr>
        <w:pStyle w:val="source10"/>
        <w:numPr>
          <w:ilvl w:val="0"/>
          <w:numId w:val="72"/>
        </w:numPr>
        <w:spacing w:after="120"/>
        <w:ind w:left="360"/>
      </w:pPr>
      <w:r w:rsidRPr="001570EA">
        <w:t>Based on modelling using BEopt v2.8.0 performed by NMR Group, Inc. Unit energy savings were calculated by modeling a prototypical Pennsylvania single family detached house with average characteristics determined through the Pennsylvania Act 129 2023 Residential Baseline. Simulations for each equipment-climate region combination were performed at multiple levels of air leakage (1, 2, 3, 4, 5, 6, 7, 8, 10, 15, 20, and 25 ACH50). The heating or cooling loads for each system combination were then fitted with separate quadratic regressions, the coefficients of which are used to calculate energy savings.</w:t>
      </w:r>
    </w:p>
    <w:p w14:paraId="1A02B15D" w14:textId="677BD519" w:rsidR="00EA5BBF" w:rsidRPr="001570EA" w:rsidRDefault="00EA5BBF" w:rsidP="00152CD6">
      <w:pPr>
        <w:pStyle w:val="source10"/>
        <w:numPr>
          <w:ilvl w:val="0"/>
          <w:numId w:val="72"/>
        </w:numPr>
        <w:tabs>
          <w:tab w:val="num" w:pos="450"/>
        </w:tabs>
        <w:spacing w:after="120"/>
        <w:ind w:left="360"/>
      </w:pPr>
      <w:r w:rsidRPr="001570EA">
        <w:t xml:space="preserve">Based on the Phase III SWE team’s analysis of regional HVAC runtime data collected from ecobee’s Donate Your Data research service. </w:t>
      </w:r>
      <w:hyperlink r:id="rId326" w:history="1">
        <w:r w:rsidRPr="001570EA">
          <w:rPr>
            <w:rStyle w:val="Hyperlink"/>
            <w:rFonts w:cs="Arial"/>
          </w:rPr>
          <w:t>Weblink</w:t>
        </w:r>
      </w:hyperlink>
    </w:p>
    <w:p w14:paraId="745AEB50" w14:textId="77777777" w:rsidR="00EA5BBF" w:rsidRPr="001570EA" w:rsidRDefault="00EA5BBF" w:rsidP="00EA5BBF">
      <w:pPr>
        <w:rPr>
          <w:rFonts w:eastAsiaTheme="minorHAnsi" w:cs="Arial"/>
        </w:rPr>
      </w:pPr>
    </w:p>
    <w:p w14:paraId="5F02548C" w14:textId="77777777" w:rsidR="00EA5BBF" w:rsidRPr="001570EA" w:rsidRDefault="00EA5BBF" w:rsidP="00EA5BBF">
      <w:pPr>
        <w:rPr>
          <w:rFonts w:eastAsiaTheme="minorHAnsi"/>
        </w:rPr>
        <w:sectPr w:rsidR="00EA5BBF" w:rsidRPr="001570EA" w:rsidSect="002D556C">
          <w:footerReference w:type="default" r:id="rId327"/>
          <w:footerReference w:type="first" r:id="rId328"/>
          <w:pgSz w:w="12240" w:h="15840"/>
          <w:pgMar w:top="1440" w:right="1800" w:bottom="1440" w:left="1800" w:header="720" w:footer="501" w:gutter="0"/>
          <w:cols w:space="720"/>
        </w:sectPr>
      </w:pPr>
    </w:p>
    <w:p w14:paraId="77725BB1" w14:textId="77777777" w:rsidR="00EA5BBF" w:rsidRPr="001570EA" w:rsidRDefault="00EA5BBF" w:rsidP="00C64DB8">
      <w:pPr>
        <w:pStyle w:val="Heading3"/>
      </w:pPr>
      <w:bookmarkStart w:id="1153" w:name="_Toc48143057"/>
      <w:bookmarkStart w:id="1154" w:name="_Toc164786678"/>
      <w:r w:rsidRPr="001570EA">
        <w:t>Weather Stripping, Caulking, and Outlet Gaskets</w:t>
      </w:r>
      <w:bookmarkEnd w:id="1153"/>
      <w:bookmarkEnd w:id="11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5796"/>
      </w:tblGrid>
      <w:tr w:rsidR="00EA5BBF" w:rsidRPr="001570EA" w14:paraId="04301707" w14:textId="77777777">
        <w:trPr>
          <w:trHeight w:val="302"/>
          <w:jc w:val="center"/>
        </w:trPr>
        <w:tc>
          <w:tcPr>
            <w:tcW w:w="2834" w:type="dxa"/>
            <w:shd w:val="clear" w:color="auto" w:fill="auto"/>
          </w:tcPr>
          <w:p w14:paraId="79349786" w14:textId="77777777" w:rsidR="00EA5BBF" w:rsidRPr="001570EA" w:rsidRDefault="00EA5BBF">
            <w:pPr>
              <w:pStyle w:val="TableCell"/>
              <w:spacing w:before="60" w:after="60"/>
              <w:rPr>
                <w:b/>
              </w:rPr>
            </w:pPr>
            <w:r w:rsidRPr="001570EA">
              <w:rPr>
                <w:b/>
              </w:rPr>
              <w:t>Target Sector</w:t>
            </w:r>
          </w:p>
        </w:tc>
        <w:tc>
          <w:tcPr>
            <w:tcW w:w="5796" w:type="dxa"/>
            <w:shd w:val="clear" w:color="auto" w:fill="auto"/>
          </w:tcPr>
          <w:p w14:paraId="71A5E431" w14:textId="77777777" w:rsidR="00EA5BBF" w:rsidRPr="001570EA" w:rsidRDefault="00EA5BBF">
            <w:pPr>
              <w:pStyle w:val="TableCell"/>
              <w:spacing w:before="60" w:after="60"/>
              <w:jc w:val="center"/>
              <w:rPr>
                <w:rFonts w:eastAsia="Arial Unicode MS" w:cs="Arial"/>
                <w:i/>
                <w:iCs/>
                <w:sz w:val="20"/>
                <w:szCs w:val="24"/>
              </w:rPr>
            </w:pPr>
            <w:r w:rsidRPr="001570EA">
              <w:t>Residential</w:t>
            </w:r>
          </w:p>
        </w:tc>
      </w:tr>
      <w:tr w:rsidR="00EA5BBF" w:rsidRPr="001570EA" w14:paraId="312090BD" w14:textId="77777777">
        <w:trPr>
          <w:trHeight w:val="302"/>
          <w:jc w:val="center"/>
        </w:trPr>
        <w:tc>
          <w:tcPr>
            <w:tcW w:w="2834" w:type="dxa"/>
            <w:shd w:val="clear" w:color="auto" w:fill="auto"/>
          </w:tcPr>
          <w:p w14:paraId="43F01852" w14:textId="77777777" w:rsidR="00EA5BBF" w:rsidRPr="001570EA" w:rsidRDefault="00EA5BBF">
            <w:pPr>
              <w:pStyle w:val="TableCell"/>
              <w:spacing w:before="60" w:after="60"/>
              <w:rPr>
                <w:b/>
                <w:sz w:val="20"/>
              </w:rPr>
            </w:pPr>
            <w:r w:rsidRPr="001570EA">
              <w:rPr>
                <w:b/>
              </w:rPr>
              <w:t>Measure Unit</w:t>
            </w:r>
          </w:p>
        </w:tc>
        <w:tc>
          <w:tcPr>
            <w:tcW w:w="5796" w:type="dxa"/>
            <w:shd w:val="clear" w:color="auto" w:fill="auto"/>
          </w:tcPr>
          <w:p w14:paraId="6CE1E524" w14:textId="77777777" w:rsidR="00EA5BBF" w:rsidRPr="001570EA" w:rsidRDefault="00EA5BBF">
            <w:pPr>
              <w:pStyle w:val="TableCell"/>
              <w:spacing w:before="60" w:after="60"/>
              <w:jc w:val="center"/>
              <w:rPr>
                <w:rFonts w:eastAsia="Arial Unicode MS" w:cs="Arial"/>
                <w:i/>
                <w:iCs/>
                <w:sz w:val="20"/>
                <w:szCs w:val="24"/>
              </w:rPr>
            </w:pPr>
            <w:r w:rsidRPr="001570EA">
              <w:t>Per Project</w:t>
            </w:r>
          </w:p>
        </w:tc>
      </w:tr>
      <w:tr w:rsidR="00EA5BBF" w:rsidRPr="001570EA" w14:paraId="78C7A5E4" w14:textId="77777777">
        <w:trPr>
          <w:trHeight w:val="302"/>
          <w:jc w:val="center"/>
        </w:trPr>
        <w:tc>
          <w:tcPr>
            <w:tcW w:w="2834" w:type="dxa"/>
            <w:shd w:val="clear" w:color="auto" w:fill="auto"/>
          </w:tcPr>
          <w:p w14:paraId="495D6379" w14:textId="77777777" w:rsidR="00EA5BBF" w:rsidRPr="001570EA" w:rsidRDefault="00EA5BBF">
            <w:pPr>
              <w:pStyle w:val="TableCell"/>
              <w:spacing w:before="60" w:after="60"/>
              <w:rPr>
                <w:b/>
                <w:sz w:val="20"/>
              </w:rPr>
            </w:pPr>
            <w:r w:rsidRPr="001570EA">
              <w:rPr>
                <w:b/>
              </w:rPr>
              <w:t>Measure Life</w:t>
            </w:r>
          </w:p>
        </w:tc>
        <w:tc>
          <w:tcPr>
            <w:tcW w:w="5796" w:type="dxa"/>
            <w:shd w:val="clear" w:color="auto" w:fill="auto"/>
          </w:tcPr>
          <w:p w14:paraId="1EBDF75E" w14:textId="77777777" w:rsidR="00EA5BBF" w:rsidRPr="001570EA" w:rsidRDefault="00EA5BBF">
            <w:pPr>
              <w:pStyle w:val="TableCell"/>
              <w:spacing w:before="60" w:after="60"/>
              <w:jc w:val="center"/>
              <w:rPr>
                <w:rFonts w:eastAsia="Arial Unicode MS" w:cs="Arial"/>
                <w:i/>
                <w:sz w:val="20"/>
                <w:szCs w:val="24"/>
                <w:vertAlign w:val="superscript"/>
              </w:rPr>
            </w:pPr>
            <w:r w:rsidRPr="001570EA">
              <w:t>15 years</w:t>
            </w:r>
            <w:r w:rsidRPr="001570EA">
              <w:rPr>
                <w:vertAlign w:val="superscript"/>
              </w:rPr>
              <w:t>Source 1</w:t>
            </w:r>
          </w:p>
        </w:tc>
      </w:tr>
      <w:tr w:rsidR="00EA5BBF" w:rsidRPr="001570EA" w14:paraId="19F0AC7F" w14:textId="77777777">
        <w:trPr>
          <w:trHeight w:val="302"/>
          <w:jc w:val="center"/>
        </w:trPr>
        <w:tc>
          <w:tcPr>
            <w:tcW w:w="2834" w:type="dxa"/>
            <w:shd w:val="clear" w:color="auto" w:fill="auto"/>
          </w:tcPr>
          <w:p w14:paraId="1E340661" w14:textId="77777777" w:rsidR="00EA5BBF" w:rsidRPr="001570EA" w:rsidRDefault="00EA5BBF">
            <w:pPr>
              <w:pStyle w:val="TableCell"/>
              <w:spacing w:before="60" w:after="60"/>
              <w:rPr>
                <w:b/>
              </w:rPr>
            </w:pPr>
            <w:r w:rsidRPr="001570EA">
              <w:rPr>
                <w:b/>
              </w:rPr>
              <w:t>Vintage</w:t>
            </w:r>
          </w:p>
        </w:tc>
        <w:tc>
          <w:tcPr>
            <w:tcW w:w="5796" w:type="dxa"/>
            <w:shd w:val="clear" w:color="auto" w:fill="auto"/>
          </w:tcPr>
          <w:p w14:paraId="4CE5761A" w14:textId="77777777" w:rsidR="00EA5BBF" w:rsidRPr="001570EA" w:rsidRDefault="00EA5BBF">
            <w:pPr>
              <w:pStyle w:val="TableCell"/>
              <w:spacing w:before="60" w:after="60"/>
              <w:jc w:val="center"/>
            </w:pPr>
            <w:r w:rsidRPr="001570EA">
              <w:t>Retrofit</w:t>
            </w:r>
          </w:p>
        </w:tc>
      </w:tr>
    </w:tbl>
    <w:p w14:paraId="411650F0" w14:textId="77777777" w:rsidR="00EA5BBF" w:rsidRPr="001570EA" w:rsidRDefault="00EA5BBF" w:rsidP="00EA5BBF"/>
    <w:p w14:paraId="102BE800" w14:textId="63F27A4D" w:rsidR="00EA5BBF" w:rsidRPr="001570EA" w:rsidRDefault="00EA5BBF" w:rsidP="00EA5BBF">
      <w:pPr>
        <w:pStyle w:val="BodyText"/>
      </w:pPr>
      <w:r w:rsidRPr="001570EA">
        <w:t>Residential structures can lose significant amounts of heat through the infiltration of unconditioned outside air into the conditioned space. Infiltration enters conditioned spaces in a variety of ways: building joints, gaps in door and window frames, basement</w:t>
      </w:r>
      <w:r w:rsidR="00377546">
        <w:t>,</w:t>
      </w:r>
      <w:r w:rsidRPr="001570EA">
        <w:t xml:space="preserve"> and attic penetrations (electrical and plumbing) and recessed light fixtures. Air sealing measures like adding weather stripping, caulking</w:t>
      </w:r>
      <w:r w:rsidR="00377546">
        <w:t>,</w:t>
      </w:r>
      <w:r w:rsidRPr="001570EA">
        <w:t xml:space="preserve"> and installing outlet gaskets can reduce the amount of infiltration and the related heating and cooling for a building.</w:t>
      </w:r>
    </w:p>
    <w:p w14:paraId="7F6FEF2F" w14:textId="77777777" w:rsidR="00EA5BBF" w:rsidRPr="001570EA" w:rsidRDefault="00EA5BBF" w:rsidP="00EA5BBF">
      <w:pPr>
        <w:pStyle w:val="BodyText"/>
      </w:pPr>
    </w:p>
    <w:p w14:paraId="0437DE35" w14:textId="77777777" w:rsidR="00EA5BBF" w:rsidRPr="001570EA" w:rsidRDefault="00EA5BBF" w:rsidP="00EA5BBF">
      <w:pPr>
        <w:pStyle w:val="SubStyle"/>
      </w:pPr>
      <w:r w:rsidRPr="001570EA">
        <w:t>Eligibility</w:t>
      </w:r>
    </w:p>
    <w:p w14:paraId="6E543BBE" w14:textId="77777777" w:rsidR="00EA5BBF" w:rsidRPr="001570EA" w:rsidRDefault="00EA5BBF" w:rsidP="00EA5BBF">
      <w:pPr>
        <w:pStyle w:val="BodyText"/>
      </w:pPr>
      <w:r w:rsidRPr="001570EA">
        <w:t>To be eligible:</w:t>
      </w:r>
    </w:p>
    <w:p w14:paraId="3084D379" w14:textId="77777777" w:rsidR="00EA5BBF" w:rsidRPr="001570EA" w:rsidRDefault="00EA5BBF" w:rsidP="00EA5BBF">
      <w:pPr>
        <w:pStyle w:val="BodyText"/>
      </w:pPr>
    </w:p>
    <w:p w14:paraId="72B18EB6" w14:textId="77777777" w:rsidR="00EA5BBF" w:rsidRPr="001570EA" w:rsidRDefault="00EA5BBF" w:rsidP="00152CD6">
      <w:pPr>
        <w:pStyle w:val="BodyText"/>
        <w:numPr>
          <w:ilvl w:val="0"/>
          <w:numId w:val="75"/>
        </w:numPr>
        <w:ind w:left="360" w:right="0"/>
      </w:pPr>
      <w:r w:rsidRPr="001570EA">
        <w:t>Weather stripping must be installed on doors, windows, or attic hatches/doors.</w:t>
      </w:r>
    </w:p>
    <w:p w14:paraId="20BCE071" w14:textId="77777777" w:rsidR="00EA5BBF" w:rsidRPr="001570EA" w:rsidRDefault="00EA5BBF" w:rsidP="00152CD6">
      <w:pPr>
        <w:pStyle w:val="BodyText"/>
        <w:numPr>
          <w:ilvl w:val="0"/>
          <w:numId w:val="75"/>
        </w:numPr>
        <w:ind w:left="360" w:right="0"/>
      </w:pPr>
      <w:r w:rsidRPr="001570EA">
        <w:t>Caulking and/or spray foam sealant must be applied to window frames, door frames or plumbing/electrical penetrations.</w:t>
      </w:r>
    </w:p>
    <w:p w14:paraId="08FB2080" w14:textId="77777777" w:rsidR="00EA5BBF" w:rsidRPr="001570EA" w:rsidRDefault="00EA5BBF" w:rsidP="00152CD6">
      <w:pPr>
        <w:pStyle w:val="BodyText"/>
        <w:numPr>
          <w:ilvl w:val="0"/>
          <w:numId w:val="75"/>
        </w:numPr>
        <w:spacing w:after="120"/>
        <w:ind w:left="360" w:right="0"/>
      </w:pPr>
      <w:r w:rsidRPr="001570EA">
        <w:t>Gaskets must be installed on electrical outlets.</w:t>
      </w:r>
    </w:p>
    <w:p w14:paraId="251A92FD" w14:textId="60CBCE9D" w:rsidR="00EA5BBF" w:rsidRPr="001570EA" w:rsidRDefault="00EA5BBF" w:rsidP="00EA5BBF">
      <w:pPr>
        <w:pStyle w:val="BodyText"/>
      </w:pPr>
      <w:r w:rsidRPr="001570EA">
        <w:t xml:space="preserve">In addition, </w:t>
      </w:r>
      <w:r w:rsidRPr="001570EA">
        <w:rPr>
          <w:b/>
        </w:rPr>
        <w:t>this measure is limited to projects with less than 400 kWh of savings</w:t>
      </w:r>
      <w:r w:rsidRPr="001570EA">
        <w:t xml:space="preserve">. Projects with 400 kWh or more of savings should follow the </w:t>
      </w:r>
      <w:hyperlink w:anchor="_Residential_Air_Sealing" w:history="1">
        <w:r w:rsidRPr="001570EA">
          <w:rPr>
            <w:rStyle w:val="Hyperlink"/>
          </w:rPr>
          <w:fldChar w:fldCharType="begin"/>
        </w:r>
        <w:r w:rsidRPr="001570EA">
          <w:rPr>
            <w:rStyle w:val="Hyperlink"/>
          </w:rPr>
          <w:instrText xml:space="preserve"> REF _Ref534295556 \h  \* MERGEFORMAT </w:instrText>
        </w:r>
        <w:r w:rsidRPr="001570EA">
          <w:rPr>
            <w:rStyle w:val="Hyperlink"/>
          </w:rPr>
        </w:r>
        <w:r w:rsidRPr="001570EA">
          <w:rPr>
            <w:rStyle w:val="Hyperlink"/>
          </w:rPr>
          <w:fldChar w:fldCharType="separate"/>
        </w:r>
        <w:r w:rsidR="00234C6C" w:rsidRPr="001570EA">
          <w:t>Residential Air Sealing</w:t>
        </w:r>
        <w:r w:rsidRPr="001570EA">
          <w:rPr>
            <w:rStyle w:val="Hyperlink"/>
          </w:rPr>
          <w:fldChar w:fldCharType="end"/>
        </w:r>
      </w:hyperlink>
      <w:r w:rsidRPr="001570EA">
        <w:t xml:space="preserve"> section. </w:t>
      </w:r>
    </w:p>
    <w:p w14:paraId="0785A824" w14:textId="77777777" w:rsidR="00EA5BBF" w:rsidRPr="001570EA" w:rsidRDefault="00EA5BBF" w:rsidP="00EA5BBF">
      <w:pPr>
        <w:pStyle w:val="BodyText"/>
      </w:pPr>
    </w:p>
    <w:p w14:paraId="2D901158" w14:textId="77777777" w:rsidR="00EA5BBF" w:rsidRPr="001570EA" w:rsidRDefault="00EA5BBF" w:rsidP="00EA5BBF">
      <w:pPr>
        <w:pStyle w:val="SubStyle"/>
      </w:pPr>
      <w:r w:rsidRPr="001570EA">
        <w:t>Algorithms</w:t>
      </w:r>
    </w:p>
    <w:p w14:paraId="0AF63384" w14:textId="77777777" w:rsidR="00EA5BBF" w:rsidRPr="001570EA" w:rsidRDefault="00EA5BBF" w:rsidP="00EA5BBF">
      <w:pPr>
        <w:pStyle w:val="BodyText"/>
      </w:pPr>
      <w:r w:rsidRPr="001570EA">
        <w:t>There are two approaches that can be utilized to estimate savings due to air sealing, one using algorithms requiring EDC data gathering, and a default savings method when data are unavailable. The annual energy and peak demand savings are obtained through the following formulas:</w:t>
      </w:r>
    </w:p>
    <w:p w14:paraId="2222FA90" w14:textId="77777777" w:rsidR="00EA5BBF" w:rsidRPr="001570EA" w:rsidRDefault="00EA5BBF" w:rsidP="00EA5BBF">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0"/>
        <w:gridCol w:w="6483"/>
      </w:tblGrid>
      <w:tr w:rsidR="00EA5BBF" w:rsidRPr="001570EA" w14:paraId="31AB36C2" w14:textId="77777777">
        <w:tc>
          <w:tcPr>
            <w:tcW w:w="1900" w:type="dxa"/>
            <w:vAlign w:val="center"/>
          </w:tcPr>
          <w:p w14:paraId="32F33537" w14:textId="77777777" w:rsidR="00EA5BBF" w:rsidRPr="001570EA" w:rsidRDefault="00EA5BBF">
            <w:pPr>
              <w:pStyle w:val="Equation"/>
              <w:ind w:left="0" w:firstLine="0"/>
              <w:rPr>
                <w:rFonts w:eastAsia="Times New Roman"/>
                <w:i w:val="0"/>
                <w:szCs w:val="20"/>
              </w:rPr>
            </w:pPr>
            <m:oMathPara>
              <m:oMathParaPr>
                <m:jc m:val="left"/>
              </m:oMathParaPr>
              <m:oMath>
                <m:r>
                  <w:rPr>
                    <w:rFonts w:ascii="Cambria Math" w:hAnsi="Cambria Math" w:cs="Arial"/>
                    <w:szCs w:val="20"/>
                  </w:rPr>
                  <m:t>∆kW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cool</m:t>
                    </m:r>
                  </m:sub>
                </m:sSub>
              </m:oMath>
            </m:oMathPara>
          </w:p>
        </w:tc>
        <w:tc>
          <w:tcPr>
            <w:tcW w:w="6483" w:type="dxa"/>
          </w:tcPr>
          <w:p w14:paraId="374D3CB9" w14:textId="77777777" w:rsidR="00EA5BBF" w:rsidRPr="001570EA" w:rsidRDefault="003B5E04">
            <w:pPr>
              <w:pStyle w:val="Equation"/>
              <w:ind w:left="0" w:firstLine="0"/>
              <w:rPr>
                <w:rFonts w:eastAsia="Times New Roman"/>
                <w:i w:val="0"/>
                <w:szCs w:val="20"/>
              </w:rPr>
            </w:pPr>
            <m:oMathPara>
              <m:oMathParaPr>
                <m:jc m:val="left"/>
              </m:oMathParaPr>
              <m:oMath>
                <m:f>
                  <m:fPr>
                    <m:ctrlPr>
                      <w:rPr>
                        <w:rFonts w:ascii="Cambria Math" w:hAnsi="Cambria Math" w:cs="Arial"/>
                        <w:i w:val="0"/>
                        <w:szCs w:val="20"/>
                      </w:rPr>
                    </m:ctrlPr>
                  </m:fPr>
                  <m:num>
                    <m:r>
                      <w:rPr>
                        <w:rFonts w:ascii="Cambria Math" w:hAnsi="Cambria Math" w:cs="Arial"/>
                        <w:szCs w:val="20"/>
                      </w:rPr>
                      <m:t>1.08×∆CF</m:t>
                    </m:r>
                    <m:sSub>
                      <m:sSubPr>
                        <m:ctrlPr>
                          <w:rPr>
                            <w:rFonts w:ascii="Cambria Math" w:hAnsi="Cambria Math" w:cs="Arial"/>
                            <w:i w:val="0"/>
                            <w:szCs w:val="20"/>
                          </w:rPr>
                        </m:ctrlPr>
                      </m:sSubPr>
                      <m:e>
                        <m:r>
                          <w:rPr>
                            <w:rFonts w:ascii="Cambria Math" w:hAnsi="Cambria Math" w:cs="Arial"/>
                            <w:szCs w:val="20"/>
                          </w:rPr>
                          <m:t>M</m:t>
                        </m:r>
                      </m:e>
                      <m:sub>
                        <m:r>
                          <w:rPr>
                            <w:rFonts w:ascii="Cambria Math" w:hAnsi="Cambria Math" w:cs="Arial"/>
                            <w:szCs w:val="20"/>
                          </w:rPr>
                          <m:t>50</m:t>
                        </m:r>
                      </m:sub>
                    </m:sSub>
                    <m:r>
                      <w:rPr>
                        <w:rFonts w:ascii="Cambria Math" w:hAnsi="Cambria Math" w:cs="Arial"/>
                        <w:szCs w:val="20"/>
                      </w:rPr>
                      <m:t>×CDD×24×ISR</m:t>
                    </m:r>
                  </m:num>
                  <m:den>
                    <m:r>
                      <w:rPr>
                        <w:rFonts w:ascii="Cambria Math" w:hAnsi="Cambria Math" w:cs="Arial"/>
                        <w:szCs w:val="20"/>
                      </w:rPr>
                      <m:t>N×SEER2×1,000</m:t>
                    </m:r>
                  </m:den>
                </m:f>
                <m:r>
                  <w:rPr>
                    <w:rFonts w:ascii="Cambria Math" w:hAnsi="Cambria Math" w:cs="Arial"/>
                    <w:szCs w:val="20"/>
                  </w:rPr>
                  <m:t xml:space="preserve"> ×LM×DUA</m:t>
                </m:r>
                <m:r>
                  <w:rPr>
                    <w:rFonts w:ascii="Cambria Math" w:eastAsia="Times New Roman" w:hAnsi="Cambria Math"/>
                    <w:szCs w:val="17"/>
                  </w:rPr>
                  <m:t>×</m:t>
                </m:r>
                <m:sSub>
                  <m:sSubPr>
                    <m:ctrlPr>
                      <w:rPr>
                        <w:rFonts w:ascii="Cambria Math" w:eastAsia="Times New Roman" w:hAnsi="Cambria Math"/>
                        <w:i w:val="0"/>
                        <w:szCs w:val="17"/>
                      </w:rPr>
                    </m:ctrlPr>
                  </m:sSubPr>
                  <m:e>
                    <m:r>
                      <w:rPr>
                        <w:rFonts w:ascii="Cambria Math" w:eastAsia="Times New Roman" w:hAnsi="Cambria Math"/>
                        <w:szCs w:val="17"/>
                      </w:rPr>
                      <m:t>F</m:t>
                    </m:r>
                  </m:e>
                  <m:sub>
                    <m:r>
                      <w:rPr>
                        <w:rFonts w:ascii="Cambria Math" w:eastAsia="Times New Roman" w:hAnsi="Cambria Math"/>
                        <w:szCs w:val="17"/>
                      </w:rPr>
                      <m:t>RAC</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m:t>
                    </m:r>
                  </m:e>
                  <m:sub>
                    <m:r>
                      <w:rPr>
                        <w:rFonts w:ascii="Cambria Math" w:hAnsi="Cambria Math" w:cs="Arial"/>
                        <w:szCs w:val="20"/>
                      </w:rPr>
                      <m:t>elec</m:t>
                    </m:r>
                  </m:sub>
                </m:sSub>
              </m:oMath>
            </m:oMathPara>
          </w:p>
          <w:p w14:paraId="291F5276" w14:textId="77777777" w:rsidR="00EA5BBF" w:rsidRPr="001570EA" w:rsidRDefault="00EA5BBF">
            <w:pPr>
              <w:pStyle w:val="Equation"/>
              <w:ind w:left="0" w:firstLine="0"/>
              <w:rPr>
                <w:rFonts w:eastAsia="Times New Roman"/>
                <w:i w:val="0"/>
                <w:sz w:val="17"/>
                <w:szCs w:val="17"/>
              </w:rPr>
            </w:pPr>
          </w:p>
        </w:tc>
      </w:tr>
      <w:tr w:rsidR="00EA5BBF" w:rsidRPr="001570EA" w14:paraId="1C3FDAD6" w14:textId="77777777">
        <w:tc>
          <w:tcPr>
            <w:tcW w:w="1900" w:type="dxa"/>
          </w:tcPr>
          <w:p w14:paraId="10608BAB" w14:textId="77777777" w:rsidR="00EA5BBF" w:rsidRPr="001570EA" w:rsidRDefault="00EA5BBF">
            <w:pPr>
              <w:pStyle w:val="Equation"/>
              <w:ind w:left="0" w:firstLine="0"/>
              <w:rPr>
                <w:rFonts w:eastAsia="Times New Roman"/>
                <w:i w:val="0"/>
              </w:rPr>
            </w:pPr>
            <m:oMathPara>
              <m:oMathParaPr>
                <m:jc m:val="left"/>
              </m:oMathParaPr>
              <m:oMath>
                <m:r>
                  <w:rPr>
                    <w:rFonts w:ascii="Cambria Math" w:hAnsi="Cambria Math" w:cs="Arial"/>
                    <w:szCs w:val="20"/>
                  </w:rPr>
                  <m:t>∆kW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heat</m:t>
                    </m:r>
                  </m:sub>
                </m:sSub>
              </m:oMath>
            </m:oMathPara>
          </w:p>
        </w:tc>
        <w:tc>
          <w:tcPr>
            <w:tcW w:w="6483" w:type="dxa"/>
          </w:tcPr>
          <w:p w14:paraId="62DAD4C5" w14:textId="77777777" w:rsidR="00EA5BBF" w:rsidRPr="001570EA" w:rsidRDefault="00EA5BBF">
            <w:pPr>
              <w:pStyle w:val="Equation"/>
              <w:ind w:left="0" w:firstLine="0"/>
              <w:rPr>
                <w:rFonts w:eastAsia="Times New Roman"/>
                <w:i w:val="0"/>
                <w:szCs w:val="20"/>
              </w:rPr>
            </w:pPr>
            <m:oMathPara>
              <m:oMathParaPr>
                <m:jc m:val="left"/>
              </m:oMathParaPr>
              <m:oMath>
                <m:r>
                  <w:rPr>
                    <w:rFonts w:ascii="Cambria Math" w:hAnsi="Cambria Math" w:cs="Arial"/>
                    <w:szCs w:val="20"/>
                  </w:rPr>
                  <m:t>=</m:t>
                </m:r>
                <m:f>
                  <m:fPr>
                    <m:ctrlPr>
                      <w:rPr>
                        <w:rFonts w:ascii="Cambria Math" w:hAnsi="Cambria Math" w:cs="Arial"/>
                        <w:i w:val="0"/>
                        <w:szCs w:val="20"/>
                      </w:rPr>
                    </m:ctrlPr>
                  </m:fPr>
                  <m:num>
                    <m:r>
                      <w:rPr>
                        <w:rFonts w:ascii="Cambria Math" w:hAnsi="Cambria Math" w:cs="Arial"/>
                        <w:szCs w:val="20"/>
                      </w:rPr>
                      <m:t>1.08×∆CF</m:t>
                    </m:r>
                    <m:sSub>
                      <m:sSubPr>
                        <m:ctrlPr>
                          <w:rPr>
                            <w:rFonts w:ascii="Cambria Math" w:hAnsi="Cambria Math" w:cs="Arial"/>
                            <w:i w:val="0"/>
                            <w:szCs w:val="20"/>
                          </w:rPr>
                        </m:ctrlPr>
                      </m:sSubPr>
                      <m:e>
                        <m:r>
                          <w:rPr>
                            <w:rFonts w:ascii="Cambria Math" w:hAnsi="Cambria Math" w:cs="Arial"/>
                            <w:szCs w:val="20"/>
                          </w:rPr>
                          <m:t>M</m:t>
                        </m:r>
                      </m:e>
                      <m:sub>
                        <m:r>
                          <w:rPr>
                            <w:rFonts w:ascii="Cambria Math" w:hAnsi="Cambria Math" w:cs="Arial"/>
                            <w:szCs w:val="20"/>
                          </w:rPr>
                          <m:t>50</m:t>
                        </m:r>
                      </m:sub>
                    </m:sSub>
                    <m:r>
                      <w:rPr>
                        <w:rFonts w:ascii="Cambria Math" w:hAnsi="Cambria Math" w:cs="Arial"/>
                        <w:szCs w:val="20"/>
                      </w:rPr>
                      <m:t>×HDD×24×ISR</m:t>
                    </m:r>
                  </m:num>
                  <m:den>
                    <m:r>
                      <w:rPr>
                        <w:rFonts w:ascii="Cambria Math" w:hAnsi="Cambria Math" w:cs="Arial"/>
                        <w:szCs w:val="20"/>
                      </w:rPr>
                      <m:t>N×HSPF2×1,000</m:t>
                    </m:r>
                  </m:den>
                </m:f>
                <m:r>
                  <w:rPr>
                    <w:rFonts w:ascii="Cambria Math" w:hAnsi="Cambria Math" w:cs="Arial"/>
                    <w:szCs w:val="20"/>
                  </w:rPr>
                  <m:t xml:space="preserve"> ×</m:t>
                </m:r>
                <m:sSub>
                  <m:sSubPr>
                    <m:ctrlPr>
                      <w:rPr>
                        <w:rFonts w:ascii="Cambria Math" w:hAnsi="Cambria Math" w:cs="Arial"/>
                        <w:szCs w:val="20"/>
                      </w:rPr>
                    </m:ctrlPr>
                  </m:sSubPr>
                  <m:e>
                    <m:r>
                      <w:rPr>
                        <w:rFonts w:ascii="Cambria Math" w:hAnsi="Cambria Math" w:cs="Arial"/>
                        <w:szCs w:val="20"/>
                      </w:rPr>
                      <m:t>%</m:t>
                    </m:r>
                  </m:e>
                  <m:sub>
                    <m:r>
                      <w:rPr>
                        <w:rFonts w:ascii="Cambria Math" w:hAnsi="Cambria Math" w:cs="Arial"/>
                        <w:szCs w:val="20"/>
                      </w:rPr>
                      <m:t>elec</m:t>
                    </m:r>
                  </m:sub>
                </m:sSub>
              </m:oMath>
            </m:oMathPara>
          </w:p>
          <w:p w14:paraId="00216582" w14:textId="77777777" w:rsidR="00EA5BBF" w:rsidRPr="001570EA" w:rsidRDefault="00EA5BBF">
            <w:pPr>
              <w:pStyle w:val="Equation"/>
              <w:ind w:left="0" w:firstLine="0"/>
              <w:rPr>
                <w:rFonts w:eastAsia="Times New Roman"/>
                <w:i w:val="0"/>
                <w:sz w:val="16"/>
              </w:rPr>
            </w:pPr>
          </w:p>
        </w:tc>
      </w:tr>
      <w:tr w:rsidR="00EA5BBF" w:rsidRPr="001570EA" w14:paraId="19F418AD" w14:textId="77777777">
        <w:tc>
          <w:tcPr>
            <w:tcW w:w="1900" w:type="dxa"/>
          </w:tcPr>
          <w:p w14:paraId="58BAF678" w14:textId="77777777" w:rsidR="00EA5BBF" w:rsidRPr="001570EA" w:rsidRDefault="00EA5BBF">
            <w:pPr>
              <w:pStyle w:val="Equation"/>
              <w:ind w:left="0" w:firstLine="0"/>
              <w:rPr>
                <w:rFonts w:eastAsia="Times New Roman"/>
                <w:i w:val="0"/>
              </w:rPr>
            </w:pPr>
            <m:oMath>
              <m:r>
                <w:rPr>
                  <w:rFonts w:ascii="Cambria Math" w:hAnsi="Cambria Math" w:cs="Arial"/>
                  <w:szCs w:val="20"/>
                </w:rPr>
                <m:t>∆kWh</m:t>
              </m:r>
            </m:oMath>
            <w:r w:rsidRPr="001570EA">
              <w:rPr>
                <w:rFonts w:eastAsia="Times New Roman"/>
                <w:i w:val="0"/>
                <w:szCs w:val="20"/>
              </w:rPr>
              <w:t xml:space="preserve"> </w:t>
            </w:r>
          </w:p>
        </w:tc>
        <w:tc>
          <w:tcPr>
            <w:tcW w:w="6483" w:type="dxa"/>
          </w:tcPr>
          <w:p w14:paraId="178E40B3" w14:textId="0A73267A" w:rsidR="00EA5BBF" w:rsidRPr="001570EA" w:rsidRDefault="00EA5BBF">
            <w:pPr>
              <w:pStyle w:val="Equation"/>
              <w:tabs>
                <w:tab w:val="clear" w:pos="2880"/>
                <w:tab w:val="left" w:pos="3762"/>
              </w:tabs>
              <w:ind w:left="0" w:firstLine="0"/>
              <w:rPr>
                <w:rFonts w:eastAsia="Times New Roman"/>
                <w:i w:val="0"/>
                <w:szCs w:val="20"/>
              </w:rPr>
            </w:pPr>
            <m:oMath>
              <m:r>
                <w:rPr>
                  <w:rFonts w:ascii="Cambria Math" w:hAnsi="Cambria Math" w:cs="Arial"/>
                  <w:szCs w:val="20"/>
                </w:rPr>
                <m:t>=</m:t>
              </m:r>
              <m:d>
                <m:dPr>
                  <m:ctrlPr>
                    <w:rPr>
                      <w:rFonts w:ascii="Cambria Math" w:hAnsi="Cambria Math" w:cs="Arial"/>
                      <w:i w:val="0"/>
                      <w:szCs w:val="20"/>
                    </w:rPr>
                  </m:ctrlPr>
                </m:dPr>
                <m:e>
                  <m:r>
                    <w:rPr>
                      <w:rFonts w:ascii="Cambria Math" w:hAnsi="Cambria Math" w:cs="Arial"/>
                      <w:szCs w:val="20"/>
                    </w:rPr>
                    <m:t>∆kW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cool</m:t>
                      </m:r>
                    </m:sub>
                  </m:sSub>
                  <m:r>
                    <w:rPr>
                      <w:rFonts w:ascii="Cambria Math" w:hAnsi="Cambria Math" w:cs="Arial"/>
                      <w:szCs w:val="20"/>
                    </w:rPr>
                    <m:t>+∆kW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heat</m:t>
                      </m:r>
                    </m:sub>
                  </m:sSub>
                </m:e>
              </m:d>
              <m:r>
                <w:rPr>
                  <w:rFonts w:ascii="Cambria Math" w:hAnsi="Cambria Math" w:cs="Arial"/>
                  <w:szCs w:val="20"/>
                </w:rPr>
                <m:t>&lt;400 kWh</m:t>
              </m:r>
            </m:oMath>
            <w:r w:rsidRPr="001570EA">
              <w:rPr>
                <w:rFonts w:eastAsia="Times New Roman"/>
                <w:i w:val="0"/>
                <w:szCs w:val="20"/>
              </w:rPr>
              <w:tab/>
            </w:r>
            <w:r w:rsidRPr="001570EA">
              <w:rPr>
                <w:rFonts w:eastAsia="Times New Roman"/>
                <w:i w:val="0"/>
                <w:szCs w:val="20"/>
                <w:u w:val="single"/>
              </w:rPr>
              <w:t xml:space="preserve">If &gt; 400 kWh use Sec. </w:t>
            </w:r>
            <w:r w:rsidRPr="001570EA">
              <w:rPr>
                <w:rFonts w:eastAsia="Times New Roman"/>
                <w:i w:val="0"/>
                <w:szCs w:val="20"/>
                <w:u w:val="single"/>
              </w:rPr>
              <w:fldChar w:fldCharType="begin"/>
            </w:r>
            <w:r w:rsidRPr="001570EA">
              <w:rPr>
                <w:rFonts w:eastAsia="Times New Roman"/>
                <w:i w:val="0"/>
                <w:szCs w:val="20"/>
                <w:u w:val="single"/>
              </w:rPr>
              <w:instrText xml:space="preserve"> REF _Ref534295556 \r \h  \* MERGEFORMAT </w:instrText>
            </w:r>
            <w:r w:rsidRPr="001570EA">
              <w:rPr>
                <w:rFonts w:eastAsia="Times New Roman"/>
                <w:i w:val="0"/>
                <w:szCs w:val="20"/>
                <w:u w:val="single"/>
              </w:rPr>
            </w:r>
            <w:r w:rsidRPr="001570EA">
              <w:rPr>
                <w:rFonts w:eastAsia="Times New Roman"/>
                <w:i w:val="0"/>
                <w:szCs w:val="20"/>
                <w:u w:val="single"/>
              </w:rPr>
              <w:fldChar w:fldCharType="separate"/>
            </w:r>
            <w:r w:rsidR="00234C6C" w:rsidRPr="001570EA">
              <w:rPr>
                <w:rFonts w:eastAsia="Times New Roman"/>
                <w:i w:val="0"/>
                <w:szCs w:val="20"/>
                <w:u w:val="single"/>
              </w:rPr>
              <w:t>2.6.1</w:t>
            </w:r>
            <w:r w:rsidRPr="001570EA">
              <w:rPr>
                <w:rFonts w:eastAsia="Times New Roman"/>
                <w:i w:val="0"/>
                <w:szCs w:val="20"/>
                <w:u w:val="single"/>
              </w:rPr>
              <w:fldChar w:fldCharType="end"/>
            </w:r>
          </w:p>
          <w:p w14:paraId="4754C41B" w14:textId="77777777" w:rsidR="00EA5BBF" w:rsidRPr="001570EA" w:rsidRDefault="00EA5BBF">
            <w:pPr>
              <w:pStyle w:val="Equation"/>
              <w:ind w:left="0" w:firstLine="0"/>
              <w:rPr>
                <w:rFonts w:eastAsia="Times New Roman"/>
                <w:i w:val="0"/>
              </w:rPr>
            </w:pPr>
          </w:p>
        </w:tc>
      </w:tr>
      <w:tr w:rsidR="00EA5BBF" w:rsidRPr="001570EA" w14:paraId="4884196D" w14:textId="77777777">
        <w:tc>
          <w:tcPr>
            <w:tcW w:w="1900" w:type="dxa"/>
          </w:tcPr>
          <w:p w14:paraId="446368A8" w14:textId="77777777" w:rsidR="00EA5BBF" w:rsidRPr="001570EA" w:rsidRDefault="00EA5BBF">
            <w:pPr>
              <w:pStyle w:val="Equation"/>
              <w:ind w:left="0" w:firstLine="0"/>
              <w:rPr>
                <w:rFonts w:cs="Arial"/>
                <w:szCs w:val="20"/>
              </w:rPr>
            </w:pPr>
            <m:oMathPara>
              <m:oMathParaPr>
                <m:jc m:val="left"/>
              </m:oMathParaPr>
              <m:oMath>
                <m:r>
                  <m:rPr>
                    <m:nor/>
                  </m:rPr>
                  <w:rPr>
                    <w:rFonts w:ascii="Cambria Math" w:hAnsi="Cambria Math"/>
                  </w:rPr>
                  <m:t>∆</m:t>
                </m:r>
                <m:sSub>
                  <m:sSubPr>
                    <m:ctrlPr>
                      <w:rPr>
                        <w:rFonts w:ascii="Cambria Math" w:hAnsi="Cambria Math"/>
                        <w:i w:val="0"/>
                      </w:rPr>
                    </m:ctrlPr>
                  </m:sSubPr>
                  <m:e>
                    <m:r>
                      <w:rPr>
                        <w:rFonts w:ascii="Cambria Math" w:hAnsi="Cambria Math"/>
                      </w:rPr>
                      <m:t>kW</m:t>
                    </m:r>
                  </m:e>
                  <m:sub>
                    <m:r>
                      <w:rPr>
                        <w:rFonts w:ascii="Cambria Math" w:hAnsi="Cambria Math"/>
                      </w:rPr>
                      <m:t>summer peak</m:t>
                    </m:r>
                  </m:sub>
                </m:sSub>
              </m:oMath>
            </m:oMathPara>
          </w:p>
        </w:tc>
        <w:tc>
          <w:tcPr>
            <w:tcW w:w="6483" w:type="dxa"/>
          </w:tcPr>
          <w:p w14:paraId="34B2DDA2" w14:textId="77777777" w:rsidR="00EA5BBF" w:rsidRPr="001570EA" w:rsidRDefault="00EA5BBF">
            <w:pPr>
              <w:pStyle w:val="Equation"/>
              <w:ind w:left="0" w:firstLine="0"/>
              <w:rPr>
                <w:rFonts w:cs="Arial"/>
                <w:szCs w:val="20"/>
              </w:rPr>
            </w:pPr>
            <m:oMathPara>
              <m:oMathParaPr>
                <m:jc m:val="left"/>
              </m:oMathParaPr>
              <m:oMath>
                <m:r>
                  <w:rPr>
                    <w:rFonts w:ascii="Cambria Math" w:hAnsi="Cambria Math" w:cs="Arial"/>
                    <w:szCs w:val="20"/>
                  </w:rPr>
                  <m:t>=∆kW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cool</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ETDF</m:t>
                    </m:r>
                  </m:e>
                  <m:sub>
                    <m:r>
                      <w:rPr>
                        <w:rFonts w:ascii="Cambria Math" w:hAnsi="Cambria Math" w:cs="Arial"/>
                        <w:szCs w:val="20"/>
                      </w:rPr>
                      <m:t>summer</m:t>
                    </m:r>
                  </m:sub>
                </m:sSub>
              </m:oMath>
            </m:oMathPara>
          </w:p>
          <w:p w14:paraId="4CED5935" w14:textId="77777777" w:rsidR="00EA5BBF" w:rsidRPr="001570EA" w:rsidRDefault="00EA5BBF">
            <w:pPr>
              <w:pStyle w:val="Equation"/>
              <w:ind w:left="0" w:firstLine="0"/>
              <w:rPr>
                <w:rFonts w:cs="Arial"/>
              </w:rPr>
            </w:pPr>
          </w:p>
        </w:tc>
      </w:tr>
      <w:tr w:rsidR="00EA5BBF" w:rsidRPr="001570EA" w14:paraId="6814BA05" w14:textId="77777777">
        <w:tc>
          <w:tcPr>
            <w:tcW w:w="1900" w:type="dxa"/>
          </w:tcPr>
          <w:p w14:paraId="0ED035E7" w14:textId="77777777" w:rsidR="00EA5BBF" w:rsidRPr="001570EA" w:rsidRDefault="00EA5BBF">
            <w:pPr>
              <w:pStyle w:val="Equation"/>
              <w:ind w:left="0" w:firstLine="0"/>
              <w:rPr>
                <w:rFonts w:eastAsia="Times New Roman"/>
                <w:i w:val="0"/>
              </w:rPr>
            </w:pPr>
            <m:oMathPara>
              <m:oMathParaPr>
                <m:jc m:val="left"/>
              </m:oMathParaPr>
              <m:oMath>
                <m:r>
                  <m:rPr>
                    <m:nor/>
                  </m:rPr>
                  <w:rPr>
                    <w:rFonts w:ascii="Cambria Math" w:hAnsi="Cambria Math"/>
                  </w:rPr>
                  <m:t>∆</m:t>
                </m:r>
                <m:sSub>
                  <m:sSubPr>
                    <m:ctrlPr>
                      <w:rPr>
                        <w:rFonts w:ascii="Cambria Math" w:hAnsi="Cambria Math"/>
                        <w:i w:val="0"/>
                      </w:rPr>
                    </m:ctrlPr>
                  </m:sSubPr>
                  <m:e>
                    <m:r>
                      <w:rPr>
                        <w:rFonts w:ascii="Cambria Math" w:hAnsi="Cambria Math"/>
                      </w:rPr>
                      <m:t>kW</m:t>
                    </m:r>
                  </m:e>
                  <m:sub>
                    <m:r>
                      <w:rPr>
                        <w:rFonts w:ascii="Cambria Math" w:hAnsi="Cambria Math"/>
                      </w:rPr>
                      <m:t>winter peak</m:t>
                    </m:r>
                  </m:sub>
                </m:sSub>
              </m:oMath>
            </m:oMathPara>
          </w:p>
        </w:tc>
        <w:tc>
          <w:tcPr>
            <w:tcW w:w="6483" w:type="dxa"/>
          </w:tcPr>
          <w:p w14:paraId="64B0A772" w14:textId="77777777" w:rsidR="00EA5BBF" w:rsidRPr="001570EA" w:rsidRDefault="00EA5BBF">
            <w:pPr>
              <w:pStyle w:val="Equation"/>
              <w:ind w:left="0" w:firstLine="0"/>
              <w:rPr>
                <w:rFonts w:cs="Arial"/>
                <w:szCs w:val="20"/>
              </w:rPr>
            </w:pPr>
            <m:oMathPara>
              <m:oMathParaPr>
                <m:jc m:val="left"/>
              </m:oMathParaPr>
              <m:oMath>
                <m:r>
                  <w:rPr>
                    <w:rFonts w:ascii="Cambria Math" w:hAnsi="Cambria Math" w:cs="Arial"/>
                    <w:szCs w:val="20"/>
                  </w:rPr>
                  <m:t>=∆kW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heat</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ETDF</m:t>
                    </m:r>
                  </m:e>
                  <m:sub>
                    <m:r>
                      <w:rPr>
                        <w:rFonts w:ascii="Cambria Math" w:hAnsi="Cambria Math" w:cs="Arial"/>
                        <w:szCs w:val="20"/>
                      </w:rPr>
                      <m:t>winter</m:t>
                    </m:r>
                  </m:sub>
                </m:sSub>
              </m:oMath>
            </m:oMathPara>
          </w:p>
        </w:tc>
      </w:tr>
    </w:tbl>
    <w:p w14:paraId="7E314A73" w14:textId="77777777" w:rsidR="00EA5BBF" w:rsidRPr="001570EA" w:rsidRDefault="00EA5BBF" w:rsidP="00EA5BBF"/>
    <w:p w14:paraId="4402088D" w14:textId="77777777" w:rsidR="00EA5BBF" w:rsidRPr="001570EA" w:rsidRDefault="00EA5BBF" w:rsidP="00EA5BBF">
      <w:pPr>
        <w:pStyle w:val="3ptheading"/>
      </w:pPr>
      <w:r w:rsidRPr="001570EA">
        <w:rPr>
          <w:rFonts w:cs="Arial"/>
        </w:rPr>
        <w:t>Gr</w:t>
      </w:r>
      <w:r w:rsidRPr="001570EA">
        <w:t>ound Source Heat Pumps (GSHP)</w:t>
      </w:r>
    </w:p>
    <w:p w14:paraId="1D0EDCEC" w14:textId="77777777" w:rsidR="00EA5BBF" w:rsidRPr="001570EA" w:rsidRDefault="00EA5BBF" w:rsidP="00EA5BBF">
      <w:r w:rsidRPr="001570EA">
        <w:t>GSHP efficiencies are typically calculated differently than air-source units, baseline and qualifying unit efficiencies should be converted as follows:</w:t>
      </w:r>
    </w:p>
    <w:p w14:paraId="5E3DF916" w14:textId="77777777" w:rsidR="00EA5BBF" w:rsidRPr="001570EA" w:rsidRDefault="00EA5BBF" w:rsidP="00EA5BBF"/>
    <w:p w14:paraId="0A89B968" w14:textId="77777777" w:rsidR="00EA5BBF" w:rsidRPr="001570EA" w:rsidRDefault="00EA5BBF" w:rsidP="00EA5BBF">
      <w:pPr>
        <w:tabs>
          <w:tab w:val="left" w:pos="1440"/>
        </w:tabs>
        <w:spacing w:before="120"/>
        <w:rPr>
          <w:rFonts w:ascii="Cambria Math" w:hAnsi="Cambria Math"/>
          <w:i/>
        </w:rPr>
      </w:pPr>
      <w:r w:rsidRPr="001570EA">
        <w:rPr>
          <w:rFonts w:ascii="Cambria Math" w:hAnsi="Cambria Math"/>
          <w:i/>
        </w:rPr>
        <w:t>SEER</w:t>
      </w:r>
      <w:r w:rsidRPr="001570EA">
        <w:rPr>
          <w:rFonts w:ascii="Cambria Math" w:hAnsi="Cambria Math"/>
          <w:i/>
          <w:vertAlign w:val="subscript"/>
        </w:rPr>
        <w:tab/>
      </w:r>
      <w:r w:rsidRPr="001570EA">
        <w:rPr>
          <w:rFonts w:ascii="Cambria Math" w:hAnsi="Cambria Math"/>
          <w:i/>
        </w:rPr>
        <w:t>= EER</w:t>
      </w:r>
      <w:r w:rsidRPr="001570EA">
        <w:rPr>
          <w:rFonts w:ascii="Cambria Math" w:hAnsi="Cambria Math"/>
          <w:i/>
          <w:vertAlign w:val="subscript"/>
        </w:rPr>
        <w:t>g</w:t>
      </w:r>
      <w:r w:rsidRPr="001570EA">
        <w:rPr>
          <w:rFonts w:ascii="Cambria Math" w:hAnsi="Cambria Math"/>
          <w:i/>
        </w:rPr>
        <w:t xml:space="preserve"> × GSHPDF </w:t>
      </w:r>
    </w:p>
    <w:p w14:paraId="609A7A49" w14:textId="77777777" w:rsidR="00EA5BBF" w:rsidRPr="001570EA" w:rsidRDefault="00EA5BBF" w:rsidP="00EA5BBF">
      <w:pPr>
        <w:tabs>
          <w:tab w:val="left" w:pos="1440"/>
        </w:tabs>
        <w:spacing w:before="60"/>
        <w:rPr>
          <w:rFonts w:ascii="Cambria Math" w:hAnsi="Cambria Math"/>
          <w:b/>
          <w:i/>
        </w:rPr>
      </w:pPr>
      <w:r w:rsidRPr="001570EA">
        <w:rPr>
          <w:rFonts w:ascii="Cambria Math" w:hAnsi="Cambria Math"/>
          <w:i/>
        </w:rPr>
        <w:t>HSPF</w:t>
      </w:r>
      <w:r w:rsidRPr="001570EA">
        <w:rPr>
          <w:rFonts w:ascii="Cambria Math" w:hAnsi="Cambria Math"/>
          <w:b/>
          <w:i/>
          <w:vertAlign w:val="subscript"/>
        </w:rPr>
        <w:tab/>
      </w:r>
      <w:r w:rsidRPr="001570EA">
        <w:rPr>
          <w:rFonts w:ascii="Cambria Math" w:hAnsi="Cambria Math"/>
          <w:b/>
          <w:i/>
        </w:rPr>
        <w:t>=</w:t>
      </w:r>
      <w:r w:rsidRPr="001570EA">
        <w:rPr>
          <w:rFonts w:ascii="Cambria Math" w:hAnsi="Cambria Math"/>
          <w:i/>
        </w:rPr>
        <w:t>COP</w:t>
      </w:r>
      <w:r w:rsidRPr="001570EA">
        <w:rPr>
          <w:rFonts w:ascii="Cambria Math" w:hAnsi="Cambria Math"/>
          <w:i/>
          <w:vertAlign w:val="subscript"/>
        </w:rPr>
        <w:t>g</w:t>
      </w:r>
      <w:r w:rsidRPr="001570EA">
        <w:rPr>
          <w:rFonts w:ascii="Cambria Math" w:hAnsi="Cambria Math"/>
          <w:i/>
        </w:rPr>
        <w:t xml:space="preserve"> </w:t>
      </w:r>
      <w:r w:rsidRPr="001570EA">
        <w:rPr>
          <w:rFonts w:ascii="Cambria Math" w:hAnsi="Cambria Math"/>
        </w:rPr>
        <w:t xml:space="preserve">× </w:t>
      </w:r>
      <w:r w:rsidRPr="001570EA">
        <w:rPr>
          <w:rFonts w:ascii="Cambria Math" w:hAnsi="Cambria Math"/>
          <w:i/>
        </w:rPr>
        <w:t xml:space="preserve">GSHPDF </w:t>
      </w:r>
      <w:r w:rsidRPr="001570EA">
        <w:rPr>
          <w:rFonts w:ascii="Cambria Math" w:hAnsi="Cambria Math"/>
        </w:rPr>
        <w:t>×3.412</w:t>
      </w:r>
      <m:oMath>
        <m:f>
          <m:fPr>
            <m:ctrlPr>
              <w:rPr>
                <w:rFonts w:ascii="Cambria Math" w:hAnsi="Cambria Math" w:cs="Arial"/>
              </w:rPr>
            </m:ctrlPr>
          </m:fPr>
          <m:num>
            <m:r>
              <m:rPr>
                <m:nor/>
              </m:rPr>
              <w:rPr>
                <w:rFonts w:ascii="Cambria Math" w:hAnsi="Cambria Math" w:cs="Arial"/>
                <w:iCs/>
              </w:rPr>
              <m:t>BTU</m:t>
            </m:r>
            <m:ctrlPr>
              <w:rPr>
                <w:rFonts w:ascii="Cambria Math" w:hAnsi="Cambria Math" w:cs="Arial"/>
                <w:iCs/>
              </w:rPr>
            </m:ctrlPr>
          </m:num>
          <m:den>
            <m:r>
              <m:rPr>
                <m:nor/>
              </m:rPr>
              <w:rPr>
                <w:rFonts w:ascii="Cambria Math" w:hAnsi="Cambria Math" w:cs="Arial"/>
                <w:iCs/>
              </w:rPr>
              <m:t>W∙h</m:t>
            </m:r>
          </m:den>
        </m:f>
      </m:oMath>
    </w:p>
    <w:p w14:paraId="21522281" w14:textId="77777777" w:rsidR="00EA5BBF" w:rsidRPr="001570EA" w:rsidRDefault="00EA5BBF" w:rsidP="00EA5BBF">
      <w:pPr>
        <w:jc w:val="left"/>
        <w:rPr>
          <w:rFonts w:cs="Arial"/>
          <w:b/>
          <w:szCs w:val="20"/>
        </w:rPr>
      </w:pPr>
      <w:r w:rsidRPr="001570EA">
        <w:rPr>
          <w:rFonts w:cs="Arial"/>
        </w:rPr>
        <w:br w:type="page"/>
      </w:r>
    </w:p>
    <w:p w14:paraId="67027C7D" w14:textId="77777777" w:rsidR="00EA5BBF" w:rsidRPr="001570EA" w:rsidRDefault="00EA5BBF" w:rsidP="00EA5BBF">
      <w:pPr>
        <w:tabs>
          <w:tab w:val="left" w:pos="2160"/>
        </w:tabs>
        <w:rPr>
          <w:rFonts w:cs="Arial"/>
          <w:b/>
        </w:rPr>
      </w:pPr>
      <w:r w:rsidRPr="001570EA">
        <w:rPr>
          <w:rFonts w:cs="Arial"/>
          <w:b/>
        </w:rPr>
        <w:t>PTAC and PTHP</w:t>
      </w:r>
    </w:p>
    <w:p w14:paraId="656EA824" w14:textId="77777777" w:rsidR="00EA5BBF" w:rsidRPr="001570EA" w:rsidRDefault="00EA5BBF" w:rsidP="00EA5BBF">
      <w:pPr>
        <w:tabs>
          <w:tab w:val="left" w:pos="1440"/>
        </w:tabs>
        <w:rPr>
          <w:rFonts w:ascii="Cambria Math" w:hAnsi="Cambria Math"/>
          <w:i/>
        </w:rPr>
      </w:pPr>
      <m:oMath>
        <m:r>
          <w:rPr>
            <w:rFonts w:ascii="Cambria Math" w:hAnsi="Cambria Math" w:cs="Arial"/>
          </w:rPr>
          <m:t>SEER</m:t>
        </m:r>
      </m:oMath>
      <w:r w:rsidRPr="001570EA">
        <w:rPr>
          <w:rFonts w:ascii="Cambria Math" w:hAnsi="Cambria Math"/>
          <w:i/>
          <w:vertAlign w:val="subscript"/>
        </w:rPr>
        <w:t xml:space="preserve"> </w:t>
      </w:r>
      <w:r w:rsidRPr="001570EA">
        <w:rPr>
          <w:rFonts w:ascii="Cambria Math" w:hAnsi="Cambria Math"/>
          <w:i/>
        </w:rPr>
        <w:tab/>
      </w:r>
      <w:r w:rsidRPr="001570EA">
        <w:rPr>
          <w:rFonts w:ascii="Cambria Math" w:hAnsi="Cambria Math"/>
          <w:i/>
          <w:vertAlign w:val="subscript"/>
        </w:rPr>
        <w:t>=</w:t>
      </w:r>
      <w:r w:rsidRPr="001570EA">
        <w:rPr>
          <w:rFonts w:ascii="Cambria Math" w:hAnsi="Cambria Math"/>
          <w:i/>
        </w:rPr>
        <w:t xml:space="preserve"> EER</w:t>
      </w:r>
    </w:p>
    <w:p w14:paraId="7233EFDB" w14:textId="77777777" w:rsidR="00FA7686" w:rsidRPr="001570EA" w:rsidRDefault="00FA7686" w:rsidP="00EA5BBF">
      <w:pPr>
        <w:tabs>
          <w:tab w:val="left" w:pos="1440"/>
        </w:tabs>
        <w:rPr>
          <w:rFonts w:ascii="Cambria Math" w:hAnsi="Cambria Math"/>
          <w:i/>
          <w:vertAlign w:val="subscript"/>
        </w:rPr>
      </w:pPr>
    </w:p>
    <w:p w14:paraId="61355A06" w14:textId="77777777" w:rsidR="00EA5BBF" w:rsidRPr="001570EA" w:rsidRDefault="00EA5BBF" w:rsidP="00EA5BBF">
      <w:pPr>
        <w:pStyle w:val="SubStyle"/>
        <w:keepNext/>
      </w:pPr>
      <w:r w:rsidRPr="001570EA">
        <w:t>Definition of Terms</w:t>
      </w:r>
    </w:p>
    <w:p w14:paraId="56CB7610" w14:textId="63E50205" w:rsidR="00EA5BBF" w:rsidRPr="001570EA" w:rsidRDefault="00EA5BBF" w:rsidP="00EA5BBF">
      <w:pPr>
        <w:pStyle w:val="Caption"/>
      </w:pPr>
      <w:bookmarkStart w:id="1155" w:name="_Toc4759835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134</w:t>
      </w:r>
      <w:r w:rsidR="002E093A" w:rsidRPr="001570EA">
        <w:fldChar w:fldCharType="end"/>
      </w:r>
      <w:r w:rsidRPr="001570EA">
        <w:t>: Terms</w:t>
      </w:r>
      <w:r w:rsidRPr="001570EA">
        <w:rPr>
          <w:rFonts w:cs="Arial"/>
        </w:rPr>
        <w:t>, Values, and References for</w:t>
      </w:r>
      <w:r w:rsidRPr="001570EA">
        <w:t xml:space="preserve"> Weather Stripping</w:t>
      </w:r>
      <w:bookmarkEnd w:id="1155"/>
    </w:p>
    <w:tbl>
      <w:tblPr>
        <w:tblW w:w="494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1276"/>
        <w:gridCol w:w="2518"/>
        <w:gridCol w:w="827"/>
      </w:tblGrid>
      <w:tr w:rsidR="00EA5BBF" w:rsidRPr="001570EA" w14:paraId="29684C95" w14:textId="77777777">
        <w:tc>
          <w:tcPr>
            <w:tcW w:w="2293" w:type="pct"/>
            <w:shd w:val="clear" w:color="auto" w:fill="BFBFBF"/>
          </w:tcPr>
          <w:p w14:paraId="567D3481" w14:textId="77777777" w:rsidR="00EA5BBF" w:rsidRPr="001570EA" w:rsidRDefault="00EA5BBF">
            <w:pPr>
              <w:pStyle w:val="TableCell"/>
              <w:keepNext w:val="0"/>
              <w:spacing w:beforeLines="40" w:before="96" w:afterLines="40" w:after="96"/>
              <w:rPr>
                <w:b/>
              </w:rPr>
            </w:pPr>
            <w:r w:rsidRPr="001570EA">
              <w:rPr>
                <w:b/>
              </w:rPr>
              <w:t>Term</w:t>
            </w:r>
          </w:p>
        </w:tc>
        <w:tc>
          <w:tcPr>
            <w:tcW w:w="747" w:type="pct"/>
            <w:shd w:val="clear" w:color="auto" w:fill="BFBFBF"/>
          </w:tcPr>
          <w:p w14:paraId="1C5419E6" w14:textId="77777777" w:rsidR="00EA5BBF" w:rsidRPr="001570EA" w:rsidRDefault="00EA5BBF">
            <w:pPr>
              <w:pStyle w:val="TableCell"/>
              <w:keepNext w:val="0"/>
              <w:spacing w:beforeLines="40" w:before="96" w:afterLines="40" w:after="96"/>
              <w:jc w:val="center"/>
              <w:rPr>
                <w:b/>
                <w:bCs/>
                <w:iCs/>
              </w:rPr>
            </w:pPr>
            <w:r w:rsidRPr="001570EA">
              <w:rPr>
                <w:b/>
                <w:bCs/>
                <w:iCs/>
              </w:rPr>
              <w:t>Unit</w:t>
            </w:r>
          </w:p>
        </w:tc>
        <w:tc>
          <w:tcPr>
            <w:tcW w:w="1475" w:type="pct"/>
            <w:shd w:val="clear" w:color="auto" w:fill="BFBFBF"/>
          </w:tcPr>
          <w:p w14:paraId="617248A5" w14:textId="77777777" w:rsidR="00EA5BBF" w:rsidRPr="001570EA" w:rsidRDefault="00EA5BBF">
            <w:pPr>
              <w:pStyle w:val="TableCell"/>
              <w:keepNext w:val="0"/>
              <w:spacing w:beforeLines="40" w:before="96" w:afterLines="40" w:after="96"/>
              <w:jc w:val="center"/>
              <w:rPr>
                <w:b/>
                <w:bCs/>
                <w:iCs/>
              </w:rPr>
            </w:pPr>
            <w:r w:rsidRPr="001570EA">
              <w:rPr>
                <w:b/>
                <w:bCs/>
                <w:iCs/>
              </w:rPr>
              <w:t>Values</w:t>
            </w:r>
          </w:p>
        </w:tc>
        <w:tc>
          <w:tcPr>
            <w:tcW w:w="484" w:type="pct"/>
            <w:shd w:val="clear" w:color="auto" w:fill="BFBFBF"/>
          </w:tcPr>
          <w:p w14:paraId="7859D5B4" w14:textId="77777777" w:rsidR="00EA5BBF" w:rsidRPr="001570EA" w:rsidRDefault="00EA5BBF">
            <w:pPr>
              <w:pStyle w:val="TableCell"/>
              <w:keepNext w:val="0"/>
              <w:spacing w:beforeLines="40" w:before="96" w:afterLines="40" w:after="96"/>
              <w:jc w:val="center"/>
              <w:rPr>
                <w:b/>
                <w:bCs/>
                <w:iCs/>
              </w:rPr>
            </w:pPr>
            <w:r w:rsidRPr="001570EA">
              <w:rPr>
                <w:b/>
                <w:bCs/>
                <w:iCs/>
              </w:rPr>
              <w:t>Source</w:t>
            </w:r>
          </w:p>
        </w:tc>
      </w:tr>
      <w:tr w:rsidR="00EA5BBF" w:rsidRPr="001570EA" w14:paraId="1E1C9439" w14:textId="77777777">
        <w:tc>
          <w:tcPr>
            <w:tcW w:w="2293" w:type="pct"/>
            <w:shd w:val="clear" w:color="auto" w:fill="auto"/>
          </w:tcPr>
          <w:p w14:paraId="214EC314" w14:textId="77777777" w:rsidR="00EA5BBF" w:rsidRPr="001570EA" w:rsidRDefault="00EA5BBF">
            <w:pPr>
              <w:pStyle w:val="TableCell"/>
              <w:keepNext w:val="0"/>
              <w:spacing w:beforeLines="40" w:before="96" w:afterLines="40" w:after="96"/>
            </w:pPr>
            <m:oMath>
              <m:r>
                <m:rPr>
                  <m:nor/>
                </m:rPr>
                <w:rPr>
                  <w:rFonts w:ascii="Cambria Math" w:hAnsi="Cambria Math"/>
                  <w:i/>
                </w:rPr>
                <m:t>∆</m:t>
              </m:r>
              <m:r>
                <w:rPr>
                  <w:rFonts w:ascii="Cambria Math" w:hAnsi="Cambria Math"/>
                </w:rPr>
                <m:t>kW</m:t>
              </m:r>
              <m:sSub>
                <m:sSubPr>
                  <m:ctrlPr>
                    <w:rPr>
                      <w:rFonts w:ascii="Cambria Math" w:hAnsi="Cambria Math"/>
                      <w:i/>
                    </w:rPr>
                  </m:ctrlPr>
                </m:sSubPr>
                <m:e>
                  <m:r>
                    <w:rPr>
                      <w:rFonts w:ascii="Cambria Math" w:hAnsi="Cambria Math"/>
                    </w:rPr>
                    <m:t>h</m:t>
                  </m:r>
                </m:e>
                <m:sub>
                  <m:r>
                    <w:rPr>
                      <w:rFonts w:ascii="Cambria Math" w:hAnsi="Cambria Math"/>
                    </w:rPr>
                    <m:t>cool</m:t>
                  </m:r>
                </m:sub>
              </m:sSub>
            </m:oMath>
            <w:r w:rsidRPr="001570EA">
              <w:t>, Annual cooling energy savings</w:t>
            </w:r>
          </w:p>
        </w:tc>
        <w:tc>
          <w:tcPr>
            <w:tcW w:w="747" w:type="pct"/>
          </w:tcPr>
          <w:p w14:paraId="659E8CA9" w14:textId="77777777" w:rsidR="00EA5BBF" w:rsidRPr="001570EA" w:rsidRDefault="00EA5BBF">
            <w:pPr>
              <w:pStyle w:val="TableCell"/>
              <w:keepNext w:val="0"/>
              <w:spacing w:beforeLines="40" w:before="96" w:afterLines="40" w:after="96"/>
              <w:jc w:val="center"/>
            </w:pPr>
            <w:r w:rsidRPr="001570EA">
              <w:rPr>
                <w:rFonts w:eastAsia="Arial Unicode MS"/>
                <w:i/>
              </w:rPr>
              <w:t>kWh/year</w:t>
            </w:r>
          </w:p>
        </w:tc>
        <w:tc>
          <w:tcPr>
            <w:tcW w:w="1475" w:type="pct"/>
            <w:shd w:val="clear" w:color="auto" w:fill="auto"/>
          </w:tcPr>
          <w:p w14:paraId="0E872AA8" w14:textId="77777777" w:rsidR="00EA5BBF" w:rsidRPr="001570EA" w:rsidRDefault="00EA5BBF">
            <w:pPr>
              <w:pStyle w:val="TableCell"/>
              <w:keepNext w:val="0"/>
              <w:spacing w:beforeLines="40" w:before="96" w:afterLines="40" w:after="96"/>
              <w:jc w:val="center"/>
            </w:pPr>
            <w:r w:rsidRPr="001570EA">
              <w:t>Calculated</w:t>
            </w:r>
          </w:p>
        </w:tc>
        <w:tc>
          <w:tcPr>
            <w:tcW w:w="484" w:type="pct"/>
          </w:tcPr>
          <w:p w14:paraId="727C1AC9" w14:textId="77777777" w:rsidR="00EA5BBF" w:rsidRPr="001570EA" w:rsidRDefault="00EA5BBF">
            <w:pPr>
              <w:pStyle w:val="TableCell"/>
              <w:keepNext w:val="0"/>
              <w:spacing w:beforeLines="40" w:before="96" w:afterLines="40" w:after="96"/>
              <w:jc w:val="center"/>
            </w:pPr>
            <w:r w:rsidRPr="001570EA">
              <w:t>-</w:t>
            </w:r>
          </w:p>
        </w:tc>
      </w:tr>
      <w:tr w:rsidR="00EA5BBF" w:rsidRPr="001570EA" w14:paraId="3CCD8E67" w14:textId="77777777">
        <w:tc>
          <w:tcPr>
            <w:tcW w:w="2293" w:type="pct"/>
            <w:shd w:val="clear" w:color="auto" w:fill="auto"/>
          </w:tcPr>
          <w:p w14:paraId="496F0448" w14:textId="77777777" w:rsidR="00EA5BBF" w:rsidRPr="001570EA" w:rsidRDefault="00EA5BBF">
            <w:pPr>
              <w:pStyle w:val="TableCell"/>
              <w:keepNext w:val="0"/>
              <w:spacing w:beforeLines="40" w:before="96" w:afterLines="40" w:after="96"/>
            </w:pPr>
            <m:oMath>
              <m:r>
                <m:rPr>
                  <m:nor/>
                </m:rPr>
                <w:rPr>
                  <w:rFonts w:ascii="Cambria Math" w:hAnsi="Cambria Math"/>
                  <w:i/>
                </w:rPr>
                <m:t>∆</m:t>
              </m:r>
              <m:r>
                <w:rPr>
                  <w:rFonts w:ascii="Cambria Math" w:hAnsi="Cambria Math"/>
                </w:rPr>
                <m:t>kW</m:t>
              </m:r>
              <m:sSub>
                <m:sSubPr>
                  <m:ctrlPr>
                    <w:rPr>
                      <w:rFonts w:ascii="Cambria Math" w:hAnsi="Cambria Math"/>
                      <w:i/>
                    </w:rPr>
                  </m:ctrlPr>
                </m:sSubPr>
                <m:e>
                  <m:r>
                    <w:rPr>
                      <w:rFonts w:ascii="Cambria Math" w:hAnsi="Cambria Math"/>
                    </w:rPr>
                    <m:t>h</m:t>
                  </m:r>
                </m:e>
                <m:sub>
                  <m:r>
                    <w:rPr>
                      <w:rFonts w:ascii="Cambria Math" w:hAnsi="Cambria Math"/>
                    </w:rPr>
                    <m:t>heat</m:t>
                  </m:r>
                </m:sub>
              </m:sSub>
            </m:oMath>
            <w:r w:rsidRPr="001570EA">
              <w:t>, Annual heating energy savings</w:t>
            </w:r>
          </w:p>
        </w:tc>
        <w:tc>
          <w:tcPr>
            <w:tcW w:w="747" w:type="pct"/>
          </w:tcPr>
          <w:p w14:paraId="43041320" w14:textId="77777777" w:rsidR="00EA5BBF" w:rsidRPr="001570EA" w:rsidRDefault="00EA5BBF">
            <w:pPr>
              <w:pStyle w:val="TableCell"/>
              <w:keepNext w:val="0"/>
              <w:spacing w:beforeLines="40" w:before="96" w:afterLines="40" w:after="96"/>
              <w:jc w:val="center"/>
            </w:pPr>
            <w:r w:rsidRPr="001570EA">
              <w:rPr>
                <w:rFonts w:eastAsia="Arial Unicode MS"/>
                <w:i/>
              </w:rPr>
              <w:t>kWh/year</w:t>
            </w:r>
          </w:p>
        </w:tc>
        <w:tc>
          <w:tcPr>
            <w:tcW w:w="1475" w:type="pct"/>
            <w:shd w:val="clear" w:color="auto" w:fill="auto"/>
          </w:tcPr>
          <w:p w14:paraId="0E5E8BB8" w14:textId="77777777" w:rsidR="00EA5BBF" w:rsidRPr="001570EA" w:rsidRDefault="00EA5BBF">
            <w:pPr>
              <w:pStyle w:val="TableCell"/>
              <w:keepNext w:val="0"/>
              <w:spacing w:beforeLines="40" w:before="96" w:afterLines="40" w:after="96"/>
              <w:jc w:val="center"/>
            </w:pPr>
            <w:r w:rsidRPr="001570EA">
              <w:t>Calculated</w:t>
            </w:r>
          </w:p>
        </w:tc>
        <w:tc>
          <w:tcPr>
            <w:tcW w:w="484" w:type="pct"/>
          </w:tcPr>
          <w:p w14:paraId="5C22C432" w14:textId="77777777" w:rsidR="00EA5BBF" w:rsidRPr="001570EA" w:rsidRDefault="00EA5BBF">
            <w:pPr>
              <w:pStyle w:val="TableCell"/>
              <w:keepNext w:val="0"/>
              <w:spacing w:beforeLines="40" w:before="96" w:afterLines="40" w:after="96"/>
              <w:jc w:val="center"/>
            </w:pPr>
            <w:r w:rsidRPr="001570EA">
              <w:t>-</w:t>
            </w:r>
          </w:p>
        </w:tc>
      </w:tr>
      <w:tr w:rsidR="00EA5BBF" w:rsidRPr="001570EA" w14:paraId="10EDAB04" w14:textId="77777777">
        <w:tc>
          <w:tcPr>
            <w:tcW w:w="2293" w:type="pct"/>
            <w:shd w:val="clear" w:color="auto" w:fill="auto"/>
            <w:vAlign w:val="center"/>
          </w:tcPr>
          <w:p w14:paraId="34DCCFE6" w14:textId="77777777" w:rsidR="00EA5BBF" w:rsidRPr="001570EA" w:rsidRDefault="00EA5BBF">
            <w:pPr>
              <w:pStyle w:val="TableCell"/>
              <w:keepNext w:val="0"/>
              <w:spacing w:beforeLines="40" w:before="96" w:afterLines="40" w:after="96"/>
            </w:pPr>
            <m:oMath>
              <m:r>
                <m:rPr>
                  <m:sty m:val="p"/>
                </m:rPr>
                <w:rPr>
                  <w:rFonts w:ascii="Cambria Math" w:hAnsi="Cambria Math"/>
                </w:rPr>
                <m:t>1.08</m:t>
              </m:r>
            </m:oMath>
            <w:r w:rsidRPr="001570EA">
              <w:t>, Conversion factor that converts CFM air (at 70</w:t>
            </w:r>
            <w:r w:rsidRPr="001570EA">
              <w:rPr>
                <w:rFonts w:ascii="Calibri" w:hAnsi="Calibri" w:cs="Calibri"/>
              </w:rPr>
              <w:t>°</w:t>
            </w:r>
            <w:r w:rsidRPr="001570EA">
              <w:t>F) to BTU/hr-</w:t>
            </w:r>
            <w:r w:rsidRPr="001570EA">
              <w:rPr>
                <w:rFonts w:ascii="Calibri" w:hAnsi="Calibri" w:cs="Calibri"/>
              </w:rPr>
              <w:t>°</w:t>
            </w:r>
            <w:r w:rsidRPr="001570EA">
              <w:t>F</w:t>
            </w:r>
          </w:p>
        </w:tc>
        <w:tc>
          <w:tcPr>
            <w:tcW w:w="747" w:type="pct"/>
            <w:vAlign w:val="center"/>
          </w:tcPr>
          <w:p w14:paraId="1620732A" w14:textId="77777777" w:rsidR="00EA5BBF" w:rsidRPr="001570EA" w:rsidRDefault="003B5E04">
            <w:pPr>
              <w:pStyle w:val="TableCell"/>
              <w:keepNext w:val="0"/>
              <w:spacing w:beforeLines="40" w:before="96" w:afterLines="40" w:after="96"/>
            </w:pPr>
            <m:oMathPara>
              <m:oMath>
                <m:f>
                  <m:fPr>
                    <m:ctrlPr>
                      <w:rPr>
                        <w:rFonts w:ascii="Cambria Math" w:eastAsia="Arial Unicode MS" w:hAnsi="Cambria Math" w:cs="Arial"/>
                        <w:i/>
                      </w:rPr>
                    </m:ctrlPr>
                  </m:fPr>
                  <m:num>
                    <m:r>
                      <w:rPr>
                        <w:rFonts w:ascii="Cambria Math" w:eastAsia="Arial Unicode MS" w:hAnsi="Cambria Math" w:cs="Arial"/>
                      </w:rPr>
                      <m:t>BTU×min</m:t>
                    </m:r>
                  </m:num>
                  <m:den>
                    <m:r>
                      <w:rPr>
                        <w:rFonts w:ascii="Cambria Math" w:eastAsia="Arial Unicode MS" w:hAnsi="Cambria Math" w:cs="Arial"/>
                      </w:rPr>
                      <m:t>hr×°F×f</m:t>
                    </m:r>
                    <m:sSup>
                      <m:sSupPr>
                        <m:ctrlPr>
                          <w:rPr>
                            <w:rFonts w:ascii="Cambria Math" w:eastAsia="Arial Unicode MS" w:hAnsi="Cambria Math" w:cs="Arial"/>
                            <w:i/>
                          </w:rPr>
                        </m:ctrlPr>
                      </m:sSupPr>
                      <m:e>
                        <m:r>
                          <w:rPr>
                            <w:rFonts w:ascii="Cambria Math" w:eastAsia="Arial Unicode MS" w:hAnsi="Cambria Math" w:cs="Arial"/>
                          </w:rPr>
                          <m:t>t</m:t>
                        </m:r>
                      </m:e>
                      <m:sup>
                        <m:r>
                          <w:rPr>
                            <w:rFonts w:ascii="Cambria Math" w:eastAsia="Arial Unicode MS" w:hAnsi="Cambria Math" w:cs="Arial"/>
                          </w:rPr>
                          <m:t>3</m:t>
                        </m:r>
                      </m:sup>
                    </m:sSup>
                  </m:den>
                </m:f>
              </m:oMath>
            </m:oMathPara>
          </w:p>
        </w:tc>
        <w:tc>
          <w:tcPr>
            <w:tcW w:w="1475" w:type="pct"/>
            <w:shd w:val="clear" w:color="auto" w:fill="auto"/>
            <w:vAlign w:val="center"/>
          </w:tcPr>
          <w:p w14:paraId="75EEC61B" w14:textId="77777777" w:rsidR="00EA5BBF" w:rsidRPr="001570EA" w:rsidRDefault="00EA5BBF">
            <w:pPr>
              <w:pStyle w:val="TableCell"/>
              <w:keepNext w:val="0"/>
              <w:spacing w:beforeLines="40" w:before="96" w:afterLines="40" w:after="96"/>
              <w:jc w:val="center"/>
            </w:pPr>
            <w:r w:rsidRPr="001570EA">
              <w:t>1.08</w:t>
            </w:r>
          </w:p>
        </w:tc>
        <w:tc>
          <w:tcPr>
            <w:tcW w:w="484" w:type="pct"/>
            <w:vAlign w:val="center"/>
          </w:tcPr>
          <w:p w14:paraId="6432EE52" w14:textId="77777777" w:rsidR="00EA5BBF" w:rsidRPr="001570EA" w:rsidRDefault="00EA5BBF">
            <w:pPr>
              <w:pStyle w:val="TableCell"/>
              <w:keepNext w:val="0"/>
              <w:spacing w:beforeLines="40" w:before="96" w:afterLines="40" w:after="96"/>
              <w:jc w:val="center"/>
            </w:pPr>
            <w:r w:rsidRPr="001570EA">
              <w:t>-</w:t>
            </w:r>
          </w:p>
        </w:tc>
      </w:tr>
      <w:tr w:rsidR="00EA5BBF" w:rsidRPr="001570EA" w14:paraId="6F400D6C" w14:textId="77777777">
        <w:tc>
          <w:tcPr>
            <w:tcW w:w="2293" w:type="pct"/>
            <w:shd w:val="clear" w:color="auto" w:fill="auto"/>
            <w:vAlign w:val="center"/>
          </w:tcPr>
          <w:p w14:paraId="08C66929" w14:textId="77777777" w:rsidR="00EA5BBF" w:rsidRPr="001570EA" w:rsidRDefault="00EA5BBF">
            <w:pPr>
              <w:pStyle w:val="TableCell"/>
              <w:keepNext w:val="0"/>
              <w:spacing w:beforeLines="40" w:before="96" w:afterLines="40" w:after="96"/>
            </w:pPr>
            <m:oMath>
              <m:r>
                <m:rPr>
                  <m:sty m:val="p"/>
                </m:rPr>
                <w:rPr>
                  <w:rFonts w:ascii="Cambria Math" w:hAnsi="Cambria Math" w:cs="Arial"/>
                </w:rPr>
                <m:t>∆</m:t>
              </m:r>
              <m:r>
                <w:rPr>
                  <w:rFonts w:ascii="Cambria Math" w:hAnsi="Cambria Math" w:cs="Arial"/>
                </w:rPr>
                <m:t>CF</m:t>
              </m:r>
              <m:sSub>
                <m:sSubPr>
                  <m:ctrlPr>
                    <w:rPr>
                      <w:rFonts w:ascii="Cambria Math" w:hAnsi="Cambria Math" w:cs="Arial"/>
                    </w:rPr>
                  </m:ctrlPr>
                </m:sSubPr>
                <m:e>
                  <m:r>
                    <w:rPr>
                      <w:rFonts w:ascii="Cambria Math" w:hAnsi="Cambria Math" w:cs="Arial"/>
                    </w:rPr>
                    <m:t>M</m:t>
                  </m:r>
                </m:e>
                <m:sub>
                  <m:r>
                    <w:rPr>
                      <w:rFonts w:ascii="Cambria Math" w:hAnsi="Cambria Math" w:cs="Arial"/>
                    </w:rPr>
                    <m:t>50</m:t>
                  </m:r>
                </m:sub>
              </m:sSub>
            </m:oMath>
            <w:r w:rsidRPr="001570EA">
              <w:t xml:space="preserve">, Reduction in air leakage at a test pressure of 50 Pascals </w:t>
            </w:r>
          </w:p>
        </w:tc>
        <w:tc>
          <w:tcPr>
            <w:tcW w:w="747" w:type="pct"/>
            <w:vAlign w:val="center"/>
          </w:tcPr>
          <w:p w14:paraId="3EBCFFEB" w14:textId="77777777" w:rsidR="00EA5BBF" w:rsidRPr="001570EA" w:rsidRDefault="00EA5BBF">
            <w:pPr>
              <w:pStyle w:val="TableCell"/>
              <w:keepNext w:val="0"/>
              <w:spacing w:beforeLines="40" w:before="96" w:afterLines="40" w:after="96"/>
              <w:jc w:val="center"/>
              <w:rPr>
                <w:rFonts w:eastAsia="Arial Unicode MS" w:cs="Arial"/>
                <w:i/>
              </w:rPr>
            </w:pPr>
            <w:r w:rsidRPr="001570EA">
              <w:rPr>
                <w:rFonts w:eastAsia="Arial Unicode MS" w:cs="Arial"/>
                <w:i/>
              </w:rPr>
              <w:t>CFM</w:t>
            </w:r>
          </w:p>
        </w:tc>
        <w:tc>
          <w:tcPr>
            <w:tcW w:w="1475" w:type="pct"/>
            <w:shd w:val="clear" w:color="auto" w:fill="auto"/>
            <w:vAlign w:val="center"/>
          </w:tcPr>
          <w:p w14:paraId="73B2B2C9" w14:textId="49B0D8B6" w:rsidR="00EA5BBF" w:rsidRPr="001570EA" w:rsidRDefault="00EA5BBF">
            <w:pPr>
              <w:pStyle w:val="TableCell"/>
              <w:keepNext w:val="0"/>
              <w:spacing w:beforeLines="40" w:before="96" w:afterLines="40" w:after="96"/>
              <w:jc w:val="center"/>
            </w:pPr>
            <w:r w:rsidRPr="001570EA">
              <w:t xml:space="preserve">See </w:t>
            </w:r>
            <w:r w:rsidRPr="001570EA">
              <w:fldChar w:fldCharType="begin"/>
            </w:r>
            <w:r w:rsidRPr="001570EA">
              <w:instrText xml:space="preserve"> REF _Ref477438969 \h  \* MERGEFORMAT </w:instrText>
            </w:r>
            <w:r w:rsidRPr="001570EA">
              <w:fldChar w:fldCharType="separate"/>
            </w:r>
            <w:r w:rsidR="00234C6C" w:rsidRPr="001570EA">
              <w:t xml:space="preserve">Table </w:t>
            </w:r>
            <w:r w:rsidR="00234C6C" w:rsidRPr="001570EA">
              <w:rPr>
                <w:noProof/>
              </w:rPr>
              <w:t>2</w:t>
            </w:r>
            <w:r w:rsidR="00234C6C" w:rsidRPr="001570EA">
              <w:rPr>
                <w:noProof/>
              </w:rPr>
              <w:noBreakHyphen/>
              <w:t>137</w:t>
            </w:r>
            <w:r w:rsidRPr="001570EA">
              <w:fldChar w:fldCharType="end"/>
            </w:r>
          </w:p>
        </w:tc>
        <w:tc>
          <w:tcPr>
            <w:tcW w:w="484" w:type="pct"/>
            <w:vAlign w:val="center"/>
          </w:tcPr>
          <w:p w14:paraId="2981AFBF" w14:textId="77777777" w:rsidR="00EA5BBF" w:rsidRPr="001570EA" w:rsidRDefault="00EA5BBF">
            <w:pPr>
              <w:pStyle w:val="TableCell"/>
              <w:keepNext w:val="0"/>
              <w:spacing w:beforeLines="40" w:before="96" w:afterLines="40" w:after="96"/>
              <w:jc w:val="center"/>
            </w:pPr>
            <w:r w:rsidRPr="001570EA">
              <w:t>2, 3</w:t>
            </w:r>
          </w:p>
        </w:tc>
      </w:tr>
      <w:tr w:rsidR="00EA5BBF" w:rsidRPr="001570EA" w14:paraId="7B0AAD9B" w14:textId="77777777">
        <w:tc>
          <w:tcPr>
            <w:tcW w:w="2293" w:type="pct"/>
            <w:shd w:val="clear" w:color="auto" w:fill="auto"/>
            <w:vAlign w:val="center"/>
          </w:tcPr>
          <w:p w14:paraId="074FDCAD" w14:textId="77777777" w:rsidR="00EA5BBF" w:rsidRPr="001570EA" w:rsidRDefault="00EA5BBF">
            <w:pPr>
              <w:pStyle w:val="TableCell"/>
              <w:keepNext w:val="0"/>
              <w:spacing w:beforeLines="40" w:before="96" w:afterLines="40" w:after="96"/>
              <w:rPr>
                <w:rFonts w:ascii="Cambria Math" w:hAnsi="Cambria Math"/>
                <w:oMath/>
              </w:rPr>
            </w:pPr>
            <m:oMath>
              <m:r>
                <w:rPr>
                  <w:rFonts w:ascii="Cambria Math" w:hAnsi="Cambria Math"/>
                </w:rPr>
                <m:t xml:space="preserve">CDD,  </m:t>
              </m:r>
            </m:oMath>
            <w:r w:rsidRPr="001570EA">
              <w:t>Cooling degree-days</w:t>
            </w:r>
          </w:p>
        </w:tc>
        <w:tc>
          <w:tcPr>
            <w:tcW w:w="747" w:type="pct"/>
            <w:vAlign w:val="center"/>
          </w:tcPr>
          <w:p w14:paraId="1DD196D1" w14:textId="77777777" w:rsidR="00EA5BBF" w:rsidRPr="001570EA" w:rsidRDefault="00EA5BBF">
            <w:pPr>
              <w:pStyle w:val="TableCell"/>
              <w:keepNext w:val="0"/>
              <w:spacing w:beforeLines="40" w:before="96" w:afterLines="40" w:after="96"/>
              <w:jc w:val="center"/>
              <w:rPr>
                <w:rFonts w:eastAsia="Arial Unicode MS" w:cs="Arial"/>
                <w:i/>
              </w:rPr>
            </w:pPr>
            <w:r w:rsidRPr="001570EA">
              <w:rPr>
                <w:rFonts w:ascii="Calibri" w:eastAsia="Arial Unicode MS" w:hAnsi="Calibri" w:cs="Calibri"/>
                <w:i/>
              </w:rPr>
              <w:t>°</w:t>
            </w:r>
            <w:r w:rsidRPr="001570EA">
              <w:rPr>
                <w:rFonts w:eastAsia="Arial Unicode MS" w:cs="Arial"/>
                <w:i/>
              </w:rPr>
              <w:t>F-day/year</w:t>
            </w:r>
          </w:p>
        </w:tc>
        <w:tc>
          <w:tcPr>
            <w:tcW w:w="1475" w:type="pct"/>
            <w:shd w:val="clear" w:color="auto" w:fill="auto"/>
            <w:vAlign w:val="center"/>
          </w:tcPr>
          <w:p w14:paraId="0C938BB9" w14:textId="77777777" w:rsidR="00EA5BBF" w:rsidRPr="001570EA" w:rsidRDefault="00EA5BBF">
            <w:pPr>
              <w:pStyle w:val="TableCell"/>
              <w:keepNext w:val="0"/>
              <w:spacing w:beforeLines="40" w:before="96" w:afterLines="40" w:after="96"/>
              <w:jc w:val="center"/>
              <w:rPr>
                <w:rFonts w:eastAsia="Arial Unicode MS"/>
              </w:rPr>
            </w:pPr>
            <w:r w:rsidRPr="001570EA">
              <w:rPr>
                <w:rFonts w:eastAsia="Arial Unicode MS"/>
              </w:rPr>
              <w:t>See CDD values in Vol. 1, App. A</w:t>
            </w:r>
          </w:p>
        </w:tc>
        <w:tc>
          <w:tcPr>
            <w:tcW w:w="484" w:type="pct"/>
            <w:vAlign w:val="center"/>
          </w:tcPr>
          <w:p w14:paraId="1363E9BD" w14:textId="77777777" w:rsidR="00EA5BBF" w:rsidRPr="001570EA" w:rsidRDefault="00EA5BBF">
            <w:pPr>
              <w:pStyle w:val="TableCell"/>
              <w:keepNext w:val="0"/>
              <w:spacing w:beforeLines="40" w:before="96" w:afterLines="40" w:after="96"/>
              <w:jc w:val="center"/>
            </w:pPr>
            <w:r w:rsidRPr="001570EA">
              <w:t>4</w:t>
            </w:r>
          </w:p>
        </w:tc>
      </w:tr>
      <w:tr w:rsidR="00EA5BBF" w:rsidRPr="001570EA" w14:paraId="292F0886" w14:textId="77777777">
        <w:tc>
          <w:tcPr>
            <w:tcW w:w="2293" w:type="pct"/>
            <w:shd w:val="clear" w:color="auto" w:fill="auto"/>
            <w:vAlign w:val="center"/>
          </w:tcPr>
          <w:p w14:paraId="63B30B1E" w14:textId="77777777" w:rsidR="00EA5BBF" w:rsidRPr="001570EA" w:rsidRDefault="00EA5BBF">
            <w:pPr>
              <w:pStyle w:val="TableCell"/>
              <w:keepNext w:val="0"/>
              <w:spacing w:beforeLines="40" w:before="96" w:afterLines="40" w:after="96"/>
              <w:rPr>
                <w:rFonts w:ascii="Cambria Math" w:hAnsi="Cambria Math"/>
                <w:oMath/>
              </w:rPr>
            </w:pPr>
            <m:oMath>
              <m:r>
                <w:rPr>
                  <w:rFonts w:ascii="Cambria Math" w:hAnsi="Cambria Math"/>
                </w:rPr>
                <m:t xml:space="preserve">HDD,  </m:t>
              </m:r>
            </m:oMath>
            <w:r w:rsidRPr="001570EA">
              <w:t>Heating degree-days</w:t>
            </w:r>
          </w:p>
        </w:tc>
        <w:tc>
          <w:tcPr>
            <w:tcW w:w="747" w:type="pct"/>
            <w:vAlign w:val="center"/>
          </w:tcPr>
          <w:p w14:paraId="66BE68D2" w14:textId="77777777" w:rsidR="00EA5BBF" w:rsidRPr="001570EA" w:rsidRDefault="00EA5BBF">
            <w:pPr>
              <w:pStyle w:val="TableCell"/>
              <w:keepNext w:val="0"/>
              <w:spacing w:beforeLines="40" w:before="96" w:afterLines="40" w:after="96"/>
              <w:jc w:val="center"/>
              <w:rPr>
                <w:rFonts w:eastAsia="Arial Unicode MS" w:cs="Arial"/>
                <w:i/>
              </w:rPr>
            </w:pPr>
            <w:r w:rsidRPr="001570EA">
              <w:rPr>
                <w:rFonts w:ascii="Calibri" w:eastAsia="Arial Unicode MS" w:hAnsi="Calibri" w:cs="Calibri"/>
                <w:i/>
              </w:rPr>
              <w:t>°</w:t>
            </w:r>
            <w:r w:rsidRPr="001570EA">
              <w:rPr>
                <w:rFonts w:eastAsia="Arial Unicode MS" w:cs="Arial"/>
                <w:i/>
              </w:rPr>
              <w:t>F-day/year</w:t>
            </w:r>
          </w:p>
        </w:tc>
        <w:tc>
          <w:tcPr>
            <w:tcW w:w="1475" w:type="pct"/>
            <w:shd w:val="clear" w:color="auto" w:fill="auto"/>
            <w:vAlign w:val="center"/>
          </w:tcPr>
          <w:p w14:paraId="31C821D9" w14:textId="77777777" w:rsidR="00EA5BBF" w:rsidRPr="001570EA" w:rsidRDefault="00EA5BBF">
            <w:pPr>
              <w:pStyle w:val="TableCell"/>
              <w:keepNext w:val="0"/>
              <w:spacing w:beforeLines="40" w:before="96" w:afterLines="40" w:after="96"/>
              <w:jc w:val="center"/>
              <w:rPr>
                <w:rFonts w:eastAsia="Arial Unicode MS"/>
              </w:rPr>
            </w:pPr>
            <w:r w:rsidRPr="001570EA">
              <w:rPr>
                <w:rFonts w:eastAsia="Arial Unicode MS"/>
              </w:rPr>
              <w:t>See HDD values in Vol. 1, App. A</w:t>
            </w:r>
          </w:p>
        </w:tc>
        <w:tc>
          <w:tcPr>
            <w:tcW w:w="484" w:type="pct"/>
            <w:vAlign w:val="center"/>
          </w:tcPr>
          <w:p w14:paraId="65C74856" w14:textId="77777777" w:rsidR="00EA5BBF" w:rsidRPr="001570EA" w:rsidRDefault="00EA5BBF">
            <w:pPr>
              <w:pStyle w:val="TableCell"/>
              <w:keepNext w:val="0"/>
              <w:spacing w:beforeLines="40" w:before="96" w:afterLines="40" w:after="96"/>
              <w:jc w:val="center"/>
            </w:pPr>
            <w:r w:rsidRPr="001570EA">
              <w:t>4</w:t>
            </w:r>
          </w:p>
        </w:tc>
      </w:tr>
      <w:tr w:rsidR="00EA5BBF" w:rsidRPr="001570EA" w14:paraId="74C8805B" w14:textId="77777777">
        <w:trPr>
          <w:trHeight w:val="1592"/>
        </w:trPr>
        <w:tc>
          <w:tcPr>
            <w:tcW w:w="2293" w:type="pct"/>
            <w:shd w:val="clear" w:color="auto" w:fill="auto"/>
            <w:vAlign w:val="center"/>
          </w:tcPr>
          <w:p w14:paraId="0C66CB22" w14:textId="77777777" w:rsidR="00EA5BBF" w:rsidRPr="001570EA" w:rsidRDefault="00EA5BBF">
            <w:pPr>
              <w:pStyle w:val="TableCell"/>
              <w:keepNext w:val="0"/>
              <w:spacing w:beforeLines="40" w:before="96" w:afterLines="40" w:after="96"/>
            </w:pPr>
            <m:oMath>
              <m:r>
                <w:rPr>
                  <w:rFonts w:ascii="Cambria Math" w:hAnsi="Cambria Math"/>
                </w:rPr>
                <m:t xml:space="preserve">ISR,  </m:t>
              </m:r>
            </m:oMath>
            <w:r w:rsidRPr="001570EA">
              <w:t>In-service rate</w:t>
            </w:r>
          </w:p>
        </w:tc>
        <w:tc>
          <w:tcPr>
            <w:tcW w:w="747" w:type="pct"/>
            <w:vAlign w:val="center"/>
          </w:tcPr>
          <w:p w14:paraId="5E8B91A5" w14:textId="77777777" w:rsidR="00EA5BBF" w:rsidRPr="001570EA" w:rsidRDefault="00EA5BBF">
            <w:pPr>
              <w:pStyle w:val="TableCell"/>
              <w:keepNext w:val="0"/>
              <w:spacing w:beforeLines="40" w:before="96" w:afterLines="40" w:after="96"/>
              <w:jc w:val="center"/>
              <w:rPr>
                <w:rFonts w:eastAsia="Arial Unicode MS" w:cs="Arial"/>
                <w:i/>
                <w:iCs/>
              </w:rPr>
            </w:pPr>
            <w:r w:rsidRPr="001570EA">
              <w:rPr>
                <w:rFonts w:eastAsia="Arial Unicode MS" w:cs="Arial"/>
                <w:i/>
                <w:iCs/>
              </w:rPr>
              <w:t>None</w:t>
            </w:r>
          </w:p>
        </w:tc>
        <w:tc>
          <w:tcPr>
            <w:tcW w:w="1475" w:type="pct"/>
            <w:shd w:val="clear" w:color="auto" w:fill="auto"/>
            <w:vAlign w:val="center"/>
          </w:tcPr>
          <w:p w14:paraId="2B5F4CEC" w14:textId="77777777" w:rsidR="00EA5BBF" w:rsidRPr="001570EA" w:rsidRDefault="00EA5BBF">
            <w:pPr>
              <w:pStyle w:val="TableCell"/>
              <w:keepNext w:val="0"/>
              <w:spacing w:beforeLines="40" w:before="96" w:afterLines="40" w:after="96"/>
              <w:jc w:val="center"/>
            </w:pPr>
            <w:r w:rsidRPr="001570EA">
              <w:t xml:space="preserve">EDC Data Gathering </w:t>
            </w:r>
          </w:p>
          <w:p w14:paraId="0216B562" w14:textId="77777777" w:rsidR="00EA5BBF" w:rsidRPr="001570EA" w:rsidRDefault="00EA5BBF">
            <w:pPr>
              <w:pStyle w:val="TableCell"/>
              <w:keepNext w:val="0"/>
              <w:spacing w:beforeLines="40" w:before="96" w:afterLines="40" w:after="96"/>
              <w:jc w:val="center"/>
            </w:pPr>
            <w:r w:rsidRPr="001570EA">
              <w:t>Default:</w:t>
            </w:r>
            <w:r w:rsidRPr="001570EA">
              <w:br/>
              <w:t>Direct install = 1</w:t>
            </w:r>
            <w:r w:rsidRPr="001570EA">
              <w:br/>
              <w:t>Kit delivery = 0.16</w:t>
            </w:r>
          </w:p>
        </w:tc>
        <w:tc>
          <w:tcPr>
            <w:tcW w:w="484" w:type="pct"/>
            <w:vAlign w:val="center"/>
          </w:tcPr>
          <w:p w14:paraId="3C391431" w14:textId="77777777" w:rsidR="00EA5BBF" w:rsidRPr="001570EA" w:rsidRDefault="00EA5BBF">
            <w:pPr>
              <w:pStyle w:val="TableCell"/>
              <w:keepNext w:val="0"/>
              <w:spacing w:beforeLines="40" w:before="96" w:afterLines="40" w:after="96"/>
              <w:jc w:val="center"/>
              <w:rPr>
                <w:rStyle w:val="FootnoteReference"/>
                <w:sz w:val="20"/>
                <w:szCs w:val="18"/>
                <w:vertAlign w:val="baseline"/>
              </w:rPr>
            </w:pPr>
            <w:r w:rsidRPr="001570EA">
              <w:t>5</w:t>
            </w:r>
          </w:p>
        </w:tc>
      </w:tr>
      <w:tr w:rsidR="00EA5BBF" w:rsidRPr="001570EA" w14:paraId="2ECEF3D0" w14:textId="77777777">
        <w:tc>
          <w:tcPr>
            <w:tcW w:w="2293" w:type="pct"/>
            <w:shd w:val="clear" w:color="auto" w:fill="auto"/>
            <w:vAlign w:val="center"/>
          </w:tcPr>
          <w:p w14:paraId="4AF10AC2" w14:textId="77777777" w:rsidR="00EA5BBF" w:rsidRPr="001570EA" w:rsidRDefault="00EA5BBF">
            <w:pPr>
              <w:pStyle w:val="TableCell"/>
              <w:keepNext w:val="0"/>
              <w:spacing w:beforeLines="40" w:before="96" w:afterLines="40" w:after="96"/>
              <w:jc w:val="left"/>
            </w:pPr>
            <m:oMath>
              <m:r>
                <w:rPr>
                  <w:rFonts w:ascii="Cambria Math" w:hAnsi="Cambria Math"/>
                </w:rPr>
                <m:t>LM</m:t>
              </m:r>
            </m:oMath>
            <w:r w:rsidRPr="001570EA">
              <w:t>, Latent multiplier to convert the calculated sensible load to the total (sensible and latent) load</w:t>
            </w:r>
          </w:p>
        </w:tc>
        <w:tc>
          <w:tcPr>
            <w:tcW w:w="747" w:type="pct"/>
            <w:vAlign w:val="center"/>
          </w:tcPr>
          <w:p w14:paraId="1C369D4E" w14:textId="77777777" w:rsidR="00EA5BBF" w:rsidRPr="001570EA" w:rsidRDefault="00EA5BBF">
            <w:pPr>
              <w:pStyle w:val="TableCell"/>
              <w:keepNext w:val="0"/>
              <w:spacing w:beforeLines="40" w:before="96" w:afterLines="40" w:after="96"/>
              <w:jc w:val="center"/>
              <w:rPr>
                <w:rFonts w:eastAsia="Arial Unicode MS"/>
                <w:i/>
                <w:iCs/>
              </w:rPr>
            </w:pPr>
            <w:r w:rsidRPr="001570EA">
              <w:rPr>
                <w:rFonts w:eastAsia="Arial Unicode MS"/>
                <w:i/>
                <w:iCs/>
              </w:rPr>
              <w:t>None</w:t>
            </w:r>
          </w:p>
        </w:tc>
        <w:tc>
          <w:tcPr>
            <w:tcW w:w="1475" w:type="pct"/>
            <w:shd w:val="clear" w:color="auto" w:fill="auto"/>
            <w:vAlign w:val="center"/>
          </w:tcPr>
          <w:p w14:paraId="763D713B" w14:textId="427729BA" w:rsidR="00EA5BBF" w:rsidRPr="001570EA" w:rsidRDefault="00EA5BBF">
            <w:pPr>
              <w:pStyle w:val="TableCell"/>
              <w:keepNext w:val="0"/>
              <w:spacing w:beforeLines="40" w:before="96" w:afterLines="40" w:after="96"/>
              <w:jc w:val="center"/>
              <w:rPr>
                <w:rFonts w:eastAsia="Arial Unicode MS"/>
              </w:rPr>
            </w:pPr>
            <w:r w:rsidRPr="001570EA">
              <w:t xml:space="preserve">See </w:t>
            </w:r>
            <w:r w:rsidRPr="001570EA">
              <w:fldChar w:fldCharType="begin"/>
            </w:r>
            <w:r w:rsidRPr="001570EA">
              <w:instrText xml:space="preserve"> REF _Ref470605105 \h  \* MERGEFORMAT </w:instrText>
            </w:r>
            <w:r w:rsidRPr="001570EA">
              <w:fldChar w:fldCharType="separate"/>
            </w:r>
            <w:r w:rsidR="00234C6C" w:rsidRPr="001570EA">
              <w:t xml:space="preserve">Table </w:t>
            </w:r>
            <w:r w:rsidR="00234C6C" w:rsidRPr="001570EA">
              <w:rPr>
                <w:noProof/>
              </w:rPr>
              <w:t>2</w:t>
            </w:r>
            <w:r w:rsidR="00234C6C" w:rsidRPr="001570EA">
              <w:rPr>
                <w:noProof/>
              </w:rPr>
              <w:noBreakHyphen/>
              <w:t>136</w:t>
            </w:r>
            <w:r w:rsidRPr="001570EA">
              <w:fldChar w:fldCharType="end"/>
            </w:r>
          </w:p>
        </w:tc>
        <w:tc>
          <w:tcPr>
            <w:tcW w:w="484" w:type="pct"/>
            <w:vAlign w:val="center"/>
          </w:tcPr>
          <w:p w14:paraId="2E2DD19B" w14:textId="77777777" w:rsidR="00EA5BBF" w:rsidRPr="001570EA" w:rsidRDefault="00EA5BBF">
            <w:pPr>
              <w:pStyle w:val="TableCell"/>
              <w:keepNext w:val="0"/>
              <w:spacing w:beforeLines="40" w:before="96" w:afterLines="40" w:after="96"/>
              <w:jc w:val="center"/>
              <w:rPr>
                <w:rFonts w:eastAsia="Arial Unicode MS"/>
              </w:rPr>
            </w:pPr>
            <w:r w:rsidRPr="001570EA">
              <w:rPr>
                <w:rStyle w:val="FootnoteReference"/>
                <w:rFonts w:eastAsia="Arial Unicode MS"/>
                <w:vertAlign w:val="baseline"/>
              </w:rPr>
              <w:t>6</w:t>
            </w:r>
          </w:p>
        </w:tc>
      </w:tr>
      <w:tr w:rsidR="00EA5BBF" w:rsidRPr="001570EA" w14:paraId="4E9167D6" w14:textId="77777777">
        <w:tc>
          <w:tcPr>
            <w:tcW w:w="2293" w:type="pct"/>
            <w:shd w:val="clear" w:color="auto" w:fill="auto"/>
            <w:vAlign w:val="center"/>
          </w:tcPr>
          <w:p w14:paraId="546C377F" w14:textId="77777777" w:rsidR="00EA5BBF" w:rsidRPr="001570EA" w:rsidRDefault="00EA5BBF">
            <w:pPr>
              <w:pStyle w:val="TableCell"/>
              <w:keepNext w:val="0"/>
              <w:spacing w:beforeLines="40" w:before="96" w:afterLines="40" w:after="96"/>
              <w:jc w:val="left"/>
              <w:rPr>
                <w:rFonts w:ascii="Cambria Math" w:hAnsi="Cambria Math"/>
                <w:oMath/>
              </w:rPr>
            </w:pPr>
            <m:oMath>
              <m:r>
                <w:rPr>
                  <w:rFonts w:ascii="Cambria Math" w:hAnsi="Cambria Math"/>
                </w:rPr>
                <m:t xml:space="preserve">DUA,  </m:t>
              </m:r>
            </m:oMath>
            <w:r w:rsidRPr="001570EA">
              <w:t>Discretionary use adjustment to account for uncertainty in predicting cooling system usage patterns of occupants</w:t>
            </w:r>
          </w:p>
        </w:tc>
        <w:tc>
          <w:tcPr>
            <w:tcW w:w="747" w:type="pct"/>
            <w:vAlign w:val="center"/>
          </w:tcPr>
          <w:p w14:paraId="5699E12C" w14:textId="77777777" w:rsidR="00EA5BBF" w:rsidRPr="001570EA" w:rsidRDefault="00EA5BBF">
            <w:pPr>
              <w:pStyle w:val="TableCell"/>
              <w:keepNext w:val="0"/>
              <w:spacing w:beforeLines="40" w:before="96" w:afterLines="40" w:after="96"/>
              <w:jc w:val="center"/>
              <w:rPr>
                <w:rFonts w:eastAsia="Arial Unicode MS" w:cs="Arial"/>
                <w:i/>
                <w:iCs/>
              </w:rPr>
            </w:pPr>
            <w:r w:rsidRPr="001570EA">
              <w:rPr>
                <w:rFonts w:eastAsia="Arial Unicode MS" w:cs="Arial"/>
                <w:i/>
                <w:iCs/>
              </w:rPr>
              <w:t>None</w:t>
            </w:r>
          </w:p>
        </w:tc>
        <w:tc>
          <w:tcPr>
            <w:tcW w:w="1475" w:type="pct"/>
            <w:shd w:val="clear" w:color="auto" w:fill="auto"/>
            <w:vAlign w:val="center"/>
          </w:tcPr>
          <w:p w14:paraId="68602D3F" w14:textId="77777777" w:rsidR="00EA5BBF" w:rsidRPr="001570EA" w:rsidRDefault="00EA5BBF">
            <w:pPr>
              <w:pStyle w:val="TableCell"/>
              <w:keepNext w:val="0"/>
              <w:spacing w:beforeLines="40" w:before="96" w:afterLines="40" w:after="96"/>
              <w:jc w:val="center"/>
            </w:pPr>
            <w:r w:rsidRPr="001570EA">
              <w:t>0.75</w:t>
            </w:r>
          </w:p>
        </w:tc>
        <w:tc>
          <w:tcPr>
            <w:tcW w:w="484" w:type="pct"/>
            <w:vAlign w:val="center"/>
          </w:tcPr>
          <w:p w14:paraId="4CB4C90A" w14:textId="77777777" w:rsidR="00EA5BBF" w:rsidRPr="001570EA" w:rsidRDefault="00EA5BBF">
            <w:pPr>
              <w:pStyle w:val="TableCell"/>
              <w:keepNext w:val="0"/>
              <w:spacing w:beforeLines="40" w:before="96" w:afterLines="40" w:after="96"/>
              <w:jc w:val="center"/>
            </w:pPr>
            <w:r w:rsidRPr="001570EA">
              <w:rPr>
                <w:rStyle w:val="FootnoteReference"/>
                <w:vertAlign w:val="baseline"/>
              </w:rPr>
              <w:t>7</w:t>
            </w:r>
          </w:p>
        </w:tc>
      </w:tr>
      <w:tr w:rsidR="00EA5BBF" w:rsidRPr="001570EA" w14:paraId="0EC6655F" w14:textId="77777777">
        <w:tc>
          <w:tcPr>
            <w:tcW w:w="2293" w:type="pct"/>
            <w:shd w:val="clear" w:color="auto" w:fill="auto"/>
          </w:tcPr>
          <w:p w14:paraId="3B496977" w14:textId="66C1F7A2" w:rsidR="00EA5BBF" w:rsidRPr="001570EA" w:rsidRDefault="003B5E04">
            <w:pPr>
              <w:pStyle w:val="TableCell"/>
              <w:keepNext w:val="0"/>
              <w:spacing w:beforeLines="40" w:before="96" w:afterLines="40" w:after="96"/>
              <w:jc w:val="left"/>
            </w:pPr>
            <m:oMath>
              <m:sSub>
                <m:sSubPr>
                  <m:ctrlPr>
                    <w:rPr>
                      <w:rFonts w:ascii="Cambria Math" w:hAnsi="Cambria Math"/>
                      <w:i/>
                    </w:rPr>
                  </m:ctrlPr>
                </m:sSubPr>
                <m:e>
                  <m:r>
                    <w:rPr>
                      <w:rFonts w:ascii="Cambria Math" w:hAnsi="Cambria Math"/>
                    </w:rPr>
                    <m:t>F</m:t>
                  </m:r>
                </m:e>
                <m:sub>
                  <m:r>
                    <w:rPr>
                      <w:rFonts w:ascii="Cambria Math" w:hAnsi="Cambria Math"/>
                    </w:rPr>
                    <m:t>RAC</m:t>
                  </m:r>
                </m:sub>
              </m:sSub>
              <m:r>
                <w:rPr>
                  <w:rFonts w:ascii="Cambria Math" w:hAnsi="Cambria Math"/>
                </w:rPr>
                <m:t xml:space="preserve">,  </m:t>
              </m:r>
            </m:oMath>
            <w:r w:rsidR="00EA5BBF" w:rsidRPr="001570EA">
              <w:rPr>
                <w:rFonts w:cs="Arial"/>
              </w:rPr>
              <w:t>Adjustment factor to relate sealed area to area served by room air conditioners</w:t>
            </w:r>
          </w:p>
        </w:tc>
        <w:tc>
          <w:tcPr>
            <w:tcW w:w="747" w:type="pct"/>
            <w:vAlign w:val="center"/>
          </w:tcPr>
          <w:p w14:paraId="0A5FC337" w14:textId="77777777" w:rsidR="00EA5BBF" w:rsidRPr="001570EA" w:rsidRDefault="00EA5BBF">
            <w:pPr>
              <w:pStyle w:val="TableCell"/>
              <w:keepNext w:val="0"/>
              <w:spacing w:beforeLines="40" w:before="96" w:afterLines="40" w:after="96"/>
              <w:jc w:val="center"/>
              <w:rPr>
                <w:rFonts w:eastAsia="Arial Unicode MS" w:cs="Arial"/>
                <w:i/>
                <w:iCs/>
              </w:rPr>
            </w:pPr>
            <w:r w:rsidRPr="001570EA">
              <w:rPr>
                <w:rFonts w:eastAsia="Arial Unicode MS" w:cs="Arial"/>
                <w:i/>
                <w:iCs/>
              </w:rPr>
              <w:t>None</w:t>
            </w:r>
          </w:p>
        </w:tc>
        <w:tc>
          <w:tcPr>
            <w:tcW w:w="1475" w:type="pct"/>
            <w:shd w:val="clear" w:color="auto" w:fill="auto"/>
          </w:tcPr>
          <w:p w14:paraId="16D0C550" w14:textId="77777777" w:rsidR="00EA5BBF" w:rsidRPr="001570EA" w:rsidRDefault="00EA5BBF">
            <w:pPr>
              <w:pStyle w:val="TableCell"/>
              <w:spacing w:beforeLines="40" w:before="96" w:afterLines="40" w:after="96"/>
              <w:jc w:val="center"/>
            </w:pPr>
            <w:r w:rsidRPr="001570EA">
              <w:t>If Room AC = 0.24</w:t>
            </w:r>
          </w:p>
          <w:p w14:paraId="622E479B" w14:textId="77777777" w:rsidR="00EA5BBF" w:rsidRPr="001570EA" w:rsidRDefault="00EA5BBF">
            <w:pPr>
              <w:pStyle w:val="TableCell"/>
              <w:keepNext w:val="0"/>
              <w:spacing w:beforeLines="40" w:before="96" w:afterLines="40" w:after="96"/>
              <w:jc w:val="center"/>
            </w:pPr>
            <w:r w:rsidRPr="001570EA">
              <w:t>If non-Room AC = 1.0</w:t>
            </w:r>
          </w:p>
        </w:tc>
        <w:tc>
          <w:tcPr>
            <w:tcW w:w="484" w:type="pct"/>
            <w:vAlign w:val="center"/>
          </w:tcPr>
          <w:p w14:paraId="247DF255" w14:textId="77777777" w:rsidR="00EA5BBF" w:rsidRPr="001570EA" w:rsidRDefault="00EA5BBF">
            <w:pPr>
              <w:pStyle w:val="TableCell"/>
              <w:keepNext w:val="0"/>
              <w:spacing w:beforeLines="40" w:before="96" w:afterLines="40" w:after="96"/>
              <w:jc w:val="center"/>
              <w:rPr>
                <w:rStyle w:val="FootnoteReference"/>
                <w:vertAlign w:val="baseline"/>
              </w:rPr>
            </w:pPr>
            <w:r w:rsidRPr="001570EA">
              <w:t>8</w:t>
            </w:r>
          </w:p>
        </w:tc>
      </w:tr>
      <w:tr w:rsidR="00EA5BBF" w:rsidRPr="001570EA" w14:paraId="68CD21D6" w14:textId="77777777">
        <w:trPr>
          <w:trHeight w:val="683"/>
        </w:trPr>
        <w:tc>
          <w:tcPr>
            <w:tcW w:w="2293" w:type="pct"/>
            <w:shd w:val="clear" w:color="auto" w:fill="auto"/>
          </w:tcPr>
          <w:p w14:paraId="6C2BB3B8" w14:textId="3A45F6AA" w:rsidR="00EA5BBF" w:rsidRPr="001570EA" w:rsidRDefault="003B5E04">
            <w:pPr>
              <w:pStyle w:val="TableCell"/>
              <w:keepNext w:val="0"/>
              <w:spacing w:beforeLines="40" w:before="96" w:afterLines="40" w:after="96"/>
              <w:jc w:val="left"/>
            </w:pPr>
            <m:oMath>
              <m:sSub>
                <m:sSubPr>
                  <m:ctrlPr>
                    <w:rPr>
                      <w:rFonts w:ascii="Cambria Math" w:hAnsi="Cambria Math"/>
                      <w:i/>
                    </w:rPr>
                  </m:ctrlPr>
                </m:sSubPr>
                <m:e>
                  <m:r>
                    <w:rPr>
                      <w:rFonts w:ascii="Cambria Math" w:hAnsi="Cambria Math"/>
                    </w:rPr>
                    <m:t>%</m:t>
                  </m:r>
                </m:e>
                <m:sub>
                  <m:r>
                    <w:rPr>
                      <w:rFonts w:ascii="Cambria Math" w:hAnsi="Cambria Math"/>
                    </w:rPr>
                    <m:t>cool</m:t>
                  </m:r>
                </m:sub>
              </m:sSub>
              <m:r>
                <w:rPr>
                  <w:rFonts w:ascii="Cambria Math" w:hAnsi="Cambria Math"/>
                </w:rPr>
                <m:t xml:space="preserve">,  </m:t>
              </m:r>
            </m:oMath>
            <w:r w:rsidR="00EA5BBF" w:rsidRPr="001570EA">
              <w:rPr>
                <w:rFonts w:cs="Arial"/>
              </w:rPr>
              <w:t xml:space="preserve">percent of homes with comfort cooling. </w:t>
            </w:r>
          </w:p>
        </w:tc>
        <w:tc>
          <w:tcPr>
            <w:tcW w:w="747" w:type="pct"/>
            <w:vAlign w:val="center"/>
          </w:tcPr>
          <w:p w14:paraId="639A7B40" w14:textId="77777777" w:rsidR="00EA5BBF" w:rsidRPr="001570EA" w:rsidRDefault="00EA5BBF">
            <w:pPr>
              <w:pStyle w:val="TableCell"/>
              <w:keepNext w:val="0"/>
              <w:spacing w:beforeLines="40" w:before="96" w:afterLines="40" w:after="96"/>
              <w:jc w:val="center"/>
              <w:rPr>
                <w:rFonts w:eastAsia="Arial Unicode MS" w:cs="Arial"/>
                <w:i/>
                <w:iCs/>
              </w:rPr>
            </w:pPr>
            <w:r w:rsidRPr="001570EA">
              <w:rPr>
                <w:rFonts w:eastAsia="Arial Unicode MS" w:cs="Arial"/>
                <w:i/>
                <w:iCs/>
              </w:rPr>
              <w:t>None</w:t>
            </w:r>
          </w:p>
        </w:tc>
        <w:tc>
          <w:tcPr>
            <w:tcW w:w="1475" w:type="pct"/>
            <w:shd w:val="clear" w:color="auto" w:fill="auto"/>
          </w:tcPr>
          <w:p w14:paraId="3877252F" w14:textId="77777777" w:rsidR="00EA5BBF" w:rsidRPr="001570EA" w:rsidRDefault="00EA5BBF">
            <w:pPr>
              <w:pStyle w:val="TableCell"/>
              <w:spacing w:beforeLines="40" w:before="96" w:afterLines="40" w:after="96"/>
              <w:jc w:val="center"/>
            </w:pPr>
            <w:r w:rsidRPr="001570EA">
              <w:t>EDC Data Gathering</w:t>
            </w:r>
          </w:p>
          <w:p w14:paraId="4DDA5B3C" w14:textId="77777777" w:rsidR="00EA5BBF" w:rsidRPr="001570EA" w:rsidRDefault="00EA5BBF">
            <w:pPr>
              <w:pStyle w:val="TableCell"/>
              <w:spacing w:beforeLines="40" w:before="96" w:afterLines="40" w:after="96"/>
              <w:jc w:val="center"/>
            </w:pPr>
            <w:r w:rsidRPr="001570EA">
              <w:t>Default = 67%</w:t>
            </w:r>
          </w:p>
        </w:tc>
        <w:tc>
          <w:tcPr>
            <w:tcW w:w="484" w:type="pct"/>
            <w:vAlign w:val="center"/>
          </w:tcPr>
          <w:p w14:paraId="4CEADA7F" w14:textId="77777777" w:rsidR="00EA5BBF" w:rsidRPr="001570EA" w:rsidRDefault="00EA5BBF">
            <w:pPr>
              <w:pStyle w:val="TableCell"/>
              <w:keepNext w:val="0"/>
              <w:spacing w:beforeLines="40" w:before="96" w:afterLines="40" w:after="96"/>
              <w:jc w:val="center"/>
            </w:pPr>
            <w:r w:rsidRPr="001570EA">
              <w:t>9</w:t>
            </w:r>
          </w:p>
        </w:tc>
      </w:tr>
      <w:tr w:rsidR="00EA5BBF" w:rsidRPr="001570EA" w14:paraId="14AF346C" w14:textId="77777777">
        <w:tc>
          <w:tcPr>
            <w:tcW w:w="2293" w:type="pct"/>
            <w:shd w:val="clear" w:color="auto" w:fill="auto"/>
            <w:vAlign w:val="center"/>
          </w:tcPr>
          <w:p w14:paraId="2097F792" w14:textId="2914B86B" w:rsidR="00EA5BBF" w:rsidRPr="001570EA" w:rsidRDefault="00EA5BBF">
            <w:pPr>
              <w:pStyle w:val="TableCell"/>
              <w:keepNext w:val="0"/>
              <w:spacing w:beforeLines="40" w:before="96" w:afterLines="40" w:after="96"/>
              <w:jc w:val="left"/>
              <w:rPr>
                <w:rFonts w:ascii="Cambria Math" w:hAnsi="Cambria Math"/>
                <w:oMath/>
              </w:rPr>
            </w:pPr>
            <m:oMath>
              <m:r>
                <w:rPr>
                  <w:rFonts w:ascii="Cambria Math" w:hAnsi="Cambria Math"/>
                </w:rPr>
                <m:t xml:space="preserve">N, </m:t>
              </m:r>
            </m:oMath>
            <w:r w:rsidRPr="001570EA">
              <w:t>Correlation factor. This factor accounts for four environmental characteristics that may influence infiltration, which include climate, building height, wind shielding and building leakiness</w:t>
            </w:r>
          </w:p>
        </w:tc>
        <w:tc>
          <w:tcPr>
            <w:tcW w:w="747" w:type="pct"/>
            <w:vAlign w:val="center"/>
          </w:tcPr>
          <w:p w14:paraId="010153F1" w14:textId="77777777" w:rsidR="00EA5BBF" w:rsidRPr="001570EA" w:rsidRDefault="00EA5BBF">
            <w:pPr>
              <w:pStyle w:val="TableCell"/>
              <w:keepNext w:val="0"/>
              <w:spacing w:beforeLines="40" w:before="96" w:afterLines="40" w:after="96"/>
              <w:jc w:val="center"/>
              <w:rPr>
                <w:rFonts w:eastAsia="Arial Unicode MS" w:cs="Arial"/>
                <w:i/>
                <w:iCs/>
              </w:rPr>
            </w:pPr>
            <w:r w:rsidRPr="001570EA">
              <w:rPr>
                <w:rFonts w:eastAsia="Arial Unicode MS" w:cs="Arial"/>
                <w:i/>
                <w:iCs/>
              </w:rPr>
              <w:t>None</w:t>
            </w:r>
          </w:p>
        </w:tc>
        <w:tc>
          <w:tcPr>
            <w:tcW w:w="1475" w:type="pct"/>
            <w:shd w:val="clear" w:color="auto" w:fill="auto"/>
            <w:vAlign w:val="center"/>
          </w:tcPr>
          <w:p w14:paraId="2AFDE4FF" w14:textId="4259EA73" w:rsidR="00EA5BBF" w:rsidRPr="001570EA" w:rsidRDefault="00EA5BBF">
            <w:pPr>
              <w:pStyle w:val="TableCell"/>
              <w:keepNext w:val="0"/>
              <w:spacing w:beforeLines="40" w:before="96" w:afterLines="40" w:after="96"/>
              <w:jc w:val="center"/>
            </w:pPr>
            <w:r w:rsidRPr="001570EA">
              <w:t xml:space="preserve">See </w:t>
            </w:r>
            <w:r w:rsidRPr="001570EA">
              <w:fldChar w:fldCharType="begin"/>
            </w:r>
            <w:r w:rsidRPr="001570EA">
              <w:instrText xml:space="preserve"> REF _Ref534294501 \h  \* MERGEFORMAT </w:instrText>
            </w:r>
            <w:r w:rsidRPr="001570EA">
              <w:fldChar w:fldCharType="separate"/>
            </w:r>
            <w:r w:rsidR="00234C6C" w:rsidRPr="001570EA">
              <w:t xml:space="preserve">Table </w:t>
            </w:r>
            <w:r w:rsidR="00234C6C" w:rsidRPr="001570EA">
              <w:rPr>
                <w:noProof/>
              </w:rPr>
              <w:t>2</w:t>
            </w:r>
            <w:r w:rsidR="00234C6C" w:rsidRPr="001570EA">
              <w:rPr>
                <w:noProof/>
              </w:rPr>
              <w:noBreakHyphen/>
              <w:t>135</w:t>
            </w:r>
            <w:r w:rsidRPr="001570EA">
              <w:fldChar w:fldCharType="end"/>
            </w:r>
          </w:p>
          <w:p w14:paraId="6946D710" w14:textId="77777777" w:rsidR="00EA5BBF" w:rsidRPr="001570EA" w:rsidRDefault="00EA5BBF">
            <w:pPr>
              <w:pStyle w:val="TableCell"/>
              <w:keepNext w:val="0"/>
              <w:spacing w:beforeLines="40" w:before="96" w:afterLines="40" w:after="96"/>
              <w:jc w:val="center"/>
            </w:pPr>
            <w:r w:rsidRPr="001570EA">
              <w:t>Default = 16.7</w:t>
            </w:r>
          </w:p>
        </w:tc>
        <w:tc>
          <w:tcPr>
            <w:tcW w:w="484" w:type="pct"/>
            <w:vAlign w:val="center"/>
          </w:tcPr>
          <w:p w14:paraId="5DB570A4" w14:textId="77777777" w:rsidR="00EA5BBF" w:rsidRPr="001570EA" w:rsidRDefault="00EA5BBF">
            <w:pPr>
              <w:pStyle w:val="TableCell"/>
              <w:keepNext w:val="0"/>
              <w:spacing w:beforeLines="40" w:before="96" w:afterLines="40" w:after="96"/>
              <w:jc w:val="center"/>
            </w:pPr>
            <w:r w:rsidRPr="001570EA">
              <w:rPr>
                <w:rStyle w:val="FootnoteReference"/>
                <w:szCs w:val="18"/>
                <w:vertAlign w:val="baseline"/>
              </w:rPr>
              <w:t>1</w:t>
            </w:r>
            <w:r w:rsidRPr="001570EA">
              <w:rPr>
                <w:szCs w:val="18"/>
              </w:rPr>
              <w:t>0</w:t>
            </w:r>
          </w:p>
        </w:tc>
      </w:tr>
      <w:tr w:rsidR="00EA5BBF" w:rsidRPr="001570EA" w14:paraId="19710158" w14:textId="77777777">
        <w:trPr>
          <w:trHeight w:val="1160"/>
        </w:trPr>
        <w:tc>
          <w:tcPr>
            <w:tcW w:w="2293" w:type="pct"/>
            <w:shd w:val="clear" w:color="auto" w:fill="auto"/>
            <w:vAlign w:val="center"/>
          </w:tcPr>
          <w:p w14:paraId="207ADBD8" w14:textId="77777777" w:rsidR="00EA5BBF" w:rsidRPr="001570EA" w:rsidRDefault="00EA5BBF">
            <w:pPr>
              <w:pStyle w:val="TableCell"/>
              <w:keepNext w:val="0"/>
              <w:spacing w:beforeLines="40" w:before="96" w:afterLines="40" w:after="96"/>
              <w:rPr>
                <w:rFonts w:ascii="Cambria Math" w:hAnsi="Cambria Math"/>
                <w:oMath/>
              </w:rPr>
            </w:pPr>
            <m:oMath>
              <m:r>
                <w:rPr>
                  <w:rFonts w:ascii="Cambria Math" w:hAnsi="Cambria Math"/>
                </w:rPr>
                <m:t xml:space="preserve">SEER, SEER2,  </m:t>
              </m:r>
            </m:oMath>
            <w:r w:rsidRPr="001570EA">
              <w:t>Cooling system seasonal efficiency</w:t>
            </w:r>
          </w:p>
        </w:tc>
        <w:tc>
          <w:tcPr>
            <w:tcW w:w="747" w:type="pct"/>
            <w:vAlign w:val="center"/>
          </w:tcPr>
          <w:p w14:paraId="2450A152" w14:textId="77777777" w:rsidR="00EA5BBF" w:rsidRPr="001570EA" w:rsidRDefault="003B5E04">
            <w:pPr>
              <w:pStyle w:val="TableCell"/>
              <w:keepNext w:val="0"/>
              <w:spacing w:beforeLines="40" w:before="96" w:afterLines="40" w:after="96"/>
              <w:rPr>
                <w:rFonts w:eastAsia="Arial Unicode MS" w:cs="Arial"/>
                <w:szCs w:val="18"/>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475" w:type="pct"/>
            <w:shd w:val="clear" w:color="auto" w:fill="auto"/>
            <w:vAlign w:val="center"/>
          </w:tcPr>
          <w:p w14:paraId="444994F0" w14:textId="305A5FFF" w:rsidR="00EA5BBF" w:rsidRPr="001570EA" w:rsidRDefault="00EA5BBF">
            <w:pPr>
              <w:pStyle w:val="TableCell"/>
              <w:spacing w:beforeLines="40" w:before="96" w:afterLines="40" w:after="96"/>
              <w:jc w:val="center"/>
            </w:pPr>
            <w:r w:rsidRPr="001570EA">
              <w:t>EDC Data GatheringDefault:</w:t>
            </w:r>
            <w:r w:rsidRPr="001570EA">
              <w:rPr>
                <w:szCs w:val="18"/>
              </w:rPr>
              <w:t xml:space="preserve">13.9, or See Early Replacement values in </w:t>
            </w:r>
            <w:r w:rsidRPr="001570EA">
              <w:rPr>
                <w:szCs w:val="18"/>
              </w:rPr>
              <w:fldChar w:fldCharType="begin"/>
            </w:r>
            <w:r w:rsidRPr="001570EA">
              <w:rPr>
                <w:szCs w:val="18"/>
              </w:rPr>
              <w:instrText xml:space="preserve"> REF _Ref531779526 \h  \* MERGEFORMAT </w:instrText>
            </w:r>
            <w:r w:rsidRPr="001570EA">
              <w:rPr>
                <w:szCs w:val="18"/>
              </w:rPr>
            </w:r>
            <w:r w:rsidRPr="001570EA">
              <w:rPr>
                <w:szCs w:val="18"/>
              </w:rPr>
              <w:fldChar w:fldCharType="separate"/>
            </w:r>
            <w:r w:rsidR="00234C6C" w:rsidRPr="001570EA">
              <w:rPr>
                <w:szCs w:val="18"/>
              </w:rPr>
              <w:t xml:space="preserve">Table </w:t>
            </w:r>
            <w:r w:rsidR="00234C6C" w:rsidRPr="001570EA">
              <w:rPr>
                <w:noProof/>
                <w:szCs w:val="18"/>
              </w:rPr>
              <w:t>2</w:t>
            </w:r>
            <w:r w:rsidR="00234C6C" w:rsidRPr="001570EA">
              <w:rPr>
                <w:noProof/>
                <w:szCs w:val="18"/>
              </w:rPr>
              <w:noBreakHyphen/>
              <w:t>10</w:t>
            </w:r>
            <w:r w:rsidRPr="001570EA">
              <w:rPr>
                <w:szCs w:val="18"/>
              </w:rPr>
              <w:fldChar w:fldCharType="end"/>
            </w:r>
            <w:r w:rsidRPr="001570EA">
              <w:rPr>
                <w:szCs w:val="18"/>
              </w:rPr>
              <w:t xml:space="preserve"> of Sec. </w:t>
            </w:r>
            <w:r w:rsidRPr="001570EA">
              <w:rPr>
                <w:szCs w:val="18"/>
              </w:rPr>
              <w:fldChar w:fldCharType="begin"/>
            </w:r>
            <w:r w:rsidRPr="001570EA">
              <w:rPr>
                <w:szCs w:val="18"/>
              </w:rPr>
              <w:instrText xml:space="preserve"> REF _Ref534371933 \r \h  \* MERGEFORMAT </w:instrText>
            </w:r>
            <w:r w:rsidRPr="001570EA">
              <w:rPr>
                <w:szCs w:val="18"/>
              </w:rPr>
            </w:r>
            <w:r w:rsidRPr="001570EA">
              <w:rPr>
                <w:szCs w:val="18"/>
              </w:rPr>
              <w:fldChar w:fldCharType="separate"/>
            </w:r>
            <w:r w:rsidR="00234C6C" w:rsidRPr="001570EA">
              <w:rPr>
                <w:szCs w:val="18"/>
              </w:rPr>
              <w:t>2.2.1</w:t>
            </w:r>
            <w:r w:rsidRPr="001570EA">
              <w:rPr>
                <w:szCs w:val="18"/>
              </w:rPr>
              <w:fldChar w:fldCharType="end"/>
            </w:r>
          </w:p>
        </w:tc>
        <w:tc>
          <w:tcPr>
            <w:tcW w:w="484" w:type="pct"/>
            <w:vAlign w:val="center"/>
          </w:tcPr>
          <w:p w14:paraId="55E3A655" w14:textId="77777777" w:rsidR="00EA5BBF" w:rsidRPr="001570EA" w:rsidRDefault="00EA5BBF">
            <w:pPr>
              <w:pStyle w:val="TableCell"/>
              <w:keepNext w:val="0"/>
              <w:spacing w:beforeLines="40" w:before="96" w:afterLines="40" w:after="96"/>
              <w:jc w:val="center"/>
            </w:pPr>
            <w:r w:rsidRPr="001570EA">
              <w:t>11, 15</w:t>
            </w:r>
          </w:p>
        </w:tc>
      </w:tr>
      <w:tr w:rsidR="00EA5BBF" w:rsidRPr="001570EA" w14:paraId="5ACA6CFF" w14:textId="77777777">
        <w:tc>
          <w:tcPr>
            <w:tcW w:w="2293" w:type="pct"/>
            <w:shd w:val="clear" w:color="auto" w:fill="auto"/>
            <w:vAlign w:val="center"/>
          </w:tcPr>
          <w:p w14:paraId="1F4D471E" w14:textId="77777777" w:rsidR="00EA5BBF" w:rsidRPr="001570EA" w:rsidRDefault="003B5E04">
            <w:pPr>
              <w:pStyle w:val="TableCell"/>
              <w:keepNext w:val="0"/>
              <w:spacing w:beforeLines="40" w:before="96" w:afterLines="40" w:after="96"/>
            </w:pPr>
            <m:oMath>
              <m:sSub>
                <m:sSubPr>
                  <m:ctrlPr>
                    <w:rPr>
                      <w:rFonts w:ascii="Cambria Math" w:hAnsi="Cambria Math"/>
                      <w:i/>
                    </w:rPr>
                  </m:ctrlPr>
                </m:sSubPr>
                <m:e>
                  <m:r>
                    <w:rPr>
                      <w:rFonts w:ascii="Cambria Math" w:hAnsi="Cambria Math"/>
                    </w:rPr>
                    <m:t>%</m:t>
                  </m:r>
                </m:e>
                <m:sub>
                  <m:r>
                    <w:rPr>
                      <w:rFonts w:ascii="Cambria Math" w:hAnsi="Cambria Math"/>
                    </w:rPr>
                    <m:t>elec</m:t>
                  </m:r>
                </m:sub>
              </m:sSub>
              <m:r>
                <w:rPr>
                  <w:rFonts w:ascii="Cambria Math" w:hAnsi="Cambria Math"/>
                </w:rPr>
                <m:t xml:space="preserve">,  </m:t>
              </m:r>
            </m:oMath>
            <w:r w:rsidR="00EA5BBF" w:rsidRPr="001570EA">
              <w:t>percent of homes with electric primary heating fuel</w:t>
            </w:r>
          </w:p>
        </w:tc>
        <w:tc>
          <w:tcPr>
            <w:tcW w:w="747" w:type="pct"/>
            <w:vAlign w:val="center"/>
          </w:tcPr>
          <w:p w14:paraId="72ADFB93" w14:textId="77777777" w:rsidR="00EA5BBF" w:rsidRPr="001570EA" w:rsidRDefault="00EA5BBF">
            <w:pPr>
              <w:pStyle w:val="TableCell"/>
              <w:keepNext w:val="0"/>
              <w:spacing w:beforeLines="40" w:before="96" w:afterLines="40" w:after="96"/>
              <w:jc w:val="center"/>
              <w:rPr>
                <w:i/>
                <w:iCs/>
                <w:szCs w:val="18"/>
              </w:rPr>
            </w:pPr>
            <w:r w:rsidRPr="001570EA">
              <w:rPr>
                <w:i/>
                <w:iCs/>
                <w:szCs w:val="18"/>
              </w:rPr>
              <w:t>None</w:t>
            </w:r>
          </w:p>
        </w:tc>
        <w:tc>
          <w:tcPr>
            <w:tcW w:w="1475" w:type="pct"/>
            <w:shd w:val="clear" w:color="auto" w:fill="auto"/>
            <w:vAlign w:val="center"/>
          </w:tcPr>
          <w:p w14:paraId="179920A7" w14:textId="77777777" w:rsidR="00EA5BBF" w:rsidRPr="001570EA" w:rsidRDefault="00EA5BBF">
            <w:pPr>
              <w:pStyle w:val="TableCell"/>
              <w:keepNext w:val="0"/>
              <w:spacing w:beforeLines="40" w:before="96" w:afterLines="40" w:after="96"/>
              <w:jc w:val="center"/>
            </w:pPr>
            <w:r w:rsidRPr="001570EA">
              <w:t>EDC Data Gathering</w:t>
            </w:r>
          </w:p>
          <w:p w14:paraId="68867005" w14:textId="77777777" w:rsidR="00EA5BBF" w:rsidRPr="001570EA" w:rsidRDefault="00EA5BBF">
            <w:pPr>
              <w:pStyle w:val="TableCell"/>
              <w:keepNext w:val="0"/>
              <w:spacing w:beforeLines="40" w:before="96" w:afterLines="40" w:after="96"/>
              <w:jc w:val="center"/>
            </w:pPr>
            <w:r w:rsidRPr="001570EA">
              <w:t>Default = 36%</w:t>
            </w:r>
          </w:p>
        </w:tc>
        <w:tc>
          <w:tcPr>
            <w:tcW w:w="484" w:type="pct"/>
            <w:vAlign w:val="center"/>
          </w:tcPr>
          <w:p w14:paraId="0884695B" w14:textId="77777777" w:rsidR="00EA5BBF" w:rsidRPr="001570EA" w:rsidRDefault="00EA5BBF">
            <w:pPr>
              <w:pStyle w:val="TableCell"/>
              <w:keepNext w:val="0"/>
              <w:spacing w:beforeLines="40" w:before="96" w:afterLines="40" w:after="96"/>
              <w:jc w:val="center"/>
            </w:pPr>
            <w:r w:rsidRPr="001570EA">
              <w:t>9</w:t>
            </w:r>
          </w:p>
        </w:tc>
      </w:tr>
      <w:tr w:rsidR="00EA5BBF" w:rsidRPr="001570EA" w14:paraId="226BCAA9" w14:textId="77777777">
        <w:tc>
          <w:tcPr>
            <w:tcW w:w="2293" w:type="pct"/>
            <w:shd w:val="clear" w:color="auto" w:fill="auto"/>
            <w:vAlign w:val="center"/>
          </w:tcPr>
          <w:p w14:paraId="22C46188" w14:textId="77777777" w:rsidR="00EA5BBF" w:rsidRPr="001570EA" w:rsidRDefault="00EA5BBF">
            <w:pPr>
              <w:pStyle w:val="TableCell"/>
              <w:keepNext w:val="0"/>
              <w:spacing w:beforeLines="40" w:before="96" w:afterLines="40" w:after="96"/>
              <w:rPr>
                <w:rFonts w:ascii="Cambria Math" w:hAnsi="Cambria Math"/>
                <w:oMath/>
              </w:rPr>
            </w:pPr>
            <m:oMath>
              <m:r>
                <w:rPr>
                  <w:rFonts w:ascii="Cambria Math" w:hAnsi="Cambria Math"/>
                </w:rPr>
                <m:t xml:space="preserve">HSPF, HSPF2,  </m:t>
              </m:r>
            </m:oMath>
            <w:r w:rsidRPr="001570EA">
              <w:t>Heating system seasonal efficiency</w:t>
            </w:r>
          </w:p>
        </w:tc>
        <w:tc>
          <w:tcPr>
            <w:tcW w:w="747" w:type="pct"/>
            <w:vAlign w:val="center"/>
          </w:tcPr>
          <w:p w14:paraId="62DE71A6" w14:textId="77777777" w:rsidR="00EA5BBF" w:rsidRPr="001570EA" w:rsidRDefault="003B5E04">
            <w:pPr>
              <w:pStyle w:val="TableCell"/>
              <w:keepNext w:val="0"/>
              <w:spacing w:beforeLines="40" w:before="96" w:afterLines="40" w:after="96"/>
              <w:rPr>
                <w:rFonts w:eastAsia="Arial Unicode MS" w:cs="Arial"/>
                <w:szCs w:val="18"/>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475" w:type="pct"/>
            <w:shd w:val="clear" w:color="auto" w:fill="auto"/>
            <w:vAlign w:val="center"/>
          </w:tcPr>
          <w:p w14:paraId="0ABAE5F1" w14:textId="77777777" w:rsidR="00EA5BBF" w:rsidRPr="001570EA" w:rsidRDefault="00EA5BBF">
            <w:pPr>
              <w:pStyle w:val="TableCell"/>
              <w:keepNext w:val="0"/>
              <w:spacing w:beforeLines="40" w:before="96" w:afterLines="40" w:after="96"/>
              <w:jc w:val="center"/>
            </w:pPr>
            <w:r w:rsidRPr="001570EA">
              <w:t>EDC Data Gathering</w:t>
            </w:r>
          </w:p>
          <w:p w14:paraId="3F1412F6" w14:textId="20842ACD" w:rsidR="00EA5BBF" w:rsidRPr="001570EA" w:rsidRDefault="00EA5BBF">
            <w:pPr>
              <w:pStyle w:val="TableCell"/>
              <w:keepNext w:val="0"/>
              <w:spacing w:beforeLines="40" w:before="96" w:afterLines="40" w:after="96"/>
              <w:jc w:val="center"/>
            </w:pPr>
            <w:r w:rsidRPr="001570EA">
              <w:t xml:space="preserve">Default: </w:t>
            </w:r>
            <w:r w:rsidRPr="001570EA">
              <w:rPr>
                <w:szCs w:val="18"/>
              </w:rPr>
              <w:t xml:space="preserve"> 7.75, or See Early Replacement values in </w:t>
            </w:r>
            <w:r w:rsidRPr="001570EA">
              <w:rPr>
                <w:szCs w:val="18"/>
              </w:rPr>
              <w:fldChar w:fldCharType="begin"/>
            </w:r>
            <w:r w:rsidRPr="001570EA">
              <w:rPr>
                <w:szCs w:val="18"/>
              </w:rPr>
              <w:instrText xml:space="preserve"> REF _Ref531779526 \h  \* MERGEFORMAT </w:instrText>
            </w:r>
            <w:r w:rsidRPr="001570EA">
              <w:rPr>
                <w:szCs w:val="18"/>
              </w:rPr>
            </w:r>
            <w:r w:rsidRPr="001570EA">
              <w:rPr>
                <w:szCs w:val="18"/>
              </w:rPr>
              <w:fldChar w:fldCharType="separate"/>
            </w:r>
            <w:r w:rsidR="00234C6C" w:rsidRPr="001570EA">
              <w:rPr>
                <w:szCs w:val="18"/>
              </w:rPr>
              <w:t xml:space="preserve">Table </w:t>
            </w:r>
            <w:r w:rsidR="00234C6C" w:rsidRPr="001570EA">
              <w:rPr>
                <w:noProof/>
                <w:szCs w:val="18"/>
              </w:rPr>
              <w:t>2</w:t>
            </w:r>
            <w:r w:rsidR="00234C6C" w:rsidRPr="001570EA">
              <w:rPr>
                <w:noProof/>
                <w:szCs w:val="18"/>
              </w:rPr>
              <w:noBreakHyphen/>
              <w:t>10</w:t>
            </w:r>
            <w:r w:rsidRPr="001570EA">
              <w:rPr>
                <w:szCs w:val="18"/>
              </w:rPr>
              <w:fldChar w:fldCharType="end"/>
            </w:r>
            <w:r w:rsidRPr="001570EA">
              <w:rPr>
                <w:szCs w:val="18"/>
              </w:rPr>
              <w:t xml:space="preserve"> in Sec. </w:t>
            </w:r>
            <w:r w:rsidRPr="001570EA">
              <w:rPr>
                <w:szCs w:val="18"/>
              </w:rPr>
              <w:fldChar w:fldCharType="begin"/>
            </w:r>
            <w:r w:rsidRPr="001570EA">
              <w:rPr>
                <w:szCs w:val="18"/>
              </w:rPr>
              <w:instrText xml:space="preserve"> REF _Ref534371933 \r \h  \* MERGEFORMAT </w:instrText>
            </w:r>
            <w:r w:rsidRPr="001570EA">
              <w:rPr>
                <w:szCs w:val="18"/>
              </w:rPr>
            </w:r>
            <w:r w:rsidRPr="001570EA">
              <w:rPr>
                <w:szCs w:val="18"/>
              </w:rPr>
              <w:fldChar w:fldCharType="separate"/>
            </w:r>
            <w:r w:rsidR="00234C6C" w:rsidRPr="001570EA">
              <w:rPr>
                <w:szCs w:val="18"/>
              </w:rPr>
              <w:t>2.2.1</w:t>
            </w:r>
            <w:r w:rsidRPr="001570EA">
              <w:rPr>
                <w:szCs w:val="18"/>
              </w:rPr>
              <w:fldChar w:fldCharType="end"/>
            </w:r>
          </w:p>
        </w:tc>
        <w:tc>
          <w:tcPr>
            <w:tcW w:w="484" w:type="pct"/>
            <w:vAlign w:val="center"/>
          </w:tcPr>
          <w:p w14:paraId="00283AFE" w14:textId="77777777" w:rsidR="00EA5BBF" w:rsidRPr="001570EA" w:rsidRDefault="00EA5BBF">
            <w:pPr>
              <w:pStyle w:val="TableCell"/>
              <w:keepNext w:val="0"/>
              <w:spacing w:beforeLines="40" w:before="96" w:afterLines="40" w:after="96"/>
              <w:jc w:val="center"/>
            </w:pPr>
            <w:r w:rsidRPr="001570EA">
              <w:t>11, 15</w:t>
            </w:r>
          </w:p>
        </w:tc>
      </w:tr>
      <w:tr w:rsidR="00EA5BBF" w:rsidRPr="001570EA" w14:paraId="12C75089" w14:textId="77777777">
        <w:tc>
          <w:tcPr>
            <w:tcW w:w="2293" w:type="pct"/>
            <w:shd w:val="clear" w:color="auto" w:fill="auto"/>
            <w:vAlign w:val="center"/>
          </w:tcPr>
          <w:p w14:paraId="1C4A8B91" w14:textId="77777777" w:rsidR="00EA5BBF" w:rsidRPr="001570EA" w:rsidRDefault="003B5E04">
            <w:pPr>
              <w:pStyle w:val="TableCell"/>
              <w:keepNext w:val="0"/>
              <w:spacing w:beforeLines="40" w:before="96" w:afterLines="40" w:after="96"/>
            </w:pPr>
            <m:oMath>
              <m:sSub>
                <m:sSubPr>
                  <m:ctrlPr>
                    <w:rPr>
                      <w:rFonts w:ascii="Cambria Math" w:hAnsi="Cambria Math"/>
                      <w:i/>
                    </w:rPr>
                  </m:ctrlPr>
                </m:sSubPr>
                <m:e>
                  <m:r>
                    <w:rPr>
                      <w:rFonts w:ascii="Cambria Math" w:hAnsi="Cambria Math"/>
                    </w:rPr>
                    <m:t>ETDF</m:t>
                  </m:r>
                </m:e>
                <m:sub>
                  <m:r>
                    <w:rPr>
                      <w:rFonts w:ascii="Cambria Math" w:hAnsi="Cambria Math"/>
                    </w:rPr>
                    <m:t>summer</m:t>
                  </m:r>
                </m:sub>
              </m:sSub>
            </m:oMath>
            <w:r w:rsidR="00EA5BBF" w:rsidRPr="001570EA">
              <w:t>, Summer energy to demand factor</w:t>
            </w:r>
          </w:p>
        </w:tc>
        <w:tc>
          <w:tcPr>
            <w:tcW w:w="747" w:type="pct"/>
            <w:vAlign w:val="center"/>
          </w:tcPr>
          <w:p w14:paraId="72D8F730" w14:textId="77777777" w:rsidR="00EA5BBF" w:rsidRPr="001570EA" w:rsidRDefault="00EA5BBF">
            <w:pPr>
              <w:pStyle w:val="TableCell"/>
              <w:keepNext w:val="0"/>
              <w:spacing w:beforeLines="40" w:before="96" w:afterLines="40" w:after="96"/>
              <w:jc w:val="center"/>
              <w:rPr>
                <w:szCs w:val="18"/>
              </w:rPr>
            </w:pPr>
            <w:r w:rsidRPr="001570EA">
              <w:rPr>
                <w:rFonts w:eastAsia="Arial Unicode MS" w:cs="Arial"/>
                <w:i/>
              </w:rPr>
              <w:t>kW/kWh</w:t>
            </w:r>
          </w:p>
        </w:tc>
        <w:tc>
          <w:tcPr>
            <w:tcW w:w="1475" w:type="pct"/>
            <w:shd w:val="clear" w:color="auto" w:fill="auto"/>
            <w:vAlign w:val="center"/>
          </w:tcPr>
          <w:p w14:paraId="088FF184" w14:textId="77777777" w:rsidR="00EA5BBF" w:rsidRPr="001570EA" w:rsidRDefault="00EA5BBF">
            <w:pPr>
              <w:pStyle w:val="TableCell"/>
              <w:keepNext w:val="0"/>
              <w:spacing w:beforeLines="40" w:before="96" w:afterLines="40" w:after="96"/>
              <w:jc w:val="center"/>
            </w:pPr>
            <w:r w:rsidRPr="001570EA">
              <w:t>0.0005272</w:t>
            </w:r>
          </w:p>
        </w:tc>
        <w:tc>
          <w:tcPr>
            <w:tcW w:w="484" w:type="pct"/>
            <w:vAlign w:val="center"/>
          </w:tcPr>
          <w:p w14:paraId="1530F8D9" w14:textId="77777777" w:rsidR="00EA5BBF" w:rsidRPr="001570EA" w:rsidRDefault="00EA5BBF">
            <w:pPr>
              <w:pStyle w:val="TableCell"/>
              <w:keepNext w:val="0"/>
              <w:spacing w:beforeLines="40" w:before="96" w:afterLines="40" w:after="96"/>
              <w:jc w:val="center"/>
            </w:pPr>
            <w:r w:rsidRPr="001570EA">
              <w:t>12</w:t>
            </w:r>
          </w:p>
        </w:tc>
      </w:tr>
      <w:tr w:rsidR="00EA5BBF" w:rsidRPr="001570EA" w14:paraId="1CC2FABC" w14:textId="77777777">
        <w:tc>
          <w:tcPr>
            <w:tcW w:w="2293" w:type="pct"/>
            <w:shd w:val="clear" w:color="auto" w:fill="auto"/>
            <w:vAlign w:val="center"/>
          </w:tcPr>
          <w:p w14:paraId="036957FD" w14:textId="77777777" w:rsidR="00EA5BBF" w:rsidRPr="001570EA" w:rsidRDefault="003B5E04">
            <w:pPr>
              <w:pStyle w:val="TableCell"/>
              <w:keepNext w:val="0"/>
              <w:spacing w:beforeLines="40" w:before="96" w:afterLines="40" w:after="96"/>
            </w:pPr>
            <m:oMath>
              <m:sSub>
                <m:sSubPr>
                  <m:ctrlPr>
                    <w:rPr>
                      <w:rFonts w:ascii="Cambria Math" w:hAnsi="Cambria Math"/>
                      <w:i/>
                    </w:rPr>
                  </m:ctrlPr>
                </m:sSubPr>
                <m:e>
                  <m:r>
                    <w:rPr>
                      <w:rFonts w:ascii="Cambria Math" w:hAnsi="Cambria Math"/>
                    </w:rPr>
                    <m:t>ETDF</m:t>
                  </m:r>
                </m:e>
                <m:sub>
                  <m:r>
                    <w:rPr>
                      <w:rFonts w:ascii="Cambria Math" w:hAnsi="Cambria Math"/>
                    </w:rPr>
                    <m:t>winter</m:t>
                  </m:r>
                </m:sub>
              </m:sSub>
            </m:oMath>
            <w:r w:rsidR="00EA5BBF" w:rsidRPr="001570EA">
              <w:t>, Winter energy to demand factor</w:t>
            </w:r>
          </w:p>
        </w:tc>
        <w:tc>
          <w:tcPr>
            <w:tcW w:w="747" w:type="pct"/>
            <w:vAlign w:val="center"/>
          </w:tcPr>
          <w:p w14:paraId="7B612B92" w14:textId="77777777" w:rsidR="00EA5BBF" w:rsidRPr="001570EA" w:rsidRDefault="00EA5BBF">
            <w:pPr>
              <w:pStyle w:val="TableCell"/>
              <w:keepNext w:val="0"/>
              <w:spacing w:beforeLines="40" w:before="96" w:afterLines="40" w:after="96"/>
              <w:jc w:val="center"/>
              <w:rPr>
                <w:szCs w:val="18"/>
              </w:rPr>
            </w:pPr>
            <w:r w:rsidRPr="001570EA">
              <w:rPr>
                <w:rFonts w:eastAsia="Arial Unicode MS" w:cs="Arial"/>
                <w:i/>
              </w:rPr>
              <w:t>kW/kWh</w:t>
            </w:r>
          </w:p>
        </w:tc>
        <w:tc>
          <w:tcPr>
            <w:tcW w:w="1475" w:type="pct"/>
            <w:shd w:val="clear" w:color="auto" w:fill="auto"/>
            <w:vAlign w:val="center"/>
          </w:tcPr>
          <w:p w14:paraId="59D175C0" w14:textId="77777777" w:rsidR="00EA5BBF" w:rsidRPr="001570EA" w:rsidRDefault="00EA5BBF">
            <w:pPr>
              <w:pStyle w:val="TableCell"/>
              <w:keepNext w:val="0"/>
              <w:spacing w:beforeLines="40" w:before="96" w:afterLines="40" w:after="96"/>
              <w:jc w:val="center"/>
            </w:pPr>
            <w:r w:rsidRPr="001570EA">
              <w:t>0.0003398</w:t>
            </w:r>
          </w:p>
        </w:tc>
        <w:tc>
          <w:tcPr>
            <w:tcW w:w="484" w:type="pct"/>
            <w:vAlign w:val="center"/>
          </w:tcPr>
          <w:p w14:paraId="539F2E60" w14:textId="77777777" w:rsidR="00EA5BBF" w:rsidRPr="001570EA" w:rsidRDefault="00EA5BBF">
            <w:pPr>
              <w:pStyle w:val="TableCell"/>
              <w:keepNext w:val="0"/>
              <w:spacing w:beforeLines="40" w:before="96" w:afterLines="40" w:after="96"/>
              <w:jc w:val="center"/>
            </w:pPr>
            <w:r w:rsidRPr="001570EA">
              <w:t>12</w:t>
            </w:r>
          </w:p>
        </w:tc>
      </w:tr>
      <w:tr w:rsidR="00EA5BBF" w:rsidRPr="001570EA" w14:paraId="3ED0BCA5" w14:textId="77777777">
        <w:tc>
          <w:tcPr>
            <w:tcW w:w="2293" w:type="pct"/>
            <w:shd w:val="clear" w:color="auto" w:fill="auto"/>
            <w:vAlign w:val="center"/>
          </w:tcPr>
          <w:p w14:paraId="7F19BA50" w14:textId="77777777" w:rsidR="00EA5BBF" w:rsidRPr="001570EA" w:rsidRDefault="00EA5BBF">
            <w:pPr>
              <w:pStyle w:val="TableCell"/>
              <w:keepNext w:val="0"/>
              <w:spacing w:beforeLines="40" w:before="96" w:afterLines="40" w:after="96"/>
              <w:rPr>
                <w:i/>
                <w:iCs/>
                <w:szCs w:val="18"/>
              </w:rPr>
            </w:pPr>
            <w:r w:rsidRPr="001570EA">
              <w:rPr>
                <w:rFonts w:ascii="Cambria Math" w:hAnsi="Cambria Math"/>
                <w:i/>
                <w:iCs/>
                <w:szCs w:val="18"/>
              </w:rPr>
              <w:t>EER</w:t>
            </w:r>
            <w:r w:rsidRPr="001570EA">
              <w:rPr>
                <w:i/>
                <w:iCs/>
                <w:szCs w:val="18"/>
                <w:vertAlign w:val="subscript"/>
              </w:rPr>
              <w:t>g</w:t>
            </w:r>
            <w:r w:rsidRPr="001570EA">
              <w:rPr>
                <w:i/>
                <w:iCs/>
                <w:szCs w:val="18"/>
              </w:rPr>
              <w:t xml:space="preserve">, </w:t>
            </w:r>
            <w:r w:rsidRPr="001570EA">
              <w:rPr>
                <w:rFonts w:cs="Arial"/>
                <w:szCs w:val="18"/>
              </w:rPr>
              <w:t>Energy Efficiency Ratio of a GSHP, this is measured differently than EER of an air source heat pump and must be converted</w:t>
            </w:r>
          </w:p>
        </w:tc>
        <w:tc>
          <w:tcPr>
            <w:tcW w:w="747" w:type="pct"/>
            <w:vAlign w:val="center"/>
          </w:tcPr>
          <w:p w14:paraId="190D7BDC" w14:textId="77777777" w:rsidR="00EA5BBF" w:rsidRPr="001570EA" w:rsidRDefault="003B5E04">
            <w:pPr>
              <w:pStyle w:val="TableCell"/>
              <w:keepNext w:val="0"/>
              <w:spacing w:beforeLines="40" w:before="96" w:afterLines="40" w:after="96"/>
              <w:rPr>
                <w:szCs w:val="18"/>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475" w:type="pct"/>
            <w:shd w:val="clear" w:color="auto" w:fill="auto"/>
            <w:vAlign w:val="center"/>
          </w:tcPr>
          <w:p w14:paraId="355576DF" w14:textId="77777777" w:rsidR="00EA5BBF" w:rsidRPr="001570EA" w:rsidRDefault="00EA5BBF">
            <w:pPr>
              <w:pStyle w:val="TableCell"/>
              <w:keepNext w:val="0"/>
              <w:spacing w:beforeLines="40" w:before="96" w:afterLines="40" w:after="96"/>
              <w:jc w:val="center"/>
              <w:rPr>
                <w:szCs w:val="18"/>
              </w:rPr>
            </w:pPr>
            <w:r w:rsidRPr="001570EA">
              <w:rPr>
                <w:szCs w:val="18"/>
              </w:rPr>
              <w:t>EDC Data Gathering</w:t>
            </w:r>
          </w:p>
          <w:p w14:paraId="2ABE1B96" w14:textId="77777777" w:rsidR="00EA5BBF" w:rsidRPr="001570EA" w:rsidRDefault="00EA5BBF">
            <w:pPr>
              <w:pStyle w:val="TableCell"/>
              <w:keepNext w:val="0"/>
              <w:spacing w:beforeLines="40" w:before="96" w:afterLines="40" w:after="96"/>
              <w:jc w:val="center"/>
              <w:rPr>
                <w:szCs w:val="18"/>
              </w:rPr>
            </w:pPr>
            <w:r w:rsidRPr="001570EA">
              <w:rPr>
                <w:szCs w:val="18"/>
              </w:rPr>
              <w:t>Default = 17.1</w:t>
            </w:r>
          </w:p>
        </w:tc>
        <w:tc>
          <w:tcPr>
            <w:tcW w:w="484" w:type="pct"/>
            <w:vAlign w:val="center"/>
          </w:tcPr>
          <w:p w14:paraId="5A350369" w14:textId="77777777" w:rsidR="00EA5BBF" w:rsidRPr="001570EA" w:rsidRDefault="00EA5BBF">
            <w:pPr>
              <w:pStyle w:val="TableCell"/>
              <w:keepNext w:val="0"/>
              <w:spacing w:beforeLines="40" w:before="96" w:afterLines="40" w:after="96"/>
              <w:jc w:val="center"/>
              <w:rPr>
                <w:szCs w:val="18"/>
              </w:rPr>
            </w:pPr>
            <w:r w:rsidRPr="001570EA">
              <w:t>13</w:t>
            </w:r>
          </w:p>
        </w:tc>
      </w:tr>
      <w:tr w:rsidR="00EA5BBF" w:rsidRPr="001570EA" w14:paraId="059D8D24" w14:textId="77777777">
        <w:tc>
          <w:tcPr>
            <w:tcW w:w="2293" w:type="pct"/>
            <w:shd w:val="clear" w:color="auto" w:fill="auto"/>
            <w:vAlign w:val="center"/>
          </w:tcPr>
          <w:p w14:paraId="68E1D630" w14:textId="77777777" w:rsidR="00EA5BBF" w:rsidRPr="001570EA" w:rsidRDefault="00EA5BBF">
            <w:pPr>
              <w:pStyle w:val="TableCell"/>
              <w:keepNext w:val="0"/>
              <w:spacing w:beforeLines="40" w:before="96" w:afterLines="40" w:after="96"/>
              <w:rPr>
                <w:i/>
                <w:iCs/>
                <w:szCs w:val="18"/>
              </w:rPr>
            </w:pPr>
            <w:r w:rsidRPr="001570EA">
              <w:rPr>
                <w:rFonts w:ascii="Cambria Math" w:hAnsi="Cambria Math"/>
                <w:i/>
                <w:iCs/>
                <w:szCs w:val="18"/>
              </w:rPr>
              <w:t>COP</w:t>
            </w:r>
            <w:r w:rsidRPr="001570EA">
              <w:rPr>
                <w:rFonts w:ascii="Cambria Math" w:hAnsi="Cambria Math"/>
                <w:i/>
                <w:iCs/>
                <w:szCs w:val="18"/>
                <w:vertAlign w:val="subscript"/>
              </w:rPr>
              <w:t>g</w:t>
            </w:r>
            <w:r w:rsidRPr="001570EA">
              <w:rPr>
                <w:i/>
                <w:iCs/>
                <w:szCs w:val="18"/>
              </w:rPr>
              <w:t xml:space="preserve">, </w:t>
            </w:r>
            <w:r w:rsidRPr="001570EA">
              <w:rPr>
                <w:rFonts w:cs="Arial"/>
                <w:szCs w:val="18"/>
              </w:rPr>
              <w:t>Coefficient of Performance. This is a measure of the efficiency of a ground source heat pump</w:t>
            </w:r>
          </w:p>
        </w:tc>
        <w:tc>
          <w:tcPr>
            <w:tcW w:w="747" w:type="pct"/>
            <w:vAlign w:val="center"/>
          </w:tcPr>
          <w:p w14:paraId="3AE2DDE2" w14:textId="77777777" w:rsidR="00EA5BBF" w:rsidRPr="001570EA" w:rsidRDefault="00EA5BBF">
            <w:pPr>
              <w:pStyle w:val="TableCell"/>
              <w:keepNext w:val="0"/>
              <w:spacing w:beforeLines="40" w:before="96" w:afterLines="40" w:after="96"/>
              <w:jc w:val="center"/>
              <w:rPr>
                <w:szCs w:val="18"/>
              </w:rPr>
            </w:pPr>
            <w:r w:rsidRPr="001570EA">
              <w:rPr>
                <w:i/>
                <w:iCs/>
                <w:szCs w:val="18"/>
              </w:rPr>
              <w:t>None</w:t>
            </w:r>
          </w:p>
        </w:tc>
        <w:tc>
          <w:tcPr>
            <w:tcW w:w="1475" w:type="pct"/>
            <w:shd w:val="clear" w:color="auto" w:fill="auto"/>
            <w:vAlign w:val="center"/>
          </w:tcPr>
          <w:p w14:paraId="2C66F6E7" w14:textId="77777777" w:rsidR="00EA5BBF" w:rsidRPr="001570EA" w:rsidRDefault="00EA5BBF">
            <w:pPr>
              <w:pStyle w:val="TableCell"/>
              <w:keepNext w:val="0"/>
              <w:spacing w:beforeLines="40" w:before="96" w:afterLines="40" w:after="96"/>
              <w:jc w:val="center"/>
              <w:rPr>
                <w:szCs w:val="18"/>
              </w:rPr>
            </w:pPr>
            <w:r w:rsidRPr="001570EA">
              <w:rPr>
                <w:szCs w:val="18"/>
              </w:rPr>
              <w:t>EDC Data Gathering</w:t>
            </w:r>
          </w:p>
          <w:p w14:paraId="051AC08E" w14:textId="77777777" w:rsidR="00EA5BBF" w:rsidRPr="001570EA" w:rsidRDefault="00EA5BBF">
            <w:pPr>
              <w:pStyle w:val="TableCell"/>
              <w:keepNext w:val="0"/>
              <w:spacing w:beforeLines="40" w:before="96" w:afterLines="40" w:after="96"/>
              <w:jc w:val="center"/>
              <w:rPr>
                <w:szCs w:val="18"/>
              </w:rPr>
            </w:pPr>
            <w:r w:rsidRPr="001570EA">
              <w:rPr>
                <w:szCs w:val="18"/>
              </w:rPr>
              <w:t>Default = 3.6</w:t>
            </w:r>
          </w:p>
        </w:tc>
        <w:tc>
          <w:tcPr>
            <w:tcW w:w="484" w:type="pct"/>
            <w:vAlign w:val="center"/>
          </w:tcPr>
          <w:p w14:paraId="6E59C9BF" w14:textId="77777777" w:rsidR="00EA5BBF" w:rsidRPr="001570EA" w:rsidRDefault="00EA5BBF">
            <w:pPr>
              <w:pStyle w:val="TableCell"/>
              <w:keepNext w:val="0"/>
              <w:spacing w:beforeLines="40" w:before="96" w:afterLines="40" w:after="96"/>
              <w:jc w:val="center"/>
              <w:rPr>
                <w:szCs w:val="18"/>
              </w:rPr>
            </w:pPr>
            <w:r w:rsidRPr="001570EA">
              <w:t>13</w:t>
            </w:r>
          </w:p>
        </w:tc>
      </w:tr>
      <w:tr w:rsidR="00EA5BBF" w:rsidRPr="001570EA" w14:paraId="130819D3" w14:textId="77777777">
        <w:tc>
          <w:tcPr>
            <w:tcW w:w="2293" w:type="pct"/>
            <w:shd w:val="clear" w:color="auto" w:fill="auto"/>
            <w:vAlign w:val="center"/>
          </w:tcPr>
          <w:p w14:paraId="083C4F29" w14:textId="1AF3A07D" w:rsidR="00EA5BBF" w:rsidRPr="001570EA" w:rsidRDefault="00EA5BBF">
            <w:pPr>
              <w:pStyle w:val="TableCell"/>
              <w:keepNext w:val="0"/>
              <w:spacing w:beforeLines="40" w:before="96" w:afterLines="40" w:after="96"/>
            </w:pPr>
            <w:r w:rsidRPr="001570EA">
              <w:rPr>
                <w:rFonts w:ascii="Cambria Math" w:hAnsi="Cambria Math"/>
                <w:i/>
                <w:iCs/>
                <w:szCs w:val="18"/>
              </w:rPr>
              <w:t>GSHPDF</w:t>
            </w:r>
            <w:r w:rsidRPr="001570EA">
              <w:rPr>
                <w:szCs w:val="18"/>
              </w:rPr>
              <w:t>, Ground Source Heat Pump De-rate Factor</w:t>
            </w:r>
          </w:p>
        </w:tc>
        <w:tc>
          <w:tcPr>
            <w:tcW w:w="747" w:type="pct"/>
            <w:vAlign w:val="center"/>
          </w:tcPr>
          <w:p w14:paraId="0CB58A66" w14:textId="77777777" w:rsidR="00EA5BBF" w:rsidRPr="001570EA" w:rsidRDefault="00EA5BBF">
            <w:pPr>
              <w:pStyle w:val="TableCell"/>
              <w:keepNext w:val="0"/>
              <w:spacing w:beforeLines="40" w:before="96" w:afterLines="40" w:after="96"/>
              <w:jc w:val="center"/>
              <w:rPr>
                <w:rFonts w:eastAsia="Arial Unicode MS" w:cs="Arial"/>
              </w:rPr>
            </w:pPr>
            <w:r w:rsidRPr="001570EA">
              <w:rPr>
                <w:i/>
                <w:iCs/>
                <w:szCs w:val="18"/>
              </w:rPr>
              <w:t>Proportion</w:t>
            </w:r>
          </w:p>
        </w:tc>
        <w:tc>
          <w:tcPr>
            <w:tcW w:w="1475" w:type="pct"/>
            <w:shd w:val="clear" w:color="auto" w:fill="auto"/>
            <w:vAlign w:val="center"/>
          </w:tcPr>
          <w:p w14:paraId="2B8B2EDE" w14:textId="77777777" w:rsidR="00EA5BBF" w:rsidRPr="001570EA" w:rsidRDefault="00EA5BBF">
            <w:pPr>
              <w:pStyle w:val="TableCell"/>
              <w:keepNext w:val="0"/>
              <w:spacing w:beforeLines="40" w:before="96" w:afterLines="40" w:after="96"/>
              <w:jc w:val="center"/>
            </w:pPr>
            <w:r w:rsidRPr="001570EA">
              <w:rPr>
                <w:szCs w:val="18"/>
              </w:rPr>
              <w:t>0.885</w:t>
            </w:r>
          </w:p>
        </w:tc>
        <w:tc>
          <w:tcPr>
            <w:tcW w:w="484" w:type="pct"/>
            <w:vAlign w:val="center"/>
          </w:tcPr>
          <w:p w14:paraId="1591BCE3" w14:textId="77777777" w:rsidR="00EA5BBF" w:rsidRPr="001570EA" w:rsidRDefault="00EA5BBF">
            <w:pPr>
              <w:pStyle w:val="TableCell"/>
              <w:keepNext w:val="0"/>
              <w:spacing w:beforeLines="40" w:before="96" w:afterLines="40" w:after="96"/>
              <w:jc w:val="center"/>
            </w:pPr>
            <w:r w:rsidRPr="001570EA">
              <w:rPr>
                <w:szCs w:val="18"/>
              </w:rPr>
              <w:t>14</w:t>
            </w:r>
          </w:p>
        </w:tc>
      </w:tr>
    </w:tbl>
    <w:p w14:paraId="38D36076" w14:textId="77777777" w:rsidR="00EA5BBF" w:rsidRPr="001570EA" w:rsidRDefault="00EA5BBF" w:rsidP="00EA5BBF">
      <w:pPr>
        <w:pStyle w:val="NoSpacing"/>
      </w:pPr>
    </w:p>
    <w:p w14:paraId="20285A2C" w14:textId="0F60970E" w:rsidR="00EA5BBF" w:rsidRPr="001570EA" w:rsidRDefault="00EA5BBF" w:rsidP="00EA5BBF">
      <w:pPr>
        <w:pStyle w:val="Caption"/>
      </w:pPr>
      <w:bookmarkStart w:id="1156" w:name="_Ref534294501"/>
      <w:bookmarkStart w:id="1157" w:name="_Toc47598359"/>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135</w:t>
      </w:r>
      <w:r w:rsidR="002E093A" w:rsidRPr="001570EA">
        <w:fldChar w:fldCharType="end"/>
      </w:r>
      <w:bookmarkEnd w:id="1156"/>
      <w:r w:rsidRPr="001570EA">
        <w:t>: Correlation Factor</w:t>
      </w:r>
      <w:r w:rsidRPr="001570EA">
        <w:rPr>
          <w:vertAlign w:val="superscript"/>
        </w:rPr>
        <w:t>Source 10</w:t>
      </w:r>
      <w:bookmarkEnd w:id="1157"/>
    </w:p>
    <w:tbl>
      <w:tblPr>
        <w:tblStyle w:val="TableGrid"/>
        <w:tblW w:w="0" w:type="auto"/>
        <w:tblInd w:w="115" w:type="dxa"/>
        <w:tblLook w:val="04A0" w:firstRow="1" w:lastRow="0" w:firstColumn="1" w:lastColumn="0" w:noHBand="0" w:noVBand="1"/>
      </w:tblPr>
      <w:tblGrid>
        <w:gridCol w:w="1850"/>
        <w:gridCol w:w="796"/>
        <w:gridCol w:w="796"/>
        <w:gridCol w:w="796"/>
        <w:gridCol w:w="797"/>
      </w:tblGrid>
      <w:tr w:rsidR="00EA5BBF" w:rsidRPr="001570EA" w14:paraId="02DF802D" w14:textId="77777777">
        <w:trPr>
          <w:trHeight w:val="289"/>
        </w:trPr>
        <w:tc>
          <w:tcPr>
            <w:tcW w:w="1850" w:type="dxa"/>
            <w:shd w:val="clear" w:color="auto" w:fill="BFBFBF" w:themeFill="background1" w:themeFillShade="BF"/>
            <w:vAlign w:val="center"/>
          </w:tcPr>
          <w:p w14:paraId="47181284" w14:textId="77777777" w:rsidR="00EA5BBF" w:rsidRPr="001570EA" w:rsidRDefault="00EA5BBF">
            <w:pPr>
              <w:pStyle w:val="NoSpacing"/>
              <w:spacing w:after="0"/>
              <w:jc w:val="left"/>
              <w:rPr>
                <w:b/>
                <w:sz w:val="18"/>
                <w:szCs w:val="18"/>
              </w:rPr>
            </w:pPr>
            <w:r w:rsidRPr="001570EA">
              <w:rPr>
                <w:b/>
                <w:sz w:val="18"/>
                <w:szCs w:val="18"/>
              </w:rPr>
              <w:t>Shielding/Stories</w:t>
            </w:r>
          </w:p>
        </w:tc>
        <w:tc>
          <w:tcPr>
            <w:tcW w:w="796" w:type="dxa"/>
            <w:shd w:val="clear" w:color="auto" w:fill="BFBFBF" w:themeFill="background1" w:themeFillShade="BF"/>
            <w:vAlign w:val="center"/>
          </w:tcPr>
          <w:p w14:paraId="018B2534" w14:textId="77777777" w:rsidR="00EA5BBF" w:rsidRPr="001570EA" w:rsidRDefault="00EA5BBF">
            <w:pPr>
              <w:pStyle w:val="NoSpacing"/>
              <w:spacing w:after="0"/>
              <w:jc w:val="center"/>
              <w:rPr>
                <w:b/>
                <w:sz w:val="18"/>
                <w:szCs w:val="18"/>
              </w:rPr>
            </w:pPr>
            <w:r w:rsidRPr="001570EA">
              <w:rPr>
                <w:b/>
                <w:sz w:val="18"/>
                <w:szCs w:val="18"/>
              </w:rPr>
              <w:t>1</w:t>
            </w:r>
          </w:p>
        </w:tc>
        <w:tc>
          <w:tcPr>
            <w:tcW w:w="796" w:type="dxa"/>
            <w:shd w:val="clear" w:color="auto" w:fill="BFBFBF" w:themeFill="background1" w:themeFillShade="BF"/>
            <w:vAlign w:val="center"/>
          </w:tcPr>
          <w:p w14:paraId="521EE7CC" w14:textId="77777777" w:rsidR="00EA5BBF" w:rsidRPr="001570EA" w:rsidRDefault="00EA5BBF">
            <w:pPr>
              <w:pStyle w:val="NoSpacing"/>
              <w:spacing w:after="0"/>
              <w:jc w:val="center"/>
              <w:rPr>
                <w:b/>
                <w:sz w:val="18"/>
                <w:szCs w:val="18"/>
              </w:rPr>
            </w:pPr>
            <w:r w:rsidRPr="001570EA">
              <w:rPr>
                <w:b/>
                <w:sz w:val="18"/>
                <w:szCs w:val="18"/>
              </w:rPr>
              <w:t>1.5</w:t>
            </w:r>
          </w:p>
        </w:tc>
        <w:tc>
          <w:tcPr>
            <w:tcW w:w="796" w:type="dxa"/>
            <w:shd w:val="clear" w:color="auto" w:fill="BFBFBF" w:themeFill="background1" w:themeFillShade="BF"/>
            <w:vAlign w:val="center"/>
          </w:tcPr>
          <w:p w14:paraId="06AF67E3" w14:textId="77777777" w:rsidR="00EA5BBF" w:rsidRPr="001570EA" w:rsidRDefault="00EA5BBF">
            <w:pPr>
              <w:pStyle w:val="NoSpacing"/>
              <w:spacing w:after="0"/>
              <w:jc w:val="center"/>
              <w:rPr>
                <w:b/>
                <w:sz w:val="18"/>
                <w:szCs w:val="18"/>
              </w:rPr>
            </w:pPr>
            <w:r w:rsidRPr="001570EA">
              <w:rPr>
                <w:b/>
                <w:sz w:val="18"/>
                <w:szCs w:val="18"/>
              </w:rPr>
              <w:t>2</w:t>
            </w:r>
          </w:p>
        </w:tc>
        <w:tc>
          <w:tcPr>
            <w:tcW w:w="797" w:type="dxa"/>
            <w:shd w:val="clear" w:color="auto" w:fill="BFBFBF" w:themeFill="background1" w:themeFillShade="BF"/>
            <w:vAlign w:val="center"/>
          </w:tcPr>
          <w:p w14:paraId="12312830" w14:textId="77777777" w:rsidR="00EA5BBF" w:rsidRPr="001570EA" w:rsidRDefault="00EA5BBF">
            <w:pPr>
              <w:pStyle w:val="NoSpacing"/>
              <w:spacing w:after="0"/>
              <w:jc w:val="center"/>
              <w:rPr>
                <w:b/>
                <w:sz w:val="18"/>
                <w:szCs w:val="18"/>
              </w:rPr>
            </w:pPr>
            <w:r w:rsidRPr="001570EA">
              <w:rPr>
                <w:b/>
                <w:sz w:val="18"/>
                <w:szCs w:val="18"/>
              </w:rPr>
              <w:t>3</w:t>
            </w:r>
          </w:p>
        </w:tc>
      </w:tr>
      <w:tr w:rsidR="00EA5BBF" w:rsidRPr="001570EA" w14:paraId="0E10C0EA" w14:textId="77777777">
        <w:trPr>
          <w:trHeight w:val="289"/>
        </w:trPr>
        <w:tc>
          <w:tcPr>
            <w:tcW w:w="1850" w:type="dxa"/>
            <w:vAlign w:val="center"/>
          </w:tcPr>
          <w:p w14:paraId="5344DD71" w14:textId="77777777" w:rsidR="00EA5BBF" w:rsidRPr="001570EA" w:rsidRDefault="00EA5BBF">
            <w:pPr>
              <w:pStyle w:val="NoSpacing"/>
              <w:spacing w:after="0"/>
              <w:jc w:val="left"/>
              <w:rPr>
                <w:sz w:val="18"/>
                <w:szCs w:val="18"/>
              </w:rPr>
            </w:pPr>
            <w:r w:rsidRPr="001570EA">
              <w:rPr>
                <w:sz w:val="18"/>
                <w:szCs w:val="18"/>
              </w:rPr>
              <w:t>Well-shielded</w:t>
            </w:r>
          </w:p>
        </w:tc>
        <w:tc>
          <w:tcPr>
            <w:tcW w:w="796" w:type="dxa"/>
            <w:vAlign w:val="center"/>
          </w:tcPr>
          <w:p w14:paraId="13F02082" w14:textId="77777777" w:rsidR="00EA5BBF" w:rsidRPr="001570EA" w:rsidRDefault="00EA5BBF">
            <w:pPr>
              <w:pStyle w:val="NoSpacing"/>
              <w:spacing w:after="0"/>
              <w:jc w:val="center"/>
              <w:rPr>
                <w:sz w:val="18"/>
                <w:szCs w:val="18"/>
              </w:rPr>
            </w:pPr>
            <w:r w:rsidRPr="001570EA">
              <w:rPr>
                <w:sz w:val="18"/>
                <w:szCs w:val="18"/>
              </w:rPr>
              <w:t>22.2</w:t>
            </w:r>
          </w:p>
        </w:tc>
        <w:tc>
          <w:tcPr>
            <w:tcW w:w="796" w:type="dxa"/>
            <w:vAlign w:val="center"/>
          </w:tcPr>
          <w:p w14:paraId="7E1BC748" w14:textId="77777777" w:rsidR="00EA5BBF" w:rsidRPr="001570EA" w:rsidRDefault="00EA5BBF">
            <w:pPr>
              <w:pStyle w:val="NoSpacing"/>
              <w:spacing w:after="0"/>
              <w:jc w:val="center"/>
              <w:rPr>
                <w:sz w:val="18"/>
                <w:szCs w:val="18"/>
              </w:rPr>
            </w:pPr>
            <w:r w:rsidRPr="001570EA">
              <w:rPr>
                <w:sz w:val="18"/>
                <w:szCs w:val="18"/>
              </w:rPr>
              <w:t>20.0</w:t>
            </w:r>
          </w:p>
        </w:tc>
        <w:tc>
          <w:tcPr>
            <w:tcW w:w="796" w:type="dxa"/>
            <w:vAlign w:val="center"/>
          </w:tcPr>
          <w:p w14:paraId="0AB90DDF" w14:textId="77777777" w:rsidR="00EA5BBF" w:rsidRPr="001570EA" w:rsidRDefault="00EA5BBF">
            <w:pPr>
              <w:pStyle w:val="NoSpacing"/>
              <w:spacing w:after="0"/>
              <w:jc w:val="center"/>
              <w:rPr>
                <w:sz w:val="18"/>
                <w:szCs w:val="18"/>
              </w:rPr>
            </w:pPr>
            <w:r w:rsidRPr="001570EA">
              <w:rPr>
                <w:sz w:val="18"/>
                <w:szCs w:val="18"/>
              </w:rPr>
              <w:t>17.8</w:t>
            </w:r>
          </w:p>
        </w:tc>
        <w:tc>
          <w:tcPr>
            <w:tcW w:w="797" w:type="dxa"/>
            <w:vAlign w:val="center"/>
          </w:tcPr>
          <w:p w14:paraId="7855C919" w14:textId="77777777" w:rsidR="00EA5BBF" w:rsidRPr="001570EA" w:rsidRDefault="00EA5BBF">
            <w:pPr>
              <w:pStyle w:val="NoSpacing"/>
              <w:spacing w:after="0"/>
              <w:jc w:val="center"/>
              <w:rPr>
                <w:sz w:val="18"/>
                <w:szCs w:val="18"/>
              </w:rPr>
            </w:pPr>
            <w:r w:rsidRPr="001570EA">
              <w:rPr>
                <w:sz w:val="18"/>
                <w:szCs w:val="18"/>
              </w:rPr>
              <w:t>15.5</w:t>
            </w:r>
          </w:p>
        </w:tc>
      </w:tr>
      <w:tr w:rsidR="00EA5BBF" w:rsidRPr="001570EA" w14:paraId="3F05423D" w14:textId="77777777">
        <w:trPr>
          <w:trHeight w:val="289"/>
        </w:trPr>
        <w:tc>
          <w:tcPr>
            <w:tcW w:w="1850" w:type="dxa"/>
            <w:vAlign w:val="center"/>
          </w:tcPr>
          <w:p w14:paraId="33C59C29" w14:textId="77777777" w:rsidR="00EA5BBF" w:rsidRPr="001570EA" w:rsidRDefault="00EA5BBF">
            <w:pPr>
              <w:pStyle w:val="NoSpacing"/>
              <w:spacing w:after="0"/>
              <w:jc w:val="left"/>
              <w:rPr>
                <w:sz w:val="18"/>
                <w:szCs w:val="18"/>
              </w:rPr>
            </w:pPr>
            <w:r w:rsidRPr="001570EA">
              <w:rPr>
                <w:sz w:val="18"/>
                <w:szCs w:val="18"/>
              </w:rPr>
              <w:t>Normal</w:t>
            </w:r>
          </w:p>
        </w:tc>
        <w:tc>
          <w:tcPr>
            <w:tcW w:w="796" w:type="dxa"/>
            <w:vAlign w:val="center"/>
          </w:tcPr>
          <w:p w14:paraId="3F04B1DA" w14:textId="77777777" w:rsidR="00EA5BBF" w:rsidRPr="001570EA" w:rsidRDefault="00EA5BBF">
            <w:pPr>
              <w:pStyle w:val="NoSpacing"/>
              <w:spacing w:after="0"/>
              <w:jc w:val="center"/>
              <w:rPr>
                <w:sz w:val="18"/>
                <w:szCs w:val="18"/>
              </w:rPr>
            </w:pPr>
            <w:r w:rsidRPr="001570EA">
              <w:rPr>
                <w:sz w:val="18"/>
                <w:szCs w:val="18"/>
              </w:rPr>
              <w:t>18.5</w:t>
            </w:r>
          </w:p>
        </w:tc>
        <w:tc>
          <w:tcPr>
            <w:tcW w:w="796" w:type="dxa"/>
            <w:vAlign w:val="center"/>
          </w:tcPr>
          <w:p w14:paraId="3227D3AF" w14:textId="77777777" w:rsidR="00EA5BBF" w:rsidRPr="001570EA" w:rsidRDefault="00EA5BBF">
            <w:pPr>
              <w:pStyle w:val="NoSpacing"/>
              <w:spacing w:after="0"/>
              <w:jc w:val="center"/>
              <w:rPr>
                <w:sz w:val="18"/>
                <w:szCs w:val="18"/>
              </w:rPr>
            </w:pPr>
            <w:r w:rsidRPr="001570EA">
              <w:rPr>
                <w:sz w:val="18"/>
                <w:szCs w:val="18"/>
              </w:rPr>
              <w:t>16.7</w:t>
            </w:r>
          </w:p>
        </w:tc>
        <w:tc>
          <w:tcPr>
            <w:tcW w:w="796" w:type="dxa"/>
            <w:vAlign w:val="center"/>
          </w:tcPr>
          <w:p w14:paraId="3CF0B219" w14:textId="77777777" w:rsidR="00EA5BBF" w:rsidRPr="001570EA" w:rsidRDefault="00EA5BBF">
            <w:pPr>
              <w:pStyle w:val="NoSpacing"/>
              <w:spacing w:after="0"/>
              <w:jc w:val="center"/>
              <w:rPr>
                <w:sz w:val="18"/>
                <w:szCs w:val="18"/>
              </w:rPr>
            </w:pPr>
            <w:r w:rsidRPr="001570EA">
              <w:rPr>
                <w:sz w:val="18"/>
                <w:szCs w:val="18"/>
              </w:rPr>
              <w:t>14.8</w:t>
            </w:r>
          </w:p>
        </w:tc>
        <w:tc>
          <w:tcPr>
            <w:tcW w:w="797" w:type="dxa"/>
            <w:vAlign w:val="center"/>
          </w:tcPr>
          <w:p w14:paraId="78ED3488" w14:textId="77777777" w:rsidR="00EA5BBF" w:rsidRPr="001570EA" w:rsidRDefault="00EA5BBF">
            <w:pPr>
              <w:pStyle w:val="NoSpacing"/>
              <w:spacing w:after="0"/>
              <w:jc w:val="center"/>
              <w:rPr>
                <w:sz w:val="18"/>
                <w:szCs w:val="18"/>
              </w:rPr>
            </w:pPr>
            <w:r w:rsidRPr="001570EA">
              <w:rPr>
                <w:sz w:val="18"/>
                <w:szCs w:val="18"/>
              </w:rPr>
              <w:t>13.0</w:t>
            </w:r>
          </w:p>
        </w:tc>
      </w:tr>
      <w:tr w:rsidR="00EA5BBF" w:rsidRPr="001570EA" w14:paraId="04185359" w14:textId="77777777">
        <w:trPr>
          <w:trHeight w:val="289"/>
        </w:trPr>
        <w:tc>
          <w:tcPr>
            <w:tcW w:w="1850" w:type="dxa"/>
            <w:vAlign w:val="center"/>
          </w:tcPr>
          <w:p w14:paraId="47CAE950" w14:textId="77777777" w:rsidR="00EA5BBF" w:rsidRPr="001570EA" w:rsidRDefault="00EA5BBF">
            <w:pPr>
              <w:pStyle w:val="NoSpacing"/>
              <w:spacing w:after="0"/>
              <w:jc w:val="left"/>
              <w:rPr>
                <w:sz w:val="18"/>
                <w:szCs w:val="18"/>
              </w:rPr>
            </w:pPr>
            <w:r w:rsidRPr="001570EA">
              <w:rPr>
                <w:sz w:val="18"/>
                <w:szCs w:val="18"/>
              </w:rPr>
              <w:t>Exposed</w:t>
            </w:r>
          </w:p>
        </w:tc>
        <w:tc>
          <w:tcPr>
            <w:tcW w:w="796" w:type="dxa"/>
            <w:vAlign w:val="center"/>
          </w:tcPr>
          <w:p w14:paraId="4E658305" w14:textId="77777777" w:rsidR="00EA5BBF" w:rsidRPr="001570EA" w:rsidRDefault="00EA5BBF">
            <w:pPr>
              <w:pStyle w:val="NoSpacing"/>
              <w:spacing w:after="0"/>
              <w:jc w:val="center"/>
              <w:rPr>
                <w:sz w:val="18"/>
                <w:szCs w:val="18"/>
              </w:rPr>
            </w:pPr>
            <w:r w:rsidRPr="001570EA">
              <w:rPr>
                <w:sz w:val="18"/>
                <w:szCs w:val="18"/>
              </w:rPr>
              <w:t>16.7</w:t>
            </w:r>
          </w:p>
        </w:tc>
        <w:tc>
          <w:tcPr>
            <w:tcW w:w="796" w:type="dxa"/>
            <w:vAlign w:val="center"/>
          </w:tcPr>
          <w:p w14:paraId="2760324E" w14:textId="77777777" w:rsidR="00EA5BBF" w:rsidRPr="001570EA" w:rsidRDefault="00EA5BBF">
            <w:pPr>
              <w:pStyle w:val="NoSpacing"/>
              <w:spacing w:after="0"/>
              <w:jc w:val="center"/>
              <w:rPr>
                <w:sz w:val="18"/>
                <w:szCs w:val="18"/>
              </w:rPr>
            </w:pPr>
            <w:r w:rsidRPr="001570EA">
              <w:rPr>
                <w:sz w:val="18"/>
                <w:szCs w:val="18"/>
              </w:rPr>
              <w:t>15.0</w:t>
            </w:r>
          </w:p>
        </w:tc>
        <w:tc>
          <w:tcPr>
            <w:tcW w:w="796" w:type="dxa"/>
            <w:vAlign w:val="center"/>
          </w:tcPr>
          <w:p w14:paraId="3076ABDC" w14:textId="77777777" w:rsidR="00EA5BBF" w:rsidRPr="001570EA" w:rsidRDefault="00EA5BBF">
            <w:pPr>
              <w:pStyle w:val="NoSpacing"/>
              <w:spacing w:after="0"/>
              <w:jc w:val="center"/>
              <w:rPr>
                <w:sz w:val="18"/>
                <w:szCs w:val="18"/>
              </w:rPr>
            </w:pPr>
            <w:r w:rsidRPr="001570EA">
              <w:rPr>
                <w:sz w:val="18"/>
                <w:szCs w:val="18"/>
              </w:rPr>
              <w:t>13.3</w:t>
            </w:r>
          </w:p>
        </w:tc>
        <w:tc>
          <w:tcPr>
            <w:tcW w:w="797" w:type="dxa"/>
            <w:vAlign w:val="center"/>
          </w:tcPr>
          <w:p w14:paraId="53ABE260" w14:textId="77777777" w:rsidR="00EA5BBF" w:rsidRPr="001570EA" w:rsidRDefault="00EA5BBF">
            <w:pPr>
              <w:pStyle w:val="NoSpacing"/>
              <w:spacing w:after="0"/>
              <w:jc w:val="center"/>
              <w:rPr>
                <w:sz w:val="18"/>
                <w:szCs w:val="18"/>
              </w:rPr>
            </w:pPr>
            <w:r w:rsidRPr="001570EA">
              <w:rPr>
                <w:sz w:val="18"/>
                <w:szCs w:val="18"/>
              </w:rPr>
              <w:t>11.7</w:t>
            </w:r>
          </w:p>
        </w:tc>
      </w:tr>
    </w:tbl>
    <w:p w14:paraId="344221F9" w14:textId="77777777" w:rsidR="00EA5BBF" w:rsidRPr="001570EA" w:rsidRDefault="00EA5BBF" w:rsidP="00EA5BBF">
      <w:pPr>
        <w:pStyle w:val="NoSpacing"/>
      </w:pPr>
    </w:p>
    <w:p w14:paraId="681E207A" w14:textId="2AC2DE01" w:rsidR="00EA5BBF" w:rsidRPr="001570EA" w:rsidRDefault="00EA5BBF" w:rsidP="00EA5BBF">
      <w:pPr>
        <w:pStyle w:val="Caption"/>
      </w:pPr>
      <w:bookmarkStart w:id="1158" w:name="_Ref470605105"/>
      <w:bookmarkStart w:id="1159" w:name="_Toc4759836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136</w:t>
      </w:r>
      <w:r w:rsidR="002E093A" w:rsidRPr="001570EA">
        <w:fldChar w:fldCharType="end"/>
      </w:r>
      <w:bookmarkEnd w:id="1158"/>
      <w:r w:rsidRPr="001570EA">
        <w:t>: Latent Multiplier Values by Climate Reference City</w:t>
      </w:r>
      <w:bookmarkEnd w:id="1159"/>
      <w:r w:rsidRPr="001570EA">
        <w:rPr>
          <w:vertAlign w:val="superscript"/>
        </w:rPr>
        <w:t>Source 6</w:t>
      </w:r>
    </w:p>
    <w:tbl>
      <w:tblPr>
        <w:tblW w:w="20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775"/>
        <w:gridCol w:w="810"/>
      </w:tblGrid>
      <w:tr w:rsidR="00EA5BBF" w:rsidRPr="001570EA" w14:paraId="1715693E" w14:textId="77777777">
        <w:tc>
          <w:tcPr>
            <w:tcW w:w="1286" w:type="pct"/>
            <w:shd w:val="clear" w:color="auto" w:fill="BFBFBF"/>
          </w:tcPr>
          <w:p w14:paraId="66D0CC0C" w14:textId="77777777" w:rsidR="00EA5BBF" w:rsidRPr="001570EA" w:rsidRDefault="00EA5BBF">
            <w:pPr>
              <w:pStyle w:val="TableCell"/>
              <w:rPr>
                <w:b/>
              </w:rPr>
            </w:pPr>
            <w:r w:rsidRPr="001570EA">
              <w:rPr>
                <w:b/>
              </w:rPr>
              <w:t>Climate Region</w:t>
            </w:r>
          </w:p>
        </w:tc>
        <w:tc>
          <w:tcPr>
            <w:tcW w:w="2550" w:type="pct"/>
            <w:shd w:val="clear" w:color="auto" w:fill="BFBFBF"/>
            <w:vAlign w:val="center"/>
          </w:tcPr>
          <w:p w14:paraId="7330DF7E" w14:textId="77777777" w:rsidR="00EA5BBF" w:rsidRPr="001570EA" w:rsidRDefault="00EA5BBF">
            <w:pPr>
              <w:pStyle w:val="TableCell"/>
              <w:jc w:val="center"/>
              <w:rPr>
                <w:b/>
              </w:rPr>
            </w:pPr>
            <w:r w:rsidRPr="001570EA">
              <w:rPr>
                <w:b/>
              </w:rPr>
              <w:t>Reference City</w:t>
            </w:r>
          </w:p>
        </w:tc>
        <w:tc>
          <w:tcPr>
            <w:tcW w:w="1164" w:type="pct"/>
            <w:shd w:val="clear" w:color="auto" w:fill="BFBFBF"/>
            <w:vAlign w:val="center"/>
          </w:tcPr>
          <w:p w14:paraId="34FADDA2" w14:textId="77777777" w:rsidR="00EA5BBF" w:rsidRPr="001570EA" w:rsidRDefault="00EA5BBF">
            <w:pPr>
              <w:pStyle w:val="TableCell"/>
              <w:jc w:val="center"/>
              <w:rPr>
                <w:b/>
                <w:bCs/>
                <w:iCs/>
              </w:rPr>
            </w:pPr>
            <w:r w:rsidRPr="001570EA">
              <w:rPr>
                <w:b/>
                <w:bCs/>
                <w:iCs/>
              </w:rPr>
              <w:t>LM</w:t>
            </w:r>
          </w:p>
        </w:tc>
      </w:tr>
      <w:tr w:rsidR="00EA5BBF" w:rsidRPr="001570EA" w14:paraId="1530C324" w14:textId="77777777">
        <w:tc>
          <w:tcPr>
            <w:tcW w:w="1286" w:type="pct"/>
            <w:shd w:val="clear" w:color="auto" w:fill="BFBFBF" w:themeFill="background1" w:themeFillShade="BF"/>
          </w:tcPr>
          <w:p w14:paraId="2B733DC0" w14:textId="77777777" w:rsidR="00EA5BBF" w:rsidRPr="001570EA" w:rsidRDefault="00EA5BBF">
            <w:pPr>
              <w:pStyle w:val="TableCell"/>
              <w:spacing w:before="40" w:after="40"/>
              <w:jc w:val="center"/>
              <w:rPr>
                <w:b/>
              </w:rPr>
            </w:pPr>
            <w:r w:rsidRPr="001570EA">
              <w:rPr>
                <w:b/>
              </w:rPr>
              <w:t>C</w:t>
            </w:r>
          </w:p>
        </w:tc>
        <w:tc>
          <w:tcPr>
            <w:tcW w:w="2550" w:type="pct"/>
            <w:shd w:val="clear" w:color="auto" w:fill="auto"/>
            <w:vAlign w:val="center"/>
          </w:tcPr>
          <w:p w14:paraId="7F14BA80" w14:textId="77777777" w:rsidR="00EA5BBF" w:rsidRPr="001570EA" w:rsidRDefault="00EA5BBF">
            <w:pPr>
              <w:pStyle w:val="TableCell"/>
              <w:spacing w:before="40" w:after="40"/>
            </w:pPr>
            <w:r w:rsidRPr="001570EA">
              <w:t>Allentown</w:t>
            </w:r>
          </w:p>
        </w:tc>
        <w:tc>
          <w:tcPr>
            <w:tcW w:w="1164" w:type="pct"/>
            <w:vAlign w:val="center"/>
          </w:tcPr>
          <w:p w14:paraId="5943B2D7" w14:textId="77777777" w:rsidR="00EA5BBF" w:rsidRPr="001570EA" w:rsidRDefault="00EA5BBF">
            <w:pPr>
              <w:pStyle w:val="TableCell"/>
              <w:tabs>
                <w:tab w:val="clear" w:pos="720"/>
                <w:tab w:val="decimal" w:pos="246"/>
              </w:tabs>
              <w:spacing w:before="40" w:after="40"/>
              <w:jc w:val="left"/>
              <w:rPr>
                <w:rFonts w:eastAsia="Arial Unicode MS"/>
              </w:rPr>
            </w:pPr>
            <w:r w:rsidRPr="001570EA">
              <w:rPr>
                <w:rFonts w:eastAsia="Arial Unicode MS"/>
              </w:rPr>
              <w:t>9.0</w:t>
            </w:r>
          </w:p>
        </w:tc>
      </w:tr>
      <w:tr w:rsidR="00EA5BBF" w:rsidRPr="001570EA" w14:paraId="2C4CE0B1" w14:textId="77777777">
        <w:tc>
          <w:tcPr>
            <w:tcW w:w="1286" w:type="pct"/>
            <w:shd w:val="clear" w:color="auto" w:fill="BFBFBF" w:themeFill="background1" w:themeFillShade="BF"/>
          </w:tcPr>
          <w:p w14:paraId="0ABAF82D" w14:textId="77777777" w:rsidR="00EA5BBF" w:rsidRPr="001570EA" w:rsidRDefault="00EA5BBF">
            <w:pPr>
              <w:pStyle w:val="TableCell"/>
              <w:spacing w:before="40" w:after="40"/>
              <w:jc w:val="center"/>
              <w:rPr>
                <w:b/>
              </w:rPr>
            </w:pPr>
            <w:r w:rsidRPr="001570EA">
              <w:rPr>
                <w:b/>
              </w:rPr>
              <w:t>A</w:t>
            </w:r>
          </w:p>
        </w:tc>
        <w:tc>
          <w:tcPr>
            <w:tcW w:w="2550" w:type="pct"/>
            <w:shd w:val="clear" w:color="auto" w:fill="auto"/>
            <w:vAlign w:val="center"/>
          </w:tcPr>
          <w:p w14:paraId="41CF7D63" w14:textId="77777777" w:rsidR="00EA5BBF" w:rsidRPr="001570EA" w:rsidRDefault="00EA5BBF">
            <w:pPr>
              <w:pStyle w:val="TableCell"/>
              <w:spacing w:before="40" w:after="40"/>
            </w:pPr>
            <w:r w:rsidRPr="001570EA">
              <w:t>Binghamton, NY</w:t>
            </w:r>
          </w:p>
        </w:tc>
        <w:tc>
          <w:tcPr>
            <w:tcW w:w="1164" w:type="pct"/>
            <w:vAlign w:val="center"/>
          </w:tcPr>
          <w:p w14:paraId="500A0ACB" w14:textId="77777777" w:rsidR="00EA5BBF" w:rsidRPr="001570EA" w:rsidRDefault="00EA5BBF">
            <w:pPr>
              <w:pStyle w:val="TableCell"/>
              <w:tabs>
                <w:tab w:val="clear" w:pos="720"/>
                <w:tab w:val="decimal" w:pos="246"/>
              </w:tabs>
              <w:spacing w:before="40" w:after="40"/>
              <w:jc w:val="left"/>
              <w:rPr>
                <w:rFonts w:eastAsia="Arial Unicode MS"/>
              </w:rPr>
            </w:pPr>
            <w:r w:rsidRPr="001570EA">
              <w:rPr>
                <w:rFonts w:eastAsia="Arial Unicode MS"/>
              </w:rPr>
              <w:t>6.75</w:t>
            </w:r>
          </w:p>
        </w:tc>
      </w:tr>
      <w:tr w:rsidR="00EA5BBF" w:rsidRPr="001570EA" w14:paraId="283D5437" w14:textId="77777777">
        <w:tc>
          <w:tcPr>
            <w:tcW w:w="1286" w:type="pct"/>
            <w:shd w:val="clear" w:color="auto" w:fill="BFBFBF" w:themeFill="background1" w:themeFillShade="BF"/>
          </w:tcPr>
          <w:p w14:paraId="1C54C311" w14:textId="77777777" w:rsidR="00EA5BBF" w:rsidRPr="001570EA" w:rsidRDefault="00EA5BBF">
            <w:pPr>
              <w:pStyle w:val="TableCell"/>
              <w:spacing w:before="40" w:after="40"/>
              <w:jc w:val="center"/>
              <w:rPr>
                <w:b/>
              </w:rPr>
            </w:pPr>
            <w:r w:rsidRPr="001570EA">
              <w:rPr>
                <w:b/>
              </w:rPr>
              <w:t>G</w:t>
            </w:r>
          </w:p>
        </w:tc>
        <w:tc>
          <w:tcPr>
            <w:tcW w:w="2550" w:type="pct"/>
            <w:shd w:val="clear" w:color="auto" w:fill="auto"/>
            <w:vAlign w:val="center"/>
          </w:tcPr>
          <w:p w14:paraId="7ACC11B4" w14:textId="77777777" w:rsidR="00EA5BBF" w:rsidRPr="001570EA" w:rsidRDefault="00EA5BBF">
            <w:pPr>
              <w:pStyle w:val="TableCell"/>
              <w:spacing w:before="40" w:after="40"/>
            </w:pPr>
            <w:r w:rsidRPr="001570EA">
              <w:t>Bradford</w:t>
            </w:r>
          </w:p>
        </w:tc>
        <w:tc>
          <w:tcPr>
            <w:tcW w:w="1164" w:type="pct"/>
            <w:vAlign w:val="center"/>
          </w:tcPr>
          <w:p w14:paraId="01D01EE1" w14:textId="77777777" w:rsidR="00EA5BBF" w:rsidRPr="001570EA" w:rsidRDefault="00EA5BBF">
            <w:pPr>
              <w:pStyle w:val="TableCell"/>
              <w:tabs>
                <w:tab w:val="clear" w:pos="720"/>
                <w:tab w:val="decimal" w:pos="246"/>
              </w:tabs>
              <w:spacing w:before="40" w:after="40"/>
              <w:jc w:val="left"/>
              <w:rPr>
                <w:rFonts w:eastAsia="Arial Unicode MS"/>
              </w:rPr>
            </w:pPr>
            <w:r w:rsidRPr="001570EA">
              <w:rPr>
                <w:rFonts w:eastAsia="Arial Unicode MS"/>
              </w:rPr>
              <w:t>16.0</w:t>
            </w:r>
          </w:p>
        </w:tc>
      </w:tr>
      <w:tr w:rsidR="00EA5BBF" w:rsidRPr="001570EA" w14:paraId="580360CB" w14:textId="77777777">
        <w:tc>
          <w:tcPr>
            <w:tcW w:w="1286" w:type="pct"/>
            <w:shd w:val="clear" w:color="auto" w:fill="BFBFBF" w:themeFill="background1" w:themeFillShade="BF"/>
          </w:tcPr>
          <w:p w14:paraId="53D4777B" w14:textId="77777777" w:rsidR="00EA5BBF" w:rsidRPr="001570EA" w:rsidRDefault="00EA5BBF">
            <w:pPr>
              <w:pStyle w:val="TableCell"/>
              <w:spacing w:before="40" w:after="40"/>
              <w:jc w:val="center"/>
              <w:rPr>
                <w:b/>
              </w:rPr>
            </w:pPr>
            <w:r w:rsidRPr="001570EA">
              <w:rPr>
                <w:b/>
              </w:rPr>
              <w:t>I</w:t>
            </w:r>
          </w:p>
        </w:tc>
        <w:tc>
          <w:tcPr>
            <w:tcW w:w="2550" w:type="pct"/>
            <w:shd w:val="clear" w:color="auto" w:fill="auto"/>
            <w:vAlign w:val="center"/>
          </w:tcPr>
          <w:p w14:paraId="18F88EB1" w14:textId="77777777" w:rsidR="00EA5BBF" w:rsidRPr="001570EA" w:rsidRDefault="00EA5BBF">
            <w:pPr>
              <w:pStyle w:val="TableCell"/>
              <w:spacing w:before="40" w:after="40"/>
            </w:pPr>
            <w:r w:rsidRPr="001570EA">
              <w:t>Erie</w:t>
            </w:r>
          </w:p>
        </w:tc>
        <w:tc>
          <w:tcPr>
            <w:tcW w:w="1164" w:type="pct"/>
            <w:vAlign w:val="center"/>
          </w:tcPr>
          <w:p w14:paraId="1286CA16" w14:textId="77777777" w:rsidR="00EA5BBF" w:rsidRPr="001570EA" w:rsidRDefault="00EA5BBF">
            <w:pPr>
              <w:pStyle w:val="TableCell"/>
              <w:tabs>
                <w:tab w:val="clear" w:pos="720"/>
                <w:tab w:val="decimal" w:pos="246"/>
              </w:tabs>
              <w:spacing w:before="40" w:after="40"/>
              <w:jc w:val="left"/>
              <w:rPr>
                <w:rFonts w:eastAsia="Arial Unicode MS"/>
              </w:rPr>
            </w:pPr>
            <w:r w:rsidRPr="001570EA">
              <w:rPr>
                <w:rFonts w:eastAsia="Arial Unicode MS"/>
              </w:rPr>
              <w:t>13.0</w:t>
            </w:r>
          </w:p>
        </w:tc>
      </w:tr>
      <w:tr w:rsidR="00EA5BBF" w:rsidRPr="001570EA" w14:paraId="46A69758" w14:textId="77777777">
        <w:tc>
          <w:tcPr>
            <w:tcW w:w="1286" w:type="pct"/>
            <w:shd w:val="clear" w:color="auto" w:fill="BFBFBF" w:themeFill="background1" w:themeFillShade="BF"/>
          </w:tcPr>
          <w:p w14:paraId="14A52B6F" w14:textId="77777777" w:rsidR="00EA5BBF" w:rsidRPr="001570EA" w:rsidRDefault="00EA5BBF">
            <w:pPr>
              <w:pStyle w:val="TableCell"/>
              <w:spacing w:before="40" w:after="40"/>
              <w:jc w:val="center"/>
              <w:rPr>
                <w:b/>
              </w:rPr>
            </w:pPr>
            <w:r w:rsidRPr="001570EA">
              <w:rPr>
                <w:b/>
              </w:rPr>
              <w:t>E</w:t>
            </w:r>
          </w:p>
        </w:tc>
        <w:tc>
          <w:tcPr>
            <w:tcW w:w="2550" w:type="pct"/>
            <w:shd w:val="clear" w:color="auto" w:fill="auto"/>
            <w:vAlign w:val="center"/>
          </w:tcPr>
          <w:p w14:paraId="1F7FF314" w14:textId="77777777" w:rsidR="00EA5BBF" w:rsidRPr="001570EA" w:rsidRDefault="00EA5BBF">
            <w:pPr>
              <w:pStyle w:val="TableCell"/>
              <w:spacing w:before="40" w:after="40"/>
            </w:pPr>
            <w:r w:rsidRPr="001570EA">
              <w:t>Harrisburg</w:t>
            </w:r>
          </w:p>
        </w:tc>
        <w:tc>
          <w:tcPr>
            <w:tcW w:w="1164" w:type="pct"/>
            <w:vAlign w:val="center"/>
          </w:tcPr>
          <w:p w14:paraId="0A9D111F" w14:textId="77777777" w:rsidR="00EA5BBF" w:rsidRPr="001570EA" w:rsidRDefault="00EA5BBF">
            <w:pPr>
              <w:pStyle w:val="TableCell"/>
              <w:tabs>
                <w:tab w:val="clear" w:pos="720"/>
                <w:tab w:val="decimal" w:pos="246"/>
              </w:tabs>
              <w:spacing w:before="40" w:after="40"/>
              <w:jc w:val="left"/>
              <w:rPr>
                <w:rFonts w:eastAsia="Arial Unicode MS"/>
              </w:rPr>
            </w:pPr>
            <w:r w:rsidRPr="001570EA">
              <w:rPr>
                <w:rFonts w:eastAsia="Arial Unicode MS"/>
              </w:rPr>
              <w:t>5.6</w:t>
            </w:r>
          </w:p>
        </w:tc>
      </w:tr>
      <w:tr w:rsidR="00EA5BBF" w:rsidRPr="001570EA" w14:paraId="31DC4A6D" w14:textId="77777777">
        <w:tc>
          <w:tcPr>
            <w:tcW w:w="1286" w:type="pct"/>
            <w:shd w:val="clear" w:color="auto" w:fill="BFBFBF" w:themeFill="background1" w:themeFillShade="BF"/>
          </w:tcPr>
          <w:p w14:paraId="0008F6F2" w14:textId="77777777" w:rsidR="00EA5BBF" w:rsidRPr="001570EA" w:rsidRDefault="00EA5BBF">
            <w:pPr>
              <w:pStyle w:val="TableCell"/>
              <w:spacing w:before="40" w:after="40"/>
              <w:jc w:val="center"/>
              <w:rPr>
                <w:b/>
              </w:rPr>
            </w:pPr>
            <w:r w:rsidRPr="001570EA">
              <w:rPr>
                <w:b/>
              </w:rPr>
              <w:t>D</w:t>
            </w:r>
          </w:p>
        </w:tc>
        <w:tc>
          <w:tcPr>
            <w:tcW w:w="2550" w:type="pct"/>
            <w:shd w:val="clear" w:color="auto" w:fill="auto"/>
            <w:vAlign w:val="center"/>
          </w:tcPr>
          <w:p w14:paraId="72F64B92" w14:textId="77777777" w:rsidR="00EA5BBF" w:rsidRPr="001570EA" w:rsidRDefault="00EA5BBF">
            <w:pPr>
              <w:pStyle w:val="TableCell"/>
              <w:spacing w:before="40" w:after="40"/>
            </w:pPr>
            <w:r w:rsidRPr="001570EA">
              <w:t>Philadelphia</w:t>
            </w:r>
          </w:p>
        </w:tc>
        <w:tc>
          <w:tcPr>
            <w:tcW w:w="1164" w:type="pct"/>
            <w:vAlign w:val="center"/>
          </w:tcPr>
          <w:p w14:paraId="6DBE1FF1" w14:textId="77777777" w:rsidR="00EA5BBF" w:rsidRPr="001570EA" w:rsidRDefault="00EA5BBF">
            <w:pPr>
              <w:pStyle w:val="TableCell"/>
              <w:tabs>
                <w:tab w:val="clear" w:pos="720"/>
                <w:tab w:val="decimal" w:pos="246"/>
              </w:tabs>
              <w:spacing w:before="40" w:after="40"/>
              <w:jc w:val="left"/>
              <w:rPr>
                <w:rFonts w:eastAsia="Arial Unicode MS"/>
              </w:rPr>
            </w:pPr>
            <w:r w:rsidRPr="001570EA">
              <w:rPr>
                <w:rFonts w:eastAsia="Arial Unicode MS"/>
              </w:rPr>
              <w:t>7.8</w:t>
            </w:r>
          </w:p>
        </w:tc>
      </w:tr>
      <w:tr w:rsidR="00EA5BBF" w:rsidRPr="001570EA" w14:paraId="5CDE8F81" w14:textId="77777777">
        <w:tc>
          <w:tcPr>
            <w:tcW w:w="1286" w:type="pct"/>
            <w:shd w:val="clear" w:color="auto" w:fill="BFBFBF" w:themeFill="background1" w:themeFillShade="BF"/>
          </w:tcPr>
          <w:p w14:paraId="6B200466" w14:textId="77777777" w:rsidR="00EA5BBF" w:rsidRPr="001570EA" w:rsidRDefault="00EA5BBF">
            <w:pPr>
              <w:pStyle w:val="TableCell"/>
              <w:spacing w:before="40" w:after="40"/>
              <w:jc w:val="center"/>
              <w:rPr>
                <w:b/>
              </w:rPr>
            </w:pPr>
            <w:r w:rsidRPr="001570EA">
              <w:rPr>
                <w:b/>
              </w:rPr>
              <w:t>H</w:t>
            </w:r>
          </w:p>
        </w:tc>
        <w:tc>
          <w:tcPr>
            <w:tcW w:w="2550" w:type="pct"/>
            <w:shd w:val="clear" w:color="auto" w:fill="auto"/>
            <w:vAlign w:val="center"/>
          </w:tcPr>
          <w:p w14:paraId="46559DDD" w14:textId="77777777" w:rsidR="00EA5BBF" w:rsidRPr="001570EA" w:rsidRDefault="00EA5BBF">
            <w:pPr>
              <w:pStyle w:val="TableCell"/>
              <w:spacing w:before="40" w:after="40"/>
            </w:pPr>
            <w:r w:rsidRPr="001570EA">
              <w:t>Pittsburgh</w:t>
            </w:r>
          </w:p>
        </w:tc>
        <w:tc>
          <w:tcPr>
            <w:tcW w:w="1164" w:type="pct"/>
            <w:vAlign w:val="center"/>
          </w:tcPr>
          <w:p w14:paraId="5D95F4D6" w14:textId="77777777" w:rsidR="00EA5BBF" w:rsidRPr="001570EA" w:rsidRDefault="00EA5BBF">
            <w:pPr>
              <w:pStyle w:val="TableCell"/>
              <w:tabs>
                <w:tab w:val="clear" w:pos="720"/>
                <w:tab w:val="decimal" w:pos="246"/>
              </w:tabs>
              <w:spacing w:before="40" w:after="40"/>
              <w:jc w:val="left"/>
              <w:rPr>
                <w:rFonts w:eastAsia="Arial Unicode MS"/>
              </w:rPr>
            </w:pPr>
            <w:r w:rsidRPr="001570EA">
              <w:rPr>
                <w:rFonts w:eastAsia="Arial Unicode MS"/>
              </w:rPr>
              <w:t>7.3</w:t>
            </w:r>
          </w:p>
        </w:tc>
      </w:tr>
      <w:tr w:rsidR="00EA5BBF" w:rsidRPr="001570EA" w14:paraId="2C4BA2FA" w14:textId="77777777">
        <w:tc>
          <w:tcPr>
            <w:tcW w:w="1286" w:type="pct"/>
            <w:shd w:val="clear" w:color="auto" w:fill="BFBFBF" w:themeFill="background1" w:themeFillShade="BF"/>
          </w:tcPr>
          <w:p w14:paraId="613438EE" w14:textId="77777777" w:rsidR="00EA5BBF" w:rsidRPr="001570EA" w:rsidRDefault="00EA5BBF">
            <w:pPr>
              <w:pStyle w:val="TableCell"/>
              <w:spacing w:before="40" w:after="40"/>
              <w:jc w:val="center"/>
              <w:rPr>
                <w:b/>
              </w:rPr>
            </w:pPr>
            <w:r w:rsidRPr="001570EA">
              <w:rPr>
                <w:b/>
              </w:rPr>
              <w:t>B</w:t>
            </w:r>
          </w:p>
        </w:tc>
        <w:tc>
          <w:tcPr>
            <w:tcW w:w="2550" w:type="pct"/>
            <w:shd w:val="clear" w:color="auto" w:fill="auto"/>
            <w:vAlign w:val="center"/>
          </w:tcPr>
          <w:p w14:paraId="2B78DFF9" w14:textId="77777777" w:rsidR="00EA5BBF" w:rsidRPr="001570EA" w:rsidRDefault="00EA5BBF">
            <w:pPr>
              <w:pStyle w:val="TableCell"/>
              <w:spacing w:before="40" w:after="40"/>
            </w:pPr>
            <w:r w:rsidRPr="001570EA">
              <w:t>Scranton</w:t>
            </w:r>
          </w:p>
        </w:tc>
        <w:tc>
          <w:tcPr>
            <w:tcW w:w="1164" w:type="pct"/>
            <w:vAlign w:val="center"/>
          </w:tcPr>
          <w:p w14:paraId="5735214E" w14:textId="77777777" w:rsidR="00EA5BBF" w:rsidRPr="001570EA" w:rsidRDefault="00EA5BBF">
            <w:pPr>
              <w:pStyle w:val="TableCell"/>
              <w:tabs>
                <w:tab w:val="clear" w:pos="720"/>
                <w:tab w:val="decimal" w:pos="246"/>
              </w:tabs>
              <w:spacing w:before="40" w:after="40"/>
              <w:jc w:val="left"/>
              <w:rPr>
                <w:rFonts w:eastAsia="Arial Unicode MS"/>
              </w:rPr>
            </w:pPr>
            <w:r w:rsidRPr="001570EA">
              <w:rPr>
                <w:rFonts w:eastAsia="Arial Unicode MS"/>
              </w:rPr>
              <w:t>9.3</w:t>
            </w:r>
          </w:p>
        </w:tc>
      </w:tr>
      <w:tr w:rsidR="00EA5BBF" w:rsidRPr="001570EA" w14:paraId="7C98E368" w14:textId="77777777">
        <w:tc>
          <w:tcPr>
            <w:tcW w:w="1286" w:type="pct"/>
            <w:shd w:val="clear" w:color="auto" w:fill="BFBFBF" w:themeFill="background1" w:themeFillShade="BF"/>
          </w:tcPr>
          <w:p w14:paraId="6CB80B0A" w14:textId="77777777" w:rsidR="00EA5BBF" w:rsidRPr="001570EA" w:rsidRDefault="00EA5BBF">
            <w:pPr>
              <w:pStyle w:val="TableCell"/>
              <w:spacing w:before="40" w:after="40"/>
              <w:jc w:val="center"/>
              <w:rPr>
                <w:b/>
              </w:rPr>
            </w:pPr>
            <w:r w:rsidRPr="001570EA">
              <w:rPr>
                <w:b/>
              </w:rPr>
              <w:t>F</w:t>
            </w:r>
          </w:p>
        </w:tc>
        <w:tc>
          <w:tcPr>
            <w:tcW w:w="2550" w:type="pct"/>
            <w:shd w:val="clear" w:color="auto" w:fill="auto"/>
            <w:vAlign w:val="center"/>
          </w:tcPr>
          <w:p w14:paraId="6B8C5DA4" w14:textId="77777777" w:rsidR="00EA5BBF" w:rsidRPr="001570EA" w:rsidRDefault="00EA5BBF">
            <w:pPr>
              <w:pStyle w:val="TableCell"/>
              <w:spacing w:before="40" w:after="40"/>
            </w:pPr>
            <w:r w:rsidRPr="001570EA">
              <w:t>Williamsport</w:t>
            </w:r>
          </w:p>
        </w:tc>
        <w:tc>
          <w:tcPr>
            <w:tcW w:w="1164" w:type="pct"/>
            <w:vAlign w:val="center"/>
          </w:tcPr>
          <w:p w14:paraId="02F142B6" w14:textId="77777777" w:rsidR="00EA5BBF" w:rsidRPr="001570EA" w:rsidRDefault="00EA5BBF">
            <w:pPr>
              <w:pStyle w:val="TableCell"/>
              <w:tabs>
                <w:tab w:val="clear" w:pos="720"/>
                <w:tab w:val="decimal" w:pos="246"/>
              </w:tabs>
              <w:spacing w:before="40" w:after="40"/>
              <w:jc w:val="left"/>
              <w:rPr>
                <w:rFonts w:eastAsia="Arial Unicode MS"/>
              </w:rPr>
            </w:pPr>
            <w:r w:rsidRPr="001570EA">
              <w:rPr>
                <w:rFonts w:eastAsia="Arial Unicode MS"/>
              </w:rPr>
              <w:t>9.5</w:t>
            </w:r>
          </w:p>
        </w:tc>
      </w:tr>
    </w:tbl>
    <w:p w14:paraId="1058FBD5" w14:textId="77777777" w:rsidR="00EA5BBF" w:rsidRPr="001570EA" w:rsidRDefault="00EA5BBF" w:rsidP="00EA5BBF">
      <w:pPr>
        <w:pStyle w:val="NoSpacing"/>
      </w:pPr>
    </w:p>
    <w:p w14:paraId="40C1C5EA" w14:textId="10CB9DF7" w:rsidR="00EA5BBF" w:rsidRPr="001570EA" w:rsidRDefault="00EA5BBF" w:rsidP="00EA5BBF">
      <w:pPr>
        <w:pStyle w:val="Caption"/>
      </w:pPr>
      <w:bookmarkStart w:id="1160" w:name="_Ref477438969"/>
      <w:bookmarkStart w:id="1161" w:name="_Toc47598361"/>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137</w:t>
      </w:r>
      <w:r w:rsidR="002E093A" w:rsidRPr="001570EA">
        <w:fldChar w:fldCharType="end"/>
      </w:r>
      <w:bookmarkEnd w:id="1160"/>
      <w:r w:rsidRPr="001570EA">
        <w:t>: Typical Reductions in Leakage</w:t>
      </w:r>
      <w:r w:rsidRPr="001570EA">
        <w:rPr>
          <w:vertAlign w:val="superscript"/>
        </w:rPr>
        <w:t>Sources 2</w:t>
      </w:r>
      <w:bookmarkEnd w:id="1161"/>
      <w:r w:rsidRPr="001570EA">
        <w:rPr>
          <w:vertAlign w:val="superscript"/>
        </w:rPr>
        <w:t>,3</w:t>
      </w:r>
    </w:p>
    <w:tbl>
      <w:tblPr>
        <w:tblW w:w="3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3329"/>
        <w:gridCol w:w="2244"/>
      </w:tblGrid>
      <w:tr w:rsidR="00EA5BBF" w:rsidRPr="001570EA" w14:paraId="6AA74E86" w14:textId="77777777">
        <w:tc>
          <w:tcPr>
            <w:tcW w:w="920" w:type="pct"/>
            <w:shd w:val="clear" w:color="auto" w:fill="BFBFBF"/>
          </w:tcPr>
          <w:p w14:paraId="64D269F0" w14:textId="77777777" w:rsidR="00EA5BBF" w:rsidRPr="001570EA" w:rsidRDefault="00EA5BBF">
            <w:pPr>
              <w:pStyle w:val="TableCell"/>
              <w:jc w:val="center"/>
              <w:rPr>
                <w:b/>
              </w:rPr>
            </w:pPr>
            <w:r w:rsidRPr="001570EA">
              <w:rPr>
                <w:b/>
              </w:rPr>
              <w:t>Technology</w:t>
            </w:r>
          </w:p>
        </w:tc>
        <w:tc>
          <w:tcPr>
            <w:tcW w:w="2437" w:type="pct"/>
            <w:shd w:val="clear" w:color="auto" w:fill="BFBFBF"/>
          </w:tcPr>
          <w:p w14:paraId="77370469" w14:textId="77777777" w:rsidR="00EA5BBF" w:rsidRPr="001570EA" w:rsidRDefault="00EA5BBF">
            <w:pPr>
              <w:pStyle w:val="TableCell"/>
              <w:jc w:val="center"/>
              <w:rPr>
                <w:b/>
              </w:rPr>
            </w:pPr>
            <w:r w:rsidRPr="001570EA">
              <w:rPr>
                <w:b/>
              </w:rPr>
              <w:t>Application</w:t>
            </w:r>
          </w:p>
        </w:tc>
        <w:tc>
          <w:tcPr>
            <w:tcW w:w="1643" w:type="pct"/>
            <w:shd w:val="clear" w:color="auto" w:fill="BFBFBF"/>
          </w:tcPr>
          <w:p w14:paraId="14B12363" w14:textId="086E2736" w:rsidR="00EA5BBF" w:rsidRPr="001570EA" w:rsidRDefault="00EA5BBF">
            <w:pPr>
              <w:pStyle w:val="TableCell"/>
              <w:jc w:val="center"/>
              <w:rPr>
                <w:b/>
                <w:bCs/>
                <w:iCs/>
                <w:vertAlign w:val="subscript"/>
              </w:rPr>
            </w:pPr>
            <w:r w:rsidRPr="001570EA">
              <w:rPr>
                <w:rFonts w:cs="Arial"/>
                <w:b/>
                <w:bCs/>
                <w:iCs/>
              </w:rPr>
              <w:t>Δ</w:t>
            </w:r>
            <w:r w:rsidRPr="001570EA">
              <w:rPr>
                <w:b/>
                <w:bCs/>
                <w:iCs/>
              </w:rPr>
              <w:t>CFM50</w:t>
            </w:r>
            <w:r w:rsidRPr="001570EA">
              <w:rPr>
                <w:bCs/>
                <w:iCs/>
                <w:vertAlign w:val="superscript"/>
              </w:rPr>
              <w:t xml:space="preserve">Source </w:t>
            </w:r>
            <w:r w:rsidRPr="001570EA">
              <w:rPr>
                <w:vertAlign w:val="superscript"/>
              </w:rPr>
              <w:t>5</w:t>
            </w:r>
          </w:p>
        </w:tc>
      </w:tr>
      <w:tr w:rsidR="00EA5BBF" w:rsidRPr="001570EA" w14:paraId="3A8B8B53" w14:textId="77777777">
        <w:tc>
          <w:tcPr>
            <w:tcW w:w="920" w:type="pct"/>
            <w:vMerge w:val="restart"/>
            <w:vAlign w:val="center"/>
          </w:tcPr>
          <w:p w14:paraId="2F7C6869" w14:textId="77777777" w:rsidR="00EA5BBF" w:rsidRPr="001570EA" w:rsidRDefault="00EA5BBF">
            <w:pPr>
              <w:pStyle w:val="TableCell"/>
              <w:spacing w:before="40" w:after="40"/>
            </w:pPr>
            <w:r w:rsidRPr="001570EA">
              <w:t>Weather Stripping</w:t>
            </w:r>
          </w:p>
        </w:tc>
        <w:tc>
          <w:tcPr>
            <w:tcW w:w="2437" w:type="pct"/>
            <w:shd w:val="clear" w:color="auto" w:fill="auto"/>
            <w:vAlign w:val="center"/>
          </w:tcPr>
          <w:p w14:paraId="52BE560A" w14:textId="77777777" w:rsidR="00EA5BBF" w:rsidRPr="001570EA" w:rsidRDefault="00EA5BBF">
            <w:pPr>
              <w:pStyle w:val="TableCell"/>
              <w:spacing w:before="40" w:after="40"/>
            </w:pPr>
            <w:r w:rsidRPr="001570EA">
              <w:t>Single Door</w:t>
            </w:r>
          </w:p>
        </w:tc>
        <w:tc>
          <w:tcPr>
            <w:tcW w:w="1643" w:type="pct"/>
          </w:tcPr>
          <w:p w14:paraId="6AF7ABED" w14:textId="77777777" w:rsidR="00EA5BBF" w:rsidRPr="001570EA" w:rsidRDefault="00EA5BBF">
            <w:pPr>
              <w:pStyle w:val="TableCell"/>
              <w:spacing w:before="40" w:after="40"/>
              <w:rPr>
                <w:rFonts w:eastAsia="Arial Unicode MS"/>
              </w:rPr>
            </w:pPr>
            <w:r w:rsidRPr="001570EA">
              <w:rPr>
                <w:rFonts w:eastAsia="Arial Unicode MS"/>
              </w:rPr>
              <w:t>25.5 CFM/door</w:t>
            </w:r>
          </w:p>
        </w:tc>
      </w:tr>
      <w:tr w:rsidR="00EA5BBF" w:rsidRPr="001570EA" w14:paraId="1D67B5B0" w14:textId="77777777">
        <w:tc>
          <w:tcPr>
            <w:tcW w:w="920" w:type="pct"/>
            <w:vMerge/>
            <w:vAlign w:val="center"/>
          </w:tcPr>
          <w:p w14:paraId="166CBC1B" w14:textId="77777777" w:rsidR="00EA5BBF" w:rsidRPr="001570EA" w:rsidRDefault="00EA5BBF">
            <w:pPr>
              <w:pStyle w:val="TableCell"/>
              <w:spacing w:before="40" w:after="40"/>
            </w:pPr>
          </w:p>
        </w:tc>
        <w:tc>
          <w:tcPr>
            <w:tcW w:w="2437" w:type="pct"/>
            <w:shd w:val="clear" w:color="auto" w:fill="auto"/>
            <w:vAlign w:val="center"/>
          </w:tcPr>
          <w:p w14:paraId="64792030" w14:textId="77777777" w:rsidR="00EA5BBF" w:rsidRPr="001570EA" w:rsidRDefault="00EA5BBF">
            <w:pPr>
              <w:pStyle w:val="TableCell"/>
              <w:spacing w:before="40" w:after="40"/>
            </w:pPr>
            <w:r w:rsidRPr="001570EA">
              <w:t>Double Door</w:t>
            </w:r>
          </w:p>
        </w:tc>
        <w:tc>
          <w:tcPr>
            <w:tcW w:w="1643" w:type="pct"/>
          </w:tcPr>
          <w:p w14:paraId="15D4BD1D" w14:textId="77777777" w:rsidR="00EA5BBF" w:rsidRPr="001570EA" w:rsidRDefault="00EA5BBF">
            <w:pPr>
              <w:pStyle w:val="TableCell"/>
              <w:spacing w:before="40" w:after="40"/>
              <w:rPr>
                <w:rFonts w:eastAsia="Arial Unicode MS"/>
              </w:rPr>
            </w:pPr>
            <w:r w:rsidRPr="001570EA">
              <w:rPr>
                <w:rFonts w:eastAsia="Arial Unicode MS"/>
              </w:rPr>
              <w:t>0.73 CFM/ft</w:t>
            </w:r>
            <w:r w:rsidRPr="001570EA">
              <w:rPr>
                <w:rFonts w:eastAsia="Arial Unicode MS"/>
                <w:vertAlign w:val="superscript"/>
              </w:rPr>
              <w:t>2</w:t>
            </w:r>
          </w:p>
        </w:tc>
      </w:tr>
      <w:tr w:rsidR="00EA5BBF" w:rsidRPr="001570EA" w14:paraId="015ADD8C" w14:textId="77777777">
        <w:tc>
          <w:tcPr>
            <w:tcW w:w="920" w:type="pct"/>
            <w:vMerge/>
            <w:vAlign w:val="center"/>
          </w:tcPr>
          <w:p w14:paraId="2EB1E499" w14:textId="77777777" w:rsidR="00EA5BBF" w:rsidRPr="001570EA" w:rsidRDefault="00EA5BBF">
            <w:pPr>
              <w:pStyle w:val="TableCell"/>
              <w:spacing w:before="40" w:after="40"/>
            </w:pPr>
          </w:p>
        </w:tc>
        <w:tc>
          <w:tcPr>
            <w:tcW w:w="2437" w:type="pct"/>
            <w:shd w:val="clear" w:color="auto" w:fill="auto"/>
            <w:vAlign w:val="center"/>
          </w:tcPr>
          <w:p w14:paraId="799B9C3E" w14:textId="77777777" w:rsidR="00EA5BBF" w:rsidRPr="001570EA" w:rsidRDefault="00EA5BBF">
            <w:pPr>
              <w:pStyle w:val="TableCell"/>
              <w:spacing w:before="40" w:after="40"/>
            </w:pPr>
            <w:r w:rsidRPr="001570EA">
              <w:t>Casement Window</w:t>
            </w:r>
          </w:p>
        </w:tc>
        <w:tc>
          <w:tcPr>
            <w:tcW w:w="1643" w:type="pct"/>
          </w:tcPr>
          <w:p w14:paraId="61C5EE7B" w14:textId="77777777" w:rsidR="00EA5BBF" w:rsidRPr="001570EA" w:rsidRDefault="00EA5BBF">
            <w:pPr>
              <w:pStyle w:val="TableCell"/>
              <w:spacing w:before="40" w:after="40"/>
            </w:pPr>
            <w:r w:rsidRPr="001570EA">
              <w:t>0.036 CFM/lf of crack</w:t>
            </w:r>
          </w:p>
        </w:tc>
      </w:tr>
      <w:tr w:rsidR="00EA5BBF" w:rsidRPr="001570EA" w14:paraId="1BA74B0D" w14:textId="77777777">
        <w:tc>
          <w:tcPr>
            <w:tcW w:w="920" w:type="pct"/>
            <w:vMerge/>
            <w:vAlign w:val="center"/>
          </w:tcPr>
          <w:p w14:paraId="15F1F6D0" w14:textId="77777777" w:rsidR="00EA5BBF" w:rsidRPr="001570EA" w:rsidRDefault="00EA5BBF">
            <w:pPr>
              <w:pStyle w:val="TableCell"/>
              <w:spacing w:before="40" w:after="40"/>
            </w:pPr>
          </w:p>
        </w:tc>
        <w:tc>
          <w:tcPr>
            <w:tcW w:w="2437" w:type="pct"/>
            <w:shd w:val="clear" w:color="auto" w:fill="auto"/>
            <w:vAlign w:val="center"/>
          </w:tcPr>
          <w:p w14:paraId="7E9650D1" w14:textId="77777777" w:rsidR="00EA5BBF" w:rsidRPr="001570EA" w:rsidRDefault="00EA5BBF">
            <w:pPr>
              <w:pStyle w:val="TableCell"/>
              <w:spacing w:before="40" w:after="40"/>
            </w:pPr>
            <w:r w:rsidRPr="001570EA">
              <w:t>Double Horizontal Slider, Wood</w:t>
            </w:r>
          </w:p>
        </w:tc>
        <w:tc>
          <w:tcPr>
            <w:tcW w:w="1643" w:type="pct"/>
          </w:tcPr>
          <w:p w14:paraId="67A763A9" w14:textId="77777777" w:rsidR="00EA5BBF" w:rsidRPr="001570EA" w:rsidRDefault="00EA5BBF">
            <w:pPr>
              <w:pStyle w:val="TableCell"/>
              <w:spacing w:before="40" w:after="40"/>
            </w:pPr>
            <w:r w:rsidRPr="001570EA">
              <w:t>0.473 CFM/lf of crack</w:t>
            </w:r>
          </w:p>
        </w:tc>
      </w:tr>
      <w:tr w:rsidR="00EA5BBF" w:rsidRPr="001570EA" w14:paraId="2253B0B2" w14:textId="77777777">
        <w:tc>
          <w:tcPr>
            <w:tcW w:w="920" w:type="pct"/>
            <w:vMerge/>
            <w:vAlign w:val="center"/>
          </w:tcPr>
          <w:p w14:paraId="7BF6E079" w14:textId="77777777" w:rsidR="00EA5BBF" w:rsidRPr="001570EA" w:rsidRDefault="00EA5BBF">
            <w:pPr>
              <w:pStyle w:val="TableCell"/>
              <w:spacing w:before="40" w:after="40"/>
            </w:pPr>
          </w:p>
        </w:tc>
        <w:tc>
          <w:tcPr>
            <w:tcW w:w="2437" w:type="pct"/>
            <w:shd w:val="clear" w:color="auto" w:fill="auto"/>
            <w:vAlign w:val="center"/>
          </w:tcPr>
          <w:p w14:paraId="490E8F59" w14:textId="77777777" w:rsidR="00EA5BBF" w:rsidRPr="001570EA" w:rsidRDefault="00EA5BBF">
            <w:pPr>
              <w:pStyle w:val="TableCell"/>
              <w:spacing w:before="40" w:after="40"/>
            </w:pPr>
            <w:r w:rsidRPr="001570EA">
              <w:t xml:space="preserve">Double-Hung </w:t>
            </w:r>
          </w:p>
        </w:tc>
        <w:tc>
          <w:tcPr>
            <w:tcW w:w="1643" w:type="pct"/>
          </w:tcPr>
          <w:p w14:paraId="4E9E19E1" w14:textId="77777777" w:rsidR="00EA5BBF" w:rsidRPr="001570EA" w:rsidRDefault="00EA5BBF">
            <w:pPr>
              <w:pStyle w:val="TableCell"/>
              <w:spacing w:before="40" w:after="40"/>
            </w:pPr>
            <w:r w:rsidRPr="001570EA">
              <w:t>1.618 CFM/lf of crack</w:t>
            </w:r>
          </w:p>
        </w:tc>
      </w:tr>
      <w:tr w:rsidR="00EA5BBF" w:rsidRPr="001570EA" w14:paraId="49F66C57" w14:textId="77777777">
        <w:tc>
          <w:tcPr>
            <w:tcW w:w="920" w:type="pct"/>
            <w:vMerge/>
            <w:vAlign w:val="center"/>
          </w:tcPr>
          <w:p w14:paraId="7FAE5BFA" w14:textId="77777777" w:rsidR="00EA5BBF" w:rsidRPr="001570EA" w:rsidRDefault="00EA5BBF">
            <w:pPr>
              <w:pStyle w:val="TableCell"/>
              <w:spacing w:before="40" w:after="40"/>
            </w:pPr>
          </w:p>
        </w:tc>
        <w:tc>
          <w:tcPr>
            <w:tcW w:w="2437" w:type="pct"/>
            <w:shd w:val="clear" w:color="auto" w:fill="auto"/>
            <w:vAlign w:val="center"/>
          </w:tcPr>
          <w:p w14:paraId="5F0B7251" w14:textId="77777777" w:rsidR="00EA5BBF" w:rsidRPr="001570EA" w:rsidRDefault="00EA5BBF">
            <w:pPr>
              <w:pStyle w:val="TableCell"/>
              <w:spacing w:before="40" w:after="40"/>
            </w:pPr>
            <w:r w:rsidRPr="001570EA">
              <w:t xml:space="preserve">Double-Hung, with Storm Window </w:t>
            </w:r>
          </w:p>
        </w:tc>
        <w:tc>
          <w:tcPr>
            <w:tcW w:w="1643" w:type="pct"/>
          </w:tcPr>
          <w:p w14:paraId="552D67DD" w14:textId="77777777" w:rsidR="00EA5BBF" w:rsidRPr="001570EA" w:rsidRDefault="00EA5BBF">
            <w:pPr>
              <w:pStyle w:val="TableCell"/>
              <w:spacing w:before="40" w:after="40"/>
            </w:pPr>
            <w:r w:rsidRPr="001570EA">
              <w:t>0.164 CFM/lf of crack</w:t>
            </w:r>
          </w:p>
        </w:tc>
      </w:tr>
      <w:tr w:rsidR="00EA5BBF" w:rsidRPr="001570EA" w14:paraId="47A49636" w14:textId="77777777">
        <w:tc>
          <w:tcPr>
            <w:tcW w:w="920" w:type="pct"/>
            <w:vMerge/>
            <w:vAlign w:val="center"/>
          </w:tcPr>
          <w:p w14:paraId="0DA72465" w14:textId="77777777" w:rsidR="00EA5BBF" w:rsidRPr="001570EA" w:rsidRDefault="00EA5BBF">
            <w:pPr>
              <w:pStyle w:val="TableCell"/>
              <w:spacing w:before="40" w:after="40"/>
            </w:pPr>
          </w:p>
        </w:tc>
        <w:tc>
          <w:tcPr>
            <w:tcW w:w="2437" w:type="pct"/>
            <w:shd w:val="clear" w:color="auto" w:fill="auto"/>
            <w:vAlign w:val="center"/>
          </w:tcPr>
          <w:p w14:paraId="602BE18C" w14:textId="77777777" w:rsidR="00EA5BBF" w:rsidRPr="001570EA" w:rsidRDefault="00EA5BBF">
            <w:pPr>
              <w:pStyle w:val="TableCell"/>
              <w:spacing w:before="40" w:after="40"/>
            </w:pPr>
            <w:r w:rsidRPr="001570EA">
              <w:t>Average Weatherstripping</w:t>
            </w:r>
          </w:p>
        </w:tc>
        <w:tc>
          <w:tcPr>
            <w:tcW w:w="1643" w:type="pct"/>
          </w:tcPr>
          <w:p w14:paraId="0E78B42B" w14:textId="77777777" w:rsidR="00EA5BBF" w:rsidRPr="001570EA" w:rsidRDefault="00EA5BBF">
            <w:pPr>
              <w:pStyle w:val="TableCell"/>
              <w:spacing w:before="40" w:after="40"/>
            </w:pPr>
            <w:r w:rsidRPr="001570EA">
              <w:t>0.639 CFM/lf of crack</w:t>
            </w:r>
          </w:p>
        </w:tc>
      </w:tr>
      <w:tr w:rsidR="00EA5BBF" w:rsidRPr="001570EA" w14:paraId="606484AE" w14:textId="77777777">
        <w:tc>
          <w:tcPr>
            <w:tcW w:w="920" w:type="pct"/>
            <w:vMerge w:val="restart"/>
            <w:vAlign w:val="center"/>
          </w:tcPr>
          <w:p w14:paraId="10235F20" w14:textId="77777777" w:rsidR="00EA5BBF" w:rsidRPr="001570EA" w:rsidRDefault="00EA5BBF">
            <w:pPr>
              <w:pStyle w:val="TableCell"/>
              <w:spacing w:before="40" w:after="40"/>
            </w:pPr>
            <w:r w:rsidRPr="001570EA">
              <w:t>Caulking</w:t>
            </w:r>
          </w:p>
        </w:tc>
        <w:tc>
          <w:tcPr>
            <w:tcW w:w="2437" w:type="pct"/>
            <w:shd w:val="clear" w:color="auto" w:fill="auto"/>
            <w:vAlign w:val="center"/>
          </w:tcPr>
          <w:p w14:paraId="3805095F" w14:textId="77777777" w:rsidR="00EA5BBF" w:rsidRPr="001570EA" w:rsidRDefault="00EA5BBF">
            <w:pPr>
              <w:pStyle w:val="TableCell"/>
              <w:spacing w:before="40" w:after="40"/>
            </w:pPr>
            <w:r w:rsidRPr="001570EA">
              <w:t>Piping/Plumbing/Wiring Penetrations</w:t>
            </w:r>
          </w:p>
        </w:tc>
        <w:tc>
          <w:tcPr>
            <w:tcW w:w="1643" w:type="pct"/>
          </w:tcPr>
          <w:p w14:paraId="34454493" w14:textId="77777777" w:rsidR="00EA5BBF" w:rsidRPr="001570EA" w:rsidRDefault="00EA5BBF">
            <w:pPr>
              <w:pStyle w:val="TableCell"/>
              <w:spacing w:before="40" w:after="40"/>
            </w:pPr>
            <w:r w:rsidRPr="001570EA">
              <w:t>10.9 CFM each</w:t>
            </w:r>
          </w:p>
        </w:tc>
      </w:tr>
      <w:tr w:rsidR="00EA5BBF" w:rsidRPr="001570EA" w14:paraId="28642BC5" w14:textId="77777777">
        <w:tc>
          <w:tcPr>
            <w:tcW w:w="920" w:type="pct"/>
            <w:vMerge/>
            <w:vAlign w:val="center"/>
          </w:tcPr>
          <w:p w14:paraId="0B42F9C8" w14:textId="77777777" w:rsidR="00EA5BBF" w:rsidRPr="001570EA" w:rsidRDefault="00EA5BBF">
            <w:pPr>
              <w:pStyle w:val="TableCell"/>
              <w:spacing w:before="40" w:after="40"/>
            </w:pPr>
          </w:p>
        </w:tc>
        <w:tc>
          <w:tcPr>
            <w:tcW w:w="2437" w:type="pct"/>
            <w:shd w:val="clear" w:color="auto" w:fill="auto"/>
            <w:vAlign w:val="center"/>
          </w:tcPr>
          <w:p w14:paraId="237516B8" w14:textId="77777777" w:rsidR="00EA5BBF" w:rsidRPr="001570EA" w:rsidRDefault="00EA5BBF">
            <w:pPr>
              <w:pStyle w:val="TableCell"/>
              <w:spacing w:before="40" w:after="40"/>
            </w:pPr>
            <w:r w:rsidRPr="001570EA">
              <w:t>Window Framing, Masonry</w:t>
            </w:r>
          </w:p>
        </w:tc>
        <w:tc>
          <w:tcPr>
            <w:tcW w:w="1643" w:type="pct"/>
          </w:tcPr>
          <w:p w14:paraId="5DF55900" w14:textId="77777777" w:rsidR="00EA5BBF" w:rsidRPr="001570EA" w:rsidRDefault="00EA5BBF">
            <w:pPr>
              <w:pStyle w:val="TableCell"/>
              <w:spacing w:before="40" w:after="40"/>
              <w:rPr>
                <w:rFonts w:eastAsia="Arial Unicode MS"/>
              </w:rPr>
            </w:pPr>
            <w:r w:rsidRPr="001570EA">
              <w:rPr>
                <w:rFonts w:eastAsia="Arial Unicode MS"/>
              </w:rPr>
              <w:t>1.364 CFM/ft</w:t>
            </w:r>
            <w:r w:rsidRPr="001570EA">
              <w:rPr>
                <w:rFonts w:eastAsia="Arial Unicode MS"/>
                <w:vertAlign w:val="superscript"/>
              </w:rPr>
              <w:t>2</w:t>
            </w:r>
          </w:p>
        </w:tc>
      </w:tr>
      <w:tr w:rsidR="00EA5BBF" w:rsidRPr="001570EA" w14:paraId="47948F2C" w14:textId="77777777">
        <w:tc>
          <w:tcPr>
            <w:tcW w:w="920" w:type="pct"/>
            <w:vMerge/>
            <w:vAlign w:val="center"/>
          </w:tcPr>
          <w:p w14:paraId="25EFE515" w14:textId="77777777" w:rsidR="00EA5BBF" w:rsidRPr="001570EA" w:rsidRDefault="00EA5BBF">
            <w:pPr>
              <w:pStyle w:val="TableCell"/>
              <w:spacing w:before="40" w:after="40"/>
            </w:pPr>
          </w:p>
        </w:tc>
        <w:tc>
          <w:tcPr>
            <w:tcW w:w="2437" w:type="pct"/>
            <w:shd w:val="clear" w:color="auto" w:fill="auto"/>
            <w:vAlign w:val="center"/>
          </w:tcPr>
          <w:p w14:paraId="7F341929" w14:textId="77777777" w:rsidR="00EA5BBF" w:rsidRPr="001570EA" w:rsidRDefault="00EA5BBF">
            <w:pPr>
              <w:pStyle w:val="TableCell"/>
              <w:spacing w:before="40" w:after="40"/>
            </w:pPr>
            <w:r w:rsidRPr="001570EA">
              <w:t>Window Framing, Wood</w:t>
            </w:r>
          </w:p>
        </w:tc>
        <w:tc>
          <w:tcPr>
            <w:tcW w:w="1643" w:type="pct"/>
          </w:tcPr>
          <w:p w14:paraId="0CB6457D" w14:textId="77777777" w:rsidR="00EA5BBF" w:rsidRPr="001570EA" w:rsidRDefault="00EA5BBF">
            <w:pPr>
              <w:pStyle w:val="TableCell"/>
              <w:spacing w:before="40" w:after="40"/>
              <w:rPr>
                <w:rFonts w:eastAsia="Arial Unicode MS"/>
              </w:rPr>
            </w:pPr>
            <w:r w:rsidRPr="001570EA">
              <w:rPr>
                <w:rFonts w:eastAsia="Arial Unicode MS"/>
              </w:rPr>
              <w:t>0.382 CFM/ft</w:t>
            </w:r>
            <w:r w:rsidRPr="001570EA">
              <w:rPr>
                <w:rFonts w:eastAsia="Arial Unicode MS"/>
                <w:vertAlign w:val="superscript"/>
              </w:rPr>
              <w:t>2</w:t>
            </w:r>
          </w:p>
        </w:tc>
      </w:tr>
      <w:tr w:rsidR="00EA5BBF" w:rsidRPr="001570EA" w14:paraId="4E10AB4C" w14:textId="77777777">
        <w:tc>
          <w:tcPr>
            <w:tcW w:w="920" w:type="pct"/>
            <w:vMerge/>
            <w:vAlign w:val="center"/>
          </w:tcPr>
          <w:p w14:paraId="29455EC2" w14:textId="77777777" w:rsidR="00EA5BBF" w:rsidRPr="001570EA" w:rsidRDefault="00EA5BBF">
            <w:pPr>
              <w:pStyle w:val="TableCell"/>
              <w:spacing w:before="40" w:after="40"/>
            </w:pPr>
          </w:p>
        </w:tc>
        <w:tc>
          <w:tcPr>
            <w:tcW w:w="2437" w:type="pct"/>
            <w:shd w:val="clear" w:color="auto" w:fill="auto"/>
            <w:vAlign w:val="center"/>
          </w:tcPr>
          <w:p w14:paraId="6550EECC" w14:textId="77777777" w:rsidR="00EA5BBF" w:rsidRPr="001570EA" w:rsidRDefault="00EA5BBF">
            <w:pPr>
              <w:pStyle w:val="TableCell"/>
              <w:spacing w:before="40" w:after="40"/>
            </w:pPr>
            <w:r w:rsidRPr="001570EA">
              <w:t>Door Frame, Masonry</w:t>
            </w:r>
          </w:p>
        </w:tc>
        <w:tc>
          <w:tcPr>
            <w:tcW w:w="1643" w:type="pct"/>
          </w:tcPr>
          <w:p w14:paraId="6CE5FC65" w14:textId="77777777" w:rsidR="00EA5BBF" w:rsidRPr="001570EA" w:rsidRDefault="00EA5BBF">
            <w:pPr>
              <w:pStyle w:val="TableCell"/>
              <w:spacing w:before="40" w:after="40"/>
              <w:rPr>
                <w:rFonts w:eastAsia="Arial Unicode MS"/>
              </w:rPr>
            </w:pPr>
            <w:r w:rsidRPr="001570EA">
              <w:rPr>
                <w:rFonts w:eastAsia="Arial Unicode MS"/>
              </w:rPr>
              <w:t>1.018 CFM/ft</w:t>
            </w:r>
            <w:r w:rsidRPr="001570EA">
              <w:rPr>
                <w:rFonts w:eastAsia="Arial Unicode MS"/>
                <w:vertAlign w:val="superscript"/>
              </w:rPr>
              <w:t>2</w:t>
            </w:r>
          </w:p>
        </w:tc>
      </w:tr>
      <w:tr w:rsidR="00EA5BBF" w:rsidRPr="001570EA" w14:paraId="1E9AE8E4" w14:textId="77777777">
        <w:tc>
          <w:tcPr>
            <w:tcW w:w="920" w:type="pct"/>
            <w:vMerge/>
            <w:vAlign w:val="center"/>
          </w:tcPr>
          <w:p w14:paraId="70885F25" w14:textId="77777777" w:rsidR="00EA5BBF" w:rsidRPr="001570EA" w:rsidRDefault="00EA5BBF">
            <w:pPr>
              <w:pStyle w:val="TableCell"/>
              <w:spacing w:before="40" w:after="40"/>
            </w:pPr>
          </w:p>
        </w:tc>
        <w:tc>
          <w:tcPr>
            <w:tcW w:w="2437" w:type="pct"/>
            <w:shd w:val="clear" w:color="auto" w:fill="auto"/>
            <w:vAlign w:val="center"/>
          </w:tcPr>
          <w:p w14:paraId="3AB6F4CB" w14:textId="77777777" w:rsidR="00EA5BBF" w:rsidRPr="001570EA" w:rsidRDefault="00EA5BBF">
            <w:pPr>
              <w:pStyle w:val="TableCell"/>
              <w:spacing w:before="40" w:after="40"/>
            </w:pPr>
            <w:r w:rsidRPr="001570EA">
              <w:t>Door Frame, Wood</w:t>
            </w:r>
          </w:p>
        </w:tc>
        <w:tc>
          <w:tcPr>
            <w:tcW w:w="1643" w:type="pct"/>
          </w:tcPr>
          <w:p w14:paraId="17D9EE62" w14:textId="77777777" w:rsidR="00EA5BBF" w:rsidRPr="001570EA" w:rsidRDefault="00EA5BBF">
            <w:pPr>
              <w:pStyle w:val="TableCell"/>
              <w:spacing w:before="40" w:after="40"/>
              <w:rPr>
                <w:rFonts w:eastAsia="Arial Unicode MS"/>
              </w:rPr>
            </w:pPr>
            <w:r w:rsidRPr="001570EA">
              <w:rPr>
                <w:rFonts w:eastAsia="Arial Unicode MS"/>
              </w:rPr>
              <w:t>0.364 CFM/ft</w:t>
            </w:r>
            <w:r w:rsidRPr="001570EA">
              <w:rPr>
                <w:rFonts w:eastAsia="Arial Unicode MS"/>
                <w:vertAlign w:val="superscript"/>
              </w:rPr>
              <w:t>2</w:t>
            </w:r>
          </w:p>
        </w:tc>
      </w:tr>
      <w:tr w:rsidR="00EA5BBF" w:rsidRPr="001570EA" w14:paraId="6D2816F5" w14:textId="77777777">
        <w:tc>
          <w:tcPr>
            <w:tcW w:w="920" w:type="pct"/>
            <w:vMerge/>
            <w:vAlign w:val="center"/>
          </w:tcPr>
          <w:p w14:paraId="37E52AA7" w14:textId="77777777" w:rsidR="00EA5BBF" w:rsidRPr="001570EA" w:rsidRDefault="00EA5BBF">
            <w:pPr>
              <w:pStyle w:val="TableCell"/>
              <w:spacing w:before="40" w:after="40"/>
            </w:pPr>
          </w:p>
        </w:tc>
        <w:tc>
          <w:tcPr>
            <w:tcW w:w="2437" w:type="pct"/>
            <w:shd w:val="clear" w:color="auto" w:fill="auto"/>
            <w:vAlign w:val="center"/>
          </w:tcPr>
          <w:p w14:paraId="6DA20881" w14:textId="77777777" w:rsidR="00EA5BBF" w:rsidRPr="001570EA" w:rsidRDefault="00EA5BBF">
            <w:pPr>
              <w:pStyle w:val="TableCell"/>
              <w:spacing w:before="40" w:after="40"/>
            </w:pPr>
            <w:r w:rsidRPr="001570EA">
              <w:t>Average Window/Door Caulking</w:t>
            </w:r>
          </w:p>
        </w:tc>
        <w:tc>
          <w:tcPr>
            <w:tcW w:w="1643" w:type="pct"/>
          </w:tcPr>
          <w:p w14:paraId="7C2D33C5" w14:textId="77777777" w:rsidR="00EA5BBF" w:rsidRPr="001570EA" w:rsidRDefault="00EA5BBF">
            <w:pPr>
              <w:pStyle w:val="TableCell"/>
              <w:spacing w:before="40" w:after="40"/>
              <w:rPr>
                <w:rFonts w:eastAsia="Arial Unicode MS"/>
              </w:rPr>
            </w:pPr>
            <w:r w:rsidRPr="001570EA">
              <w:rPr>
                <w:rFonts w:eastAsia="Arial Unicode MS"/>
              </w:rPr>
              <w:t>0.689 CFM/lf of crack</w:t>
            </w:r>
          </w:p>
        </w:tc>
      </w:tr>
      <w:tr w:rsidR="00EA5BBF" w:rsidRPr="001570EA" w14:paraId="332248C9" w14:textId="77777777">
        <w:tc>
          <w:tcPr>
            <w:tcW w:w="3357" w:type="pct"/>
            <w:gridSpan w:val="2"/>
            <w:vAlign w:val="center"/>
          </w:tcPr>
          <w:p w14:paraId="3605A1BA" w14:textId="77777777" w:rsidR="00EA5BBF" w:rsidRPr="001570EA" w:rsidRDefault="00EA5BBF">
            <w:pPr>
              <w:pStyle w:val="TableCell"/>
              <w:spacing w:before="40" w:after="40"/>
              <w:rPr>
                <w:i/>
              </w:rPr>
            </w:pPr>
            <w:r w:rsidRPr="001570EA">
              <w:rPr>
                <w:i/>
              </w:rPr>
              <w:t xml:space="preserve">Average Window/Door Caulking and Weather Stripping </w:t>
            </w:r>
          </w:p>
        </w:tc>
        <w:tc>
          <w:tcPr>
            <w:tcW w:w="1643" w:type="pct"/>
          </w:tcPr>
          <w:p w14:paraId="111A25A1" w14:textId="77777777" w:rsidR="00EA5BBF" w:rsidRPr="001570EA" w:rsidRDefault="00EA5BBF">
            <w:pPr>
              <w:pStyle w:val="TableCell"/>
              <w:spacing w:before="40" w:after="40"/>
              <w:rPr>
                <w:rFonts w:eastAsia="Arial Unicode MS"/>
                <w:i/>
              </w:rPr>
            </w:pPr>
            <w:r w:rsidRPr="001570EA">
              <w:rPr>
                <w:rFonts w:eastAsia="Arial Unicode MS"/>
                <w:i/>
              </w:rPr>
              <w:t>0.664 CFM/lf of crack</w:t>
            </w:r>
          </w:p>
        </w:tc>
      </w:tr>
      <w:tr w:rsidR="00EA5BBF" w:rsidRPr="001570EA" w14:paraId="3D78E52B" w14:textId="77777777">
        <w:tc>
          <w:tcPr>
            <w:tcW w:w="920" w:type="pct"/>
            <w:vAlign w:val="center"/>
          </w:tcPr>
          <w:p w14:paraId="454F22CF" w14:textId="77777777" w:rsidR="00EA5BBF" w:rsidRPr="001570EA" w:rsidRDefault="00EA5BBF">
            <w:pPr>
              <w:pStyle w:val="TableCell"/>
              <w:spacing w:before="40" w:after="40"/>
            </w:pPr>
            <w:r w:rsidRPr="001570EA">
              <w:t>Gasket</w:t>
            </w:r>
          </w:p>
        </w:tc>
        <w:tc>
          <w:tcPr>
            <w:tcW w:w="2437" w:type="pct"/>
            <w:shd w:val="clear" w:color="auto" w:fill="auto"/>
            <w:vAlign w:val="center"/>
          </w:tcPr>
          <w:p w14:paraId="07F7263C" w14:textId="77777777" w:rsidR="00EA5BBF" w:rsidRPr="001570EA" w:rsidRDefault="00EA5BBF">
            <w:pPr>
              <w:pStyle w:val="TableCell"/>
              <w:spacing w:before="40" w:after="40"/>
            </w:pPr>
            <w:r w:rsidRPr="001570EA">
              <w:t>Electrical Outlets</w:t>
            </w:r>
          </w:p>
        </w:tc>
        <w:tc>
          <w:tcPr>
            <w:tcW w:w="1643" w:type="pct"/>
          </w:tcPr>
          <w:p w14:paraId="2F8286C4" w14:textId="77777777" w:rsidR="00EA5BBF" w:rsidRPr="001570EA" w:rsidRDefault="00EA5BBF">
            <w:pPr>
              <w:pStyle w:val="TableCell"/>
              <w:spacing w:before="40" w:after="40"/>
            </w:pPr>
            <w:r w:rsidRPr="001570EA">
              <w:t>6.491 CFM each</w:t>
            </w:r>
          </w:p>
        </w:tc>
      </w:tr>
    </w:tbl>
    <w:p w14:paraId="61FC85E6" w14:textId="77777777" w:rsidR="00EA5BBF" w:rsidRPr="001570EA" w:rsidRDefault="00EA5BBF" w:rsidP="00EA5BBF">
      <w:pPr>
        <w:spacing w:line="276" w:lineRule="auto"/>
        <w:rPr>
          <w:rFonts w:ascii="Arial Black" w:hAnsi="Arial Black"/>
          <w:b/>
          <w:smallCaps/>
          <w:color w:val="44546A" w:themeColor="text2"/>
          <w:spacing w:val="40"/>
        </w:rPr>
      </w:pPr>
    </w:p>
    <w:p w14:paraId="2FA9BC3F" w14:textId="77777777" w:rsidR="00EA5BBF" w:rsidRPr="001570EA" w:rsidRDefault="00EA5BBF" w:rsidP="00EA5BBF">
      <w:pPr>
        <w:pStyle w:val="SubStyle"/>
        <w:keepNext/>
      </w:pPr>
      <w:r w:rsidRPr="001570EA">
        <w:t>Default Savings</w:t>
      </w:r>
    </w:p>
    <w:p w14:paraId="1DA781C0" w14:textId="77777777" w:rsidR="00EA5BBF" w:rsidRPr="001570EA" w:rsidRDefault="00EA5BBF" w:rsidP="00EA5BBF">
      <w:pPr>
        <w:keepNext/>
      </w:pPr>
      <w:r w:rsidRPr="001570EA">
        <w:t>If the information needed to utilize the algorithms is unavailable, the default savings listed below may be used. The default savings are based on a home with a 13.9 SEER CAC and electric heating HSPF of 7.75.</w:t>
      </w:r>
      <w:r w:rsidRPr="001570EA">
        <w:rPr>
          <w:vertAlign w:val="superscript"/>
        </w:rPr>
        <w:t>Source 15</w:t>
      </w:r>
      <w:r w:rsidRPr="001570EA">
        <w:t xml:space="preserve"> </w:t>
      </w:r>
    </w:p>
    <w:p w14:paraId="3E295374" w14:textId="77777777" w:rsidR="00EA5BBF" w:rsidRPr="001570EA" w:rsidRDefault="00EA5BBF" w:rsidP="00EA5BBF">
      <w:pPr>
        <w:keepNext/>
      </w:pPr>
    </w:p>
    <w:p w14:paraId="52736587" w14:textId="2907100B" w:rsidR="00EA5BBF" w:rsidRPr="001570EA" w:rsidRDefault="00EA5BBF" w:rsidP="00EA5BBF">
      <w:pPr>
        <w:keepNext/>
      </w:pPr>
      <w:r w:rsidRPr="001570EA">
        <w:fldChar w:fldCharType="begin"/>
      </w:r>
      <w:r w:rsidRPr="001570EA">
        <w:instrText xml:space="preserve"> REF _Ref159505344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138</w:t>
      </w:r>
      <w:r w:rsidRPr="001570EA">
        <w:fldChar w:fldCharType="end"/>
      </w:r>
      <w:r w:rsidRPr="001570EA">
        <w:t xml:space="preserve">, </w:t>
      </w:r>
      <w:r w:rsidRPr="001570EA">
        <w:fldChar w:fldCharType="begin"/>
      </w:r>
      <w:r w:rsidRPr="001570EA">
        <w:instrText xml:space="preserve"> REF _Ref159505350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139</w:t>
      </w:r>
      <w:r w:rsidRPr="001570EA">
        <w:fldChar w:fldCharType="end"/>
      </w:r>
      <w:r w:rsidRPr="001570EA">
        <w:t xml:space="preserve">, </w:t>
      </w:r>
      <w:r w:rsidRPr="001570EA">
        <w:fldChar w:fldCharType="begin"/>
      </w:r>
      <w:r w:rsidRPr="001570EA">
        <w:instrText xml:space="preserve"> REF _Ref159505351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140</w:t>
      </w:r>
      <w:r w:rsidRPr="001570EA">
        <w:fldChar w:fldCharType="end"/>
      </w:r>
      <w:r w:rsidRPr="001570EA">
        <w:t xml:space="preserve"> present default savings for direct install measures. These savings assume an ISR of 1.0. Cooling savings assume the home has comfort cooling and heating savings assume the home has electric heating. </w:t>
      </w:r>
    </w:p>
    <w:p w14:paraId="300AC476" w14:textId="77777777" w:rsidR="00EA5BBF" w:rsidRPr="001570EA" w:rsidRDefault="00EA5BBF" w:rsidP="00EA5BBF">
      <w:pPr>
        <w:keepNext/>
      </w:pPr>
      <w:r w:rsidRPr="001570EA">
        <w:t xml:space="preserve"> </w:t>
      </w:r>
    </w:p>
    <w:p w14:paraId="281FA33B" w14:textId="7F1915ED" w:rsidR="00EA5BBF" w:rsidRPr="001570EA" w:rsidRDefault="00EA5BBF" w:rsidP="00EA5BBF">
      <w:r w:rsidRPr="001570EA">
        <w:fldChar w:fldCharType="begin"/>
      </w:r>
      <w:r w:rsidRPr="001570EA">
        <w:instrText xml:space="preserve"> REF _Ref159505652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141</w:t>
      </w:r>
      <w:r w:rsidRPr="001570EA">
        <w:fldChar w:fldCharType="end"/>
      </w:r>
      <w:r w:rsidRPr="001570EA">
        <w:t xml:space="preserve">, </w:t>
      </w:r>
      <w:r w:rsidRPr="001570EA">
        <w:fldChar w:fldCharType="begin"/>
      </w:r>
      <w:r w:rsidRPr="001570EA">
        <w:instrText xml:space="preserve"> REF _Ref159505653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142</w:t>
      </w:r>
      <w:r w:rsidRPr="001570EA">
        <w:fldChar w:fldCharType="end"/>
      </w:r>
      <w:r w:rsidRPr="001570EA">
        <w:t xml:space="preserve">, and </w:t>
      </w:r>
      <w:r w:rsidRPr="001570EA">
        <w:fldChar w:fldCharType="begin"/>
      </w:r>
      <w:r w:rsidRPr="001570EA">
        <w:instrText xml:space="preserve"> REF _Ref159505657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143</w:t>
      </w:r>
      <w:r w:rsidRPr="001570EA">
        <w:fldChar w:fldCharType="end"/>
      </w:r>
      <w:r w:rsidRPr="001570EA">
        <w:t xml:space="preserve"> present default savings for measures delivered via kit. These savings assume an ISR of 0.16, %</w:t>
      </w:r>
      <w:r w:rsidRPr="001570EA">
        <w:rPr>
          <w:vertAlign w:val="subscript"/>
        </w:rPr>
        <w:t xml:space="preserve">cool </w:t>
      </w:r>
      <w:r w:rsidRPr="001570EA">
        <w:t>of 0.67 and %</w:t>
      </w:r>
      <w:r w:rsidRPr="001570EA">
        <w:rPr>
          <w:vertAlign w:val="subscript"/>
        </w:rPr>
        <w:t>elec</w:t>
      </w:r>
      <w:r w:rsidRPr="001570EA">
        <w:t xml:space="preserve"> of 0.36.</w:t>
      </w:r>
      <w:r w:rsidRPr="001570EA">
        <w:rPr>
          <w:vertAlign w:val="superscript"/>
        </w:rPr>
        <w:t>Source 5, Source 9</w:t>
      </w:r>
    </w:p>
    <w:p w14:paraId="60C5E965" w14:textId="6B300D61" w:rsidR="00EA5BBF" w:rsidRPr="001570EA" w:rsidRDefault="00EA5BBF" w:rsidP="00EA5BBF">
      <w:pPr>
        <w:pStyle w:val="Caption"/>
      </w:pPr>
      <w:bookmarkStart w:id="1162" w:name="_Ref159505344"/>
      <w:bookmarkStart w:id="1163" w:name="_Toc4759836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138</w:t>
      </w:r>
      <w:r w:rsidR="002E093A" w:rsidRPr="001570EA">
        <w:fldChar w:fldCharType="end"/>
      </w:r>
      <w:bookmarkEnd w:id="1162"/>
      <w:r w:rsidRPr="001570EA">
        <w:t>: Default Annual Energy Savings</w:t>
      </w:r>
      <w:bookmarkEnd w:id="1163"/>
      <w:r w:rsidRPr="001570EA">
        <w:t xml:space="preserve"> – Direct Installation</w:t>
      </w: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1530"/>
        <w:gridCol w:w="1260"/>
        <w:gridCol w:w="1169"/>
        <w:gridCol w:w="1156"/>
        <w:gridCol w:w="13"/>
        <w:gridCol w:w="1173"/>
        <w:gridCol w:w="1167"/>
        <w:gridCol w:w="1078"/>
      </w:tblGrid>
      <w:tr w:rsidR="00EA5BBF" w:rsidRPr="001570EA" w14:paraId="2EB95168" w14:textId="77777777">
        <w:trPr>
          <w:trHeight w:val="301"/>
          <w:jc w:val="center"/>
        </w:trPr>
        <w:tc>
          <w:tcPr>
            <w:tcW w:w="809" w:type="dxa"/>
            <w:vMerge w:val="restart"/>
            <w:shd w:val="clear" w:color="auto" w:fill="BFBFBF"/>
            <w:vAlign w:val="center"/>
          </w:tcPr>
          <w:p w14:paraId="2397B52A" w14:textId="77777777" w:rsidR="00EA5BBF" w:rsidRPr="001570EA" w:rsidRDefault="00EA5BBF">
            <w:pPr>
              <w:pStyle w:val="TableCell"/>
              <w:spacing w:before="60" w:after="60"/>
              <w:jc w:val="center"/>
              <w:rPr>
                <w:b/>
                <w:sz w:val="16"/>
                <w:szCs w:val="16"/>
              </w:rPr>
            </w:pPr>
            <w:r w:rsidRPr="001570EA">
              <w:rPr>
                <w:b/>
                <w:sz w:val="16"/>
                <w:szCs w:val="16"/>
              </w:rPr>
              <w:t>Climate Region</w:t>
            </w:r>
          </w:p>
        </w:tc>
        <w:tc>
          <w:tcPr>
            <w:tcW w:w="1530" w:type="dxa"/>
            <w:vMerge w:val="restart"/>
            <w:shd w:val="clear" w:color="auto" w:fill="BFBFBF"/>
            <w:vAlign w:val="center"/>
          </w:tcPr>
          <w:p w14:paraId="0E0DCE33" w14:textId="77777777" w:rsidR="00EA5BBF" w:rsidRPr="001570EA" w:rsidRDefault="00EA5BBF">
            <w:pPr>
              <w:pStyle w:val="TableCell"/>
              <w:spacing w:before="60" w:after="60"/>
              <w:jc w:val="center"/>
              <w:rPr>
                <w:b/>
                <w:sz w:val="16"/>
                <w:szCs w:val="16"/>
              </w:rPr>
            </w:pPr>
            <w:r w:rsidRPr="001570EA">
              <w:rPr>
                <w:b/>
                <w:sz w:val="16"/>
                <w:szCs w:val="16"/>
              </w:rPr>
              <w:t>Reference City</w:t>
            </w:r>
          </w:p>
        </w:tc>
        <w:tc>
          <w:tcPr>
            <w:tcW w:w="3598" w:type="dxa"/>
            <w:gridSpan w:val="4"/>
            <w:shd w:val="clear" w:color="auto" w:fill="BFBFBF"/>
          </w:tcPr>
          <w:p w14:paraId="42AC2802" w14:textId="77777777" w:rsidR="00EA5BBF" w:rsidRPr="001570EA" w:rsidRDefault="00EA5BBF">
            <w:pPr>
              <w:pStyle w:val="TableCell"/>
              <w:spacing w:before="60" w:after="60"/>
              <w:jc w:val="center"/>
              <w:rPr>
                <w:rFonts w:cs="Arial"/>
                <w:b/>
                <w:sz w:val="16"/>
                <w:szCs w:val="16"/>
              </w:rPr>
            </w:pPr>
            <w:r w:rsidRPr="001570EA">
              <w:rPr>
                <w:rFonts w:cs="Arial"/>
                <w:b/>
                <w:sz w:val="16"/>
                <w:szCs w:val="16"/>
              </w:rPr>
              <w:t>Cooling Savings (kWh)</w:t>
            </w:r>
          </w:p>
        </w:tc>
        <w:tc>
          <w:tcPr>
            <w:tcW w:w="3418" w:type="dxa"/>
            <w:gridSpan w:val="3"/>
            <w:shd w:val="clear" w:color="auto" w:fill="BFBFBF"/>
          </w:tcPr>
          <w:p w14:paraId="6187B861" w14:textId="77777777" w:rsidR="00EA5BBF" w:rsidRPr="001570EA" w:rsidRDefault="00EA5BBF">
            <w:pPr>
              <w:pStyle w:val="TableCell"/>
              <w:spacing w:before="60" w:after="60"/>
              <w:jc w:val="center"/>
              <w:rPr>
                <w:rFonts w:cs="Arial"/>
                <w:b/>
                <w:sz w:val="16"/>
                <w:szCs w:val="16"/>
              </w:rPr>
            </w:pPr>
            <w:r w:rsidRPr="001570EA">
              <w:rPr>
                <w:rFonts w:cs="Arial"/>
                <w:b/>
                <w:sz w:val="16"/>
                <w:szCs w:val="16"/>
              </w:rPr>
              <w:t>Heating Savings (kWh)</w:t>
            </w:r>
          </w:p>
        </w:tc>
      </w:tr>
      <w:tr w:rsidR="00EA5BBF" w:rsidRPr="001570EA" w14:paraId="2E5ABCA5" w14:textId="77777777">
        <w:trPr>
          <w:trHeight w:val="301"/>
          <w:jc w:val="center"/>
        </w:trPr>
        <w:tc>
          <w:tcPr>
            <w:tcW w:w="809" w:type="dxa"/>
            <w:vMerge/>
            <w:shd w:val="clear" w:color="auto" w:fill="BFBFBF"/>
          </w:tcPr>
          <w:p w14:paraId="1674D967" w14:textId="77777777" w:rsidR="00EA5BBF" w:rsidRPr="001570EA" w:rsidRDefault="00EA5BBF">
            <w:pPr>
              <w:pStyle w:val="TableCell"/>
              <w:spacing w:before="60" w:after="60"/>
              <w:jc w:val="center"/>
              <w:rPr>
                <w:b/>
                <w:sz w:val="16"/>
                <w:szCs w:val="16"/>
              </w:rPr>
            </w:pPr>
          </w:p>
        </w:tc>
        <w:tc>
          <w:tcPr>
            <w:tcW w:w="1530" w:type="dxa"/>
            <w:vMerge/>
            <w:shd w:val="clear" w:color="auto" w:fill="BFBFBF"/>
            <w:vAlign w:val="center"/>
          </w:tcPr>
          <w:p w14:paraId="1BC4F6FF" w14:textId="77777777" w:rsidR="00EA5BBF" w:rsidRPr="001570EA" w:rsidRDefault="00EA5BBF">
            <w:pPr>
              <w:pStyle w:val="TableCell"/>
              <w:spacing w:before="60" w:after="60"/>
              <w:jc w:val="center"/>
              <w:rPr>
                <w:b/>
                <w:sz w:val="16"/>
                <w:szCs w:val="16"/>
              </w:rPr>
            </w:pPr>
          </w:p>
        </w:tc>
        <w:tc>
          <w:tcPr>
            <w:tcW w:w="1260" w:type="dxa"/>
            <w:shd w:val="clear" w:color="auto" w:fill="BFBFBF"/>
          </w:tcPr>
          <w:p w14:paraId="6E445F6A" w14:textId="77777777" w:rsidR="00EA5BBF" w:rsidRPr="001570EA" w:rsidRDefault="00EA5BBF">
            <w:pPr>
              <w:pStyle w:val="TableCell"/>
              <w:spacing w:before="60" w:after="60"/>
              <w:jc w:val="center"/>
              <w:rPr>
                <w:rFonts w:cs="Arial"/>
                <w:b/>
                <w:sz w:val="16"/>
                <w:szCs w:val="16"/>
              </w:rPr>
            </w:pPr>
            <w:r w:rsidRPr="001570EA">
              <w:rPr>
                <w:rFonts w:cs="Arial"/>
                <w:b/>
                <w:sz w:val="16"/>
                <w:szCs w:val="16"/>
              </w:rPr>
              <w:t>Caulked Penetrations</w:t>
            </w:r>
          </w:p>
          <w:p w14:paraId="500D49FC" w14:textId="77777777" w:rsidR="00EA5BBF" w:rsidRPr="001570EA" w:rsidRDefault="00EA5BBF">
            <w:pPr>
              <w:pStyle w:val="TableCell"/>
              <w:spacing w:before="60" w:after="60"/>
              <w:jc w:val="center"/>
              <w:rPr>
                <w:rFonts w:cs="Arial"/>
                <w:b/>
                <w:sz w:val="16"/>
                <w:szCs w:val="16"/>
              </w:rPr>
            </w:pPr>
            <w:r w:rsidRPr="001570EA">
              <w:rPr>
                <w:rFonts w:cs="Arial"/>
                <w:b/>
                <w:sz w:val="16"/>
                <w:szCs w:val="16"/>
              </w:rPr>
              <w:t xml:space="preserve"> (per pen.)</w:t>
            </w:r>
          </w:p>
        </w:tc>
        <w:tc>
          <w:tcPr>
            <w:tcW w:w="1169" w:type="dxa"/>
            <w:shd w:val="clear" w:color="auto" w:fill="BFBFBF"/>
            <w:vAlign w:val="center"/>
          </w:tcPr>
          <w:p w14:paraId="28DC38B7" w14:textId="77777777" w:rsidR="00EA5BBF" w:rsidRPr="001570EA" w:rsidRDefault="00EA5BBF">
            <w:pPr>
              <w:pStyle w:val="TableCell"/>
              <w:spacing w:before="60" w:after="60"/>
              <w:jc w:val="center"/>
              <w:rPr>
                <w:rFonts w:cs="Arial"/>
                <w:b/>
                <w:sz w:val="16"/>
                <w:szCs w:val="16"/>
              </w:rPr>
            </w:pPr>
            <w:r w:rsidRPr="001570EA">
              <w:rPr>
                <w:rFonts w:cs="Arial"/>
                <w:b/>
                <w:sz w:val="16"/>
                <w:szCs w:val="16"/>
              </w:rPr>
              <w:t>Weather Stripping, Caulking and Sealing</w:t>
            </w:r>
            <w:r w:rsidRPr="001570EA">
              <w:rPr>
                <w:rFonts w:cs="Arial"/>
                <w:b/>
                <w:sz w:val="16"/>
                <w:szCs w:val="16"/>
              </w:rPr>
              <w:br/>
              <w:t>(per 10 lf)</w:t>
            </w:r>
          </w:p>
        </w:tc>
        <w:tc>
          <w:tcPr>
            <w:tcW w:w="1156" w:type="dxa"/>
            <w:shd w:val="clear" w:color="auto" w:fill="BFBFBF"/>
          </w:tcPr>
          <w:p w14:paraId="23789B1A" w14:textId="77777777" w:rsidR="00EA5BBF" w:rsidRPr="001570EA" w:rsidRDefault="00EA5BBF">
            <w:pPr>
              <w:pStyle w:val="TableCell"/>
              <w:spacing w:before="60" w:after="60"/>
              <w:jc w:val="center"/>
              <w:rPr>
                <w:rFonts w:cs="Arial"/>
                <w:b/>
                <w:sz w:val="16"/>
                <w:szCs w:val="16"/>
              </w:rPr>
            </w:pPr>
            <w:r w:rsidRPr="001570EA">
              <w:rPr>
                <w:rFonts w:cs="Arial"/>
                <w:b/>
                <w:sz w:val="16"/>
                <w:szCs w:val="16"/>
              </w:rPr>
              <w:t>Outlet Gaskets</w:t>
            </w:r>
          </w:p>
          <w:p w14:paraId="64E2E705" w14:textId="77777777" w:rsidR="00EA5BBF" w:rsidRPr="001570EA" w:rsidRDefault="00EA5BBF">
            <w:pPr>
              <w:pStyle w:val="TableCell"/>
              <w:spacing w:before="60" w:after="60"/>
              <w:jc w:val="center"/>
              <w:rPr>
                <w:rFonts w:cs="Arial"/>
                <w:b/>
                <w:sz w:val="16"/>
                <w:szCs w:val="16"/>
              </w:rPr>
            </w:pPr>
            <w:r w:rsidRPr="001570EA">
              <w:rPr>
                <w:rFonts w:cs="Arial"/>
                <w:b/>
                <w:sz w:val="16"/>
                <w:szCs w:val="16"/>
              </w:rPr>
              <w:t>(per gasket)</w:t>
            </w:r>
          </w:p>
        </w:tc>
        <w:tc>
          <w:tcPr>
            <w:tcW w:w="1186" w:type="dxa"/>
            <w:gridSpan w:val="2"/>
            <w:shd w:val="clear" w:color="auto" w:fill="BFBFBF"/>
          </w:tcPr>
          <w:p w14:paraId="6FC59BF5" w14:textId="77777777" w:rsidR="00EA5BBF" w:rsidRPr="001570EA" w:rsidRDefault="00EA5BBF">
            <w:pPr>
              <w:pStyle w:val="TableCell"/>
              <w:spacing w:before="60" w:after="60"/>
              <w:jc w:val="center"/>
              <w:rPr>
                <w:rFonts w:cs="Arial"/>
                <w:b/>
                <w:sz w:val="16"/>
                <w:szCs w:val="16"/>
              </w:rPr>
            </w:pPr>
            <w:r w:rsidRPr="001570EA">
              <w:rPr>
                <w:rFonts w:cs="Arial"/>
                <w:b/>
                <w:sz w:val="16"/>
                <w:szCs w:val="16"/>
              </w:rPr>
              <w:t>Caulked Penetrations</w:t>
            </w:r>
          </w:p>
          <w:p w14:paraId="0AFCEA7C" w14:textId="77777777" w:rsidR="00EA5BBF" w:rsidRPr="001570EA" w:rsidRDefault="00EA5BBF">
            <w:pPr>
              <w:pStyle w:val="TableCell"/>
              <w:spacing w:before="60" w:after="60"/>
              <w:jc w:val="center"/>
              <w:rPr>
                <w:rFonts w:cs="Arial"/>
                <w:b/>
                <w:sz w:val="16"/>
                <w:szCs w:val="16"/>
              </w:rPr>
            </w:pPr>
            <w:r w:rsidRPr="001570EA">
              <w:rPr>
                <w:rFonts w:cs="Arial"/>
                <w:b/>
                <w:sz w:val="16"/>
                <w:szCs w:val="16"/>
              </w:rPr>
              <w:t xml:space="preserve"> (per pen.)</w:t>
            </w:r>
          </w:p>
        </w:tc>
        <w:tc>
          <w:tcPr>
            <w:tcW w:w="1167" w:type="dxa"/>
            <w:shd w:val="clear" w:color="auto" w:fill="BFBFBF"/>
            <w:vAlign w:val="center"/>
          </w:tcPr>
          <w:p w14:paraId="23BC60DA" w14:textId="77777777" w:rsidR="00EA5BBF" w:rsidRPr="001570EA" w:rsidRDefault="00EA5BBF">
            <w:pPr>
              <w:pStyle w:val="TableCell"/>
              <w:spacing w:before="60" w:after="60"/>
              <w:jc w:val="center"/>
              <w:rPr>
                <w:b/>
                <w:sz w:val="16"/>
                <w:szCs w:val="16"/>
              </w:rPr>
            </w:pPr>
            <w:r w:rsidRPr="001570EA">
              <w:rPr>
                <w:rFonts w:cs="Arial"/>
                <w:b/>
                <w:sz w:val="16"/>
                <w:szCs w:val="16"/>
              </w:rPr>
              <w:t>Weather Stripping, Caulking and Sealing</w:t>
            </w:r>
            <w:r w:rsidRPr="001570EA">
              <w:rPr>
                <w:rFonts w:cs="Arial"/>
                <w:b/>
                <w:sz w:val="16"/>
                <w:szCs w:val="16"/>
              </w:rPr>
              <w:br/>
              <w:t>(per 10 lf)</w:t>
            </w:r>
          </w:p>
        </w:tc>
        <w:tc>
          <w:tcPr>
            <w:tcW w:w="1078" w:type="dxa"/>
            <w:shd w:val="clear" w:color="auto" w:fill="BFBFBF"/>
          </w:tcPr>
          <w:p w14:paraId="0CDC61D1" w14:textId="77777777" w:rsidR="00EA5BBF" w:rsidRPr="001570EA" w:rsidRDefault="00EA5BBF">
            <w:pPr>
              <w:pStyle w:val="TableCell"/>
              <w:spacing w:before="60" w:after="60"/>
              <w:jc w:val="center"/>
              <w:rPr>
                <w:rFonts w:cs="Arial"/>
                <w:b/>
                <w:sz w:val="16"/>
                <w:szCs w:val="16"/>
              </w:rPr>
            </w:pPr>
            <w:r w:rsidRPr="001570EA">
              <w:rPr>
                <w:rFonts w:cs="Arial"/>
                <w:b/>
                <w:sz w:val="16"/>
                <w:szCs w:val="16"/>
              </w:rPr>
              <w:t>Outlet Gaskets</w:t>
            </w:r>
          </w:p>
          <w:p w14:paraId="7DA14180" w14:textId="77777777" w:rsidR="00EA5BBF" w:rsidRPr="001570EA" w:rsidRDefault="00EA5BBF">
            <w:pPr>
              <w:pStyle w:val="TableCell"/>
              <w:spacing w:before="60" w:after="60"/>
              <w:jc w:val="center"/>
              <w:rPr>
                <w:rFonts w:cs="Arial"/>
                <w:b/>
                <w:sz w:val="16"/>
                <w:szCs w:val="16"/>
              </w:rPr>
            </w:pPr>
            <w:r w:rsidRPr="001570EA">
              <w:rPr>
                <w:rFonts w:cs="Arial"/>
                <w:b/>
                <w:sz w:val="16"/>
                <w:szCs w:val="16"/>
              </w:rPr>
              <w:t>(per outlet)</w:t>
            </w:r>
          </w:p>
        </w:tc>
      </w:tr>
      <w:tr w:rsidR="00EA5BBF" w:rsidRPr="001570EA" w14:paraId="1CB9E80A" w14:textId="77777777">
        <w:trPr>
          <w:trHeight w:val="301"/>
          <w:jc w:val="center"/>
        </w:trPr>
        <w:tc>
          <w:tcPr>
            <w:tcW w:w="809" w:type="dxa"/>
            <w:shd w:val="clear" w:color="auto" w:fill="BFBFBF" w:themeFill="background1" w:themeFillShade="BF"/>
          </w:tcPr>
          <w:p w14:paraId="6A03C434" w14:textId="77777777" w:rsidR="00EA5BBF" w:rsidRPr="001570EA" w:rsidRDefault="00EA5BBF">
            <w:pPr>
              <w:pStyle w:val="TableCell"/>
              <w:spacing w:before="60" w:after="60"/>
              <w:jc w:val="center"/>
              <w:rPr>
                <w:b/>
                <w:szCs w:val="18"/>
              </w:rPr>
            </w:pPr>
            <w:r w:rsidRPr="001570EA">
              <w:rPr>
                <w:b/>
                <w:szCs w:val="18"/>
              </w:rPr>
              <w:t>C</w:t>
            </w:r>
          </w:p>
        </w:tc>
        <w:tc>
          <w:tcPr>
            <w:tcW w:w="1530" w:type="dxa"/>
            <w:vAlign w:val="center"/>
          </w:tcPr>
          <w:p w14:paraId="2D8AFCEC" w14:textId="77777777" w:rsidR="00EA5BBF" w:rsidRPr="001570EA" w:rsidRDefault="00EA5BBF">
            <w:pPr>
              <w:pStyle w:val="TableCell"/>
              <w:spacing w:before="60" w:after="60"/>
              <w:rPr>
                <w:szCs w:val="18"/>
              </w:rPr>
            </w:pPr>
            <w:r w:rsidRPr="001570EA">
              <w:rPr>
                <w:szCs w:val="18"/>
              </w:rPr>
              <w:t>Allentown</w:t>
            </w:r>
          </w:p>
        </w:tc>
        <w:tc>
          <w:tcPr>
            <w:tcW w:w="1260" w:type="dxa"/>
            <w:vAlign w:val="center"/>
          </w:tcPr>
          <w:p w14:paraId="4815B124"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8.618</w:t>
            </w:r>
          </w:p>
        </w:tc>
        <w:tc>
          <w:tcPr>
            <w:tcW w:w="1169" w:type="dxa"/>
            <w:vAlign w:val="center"/>
          </w:tcPr>
          <w:p w14:paraId="03398FE4"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5.250</w:t>
            </w:r>
          </w:p>
        </w:tc>
        <w:tc>
          <w:tcPr>
            <w:tcW w:w="1156" w:type="dxa"/>
            <w:vAlign w:val="center"/>
          </w:tcPr>
          <w:p w14:paraId="5251E130"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5.132</w:t>
            </w:r>
          </w:p>
        </w:tc>
        <w:tc>
          <w:tcPr>
            <w:tcW w:w="1186" w:type="dxa"/>
            <w:gridSpan w:val="2"/>
            <w:vAlign w:val="center"/>
          </w:tcPr>
          <w:p w14:paraId="2A38D398" w14:textId="77777777" w:rsidR="00EA5BBF" w:rsidRPr="001570EA" w:rsidRDefault="00EA5BBF">
            <w:pPr>
              <w:pStyle w:val="TableCell"/>
              <w:spacing w:before="60" w:after="60"/>
              <w:jc w:val="center"/>
              <w:rPr>
                <w:rFonts w:cs="Arial"/>
                <w:szCs w:val="18"/>
              </w:rPr>
            </w:pPr>
            <w:r w:rsidRPr="001570EA">
              <w:rPr>
                <w:rFonts w:cs="Arial"/>
                <w:color w:val="000000"/>
                <w:szCs w:val="18"/>
              </w:rPr>
              <w:t>11.199</w:t>
            </w:r>
          </w:p>
        </w:tc>
        <w:tc>
          <w:tcPr>
            <w:tcW w:w="1167" w:type="dxa"/>
            <w:vAlign w:val="center"/>
          </w:tcPr>
          <w:p w14:paraId="611A40F0"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6.822</w:t>
            </w:r>
          </w:p>
        </w:tc>
        <w:tc>
          <w:tcPr>
            <w:tcW w:w="1078" w:type="dxa"/>
            <w:vAlign w:val="center"/>
          </w:tcPr>
          <w:p w14:paraId="473A2568"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6.669</w:t>
            </w:r>
          </w:p>
        </w:tc>
      </w:tr>
      <w:tr w:rsidR="00EA5BBF" w:rsidRPr="001570EA" w14:paraId="4619239C" w14:textId="77777777">
        <w:trPr>
          <w:trHeight w:val="301"/>
          <w:jc w:val="center"/>
        </w:trPr>
        <w:tc>
          <w:tcPr>
            <w:tcW w:w="809" w:type="dxa"/>
            <w:shd w:val="clear" w:color="auto" w:fill="BFBFBF" w:themeFill="background1" w:themeFillShade="BF"/>
          </w:tcPr>
          <w:p w14:paraId="230798A2" w14:textId="77777777" w:rsidR="00EA5BBF" w:rsidRPr="001570EA" w:rsidRDefault="00EA5BBF">
            <w:pPr>
              <w:pStyle w:val="TableCell"/>
              <w:spacing w:before="60" w:after="60"/>
              <w:jc w:val="center"/>
              <w:rPr>
                <w:b/>
                <w:szCs w:val="18"/>
              </w:rPr>
            </w:pPr>
            <w:r w:rsidRPr="001570EA">
              <w:rPr>
                <w:b/>
                <w:szCs w:val="18"/>
              </w:rPr>
              <w:t>A</w:t>
            </w:r>
          </w:p>
        </w:tc>
        <w:tc>
          <w:tcPr>
            <w:tcW w:w="1530" w:type="dxa"/>
            <w:vAlign w:val="center"/>
          </w:tcPr>
          <w:p w14:paraId="75773FE3" w14:textId="77777777" w:rsidR="00EA5BBF" w:rsidRPr="001570EA" w:rsidRDefault="00EA5BBF">
            <w:pPr>
              <w:pStyle w:val="TableCell"/>
              <w:spacing w:before="60" w:after="60"/>
              <w:rPr>
                <w:szCs w:val="18"/>
              </w:rPr>
            </w:pPr>
            <w:r w:rsidRPr="001570EA">
              <w:rPr>
                <w:szCs w:val="18"/>
              </w:rPr>
              <w:t>Binghamton, NY</w:t>
            </w:r>
          </w:p>
        </w:tc>
        <w:tc>
          <w:tcPr>
            <w:tcW w:w="1260" w:type="dxa"/>
            <w:vAlign w:val="center"/>
          </w:tcPr>
          <w:p w14:paraId="7ADADAC7"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2.471</w:t>
            </w:r>
          </w:p>
        </w:tc>
        <w:tc>
          <w:tcPr>
            <w:tcW w:w="1169" w:type="dxa"/>
            <w:vAlign w:val="center"/>
          </w:tcPr>
          <w:p w14:paraId="3907F31D"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1.505</w:t>
            </w:r>
          </w:p>
        </w:tc>
        <w:tc>
          <w:tcPr>
            <w:tcW w:w="1156" w:type="dxa"/>
            <w:vAlign w:val="center"/>
          </w:tcPr>
          <w:p w14:paraId="01066BE4"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1.471</w:t>
            </w:r>
          </w:p>
        </w:tc>
        <w:tc>
          <w:tcPr>
            <w:tcW w:w="1186" w:type="dxa"/>
            <w:gridSpan w:val="2"/>
            <w:vAlign w:val="center"/>
          </w:tcPr>
          <w:p w14:paraId="6E65C0D3" w14:textId="77777777" w:rsidR="00EA5BBF" w:rsidRPr="001570EA" w:rsidRDefault="00EA5BBF">
            <w:pPr>
              <w:pStyle w:val="TableCell"/>
              <w:spacing w:before="60" w:after="60"/>
              <w:jc w:val="center"/>
              <w:rPr>
                <w:rFonts w:cs="Arial"/>
                <w:szCs w:val="18"/>
              </w:rPr>
            </w:pPr>
            <w:r w:rsidRPr="001570EA">
              <w:rPr>
                <w:rFonts w:cs="Arial"/>
                <w:color w:val="000000"/>
                <w:szCs w:val="18"/>
              </w:rPr>
              <w:t>15.300</w:t>
            </w:r>
          </w:p>
        </w:tc>
        <w:tc>
          <w:tcPr>
            <w:tcW w:w="1167" w:type="dxa"/>
            <w:vAlign w:val="center"/>
          </w:tcPr>
          <w:p w14:paraId="50A344EE"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9.321</w:t>
            </w:r>
          </w:p>
        </w:tc>
        <w:tc>
          <w:tcPr>
            <w:tcW w:w="1078" w:type="dxa"/>
            <w:vAlign w:val="center"/>
          </w:tcPr>
          <w:p w14:paraId="22984198"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9.111</w:t>
            </w:r>
          </w:p>
        </w:tc>
      </w:tr>
      <w:tr w:rsidR="00EA5BBF" w:rsidRPr="001570EA" w14:paraId="001AA1A6" w14:textId="77777777">
        <w:trPr>
          <w:trHeight w:val="301"/>
          <w:jc w:val="center"/>
        </w:trPr>
        <w:tc>
          <w:tcPr>
            <w:tcW w:w="809" w:type="dxa"/>
            <w:shd w:val="clear" w:color="auto" w:fill="BFBFBF" w:themeFill="background1" w:themeFillShade="BF"/>
          </w:tcPr>
          <w:p w14:paraId="4D77E4C6" w14:textId="77777777" w:rsidR="00EA5BBF" w:rsidRPr="001570EA" w:rsidRDefault="00EA5BBF">
            <w:pPr>
              <w:pStyle w:val="TableCell"/>
              <w:spacing w:before="60" w:after="60"/>
              <w:jc w:val="center"/>
              <w:rPr>
                <w:b/>
                <w:szCs w:val="18"/>
              </w:rPr>
            </w:pPr>
            <w:r w:rsidRPr="001570EA">
              <w:rPr>
                <w:b/>
                <w:szCs w:val="18"/>
              </w:rPr>
              <w:t>G</w:t>
            </w:r>
          </w:p>
        </w:tc>
        <w:tc>
          <w:tcPr>
            <w:tcW w:w="1530" w:type="dxa"/>
            <w:vAlign w:val="center"/>
          </w:tcPr>
          <w:p w14:paraId="0B905640" w14:textId="77777777" w:rsidR="00EA5BBF" w:rsidRPr="001570EA" w:rsidRDefault="00EA5BBF">
            <w:pPr>
              <w:pStyle w:val="TableCell"/>
              <w:spacing w:before="60" w:after="60"/>
              <w:rPr>
                <w:szCs w:val="18"/>
              </w:rPr>
            </w:pPr>
            <w:r w:rsidRPr="001570EA">
              <w:rPr>
                <w:szCs w:val="18"/>
              </w:rPr>
              <w:t>Bradford</w:t>
            </w:r>
          </w:p>
        </w:tc>
        <w:tc>
          <w:tcPr>
            <w:tcW w:w="1260" w:type="dxa"/>
            <w:vAlign w:val="center"/>
          </w:tcPr>
          <w:p w14:paraId="3B499251"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4.148</w:t>
            </w:r>
          </w:p>
        </w:tc>
        <w:tc>
          <w:tcPr>
            <w:tcW w:w="1169" w:type="dxa"/>
            <w:vAlign w:val="center"/>
          </w:tcPr>
          <w:p w14:paraId="107F08B1"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2.527</w:t>
            </w:r>
          </w:p>
        </w:tc>
        <w:tc>
          <w:tcPr>
            <w:tcW w:w="1156" w:type="dxa"/>
            <w:vAlign w:val="center"/>
          </w:tcPr>
          <w:p w14:paraId="747D2AEA"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2.470</w:t>
            </w:r>
          </w:p>
        </w:tc>
        <w:tc>
          <w:tcPr>
            <w:tcW w:w="1186" w:type="dxa"/>
            <w:gridSpan w:val="2"/>
            <w:vAlign w:val="center"/>
          </w:tcPr>
          <w:p w14:paraId="00E45131" w14:textId="77777777" w:rsidR="00EA5BBF" w:rsidRPr="001570EA" w:rsidRDefault="00EA5BBF">
            <w:pPr>
              <w:pStyle w:val="TableCell"/>
              <w:spacing w:before="60" w:after="60"/>
              <w:jc w:val="center"/>
              <w:rPr>
                <w:rFonts w:cs="Arial"/>
                <w:szCs w:val="18"/>
              </w:rPr>
            </w:pPr>
            <w:r w:rsidRPr="001570EA">
              <w:rPr>
                <w:rFonts w:cs="Arial"/>
                <w:color w:val="000000"/>
                <w:szCs w:val="18"/>
              </w:rPr>
              <w:t>15.667</w:t>
            </w:r>
          </w:p>
        </w:tc>
        <w:tc>
          <w:tcPr>
            <w:tcW w:w="1167" w:type="dxa"/>
            <w:vAlign w:val="center"/>
          </w:tcPr>
          <w:p w14:paraId="520B73C8"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9.544</w:t>
            </w:r>
          </w:p>
        </w:tc>
        <w:tc>
          <w:tcPr>
            <w:tcW w:w="1078" w:type="dxa"/>
            <w:vAlign w:val="center"/>
          </w:tcPr>
          <w:p w14:paraId="1C65953A"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9.330</w:t>
            </w:r>
          </w:p>
        </w:tc>
      </w:tr>
      <w:tr w:rsidR="00EA5BBF" w:rsidRPr="001570EA" w14:paraId="163DAEA9" w14:textId="77777777">
        <w:trPr>
          <w:trHeight w:val="301"/>
          <w:jc w:val="center"/>
        </w:trPr>
        <w:tc>
          <w:tcPr>
            <w:tcW w:w="809" w:type="dxa"/>
            <w:shd w:val="clear" w:color="auto" w:fill="BFBFBF" w:themeFill="background1" w:themeFillShade="BF"/>
          </w:tcPr>
          <w:p w14:paraId="18B80D09" w14:textId="77777777" w:rsidR="00EA5BBF" w:rsidRPr="001570EA" w:rsidRDefault="00EA5BBF">
            <w:pPr>
              <w:pStyle w:val="TableCell"/>
              <w:spacing w:before="60" w:after="60"/>
              <w:jc w:val="center"/>
              <w:rPr>
                <w:b/>
                <w:szCs w:val="18"/>
              </w:rPr>
            </w:pPr>
            <w:r w:rsidRPr="001570EA">
              <w:rPr>
                <w:b/>
                <w:szCs w:val="18"/>
              </w:rPr>
              <w:t>I</w:t>
            </w:r>
          </w:p>
        </w:tc>
        <w:tc>
          <w:tcPr>
            <w:tcW w:w="1530" w:type="dxa"/>
            <w:vAlign w:val="center"/>
          </w:tcPr>
          <w:p w14:paraId="67D8E0CB" w14:textId="77777777" w:rsidR="00EA5BBF" w:rsidRPr="001570EA" w:rsidRDefault="00EA5BBF">
            <w:pPr>
              <w:pStyle w:val="TableCell"/>
              <w:spacing w:before="60" w:after="60"/>
              <w:rPr>
                <w:szCs w:val="18"/>
              </w:rPr>
            </w:pPr>
            <w:r w:rsidRPr="001570EA">
              <w:rPr>
                <w:szCs w:val="18"/>
              </w:rPr>
              <w:t>Erie</w:t>
            </w:r>
          </w:p>
        </w:tc>
        <w:tc>
          <w:tcPr>
            <w:tcW w:w="1260" w:type="dxa"/>
            <w:vAlign w:val="center"/>
          </w:tcPr>
          <w:p w14:paraId="0634C1BE"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9.529</w:t>
            </w:r>
          </w:p>
        </w:tc>
        <w:tc>
          <w:tcPr>
            <w:tcW w:w="1169" w:type="dxa"/>
            <w:vAlign w:val="center"/>
          </w:tcPr>
          <w:p w14:paraId="30F95497"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5.805</w:t>
            </w:r>
          </w:p>
        </w:tc>
        <w:tc>
          <w:tcPr>
            <w:tcW w:w="1156" w:type="dxa"/>
            <w:vAlign w:val="center"/>
          </w:tcPr>
          <w:p w14:paraId="682EF208"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5.675</w:t>
            </w:r>
          </w:p>
        </w:tc>
        <w:tc>
          <w:tcPr>
            <w:tcW w:w="1186" w:type="dxa"/>
            <w:gridSpan w:val="2"/>
            <w:vAlign w:val="center"/>
          </w:tcPr>
          <w:p w14:paraId="6C07FA31" w14:textId="77777777" w:rsidR="00EA5BBF" w:rsidRPr="001570EA" w:rsidRDefault="00EA5BBF">
            <w:pPr>
              <w:pStyle w:val="TableCell"/>
              <w:spacing w:before="60" w:after="60"/>
              <w:jc w:val="center"/>
              <w:rPr>
                <w:rFonts w:cs="Arial"/>
                <w:szCs w:val="18"/>
              </w:rPr>
            </w:pPr>
            <w:r w:rsidRPr="001570EA">
              <w:rPr>
                <w:rFonts w:cs="Arial"/>
                <w:color w:val="000000"/>
                <w:szCs w:val="18"/>
              </w:rPr>
              <w:t>12.596</w:t>
            </w:r>
          </w:p>
        </w:tc>
        <w:tc>
          <w:tcPr>
            <w:tcW w:w="1167" w:type="dxa"/>
            <w:vAlign w:val="center"/>
          </w:tcPr>
          <w:p w14:paraId="0916091D"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7.673</w:t>
            </w:r>
          </w:p>
        </w:tc>
        <w:tc>
          <w:tcPr>
            <w:tcW w:w="1078" w:type="dxa"/>
            <w:vAlign w:val="center"/>
          </w:tcPr>
          <w:p w14:paraId="2D6852D0"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7.501</w:t>
            </w:r>
          </w:p>
        </w:tc>
      </w:tr>
      <w:tr w:rsidR="00EA5BBF" w:rsidRPr="001570EA" w14:paraId="3550F91F" w14:textId="77777777">
        <w:trPr>
          <w:trHeight w:val="301"/>
          <w:jc w:val="center"/>
        </w:trPr>
        <w:tc>
          <w:tcPr>
            <w:tcW w:w="809" w:type="dxa"/>
            <w:shd w:val="clear" w:color="auto" w:fill="BFBFBF" w:themeFill="background1" w:themeFillShade="BF"/>
          </w:tcPr>
          <w:p w14:paraId="57624C9B" w14:textId="77777777" w:rsidR="00EA5BBF" w:rsidRPr="001570EA" w:rsidRDefault="00EA5BBF">
            <w:pPr>
              <w:pStyle w:val="TableCell"/>
              <w:spacing w:before="60" w:after="60"/>
              <w:jc w:val="center"/>
              <w:rPr>
                <w:b/>
                <w:szCs w:val="18"/>
              </w:rPr>
            </w:pPr>
            <w:r w:rsidRPr="001570EA">
              <w:rPr>
                <w:b/>
                <w:szCs w:val="18"/>
              </w:rPr>
              <w:t>E</w:t>
            </w:r>
          </w:p>
        </w:tc>
        <w:tc>
          <w:tcPr>
            <w:tcW w:w="1530" w:type="dxa"/>
            <w:vAlign w:val="center"/>
          </w:tcPr>
          <w:p w14:paraId="7121AD86" w14:textId="77777777" w:rsidR="00EA5BBF" w:rsidRPr="001570EA" w:rsidRDefault="00EA5BBF">
            <w:pPr>
              <w:pStyle w:val="TableCell"/>
              <w:spacing w:before="60" w:after="60"/>
              <w:rPr>
                <w:szCs w:val="18"/>
              </w:rPr>
            </w:pPr>
            <w:r w:rsidRPr="001570EA">
              <w:rPr>
                <w:szCs w:val="18"/>
              </w:rPr>
              <w:t>Harrisburg</w:t>
            </w:r>
          </w:p>
        </w:tc>
        <w:tc>
          <w:tcPr>
            <w:tcW w:w="1260" w:type="dxa"/>
            <w:vAlign w:val="center"/>
          </w:tcPr>
          <w:p w14:paraId="340AD801"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6.349</w:t>
            </w:r>
          </w:p>
        </w:tc>
        <w:tc>
          <w:tcPr>
            <w:tcW w:w="1169" w:type="dxa"/>
            <w:vAlign w:val="center"/>
          </w:tcPr>
          <w:p w14:paraId="1F0D6E9D"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3.868</w:t>
            </w:r>
          </w:p>
        </w:tc>
        <w:tc>
          <w:tcPr>
            <w:tcW w:w="1156" w:type="dxa"/>
            <w:vAlign w:val="center"/>
          </w:tcPr>
          <w:p w14:paraId="6159451D"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3.781</w:t>
            </w:r>
          </w:p>
        </w:tc>
        <w:tc>
          <w:tcPr>
            <w:tcW w:w="1186" w:type="dxa"/>
            <w:gridSpan w:val="2"/>
            <w:vAlign w:val="center"/>
          </w:tcPr>
          <w:p w14:paraId="38BD5FB3" w14:textId="77777777" w:rsidR="00EA5BBF" w:rsidRPr="001570EA" w:rsidRDefault="00EA5BBF">
            <w:pPr>
              <w:pStyle w:val="TableCell"/>
              <w:spacing w:before="60" w:after="60"/>
              <w:jc w:val="center"/>
              <w:rPr>
                <w:rFonts w:cs="Arial"/>
                <w:szCs w:val="18"/>
              </w:rPr>
            </w:pPr>
            <w:r w:rsidRPr="001570EA">
              <w:rPr>
                <w:rFonts w:cs="Arial"/>
                <w:color w:val="000000"/>
                <w:szCs w:val="18"/>
              </w:rPr>
              <w:t>10.666</w:t>
            </w:r>
          </w:p>
        </w:tc>
        <w:tc>
          <w:tcPr>
            <w:tcW w:w="1167" w:type="dxa"/>
            <w:vAlign w:val="center"/>
          </w:tcPr>
          <w:p w14:paraId="540D1AA9"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6.497</w:t>
            </w:r>
          </w:p>
        </w:tc>
        <w:tc>
          <w:tcPr>
            <w:tcW w:w="1078" w:type="dxa"/>
            <w:vAlign w:val="center"/>
          </w:tcPr>
          <w:p w14:paraId="15C4ADEC"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6.352</w:t>
            </w:r>
          </w:p>
        </w:tc>
      </w:tr>
      <w:tr w:rsidR="00EA5BBF" w:rsidRPr="001570EA" w14:paraId="28C4F68F" w14:textId="77777777">
        <w:trPr>
          <w:trHeight w:val="301"/>
          <w:jc w:val="center"/>
        </w:trPr>
        <w:tc>
          <w:tcPr>
            <w:tcW w:w="809" w:type="dxa"/>
            <w:shd w:val="clear" w:color="auto" w:fill="BFBFBF" w:themeFill="background1" w:themeFillShade="BF"/>
          </w:tcPr>
          <w:p w14:paraId="7E71F18D" w14:textId="77777777" w:rsidR="00EA5BBF" w:rsidRPr="001570EA" w:rsidRDefault="00EA5BBF">
            <w:pPr>
              <w:pStyle w:val="TableCell"/>
              <w:spacing w:before="60" w:after="60"/>
              <w:jc w:val="center"/>
              <w:rPr>
                <w:b/>
                <w:szCs w:val="18"/>
              </w:rPr>
            </w:pPr>
            <w:r w:rsidRPr="001570EA">
              <w:rPr>
                <w:b/>
                <w:szCs w:val="18"/>
              </w:rPr>
              <w:t>D</w:t>
            </w:r>
          </w:p>
        </w:tc>
        <w:tc>
          <w:tcPr>
            <w:tcW w:w="1530" w:type="dxa"/>
            <w:vAlign w:val="center"/>
          </w:tcPr>
          <w:p w14:paraId="744C9F83" w14:textId="77777777" w:rsidR="00EA5BBF" w:rsidRPr="001570EA" w:rsidRDefault="00EA5BBF">
            <w:pPr>
              <w:pStyle w:val="TableCell"/>
              <w:spacing w:before="60" w:after="60"/>
              <w:rPr>
                <w:szCs w:val="18"/>
              </w:rPr>
            </w:pPr>
            <w:r w:rsidRPr="001570EA">
              <w:rPr>
                <w:szCs w:val="18"/>
              </w:rPr>
              <w:t>Philadelphia</w:t>
            </w:r>
          </w:p>
        </w:tc>
        <w:tc>
          <w:tcPr>
            <w:tcW w:w="1260" w:type="dxa"/>
            <w:vAlign w:val="center"/>
          </w:tcPr>
          <w:p w14:paraId="3A905702"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10.324</w:t>
            </w:r>
          </w:p>
        </w:tc>
        <w:tc>
          <w:tcPr>
            <w:tcW w:w="1169" w:type="dxa"/>
            <w:vAlign w:val="center"/>
          </w:tcPr>
          <w:p w14:paraId="4E66A94A"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6.289</w:t>
            </w:r>
          </w:p>
        </w:tc>
        <w:tc>
          <w:tcPr>
            <w:tcW w:w="1156" w:type="dxa"/>
            <w:vAlign w:val="center"/>
          </w:tcPr>
          <w:p w14:paraId="53795340"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6.148</w:t>
            </w:r>
          </w:p>
        </w:tc>
        <w:tc>
          <w:tcPr>
            <w:tcW w:w="1186" w:type="dxa"/>
            <w:gridSpan w:val="2"/>
            <w:vAlign w:val="center"/>
          </w:tcPr>
          <w:p w14:paraId="707B9025" w14:textId="77777777" w:rsidR="00EA5BBF" w:rsidRPr="001570EA" w:rsidRDefault="00EA5BBF">
            <w:pPr>
              <w:pStyle w:val="TableCell"/>
              <w:spacing w:before="60" w:after="60"/>
              <w:jc w:val="center"/>
              <w:rPr>
                <w:rFonts w:cs="Arial"/>
                <w:szCs w:val="18"/>
              </w:rPr>
            </w:pPr>
            <w:r w:rsidRPr="001570EA">
              <w:rPr>
                <w:rFonts w:cs="Arial"/>
                <w:color w:val="000000"/>
                <w:szCs w:val="18"/>
              </w:rPr>
              <w:t>9.489</w:t>
            </w:r>
          </w:p>
        </w:tc>
        <w:tc>
          <w:tcPr>
            <w:tcW w:w="1167" w:type="dxa"/>
            <w:vAlign w:val="center"/>
          </w:tcPr>
          <w:p w14:paraId="4F55C9BC"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5.781</w:t>
            </w:r>
          </w:p>
        </w:tc>
        <w:tc>
          <w:tcPr>
            <w:tcW w:w="1078" w:type="dxa"/>
            <w:vAlign w:val="center"/>
          </w:tcPr>
          <w:p w14:paraId="29291986"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5.651</w:t>
            </w:r>
          </w:p>
        </w:tc>
      </w:tr>
      <w:tr w:rsidR="00EA5BBF" w:rsidRPr="001570EA" w14:paraId="0B5CF0A6" w14:textId="77777777">
        <w:trPr>
          <w:trHeight w:val="301"/>
          <w:jc w:val="center"/>
        </w:trPr>
        <w:tc>
          <w:tcPr>
            <w:tcW w:w="809" w:type="dxa"/>
            <w:shd w:val="clear" w:color="auto" w:fill="BFBFBF" w:themeFill="background1" w:themeFillShade="BF"/>
          </w:tcPr>
          <w:p w14:paraId="27338D5D" w14:textId="77777777" w:rsidR="00EA5BBF" w:rsidRPr="001570EA" w:rsidRDefault="00EA5BBF">
            <w:pPr>
              <w:pStyle w:val="TableCell"/>
              <w:spacing w:before="60" w:after="60"/>
              <w:jc w:val="center"/>
              <w:rPr>
                <w:b/>
                <w:szCs w:val="18"/>
              </w:rPr>
            </w:pPr>
            <w:r w:rsidRPr="001570EA">
              <w:rPr>
                <w:b/>
                <w:szCs w:val="18"/>
              </w:rPr>
              <w:t>H</w:t>
            </w:r>
          </w:p>
        </w:tc>
        <w:tc>
          <w:tcPr>
            <w:tcW w:w="1530" w:type="dxa"/>
            <w:vAlign w:val="center"/>
          </w:tcPr>
          <w:p w14:paraId="7FC2F236" w14:textId="77777777" w:rsidR="00EA5BBF" w:rsidRPr="001570EA" w:rsidRDefault="00EA5BBF">
            <w:pPr>
              <w:pStyle w:val="TableCell"/>
              <w:spacing w:before="60" w:after="60"/>
              <w:rPr>
                <w:szCs w:val="18"/>
              </w:rPr>
            </w:pPr>
            <w:r w:rsidRPr="001570EA">
              <w:rPr>
                <w:szCs w:val="18"/>
              </w:rPr>
              <w:t>Pittsburgh</w:t>
            </w:r>
          </w:p>
        </w:tc>
        <w:tc>
          <w:tcPr>
            <w:tcW w:w="1260" w:type="dxa"/>
            <w:vAlign w:val="center"/>
          </w:tcPr>
          <w:p w14:paraId="74D3021E"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5.731</w:t>
            </w:r>
          </w:p>
        </w:tc>
        <w:tc>
          <w:tcPr>
            <w:tcW w:w="1169" w:type="dxa"/>
            <w:vAlign w:val="center"/>
          </w:tcPr>
          <w:p w14:paraId="5E052684"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3.491</w:t>
            </w:r>
          </w:p>
        </w:tc>
        <w:tc>
          <w:tcPr>
            <w:tcW w:w="1156" w:type="dxa"/>
            <w:vAlign w:val="center"/>
          </w:tcPr>
          <w:p w14:paraId="06A38C45"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3.413</w:t>
            </w:r>
          </w:p>
        </w:tc>
        <w:tc>
          <w:tcPr>
            <w:tcW w:w="1186" w:type="dxa"/>
            <w:gridSpan w:val="2"/>
            <w:vAlign w:val="center"/>
          </w:tcPr>
          <w:p w14:paraId="4B48DF46" w14:textId="77777777" w:rsidR="00EA5BBF" w:rsidRPr="001570EA" w:rsidRDefault="00EA5BBF">
            <w:pPr>
              <w:pStyle w:val="TableCell"/>
              <w:spacing w:before="60" w:after="60"/>
              <w:jc w:val="center"/>
              <w:rPr>
                <w:rFonts w:cs="Arial"/>
                <w:szCs w:val="18"/>
              </w:rPr>
            </w:pPr>
            <w:r w:rsidRPr="001570EA">
              <w:rPr>
                <w:rFonts w:cs="Arial"/>
                <w:color w:val="000000"/>
                <w:szCs w:val="18"/>
              </w:rPr>
              <w:t>11.869</w:t>
            </w:r>
          </w:p>
        </w:tc>
        <w:tc>
          <w:tcPr>
            <w:tcW w:w="1167" w:type="dxa"/>
            <w:vAlign w:val="center"/>
          </w:tcPr>
          <w:p w14:paraId="45AA60B6"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7.230</w:t>
            </w:r>
          </w:p>
        </w:tc>
        <w:tc>
          <w:tcPr>
            <w:tcW w:w="1078" w:type="dxa"/>
            <w:vAlign w:val="center"/>
          </w:tcPr>
          <w:p w14:paraId="344D0F9E"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7.068</w:t>
            </w:r>
          </w:p>
        </w:tc>
      </w:tr>
      <w:tr w:rsidR="00EA5BBF" w:rsidRPr="001570EA" w14:paraId="04917F9D" w14:textId="77777777">
        <w:trPr>
          <w:trHeight w:val="301"/>
          <w:jc w:val="center"/>
        </w:trPr>
        <w:tc>
          <w:tcPr>
            <w:tcW w:w="809" w:type="dxa"/>
            <w:shd w:val="clear" w:color="auto" w:fill="BFBFBF" w:themeFill="background1" w:themeFillShade="BF"/>
          </w:tcPr>
          <w:p w14:paraId="0788D864" w14:textId="77777777" w:rsidR="00EA5BBF" w:rsidRPr="001570EA" w:rsidRDefault="00EA5BBF">
            <w:pPr>
              <w:pStyle w:val="TableCell"/>
              <w:spacing w:before="60" w:after="60"/>
              <w:jc w:val="center"/>
              <w:rPr>
                <w:b/>
                <w:szCs w:val="18"/>
              </w:rPr>
            </w:pPr>
            <w:r w:rsidRPr="001570EA">
              <w:rPr>
                <w:b/>
                <w:szCs w:val="18"/>
              </w:rPr>
              <w:t>B</w:t>
            </w:r>
          </w:p>
        </w:tc>
        <w:tc>
          <w:tcPr>
            <w:tcW w:w="1530" w:type="dxa"/>
            <w:vAlign w:val="center"/>
          </w:tcPr>
          <w:p w14:paraId="27E21DC4" w14:textId="77777777" w:rsidR="00EA5BBF" w:rsidRPr="001570EA" w:rsidRDefault="00EA5BBF">
            <w:pPr>
              <w:pStyle w:val="TableCell"/>
              <w:spacing w:before="60" w:after="60"/>
              <w:rPr>
                <w:szCs w:val="18"/>
              </w:rPr>
            </w:pPr>
            <w:r w:rsidRPr="001570EA">
              <w:rPr>
                <w:szCs w:val="18"/>
              </w:rPr>
              <w:t>Scranton</w:t>
            </w:r>
          </w:p>
        </w:tc>
        <w:tc>
          <w:tcPr>
            <w:tcW w:w="1260" w:type="dxa"/>
            <w:vAlign w:val="center"/>
          </w:tcPr>
          <w:p w14:paraId="289CACD7"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7.190</w:t>
            </w:r>
          </w:p>
        </w:tc>
        <w:tc>
          <w:tcPr>
            <w:tcW w:w="1169" w:type="dxa"/>
            <w:vAlign w:val="center"/>
          </w:tcPr>
          <w:p w14:paraId="1D9F7645" w14:textId="77777777" w:rsidR="00EA5BBF" w:rsidRPr="001570EA" w:rsidRDefault="00EA5BBF">
            <w:pPr>
              <w:pStyle w:val="TableCell"/>
              <w:spacing w:before="60" w:after="60"/>
              <w:jc w:val="center"/>
              <w:rPr>
                <w:rFonts w:cs="Arial"/>
                <w:color w:val="000000"/>
              </w:rPr>
            </w:pPr>
            <w:r w:rsidRPr="001570EA">
              <w:rPr>
                <w:rFonts w:cs="Arial"/>
                <w:color w:val="000000"/>
                <w:szCs w:val="18"/>
              </w:rPr>
              <w:t>4.380</w:t>
            </w:r>
          </w:p>
        </w:tc>
        <w:tc>
          <w:tcPr>
            <w:tcW w:w="1156" w:type="dxa"/>
            <w:vAlign w:val="center"/>
          </w:tcPr>
          <w:p w14:paraId="0988F775"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4.282</w:t>
            </w:r>
          </w:p>
        </w:tc>
        <w:tc>
          <w:tcPr>
            <w:tcW w:w="1186" w:type="dxa"/>
            <w:gridSpan w:val="2"/>
            <w:vAlign w:val="center"/>
          </w:tcPr>
          <w:p w14:paraId="6689F46E" w14:textId="77777777" w:rsidR="00EA5BBF" w:rsidRPr="001570EA" w:rsidRDefault="00EA5BBF">
            <w:pPr>
              <w:pStyle w:val="TableCell"/>
              <w:spacing w:before="60" w:after="60"/>
              <w:jc w:val="center"/>
              <w:rPr>
                <w:rFonts w:cs="Arial"/>
                <w:szCs w:val="18"/>
              </w:rPr>
            </w:pPr>
            <w:r w:rsidRPr="001570EA">
              <w:rPr>
                <w:rFonts w:cs="Arial"/>
                <w:color w:val="000000"/>
                <w:szCs w:val="18"/>
              </w:rPr>
              <w:t>12.166</w:t>
            </w:r>
          </w:p>
        </w:tc>
        <w:tc>
          <w:tcPr>
            <w:tcW w:w="1167" w:type="dxa"/>
            <w:vAlign w:val="center"/>
          </w:tcPr>
          <w:p w14:paraId="55731140"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7.411</w:t>
            </w:r>
          </w:p>
        </w:tc>
        <w:tc>
          <w:tcPr>
            <w:tcW w:w="1078" w:type="dxa"/>
            <w:vAlign w:val="center"/>
          </w:tcPr>
          <w:p w14:paraId="3A69B6AB"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7.245</w:t>
            </w:r>
          </w:p>
        </w:tc>
      </w:tr>
      <w:tr w:rsidR="00EA5BBF" w:rsidRPr="001570EA" w14:paraId="1B77014A" w14:textId="77777777">
        <w:trPr>
          <w:trHeight w:val="301"/>
          <w:jc w:val="center"/>
        </w:trPr>
        <w:tc>
          <w:tcPr>
            <w:tcW w:w="809" w:type="dxa"/>
            <w:shd w:val="clear" w:color="auto" w:fill="BFBFBF" w:themeFill="background1" w:themeFillShade="BF"/>
          </w:tcPr>
          <w:p w14:paraId="5CD95412" w14:textId="77777777" w:rsidR="00EA5BBF" w:rsidRPr="001570EA" w:rsidRDefault="00EA5BBF">
            <w:pPr>
              <w:pStyle w:val="TableCell"/>
              <w:spacing w:before="60" w:after="60"/>
              <w:jc w:val="center"/>
              <w:rPr>
                <w:b/>
                <w:szCs w:val="18"/>
              </w:rPr>
            </w:pPr>
            <w:r w:rsidRPr="001570EA">
              <w:rPr>
                <w:b/>
                <w:szCs w:val="18"/>
              </w:rPr>
              <w:t>F</w:t>
            </w:r>
          </w:p>
        </w:tc>
        <w:tc>
          <w:tcPr>
            <w:tcW w:w="1530" w:type="dxa"/>
            <w:vAlign w:val="center"/>
          </w:tcPr>
          <w:p w14:paraId="187B0C8F" w14:textId="77777777" w:rsidR="00EA5BBF" w:rsidRPr="001570EA" w:rsidRDefault="00EA5BBF">
            <w:pPr>
              <w:pStyle w:val="TableCell"/>
              <w:spacing w:before="60" w:after="60"/>
              <w:rPr>
                <w:szCs w:val="18"/>
              </w:rPr>
            </w:pPr>
            <w:r w:rsidRPr="001570EA">
              <w:rPr>
                <w:szCs w:val="18"/>
              </w:rPr>
              <w:t>Williamsport</w:t>
            </w:r>
          </w:p>
        </w:tc>
        <w:tc>
          <w:tcPr>
            <w:tcW w:w="1260" w:type="dxa"/>
            <w:vAlign w:val="center"/>
          </w:tcPr>
          <w:p w14:paraId="439D9181"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7.519</w:t>
            </w:r>
          </w:p>
        </w:tc>
        <w:tc>
          <w:tcPr>
            <w:tcW w:w="1169" w:type="dxa"/>
            <w:vAlign w:val="center"/>
          </w:tcPr>
          <w:p w14:paraId="0EE3ED9D"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4.580</w:t>
            </w:r>
          </w:p>
        </w:tc>
        <w:tc>
          <w:tcPr>
            <w:tcW w:w="1156" w:type="dxa"/>
            <w:vAlign w:val="center"/>
          </w:tcPr>
          <w:p w14:paraId="591F5B27"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4.477</w:t>
            </w:r>
          </w:p>
        </w:tc>
        <w:tc>
          <w:tcPr>
            <w:tcW w:w="1186" w:type="dxa"/>
            <w:gridSpan w:val="2"/>
            <w:vAlign w:val="center"/>
          </w:tcPr>
          <w:p w14:paraId="22F8CD13" w14:textId="77777777" w:rsidR="00EA5BBF" w:rsidRPr="001570EA" w:rsidRDefault="00EA5BBF">
            <w:pPr>
              <w:pStyle w:val="TableCell"/>
              <w:spacing w:before="60" w:after="60"/>
              <w:jc w:val="center"/>
              <w:rPr>
                <w:rFonts w:cs="Arial"/>
                <w:szCs w:val="18"/>
              </w:rPr>
            </w:pPr>
            <w:r w:rsidRPr="001570EA">
              <w:rPr>
                <w:rFonts w:cs="Arial"/>
                <w:color w:val="000000"/>
                <w:szCs w:val="18"/>
              </w:rPr>
              <w:t>12.176</w:t>
            </w:r>
          </w:p>
        </w:tc>
        <w:tc>
          <w:tcPr>
            <w:tcW w:w="1167" w:type="dxa"/>
            <w:vAlign w:val="center"/>
          </w:tcPr>
          <w:p w14:paraId="3DE00694"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7.418</w:t>
            </w:r>
          </w:p>
        </w:tc>
        <w:tc>
          <w:tcPr>
            <w:tcW w:w="1078" w:type="dxa"/>
            <w:vAlign w:val="center"/>
          </w:tcPr>
          <w:p w14:paraId="566929D7"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7.251</w:t>
            </w:r>
          </w:p>
        </w:tc>
      </w:tr>
    </w:tbl>
    <w:p w14:paraId="3F7921BD" w14:textId="77777777" w:rsidR="00EA5BBF" w:rsidRPr="001570EA" w:rsidRDefault="00EA5BBF" w:rsidP="00EA5BBF">
      <w:pPr>
        <w:pStyle w:val="Caption"/>
        <w:keepNext w:val="0"/>
      </w:pPr>
    </w:p>
    <w:p w14:paraId="25102FCC" w14:textId="54D9FA6F" w:rsidR="00EA5BBF" w:rsidRPr="001570EA" w:rsidRDefault="00EA5BBF" w:rsidP="00EA5BBF">
      <w:pPr>
        <w:pStyle w:val="Caption"/>
      </w:pPr>
      <w:bookmarkStart w:id="1164" w:name="_Ref159505350"/>
      <w:bookmarkStart w:id="1165" w:name="_Toc4759836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139</w:t>
      </w:r>
      <w:r w:rsidR="002E093A" w:rsidRPr="001570EA">
        <w:fldChar w:fldCharType="end"/>
      </w:r>
      <w:bookmarkEnd w:id="1164"/>
      <w:r w:rsidRPr="001570EA">
        <w:t>: Default Summer Peak Demand Savings</w:t>
      </w:r>
      <w:bookmarkEnd w:id="1165"/>
      <w:r w:rsidRPr="001570EA">
        <w:t xml:space="preserve"> – Direct Installation</w:t>
      </w:r>
    </w:p>
    <w:tbl>
      <w:tblPr>
        <w:tblW w:w="45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1227"/>
        <w:gridCol w:w="1918"/>
        <w:gridCol w:w="1918"/>
        <w:gridCol w:w="1918"/>
      </w:tblGrid>
      <w:tr w:rsidR="00EA5BBF" w:rsidRPr="001570EA" w14:paraId="48D7B7C1" w14:textId="77777777">
        <w:trPr>
          <w:trHeight w:val="317"/>
        </w:trPr>
        <w:tc>
          <w:tcPr>
            <w:tcW w:w="552" w:type="pct"/>
            <w:shd w:val="clear" w:color="auto" w:fill="BFBFBF"/>
            <w:vAlign w:val="center"/>
          </w:tcPr>
          <w:p w14:paraId="79065A4E" w14:textId="77777777" w:rsidR="00EA5BBF" w:rsidRPr="001570EA" w:rsidRDefault="00EA5BBF">
            <w:pPr>
              <w:pStyle w:val="TableCell"/>
              <w:spacing w:before="60" w:after="60"/>
              <w:jc w:val="center"/>
              <w:rPr>
                <w:b/>
                <w:szCs w:val="18"/>
              </w:rPr>
            </w:pPr>
            <w:r w:rsidRPr="001570EA">
              <w:rPr>
                <w:b/>
                <w:szCs w:val="18"/>
              </w:rPr>
              <w:t>Climate Region</w:t>
            </w:r>
          </w:p>
        </w:tc>
        <w:tc>
          <w:tcPr>
            <w:tcW w:w="782" w:type="pct"/>
            <w:shd w:val="clear" w:color="auto" w:fill="BFBFBF"/>
            <w:vAlign w:val="center"/>
          </w:tcPr>
          <w:p w14:paraId="03C36132" w14:textId="77777777" w:rsidR="00EA5BBF" w:rsidRPr="001570EA" w:rsidRDefault="00EA5BBF">
            <w:pPr>
              <w:pStyle w:val="TableCell"/>
              <w:spacing w:before="60" w:after="60"/>
              <w:jc w:val="center"/>
              <w:rPr>
                <w:b/>
                <w:szCs w:val="18"/>
              </w:rPr>
            </w:pPr>
            <w:r w:rsidRPr="001570EA">
              <w:rPr>
                <w:b/>
                <w:szCs w:val="18"/>
              </w:rPr>
              <w:t>Reference City</w:t>
            </w:r>
          </w:p>
        </w:tc>
        <w:tc>
          <w:tcPr>
            <w:tcW w:w="1222" w:type="pct"/>
            <w:shd w:val="clear" w:color="auto" w:fill="BFBFBF"/>
            <w:vAlign w:val="center"/>
          </w:tcPr>
          <w:p w14:paraId="79745C34" w14:textId="77777777" w:rsidR="00EA5BBF" w:rsidRPr="001570EA" w:rsidRDefault="00EA5BBF">
            <w:pPr>
              <w:pStyle w:val="TableCell"/>
              <w:spacing w:before="60" w:after="60"/>
              <w:jc w:val="center"/>
              <w:rPr>
                <w:rFonts w:cs="Arial"/>
                <w:b/>
                <w:szCs w:val="18"/>
              </w:rPr>
            </w:pPr>
            <w:r w:rsidRPr="001570EA">
              <w:rPr>
                <w:rFonts w:cs="Arial"/>
                <w:b/>
                <w:szCs w:val="18"/>
              </w:rPr>
              <w:t>Caulked Penetrations (ΔkW/ pen.)</w:t>
            </w:r>
          </w:p>
        </w:tc>
        <w:tc>
          <w:tcPr>
            <w:tcW w:w="1222" w:type="pct"/>
            <w:shd w:val="clear" w:color="auto" w:fill="BFBFBF"/>
            <w:vAlign w:val="center"/>
          </w:tcPr>
          <w:p w14:paraId="00023B11" w14:textId="77777777" w:rsidR="00EA5BBF" w:rsidRPr="001570EA" w:rsidRDefault="00EA5BBF">
            <w:pPr>
              <w:pStyle w:val="TableCell"/>
              <w:spacing w:before="60" w:after="60"/>
              <w:jc w:val="center"/>
              <w:rPr>
                <w:b/>
                <w:szCs w:val="18"/>
              </w:rPr>
            </w:pPr>
            <w:r w:rsidRPr="001570EA">
              <w:rPr>
                <w:rFonts w:cs="Arial"/>
                <w:b/>
                <w:szCs w:val="18"/>
              </w:rPr>
              <w:t>Weather Stripping, Caulking and Sealing (ΔkW/10 lf)</w:t>
            </w:r>
          </w:p>
        </w:tc>
        <w:tc>
          <w:tcPr>
            <w:tcW w:w="1222" w:type="pct"/>
            <w:shd w:val="clear" w:color="auto" w:fill="BFBFBF"/>
            <w:vAlign w:val="center"/>
          </w:tcPr>
          <w:p w14:paraId="70A0BE89" w14:textId="77777777" w:rsidR="00EA5BBF" w:rsidRPr="001570EA" w:rsidRDefault="00EA5BBF">
            <w:pPr>
              <w:pStyle w:val="TableCell"/>
              <w:spacing w:before="60" w:after="60"/>
              <w:jc w:val="center"/>
              <w:rPr>
                <w:rFonts w:cs="Arial"/>
                <w:b/>
                <w:szCs w:val="18"/>
              </w:rPr>
            </w:pPr>
            <w:r w:rsidRPr="001570EA">
              <w:rPr>
                <w:rFonts w:cs="Arial"/>
                <w:b/>
                <w:szCs w:val="18"/>
              </w:rPr>
              <w:t>Outlet Gaskets</w:t>
            </w:r>
          </w:p>
          <w:p w14:paraId="61BA72EC" w14:textId="77777777" w:rsidR="00EA5BBF" w:rsidRPr="001570EA" w:rsidRDefault="00EA5BBF">
            <w:pPr>
              <w:pStyle w:val="TableCell"/>
              <w:spacing w:before="60" w:after="60"/>
              <w:jc w:val="center"/>
              <w:rPr>
                <w:b/>
                <w:szCs w:val="18"/>
              </w:rPr>
            </w:pPr>
            <w:r w:rsidRPr="001570EA">
              <w:rPr>
                <w:rFonts w:cs="Arial"/>
                <w:b/>
                <w:szCs w:val="18"/>
              </w:rPr>
              <w:t>(ΔkW/gasket)</w:t>
            </w:r>
          </w:p>
        </w:tc>
      </w:tr>
      <w:tr w:rsidR="00EA5BBF" w:rsidRPr="001570EA" w14:paraId="61866D52" w14:textId="77777777">
        <w:trPr>
          <w:trHeight w:val="317"/>
        </w:trPr>
        <w:tc>
          <w:tcPr>
            <w:tcW w:w="552" w:type="pct"/>
            <w:shd w:val="clear" w:color="auto" w:fill="BFBFBF" w:themeFill="background1" w:themeFillShade="BF"/>
          </w:tcPr>
          <w:p w14:paraId="16B12FCC" w14:textId="77777777" w:rsidR="00EA5BBF" w:rsidRPr="001570EA" w:rsidRDefault="00EA5BBF">
            <w:pPr>
              <w:pStyle w:val="TableCell"/>
              <w:spacing w:before="60" w:after="60"/>
              <w:jc w:val="center"/>
              <w:rPr>
                <w:rFonts w:cs="Arial"/>
                <w:b/>
                <w:szCs w:val="18"/>
              </w:rPr>
            </w:pPr>
            <w:r w:rsidRPr="001570EA">
              <w:rPr>
                <w:b/>
                <w:szCs w:val="18"/>
              </w:rPr>
              <w:t>C</w:t>
            </w:r>
          </w:p>
        </w:tc>
        <w:tc>
          <w:tcPr>
            <w:tcW w:w="782" w:type="pct"/>
            <w:vAlign w:val="center"/>
          </w:tcPr>
          <w:p w14:paraId="26835FEE" w14:textId="77777777" w:rsidR="00EA5BBF" w:rsidRPr="001570EA" w:rsidRDefault="00EA5BBF">
            <w:pPr>
              <w:pStyle w:val="TableCell"/>
              <w:spacing w:before="60" w:after="60"/>
              <w:rPr>
                <w:rFonts w:cs="Arial"/>
                <w:szCs w:val="18"/>
              </w:rPr>
            </w:pPr>
            <w:r w:rsidRPr="001570EA">
              <w:rPr>
                <w:rFonts w:cs="Arial"/>
                <w:szCs w:val="18"/>
              </w:rPr>
              <w:t>Allentown</w:t>
            </w:r>
          </w:p>
        </w:tc>
        <w:tc>
          <w:tcPr>
            <w:tcW w:w="1222" w:type="pct"/>
            <w:vAlign w:val="center"/>
          </w:tcPr>
          <w:p w14:paraId="1903F77E" w14:textId="77777777" w:rsidR="00EA5BBF" w:rsidRPr="001570EA" w:rsidRDefault="00EA5BBF">
            <w:pPr>
              <w:pStyle w:val="TableCell"/>
              <w:spacing w:before="60" w:after="60"/>
              <w:jc w:val="center"/>
              <w:rPr>
                <w:rFonts w:cs="Arial"/>
                <w:szCs w:val="18"/>
              </w:rPr>
            </w:pPr>
            <w:r w:rsidRPr="001570EA">
              <w:rPr>
                <w:rFonts w:cs="Arial"/>
                <w:color w:val="000000"/>
                <w:szCs w:val="18"/>
              </w:rPr>
              <w:t>0.0045676</w:t>
            </w:r>
          </w:p>
        </w:tc>
        <w:tc>
          <w:tcPr>
            <w:tcW w:w="1222" w:type="pct"/>
            <w:vAlign w:val="center"/>
          </w:tcPr>
          <w:p w14:paraId="483A61EF"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0.0027824</w:t>
            </w:r>
          </w:p>
        </w:tc>
        <w:tc>
          <w:tcPr>
            <w:tcW w:w="1222" w:type="pct"/>
            <w:vAlign w:val="center"/>
          </w:tcPr>
          <w:p w14:paraId="02CBDA68"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0.0027200</w:t>
            </w:r>
          </w:p>
        </w:tc>
      </w:tr>
      <w:tr w:rsidR="00EA5BBF" w:rsidRPr="001570EA" w14:paraId="23CBFBA7" w14:textId="77777777">
        <w:trPr>
          <w:trHeight w:val="317"/>
        </w:trPr>
        <w:tc>
          <w:tcPr>
            <w:tcW w:w="552" w:type="pct"/>
            <w:shd w:val="clear" w:color="auto" w:fill="BFBFBF" w:themeFill="background1" w:themeFillShade="BF"/>
          </w:tcPr>
          <w:p w14:paraId="7D1CBCB4" w14:textId="77777777" w:rsidR="00EA5BBF" w:rsidRPr="001570EA" w:rsidRDefault="00EA5BBF">
            <w:pPr>
              <w:pStyle w:val="TableCell"/>
              <w:spacing w:before="60" w:after="60"/>
              <w:jc w:val="center"/>
              <w:rPr>
                <w:rFonts w:cs="Arial"/>
                <w:b/>
                <w:szCs w:val="18"/>
              </w:rPr>
            </w:pPr>
            <w:r w:rsidRPr="001570EA">
              <w:rPr>
                <w:b/>
                <w:szCs w:val="18"/>
              </w:rPr>
              <w:t>A</w:t>
            </w:r>
          </w:p>
        </w:tc>
        <w:tc>
          <w:tcPr>
            <w:tcW w:w="782" w:type="pct"/>
            <w:vAlign w:val="center"/>
          </w:tcPr>
          <w:p w14:paraId="52803508" w14:textId="77777777" w:rsidR="00EA5BBF" w:rsidRPr="001570EA" w:rsidRDefault="00EA5BBF">
            <w:pPr>
              <w:pStyle w:val="TableCell"/>
              <w:spacing w:before="60" w:after="60"/>
              <w:rPr>
                <w:rFonts w:cs="Arial"/>
                <w:szCs w:val="18"/>
              </w:rPr>
            </w:pPr>
            <w:r w:rsidRPr="001570EA">
              <w:rPr>
                <w:rFonts w:cs="Arial"/>
                <w:szCs w:val="18"/>
              </w:rPr>
              <w:t>Binghamton, NY</w:t>
            </w:r>
          </w:p>
        </w:tc>
        <w:tc>
          <w:tcPr>
            <w:tcW w:w="1222" w:type="pct"/>
            <w:vAlign w:val="center"/>
          </w:tcPr>
          <w:p w14:paraId="1B7F66A0" w14:textId="77777777" w:rsidR="00EA5BBF" w:rsidRPr="001570EA" w:rsidRDefault="00EA5BBF">
            <w:pPr>
              <w:pStyle w:val="TableCell"/>
              <w:spacing w:before="60" w:after="60"/>
              <w:jc w:val="center"/>
              <w:rPr>
                <w:rFonts w:cs="Arial"/>
              </w:rPr>
            </w:pPr>
            <w:r w:rsidRPr="001570EA">
              <w:rPr>
                <w:rFonts w:cs="Arial"/>
                <w:color w:val="000000"/>
                <w:szCs w:val="18"/>
              </w:rPr>
              <w:t>0.0013095</w:t>
            </w:r>
          </w:p>
        </w:tc>
        <w:tc>
          <w:tcPr>
            <w:tcW w:w="1222" w:type="pct"/>
            <w:vAlign w:val="center"/>
          </w:tcPr>
          <w:p w14:paraId="0190BF20" w14:textId="77777777" w:rsidR="00EA5BBF" w:rsidRPr="001570EA" w:rsidRDefault="00EA5BBF">
            <w:pPr>
              <w:pStyle w:val="TableCell"/>
              <w:spacing w:before="60" w:after="60"/>
              <w:jc w:val="center"/>
              <w:rPr>
                <w:rFonts w:cs="Arial"/>
              </w:rPr>
            </w:pPr>
            <w:r w:rsidRPr="001570EA">
              <w:rPr>
                <w:rFonts w:cs="Arial"/>
                <w:color w:val="000000"/>
                <w:szCs w:val="18"/>
              </w:rPr>
              <w:t>0.0007977</w:t>
            </w:r>
          </w:p>
        </w:tc>
        <w:tc>
          <w:tcPr>
            <w:tcW w:w="1222" w:type="pct"/>
            <w:vAlign w:val="center"/>
          </w:tcPr>
          <w:p w14:paraId="2900EE8A" w14:textId="77777777" w:rsidR="00EA5BBF" w:rsidRPr="001570EA" w:rsidRDefault="00EA5BBF">
            <w:pPr>
              <w:pStyle w:val="TableCell"/>
              <w:spacing w:before="60" w:after="60"/>
              <w:jc w:val="center"/>
              <w:rPr>
                <w:rFonts w:cs="Arial"/>
              </w:rPr>
            </w:pPr>
            <w:r w:rsidRPr="001570EA">
              <w:rPr>
                <w:rFonts w:cs="Arial"/>
                <w:color w:val="000000"/>
                <w:szCs w:val="18"/>
              </w:rPr>
              <w:t>0.0007798</w:t>
            </w:r>
          </w:p>
        </w:tc>
      </w:tr>
      <w:tr w:rsidR="00EA5BBF" w:rsidRPr="001570EA" w14:paraId="079DD6D1" w14:textId="77777777">
        <w:trPr>
          <w:trHeight w:val="317"/>
        </w:trPr>
        <w:tc>
          <w:tcPr>
            <w:tcW w:w="552" w:type="pct"/>
            <w:shd w:val="clear" w:color="auto" w:fill="BFBFBF" w:themeFill="background1" w:themeFillShade="BF"/>
          </w:tcPr>
          <w:p w14:paraId="6381FAA3" w14:textId="77777777" w:rsidR="00EA5BBF" w:rsidRPr="001570EA" w:rsidRDefault="00EA5BBF">
            <w:pPr>
              <w:pStyle w:val="TableCell"/>
              <w:spacing w:before="60" w:after="60"/>
              <w:jc w:val="center"/>
              <w:rPr>
                <w:rFonts w:cs="Arial"/>
                <w:b/>
                <w:szCs w:val="18"/>
              </w:rPr>
            </w:pPr>
            <w:r w:rsidRPr="001570EA">
              <w:rPr>
                <w:b/>
                <w:szCs w:val="18"/>
              </w:rPr>
              <w:t>G</w:t>
            </w:r>
          </w:p>
        </w:tc>
        <w:tc>
          <w:tcPr>
            <w:tcW w:w="782" w:type="pct"/>
            <w:vAlign w:val="center"/>
          </w:tcPr>
          <w:p w14:paraId="0C7933EB" w14:textId="77777777" w:rsidR="00EA5BBF" w:rsidRPr="001570EA" w:rsidRDefault="00EA5BBF">
            <w:pPr>
              <w:pStyle w:val="TableCell"/>
              <w:spacing w:before="60" w:after="60"/>
              <w:rPr>
                <w:rFonts w:cs="Arial"/>
                <w:szCs w:val="18"/>
              </w:rPr>
            </w:pPr>
            <w:r w:rsidRPr="001570EA">
              <w:rPr>
                <w:rFonts w:cs="Arial"/>
                <w:szCs w:val="18"/>
              </w:rPr>
              <w:t>Bradford</w:t>
            </w:r>
          </w:p>
        </w:tc>
        <w:tc>
          <w:tcPr>
            <w:tcW w:w="1222" w:type="pct"/>
            <w:vAlign w:val="center"/>
          </w:tcPr>
          <w:p w14:paraId="20C9815C" w14:textId="77777777" w:rsidR="00EA5BBF" w:rsidRPr="001570EA" w:rsidRDefault="00EA5BBF">
            <w:pPr>
              <w:pStyle w:val="TableCell"/>
              <w:spacing w:before="60" w:after="60"/>
              <w:jc w:val="center"/>
              <w:rPr>
                <w:rFonts w:cs="Arial"/>
              </w:rPr>
            </w:pPr>
            <w:r w:rsidRPr="001570EA">
              <w:rPr>
                <w:rFonts w:cs="Arial"/>
                <w:color w:val="000000"/>
                <w:szCs w:val="18"/>
              </w:rPr>
              <w:t>0.0021984</w:t>
            </w:r>
          </w:p>
        </w:tc>
        <w:tc>
          <w:tcPr>
            <w:tcW w:w="1222" w:type="pct"/>
            <w:vAlign w:val="center"/>
          </w:tcPr>
          <w:p w14:paraId="6D7468BB" w14:textId="77777777" w:rsidR="00EA5BBF" w:rsidRPr="001570EA" w:rsidRDefault="00EA5BBF">
            <w:pPr>
              <w:pStyle w:val="TableCell"/>
              <w:spacing w:before="60" w:after="60"/>
              <w:jc w:val="center"/>
              <w:rPr>
                <w:rFonts w:cs="Arial"/>
              </w:rPr>
            </w:pPr>
            <w:r w:rsidRPr="001570EA">
              <w:rPr>
                <w:rFonts w:cs="Arial"/>
                <w:color w:val="000000"/>
                <w:szCs w:val="18"/>
              </w:rPr>
              <w:t>0.0013392</w:t>
            </w:r>
          </w:p>
        </w:tc>
        <w:tc>
          <w:tcPr>
            <w:tcW w:w="1222" w:type="pct"/>
            <w:vAlign w:val="center"/>
          </w:tcPr>
          <w:p w14:paraId="25E2C49F" w14:textId="77777777" w:rsidR="00EA5BBF" w:rsidRPr="001570EA" w:rsidRDefault="00EA5BBF">
            <w:pPr>
              <w:pStyle w:val="TableCell"/>
              <w:spacing w:before="60" w:after="60"/>
              <w:jc w:val="center"/>
              <w:rPr>
                <w:rFonts w:cs="Arial"/>
              </w:rPr>
            </w:pPr>
            <w:r w:rsidRPr="001570EA">
              <w:rPr>
                <w:rFonts w:cs="Arial"/>
                <w:color w:val="000000"/>
                <w:szCs w:val="18"/>
              </w:rPr>
              <w:t>0.0013092</w:t>
            </w:r>
          </w:p>
        </w:tc>
      </w:tr>
      <w:tr w:rsidR="00EA5BBF" w:rsidRPr="001570EA" w14:paraId="62E11A0A" w14:textId="77777777">
        <w:trPr>
          <w:trHeight w:val="317"/>
        </w:trPr>
        <w:tc>
          <w:tcPr>
            <w:tcW w:w="552" w:type="pct"/>
            <w:shd w:val="clear" w:color="auto" w:fill="BFBFBF" w:themeFill="background1" w:themeFillShade="BF"/>
          </w:tcPr>
          <w:p w14:paraId="4D46B53D" w14:textId="77777777" w:rsidR="00EA5BBF" w:rsidRPr="001570EA" w:rsidRDefault="00EA5BBF">
            <w:pPr>
              <w:pStyle w:val="TableCell"/>
              <w:spacing w:before="60" w:after="60"/>
              <w:jc w:val="center"/>
              <w:rPr>
                <w:rFonts w:cs="Arial"/>
                <w:b/>
                <w:szCs w:val="18"/>
              </w:rPr>
            </w:pPr>
            <w:r w:rsidRPr="001570EA">
              <w:rPr>
                <w:b/>
                <w:szCs w:val="18"/>
              </w:rPr>
              <w:t>I</w:t>
            </w:r>
          </w:p>
        </w:tc>
        <w:tc>
          <w:tcPr>
            <w:tcW w:w="782" w:type="pct"/>
            <w:vAlign w:val="center"/>
          </w:tcPr>
          <w:p w14:paraId="2CA3D089" w14:textId="77777777" w:rsidR="00EA5BBF" w:rsidRPr="001570EA" w:rsidRDefault="00EA5BBF">
            <w:pPr>
              <w:pStyle w:val="TableCell"/>
              <w:spacing w:before="60" w:after="60"/>
              <w:rPr>
                <w:rFonts w:cs="Arial"/>
                <w:szCs w:val="18"/>
              </w:rPr>
            </w:pPr>
            <w:r w:rsidRPr="001570EA">
              <w:rPr>
                <w:rFonts w:cs="Arial"/>
                <w:szCs w:val="18"/>
              </w:rPr>
              <w:t>Erie</w:t>
            </w:r>
          </w:p>
        </w:tc>
        <w:tc>
          <w:tcPr>
            <w:tcW w:w="1222" w:type="pct"/>
            <w:vAlign w:val="center"/>
          </w:tcPr>
          <w:p w14:paraId="2383D669" w14:textId="77777777" w:rsidR="00EA5BBF" w:rsidRPr="001570EA" w:rsidRDefault="00EA5BBF">
            <w:pPr>
              <w:pStyle w:val="TableCell"/>
              <w:spacing w:before="60" w:after="60"/>
              <w:jc w:val="center"/>
              <w:rPr>
                <w:rFonts w:cs="Arial"/>
                <w:szCs w:val="18"/>
              </w:rPr>
            </w:pPr>
            <w:r w:rsidRPr="001570EA">
              <w:rPr>
                <w:rFonts w:cs="Arial"/>
                <w:color w:val="000000"/>
                <w:szCs w:val="18"/>
              </w:rPr>
              <w:t>0.0050504</w:t>
            </w:r>
          </w:p>
        </w:tc>
        <w:tc>
          <w:tcPr>
            <w:tcW w:w="1222" w:type="pct"/>
            <w:vAlign w:val="center"/>
          </w:tcPr>
          <w:p w14:paraId="13C54E4B"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0.0030766</w:t>
            </w:r>
          </w:p>
        </w:tc>
        <w:tc>
          <w:tcPr>
            <w:tcW w:w="1222" w:type="pct"/>
            <w:vAlign w:val="center"/>
          </w:tcPr>
          <w:p w14:paraId="1359460D"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0.0030075</w:t>
            </w:r>
          </w:p>
        </w:tc>
      </w:tr>
      <w:tr w:rsidR="00EA5BBF" w:rsidRPr="001570EA" w14:paraId="5A554D7A" w14:textId="77777777">
        <w:trPr>
          <w:trHeight w:val="317"/>
        </w:trPr>
        <w:tc>
          <w:tcPr>
            <w:tcW w:w="552" w:type="pct"/>
            <w:shd w:val="clear" w:color="auto" w:fill="BFBFBF" w:themeFill="background1" w:themeFillShade="BF"/>
          </w:tcPr>
          <w:p w14:paraId="70B0F01C" w14:textId="77777777" w:rsidR="00EA5BBF" w:rsidRPr="001570EA" w:rsidRDefault="00EA5BBF">
            <w:pPr>
              <w:pStyle w:val="TableCell"/>
              <w:spacing w:before="60" w:after="60"/>
              <w:jc w:val="center"/>
              <w:rPr>
                <w:rFonts w:cs="Arial"/>
                <w:b/>
                <w:szCs w:val="18"/>
              </w:rPr>
            </w:pPr>
            <w:r w:rsidRPr="001570EA">
              <w:rPr>
                <w:b/>
                <w:szCs w:val="18"/>
              </w:rPr>
              <w:t>E</w:t>
            </w:r>
          </w:p>
        </w:tc>
        <w:tc>
          <w:tcPr>
            <w:tcW w:w="782" w:type="pct"/>
            <w:vAlign w:val="center"/>
          </w:tcPr>
          <w:p w14:paraId="4EF85363" w14:textId="77777777" w:rsidR="00EA5BBF" w:rsidRPr="001570EA" w:rsidRDefault="00EA5BBF">
            <w:pPr>
              <w:pStyle w:val="TableCell"/>
              <w:spacing w:before="60" w:after="60"/>
              <w:rPr>
                <w:rFonts w:cs="Arial"/>
                <w:szCs w:val="18"/>
              </w:rPr>
            </w:pPr>
            <w:r w:rsidRPr="001570EA">
              <w:rPr>
                <w:rFonts w:cs="Arial"/>
                <w:szCs w:val="18"/>
              </w:rPr>
              <w:t>Harrisburg</w:t>
            </w:r>
          </w:p>
        </w:tc>
        <w:tc>
          <w:tcPr>
            <w:tcW w:w="1222" w:type="pct"/>
            <w:vAlign w:val="center"/>
          </w:tcPr>
          <w:p w14:paraId="27A3E87D" w14:textId="77777777" w:rsidR="00EA5BBF" w:rsidRPr="001570EA" w:rsidRDefault="00EA5BBF">
            <w:pPr>
              <w:pStyle w:val="TableCell"/>
              <w:spacing w:before="60" w:after="60"/>
              <w:jc w:val="center"/>
              <w:rPr>
                <w:rFonts w:cs="Arial"/>
                <w:szCs w:val="18"/>
              </w:rPr>
            </w:pPr>
            <w:r w:rsidRPr="001570EA">
              <w:rPr>
                <w:rFonts w:cs="Arial"/>
                <w:color w:val="000000"/>
                <w:szCs w:val="18"/>
              </w:rPr>
              <w:t>0.0033649</w:t>
            </w:r>
          </w:p>
        </w:tc>
        <w:tc>
          <w:tcPr>
            <w:tcW w:w="1222" w:type="pct"/>
            <w:vAlign w:val="center"/>
          </w:tcPr>
          <w:p w14:paraId="561ACFFC"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0.0020498</w:t>
            </w:r>
          </w:p>
        </w:tc>
        <w:tc>
          <w:tcPr>
            <w:tcW w:w="1222" w:type="pct"/>
            <w:vAlign w:val="center"/>
          </w:tcPr>
          <w:p w14:paraId="5DA9E8D0"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0.0020038</w:t>
            </w:r>
          </w:p>
        </w:tc>
      </w:tr>
      <w:tr w:rsidR="00EA5BBF" w:rsidRPr="001570EA" w14:paraId="00E9715A" w14:textId="77777777">
        <w:trPr>
          <w:trHeight w:val="317"/>
        </w:trPr>
        <w:tc>
          <w:tcPr>
            <w:tcW w:w="552" w:type="pct"/>
            <w:shd w:val="clear" w:color="auto" w:fill="BFBFBF" w:themeFill="background1" w:themeFillShade="BF"/>
          </w:tcPr>
          <w:p w14:paraId="158A19F7" w14:textId="77777777" w:rsidR="00EA5BBF" w:rsidRPr="001570EA" w:rsidRDefault="00EA5BBF">
            <w:pPr>
              <w:pStyle w:val="TableCell"/>
              <w:spacing w:before="60" w:after="60"/>
              <w:jc w:val="center"/>
              <w:rPr>
                <w:rFonts w:cs="Arial"/>
                <w:b/>
                <w:szCs w:val="18"/>
              </w:rPr>
            </w:pPr>
            <w:r w:rsidRPr="001570EA">
              <w:rPr>
                <w:b/>
                <w:szCs w:val="18"/>
              </w:rPr>
              <w:t>D</w:t>
            </w:r>
          </w:p>
        </w:tc>
        <w:tc>
          <w:tcPr>
            <w:tcW w:w="782" w:type="pct"/>
            <w:vAlign w:val="center"/>
          </w:tcPr>
          <w:p w14:paraId="6E12C7A2" w14:textId="77777777" w:rsidR="00EA5BBF" w:rsidRPr="001570EA" w:rsidRDefault="00EA5BBF">
            <w:pPr>
              <w:pStyle w:val="TableCell"/>
              <w:spacing w:before="60" w:after="60"/>
              <w:rPr>
                <w:rFonts w:cs="Arial"/>
                <w:szCs w:val="18"/>
              </w:rPr>
            </w:pPr>
            <w:r w:rsidRPr="001570EA">
              <w:rPr>
                <w:rFonts w:cs="Arial"/>
                <w:szCs w:val="18"/>
              </w:rPr>
              <w:t>Philadelphia</w:t>
            </w:r>
          </w:p>
        </w:tc>
        <w:tc>
          <w:tcPr>
            <w:tcW w:w="1222" w:type="pct"/>
            <w:vAlign w:val="center"/>
          </w:tcPr>
          <w:p w14:paraId="618186D0" w14:textId="77777777" w:rsidR="00EA5BBF" w:rsidRPr="001570EA" w:rsidRDefault="00EA5BBF">
            <w:pPr>
              <w:pStyle w:val="TableCell"/>
              <w:spacing w:before="60" w:after="60"/>
              <w:jc w:val="center"/>
              <w:rPr>
                <w:rFonts w:cs="Arial"/>
                <w:szCs w:val="18"/>
              </w:rPr>
            </w:pPr>
            <w:r w:rsidRPr="001570EA">
              <w:rPr>
                <w:rFonts w:cs="Arial"/>
                <w:color w:val="000000"/>
                <w:szCs w:val="18"/>
              </w:rPr>
              <w:t>0.0054718</w:t>
            </w:r>
          </w:p>
        </w:tc>
        <w:tc>
          <w:tcPr>
            <w:tcW w:w="1222" w:type="pct"/>
            <w:vAlign w:val="center"/>
          </w:tcPr>
          <w:p w14:paraId="411DC83B"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0.0033333</w:t>
            </w:r>
          </w:p>
        </w:tc>
        <w:tc>
          <w:tcPr>
            <w:tcW w:w="1222" w:type="pct"/>
            <w:vAlign w:val="center"/>
          </w:tcPr>
          <w:p w14:paraId="2E976423"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0.0032585</w:t>
            </w:r>
          </w:p>
        </w:tc>
      </w:tr>
      <w:tr w:rsidR="00EA5BBF" w:rsidRPr="001570EA" w14:paraId="40E6EE2D" w14:textId="77777777">
        <w:trPr>
          <w:trHeight w:val="317"/>
        </w:trPr>
        <w:tc>
          <w:tcPr>
            <w:tcW w:w="552" w:type="pct"/>
            <w:shd w:val="clear" w:color="auto" w:fill="BFBFBF" w:themeFill="background1" w:themeFillShade="BF"/>
          </w:tcPr>
          <w:p w14:paraId="16AE4CFC" w14:textId="77777777" w:rsidR="00EA5BBF" w:rsidRPr="001570EA" w:rsidRDefault="00EA5BBF">
            <w:pPr>
              <w:pStyle w:val="TableCell"/>
              <w:spacing w:before="60" w:after="60"/>
              <w:jc w:val="center"/>
              <w:rPr>
                <w:rFonts w:cs="Arial"/>
                <w:b/>
                <w:szCs w:val="18"/>
              </w:rPr>
            </w:pPr>
            <w:r w:rsidRPr="001570EA">
              <w:rPr>
                <w:b/>
                <w:szCs w:val="18"/>
              </w:rPr>
              <w:t>H</w:t>
            </w:r>
          </w:p>
        </w:tc>
        <w:tc>
          <w:tcPr>
            <w:tcW w:w="782" w:type="pct"/>
            <w:vAlign w:val="center"/>
          </w:tcPr>
          <w:p w14:paraId="37CC175F" w14:textId="77777777" w:rsidR="00EA5BBF" w:rsidRPr="001570EA" w:rsidRDefault="00EA5BBF">
            <w:pPr>
              <w:pStyle w:val="TableCell"/>
              <w:spacing w:before="60" w:after="60"/>
              <w:rPr>
                <w:rFonts w:cs="Arial"/>
                <w:szCs w:val="18"/>
              </w:rPr>
            </w:pPr>
            <w:r w:rsidRPr="001570EA">
              <w:rPr>
                <w:rFonts w:cs="Arial"/>
                <w:szCs w:val="18"/>
              </w:rPr>
              <w:t>Pittsburgh</w:t>
            </w:r>
          </w:p>
        </w:tc>
        <w:tc>
          <w:tcPr>
            <w:tcW w:w="1222" w:type="pct"/>
            <w:vAlign w:val="center"/>
          </w:tcPr>
          <w:p w14:paraId="2BA962DB" w14:textId="77777777" w:rsidR="00EA5BBF" w:rsidRPr="001570EA" w:rsidRDefault="00EA5BBF">
            <w:pPr>
              <w:pStyle w:val="TableCell"/>
              <w:spacing w:before="60" w:after="60"/>
              <w:jc w:val="center"/>
              <w:rPr>
                <w:rFonts w:cs="Arial"/>
                <w:szCs w:val="18"/>
              </w:rPr>
            </w:pPr>
            <w:r w:rsidRPr="001570EA">
              <w:rPr>
                <w:rFonts w:cs="Arial"/>
                <w:color w:val="000000"/>
                <w:szCs w:val="18"/>
              </w:rPr>
              <w:t>0.0030373</w:t>
            </w:r>
          </w:p>
        </w:tc>
        <w:tc>
          <w:tcPr>
            <w:tcW w:w="1222" w:type="pct"/>
            <w:vAlign w:val="center"/>
          </w:tcPr>
          <w:p w14:paraId="1C42245B"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0.0018502</w:t>
            </w:r>
          </w:p>
        </w:tc>
        <w:tc>
          <w:tcPr>
            <w:tcW w:w="1222" w:type="pct"/>
            <w:vAlign w:val="center"/>
          </w:tcPr>
          <w:p w14:paraId="307984C3"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0.0018087</w:t>
            </w:r>
          </w:p>
        </w:tc>
      </w:tr>
      <w:tr w:rsidR="00EA5BBF" w:rsidRPr="001570EA" w14:paraId="274D3D23" w14:textId="77777777">
        <w:trPr>
          <w:trHeight w:val="317"/>
        </w:trPr>
        <w:tc>
          <w:tcPr>
            <w:tcW w:w="552" w:type="pct"/>
            <w:shd w:val="clear" w:color="auto" w:fill="BFBFBF" w:themeFill="background1" w:themeFillShade="BF"/>
          </w:tcPr>
          <w:p w14:paraId="764C1D2B" w14:textId="77777777" w:rsidR="00EA5BBF" w:rsidRPr="001570EA" w:rsidRDefault="00EA5BBF">
            <w:pPr>
              <w:pStyle w:val="TableCell"/>
              <w:spacing w:before="60" w:after="60"/>
              <w:jc w:val="center"/>
              <w:rPr>
                <w:rFonts w:cs="Arial"/>
                <w:b/>
                <w:szCs w:val="18"/>
              </w:rPr>
            </w:pPr>
            <w:r w:rsidRPr="001570EA">
              <w:rPr>
                <w:b/>
                <w:szCs w:val="18"/>
              </w:rPr>
              <w:t>B</w:t>
            </w:r>
          </w:p>
        </w:tc>
        <w:tc>
          <w:tcPr>
            <w:tcW w:w="782" w:type="pct"/>
            <w:vAlign w:val="center"/>
          </w:tcPr>
          <w:p w14:paraId="6107FF3E" w14:textId="77777777" w:rsidR="00EA5BBF" w:rsidRPr="001570EA" w:rsidRDefault="00EA5BBF">
            <w:pPr>
              <w:pStyle w:val="TableCell"/>
              <w:spacing w:before="60" w:after="60"/>
              <w:rPr>
                <w:rFonts w:cs="Arial"/>
                <w:szCs w:val="18"/>
              </w:rPr>
            </w:pPr>
            <w:r w:rsidRPr="001570EA">
              <w:rPr>
                <w:rFonts w:cs="Arial"/>
                <w:szCs w:val="18"/>
              </w:rPr>
              <w:t>Scranton</w:t>
            </w:r>
          </w:p>
        </w:tc>
        <w:tc>
          <w:tcPr>
            <w:tcW w:w="1222" w:type="pct"/>
            <w:vAlign w:val="center"/>
          </w:tcPr>
          <w:p w14:paraId="0AD7DAD9" w14:textId="77777777" w:rsidR="00EA5BBF" w:rsidRPr="001570EA" w:rsidRDefault="00EA5BBF">
            <w:pPr>
              <w:pStyle w:val="TableCell"/>
              <w:spacing w:before="60" w:after="60"/>
              <w:jc w:val="center"/>
              <w:rPr>
                <w:rFonts w:cs="Arial"/>
                <w:szCs w:val="18"/>
              </w:rPr>
            </w:pPr>
            <w:r w:rsidRPr="001570EA">
              <w:rPr>
                <w:rFonts w:cs="Arial"/>
                <w:color w:val="000000"/>
                <w:szCs w:val="18"/>
              </w:rPr>
              <w:t>0.0038110</w:t>
            </w:r>
          </w:p>
        </w:tc>
        <w:tc>
          <w:tcPr>
            <w:tcW w:w="1222" w:type="pct"/>
            <w:vAlign w:val="center"/>
          </w:tcPr>
          <w:p w14:paraId="15F36AD6"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0.0023215</w:t>
            </w:r>
          </w:p>
        </w:tc>
        <w:tc>
          <w:tcPr>
            <w:tcW w:w="1222" w:type="pct"/>
            <w:vAlign w:val="center"/>
          </w:tcPr>
          <w:p w14:paraId="36564977"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0.0022694</w:t>
            </w:r>
          </w:p>
        </w:tc>
      </w:tr>
      <w:tr w:rsidR="00EA5BBF" w:rsidRPr="001570EA" w14:paraId="4ED490B1" w14:textId="77777777">
        <w:trPr>
          <w:trHeight w:val="317"/>
        </w:trPr>
        <w:tc>
          <w:tcPr>
            <w:tcW w:w="552" w:type="pct"/>
            <w:shd w:val="clear" w:color="auto" w:fill="BFBFBF" w:themeFill="background1" w:themeFillShade="BF"/>
          </w:tcPr>
          <w:p w14:paraId="592F3890" w14:textId="77777777" w:rsidR="00EA5BBF" w:rsidRPr="001570EA" w:rsidRDefault="00EA5BBF">
            <w:pPr>
              <w:pStyle w:val="TableCell"/>
              <w:spacing w:before="60" w:after="60"/>
              <w:jc w:val="center"/>
              <w:rPr>
                <w:rFonts w:cs="Arial"/>
                <w:b/>
                <w:szCs w:val="18"/>
              </w:rPr>
            </w:pPr>
            <w:r w:rsidRPr="001570EA">
              <w:rPr>
                <w:b/>
                <w:szCs w:val="18"/>
              </w:rPr>
              <w:t>F</w:t>
            </w:r>
          </w:p>
        </w:tc>
        <w:tc>
          <w:tcPr>
            <w:tcW w:w="782" w:type="pct"/>
            <w:vAlign w:val="center"/>
          </w:tcPr>
          <w:p w14:paraId="0399C5C8" w14:textId="77777777" w:rsidR="00EA5BBF" w:rsidRPr="001570EA" w:rsidRDefault="00EA5BBF">
            <w:pPr>
              <w:pStyle w:val="TableCell"/>
              <w:spacing w:before="60" w:after="60"/>
              <w:rPr>
                <w:rFonts w:cs="Arial"/>
                <w:szCs w:val="18"/>
              </w:rPr>
            </w:pPr>
            <w:r w:rsidRPr="001570EA">
              <w:rPr>
                <w:rFonts w:cs="Arial"/>
                <w:szCs w:val="18"/>
              </w:rPr>
              <w:t>Williamsport</w:t>
            </w:r>
          </w:p>
        </w:tc>
        <w:tc>
          <w:tcPr>
            <w:tcW w:w="1222" w:type="pct"/>
            <w:vAlign w:val="center"/>
          </w:tcPr>
          <w:p w14:paraId="3D45387D" w14:textId="77777777" w:rsidR="00EA5BBF" w:rsidRPr="001570EA" w:rsidRDefault="00EA5BBF">
            <w:pPr>
              <w:pStyle w:val="TableCell"/>
              <w:spacing w:before="60" w:after="60"/>
              <w:jc w:val="center"/>
              <w:rPr>
                <w:rFonts w:cs="Arial"/>
                <w:szCs w:val="18"/>
              </w:rPr>
            </w:pPr>
            <w:r w:rsidRPr="001570EA">
              <w:rPr>
                <w:rFonts w:cs="Arial"/>
                <w:color w:val="000000"/>
                <w:szCs w:val="18"/>
              </w:rPr>
              <w:t>0.0039848</w:t>
            </w:r>
          </w:p>
        </w:tc>
        <w:tc>
          <w:tcPr>
            <w:tcW w:w="1222" w:type="pct"/>
            <w:vAlign w:val="center"/>
          </w:tcPr>
          <w:p w14:paraId="2394DB0B"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0.0024275</w:t>
            </w:r>
          </w:p>
        </w:tc>
        <w:tc>
          <w:tcPr>
            <w:tcW w:w="1222" w:type="pct"/>
            <w:vAlign w:val="center"/>
          </w:tcPr>
          <w:p w14:paraId="20A4015A"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0.0023730</w:t>
            </w:r>
          </w:p>
        </w:tc>
      </w:tr>
    </w:tbl>
    <w:p w14:paraId="4BBFBC94" w14:textId="77777777" w:rsidR="00EA5BBF" w:rsidRPr="001570EA" w:rsidRDefault="00EA5BBF" w:rsidP="00EA5BBF"/>
    <w:p w14:paraId="15B25149" w14:textId="090F51EF" w:rsidR="00EA5BBF" w:rsidRPr="001570EA" w:rsidRDefault="00EA5BBF" w:rsidP="00EA5BBF">
      <w:pPr>
        <w:pStyle w:val="Caption"/>
      </w:pPr>
      <w:bookmarkStart w:id="1166" w:name="_Ref159505351"/>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140</w:t>
      </w:r>
      <w:r w:rsidR="002E093A" w:rsidRPr="001570EA">
        <w:fldChar w:fldCharType="end"/>
      </w:r>
      <w:bookmarkEnd w:id="1166"/>
      <w:r w:rsidRPr="001570EA">
        <w:t>: Default Winter Peak Demand Savings – Direct Installation</w:t>
      </w:r>
    </w:p>
    <w:tbl>
      <w:tblPr>
        <w:tblW w:w="45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1539"/>
        <w:gridCol w:w="1606"/>
        <w:gridCol w:w="1918"/>
        <w:gridCol w:w="1918"/>
      </w:tblGrid>
      <w:tr w:rsidR="00EA5BBF" w:rsidRPr="001570EA" w14:paraId="40399C3E" w14:textId="77777777">
        <w:trPr>
          <w:trHeight w:val="317"/>
        </w:trPr>
        <w:tc>
          <w:tcPr>
            <w:tcW w:w="552" w:type="pct"/>
            <w:shd w:val="clear" w:color="auto" w:fill="BFBFBF"/>
            <w:vAlign w:val="center"/>
          </w:tcPr>
          <w:p w14:paraId="74E516FD" w14:textId="77777777" w:rsidR="00EA5BBF" w:rsidRPr="001570EA" w:rsidRDefault="00EA5BBF">
            <w:pPr>
              <w:pStyle w:val="TableCell"/>
              <w:spacing w:before="60" w:after="60"/>
              <w:jc w:val="center"/>
              <w:rPr>
                <w:b/>
                <w:szCs w:val="18"/>
              </w:rPr>
            </w:pPr>
            <w:r w:rsidRPr="001570EA">
              <w:rPr>
                <w:b/>
                <w:szCs w:val="18"/>
              </w:rPr>
              <w:t>Climate Region</w:t>
            </w:r>
          </w:p>
        </w:tc>
        <w:tc>
          <w:tcPr>
            <w:tcW w:w="981" w:type="pct"/>
            <w:shd w:val="clear" w:color="auto" w:fill="BFBFBF"/>
            <w:vAlign w:val="center"/>
          </w:tcPr>
          <w:p w14:paraId="13AFCDF7" w14:textId="77777777" w:rsidR="00EA5BBF" w:rsidRPr="001570EA" w:rsidRDefault="00EA5BBF">
            <w:pPr>
              <w:pStyle w:val="TableCell"/>
              <w:spacing w:before="60" w:after="60"/>
              <w:jc w:val="center"/>
              <w:rPr>
                <w:b/>
                <w:szCs w:val="18"/>
              </w:rPr>
            </w:pPr>
            <w:r w:rsidRPr="001570EA">
              <w:rPr>
                <w:b/>
                <w:szCs w:val="18"/>
              </w:rPr>
              <w:t>Reference City</w:t>
            </w:r>
          </w:p>
        </w:tc>
        <w:tc>
          <w:tcPr>
            <w:tcW w:w="1023" w:type="pct"/>
            <w:shd w:val="clear" w:color="auto" w:fill="BFBFBF"/>
            <w:vAlign w:val="center"/>
          </w:tcPr>
          <w:p w14:paraId="5A7D3F7E" w14:textId="77777777" w:rsidR="00EA5BBF" w:rsidRPr="001570EA" w:rsidRDefault="00EA5BBF">
            <w:pPr>
              <w:pStyle w:val="TableCell"/>
              <w:spacing w:before="60" w:after="60"/>
              <w:jc w:val="center"/>
              <w:rPr>
                <w:rFonts w:cs="Arial"/>
                <w:b/>
                <w:szCs w:val="18"/>
              </w:rPr>
            </w:pPr>
            <w:r w:rsidRPr="001570EA">
              <w:rPr>
                <w:rFonts w:cs="Arial"/>
                <w:b/>
                <w:szCs w:val="18"/>
              </w:rPr>
              <w:t>Caulked Penetrations (ΔkW/ pen.)</w:t>
            </w:r>
          </w:p>
        </w:tc>
        <w:tc>
          <w:tcPr>
            <w:tcW w:w="1222" w:type="pct"/>
            <w:shd w:val="clear" w:color="auto" w:fill="BFBFBF"/>
            <w:vAlign w:val="center"/>
          </w:tcPr>
          <w:p w14:paraId="11F9988C" w14:textId="77777777" w:rsidR="00EA5BBF" w:rsidRPr="001570EA" w:rsidRDefault="00EA5BBF">
            <w:pPr>
              <w:pStyle w:val="TableCell"/>
              <w:spacing w:before="60" w:after="60"/>
              <w:jc w:val="center"/>
              <w:rPr>
                <w:b/>
                <w:szCs w:val="18"/>
              </w:rPr>
            </w:pPr>
            <w:r w:rsidRPr="001570EA">
              <w:rPr>
                <w:rFonts w:cs="Arial"/>
                <w:b/>
                <w:szCs w:val="18"/>
              </w:rPr>
              <w:t>Weather Stripping, Caulking and Sealing (ΔkW/10 lf)</w:t>
            </w:r>
          </w:p>
        </w:tc>
        <w:tc>
          <w:tcPr>
            <w:tcW w:w="1222" w:type="pct"/>
            <w:shd w:val="clear" w:color="auto" w:fill="BFBFBF"/>
            <w:vAlign w:val="center"/>
          </w:tcPr>
          <w:p w14:paraId="2F5DE92F" w14:textId="77777777" w:rsidR="00EA5BBF" w:rsidRPr="001570EA" w:rsidRDefault="00EA5BBF">
            <w:pPr>
              <w:pStyle w:val="TableCell"/>
              <w:spacing w:before="60" w:after="60"/>
              <w:jc w:val="center"/>
              <w:rPr>
                <w:rFonts w:cs="Arial"/>
                <w:b/>
                <w:szCs w:val="18"/>
              </w:rPr>
            </w:pPr>
            <w:r w:rsidRPr="001570EA">
              <w:rPr>
                <w:rFonts w:cs="Arial"/>
                <w:b/>
                <w:szCs w:val="18"/>
              </w:rPr>
              <w:t>Outlet Gaskets</w:t>
            </w:r>
          </w:p>
          <w:p w14:paraId="40C77E00" w14:textId="77777777" w:rsidR="00EA5BBF" w:rsidRPr="001570EA" w:rsidRDefault="00EA5BBF">
            <w:pPr>
              <w:pStyle w:val="TableCell"/>
              <w:spacing w:before="60" w:after="60"/>
              <w:jc w:val="center"/>
              <w:rPr>
                <w:b/>
                <w:szCs w:val="18"/>
              </w:rPr>
            </w:pPr>
            <w:r w:rsidRPr="001570EA">
              <w:rPr>
                <w:rFonts w:cs="Arial"/>
                <w:b/>
                <w:szCs w:val="18"/>
              </w:rPr>
              <w:t>(ΔkW/gasket)</w:t>
            </w:r>
          </w:p>
        </w:tc>
      </w:tr>
      <w:tr w:rsidR="00EA5BBF" w:rsidRPr="001570EA" w14:paraId="116D9D09" w14:textId="77777777">
        <w:trPr>
          <w:trHeight w:val="317"/>
        </w:trPr>
        <w:tc>
          <w:tcPr>
            <w:tcW w:w="552" w:type="pct"/>
            <w:shd w:val="clear" w:color="auto" w:fill="BFBFBF" w:themeFill="background1" w:themeFillShade="BF"/>
          </w:tcPr>
          <w:p w14:paraId="7D2BD2FB" w14:textId="77777777" w:rsidR="00EA5BBF" w:rsidRPr="001570EA" w:rsidRDefault="00EA5BBF">
            <w:pPr>
              <w:pStyle w:val="TableCell"/>
              <w:spacing w:before="60" w:after="60"/>
              <w:jc w:val="center"/>
              <w:rPr>
                <w:rFonts w:cs="Arial"/>
                <w:b/>
                <w:szCs w:val="18"/>
              </w:rPr>
            </w:pPr>
            <w:r w:rsidRPr="001570EA">
              <w:rPr>
                <w:b/>
                <w:szCs w:val="18"/>
              </w:rPr>
              <w:t>C</w:t>
            </w:r>
          </w:p>
        </w:tc>
        <w:tc>
          <w:tcPr>
            <w:tcW w:w="981" w:type="pct"/>
            <w:vAlign w:val="center"/>
          </w:tcPr>
          <w:p w14:paraId="1549ECEF" w14:textId="77777777" w:rsidR="00EA5BBF" w:rsidRPr="001570EA" w:rsidRDefault="00EA5BBF">
            <w:pPr>
              <w:pStyle w:val="TableCell"/>
              <w:spacing w:before="60" w:after="60"/>
              <w:rPr>
                <w:rFonts w:cs="Arial"/>
                <w:szCs w:val="18"/>
              </w:rPr>
            </w:pPr>
            <w:r w:rsidRPr="001570EA">
              <w:rPr>
                <w:rFonts w:cs="Arial"/>
                <w:szCs w:val="18"/>
              </w:rPr>
              <w:t>Allentown</w:t>
            </w:r>
          </w:p>
        </w:tc>
        <w:tc>
          <w:tcPr>
            <w:tcW w:w="1023" w:type="pct"/>
            <w:vAlign w:val="center"/>
          </w:tcPr>
          <w:p w14:paraId="50134924" w14:textId="77777777" w:rsidR="00EA5BBF" w:rsidRPr="001570EA" w:rsidRDefault="00EA5BBF">
            <w:pPr>
              <w:pStyle w:val="TableCell"/>
              <w:spacing w:before="60" w:after="60"/>
              <w:jc w:val="center"/>
              <w:rPr>
                <w:rFonts w:cs="Arial"/>
                <w:szCs w:val="18"/>
              </w:rPr>
            </w:pPr>
            <w:r w:rsidRPr="001570EA">
              <w:rPr>
                <w:rFonts w:cs="Arial"/>
                <w:color w:val="000000"/>
                <w:szCs w:val="18"/>
              </w:rPr>
              <w:t>0.0038075</w:t>
            </w:r>
          </w:p>
        </w:tc>
        <w:tc>
          <w:tcPr>
            <w:tcW w:w="1222" w:type="pct"/>
            <w:vAlign w:val="center"/>
          </w:tcPr>
          <w:p w14:paraId="0EE9CC63"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0.0023194</w:t>
            </w:r>
          </w:p>
        </w:tc>
        <w:tc>
          <w:tcPr>
            <w:tcW w:w="1222" w:type="pct"/>
            <w:vAlign w:val="center"/>
          </w:tcPr>
          <w:p w14:paraId="3A52B16E"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0.0022674</w:t>
            </w:r>
          </w:p>
        </w:tc>
      </w:tr>
      <w:tr w:rsidR="00EA5BBF" w:rsidRPr="001570EA" w14:paraId="5F11B272" w14:textId="77777777">
        <w:trPr>
          <w:trHeight w:val="317"/>
        </w:trPr>
        <w:tc>
          <w:tcPr>
            <w:tcW w:w="552" w:type="pct"/>
            <w:shd w:val="clear" w:color="auto" w:fill="BFBFBF" w:themeFill="background1" w:themeFillShade="BF"/>
          </w:tcPr>
          <w:p w14:paraId="352E0E1B" w14:textId="77777777" w:rsidR="00EA5BBF" w:rsidRPr="001570EA" w:rsidRDefault="00EA5BBF">
            <w:pPr>
              <w:pStyle w:val="TableCell"/>
              <w:spacing w:before="60" w:after="60"/>
              <w:jc w:val="center"/>
              <w:rPr>
                <w:rFonts w:cs="Arial"/>
                <w:b/>
                <w:szCs w:val="18"/>
              </w:rPr>
            </w:pPr>
            <w:r w:rsidRPr="001570EA">
              <w:rPr>
                <w:b/>
                <w:szCs w:val="18"/>
              </w:rPr>
              <w:t>A</w:t>
            </w:r>
          </w:p>
        </w:tc>
        <w:tc>
          <w:tcPr>
            <w:tcW w:w="981" w:type="pct"/>
            <w:vAlign w:val="center"/>
          </w:tcPr>
          <w:p w14:paraId="42DFDF40" w14:textId="77777777" w:rsidR="00EA5BBF" w:rsidRPr="001570EA" w:rsidRDefault="00EA5BBF">
            <w:pPr>
              <w:pStyle w:val="TableCell"/>
              <w:spacing w:before="60" w:after="60"/>
              <w:rPr>
                <w:rFonts w:cs="Arial"/>
                <w:szCs w:val="18"/>
              </w:rPr>
            </w:pPr>
            <w:r w:rsidRPr="001570EA">
              <w:rPr>
                <w:rFonts w:cs="Arial"/>
                <w:szCs w:val="18"/>
              </w:rPr>
              <w:t>Binghamton, NY</w:t>
            </w:r>
          </w:p>
        </w:tc>
        <w:tc>
          <w:tcPr>
            <w:tcW w:w="1023" w:type="pct"/>
            <w:vAlign w:val="center"/>
          </w:tcPr>
          <w:p w14:paraId="218471FE" w14:textId="77777777" w:rsidR="00EA5BBF" w:rsidRPr="001570EA" w:rsidRDefault="00EA5BBF">
            <w:pPr>
              <w:pStyle w:val="TableCell"/>
              <w:spacing w:before="60" w:after="60"/>
              <w:jc w:val="center"/>
              <w:rPr>
                <w:rFonts w:cs="Arial"/>
              </w:rPr>
            </w:pPr>
            <w:r w:rsidRPr="001570EA">
              <w:rPr>
                <w:rFonts w:cs="Arial"/>
                <w:color w:val="000000"/>
                <w:szCs w:val="18"/>
              </w:rPr>
              <w:t>0.0052021</w:t>
            </w:r>
          </w:p>
        </w:tc>
        <w:tc>
          <w:tcPr>
            <w:tcW w:w="1222" w:type="pct"/>
            <w:vAlign w:val="center"/>
          </w:tcPr>
          <w:p w14:paraId="7115EBA5" w14:textId="77777777" w:rsidR="00EA5BBF" w:rsidRPr="001570EA" w:rsidRDefault="00EA5BBF">
            <w:pPr>
              <w:pStyle w:val="TableCell"/>
              <w:spacing w:before="60" w:after="60"/>
              <w:jc w:val="center"/>
              <w:rPr>
                <w:rFonts w:cs="Arial"/>
              </w:rPr>
            </w:pPr>
            <w:r w:rsidRPr="001570EA">
              <w:rPr>
                <w:rFonts w:cs="Arial"/>
                <w:color w:val="000000"/>
                <w:szCs w:val="18"/>
              </w:rPr>
              <w:t>0.0031690</w:t>
            </w:r>
          </w:p>
        </w:tc>
        <w:tc>
          <w:tcPr>
            <w:tcW w:w="1222" w:type="pct"/>
            <w:vAlign w:val="center"/>
          </w:tcPr>
          <w:p w14:paraId="70FE18FE" w14:textId="77777777" w:rsidR="00EA5BBF" w:rsidRPr="001570EA" w:rsidRDefault="00EA5BBF">
            <w:pPr>
              <w:pStyle w:val="TableCell"/>
              <w:spacing w:before="60" w:after="60"/>
              <w:jc w:val="center"/>
              <w:rPr>
                <w:rFonts w:cs="Arial"/>
              </w:rPr>
            </w:pPr>
            <w:r w:rsidRPr="001570EA">
              <w:rPr>
                <w:rFonts w:cs="Arial"/>
                <w:color w:val="000000"/>
                <w:szCs w:val="18"/>
              </w:rPr>
              <w:t>0.0030979</w:t>
            </w:r>
          </w:p>
        </w:tc>
      </w:tr>
      <w:tr w:rsidR="00EA5BBF" w:rsidRPr="001570EA" w14:paraId="23ACBB8C" w14:textId="77777777">
        <w:trPr>
          <w:trHeight w:val="317"/>
        </w:trPr>
        <w:tc>
          <w:tcPr>
            <w:tcW w:w="552" w:type="pct"/>
            <w:shd w:val="clear" w:color="auto" w:fill="BFBFBF" w:themeFill="background1" w:themeFillShade="BF"/>
          </w:tcPr>
          <w:p w14:paraId="44F7A817" w14:textId="77777777" w:rsidR="00EA5BBF" w:rsidRPr="001570EA" w:rsidRDefault="00EA5BBF">
            <w:pPr>
              <w:pStyle w:val="TableCell"/>
              <w:spacing w:before="60" w:after="60"/>
              <w:jc w:val="center"/>
              <w:rPr>
                <w:rFonts w:cs="Arial"/>
                <w:b/>
                <w:szCs w:val="18"/>
              </w:rPr>
            </w:pPr>
            <w:r w:rsidRPr="001570EA">
              <w:rPr>
                <w:b/>
                <w:szCs w:val="18"/>
              </w:rPr>
              <w:t>G</w:t>
            </w:r>
          </w:p>
        </w:tc>
        <w:tc>
          <w:tcPr>
            <w:tcW w:w="981" w:type="pct"/>
            <w:vAlign w:val="center"/>
          </w:tcPr>
          <w:p w14:paraId="6BF84AAD" w14:textId="77777777" w:rsidR="00EA5BBF" w:rsidRPr="001570EA" w:rsidRDefault="00EA5BBF">
            <w:pPr>
              <w:pStyle w:val="TableCell"/>
              <w:spacing w:before="60" w:after="60"/>
              <w:rPr>
                <w:rFonts w:cs="Arial"/>
                <w:szCs w:val="18"/>
              </w:rPr>
            </w:pPr>
            <w:r w:rsidRPr="001570EA">
              <w:rPr>
                <w:rFonts w:cs="Arial"/>
                <w:szCs w:val="18"/>
              </w:rPr>
              <w:t>Bradford</w:t>
            </w:r>
          </w:p>
        </w:tc>
        <w:tc>
          <w:tcPr>
            <w:tcW w:w="1023" w:type="pct"/>
            <w:vAlign w:val="center"/>
          </w:tcPr>
          <w:p w14:paraId="2F55C443" w14:textId="77777777" w:rsidR="00EA5BBF" w:rsidRPr="001570EA" w:rsidRDefault="00EA5BBF">
            <w:pPr>
              <w:pStyle w:val="TableCell"/>
              <w:spacing w:before="60" w:after="60"/>
              <w:jc w:val="center"/>
              <w:rPr>
                <w:rFonts w:cs="Arial"/>
              </w:rPr>
            </w:pPr>
            <w:r w:rsidRPr="001570EA">
              <w:rPr>
                <w:rFonts w:cs="Arial"/>
                <w:color w:val="000000"/>
                <w:szCs w:val="18"/>
              </w:rPr>
              <w:t>0.0053268</w:t>
            </w:r>
          </w:p>
        </w:tc>
        <w:tc>
          <w:tcPr>
            <w:tcW w:w="1222" w:type="pct"/>
            <w:vAlign w:val="center"/>
          </w:tcPr>
          <w:p w14:paraId="08570A19" w14:textId="77777777" w:rsidR="00EA5BBF" w:rsidRPr="001570EA" w:rsidRDefault="00EA5BBF">
            <w:pPr>
              <w:pStyle w:val="TableCell"/>
              <w:spacing w:before="60" w:after="60"/>
              <w:jc w:val="center"/>
              <w:rPr>
                <w:rFonts w:cs="Arial"/>
              </w:rPr>
            </w:pPr>
            <w:r w:rsidRPr="001570EA">
              <w:rPr>
                <w:rFonts w:cs="Arial"/>
                <w:color w:val="000000"/>
                <w:szCs w:val="18"/>
              </w:rPr>
              <w:t>0.0032449</w:t>
            </w:r>
          </w:p>
        </w:tc>
        <w:tc>
          <w:tcPr>
            <w:tcW w:w="1222" w:type="pct"/>
            <w:vAlign w:val="center"/>
          </w:tcPr>
          <w:p w14:paraId="0E2B06B3" w14:textId="77777777" w:rsidR="00EA5BBF" w:rsidRPr="001570EA" w:rsidRDefault="00EA5BBF">
            <w:pPr>
              <w:pStyle w:val="TableCell"/>
              <w:spacing w:before="60" w:after="60"/>
              <w:jc w:val="center"/>
              <w:rPr>
                <w:rFonts w:cs="Arial"/>
              </w:rPr>
            </w:pPr>
            <w:r w:rsidRPr="001570EA">
              <w:rPr>
                <w:rFonts w:cs="Arial"/>
                <w:color w:val="000000"/>
                <w:szCs w:val="18"/>
              </w:rPr>
              <w:t>0.0031721</w:t>
            </w:r>
          </w:p>
        </w:tc>
      </w:tr>
      <w:tr w:rsidR="00EA5BBF" w:rsidRPr="001570EA" w14:paraId="3EFFE73C" w14:textId="77777777">
        <w:trPr>
          <w:trHeight w:val="317"/>
        </w:trPr>
        <w:tc>
          <w:tcPr>
            <w:tcW w:w="552" w:type="pct"/>
            <w:shd w:val="clear" w:color="auto" w:fill="BFBFBF" w:themeFill="background1" w:themeFillShade="BF"/>
          </w:tcPr>
          <w:p w14:paraId="34A3BE61" w14:textId="77777777" w:rsidR="00EA5BBF" w:rsidRPr="001570EA" w:rsidRDefault="00EA5BBF">
            <w:pPr>
              <w:pStyle w:val="TableCell"/>
              <w:spacing w:before="60" w:after="60"/>
              <w:jc w:val="center"/>
              <w:rPr>
                <w:rFonts w:cs="Arial"/>
                <w:b/>
                <w:szCs w:val="18"/>
              </w:rPr>
            </w:pPr>
            <w:r w:rsidRPr="001570EA">
              <w:rPr>
                <w:b/>
                <w:szCs w:val="18"/>
              </w:rPr>
              <w:t>I</w:t>
            </w:r>
          </w:p>
        </w:tc>
        <w:tc>
          <w:tcPr>
            <w:tcW w:w="981" w:type="pct"/>
            <w:vAlign w:val="center"/>
          </w:tcPr>
          <w:p w14:paraId="08CB64E3" w14:textId="77777777" w:rsidR="00EA5BBF" w:rsidRPr="001570EA" w:rsidRDefault="00EA5BBF">
            <w:pPr>
              <w:pStyle w:val="TableCell"/>
              <w:spacing w:before="60" w:after="60"/>
              <w:rPr>
                <w:rFonts w:cs="Arial"/>
                <w:szCs w:val="18"/>
              </w:rPr>
            </w:pPr>
            <w:r w:rsidRPr="001570EA">
              <w:rPr>
                <w:rFonts w:cs="Arial"/>
                <w:szCs w:val="18"/>
              </w:rPr>
              <w:t>Erie</w:t>
            </w:r>
          </w:p>
        </w:tc>
        <w:tc>
          <w:tcPr>
            <w:tcW w:w="1023" w:type="pct"/>
            <w:vAlign w:val="center"/>
          </w:tcPr>
          <w:p w14:paraId="7DE9FD2D" w14:textId="77777777" w:rsidR="00EA5BBF" w:rsidRPr="001570EA" w:rsidRDefault="00EA5BBF">
            <w:pPr>
              <w:pStyle w:val="TableCell"/>
              <w:spacing w:before="60" w:after="60"/>
              <w:jc w:val="center"/>
              <w:rPr>
                <w:rFonts w:cs="Arial"/>
                <w:szCs w:val="18"/>
              </w:rPr>
            </w:pPr>
            <w:r w:rsidRPr="001570EA">
              <w:rPr>
                <w:rFonts w:cs="Arial"/>
                <w:color w:val="000000"/>
                <w:szCs w:val="18"/>
              </w:rPr>
              <w:t>0.0042825</w:t>
            </w:r>
          </w:p>
        </w:tc>
        <w:tc>
          <w:tcPr>
            <w:tcW w:w="1222" w:type="pct"/>
            <w:vAlign w:val="center"/>
          </w:tcPr>
          <w:p w14:paraId="14A2A7B4"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0.0026088</w:t>
            </w:r>
          </w:p>
        </w:tc>
        <w:tc>
          <w:tcPr>
            <w:tcW w:w="1222" w:type="pct"/>
            <w:vAlign w:val="center"/>
          </w:tcPr>
          <w:p w14:paraId="3F085DB6"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0.0025503</w:t>
            </w:r>
          </w:p>
        </w:tc>
      </w:tr>
      <w:tr w:rsidR="00EA5BBF" w:rsidRPr="001570EA" w14:paraId="69629F10" w14:textId="77777777">
        <w:trPr>
          <w:trHeight w:val="317"/>
        </w:trPr>
        <w:tc>
          <w:tcPr>
            <w:tcW w:w="552" w:type="pct"/>
            <w:shd w:val="clear" w:color="auto" w:fill="BFBFBF" w:themeFill="background1" w:themeFillShade="BF"/>
          </w:tcPr>
          <w:p w14:paraId="7A56B3A6" w14:textId="77777777" w:rsidR="00EA5BBF" w:rsidRPr="001570EA" w:rsidRDefault="00EA5BBF">
            <w:pPr>
              <w:pStyle w:val="TableCell"/>
              <w:spacing w:before="60" w:after="60"/>
              <w:jc w:val="center"/>
              <w:rPr>
                <w:rFonts w:cs="Arial"/>
                <w:b/>
                <w:szCs w:val="18"/>
              </w:rPr>
            </w:pPr>
            <w:r w:rsidRPr="001570EA">
              <w:rPr>
                <w:b/>
                <w:szCs w:val="18"/>
              </w:rPr>
              <w:t>E</w:t>
            </w:r>
          </w:p>
        </w:tc>
        <w:tc>
          <w:tcPr>
            <w:tcW w:w="981" w:type="pct"/>
            <w:vAlign w:val="center"/>
          </w:tcPr>
          <w:p w14:paraId="6B36D2C0" w14:textId="77777777" w:rsidR="00EA5BBF" w:rsidRPr="001570EA" w:rsidRDefault="00EA5BBF">
            <w:pPr>
              <w:pStyle w:val="TableCell"/>
              <w:spacing w:before="60" w:after="60"/>
              <w:rPr>
                <w:rFonts w:cs="Arial"/>
                <w:szCs w:val="18"/>
              </w:rPr>
            </w:pPr>
            <w:r w:rsidRPr="001570EA">
              <w:rPr>
                <w:rFonts w:cs="Arial"/>
                <w:szCs w:val="18"/>
              </w:rPr>
              <w:t>Harrisburg</w:t>
            </w:r>
          </w:p>
        </w:tc>
        <w:tc>
          <w:tcPr>
            <w:tcW w:w="1023" w:type="pct"/>
            <w:vAlign w:val="center"/>
          </w:tcPr>
          <w:p w14:paraId="313FFBDF" w14:textId="77777777" w:rsidR="00EA5BBF" w:rsidRPr="001570EA" w:rsidRDefault="00EA5BBF">
            <w:pPr>
              <w:pStyle w:val="TableCell"/>
              <w:spacing w:before="60" w:after="60"/>
              <w:jc w:val="center"/>
              <w:rPr>
                <w:rFonts w:cs="Arial"/>
                <w:szCs w:val="18"/>
              </w:rPr>
            </w:pPr>
            <w:r w:rsidRPr="001570EA">
              <w:rPr>
                <w:rFonts w:cs="Arial"/>
                <w:color w:val="000000"/>
                <w:szCs w:val="18"/>
              </w:rPr>
              <w:t>0.0036264</w:t>
            </w:r>
          </w:p>
        </w:tc>
        <w:tc>
          <w:tcPr>
            <w:tcW w:w="1222" w:type="pct"/>
            <w:vAlign w:val="center"/>
          </w:tcPr>
          <w:p w14:paraId="7EAE780B"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0.0022091</w:t>
            </w:r>
          </w:p>
        </w:tc>
        <w:tc>
          <w:tcPr>
            <w:tcW w:w="1222" w:type="pct"/>
            <w:vAlign w:val="center"/>
          </w:tcPr>
          <w:p w14:paraId="06403CA1"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0.0021595</w:t>
            </w:r>
          </w:p>
        </w:tc>
      </w:tr>
      <w:tr w:rsidR="00EA5BBF" w:rsidRPr="001570EA" w14:paraId="42C75583" w14:textId="77777777">
        <w:trPr>
          <w:trHeight w:val="317"/>
        </w:trPr>
        <w:tc>
          <w:tcPr>
            <w:tcW w:w="552" w:type="pct"/>
            <w:shd w:val="clear" w:color="auto" w:fill="BFBFBF" w:themeFill="background1" w:themeFillShade="BF"/>
          </w:tcPr>
          <w:p w14:paraId="077D19F5" w14:textId="77777777" w:rsidR="00EA5BBF" w:rsidRPr="001570EA" w:rsidRDefault="00EA5BBF">
            <w:pPr>
              <w:pStyle w:val="TableCell"/>
              <w:spacing w:before="60" w:after="60"/>
              <w:jc w:val="center"/>
              <w:rPr>
                <w:rFonts w:cs="Arial"/>
                <w:b/>
                <w:szCs w:val="18"/>
              </w:rPr>
            </w:pPr>
            <w:r w:rsidRPr="001570EA">
              <w:rPr>
                <w:b/>
                <w:szCs w:val="18"/>
              </w:rPr>
              <w:t>D</w:t>
            </w:r>
          </w:p>
        </w:tc>
        <w:tc>
          <w:tcPr>
            <w:tcW w:w="981" w:type="pct"/>
            <w:vAlign w:val="center"/>
          </w:tcPr>
          <w:p w14:paraId="65598A1E" w14:textId="77777777" w:rsidR="00EA5BBF" w:rsidRPr="001570EA" w:rsidRDefault="00EA5BBF">
            <w:pPr>
              <w:pStyle w:val="TableCell"/>
              <w:spacing w:before="60" w:after="60"/>
              <w:rPr>
                <w:rFonts w:cs="Arial"/>
                <w:szCs w:val="18"/>
              </w:rPr>
            </w:pPr>
            <w:r w:rsidRPr="001570EA">
              <w:rPr>
                <w:rFonts w:cs="Arial"/>
                <w:szCs w:val="18"/>
              </w:rPr>
              <w:t>Philadelphia</w:t>
            </w:r>
          </w:p>
        </w:tc>
        <w:tc>
          <w:tcPr>
            <w:tcW w:w="1023" w:type="pct"/>
            <w:vAlign w:val="center"/>
          </w:tcPr>
          <w:p w14:paraId="371490FE" w14:textId="77777777" w:rsidR="00EA5BBF" w:rsidRPr="001570EA" w:rsidRDefault="00EA5BBF">
            <w:pPr>
              <w:pStyle w:val="TableCell"/>
              <w:spacing w:before="60" w:after="60"/>
              <w:jc w:val="center"/>
              <w:rPr>
                <w:rFonts w:cs="Arial"/>
                <w:szCs w:val="18"/>
              </w:rPr>
            </w:pPr>
            <w:r w:rsidRPr="001570EA">
              <w:rPr>
                <w:rFonts w:cs="Arial"/>
                <w:color w:val="000000"/>
                <w:szCs w:val="18"/>
              </w:rPr>
              <w:t>0.0032264</w:t>
            </w:r>
          </w:p>
        </w:tc>
        <w:tc>
          <w:tcPr>
            <w:tcW w:w="1222" w:type="pct"/>
            <w:vAlign w:val="center"/>
          </w:tcPr>
          <w:p w14:paraId="2B0B2FEC"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0.0019654</w:t>
            </w:r>
          </w:p>
        </w:tc>
        <w:tc>
          <w:tcPr>
            <w:tcW w:w="1222" w:type="pct"/>
            <w:vAlign w:val="center"/>
          </w:tcPr>
          <w:p w14:paraId="673A4DCB"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0.0019213</w:t>
            </w:r>
          </w:p>
        </w:tc>
      </w:tr>
      <w:tr w:rsidR="00EA5BBF" w:rsidRPr="001570EA" w14:paraId="422A045C" w14:textId="77777777">
        <w:trPr>
          <w:trHeight w:val="317"/>
        </w:trPr>
        <w:tc>
          <w:tcPr>
            <w:tcW w:w="552" w:type="pct"/>
            <w:shd w:val="clear" w:color="auto" w:fill="BFBFBF" w:themeFill="background1" w:themeFillShade="BF"/>
          </w:tcPr>
          <w:p w14:paraId="74286A96" w14:textId="77777777" w:rsidR="00EA5BBF" w:rsidRPr="001570EA" w:rsidRDefault="00EA5BBF">
            <w:pPr>
              <w:pStyle w:val="TableCell"/>
              <w:spacing w:before="60" w:after="60"/>
              <w:jc w:val="center"/>
              <w:rPr>
                <w:rFonts w:cs="Arial"/>
                <w:b/>
                <w:szCs w:val="18"/>
              </w:rPr>
            </w:pPr>
            <w:r w:rsidRPr="001570EA">
              <w:rPr>
                <w:b/>
                <w:szCs w:val="18"/>
              </w:rPr>
              <w:t>H</w:t>
            </w:r>
          </w:p>
        </w:tc>
        <w:tc>
          <w:tcPr>
            <w:tcW w:w="981" w:type="pct"/>
            <w:vAlign w:val="center"/>
          </w:tcPr>
          <w:p w14:paraId="4D8E0131" w14:textId="77777777" w:rsidR="00EA5BBF" w:rsidRPr="001570EA" w:rsidRDefault="00EA5BBF">
            <w:pPr>
              <w:pStyle w:val="TableCell"/>
              <w:spacing w:before="60" w:after="60"/>
              <w:rPr>
                <w:rFonts w:cs="Arial"/>
                <w:szCs w:val="18"/>
              </w:rPr>
            </w:pPr>
            <w:r w:rsidRPr="001570EA">
              <w:rPr>
                <w:rFonts w:cs="Arial"/>
                <w:szCs w:val="18"/>
              </w:rPr>
              <w:t>Pittsburgh</w:t>
            </w:r>
          </w:p>
        </w:tc>
        <w:tc>
          <w:tcPr>
            <w:tcW w:w="1023" w:type="pct"/>
            <w:vAlign w:val="center"/>
          </w:tcPr>
          <w:p w14:paraId="5BD082A6" w14:textId="77777777" w:rsidR="00EA5BBF" w:rsidRPr="001570EA" w:rsidRDefault="00EA5BBF">
            <w:pPr>
              <w:pStyle w:val="TableCell"/>
              <w:spacing w:before="60" w:after="60"/>
              <w:jc w:val="center"/>
              <w:rPr>
                <w:rFonts w:cs="Arial"/>
                <w:szCs w:val="18"/>
              </w:rPr>
            </w:pPr>
            <w:r w:rsidRPr="001570EA">
              <w:rPr>
                <w:rFonts w:cs="Arial"/>
                <w:color w:val="000000"/>
                <w:szCs w:val="18"/>
              </w:rPr>
              <w:t>0.0040354</w:t>
            </w:r>
          </w:p>
        </w:tc>
        <w:tc>
          <w:tcPr>
            <w:tcW w:w="1222" w:type="pct"/>
            <w:vAlign w:val="center"/>
          </w:tcPr>
          <w:p w14:paraId="69310FF1"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0.0024582</w:t>
            </w:r>
          </w:p>
        </w:tc>
        <w:tc>
          <w:tcPr>
            <w:tcW w:w="1222" w:type="pct"/>
            <w:vAlign w:val="center"/>
          </w:tcPr>
          <w:p w14:paraId="1A3D7123"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0.0024031</w:t>
            </w:r>
          </w:p>
        </w:tc>
      </w:tr>
      <w:tr w:rsidR="00EA5BBF" w:rsidRPr="001570EA" w14:paraId="0E518EB1" w14:textId="77777777">
        <w:trPr>
          <w:trHeight w:val="317"/>
        </w:trPr>
        <w:tc>
          <w:tcPr>
            <w:tcW w:w="552" w:type="pct"/>
            <w:shd w:val="clear" w:color="auto" w:fill="BFBFBF" w:themeFill="background1" w:themeFillShade="BF"/>
          </w:tcPr>
          <w:p w14:paraId="60F6238C" w14:textId="77777777" w:rsidR="00EA5BBF" w:rsidRPr="001570EA" w:rsidRDefault="00EA5BBF">
            <w:pPr>
              <w:pStyle w:val="TableCell"/>
              <w:spacing w:before="60" w:after="60"/>
              <w:jc w:val="center"/>
              <w:rPr>
                <w:rFonts w:cs="Arial"/>
                <w:b/>
                <w:szCs w:val="18"/>
              </w:rPr>
            </w:pPr>
            <w:r w:rsidRPr="001570EA">
              <w:rPr>
                <w:b/>
                <w:szCs w:val="18"/>
              </w:rPr>
              <w:t>B</w:t>
            </w:r>
          </w:p>
        </w:tc>
        <w:tc>
          <w:tcPr>
            <w:tcW w:w="981" w:type="pct"/>
            <w:vAlign w:val="center"/>
          </w:tcPr>
          <w:p w14:paraId="5DBEA1CD" w14:textId="77777777" w:rsidR="00EA5BBF" w:rsidRPr="001570EA" w:rsidRDefault="00EA5BBF">
            <w:pPr>
              <w:pStyle w:val="TableCell"/>
              <w:spacing w:before="60" w:after="60"/>
              <w:rPr>
                <w:rFonts w:cs="Arial"/>
                <w:szCs w:val="18"/>
              </w:rPr>
            </w:pPr>
            <w:r w:rsidRPr="001570EA">
              <w:rPr>
                <w:rFonts w:cs="Arial"/>
                <w:szCs w:val="18"/>
              </w:rPr>
              <w:t>Scranton</w:t>
            </w:r>
          </w:p>
        </w:tc>
        <w:tc>
          <w:tcPr>
            <w:tcW w:w="1023" w:type="pct"/>
            <w:vAlign w:val="center"/>
          </w:tcPr>
          <w:p w14:paraId="75521D8C" w14:textId="77777777" w:rsidR="00EA5BBF" w:rsidRPr="001570EA" w:rsidRDefault="00EA5BBF">
            <w:pPr>
              <w:pStyle w:val="TableCell"/>
              <w:spacing w:before="60" w:after="60"/>
              <w:jc w:val="center"/>
              <w:rPr>
                <w:rFonts w:cs="Arial"/>
                <w:szCs w:val="18"/>
              </w:rPr>
            </w:pPr>
            <w:r w:rsidRPr="001570EA">
              <w:rPr>
                <w:rFonts w:cs="Arial"/>
                <w:color w:val="000000"/>
                <w:szCs w:val="18"/>
              </w:rPr>
              <w:t>0.0041363</w:t>
            </w:r>
          </w:p>
        </w:tc>
        <w:tc>
          <w:tcPr>
            <w:tcW w:w="1222" w:type="pct"/>
            <w:vAlign w:val="center"/>
          </w:tcPr>
          <w:p w14:paraId="6A446929"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0.0025197</w:t>
            </w:r>
          </w:p>
        </w:tc>
        <w:tc>
          <w:tcPr>
            <w:tcW w:w="1222" w:type="pct"/>
            <w:vAlign w:val="center"/>
          </w:tcPr>
          <w:p w14:paraId="5D8339E9"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0.0024632</w:t>
            </w:r>
          </w:p>
        </w:tc>
      </w:tr>
      <w:tr w:rsidR="00EA5BBF" w:rsidRPr="001570EA" w14:paraId="41D91124" w14:textId="77777777">
        <w:trPr>
          <w:trHeight w:val="317"/>
        </w:trPr>
        <w:tc>
          <w:tcPr>
            <w:tcW w:w="552" w:type="pct"/>
            <w:shd w:val="clear" w:color="auto" w:fill="BFBFBF" w:themeFill="background1" w:themeFillShade="BF"/>
          </w:tcPr>
          <w:p w14:paraId="69DBD71E" w14:textId="77777777" w:rsidR="00EA5BBF" w:rsidRPr="001570EA" w:rsidRDefault="00EA5BBF">
            <w:pPr>
              <w:pStyle w:val="TableCell"/>
              <w:spacing w:before="60" w:after="60"/>
              <w:jc w:val="center"/>
              <w:rPr>
                <w:rFonts w:cs="Arial"/>
                <w:b/>
                <w:szCs w:val="18"/>
              </w:rPr>
            </w:pPr>
            <w:r w:rsidRPr="001570EA">
              <w:rPr>
                <w:b/>
                <w:szCs w:val="18"/>
              </w:rPr>
              <w:t>F</w:t>
            </w:r>
          </w:p>
        </w:tc>
        <w:tc>
          <w:tcPr>
            <w:tcW w:w="981" w:type="pct"/>
            <w:vAlign w:val="center"/>
          </w:tcPr>
          <w:p w14:paraId="31D88A4B" w14:textId="77777777" w:rsidR="00EA5BBF" w:rsidRPr="001570EA" w:rsidRDefault="00EA5BBF">
            <w:pPr>
              <w:pStyle w:val="TableCell"/>
              <w:spacing w:before="60" w:after="60"/>
              <w:rPr>
                <w:rFonts w:cs="Arial"/>
                <w:szCs w:val="18"/>
              </w:rPr>
            </w:pPr>
            <w:r w:rsidRPr="001570EA">
              <w:rPr>
                <w:rFonts w:cs="Arial"/>
                <w:szCs w:val="18"/>
              </w:rPr>
              <w:t>Williamsport</w:t>
            </w:r>
          </w:p>
        </w:tc>
        <w:tc>
          <w:tcPr>
            <w:tcW w:w="1023" w:type="pct"/>
            <w:vAlign w:val="center"/>
          </w:tcPr>
          <w:p w14:paraId="5B3E2467" w14:textId="77777777" w:rsidR="00EA5BBF" w:rsidRPr="001570EA" w:rsidRDefault="00EA5BBF">
            <w:pPr>
              <w:pStyle w:val="TableCell"/>
              <w:spacing w:before="60" w:after="60"/>
              <w:jc w:val="center"/>
              <w:rPr>
                <w:rFonts w:cs="Arial"/>
                <w:szCs w:val="18"/>
              </w:rPr>
            </w:pPr>
            <w:r w:rsidRPr="001570EA">
              <w:rPr>
                <w:rFonts w:cs="Arial"/>
                <w:color w:val="000000"/>
                <w:szCs w:val="18"/>
              </w:rPr>
              <w:t>0.0041400</w:t>
            </w:r>
          </w:p>
        </w:tc>
        <w:tc>
          <w:tcPr>
            <w:tcW w:w="1222" w:type="pct"/>
            <w:vAlign w:val="center"/>
          </w:tcPr>
          <w:p w14:paraId="7A07765B"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0.0025220</w:t>
            </w:r>
          </w:p>
        </w:tc>
        <w:tc>
          <w:tcPr>
            <w:tcW w:w="1222" w:type="pct"/>
            <w:vAlign w:val="center"/>
          </w:tcPr>
          <w:p w14:paraId="0B547354"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0.0024654</w:t>
            </w:r>
          </w:p>
        </w:tc>
      </w:tr>
    </w:tbl>
    <w:p w14:paraId="3F7371B0" w14:textId="77777777" w:rsidR="00EA5BBF" w:rsidRPr="001570EA" w:rsidRDefault="00EA5BBF" w:rsidP="00EA5BBF"/>
    <w:p w14:paraId="4ADD3E16" w14:textId="738D5FD5" w:rsidR="00EA5BBF" w:rsidRPr="001570EA" w:rsidRDefault="00EA5BBF" w:rsidP="00EA5BBF">
      <w:pPr>
        <w:pStyle w:val="Caption"/>
      </w:pPr>
      <w:bookmarkStart w:id="1167" w:name="_Ref15950565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141</w:t>
      </w:r>
      <w:r w:rsidR="002E093A" w:rsidRPr="001570EA">
        <w:fldChar w:fldCharType="end"/>
      </w:r>
      <w:bookmarkEnd w:id="1167"/>
      <w:r w:rsidRPr="001570EA">
        <w:t>: Default Annual Energy Savings – Kit Delivery</w:t>
      </w: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1530"/>
        <w:gridCol w:w="1260"/>
        <w:gridCol w:w="1169"/>
        <w:gridCol w:w="1156"/>
        <w:gridCol w:w="13"/>
        <w:gridCol w:w="1173"/>
        <w:gridCol w:w="1167"/>
        <w:gridCol w:w="1078"/>
      </w:tblGrid>
      <w:tr w:rsidR="00EA5BBF" w:rsidRPr="001570EA" w14:paraId="001C4E18" w14:textId="77777777">
        <w:trPr>
          <w:trHeight w:val="301"/>
          <w:jc w:val="center"/>
        </w:trPr>
        <w:tc>
          <w:tcPr>
            <w:tcW w:w="809" w:type="dxa"/>
            <w:vMerge w:val="restart"/>
            <w:shd w:val="clear" w:color="auto" w:fill="BFBFBF"/>
            <w:vAlign w:val="center"/>
          </w:tcPr>
          <w:p w14:paraId="24A3A0F8" w14:textId="77777777" w:rsidR="00EA5BBF" w:rsidRPr="001570EA" w:rsidRDefault="00EA5BBF">
            <w:pPr>
              <w:pStyle w:val="TableCell"/>
              <w:spacing w:before="60" w:after="60"/>
              <w:jc w:val="center"/>
              <w:rPr>
                <w:b/>
                <w:sz w:val="16"/>
                <w:szCs w:val="16"/>
              </w:rPr>
            </w:pPr>
            <w:r w:rsidRPr="001570EA">
              <w:rPr>
                <w:b/>
                <w:sz w:val="16"/>
                <w:szCs w:val="16"/>
              </w:rPr>
              <w:t>Climate Region</w:t>
            </w:r>
          </w:p>
        </w:tc>
        <w:tc>
          <w:tcPr>
            <w:tcW w:w="1530" w:type="dxa"/>
            <w:vMerge w:val="restart"/>
            <w:shd w:val="clear" w:color="auto" w:fill="BFBFBF"/>
            <w:vAlign w:val="center"/>
          </w:tcPr>
          <w:p w14:paraId="34630ECE" w14:textId="77777777" w:rsidR="00EA5BBF" w:rsidRPr="001570EA" w:rsidRDefault="00EA5BBF">
            <w:pPr>
              <w:pStyle w:val="TableCell"/>
              <w:spacing w:before="60" w:after="60"/>
              <w:jc w:val="center"/>
              <w:rPr>
                <w:b/>
                <w:sz w:val="16"/>
                <w:szCs w:val="16"/>
              </w:rPr>
            </w:pPr>
            <w:r w:rsidRPr="001570EA">
              <w:rPr>
                <w:b/>
                <w:sz w:val="16"/>
                <w:szCs w:val="16"/>
              </w:rPr>
              <w:t>Reference City</w:t>
            </w:r>
          </w:p>
        </w:tc>
        <w:tc>
          <w:tcPr>
            <w:tcW w:w="3598" w:type="dxa"/>
            <w:gridSpan w:val="4"/>
            <w:shd w:val="clear" w:color="auto" w:fill="BFBFBF"/>
          </w:tcPr>
          <w:p w14:paraId="573BBDF7" w14:textId="77777777" w:rsidR="00EA5BBF" w:rsidRPr="001570EA" w:rsidRDefault="00EA5BBF">
            <w:pPr>
              <w:pStyle w:val="TableCell"/>
              <w:spacing w:before="60" w:after="60"/>
              <w:jc w:val="center"/>
              <w:rPr>
                <w:rFonts w:cs="Arial"/>
                <w:b/>
                <w:sz w:val="16"/>
                <w:szCs w:val="16"/>
              </w:rPr>
            </w:pPr>
            <w:r w:rsidRPr="001570EA">
              <w:rPr>
                <w:rFonts w:cs="Arial"/>
                <w:b/>
                <w:sz w:val="16"/>
                <w:szCs w:val="16"/>
              </w:rPr>
              <w:t>Cooling Savings (kWh)</w:t>
            </w:r>
          </w:p>
        </w:tc>
        <w:tc>
          <w:tcPr>
            <w:tcW w:w="3418" w:type="dxa"/>
            <w:gridSpan w:val="3"/>
            <w:shd w:val="clear" w:color="auto" w:fill="BFBFBF"/>
          </w:tcPr>
          <w:p w14:paraId="29F3915C" w14:textId="77777777" w:rsidR="00EA5BBF" w:rsidRPr="001570EA" w:rsidRDefault="00EA5BBF">
            <w:pPr>
              <w:pStyle w:val="TableCell"/>
              <w:spacing w:before="60" w:after="60"/>
              <w:jc w:val="center"/>
              <w:rPr>
                <w:rFonts w:cs="Arial"/>
                <w:b/>
                <w:sz w:val="16"/>
                <w:szCs w:val="16"/>
              </w:rPr>
            </w:pPr>
            <w:r w:rsidRPr="001570EA">
              <w:rPr>
                <w:rFonts w:cs="Arial"/>
                <w:b/>
                <w:sz w:val="16"/>
                <w:szCs w:val="16"/>
              </w:rPr>
              <w:t>Heating Savings (kWh)</w:t>
            </w:r>
          </w:p>
        </w:tc>
      </w:tr>
      <w:tr w:rsidR="00EA5BBF" w:rsidRPr="001570EA" w14:paraId="5D9C8582" w14:textId="77777777">
        <w:trPr>
          <w:trHeight w:val="301"/>
          <w:jc w:val="center"/>
        </w:trPr>
        <w:tc>
          <w:tcPr>
            <w:tcW w:w="809" w:type="dxa"/>
            <w:vMerge/>
            <w:shd w:val="clear" w:color="auto" w:fill="BFBFBF"/>
          </w:tcPr>
          <w:p w14:paraId="58EC8FC3" w14:textId="77777777" w:rsidR="00EA5BBF" w:rsidRPr="001570EA" w:rsidRDefault="00EA5BBF">
            <w:pPr>
              <w:pStyle w:val="TableCell"/>
              <w:spacing w:before="60" w:after="60"/>
              <w:jc w:val="center"/>
              <w:rPr>
                <w:b/>
                <w:sz w:val="16"/>
                <w:szCs w:val="16"/>
              </w:rPr>
            </w:pPr>
          </w:p>
        </w:tc>
        <w:tc>
          <w:tcPr>
            <w:tcW w:w="1530" w:type="dxa"/>
            <w:vMerge/>
            <w:shd w:val="clear" w:color="auto" w:fill="BFBFBF"/>
            <w:vAlign w:val="center"/>
          </w:tcPr>
          <w:p w14:paraId="065409A8" w14:textId="77777777" w:rsidR="00EA5BBF" w:rsidRPr="001570EA" w:rsidRDefault="00EA5BBF">
            <w:pPr>
              <w:pStyle w:val="TableCell"/>
              <w:spacing w:before="60" w:after="60"/>
              <w:jc w:val="center"/>
              <w:rPr>
                <w:b/>
                <w:sz w:val="16"/>
                <w:szCs w:val="16"/>
              </w:rPr>
            </w:pPr>
          </w:p>
        </w:tc>
        <w:tc>
          <w:tcPr>
            <w:tcW w:w="1260" w:type="dxa"/>
            <w:shd w:val="clear" w:color="auto" w:fill="BFBFBF"/>
          </w:tcPr>
          <w:p w14:paraId="61031D6A" w14:textId="77777777" w:rsidR="00EA5BBF" w:rsidRPr="001570EA" w:rsidRDefault="00EA5BBF">
            <w:pPr>
              <w:pStyle w:val="TableCell"/>
              <w:spacing w:before="60" w:after="60"/>
              <w:jc w:val="center"/>
              <w:rPr>
                <w:rFonts w:cs="Arial"/>
                <w:b/>
                <w:sz w:val="16"/>
                <w:szCs w:val="16"/>
              </w:rPr>
            </w:pPr>
            <w:r w:rsidRPr="001570EA">
              <w:rPr>
                <w:rFonts w:cs="Arial"/>
                <w:b/>
                <w:sz w:val="16"/>
                <w:szCs w:val="16"/>
              </w:rPr>
              <w:t>Caulked Penetrations</w:t>
            </w:r>
          </w:p>
          <w:p w14:paraId="4F8C4BDD" w14:textId="77777777" w:rsidR="00EA5BBF" w:rsidRPr="001570EA" w:rsidRDefault="00EA5BBF">
            <w:pPr>
              <w:pStyle w:val="TableCell"/>
              <w:spacing w:before="60" w:after="60"/>
              <w:jc w:val="center"/>
              <w:rPr>
                <w:rFonts w:cs="Arial"/>
                <w:b/>
                <w:sz w:val="16"/>
                <w:szCs w:val="16"/>
              </w:rPr>
            </w:pPr>
            <w:r w:rsidRPr="001570EA">
              <w:rPr>
                <w:rFonts w:cs="Arial"/>
                <w:b/>
                <w:sz w:val="16"/>
                <w:szCs w:val="16"/>
              </w:rPr>
              <w:t xml:space="preserve"> (per pen.)</w:t>
            </w:r>
          </w:p>
        </w:tc>
        <w:tc>
          <w:tcPr>
            <w:tcW w:w="1169" w:type="dxa"/>
            <w:shd w:val="clear" w:color="auto" w:fill="BFBFBF"/>
            <w:vAlign w:val="center"/>
          </w:tcPr>
          <w:p w14:paraId="54474DC0" w14:textId="77777777" w:rsidR="00EA5BBF" w:rsidRPr="001570EA" w:rsidRDefault="00EA5BBF">
            <w:pPr>
              <w:pStyle w:val="TableCell"/>
              <w:spacing w:before="60" w:after="60"/>
              <w:jc w:val="center"/>
              <w:rPr>
                <w:rFonts w:cs="Arial"/>
                <w:b/>
                <w:sz w:val="16"/>
                <w:szCs w:val="16"/>
              </w:rPr>
            </w:pPr>
            <w:r w:rsidRPr="001570EA">
              <w:rPr>
                <w:rFonts w:cs="Arial"/>
                <w:b/>
                <w:sz w:val="16"/>
                <w:szCs w:val="16"/>
              </w:rPr>
              <w:t>Weather Stripping, Caulking and Sealing</w:t>
            </w:r>
            <w:r w:rsidRPr="001570EA">
              <w:rPr>
                <w:rFonts w:cs="Arial"/>
                <w:b/>
                <w:sz w:val="16"/>
                <w:szCs w:val="16"/>
              </w:rPr>
              <w:br/>
              <w:t>(per 10 lf)</w:t>
            </w:r>
          </w:p>
        </w:tc>
        <w:tc>
          <w:tcPr>
            <w:tcW w:w="1156" w:type="dxa"/>
            <w:shd w:val="clear" w:color="auto" w:fill="BFBFBF"/>
          </w:tcPr>
          <w:p w14:paraId="4E7EB13D" w14:textId="77777777" w:rsidR="00EA5BBF" w:rsidRPr="001570EA" w:rsidRDefault="00EA5BBF">
            <w:pPr>
              <w:pStyle w:val="TableCell"/>
              <w:spacing w:before="60" w:after="60"/>
              <w:jc w:val="center"/>
              <w:rPr>
                <w:rFonts w:cs="Arial"/>
                <w:b/>
                <w:sz w:val="16"/>
                <w:szCs w:val="16"/>
              </w:rPr>
            </w:pPr>
            <w:r w:rsidRPr="001570EA">
              <w:rPr>
                <w:rFonts w:cs="Arial"/>
                <w:b/>
                <w:sz w:val="16"/>
                <w:szCs w:val="16"/>
              </w:rPr>
              <w:t>Outlet Gaskets</w:t>
            </w:r>
          </w:p>
          <w:p w14:paraId="6D625FFA" w14:textId="77777777" w:rsidR="00EA5BBF" w:rsidRPr="001570EA" w:rsidRDefault="00EA5BBF">
            <w:pPr>
              <w:pStyle w:val="TableCell"/>
              <w:spacing w:before="60" w:after="60"/>
              <w:jc w:val="center"/>
              <w:rPr>
                <w:rFonts w:cs="Arial"/>
                <w:b/>
                <w:sz w:val="16"/>
                <w:szCs w:val="16"/>
              </w:rPr>
            </w:pPr>
            <w:r w:rsidRPr="001570EA">
              <w:rPr>
                <w:rFonts w:cs="Arial"/>
                <w:b/>
                <w:sz w:val="16"/>
                <w:szCs w:val="16"/>
              </w:rPr>
              <w:t>(per gasket)</w:t>
            </w:r>
          </w:p>
        </w:tc>
        <w:tc>
          <w:tcPr>
            <w:tcW w:w="1186" w:type="dxa"/>
            <w:gridSpan w:val="2"/>
            <w:shd w:val="clear" w:color="auto" w:fill="BFBFBF"/>
          </w:tcPr>
          <w:p w14:paraId="7208EC75" w14:textId="77777777" w:rsidR="00EA5BBF" w:rsidRPr="001570EA" w:rsidRDefault="00EA5BBF">
            <w:pPr>
              <w:pStyle w:val="TableCell"/>
              <w:spacing w:before="60" w:after="60"/>
              <w:jc w:val="center"/>
              <w:rPr>
                <w:rFonts w:cs="Arial"/>
                <w:b/>
                <w:sz w:val="16"/>
                <w:szCs w:val="16"/>
              </w:rPr>
            </w:pPr>
            <w:r w:rsidRPr="001570EA">
              <w:rPr>
                <w:rFonts w:cs="Arial"/>
                <w:b/>
                <w:sz w:val="16"/>
                <w:szCs w:val="16"/>
              </w:rPr>
              <w:t>Caulked Penetrations</w:t>
            </w:r>
          </w:p>
          <w:p w14:paraId="5B644168" w14:textId="77777777" w:rsidR="00EA5BBF" w:rsidRPr="001570EA" w:rsidRDefault="00EA5BBF">
            <w:pPr>
              <w:pStyle w:val="TableCell"/>
              <w:spacing w:before="60" w:after="60"/>
              <w:jc w:val="center"/>
              <w:rPr>
                <w:rFonts w:cs="Arial"/>
                <w:b/>
                <w:sz w:val="16"/>
                <w:szCs w:val="16"/>
              </w:rPr>
            </w:pPr>
            <w:r w:rsidRPr="001570EA">
              <w:rPr>
                <w:rFonts w:cs="Arial"/>
                <w:b/>
                <w:sz w:val="16"/>
                <w:szCs w:val="16"/>
              </w:rPr>
              <w:t xml:space="preserve"> (per pen.)</w:t>
            </w:r>
          </w:p>
        </w:tc>
        <w:tc>
          <w:tcPr>
            <w:tcW w:w="1167" w:type="dxa"/>
            <w:shd w:val="clear" w:color="auto" w:fill="BFBFBF"/>
            <w:vAlign w:val="center"/>
          </w:tcPr>
          <w:p w14:paraId="302E2B31" w14:textId="77777777" w:rsidR="00EA5BBF" w:rsidRPr="001570EA" w:rsidRDefault="00EA5BBF">
            <w:pPr>
              <w:pStyle w:val="TableCell"/>
              <w:spacing w:before="60" w:after="60"/>
              <w:jc w:val="center"/>
              <w:rPr>
                <w:b/>
                <w:sz w:val="16"/>
                <w:szCs w:val="16"/>
              </w:rPr>
            </w:pPr>
            <w:r w:rsidRPr="001570EA">
              <w:rPr>
                <w:rFonts w:cs="Arial"/>
                <w:b/>
                <w:sz w:val="16"/>
                <w:szCs w:val="16"/>
              </w:rPr>
              <w:t>Weather Stripping, Caulking and Sealing</w:t>
            </w:r>
            <w:r w:rsidRPr="001570EA">
              <w:rPr>
                <w:rFonts w:cs="Arial"/>
                <w:b/>
                <w:sz w:val="16"/>
                <w:szCs w:val="16"/>
              </w:rPr>
              <w:br/>
              <w:t>(per 10 lf)</w:t>
            </w:r>
          </w:p>
        </w:tc>
        <w:tc>
          <w:tcPr>
            <w:tcW w:w="1078" w:type="dxa"/>
            <w:shd w:val="clear" w:color="auto" w:fill="BFBFBF"/>
          </w:tcPr>
          <w:p w14:paraId="763BCCAA" w14:textId="77777777" w:rsidR="00EA5BBF" w:rsidRPr="001570EA" w:rsidRDefault="00EA5BBF">
            <w:pPr>
              <w:pStyle w:val="TableCell"/>
              <w:spacing w:before="60" w:after="60"/>
              <w:jc w:val="center"/>
              <w:rPr>
                <w:rFonts w:cs="Arial"/>
                <w:b/>
                <w:sz w:val="16"/>
                <w:szCs w:val="16"/>
              </w:rPr>
            </w:pPr>
            <w:r w:rsidRPr="001570EA">
              <w:rPr>
                <w:rFonts w:cs="Arial"/>
                <w:b/>
                <w:sz w:val="16"/>
                <w:szCs w:val="16"/>
              </w:rPr>
              <w:t>Outlet Gaskets</w:t>
            </w:r>
          </w:p>
          <w:p w14:paraId="6F279C1A" w14:textId="77777777" w:rsidR="00EA5BBF" w:rsidRPr="001570EA" w:rsidRDefault="00EA5BBF">
            <w:pPr>
              <w:pStyle w:val="TableCell"/>
              <w:spacing w:before="60" w:after="60"/>
              <w:jc w:val="center"/>
              <w:rPr>
                <w:rFonts w:cs="Arial"/>
                <w:b/>
                <w:sz w:val="16"/>
                <w:szCs w:val="16"/>
              </w:rPr>
            </w:pPr>
            <w:r w:rsidRPr="001570EA">
              <w:rPr>
                <w:rFonts w:cs="Arial"/>
                <w:b/>
                <w:sz w:val="16"/>
                <w:szCs w:val="16"/>
              </w:rPr>
              <w:t>(per outlet)</w:t>
            </w:r>
          </w:p>
        </w:tc>
      </w:tr>
      <w:tr w:rsidR="00EA5BBF" w:rsidRPr="001570EA" w14:paraId="393FD3B7" w14:textId="77777777">
        <w:trPr>
          <w:trHeight w:val="301"/>
          <w:jc w:val="center"/>
        </w:trPr>
        <w:tc>
          <w:tcPr>
            <w:tcW w:w="809" w:type="dxa"/>
            <w:shd w:val="clear" w:color="auto" w:fill="BFBFBF" w:themeFill="background1" w:themeFillShade="BF"/>
          </w:tcPr>
          <w:p w14:paraId="58BAB400" w14:textId="77777777" w:rsidR="00EA5BBF" w:rsidRPr="001570EA" w:rsidRDefault="00EA5BBF">
            <w:pPr>
              <w:pStyle w:val="TableCell"/>
              <w:spacing w:before="60" w:after="60"/>
              <w:jc w:val="center"/>
              <w:rPr>
                <w:b/>
                <w:szCs w:val="18"/>
              </w:rPr>
            </w:pPr>
            <w:r w:rsidRPr="001570EA">
              <w:rPr>
                <w:b/>
                <w:szCs w:val="18"/>
              </w:rPr>
              <w:t>C</w:t>
            </w:r>
          </w:p>
        </w:tc>
        <w:tc>
          <w:tcPr>
            <w:tcW w:w="1530" w:type="dxa"/>
            <w:vAlign w:val="center"/>
          </w:tcPr>
          <w:p w14:paraId="0D9853CC" w14:textId="77777777" w:rsidR="00EA5BBF" w:rsidRPr="001570EA" w:rsidRDefault="00EA5BBF">
            <w:pPr>
              <w:pStyle w:val="TableCell"/>
              <w:spacing w:before="60" w:after="60"/>
              <w:rPr>
                <w:szCs w:val="18"/>
              </w:rPr>
            </w:pPr>
            <w:r w:rsidRPr="001570EA">
              <w:rPr>
                <w:szCs w:val="18"/>
              </w:rPr>
              <w:t>Allentown</w:t>
            </w:r>
          </w:p>
        </w:tc>
        <w:tc>
          <w:tcPr>
            <w:tcW w:w="1260" w:type="dxa"/>
            <w:vAlign w:val="center"/>
          </w:tcPr>
          <w:p w14:paraId="27D36CE3"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0.924</w:t>
            </w:r>
          </w:p>
        </w:tc>
        <w:tc>
          <w:tcPr>
            <w:tcW w:w="1169" w:type="dxa"/>
            <w:vAlign w:val="center"/>
          </w:tcPr>
          <w:p w14:paraId="750507A5"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0.563</w:t>
            </w:r>
          </w:p>
        </w:tc>
        <w:tc>
          <w:tcPr>
            <w:tcW w:w="1156" w:type="dxa"/>
            <w:vAlign w:val="center"/>
          </w:tcPr>
          <w:p w14:paraId="5D033435"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0.550</w:t>
            </w:r>
          </w:p>
        </w:tc>
        <w:tc>
          <w:tcPr>
            <w:tcW w:w="1186" w:type="dxa"/>
            <w:gridSpan w:val="2"/>
            <w:vAlign w:val="center"/>
          </w:tcPr>
          <w:p w14:paraId="5EF6CB6A" w14:textId="77777777" w:rsidR="00EA5BBF" w:rsidRPr="001570EA" w:rsidRDefault="00EA5BBF">
            <w:pPr>
              <w:pStyle w:val="TableCell"/>
              <w:spacing w:before="60" w:after="60"/>
              <w:jc w:val="center"/>
              <w:rPr>
                <w:rFonts w:cs="Arial"/>
                <w:szCs w:val="18"/>
              </w:rPr>
            </w:pPr>
            <w:r w:rsidRPr="001570EA">
              <w:rPr>
                <w:rFonts w:cs="Arial"/>
                <w:color w:val="000000"/>
                <w:szCs w:val="18"/>
              </w:rPr>
              <w:t>0.645</w:t>
            </w:r>
          </w:p>
        </w:tc>
        <w:tc>
          <w:tcPr>
            <w:tcW w:w="1167" w:type="dxa"/>
            <w:vAlign w:val="center"/>
          </w:tcPr>
          <w:p w14:paraId="3CE68C82"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0.393</w:t>
            </w:r>
          </w:p>
        </w:tc>
        <w:tc>
          <w:tcPr>
            <w:tcW w:w="1078" w:type="dxa"/>
            <w:vAlign w:val="center"/>
          </w:tcPr>
          <w:p w14:paraId="73A91963"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0.384</w:t>
            </w:r>
          </w:p>
        </w:tc>
      </w:tr>
      <w:tr w:rsidR="00EA5BBF" w:rsidRPr="001570EA" w14:paraId="4571BE72" w14:textId="77777777">
        <w:trPr>
          <w:trHeight w:val="301"/>
          <w:jc w:val="center"/>
        </w:trPr>
        <w:tc>
          <w:tcPr>
            <w:tcW w:w="809" w:type="dxa"/>
            <w:shd w:val="clear" w:color="auto" w:fill="BFBFBF" w:themeFill="background1" w:themeFillShade="BF"/>
          </w:tcPr>
          <w:p w14:paraId="60A9EAEC" w14:textId="77777777" w:rsidR="00EA5BBF" w:rsidRPr="001570EA" w:rsidRDefault="00EA5BBF">
            <w:pPr>
              <w:pStyle w:val="TableCell"/>
              <w:spacing w:before="60" w:after="60"/>
              <w:jc w:val="center"/>
              <w:rPr>
                <w:b/>
                <w:szCs w:val="18"/>
              </w:rPr>
            </w:pPr>
            <w:r w:rsidRPr="001570EA">
              <w:rPr>
                <w:b/>
                <w:szCs w:val="18"/>
              </w:rPr>
              <w:t>A</w:t>
            </w:r>
          </w:p>
        </w:tc>
        <w:tc>
          <w:tcPr>
            <w:tcW w:w="1530" w:type="dxa"/>
            <w:vAlign w:val="center"/>
          </w:tcPr>
          <w:p w14:paraId="71A63899" w14:textId="77777777" w:rsidR="00EA5BBF" w:rsidRPr="001570EA" w:rsidRDefault="00EA5BBF">
            <w:pPr>
              <w:pStyle w:val="TableCell"/>
              <w:spacing w:before="60" w:after="60"/>
              <w:rPr>
                <w:szCs w:val="18"/>
              </w:rPr>
            </w:pPr>
            <w:r w:rsidRPr="001570EA">
              <w:rPr>
                <w:szCs w:val="18"/>
              </w:rPr>
              <w:t>Binghamton, NY</w:t>
            </w:r>
          </w:p>
        </w:tc>
        <w:tc>
          <w:tcPr>
            <w:tcW w:w="1260" w:type="dxa"/>
            <w:vAlign w:val="center"/>
          </w:tcPr>
          <w:p w14:paraId="10D62FC2"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0.265</w:t>
            </w:r>
          </w:p>
        </w:tc>
        <w:tc>
          <w:tcPr>
            <w:tcW w:w="1169" w:type="dxa"/>
            <w:vAlign w:val="center"/>
          </w:tcPr>
          <w:p w14:paraId="03F2E7CB"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0.161</w:t>
            </w:r>
          </w:p>
        </w:tc>
        <w:tc>
          <w:tcPr>
            <w:tcW w:w="1156" w:type="dxa"/>
            <w:vAlign w:val="center"/>
          </w:tcPr>
          <w:p w14:paraId="18B300B5"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0.158</w:t>
            </w:r>
          </w:p>
        </w:tc>
        <w:tc>
          <w:tcPr>
            <w:tcW w:w="1186" w:type="dxa"/>
            <w:gridSpan w:val="2"/>
            <w:vAlign w:val="center"/>
          </w:tcPr>
          <w:p w14:paraId="262EEECE" w14:textId="77777777" w:rsidR="00EA5BBF" w:rsidRPr="001570EA" w:rsidRDefault="00EA5BBF">
            <w:pPr>
              <w:pStyle w:val="TableCell"/>
              <w:spacing w:before="60" w:after="60"/>
              <w:jc w:val="center"/>
              <w:rPr>
                <w:rFonts w:cs="Arial"/>
                <w:szCs w:val="18"/>
              </w:rPr>
            </w:pPr>
            <w:r w:rsidRPr="001570EA">
              <w:rPr>
                <w:rFonts w:cs="Arial"/>
                <w:color w:val="000000"/>
                <w:szCs w:val="18"/>
              </w:rPr>
              <w:t>0.881</w:t>
            </w:r>
          </w:p>
        </w:tc>
        <w:tc>
          <w:tcPr>
            <w:tcW w:w="1167" w:type="dxa"/>
            <w:vAlign w:val="center"/>
          </w:tcPr>
          <w:p w14:paraId="718C2083"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0.537</w:t>
            </w:r>
          </w:p>
        </w:tc>
        <w:tc>
          <w:tcPr>
            <w:tcW w:w="1078" w:type="dxa"/>
            <w:vAlign w:val="center"/>
          </w:tcPr>
          <w:p w14:paraId="27C82CF7"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0.525</w:t>
            </w:r>
          </w:p>
        </w:tc>
      </w:tr>
      <w:tr w:rsidR="00EA5BBF" w:rsidRPr="001570EA" w14:paraId="03DB1CDF" w14:textId="77777777">
        <w:trPr>
          <w:trHeight w:val="301"/>
          <w:jc w:val="center"/>
        </w:trPr>
        <w:tc>
          <w:tcPr>
            <w:tcW w:w="809" w:type="dxa"/>
            <w:shd w:val="clear" w:color="auto" w:fill="BFBFBF" w:themeFill="background1" w:themeFillShade="BF"/>
          </w:tcPr>
          <w:p w14:paraId="37A3F687" w14:textId="77777777" w:rsidR="00EA5BBF" w:rsidRPr="001570EA" w:rsidRDefault="00EA5BBF">
            <w:pPr>
              <w:pStyle w:val="TableCell"/>
              <w:spacing w:before="60" w:after="60"/>
              <w:jc w:val="center"/>
              <w:rPr>
                <w:b/>
                <w:szCs w:val="18"/>
              </w:rPr>
            </w:pPr>
            <w:r w:rsidRPr="001570EA">
              <w:rPr>
                <w:b/>
                <w:szCs w:val="18"/>
              </w:rPr>
              <w:t>G</w:t>
            </w:r>
          </w:p>
        </w:tc>
        <w:tc>
          <w:tcPr>
            <w:tcW w:w="1530" w:type="dxa"/>
            <w:vAlign w:val="center"/>
          </w:tcPr>
          <w:p w14:paraId="28356E17" w14:textId="77777777" w:rsidR="00EA5BBF" w:rsidRPr="001570EA" w:rsidRDefault="00EA5BBF">
            <w:pPr>
              <w:pStyle w:val="TableCell"/>
              <w:spacing w:before="60" w:after="60"/>
              <w:rPr>
                <w:szCs w:val="18"/>
              </w:rPr>
            </w:pPr>
            <w:r w:rsidRPr="001570EA">
              <w:rPr>
                <w:szCs w:val="18"/>
              </w:rPr>
              <w:t>Bradford</w:t>
            </w:r>
          </w:p>
        </w:tc>
        <w:tc>
          <w:tcPr>
            <w:tcW w:w="1260" w:type="dxa"/>
            <w:vAlign w:val="center"/>
          </w:tcPr>
          <w:p w14:paraId="24CD220D"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0.445</w:t>
            </w:r>
          </w:p>
        </w:tc>
        <w:tc>
          <w:tcPr>
            <w:tcW w:w="1169" w:type="dxa"/>
            <w:vAlign w:val="center"/>
          </w:tcPr>
          <w:p w14:paraId="6CA02150"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0.271</w:t>
            </w:r>
          </w:p>
        </w:tc>
        <w:tc>
          <w:tcPr>
            <w:tcW w:w="1156" w:type="dxa"/>
            <w:vAlign w:val="center"/>
          </w:tcPr>
          <w:p w14:paraId="562AFD09"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0.265</w:t>
            </w:r>
          </w:p>
        </w:tc>
        <w:tc>
          <w:tcPr>
            <w:tcW w:w="1186" w:type="dxa"/>
            <w:gridSpan w:val="2"/>
            <w:vAlign w:val="center"/>
          </w:tcPr>
          <w:p w14:paraId="4A3A2F97" w14:textId="77777777" w:rsidR="00EA5BBF" w:rsidRPr="001570EA" w:rsidRDefault="00EA5BBF">
            <w:pPr>
              <w:pStyle w:val="TableCell"/>
              <w:spacing w:before="60" w:after="60"/>
              <w:jc w:val="center"/>
              <w:rPr>
                <w:rFonts w:cs="Arial"/>
                <w:szCs w:val="18"/>
              </w:rPr>
            </w:pPr>
            <w:r w:rsidRPr="001570EA">
              <w:rPr>
                <w:rFonts w:cs="Arial"/>
                <w:color w:val="000000"/>
                <w:szCs w:val="18"/>
              </w:rPr>
              <w:t>0.902</w:t>
            </w:r>
          </w:p>
        </w:tc>
        <w:tc>
          <w:tcPr>
            <w:tcW w:w="1167" w:type="dxa"/>
            <w:vAlign w:val="center"/>
          </w:tcPr>
          <w:p w14:paraId="35408E38"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0.550</w:t>
            </w:r>
          </w:p>
        </w:tc>
        <w:tc>
          <w:tcPr>
            <w:tcW w:w="1078" w:type="dxa"/>
            <w:vAlign w:val="center"/>
          </w:tcPr>
          <w:p w14:paraId="089CD66F"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0.537</w:t>
            </w:r>
          </w:p>
        </w:tc>
      </w:tr>
      <w:tr w:rsidR="00EA5BBF" w:rsidRPr="001570EA" w14:paraId="68BDF05F" w14:textId="77777777">
        <w:trPr>
          <w:trHeight w:val="301"/>
          <w:jc w:val="center"/>
        </w:trPr>
        <w:tc>
          <w:tcPr>
            <w:tcW w:w="809" w:type="dxa"/>
            <w:shd w:val="clear" w:color="auto" w:fill="BFBFBF" w:themeFill="background1" w:themeFillShade="BF"/>
          </w:tcPr>
          <w:p w14:paraId="07EF4180" w14:textId="77777777" w:rsidR="00EA5BBF" w:rsidRPr="001570EA" w:rsidRDefault="00EA5BBF">
            <w:pPr>
              <w:pStyle w:val="TableCell"/>
              <w:spacing w:before="60" w:after="60"/>
              <w:jc w:val="center"/>
              <w:rPr>
                <w:b/>
                <w:szCs w:val="18"/>
              </w:rPr>
            </w:pPr>
            <w:r w:rsidRPr="001570EA">
              <w:rPr>
                <w:b/>
                <w:szCs w:val="18"/>
              </w:rPr>
              <w:t>I</w:t>
            </w:r>
          </w:p>
        </w:tc>
        <w:tc>
          <w:tcPr>
            <w:tcW w:w="1530" w:type="dxa"/>
            <w:vAlign w:val="center"/>
          </w:tcPr>
          <w:p w14:paraId="00B07E9B" w14:textId="77777777" w:rsidR="00EA5BBF" w:rsidRPr="001570EA" w:rsidRDefault="00EA5BBF">
            <w:pPr>
              <w:pStyle w:val="TableCell"/>
              <w:spacing w:before="60" w:after="60"/>
              <w:rPr>
                <w:szCs w:val="18"/>
              </w:rPr>
            </w:pPr>
            <w:r w:rsidRPr="001570EA">
              <w:rPr>
                <w:szCs w:val="18"/>
              </w:rPr>
              <w:t>Erie</w:t>
            </w:r>
          </w:p>
        </w:tc>
        <w:tc>
          <w:tcPr>
            <w:tcW w:w="1260" w:type="dxa"/>
            <w:vAlign w:val="center"/>
          </w:tcPr>
          <w:p w14:paraId="0DF5AF24"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1.022</w:t>
            </w:r>
          </w:p>
        </w:tc>
        <w:tc>
          <w:tcPr>
            <w:tcW w:w="1169" w:type="dxa"/>
            <w:vAlign w:val="center"/>
          </w:tcPr>
          <w:p w14:paraId="254CBFB6"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0.622</w:t>
            </w:r>
          </w:p>
        </w:tc>
        <w:tc>
          <w:tcPr>
            <w:tcW w:w="1156" w:type="dxa"/>
            <w:vAlign w:val="center"/>
          </w:tcPr>
          <w:p w14:paraId="0C6380F9"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0.608</w:t>
            </w:r>
          </w:p>
        </w:tc>
        <w:tc>
          <w:tcPr>
            <w:tcW w:w="1186" w:type="dxa"/>
            <w:gridSpan w:val="2"/>
            <w:vAlign w:val="center"/>
          </w:tcPr>
          <w:p w14:paraId="6057961A" w14:textId="77777777" w:rsidR="00EA5BBF" w:rsidRPr="001570EA" w:rsidRDefault="00EA5BBF">
            <w:pPr>
              <w:pStyle w:val="TableCell"/>
              <w:spacing w:before="60" w:after="60"/>
              <w:jc w:val="center"/>
              <w:rPr>
                <w:rFonts w:cs="Arial"/>
                <w:szCs w:val="18"/>
              </w:rPr>
            </w:pPr>
            <w:r w:rsidRPr="001570EA">
              <w:rPr>
                <w:rFonts w:cs="Arial"/>
                <w:color w:val="000000"/>
                <w:szCs w:val="18"/>
              </w:rPr>
              <w:t>0.726</w:t>
            </w:r>
          </w:p>
        </w:tc>
        <w:tc>
          <w:tcPr>
            <w:tcW w:w="1167" w:type="dxa"/>
            <w:vAlign w:val="center"/>
          </w:tcPr>
          <w:p w14:paraId="1B264A23"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0.442</w:t>
            </w:r>
          </w:p>
        </w:tc>
        <w:tc>
          <w:tcPr>
            <w:tcW w:w="1078" w:type="dxa"/>
            <w:vAlign w:val="center"/>
          </w:tcPr>
          <w:p w14:paraId="26F6E50D"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0.432</w:t>
            </w:r>
          </w:p>
        </w:tc>
      </w:tr>
      <w:tr w:rsidR="00EA5BBF" w:rsidRPr="001570EA" w14:paraId="10631A9E" w14:textId="77777777">
        <w:trPr>
          <w:trHeight w:val="301"/>
          <w:jc w:val="center"/>
        </w:trPr>
        <w:tc>
          <w:tcPr>
            <w:tcW w:w="809" w:type="dxa"/>
            <w:shd w:val="clear" w:color="auto" w:fill="BFBFBF" w:themeFill="background1" w:themeFillShade="BF"/>
          </w:tcPr>
          <w:p w14:paraId="59BB65BF" w14:textId="77777777" w:rsidR="00EA5BBF" w:rsidRPr="001570EA" w:rsidRDefault="00EA5BBF">
            <w:pPr>
              <w:pStyle w:val="TableCell"/>
              <w:spacing w:before="60" w:after="60"/>
              <w:jc w:val="center"/>
              <w:rPr>
                <w:b/>
                <w:szCs w:val="18"/>
              </w:rPr>
            </w:pPr>
            <w:r w:rsidRPr="001570EA">
              <w:rPr>
                <w:b/>
                <w:szCs w:val="18"/>
              </w:rPr>
              <w:t>E</w:t>
            </w:r>
          </w:p>
        </w:tc>
        <w:tc>
          <w:tcPr>
            <w:tcW w:w="1530" w:type="dxa"/>
            <w:vAlign w:val="center"/>
          </w:tcPr>
          <w:p w14:paraId="053B262F" w14:textId="77777777" w:rsidR="00EA5BBF" w:rsidRPr="001570EA" w:rsidRDefault="00EA5BBF">
            <w:pPr>
              <w:pStyle w:val="TableCell"/>
              <w:spacing w:before="60" w:after="60"/>
              <w:rPr>
                <w:szCs w:val="18"/>
              </w:rPr>
            </w:pPr>
            <w:r w:rsidRPr="001570EA">
              <w:rPr>
                <w:szCs w:val="18"/>
              </w:rPr>
              <w:t>Harrisburg</w:t>
            </w:r>
          </w:p>
        </w:tc>
        <w:tc>
          <w:tcPr>
            <w:tcW w:w="1260" w:type="dxa"/>
            <w:vAlign w:val="center"/>
          </w:tcPr>
          <w:p w14:paraId="49348BBA"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0.681</w:t>
            </w:r>
          </w:p>
        </w:tc>
        <w:tc>
          <w:tcPr>
            <w:tcW w:w="1169" w:type="dxa"/>
            <w:vAlign w:val="center"/>
          </w:tcPr>
          <w:p w14:paraId="7FE13050"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0.415</w:t>
            </w:r>
          </w:p>
        </w:tc>
        <w:tc>
          <w:tcPr>
            <w:tcW w:w="1156" w:type="dxa"/>
            <w:vAlign w:val="center"/>
          </w:tcPr>
          <w:p w14:paraId="7D0773C8"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0.405</w:t>
            </w:r>
          </w:p>
        </w:tc>
        <w:tc>
          <w:tcPr>
            <w:tcW w:w="1186" w:type="dxa"/>
            <w:gridSpan w:val="2"/>
            <w:vAlign w:val="center"/>
          </w:tcPr>
          <w:p w14:paraId="21F1B047" w14:textId="77777777" w:rsidR="00EA5BBF" w:rsidRPr="001570EA" w:rsidRDefault="00EA5BBF">
            <w:pPr>
              <w:pStyle w:val="TableCell"/>
              <w:spacing w:before="60" w:after="60"/>
              <w:jc w:val="center"/>
              <w:rPr>
                <w:rFonts w:cs="Arial"/>
                <w:szCs w:val="18"/>
              </w:rPr>
            </w:pPr>
            <w:r w:rsidRPr="001570EA">
              <w:rPr>
                <w:rFonts w:cs="Arial"/>
                <w:color w:val="000000"/>
                <w:szCs w:val="18"/>
              </w:rPr>
              <w:t>0.614</w:t>
            </w:r>
          </w:p>
        </w:tc>
        <w:tc>
          <w:tcPr>
            <w:tcW w:w="1167" w:type="dxa"/>
            <w:vAlign w:val="center"/>
          </w:tcPr>
          <w:p w14:paraId="50044791"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0.374</w:t>
            </w:r>
          </w:p>
        </w:tc>
        <w:tc>
          <w:tcPr>
            <w:tcW w:w="1078" w:type="dxa"/>
            <w:vAlign w:val="center"/>
          </w:tcPr>
          <w:p w14:paraId="4F3A7338"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0.366</w:t>
            </w:r>
          </w:p>
        </w:tc>
      </w:tr>
      <w:tr w:rsidR="00EA5BBF" w:rsidRPr="001570EA" w14:paraId="1C5F3498" w14:textId="77777777">
        <w:trPr>
          <w:trHeight w:val="301"/>
          <w:jc w:val="center"/>
        </w:trPr>
        <w:tc>
          <w:tcPr>
            <w:tcW w:w="809" w:type="dxa"/>
            <w:shd w:val="clear" w:color="auto" w:fill="BFBFBF" w:themeFill="background1" w:themeFillShade="BF"/>
          </w:tcPr>
          <w:p w14:paraId="4500C8C2" w14:textId="77777777" w:rsidR="00EA5BBF" w:rsidRPr="001570EA" w:rsidRDefault="00EA5BBF">
            <w:pPr>
              <w:pStyle w:val="TableCell"/>
              <w:spacing w:before="60" w:after="60"/>
              <w:jc w:val="center"/>
              <w:rPr>
                <w:b/>
                <w:szCs w:val="18"/>
              </w:rPr>
            </w:pPr>
            <w:r w:rsidRPr="001570EA">
              <w:rPr>
                <w:b/>
                <w:szCs w:val="18"/>
              </w:rPr>
              <w:t>D</w:t>
            </w:r>
          </w:p>
        </w:tc>
        <w:tc>
          <w:tcPr>
            <w:tcW w:w="1530" w:type="dxa"/>
            <w:vAlign w:val="center"/>
          </w:tcPr>
          <w:p w14:paraId="4A229E81" w14:textId="77777777" w:rsidR="00EA5BBF" w:rsidRPr="001570EA" w:rsidRDefault="00EA5BBF">
            <w:pPr>
              <w:pStyle w:val="TableCell"/>
              <w:spacing w:before="60" w:after="60"/>
              <w:rPr>
                <w:szCs w:val="18"/>
              </w:rPr>
            </w:pPr>
            <w:r w:rsidRPr="001570EA">
              <w:rPr>
                <w:szCs w:val="18"/>
              </w:rPr>
              <w:t>Philadelphia</w:t>
            </w:r>
          </w:p>
        </w:tc>
        <w:tc>
          <w:tcPr>
            <w:tcW w:w="1260" w:type="dxa"/>
            <w:vAlign w:val="center"/>
          </w:tcPr>
          <w:p w14:paraId="2D27A783"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1.107</w:t>
            </w:r>
          </w:p>
        </w:tc>
        <w:tc>
          <w:tcPr>
            <w:tcW w:w="1169" w:type="dxa"/>
            <w:vAlign w:val="center"/>
          </w:tcPr>
          <w:p w14:paraId="65520E9A"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0.674</w:t>
            </w:r>
          </w:p>
        </w:tc>
        <w:tc>
          <w:tcPr>
            <w:tcW w:w="1156" w:type="dxa"/>
            <w:vAlign w:val="center"/>
          </w:tcPr>
          <w:p w14:paraId="180704C3"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0.659</w:t>
            </w:r>
          </w:p>
        </w:tc>
        <w:tc>
          <w:tcPr>
            <w:tcW w:w="1186" w:type="dxa"/>
            <w:gridSpan w:val="2"/>
            <w:vAlign w:val="center"/>
          </w:tcPr>
          <w:p w14:paraId="604E6602" w14:textId="77777777" w:rsidR="00EA5BBF" w:rsidRPr="001570EA" w:rsidRDefault="00EA5BBF">
            <w:pPr>
              <w:pStyle w:val="TableCell"/>
              <w:spacing w:before="60" w:after="60"/>
              <w:jc w:val="center"/>
              <w:rPr>
                <w:rFonts w:cs="Arial"/>
                <w:szCs w:val="18"/>
              </w:rPr>
            </w:pPr>
            <w:r w:rsidRPr="001570EA">
              <w:rPr>
                <w:rFonts w:cs="Arial"/>
                <w:color w:val="000000"/>
                <w:szCs w:val="18"/>
              </w:rPr>
              <w:t>0.547</w:t>
            </w:r>
          </w:p>
        </w:tc>
        <w:tc>
          <w:tcPr>
            <w:tcW w:w="1167" w:type="dxa"/>
            <w:vAlign w:val="center"/>
          </w:tcPr>
          <w:p w14:paraId="3AAC4B45"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0.333</w:t>
            </w:r>
          </w:p>
        </w:tc>
        <w:tc>
          <w:tcPr>
            <w:tcW w:w="1078" w:type="dxa"/>
            <w:vAlign w:val="center"/>
          </w:tcPr>
          <w:p w14:paraId="7ED06929"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0.325</w:t>
            </w:r>
          </w:p>
        </w:tc>
      </w:tr>
      <w:tr w:rsidR="00EA5BBF" w:rsidRPr="001570EA" w14:paraId="3C0D1E71" w14:textId="77777777">
        <w:trPr>
          <w:trHeight w:val="301"/>
          <w:jc w:val="center"/>
        </w:trPr>
        <w:tc>
          <w:tcPr>
            <w:tcW w:w="809" w:type="dxa"/>
            <w:shd w:val="clear" w:color="auto" w:fill="BFBFBF" w:themeFill="background1" w:themeFillShade="BF"/>
          </w:tcPr>
          <w:p w14:paraId="0B7177E0" w14:textId="77777777" w:rsidR="00EA5BBF" w:rsidRPr="001570EA" w:rsidRDefault="00EA5BBF">
            <w:pPr>
              <w:pStyle w:val="TableCell"/>
              <w:spacing w:before="60" w:after="60"/>
              <w:jc w:val="center"/>
              <w:rPr>
                <w:b/>
                <w:szCs w:val="18"/>
              </w:rPr>
            </w:pPr>
            <w:r w:rsidRPr="001570EA">
              <w:rPr>
                <w:b/>
                <w:szCs w:val="18"/>
              </w:rPr>
              <w:t>H</w:t>
            </w:r>
          </w:p>
        </w:tc>
        <w:tc>
          <w:tcPr>
            <w:tcW w:w="1530" w:type="dxa"/>
            <w:vAlign w:val="center"/>
          </w:tcPr>
          <w:p w14:paraId="1B1078E3" w14:textId="77777777" w:rsidR="00EA5BBF" w:rsidRPr="001570EA" w:rsidRDefault="00EA5BBF">
            <w:pPr>
              <w:pStyle w:val="TableCell"/>
              <w:spacing w:before="60" w:after="60"/>
              <w:rPr>
                <w:szCs w:val="18"/>
              </w:rPr>
            </w:pPr>
            <w:r w:rsidRPr="001570EA">
              <w:rPr>
                <w:szCs w:val="18"/>
              </w:rPr>
              <w:t>Pittsburgh</w:t>
            </w:r>
          </w:p>
        </w:tc>
        <w:tc>
          <w:tcPr>
            <w:tcW w:w="1260" w:type="dxa"/>
            <w:vAlign w:val="center"/>
          </w:tcPr>
          <w:p w14:paraId="61FA4BE5"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0.614</w:t>
            </w:r>
          </w:p>
        </w:tc>
        <w:tc>
          <w:tcPr>
            <w:tcW w:w="1169" w:type="dxa"/>
            <w:vAlign w:val="center"/>
          </w:tcPr>
          <w:p w14:paraId="5A3E6934"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0.374</w:t>
            </w:r>
          </w:p>
        </w:tc>
        <w:tc>
          <w:tcPr>
            <w:tcW w:w="1156" w:type="dxa"/>
            <w:vAlign w:val="center"/>
          </w:tcPr>
          <w:p w14:paraId="2756E801"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0.366</w:t>
            </w:r>
          </w:p>
        </w:tc>
        <w:tc>
          <w:tcPr>
            <w:tcW w:w="1186" w:type="dxa"/>
            <w:gridSpan w:val="2"/>
            <w:vAlign w:val="center"/>
          </w:tcPr>
          <w:p w14:paraId="4C0F285B" w14:textId="77777777" w:rsidR="00EA5BBF" w:rsidRPr="001570EA" w:rsidRDefault="00EA5BBF">
            <w:pPr>
              <w:pStyle w:val="TableCell"/>
              <w:spacing w:before="60" w:after="60"/>
              <w:jc w:val="center"/>
              <w:rPr>
                <w:rFonts w:cs="Arial"/>
                <w:szCs w:val="18"/>
              </w:rPr>
            </w:pPr>
            <w:r w:rsidRPr="001570EA">
              <w:rPr>
                <w:rFonts w:cs="Arial"/>
                <w:color w:val="000000"/>
                <w:szCs w:val="18"/>
              </w:rPr>
              <w:t>0.684</w:t>
            </w:r>
          </w:p>
        </w:tc>
        <w:tc>
          <w:tcPr>
            <w:tcW w:w="1167" w:type="dxa"/>
            <w:vAlign w:val="center"/>
          </w:tcPr>
          <w:p w14:paraId="7C8C1B86"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0.416</w:t>
            </w:r>
          </w:p>
        </w:tc>
        <w:tc>
          <w:tcPr>
            <w:tcW w:w="1078" w:type="dxa"/>
            <w:vAlign w:val="center"/>
          </w:tcPr>
          <w:p w14:paraId="2608D62C"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0.407</w:t>
            </w:r>
          </w:p>
        </w:tc>
      </w:tr>
      <w:tr w:rsidR="00EA5BBF" w:rsidRPr="001570EA" w14:paraId="3D13A869" w14:textId="77777777">
        <w:trPr>
          <w:trHeight w:val="301"/>
          <w:jc w:val="center"/>
        </w:trPr>
        <w:tc>
          <w:tcPr>
            <w:tcW w:w="809" w:type="dxa"/>
            <w:shd w:val="clear" w:color="auto" w:fill="BFBFBF" w:themeFill="background1" w:themeFillShade="BF"/>
          </w:tcPr>
          <w:p w14:paraId="5E55A154" w14:textId="77777777" w:rsidR="00EA5BBF" w:rsidRPr="001570EA" w:rsidRDefault="00EA5BBF">
            <w:pPr>
              <w:pStyle w:val="TableCell"/>
              <w:spacing w:before="60" w:after="60"/>
              <w:jc w:val="center"/>
              <w:rPr>
                <w:b/>
                <w:szCs w:val="18"/>
              </w:rPr>
            </w:pPr>
            <w:r w:rsidRPr="001570EA">
              <w:rPr>
                <w:b/>
                <w:szCs w:val="18"/>
              </w:rPr>
              <w:t>B</w:t>
            </w:r>
          </w:p>
        </w:tc>
        <w:tc>
          <w:tcPr>
            <w:tcW w:w="1530" w:type="dxa"/>
            <w:vAlign w:val="center"/>
          </w:tcPr>
          <w:p w14:paraId="161AE9E9" w14:textId="77777777" w:rsidR="00EA5BBF" w:rsidRPr="001570EA" w:rsidRDefault="00EA5BBF">
            <w:pPr>
              <w:pStyle w:val="TableCell"/>
              <w:spacing w:before="60" w:after="60"/>
              <w:rPr>
                <w:szCs w:val="18"/>
              </w:rPr>
            </w:pPr>
            <w:r w:rsidRPr="001570EA">
              <w:rPr>
                <w:szCs w:val="18"/>
              </w:rPr>
              <w:t>Scranton</w:t>
            </w:r>
          </w:p>
        </w:tc>
        <w:tc>
          <w:tcPr>
            <w:tcW w:w="1260" w:type="dxa"/>
            <w:vAlign w:val="center"/>
          </w:tcPr>
          <w:p w14:paraId="218C53AE"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0.771</w:t>
            </w:r>
          </w:p>
        </w:tc>
        <w:tc>
          <w:tcPr>
            <w:tcW w:w="1169" w:type="dxa"/>
            <w:vAlign w:val="center"/>
          </w:tcPr>
          <w:p w14:paraId="1F73115B" w14:textId="77777777" w:rsidR="00EA5BBF" w:rsidRPr="001570EA" w:rsidRDefault="00EA5BBF">
            <w:pPr>
              <w:pStyle w:val="TableCell"/>
              <w:spacing w:before="60" w:after="60"/>
              <w:jc w:val="center"/>
              <w:rPr>
                <w:rFonts w:cs="Arial"/>
                <w:color w:val="000000"/>
              </w:rPr>
            </w:pPr>
            <w:r w:rsidRPr="001570EA">
              <w:rPr>
                <w:rFonts w:cs="Arial"/>
                <w:color w:val="000000"/>
                <w:szCs w:val="18"/>
              </w:rPr>
              <w:t>0.470</w:t>
            </w:r>
          </w:p>
        </w:tc>
        <w:tc>
          <w:tcPr>
            <w:tcW w:w="1156" w:type="dxa"/>
            <w:vAlign w:val="center"/>
          </w:tcPr>
          <w:p w14:paraId="1C6D8D0D"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0.459</w:t>
            </w:r>
          </w:p>
        </w:tc>
        <w:tc>
          <w:tcPr>
            <w:tcW w:w="1186" w:type="dxa"/>
            <w:gridSpan w:val="2"/>
            <w:vAlign w:val="center"/>
          </w:tcPr>
          <w:p w14:paraId="31C90005" w14:textId="77777777" w:rsidR="00EA5BBF" w:rsidRPr="001570EA" w:rsidRDefault="00EA5BBF">
            <w:pPr>
              <w:pStyle w:val="TableCell"/>
              <w:spacing w:before="60" w:after="60"/>
              <w:jc w:val="center"/>
              <w:rPr>
                <w:rFonts w:cs="Arial"/>
                <w:szCs w:val="18"/>
              </w:rPr>
            </w:pPr>
            <w:r w:rsidRPr="001570EA">
              <w:rPr>
                <w:rFonts w:cs="Arial"/>
                <w:color w:val="000000"/>
                <w:szCs w:val="18"/>
              </w:rPr>
              <w:t>0.701</w:t>
            </w:r>
          </w:p>
        </w:tc>
        <w:tc>
          <w:tcPr>
            <w:tcW w:w="1167" w:type="dxa"/>
            <w:vAlign w:val="center"/>
          </w:tcPr>
          <w:p w14:paraId="0712808F"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0.427</w:t>
            </w:r>
          </w:p>
        </w:tc>
        <w:tc>
          <w:tcPr>
            <w:tcW w:w="1078" w:type="dxa"/>
            <w:vAlign w:val="center"/>
          </w:tcPr>
          <w:p w14:paraId="6BDA9F06"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0.417</w:t>
            </w:r>
          </w:p>
        </w:tc>
      </w:tr>
      <w:tr w:rsidR="00EA5BBF" w:rsidRPr="001570EA" w14:paraId="76FCA5AA" w14:textId="77777777">
        <w:trPr>
          <w:trHeight w:val="301"/>
          <w:jc w:val="center"/>
        </w:trPr>
        <w:tc>
          <w:tcPr>
            <w:tcW w:w="809" w:type="dxa"/>
            <w:shd w:val="clear" w:color="auto" w:fill="BFBFBF" w:themeFill="background1" w:themeFillShade="BF"/>
          </w:tcPr>
          <w:p w14:paraId="3630881B" w14:textId="77777777" w:rsidR="00EA5BBF" w:rsidRPr="001570EA" w:rsidRDefault="00EA5BBF">
            <w:pPr>
              <w:pStyle w:val="TableCell"/>
              <w:spacing w:before="60" w:after="60"/>
              <w:jc w:val="center"/>
              <w:rPr>
                <w:b/>
                <w:szCs w:val="18"/>
              </w:rPr>
            </w:pPr>
            <w:r w:rsidRPr="001570EA">
              <w:rPr>
                <w:b/>
                <w:szCs w:val="18"/>
              </w:rPr>
              <w:t>F</w:t>
            </w:r>
          </w:p>
        </w:tc>
        <w:tc>
          <w:tcPr>
            <w:tcW w:w="1530" w:type="dxa"/>
            <w:vAlign w:val="center"/>
          </w:tcPr>
          <w:p w14:paraId="7EE243FA" w14:textId="77777777" w:rsidR="00EA5BBF" w:rsidRPr="001570EA" w:rsidRDefault="00EA5BBF">
            <w:pPr>
              <w:pStyle w:val="TableCell"/>
              <w:spacing w:before="60" w:after="60"/>
              <w:rPr>
                <w:szCs w:val="18"/>
              </w:rPr>
            </w:pPr>
            <w:r w:rsidRPr="001570EA">
              <w:rPr>
                <w:szCs w:val="18"/>
              </w:rPr>
              <w:t>Williamsport</w:t>
            </w:r>
          </w:p>
        </w:tc>
        <w:tc>
          <w:tcPr>
            <w:tcW w:w="1260" w:type="dxa"/>
            <w:vAlign w:val="center"/>
          </w:tcPr>
          <w:p w14:paraId="4956DBA9"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0.806</w:t>
            </w:r>
          </w:p>
        </w:tc>
        <w:tc>
          <w:tcPr>
            <w:tcW w:w="1169" w:type="dxa"/>
            <w:vAlign w:val="center"/>
          </w:tcPr>
          <w:p w14:paraId="2435B664"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0.491</w:t>
            </w:r>
          </w:p>
        </w:tc>
        <w:tc>
          <w:tcPr>
            <w:tcW w:w="1156" w:type="dxa"/>
            <w:vAlign w:val="center"/>
          </w:tcPr>
          <w:p w14:paraId="3BA2E58F"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0.480</w:t>
            </w:r>
          </w:p>
        </w:tc>
        <w:tc>
          <w:tcPr>
            <w:tcW w:w="1186" w:type="dxa"/>
            <w:gridSpan w:val="2"/>
            <w:vAlign w:val="center"/>
          </w:tcPr>
          <w:p w14:paraId="734D6082" w14:textId="77777777" w:rsidR="00EA5BBF" w:rsidRPr="001570EA" w:rsidRDefault="00EA5BBF">
            <w:pPr>
              <w:pStyle w:val="TableCell"/>
              <w:spacing w:before="60" w:after="60"/>
              <w:jc w:val="center"/>
              <w:rPr>
                <w:rFonts w:cs="Arial"/>
                <w:szCs w:val="18"/>
              </w:rPr>
            </w:pPr>
            <w:r w:rsidRPr="001570EA">
              <w:rPr>
                <w:rFonts w:cs="Arial"/>
                <w:color w:val="000000"/>
                <w:szCs w:val="18"/>
              </w:rPr>
              <w:t>0.701</w:t>
            </w:r>
          </w:p>
        </w:tc>
        <w:tc>
          <w:tcPr>
            <w:tcW w:w="1167" w:type="dxa"/>
            <w:vAlign w:val="center"/>
          </w:tcPr>
          <w:p w14:paraId="7A7C58F4"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0.427</w:t>
            </w:r>
          </w:p>
        </w:tc>
        <w:tc>
          <w:tcPr>
            <w:tcW w:w="1078" w:type="dxa"/>
            <w:vAlign w:val="center"/>
          </w:tcPr>
          <w:p w14:paraId="0F6D810E"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0.418</w:t>
            </w:r>
          </w:p>
        </w:tc>
      </w:tr>
    </w:tbl>
    <w:p w14:paraId="556C51B5" w14:textId="77777777" w:rsidR="00EA5BBF" w:rsidRPr="001570EA" w:rsidRDefault="00EA5BBF" w:rsidP="00EA5BBF">
      <w:pPr>
        <w:pStyle w:val="Caption"/>
        <w:keepNext w:val="0"/>
      </w:pPr>
    </w:p>
    <w:p w14:paraId="37877CC6" w14:textId="4AC06151" w:rsidR="00EA5BBF" w:rsidRPr="001570EA" w:rsidRDefault="00EA5BBF" w:rsidP="00EA5BBF">
      <w:pPr>
        <w:pStyle w:val="Caption"/>
      </w:pPr>
      <w:bookmarkStart w:id="1168" w:name="_Ref15950565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142</w:t>
      </w:r>
      <w:r w:rsidR="002E093A" w:rsidRPr="001570EA">
        <w:fldChar w:fldCharType="end"/>
      </w:r>
      <w:bookmarkEnd w:id="1168"/>
      <w:r w:rsidRPr="001570EA">
        <w:t>: Default Summer Peak Demand Savings – Kit Delivery</w:t>
      </w:r>
    </w:p>
    <w:tbl>
      <w:tblPr>
        <w:tblW w:w="45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1539"/>
        <w:gridCol w:w="1606"/>
        <w:gridCol w:w="1918"/>
        <w:gridCol w:w="1918"/>
      </w:tblGrid>
      <w:tr w:rsidR="00EA5BBF" w:rsidRPr="001570EA" w14:paraId="1EDA30DB" w14:textId="77777777">
        <w:trPr>
          <w:trHeight w:val="317"/>
        </w:trPr>
        <w:tc>
          <w:tcPr>
            <w:tcW w:w="552" w:type="pct"/>
            <w:shd w:val="clear" w:color="auto" w:fill="BFBFBF"/>
            <w:vAlign w:val="center"/>
          </w:tcPr>
          <w:p w14:paraId="63CA809C" w14:textId="77777777" w:rsidR="00EA5BBF" w:rsidRPr="001570EA" w:rsidRDefault="00EA5BBF">
            <w:pPr>
              <w:pStyle w:val="TableCell"/>
              <w:spacing w:before="60" w:after="60"/>
              <w:jc w:val="center"/>
              <w:rPr>
                <w:b/>
                <w:szCs w:val="18"/>
              </w:rPr>
            </w:pPr>
            <w:r w:rsidRPr="001570EA">
              <w:rPr>
                <w:b/>
                <w:szCs w:val="18"/>
              </w:rPr>
              <w:t>Climate Region</w:t>
            </w:r>
          </w:p>
        </w:tc>
        <w:tc>
          <w:tcPr>
            <w:tcW w:w="981" w:type="pct"/>
            <w:shd w:val="clear" w:color="auto" w:fill="BFBFBF"/>
            <w:vAlign w:val="center"/>
          </w:tcPr>
          <w:p w14:paraId="6AB4C1DA" w14:textId="77777777" w:rsidR="00EA5BBF" w:rsidRPr="001570EA" w:rsidRDefault="00EA5BBF">
            <w:pPr>
              <w:pStyle w:val="TableCell"/>
              <w:spacing w:before="60" w:after="60"/>
              <w:jc w:val="center"/>
              <w:rPr>
                <w:b/>
                <w:szCs w:val="18"/>
              </w:rPr>
            </w:pPr>
            <w:r w:rsidRPr="001570EA">
              <w:rPr>
                <w:b/>
                <w:szCs w:val="18"/>
              </w:rPr>
              <w:t>Reference City</w:t>
            </w:r>
          </w:p>
        </w:tc>
        <w:tc>
          <w:tcPr>
            <w:tcW w:w="1023" w:type="pct"/>
            <w:shd w:val="clear" w:color="auto" w:fill="BFBFBF"/>
            <w:vAlign w:val="center"/>
          </w:tcPr>
          <w:p w14:paraId="337DB897" w14:textId="77777777" w:rsidR="00EA5BBF" w:rsidRPr="001570EA" w:rsidRDefault="00EA5BBF">
            <w:pPr>
              <w:pStyle w:val="TableCell"/>
              <w:spacing w:before="60" w:after="60"/>
              <w:jc w:val="center"/>
              <w:rPr>
                <w:rFonts w:cs="Arial"/>
                <w:b/>
                <w:szCs w:val="18"/>
              </w:rPr>
            </w:pPr>
            <w:r w:rsidRPr="001570EA">
              <w:rPr>
                <w:rFonts w:cs="Arial"/>
                <w:b/>
                <w:szCs w:val="18"/>
              </w:rPr>
              <w:t>Caulked Penetrations (ΔkW/ pen.)</w:t>
            </w:r>
          </w:p>
        </w:tc>
        <w:tc>
          <w:tcPr>
            <w:tcW w:w="1222" w:type="pct"/>
            <w:shd w:val="clear" w:color="auto" w:fill="BFBFBF"/>
            <w:vAlign w:val="center"/>
          </w:tcPr>
          <w:p w14:paraId="791F3E03" w14:textId="77777777" w:rsidR="00EA5BBF" w:rsidRPr="001570EA" w:rsidRDefault="00EA5BBF">
            <w:pPr>
              <w:pStyle w:val="TableCell"/>
              <w:spacing w:before="60" w:after="60"/>
              <w:jc w:val="center"/>
              <w:rPr>
                <w:b/>
                <w:szCs w:val="18"/>
              </w:rPr>
            </w:pPr>
            <w:r w:rsidRPr="001570EA">
              <w:rPr>
                <w:rFonts w:cs="Arial"/>
                <w:b/>
                <w:szCs w:val="18"/>
              </w:rPr>
              <w:t>Weather Stripping, Caulking and Sealing (ΔkW/10 lf)</w:t>
            </w:r>
          </w:p>
        </w:tc>
        <w:tc>
          <w:tcPr>
            <w:tcW w:w="1222" w:type="pct"/>
            <w:shd w:val="clear" w:color="auto" w:fill="BFBFBF"/>
            <w:vAlign w:val="center"/>
          </w:tcPr>
          <w:p w14:paraId="3E9AEC08" w14:textId="77777777" w:rsidR="00EA5BBF" w:rsidRPr="001570EA" w:rsidRDefault="00EA5BBF">
            <w:pPr>
              <w:pStyle w:val="TableCell"/>
              <w:spacing w:before="60" w:after="60"/>
              <w:jc w:val="center"/>
              <w:rPr>
                <w:rFonts w:cs="Arial"/>
                <w:b/>
                <w:szCs w:val="18"/>
              </w:rPr>
            </w:pPr>
            <w:r w:rsidRPr="001570EA">
              <w:rPr>
                <w:rFonts w:cs="Arial"/>
                <w:b/>
                <w:szCs w:val="18"/>
              </w:rPr>
              <w:t>Outlet Gaskets</w:t>
            </w:r>
          </w:p>
          <w:p w14:paraId="585DBAF5" w14:textId="77777777" w:rsidR="00EA5BBF" w:rsidRPr="001570EA" w:rsidRDefault="00EA5BBF">
            <w:pPr>
              <w:pStyle w:val="TableCell"/>
              <w:spacing w:before="60" w:after="60"/>
              <w:jc w:val="center"/>
              <w:rPr>
                <w:b/>
                <w:szCs w:val="18"/>
              </w:rPr>
            </w:pPr>
            <w:r w:rsidRPr="001570EA">
              <w:rPr>
                <w:rFonts w:cs="Arial"/>
                <w:b/>
                <w:szCs w:val="18"/>
              </w:rPr>
              <w:t>(ΔkW/gasket)</w:t>
            </w:r>
          </w:p>
        </w:tc>
      </w:tr>
      <w:tr w:rsidR="00EA5BBF" w:rsidRPr="001570EA" w14:paraId="0DD04C4D" w14:textId="77777777">
        <w:trPr>
          <w:trHeight w:val="317"/>
        </w:trPr>
        <w:tc>
          <w:tcPr>
            <w:tcW w:w="552" w:type="pct"/>
            <w:shd w:val="clear" w:color="auto" w:fill="BFBFBF" w:themeFill="background1" w:themeFillShade="BF"/>
          </w:tcPr>
          <w:p w14:paraId="339111F5" w14:textId="77777777" w:rsidR="00EA5BBF" w:rsidRPr="001570EA" w:rsidRDefault="00EA5BBF">
            <w:pPr>
              <w:pStyle w:val="TableCell"/>
              <w:spacing w:before="60" w:after="60"/>
              <w:jc w:val="center"/>
              <w:rPr>
                <w:rFonts w:cs="Arial"/>
                <w:b/>
                <w:szCs w:val="18"/>
              </w:rPr>
            </w:pPr>
            <w:r w:rsidRPr="001570EA">
              <w:rPr>
                <w:b/>
                <w:szCs w:val="18"/>
              </w:rPr>
              <w:t>C</w:t>
            </w:r>
          </w:p>
        </w:tc>
        <w:tc>
          <w:tcPr>
            <w:tcW w:w="981" w:type="pct"/>
            <w:vAlign w:val="center"/>
          </w:tcPr>
          <w:p w14:paraId="5F6ABA05" w14:textId="77777777" w:rsidR="00EA5BBF" w:rsidRPr="001570EA" w:rsidRDefault="00EA5BBF">
            <w:pPr>
              <w:pStyle w:val="TableCell"/>
              <w:spacing w:before="60" w:after="60"/>
              <w:rPr>
                <w:rFonts w:cs="Arial"/>
                <w:szCs w:val="18"/>
              </w:rPr>
            </w:pPr>
            <w:r w:rsidRPr="001570EA">
              <w:rPr>
                <w:rFonts w:cs="Arial"/>
                <w:szCs w:val="18"/>
              </w:rPr>
              <w:t>Allentown</w:t>
            </w:r>
          </w:p>
        </w:tc>
        <w:tc>
          <w:tcPr>
            <w:tcW w:w="1023" w:type="pct"/>
            <w:vAlign w:val="center"/>
          </w:tcPr>
          <w:p w14:paraId="1C6F3FBD" w14:textId="77777777" w:rsidR="00EA5BBF" w:rsidRPr="001570EA" w:rsidRDefault="00EA5BBF">
            <w:pPr>
              <w:pStyle w:val="TableCell"/>
              <w:spacing w:before="60" w:after="60"/>
              <w:jc w:val="center"/>
              <w:rPr>
                <w:rFonts w:cs="Arial"/>
                <w:szCs w:val="18"/>
              </w:rPr>
            </w:pPr>
            <w:r w:rsidRPr="001570EA">
              <w:rPr>
                <w:rFonts w:cs="Arial"/>
                <w:color w:val="000000"/>
                <w:szCs w:val="18"/>
              </w:rPr>
              <w:t>0.0004896</w:t>
            </w:r>
          </w:p>
        </w:tc>
        <w:tc>
          <w:tcPr>
            <w:tcW w:w="1222" w:type="pct"/>
            <w:vAlign w:val="center"/>
          </w:tcPr>
          <w:p w14:paraId="72ECFB0A"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0.0002983</w:t>
            </w:r>
          </w:p>
        </w:tc>
        <w:tc>
          <w:tcPr>
            <w:tcW w:w="1222" w:type="pct"/>
            <w:vAlign w:val="center"/>
          </w:tcPr>
          <w:p w14:paraId="0867B67B"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0.0002916</w:t>
            </w:r>
          </w:p>
        </w:tc>
      </w:tr>
      <w:tr w:rsidR="00EA5BBF" w:rsidRPr="001570EA" w14:paraId="1DB93546" w14:textId="77777777">
        <w:trPr>
          <w:trHeight w:val="317"/>
        </w:trPr>
        <w:tc>
          <w:tcPr>
            <w:tcW w:w="552" w:type="pct"/>
            <w:shd w:val="clear" w:color="auto" w:fill="BFBFBF" w:themeFill="background1" w:themeFillShade="BF"/>
          </w:tcPr>
          <w:p w14:paraId="0B0BE19E" w14:textId="77777777" w:rsidR="00EA5BBF" w:rsidRPr="001570EA" w:rsidRDefault="00EA5BBF">
            <w:pPr>
              <w:pStyle w:val="TableCell"/>
              <w:spacing w:before="60" w:after="60"/>
              <w:jc w:val="center"/>
              <w:rPr>
                <w:rFonts w:cs="Arial"/>
                <w:b/>
                <w:szCs w:val="18"/>
              </w:rPr>
            </w:pPr>
            <w:r w:rsidRPr="001570EA">
              <w:rPr>
                <w:b/>
                <w:szCs w:val="18"/>
              </w:rPr>
              <w:t>A</w:t>
            </w:r>
          </w:p>
        </w:tc>
        <w:tc>
          <w:tcPr>
            <w:tcW w:w="981" w:type="pct"/>
            <w:vAlign w:val="center"/>
          </w:tcPr>
          <w:p w14:paraId="61DB345A" w14:textId="77777777" w:rsidR="00EA5BBF" w:rsidRPr="001570EA" w:rsidRDefault="00EA5BBF">
            <w:pPr>
              <w:pStyle w:val="TableCell"/>
              <w:spacing w:before="60" w:after="60"/>
              <w:rPr>
                <w:rFonts w:cs="Arial"/>
                <w:szCs w:val="18"/>
              </w:rPr>
            </w:pPr>
            <w:r w:rsidRPr="001570EA">
              <w:rPr>
                <w:rFonts w:cs="Arial"/>
                <w:szCs w:val="18"/>
              </w:rPr>
              <w:t>Binghamton, NY</w:t>
            </w:r>
          </w:p>
        </w:tc>
        <w:tc>
          <w:tcPr>
            <w:tcW w:w="1023" w:type="pct"/>
            <w:vAlign w:val="center"/>
          </w:tcPr>
          <w:p w14:paraId="31744540" w14:textId="77777777" w:rsidR="00EA5BBF" w:rsidRPr="001570EA" w:rsidRDefault="00EA5BBF">
            <w:pPr>
              <w:pStyle w:val="TableCell"/>
              <w:spacing w:before="60" w:after="60"/>
              <w:jc w:val="center"/>
              <w:rPr>
                <w:rFonts w:cs="Arial"/>
              </w:rPr>
            </w:pPr>
            <w:r w:rsidRPr="001570EA">
              <w:rPr>
                <w:rFonts w:cs="Arial"/>
                <w:color w:val="000000"/>
                <w:szCs w:val="18"/>
              </w:rPr>
              <w:t>0.0001404</w:t>
            </w:r>
          </w:p>
        </w:tc>
        <w:tc>
          <w:tcPr>
            <w:tcW w:w="1222" w:type="pct"/>
            <w:vAlign w:val="center"/>
          </w:tcPr>
          <w:p w14:paraId="549178F2" w14:textId="77777777" w:rsidR="00EA5BBF" w:rsidRPr="001570EA" w:rsidRDefault="00EA5BBF">
            <w:pPr>
              <w:pStyle w:val="TableCell"/>
              <w:spacing w:before="60" w:after="60"/>
              <w:jc w:val="center"/>
              <w:rPr>
                <w:rFonts w:cs="Arial"/>
              </w:rPr>
            </w:pPr>
            <w:r w:rsidRPr="001570EA">
              <w:rPr>
                <w:rFonts w:cs="Arial"/>
                <w:color w:val="000000"/>
                <w:szCs w:val="18"/>
              </w:rPr>
              <w:t>0.0000855</w:t>
            </w:r>
          </w:p>
        </w:tc>
        <w:tc>
          <w:tcPr>
            <w:tcW w:w="1222" w:type="pct"/>
            <w:vAlign w:val="center"/>
          </w:tcPr>
          <w:p w14:paraId="6BD9CDCD" w14:textId="77777777" w:rsidR="00EA5BBF" w:rsidRPr="001570EA" w:rsidRDefault="00EA5BBF">
            <w:pPr>
              <w:pStyle w:val="TableCell"/>
              <w:spacing w:before="60" w:after="60"/>
              <w:jc w:val="center"/>
              <w:rPr>
                <w:rFonts w:cs="Arial"/>
              </w:rPr>
            </w:pPr>
            <w:r w:rsidRPr="001570EA">
              <w:rPr>
                <w:rFonts w:cs="Arial"/>
                <w:color w:val="000000"/>
                <w:szCs w:val="18"/>
              </w:rPr>
              <w:t>0.0000836</w:t>
            </w:r>
          </w:p>
        </w:tc>
      </w:tr>
      <w:tr w:rsidR="00EA5BBF" w:rsidRPr="001570EA" w14:paraId="1270BC8A" w14:textId="77777777">
        <w:trPr>
          <w:trHeight w:val="317"/>
        </w:trPr>
        <w:tc>
          <w:tcPr>
            <w:tcW w:w="552" w:type="pct"/>
            <w:shd w:val="clear" w:color="auto" w:fill="BFBFBF" w:themeFill="background1" w:themeFillShade="BF"/>
          </w:tcPr>
          <w:p w14:paraId="653D8563" w14:textId="77777777" w:rsidR="00EA5BBF" w:rsidRPr="001570EA" w:rsidRDefault="00EA5BBF">
            <w:pPr>
              <w:pStyle w:val="TableCell"/>
              <w:spacing w:before="60" w:after="60"/>
              <w:jc w:val="center"/>
              <w:rPr>
                <w:rFonts w:cs="Arial"/>
                <w:b/>
                <w:szCs w:val="18"/>
              </w:rPr>
            </w:pPr>
            <w:r w:rsidRPr="001570EA">
              <w:rPr>
                <w:b/>
                <w:szCs w:val="18"/>
              </w:rPr>
              <w:t>G</w:t>
            </w:r>
          </w:p>
        </w:tc>
        <w:tc>
          <w:tcPr>
            <w:tcW w:w="981" w:type="pct"/>
            <w:vAlign w:val="center"/>
          </w:tcPr>
          <w:p w14:paraId="04330155" w14:textId="77777777" w:rsidR="00EA5BBF" w:rsidRPr="001570EA" w:rsidRDefault="00EA5BBF">
            <w:pPr>
              <w:pStyle w:val="TableCell"/>
              <w:spacing w:before="60" w:after="60"/>
              <w:rPr>
                <w:rFonts w:cs="Arial"/>
                <w:szCs w:val="18"/>
              </w:rPr>
            </w:pPr>
            <w:r w:rsidRPr="001570EA">
              <w:rPr>
                <w:rFonts w:cs="Arial"/>
                <w:szCs w:val="18"/>
              </w:rPr>
              <w:t>Bradford</w:t>
            </w:r>
          </w:p>
        </w:tc>
        <w:tc>
          <w:tcPr>
            <w:tcW w:w="1023" w:type="pct"/>
            <w:vAlign w:val="center"/>
          </w:tcPr>
          <w:p w14:paraId="33C6CF9B" w14:textId="77777777" w:rsidR="00EA5BBF" w:rsidRPr="001570EA" w:rsidRDefault="00EA5BBF">
            <w:pPr>
              <w:pStyle w:val="TableCell"/>
              <w:spacing w:before="60" w:after="60"/>
              <w:jc w:val="center"/>
              <w:rPr>
                <w:rFonts w:cs="Arial"/>
              </w:rPr>
            </w:pPr>
            <w:r w:rsidRPr="001570EA">
              <w:rPr>
                <w:rFonts w:cs="Arial"/>
                <w:color w:val="000000"/>
                <w:szCs w:val="18"/>
              </w:rPr>
              <w:t>0.0002357</w:t>
            </w:r>
          </w:p>
        </w:tc>
        <w:tc>
          <w:tcPr>
            <w:tcW w:w="1222" w:type="pct"/>
            <w:vAlign w:val="center"/>
          </w:tcPr>
          <w:p w14:paraId="6D1729D9" w14:textId="77777777" w:rsidR="00EA5BBF" w:rsidRPr="001570EA" w:rsidRDefault="00EA5BBF">
            <w:pPr>
              <w:pStyle w:val="TableCell"/>
              <w:spacing w:before="60" w:after="60"/>
              <w:jc w:val="center"/>
              <w:rPr>
                <w:rFonts w:cs="Arial"/>
              </w:rPr>
            </w:pPr>
            <w:r w:rsidRPr="001570EA">
              <w:rPr>
                <w:rFonts w:cs="Arial"/>
                <w:color w:val="000000"/>
                <w:szCs w:val="18"/>
              </w:rPr>
              <w:t>0.0001436</w:t>
            </w:r>
          </w:p>
        </w:tc>
        <w:tc>
          <w:tcPr>
            <w:tcW w:w="1222" w:type="pct"/>
            <w:vAlign w:val="center"/>
          </w:tcPr>
          <w:p w14:paraId="2CAD610B" w14:textId="77777777" w:rsidR="00EA5BBF" w:rsidRPr="001570EA" w:rsidRDefault="00EA5BBF">
            <w:pPr>
              <w:pStyle w:val="TableCell"/>
              <w:spacing w:before="60" w:after="60"/>
              <w:jc w:val="center"/>
              <w:rPr>
                <w:rFonts w:cs="Arial"/>
              </w:rPr>
            </w:pPr>
            <w:r w:rsidRPr="001570EA">
              <w:rPr>
                <w:rFonts w:cs="Arial"/>
                <w:color w:val="000000"/>
                <w:szCs w:val="18"/>
              </w:rPr>
              <w:t>0.0001403</w:t>
            </w:r>
          </w:p>
        </w:tc>
      </w:tr>
      <w:tr w:rsidR="00EA5BBF" w:rsidRPr="001570EA" w14:paraId="491E5887" w14:textId="77777777">
        <w:trPr>
          <w:trHeight w:val="317"/>
        </w:trPr>
        <w:tc>
          <w:tcPr>
            <w:tcW w:w="552" w:type="pct"/>
            <w:shd w:val="clear" w:color="auto" w:fill="BFBFBF" w:themeFill="background1" w:themeFillShade="BF"/>
          </w:tcPr>
          <w:p w14:paraId="09FDAFEF" w14:textId="77777777" w:rsidR="00EA5BBF" w:rsidRPr="001570EA" w:rsidRDefault="00EA5BBF">
            <w:pPr>
              <w:pStyle w:val="TableCell"/>
              <w:spacing w:before="60" w:after="60"/>
              <w:jc w:val="center"/>
              <w:rPr>
                <w:rFonts w:cs="Arial"/>
                <w:b/>
                <w:szCs w:val="18"/>
              </w:rPr>
            </w:pPr>
            <w:r w:rsidRPr="001570EA">
              <w:rPr>
                <w:b/>
                <w:szCs w:val="18"/>
              </w:rPr>
              <w:t>I</w:t>
            </w:r>
          </w:p>
        </w:tc>
        <w:tc>
          <w:tcPr>
            <w:tcW w:w="981" w:type="pct"/>
            <w:vAlign w:val="center"/>
          </w:tcPr>
          <w:p w14:paraId="64532755" w14:textId="77777777" w:rsidR="00EA5BBF" w:rsidRPr="001570EA" w:rsidRDefault="00EA5BBF">
            <w:pPr>
              <w:pStyle w:val="TableCell"/>
              <w:spacing w:before="60" w:after="60"/>
              <w:rPr>
                <w:rFonts w:cs="Arial"/>
                <w:szCs w:val="18"/>
              </w:rPr>
            </w:pPr>
            <w:r w:rsidRPr="001570EA">
              <w:rPr>
                <w:rFonts w:cs="Arial"/>
                <w:szCs w:val="18"/>
              </w:rPr>
              <w:t>Erie</w:t>
            </w:r>
          </w:p>
        </w:tc>
        <w:tc>
          <w:tcPr>
            <w:tcW w:w="1023" w:type="pct"/>
            <w:vAlign w:val="center"/>
          </w:tcPr>
          <w:p w14:paraId="6518DAF8" w14:textId="77777777" w:rsidR="00EA5BBF" w:rsidRPr="001570EA" w:rsidRDefault="00EA5BBF">
            <w:pPr>
              <w:pStyle w:val="TableCell"/>
              <w:spacing w:before="60" w:after="60"/>
              <w:jc w:val="center"/>
              <w:rPr>
                <w:rFonts w:cs="Arial"/>
                <w:szCs w:val="18"/>
              </w:rPr>
            </w:pPr>
            <w:r w:rsidRPr="001570EA">
              <w:rPr>
                <w:rFonts w:cs="Arial"/>
                <w:color w:val="000000"/>
                <w:szCs w:val="18"/>
              </w:rPr>
              <w:t>0.0005414</w:t>
            </w:r>
          </w:p>
        </w:tc>
        <w:tc>
          <w:tcPr>
            <w:tcW w:w="1222" w:type="pct"/>
            <w:vAlign w:val="center"/>
          </w:tcPr>
          <w:p w14:paraId="059535F0"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0.0003298</w:t>
            </w:r>
          </w:p>
        </w:tc>
        <w:tc>
          <w:tcPr>
            <w:tcW w:w="1222" w:type="pct"/>
            <w:vAlign w:val="center"/>
          </w:tcPr>
          <w:p w14:paraId="4842E37F"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0.0003224</w:t>
            </w:r>
          </w:p>
        </w:tc>
      </w:tr>
      <w:tr w:rsidR="00EA5BBF" w:rsidRPr="001570EA" w14:paraId="077D37AF" w14:textId="77777777">
        <w:trPr>
          <w:trHeight w:val="317"/>
        </w:trPr>
        <w:tc>
          <w:tcPr>
            <w:tcW w:w="552" w:type="pct"/>
            <w:shd w:val="clear" w:color="auto" w:fill="BFBFBF" w:themeFill="background1" w:themeFillShade="BF"/>
          </w:tcPr>
          <w:p w14:paraId="2C370145" w14:textId="77777777" w:rsidR="00EA5BBF" w:rsidRPr="001570EA" w:rsidRDefault="00EA5BBF">
            <w:pPr>
              <w:pStyle w:val="TableCell"/>
              <w:spacing w:before="60" w:after="60"/>
              <w:jc w:val="center"/>
              <w:rPr>
                <w:rFonts w:cs="Arial"/>
                <w:b/>
                <w:szCs w:val="18"/>
              </w:rPr>
            </w:pPr>
            <w:r w:rsidRPr="001570EA">
              <w:rPr>
                <w:b/>
                <w:szCs w:val="18"/>
              </w:rPr>
              <w:t>E</w:t>
            </w:r>
          </w:p>
        </w:tc>
        <w:tc>
          <w:tcPr>
            <w:tcW w:w="981" w:type="pct"/>
            <w:vAlign w:val="center"/>
          </w:tcPr>
          <w:p w14:paraId="55387FD1" w14:textId="77777777" w:rsidR="00EA5BBF" w:rsidRPr="001570EA" w:rsidRDefault="00EA5BBF">
            <w:pPr>
              <w:pStyle w:val="TableCell"/>
              <w:spacing w:before="60" w:after="60"/>
              <w:rPr>
                <w:rFonts w:cs="Arial"/>
                <w:szCs w:val="18"/>
              </w:rPr>
            </w:pPr>
            <w:r w:rsidRPr="001570EA">
              <w:rPr>
                <w:rFonts w:cs="Arial"/>
                <w:szCs w:val="18"/>
              </w:rPr>
              <w:t>Harrisburg</w:t>
            </w:r>
          </w:p>
        </w:tc>
        <w:tc>
          <w:tcPr>
            <w:tcW w:w="1023" w:type="pct"/>
            <w:vAlign w:val="center"/>
          </w:tcPr>
          <w:p w14:paraId="738C6743" w14:textId="77777777" w:rsidR="00EA5BBF" w:rsidRPr="001570EA" w:rsidRDefault="00EA5BBF">
            <w:pPr>
              <w:pStyle w:val="TableCell"/>
              <w:spacing w:before="60" w:after="60"/>
              <w:jc w:val="center"/>
              <w:rPr>
                <w:rFonts w:cs="Arial"/>
                <w:szCs w:val="18"/>
              </w:rPr>
            </w:pPr>
            <w:r w:rsidRPr="001570EA">
              <w:rPr>
                <w:rFonts w:cs="Arial"/>
                <w:color w:val="000000"/>
                <w:szCs w:val="18"/>
              </w:rPr>
              <w:t>0.0003607</w:t>
            </w:r>
          </w:p>
        </w:tc>
        <w:tc>
          <w:tcPr>
            <w:tcW w:w="1222" w:type="pct"/>
            <w:vAlign w:val="center"/>
          </w:tcPr>
          <w:p w14:paraId="6C627C95"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0.0002197</w:t>
            </w:r>
          </w:p>
        </w:tc>
        <w:tc>
          <w:tcPr>
            <w:tcW w:w="1222" w:type="pct"/>
            <w:vAlign w:val="center"/>
          </w:tcPr>
          <w:p w14:paraId="19525B17"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0.0002148</w:t>
            </w:r>
          </w:p>
        </w:tc>
      </w:tr>
      <w:tr w:rsidR="00EA5BBF" w:rsidRPr="001570EA" w14:paraId="15B7C6EB" w14:textId="77777777">
        <w:trPr>
          <w:trHeight w:val="317"/>
        </w:trPr>
        <w:tc>
          <w:tcPr>
            <w:tcW w:w="552" w:type="pct"/>
            <w:shd w:val="clear" w:color="auto" w:fill="BFBFBF" w:themeFill="background1" w:themeFillShade="BF"/>
          </w:tcPr>
          <w:p w14:paraId="69CDDC22" w14:textId="77777777" w:rsidR="00EA5BBF" w:rsidRPr="001570EA" w:rsidRDefault="00EA5BBF">
            <w:pPr>
              <w:pStyle w:val="TableCell"/>
              <w:spacing w:before="60" w:after="60"/>
              <w:jc w:val="center"/>
              <w:rPr>
                <w:rFonts w:cs="Arial"/>
                <w:b/>
                <w:szCs w:val="18"/>
              </w:rPr>
            </w:pPr>
            <w:r w:rsidRPr="001570EA">
              <w:rPr>
                <w:b/>
                <w:szCs w:val="18"/>
              </w:rPr>
              <w:t>D</w:t>
            </w:r>
          </w:p>
        </w:tc>
        <w:tc>
          <w:tcPr>
            <w:tcW w:w="981" w:type="pct"/>
            <w:vAlign w:val="center"/>
          </w:tcPr>
          <w:p w14:paraId="198300F6" w14:textId="77777777" w:rsidR="00EA5BBF" w:rsidRPr="001570EA" w:rsidRDefault="00EA5BBF">
            <w:pPr>
              <w:pStyle w:val="TableCell"/>
              <w:spacing w:before="60" w:after="60"/>
              <w:rPr>
                <w:rFonts w:cs="Arial"/>
                <w:szCs w:val="18"/>
              </w:rPr>
            </w:pPr>
            <w:r w:rsidRPr="001570EA">
              <w:rPr>
                <w:rFonts w:cs="Arial"/>
                <w:szCs w:val="18"/>
              </w:rPr>
              <w:t>Philadelphia</w:t>
            </w:r>
          </w:p>
        </w:tc>
        <w:tc>
          <w:tcPr>
            <w:tcW w:w="1023" w:type="pct"/>
            <w:vAlign w:val="center"/>
          </w:tcPr>
          <w:p w14:paraId="51C89377" w14:textId="77777777" w:rsidR="00EA5BBF" w:rsidRPr="001570EA" w:rsidRDefault="00EA5BBF">
            <w:pPr>
              <w:pStyle w:val="TableCell"/>
              <w:spacing w:before="60" w:after="60"/>
              <w:jc w:val="center"/>
              <w:rPr>
                <w:rFonts w:cs="Arial"/>
                <w:szCs w:val="18"/>
              </w:rPr>
            </w:pPr>
            <w:r w:rsidRPr="001570EA">
              <w:rPr>
                <w:rFonts w:cs="Arial"/>
                <w:color w:val="000000"/>
                <w:szCs w:val="18"/>
              </w:rPr>
              <w:t>0.0005866</w:t>
            </w:r>
          </w:p>
        </w:tc>
        <w:tc>
          <w:tcPr>
            <w:tcW w:w="1222" w:type="pct"/>
            <w:vAlign w:val="center"/>
          </w:tcPr>
          <w:p w14:paraId="16CE1B9E"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0.0003573</w:t>
            </w:r>
          </w:p>
        </w:tc>
        <w:tc>
          <w:tcPr>
            <w:tcW w:w="1222" w:type="pct"/>
            <w:vAlign w:val="center"/>
          </w:tcPr>
          <w:p w14:paraId="7C0638A3"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0.0003493</w:t>
            </w:r>
          </w:p>
        </w:tc>
      </w:tr>
      <w:tr w:rsidR="00EA5BBF" w:rsidRPr="001570EA" w14:paraId="55C885B0" w14:textId="77777777">
        <w:trPr>
          <w:trHeight w:val="317"/>
        </w:trPr>
        <w:tc>
          <w:tcPr>
            <w:tcW w:w="552" w:type="pct"/>
            <w:shd w:val="clear" w:color="auto" w:fill="BFBFBF" w:themeFill="background1" w:themeFillShade="BF"/>
          </w:tcPr>
          <w:p w14:paraId="4656E908" w14:textId="77777777" w:rsidR="00EA5BBF" w:rsidRPr="001570EA" w:rsidRDefault="00EA5BBF">
            <w:pPr>
              <w:pStyle w:val="TableCell"/>
              <w:spacing w:before="60" w:after="60"/>
              <w:jc w:val="center"/>
              <w:rPr>
                <w:rFonts w:cs="Arial"/>
                <w:b/>
                <w:szCs w:val="18"/>
              </w:rPr>
            </w:pPr>
            <w:r w:rsidRPr="001570EA">
              <w:rPr>
                <w:b/>
                <w:szCs w:val="18"/>
              </w:rPr>
              <w:t>H</w:t>
            </w:r>
          </w:p>
        </w:tc>
        <w:tc>
          <w:tcPr>
            <w:tcW w:w="981" w:type="pct"/>
            <w:vAlign w:val="center"/>
          </w:tcPr>
          <w:p w14:paraId="0F36B293" w14:textId="77777777" w:rsidR="00EA5BBF" w:rsidRPr="001570EA" w:rsidRDefault="00EA5BBF">
            <w:pPr>
              <w:pStyle w:val="TableCell"/>
              <w:spacing w:before="60" w:after="60"/>
              <w:rPr>
                <w:rFonts w:cs="Arial"/>
                <w:szCs w:val="18"/>
              </w:rPr>
            </w:pPr>
            <w:r w:rsidRPr="001570EA">
              <w:rPr>
                <w:rFonts w:cs="Arial"/>
                <w:szCs w:val="18"/>
              </w:rPr>
              <w:t>Pittsburgh</w:t>
            </w:r>
          </w:p>
        </w:tc>
        <w:tc>
          <w:tcPr>
            <w:tcW w:w="1023" w:type="pct"/>
            <w:vAlign w:val="center"/>
          </w:tcPr>
          <w:p w14:paraId="406D5CA3" w14:textId="77777777" w:rsidR="00EA5BBF" w:rsidRPr="001570EA" w:rsidRDefault="00EA5BBF">
            <w:pPr>
              <w:pStyle w:val="TableCell"/>
              <w:spacing w:before="60" w:after="60"/>
              <w:jc w:val="center"/>
              <w:rPr>
                <w:rFonts w:cs="Arial"/>
                <w:szCs w:val="18"/>
              </w:rPr>
            </w:pPr>
            <w:r w:rsidRPr="001570EA">
              <w:rPr>
                <w:rFonts w:cs="Arial"/>
                <w:color w:val="000000"/>
                <w:szCs w:val="18"/>
              </w:rPr>
              <w:t>0.0003256</w:t>
            </w:r>
          </w:p>
        </w:tc>
        <w:tc>
          <w:tcPr>
            <w:tcW w:w="1222" w:type="pct"/>
            <w:vAlign w:val="center"/>
          </w:tcPr>
          <w:p w14:paraId="3E87ABA3"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0.0001983</w:t>
            </w:r>
          </w:p>
        </w:tc>
        <w:tc>
          <w:tcPr>
            <w:tcW w:w="1222" w:type="pct"/>
            <w:vAlign w:val="center"/>
          </w:tcPr>
          <w:p w14:paraId="75D05E8F"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0.0001939</w:t>
            </w:r>
          </w:p>
        </w:tc>
      </w:tr>
      <w:tr w:rsidR="00EA5BBF" w:rsidRPr="001570EA" w14:paraId="457A41F3" w14:textId="77777777">
        <w:trPr>
          <w:trHeight w:val="317"/>
        </w:trPr>
        <w:tc>
          <w:tcPr>
            <w:tcW w:w="552" w:type="pct"/>
            <w:shd w:val="clear" w:color="auto" w:fill="BFBFBF" w:themeFill="background1" w:themeFillShade="BF"/>
          </w:tcPr>
          <w:p w14:paraId="08BDA6F4" w14:textId="77777777" w:rsidR="00EA5BBF" w:rsidRPr="001570EA" w:rsidRDefault="00EA5BBF">
            <w:pPr>
              <w:pStyle w:val="TableCell"/>
              <w:spacing w:before="60" w:after="60"/>
              <w:jc w:val="center"/>
              <w:rPr>
                <w:rFonts w:cs="Arial"/>
                <w:b/>
                <w:szCs w:val="18"/>
              </w:rPr>
            </w:pPr>
            <w:r w:rsidRPr="001570EA">
              <w:rPr>
                <w:b/>
                <w:szCs w:val="18"/>
              </w:rPr>
              <w:t>B</w:t>
            </w:r>
          </w:p>
        </w:tc>
        <w:tc>
          <w:tcPr>
            <w:tcW w:w="981" w:type="pct"/>
            <w:vAlign w:val="center"/>
          </w:tcPr>
          <w:p w14:paraId="6EBA9556" w14:textId="77777777" w:rsidR="00EA5BBF" w:rsidRPr="001570EA" w:rsidRDefault="00EA5BBF">
            <w:pPr>
              <w:pStyle w:val="TableCell"/>
              <w:spacing w:before="60" w:after="60"/>
              <w:rPr>
                <w:rFonts w:cs="Arial"/>
                <w:szCs w:val="18"/>
              </w:rPr>
            </w:pPr>
            <w:r w:rsidRPr="001570EA">
              <w:rPr>
                <w:rFonts w:cs="Arial"/>
                <w:szCs w:val="18"/>
              </w:rPr>
              <w:t>Scranton</w:t>
            </w:r>
          </w:p>
        </w:tc>
        <w:tc>
          <w:tcPr>
            <w:tcW w:w="1023" w:type="pct"/>
            <w:vAlign w:val="center"/>
          </w:tcPr>
          <w:p w14:paraId="06FFF503" w14:textId="77777777" w:rsidR="00EA5BBF" w:rsidRPr="001570EA" w:rsidRDefault="00EA5BBF">
            <w:pPr>
              <w:pStyle w:val="TableCell"/>
              <w:spacing w:before="60" w:after="60"/>
              <w:jc w:val="center"/>
              <w:rPr>
                <w:rFonts w:cs="Arial"/>
                <w:szCs w:val="18"/>
              </w:rPr>
            </w:pPr>
            <w:r w:rsidRPr="001570EA">
              <w:rPr>
                <w:rFonts w:cs="Arial"/>
                <w:color w:val="000000"/>
                <w:szCs w:val="18"/>
              </w:rPr>
              <w:t>0.0004085</w:t>
            </w:r>
          </w:p>
        </w:tc>
        <w:tc>
          <w:tcPr>
            <w:tcW w:w="1222" w:type="pct"/>
            <w:vAlign w:val="center"/>
          </w:tcPr>
          <w:p w14:paraId="246735CE"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0.0002489</w:t>
            </w:r>
          </w:p>
        </w:tc>
        <w:tc>
          <w:tcPr>
            <w:tcW w:w="1222" w:type="pct"/>
            <w:vAlign w:val="center"/>
          </w:tcPr>
          <w:p w14:paraId="2687DEC7"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0.0002433</w:t>
            </w:r>
          </w:p>
        </w:tc>
      </w:tr>
      <w:tr w:rsidR="00EA5BBF" w:rsidRPr="001570EA" w14:paraId="44F4DC7B" w14:textId="77777777">
        <w:trPr>
          <w:trHeight w:val="317"/>
        </w:trPr>
        <w:tc>
          <w:tcPr>
            <w:tcW w:w="552" w:type="pct"/>
            <w:shd w:val="clear" w:color="auto" w:fill="BFBFBF" w:themeFill="background1" w:themeFillShade="BF"/>
          </w:tcPr>
          <w:p w14:paraId="7E40CFF4" w14:textId="77777777" w:rsidR="00EA5BBF" w:rsidRPr="001570EA" w:rsidRDefault="00EA5BBF">
            <w:pPr>
              <w:pStyle w:val="TableCell"/>
              <w:spacing w:before="60" w:after="60"/>
              <w:jc w:val="center"/>
              <w:rPr>
                <w:rFonts w:cs="Arial"/>
                <w:b/>
                <w:szCs w:val="18"/>
              </w:rPr>
            </w:pPr>
            <w:r w:rsidRPr="001570EA">
              <w:rPr>
                <w:b/>
                <w:szCs w:val="18"/>
              </w:rPr>
              <w:t>F</w:t>
            </w:r>
          </w:p>
        </w:tc>
        <w:tc>
          <w:tcPr>
            <w:tcW w:w="981" w:type="pct"/>
            <w:vAlign w:val="center"/>
          </w:tcPr>
          <w:p w14:paraId="1776CB30" w14:textId="77777777" w:rsidR="00EA5BBF" w:rsidRPr="001570EA" w:rsidRDefault="00EA5BBF">
            <w:pPr>
              <w:pStyle w:val="TableCell"/>
              <w:spacing w:before="60" w:after="60"/>
              <w:rPr>
                <w:rFonts w:cs="Arial"/>
                <w:szCs w:val="18"/>
              </w:rPr>
            </w:pPr>
            <w:r w:rsidRPr="001570EA">
              <w:rPr>
                <w:rFonts w:cs="Arial"/>
                <w:szCs w:val="18"/>
              </w:rPr>
              <w:t>Williamsport</w:t>
            </w:r>
          </w:p>
        </w:tc>
        <w:tc>
          <w:tcPr>
            <w:tcW w:w="1023" w:type="pct"/>
            <w:vAlign w:val="center"/>
          </w:tcPr>
          <w:p w14:paraId="435DBA8B" w14:textId="77777777" w:rsidR="00EA5BBF" w:rsidRPr="001570EA" w:rsidRDefault="00EA5BBF">
            <w:pPr>
              <w:pStyle w:val="TableCell"/>
              <w:spacing w:before="60" w:after="60"/>
              <w:jc w:val="center"/>
              <w:rPr>
                <w:rFonts w:cs="Arial"/>
                <w:szCs w:val="18"/>
              </w:rPr>
            </w:pPr>
            <w:r w:rsidRPr="001570EA">
              <w:rPr>
                <w:rFonts w:cs="Arial"/>
                <w:color w:val="000000"/>
                <w:szCs w:val="18"/>
              </w:rPr>
              <w:t>0.0004272</w:t>
            </w:r>
          </w:p>
        </w:tc>
        <w:tc>
          <w:tcPr>
            <w:tcW w:w="1222" w:type="pct"/>
            <w:vAlign w:val="center"/>
          </w:tcPr>
          <w:p w14:paraId="7DCA329F"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0.0002602</w:t>
            </w:r>
          </w:p>
        </w:tc>
        <w:tc>
          <w:tcPr>
            <w:tcW w:w="1222" w:type="pct"/>
            <w:vAlign w:val="center"/>
          </w:tcPr>
          <w:p w14:paraId="5104EC94"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0.0002544</w:t>
            </w:r>
          </w:p>
        </w:tc>
      </w:tr>
    </w:tbl>
    <w:p w14:paraId="00BB380C" w14:textId="77777777" w:rsidR="00EA5BBF" w:rsidRPr="001570EA" w:rsidRDefault="00EA5BBF" w:rsidP="00EA5BBF"/>
    <w:p w14:paraId="2961E446" w14:textId="590274CE" w:rsidR="00EA5BBF" w:rsidRPr="001570EA" w:rsidRDefault="00EA5BBF" w:rsidP="00EA5BBF">
      <w:pPr>
        <w:pStyle w:val="Caption"/>
      </w:pPr>
      <w:bookmarkStart w:id="1169" w:name="_Ref159505657"/>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143</w:t>
      </w:r>
      <w:r w:rsidR="002E093A" w:rsidRPr="001570EA">
        <w:fldChar w:fldCharType="end"/>
      </w:r>
      <w:bookmarkEnd w:id="1169"/>
      <w:r w:rsidRPr="001570EA">
        <w:t>: Default Winter Peak Demand Savings – Kit Delivery</w:t>
      </w:r>
    </w:p>
    <w:tbl>
      <w:tblPr>
        <w:tblW w:w="45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1539"/>
        <w:gridCol w:w="1606"/>
        <w:gridCol w:w="1918"/>
        <w:gridCol w:w="1918"/>
      </w:tblGrid>
      <w:tr w:rsidR="00EA5BBF" w:rsidRPr="001570EA" w14:paraId="7567033B" w14:textId="77777777">
        <w:trPr>
          <w:trHeight w:val="317"/>
        </w:trPr>
        <w:tc>
          <w:tcPr>
            <w:tcW w:w="552" w:type="pct"/>
            <w:shd w:val="clear" w:color="auto" w:fill="BFBFBF"/>
            <w:vAlign w:val="center"/>
          </w:tcPr>
          <w:p w14:paraId="2B7F28F3" w14:textId="77777777" w:rsidR="00EA5BBF" w:rsidRPr="001570EA" w:rsidRDefault="00EA5BBF">
            <w:pPr>
              <w:pStyle w:val="TableCell"/>
              <w:spacing w:before="60" w:after="60"/>
              <w:jc w:val="center"/>
              <w:rPr>
                <w:b/>
                <w:szCs w:val="18"/>
              </w:rPr>
            </w:pPr>
            <w:r w:rsidRPr="001570EA">
              <w:rPr>
                <w:b/>
                <w:szCs w:val="18"/>
              </w:rPr>
              <w:t>Climate Region</w:t>
            </w:r>
          </w:p>
        </w:tc>
        <w:tc>
          <w:tcPr>
            <w:tcW w:w="981" w:type="pct"/>
            <w:shd w:val="clear" w:color="auto" w:fill="BFBFBF"/>
            <w:vAlign w:val="center"/>
          </w:tcPr>
          <w:p w14:paraId="4852B740" w14:textId="77777777" w:rsidR="00EA5BBF" w:rsidRPr="001570EA" w:rsidRDefault="00EA5BBF">
            <w:pPr>
              <w:pStyle w:val="TableCell"/>
              <w:spacing w:before="60" w:after="60"/>
              <w:jc w:val="center"/>
              <w:rPr>
                <w:b/>
                <w:szCs w:val="18"/>
              </w:rPr>
            </w:pPr>
            <w:r w:rsidRPr="001570EA">
              <w:rPr>
                <w:b/>
                <w:szCs w:val="18"/>
              </w:rPr>
              <w:t>Reference City</w:t>
            </w:r>
          </w:p>
        </w:tc>
        <w:tc>
          <w:tcPr>
            <w:tcW w:w="1023" w:type="pct"/>
            <w:shd w:val="clear" w:color="auto" w:fill="BFBFBF"/>
            <w:vAlign w:val="center"/>
          </w:tcPr>
          <w:p w14:paraId="284CE097" w14:textId="77777777" w:rsidR="00EA5BBF" w:rsidRPr="001570EA" w:rsidRDefault="00EA5BBF">
            <w:pPr>
              <w:pStyle w:val="TableCell"/>
              <w:spacing w:before="60" w:after="60"/>
              <w:jc w:val="center"/>
              <w:rPr>
                <w:rFonts w:cs="Arial"/>
                <w:b/>
                <w:szCs w:val="18"/>
              </w:rPr>
            </w:pPr>
            <w:r w:rsidRPr="001570EA">
              <w:rPr>
                <w:rFonts w:cs="Arial"/>
                <w:b/>
                <w:szCs w:val="18"/>
              </w:rPr>
              <w:t>Caulked Penetrations (ΔkW/ pen.)</w:t>
            </w:r>
          </w:p>
        </w:tc>
        <w:tc>
          <w:tcPr>
            <w:tcW w:w="1222" w:type="pct"/>
            <w:shd w:val="clear" w:color="auto" w:fill="BFBFBF"/>
            <w:vAlign w:val="center"/>
          </w:tcPr>
          <w:p w14:paraId="2850C3D8" w14:textId="77777777" w:rsidR="00EA5BBF" w:rsidRPr="001570EA" w:rsidRDefault="00EA5BBF">
            <w:pPr>
              <w:pStyle w:val="TableCell"/>
              <w:spacing w:before="60" w:after="60"/>
              <w:jc w:val="center"/>
              <w:rPr>
                <w:b/>
                <w:szCs w:val="18"/>
              </w:rPr>
            </w:pPr>
            <w:r w:rsidRPr="001570EA">
              <w:rPr>
                <w:rFonts w:cs="Arial"/>
                <w:b/>
                <w:szCs w:val="18"/>
              </w:rPr>
              <w:t>Weather Stripping, Caulking and Sealing (ΔkW/10 lf)</w:t>
            </w:r>
          </w:p>
        </w:tc>
        <w:tc>
          <w:tcPr>
            <w:tcW w:w="1222" w:type="pct"/>
            <w:shd w:val="clear" w:color="auto" w:fill="BFBFBF"/>
            <w:vAlign w:val="center"/>
          </w:tcPr>
          <w:p w14:paraId="3D75F7C8" w14:textId="77777777" w:rsidR="00EA5BBF" w:rsidRPr="001570EA" w:rsidRDefault="00EA5BBF">
            <w:pPr>
              <w:pStyle w:val="TableCell"/>
              <w:spacing w:before="60" w:after="60"/>
              <w:jc w:val="center"/>
              <w:rPr>
                <w:rFonts w:cs="Arial"/>
                <w:b/>
                <w:szCs w:val="18"/>
              </w:rPr>
            </w:pPr>
            <w:r w:rsidRPr="001570EA">
              <w:rPr>
                <w:rFonts w:cs="Arial"/>
                <w:b/>
                <w:szCs w:val="18"/>
              </w:rPr>
              <w:t>Outlet Gaskets</w:t>
            </w:r>
          </w:p>
          <w:p w14:paraId="71AF83FA" w14:textId="77777777" w:rsidR="00EA5BBF" w:rsidRPr="001570EA" w:rsidRDefault="00EA5BBF">
            <w:pPr>
              <w:pStyle w:val="TableCell"/>
              <w:spacing w:before="60" w:after="60"/>
              <w:jc w:val="center"/>
              <w:rPr>
                <w:b/>
                <w:szCs w:val="18"/>
              </w:rPr>
            </w:pPr>
            <w:r w:rsidRPr="001570EA">
              <w:rPr>
                <w:rFonts w:cs="Arial"/>
                <w:b/>
                <w:szCs w:val="18"/>
              </w:rPr>
              <w:t>(ΔkW/gasket)</w:t>
            </w:r>
          </w:p>
        </w:tc>
      </w:tr>
      <w:tr w:rsidR="00EA5BBF" w:rsidRPr="001570EA" w14:paraId="02C14ADF" w14:textId="77777777">
        <w:trPr>
          <w:trHeight w:val="317"/>
        </w:trPr>
        <w:tc>
          <w:tcPr>
            <w:tcW w:w="552" w:type="pct"/>
            <w:shd w:val="clear" w:color="auto" w:fill="BFBFBF" w:themeFill="background1" w:themeFillShade="BF"/>
          </w:tcPr>
          <w:p w14:paraId="0BF3E08E" w14:textId="77777777" w:rsidR="00EA5BBF" w:rsidRPr="001570EA" w:rsidRDefault="00EA5BBF">
            <w:pPr>
              <w:pStyle w:val="TableCell"/>
              <w:spacing w:before="60" w:after="60"/>
              <w:jc w:val="center"/>
              <w:rPr>
                <w:rFonts w:cs="Arial"/>
                <w:b/>
                <w:szCs w:val="18"/>
              </w:rPr>
            </w:pPr>
            <w:r w:rsidRPr="001570EA">
              <w:rPr>
                <w:b/>
                <w:szCs w:val="18"/>
              </w:rPr>
              <w:t>C</w:t>
            </w:r>
          </w:p>
        </w:tc>
        <w:tc>
          <w:tcPr>
            <w:tcW w:w="981" w:type="pct"/>
            <w:vAlign w:val="center"/>
          </w:tcPr>
          <w:p w14:paraId="25FA4D47" w14:textId="77777777" w:rsidR="00EA5BBF" w:rsidRPr="001570EA" w:rsidRDefault="00EA5BBF">
            <w:pPr>
              <w:pStyle w:val="TableCell"/>
              <w:spacing w:before="60" w:after="60"/>
              <w:rPr>
                <w:rFonts w:cs="Arial"/>
                <w:szCs w:val="18"/>
              </w:rPr>
            </w:pPr>
            <w:r w:rsidRPr="001570EA">
              <w:rPr>
                <w:rFonts w:cs="Arial"/>
                <w:szCs w:val="18"/>
              </w:rPr>
              <w:t>Allentown</w:t>
            </w:r>
          </w:p>
        </w:tc>
        <w:tc>
          <w:tcPr>
            <w:tcW w:w="1023" w:type="pct"/>
            <w:vAlign w:val="center"/>
          </w:tcPr>
          <w:p w14:paraId="0E735E49" w14:textId="77777777" w:rsidR="00EA5BBF" w:rsidRPr="001570EA" w:rsidRDefault="00EA5BBF">
            <w:pPr>
              <w:pStyle w:val="TableCell"/>
              <w:spacing w:before="60" w:after="60"/>
              <w:jc w:val="center"/>
              <w:rPr>
                <w:rFonts w:cs="Arial"/>
                <w:szCs w:val="18"/>
              </w:rPr>
            </w:pPr>
            <w:r w:rsidRPr="001570EA">
              <w:rPr>
                <w:rFonts w:cs="Arial"/>
                <w:color w:val="000000"/>
                <w:szCs w:val="18"/>
              </w:rPr>
              <w:t>0.0002193</w:t>
            </w:r>
          </w:p>
        </w:tc>
        <w:tc>
          <w:tcPr>
            <w:tcW w:w="1222" w:type="pct"/>
            <w:vAlign w:val="center"/>
          </w:tcPr>
          <w:p w14:paraId="7AF4C08D"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0.0001336</w:t>
            </w:r>
          </w:p>
        </w:tc>
        <w:tc>
          <w:tcPr>
            <w:tcW w:w="1222" w:type="pct"/>
            <w:vAlign w:val="center"/>
          </w:tcPr>
          <w:p w14:paraId="1A8BDD9B"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0.0001306</w:t>
            </w:r>
          </w:p>
        </w:tc>
      </w:tr>
      <w:tr w:rsidR="00EA5BBF" w:rsidRPr="001570EA" w14:paraId="5DDF0984" w14:textId="77777777">
        <w:trPr>
          <w:trHeight w:val="317"/>
        </w:trPr>
        <w:tc>
          <w:tcPr>
            <w:tcW w:w="552" w:type="pct"/>
            <w:shd w:val="clear" w:color="auto" w:fill="BFBFBF" w:themeFill="background1" w:themeFillShade="BF"/>
          </w:tcPr>
          <w:p w14:paraId="4C61EC08" w14:textId="77777777" w:rsidR="00EA5BBF" w:rsidRPr="001570EA" w:rsidRDefault="00EA5BBF">
            <w:pPr>
              <w:pStyle w:val="TableCell"/>
              <w:spacing w:before="60" w:after="60"/>
              <w:jc w:val="center"/>
              <w:rPr>
                <w:rFonts w:cs="Arial"/>
                <w:b/>
                <w:szCs w:val="18"/>
              </w:rPr>
            </w:pPr>
            <w:r w:rsidRPr="001570EA">
              <w:rPr>
                <w:b/>
                <w:szCs w:val="18"/>
              </w:rPr>
              <w:t>A</w:t>
            </w:r>
          </w:p>
        </w:tc>
        <w:tc>
          <w:tcPr>
            <w:tcW w:w="981" w:type="pct"/>
            <w:vAlign w:val="center"/>
          </w:tcPr>
          <w:p w14:paraId="63A8D063" w14:textId="77777777" w:rsidR="00EA5BBF" w:rsidRPr="001570EA" w:rsidRDefault="00EA5BBF">
            <w:pPr>
              <w:pStyle w:val="TableCell"/>
              <w:spacing w:before="60" w:after="60"/>
              <w:rPr>
                <w:rFonts w:cs="Arial"/>
                <w:szCs w:val="18"/>
              </w:rPr>
            </w:pPr>
            <w:r w:rsidRPr="001570EA">
              <w:rPr>
                <w:rFonts w:cs="Arial"/>
                <w:szCs w:val="18"/>
              </w:rPr>
              <w:t>Binghamton, NY</w:t>
            </w:r>
          </w:p>
        </w:tc>
        <w:tc>
          <w:tcPr>
            <w:tcW w:w="1023" w:type="pct"/>
            <w:vAlign w:val="center"/>
          </w:tcPr>
          <w:p w14:paraId="5E4F62DE" w14:textId="77777777" w:rsidR="00EA5BBF" w:rsidRPr="001570EA" w:rsidRDefault="00EA5BBF">
            <w:pPr>
              <w:pStyle w:val="TableCell"/>
              <w:spacing w:before="60" w:after="60"/>
              <w:jc w:val="center"/>
              <w:rPr>
                <w:rFonts w:cs="Arial"/>
              </w:rPr>
            </w:pPr>
            <w:r w:rsidRPr="001570EA">
              <w:rPr>
                <w:rFonts w:cs="Arial"/>
                <w:color w:val="000000"/>
                <w:szCs w:val="18"/>
              </w:rPr>
              <w:t>0.0002996</w:t>
            </w:r>
          </w:p>
        </w:tc>
        <w:tc>
          <w:tcPr>
            <w:tcW w:w="1222" w:type="pct"/>
            <w:vAlign w:val="center"/>
          </w:tcPr>
          <w:p w14:paraId="2690D6FC" w14:textId="77777777" w:rsidR="00EA5BBF" w:rsidRPr="001570EA" w:rsidRDefault="00EA5BBF">
            <w:pPr>
              <w:pStyle w:val="TableCell"/>
              <w:spacing w:before="60" w:after="60"/>
              <w:jc w:val="center"/>
              <w:rPr>
                <w:rFonts w:cs="Arial"/>
              </w:rPr>
            </w:pPr>
            <w:r w:rsidRPr="001570EA">
              <w:rPr>
                <w:rFonts w:cs="Arial"/>
                <w:color w:val="000000"/>
                <w:szCs w:val="18"/>
              </w:rPr>
              <w:t>0.0001825</w:t>
            </w:r>
          </w:p>
        </w:tc>
        <w:tc>
          <w:tcPr>
            <w:tcW w:w="1222" w:type="pct"/>
            <w:vAlign w:val="center"/>
          </w:tcPr>
          <w:p w14:paraId="1D945073" w14:textId="77777777" w:rsidR="00EA5BBF" w:rsidRPr="001570EA" w:rsidRDefault="00EA5BBF">
            <w:pPr>
              <w:pStyle w:val="TableCell"/>
              <w:spacing w:before="60" w:after="60"/>
              <w:jc w:val="center"/>
              <w:rPr>
                <w:rFonts w:cs="Arial"/>
              </w:rPr>
            </w:pPr>
            <w:r w:rsidRPr="001570EA">
              <w:rPr>
                <w:rFonts w:cs="Arial"/>
                <w:color w:val="000000"/>
                <w:szCs w:val="18"/>
              </w:rPr>
              <w:t>0.0001784</w:t>
            </w:r>
          </w:p>
        </w:tc>
      </w:tr>
      <w:tr w:rsidR="00EA5BBF" w:rsidRPr="001570EA" w14:paraId="4CDE9AC1" w14:textId="77777777">
        <w:trPr>
          <w:trHeight w:val="317"/>
        </w:trPr>
        <w:tc>
          <w:tcPr>
            <w:tcW w:w="552" w:type="pct"/>
            <w:shd w:val="clear" w:color="auto" w:fill="BFBFBF" w:themeFill="background1" w:themeFillShade="BF"/>
          </w:tcPr>
          <w:p w14:paraId="507D0091" w14:textId="77777777" w:rsidR="00EA5BBF" w:rsidRPr="001570EA" w:rsidRDefault="00EA5BBF">
            <w:pPr>
              <w:pStyle w:val="TableCell"/>
              <w:spacing w:before="60" w:after="60"/>
              <w:jc w:val="center"/>
              <w:rPr>
                <w:rFonts w:cs="Arial"/>
                <w:b/>
                <w:szCs w:val="18"/>
              </w:rPr>
            </w:pPr>
            <w:r w:rsidRPr="001570EA">
              <w:rPr>
                <w:b/>
                <w:szCs w:val="18"/>
              </w:rPr>
              <w:t>G</w:t>
            </w:r>
          </w:p>
        </w:tc>
        <w:tc>
          <w:tcPr>
            <w:tcW w:w="981" w:type="pct"/>
            <w:vAlign w:val="center"/>
          </w:tcPr>
          <w:p w14:paraId="668B9EEE" w14:textId="77777777" w:rsidR="00EA5BBF" w:rsidRPr="001570EA" w:rsidRDefault="00EA5BBF">
            <w:pPr>
              <w:pStyle w:val="TableCell"/>
              <w:spacing w:before="60" w:after="60"/>
              <w:rPr>
                <w:rFonts w:cs="Arial"/>
                <w:szCs w:val="18"/>
              </w:rPr>
            </w:pPr>
            <w:r w:rsidRPr="001570EA">
              <w:rPr>
                <w:rFonts w:cs="Arial"/>
                <w:szCs w:val="18"/>
              </w:rPr>
              <w:t>Bradford</w:t>
            </w:r>
          </w:p>
        </w:tc>
        <w:tc>
          <w:tcPr>
            <w:tcW w:w="1023" w:type="pct"/>
            <w:vAlign w:val="center"/>
          </w:tcPr>
          <w:p w14:paraId="155CEBA7" w14:textId="77777777" w:rsidR="00EA5BBF" w:rsidRPr="001570EA" w:rsidRDefault="00EA5BBF">
            <w:pPr>
              <w:pStyle w:val="TableCell"/>
              <w:spacing w:before="60" w:after="60"/>
              <w:jc w:val="center"/>
              <w:rPr>
                <w:rFonts w:cs="Arial"/>
              </w:rPr>
            </w:pPr>
            <w:r w:rsidRPr="001570EA">
              <w:rPr>
                <w:rFonts w:cs="Arial"/>
                <w:color w:val="000000"/>
                <w:szCs w:val="18"/>
              </w:rPr>
              <w:t>0.0003068</w:t>
            </w:r>
          </w:p>
        </w:tc>
        <w:tc>
          <w:tcPr>
            <w:tcW w:w="1222" w:type="pct"/>
            <w:vAlign w:val="center"/>
          </w:tcPr>
          <w:p w14:paraId="28C91B52" w14:textId="77777777" w:rsidR="00EA5BBF" w:rsidRPr="001570EA" w:rsidRDefault="00EA5BBF">
            <w:pPr>
              <w:pStyle w:val="TableCell"/>
              <w:spacing w:before="60" w:after="60"/>
              <w:jc w:val="center"/>
              <w:rPr>
                <w:rFonts w:cs="Arial"/>
              </w:rPr>
            </w:pPr>
            <w:r w:rsidRPr="001570EA">
              <w:rPr>
                <w:rFonts w:cs="Arial"/>
                <w:color w:val="000000"/>
                <w:szCs w:val="18"/>
              </w:rPr>
              <w:t>0.0001869</w:t>
            </w:r>
          </w:p>
        </w:tc>
        <w:tc>
          <w:tcPr>
            <w:tcW w:w="1222" w:type="pct"/>
            <w:vAlign w:val="center"/>
          </w:tcPr>
          <w:p w14:paraId="4629CE5D" w14:textId="77777777" w:rsidR="00EA5BBF" w:rsidRPr="001570EA" w:rsidRDefault="00EA5BBF">
            <w:pPr>
              <w:pStyle w:val="TableCell"/>
              <w:spacing w:before="60" w:after="60"/>
              <w:jc w:val="center"/>
              <w:rPr>
                <w:rFonts w:cs="Arial"/>
              </w:rPr>
            </w:pPr>
            <w:r w:rsidRPr="001570EA">
              <w:rPr>
                <w:rFonts w:cs="Arial"/>
                <w:color w:val="000000"/>
                <w:szCs w:val="18"/>
              </w:rPr>
              <w:t>0.0001827</w:t>
            </w:r>
          </w:p>
        </w:tc>
      </w:tr>
      <w:tr w:rsidR="00EA5BBF" w:rsidRPr="001570EA" w14:paraId="3D239493" w14:textId="77777777">
        <w:trPr>
          <w:trHeight w:val="317"/>
        </w:trPr>
        <w:tc>
          <w:tcPr>
            <w:tcW w:w="552" w:type="pct"/>
            <w:shd w:val="clear" w:color="auto" w:fill="BFBFBF" w:themeFill="background1" w:themeFillShade="BF"/>
          </w:tcPr>
          <w:p w14:paraId="12E3B735" w14:textId="77777777" w:rsidR="00EA5BBF" w:rsidRPr="001570EA" w:rsidRDefault="00EA5BBF">
            <w:pPr>
              <w:pStyle w:val="TableCell"/>
              <w:spacing w:before="60" w:after="60"/>
              <w:jc w:val="center"/>
              <w:rPr>
                <w:rFonts w:cs="Arial"/>
                <w:b/>
                <w:szCs w:val="18"/>
              </w:rPr>
            </w:pPr>
            <w:r w:rsidRPr="001570EA">
              <w:rPr>
                <w:b/>
                <w:szCs w:val="18"/>
              </w:rPr>
              <w:t>I</w:t>
            </w:r>
          </w:p>
        </w:tc>
        <w:tc>
          <w:tcPr>
            <w:tcW w:w="981" w:type="pct"/>
            <w:vAlign w:val="center"/>
          </w:tcPr>
          <w:p w14:paraId="44F81E9B" w14:textId="77777777" w:rsidR="00EA5BBF" w:rsidRPr="001570EA" w:rsidRDefault="00EA5BBF">
            <w:pPr>
              <w:pStyle w:val="TableCell"/>
              <w:spacing w:before="60" w:after="60"/>
              <w:rPr>
                <w:rFonts w:cs="Arial"/>
                <w:szCs w:val="18"/>
              </w:rPr>
            </w:pPr>
            <w:r w:rsidRPr="001570EA">
              <w:rPr>
                <w:rFonts w:cs="Arial"/>
                <w:szCs w:val="18"/>
              </w:rPr>
              <w:t>Erie</w:t>
            </w:r>
          </w:p>
        </w:tc>
        <w:tc>
          <w:tcPr>
            <w:tcW w:w="1023" w:type="pct"/>
            <w:vAlign w:val="center"/>
          </w:tcPr>
          <w:p w14:paraId="7DBAFC8B" w14:textId="77777777" w:rsidR="00EA5BBF" w:rsidRPr="001570EA" w:rsidRDefault="00EA5BBF">
            <w:pPr>
              <w:pStyle w:val="TableCell"/>
              <w:spacing w:before="60" w:after="60"/>
              <w:jc w:val="center"/>
              <w:rPr>
                <w:rFonts w:cs="Arial"/>
                <w:szCs w:val="18"/>
              </w:rPr>
            </w:pPr>
            <w:r w:rsidRPr="001570EA">
              <w:rPr>
                <w:rFonts w:cs="Arial"/>
                <w:color w:val="000000"/>
                <w:szCs w:val="18"/>
              </w:rPr>
              <w:t>0.0002467</w:t>
            </w:r>
          </w:p>
        </w:tc>
        <w:tc>
          <w:tcPr>
            <w:tcW w:w="1222" w:type="pct"/>
            <w:vAlign w:val="center"/>
          </w:tcPr>
          <w:p w14:paraId="09775157"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0.0001503</w:t>
            </w:r>
          </w:p>
        </w:tc>
        <w:tc>
          <w:tcPr>
            <w:tcW w:w="1222" w:type="pct"/>
            <w:vAlign w:val="center"/>
          </w:tcPr>
          <w:p w14:paraId="41783F5C"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0.0001469</w:t>
            </w:r>
          </w:p>
        </w:tc>
      </w:tr>
      <w:tr w:rsidR="00EA5BBF" w:rsidRPr="001570EA" w14:paraId="7AABF25D" w14:textId="77777777">
        <w:trPr>
          <w:trHeight w:val="317"/>
        </w:trPr>
        <w:tc>
          <w:tcPr>
            <w:tcW w:w="552" w:type="pct"/>
            <w:shd w:val="clear" w:color="auto" w:fill="BFBFBF" w:themeFill="background1" w:themeFillShade="BF"/>
          </w:tcPr>
          <w:p w14:paraId="19079150" w14:textId="77777777" w:rsidR="00EA5BBF" w:rsidRPr="001570EA" w:rsidRDefault="00EA5BBF">
            <w:pPr>
              <w:pStyle w:val="TableCell"/>
              <w:spacing w:before="60" w:after="60"/>
              <w:jc w:val="center"/>
              <w:rPr>
                <w:rFonts w:cs="Arial"/>
                <w:b/>
                <w:szCs w:val="18"/>
              </w:rPr>
            </w:pPr>
            <w:r w:rsidRPr="001570EA">
              <w:rPr>
                <w:b/>
                <w:szCs w:val="18"/>
              </w:rPr>
              <w:t>E</w:t>
            </w:r>
          </w:p>
        </w:tc>
        <w:tc>
          <w:tcPr>
            <w:tcW w:w="981" w:type="pct"/>
            <w:vAlign w:val="center"/>
          </w:tcPr>
          <w:p w14:paraId="525E6F98" w14:textId="77777777" w:rsidR="00EA5BBF" w:rsidRPr="001570EA" w:rsidRDefault="00EA5BBF">
            <w:pPr>
              <w:pStyle w:val="TableCell"/>
              <w:spacing w:before="60" w:after="60"/>
              <w:rPr>
                <w:rFonts w:cs="Arial"/>
                <w:szCs w:val="18"/>
              </w:rPr>
            </w:pPr>
            <w:r w:rsidRPr="001570EA">
              <w:rPr>
                <w:rFonts w:cs="Arial"/>
                <w:szCs w:val="18"/>
              </w:rPr>
              <w:t>Harrisburg</w:t>
            </w:r>
          </w:p>
        </w:tc>
        <w:tc>
          <w:tcPr>
            <w:tcW w:w="1023" w:type="pct"/>
            <w:vAlign w:val="center"/>
          </w:tcPr>
          <w:p w14:paraId="0BEC09A4" w14:textId="77777777" w:rsidR="00EA5BBF" w:rsidRPr="001570EA" w:rsidRDefault="00EA5BBF">
            <w:pPr>
              <w:pStyle w:val="TableCell"/>
              <w:spacing w:before="60" w:after="60"/>
              <w:jc w:val="center"/>
              <w:rPr>
                <w:rFonts w:cs="Arial"/>
                <w:szCs w:val="18"/>
              </w:rPr>
            </w:pPr>
            <w:r w:rsidRPr="001570EA">
              <w:rPr>
                <w:rFonts w:cs="Arial"/>
                <w:color w:val="000000"/>
                <w:szCs w:val="18"/>
              </w:rPr>
              <w:t>0.0002089</w:t>
            </w:r>
          </w:p>
        </w:tc>
        <w:tc>
          <w:tcPr>
            <w:tcW w:w="1222" w:type="pct"/>
            <w:vAlign w:val="center"/>
          </w:tcPr>
          <w:p w14:paraId="793A8FDF"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0.0001272</w:t>
            </w:r>
          </w:p>
        </w:tc>
        <w:tc>
          <w:tcPr>
            <w:tcW w:w="1222" w:type="pct"/>
            <w:vAlign w:val="center"/>
          </w:tcPr>
          <w:p w14:paraId="56AE6029"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0.0001244</w:t>
            </w:r>
          </w:p>
        </w:tc>
      </w:tr>
      <w:tr w:rsidR="00EA5BBF" w:rsidRPr="001570EA" w14:paraId="4A7D3113" w14:textId="77777777">
        <w:trPr>
          <w:trHeight w:val="317"/>
        </w:trPr>
        <w:tc>
          <w:tcPr>
            <w:tcW w:w="552" w:type="pct"/>
            <w:shd w:val="clear" w:color="auto" w:fill="BFBFBF" w:themeFill="background1" w:themeFillShade="BF"/>
          </w:tcPr>
          <w:p w14:paraId="317DC216" w14:textId="77777777" w:rsidR="00EA5BBF" w:rsidRPr="001570EA" w:rsidRDefault="00EA5BBF">
            <w:pPr>
              <w:pStyle w:val="TableCell"/>
              <w:spacing w:before="60" w:after="60"/>
              <w:jc w:val="center"/>
              <w:rPr>
                <w:rFonts w:cs="Arial"/>
                <w:b/>
                <w:szCs w:val="18"/>
              </w:rPr>
            </w:pPr>
            <w:r w:rsidRPr="001570EA">
              <w:rPr>
                <w:b/>
                <w:szCs w:val="18"/>
              </w:rPr>
              <w:t>D</w:t>
            </w:r>
          </w:p>
        </w:tc>
        <w:tc>
          <w:tcPr>
            <w:tcW w:w="981" w:type="pct"/>
            <w:vAlign w:val="center"/>
          </w:tcPr>
          <w:p w14:paraId="408B99D6" w14:textId="77777777" w:rsidR="00EA5BBF" w:rsidRPr="001570EA" w:rsidRDefault="00EA5BBF">
            <w:pPr>
              <w:pStyle w:val="TableCell"/>
              <w:spacing w:before="60" w:after="60"/>
              <w:rPr>
                <w:rFonts w:cs="Arial"/>
                <w:szCs w:val="18"/>
              </w:rPr>
            </w:pPr>
            <w:r w:rsidRPr="001570EA">
              <w:rPr>
                <w:rFonts w:cs="Arial"/>
                <w:szCs w:val="18"/>
              </w:rPr>
              <w:t>Philadelphia</w:t>
            </w:r>
          </w:p>
        </w:tc>
        <w:tc>
          <w:tcPr>
            <w:tcW w:w="1023" w:type="pct"/>
            <w:vAlign w:val="center"/>
          </w:tcPr>
          <w:p w14:paraId="46998A66" w14:textId="77777777" w:rsidR="00EA5BBF" w:rsidRPr="001570EA" w:rsidRDefault="00EA5BBF">
            <w:pPr>
              <w:pStyle w:val="TableCell"/>
              <w:spacing w:before="60" w:after="60"/>
              <w:jc w:val="center"/>
              <w:rPr>
                <w:rFonts w:cs="Arial"/>
                <w:szCs w:val="18"/>
              </w:rPr>
            </w:pPr>
            <w:r w:rsidRPr="001570EA">
              <w:rPr>
                <w:rFonts w:cs="Arial"/>
                <w:color w:val="000000"/>
                <w:szCs w:val="18"/>
              </w:rPr>
              <w:t>0.0001858</w:t>
            </w:r>
          </w:p>
        </w:tc>
        <w:tc>
          <w:tcPr>
            <w:tcW w:w="1222" w:type="pct"/>
            <w:vAlign w:val="center"/>
          </w:tcPr>
          <w:p w14:paraId="0B5F34DD"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0.0001132</w:t>
            </w:r>
          </w:p>
        </w:tc>
        <w:tc>
          <w:tcPr>
            <w:tcW w:w="1222" w:type="pct"/>
            <w:vAlign w:val="center"/>
          </w:tcPr>
          <w:p w14:paraId="5E7BB28A"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0.0001107</w:t>
            </w:r>
          </w:p>
        </w:tc>
      </w:tr>
      <w:tr w:rsidR="00EA5BBF" w:rsidRPr="001570EA" w14:paraId="480B37B5" w14:textId="77777777">
        <w:trPr>
          <w:trHeight w:val="317"/>
        </w:trPr>
        <w:tc>
          <w:tcPr>
            <w:tcW w:w="552" w:type="pct"/>
            <w:shd w:val="clear" w:color="auto" w:fill="BFBFBF" w:themeFill="background1" w:themeFillShade="BF"/>
          </w:tcPr>
          <w:p w14:paraId="3FD070AE" w14:textId="77777777" w:rsidR="00EA5BBF" w:rsidRPr="001570EA" w:rsidRDefault="00EA5BBF">
            <w:pPr>
              <w:pStyle w:val="TableCell"/>
              <w:spacing w:before="60" w:after="60"/>
              <w:jc w:val="center"/>
              <w:rPr>
                <w:rFonts w:cs="Arial"/>
                <w:b/>
                <w:szCs w:val="18"/>
              </w:rPr>
            </w:pPr>
            <w:r w:rsidRPr="001570EA">
              <w:rPr>
                <w:b/>
                <w:szCs w:val="18"/>
              </w:rPr>
              <w:t>H</w:t>
            </w:r>
          </w:p>
        </w:tc>
        <w:tc>
          <w:tcPr>
            <w:tcW w:w="981" w:type="pct"/>
            <w:vAlign w:val="center"/>
          </w:tcPr>
          <w:p w14:paraId="3A7FA7B1" w14:textId="77777777" w:rsidR="00EA5BBF" w:rsidRPr="001570EA" w:rsidRDefault="00EA5BBF">
            <w:pPr>
              <w:pStyle w:val="TableCell"/>
              <w:spacing w:before="60" w:after="60"/>
              <w:rPr>
                <w:rFonts w:cs="Arial"/>
                <w:szCs w:val="18"/>
              </w:rPr>
            </w:pPr>
            <w:r w:rsidRPr="001570EA">
              <w:rPr>
                <w:rFonts w:cs="Arial"/>
                <w:szCs w:val="18"/>
              </w:rPr>
              <w:t>Pittsburgh</w:t>
            </w:r>
          </w:p>
        </w:tc>
        <w:tc>
          <w:tcPr>
            <w:tcW w:w="1023" w:type="pct"/>
            <w:vAlign w:val="center"/>
          </w:tcPr>
          <w:p w14:paraId="4E50FB08" w14:textId="77777777" w:rsidR="00EA5BBF" w:rsidRPr="001570EA" w:rsidRDefault="00EA5BBF">
            <w:pPr>
              <w:pStyle w:val="TableCell"/>
              <w:spacing w:before="60" w:after="60"/>
              <w:jc w:val="center"/>
              <w:rPr>
                <w:rFonts w:cs="Arial"/>
                <w:szCs w:val="18"/>
              </w:rPr>
            </w:pPr>
            <w:r w:rsidRPr="001570EA">
              <w:rPr>
                <w:rFonts w:cs="Arial"/>
                <w:color w:val="000000"/>
                <w:szCs w:val="18"/>
              </w:rPr>
              <w:t>0.0002324</w:t>
            </w:r>
          </w:p>
        </w:tc>
        <w:tc>
          <w:tcPr>
            <w:tcW w:w="1222" w:type="pct"/>
            <w:vAlign w:val="center"/>
          </w:tcPr>
          <w:p w14:paraId="13BB318F"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0.0001416</w:t>
            </w:r>
          </w:p>
        </w:tc>
        <w:tc>
          <w:tcPr>
            <w:tcW w:w="1222" w:type="pct"/>
            <w:vAlign w:val="center"/>
          </w:tcPr>
          <w:p w14:paraId="0F68F1A6"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0.0001384</w:t>
            </w:r>
          </w:p>
        </w:tc>
      </w:tr>
      <w:tr w:rsidR="00EA5BBF" w:rsidRPr="001570EA" w14:paraId="498DBB3E" w14:textId="77777777">
        <w:trPr>
          <w:trHeight w:val="317"/>
        </w:trPr>
        <w:tc>
          <w:tcPr>
            <w:tcW w:w="552" w:type="pct"/>
            <w:shd w:val="clear" w:color="auto" w:fill="BFBFBF" w:themeFill="background1" w:themeFillShade="BF"/>
          </w:tcPr>
          <w:p w14:paraId="716502C0" w14:textId="77777777" w:rsidR="00EA5BBF" w:rsidRPr="001570EA" w:rsidRDefault="00EA5BBF">
            <w:pPr>
              <w:pStyle w:val="TableCell"/>
              <w:spacing w:before="60" w:after="60"/>
              <w:jc w:val="center"/>
              <w:rPr>
                <w:rFonts w:cs="Arial"/>
                <w:b/>
                <w:szCs w:val="18"/>
              </w:rPr>
            </w:pPr>
            <w:r w:rsidRPr="001570EA">
              <w:rPr>
                <w:b/>
                <w:szCs w:val="18"/>
              </w:rPr>
              <w:t>B</w:t>
            </w:r>
          </w:p>
        </w:tc>
        <w:tc>
          <w:tcPr>
            <w:tcW w:w="981" w:type="pct"/>
            <w:vAlign w:val="center"/>
          </w:tcPr>
          <w:p w14:paraId="4B278473" w14:textId="77777777" w:rsidR="00EA5BBF" w:rsidRPr="001570EA" w:rsidRDefault="00EA5BBF">
            <w:pPr>
              <w:pStyle w:val="TableCell"/>
              <w:spacing w:before="60" w:after="60"/>
              <w:rPr>
                <w:rFonts w:cs="Arial"/>
                <w:szCs w:val="18"/>
              </w:rPr>
            </w:pPr>
            <w:r w:rsidRPr="001570EA">
              <w:rPr>
                <w:rFonts w:cs="Arial"/>
                <w:szCs w:val="18"/>
              </w:rPr>
              <w:t>Scranton</w:t>
            </w:r>
          </w:p>
        </w:tc>
        <w:tc>
          <w:tcPr>
            <w:tcW w:w="1023" w:type="pct"/>
            <w:vAlign w:val="center"/>
          </w:tcPr>
          <w:p w14:paraId="4610FDA1" w14:textId="77777777" w:rsidR="00EA5BBF" w:rsidRPr="001570EA" w:rsidRDefault="00EA5BBF">
            <w:pPr>
              <w:pStyle w:val="TableCell"/>
              <w:spacing w:before="60" w:after="60"/>
              <w:jc w:val="center"/>
              <w:rPr>
                <w:rFonts w:cs="Arial"/>
                <w:szCs w:val="18"/>
              </w:rPr>
            </w:pPr>
            <w:r w:rsidRPr="001570EA">
              <w:rPr>
                <w:rFonts w:cs="Arial"/>
                <w:color w:val="000000"/>
                <w:szCs w:val="18"/>
              </w:rPr>
              <w:t>0.0002383</w:t>
            </w:r>
          </w:p>
        </w:tc>
        <w:tc>
          <w:tcPr>
            <w:tcW w:w="1222" w:type="pct"/>
            <w:vAlign w:val="center"/>
          </w:tcPr>
          <w:p w14:paraId="14DED8C4"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0.0001451</w:t>
            </w:r>
          </w:p>
        </w:tc>
        <w:tc>
          <w:tcPr>
            <w:tcW w:w="1222" w:type="pct"/>
            <w:vAlign w:val="center"/>
          </w:tcPr>
          <w:p w14:paraId="442E916C"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0.0001419</w:t>
            </w:r>
          </w:p>
        </w:tc>
      </w:tr>
      <w:tr w:rsidR="00EA5BBF" w:rsidRPr="001570EA" w14:paraId="67100AC2" w14:textId="77777777">
        <w:trPr>
          <w:trHeight w:val="317"/>
        </w:trPr>
        <w:tc>
          <w:tcPr>
            <w:tcW w:w="552" w:type="pct"/>
            <w:shd w:val="clear" w:color="auto" w:fill="BFBFBF" w:themeFill="background1" w:themeFillShade="BF"/>
          </w:tcPr>
          <w:p w14:paraId="5D551FA6" w14:textId="77777777" w:rsidR="00EA5BBF" w:rsidRPr="001570EA" w:rsidRDefault="00EA5BBF">
            <w:pPr>
              <w:pStyle w:val="TableCell"/>
              <w:spacing w:before="60" w:after="60"/>
              <w:jc w:val="center"/>
              <w:rPr>
                <w:rFonts w:cs="Arial"/>
                <w:b/>
                <w:szCs w:val="18"/>
              </w:rPr>
            </w:pPr>
            <w:r w:rsidRPr="001570EA">
              <w:rPr>
                <w:b/>
                <w:szCs w:val="18"/>
              </w:rPr>
              <w:t>F</w:t>
            </w:r>
          </w:p>
        </w:tc>
        <w:tc>
          <w:tcPr>
            <w:tcW w:w="981" w:type="pct"/>
            <w:vAlign w:val="center"/>
          </w:tcPr>
          <w:p w14:paraId="25AC1340" w14:textId="77777777" w:rsidR="00EA5BBF" w:rsidRPr="001570EA" w:rsidRDefault="00EA5BBF">
            <w:pPr>
              <w:pStyle w:val="TableCell"/>
              <w:spacing w:before="60" w:after="60"/>
              <w:rPr>
                <w:rFonts w:cs="Arial"/>
                <w:szCs w:val="18"/>
              </w:rPr>
            </w:pPr>
            <w:r w:rsidRPr="001570EA">
              <w:rPr>
                <w:rFonts w:cs="Arial"/>
                <w:szCs w:val="18"/>
              </w:rPr>
              <w:t>Williamsport</w:t>
            </w:r>
          </w:p>
        </w:tc>
        <w:tc>
          <w:tcPr>
            <w:tcW w:w="1023" w:type="pct"/>
            <w:vAlign w:val="center"/>
          </w:tcPr>
          <w:p w14:paraId="556B3FF6" w14:textId="77777777" w:rsidR="00EA5BBF" w:rsidRPr="001570EA" w:rsidRDefault="00EA5BBF">
            <w:pPr>
              <w:pStyle w:val="TableCell"/>
              <w:spacing w:before="60" w:after="60"/>
              <w:jc w:val="center"/>
              <w:rPr>
                <w:rFonts w:cs="Arial"/>
                <w:szCs w:val="18"/>
              </w:rPr>
            </w:pPr>
            <w:r w:rsidRPr="001570EA">
              <w:rPr>
                <w:rFonts w:cs="Arial"/>
                <w:color w:val="000000"/>
                <w:szCs w:val="18"/>
              </w:rPr>
              <w:t>0.0002385</w:t>
            </w:r>
          </w:p>
        </w:tc>
        <w:tc>
          <w:tcPr>
            <w:tcW w:w="1222" w:type="pct"/>
            <w:vAlign w:val="center"/>
          </w:tcPr>
          <w:p w14:paraId="0E81A5AC"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0.0001453</w:t>
            </w:r>
          </w:p>
        </w:tc>
        <w:tc>
          <w:tcPr>
            <w:tcW w:w="1222" w:type="pct"/>
            <w:vAlign w:val="center"/>
          </w:tcPr>
          <w:p w14:paraId="1EBD8124" w14:textId="77777777" w:rsidR="00EA5BBF" w:rsidRPr="001570EA" w:rsidRDefault="00EA5BBF">
            <w:pPr>
              <w:pStyle w:val="TableCell"/>
              <w:spacing w:before="60" w:after="60"/>
              <w:jc w:val="center"/>
              <w:rPr>
                <w:rFonts w:cs="Arial"/>
                <w:color w:val="000000"/>
                <w:szCs w:val="18"/>
              </w:rPr>
            </w:pPr>
            <w:r w:rsidRPr="001570EA">
              <w:rPr>
                <w:rFonts w:cs="Arial"/>
                <w:color w:val="000000"/>
                <w:szCs w:val="18"/>
              </w:rPr>
              <w:t>0.0001420</w:t>
            </w:r>
          </w:p>
        </w:tc>
      </w:tr>
    </w:tbl>
    <w:p w14:paraId="6D7995A8" w14:textId="77777777" w:rsidR="00EA5BBF" w:rsidRPr="001570EA" w:rsidRDefault="00EA5BBF" w:rsidP="00EA5BBF"/>
    <w:p w14:paraId="6C6F3E6C" w14:textId="77777777" w:rsidR="00EA5BBF" w:rsidRPr="001570EA" w:rsidRDefault="00EA5BBF" w:rsidP="00EA5BBF"/>
    <w:p w14:paraId="02BAA0C3" w14:textId="77777777" w:rsidR="00EA5BBF" w:rsidRPr="001570EA" w:rsidRDefault="00EA5BBF" w:rsidP="00EA5BBF">
      <w:pPr>
        <w:pStyle w:val="SubStyle"/>
      </w:pPr>
      <w:r w:rsidRPr="001570EA">
        <w:t>Evaluation Protocols</w:t>
      </w:r>
    </w:p>
    <w:p w14:paraId="4CB5FF21" w14:textId="77777777" w:rsidR="00EA5BBF" w:rsidRPr="001570EA" w:rsidRDefault="00EA5BBF" w:rsidP="00EA5BBF">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 For kit delivery, EDCs should estimate in-service rate through customer surveys.</w:t>
      </w:r>
    </w:p>
    <w:p w14:paraId="7D0967DC" w14:textId="77777777" w:rsidR="00EA5BBF" w:rsidRPr="001570EA" w:rsidRDefault="00EA5BBF" w:rsidP="00EA5BBF"/>
    <w:p w14:paraId="6CE24FB7" w14:textId="77777777" w:rsidR="00EA5BBF" w:rsidRPr="001570EA" w:rsidRDefault="00EA5BBF" w:rsidP="00EA5BBF">
      <w:pPr>
        <w:pStyle w:val="SubStyle"/>
        <w:rPr>
          <w:color w:val="000000" w:themeColor="text1"/>
        </w:rPr>
      </w:pPr>
      <w:r w:rsidRPr="001570EA">
        <w:t>Sources</w:t>
      </w:r>
    </w:p>
    <w:p w14:paraId="411915CB" w14:textId="792B0128" w:rsidR="00EA5BBF" w:rsidRPr="001570EA" w:rsidRDefault="00EA5BBF" w:rsidP="00152CD6">
      <w:pPr>
        <w:pStyle w:val="source10"/>
        <w:numPr>
          <w:ilvl w:val="0"/>
          <w:numId w:val="80"/>
        </w:numPr>
        <w:tabs>
          <w:tab w:val="num" w:pos="450"/>
        </w:tabs>
        <w:spacing w:after="120"/>
        <w:ind w:left="360"/>
        <w:jc w:val="left"/>
      </w:pPr>
      <w:r w:rsidRPr="001570EA">
        <w:t xml:space="preserve">GDS Associates, Inc. (2007). Measure Life Report, Residential and Commercial/Industrial Lighting and HVAC Measures. Table 1 – Residential Measures. </w:t>
      </w:r>
      <w:hyperlink r:id="rId329" w:history="1">
        <w:r w:rsidRPr="001570EA">
          <w:rPr>
            <w:rStyle w:val="Hyperlink"/>
            <w:rFonts w:cs="Arial"/>
          </w:rPr>
          <w:t>Weblink</w:t>
        </w:r>
      </w:hyperlink>
    </w:p>
    <w:p w14:paraId="7A65DF64" w14:textId="77777777" w:rsidR="00EA5BBF" w:rsidRPr="001570EA" w:rsidRDefault="00EA5BBF" w:rsidP="00152CD6">
      <w:pPr>
        <w:pStyle w:val="source10"/>
        <w:numPr>
          <w:ilvl w:val="0"/>
          <w:numId w:val="80"/>
        </w:numPr>
        <w:spacing w:line="288" w:lineRule="auto"/>
        <w:ind w:left="360"/>
        <w:jc w:val="left"/>
        <w:rPr>
          <w:rStyle w:val="Hyperlink"/>
          <w:color w:val="000000" w:themeColor="text1"/>
        </w:rPr>
      </w:pPr>
      <w:r w:rsidRPr="001570EA">
        <w:rPr>
          <w:color w:val="000000" w:themeColor="text1"/>
        </w:rPr>
        <w:t>ASHRAE. (2001) AHSRAE Handbook – Fundamentals, Chapter 26: Ventilation and Infiltration, Table 1.</w:t>
      </w:r>
    </w:p>
    <w:p w14:paraId="3137E695" w14:textId="743FCB2C" w:rsidR="00EA5BBF" w:rsidRPr="001570EA" w:rsidRDefault="00EA5BBF" w:rsidP="00152CD6">
      <w:pPr>
        <w:pStyle w:val="source10"/>
        <w:numPr>
          <w:ilvl w:val="0"/>
          <w:numId w:val="80"/>
        </w:numPr>
        <w:spacing w:line="288" w:lineRule="auto"/>
        <w:ind w:left="360"/>
        <w:jc w:val="left"/>
        <w:rPr>
          <w:lang w:val="fr-FR"/>
        </w:rPr>
      </w:pPr>
      <w:r w:rsidRPr="001570EA">
        <w:t xml:space="preserve">ΔCFM50 is estimated by dividing the ELA by 0.055. The Energy Conservatory. (2012, August). Minneapolis Blower Door Operation Manual. </w:t>
      </w:r>
      <w:r w:rsidRPr="001570EA">
        <w:rPr>
          <w:lang w:val="fr-FR"/>
        </w:rPr>
        <w:t>P</w:t>
      </w:r>
      <w:r w:rsidR="00A236B5">
        <w:rPr>
          <w:lang w:val="fr-FR"/>
        </w:rPr>
        <w:t>a</w:t>
      </w:r>
      <w:r w:rsidRPr="001570EA">
        <w:rPr>
          <w:lang w:val="fr-FR"/>
        </w:rPr>
        <w:t>g</w:t>
      </w:r>
      <w:r w:rsidR="00A236B5">
        <w:rPr>
          <w:lang w:val="fr-FR"/>
        </w:rPr>
        <w:t>e</w:t>
      </w:r>
      <w:r w:rsidRPr="001570EA">
        <w:rPr>
          <w:lang w:val="fr-FR"/>
        </w:rPr>
        <w:t xml:space="preserve"> 83. </w:t>
      </w:r>
      <w:hyperlink r:id="rId330" w:history="1">
        <w:r w:rsidRPr="001570EA">
          <w:rPr>
            <w:rStyle w:val="Hyperlink"/>
            <w:lang w:val="fr-FR"/>
          </w:rPr>
          <w:t>Weblink</w:t>
        </w:r>
      </w:hyperlink>
    </w:p>
    <w:p w14:paraId="4895A14B" w14:textId="21386F3B" w:rsidR="00EA5BBF" w:rsidRPr="001570EA" w:rsidRDefault="002F2300" w:rsidP="00152CD6">
      <w:pPr>
        <w:pStyle w:val="ListParagraph"/>
        <w:numPr>
          <w:ilvl w:val="0"/>
          <w:numId w:val="80"/>
        </w:numPr>
        <w:ind w:left="360"/>
        <w:rPr>
          <w:rStyle w:val="Hyperlink"/>
          <w:rFonts w:cs="Arial"/>
          <w:color w:val="auto"/>
          <w:u w:val="none"/>
        </w:rPr>
      </w:pPr>
      <w:r w:rsidRPr="001570EA">
        <w:t>Based on the Phase III SWE team’s analysis of regional HVAC runtime data collected from ecobee’s Donate Your Data research service (</w:t>
      </w:r>
      <w:hyperlink r:id="rId331" w:history="1">
        <w:r w:rsidRPr="001570EA">
          <w:rPr>
            <w:rStyle w:val="Hyperlink"/>
          </w:rPr>
          <w:t>Weblink</w:t>
        </w:r>
      </w:hyperlink>
      <w:r w:rsidRPr="001570EA">
        <w:t>) and updated based on the latest CDD and HDD values from NOAA’s 15-year annual climate Normals (2006–2020) (</w:t>
      </w:r>
      <w:hyperlink r:id="rId332" w:history="1">
        <w:r w:rsidRPr="001570EA">
          <w:rPr>
            <w:rStyle w:val="Hyperlink"/>
          </w:rPr>
          <w:t>Weblink</w:t>
        </w:r>
      </w:hyperlink>
      <w:r w:rsidRPr="001570EA">
        <w:t>)</w:t>
      </w:r>
    </w:p>
    <w:p w14:paraId="2F5998CF" w14:textId="77777777" w:rsidR="00EA5BBF" w:rsidRPr="001570EA" w:rsidRDefault="00EA5BBF" w:rsidP="00152CD6">
      <w:pPr>
        <w:pStyle w:val="ListParagraph"/>
        <w:numPr>
          <w:ilvl w:val="0"/>
          <w:numId w:val="80"/>
        </w:numPr>
        <w:ind w:left="360"/>
        <w:rPr>
          <w:rFonts w:cs="Arial"/>
        </w:rPr>
      </w:pPr>
      <w:r w:rsidRPr="001570EA">
        <w:t>Weighted average of ISRs from surveys of FirstEnergy customers that received outlet gaskets in kits in PY13 and PY14.</w:t>
      </w:r>
    </w:p>
    <w:p w14:paraId="1B47F985" w14:textId="4CB6732E" w:rsidR="00EA5BBF" w:rsidRPr="001570EA" w:rsidRDefault="00EA5BBF" w:rsidP="00152CD6">
      <w:pPr>
        <w:pStyle w:val="source10"/>
        <w:numPr>
          <w:ilvl w:val="0"/>
          <w:numId w:val="80"/>
        </w:numPr>
        <w:spacing w:line="288" w:lineRule="auto"/>
        <w:ind w:left="360"/>
        <w:jc w:val="left"/>
      </w:pPr>
      <w:r w:rsidRPr="001570EA">
        <w:t xml:space="preserve">LM values calculated as total load (sensible + latent) divided by sensible load, from sensible and latent values in Harriman et al. (1997, November). ASHRAE Journal "Dehumidification and Cooling Loads from Ventilation Air." </w:t>
      </w:r>
      <w:hyperlink r:id="rId333" w:history="1">
        <w:r w:rsidRPr="001570EA">
          <w:rPr>
            <w:rStyle w:val="Hyperlink"/>
            <w:rFonts w:cs="Arial"/>
          </w:rPr>
          <w:t>Weblink</w:t>
        </w:r>
      </w:hyperlink>
    </w:p>
    <w:p w14:paraId="333C1F43" w14:textId="19B20F05" w:rsidR="00EA5BBF" w:rsidRPr="001570EA" w:rsidRDefault="00EA5BBF" w:rsidP="00152CD6">
      <w:pPr>
        <w:pStyle w:val="source10"/>
        <w:numPr>
          <w:ilvl w:val="0"/>
          <w:numId w:val="80"/>
        </w:numPr>
        <w:spacing w:line="288" w:lineRule="auto"/>
        <w:ind w:left="360"/>
        <w:jc w:val="left"/>
      </w:pPr>
      <w:r w:rsidRPr="001570EA">
        <w:t xml:space="preserve">Energy Center of Wisconsin. (2008, May).  Central Air Conditioning in Wisconsin, A Compilation of Recent Field Research. </w:t>
      </w:r>
      <w:hyperlink r:id="rId334" w:history="1">
        <w:r w:rsidRPr="001570EA">
          <w:rPr>
            <w:rStyle w:val="Hyperlink"/>
          </w:rPr>
          <w:t>Weblink</w:t>
        </w:r>
      </w:hyperlink>
    </w:p>
    <w:p w14:paraId="24880CCE" w14:textId="674FAA95" w:rsidR="00EA5BBF" w:rsidRPr="001570EA" w:rsidRDefault="00EA5BBF" w:rsidP="00152CD6">
      <w:pPr>
        <w:pStyle w:val="ListParagraph"/>
        <w:numPr>
          <w:ilvl w:val="0"/>
          <w:numId w:val="80"/>
        </w:numPr>
        <w:ind w:left="360"/>
      </w:pPr>
      <w:r w:rsidRPr="001570EA">
        <w:rPr>
          <w:color w:val="000000" w:themeColor="text1"/>
        </w:rPr>
        <w:t xml:space="preserve">NMR Group for the Pennsylvania Public Utility Commission. (2024, March). 2023 Pennsylvania Statewide Act 129 Residential Baseline Study. </w:t>
      </w:r>
      <w:hyperlink r:id="rId335" w:history="1">
        <w:r w:rsidRPr="001570EA">
          <w:rPr>
            <w:rStyle w:val="Hyperlink"/>
          </w:rPr>
          <w:t>Weblink</w:t>
        </w:r>
      </w:hyperlink>
      <w:r w:rsidRPr="001570EA">
        <w:rPr>
          <w:color w:val="000000" w:themeColor="text1"/>
        </w:rPr>
        <w:t>. Average home conditioned floor area = 2,019 ft</w:t>
      </w:r>
      <w:r w:rsidRPr="001570EA">
        <w:rPr>
          <w:color w:val="000000" w:themeColor="text1"/>
          <w:vertAlign w:val="superscript"/>
        </w:rPr>
        <w:t>2</w:t>
      </w:r>
      <w:r w:rsidRPr="001570EA">
        <w:rPr>
          <w:color w:val="000000" w:themeColor="text1"/>
        </w:rPr>
        <w:t xml:space="preserve">; average number of room AC units per home = 1.74; </w:t>
      </w:r>
      <w:r w:rsidRPr="001570EA">
        <w:t>average Room AC capacity = 7,161 BTU/hr. Per ENERGY STAR Room AC sizing chart (</w:t>
      </w:r>
      <w:hyperlink r:id="rId336" w:history="1">
        <w:r w:rsidRPr="001570EA">
          <w:rPr>
            <w:rStyle w:val="Hyperlink"/>
          </w:rPr>
          <w:t>Weblink</w:t>
        </w:r>
      </w:hyperlink>
      <w:r w:rsidRPr="001570EA">
        <w:t>), 7,161 BTU/hr of cooling serves approximately 28</w:t>
      </w:r>
      <w:r w:rsidRPr="001570EA">
        <w:rPr>
          <w:rFonts w:cs="Arial"/>
        </w:rPr>
        <w:t>3 ft</w:t>
      </w:r>
      <w:r w:rsidRPr="001570EA">
        <w:rPr>
          <w:rFonts w:cs="Arial"/>
          <w:vertAlign w:val="superscript"/>
        </w:rPr>
        <w:t>2</w:t>
      </w:r>
      <w:r w:rsidRPr="001570EA">
        <w:rPr>
          <w:rFonts w:cs="Arial"/>
        </w:rPr>
        <w:t xml:space="preserve">. </w:t>
      </w:r>
      <w:r w:rsidRPr="001570EA">
        <w:rPr>
          <w:rFonts w:cs="Arial"/>
          <w:i/>
        </w:rPr>
        <w:t>F</w:t>
      </w:r>
      <w:r w:rsidRPr="001570EA">
        <w:rPr>
          <w:rFonts w:cs="Arial"/>
          <w:i/>
          <w:vertAlign w:val="subscript"/>
        </w:rPr>
        <w:t>RAC</w:t>
      </w:r>
      <w:r w:rsidRPr="001570EA">
        <w:rPr>
          <w:rFonts w:cs="Arial"/>
        </w:rPr>
        <w:t xml:space="preserve"> = (283 ft</w:t>
      </w:r>
      <w:r w:rsidRPr="001570EA">
        <w:rPr>
          <w:rFonts w:cs="Arial"/>
          <w:vertAlign w:val="superscript"/>
        </w:rPr>
        <w:t>2</w:t>
      </w:r>
      <w:r w:rsidRPr="001570EA">
        <w:rPr>
          <w:rFonts w:cs="Arial"/>
        </w:rPr>
        <w:t xml:space="preserve"> × 1.74)/(2,019 ft</w:t>
      </w:r>
      <w:r w:rsidRPr="001570EA">
        <w:rPr>
          <w:rFonts w:cs="Arial"/>
          <w:vertAlign w:val="superscript"/>
        </w:rPr>
        <w:t>2</w:t>
      </w:r>
      <w:r w:rsidRPr="001570EA">
        <w:rPr>
          <w:rFonts w:cs="Arial"/>
        </w:rPr>
        <w:t>) = 0.24</w:t>
      </w:r>
      <w:r w:rsidRPr="001570EA">
        <w:t>.</w:t>
      </w:r>
    </w:p>
    <w:p w14:paraId="12600EE9" w14:textId="04E2F01A" w:rsidR="00EA5BBF" w:rsidRPr="001570EA" w:rsidRDefault="00EA5BBF" w:rsidP="00152CD6">
      <w:pPr>
        <w:pStyle w:val="ListParagraph"/>
        <w:numPr>
          <w:ilvl w:val="0"/>
          <w:numId w:val="80"/>
        </w:numPr>
        <w:ind w:left="360"/>
      </w:pPr>
      <w:r w:rsidRPr="001570EA">
        <w:rPr>
          <w:color w:val="000000" w:themeColor="text1"/>
        </w:rPr>
        <w:t>NMR Group for the Pennsylvania Public Utility Commission. (2024, March). 2023 Pennsylvania Statewide Act 129 Residential Baseline Study. P</w:t>
      </w:r>
      <w:r w:rsidR="00A236B5">
        <w:rPr>
          <w:color w:val="000000" w:themeColor="text1"/>
        </w:rPr>
        <w:t>a</w:t>
      </w:r>
      <w:r w:rsidRPr="001570EA">
        <w:rPr>
          <w:color w:val="000000" w:themeColor="text1"/>
        </w:rPr>
        <w:t>g</w:t>
      </w:r>
      <w:r w:rsidR="00A236B5">
        <w:rPr>
          <w:color w:val="000000" w:themeColor="text1"/>
        </w:rPr>
        <w:t>e</w:t>
      </w:r>
      <w:r w:rsidRPr="001570EA">
        <w:rPr>
          <w:color w:val="000000" w:themeColor="text1"/>
        </w:rPr>
        <w:t xml:space="preserve"> 111, </w:t>
      </w:r>
      <w:r w:rsidR="00D82F18">
        <w:rPr>
          <w:color w:val="000000" w:themeColor="text1"/>
        </w:rPr>
        <w:t>T</w:t>
      </w:r>
      <w:r w:rsidRPr="001570EA">
        <w:rPr>
          <w:color w:val="000000" w:themeColor="text1"/>
        </w:rPr>
        <w:t xml:space="preserve">able 93. </w:t>
      </w:r>
      <w:hyperlink r:id="rId337" w:history="1">
        <w:r w:rsidRPr="001570EA">
          <w:rPr>
            <w:rStyle w:val="Hyperlink"/>
          </w:rPr>
          <w:t>Weblink</w:t>
        </w:r>
      </w:hyperlink>
      <w:r w:rsidRPr="001570EA">
        <w:rPr>
          <w:color w:val="000000" w:themeColor="text1"/>
        </w:rPr>
        <w:t>.</w:t>
      </w:r>
    </w:p>
    <w:p w14:paraId="0A28AC7B" w14:textId="599E6677" w:rsidR="00EA5BBF" w:rsidRPr="001570EA" w:rsidRDefault="00EA5BBF" w:rsidP="00152CD6">
      <w:pPr>
        <w:pStyle w:val="source10"/>
        <w:numPr>
          <w:ilvl w:val="0"/>
          <w:numId w:val="80"/>
        </w:numPr>
        <w:spacing w:line="288" w:lineRule="auto"/>
        <w:ind w:left="360"/>
        <w:jc w:val="left"/>
      </w:pPr>
      <w:r w:rsidRPr="001570EA">
        <w:rPr>
          <w:color w:val="000000" w:themeColor="text1"/>
        </w:rPr>
        <w:t xml:space="preserve">The N factor methodology was developed by Lawrence Berkeley Lab to convert air flow measurements taken at 50 pascal pressure (from blower door tests) to natural air changes. The N factors presented here are taken from Krigger, J. and Dorsi, C. (2004), </w:t>
      </w:r>
      <w:r w:rsidRPr="001570EA">
        <w:t xml:space="preserve">“Residential Energy: Cost Savings and Comfort for Existing Buildings”, </w:t>
      </w:r>
      <w:r w:rsidR="00A236B5">
        <w:t>pa</w:t>
      </w:r>
      <w:r w:rsidRPr="001570EA">
        <w:t>g</w:t>
      </w:r>
      <w:r w:rsidR="00A236B5">
        <w:t>e</w:t>
      </w:r>
      <w:r w:rsidRPr="001570EA">
        <w:t xml:space="preserve"> 284.</w:t>
      </w:r>
    </w:p>
    <w:p w14:paraId="556DA820" w14:textId="399F7B45" w:rsidR="00EA5BBF" w:rsidRPr="001570EA" w:rsidRDefault="00EA5BBF" w:rsidP="00152CD6">
      <w:pPr>
        <w:pStyle w:val="source10"/>
        <w:numPr>
          <w:ilvl w:val="0"/>
          <w:numId w:val="80"/>
        </w:numPr>
        <w:spacing w:line="288" w:lineRule="auto"/>
        <w:ind w:left="360"/>
        <w:jc w:val="left"/>
        <w:textAlignment w:val="auto"/>
      </w:pPr>
      <w:r w:rsidRPr="001570EA">
        <w:t>NMR Group for the Pennsylvania Public Utility Commission. (2024, March). 2023 Pennsylvania Statewide Act 129 Residential Baseline Study. P</w:t>
      </w:r>
      <w:r w:rsidR="00A236B5">
        <w:t>a</w:t>
      </w:r>
      <w:r w:rsidRPr="001570EA">
        <w:t>g</w:t>
      </w:r>
      <w:r w:rsidR="00A236B5">
        <w:t>e</w:t>
      </w:r>
      <w:r w:rsidRPr="001570EA">
        <w:t xml:space="preserve"> 115, </w:t>
      </w:r>
      <w:r w:rsidR="00D82F18">
        <w:t>T</w:t>
      </w:r>
      <w:r w:rsidRPr="001570EA">
        <w:t xml:space="preserve">able 97, </w:t>
      </w:r>
      <w:r w:rsidR="00A236B5">
        <w:t>pa</w:t>
      </w:r>
      <w:r w:rsidRPr="001570EA">
        <w:t>g</w:t>
      </w:r>
      <w:r w:rsidR="00A236B5">
        <w:t>e</w:t>
      </w:r>
      <w:r w:rsidRPr="001570EA">
        <w:t xml:space="preserve"> 120, </w:t>
      </w:r>
      <w:r w:rsidR="00D82F18">
        <w:t>T</w:t>
      </w:r>
      <w:r w:rsidRPr="001570EA">
        <w:t xml:space="preserve">able 103. </w:t>
      </w:r>
      <w:hyperlink r:id="rId338" w:history="1">
        <w:r w:rsidRPr="001570EA">
          <w:rPr>
            <w:rStyle w:val="Hyperlink"/>
            <w:rFonts w:cs="Arial"/>
          </w:rPr>
          <w:t>Weblink</w:t>
        </w:r>
      </w:hyperlink>
      <w:r w:rsidRPr="001570EA">
        <w:t xml:space="preserve">. Air source heat pump efficiencies calculated using 2023 Pennsylvania Residential Baseline Study data. </w:t>
      </w:r>
      <w:r w:rsidRPr="001570EA">
        <w:rPr>
          <w:color w:val="000000" w:themeColor="text1"/>
        </w:rPr>
        <w:t>Federal minimum efficiencies for GSHP due to small sample size for GSHP in baseline study</w:t>
      </w:r>
      <w:r w:rsidRPr="001570EA">
        <w:t>.</w:t>
      </w:r>
    </w:p>
    <w:p w14:paraId="6AD7AB5D" w14:textId="2A5A00BE" w:rsidR="00EA5BBF" w:rsidRPr="001570EA" w:rsidRDefault="00EA5BBF" w:rsidP="00152CD6">
      <w:pPr>
        <w:pStyle w:val="source10"/>
        <w:numPr>
          <w:ilvl w:val="0"/>
          <w:numId w:val="80"/>
        </w:numPr>
        <w:spacing w:line="288" w:lineRule="auto"/>
        <w:ind w:left="360"/>
        <w:jc w:val="left"/>
        <w:rPr>
          <w:color w:val="000000" w:themeColor="text1"/>
        </w:rPr>
      </w:pPr>
      <w:r w:rsidRPr="001570EA">
        <w:t xml:space="preserve">Wilson et al. 2021. End-Use Load Profiles for the U.S. Building Stock: Methodology and Results of Model Calibration, Validation, and Uncertainty Quantification. NREL/TP-5500-80889. </w:t>
      </w:r>
      <w:hyperlink r:id="rId339" w:history="1">
        <w:r w:rsidRPr="001570EA">
          <w:rPr>
            <w:rStyle w:val="Hyperlink"/>
            <w:rFonts w:cs="Arial"/>
          </w:rPr>
          <w:t>Weblink</w:t>
        </w:r>
      </w:hyperlink>
      <w:r w:rsidRPr="001570EA">
        <w:t xml:space="preserve"> </w:t>
      </w:r>
      <w:r w:rsidRPr="001570EA">
        <w:rPr>
          <w:color w:val="000000" w:themeColor="text1"/>
        </w:rPr>
        <w:t xml:space="preserve"> </w:t>
      </w:r>
    </w:p>
    <w:p w14:paraId="6ED60385" w14:textId="4D8F4151" w:rsidR="00EA5BBF" w:rsidRPr="001570EA" w:rsidRDefault="00EA5BBF" w:rsidP="00152CD6">
      <w:pPr>
        <w:pStyle w:val="ListParagraph"/>
        <w:numPr>
          <w:ilvl w:val="0"/>
          <w:numId w:val="80"/>
        </w:numPr>
        <w:ind w:left="360"/>
        <w:rPr>
          <w:rFonts w:cs="Arial"/>
        </w:rPr>
      </w:pPr>
      <w:r w:rsidRPr="001570EA">
        <w:t xml:space="preserve">Federal minimum efficiency standards, based on ASHRAE 90.1-2019. </w:t>
      </w:r>
      <w:hyperlink r:id="rId340" w:history="1">
        <w:r w:rsidRPr="001570EA">
          <w:rPr>
            <w:rStyle w:val="Hyperlink"/>
          </w:rPr>
          <w:t>Weblink</w:t>
        </w:r>
      </w:hyperlink>
    </w:p>
    <w:p w14:paraId="23520585" w14:textId="77777777" w:rsidR="00EA5BBF" w:rsidRPr="001570EA" w:rsidRDefault="00EA5BBF" w:rsidP="00152CD6">
      <w:pPr>
        <w:pStyle w:val="ListParagraph"/>
        <w:numPr>
          <w:ilvl w:val="0"/>
          <w:numId w:val="80"/>
        </w:numPr>
        <w:overflowPunct/>
        <w:autoSpaceDE/>
        <w:autoSpaceDN/>
        <w:adjustRightInd/>
        <w:ind w:left="360"/>
        <w:textAlignment w:val="auto"/>
      </w:pPr>
      <w:r w:rsidRPr="001570EA">
        <w:rPr>
          <w:rFonts w:ascii="ArialMT" w:hAnsi="ArialMT"/>
          <w:color w:val="000000"/>
        </w:rPr>
        <w:t>McQuay. (2002). Application Guide 31-008, Geothermal Heat Pump Design Manual. Engineering Estimate - See System Performance of Ground Source Heat Pumps</w:t>
      </w:r>
    </w:p>
    <w:p w14:paraId="1CAA9111" w14:textId="5299F892" w:rsidR="00EA5BBF" w:rsidRPr="001570EA" w:rsidRDefault="00EA5BBF" w:rsidP="00152CD6">
      <w:pPr>
        <w:pStyle w:val="ListParagraph"/>
        <w:numPr>
          <w:ilvl w:val="0"/>
          <w:numId w:val="80"/>
        </w:numPr>
        <w:ind w:left="360"/>
      </w:pPr>
      <w:r w:rsidRPr="001570EA">
        <w:rPr>
          <w:color w:val="000000" w:themeColor="text1"/>
        </w:rPr>
        <w:t xml:space="preserve">NMR Group for the Pennsylvania Public Utility Commission. (2024, March). 2023 Pennsylvania Statewide Act 129 Residential Baseline Study. </w:t>
      </w:r>
      <w:hyperlink r:id="rId341" w:history="1">
        <w:r w:rsidRPr="001570EA">
          <w:rPr>
            <w:rStyle w:val="Hyperlink"/>
          </w:rPr>
          <w:t>Weblink</w:t>
        </w:r>
      </w:hyperlink>
      <w:r w:rsidRPr="001570EA">
        <w:rPr>
          <w:color w:val="000000" w:themeColor="text1"/>
        </w:rPr>
        <w:t>. 7.75 HSPF value is an average performance efficiency of all electric heating systems, including both resistance and heat pump technologies.</w:t>
      </w:r>
    </w:p>
    <w:p w14:paraId="568BF32B" w14:textId="77777777" w:rsidR="00EA5BBF" w:rsidRPr="001570EA" w:rsidRDefault="00EA5BBF" w:rsidP="00EA5BBF">
      <w:pPr>
        <w:rPr>
          <w:rFonts w:eastAsiaTheme="minorHAnsi" w:cs="Arial"/>
        </w:rPr>
      </w:pPr>
      <w:bookmarkStart w:id="1170" w:name="_Toc364420806"/>
      <w:bookmarkStart w:id="1171" w:name="_Toc373320444"/>
      <w:bookmarkStart w:id="1172" w:name="_Toc364760921"/>
      <w:bookmarkStart w:id="1173" w:name="_Toc364420798"/>
      <w:bookmarkStart w:id="1174" w:name="_Toc373320434"/>
      <w:bookmarkStart w:id="1175" w:name="_Toc364760913"/>
    </w:p>
    <w:p w14:paraId="51FCA916" w14:textId="77777777" w:rsidR="00EA5BBF" w:rsidRPr="001570EA" w:rsidRDefault="00EA5BBF" w:rsidP="00EA5BBF">
      <w:pPr>
        <w:rPr>
          <w:rFonts w:eastAsiaTheme="minorHAnsi"/>
        </w:rPr>
        <w:sectPr w:rsidR="00EA5BBF" w:rsidRPr="001570EA" w:rsidSect="002D556C">
          <w:footerReference w:type="first" r:id="rId342"/>
          <w:pgSz w:w="12240" w:h="15840"/>
          <w:pgMar w:top="1440" w:right="1800" w:bottom="1440" w:left="1800" w:header="720" w:footer="501" w:gutter="0"/>
          <w:cols w:space="720"/>
        </w:sectPr>
      </w:pPr>
    </w:p>
    <w:p w14:paraId="64EFA37B" w14:textId="77777777" w:rsidR="00EA5BBF" w:rsidRPr="001570EA" w:rsidRDefault="00EA5BBF" w:rsidP="00C64DB8">
      <w:pPr>
        <w:pStyle w:val="Heading3"/>
      </w:pPr>
      <w:bookmarkStart w:id="1176" w:name="_Toc48143058"/>
      <w:bookmarkStart w:id="1177" w:name="_Toc164786679"/>
      <w:r w:rsidRPr="001570EA">
        <w:t>Ceiling/Attic, Wall, Floor and Rim Joist Insulation</w:t>
      </w:r>
      <w:bookmarkEnd w:id="1176"/>
      <w:bookmarkEnd w:id="11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5796"/>
      </w:tblGrid>
      <w:tr w:rsidR="00EA5BBF" w:rsidRPr="001570EA" w14:paraId="19F36C79" w14:textId="77777777">
        <w:trPr>
          <w:trHeight w:val="302"/>
          <w:jc w:val="center"/>
        </w:trPr>
        <w:tc>
          <w:tcPr>
            <w:tcW w:w="2834" w:type="dxa"/>
            <w:shd w:val="clear" w:color="auto" w:fill="auto"/>
          </w:tcPr>
          <w:p w14:paraId="585F9480" w14:textId="77777777" w:rsidR="00EA5BBF" w:rsidRPr="001570EA" w:rsidRDefault="00EA5BBF">
            <w:pPr>
              <w:pStyle w:val="TableCell"/>
              <w:spacing w:before="60" w:after="60"/>
              <w:rPr>
                <w:b/>
              </w:rPr>
            </w:pPr>
            <w:r w:rsidRPr="001570EA">
              <w:rPr>
                <w:b/>
              </w:rPr>
              <w:t>Target Sector</w:t>
            </w:r>
          </w:p>
        </w:tc>
        <w:tc>
          <w:tcPr>
            <w:tcW w:w="5796" w:type="dxa"/>
            <w:shd w:val="clear" w:color="auto" w:fill="auto"/>
          </w:tcPr>
          <w:p w14:paraId="65D0E523" w14:textId="77777777" w:rsidR="00EA5BBF" w:rsidRPr="001570EA" w:rsidRDefault="00EA5BBF">
            <w:pPr>
              <w:pStyle w:val="TableCell"/>
              <w:spacing w:before="60" w:after="60"/>
              <w:jc w:val="center"/>
              <w:rPr>
                <w:rFonts w:eastAsia="Arial Unicode MS" w:cs="Arial"/>
                <w:i/>
                <w:sz w:val="20"/>
                <w:szCs w:val="24"/>
              </w:rPr>
            </w:pPr>
            <w:r w:rsidRPr="001570EA">
              <w:t>Residential</w:t>
            </w:r>
          </w:p>
        </w:tc>
      </w:tr>
      <w:tr w:rsidR="00EA5BBF" w:rsidRPr="001570EA" w14:paraId="325899DD" w14:textId="77777777">
        <w:trPr>
          <w:trHeight w:val="302"/>
          <w:jc w:val="center"/>
        </w:trPr>
        <w:tc>
          <w:tcPr>
            <w:tcW w:w="2834" w:type="dxa"/>
            <w:shd w:val="clear" w:color="auto" w:fill="auto"/>
          </w:tcPr>
          <w:p w14:paraId="2A9521FE" w14:textId="77777777" w:rsidR="00EA5BBF" w:rsidRPr="001570EA" w:rsidRDefault="00EA5BBF">
            <w:pPr>
              <w:pStyle w:val="TableCell"/>
              <w:spacing w:before="60" w:after="60"/>
              <w:rPr>
                <w:b/>
                <w:sz w:val="20"/>
              </w:rPr>
            </w:pPr>
            <w:r w:rsidRPr="001570EA">
              <w:rPr>
                <w:b/>
              </w:rPr>
              <w:t>Measure Unit</w:t>
            </w:r>
          </w:p>
        </w:tc>
        <w:tc>
          <w:tcPr>
            <w:tcW w:w="5796" w:type="dxa"/>
            <w:shd w:val="clear" w:color="auto" w:fill="auto"/>
          </w:tcPr>
          <w:p w14:paraId="3645E46A" w14:textId="77777777" w:rsidR="00EA5BBF" w:rsidRPr="001570EA" w:rsidRDefault="00EA5BBF">
            <w:pPr>
              <w:pStyle w:val="TableCell"/>
              <w:spacing w:before="60" w:after="60"/>
              <w:jc w:val="center"/>
              <w:rPr>
                <w:rFonts w:eastAsia="Arial Unicode MS" w:cs="Arial"/>
                <w:i/>
                <w:sz w:val="20"/>
                <w:szCs w:val="24"/>
              </w:rPr>
            </w:pPr>
            <w:r w:rsidRPr="001570EA">
              <w:t>Per Project</w:t>
            </w:r>
          </w:p>
        </w:tc>
      </w:tr>
      <w:tr w:rsidR="00EA5BBF" w:rsidRPr="001570EA" w14:paraId="4AE45F17" w14:textId="77777777">
        <w:trPr>
          <w:trHeight w:val="302"/>
          <w:jc w:val="center"/>
        </w:trPr>
        <w:tc>
          <w:tcPr>
            <w:tcW w:w="2834" w:type="dxa"/>
            <w:shd w:val="clear" w:color="auto" w:fill="auto"/>
          </w:tcPr>
          <w:p w14:paraId="0C138795" w14:textId="77777777" w:rsidR="00EA5BBF" w:rsidRPr="001570EA" w:rsidRDefault="00EA5BBF">
            <w:pPr>
              <w:pStyle w:val="TableCell"/>
              <w:spacing w:before="60" w:after="60"/>
              <w:rPr>
                <w:b/>
                <w:sz w:val="20"/>
              </w:rPr>
            </w:pPr>
            <w:r w:rsidRPr="001570EA">
              <w:rPr>
                <w:b/>
              </w:rPr>
              <w:t>Measure Life</w:t>
            </w:r>
          </w:p>
        </w:tc>
        <w:tc>
          <w:tcPr>
            <w:tcW w:w="5796" w:type="dxa"/>
            <w:shd w:val="clear" w:color="auto" w:fill="auto"/>
          </w:tcPr>
          <w:p w14:paraId="64451FDD" w14:textId="3648CD79" w:rsidR="00EA5BBF" w:rsidRPr="001570EA" w:rsidRDefault="00EA5BBF">
            <w:pPr>
              <w:pStyle w:val="TableCell"/>
              <w:spacing w:before="60" w:after="60"/>
              <w:jc w:val="center"/>
              <w:rPr>
                <w:rFonts w:eastAsia="Arial Unicode MS" w:cs="Arial"/>
                <w:i/>
                <w:sz w:val="20"/>
                <w:szCs w:val="24"/>
              </w:rPr>
            </w:pPr>
            <w:r w:rsidRPr="001570EA">
              <w:t>15 years</w:t>
            </w:r>
            <w:r w:rsidRPr="001570EA">
              <w:rPr>
                <w:vertAlign w:val="superscript"/>
              </w:rPr>
              <w:t>Source</w:t>
            </w:r>
            <w:r w:rsidRPr="001570EA">
              <w:rPr>
                <w:rStyle w:val="FootnoteReference"/>
              </w:rPr>
              <w:t xml:space="preserve"> 1</w:t>
            </w:r>
          </w:p>
        </w:tc>
      </w:tr>
      <w:tr w:rsidR="00EA5BBF" w:rsidRPr="001570EA" w14:paraId="0549C48F" w14:textId="77777777">
        <w:trPr>
          <w:trHeight w:val="302"/>
          <w:jc w:val="center"/>
        </w:trPr>
        <w:tc>
          <w:tcPr>
            <w:tcW w:w="2834" w:type="dxa"/>
            <w:shd w:val="clear" w:color="auto" w:fill="auto"/>
          </w:tcPr>
          <w:p w14:paraId="3620CE39" w14:textId="77777777" w:rsidR="00EA5BBF" w:rsidRPr="001570EA" w:rsidRDefault="00EA5BBF">
            <w:pPr>
              <w:pStyle w:val="TableCell"/>
              <w:spacing w:before="60" w:after="60"/>
              <w:rPr>
                <w:b/>
              </w:rPr>
            </w:pPr>
            <w:r w:rsidRPr="001570EA">
              <w:rPr>
                <w:b/>
              </w:rPr>
              <w:t>Vintage</w:t>
            </w:r>
          </w:p>
        </w:tc>
        <w:tc>
          <w:tcPr>
            <w:tcW w:w="5796" w:type="dxa"/>
            <w:shd w:val="clear" w:color="auto" w:fill="auto"/>
          </w:tcPr>
          <w:p w14:paraId="23942485" w14:textId="77777777" w:rsidR="00EA5BBF" w:rsidRPr="001570EA" w:rsidRDefault="00EA5BBF">
            <w:pPr>
              <w:pStyle w:val="TableCell"/>
              <w:spacing w:before="60" w:after="60"/>
              <w:jc w:val="center"/>
            </w:pPr>
            <w:r w:rsidRPr="001570EA">
              <w:t>Retrofit, New Construction</w:t>
            </w:r>
          </w:p>
        </w:tc>
      </w:tr>
    </w:tbl>
    <w:p w14:paraId="7A0644F0" w14:textId="77777777" w:rsidR="00EA5BBF" w:rsidRPr="001570EA" w:rsidRDefault="00EA5BBF" w:rsidP="00EA5BBF"/>
    <w:p w14:paraId="5D8FA4B8" w14:textId="77777777" w:rsidR="00EA5BBF" w:rsidRPr="001570EA" w:rsidRDefault="00EA5BBF" w:rsidP="00EA5BBF">
      <w:pPr>
        <w:pStyle w:val="BodyText"/>
      </w:pPr>
      <w:r w:rsidRPr="001570EA">
        <w:t xml:space="preserve">This protocol covers the calculation of energy and demand savings associated with insulating ceilings/attics, walls, floors above vented crawlspaces, and rim joists in residential buildings with a primary electric heating and/or cooling source. </w:t>
      </w:r>
    </w:p>
    <w:p w14:paraId="6AAF18A8" w14:textId="77777777" w:rsidR="00EA5BBF" w:rsidRPr="001570EA" w:rsidRDefault="00EA5BBF" w:rsidP="00EA5BBF"/>
    <w:p w14:paraId="5A51E1DC" w14:textId="77777777" w:rsidR="00EA5BBF" w:rsidRPr="001570EA" w:rsidRDefault="00EA5BBF" w:rsidP="00EA5BBF">
      <w:pPr>
        <w:pStyle w:val="SubStyle"/>
        <w:rPr>
          <w:vertAlign w:val="superscript"/>
        </w:rPr>
      </w:pPr>
      <w:r w:rsidRPr="001570EA">
        <w:t>Eligibility</w:t>
      </w:r>
    </w:p>
    <w:p w14:paraId="1252A64B" w14:textId="77777777" w:rsidR="00EA5BBF" w:rsidRPr="001570EA" w:rsidRDefault="00EA5BBF" w:rsidP="00EA5BBF">
      <w:pPr>
        <w:pStyle w:val="BodyText"/>
        <w:rPr>
          <w:b/>
        </w:rPr>
      </w:pPr>
      <w:r w:rsidRPr="001570EA">
        <w:rPr>
          <w:b/>
        </w:rPr>
        <w:t>Ceiling/Attic or Wall Insulation</w:t>
      </w:r>
    </w:p>
    <w:p w14:paraId="07C237E8" w14:textId="77777777" w:rsidR="00EA5BBF" w:rsidRPr="001570EA" w:rsidRDefault="00EA5BBF" w:rsidP="00EA5BBF">
      <w:pPr>
        <w:pStyle w:val="BodyText"/>
      </w:pPr>
      <w:r w:rsidRPr="001570EA">
        <w:t>This measure applies to installation/retrofit of new or additional insulation in a ceiling/attic, or walls of existing residential homes.</w:t>
      </w:r>
    </w:p>
    <w:p w14:paraId="40E77CA6" w14:textId="77777777" w:rsidR="00EA5BBF" w:rsidRPr="001570EA" w:rsidRDefault="00EA5BBF" w:rsidP="00EA5BBF">
      <w:pPr>
        <w:pStyle w:val="BodyText"/>
      </w:pPr>
    </w:p>
    <w:p w14:paraId="0BA5BD15" w14:textId="77777777" w:rsidR="00EA5BBF" w:rsidRPr="001570EA" w:rsidRDefault="00EA5BBF" w:rsidP="00EA5BBF">
      <w:pPr>
        <w:pStyle w:val="BodyText"/>
        <w:rPr>
          <w:b/>
        </w:rPr>
      </w:pPr>
      <w:r w:rsidRPr="001570EA">
        <w:rPr>
          <w:b/>
        </w:rPr>
        <w:t>Floor Insulation</w:t>
      </w:r>
    </w:p>
    <w:p w14:paraId="70537AC2" w14:textId="77777777" w:rsidR="00EA5BBF" w:rsidRPr="001570EA" w:rsidRDefault="00EA5BBF" w:rsidP="00EA5BBF">
      <w:pPr>
        <w:pStyle w:val="BodyText"/>
        <w:rPr>
          <w:vertAlign w:val="superscript"/>
        </w:rPr>
      </w:pPr>
      <w:r w:rsidRPr="001570EA">
        <w:t xml:space="preserve">This measure applies to the installation of new insulation to the floors of existing residential buildings with vented (unconditioned) crawlspaces. </w:t>
      </w:r>
    </w:p>
    <w:p w14:paraId="4D996427" w14:textId="77777777" w:rsidR="00EA5BBF" w:rsidRPr="001570EA" w:rsidRDefault="00EA5BBF" w:rsidP="00EA5BBF">
      <w:pPr>
        <w:pStyle w:val="BodyText"/>
      </w:pPr>
    </w:p>
    <w:p w14:paraId="10A419CB" w14:textId="77777777" w:rsidR="00EA5BBF" w:rsidRPr="001570EA" w:rsidRDefault="00EA5BBF" w:rsidP="00EA5BBF">
      <w:pPr>
        <w:pStyle w:val="BodyText"/>
        <w:rPr>
          <w:b/>
        </w:rPr>
      </w:pPr>
      <w:r w:rsidRPr="001570EA">
        <w:rPr>
          <w:b/>
        </w:rPr>
        <w:t>Rim Joist Insulation</w:t>
      </w:r>
    </w:p>
    <w:p w14:paraId="027E2A43" w14:textId="77777777" w:rsidR="00EA5BBF" w:rsidRPr="001570EA" w:rsidRDefault="00EA5BBF" w:rsidP="00EA5BBF">
      <w:pPr>
        <w:pStyle w:val="BodyText"/>
      </w:pPr>
      <w:r w:rsidRPr="001570EA">
        <w:rPr>
          <w:rFonts w:cs="Arial"/>
        </w:rPr>
        <w:t xml:space="preserve">This measure applies to the installation of new insulation in the rim joists of residential homes. This includes the rim joists of unvented crawlspaces and the rim joists between the first and second floor of a residence. </w:t>
      </w:r>
    </w:p>
    <w:p w14:paraId="3D27F194" w14:textId="77777777" w:rsidR="00EA5BBF" w:rsidRPr="001570EA" w:rsidRDefault="00EA5BBF" w:rsidP="00EA5BBF"/>
    <w:p w14:paraId="406B9F2C" w14:textId="77777777" w:rsidR="00EA5BBF" w:rsidRPr="001570EA" w:rsidRDefault="00EA5BBF" w:rsidP="00EA5BBF">
      <w:pPr>
        <w:rPr>
          <w:b/>
          <w:bCs/>
        </w:rPr>
      </w:pPr>
      <w:r w:rsidRPr="001570EA">
        <w:rPr>
          <w:b/>
          <w:bCs/>
        </w:rPr>
        <w:t>Required R-values</w:t>
      </w:r>
    </w:p>
    <w:p w14:paraId="7BC634BF" w14:textId="77777777" w:rsidR="00EA5BBF" w:rsidRPr="001570EA" w:rsidRDefault="00EA5BBF" w:rsidP="00EA5BBF"/>
    <w:p w14:paraId="7DE27473" w14:textId="60C8E0ED" w:rsidR="00EA5BBF" w:rsidRPr="001570EA" w:rsidRDefault="00EA5BBF" w:rsidP="00EA5BBF">
      <w:r w:rsidRPr="001570EA">
        <w:t>For retrofit applications, the new insulation must achieve R-values that meet or exceed ENERGY STAR recommendations.</w:t>
      </w:r>
      <w:r w:rsidRPr="001570EA">
        <w:rPr>
          <w:vertAlign w:val="superscript"/>
        </w:rPr>
        <w:t>Source 2</w:t>
      </w:r>
      <w:r w:rsidRPr="001570EA">
        <w:t xml:space="preserve"> ENERGY STAR guidance is based on the 2021 IECC.</w:t>
      </w:r>
      <w:r w:rsidRPr="001570EA">
        <w:rPr>
          <w:vertAlign w:val="superscript"/>
        </w:rPr>
        <w:t xml:space="preserve">Source 3 </w:t>
      </w:r>
      <w:r w:rsidRPr="001570EA">
        <w:t xml:space="preserve">  </w:t>
      </w:r>
    </w:p>
    <w:p w14:paraId="739A63B9" w14:textId="77777777" w:rsidR="00EA5BBF" w:rsidRPr="001570EA" w:rsidRDefault="00EA5BBF" w:rsidP="00EA5BBF"/>
    <w:p w14:paraId="04F0AB78" w14:textId="77777777" w:rsidR="00EA5BBF" w:rsidRPr="001570EA" w:rsidRDefault="00EA5BBF" w:rsidP="00EA5BBF">
      <w:r w:rsidRPr="001570EA">
        <w:t xml:space="preserve">For new construction applications, the insulation must achieve R-values exceeding the 2021 IECC. </w:t>
      </w:r>
    </w:p>
    <w:p w14:paraId="1FEEC66E" w14:textId="77777777" w:rsidR="00EA5BBF" w:rsidRPr="001570EA" w:rsidRDefault="00EA5BBF" w:rsidP="00EA5BBF"/>
    <w:p w14:paraId="263F2767" w14:textId="77777777" w:rsidR="00EA5BBF" w:rsidRPr="001570EA" w:rsidRDefault="00EA5BBF" w:rsidP="00EA5BBF">
      <w:pPr>
        <w:pStyle w:val="SubStyle"/>
      </w:pPr>
      <w:r w:rsidRPr="001570EA">
        <w:t>Algorithms</w:t>
      </w:r>
    </w:p>
    <w:p w14:paraId="5FD77228" w14:textId="77777777" w:rsidR="00EA5BBF" w:rsidRPr="001570EA" w:rsidRDefault="00EA5BBF" w:rsidP="00EA5BBF">
      <w:pPr>
        <w:pStyle w:val="BodyText"/>
      </w:pPr>
      <w:r w:rsidRPr="001570EA">
        <w:t>The annual energy and peak demand savings are obtained through the following formulas. Note that these equations are applied separately for each ceiling / attic, wall, floor, and rim joist component upgraded.</w:t>
      </w:r>
    </w:p>
    <w:tbl>
      <w:tblPr>
        <w:tblW w:w="8910" w:type="dxa"/>
        <w:tblLook w:val="04A0" w:firstRow="1" w:lastRow="0" w:firstColumn="1" w:lastColumn="0" w:noHBand="0" w:noVBand="1"/>
      </w:tblPr>
      <w:tblGrid>
        <w:gridCol w:w="2171"/>
        <w:gridCol w:w="6739"/>
      </w:tblGrid>
      <w:tr w:rsidR="00EA5BBF" w:rsidRPr="001570EA" w14:paraId="2CDFBCBA" w14:textId="77777777">
        <w:tc>
          <w:tcPr>
            <w:tcW w:w="2171" w:type="dxa"/>
          </w:tcPr>
          <w:p w14:paraId="67435D44" w14:textId="77777777" w:rsidR="00EA5BBF" w:rsidRPr="001570EA" w:rsidRDefault="00EA5BBF">
            <w:pPr>
              <w:pStyle w:val="Equation"/>
              <w:ind w:left="0" w:firstLine="0"/>
              <w:jc w:val="left"/>
              <w:rPr>
                <w:rFonts w:eastAsia="Times New Roman"/>
                <w:i w:val="0"/>
                <w:szCs w:val="20"/>
              </w:rPr>
            </w:pPr>
          </w:p>
          <w:p w14:paraId="1E5DF9C2" w14:textId="77777777" w:rsidR="00EA5BBF" w:rsidRPr="001570EA" w:rsidRDefault="00EA5BBF">
            <w:pPr>
              <w:pStyle w:val="Equation"/>
              <w:ind w:left="0" w:firstLine="0"/>
              <w:jc w:val="left"/>
              <w:rPr>
                <w:rFonts w:eastAsia="Times New Roman"/>
                <w:i w:val="0"/>
                <w:szCs w:val="20"/>
              </w:rPr>
            </w:pPr>
            <m:oMathPara>
              <m:oMathParaPr>
                <m:jc m:val="left"/>
              </m:oMathParaPr>
              <m:oMath>
                <m:r>
                  <w:rPr>
                    <w:rFonts w:ascii="Cambria Math" w:hAnsi="Cambria Math" w:cs="Arial"/>
                    <w:szCs w:val="20"/>
                  </w:rPr>
                  <m:t>∆kW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cool</m:t>
                    </m:r>
                  </m:sub>
                </m:sSub>
              </m:oMath>
            </m:oMathPara>
          </w:p>
        </w:tc>
        <w:tc>
          <w:tcPr>
            <w:tcW w:w="6739" w:type="dxa"/>
          </w:tcPr>
          <w:p w14:paraId="16434B37" w14:textId="77777777" w:rsidR="00EA5BBF" w:rsidRPr="001570EA" w:rsidRDefault="00EA5BBF">
            <w:pPr>
              <w:pStyle w:val="Equation"/>
              <w:ind w:left="0" w:firstLine="0"/>
              <w:rPr>
                <w:rFonts w:ascii="Cambria Math" w:eastAsia="Times New Roman" w:hAnsi="Cambria Math"/>
                <w:szCs w:val="17"/>
                <w:oMath/>
              </w:rPr>
            </w:pPr>
            <m:oMathPara>
              <m:oMathParaPr>
                <m:jc m:val="left"/>
              </m:oMathParaPr>
              <m:oMath>
                <m:r>
                  <w:rPr>
                    <w:rFonts w:ascii="Cambria Math" w:hAnsi="Cambria Math" w:cs="Arial"/>
                    <w:szCs w:val="17"/>
                  </w:rPr>
                  <m:t>=</m:t>
                </m:r>
                <m:d>
                  <m:dPr>
                    <m:ctrlPr>
                      <w:rPr>
                        <w:rFonts w:ascii="Cambria Math" w:hAnsi="Cambria Math" w:cs="Arial"/>
                        <w:i w:val="0"/>
                        <w:szCs w:val="17"/>
                      </w:rPr>
                    </m:ctrlPr>
                  </m:dPr>
                  <m:e>
                    <m:f>
                      <m:fPr>
                        <m:ctrlPr>
                          <w:rPr>
                            <w:rFonts w:ascii="Cambria Math" w:hAnsi="Cambria Math" w:cs="Arial"/>
                            <w:i w:val="0"/>
                            <w:szCs w:val="17"/>
                          </w:rPr>
                        </m:ctrlPr>
                      </m:fPr>
                      <m:num>
                        <m:r>
                          <w:rPr>
                            <w:rFonts w:ascii="Cambria Math" w:hAnsi="Cambria Math" w:cs="Arial"/>
                            <w:szCs w:val="17"/>
                          </w:rPr>
                          <m:t>1</m:t>
                        </m:r>
                      </m:num>
                      <m:den>
                        <m:sSub>
                          <m:sSubPr>
                            <m:ctrlPr>
                              <w:rPr>
                                <w:rFonts w:ascii="Cambria Math" w:hAnsi="Cambria Math" w:cs="Arial"/>
                                <w:i w:val="0"/>
                                <w:szCs w:val="17"/>
                              </w:rPr>
                            </m:ctrlPr>
                          </m:sSubPr>
                          <m:e>
                            <m:r>
                              <w:rPr>
                                <w:rFonts w:ascii="Cambria Math" w:hAnsi="Cambria Math" w:cs="Arial"/>
                                <w:szCs w:val="17"/>
                              </w:rPr>
                              <m:t>R</m:t>
                            </m:r>
                          </m:e>
                          <m:sub>
                            <m:r>
                              <w:rPr>
                                <w:rFonts w:ascii="Cambria Math" w:hAnsi="Cambria Math" w:cs="Arial"/>
                                <w:szCs w:val="17"/>
                              </w:rPr>
                              <m:t>base</m:t>
                            </m:r>
                          </m:sub>
                        </m:sSub>
                      </m:den>
                    </m:f>
                    <m:r>
                      <w:rPr>
                        <w:rFonts w:ascii="Cambria Math" w:hAnsi="Cambria Math" w:cs="Arial"/>
                        <w:szCs w:val="17"/>
                      </w:rPr>
                      <m:t>-</m:t>
                    </m:r>
                    <m:f>
                      <m:fPr>
                        <m:ctrlPr>
                          <w:rPr>
                            <w:rFonts w:ascii="Cambria Math" w:hAnsi="Cambria Math" w:cs="Arial"/>
                            <w:i w:val="0"/>
                            <w:szCs w:val="17"/>
                          </w:rPr>
                        </m:ctrlPr>
                      </m:fPr>
                      <m:num>
                        <m:r>
                          <w:rPr>
                            <w:rFonts w:ascii="Cambria Math" w:hAnsi="Cambria Math" w:cs="Arial"/>
                            <w:szCs w:val="17"/>
                          </w:rPr>
                          <m:t>1</m:t>
                        </m:r>
                      </m:num>
                      <m:den>
                        <m:sSub>
                          <m:sSubPr>
                            <m:ctrlPr>
                              <w:rPr>
                                <w:rFonts w:ascii="Cambria Math" w:hAnsi="Cambria Math" w:cs="Arial"/>
                                <w:i w:val="0"/>
                                <w:szCs w:val="17"/>
                              </w:rPr>
                            </m:ctrlPr>
                          </m:sSubPr>
                          <m:e>
                            <m:r>
                              <w:rPr>
                                <w:rFonts w:ascii="Cambria Math" w:hAnsi="Cambria Math" w:cs="Arial"/>
                                <w:szCs w:val="17"/>
                              </w:rPr>
                              <m:t>R</m:t>
                            </m:r>
                          </m:e>
                          <m:sub>
                            <m:r>
                              <w:rPr>
                                <w:rFonts w:ascii="Cambria Math" w:hAnsi="Cambria Math" w:cs="Arial"/>
                                <w:szCs w:val="17"/>
                              </w:rPr>
                              <m:t>ee</m:t>
                            </m:r>
                          </m:sub>
                        </m:sSub>
                      </m:den>
                    </m:f>
                  </m:e>
                </m:d>
                <m:r>
                  <w:rPr>
                    <w:rFonts w:ascii="Cambria Math" w:eastAsia="Times New Roman" w:hAnsi="Cambria Math"/>
                    <w:szCs w:val="17"/>
                  </w:rPr>
                  <m:t>×A×</m:t>
                </m:r>
                <m:d>
                  <m:dPr>
                    <m:ctrlPr>
                      <w:rPr>
                        <w:rFonts w:ascii="Cambria Math" w:eastAsia="Times New Roman" w:hAnsi="Cambria Math"/>
                        <w:i w:val="0"/>
                        <w:szCs w:val="17"/>
                      </w:rPr>
                    </m:ctrlPr>
                  </m:dPr>
                  <m:e>
                    <m:r>
                      <w:rPr>
                        <w:rFonts w:ascii="Cambria Math" w:eastAsia="Times New Roman" w:hAnsi="Cambria Math"/>
                        <w:szCs w:val="17"/>
                      </w:rPr>
                      <m:t>1-FF</m:t>
                    </m:r>
                  </m:e>
                </m:d>
                <m:r>
                  <w:rPr>
                    <w:rFonts w:ascii="Cambria Math" w:eastAsia="Times New Roman" w:hAnsi="Cambria Math"/>
                    <w:szCs w:val="17"/>
                  </w:rPr>
                  <m:t>×</m:t>
                </m:r>
                <m:f>
                  <m:fPr>
                    <m:ctrlPr>
                      <w:rPr>
                        <w:rFonts w:ascii="Cambria Math" w:eastAsia="Times New Roman" w:hAnsi="Cambria Math"/>
                        <w:i w:val="0"/>
                        <w:szCs w:val="17"/>
                      </w:rPr>
                    </m:ctrlPr>
                  </m:fPr>
                  <m:num>
                    <m:r>
                      <w:rPr>
                        <w:rFonts w:ascii="Cambria Math" w:hAnsi="Cambria Math" w:cs="Arial"/>
                        <w:szCs w:val="20"/>
                      </w:rPr>
                      <m:t>24</m:t>
                    </m:r>
                    <m:r>
                      <w:rPr>
                        <w:rFonts w:ascii="Cambria Math" w:eastAsia="Times New Roman" w:hAnsi="Cambria Math"/>
                        <w:szCs w:val="17"/>
                      </w:rPr>
                      <m:t>×CDD×DUA</m:t>
                    </m:r>
                  </m:num>
                  <m:den>
                    <m:r>
                      <w:rPr>
                        <w:rFonts w:ascii="Cambria Math" w:eastAsia="Times New Roman" w:hAnsi="Cambria Math"/>
                        <w:szCs w:val="17"/>
                      </w:rPr>
                      <m:t>SEER×1,000</m:t>
                    </m:r>
                  </m:den>
                </m:f>
                <m:r>
                  <w:rPr>
                    <w:rFonts w:ascii="Cambria Math" w:eastAsia="Times New Roman" w:hAnsi="Cambria Math"/>
                    <w:szCs w:val="17"/>
                  </w:rPr>
                  <m:t>×</m:t>
                </m:r>
                <m:sSub>
                  <m:sSubPr>
                    <m:ctrlPr>
                      <w:rPr>
                        <w:rFonts w:ascii="Cambria Math" w:eastAsia="Times New Roman" w:hAnsi="Cambria Math"/>
                        <w:szCs w:val="17"/>
                      </w:rPr>
                    </m:ctrlPr>
                  </m:sSubPr>
                  <m:e>
                    <m:r>
                      <w:rPr>
                        <w:rFonts w:ascii="Cambria Math" w:eastAsia="Times New Roman" w:hAnsi="Cambria Math"/>
                        <w:szCs w:val="17"/>
                      </w:rPr>
                      <m:t>F</m:t>
                    </m:r>
                  </m:e>
                  <m:sub>
                    <m:r>
                      <w:rPr>
                        <w:rFonts w:ascii="Cambria Math" w:eastAsia="Times New Roman" w:hAnsi="Cambria Math"/>
                        <w:szCs w:val="17"/>
                      </w:rPr>
                      <m:t>RAC</m:t>
                    </m:r>
                  </m:sub>
                </m:sSub>
              </m:oMath>
            </m:oMathPara>
          </w:p>
          <w:p w14:paraId="2EA93840" w14:textId="77777777" w:rsidR="00EA5BBF" w:rsidRPr="001570EA" w:rsidRDefault="00EA5BBF">
            <w:pPr>
              <w:pStyle w:val="Equation"/>
              <w:ind w:left="1410" w:firstLine="0"/>
              <w:rPr>
                <w:rFonts w:eastAsia="Times New Roman"/>
                <w:i w:val="0"/>
                <w:sz w:val="17"/>
                <w:szCs w:val="17"/>
              </w:rPr>
            </w:pPr>
          </w:p>
        </w:tc>
      </w:tr>
      <w:tr w:rsidR="00EA5BBF" w:rsidRPr="001570EA" w14:paraId="5DA4EB97" w14:textId="77777777">
        <w:tc>
          <w:tcPr>
            <w:tcW w:w="2171" w:type="dxa"/>
            <w:vAlign w:val="center"/>
          </w:tcPr>
          <w:p w14:paraId="1E57FE5E" w14:textId="77777777" w:rsidR="00EA5BBF" w:rsidRPr="001570EA" w:rsidRDefault="00EA5BBF">
            <w:pPr>
              <w:pStyle w:val="Equation"/>
              <w:ind w:left="0" w:firstLine="0"/>
              <w:rPr>
                <w:rFonts w:eastAsia="Times New Roman"/>
                <w:i w:val="0"/>
                <w:szCs w:val="20"/>
              </w:rPr>
            </w:pPr>
            <m:oMathPara>
              <m:oMathParaPr>
                <m:jc m:val="left"/>
              </m:oMathParaPr>
              <m:oMath>
                <m:r>
                  <w:rPr>
                    <w:rFonts w:ascii="Cambria Math" w:hAnsi="Cambria Math" w:cs="Arial"/>
                    <w:szCs w:val="20"/>
                  </w:rPr>
                  <m:t>∆kW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heat</m:t>
                    </m:r>
                  </m:sub>
                </m:sSub>
              </m:oMath>
            </m:oMathPara>
          </w:p>
        </w:tc>
        <w:tc>
          <w:tcPr>
            <w:tcW w:w="6739" w:type="dxa"/>
          </w:tcPr>
          <w:p w14:paraId="30C62AF9" w14:textId="77777777" w:rsidR="00EA5BBF" w:rsidRPr="001570EA" w:rsidRDefault="00EA5BBF">
            <w:pPr>
              <w:pStyle w:val="Equation"/>
              <w:ind w:left="0" w:firstLine="0"/>
              <w:rPr>
                <w:rFonts w:ascii="Cambria Math" w:eastAsia="Times New Roman" w:hAnsi="Cambria Math"/>
                <w:szCs w:val="17"/>
                <w:oMath/>
              </w:rPr>
            </w:pPr>
            <m:oMathPara>
              <m:oMathParaPr>
                <m:jc m:val="left"/>
              </m:oMathParaPr>
              <m:oMath>
                <m:r>
                  <w:rPr>
                    <w:rFonts w:ascii="Cambria Math" w:hAnsi="Cambria Math" w:cs="Arial"/>
                    <w:szCs w:val="17"/>
                  </w:rPr>
                  <m:t>=</m:t>
                </m:r>
                <m:d>
                  <m:dPr>
                    <m:ctrlPr>
                      <w:rPr>
                        <w:rFonts w:ascii="Cambria Math" w:hAnsi="Cambria Math" w:cs="Arial"/>
                        <w:i w:val="0"/>
                        <w:szCs w:val="17"/>
                      </w:rPr>
                    </m:ctrlPr>
                  </m:dPr>
                  <m:e>
                    <m:f>
                      <m:fPr>
                        <m:ctrlPr>
                          <w:rPr>
                            <w:rFonts w:ascii="Cambria Math" w:hAnsi="Cambria Math" w:cs="Arial"/>
                            <w:i w:val="0"/>
                            <w:szCs w:val="17"/>
                          </w:rPr>
                        </m:ctrlPr>
                      </m:fPr>
                      <m:num>
                        <m:r>
                          <w:rPr>
                            <w:rFonts w:ascii="Cambria Math" w:hAnsi="Cambria Math" w:cs="Arial"/>
                            <w:szCs w:val="17"/>
                          </w:rPr>
                          <m:t>1</m:t>
                        </m:r>
                      </m:num>
                      <m:den>
                        <m:sSub>
                          <m:sSubPr>
                            <m:ctrlPr>
                              <w:rPr>
                                <w:rFonts w:ascii="Cambria Math" w:hAnsi="Cambria Math" w:cs="Arial"/>
                                <w:i w:val="0"/>
                                <w:szCs w:val="17"/>
                              </w:rPr>
                            </m:ctrlPr>
                          </m:sSubPr>
                          <m:e>
                            <m:r>
                              <w:rPr>
                                <w:rFonts w:ascii="Cambria Math" w:hAnsi="Cambria Math" w:cs="Arial"/>
                                <w:szCs w:val="17"/>
                              </w:rPr>
                              <m:t>R</m:t>
                            </m:r>
                          </m:e>
                          <m:sub>
                            <m:r>
                              <w:rPr>
                                <w:rFonts w:ascii="Cambria Math" w:hAnsi="Cambria Math" w:cs="Arial"/>
                                <w:szCs w:val="17"/>
                              </w:rPr>
                              <m:t>base</m:t>
                            </m:r>
                          </m:sub>
                        </m:sSub>
                      </m:den>
                    </m:f>
                    <m:r>
                      <w:rPr>
                        <w:rFonts w:ascii="Cambria Math" w:hAnsi="Cambria Math" w:cs="Arial"/>
                        <w:szCs w:val="17"/>
                      </w:rPr>
                      <m:t>-</m:t>
                    </m:r>
                    <m:f>
                      <m:fPr>
                        <m:ctrlPr>
                          <w:rPr>
                            <w:rFonts w:ascii="Cambria Math" w:hAnsi="Cambria Math" w:cs="Arial"/>
                            <w:i w:val="0"/>
                            <w:szCs w:val="17"/>
                          </w:rPr>
                        </m:ctrlPr>
                      </m:fPr>
                      <m:num>
                        <m:r>
                          <w:rPr>
                            <w:rFonts w:ascii="Cambria Math" w:hAnsi="Cambria Math" w:cs="Arial"/>
                            <w:szCs w:val="17"/>
                          </w:rPr>
                          <m:t>1</m:t>
                        </m:r>
                      </m:num>
                      <m:den>
                        <m:sSub>
                          <m:sSubPr>
                            <m:ctrlPr>
                              <w:rPr>
                                <w:rFonts w:ascii="Cambria Math" w:hAnsi="Cambria Math" w:cs="Arial"/>
                                <w:i w:val="0"/>
                                <w:szCs w:val="17"/>
                              </w:rPr>
                            </m:ctrlPr>
                          </m:sSubPr>
                          <m:e>
                            <m:r>
                              <w:rPr>
                                <w:rFonts w:ascii="Cambria Math" w:hAnsi="Cambria Math" w:cs="Arial"/>
                                <w:szCs w:val="17"/>
                              </w:rPr>
                              <m:t>R</m:t>
                            </m:r>
                          </m:e>
                          <m:sub>
                            <m:r>
                              <w:rPr>
                                <w:rFonts w:ascii="Cambria Math" w:hAnsi="Cambria Math" w:cs="Arial"/>
                                <w:szCs w:val="17"/>
                              </w:rPr>
                              <m:t>ee</m:t>
                            </m:r>
                          </m:sub>
                        </m:sSub>
                      </m:den>
                    </m:f>
                  </m:e>
                </m:d>
                <m:r>
                  <w:rPr>
                    <w:rFonts w:ascii="Cambria Math" w:eastAsia="Times New Roman" w:hAnsi="Cambria Math"/>
                    <w:szCs w:val="17"/>
                  </w:rPr>
                  <m:t>×A×</m:t>
                </m:r>
                <m:d>
                  <m:dPr>
                    <m:ctrlPr>
                      <w:rPr>
                        <w:rFonts w:ascii="Cambria Math" w:eastAsia="Times New Roman" w:hAnsi="Cambria Math"/>
                        <w:i w:val="0"/>
                        <w:szCs w:val="17"/>
                      </w:rPr>
                    </m:ctrlPr>
                  </m:dPr>
                  <m:e>
                    <m:r>
                      <w:rPr>
                        <w:rFonts w:ascii="Cambria Math" w:eastAsia="Times New Roman" w:hAnsi="Cambria Math"/>
                        <w:szCs w:val="17"/>
                      </w:rPr>
                      <m:t>1-FF</m:t>
                    </m:r>
                  </m:e>
                </m:d>
                <m:r>
                  <w:rPr>
                    <w:rFonts w:ascii="Cambria Math" w:eastAsia="Times New Roman" w:hAnsi="Cambria Math"/>
                    <w:szCs w:val="17"/>
                  </w:rPr>
                  <m:t>×</m:t>
                </m:r>
                <m:f>
                  <m:fPr>
                    <m:ctrlPr>
                      <w:rPr>
                        <w:rFonts w:ascii="Cambria Math" w:eastAsia="Times New Roman" w:hAnsi="Cambria Math"/>
                        <w:i w:val="0"/>
                        <w:szCs w:val="17"/>
                      </w:rPr>
                    </m:ctrlPr>
                  </m:fPr>
                  <m:num>
                    <m:r>
                      <w:rPr>
                        <w:rFonts w:ascii="Cambria Math" w:hAnsi="Cambria Math" w:cs="Arial"/>
                        <w:szCs w:val="20"/>
                      </w:rPr>
                      <m:t>24</m:t>
                    </m:r>
                    <m:r>
                      <w:rPr>
                        <w:rFonts w:ascii="Cambria Math" w:eastAsia="Times New Roman" w:hAnsi="Cambria Math"/>
                        <w:szCs w:val="17"/>
                      </w:rPr>
                      <m:t>×HDD</m:t>
                    </m:r>
                  </m:num>
                  <m:den>
                    <m:r>
                      <w:rPr>
                        <w:rFonts w:ascii="Cambria Math" w:eastAsia="Times New Roman" w:hAnsi="Cambria Math"/>
                        <w:szCs w:val="17"/>
                      </w:rPr>
                      <m:t>HSPF×1,000</m:t>
                    </m:r>
                  </m:den>
                </m:f>
              </m:oMath>
            </m:oMathPara>
          </w:p>
          <w:p w14:paraId="3D6B6F98" w14:textId="77777777" w:rsidR="00EA5BBF" w:rsidRPr="001570EA" w:rsidRDefault="00EA5BBF">
            <w:pPr>
              <w:pStyle w:val="Equation"/>
              <w:ind w:left="0" w:firstLine="0"/>
              <w:rPr>
                <w:rFonts w:eastAsia="Times New Roman"/>
                <w:i w:val="0"/>
                <w:szCs w:val="17"/>
              </w:rPr>
            </w:pPr>
          </w:p>
        </w:tc>
      </w:tr>
      <w:tr w:rsidR="00EA5BBF" w:rsidRPr="001570EA" w14:paraId="7692873F" w14:textId="77777777">
        <w:tc>
          <w:tcPr>
            <w:tcW w:w="2171" w:type="dxa"/>
          </w:tcPr>
          <w:p w14:paraId="1AEEE3BD" w14:textId="77777777" w:rsidR="00EA5BBF" w:rsidRPr="001570EA" w:rsidRDefault="00EA5BBF">
            <w:pPr>
              <w:pStyle w:val="Equation"/>
              <w:ind w:left="0" w:firstLine="0"/>
              <w:rPr>
                <w:rFonts w:eastAsia="Times New Roman"/>
                <w:i w:val="0"/>
              </w:rPr>
            </w:pPr>
            <m:oMathPara>
              <m:oMathParaPr>
                <m:jc m:val="left"/>
              </m:oMathParaPr>
              <m:oMath>
                <m:r>
                  <w:rPr>
                    <w:rFonts w:ascii="Cambria Math" w:hAnsi="Cambria Math" w:cs="Arial"/>
                    <w:szCs w:val="20"/>
                  </w:rPr>
                  <m:t>∆kWh</m:t>
                </m:r>
              </m:oMath>
            </m:oMathPara>
          </w:p>
        </w:tc>
        <w:tc>
          <w:tcPr>
            <w:tcW w:w="6739" w:type="dxa"/>
          </w:tcPr>
          <w:p w14:paraId="59A38201" w14:textId="77777777" w:rsidR="00EA5BBF" w:rsidRPr="001570EA" w:rsidRDefault="00EA5BBF">
            <w:pPr>
              <w:pStyle w:val="Equation"/>
              <w:ind w:left="0" w:firstLine="0"/>
              <w:rPr>
                <w:rFonts w:eastAsia="Times New Roman"/>
                <w:i w:val="0"/>
                <w:szCs w:val="20"/>
              </w:rPr>
            </w:pPr>
            <m:oMathPara>
              <m:oMathParaPr>
                <m:jc m:val="left"/>
              </m:oMathParaPr>
              <m:oMath>
                <m:r>
                  <w:rPr>
                    <w:rFonts w:ascii="Cambria Math" w:hAnsi="Cambria Math" w:cs="Arial"/>
                    <w:szCs w:val="20"/>
                  </w:rPr>
                  <m:t>= ∆kW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cool</m:t>
                    </m:r>
                  </m:sub>
                </m:sSub>
                <m:r>
                  <w:rPr>
                    <w:rFonts w:ascii="Cambria Math" w:hAnsi="Cambria Math" w:cs="Arial"/>
                    <w:szCs w:val="20"/>
                  </w:rPr>
                  <m:t>+∆kW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heat</m:t>
                    </m:r>
                  </m:sub>
                </m:sSub>
              </m:oMath>
            </m:oMathPara>
          </w:p>
          <w:p w14:paraId="70BF50FA" w14:textId="77777777" w:rsidR="00EA5BBF" w:rsidRPr="001570EA" w:rsidRDefault="00EA5BBF">
            <w:pPr>
              <w:pStyle w:val="Equation"/>
              <w:ind w:left="0" w:firstLine="0"/>
              <w:rPr>
                <w:rFonts w:eastAsia="Times New Roman"/>
                <w:i w:val="0"/>
              </w:rPr>
            </w:pPr>
          </w:p>
        </w:tc>
      </w:tr>
      <w:tr w:rsidR="00EA5BBF" w:rsidRPr="001570EA" w14:paraId="5ECC64DE" w14:textId="77777777">
        <w:tc>
          <w:tcPr>
            <w:tcW w:w="2171" w:type="dxa"/>
          </w:tcPr>
          <w:p w14:paraId="6E5B629C" w14:textId="77777777" w:rsidR="00EA5BBF" w:rsidRPr="001570EA" w:rsidRDefault="00EA5BBF">
            <w:pPr>
              <w:pStyle w:val="Equation"/>
              <w:ind w:left="0" w:firstLine="0"/>
              <w:rPr>
                <w:szCs w:val="20"/>
              </w:rPr>
            </w:pPr>
            <m:oMathPara>
              <m:oMathParaPr>
                <m:jc m:val="left"/>
              </m:oMathParaPr>
              <m:oMath>
                <m:r>
                  <m:rPr>
                    <m:nor/>
                  </m:rPr>
                  <w:rPr>
                    <w:rFonts w:ascii="Cambria Math" w:hAnsi="Cambria Math"/>
                  </w:rPr>
                  <m:t>∆</m:t>
                </m:r>
                <m:sSub>
                  <m:sSubPr>
                    <m:ctrlPr>
                      <w:rPr>
                        <w:rFonts w:ascii="Cambria Math" w:hAnsi="Cambria Math"/>
                        <w:i w:val="0"/>
                      </w:rPr>
                    </m:ctrlPr>
                  </m:sSubPr>
                  <m:e>
                    <m:r>
                      <w:rPr>
                        <w:rFonts w:ascii="Cambria Math" w:hAnsi="Cambria Math"/>
                      </w:rPr>
                      <m:t>kW</m:t>
                    </m:r>
                  </m:e>
                  <m:sub>
                    <m:r>
                      <w:rPr>
                        <w:rFonts w:ascii="Cambria Math" w:hAnsi="Cambria Math"/>
                      </w:rPr>
                      <m:t>summer peak</m:t>
                    </m:r>
                  </m:sub>
                </m:sSub>
                <m:r>
                  <w:rPr>
                    <w:rFonts w:ascii="Cambria Math" w:hAnsi="Cambria Math"/>
                  </w:rPr>
                  <m:t xml:space="preserve"> </m:t>
                </m:r>
              </m:oMath>
            </m:oMathPara>
          </w:p>
        </w:tc>
        <w:tc>
          <w:tcPr>
            <w:tcW w:w="6739" w:type="dxa"/>
          </w:tcPr>
          <w:p w14:paraId="42E2FC13" w14:textId="77777777" w:rsidR="00EA5BBF" w:rsidRPr="001570EA" w:rsidRDefault="00EA5BBF">
            <w:pPr>
              <w:pStyle w:val="Equation"/>
              <w:ind w:left="0" w:firstLine="0"/>
              <w:rPr>
                <w:rFonts w:eastAsia="Times New Roman"/>
                <w:i w:val="0"/>
                <w:szCs w:val="20"/>
              </w:rPr>
            </w:pPr>
            <m:oMathPara>
              <m:oMathParaPr>
                <m:jc m:val="left"/>
              </m:oMathParaPr>
              <m:oMath>
                <m:r>
                  <w:rPr>
                    <w:rFonts w:ascii="Cambria Math" w:hAnsi="Cambria Math" w:cs="Arial"/>
                    <w:szCs w:val="20"/>
                  </w:rPr>
                  <m:t>=∆kW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cool</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ETDF</m:t>
                    </m:r>
                  </m:e>
                  <m:sub>
                    <m:r>
                      <w:rPr>
                        <w:rFonts w:ascii="Cambria Math" w:hAnsi="Cambria Math" w:cs="Arial"/>
                        <w:szCs w:val="20"/>
                      </w:rPr>
                      <m:t>summer</m:t>
                    </m:r>
                  </m:sub>
                </m:sSub>
              </m:oMath>
            </m:oMathPara>
          </w:p>
          <w:p w14:paraId="18ED330E" w14:textId="77777777" w:rsidR="00EA5BBF" w:rsidRPr="001570EA" w:rsidRDefault="00EA5BBF">
            <w:pPr>
              <w:pStyle w:val="Equation"/>
              <w:ind w:left="0" w:firstLine="0"/>
              <w:rPr>
                <w:rFonts w:eastAsia="Times New Roman"/>
                <w:i w:val="0"/>
                <w:szCs w:val="20"/>
              </w:rPr>
            </w:pPr>
          </w:p>
        </w:tc>
      </w:tr>
      <w:tr w:rsidR="00EA5BBF" w:rsidRPr="001570EA" w14:paraId="6AFFBC40" w14:textId="77777777">
        <w:tc>
          <w:tcPr>
            <w:tcW w:w="2171" w:type="dxa"/>
          </w:tcPr>
          <w:p w14:paraId="62468F1C" w14:textId="77777777" w:rsidR="00EA5BBF" w:rsidRPr="001570EA" w:rsidRDefault="00EA5BBF">
            <w:pPr>
              <w:pStyle w:val="Equation"/>
              <w:ind w:left="0" w:firstLine="0"/>
              <w:rPr>
                <w:szCs w:val="20"/>
              </w:rPr>
            </w:pPr>
            <m:oMathPara>
              <m:oMathParaPr>
                <m:jc m:val="left"/>
              </m:oMathParaPr>
              <m:oMath>
                <m:r>
                  <m:rPr>
                    <m:nor/>
                  </m:rPr>
                  <w:rPr>
                    <w:rFonts w:ascii="Cambria Math" w:hAnsi="Cambria Math"/>
                  </w:rPr>
                  <m:t>∆</m:t>
                </m:r>
                <m:sSub>
                  <m:sSubPr>
                    <m:ctrlPr>
                      <w:rPr>
                        <w:rFonts w:ascii="Cambria Math" w:hAnsi="Cambria Math"/>
                        <w:i w:val="0"/>
                      </w:rPr>
                    </m:ctrlPr>
                  </m:sSubPr>
                  <m:e>
                    <m:r>
                      <w:rPr>
                        <w:rFonts w:ascii="Cambria Math" w:hAnsi="Cambria Math"/>
                      </w:rPr>
                      <m:t>kW</m:t>
                    </m:r>
                  </m:e>
                  <m:sub>
                    <m:r>
                      <w:rPr>
                        <w:rFonts w:ascii="Cambria Math" w:hAnsi="Cambria Math"/>
                      </w:rPr>
                      <m:t>winter peak</m:t>
                    </m:r>
                  </m:sub>
                </m:sSub>
              </m:oMath>
            </m:oMathPara>
          </w:p>
        </w:tc>
        <w:tc>
          <w:tcPr>
            <w:tcW w:w="6739" w:type="dxa"/>
          </w:tcPr>
          <w:p w14:paraId="47ED05AE" w14:textId="77777777" w:rsidR="00EA5BBF" w:rsidRPr="001570EA" w:rsidRDefault="00EA5BBF">
            <w:pPr>
              <w:pStyle w:val="Equation"/>
              <w:ind w:left="0" w:firstLine="0"/>
              <w:rPr>
                <w:rFonts w:eastAsia="Times New Roman"/>
                <w:i w:val="0"/>
                <w:szCs w:val="20"/>
              </w:rPr>
            </w:pPr>
            <m:oMathPara>
              <m:oMathParaPr>
                <m:jc m:val="left"/>
              </m:oMathParaPr>
              <m:oMath>
                <m:r>
                  <w:rPr>
                    <w:rFonts w:ascii="Cambria Math" w:hAnsi="Cambria Math" w:cs="Arial"/>
                    <w:szCs w:val="20"/>
                  </w:rPr>
                  <m:t>=∆kW</m:t>
                </m:r>
                <m:sSub>
                  <m:sSubPr>
                    <m:ctrlPr>
                      <w:rPr>
                        <w:rFonts w:ascii="Cambria Math" w:hAnsi="Cambria Math" w:cs="Arial"/>
                        <w:i w:val="0"/>
                        <w:szCs w:val="20"/>
                      </w:rPr>
                    </m:ctrlPr>
                  </m:sSubPr>
                  <m:e>
                    <m:r>
                      <w:rPr>
                        <w:rFonts w:ascii="Cambria Math" w:hAnsi="Cambria Math" w:cs="Arial"/>
                        <w:szCs w:val="20"/>
                      </w:rPr>
                      <m:t>h</m:t>
                    </m:r>
                  </m:e>
                  <m:sub>
                    <m:r>
                      <w:rPr>
                        <w:rFonts w:ascii="Cambria Math" w:hAnsi="Cambria Math" w:cs="Arial"/>
                        <w:szCs w:val="20"/>
                      </w:rPr>
                      <m:t>heat</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ETDF</m:t>
                    </m:r>
                  </m:e>
                  <m:sub>
                    <m:r>
                      <w:rPr>
                        <w:rFonts w:ascii="Cambria Math" w:hAnsi="Cambria Math" w:cs="Arial"/>
                        <w:szCs w:val="20"/>
                      </w:rPr>
                      <m:t>winter</m:t>
                    </m:r>
                  </m:sub>
                </m:sSub>
              </m:oMath>
            </m:oMathPara>
          </w:p>
        </w:tc>
      </w:tr>
    </w:tbl>
    <w:p w14:paraId="6FE5CD7F" w14:textId="77777777" w:rsidR="00EA5BBF" w:rsidRPr="001570EA" w:rsidRDefault="00EA5BBF" w:rsidP="00EA5BBF"/>
    <w:p w14:paraId="5E0970DA" w14:textId="77777777" w:rsidR="00EA5BBF" w:rsidRPr="001570EA" w:rsidRDefault="00EA5BBF" w:rsidP="00EA5BBF">
      <w:pPr>
        <w:jc w:val="left"/>
        <w:rPr>
          <w:rFonts w:cs="Arial"/>
        </w:rPr>
      </w:pPr>
      <w:r w:rsidRPr="001570EA">
        <w:rPr>
          <w:rFonts w:cs="Arial"/>
        </w:rPr>
        <w:br w:type="page"/>
      </w:r>
    </w:p>
    <w:p w14:paraId="2B3B54CE" w14:textId="77777777" w:rsidR="00EA5BBF" w:rsidRPr="00597241" w:rsidRDefault="00EA5BBF" w:rsidP="00EA5BBF">
      <w:pPr>
        <w:rPr>
          <w:b/>
          <w:bCs/>
        </w:rPr>
      </w:pPr>
      <w:r w:rsidRPr="00597241">
        <w:rPr>
          <w:rFonts w:cs="Arial"/>
          <w:b/>
          <w:bCs/>
        </w:rPr>
        <w:t>Gr</w:t>
      </w:r>
      <w:r w:rsidRPr="00597241">
        <w:rPr>
          <w:b/>
          <w:bCs/>
        </w:rPr>
        <w:t>ound Source Heat Pumps (GSHP)</w:t>
      </w:r>
    </w:p>
    <w:p w14:paraId="1E31351C" w14:textId="77777777" w:rsidR="00EA5BBF" w:rsidRPr="001570EA" w:rsidRDefault="00EA5BBF" w:rsidP="00EA5BBF">
      <w:r w:rsidRPr="001570EA">
        <w:t>GSHP efficiencies are typically calculated differently than air-source units, baseline and qualifying unit efficiencies should be converted as follows should be converted as follows:</w:t>
      </w:r>
    </w:p>
    <w:p w14:paraId="60CF3794" w14:textId="77777777" w:rsidR="00EA5BBF" w:rsidRPr="001570EA" w:rsidRDefault="00EA5BBF" w:rsidP="00EA5BBF"/>
    <w:p w14:paraId="089422C1" w14:textId="77777777" w:rsidR="00EA5BBF" w:rsidRPr="001570EA" w:rsidRDefault="00EA5BBF" w:rsidP="00EA5BBF">
      <w:pPr>
        <w:tabs>
          <w:tab w:val="left" w:pos="2160"/>
        </w:tabs>
        <w:spacing w:before="120"/>
        <w:rPr>
          <w:rFonts w:ascii="Cambria Math" w:hAnsi="Cambria Math"/>
          <w:i/>
        </w:rPr>
      </w:pPr>
      <w:r w:rsidRPr="001570EA">
        <w:rPr>
          <w:rFonts w:ascii="Cambria Math" w:hAnsi="Cambria Math"/>
          <w:i/>
        </w:rPr>
        <w:t>SEER</w:t>
      </w:r>
      <w:r w:rsidRPr="001570EA">
        <w:rPr>
          <w:rFonts w:ascii="Cambria Math" w:hAnsi="Cambria Math"/>
          <w:i/>
          <w:vertAlign w:val="subscript"/>
        </w:rPr>
        <w:tab/>
      </w:r>
      <w:r w:rsidRPr="001570EA">
        <w:rPr>
          <w:rFonts w:ascii="Cambria Math" w:hAnsi="Cambria Math"/>
          <w:i/>
        </w:rPr>
        <w:t>= EER</w:t>
      </w:r>
      <w:r w:rsidRPr="001570EA">
        <w:rPr>
          <w:rFonts w:ascii="Cambria Math" w:hAnsi="Cambria Math"/>
          <w:i/>
          <w:vertAlign w:val="subscript"/>
        </w:rPr>
        <w:t>g</w:t>
      </w:r>
      <w:r w:rsidRPr="001570EA">
        <w:rPr>
          <w:rFonts w:ascii="Cambria Math" w:hAnsi="Cambria Math"/>
          <w:i/>
        </w:rPr>
        <w:t xml:space="preserve"> </w:t>
      </w:r>
      <w:r w:rsidRPr="001570EA">
        <w:rPr>
          <w:rFonts w:ascii="Cambria Math" w:hAnsi="Cambria Math"/>
        </w:rPr>
        <w:t>×</w:t>
      </w:r>
      <w:r w:rsidRPr="001570EA">
        <w:rPr>
          <w:rFonts w:ascii="Cambria Math" w:hAnsi="Cambria Math"/>
          <w:i/>
        </w:rPr>
        <w:t xml:space="preserve"> GSHPDF </w:t>
      </w:r>
    </w:p>
    <w:p w14:paraId="3605EE80" w14:textId="77777777" w:rsidR="00EA5BBF" w:rsidRPr="001570EA" w:rsidRDefault="00EA5BBF" w:rsidP="00EA5BBF">
      <w:pPr>
        <w:tabs>
          <w:tab w:val="left" w:pos="2160"/>
        </w:tabs>
        <w:spacing w:before="60"/>
        <w:rPr>
          <w:rFonts w:ascii="Cambria Math" w:hAnsi="Cambria Math"/>
          <w:b/>
          <w:i/>
        </w:rPr>
      </w:pPr>
      <w:r w:rsidRPr="001570EA">
        <w:rPr>
          <w:rFonts w:ascii="Cambria Math" w:hAnsi="Cambria Math"/>
          <w:i/>
        </w:rPr>
        <w:t>HSPF</w:t>
      </w:r>
      <w:r w:rsidRPr="001570EA">
        <w:rPr>
          <w:rFonts w:ascii="Cambria Math" w:hAnsi="Cambria Math"/>
          <w:b/>
          <w:i/>
          <w:vertAlign w:val="subscript"/>
        </w:rPr>
        <w:tab/>
      </w:r>
      <w:r w:rsidRPr="001570EA">
        <w:rPr>
          <w:rFonts w:ascii="Cambria Math" w:hAnsi="Cambria Math"/>
          <w:b/>
          <w:i/>
        </w:rPr>
        <w:t>=</w:t>
      </w:r>
      <w:r w:rsidRPr="001570EA">
        <w:rPr>
          <w:rFonts w:ascii="Cambria Math" w:hAnsi="Cambria Math"/>
          <w:i/>
        </w:rPr>
        <w:t>COP</w:t>
      </w:r>
      <w:r w:rsidRPr="001570EA">
        <w:rPr>
          <w:rFonts w:ascii="Cambria Math" w:hAnsi="Cambria Math"/>
          <w:i/>
          <w:vertAlign w:val="subscript"/>
        </w:rPr>
        <w:t>g</w:t>
      </w:r>
      <w:r w:rsidRPr="001570EA">
        <w:rPr>
          <w:rFonts w:ascii="Cambria Math" w:hAnsi="Cambria Math"/>
          <w:i/>
        </w:rPr>
        <w:t xml:space="preserve"> </w:t>
      </w:r>
      <w:r w:rsidRPr="001570EA">
        <w:rPr>
          <w:rFonts w:ascii="Cambria Math" w:hAnsi="Cambria Math"/>
        </w:rPr>
        <w:t xml:space="preserve">× </w:t>
      </w:r>
      <w:r w:rsidRPr="001570EA">
        <w:rPr>
          <w:rFonts w:ascii="Cambria Math" w:hAnsi="Cambria Math"/>
          <w:i/>
        </w:rPr>
        <w:t xml:space="preserve">GSHPDF </w:t>
      </w:r>
      <w:r w:rsidRPr="001570EA">
        <w:rPr>
          <w:rFonts w:ascii="Cambria Math" w:hAnsi="Cambria Math"/>
        </w:rPr>
        <w:t>×3.412</w:t>
      </w:r>
      <m:oMath>
        <m:f>
          <m:fPr>
            <m:ctrlPr>
              <w:rPr>
                <w:rFonts w:ascii="Cambria Math" w:hAnsi="Cambria Math" w:cs="Arial"/>
              </w:rPr>
            </m:ctrlPr>
          </m:fPr>
          <m:num>
            <m:r>
              <m:rPr>
                <m:nor/>
              </m:rPr>
              <w:rPr>
                <w:rFonts w:ascii="Cambria Math" w:hAnsi="Cambria Math" w:cs="Arial"/>
                <w:iCs/>
              </w:rPr>
              <m:t>BTU</m:t>
            </m:r>
            <m:ctrlPr>
              <w:rPr>
                <w:rFonts w:ascii="Cambria Math" w:hAnsi="Cambria Math" w:cs="Arial"/>
                <w:iCs/>
              </w:rPr>
            </m:ctrlPr>
          </m:num>
          <m:den>
            <m:r>
              <m:rPr>
                <m:nor/>
              </m:rPr>
              <w:rPr>
                <w:rFonts w:ascii="Cambria Math" w:hAnsi="Cambria Math" w:cs="Arial"/>
                <w:iCs/>
              </w:rPr>
              <m:t>W∙h</m:t>
            </m:r>
          </m:den>
        </m:f>
      </m:oMath>
    </w:p>
    <w:p w14:paraId="1C9B7AAC" w14:textId="77777777" w:rsidR="00EA5BBF" w:rsidRPr="001570EA" w:rsidRDefault="00EA5BBF" w:rsidP="00EA5BBF">
      <w:pPr>
        <w:rPr>
          <w:rFonts w:cs="Arial"/>
        </w:rPr>
      </w:pPr>
    </w:p>
    <w:p w14:paraId="13BDC79E" w14:textId="77777777" w:rsidR="00EA5BBF" w:rsidRPr="001570EA" w:rsidRDefault="00EA5BBF" w:rsidP="00EA5BBF">
      <w:pPr>
        <w:rPr>
          <w:rFonts w:cs="Arial"/>
          <w:b/>
        </w:rPr>
      </w:pPr>
      <w:r w:rsidRPr="001570EA">
        <w:rPr>
          <w:rFonts w:cs="Arial"/>
          <w:b/>
        </w:rPr>
        <w:t>PTAC and PTHP</w:t>
      </w:r>
    </w:p>
    <w:p w14:paraId="729FB58A" w14:textId="77777777" w:rsidR="00EA5BBF" w:rsidRPr="001570EA" w:rsidRDefault="00EA5BBF" w:rsidP="00EA5BBF">
      <w:pPr>
        <w:tabs>
          <w:tab w:val="left" w:pos="2160"/>
        </w:tabs>
        <w:rPr>
          <w:rFonts w:ascii="Cambria Math" w:hAnsi="Cambria Math"/>
          <w:i/>
          <w:vertAlign w:val="subscript"/>
        </w:rPr>
      </w:pPr>
      <m:oMath>
        <m:r>
          <w:rPr>
            <w:rFonts w:ascii="Cambria Math" w:hAnsi="Cambria Math" w:cs="Arial"/>
          </w:rPr>
          <m:t>SEER</m:t>
        </m:r>
      </m:oMath>
      <w:r w:rsidRPr="001570EA">
        <w:rPr>
          <w:rFonts w:ascii="Cambria Math" w:hAnsi="Cambria Math"/>
          <w:i/>
          <w:vertAlign w:val="subscript"/>
        </w:rPr>
        <w:t xml:space="preserve"> </w:t>
      </w:r>
      <w:r w:rsidRPr="001570EA">
        <w:rPr>
          <w:rFonts w:ascii="Cambria Math" w:hAnsi="Cambria Math"/>
          <w:i/>
        </w:rPr>
        <w:tab/>
      </w:r>
      <w:r w:rsidRPr="001570EA">
        <w:rPr>
          <w:rFonts w:ascii="Cambria Math" w:hAnsi="Cambria Math"/>
          <w:i/>
          <w:vertAlign w:val="subscript"/>
        </w:rPr>
        <w:t>=</w:t>
      </w:r>
      <w:r w:rsidRPr="001570EA">
        <w:rPr>
          <w:rFonts w:ascii="Cambria Math" w:hAnsi="Cambria Math"/>
          <w:i/>
        </w:rPr>
        <w:t xml:space="preserve"> EER</w:t>
      </w:r>
    </w:p>
    <w:p w14:paraId="7404515C" w14:textId="77777777" w:rsidR="00EA5BBF" w:rsidRPr="001570EA" w:rsidRDefault="00EA5BBF" w:rsidP="00EA5BBF"/>
    <w:p w14:paraId="64B23BB8" w14:textId="77777777" w:rsidR="00EA5BBF" w:rsidRPr="001570EA" w:rsidRDefault="00EA5BBF" w:rsidP="00EA5BBF">
      <w:pPr>
        <w:pStyle w:val="SubStyle"/>
      </w:pPr>
      <w:r w:rsidRPr="001570EA">
        <w:t>Definition of Terms</w:t>
      </w:r>
    </w:p>
    <w:p w14:paraId="24A9E114" w14:textId="317C79CE" w:rsidR="00EA5BBF" w:rsidRPr="001570EA" w:rsidRDefault="00EA5BBF" w:rsidP="00EA5BBF">
      <w:pPr>
        <w:pStyle w:val="Caption"/>
        <w:jc w:val="left"/>
      </w:pPr>
      <w:bookmarkStart w:id="1178" w:name="_Toc47598364"/>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144</w:t>
      </w:r>
      <w:r w:rsidR="002E093A" w:rsidRPr="001570EA">
        <w:fldChar w:fldCharType="end"/>
      </w:r>
      <w:r w:rsidRPr="001570EA">
        <w:t>: Terms</w:t>
      </w:r>
      <w:r w:rsidRPr="001570EA">
        <w:rPr>
          <w:rFonts w:cs="Arial"/>
        </w:rPr>
        <w:t>, Values, and References for</w:t>
      </w:r>
      <w:r w:rsidRPr="001570EA">
        <w:t xml:space="preserve"> Basement Wall Insulation</w:t>
      </w:r>
      <w:bookmarkEnd w:id="1178"/>
    </w:p>
    <w:tbl>
      <w:tblPr>
        <w:tblpPr w:leftFromText="187" w:rightFromText="187" w:vertAnchor="text" w:horzAnchor="margin" w:tblpY="1"/>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242"/>
        <w:gridCol w:w="2763"/>
        <w:gridCol w:w="1053"/>
      </w:tblGrid>
      <w:tr w:rsidR="00EA5BBF" w:rsidRPr="001570EA" w14:paraId="28A5AB5B" w14:textId="77777777">
        <w:trPr>
          <w:cantSplit/>
          <w:tblHeader/>
        </w:trPr>
        <w:tc>
          <w:tcPr>
            <w:tcW w:w="2166" w:type="pct"/>
            <w:shd w:val="clear" w:color="auto" w:fill="BFBFBF"/>
          </w:tcPr>
          <w:p w14:paraId="242C90F0" w14:textId="77777777" w:rsidR="00EA5BBF" w:rsidRPr="001570EA" w:rsidRDefault="00EA5BBF">
            <w:pPr>
              <w:pStyle w:val="TableCell"/>
              <w:spacing w:beforeLines="40" w:before="96" w:afterLines="40" w:after="96"/>
              <w:jc w:val="center"/>
              <w:rPr>
                <w:b/>
              </w:rPr>
            </w:pPr>
            <w:r w:rsidRPr="001570EA">
              <w:rPr>
                <w:b/>
              </w:rPr>
              <w:t>Term</w:t>
            </w:r>
          </w:p>
        </w:tc>
        <w:tc>
          <w:tcPr>
            <w:tcW w:w="696" w:type="pct"/>
            <w:shd w:val="clear" w:color="auto" w:fill="BFBFBF"/>
          </w:tcPr>
          <w:p w14:paraId="5CC10467" w14:textId="77777777" w:rsidR="00EA5BBF" w:rsidRPr="001570EA" w:rsidRDefault="00EA5BBF">
            <w:pPr>
              <w:pStyle w:val="TableCell"/>
              <w:spacing w:beforeLines="40" w:before="96" w:afterLines="40" w:after="96"/>
              <w:jc w:val="center"/>
              <w:rPr>
                <w:b/>
                <w:bCs/>
                <w:iCs/>
              </w:rPr>
            </w:pPr>
            <w:r w:rsidRPr="001570EA">
              <w:rPr>
                <w:b/>
                <w:bCs/>
                <w:iCs/>
              </w:rPr>
              <w:t>Unit</w:t>
            </w:r>
          </w:p>
        </w:tc>
        <w:tc>
          <w:tcPr>
            <w:tcW w:w="1548" w:type="pct"/>
            <w:shd w:val="clear" w:color="auto" w:fill="BFBFBF"/>
          </w:tcPr>
          <w:p w14:paraId="73D2CC9D" w14:textId="77777777" w:rsidR="00EA5BBF" w:rsidRPr="001570EA" w:rsidRDefault="00EA5BBF">
            <w:pPr>
              <w:pStyle w:val="TableCell"/>
              <w:spacing w:beforeLines="40" w:before="96" w:afterLines="40" w:after="96"/>
              <w:jc w:val="center"/>
              <w:rPr>
                <w:b/>
                <w:bCs/>
                <w:iCs/>
              </w:rPr>
            </w:pPr>
            <w:r w:rsidRPr="001570EA">
              <w:rPr>
                <w:b/>
                <w:bCs/>
                <w:iCs/>
              </w:rPr>
              <w:t>Values</w:t>
            </w:r>
          </w:p>
        </w:tc>
        <w:tc>
          <w:tcPr>
            <w:tcW w:w="590" w:type="pct"/>
            <w:shd w:val="clear" w:color="auto" w:fill="BFBFBF"/>
          </w:tcPr>
          <w:p w14:paraId="7900A422" w14:textId="77777777" w:rsidR="00EA5BBF" w:rsidRPr="001570EA" w:rsidRDefault="00EA5BBF">
            <w:pPr>
              <w:pStyle w:val="TableCell"/>
              <w:spacing w:beforeLines="40" w:before="96" w:afterLines="40" w:after="96"/>
              <w:jc w:val="center"/>
              <w:rPr>
                <w:b/>
                <w:bCs/>
                <w:iCs/>
              </w:rPr>
            </w:pPr>
            <w:r w:rsidRPr="001570EA">
              <w:rPr>
                <w:b/>
                <w:bCs/>
                <w:iCs/>
              </w:rPr>
              <w:t>Source</w:t>
            </w:r>
          </w:p>
        </w:tc>
      </w:tr>
      <w:tr w:rsidR="00EA5BBF" w:rsidRPr="001570EA" w14:paraId="5CC2791D" w14:textId="77777777">
        <w:trPr>
          <w:cantSplit/>
        </w:trPr>
        <w:tc>
          <w:tcPr>
            <w:tcW w:w="2166" w:type="pct"/>
            <w:shd w:val="clear" w:color="auto" w:fill="auto"/>
          </w:tcPr>
          <w:p w14:paraId="76AB9766" w14:textId="77777777" w:rsidR="00EA5BBF" w:rsidRPr="001570EA" w:rsidRDefault="00EA5BBF">
            <w:pPr>
              <w:pStyle w:val="TableCell"/>
              <w:spacing w:beforeLines="40" w:before="96" w:afterLines="40" w:after="96"/>
              <w:jc w:val="left"/>
            </w:pPr>
            <m:oMath>
              <m:r>
                <m:rPr>
                  <m:nor/>
                </m:rPr>
                <w:rPr>
                  <w:rFonts w:ascii="Cambria Math" w:hAnsi="Cambria Math"/>
                  <w:i/>
                </w:rPr>
                <m:t>∆</m:t>
              </m:r>
              <m:r>
                <w:rPr>
                  <w:rFonts w:ascii="Cambria Math" w:hAnsi="Cambria Math"/>
                </w:rPr>
                <m:t>kW</m:t>
              </m:r>
              <m:sSub>
                <m:sSubPr>
                  <m:ctrlPr>
                    <w:rPr>
                      <w:rFonts w:ascii="Cambria Math" w:hAnsi="Cambria Math"/>
                      <w:i/>
                    </w:rPr>
                  </m:ctrlPr>
                </m:sSubPr>
                <m:e>
                  <m:r>
                    <w:rPr>
                      <w:rFonts w:ascii="Cambria Math" w:hAnsi="Cambria Math"/>
                    </w:rPr>
                    <m:t>h</m:t>
                  </m:r>
                </m:e>
                <m:sub>
                  <m:r>
                    <w:rPr>
                      <w:rFonts w:ascii="Cambria Math" w:hAnsi="Cambria Math"/>
                    </w:rPr>
                    <m:t>cool</m:t>
                  </m:r>
                </m:sub>
              </m:sSub>
            </m:oMath>
            <w:r w:rsidRPr="001570EA">
              <w:t>, Annual cooling energy savings</w:t>
            </w:r>
          </w:p>
        </w:tc>
        <w:tc>
          <w:tcPr>
            <w:tcW w:w="696" w:type="pct"/>
          </w:tcPr>
          <w:p w14:paraId="2FDC1FFD" w14:textId="77777777" w:rsidR="00EA5BBF" w:rsidRPr="001570EA" w:rsidRDefault="00EA5BBF">
            <w:pPr>
              <w:pStyle w:val="TableCell"/>
              <w:spacing w:beforeLines="40" w:before="96" w:afterLines="40" w:after="96"/>
              <w:jc w:val="center"/>
              <w:rPr>
                <w:rFonts w:eastAsia="Arial Unicode MS"/>
                <w:i/>
              </w:rPr>
            </w:pPr>
            <w:r w:rsidRPr="001570EA">
              <w:rPr>
                <w:rFonts w:eastAsia="Arial Unicode MS"/>
                <w:i/>
              </w:rPr>
              <w:t>kWh/year</w:t>
            </w:r>
          </w:p>
        </w:tc>
        <w:tc>
          <w:tcPr>
            <w:tcW w:w="1548" w:type="pct"/>
            <w:shd w:val="clear" w:color="auto" w:fill="auto"/>
          </w:tcPr>
          <w:p w14:paraId="2AC3F12C" w14:textId="77777777" w:rsidR="00EA5BBF" w:rsidRPr="001570EA" w:rsidRDefault="00EA5BBF">
            <w:pPr>
              <w:pStyle w:val="TableCell"/>
              <w:spacing w:beforeLines="40" w:before="96" w:afterLines="40" w:after="96"/>
              <w:jc w:val="center"/>
            </w:pPr>
            <w:r w:rsidRPr="001570EA">
              <w:t>Calculated</w:t>
            </w:r>
          </w:p>
        </w:tc>
        <w:tc>
          <w:tcPr>
            <w:tcW w:w="590" w:type="pct"/>
          </w:tcPr>
          <w:p w14:paraId="3A07EAAB" w14:textId="77777777" w:rsidR="00EA5BBF" w:rsidRPr="001570EA" w:rsidRDefault="00EA5BBF">
            <w:pPr>
              <w:pStyle w:val="TableCell"/>
              <w:spacing w:beforeLines="40" w:before="96" w:afterLines="40" w:after="96"/>
              <w:jc w:val="center"/>
            </w:pPr>
            <w:r w:rsidRPr="001570EA">
              <w:t>-</w:t>
            </w:r>
          </w:p>
        </w:tc>
      </w:tr>
      <w:tr w:rsidR="00EA5BBF" w:rsidRPr="001570EA" w14:paraId="0877714E" w14:textId="77777777">
        <w:trPr>
          <w:cantSplit/>
        </w:trPr>
        <w:tc>
          <w:tcPr>
            <w:tcW w:w="2166" w:type="pct"/>
            <w:shd w:val="clear" w:color="auto" w:fill="auto"/>
          </w:tcPr>
          <w:p w14:paraId="2BAD22F4" w14:textId="77777777" w:rsidR="00EA5BBF" w:rsidRPr="001570EA" w:rsidRDefault="00EA5BBF">
            <w:pPr>
              <w:pStyle w:val="TableCell"/>
              <w:spacing w:beforeLines="40" w:before="96" w:afterLines="40" w:after="96"/>
              <w:jc w:val="left"/>
            </w:pPr>
            <m:oMath>
              <m:r>
                <m:rPr>
                  <m:nor/>
                </m:rPr>
                <w:rPr>
                  <w:rFonts w:ascii="Cambria Math" w:hAnsi="Cambria Math"/>
                  <w:i/>
                </w:rPr>
                <m:t>∆</m:t>
              </m:r>
              <m:r>
                <w:rPr>
                  <w:rFonts w:ascii="Cambria Math" w:hAnsi="Cambria Math"/>
                </w:rPr>
                <m:t>kW</m:t>
              </m:r>
              <m:sSub>
                <m:sSubPr>
                  <m:ctrlPr>
                    <w:rPr>
                      <w:rFonts w:ascii="Cambria Math" w:hAnsi="Cambria Math"/>
                      <w:i/>
                    </w:rPr>
                  </m:ctrlPr>
                </m:sSubPr>
                <m:e>
                  <m:r>
                    <w:rPr>
                      <w:rFonts w:ascii="Cambria Math" w:hAnsi="Cambria Math"/>
                    </w:rPr>
                    <m:t>h</m:t>
                  </m:r>
                </m:e>
                <m:sub>
                  <m:r>
                    <w:rPr>
                      <w:rFonts w:ascii="Cambria Math" w:hAnsi="Cambria Math"/>
                    </w:rPr>
                    <m:t>heat</m:t>
                  </m:r>
                </m:sub>
              </m:sSub>
            </m:oMath>
            <w:r w:rsidRPr="001570EA">
              <w:t>, Annual heating energy savings</w:t>
            </w:r>
          </w:p>
        </w:tc>
        <w:tc>
          <w:tcPr>
            <w:tcW w:w="696" w:type="pct"/>
          </w:tcPr>
          <w:p w14:paraId="2C22C72E" w14:textId="77777777" w:rsidR="00EA5BBF" w:rsidRPr="001570EA" w:rsidRDefault="00EA5BBF">
            <w:pPr>
              <w:pStyle w:val="TableCell"/>
              <w:spacing w:beforeLines="40" w:before="96" w:afterLines="40" w:after="96"/>
              <w:jc w:val="center"/>
              <w:rPr>
                <w:rFonts w:eastAsia="Arial Unicode MS"/>
                <w:i/>
              </w:rPr>
            </w:pPr>
            <w:r w:rsidRPr="001570EA">
              <w:rPr>
                <w:rFonts w:eastAsia="Arial Unicode MS"/>
                <w:i/>
              </w:rPr>
              <w:t>kWh/year</w:t>
            </w:r>
          </w:p>
        </w:tc>
        <w:tc>
          <w:tcPr>
            <w:tcW w:w="1548" w:type="pct"/>
            <w:shd w:val="clear" w:color="auto" w:fill="auto"/>
          </w:tcPr>
          <w:p w14:paraId="4D3FEFB3" w14:textId="77777777" w:rsidR="00EA5BBF" w:rsidRPr="001570EA" w:rsidRDefault="00EA5BBF">
            <w:pPr>
              <w:pStyle w:val="TableCell"/>
              <w:spacing w:beforeLines="40" w:before="96" w:afterLines="40" w:after="96"/>
              <w:jc w:val="center"/>
            </w:pPr>
            <w:r w:rsidRPr="001570EA">
              <w:t>Calculated</w:t>
            </w:r>
          </w:p>
        </w:tc>
        <w:tc>
          <w:tcPr>
            <w:tcW w:w="590" w:type="pct"/>
          </w:tcPr>
          <w:p w14:paraId="28DB8483" w14:textId="77777777" w:rsidR="00EA5BBF" w:rsidRPr="001570EA" w:rsidRDefault="00EA5BBF">
            <w:pPr>
              <w:pStyle w:val="TableCell"/>
              <w:spacing w:beforeLines="40" w:before="96" w:afterLines="40" w:after="96"/>
              <w:jc w:val="center"/>
            </w:pPr>
            <w:r w:rsidRPr="001570EA">
              <w:t>-</w:t>
            </w:r>
          </w:p>
        </w:tc>
      </w:tr>
      <w:tr w:rsidR="00EA5BBF" w:rsidRPr="001570EA" w14:paraId="10A72683" w14:textId="77777777">
        <w:trPr>
          <w:cantSplit/>
          <w:trHeight w:val="503"/>
        </w:trPr>
        <w:tc>
          <w:tcPr>
            <w:tcW w:w="2166" w:type="pct"/>
            <w:vMerge w:val="restart"/>
            <w:shd w:val="clear" w:color="auto" w:fill="auto"/>
          </w:tcPr>
          <w:p w14:paraId="69427D66" w14:textId="1569C941" w:rsidR="00EA5BBF" w:rsidRPr="001570EA" w:rsidRDefault="003B5E04">
            <w:pPr>
              <w:pStyle w:val="TableCell"/>
              <w:spacing w:beforeLines="40" w:before="96" w:afterLines="40" w:after="96"/>
              <w:jc w:val="left"/>
              <w:rPr>
                <w:rFonts w:ascii="Cambria Math" w:hAnsi="Cambria Math"/>
                <w:oMath/>
              </w:rPr>
            </w:pPr>
            <m:oMath>
              <m:sSub>
                <m:sSubPr>
                  <m:ctrlPr>
                    <w:rPr>
                      <w:rFonts w:ascii="Cambria Math" w:hAnsi="Cambria Math"/>
                      <w:i/>
                    </w:rPr>
                  </m:ctrlPr>
                </m:sSubPr>
                <m:e>
                  <m:r>
                    <w:rPr>
                      <w:rFonts w:ascii="Cambria Math" w:hAnsi="Cambria Math"/>
                    </w:rPr>
                    <m:t>R</m:t>
                  </m:r>
                </m:e>
                <m:sub>
                  <m:r>
                    <w:rPr>
                      <w:rFonts w:ascii="Cambria Math" w:hAnsi="Cambria Math"/>
                    </w:rPr>
                    <m:t>base</m:t>
                  </m:r>
                </m:sub>
              </m:sSub>
              <m:r>
                <w:rPr>
                  <w:rFonts w:ascii="Cambria Math" w:hAnsi="Cambria Math"/>
                </w:rPr>
                <m:t xml:space="preserve">,  </m:t>
              </m:r>
            </m:oMath>
            <w:r w:rsidR="00EA5BBF" w:rsidRPr="001570EA">
              <w:t>R-value of existing insulation</w:t>
            </w:r>
          </w:p>
        </w:tc>
        <w:tc>
          <w:tcPr>
            <w:tcW w:w="696" w:type="pct"/>
            <w:vMerge w:val="restart"/>
            <w:tcBorders>
              <w:right w:val="single" w:sz="4" w:space="0" w:color="auto"/>
            </w:tcBorders>
          </w:tcPr>
          <w:p w14:paraId="36D19782" w14:textId="77777777" w:rsidR="00EA5BBF" w:rsidRPr="001570EA" w:rsidRDefault="00EA5BBF">
            <w:pPr>
              <w:pStyle w:val="TableCell"/>
              <w:spacing w:beforeLines="40" w:before="96" w:afterLines="40" w:after="96"/>
              <w:jc w:val="center"/>
              <w:rPr>
                <w:rFonts w:eastAsia="Arial Unicode MS"/>
                <w:i/>
              </w:rPr>
            </w:pPr>
          </w:p>
          <w:p w14:paraId="21AE2DD2" w14:textId="77777777" w:rsidR="00EA5BBF" w:rsidRPr="001570EA" w:rsidRDefault="003B5E04">
            <w:pPr>
              <w:pStyle w:val="TableCell"/>
              <w:spacing w:beforeLines="40" w:before="96" w:afterLines="40" w:after="96"/>
              <w:jc w:val="center"/>
              <w:rPr>
                <w:rFonts w:eastAsia="Arial Unicode MS"/>
                <w:i/>
              </w:rPr>
            </w:pPr>
            <m:oMathPara>
              <m:oMath>
                <m:f>
                  <m:fPr>
                    <m:ctrlPr>
                      <w:rPr>
                        <w:rFonts w:ascii="Cambria Math" w:hAnsi="Cambria Math" w:cs="Arial"/>
                        <w:szCs w:val="18"/>
                      </w:rPr>
                    </m:ctrlPr>
                  </m:fPr>
                  <m:num>
                    <m:r>
                      <w:rPr>
                        <w:rFonts w:ascii="Cambria Math" w:hAnsi="Cambria Math" w:cs="Arial"/>
                        <w:szCs w:val="18"/>
                      </w:rPr>
                      <m:t>℉∙</m:t>
                    </m:r>
                    <m:sSup>
                      <m:sSupPr>
                        <m:ctrlPr>
                          <w:rPr>
                            <w:rFonts w:ascii="Cambria Math" w:hAnsi="Cambria Math" w:cs="Arial"/>
                            <w:i/>
                            <w:szCs w:val="18"/>
                          </w:rPr>
                        </m:ctrlPr>
                      </m:sSupPr>
                      <m:e>
                        <m:r>
                          <w:rPr>
                            <w:rFonts w:ascii="Cambria Math" w:hAnsi="Cambria Math" w:cs="Arial"/>
                            <w:szCs w:val="18"/>
                          </w:rPr>
                          <m:t>ft</m:t>
                        </m:r>
                      </m:e>
                      <m:sup>
                        <m:r>
                          <w:rPr>
                            <w:rFonts w:ascii="Cambria Math" w:hAnsi="Cambria Math" w:cs="Arial"/>
                            <w:szCs w:val="18"/>
                          </w:rPr>
                          <m:t>3</m:t>
                        </m:r>
                      </m:sup>
                    </m:sSup>
                    <m:r>
                      <w:rPr>
                        <w:rFonts w:ascii="Cambria Math" w:hAnsi="Cambria Math" w:cs="Arial"/>
                        <w:szCs w:val="18"/>
                      </w:rPr>
                      <m:t>∙hr</m:t>
                    </m:r>
                  </m:num>
                  <m:den>
                    <m:r>
                      <w:rPr>
                        <w:rFonts w:ascii="Cambria Math" w:hAnsi="Cambria Math" w:cs="Arial"/>
                        <w:szCs w:val="18"/>
                      </w:rPr>
                      <m:t>BTU</m:t>
                    </m:r>
                  </m:den>
                </m:f>
              </m:oMath>
            </m:oMathPara>
          </w:p>
        </w:tc>
        <w:tc>
          <w:tcPr>
            <w:tcW w:w="1548" w:type="pct"/>
            <w:tcBorders>
              <w:top w:val="single" w:sz="4" w:space="0" w:color="auto"/>
              <w:left w:val="single" w:sz="4" w:space="0" w:color="auto"/>
              <w:bottom w:val="single" w:sz="4" w:space="0" w:color="auto"/>
              <w:right w:val="single" w:sz="4" w:space="0" w:color="auto"/>
            </w:tcBorders>
            <w:shd w:val="clear" w:color="auto" w:fill="auto"/>
          </w:tcPr>
          <w:p w14:paraId="322091BB" w14:textId="77777777" w:rsidR="00EA5BBF" w:rsidRPr="001570EA" w:rsidRDefault="00EA5BBF">
            <w:pPr>
              <w:pStyle w:val="TableCell"/>
              <w:spacing w:beforeLines="40" w:before="96" w:afterLines="40" w:after="96"/>
              <w:jc w:val="center"/>
            </w:pPr>
            <w:r w:rsidRPr="001570EA">
              <w:t>Retrofit: EDC Data Gathering or</w:t>
            </w:r>
          </w:p>
          <w:p w14:paraId="26836E81" w14:textId="77777777" w:rsidR="00EA5BBF" w:rsidRPr="001570EA" w:rsidRDefault="00EA5BBF">
            <w:pPr>
              <w:pStyle w:val="TableCell"/>
              <w:spacing w:beforeLines="40" w:before="96" w:afterLines="40" w:after="96"/>
              <w:jc w:val="center"/>
            </w:pPr>
            <w:r w:rsidRPr="001570EA">
              <w:t>Default: Table 12</w:t>
            </w:r>
          </w:p>
        </w:tc>
        <w:tc>
          <w:tcPr>
            <w:tcW w:w="590" w:type="pct"/>
            <w:tcBorders>
              <w:top w:val="single" w:sz="4" w:space="0" w:color="auto"/>
              <w:left w:val="single" w:sz="4" w:space="0" w:color="auto"/>
              <w:right w:val="single" w:sz="4" w:space="0" w:color="auto"/>
            </w:tcBorders>
          </w:tcPr>
          <w:p w14:paraId="1B330DDA" w14:textId="77777777" w:rsidR="00EA5BBF" w:rsidRPr="001570EA" w:rsidRDefault="00EA5BBF">
            <w:pPr>
              <w:pStyle w:val="TableCell"/>
              <w:spacing w:beforeLines="40" w:before="96" w:afterLines="40" w:after="96"/>
              <w:jc w:val="center"/>
            </w:pPr>
            <w:r w:rsidRPr="001570EA">
              <w:t>EDC Data Gathering, Various</w:t>
            </w:r>
          </w:p>
        </w:tc>
      </w:tr>
      <w:tr w:rsidR="00EA5BBF" w:rsidRPr="001570EA" w14:paraId="2DB5589B" w14:textId="77777777">
        <w:trPr>
          <w:cantSplit/>
          <w:trHeight w:val="502"/>
        </w:trPr>
        <w:tc>
          <w:tcPr>
            <w:tcW w:w="2166" w:type="pct"/>
            <w:vMerge/>
            <w:shd w:val="clear" w:color="auto" w:fill="auto"/>
          </w:tcPr>
          <w:p w14:paraId="777D198C" w14:textId="77777777" w:rsidR="00EA5BBF" w:rsidRPr="001570EA" w:rsidRDefault="00EA5BBF">
            <w:pPr>
              <w:pStyle w:val="TableCell"/>
              <w:spacing w:beforeLines="40" w:before="96" w:afterLines="40" w:after="96"/>
              <w:jc w:val="left"/>
            </w:pPr>
          </w:p>
        </w:tc>
        <w:tc>
          <w:tcPr>
            <w:tcW w:w="696" w:type="pct"/>
            <w:vMerge/>
            <w:tcBorders>
              <w:right w:val="single" w:sz="4" w:space="0" w:color="auto"/>
            </w:tcBorders>
          </w:tcPr>
          <w:p w14:paraId="154A0546" w14:textId="77777777" w:rsidR="00EA5BBF" w:rsidRPr="001570EA" w:rsidRDefault="00EA5BBF">
            <w:pPr>
              <w:pStyle w:val="TableCell"/>
              <w:spacing w:beforeLines="40" w:before="96" w:afterLines="40" w:after="96"/>
              <w:jc w:val="center"/>
              <w:rPr>
                <w:rFonts w:ascii="Calibri" w:eastAsia="Arial Unicode MS" w:hAnsi="Calibri" w:cs="Calibri"/>
                <w:i/>
              </w:rPr>
            </w:pPr>
          </w:p>
        </w:tc>
        <w:tc>
          <w:tcPr>
            <w:tcW w:w="1548" w:type="pct"/>
            <w:tcBorders>
              <w:top w:val="single" w:sz="4" w:space="0" w:color="auto"/>
              <w:left w:val="single" w:sz="4" w:space="0" w:color="auto"/>
              <w:bottom w:val="single" w:sz="4" w:space="0" w:color="auto"/>
              <w:right w:val="single" w:sz="4" w:space="0" w:color="auto"/>
            </w:tcBorders>
            <w:shd w:val="clear" w:color="auto" w:fill="auto"/>
          </w:tcPr>
          <w:p w14:paraId="53B91A2E" w14:textId="006B156B" w:rsidR="00EA5BBF" w:rsidRPr="001570EA" w:rsidRDefault="00EA5BBF">
            <w:pPr>
              <w:pStyle w:val="TableCell"/>
              <w:spacing w:beforeLines="40" w:before="96" w:afterLines="40" w:after="96"/>
              <w:jc w:val="center"/>
            </w:pPr>
            <w:r w:rsidRPr="001570EA">
              <w:t xml:space="preserve">New Construction: </w:t>
            </w:r>
            <w:r w:rsidRPr="001570EA">
              <w:fldChar w:fldCharType="begin"/>
            </w:r>
            <w:r w:rsidRPr="001570EA">
              <w:instrText xml:space="preserve"> REF _Ref151086083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146</w:t>
            </w:r>
            <w:r w:rsidRPr="001570EA">
              <w:fldChar w:fldCharType="end"/>
            </w:r>
          </w:p>
        </w:tc>
        <w:tc>
          <w:tcPr>
            <w:tcW w:w="590" w:type="pct"/>
            <w:tcBorders>
              <w:left w:val="single" w:sz="4" w:space="0" w:color="auto"/>
              <w:bottom w:val="single" w:sz="4" w:space="0" w:color="auto"/>
              <w:right w:val="single" w:sz="4" w:space="0" w:color="auto"/>
            </w:tcBorders>
          </w:tcPr>
          <w:p w14:paraId="7F2E490C" w14:textId="77777777" w:rsidR="00EA5BBF" w:rsidRPr="001570EA" w:rsidDel="007661E6" w:rsidRDefault="00EA5BBF">
            <w:pPr>
              <w:pStyle w:val="TableCell"/>
              <w:spacing w:beforeLines="40" w:before="96" w:afterLines="40" w:after="96"/>
              <w:jc w:val="center"/>
            </w:pPr>
            <w:r w:rsidRPr="001570EA">
              <w:t>3</w:t>
            </w:r>
          </w:p>
        </w:tc>
      </w:tr>
      <w:tr w:rsidR="00EA5BBF" w:rsidRPr="001570EA" w14:paraId="7289596E" w14:textId="77777777">
        <w:trPr>
          <w:cantSplit/>
          <w:trHeight w:val="503"/>
        </w:trPr>
        <w:tc>
          <w:tcPr>
            <w:tcW w:w="2166" w:type="pct"/>
            <w:vMerge w:val="restart"/>
            <w:shd w:val="clear" w:color="auto" w:fill="auto"/>
          </w:tcPr>
          <w:p w14:paraId="211506E8" w14:textId="77777777" w:rsidR="00EA5BBF" w:rsidRPr="001570EA" w:rsidRDefault="003B5E04">
            <w:pPr>
              <w:pStyle w:val="TableCell"/>
              <w:spacing w:beforeLines="40" w:before="96" w:afterLines="40" w:after="96"/>
              <w:jc w:val="left"/>
              <w:rPr>
                <w:rFonts w:ascii="Cambria Math" w:hAnsi="Cambria Math"/>
                <w:oMath/>
              </w:rPr>
            </w:pPr>
            <m:oMath>
              <m:sSub>
                <m:sSubPr>
                  <m:ctrlPr>
                    <w:rPr>
                      <w:rFonts w:ascii="Cambria Math" w:hAnsi="Cambria Math"/>
                      <w:i/>
                    </w:rPr>
                  </m:ctrlPr>
                </m:sSubPr>
                <m:e>
                  <m:r>
                    <w:rPr>
                      <w:rFonts w:ascii="Cambria Math" w:hAnsi="Cambria Math"/>
                    </w:rPr>
                    <m:t>R</m:t>
                  </m:r>
                </m:e>
                <m:sub>
                  <m:r>
                    <w:rPr>
                      <w:rFonts w:ascii="Cambria Math" w:hAnsi="Cambria Math"/>
                    </w:rPr>
                    <m:t>ee</m:t>
                  </m:r>
                </m:sub>
              </m:sSub>
              <m:r>
                <w:rPr>
                  <w:rFonts w:ascii="Cambria Math" w:hAnsi="Cambria Math"/>
                </w:rPr>
                <m:t xml:space="preserve">,  </m:t>
              </m:r>
            </m:oMath>
            <w:r w:rsidR="00EA5BBF" w:rsidRPr="001570EA">
              <w:t>R-value after adding new insulation</w:t>
            </w:r>
          </w:p>
        </w:tc>
        <w:tc>
          <w:tcPr>
            <w:tcW w:w="696" w:type="pct"/>
            <w:vMerge w:val="restart"/>
          </w:tcPr>
          <w:p w14:paraId="3EB6A888" w14:textId="77777777" w:rsidR="00EA5BBF" w:rsidRPr="001570EA" w:rsidRDefault="00EA5BBF">
            <w:pPr>
              <w:pStyle w:val="TableCell"/>
              <w:spacing w:beforeLines="40" w:before="96" w:afterLines="40" w:after="96"/>
              <w:jc w:val="center"/>
              <w:rPr>
                <w:rFonts w:ascii="Calibri" w:eastAsia="Arial Unicode MS" w:hAnsi="Calibri" w:cs="Calibri"/>
                <w:i/>
              </w:rPr>
            </w:pPr>
          </w:p>
          <w:p w14:paraId="006C305E" w14:textId="77777777" w:rsidR="00EA5BBF" w:rsidRPr="001570EA" w:rsidRDefault="003B5E04">
            <w:pPr>
              <w:pStyle w:val="TableCell"/>
              <w:spacing w:beforeLines="40" w:before="96" w:afterLines="40" w:after="96"/>
              <w:jc w:val="center"/>
              <w:rPr>
                <w:rFonts w:eastAsia="Arial Unicode MS"/>
                <w:i/>
              </w:rPr>
            </w:pPr>
            <m:oMathPara>
              <m:oMath>
                <m:f>
                  <m:fPr>
                    <m:ctrlPr>
                      <w:rPr>
                        <w:rFonts w:ascii="Cambria Math" w:hAnsi="Cambria Math" w:cs="Arial"/>
                        <w:szCs w:val="18"/>
                      </w:rPr>
                    </m:ctrlPr>
                  </m:fPr>
                  <m:num>
                    <m:r>
                      <w:rPr>
                        <w:rFonts w:ascii="Cambria Math" w:hAnsi="Cambria Math" w:cs="Arial"/>
                        <w:szCs w:val="18"/>
                      </w:rPr>
                      <m:t>℉∙</m:t>
                    </m:r>
                    <m:sSup>
                      <m:sSupPr>
                        <m:ctrlPr>
                          <w:rPr>
                            <w:rFonts w:ascii="Cambria Math" w:hAnsi="Cambria Math" w:cs="Arial"/>
                            <w:i/>
                            <w:szCs w:val="18"/>
                          </w:rPr>
                        </m:ctrlPr>
                      </m:sSupPr>
                      <m:e>
                        <m:r>
                          <w:rPr>
                            <w:rFonts w:ascii="Cambria Math" w:hAnsi="Cambria Math" w:cs="Arial"/>
                            <w:szCs w:val="18"/>
                          </w:rPr>
                          <m:t>ft</m:t>
                        </m:r>
                      </m:e>
                      <m:sup>
                        <m:r>
                          <w:rPr>
                            <w:rFonts w:ascii="Cambria Math" w:hAnsi="Cambria Math" w:cs="Arial"/>
                            <w:szCs w:val="18"/>
                          </w:rPr>
                          <m:t>3</m:t>
                        </m:r>
                      </m:sup>
                    </m:sSup>
                    <m:r>
                      <w:rPr>
                        <w:rFonts w:ascii="Cambria Math" w:hAnsi="Cambria Math" w:cs="Arial"/>
                        <w:szCs w:val="18"/>
                      </w:rPr>
                      <m:t>∙hr</m:t>
                    </m:r>
                  </m:num>
                  <m:den>
                    <m:r>
                      <w:rPr>
                        <w:rFonts w:ascii="Cambria Math" w:hAnsi="Cambria Math" w:cs="Arial"/>
                        <w:szCs w:val="18"/>
                      </w:rPr>
                      <m:t>BTU</m:t>
                    </m:r>
                  </m:den>
                </m:f>
              </m:oMath>
            </m:oMathPara>
          </w:p>
        </w:tc>
        <w:tc>
          <w:tcPr>
            <w:tcW w:w="1548" w:type="pct"/>
            <w:tcBorders>
              <w:top w:val="single" w:sz="4" w:space="0" w:color="auto"/>
            </w:tcBorders>
            <w:shd w:val="clear" w:color="auto" w:fill="auto"/>
          </w:tcPr>
          <w:p w14:paraId="51883A26" w14:textId="77777777" w:rsidR="00EA5BBF" w:rsidRPr="001570EA" w:rsidRDefault="00EA5BBF">
            <w:pPr>
              <w:pStyle w:val="TableCell"/>
              <w:spacing w:beforeLines="40" w:before="96" w:afterLines="40" w:after="96"/>
              <w:jc w:val="center"/>
            </w:pPr>
            <w:r w:rsidRPr="001570EA">
              <w:t>Retrofit: EDC Data Gathering or</w:t>
            </w:r>
          </w:p>
          <w:p w14:paraId="722B9FE4" w14:textId="27216823" w:rsidR="00EA5BBF" w:rsidRPr="001570EA" w:rsidRDefault="00EA5BBF">
            <w:pPr>
              <w:pStyle w:val="TableCell"/>
              <w:spacing w:beforeLines="40" w:before="96" w:afterLines="40" w:after="96"/>
              <w:jc w:val="center"/>
            </w:pPr>
            <w:r w:rsidRPr="001570EA">
              <w:t xml:space="preserve">Default: </w:t>
            </w:r>
            <w:r w:rsidRPr="001570EA">
              <w:fldChar w:fldCharType="begin"/>
            </w:r>
            <w:r w:rsidRPr="001570EA">
              <w:instrText xml:space="preserve"> REF _Ref11337130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145</w:t>
            </w:r>
            <w:r w:rsidRPr="001570EA">
              <w:fldChar w:fldCharType="end"/>
            </w:r>
          </w:p>
        </w:tc>
        <w:tc>
          <w:tcPr>
            <w:tcW w:w="590" w:type="pct"/>
            <w:vMerge w:val="restart"/>
            <w:tcBorders>
              <w:top w:val="single" w:sz="4" w:space="0" w:color="auto"/>
            </w:tcBorders>
          </w:tcPr>
          <w:p w14:paraId="0EA1DC33" w14:textId="77777777" w:rsidR="00EA5BBF" w:rsidRPr="001570EA" w:rsidRDefault="00EA5BBF">
            <w:pPr>
              <w:pStyle w:val="TableCell"/>
              <w:spacing w:beforeLines="40" w:before="96" w:afterLines="40" w:after="96"/>
              <w:jc w:val="center"/>
            </w:pPr>
            <w:r w:rsidRPr="001570EA">
              <w:t>EDC Data Gathering, 2</w:t>
            </w:r>
          </w:p>
        </w:tc>
      </w:tr>
      <w:tr w:rsidR="00EA5BBF" w:rsidRPr="001570EA" w14:paraId="104D652D" w14:textId="77777777">
        <w:trPr>
          <w:cantSplit/>
          <w:trHeight w:val="502"/>
        </w:trPr>
        <w:tc>
          <w:tcPr>
            <w:tcW w:w="2166" w:type="pct"/>
            <w:vMerge/>
            <w:shd w:val="clear" w:color="auto" w:fill="auto"/>
          </w:tcPr>
          <w:p w14:paraId="1A38C70D" w14:textId="77777777" w:rsidR="00EA5BBF" w:rsidRPr="001570EA" w:rsidRDefault="00EA5BBF">
            <w:pPr>
              <w:pStyle w:val="TableCell"/>
              <w:spacing w:beforeLines="40" w:before="96" w:afterLines="40" w:after="96"/>
              <w:jc w:val="left"/>
            </w:pPr>
          </w:p>
        </w:tc>
        <w:tc>
          <w:tcPr>
            <w:tcW w:w="696" w:type="pct"/>
            <w:vMerge/>
          </w:tcPr>
          <w:p w14:paraId="0F38FB64" w14:textId="77777777" w:rsidR="00EA5BBF" w:rsidRPr="001570EA" w:rsidRDefault="00EA5BBF">
            <w:pPr>
              <w:pStyle w:val="TableCell"/>
              <w:spacing w:beforeLines="40" w:before="96" w:afterLines="40" w:after="96"/>
              <w:jc w:val="center"/>
              <w:rPr>
                <w:rFonts w:ascii="Calibri" w:eastAsia="Arial Unicode MS" w:hAnsi="Calibri" w:cs="Calibri"/>
                <w:i/>
              </w:rPr>
            </w:pPr>
          </w:p>
        </w:tc>
        <w:tc>
          <w:tcPr>
            <w:tcW w:w="1548" w:type="pct"/>
            <w:tcBorders>
              <w:top w:val="single" w:sz="4" w:space="0" w:color="auto"/>
            </w:tcBorders>
            <w:shd w:val="clear" w:color="auto" w:fill="auto"/>
          </w:tcPr>
          <w:p w14:paraId="1810F19D" w14:textId="77777777" w:rsidR="00EA5BBF" w:rsidRPr="001570EA" w:rsidRDefault="00EA5BBF">
            <w:pPr>
              <w:pStyle w:val="TableCell"/>
              <w:spacing w:beforeLines="40" w:before="96" w:afterLines="40" w:after="96"/>
              <w:jc w:val="center"/>
            </w:pPr>
            <w:r w:rsidRPr="001570EA">
              <w:t>New Construction: EDC Data Gathering</w:t>
            </w:r>
          </w:p>
        </w:tc>
        <w:tc>
          <w:tcPr>
            <w:tcW w:w="590" w:type="pct"/>
            <w:vMerge/>
          </w:tcPr>
          <w:p w14:paraId="5D11D60C" w14:textId="77777777" w:rsidR="00EA5BBF" w:rsidRPr="001570EA" w:rsidDel="00AE2D7B" w:rsidRDefault="00EA5BBF">
            <w:pPr>
              <w:pStyle w:val="TableCell"/>
              <w:spacing w:beforeLines="40" w:before="96" w:afterLines="40" w:after="96"/>
              <w:jc w:val="center"/>
            </w:pPr>
          </w:p>
        </w:tc>
      </w:tr>
      <w:tr w:rsidR="00EA5BBF" w:rsidRPr="001570EA" w14:paraId="05729202" w14:textId="77777777">
        <w:trPr>
          <w:cantSplit/>
        </w:trPr>
        <w:tc>
          <w:tcPr>
            <w:tcW w:w="2166" w:type="pct"/>
            <w:shd w:val="clear" w:color="auto" w:fill="auto"/>
          </w:tcPr>
          <w:p w14:paraId="042F2886" w14:textId="165A7E56" w:rsidR="00EA5BBF" w:rsidRPr="001570EA" w:rsidRDefault="00EA5BBF">
            <w:pPr>
              <w:pStyle w:val="TableCell"/>
              <w:spacing w:beforeLines="40" w:before="96" w:afterLines="40" w:after="96"/>
              <w:jc w:val="left"/>
              <w:rPr>
                <w:rFonts w:ascii="Cambria Math" w:hAnsi="Cambria Math"/>
                <w:oMath/>
              </w:rPr>
            </w:pPr>
            <m:oMath>
              <m:r>
                <w:rPr>
                  <w:rFonts w:ascii="Cambria Math" w:hAnsi="Cambria Math"/>
                </w:rPr>
                <m:t xml:space="preserve">A,  </m:t>
              </m:r>
            </m:oMath>
            <w:r w:rsidRPr="001570EA">
              <w:t>Area of component being insulated</w:t>
            </w:r>
          </w:p>
        </w:tc>
        <w:tc>
          <w:tcPr>
            <w:tcW w:w="696" w:type="pct"/>
          </w:tcPr>
          <w:p w14:paraId="2032407F" w14:textId="77777777" w:rsidR="00EA5BBF" w:rsidRPr="001570EA" w:rsidRDefault="00EA5BBF">
            <w:pPr>
              <w:pStyle w:val="TableCell"/>
              <w:spacing w:beforeLines="40" w:before="96" w:afterLines="40" w:after="96"/>
              <w:jc w:val="center"/>
              <w:rPr>
                <w:rFonts w:eastAsia="Arial Unicode MS" w:cs="Arial"/>
                <w:i/>
              </w:rPr>
            </w:pPr>
            <w:r w:rsidRPr="001570EA">
              <w:rPr>
                <w:rFonts w:eastAsia="Arial Unicode MS" w:cs="Arial"/>
                <w:i/>
              </w:rPr>
              <w:t>ft</w:t>
            </w:r>
            <w:r w:rsidRPr="001570EA">
              <w:rPr>
                <w:rFonts w:eastAsia="Arial Unicode MS" w:cs="Arial"/>
                <w:i/>
                <w:vertAlign w:val="superscript"/>
              </w:rPr>
              <w:t>2</w:t>
            </w:r>
          </w:p>
        </w:tc>
        <w:tc>
          <w:tcPr>
            <w:tcW w:w="1548" w:type="pct"/>
            <w:shd w:val="clear" w:color="auto" w:fill="auto"/>
          </w:tcPr>
          <w:p w14:paraId="42E11B3B" w14:textId="77777777" w:rsidR="00EA5BBF" w:rsidRPr="001570EA" w:rsidRDefault="00EA5BBF">
            <w:pPr>
              <w:pStyle w:val="TableCell"/>
              <w:spacing w:beforeLines="40" w:before="96" w:afterLines="40" w:after="96"/>
              <w:jc w:val="center"/>
            </w:pPr>
            <w:r w:rsidRPr="001570EA">
              <w:t>EDC Data Gathering</w:t>
            </w:r>
          </w:p>
        </w:tc>
        <w:tc>
          <w:tcPr>
            <w:tcW w:w="590" w:type="pct"/>
          </w:tcPr>
          <w:p w14:paraId="50DE9121" w14:textId="77777777" w:rsidR="00EA5BBF" w:rsidRPr="001570EA" w:rsidRDefault="00EA5BBF">
            <w:pPr>
              <w:pStyle w:val="TableCell"/>
              <w:spacing w:beforeLines="40" w:before="96" w:afterLines="40" w:after="96"/>
              <w:jc w:val="center"/>
            </w:pPr>
            <w:r w:rsidRPr="001570EA">
              <w:t>-</w:t>
            </w:r>
          </w:p>
        </w:tc>
      </w:tr>
      <w:tr w:rsidR="00EA5BBF" w:rsidRPr="001570EA" w14:paraId="778D48D8" w14:textId="77777777">
        <w:trPr>
          <w:cantSplit/>
        </w:trPr>
        <w:tc>
          <w:tcPr>
            <w:tcW w:w="2166" w:type="pct"/>
            <w:shd w:val="clear" w:color="auto" w:fill="auto"/>
          </w:tcPr>
          <w:p w14:paraId="1758033D" w14:textId="28AD53CE" w:rsidR="00EA5BBF" w:rsidRPr="001570EA" w:rsidRDefault="00EA5BBF">
            <w:pPr>
              <w:pStyle w:val="TableCell"/>
              <w:spacing w:beforeLines="40" w:before="96" w:afterLines="40" w:after="96"/>
              <w:jc w:val="left"/>
              <w:rPr>
                <w:rFonts w:ascii="Cambria Math" w:hAnsi="Cambria Math"/>
                <w:oMath/>
              </w:rPr>
            </w:pPr>
            <m:oMath>
              <m:r>
                <w:rPr>
                  <w:rFonts w:ascii="Cambria Math" w:hAnsi="Cambria Math"/>
                </w:rPr>
                <m:t xml:space="preserve">FF,  </m:t>
              </m:r>
            </m:oMath>
            <w:r w:rsidRPr="001570EA">
              <w:t>Framing factor, designed to account for space that is occupied by framing</w:t>
            </w:r>
          </w:p>
        </w:tc>
        <w:tc>
          <w:tcPr>
            <w:tcW w:w="696" w:type="pct"/>
          </w:tcPr>
          <w:p w14:paraId="2680EA97" w14:textId="77777777" w:rsidR="00EA5BBF" w:rsidRPr="001570EA" w:rsidRDefault="00EA5BBF">
            <w:pPr>
              <w:pStyle w:val="TableCell"/>
              <w:spacing w:beforeLines="40" w:before="96" w:afterLines="40" w:after="96"/>
              <w:jc w:val="center"/>
              <w:rPr>
                <w:rFonts w:eastAsia="Arial Unicode MS" w:cs="Arial"/>
                <w:i/>
                <w:iCs/>
              </w:rPr>
            </w:pPr>
            <w:r w:rsidRPr="001570EA">
              <w:rPr>
                <w:rFonts w:eastAsia="Arial Unicode MS" w:cs="Arial"/>
                <w:i/>
                <w:iCs/>
              </w:rPr>
              <w:t>None</w:t>
            </w:r>
          </w:p>
        </w:tc>
        <w:tc>
          <w:tcPr>
            <w:tcW w:w="1548" w:type="pct"/>
            <w:shd w:val="clear" w:color="auto" w:fill="auto"/>
          </w:tcPr>
          <w:p w14:paraId="3AB47BDF" w14:textId="77777777" w:rsidR="00EA5BBF" w:rsidRPr="001570EA" w:rsidRDefault="00EA5BBF">
            <w:pPr>
              <w:pStyle w:val="TableCell"/>
              <w:spacing w:beforeLines="40" w:before="96" w:afterLines="40" w:after="96"/>
              <w:jc w:val="center"/>
            </w:pPr>
            <w:r w:rsidRPr="001570EA">
              <w:t>If continuous = 0%</w:t>
            </w:r>
          </w:p>
          <w:p w14:paraId="3900EBC2" w14:textId="77777777" w:rsidR="00EA5BBF" w:rsidRPr="001570EA" w:rsidRDefault="00EA5BBF">
            <w:pPr>
              <w:pStyle w:val="TableCell"/>
              <w:spacing w:beforeLines="40" w:before="96" w:afterLines="40" w:after="96"/>
              <w:jc w:val="center"/>
            </w:pPr>
            <w:r w:rsidRPr="001570EA">
              <w:t>If stud-cavity = 25%</w:t>
            </w:r>
          </w:p>
        </w:tc>
        <w:tc>
          <w:tcPr>
            <w:tcW w:w="590" w:type="pct"/>
          </w:tcPr>
          <w:p w14:paraId="736151D5" w14:textId="77777777" w:rsidR="00EA5BBF" w:rsidRPr="001570EA" w:rsidRDefault="00EA5BBF">
            <w:pPr>
              <w:pStyle w:val="TableCell"/>
              <w:spacing w:beforeLines="40" w:before="96" w:afterLines="40" w:after="96"/>
              <w:jc w:val="center"/>
            </w:pPr>
            <w:r w:rsidRPr="001570EA">
              <w:t>11</w:t>
            </w:r>
          </w:p>
        </w:tc>
      </w:tr>
      <w:tr w:rsidR="00EA5BBF" w:rsidRPr="001570EA" w14:paraId="0C072077" w14:textId="77777777">
        <w:trPr>
          <w:cantSplit/>
        </w:trPr>
        <w:tc>
          <w:tcPr>
            <w:tcW w:w="2166" w:type="pct"/>
            <w:shd w:val="clear" w:color="auto" w:fill="auto"/>
          </w:tcPr>
          <w:p w14:paraId="0230790A" w14:textId="77777777" w:rsidR="00EA5BBF" w:rsidRPr="001570EA" w:rsidRDefault="00EA5BBF">
            <w:pPr>
              <w:pStyle w:val="TableCell"/>
              <w:spacing w:beforeLines="40" w:before="96" w:afterLines="40" w:after="96"/>
              <w:jc w:val="left"/>
              <w:rPr>
                <w:rFonts w:ascii="Cambria Math" w:hAnsi="Cambria Math"/>
                <w:oMath/>
              </w:rPr>
            </w:pPr>
            <w:r w:rsidRPr="001570EA">
              <w:rPr>
                <w:rFonts w:ascii="Cambria Math" w:hAnsi="Cambria Math"/>
                <w:i/>
                <w:iCs/>
              </w:rPr>
              <w:t>CDD</w:t>
            </w:r>
            <w:r w:rsidRPr="001570EA">
              <w:t>, Annual cooling degree-days, base 65</w:t>
            </w:r>
            <w:r w:rsidRPr="001570EA">
              <w:rPr>
                <w:rFonts w:ascii="Calibri" w:hAnsi="Calibri" w:cs="Calibri"/>
              </w:rPr>
              <w:t>°</w:t>
            </w:r>
            <w:r w:rsidRPr="001570EA">
              <w:t>F</w:t>
            </w:r>
          </w:p>
        </w:tc>
        <w:tc>
          <w:tcPr>
            <w:tcW w:w="696" w:type="pct"/>
          </w:tcPr>
          <w:p w14:paraId="18A01DC5" w14:textId="77777777" w:rsidR="00EA5BBF" w:rsidRPr="001570EA" w:rsidRDefault="00EA5BBF">
            <w:pPr>
              <w:pStyle w:val="TableCell"/>
              <w:spacing w:beforeLines="40" w:before="96" w:afterLines="40" w:after="96"/>
              <w:jc w:val="center"/>
              <w:rPr>
                <w:rFonts w:eastAsia="Arial Unicode MS" w:cs="Arial"/>
                <w:i/>
              </w:rPr>
            </w:pPr>
            <w:r w:rsidRPr="001570EA">
              <w:rPr>
                <w:rFonts w:ascii="Calibri" w:eastAsia="Arial Unicode MS" w:hAnsi="Calibri" w:cs="Calibri"/>
                <w:i/>
              </w:rPr>
              <w:t>°</w:t>
            </w:r>
            <w:r w:rsidRPr="001570EA">
              <w:rPr>
                <w:rFonts w:eastAsia="Arial Unicode MS" w:cs="Arial"/>
                <w:i/>
              </w:rPr>
              <w:t>F-day/year</w:t>
            </w:r>
          </w:p>
        </w:tc>
        <w:tc>
          <w:tcPr>
            <w:tcW w:w="1548" w:type="pct"/>
            <w:shd w:val="clear" w:color="auto" w:fill="auto"/>
          </w:tcPr>
          <w:p w14:paraId="51A2DDB1" w14:textId="77777777" w:rsidR="00EA5BBF" w:rsidRPr="001570EA" w:rsidRDefault="00EA5BBF">
            <w:pPr>
              <w:pStyle w:val="TableCell"/>
              <w:spacing w:beforeLines="40" w:before="96" w:afterLines="40" w:after="96"/>
              <w:jc w:val="center"/>
            </w:pPr>
            <w:r w:rsidRPr="001570EA">
              <w:t xml:space="preserve">See </w:t>
            </w:r>
            <w:r w:rsidRPr="001570EA">
              <w:rPr>
                <w:i/>
              </w:rPr>
              <w:t>CDD</w:t>
            </w:r>
            <w:r w:rsidRPr="001570EA">
              <w:t xml:space="preserve"> in Vol 1., App. A</w:t>
            </w:r>
          </w:p>
        </w:tc>
        <w:tc>
          <w:tcPr>
            <w:tcW w:w="590" w:type="pct"/>
          </w:tcPr>
          <w:p w14:paraId="701FB8F2" w14:textId="77777777" w:rsidR="00EA5BBF" w:rsidRPr="001570EA" w:rsidRDefault="00EA5BBF">
            <w:pPr>
              <w:pStyle w:val="TableCell"/>
              <w:spacing w:beforeLines="40" w:before="96" w:afterLines="40" w:after="96"/>
              <w:jc w:val="center"/>
            </w:pPr>
            <w:r w:rsidRPr="001570EA">
              <w:t>12</w:t>
            </w:r>
          </w:p>
        </w:tc>
      </w:tr>
      <w:tr w:rsidR="00EA5BBF" w:rsidRPr="001570EA" w14:paraId="60C704B8" w14:textId="77777777">
        <w:trPr>
          <w:cantSplit/>
        </w:trPr>
        <w:tc>
          <w:tcPr>
            <w:tcW w:w="2166" w:type="pct"/>
            <w:shd w:val="clear" w:color="auto" w:fill="auto"/>
          </w:tcPr>
          <w:p w14:paraId="08753526" w14:textId="77777777" w:rsidR="00EA5BBF" w:rsidRPr="001570EA" w:rsidRDefault="00EA5BBF">
            <w:pPr>
              <w:pStyle w:val="TableCell"/>
              <w:spacing w:beforeLines="40" w:before="96" w:afterLines="40" w:after="96"/>
              <w:jc w:val="left"/>
              <w:rPr>
                <w:rFonts w:ascii="Cambria Math" w:hAnsi="Cambria Math"/>
                <w:oMath/>
              </w:rPr>
            </w:pPr>
            <w:r w:rsidRPr="001570EA">
              <w:rPr>
                <w:rFonts w:ascii="Cambria Math" w:hAnsi="Cambria Math"/>
                <w:i/>
                <w:iCs/>
              </w:rPr>
              <w:t>HDD</w:t>
            </w:r>
            <w:r w:rsidRPr="001570EA">
              <w:t>, Annual heating degree-days, base 65</w:t>
            </w:r>
            <w:r w:rsidRPr="001570EA">
              <w:rPr>
                <w:rFonts w:ascii="Calibri" w:hAnsi="Calibri" w:cs="Calibri"/>
              </w:rPr>
              <w:t>°</w:t>
            </w:r>
            <w:r w:rsidRPr="001570EA">
              <w:t>F</w:t>
            </w:r>
          </w:p>
        </w:tc>
        <w:tc>
          <w:tcPr>
            <w:tcW w:w="696" w:type="pct"/>
          </w:tcPr>
          <w:p w14:paraId="1384A3F6" w14:textId="77777777" w:rsidR="00EA5BBF" w:rsidRPr="001570EA" w:rsidRDefault="00EA5BBF">
            <w:pPr>
              <w:pStyle w:val="TableCell"/>
              <w:spacing w:beforeLines="40" w:before="96" w:afterLines="40" w:after="96"/>
              <w:jc w:val="center"/>
              <w:rPr>
                <w:rFonts w:eastAsia="Arial Unicode MS" w:cs="Arial"/>
                <w:i/>
              </w:rPr>
            </w:pPr>
            <w:r w:rsidRPr="001570EA">
              <w:rPr>
                <w:rFonts w:ascii="Calibri" w:eastAsia="Arial Unicode MS" w:hAnsi="Calibri" w:cs="Calibri"/>
                <w:i/>
              </w:rPr>
              <w:t>°</w:t>
            </w:r>
            <w:r w:rsidRPr="001570EA">
              <w:rPr>
                <w:rFonts w:eastAsia="Arial Unicode MS" w:cs="Arial"/>
                <w:i/>
              </w:rPr>
              <w:t>F-day/year</w:t>
            </w:r>
          </w:p>
        </w:tc>
        <w:tc>
          <w:tcPr>
            <w:tcW w:w="1548" w:type="pct"/>
            <w:shd w:val="clear" w:color="auto" w:fill="auto"/>
          </w:tcPr>
          <w:p w14:paraId="6292CDD6" w14:textId="77777777" w:rsidR="00EA5BBF" w:rsidRPr="001570EA" w:rsidRDefault="00EA5BBF">
            <w:pPr>
              <w:pStyle w:val="TableCell"/>
              <w:spacing w:beforeLines="40" w:before="96" w:afterLines="40" w:after="96"/>
              <w:jc w:val="center"/>
            </w:pPr>
            <w:r w:rsidRPr="001570EA">
              <w:t xml:space="preserve">See </w:t>
            </w:r>
            <w:r w:rsidRPr="001570EA">
              <w:rPr>
                <w:i/>
              </w:rPr>
              <w:t>HDD</w:t>
            </w:r>
            <w:r w:rsidRPr="001570EA">
              <w:t xml:space="preserve"> in Vol 1., App. A</w:t>
            </w:r>
          </w:p>
        </w:tc>
        <w:tc>
          <w:tcPr>
            <w:tcW w:w="590" w:type="pct"/>
          </w:tcPr>
          <w:p w14:paraId="34EF70CC" w14:textId="77777777" w:rsidR="00EA5BBF" w:rsidRPr="001570EA" w:rsidRDefault="00EA5BBF">
            <w:pPr>
              <w:pStyle w:val="TableCell"/>
              <w:spacing w:beforeLines="40" w:before="96" w:afterLines="40" w:after="96"/>
              <w:jc w:val="center"/>
            </w:pPr>
            <w:r w:rsidRPr="001570EA">
              <w:t>12</w:t>
            </w:r>
          </w:p>
        </w:tc>
      </w:tr>
      <w:tr w:rsidR="00EA5BBF" w:rsidRPr="001570EA" w14:paraId="348C43F9" w14:textId="77777777">
        <w:trPr>
          <w:cantSplit/>
        </w:trPr>
        <w:tc>
          <w:tcPr>
            <w:tcW w:w="2166" w:type="pct"/>
            <w:shd w:val="clear" w:color="auto" w:fill="auto"/>
          </w:tcPr>
          <w:p w14:paraId="4E0CF30A" w14:textId="45F2F85B" w:rsidR="00EA5BBF" w:rsidRPr="001570EA" w:rsidRDefault="00EA5BBF">
            <w:pPr>
              <w:pStyle w:val="TableCell"/>
              <w:spacing w:beforeLines="40" w:before="96" w:afterLines="40" w:after="96"/>
              <w:jc w:val="left"/>
              <w:rPr>
                <w:rFonts w:ascii="Cambria Math" w:hAnsi="Cambria Math"/>
                <w:oMath/>
              </w:rPr>
            </w:pPr>
            <m:oMath>
              <m:r>
                <w:rPr>
                  <w:rFonts w:ascii="Cambria Math" w:hAnsi="Cambria Math"/>
                </w:rPr>
                <m:t xml:space="preserve">DUA, </m:t>
              </m:r>
            </m:oMath>
            <w:r w:rsidRPr="001570EA">
              <w:t>Discretionary use adjustment to account for uncertainty in predicting cooling system usage patterns of occupants</w:t>
            </w:r>
          </w:p>
        </w:tc>
        <w:tc>
          <w:tcPr>
            <w:tcW w:w="696" w:type="pct"/>
          </w:tcPr>
          <w:p w14:paraId="61D4AB8F" w14:textId="77777777" w:rsidR="00EA5BBF" w:rsidRPr="001570EA" w:rsidRDefault="00EA5BBF">
            <w:pPr>
              <w:pStyle w:val="TableCell"/>
              <w:spacing w:beforeLines="40" w:before="96" w:afterLines="40" w:after="96"/>
              <w:jc w:val="center"/>
              <w:rPr>
                <w:rFonts w:eastAsia="Arial Unicode MS" w:cs="Arial"/>
                <w:i/>
                <w:iCs/>
              </w:rPr>
            </w:pPr>
            <w:r w:rsidRPr="001570EA">
              <w:rPr>
                <w:rFonts w:eastAsia="Arial Unicode MS" w:cs="Arial"/>
                <w:i/>
                <w:iCs/>
              </w:rPr>
              <w:t>None</w:t>
            </w:r>
          </w:p>
        </w:tc>
        <w:tc>
          <w:tcPr>
            <w:tcW w:w="1548" w:type="pct"/>
            <w:shd w:val="clear" w:color="auto" w:fill="auto"/>
          </w:tcPr>
          <w:p w14:paraId="36C6807D" w14:textId="77777777" w:rsidR="00EA5BBF" w:rsidRPr="001570EA" w:rsidRDefault="00EA5BBF">
            <w:pPr>
              <w:pStyle w:val="TableCell"/>
              <w:spacing w:beforeLines="40" w:before="96" w:afterLines="40" w:after="96"/>
              <w:jc w:val="center"/>
            </w:pPr>
            <w:r w:rsidRPr="001570EA">
              <w:t>0.75</w:t>
            </w:r>
          </w:p>
        </w:tc>
        <w:tc>
          <w:tcPr>
            <w:tcW w:w="590" w:type="pct"/>
          </w:tcPr>
          <w:p w14:paraId="783C18B1" w14:textId="77777777" w:rsidR="00EA5BBF" w:rsidRPr="001570EA" w:rsidRDefault="00EA5BBF">
            <w:pPr>
              <w:pStyle w:val="TableCell"/>
              <w:spacing w:beforeLines="40" w:before="96" w:afterLines="40" w:after="96"/>
              <w:jc w:val="center"/>
            </w:pPr>
            <w:r w:rsidRPr="001570EA">
              <w:t>13</w:t>
            </w:r>
          </w:p>
        </w:tc>
      </w:tr>
      <w:tr w:rsidR="00EA5BBF" w:rsidRPr="001570EA" w14:paraId="1E3DBE1F" w14:textId="77777777">
        <w:trPr>
          <w:cantSplit/>
        </w:trPr>
        <w:tc>
          <w:tcPr>
            <w:tcW w:w="2166" w:type="pct"/>
            <w:shd w:val="clear" w:color="auto" w:fill="auto"/>
          </w:tcPr>
          <w:p w14:paraId="04188319" w14:textId="3466EC02" w:rsidR="00EA5BBF" w:rsidRPr="001570EA" w:rsidRDefault="00EA5BBF">
            <w:pPr>
              <w:pStyle w:val="TableCell"/>
              <w:spacing w:beforeLines="40" w:before="96" w:afterLines="40" w:after="96"/>
              <w:jc w:val="left"/>
              <w:rPr>
                <w:rFonts w:ascii="Cambria Math" w:hAnsi="Cambria Math"/>
                <w:oMath/>
              </w:rPr>
            </w:pPr>
            <m:oMath>
              <m:r>
                <w:rPr>
                  <w:rFonts w:ascii="Cambria Math" w:hAnsi="Cambria Math"/>
                </w:rPr>
                <m:t xml:space="preserve">SEER, </m:t>
              </m:r>
            </m:oMath>
            <w:r w:rsidRPr="001570EA">
              <w:t>Cooling system seasonal efficiency</w:t>
            </w:r>
          </w:p>
        </w:tc>
        <w:tc>
          <w:tcPr>
            <w:tcW w:w="696" w:type="pct"/>
          </w:tcPr>
          <w:p w14:paraId="3B6A0F2E" w14:textId="77777777" w:rsidR="00EA5BBF" w:rsidRPr="001570EA" w:rsidRDefault="003B5E04">
            <w:pPr>
              <w:pStyle w:val="TableCell"/>
              <w:spacing w:beforeLines="40" w:before="96" w:afterLines="40" w:after="96"/>
              <w:jc w:val="center"/>
              <w:rPr>
                <w:rFonts w:eastAsia="Arial Unicode MS" w:cs="Arial"/>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548" w:type="pct"/>
            <w:shd w:val="clear" w:color="auto" w:fill="auto"/>
          </w:tcPr>
          <w:p w14:paraId="6ED51AEB" w14:textId="77777777" w:rsidR="00EA5BBF" w:rsidRPr="001570EA" w:rsidRDefault="00EA5BBF">
            <w:pPr>
              <w:pStyle w:val="TableCell"/>
              <w:keepNext w:val="0"/>
              <w:spacing w:beforeLines="40" w:before="96" w:afterLines="40" w:after="96"/>
              <w:jc w:val="center"/>
            </w:pPr>
            <w:r w:rsidRPr="001570EA">
              <w:t>EDC Data Gathering</w:t>
            </w:r>
          </w:p>
          <w:p w14:paraId="0076A6F5" w14:textId="73CBA66B" w:rsidR="00EA5BBF" w:rsidRPr="001570EA" w:rsidRDefault="00EA5BBF">
            <w:pPr>
              <w:pStyle w:val="TableCell"/>
              <w:spacing w:beforeLines="40" w:before="96" w:afterLines="40" w:after="96"/>
              <w:jc w:val="center"/>
            </w:pPr>
            <w:r w:rsidRPr="001570EA">
              <w:t xml:space="preserve">Default: </w:t>
            </w:r>
            <w:r w:rsidRPr="001570EA">
              <w:rPr>
                <w:szCs w:val="18"/>
              </w:rPr>
              <w:t xml:space="preserve"> See Early Replacement or New Construction values (as appropriate)  in </w:t>
            </w:r>
            <w:r w:rsidRPr="001570EA">
              <w:rPr>
                <w:szCs w:val="18"/>
              </w:rPr>
              <w:fldChar w:fldCharType="begin"/>
            </w:r>
            <w:r w:rsidRPr="001570EA">
              <w:rPr>
                <w:szCs w:val="18"/>
              </w:rPr>
              <w:instrText xml:space="preserve"> REF _Ref531779526 \h  \* MERGEFORMAT </w:instrText>
            </w:r>
            <w:r w:rsidRPr="001570EA">
              <w:rPr>
                <w:szCs w:val="18"/>
              </w:rPr>
            </w:r>
            <w:r w:rsidRPr="001570EA">
              <w:rPr>
                <w:szCs w:val="18"/>
              </w:rPr>
              <w:fldChar w:fldCharType="separate"/>
            </w:r>
            <w:r w:rsidR="00234C6C" w:rsidRPr="001570EA">
              <w:rPr>
                <w:szCs w:val="18"/>
              </w:rPr>
              <w:t xml:space="preserve">Table </w:t>
            </w:r>
            <w:r w:rsidR="00234C6C" w:rsidRPr="001570EA">
              <w:rPr>
                <w:noProof/>
                <w:szCs w:val="18"/>
              </w:rPr>
              <w:t>2</w:t>
            </w:r>
            <w:r w:rsidR="00234C6C" w:rsidRPr="001570EA">
              <w:rPr>
                <w:noProof/>
                <w:szCs w:val="18"/>
              </w:rPr>
              <w:noBreakHyphen/>
              <w:t>10</w:t>
            </w:r>
            <w:r w:rsidRPr="001570EA">
              <w:rPr>
                <w:szCs w:val="18"/>
              </w:rPr>
              <w:fldChar w:fldCharType="end"/>
            </w:r>
            <w:r w:rsidRPr="001570EA">
              <w:rPr>
                <w:szCs w:val="18"/>
              </w:rPr>
              <w:t xml:space="preserve"> in Sec. </w:t>
            </w:r>
            <w:r w:rsidRPr="001570EA">
              <w:rPr>
                <w:szCs w:val="18"/>
              </w:rPr>
              <w:fldChar w:fldCharType="begin"/>
            </w:r>
            <w:r w:rsidRPr="001570EA">
              <w:rPr>
                <w:szCs w:val="18"/>
              </w:rPr>
              <w:instrText xml:space="preserve"> REF _Ref534371933 \r \h  \* MERGEFORMAT </w:instrText>
            </w:r>
            <w:r w:rsidRPr="001570EA">
              <w:rPr>
                <w:szCs w:val="18"/>
              </w:rPr>
            </w:r>
            <w:r w:rsidRPr="001570EA">
              <w:rPr>
                <w:szCs w:val="18"/>
              </w:rPr>
              <w:fldChar w:fldCharType="separate"/>
            </w:r>
            <w:r w:rsidR="00234C6C" w:rsidRPr="001570EA">
              <w:rPr>
                <w:szCs w:val="18"/>
              </w:rPr>
              <w:t>2.2.1</w:t>
            </w:r>
            <w:r w:rsidRPr="001570EA">
              <w:rPr>
                <w:szCs w:val="18"/>
              </w:rPr>
              <w:fldChar w:fldCharType="end"/>
            </w:r>
          </w:p>
        </w:tc>
        <w:tc>
          <w:tcPr>
            <w:tcW w:w="590" w:type="pct"/>
          </w:tcPr>
          <w:p w14:paraId="62EFA299" w14:textId="77777777" w:rsidR="00EA5BBF" w:rsidRPr="001570EA" w:rsidRDefault="00EA5BBF">
            <w:pPr>
              <w:pStyle w:val="TableCell"/>
              <w:spacing w:beforeLines="40" w:before="96" w:afterLines="40" w:after="96"/>
              <w:jc w:val="center"/>
            </w:pPr>
            <w:r w:rsidRPr="001570EA">
              <w:t>14</w:t>
            </w:r>
          </w:p>
        </w:tc>
      </w:tr>
      <w:tr w:rsidR="00EA5BBF" w:rsidRPr="001570EA" w14:paraId="094503A3" w14:textId="77777777">
        <w:trPr>
          <w:cantSplit/>
        </w:trPr>
        <w:tc>
          <w:tcPr>
            <w:tcW w:w="2166" w:type="pct"/>
            <w:shd w:val="clear" w:color="auto" w:fill="auto"/>
          </w:tcPr>
          <w:p w14:paraId="41B377D7" w14:textId="6B78D17B" w:rsidR="00EA5BBF" w:rsidRPr="001570EA" w:rsidRDefault="00EA5BBF">
            <w:pPr>
              <w:pStyle w:val="TableCell"/>
              <w:spacing w:beforeLines="40" w:before="96" w:afterLines="40" w:after="96"/>
              <w:jc w:val="left"/>
              <w:rPr>
                <w:rFonts w:ascii="Cambria Math" w:hAnsi="Cambria Math"/>
                <w:oMath/>
              </w:rPr>
            </w:pPr>
            <m:oMath>
              <m:r>
                <w:rPr>
                  <w:rFonts w:ascii="Cambria Math" w:hAnsi="Cambria Math"/>
                </w:rPr>
                <m:t xml:space="preserve">HSPF, </m:t>
              </m:r>
            </m:oMath>
            <w:r w:rsidRPr="001570EA">
              <w:t>Heating system seasonal efficiency</w:t>
            </w:r>
          </w:p>
        </w:tc>
        <w:tc>
          <w:tcPr>
            <w:tcW w:w="696" w:type="pct"/>
          </w:tcPr>
          <w:p w14:paraId="1D093F03" w14:textId="77777777" w:rsidR="00EA5BBF" w:rsidRPr="001570EA" w:rsidRDefault="003B5E04">
            <w:pPr>
              <w:pStyle w:val="TableCell"/>
              <w:spacing w:beforeLines="40" w:before="96" w:afterLines="40" w:after="96"/>
              <w:jc w:val="center"/>
              <w:rPr>
                <w:rFonts w:eastAsia="Arial Unicode MS" w:cs="Arial"/>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548" w:type="pct"/>
            <w:shd w:val="clear" w:color="auto" w:fill="auto"/>
          </w:tcPr>
          <w:p w14:paraId="06C309A5" w14:textId="77777777" w:rsidR="00EA5BBF" w:rsidRPr="001570EA" w:rsidRDefault="00EA5BBF">
            <w:pPr>
              <w:pStyle w:val="TableCell"/>
              <w:keepNext w:val="0"/>
              <w:spacing w:beforeLines="40" w:before="96" w:afterLines="40" w:after="96"/>
              <w:jc w:val="center"/>
            </w:pPr>
            <w:r w:rsidRPr="001570EA">
              <w:t>EDC Data Gathering</w:t>
            </w:r>
          </w:p>
          <w:p w14:paraId="0355B139" w14:textId="0FA01959" w:rsidR="00EA5BBF" w:rsidRPr="001570EA" w:rsidRDefault="00EA5BBF">
            <w:pPr>
              <w:pStyle w:val="TableCell"/>
              <w:spacing w:beforeLines="40" w:before="96" w:afterLines="40" w:after="96"/>
              <w:jc w:val="center"/>
            </w:pPr>
            <w:r w:rsidRPr="001570EA">
              <w:t xml:space="preserve">Default: </w:t>
            </w:r>
            <w:r w:rsidRPr="001570EA">
              <w:rPr>
                <w:szCs w:val="18"/>
              </w:rPr>
              <w:t xml:space="preserve"> See Early Replacement or New Construction values (as appropriate) in </w:t>
            </w:r>
            <w:r w:rsidRPr="001570EA">
              <w:rPr>
                <w:szCs w:val="18"/>
              </w:rPr>
              <w:fldChar w:fldCharType="begin"/>
            </w:r>
            <w:r w:rsidRPr="001570EA">
              <w:rPr>
                <w:szCs w:val="18"/>
              </w:rPr>
              <w:instrText xml:space="preserve"> REF _Ref531779526 \h  \* MERGEFORMAT </w:instrText>
            </w:r>
            <w:r w:rsidRPr="001570EA">
              <w:rPr>
                <w:szCs w:val="18"/>
              </w:rPr>
            </w:r>
            <w:r w:rsidRPr="001570EA">
              <w:rPr>
                <w:szCs w:val="18"/>
              </w:rPr>
              <w:fldChar w:fldCharType="separate"/>
            </w:r>
            <w:r w:rsidR="00234C6C" w:rsidRPr="001570EA">
              <w:rPr>
                <w:szCs w:val="18"/>
              </w:rPr>
              <w:t xml:space="preserve">Table </w:t>
            </w:r>
            <w:r w:rsidR="00234C6C" w:rsidRPr="001570EA">
              <w:rPr>
                <w:noProof/>
                <w:szCs w:val="18"/>
              </w:rPr>
              <w:t>2</w:t>
            </w:r>
            <w:r w:rsidR="00234C6C" w:rsidRPr="001570EA">
              <w:rPr>
                <w:noProof/>
                <w:szCs w:val="18"/>
              </w:rPr>
              <w:noBreakHyphen/>
              <w:t>10</w:t>
            </w:r>
            <w:r w:rsidRPr="001570EA">
              <w:rPr>
                <w:szCs w:val="18"/>
              </w:rPr>
              <w:fldChar w:fldCharType="end"/>
            </w:r>
            <w:r w:rsidRPr="001570EA">
              <w:rPr>
                <w:szCs w:val="18"/>
              </w:rPr>
              <w:t xml:space="preserve"> in Sec. </w:t>
            </w:r>
            <w:r w:rsidRPr="001570EA">
              <w:rPr>
                <w:szCs w:val="18"/>
              </w:rPr>
              <w:fldChar w:fldCharType="begin"/>
            </w:r>
            <w:r w:rsidRPr="001570EA">
              <w:rPr>
                <w:szCs w:val="18"/>
              </w:rPr>
              <w:instrText xml:space="preserve"> REF _Ref534371933 \r \h  \* MERGEFORMAT </w:instrText>
            </w:r>
            <w:r w:rsidRPr="001570EA">
              <w:rPr>
                <w:szCs w:val="18"/>
              </w:rPr>
            </w:r>
            <w:r w:rsidRPr="001570EA">
              <w:rPr>
                <w:szCs w:val="18"/>
              </w:rPr>
              <w:fldChar w:fldCharType="separate"/>
            </w:r>
            <w:r w:rsidR="00234C6C" w:rsidRPr="001570EA">
              <w:rPr>
                <w:szCs w:val="18"/>
              </w:rPr>
              <w:t>2.2.1</w:t>
            </w:r>
            <w:r w:rsidRPr="001570EA">
              <w:rPr>
                <w:szCs w:val="18"/>
              </w:rPr>
              <w:fldChar w:fldCharType="end"/>
            </w:r>
          </w:p>
        </w:tc>
        <w:tc>
          <w:tcPr>
            <w:tcW w:w="590" w:type="pct"/>
          </w:tcPr>
          <w:p w14:paraId="097C869E" w14:textId="77777777" w:rsidR="00EA5BBF" w:rsidRPr="001570EA" w:rsidRDefault="00EA5BBF">
            <w:pPr>
              <w:pStyle w:val="TableCell"/>
              <w:spacing w:beforeLines="40" w:before="96" w:afterLines="40" w:after="96"/>
              <w:jc w:val="center"/>
            </w:pPr>
            <w:r w:rsidRPr="001570EA">
              <w:t>14</w:t>
            </w:r>
          </w:p>
        </w:tc>
      </w:tr>
      <w:tr w:rsidR="00EA5BBF" w:rsidRPr="001570EA" w14:paraId="286BB8BC" w14:textId="77777777">
        <w:trPr>
          <w:cantSplit/>
        </w:trPr>
        <w:tc>
          <w:tcPr>
            <w:tcW w:w="2166" w:type="pct"/>
            <w:shd w:val="clear" w:color="auto" w:fill="auto"/>
          </w:tcPr>
          <w:p w14:paraId="37A94C72" w14:textId="150943D6" w:rsidR="00EA5BBF" w:rsidRPr="001570EA" w:rsidRDefault="003B5E04">
            <w:pPr>
              <w:pStyle w:val="TableCell"/>
              <w:spacing w:beforeLines="40" w:before="96" w:afterLines="40" w:after="96"/>
              <w:jc w:val="left"/>
              <w:rPr>
                <w:rFonts w:ascii="Cambria Math" w:hAnsi="Cambria Math"/>
                <w:oMath/>
              </w:rPr>
            </w:pPr>
            <m:oMath>
              <m:sSub>
                <m:sSubPr>
                  <m:ctrlPr>
                    <w:rPr>
                      <w:rFonts w:ascii="Cambria Math" w:hAnsi="Cambria Math"/>
                      <w:i/>
                    </w:rPr>
                  </m:ctrlPr>
                </m:sSubPr>
                <m:e>
                  <m:r>
                    <w:rPr>
                      <w:rFonts w:ascii="Cambria Math" w:hAnsi="Cambria Math"/>
                    </w:rPr>
                    <m:t>F</m:t>
                  </m:r>
                </m:e>
                <m:sub>
                  <m:r>
                    <w:rPr>
                      <w:rFonts w:ascii="Cambria Math" w:hAnsi="Cambria Math"/>
                    </w:rPr>
                    <m:t>RAC</m:t>
                  </m:r>
                </m:sub>
              </m:sSub>
              <m:r>
                <w:rPr>
                  <w:rFonts w:ascii="Cambria Math" w:hAnsi="Cambria Math"/>
                </w:rPr>
                <m:t xml:space="preserve">,  </m:t>
              </m:r>
            </m:oMath>
            <w:r w:rsidR="00EA5BBF" w:rsidRPr="001570EA">
              <w:rPr>
                <w:rFonts w:cs="Arial"/>
              </w:rPr>
              <w:t>Adjustment factor to relate insulated area to area served by room air conditioners</w:t>
            </w:r>
          </w:p>
        </w:tc>
        <w:tc>
          <w:tcPr>
            <w:tcW w:w="696" w:type="pct"/>
          </w:tcPr>
          <w:p w14:paraId="74E68F25" w14:textId="77777777" w:rsidR="00EA5BBF" w:rsidRPr="001570EA" w:rsidRDefault="00EA5BBF">
            <w:pPr>
              <w:pStyle w:val="TableCell"/>
              <w:spacing w:beforeLines="40" w:before="96" w:afterLines="40" w:after="96"/>
              <w:jc w:val="center"/>
              <w:rPr>
                <w:rFonts w:eastAsia="Arial Unicode MS" w:cs="Arial"/>
                <w:i/>
                <w:iCs/>
              </w:rPr>
            </w:pPr>
            <w:r w:rsidRPr="001570EA">
              <w:rPr>
                <w:rFonts w:eastAsia="Arial Unicode MS" w:cs="Arial"/>
                <w:i/>
                <w:iCs/>
              </w:rPr>
              <w:t>None</w:t>
            </w:r>
          </w:p>
        </w:tc>
        <w:tc>
          <w:tcPr>
            <w:tcW w:w="1548" w:type="pct"/>
            <w:shd w:val="clear" w:color="auto" w:fill="auto"/>
          </w:tcPr>
          <w:p w14:paraId="4C0E878F" w14:textId="77777777" w:rsidR="00EA5BBF" w:rsidRPr="001570EA" w:rsidRDefault="00EA5BBF">
            <w:pPr>
              <w:pStyle w:val="TableCell"/>
              <w:spacing w:beforeLines="40" w:before="96" w:afterLines="40" w:after="96"/>
              <w:jc w:val="center"/>
            </w:pPr>
            <w:r w:rsidRPr="001570EA">
              <w:t>If Room AC = 0.24</w:t>
            </w:r>
          </w:p>
          <w:p w14:paraId="6473625F" w14:textId="77777777" w:rsidR="00EA5BBF" w:rsidRPr="001570EA" w:rsidRDefault="00EA5BBF">
            <w:pPr>
              <w:pStyle w:val="TableCell"/>
              <w:spacing w:beforeLines="40" w:before="96" w:afterLines="40" w:after="96"/>
              <w:jc w:val="center"/>
            </w:pPr>
            <w:r w:rsidRPr="001570EA">
              <w:t>If non-Room AC = 1.0</w:t>
            </w:r>
          </w:p>
        </w:tc>
        <w:tc>
          <w:tcPr>
            <w:tcW w:w="590" w:type="pct"/>
          </w:tcPr>
          <w:p w14:paraId="3991C628" w14:textId="77777777" w:rsidR="00EA5BBF" w:rsidRPr="001570EA" w:rsidRDefault="00EA5BBF">
            <w:pPr>
              <w:pStyle w:val="TableCell"/>
              <w:spacing w:beforeLines="40" w:before="96" w:afterLines="40" w:after="96"/>
              <w:jc w:val="center"/>
            </w:pPr>
            <w:r w:rsidRPr="001570EA">
              <w:t>15</w:t>
            </w:r>
          </w:p>
        </w:tc>
      </w:tr>
      <w:tr w:rsidR="00EA5BBF" w:rsidRPr="001570EA" w14:paraId="7223DB48" w14:textId="77777777">
        <w:trPr>
          <w:cantSplit/>
        </w:trPr>
        <w:tc>
          <w:tcPr>
            <w:tcW w:w="2166" w:type="pct"/>
            <w:shd w:val="clear" w:color="auto" w:fill="auto"/>
          </w:tcPr>
          <w:p w14:paraId="479AD3B9" w14:textId="77777777" w:rsidR="00EA5BBF" w:rsidRPr="001570EA" w:rsidRDefault="00EA5BBF">
            <w:pPr>
              <w:pStyle w:val="TableCell"/>
              <w:spacing w:beforeLines="40" w:before="96" w:afterLines="40" w:after="96"/>
              <w:jc w:val="left"/>
            </w:pPr>
            <w:r w:rsidRPr="001570EA">
              <w:rPr>
                <w:rFonts w:ascii="Cambria Math" w:hAnsi="Cambria Math"/>
                <w:i/>
                <w:iCs/>
                <w:szCs w:val="18"/>
              </w:rPr>
              <w:t>COP</w:t>
            </w:r>
            <w:r w:rsidRPr="001570EA">
              <w:rPr>
                <w:rFonts w:ascii="Cambria Math" w:hAnsi="Cambria Math"/>
                <w:i/>
                <w:iCs/>
                <w:szCs w:val="18"/>
                <w:vertAlign w:val="subscript"/>
              </w:rPr>
              <w:t xml:space="preserve">g </w:t>
            </w:r>
            <w:r w:rsidRPr="001570EA">
              <w:rPr>
                <w:i/>
                <w:iCs/>
                <w:szCs w:val="18"/>
              </w:rPr>
              <w:t xml:space="preserve">, </w:t>
            </w:r>
            <w:r w:rsidRPr="001570EA">
              <w:rPr>
                <w:rFonts w:cs="Arial"/>
                <w:szCs w:val="18"/>
              </w:rPr>
              <w:t>Coefficient of Performance. This is a measure of the efficiency of a ground source heat pump</w:t>
            </w:r>
          </w:p>
        </w:tc>
        <w:tc>
          <w:tcPr>
            <w:tcW w:w="696" w:type="pct"/>
          </w:tcPr>
          <w:p w14:paraId="19B9285E" w14:textId="77777777" w:rsidR="00EA5BBF" w:rsidRPr="001570EA" w:rsidRDefault="00EA5BBF">
            <w:pPr>
              <w:pStyle w:val="TableCell"/>
              <w:spacing w:beforeLines="40" w:before="96" w:afterLines="40" w:after="96"/>
              <w:jc w:val="center"/>
              <w:rPr>
                <w:rFonts w:eastAsia="Arial Unicode MS" w:cs="Arial"/>
              </w:rPr>
            </w:pPr>
            <w:r w:rsidRPr="001570EA">
              <w:rPr>
                <w:i/>
                <w:iCs/>
                <w:szCs w:val="18"/>
              </w:rPr>
              <w:t>None</w:t>
            </w:r>
          </w:p>
        </w:tc>
        <w:tc>
          <w:tcPr>
            <w:tcW w:w="1548" w:type="pct"/>
            <w:shd w:val="clear" w:color="auto" w:fill="auto"/>
          </w:tcPr>
          <w:p w14:paraId="6F4E4E8D" w14:textId="77777777" w:rsidR="00EA5BBF" w:rsidRPr="001570EA" w:rsidRDefault="00EA5BBF">
            <w:pPr>
              <w:pStyle w:val="TableCell"/>
              <w:spacing w:beforeLines="40" w:before="96" w:afterLines="40" w:after="96"/>
              <w:jc w:val="center"/>
              <w:rPr>
                <w:szCs w:val="18"/>
              </w:rPr>
            </w:pPr>
            <w:r w:rsidRPr="001570EA">
              <w:rPr>
                <w:szCs w:val="18"/>
              </w:rPr>
              <w:t>EDC Data Gathering</w:t>
            </w:r>
          </w:p>
          <w:p w14:paraId="2A285E1A" w14:textId="77777777" w:rsidR="00EA5BBF" w:rsidRPr="001570EA" w:rsidRDefault="00EA5BBF">
            <w:pPr>
              <w:pStyle w:val="TableCell"/>
              <w:spacing w:beforeLines="40" w:before="96" w:afterLines="40" w:after="96"/>
              <w:jc w:val="center"/>
            </w:pPr>
            <w:r w:rsidRPr="001570EA">
              <w:rPr>
                <w:szCs w:val="18"/>
              </w:rPr>
              <w:t>Default = 3.6</w:t>
            </w:r>
          </w:p>
        </w:tc>
        <w:tc>
          <w:tcPr>
            <w:tcW w:w="590" w:type="pct"/>
          </w:tcPr>
          <w:p w14:paraId="69AECE0E" w14:textId="77777777" w:rsidR="00EA5BBF" w:rsidRPr="001570EA" w:rsidRDefault="00EA5BBF">
            <w:pPr>
              <w:pStyle w:val="TableCell"/>
              <w:spacing w:beforeLines="40" w:before="96" w:afterLines="40" w:after="96"/>
              <w:jc w:val="center"/>
            </w:pPr>
            <w:r w:rsidRPr="001570EA">
              <w:t>16</w:t>
            </w:r>
          </w:p>
        </w:tc>
      </w:tr>
      <w:tr w:rsidR="00EA5BBF" w:rsidRPr="001570EA" w14:paraId="51BCC862" w14:textId="77777777">
        <w:trPr>
          <w:cantSplit/>
        </w:trPr>
        <w:tc>
          <w:tcPr>
            <w:tcW w:w="2166" w:type="pct"/>
            <w:shd w:val="clear" w:color="auto" w:fill="auto"/>
          </w:tcPr>
          <w:p w14:paraId="64A03E15" w14:textId="77777777" w:rsidR="00EA5BBF" w:rsidRPr="001570EA" w:rsidRDefault="00EA5BBF">
            <w:pPr>
              <w:pStyle w:val="TableCell"/>
              <w:spacing w:beforeLines="40" w:before="96" w:afterLines="40" w:after="96"/>
              <w:jc w:val="left"/>
            </w:pPr>
            <w:r w:rsidRPr="001570EA">
              <w:rPr>
                <w:rFonts w:ascii="Cambria Math" w:hAnsi="Cambria Math"/>
                <w:i/>
                <w:iCs/>
                <w:szCs w:val="18"/>
              </w:rPr>
              <w:t>EER</w:t>
            </w:r>
            <w:r w:rsidRPr="001570EA">
              <w:rPr>
                <w:rFonts w:ascii="Cambria Math" w:hAnsi="Cambria Math"/>
                <w:i/>
                <w:iCs/>
                <w:szCs w:val="18"/>
                <w:vertAlign w:val="subscript"/>
              </w:rPr>
              <w:t>g</w:t>
            </w:r>
            <w:r w:rsidRPr="001570EA">
              <w:rPr>
                <w:i/>
                <w:iCs/>
                <w:szCs w:val="18"/>
                <w:vertAlign w:val="subscript"/>
              </w:rPr>
              <w:t xml:space="preserve"> </w:t>
            </w:r>
            <w:r w:rsidRPr="001570EA">
              <w:rPr>
                <w:i/>
                <w:iCs/>
                <w:szCs w:val="18"/>
              </w:rPr>
              <w:t xml:space="preserve">, </w:t>
            </w:r>
            <w:r w:rsidRPr="001570EA">
              <w:rPr>
                <w:rFonts w:cs="Arial"/>
                <w:szCs w:val="18"/>
              </w:rPr>
              <w:t>Energy Efficiency Ratio of a GSHP, this is measured differently than EER of an air source heat pump and must be converted</w:t>
            </w:r>
          </w:p>
        </w:tc>
        <w:tc>
          <w:tcPr>
            <w:tcW w:w="696" w:type="pct"/>
          </w:tcPr>
          <w:p w14:paraId="727A9F3E" w14:textId="77777777" w:rsidR="00EA5BBF" w:rsidRPr="001570EA" w:rsidRDefault="003B5E04">
            <w:pPr>
              <w:pStyle w:val="TableCell"/>
              <w:spacing w:beforeLines="40" w:before="96" w:afterLines="40" w:after="96"/>
              <w:jc w:val="center"/>
              <w:rPr>
                <w:rFonts w:eastAsia="Arial Unicode MS" w:cs="Arial"/>
              </w:rPr>
            </w:pPr>
            <m:oMathPara>
              <m:oMath>
                <m:f>
                  <m:fPr>
                    <m:ctrlPr>
                      <w:rPr>
                        <w:rFonts w:ascii="Cambria Math" w:hAnsi="Cambria Math" w:cs="Arial"/>
                        <w:szCs w:val="18"/>
                      </w:rPr>
                    </m:ctrlPr>
                  </m:fPr>
                  <m:num>
                    <m:r>
                      <w:rPr>
                        <w:rFonts w:ascii="Cambria Math" w:hAnsi="Cambria Math" w:cs="Arial"/>
                        <w:szCs w:val="18"/>
                      </w:rPr>
                      <m:t>BTU</m:t>
                    </m:r>
                  </m:num>
                  <m:den>
                    <m:r>
                      <w:rPr>
                        <w:rFonts w:ascii="Cambria Math" w:hAnsi="Cambria Math" w:cs="Arial"/>
                        <w:szCs w:val="18"/>
                      </w:rPr>
                      <m:t>W∙h</m:t>
                    </m:r>
                  </m:den>
                </m:f>
              </m:oMath>
            </m:oMathPara>
          </w:p>
        </w:tc>
        <w:tc>
          <w:tcPr>
            <w:tcW w:w="1548" w:type="pct"/>
            <w:shd w:val="clear" w:color="auto" w:fill="auto"/>
          </w:tcPr>
          <w:p w14:paraId="653BF1C7" w14:textId="77777777" w:rsidR="00EA5BBF" w:rsidRPr="001570EA" w:rsidRDefault="00EA5BBF">
            <w:pPr>
              <w:pStyle w:val="TableCell"/>
              <w:spacing w:beforeLines="40" w:before="96" w:afterLines="40" w:after="96"/>
              <w:jc w:val="center"/>
              <w:rPr>
                <w:szCs w:val="18"/>
              </w:rPr>
            </w:pPr>
            <w:r w:rsidRPr="001570EA">
              <w:rPr>
                <w:szCs w:val="18"/>
              </w:rPr>
              <w:t>EDC Data Gathering</w:t>
            </w:r>
          </w:p>
          <w:p w14:paraId="47B73AA1" w14:textId="77777777" w:rsidR="00EA5BBF" w:rsidRPr="001570EA" w:rsidRDefault="00EA5BBF">
            <w:pPr>
              <w:pStyle w:val="TableCell"/>
              <w:spacing w:beforeLines="40" w:before="96" w:afterLines="40" w:after="96"/>
              <w:jc w:val="center"/>
            </w:pPr>
            <w:r w:rsidRPr="001570EA">
              <w:rPr>
                <w:szCs w:val="18"/>
              </w:rPr>
              <w:t>Default = 17.1</w:t>
            </w:r>
          </w:p>
        </w:tc>
        <w:tc>
          <w:tcPr>
            <w:tcW w:w="590" w:type="pct"/>
          </w:tcPr>
          <w:p w14:paraId="5B511C6F" w14:textId="77777777" w:rsidR="00EA5BBF" w:rsidRPr="001570EA" w:rsidRDefault="00EA5BBF">
            <w:pPr>
              <w:pStyle w:val="TableCell"/>
              <w:spacing w:beforeLines="40" w:before="96" w:afterLines="40" w:after="96"/>
              <w:jc w:val="center"/>
            </w:pPr>
            <w:r w:rsidRPr="001570EA">
              <w:t>16</w:t>
            </w:r>
          </w:p>
        </w:tc>
      </w:tr>
      <w:tr w:rsidR="00EA5BBF" w:rsidRPr="001570EA" w14:paraId="26D2DDBC" w14:textId="77777777">
        <w:trPr>
          <w:cantSplit/>
        </w:trPr>
        <w:tc>
          <w:tcPr>
            <w:tcW w:w="2166" w:type="pct"/>
            <w:shd w:val="clear" w:color="auto" w:fill="auto"/>
          </w:tcPr>
          <w:p w14:paraId="52602D52" w14:textId="1F7C2ECD" w:rsidR="00EA5BBF" w:rsidRPr="001570EA" w:rsidRDefault="00EA5BBF">
            <w:pPr>
              <w:pStyle w:val="TableCell"/>
              <w:spacing w:beforeLines="40" w:before="96" w:afterLines="40" w:after="96"/>
              <w:jc w:val="left"/>
            </w:pPr>
            <w:r w:rsidRPr="001570EA">
              <w:rPr>
                <w:rFonts w:ascii="Cambria Math" w:hAnsi="Cambria Math"/>
                <w:i/>
                <w:iCs/>
                <w:szCs w:val="18"/>
              </w:rPr>
              <w:t>GSHPDF</w:t>
            </w:r>
            <w:r w:rsidRPr="001570EA">
              <w:rPr>
                <w:szCs w:val="18"/>
              </w:rPr>
              <w:t>, Ground Source Heat Pump De-rate Factor</w:t>
            </w:r>
          </w:p>
        </w:tc>
        <w:tc>
          <w:tcPr>
            <w:tcW w:w="696" w:type="pct"/>
          </w:tcPr>
          <w:p w14:paraId="4EB774D6" w14:textId="77777777" w:rsidR="00EA5BBF" w:rsidRPr="001570EA" w:rsidRDefault="00EA5BBF">
            <w:pPr>
              <w:pStyle w:val="TableCell"/>
              <w:spacing w:beforeLines="40" w:before="96" w:afterLines="40" w:after="96"/>
              <w:jc w:val="center"/>
              <w:rPr>
                <w:rFonts w:eastAsia="Arial Unicode MS" w:cs="Arial"/>
              </w:rPr>
            </w:pPr>
            <w:r w:rsidRPr="001570EA">
              <w:rPr>
                <w:i/>
                <w:iCs/>
                <w:szCs w:val="18"/>
              </w:rPr>
              <w:t>Proportion</w:t>
            </w:r>
          </w:p>
        </w:tc>
        <w:tc>
          <w:tcPr>
            <w:tcW w:w="1548" w:type="pct"/>
            <w:shd w:val="clear" w:color="auto" w:fill="auto"/>
          </w:tcPr>
          <w:p w14:paraId="6F0A0B9C" w14:textId="77777777" w:rsidR="00EA5BBF" w:rsidRPr="001570EA" w:rsidRDefault="00EA5BBF">
            <w:pPr>
              <w:pStyle w:val="TableCell"/>
              <w:spacing w:beforeLines="40" w:before="96" w:afterLines="40" w:after="96"/>
              <w:jc w:val="center"/>
            </w:pPr>
            <w:r w:rsidRPr="001570EA">
              <w:rPr>
                <w:szCs w:val="18"/>
              </w:rPr>
              <w:t>0.885</w:t>
            </w:r>
          </w:p>
        </w:tc>
        <w:tc>
          <w:tcPr>
            <w:tcW w:w="590" w:type="pct"/>
          </w:tcPr>
          <w:p w14:paraId="6F6C3FA7" w14:textId="77777777" w:rsidR="00EA5BBF" w:rsidRPr="001570EA" w:rsidRDefault="00EA5BBF">
            <w:pPr>
              <w:pStyle w:val="TableCell"/>
              <w:spacing w:beforeLines="40" w:before="96" w:afterLines="40" w:after="96"/>
              <w:jc w:val="center"/>
            </w:pPr>
            <w:r w:rsidRPr="001570EA">
              <w:rPr>
                <w:szCs w:val="18"/>
              </w:rPr>
              <w:t>17</w:t>
            </w:r>
          </w:p>
        </w:tc>
      </w:tr>
      <w:tr w:rsidR="00EA5BBF" w:rsidRPr="001570EA" w14:paraId="004D355B" w14:textId="77777777">
        <w:trPr>
          <w:cantSplit/>
        </w:trPr>
        <w:tc>
          <w:tcPr>
            <w:tcW w:w="2166" w:type="pct"/>
            <w:shd w:val="clear" w:color="auto" w:fill="auto"/>
            <w:vAlign w:val="center"/>
          </w:tcPr>
          <w:p w14:paraId="029136B7" w14:textId="77777777" w:rsidR="00EA5BBF" w:rsidRPr="001570EA" w:rsidRDefault="003B5E04">
            <w:pPr>
              <w:pStyle w:val="TableCell"/>
              <w:spacing w:beforeLines="40" w:before="96" w:afterLines="40" w:after="96"/>
              <w:jc w:val="left"/>
            </w:pPr>
            <m:oMath>
              <m:sSub>
                <m:sSubPr>
                  <m:ctrlPr>
                    <w:rPr>
                      <w:rFonts w:ascii="Cambria Math" w:hAnsi="Cambria Math"/>
                      <w:i/>
                    </w:rPr>
                  </m:ctrlPr>
                </m:sSubPr>
                <m:e>
                  <m:r>
                    <w:rPr>
                      <w:rFonts w:ascii="Cambria Math" w:hAnsi="Cambria Math"/>
                    </w:rPr>
                    <m:t>ETDF</m:t>
                  </m:r>
                </m:e>
                <m:sub>
                  <m:r>
                    <w:rPr>
                      <w:rFonts w:ascii="Cambria Math" w:hAnsi="Cambria Math"/>
                    </w:rPr>
                    <m:t>summer</m:t>
                  </m:r>
                </m:sub>
              </m:sSub>
            </m:oMath>
            <w:r w:rsidR="00EA5BBF" w:rsidRPr="001570EA">
              <w:t>, Summer energy to demand factor</w:t>
            </w:r>
          </w:p>
        </w:tc>
        <w:tc>
          <w:tcPr>
            <w:tcW w:w="696" w:type="pct"/>
            <w:vAlign w:val="center"/>
          </w:tcPr>
          <w:p w14:paraId="17ECAD8D" w14:textId="77777777" w:rsidR="00EA5BBF" w:rsidRPr="001570EA" w:rsidRDefault="00EA5BBF">
            <w:pPr>
              <w:pStyle w:val="TableCell"/>
              <w:spacing w:beforeLines="40" w:before="96" w:afterLines="40" w:after="96"/>
              <w:jc w:val="center"/>
              <w:rPr>
                <w:rFonts w:eastAsia="Arial Unicode MS" w:cs="Arial"/>
              </w:rPr>
            </w:pPr>
            <w:r w:rsidRPr="001570EA">
              <w:rPr>
                <w:rFonts w:eastAsia="Arial Unicode MS" w:cs="Arial"/>
                <w:i/>
              </w:rPr>
              <w:t>kW/kWh</w:t>
            </w:r>
          </w:p>
        </w:tc>
        <w:tc>
          <w:tcPr>
            <w:tcW w:w="1548" w:type="pct"/>
            <w:shd w:val="clear" w:color="auto" w:fill="auto"/>
            <w:vAlign w:val="center"/>
          </w:tcPr>
          <w:p w14:paraId="6DCAADFF" w14:textId="77777777" w:rsidR="00EA5BBF" w:rsidRPr="001570EA" w:rsidRDefault="00EA5BBF">
            <w:pPr>
              <w:pStyle w:val="TableCell"/>
              <w:spacing w:beforeLines="40" w:before="96" w:afterLines="40" w:after="96"/>
              <w:jc w:val="center"/>
            </w:pPr>
            <w:r w:rsidRPr="001570EA">
              <w:t>0.0005272</w:t>
            </w:r>
          </w:p>
        </w:tc>
        <w:tc>
          <w:tcPr>
            <w:tcW w:w="590" w:type="pct"/>
            <w:vAlign w:val="center"/>
          </w:tcPr>
          <w:p w14:paraId="13821430" w14:textId="77777777" w:rsidR="00EA5BBF" w:rsidRPr="001570EA" w:rsidRDefault="00EA5BBF">
            <w:pPr>
              <w:pStyle w:val="TableCell"/>
              <w:spacing w:beforeLines="40" w:before="96" w:afterLines="40" w:after="96"/>
              <w:jc w:val="center"/>
            </w:pPr>
            <w:r w:rsidRPr="001570EA">
              <w:t>18</w:t>
            </w:r>
          </w:p>
        </w:tc>
      </w:tr>
      <w:tr w:rsidR="00EA5BBF" w:rsidRPr="001570EA" w14:paraId="2F017B31" w14:textId="77777777">
        <w:trPr>
          <w:cantSplit/>
        </w:trPr>
        <w:tc>
          <w:tcPr>
            <w:tcW w:w="2166" w:type="pct"/>
            <w:shd w:val="clear" w:color="auto" w:fill="auto"/>
            <w:vAlign w:val="center"/>
          </w:tcPr>
          <w:p w14:paraId="2D049537" w14:textId="77777777" w:rsidR="00EA5BBF" w:rsidRPr="001570EA" w:rsidRDefault="003B5E04">
            <w:pPr>
              <w:pStyle w:val="TableCell"/>
              <w:spacing w:beforeLines="40" w:before="96" w:afterLines="40" w:after="96"/>
              <w:jc w:val="left"/>
            </w:pPr>
            <m:oMath>
              <m:sSub>
                <m:sSubPr>
                  <m:ctrlPr>
                    <w:rPr>
                      <w:rFonts w:ascii="Cambria Math" w:hAnsi="Cambria Math"/>
                      <w:i/>
                    </w:rPr>
                  </m:ctrlPr>
                </m:sSubPr>
                <m:e>
                  <m:r>
                    <w:rPr>
                      <w:rFonts w:ascii="Cambria Math" w:hAnsi="Cambria Math"/>
                    </w:rPr>
                    <m:t>ETDF</m:t>
                  </m:r>
                </m:e>
                <m:sub>
                  <m:r>
                    <w:rPr>
                      <w:rFonts w:ascii="Cambria Math" w:hAnsi="Cambria Math"/>
                    </w:rPr>
                    <m:t>winter</m:t>
                  </m:r>
                </m:sub>
              </m:sSub>
            </m:oMath>
            <w:r w:rsidR="00EA5BBF" w:rsidRPr="001570EA">
              <w:t>, Winter energy to demand factor</w:t>
            </w:r>
          </w:p>
        </w:tc>
        <w:tc>
          <w:tcPr>
            <w:tcW w:w="696" w:type="pct"/>
            <w:vAlign w:val="center"/>
          </w:tcPr>
          <w:p w14:paraId="23DD1874" w14:textId="77777777" w:rsidR="00EA5BBF" w:rsidRPr="001570EA" w:rsidRDefault="00EA5BBF">
            <w:pPr>
              <w:pStyle w:val="TableCell"/>
              <w:spacing w:beforeLines="40" w:before="96" w:afterLines="40" w:after="96"/>
              <w:jc w:val="center"/>
              <w:rPr>
                <w:rFonts w:eastAsia="Arial Unicode MS" w:cs="Arial"/>
              </w:rPr>
            </w:pPr>
            <w:r w:rsidRPr="001570EA">
              <w:rPr>
                <w:rFonts w:eastAsia="Arial Unicode MS" w:cs="Arial"/>
                <w:i/>
              </w:rPr>
              <w:t>kW/kWh</w:t>
            </w:r>
          </w:p>
        </w:tc>
        <w:tc>
          <w:tcPr>
            <w:tcW w:w="1548" w:type="pct"/>
            <w:shd w:val="clear" w:color="auto" w:fill="auto"/>
            <w:vAlign w:val="center"/>
          </w:tcPr>
          <w:p w14:paraId="73FFE837" w14:textId="77777777" w:rsidR="00EA5BBF" w:rsidRPr="001570EA" w:rsidRDefault="00EA5BBF">
            <w:pPr>
              <w:pStyle w:val="TableCell"/>
              <w:spacing w:beforeLines="40" w:before="96" w:afterLines="40" w:after="96"/>
              <w:jc w:val="center"/>
            </w:pPr>
            <w:r w:rsidRPr="001570EA">
              <w:t>0.0003398</w:t>
            </w:r>
          </w:p>
        </w:tc>
        <w:tc>
          <w:tcPr>
            <w:tcW w:w="590" w:type="pct"/>
            <w:vAlign w:val="center"/>
          </w:tcPr>
          <w:p w14:paraId="3B7C6A29" w14:textId="77777777" w:rsidR="00EA5BBF" w:rsidRPr="001570EA" w:rsidRDefault="00EA5BBF">
            <w:pPr>
              <w:pStyle w:val="TableCell"/>
              <w:spacing w:beforeLines="40" w:before="96" w:afterLines="40" w:after="96"/>
              <w:jc w:val="center"/>
            </w:pPr>
            <w:r w:rsidRPr="001570EA">
              <w:t>18</w:t>
            </w:r>
          </w:p>
        </w:tc>
      </w:tr>
    </w:tbl>
    <w:p w14:paraId="66DFC789" w14:textId="77777777" w:rsidR="00EA5BBF" w:rsidRPr="001570EA" w:rsidRDefault="00EA5BBF" w:rsidP="00EA5BBF">
      <w:bookmarkStart w:id="1179" w:name="_Ref531867617"/>
    </w:p>
    <w:p w14:paraId="31F6D093" w14:textId="0EBD08F5" w:rsidR="00EA5BBF" w:rsidRPr="001570EA" w:rsidRDefault="00EA5BBF" w:rsidP="00EA5BBF">
      <w:pPr>
        <w:pStyle w:val="Caption"/>
        <w:keepNext w:val="0"/>
        <w:jc w:val="left"/>
      </w:pPr>
      <w:bookmarkStart w:id="1180" w:name="_Ref11337130"/>
      <w:bookmarkStart w:id="1181" w:name="_Toc47598365"/>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145</w:t>
      </w:r>
      <w:r w:rsidR="002E093A" w:rsidRPr="001570EA">
        <w:fldChar w:fldCharType="end"/>
      </w:r>
      <w:bookmarkEnd w:id="1179"/>
      <w:bookmarkEnd w:id="1180"/>
      <w:r w:rsidRPr="001570EA">
        <w:t>: Retrofit Default Base and Energy Efficient R-Values</w:t>
      </w:r>
      <w:bookmarkEnd w:id="1181"/>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4320"/>
        <w:gridCol w:w="1143"/>
        <w:gridCol w:w="827"/>
      </w:tblGrid>
      <w:tr w:rsidR="00EA5BBF" w:rsidRPr="001570EA" w14:paraId="7341C484" w14:textId="77777777">
        <w:trPr>
          <w:trHeight w:val="289"/>
        </w:trPr>
        <w:tc>
          <w:tcPr>
            <w:tcW w:w="1356" w:type="pct"/>
            <w:shd w:val="clear" w:color="auto" w:fill="BFBFBF"/>
            <w:vAlign w:val="center"/>
          </w:tcPr>
          <w:p w14:paraId="64AC7044" w14:textId="77777777" w:rsidR="00EA5BBF" w:rsidRPr="001570EA" w:rsidRDefault="00EA5BBF">
            <w:pPr>
              <w:pStyle w:val="TableCell"/>
              <w:keepNext w:val="0"/>
              <w:spacing w:before="60" w:after="60"/>
              <w:rPr>
                <w:b/>
              </w:rPr>
            </w:pPr>
            <w:r w:rsidRPr="001570EA">
              <w:rPr>
                <w:b/>
              </w:rPr>
              <w:t>Component</w:t>
            </w:r>
          </w:p>
        </w:tc>
        <w:tc>
          <w:tcPr>
            <w:tcW w:w="2503" w:type="pct"/>
            <w:shd w:val="clear" w:color="auto" w:fill="BFBFBF"/>
            <w:vAlign w:val="center"/>
          </w:tcPr>
          <w:p w14:paraId="465BCAE0" w14:textId="77777777" w:rsidR="00EA5BBF" w:rsidRPr="001570EA" w:rsidRDefault="00EA5BBF">
            <w:pPr>
              <w:pStyle w:val="TableCell"/>
              <w:keepNext w:val="0"/>
              <w:spacing w:before="60" w:after="60"/>
              <w:rPr>
                <w:b/>
              </w:rPr>
            </w:pPr>
            <w:r w:rsidRPr="001570EA">
              <w:rPr>
                <w:b/>
              </w:rPr>
              <w:t>Description</w:t>
            </w:r>
          </w:p>
        </w:tc>
        <w:tc>
          <w:tcPr>
            <w:tcW w:w="662" w:type="pct"/>
            <w:shd w:val="clear" w:color="auto" w:fill="BFBFBF"/>
          </w:tcPr>
          <w:p w14:paraId="4A82DBF9" w14:textId="77777777" w:rsidR="00EA5BBF" w:rsidRPr="001570EA" w:rsidRDefault="00EA5BBF">
            <w:pPr>
              <w:pStyle w:val="TableCell"/>
              <w:keepNext w:val="0"/>
              <w:spacing w:before="60" w:after="60"/>
              <w:jc w:val="center"/>
              <w:rPr>
                <w:rFonts w:cs="Arial"/>
                <w:b/>
              </w:rPr>
            </w:pPr>
            <w:r w:rsidRPr="001570EA">
              <w:rPr>
                <w:rFonts w:cs="Arial"/>
                <w:b/>
              </w:rPr>
              <w:t xml:space="preserve">Value </w:t>
            </w:r>
            <m:oMath>
              <m:r>
                <m:rPr>
                  <m:sty m:val="p"/>
                </m:rPr>
                <w:rPr>
                  <w:rFonts w:ascii="Cambria Math" w:hAnsi="Cambria Math"/>
                </w:rPr>
                <w:br/>
              </m:r>
            </m:oMath>
            <w:r w:rsidRPr="001570EA">
              <w:rPr>
                <w:rFonts w:cs="Arial"/>
              </w:rPr>
              <w:t>(</w:t>
            </w:r>
            <m:oMath>
              <m:f>
                <m:fPr>
                  <m:ctrlPr>
                    <w:rPr>
                      <w:rFonts w:ascii="Cambria Math" w:hAnsi="Cambria Math"/>
                      <w:i/>
                    </w:rPr>
                  </m:ctrlPr>
                </m:fPr>
                <m:num>
                  <m:r>
                    <w:rPr>
                      <w:rFonts w:ascii="Cambria Math" w:hAnsi="Cambria Math"/>
                    </w:rPr>
                    <m:t>°F∙</m:t>
                  </m:r>
                  <m:sSup>
                    <m:sSupPr>
                      <m:ctrlPr>
                        <w:rPr>
                          <w:rFonts w:ascii="Cambria Math" w:hAnsi="Cambria Math"/>
                          <w:i/>
                        </w:rPr>
                      </m:ctrlPr>
                    </m:sSupPr>
                    <m:e>
                      <m:r>
                        <w:rPr>
                          <w:rFonts w:ascii="Cambria Math" w:hAnsi="Cambria Math"/>
                        </w:rPr>
                        <m:t>ft</m:t>
                      </m:r>
                    </m:e>
                    <m:sup>
                      <m:r>
                        <w:rPr>
                          <w:rFonts w:ascii="Cambria Math" w:hAnsi="Cambria Math"/>
                        </w:rPr>
                        <m:t>2</m:t>
                      </m:r>
                    </m:sup>
                  </m:sSup>
                  <m:r>
                    <w:rPr>
                      <w:rFonts w:ascii="Cambria Math" w:hAnsi="Cambria Math"/>
                    </w:rPr>
                    <m:t>∙hr</m:t>
                  </m:r>
                </m:num>
                <m:den>
                  <m:r>
                    <w:rPr>
                      <w:rFonts w:ascii="Cambria Math" w:hAnsi="Cambria Math"/>
                    </w:rPr>
                    <m:t>Btu</m:t>
                  </m:r>
                </m:den>
              </m:f>
            </m:oMath>
            <w:r w:rsidRPr="001570EA">
              <w:rPr>
                <w:rFonts w:cs="Arial"/>
                <w:b/>
              </w:rPr>
              <w:t>)</w:t>
            </w:r>
          </w:p>
        </w:tc>
        <w:tc>
          <w:tcPr>
            <w:tcW w:w="479" w:type="pct"/>
            <w:shd w:val="clear" w:color="auto" w:fill="BFBFBF"/>
          </w:tcPr>
          <w:p w14:paraId="193DCF2E" w14:textId="77777777" w:rsidR="00EA5BBF" w:rsidRPr="001570EA" w:rsidRDefault="00EA5BBF">
            <w:pPr>
              <w:pStyle w:val="TableCell"/>
              <w:keepNext w:val="0"/>
              <w:spacing w:before="60" w:after="60"/>
              <w:jc w:val="center"/>
              <w:rPr>
                <w:rFonts w:cs="Arial"/>
                <w:b/>
              </w:rPr>
            </w:pPr>
            <w:r w:rsidRPr="001570EA">
              <w:rPr>
                <w:rFonts w:cs="Arial"/>
                <w:b/>
              </w:rPr>
              <w:t>Source</w:t>
            </w:r>
          </w:p>
        </w:tc>
      </w:tr>
      <w:tr w:rsidR="00EA5BBF" w:rsidRPr="001570EA" w14:paraId="04DB5DFA" w14:textId="77777777">
        <w:trPr>
          <w:trHeight w:val="289"/>
        </w:trPr>
        <w:tc>
          <w:tcPr>
            <w:tcW w:w="1356" w:type="pct"/>
            <w:vMerge w:val="restart"/>
            <w:vAlign w:val="center"/>
          </w:tcPr>
          <w:p w14:paraId="3D1CED9F" w14:textId="77777777" w:rsidR="00EA5BBF" w:rsidRPr="001570EA" w:rsidRDefault="00EA5BBF">
            <w:pPr>
              <w:pStyle w:val="TableCell"/>
              <w:keepNext w:val="0"/>
              <w:spacing w:before="60" w:after="60"/>
            </w:pPr>
            <w:r w:rsidRPr="001570EA">
              <w:rPr>
                <w:i/>
              </w:rPr>
              <w:t>R</w:t>
            </w:r>
            <w:r w:rsidRPr="001570EA">
              <w:rPr>
                <w:i/>
                <w:vertAlign w:val="subscript"/>
              </w:rPr>
              <w:t xml:space="preserve">ceil,base, </w:t>
            </w:r>
            <w:r w:rsidRPr="001570EA">
              <w:rPr>
                <w:rFonts w:cs="Arial"/>
              </w:rPr>
              <w:t>Assembly R-value of ceiling/attic before retrofit</w:t>
            </w:r>
          </w:p>
        </w:tc>
        <w:tc>
          <w:tcPr>
            <w:tcW w:w="2503" w:type="pct"/>
          </w:tcPr>
          <w:p w14:paraId="19D4B55F" w14:textId="77777777" w:rsidR="00EA5BBF" w:rsidRPr="001570EA" w:rsidRDefault="00EA5BBF">
            <w:pPr>
              <w:pStyle w:val="TableCell"/>
              <w:keepNext w:val="0"/>
              <w:spacing w:before="60" w:after="60"/>
              <w:jc w:val="left"/>
              <w:rPr>
                <w:color w:val="000000"/>
              </w:rPr>
            </w:pPr>
            <w:r w:rsidRPr="001570EA">
              <w:t>Un-insulated attic</w:t>
            </w:r>
          </w:p>
        </w:tc>
        <w:tc>
          <w:tcPr>
            <w:tcW w:w="662" w:type="pct"/>
          </w:tcPr>
          <w:p w14:paraId="103EB15E" w14:textId="77777777" w:rsidR="00EA5BBF" w:rsidRPr="001570EA" w:rsidRDefault="00EA5BBF">
            <w:pPr>
              <w:pStyle w:val="TableCell"/>
              <w:keepNext w:val="0"/>
              <w:spacing w:before="60" w:after="60"/>
              <w:jc w:val="center"/>
              <w:rPr>
                <w:color w:val="000000"/>
              </w:rPr>
            </w:pPr>
            <w:r w:rsidRPr="001570EA">
              <w:t>5</w:t>
            </w:r>
          </w:p>
        </w:tc>
        <w:tc>
          <w:tcPr>
            <w:tcW w:w="479" w:type="pct"/>
            <w:vAlign w:val="center"/>
          </w:tcPr>
          <w:p w14:paraId="50270AEF" w14:textId="77777777" w:rsidR="00EA5BBF" w:rsidRPr="001570EA" w:rsidRDefault="00EA5BBF">
            <w:pPr>
              <w:pStyle w:val="TableCell"/>
              <w:keepNext w:val="0"/>
              <w:spacing w:before="60" w:after="60"/>
              <w:jc w:val="center"/>
            </w:pPr>
            <w:r w:rsidRPr="001570EA">
              <w:t>4, 5</w:t>
            </w:r>
          </w:p>
        </w:tc>
      </w:tr>
      <w:tr w:rsidR="00EA5BBF" w:rsidRPr="001570EA" w14:paraId="028125C8" w14:textId="77777777">
        <w:trPr>
          <w:trHeight w:val="289"/>
        </w:trPr>
        <w:tc>
          <w:tcPr>
            <w:tcW w:w="1356" w:type="pct"/>
            <w:vMerge/>
            <w:vAlign w:val="center"/>
          </w:tcPr>
          <w:p w14:paraId="6EB0E98E" w14:textId="77777777" w:rsidR="00EA5BBF" w:rsidRPr="001570EA" w:rsidRDefault="00EA5BBF">
            <w:pPr>
              <w:pStyle w:val="TableCell"/>
              <w:keepNext w:val="0"/>
              <w:spacing w:before="60" w:after="60"/>
            </w:pPr>
          </w:p>
        </w:tc>
        <w:tc>
          <w:tcPr>
            <w:tcW w:w="2503" w:type="pct"/>
          </w:tcPr>
          <w:p w14:paraId="13FCCD19" w14:textId="77777777" w:rsidR="00EA5BBF" w:rsidRPr="001570EA" w:rsidRDefault="00EA5BBF">
            <w:pPr>
              <w:pStyle w:val="TableCell"/>
              <w:keepNext w:val="0"/>
              <w:spacing w:before="60" w:after="60"/>
              <w:jc w:val="left"/>
              <w:rPr>
                <w:color w:val="000000"/>
              </w:rPr>
            </w:pPr>
            <w:r w:rsidRPr="001570EA">
              <w:t>4.5” (R-13) of existing attic insulation</w:t>
            </w:r>
          </w:p>
        </w:tc>
        <w:tc>
          <w:tcPr>
            <w:tcW w:w="662" w:type="pct"/>
            <w:vAlign w:val="center"/>
          </w:tcPr>
          <w:p w14:paraId="6454E9C2" w14:textId="77777777" w:rsidR="00EA5BBF" w:rsidRPr="001570EA" w:rsidRDefault="00EA5BBF">
            <w:pPr>
              <w:pStyle w:val="TableCell"/>
              <w:keepNext w:val="0"/>
              <w:spacing w:before="60" w:after="60"/>
              <w:jc w:val="center"/>
              <w:rPr>
                <w:color w:val="000000"/>
              </w:rPr>
            </w:pPr>
            <w:r w:rsidRPr="001570EA">
              <w:t>16</w:t>
            </w:r>
          </w:p>
        </w:tc>
        <w:tc>
          <w:tcPr>
            <w:tcW w:w="479" w:type="pct"/>
            <w:vAlign w:val="center"/>
          </w:tcPr>
          <w:p w14:paraId="2898A1BA" w14:textId="77777777" w:rsidR="00EA5BBF" w:rsidRPr="001570EA" w:rsidRDefault="00EA5BBF">
            <w:pPr>
              <w:pStyle w:val="TableCell"/>
              <w:keepNext w:val="0"/>
              <w:spacing w:before="60" w:after="60"/>
              <w:jc w:val="center"/>
            </w:pPr>
            <w:r w:rsidRPr="001570EA">
              <w:t>4, 5</w:t>
            </w:r>
          </w:p>
        </w:tc>
      </w:tr>
      <w:tr w:rsidR="00EA5BBF" w:rsidRPr="001570EA" w14:paraId="2D11676B" w14:textId="77777777">
        <w:trPr>
          <w:trHeight w:val="289"/>
        </w:trPr>
        <w:tc>
          <w:tcPr>
            <w:tcW w:w="1356" w:type="pct"/>
            <w:vMerge/>
            <w:vAlign w:val="center"/>
          </w:tcPr>
          <w:p w14:paraId="2F930887" w14:textId="77777777" w:rsidR="00EA5BBF" w:rsidRPr="001570EA" w:rsidRDefault="00EA5BBF">
            <w:pPr>
              <w:pStyle w:val="TableCell"/>
              <w:keepNext w:val="0"/>
              <w:spacing w:before="60" w:after="60"/>
            </w:pPr>
          </w:p>
        </w:tc>
        <w:tc>
          <w:tcPr>
            <w:tcW w:w="2503" w:type="pct"/>
          </w:tcPr>
          <w:p w14:paraId="36BAF697" w14:textId="77777777" w:rsidR="00EA5BBF" w:rsidRPr="001570EA" w:rsidRDefault="00EA5BBF">
            <w:pPr>
              <w:pStyle w:val="TableCell"/>
              <w:keepNext w:val="0"/>
              <w:spacing w:before="60" w:after="60"/>
              <w:jc w:val="left"/>
              <w:rPr>
                <w:color w:val="000000"/>
              </w:rPr>
            </w:pPr>
            <w:r w:rsidRPr="001570EA">
              <w:t>6” (R-19) of existing attic insulation</w:t>
            </w:r>
          </w:p>
        </w:tc>
        <w:tc>
          <w:tcPr>
            <w:tcW w:w="662" w:type="pct"/>
            <w:vAlign w:val="center"/>
          </w:tcPr>
          <w:p w14:paraId="3D92DDA4" w14:textId="77777777" w:rsidR="00EA5BBF" w:rsidRPr="001570EA" w:rsidRDefault="00EA5BBF">
            <w:pPr>
              <w:pStyle w:val="TableCell"/>
              <w:keepNext w:val="0"/>
              <w:spacing w:before="60" w:after="60"/>
              <w:jc w:val="center"/>
              <w:rPr>
                <w:color w:val="000000"/>
              </w:rPr>
            </w:pPr>
            <w:r w:rsidRPr="001570EA">
              <w:t>22</w:t>
            </w:r>
          </w:p>
        </w:tc>
        <w:tc>
          <w:tcPr>
            <w:tcW w:w="479" w:type="pct"/>
            <w:vAlign w:val="center"/>
          </w:tcPr>
          <w:p w14:paraId="464DADCD" w14:textId="77777777" w:rsidR="00EA5BBF" w:rsidRPr="001570EA" w:rsidRDefault="00EA5BBF">
            <w:pPr>
              <w:pStyle w:val="TableCell"/>
              <w:keepNext w:val="0"/>
              <w:spacing w:before="60" w:after="60"/>
              <w:jc w:val="center"/>
            </w:pPr>
            <w:r w:rsidRPr="001570EA">
              <w:t>4, 5</w:t>
            </w:r>
          </w:p>
        </w:tc>
      </w:tr>
      <w:tr w:rsidR="00EA5BBF" w:rsidRPr="001570EA" w14:paraId="6CE576EE" w14:textId="77777777">
        <w:trPr>
          <w:trHeight w:val="165"/>
        </w:trPr>
        <w:tc>
          <w:tcPr>
            <w:tcW w:w="1356" w:type="pct"/>
            <w:vMerge/>
            <w:vAlign w:val="center"/>
          </w:tcPr>
          <w:p w14:paraId="0FB93476" w14:textId="77777777" w:rsidR="00EA5BBF" w:rsidRPr="001570EA" w:rsidRDefault="00EA5BBF">
            <w:pPr>
              <w:pStyle w:val="TableCell"/>
              <w:keepNext w:val="0"/>
              <w:spacing w:before="60" w:after="60"/>
            </w:pPr>
          </w:p>
        </w:tc>
        <w:tc>
          <w:tcPr>
            <w:tcW w:w="2503" w:type="pct"/>
          </w:tcPr>
          <w:p w14:paraId="4F1E5C5F" w14:textId="77777777" w:rsidR="00EA5BBF" w:rsidRPr="001570EA" w:rsidRDefault="00EA5BBF">
            <w:pPr>
              <w:pStyle w:val="TableCell"/>
              <w:keepNext w:val="0"/>
              <w:spacing w:before="60" w:after="60"/>
              <w:jc w:val="left"/>
              <w:rPr>
                <w:color w:val="000000"/>
              </w:rPr>
            </w:pPr>
            <w:r w:rsidRPr="001570EA">
              <w:t>10” (R-30) of existing attic insulation</w:t>
            </w:r>
          </w:p>
        </w:tc>
        <w:tc>
          <w:tcPr>
            <w:tcW w:w="662" w:type="pct"/>
            <w:vAlign w:val="center"/>
          </w:tcPr>
          <w:p w14:paraId="5ACA899E" w14:textId="77777777" w:rsidR="00EA5BBF" w:rsidRPr="001570EA" w:rsidRDefault="00EA5BBF">
            <w:pPr>
              <w:pStyle w:val="TableCell"/>
              <w:keepNext w:val="0"/>
              <w:spacing w:before="60" w:after="60"/>
              <w:jc w:val="center"/>
              <w:rPr>
                <w:color w:val="000000"/>
              </w:rPr>
            </w:pPr>
            <w:r w:rsidRPr="001570EA">
              <w:t>30</w:t>
            </w:r>
          </w:p>
        </w:tc>
        <w:tc>
          <w:tcPr>
            <w:tcW w:w="479" w:type="pct"/>
            <w:vAlign w:val="center"/>
          </w:tcPr>
          <w:p w14:paraId="270E5BD3" w14:textId="77777777" w:rsidR="00EA5BBF" w:rsidRPr="001570EA" w:rsidRDefault="00EA5BBF">
            <w:pPr>
              <w:pStyle w:val="TableCell"/>
              <w:keepNext w:val="0"/>
              <w:spacing w:before="60" w:after="60"/>
              <w:jc w:val="center"/>
            </w:pPr>
            <w:r w:rsidRPr="001570EA">
              <w:t>4, 5</w:t>
            </w:r>
          </w:p>
        </w:tc>
      </w:tr>
      <w:tr w:rsidR="00EA5BBF" w:rsidRPr="001570EA" w14:paraId="56037A88" w14:textId="77777777">
        <w:trPr>
          <w:trHeight w:val="165"/>
        </w:trPr>
        <w:tc>
          <w:tcPr>
            <w:tcW w:w="1356" w:type="pct"/>
            <w:vMerge/>
            <w:vAlign w:val="center"/>
          </w:tcPr>
          <w:p w14:paraId="3A107B07" w14:textId="77777777" w:rsidR="00EA5BBF" w:rsidRPr="001570EA" w:rsidRDefault="00EA5BBF">
            <w:pPr>
              <w:pStyle w:val="TableCell"/>
              <w:keepNext w:val="0"/>
              <w:spacing w:before="60" w:after="60"/>
            </w:pPr>
          </w:p>
        </w:tc>
        <w:tc>
          <w:tcPr>
            <w:tcW w:w="2503" w:type="pct"/>
          </w:tcPr>
          <w:p w14:paraId="254C8B0B" w14:textId="77777777" w:rsidR="00EA5BBF" w:rsidRPr="001570EA" w:rsidRDefault="00EA5BBF">
            <w:pPr>
              <w:pStyle w:val="TableCell"/>
              <w:keepNext w:val="0"/>
              <w:spacing w:before="60" w:after="60"/>
              <w:jc w:val="left"/>
            </w:pPr>
            <w:r w:rsidRPr="001570EA">
              <w:t>Vaulted ceiling insulation, primarily consisting of fiberglass batts</w:t>
            </w:r>
          </w:p>
        </w:tc>
        <w:tc>
          <w:tcPr>
            <w:tcW w:w="662" w:type="pct"/>
            <w:vAlign w:val="center"/>
          </w:tcPr>
          <w:p w14:paraId="047EF420" w14:textId="77777777" w:rsidR="00EA5BBF" w:rsidRPr="001570EA" w:rsidRDefault="00EA5BBF">
            <w:pPr>
              <w:pStyle w:val="TableCell"/>
              <w:keepNext w:val="0"/>
              <w:spacing w:before="60" w:after="60"/>
              <w:jc w:val="center"/>
            </w:pPr>
            <w:r w:rsidRPr="001570EA">
              <w:t>22.9</w:t>
            </w:r>
          </w:p>
        </w:tc>
        <w:tc>
          <w:tcPr>
            <w:tcW w:w="479" w:type="pct"/>
            <w:vAlign w:val="center"/>
          </w:tcPr>
          <w:p w14:paraId="15681BE9" w14:textId="77777777" w:rsidR="00EA5BBF" w:rsidRPr="001570EA" w:rsidRDefault="00EA5BBF">
            <w:pPr>
              <w:pStyle w:val="TableCell"/>
              <w:keepNext w:val="0"/>
              <w:spacing w:before="60" w:after="60"/>
              <w:jc w:val="center"/>
            </w:pPr>
            <w:r w:rsidRPr="001570EA">
              <w:t>6</w:t>
            </w:r>
          </w:p>
        </w:tc>
      </w:tr>
      <w:tr w:rsidR="00EA5BBF" w:rsidRPr="001570EA" w14:paraId="2C3D86F5" w14:textId="77777777">
        <w:trPr>
          <w:trHeight w:val="165"/>
        </w:trPr>
        <w:tc>
          <w:tcPr>
            <w:tcW w:w="1356" w:type="pct"/>
            <w:vMerge/>
            <w:vAlign w:val="center"/>
          </w:tcPr>
          <w:p w14:paraId="5E8098C8" w14:textId="77777777" w:rsidR="00EA5BBF" w:rsidRPr="001570EA" w:rsidRDefault="00EA5BBF">
            <w:pPr>
              <w:pStyle w:val="TableCell"/>
              <w:keepNext w:val="0"/>
              <w:spacing w:before="60" w:after="60"/>
            </w:pPr>
          </w:p>
        </w:tc>
        <w:tc>
          <w:tcPr>
            <w:tcW w:w="2503" w:type="pct"/>
          </w:tcPr>
          <w:p w14:paraId="067227A5" w14:textId="77777777" w:rsidR="00EA5BBF" w:rsidRPr="001570EA" w:rsidRDefault="00EA5BBF">
            <w:pPr>
              <w:pStyle w:val="TableCell"/>
              <w:keepNext w:val="0"/>
              <w:spacing w:before="60" w:after="60"/>
              <w:jc w:val="left"/>
            </w:pPr>
            <w:r w:rsidRPr="001570EA">
              <w:t>Default unknown: flat ceiling insulation, typically consisting of fiberglass batts</w:t>
            </w:r>
          </w:p>
        </w:tc>
        <w:tc>
          <w:tcPr>
            <w:tcW w:w="662" w:type="pct"/>
            <w:vAlign w:val="center"/>
          </w:tcPr>
          <w:p w14:paraId="6467A980" w14:textId="77777777" w:rsidR="00EA5BBF" w:rsidRPr="001570EA" w:rsidRDefault="00EA5BBF">
            <w:pPr>
              <w:pStyle w:val="TableCell"/>
              <w:keepNext w:val="0"/>
              <w:spacing w:before="60" w:after="60"/>
              <w:jc w:val="center"/>
            </w:pPr>
            <w:r w:rsidRPr="001570EA">
              <w:t>27.3</w:t>
            </w:r>
          </w:p>
        </w:tc>
        <w:tc>
          <w:tcPr>
            <w:tcW w:w="479" w:type="pct"/>
            <w:vAlign w:val="center"/>
          </w:tcPr>
          <w:p w14:paraId="77DE750E" w14:textId="77777777" w:rsidR="00EA5BBF" w:rsidRPr="001570EA" w:rsidRDefault="00EA5BBF">
            <w:pPr>
              <w:pStyle w:val="TableCell"/>
              <w:keepNext w:val="0"/>
              <w:spacing w:before="60" w:after="60"/>
              <w:jc w:val="center"/>
            </w:pPr>
            <w:r w:rsidRPr="001570EA">
              <w:t>7</w:t>
            </w:r>
          </w:p>
        </w:tc>
      </w:tr>
      <w:tr w:rsidR="00EA5BBF" w:rsidRPr="001570EA" w14:paraId="57683E6B" w14:textId="77777777">
        <w:trPr>
          <w:trHeight w:val="289"/>
        </w:trPr>
        <w:tc>
          <w:tcPr>
            <w:tcW w:w="1356" w:type="pct"/>
            <w:vAlign w:val="center"/>
          </w:tcPr>
          <w:p w14:paraId="4F6F3BFF" w14:textId="77777777" w:rsidR="00EA5BBF" w:rsidRPr="001570EA" w:rsidRDefault="00EA5BBF">
            <w:pPr>
              <w:pStyle w:val="TableCell"/>
              <w:keepNext w:val="0"/>
              <w:spacing w:before="60" w:after="60"/>
              <w:jc w:val="left"/>
            </w:pPr>
            <w:r w:rsidRPr="001570EA">
              <w:rPr>
                <w:i/>
              </w:rPr>
              <w:t>R</w:t>
            </w:r>
            <w:r w:rsidRPr="001570EA">
              <w:rPr>
                <w:i/>
                <w:vertAlign w:val="subscript"/>
              </w:rPr>
              <w:t xml:space="preserve">ceil,ee, </w:t>
            </w:r>
            <w:r w:rsidRPr="001570EA">
              <w:rPr>
                <w:rFonts w:cs="Arial"/>
              </w:rPr>
              <w:t>Assembly R-value of ceiling/attic after retrofit</w:t>
            </w:r>
          </w:p>
          <w:p w14:paraId="795D7B0D" w14:textId="77777777" w:rsidR="00EA5BBF" w:rsidRPr="001570EA" w:rsidRDefault="00EA5BBF">
            <w:pPr>
              <w:pStyle w:val="TableCell"/>
              <w:keepNext w:val="0"/>
              <w:spacing w:before="60" w:after="60"/>
            </w:pPr>
          </w:p>
        </w:tc>
        <w:tc>
          <w:tcPr>
            <w:tcW w:w="2503" w:type="pct"/>
            <w:vAlign w:val="center"/>
          </w:tcPr>
          <w:p w14:paraId="1246A4A0" w14:textId="77777777" w:rsidR="00EA5BBF" w:rsidRPr="001570EA" w:rsidRDefault="00EA5BBF">
            <w:pPr>
              <w:pStyle w:val="TableCell"/>
              <w:keepNext w:val="0"/>
              <w:spacing w:before="60" w:after="60"/>
              <w:jc w:val="left"/>
              <w:rPr>
                <w:color w:val="000000"/>
              </w:rPr>
            </w:pPr>
            <w:r w:rsidRPr="001570EA">
              <w:t>Retrofit to R-60 total attic insulation</w:t>
            </w:r>
          </w:p>
        </w:tc>
        <w:tc>
          <w:tcPr>
            <w:tcW w:w="662" w:type="pct"/>
            <w:shd w:val="clear" w:color="auto" w:fill="auto"/>
            <w:vAlign w:val="center"/>
          </w:tcPr>
          <w:p w14:paraId="3B264E30" w14:textId="77777777" w:rsidR="00EA5BBF" w:rsidRPr="001570EA" w:rsidRDefault="00EA5BBF">
            <w:pPr>
              <w:pStyle w:val="TableCell"/>
              <w:keepNext w:val="0"/>
              <w:spacing w:before="60" w:after="60"/>
              <w:jc w:val="center"/>
              <w:rPr>
                <w:color w:val="000000"/>
              </w:rPr>
            </w:pPr>
            <w:r w:rsidRPr="001570EA">
              <w:t>60</w:t>
            </w:r>
          </w:p>
        </w:tc>
        <w:tc>
          <w:tcPr>
            <w:tcW w:w="479" w:type="pct"/>
            <w:vAlign w:val="center"/>
          </w:tcPr>
          <w:p w14:paraId="47926CE4" w14:textId="77777777" w:rsidR="00EA5BBF" w:rsidRPr="001570EA" w:rsidDel="00550844" w:rsidRDefault="00EA5BBF">
            <w:pPr>
              <w:pStyle w:val="TableCell"/>
              <w:keepNext w:val="0"/>
              <w:spacing w:before="60" w:after="60"/>
              <w:jc w:val="center"/>
            </w:pPr>
            <w:r w:rsidRPr="001570EA">
              <w:t>2</w:t>
            </w:r>
          </w:p>
        </w:tc>
      </w:tr>
      <w:tr w:rsidR="00EA5BBF" w:rsidRPr="001570EA" w14:paraId="59F7A42E" w14:textId="77777777">
        <w:trPr>
          <w:trHeight w:val="398"/>
        </w:trPr>
        <w:tc>
          <w:tcPr>
            <w:tcW w:w="1356" w:type="pct"/>
            <w:vMerge w:val="restart"/>
            <w:vAlign w:val="center"/>
          </w:tcPr>
          <w:p w14:paraId="552F75AC" w14:textId="77777777" w:rsidR="00EA5BBF" w:rsidRPr="001570EA" w:rsidRDefault="00EA5BBF">
            <w:pPr>
              <w:pStyle w:val="TableCell"/>
              <w:keepNext w:val="0"/>
              <w:spacing w:before="60" w:after="60"/>
              <w:jc w:val="left"/>
              <w:rPr>
                <w:rFonts w:cs="Arial"/>
              </w:rPr>
            </w:pPr>
            <w:r w:rsidRPr="001570EA">
              <w:rPr>
                <w:i/>
              </w:rPr>
              <w:t>R</w:t>
            </w:r>
            <w:r w:rsidRPr="001570EA">
              <w:rPr>
                <w:i/>
                <w:vertAlign w:val="subscript"/>
              </w:rPr>
              <w:t>wall,base</w:t>
            </w:r>
            <w:r w:rsidRPr="001570EA">
              <w:t xml:space="preserve">, </w:t>
            </w:r>
            <w:r w:rsidRPr="001570EA">
              <w:rPr>
                <w:rFonts w:cs="Arial"/>
              </w:rPr>
              <w:t>Assembly R-value of wall before retrofit</w:t>
            </w:r>
          </w:p>
          <w:p w14:paraId="18C2296B" w14:textId="77777777" w:rsidR="00EA5BBF" w:rsidRPr="001570EA" w:rsidRDefault="00EA5BBF">
            <w:pPr>
              <w:pStyle w:val="TableCell"/>
              <w:keepNext w:val="0"/>
              <w:spacing w:before="60" w:after="60"/>
            </w:pPr>
          </w:p>
        </w:tc>
        <w:tc>
          <w:tcPr>
            <w:tcW w:w="2503" w:type="pct"/>
          </w:tcPr>
          <w:p w14:paraId="6BBBB0DB" w14:textId="77777777" w:rsidR="00EA5BBF" w:rsidRPr="001570EA" w:rsidRDefault="00EA5BBF">
            <w:pPr>
              <w:pStyle w:val="TableCell"/>
              <w:keepNext w:val="0"/>
              <w:spacing w:before="60" w:after="60"/>
              <w:jc w:val="left"/>
              <w:rPr>
                <w:color w:val="000000"/>
              </w:rPr>
            </w:pPr>
            <w:r w:rsidRPr="001570EA">
              <w:rPr>
                <w:color w:val="000000"/>
              </w:rPr>
              <w:t>Un-insulated wall with 2x4 studs @ 16” o.c., w/ wood/vinyl siding</w:t>
            </w:r>
          </w:p>
        </w:tc>
        <w:tc>
          <w:tcPr>
            <w:tcW w:w="662" w:type="pct"/>
            <w:vAlign w:val="center"/>
          </w:tcPr>
          <w:p w14:paraId="1A7CAA3C" w14:textId="77777777" w:rsidR="00EA5BBF" w:rsidRPr="001570EA" w:rsidRDefault="00EA5BBF">
            <w:pPr>
              <w:pStyle w:val="TableCell"/>
              <w:keepNext w:val="0"/>
              <w:spacing w:before="60" w:after="60"/>
              <w:jc w:val="center"/>
              <w:rPr>
                <w:color w:val="000000"/>
              </w:rPr>
            </w:pPr>
            <w:r w:rsidRPr="001570EA">
              <w:rPr>
                <w:color w:val="000000"/>
              </w:rPr>
              <w:t>5</w:t>
            </w:r>
          </w:p>
        </w:tc>
        <w:tc>
          <w:tcPr>
            <w:tcW w:w="479" w:type="pct"/>
            <w:vAlign w:val="center"/>
          </w:tcPr>
          <w:p w14:paraId="3B9B9032" w14:textId="77777777" w:rsidR="00EA5BBF" w:rsidRPr="001570EA" w:rsidRDefault="00EA5BBF">
            <w:pPr>
              <w:pStyle w:val="TableCell"/>
              <w:keepNext w:val="0"/>
              <w:spacing w:before="60" w:after="60"/>
              <w:jc w:val="center"/>
              <w:rPr>
                <w:color w:val="000000"/>
              </w:rPr>
            </w:pPr>
            <w:r w:rsidRPr="001570EA">
              <w:t>4, 5</w:t>
            </w:r>
          </w:p>
        </w:tc>
      </w:tr>
      <w:tr w:rsidR="00EA5BBF" w:rsidRPr="001570EA" w14:paraId="0C51E5B5" w14:textId="77777777">
        <w:trPr>
          <w:trHeight w:val="397"/>
        </w:trPr>
        <w:tc>
          <w:tcPr>
            <w:tcW w:w="1356" w:type="pct"/>
            <w:vMerge/>
            <w:vAlign w:val="center"/>
          </w:tcPr>
          <w:p w14:paraId="0C6266A2" w14:textId="77777777" w:rsidR="00EA5BBF" w:rsidRPr="001570EA" w:rsidRDefault="00EA5BBF">
            <w:pPr>
              <w:pStyle w:val="TableCell"/>
              <w:keepNext w:val="0"/>
              <w:spacing w:before="60" w:after="60"/>
              <w:jc w:val="left"/>
              <w:rPr>
                <w:i/>
              </w:rPr>
            </w:pPr>
          </w:p>
        </w:tc>
        <w:tc>
          <w:tcPr>
            <w:tcW w:w="2503" w:type="pct"/>
          </w:tcPr>
          <w:p w14:paraId="36081A3C" w14:textId="77777777" w:rsidR="00EA5BBF" w:rsidRPr="001570EA" w:rsidRDefault="00EA5BBF">
            <w:pPr>
              <w:pStyle w:val="TableCell"/>
              <w:keepNext w:val="0"/>
              <w:spacing w:before="60" w:after="60"/>
              <w:jc w:val="left"/>
              <w:rPr>
                <w:color w:val="000000"/>
              </w:rPr>
            </w:pPr>
            <w:r w:rsidRPr="001570EA">
              <w:rPr>
                <w:color w:val="000000"/>
              </w:rPr>
              <w:t>Default unknown: primarily batt insulated 2x4 stud cavity</w:t>
            </w:r>
          </w:p>
        </w:tc>
        <w:tc>
          <w:tcPr>
            <w:tcW w:w="662" w:type="pct"/>
            <w:vAlign w:val="center"/>
          </w:tcPr>
          <w:p w14:paraId="6FE35147" w14:textId="77777777" w:rsidR="00EA5BBF" w:rsidRPr="001570EA" w:rsidRDefault="00EA5BBF">
            <w:pPr>
              <w:pStyle w:val="TableCell"/>
              <w:keepNext w:val="0"/>
              <w:spacing w:before="60" w:after="60"/>
              <w:jc w:val="center"/>
              <w:rPr>
                <w:color w:val="000000"/>
              </w:rPr>
            </w:pPr>
            <w:r w:rsidRPr="001570EA">
              <w:rPr>
                <w:color w:val="000000"/>
              </w:rPr>
              <w:t>13</w:t>
            </w:r>
          </w:p>
        </w:tc>
        <w:tc>
          <w:tcPr>
            <w:tcW w:w="479" w:type="pct"/>
            <w:vAlign w:val="center"/>
          </w:tcPr>
          <w:p w14:paraId="7EB1F6B1" w14:textId="77777777" w:rsidR="00EA5BBF" w:rsidRPr="001570EA" w:rsidRDefault="00EA5BBF">
            <w:pPr>
              <w:pStyle w:val="TableCell"/>
              <w:keepNext w:val="0"/>
              <w:spacing w:before="60" w:after="60"/>
              <w:jc w:val="center"/>
            </w:pPr>
            <w:r w:rsidRPr="001570EA">
              <w:t>8</w:t>
            </w:r>
          </w:p>
        </w:tc>
      </w:tr>
      <w:tr w:rsidR="00EA5BBF" w:rsidRPr="001570EA" w14:paraId="06AE424E" w14:textId="77777777">
        <w:trPr>
          <w:trHeight w:val="289"/>
        </w:trPr>
        <w:tc>
          <w:tcPr>
            <w:tcW w:w="1356" w:type="pct"/>
            <w:vAlign w:val="center"/>
          </w:tcPr>
          <w:p w14:paraId="3CE5F88B" w14:textId="77777777" w:rsidR="00EA5BBF" w:rsidRPr="001570EA" w:rsidRDefault="00EA5BBF">
            <w:pPr>
              <w:pStyle w:val="TableCell"/>
              <w:keepNext w:val="0"/>
              <w:spacing w:before="60" w:after="60"/>
              <w:jc w:val="left"/>
              <w:rPr>
                <w:i/>
              </w:rPr>
            </w:pPr>
            <w:r w:rsidRPr="001570EA">
              <w:rPr>
                <w:i/>
              </w:rPr>
              <w:t>R</w:t>
            </w:r>
            <w:r w:rsidRPr="001570EA">
              <w:rPr>
                <w:i/>
                <w:vertAlign w:val="subscript"/>
              </w:rPr>
              <w:t>wall,ee</w:t>
            </w:r>
            <w:r w:rsidRPr="001570EA">
              <w:t xml:space="preserve">, </w:t>
            </w:r>
            <w:r w:rsidRPr="001570EA">
              <w:rPr>
                <w:rFonts w:cs="Arial"/>
              </w:rPr>
              <w:t>Assembly R-value of wall after retrofit</w:t>
            </w:r>
          </w:p>
        </w:tc>
        <w:tc>
          <w:tcPr>
            <w:tcW w:w="2503" w:type="pct"/>
          </w:tcPr>
          <w:p w14:paraId="5D7CB147" w14:textId="77777777" w:rsidR="00EA5BBF" w:rsidRPr="001570EA" w:rsidRDefault="00EA5BBF">
            <w:pPr>
              <w:pStyle w:val="TableCell"/>
              <w:keepNext w:val="0"/>
              <w:spacing w:before="60" w:after="60"/>
              <w:jc w:val="left"/>
              <w:rPr>
                <w:color w:val="000000"/>
                <w:vertAlign w:val="superscript"/>
              </w:rPr>
            </w:pPr>
            <w:r w:rsidRPr="001570EA">
              <w:t>Add R10 insulative wall sheathing beneath the new siding</w:t>
            </w:r>
          </w:p>
        </w:tc>
        <w:tc>
          <w:tcPr>
            <w:tcW w:w="662" w:type="pct"/>
            <w:vAlign w:val="center"/>
          </w:tcPr>
          <w:p w14:paraId="13A9E742" w14:textId="77777777" w:rsidR="00EA5BBF" w:rsidRPr="001570EA" w:rsidRDefault="00EA5BBF">
            <w:pPr>
              <w:pStyle w:val="TableCell"/>
              <w:keepNext w:val="0"/>
              <w:spacing w:before="60" w:after="60"/>
              <w:jc w:val="center"/>
              <w:rPr>
                <w:color w:val="000000"/>
              </w:rPr>
            </w:pPr>
            <w:r w:rsidRPr="001570EA">
              <w:rPr>
                <w:color w:val="000000"/>
              </w:rPr>
              <w:t>15</w:t>
            </w:r>
          </w:p>
        </w:tc>
        <w:tc>
          <w:tcPr>
            <w:tcW w:w="479" w:type="pct"/>
            <w:vAlign w:val="center"/>
          </w:tcPr>
          <w:p w14:paraId="7819891E" w14:textId="77777777" w:rsidR="00EA5BBF" w:rsidRPr="001570EA" w:rsidRDefault="00EA5BBF">
            <w:pPr>
              <w:pStyle w:val="TableCell"/>
              <w:keepNext w:val="0"/>
              <w:spacing w:before="60" w:after="60"/>
              <w:jc w:val="center"/>
              <w:rPr>
                <w:color w:val="000000"/>
              </w:rPr>
            </w:pPr>
            <w:r w:rsidRPr="001570EA">
              <w:rPr>
                <w:color w:val="000000"/>
              </w:rPr>
              <w:t>2</w:t>
            </w:r>
          </w:p>
        </w:tc>
      </w:tr>
      <w:tr w:rsidR="00EA5BBF" w:rsidRPr="001570EA" w14:paraId="276AAAB1" w14:textId="77777777">
        <w:trPr>
          <w:trHeight w:val="270"/>
        </w:trPr>
        <w:tc>
          <w:tcPr>
            <w:tcW w:w="1356" w:type="pct"/>
            <w:vMerge w:val="restart"/>
            <w:vAlign w:val="center"/>
          </w:tcPr>
          <w:p w14:paraId="66326E4B" w14:textId="77777777" w:rsidR="00EA5BBF" w:rsidRPr="001570EA" w:rsidRDefault="00EA5BBF">
            <w:pPr>
              <w:pStyle w:val="TableCell"/>
              <w:keepNext w:val="0"/>
              <w:spacing w:before="60" w:after="60"/>
              <w:jc w:val="left"/>
              <w:rPr>
                <w:i/>
              </w:rPr>
            </w:pPr>
            <w:r w:rsidRPr="001570EA">
              <w:rPr>
                <w:i/>
              </w:rPr>
              <w:t>R</w:t>
            </w:r>
            <w:r w:rsidRPr="001570EA">
              <w:rPr>
                <w:i/>
                <w:vertAlign w:val="subscript"/>
              </w:rPr>
              <w:t>floor,base</w:t>
            </w:r>
            <w:r w:rsidRPr="001570EA">
              <w:rPr>
                <w:i/>
              </w:rPr>
              <w:t xml:space="preserve">, </w:t>
            </w:r>
            <w:r w:rsidRPr="001570EA">
              <w:t>R-value of floor before retrofit</w:t>
            </w:r>
            <w:r w:rsidRPr="001570EA">
              <w:rPr>
                <w:i/>
              </w:rPr>
              <w:t xml:space="preserve"> </w:t>
            </w:r>
          </w:p>
        </w:tc>
        <w:tc>
          <w:tcPr>
            <w:tcW w:w="2503" w:type="pct"/>
          </w:tcPr>
          <w:p w14:paraId="37BE29C9" w14:textId="77777777" w:rsidR="00EA5BBF" w:rsidRPr="001570EA" w:rsidRDefault="00EA5BBF">
            <w:pPr>
              <w:pStyle w:val="TableCell"/>
              <w:keepNext w:val="0"/>
              <w:spacing w:before="60" w:after="60"/>
              <w:jc w:val="left"/>
            </w:pPr>
            <w:r w:rsidRPr="001570EA">
              <w:t>Thermal resistance of existing floor above crawlspace</w:t>
            </w:r>
          </w:p>
        </w:tc>
        <w:tc>
          <w:tcPr>
            <w:tcW w:w="662" w:type="pct"/>
            <w:vAlign w:val="center"/>
          </w:tcPr>
          <w:p w14:paraId="1555C523" w14:textId="77777777" w:rsidR="00EA5BBF" w:rsidRPr="001570EA" w:rsidRDefault="00EA5BBF">
            <w:pPr>
              <w:pStyle w:val="TableCell"/>
              <w:keepNext w:val="0"/>
              <w:spacing w:before="60" w:after="60"/>
              <w:jc w:val="center"/>
              <w:rPr>
                <w:color w:val="000000"/>
              </w:rPr>
            </w:pPr>
            <w:r w:rsidRPr="001570EA">
              <w:rPr>
                <w:color w:val="000000"/>
              </w:rPr>
              <w:t>4</w:t>
            </w:r>
          </w:p>
        </w:tc>
        <w:tc>
          <w:tcPr>
            <w:tcW w:w="479" w:type="pct"/>
            <w:vAlign w:val="center"/>
          </w:tcPr>
          <w:p w14:paraId="16787D46" w14:textId="77777777" w:rsidR="00EA5BBF" w:rsidRPr="001570EA" w:rsidDel="00A869AC" w:rsidRDefault="00EA5BBF">
            <w:pPr>
              <w:pStyle w:val="TableCell"/>
              <w:keepNext w:val="0"/>
              <w:spacing w:before="60" w:after="60"/>
              <w:jc w:val="center"/>
              <w:rPr>
                <w:color w:val="000000"/>
              </w:rPr>
            </w:pPr>
            <w:r w:rsidRPr="001570EA">
              <w:t>4, 5</w:t>
            </w:r>
          </w:p>
        </w:tc>
      </w:tr>
      <w:tr w:rsidR="00EA5BBF" w:rsidRPr="001570EA" w14:paraId="013D5BD5" w14:textId="77777777">
        <w:trPr>
          <w:trHeight w:val="270"/>
        </w:trPr>
        <w:tc>
          <w:tcPr>
            <w:tcW w:w="1356" w:type="pct"/>
            <w:vMerge/>
            <w:vAlign w:val="center"/>
          </w:tcPr>
          <w:p w14:paraId="42230DFC" w14:textId="77777777" w:rsidR="00EA5BBF" w:rsidRPr="001570EA" w:rsidRDefault="00EA5BBF">
            <w:pPr>
              <w:pStyle w:val="TableCell"/>
              <w:keepNext w:val="0"/>
              <w:spacing w:before="60" w:after="60"/>
              <w:jc w:val="left"/>
              <w:rPr>
                <w:i/>
              </w:rPr>
            </w:pPr>
          </w:p>
        </w:tc>
        <w:tc>
          <w:tcPr>
            <w:tcW w:w="2503" w:type="pct"/>
          </w:tcPr>
          <w:p w14:paraId="55DC538A" w14:textId="77777777" w:rsidR="00EA5BBF" w:rsidRPr="001570EA" w:rsidRDefault="00EA5BBF">
            <w:pPr>
              <w:pStyle w:val="TableCell"/>
              <w:keepNext w:val="0"/>
              <w:spacing w:before="60" w:after="60"/>
              <w:jc w:val="left"/>
            </w:pPr>
            <w:r w:rsidRPr="001570EA">
              <w:t>Default unknown: primarily uninsulated floors with some homes having fiberglass batts installed</w:t>
            </w:r>
          </w:p>
        </w:tc>
        <w:tc>
          <w:tcPr>
            <w:tcW w:w="662" w:type="pct"/>
            <w:vAlign w:val="center"/>
          </w:tcPr>
          <w:p w14:paraId="007DAA8E" w14:textId="77777777" w:rsidR="00EA5BBF" w:rsidRPr="001570EA" w:rsidDel="00A869AC" w:rsidRDefault="00EA5BBF">
            <w:pPr>
              <w:pStyle w:val="TableCell"/>
              <w:keepNext w:val="0"/>
              <w:spacing w:before="60" w:after="60"/>
              <w:jc w:val="center"/>
              <w:rPr>
                <w:color w:val="000000"/>
              </w:rPr>
            </w:pPr>
            <w:r w:rsidRPr="001570EA">
              <w:rPr>
                <w:color w:val="000000"/>
              </w:rPr>
              <w:t>6.9</w:t>
            </w:r>
          </w:p>
        </w:tc>
        <w:tc>
          <w:tcPr>
            <w:tcW w:w="479" w:type="pct"/>
            <w:vAlign w:val="center"/>
          </w:tcPr>
          <w:p w14:paraId="7004BFC2" w14:textId="77777777" w:rsidR="00EA5BBF" w:rsidRPr="001570EA" w:rsidRDefault="00EA5BBF">
            <w:pPr>
              <w:pStyle w:val="TableCell"/>
              <w:keepNext w:val="0"/>
              <w:spacing w:before="60" w:after="60"/>
              <w:jc w:val="center"/>
            </w:pPr>
            <w:r w:rsidRPr="001570EA">
              <w:t>9</w:t>
            </w:r>
          </w:p>
        </w:tc>
      </w:tr>
      <w:tr w:rsidR="00EA5BBF" w:rsidRPr="001570EA" w14:paraId="5A1D0158" w14:textId="77777777">
        <w:trPr>
          <w:trHeight w:val="270"/>
        </w:trPr>
        <w:tc>
          <w:tcPr>
            <w:tcW w:w="1356" w:type="pct"/>
            <w:vMerge w:val="restart"/>
            <w:vAlign w:val="center"/>
          </w:tcPr>
          <w:p w14:paraId="29F8BE0A" w14:textId="77777777" w:rsidR="00EA5BBF" w:rsidRPr="001570EA" w:rsidRDefault="00EA5BBF">
            <w:pPr>
              <w:pStyle w:val="TableCell"/>
              <w:keepNext w:val="0"/>
              <w:spacing w:before="60" w:after="60"/>
              <w:jc w:val="left"/>
              <w:rPr>
                <w:i/>
              </w:rPr>
            </w:pPr>
            <w:r w:rsidRPr="001570EA">
              <w:rPr>
                <w:i/>
              </w:rPr>
              <w:t>R</w:t>
            </w:r>
            <w:r w:rsidRPr="001570EA">
              <w:rPr>
                <w:i/>
                <w:vertAlign w:val="subscript"/>
              </w:rPr>
              <w:t>floor,ee</w:t>
            </w:r>
            <w:r w:rsidRPr="001570EA">
              <w:rPr>
                <w:i/>
              </w:rPr>
              <w:t xml:space="preserve">, </w:t>
            </w:r>
            <w:r w:rsidRPr="001570EA">
              <w:t>R-value of floor after retrofit</w:t>
            </w:r>
          </w:p>
        </w:tc>
        <w:tc>
          <w:tcPr>
            <w:tcW w:w="2503" w:type="pct"/>
          </w:tcPr>
          <w:p w14:paraId="469F604C" w14:textId="77777777" w:rsidR="00EA5BBF" w:rsidRPr="001570EA" w:rsidRDefault="00EA5BBF">
            <w:pPr>
              <w:pStyle w:val="TableCell"/>
              <w:keepNext w:val="0"/>
              <w:spacing w:before="60" w:after="60"/>
              <w:jc w:val="left"/>
            </w:pPr>
            <w:r w:rsidRPr="001570EA">
              <w:t>IECC climate zone 4</w:t>
            </w:r>
          </w:p>
        </w:tc>
        <w:tc>
          <w:tcPr>
            <w:tcW w:w="662" w:type="pct"/>
            <w:vAlign w:val="center"/>
          </w:tcPr>
          <w:p w14:paraId="6B3E20B5" w14:textId="77777777" w:rsidR="00EA5BBF" w:rsidRPr="001570EA" w:rsidRDefault="00EA5BBF">
            <w:pPr>
              <w:pStyle w:val="TableCell"/>
              <w:keepNext w:val="0"/>
              <w:spacing w:before="60" w:after="60"/>
              <w:jc w:val="center"/>
              <w:rPr>
                <w:color w:val="000000"/>
              </w:rPr>
            </w:pPr>
            <w:r w:rsidRPr="001570EA">
              <w:rPr>
                <w:color w:val="000000"/>
              </w:rPr>
              <w:t>19</w:t>
            </w:r>
          </w:p>
        </w:tc>
        <w:tc>
          <w:tcPr>
            <w:tcW w:w="479" w:type="pct"/>
            <w:vMerge w:val="restart"/>
            <w:vAlign w:val="center"/>
          </w:tcPr>
          <w:p w14:paraId="4979A0DC" w14:textId="77777777" w:rsidR="00EA5BBF" w:rsidRPr="001570EA" w:rsidRDefault="00EA5BBF">
            <w:pPr>
              <w:pStyle w:val="TableCell"/>
              <w:keepNext w:val="0"/>
              <w:spacing w:before="60" w:after="60"/>
              <w:jc w:val="center"/>
              <w:rPr>
                <w:color w:val="000000"/>
              </w:rPr>
            </w:pPr>
            <w:r w:rsidRPr="001570EA">
              <w:rPr>
                <w:color w:val="000000"/>
              </w:rPr>
              <w:t>2</w:t>
            </w:r>
          </w:p>
        </w:tc>
      </w:tr>
      <w:tr w:rsidR="00EA5BBF" w:rsidRPr="001570EA" w14:paraId="34535713" w14:textId="77777777">
        <w:trPr>
          <w:trHeight w:val="270"/>
        </w:trPr>
        <w:tc>
          <w:tcPr>
            <w:tcW w:w="1356" w:type="pct"/>
            <w:vMerge/>
            <w:vAlign w:val="center"/>
          </w:tcPr>
          <w:p w14:paraId="25C97C9D" w14:textId="77777777" w:rsidR="00EA5BBF" w:rsidRPr="001570EA" w:rsidRDefault="00EA5BBF">
            <w:pPr>
              <w:pStyle w:val="TableCell"/>
              <w:keepNext w:val="0"/>
              <w:spacing w:before="60" w:after="60"/>
              <w:jc w:val="left"/>
              <w:rPr>
                <w:i/>
              </w:rPr>
            </w:pPr>
          </w:p>
        </w:tc>
        <w:tc>
          <w:tcPr>
            <w:tcW w:w="2503" w:type="pct"/>
          </w:tcPr>
          <w:p w14:paraId="3DBE5F3D" w14:textId="77777777" w:rsidR="00EA5BBF" w:rsidRPr="001570EA" w:rsidDel="00B12F3E" w:rsidRDefault="00EA5BBF">
            <w:pPr>
              <w:pStyle w:val="TableCell"/>
              <w:keepNext w:val="0"/>
              <w:spacing w:before="60" w:after="60"/>
              <w:jc w:val="left"/>
            </w:pPr>
            <w:r w:rsidRPr="001570EA">
              <w:t>IECC climate zone 5</w:t>
            </w:r>
          </w:p>
        </w:tc>
        <w:tc>
          <w:tcPr>
            <w:tcW w:w="662" w:type="pct"/>
            <w:vAlign w:val="center"/>
          </w:tcPr>
          <w:p w14:paraId="4B587695" w14:textId="77777777" w:rsidR="00EA5BBF" w:rsidRPr="001570EA" w:rsidDel="003C24D1" w:rsidRDefault="00EA5BBF">
            <w:pPr>
              <w:pStyle w:val="TableCell"/>
              <w:keepNext w:val="0"/>
              <w:spacing w:before="60" w:after="60"/>
              <w:jc w:val="center"/>
              <w:rPr>
                <w:color w:val="000000"/>
              </w:rPr>
            </w:pPr>
            <w:r w:rsidRPr="001570EA">
              <w:rPr>
                <w:color w:val="000000"/>
              </w:rPr>
              <w:t>30</w:t>
            </w:r>
          </w:p>
        </w:tc>
        <w:tc>
          <w:tcPr>
            <w:tcW w:w="479" w:type="pct"/>
            <w:vMerge/>
            <w:vAlign w:val="center"/>
          </w:tcPr>
          <w:p w14:paraId="1BCA20A7" w14:textId="77777777" w:rsidR="00EA5BBF" w:rsidRPr="001570EA" w:rsidRDefault="00EA5BBF">
            <w:pPr>
              <w:pStyle w:val="TableCell"/>
              <w:keepNext w:val="0"/>
              <w:spacing w:before="60" w:after="60"/>
              <w:jc w:val="center"/>
              <w:rPr>
                <w:color w:val="000000"/>
              </w:rPr>
            </w:pPr>
          </w:p>
        </w:tc>
      </w:tr>
      <w:tr w:rsidR="00EA5BBF" w:rsidRPr="001570EA" w14:paraId="167EDE3F" w14:textId="77777777">
        <w:trPr>
          <w:trHeight w:val="278"/>
        </w:trPr>
        <w:tc>
          <w:tcPr>
            <w:tcW w:w="1356" w:type="pct"/>
            <w:vMerge w:val="restart"/>
            <w:vAlign w:val="center"/>
          </w:tcPr>
          <w:p w14:paraId="7C40346A" w14:textId="77777777" w:rsidR="00EA5BBF" w:rsidRPr="001570EA" w:rsidRDefault="003B5E04">
            <w:pPr>
              <w:pStyle w:val="TableCell"/>
              <w:keepNext w:val="0"/>
              <w:spacing w:before="60" w:after="60"/>
              <w:jc w:val="left"/>
              <w:rPr>
                <w:i/>
              </w:rPr>
            </w:pPr>
            <m:oMath>
              <m:sSub>
                <m:sSubPr>
                  <m:ctrlPr>
                    <w:rPr>
                      <w:rFonts w:ascii="Cambria Math" w:eastAsia="Calibri" w:hAnsi="Cambria Math" w:cs="Arial"/>
                      <w:i/>
                    </w:rPr>
                  </m:ctrlPr>
                </m:sSubPr>
                <m:e>
                  <m:r>
                    <w:rPr>
                      <w:rFonts w:ascii="Cambria Math" w:eastAsia="Calibri" w:hAnsi="Cambria Math" w:cs="Arial"/>
                    </w:rPr>
                    <m:t>R</m:t>
                  </m:r>
                </m:e>
                <m:sub>
                  <m:r>
                    <w:rPr>
                      <w:rFonts w:ascii="Cambria Math" w:eastAsia="Calibri" w:hAnsi="Cambria Math" w:cs="Arial"/>
                    </w:rPr>
                    <m:t>rimjoist,base</m:t>
                  </m:r>
                </m:sub>
              </m:sSub>
            </m:oMath>
            <w:r w:rsidR="00EA5BBF" w:rsidRPr="001570EA">
              <w:t>, R-value of rim joist before retrofit</w:t>
            </w:r>
          </w:p>
        </w:tc>
        <w:tc>
          <w:tcPr>
            <w:tcW w:w="2503" w:type="pct"/>
            <w:vAlign w:val="center"/>
          </w:tcPr>
          <w:p w14:paraId="4627AF68" w14:textId="77777777" w:rsidR="00EA5BBF" w:rsidRPr="001570EA" w:rsidRDefault="00EA5BBF">
            <w:pPr>
              <w:pStyle w:val="TableCell"/>
              <w:keepNext w:val="0"/>
              <w:spacing w:before="60" w:after="60"/>
              <w:jc w:val="left"/>
            </w:pPr>
            <w:r w:rsidRPr="001570EA">
              <w:rPr>
                <w:rFonts w:cs="Arial"/>
              </w:rPr>
              <w:t>Thermal resistance of existing rim joist</w:t>
            </w:r>
          </w:p>
        </w:tc>
        <w:tc>
          <w:tcPr>
            <w:tcW w:w="662" w:type="pct"/>
            <w:vAlign w:val="center"/>
          </w:tcPr>
          <w:p w14:paraId="7B810E02" w14:textId="77777777" w:rsidR="00EA5BBF" w:rsidRPr="001570EA" w:rsidRDefault="00EA5BBF">
            <w:pPr>
              <w:pStyle w:val="TableCell"/>
              <w:keepNext w:val="0"/>
              <w:spacing w:before="60" w:after="60"/>
              <w:jc w:val="center"/>
              <w:rPr>
                <w:color w:val="000000"/>
              </w:rPr>
            </w:pPr>
            <w:r w:rsidRPr="001570EA">
              <w:rPr>
                <w:color w:val="000000"/>
              </w:rPr>
              <w:t>2.5</w:t>
            </w:r>
          </w:p>
        </w:tc>
        <w:tc>
          <w:tcPr>
            <w:tcW w:w="479" w:type="pct"/>
            <w:vAlign w:val="center"/>
          </w:tcPr>
          <w:p w14:paraId="21034BC7" w14:textId="77777777" w:rsidR="00EA5BBF" w:rsidRPr="001570EA" w:rsidRDefault="00EA5BBF">
            <w:pPr>
              <w:pStyle w:val="TableCell"/>
              <w:keepNext w:val="0"/>
              <w:spacing w:before="60" w:after="60"/>
              <w:jc w:val="center"/>
              <w:rPr>
                <w:color w:val="000000"/>
              </w:rPr>
            </w:pPr>
            <w:r w:rsidRPr="001570EA">
              <w:t>4, 5</w:t>
            </w:r>
          </w:p>
        </w:tc>
      </w:tr>
      <w:tr w:rsidR="00EA5BBF" w:rsidRPr="001570EA" w14:paraId="33EFA793" w14:textId="77777777">
        <w:trPr>
          <w:trHeight w:val="277"/>
        </w:trPr>
        <w:tc>
          <w:tcPr>
            <w:tcW w:w="1356" w:type="pct"/>
            <w:vMerge/>
            <w:vAlign w:val="center"/>
          </w:tcPr>
          <w:p w14:paraId="1C20DF45" w14:textId="77777777" w:rsidR="00EA5BBF" w:rsidRPr="001570EA" w:rsidRDefault="00EA5BBF">
            <w:pPr>
              <w:pStyle w:val="TableCell"/>
              <w:keepNext w:val="0"/>
              <w:spacing w:before="60" w:after="60"/>
              <w:jc w:val="left"/>
            </w:pPr>
          </w:p>
        </w:tc>
        <w:tc>
          <w:tcPr>
            <w:tcW w:w="2503" w:type="pct"/>
            <w:vAlign w:val="center"/>
          </w:tcPr>
          <w:p w14:paraId="34221F60" w14:textId="77777777" w:rsidR="00EA5BBF" w:rsidRPr="001570EA" w:rsidDel="00304374" w:rsidRDefault="00EA5BBF">
            <w:pPr>
              <w:pStyle w:val="TableCell"/>
              <w:keepNext w:val="0"/>
              <w:spacing w:before="60" w:after="60"/>
              <w:jc w:val="left"/>
              <w:rPr>
                <w:rFonts w:cs="Arial"/>
              </w:rPr>
            </w:pPr>
            <w:r w:rsidRPr="001570EA">
              <w:rPr>
                <w:rFonts w:cs="Arial"/>
              </w:rPr>
              <w:t>Default unknown: mix of uninsulated and insulated homes. Insulation primarily fiberglass batt type.</w:t>
            </w:r>
          </w:p>
        </w:tc>
        <w:tc>
          <w:tcPr>
            <w:tcW w:w="662" w:type="pct"/>
            <w:vAlign w:val="center"/>
          </w:tcPr>
          <w:p w14:paraId="1C1A8064" w14:textId="77777777" w:rsidR="00EA5BBF" w:rsidRPr="001570EA" w:rsidRDefault="00EA5BBF">
            <w:pPr>
              <w:pStyle w:val="TableCell"/>
              <w:keepNext w:val="0"/>
              <w:spacing w:before="60" w:after="60"/>
              <w:jc w:val="center"/>
              <w:rPr>
                <w:color w:val="000000"/>
              </w:rPr>
            </w:pPr>
            <w:r w:rsidRPr="001570EA">
              <w:rPr>
                <w:color w:val="000000"/>
              </w:rPr>
              <w:t>7.4</w:t>
            </w:r>
          </w:p>
        </w:tc>
        <w:tc>
          <w:tcPr>
            <w:tcW w:w="479" w:type="pct"/>
            <w:vAlign w:val="center"/>
          </w:tcPr>
          <w:p w14:paraId="3FBC3FFD" w14:textId="77777777" w:rsidR="00EA5BBF" w:rsidRPr="001570EA" w:rsidRDefault="00EA5BBF">
            <w:pPr>
              <w:pStyle w:val="TableCell"/>
              <w:keepNext w:val="0"/>
              <w:spacing w:before="60" w:after="60"/>
              <w:jc w:val="center"/>
            </w:pPr>
            <w:r w:rsidRPr="001570EA">
              <w:t>10</w:t>
            </w:r>
          </w:p>
        </w:tc>
      </w:tr>
      <w:tr w:rsidR="00EA5BBF" w:rsidRPr="001570EA" w14:paraId="23961499" w14:textId="77777777">
        <w:trPr>
          <w:trHeight w:val="503"/>
        </w:trPr>
        <w:tc>
          <w:tcPr>
            <w:tcW w:w="1356" w:type="pct"/>
            <w:vMerge w:val="restart"/>
            <w:vAlign w:val="center"/>
          </w:tcPr>
          <w:p w14:paraId="0BFC8401" w14:textId="77777777" w:rsidR="00EA5BBF" w:rsidRPr="001570EA" w:rsidRDefault="003B5E04">
            <w:pPr>
              <w:pStyle w:val="TableCell"/>
              <w:keepNext w:val="0"/>
              <w:spacing w:before="60" w:after="60"/>
              <w:jc w:val="left"/>
              <w:rPr>
                <w:i/>
              </w:rPr>
            </w:pPr>
            <m:oMath>
              <m:sSub>
                <m:sSubPr>
                  <m:ctrlPr>
                    <w:rPr>
                      <w:rFonts w:ascii="Cambria Math" w:eastAsia="Calibri" w:hAnsi="Cambria Math" w:cs="Arial"/>
                      <w:i/>
                    </w:rPr>
                  </m:ctrlPr>
                </m:sSubPr>
                <m:e>
                  <m:r>
                    <w:rPr>
                      <w:rFonts w:ascii="Cambria Math" w:eastAsia="Calibri" w:hAnsi="Cambria Math" w:cs="Arial"/>
                    </w:rPr>
                    <m:t>R</m:t>
                  </m:r>
                </m:e>
                <m:sub>
                  <m:r>
                    <w:rPr>
                      <w:rFonts w:ascii="Cambria Math" w:eastAsia="Calibri" w:hAnsi="Cambria Math" w:cs="Arial"/>
                    </w:rPr>
                    <m:t>rim joist, ee</m:t>
                  </m:r>
                </m:sub>
              </m:sSub>
            </m:oMath>
            <w:r w:rsidR="00EA5BBF" w:rsidRPr="001570EA">
              <w:rPr>
                <w:rFonts w:cs="Calibri"/>
              </w:rPr>
              <w:t xml:space="preserve">, </w:t>
            </w:r>
            <w:r w:rsidR="00EA5BBF" w:rsidRPr="001570EA">
              <w:t>R-value of rim joist after retrofit</w:t>
            </w:r>
          </w:p>
        </w:tc>
        <w:tc>
          <w:tcPr>
            <w:tcW w:w="2503" w:type="pct"/>
          </w:tcPr>
          <w:p w14:paraId="7160C66B" w14:textId="77777777" w:rsidR="00EA5BBF" w:rsidRPr="001570EA" w:rsidRDefault="00EA5BBF">
            <w:pPr>
              <w:pStyle w:val="TableCell"/>
              <w:keepNext w:val="0"/>
              <w:spacing w:before="60" w:after="60"/>
              <w:jc w:val="left"/>
            </w:pPr>
            <w:r w:rsidRPr="001570EA">
              <w:t>IECC climate zone 4: Add R10 insulative wall sheathing or R13 batt</w:t>
            </w:r>
          </w:p>
        </w:tc>
        <w:tc>
          <w:tcPr>
            <w:tcW w:w="662" w:type="pct"/>
            <w:vAlign w:val="center"/>
          </w:tcPr>
          <w:p w14:paraId="28A8EF95" w14:textId="77777777" w:rsidR="00EA5BBF" w:rsidRPr="001570EA" w:rsidRDefault="00EA5BBF">
            <w:pPr>
              <w:pStyle w:val="TableCell"/>
              <w:keepNext w:val="0"/>
              <w:spacing w:before="60" w:after="60"/>
              <w:jc w:val="center"/>
              <w:rPr>
                <w:color w:val="000000"/>
              </w:rPr>
            </w:pPr>
            <w:r w:rsidRPr="001570EA">
              <w:rPr>
                <w:color w:val="000000"/>
              </w:rPr>
              <w:t>12.5</w:t>
            </w:r>
          </w:p>
        </w:tc>
        <w:tc>
          <w:tcPr>
            <w:tcW w:w="479" w:type="pct"/>
            <w:vMerge w:val="restart"/>
            <w:vAlign w:val="center"/>
          </w:tcPr>
          <w:p w14:paraId="73FBF294" w14:textId="77777777" w:rsidR="00EA5BBF" w:rsidRPr="001570EA" w:rsidRDefault="00EA5BBF">
            <w:pPr>
              <w:pStyle w:val="TableCell"/>
              <w:keepNext w:val="0"/>
              <w:spacing w:before="60" w:after="60"/>
              <w:jc w:val="center"/>
              <w:rPr>
                <w:color w:val="000000"/>
              </w:rPr>
            </w:pPr>
            <w:r w:rsidRPr="001570EA">
              <w:rPr>
                <w:color w:val="000000"/>
              </w:rPr>
              <w:t>2</w:t>
            </w:r>
          </w:p>
        </w:tc>
      </w:tr>
      <w:tr w:rsidR="00EA5BBF" w:rsidRPr="001570EA" w14:paraId="1EC5117F" w14:textId="77777777">
        <w:trPr>
          <w:trHeight w:val="270"/>
        </w:trPr>
        <w:tc>
          <w:tcPr>
            <w:tcW w:w="1356" w:type="pct"/>
            <w:vMerge/>
            <w:vAlign w:val="center"/>
          </w:tcPr>
          <w:p w14:paraId="4FA0FCBC" w14:textId="77777777" w:rsidR="00EA5BBF" w:rsidRPr="001570EA" w:rsidRDefault="00EA5BBF">
            <w:pPr>
              <w:pStyle w:val="TableCell"/>
              <w:keepNext w:val="0"/>
              <w:spacing w:before="60" w:after="60"/>
              <w:jc w:val="left"/>
            </w:pPr>
          </w:p>
        </w:tc>
        <w:tc>
          <w:tcPr>
            <w:tcW w:w="2503" w:type="pct"/>
          </w:tcPr>
          <w:p w14:paraId="6E0C9940" w14:textId="77777777" w:rsidR="00EA5BBF" w:rsidRPr="001570EA" w:rsidRDefault="00EA5BBF">
            <w:pPr>
              <w:pStyle w:val="TableCell"/>
              <w:keepNext w:val="0"/>
              <w:spacing w:before="60" w:after="60"/>
              <w:jc w:val="left"/>
            </w:pPr>
            <w:r w:rsidRPr="001570EA">
              <w:t>IECC climate zone 5: Add R15 insulative wall sheathing or R19 batt</w:t>
            </w:r>
          </w:p>
        </w:tc>
        <w:tc>
          <w:tcPr>
            <w:tcW w:w="662" w:type="pct"/>
            <w:vAlign w:val="center"/>
          </w:tcPr>
          <w:p w14:paraId="74602E19" w14:textId="77777777" w:rsidR="00EA5BBF" w:rsidRPr="001570EA" w:rsidRDefault="00EA5BBF">
            <w:pPr>
              <w:pStyle w:val="TableCell"/>
              <w:keepNext w:val="0"/>
              <w:spacing w:before="60" w:after="60"/>
              <w:jc w:val="center"/>
              <w:rPr>
                <w:color w:val="000000"/>
              </w:rPr>
            </w:pPr>
            <w:r w:rsidRPr="001570EA">
              <w:rPr>
                <w:color w:val="000000"/>
              </w:rPr>
              <w:t>17.5</w:t>
            </w:r>
          </w:p>
        </w:tc>
        <w:tc>
          <w:tcPr>
            <w:tcW w:w="479" w:type="pct"/>
            <w:vMerge/>
            <w:vAlign w:val="center"/>
          </w:tcPr>
          <w:p w14:paraId="28D56D0B" w14:textId="77777777" w:rsidR="00EA5BBF" w:rsidRPr="001570EA" w:rsidRDefault="00EA5BBF">
            <w:pPr>
              <w:pStyle w:val="TableCell"/>
              <w:keepNext w:val="0"/>
              <w:spacing w:before="60" w:after="60"/>
              <w:jc w:val="center"/>
              <w:rPr>
                <w:color w:val="000000"/>
              </w:rPr>
            </w:pPr>
          </w:p>
        </w:tc>
      </w:tr>
    </w:tbl>
    <w:p w14:paraId="093CE817" w14:textId="77777777" w:rsidR="00EA5BBF" w:rsidRPr="001570EA" w:rsidRDefault="00EA5BBF" w:rsidP="00EA5BBF"/>
    <w:p w14:paraId="289933E9" w14:textId="4A29D93B" w:rsidR="00EA5BBF" w:rsidRPr="001570EA" w:rsidRDefault="00EA5BBF" w:rsidP="00EA5BBF">
      <w:pPr>
        <w:pStyle w:val="Caption"/>
      </w:pPr>
      <w:bookmarkStart w:id="1182" w:name="_Ref15108608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146</w:t>
      </w:r>
      <w:r w:rsidR="002E093A" w:rsidRPr="001570EA">
        <w:fldChar w:fldCharType="end"/>
      </w:r>
      <w:bookmarkEnd w:id="1182"/>
      <w:r w:rsidRPr="001570EA">
        <w:t>: New Construction Baseline R-Values (2021 IECC)</w:t>
      </w:r>
    </w:p>
    <w:tbl>
      <w:tblPr>
        <w:tblpPr w:leftFromText="187" w:rightFromText="187"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13"/>
        <w:gridCol w:w="2237"/>
        <w:gridCol w:w="1641"/>
        <w:gridCol w:w="1640"/>
      </w:tblGrid>
      <w:tr w:rsidR="00EA5BBF" w:rsidRPr="001570EA" w14:paraId="521961C1" w14:textId="77777777">
        <w:trPr>
          <w:cantSplit/>
          <w:tblHeader/>
        </w:trPr>
        <w:tc>
          <w:tcPr>
            <w:tcW w:w="1100" w:type="pct"/>
            <w:shd w:val="clear" w:color="auto" w:fill="BFBFBF"/>
          </w:tcPr>
          <w:p w14:paraId="18693D40" w14:textId="77777777" w:rsidR="00EA5BBF" w:rsidRPr="001570EA" w:rsidRDefault="00EA5BBF">
            <w:pPr>
              <w:pStyle w:val="TableCell"/>
              <w:spacing w:beforeLines="40" w:before="96" w:afterLines="40" w:after="96"/>
              <w:jc w:val="left"/>
              <w:rPr>
                <w:b/>
              </w:rPr>
            </w:pPr>
            <w:r w:rsidRPr="001570EA">
              <w:rPr>
                <w:b/>
              </w:rPr>
              <w:t>IECC Climate Zone</w:t>
            </w:r>
          </w:p>
        </w:tc>
        <w:tc>
          <w:tcPr>
            <w:tcW w:w="703" w:type="pct"/>
            <w:shd w:val="clear" w:color="auto" w:fill="BFBFBF"/>
          </w:tcPr>
          <w:p w14:paraId="185F89CB" w14:textId="77777777" w:rsidR="00EA5BBF" w:rsidRPr="001570EA" w:rsidRDefault="00EA5BBF">
            <w:pPr>
              <w:pStyle w:val="TableCell"/>
              <w:spacing w:beforeLines="40" w:before="96" w:afterLines="40" w:after="96"/>
              <w:jc w:val="left"/>
              <w:rPr>
                <w:b/>
                <w:bCs/>
                <w:iCs/>
              </w:rPr>
            </w:pPr>
            <w:r w:rsidRPr="001570EA">
              <w:rPr>
                <w:b/>
                <w:bCs/>
                <w:iCs/>
              </w:rPr>
              <w:t>Ceiling R-Value</w:t>
            </w:r>
          </w:p>
        </w:tc>
        <w:tc>
          <w:tcPr>
            <w:tcW w:w="1296" w:type="pct"/>
            <w:shd w:val="clear" w:color="auto" w:fill="BFBFBF"/>
          </w:tcPr>
          <w:p w14:paraId="24360228" w14:textId="77777777" w:rsidR="00EA5BBF" w:rsidRPr="001570EA" w:rsidRDefault="00EA5BBF">
            <w:pPr>
              <w:pStyle w:val="TableCell"/>
              <w:spacing w:beforeLines="40" w:before="96" w:afterLines="40" w:after="96"/>
              <w:jc w:val="left"/>
              <w:rPr>
                <w:b/>
                <w:bCs/>
                <w:iCs/>
              </w:rPr>
            </w:pPr>
            <w:r w:rsidRPr="001570EA">
              <w:rPr>
                <w:b/>
                <w:bCs/>
                <w:iCs/>
              </w:rPr>
              <w:t xml:space="preserve">Wood Frame Wall R-Value </w:t>
            </w:r>
          </w:p>
        </w:tc>
        <w:tc>
          <w:tcPr>
            <w:tcW w:w="951" w:type="pct"/>
            <w:shd w:val="clear" w:color="auto" w:fill="BFBFBF"/>
          </w:tcPr>
          <w:p w14:paraId="46FD8CB7" w14:textId="77777777" w:rsidR="00EA5BBF" w:rsidRPr="001570EA" w:rsidRDefault="00EA5BBF">
            <w:pPr>
              <w:pStyle w:val="TableCell"/>
              <w:spacing w:beforeLines="40" w:before="96" w:afterLines="40" w:after="96"/>
              <w:jc w:val="left"/>
              <w:rPr>
                <w:b/>
                <w:bCs/>
                <w:iCs/>
              </w:rPr>
            </w:pPr>
            <w:r w:rsidRPr="001570EA">
              <w:rPr>
                <w:b/>
                <w:bCs/>
                <w:iCs/>
              </w:rPr>
              <w:t>Floor R-Value</w:t>
            </w:r>
          </w:p>
        </w:tc>
        <w:tc>
          <w:tcPr>
            <w:tcW w:w="950" w:type="pct"/>
            <w:shd w:val="clear" w:color="auto" w:fill="BFBFBF"/>
          </w:tcPr>
          <w:p w14:paraId="080C11F4" w14:textId="77777777" w:rsidR="00EA5BBF" w:rsidRPr="001570EA" w:rsidRDefault="00EA5BBF">
            <w:pPr>
              <w:pStyle w:val="TableCell"/>
              <w:spacing w:beforeLines="40" w:before="96" w:afterLines="40" w:after="96"/>
              <w:jc w:val="left"/>
              <w:rPr>
                <w:b/>
                <w:bCs/>
                <w:iCs/>
              </w:rPr>
            </w:pPr>
            <w:r w:rsidRPr="001570EA">
              <w:rPr>
                <w:b/>
                <w:bCs/>
                <w:iCs/>
              </w:rPr>
              <w:t xml:space="preserve">Rim Joist R-Value </w:t>
            </w:r>
          </w:p>
        </w:tc>
      </w:tr>
      <w:tr w:rsidR="00EA5BBF" w:rsidRPr="001570EA" w14:paraId="097E82BD" w14:textId="77777777">
        <w:trPr>
          <w:cantSplit/>
        </w:trPr>
        <w:tc>
          <w:tcPr>
            <w:tcW w:w="1100" w:type="pct"/>
            <w:shd w:val="clear" w:color="auto" w:fill="auto"/>
            <w:vAlign w:val="center"/>
          </w:tcPr>
          <w:p w14:paraId="32C81815" w14:textId="77777777" w:rsidR="00EA5BBF" w:rsidRPr="001570EA" w:rsidRDefault="00EA5BBF">
            <w:pPr>
              <w:pStyle w:val="TableCell"/>
              <w:spacing w:beforeLines="40" w:before="96" w:afterLines="40" w:after="96"/>
              <w:jc w:val="center"/>
            </w:pPr>
            <w:r w:rsidRPr="001570EA">
              <w:t>4</w:t>
            </w:r>
          </w:p>
        </w:tc>
        <w:tc>
          <w:tcPr>
            <w:tcW w:w="703" w:type="pct"/>
            <w:vMerge w:val="restart"/>
            <w:vAlign w:val="center"/>
          </w:tcPr>
          <w:p w14:paraId="4150B7D8" w14:textId="77777777" w:rsidR="00EA5BBF" w:rsidRPr="001570EA" w:rsidRDefault="00EA5BBF">
            <w:pPr>
              <w:pStyle w:val="TableCell"/>
              <w:spacing w:beforeLines="40" w:before="96" w:afterLines="40" w:after="96"/>
              <w:jc w:val="center"/>
              <w:rPr>
                <w:rFonts w:eastAsia="Arial Unicode MS"/>
                <w:iCs/>
              </w:rPr>
            </w:pPr>
            <w:r w:rsidRPr="001570EA">
              <w:rPr>
                <w:rFonts w:eastAsia="Arial Unicode MS"/>
                <w:iCs/>
              </w:rPr>
              <w:t>60</w:t>
            </w:r>
          </w:p>
        </w:tc>
        <w:tc>
          <w:tcPr>
            <w:tcW w:w="1296" w:type="pct"/>
            <w:vMerge w:val="restart"/>
            <w:shd w:val="clear" w:color="auto" w:fill="auto"/>
            <w:vAlign w:val="center"/>
          </w:tcPr>
          <w:p w14:paraId="50A9A79E" w14:textId="77777777" w:rsidR="00EA5BBF" w:rsidRPr="001570EA" w:rsidRDefault="00EA5BBF">
            <w:pPr>
              <w:pStyle w:val="TableCell"/>
              <w:spacing w:beforeLines="40" w:before="96" w:afterLines="40" w:after="96"/>
              <w:jc w:val="center"/>
              <w:rPr>
                <w:rFonts w:eastAsia="Arial Unicode MS"/>
                <w:iCs/>
                <w:lang w:val="fr-FR"/>
              </w:rPr>
            </w:pPr>
            <w:r w:rsidRPr="001570EA">
              <w:rPr>
                <w:rFonts w:eastAsia="Arial Unicode MS"/>
                <w:iCs/>
                <w:lang w:val="fr-FR"/>
              </w:rPr>
              <w:t xml:space="preserve">30 or </w:t>
            </w:r>
          </w:p>
          <w:p w14:paraId="1790438C" w14:textId="77777777" w:rsidR="00EA5BBF" w:rsidRPr="001570EA" w:rsidRDefault="00EA5BBF">
            <w:pPr>
              <w:pStyle w:val="TableCell"/>
              <w:spacing w:beforeLines="40" w:before="96" w:afterLines="40" w:after="96"/>
              <w:jc w:val="center"/>
              <w:rPr>
                <w:rFonts w:eastAsia="Arial Unicode MS"/>
                <w:iCs/>
                <w:lang w:val="fr-FR"/>
              </w:rPr>
            </w:pPr>
            <w:r w:rsidRPr="001570EA">
              <w:rPr>
                <w:rFonts w:eastAsia="Arial Unicode MS"/>
                <w:iCs/>
                <w:lang w:val="fr-FR"/>
              </w:rPr>
              <w:t xml:space="preserve">20&amp;5ci or </w:t>
            </w:r>
          </w:p>
          <w:p w14:paraId="147C21F6" w14:textId="77777777" w:rsidR="00EA5BBF" w:rsidRPr="001570EA" w:rsidRDefault="00EA5BBF">
            <w:pPr>
              <w:pStyle w:val="TableCell"/>
              <w:spacing w:beforeLines="40" w:before="96" w:afterLines="40" w:after="96"/>
              <w:jc w:val="center"/>
              <w:rPr>
                <w:rFonts w:eastAsia="Arial Unicode MS"/>
                <w:iCs/>
                <w:lang w:val="fr-FR"/>
              </w:rPr>
            </w:pPr>
            <w:r w:rsidRPr="001570EA">
              <w:rPr>
                <w:rFonts w:eastAsia="Arial Unicode MS"/>
                <w:iCs/>
                <w:lang w:val="fr-FR"/>
              </w:rPr>
              <w:t xml:space="preserve">13&amp;10ci or </w:t>
            </w:r>
          </w:p>
          <w:p w14:paraId="792F9482" w14:textId="77777777" w:rsidR="00EA5BBF" w:rsidRPr="001570EA" w:rsidRDefault="00EA5BBF">
            <w:pPr>
              <w:pStyle w:val="TableCell"/>
              <w:spacing w:beforeLines="40" w:before="96" w:afterLines="40" w:after="96"/>
              <w:jc w:val="center"/>
              <w:rPr>
                <w:iCs/>
                <w:lang w:val="fr-FR"/>
              </w:rPr>
            </w:pPr>
            <w:r w:rsidRPr="001570EA">
              <w:rPr>
                <w:rFonts w:eastAsia="Arial Unicode MS"/>
                <w:iCs/>
                <w:lang w:val="fr-FR"/>
              </w:rPr>
              <w:t>0&amp;20ci</w:t>
            </w:r>
          </w:p>
        </w:tc>
        <w:tc>
          <w:tcPr>
            <w:tcW w:w="951" w:type="pct"/>
            <w:vAlign w:val="center"/>
          </w:tcPr>
          <w:p w14:paraId="31613DA2" w14:textId="77777777" w:rsidR="00EA5BBF" w:rsidRPr="001570EA" w:rsidRDefault="00EA5BBF">
            <w:pPr>
              <w:pStyle w:val="TableCell"/>
              <w:spacing w:beforeLines="40" w:before="96" w:afterLines="40" w:after="96"/>
              <w:jc w:val="center"/>
              <w:rPr>
                <w:iCs/>
              </w:rPr>
            </w:pPr>
            <w:r w:rsidRPr="001570EA">
              <w:rPr>
                <w:iCs/>
              </w:rPr>
              <w:t>19</w:t>
            </w:r>
          </w:p>
        </w:tc>
        <w:tc>
          <w:tcPr>
            <w:tcW w:w="950" w:type="pct"/>
          </w:tcPr>
          <w:p w14:paraId="7A8633CF" w14:textId="77777777" w:rsidR="00EA5BBF" w:rsidRPr="001570EA" w:rsidRDefault="00EA5BBF">
            <w:pPr>
              <w:pStyle w:val="TableCell"/>
              <w:spacing w:beforeLines="40" w:before="96" w:afterLines="40" w:after="96"/>
              <w:jc w:val="center"/>
              <w:rPr>
                <w:iCs/>
              </w:rPr>
            </w:pPr>
            <w:r w:rsidRPr="001570EA">
              <w:rPr>
                <w:iCs/>
              </w:rPr>
              <w:t>10ci or 13</w:t>
            </w:r>
          </w:p>
        </w:tc>
      </w:tr>
      <w:tr w:rsidR="00EA5BBF" w:rsidRPr="001570EA" w14:paraId="45368734" w14:textId="77777777">
        <w:trPr>
          <w:cantSplit/>
        </w:trPr>
        <w:tc>
          <w:tcPr>
            <w:tcW w:w="1100" w:type="pct"/>
            <w:shd w:val="clear" w:color="auto" w:fill="auto"/>
            <w:vAlign w:val="center"/>
          </w:tcPr>
          <w:p w14:paraId="556A4DEC" w14:textId="77777777" w:rsidR="00EA5BBF" w:rsidRPr="001570EA" w:rsidRDefault="00EA5BBF">
            <w:pPr>
              <w:pStyle w:val="TableCell"/>
              <w:spacing w:beforeLines="40" w:before="96" w:afterLines="40" w:after="96"/>
              <w:jc w:val="center"/>
            </w:pPr>
            <w:r w:rsidRPr="001570EA">
              <w:t>5</w:t>
            </w:r>
          </w:p>
        </w:tc>
        <w:tc>
          <w:tcPr>
            <w:tcW w:w="703" w:type="pct"/>
            <w:vMerge/>
          </w:tcPr>
          <w:p w14:paraId="6A3C3897" w14:textId="77777777" w:rsidR="00EA5BBF" w:rsidRPr="001570EA" w:rsidRDefault="00EA5BBF">
            <w:pPr>
              <w:pStyle w:val="TableCell"/>
              <w:spacing w:beforeLines="40" w:before="96" w:afterLines="40" w:after="96"/>
              <w:jc w:val="center"/>
              <w:rPr>
                <w:rFonts w:eastAsia="Arial Unicode MS"/>
                <w:iCs/>
              </w:rPr>
            </w:pPr>
          </w:p>
        </w:tc>
        <w:tc>
          <w:tcPr>
            <w:tcW w:w="1296" w:type="pct"/>
            <w:vMerge/>
            <w:shd w:val="clear" w:color="auto" w:fill="auto"/>
          </w:tcPr>
          <w:p w14:paraId="2353DB3D" w14:textId="77777777" w:rsidR="00EA5BBF" w:rsidRPr="001570EA" w:rsidRDefault="00EA5BBF">
            <w:pPr>
              <w:pStyle w:val="TableCell"/>
              <w:spacing w:beforeLines="40" w:before="96" w:afterLines="40" w:after="96"/>
              <w:jc w:val="center"/>
              <w:rPr>
                <w:iCs/>
              </w:rPr>
            </w:pPr>
          </w:p>
        </w:tc>
        <w:tc>
          <w:tcPr>
            <w:tcW w:w="951" w:type="pct"/>
            <w:vAlign w:val="center"/>
          </w:tcPr>
          <w:p w14:paraId="630E7997" w14:textId="77777777" w:rsidR="00EA5BBF" w:rsidRPr="001570EA" w:rsidRDefault="00EA5BBF">
            <w:pPr>
              <w:pStyle w:val="TableCell"/>
              <w:spacing w:beforeLines="40" w:before="96" w:afterLines="40" w:after="96"/>
              <w:jc w:val="center"/>
              <w:rPr>
                <w:iCs/>
              </w:rPr>
            </w:pPr>
            <w:r w:rsidRPr="001570EA">
              <w:rPr>
                <w:iCs/>
              </w:rPr>
              <w:t>30</w:t>
            </w:r>
          </w:p>
        </w:tc>
        <w:tc>
          <w:tcPr>
            <w:tcW w:w="950" w:type="pct"/>
          </w:tcPr>
          <w:p w14:paraId="3D5B8C2B" w14:textId="77777777" w:rsidR="00EA5BBF" w:rsidRPr="001570EA" w:rsidRDefault="00EA5BBF">
            <w:pPr>
              <w:pStyle w:val="TableCell"/>
              <w:spacing w:beforeLines="40" w:before="96" w:afterLines="40" w:after="96"/>
              <w:jc w:val="center"/>
              <w:rPr>
                <w:iCs/>
              </w:rPr>
            </w:pPr>
            <w:r w:rsidRPr="001570EA">
              <w:rPr>
                <w:iCs/>
              </w:rPr>
              <w:t xml:space="preserve">15ci or </w:t>
            </w:r>
          </w:p>
          <w:p w14:paraId="7C1D2030" w14:textId="77777777" w:rsidR="00EA5BBF" w:rsidRPr="001570EA" w:rsidRDefault="00EA5BBF">
            <w:pPr>
              <w:pStyle w:val="TableCell"/>
              <w:spacing w:beforeLines="40" w:before="96" w:afterLines="40" w:after="96"/>
              <w:jc w:val="center"/>
              <w:rPr>
                <w:iCs/>
              </w:rPr>
            </w:pPr>
            <w:r w:rsidRPr="001570EA">
              <w:rPr>
                <w:iCs/>
              </w:rPr>
              <w:t xml:space="preserve">19 or </w:t>
            </w:r>
          </w:p>
          <w:p w14:paraId="0468D816" w14:textId="77777777" w:rsidR="00EA5BBF" w:rsidRPr="001570EA" w:rsidRDefault="00EA5BBF">
            <w:pPr>
              <w:pStyle w:val="TableCell"/>
              <w:spacing w:beforeLines="40" w:before="96" w:afterLines="40" w:after="96"/>
              <w:jc w:val="center"/>
              <w:rPr>
                <w:iCs/>
              </w:rPr>
            </w:pPr>
            <w:r w:rsidRPr="001570EA">
              <w:rPr>
                <w:iCs/>
              </w:rPr>
              <w:t>13&amp;5ci</w:t>
            </w:r>
          </w:p>
        </w:tc>
      </w:tr>
    </w:tbl>
    <w:p w14:paraId="57EDAD1B" w14:textId="77777777" w:rsidR="00EA5BBF" w:rsidRPr="001570EA" w:rsidRDefault="00EA5BBF" w:rsidP="00EA5BBF"/>
    <w:p w14:paraId="5416CF22" w14:textId="47A4DE62" w:rsidR="00EA5BBF" w:rsidRPr="001570EA" w:rsidRDefault="00EA5BBF" w:rsidP="00EA5BBF">
      <w:r w:rsidRPr="001570EA">
        <w:t xml:space="preserve">Notes on reading values in </w:t>
      </w:r>
      <w:r w:rsidRPr="001570EA">
        <w:fldChar w:fldCharType="begin"/>
      </w:r>
      <w:r w:rsidRPr="001570EA">
        <w:instrText xml:space="preserve"> REF _Ref151086083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146</w:t>
      </w:r>
      <w:r w:rsidRPr="001570EA">
        <w:fldChar w:fldCharType="end"/>
      </w:r>
      <w:r w:rsidRPr="001570EA">
        <w:t>:</w:t>
      </w:r>
    </w:p>
    <w:p w14:paraId="0A151B87" w14:textId="77777777" w:rsidR="00EA5BBF" w:rsidRPr="001570EA" w:rsidRDefault="00EA5BBF" w:rsidP="00EA5BBF"/>
    <w:p w14:paraId="66CDCB27" w14:textId="77777777" w:rsidR="00EA5BBF" w:rsidRPr="001570EA" w:rsidRDefault="00EA5BBF" w:rsidP="00152CD6">
      <w:pPr>
        <w:pStyle w:val="ListParagraph"/>
        <w:numPr>
          <w:ilvl w:val="0"/>
          <w:numId w:val="81"/>
        </w:numPr>
      </w:pPr>
      <w:r w:rsidRPr="001570EA">
        <w:rPr>
          <w:b/>
          <w:bCs/>
        </w:rPr>
        <w:t>Wood Frame Wall R-value:</w:t>
      </w:r>
      <w:r w:rsidRPr="001570EA">
        <w:t xml:space="preserve"> The first value is cavity insulation; the second value is continuous insulation. Therefore, as an example, “20 &amp; 5ci” means R-20 cavity insulation plus R-5 continuous insulation. </w:t>
      </w:r>
    </w:p>
    <w:p w14:paraId="7FF79173" w14:textId="77777777" w:rsidR="00EA5BBF" w:rsidRPr="001570EA" w:rsidRDefault="00EA5BBF" w:rsidP="00EA5BBF">
      <w:pPr>
        <w:pStyle w:val="ListParagraph"/>
      </w:pPr>
    </w:p>
    <w:p w14:paraId="5793D366" w14:textId="77777777" w:rsidR="00EA5BBF" w:rsidRPr="001570EA" w:rsidRDefault="00EA5BBF" w:rsidP="00152CD6">
      <w:pPr>
        <w:pStyle w:val="ListParagraph"/>
        <w:numPr>
          <w:ilvl w:val="0"/>
          <w:numId w:val="81"/>
        </w:numPr>
      </w:pPr>
      <w:r w:rsidRPr="001570EA">
        <w:rPr>
          <w:b/>
          <w:bCs/>
        </w:rPr>
        <w:t>Rim Joist R-Value, Climate Zone 4</w:t>
      </w:r>
      <w:r w:rsidRPr="001570EA">
        <w:t>: “10ci or 13” means R-10 continuous insulation on the interior or exterior surface of the wall or R-13 cavity insulation on the interior side of the wall.</w:t>
      </w:r>
    </w:p>
    <w:p w14:paraId="5D21DC2D" w14:textId="77777777" w:rsidR="00EA5BBF" w:rsidRPr="001570EA" w:rsidRDefault="00EA5BBF" w:rsidP="00EA5BBF"/>
    <w:p w14:paraId="7708884E" w14:textId="77777777" w:rsidR="00EA5BBF" w:rsidRPr="001570EA" w:rsidRDefault="00EA5BBF" w:rsidP="00152CD6">
      <w:pPr>
        <w:pStyle w:val="ListParagraph"/>
        <w:numPr>
          <w:ilvl w:val="0"/>
          <w:numId w:val="81"/>
        </w:numPr>
      </w:pPr>
      <w:r w:rsidRPr="001570EA">
        <w:rPr>
          <w:b/>
          <w:bCs/>
        </w:rPr>
        <w:t>Rim Joist R-Value, Climate Zone 5</w:t>
      </w:r>
      <w:r w:rsidRPr="001570EA">
        <w:t>: “15ci or 19 or 13 13&amp;5ci” means R-15 continuous insulation on the interior or exterior surface of the wall; or R-19 cavity insulation on the interior side of the wall; or R-13 cavity insulation on the interior of the wall in addition to R-5 continuous insulation on the interior or exterior surface of the wall.</w:t>
      </w:r>
    </w:p>
    <w:p w14:paraId="1D621000" w14:textId="77777777" w:rsidR="00EA5BBF" w:rsidRPr="001570EA" w:rsidRDefault="00EA5BBF" w:rsidP="00EA5BBF"/>
    <w:p w14:paraId="560C869F" w14:textId="77777777" w:rsidR="00EA5BBF" w:rsidRPr="001570EA" w:rsidRDefault="00EA5BBF" w:rsidP="00EA5BBF">
      <w:pPr>
        <w:pStyle w:val="SubStyle"/>
      </w:pPr>
      <w:r w:rsidRPr="001570EA">
        <w:t>Evaluation Protocols</w:t>
      </w:r>
    </w:p>
    <w:p w14:paraId="39956B90" w14:textId="77777777" w:rsidR="00EA5BBF" w:rsidRPr="001570EA" w:rsidRDefault="00EA5BBF" w:rsidP="00EA5BBF">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344C3912" w14:textId="77777777" w:rsidR="00EA5BBF" w:rsidRPr="001570EA" w:rsidRDefault="00EA5BBF" w:rsidP="00EA5BBF"/>
    <w:p w14:paraId="6B36457F" w14:textId="77777777" w:rsidR="00EA5BBF" w:rsidRPr="001570EA" w:rsidRDefault="00EA5BBF" w:rsidP="00EA5BBF">
      <w:pPr>
        <w:pStyle w:val="SubStyle"/>
        <w:rPr>
          <w:color w:val="000000" w:themeColor="text1"/>
        </w:rPr>
      </w:pPr>
      <w:r w:rsidRPr="001570EA">
        <w:t>Sources</w:t>
      </w:r>
    </w:p>
    <w:p w14:paraId="1C1510CD" w14:textId="7A1C41F1" w:rsidR="00EA5BBF" w:rsidRPr="001570EA" w:rsidRDefault="00EA5BBF" w:rsidP="00152CD6">
      <w:pPr>
        <w:pStyle w:val="source10"/>
        <w:numPr>
          <w:ilvl w:val="0"/>
          <w:numId w:val="79"/>
        </w:numPr>
        <w:spacing w:line="288" w:lineRule="auto"/>
        <w:ind w:left="360"/>
        <w:jc w:val="left"/>
        <w:rPr>
          <w:color w:val="000000" w:themeColor="text1"/>
        </w:rPr>
      </w:pPr>
      <w:bookmarkStart w:id="1183" w:name="_Hlk531941320"/>
      <w:r w:rsidRPr="001570EA">
        <w:rPr>
          <w:color w:val="000000" w:themeColor="text1"/>
        </w:rPr>
        <w:t xml:space="preserve">GDS Associates, Inc. (2007). Measure Life Report, </w:t>
      </w:r>
      <w:r w:rsidRPr="001570EA">
        <w:rPr>
          <w:iCs/>
          <w:color w:val="000000" w:themeColor="text1"/>
        </w:rPr>
        <w:t>Residential and Commercial/Industrial Lighting and HVAC Measures</w:t>
      </w:r>
      <w:r w:rsidRPr="001570EA">
        <w:rPr>
          <w:color w:val="000000" w:themeColor="text1"/>
        </w:rPr>
        <w:t xml:space="preserve">. </w:t>
      </w:r>
      <w:hyperlink r:id="rId343" w:history="1">
        <w:r w:rsidRPr="001570EA">
          <w:rPr>
            <w:rStyle w:val="Hyperlink"/>
            <w:rFonts w:cs="Arial"/>
          </w:rPr>
          <w:t>Weblink</w:t>
        </w:r>
      </w:hyperlink>
      <w:r w:rsidRPr="001570EA">
        <w:t>. Measure life for insulation is 25 years. Note that PA Act 129 savings can be claimed for no more than 15 years, thus the 15</w:t>
      </w:r>
      <w:r w:rsidR="00811EE3">
        <w:t>-</w:t>
      </w:r>
      <w:r w:rsidRPr="001570EA">
        <w:t>year measure life.</w:t>
      </w:r>
      <w:r w:rsidR="00A71204" w:rsidRPr="001570EA" w:rsidDel="00A71204">
        <w:t xml:space="preserve"> </w:t>
      </w:r>
      <w:bookmarkEnd w:id="1183"/>
    </w:p>
    <w:p w14:paraId="6F323F18" w14:textId="291AA1BB" w:rsidR="00EA5BBF" w:rsidRPr="001570EA" w:rsidRDefault="00EA5BBF" w:rsidP="00152CD6">
      <w:pPr>
        <w:pStyle w:val="ListParagraph"/>
        <w:numPr>
          <w:ilvl w:val="0"/>
          <w:numId w:val="79"/>
        </w:numPr>
        <w:ind w:left="360"/>
        <w:jc w:val="left"/>
        <w:rPr>
          <w:rStyle w:val="Hyperlink"/>
          <w:rFonts w:cs="Arial"/>
          <w:color w:val="auto"/>
          <w:u w:val="none"/>
        </w:rPr>
      </w:pPr>
      <w:r w:rsidRPr="001570EA">
        <w:t xml:space="preserve">ENERGY STAR Recommended Home Insulation R-Values. Accessed February 2023. </w:t>
      </w:r>
      <w:hyperlink r:id="rId344" w:history="1">
        <w:r w:rsidRPr="001570EA">
          <w:rPr>
            <w:rStyle w:val="Hyperlink"/>
          </w:rPr>
          <w:t>Weblink</w:t>
        </w:r>
      </w:hyperlink>
      <w:r w:rsidRPr="001570EA">
        <w:t xml:space="preserve"> </w:t>
      </w:r>
    </w:p>
    <w:p w14:paraId="75AB6584" w14:textId="18BD7108" w:rsidR="00EA5BBF" w:rsidRPr="001570EA" w:rsidRDefault="00EA5BBF" w:rsidP="00152CD6">
      <w:pPr>
        <w:pStyle w:val="source10"/>
        <w:numPr>
          <w:ilvl w:val="0"/>
          <w:numId w:val="79"/>
        </w:numPr>
        <w:spacing w:line="288" w:lineRule="auto"/>
        <w:ind w:left="360"/>
        <w:jc w:val="left"/>
      </w:pPr>
      <w:r w:rsidRPr="001570EA">
        <w:t xml:space="preserve">2021 International Energy Conservation Code, Table R402.1.3: Insulation Minimum R-values and Fenestration Requirements by Component. </w:t>
      </w:r>
      <w:hyperlink r:id="rId345" w:history="1">
        <w:r w:rsidRPr="001570EA">
          <w:rPr>
            <w:rStyle w:val="Hyperlink"/>
            <w:rFonts w:cs="Arial"/>
          </w:rPr>
          <w:t>Weblink</w:t>
        </w:r>
      </w:hyperlink>
    </w:p>
    <w:p w14:paraId="4B626513" w14:textId="77777777" w:rsidR="00EA5BBF" w:rsidRPr="001570EA" w:rsidRDefault="00EA5BBF" w:rsidP="00152CD6">
      <w:pPr>
        <w:pStyle w:val="source10"/>
        <w:numPr>
          <w:ilvl w:val="0"/>
          <w:numId w:val="79"/>
        </w:numPr>
        <w:spacing w:line="288" w:lineRule="auto"/>
        <w:ind w:left="360"/>
        <w:jc w:val="left"/>
      </w:pPr>
      <w:r w:rsidRPr="001570EA">
        <w:rPr>
          <w:color w:val="000000" w:themeColor="text1"/>
        </w:rPr>
        <w:t xml:space="preserve">Used eQuest 3.64 to derive roof assembly R-values.  When insulation is added between the joists as in most insulation </w:t>
      </w:r>
      <w:r w:rsidRPr="001570EA">
        <w:t>up to R-30 (10”), the assembly R-value is based on a parallel heat transfer calculation of the insulation and joists, rather than a series heat transfer.</w:t>
      </w:r>
    </w:p>
    <w:p w14:paraId="18CC67F1" w14:textId="77777777" w:rsidR="00EA5BBF" w:rsidRPr="001570EA" w:rsidRDefault="00EA5BBF" w:rsidP="00152CD6">
      <w:pPr>
        <w:pStyle w:val="source10"/>
        <w:numPr>
          <w:ilvl w:val="0"/>
          <w:numId w:val="79"/>
        </w:numPr>
        <w:spacing w:line="288" w:lineRule="auto"/>
        <w:ind w:left="360"/>
        <w:jc w:val="left"/>
      </w:pPr>
      <w:r w:rsidRPr="001570EA">
        <w:t>ASHRAE. (2009). Fundamentals. Chapter 25 and 26. Method from “Total Thermal Resistance of a Flat Building Assembly” in Chapter 25. Thermal resistance values from Chapter 26.</w:t>
      </w:r>
    </w:p>
    <w:p w14:paraId="74BC3A73" w14:textId="1903766E" w:rsidR="00EA5BBF" w:rsidRPr="001570EA" w:rsidRDefault="00EA5BBF" w:rsidP="00152CD6">
      <w:pPr>
        <w:pStyle w:val="ListParagraph"/>
        <w:numPr>
          <w:ilvl w:val="0"/>
          <w:numId w:val="79"/>
        </w:numPr>
        <w:ind w:left="360"/>
        <w:rPr>
          <w:rFonts w:cs="Arial"/>
        </w:rPr>
      </w:pPr>
      <w:r w:rsidRPr="001570EA">
        <w:rPr>
          <w:color w:val="000000" w:themeColor="text1"/>
        </w:rPr>
        <w:t xml:space="preserve">NMR Group for the Pennsylvania Public Utility Commission. (2024, March). 2023 Pennsylvania Statewide Act 129 Residential Baseline Study. Section 6.3.6:  Vaulted Ceiling R-value. </w:t>
      </w:r>
      <w:hyperlink r:id="rId346" w:history="1">
        <w:r w:rsidRPr="001570EA">
          <w:rPr>
            <w:rStyle w:val="Hyperlink"/>
          </w:rPr>
          <w:t>Weblink</w:t>
        </w:r>
      </w:hyperlink>
    </w:p>
    <w:p w14:paraId="741B4CEE" w14:textId="0678C880" w:rsidR="00EA5BBF" w:rsidRPr="001570EA" w:rsidRDefault="00EA5BBF" w:rsidP="00152CD6">
      <w:pPr>
        <w:pStyle w:val="ListParagraph"/>
        <w:numPr>
          <w:ilvl w:val="0"/>
          <w:numId w:val="79"/>
        </w:numPr>
        <w:ind w:left="360"/>
        <w:rPr>
          <w:rFonts w:cs="Arial"/>
        </w:rPr>
      </w:pPr>
      <w:r w:rsidRPr="001570EA">
        <w:rPr>
          <w:color w:val="000000" w:themeColor="text1"/>
        </w:rPr>
        <w:t xml:space="preserve">NMR Group for the Pennsylvania Public Utility Commission. (2024, March). 2023 Pennsylvania Statewide Act 129 Residential Baseline Study. Section 6.3.3: Flat Ceiling R-value. </w:t>
      </w:r>
      <w:hyperlink r:id="rId347" w:history="1">
        <w:r w:rsidRPr="001570EA">
          <w:rPr>
            <w:rStyle w:val="Hyperlink"/>
          </w:rPr>
          <w:t>Weblink</w:t>
        </w:r>
      </w:hyperlink>
    </w:p>
    <w:p w14:paraId="566329BD" w14:textId="29764FD2" w:rsidR="00EA5BBF" w:rsidRPr="001570EA" w:rsidRDefault="00EA5BBF" w:rsidP="00152CD6">
      <w:pPr>
        <w:pStyle w:val="ListParagraph"/>
        <w:numPr>
          <w:ilvl w:val="0"/>
          <w:numId w:val="79"/>
        </w:numPr>
        <w:ind w:left="360"/>
        <w:rPr>
          <w:rFonts w:cs="Arial"/>
        </w:rPr>
      </w:pPr>
      <w:r w:rsidRPr="001570EA">
        <w:rPr>
          <w:color w:val="000000" w:themeColor="text1"/>
        </w:rPr>
        <w:t xml:space="preserve">NMR Group for the Pennsylvania Public Utility Commission. (2024, March). 2023 Pennsylvania Statewide Act 129 Residential Baseline Study. Section 6.2.3: Conditioned to Ambient Walls Average R-value. </w:t>
      </w:r>
      <w:hyperlink r:id="rId348" w:history="1">
        <w:r w:rsidRPr="001570EA">
          <w:rPr>
            <w:rStyle w:val="Hyperlink"/>
          </w:rPr>
          <w:t>Weblink</w:t>
        </w:r>
      </w:hyperlink>
    </w:p>
    <w:p w14:paraId="35452B6D" w14:textId="651B99D5" w:rsidR="00EA5BBF" w:rsidRPr="001570EA" w:rsidRDefault="00EA5BBF" w:rsidP="00152CD6">
      <w:pPr>
        <w:pStyle w:val="ListParagraph"/>
        <w:numPr>
          <w:ilvl w:val="0"/>
          <w:numId w:val="79"/>
        </w:numPr>
        <w:ind w:left="360"/>
        <w:rPr>
          <w:rFonts w:cs="Arial"/>
        </w:rPr>
      </w:pPr>
      <w:r w:rsidRPr="001570EA">
        <w:rPr>
          <w:color w:val="000000" w:themeColor="text1"/>
        </w:rPr>
        <w:t xml:space="preserve">NMR Group for the Pennsylvania Public Utility Commission. (2024, March). 2023 Pennsylvania Statewide Act 129 Residential Baseline Study. Section 6.4.3: Frame Floor R-value. </w:t>
      </w:r>
      <w:hyperlink r:id="rId349" w:history="1">
        <w:r w:rsidRPr="001570EA">
          <w:rPr>
            <w:rStyle w:val="Hyperlink"/>
          </w:rPr>
          <w:t>Weblink</w:t>
        </w:r>
      </w:hyperlink>
    </w:p>
    <w:p w14:paraId="399FC06D" w14:textId="0ADA9523" w:rsidR="00EA5BBF" w:rsidRPr="001570EA" w:rsidRDefault="00EA5BBF" w:rsidP="00152CD6">
      <w:pPr>
        <w:pStyle w:val="ListParagraph"/>
        <w:numPr>
          <w:ilvl w:val="0"/>
          <w:numId w:val="79"/>
        </w:numPr>
        <w:ind w:left="360"/>
        <w:rPr>
          <w:rFonts w:cs="Arial"/>
        </w:rPr>
      </w:pPr>
      <w:r w:rsidRPr="001570EA">
        <w:rPr>
          <w:color w:val="000000" w:themeColor="text1"/>
        </w:rPr>
        <w:t xml:space="preserve">NMR Group for the Pennsylvania Public Utility Commission. (2024, March). 2023 Pennsylvania Statewide Act 129 Residential Baseline Study. Section 6.5.3: Foundation Wall R-value. </w:t>
      </w:r>
      <w:hyperlink r:id="rId350" w:history="1">
        <w:r w:rsidRPr="001570EA">
          <w:rPr>
            <w:rStyle w:val="Hyperlink"/>
          </w:rPr>
          <w:t>Weblink</w:t>
        </w:r>
      </w:hyperlink>
      <w:r w:rsidRPr="001570EA">
        <w:rPr>
          <w:color w:val="000000" w:themeColor="text1"/>
        </w:rPr>
        <w:t>. Results in the referenced study are presented for foundation walls, which are applied in this TRM as the best proxy for rim joist insulation.</w:t>
      </w:r>
    </w:p>
    <w:p w14:paraId="40A5E88B" w14:textId="12D563CD" w:rsidR="00EA5BBF" w:rsidRPr="001570EA" w:rsidRDefault="00EA5BBF" w:rsidP="00152CD6">
      <w:pPr>
        <w:pStyle w:val="source10"/>
        <w:numPr>
          <w:ilvl w:val="0"/>
          <w:numId w:val="79"/>
        </w:numPr>
        <w:spacing w:line="288" w:lineRule="auto"/>
        <w:ind w:left="360"/>
        <w:jc w:val="left"/>
        <w:rPr>
          <w:color w:val="000000" w:themeColor="text1"/>
        </w:rPr>
      </w:pPr>
      <w:r w:rsidRPr="001570EA">
        <w:rPr>
          <w:color w:val="000000" w:themeColor="text1"/>
        </w:rPr>
        <w:t xml:space="preserve">ASHRAE. (2021). Fundamentals. Chapter 27, </w:t>
      </w:r>
      <w:r w:rsidR="00DA00DD">
        <w:rPr>
          <w:color w:val="000000" w:themeColor="text1"/>
        </w:rPr>
        <w:t>P</w:t>
      </w:r>
      <w:r w:rsidR="00C55232">
        <w:rPr>
          <w:color w:val="000000" w:themeColor="text1"/>
        </w:rPr>
        <w:t>age</w:t>
      </w:r>
      <w:r w:rsidRPr="001570EA">
        <w:rPr>
          <w:color w:val="000000" w:themeColor="text1"/>
        </w:rPr>
        <w:t xml:space="preserve"> 27.3.</w:t>
      </w:r>
    </w:p>
    <w:p w14:paraId="37D6F942" w14:textId="44547E76" w:rsidR="00EA5BBF" w:rsidRPr="001570EA" w:rsidRDefault="002F2300" w:rsidP="00152CD6">
      <w:pPr>
        <w:pStyle w:val="ListParagraph"/>
        <w:numPr>
          <w:ilvl w:val="0"/>
          <w:numId w:val="79"/>
        </w:numPr>
        <w:ind w:left="360"/>
        <w:rPr>
          <w:rStyle w:val="Hyperlink"/>
          <w:rFonts w:cs="Arial"/>
          <w:color w:val="auto"/>
          <w:u w:val="none"/>
        </w:rPr>
      </w:pPr>
      <w:r w:rsidRPr="001570EA">
        <w:t>Based on the Phase III SWE team’s analysis of regional HVAC runtime data collected from ecobee’s Donate Your Data research service (</w:t>
      </w:r>
      <w:hyperlink r:id="rId351" w:history="1">
        <w:r w:rsidRPr="001570EA">
          <w:rPr>
            <w:rStyle w:val="Hyperlink"/>
          </w:rPr>
          <w:t>Weblink</w:t>
        </w:r>
      </w:hyperlink>
      <w:r w:rsidRPr="001570EA">
        <w:t>) and updated based on the latest CDD and HDD values from NOAA’s 15-year annual climate Normals (2006–2020) (</w:t>
      </w:r>
      <w:hyperlink r:id="rId352" w:history="1">
        <w:r w:rsidRPr="001570EA">
          <w:rPr>
            <w:rStyle w:val="Hyperlink"/>
          </w:rPr>
          <w:t>Weblink</w:t>
        </w:r>
      </w:hyperlink>
      <w:r w:rsidRPr="001570EA">
        <w:t>)</w:t>
      </w:r>
    </w:p>
    <w:p w14:paraId="4D252DDF" w14:textId="044420BD" w:rsidR="00EA5BBF" w:rsidRPr="001570EA" w:rsidRDefault="00EA5BBF" w:rsidP="00152CD6">
      <w:pPr>
        <w:pStyle w:val="source10"/>
        <w:numPr>
          <w:ilvl w:val="0"/>
          <w:numId w:val="79"/>
        </w:numPr>
        <w:spacing w:line="288" w:lineRule="auto"/>
        <w:ind w:left="360"/>
        <w:jc w:val="left"/>
        <w:rPr>
          <w:rStyle w:val="Hyperlink"/>
          <w:rFonts w:cs="Arial"/>
          <w:color w:val="000000" w:themeColor="text1"/>
          <w:u w:val="none"/>
          <w:lang w:val="fr-FR"/>
        </w:rPr>
      </w:pPr>
      <w:r w:rsidRPr="001570EA">
        <w:rPr>
          <w:color w:val="000000" w:themeColor="text1"/>
        </w:rPr>
        <w:t xml:space="preserve">Energy Center of Wisconsin, (2008, May). “Central Air Conditioning in Wisconsin, A Compilation of Recent Field Research.” </w:t>
      </w:r>
      <w:r w:rsidRPr="001570EA">
        <w:rPr>
          <w:color w:val="000000" w:themeColor="text1"/>
          <w:lang w:val="fr-FR"/>
        </w:rPr>
        <w:t>P</w:t>
      </w:r>
      <w:r w:rsidR="00DA00DD">
        <w:rPr>
          <w:color w:val="000000" w:themeColor="text1"/>
          <w:lang w:val="fr-FR"/>
        </w:rPr>
        <w:t>a</w:t>
      </w:r>
      <w:r w:rsidRPr="001570EA">
        <w:rPr>
          <w:color w:val="000000" w:themeColor="text1"/>
          <w:lang w:val="fr-FR"/>
        </w:rPr>
        <w:t>g</w:t>
      </w:r>
      <w:r w:rsidR="00DA00DD">
        <w:rPr>
          <w:color w:val="000000" w:themeColor="text1"/>
          <w:lang w:val="fr-FR"/>
        </w:rPr>
        <w:t>e</w:t>
      </w:r>
      <w:r w:rsidRPr="001570EA">
        <w:rPr>
          <w:color w:val="000000" w:themeColor="text1"/>
          <w:lang w:val="fr-FR"/>
        </w:rPr>
        <w:t xml:space="preserve"> 31. </w:t>
      </w:r>
      <w:hyperlink r:id="rId353" w:history="1">
        <w:r w:rsidRPr="001570EA">
          <w:rPr>
            <w:rStyle w:val="Hyperlink"/>
            <w:lang w:val="fr-FR"/>
          </w:rPr>
          <w:t>Weblink</w:t>
        </w:r>
      </w:hyperlink>
      <w:r w:rsidRPr="001570EA">
        <w:rPr>
          <w:rStyle w:val="Hyperlink"/>
          <w:color w:val="000000" w:themeColor="text1"/>
          <w:lang w:val="fr-FR"/>
        </w:rPr>
        <w:t xml:space="preserve"> </w:t>
      </w:r>
    </w:p>
    <w:p w14:paraId="265D9623" w14:textId="70C865A5" w:rsidR="00EA5BBF" w:rsidRPr="001570EA" w:rsidRDefault="00EA5BBF" w:rsidP="00152CD6">
      <w:pPr>
        <w:pStyle w:val="source10"/>
        <w:numPr>
          <w:ilvl w:val="0"/>
          <w:numId w:val="79"/>
        </w:numPr>
        <w:spacing w:line="288" w:lineRule="auto"/>
        <w:ind w:left="360"/>
        <w:jc w:val="left"/>
      </w:pPr>
      <w:r w:rsidRPr="001570EA">
        <w:rPr>
          <w:color w:val="000000" w:themeColor="text1"/>
        </w:rPr>
        <w:t xml:space="preserve">NMR Group for the Pennsylvania Public Utility Commission. (2024, March). 2023 Pennsylvania Statewide Act 129 Residential Baseline Study. </w:t>
      </w:r>
      <w:hyperlink r:id="rId354" w:history="1">
        <w:r w:rsidRPr="001570EA">
          <w:rPr>
            <w:rStyle w:val="Hyperlink"/>
          </w:rPr>
          <w:t>Weblink</w:t>
        </w:r>
      </w:hyperlink>
      <w:r w:rsidRPr="001570EA">
        <w:rPr>
          <w:color w:val="000000" w:themeColor="text1"/>
        </w:rPr>
        <w:t xml:space="preserve">. </w:t>
      </w:r>
      <w:r w:rsidRPr="001570EA">
        <w:t xml:space="preserve">Air source heat pump efficiencies calculated using 2023 Pennsylvania Residential Baseline Study data. </w:t>
      </w:r>
      <w:r w:rsidRPr="001570EA">
        <w:rPr>
          <w:color w:val="000000" w:themeColor="text1"/>
        </w:rPr>
        <w:t>Federal minimum efficiencies for GSHP due to small sample size for GSHP in baseline study</w:t>
      </w:r>
      <w:r w:rsidRPr="001570EA">
        <w:t>.</w:t>
      </w:r>
    </w:p>
    <w:p w14:paraId="6F55732F" w14:textId="6B7C457F" w:rsidR="00EA5BBF" w:rsidRPr="001570EA" w:rsidRDefault="00EA5BBF" w:rsidP="00152CD6">
      <w:pPr>
        <w:pStyle w:val="ListParagraph"/>
        <w:numPr>
          <w:ilvl w:val="0"/>
          <w:numId w:val="79"/>
        </w:numPr>
        <w:ind w:left="360"/>
      </w:pPr>
      <w:r w:rsidRPr="001570EA">
        <w:rPr>
          <w:color w:val="000000" w:themeColor="text1"/>
        </w:rPr>
        <w:t>NMR Group for the Pennsylvania Public Utility Commission. (2024, March). 2023 Pennsylvania Statewide Act 129 Residential Baseline Study. Weblink. Average home conditioned floor area = 2,019 ft</w:t>
      </w:r>
      <w:r w:rsidRPr="001570EA">
        <w:rPr>
          <w:color w:val="000000" w:themeColor="text1"/>
          <w:vertAlign w:val="superscript"/>
        </w:rPr>
        <w:t>2</w:t>
      </w:r>
      <w:r w:rsidRPr="001570EA">
        <w:rPr>
          <w:color w:val="000000" w:themeColor="text1"/>
        </w:rPr>
        <w:t xml:space="preserve">; average number of room AC units per home = 1.74; </w:t>
      </w:r>
      <w:r w:rsidRPr="001570EA">
        <w:t>average Room AC capacity = 7,161 BTU/hr. Per ENERGY STAR Room AC sizing chart (</w:t>
      </w:r>
      <w:hyperlink r:id="rId355" w:history="1">
        <w:r w:rsidRPr="001570EA">
          <w:rPr>
            <w:rStyle w:val="Hyperlink"/>
          </w:rPr>
          <w:t>Weblink</w:t>
        </w:r>
      </w:hyperlink>
      <w:r w:rsidRPr="001570EA">
        <w:t>), 7,161 BTU/hr of cooling serves approximately 28</w:t>
      </w:r>
      <w:r w:rsidRPr="001570EA">
        <w:rPr>
          <w:rFonts w:cs="Arial"/>
        </w:rPr>
        <w:t>3 ft</w:t>
      </w:r>
      <w:r w:rsidRPr="001570EA">
        <w:rPr>
          <w:rFonts w:cs="Arial"/>
          <w:vertAlign w:val="superscript"/>
        </w:rPr>
        <w:t>2</w:t>
      </w:r>
      <w:r w:rsidRPr="001570EA">
        <w:rPr>
          <w:rFonts w:cs="Arial"/>
        </w:rPr>
        <w:t xml:space="preserve">. </w:t>
      </w:r>
      <w:r w:rsidRPr="001570EA">
        <w:rPr>
          <w:rFonts w:cs="Arial"/>
          <w:i/>
        </w:rPr>
        <w:t>F</w:t>
      </w:r>
      <w:r w:rsidRPr="001570EA">
        <w:rPr>
          <w:rFonts w:cs="Arial"/>
          <w:i/>
          <w:vertAlign w:val="subscript"/>
        </w:rPr>
        <w:t>RAC</w:t>
      </w:r>
      <w:r w:rsidRPr="001570EA">
        <w:rPr>
          <w:rFonts w:cs="Arial"/>
        </w:rPr>
        <w:t xml:space="preserve"> = (283 ft</w:t>
      </w:r>
      <w:r w:rsidRPr="001570EA">
        <w:rPr>
          <w:rFonts w:cs="Arial"/>
          <w:vertAlign w:val="superscript"/>
        </w:rPr>
        <w:t>2</w:t>
      </w:r>
      <w:r w:rsidRPr="001570EA">
        <w:rPr>
          <w:rFonts w:cs="Arial"/>
        </w:rPr>
        <w:t xml:space="preserve"> × 1.74)/(2,019 ft</w:t>
      </w:r>
      <w:r w:rsidRPr="001570EA">
        <w:rPr>
          <w:rFonts w:cs="Arial"/>
          <w:vertAlign w:val="superscript"/>
        </w:rPr>
        <w:t>2</w:t>
      </w:r>
      <w:r w:rsidRPr="001570EA">
        <w:rPr>
          <w:rFonts w:cs="Arial"/>
        </w:rPr>
        <w:t>) = 0.24</w:t>
      </w:r>
      <w:r w:rsidRPr="001570EA">
        <w:t>.</w:t>
      </w:r>
    </w:p>
    <w:p w14:paraId="3C30D44D" w14:textId="1F626F8A" w:rsidR="00EA5BBF" w:rsidRPr="001570EA" w:rsidRDefault="00EA5BBF" w:rsidP="00152CD6">
      <w:pPr>
        <w:pStyle w:val="ListParagraph"/>
        <w:numPr>
          <w:ilvl w:val="0"/>
          <w:numId w:val="79"/>
        </w:numPr>
        <w:ind w:left="360"/>
        <w:rPr>
          <w:rFonts w:cs="Arial"/>
        </w:rPr>
      </w:pPr>
      <w:r w:rsidRPr="001570EA">
        <w:t xml:space="preserve">Federal minimum efficiency standards, based on ASHRAE 90.1-2019. </w:t>
      </w:r>
      <w:hyperlink r:id="rId356" w:history="1">
        <w:r w:rsidRPr="001570EA">
          <w:rPr>
            <w:rStyle w:val="Hyperlink"/>
          </w:rPr>
          <w:t>Weblink</w:t>
        </w:r>
      </w:hyperlink>
    </w:p>
    <w:p w14:paraId="384D5C20" w14:textId="77777777" w:rsidR="00EA5BBF" w:rsidRPr="001570EA" w:rsidRDefault="00EA5BBF" w:rsidP="00152CD6">
      <w:pPr>
        <w:pStyle w:val="ListParagraph"/>
        <w:numPr>
          <w:ilvl w:val="0"/>
          <w:numId w:val="79"/>
        </w:numPr>
        <w:overflowPunct/>
        <w:autoSpaceDE/>
        <w:autoSpaceDN/>
        <w:adjustRightInd/>
        <w:ind w:left="360"/>
        <w:textAlignment w:val="auto"/>
        <w:rPr>
          <w:rFonts w:ascii="ArialMT" w:hAnsi="ArialMT"/>
          <w:color w:val="000000"/>
        </w:rPr>
      </w:pPr>
      <w:r w:rsidRPr="001570EA">
        <w:rPr>
          <w:rFonts w:ascii="ArialMT" w:hAnsi="ArialMT"/>
          <w:color w:val="000000"/>
        </w:rPr>
        <w:t>McQuay Application Guide 31-008, Geothermal Heat Pump Design Manual, 2002. Engineering Estimate - See System Performance of Ground Source Heat Pumps</w:t>
      </w:r>
    </w:p>
    <w:p w14:paraId="0AD3FC6A" w14:textId="732F2C24" w:rsidR="00EA5BBF" w:rsidRPr="001570EA" w:rsidRDefault="00EA5BBF" w:rsidP="00152CD6">
      <w:pPr>
        <w:pStyle w:val="ListParagraph"/>
        <w:numPr>
          <w:ilvl w:val="0"/>
          <w:numId w:val="79"/>
        </w:numPr>
        <w:overflowPunct/>
        <w:autoSpaceDE/>
        <w:autoSpaceDN/>
        <w:adjustRightInd/>
        <w:ind w:left="360"/>
        <w:textAlignment w:val="auto"/>
        <w:sectPr w:rsidR="00EA5BBF" w:rsidRPr="001570EA" w:rsidSect="002D556C">
          <w:footerReference w:type="default" r:id="rId357"/>
          <w:footerReference w:type="first" r:id="rId358"/>
          <w:pgSz w:w="12240" w:h="15840"/>
          <w:pgMar w:top="1440" w:right="1800" w:bottom="1440" w:left="1800" w:header="720" w:footer="501" w:gutter="0"/>
          <w:cols w:space="720"/>
        </w:sectPr>
      </w:pPr>
      <w:r w:rsidRPr="001570EA">
        <w:t xml:space="preserve">Wilson et al. 2021. End-Use Load Profiles for the U.S. Building Stock: Methodology and Results of Model Calibration, Validation, and Uncertainty Quantification. NREL/TP-5500-80889. </w:t>
      </w:r>
      <w:hyperlink r:id="rId359" w:history="1">
        <w:r w:rsidRPr="001570EA">
          <w:rPr>
            <w:rStyle w:val="Hyperlink"/>
          </w:rPr>
          <w:t>Weblink</w:t>
        </w:r>
      </w:hyperlink>
      <w:r w:rsidRPr="001570EA">
        <w:t xml:space="preserve">  </w:t>
      </w:r>
    </w:p>
    <w:p w14:paraId="0187183F" w14:textId="77777777" w:rsidR="00EA5BBF" w:rsidRPr="001570EA" w:rsidRDefault="00EA5BBF" w:rsidP="00C64DB8">
      <w:pPr>
        <w:pStyle w:val="Heading3"/>
      </w:pPr>
      <w:bookmarkStart w:id="1184" w:name="_Toc48143059"/>
      <w:bookmarkStart w:id="1185" w:name="_Toc164786680"/>
      <w:r w:rsidRPr="001570EA">
        <w:t>Basement or Crawl Space Wall Insulation</w:t>
      </w:r>
      <w:bookmarkEnd w:id="1184"/>
      <w:bookmarkEnd w:id="11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4970"/>
      </w:tblGrid>
      <w:tr w:rsidR="00EA5BBF" w:rsidRPr="001570EA" w14:paraId="165116A1" w14:textId="77777777">
        <w:trPr>
          <w:trHeight w:hRule="exact" w:val="360"/>
        </w:trPr>
        <w:tc>
          <w:tcPr>
            <w:tcW w:w="3552" w:type="dxa"/>
            <w:shd w:val="clear" w:color="auto" w:fill="auto"/>
            <w:vAlign w:val="center"/>
          </w:tcPr>
          <w:p w14:paraId="36B9E308" w14:textId="77777777" w:rsidR="00EA5BBF" w:rsidRPr="001570EA" w:rsidRDefault="00EA5BBF">
            <w:pPr>
              <w:keepNext/>
              <w:tabs>
                <w:tab w:val="left" w:pos="720"/>
              </w:tabs>
              <w:rPr>
                <w:b/>
              </w:rPr>
            </w:pPr>
            <w:r w:rsidRPr="001570EA">
              <w:rPr>
                <w:b/>
                <w:sz w:val="18"/>
              </w:rPr>
              <w:t>Target Sector</w:t>
            </w:r>
          </w:p>
        </w:tc>
        <w:tc>
          <w:tcPr>
            <w:tcW w:w="4970" w:type="dxa"/>
            <w:shd w:val="clear" w:color="auto" w:fill="auto"/>
            <w:vAlign w:val="center"/>
          </w:tcPr>
          <w:p w14:paraId="144781F3" w14:textId="77777777" w:rsidR="00EA5BBF" w:rsidRPr="001570EA" w:rsidRDefault="00EA5BBF">
            <w:pPr>
              <w:keepNext/>
              <w:tabs>
                <w:tab w:val="left" w:pos="720"/>
              </w:tabs>
              <w:jc w:val="center"/>
              <w:rPr>
                <w:rFonts w:ascii="Arial,Arial Unicode MS" w:eastAsia="Arial,Arial Unicode MS" w:hAnsi="Arial,Arial Unicode MS" w:cs="Arial,Arial Unicode MS"/>
                <w:i/>
              </w:rPr>
            </w:pPr>
            <w:r w:rsidRPr="001570EA">
              <w:rPr>
                <w:sz w:val="18"/>
                <w:szCs w:val="18"/>
              </w:rPr>
              <w:t>Residential</w:t>
            </w:r>
          </w:p>
        </w:tc>
      </w:tr>
      <w:tr w:rsidR="00EA5BBF" w:rsidRPr="001570EA" w14:paraId="0DA074CD" w14:textId="77777777">
        <w:trPr>
          <w:trHeight w:hRule="exact" w:val="360"/>
        </w:trPr>
        <w:tc>
          <w:tcPr>
            <w:tcW w:w="3552" w:type="dxa"/>
            <w:shd w:val="clear" w:color="auto" w:fill="auto"/>
            <w:vAlign w:val="center"/>
          </w:tcPr>
          <w:p w14:paraId="3FDDDFAD" w14:textId="77777777" w:rsidR="00EA5BBF" w:rsidRPr="001570EA" w:rsidRDefault="00EA5BBF">
            <w:pPr>
              <w:keepNext/>
              <w:tabs>
                <w:tab w:val="left" w:pos="720"/>
              </w:tabs>
              <w:rPr>
                <w:b/>
              </w:rPr>
            </w:pPr>
            <w:r w:rsidRPr="001570EA">
              <w:rPr>
                <w:b/>
                <w:sz w:val="18"/>
              </w:rPr>
              <w:t>Measure Unit</w:t>
            </w:r>
          </w:p>
        </w:tc>
        <w:tc>
          <w:tcPr>
            <w:tcW w:w="4970" w:type="dxa"/>
            <w:shd w:val="clear" w:color="auto" w:fill="auto"/>
            <w:vAlign w:val="center"/>
          </w:tcPr>
          <w:p w14:paraId="3DDACABC" w14:textId="77777777" w:rsidR="00EA5BBF" w:rsidRPr="001570EA" w:rsidRDefault="00EA5BBF">
            <w:pPr>
              <w:keepNext/>
              <w:tabs>
                <w:tab w:val="left" w:pos="720"/>
              </w:tabs>
              <w:jc w:val="center"/>
              <w:rPr>
                <w:rFonts w:ascii="Arial,Arial Unicode MS" w:eastAsia="Arial,Arial Unicode MS" w:hAnsi="Arial,Arial Unicode MS" w:cs="Arial,Arial Unicode MS"/>
                <w:i/>
              </w:rPr>
            </w:pPr>
            <w:r w:rsidRPr="001570EA">
              <w:rPr>
                <w:sz w:val="18"/>
                <w:szCs w:val="18"/>
              </w:rPr>
              <w:t>Insulation Addition</w:t>
            </w:r>
          </w:p>
        </w:tc>
      </w:tr>
      <w:tr w:rsidR="00EA5BBF" w:rsidRPr="001570EA" w14:paraId="11E48E8E" w14:textId="77777777">
        <w:trPr>
          <w:trHeight w:hRule="exact" w:val="360"/>
        </w:trPr>
        <w:tc>
          <w:tcPr>
            <w:tcW w:w="3552" w:type="dxa"/>
            <w:shd w:val="clear" w:color="auto" w:fill="auto"/>
            <w:vAlign w:val="center"/>
          </w:tcPr>
          <w:p w14:paraId="5FADA287" w14:textId="77777777" w:rsidR="00EA5BBF" w:rsidRPr="001570EA" w:rsidRDefault="00EA5BBF">
            <w:pPr>
              <w:keepNext/>
              <w:tabs>
                <w:tab w:val="left" w:pos="720"/>
              </w:tabs>
              <w:rPr>
                <w:b/>
              </w:rPr>
            </w:pPr>
            <w:r w:rsidRPr="001570EA">
              <w:rPr>
                <w:b/>
                <w:sz w:val="18"/>
              </w:rPr>
              <w:t>Measure Life</w:t>
            </w:r>
          </w:p>
        </w:tc>
        <w:tc>
          <w:tcPr>
            <w:tcW w:w="4970" w:type="dxa"/>
            <w:shd w:val="clear" w:color="auto" w:fill="auto"/>
            <w:vAlign w:val="center"/>
          </w:tcPr>
          <w:p w14:paraId="23410EE1" w14:textId="1E5DC03A" w:rsidR="00EA5BBF" w:rsidRPr="001570EA" w:rsidRDefault="00EA5BBF">
            <w:pPr>
              <w:keepNext/>
              <w:tabs>
                <w:tab w:val="left" w:pos="720"/>
              </w:tabs>
              <w:jc w:val="center"/>
              <w:rPr>
                <w:rFonts w:ascii="Arial,Arial Unicode MS" w:eastAsia="Arial,Arial Unicode MS" w:hAnsi="Arial,Arial Unicode MS" w:cs="Arial,Arial Unicode MS"/>
                <w:i/>
              </w:rPr>
            </w:pPr>
            <w:r w:rsidRPr="001570EA">
              <w:rPr>
                <w:sz w:val="18"/>
                <w:szCs w:val="18"/>
              </w:rPr>
              <w:t>15 years</w:t>
            </w:r>
            <w:r w:rsidRPr="001570EA">
              <w:rPr>
                <w:vertAlign w:val="superscript"/>
              </w:rPr>
              <w:t>Source 1</w:t>
            </w:r>
          </w:p>
        </w:tc>
      </w:tr>
      <w:tr w:rsidR="00EA5BBF" w:rsidRPr="001570EA" w14:paraId="13FB7DC5" w14:textId="77777777">
        <w:trPr>
          <w:trHeight w:hRule="exact" w:val="360"/>
        </w:trPr>
        <w:tc>
          <w:tcPr>
            <w:tcW w:w="3552" w:type="dxa"/>
            <w:shd w:val="clear" w:color="auto" w:fill="auto"/>
            <w:vAlign w:val="center"/>
          </w:tcPr>
          <w:p w14:paraId="083D95A3" w14:textId="77777777" w:rsidR="00EA5BBF" w:rsidRPr="001570EA" w:rsidRDefault="00EA5BBF">
            <w:pPr>
              <w:keepNext/>
              <w:tabs>
                <w:tab w:val="left" w:pos="720"/>
              </w:tabs>
              <w:rPr>
                <w:b/>
                <w:sz w:val="18"/>
              </w:rPr>
            </w:pPr>
            <w:r w:rsidRPr="001570EA">
              <w:rPr>
                <w:b/>
                <w:sz w:val="18"/>
              </w:rPr>
              <w:t>Vintage</w:t>
            </w:r>
          </w:p>
        </w:tc>
        <w:tc>
          <w:tcPr>
            <w:tcW w:w="4970" w:type="dxa"/>
            <w:shd w:val="clear" w:color="auto" w:fill="auto"/>
            <w:vAlign w:val="center"/>
          </w:tcPr>
          <w:p w14:paraId="3DA23C99" w14:textId="77777777" w:rsidR="00EA5BBF" w:rsidRPr="001570EA" w:rsidRDefault="00EA5BBF">
            <w:pPr>
              <w:keepNext/>
              <w:tabs>
                <w:tab w:val="left" w:pos="720"/>
              </w:tabs>
              <w:jc w:val="center"/>
              <w:rPr>
                <w:sz w:val="18"/>
              </w:rPr>
            </w:pPr>
            <w:r w:rsidRPr="001570EA">
              <w:rPr>
                <w:sz w:val="18"/>
              </w:rPr>
              <w:t>Retrofit, New Construction</w:t>
            </w:r>
          </w:p>
        </w:tc>
      </w:tr>
    </w:tbl>
    <w:p w14:paraId="3214AD48" w14:textId="77777777" w:rsidR="00EA5BBF" w:rsidRPr="001570EA" w:rsidRDefault="00EA5BBF" w:rsidP="00EA5BBF"/>
    <w:p w14:paraId="5E487E44" w14:textId="77777777" w:rsidR="00EA5BBF" w:rsidRPr="001570EA" w:rsidRDefault="00EA5BBF" w:rsidP="00EA5BBF">
      <w:pPr>
        <w:ind w:right="25"/>
      </w:pPr>
      <w:r w:rsidRPr="001570EA">
        <w:t>This protocol covers the calculation of energy and demand savings associated with insulating foundation walls in basements and crawl spaces in residential homes. Cooling savings are only produced from insulation improvements to above-grade portions of the wall, since- the below-grade portions are expected to be cooler than the temperature set point of the building. Heating savings will be produced from the entire insulation improvement, though in varying quantities depending on whether above or below grade.</w:t>
      </w:r>
    </w:p>
    <w:p w14:paraId="1E20F21D" w14:textId="77777777" w:rsidR="00EA5BBF" w:rsidRPr="001570EA" w:rsidRDefault="00EA5BBF" w:rsidP="00EA5BBF"/>
    <w:p w14:paraId="70F4FC3A" w14:textId="77777777" w:rsidR="00EA5BBF" w:rsidRPr="001570EA" w:rsidRDefault="00EA5BBF" w:rsidP="00EA5BBF">
      <w:pPr>
        <w:pStyle w:val="SubStyle"/>
      </w:pPr>
      <w:r w:rsidRPr="001570EA">
        <w:t>Eligibility</w:t>
      </w:r>
    </w:p>
    <w:p w14:paraId="017D3808" w14:textId="77777777" w:rsidR="00EA5BBF" w:rsidRPr="001570EA" w:rsidRDefault="00EA5BBF" w:rsidP="00EA5BBF">
      <w:pPr>
        <w:ind w:right="25"/>
      </w:pPr>
      <w:r w:rsidRPr="001570EA">
        <w:t>This measure protocol applies to the installation of insulation to the walls of basements or</w:t>
      </w:r>
      <w:r w:rsidRPr="001570EA">
        <w:rPr>
          <w:rFonts w:cs="Calibri"/>
        </w:rPr>
        <w:t xml:space="preserve"> unvented crawl space walls</w:t>
      </w:r>
      <w:r w:rsidRPr="001570EA">
        <w:t xml:space="preserve"> in existing residential buildings.</w:t>
      </w:r>
    </w:p>
    <w:p w14:paraId="3BDB413B" w14:textId="77777777" w:rsidR="00EA5BBF" w:rsidRPr="001570EA" w:rsidRDefault="00EA5BBF" w:rsidP="00EA5BBF">
      <w:pPr>
        <w:ind w:right="25"/>
      </w:pPr>
    </w:p>
    <w:p w14:paraId="6562425C" w14:textId="77777777" w:rsidR="00EA5BBF" w:rsidRPr="001570EA" w:rsidRDefault="00EA5BBF" w:rsidP="00EA5BBF">
      <w:pPr>
        <w:ind w:right="25"/>
      </w:pPr>
      <w:r w:rsidRPr="001570EA">
        <w:t>Research has shown that vented crawlspaces that are sealed and insulated operate similarly to basements in providing benefits such as energy savings, comfort, moisture control, long-term durability, and healthier air quality.</w:t>
      </w:r>
      <w:r w:rsidRPr="001570EA">
        <w:rPr>
          <w:rFonts w:cs="Calibri"/>
          <w:vertAlign w:val="superscript"/>
        </w:rPr>
        <w:t>Source 2</w:t>
      </w:r>
      <w:r w:rsidRPr="001570EA">
        <w:t xml:space="preserve"> Sealing the crawl space must follow the required PA building codes, including covering the earth with a Class I vapor retarder and providing ventilation of at least 1cfm per 50 ft</w:t>
      </w:r>
      <w:r w:rsidRPr="001570EA">
        <w:rPr>
          <w:vertAlign w:val="superscript"/>
        </w:rPr>
        <w:t>2</w:t>
      </w:r>
      <w:r w:rsidRPr="001570EA">
        <w:t xml:space="preserve"> of crawlspace. In addition, sealing of the crawlspace must not block access to the space.</w:t>
      </w:r>
      <w:r w:rsidRPr="001570EA">
        <w:rPr>
          <w:rStyle w:val="FootnoteReference"/>
        </w:rPr>
        <w:t xml:space="preserve"> </w:t>
      </w:r>
    </w:p>
    <w:p w14:paraId="0598A522" w14:textId="77777777" w:rsidR="00EA5BBF" w:rsidRPr="001570EA" w:rsidRDefault="00EA5BBF" w:rsidP="00EA5BBF">
      <w:pPr>
        <w:ind w:right="25"/>
      </w:pPr>
    </w:p>
    <w:p w14:paraId="4C03B76F" w14:textId="6CC4A469" w:rsidR="00EA5BBF" w:rsidRPr="001570EA" w:rsidRDefault="00EA5BBF" w:rsidP="00EA5BBF">
      <w:pPr>
        <w:ind w:right="25"/>
        <w:rPr>
          <w:i/>
          <w:vertAlign w:val="superscript"/>
        </w:rPr>
      </w:pPr>
      <w:r w:rsidRPr="001570EA">
        <w:t>In 2021 IECC Climate Zone 4, basement or crawl space insulation should have either a minimum R-10 continuous insulation on the interior or exterior of the home, or R-13 cavity insulation on the interior of the home. In IECC Climate Zone 5, basement or crawl space insulation should have either a minimum of R-15 continuous insulation on the interior or exterior of the home, or R-19 cavity insulation on the interior of the home, or R-13 cavity insulation on the interior of the home and R-5 continuous insulation.</w:t>
      </w:r>
      <w:r w:rsidRPr="001570EA">
        <w:rPr>
          <w:vertAlign w:val="superscript"/>
        </w:rPr>
        <w:t>Source 3</w:t>
      </w:r>
    </w:p>
    <w:p w14:paraId="45A0EC00" w14:textId="77777777" w:rsidR="00EA5BBF" w:rsidRPr="001570EA" w:rsidRDefault="00EA5BBF" w:rsidP="00EA5BBF"/>
    <w:p w14:paraId="498A8B33" w14:textId="77777777" w:rsidR="00EA5BBF" w:rsidRPr="001570EA" w:rsidRDefault="00EA5BBF" w:rsidP="00EA5BBF">
      <w:pPr>
        <w:pStyle w:val="SubStyle"/>
      </w:pPr>
      <w:r w:rsidRPr="001570EA">
        <w:t>Algorithms</w:t>
      </w:r>
    </w:p>
    <w:p w14:paraId="630AFD24" w14:textId="77777777" w:rsidR="00EA5BBF" w:rsidRPr="001570EA" w:rsidRDefault="00EA5BBF" w:rsidP="00EA5BBF">
      <w:r w:rsidRPr="001570EA">
        <w:t>Savings are due to a reduction in cooling and heating requirements due to insulation.</w:t>
      </w:r>
    </w:p>
    <w:p w14:paraId="379E3136" w14:textId="77777777" w:rsidR="00EA5BBF" w:rsidRPr="001570EA" w:rsidRDefault="00EA5BBF" w:rsidP="00EA5BBF"/>
    <w:tbl>
      <w:tblPr>
        <w:tblW w:w="0" w:type="auto"/>
        <w:tblLook w:val="04A0" w:firstRow="1" w:lastRow="0" w:firstColumn="1" w:lastColumn="0" w:noHBand="0" w:noVBand="1"/>
      </w:tblPr>
      <w:tblGrid>
        <w:gridCol w:w="1608"/>
        <w:gridCol w:w="7032"/>
      </w:tblGrid>
      <w:tr w:rsidR="00EA5BBF" w:rsidRPr="001570EA" w14:paraId="5E59E609" w14:textId="77777777">
        <w:tc>
          <w:tcPr>
            <w:tcW w:w="1608" w:type="dxa"/>
            <w:shd w:val="clear" w:color="auto" w:fill="auto"/>
            <w:vAlign w:val="center"/>
          </w:tcPr>
          <w:p w14:paraId="4AD2A402" w14:textId="77777777" w:rsidR="00EA5BBF" w:rsidRPr="001570EA" w:rsidRDefault="00EA5BBF">
            <w:pPr>
              <w:tabs>
                <w:tab w:val="left" w:pos="720"/>
                <w:tab w:val="left" w:pos="2880"/>
              </w:tabs>
              <w:rPr>
                <w:rFonts w:eastAsia="Calibri" w:cs="Arial"/>
                <w:i/>
              </w:rPr>
            </w:pPr>
            <m:oMathPara>
              <m:oMathParaPr>
                <m:jc m:val="left"/>
              </m:oMathParaPr>
              <m:oMath>
                <m:r>
                  <w:rPr>
                    <w:rFonts w:ascii="Cambria Math" w:eastAsia="Calibri" w:hAnsi="Cambria Math" w:cs="Arial"/>
                  </w:rPr>
                  <m:t>∆kWh</m:t>
                </m:r>
              </m:oMath>
            </m:oMathPara>
          </w:p>
          <w:p w14:paraId="0DEAADD5" w14:textId="77777777" w:rsidR="00EA5BBF" w:rsidRPr="001570EA" w:rsidRDefault="00EA5BBF">
            <w:pPr>
              <w:tabs>
                <w:tab w:val="left" w:pos="720"/>
                <w:tab w:val="left" w:pos="2880"/>
              </w:tabs>
              <w:rPr>
                <w:rFonts w:eastAsia="Calibri" w:cs="Arial"/>
                <w:i/>
                <w:szCs w:val="22"/>
              </w:rPr>
            </w:pPr>
          </w:p>
        </w:tc>
        <w:tc>
          <w:tcPr>
            <w:tcW w:w="7032" w:type="dxa"/>
            <w:shd w:val="clear" w:color="auto" w:fill="auto"/>
          </w:tcPr>
          <w:p w14:paraId="7F1B7454" w14:textId="77777777" w:rsidR="00EA5BBF" w:rsidRPr="001570EA" w:rsidRDefault="003B5E04">
            <w:pPr>
              <w:tabs>
                <w:tab w:val="left" w:pos="720"/>
                <w:tab w:val="left" w:pos="2880"/>
              </w:tabs>
              <w:rPr>
                <w:rFonts w:eastAsia="Calibri" w:cs="Arial"/>
                <w:i/>
              </w:rPr>
            </w:pPr>
            <m:oMathPara>
              <m:oMathParaPr>
                <m:jc m:val="left"/>
              </m:oMathParaPr>
              <m:oMath>
                <m:sSub>
                  <m:sSubPr>
                    <m:ctrlPr>
                      <w:rPr>
                        <w:rFonts w:ascii="Cambria Math" w:eastAsia="Calibri" w:hAnsi="Cambria Math" w:cs="Arial"/>
                        <w:i/>
                      </w:rPr>
                    </m:ctrlPr>
                  </m:sSubPr>
                  <m:e>
                    <m:r>
                      <w:rPr>
                        <w:rFonts w:ascii="Cambria Math" w:eastAsia="Calibri" w:hAnsi="Cambria Math" w:cs="Arial"/>
                      </w:rPr>
                      <m:t>=∆kWh</m:t>
                    </m:r>
                  </m:e>
                  <m:sub>
                    <m:r>
                      <w:rPr>
                        <w:rFonts w:ascii="Cambria Math" w:eastAsia="Calibri" w:hAnsi="Cambria Math" w:cs="Arial"/>
                      </w:rPr>
                      <m:t>cool</m:t>
                    </m:r>
                  </m:sub>
                </m:sSub>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∆kWh</m:t>
                    </m:r>
                  </m:e>
                  <m:sub>
                    <m:r>
                      <w:rPr>
                        <w:rFonts w:ascii="Cambria Math" w:eastAsia="Calibri" w:hAnsi="Cambria Math" w:cs="Arial"/>
                      </w:rPr>
                      <m:t>heat</m:t>
                    </m:r>
                  </m:sub>
                </m:sSub>
              </m:oMath>
            </m:oMathPara>
          </w:p>
          <w:p w14:paraId="5B4AC44F" w14:textId="77777777" w:rsidR="00EA5BBF" w:rsidRPr="001570EA" w:rsidRDefault="00EA5BBF">
            <w:pPr>
              <w:tabs>
                <w:tab w:val="left" w:pos="720"/>
                <w:tab w:val="left" w:pos="2880"/>
              </w:tabs>
              <w:rPr>
                <w:rFonts w:eastAsia="Calibri" w:cs="Arial"/>
                <w:i/>
                <w:szCs w:val="22"/>
              </w:rPr>
            </w:pPr>
          </w:p>
        </w:tc>
      </w:tr>
      <w:tr w:rsidR="00EA5BBF" w:rsidRPr="001570EA" w14:paraId="1D7C3CBF" w14:textId="77777777">
        <w:tc>
          <w:tcPr>
            <w:tcW w:w="1608" w:type="dxa"/>
            <w:shd w:val="clear" w:color="auto" w:fill="auto"/>
            <w:vAlign w:val="center"/>
          </w:tcPr>
          <w:p w14:paraId="39DAD138" w14:textId="77777777" w:rsidR="00EA5BBF" w:rsidRPr="001570EA" w:rsidRDefault="003B5E04">
            <w:pPr>
              <w:tabs>
                <w:tab w:val="left" w:pos="720"/>
                <w:tab w:val="left" w:pos="2880"/>
              </w:tabs>
            </w:pPr>
            <m:oMathPara>
              <m:oMathParaPr>
                <m:jc m:val="left"/>
              </m:oMathParaPr>
              <m:oMath>
                <m:sSub>
                  <m:sSubPr>
                    <m:ctrlPr>
                      <w:rPr>
                        <w:rFonts w:ascii="Cambria Math" w:eastAsia="Calibri" w:hAnsi="Cambria Math" w:cs="Arial"/>
                        <w:i/>
                      </w:rPr>
                    </m:ctrlPr>
                  </m:sSubPr>
                  <m:e>
                    <m:r>
                      <w:rPr>
                        <w:rFonts w:ascii="Cambria Math" w:eastAsia="Calibri" w:hAnsi="Cambria Math" w:cs="Arial"/>
                      </w:rPr>
                      <m:t>∆kWh</m:t>
                    </m:r>
                  </m:e>
                  <m:sub>
                    <m:r>
                      <w:rPr>
                        <w:rFonts w:ascii="Cambria Math" w:eastAsia="Calibri" w:hAnsi="Cambria Math" w:cs="Arial"/>
                      </w:rPr>
                      <m:t>cool</m:t>
                    </m:r>
                  </m:sub>
                </m:sSub>
              </m:oMath>
            </m:oMathPara>
          </w:p>
        </w:tc>
        <w:tc>
          <w:tcPr>
            <w:tcW w:w="7032" w:type="dxa"/>
            <w:shd w:val="clear" w:color="auto" w:fill="auto"/>
          </w:tcPr>
          <w:p w14:paraId="1A99250B" w14:textId="77777777" w:rsidR="00EA5BBF" w:rsidRPr="001570EA" w:rsidRDefault="00EA5BBF">
            <w:pPr>
              <w:tabs>
                <w:tab w:val="left" w:pos="720"/>
                <w:tab w:val="left" w:pos="2880"/>
              </w:tabs>
              <w:rPr>
                <w:szCs w:val="17"/>
              </w:rPr>
            </w:pPr>
            <m:oMathPara>
              <m:oMathParaPr>
                <m:jc m:val="left"/>
              </m:oMathParaPr>
              <m:oMath>
                <m:r>
                  <w:rPr>
                    <w:rFonts w:ascii="Cambria Math" w:eastAsia="Calibri" w:hAnsi="Cambria Math" w:cs="Arial"/>
                  </w:rPr>
                  <m:t>=</m:t>
                </m:r>
                <m:d>
                  <m:dPr>
                    <m:ctrlPr>
                      <w:rPr>
                        <w:rFonts w:ascii="Cambria Math" w:eastAsia="Calibri" w:hAnsi="Cambria Math" w:cs="Arial"/>
                        <w:i/>
                      </w:rPr>
                    </m:ctrlPr>
                  </m:dPr>
                  <m:e>
                    <m:f>
                      <m:fPr>
                        <m:ctrlPr>
                          <w:rPr>
                            <w:rFonts w:ascii="Cambria Math" w:eastAsia="Calibri" w:hAnsi="Cambria Math" w:cs="Arial"/>
                            <w:i/>
                          </w:rPr>
                        </m:ctrlPr>
                      </m:fPr>
                      <m:num>
                        <m:r>
                          <w:rPr>
                            <w:rFonts w:ascii="Cambria Math" w:eastAsia="Calibri" w:hAnsi="Cambria Math" w:cs="Arial"/>
                          </w:rPr>
                          <m:t>1</m:t>
                        </m:r>
                      </m:num>
                      <m:den>
                        <m:sSub>
                          <m:sSubPr>
                            <m:ctrlPr>
                              <w:rPr>
                                <w:rFonts w:ascii="Cambria Math" w:eastAsia="Calibri" w:hAnsi="Cambria Math" w:cs="Arial"/>
                                <w:i/>
                              </w:rPr>
                            </m:ctrlPr>
                          </m:sSubPr>
                          <m:e>
                            <m:r>
                              <w:rPr>
                                <w:rFonts w:ascii="Cambria Math" w:eastAsia="Calibri" w:hAnsi="Cambria Math" w:cs="Arial"/>
                              </w:rPr>
                              <m:t>R</m:t>
                            </m:r>
                          </m:e>
                          <m:sub>
                            <m:r>
                              <w:rPr>
                                <w:rFonts w:ascii="Cambria Math" w:eastAsia="Calibri" w:hAnsi="Cambria Math" w:cs="Arial"/>
                              </w:rPr>
                              <m:t>base,ag</m:t>
                            </m:r>
                          </m:sub>
                        </m:sSub>
                      </m:den>
                    </m:f>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1</m:t>
                        </m:r>
                      </m:num>
                      <m:den>
                        <m:sSub>
                          <m:sSubPr>
                            <m:ctrlPr>
                              <w:rPr>
                                <w:rFonts w:ascii="Cambria Math" w:eastAsia="Calibri" w:hAnsi="Cambria Math" w:cs="Arial"/>
                                <w:i/>
                              </w:rPr>
                            </m:ctrlPr>
                          </m:sSubPr>
                          <m:e>
                            <m:r>
                              <w:rPr>
                                <w:rFonts w:ascii="Cambria Math" w:eastAsia="Calibri" w:hAnsi="Cambria Math" w:cs="Arial"/>
                              </w:rPr>
                              <m:t>R</m:t>
                            </m:r>
                          </m:e>
                          <m:sub>
                            <m:r>
                              <w:rPr>
                                <w:rFonts w:ascii="Cambria Math" w:eastAsia="Calibri" w:hAnsi="Cambria Math" w:cs="Arial"/>
                              </w:rPr>
                              <m:t>base,ag</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R</m:t>
                            </m:r>
                          </m:e>
                          <m:sub>
                            <m:r>
                              <w:rPr>
                                <w:rFonts w:ascii="Cambria Math" w:eastAsia="Calibri" w:hAnsi="Cambria Math" w:cs="Arial"/>
                              </w:rPr>
                              <m:t>ee</m:t>
                            </m:r>
                          </m:sub>
                        </m:sSub>
                      </m:den>
                    </m:f>
                  </m:e>
                </m:d>
                <m:r>
                  <w:rPr>
                    <w:rFonts w:ascii="Cambria Math" w:eastAsia="Calibri" w:hAnsi="Cambria Math" w:cs="Arial"/>
                  </w:rPr>
                  <m:t xml:space="preserve">× </m:t>
                </m:r>
                <m:f>
                  <m:fPr>
                    <m:ctrlPr>
                      <w:rPr>
                        <w:rFonts w:ascii="Cambria Math" w:eastAsia="Calibri" w:hAnsi="Cambria Math" w:cs="Arial"/>
                        <w:i/>
                      </w:rPr>
                    </m:ctrlPr>
                  </m:fPr>
                  <m:num>
                    <m:r>
                      <w:rPr>
                        <w:rFonts w:ascii="Cambria Math" w:eastAsia="Calibri" w:hAnsi="Cambria Math" w:cs="Arial"/>
                      </w:rPr>
                      <m:t>L×</m:t>
                    </m:r>
                    <m:sSub>
                      <m:sSubPr>
                        <m:ctrlPr>
                          <w:rPr>
                            <w:rFonts w:ascii="Cambria Math" w:eastAsia="Calibri" w:hAnsi="Cambria Math" w:cs="Arial"/>
                            <w:i/>
                          </w:rPr>
                        </m:ctrlPr>
                      </m:sSubPr>
                      <m:e>
                        <m:r>
                          <w:rPr>
                            <w:rFonts w:ascii="Cambria Math" w:eastAsia="Calibri" w:hAnsi="Cambria Math" w:cs="Arial"/>
                          </w:rPr>
                          <m:t>H</m:t>
                        </m:r>
                      </m:e>
                      <m:sub>
                        <m:r>
                          <w:rPr>
                            <w:rFonts w:ascii="Cambria Math" w:eastAsia="Calibri" w:hAnsi="Cambria Math" w:cs="Arial"/>
                          </w:rPr>
                          <m:t>ag</m:t>
                        </m:r>
                      </m:sub>
                    </m:sSub>
                    <m:r>
                      <w:rPr>
                        <w:rFonts w:ascii="Cambria Math" w:eastAsia="Calibri" w:hAnsi="Cambria Math" w:cs="Arial"/>
                      </w:rPr>
                      <m:t>×</m:t>
                    </m:r>
                    <m:d>
                      <m:dPr>
                        <m:ctrlPr>
                          <w:rPr>
                            <w:rFonts w:ascii="Cambria Math" w:eastAsia="Calibri" w:hAnsi="Cambria Math" w:cs="Arial"/>
                            <w:i/>
                          </w:rPr>
                        </m:ctrlPr>
                      </m:dPr>
                      <m:e>
                        <m:r>
                          <w:rPr>
                            <w:rFonts w:ascii="Cambria Math" w:eastAsia="Calibri" w:hAnsi="Cambria Math" w:cs="Arial"/>
                          </w:rPr>
                          <m:t>1-FF</m:t>
                        </m:r>
                      </m:e>
                    </m:d>
                    <m:r>
                      <w:rPr>
                        <w:rFonts w:ascii="Cambria Math" w:eastAsia="Calibri" w:hAnsi="Cambria Math" w:cs="Arial"/>
                      </w:rPr>
                      <m:t>×CDD×</m:t>
                    </m:r>
                    <m:r>
                      <m:rPr>
                        <m:sty m:val="p"/>
                      </m:rPr>
                      <w:rPr>
                        <w:rFonts w:ascii="Cambria Math" w:hAnsi="Cambria Math" w:cs="Arial"/>
                      </w:rPr>
                      <m:t>24</m:t>
                    </m:r>
                  </m:num>
                  <m:den>
                    <m:r>
                      <m:rPr>
                        <m:sty m:val="p"/>
                      </m:rPr>
                      <w:rPr>
                        <w:rFonts w:ascii="Cambria Math" w:hAnsi="Cambria Math"/>
                        <w:szCs w:val="17"/>
                      </w:rPr>
                      <m:t>SEER×1,000</m:t>
                    </m:r>
                  </m:den>
                </m:f>
                <m:r>
                  <w:rPr>
                    <w:rFonts w:ascii="Cambria Math" w:eastAsia="Calibri" w:hAnsi="Cambria Math" w:cs="Arial"/>
                  </w:rPr>
                  <m:t>×DUA</m:t>
                </m:r>
                <m:r>
                  <w:rPr>
                    <w:rFonts w:ascii="Cambria Math" w:hAnsi="Cambria Math"/>
                    <w:szCs w:val="17"/>
                  </w:rPr>
                  <m:t>×</m:t>
                </m:r>
                <m:sSub>
                  <m:sSubPr>
                    <m:ctrlPr>
                      <w:rPr>
                        <w:rFonts w:ascii="Cambria Math" w:hAnsi="Cambria Math"/>
                        <w:szCs w:val="17"/>
                      </w:rPr>
                    </m:ctrlPr>
                  </m:sSubPr>
                  <m:e>
                    <m:r>
                      <w:rPr>
                        <w:rFonts w:ascii="Cambria Math" w:hAnsi="Cambria Math"/>
                        <w:szCs w:val="17"/>
                      </w:rPr>
                      <m:t>F</m:t>
                    </m:r>
                  </m:e>
                  <m:sub>
                    <m:r>
                      <w:rPr>
                        <w:rFonts w:ascii="Cambria Math" w:hAnsi="Cambria Math"/>
                        <w:szCs w:val="17"/>
                      </w:rPr>
                      <m:t>RAC</m:t>
                    </m:r>
                  </m:sub>
                </m:sSub>
              </m:oMath>
            </m:oMathPara>
          </w:p>
          <w:p w14:paraId="002EC65B" w14:textId="77777777" w:rsidR="00EA5BBF" w:rsidRPr="001570EA" w:rsidRDefault="00EA5BBF">
            <w:pPr>
              <w:tabs>
                <w:tab w:val="left" w:pos="720"/>
                <w:tab w:val="left" w:pos="2880"/>
              </w:tabs>
              <w:rPr>
                <w:szCs w:val="22"/>
              </w:rPr>
            </w:pPr>
          </w:p>
        </w:tc>
      </w:tr>
      <w:tr w:rsidR="00EA5BBF" w:rsidRPr="001570EA" w14:paraId="1337EC5C" w14:textId="77777777">
        <w:tc>
          <w:tcPr>
            <w:tcW w:w="1608" w:type="dxa"/>
            <w:shd w:val="clear" w:color="auto" w:fill="auto"/>
          </w:tcPr>
          <w:p w14:paraId="42331AE5" w14:textId="77777777" w:rsidR="00EA5BBF" w:rsidRPr="001570EA" w:rsidRDefault="003B5E04">
            <w:pPr>
              <w:tabs>
                <w:tab w:val="left" w:pos="720"/>
                <w:tab w:val="left" w:pos="2880"/>
              </w:tabs>
            </w:pPr>
            <m:oMathPara>
              <m:oMathParaPr>
                <m:jc m:val="left"/>
              </m:oMathParaPr>
              <m:oMath>
                <m:sSub>
                  <m:sSubPr>
                    <m:ctrlPr>
                      <w:rPr>
                        <w:rFonts w:ascii="Cambria Math" w:eastAsia="Calibri" w:hAnsi="Cambria Math" w:cs="Arial"/>
                        <w:i/>
                      </w:rPr>
                    </m:ctrlPr>
                  </m:sSubPr>
                  <m:e>
                    <m:r>
                      <w:rPr>
                        <w:rFonts w:ascii="Cambria Math" w:eastAsia="Calibri" w:hAnsi="Cambria Math" w:cs="Arial"/>
                      </w:rPr>
                      <m:t>∆kWh</m:t>
                    </m:r>
                  </m:e>
                  <m:sub>
                    <m:r>
                      <w:rPr>
                        <w:rFonts w:ascii="Cambria Math" w:eastAsia="Calibri" w:hAnsi="Cambria Math" w:cs="Arial"/>
                      </w:rPr>
                      <m:t>heat</m:t>
                    </m:r>
                  </m:sub>
                </m:sSub>
              </m:oMath>
            </m:oMathPara>
          </w:p>
        </w:tc>
        <w:tc>
          <w:tcPr>
            <w:tcW w:w="7032" w:type="dxa"/>
            <w:shd w:val="clear" w:color="auto" w:fill="auto"/>
          </w:tcPr>
          <w:p w14:paraId="3D9B8B33" w14:textId="77777777" w:rsidR="00EA5BBF" w:rsidRPr="001570EA" w:rsidRDefault="00EA5BBF">
            <w:pPr>
              <w:tabs>
                <w:tab w:val="left" w:pos="162"/>
              </w:tabs>
              <w:rPr>
                <w:rFonts w:eastAsia="Calibri" w:cs="Arial"/>
                <w:i/>
                <w:szCs w:val="22"/>
              </w:rPr>
            </w:pPr>
            <m:oMathPara>
              <m:oMathParaPr>
                <m:jc m:val="left"/>
              </m:oMathParaPr>
              <m:oMath>
                <m:r>
                  <w:rPr>
                    <w:rFonts w:ascii="Cambria Math" w:eastAsia="Calibri" w:hAnsi="Cambria Math" w:cs="Arial"/>
                  </w:rPr>
                  <m:t>=</m:t>
                </m:r>
                <m:d>
                  <m:dPr>
                    <m:begChr m:val="{"/>
                    <m:endChr m:val="}"/>
                    <m:ctrlPr>
                      <w:rPr>
                        <w:rFonts w:ascii="Cambria Math" w:eastAsia="Calibri" w:hAnsi="Cambria Math" w:cs="Arial"/>
                        <w:i/>
                      </w:rPr>
                    </m:ctrlPr>
                  </m:dPr>
                  <m:e>
                    <m:d>
                      <m:dPr>
                        <m:ctrlPr>
                          <w:rPr>
                            <w:rFonts w:ascii="Cambria Math" w:eastAsia="Calibri" w:hAnsi="Cambria Math" w:cs="Arial"/>
                            <w:i/>
                          </w:rPr>
                        </m:ctrlPr>
                      </m:dPr>
                      <m:e>
                        <m:f>
                          <m:fPr>
                            <m:ctrlPr>
                              <w:rPr>
                                <w:rFonts w:ascii="Cambria Math" w:eastAsia="Calibri" w:hAnsi="Cambria Math" w:cs="Arial"/>
                                <w:i/>
                              </w:rPr>
                            </m:ctrlPr>
                          </m:fPr>
                          <m:num>
                            <m:r>
                              <w:rPr>
                                <w:rFonts w:ascii="Cambria Math" w:eastAsia="Calibri" w:hAnsi="Cambria Math" w:cs="Arial"/>
                              </w:rPr>
                              <m:t>1</m:t>
                            </m:r>
                          </m:num>
                          <m:den>
                            <m:sSub>
                              <m:sSubPr>
                                <m:ctrlPr>
                                  <w:rPr>
                                    <w:rFonts w:ascii="Cambria Math" w:eastAsia="Calibri" w:hAnsi="Cambria Math" w:cs="Arial"/>
                                    <w:i/>
                                  </w:rPr>
                                </m:ctrlPr>
                              </m:sSubPr>
                              <m:e>
                                <m:r>
                                  <w:rPr>
                                    <w:rFonts w:ascii="Cambria Math" w:eastAsia="Calibri" w:hAnsi="Cambria Math" w:cs="Arial"/>
                                  </w:rPr>
                                  <m:t>R</m:t>
                                </m:r>
                              </m:e>
                              <m:sub>
                                <m:r>
                                  <w:rPr>
                                    <w:rFonts w:ascii="Cambria Math" w:eastAsia="Calibri" w:hAnsi="Cambria Math" w:cs="Arial"/>
                                  </w:rPr>
                                  <m:t>base,ag</m:t>
                                </m:r>
                              </m:sub>
                            </m:sSub>
                          </m:den>
                        </m:f>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1</m:t>
                            </m:r>
                          </m:num>
                          <m:den>
                            <m:sSub>
                              <m:sSubPr>
                                <m:ctrlPr>
                                  <w:rPr>
                                    <w:rFonts w:ascii="Cambria Math" w:eastAsia="Calibri" w:hAnsi="Cambria Math" w:cs="Arial"/>
                                    <w:i/>
                                  </w:rPr>
                                </m:ctrlPr>
                              </m:sSubPr>
                              <m:e>
                                <m:r>
                                  <w:rPr>
                                    <w:rFonts w:ascii="Cambria Math" w:eastAsia="Calibri" w:hAnsi="Cambria Math" w:cs="Arial"/>
                                  </w:rPr>
                                  <m:t>R</m:t>
                                </m:r>
                              </m:e>
                              <m:sub>
                                <m:r>
                                  <w:rPr>
                                    <w:rFonts w:ascii="Cambria Math" w:eastAsia="Calibri" w:hAnsi="Cambria Math" w:cs="Arial"/>
                                  </w:rPr>
                                  <m:t>base,ag</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R</m:t>
                                </m:r>
                              </m:e>
                              <m:sub>
                                <m:r>
                                  <w:rPr>
                                    <w:rFonts w:ascii="Cambria Math" w:eastAsia="Calibri" w:hAnsi="Cambria Math" w:cs="Arial"/>
                                  </w:rPr>
                                  <m:t>ee</m:t>
                                </m:r>
                              </m:sub>
                            </m:sSub>
                          </m:den>
                        </m:f>
                      </m:e>
                    </m:d>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H</m:t>
                        </m:r>
                      </m:e>
                      <m:sub>
                        <m:r>
                          <w:rPr>
                            <w:rFonts w:ascii="Cambria Math" w:eastAsia="Calibri" w:hAnsi="Cambria Math" w:cs="Arial"/>
                          </w:rPr>
                          <m:t>ag</m:t>
                        </m:r>
                      </m:sub>
                    </m:sSub>
                    <m:r>
                      <w:rPr>
                        <w:rFonts w:ascii="Cambria Math" w:eastAsia="Calibri" w:hAnsi="Cambria Math" w:cs="Arial"/>
                      </w:rPr>
                      <m:t>+</m:t>
                    </m:r>
                    <m:d>
                      <m:dPr>
                        <m:ctrlPr>
                          <w:rPr>
                            <w:rFonts w:ascii="Cambria Math" w:eastAsia="Calibri" w:hAnsi="Cambria Math" w:cs="Arial"/>
                            <w:i/>
                          </w:rPr>
                        </m:ctrlPr>
                      </m:dPr>
                      <m:e>
                        <m:f>
                          <m:fPr>
                            <m:ctrlPr>
                              <w:rPr>
                                <w:rFonts w:ascii="Cambria Math" w:eastAsia="Calibri" w:hAnsi="Cambria Math" w:cs="Arial"/>
                                <w:i/>
                              </w:rPr>
                            </m:ctrlPr>
                          </m:fPr>
                          <m:num>
                            <m:r>
                              <w:rPr>
                                <w:rFonts w:ascii="Cambria Math" w:eastAsia="Calibri" w:hAnsi="Cambria Math" w:cs="Arial"/>
                              </w:rPr>
                              <m:t>1</m:t>
                            </m:r>
                          </m:num>
                          <m:den>
                            <m:sSub>
                              <m:sSubPr>
                                <m:ctrlPr>
                                  <w:rPr>
                                    <w:rFonts w:ascii="Cambria Math" w:eastAsia="Calibri" w:hAnsi="Cambria Math" w:cs="Arial"/>
                                    <w:i/>
                                  </w:rPr>
                                </m:ctrlPr>
                              </m:sSubPr>
                              <m:e>
                                <m:r>
                                  <w:rPr>
                                    <w:rFonts w:ascii="Cambria Math" w:eastAsia="Calibri" w:hAnsi="Cambria Math" w:cs="Arial"/>
                                  </w:rPr>
                                  <m:t>R</m:t>
                                </m:r>
                              </m:e>
                              <m:sub>
                                <m:r>
                                  <w:rPr>
                                    <w:rFonts w:ascii="Cambria Math" w:eastAsia="Calibri" w:hAnsi="Cambria Math" w:cs="Arial"/>
                                  </w:rPr>
                                  <m:t>base,bg</m:t>
                                </m:r>
                              </m:sub>
                            </m:sSub>
                          </m:den>
                        </m:f>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1</m:t>
                            </m:r>
                          </m:num>
                          <m:den>
                            <m:sSub>
                              <m:sSubPr>
                                <m:ctrlPr>
                                  <w:rPr>
                                    <w:rFonts w:ascii="Cambria Math" w:eastAsia="Calibri" w:hAnsi="Cambria Math" w:cs="Arial"/>
                                    <w:i/>
                                  </w:rPr>
                                </m:ctrlPr>
                              </m:sSubPr>
                              <m:e>
                                <m:r>
                                  <w:rPr>
                                    <w:rFonts w:ascii="Cambria Math" w:eastAsia="Calibri" w:hAnsi="Cambria Math" w:cs="Arial"/>
                                  </w:rPr>
                                  <m:t>R</m:t>
                                </m:r>
                              </m:e>
                              <m:sub>
                                <m:r>
                                  <w:rPr>
                                    <w:rFonts w:ascii="Cambria Math" w:eastAsia="Calibri" w:hAnsi="Cambria Math" w:cs="Arial"/>
                                  </w:rPr>
                                  <m:t>base,bg</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R</m:t>
                                </m:r>
                              </m:e>
                              <m:sub>
                                <m:r>
                                  <w:rPr>
                                    <w:rFonts w:ascii="Cambria Math" w:eastAsia="Calibri" w:hAnsi="Cambria Math" w:cs="Arial"/>
                                  </w:rPr>
                                  <m:t>ee</m:t>
                                </m:r>
                              </m:sub>
                            </m:sSub>
                          </m:den>
                        </m:f>
                      </m:e>
                    </m:d>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H</m:t>
                        </m:r>
                      </m:e>
                      <m:sub>
                        <m:r>
                          <w:rPr>
                            <w:rFonts w:ascii="Cambria Math" w:eastAsia="Calibri" w:hAnsi="Cambria Math" w:cs="Arial"/>
                          </w:rPr>
                          <m:t>bg</m:t>
                        </m:r>
                      </m:sub>
                    </m:sSub>
                  </m:e>
                </m:d>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L×</m:t>
                    </m:r>
                    <m:d>
                      <m:dPr>
                        <m:ctrlPr>
                          <w:rPr>
                            <w:rFonts w:ascii="Cambria Math" w:eastAsia="Calibri" w:hAnsi="Cambria Math" w:cs="Arial"/>
                            <w:i/>
                          </w:rPr>
                        </m:ctrlPr>
                      </m:dPr>
                      <m:e>
                        <m:r>
                          <w:rPr>
                            <w:rFonts w:ascii="Cambria Math" w:eastAsia="Calibri" w:hAnsi="Cambria Math" w:cs="Arial"/>
                          </w:rPr>
                          <m:t>1-FF</m:t>
                        </m:r>
                      </m:e>
                    </m:d>
                    <m:r>
                      <w:rPr>
                        <w:rFonts w:ascii="Cambria Math" w:eastAsia="Calibri" w:hAnsi="Cambria Math" w:cs="Arial"/>
                      </w:rPr>
                      <m:t>×HDD×</m:t>
                    </m:r>
                    <m:r>
                      <m:rPr>
                        <m:sty m:val="p"/>
                      </m:rPr>
                      <w:rPr>
                        <w:rFonts w:ascii="Cambria Math" w:hAnsi="Cambria Math" w:cs="Arial"/>
                      </w:rPr>
                      <m:t>24</m:t>
                    </m:r>
                  </m:num>
                  <m:den>
                    <m:r>
                      <m:rPr>
                        <m:sty m:val="p"/>
                      </m:rPr>
                      <w:rPr>
                        <w:rFonts w:ascii="Cambria Math" w:hAnsi="Cambria Math"/>
                        <w:szCs w:val="17"/>
                      </w:rPr>
                      <m:t>HSPF×1,000</m:t>
                    </m:r>
                  </m:den>
                </m:f>
              </m:oMath>
            </m:oMathPara>
          </w:p>
        </w:tc>
      </w:tr>
      <w:tr w:rsidR="00EA5BBF" w:rsidRPr="001570EA" w14:paraId="221C01AE" w14:textId="77777777">
        <w:tc>
          <w:tcPr>
            <w:tcW w:w="1608" w:type="dxa"/>
            <w:shd w:val="clear" w:color="auto" w:fill="auto"/>
          </w:tcPr>
          <w:p w14:paraId="63734E2D" w14:textId="77777777" w:rsidR="00EA5BBF" w:rsidRPr="001570EA" w:rsidRDefault="00EA5BBF">
            <w:pPr>
              <w:tabs>
                <w:tab w:val="left" w:pos="720"/>
                <w:tab w:val="left" w:pos="2880"/>
              </w:tabs>
            </w:pPr>
            <m:oMathPara>
              <m:oMath>
                <m:r>
                  <m:rPr>
                    <m:nor/>
                  </m:rPr>
                  <w:rPr>
                    <w:rFonts w:ascii="Cambria Math" w:hAnsi="Cambria Math"/>
                  </w:rPr>
                  <m:t>∆</m:t>
                </m:r>
                <m:sSub>
                  <m:sSubPr>
                    <m:ctrlPr>
                      <w:rPr>
                        <w:rFonts w:ascii="Cambria Math" w:hAnsi="Cambria Math"/>
                      </w:rPr>
                    </m:ctrlPr>
                  </m:sSubPr>
                  <m:e>
                    <m:r>
                      <w:rPr>
                        <w:rFonts w:ascii="Cambria Math" w:hAnsi="Cambria Math"/>
                      </w:rPr>
                      <m:t>kW</m:t>
                    </m:r>
                  </m:e>
                  <m:sub>
                    <m:r>
                      <w:rPr>
                        <w:rFonts w:ascii="Cambria Math" w:hAnsi="Cambria Math"/>
                      </w:rPr>
                      <m:t>summer peak</m:t>
                    </m:r>
                  </m:sub>
                </m:sSub>
                <m:r>
                  <w:rPr>
                    <w:rFonts w:ascii="Cambria Math" w:hAnsi="Cambria Math"/>
                  </w:rPr>
                  <m:t xml:space="preserve"> </m:t>
                </m:r>
              </m:oMath>
            </m:oMathPara>
          </w:p>
        </w:tc>
        <w:tc>
          <w:tcPr>
            <w:tcW w:w="7032" w:type="dxa"/>
            <w:shd w:val="clear" w:color="auto" w:fill="auto"/>
          </w:tcPr>
          <w:p w14:paraId="598AFC7F" w14:textId="77777777" w:rsidR="00EA5BBF" w:rsidRPr="001570EA" w:rsidRDefault="00EA5BBF">
            <w:pPr>
              <w:tabs>
                <w:tab w:val="left" w:pos="162"/>
              </w:tabs>
              <w:rPr>
                <w:szCs w:val="20"/>
              </w:rPr>
            </w:pPr>
            <m:oMathPara>
              <m:oMathParaPr>
                <m:jc m:val="left"/>
              </m:oMathParaPr>
              <m:oMath>
                <m:r>
                  <w:rPr>
                    <w:rFonts w:ascii="Cambria Math" w:hAnsi="Cambria Math" w:cs="Arial"/>
                    <w:szCs w:val="20"/>
                  </w:rPr>
                  <m:t>=∆kW</m:t>
                </m:r>
                <m:sSub>
                  <m:sSubPr>
                    <m:ctrlPr>
                      <w:rPr>
                        <w:rFonts w:ascii="Cambria Math" w:hAnsi="Cambria Math" w:cs="Arial"/>
                        <w:szCs w:val="20"/>
                      </w:rPr>
                    </m:ctrlPr>
                  </m:sSubPr>
                  <m:e>
                    <m:r>
                      <w:rPr>
                        <w:rFonts w:ascii="Cambria Math" w:hAnsi="Cambria Math" w:cs="Arial"/>
                        <w:szCs w:val="20"/>
                      </w:rPr>
                      <m:t>h</m:t>
                    </m:r>
                  </m:e>
                  <m:sub>
                    <m:r>
                      <w:rPr>
                        <w:rFonts w:ascii="Cambria Math" w:hAnsi="Cambria Math" w:cs="Arial"/>
                        <w:szCs w:val="20"/>
                      </w:rPr>
                      <m:t>cool</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ETDF</m:t>
                    </m:r>
                  </m:e>
                  <m:sub>
                    <m:r>
                      <w:rPr>
                        <w:rFonts w:ascii="Cambria Math" w:hAnsi="Cambria Math" w:cs="Arial"/>
                        <w:szCs w:val="20"/>
                      </w:rPr>
                      <m:t>summer</m:t>
                    </m:r>
                  </m:sub>
                </m:sSub>
              </m:oMath>
            </m:oMathPara>
          </w:p>
          <w:p w14:paraId="44058068" w14:textId="77777777" w:rsidR="00EA5BBF" w:rsidRPr="001570EA" w:rsidRDefault="00EA5BBF">
            <w:pPr>
              <w:tabs>
                <w:tab w:val="left" w:pos="162"/>
              </w:tabs>
            </w:pPr>
          </w:p>
        </w:tc>
      </w:tr>
      <w:tr w:rsidR="00EA5BBF" w:rsidRPr="001570EA" w14:paraId="62D1A292" w14:textId="77777777">
        <w:tc>
          <w:tcPr>
            <w:tcW w:w="1608" w:type="dxa"/>
            <w:shd w:val="clear" w:color="auto" w:fill="auto"/>
          </w:tcPr>
          <w:p w14:paraId="27793945" w14:textId="77777777" w:rsidR="00EA5BBF" w:rsidRPr="001570EA" w:rsidRDefault="00EA5BBF">
            <w:pPr>
              <w:tabs>
                <w:tab w:val="left" w:pos="720"/>
                <w:tab w:val="left" w:pos="2880"/>
              </w:tabs>
            </w:pPr>
            <m:oMathPara>
              <m:oMath>
                <m:r>
                  <m:rPr>
                    <m:nor/>
                  </m:rPr>
                  <w:rPr>
                    <w:rFonts w:ascii="Cambria Math" w:hAnsi="Cambria Math"/>
                  </w:rPr>
                  <m:t>∆</m:t>
                </m:r>
                <m:sSub>
                  <m:sSubPr>
                    <m:ctrlPr>
                      <w:rPr>
                        <w:rFonts w:ascii="Cambria Math" w:hAnsi="Cambria Math"/>
                      </w:rPr>
                    </m:ctrlPr>
                  </m:sSubPr>
                  <m:e>
                    <m:r>
                      <w:rPr>
                        <w:rFonts w:ascii="Cambria Math" w:hAnsi="Cambria Math"/>
                      </w:rPr>
                      <m:t>kW</m:t>
                    </m:r>
                  </m:e>
                  <m:sub>
                    <m:r>
                      <w:rPr>
                        <w:rFonts w:ascii="Cambria Math" w:hAnsi="Cambria Math"/>
                      </w:rPr>
                      <m:t>winter peak</m:t>
                    </m:r>
                  </m:sub>
                </m:sSub>
              </m:oMath>
            </m:oMathPara>
          </w:p>
        </w:tc>
        <w:tc>
          <w:tcPr>
            <w:tcW w:w="7032" w:type="dxa"/>
            <w:shd w:val="clear" w:color="auto" w:fill="auto"/>
          </w:tcPr>
          <w:p w14:paraId="7096C35C" w14:textId="77777777" w:rsidR="00EA5BBF" w:rsidRPr="001570EA" w:rsidRDefault="00EA5BBF">
            <w:pPr>
              <w:tabs>
                <w:tab w:val="left" w:pos="162"/>
              </w:tabs>
            </w:pPr>
            <m:oMathPara>
              <m:oMathParaPr>
                <m:jc m:val="left"/>
              </m:oMathParaPr>
              <m:oMath>
                <m:r>
                  <w:rPr>
                    <w:rFonts w:ascii="Cambria Math" w:hAnsi="Cambria Math" w:cs="Arial"/>
                    <w:szCs w:val="20"/>
                  </w:rPr>
                  <m:t>=∆kW</m:t>
                </m:r>
                <m:sSub>
                  <m:sSubPr>
                    <m:ctrlPr>
                      <w:rPr>
                        <w:rFonts w:ascii="Cambria Math" w:hAnsi="Cambria Math" w:cs="Arial"/>
                        <w:szCs w:val="20"/>
                      </w:rPr>
                    </m:ctrlPr>
                  </m:sSubPr>
                  <m:e>
                    <m:r>
                      <w:rPr>
                        <w:rFonts w:ascii="Cambria Math" w:hAnsi="Cambria Math" w:cs="Arial"/>
                        <w:szCs w:val="20"/>
                      </w:rPr>
                      <m:t>h</m:t>
                    </m:r>
                  </m:e>
                  <m:sub>
                    <m:r>
                      <w:rPr>
                        <w:rFonts w:ascii="Cambria Math" w:hAnsi="Cambria Math" w:cs="Arial"/>
                        <w:szCs w:val="20"/>
                      </w:rPr>
                      <m:t>heat</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ETDF</m:t>
                    </m:r>
                  </m:e>
                  <m:sub>
                    <m:r>
                      <w:rPr>
                        <w:rFonts w:ascii="Cambria Math" w:hAnsi="Cambria Math" w:cs="Arial"/>
                        <w:szCs w:val="20"/>
                      </w:rPr>
                      <m:t>winter</m:t>
                    </m:r>
                  </m:sub>
                </m:sSub>
              </m:oMath>
            </m:oMathPara>
          </w:p>
        </w:tc>
      </w:tr>
    </w:tbl>
    <w:p w14:paraId="1F56A883" w14:textId="77777777" w:rsidR="00EA5BBF" w:rsidRPr="001570EA" w:rsidRDefault="00EA5BBF" w:rsidP="00EA5BBF">
      <w:pPr>
        <w:jc w:val="left"/>
      </w:pPr>
      <w:r w:rsidRPr="001570EA">
        <w:br w:type="page"/>
      </w:r>
    </w:p>
    <w:p w14:paraId="5A8B6B87" w14:textId="77777777" w:rsidR="00EA5BBF" w:rsidRPr="001570EA" w:rsidRDefault="00EA5BBF" w:rsidP="00EA5BBF">
      <w:pPr>
        <w:pStyle w:val="3ptheading"/>
        <w:keepNext/>
        <w:keepLines/>
      </w:pPr>
      <w:r w:rsidRPr="001570EA">
        <w:rPr>
          <w:rFonts w:cs="Arial"/>
        </w:rPr>
        <w:t>Gr</w:t>
      </w:r>
      <w:r w:rsidRPr="001570EA">
        <w:t>ound Source Heat Pumps (GSHP)</w:t>
      </w:r>
    </w:p>
    <w:p w14:paraId="31A8EDE4" w14:textId="77777777" w:rsidR="00EA5BBF" w:rsidRPr="001570EA" w:rsidRDefault="00EA5BBF" w:rsidP="00EA5BBF">
      <w:pPr>
        <w:keepNext/>
        <w:keepLines/>
      </w:pPr>
      <w:r w:rsidRPr="001570EA">
        <w:t>GSHP efficiencies are typically calculated differently than air-source units, baseline and qualifying unit efficiencies should be converted as follows:</w:t>
      </w:r>
    </w:p>
    <w:p w14:paraId="38BB011F" w14:textId="77777777" w:rsidR="00EA5BBF" w:rsidRPr="001570EA" w:rsidRDefault="00EA5BBF" w:rsidP="00EA5BBF">
      <w:pPr>
        <w:keepNext/>
        <w:keepLines/>
        <w:tabs>
          <w:tab w:val="left" w:pos="1440"/>
        </w:tabs>
        <w:spacing w:before="120"/>
        <w:rPr>
          <w:rFonts w:ascii="Cambria Math" w:hAnsi="Cambria Math"/>
          <w:i/>
        </w:rPr>
      </w:pPr>
      <w:r w:rsidRPr="001570EA">
        <w:rPr>
          <w:rFonts w:ascii="Cambria Math" w:hAnsi="Cambria Math"/>
          <w:i/>
        </w:rPr>
        <w:t>SEER</w:t>
      </w:r>
      <w:r w:rsidRPr="001570EA">
        <w:rPr>
          <w:rFonts w:ascii="Cambria Math" w:hAnsi="Cambria Math"/>
          <w:i/>
          <w:vertAlign w:val="subscript"/>
        </w:rPr>
        <w:tab/>
      </w:r>
      <w:r w:rsidRPr="001570EA">
        <w:rPr>
          <w:rFonts w:ascii="Cambria Math" w:hAnsi="Cambria Math"/>
          <w:i/>
        </w:rPr>
        <w:t>= EER</w:t>
      </w:r>
      <w:r w:rsidRPr="001570EA">
        <w:rPr>
          <w:rFonts w:ascii="Cambria Math" w:hAnsi="Cambria Math"/>
          <w:i/>
          <w:vertAlign w:val="subscript"/>
        </w:rPr>
        <w:t>g</w:t>
      </w:r>
      <w:r w:rsidRPr="001570EA">
        <w:rPr>
          <w:rFonts w:ascii="Cambria Math" w:hAnsi="Cambria Math"/>
          <w:i/>
        </w:rPr>
        <w:t xml:space="preserve"> </w:t>
      </w:r>
      <w:r w:rsidRPr="001570EA">
        <w:rPr>
          <w:rFonts w:ascii="Cambria Math" w:hAnsi="Cambria Math"/>
        </w:rPr>
        <w:t>×</w:t>
      </w:r>
      <w:r w:rsidRPr="001570EA">
        <w:rPr>
          <w:rFonts w:ascii="Cambria Math" w:hAnsi="Cambria Math"/>
          <w:i/>
        </w:rPr>
        <w:t xml:space="preserve"> GSHPDF </w:t>
      </w:r>
    </w:p>
    <w:p w14:paraId="7926CC10" w14:textId="77777777" w:rsidR="00EA5BBF" w:rsidRPr="001570EA" w:rsidRDefault="00EA5BBF" w:rsidP="00EA5BBF">
      <w:pPr>
        <w:tabs>
          <w:tab w:val="left" w:pos="1440"/>
        </w:tabs>
        <w:spacing w:before="60"/>
        <w:rPr>
          <w:rFonts w:ascii="Cambria Math" w:hAnsi="Cambria Math"/>
          <w:b/>
          <w:i/>
        </w:rPr>
      </w:pPr>
      <w:r w:rsidRPr="001570EA">
        <w:rPr>
          <w:rFonts w:ascii="Cambria Math" w:hAnsi="Cambria Math"/>
          <w:i/>
        </w:rPr>
        <w:t>HSPF</w:t>
      </w:r>
      <w:r w:rsidRPr="001570EA">
        <w:rPr>
          <w:rFonts w:ascii="Cambria Math" w:hAnsi="Cambria Math"/>
          <w:b/>
          <w:i/>
          <w:vertAlign w:val="subscript"/>
        </w:rPr>
        <w:tab/>
      </w:r>
      <w:r w:rsidRPr="001570EA">
        <w:rPr>
          <w:rFonts w:ascii="Cambria Math" w:hAnsi="Cambria Math"/>
          <w:bCs/>
          <w:i/>
        </w:rPr>
        <w:t>=</w:t>
      </w:r>
      <w:r w:rsidRPr="001570EA">
        <w:rPr>
          <w:rFonts w:ascii="Cambria Math" w:hAnsi="Cambria Math"/>
          <w:i/>
        </w:rPr>
        <w:t>COP</w:t>
      </w:r>
      <w:r w:rsidRPr="001570EA">
        <w:rPr>
          <w:rFonts w:ascii="Cambria Math" w:hAnsi="Cambria Math"/>
          <w:i/>
          <w:vertAlign w:val="subscript"/>
        </w:rPr>
        <w:t>g</w:t>
      </w:r>
      <w:r w:rsidRPr="001570EA">
        <w:rPr>
          <w:rFonts w:ascii="Cambria Math" w:hAnsi="Cambria Math"/>
          <w:i/>
        </w:rPr>
        <w:t xml:space="preserve"> </w:t>
      </w:r>
      <w:r w:rsidRPr="001570EA">
        <w:rPr>
          <w:rFonts w:ascii="Cambria Math" w:hAnsi="Cambria Math"/>
        </w:rPr>
        <w:t xml:space="preserve">× </w:t>
      </w:r>
      <w:r w:rsidRPr="001570EA">
        <w:rPr>
          <w:rFonts w:ascii="Cambria Math" w:hAnsi="Cambria Math"/>
          <w:i/>
        </w:rPr>
        <w:t xml:space="preserve">GSHPDF </w:t>
      </w:r>
      <w:r w:rsidRPr="001570EA">
        <w:rPr>
          <w:rFonts w:ascii="Cambria Math" w:hAnsi="Cambria Math"/>
        </w:rPr>
        <w:t>×3.412</w:t>
      </w:r>
      <m:oMath>
        <m:f>
          <m:fPr>
            <m:ctrlPr>
              <w:rPr>
                <w:rFonts w:ascii="Cambria Math" w:hAnsi="Cambria Math" w:cs="Arial"/>
              </w:rPr>
            </m:ctrlPr>
          </m:fPr>
          <m:num>
            <m:r>
              <m:rPr>
                <m:nor/>
              </m:rPr>
              <w:rPr>
                <w:rFonts w:ascii="Cambria Math" w:hAnsi="Cambria Math" w:cs="Arial"/>
                <w:iCs/>
              </w:rPr>
              <m:t>BTU</m:t>
            </m:r>
            <m:ctrlPr>
              <w:rPr>
                <w:rFonts w:ascii="Cambria Math" w:hAnsi="Cambria Math" w:cs="Arial"/>
                <w:iCs/>
              </w:rPr>
            </m:ctrlPr>
          </m:num>
          <m:den>
            <m:r>
              <m:rPr>
                <m:nor/>
              </m:rPr>
              <w:rPr>
                <w:rFonts w:ascii="Cambria Math" w:hAnsi="Cambria Math" w:cs="Arial"/>
                <w:iCs/>
              </w:rPr>
              <m:t>W∙h</m:t>
            </m:r>
          </m:den>
        </m:f>
      </m:oMath>
    </w:p>
    <w:p w14:paraId="606F7ECB" w14:textId="77777777" w:rsidR="00EA5BBF" w:rsidRPr="001570EA" w:rsidRDefault="00EA5BBF" w:rsidP="00EA5BBF">
      <w:pPr>
        <w:rPr>
          <w:rFonts w:cs="Arial"/>
        </w:rPr>
      </w:pPr>
    </w:p>
    <w:p w14:paraId="30600AB0" w14:textId="77777777" w:rsidR="00EA5BBF" w:rsidRPr="001570EA" w:rsidRDefault="00EA5BBF" w:rsidP="00EA5BBF">
      <w:pPr>
        <w:rPr>
          <w:rFonts w:cs="Arial"/>
          <w:b/>
        </w:rPr>
      </w:pPr>
      <w:r w:rsidRPr="001570EA">
        <w:rPr>
          <w:rFonts w:cs="Arial"/>
          <w:b/>
        </w:rPr>
        <w:t>PTAC and PTHP</w:t>
      </w:r>
    </w:p>
    <w:p w14:paraId="6F86CCB7" w14:textId="77777777" w:rsidR="00EA5BBF" w:rsidRPr="001570EA" w:rsidRDefault="00EA5BBF" w:rsidP="00EA5BBF">
      <w:pPr>
        <w:tabs>
          <w:tab w:val="left" w:pos="1440"/>
        </w:tabs>
        <w:rPr>
          <w:rFonts w:ascii="Cambria Math" w:hAnsi="Cambria Math"/>
          <w:i/>
        </w:rPr>
      </w:pPr>
      <m:oMath>
        <m:r>
          <w:rPr>
            <w:rFonts w:ascii="Cambria Math" w:hAnsi="Cambria Math" w:cs="Arial"/>
          </w:rPr>
          <m:t>SEER</m:t>
        </m:r>
      </m:oMath>
      <w:r w:rsidRPr="001570EA">
        <w:rPr>
          <w:rFonts w:ascii="Cambria Math" w:hAnsi="Cambria Math"/>
          <w:i/>
          <w:vertAlign w:val="subscript"/>
        </w:rPr>
        <w:t xml:space="preserve"> </w:t>
      </w:r>
      <w:r w:rsidRPr="001570EA">
        <w:rPr>
          <w:rFonts w:ascii="Cambria Math" w:hAnsi="Cambria Math"/>
          <w:i/>
        </w:rPr>
        <w:tab/>
      </w:r>
      <w:r w:rsidRPr="001570EA">
        <w:rPr>
          <w:rFonts w:ascii="Cambria Math" w:hAnsi="Cambria Math"/>
          <w:i/>
          <w:vertAlign w:val="subscript"/>
        </w:rPr>
        <w:t>=</w:t>
      </w:r>
      <w:r w:rsidRPr="001570EA">
        <w:rPr>
          <w:rFonts w:ascii="Cambria Math" w:hAnsi="Cambria Math"/>
          <w:i/>
        </w:rPr>
        <w:t xml:space="preserve"> EER</w:t>
      </w:r>
    </w:p>
    <w:p w14:paraId="21686CF6" w14:textId="77777777" w:rsidR="00EA5BBF" w:rsidRPr="001570EA" w:rsidRDefault="00EA5BBF" w:rsidP="00EA5BBF">
      <w:pPr>
        <w:tabs>
          <w:tab w:val="left" w:pos="1440"/>
        </w:tabs>
        <w:rPr>
          <w:rFonts w:ascii="Cambria Math" w:hAnsi="Cambria Math"/>
          <w:i/>
          <w:vertAlign w:val="subscript"/>
        </w:rPr>
      </w:pPr>
    </w:p>
    <w:p w14:paraId="3E28E32C" w14:textId="77777777" w:rsidR="00EA5BBF" w:rsidRPr="001570EA" w:rsidRDefault="00EA5BBF" w:rsidP="00EA5BBF">
      <w:pPr>
        <w:pStyle w:val="SubStyle"/>
      </w:pPr>
      <w:r w:rsidRPr="001570EA">
        <w:t>Definition of Terms</w:t>
      </w:r>
    </w:p>
    <w:p w14:paraId="419FE59A" w14:textId="1D27FA0C" w:rsidR="00EA5BBF" w:rsidRPr="001570EA" w:rsidRDefault="00EA5BBF" w:rsidP="00EA5BBF">
      <w:pPr>
        <w:pStyle w:val="Caption"/>
      </w:pPr>
      <w:bookmarkStart w:id="1186" w:name="_Toc47598366"/>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147</w:t>
      </w:r>
      <w:r w:rsidR="002E093A" w:rsidRPr="001570EA">
        <w:fldChar w:fldCharType="end"/>
      </w:r>
      <w:r w:rsidRPr="001570EA">
        <w:t>: Terms</w:t>
      </w:r>
      <w:r w:rsidRPr="001570EA">
        <w:rPr>
          <w:rFonts w:cs="Arial"/>
        </w:rPr>
        <w:t>, Values, and References for</w:t>
      </w:r>
      <w:r w:rsidRPr="001570EA">
        <w:t xml:space="preserve"> Basement or Crawl Space Insulation</w:t>
      </w:r>
      <w:bookmarkEnd w:id="1186"/>
    </w:p>
    <w:tbl>
      <w:tblPr>
        <w:tblW w:w="8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70"/>
        <w:gridCol w:w="990"/>
        <w:gridCol w:w="1992"/>
        <w:gridCol w:w="1096"/>
      </w:tblGrid>
      <w:tr w:rsidR="00EA5BBF" w:rsidRPr="001570EA" w14:paraId="369E375E" w14:textId="77777777">
        <w:trPr>
          <w:cantSplit/>
          <w:trHeight w:val="287"/>
          <w:tblHeader/>
        </w:trPr>
        <w:tc>
          <w:tcPr>
            <w:tcW w:w="3397" w:type="dxa"/>
            <w:shd w:val="clear" w:color="auto" w:fill="BFBFBF" w:themeFill="background1" w:themeFillShade="BF"/>
            <w:vAlign w:val="center"/>
          </w:tcPr>
          <w:p w14:paraId="2E381DE3" w14:textId="77777777" w:rsidR="00EA5BBF" w:rsidRPr="001570EA" w:rsidRDefault="00EA5BBF">
            <w:pPr>
              <w:jc w:val="center"/>
              <w:rPr>
                <w:rFonts w:eastAsia="Arial" w:cs="Arial"/>
                <w:sz w:val="18"/>
                <w:szCs w:val="18"/>
              </w:rPr>
            </w:pPr>
            <w:r w:rsidRPr="001570EA">
              <w:rPr>
                <w:b/>
                <w:bCs/>
                <w:sz w:val="18"/>
                <w:szCs w:val="18"/>
              </w:rPr>
              <w:t>Term</w:t>
            </w:r>
          </w:p>
        </w:tc>
        <w:tc>
          <w:tcPr>
            <w:tcW w:w="1170" w:type="dxa"/>
            <w:shd w:val="clear" w:color="auto" w:fill="BFBFBF" w:themeFill="background1" w:themeFillShade="BF"/>
            <w:vAlign w:val="center"/>
          </w:tcPr>
          <w:p w14:paraId="39DF583E" w14:textId="77777777" w:rsidR="00EA5BBF" w:rsidRPr="001570EA" w:rsidRDefault="00EA5BBF">
            <w:pPr>
              <w:jc w:val="center"/>
              <w:rPr>
                <w:rFonts w:eastAsia="Arial" w:cs="Arial"/>
                <w:sz w:val="18"/>
                <w:szCs w:val="18"/>
              </w:rPr>
            </w:pPr>
            <w:r w:rsidRPr="001570EA">
              <w:rPr>
                <w:b/>
                <w:bCs/>
                <w:sz w:val="18"/>
                <w:szCs w:val="18"/>
              </w:rPr>
              <w:t>Unit</w:t>
            </w:r>
          </w:p>
        </w:tc>
        <w:tc>
          <w:tcPr>
            <w:tcW w:w="2982" w:type="dxa"/>
            <w:gridSpan w:val="2"/>
            <w:shd w:val="clear" w:color="auto" w:fill="BFBFBF" w:themeFill="background1" w:themeFillShade="BF"/>
            <w:vAlign w:val="center"/>
          </w:tcPr>
          <w:p w14:paraId="48492701" w14:textId="77777777" w:rsidR="00EA5BBF" w:rsidRPr="001570EA" w:rsidRDefault="00EA5BBF">
            <w:pPr>
              <w:jc w:val="center"/>
              <w:rPr>
                <w:rFonts w:eastAsia="Arial" w:cs="Arial"/>
                <w:sz w:val="18"/>
                <w:szCs w:val="18"/>
              </w:rPr>
            </w:pPr>
            <w:r w:rsidRPr="001570EA">
              <w:rPr>
                <w:b/>
                <w:bCs/>
                <w:sz w:val="18"/>
                <w:szCs w:val="18"/>
              </w:rPr>
              <w:t>Values</w:t>
            </w:r>
          </w:p>
        </w:tc>
        <w:tc>
          <w:tcPr>
            <w:tcW w:w="1096" w:type="dxa"/>
            <w:shd w:val="clear" w:color="auto" w:fill="BFBFBF" w:themeFill="background1" w:themeFillShade="BF"/>
            <w:vAlign w:val="center"/>
          </w:tcPr>
          <w:p w14:paraId="396A1B18" w14:textId="77777777" w:rsidR="00EA5BBF" w:rsidRPr="001570EA" w:rsidRDefault="00EA5BBF">
            <w:pPr>
              <w:jc w:val="center"/>
              <w:rPr>
                <w:rFonts w:eastAsia="Arial" w:cs="Arial"/>
                <w:sz w:val="18"/>
                <w:szCs w:val="18"/>
              </w:rPr>
            </w:pPr>
            <w:r w:rsidRPr="001570EA">
              <w:rPr>
                <w:b/>
                <w:bCs/>
                <w:sz w:val="18"/>
                <w:szCs w:val="18"/>
              </w:rPr>
              <w:t>Source</w:t>
            </w:r>
          </w:p>
        </w:tc>
      </w:tr>
      <w:tr w:rsidR="00EA5BBF" w:rsidRPr="001570EA" w14:paraId="7C288901" w14:textId="77777777">
        <w:trPr>
          <w:cantSplit/>
          <w:trHeight w:val="210"/>
        </w:trPr>
        <w:tc>
          <w:tcPr>
            <w:tcW w:w="3397" w:type="dxa"/>
          </w:tcPr>
          <w:p w14:paraId="6EBEEE35" w14:textId="77777777" w:rsidR="00EA5BBF" w:rsidRPr="001570EA" w:rsidRDefault="00EA5BBF">
            <w:pPr>
              <w:rPr>
                <w:sz w:val="18"/>
                <w:szCs w:val="18"/>
              </w:rPr>
            </w:pPr>
            <m:oMath>
              <m:r>
                <m:rPr>
                  <m:nor/>
                </m:rPr>
                <w:rPr>
                  <w:rFonts w:ascii="Cambria Math" w:hAnsi="Cambria Math"/>
                  <w:i/>
                </w:rPr>
                <m:t>∆</m:t>
              </m:r>
              <m:r>
                <w:rPr>
                  <w:rFonts w:ascii="Cambria Math" w:hAnsi="Cambria Math"/>
                </w:rPr>
                <m:t>kW</m:t>
              </m:r>
              <m:sSub>
                <m:sSubPr>
                  <m:ctrlPr>
                    <w:rPr>
                      <w:rFonts w:ascii="Cambria Math" w:hAnsi="Cambria Math"/>
                      <w:i/>
                    </w:rPr>
                  </m:ctrlPr>
                </m:sSubPr>
                <m:e>
                  <m:r>
                    <w:rPr>
                      <w:rFonts w:ascii="Cambria Math" w:hAnsi="Cambria Math"/>
                    </w:rPr>
                    <m:t>h</m:t>
                  </m:r>
                </m:e>
                <m:sub>
                  <m:r>
                    <w:rPr>
                      <w:rFonts w:ascii="Cambria Math" w:hAnsi="Cambria Math"/>
                    </w:rPr>
                    <m:t>cool</m:t>
                  </m:r>
                </m:sub>
              </m:sSub>
            </m:oMath>
            <w:r w:rsidRPr="001570EA">
              <w:t>, Annual cooling energy savings</w:t>
            </w:r>
          </w:p>
        </w:tc>
        <w:tc>
          <w:tcPr>
            <w:tcW w:w="1170" w:type="dxa"/>
          </w:tcPr>
          <w:p w14:paraId="2DC55806" w14:textId="77777777" w:rsidR="00EA5BBF" w:rsidRPr="001570EA" w:rsidRDefault="00EA5BBF">
            <w:pPr>
              <w:jc w:val="center"/>
              <w:rPr>
                <w:rFonts w:eastAsia="Arial" w:cs="Arial"/>
                <w:iCs/>
                <w:sz w:val="18"/>
                <w:szCs w:val="18"/>
              </w:rPr>
            </w:pPr>
            <w:r w:rsidRPr="001570EA">
              <w:rPr>
                <w:rFonts w:eastAsia="Arial Unicode MS"/>
                <w:i/>
              </w:rPr>
              <w:t>kWh/year</w:t>
            </w:r>
          </w:p>
        </w:tc>
        <w:tc>
          <w:tcPr>
            <w:tcW w:w="2982" w:type="dxa"/>
            <w:gridSpan w:val="2"/>
          </w:tcPr>
          <w:p w14:paraId="06CE9FE5" w14:textId="77777777" w:rsidR="00EA5BBF" w:rsidRPr="001570EA" w:rsidRDefault="00EA5BBF">
            <w:pPr>
              <w:jc w:val="center"/>
              <w:rPr>
                <w:sz w:val="18"/>
                <w:szCs w:val="18"/>
              </w:rPr>
            </w:pPr>
            <w:r w:rsidRPr="001570EA">
              <w:t>Calculated</w:t>
            </w:r>
          </w:p>
        </w:tc>
        <w:tc>
          <w:tcPr>
            <w:tcW w:w="1096" w:type="dxa"/>
          </w:tcPr>
          <w:p w14:paraId="3FD8D322" w14:textId="77777777" w:rsidR="00EA5BBF" w:rsidRPr="001570EA" w:rsidRDefault="00EA5BBF">
            <w:pPr>
              <w:jc w:val="center"/>
              <w:rPr>
                <w:sz w:val="18"/>
                <w:szCs w:val="18"/>
              </w:rPr>
            </w:pPr>
            <w:r w:rsidRPr="001570EA">
              <w:rPr>
                <w:sz w:val="18"/>
                <w:szCs w:val="18"/>
              </w:rPr>
              <w:t>-</w:t>
            </w:r>
          </w:p>
        </w:tc>
      </w:tr>
      <w:tr w:rsidR="00EA5BBF" w:rsidRPr="001570EA" w14:paraId="2015AFBA" w14:textId="77777777">
        <w:trPr>
          <w:cantSplit/>
          <w:trHeight w:val="210"/>
        </w:trPr>
        <w:tc>
          <w:tcPr>
            <w:tcW w:w="3397" w:type="dxa"/>
          </w:tcPr>
          <w:p w14:paraId="3A1CDA68" w14:textId="77777777" w:rsidR="00EA5BBF" w:rsidRPr="001570EA" w:rsidRDefault="00EA5BBF">
            <w:pPr>
              <w:rPr>
                <w:sz w:val="18"/>
                <w:szCs w:val="18"/>
              </w:rPr>
            </w:pPr>
            <m:oMath>
              <m:r>
                <m:rPr>
                  <m:nor/>
                </m:rPr>
                <w:rPr>
                  <w:rFonts w:ascii="Cambria Math" w:hAnsi="Cambria Math"/>
                  <w:i/>
                </w:rPr>
                <m:t>∆</m:t>
              </m:r>
              <m:r>
                <w:rPr>
                  <w:rFonts w:ascii="Cambria Math" w:hAnsi="Cambria Math"/>
                </w:rPr>
                <m:t>kW</m:t>
              </m:r>
              <m:sSub>
                <m:sSubPr>
                  <m:ctrlPr>
                    <w:rPr>
                      <w:rFonts w:ascii="Cambria Math" w:hAnsi="Cambria Math"/>
                      <w:i/>
                    </w:rPr>
                  </m:ctrlPr>
                </m:sSubPr>
                <m:e>
                  <m:r>
                    <w:rPr>
                      <w:rFonts w:ascii="Cambria Math" w:hAnsi="Cambria Math"/>
                    </w:rPr>
                    <m:t>h</m:t>
                  </m:r>
                </m:e>
                <m:sub>
                  <m:r>
                    <w:rPr>
                      <w:rFonts w:ascii="Cambria Math" w:hAnsi="Cambria Math"/>
                    </w:rPr>
                    <m:t>heat</m:t>
                  </m:r>
                </m:sub>
              </m:sSub>
            </m:oMath>
            <w:r w:rsidRPr="001570EA">
              <w:t>, Annual heating energy savings</w:t>
            </w:r>
          </w:p>
        </w:tc>
        <w:tc>
          <w:tcPr>
            <w:tcW w:w="1170" w:type="dxa"/>
          </w:tcPr>
          <w:p w14:paraId="7FF3A91C" w14:textId="77777777" w:rsidR="00EA5BBF" w:rsidRPr="001570EA" w:rsidRDefault="00EA5BBF">
            <w:pPr>
              <w:jc w:val="center"/>
              <w:rPr>
                <w:rFonts w:eastAsia="Arial" w:cs="Arial"/>
                <w:iCs/>
                <w:sz w:val="18"/>
                <w:szCs w:val="18"/>
              </w:rPr>
            </w:pPr>
            <w:r w:rsidRPr="001570EA">
              <w:rPr>
                <w:rFonts w:eastAsia="Arial Unicode MS"/>
                <w:i/>
              </w:rPr>
              <w:t>kWh/year</w:t>
            </w:r>
          </w:p>
        </w:tc>
        <w:tc>
          <w:tcPr>
            <w:tcW w:w="2982" w:type="dxa"/>
            <w:gridSpan w:val="2"/>
          </w:tcPr>
          <w:p w14:paraId="41AB9580" w14:textId="77777777" w:rsidR="00EA5BBF" w:rsidRPr="001570EA" w:rsidRDefault="00EA5BBF">
            <w:pPr>
              <w:jc w:val="center"/>
              <w:rPr>
                <w:sz w:val="18"/>
                <w:szCs w:val="18"/>
              </w:rPr>
            </w:pPr>
            <w:r w:rsidRPr="001570EA">
              <w:t>Calculated</w:t>
            </w:r>
          </w:p>
        </w:tc>
        <w:tc>
          <w:tcPr>
            <w:tcW w:w="1096" w:type="dxa"/>
          </w:tcPr>
          <w:p w14:paraId="6E9332ED" w14:textId="77777777" w:rsidR="00EA5BBF" w:rsidRPr="001570EA" w:rsidRDefault="00EA5BBF">
            <w:pPr>
              <w:jc w:val="center"/>
              <w:rPr>
                <w:sz w:val="18"/>
                <w:szCs w:val="18"/>
              </w:rPr>
            </w:pPr>
            <w:r w:rsidRPr="001570EA">
              <w:rPr>
                <w:sz w:val="18"/>
                <w:szCs w:val="18"/>
              </w:rPr>
              <w:t>-</w:t>
            </w:r>
          </w:p>
        </w:tc>
      </w:tr>
      <w:tr w:rsidR="00EA5BBF" w:rsidRPr="001570EA" w14:paraId="0F8006EC" w14:textId="77777777">
        <w:trPr>
          <w:cantSplit/>
          <w:trHeight w:val="210"/>
        </w:trPr>
        <w:tc>
          <w:tcPr>
            <w:tcW w:w="3397" w:type="dxa"/>
            <w:vMerge w:val="restart"/>
            <w:vAlign w:val="center"/>
          </w:tcPr>
          <w:p w14:paraId="7B032F55" w14:textId="77777777" w:rsidR="00EA5BBF" w:rsidRPr="001570EA" w:rsidRDefault="003B5E04">
            <w:pPr>
              <w:rPr>
                <w:rFonts w:eastAsia="Arial" w:cs="Arial"/>
                <w:sz w:val="18"/>
                <w:szCs w:val="18"/>
              </w:rPr>
            </w:pPr>
            <m:oMath>
              <m:sSub>
                <m:sSubPr>
                  <m:ctrlPr>
                    <w:rPr>
                      <w:rFonts w:ascii="Cambria Math" w:eastAsia="Calibri" w:hAnsi="Cambria Math" w:cs="Arial"/>
                      <w:i/>
                      <w:sz w:val="18"/>
                      <w:szCs w:val="18"/>
                    </w:rPr>
                  </m:ctrlPr>
                </m:sSubPr>
                <m:e>
                  <m:r>
                    <w:rPr>
                      <w:rFonts w:ascii="Cambria Math" w:eastAsia="Calibri" w:hAnsi="Cambria Math" w:cs="Arial"/>
                      <w:sz w:val="18"/>
                      <w:szCs w:val="18"/>
                    </w:rPr>
                    <m:t>R</m:t>
                  </m:r>
                </m:e>
                <m:sub>
                  <m:r>
                    <w:rPr>
                      <w:rFonts w:ascii="Cambria Math" w:eastAsia="Calibri" w:hAnsi="Cambria Math" w:cs="Arial"/>
                      <w:sz w:val="18"/>
                      <w:szCs w:val="18"/>
                    </w:rPr>
                    <m:t>base,ag</m:t>
                  </m:r>
                </m:sub>
              </m:sSub>
            </m:oMath>
            <w:r w:rsidR="00EA5BBF" w:rsidRPr="001570EA">
              <w:rPr>
                <w:sz w:val="18"/>
                <w:szCs w:val="18"/>
              </w:rPr>
              <w:t>, baseline R-value of foundation wall above grade</w:t>
            </w:r>
          </w:p>
        </w:tc>
        <w:tc>
          <w:tcPr>
            <w:tcW w:w="1170" w:type="dxa"/>
            <w:vMerge w:val="restart"/>
            <w:vAlign w:val="center"/>
          </w:tcPr>
          <w:p w14:paraId="443BDBFF" w14:textId="77777777" w:rsidR="00EA5BBF" w:rsidRPr="001570EA" w:rsidRDefault="003B5E04">
            <w:pPr>
              <w:jc w:val="center"/>
              <w:rPr>
                <w:rFonts w:eastAsia="Arial" w:cs="Arial"/>
                <w:sz w:val="18"/>
                <w:szCs w:val="18"/>
              </w:rPr>
            </w:pPr>
            <m:oMathPara>
              <m:oMath>
                <m:f>
                  <m:fPr>
                    <m:ctrlPr>
                      <w:rPr>
                        <w:rFonts w:ascii="Cambria Math" w:hAnsi="Cambria Math"/>
                        <w:i/>
                        <w:iCs/>
                        <w:sz w:val="18"/>
                        <w:szCs w:val="18"/>
                      </w:rPr>
                    </m:ctrlPr>
                  </m:fPr>
                  <m:num>
                    <m:r>
                      <w:rPr>
                        <w:rFonts w:ascii="Cambria Math" w:hAnsi="Cambria Math"/>
                        <w:sz w:val="18"/>
                        <w:szCs w:val="18"/>
                      </w:rPr>
                      <m:t>℉</m:t>
                    </m:r>
                    <m:r>
                      <w:rPr>
                        <w:rFonts w:ascii="Cambria Math" w:hAnsi="Cambria Math" w:cs="Arial"/>
                        <w:sz w:val="18"/>
                        <w:szCs w:val="18"/>
                      </w:rPr>
                      <m:t>∙</m:t>
                    </m:r>
                    <m:sSup>
                      <m:sSupPr>
                        <m:ctrlPr>
                          <w:rPr>
                            <w:rFonts w:ascii="Cambria Math" w:hAnsi="Cambria Math" w:cs="Arial"/>
                            <w:i/>
                            <w:sz w:val="18"/>
                            <w:szCs w:val="18"/>
                          </w:rPr>
                        </m:ctrlPr>
                      </m:sSupPr>
                      <m:e>
                        <m:r>
                          <w:rPr>
                            <w:rFonts w:ascii="Cambria Math" w:hAnsi="Cambria Math" w:cs="Arial"/>
                            <w:sz w:val="18"/>
                            <w:szCs w:val="18"/>
                          </w:rPr>
                          <m:t>ft</m:t>
                        </m:r>
                      </m:e>
                      <m:sup>
                        <m:r>
                          <w:rPr>
                            <w:rFonts w:ascii="Cambria Math" w:hAnsi="Cambria Math" w:cs="Arial"/>
                            <w:sz w:val="18"/>
                            <w:szCs w:val="18"/>
                          </w:rPr>
                          <m:t>2</m:t>
                        </m:r>
                      </m:sup>
                    </m:sSup>
                    <m:r>
                      <w:rPr>
                        <w:rFonts w:ascii="Cambria Math" w:hAnsi="Cambria Math" w:cs="Arial"/>
                        <w:sz w:val="18"/>
                        <w:szCs w:val="18"/>
                      </w:rPr>
                      <m:t>∙h</m:t>
                    </m:r>
                  </m:num>
                  <m:den>
                    <m:r>
                      <w:rPr>
                        <w:rFonts w:ascii="Cambria Math" w:hAnsi="Cambria Math"/>
                        <w:sz w:val="18"/>
                        <w:szCs w:val="18"/>
                      </w:rPr>
                      <m:t>BTU</m:t>
                    </m:r>
                  </m:den>
                </m:f>
              </m:oMath>
            </m:oMathPara>
          </w:p>
        </w:tc>
        <w:tc>
          <w:tcPr>
            <w:tcW w:w="990" w:type="dxa"/>
            <w:vMerge w:val="restart"/>
            <w:vAlign w:val="center"/>
          </w:tcPr>
          <w:p w14:paraId="477392E3" w14:textId="77777777" w:rsidR="00EA5BBF" w:rsidRPr="001570EA" w:rsidDel="00784532" w:rsidRDefault="00EA5BBF">
            <w:pPr>
              <w:keepNext/>
              <w:tabs>
                <w:tab w:val="left" w:pos="720"/>
              </w:tabs>
              <w:jc w:val="center"/>
              <w:rPr>
                <w:rFonts w:eastAsia="Arial" w:cs="Arial"/>
                <w:sz w:val="18"/>
                <w:szCs w:val="18"/>
              </w:rPr>
            </w:pPr>
            <w:r w:rsidRPr="001570EA">
              <w:rPr>
                <w:sz w:val="18"/>
                <w:szCs w:val="18"/>
              </w:rPr>
              <w:t xml:space="preserve">Retrofit: </w:t>
            </w:r>
          </w:p>
        </w:tc>
        <w:tc>
          <w:tcPr>
            <w:tcW w:w="1992" w:type="dxa"/>
            <w:vAlign w:val="center"/>
          </w:tcPr>
          <w:p w14:paraId="37D6F2B8" w14:textId="77777777" w:rsidR="00EA5BBF" w:rsidRPr="001570EA" w:rsidRDefault="00EA5BBF">
            <w:pPr>
              <w:jc w:val="center"/>
              <w:rPr>
                <w:rFonts w:eastAsia="Arial" w:cs="Arial"/>
                <w:sz w:val="18"/>
                <w:szCs w:val="18"/>
              </w:rPr>
            </w:pPr>
            <w:r w:rsidRPr="001570EA">
              <w:rPr>
                <w:sz w:val="18"/>
                <w:szCs w:val="18"/>
              </w:rPr>
              <w:t xml:space="preserve">EDC Data Gathering </w:t>
            </w:r>
          </w:p>
        </w:tc>
        <w:tc>
          <w:tcPr>
            <w:tcW w:w="1096" w:type="dxa"/>
            <w:vAlign w:val="center"/>
          </w:tcPr>
          <w:p w14:paraId="4C2A5808" w14:textId="77777777" w:rsidR="00EA5BBF" w:rsidRPr="001570EA" w:rsidRDefault="00EA5BBF">
            <w:pPr>
              <w:jc w:val="center"/>
              <w:rPr>
                <w:rFonts w:cs="Arial"/>
                <w:sz w:val="18"/>
                <w:szCs w:val="18"/>
              </w:rPr>
            </w:pPr>
            <w:r w:rsidRPr="001570EA">
              <w:rPr>
                <w:sz w:val="18"/>
                <w:szCs w:val="18"/>
              </w:rPr>
              <w:t xml:space="preserve">EDC Data Gathering </w:t>
            </w:r>
          </w:p>
        </w:tc>
      </w:tr>
      <w:tr w:rsidR="00EA5BBF" w:rsidRPr="001570EA" w14:paraId="4FC37360" w14:textId="77777777">
        <w:trPr>
          <w:cantSplit/>
          <w:trHeight w:val="105"/>
        </w:trPr>
        <w:tc>
          <w:tcPr>
            <w:tcW w:w="3397" w:type="dxa"/>
            <w:vMerge/>
            <w:vAlign w:val="center"/>
          </w:tcPr>
          <w:p w14:paraId="3D96414F" w14:textId="77777777" w:rsidR="00EA5BBF" w:rsidRPr="001570EA" w:rsidRDefault="00EA5BBF">
            <w:pPr>
              <w:rPr>
                <w:sz w:val="18"/>
                <w:szCs w:val="18"/>
              </w:rPr>
            </w:pPr>
          </w:p>
        </w:tc>
        <w:tc>
          <w:tcPr>
            <w:tcW w:w="1170" w:type="dxa"/>
            <w:vMerge/>
            <w:vAlign w:val="center"/>
          </w:tcPr>
          <w:p w14:paraId="485448AB" w14:textId="77777777" w:rsidR="00EA5BBF" w:rsidRPr="001570EA" w:rsidRDefault="00EA5BBF">
            <w:pPr>
              <w:jc w:val="center"/>
              <w:rPr>
                <w:rFonts w:eastAsia="Arial" w:cs="Arial"/>
                <w:iCs/>
                <w:sz w:val="18"/>
                <w:szCs w:val="18"/>
              </w:rPr>
            </w:pPr>
          </w:p>
        </w:tc>
        <w:tc>
          <w:tcPr>
            <w:tcW w:w="990" w:type="dxa"/>
            <w:vMerge/>
            <w:vAlign w:val="center"/>
          </w:tcPr>
          <w:p w14:paraId="6474A135" w14:textId="77777777" w:rsidR="00EA5BBF" w:rsidRPr="001570EA" w:rsidRDefault="00EA5BBF">
            <w:pPr>
              <w:keepNext/>
              <w:tabs>
                <w:tab w:val="left" w:pos="720"/>
              </w:tabs>
              <w:jc w:val="center"/>
              <w:rPr>
                <w:sz w:val="18"/>
                <w:szCs w:val="18"/>
              </w:rPr>
            </w:pPr>
          </w:p>
        </w:tc>
        <w:tc>
          <w:tcPr>
            <w:tcW w:w="1992" w:type="dxa"/>
            <w:vAlign w:val="center"/>
          </w:tcPr>
          <w:p w14:paraId="69596D55" w14:textId="77777777" w:rsidR="00EA5BBF" w:rsidRPr="001570EA" w:rsidRDefault="00EA5BBF">
            <w:pPr>
              <w:jc w:val="center"/>
              <w:rPr>
                <w:sz w:val="18"/>
                <w:szCs w:val="18"/>
              </w:rPr>
            </w:pPr>
            <w:r w:rsidRPr="001570EA">
              <w:rPr>
                <w:sz w:val="18"/>
                <w:szCs w:val="18"/>
              </w:rPr>
              <w:t>Uninsulated: R-1.47</w:t>
            </w:r>
          </w:p>
        </w:tc>
        <w:tc>
          <w:tcPr>
            <w:tcW w:w="1096" w:type="dxa"/>
            <w:vAlign w:val="center"/>
          </w:tcPr>
          <w:p w14:paraId="26C4321E" w14:textId="77777777" w:rsidR="00EA5BBF" w:rsidRPr="001570EA" w:rsidRDefault="00EA5BBF">
            <w:pPr>
              <w:jc w:val="center"/>
              <w:rPr>
                <w:rFonts w:eastAsia="Arial Unicode MS" w:cs="Arial"/>
                <w:sz w:val="18"/>
                <w:szCs w:val="18"/>
              </w:rPr>
            </w:pPr>
            <w:r w:rsidRPr="001570EA">
              <w:rPr>
                <w:rFonts w:eastAsia="Arial Unicode MS" w:cs="Arial"/>
                <w:sz w:val="18"/>
                <w:szCs w:val="18"/>
              </w:rPr>
              <w:t>4</w:t>
            </w:r>
          </w:p>
        </w:tc>
      </w:tr>
      <w:tr w:rsidR="00EA5BBF" w:rsidRPr="001570EA" w14:paraId="48B77D0A" w14:textId="77777777">
        <w:trPr>
          <w:cantSplit/>
          <w:trHeight w:val="105"/>
        </w:trPr>
        <w:tc>
          <w:tcPr>
            <w:tcW w:w="3397" w:type="dxa"/>
            <w:vMerge/>
            <w:vAlign w:val="center"/>
          </w:tcPr>
          <w:p w14:paraId="182E18D9" w14:textId="77777777" w:rsidR="00EA5BBF" w:rsidRPr="001570EA" w:rsidRDefault="00EA5BBF">
            <w:pPr>
              <w:rPr>
                <w:sz w:val="18"/>
                <w:szCs w:val="18"/>
              </w:rPr>
            </w:pPr>
          </w:p>
        </w:tc>
        <w:tc>
          <w:tcPr>
            <w:tcW w:w="1170" w:type="dxa"/>
            <w:vMerge/>
            <w:vAlign w:val="center"/>
          </w:tcPr>
          <w:p w14:paraId="3B7BF0AF" w14:textId="77777777" w:rsidR="00EA5BBF" w:rsidRPr="001570EA" w:rsidRDefault="00EA5BBF">
            <w:pPr>
              <w:jc w:val="center"/>
              <w:rPr>
                <w:rFonts w:eastAsia="Arial" w:cs="Arial"/>
                <w:iCs/>
                <w:sz w:val="18"/>
                <w:szCs w:val="18"/>
              </w:rPr>
            </w:pPr>
          </w:p>
        </w:tc>
        <w:tc>
          <w:tcPr>
            <w:tcW w:w="990" w:type="dxa"/>
            <w:vMerge/>
            <w:vAlign w:val="center"/>
          </w:tcPr>
          <w:p w14:paraId="1CCD37BA" w14:textId="77777777" w:rsidR="00EA5BBF" w:rsidRPr="001570EA" w:rsidRDefault="00EA5BBF">
            <w:pPr>
              <w:keepNext/>
              <w:tabs>
                <w:tab w:val="left" w:pos="720"/>
              </w:tabs>
              <w:jc w:val="center"/>
              <w:rPr>
                <w:sz w:val="18"/>
                <w:szCs w:val="18"/>
              </w:rPr>
            </w:pPr>
          </w:p>
        </w:tc>
        <w:tc>
          <w:tcPr>
            <w:tcW w:w="1992" w:type="dxa"/>
            <w:vAlign w:val="center"/>
          </w:tcPr>
          <w:p w14:paraId="07DF9F5C" w14:textId="77777777" w:rsidR="00EA5BBF" w:rsidRPr="001570EA" w:rsidRDefault="00EA5BBF">
            <w:pPr>
              <w:jc w:val="center"/>
              <w:rPr>
                <w:sz w:val="18"/>
                <w:szCs w:val="18"/>
              </w:rPr>
            </w:pPr>
            <w:r w:rsidRPr="001570EA">
              <w:rPr>
                <w:sz w:val="18"/>
                <w:szCs w:val="18"/>
              </w:rPr>
              <w:t>Default/unknown: R-8.9</w:t>
            </w:r>
          </w:p>
        </w:tc>
        <w:tc>
          <w:tcPr>
            <w:tcW w:w="1096" w:type="dxa"/>
            <w:vAlign w:val="center"/>
          </w:tcPr>
          <w:p w14:paraId="28F13629" w14:textId="77777777" w:rsidR="00EA5BBF" w:rsidRPr="001570EA" w:rsidRDefault="00EA5BBF">
            <w:pPr>
              <w:jc w:val="center"/>
              <w:rPr>
                <w:rFonts w:eastAsia="Arial Unicode MS" w:cs="Arial"/>
                <w:sz w:val="18"/>
                <w:szCs w:val="18"/>
              </w:rPr>
            </w:pPr>
            <w:r w:rsidRPr="001570EA">
              <w:rPr>
                <w:rFonts w:eastAsia="Arial Unicode MS" w:cs="Arial"/>
                <w:sz w:val="18"/>
                <w:szCs w:val="18"/>
              </w:rPr>
              <w:t>14</w:t>
            </w:r>
          </w:p>
        </w:tc>
      </w:tr>
      <w:tr w:rsidR="00EA5BBF" w:rsidRPr="001570EA" w14:paraId="537C9545" w14:textId="77777777">
        <w:trPr>
          <w:cantSplit/>
          <w:trHeight w:val="210"/>
        </w:trPr>
        <w:tc>
          <w:tcPr>
            <w:tcW w:w="3397" w:type="dxa"/>
            <w:vMerge/>
            <w:vAlign w:val="center"/>
          </w:tcPr>
          <w:p w14:paraId="4244C0AC" w14:textId="77777777" w:rsidR="00EA5BBF" w:rsidRPr="001570EA" w:rsidRDefault="00EA5BBF">
            <w:pPr>
              <w:rPr>
                <w:sz w:val="18"/>
                <w:szCs w:val="18"/>
              </w:rPr>
            </w:pPr>
          </w:p>
        </w:tc>
        <w:tc>
          <w:tcPr>
            <w:tcW w:w="1170" w:type="dxa"/>
            <w:vMerge/>
            <w:vAlign w:val="center"/>
          </w:tcPr>
          <w:p w14:paraId="62A070BB" w14:textId="77777777" w:rsidR="00EA5BBF" w:rsidRPr="001570EA" w:rsidRDefault="00EA5BBF">
            <w:pPr>
              <w:jc w:val="center"/>
              <w:rPr>
                <w:rFonts w:eastAsia="Arial" w:cs="Arial"/>
                <w:iCs/>
                <w:sz w:val="18"/>
                <w:szCs w:val="18"/>
              </w:rPr>
            </w:pPr>
          </w:p>
        </w:tc>
        <w:tc>
          <w:tcPr>
            <w:tcW w:w="990" w:type="dxa"/>
            <w:vMerge w:val="restart"/>
            <w:vAlign w:val="center"/>
          </w:tcPr>
          <w:p w14:paraId="4011A581" w14:textId="77777777" w:rsidR="00EA5BBF" w:rsidRPr="001570EA" w:rsidRDefault="00EA5BBF">
            <w:pPr>
              <w:keepNext/>
              <w:tabs>
                <w:tab w:val="left" w:pos="720"/>
              </w:tabs>
              <w:jc w:val="center"/>
              <w:rPr>
                <w:sz w:val="18"/>
                <w:szCs w:val="18"/>
              </w:rPr>
            </w:pPr>
            <w:r w:rsidRPr="001570EA">
              <w:rPr>
                <w:sz w:val="18"/>
                <w:szCs w:val="18"/>
              </w:rPr>
              <w:t xml:space="preserve">New Construction:  </w:t>
            </w:r>
          </w:p>
        </w:tc>
        <w:tc>
          <w:tcPr>
            <w:tcW w:w="1992" w:type="dxa"/>
            <w:vAlign w:val="center"/>
          </w:tcPr>
          <w:p w14:paraId="00070B1A" w14:textId="77777777" w:rsidR="00EA5BBF" w:rsidRPr="00597241" w:rsidRDefault="00EA5BBF">
            <w:pPr>
              <w:keepNext/>
              <w:tabs>
                <w:tab w:val="left" w:pos="720"/>
              </w:tabs>
              <w:jc w:val="center"/>
              <w:rPr>
                <w:sz w:val="18"/>
                <w:szCs w:val="18"/>
                <w:lang w:val="fr-FR"/>
              </w:rPr>
            </w:pPr>
            <w:r w:rsidRPr="00597241">
              <w:rPr>
                <w:sz w:val="18"/>
                <w:szCs w:val="18"/>
                <w:lang w:val="fr-FR"/>
              </w:rPr>
              <w:t>IECC climate zone 4: 10ci or 13</w:t>
            </w:r>
          </w:p>
        </w:tc>
        <w:tc>
          <w:tcPr>
            <w:tcW w:w="1096" w:type="dxa"/>
            <w:vMerge w:val="restart"/>
            <w:vAlign w:val="center"/>
          </w:tcPr>
          <w:p w14:paraId="294191A1" w14:textId="77777777" w:rsidR="00EA5BBF" w:rsidRPr="001570EA" w:rsidRDefault="00EA5BBF">
            <w:pPr>
              <w:jc w:val="center"/>
              <w:rPr>
                <w:rFonts w:eastAsia="Arial Unicode MS" w:cs="Arial"/>
                <w:sz w:val="18"/>
                <w:szCs w:val="18"/>
              </w:rPr>
            </w:pPr>
            <w:r w:rsidRPr="001570EA">
              <w:rPr>
                <w:rFonts w:eastAsia="Arial Unicode MS" w:cs="Arial"/>
                <w:sz w:val="18"/>
                <w:szCs w:val="18"/>
              </w:rPr>
              <w:t>3</w:t>
            </w:r>
          </w:p>
        </w:tc>
      </w:tr>
      <w:tr w:rsidR="00EA5BBF" w:rsidRPr="001570EA" w14:paraId="1A60AB6C" w14:textId="77777777">
        <w:trPr>
          <w:cantSplit/>
          <w:trHeight w:val="210"/>
        </w:trPr>
        <w:tc>
          <w:tcPr>
            <w:tcW w:w="3397" w:type="dxa"/>
            <w:vMerge/>
            <w:vAlign w:val="center"/>
          </w:tcPr>
          <w:p w14:paraId="6D775FFD" w14:textId="77777777" w:rsidR="00EA5BBF" w:rsidRPr="001570EA" w:rsidRDefault="00EA5BBF">
            <w:pPr>
              <w:rPr>
                <w:sz w:val="18"/>
                <w:szCs w:val="18"/>
              </w:rPr>
            </w:pPr>
          </w:p>
        </w:tc>
        <w:tc>
          <w:tcPr>
            <w:tcW w:w="1170" w:type="dxa"/>
            <w:vMerge/>
            <w:vAlign w:val="center"/>
          </w:tcPr>
          <w:p w14:paraId="17AA6AA5" w14:textId="77777777" w:rsidR="00EA5BBF" w:rsidRPr="001570EA" w:rsidRDefault="00EA5BBF">
            <w:pPr>
              <w:jc w:val="center"/>
              <w:rPr>
                <w:rFonts w:eastAsia="Arial" w:cs="Arial"/>
                <w:iCs/>
                <w:sz w:val="18"/>
                <w:szCs w:val="18"/>
              </w:rPr>
            </w:pPr>
          </w:p>
        </w:tc>
        <w:tc>
          <w:tcPr>
            <w:tcW w:w="990" w:type="dxa"/>
            <w:vMerge/>
            <w:vAlign w:val="center"/>
          </w:tcPr>
          <w:p w14:paraId="7FC9E79F" w14:textId="77777777" w:rsidR="00EA5BBF" w:rsidRPr="001570EA" w:rsidRDefault="00EA5BBF">
            <w:pPr>
              <w:keepNext/>
              <w:tabs>
                <w:tab w:val="left" w:pos="720"/>
              </w:tabs>
              <w:jc w:val="center"/>
              <w:rPr>
                <w:sz w:val="18"/>
                <w:szCs w:val="18"/>
              </w:rPr>
            </w:pPr>
          </w:p>
        </w:tc>
        <w:tc>
          <w:tcPr>
            <w:tcW w:w="1992" w:type="dxa"/>
            <w:vAlign w:val="center"/>
          </w:tcPr>
          <w:p w14:paraId="7FC7BAFD" w14:textId="77777777" w:rsidR="00EA5BBF" w:rsidRPr="00597241" w:rsidRDefault="00EA5BBF">
            <w:pPr>
              <w:keepNext/>
              <w:tabs>
                <w:tab w:val="left" w:pos="720"/>
              </w:tabs>
              <w:jc w:val="center"/>
              <w:rPr>
                <w:sz w:val="18"/>
                <w:szCs w:val="18"/>
                <w:lang w:val="fr-FR"/>
              </w:rPr>
            </w:pPr>
            <w:r w:rsidRPr="00597241">
              <w:rPr>
                <w:sz w:val="18"/>
                <w:szCs w:val="18"/>
                <w:lang w:val="fr-FR"/>
              </w:rPr>
              <w:t>IECC climate zone 5: 15ci or 19 or 13&amp;5ci</w:t>
            </w:r>
          </w:p>
        </w:tc>
        <w:tc>
          <w:tcPr>
            <w:tcW w:w="1096" w:type="dxa"/>
            <w:vMerge/>
            <w:vAlign w:val="center"/>
          </w:tcPr>
          <w:p w14:paraId="2C5D8268" w14:textId="77777777" w:rsidR="00EA5BBF" w:rsidRPr="00597241" w:rsidRDefault="00EA5BBF">
            <w:pPr>
              <w:jc w:val="center"/>
              <w:rPr>
                <w:rFonts w:eastAsia="Arial Unicode MS" w:cs="Arial"/>
                <w:sz w:val="18"/>
                <w:szCs w:val="18"/>
                <w:lang w:val="fr-FR"/>
              </w:rPr>
            </w:pPr>
          </w:p>
        </w:tc>
      </w:tr>
      <w:tr w:rsidR="00EA5BBF" w:rsidRPr="001570EA" w14:paraId="38120709" w14:textId="77777777">
        <w:trPr>
          <w:cantSplit/>
        </w:trPr>
        <w:tc>
          <w:tcPr>
            <w:tcW w:w="3397" w:type="dxa"/>
            <w:vAlign w:val="center"/>
          </w:tcPr>
          <w:p w14:paraId="099D0755" w14:textId="77777777" w:rsidR="00EA5BBF" w:rsidRPr="001570EA" w:rsidRDefault="003B5E04">
            <w:pPr>
              <w:rPr>
                <w:rFonts w:eastAsia="Arial" w:cs="Arial"/>
                <w:sz w:val="18"/>
                <w:szCs w:val="18"/>
              </w:rPr>
            </w:pPr>
            <m:oMath>
              <m:sSub>
                <m:sSubPr>
                  <m:ctrlPr>
                    <w:rPr>
                      <w:rFonts w:ascii="Cambria Math" w:eastAsia="Calibri" w:hAnsi="Cambria Math" w:cs="Arial"/>
                      <w:i/>
                      <w:sz w:val="18"/>
                      <w:szCs w:val="18"/>
                    </w:rPr>
                  </m:ctrlPr>
                </m:sSubPr>
                <m:e>
                  <m:r>
                    <w:rPr>
                      <w:rFonts w:ascii="Cambria Math" w:eastAsia="Calibri" w:hAnsi="Cambria Math" w:cs="Arial"/>
                      <w:sz w:val="18"/>
                      <w:szCs w:val="18"/>
                    </w:rPr>
                    <m:t>R</m:t>
                  </m:r>
                </m:e>
                <m:sub>
                  <m:r>
                    <w:rPr>
                      <w:rFonts w:ascii="Cambria Math" w:eastAsia="Calibri" w:hAnsi="Cambria Math" w:cs="Arial"/>
                      <w:sz w:val="18"/>
                      <w:szCs w:val="18"/>
                    </w:rPr>
                    <m:t>base,bg</m:t>
                  </m:r>
                </m:sub>
              </m:sSub>
            </m:oMath>
            <w:r w:rsidR="00EA5BBF" w:rsidRPr="001570EA">
              <w:rPr>
                <w:sz w:val="18"/>
                <w:szCs w:val="18"/>
              </w:rPr>
              <w:t>, the combined average R-value for the wall and Earth at the height of foundation wall below grade (</w:t>
            </w:r>
            <w:r w:rsidR="00EA5BBF" w:rsidRPr="001570EA">
              <w:rPr>
                <w:i/>
                <w:iCs/>
                <w:sz w:val="18"/>
                <w:szCs w:val="18"/>
              </w:rPr>
              <w:t>H</w:t>
            </w:r>
            <w:r w:rsidR="00EA5BBF" w:rsidRPr="001570EA">
              <w:rPr>
                <w:i/>
                <w:iCs/>
                <w:sz w:val="18"/>
                <w:szCs w:val="18"/>
                <w:vertAlign w:val="subscript"/>
              </w:rPr>
              <w:t>bg</w:t>
            </w:r>
            <w:r w:rsidR="00EA5BBF" w:rsidRPr="001570EA">
              <w:rPr>
                <w:rFonts w:eastAsia="Arial" w:cs="Arial"/>
                <w:sz w:val="18"/>
                <w:szCs w:val="18"/>
              </w:rPr>
              <w:t>)</w:t>
            </w:r>
          </w:p>
        </w:tc>
        <w:tc>
          <w:tcPr>
            <w:tcW w:w="1170" w:type="dxa"/>
            <w:vAlign w:val="center"/>
          </w:tcPr>
          <w:p w14:paraId="682F0B16" w14:textId="77777777" w:rsidR="00EA5BBF" w:rsidRPr="001570EA" w:rsidRDefault="003B5E04">
            <w:pPr>
              <w:jc w:val="center"/>
              <w:rPr>
                <w:rFonts w:eastAsia="Arial" w:cs="Arial"/>
                <w:sz w:val="18"/>
                <w:szCs w:val="18"/>
              </w:rPr>
            </w:pPr>
            <m:oMathPara>
              <m:oMath>
                <m:f>
                  <m:fPr>
                    <m:ctrlPr>
                      <w:rPr>
                        <w:rFonts w:ascii="Cambria Math" w:hAnsi="Cambria Math"/>
                        <w:i/>
                        <w:iCs/>
                        <w:sz w:val="18"/>
                        <w:szCs w:val="18"/>
                      </w:rPr>
                    </m:ctrlPr>
                  </m:fPr>
                  <m:num>
                    <m:r>
                      <w:rPr>
                        <w:rFonts w:ascii="Cambria Math" w:hAnsi="Cambria Math"/>
                        <w:sz w:val="18"/>
                        <w:szCs w:val="18"/>
                      </w:rPr>
                      <m:t>℉</m:t>
                    </m:r>
                    <m:r>
                      <w:rPr>
                        <w:rFonts w:ascii="Cambria Math" w:hAnsi="Cambria Math" w:cs="Arial"/>
                        <w:sz w:val="18"/>
                        <w:szCs w:val="18"/>
                      </w:rPr>
                      <m:t>∙</m:t>
                    </m:r>
                    <m:sSup>
                      <m:sSupPr>
                        <m:ctrlPr>
                          <w:rPr>
                            <w:rFonts w:ascii="Cambria Math" w:hAnsi="Cambria Math" w:cs="Arial"/>
                            <w:i/>
                            <w:sz w:val="18"/>
                            <w:szCs w:val="18"/>
                          </w:rPr>
                        </m:ctrlPr>
                      </m:sSupPr>
                      <m:e>
                        <m:r>
                          <w:rPr>
                            <w:rFonts w:ascii="Cambria Math" w:hAnsi="Cambria Math" w:cs="Arial"/>
                            <w:sz w:val="18"/>
                            <w:szCs w:val="18"/>
                          </w:rPr>
                          <m:t>ft</m:t>
                        </m:r>
                      </m:e>
                      <m:sup>
                        <m:r>
                          <w:rPr>
                            <w:rFonts w:ascii="Cambria Math" w:hAnsi="Cambria Math" w:cs="Arial"/>
                            <w:sz w:val="18"/>
                            <w:szCs w:val="18"/>
                          </w:rPr>
                          <m:t>2</m:t>
                        </m:r>
                      </m:sup>
                    </m:sSup>
                    <m:r>
                      <w:rPr>
                        <w:rFonts w:ascii="Cambria Math" w:hAnsi="Cambria Math" w:cs="Arial"/>
                        <w:sz w:val="18"/>
                        <w:szCs w:val="18"/>
                      </w:rPr>
                      <m:t>∙h</m:t>
                    </m:r>
                  </m:num>
                  <m:den>
                    <m:r>
                      <w:rPr>
                        <w:rFonts w:ascii="Cambria Math" w:hAnsi="Cambria Math"/>
                        <w:sz w:val="18"/>
                        <w:szCs w:val="18"/>
                      </w:rPr>
                      <m:t>BTU</m:t>
                    </m:r>
                  </m:den>
                </m:f>
              </m:oMath>
            </m:oMathPara>
          </w:p>
        </w:tc>
        <w:tc>
          <w:tcPr>
            <w:tcW w:w="2982" w:type="dxa"/>
            <w:gridSpan w:val="2"/>
            <w:vAlign w:val="center"/>
          </w:tcPr>
          <w:p w14:paraId="6FC94892" w14:textId="7E1A45DE" w:rsidR="00EA5BBF" w:rsidRPr="001570EA" w:rsidRDefault="00EA5BBF">
            <w:pPr>
              <w:jc w:val="center"/>
              <w:rPr>
                <w:rFonts w:eastAsia="Arial" w:cs="Arial"/>
                <w:sz w:val="18"/>
                <w:szCs w:val="18"/>
              </w:rPr>
            </w:pPr>
            <w:r w:rsidRPr="001570EA">
              <w:rPr>
                <w:sz w:val="18"/>
                <w:szCs w:val="18"/>
              </w:rPr>
              <w:fldChar w:fldCharType="begin"/>
            </w:r>
            <w:r w:rsidRPr="001570EA">
              <w:rPr>
                <w:rFonts w:cs="Arial"/>
                <w:sz w:val="18"/>
                <w:szCs w:val="18"/>
              </w:rPr>
              <w:instrText xml:space="preserve"> REF _Ref413166561 \h </w:instrText>
            </w:r>
            <w:r w:rsidRPr="001570EA">
              <w:rPr>
                <w:sz w:val="18"/>
                <w:szCs w:val="18"/>
              </w:rPr>
              <w:instrText xml:space="preserve"> \* MERGEFORMAT </w:instrText>
            </w:r>
            <w:r w:rsidRPr="001570EA">
              <w:rPr>
                <w:sz w:val="18"/>
                <w:szCs w:val="18"/>
              </w:rPr>
            </w:r>
            <w:r w:rsidRPr="001570EA">
              <w:rPr>
                <w:rFonts w:cs="Arial"/>
                <w:sz w:val="18"/>
                <w:szCs w:val="18"/>
              </w:rPr>
              <w:fldChar w:fldCharType="separate"/>
            </w:r>
            <w:r w:rsidR="00234C6C" w:rsidRPr="001570EA">
              <w:rPr>
                <w:sz w:val="18"/>
                <w:szCs w:val="18"/>
              </w:rPr>
              <w:t xml:space="preserve">Table </w:t>
            </w:r>
            <w:r w:rsidR="00234C6C" w:rsidRPr="001570EA">
              <w:rPr>
                <w:noProof/>
                <w:sz w:val="18"/>
                <w:szCs w:val="18"/>
              </w:rPr>
              <w:t>2</w:t>
            </w:r>
            <w:r w:rsidR="00234C6C" w:rsidRPr="001570EA">
              <w:rPr>
                <w:noProof/>
                <w:sz w:val="18"/>
                <w:szCs w:val="18"/>
              </w:rPr>
              <w:noBreakHyphen/>
              <w:t>148</w:t>
            </w:r>
            <w:r w:rsidRPr="001570EA">
              <w:rPr>
                <w:sz w:val="18"/>
                <w:szCs w:val="18"/>
              </w:rPr>
              <w:fldChar w:fldCharType="end"/>
            </w:r>
          </w:p>
        </w:tc>
        <w:tc>
          <w:tcPr>
            <w:tcW w:w="1096" w:type="dxa"/>
            <w:vAlign w:val="center"/>
          </w:tcPr>
          <w:p w14:paraId="17F1F35D" w14:textId="77777777" w:rsidR="00EA5BBF" w:rsidRPr="001570EA" w:rsidRDefault="00EA5BBF">
            <w:pPr>
              <w:jc w:val="center"/>
              <w:rPr>
                <w:rFonts w:cs="Arial"/>
                <w:sz w:val="18"/>
                <w:szCs w:val="18"/>
              </w:rPr>
            </w:pPr>
            <w:r w:rsidRPr="001570EA">
              <w:rPr>
                <w:rFonts w:cs="Arial"/>
                <w:sz w:val="18"/>
                <w:szCs w:val="18"/>
              </w:rPr>
              <w:t>3, 4</w:t>
            </w:r>
          </w:p>
        </w:tc>
      </w:tr>
      <w:tr w:rsidR="00EA5BBF" w:rsidRPr="001570EA" w14:paraId="43E9651B" w14:textId="77777777">
        <w:trPr>
          <w:cantSplit/>
          <w:trHeight w:val="584"/>
        </w:trPr>
        <w:tc>
          <w:tcPr>
            <w:tcW w:w="3397" w:type="dxa"/>
            <w:vAlign w:val="center"/>
          </w:tcPr>
          <w:p w14:paraId="26A4AC5A" w14:textId="77777777" w:rsidR="00EA5BBF" w:rsidRPr="001570EA" w:rsidRDefault="003B5E04">
            <w:pPr>
              <w:rPr>
                <w:rFonts w:eastAsia="Arial" w:cs="Arial"/>
                <w:sz w:val="18"/>
                <w:szCs w:val="18"/>
              </w:rPr>
            </w:pPr>
            <m:oMath>
              <m:sSub>
                <m:sSubPr>
                  <m:ctrlPr>
                    <w:rPr>
                      <w:rFonts w:ascii="Cambria Math" w:eastAsia="Calibri" w:hAnsi="Cambria Math" w:cs="Arial"/>
                      <w:i/>
                      <w:sz w:val="18"/>
                      <w:szCs w:val="18"/>
                    </w:rPr>
                  </m:ctrlPr>
                </m:sSubPr>
                <m:e>
                  <m:r>
                    <w:rPr>
                      <w:rFonts w:ascii="Cambria Math" w:eastAsia="Calibri" w:hAnsi="Cambria Math" w:cs="Arial"/>
                      <w:sz w:val="18"/>
                      <w:szCs w:val="18"/>
                    </w:rPr>
                    <m:t>R</m:t>
                  </m:r>
                </m:e>
                <m:sub>
                  <m:r>
                    <w:rPr>
                      <w:rFonts w:ascii="Cambria Math" w:eastAsia="Calibri" w:hAnsi="Cambria Math" w:cs="Arial"/>
                      <w:sz w:val="18"/>
                      <w:szCs w:val="18"/>
                    </w:rPr>
                    <m:t>ee</m:t>
                  </m:r>
                </m:sub>
              </m:sSub>
            </m:oMath>
            <w:r w:rsidR="00EA5BBF" w:rsidRPr="001570EA">
              <w:rPr>
                <w:sz w:val="18"/>
                <w:szCs w:val="18"/>
              </w:rPr>
              <w:t>, R-value of installed spray foam, rigid foam, or cavity insulation applied to foundation wall</w:t>
            </w:r>
          </w:p>
        </w:tc>
        <w:tc>
          <w:tcPr>
            <w:tcW w:w="1170" w:type="dxa"/>
            <w:vAlign w:val="center"/>
          </w:tcPr>
          <w:p w14:paraId="1674C87F" w14:textId="77777777" w:rsidR="00EA5BBF" w:rsidRPr="001570EA" w:rsidRDefault="003B5E04">
            <w:pPr>
              <w:jc w:val="center"/>
              <w:rPr>
                <w:rFonts w:eastAsia="Arial" w:cs="Arial"/>
                <w:sz w:val="18"/>
                <w:szCs w:val="18"/>
              </w:rPr>
            </w:pPr>
            <m:oMathPara>
              <m:oMath>
                <m:f>
                  <m:fPr>
                    <m:ctrlPr>
                      <w:rPr>
                        <w:rFonts w:ascii="Cambria Math" w:hAnsi="Cambria Math"/>
                        <w:i/>
                        <w:iCs/>
                        <w:sz w:val="18"/>
                        <w:szCs w:val="18"/>
                      </w:rPr>
                    </m:ctrlPr>
                  </m:fPr>
                  <m:num>
                    <m:r>
                      <w:rPr>
                        <w:rFonts w:ascii="Cambria Math" w:hAnsi="Cambria Math"/>
                        <w:sz w:val="18"/>
                        <w:szCs w:val="18"/>
                      </w:rPr>
                      <m:t>℉</m:t>
                    </m:r>
                    <m:r>
                      <w:rPr>
                        <w:rFonts w:ascii="Cambria Math" w:hAnsi="Cambria Math" w:cs="Arial"/>
                        <w:sz w:val="18"/>
                        <w:szCs w:val="18"/>
                      </w:rPr>
                      <m:t>∙</m:t>
                    </m:r>
                    <m:sSup>
                      <m:sSupPr>
                        <m:ctrlPr>
                          <w:rPr>
                            <w:rFonts w:ascii="Cambria Math" w:hAnsi="Cambria Math" w:cs="Arial"/>
                            <w:i/>
                            <w:sz w:val="18"/>
                            <w:szCs w:val="18"/>
                          </w:rPr>
                        </m:ctrlPr>
                      </m:sSupPr>
                      <m:e>
                        <m:r>
                          <w:rPr>
                            <w:rFonts w:ascii="Cambria Math" w:hAnsi="Cambria Math" w:cs="Arial"/>
                            <w:sz w:val="18"/>
                            <w:szCs w:val="18"/>
                          </w:rPr>
                          <m:t>ft</m:t>
                        </m:r>
                      </m:e>
                      <m:sup>
                        <m:r>
                          <w:rPr>
                            <w:rFonts w:ascii="Cambria Math" w:hAnsi="Cambria Math" w:cs="Arial"/>
                            <w:sz w:val="18"/>
                            <w:szCs w:val="18"/>
                          </w:rPr>
                          <m:t>2</m:t>
                        </m:r>
                      </m:sup>
                    </m:sSup>
                    <m:r>
                      <w:rPr>
                        <w:rFonts w:ascii="Cambria Math" w:hAnsi="Cambria Math" w:cs="Arial"/>
                        <w:sz w:val="18"/>
                        <w:szCs w:val="18"/>
                      </w:rPr>
                      <m:t>∙h</m:t>
                    </m:r>
                  </m:num>
                  <m:den>
                    <m:r>
                      <w:rPr>
                        <w:rFonts w:ascii="Cambria Math" w:hAnsi="Cambria Math"/>
                        <w:sz w:val="18"/>
                        <w:szCs w:val="18"/>
                      </w:rPr>
                      <m:t>BTU</m:t>
                    </m:r>
                  </m:den>
                </m:f>
              </m:oMath>
            </m:oMathPara>
          </w:p>
        </w:tc>
        <w:tc>
          <w:tcPr>
            <w:tcW w:w="2982" w:type="dxa"/>
            <w:gridSpan w:val="2"/>
            <w:vAlign w:val="center"/>
          </w:tcPr>
          <w:p w14:paraId="193C74C6" w14:textId="77777777" w:rsidR="00EA5BBF" w:rsidRPr="001570EA" w:rsidRDefault="00EA5BBF">
            <w:pPr>
              <w:jc w:val="center"/>
              <w:rPr>
                <w:rFonts w:eastAsia="Arial" w:cs="Arial"/>
                <w:sz w:val="18"/>
                <w:szCs w:val="18"/>
              </w:rPr>
            </w:pPr>
            <w:r w:rsidRPr="001570EA">
              <w:rPr>
                <w:sz w:val="18"/>
                <w:szCs w:val="18"/>
              </w:rPr>
              <w:t>EDC Data Gathering</w:t>
            </w:r>
          </w:p>
        </w:tc>
        <w:tc>
          <w:tcPr>
            <w:tcW w:w="1096" w:type="dxa"/>
            <w:vAlign w:val="center"/>
          </w:tcPr>
          <w:p w14:paraId="3F589217" w14:textId="77777777" w:rsidR="00EA5BBF" w:rsidRPr="001570EA" w:rsidRDefault="00EA5BBF">
            <w:pPr>
              <w:jc w:val="center"/>
              <w:rPr>
                <w:rFonts w:eastAsia="Arial" w:cs="Arial"/>
                <w:sz w:val="18"/>
                <w:szCs w:val="18"/>
              </w:rPr>
            </w:pPr>
            <w:r w:rsidRPr="001570EA">
              <w:rPr>
                <w:sz w:val="18"/>
                <w:szCs w:val="18"/>
              </w:rPr>
              <w:t>EDC Data Gathering</w:t>
            </w:r>
          </w:p>
        </w:tc>
      </w:tr>
      <w:tr w:rsidR="00EA5BBF" w:rsidRPr="001570EA" w14:paraId="272A5B8C" w14:textId="77777777">
        <w:trPr>
          <w:cantSplit/>
          <w:trHeight w:val="656"/>
        </w:trPr>
        <w:tc>
          <w:tcPr>
            <w:tcW w:w="3397" w:type="dxa"/>
            <w:vAlign w:val="center"/>
          </w:tcPr>
          <w:p w14:paraId="6BD89419" w14:textId="77777777" w:rsidR="00EA5BBF" w:rsidRPr="001570EA" w:rsidRDefault="00EA5BBF">
            <w:pPr>
              <w:rPr>
                <w:rFonts w:eastAsia="Arial" w:cs="Arial"/>
                <w:sz w:val="18"/>
                <w:szCs w:val="18"/>
              </w:rPr>
            </w:pPr>
            <w:r w:rsidRPr="001570EA">
              <w:rPr>
                <w:i/>
                <w:iCs/>
                <w:sz w:val="18"/>
                <w:szCs w:val="18"/>
              </w:rPr>
              <w:t>L</w:t>
            </w:r>
            <w:r w:rsidRPr="001570EA">
              <w:rPr>
                <w:sz w:val="18"/>
                <w:szCs w:val="18"/>
              </w:rPr>
              <w:t>, total length of all perimeter foundation walls receiving new insulation</w:t>
            </w:r>
          </w:p>
        </w:tc>
        <w:tc>
          <w:tcPr>
            <w:tcW w:w="1170" w:type="dxa"/>
            <w:vAlign w:val="center"/>
          </w:tcPr>
          <w:p w14:paraId="6EB6745F" w14:textId="77777777" w:rsidR="00EA5BBF" w:rsidRPr="001570EA" w:rsidRDefault="00EA5BBF">
            <w:pPr>
              <w:jc w:val="center"/>
              <w:rPr>
                <w:rFonts w:eastAsia="Arial" w:cs="Arial"/>
                <w:sz w:val="18"/>
                <w:szCs w:val="18"/>
              </w:rPr>
            </w:pPr>
            <w:r w:rsidRPr="001570EA">
              <w:rPr>
                <w:i/>
                <w:iCs/>
                <w:sz w:val="18"/>
                <w:szCs w:val="18"/>
              </w:rPr>
              <w:t>ft</w:t>
            </w:r>
          </w:p>
        </w:tc>
        <w:tc>
          <w:tcPr>
            <w:tcW w:w="2982" w:type="dxa"/>
            <w:gridSpan w:val="2"/>
            <w:vAlign w:val="center"/>
          </w:tcPr>
          <w:p w14:paraId="689B52ED" w14:textId="77777777" w:rsidR="00EA5BBF" w:rsidRPr="001570EA" w:rsidRDefault="00EA5BBF">
            <w:pPr>
              <w:jc w:val="center"/>
              <w:rPr>
                <w:rFonts w:eastAsia="Arial" w:cs="Arial"/>
                <w:sz w:val="18"/>
                <w:szCs w:val="18"/>
              </w:rPr>
            </w:pPr>
            <w:r w:rsidRPr="001570EA">
              <w:rPr>
                <w:sz w:val="18"/>
                <w:szCs w:val="18"/>
              </w:rPr>
              <w:t>EDC Data Gathering</w:t>
            </w:r>
          </w:p>
        </w:tc>
        <w:tc>
          <w:tcPr>
            <w:tcW w:w="1096" w:type="dxa"/>
            <w:vAlign w:val="center"/>
          </w:tcPr>
          <w:p w14:paraId="29C93606" w14:textId="77777777" w:rsidR="00EA5BBF" w:rsidRPr="001570EA" w:rsidRDefault="00EA5BBF">
            <w:pPr>
              <w:jc w:val="center"/>
              <w:rPr>
                <w:rFonts w:eastAsia="Arial" w:cs="Arial"/>
                <w:sz w:val="18"/>
                <w:szCs w:val="18"/>
              </w:rPr>
            </w:pPr>
            <w:r w:rsidRPr="001570EA">
              <w:rPr>
                <w:sz w:val="18"/>
                <w:szCs w:val="18"/>
              </w:rPr>
              <w:t>EDC Data Gathering</w:t>
            </w:r>
          </w:p>
        </w:tc>
      </w:tr>
      <w:tr w:rsidR="00EA5BBF" w:rsidRPr="001570EA" w14:paraId="13D80BBA" w14:textId="77777777">
        <w:trPr>
          <w:cantSplit/>
          <w:trHeight w:val="674"/>
        </w:trPr>
        <w:tc>
          <w:tcPr>
            <w:tcW w:w="3397" w:type="dxa"/>
            <w:vAlign w:val="center"/>
          </w:tcPr>
          <w:p w14:paraId="1F06DBC2" w14:textId="77777777" w:rsidR="00EA5BBF" w:rsidRPr="001570EA" w:rsidRDefault="003B5E04">
            <w:pPr>
              <w:rPr>
                <w:rFonts w:eastAsia="Arial" w:cs="Arial"/>
                <w:sz w:val="18"/>
                <w:szCs w:val="18"/>
              </w:rPr>
            </w:pPr>
            <m:oMath>
              <m:sSub>
                <m:sSubPr>
                  <m:ctrlPr>
                    <w:rPr>
                      <w:rFonts w:ascii="Cambria Math" w:eastAsia="Calibri" w:hAnsi="Cambria Math" w:cs="Arial"/>
                      <w:i/>
                      <w:sz w:val="18"/>
                      <w:szCs w:val="18"/>
                    </w:rPr>
                  </m:ctrlPr>
                </m:sSubPr>
                <m:e>
                  <m:r>
                    <w:rPr>
                      <w:rFonts w:ascii="Cambria Math" w:eastAsia="Calibri" w:hAnsi="Cambria Math" w:cs="Arial"/>
                      <w:sz w:val="18"/>
                      <w:szCs w:val="18"/>
                    </w:rPr>
                    <m:t>H</m:t>
                  </m:r>
                </m:e>
                <m:sub>
                  <m:r>
                    <w:rPr>
                      <w:rFonts w:ascii="Cambria Math" w:eastAsia="Calibri" w:hAnsi="Cambria Math" w:cs="Arial"/>
                      <w:sz w:val="18"/>
                      <w:szCs w:val="18"/>
                    </w:rPr>
                    <m:t>ag</m:t>
                  </m:r>
                </m:sub>
              </m:sSub>
            </m:oMath>
            <w:r w:rsidR="00EA5BBF" w:rsidRPr="001570EA">
              <w:rPr>
                <w:sz w:val="18"/>
                <w:szCs w:val="18"/>
              </w:rPr>
              <w:t>, height of insulated foundation wall above grade</w:t>
            </w:r>
          </w:p>
        </w:tc>
        <w:tc>
          <w:tcPr>
            <w:tcW w:w="1170" w:type="dxa"/>
            <w:vAlign w:val="center"/>
          </w:tcPr>
          <w:p w14:paraId="65296968" w14:textId="77777777" w:rsidR="00EA5BBF" w:rsidRPr="001570EA" w:rsidRDefault="00EA5BBF">
            <w:pPr>
              <w:jc w:val="center"/>
              <w:rPr>
                <w:rFonts w:eastAsia="Arial" w:cs="Arial"/>
                <w:sz w:val="18"/>
                <w:szCs w:val="18"/>
              </w:rPr>
            </w:pPr>
            <w:r w:rsidRPr="001570EA">
              <w:rPr>
                <w:i/>
                <w:iCs/>
                <w:sz w:val="18"/>
                <w:szCs w:val="18"/>
              </w:rPr>
              <w:t>ft</w:t>
            </w:r>
          </w:p>
        </w:tc>
        <w:tc>
          <w:tcPr>
            <w:tcW w:w="2982" w:type="dxa"/>
            <w:gridSpan w:val="2"/>
            <w:vAlign w:val="center"/>
          </w:tcPr>
          <w:p w14:paraId="00BDA303" w14:textId="77777777" w:rsidR="00EA5BBF" w:rsidRPr="001570EA" w:rsidRDefault="00EA5BBF">
            <w:pPr>
              <w:jc w:val="center"/>
              <w:rPr>
                <w:rFonts w:eastAsia="Arial" w:cs="Arial"/>
                <w:sz w:val="18"/>
                <w:szCs w:val="18"/>
              </w:rPr>
            </w:pPr>
            <w:r w:rsidRPr="001570EA">
              <w:rPr>
                <w:sz w:val="18"/>
                <w:szCs w:val="18"/>
              </w:rPr>
              <w:t>EDC Data Gathering</w:t>
            </w:r>
          </w:p>
        </w:tc>
        <w:tc>
          <w:tcPr>
            <w:tcW w:w="1096" w:type="dxa"/>
            <w:vAlign w:val="center"/>
          </w:tcPr>
          <w:p w14:paraId="0623509B" w14:textId="77777777" w:rsidR="00EA5BBF" w:rsidRPr="001570EA" w:rsidRDefault="00EA5BBF">
            <w:pPr>
              <w:jc w:val="center"/>
              <w:rPr>
                <w:rFonts w:eastAsia="Arial" w:cs="Arial"/>
                <w:sz w:val="18"/>
                <w:szCs w:val="18"/>
              </w:rPr>
            </w:pPr>
            <w:r w:rsidRPr="001570EA">
              <w:rPr>
                <w:sz w:val="18"/>
                <w:szCs w:val="18"/>
              </w:rPr>
              <w:t>EDC Data Gathering</w:t>
            </w:r>
          </w:p>
        </w:tc>
      </w:tr>
      <w:tr w:rsidR="00EA5BBF" w:rsidRPr="001570EA" w14:paraId="496995DA" w14:textId="77777777">
        <w:trPr>
          <w:cantSplit/>
          <w:trHeight w:val="584"/>
        </w:trPr>
        <w:tc>
          <w:tcPr>
            <w:tcW w:w="3397" w:type="dxa"/>
            <w:vAlign w:val="center"/>
          </w:tcPr>
          <w:p w14:paraId="62468D22" w14:textId="77777777" w:rsidR="00EA5BBF" w:rsidRPr="001570EA" w:rsidRDefault="003B5E04">
            <w:pPr>
              <w:rPr>
                <w:rFonts w:eastAsia="Arial" w:cs="Arial"/>
                <w:sz w:val="18"/>
                <w:szCs w:val="18"/>
              </w:rPr>
            </w:pPr>
            <m:oMath>
              <m:sSub>
                <m:sSubPr>
                  <m:ctrlPr>
                    <w:rPr>
                      <w:rFonts w:ascii="Cambria Math" w:eastAsia="Calibri" w:hAnsi="Cambria Math" w:cs="Arial"/>
                      <w:i/>
                      <w:sz w:val="18"/>
                      <w:szCs w:val="18"/>
                    </w:rPr>
                  </m:ctrlPr>
                </m:sSubPr>
                <m:e>
                  <m:r>
                    <w:rPr>
                      <w:rFonts w:ascii="Cambria Math" w:eastAsia="Calibri" w:hAnsi="Cambria Math" w:cs="Arial"/>
                      <w:sz w:val="18"/>
                      <w:szCs w:val="18"/>
                    </w:rPr>
                    <m:t>H</m:t>
                  </m:r>
                </m:e>
                <m:sub>
                  <m:r>
                    <w:rPr>
                      <w:rFonts w:ascii="Cambria Math" w:eastAsia="Calibri" w:hAnsi="Cambria Math" w:cs="Arial"/>
                      <w:sz w:val="18"/>
                      <w:szCs w:val="18"/>
                    </w:rPr>
                    <m:t>bg</m:t>
                  </m:r>
                </m:sub>
              </m:sSub>
            </m:oMath>
            <w:r w:rsidR="00EA5BBF" w:rsidRPr="001570EA">
              <w:rPr>
                <w:sz w:val="18"/>
                <w:szCs w:val="18"/>
              </w:rPr>
              <w:t>, height of insulated foundation wall below grade</w:t>
            </w:r>
          </w:p>
        </w:tc>
        <w:tc>
          <w:tcPr>
            <w:tcW w:w="1170" w:type="dxa"/>
            <w:vAlign w:val="center"/>
          </w:tcPr>
          <w:p w14:paraId="47A13284" w14:textId="77777777" w:rsidR="00EA5BBF" w:rsidRPr="001570EA" w:rsidRDefault="00EA5BBF">
            <w:pPr>
              <w:jc w:val="center"/>
              <w:rPr>
                <w:rFonts w:eastAsia="Arial" w:cs="Arial"/>
                <w:sz w:val="18"/>
                <w:szCs w:val="18"/>
              </w:rPr>
            </w:pPr>
            <w:r w:rsidRPr="001570EA">
              <w:rPr>
                <w:i/>
                <w:iCs/>
                <w:sz w:val="18"/>
                <w:szCs w:val="18"/>
              </w:rPr>
              <w:t>ft</w:t>
            </w:r>
          </w:p>
        </w:tc>
        <w:tc>
          <w:tcPr>
            <w:tcW w:w="2982" w:type="dxa"/>
            <w:gridSpan w:val="2"/>
            <w:vAlign w:val="center"/>
          </w:tcPr>
          <w:p w14:paraId="0E1BC3DA" w14:textId="77777777" w:rsidR="00EA5BBF" w:rsidRPr="001570EA" w:rsidRDefault="00EA5BBF">
            <w:pPr>
              <w:jc w:val="center"/>
              <w:rPr>
                <w:rFonts w:eastAsia="Arial" w:cs="Arial"/>
                <w:sz w:val="18"/>
                <w:szCs w:val="18"/>
              </w:rPr>
            </w:pPr>
            <w:r w:rsidRPr="001570EA">
              <w:rPr>
                <w:sz w:val="18"/>
                <w:szCs w:val="18"/>
              </w:rPr>
              <w:t>EDC Data Gathering</w:t>
            </w:r>
          </w:p>
        </w:tc>
        <w:tc>
          <w:tcPr>
            <w:tcW w:w="1096" w:type="dxa"/>
            <w:vAlign w:val="center"/>
          </w:tcPr>
          <w:p w14:paraId="5A354A20" w14:textId="77777777" w:rsidR="00EA5BBF" w:rsidRPr="001570EA" w:rsidRDefault="00EA5BBF">
            <w:pPr>
              <w:jc w:val="center"/>
              <w:rPr>
                <w:rFonts w:eastAsia="Arial" w:cs="Arial"/>
                <w:sz w:val="18"/>
                <w:szCs w:val="18"/>
              </w:rPr>
            </w:pPr>
            <w:r w:rsidRPr="001570EA">
              <w:rPr>
                <w:sz w:val="18"/>
                <w:szCs w:val="18"/>
              </w:rPr>
              <w:t>EDC Data Gathering</w:t>
            </w:r>
          </w:p>
        </w:tc>
      </w:tr>
      <w:tr w:rsidR="00EA5BBF" w:rsidRPr="001570EA" w14:paraId="0B2AAA7D" w14:textId="77777777">
        <w:trPr>
          <w:cantSplit/>
        </w:trPr>
        <w:tc>
          <w:tcPr>
            <w:tcW w:w="3397" w:type="dxa"/>
            <w:vAlign w:val="center"/>
          </w:tcPr>
          <w:p w14:paraId="72A69912" w14:textId="77777777" w:rsidR="00EA5BBF" w:rsidRPr="001570EA" w:rsidRDefault="00EA5BBF">
            <w:pPr>
              <w:rPr>
                <w:rFonts w:eastAsia="Arial" w:cs="Arial"/>
                <w:sz w:val="18"/>
                <w:szCs w:val="18"/>
              </w:rPr>
            </w:pPr>
            <w:r w:rsidRPr="001570EA">
              <w:rPr>
                <w:rFonts w:ascii="Cambria Math" w:hAnsi="Cambria Math"/>
                <w:i/>
                <w:iCs/>
                <w:sz w:val="18"/>
                <w:szCs w:val="18"/>
              </w:rPr>
              <w:t>FF</w:t>
            </w:r>
            <w:r w:rsidRPr="001570EA">
              <w:rPr>
                <w:sz w:val="18"/>
                <w:szCs w:val="18"/>
              </w:rPr>
              <w:t>, framing factor, adjustment to account for area of framing when cavity insulation is used</w:t>
            </w:r>
          </w:p>
        </w:tc>
        <w:tc>
          <w:tcPr>
            <w:tcW w:w="1170" w:type="dxa"/>
            <w:vAlign w:val="center"/>
          </w:tcPr>
          <w:p w14:paraId="7C4B2F50" w14:textId="77777777" w:rsidR="00EA5BBF" w:rsidRPr="001570EA" w:rsidRDefault="00EA5BBF">
            <w:pPr>
              <w:jc w:val="center"/>
              <w:rPr>
                <w:rFonts w:eastAsia="Arial" w:cs="Arial"/>
                <w:sz w:val="18"/>
                <w:szCs w:val="18"/>
              </w:rPr>
            </w:pPr>
            <w:r w:rsidRPr="001570EA">
              <w:rPr>
                <w:i/>
                <w:iCs/>
                <w:sz w:val="18"/>
                <w:szCs w:val="18"/>
              </w:rPr>
              <w:t>Proportion</w:t>
            </w:r>
          </w:p>
        </w:tc>
        <w:tc>
          <w:tcPr>
            <w:tcW w:w="2982" w:type="dxa"/>
            <w:gridSpan w:val="2"/>
            <w:vAlign w:val="center"/>
          </w:tcPr>
          <w:p w14:paraId="6B62FFEE" w14:textId="77777777" w:rsidR="00EA5BBF" w:rsidRPr="001570EA" w:rsidRDefault="00EA5BBF">
            <w:pPr>
              <w:pStyle w:val="TableCell"/>
              <w:keepNext w:val="0"/>
              <w:jc w:val="center"/>
              <w:rPr>
                <w:szCs w:val="18"/>
              </w:rPr>
            </w:pPr>
            <w:r w:rsidRPr="001570EA">
              <w:rPr>
                <w:szCs w:val="18"/>
              </w:rPr>
              <w:t>If continued = 0%</w:t>
            </w:r>
          </w:p>
          <w:p w14:paraId="50012EA4" w14:textId="77777777" w:rsidR="00EA5BBF" w:rsidRPr="001570EA" w:rsidRDefault="00EA5BBF">
            <w:pPr>
              <w:jc w:val="center"/>
              <w:rPr>
                <w:rFonts w:eastAsia="Arial" w:cs="Arial"/>
                <w:sz w:val="18"/>
                <w:szCs w:val="18"/>
              </w:rPr>
            </w:pPr>
            <w:r w:rsidRPr="001570EA">
              <w:rPr>
                <w:sz w:val="18"/>
                <w:szCs w:val="18"/>
              </w:rPr>
              <w:t>If stud-baycavity = 25%</w:t>
            </w:r>
          </w:p>
        </w:tc>
        <w:tc>
          <w:tcPr>
            <w:tcW w:w="1096" w:type="dxa"/>
            <w:vAlign w:val="center"/>
          </w:tcPr>
          <w:p w14:paraId="58673A0B" w14:textId="77777777" w:rsidR="00EA5BBF" w:rsidRPr="001570EA" w:rsidRDefault="00EA5BBF">
            <w:pPr>
              <w:jc w:val="center"/>
              <w:rPr>
                <w:rFonts w:cs="Arial"/>
                <w:sz w:val="18"/>
                <w:szCs w:val="18"/>
              </w:rPr>
            </w:pPr>
            <w:r w:rsidRPr="001570EA">
              <w:rPr>
                <w:rFonts w:cs="Arial"/>
                <w:sz w:val="18"/>
                <w:szCs w:val="18"/>
              </w:rPr>
              <w:t>5</w:t>
            </w:r>
          </w:p>
        </w:tc>
      </w:tr>
      <w:tr w:rsidR="00EA5BBF" w:rsidRPr="001570EA" w14:paraId="544AF01F" w14:textId="77777777">
        <w:trPr>
          <w:cantSplit/>
          <w:trHeight w:val="1664"/>
        </w:trPr>
        <w:tc>
          <w:tcPr>
            <w:tcW w:w="3397" w:type="dxa"/>
            <w:vAlign w:val="center"/>
          </w:tcPr>
          <w:p w14:paraId="7EDB45DD" w14:textId="77777777" w:rsidR="00EA5BBF" w:rsidRPr="001570EA" w:rsidRDefault="00EA5BBF">
            <w:pPr>
              <w:jc w:val="left"/>
              <w:rPr>
                <w:rFonts w:eastAsia="Arial" w:cs="Arial"/>
                <w:sz w:val="18"/>
                <w:szCs w:val="18"/>
              </w:rPr>
            </w:pPr>
            <w:r w:rsidRPr="001570EA">
              <w:rPr>
                <w:i/>
                <w:iCs/>
                <w:sz w:val="18"/>
                <w:szCs w:val="18"/>
              </w:rPr>
              <w:t>CDD,</w:t>
            </w:r>
            <w:r w:rsidRPr="001570EA">
              <w:rPr>
                <w:sz w:val="18"/>
                <w:szCs w:val="18"/>
              </w:rPr>
              <w:t xml:space="preserve"> cooling degree days matched to basement or crawlspace condition (conditioned/unconditioned). Insulation in unconditioned spaces is modeled by reducing the degree days to reflect the smaller but non-zero contribution to heating and cooling load.</w:t>
            </w:r>
          </w:p>
        </w:tc>
        <w:tc>
          <w:tcPr>
            <w:tcW w:w="1170" w:type="dxa"/>
            <w:vAlign w:val="center"/>
          </w:tcPr>
          <w:p w14:paraId="3D1421ED" w14:textId="77777777" w:rsidR="00EA5BBF" w:rsidRPr="001570EA" w:rsidRDefault="00EA5BBF">
            <w:pPr>
              <w:jc w:val="center"/>
              <w:rPr>
                <w:rFonts w:eastAsia="Arial" w:cs="Arial"/>
                <w:sz w:val="18"/>
                <w:szCs w:val="18"/>
              </w:rPr>
            </w:pPr>
            <w:r w:rsidRPr="001570EA">
              <w:rPr>
                <w:i/>
                <w:iCs/>
                <w:sz w:val="18"/>
                <w:szCs w:val="18"/>
              </w:rPr>
              <w:t>°F-day</w:t>
            </w:r>
          </w:p>
        </w:tc>
        <w:tc>
          <w:tcPr>
            <w:tcW w:w="2982" w:type="dxa"/>
            <w:gridSpan w:val="2"/>
            <w:vAlign w:val="center"/>
          </w:tcPr>
          <w:p w14:paraId="486657A4" w14:textId="77777777" w:rsidR="00EA5BBF" w:rsidRPr="001570EA" w:rsidRDefault="00EA5BBF">
            <w:pPr>
              <w:jc w:val="center"/>
              <w:rPr>
                <w:rFonts w:eastAsia="Arial" w:cs="Arial"/>
                <w:sz w:val="18"/>
                <w:szCs w:val="18"/>
              </w:rPr>
            </w:pPr>
            <w:r w:rsidRPr="001570EA">
              <w:rPr>
                <w:sz w:val="18"/>
                <w:szCs w:val="18"/>
              </w:rPr>
              <w:t>See CDD in Vol. 1 App. A</w:t>
            </w:r>
          </w:p>
        </w:tc>
        <w:tc>
          <w:tcPr>
            <w:tcW w:w="1096" w:type="dxa"/>
            <w:vAlign w:val="center"/>
          </w:tcPr>
          <w:p w14:paraId="193D008D" w14:textId="77777777" w:rsidR="00EA5BBF" w:rsidRPr="001570EA" w:rsidRDefault="00EA5BBF">
            <w:pPr>
              <w:jc w:val="center"/>
              <w:rPr>
                <w:rFonts w:cs="Arial"/>
                <w:sz w:val="18"/>
                <w:szCs w:val="18"/>
              </w:rPr>
            </w:pPr>
            <w:r w:rsidRPr="001570EA">
              <w:rPr>
                <w:rFonts w:cs="Arial"/>
                <w:sz w:val="18"/>
                <w:szCs w:val="18"/>
              </w:rPr>
              <w:t>6</w:t>
            </w:r>
          </w:p>
        </w:tc>
      </w:tr>
      <w:tr w:rsidR="00EA5BBF" w:rsidRPr="001570EA" w14:paraId="61B3FA7A" w14:textId="77777777">
        <w:trPr>
          <w:cantSplit/>
          <w:trHeight w:val="656"/>
        </w:trPr>
        <w:tc>
          <w:tcPr>
            <w:tcW w:w="3397" w:type="dxa"/>
            <w:vAlign w:val="center"/>
          </w:tcPr>
          <w:p w14:paraId="59EAB95D" w14:textId="77777777" w:rsidR="00EA5BBF" w:rsidRPr="001570EA" w:rsidRDefault="00EA5BBF">
            <w:pPr>
              <w:jc w:val="left"/>
              <w:rPr>
                <w:sz w:val="18"/>
                <w:szCs w:val="18"/>
              </w:rPr>
            </w:pPr>
            <w:r w:rsidRPr="001570EA">
              <w:rPr>
                <w:rFonts w:ascii="Cambria Math" w:hAnsi="Cambria Math"/>
                <w:i/>
                <w:sz w:val="18"/>
                <w:szCs w:val="18"/>
              </w:rPr>
              <w:t>HDD</w:t>
            </w:r>
            <w:r w:rsidRPr="001570EA">
              <w:rPr>
                <w:sz w:val="18"/>
                <w:szCs w:val="18"/>
              </w:rPr>
              <w:t>, heating degree days matched to basement or crawlspace condition (conditioned/unconditioned). Insulation in unconditioned spaces is modeled by reducing the degree days to reflect the smaller but non-zero contribution to heating and cooling load.</w:t>
            </w:r>
          </w:p>
        </w:tc>
        <w:tc>
          <w:tcPr>
            <w:tcW w:w="1170" w:type="dxa"/>
            <w:vAlign w:val="center"/>
          </w:tcPr>
          <w:p w14:paraId="1CD61867" w14:textId="77777777" w:rsidR="00EA5BBF" w:rsidRPr="001570EA" w:rsidRDefault="00EA5BBF">
            <w:pPr>
              <w:jc w:val="center"/>
              <w:rPr>
                <w:sz w:val="18"/>
                <w:szCs w:val="18"/>
              </w:rPr>
            </w:pPr>
            <w:r w:rsidRPr="001570EA">
              <w:rPr>
                <w:rFonts w:eastAsia="Arial Unicode MS" w:cs="Arial"/>
                <w:i/>
                <w:sz w:val="18"/>
                <w:szCs w:val="18"/>
              </w:rPr>
              <w:t>°</w:t>
            </w:r>
            <w:r w:rsidRPr="001570EA">
              <w:rPr>
                <w:rFonts w:eastAsia="Arial Unicode MS"/>
                <w:i/>
                <w:sz w:val="18"/>
                <w:szCs w:val="18"/>
              </w:rPr>
              <w:t>F-day</w:t>
            </w:r>
          </w:p>
        </w:tc>
        <w:tc>
          <w:tcPr>
            <w:tcW w:w="2982" w:type="dxa"/>
            <w:gridSpan w:val="2"/>
            <w:vAlign w:val="center"/>
          </w:tcPr>
          <w:p w14:paraId="5C72E54F" w14:textId="77777777" w:rsidR="00EA5BBF" w:rsidRPr="001570EA" w:rsidRDefault="00EA5BBF">
            <w:pPr>
              <w:jc w:val="center"/>
              <w:rPr>
                <w:sz w:val="18"/>
                <w:szCs w:val="18"/>
              </w:rPr>
            </w:pPr>
            <w:r w:rsidRPr="001570EA">
              <w:rPr>
                <w:sz w:val="18"/>
                <w:szCs w:val="18"/>
              </w:rPr>
              <w:t>See HDD in Vol. 1 App. A</w:t>
            </w:r>
          </w:p>
        </w:tc>
        <w:tc>
          <w:tcPr>
            <w:tcW w:w="1096" w:type="dxa"/>
            <w:vAlign w:val="center"/>
          </w:tcPr>
          <w:p w14:paraId="3ED3E2E3" w14:textId="77777777" w:rsidR="00EA5BBF" w:rsidRPr="001570EA" w:rsidRDefault="00EA5BBF">
            <w:pPr>
              <w:jc w:val="center"/>
              <w:rPr>
                <w:sz w:val="18"/>
                <w:szCs w:val="18"/>
              </w:rPr>
            </w:pPr>
            <w:r w:rsidRPr="001570EA">
              <w:rPr>
                <w:sz w:val="18"/>
                <w:szCs w:val="18"/>
              </w:rPr>
              <w:t>6</w:t>
            </w:r>
          </w:p>
        </w:tc>
      </w:tr>
      <w:tr w:rsidR="00EA5BBF" w:rsidRPr="001570EA" w14:paraId="41EBB181" w14:textId="77777777">
        <w:trPr>
          <w:cantSplit/>
        </w:trPr>
        <w:tc>
          <w:tcPr>
            <w:tcW w:w="3397" w:type="dxa"/>
            <w:vAlign w:val="center"/>
          </w:tcPr>
          <w:p w14:paraId="509CF642" w14:textId="77777777" w:rsidR="00EA5BBF" w:rsidRPr="001570EA" w:rsidRDefault="00EA5BBF">
            <w:pPr>
              <w:rPr>
                <w:sz w:val="18"/>
                <w:szCs w:val="18"/>
              </w:rPr>
            </w:pPr>
            <w:r w:rsidRPr="001570EA">
              <w:rPr>
                <w:rFonts w:ascii="Cambria Math" w:hAnsi="Cambria Math"/>
                <w:i/>
                <w:sz w:val="18"/>
                <w:szCs w:val="18"/>
              </w:rPr>
              <w:t>DUA</w:t>
            </w:r>
            <w:r w:rsidRPr="001570EA">
              <w:rPr>
                <w:sz w:val="18"/>
                <w:szCs w:val="18"/>
              </w:rPr>
              <w:t>, Discretionary Use Adjustment, adjustment for times when AC is not operating even though conditions may call for it</w:t>
            </w:r>
          </w:p>
        </w:tc>
        <w:tc>
          <w:tcPr>
            <w:tcW w:w="1170" w:type="dxa"/>
            <w:vAlign w:val="center"/>
          </w:tcPr>
          <w:p w14:paraId="30A016F2" w14:textId="77777777" w:rsidR="00EA5BBF" w:rsidRPr="001570EA" w:rsidRDefault="00EA5BBF">
            <w:pPr>
              <w:jc w:val="center"/>
              <w:rPr>
                <w:sz w:val="18"/>
                <w:szCs w:val="18"/>
              </w:rPr>
            </w:pPr>
            <w:r w:rsidRPr="001570EA">
              <w:rPr>
                <w:rFonts w:eastAsia="Arial Unicode MS"/>
                <w:i/>
                <w:sz w:val="18"/>
                <w:szCs w:val="18"/>
              </w:rPr>
              <w:t>Proportion</w:t>
            </w:r>
          </w:p>
        </w:tc>
        <w:tc>
          <w:tcPr>
            <w:tcW w:w="2982" w:type="dxa"/>
            <w:gridSpan w:val="2"/>
            <w:vAlign w:val="center"/>
          </w:tcPr>
          <w:p w14:paraId="089D1B02" w14:textId="77777777" w:rsidR="00EA5BBF" w:rsidRPr="001570EA" w:rsidRDefault="00EA5BBF">
            <w:pPr>
              <w:jc w:val="center"/>
              <w:rPr>
                <w:sz w:val="18"/>
                <w:szCs w:val="18"/>
              </w:rPr>
            </w:pPr>
            <w:r w:rsidRPr="001570EA">
              <w:rPr>
                <w:sz w:val="18"/>
                <w:szCs w:val="18"/>
              </w:rPr>
              <w:t>0.75</w:t>
            </w:r>
          </w:p>
        </w:tc>
        <w:tc>
          <w:tcPr>
            <w:tcW w:w="1096" w:type="dxa"/>
            <w:vAlign w:val="center"/>
          </w:tcPr>
          <w:p w14:paraId="0E21CE15" w14:textId="77777777" w:rsidR="00EA5BBF" w:rsidRPr="001570EA" w:rsidRDefault="00EA5BBF">
            <w:pPr>
              <w:jc w:val="center"/>
              <w:rPr>
                <w:sz w:val="18"/>
                <w:szCs w:val="18"/>
              </w:rPr>
            </w:pPr>
            <w:r w:rsidRPr="001570EA">
              <w:rPr>
                <w:sz w:val="18"/>
                <w:szCs w:val="18"/>
              </w:rPr>
              <w:t>7</w:t>
            </w:r>
          </w:p>
        </w:tc>
      </w:tr>
      <w:tr w:rsidR="00EA5BBF" w:rsidRPr="001570EA" w14:paraId="79BC16D2" w14:textId="77777777">
        <w:trPr>
          <w:cantSplit/>
        </w:trPr>
        <w:tc>
          <w:tcPr>
            <w:tcW w:w="3397" w:type="dxa"/>
            <w:vAlign w:val="center"/>
          </w:tcPr>
          <w:p w14:paraId="0A056C58" w14:textId="4EE43213" w:rsidR="00EA5BBF" w:rsidRPr="001570EA" w:rsidRDefault="003B5E04">
            <w:pPr>
              <w:rPr>
                <w:rFonts w:ascii="Cambria Math" w:hAnsi="Cambria Math"/>
                <w:i/>
                <w:sz w:val="18"/>
                <w:szCs w:val="18"/>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RAC</m:t>
                  </m:r>
                </m:sub>
              </m:sSub>
              <m:r>
                <w:rPr>
                  <w:rFonts w:ascii="Cambria Math" w:hAnsi="Cambria Math"/>
                  <w:sz w:val="18"/>
                  <w:szCs w:val="18"/>
                </w:rPr>
                <m:t xml:space="preserve">,  </m:t>
              </m:r>
            </m:oMath>
            <w:r w:rsidR="00EA5BBF" w:rsidRPr="001570EA">
              <w:rPr>
                <w:sz w:val="18"/>
                <w:szCs w:val="18"/>
              </w:rPr>
              <w:t>Adjustment factor to relate insulated area to area served by room air conditioners</w:t>
            </w:r>
          </w:p>
        </w:tc>
        <w:tc>
          <w:tcPr>
            <w:tcW w:w="1170" w:type="dxa"/>
            <w:vAlign w:val="center"/>
          </w:tcPr>
          <w:p w14:paraId="0D1A3494" w14:textId="77777777" w:rsidR="00EA5BBF" w:rsidRPr="001570EA" w:rsidRDefault="00EA5BBF">
            <w:pPr>
              <w:jc w:val="center"/>
              <w:rPr>
                <w:rFonts w:eastAsia="Arial Unicode MS"/>
                <w:i/>
                <w:iCs/>
                <w:sz w:val="18"/>
                <w:szCs w:val="18"/>
              </w:rPr>
            </w:pPr>
            <w:r w:rsidRPr="001570EA">
              <w:rPr>
                <w:i/>
                <w:iCs/>
                <w:sz w:val="18"/>
                <w:szCs w:val="18"/>
              </w:rPr>
              <w:t>None</w:t>
            </w:r>
          </w:p>
        </w:tc>
        <w:tc>
          <w:tcPr>
            <w:tcW w:w="2982" w:type="dxa"/>
            <w:gridSpan w:val="2"/>
            <w:vAlign w:val="center"/>
          </w:tcPr>
          <w:p w14:paraId="415FC59E" w14:textId="77777777" w:rsidR="00EA5BBF" w:rsidRPr="001570EA" w:rsidRDefault="00EA5BBF">
            <w:pPr>
              <w:pStyle w:val="TableCell"/>
              <w:keepNext w:val="0"/>
              <w:jc w:val="center"/>
              <w:rPr>
                <w:szCs w:val="18"/>
              </w:rPr>
            </w:pPr>
            <w:r w:rsidRPr="001570EA">
              <w:rPr>
                <w:szCs w:val="18"/>
              </w:rPr>
              <w:t>If Room AC = 0.24</w:t>
            </w:r>
          </w:p>
          <w:p w14:paraId="122D0C8D" w14:textId="77777777" w:rsidR="00EA5BBF" w:rsidRPr="001570EA" w:rsidRDefault="00EA5BBF">
            <w:pPr>
              <w:jc w:val="center"/>
              <w:rPr>
                <w:sz w:val="18"/>
                <w:szCs w:val="18"/>
              </w:rPr>
            </w:pPr>
            <w:r w:rsidRPr="001570EA">
              <w:rPr>
                <w:sz w:val="18"/>
                <w:szCs w:val="18"/>
              </w:rPr>
              <w:t>If non-Room AC = 1.0</w:t>
            </w:r>
          </w:p>
        </w:tc>
        <w:tc>
          <w:tcPr>
            <w:tcW w:w="1096" w:type="dxa"/>
            <w:vAlign w:val="center"/>
          </w:tcPr>
          <w:p w14:paraId="65474201" w14:textId="77777777" w:rsidR="00EA5BBF" w:rsidRPr="001570EA" w:rsidRDefault="00EA5BBF">
            <w:pPr>
              <w:jc w:val="center"/>
              <w:rPr>
                <w:sz w:val="18"/>
                <w:szCs w:val="18"/>
              </w:rPr>
            </w:pPr>
            <w:r w:rsidRPr="001570EA">
              <w:rPr>
                <w:sz w:val="18"/>
                <w:szCs w:val="18"/>
              </w:rPr>
              <w:t>8</w:t>
            </w:r>
          </w:p>
        </w:tc>
      </w:tr>
      <w:tr w:rsidR="00EA5BBF" w:rsidRPr="001570EA" w14:paraId="3D00461C" w14:textId="77777777">
        <w:trPr>
          <w:cantSplit/>
          <w:trHeight w:val="836"/>
        </w:trPr>
        <w:tc>
          <w:tcPr>
            <w:tcW w:w="3397" w:type="dxa"/>
            <w:vAlign w:val="center"/>
          </w:tcPr>
          <w:p w14:paraId="3FC47D29" w14:textId="77777777" w:rsidR="00EA5BBF" w:rsidRPr="001570EA" w:rsidRDefault="00EA5BBF">
            <w:pPr>
              <w:rPr>
                <w:sz w:val="18"/>
                <w:szCs w:val="18"/>
              </w:rPr>
            </w:pPr>
            <m:oMath>
              <m:r>
                <w:rPr>
                  <w:rFonts w:ascii="Cambria Math" w:eastAsia="Calibri" w:hAnsi="Cambria Math" w:cs="Arial"/>
                  <w:sz w:val="18"/>
                  <w:szCs w:val="18"/>
                </w:rPr>
                <m:t>SEER</m:t>
              </m:r>
            </m:oMath>
            <w:r w:rsidRPr="001570EA">
              <w:rPr>
                <w:sz w:val="18"/>
                <w:szCs w:val="18"/>
              </w:rPr>
              <w:t>, Cooling system seasonal efficiency</w:t>
            </w:r>
          </w:p>
        </w:tc>
        <w:tc>
          <w:tcPr>
            <w:tcW w:w="1170" w:type="dxa"/>
            <w:vAlign w:val="center"/>
          </w:tcPr>
          <w:p w14:paraId="700265EF" w14:textId="77777777" w:rsidR="00EA5BBF" w:rsidRPr="001570EA" w:rsidRDefault="003B5E04">
            <w:pPr>
              <w:jc w:val="center"/>
              <w:rPr>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982" w:type="dxa"/>
            <w:gridSpan w:val="2"/>
            <w:vAlign w:val="center"/>
          </w:tcPr>
          <w:p w14:paraId="270D6C13" w14:textId="77777777" w:rsidR="00EA5BBF" w:rsidRPr="001570EA" w:rsidRDefault="00EA5BBF">
            <w:pPr>
              <w:pStyle w:val="TableCell"/>
              <w:keepNext w:val="0"/>
              <w:spacing w:beforeLines="40" w:before="96" w:afterLines="40" w:after="96"/>
              <w:jc w:val="center"/>
              <w:rPr>
                <w:szCs w:val="18"/>
              </w:rPr>
            </w:pPr>
            <w:r w:rsidRPr="001570EA">
              <w:rPr>
                <w:szCs w:val="18"/>
              </w:rPr>
              <w:t>EDC Data Gathering</w:t>
            </w:r>
          </w:p>
          <w:p w14:paraId="48F7DE42" w14:textId="3A0D3B49" w:rsidR="00EA5BBF" w:rsidRPr="001570EA" w:rsidRDefault="00EA5BBF">
            <w:pPr>
              <w:keepNext/>
              <w:tabs>
                <w:tab w:val="left" w:pos="720"/>
              </w:tabs>
              <w:jc w:val="center"/>
              <w:rPr>
                <w:sz w:val="18"/>
                <w:szCs w:val="18"/>
              </w:rPr>
            </w:pPr>
            <w:r w:rsidRPr="001570EA">
              <w:rPr>
                <w:sz w:val="18"/>
                <w:szCs w:val="18"/>
              </w:rPr>
              <w:t xml:space="preserve">Default:  See Early Replacement or New Construction values (as appropriate) in </w:t>
            </w:r>
            <w:r w:rsidRPr="001570EA">
              <w:rPr>
                <w:sz w:val="18"/>
                <w:szCs w:val="18"/>
              </w:rPr>
              <w:fldChar w:fldCharType="begin"/>
            </w:r>
            <w:r w:rsidRPr="001570EA">
              <w:rPr>
                <w:sz w:val="18"/>
                <w:szCs w:val="18"/>
              </w:rPr>
              <w:instrText xml:space="preserve"> REF _Ref531779526 \h  \* MERGEFORMAT </w:instrText>
            </w:r>
            <w:r w:rsidRPr="001570EA">
              <w:rPr>
                <w:sz w:val="18"/>
                <w:szCs w:val="18"/>
              </w:rPr>
            </w:r>
            <w:r w:rsidRPr="001570EA">
              <w:rPr>
                <w:sz w:val="18"/>
                <w:szCs w:val="18"/>
              </w:rPr>
              <w:fldChar w:fldCharType="separate"/>
            </w:r>
            <w:r w:rsidR="00234C6C" w:rsidRPr="001570EA">
              <w:rPr>
                <w:sz w:val="18"/>
                <w:szCs w:val="18"/>
              </w:rPr>
              <w:t xml:space="preserve">Table </w:t>
            </w:r>
            <w:r w:rsidR="00234C6C" w:rsidRPr="001570EA">
              <w:rPr>
                <w:noProof/>
                <w:sz w:val="18"/>
                <w:szCs w:val="18"/>
              </w:rPr>
              <w:t>2</w:t>
            </w:r>
            <w:r w:rsidR="00234C6C" w:rsidRPr="001570EA">
              <w:rPr>
                <w:noProof/>
                <w:sz w:val="18"/>
                <w:szCs w:val="18"/>
              </w:rPr>
              <w:noBreakHyphen/>
              <w:t>10</w:t>
            </w:r>
            <w:r w:rsidRPr="001570EA">
              <w:rPr>
                <w:sz w:val="18"/>
                <w:szCs w:val="18"/>
              </w:rPr>
              <w:fldChar w:fldCharType="end"/>
            </w:r>
            <w:r w:rsidRPr="001570EA">
              <w:rPr>
                <w:sz w:val="18"/>
                <w:szCs w:val="18"/>
              </w:rPr>
              <w:t xml:space="preserve"> in Sec. </w:t>
            </w:r>
            <w:r w:rsidRPr="001570EA">
              <w:rPr>
                <w:sz w:val="18"/>
                <w:szCs w:val="18"/>
              </w:rPr>
              <w:fldChar w:fldCharType="begin"/>
            </w:r>
            <w:r w:rsidRPr="001570EA">
              <w:rPr>
                <w:sz w:val="18"/>
                <w:szCs w:val="18"/>
              </w:rPr>
              <w:instrText xml:space="preserve"> REF _Ref534371933 \r \h  \* MERGEFORMAT </w:instrText>
            </w:r>
            <w:r w:rsidRPr="001570EA">
              <w:rPr>
                <w:sz w:val="18"/>
                <w:szCs w:val="18"/>
              </w:rPr>
            </w:r>
            <w:r w:rsidRPr="001570EA">
              <w:rPr>
                <w:sz w:val="18"/>
                <w:szCs w:val="18"/>
              </w:rPr>
              <w:fldChar w:fldCharType="separate"/>
            </w:r>
            <w:r w:rsidR="00234C6C" w:rsidRPr="001570EA">
              <w:rPr>
                <w:sz w:val="18"/>
                <w:szCs w:val="18"/>
              </w:rPr>
              <w:t>2.2.1</w:t>
            </w:r>
            <w:r w:rsidRPr="001570EA">
              <w:rPr>
                <w:sz w:val="18"/>
                <w:szCs w:val="18"/>
              </w:rPr>
              <w:fldChar w:fldCharType="end"/>
            </w:r>
          </w:p>
        </w:tc>
        <w:tc>
          <w:tcPr>
            <w:tcW w:w="1096" w:type="dxa"/>
            <w:vAlign w:val="center"/>
          </w:tcPr>
          <w:p w14:paraId="68165D25" w14:textId="77777777" w:rsidR="00EA5BBF" w:rsidRPr="001570EA" w:rsidRDefault="00EA5BBF">
            <w:pPr>
              <w:jc w:val="center"/>
              <w:rPr>
                <w:sz w:val="18"/>
                <w:szCs w:val="18"/>
              </w:rPr>
            </w:pPr>
            <w:r w:rsidRPr="001570EA">
              <w:rPr>
                <w:sz w:val="18"/>
                <w:szCs w:val="18"/>
              </w:rPr>
              <w:t>9</w:t>
            </w:r>
          </w:p>
        </w:tc>
      </w:tr>
      <w:tr w:rsidR="00EA5BBF" w:rsidRPr="001570EA" w14:paraId="15A0BE66" w14:textId="77777777">
        <w:trPr>
          <w:cantSplit/>
          <w:trHeight w:val="629"/>
        </w:trPr>
        <w:tc>
          <w:tcPr>
            <w:tcW w:w="3397" w:type="dxa"/>
            <w:vAlign w:val="center"/>
          </w:tcPr>
          <w:p w14:paraId="4E8E68B4" w14:textId="77777777" w:rsidR="00EA5BBF" w:rsidRPr="001570EA" w:rsidRDefault="00EA5BBF">
            <w:pPr>
              <w:rPr>
                <w:sz w:val="18"/>
                <w:szCs w:val="18"/>
              </w:rPr>
            </w:pPr>
            <m:oMath>
              <m:r>
                <w:rPr>
                  <w:rFonts w:ascii="Cambria Math" w:eastAsia="Calibri" w:hAnsi="Cambria Math" w:cs="Arial"/>
                  <w:sz w:val="18"/>
                  <w:szCs w:val="18"/>
                </w:rPr>
                <m:t>HSPF</m:t>
              </m:r>
            </m:oMath>
            <w:r w:rsidRPr="001570EA">
              <w:rPr>
                <w:sz w:val="18"/>
                <w:szCs w:val="18"/>
              </w:rPr>
              <w:t>, Heating system seasonal efficiency</w:t>
            </w:r>
          </w:p>
        </w:tc>
        <w:tc>
          <w:tcPr>
            <w:tcW w:w="1170" w:type="dxa"/>
            <w:vAlign w:val="center"/>
          </w:tcPr>
          <w:p w14:paraId="485394A3" w14:textId="77777777" w:rsidR="00EA5BBF" w:rsidRPr="001570EA" w:rsidRDefault="00EA5BBF">
            <w:pPr>
              <w:jc w:val="center"/>
              <w:rPr>
                <w:sz w:val="18"/>
                <w:szCs w:val="18"/>
              </w:rPr>
            </w:pPr>
            <w:r w:rsidRPr="001570EA">
              <w:rPr>
                <w:rFonts w:eastAsia="Arial Unicode MS"/>
                <w:i/>
                <w:sz w:val="18"/>
                <w:szCs w:val="18"/>
              </w:rPr>
              <w:t>Proportion</w:t>
            </w:r>
          </w:p>
        </w:tc>
        <w:tc>
          <w:tcPr>
            <w:tcW w:w="2982" w:type="dxa"/>
            <w:gridSpan w:val="2"/>
            <w:vAlign w:val="center"/>
          </w:tcPr>
          <w:p w14:paraId="497A037C" w14:textId="77777777" w:rsidR="00EA5BBF" w:rsidRPr="001570EA" w:rsidRDefault="00EA5BBF">
            <w:pPr>
              <w:pStyle w:val="TableCell"/>
              <w:keepNext w:val="0"/>
              <w:spacing w:beforeLines="40" w:before="96" w:afterLines="40" w:after="96"/>
              <w:jc w:val="center"/>
              <w:rPr>
                <w:szCs w:val="18"/>
              </w:rPr>
            </w:pPr>
            <w:r w:rsidRPr="001570EA">
              <w:rPr>
                <w:szCs w:val="18"/>
              </w:rPr>
              <w:t>EDC Data Gathering</w:t>
            </w:r>
          </w:p>
          <w:p w14:paraId="68E496D1" w14:textId="575C358F" w:rsidR="00EA5BBF" w:rsidRPr="001570EA" w:rsidRDefault="00EA5BBF">
            <w:pPr>
              <w:jc w:val="center"/>
              <w:rPr>
                <w:sz w:val="18"/>
                <w:szCs w:val="18"/>
              </w:rPr>
            </w:pPr>
            <w:r w:rsidRPr="001570EA">
              <w:rPr>
                <w:sz w:val="18"/>
                <w:szCs w:val="18"/>
              </w:rPr>
              <w:t xml:space="preserve">Default:  See Early Replacement or New Construction values (as appropriate) in </w:t>
            </w:r>
            <w:r w:rsidRPr="001570EA">
              <w:rPr>
                <w:sz w:val="18"/>
                <w:szCs w:val="18"/>
              </w:rPr>
              <w:fldChar w:fldCharType="begin"/>
            </w:r>
            <w:r w:rsidRPr="001570EA">
              <w:rPr>
                <w:sz w:val="18"/>
                <w:szCs w:val="18"/>
              </w:rPr>
              <w:instrText xml:space="preserve"> REF _Ref531779526 \h  \* MERGEFORMAT </w:instrText>
            </w:r>
            <w:r w:rsidRPr="001570EA">
              <w:rPr>
                <w:sz w:val="18"/>
                <w:szCs w:val="18"/>
              </w:rPr>
            </w:r>
            <w:r w:rsidRPr="001570EA">
              <w:rPr>
                <w:sz w:val="18"/>
                <w:szCs w:val="18"/>
              </w:rPr>
              <w:fldChar w:fldCharType="separate"/>
            </w:r>
            <w:r w:rsidR="00234C6C" w:rsidRPr="001570EA">
              <w:rPr>
                <w:sz w:val="18"/>
                <w:szCs w:val="18"/>
              </w:rPr>
              <w:t xml:space="preserve">Table </w:t>
            </w:r>
            <w:r w:rsidR="00234C6C" w:rsidRPr="001570EA">
              <w:rPr>
                <w:noProof/>
                <w:sz w:val="18"/>
                <w:szCs w:val="18"/>
              </w:rPr>
              <w:t>2</w:t>
            </w:r>
            <w:r w:rsidR="00234C6C" w:rsidRPr="001570EA">
              <w:rPr>
                <w:noProof/>
                <w:sz w:val="18"/>
                <w:szCs w:val="18"/>
              </w:rPr>
              <w:noBreakHyphen/>
              <w:t>10</w:t>
            </w:r>
            <w:r w:rsidRPr="001570EA">
              <w:rPr>
                <w:sz w:val="18"/>
                <w:szCs w:val="18"/>
              </w:rPr>
              <w:fldChar w:fldCharType="end"/>
            </w:r>
            <w:r w:rsidRPr="001570EA">
              <w:rPr>
                <w:sz w:val="18"/>
                <w:szCs w:val="18"/>
              </w:rPr>
              <w:t xml:space="preserve"> in Sec. </w:t>
            </w:r>
            <w:r w:rsidRPr="001570EA">
              <w:rPr>
                <w:sz w:val="18"/>
                <w:szCs w:val="18"/>
              </w:rPr>
              <w:fldChar w:fldCharType="begin"/>
            </w:r>
            <w:r w:rsidRPr="001570EA">
              <w:rPr>
                <w:sz w:val="18"/>
                <w:szCs w:val="18"/>
              </w:rPr>
              <w:instrText xml:space="preserve"> REF _Ref534371933 \r \h  \* MERGEFORMAT </w:instrText>
            </w:r>
            <w:r w:rsidRPr="001570EA">
              <w:rPr>
                <w:sz w:val="18"/>
                <w:szCs w:val="18"/>
              </w:rPr>
            </w:r>
            <w:r w:rsidRPr="001570EA">
              <w:rPr>
                <w:sz w:val="18"/>
                <w:szCs w:val="18"/>
              </w:rPr>
              <w:fldChar w:fldCharType="separate"/>
            </w:r>
            <w:r w:rsidR="00234C6C" w:rsidRPr="001570EA">
              <w:rPr>
                <w:sz w:val="18"/>
                <w:szCs w:val="18"/>
              </w:rPr>
              <w:t>2.2.1</w:t>
            </w:r>
            <w:r w:rsidRPr="001570EA">
              <w:rPr>
                <w:sz w:val="18"/>
                <w:szCs w:val="18"/>
              </w:rPr>
              <w:fldChar w:fldCharType="end"/>
            </w:r>
          </w:p>
        </w:tc>
        <w:tc>
          <w:tcPr>
            <w:tcW w:w="1096" w:type="dxa"/>
            <w:vAlign w:val="center"/>
          </w:tcPr>
          <w:p w14:paraId="247AC9E9" w14:textId="77777777" w:rsidR="00EA5BBF" w:rsidRPr="001570EA" w:rsidRDefault="00EA5BBF">
            <w:pPr>
              <w:jc w:val="center"/>
              <w:rPr>
                <w:sz w:val="18"/>
                <w:szCs w:val="18"/>
              </w:rPr>
            </w:pPr>
            <w:r w:rsidRPr="001570EA">
              <w:rPr>
                <w:sz w:val="18"/>
                <w:szCs w:val="18"/>
              </w:rPr>
              <w:t>9</w:t>
            </w:r>
          </w:p>
        </w:tc>
      </w:tr>
      <w:tr w:rsidR="00EA5BBF" w:rsidRPr="001570EA" w14:paraId="41A85E7F" w14:textId="77777777">
        <w:trPr>
          <w:cantSplit/>
          <w:trHeight w:val="854"/>
        </w:trPr>
        <w:tc>
          <w:tcPr>
            <w:tcW w:w="3397" w:type="dxa"/>
            <w:vAlign w:val="center"/>
          </w:tcPr>
          <w:p w14:paraId="52B4FEDC" w14:textId="77777777" w:rsidR="00EA5BBF" w:rsidRPr="001570EA" w:rsidRDefault="00EA5BBF">
            <w:pPr>
              <w:rPr>
                <w:i/>
                <w:sz w:val="18"/>
                <w:szCs w:val="18"/>
              </w:rPr>
            </w:pPr>
            <w:r w:rsidRPr="001570EA">
              <w:rPr>
                <w:rFonts w:ascii="Cambria Math" w:hAnsi="Cambria Math"/>
                <w:i/>
                <w:iCs/>
                <w:sz w:val="18"/>
                <w:szCs w:val="18"/>
              </w:rPr>
              <w:t>COP</w:t>
            </w:r>
            <w:r w:rsidRPr="001570EA">
              <w:rPr>
                <w:rFonts w:ascii="Cambria Math" w:hAnsi="Cambria Math"/>
                <w:i/>
                <w:iCs/>
                <w:sz w:val="18"/>
                <w:szCs w:val="18"/>
                <w:vertAlign w:val="subscript"/>
              </w:rPr>
              <w:t>g</w:t>
            </w:r>
            <w:r w:rsidRPr="001570EA">
              <w:rPr>
                <w:i/>
                <w:iCs/>
                <w:sz w:val="18"/>
                <w:szCs w:val="18"/>
              </w:rPr>
              <w:t xml:space="preserve">, </w:t>
            </w:r>
            <w:r w:rsidRPr="001570EA">
              <w:rPr>
                <w:rFonts w:cs="Arial"/>
                <w:sz w:val="18"/>
                <w:szCs w:val="18"/>
              </w:rPr>
              <w:t>Coefficient of Performance. This is a measure of the efficiency of a ground source heat pump</w:t>
            </w:r>
          </w:p>
        </w:tc>
        <w:tc>
          <w:tcPr>
            <w:tcW w:w="1170" w:type="dxa"/>
            <w:vAlign w:val="center"/>
          </w:tcPr>
          <w:p w14:paraId="04A2136B" w14:textId="77777777" w:rsidR="00EA5BBF" w:rsidRPr="001570EA" w:rsidRDefault="00EA5BBF">
            <w:pPr>
              <w:jc w:val="center"/>
              <w:rPr>
                <w:rFonts w:eastAsia="Arial Unicode MS"/>
                <w:i/>
                <w:sz w:val="18"/>
                <w:szCs w:val="18"/>
              </w:rPr>
            </w:pPr>
            <w:r w:rsidRPr="001570EA">
              <w:rPr>
                <w:iCs/>
                <w:sz w:val="18"/>
                <w:szCs w:val="18"/>
              </w:rPr>
              <w:t>None</w:t>
            </w:r>
          </w:p>
        </w:tc>
        <w:tc>
          <w:tcPr>
            <w:tcW w:w="2982" w:type="dxa"/>
            <w:gridSpan w:val="2"/>
            <w:vAlign w:val="center"/>
          </w:tcPr>
          <w:p w14:paraId="58CFAD03" w14:textId="77777777" w:rsidR="00EA5BBF" w:rsidRPr="001570EA" w:rsidRDefault="00EA5BBF">
            <w:pPr>
              <w:jc w:val="center"/>
              <w:rPr>
                <w:sz w:val="18"/>
                <w:szCs w:val="18"/>
              </w:rPr>
            </w:pPr>
            <w:r w:rsidRPr="001570EA">
              <w:rPr>
                <w:sz w:val="18"/>
                <w:szCs w:val="18"/>
              </w:rPr>
              <w:t>EDC Data Gathering</w:t>
            </w:r>
          </w:p>
          <w:p w14:paraId="322D2E52" w14:textId="77777777" w:rsidR="00EA5BBF" w:rsidRPr="001570EA" w:rsidRDefault="00EA5BBF">
            <w:pPr>
              <w:jc w:val="center"/>
              <w:rPr>
                <w:sz w:val="18"/>
                <w:szCs w:val="18"/>
              </w:rPr>
            </w:pPr>
            <w:r w:rsidRPr="001570EA">
              <w:rPr>
                <w:sz w:val="18"/>
                <w:szCs w:val="18"/>
              </w:rPr>
              <w:t>Default = 13.6</w:t>
            </w:r>
          </w:p>
        </w:tc>
        <w:tc>
          <w:tcPr>
            <w:tcW w:w="1096" w:type="dxa"/>
            <w:vAlign w:val="center"/>
          </w:tcPr>
          <w:p w14:paraId="0A56DEA7" w14:textId="77777777" w:rsidR="00EA5BBF" w:rsidRPr="001570EA" w:rsidRDefault="00EA5BBF">
            <w:pPr>
              <w:jc w:val="center"/>
              <w:rPr>
                <w:sz w:val="18"/>
                <w:szCs w:val="18"/>
              </w:rPr>
            </w:pPr>
            <w:r w:rsidRPr="001570EA">
              <w:rPr>
                <w:sz w:val="18"/>
                <w:szCs w:val="18"/>
              </w:rPr>
              <w:t>10</w:t>
            </w:r>
          </w:p>
        </w:tc>
      </w:tr>
      <w:tr w:rsidR="00EA5BBF" w:rsidRPr="001570EA" w14:paraId="421F48BD" w14:textId="77777777">
        <w:trPr>
          <w:cantSplit/>
          <w:trHeight w:val="854"/>
        </w:trPr>
        <w:tc>
          <w:tcPr>
            <w:tcW w:w="3397" w:type="dxa"/>
            <w:vAlign w:val="center"/>
          </w:tcPr>
          <w:p w14:paraId="733DFFF5" w14:textId="2361EC54" w:rsidR="00EA5BBF" w:rsidRPr="001570EA" w:rsidRDefault="00EA5BBF">
            <w:pPr>
              <w:rPr>
                <w:i/>
                <w:sz w:val="18"/>
                <w:szCs w:val="18"/>
              </w:rPr>
            </w:pPr>
            <w:r w:rsidRPr="001570EA">
              <w:rPr>
                <w:rFonts w:ascii="Cambria Math" w:hAnsi="Cambria Math"/>
                <w:i/>
                <w:iCs/>
                <w:sz w:val="18"/>
                <w:szCs w:val="18"/>
              </w:rPr>
              <w:t>EER</w:t>
            </w:r>
            <w:r w:rsidRPr="001570EA">
              <w:rPr>
                <w:rFonts w:ascii="Cambria Math" w:hAnsi="Cambria Math"/>
                <w:i/>
                <w:iCs/>
                <w:sz w:val="18"/>
                <w:szCs w:val="18"/>
                <w:vertAlign w:val="subscript"/>
              </w:rPr>
              <w:t>g</w:t>
            </w:r>
            <w:r w:rsidRPr="001570EA">
              <w:rPr>
                <w:i/>
                <w:iCs/>
                <w:sz w:val="18"/>
                <w:szCs w:val="18"/>
              </w:rPr>
              <w:t xml:space="preserve">, </w:t>
            </w:r>
            <w:r w:rsidRPr="001570EA">
              <w:rPr>
                <w:rFonts w:cs="Arial"/>
                <w:sz w:val="18"/>
                <w:szCs w:val="18"/>
              </w:rPr>
              <w:t>Energy Efficiency Ratio of a GSHP, this is measured differently than EER of an air source heat pump and must be converted</w:t>
            </w:r>
          </w:p>
        </w:tc>
        <w:tc>
          <w:tcPr>
            <w:tcW w:w="1170" w:type="dxa"/>
            <w:vAlign w:val="center"/>
          </w:tcPr>
          <w:p w14:paraId="2C914155" w14:textId="77777777" w:rsidR="00EA5BBF" w:rsidRPr="001570EA" w:rsidRDefault="003B5E04">
            <w:pPr>
              <w:jc w:val="center"/>
              <w:rPr>
                <w:rFonts w:eastAsia="Arial Unicode MS"/>
                <w:i/>
                <w:sz w:val="18"/>
                <w:szCs w:val="18"/>
              </w:rPr>
            </w:pPr>
            <m:oMathPara>
              <m:oMath>
                <m:f>
                  <m:fPr>
                    <m:ctrlPr>
                      <w:rPr>
                        <w:rFonts w:ascii="Cambria Math" w:hAnsi="Cambria Math" w:cs="Arial"/>
                        <w:sz w:val="18"/>
                        <w:szCs w:val="18"/>
                      </w:rPr>
                    </m:ctrlPr>
                  </m:fPr>
                  <m:num>
                    <m:r>
                      <w:rPr>
                        <w:rFonts w:ascii="Cambria Math" w:hAnsi="Cambria Math" w:cs="Arial"/>
                        <w:sz w:val="18"/>
                        <w:szCs w:val="18"/>
                      </w:rPr>
                      <m:t>BTU</m:t>
                    </m:r>
                  </m:num>
                  <m:den>
                    <m:r>
                      <w:rPr>
                        <w:rFonts w:ascii="Cambria Math" w:hAnsi="Cambria Math" w:cs="Arial"/>
                        <w:sz w:val="18"/>
                        <w:szCs w:val="18"/>
                      </w:rPr>
                      <m:t>W∙h</m:t>
                    </m:r>
                  </m:den>
                </m:f>
              </m:oMath>
            </m:oMathPara>
          </w:p>
        </w:tc>
        <w:tc>
          <w:tcPr>
            <w:tcW w:w="2982" w:type="dxa"/>
            <w:gridSpan w:val="2"/>
            <w:vAlign w:val="center"/>
          </w:tcPr>
          <w:p w14:paraId="5B841FEF" w14:textId="77777777" w:rsidR="00EA5BBF" w:rsidRPr="001570EA" w:rsidRDefault="00EA5BBF">
            <w:pPr>
              <w:jc w:val="center"/>
              <w:rPr>
                <w:sz w:val="18"/>
                <w:szCs w:val="18"/>
              </w:rPr>
            </w:pPr>
            <w:r w:rsidRPr="001570EA">
              <w:rPr>
                <w:sz w:val="18"/>
                <w:szCs w:val="18"/>
              </w:rPr>
              <w:t>EDC Data Gathering</w:t>
            </w:r>
          </w:p>
          <w:p w14:paraId="76CA0DA8" w14:textId="77777777" w:rsidR="00EA5BBF" w:rsidRPr="001570EA" w:rsidRDefault="00EA5BBF">
            <w:pPr>
              <w:jc w:val="center"/>
              <w:rPr>
                <w:sz w:val="18"/>
                <w:szCs w:val="18"/>
              </w:rPr>
            </w:pPr>
            <w:r w:rsidRPr="001570EA">
              <w:rPr>
                <w:sz w:val="18"/>
                <w:szCs w:val="18"/>
              </w:rPr>
              <w:t>Default = 17.1</w:t>
            </w:r>
          </w:p>
        </w:tc>
        <w:tc>
          <w:tcPr>
            <w:tcW w:w="1096" w:type="dxa"/>
            <w:vAlign w:val="center"/>
          </w:tcPr>
          <w:p w14:paraId="407ACD35" w14:textId="77777777" w:rsidR="00EA5BBF" w:rsidRPr="001570EA" w:rsidRDefault="00EA5BBF">
            <w:pPr>
              <w:jc w:val="center"/>
              <w:rPr>
                <w:sz w:val="18"/>
                <w:szCs w:val="18"/>
              </w:rPr>
            </w:pPr>
            <w:r w:rsidRPr="001570EA">
              <w:rPr>
                <w:sz w:val="18"/>
                <w:szCs w:val="18"/>
              </w:rPr>
              <w:t>10</w:t>
            </w:r>
          </w:p>
        </w:tc>
      </w:tr>
      <w:tr w:rsidR="00EA5BBF" w:rsidRPr="001570EA" w14:paraId="7363D36B" w14:textId="77777777">
        <w:trPr>
          <w:cantSplit/>
          <w:trHeight w:val="854"/>
        </w:trPr>
        <w:tc>
          <w:tcPr>
            <w:tcW w:w="3397" w:type="dxa"/>
            <w:vAlign w:val="center"/>
          </w:tcPr>
          <w:p w14:paraId="4536565F" w14:textId="7EB41BCB" w:rsidR="00EA5BBF" w:rsidRPr="001570EA" w:rsidRDefault="00EA5BBF">
            <w:pPr>
              <w:rPr>
                <w:i/>
                <w:sz w:val="18"/>
                <w:szCs w:val="18"/>
              </w:rPr>
            </w:pPr>
            <w:r w:rsidRPr="001570EA">
              <w:rPr>
                <w:rFonts w:ascii="Cambria Math" w:hAnsi="Cambria Math"/>
                <w:i/>
                <w:iCs/>
                <w:sz w:val="18"/>
                <w:szCs w:val="18"/>
              </w:rPr>
              <w:t>GSHPDF</w:t>
            </w:r>
            <w:r w:rsidRPr="001570EA">
              <w:rPr>
                <w:sz w:val="18"/>
                <w:szCs w:val="18"/>
              </w:rPr>
              <w:t>, Ground Source Heat Pump De-rate Factor</w:t>
            </w:r>
          </w:p>
        </w:tc>
        <w:tc>
          <w:tcPr>
            <w:tcW w:w="1170" w:type="dxa"/>
            <w:vAlign w:val="center"/>
          </w:tcPr>
          <w:p w14:paraId="509C60F0" w14:textId="77777777" w:rsidR="00EA5BBF" w:rsidRPr="001570EA" w:rsidRDefault="00EA5BBF">
            <w:pPr>
              <w:jc w:val="center"/>
              <w:rPr>
                <w:rFonts w:eastAsia="Arial Unicode MS"/>
                <w:i/>
                <w:sz w:val="18"/>
                <w:szCs w:val="18"/>
              </w:rPr>
            </w:pPr>
            <w:r w:rsidRPr="001570EA">
              <w:rPr>
                <w:i/>
                <w:iCs/>
                <w:sz w:val="18"/>
                <w:szCs w:val="18"/>
              </w:rPr>
              <w:t>Proportion</w:t>
            </w:r>
          </w:p>
        </w:tc>
        <w:tc>
          <w:tcPr>
            <w:tcW w:w="2982" w:type="dxa"/>
            <w:gridSpan w:val="2"/>
            <w:vAlign w:val="center"/>
          </w:tcPr>
          <w:p w14:paraId="1A3FBCA5" w14:textId="77777777" w:rsidR="00EA5BBF" w:rsidRPr="001570EA" w:rsidRDefault="00EA5BBF">
            <w:pPr>
              <w:jc w:val="center"/>
              <w:rPr>
                <w:sz w:val="18"/>
                <w:szCs w:val="18"/>
              </w:rPr>
            </w:pPr>
            <w:r w:rsidRPr="001570EA">
              <w:rPr>
                <w:sz w:val="18"/>
                <w:szCs w:val="18"/>
              </w:rPr>
              <w:t>0.885</w:t>
            </w:r>
          </w:p>
        </w:tc>
        <w:tc>
          <w:tcPr>
            <w:tcW w:w="1096" w:type="dxa"/>
            <w:vAlign w:val="center"/>
          </w:tcPr>
          <w:p w14:paraId="1A34B72C" w14:textId="77777777" w:rsidR="00EA5BBF" w:rsidRPr="001570EA" w:rsidRDefault="00EA5BBF">
            <w:pPr>
              <w:jc w:val="center"/>
              <w:rPr>
                <w:sz w:val="18"/>
                <w:szCs w:val="18"/>
              </w:rPr>
            </w:pPr>
            <w:r w:rsidRPr="001570EA">
              <w:rPr>
                <w:sz w:val="18"/>
                <w:szCs w:val="18"/>
              </w:rPr>
              <w:t>11</w:t>
            </w:r>
          </w:p>
        </w:tc>
      </w:tr>
      <w:tr w:rsidR="00EA5BBF" w:rsidRPr="001570EA" w14:paraId="411A9F01" w14:textId="77777777">
        <w:trPr>
          <w:cantSplit/>
          <w:trHeight w:val="944"/>
        </w:trPr>
        <w:tc>
          <w:tcPr>
            <w:tcW w:w="3397" w:type="dxa"/>
            <w:vAlign w:val="center"/>
          </w:tcPr>
          <w:p w14:paraId="57B2B82A" w14:textId="77777777" w:rsidR="00EA5BBF" w:rsidRPr="001570EA" w:rsidRDefault="003B5E04">
            <w:pPr>
              <w:rPr>
                <w:rFonts w:cs="Arial"/>
                <w:sz w:val="18"/>
                <w:szCs w:val="18"/>
              </w:rPr>
            </w:pPr>
            <m:oMath>
              <m:sSub>
                <m:sSubPr>
                  <m:ctrlPr>
                    <w:rPr>
                      <w:rFonts w:ascii="Cambria Math" w:hAnsi="Cambria Math" w:cs="Arial"/>
                      <w:i/>
                      <w:sz w:val="18"/>
                      <w:szCs w:val="18"/>
                    </w:rPr>
                  </m:ctrlPr>
                </m:sSubPr>
                <m:e>
                  <m:r>
                    <w:rPr>
                      <w:rFonts w:ascii="Cambria Math" w:hAnsi="Cambria Math" w:cs="Arial"/>
                      <w:sz w:val="18"/>
                      <w:szCs w:val="18"/>
                    </w:rPr>
                    <m:t>ETDF</m:t>
                  </m:r>
                </m:e>
                <m:sub>
                  <m:r>
                    <w:rPr>
                      <w:rFonts w:ascii="Cambria Math" w:hAnsi="Cambria Math" w:cs="Arial"/>
                      <w:sz w:val="18"/>
                      <w:szCs w:val="18"/>
                    </w:rPr>
                    <m:t>summer</m:t>
                  </m:r>
                </m:sub>
              </m:sSub>
            </m:oMath>
            <w:r w:rsidR="00EA5BBF" w:rsidRPr="001570EA">
              <w:rPr>
                <w:rFonts w:cs="Arial"/>
                <w:sz w:val="18"/>
                <w:szCs w:val="18"/>
              </w:rPr>
              <w:t>, Summer energy to demand factor</w:t>
            </w:r>
          </w:p>
        </w:tc>
        <w:tc>
          <w:tcPr>
            <w:tcW w:w="1170" w:type="dxa"/>
            <w:vAlign w:val="center"/>
          </w:tcPr>
          <w:p w14:paraId="7E500CAE" w14:textId="77777777" w:rsidR="00EA5BBF" w:rsidRPr="001570EA" w:rsidRDefault="00EA5BBF">
            <w:pPr>
              <w:jc w:val="center"/>
              <w:rPr>
                <w:rFonts w:cs="Arial"/>
                <w:sz w:val="18"/>
                <w:szCs w:val="18"/>
              </w:rPr>
            </w:pPr>
            <w:r w:rsidRPr="001570EA">
              <w:rPr>
                <w:rFonts w:eastAsia="Arial Unicode MS" w:cs="Arial"/>
                <w:i/>
                <w:sz w:val="18"/>
                <w:szCs w:val="18"/>
              </w:rPr>
              <w:t>kW/kWh</w:t>
            </w:r>
          </w:p>
        </w:tc>
        <w:tc>
          <w:tcPr>
            <w:tcW w:w="2982" w:type="dxa"/>
            <w:gridSpan w:val="2"/>
            <w:vAlign w:val="center"/>
          </w:tcPr>
          <w:p w14:paraId="60035EDA" w14:textId="77777777" w:rsidR="00EA5BBF" w:rsidRPr="001570EA" w:rsidRDefault="00EA5BBF">
            <w:pPr>
              <w:jc w:val="center"/>
              <w:rPr>
                <w:rFonts w:cs="Arial"/>
                <w:sz w:val="18"/>
                <w:szCs w:val="18"/>
              </w:rPr>
            </w:pPr>
            <w:r w:rsidRPr="001570EA">
              <w:rPr>
                <w:rFonts w:cs="Arial"/>
                <w:sz w:val="18"/>
                <w:szCs w:val="18"/>
              </w:rPr>
              <w:t>0.0005272</w:t>
            </w:r>
          </w:p>
        </w:tc>
        <w:tc>
          <w:tcPr>
            <w:tcW w:w="1096" w:type="dxa"/>
            <w:vAlign w:val="center"/>
          </w:tcPr>
          <w:p w14:paraId="7C5AC3E8" w14:textId="77777777" w:rsidR="00EA5BBF" w:rsidRPr="001570EA" w:rsidRDefault="00EA5BBF">
            <w:pPr>
              <w:jc w:val="center"/>
              <w:rPr>
                <w:rFonts w:cs="Arial"/>
                <w:sz w:val="18"/>
                <w:szCs w:val="18"/>
              </w:rPr>
            </w:pPr>
            <w:r w:rsidRPr="001570EA">
              <w:rPr>
                <w:rFonts w:cs="Arial"/>
                <w:sz w:val="18"/>
                <w:szCs w:val="18"/>
              </w:rPr>
              <w:t>12</w:t>
            </w:r>
          </w:p>
        </w:tc>
      </w:tr>
      <w:tr w:rsidR="00EA5BBF" w:rsidRPr="001570EA" w14:paraId="2F7CEE25" w14:textId="77777777">
        <w:trPr>
          <w:cantSplit/>
          <w:trHeight w:val="611"/>
        </w:trPr>
        <w:tc>
          <w:tcPr>
            <w:tcW w:w="3397" w:type="dxa"/>
            <w:vAlign w:val="center"/>
          </w:tcPr>
          <w:p w14:paraId="3552CFCB" w14:textId="77777777" w:rsidR="00EA5BBF" w:rsidRPr="001570EA" w:rsidRDefault="003B5E04">
            <w:pPr>
              <w:rPr>
                <w:rFonts w:cs="Arial"/>
                <w:sz w:val="18"/>
                <w:szCs w:val="18"/>
              </w:rPr>
            </w:pPr>
            <m:oMath>
              <m:sSub>
                <m:sSubPr>
                  <m:ctrlPr>
                    <w:rPr>
                      <w:rFonts w:ascii="Cambria Math" w:hAnsi="Cambria Math" w:cs="Arial"/>
                      <w:i/>
                      <w:sz w:val="18"/>
                      <w:szCs w:val="18"/>
                    </w:rPr>
                  </m:ctrlPr>
                </m:sSubPr>
                <m:e>
                  <m:r>
                    <w:rPr>
                      <w:rFonts w:ascii="Cambria Math" w:hAnsi="Cambria Math" w:cs="Arial"/>
                      <w:sz w:val="18"/>
                      <w:szCs w:val="18"/>
                    </w:rPr>
                    <m:t>ETDF</m:t>
                  </m:r>
                </m:e>
                <m:sub>
                  <m:r>
                    <w:rPr>
                      <w:rFonts w:ascii="Cambria Math" w:hAnsi="Cambria Math" w:cs="Arial"/>
                      <w:sz w:val="18"/>
                      <w:szCs w:val="18"/>
                    </w:rPr>
                    <m:t>winter</m:t>
                  </m:r>
                </m:sub>
              </m:sSub>
            </m:oMath>
            <w:r w:rsidR="00EA5BBF" w:rsidRPr="001570EA">
              <w:rPr>
                <w:rFonts w:cs="Arial"/>
                <w:sz w:val="18"/>
                <w:szCs w:val="18"/>
              </w:rPr>
              <w:t>, Winter energy to demand factor</w:t>
            </w:r>
          </w:p>
        </w:tc>
        <w:tc>
          <w:tcPr>
            <w:tcW w:w="1170" w:type="dxa"/>
            <w:vAlign w:val="center"/>
          </w:tcPr>
          <w:p w14:paraId="44FA5DD6" w14:textId="77777777" w:rsidR="00EA5BBF" w:rsidRPr="001570EA" w:rsidRDefault="00EA5BBF">
            <w:pPr>
              <w:jc w:val="center"/>
              <w:rPr>
                <w:rFonts w:cs="Arial"/>
                <w:sz w:val="18"/>
                <w:szCs w:val="18"/>
              </w:rPr>
            </w:pPr>
            <w:r w:rsidRPr="001570EA">
              <w:rPr>
                <w:rFonts w:eastAsia="Arial Unicode MS" w:cs="Arial"/>
                <w:i/>
                <w:sz w:val="18"/>
                <w:szCs w:val="18"/>
              </w:rPr>
              <w:t>kW/kWh</w:t>
            </w:r>
          </w:p>
        </w:tc>
        <w:tc>
          <w:tcPr>
            <w:tcW w:w="2982" w:type="dxa"/>
            <w:gridSpan w:val="2"/>
            <w:vAlign w:val="center"/>
          </w:tcPr>
          <w:p w14:paraId="53EEB255" w14:textId="77777777" w:rsidR="00EA5BBF" w:rsidRPr="001570EA" w:rsidRDefault="00EA5BBF">
            <w:pPr>
              <w:jc w:val="center"/>
              <w:rPr>
                <w:rFonts w:cs="Arial"/>
                <w:sz w:val="18"/>
                <w:szCs w:val="18"/>
              </w:rPr>
            </w:pPr>
            <w:r w:rsidRPr="001570EA">
              <w:rPr>
                <w:rFonts w:cs="Arial"/>
                <w:sz w:val="18"/>
                <w:szCs w:val="18"/>
              </w:rPr>
              <w:t>0.0003398</w:t>
            </w:r>
          </w:p>
        </w:tc>
        <w:tc>
          <w:tcPr>
            <w:tcW w:w="1096" w:type="dxa"/>
            <w:vAlign w:val="center"/>
          </w:tcPr>
          <w:p w14:paraId="073C4DAF" w14:textId="77777777" w:rsidR="00EA5BBF" w:rsidRPr="001570EA" w:rsidRDefault="00EA5BBF">
            <w:pPr>
              <w:jc w:val="center"/>
              <w:rPr>
                <w:rFonts w:cs="Arial"/>
                <w:sz w:val="18"/>
                <w:szCs w:val="18"/>
              </w:rPr>
            </w:pPr>
            <w:r w:rsidRPr="001570EA">
              <w:rPr>
                <w:rFonts w:cs="Arial"/>
                <w:sz w:val="18"/>
                <w:szCs w:val="18"/>
              </w:rPr>
              <w:t>12</w:t>
            </w:r>
          </w:p>
        </w:tc>
      </w:tr>
    </w:tbl>
    <w:p w14:paraId="66C8C46D" w14:textId="77777777" w:rsidR="00EA5BBF" w:rsidRPr="001570EA" w:rsidRDefault="00EA5BBF" w:rsidP="00EA5BBF"/>
    <w:bookmarkStart w:id="1187" w:name="_Ref406702072"/>
    <w:p w14:paraId="3F247246" w14:textId="6D9F4E09" w:rsidR="00EA5BBF" w:rsidRPr="001570EA" w:rsidRDefault="00EA5BBF" w:rsidP="00EA5BBF">
      <w:r w:rsidRPr="001570EA">
        <w:fldChar w:fldCharType="begin"/>
      </w:r>
      <w:r w:rsidRPr="001570EA">
        <w:instrText xml:space="preserve"> REF _Ref152148058 \h  \* MERGEFORMAT </w:instrText>
      </w:r>
      <w:r w:rsidRPr="001570EA">
        <w:fldChar w:fldCharType="separate"/>
      </w:r>
      <w:r w:rsidR="00234C6C" w:rsidRPr="001570EA">
        <w:t xml:space="preserve">Table </w:t>
      </w:r>
      <w:r w:rsidR="00234C6C" w:rsidRPr="001570EA">
        <w:rPr>
          <w:noProof/>
        </w:rPr>
        <w:t>2</w:t>
      </w:r>
      <w:r w:rsidR="00234C6C" w:rsidRPr="001570EA">
        <w:rPr>
          <w:noProof/>
        </w:rPr>
        <w:noBreakHyphen/>
        <w:t>148</w:t>
      </w:r>
      <w:r w:rsidRPr="001570EA">
        <w:fldChar w:fldCharType="end"/>
      </w:r>
      <w:r w:rsidRPr="001570EA">
        <w:t xml:space="preserve"> should be used to determine the average thermal resistance of the combined wall and Earth (</w:t>
      </w:r>
      <w:r w:rsidRPr="001570EA">
        <w:rPr>
          <w:i/>
          <w:iCs/>
        </w:rPr>
        <w:t>R</w:t>
      </w:r>
      <w:r w:rsidRPr="001570EA">
        <w:rPr>
          <w:i/>
          <w:iCs/>
          <w:vertAlign w:val="subscript"/>
        </w:rPr>
        <w:t>base,bg</w:t>
      </w:r>
      <w:r w:rsidRPr="001570EA">
        <w:rPr>
          <w:i/>
          <w:iCs/>
        </w:rPr>
        <w:t>)</w:t>
      </w:r>
      <w:r w:rsidRPr="001570EA">
        <w:t xml:space="preserve"> at the height of</w:t>
      </w:r>
      <w:r w:rsidRPr="001570EA">
        <w:rPr>
          <w:rFonts w:ascii="Calibri" w:eastAsia="Calibri" w:hAnsi="Calibri" w:cs="Calibri"/>
        </w:rPr>
        <w:t xml:space="preserve"> </w:t>
      </w:r>
      <w:r w:rsidRPr="001570EA">
        <w:t>foundation wall below grade (</w:t>
      </w:r>
      <w:r w:rsidRPr="001570EA">
        <w:rPr>
          <w:i/>
          <w:iCs/>
        </w:rPr>
        <w:t>H</w:t>
      </w:r>
      <w:r w:rsidRPr="001570EA">
        <w:rPr>
          <w:i/>
          <w:iCs/>
          <w:vertAlign w:val="subscript"/>
        </w:rPr>
        <w:t>bg</w:t>
      </w:r>
      <w:r w:rsidRPr="001570EA">
        <w:rPr>
          <w:rFonts w:ascii="Calibri" w:eastAsia="Calibri" w:hAnsi="Calibri" w:cs="Calibri"/>
        </w:rPr>
        <w:t>)</w:t>
      </w:r>
      <w:r w:rsidRPr="001570EA">
        <w:t>. Use a crawl space wall that is 5 ft in height as an example of proper use of the table. If the crawl space wall is 5 ft in height and 1 ft is above grade (</w:t>
      </w:r>
      <w:r w:rsidRPr="001570EA">
        <w:rPr>
          <w:i/>
          <w:iCs/>
        </w:rPr>
        <w:t>H</w:t>
      </w:r>
      <w:r w:rsidRPr="001570EA">
        <w:rPr>
          <w:i/>
          <w:iCs/>
          <w:vertAlign w:val="subscript"/>
        </w:rPr>
        <w:t>ag</w:t>
      </w:r>
      <w:r w:rsidRPr="001570EA">
        <w:rPr>
          <w:i/>
          <w:iCs/>
        </w:rPr>
        <w:t xml:space="preserve"> </w:t>
      </w:r>
      <w:r w:rsidRPr="001570EA">
        <w:t>= 1 ft), then the remaining 4 ft are below grade (</w:t>
      </w:r>
      <w:r w:rsidRPr="001570EA">
        <w:rPr>
          <w:i/>
          <w:iCs/>
        </w:rPr>
        <w:t>H</w:t>
      </w:r>
      <w:r w:rsidRPr="001570EA">
        <w:rPr>
          <w:i/>
          <w:iCs/>
          <w:vertAlign w:val="subscript"/>
        </w:rPr>
        <w:t>bg</w:t>
      </w:r>
      <w:r w:rsidRPr="001570EA">
        <w:rPr>
          <w:i/>
          <w:iCs/>
        </w:rPr>
        <w:t xml:space="preserve"> </w:t>
      </w:r>
      <w:r w:rsidRPr="001570EA">
        <w:t xml:space="preserve">= 4 ft). To determine the </w:t>
      </w:r>
      <w:r w:rsidRPr="001570EA">
        <w:rPr>
          <w:i/>
          <w:iCs/>
        </w:rPr>
        <w:t>R</w:t>
      </w:r>
      <w:r w:rsidRPr="001570EA">
        <w:rPr>
          <w:i/>
          <w:iCs/>
          <w:vertAlign w:val="subscript"/>
        </w:rPr>
        <w:t>base,bg</w:t>
      </w:r>
      <w:r w:rsidRPr="001570EA">
        <w:t xml:space="preserve"> for that below-grade wall height, look for the column for </w:t>
      </w:r>
      <w:r w:rsidRPr="001570EA">
        <w:rPr>
          <w:i/>
          <w:iCs/>
        </w:rPr>
        <w:t>H</w:t>
      </w:r>
      <w:r w:rsidRPr="001570EA">
        <w:rPr>
          <w:i/>
          <w:iCs/>
          <w:vertAlign w:val="subscript"/>
        </w:rPr>
        <w:t>bg</w:t>
      </w:r>
      <w:r w:rsidRPr="001570EA">
        <w:t xml:space="preserve"> = 4ft in </w:t>
      </w:r>
      <w:r w:rsidRPr="001570EA">
        <w:fldChar w:fldCharType="begin"/>
      </w:r>
      <w:r w:rsidRPr="001570EA">
        <w:instrText xml:space="preserve"> REF _Ref152148058 \h  \* MERGEFORMAT </w:instrText>
      </w:r>
      <w:r w:rsidRPr="001570EA">
        <w:fldChar w:fldCharType="separate"/>
      </w:r>
      <w:r w:rsidR="00234C6C" w:rsidRPr="001570EA">
        <w:t xml:space="preserve">Table </w:t>
      </w:r>
      <w:r w:rsidR="00234C6C" w:rsidRPr="001570EA">
        <w:rPr>
          <w:noProof/>
        </w:rPr>
        <w:t>2</w:t>
      </w:r>
      <w:r w:rsidR="00234C6C" w:rsidRPr="001570EA">
        <w:rPr>
          <w:noProof/>
        </w:rPr>
        <w:noBreakHyphen/>
        <w:t>148</w:t>
      </w:r>
      <w:r w:rsidRPr="001570EA">
        <w:fldChar w:fldCharType="end"/>
      </w:r>
      <w:r w:rsidRPr="001570EA">
        <w:t xml:space="preserve">. </w:t>
      </w:r>
      <w:r w:rsidRPr="001570EA">
        <w:rPr>
          <w:i/>
          <w:iCs/>
        </w:rPr>
        <w:t>R</w:t>
      </w:r>
      <w:r w:rsidRPr="001570EA">
        <w:rPr>
          <w:i/>
          <w:iCs/>
          <w:vertAlign w:val="subscript"/>
        </w:rPr>
        <w:t>base,bg</w:t>
      </w:r>
      <w:r w:rsidRPr="001570EA">
        <w:t xml:space="preserve"> in this example is therefore 4.26 °F-ft</w:t>
      </w:r>
      <w:r w:rsidRPr="001570EA">
        <w:rPr>
          <w:vertAlign w:val="superscript"/>
        </w:rPr>
        <w:t>2</w:t>
      </w:r>
      <w:r w:rsidRPr="001570EA">
        <w:t>-h/BTU.</w:t>
      </w:r>
    </w:p>
    <w:p w14:paraId="7440B7C0" w14:textId="77777777" w:rsidR="00EA5BBF" w:rsidRPr="001570EA" w:rsidRDefault="00EA5BBF" w:rsidP="00EA5BBF"/>
    <w:p w14:paraId="71D63629" w14:textId="5C34775F" w:rsidR="00EA5BBF" w:rsidRPr="001570EA" w:rsidRDefault="00EA5BBF" w:rsidP="00EA5BBF">
      <w:pPr>
        <w:pStyle w:val="Caption"/>
      </w:pPr>
      <w:bookmarkStart w:id="1188" w:name="_Ref152148058"/>
      <w:bookmarkStart w:id="1189" w:name="_Ref413166561"/>
      <w:bookmarkStart w:id="1190" w:name="_Toc47598367"/>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148</w:t>
      </w:r>
      <w:r w:rsidR="002E093A" w:rsidRPr="001570EA">
        <w:fldChar w:fldCharType="end"/>
      </w:r>
      <w:bookmarkEnd w:id="1187"/>
      <w:bookmarkEnd w:id="1188"/>
      <w:bookmarkEnd w:id="1189"/>
      <w:r w:rsidRPr="001570EA">
        <w:t>: Below-grade R-values</w:t>
      </w:r>
      <w:bookmarkEnd w:id="1190"/>
      <w:r w:rsidRPr="001570EA">
        <w:t xml:space="preserve"> (°F-ft</w:t>
      </w:r>
      <w:r w:rsidRPr="001570EA">
        <w:rPr>
          <w:vertAlign w:val="superscript"/>
        </w:rPr>
        <w:t>2</w:t>
      </w:r>
      <w:r w:rsidRPr="001570EA">
        <w:t>-h/BTU</w:t>
      </w:r>
      <w:r w:rsidRPr="001570EA">
        <w:rPr>
          <w:rFonts w:eastAsia="Arial Unicode MS"/>
        </w:rPr>
        <w:t>)</w:t>
      </w:r>
      <w:r w:rsidRPr="001570EA">
        <w:t xml:space="preserve"> for combined Earth and basement wall</w:t>
      </w:r>
    </w:p>
    <w:tbl>
      <w:tblPr>
        <w:tblStyle w:val="TableGrid"/>
        <w:tblW w:w="0" w:type="auto"/>
        <w:jc w:val="center"/>
        <w:tblLook w:val="04A0" w:firstRow="1" w:lastRow="0" w:firstColumn="1" w:lastColumn="0" w:noHBand="0" w:noVBand="1"/>
      </w:tblPr>
      <w:tblGrid>
        <w:gridCol w:w="900"/>
        <w:gridCol w:w="1710"/>
        <w:gridCol w:w="2070"/>
        <w:gridCol w:w="1620"/>
        <w:gridCol w:w="1530"/>
      </w:tblGrid>
      <w:tr w:rsidR="00EA5BBF" w:rsidRPr="001570EA" w14:paraId="73FB16DB" w14:textId="77777777">
        <w:trPr>
          <w:jc w:val="center"/>
        </w:trPr>
        <w:tc>
          <w:tcPr>
            <w:tcW w:w="900" w:type="dxa"/>
            <w:tcBorders>
              <w:top w:val="nil"/>
              <w:left w:val="nil"/>
              <w:bottom w:val="single" w:sz="4" w:space="0" w:color="auto"/>
              <w:right w:val="single" w:sz="4" w:space="0" w:color="auto"/>
            </w:tcBorders>
            <w:shd w:val="clear" w:color="auto" w:fill="auto"/>
          </w:tcPr>
          <w:p w14:paraId="41E8B503" w14:textId="77777777" w:rsidR="00EA5BBF" w:rsidRPr="001570EA" w:rsidRDefault="00EA5BBF">
            <w:pPr>
              <w:keepNext/>
              <w:rPr>
                <w:b/>
                <w:bCs/>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50025" w14:textId="77777777" w:rsidR="00EA5BBF" w:rsidRPr="001570EA" w:rsidRDefault="00EA5BBF">
            <w:pPr>
              <w:keepNext/>
              <w:jc w:val="center"/>
              <w:rPr>
                <w:b/>
                <w:bCs/>
              </w:rPr>
            </w:pPr>
            <w:r w:rsidRPr="001570EA">
              <w:rPr>
                <w:b/>
                <w:bCs/>
              </w:rPr>
              <w:t>Retrofit</w:t>
            </w:r>
          </w:p>
        </w:tc>
        <w:tc>
          <w:tcPr>
            <w:tcW w:w="3150" w:type="dxa"/>
            <w:gridSpan w:val="2"/>
            <w:tcBorders>
              <w:left w:val="single" w:sz="4" w:space="0" w:color="auto"/>
            </w:tcBorders>
            <w:shd w:val="clear" w:color="auto" w:fill="BFBFBF" w:themeFill="background1" w:themeFillShade="BF"/>
          </w:tcPr>
          <w:p w14:paraId="7E934CED" w14:textId="5E9B2D4F" w:rsidR="00EA5BBF" w:rsidRPr="001570EA" w:rsidRDefault="00EA5BBF">
            <w:pPr>
              <w:keepNext/>
              <w:jc w:val="center"/>
              <w:rPr>
                <w:b/>
                <w:bCs/>
              </w:rPr>
            </w:pPr>
            <w:r w:rsidRPr="001570EA">
              <w:rPr>
                <w:b/>
                <w:bCs/>
              </w:rPr>
              <w:t>New Construction</w:t>
            </w:r>
            <w:r w:rsidRPr="001570EA">
              <w:rPr>
                <w:b/>
                <w:bCs/>
                <w:vertAlign w:val="superscript"/>
              </w:rPr>
              <w:t>Source 13</w:t>
            </w:r>
          </w:p>
        </w:tc>
      </w:tr>
      <w:tr w:rsidR="00EA5BBF" w:rsidRPr="001570EA" w14:paraId="26DA4317" w14:textId="77777777">
        <w:trPr>
          <w:jc w:val="center"/>
        </w:trPr>
        <w:tc>
          <w:tcPr>
            <w:tcW w:w="900" w:type="dxa"/>
            <w:tcBorders>
              <w:top w:val="single" w:sz="4" w:space="0" w:color="auto"/>
            </w:tcBorders>
            <w:shd w:val="clear" w:color="auto" w:fill="BFBFBF" w:themeFill="background1" w:themeFillShade="BF"/>
          </w:tcPr>
          <w:p w14:paraId="02A8CC05" w14:textId="77777777" w:rsidR="00EA5BBF" w:rsidRPr="001570EA" w:rsidRDefault="00EA5BBF">
            <w:pPr>
              <w:keepNext/>
              <w:rPr>
                <w:b/>
                <w:bCs/>
              </w:rPr>
            </w:pPr>
            <w:r w:rsidRPr="001570EA">
              <w:rPr>
                <w:b/>
                <w:bCs/>
              </w:rPr>
              <w:t>H</w:t>
            </w:r>
            <w:r w:rsidRPr="001570EA">
              <w:rPr>
                <w:b/>
                <w:bCs/>
                <w:vertAlign w:val="subscript"/>
              </w:rPr>
              <w:t>bg</w:t>
            </w:r>
            <w:r w:rsidRPr="001570EA">
              <w:rPr>
                <w:b/>
                <w:bCs/>
              </w:rPr>
              <w:t xml:space="preserve"> (ft)</w:t>
            </w:r>
          </w:p>
        </w:tc>
        <w:tc>
          <w:tcPr>
            <w:tcW w:w="1710" w:type="dxa"/>
            <w:tcBorders>
              <w:top w:val="single" w:sz="4" w:space="0" w:color="auto"/>
            </w:tcBorders>
            <w:shd w:val="clear" w:color="auto" w:fill="BFBFBF" w:themeFill="background1" w:themeFillShade="BF"/>
          </w:tcPr>
          <w:p w14:paraId="20A7840E" w14:textId="77777777" w:rsidR="00EA5BBF" w:rsidRPr="001570EA" w:rsidRDefault="00EA5BBF">
            <w:pPr>
              <w:keepNext/>
              <w:jc w:val="center"/>
              <w:rPr>
                <w:b/>
                <w:bCs/>
                <w:vertAlign w:val="superscript"/>
              </w:rPr>
            </w:pPr>
            <w:r w:rsidRPr="001570EA">
              <w:rPr>
                <w:b/>
                <w:bCs/>
              </w:rPr>
              <w:t>No Existing Insulation</w:t>
            </w:r>
            <w:r w:rsidRPr="001570EA">
              <w:rPr>
                <w:b/>
                <w:bCs/>
                <w:vertAlign w:val="superscript"/>
              </w:rPr>
              <w:t>Source 4</w:t>
            </w:r>
          </w:p>
        </w:tc>
        <w:tc>
          <w:tcPr>
            <w:tcW w:w="2070" w:type="dxa"/>
            <w:shd w:val="clear" w:color="auto" w:fill="BFBFBF" w:themeFill="background1" w:themeFillShade="BF"/>
          </w:tcPr>
          <w:p w14:paraId="5581D551" w14:textId="77777777" w:rsidR="00EA5BBF" w:rsidRPr="001570EA" w:rsidRDefault="00EA5BBF">
            <w:pPr>
              <w:keepNext/>
              <w:jc w:val="center"/>
              <w:rPr>
                <w:b/>
                <w:bCs/>
                <w:vertAlign w:val="superscript"/>
              </w:rPr>
            </w:pPr>
            <w:r w:rsidRPr="001570EA">
              <w:rPr>
                <w:b/>
                <w:bCs/>
              </w:rPr>
              <w:t>Unknown Existing Insulation</w:t>
            </w:r>
            <w:r w:rsidRPr="001570EA">
              <w:rPr>
                <w:b/>
                <w:bCs/>
                <w:vertAlign w:val="superscript"/>
              </w:rPr>
              <w:t>Source 15</w:t>
            </w:r>
          </w:p>
        </w:tc>
        <w:tc>
          <w:tcPr>
            <w:tcW w:w="1620" w:type="dxa"/>
            <w:shd w:val="clear" w:color="auto" w:fill="BFBFBF" w:themeFill="background1" w:themeFillShade="BF"/>
          </w:tcPr>
          <w:p w14:paraId="70E17929" w14:textId="77777777" w:rsidR="00EA5BBF" w:rsidRPr="001570EA" w:rsidRDefault="00EA5BBF">
            <w:pPr>
              <w:keepNext/>
              <w:jc w:val="center"/>
              <w:rPr>
                <w:b/>
                <w:bCs/>
              </w:rPr>
            </w:pPr>
            <w:r w:rsidRPr="001570EA">
              <w:rPr>
                <w:b/>
                <w:bCs/>
              </w:rPr>
              <w:t>IECC Climate Zone 4</w:t>
            </w:r>
          </w:p>
        </w:tc>
        <w:tc>
          <w:tcPr>
            <w:tcW w:w="1530" w:type="dxa"/>
            <w:shd w:val="clear" w:color="auto" w:fill="BFBFBF" w:themeFill="background1" w:themeFillShade="BF"/>
          </w:tcPr>
          <w:p w14:paraId="14F219F3" w14:textId="77777777" w:rsidR="00EA5BBF" w:rsidRPr="001570EA" w:rsidRDefault="00EA5BBF">
            <w:pPr>
              <w:keepNext/>
              <w:jc w:val="center"/>
              <w:rPr>
                <w:b/>
                <w:bCs/>
              </w:rPr>
            </w:pPr>
            <w:r w:rsidRPr="001570EA">
              <w:rPr>
                <w:b/>
                <w:bCs/>
              </w:rPr>
              <w:t>IECC Climate Zone 5</w:t>
            </w:r>
          </w:p>
        </w:tc>
      </w:tr>
      <w:tr w:rsidR="00EA5BBF" w:rsidRPr="001570EA" w14:paraId="16DC428D" w14:textId="77777777">
        <w:trPr>
          <w:jc w:val="center"/>
        </w:trPr>
        <w:tc>
          <w:tcPr>
            <w:tcW w:w="900" w:type="dxa"/>
            <w:shd w:val="clear" w:color="auto" w:fill="auto"/>
          </w:tcPr>
          <w:p w14:paraId="1E4C8B98" w14:textId="77777777" w:rsidR="00EA5BBF" w:rsidRPr="001570EA" w:rsidRDefault="00EA5BBF">
            <w:pPr>
              <w:jc w:val="center"/>
            </w:pPr>
            <w:r w:rsidRPr="001570EA">
              <w:t>1</w:t>
            </w:r>
          </w:p>
        </w:tc>
        <w:tc>
          <w:tcPr>
            <w:tcW w:w="1710" w:type="dxa"/>
            <w:vAlign w:val="center"/>
          </w:tcPr>
          <w:p w14:paraId="79940F92" w14:textId="77777777" w:rsidR="00EA5BBF" w:rsidRPr="001570EA" w:rsidRDefault="00EA5BBF">
            <w:pPr>
              <w:jc w:val="center"/>
            </w:pPr>
            <w:r w:rsidRPr="001570EA">
              <w:t>2.31</w:t>
            </w:r>
          </w:p>
        </w:tc>
        <w:tc>
          <w:tcPr>
            <w:tcW w:w="2070" w:type="dxa"/>
            <w:vAlign w:val="center"/>
          </w:tcPr>
          <w:p w14:paraId="40264D93" w14:textId="77777777" w:rsidR="00EA5BBF" w:rsidRPr="001570EA" w:rsidRDefault="00EA5BBF">
            <w:pPr>
              <w:jc w:val="center"/>
            </w:pPr>
            <w:r w:rsidRPr="001570EA">
              <w:rPr>
                <w:rFonts w:cs="Arial"/>
                <w:color w:val="000000"/>
              </w:rPr>
              <w:t>9.71</w:t>
            </w:r>
          </w:p>
        </w:tc>
        <w:tc>
          <w:tcPr>
            <w:tcW w:w="1620" w:type="dxa"/>
          </w:tcPr>
          <w:p w14:paraId="187ACBDC" w14:textId="77777777" w:rsidR="00EA5BBF" w:rsidRPr="001570EA" w:rsidRDefault="00EA5BBF">
            <w:pPr>
              <w:jc w:val="center"/>
            </w:pPr>
            <w:r w:rsidRPr="001570EA">
              <w:t>12.31</w:t>
            </w:r>
          </w:p>
        </w:tc>
        <w:tc>
          <w:tcPr>
            <w:tcW w:w="1530" w:type="dxa"/>
          </w:tcPr>
          <w:p w14:paraId="39EB6707" w14:textId="77777777" w:rsidR="00EA5BBF" w:rsidRPr="001570EA" w:rsidRDefault="00EA5BBF">
            <w:pPr>
              <w:jc w:val="center"/>
            </w:pPr>
            <w:r w:rsidRPr="001570EA">
              <w:t>17.31</w:t>
            </w:r>
          </w:p>
        </w:tc>
      </w:tr>
      <w:tr w:rsidR="00EA5BBF" w:rsidRPr="001570EA" w14:paraId="1753FC3C" w14:textId="77777777">
        <w:trPr>
          <w:jc w:val="center"/>
        </w:trPr>
        <w:tc>
          <w:tcPr>
            <w:tcW w:w="900" w:type="dxa"/>
            <w:shd w:val="clear" w:color="auto" w:fill="auto"/>
          </w:tcPr>
          <w:p w14:paraId="1AF1C7E2" w14:textId="77777777" w:rsidR="00EA5BBF" w:rsidRPr="001570EA" w:rsidRDefault="00EA5BBF">
            <w:pPr>
              <w:jc w:val="center"/>
            </w:pPr>
            <w:r w:rsidRPr="001570EA">
              <w:t>2.6</w:t>
            </w:r>
          </w:p>
        </w:tc>
        <w:tc>
          <w:tcPr>
            <w:tcW w:w="1710" w:type="dxa"/>
            <w:vAlign w:val="center"/>
          </w:tcPr>
          <w:p w14:paraId="488DE678" w14:textId="77777777" w:rsidR="00EA5BBF" w:rsidRPr="001570EA" w:rsidRDefault="00EA5BBF">
            <w:pPr>
              <w:jc w:val="center"/>
            </w:pPr>
            <w:r w:rsidRPr="001570EA">
              <w:t>3.02</w:t>
            </w:r>
          </w:p>
        </w:tc>
        <w:tc>
          <w:tcPr>
            <w:tcW w:w="2070" w:type="dxa"/>
            <w:vAlign w:val="center"/>
          </w:tcPr>
          <w:p w14:paraId="06CF5A5F" w14:textId="77777777" w:rsidR="00EA5BBF" w:rsidRPr="001570EA" w:rsidRDefault="00EA5BBF">
            <w:pPr>
              <w:jc w:val="center"/>
            </w:pPr>
            <w:r w:rsidRPr="001570EA">
              <w:rPr>
                <w:rFonts w:cs="Arial"/>
                <w:color w:val="000000"/>
              </w:rPr>
              <w:t>10.42</w:t>
            </w:r>
          </w:p>
        </w:tc>
        <w:tc>
          <w:tcPr>
            <w:tcW w:w="1620" w:type="dxa"/>
          </w:tcPr>
          <w:p w14:paraId="5BCA9AA5" w14:textId="77777777" w:rsidR="00EA5BBF" w:rsidRPr="001570EA" w:rsidRDefault="00EA5BBF">
            <w:pPr>
              <w:jc w:val="center"/>
            </w:pPr>
            <w:r w:rsidRPr="001570EA">
              <w:t>13.02</w:t>
            </w:r>
          </w:p>
        </w:tc>
        <w:tc>
          <w:tcPr>
            <w:tcW w:w="1530" w:type="dxa"/>
          </w:tcPr>
          <w:p w14:paraId="069B8542" w14:textId="77777777" w:rsidR="00EA5BBF" w:rsidRPr="001570EA" w:rsidRDefault="00EA5BBF">
            <w:pPr>
              <w:jc w:val="center"/>
            </w:pPr>
            <w:r w:rsidRPr="001570EA">
              <w:t>18.02</w:t>
            </w:r>
          </w:p>
        </w:tc>
      </w:tr>
      <w:tr w:rsidR="00EA5BBF" w:rsidRPr="001570EA" w14:paraId="418D2480" w14:textId="77777777">
        <w:trPr>
          <w:jc w:val="center"/>
        </w:trPr>
        <w:tc>
          <w:tcPr>
            <w:tcW w:w="900" w:type="dxa"/>
            <w:shd w:val="clear" w:color="auto" w:fill="auto"/>
          </w:tcPr>
          <w:p w14:paraId="0C0059AD" w14:textId="77777777" w:rsidR="00EA5BBF" w:rsidRPr="001570EA" w:rsidRDefault="00EA5BBF">
            <w:pPr>
              <w:jc w:val="center"/>
            </w:pPr>
            <w:r w:rsidRPr="001570EA">
              <w:t>3</w:t>
            </w:r>
          </w:p>
        </w:tc>
        <w:tc>
          <w:tcPr>
            <w:tcW w:w="1710" w:type="dxa"/>
            <w:vAlign w:val="center"/>
          </w:tcPr>
          <w:p w14:paraId="047CE717" w14:textId="77777777" w:rsidR="00EA5BBF" w:rsidRPr="001570EA" w:rsidRDefault="00EA5BBF">
            <w:pPr>
              <w:jc w:val="center"/>
            </w:pPr>
            <w:r w:rsidRPr="001570EA">
              <w:t>3.66</w:t>
            </w:r>
          </w:p>
        </w:tc>
        <w:tc>
          <w:tcPr>
            <w:tcW w:w="2070" w:type="dxa"/>
            <w:vAlign w:val="center"/>
          </w:tcPr>
          <w:p w14:paraId="46BA1B65" w14:textId="77777777" w:rsidR="00EA5BBF" w:rsidRPr="001570EA" w:rsidRDefault="00EA5BBF">
            <w:pPr>
              <w:jc w:val="center"/>
            </w:pPr>
            <w:r w:rsidRPr="001570EA">
              <w:rPr>
                <w:rFonts w:cs="Arial"/>
                <w:color w:val="000000"/>
              </w:rPr>
              <w:t>11.06</w:t>
            </w:r>
          </w:p>
        </w:tc>
        <w:tc>
          <w:tcPr>
            <w:tcW w:w="1620" w:type="dxa"/>
          </w:tcPr>
          <w:p w14:paraId="6CB9DAD0" w14:textId="77777777" w:rsidR="00EA5BBF" w:rsidRPr="001570EA" w:rsidRDefault="00EA5BBF">
            <w:pPr>
              <w:jc w:val="center"/>
            </w:pPr>
            <w:r w:rsidRPr="001570EA">
              <w:t>13.66</w:t>
            </w:r>
          </w:p>
        </w:tc>
        <w:tc>
          <w:tcPr>
            <w:tcW w:w="1530" w:type="dxa"/>
          </w:tcPr>
          <w:p w14:paraId="310C57B2" w14:textId="77777777" w:rsidR="00EA5BBF" w:rsidRPr="001570EA" w:rsidRDefault="00EA5BBF">
            <w:pPr>
              <w:jc w:val="center"/>
            </w:pPr>
            <w:r w:rsidRPr="001570EA">
              <w:t>18.66</w:t>
            </w:r>
          </w:p>
        </w:tc>
      </w:tr>
      <w:tr w:rsidR="00EA5BBF" w:rsidRPr="001570EA" w14:paraId="2D17242C" w14:textId="77777777">
        <w:trPr>
          <w:jc w:val="center"/>
        </w:trPr>
        <w:tc>
          <w:tcPr>
            <w:tcW w:w="900" w:type="dxa"/>
            <w:shd w:val="clear" w:color="auto" w:fill="auto"/>
          </w:tcPr>
          <w:p w14:paraId="5EBE1E5C" w14:textId="77777777" w:rsidR="00EA5BBF" w:rsidRPr="001570EA" w:rsidRDefault="00EA5BBF">
            <w:pPr>
              <w:jc w:val="center"/>
            </w:pPr>
            <w:r w:rsidRPr="001570EA">
              <w:t>4</w:t>
            </w:r>
          </w:p>
        </w:tc>
        <w:tc>
          <w:tcPr>
            <w:tcW w:w="1710" w:type="dxa"/>
            <w:vAlign w:val="center"/>
          </w:tcPr>
          <w:p w14:paraId="3E9FA3C9" w14:textId="77777777" w:rsidR="00EA5BBF" w:rsidRPr="001570EA" w:rsidRDefault="00EA5BBF">
            <w:pPr>
              <w:jc w:val="center"/>
            </w:pPr>
            <w:r w:rsidRPr="001570EA">
              <w:t>4.26</w:t>
            </w:r>
          </w:p>
        </w:tc>
        <w:tc>
          <w:tcPr>
            <w:tcW w:w="2070" w:type="dxa"/>
            <w:vAlign w:val="center"/>
          </w:tcPr>
          <w:p w14:paraId="0D5B333C" w14:textId="77777777" w:rsidR="00EA5BBF" w:rsidRPr="001570EA" w:rsidRDefault="00EA5BBF">
            <w:pPr>
              <w:jc w:val="center"/>
            </w:pPr>
            <w:r w:rsidRPr="001570EA">
              <w:rPr>
                <w:rFonts w:cs="Arial"/>
                <w:color w:val="000000"/>
              </w:rPr>
              <w:t>11.66</w:t>
            </w:r>
          </w:p>
        </w:tc>
        <w:tc>
          <w:tcPr>
            <w:tcW w:w="1620" w:type="dxa"/>
          </w:tcPr>
          <w:p w14:paraId="7EC936C5" w14:textId="77777777" w:rsidR="00EA5BBF" w:rsidRPr="001570EA" w:rsidRDefault="00EA5BBF">
            <w:pPr>
              <w:jc w:val="center"/>
            </w:pPr>
            <w:r w:rsidRPr="001570EA">
              <w:t>14.26</w:t>
            </w:r>
          </w:p>
        </w:tc>
        <w:tc>
          <w:tcPr>
            <w:tcW w:w="1530" w:type="dxa"/>
          </w:tcPr>
          <w:p w14:paraId="084729B1" w14:textId="77777777" w:rsidR="00EA5BBF" w:rsidRPr="001570EA" w:rsidRDefault="00EA5BBF">
            <w:pPr>
              <w:jc w:val="center"/>
            </w:pPr>
            <w:r w:rsidRPr="001570EA">
              <w:t>19.26</w:t>
            </w:r>
          </w:p>
        </w:tc>
      </w:tr>
      <w:tr w:rsidR="00EA5BBF" w:rsidRPr="001570EA" w14:paraId="0E9C1515" w14:textId="77777777">
        <w:trPr>
          <w:jc w:val="center"/>
        </w:trPr>
        <w:tc>
          <w:tcPr>
            <w:tcW w:w="900" w:type="dxa"/>
            <w:shd w:val="clear" w:color="auto" w:fill="auto"/>
          </w:tcPr>
          <w:p w14:paraId="6BD380A7" w14:textId="77777777" w:rsidR="00EA5BBF" w:rsidRPr="001570EA" w:rsidRDefault="00EA5BBF">
            <w:pPr>
              <w:jc w:val="center"/>
            </w:pPr>
            <w:r w:rsidRPr="001570EA">
              <w:t>5</w:t>
            </w:r>
          </w:p>
        </w:tc>
        <w:tc>
          <w:tcPr>
            <w:tcW w:w="1710" w:type="dxa"/>
            <w:vAlign w:val="center"/>
          </w:tcPr>
          <w:p w14:paraId="2BFB6A40" w14:textId="77777777" w:rsidR="00EA5BBF" w:rsidRPr="001570EA" w:rsidRDefault="00EA5BBF">
            <w:pPr>
              <w:jc w:val="center"/>
            </w:pPr>
            <w:r w:rsidRPr="001570EA">
              <w:t>4.81</w:t>
            </w:r>
          </w:p>
        </w:tc>
        <w:tc>
          <w:tcPr>
            <w:tcW w:w="2070" w:type="dxa"/>
            <w:vAlign w:val="center"/>
          </w:tcPr>
          <w:p w14:paraId="6727DC29" w14:textId="77777777" w:rsidR="00EA5BBF" w:rsidRPr="001570EA" w:rsidRDefault="00EA5BBF">
            <w:pPr>
              <w:jc w:val="center"/>
            </w:pPr>
            <w:r w:rsidRPr="001570EA">
              <w:rPr>
                <w:rFonts w:cs="Arial"/>
                <w:color w:val="000000"/>
              </w:rPr>
              <w:t>12.21</w:t>
            </w:r>
          </w:p>
        </w:tc>
        <w:tc>
          <w:tcPr>
            <w:tcW w:w="1620" w:type="dxa"/>
          </w:tcPr>
          <w:p w14:paraId="7F35F299" w14:textId="77777777" w:rsidR="00EA5BBF" w:rsidRPr="001570EA" w:rsidRDefault="00EA5BBF">
            <w:pPr>
              <w:jc w:val="center"/>
            </w:pPr>
            <w:r w:rsidRPr="001570EA">
              <w:t>14.81</w:t>
            </w:r>
          </w:p>
        </w:tc>
        <w:tc>
          <w:tcPr>
            <w:tcW w:w="1530" w:type="dxa"/>
          </w:tcPr>
          <w:p w14:paraId="53A8D263" w14:textId="77777777" w:rsidR="00EA5BBF" w:rsidRPr="001570EA" w:rsidRDefault="00EA5BBF">
            <w:pPr>
              <w:jc w:val="center"/>
            </w:pPr>
            <w:r w:rsidRPr="001570EA">
              <w:t>19.81</w:t>
            </w:r>
          </w:p>
        </w:tc>
      </w:tr>
      <w:tr w:rsidR="00EA5BBF" w:rsidRPr="001570EA" w14:paraId="458D0596" w14:textId="77777777">
        <w:trPr>
          <w:jc w:val="center"/>
        </w:trPr>
        <w:tc>
          <w:tcPr>
            <w:tcW w:w="900" w:type="dxa"/>
            <w:shd w:val="clear" w:color="auto" w:fill="auto"/>
          </w:tcPr>
          <w:p w14:paraId="14E17670" w14:textId="77777777" w:rsidR="00EA5BBF" w:rsidRPr="001570EA" w:rsidRDefault="00EA5BBF">
            <w:pPr>
              <w:jc w:val="center"/>
            </w:pPr>
            <w:r w:rsidRPr="001570EA">
              <w:t>6</w:t>
            </w:r>
          </w:p>
        </w:tc>
        <w:tc>
          <w:tcPr>
            <w:tcW w:w="1710" w:type="dxa"/>
            <w:vAlign w:val="center"/>
          </w:tcPr>
          <w:p w14:paraId="288955D2" w14:textId="77777777" w:rsidR="00EA5BBF" w:rsidRPr="001570EA" w:rsidRDefault="00EA5BBF">
            <w:pPr>
              <w:jc w:val="center"/>
            </w:pPr>
            <w:r w:rsidRPr="001570EA">
              <w:t>5.35</w:t>
            </w:r>
          </w:p>
        </w:tc>
        <w:tc>
          <w:tcPr>
            <w:tcW w:w="2070" w:type="dxa"/>
            <w:vAlign w:val="center"/>
          </w:tcPr>
          <w:p w14:paraId="37AE166E" w14:textId="77777777" w:rsidR="00EA5BBF" w:rsidRPr="001570EA" w:rsidRDefault="00EA5BBF">
            <w:pPr>
              <w:jc w:val="center"/>
            </w:pPr>
            <w:r w:rsidRPr="001570EA">
              <w:rPr>
                <w:rFonts w:cs="Arial"/>
                <w:color w:val="000000"/>
              </w:rPr>
              <w:t>12.75</w:t>
            </w:r>
          </w:p>
        </w:tc>
        <w:tc>
          <w:tcPr>
            <w:tcW w:w="1620" w:type="dxa"/>
          </w:tcPr>
          <w:p w14:paraId="2C9F5C32" w14:textId="77777777" w:rsidR="00EA5BBF" w:rsidRPr="001570EA" w:rsidRDefault="00EA5BBF">
            <w:pPr>
              <w:jc w:val="center"/>
            </w:pPr>
            <w:r w:rsidRPr="001570EA">
              <w:t>15.35</w:t>
            </w:r>
          </w:p>
        </w:tc>
        <w:tc>
          <w:tcPr>
            <w:tcW w:w="1530" w:type="dxa"/>
          </w:tcPr>
          <w:p w14:paraId="78A0A2A8" w14:textId="77777777" w:rsidR="00EA5BBF" w:rsidRPr="001570EA" w:rsidRDefault="00EA5BBF">
            <w:pPr>
              <w:jc w:val="center"/>
            </w:pPr>
            <w:r w:rsidRPr="001570EA">
              <w:t>20.35</w:t>
            </w:r>
          </w:p>
        </w:tc>
      </w:tr>
      <w:tr w:rsidR="00EA5BBF" w:rsidRPr="001570EA" w14:paraId="53433C9D" w14:textId="77777777">
        <w:trPr>
          <w:jc w:val="center"/>
        </w:trPr>
        <w:tc>
          <w:tcPr>
            <w:tcW w:w="900" w:type="dxa"/>
            <w:shd w:val="clear" w:color="auto" w:fill="auto"/>
          </w:tcPr>
          <w:p w14:paraId="4E1C1D63" w14:textId="77777777" w:rsidR="00EA5BBF" w:rsidRPr="001570EA" w:rsidRDefault="00EA5BBF">
            <w:pPr>
              <w:jc w:val="center"/>
            </w:pPr>
            <w:r w:rsidRPr="001570EA">
              <w:t>7</w:t>
            </w:r>
          </w:p>
        </w:tc>
        <w:tc>
          <w:tcPr>
            <w:tcW w:w="1710" w:type="dxa"/>
            <w:vAlign w:val="center"/>
          </w:tcPr>
          <w:p w14:paraId="27A04D43" w14:textId="77777777" w:rsidR="00EA5BBF" w:rsidRPr="001570EA" w:rsidRDefault="00EA5BBF">
            <w:pPr>
              <w:jc w:val="center"/>
            </w:pPr>
            <w:r w:rsidRPr="001570EA">
              <w:t>5.88</w:t>
            </w:r>
          </w:p>
        </w:tc>
        <w:tc>
          <w:tcPr>
            <w:tcW w:w="2070" w:type="dxa"/>
            <w:vAlign w:val="center"/>
          </w:tcPr>
          <w:p w14:paraId="4BC0C534" w14:textId="77777777" w:rsidR="00EA5BBF" w:rsidRPr="001570EA" w:rsidRDefault="00EA5BBF">
            <w:pPr>
              <w:jc w:val="center"/>
            </w:pPr>
            <w:r w:rsidRPr="001570EA">
              <w:rPr>
                <w:rFonts w:cs="Arial"/>
                <w:color w:val="000000"/>
              </w:rPr>
              <w:t>13.28</w:t>
            </w:r>
          </w:p>
        </w:tc>
        <w:tc>
          <w:tcPr>
            <w:tcW w:w="1620" w:type="dxa"/>
          </w:tcPr>
          <w:p w14:paraId="3D5A28C4" w14:textId="77777777" w:rsidR="00EA5BBF" w:rsidRPr="001570EA" w:rsidRDefault="00EA5BBF">
            <w:pPr>
              <w:jc w:val="center"/>
            </w:pPr>
            <w:r w:rsidRPr="001570EA">
              <w:t>15.88</w:t>
            </w:r>
          </w:p>
        </w:tc>
        <w:tc>
          <w:tcPr>
            <w:tcW w:w="1530" w:type="dxa"/>
          </w:tcPr>
          <w:p w14:paraId="46DACEFB" w14:textId="77777777" w:rsidR="00EA5BBF" w:rsidRPr="001570EA" w:rsidRDefault="00EA5BBF">
            <w:pPr>
              <w:jc w:val="center"/>
            </w:pPr>
            <w:r w:rsidRPr="001570EA">
              <w:t>20.88</w:t>
            </w:r>
          </w:p>
        </w:tc>
      </w:tr>
      <w:tr w:rsidR="00EA5BBF" w:rsidRPr="001570EA" w14:paraId="7D580C01" w14:textId="77777777">
        <w:trPr>
          <w:jc w:val="center"/>
        </w:trPr>
        <w:tc>
          <w:tcPr>
            <w:tcW w:w="900" w:type="dxa"/>
            <w:shd w:val="clear" w:color="auto" w:fill="auto"/>
          </w:tcPr>
          <w:p w14:paraId="55792D2C" w14:textId="77777777" w:rsidR="00EA5BBF" w:rsidRPr="001570EA" w:rsidRDefault="00EA5BBF">
            <w:pPr>
              <w:jc w:val="center"/>
            </w:pPr>
            <w:r w:rsidRPr="001570EA">
              <w:t>8</w:t>
            </w:r>
          </w:p>
        </w:tc>
        <w:tc>
          <w:tcPr>
            <w:tcW w:w="1710" w:type="dxa"/>
            <w:vAlign w:val="center"/>
          </w:tcPr>
          <w:p w14:paraId="24C6DE88" w14:textId="77777777" w:rsidR="00EA5BBF" w:rsidRPr="001570EA" w:rsidRDefault="00EA5BBF">
            <w:pPr>
              <w:jc w:val="center"/>
            </w:pPr>
            <w:r w:rsidRPr="001570EA">
              <w:t>6.37</w:t>
            </w:r>
          </w:p>
        </w:tc>
        <w:tc>
          <w:tcPr>
            <w:tcW w:w="2070" w:type="dxa"/>
            <w:vAlign w:val="center"/>
          </w:tcPr>
          <w:p w14:paraId="7C53D04F" w14:textId="77777777" w:rsidR="00EA5BBF" w:rsidRPr="001570EA" w:rsidRDefault="00EA5BBF">
            <w:pPr>
              <w:jc w:val="center"/>
            </w:pPr>
            <w:r w:rsidRPr="001570EA">
              <w:rPr>
                <w:rFonts w:cs="Arial"/>
                <w:color w:val="000000"/>
              </w:rPr>
              <w:t>13.77</w:t>
            </w:r>
          </w:p>
        </w:tc>
        <w:tc>
          <w:tcPr>
            <w:tcW w:w="1620" w:type="dxa"/>
          </w:tcPr>
          <w:p w14:paraId="366B5CCA" w14:textId="77777777" w:rsidR="00EA5BBF" w:rsidRPr="001570EA" w:rsidRDefault="00EA5BBF">
            <w:pPr>
              <w:jc w:val="center"/>
            </w:pPr>
            <w:r w:rsidRPr="001570EA">
              <w:t>16.37</w:t>
            </w:r>
          </w:p>
        </w:tc>
        <w:tc>
          <w:tcPr>
            <w:tcW w:w="1530" w:type="dxa"/>
          </w:tcPr>
          <w:p w14:paraId="4FD36F0C" w14:textId="77777777" w:rsidR="00EA5BBF" w:rsidRPr="001570EA" w:rsidRDefault="00EA5BBF">
            <w:pPr>
              <w:jc w:val="center"/>
            </w:pPr>
            <w:r w:rsidRPr="001570EA">
              <w:t>21.37</w:t>
            </w:r>
          </w:p>
        </w:tc>
      </w:tr>
    </w:tbl>
    <w:p w14:paraId="35D16ABD" w14:textId="77777777" w:rsidR="00EA5BBF" w:rsidRPr="001570EA" w:rsidRDefault="00EA5BBF" w:rsidP="00EA5BBF"/>
    <w:p w14:paraId="3DF8AF8C" w14:textId="77777777" w:rsidR="00EA5BBF" w:rsidRPr="001570EA" w:rsidRDefault="00EA5BBF" w:rsidP="00EA5BBF"/>
    <w:p w14:paraId="0873745D" w14:textId="77777777" w:rsidR="00EA5BBF" w:rsidRPr="001570EA" w:rsidRDefault="00EA5BBF" w:rsidP="00EA5BBF">
      <w:pPr>
        <w:pStyle w:val="SubStyle"/>
      </w:pPr>
      <w:r w:rsidRPr="001570EA">
        <w:t>Evaluation Protocols</w:t>
      </w:r>
    </w:p>
    <w:p w14:paraId="5043D9D8" w14:textId="77777777" w:rsidR="00EA5BBF" w:rsidRPr="001570EA" w:rsidRDefault="00EA5BBF" w:rsidP="00EA5BBF">
      <w:r w:rsidRPr="001570EA">
        <w:t>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Evaluation Framework provides specific guidelines and requirements for evaluation procedures.</w:t>
      </w:r>
    </w:p>
    <w:p w14:paraId="560906F0" w14:textId="77777777" w:rsidR="00EA5BBF" w:rsidRPr="001570EA" w:rsidRDefault="00EA5BBF" w:rsidP="00EA5BBF"/>
    <w:p w14:paraId="335C0C5D" w14:textId="77777777" w:rsidR="00EA5BBF" w:rsidRPr="001570EA" w:rsidRDefault="00EA5BBF" w:rsidP="00EA5BBF">
      <w:pPr>
        <w:pStyle w:val="SubStyle"/>
      </w:pPr>
      <w:r w:rsidRPr="001570EA">
        <w:t>Sources</w:t>
      </w:r>
    </w:p>
    <w:p w14:paraId="6D532A31" w14:textId="3E9A7E20" w:rsidR="00EA5BBF" w:rsidRPr="001570EA" w:rsidRDefault="0085720E" w:rsidP="00152CD6">
      <w:pPr>
        <w:pStyle w:val="ListParagraph"/>
        <w:numPr>
          <w:ilvl w:val="0"/>
          <w:numId w:val="73"/>
        </w:numPr>
        <w:adjustRightInd/>
        <w:spacing w:after="120"/>
        <w:ind w:left="360"/>
        <w:jc w:val="left"/>
        <w:rPr>
          <w:rFonts w:eastAsia="Arial" w:cs="Arial"/>
        </w:rPr>
      </w:pPr>
      <w:r w:rsidRPr="001570EA">
        <w:t xml:space="preserve">GDS Associates, Inc. (2007). Measure Life Report, Residential and Commercial/Industrial Lighting and HVAC Measures. Table 1 – Residential Measures. </w:t>
      </w:r>
      <w:hyperlink r:id="rId360" w:history="1">
        <w:r w:rsidRPr="001570EA">
          <w:rPr>
            <w:rStyle w:val="Hyperlink"/>
            <w:rFonts w:cs="Arial"/>
          </w:rPr>
          <w:t>Weblink</w:t>
        </w:r>
      </w:hyperlink>
      <w:r w:rsidR="00EA5BBF" w:rsidRPr="001570EA">
        <w:rPr>
          <w:rFonts w:eastAsia="Arial" w:cs="Arial"/>
        </w:rPr>
        <w:t>. Measure life for insulation is 25 years. Note that PA Act 129 savings can be claimed for no more than 15 years, thus the 15</w:t>
      </w:r>
      <w:r w:rsidR="009C581D">
        <w:rPr>
          <w:rFonts w:eastAsia="Arial" w:cs="Arial"/>
        </w:rPr>
        <w:t>-</w:t>
      </w:r>
      <w:r w:rsidR="00EA5BBF" w:rsidRPr="001570EA">
        <w:rPr>
          <w:rFonts w:eastAsia="Arial" w:cs="Arial"/>
        </w:rPr>
        <w:t>year measure life.</w:t>
      </w:r>
    </w:p>
    <w:p w14:paraId="2A8694E9" w14:textId="19BD63AA" w:rsidR="00EA5BBF" w:rsidRPr="001570EA" w:rsidRDefault="00EA5BBF" w:rsidP="00152CD6">
      <w:pPr>
        <w:pStyle w:val="ListParagraph"/>
        <w:numPr>
          <w:ilvl w:val="0"/>
          <w:numId w:val="73"/>
        </w:numPr>
        <w:spacing w:after="120"/>
        <w:ind w:left="360"/>
        <w:jc w:val="left"/>
        <w:rPr>
          <w:rStyle w:val="Hyperlink"/>
          <w:rFonts w:eastAsia="Arial" w:cs="Arial"/>
          <w:color w:val="auto"/>
        </w:rPr>
      </w:pPr>
      <w:r w:rsidRPr="001570EA">
        <w:rPr>
          <w:rFonts w:eastAsia="Arial" w:cs="Arial"/>
        </w:rPr>
        <w:t xml:space="preserve">USDOE, Guide to Closing and Conditioning Ventilated Crawlspaces. </w:t>
      </w:r>
      <w:hyperlink r:id="rId361" w:history="1">
        <w:r w:rsidRPr="001570EA">
          <w:rPr>
            <w:rStyle w:val="Hyperlink"/>
            <w:rFonts w:eastAsia="Arial" w:cs="Arial"/>
          </w:rPr>
          <w:t>Weblink</w:t>
        </w:r>
      </w:hyperlink>
    </w:p>
    <w:p w14:paraId="080B72E8" w14:textId="06608F80" w:rsidR="00EA5BBF" w:rsidRPr="001570EA" w:rsidRDefault="00EA5BBF" w:rsidP="00152CD6">
      <w:pPr>
        <w:pStyle w:val="ListParagraph"/>
        <w:numPr>
          <w:ilvl w:val="0"/>
          <w:numId w:val="73"/>
        </w:numPr>
        <w:spacing w:after="120"/>
        <w:ind w:left="360"/>
        <w:jc w:val="left"/>
      </w:pPr>
      <w:r w:rsidRPr="001570EA">
        <w:t xml:space="preserve">2021 International Energy Conservation Code, Table R402.1.3: Insulation Minimum R-values and Fenestration Requirements by Component. </w:t>
      </w:r>
      <w:hyperlink r:id="rId362" w:history="1">
        <w:r w:rsidRPr="001570EA">
          <w:rPr>
            <w:rStyle w:val="Hyperlink"/>
            <w:rFonts w:cs="Arial"/>
          </w:rPr>
          <w:t>Weblink</w:t>
        </w:r>
      </w:hyperlink>
      <w:r w:rsidRPr="001570EA">
        <w:t>. 20ci or 13” means R-10 continuous insulation (ci) on the interior or exterior surface of the wall or R-13 cavity insulation on the interior side of the wall. “15ci or 19 or 13&amp;5ci” means R-15 continuous insulation (ci) on the interior or exterior surface of the wall; or R-19 cavity insulation on the interior side of the wall; or R-13 cavity insulation on the interior of the wall in addition to R-5 continuous insulation on the interior or exterior surface of the wall.</w:t>
      </w:r>
    </w:p>
    <w:p w14:paraId="3A43F3F7" w14:textId="000AF778" w:rsidR="00EA5BBF" w:rsidRPr="001570EA" w:rsidRDefault="00EA5BBF" w:rsidP="00152CD6">
      <w:pPr>
        <w:pStyle w:val="ListParagraph"/>
        <w:numPr>
          <w:ilvl w:val="0"/>
          <w:numId w:val="73"/>
        </w:numPr>
        <w:adjustRightInd/>
        <w:spacing w:after="120"/>
        <w:ind w:left="360"/>
        <w:jc w:val="left"/>
        <w:rPr>
          <w:rFonts w:eastAsia="Arial" w:cs="Arial"/>
        </w:rPr>
      </w:pPr>
      <w:r w:rsidRPr="001570EA">
        <w:t>ASHRAE. (2021). Fundamentals, Chapter 18, p</w:t>
      </w:r>
      <w:r w:rsidR="005B4D27">
        <w:t>a</w:t>
      </w:r>
      <w:r w:rsidRPr="001570EA">
        <w:t>g</w:t>
      </w:r>
      <w:r w:rsidR="005B4D27">
        <w:t>e</w:t>
      </w:r>
      <w:r w:rsidRPr="001570EA">
        <w:t xml:space="preserve"> 18.44. ASHRAE assumes an uninsulated concrete wall has an R-value of 1.47. R</w:t>
      </w:r>
      <w:r w:rsidRPr="001570EA">
        <w:rPr>
          <w:vertAlign w:val="subscript"/>
        </w:rPr>
        <w:t xml:space="preserve">bg </w:t>
      </w:r>
      <w:r w:rsidRPr="001570EA">
        <w:t>values are calculated from U</w:t>
      </w:r>
      <w:r w:rsidRPr="001570EA">
        <w:rPr>
          <w:vertAlign w:val="subscript"/>
        </w:rPr>
        <w:t xml:space="preserve">avg,bw </w:t>
      </w:r>
      <w:r w:rsidRPr="001570EA">
        <w:t>values in Table 22 on page 18.44.</w:t>
      </w:r>
    </w:p>
    <w:p w14:paraId="5BF321B9" w14:textId="158B3A03" w:rsidR="00EA5BBF" w:rsidRPr="001570EA" w:rsidRDefault="00EA5BBF" w:rsidP="00152CD6">
      <w:pPr>
        <w:pStyle w:val="ListParagraph"/>
        <w:numPr>
          <w:ilvl w:val="0"/>
          <w:numId w:val="73"/>
        </w:numPr>
        <w:adjustRightInd/>
        <w:spacing w:after="120"/>
        <w:ind w:left="360"/>
        <w:jc w:val="left"/>
        <w:rPr>
          <w:color w:val="000000" w:themeColor="text1"/>
        </w:rPr>
      </w:pPr>
      <w:r w:rsidRPr="001570EA">
        <w:t>A</w:t>
      </w:r>
      <w:r w:rsidRPr="001570EA">
        <w:rPr>
          <w:color w:val="000000" w:themeColor="text1"/>
        </w:rPr>
        <w:t>SHRAE. (2021). Fundamentals. Chapter 27, p</w:t>
      </w:r>
      <w:r w:rsidR="004609E7">
        <w:rPr>
          <w:color w:val="000000" w:themeColor="text1"/>
        </w:rPr>
        <w:t>age</w:t>
      </w:r>
      <w:r w:rsidRPr="001570EA">
        <w:rPr>
          <w:color w:val="000000" w:themeColor="text1"/>
        </w:rPr>
        <w:t xml:space="preserve"> 27.3.</w:t>
      </w:r>
    </w:p>
    <w:p w14:paraId="19618BA1" w14:textId="2017B7FA" w:rsidR="00EA5BBF" w:rsidRPr="001570EA" w:rsidRDefault="0009701D" w:rsidP="00152CD6">
      <w:pPr>
        <w:pStyle w:val="ListParagraph"/>
        <w:numPr>
          <w:ilvl w:val="0"/>
          <w:numId w:val="73"/>
        </w:numPr>
        <w:ind w:left="360"/>
        <w:rPr>
          <w:rStyle w:val="Hyperlink"/>
          <w:rFonts w:cs="Arial"/>
          <w:color w:val="auto"/>
          <w:u w:val="none"/>
        </w:rPr>
      </w:pPr>
      <w:r w:rsidRPr="001570EA">
        <w:t>Based on the Phase III SWE team’s analysis of regional HVAC runtime data collected from ecobee’s Donate Your Data research service (</w:t>
      </w:r>
      <w:hyperlink r:id="rId363" w:history="1">
        <w:r w:rsidRPr="001570EA">
          <w:rPr>
            <w:rStyle w:val="Hyperlink"/>
          </w:rPr>
          <w:t>Weblink</w:t>
        </w:r>
      </w:hyperlink>
      <w:r w:rsidRPr="001570EA">
        <w:t>) and updated based on the latest CDD and HDD values from NOAA’s 15-year annual climate Normals (2006–2020) (</w:t>
      </w:r>
      <w:hyperlink r:id="rId364" w:history="1">
        <w:r w:rsidRPr="001570EA">
          <w:rPr>
            <w:rStyle w:val="Hyperlink"/>
          </w:rPr>
          <w:t>Weblink</w:t>
        </w:r>
      </w:hyperlink>
      <w:r w:rsidRPr="001570EA">
        <w:t>)</w:t>
      </w:r>
    </w:p>
    <w:p w14:paraId="4E3655A9" w14:textId="4CBDB2B4" w:rsidR="00EA5BBF" w:rsidRPr="001570EA" w:rsidRDefault="00EA5BBF" w:rsidP="00152CD6">
      <w:pPr>
        <w:pStyle w:val="ListParagraph"/>
        <w:numPr>
          <w:ilvl w:val="0"/>
          <w:numId w:val="73"/>
        </w:numPr>
        <w:adjustRightInd/>
        <w:spacing w:after="120"/>
        <w:ind w:left="360"/>
        <w:jc w:val="left"/>
        <w:rPr>
          <w:rStyle w:val="Hyperlink"/>
          <w:color w:val="000000" w:themeColor="text1"/>
          <w:u w:val="none"/>
          <w:lang w:val="fr-FR"/>
        </w:rPr>
      </w:pPr>
      <w:r w:rsidRPr="001570EA">
        <w:t>E</w:t>
      </w:r>
      <w:r w:rsidRPr="001570EA">
        <w:rPr>
          <w:color w:val="000000" w:themeColor="text1"/>
        </w:rPr>
        <w:t xml:space="preserve">nergy Center of Wisconsin, (2008, May). “Central Air Conditioning in Wisconsin, A Compilation of Recent Field Research.” </w:t>
      </w:r>
      <w:r w:rsidRPr="001570EA">
        <w:rPr>
          <w:color w:val="000000" w:themeColor="text1"/>
          <w:lang w:val="fr-FR"/>
        </w:rPr>
        <w:t>P</w:t>
      </w:r>
      <w:r w:rsidR="009C581D">
        <w:rPr>
          <w:color w:val="000000" w:themeColor="text1"/>
          <w:lang w:val="fr-FR"/>
        </w:rPr>
        <w:t>a</w:t>
      </w:r>
      <w:r w:rsidRPr="001570EA">
        <w:rPr>
          <w:color w:val="000000" w:themeColor="text1"/>
          <w:lang w:val="fr-FR"/>
        </w:rPr>
        <w:t>g</w:t>
      </w:r>
      <w:r w:rsidR="009C581D">
        <w:rPr>
          <w:color w:val="000000" w:themeColor="text1"/>
          <w:lang w:val="fr-FR"/>
        </w:rPr>
        <w:t>e</w:t>
      </w:r>
      <w:r w:rsidRPr="001570EA">
        <w:rPr>
          <w:color w:val="000000" w:themeColor="text1"/>
          <w:lang w:val="fr-FR"/>
        </w:rPr>
        <w:t xml:space="preserve"> 31. </w:t>
      </w:r>
      <w:hyperlink r:id="rId365" w:history="1">
        <w:r w:rsidRPr="001570EA">
          <w:rPr>
            <w:rStyle w:val="Hyperlink"/>
            <w:lang w:val="fr-FR"/>
          </w:rPr>
          <w:t>Weblink</w:t>
        </w:r>
      </w:hyperlink>
    </w:p>
    <w:p w14:paraId="15811AC0" w14:textId="6A023DA1" w:rsidR="00EA5BBF" w:rsidRPr="001570EA" w:rsidRDefault="00EA5BBF" w:rsidP="00152CD6">
      <w:pPr>
        <w:pStyle w:val="ListParagraph"/>
        <w:numPr>
          <w:ilvl w:val="0"/>
          <w:numId w:val="73"/>
        </w:numPr>
        <w:ind w:left="360"/>
      </w:pPr>
      <w:r w:rsidRPr="001570EA">
        <w:rPr>
          <w:color w:val="000000" w:themeColor="text1"/>
        </w:rPr>
        <w:t>NMR Group for the Pennsylvania Public Utility Commission. (2024, March). 2023 Pennsylvania Statewide Act 129 Residential Baseline Study. Weblink. Average home conditioned floor area = 2,019 ft</w:t>
      </w:r>
      <w:r w:rsidRPr="001570EA">
        <w:rPr>
          <w:color w:val="000000" w:themeColor="text1"/>
          <w:vertAlign w:val="superscript"/>
        </w:rPr>
        <w:t>2</w:t>
      </w:r>
      <w:r w:rsidRPr="001570EA">
        <w:rPr>
          <w:color w:val="000000" w:themeColor="text1"/>
        </w:rPr>
        <w:t xml:space="preserve">; average number of room AC units per home = 1.74; </w:t>
      </w:r>
      <w:r w:rsidRPr="001570EA">
        <w:t>average Room AC capacity = 7,161 BTU/hr. Per ENERGY STAR Room AC sizing chart (</w:t>
      </w:r>
      <w:hyperlink r:id="rId366" w:history="1">
        <w:r w:rsidRPr="001570EA">
          <w:rPr>
            <w:rStyle w:val="Hyperlink"/>
          </w:rPr>
          <w:t>Weblink</w:t>
        </w:r>
      </w:hyperlink>
      <w:r w:rsidRPr="001570EA">
        <w:t>), 7,161 BTU/hr of cooling serves approximately 28</w:t>
      </w:r>
      <w:r w:rsidRPr="001570EA">
        <w:rPr>
          <w:rFonts w:cs="Arial"/>
        </w:rPr>
        <w:t>3 ft</w:t>
      </w:r>
      <w:r w:rsidRPr="001570EA">
        <w:rPr>
          <w:rFonts w:cs="Arial"/>
          <w:vertAlign w:val="superscript"/>
        </w:rPr>
        <w:t>2</w:t>
      </w:r>
      <w:r w:rsidRPr="001570EA">
        <w:rPr>
          <w:rFonts w:cs="Arial"/>
        </w:rPr>
        <w:t xml:space="preserve">. </w:t>
      </w:r>
      <w:r w:rsidRPr="001570EA">
        <w:rPr>
          <w:rFonts w:cs="Arial"/>
          <w:i/>
        </w:rPr>
        <w:t>F</w:t>
      </w:r>
      <w:r w:rsidRPr="001570EA">
        <w:rPr>
          <w:rFonts w:cs="Arial"/>
          <w:i/>
          <w:vertAlign w:val="subscript"/>
        </w:rPr>
        <w:t>RAC</w:t>
      </w:r>
      <w:r w:rsidRPr="001570EA">
        <w:rPr>
          <w:rFonts w:cs="Arial"/>
        </w:rPr>
        <w:t xml:space="preserve"> = (283 ft</w:t>
      </w:r>
      <w:r w:rsidRPr="001570EA">
        <w:rPr>
          <w:rFonts w:cs="Arial"/>
          <w:vertAlign w:val="superscript"/>
        </w:rPr>
        <w:t>2</w:t>
      </w:r>
      <w:r w:rsidRPr="001570EA">
        <w:rPr>
          <w:rFonts w:cs="Arial"/>
        </w:rPr>
        <w:t xml:space="preserve"> × 1.74)/(2,019 ft</w:t>
      </w:r>
      <w:r w:rsidRPr="001570EA">
        <w:rPr>
          <w:rFonts w:cs="Arial"/>
          <w:vertAlign w:val="superscript"/>
        </w:rPr>
        <w:t>2</w:t>
      </w:r>
      <w:r w:rsidRPr="001570EA">
        <w:rPr>
          <w:rFonts w:cs="Arial"/>
        </w:rPr>
        <w:t>) = 0.24</w:t>
      </w:r>
      <w:r w:rsidRPr="001570EA">
        <w:t>.</w:t>
      </w:r>
    </w:p>
    <w:p w14:paraId="14EBEFE0" w14:textId="78B3EA8A" w:rsidR="00EA5BBF" w:rsidRPr="001570EA" w:rsidRDefault="00EA5BBF" w:rsidP="00152CD6">
      <w:pPr>
        <w:pStyle w:val="ListParagraph"/>
        <w:numPr>
          <w:ilvl w:val="0"/>
          <w:numId w:val="73"/>
        </w:numPr>
        <w:ind w:left="360"/>
      </w:pPr>
      <w:r w:rsidRPr="001570EA">
        <w:t>NMR Group for the Pennsylvania Public Utility Commission. (2024, March). 2023 Pennsylvania Statewide Act 129 Residential Baseline Study. P</w:t>
      </w:r>
      <w:r w:rsidR="005B4D27">
        <w:t>a</w:t>
      </w:r>
      <w:r w:rsidRPr="001570EA">
        <w:t>g</w:t>
      </w:r>
      <w:r w:rsidR="005B4D27">
        <w:t>e</w:t>
      </w:r>
      <w:r w:rsidRPr="001570EA">
        <w:t xml:space="preserve"> 115, </w:t>
      </w:r>
      <w:r w:rsidR="009C581D">
        <w:t>T</w:t>
      </w:r>
      <w:r w:rsidRPr="001570EA">
        <w:t xml:space="preserve">able 97, </w:t>
      </w:r>
      <w:r w:rsidR="005B4D27">
        <w:t>pa</w:t>
      </w:r>
      <w:r w:rsidRPr="001570EA">
        <w:t>g</w:t>
      </w:r>
      <w:r w:rsidR="005B4D27">
        <w:t>e</w:t>
      </w:r>
      <w:r w:rsidRPr="001570EA">
        <w:t xml:space="preserve"> 120, </w:t>
      </w:r>
      <w:r w:rsidR="009C581D">
        <w:t>T</w:t>
      </w:r>
      <w:r w:rsidRPr="001570EA">
        <w:t xml:space="preserve">able 103. </w:t>
      </w:r>
      <w:hyperlink r:id="rId367" w:history="1">
        <w:r w:rsidRPr="001570EA">
          <w:rPr>
            <w:rStyle w:val="Hyperlink"/>
            <w:rFonts w:cs="Arial"/>
          </w:rPr>
          <w:t>Weblink</w:t>
        </w:r>
      </w:hyperlink>
      <w:r w:rsidRPr="001570EA">
        <w:t xml:space="preserve">. Air source heat pump efficiencies calculated using 2023 Pennsylvania Residential Baseline Study data. </w:t>
      </w:r>
      <w:r w:rsidRPr="001570EA">
        <w:rPr>
          <w:color w:val="000000" w:themeColor="text1"/>
        </w:rPr>
        <w:t>Federal minimum efficiencies for GSHP due to small sample size for GSHP in baseline study</w:t>
      </w:r>
      <w:r w:rsidRPr="001570EA">
        <w:t>.</w:t>
      </w:r>
    </w:p>
    <w:p w14:paraId="3A5E19BA" w14:textId="3A8E8DE7" w:rsidR="00EA5BBF" w:rsidRPr="001570EA" w:rsidRDefault="00EA5BBF" w:rsidP="00152CD6">
      <w:pPr>
        <w:pStyle w:val="ListParagraph"/>
        <w:numPr>
          <w:ilvl w:val="0"/>
          <w:numId w:val="73"/>
        </w:numPr>
        <w:ind w:left="360"/>
        <w:jc w:val="left"/>
      </w:pPr>
      <w:r w:rsidRPr="001570EA">
        <w:t xml:space="preserve">Federal minimum efficiency standards, based on ASHRAE 90.1-2019. </w:t>
      </w:r>
      <w:hyperlink r:id="rId368" w:history="1">
        <w:r w:rsidRPr="001570EA">
          <w:rPr>
            <w:rStyle w:val="Hyperlink"/>
          </w:rPr>
          <w:t>Weblink</w:t>
        </w:r>
      </w:hyperlink>
      <w:r w:rsidRPr="001570EA">
        <w:t>.</w:t>
      </w:r>
    </w:p>
    <w:p w14:paraId="470DB4A2" w14:textId="77777777" w:rsidR="00EA5BBF" w:rsidRPr="001570EA" w:rsidRDefault="00EA5BBF" w:rsidP="00152CD6">
      <w:pPr>
        <w:pStyle w:val="ListParagraph"/>
        <w:numPr>
          <w:ilvl w:val="0"/>
          <w:numId w:val="73"/>
        </w:numPr>
        <w:overflowPunct/>
        <w:autoSpaceDE/>
        <w:autoSpaceDN/>
        <w:adjustRightInd/>
        <w:ind w:left="360"/>
        <w:textAlignment w:val="auto"/>
      </w:pPr>
      <w:r w:rsidRPr="001570EA">
        <w:rPr>
          <w:rFonts w:ascii="ArialMT" w:hAnsi="ArialMT"/>
          <w:color w:val="000000"/>
        </w:rPr>
        <w:t>McQuay. (2002). Application Guide 31-008, Geothermal Heat Pump Design Manual. Engineering Estimate - See System Performance of Ground Source Heat Pumps</w:t>
      </w:r>
    </w:p>
    <w:p w14:paraId="73D7904D" w14:textId="6EA27BFA" w:rsidR="00EA5BBF" w:rsidRPr="001570EA" w:rsidRDefault="00EA5BBF" w:rsidP="00152CD6">
      <w:pPr>
        <w:pStyle w:val="ListParagraph"/>
        <w:numPr>
          <w:ilvl w:val="0"/>
          <w:numId w:val="73"/>
        </w:numPr>
        <w:ind w:left="360"/>
        <w:jc w:val="left"/>
      </w:pPr>
      <w:r w:rsidRPr="001570EA">
        <w:t xml:space="preserve">Wilson et al. 2021. End-Use Load Profiles for the U.S. Building Stock: Methodology and Results of Model Calibration, Validation, and Uncertainty Quantification. NREL/TP-5500-80889. </w:t>
      </w:r>
      <w:hyperlink r:id="rId369" w:history="1">
        <w:r w:rsidRPr="001570EA">
          <w:rPr>
            <w:rStyle w:val="Hyperlink"/>
          </w:rPr>
          <w:t>Weblink</w:t>
        </w:r>
      </w:hyperlink>
      <w:r w:rsidRPr="001570EA">
        <w:t xml:space="preserve"> </w:t>
      </w:r>
    </w:p>
    <w:p w14:paraId="2FC7D7EE" w14:textId="77777777" w:rsidR="00EA5BBF" w:rsidRPr="001570EA" w:rsidRDefault="00EA5BBF" w:rsidP="00152CD6">
      <w:pPr>
        <w:pStyle w:val="ListParagraph"/>
        <w:numPr>
          <w:ilvl w:val="0"/>
          <w:numId w:val="73"/>
        </w:numPr>
        <w:ind w:left="360"/>
        <w:jc w:val="left"/>
      </w:pPr>
      <w:r w:rsidRPr="001570EA">
        <w:t>Default new construction below grade R-values are the sum of the uninsulated wall assembly in the retrofit case and the code minimum continuous insulation R-value.</w:t>
      </w:r>
    </w:p>
    <w:p w14:paraId="20B385FA" w14:textId="21B94CD3" w:rsidR="00EA5BBF" w:rsidRPr="001570EA" w:rsidRDefault="00EA5BBF" w:rsidP="00152CD6">
      <w:pPr>
        <w:pStyle w:val="ListParagraph"/>
        <w:numPr>
          <w:ilvl w:val="0"/>
          <w:numId w:val="73"/>
        </w:numPr>
        <w:ind w:left="360"/>
        <w:rPr>
          <w:rFonts w:cs="Arial"/>
        </w:rPr>
      </w:pPr>
      <w:r w:rsidRPr="001570EA">
        <w:rPr>
          <w:color w:val="000000" w:themeColor="text1"/>
        </w:rPr>
        <w:t xml:space="preserve">NMR Group for the Pennsylvania Public Utility Commission. (2024, March). 2023 Pennsylvania Statewide Act 129 Residential Baseline Study. Section 6.5.3: Foundation Wall R-value. </w:t>
      </w:r>
      <w:hyperlink r:id="rId370" w:history="1">
        <w:r w:rsidRPr="001570EA">
          <w:rPr>
            <w:rStyle w:val="Hyperlink"/>
          </w:rPr>
          <w:t>Weblink</w:t>
        </w:r>
      </w:hyperlink>
      <w:r w:rsidRPr="001570EA">
        <w:rPr>
          <w:color w:val="000000" w:themeColor="text1"/>
        </w:rPr>
        <w:t>. The R-8.9 value is the sum of the wall materials (R-1.47) and average added insulation</w:t>
      </w:r>
      <w:r w:rsidR="00B44C6E" w:rsidRPr="001570EA">
        <w:rPr>
          <w:color w:val="000000" w:themeColor="text1"/>
        </w:rPr>
        <w:t xml:space="preserve"> </w:t>
      </w:r>
      <w:r w:rsidRPr="001570EA">
        <w:rPr>
          <w:color w:val="000000" w:themeColor="text1"/>
        </w:rPr>
        <w:t>(R-7.4).</w:t>
      </w:r>
    </w:p>
    <w:p w14:paraId="22278A5C" w14:textId="2AD5FB51" w:rsidR="00EA5BBF" w:rsidRPr="001570EA" w:rsidRDefault="00EA5BBF" w:rsidP="00152CD6">
      <w:pPr>
        <w:pStyle w:val="ListParagraph"/>
        <w:numPr>
          <w:ilvl w:val="0"/>
          <w:numId w:val="73"/>
        </w:numPr>
        <w:ind w:left="360"/>
      </w:pPr>
      <w:r w:rsidRPr="001570EA">
        <w:rPr>
          <w:color w:val="000000" w:themeColor="text1"/>
        </w:rPr>
        <w:t xml:space="preserve">NMR Group for the Pennsylvania Public Utility Commission. (2024, March). 2023 Pennsylvania Statewide Act 129 Residential Baseline Study. Section 6.5.3: Foundation Wall R-value. </w:t>
      </w:r>
      <w:hyperlink r:id="rId371" w:history="1">
        <w:r w:rsidRPr="001570EA">
          <w:rPr>
            <w:rStyle w:val="Hyperlink"/>
          </w:rPr>
          <w:t>Weblink</w:t>
        </w:r>
      </w:hyperlink>
      <w:r w:rsidRPr="001570EA">
        <w:rPr>
          <w:color w:val="000000" w:themeColor="text1"/>
        </w:rPr>
        <w:t>. In retrofit cases where it is unknown whether there is existing insulation present on the basement wall, add R-7.4 to the below-grade uninsulated retrofit R-value.</w:t>
      </w:r>
    </w:p>
    <w:p w14:paraId="61F3AA49" w14:textId="77777777" w:rsidR="00EA5BBF" w:rsidRPr="001570EA" w:rsidRDefault="00EA5BBF" w:rsidP="00EA5BBF"/>
    <w:p w14:paraId="5BD89B91" w14:textId="77777777" w:rsidR="00EA5BBF" w:rsidRPr="001570EA" w:rsidRDefault="00EA5BBF" w:rsidP="00EA5BBF">
      <w:pPr>
        <w:sectPr w:rsidR="00EA5BBF" w:rsidRPr="001570EA" w:rsidSect="002D556C">
          <w:pgSz w:w="12240" w:h="15840"/>
          <w:pgMar w:top="1440" w:right="1800" w:bottom="1440" w:left="1800" w:header="720" w:footer="501" w:gutter="0"/>
          <w:cols w:space="720"/>
        </w:sectPr>
      </w:pPr>
    </w:p>
    <w:p w14:paraId="1FD4FCD8" w14:textId="77777777" w:rsidR="00EA5BBF" w:rsidRPr="001570EA" w:rsidRDefault="00EA5BBF" w:rsidP="00C64DB8">
      <w:pPr>
        <w:pStyle w:val="Heading3"/>
      </w:pPr>
      <w:bookmarkStart w:id="1191" w:name="_Toc48143060"/>
      <w:bookmarkStart w:id="1192" w:name="_Ref154048490"/>
      <w:bookmarkStart w:id="1193" w:name="_Toc164786681"/>
      <w:r w:rsidRPr="001570EA">
        <w:t>ENERGY STAR Windows</w:t>
      </w:r>
      <w:bookmarkEnd w:id="1170"/>
      <w:bookmarkEnd w:id="1171"/>
      <w:bookmarkEnd w:id="1172"/>
      <w:bookmarkEnd w:id="1191"/>
      <w:bookmarkEnd w:id="1192"/>
      <w:bookmarkEnd w:id="1193"/>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38"/>
        <w:gridCol w:w="4974"/>
      </w:tblGrid>
      <w:tr w:rsidR="00EA5BBF" w:rsidRPr="001570EA" w14:paraId="57A2B1B6" w14:textId="77777777">
        <w:tc>
          <w:tcPr>
            <w:tcW w:w="353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8F4A4EA" w14:textId="77777777" w:rsidR="00EA5BBF" w:rsidRPr="001570EA" w:rsidRDefault="00EA5BBF">
            <w:pPr>
              <w:pStyle w:val="TableCell"/>
              <w:spacing w:before="60" w:after="60"/>
              <w:rPr>
                <w:b/>
                <w:bCs/>
                <w:color w:val="000000"/>
              </w:rPr>
            </w:pPr>
            <w:r w:rsidRPr="001570EA">
              <w:rPr>
                <w:b/>
                <w:bCs/>
                <w:color w:val="000000"/>
              </w:rPr>
              <w:t>Target Sector</w:t>
            </w:r>
          </w:p>
        </w:tc>
        <w:tc>
          <w:tcPr>
            <w:tcW w:w="497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C67728E" w14:textId="77777777" w:rsidR="00EA5BBF" w:rsidRPr="001570EA" w:rsidRDefault="00EA5BBF">
            <w:pPr>
              <w:pStyle w:val="TableCell"/>
              <w:spacing w:before="60" w:after="60"/>
              <w:jc w:val="center"/>
              <w:rPr>
                <w:color w:val="000000"/>
              </w:rPr>
            </w:pPr>
            <w:r w:rsidRPr="001570EA">
              <w:rPr>
                <w:color w:val="000000"/>
              </w:rPr>
              <w:t>Residential</w:t>
            </w:r>
          </w:p>
        </w:tc>
      </w:tr>
      <w:tr w:rsidR="00EA5BBF" w:rsidRPr="001570EA" w14:paraId="01FF0821" w14:textId="77777777">
        <w:tc>
          <w:tcPr>
            <w:tcW w:w="353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17888456" w14:textId="77777777" w:rsidR="00EA5BBF" w:rsidRPr="001570EA" w:rsidRDefault="00EA5BBF">
            <w:pPr>
              <w:pStyle w:val="TableCell"/>
              <w:spacing w:before="60" w:after="60"/>
              <w:rPr>
                <w:b/>
                <w:bCs/>
                <w:color w:val="000000"/>
              </w:rPr>
            </w:pPr>
            <w:r w:rsidRPr="001570EA">
              <w:rPr>
                <w:b/>
                <w:bCs/>
                <w:color w:val="000000"/>
              </w:rPr>
              <w:t>Measure Unit</w:t>
            </w:r>
          </w:p>
        </w:tc>
        <w:tc>
          <w:tcPr>
            <w:tcW w:w="497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6B499C53" w14:textId="77777777" w:rsidR="00EA5BBF" w:rsidRPr="001570EA" w:rsidRDefault="00EA5BBF">
            <w:pPr>
              <w:pStyle w:val="TableCell"/>
              <w:spacing w:before="60" w:after="60"/>
              <w:jc w:val="center"/>
              <w:rPr>
                <w:color w:val="000000"/>
              </w:rPr>
            </w:pPr>
            <w:r w:rsidRPr="001570EA">
              <w:rPr>
                <w:color w:val="000000"/>
              </w:rPr>
              <w:t>Window Area</w:t>
            </w:r>
          </w:p>
        </w:tc>
      </w:tr>
      <w:tr w:rsidR="00EA5BBF" w:rsidRPr="001570EA" w14:paraId="451ACB86" w14:textId="77777777">
        <w:tc>
          <w:tcPr>
            <w:tcW w:w="353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2FE783BA" w14:textId="77777777" w:rsidR="00EA5BBF" w:rsidRPr="001570EA" w:rsidRDefault="00EA5BBF">
            <w:pPr>
              <w:pStyle w:val="TableCell"/>
              <w:spacing w:before="60" w:after="60"/>
              <w:rPr>
                <w:b/>
                <w:bCs/>
                <w:color w:val="000000"/>
              </w:rPr>
            </w:pPr>
            <w:r w:rsidRPr="001570EA">
              <w:rPr>
                <w:b/>
                <w:bCs/>
                <w:color w:val="000000"/>
              </w:rPr>
              <w:t>Measure Life</w:t>
            </w:r>
          </w:p>
        </w:tc>
        <w:tc>
          <w:tcPr>
            <w:tcW w:w="497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5FB530B7" w14:textId="77777777" w:rsidR="00EA5BBF" w:rsidRPr="001570EA" w:rsidRDefault="00EA5BBF">
            <w:pPr>
              <w:pStyle w:val="TableCell"/>
              <w:spacing w:before="60" w:after="60"/>
              <w:jc w:val="center"/>
              <w:rPr>
                <w:color w:val="000000"/>
                <w:vertAlign w:val="superscript"/>
              </w:rPr>
            </w:pPr>
            <w:r w:rsidRPr="001570EA">
              <w:rPr>
                <w:color w:val="000000"/>
              </w:rPr>
              <w:t>(15 max, but 20 for TRC) years</w:t>
            </w:r>
            <w:r w:rsidRPr="001570EA">
              <w:rPr>
                <w:color w:val="000000"/>
                <w:vertAlign w:val="superscript"/>
              </w:rPr>
              <w:t>Source 1</w:t>
            </w:r>
          </w:p>
        </w:tc>
      </w:tr>
      <w:tr w:rsidR="00EA5BBF" w:rsidRPr="001570EA" w14:paraId="51158495" w14:textId="77777777">
        <w:tc>
          <w:tcPr>
            <w:tcW w:w="3538"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2FFEB4DD" w14:textId="77777777" w:rsidR="00EA5BBF" w:rsidRPr="001570EA" w:rsidRDefault="00EA5BBF">
            <w:pPr>
              <w:pStyle w:val="TableCell"/>
              <w:spacing w:before="60" w:after="60"/>
              <w:rPr>
                <w:b/>
                <w:bCs/>
                <w:color w:val="000000"/>
              </w:rPr>
            </w:pPr>
            <w:r w:rsidRPr="001570EA">
              <w:rPr>
                <w:b/>
                <w:bCs/>
                <w:color w:val="000000"/>
              </w:rPr>
              <w:t>Vintage</w:t>
            </w:r>
          </w:p>
        </w:tc>
        <w:tc>
          <w:tcPr>
            <w:tcW w:w="497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596D4C50" w14:textId="77777777" w:rsidR="00EA5BBF" w:rsidRPr="001570EA" w:rsidRDefault="00EA5BBF">
            <w:pPr>
              <w:pStyle w:val="TableCell"/>
              <w:spacing w:before="60" w:after="60"/>
              <w:jc w:val="center"/>
              <w:rPr>
                <w:color w:val="000000"/>
              </w:rPr>
            </w:pPr>
            <w:r w:rsidRPr="001570EA">
              <w:rPr>
                <w:color w:val="000000"/>
              </w:rPr>
              <w:t>Retrofit</w:t>
            </w:r>
          </w:p>
        </w:tc>
      </w:tr>
    </w:tbl>
    <w:p w14:paraId="418C3B12" w14:textId="77777777" w:rsidR="00EA5BBF" w:rsidRPr="001570EA" w:rsidRDefault="00EA5BBF" w:rsidP="00EA5BBF">
      <w:pPr>
        <w:pStyle w:val="SubStyle"/>
      </w:pPr>
    </w:p>
    <w:p w14:paraId="3BC2ED71" w14:textId="77777777" w:rsidR="00EA5BBF" w:rsidRPr="001570EA" w:rsidRDefault="00EA5BBF" w:rsidP="00EA5BBF">
      <w:pPr>
        <w:pStyle w:val="SubStyle"/>
      </w:pPr>
      <w:r w:rsidRPr="001570EA">
        <w:t>Eligibility</w:t>
      </w:r>
    </w:p>
    <w:p w14:paraId="401BE1F7" w14:textId="77777777" w:rsidR="00EA5BBF" w:rsidRPr="001570EA" w:rsidRDefault="00EA5BBF" w:rsidP="00EA5BBF">
      <w:r w:rsidRPr="001570EA">
        <w:t>This protocol documents the energy savings for replacing existing windows in a residence with ENERGY STAR version 7 certified windows.</w:t>
      </w:r>
      <w:r w:rsidRPr="001570EA">
        <w:rPr>
          <w:vertAlign w:val="superscript"/>
        </w:rPr>
        <w:t>Source 2</w:t>
      </w:r>
    </w:p>
    <w:p w14:paraId="08B89960" w14:textId="77777777" w:rsidR="00EA5BBF" w:rsidRPr="001570EA" w:rsidRDefault="00EA5BBF" w:rsidP="00EA5BBF">
      <w:pPr>
        <w:pStyle w:val="SubStyle"/>
      </w:pPr>
    </w:p>
    <w:p w14:paraId="2CE0A6C8" w14:textId="77777777" w:rsidR="00EA5BBF" w:rsidRPr="00597241" w:rsidRDefault="00EA5BBF" w:rsidP="00EA5BBF">
      <w:pPr>
        <w:pStyle w:val="SubStyle"/>
        <w:rPr>
          <w:lang w:val="pt-BR"/>
        </w:rPr>
      </w:pPr>
      <w:r w:rsidRPr="00597241">
        <w:rPr>
          <w:lang w:val="pt-BR"/>
        </w:rPr>
        <w:t>Algorithms</w:t>
      </w:r>
    </w:p>
    <w:p w14:paraId="416B1542" w14:textId="77777777" w:rsidR="00EA5BBF" w:rsidRPr="00597241" w:rsidRDefault="00EA5BBF" w:rsidP="00EA5BBF">
      <w:pPr>
        <w:pStyle w:val="Equation"/>
        <w:tabs>
          <w:tab w:val="clear" w:pos="720"/>
        </w:tabs>
        <w:spacing w:after="120"/>
        <w:rPr>
          <w:rFonts w:cs="Arial"/>
          <w:szCs w:val="20"/>
          <w:lang w:val="pt-BR"/>
        </w:rPr>
      </w:pPr>
      <w:r w:rsidRPr="001570EA">
        <w:rPr>
          <w:rFonts w:ascii="Symbol" w:eastAsia="Symbol" w:hAnsi="Symbol" w:cs="Symbol"/>
          <w:szCs w:val="20"/>
        </w:rPr>
        <w:t>D</w:t>
      </w:r>
      <w:r w:rsidRPr="00597241">
        <w:rPr>
          <w:rFonts w:ascii="Cambria Math" w:hAnsi="Cambria Math" w:cs="Arial"/>
          <w:szCs w:val="20"/>
          <w:lang w:val="pt-BR"/>
        </w:rPr>
        <w:t>kWh</w:t>
      </w:r>
      <w:r w:rsidRPr="00597241">
        <w:rPr>
          <w:rFonts w:cs="Arial"/>
          <w:szCs w:val="20"/>
          <w:lang w:val="pt-BR"/>
        </w:rPr>
        <w:t xml:space="preserve"> </w:t>
      </w:r>
      <w:r w:rsidRPr="00597241">
        <w:rPr>
          <w:rFonts w:cs="Arial"/>
          <w:szCs w:val="20"/>
          <w:lang w:val="pt-BR"/>
        </w:rPr>
        <w:tab/>
      </w:r>
      <m:oMath>
        <m:r>
          <w:rPr>
            <w:rFonts w:ascii="Cambria Math" w:hAnsi="Cambria Math" w:cs="Arial"/>
            <w:szCs w:val="20"/>
            <w:lang w:val="pt-BR"/>
          </w:rPr>
          <m:t>=</m:t>
        </m:r>
        <m:sSub>
          <m:sSubPr>
            <m:ctrlPr>
              <w:rPr>
                <w:rFonts w:ascii="Cambria Math" w:hAnsi="Cambria Math" w:cs="Arial"/>
                <w:i w:val="0"/>
                <w:szCs w:val="20"/>
              </w:rPr>
            </m:ctrlPr>
          </m:sSubPr>
          <m:e>
            <m:r>
              <w:rPr>
                <w:rFonts w:ascii="Cambria Math" w:hAnsi="Cambria Math" w:cs="Arial"/>
                <w:szCs w:val="20"/>
                <w:lang w:val="pt-BR"/>
              </w:rPr>
              <m:t>∆</m:t>
            </m:r>
            <m:r>
              <w:rPr>
                <w:rFonts w:ascii="Cambria Math" w:hAnsi="Cambria Math" w:cs="Arial"/>
                <w:szCs w:val="20"/>
              </w:rPr>
              <m:t>kW</m:t>
            </m:r>
            <m:r>
              <w:rPr>
                <w:rFonts w:ascii="Cambria Math" w:hAnsi="Cambria Math" w:cs="Arial"/>
                <w:szCs w:val="20"/>
                <w:lang w:val="pt-BR"/>
              </w:rPr>
              <m:t>h</m:t>
            </m:r>
          </m:e>
          <m:sub>
            <m:r>
              <w:rPr>
                <w:rFonts w:ascii="Cambria Math" w:hAnsi="Cambria Math" w:cs="Arial"/>
                <w:szCs w:val="20"/>
              </w:rPr>
              <m:t>cool</m:t>
            </m:r>
          </m:sub>
        </m:sSub>
        <m:r>
          <w:rPr>
            <w:rFonts w:ascii="Cambria Math" w:hAnsi="Cambria Math" w:cs="Arial"/>
            <w:szCs w:val="20"/>
            <w:lang w:val="pt-BR"/>
          </w:rPr>
          <m:t>+</m:t>
        </m:r>
        <m:sSub>
          <m:sSubPr>
            <m:ctrlPr>
              <w:rPr>
                <w:rFonts w:ascii="Cambria Math" w:hAnsi="Cambria Math" w:cs="Arial"/>
                <w:i w:val="0"/>
                <w:szCs w:val="20"/>
              </w:rPr>
            </m:ctrlPr>
          </m:sSubPr>
          <m:e>
            <m:r>
              <w:rPr>
                <w:rFonts w:ascii="Cambria Math" w:hAnsi="Cambria Math" w:cs="Arial"/>
                <w:szCs w:val="20"/>
                <w:lang w:val="pt-BR"/>
              </w:rPr>
              <m:t>∆</m:t>
            </m:r>
            <m:r>
              <w:rPr>
                <w:rFonts w:ascii="Cambria Math" w:hAnsi="Cambria Math" w:cs="Arial"/>
                <w:szCs w:val="20"/>
              </w:rPr>
              <m:t>kW</m:t>
            </m:r>
            <m:r>
              <w:rPr>
                <w:rFonts w:ascii="Cambria Math" w:hAnsi="Cambria Math" w:cs="Arial"/>
                <w:szCs w:val="20"/>
                <w:lang w:val="pt-BR"/>
              </w:rPr>
              <m:t>h</m:t>
            </m:r>
          </m:e>
          <m:sub>
            <m:r>
              <w:rPr>
                <w:rFonts w:ascii="Cambria Math" w:hAnsi="Cambria Math" w:cs="Arial"/>
                <w:szCs w:val="20"/>
                <w:lang w:val="pt-BR"/>
              </w:rPr>
              <m:t>h</m:t>
            </m:r>
            <m:r>
              <w:rPr>
                <w:rFonts w:ascii="Cambria Math" w:hAnsi="Cambria Math" w:cs="Arial"/>
                <w:szCs w:val="20"/>
              </w:rPr>
              <m:t>eat</m:t>
            </m:r>
          </m:sub>
        </m:sSub>
      </m:oMath>
    </w:p>
    <w:p w14:paraId="441B4D35" w14:textId="77777777" w:rsidR="00EA5BBF" w:rsidRPr="00597241" w:rsidRDefault="00EA5BBF" w:rsidP="00EA5BBF">
      <w:pPr>
        <w:pStyle w:val="Equation"/>
        <w:tabs>
          <w:tab w:val="clear" w:pos="720"/>
        </w:tabs>
        <w:rPr>
          <w:rFonts w:cs="Arial"/>
          <w:szCs w:val="20"/>
          <w:lang w:val="pt-BR"/>
        </w:rPr>
      </w:pPr>
    </w:p>
    <w:p w14:paraId="666DC7FD" w14:textId="77777777" w:rsidR="00EA5BBF" w:rsidRPr="001570EA" w:rsidRDefault="00EA5BBF" w:rsidP="00EA5BBF">
      <w:pPr>
        <w:pStyle w:val="Equation"/>
        <w:tabs>
          <w:tab w:val="clear" w:pos="720"/>
        </w:tabs>
        <w:rPr>
          <w:rFonts w:cs="Arial"/>
          <w:szCs w:val="20"/>
        </w:rPr>
      </w:pPr>
      <w:r w:rsidRPr="001570EA">
        <w:rPr>
          <w:rFonts w:ascii="Symbol" w:eastAsia="Symbol" w:hAnsi="Symbol" w:cs="Symbol"/>
          <w:szCs w:val="20"/>
        </w:rPr>
        <w:t>D</w:t>
      </w:r>
      <w:r w:rsidRPr="001570EA">
        <w:rPr>
          <w:rFonts w:ascii="Cambria Math" w:hAnsi="Cambria Math" w:cs="Arial"/>
          <w:szCs w:val="20"/>
        </w:rPr>
        <w:t>kWh</w:t>
      </w:r>
      <w:r w:rsidRPr="001570EA">
        <w:rPr>
          <w:rFonts w:ascii="Cambria Math" w:hAnsi="Cambria Math" w:cs="Arial"/>
          <w:szCs w:val="20"/>
          <w:vertAlign w:val="subscript"/>
        </w:rPr>
        <w:t>cool</w:t>
      </w:r>
      <w:r w:rsidRPr="001570EA">
        <w:rPr>
          <w:rFonts w:cs="Arial"/>
          <w:szCs w:val="20"/>
        </w:rPr>
        <w:t xml:space="preserve"> </w:t>
      </w:r>
      <w:r w:rsidRPr="001570EA">
        <w:rPr>
          <w:rFonts w:cs="Arial"/>
          <w:szCs w:val="20"/>
        </w:rPr>
        <w:tab/>
      </w:r>
      <m:oMath>
        <m:r>
          <w:rPr>
            <w:rFonts w:ascii="Cambria Math" w:hAnsi="Cambria Math" w:cs="Arial"/>
            <w:szCs w:val="20"/>
          </w:rPr>
          <m:t xml:space="preserve">=Area of Window </m:t>
        </m:r>
        <m:sSup>
          <m:sSupPr>
            <m:ctrlPr>
              <w:rPr>
                <w:rFonts w:ascii="Cambria Math" w:hAnsi="Cambria Math" w:cs="Arial"/>
                <w:i w:val="0"/>
                <w:szCs w:val="20"/>
              </w:rPr>
            </m:ctrlPr>
          </m:sSupPr>
          <m:e>
            <m:r>
              <w:rPr>
                <w:rFonts w:ascii="Cambria Math" w:hAnsi="Cambria Math" w:cs="Arial"/>
                <w:szCs w:val="20"/>
              </w:rPr>
              <m:t>ft</m:t>
            </m:r>
          </m:e>
          <m:sup>
            <m:r>
              <w:rPr>
                <w:rFonts w:ascii="Cambria Math" w:hAnsi="Cambria Math" w:cs="Arial"/>
                <w:szCs w:val="20"/>
              </w:rPr>
              <m:t>2</m:t>
            </m:r>
          </m:sup>
        </m:sSup>
        <m:r>
          <w:rPr>
            <w:rFonts w:ascii="Cambria Math" w:hAnsi="Cambria Math" w:cs="Arial"/>
            <w:szCs w:val="20"/>
          </w:rPr>
          <m:t xml:space="preserve"> × </m:t>
        </m:r>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rPr>
                  <m:t>η</m:t>
                </m:r>
              </m:e>
              <m:sub>
                <m:r>
                  <w:rPr>
                    <w:rFonts w:ascii="Cambria Math" w:hAnsi="Cambria Math" w:cs="Arial"/>
                    <w:szCs w:val="20"/>
                  </w:rPr>
                  <m:t>proto</m:t>
                </m:r>
              </m:sub>
            </m:sSub>
          </m:num>
          <m:den>
            <m:sSub>
              <m:sSubPr>
                <m:ctrlPr>
                  <w:rPr>
                    <w:rFonts w:ascii="Cambria Math" w:hAnsi="Cambria Math" w:cs="Arial"/>
                    <w:i w:val="0"/>
                    <w:szCs w:val="20"/>
                  </w:rPr>
                </m:ctrlPr>
              </m:sSubPr>
              <m:e>
                <m:r>
                  <w:rPr>
                    <w:rFonts w:ascii="Cambria Math" w:hAnsi="Cambria Math" w:cs="Arial"/>
                  </w:rPr>
                  <m:t>η</m:t>
                </m:r>
              </m:e>
              <m:sub>
                <m:r>
                  <w:rPr>
                    <w:rFonts w:ascii="Cambria Math" w:hAnsi="Cambria Math" w:cs="Arial"/>
                    <w:szCs w:val="20"/>
                  </w:rPr>
                  <m:t>base</m:t>
                </m:r>
              </m:sub>
            </m:sSub>
          </m:den>
        </m:f>
        <m:r>
          <w:rPr>
            <w:rFonts w:ascii="Cambria Math" w:hAnsi="Cambria Math" w:cs="Arial"/>
            <w:szCs w:val="20"/>
          </w:rPr>
          <m:t xml:space="preserve">× </m:t>
        </m:r>
        <m:sSub>
          <m:sSubPr>
            <m:ctrlPr>
              <w:rPr>
                <w:rFonts w:ascii="Cambria Math" w:hAnsi="Cambria Math" w:cs="Arial"/>
                <w:i w:val="0"/>
                <w:szCs w:val="20"/>
              </w:rPr>
            </m:ctrlPr>
          </m:sSubPr>
          <m:e>
            <m:r>
              <w:rPr>
                <w:rFonts w:ascii="Cambria Math" w:hAnsi="Cambria Math" w:cs="Arial"/>
                <w:szCs w:val="20"/>
              </w:rPr>
              <m:t>a</m:t>
            </m:r>
          </m:e>
          <m:sub>
            <m:r>
              <w:rPr>
                <w:rFonts w:ascii="Cambria Math" w:hAnsi="Cambria Math" w:cs="Arial"/>
                <w:szCs w:val="20"/>
              </w:rPr>
              <m:t>cool</m:t>
            </m:r>
          </m:sub>
        </m:sSub>
        <m:r>
          <w:rPr>
            <w:rFonts w:ascii="Cambria Math" w:hAnsi="Cambria Math" w:cs="Arial"/>
            <w:szCs w:val="20"/>
          </w:rPr>
          <m:t>× overlap</m:t>
        </m:r>
      </m:oMath>
    </w:p>
    <w:p w14:paraId="1C9E17AB" w14:textId="77777777" w:rsidR="00EA5BBF" w:rsidRPr="001570EA" w:rsidRDefault="00EA5BBF" w:rsidP="00EA5BBF">
      <w:pPr>
        <w:pStyle w:val="Equation"/>
        <w:tabs>
          <w:tab w:val="clear" w:pos="720"/>
        </w:tabs>
        <w:rPr>
          <w:rFonts w:cs="Arial"/>
          <w:szCs w:val="20"/>
        </w:rPr>
      </w:pPr>
    </w:p>
    <w:p w14:paraId="77FEBE07" w14:textId="77777777" w:rsidR="00EA5BBF" w:rsidRPr="001570EA" w:rsidRDefault="00EA5BBF" w:rsidP="00EA5BBF">
      <w:pPr>
        <w:pStyle w:val="Equation"/>
        <w:tabs>
          <w:tab w:val="clear" w:pos="720"/>
        </w:tabs>
        <w:rPr>
          <w:rFonts w:cs="Arial"/>
          <w:szCs w:val="20"/>
        </w:rPr>
      </w:pPr>
      <w:r w:rsidRPr="001570EA">
        <w:rPr>
          <w:rFonts w:ascii="Symbol" w:eastAsia="Symbol" w:hAnsi="Symbol" w:cs="Symbol"/>
          <w:szCs w:val="20"/>
        </w:rPr>
        <w:t>D</w:t>
      </w:r>
      <w:r w:rsidRPr="001570EA">
        <w:rPr>
          <w:rFonts w:ascii="Cambria Math" w:hAnsi="Cambria Math" w:cs="Arial"/>
          <w:szCs w:val="20"/>
        </w:rPr>
        <w:t>kWh</w:t>
      </w:r>
      <w:r w:rsidRPr="001570EA">
        <w:rPr>
          <w:rFonts w:ascii="Cambria Math" w:hAnsi="Cambria Math" w:cs="Arial"/>
          <w:szCs w:val="20"/>
          <w:vertAlign w:val="subscript"/>
        </w:rPr>
        <w:t>heat</w:t>
      </w:r>
      <w:r w:rsidRPr="001570EA">
        <w:rPr>
          <w:rFonts w:cs="Arial"/>
          <w:szCs w:val="20"/>
        </w:rPr>
        <w:t xml:space="preserve"> </w:t>
      </w:r>
      <w:r w:rsidRPr="001570EA">
        <w:rPr>
          <w:rFonts w:cs="Arial"/>
          <w:szCs w:val="20"/>
        </w:rPr>
        <w:tab/>
      </w:r>
      <m:oMath>
        <m:r>
          <w:rPr>
            <w:rFonts w:ascii="Cambria Math" w:hAnsi="Cambria Math" w:cs="Arial"/>
            <w:szCs w:val="20"/>
          </w:rPr>
          <m:t xml:space="preserve">=Area of Window </m:t>
        </m:r>
        <m:sSup>
          <m:sSupPr>
            <m:ctrlPr>
              <w:rPr>
                <w:rFonts w:ascii="Cambria Math" w:hAnsi="Cambria Math" w:cs="Arial"/>
                <w:i w:val="0"/>
                <w:szCs w:val="20"/>
              </w:rPr>
            </m:ctrlPr>
          </m:sSupPr>
          <m:e>
            <m:r>
              <w:rPr>
                <w:rFonts w:ascii="Cambria Math" w:hAnsi="Cambria Math" w:cs="Arial"/>
                <w:szCs w:val="20"/>
              </w:rPr>
              <m:t>ft</m:t>
            </m:r>
          </m:e>
          <m:sup>
            <m:r>
              <w:rPr>
                <w:rFonts w:ascii="Cambria Math" w:hAnsi="Cambria Math" w:cs="Arial"/>
                <w:szCs w:val="20"/>
              </w:rPr>
              <m:t>2</m:t>
            </m:r>
          </m:sup>
        </m:sSup>
        <m:r>
          <w:rPr>
            <w:rFonts w:ascii="Cambria Math" w:hAnsi="Cambria Math" w:cs="Arial"/>
            <w:szCs w:val="20"/>
          </w:rPr>
          <m:t xml:space="preserve"> ×</m:t>
        </m:r>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rPr>
                  <m:t>η</m:t>
                </m:r>
              </m:e>
              <m:sub>
                <m:r>
                  <w:rPr>
                    <w:rFonts w:ascii="Cambria Math" w:hAnsi="Cambria Math" w:cs="Arial"/>
                    <w:szCs w:val="20"/>
                  </w:rPr>
                  <m:t>proto</m:t>
                </m:r>
              </m:sub>
            </m:sSub>
          </m:num>
          <m:den>
            <m:sSub>
              <m:sSubPr>
                <m:ctrlPr>
                  <w:rPr>
                    <w:rFonts w:ascii="Cambria Math" w:hAnsi="Cambria Math" w:cs="Arial"/>
                    <w:i w:val="0"/>
                    <w:szCs w:val="20"/>
                  </w:rPr>
                </m:ctrlPr>
              </m:sSubPr>
              <m:e>
                <m:r>
                  <w:rPr>
                    <w:rFonts w:ascii="Cambria Math" w:hAnsi="Cambria Math" w:cs="Arial"/>
                  </w:rPr>
                  <m:t>η</m:t>
                </m:r>
              </m:e>
              <m:sub>
                <m:r>
                  <w:rPr>
                    <w:rFonts w:ascii="Cambria Math" w:hAnsi="Cambria Math" w:cs="Arial"/>
                    <w:szCs w:val="20"/>
                  </w:rPr>
                  <m:t>base</m:t>
                </m:r>
              </m:sub>
            </m:sSub>
          </m:den>
        </m:f>
        <m:r>
          <w:rPr>
            <w:rFonts w:ascii="Cambria Math" w:hAnsi="Cambria Math" w:cs="Arial"/>
            <w:szCs w:val="20"/>
          </w:rPr>
          <m:t xml:space="preserve"> × </m:t>
        </m:r>
        <m:sSub>
          <m:sSubPr>
            <m:ctrlPr>
              <w:rPr>
                <w:rFonts w:ascii="Cambria Math" w:hAnsi="Cambria Math" w:cs="Arial"/>
                <w:i w:val="0"/>
                <w:szCs w:val="20"/>
              </w:rPr>
            </m:ctrlPr>
          </m:sSubPr>
          <m:e>
            <m:r>
              <w:rPr>
                <w:rFonts w:ascii="Cambria Math" w:hAnsi="Cambria Math" w:cs="Arial"/>
                <w:szCs w:val="20"/>
              </w:rPr>
              <m:t>a</m:t>
            </m:r>
          </m:e>
          <m:sub>
            <m:r>
              <w:rPr>
                <w:rFonts w:ascii="Cambria Math" w:hAnsi="Cambria Math" w:cs="Arial"/>
                <w:szCs w:val="20"/>
              </w:rPr>
              <m:t>heat</m:t>
            </m:r>
          </m:sub>
        </m:sSub>
        <m:r>
          <w:rPr>
            <w:rFonts w:ascii="Cambria Math" w:hAnsi="Cambria Math" w:cs="Arial"/>
            <w:szCs w:val="20"/>
          </w:rPr>
          <m:t>× overlap</m:t>
        </m:r>
      </m:oMath>
    </w:p>
    <w:p w14:paraId="02CD1A9E" w14:textId="77777777" w:rsidR="00EA5BBF" w:rsidRPr="001570EA" w:rsidRDefault="00EA5BBF" w:rsidP="00EA5BBF">
      <w:pPr>
        <w:pStyle w:val="Equation"/>
        <w:tabs>
          <w:tab w:val="clear" w:pos="720"/>
        </w:tabs>
        <w:rPr>
          <w:rFonts w:cs="Arial"/>
          <w:szCs w:val="20"/>
        </w:rPr>
      </w:pPr>
    </w:p>
    <w:p w14:paraId="1182CD7C" w14:textId="77777777" w:rsidR="00EA5BBF" w:rsidRPr="001570EA" w:rsidRDefault="00EA5BBF" w:rsidP="00EA5BBF">
      <w:pPr>
        <w:pStyle w:val="Equation"/>
        <w:tabs>
          <w:tab w:val="clear" w:pos="720"/>
        </w:tabs>
        <w:rPr>
          <w:rFonts w:cs="Arial"/>
          <w:szCs w:val="20"/>
        </w:rPr>
      </w:pPr>
      <w:r w:rsidRPr="001570EA">
        <w:rPr>
          <w:rFonts w:ascii="Symbol" w:eastAsia="Symbol" w:hAnsi="Symbol" w:cs="Symbol"/>
          <w:szCs w:val="20"/>
        </w:rPr>
        <w:t>D</w:t>
      </w:r>
      <w:r w:rsidRPr="001570EA">
        <w:rPr>
          <w:rFonts w:ascii="Cambria Math" w:hAnsi="Cambria Math" w:cs="Arial"/>
          <w:szCs w:val="20"/>
        </w:rPr>
        <w:t>kW</w:t>
      </w:r>
      <w:r w:rsidRPr="001570EA">
        <w:rPr>
          <w:rFonts w:ascii="Cambria Math" w:hAnsi="Cambria Math" w:cs="Arial"/>
          <w:szCs w:val="20"/>
          <w:vertAlign w:val="subscript"/>
        </w:rPr>
        <w:t>summer</w:t>
      </w:r>
      <w:r w:rsidRPr="001570EA">
        <w:rPr>
          <w:rFonts w:cs="Arial"/>
          <w:szCs w:val="20"/>
        </w:rPr>
        <w:t xml:space="preserve"> </w:t>
      </w:r>
      <w:r w:rsidRPr="001570EA">
        <w:rPr>
          <w:rFonts w:cs="Arial"/>
          <w:szCs w:val="20"/>
        </w:rPr>
        <w:tab/>
      </w:r>
      <m:oMath>
        <m:r>
          <w:rPr>
            <w:rFonts w:ascii="Cambria Math" w:hAnsi="Cambria Math" w:cs="Arial"/>
            <w:szCs w:val="20"/>
          </w:rPr>
          <m:t>=</m:t>
        </m:r>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szCs w:val="20"/>
                  </w:rPr>
                  <m:t>∆kWh</m:t>
                </m:r>
              </m:e>
              <m:sub>
                <m:r>
                  <w:rPr>
                    <w:rFonts w:ascii="Cambria Math" w:hAnsi="Cambria Math" w:cs="Arial"/>
                    <w:szCs w:val="20"/>
                  </w:rPr>
                  <m:t>cool</m:t>
                </m:r>
              </m:sub>
            </m:sSub>
            <m:r>
              <w:rPr>
                <w:rFonts w:ascii="Cambria Math" w:hAnsi="Cambria Math" w:cs="Arial"/>
                <w:szCs w:val="20"/>
              </w:rPr>
              <m:t xml:space="preserve"> </m:t>
            </m:r>
          </m:num>
          <m:den>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cool</m:t>
                </m:r>
              </m:sub>
            </m:sSub>
          </m:den>
        </m:f>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CF</m:t>
            </m:r>
          </m:e>
          <m:sub>
            <m:r>
              <w:rPr>
                <w:rFonts w:ascii="Cambria Math" w:hAnsi="Cambria Math" w:cs="Arial"/>
                <w:szCs w:val="20"/>
              </w:rPr>
              <m:t>summer</m:t>
            </m:r>
          </m:sub>
        </m:sSub>
      </m:oMath>
    </w:p>
    <w:p w14:paraId="6211B65C" w14:textId="77777777" w:rsidR="00EA5BBF" w:rsidRPr="001570EA" w:rsidRDefault="00EA5BBF" w:rsidP="00EA5BBF"/>
    <w:p w14:paraId="5C8DCD9F" w14:textId="77777777" w:rsidR="00EA5BBF" w:rsidRPr="001570EA" w:rsidRDefault="00EA5BBF" w:rsidP="00EA5BBF">
      <w:pPr>
        <w:pStyle w:val="Equation"/>
        <w:tabs>
          <w:tab w:val="clear" w:pos="720"/>
        </w:tabs>
        <w:rPr>
          <w:rFonts w:cs="Arial"/>
          <w:szCs w:val="20"/>
        </w:rPr>
      </w:pPr>
      <w:r w:rsidRPr="001570EA">
        <w:rPr>
          <w:rFonts w:ascii="Symbol" w:eastAsia="Symbol" w:hAnsi="Symbol" w:cs="Symbol"/>
          <w:szCs w:val="20"/>
        </w:rPr>
        <w:t>D</w:t>
      </w:r>
      <w:r w:rsidRPr="001570EA">
        <w:rPr>
          <w:rFonts w:ascii="Cambria Math" w:hAnsi="Cambria Math" w:cs="Arial"/>
          <w:szCs w:val="20"/>
        </w:rPr>
        <w:t>kW</w:t>
      </w:r>
      <w:r w:rsidRPr="001570EA">
        <w:rPr>
          <w:rFonts w:ascii="Cambria Math" w:hAnsi="Cambria Math" w:cs="Arial"/>
          <w:szCs w:val="20"/>
          <w:vertAlign w:val="subscript"/>
        </w:rPr>
        <w:t>winter</w:t>
      </w:r>
      <w:r w:rsidRPr="001570EA">
        <w:rPr>
          <w:rFonts w:cs="Arial"/>
          <w:szCs w:val="20"/>
        </w:rPr>
        <w:t xml:space="preserve"> </w:t>
      </w:r>
      <w:r w:rsidRPr="001570EA">
        <w:rPr>
          <w:rFonts w:cs="Arial"/>
          <w:szCs w:val="20"/>
        </w:rPr>
        <w:tab/>
      </w:r>
      <m:oMath>
        <m:r>
          <w:rPr>
            <w:rFonts w:ascii="Cambria Math" w:hAnsi="Cambria Math" w:cs="Arial"/>
            <w:szCs w:val="20"/>
          </w:rPr>
          <m:t>=</m:t>
        </m:r>
        <m:f>
          <m:fPr>
            <m:ctrlPr>
              <w:rPr>
                <w:rFonts w:ascii="Cambria Math" w:hAnsi="Cambria Math" w:cs="Arial"/>
                <w:i w:val="0"/>
                <w:szCs w:val="20"/>
              </w:rPr>
            </m:ctrlPr>
          </m:fPr>
          <m:num>
            <m:sSub>
              <m:sSubPr>
                <m:ctrlPr>
                  <w:rPr>
                    <w:rFonts w:ascii="Cambria Math" w:hAnsi="Cambria Math" w:cs="Arial"/>
                    <w:i w:val="0"/>
                    <w:szCs w:val="20"/>
                  </w:rPr>
                </m:ctrlPr>
              </m:sSubPr>
              <m:e>
                <m:r>
                  <w:rPr>
                    <w:rFonts w:ascii="Cambria Math" w:hAnsi="Cambria Math" w:cs="Arial"/>
                    <w:szCs w:val="20"/>
                  </w:rPr>
                  <m:t>∆kWh</m:t>
                </m:r>
              </m:e>
              <m:sub>
                <m:r>
                  <w:rPr>
                    <w:rFonts w:ascii="Cambria Math" w:hAnsi="Cambria Math" w:cs="Arial"/>
                    <w:szCs w:val="20"/>
                  </w:rPr>
                  <m:t>heat</m:t>
                </m:r>
              </m:sub>
            </m:sSub>
            <m:r>
              <w:rPr>
                <w:rFonts w:ascii="Cambria Math" w:hAnsi="Cambria Math" w:cs="Arial"/>
                <w:szCs w:val="20"/>
              </w:rPr>
              <m:t xml:space="preserve"> </m:t>
            </m:r>
          </m:num>
          <m:den>
            <m:sSub>
              <m:sSubPr>
                <m:ctrlPr>
                  <w:rPr>
                    <w:rFonts w:ascii="Cambria Math" w:hAnsi="Cambria Math" w:cs="Arial"/>
                    <w:i w:val="0"/>
                    <w:szCs w:val="20"/>
                  </w:rPr>
                </m:ctrlPr>
              </m:sSubPr>
              <m:e>
                <m:r>
                  <w:rPr>
                    <w:rFonts w:ascii="Cambria Math" w:hAnsi="Cambria Math" w:cs="Arial"/>
                    <w:szCs w:val="20"/>
                  </w:rPr>
                  <m:t>EFLH</m:t>
                </m:r>
              </m:e>
              <m:sub>
                <m:r>
                  <w:rPr>
                    <w:rFonts w:ascii="Cambria Math" w:hAnsi="Cambria Math" w:cs="Arial"/>
                    <w:szCs w:val="20"/>
                  </w:rPr>
                  <m:t>heat</m:t>
                </m:r>
              </m:sub>
            </m:sSub>
          </m:den>
        </m:f>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CF</m:t>
            </m:r>
          </m:e>
          <m:sub>
            <m:r>
              <w:rPr>
                <w:rFonts w:ascii="Cambria Math" w:hAnsi="Cambria Math" w:cs="Arial"/>
                <w:szCs w:val="20"/>
              </w:rPr>
              <m:t>winter</m:t>
            </m:r>
          </m:sub>
        </m:sSub>
      </m:oMath>
    </w:p>
    <w:p w14:paraId="471643AC" w14:textId="77777777" w:rsidR="00EA5BBF" w:rsidRPr="001570EA" w:rsidRDefault="00EA5BBF" w:rsidP="00EA5BBF"/>
    <w:p w14:paraId="6513C2CB" w14:textId="39CF96DC" w:rsidR="0046176A" w:rsidRPr="001570EA" w:rsidRDefault="00EA5BBF" w:rsidP="0046176A">
      <w:pPr>
        <w:pStyle w:val="SubStyle"/>
        <w:spacing w:after="0"/>
        <w:rPr>
          <w:rFonts w:ascii="Arial" w:hAnsi="Arial" w:cs="Arial"/>
          <w:b w:val="0"/>
          <w:smallCaps w:val="0"/>
          <w:color w:val="auto"/>
          <w:spacing w:val="0"/>
        </w:rPr>
      </w:pPr>
      <w:r w:rsidRPr="001570EA">
        <w:rPr>
          <w:rFonts w:ascii="Arial" w:hAnsi="Arial" w:cs="Arial"/>
          <w:b w:val="0"/>
          <w:smallCaps w:val="0"/>
          <w:color w:val="auto"/>
          <w:spacing w:val="0"/>
        </w:rPr>
        <w:t>Energy savings depend on three components: a unit energy savings value (UES) coefficient (</w:t>
      </w:r>
      <m:oMath>
        <m:sSub>
          <m:sSubPr>
            <m:ctrlPr>
              <w:rPr>
                <w:rFonts w:ascii="Cambria Math" w:hAnsi="Cambria Math" w:cs="Arial"/>
                <w:b w:val="0"/>
                <w:smallCaps w:val="0"/>
                <w:color w:val="auto"/>
                <w:spacing w:val="0"/>
              </w:rPr>
            </m:ctrlPr>
          </m:sSubPr>
          <m:e>
            <m:r>
              <m:rPr>
                <m:sty m:val="b"/>
              </m:rPr>
              <w:rPr>
                <w:rFonts w:ascii="Cambria Math" w:hAnsi="Cambria Math" w:cs="Arial"/>
                <w:smallCaps w:val="0"/>
                <w:color w:val="auto"/>
                <w:spacing w:val="0"/>
              </w:rPr>
              <m:t>a</m:t>
            </m:r>
          </m:e>
          <m:sub>
            <m:r>
              <m:rPr>
                <m:sty m:val="b"/>
              </m:rPr>
              <w:rPr>
                <w:rFonts w:ascii="Cambria Math" w:hAnsi="Cambria Math" w:cs="Arial"/>
                <w:smallCaps w:val="0"/>
                <w:color w:val="auto"/>
                <w:spacing w:val="0"/>
              </w:rPr>
              <m:t>cool</m:t>
            </m:r>
          </m:sub>
        </m:sSub>
      </m:oMath>
      <w:r w:rsidRPr="001570EA">
        <w:rPr>
          <w:rFonts w:ascii="Arial" w:hAnsi="Arial" w:cs="Arial"/>
          <w:b w:val="0"/>
          <w:smallCaps w:val="0"/>
          <w:color w:val="auto"/>
          <w:spacing w:val="0"/>
        </w:rPr>
        <w:t xml:space="preserve"> or </w:t>
      </w:r>
      <m:oMath>
        <m:sSub>
          <m:sSubPr>
            <m:ctrlPr>
              <w:rPr>
                <w:rFonts w:ascii="Cambria Math" w:hAnsi="Cambria Math" w:cs="Arial"/>
                <w:b w:val="0"/>
                <w:smallCaps w:val="0"/>
                <w:color w:val="auto"/>
                <w:spacing w:val="0"/>
              </w:rPr>
            </m:ctrlPr>
          </m:sSubPr>
          <m:e>
            <m:r>
              <m:rPr>
                <m:sty m:val="b"/>
              </m:rPr>
              <w:rPr>
                <w:rFonts w:ascii="Cambria Math" w:hAnsi="Cambria Math" w:cs="Arial"/>
                <w:smallCaps w:val="0"/>
                <w:color w:val="auto"/>
                <w:spacing w:val="0"/>
              </w:rPr>
              <m:t>a</m:t>
            </m:r>
          </m:e>
          <m:sub>
            <m:r>
              <m:rPr>
                <m:sty m:val="b"/>
              </m:rPr>
              <w:rPr>
                <w:rFonts w:ascii="Cambria Math" w:hAnsi="Cambria Math" w:cs="Arial"/>
                <w:smallCaps w:val="0"/>
                <w:color w:val="auto"/>
                <w:spacing w:val="0"/>
              </w:rPr>
              <m:t>heat</m:t>
            </m:r>
          </m:sub>
        </m:sSub>
      </m:oMath>
      <w:r w:rsidRPr="001570EA">
        <w:rPr>
          <w:rFonts w:ascii="Arial" w:hAnsi="Arial" w:cs="Arial"/>
          <w:b w:val="0"/>
          <w:smallCaps w:val="0"/>
          <w:color w:val="auto"/>
          <w:spacing w:val="0"/>
        </w:rPr>
        <w:t>) developed from prototype home energy models, the ratio of the efficiency of the cooling and heating equipment in the home to the values in the prototype home (</w:t>
      </w:r>
      <m:oMath>
        <m:f>
          <m:fPr>
            <m:ctrlPr>
              <w:rPr>
                <w:rFonts w:ascii="Cambria Math" w:hAnsi="Cambria Math" w:cs="Arial"/>
                <w:b w:val="0"/>
                <w:smallCaps w:val="0"/>
                <w:color w:val="auto"/>
                <w:spacing w:val="0"/>
              </w:rPr>
            </m:ctrlPr>
          </m:fPr>
          <m:num>
            <m:sSub>
              <m:sSubPr>
                <m:ctrlPr>
                  <w:rPr>
                    <w:rFonts w:ascii="Cambria Math" w:hAnsi="Cambria Math" w:cs="Arial"/>
                    <w:b w:val="0"/>
                    <w:smallCaps w:val="0"/>
                    <w:color w:val="auto"/>
                    <w:spacing w:val="0"/>
                  </w:rPr>
                </m:ctrlPr>
              </m:sSubPr>
              <m:e>
                <m:r>
                  <m:rPr>
                    <m:sty m:val="bi"/>
                  </m:rPr>
                  <w:rPr>
                    <w:rFonts w:ascii="Cambria Math" w:hAnsi="Cambria Math" w:cs="Arial"/>
                    <w:smallCaps w:val="0"/>
                    <w:color w:val="auto"/>
                    <w:spacing w:val="0"/>
                  </w:rPr>
                  <m:t>η</m:t>
                </m:r>
              </m:e>
              <m:sub>
                <m:r>
                  <m:rPr>
                    <m:sty m:val="bi"/>
                  </m:rPr>
                  <w:rPr>
                    <w:rFonts w:ascii="Cambria Math" w:hAnsi="Cambria Math" w:cs="Arial"/>
                    <w:smallCaps w:val="0"/>
                    <w:color w:val="auto"/>
                    <w:spacing w:val="0"/>
                  </w:rPr>
                  <m:t>proto</m:t>
                </m:r>
              </m:sub>
            </m:sSub>
          </m:num>
          <m:den>
            <m:sSub>
              <m:sSubPr>
                <m:ctrlPr>
                  <w:rPr>
                    <w:rFonts w:ascii="Cambria Math" w:hAnsi="Cambria Math" w:cs="Arial"/>
                    <w:b w:val="0"/>
                    <w:smallCaps w:val="0"/>
                    <w:color w:val="auto"/>
                    <w:spacing w:val="0"/>
                  </w:rPr>
                </m:ctrlPr>
              </m:sSubPr>
              <m:e>
                <m:r>
                  <m:rPr>
                    <m:sty m:val="bi"/>
                  </m:rPr>
                  <w:rPr>
                    <w:rFonts w:ascii="Cambria Math" w:hAnsi="Cambria Math" w:cs="Arial"/>
                    <w:smallCaps w:val="0"/>
                    <w:color w:val="auto"/>
                    <w:spacing w:val="0"/>
                  </w:rPr>
                  <m:t>η</m:t>
                </m:r>
              </m:e>
              <m:sub>
                <m:r>
                  <m:rPr>
                    <m:sty m:val="bi"/>
                  </m:rPr>
                  <w:rPr>
                    <w:rFonts w:ascii="Cambria Math" w:hAnsi="Cambria Math" w:cs="Arial"/>
                    <w:smallCaps w:val="0"/>
                    <w:color w:val="auto"/>
                    <w:spacing w:val="0"/>
                  </w:rPr>
                  <m:t>base</m:t>
                </m:r>
              </m:sub>
            </m:sSub>
          </m:den>
        </m:f>
      </m:oMath>
      <w:r w:rsidRPr="001570EA">
        <w:rPr>
          <w:rFonts w:ascii="Arial" w:hAnsi="Arial" w:cs="Arial"/>
          <w:b w:val="0"/>
          <w:smallCaps w:val="0"/>
          <w:color w:val="auto"/>
          <w:spacing w:val="0"/>
        </w:rPr>
        <w:t xml:space="preserve">), and eligible window area. To calculate energy savings, look up the efficiency value for the applicable equipment type in </w:t>
      </w:r>
      <w:r w:rsidRPr="001570EA">
        <w:rPr>
          <w:rFonts w:ascii="Arial" w:hAnsi="Arial" w:cs="Arial"/>
          <w:b w:val="0"/>
          <w:smallCaps w:val="0"/>
          <w:color w:val="auto"/>
          <w:spacing w:val="0"/>
        </w:rPr>
        <w:fldChar w:fldCharType="begin"/>
      </w:r>
      <w:r w:rsidRPr="001570EA">
        <w:rPr>
          <w:rFonts w:ascii="Arial" w:hAnsi="Arial" w:cs="Arial"/>
          <w:b w:val="0"/>
          <w:smallCaps w:val="0"/>
          <w:color w:val="auto"/>
          <w:spacing w:val="0"/>
        </w:rPr>
        <w:instrText xml:space="preserve"> REF _Ref154048449 \h </w:instrText>
      </w:r>
      <w:r w:rsidR="00BC4400" w:rsidRPr="001570EA">
        <w:rPr>
          <w:rFonts w:ascii="Arial" w:hAnsi="Arial" w:cs="Arial"/>
          <w:b w:val="0"/>
          <w:smallCaps w:val="0"/>
          <w:color w:val="auto"/>
          <w:spacing w:val="0"/>
        </w:rPr>
        <w:instrText xml:space="preserve"> \* MERGEFORMAT </w:instrText>
      </w:r>
      <w:r w:rsidRPr="001570EA">
        <w:rPr>
          <w:rFonts w:ascii="Arial" w:hAnsi="Arial" w:cs="Arial"/>
          <w:b w:val="0"/>
          <w:smallCaps w:val="0"/>
          <w:color w:val="auto"/>
          <w:spacing w:val="0"/>
        </w:rPr>
      </w:r>
      <w:r w:rsidRPr="001570EA">
        <w:rPr>
          <w:rFonts w:ascii="Arial" w:hAnsi="Arial" w:cs="Arial"/>
          <w:b w:val="0"/>
          <w:smallCaps w:val="0"/>
          <w:color w:val="auto"/>
          <w:spacing w:val="0"/>
        </w:rPr>
        <w:fldChar w:fldCharType="separate"/>
      </w:r>
      <w:r w:rsidR="00234C6C" w:rsidRPr="001570EA">
        <w:rPr>
          <w:rFonts w:ascii="Arial" w:hAnsi="Arial" w:cs="Arial"/>
          <w:b w:val="0"/>
          <w:smallCaps w:val="0"/>
          <w:color w:val="auto"/>
          <w:spacing w:val="0"/>
        </w:rPr>
        <w:t>Table 2</w:t>
      </w:r>
      <w:r w:rsidR="00234C6C" w:rsidRPr="001570EA">
        <w:rPr>
          <w:rFonts w:ascii="Arial" w:hAnsi="Arial" w:cs="Arial"/>
          <w:b w:val="0"/>
          <w:smallCaps w:val="0"/>
          <w:color w:val="auto"/>
          <w:spacing w:val="0"/>
        </w:rPr>
        <w:noBreakHyphen/>
        <w:t>151</w:t>
      </w:r>
      <w:r w:rsidRPr="001570EA">
        <w:rPr>
          <w:rFonts w:ascii="Arial" w:hAnsi="Arial" w:cs="Arial"/>
          <w:b w:val="0"/>
          <w:smallCaps w:val="0"/>
          <w:color w:val="auto"/>
          <w:spacing w:val="0"/>
        </w:rPr>
        <w:fldChar w:fldCharType="end"/>
      </w:r>
      <w:r w:rsidRPr="001570EA">
        <w:rPr>
          <w:rFonts w:ascii="Arial" w:hAnsi="Arial" w:cs="Arial"/>
          <w:b w:val="0"/>
          <w:smallCaps w:val="0"/>
          <w:color w:val="auto"/>
          <w:spacing w:val="0"/>
        </w:rPr>
        <w:t xml:space="preserve">. This is </w:t>
      </w:r>
      <m:oMath>
        <m:sSub>
          <m:sSubPr>
            <m:ctrlPr>
              <w:rPr>
                <w:rFonts w:ascii="Cambria Math" w:hAnsi="Cambria Math" w:cs="Arial"/>
                <w:b w:val="0"/>
                <w:smallCaps w:val="0"/>
                <w:color w:val="auto"/>
                <w:spacing w:val="0"/>
              </w:rPr>
            </m:ctrlPr>
          </m:sSubPr>
          <m:e>
            <m:r>
              <m:rPr>
                <m:sty m:val="bi"/>
              </m:rPr>
              <w:rPr>
                <w:rFonts w:ascii="Cambria Math" w:hAnsi="Cambria Math" w:cs="Arial"/>
                <w:smallCaps w:val="0"/>
                <w:color w:val="auto"/>
                <w:spacing w:val="0"/>
              </w:rPr>
              <m:t>η</m:t>
            </m:r>
          </m:e>
          <m:sub>
            <m:r>
              <m:rPr>
                <m:sty m:val="bi"/>
              </m:rPr>
              <w:rPr>
                <w:rFonts w:ascii="Cambria Math" w:hAnsi="Cambria Math" w:cs="Arial"/>
                <w:smallCaps w:val="0"/>
                <w:color w:val="auto"/>
                <w:spacing w:val="0"/>
              </w:rPr>
              <m:t>proto</m:t>
            </m:r>
          </m:sub>
        </m:sSub>
      </m:oMath>
      <w:r w:rsidRPr="001570EA">
        <w:rPr>
          <w:rFonts w:ascii="Arial" w:hAnsi="Arial" w:cs="Arial"/>
          <w:b w:val="0"/>
          <w:smallCaps w:val="0"/>
          <w:color w:val="auto"/>
          <w:spacing w:val="0"/>
        </w:rPr>
        <w:t xml:space="preserve">. For </w:t>
      </w:r>
      <m:oMath>
        <m:sSub>
          <m:sSubPr>
            <m:ctrlPr>
              <w:rPr>
                <w:rFonts w:ascii="Cambria Math" w:hAnsi="Cambria Math" w:cs="Arial"/>
                <w:b w:val="0"/>
                <w:smallCaps w:val="0"/>
                <w:color w:val="auto"/>
                <w:spacing w:val="0"/>
              </w:rPr>
            </m:ctrlPr>
          </m:sSubPr>
          <m:e>
            <m:r>
              <m:rPr>
                <m:sty m:val="bi"/>
              </m:rPr>
              <w:rPr>
                <w:rFonts w:ascii="Cambria Math" w:hAnsi="Cambria Math" w:cs="Arial"/>
                <w:smallCaps w:val="0"/>
                <w:color w:val="auto"/>
                <w:spacing w:val="0"/>
              </w:rPr>
              <m:t>η</m:t>
            </m:r>
          </m:e>
          <m:sub>
            <m:r>
              <m:rPr>
                <m:sty m:val="bi"/>
              </m:rPr>
              <w:rPr>
                <w:rFonts w:ascii="Cambria Math" w:hAnsi="Cambria Math" w:cs="Arial"/>
                <w:smallCaps w:val="0"/>
                <w:color w:val="auto"/>
                <w:spacing w:val="0"/>
              </w:rPr>
              <m:t>base</m:t>
            </m:r>
          </m:sub>
        </m:sSub>
      </m:oMath>
      <w:r w:rsidRPr="001570EA">
        <w:rPr>
          <w:rFonts w:ascii="Arial" w:hAnsi="Arial" w:cs="Arial"/>
          <w:b w:val="0"/>
          <w:smallCaps w:val="0"/>
          <w:color w:val="auto"/>
          <w:spacing w:val="0"/>
        </w:rPr>
        <w:t xml:space="preserve">, use the corresponding value for the equipment in the home, or the default value of </w:t>
      </w:r>
      <m:oMath>
        <m:sSub>
          <m:sSubPr>
            <m:ctrlPr>
              <w:rPr>
                <w:rFonts w:ascii="Cambria Math" w:hAnsi="Cambria Math" w:cs="Arial"/>
                <w:b w:val="0"/>
                <w:smallCaps w:val="0"/>
                <w:color w:val="auto"/>
                <w:spacing w:val="0"/>
              </w:rPr>
            </m:ctrlPr>
          </m:sSubPr>
          <m:e>
            <m:r>
              <m:rPr>
                <m:sty m:val="bi"/>
              </m:rPr>
              <w:rPr>
                <w:rFonts w:ascii="Cambria Math" w:hAnsi="Cambria Math" w:cs="Arial"/>
                <w:smallCaps w:val="0"/>
                <w:color w:val="auto"/>
                <w:spacing w:val="0"/>
              </w:rPr>
              <m:t>η</m:t>
            </m:r>
          </m:e>
          <m:sub>
            <m:r>
              <m:rPr>
                <m:sty m:val="bi"/>
              </m:rPr>
              <w:rPr>
                <w:rFonts w:ascii="Cambria Math" w:hAnsi="Cambria Math" w:cs="Arial"/>
                <w:smallCaps w:val="0"/>
                <w:color w:val="auto"/>
                <w:spacing w:val="0"/>
              </w:rPr>
              <m:t>proto</m:t>
            </m:r>
          </m:sub>
        </m:sSub>
      </m:oMath>
      <w:r w:rsidRPr="001570EA">
        <w:rPr>
          <w:rFonts w:ascii="Arial" w:hAnsi="Arial" w:cs="Arial"/>
          <w:b w:val="0"/>
          <w:smallCaps w:val="0"/>
          <w:color w:val="auto"/>
          <w:spacing w:val="0"/>
        </w:rPr>
        <w:t xml:space="preserve"> (i.e., a ratio of 1). Calculate the ratio. Then look up the UES (a) for the correct equipment type and climate region in </w:t>
      </w:r>
      <w:r w:rsidR="00BC4400" w:rsidRPr="001570EA">
        <w:rPr>
          <w:rFonts w:ascii="Arial" w:hAnsi="Arial" w:cs="Arial"/>
          <w:b w:val="0"/>
          <w:smallCaps w:val="0"/>
          <w:color w:val="auto"/>
          <w:spacing w:val="0"/>
        </w:rPr>
        <w:fldChar w:fldCharType="begin"/>
      </w:r>
      <w:r w:rsidR="00BC4400" w:rsidRPr="001570EA">
        <w:rPr>
          <w:rFonts w:ascii="Arial" w:hAnsi="Arial" w:cs="Arial"/>
          <w:b w:val="0"/>
          <w:smallCaps w:val="0"/>
          <w:color w:val="auto"/>
          <w:spacing w:val="0"/>
        </w:rPr>
        <w:instrText xml:space="preserve"> REF _Ref163829685 \h  \* MERGEFORMAT </w:instrText>
      </w:r>
      <w:r w:rsidR="00BC4400" w:rsidRPr="001570EA">
        <w:rPr>
          <w:rFonts w:ascii="Arial" w:hAnsi="Arial" w:cs="Arial"/>
          <w:b w:val="0"/>
          <w:smallCaps w:val="0"/>
          <w:color w:val="auto"/>
          <w:spacing w:val="0"/>
        </w:rPr>
      </w:r>
      <w:r w:rsidR="00BC4400" w:rsidRPr="001570EA">
        <w:rPr>
          <w:rFonts w:ascii="Arial" w:hAnsi="Arial" w:cs="Arial"/>
          <w:b w:val="0"/>
          <w:smallCaps w:val="0"/>
          <w:color w:val="auto"/>
          <w:spacing w:val="0"/>
        </w:rPr>
        <w:fldChar w:fldCharType="separate"/>
      </w:r>
      <w:r w:rsidR="00234C6C" w:rsidRPr="001570EA">
        <w:rPr>
          <w:rFonts w:ascii="Arial" w:hAnsi="Arial" w:cs="Arial"/>
          <w:b w:val="0"/>
          <w:smallCaps w:val="0"/>
          <w:color w:val="auto"/>
          <w:spacing w:val="0"/>
        </w:rPr>
        <w:t>Table 2</w:t>
      </w:r>
      <w:r w:rsidR="00234C6C" w:rsidRPr="001570EA">
        <w:rPr>
          <w:rFonts w:ascii="Arial" w:hAnsi="Arial" w:cs="Arial"/>
          <w:b w:val="0"/>
          <w:smallCaps w:val="0"/>
          <w:color w:val="auto"/>
          <w:spacing w:val="0"/>
        </w:rPr>
        <w:noBreakHyphen/>
        <w:t>150</w:t>
      </w:r>
      <w:r w:rsidR="00BC4400" w:rsidRPr="001570EA">
        <w:rPr>
          <w:rFonts w:ascii="Arial" w:hAnsi="Arial" w:cs="Arial"/>
          <w:b w:val="0"/>
          <w:smallCaps w:val="0"/>
          <w:color w:val="auto"/>
          <w:spacing w:val="0"/>
        </w:rPr>
        <w:fldChar w:fldCharType="end"/>
      </w:r>
      <w:r w:rsidR="0046176A" w:rsidRPr="001570EA">
        <w:rPr>
          <w:rFonts w:ascii="Arial" w:hAnsi="Arial" w:cs="Arial"/>
          <w:b w:val="0"/>
          <w:smallCaps w:val="0"/>
          <w:color w:val="auto"/>
          <w:spacing w:val="0"/>
        </w:rPr>
        <w:t>.</w:t>
      </w:r>
      <w:r w:rsidRPr="001570EA">
        <w:rPr>
          <w:rFonts w:ascii="Arial" w:hAnsi="Arial" w:cs="Arial"/>
          <w:b w:val="0"/>
          <w:smallCaps w:val="0"/>
          <w:color w:val="auto"/>
          <w:spacing w:val="0"/>
        </w:rPr>
        <w:t xml:space="preserve"> Multiply these values by the window area to get cooling or heating savings</w:t>
      </w:r>
      <w:r w:rsidR="0046176A" w:rsidRPr="001570EA">
        <w:rPr>
          <w:rFonts w:ascii="Arial" w:hAnsi="Arial" w:cs="Arial"/>
          <w:b w:val="0"/>
          <w:smallCaps w:val="0"/>
          <w:color w:val="auto"/>
          <w:spacing w:val="0"/>
        </w:rPr>
        <w:t>.</w:t>
      </w:r>
    </w:p>
    <w:p w14:paraId="32D0C11D" w14:textId="77777777" w:rsidR="0046176A" w:rsidRPr="001570EA" w:rsidRDefault="0046176A" w:rsidP="0046176A">
      <w:pPr>
        <w:pStyle w:val="SubStyle"/>
        <w:spacing w:after="0"/>
        <w:rPr>
          <w:rFonts w:ascii="Arial" w:hAnsi="Arial" w:cs="Arial"/>
          <w:b w:val="0"/>
          <w:smallCaps w:val="0"/>
          <w:color w:val="auto"/>
          <w:spacing w:val="0"/>
        </w:rPr>
      </w:pPr>
    </w:p>
    <w:p w14:paraId="105BDB49" w14:textId="6B86F0CC" w:rsidR="00EA5BBF" w:rsidRPr="001570EA" w:rsidRDefault="00EA5BBF" w:rsidP="0046176A">
      <w:pPr>
        <w:pStyle w:val="SubStyle"/>
        <w:spacing w:after="0"/>
        <w:rPr>
          <w:rFonts w:ascii="Arial" w:hAnsi="Arial" w:cs="Arial"/>
          <w:b w:val="0"/>
          <w:smallCaps w:val="0"/>
          <w:color w:val="auto"/>
          <w:spacing w:val="0"/>
        </w:rPr>
      </w:pPr>
      <w:r w:rsidRPr="001570EA">
        <w:rPr>
          <w:rFonts w:ascii="Arial" w:hAnsi="Arial" w:cs="Arial"/>
          <w:b w:val="0"/>
          <w:smallCaps w:val="0"/>
          <w:color w:val="auto"/>
          <w:spacing w:val="0"/>
        </w:rPr>
        <w:t>Non-centralized cooling systems such as room air conditioners and mini-splits include an additional factor representing the overlap between the fraction of a home’s conditioned floor area (CFA) served by these systems that also receive upgraded windows. For instance, if two bedrooms each representing 15% of CFA are cooled with room ACs, but only one of the room’s windows are upgraded, then overlap is 15%. If both bedrooms receive new windows, then overlap is 30%. (Upgraded windows in other parts of the home also reduce cooling load however, calculating their contributions is non-trivial. Consequently, these effects are omitted for simplicity and to allow for conservative results when an imprecise overlap is used.)</w:t>
      </w:r>
    </w:p>
    <w:p w14:paraId="2EF83399" w14:textId="77777777" w:rsidR="00EA5BBF" w:rsidRPr="001570EA" w:rsidRDefault="00EA5BBF" w:rsidP="00EA5BBF">
      <w:pPr>
        <w:keepNext/>
        <w:keepLines/>
      </w:pPr>
    </w:p>
    <w:p w14:paraId="02E03147" w14:textId="77777777" w:rsidR="00EA5BBF" w:rsidRPr="001570EA" w:rsidRDefault="00EA5BBF" w:rsidP="00EA5BBF">
      <w:pPr>
        <w:pStyle w:val="SubStyle"/>
        <w:keepNext/>
        <w:keepLines/>
      </w:pPr>
      <w:r w:rsidRPr="001570EA">
        <w:t>Definition of Terms</w:t>
      </w:r>
    </w:p>
    <w:p w14:paraId="6DCF2936" w14:textId="2DB7AD8C" w:rsidR="00EA5BBF" w:rsidRPr="001570EA" w:rsidRDefault="00EA5BBF" w:rsidP="00EA5BBF">
      <w:pPr>
        <w:pStyle w:val="Caption"/>
      </w:pPr>
      <w:bookmarkStart w:id="1194" w:name="_Toc377465532"/>
      <w:bookmarkStart w:id="1195" w:name="_Toc4759836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149</w:t>
      </w:r>
      <w:r w:rsidR="002E093A" w:rsidRPr="001570EA">
        <w:fldChar w:fldCharType="end"/>
      </w:r>
      <w:r w:rsidRPr="001570EA">
        <w:t>: Terms</w:t>
      </w:r>
      <w:r w:rsidRPr="001570EA">
        <w:rPr>
          <w:rFonts w:cs="Arial"/>
        </w:rPr>
        <w:t xml:space="preserve">, Values, and References </w:t>
      </w:r>
      <w:r w:rsidRPr="001570EA">
        <w:t>for ENERGY STAR Windows</w:t>
      </w:r>
      <w:bookmarkEnd w:id="1194"/>
      <w:bookmarkEnd w:id="1195"/>
    </w:p>
    <w:tbl>
      <w:tblPr>
        <w:tblW w:w="8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tblCellMar>
        <w:tblLook w:val="0000" w:firstRow="0" w:lastRow="0" w:firstColumn="0" w:lastColumn="0" w:noHBand="0" w:noVBand="0"/>
      </w:tblPr>
      <w:tblGrid>
        <w:gridCol w:w="4045"/>
        <w:gridCol w:w="1008"/>
        <w:gridCol w:w="2880"/>
        <w:gridCol w:w="877"/>
      </w:tblGrid>
      <w:tr w:rsidR="00EA5BBF" w:rsidRPr="001570EA" w14:paraId="72D6F328" w14:textId="77777777">
        <w:trPr>
          <w:cantSplit/>
          <w:trHeight w:val="317"/>
          <w:tblHeader/>
        </w:trPr>
        <w:tc>
          <w:tcPr>
            <w:tcW w:w="4045" w:type="dxa"/>
            <w:shd w:val="clear" w:color="auto" w:fill="BFBFBF"/>
            <w:vAlign w:val="center"/>
          </w:tcPr>
          <w:p w14:paraId="3F6CF435" w14:textId="77777777" w:rsidR="00EA5BBF" w:rsidRPr="001570EA" w:rsidRDefault="00EA5BBF">
            <w:pPr>
              <w:pStyle w:val="TableCell"/>
              <w:spacing w:before="60" w:after="60"/>
              <w:jc w:val="left"/>
              <w:rPr>
                <w:b/>
              </w:rPr>
            </w:pPr>
            <w:r w:rsidRPr="001570EA">
              <w:rPr>
                <w:b/>
              </w:rPr>
              <w:t>Term</w:t>
            </w:r>
          </w:p>
        </w:tc>
        <w:tc>
          <w:tcPr>
            <w:tcW w:w="1008" w:type="dxa"/>
            <w:shd w:val="clear" w:color="auto" w:fill="BFBFBF"/>
            <w:vAlign w:val="center"/>
          </w:tcPr>
          <w:p w14:paraId="51E15BE9" w14:textId="77777777" w:rsidR="00EA5BBF" w:rsidRPr="001570EA" w:rsidRDefault="00EA5BBF">
            <w:pPr>
              <w:pStyle w:val="TableCell"/>
              <w:spacing w:before="60" w:after="60"/>
              <w:jc w:val="center"/>
              <w:rPr>
                <w:b/>
              </w:rPr>
            </w:pPr>
            <w:r w:rsidRPr="001570EA">
              <w:rPr>
                <w:b/>
              </w:rPr>
              <w:t>Unit</w:t>
            </w:r>
          </w:p>
        </w:tc>
        <w:tc>
          <w:tcPr>
            <w:tcW w:w="2880" w:type="dxa"/>
            <w:shd w:val="clear" w:color="auto" w:fill="BFBFBF"/>
            <w:vAlign w:val="center"/>
          </w:tcPr>
          <w:p w14:paraId="4D8FDE7F" w14:textId="77777777" w:rsidR="00EA5BBF" w:rsidRPr="001570EA" w:rsidRDefault="00EA5BBF">
            <w:pPr>
              <w:pStyle w:val="TableCell"/>
              <w:spacing w:before="60" w:after="60"/>
              <w:jc w:val="center"/>
              <w:rPr>
                <w:b/>
              </w:rPr>
            </w:pPr>
            <w:r w:rsidRPr="001570EA">
              <w:rPr>
                <w:b/>
              </w:rPr>
              <w:t>Value</w:t>
            </w:r>
          </w:p>
        </w:tc>
        <w:tc>
          <w:tcPr>
            <w:tcW w:w="877" w:type="dxa"/>
            <w:shd w:val="clear" w:color="auto" w:fill="BFBFBF"/>
            <w:vAlign w:val="center"/>
          </w:tcPr>
          <w:p w14:paraId="23579AB6" w14:textId="77777777" w:rsidR="00EA5BBF" w:rsidRPr="001570EA" w:rsidRDefault="00EA5BBF">
            <w:pPr>
              <w:pStyle w:val="TableCell"/>
              <w:spacing w:before="60" w:after="60"/>
              <w:jc w:val="center"/>
              <w:rPr>
                <w:b/>
              </w:rPr>
            </w:pPr>
            <w:r w:rsidRPr="001570EA">
              <w:rPr>
                <w:b/>
              </w:rPr>
              <w:t>Sources</w:t>
            </w:r>
          </w:p>
        </w:tc>
      </w:tr>
      <w:tr w:rsidR="00EA5BBF" w:rsidRPr="001570EA" w14:paraId="50522638" w14:textId="77777777">
        <w:trPr>
          <w:cantSplit/>
          <w:trHeight w:val="317"/>
        </w:trPr>
        <w:tc>
          <w:tcPr>
            <w:tcW w:w="4045" w:type="dxa"/>
            <w:vAlign w:val="center"/>
          </w:tcPr>
          <w:p w14:paraId="3B3B4AD4" w14:textId="77777777" w:rsidR="00EA5BBF" w:rsidRPr="001570EA" w:rsidRDefault="003B5E04">
            <w:pPr>
              <w:pStyle w:val="TableCell"/>
              <w:spacing w:before="60" w:after="60"/>
              <w:jc w:val="left"/>
            </w:pPr>
            <m:oMath>
              <m:sSub>
                <m:sSubPr>
                  <m:ctrlPr>
                    <w:rPr>
                      <w:rFonts w:ascii="Cambria Math" w:eastAsia="Calibri" w:hAnsi="Cambria Math" w:cs="Arial"/>
                      <w:i/>
                      <w:szCs w:val="18"/>
                    </w:rPr>
                  </m:ctrlPr>
                </m:sSubPr>
                <m:e>
                  <m:r>
                    <m:rPr>
                      <m:sty m:val="p"/>
                    </m:rPr>
                    <w:rPr>
                      <w:rFonts w:ascii="Cambria Math" w:hAnsi="Cambria Math" w:cs="Arial"/>
                    </w:rPr>
                    <m:t>a</m:t>
                  </m:r>
                </m:e>
                <m:sub>
                  <m:r>
                    <m:rPr>
                      <m:sty m:val="p"/>
                    </m:rPr>
                    <w:rPr>
                      <w:rFonts w:ascii="Cambria Math" w:hAnsi="Cambria Math" w:cs="Arial"/>
                    </w:rPr>
                    <m:t>cool</m:t>
                  </m:r>
                </m:sub>
              </m:sSub>
            </m:oMath>
            <w:r w:rsidR="00EA5BBF" w:rsidRPr="001570EA">
              <w:t>, Climate region dependent e</w:t>
            </w:r>
            <w:r w:rsidR="00EA5BBF" w:rsidRPr="001570EA">
              <w:rPr>
                <w:rFonts w:cs="Arial"/>
              </w:rPr>
              <w:t xml:space="preserve">lectricity savings for </w:t>
            </w:r>
            <w:r w:rsidR="00EA5BBF" w:rsidRPr="001570EA">
              <w:rPr>
                <w:rFonts w:cs="Arial"/>
                <w:szCs w:val="18"/>
              </w:rPr>
              <w:t>efficient glazing</w:t>
            </w:r>
          </w:p>
        </w:tc>
        <w:tc>
          <w:tcPr>
            <w:tcW w:w="1008" w:type="dxa"/>
            <w:vAlign w:val="center"/>
          </w:tcPr>
          <w:p w14:paraId="6CB2863F" w14:textId="77777777" w:rsidR="00EA5BBF" w:rsidRPr="001570EA" w:rsidRDefault="003B5E04">
            <w:pPr>
              <w:pStyle w:val="TableCell"/>
              <w:spacing w:before="60" w:after="60"/>
              <w:jc w:val="center"/>
            </w:pPr>
            <m:oMathPara>
              <m:oMath>
                <m:f>
                  <m:fPr>
                    <m:ctrlPr>
                      <w:rPr>
                        <w:rFonts w:ascii="Cambria Math" w:hAnsi="Cambria Math"/>
                        <w:i/>
                      </w:rPr>
                    </m:ctrlPr>
                  </m:fPr>
                  <m:num>
                    <m:r>
                      <w:rPr>
                        <w:rFonts w:ascii="Cambria Math" w:hAnsi="Cambria Math"/>
                      </w:rPr>
                      <m:t>kWh</m:t>
                    </m:r>
                  </m:num>
                  <m:den>
                    <m:sSup>
                      <m:sSupPr>
                        <m:ctrlPr>
                          <w:rPr>
                            <w:rFonts w:ascii="Cambria Math" w:hAnsi="Cambria Math"/>
                            <w:i/>
                          </w:rPr>
                        </m:ctrlPr>
                      </m:sSupPr>
                      <m:e>
                        <m:r>
                          <w:rPr>
                            <w:rFonts w:ascii="Cambria Math" w:hAnsi="Cambria Math"/>
                          </w:rPr>
                          <m:t>ft</m:t>
                        </m:r>
                      </m:e>
                      <m:sup>
                        <m:r>
                          <w:rPr>
                            <w:rFonts w:ascii="Cambria Math" w:hAnsi="Cambria Math"/>
                          </w:rPr>
                          <m:t>2</m:t>
                        </m:r>
                      </m:sup>
                    </m:sSup>
                  </m:den>
                </m:f>
              </m:oMath>
            </m:oMathPara>
          </w:p>
        </w:tc>
        <w:tc>
          <w:tcPr>
            <w:tcW w:w="2880" w:type="dxa"/>
            <w:vAlign w:val="center"/>
          </w:tcPr>
          <w:p w14:paraId="44286C75" w14:textId="77777777" w:rsidR="00234C6C" w:rsidRPr="001570EA" w:rsidRDefault="00EA5BBF" w:rsidP="00234C6C">
            <w:pPr>
              <w:pStyle w:val="TableCell"/>
              <w:spacing w:before="60" w:after="60"/>
              <w:jc w:val="center"/>
            </w:pPr>
            <w:r w:rsidRPr="001570EA">
              <w:rPr>
                <w:szCs w:val="18"/>
              </w:rPr>
              <w:t xml:space="preserve">See </w:t>
            </w:r>
            <w:r w:rsidRPr="001570EA">
              <w:rPr>
                <w:szCs w:val="18"/>
              </w:rPr>
              <w:fldChar w:fldCharType="begin"/>
            </w:r>
            <w:r w:rsidRPr="001570EA">
              <w:rPr>
                <w:szCs w:val="18"/>
              </w:rPr>
              <w:instrText xml:space="preserve"> REF _Ref532475125 \h  \* MERGEFORMAT </w:instrText>
            </w:r>
            <w:r w:rsidRPr="001570EA">
              <w:rPr>
                <w:szCs w:val="18"/>
              </w:rPr>
            </w:r>
            <w:r w:rsidRPr="001570EA">
              <w:rPr>
                <w:szCs w:val="18"/>
              </w:rPr>
              <w:fldChar w:fldCharType="separate"/>
            </w:r>
            <w:r w:rsidR="00234C6C" w:rsidRPr="001570EA">
              <w:rPr>
                <w:szCs w:val="18"/>
              </w:rPr>
              <w:t xml:space="preserve">Default </w:t>
            </w:r>
            <w:r w:rsidR="00234C6C" w:rsidRPr="001570EA">
              <w:rPr>
                <w:noProof/>
                <w:szCs w:val="18"/>
              </w:rPr>
              <w:t>Unit</w:t>
            </w:r>
            <w:r w:rsidR="00234C6C" w:rsidRPr="001570EA">
              <w:t xml:space="preserve"> Energy Savings Coefficient &amp; Equipment Efficiency Tables</w:t>
            </w:r>
          </w:p>
          <w:p w14:paraId="17D519EC" w14:textId="6892AE59" w:rsidR="00EA5BBF" w:rsidRPr="001570EA" w:rsidRDefault="00234C6C">
            <w:pPr>
              <w:pStyle w:val="TableCell"/>
              <w:spacing w:before="60" w:after="60"/>
              <w:jc w:val="center"/>
            </w:pPr>
            <w:r w:rsidRPr="001570EA">
              <w:t xml:space="preserve">Table </w:t>
            </w:r>
            <w:r w:rsidRPr="001570EA">
              <w:rPr>
                <w:noProof/>
              </w:rPr>
              <w:t>2</w:t>
            </w:r>
            <w:r w:rsidRPr="001570EA">
              <w:rPr>
                <w:noProof/>
              </w:rPr>
              <w:noBreakHyphen/>
              <w:t>150</w:t>
            </w:r>
            <w:r w:rsidR="00EA5BBF" w:rsidRPr="001570EA">
              <w:rPr>
                <w:szCs w:val="18"/>
              </w:rPr>
              <w:fldChar w:fldCharType="end"/>
            </w:r>
          </w:p>
        </w:tc>
        <w:tc>
          <w:tcPr>
            <w:tcW w:w="877" w:type="dxa"/>
            <w:vAlign w:val="center"/>
          </w:tcPr>
          <w:p w14:paraId="65503019" w14:textId="77777777" w:rsidR="00EA5BBF" w:rsidRPr="001570EA" w:rsidRDefault="00EA5BBF">
            <w:pPr>
              <w:pStyle w:val="TableCell"/>
              <w:spacing w:before="60" w:after="60"/>
              <w:jc w:val="center"/>
            </w:pPr>
            <w:r w:rsidRPr="001570EA">
              <w:t>3</w:t>
            </w:r>
          </w:p>
        </w:tc>
      </w:tr>
      <w:tr w:rsidR="00EA5BBF" w:rsidRPr="001570EA" w14:paraId="0873B810" w14:textId="77777777">
        <w:trPr>
          <w:cantSplit/>
          <w:trHeight w:val="317"/>
        </w:trPr>
        <w:tc>
          <w:tcPr>
            <w:tcW w:w="4045" w:type="dxa"/>
            <w:vAlign w:val="center"/>
          </w:tcPr>
          <w:p w14:paraId="7A9104D6" w14:textId="77777777" w:rsidR="00EA5BBF" w:rsidRPr="001570EA" w:rsidRDefault="003B5E04">
            <w:pPr>
              <w:pStyle w:val="TableCell"/>
              <w:spacing w:before="60" w:after="60"/>
              <w:jc w:val="left"/>
              <w:rPr>
                <w:szCs w:val="18"/>
              </w:rPr>
            </w:pPr>
            <m:oMath>
              <m:sSub>
                <m:sSubPr>
                  <m:ctrlPr>
                    <w:rPr>
                      <w:rFonts w:ascii="Cambria Math" w:eastAsia="Calibri" w:hAnsi="Cambria Math" w:cs="Arial"/>
                      <w:i/>
                      <w:szCs w:val="18"/>
                    </w:rPr>
                  </m:ctrlPr>
                </m:sSubPr>
                <m:e>
                  <m:r>
                    <w:rPr>
                      <w:rFonts w:ascii="Cambria Math" w:hAnsi="Cambria Math" w:cs="Arial"/>
                    </w:rPr>
                    <m:t>a</m:t>
                  </m:r>
                </m:e>
                <m:sub>
                  <m:r>
                    <w:rPr>
                      <w:rFonts w:ascii="Cambria Math" w:hAnsi="Cambria Math" w:cs="Arial"/>
                    </w:rPr>
                    <m:t>heat</m:t>
                  </m:r>
                </m:sub>
              </m:sSub>
            </m:oMath>
            <w:r w:rsidR="00EA5BBF" w:rsidRPr="001570EA">
              <w:t>, Climate region dependent heating e</w:t>
            </w:r>
            <w:r w:rsidR="00EA5BBF" w:rsidRPr="001570EA">
              <w:rPr>
                <w:rFonts w:cs="Arial"/>
              </w:rPr>
              <w:t xml:space="preserve">lectricity savings for </w:t>
            </w:r>
            <w:r w:rsidR="00EA5BBF" w:rsidRPr="001570EA">
              <w:rPr>
                <w:rFonts w:cs="Arial"/>
                <w:szCs w:val="18"/>
              </w:rPr>
              <w:t>efficient glazing</w:t>
            </w:r>
          </w:p>
        </w:tc>
        <w:tc>
          <w:tcPr>
            <w:tcW w:w="1008" w:type="dxa"/>
            <w:vAlign w:val="center"/>
          </w:tcPr>
          <w:p w14:paraId="2873856C" w14:textId="77777777" w:rsidR="00EA5BBF" w:rsidRPr="001570EA" w:rsidRDefault="003B5E04">
            <w:pPr>
              <w:pStyle w:val="TableCell"/>
              <w:spacing w:before="60" w:after="60"/>
              <w:jc w:val="center"/>
            </w:pPr>
            <m:oMathPara>
              <m:oMath>
                <m:f>
                  <m:fPr>
                    <m:ctrlPr>
                      <w:rPr>
                        <w:rFonts w:ascii="Cambria Math" w:hAnsi="Cambria Math"/>
                        <w:i/>
                      </w:rPr>
                    </m:ctrlPr>
                  </m:fPr>
                  <m:num>
                    <m:r>
                      <w:rPr>
                        <w:rFonts w:ascii="Cambria Math" w:hAnsi="Cambria Math"/>
                      </w:rPr>
                      <m:t>kWh</m:t>
                    </m:r>
                  </m:num>
                  <m:den>
                    <m:sSup>
                      <m:sSupPr>
                        <m:ctrlPr>
                          <w:rPr>
                            <w:rFonts w:ascii="Cambria Math" w:hAnsi="Cambria Math"/>
                            <w:i/>
                          </w:rPr>
                        </m:ctrlPr>
                      </m:sSupPr>
                      <m:e>
                        <m:r>
                          <w:rPr>
                            <w:rFonts w:ascii="Cambria Math" w:hAnsi="Cambria Math"/>
                          </w:rPr>
                          <m:t>ft</m:t>
                        </m:r>
                      </m:e>
                      <m:sup>
                        <m:r>
                          <w:rPr>
                            <w:rFonts w:ascii="Cambria Math" w:hAnsi="Cambria Math"/>
                          </w:rPr>
                          <m:t>2</m:t>
                        </m:r>
                      </m:sup>
                    </m:sSup>
                  </m:den>
                </m:f>
              </m:oMath>
            </m:oMathPara>
          </w:p>
        </w:tc>
        <w:tc>
          <w:tcPr>
            <w:tcW w:w="2880" w:type="dxa"/>
            <w:vAlign w:val="center"/>
          </w:tcPr>
          <w:p w14:paraId="5ACF1D7A" w14:textId="77777777" w:rsidR="00234C6C" w:rsidRPr="001570EA" w:rsidRDefault="00EA5BBF" w:rsidP="00234C6C">
            <w:pPr>
              <w:pStyle w:val="TableCell"/>
              <w:spacing w:before="60" w:after="60"/>
              <w:jc w:val="center"/>
            </w:pPr>
            <w:r w:rsidRPr="001570EA">
              <w:rPr>
                <w:szCs w:val="18"/>
              </w:rPr>
              <w:t xml:space="preserve">See </w:t>
            </w:r>
            <w:r w:rsidRPr="001570EA">
              <w:rPr>
                <w:szCs w:val="18"/>
              </w:rPr>
              <w:fldChar w:fldCharType="begin"/>
            </w:r>
            <w:r w:rsidRPr="001570EA">
              <w:rPr>
                <w:szCs w:val="18"/>
              </w:rPr>
              <w:instrText xml:space="preserve"> REF _Ref532475125 \h  \* MERGEFORMAT </w:instrText>
            </w:r>
            <w:r w:rsidRPr="001570EA">
              <w:rPr>
                <w:szCs w:val="18"/>
              </w:rPr>
            </w:r>
            <w:r w:rsidRPr="001570EA">
              <w:rPr>
                <w:szCs w:val="18"/>
              </w:rPr>
              <w:fldChar w:fldCharType="separate"/>
            </w:r>
            <w:r w:rsidR="00234C6C" w:rsidRPr="001570EA">
              <w:rPr>
                <w:szCs w:val="18"/>
              </w:rPr>
              <w:t xml:space="preserve">Default </w:t>
            </w:r>
            <w:r w:rsidR="00234C6C" w:rsidRPr="001570EA">
              <w:rPr>
                <w:noProof/>
                <w:szCs w:val="18"/>
              </w:rPr>
              <w:t>Unit</w:t>
            </w:r>
            <w:r w:rsidR="00234C6C" w:rsidRPr="001570EA">
              <w:t xml:space="preserve"> Energy Savings Coefficient &amp; Equipment Efficiency Tables</w:t>
            </w:r>
          </w:p>
          <w:p w14:paraId="72D2477D" w14:textId="710700EE" w:rsidR="00EA5BBF" w:rsidRPr="001570EA" w:rsidRDefault="00234C6C">
            <w:pPr>
              <w:pStyle w:val="TableCell"/>
              <w:spacing w:before="60" w:after="60"/>
              <w:jc w:val="center"/>
              <w:rPr>
                <w:szCs w:val="18"/>
              </w:rPr>
            </w:pPr>
            <w:r w:rsidRPr="001570EA">
              <w:t xml:space="preserve">Table </w:t>
            </w:r>
            <w:r w:rsidRPr="001570EA">
              <w:rPr>
                <w:noProof/>
              </w:rPr>
              <w:t>2</w:t>
            </w:r>
            <w:r w:rsidRPr="001570EA">
              <w:rPr>
                <w:noProof/>
              </w:rPr>
              <w:noBreakHyphen/>
              <w:t>150</w:t>
            </w:r>
            <w:r w:rsidR="00EA5BBF" w:rsidRPr="001570EA">
              <w:rPr>
                <w:szCs w:val="18"/>
              </w:rPr>
              <w:fldChar w:fldCharType="end"/>
            </w:r>
          </w:p>
        </w:tc>
        <w:tc>
          <w:tcPr>
            <w:tcW w:w="877" w:type="dxa"/>
            <w:vAlign w:val="center"/>
          </w:tcPr>
          <w:p w14:paraId="080D7CA7" w14:textId="77777777" w:rsidR="00EA5BBF" w:rsidRPr="001570EA" w:rsidRDefault="00EA5BBF">
            <w:pPr>
              <w:pStyle w:val="TableCell"/>
              <w:spacing w:before="60" w:after="60"/>
              <w:jc w:val="center"/>
            </w:pPr>
            <w:r w:rsidRPr="001570EA">
              <w:t>3</w:t>
            </w:r>
          </w:p>
        </w:tc>
      </w:tr>
      <w:tr w:rsidR="00EA5BBF" w:rsidRPr="001570EA" w14:paraId="1A1B54D3" w14:textId="77777777">
        <w:trPr>
          <w:cantSplit/>
          <w:trHeight w:val="317"/>
        </w:trPr>
        <w:tc>
          <w:tcPr>
            <w:tcW w:w="4045" w:type="dxa"/>
            <w:vAlign w:val="center"/>
          </w:tcPr>
          <w:p w14:paraId="5A68E36D" w14:textId="5CC4F7F1" w:rsidR="00EA5BBF" w:rsidRPr="001570EA" w:rsidRDefault="003B5E04">
            <w:pPr>
              <w:pStyle w:val="TableCell"/>
              <w:spacing w:before="60" w:after="60"/>
              <w:jc w:val="left"/>
            </w:pPr>
            <m:oMath>
              <m:sSub>
                <m:sSubPr>
                  <m:ctrlPr>
                    <w:rPr>
                      <w:rFonts w:ascii="Cambria Math" w:hAnsi="Cambria Math" w:cs="Arial"/>
                      <w:i/>
                    </w:rPr>
                  </m:ctrlPr>
                </m:sSubPr>
                <m:e>
                  <m:r>
                    <w:rPr>
                      <w:rFonts w:ascii="Cambria Math" w:hAnsi="Cambria Math" w:cs="Arial"/>
                    </w:rPr>
                    <m:t>η</m:t>
                  </m:r>
                </m:e>
                <m:sub>
                  <m:r>
                    <w:rPr>
                      <w:rFonts w:ascii="Cambria Math" w:hAnsi="Cambria Math" w:cs="Arial"/>
                    </w:rPr>
                    <m:t>base</m:t>
                  </m:r>
                </m:sub>
              </m:sSub>
            </m:oMath>
            <w:r w:rsidR="00EA5BBF" w:rsidRPr="001570EA">
              <w:t>, Baseline heating or cooling equipment efficiency</w:t>
            </w:r>
          </w:p>
        </w:tc>
        <w:tc>
          <w:tcPr>
            <w:tcW w:w="1008" w:type="dxa"/>
            <w:vAlign w:val="center"/>
          </w:tcPr>
          <w:p w14:paraId="04E9AD7C" w14:textId="77777777" w:rsidR="00EA5BBF" w:rsidRPr="001570EA" w:rsidRDefault="00EA5BBF">
            <w:pPr>
              <w:pStyle w:val="TableCell"/>
              <w:spacing w:before="60" w:after="60"/>
              <w:jc w:val="center"/>
            </w:pPr>
            <w:r w:rsidRPr="001570EA">
              <w:rPr>
                <w:rFonts w:eastAsia="Arial" w:cs="Arial"/>
              </w:rPr>
              <w:t>varies</w:t>
            </w:r>
          </w:p>
        </w:tc>
        <w:tc>
          <w:tcPr>
            <w:tcW w:w="2880" w:type="dxa"/>
            <w:vAlign w:val="center"/>
          </w:tcPr>
          <w:p w14:paraId="13B11C35" w14:textId="77777777" w:rsidR="00EA5BBF" w:rsidRPr="001570EA" w:rsidRDefault="00EA5BBF">
            <w:pPr>
              <w:pStyle w:val="TableCell"/>
              <w:jc w:val="center"/>
            </w:pPr>
            <w:r w:rsidRPr="001570EA">
              <w:t>Measured, EDC Data Gathering</w:t>
            </w:r>
          </w:p>
          <w:p w14:paraId="0C93CC8A" w14:textId="77777777" w:rsidR="00EA5BBF" w:rsidRPr="001570EA" w:rsidRDefault="00EA5BBF">
            <w:pPr>
              <w:pStyle w:val="TableCell"/>
              <w:spacing w:before="60" w:after="60"/>
              <w:jc w:val="center"/>
            </w:pPr>
            <w:r w:rsidRPr="001570EA">
              <w:t xml:space="preserve">Default: </w:t>
            </w:r>
            <m:oMath>
              <m:sSub>
                <m:sSubPr>
                  <m:ctrlPr>
                    <w:rPr>
                      <w:rFonts w:ascii="Cambria Math" w:hAnsi="Cambria Math" w:cs="Arial"/>
                      <w:i/>
                    </w:rPr>
                  </m:ctrlPr>
                </m:sSubPr>
                <m:e>
                  <m:r>
                    <w:rPr>
                      <w:rFonts w:ascii="Cambria Math" w:hAnsi="Cambria Math" w:cs="Arial"/>
                    </w:rPr>
                    <m:t>η</m:t>
                  </m:r>
                </m:e>
                <m:sub>
                  <m:r>
                    <w:rPr>
                      <w:rFonts w:ascii="Cambria Math" w:hAnsi="Cambria Math" w:cs="Arial"/>
                    </w:rPr>
                    <m:t>proto</m:t>
                  </m:r>
                </m:sub>
              </m:sSub>
            </m:oMath>
          </w:p>
        </w:tc>
        <w:tc>
          <w:tcPr>
            <w:tcW w:w="877" w:type="dxa"/>
            <w:vAlign w:val="center"/>
          </w:tcPr>
          <w:p w14:paraId="1D1A6EDA" w14:textId="77777777" w:rsidR="00EA5BBF" w:rsidRPr="001570EA" w:rsidRDefault="00EA5BBF">
            <w:pPr>
              <w:pStyle w:val="TableCell"/>
              <w:spacing w:before="60" w:after="60"/>
              <w:jc w:val="center"/>
            </w:pPr>
            <w:r w:rsidRPr="001570EA">
              <w:t>-</w:t>
            </w:r>
          </w:p>
        </w:tc>
      </w:tr>
      <w:tr w:rsidR="00EA5BBF" w:rsidRPr="001570EA" w14:paraId="648C2E0D" w14:textId="77777777">
        <w:trPr>
          <w:cantSplit/>
          <w:trHeight w:val="317"/>
        </w:trPr>
        <w:tc>
          <w:tcPr>
            <w:tcW w:w="4045" w:type="dxa"/>
            <w:vAlign w:val="center"/>
          </w:tcPr>
          <w:p w14:paraId="2591DBE6" w14:textId="0B68C8B9" w:rsidR="00EA5BBF" w:rsidRPr="001570EA" w:rsidRDefault="003B5E04">
            <w:pPr>
              <w:pStyle w:val="TableCell"/>
              <w:spacing w:before="60" w:after="60"/>
              <w:jc w:val="left"/>
            </w:pPr>
            <m:oMath>
              <m:sSub>
                <m:sSubPr>
                  <m:ctrlPr>
                    <w:rPr>
                      <w:rFonts w:ascii="Cambria Math" w:hAnsi="Cambria Math" w:cs="Arial"/>
                      <w:i/>
                    </w:rPr>
                  </m:ctrlPr>
                </m:sSubPr>
                <m:e>
                  <m:r>
                    <w:rPr>
                      <w:rFonts w:ascii="Cambria Math" w:hAnsi="Cambria Math" w:cs="Arial"/>
                    </w:rPr>
                    <m:t>η</m:t>
                  </m:r>
                </m:e>
                <m:sub>
                  <m:r>
                    <w:rPr>
                      <w:rFonts w:ascii="Cambria Math" w:hAnsi="Cambria Math" w:cs="Arial"/>
                    </w:rPr>
                    <m:t>proto</m:t>
                  </m:r>
                </m:sub>
              </m:sSub>
            </m:oMath>
            <w:r w:rsidR="00EA5BBF" w:rsidRPr="001570EA">
              <w:t>, Prototype heating or cooling equipment efficiency</w:t>
            </w:r>
          </w:p>
        </w:tc>
        <w:tc>
          <w:tcPr>
            <w:tcW w:w="1008" w:type="dxa"/>
            <w:vAlign w:val="center"/>
          </w:tcPr>
          <w:p w14:paraId="67ADD7B3" w14:textId="77777777" w:rsidR="00EA5BBF" w:rsidRPr="001570EA" w:rsidRDefault="00EA5BBF">
            <w:pPr>
              <w:pStyle w:val="TableCell"/>
              <w:spacing w:before="60" w:after="60"/>
              <w:jc w:val="center"/>
              <w:rPr>
                <w:i/>
              </w:rPr>
            </w:pPr>
            <w:r w:rsidRPr="001570EA">
              <w:rPr>
                <w:rFonts w:eastAsia="Arial" w:cs="Arial"/>
              </w:rPr>
              <w:t>varies</w:t>
            </w:r>
          </w:p>
        </w:tc>
        <w:tc>
          <w:tcPr>
            <w:tcW w:w="2880" w:type="dxa"/>
            <w:vAlign w:val="center"/>
          </w:tcPr>
          <w:p w14:paraId="1338E35E" w14:textId="32095530" w:rsidR="00EA5BBF" w:rsidRPr="001570EA" w:rsidRDefault="00EA5BBF">
            <w:pPr>
              <w:pStyle w:val="TableCell"/>
              <w:spacing w:before="60" w:after="60"/>
              <w:jc w:val="center"/>
            </w:pPr>
            <w:r w:rsidRPr="001570EA">
              <w:rPr>
                <w:szCs w:val="18"/>
              </w:rPr>
              <w:t xml:space="preserve">See </w:t>
            </w:r>
            <w:r w:rsidRPr="001570EA">
              <w:rPr>
                <w:szCs w:val="18"/>
              </w:rPr>
              <w:fldChar w:fldCharType="begin"/>
            </w:r>
            <w:r w:rsidRPr="001570EA">
              <w:rPr>
                <w:szCs w:val="18"/>
              </w:rPr>
              <w:instrText xml:space="preserve"> REF _Ref154048449 \h  \* MERGEFORMAT </w:instrText>
            </w:r>
            <w:r w:rsidRPr="001570EA">
              <w:rPr>
                <w:szCs w:val="18"/>
              </w:rPr>
            </w:r>
            <w:r w:rsidRPr="001570EA">
              <w:rPr>
                <w:szCs w:val="18"/>
              </w:rPr>
              <w:fldChar w:fldCharType="separate"/>
            </w:r>
            <w:r w:rsidR="00234C6C" w:rsidRPr="001570EA">
              <w:t>Table 2</w:t>
            </w:r>
            <w:r w:rsidR="00234C6C" w:rsidRPr="001570EA">
              <w:noBreakHyphen/>
              <w:t>151</w:t>
            </w:r>
            <w:r w:rsidRPr="001570EA">
              <w:rPr>
                <w:szCs w:val="18"/>
              </w:rPr>
              <w:fldChar w:fldCharType="end"/>
            </w:r>
          </w:p>
        </w:tc>
        <w:tc>
          <w:tcPr>
            <w:tcW w:w="877" w:type="dxa"/>
            <w:vAlign w:val="center"/>
          </w:tcPr>
          <w:p w14:paraId="087751DD" w14:textId="77777777" w:rsidR="00EA5BBF" w:rsidRPr="001570EA" w:rsidRDefault="00EA5BBF">
            <w:pPr>
              <w:pStyle w:val="TableCell"/>
              <w:spacing w:before="60" w:after="60"/>
              <w:jc w:val="center"/>
            </w:pPr>
            <w:r w:rsidRPr="001570EA">
              <w:rPr>
                <w:rFonts w:eastAsia="Arial Unicode MS" w:cs="Arial"/>
              </w:rPr>
              <w:t>4</w:t>
            </w:r>
          </w:p>
        </w:tc>
      </w:tr>
      <w:tr w:rsidR="00EA5BBF" w:rsidRPr="001570EA" w14:paraId="3F57D740" w14:textId="77777777">
        <w:trPr>
          <w:cantSplit/>
          <w:trHeight w:val="317"/>
        </w:trPr>
        <w:tc>
          <w:tcPr>
            <w:tcW w:w="4045" w:type="dxa"/>
            <w:vAlign w:val="center"/>
          </w:tcPr>
          <w:p w14:paraId="70CF8D59" w14:textId="77777777" w:rsidR="00EA5BBF" w:rsidRPr="001570EA" w:rsidRDefault="00EA5BBF">
            <w:pPr>
              <w:pStyle w:val="TableCell"/>
              <w:spacing w:before="60" w:after="60"/>
              <w:jc w:val="left"/>
            </w:pPr>
            <w:r w:rsidRPr="001570EA">
              <w:rPr>
                <w:i/>
                <w:iCs/>
              </w:rPr>
              <w:t>overlap</w:t>
            </w:r>
            <w:r w:rsidRPr="001570EA">
              <w:t>, Fraction of conditioned floor area served by HVAC with upgraded windows</w:t>
            </w:r>
          </w:p>
        </w:tc>
        <w:tc>
          <w:tcPr>
            <w:tcW w:w="1008" w:type="dxa"/>
            <w:vAlign w:val="center"/>
          </w:tcPr>
          <w:p w14:paraId="656E8D5C" w14:textId="77777777" w:rsidR="00EA5BBF" w:rsidRPr="001570EA" w:rsidRDefault="00EA5BBF">
            <w:pPr>
              <w:pStyle w:val="TableCell"/>
              <w:spacing w:before="60" w:after="60"/>
              <w:jc w:val="center"/>
              <w:rPr>
                <w:rFonts w:eastAsia="Arial" w:cs="Arial"/>
              </w:rPr>
            </w:pPr>
            <w:r w:rsidRPr="001570EA">
              <w:rPr>
                <w:rFonts w:eastAsia="Arial" w:cs="Arial"/>
                <w:i/>
                <w:iCs/>
              </w:rPr>
              <w:t>Proportion</w:t>
            </w:r>
          </w:p>
        </w:tc>
        <w:tc>
          <w:tcPr>
            <w:tcW w:w="2880" w:type="dxa"/>
            <w:vAlign w:val="center"/>
          </w:tcPr>
          <w:p w14:paraId="5D31F057" w14:textId="77777777" w:rsidR="00EA5BBF" w:rsidRPr="001570EA" w:rsidRDefault="00EA5BBF">
            <w:pPr>
              <w:pStyle w:val="TableCell"/>
              <w:jc w:val="center"/>
            </w:pPr>
            <w:r w:rsidRPr="001570EA">
              <w:t>Measured, EDC Data Gathering</w:t>
            </w:r>
          </w:p>
          <w:p w14:paraId="5FDE255A" w14:textId="77777777" w:rsidR="00EA5BBF" w:rsidRPr="001570EA" w:rsidRDefault="00EA5BBF">
            <w:pPr>
              <w:pStyle w:val="TableCell"/>
              <w:spacing w:before="60" w:after="60"/>
              <w:jc w:val="center"/>
              <w:rPr>
                <w:szCs w:val="18"/>
              </w:rPr>
            </w:pPr>
            <w:r w:rsidRPr="001570EA">
              <w:rPr>
                <w:szCs w:val="18"/>
              </w:rPr>
              <w:t>Default:</w:t>
            </w:r>
            <w:r w:rsidRPr="001570EA">
              <w:rPr>
                <w:szCs w:val="18"/>
              </w:rPr>
              <w:br/>
              <w:t>100% for ASHP, CAC, GSHP, baseboard &amp; electric furnace</w:t>
            </w:r>
            <w:r w:rsidRPr="001570EA">
              <w:rPr>
                <w:szCs w:val="18"/>
              </w:rPr>
              <w:br/>
            </w:r>
            <w:r w:rsidRPr="001570EA">
              <w:t>0% for Mini-split, Room AC</w:t>
            </w:r>
          </w:p>
        </w:tc>
        <w:tc>
          <w:tcPr>
            <w:tcW w:w="877" w:type="dxa"/>
            <w:vAlign w:val="center"/>
          </w:tcPr>
          <w:p w14:paraId="684BCF2D" w14:textId="77777777" w:rsidR="00EA5BBF" w:rsidRPr="001570EA" w:rsidRDefault="00EA5BBF">
            <w:pPr>
              <w:pStyle w:val="TableCell"/>
              <w:spacing w:before="60" w:after="60"/>
              <w:jc w:val="center"/>
              <w:rPr>
                <w:rFonts w:eastAsia="Arial Unicode MS" w:cs="Arial"/>
              </w:rPr>
            </w:pPr>
            <w:r w:rsidRPr="001570EA">
              <w:rPr>
                <w:rFonts w:eastAsia="Arial Unicode MS" w:cs="Arial"/>
              </w:rPr>
              <w:t>-</w:t>
            </w:r>
          </w:p>
        </w:tc>
      </w:tr>
      <w:tr w:rsidR="00EA5BBF" w:rsidRPr="001570EA" w14:paraId="4DCA6461" w14:textId="77777777">
        <w:trPr>
          <w:cantSplit/>
          <w:trHeight w:val="317"/>
        </w:trPr>
        <w:tc>
          <w:tcPr>
            <w:tcW w:w="4045" w:type="dxa"/>
            <w:vAlign w:val="center"/>
          </w:tcPr>
          <w:p w14:paraId="27E98D4A" w14:textId="4DE91176" w:rsidR="00EA5BBF" w:rsidRPr="001570EA" w:rsidRDefault="003B5E04">
            <w:pPr>
              <w:pStyle w:val="TableCell"/>
              <w:spacing w:before="60" w:after="60"/>
              <w:jc w:val="left"/>
            </w:pPr>
            <m:oMath>
              <m:sSub>
                <m:sSubPr>
                  <m:ctrlPr>
                    <w:rPr>
                      <w:rFonts w:ascii="Cambria Math" w:hAnsi="Cambria Math" w:cs="Arial"/>
                      <w:i/>
                    </w:rPr>
                  </m:ctrlPr>
                </m:sSubPr>
                <m:e>
                  <m:r>
                    <w:rPr>
                      <w:rFonts w:ascii="Cambria Math" w:hAnsi="Cambria Math" w:cs="Arial"/>
                    </w:rPr>
                    <m:t>EFLH</m:t>
                  </m:r>
                </m:e>
                <m:sub>
                  <m:r>
                    <w:rPr>
                      <w:rFonts w:ascii="Cambria Math" w:hAnsi="Cambria Math" w:cs="Arial"/>
                    </w:rPr>
                    <m:t>cool</m:t>
                  </m:r>
                </m:sub>
              </m:sSub>
            </m:oMath>
            <w:r w:rsidR="00EA5BBF" w:rsidRPr="001570EA">
              <w:t xml:space="preserve">, Equivalent Full Load </w:t>
            </w:r>
            <w:r w:rsidR="00EA5BBF" w:rsidRPr="001570EA">
              <w:rPr>
                <w:rFonts w:cs="Arial"/>
                <w:szCs w:val="18"/>
              </w:rPr>
              <w:t>Hours of operation during the cooling season for the average unit</w:t>
            </w:r>
          </w:p>
        </w:tc>
        <w:tc>
          <w:tcPr>
            <w:tcW w:w="1008" w:type="dxa"/>
            <w:vAlign w:val="center"/>
          </w:tcPr>
          <w:p w14:paraId="45DE1DF5" w14:textId="77777777" w:rsidR="00EA5BBF" w:rsidRPr="001570EA" w:rsidRDefault="003B5E04">
            <w:pPr>
              <w:pStyle w:val="TableCell"/>
              <w:spacing w:before="60" w:after="60"/>
              <w:jc w:val="center"/>
              <w:rPr>
                <w:i/>
              </w:rPr>
            </w:pPr>
            <m:oMathPara>
              <m:oMath>
                <m:f>
                  <m:fPr>
                    <m:ctrlPr>
                      <w:rPr>
                        <w:rFonts w:ascii="Cambria Math" w:hAnsi="Cambria Math"/>
                        <w:i/>
                      </w:rPr>
                    </m:ctrlPr>
                  </m:fPr>
                  <m:num>
                    <m:r>
                      <w:rPr>
                        <w:rFonts w:ascii="Cambria Math" w:hAnsi="Cambria Math"/>
                      </w:rPr>
                      <m:t>hours</m:t>
                    </m:r>
                  </m:num>
                  <m:den>
                    <m:r>
                      <w:rPr>
                        <w:rFonts w:ascii="Cambria Math" w:hAnsi="Cambria Math"/>
                      </w:rPr>
                      <m:t>year</m:t>
                    </m:r>
                  </m:den>
                </m:f>
              </m:oMath>
            </m:oMathPara>
          </w:p>
        </w:tc>
        <w:tc>
          <w:tcPr>
            <w:tcW w:w="2880" w:type="dxa"/>
            <w:vAlign w:val="center"/>
          </w:tcPr>
          <w:p w14:paraId="7530242E" w14:textId="77777777" w:rsidR="00EA5BBF" w:rsidRPr="001570EA" w:rsidRDefault="00EA5BBF">
            <w:pPr>
              <w:pStyle w:val="TableCell"/>
              <w:spacing w:before="60" w:after="60"/>
              <w:jc w:val="center"/>
            </w:pPr>
            <w:r w:rsidRPr="001570EA">
              <w:rPr>
                <w:rFonts w:cs="Arial"/>
                <w:szCs w:val="18"/>
              </w:rPr>
              <w:t xml:space="preserve">See </w:t>
            </w:r>
            <w:r w:rsidRPr="001570EA">
              <w:rPr>
                <w:rFonts w:cs="Arial"/>
                <w:i/>
                <w:szCs w:val="18"/>
              </w:rPr>
              <w:t>EFLH</w:t>
            </w:r>
            <w:r w:rsidRPr="001570EA">
              <w:rPr>
                <w:rFonts w:cs="Arial"/>
                <w:i/>
                <w:szCs w:val="18"/>
                <w:vertAlign w:val="subscript"/>
              </w:rPr>
              <w:t>cool</w:t>
            </w:r>
            <w:r w:rsidRPr="001570EA">
              <w:rPr>
                <w:rFonts w:cs="Arial"/>
                <w:szCs w:val="18"/>
              </w:rPr>
              <w:t xml:space="preserve"> in Vol. 1, App. A</w:t>
            </w:r>
          </w:p>
        </w:tc>
        <w:tc>
          <w:tcPr>
            <w:tcW w:w="877" w:type="dxa"/>
            <w:vAlign w:val="center"/>
          </w:tcPr>
          <w:p w14:paraId="52E8F34B" w14:textId="77777777" w:rsidR="00EA5BBF" w:rsidRPr="001570EA" w:rsidRDefault="00EA5BBF">
            <w:pPr>
              <w:pStyle w:val="TableCell"/>
              <w:spacing w:before="60" w:after="60"/>
              <w:jc w:val="center"/>
            </w:pPr>
            <w:r w:rsidRPr="001570EA">
              <w:rPr>
                <w:rFonts w:cs="Arial"/>
                <w:szCs w:val="18"/>
              </w:rPr>
              <w:t>5</w:t>
            </w:r>
          </w:p>
        </w:tc>
      </w:tr>
      <w:tr w:rsidR="00EA5BBF" w:rsidRPr="001570EA" w14:paraId="494F2B83" w14:textId="77777777">
        <w:trPr>
          <w:cantSplit/>
          <w:trHeight w:val="317"/>
        </w:trPr>
        <w:tc>
          <w:tcPr>
            <w:tcW w:w="4045" w:type="dxa"/>
            <w:vAlign w:val="center"/>
          </w:tcPr>
          <w:p w14:paraId="6879B8CC" w14:textId="77777777" w:rsidR="00EA5BBF" w:rsidRPr="001570EA" w:rsidRDefault="00EA5BBF">
            <w:pPr>
              <w:pStyle w:val="TableCell"/>
              <w:spacing w:before="60" w:after="60"/>
              <w:jc w:val="left"/>
            </w:pPr>
            <w:r w:rsidRPr="001570EA">
              <w:rPr>
                <w:rFonts w:ascii="Cambria Math" w:hAnsi="Cambria Math"/>
                <w:i/>
                <w:iCs/>
                <w:szCs w:val="18"/>
              </w:rPr>
              <w:t>EFLH</w:t>
            </w:r>
            <w:r w:rsidRPr="001570EA">
              <w:rPr>
                <w:rFonts w:ascii="Cambria Math" w:hAnsi="Cambria Math"/>
                <w:i/>
                <w:iCs/>
                <w:szCs w:val="18"/>
                <w:vertAlign w:val="subscript"/>
              </w:rPr>
              <w:t>heat</w:t>
            </w:r>
            <w:r w:rsidRPr="001570EA">
              <w:rPr>
                <w:rFonts w:ascii="Cambria Math" w:hAnsi="Cambria Math"/>
                <w:szCs w:val="18"/>
                <w:vertAlign w:val="subscript"/>
              </w:rPr>
              <w:t xml:space="preserve"> ,</w:t>
            </w:r>
            <w:r w:rsidRPr="001570EA">
              <w:rPr>
                <w:szCs w:val="18"/>
              </w:rPr>
              <w:t xml:space="preserve"> </w:t>
            </w:r>
            <w:r w:rsidRPr="001570EA">
              <w:rPr>
                <w:rFonts w:cs="Arial"/>
                <w:szCs w:val="18"/>
              </w:rPr>
              <w:t>Equivalent Full Load Hours of operation during the heating season for the average unit</w:t>
            </w:r>
          </w:p>
        </w:tc>
        <w:tc>
          <w:tcPr>
            <w:tcW w:w="1008" w:type="dxa"/>
            <w:vAlign w:val="center"/>
          </w:tcPr>
          <w:p w14:paraId="20B368F7" w14:textId="77777777" w:rsidR="00EA5BBF" w:rsidRPr="001570EA" w:rsidRDefault="003B5E04">
            <w:pPr>
              <w:pStyle w:val="TableCell"/>
              <w:spacing w:before="60" w:after="60"/>
              <w:jc w:val="center"/>
            </w:pPr>
            <m:oMathPara>
              <m:oMath>
                <m:f>
                  <m:fPr>
                    <m:ctrlPr>
                      <w:rPr>
                        <w:rFonts w:ascii="Cambria Math" w:hAnsi="Cambria Math"/>
                        <w:i/>
                        <w:szCs w:val="18"/>
                      </w:rPr>
                    </m:ctrlPr>
                  </m:fPr>
                  <m:num>
                    <m:r>
                      <w:rPr>
                        <w:rFonts w:ascii="Cambria Math" w:hAnsi="Cambria Math"/>
                        <w:szCs w:val="18"/>
                      </w:rPr>
                      <m:t>hours</m:t>
                    </m:r>
                  </m:num>
                  <m:den>
                    <m:r>
                      <w:rPr>
                        <w:rFonts w:ascii="Cambria Math" w:hAnsi="Cambria Math"/>
                        <w:szCs w:val="18"/>
                      </w:rPr>
                      <m:t>yr</m:t>
                    </m:r>
                  </m:den>
                </m:f>
              </m:oMath>
            </m:oMathPara>
          </w:p>
        </w:tc>
        <w:tc>
          <w:tcPr>
            <w:tcW w:w="2880" w:type="dxa"/>
            <w:vAlign w:val="center"/>
          </w:tcPr>
          <w:p w14:paraId="1DCE9311" w14:textId="77777777" w:rsidR="00EA5BBF" w:rsidRPr="001570EA" w:rsidRDefault="00EA5BBF">
            <w:pPr>
              <w:pStyle w:val="TableCell"/>
              <w:spacing w:before="60" w:after="60"/>
              <w:jc w:val="center"/>
              <w:rPr>
                <w:rFonts w:cs="Arial"/>
                <w:szCs w:val="18"/>
              </w:rPr>
            </w:pPr>
            <w:r w:rsidRPr="001570EA">
              <w:rPr>
                <w:szCs w:val="18"/>
              </w:rPr>
              <w:t xml:space="preserve">See </w:t>
            </w:r>
            <w:r w:rsidRPr="001570EA">
              <w:rPr>
                <w:i/>
                <w:szCs w:val="18"/>
              </w:rPr>
              <w:t>EFLH</w:t>
            </w:r>
            <w:r w:rsidRPr="001570EA">
              <w:rPr>
                <w:i/>
                <w:szCs w:val="18"/>
                <w:vertAlign w:val="subscript"/>
              </w:rPr>
              <w:t>cool</w:t>
            </w:r>
            <w:r w:rsidRPr="001570EA">
              <w:rPr>
                <w:szCs w:val="18"/>
              </w:rPr>
              <w:t xml:space="preserve"> in Vol. 1, App. A</w:t>
            </w:r>
          </w:p>
        </w:tc>
        <w:tc>
          <w:tcPr>
            <w:tcW w:w="877" w:type="dxa"/>
            <w:vAlign w:val="center"/>
          </w:tcPr>
          <w:p w14:paraId="18ECA3A8" w14:textId="77777777" w:rsidR="00EA5BBF" w:rsidRPr="001570EA" w:rsidRDefault="00EA5BBF">
            <w:pPr>
              <w:pStyle w:val="TableCell"/>
              <w:spacing w:before="60" w:after="60"/>
              <w:jc w:val="center"/>
              <w:rPr>
                <w:rFonts w:cs="Arial"/>
                <w:szCs w:val="18"/>
              </w:rPr>
            </w:pPr>
            <w:r w:rsidRPr="001570EA">
              <w:rPr>
                <w:rFonts w:cs="Arial"/>
                <w:szCs w:val="18"/>
              </w:rPr>
              <w:t>5</w:t>
            </w:r>
          </w:p>
        </w:tc>
      </w:tr>
      <w:tr w:rsidR="00EA5BBF" w:rsidRPr="001570EA" w14:paraId="4FDBF886" w14:textId="77777777">
        <w:trPr>
          <w:cantSplit/>
          <w:trHeight w:val="317"/>
        </w:trPr>
        <w:tc>
          <w:tcPr>
            <w:tcW w:w="4045" w:type="dxa"/>
            <w:vAlign w:val="center"/>
          </w:tcPr>
          <w:p w14:paraId="7D45255D" w14:textId="77777777" w:rsidR="00EA5BBF" w:rsidRPr="001570EA" w:rsidRDefault="003B5E04">
            <w:pPr>
              <w:pStyle w:val="TableCell"/>
              <w:spacing w:before="60" w:after="60"/>
              <w:jc w:val="left"/>
            </w:pPr>
            <m:oMath>
              <m:sSub>
                <m:sSubPr>
                  <m:ctrlPr>
                    <w:rPr>
                      <w:rFonts w:ascii="Cambria Math" w:hAnsi="Cambria Math" w:cs="Arial"/>
                      <w:i/>
                    </w:rPr>
                  </m:ctrlPr>
                </m:sSubPr>
                <m:e>
                  <m:r>
                    <w:rPr>
                      <w:rFonts w:ascii="Cambria Math" w:hAnsi="Cambria Math" w:cs="Arial"/>
                    </w:rPr>
                    <m:t>CF</m:t>
                  </m:r>
                </m:e>
                <m:sub>
                  <m:r>
                    <w:rPr>
                      <w:rFonts w:ascii="Cambria Math" w:hAnsi="Cambria Math" w:cs="Arial"/>
                    </w:rPr>
                    <m:t>summer</m:t>
                  </m:r>
                </m:sub>
              </m:sSub>
            </m:oMath>
            <w:r w:rsidR="00EA5BBF" w:rsidRPr="001570EA">
              <w:rPr>
                <w:i/>
              </w:rPr>
              <w:t>,</w:t>
            </w:r>
            <w:r w:rsidR="00EA5BBF" w:rsidRPr="001570EA">
              <w:t xml:space="preserve"> Summer demand Coincidence Factor</w:t>
            </w:r>
          </w:p>
        </w:tc>
        <w:tc>
          <w:tcPr>
            <w:tcW w:w="1008" w:type="dxa"/>
            <w:vAlign w:val="center"/>
          </w:tcPr>
          <w:p w14:paraId="60B76CC0" w14:textId="77777777" w:rsidR="00EA5BBF" w:rsidRPr="001570EA" w:rsidRDefault="00EA5BBF">
            <w:pPr>
              <w:pStyle w:val="TableCell"/>
              <w:spacing w:before="60" w:after="60"/>
              <w:jc w:val="center"/>
            </w:pPr>
            <w:r w:rsidRPr="001570EA">
              <w:rPr>
                <w:rFonts w:eastAsia="Arial" w:cs="Arial"/>
                <w:i/>
              </w:rPr>
              <w:t>Proportion</w:t>
            </w:r>
          </w:p>
        </w:tc>
        <w:tc>
          <w:tcPr>
            <w:tcW w:w="2880" w:type="dxa"/>
            <w:vAlign w:val="center"/>
          </w:tcPr>
          <w:p w14:paraId="77D3E746" w14:textId="77777777" w:rsidR="00EA5BBF" w:rsidRPr="001570EA" w:rsidRDefault="00EA5BBF">
            <w:pPr>
              <w:pStyle w:val="TableCell"/>
              <w:spacing w:before="60" w:after="60"/>
              <w:jc w:val="center"/>
            </w:pPr>
            <w:r w:rsidRPr="001570EA">
              <w:rPr>
                <w:rFonts w:cs="Arial"/>
                <w:szCs w:val="18"/>
              </w:rPr>
              <w:t xml:space="preserve">See </w:t>
            </w:r>
            <w:r w:rsidRPr="001570EA">
              <w:rPr>
                <w:rFonts w:cs="Arial"/>
                <w:i/>
                <w:iCs/>
                <w:szCs w:val="18"/>
              </w:rPr>
              <w:t>Summer</w:t>
            </w:r>
            <w:r w:rsidRPr="001570EA">
              <w:rPr>
                <w:rFonts w:cs="Arial"/>
                <w:szCs w:val="18"/>
              </w:rPr>
              <w:t xml:space="preserve"> </w:t>
            </w:r>
            <w:r w:rsidRPr="001570EA">
              <w:rPr>
                <w:rFonts w:cs="Arial"/>
                <w:i/>
                <w:szCs w:val="18"/>
              </w:rPr>
              <w:t>CF</w:t>
            </w:r>
            <w:r w:rsidRPr="001570EA">
              <w:rPr>
                <w:rFonts w:cs="Arial"/>
                <w:szCs w:val="18"/>
              </w:rPr>
              <w:t xml:space="preserve"> in Vol. 1, App. A</w:t>
            </w:r>
          </w:p>
        </w:tc>
        <w:tc>
          <w:tcPr>
            <w:tcW w:w="877" w:type="dxa"/>
            <w:vAlign w:val="center"/>
          </w:tcPr>
          <w:p w14:paraId="175C6D5B" w14:textId="77777777" w:rsidR="00EA5BBF" w:rsidRPr="001570EA" w:rsidRDefault="00EA5BBF">
            <w:pPr>
              <w:pStyle w:val="TableCell"/>
              <w:spacing w:before="60" w:after="60"/>
              <w:jc w:val="center"/>
            </w:pPr>
            <w:r w:rsidRPr="001570EA">
              <w:rPr>
                <w:rFonts w:cs="Arial"/>
                <w:szCs w:val="18"/>
              </w:rPr>
              <w:t>5</w:t>
            </w:r>
          </w:p>
        </w:tc>
      </w:tr>
      <w:tr w:rsidR="00EA5BBF" w:rsidRPr="001570EA" w14:paraId="57EEAF9C" w14:textId="77777777">
        <w:trPr>
          <w:cantSplit/>
          <w:trHeight w:val="317"/>
        </w:trPr>
        <w:tc>
          <w:tcPr>
            <w:tcW w:w="4045" w:type="dxa"/>
            <w:vAlign w:val="center"/>
          </w:tcPr>
          <w:p w14:paraId="44DA1CEC" w14:textId="77777777" w:rsidR="00EA5BBF" w:rsidRPr="001570EA" w:rsidRDefault="003B5E04">
            <w:pPr>
              <w:pStyle w:val="TableCell"/>
              <w:spacing w:before="60" w:after="60"/>
              <w:jc w:val="left"/>
              <w:rPr>
                <w:rFonts w:ascii="Cambria Math" w:hAnsi="Cambria Math"/>
                <w:i/>
              </w:rPr>
            </w:pPr>
            <m:oMath>
              <m:sSub>
                <m:sSubPr>
                  <m:ctrlPr>
                    <w:rPr>
                      <w:rFonts w:ascii="Cambria Math" w:hAnsi="Cambria Math" w:cs="Arial"/>
                      <w:i/>
                    </w:rPr>
                  </m:ctrlPr>
                </m:sSubPr>
                <m:e>
                  <m:r>
                    <w:rPr>
                      <w:rFonts w:ascii="Cambria Math" w:hAnsi="Cambria Math" w:cs="Arial"/>
                    </w:rPr>
                    <m:t>CF</m:t>
                  </m:r>
                </m:e>
                <m:sub>
                  <m:r>
                    <w:rPr>
                      <w:rFonts w:ascii="Cambria Math" w:hAnsi="Cambria Math" w:cs="Arial"/>
                    </w:rPr>
                    <m:t xml:space="preserve">winter </m:t>
                  </m:r>
                </m:sub>
              </m:sSub>
            </m:oMath>
            <w:r w:rsidR="00EA5BBF" w:rsidRPr="001570EA">
              <w:t>, Winter demand Coincidence Factor</w:t>
            </w:r>
          </w:p>
        </w:tc>
        <w:tc>
          <w:tcPr>
            <w:tcW w:w="1008" w:type="dxa"/>
            <w:vAlign w:val="center"/>
          </w:tcPr>
          <w:p w14:paraId="7E946751" w14:textId="77777777" w:rsidR="00EA5BBF" w:rsidRPr="001570EA" w:rsidRDefault="00EA5BBF">
            <w:pPr>
              <w:pStyle w:val="TableCell"/>
              <w:spacing w:before="60" w:after="60"/>
              <w:jc w:val="center"/>
              <w:rPr>
                <w:rFonts w:eastAsia="Arial" w:cs="Arial"/>
                <w:i/>
                <w:iCs/>
              </w:rPr>
            </w:pPr>
            <w:r w:rsidRPr="001570EA">
              <w:rPr>
                <w:rFonts w:eastAsia="Arial" w:cs="Arial"/>
                <w:i/>
                <w:iCs/>
              </w:rPr>
              <w:t>Proportion</w:t>
            </w:r>
          </w:p>
        </w:tc>
        <w:tc>
          <w:tcPr>
            <w:tcW w:w="2880" w:type="dxa"/>
            <w:vAlign w:val="center"/>
          </w:tcPr>
          <w:p w14:paraId="1E4C899C" w14:textId="77777777" w:rsidR="00EA5BBF" w:rsidRPr="001570EA" w:rsidRDefault="00EA5BBF">
            <w:pPr>
              <w:pStyle w:val="TableCell"/>
              <w:spacing w:before="60" w:after="60"/>
              <w:jc w:val="center"/>
              <w:rPr>
                <w:rFonts w:cs="Arial"/>
                <w:szCs w:val="18"/>
              </w:rPr>
            </w:pPr>
            <w:r w:rsidRPr="001570EA">
              <w:rPr>
                <w:rFonts w:cs="Arial"/>
                <w:szCs w:val="18"/>
              </w:rPr>
              <w:t xml:space="preserve">See </w:t>
            </w:r>
            <w:r w:rsidRPr="001570EA">
              <w:rPr>
                <w:rFonts w:cs="Arial"/>
                <w:i/>
                <w:iCs/>
                <w:szCs w:val="18"/>
              </w:rPr>
              <w:t>Winter</w:t>
            </w:r>
            <w:r w:rsidRPr="001570EA">
              <w:rPr>
                <w:rFonts w:cs="Arial"/>
                <w:szCs w:val="18"/>
              </w:rPr>
              <w:t xml:space="preserve"> </w:t>
            </w:r>
            <w:r w:rsidRPr="001570EA">
              <w:rPr>
                <w:rFonts w:cs="Arial"/>
                <w:i/>
                <w:szCs w:val="18"/>
              </w:rPr>
              <w:t>CF</w:t>
            </w:r>
            <w:r w:rsidRPr="001570EA">
              <w:rPr>
                <w:rFonts w:cs="Arial"/>
                <w:szCs w:val="18"/>
              </w:rPr>
              <w:t xml:space="preserve"> in Vol. 1, App. A</w:t>
            </w:r>
          </w:p>
        </w:tc>
        <w:tc>
          <w:tcPr>
            <w:tcW w:w="877" w:type="dxa"/>
            <w:vAlign w:val="center"/>
          </w:tcPr>
          <w:p w14:paraId="7947F0D2" w14:textId="77777777" w:rsidR="00EA5BBF" w:rsidRPr="001570EA" w:rsidRDefault="00EA5BBF">
            <w:pPr>
              <w:pStyle w:val="TableCell"/>
              <w:spacing w:before="60" w:after="60"/>
              <w:jc w:val="center"/>
              <w:rPr>
                <w:rFonts w:cs="Arial"/>
                <w:szCs w:val="18"/>
              </w:rPr>
            </w:pPr>
            <w:r w:rsidRPr="001570EA">
              <w:rPr>
                <w:rFonts w:cs="Arial"/>
                <w:szCs w:val="18"/>
              </w:rPr>
              <w:t>5</w:t>
            </w:r>
          </w:p>
        </w:tc>
      </w:tr>
    </w:tbl>
    <w:p w14:paraId="7AD3CF4E" w14:textId="77777777" w:rsidR="00EA5BBF" w:rsidRPr="001570EA" w:rsidRDefault="00EA5BBF" w:rsidP="00EA5BBF"/>
    <w:p w14:paraId="2AC4E929" w14:textId="77777777" w:rsidR="00EA5BBF" w:rsidRPr="001570EA" w:rsidRDefault="00EA5BBF" w:rsidP="00EA5BBF">
      <w:pPr>
        <w:pStyle w:val="SubStyle"/>
      </w:pPr>
      <w:bookmarkStart w:id="1196" w:name="_Ref532475125"/>
      <w:bookmarkStart w:id="1197" w:name="_Toc47598369"/>
      <w:r w:rsidRPr="001570EA">
        <w:t>Default Unit Energy Savings Coefficient &amp; Equipment Efficiency Tables</w:t>
      </w:r>
    </w:p>
    <w:p w14:paraId="5F318D41" w14:textId="76555FB3" w:rsidR="00EA5BBF" w:rsidRPr="001570EA" w:rsidRDefault="00EA5BBF" w:rsidP="00EA5BBF">
      <w:pPr>
        <w:pStyle w:val="Caption"/>
        <w:keepLines/>
      </w:pPr>
      <w:bookmarkStart w:id="1198" w:name="_Ref163829685"/>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150</w:t>
      </w:r>
      <w:r w:rsidR="002E093A" w:rsidRPr="001570EA">
        <w:fldChar w:fldCharType="end"/>
      </w:r>
      <w:bookmarkEnd w:id="1196"/>
      <w:bookmarkEnd w:id="1198"/>
      <w:r w:rsidRPr="001570EA">
        <w:t xml:space="preserve">: Default unit energy savings – </w:t>
      </w:r>
      <w:r w:rsidRPr="001570EA">
        <w:rPr>
          <w:sz w:val="18"/>
          <w:szCs w:val="18"/>
        </w:rPr>
        <w:t xml:space="preserve">kWh </w:t>
      </w:r>
      <w:r w:rsidRPr="001570EA">
        <w:t>per Square Foot of Replaced Window</w:t>
      </w:r>
      <w:bookmarkEnd w:id="1197"/>
    </w:p>
    <w:tbl>
      <w:tblPr>
        <w:tblStyle w:val="TableGrid"/>
        <w:tblW w:w="8640" w:type="dxa"/>
        <w:tblLayout w:type="fixed"/>
        <w:tblLook w:val="04A0" w:firstRow="1" w:lastRow="0" w:firstColumn="1" w:lastColumn="0" w:noHBand="0" w:noVBand="1"/>
      </w:tblPr>
      <w:tblGrid>
        <w:gridCol w:w="882"/>
        <w:gridCol w:w="771"/>
        <w:gridCol w:w="909"/>
        <w:gridCol w:w="653"/>
        <w:gridCol w:w="696"/>
        <w:gridCol w:w="893"/>
        <w:gridCol w:w="641"/>
        <w:gridCol w:w="776"/>
        <w:gridCol w:w="994"/>
        <w:gridCol w:w="710"/>
        <w:gridCol w:w="715"/>
      </w:tblGrid>
      <w:tr w:rsidR="00EA5BBF" w:rsidRPr="001570EA" w14:paraId="01BF3C7D" w14:textId="77777777">
        <w:tc>
          <w:tcPr>
            <w:tcW w:w="510" w:type="pct"/>
            <w:vMerge w:val="restart"/>
            <w:shd w:val="clear" w:color="auto" w:fill="BFBFBF" w:themeFill="background1" w:themeFillShade="BF"/>
            <w:tcMar>
              <w:left w:w="115" w:type="dxa"/>
              <w:right w:w="0" w:type="dxa"/>
            </w:tcMar>
            <w:vAlign w:val="center"/>
          </w:tcPr>
          <w:p w14:paraId="0B04DBC5" w14:textId="77777777" w:rsidR="00EA5BBF" w:rsidRPr="001570EA" w:rsidRDefault="00EA5BBF">
            <w:pPr>
              <w:keepNext/>
              <w:keepLines/>
              <w:jc w:val="center"/>
              <w:rPr>
                <w:rFonts w:cs="Arial"/>
                <w:b/>
                <w:sz w:val="18"/>
                <w:szCs w:val="18"/>
              </w:rPr>
            </w:pPr>
            <w:r w:rsidRPr="001570EA">
              <w:rPr>
                <w:rFonts w:cs="Arial"/>
                <w:b/>
                <w:bCs/>
                <w:sz w:val="18"/>
                <w:szCs w:val="18"/>
              </w:rPr>
              <w:t>Climate Region</w:t>
            </w:r>
          </w:p>
        </w:tc>
        <w:tc>
          <w:tcPr>
            <w:tcW w:w="2270" w:type="pct"/>
            <w:gridSpan w:val="5"/>
            <w:shd w:val="clear" w:color="auto" w:fill="BFBFBF" w:themeFill="background1" w:themeFillShade="BF"/>
            <w:vAlign w:val="center"/>
          </w:tcPr>
          <w:p w14:paraId="546FD049" w14:textId="77777777" w:rsidR="00EA5BBF" w:rsidRPr="001570EA" w:rsidRDefault="003B5E04">
            <w:pPr>
              <w:keepNext/>
              <w:keepLines/>
              <w:jc w:val="center"/>
              <w:rPr>
                <w:rFonts w:cs="Arial"/>
                <w:b/>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a</m:t>
                    </m:r>
                  </m:e>
                  <m:sub>
                    <m:r>
                      <m:rPr>
                        <m:sty m:val="bi"/>
                      </m:rPr>
                      <w:rPr>
                        <w:rFonts w:ascii="Cambria Math" w:hAnsi="Cambria Math" w:cs="Arial"/>
                        <w:sz w:val="18"/>
                        <w:szCs w:val="18"/>
                      </w:rPr>
                      <m:t>cool</m:t>
                    </m:r>
                  </m:sub>
                </m:sSub>
              </m:oMath>
            </m:oMathPara>
          </w:p>
        </w:tc>
        <w:tc>
          <w:tcPr>
            <w:tcW w:w="2214" w:type="pct"/>
            <w:gridSpan w:val="5"/>
            <w:shd w:val="clear" w:color="auto" w:fill="BFBFBF" w:themeFill="background1" w:themeFillShade="BF"/>
          </w:tcPr>
          <w:p w14:paraId="60965171" w14:textId="77777777" w:rsidR="00EA5BBF" w:rsidRPr="001570EA" w:rsidRDefault="003B5E04">
            <w:pPr>
              <w:keepNext/>
              <w:keepLines/>
              <w:jc w:val="center"/>
              <w:rPr>
                <w:rFonts w:cs="Arial"/>
                <w:b/>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a</m:t>
                    </m:r>
                  </m:e>
                  <m:sub>
                    <m:r>
                      <m:rPr>
                        <m:sty m:val="bi"/>
                      </m:rPr>
                      <w:rPr>
                        <w:rFonts w:ascii="Cambria Math" w:hAnsi="Cambria Math" w:cs="Arial"/>
                        <w:sz w:val="18"/>
                        <w:szCs w:val="18"/>
                      </w:rPr>
                      <m:t>heat</m:t>
                    </m:r>
                  </m:sub>
                </m:sSub>
              </m:oMath>
            </m:oMathPara>
          </w:p>
        </w:tc>
      </w:tr>
      <w:tr w:rsidR="00EA5BBF" w:rsidRPr="001570EA" w14:paraId="778FC799" w14:textId="77777777">
        <w:tc>
          <w:tcPr>
            <w:tcW w:w="510" w:type="pct"/>
            <w:vMerge/>
            <w:shd w:val="clear" w:color="auto" w:fill="BFBFBF" w:themeFill="background1" w:themeFillShade="BF"/>
          </w:tcPr>
          <w:p w14:paraId="2080321F" w14:textId="77777777" w:rsidR="00EA5BBF" w:rsidRPr="001570EA" w:rsidRDefault="00EA5BBF">
            <w:pPr>
              <w:keepNext/>
              <w:keepLines/>
              <w:jc w:val="center"/>
              <w:rPr>
                <w:rFonts w:cs="Arial"/>
                <w:b/>
                <w:sz w:val="18"/>
                <w:szCs w:val="18"/>
              </w:rPr>
            </w:pPr>
          </w:p>
        </w:tc>
        <w:tc>
          <w:tcPr>
            <w:tcW w:w="446" w:type="pct"/>
            <w:shd w:val="clear" w:color="auto" w:fill="BFBFBF" w:themeFill="background1" w:themeFillShade="BF"/>
            <w:tcMar>
              <w:left w:w="0" w:type="dxa"/>
              <w:right w:w="0" w:type="dxa"/>
            </w:tcMar>
            <w:vAlign w:val="center"/>
          </w:tcPr>
          <w:p w14:paraId="710F9744" w14:textId="77777777" w:rsidR="00EA5BBF" w:rsidRPr="001570EA" w:rsidRDefault="00EA5BBF">
            <w:pPr>
              <w:keepNext/>
              <w:keepLines/>
              <w:jc w:val="center"/>
              <w:rPr>
                <w:rFonts w:cs="Arial"/>
                <w:b/>
                <w:sz w:val="18"/>
                <w:szCs w:val="18"/>
              </w:rPr>
            </w:pPr>
            <w:r w:rsidRPr="001570EA">
              <w:rPr>
                <w:rFonts w:cs="Arial"/>
                <w:b/>
                <w:bCs/>
                <w:sz w:val="18"/>
                <w:szCs w:val="18"/>
              </w:rPr>
              <w:t>ASHP</w:t>
            </w:r>
          </w:p>
        </w:tc>
        <w:tc>
          <w:tcPr>
            <w:tcW w:w="526" w:type="pct"/>
            <w:shd w:val="clear" w:color="auto" w:fill="BFBFBF" w:themeFill="background1" w:themeFillShade="BF"/>
            <w:vAlign w:val="center"/>
          </w:tcPr>
          <w:p w14:paraId="7E2B11E5" w14:textId="77777777" w:rsidR="00EA5BBF" w:rsidRPr="001570EA" w:rsidRDefault="00EA5BBF">
            <w:pPr>
              <w:keepNext/>
              <w:keepLines/>
              <w:jc w:val="center"/>
              <w:rPr>
                <w:rFonts w:cs="Arial"/>
                <w:b/>
                <w:sz w:val="18"/>
                <w:szCs w:val="18"/>
              </w:rPr>
            </w:pPr>
            <w:r w:rsidRPr="001570EA">
              <w:rPr>
                <w:rFonts w:cs="Arial"/>
                <w:b/>
                <w:bCs/>
                <w:sz w:val="18"/>
                <w:szCs w:val="18"/>
              </w:rPr>
              <w:t>Central AC</w:t>
            </w:r>
          </w:p>
        </w:tc>
        <w:tc>
          <w:tcPr>
            <w:tcW w:w="378" w:type="pct"/>
            <w:shd w:val="clear" w:color="auto" w:fill="BFBFBF" w:themeFill="background1" w:themeFillShade="BF"/>
            <w:tcMar>
              <w:left w:w="0" w:type="dxa"/>
              <w:right w:w="0" w:type="dxa"/>
            </w:tcMar>
            <w:vAlign w:val="center"/>
          </w:tcPr>
          <w:p w14:paraId="555A8AAE" w14:textId="77777777" w:rsidR="00EA5BBF" w:rsidRPr="001570EA" w:rsidRDefault="00EA5BBF">
            <w:pPr>
              <w:keepNext/>
              <w:keepLines/>
              <w:jc w:val="center"/>
              <w:rPr>
                <w:rFonts w:cs="Arial"/>
                <w:b/>
                <w:sz w:val="18"/>
                <w:szCs w:val="18"/>
              </w:rPr>
            </w:pPr>
            <w:r w:rsidRPr="001570EA">
              <w:rPr>
                <w:b/>
                <w:bCs/>
                <w:sz w:val="18"/>
                <w:szCs w:val="18"/>
              </w:rPr>
              <w:t>GSHP</w:t>
            </w:r>
          </w:p>
        </w:tc>
        <w:tc>
          <w:tcPr>
            <w:tcW w:w="403" w:type="pct"/>
            <w:shd w:val="clear" w:color="auto" w:fill="BFBFBF" w:themeFill="background1" w:themeFillShade="BF"/>
            <w:vAlign w:val="center"/>
          </w:tcPr>
          <w:p w14:paraId="0D87253B" w14:textId="77777777" w:rsidR="00EA5BBF" w:rsidRPr="001570EA" w:rsidRDefault="00EA5BBF">
            <w:pPr>
              <w:keepNext/>
              <w:keepLines/>
              <w:jc w:val="center"/>
              <w:rPr>
                <w:b/>
                <w:bCs/>
                <w:sz w:val="18"/>
                <w:szCs w:val="18"/>
              </w:rPr>
            </w:pPr>
            <w:r w:rsidRPr="001570EA">
              <w:rPr>
                <w:b/>
                <w:bCs/>
                <w:sz w:val="18"/>
                <w:szCs w:val="18"/>
              </w:rPr>
              <w:t>Mini-split</w:t>
            </w:r>
          </w:p>
        </w:tc>
        <w:tc>
          <w:tcPr>
            <w:tcW w:w="515" w:type="pct"/>
            <w:shd w:val="clear" w:color="auto" w:fill="BFBFBF" w:themeFill="background1" w:themeFillShade="BF"/>
            <w:vAlign w:val="center"/>
          </w:tcPr>
          <w:p w14:paraId="14AC111E" w14:textId="77777777" w:rsidR="00EA5BBF" w:rsidRPr="001570EA" w:rsidRDefault="00EA5BBF">
            <w:pPr>
              <w:keepNext/>
              <w:keepLines/>
              <w:jc w:val="center"/>
              <w:rPr>
                <w:rFonts w:cs="Arial"/>
                <w:b/>
                <w:sz w:val="18"/>
                <w:szCs w:val="18"/>
              </w:rPr>
            </w:pPr>
            <w:r w:rsidRPr="001570EA">
              <w:rPr>
                <w:b/>
                <w:bCs/>
                <w:sz w:val="18"/>
                <w:szCs w:val="18"/>
              </w:rPr>
              <w:t>Room AC</w:t>
            </w:r>
          </w:p>
        </w:tc>
        <w:tc>
          <w:tcPr>
            <w:tcW w:w="371" w:type="pct"/>
            <w:shd w:val="clear" w:color="auto" w:fill="BFBFBF" w:themeFill="background1" w:themeFillShade="BF"/>
            <w:tcMar>
              <w:left w:w="0" w:type="dxa"/>
              <w:right w:w="0" w:type="dxa"/>
            </w:tcMar>
            <w:vAlign w:val="center"/>
          </w:tcPr>
          <w:p w14:paraId="281966B8" w14:textId="77777777" w:rsidR="00EA5BBF" w:rsidRPr="001570EA" w:rsidRDefault="00EA5BBF">
            <w:pPr>
              <w:keepNext/>
              <w:keepLines/>
              <w:jc w:val="center"/>
              <w:rPr>
                <w:rFonts w:cs="Arial"/>
                <w:b/>
                <w:sz w:val="18"/>
                <w:szCs w:val="18"/>
              </w:rPr>
            </w:pPr>
            <w:r w:rsidRPr="001570EA">
              <w:rPr>
                <w:b/>
                <w:bCs/>
                <w:sz w:val="18"/>
                <w:szCs w:val="18"/>
              </w:rPr>
              <w:t>ASHP</w:t>
            </w:r>
          </w:p>
        </w:tc>
        <w:tc>
          <w:tcPr>
            <w:tcW w:w="449" w:type="pct"/>
            <w:shd w:val="clear" w:color="auto" w:fill="BFBFBF" w:themeFill="background1" w:themeFillShade="BF"/>
            <w:vAlign w:val="center"/>
          </w:tcPr>
          <w:p w14:paraId="71866ADF" w14:textId="77777777" w:rsidR="00EA5BBF" w:rsidRPr="001570EA" w:rsidRDefault="00EA5BBF">
            <w:pPr>
              <w:keepNext/>
              <w:keepLines/>
              <w:jc w:val="center"/>
              <w:rPr>
                <w:rFonts w:cs="Arial"/>
                <w:b/>
                <w:sz w:val="18"/>
                <w:szCs w:val="18"/>
              </w:rPr>
            </w:pPr>
            <w:r w:rsidRPr="001570EA">
              <w:rPr>
                <w:b/>
                <w:bCs/>
                <w:sz w:val="18"/>
                <w:szCs w:val="18"/>
              </w:rPr>
              <w:t>Base-board</w:t>
            </w:r>
          </w:p>
        </w:tc>
        <w:tc>
          <w:tcPr>
            <w:tcW w:w="575" w:type="pct"/>
            <w:shd w:val="clear" w:color="auto" w:fill="BFBFBF" w:themeFill="background1" w:themeFillShade="BF"/>
            <w:vAlign w:val="center"/>
          </w:tcPr>
          <w:p w14:paraId="4CBED889" w14:textId="77777777" w:rsidR="00EA5BBF" w:rsidRPr="001570EA" w:rsidRDefault="00EA5BBF">
            <w:pPr>
              <w:keepNext/>
              <w:keepLines/>
              <w:jc w:val="center"/>
              <w:rPr>
                <w:rFonts w:cs="Arial"/>
                <w:b/>
                <w:sz w:val="18"/>
                <w:szCs w:val="18"/>
              </w:rPr>
            </w:pPr>
            <w:r w:rsidRPr="001570EA">
              <w:rPr>
                <w:b/>
                <w:bCs/>
                <w:sz w:val="18"/>
                <w:szCs w:val="18"/>
              </w:rPr>
              <w:t>Electric Furnace</w:t>
            </w:r>
          </w:p>
        </w:tc>
        <w:tc>
          <w:tcPr>
            <w:tcW w:w="411" w:type="pct"/>
            <w:shd w:val="clear" w:color="auto" w:fill="BFBFBF" w:themeFill="background1" w:themeFillShade="BF"/>
            <w:tcMar>
              <w:left w:w="0" w:type="dxa"/>
              <w:right w:w="0" w:type="dxa"/>
            </w:tcMar>
            <w:vAlign w:val="center"/>
          </w:tcPr>
          <w:p w14:paraId="5085CC6C" w14:textId="77777777" w:rsidR="00EA5BBF" w:rsidRPr="001570EA" w:rsidRDefault="00EA5BBF">
            <w:pPr>
              <w:keepNext/>
              <w:keepLines/>
              <w:jc w:val="center"/>
              <w:rPr>
                <w:rFonts w:cs="Arial"/>
                <w:b/>
                <w:sz w:val="18"/>
                <w:szCs w:val="18"/>
              </w:rPr>
            </w:pPr>
            <w:r w:rsidRPr="001570EA">
              <w:rPr>
                <w:b/>
                <w:bCs/>
                <w:sz w:val="18"/>
                <w:szCs w:val="18"/>
              </w:rPr>
              <w:t>GSHP</w:t>
            </w:r>
          </w:p>
        </w:tc>
        <w:tc>
          <w:tcPr>
            <w:tcW w:w="417" w:type="pct"/>
            <w:shd w:val="clear" w:color="auto" w:fill="BFBFBF" w:themeFill="background1" w:themeFillShade="BF"/>
            <w:vAlign w:val="center"/>
          </w:tcPr>
          <w:p w14:paraId="38001E1B" w14:textId="77777777" w:rsidR="00EA5BBF" w:rsidRPr="001570EA" w:rsidRDefault="00EA5BBF">
            <w:pPr>
              <w:keepNext/>
              <w:keepLines/>
              <w:jc w:val="center"/>
              <w:rPr>
                <w:rFonts w:cs="Arial"/>
                <w:b/>
                <w:sz w:val="18"/>
                <w:szCs w:val="18"/>
              </w:rPr>
            </w:pPr>
            <w:r w:rsidRPr="001570EA">
              <w:rPr>
                <w:b/>
                <w:bCs/>
                <w:sz w:val="18"/>
                <w:szCs w:val="18"/>
              </w:rPr>
              <w:t>Mini-split</w:t>
            </w:r>
          </w:p>
        </w:tc>
      </w:tr>
      <w:tr w:rsidR="00EA5BBF" w:rsidRPr="001570EA" w14:paraId="4126D1E9" w14:textId="77777777">
        <w:tc>
          <w:tcPr>
            <w:tcW w:w="510" w:type="pct"/>
            <w:shd w:val="clear" w:color="auto" w:fill="BFBFBF" w:themeFill="background1" w:themeFillShade="BF"/>
            <w:vAlign w:val="center"/>
          </w:tcPr>
          <w:p w14:paraId="61E937F5" w14:textId="77777777" w:rsidR="00EA5BBF" w:rsidRPr="001570EA" w:rsidRDefault="00EA5BBF">
            <w:pPr>
              <w:keepNext/>
              <w:keepLines/>
              <w:jc w:val="center"/>
              <w:rPr>
                <w:rFonts w:cs="Arial"/>
                <w:sz w:val="18"/>
                <w:szCs w:val="18"/>
              </w:rPr>
            </w:pPr>
            <w:r w:rsidRPr="001570EA">
              <w:rPr>
                <w:rFonts w:cs="Arial"/>
                <w:bCs/>
                <w:sz w:val="18"/>
                <w:szCs w:val="18"/>
              </w:rPr>
              <w:t>A</w:t>
            </w:r>
          </w:p>
        </w:tc>
        <w:tc>
          <w:tcPr>
            <w:tcW w:w="446" w:type="pct"/>
          </w:tcPr>
          <w:p w14:paraId="4B14AA1D" w14:textId="77777777" w:rsidR="00EA5BBF" w:rsidRPr="001570EA" w:rsidRDefault="00EA5BBF">
            <w:pPr>
              <w:keepNext/>
              <w:keepLines/>
              <w:jc w:val="center"/>
              <w:rPr>
                <w:rFonts w:cs="Arial"/>
                <w:sz w:val="18"/>
                <w:szCs w:val="18"/>
              </w:rPr>
            </w:pPr>
            <w:r w:rsidRPr="001570EA">
              <w:rPr>
                <w:rFonts w:cs="Arial"/>
                <w:bCs/>
                <w:sz w:val="18"/>
                <w:szCs w:val="18"/>
              </w:rPr>
              <w:t>0.23</w:t>
            </w:r>
          </w:p>
        </w:tc>
        <w:tc>
          <w:tcPr>
            <w:tcW w:w="526" w:type="pct"/>
          </w:tcPr>
          <w:p w14:paraId="72CEFAE4" w14:textId="77777777" w:rsidR="00EA5BBF" w:rsidRPr="001570EA" w:rsidRDefault="00EA5BBF">
            <w:pPr>
              <w:keepNext/>
              <w:keepLines/>
              <w:jc w:val="center"/>
              <w:rPr>
                <w:rFonts w:cs="Arial"/>
                <w:sz w:val="18"/>
                <w:szCs w:val="18"/>
              </w:rPr>
            </w:pPr>
            <w:r w:rsidRPr="001570EA">
              <w:rPr>
                <w:rFonts w:cs="Arial"/>
                <w:bCs/>
                <w:sz w:val="18"/>
                <w:szCs w:val="18"/>
              </w:rPr>
              <w:t>0.18</w:t>
            </w:r>
          </w:p>
        </w:tc>
        <w:tc>
          <w:tcPr>
            <w:tcW w:w="378" w:type="pct"/>
          </w:tcPr>
          <w:p w14:paraId="097BED4D" w14:textId="77777777" w:rsidR="00EA5BBF" w:rsidRPr="001570EA" w:rsidRDefault="00EA5BBF">
            <w:pPr>
              <w:keepNext/>
              <w:keepLines/>
              <w:jc w:val="center"/>
              <w:rPr>
                <w:rFonts w:cs="Arial"/>
                <w:sz w:val="18"/>
                <w:szCs w:val="18"/>
              </w:rPr>
            </w:pPr>
            <w:r w:rsidRPr="001570EA">
              <w:rPr>
                <w:rFonts w:cs="Arial"/>
                <w:sz w:val="18"/>
                <w:szCs w:val="18"/>
              </w:rPr>
              <w:t>0.12</w:t>
            </w:r>
          </w:p>
        </w:tc>
        <w:tc>
          <w:tcPr>
            <w:tcW w:w="403" w:type="pct"/>
          </w:tcPr>
          <w:p w14:paraId="724B48CF" w14:textId="77777777" w:rsidR="00EA5BBF" w:rsidRPr="001570EA" w:rsidRDefault="00EA5BBF">
            <w:pPr>
              <w:keepNext/>
              <w:keepLines/>
              <w:jc w:val="center"/>
              <w:rPr>
                <w:rFonts w:cs="Arial"/>
                <w:sz w:val="18"/>
                <w:szCs w:val="18"/>
              </w:rPr>
            </w:pPr>
            <w:r w:rsidRPr="001570EA">
              <w:rPr>
                <w:rFonts w:cs="Arial"/>
                <w:sz w:val="18"/>
                <w:szCs w:val="18"/>
              </w:rPr>
              <w:t>0.13</w:t>
            </w:r>
          </w:p>
        </w:tc>
        <w:tc>
          <w:tcPr>
            <w:tcW w:w="515" w:type="pct"/>
          </w:tcPr>
          <w:p w14:paraId="4D3522FC" w14:textId="77777777" w:rsidR="00EA5BBF" w:rsidRPr="001570EA" w:rsidRDefault="00EA5BBF">
            <w:pPr>
              <w:keepNext/>
              <w:keepLines/>
              <w:jc w:val="center"/>
              <w:rPr>
                <w:rFonts w:cs="Arial"/>
                <w:sz w:val="18"/>
                <w:szCs w:val="18"/>
              </w:rPr>
            </w:pPr>
            <w:r w:rsidRPr="001570EA">
              <w:rPr>
                <w:rFonts w:cs="Arial"/>
                <w:sz w:val="18"/>
                <w:szCs w:val="18"/>
              </w:rPr>
              <w:t>0.26</w:t>
            </w:r>
          </w:p>
        </w:tc>
        <w:tc>
          <w:tcPr>
            <w:tcW w:w="371" w:type="pct"/>
          </w:tcPr>
          <w:p w14:paraId="0A8C0C12" w14:textId="77777777" w:rsidR="00EA5BBF" w:rsidRPr="001570EA" w:rsidRDefault="00EA5BBF">
            <w:pPr>
              <w:keepNext/>
              <w:keepLines/>
              <w:jc w:val="center"/>
              <w:rPr>
                <w:rFonts w:cs="Arial"/>
                <w:sz w:val="18"/>
                <w:szCs w:val="18"/>
              </w:rPr>
            </w:pPr>
            <w:r w:rsidRPr="001570EA">
              <w:rPr>
                <w:rFonts w:cs="Arial"/>
                <w:sz w:val="18"/>
                <w:szCs w:val="18"/>
              </w:rPr>
              <w:t>2.52</w:t>
            </w:r>
          </w:p>
        </w:tc>
        <w:tc>
          <w:tcPr>
            <w:tcW w:w="449" w:type="pct"/>
          </w:tcPr>
          <w:p w14:paraId="39B7BEF2" w14:textId="77777777" w:rsidR="00EA5BBF" w:rsidRPr="001570EA" w:rsidRDefault="00EA5BBF">
            <w:pPr>
              <w:keepNext/>
              <w:keepLines/>
              <w:jc w:val="center"/>
              <w:rPr>
                <w:rFonts w:cs="Arial"/>
                <w:color w:val="000000"/>
                <w:sz w:val="18"/>
                <w:szCs w:val="18"/>
              </w:rPr>
            </w:pPr>
            <w:r w:rsidRPr="001570EA">
              <w:rPr>
                <w:rFonts w:cs="Arial"/>
                <w:sz w:val="18"/>
                <w:szCs w:val="18"/>
              </w:rPr>
              <w:t>6.39</w:t>
            </w:r>
          </w:p>
        </w:tc>
        <w:tc>
          <w:tcPr>
            <w:tcW w:w="575" w:type="pct"/>
          </w:tcPr>
          <w:p w14:paraId="59250A6D" w14:textId="77777777" w:rsidR="00EA5BBF" w:rsidRPr="001570EA" w:rsidRDefault="00EA5BBF">
            <w:pPr>
              <w:keepNext/>
              <w:keepLines/>
              <w:jc w:val="center"/>
              <w:rPr>
                <w:rFonts w:cs="Arial"/>
                <w:sz w:val="18"/>
                <w:szCs w:val="18"/>
              </w:rPr>
            </w:pPr>
            <w:r w:rsidRPr="001570EA">
              <w:rPr>
                <w:rFonts w:cs="Arial"/>
                <w:sz w:val="18"/>
                <w:szCs w:val="18"/>
              </w:rPr>
              <w:t>6.80</w:t>
            </w:r>
          </w:p>
        </w:tc>
        <w:tc>
          <w:tcPr>
            <w:tcW w:w="411" w:type="pct"/>
          </w:tcPr>
          <w:p w14:paraId="7D0DE07E" w14:textId="77777777" w:rsidR="00EA5BBF" w:rsidRPr="001570EA" w:rsidRDefault="00EA5BBF">
            <w:pPr>
              <w:keepNext/>
              <w:keepLines/>
              <w:jc w:val="center"/>
              <w:rPr>
                <w:rFonts w:cs="Arial"/>
                <w:sz w:val="18"/>
                <w:szCs w:val="18"/>
              </w:rPr>
            </w:pPr>
            <w:r w:rsidRPr="001570EA">
              <w:rPr>
                <w:rFonts w:cs="Arial"/>
                <w:sz w:val="18"/>
                <w:szCs w:val="18"/>
              </w:rPr>
              <w:t>2.00</w:t>
            </w:r>
          </w:p>
        </w:tc>
        <w:tc>
          <w:tcPr>
            <w:tcW w:w="417" w:type="pct"/>
          </w:tcPr>
          <w:p w14:paraId="186A4D5E" w14:textId="77777777" w:rsidR="00EA5BBF" w:rsidRPr="001570EA" w:rsidRDefault="00EA5BBF">
            <w:pPr>
              <w:keepNext/>
              <w:keepLines/>
              <w:jc w:val="center"/>
              <w:rPr>
                <w:rFonts w:cs="Arial"/>
                <w:sz w:val="18"/>
                <w:szCs w:val="18"/>
              </w:rPr>
            </w:pPr>
            <w:r w:rsidRPr="001570EA">
              <w:rPr>
                <w:rFonts w:cs="Arial"/>
                <w:sz w:val="18"/>
                <w:szCs w:val="18"/>
              </w:rPr>
              <w:t>2.21</w:t>
            </w:r>
          </w:p>
        </w:tc>
      </w:tr>
      <w:tr w:rsidR="00EA5BBF" w:rsidRPr="001570EA" w14:paraId="0040A080" w14:textId="77777777">
        <w:tc>
          <w:tcPr>
            <w:tcW w:w="510" w:type="pct"/>
            <w:shd w:val="clear" w:color="auto" w:fill="BFBFBF" w:themeFill="background1" w:themeFillShade="BF"/>
            <w:vAlign w:val="center"/>
          </w:tcPr>
          <w:p w14:paraId="094FAB6B" w14:textId="77777777" w:rsidR="00EA5BBF" w:rsidRPr="001570EA" w:rsidRDefault="00EA5BBF">
            <w:pPr>
              <w:keepNext/>
              <w:keepLines/>
              <w:jc w:val="center"/>
              <w:rPr>
                <w:rFonts w:cs="Arial"/>
                <w:sz w:val="18"/>
                <w:szCs w:val="18"/>
              </w:rPr>
            </w:pPr>
            <w:r w:rsidRPr="001570EA">
              <w:rPr>
                <w:rFonts w:cs="Arial"/>
                <w:bCs/>
                <w:sz w:val="18"/>
                <w:szCs w:val="18"/>
              </w:rPr>
              <w:t>B</w:t>
            </w:r>
          </w:p>
        </w:tc>
        <w:tc>
          <w:tcPr>
            <w:tcW w:w="446" w:type="pct"/>
          </w:tcPr>
          <w:p w14:paraId="506FDE32" w14:textId="77777777" w:rsidR="00EA5BBF" w:rsidRPr="001570EA" w:rsidRDefault="00EA5BBF">
            <w:pPr>
              <w:keepNext/>
              <w:keepLines/>
              <w:jc w:val="center"/>
              <w:rPr>
                <w:rFonts w:cs="Arial"/>
                <w:sz w:val="18"/>
                <w:szCs w:val="18"/>
              </w:rPr>
            </w:pPr>
            <w:r w:rsidRPr="001570EA">
              <w:rPr>
                <w:rFonts w:cs="Arial"/>
                <w:bCs/>
                <w:sz w:val="18"/>
                <w:szCs w:val="18"/>
              </w:rPr>
              <w:t>0.31</w:t>
            </w:r>
          </w:p>
        </w:tc>
        <w:tc>
          <w:tcPr>
            <w:tcW w:w="526" w:type="pct"/>
          </w:tcPr>
          <w:p w14:paraId="6EABF216" w14:textId="77777777" w:rsidR="00EA5BBF" w:rsidRPr="001570EA" w:rsidRDefault="00EA5BBF">
            <w:pPr>
              <w:keepNext/>
              <w:keepLines/>
              <w:jc w:val="center"/>
              <w:rPr>
                <w:rFonts w:cs="Arial"/>
                <w:sz w:val="18"/>
                <w:szCs w:val="18"/>
              </w:rPr>
            </w:pPr>
            <w:r w:rsidRPr="001570EA">
              <w:rPr>
                <w:rFonts w:cs="Arial"/>
                <w:bCs/>
                <w:sz w:val="18"/>
                <w:szCs w:val="18"/>
              </w:rPr>
              <w:t>0.38</w:t>
            </w:r>
          </w:p>
        </w:tc>
        <w:tc>
          <w:tcPr>
            <w:tcW w:w="378" w:type="pct"/>
          </w:tcPr>
          <w:p w14:paraId="55733299" w14:textId="77777777" w:rsidR="00EA5BBF" w:rsidRPr="001570EA" w:rsidRDefault="00EA5BBF">
            <w:pPr>
              <w:keepNext/>
              <w:keepLines/>
              <w:jc w:val="center"/>
              <w:rPr>
                <w:rFonts w:cs="Arial"/>
                <w:sz w:val="18"/>
                <w:szCs w:val="18"/>
              </w:rPr>
            </w:pPr>
            <w:r w:rsidRPr="001570EA">
              <w:rPr>
                <w:rFonts w:cs="Arial"/>
                <w:sz w:val="18"/>
                <w:szCs w:val="18"/>
              </w:rPr>
              <w:t>0.20</w:t>
            </w:r>
          </w:p>
        </w:tc>
        <w:tc>
          <w:tcPr>
            <w:tcW w:w="403" w:type="pct"/>
          </w:tcPr>
          <w:p w14:paraId="3F68F41E" w14:textId="77777777" w:rsidR="00EA5BBF" w:rsidRPr="001570EA" w:rsidRDefault="00EA5BBF">
            <w:pPr>
              <w:keepNext/>
              <w:keepLines/>
              <w:jc w:val="center"/>
              <w:rPr>
                <w:rFonts w:cs="Arial"/>
                <w:sz w:val="18"/>
                <w:szCs w:val="18"/>
              </w:rPr>
            </w:pPr>
            <w:r w:rsidRPr="001570EA">
              <w:rPr>
                <w:rFonts w:cs="Arial"/>
                <w:sz w:val="18"/>
                <w:szCs w:val="18"/>
              </w:rPr>
              <w:t>0.27</w:t>
            </w:r>
          </w:p>
        </w:tc>
        <w:tc>
          <w:tcPr>
            <w:tcW w:w="515" w:type="pct"/>
          </w:tcPr>
          <w:p w14:paraId="386A0940" w14:textId="77777777" w:rsidR="00EA5BBF" w:rsidRPr="001570EA" w:rsidRDefault="00EA5BBF">
            <w:pPr>
              <w:keepNext/>
              <w:keepLines/>
              <w:jc w:val="center"/>
              <w:rPr>
                <w:rFonts w:cs="Arial"/>
                <w:sz w:val="18"/>
                <w:szCs w:val="18"/>
              </w:rPr>
            </w:pPr>
            <w:r w:rsidRPr="001570EA">
              <w:rPr>
                <w:rFonts w:cs="Arial"/>
                <w:sz w:val="18"/>
                <w:szCs w:val="18"/>
              </w:rPr>
              <w:t>0.52</w:t>
            </w:r>
          </w:p>
        </w:tc>
        <w:tc>
          <w:tcPr>
            <w:tcW w:w="371" w:type="pct"/>
          </w:tcPr>
          <w:p w14:paraId="56F1BABC" w14:textId="77777777" w:rsidR="00EA5BBF" w:rsidRPr="001570EA" w:rsidRDefault="00EA5BBF">
            <w:pPr>
              <w:keepNext/>
              <w:keepLines/>
              <w:jc w:val="center"/>
              <w:rPr>
                <w:rFonts w:cs="Arial"/>
                <w:sz w:val="18"/>
                <w:szCs w:val="18"/>
              </w:rPr>
            </w:pPr>
            <w:r w:rsidRPr="001570EA">
              <w:rPr>
                <w:rFonts w:cs="Arial"/>
                <w:sz w:val="18"/>
                <w:szCs w:val="18"/>
              </w:rPr>
              <w:t>1.93</w:t>
            </w:r>
          </w:p>
        </w:tc>
        <w:tc>
          <w:tcPr>
            <w:tcW w:w="449" w:type="pct"/>
          </w:tcPr>
          <w:p w14:paraId="12959A03" w14:textId="77777777" w:rsidR="00EA5BBF" w:rsidRPr="001570EA" w:rsidRDefault="00EA5BBF">
            <w:pPr>
              <w:keepNext/>
              <w:keepLines/>
              <w:jc w:val="center"/>
              <w:rPr>
                <w:rFonts w:cs="Arial"/>
                <w:color w:val="000000"/>
                <w:sz w:val="18"/>
                <w:szCs w:val="18"/>
              </w:rPr>
            </w:pPr>
            <w:r w:rsidRPr="001570EA">
              <w:rPr>
                <w:rFonts w:cs="Arial"/>
                <w:sz w:val="18"/>
                <w:szCs w:val="18"/>
              </w:rPr>
              <w:t>4.96</w:t>
            </w:r>
          </w:p>
        </w:tc>
        <w:tc>
          <w:tcPr>
            <w:tcW w:w="575" w:type="pct"/>
          </w:tcPr>
          <w:p w14:paraId="10422528" w14:textId="77777777" w:rsidR="00EA5BBF" w:rsidRPr="001570EA" w:rsidRDefault="00EA5BBF">
            <w:pPr>
              <w:keepNext/>
              <w:keepLines/>
              <w:jc w:val="center"/>
              <w:rPr>
                <w:rFonts w:cs="Arial"/>
                <w:sz w:val="18"/>
                <w:szCs w:val="18"/>
              </w:rPr>
            </w:pPr>
            <w:r w:rsidRPr="001570EA">
              <w:rPr>
                <w:rFonts w:cs="Arial"/>
                <w:sz w:val="18"/>
                <w:szCs w:val="18"/>
              </w:rPr>
              <w:t>5.25</w:t>
            </w:r>
          </w:p>
        </w:tc>
        <w:tc>
          <w:tcPr>
            <w:tcW w:w="411" w:type="pct"/>
          </w:tcPr>
          <w:p w14:paraId="54982E9F" w14:textId="77777777" w:rsidR="00EA5BBF" w:rsidRPr="001570EA" w:rsidRDefault="00EA5BBF">
            <w:pPr>
              <w:keepNext/>
              <w:keepLines/>
              <w:jc w:val="center"/>
              <w:rPr>
                <w:rFonts w:cs="Arial"/>
                <w:sz w:val="18"/>
                <w:szCs w:val="18"/>
              </w:rPr>
            </w:pPr>
            <w:r w:rsidRPr="001570EA">
              <w:rPr>
                <w:rFonts w:cs="Arial"/>
                <w:sz w:val="18"/>
                <w:szCs w:val="18"/>
              </w:rPr>
              <w:t>1.43</w:t>
            </w:r>
          </w:p>
        </w:tc>
        <w:tc>
          <w:tcPr>
            <w:tcW w:w="417" w:type="pct"/>
          </w:tcPr>
          <w:p w14:paraId="6D41615A" w14:textId="77777777" w:rsidR="00EA5BBF" w:rsidRPr="001570EA" w:rsidRDefault="00EA5BBF">
            <w:pPr>
              <w:keepNext/>
              <w:keepLines/>
              <w:jc w:val="center"/>
              <w:rPr>
                <w:rFonts w:cs="Arial"/>
                <w:sz w:val="18"/>
                <w:szCs w:val="18"/>
              </w:rPr>
            </w:pPr>
            <w:r w:rsidRPr="001570EA">
              <w:rPr>
                <w:rFonts w:cs="Arial"/>
                <w:sz w:val="18"/>
                <w:szCs w:val="18"/>
              </w:rPr>
              <w:t>1.36</w:t>
            </w:r>
          </w:p>
        </w:tc>
      </w:tr>
      <w:tr w:rsidR="00EA5BBF" w:rsidRPr="001570EA" w14:paraId="730979B1" w14:textId="77777777">
        <w:tc>
          <w:tcPr>
            <w:tcW w:w="510" w:type="pct"/>
            <w:shd w:val="clear" w:color="auto" w:fill="BFBFBF" w:themeFill="background1" w:themeFillShade="BF"/>
            <w:vAlign w:val="center"/>
          </w:tcPr>
          <w:p w14:paraId="4A5A0A11" w14:textId="77777777" w:rsidR="00EA5BBF" w:rsidRPr="001570EA" w:rsidRDefault="00EA5BBF">
            <w:pPr>
              <w:keepNext/>
              <w:keepLines/>
              <w:jc w:val="center"/>
              <w:rPr>
                <w:rFonts w:cs="Arial"/>
                <w:sz w:val="18"/>
                <w:szCs w:val="18"/>
              </w:rPr>
            </w:pPr>
            <w:r w:rsidRPr="001570EA">
              <w:rPr>
                <w:rFonts w:cs="Arial"/>
                <w:bCs/>
                <w:sz w:val="18"/>
                <w:szCs w:val="18"/>
              </w:rPr>
              <w:t>C</w:t>
            </w:r>
          </w:p>
        </w:tc>
        <w:tc>
          <w:tcPr>
            <w:tcW w:w="446" w:type="pct"/>
          </w:tcPr>
          <w:p w14:paraId="7B411786" w14:textId="77777777" w:rsidR="00EA5BBF" w:rsidRPr="001570EA" w:rsidRDefault="00EA5BBF">
            <w:pPr>
              <w:keepNext/>
              <w:keepLines/>
              <w:jc w:val="center"/>
              <w:rPr>
                <w:rFonts w:cs="Arial"/>
                <w:sz w:val="18"/>
                <w:szCs w:val="18"/>
              </w:rPr>
            </w:pPr>
            <w:r w:rsidRPr="001570EA">
              <w:rPr>
                <w:rFonts w:cs="Arial"/>
                <w:bCs/>
                <w:sz w:val="18"/>
                <w:szCs w:val="18"/>
              </w:rPr>
              <w:t>0.41</w:t>
            </w:r>
          </w:p>
        </w:tc>
        <w:tc>
          <w:tcPr>
            <w:tcW w:w="526" w:type="pct"/>
          </w:tcPr>
          <w:p w14:paraId="0B3066BF" w14:textId="77777777" w:rsidR="00EA5BBF" w:rsidRPr="001570EA" w:rsidRDefault="00EA5BBF">
            <w:pPr>
              <w:keepNext/>
              <w:keepLines/>
              <w:jc w:val="center"/>
              <w:rPr>
                <w:rFonts w:cs="Arial"/>
                <w:sz w:val="18"/>
                <w:szCs w:val="18"/>
              </w:rPr>
            </w:pPr>
            <w:r w:rsidRPr="001570EA">
              <w:rPr>
                <w:rFonts w:cs="Arial"/>
                <w:bCs/>
                <w:sz w:val="18"/>
                <w:szCs w:val="18"/>
              </w:rPr>
              <w:t>0.49</w:t>
            </w:r>
          </w:p>
        </w:tc>
        <w:tc>
          <w:tcPr>
            <w:tcW w:w="378" w:type="pct"/>
          </w:tcPr>
          <w:p w14:paraId="5AE252A0" w14:textId="77777777" w:rsidR="00EA5BBF" w:rsidRPr="001570EA" w:rsidRDefault="00EA5BBF">
            <w:pPr>
              <w:keepNext/>
              <w:keepLines/>
              <w:jc w:val="center"/>
              <w:rPr>
                <w:rFonts w:cs="Arial"/>
                <w:sz w:val="18"/>
                <w:szCs w:val="18"/>
              </w:rPr>
            </w:pPr>
            <w:r w:rsidRPr="001570EA">
              <w:rPr>
                <w:rFonts w:cs="Arial"/>
                <w:sz w:val="18"/>
                <w:szCs w:val="18"/>
              </w:rPr>
              <w:t>0.30</w:t>
            </w:r>
          </w:p>
        </w:tc>
        <w:tc>
          <w:tcPr>
            <w:tcW w:w="403" w:type="pct"/>
          </w:tcPr>
          <w:p w14:paraId="3788A888" w14:textId="77777777" w:rsidR="00EA5BBF" w:rsidRPr="001570EA" w:rsidRDefault="00EA5BBF">
            <w:pPr>
              <w:keepNext/>
              <w:keepLines/>
              <w:jc w:val="center"/>
              <w:rPr>
                <w:rFonts w:cs="Arial"/>
                <w:sz w:val="18"/>
                <w:szCs w:val="18"/>
              </w:rPr>
            </w:pPr>
            <w:r w:rsidRPr="001570EA">
              <w:rPr>
                <w:rFonts w:cs="Arial"/>
                <w:sz w:val="18"/>
                <w:szCs w:val="18"/>
              </w:rPr>
              <w:t>0.30</w:t>
            </w:r>
          </w:p>
        </w:tc>
        <w:tc>
          <w:tcPr>
            <w:tcW w:w="515" w:type="pct"/>
          </w:tcPr>
          <w:p w14:paraId="10B62C2C" w14:textId="77777777" w:rsidR="00EA5BBF" w:rsidRPr="001570EA" w:rsidRDefault="00EA5BBF">
            <w:pPr>
              <w:keepNext/>
              <w:keepLines/>
              <w:jc w:val="center"/>
              <w:rPr>
                <w:rFonts w:cs="Arial"/>
                <w:sz w:val="18"/>
                <w:szCs w:val="18"/>
              </w:rPr>
            </w:pPr>
            <w:r w:rsidRPr="001570EA">
              <w:rPr>
                <w:rFonts w:cs="Arial"/>
                <w:sz w:val="18"/>
                <w:szCs w:val="18"/>
              </w:rPr>
              <w:t>0.66</w:t>
            </w:r>
          </w:p>
        </w:tc>
        <w:tc>
          <w:tcPr>
            <w:tcW w:w="371" w:type="pct"/>
          </w:tcPr>
          <w:p w14:paraId="37C94164" w14:textId="77777777" w:rsidR="00EA5BBF" w:rsidRPr="001570EA" w:rsidRDefault="00EA5BBF">
            <w:pPr>
              <w:keepNext/>
              <w:keepLines/>
              <w:jc w:val="center"/>
              <w:rPr>
                <w:rFonts w:cs="Arial"/>
                <w:sz w:val="18"/>
                <w:szCs w:val="18"/>
              </w:rPr>
            </w:pPr>
            <w:r w:rsidRPr="001570EA">
              <w:rPr>
                <w:rFonts w:cs="Arial"/>
                <w:sz w:val="18"/>
                <w:szCs w:val="18"/>
              </w:rPr>
              <w:t>1.75</w:t>
            </w:r>
          </w:p>
        </w:tc>
        <w:tc>
          <w:tcPr>
            <w:tcW w:w="449" w:type="pct"/>
          </w:tcPr>
          <w:p w14:paraId="3EDE7604" w14:textId="77777777" w:rsidR="00EA5BBF" w:rsidRPr="001570EA" w:rsidRDefault="00EA5BBF">
            <w:pPr>
              <w:keepNext/>
              <w:keepLines/>
              <w:jc w:val="center"/>
              <w:rPr>
                <w:rFonts w:cs="Arial"/>
                <w:color w:val="000000"/>
                <w:sz w:val="18"/>
                <w:szCs w:val="18"/>
              </w:rPr>
            </w:pPr>
            <w:r w:rsidRPr="001570EA">
              <w:rPr>
                <w:rFonts w:cs="Arial"/>
                <w:sz w:val="18"/>
                <w:szCs w:val="18"/>
              </w:rPr>
              <w:t>4.59</w:t>
            </w:r>
          </w:p>
        </w:tc>
        <w:tc>
          <w:tcPr>
            <w:tcW w:w="575" w:type="pct"/>
          </w:tcPr>
          <w:p w14:paraId="77624560" w14:textId="77777777" w:rsidR="00EA5BBF" w:rsidRPr="001570EA" w:rsidRDefault="00EA5BBF">
            <w:pPr>
              <w:keepNext/>
              <w:keepLines/>
              <w:jc w:val="center"/>
              <w:rPr>
                <w:rFonts w:cs="Arial"/>
                <w:sz w:val="18"/>
                <w:szCs w:val="18"/>
              </w:rPr>
            </w:pPr>
            <w:r w:rsidRPr="001570EA">
              <w:rPr>
                <w:rFonts w:cs="Arial"/>
                <w:sz w:val="18"/>
                <w:szCs w:val="18"/>
              </w:rPr>
              <w:t>4.80</w:t>
            </w:r>
          </w:p>
        </w:tc>
        <w:tc>
          <w:tcPr>
            <w:tcW w:w="411" w:type="pct"/>
          </w:tcPr>
          <w:p w14:paraId="100C707C" w14:textId="77777777" w:rsidR="00EA5BBF" w:rsidRPr="001570EA" w:rsidRDefault="00EA5BBF">
            <w:pPr>
              <w:keepNext/>
              <w:keepLines/>
              <w:jc w:val="center"/>
              <w:rPr>
                <w:rFonts w:cs="Arial"/>
                <w:sz w:val="18"/>
                <w:szCs w:val="18"/>
              </w:rPr>
            </w:pPr>
            <w:r w:rsidRPr="001570EA">
              <w:rPr>
                <w:rFonts w:cs="Arial"/>
                <w:sz w:val="18"/>
                <w:szCs w:val="18"/>
              </w:rPr>
              <w:t>1.29</w:t>
            </w:r>
          </w:p>
        </w:tc>
        <w:tc>
          <w:tcPr>
            <w:tcW w:w="417" w:type="pct"/>
          </w:tcPr>
          <w:p w14:paraId="4843FB38" w14:textId="77777777" w:rsidR="00EA5BBF" w:rsidRPr="001570EA" w:rsidRDefault="00EA5BBF">
            <w:pPr>
              <w:keepNext/>
              <w:keepLines/>
              <w:jc w:val="center"/>
              <w:rPr>
                <w:rFonts w:cs="Arial"/>
                <w:sz w:val="18"/>
                <w:szCs w:val="18"/>
              </w:rPr>
            </w:pPr>
            <w:r w:rsidRPr="001570EA">
              <w:rPr>
                <w:rFonts w:cs="Arial"/>
                <w:sz w:val="18"/>
                <w:szCs w:val="18"/>
              </w:rPr>
              <w:t>1.24</w:t>
            </w:r>
          </w:p>
        </w:tc>
      </w:tr>
      <w:tr w:rsidR="00EA5BBF" w:rsidRPr="001570EA" w14:paraId="4B13BAAC" w14:textId="77777777">
        <w:tc>
          <w:tcPr>
            <w:tcW w:w="510" w:type="pct"/>
            <w:shd w:val="clear" w:color="auto" w:fill="BFBFBF" w:themeFill="background1" w:themeFillShade="BF"/>
            <w:vAlign w:val="center"/>
          </w:tcPr>
          <w:p w14:paraId="4D8E8026" w14:textId="77777777" w:rsidR="00EA5BBF" w:rsidRPr="001570EA" w:rsidRDefault="00EA5BBF">
            <w:pPr>
              <w:keepNext/>
              <w:keepLines/>
              <w:jc w:val="center"/>
              <w:rPr>
                <w:rFonts w:cs="Arial"/>
                <w:sz w:val="18"/>
                <w:szCs w:val="18"/>
              </w:rPr>
            </w:pPr>
            <w:r w:rsidRPr="001570EA">
              <w:rPr>
                <w:rFonts w:cs="Arial"/>
                <w:bCs/>
                <w:sz w:val="18"/>
                <w:szCs w:val="18"/>
              </w:rPr>
              <w:t>D</w:t>
            </w:r>
          </w:p>
        </w:tc>
        <w:tc>
          <w:tcPr>
            <w:tcW w:w="446" w:type="pct"/>
          </w:tcPr>
          <w:p w14:paraId="6ED70D97" w14:textId="77777777" w:rsidR="00EA5BBF" w:rsidRPr="001570EA" w:rsidRDefault="00EA5BBF">
            <w:pPr>
              <w:keepNext/>
              <w:keepLines/>
              <w:jc w:val="center"/>
              <w:rPr>
                <w:rFonts w:cs="Arial"/>
                <w:sz w:val="18"/>
                <w:szCs w:val="18"/>
              </w:rPr>
            </w:pPr>
            <w:r w:rsidRPr="001570EA">
              <w:rPr>
                <w:rFonts w:cs="Arial"/>
                <w:bCs/>
                <w:sz w:val="18"/>
                <w:szCs w:val="18"/>
              </w:rPr>
              <w:t>0.70</w:t>
            </w:r>
          </w:p>
        </w:tc>
        <w:tc>
          <w:tcPr>
            <w:tcW w:w="526" w:type="pct"/>
          </w:tcPr>
          <w:p w14:paraId="4B314740" w14:textId="77777777" w:rsidR="00EA5BBF" w:rsidRPr="001570EA" w:rsidRDefault="00EA5BBF">
            <w:pPr>
              <w:keepNext/>
              <w:keepLines/>
              <w:jc w:val="center"/>
              <w:rPr>
                <w:rFonts w:cs="Arial"/>
                <w:sz w:val="18"/>
                <w:szCs w:val="18"/>
              </w:rPr>
            </w:pPr>
            <w:r w:rsidRPr="001570EA">
              <w:rPr>
                <w:rFonts w:cs="Arial"/>
                <w:bCs/>
                <w:sz w:val="18"/>
                <w:szCs w:val="18"/>
              </w:rPr>
              <w:t>0.76</w:t>
            </w:r>
          </w:p>
        </w:tc>
        <w:tc>
          <w:tcPr>
            <w:tcW w:w="378" w:type="pct"/>
          </w:tcPr>
          <w:p w14:paraId="3C874395" w14:textId="77777777" w:rsidR="00EA5BBF" w:rsidRPr="001570EA" w:rsidRDefault="00EA5BBF">
            <w:pPr>
              <w:keepNext/>
              <w:keepLines/>
              <w:jc w:val="center"/>
              <w:rPr>
                <w:rFonts w:cs="Arial"/>
                <w:sz w:val="18"/>
                <w:szCs w:val="18"/>
              </w:rPr>
            </w:pPr>
            <w:r w:rsidRPr="001570EA">
              <w:rPr>
                <w:rFonts w:cs="Arial"/>
                <w:sz w:val="18"/>
                <w:szCs w:val="18"/>
              </w:rPr>
              <w:t>0.60</w:t>
            </w:r>
          </w:p>
        </w:tc>
        <w:tc>
          <w:tcPr>
            <w:tcW w:w="403" w:type="pct"/>
          </w:tcPr>
          <w:p w14:paraId="2C388319" w14:textId="77777777" w:rsidR="00EA5BBF" w:rsidRPr="001570EA" w:rsidRDefault="00EA5BBF">
            <w:pPr>
              <w:keepNext/>
              <w:keepLines/>
              <w:jc w:val="center"/>
              <w:rPr>
                <w:rFonts w:cs="Arial"/>
                <w:sz w:val="18"/>
                <w:szCs w:val="18"/>
              </w:rPr>
            </w:pPr>
            <w:r w:rsidRPr="001570EA">
              <w:rPr>
                <w:rFonts w:cs="Arial"/>
                <w:sz w:val="18"/>
                <w:szCs w:val="18"/>
              </w:rPr>
              <w:t>0.51</w:t>
            </w:r>
          </w:p>
        </w:tc>
        <w:tc>
          <w:tcPr>
            <w:tcW w:w="515" w:type="pct"/>
          </w:tcPr>
          <w:p w14:paraId="0F0A1301" w14:textId="77777777" w:rsidR="00EA5BBF" w:rsidRPr="001570EA" w:rsidRDefault="00EA5BBF">
            <w:pPr>
              <w:keepNext/>
              <w:keepLines/>
              <w:jc w:val="center"/>
              <w:rPr>
                <w:rFonts w:cs="Arial"/>
                <w:sz w:val="18"/>
                <w:szCs w:val="18"/>
              </w:rPr>
            </w:pPr>
            <w:r w:rsidRPr="001570EA">
              <w:rPr>
                <w:rFonts w:cs="Arial"/>
                <w:sz w:val="18"/>
                <w:szCs w:val="18"/>
              </w:rPr>
              <w:t>1.05</w:t>
            </w:r>
          </w:p>
        </w:tc>
        <w:tc>
          <w:tcPr>
            <w:tcW w:w="371" w:type="pct"/>
          </w:tcPr>
          <w:p w14:paraId="1087B454" w14:textId="77777777" w:rsidR="00EA5BBF" w:rsidRPr="001570EA" w:rsidRDefault="00EA5BBF">
            <w:pPr>
              <w:keepNext/>
              <w:keepLines/>
              <w:jc w:val="center"/>
              <w:rPr>
                <w:rFonts w:cs="Arial"/>
                <w:sz w:val="18"/>
                <w:szCs w:val="18"/>
              </w:rPr>
            </w:pPr>
            <w:r w:rsidRPr="001570EA">
              <w:rPr>
                <w:rFonts w:cs="Arial"/>
                <w:sz w:val="18"/>
                <w:szCs w:val="18"/>
              </w:rPr>
              <w:t>0.83</w:t>
            </w:r>
          </w:p>
        </w:tc>
        <w:tc>
          <w:tcPr>
            <w:tcW w:w="449" w:type="pct"/>
          </w:tcPr>
          <w:p w14:paraId="411DBF60" w14:textId="77777777" w:rsidR="00EA5BBF" w:rsidRPr="001570EA" w:rsidRDefault="00EA5BBF">
            <w:pPr>
              <w:keepNext/>
              <w:keepLines/>
              <w:jc w:val="center"/>
              <w:rPr>
                <w:rFonts w:cs="Arial"/>
                <w:color w:val="000000"/>
                <w:sz w:val="18"/>
                <w:szCs w:val="18"/>
              </w:rPr>
            </w:pPr>
            <w:r w:rsidRPr="001570EA">
              <w:rPr>
                <w:rFonts w:cs="Arial"/>
                <w:sz w:val="18"/>
                <w:szCs w:val="18"/>
              </w:rPr>
              <w:t>2.59</w:t>
            </w:r>
          </w:p>
        </w:tc>
        <w:tc>
          <w:tcPr>
            <w:tcW w:w="575" w:type="pct"/>
          </w:tcPr>
          <w:p w14:paraId="2D439CF1" w14:textId="77777777" w:rsidR="00EA5BBF" w:rsidRPr="001570EA" w:rsidRDefault="00EA5BBF">
            <w:pPr>
              <w:keepNext/>
              <w:keepLines/>
              <w:jc w:val="center"/>
              <w:rPr>
                <w:rFonts w:cs="Arial"/>
                <w:sz w:val="18"/>
                <w:szCs w:val="18"/>
              </w:rPr>
            </w:pPr>
            <w:r w:rsidRPr="001570EA">
              <w:rPr>
                <w:rFonts w:cs="Arial"/>
                <w:sz w:val="18"/>
                <w:szCs w:val="18"/>
              </w:rPr>
              <w:t>2.35</w:t>
            </w:r>
          </w:p>
        </w:tc>
        <w:tc>
          <w:tcPr>
            <w:tcW w:w="411" w:type="pct"/>
          </w:tcPr>
          <w:p w14:paraId="15E8A5F1" w14:textId="77777777" w:rsidR="00EA5BBF" w:rsidRPr="001570EA" w:rsidRDefault="00EA5BBF">
            <w:pPr>
              <w:keepNext/>
              <w:keepLines/>
              <w:jc w:val="center"/>
              <w:rPr>
                <w:rFonts w:cs="Arial"/>
                <w:sz w:val="18"/>
                <w:szCs w:val="18"/>
              </w:rPr>
            </w:pPr>
            <w:r w:rsidRPr="001570EA">
              <w:rPr>
                <w:rFonts w:cs="Arial"/>
                <w:sz w:val="18"/>
                <w:szCs w:val="18"/>
              </w:rPr>
              <w:t>0.76</w:t>
            </w:r>
          </w:p>
        </w:tc>
        <w:tc>
          <w:tcPr>
            <w:tcW w:w="417" w:type="pct"/>
          </w:tcPr>
          <w:p w14:paraId="1932C09B" w14:textId="77777777" w:rsidR="00EA5BBF" w:rsidRPr="001570EA" w:rsidRDefault="00EA5BBF">
            <w:pPr>
              <w:keepNext/>
              <w:keepLines/>
              <w:jc w:val="center"/>
              <w:rPr>
                <w:rFonts w:cs="Arial"/>
                <w:sz w:val="18"/>
                <w:szCs w:val="18"/>
              </w:rPr>
            </w:pPr>
            <w:r w:rsidRPr="001570EA">
              <w:rPr>
                <w:rFonts w:cs="Arial"/>
                <w:sz w:val="18"/>
                <w:szCs w:val="18"/>
              </w:rPr>
              <w:t>0.56</w:t>
            </w:r>
          </w:p>
        </w:tc>
      </w:tr>
      <w:tr w:rsidR="00EA5BBF" w:rsidRPr="001570EA" w14:paraId="300B961B" w14:textId="77777777">
        <w:tc>
          <w:tcPr>
            <w:tcW w:w="510" w:type="pct"/>
            <w:shd w:val="clear" w:color="auto" w:fill="BFBFBF" w:themeFill="background1" w:themeFillShade="BF"/>
            <w:vAlign w:val="center"/>
          </w:tcPr>
          <w:p w14:paraId="4EED3372" w14:textId="77777777" w:rsidR="00EA5BBF" w:rsidRPr="001570EA" w:rsidRDefault="00EA5BBF">
            <w:pPr>
              <w:keepNext/>
              <w:keepLines/>
              <w:jc w:val="center"/>
              <w:rPr>
                <w:rFonts w:cs="Arial"/>
                <w:sz w:val="18"/>
                <w:szCs w:val="18"/>
              </w:rPr>
            </w:pPr>
            <w:r w:rsidRPr="001570EA">
              <w:rPr>
                <w:rFonts w:cs="Arial"/>
                <w:bCs/>
                <w:sz w:val="18"/>
                <w:szCs w:val="18"/>
              </w:rPr>
              <w:t>E</w:t>
            </w:r>
          </w:p>
        </w:tc>
        <w:tc>
          <w:tcPr>
            <w:tcW w:w="446" w:type="pct"/>
          </w:tcPr>
          <w:p w14:paraId="7CDB89E2" w14:textId="77777777" w:rsidR="00EA5BBF" w:rsidRPr="001570EA" w:rsidRDefault="00EA5BBF">
            <w:pPr>
              <w:keepNext/>
              <w:keepLines/>
              <w:jc w:val="center"/>
              <w:rPr>
                <w:rFonts w:cs="Arial"/>
                <w:sz w:val="18"/>
                <w:szCs w:val="18"/>
              </w:rPr>
            </w:pPr>
            <w:r w:rsidRPr="001570EA">
              <w:rPr>
                <w:rFonts w:cs="Arial"/>
                <w:bCs/>
                <w:sz w:val="18"/>
                <w:szCs w:val="18"/>
              </w:rPr>
              <w:t>0.60</w:t>
            </w:r>
          </w:p>
        </w:tc>
        <w:tc>
          <w:tcPr>
            <w:tcW w:w="526" w:type="pct"/>
          </w:tcPr>
          <w:p w14:paraId="0D458B68" w14:textId="77777777" w:rsidR="00EA5BBF" w:rsidRPr="001570EA" w:rsidRDefault="00EA5BBF">
            <w:pPr>
              <w:keepNext/>
              <w:keepLines/>
              <w:jc w:val="center"/>
              <w:rPr>
                <w:rFonts w:cs="Arial"/>
                <w:sz w:val="18"/>
                <w:szCs w:val="18"/>
              </w:rPr>
            </w:pPr>
            <w:r w:rsidRPr="001570EA">
              <w:rPr>
                <w:rFonts w:cs="Arial"/>
                <w:bCs/>
                <w:sz w:val="18"/>
                <w:szCs w:val="18"/>
              </w:rPr>
              <w:t>0.63</w:t>
            </w:r>
          </w:p>
        </w:tc>
        <w:tc>
          <w:tcPr>
            <w:tcW w:w="378" w:type="pct"/>
          </w:tcPr>
          <w:p w14:paraId="4001C243" w14:textId="77777777" w:rsidR="00EA5BBF" w:rsidRPr="001570EA" w:rsidRDefault="00EA5BBF">
            <w:pPr>
              <w:keepNext/>
              <w:keepLines/>
              <w:jc w:val="center"/>
              <w:rPr>
                <w:rFonts w:cs="Arial"/>
                <w:sz w:val="18"/>
                <w:szCs w:val="18"/>
              </w:rPr>
            </w:pPr>
            <w:r w:rsidRPr="001570EA">
              <w:rPr>
                <w:rFonts w:cs="Arial"/>
                <w:sz w:val="18"/>
                <w:szCs w:val="18"/>
              </w:rPr>
              <w:t>0.38</w:t>
            </w:r>
          </w:p>
        </w:tc>
        <w:tc>
          <w:tcPr>
            <w:tcW w:w="403" w:type="pct"/>
          </w:tcPr>
          <w:p w14:paraId="1E8667FF" w14:textId="77777777" w:rsidR="00EA5BBF" w:rsidRPr="001570EA" w:rsidRDefault="00EA5BBF">
            <w:pPr>
              <w:keepNext/>
              <w:keepLines/>
              <w:jc w:val="center"/>
              <w:rPr>
                <w:rFonts w:cs="Arial"/>
                <w:sz w:val="18"/>
                <w:szCs w:val="18"/>
              </w:rPr>
            </w:pPr>
            <w:r w:rsidRPr="001570EA">
              <w:rPr>
                <w:rFonts w:cs="Arial"/>
                <w:sz w:val="18"/>
                <w:szCs w:val="18"/>
              </w:rPr>
              <w:t>0.42</w:t>
            </w:r>
          </w:p>
        </w:tc>
        <w:tc>
          <w:tcPr>
            <w:tcW w:w="515" w:type="pct"/>
          </w:tcPr>
          <w:p w14:paraId="25506B71" w14:textId="77777777" w:rsidR="00EA5BBF" w:rsidRPr="001570EA" w:rsidRDefault="00EA5BBF">
            <w:pPr>
              <w:keepNext/>
              <w:keepLines/>
              <w:jc w:val="center"/>
              <w:rPr>
                <w:rFonts w:cs="Arial"/>
                <w:sz w:val="18"/>
                <w:szCs w:val="18"/>
              </w:rPr>
            </w:pPr>
            <w:r w:rsidRPr="001570EA">
              <w:rPr>
                <w:rFonts w:cs="Arial"/>
                <w:sz w:val="18"/>
                <w:szCs w:val="18"/>
              </w:rPr>
              <w:t>0.90</w:t>
            </w:r>
          </w:p>
        </w:tc>
        <w:tc>
          <w:tcPr>
            <w:tcW w:w="371" w:type="pct"/>
          </w:tcPr>
          <w:p w14:paraId="1936A4AC" w14:textId="77777777" w:rsidR="00EA5BBF" w:rsidRPr="001570EA" w:rsidRDefault="00EA5BBF">
            <w:pPr>
              <w:keepNext/>
              <w:keepLines/>
              <w:jc w:val="center"/>
              <w:rPr>
                <w:rFonts w:cs="Arial"/>
                <w:sz w:val="18"/>
                <w:szCs w:val="18"/>
              </w:rPr>
            </w:pPr>
            <w:r w:rsidRPr="001570EA">
              <w:rPr>
                <w:rFonts w:cs="Arial"/>
                <w:sz w:val="18"/>
                <w:szCs w:val="18"/>
              </w:rPr>
              <w:t>1.00</w:t>
            </w:r>
          </w:p>
        </w:tc>
        <w:tc>
          <w:tcPr>
            <w:tcW w:w="449" w:type="pct"/>
          </w:tcPr>
          <w:p w14:paraId="60580D0F" w14:textId="77777777" w:rsidR="00EA5BBF" w:rsidRPr="001570EA" w:rsidRDefault="00EA5BBF">
            <w:pPr>
              <w:keepNext/>
              <w:keepLines/>
              <w:jc w:val="center"/>
              <w:rPr>
                <w:rFonts w:cs="Arial"/>
                <w:color w:val="000000"/>
                <w:sz w:val="18"/>
                <w:szCs w:val="18"/>
              </w:rPr>
            </w:pPr>
            <w:r w:rsidRPr="001570EA">
              <w:rPr>
                <w:rFonts w:cs="Arial"/>
                <w:sz w:val="18"/>
                <w:szCs w:val="18"/>
              </w:rPr>
              <w:t>2.76</w:t>
            </w:r>
          </w:p>
        </w:tc>
        <w:tc>
          <w:tcPr>
            <w:tcW w:w="575" w:type="pct"/>
          </w:tcPr>
          <w:p w14:paraId="2CF9E998" w14:textId="77777777" w:rsidR="00EA5BBF" w:rsidRPr="001570EA" w:rsidRDefault="00EA5BBF">
            <w:pPr>
              <w:keepNext/>
              <w:keepLines/>
              <w:jc w:val="center"/>
              <w:rPr>
                <w:rFonts w:cs="Arial"/>
                <w:sz w:val="18"/>
                <w:szCs w:val="18"/>
              </w:rPr>
            </w:pPr>
            <w:r w:rsidRPr="001570EA">
              <w:rPr>
                <w:rFonts w:cs="Arial"/>
                <w:sz w:val="18"/>
                <w:szCs w:val="18"/>
              </w:rPr>
              <w:t>2.71</w:t>
            </w:r>
          </w:p>
        </w:tc>
        <w:tc>
          <w:tcPr>
            <w:tcW w:w="411" w:type="pct"/>
          </w:tcPr>
          <w:p w14:paraId="0A832A57" w14:textId="77777777" w:rsidR="00EA5BBF" w:rsidRPr="001570EA" w:rsidRDefault="00EA5BBF">
            <w:pPr>
              <w:keepNext/>
              <w:keepLines/>
              <w:jc w:val="center"/>
              <w:rPr>
                <w:rFonts w:cs="Arial"/>
                <w:sz w:val="18"/>
                <w:szCs w:val="18"/>
              </w:rPr>
            </w:pPr>
            <w:r w:rsidRPr="001570EA">
              <w:rPr>
                <w:rFonts w:cs="Arial"/>
                <w:sz w:val="18"/>
                <w:szCs w:val="18"/>
              </w:rPr>
              <w:t>0.68</w:t>
            </w:r>
          </w:p>
        </w:tc>
        <w:tc>
          <w:tcPr>
            <w:tcW w:w="417" w:type="pct"/>
          </w:tcPr>
          <w:p w14:paraId="64FBEEF8" w14:textId="77777777" w:rsidR="00EA5BBF" w:rsidRPr="001570EA" w:rsidRDefault="00EA5BBF">
            <w:pPr>
              <w:keepNext/>
              <w:keepLines/>
              <w:jc w:val="center"/>
              <w:rPr>
                <w:rFonts w:cs="Arial"/>
                <w:sz w:val="18"/>
                <w:szCs w:val="18"/>
              </w:rPr>
            </w:pPr>
            <w:r w:rsidRPr="001570EA">
              <w:rPr>
                <w:rFonts w:cs="Arial"/>
                <w:sz w:val="18"/>
                <w:szCs w:val="18"/>
              </w:rPr>
              <w:t>0.71</w:t>
            </w:r>
          </w:p>
        </w:tc>
      </w:tr>
      <w:tr w:rsidR="00EA5BBF" w:rsidRPr="001570EA" w14:paraId="58D668C4" w14:textId="77777777">
        <w:tc>
          <w:tcPr>
            <w:tcW w:w="510" w:type="pct"/>
            <w:shd w:val="clear" w:color="auto" w:fill="BFBFBF" w:themeFill="background1" w:themeFillShade="BF"/>
            <w:vAlign w:val="center"/>
          </w:tcPr>
          <w:p w14:paraId="478A66DF" w14:textId="77777777" w:rsidR="00EA5BBF" w:rsidRPr="001570EA" w:rsidRDefault="00EA5BBF">
            <w:pPr>
              <w:keepNext/>
              <w:keepLines/>
              <w:jc w:val="center"/>
              <w:rPr>
                <w:rFonts w:cs="Arial"/>
                <w:sz w:val="18"/>
                <w:szCs w:val="18"/>
              </w:rPr>
            </w:pPr>
            <w:r w:rsidRPr="001570EA">
              <w:rPr>
                <w:rFonts w:cs="Arial"/>
                <w:bCs/>
                <w:sz w:val="18"/>
                <w:szCs w:val="18"/>
              </w:rPr>
              <w:t>F</w:t>
            </w:r>
          </w:p>
        </w:tc>
        <w:tc>
          <w:tcPr>
            <w:tcW w:w="446" w:type="pct"/>
          </w:tcPr>
          <w:p w14:paraId="2399436B" w14:textId="77777777" w:rsidR="00EA5BBF" w:rsidRPr="001570EA" w:rsidRDefault="00EA5BBF">
            <w:pPr>
              <w:keepNext/>
              <w:keepLines/>
              <w:jc w:val="center"/>
              <w:rPr>
                <w:rFonts w:cs="Arial"/>
                <w:sz w:val="18"/>
                <w:szCs w:val="18"/>
              </w:rPr>
            </w:pPr>
            <w:r w:rsidRPr="001570EA">
              <w:rPr>
                <w:rFonts w:cs="Arial"/>
                <w:bCs/>
                <w:sz w:val="18"/>
                <w:szCs w:val="18"/>
              </w:rPr>
              <w:t>0.34</w:t>
            </w:r>
          </w:p>
        </w:tc>
        <w:tc>
          <w:tcPr>
            <w:tcW w:w="526" w:type="pct"/>
          </w:tcPr>
          <w:p w14:paraId="49BC2182" w14:textId="77777777" w:rsidR="00EA5BBF" w:rsidRPr="001570EA" w:rsidRDefault="00EA5BBF">
            <w:pPr>
              <w:keepNext/>
              <w:keepLines/>
              <w:jc w:val="center"/>
              <w:rPr>
                <w:rFonts w:cs="Arial"/>
                <w:sz w:val="18"/>
                <w:szCs w:val="18"/>
              </w:rPr>
            </w:pPr>
            <w:r w:rsidRPr="001570EA">
              <w:rPr>
                <w:rFonts w:cs="Arial"/>
                <w:bCs/>
                <w:sz w:val="18"/>
                <w:szCs w:val="18"/>
              </w:rPr>
              <w:t>0.39</w:t>
            </w:r>
          </w:p>
        </w:tc>
        <w:tc>
          <w:tcPr>
            <w:tcW w:w="378" w:type="pct"/>
          </w:tcPr>
          <w:p w14:paraId="515E5690" w14:textId="77777777" w:rsidR="00EA5BBF" w:rsidRPr="001570EA" w:rsidRDefault="00EA5BBF">
            <w:pPr>
              <w:keepNext/>
              <w:keepLines/>
              <w:jc w:val="center"/>
              <w:rPr>
                <w:rFonts w:cs="Arial"/>
                <w:sz w:val="18"/>
                <w:szCs w:val="18"/>
              </w:rPr>
            </w:pPr>
            <w:r w:rsidRPr="001570EA">
              <w:rPr>
                <w:rFonts w:cs="Arial"/>
                <w:sz w:val="18"/>
                <w:szCs w:val="18"/>
              </w:rPr>
              <w:t>0.24</w:t>
            </w:r>
          </w:p>
        </w:tc>
        <w:tc>
          <w:tcPr>
            <w:tcW w:w="403" w:type="pct"/>
          </w:tcPr>
          <w:p w14:paraId="2B2BA017" w14:textId="77777777" w:rsidR="00EA5BBF" w:rsidRPr="001570EA" w:rsidRDefault="00EA5BBF">
            <w:pPr>
              <w:keepNext/>
              <w:keepLines/>
              <w:jc w:val="center"/>
              <w:rPr>
                <w:rFonts w:cs="Arial"/>
                <w:sz w:val="18"/>
                <w:szCs w:val="18"/>
              </w:rPr>
            </w:pPr>
            <w:r w:rsidRPr="001570EA">
              <w:rPr>
                <w:rFonts w:cs="Arial"/>
                <w:sz w:val="18"/>
                <w:szCs w:val="18"/>
              </w:rPr>
              <w:t>0.27</w:t>
            </w:r>
          </w:p>
        </w:tc>
        <w:tc>
          <w:tcPr>
            <w:tcW w:w="515" w:type="pct"/>
          </w:tcPr>
          <w:p w14:paraId="43A95AA9" w14:textId="77777777" w:rsidR="00EA5BBF" w:rsidRPr="001570EA" w:rsidRDefault="00EA5BBF">
            <w:pPr>
              <w:keepNext/>
              <w:keepLines/>
              <w:jc w:val="center"/>
              <w:rPr>
                <w:rFonts w:cs="Arial"/>
                <w:sz w:val="18"/>
                <w:szCs w:val="18"/>
              </w:rPr>
            </w:pPr>
            <w:r w:rsidRPr="001570EA">
              <w:rPr>
                <w:rFonts w:cs="Arial"/>
                <w:sz w:val="18"/>
                <w:szCs w:val="18"/>
              </w:rPr>
              <w:t>0.56</w:t>
            </w:r>
          </w:p>
        </w:tc>
        <w:tc>
          <w:tcPr>
            <w:tcW w:w="371" w:type="pct"/>
          </w:tcPr>
          <w:p w14:paraId="5307EA19" w14:textId="77777777" w:rsidR="00EA5BBF" w:rsidRPr="001570EA" w:rsidRDefault="00EA5BBF">
            <w:pPr>
              <w:keepNext/>
              <w:keepLines/>
              <w:jc w:val="center"/>
              <w:rPr>
                <w:rFonts w:cs="Arial"/>
                <w:sz w:val="18"/>
                <w:szCs w:val="18"/>
              </w:rPr>
            </w:pPr>
            <w:r w:rsidRPr="001570EA">
              <w:rPr>
                <w:rFonts w:cs="Arial"/>
                <w:sz w:val="18"/>
                <w:szCs w:val="18"/>
              </w:rPr>
              <w:t>1.89</w:t>
            </w:r>
          </w:p>
        </w:tc>
        <w:tc>
          <w:tcPr>
            <w:tcW w:w="449" w:type="pct"/>
          </w:tcPr>
          <w:p w14:paraId="71AC9FB7" w14:textId="77777777" w:rsidR="00EA5BBF" w:rsidRPr="001570EA" w:rsidRDefault="00EA5BBF">
            <w:pPr>
              <w:keepNext/>
              <w:keepLines/>
              <w:jc w:val="center"/>
              <w:rPr>
                <w:rFonts w:cs="Arial"/>
                <w:color w:val="000000"/>
                <w:sz w:val="18"/>
                <w:szCs w:val="18"/>
              </w:rPr>
            </w:pPr>
            <w:r w:rsidRPr="001570EA">
              <w:rPr>
                <w:rFonts w:cs="Arial"/>
                <w:sz w:val="18"/>
                <w:szCs w:val="18"/>
              </w:rPr>
              <w:t>5.00</w:t>
            </w:r>
          </w:p>
        </w:tc>
        <w:tc>
          <w:tcPr>
            <w:tcW w:w="575" w:type="pct"/>
          </w:tcPr>
          <w:p w14:paraId="06781922" w14:textId="77777777" w:rsidR="00EA5BBF" w:rsidRPr="001570EA" w:rsidRDefault="00EA5BBF">
            <w:pPr>
              <w:keepNext/>
              <w:keepLines/>
              <w:jc w:val="center"/>
              <w:rPr>
                <w:rFonts w:cs="Arial"/>
                <w:sz w:val="18"/>
                <w:szCs w:val="18"/>
              </w:rPr>
            </w:pPr>
            <w:r w:rsidRPr="001570EA">
              <w:rPr>
                <w:rFonts w:cs="Arial"/>
                <w:sz w:val="18"/>
                <w:szCs w:val="18"/>
              </w:rPr>
              <w:t>5.15</w:t>
            </w:r>
          </w:p>
        </w:tc>
        <w:tc>
          <w:tcPr>
            <w:tcW w:w="411" w:type="pct"/>
          </w:tcPr>
          <w:p w14:paraId="4868E553" w14:textId="77777777" w:rsidR="00EA5BBF" w:rsidRPr="001570EA" w:rsidRDefault="00EA5BBF">
            <w:pPr>
              <w:keepNext/>
              <w:keepLines/>
              <w:jc w:val="center"/>
              <w:rPr>
                <w:rFonts w:cs="Arial"/>
                <w:sz w:val="18"/>
                <w:szCs w:val="18"/>
              </w:rPr>
            </w:pPr>
            <w:r w:rsidRPr="001570EA">
              <w:rPr>
                <w:rFonts w:cs="Arial"/>
                <w:sz w:val="18"/>
                <w:szCs w:val="18"/>
              </w:rPr>
              <w:t>1.39</w:t>
            </w:r>
          </w:p>
        </w:tc>
        <w:tc>
          <w:tcPr>
            <w:tcW w:w="417" w:type="pct"/>
          </w:tcPr>
          <w:p w14:paraId="7B326EED" w14:textId="77777777" w:rsidR="00EA5BBF" w:rsidRPr="001570EA" w:rsidRDefault="00EA5BBF">
            <w:pPr>
              <w:keepNext/>
              <w:keepLines/>
              <w:jc w:val="center"/>
              <w:rPr>
                <w:rFonts w:cs="Arial"/>
                <w:sz w:val="18"/>
                <w:szCs w:val="18"/>
              </w:rPr>
            </w:pPr>
            <w:r w:rsidRPr="001570EA">
              <w:rPr>
                <w:rFonts w:cs="Arial"/>
                <w:sz w:val="18"/>
                <w:szCs w:val="18"/>
              </w:rPr>
              <w:t>1.39</w:t>
            </w:r>
          </w:p>
        </w:tc>
      </w:tr>
      <w:tr w:rsidR="00EA5BBF" w:rsidRPr="001570EA" w14:paraId="37D6552F" w14:textId="77777777">
        <w:trPr>
          <w:trHeight w:val="70"/>
        </w:trPr>
        <w:tc>
          <w:tcPr>
            <w:tcW w:w="510" w:type="pct"/>
            <w:shd w:val="clear" w:color="auto" w:fill="BFBFBF" w:themeFill="background1" w:themeFillShade="BF"/>
            <w:vAlign w:val="center"/>
          </w:tcPr>
          <w:p w14:paraId="347E0BFC" w14:textId="77777777" w:rsidR="00EA5BBF" w:rsidRPr="001570EA" w:rsidRDefault="00EA5BBF">
            <w:pPr>
              <w:keepNext/>
              <w:keepLines/>
              <w:jc w:val="center"/>
              <w:rPr>
                <w:rFonts w:cs="Arial"/>
                <w:sz w:val="18"/>
                <w:szCs w:val="18"/>
              </w:rPr>
            </w:pPr>
            <w:r w:rsidRPr="001570EA">
              <w:rPr>
                <w:rFonts w:cs="Arial"/>
                <w:bCs/>
                <w:sz w:val="18"/>
                <w:szCs w:val="18"/>
              </w:rPr>
              <w:t>G</w:t>
            </w:r>
          </w:p>
        </w:tc>
        <w:tc>
          <w:tcPr>
            <w:tcW w:w="446" w:type="pct"/>
          </w:tcPr>
          <w:p w14:paraId="629E81C9" w14:textId="77777777" w:rsidR="00EA5BBF" w:rsidRPr="001570EA" w:rsidRDefault="00EA5BBF">
            <w:pPr>
              <w:keepNext/>
              <w:keepLines/>
              <w:jc w:val="center"/>
              <w:rPr>
                <w:rFonts w:cs="Arial"/>
                <w:sz w:val="18"/>
                <w:szCs w:val="18"/>
              </w:rPr>
            </w:pPr>
            <w:r w:rsidRPr="001570EA">
              <w:rPr>
                <w:rFonts w:cs="Arial"/>
                <w:bCs/>
                <w:sz w:val="18"/>
                <w:szCs w:val="18"/>
              </w:rPr>
              <w:t>0.13</w:t>
            </w:r>
          </w:p>
        </w:tc>
        <w:tc>
          <w:tcPr>
            <w:tcW w:w="526" w:type="pct"/>
          </w:tcPr>
          <w:p w14:paraId="75E5E18B" w14:textId="77777777" w:rsidR="00EA5BBF" w:rsidRPr="001570EA" w:rsidRDefault="00EA5BBF">
            <w:pPr>
              <w:keepNext/>
              <w:keepLines/>
              <w:jc w:val="center"/>
              <w:rPr>
                <w:rFonts w:cs="Arial"/>
                <w:sz w:val="18"/>
                <w:szCs w:val="18"/>
              </w:rPr>
            </w:pPr>
            <w:r w:rsidRPr="001570EA">
              <w:rPr>
                <w:rFonts w:cs="Arial"/>
                <w:bCs/>
                <w:sz w:val="18"/>
                <w:szCs w:val="18"/>
              </w:rPr>
              <w:t>0.15</w:t>
            </w:r>
          </w:p>
        </w:tc>
        <w:tc>
          <w:tcPr>
            <w:tcW w:w="378" w:type="pct"/>
          </w:tcPr>
          <w:p w14:paraId="0F0A966C" w14:textId="77777777" w:rsidR="00EA5BBF" w:rsidRPr="001570EA" w:rsidRDefault="00EA5BBF">
            <w:pPr>
              <w:keepNext/>
              <w:keepLines/>
              <w:jc w:val="center"/>
              <w:rPr>
                <w:rFonts w:cs="Arial"/>
                <w:sz w:val="18"/>
                <w:szCs w:val="18"/>
              </w:rPr>
            </w:pPr>
            <w:r w:rsidRPr="001570EA">
              <w:rPr>
                <w:rFonts w:cs="Arial"/>
                <w:sz w:val="18"/>
                <w:szCs w:val="18"/>
              </w:rPr>
              <w:t>0.08</w:t>
            </w:r>
          </w:p>
        </w:tc>
        <w:tc>
          <w:tcPr>
            <w:tcW w:w="403" w:type="pct"/>
          </w:tcPr>
          <w:p w14:paraId="243969B4" w14:textId="77777777" w:rsidR="00EA5BBF" w:rsidRPr="001570EA" w:rsidRDefault="00EA5BBF">
            <w:pPr>
              <w:keepNext/>
              <w:keepLines/>
              <w:jc w:val="center"/>
              <w:rPr>
                <w:rFonts w:cs="Arial"/>
                <w:sz w:val="18"/>
                <w:szCs w:val="18"/>
              </w:rPr>
            </w:pPr>
            <w:r w:rsidRPr="001570EA">
              <w:rPr>
                <w:rFonts w:cs="Arial"/>
                <w:sz w:val="18"/>
                <w:szCs w:val="18"/>
              </w:rPr>
              <w:t>0.06</w:t>
            </w:r>
          </w:p>
        </w:tc>
        <w:tc>
          <w:tcPr>
            <w:tcW w:w="515" w:type="pct"/>
          </w:tcPr>
          <w:p w14:paraId="4998E845" w14:textId="77777777" w:rsidR="00EA5BBF" w:rsidRPr="001570EA" w:rsidRDefault="00EA5BBF">
            <w:pPr>
              <w:keepNext/>
              <w:keepLines/>
              <w:jc w:val="center"/>
              <w:rPr>
                <w:rFonts w:cs="Arial"/>
                <w:sz w:val="18"/>
                <w:szCs w:val="18"/>
              </w:rPr>
            </w:pPr>
            <w:r w:rsidRPr="001570EA">
              <w:rPr>
                <w:rFonts w:cs="Arial"/>
                <w:sz w:val="18"/>
                <w:szCs w:val="18"/>
              </w:rPr>
              <w:t>0.19</w:t>
            </w:r>
          </w:p>
        </w:tc>
        <w:tc>
          <w:tcPr>
            <w:tcW w:w="371" w:type="pct"/>
          </w:tcPr>
          <w:p w14:paraId="0A137CA8" w14:textId="77777777" w:rsidR="00EA5BBF" w:rsidRPr="001570EA" w:rsidRDefault="00EA5BBF">
            <w:pPr>
              <w:keepNext/>
              <w:keepLines/>
              <w:jc w:val="center"/>
              <w:rPr>
                <w:rFonts w:cs="Arial"/>
                <w:sz w:val="18"/>
                <w:szCs w:val="18"/>
              </w:rPr>
            </w:pPr>
            <w:r w:rsidRPr="001570EA">
              <w:rPr>
                <w:rFonts w:cs="Arial"/>
                <w:sz w:val="18"/>
                <w:szCs w:val="18"/>
              </w:rPr>
              <w:t>2.64</w:t>
            </w:r>
          </w:p>
        </w:tc>
        <w:tc>
          <w:tcPr>
            <w:tcW w:w="449" w:type="pct"/>
          </w:tcPr>
          <w:p w14:paraId="28A1E77D" w14:textId="77777777" w:rsidR="00EA5BBF" w:rsidRPr="001570EA" w:rsidRDefault="00EA5BBF">
            <w:pPr>
              <w:keepNext/>
              <w:keepLines/>
              <w:jc w:val="center"/>
              <w:rPr>
                <w:rFonts w:cs="Arial"/>
                <w:color w:val="000000"/>
                <w:sz w:val="18"/>
                <w:szCs w:val="18"/>
              </w:rPr>
            </w:pPr>
            <w:r w:rsidRPr="001570EA">
              <w:rPr>
                <w:rFonts w:cs="Arial"/>
                <w:sz w:val="18"/>
                <w:szCs w:val="18"/>
              </w:rPr>
              <w:t>6.74</w:t>
            </w:r>
          </w:p>
        </w:tc>
        <w:tc>
          <w:tcPr>
            <w:tcW w:w="575" w:type="pct"/>
          </w:tcPr>
          <w:p w14:paraId="663A7190" w14:textId="77777777" w:rsidR="00EA5BBF" w:rsidRPr="001570EA" w:rsidRDefault="00EA5BBF">
            <w:pPr>
              <w:keepNext/>
              <w:keepLines/>
              <w:jc w:val="center"/>
              <w:rPr>
                <w:rFonts w:cs="Arial"/>
                <w:sz w:val="18"/>
                <w:szCs w:val="18"/>
              </w:rPr>
            </w:pPr>
            <w:r w:rsidRPr="001570EA">
              <w:rPr>
                <w:rFonts w:cs="Arial"/>
                <w:sz w:val="18"/>
                <w:szCs w:val="18"/>
              </w:rPr>
              <w:t>7.22</w:t>
            </w:r>
          </w:p>
        </w:tc>
        <w:tc>
          <w:tcPr>
            <w:tcW w:w="411" w:type="pct"/>
          </w:tcPr>
          <w:p w14:paraId="6B238244" w14:textId="77777777" w:rsidR="00EA5BBF" w:rsidRPr="001570EA" w:rsidRDefault="00EA5BBF">
            <w:pPr>
              <w:keepNext/>
              <w:keepLines/>
              <w:jc w:val="center"/>
              <w:rPr>
                <w:rFonts w:cs="Arial"/>
                <w:sz w:val="18"/>
                <w:szCs w:val="18"/>
              </w:rPr>
            </w:pPr>
            <w:r w:rsidRPr="001570EA">
              <w:rPr>
                <w:rFonts w:cs="Arial"/>
                <w:sz w:val="18"/>
                <w:szCs w:val="18"/>
              </w:rPr>
              <w:t>2.51</w:t>
            </w:r>
          </w:p>
        </w:tc>
        <w:tc>
          <w:tcPr>
            <w:tcW w:w="417" w:type="pct"/>
          </w:tcPr>
          <w:p w14:paraId="4C496C8E" w14:textId="77777777" w:rsidR="00EA5BBF" w:rsidRPr="001570EA" w:rsidRDefault="00EA5BBF">
            <w:pPr>
              <w:keepNext/>
              <w:keepLines/>
              <w:jc w:val="center"/>
              <w:rPr>
                <w:rFonts w:cs="Arial"/>
                <w:sz w:val="18"/>
                <w:szCs w:val="18"/>
              </w:rPr>
            </w:pPr>
            <w:r w:rsidRPr="001570EA">
              <w:rPr>
                <w:rFonts w:cs="Arial"/>
                <w:sz w:val="18"/>
                <w:szCs w:val="18"/>
              </w:rPr>
              <w:t>2.45</w:t>
            </w:r>
          </w:p>
        </w:tc>
      </w:tr>
      <w:tr w:rsidR="00EA5BBF" w:rsidRPr="001570EA" w14:paraId="684364C4" w14:textId="77777777">
        <w:tc>
          <w:tcPr>
            <w:tcW w:w="510" w:type="pct"/>
            <w:shd w:val="clear" w:color="auto" w:fill="BFBFBF" w:themeFill="background1" w:themeFillShade="BF"/>
            <w:vAlign w:val="center"/>
          </w:tcPr>
          <w:p w14:paraId="348EBE7F" w14:textId="77777777" w:rsidR="00EA5BBF" w:rsidRPr="001570EA" w:rsidRDefault="00EA5BBF">
            <w:pPr>
              <w:keepNext/>
              <w:keepLines/>
              <w:jc w:val="center"/>
              <w:rPr>
                <w:rFonts w:cs="Arial"/>
                <w:sz w:val="18"/>
                <w:szCs w:val="18"/>
              </w:rPr>
            </w:pPr>
            <w:r w:rsidRPr="001570EA">
              <w:rPr>
                <w:rFonts w:cs="Arial"/>
                <w:bCs/>
                <w:sz w:val="18"/>
                <w:szCs w:val="18"/>
              </w:rPr>
              <w:t>H</w:t>
            </w:r>
          </w:p>
        </w:tc>
        <w:tc>
          <w:tcPr>
            <w:tcW w:w="446" w:type="pct"/>
          </w:tcPr>
          <w:p w14:paraId="632EE07B" w14:textId="77777777" w:rsidR="00EA5BBF" w:rsidRPr="001570EA" w:rsidRDefault="00EA5BBF">
            <w:pPr>
              <w:keepNext/>
              <w:keepLines/>
              <w:jc w:val="center"/>
              <w:rPr>
                <w:rFonts w:cs="Arial"/>
                <w:sz w:val="18"/>
                <w:szCs w:val="18"/>
              </w:rPr>
            </w:pPr>
            <w:r w:rsidRPr="001570EA">
              <w:rPr>
                <w:rFonts w:cs="Arial"/>
                <w:bCs/>
                <w:sz w:val="18"/>
                <w:szCs w:val="18"/>
              </w:rPr>
              <w:t>0.33</w:t>
            </w:r>
          </w:p>
        </w:tc>
        <w:tc>
          <w:tcPr>
            <w:tcW w:w="526" w:type="pct"/>
          </w:tcPr>
          <w:p w14:paraId="1866C06D" w14:textId="77777777" w:rsidR="00EA5BBF" w:rsidRPr="001570EA" w:rsidRDefault="00EA5BBF">
            <w:pPr>
              <w:keepNext/>
              <w:keepLines/>
              <w:jc w:val="center"/>
              <w:rPr>
                <w:rFonts w:cs="Arial"/>
                <w:sz w:val="18"/>
                <w:szCs w:val="18"/>
              </w:rPr>
            </w:pPr>
            <w:r w:rsidRPr="001570EA">
              <w:rPr>
                <w:rFonts w:cs="Arial"/>
                <w:bCs/>
                <w:sz w:val="18"/>
                <w:szCs w:val="18"/>
              </w:rPr>
              <w:t>0.37</w:t>
            </w:r>
          </w:p>
        </w:tc>
        <w:tc>
          <w:tcPr>
            <w:tcW w:w="378" w:type="pct"/>
          </w:tcPr>
          <w:p w14:paraId="38F0E519" w14:textId="77777777" w:rsidR="00EA5BBF" w:rsidRPr="001570EA" w:rsidRDefault="00EA5BBF">
            <w:pPr>
              <w:keepNext/>
              <w:keepLines/>
              <w:jc w:val="center"/>
              <w:rPr>
                <w:rFonts w:cs="Arial"/>
                <w:sz w:val="18"/>
                <w:szCs w:val="18"/>
              </w:rPr>
            </w:pPr>
            <w:r w:rsidRPr="001570EA">
              <w:rPr>
                <w:rFonts w:cs="Arial"/>
                <w:sz w:val="18"/>
                <w:szCs w:val="18"/>
              </w:rPr>
              <w:t>0.22</w:t>
            </w:r>
          </w:p>
        </w:tc>
        <w:tc>
          <w:tcPr>
            <w:tcW w:w="403" w:type="pct"/>
          </w:tcPr>
          <w:p w14:paraId="0C91BF36" w14:textId="77777777" w:rsidR="00EA5BBF" w:rsidRPr="001570EA" w:rsidRDefault="00EA5BBF">
            <w:pPr>
              <w:keepNext/>
              <w:keepLines/>
              <w:jc w:val="center"/>
              <w:rPr>
                <w:rFonts w:cs="Arial"/>
                <w:sz w:val="18"/>
                <w:szCs w:val="18"/>
              </w:rPr>
            </w:pPr>
            <w:r w:rsidRPr="001570EA">
              <w:rPr>
                <w:rFonts w:cs="Arial"/>
                <w:sz w:val="18"/>
                <w:szCs w:val="18"/>
              </w:rPr>
              <w:t>0.27</w:t>
            </w:r>
          </w:p>
        </w:tc>
        <w:tc>
          <w:tcPr>
            <w:tcW w:w="515" w:type="pct"/>
          </w:tcPr>
          <w:p w14:paraId="4E6126E6" w14:textId="77777777" w:rsidR="00EA5BBF" w:rsidRPr="001570EA" w:rsidRDefault="00EA5BBF">
            <w:pPr>
              <w:keepNext/>
              <w:keepLines/>
              <w:jc w:val="center"/>
              <w:rPr>
                <w:rFonts w:cs="Arial"/>
                <w:sz w:val="18"/>
                <w:szCs w:val="18"/>
              </w:rPr>
            </w:pPr>
            <w:r w:rsidRPr="001570EA">
              <w:rPr>
                <w:rFonts w:cs="Arial"/>
                <w:sz w:val="18"/>
                <w:szCs w:val="18"/>
              </w:rPr>
              <w:t>0.52</w:t>
            </w:r>
          </w:p>
        </w:tc>
        <w:tc>
          <w:tcPr>
            <w:tcW w:w="371" w:type="pct"/>
          </w:tcPr>
          <w:p w14:paraId="001E2CCF" w14:textId="77777777" w:rsidR="00EA5BBF" w:rsidRPr="001570EA" w:rsidRDefault="00EA5BBF">
            <w:pPr>
              <w:keepNext/>
              <w:keepLines/>
              <w:jc w:val="center"/>
              <w:rPr>
                <w:rFonts w:cs="Arial"/>
                <w:sz w:val="18"/>
                <w:szCs w:val="18"/>
              </w:rPr>
            </w:pPr>
            <w:r w:rsidRPr="001570EA">
              <w:rPr>
                <w:rFonts w:cs="Arial"/>
                <w:sz w:val="18"/>
                <w:szCs w:val="18"/>
              </w:rPr>
              <w:t>1.97</w:t>
            </w:r>
          </w:p>
        </w:tc>
        <w:tc>
          <w:tcPr>
            <w:tcW w:w="449" w:type="pct"/>
          </w:tcPr>
          <w:p w14:paraId="20A9C037" w14:textId="77777777" w:rsidR="00EA5BBF" w:rsidRPr="001570EA" w:rsidRDefault="00EA5BBF">
            <w:pPr>
              <w:keepNext/>
              <w:keepLines/>
              <w:jc w:val="center"/>
              <w:rPr>
                <w:rFonts w:cs="Arial"/>
                <w:color w:val="000000"/>
                <w:sz w:val="18"/>
                <w:szCs w:val="18"/>
              </w:rPr>
            </w:pPr>
            <w:r w:rsidRPr="001570EA">
              <w:rPr>
                <w:rFonts w:cs="Arial"/>
                <w:sz w:val="18"/>
                <w:szCs w:val="18"/>
              </w:rPr>
              <w:t>5.12</w:t>
            </w:r>
          </w:p>
        </w:tc>
        <w:tc>
          <w:tcPr>
            <w:tcW w:w="575" w:type="pct"/>
          </w:tcPr>
          <w:p w14:paraId="2B3FCE9B" w14:textId="77777777" w:rsidR="00EA5BBF" w:rsidRPr="001570EA" w:rsidRDefault="00EA5BBF">
            <w:pPr>
              <w:keepNext/>
              <w:keepLines/>
              <w:jc w:val="center"/>
              <w:rPr>
                <w:rFonts w:cs="Arial"/>
                <w:sz w:val="18"/>
                <w:szCs w:val="18"/>
              </w:rPr>
            </w:pPr>
            <w:r w:rsidRPr="001570EA">
              <w:rPr>
                <w:rFonts w:cs="Arial"/>
                <w:sz w:val="18"/>
                <w:szCs w:val="18"/>
              </w:rPr>
              <w:t>5.38</w:t>
            </w:r>
          </w:p>
        </w:tc>
        <w:tc>
          <w:tcPr>
            <w:tcW w:w="411" w:type="pct"/>
          </w:tcPr>
          <w:p w14:paraId="49E5E341" w14:textId="77777777" w:rsidR="00EA5BBF" w:rsidRPr="001570EA" w:rsidRDefault="00EA5BBF">
            <w:pPr>
              <w:keepNext/>
              <w:keepLines/>
              <w:jc w:val="center"/>
              <w:rPr>
                <w:rFonts w:cs="Arial"/>
                <w:sz w:val="18"/>
                <w:szCs w:val="18"/>
              </w:rPr>
            </w:pPr>
            <w:r w:rsidRPr="001570EA">
              <w:rPr>
                <w:rFonts w:cs="Arial"/>
                <w:sz w:val="18"/>
                <w:szCs w:val="18"/>
              </w:rPr>
              <w:t>1.49</w:t>
            </w:r>
          </w:p>
        </w:tc>
        <w:tc>
          <w:tcPr>
            <w:tcW w:w="417" w:type="pct"/>
          </w:tcPr>
          <w:p w14:paraId="134C1161" w14:textId="77777777" w:rsidR="00EA5BBF" w:rsidRPr="001570EA" w:rsidRDefault="00EA5BBF">
            <w:pPr>
              <w:keepNext/>
              <w:keepLines/>
              <w:jc w:val="center"/>
              <w:rPr>
                <w:rFonts w:cs="Arial"/>
                <w:sz w:val="18"/>
                <w:szCs w:val="18"/>
              </w:rPr>
            </w:pPr>
            <w:r w:rsidRPr="001570EA">
              <w:rPr>
                <w:rFonts w:cs="Arial"/>
                <w:sz w:val="18"/>
                <w:szCs w:val="18"/>
              </w:rPr>
              <w:t>1.44</w:t>
            </w:r>
          </w:p>
        </w:tc>
      </w:tr>
      <w:tr w:rsidR="00EA5BBF" w:rsidRPr="001570EA" w14:paraId="4C8976E2" w14:textId="77777777">
        <w:tc>
          <w:tcPr>
            <w:tcW w:w="510" w:type="pct"/>
            <w:shd w:val="clear" w:color="auto" w:fill="BFBFBF" w:themeFill="background1" w:themeFillShade="BF"/>
            <w:vAlign w:val="center"/>
          </w:tcPr>
          <w:p w14:paraId="7C7DABAF" w14:textId="77777777" w:rsidR="00EA5BBF" w:rsidRPr="001570EA" w:rsidRDefault="00EA5BBF">
            <w:pPr>
              <w:keepNext/>
              <w:keepLines/>
              <w:jc w:val="center"/>
              <w:rPr>
                <w:rFonts w:cs="Arial"/>
                <w:sz w:val="18"/>
                <w:szCs w:val="18"/>
              </w:rPr>
            </w:pPr>
            <w:r w:rsidRPr="001570EA">
              <w:rPr>
                <w:rFonts w:cs="Arial"/>
                <w:bCs/>
                <w:sz w:val="18"/>
                <w:szCs w:val="18"/>
              </w:rPr>
              <w:t>I</w:t>
            </w:r>
          </w:p>
        </w:tc>
        <w:tc>
          <w:tcPr>
            <w:tcW w:w="446" w:type="pct"/>
          </w:tcPr>
          <w:p w14:paraId="7C305BC5" w14:textId="77777777" w:rsidR="00EA5BBF" w:rsidRPr="001570EA" w:rsidRDefault="00EA5BBF">
            <w:pPr>
              <w:keepNext/>
              <w:keepLines/>
              <w:jc w:val="center"/>
              <w:rPr>
                <w:rFonts w:cs="Arial"/>
                <w:sz w:val="18"/>
                <w:szCs w:val="18"/>
              </w:rPr>
            </w:pPr>
            <w:r w:rsidRPr="001570EA">
              <w:rPr>
                <w:rFonts w:cs="Arial"/>
                <w:bCs/>
                <w:sz w:val="18"/>
                <w:szCs w:val="18"/>
              </w:rPr>
              <w:t>0.31</w:t>
            </w:r>
          </w:p>
        </w:tc>
        <w:tc>
          <w:tcPr>
            <w:tcW w:w="526" w:type="pct"/>
          </w:tcPr>
          <w:p w14:paraId="663D96DD" w14:textId="77777777" w:rsidR="00EA5BBF" w:rsidRPr="001570EA" w:rsidRDefault="00EA5BBF">
            <w:pPr>
              <w:keepNext/>
              <w:keepLines/>
              <w:jc w:val="center"/>
              <w:rPr>
                <w:rFonts w:cs="Arial"/>
                <w:sz w:val="18"/>
                <w:szCs w:val="18"/>
              </w:rPr>
            </w:pPr>
            <w:r w:rsidRPr="001570EA">
              <w:rPr>
                <w:rFonts w:cs="Arial"/>
                <w:bCs/>
                <w:sz w:val="18"/>
                <w:szCs w:val="18"/>
              </w:rPr>
              <w:t>0.36</w:t>
            </w:r>
          </w:p>
        </w:tc>
        <w:tc>
          <w:tcPr>
            <w:tcW w:w="378" w:type="pct"/>
          </w:tcPr>
          <w:p w14:paraId="63D197B1" w14:textId="77777777" w:rsidR="00EA5BBF" w:rsidRPr="001570EA" w:rsidRDefault="00EA5BBF">
            <w:pPr>
              <w:keepNext/>
              <w:keepLines/>
              <w:jc w:val="center"/>
              <w:rPr>
                <w:rFonts w:cs="Arial"/>
                <w:sz w:val="18"/>
                <w:szCs w:val="18"/>
              </w:rPr>
            </w:pPr>
            <w:r w:rsidRPr="001570EA">
              <w:rPr>
                <w:rFonts w:cs="Arial"/>
                <w:sz w:val="18"/>
                <w:szCs w:val="18"/>
              </w:rPr>
              <w:t>0.19</w:t>
            </w:r>
          </w:p>
        </w:tc>
        <w:tc>
          <w:tcPr>
            <w:tcW w:w="403" w:type="pct"/>
          </w:tcPr>
          <w:p w14:paraId="7AB5415B" w14:textId="77777777" w:rsidR="00EA5BBF" w:rsidRPr="001570EA" w:rsidRDefault="00EA5BBF">
            <w:pPr>
              <w:keepNext/>
              <w:keepLines/>
              <w:jc w:val="center"/>
              <w:rPr>
                <w:rFonts w:cs="Arial"/>
                <w:sz w:val="18"/>
                <w:szCs w:val="18"/>
              </w:rPr>
            </w:pPr>
            <w:r w:rsidRPr="001570EA">
              <w:rPr>
                <w:rFonts w:cs="Arial"/>
                <w:sz w:val="18"/>
                <w:szCs w:val="18"/>
              </w:rPr>
              <w:t>0.26</w:t>
            </w:r>
          </w:p>
        </w:tc>
        <w:tc>
          <w:tcPr>
            <w:tcW w:w="515" w:type="pct"/>
          </w:tcPr>
          <w:p w14:paraId="16993B05" w14:textId="77777777" w:rsidR="00EA5BBF" w:rsidRPr="001570EA" w:rsidRDefault="00EA5BBF">
            <w:pPr>
              <w:keepNext/>
              <w:keepLines/>
              <w:jc w:val="center"/>
              <w:rPr>
                <w:rFonts w:cs="Arial"/>
                <w:sz w:val="18"/>
                <w:szCs w:val="18"/>
              </w:rPr>
            </w:pPr>
            <w:r w:rsidRPr="001570EA">
              <w:rPr>
                <w:rFonts w:cs="Arial"/>
                <w:sz w:val="18"/>
                <w:szCs w:val="18"/>
              </w:rPr>
              <w:t>0.49</w:t>
            </w:r>
          </w:p>
        </w:tc>
        <w:tc>
          <w:tcPr>
            <w:tcW w:w="371" w:type="pct"/>
          </w:tcPr>
          <w:p w14:paraId="0F79E525" w14:textId="77777777" w:rsidR="00EA5BBF" w:rsidRPr="001570EA" w:rsidRDefault="00EA5BBF">
            <w:pPr>
              <w:keepNext/>
              <w:keepLines/>
              <w:jc w:val="center"/>
              <w:rPr>
                <w:rFonts w:cs="Arial"/>
                <w:sz w:val="18"/>
                <w:szCs w:val="18"/>
              </w:rPr>
            </w:pPr>
            <w:r w:rsidRPr="001570EA">
              <w:rPr>
                <w:rFonts w:cs="Arial"/>
                <w:sz w:val="18"/>
                <w:szCs w:val="18"/>
              </w:rPr>
              <w:t>2.15</w:t>
            </w:r>
          </w:p>
        </w:tc>
        <w:tc>
          <w:tcPr>
            <w:tcW w:w="449" w:type="pct"/>
          </w:tcPr>
          <w:p w14:paraId="52586401" w14:textId="77777777" w:rsidR="00EA5BBF" w:rsidRPr="001570EA" w:rsidRDefault="00EA5BBF">
            <w:pPr>
              <w:keepNext/>
              <w:keepLines/>
              <w:jc w:val="center"/>
              <w:rPr>
                <w:rFonts w:cs="Arial"/>
                <w:color w:val="000000"/>
                <w:sz w:val="18"/>
                <w:szCs w:val="18"/>
              </w:rPr>
            </w:pPr>
            <w:r w:rsidRPr="001570EA">
              <w:rPr>
                <w:rFonts w:cs="Arial"/>
                <w:sz w:val="18"/>
                <w:szCs w:val="18"/>
              </w:rPr>
              <w:t>5.43</w:t>
            </w:r>
          </w:p>
        </w:tc>
        <w:tc>
          <w:tcPr>
            <w:tcW w:w="575" w:type="pct"/>
          </w:tcPr>
          <w:p w14:paraId="2401509C" w14:textId="77777777" w:rsidR="00EA5BBF" w:rsidRPr="001570EA" w:rsidRDefault="00EA5BBF">
            <w:pPr>
              <w:keepNext/>
              <w:keepLines/>
              <w:jc w:val="center"/>
              <w:rPr>
                <w:rFonts w:cs="Arial"/>
                <w:sz w:val="18"/>
                <w:szCs w:val="18"/>
              </w:rPr>
            </w:pPr>
            <w:r w:rsidRPr="001570EA">
              <w:rPr>
                <w:rFonts w:cs="Arial"/>
                <w:sz w:val="18"/>
                <w:szCs w:val="18"/>
              </w:rPr>
              <w:t>5.90</w:t>
            </w:r>
          </w:p>
        </w:tc>
        <w:tc>
          <w:tcPr>
            <w:tcW w:w="411" w:type="pct"/>
          </w:tcPr>
          <w:p w14:paraId="617E26C5" w14:textId="77777777" w:rsidR="00EA5BBF" w:rsidRPr="001570EA" w:rsidRDefault="00EA5BBF">
            <w:pPr>
              <w:keepNext/>
              <w:keepLines/>
              <w:jc w:val="center"/>
              <w:rPr>
                <w:rFonts w:cs="Arial"/>
                <w:sz w:val="18"/>
                <w:szCs w:val="18"/>
              </w:rPr>
            </w:pPr>
            <w:r w:rsidRPr="001570EA">
              <w:rPr>
                <w:rFonts w:cs="Arial"/>
                <w:sz w:val="18"/>
                <w:szCs w:val="18"/>
              </w:rPr>
              <w:t>1.61</w:t>
            </w:r>
          </w:p>
        </w:tc>
        <w:tc>
          <w:tcPr>
            <w:tcW w:w="417" w:type="pct"/>
          </w:tcPr>
          <w:p w14:paraId="3FA232F3" w14:textId="77777777" w:rsidR="00EA5BBF" w:rsidRPr="001570EA" w:rsidRDefault="00EA5BBF">
            <w:pPr>
              <w:keepNext/>
              <w:keepLines/>
              <w:jc w:val="center"/>
              <w:rPr>
                <w:rFonts w:cs="Arial"/>
                <w:sz w:val="18"/>
                <w:szCs w:val="18"/>
              </w:rPr>
            </w:pPr>
            <w:r w:rsidRPr="001570EA">
              <w:rPr>
                <w:rFonts w:cs="Arial"/>
                <w:sz w:val="18"/>
                <w:szCs w:val="18"/>
              </w:rPr>
              <w:t>1.59</w:t>
            </w:r>
          </w:p>
        </w:tc>
      </w:tr>
    </w:tbl>
    <w:p w14:paraId="50A29770" w14:textId="77777777" w:rsidR="00EA5BBF" w:rsidRPr="001570EA" w:rsidRDefault="00EA5BBF" w:rsidP="00EA5BBF"/>
    <w:p w14:paraId="08988DA4" w14:textId="52E6C713" w:rsidR="00EA5BBF" w:rsidRPr="001570EA" w:rsidRDefault="00EA5BBF" w:rsidP="00EA5BBF">
      <w:pPr>
        <w:pStyle w:val="Caption"/>
      </w:pPr>
      <w:bookmarkStart w:id="1199" w:name="_Ref154048449"/>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151</w:t>
      </w:r>
      <w:r w:rsidR="002E093A" w:rsidRPr="001570EA">
        <w:fldChar w:fldCharType="end"/>
      </w:r>
      <w:bookmarkEnd w:id="1199"/>
      <w:r w:rsidRPr="001570EA">
        <w:t>: Prototype Residential Equipment Efficiency (</w:t>
      </w:r>
      <m:oMath>
        <m:sSub>
          <m:sSubPr>
            <m:ctrlPr>
              <w:rPr>
                <w:rFonts w:ascii="Cambria Math" w:hAnsi="Cambria Math"/>
                <w:i/>
              </w:rPr>
            </m:ctrlPr>
          </m:sSubPr>
          <m:e>
            <m:r>
              <m:rPr>
                <m:sty m:val="bi"/>
              </m:rPr>
              <w:rPr>
                <w:rFonts w:ascii="Cambria Math" w:hAnsi="Cambria Math"/>
              </w:rPr>
              <m:t>η</m:t>
            </m:r>
          </m:e>
          <m:sub>
            <m:r>
              <m:rPr>
                <m:sty m:val="bi"/>
              </m:rPr>
              <w:rPr>
                <w:rFonts w:ascii="Cambria Math" w:hAnsi="Cambria Math"/>
              </w:rPr>
              <m:t>proto</m:t>
            </m:r>
          </m:sub>
        </m:sSub>
      </m:oMath>
      <w:r w:rsidRPr="001570EA">
        <w:t>)</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170"/>
        <w:gridCol w:w="1015"/>
        <w:gridCol w:w="1260"/>
        <w:gridCol w:w="990"/>
        <w:gridCol w:w="1011"/>
        <w:gridCol w:w="1235"/>
        <w:gridCol w:w="1170"/>
      </w:tblGrid>
      <w:tr w:rsidR="00EA5BBF" w:rsidRPr="001570EA" w14:paraId="21C181CF" w14:textId="77777777">
        <w:trPr>
          <w:trHeight w:val="525"/>
          <w:jc w:val="center"/>
        </w:trPr>
        <w:tc>
          <w:tcPr>
            <w:tcW w:w="870" w:type="dxa"/>
            <w:shd w:val="clear" w:color="auto" w:fill="BFBFBF" w:themeFill="background1" w:themeFillShade="BF"/>
          </w:tcPr>
          <w:p w14:paraId="5F7E79E8" w14:textId="77777777" w:rsidR="00EA5BBF" w:rsidRPr="001570EA" w:rsidRDefault="00EA5BBF">
            <w:pPr>
              <w:keepNext/>
              <w:rPr>
                <w:b/>
                <w:bCs/>
                <w:sz w:val="18"/>
                <w:szCs w:val="18"/>
              </w:rPr>
            </w:pPr>
          </w:p>
        </w:tc>
        <w:tc>
          <w:tcPr>
            <w:tcW w:w="1170" w:type="dxa"/>
            <w:shd w:val="clear" w:color="auto" w:fill="BFBFBF" w:themeFill="background1" w:themeFillShade="BF"/>
            <w:noWrap/>
            <w:vAlign w:val="center"/>
            <w:hideMark/>
          </w:tcPr>
          <w:p w14:paraId="1217B55E" w14:textId="77777777" w:rsidR="00EA5BBF" w:rsidRPr="001570EA" w:rsidRDefault="00EA5BBF">
            <w:pPr>
              <w:keepNext/>
              <w:rPr>
                <w:b/>
                <w:bCs/>
                <w:sz w:val="18"/>
                <w:szCs w:val="18"/>
              </w:rPr>
            </w:pPr>
            <w:r w:rsidRPr="001570EA">
              <w:rPr>
                <w:b/>
                <w:bCs/>
                <w:sz w:val="18"/>
                <w:szCs w:val="18"/>
              </w:rPr>
              <w:t>ASHP</w:t>
            </w:r>
          </w:p>
        </w:tc>
        <w:tc>
          <w:tcPr>
            <w:tcW w:w="1015" w:type="dxa"/>
            <w:shd w:val="clear" w:color="auto" w:fill="BFBFBF" w:themeFill="background1" w:themeFillShade="BF"/>
            <w:tcMar>
              <w:left w:w="0" w:type="dxa"/>
              <w:right w:w="0" w:type="dxa"/>
            </w:tcMar>
            <w:vAlign w:val="center"/>
          </w:tcPr>
          <w:p w14:paraId="329582D5" w14:textId="77777777" w:rsidR="00EA5BBF" w:rsidRPr="001570EA" w:rsidRDefault="00EA5BBF">
            <w:pPr>
              <w:keepNext/>
              <w:rPr>
                <w:b/>
                <w:bCs/>
                <w:sz w:val="18"/>
                <w:szCs w:val="18"/>
              </w:rPr>
            </w:pPr>
            <w:r w:rsidRPr="001570EA">
              <w:rPr>
                <w:b/>
                <w:bCs/>
                <w:sz w:val="18"/>
                <w:szCs w:val="18"/>
              </w:rPr>
              <w:t>Baseboard</w:t>
            </w:r>
          </w:p>
        </w:tc>
        <w:tc>
          <w:tcPr>
            <w:tcW w:w="1260" w:type="dxa"/>
            <w:shd w:val="clear" w:color="auto" w:fill="BFBFBF" w:themeFill="background1" w:themeFillShade="BF"/>
            <w:noWrap/>
            <w:vAlign w:val="center"/>
            <w:hideMark/>
          </w:tcPr>
          <w:p w14:paraId="2CC8FB40" w14:textId="77777777" w:rsidR="00EA5BBF" w:rsidRPr="001570EA" w:rsidRDefault="00EA5BBF">
            <w:pPr>
              <w:keepNext/>
              <w:rPr>
                <w:b/>
                <w:bCs/>
                <w:sz w:val="18"/>
                <w:szCs w:val="18"/>
              </w:rPr>
            </w:pPr>
            <w:r w:rsidRPr="001570EA">
              <w:rPr>
                <w:b/>
                <w:bCs/>
                <w:sz w:val="18"/>
                <w:szCs w:val="18"/>
              </w:rPr>
              <w:t>Central AC</w:t>
            </w:r>
          </w:p>
        </w:tc>
        <w:tc>
          <w:tcPr>
            <w:tcW w:w="990" w:type="dxa"/>
            <w:shd w:val="clear" w:color="auto" w:fill="BFBFBF" w:themeFill="background1" w:themeFillShade="BF"/>
            <w:vAlign w:val="center"/>
          </w:tcPr>
          <w:p w14:paraId="355B7FDF" w14:textId="77777777" w:rsidR="00EA5BBF" w:rsidRPr="001570EA" w:rsidRDefault="00EA5BBF">
            <w:pPr>
              <w:keepNext/>
              <w:rPr>
                <w:b/>
                <w:bCs/>
                <w:sz w:val="18"/>
                <w:szCs w:val="18"/>
              </w:rPr>
            </w:pPr>
            <w:r w:rsidRPr="001570EA">
              <w:rPr>
                <w:b/>
                <w:bCs/>
                <w:sz w:val="18"/>
                <w:szCs w:val="18"/>
              </w:rPr>
              <w:t>Electric Furnace</w:t>
            </w:r>
          </w:p>
        </w:tc>
        <w:tc>
          <w:tcPr>
            <w:tcW w:w="1011" w:type="dxa"/>
            <w:shd w:val="clear" w:color="auto" w:fill="BFBFBF" w:themeFill="background1" w:themeFillShade="BF"/>
            <w:vAlign w:val="center"/>
          </w:tcPr>
          <w:p w14:paraId="12455BA4" w14:textId="77777777" w:rsidR="00EA5BBF" w:rsidRPr="001570EA" w:rsidRDefault="00EA5BBF">
            <w:pPr>
              <w:keepNext/>
              <w:rPr>
                <w:b/>
                <w:bCs/>
                <w:sz w:val="18"/>
                <w:szCs w:val="18"/>
              </w:rPr>
            </w:pPr>
            <w:r w:rsidRPr="001570EA">
              <w:rPr>
                <w:b/>
                <w:bCs/>
                <w:sz w:val="18"/>
                <w:szCs w:val="18"/>
              </w:rPr>
              <w:t>GSHP</w:t>
            </w:r>
          </w:p>
        </w:tc>
        <w:tc>
          <w:tcPr>
            <w:tcW w:w="1235" w:type="dxa"/>
            <w:shd w:val="clear" w:color="auto" w:fill="BFBFBF" w:themeFill="background1" w:themeFillShade="BF"/>
            <w:vAlign w:val="center"/>
          </w:tcPr>
          <w:p w14:paraId="09D95CF3" w14:textId="77777777" w:rsidR="00EA5BBF" w:rsidRPr="001570EA" w:rsidRDefault="00EA5BBF">
            <w:pPr>
              <w:keepNext/>
              <w:rPr>
                <w:b/>
                <w:bCs/>
                <w:sz w:val="18"/>
                <w:szCs w:val="18"/>
              </w:rPr>
            </w:pPr>
            <w:r w:rsidRPr="001570EA">
              <w:rPr>
                <w:b/>
                <w:bCs/>
                <w:sz w:val="18"/>
                <w:szCs w:val="18"/>
              </w:rPr>
              <w:t>Mini-split</w:t>
            </w:r>
          </w:p>
        </w:tc>
        <w:tc>
          <w:tcPr>
            <w:tcW w:w="1170" w:type="dxa"/>
            <w:shd w:val="clear" w:color="auto" w:fill="BFBFBF" w:themeFill="background1" w:themeFillShade="BF"/>
            <w:noWrap/>
            <w:vAlign w:val="center"/>
            <w:hideMark/>
          </w:tcPr>
          <w:p w14:paraId="72CF9CDB" w14:textId="77777777" w:rsidR="00EA5BBF" w:rsidRPr="001570EA" w:rsidRDefault="00EA5BBF">
            <w:pPr>
              <w:keepNext/>
              <w:rPr>
                <w:b/>
                <w:bCs/>
                <w:sz w:val="18"/>
                <w:szCs w:val="18"/>
              </w:rPr>
            </w:pPr>
            <w:r w:rsidRPr="001570EA">
              <w:rPr>
                <w:b/>
                <w:bCs/>
                <w:sz w:val="18"/>
                <w:szCs w:val="18"/>
              </w:rPr>
              <w:t>Room AC</w:t>
            </w:r>
          </w:p>
        </w:tc>
      </w:tr>
      <w:tr w:rsidR="00EA5BBF" w:rsidRPr="001570EA" w14:paraId="43242F70" w14:textId="77777777">
        <w:trPr>
          <w:trHeight w:val="302"/>
          <w:jc w:val="center"/>
        </w:trPr>
        <w:tc>
          <w:tcPr>
            <w:tcW w:w="870" w:type="dxa"/>
            <w:shd w:val="clear" w:color="auto" w:fill="auto"/>
            <w:noWrap/>
            <w:vAlign w:val="center"/>
          </w:tcPr>
          <w:p w14:paraId="179DAC9B" w14:textId="77777777" w:rsidR="00EA5BBF" w:rsidRPr="001570EA" w:rsidRDefault="00EA5BBF">
            <w:pPr>
              <w:keepNext/>
              <w:rPr>
                <w:sz w:val="18"/>
                <w:szCs w:val="18"/>
              </w:rPr>
            </w:pPr>
            <w:r w:rsidRPr="001570EA">
              <w:rPr>
                <w:sz w:val="18"/>
                <w:szCs w:val="18"/>
              </w:rPr>
              <w:t>Cooling</w:t>
            </w:r>
          </w:p>
        </w:tc>
        <w:tc>
          <w:tcPr>
            <w:tcW w:w="1170" w:type="dxa"/>
            <w:shd w:val="clear" w:color="auto" w:fill="auto"/>
            <w:noWrap/>
            <w:tcMar>
              <w:left w:w="115" w:type="dxa"/>
              <w:right w:w="0" w:type="dxa"/>
            </w:tcMar>
            <w:vAlign w:val="center"/>
          </w:tcPr>
          <w:p w14:paraId="16F377F3" w14:textId="77777777" w:rsidR="00EA5BBF" w:rsidRPr="001570EA" w:rsidRDefault="00EA5BBF">
            <w:pPr>
              <w:keepNext/>
              <w:rPr>
                <w:sz w:val="18"/>
                <w:szCs w:val="18"/>
              </w:rPr>
            </w:pPr>
            <w:r w:rsidRPr="001570EA">
              <w:rPr>
                <w:sz w:val="18"/>
                <w:szCs w:val="18"/>
              </w:rPr>
              <w:t>15 SEER/</w:t>
            </w:r>
          </w:p>
          <w:p w14:paraId="154D5D40" w14:textId="77777777" w:rsidR="00EA5BBF" w:rsidRPr="001570EA" w:rsidRDefault="00EA5BBF">
            <w:pPr>
              <w:keepNext/>
              <w:rPr>
                <w:sz w:val="18"/>
                <w:szCs w:val="18"/>
              </w:rPr>
            </w:pPr>
            <w:r w:rsidRPr="001570EA">
              <w:rPr>
                <w:sz w:val="18"/>
                <w:szCs w:val="18"/>
              </w:rPr>
              <w:t>14.3 SEER2</w:t>
            </w:r>
          </w:p>
        </w:tc>
        <w:tc>
          <w:tcPr>
            <w:tcW w:w="1015" w:type="dxa"/>
            <w:vAlign w:val="center"/>
          </w:tcPr>
          <w:p w14:paraId="53FF2E06" w14:textId="77777777" w:rsidR="00EA5BBF" w:rsidRPr="001570EA" w:rsidRDefault="00EA5BBF">
            <w:pPr>
              <w:keepNext/>
              <w:jc w:val="center"/>
              <w:rPr>
                <w:sz w:val="18"/>
                <w:szCs w:val="18"/>
              </w:rPr>
            </w:pPr>
            <w:r w:rsidRPr="001570EA">
              <w:rPr>
                <w:sz w:val="18"/>
                <w:szCs w:val="18"/>
              </w:rPr>
              <w:t>–</w:t>
            </w:r>
          </w:p>
        </w:tc>
        <w:tc>
          <w:tcPr>
            <w:tcW w:w="1260" w:type="dxa"/>
            <w:shd w:val="clear" w:color="auto" w:fill="auto"/>
            <w:noWrap/>
            <w:vAlign w:val="center"/>
          </w:tcPr>
          <w:p w14:paraId="7F958AD8" w14:textId="77777777" w:rsidR="00EA5BBF" w:rsidRPr="001570EA" w:rsidRDefault="00EA5BBF">
            <w:pPr>
              <w:keepNext/>
              <w:rPr>
                <w:sz w:val="18"/>
                <w:szCs w:val="18"/>
              </w:rPr>
            </w:pPr>
            <w:r w:rsidRPr="001570EA">
              <w:rPr>
                <w:sz w:val="18"/>
                <w:szCs w:val="18"/>
              </w:rPr>
              <w:t>13.2 SEER/</w:t>
            </w:r>
          </w:p>
          <w:p w14:paraId="26FC8B8A" w14:textId="77777777" w:rsidR="00EA5BBF" w:rsidRPr="001570EA" w:rsidRDefault="00EA5BBF">
            <w:pPr>
              <w:keepNext/>
              <w:rPr>
                <w:sz w:val="18"/>
                <w:szCs w:val="18"/>
              </w:rPr>
            </w:pPr>
            <w:r w:rsidRPr="001570EA">
              <w:rPr>
                <w:sz w:val="18"/>
                <w:szCs w:val="18"/>
              </w:rPr>
              <w:t>12.9 SEER2</w:t>
            </w:r>
          </w:p>
        </w:tc>
        <w:tc>
          <w:tcPr>
            <w:tcW w:w="990" w:type="dxa"/>
            <w:shd w:val="clear" w:color="auto" w:fill="auto"/>
            <w:noWrap/>
            <w:vAlign w:val="center"/>
          </w:tcPr>
          <w:p w14:paraId="4181E567" w14:textId="77777777" w:rsidR="00EA5BBF" w:rsidRPr="001570EA" w:rsidRDefault="00EA5BBF">
            <w:pPr>
              <w:keepNext/>
              <w:jc w:val="center"/>
              <w:rPr>
                <w:sz w:val="18"/>
                <w:szCs w:val="18"/>
              </w:rPr>
            </w:pPr>
            <w:r w:rsidRPr="001570EA">
              <w:rPr>
                <w:sz w:val="18"/>
                <w:szCs w:val="18"/>
              </w:rPr>
              <w:t>–</w:t>
            </w:r>
          </w:p>
        </w:tc>
        <w:tc>
          <w:tcPr>
            <w:tcW w:w="1011" w:type="dxa"/>
            <w:vAlign w:val="center"/>
          </w:tcPr>
          <w:p w14:paraId="2F4A8A11" w14:textId="77777777" w:rsidR="00EA5BBF" w:rsidRPr="001570EA" w:rsidRDefault="00EA5BBF">
            <w:pPr>
              <w:keepNext/>
              <w:rPr>
                <w:sz w:val="18"/>
                <w:szCs w:val="18"/>
              </w:rPr>
            </w:pPr>
            <w:r w:rsidRPr="001570EA">
              <w:rPr>
                <w:sz w:val="18"/>
                <w:szCs w:val="18"/>
              </w:rPr>
              <w:t>23.9 EER</w:t>
            </w:r>
          </w:p>
        </w:tc>
        <w:tc>
          <w:tcPr>
            <w:tcW w:w="1235" w:type="dxa"/>
            <w:vAlign w:val="center"/>
          </w:tcPr>
          <w:p w14:paraId="599F8C5C" w14:textId="77777777" w:rsidR="00EA5BBF" w:rsidRPr="001570EA" w:rsidRDefault="00EA5BBF">
            <w:pPr>
              <w:keepNext/>
              <w:rPr>
                <w:sz w:val="18"/>
                <w:szCs w:val="18"/>
              </w:rPr>
            </w:pPr>
            <w:r w:rsidRPr="001570EA">
              <w:rPr>
                <w:sz w:val="18"/>
                <w:szCs w:val="18"/>
              </w:rPr>
              <w:t>18.9 SEER/</w:t>
            </w:r>
          </w:p>
          <w:p w14:paraId="58D88B9F" w14:textId="77777777" w:rsidR="00EA5BBF" w:rsidRPr="001570EA" w:rsidRDefault="00EA5BBF">
            <w:pPr>
              <w:keepNext/>
              <w:rPr>
                <w:sz w:val="18"/>
                <w:szCs w:val="18"/>
              </w:rPr>
            </w:pPr>
            <w:r w:rsidRPr="001570EA">
              <w:rPr>
                <w:sz w:val="18"/>
                <w:szCs w:val="18"/>
              </w:rPr>
              <w:t>17.5 SEER2</w:t>
            </w:r>
          </w:p>
        </w:tc>
        <w:tc>
          <w:tcPr>
            <w:tcW w:w="1170" w:type="dxa"/>
            <w:shd w:val="clear" w:color="auto" w:fill="auto"/>
            <w:noWrap/>
            <w:vAlign w:val="center"/>
          </w:tcPr>
          <w:p w14:paraId="067149AD" w14:textId="77777777" w:rsidR="00EA5BBF" w:rsidRPr="001570EA" w:rsidRDefault="00EA5BBF">
            <w:pPr>
              <w:keepNext/>
              <w:rPr>
                <w:sz w:val="18"/>
                <w:szCs w:val="18"/>
              </w:rPr>
            </w:pPr>
            <w:r w:rsidRPr="001570EA">
              <w:rPr>
                <w:sz w:val="18"/>
                <w:szCs w:val="18"/>
              </w:rPr>
              <w:t>10.7 EER/ 10.6 CEER</w:t>
            </w:r>
          </w:p>
        </w:tc>
      </w:tr>
      <w:tr w:rsidR="00EA5BBF" w:rsidRPr="001570EA" w14:paraId="1EB1D32E" w14:textId="77777777">
        <w:trPr>
          <w:trHeight w:val="302"/>
          <w:jc w:val="center"/>
        </w:trPr>
        <w:tc>
          <w:tcPr>
            <w:tcW w:w="870" w:type="dxa"/>
            <w:shd w:val="clear" w:color="auto" w:fill="auto"/>
            <w:noWrap/>
            <w:vAlign w:val="center"/>
          </w:tcPr>
          <w:p w14:paraId="5E3CC15D" w14:textId="77777777" w:rsidR="00EA5BBF" w:rsidRPr="001570EA" w:rsidRDefault="00EA5BBF">
            <w:pPr>
              <w:rPr>
                <w:sz w:val="18"/>
                <w:szCs w:val="18"/>
              </w:rPr>
            </w:pPr>
            <w:r w:rsidRPr="001570EA">
              <w:rPr>
                <w:sz w:val="18"/>
                <w:szCs w:val="18"/>
              </w:rPr>
              <w:t>Heating</w:t>
            </w:r>
          </w:p>
        </w:tc>
        <w:tc>
          <w:tcPr>
            <w:tcW w:w="1170" w:type="dxa"/>
            <w:shd w:val="clear" w:color="auto" w:fill="auto"/>
            <w:noWrap/>
            <w:vAlign w:val="center"/>
          </w:tcPr>
          <w:p w14:paraId="5BD2F948" w14:textId="77777777" w:rsidR="00EA5BBF" w:rsidRPr="001570EA" w:rsidRDefault="00EA5BBF">
            <w:pPr>
              <w:rPr>
                <w:sz w:val="18"/>
                <w:szCs w:val="18"/>
              </w:rPr>
            </w:pPr>
            <w:r w:rsidRPr="001570EA">
              <w:rPr>
                <w:sz w:val="18"/>
                <w:szCs w:val="18"/>
              </w:rPr>
              <w:t>8.5 HSPF/</w:t>
            </w:r>
          </w:p>
          <w:p w14:paraId="47B21998" w14:textId="77777777" w:rsidR="00EA5BBF" w:rsidRPr="001570EA" w:rsidRDefault="00EA5BBF">
            <w:pPr>
              <w:rPr>
                <w:sz w:val="18"/>
                <w:szCs w:val="18"/>
              </w:rPr>
            </w:pPr>
            <w:r w:rsidRPr="001570EA">
              <w:rPr>
                <w:sz w:val="18"/>
                <w:szCs w:val="18"/>
              </w:rPr>
              <w:t>7.3 HSPF2</w:t>
            </w:r>
          </w:p>
        </w:tc>
        <w:tc>
          <w:tcPr>
            <w:tcW w:w="1015" w:type="dxa"/>
            <w:vAlign w:val="center"/>
          </w:tcPr>
          <w:p w14:paraId="168CBF47" w14:textId="77777777" w:rsidR="00EA5BBF" w:rsidRPr="001570EA" w:rsidRDefault="00EA5BBF">
            <w:pPr>
              <w:rPr>
                <w:sz w:val="18"/>
                <w:szCs w:val="18"/>
              </w:rPr>
            </w:pPr>
            <w:r w:rsidRPr="001570EA">
              <w:rPr>
                <w:sz w:val="18"/>
                <w:szCs w:val="18"/>
              </w:rPr>
              <w:t>1.0 COP</w:t>
            </w:r>
          </w:p>
        </w:tc>
        <w:tc>
          <w:tcPr>
            <w:tcW w:w="1260" w:type="dxa"/>
            <w:shd w:val="clear" w:color="auto" w:fill="auto"/>
            <w:noWrap/>
            <w:vAlign w:val="center"/>
          </w:tcPr>
          <w:p w14:paraId="3092BF37" w14:textId="77777777" w:rsidR="00EA5BBF" w:rsidRPr="001570EA" w:rsidRDefault="00EA5BBF">
            <w:pPr>
              <w:jc w:val="center"/>
              <w:rPr>
                <w:sz w:val="18"/>
                <w:szCs w:val="18"/>
              </w:rPr>
            </w:pPr>
            <w:r w:rsidRPr="001570EA">
              <w:rPr>
                <w:sz w:val="18"/>
                <w:szCs w:val="18"/>
              </w:rPr>
              <w:t>–</w:t>
            </w:r>
          </w:p>
        </w:tc>
        <w:tc>
          <w:tcPr>
            <w:tcW w:w="990" w:type="dxa"/>
            <w:shd w:val="clear" w:color="auto" w:fill="auto"/>
            <w:noWrap/>
            <w:vAlign w:val="center"/>
          </w:tcPr>
          <w:p w14:paraId="08BE7235" w14:textId="77777777" w:rsidR="00EA5BBF" w:rsidRPr="001570EA" w:rsidRDefault="00EA5BBF">
            <w:pPr>
              <w:rPr>
                <w:sz w:val="18"/>
                <w:szCs w:val="18"/>
              </w:rPr>
            </w:pPr>
            <w:r w:rsidRPr="001570EA">
              <w:rPr>
                <w:sz w:val="18"/>
                <w:szCs w:val="18"/>
              </w:rPr>
              <w:t>1.0 COP</w:t>
            </w:r>
          </w:p>
        </w:tc>
        <w:tc>
          <w:tcPr>
            <w:tcW w:w="1011" w:type="dxa"/>
            <w:vAlign w:val="center"/>
          </w:tcPr>
          <w:p w14:paraId="0D300AD6" w14:textId="77777777" w:rsidR="00EA5BBF" w:rsidRPr="001570EA" w:rsidRDefault="00EA5BBF">
            <w:pPr>
              <w:rPr>
                <w:sz w:val="18"/>
                <w:szCs w:val="18"/>
              </w:rPr>
            </w:pPr>
            <w:r w:rsidRPr="001570EA">
              <w:rPr>
                <w:sz w:val="18"/>
                <w:szCs w:val="18"/>
              </w:rPr>
              <w:t>4.2 COP</w:t>
            </w:r>
          </w:p>
        </w:tc>
        <w:tc>
          <w:tcPr>
            <w:tcW w:w="1235" w:type="dxa"/>
            <w:vAlign w:val="center"/>
          </w:tcPr>
          <w:p w14:paraId="071C7456" w14:textId="77777777" w:rsidR="00EA5BBF" w:rsidRPr="001570EA" w:rsidRDefault="00EA5BBF">
            <w:pPr>
              <w:rPr>
                <w:sz w:val="18"/>
                <w:szCs w:val="18"/>
              </w:rPr>
            </w:pPr>
            <w:r w:rsidRPr="001570EA">
              <w:rPr>
                <w:sz w:val="18"/>
                <w:szCs w:val="18"/>
              </w:rPr>
              <w:t>10.0 HSPF/</w:t>
            </w:r>
          </w:p>
          <w:p w14:paraId="69A7AA62" w14:textId="77777777" w:rsidR="00EA5BBF" w:rsidRPr="001570EA" w:rsidRDefault="00EA5BBF">
            <w:pPr>
              <w:rPr>
                <w:sz w:val="18"/>
                <w:szCs w:val="18"/>
              </w:rPr>
            </w:pPr>
            <w:r w:rsidRPr="001570EA">
              <w:rPr>
                <w:sz w:val="18"/>
                <w:szCs w:val="18"/>
              </w:rPr>
              <w:t>8.6 HSPF2</w:t>
            </w:r>
          </w:p>
        </w:tc>
        <w:tc>
          <w:tcPr>
            <w:tcW w:w="1170" w:type="dxa"/>
            <w:shd w:val="clear" w:color="auto" w:fill="auto"/>
            <w:noWrap/>
            <w:vAlign w:val="center"/>
          </w:tcPr>
          <w:p w14:paraId="604052B5" w14:textId="77777777" w:rsidR="00EA5BBF" w:rsidRPr="001570EA" w:rsidRDefault="00EA5BBF">
            <w:pPr>
              <w:jc w:val="center"/>
              <w:rPr>
                <w:sz w:val="18"/>
                <w:szCs w:val="18"/>
              </w:rPr>
            </w:pPr>
            <w:r w:rsidRPr="001570EA">
              <w:rPr>
                <w:sz w:val="18"/>
                <w:szCs w:val="18"/>
              </w:rPr>
              <w:t>–</w:t>
            </w:r>
          </w:p>
        </w:tc>
      </w:tr>
    </w:tbl>
    <w:p w14:paraId="26FF54FE" w14:textId="77777777" w:rsidR="00EA5BBF" w:rsidRPr="001570EA" w:rsidRDefault="00EA5BBF" w:rsidP="00EA5BBF"/>
    <w:p w14:paraId="2C6C607A" w14:textId="77777777" w:rsidR="00EA5BBF" w:rsidRPr="001570EA" w:rsidRDefault="00EA5BBF" w:rsidP="00EA5BBF">
      <w:pPr>
        <w:pStyle w:val="SubStyle"/>
      </w:pPr>
      <w:r w:rsidRPr="001570EA">
        <w:t>Evaluation Protocols</w:t>
      </w:r>
    </w:p>
    <w:p w14:paraId="54BDF7BE" w14:textId="77777777" w:rsidR="00EA5BBF" w:rsidRPr="001570EA" w:rsidRDefault="00EA5BBF" w:rsidP="00EA5BBF">
      <w:pPr>
        <w:pStyle w:val="BodyText"/>
        <w:ind w:right="0"/>
        <w:rPr>
          <w:rFonts w:cs="Arial"/>
        </w:rPr>
      </w:pPr>
      <w:r w:rsidRPr="001570EA">
        <w:t>The appropriate evaluation protocol is to verify installation and proper application of TRM protocol along with verification of open variables. The Pennsylvania Evaluation Framework provides specific guidelines and requirements for evaluation procedures.</w:t>
      </w:r>
    </w:p>
    <w:p w14:paraId="16D6228C" w14:textId="77777777" w:rsidR="00EA5BBF" w:rsidRPr="001570EA" w:rsidRDefault="00EA5BBF" w:rsidP="00EA5BBF"/>
    <w:p w14:paraId="2FF80544" w14:textId="77777777" w:rsidR="00EA5BBF" w:rsidRPr="001570EA" w:rsidRDefault="00EA5BBF" w:rsidP="00EA5BBF">
      <w:pPr>
        <w:pStyle w:val="SubStyle"/>
      </w:pPr>
      <w:r w:rsidRPr="001570EA">
        <w:t>Sources</w:t>
      </w:r>
    </w:p>
    <w:p w14:paraId="58EEC237" w14:textId="02EB1369" w:rsidR="00EA5BBF" w:rsidRPr="001570EA" w:rsidRDefault="00EA5BBF" w:rsidP="00152CD6">
      <w:pPr>
        <w:pStyle w:val="ListParagraph"/>
        <w:numPr>
          <w:ilvl w:val="0"/>
          <w:numId w:val="70"/>
        </w:numPr>
        <w:spacing w:after="120"/>
        <w:ind w:left="360"/>
        <w:jc w:val="left"/>
      </w:pPr>
      <w:r w:rsidRPr="001570EA">
        <w:t xml:space="preserve">California Electronic Technical Reference Manual. “Effective Useful Life and Remaining Useful Life”. Accessed December 2023. </w:t>
      </w:r>
      <w:hyperlink r:id="rId372" w:history="1">
        <w:r w:rsidRPr="001570EA">
          <w:rPr>
            <w:rStyle w:val="Hyperlink"/>
          </w:rPr>
          <w:t>Weblink</w:t>
        </w:r>
      </w:hyperlink>
      <w:r w:rsidRPr="001570EA">
        <w:t xml:space="preserve"> </w:t>
      </w:r>
    </w:p>
    <w:p w14:paraId="5A9DA0E1" w14:textId="2F3E9DF3" w:rsidR="00EA5BBF" w:rsidRPr="001570EA" w:rsidRDefault="00EA5BBF" w:rsidP="00152CD6">
      <w:pPr>
        <w:pStyle w:val="ListParagraph"/>
        <w:numPr>
          <w:ilvl w:val="0"/>
          <w:numId w:val="70"/>
        </w:numPr>
        <w:spacing w:after="120"/>
        <w:ind w:left="360"/>
        <w:jc w:val="left"/>
      </w:pPr>
      <w:r w:rsidRPr="001570EA">
        <w:t xml:space="preserve">U.S. EPA. (2022). ENERGY STAR Program Requirements for Residential Windows, Doors, and Skylights Version 7.0 Specification. </w:t>
      </w:r>
      <w:hyperlink r:id="rId373" w:history="1">
        <w:r w:rsidRPr="001570EA">
          <w:rPr>
            <w:rStyle w:val="Hyperlink"/>
          </w:rPr>
          <w:t>Weblink</w:t>
        </w:r>
      </w:hyperlink>
      <w:r w:rsidRPr="001570EA">
        <w:t xml:space="preserve"> </w:t>
      </w:r>
    </w:p>
    <w:p w14:paraId="6C31BCF7" w14:textId="014FB4D0" w:rsidR="00EA5BBF" w:rsidRPr="001570EA" w:rsidRDefault="00EA5BBF" w:rsidP="00152CD6">
      <w:pPr>
        <w:pStyle w:val="ListParagraph"/>
        <w:numPr>
          <w:ilvl w:val="0"/>
          <w:numId w:val="70"/>
        </w:numPr>
        <w:spacing w:after="120"/>
        <w:ind w:left="360"/>
      </w:pPr>
      <w:r w:rsidRPr="001570EA">
        <w:t xml:space="preserve">Based on modelling using BEopt v2.8.0 performed by NMR Group, Inc. Unit energy savings were calculated by modeling a prototypical Pennsylvania single family detached house with average characteristics determined through the Act 129 2023 </w:t>
      </w:r>
      <w:r w:rsidR="004E3978" w:rsidRPr="001570EA">
        <w:t xml:space="preserve">Pennsylvania </w:t>
      </w:r>
      <w:r w:rsidRPr="001570EA">
        <w:t>Residential Baseline Study; 0.44 U / 0.52 SHGC. Simulations for each equipment-climate region combination were performed for ENERGY STAR version 7 windows using 0.25 U / 0.30 SHGC as representative specifications for climate regions D &amp; E, and 0.21 / 0.32 SHGC for the remaining regions. The difference in heating and cooling consumption was then apportioned evenly among the 305 square feet of windows in the prototype home yielding the UES values.</w:t>
      </w:r>
    </w:p>
    <w:p w14:paraId="4B2B38C8" w14:textId="3EE26370" w:rsidR="00EA5BBF" w:rsidRPr="001570EA" w:rsidRDefault="00EA5BBF" w:rsidP="00152CD6">
      <w:pPr>
        <w:pStyle w:val="ListParagraph"/>
        <w:numPr>
          <w:ilvl w:val="0"/>
          <w:numId w:val="70"/>
        </w:numPr>
        <w:spacing w:after="120"/>
        <w:ind w:left="360"/>
        <w:jc w:val="left"/>
      </w:pPr>
      <w:r w:rsidRPr="001570EA">
        <w:t xml:space="preserve">NMR Group for the Pennsylvania Public Utility Commission. (2024, March). 2023 Pennsylvania Statewide Act 129 Residential Baseline Study. </w:t>
      </w:r>
      <w:hyperlink r:id="rId374" w:history="1">
        <w:r w:rsidRPr="001570EA">
          <w:rPr>
            <w:rStyle w:val="Hyperlink"/>
          </w:rPr>
          <w:t>Weblink</w:t>
        </w:r>
      </w:hyperlink>
    </w:p>
    <w:p w14:paraId="542E1D9B" w14:textId="37BF84A2" w:rsidR="00EA5BBF" w:rsidRPr="001570EA" w:rsidRDefault="00EA5BBF" w:rsidP="00152CD6">
      <w:pPr>
        <w:pStyle w:val="source10"/>
        <w:numPr>
          <w:ilvl w:val="0"/>
          <w:numId w:val="70"/>
        </w:numPr>
        <w:spacing w:after="120"/>
        <w:ind w:left="360"/>
        <w:jc w:val="left"/>
      </w:pPr>
      <w:r w:rsidRPr="001570EA">
        <w:t xml:space="preserve">Based on the Phase III SWE team’s analysis of regional HVAC runtime data collected from ecobee’s Donate Your Data research service. </w:t>
      </w:r>
      <w:hyperlink r:id="rId375" w:history="1">
        <w:r w:rsidRPr="001570EA">
          <w:rPr>
            <w:rStyle w:val="Hyperlink"/>
            <w:rFonts w:cs="Arial"/>
          </w:rPr>
          <w:t>Weblink</w:t>
        </w:r>
      </w:hyperlink>
    </w:p>
    <w:p w14:paraId="0832B20E" w14:textId="77777777" w:rsidR="00EA5BBF" w:rsidRPr="001570EA" w:rsidRDefault="00EA5BBF" w:rsidP="00EA5BBF"/>
    <w:p w14:paraId="1BE58866" w14:textId="77777777" w:rsidR="00EA5BBF" w:rsidRPr="001570EA" w:rsidRDefault="00EA5BBF" w:rsidP="00EA5BBF">
      <w:pPr>
        <w:sectPr w:rsidR="00EA5BBF" w:rsidRPr="001570EA" w:rsidSect="002D556C">
          <w:pgSz w:w="12240" w:h="15840"/>
          <w:pgMar w:top="1440" w:right="1800" w:bottom="1440" w:left="1800" w:header="720" w:footer="501" w:gutter="0"/>
          <w:cols w:space="720"/>
        </w:sectPr>
      </w:pPr>
    </w:p>
    <w:p w14:paraId="794987DC" w14:textId="77777777" w:rsidR="00FA7EEB" w:rsidRPr="001570EA" w:rsidRDefault="00FA7EEB" w:rsidP="00FA7EEB">
      <w:pPr>
        <w:pStyle w:val="Heading2"/>
      </w:pPr>
      <w:bookmarkStart w:id="1200" w:name="_Toc48143062"/>
      <w:bookmarkStart w:id="1201" w:name="_Toc164786682"/>
      <w:bookmarkEnd w:id="1173"/>
      <w:bookmarkEnd w:id="1174"/>
      <w:bookmarkEnd w:id="1175"/>
      <w:r w:rsidRPr="001570EA">
        <w:t>Whole Home</w:t>
      </w:r>
      <w:bookmarkEnd w:id="1200"/>
      <w:bookmarkEnd w:id="1201"/>
    </w:p>
    <w:p w14:paraId="14EE091F" w14:textId="77777777" w:rsidR="00FA7EEB" w:rsidRPr="001570EA" w:rsidRDefault="00FA7EEB" w:rsidP="00C64DB8">
      <w:pPr>
        <w:pStyle w:val="Heading3"/>
      </w:pPr>
      <w:bookmarkStart w:id="1202" w:name="_Ref47537585"/>
      <w:bookmarkStart w:id="1203" w:name="_Toc48143063"/>
      <w:bookmarkStart w:id="1204" w:name="_Toc164786683"/>
      <w:r w:rsidRPr="001570EA">
        <w:t>Residential New Construction</w:t>
      </w:r>
      <w:bookmarkEnd w:id="1202"/>
      <w:bookmarkEnd w:id="1203"/>
      <w:bookmarkEnd w:id="1204"/>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05"/>
        <w:gridCol w:w="5007"/>
      </w:tblGrid>
      <w:tr w:rsidR="00FA7EEB" w:rsidRPr="001570EA" w14:paraId="3AC3C556"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0AE0AA07" w14:textId="77777777" w:rsidR="00FA7EEB" w:rsidRPr="001570EA" w:rsidRDefault="00FA7EEB">
            <w:pPr>
              <w:pStyle w:val="TableCell"/>
              <w:spacing w:before="60" w:after="60"/>
              <w:rPr>
                <w:b/>
                <w:bCs/>
                <w:color w:val="000000"/>
              </w:rPr>
            </w:pPr>
            <w:r w:rsidRPr="001570EA">
              <w:rPr>
                <w:b/>
                <w:bCs/>
                <w:color w:val="000000"/>
              </w:rPr>
              <w:t>Target Sector</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7E7981F" w14:textId="77777777" w:rsidR="00FA7EEB" w:rsidRPr="001570EA" w:rsidRDefault="00FA7EEB">
            <w:pPr>
              <w:pStyle w:val="TableCell"/>
              <w:spacing w:before="60" w:after="60"/>
              <w:jc w:val="center"/>
              <w:rPr>
                <w:color w:val="000000"/>
              </w:rPr>
            </w:pPr>
            <w:r w:rsidRPr="001570EA">
              <w:rPr>
                <w:color w:val="000000"/>
              </w:rPr>
              <w:t>Residential</w:t>
            </w:r>
          </w:p>
        </w:tc>
      </w:tr>
      <w:tr w:rsidR="00FA7EEB" w:rsidRPr="001570EA" w14:paraId="781DA5A1"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0376598D" w14:textId="77777777" w:rsidR="00FA7EEB" w:rsidRPr="001570EA" w:rsidRDefault="00FA7EEB">
            <w:pPr>
              <w:pStyle w:val="TableCell"/>
              <w:spacing w:before="60" w:after="60"/>
              <w:rPr>
                <w:b/>
                <w:bCs/>
                <w:color w:val="000000"/>
              </w:rPr>
            </w:pPr>
            <w:r w:rsidRPr="001570EA">
              <w:rPr>
                <w:b/>
                <w:bCs/>
                <w:color w:val="000000"/>
              </w:rPr>
              <w:t>Measure Unit</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6E561983" w14:textId="77777777" w:rsidR="00FA7EEB" w:rsidRPr="001570EA" w:rsidRDefault="00FA7EEB">
            <w:pPr>
              <w:pStyle w:val="TableCell"/>
              <w:spacing w:before="60" w:after="60"/>
              <w:jc w:val="center"/>
              <w:rPr>
                <w:color w:val="000000"/>
              </w:rPr>
            </w:pPr>
            <w:r w:rsidRPr="001570EA">
              <w:rPr>
                <w:color w:val="000000"/>
              </w:rPr>
              <w:t>Multiple</w:t>
            </w:r>
          </w:p>
        </w:tc>
      </w:tr>
      <w:tr w:rsidR="00FA7EEB" w:rsidRPr="001570EA" w14:paraId="7C2D5AC8"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2468192F" w14:textId="77777777" w:rsidR="00FA7EEB" w:rsidRPr="001570EA" w:rsidRDefault="00FA7EEB">
            <w:pPr>
              <w:pStyle w:val="TableCell"/>
              <w:spacing w:before="60" w:after="60"/>
              <w:rPr>
                <w:b/>
                <w:bCs/>
                <w:color w:val="000000"/>
              </w:rPr>
            </w:pPr>
            <w:r w:rsidRPr="001570EA">
              <w:rPr>
                <w:b/>
                <w:bCs/>
                <w:color w:val="000000"/>
              </w:rPr>
              <w:t>Measure Life</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489AF81D" w14:textId="77777777" w:rsidR="00FA7EEB" w:rsidRPr="001570EA" w:rsidRDefault="00FA7EEB">
            <w:pPr>
              <w:pStyle w:val="TableCell"/>
              <w:spacing w:before="60" w:after="60"/>
              <w:jc w:val="center"/>
              <w:rPr>
                <w:color w:val="000000"/>
              </w:rPr>
            </w:pPr>
            <w:r w:rsidRPr="001570EA">
              <w:rPr>
                <w:color w:val="000000"/>
              </w:rPr>
              <w:t>Varies</w:t>
            </w:r>
          </w:p>
        </w:tc>
      </w:tr>
      <w:tr w:rsidR="00FA7EEB" w:rsidRPr="001570EA" w14:paraId="44962BD4" w14:textId="77777777">
        <w:tc>
          <w:tcPr>
            <w:tcW w:w="3505"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73009A39" w14:textId="77777777" w:rsidR="00FA7EEB" w:rsidRPr="001570EA" w:rsidRDefault="00FA7EEB">
            <w:pPr>
              <w:pStyle w:val="TableCell"/>
              <w:spacing w:before="60" w:after="60"/>
              <w:rPr>
                <w:b/>
                <w:bCs/>
                <w:color w:val="000000"/>
              </w:rPr>
            </w:pPr>
            <w:r w:rsidRPr="001570EA">
              <w:rPr>
                <w:b/>
                <w:bCs/>
                <w:color w:val="000000"/>
              </w:rPr>
              <w:t>Vintage</w:t>
            </w:r>
          </w:p>
        </w:tc>
        <w:tc>
          <w:tcPr>
            <w:tcW w:w="5007"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79296860" w14:textId="77777777" w:rsidR="00FA7EEB" w:rsidRPr="001570EA" w:rsidRDefault="00FA7EEB">
            <w:pPr>
              <w:pStyle w:val="TableCell"/>
              <w:spacing w:before="60" w:after="60"/>
              <w:jc w:val="center"/>
              <w:rPr>
                <w:color w:val="000000"/>
              </w:rPr>
            </w:pPr>
            <w:r w:rsidRPr="001570EA">
              <w:rPr>
                <w:color w:val="000000"/>
              </w:rPr>
              <w:t>New Construction</w:t>
            </w:r>
          </w:p>
        </w:tc>
      </w:tr>
    </w:tbl>
    <w:p w14:paraId="501C2EB8" w14:textId="77777777" w:rsidR="00FA7EEB" w:rsidRPr="001570EA" w:rsidRDefault="00FA7EEB" w:rsidP="00FA7EEB"/>
    <w:p w14:paraId="6439265A" w14:textId="77777777" w:rsidR="00FA7EEB" w:rsidRPr="001570EA" w:rsidRDefault="00FA7EEB" w:rsidP="00FA7EEB">
      <w:pPr>
        <w:pStyle w:val="SubStyle"/>
      </w:pPr>
      <w:r w:rsidRPr="001570EA">
        <w:t>Eligibility</w:t>
      </w:r>
    </w:p>
    <w:p w14:paraId="7F813EE8" w14:textId="77777777" w:rsidR="00FA7EEB" w:rsidRPr="001570EA" w:rsidRDefault="00FA7EEB" w:rsidP="00FA7EEB">
      <w:pPr>
        <w:rPr>
          <w:vertAlign w:val="superscript"/>
        </w:rPr>
      </w:pPr>
      <w:r w:rsidRPr="001570EA">
        <w:t xml:space="preserve">This protocol documents the energy savings attributed to improvements to the construction of residential buildings compared to the baseline of a minimally code-compliant building, as calculated by the appropriate energy modeling software. This measure may be applied to attached or detached single-family homes and to multifamily residential buildings.  </w:t>
      </w:r>
    </w:p>
    <w:p w14:paraId="1C573FEC" w14:textId="77777777" w:rsidR="00FA7EEB" w:rsidRPr="001570EA" w:rsidRDefault="00FA7EEB" w:rsidP="00FA7EEB"/>
    <w:p w14:paraId="5A3BFB1A" w14:textId="7FE26FD4" w:rsidR="00FA7EEB" w:rsidRPr="001570EA" w:rsidRDefault="00FA7EEB" w:rsidP="00FA7EEB">
      <w:pPr>
        <w:rPr>
          <w:vertAlign w:val="superscript"/>
        </w:rPr>
      </w:pPr>
      <w:r w:rsidRPr="001570EA">
        <w:t>Mixed-use buildings are also eligible where the dwelling units and residential use common space combined exceed 50% of the building's square footage. Parking garage square footage is excluded from this calculation.</w:t>
      </w:r>
      <w:r w:rsidRPr="001570EA">
        <w:rPr>
          <w:vertAlign w:val="superscript"/>
        </w:rPr>
        <w:t>Source 1</w:t>
      </w:r>
    </w:p>
    <w:p w14:paraId="4A1D0164" w14:textId="77777777" w:rsidR="00FA7EEB" w:rsidRPr="001570EA" w:rsidRDefault="00FA7EEB" w:rsidP="00FA7EEB"/>
    <w:p w14:paraId="55CB3736" w14:textId="77777777" w:rsidR="00FA7EEB" w:rsidRPr="001570EA" w:rsidRDefault="00FA7EEB" w:rsidP="00FA7EEB">
      <w:r w:rsidRPr="001570EA">
        <w:t>Multifamily buildings of 4 stories and higher are subject to the commercial building code and hence have different baseline specifications than buildings subject to residential building code requirements. Savings for multifamily buildings may be claimed only for savings generated in the residential spaces of the building.</w:t>
      </w:r>
    </w:p>
    <w:p w14:paraId="7012034F" w14:textId="77777777" w:rsidR="00FA7EEB" w:rsidRPr="001570EA" w:rsidRDefault="00FA7EEB" w:rsidP="00FA7EEB"/>
    <w:p w14:paraId="7E15CEBA" w14:textId="77777777" w:rsidR="00FA7EEB" w:rsidRPr="001570EA" w:rsidRDefault="00FA7EEB" w:rsidP="00FA7EEB">
      <w:pPr>
        <w:pStyle w:val="SubStyle"/>
      </w:pPr>
      <w:r w:rsidRPr="001570EA">
        <w:t>Algorithms</w:t>
      </w:r>
    </w:p>
    <w:p w14:paraId="25A8BE77" w14:textId="77777777" w:rsidR="00FA7EEB" w:rsidRPr="001570EA" w:rsidRDefault="00FA7EEB" w:rsidP="00FA7EEB">
      <w:r w:rsidRPr="001570EA">
        <w:t>Energy and peak demand savings for Residential New Construction measures will be calculated by comparing outputs of energy models of the as-designed unit or building to a minimally code-compliant baseline unit or building. The characteristics of the baseline unit or building thermal envelope and/or system characteristics shall be based on the current state-adopted 2021 International Energy Conservation Code (IECC).</w:t>
      </w:r>
      <w:r w:rsidRPr="001570EA">
        <w:rPr>
          <w:vertAlign w:val="superscript"/>
        </w:rPr>
        <w:t>Source 2</w:t>
      </w:r>
    </w:p>
    <w:p w14:paraId="559FAFAC" w14:textId="77777777" w:rsidR="00FA7EEB" w:rsidRPr="001570EA" w:rsidRDefault="00FA7EEB" w:rsidP="00FA7EEB"/>
    <w:p w14:paraId="6A234E85" w14:textId="77777777" w:rsidR="00FA7EEB" w:rsidRPr="001570EA" w:rsidRDefault="00FA7EEB" w:rsidP="00FA7EEB">
      <w:r w:rsidRPr="001570EA">
        <w:t>For single-family homes and individual dwelling units, modeled energy savings shall be produced with a RESNET accredited software</w:t>
      </w:r>
      <w:r w:rsidRPr="001570EA">
        <w:rPr>
          <w:vertAlign w:val="superscript"/>
        </w:rPr>
        <w:t xml:space="preserve">Source 3 </w:t>
      </w:r>
      <w:r w:rsidRPr="001570EA">
        <w:t>or the Passive House accredited software packages (Passive House Planning Package</w:t>
      </w:r>
      <w:r w:rsidRPr="001570EA">
        <w:rPr>
          <w:vertAlign w:val="superscript"/>
        </w:rPr>
        <w:t xml:space="preserve">Source 4 </w:t>
      </w:r>
      <w:r w:rsidRPr="001570EA">
        <w:t>and WUFI Passive</w:t>
      </w:r>
      <w:r w:rsidRPr="001570EA">
        <w:rPr>
          <w:vertAlign w:val="superscript"/>
        </w:rPr>
        <w:t>Source 5</w:t>
      </w:r>
      <w:r w:rsidRPr="001570EA">
        <w:t xml:space="preserve">), though both Passive House tools require the user to separately model the code baseline reference design to calculate energy and demand savings. </w:t>
      </w:r>
    </w:p>
    <w:p w14:paraId="678839E0" w14:textId="77777777" w:rsidR="00FA7EEB" w:rsidRPr="001570EA" w:rsidRDefault="00FA7EEB" w:rsidP="00FA7EEB"/>
    <w:p w14:paraId="7021465A" w14:textId="77777777" w:rsidR="00FA7EEB" w:rsidRPr="001570EA" w:rsidRDefault="00FA7EEB" w:rsidP="00FA7EEB">
      <w:r w:rsidRPr="001570EA">
        <w:t>For multifamily buildings, modeled energy savings shall be produced at the building level with whole building modeling tools as designated by the ENERGY STAR Multifamily New Construction Program (eQUEST, DOE2.1, Energy Plus, Carrier HAP, Open Studio, and Trane Trace 700).</w:t>
      </w:r>
      <w:r w:rsidRPr="001570EA">
        <w:rPr>
          <w:vertAlign w:val="superscript"/>
        </w:rPr>
        <w:t>Source 6</w:t>
      </w:r>
      <w:r w:rsidRPr="001570EA">
        <w:t xml:space="preserve"> Alternatively, RESNET accredited software</w:t>
      </w:r>
      <w:r w:rsidRPr="001570EA">
        <w:rPr>
          <w:vertAlign w:val="superscript"/>
        </w:rPr>
        <w:t xml:space="preserve">Source 3  </w:t>
      </w:r>
      <w:r w:rsidRPr="001570EA">
        <w:t>or the Passive House accreditation software packages (Passive House Planning Package</w:t>
      </w:r>
      <w:r w:rsidRPr="001570EA">
        <w:rPr>
          <w:vertAlign w:val="superscript"/>
        </w:rPr>
        <w:t xml:space="preserve">Source 4 </w:t>
      </w:r>
      <w:r w:rsidRPr="001570EA">
        <w:t>and WUFI Passive</w:t>
      </w:r>
      <w:r w:rsidRPr="001570EA">
        <w:rPr>
          <w:vertAlign w:val="superscript"/>
        </w:rPr>
        <w:t>Source 5</w:t>
      </w:r>
      <w:r w:rsidRPr="001570EA">
        <w:t>) may be used to model energy savings for each residential dwelling unit archetype, where dwelling archetype can be defined by one or more key metrics such as bedroom/bathroom counts or square footage ranges.</w:t>
      </w:r>
    </w:p>
    <w:p w14:paraId="4794CDD3" w14:textId="77777777" w:rsidR="00FA7EEB" w:rsidRPr="001570EA" w:rsidRDefault="00FA7EEB" w:rsidP="00FA7EEB"/>
    <w:p w14:paraId="32A8FD7B" w14:textId="77777777" w:rsidR="00FA7EEB" w:rsidRPr="001570EA" w:rsidRDefault="00FA7EEB" w:rsidP="00FA7EEB">
      <w:pPr>
        <w:pStyle w:val="NoSpacing"/>
      </w:pPr>
      <w:r w:rsidRPr="001570EA">
        <w:t>Energy savings will be calculated from the software output using the following algorithm:</w:t>
      </w:r>
    </w:p>
    <w:p w14:paraId="18112BC2" w14:textId="77777777" w:rsidR="00FA7EEB" w:rsidRPr="001570EA" w:rsidRDefault="00FA7EEB" w:rsidP="00FA7EEB">
      <w:pPr>
        <w:rPr>
          <w:i/>
          <w:iCs/>
        </w:rPr>
      </w:pPr>
      <w:r w:rsidRPr="001570EA">
        <w:rPr>
          <w:i/>
          <w:iCs/>
        </w:rPr>
        <w:t>Energy savings of the qualified unit/building (kWh/yr)</w:t>
      </w:r>
    </w:p>
    <w:p w14:paraId="65C85D4F" w14:textId="77777777" w:rsidR="00FA7EEB" w:rsidRPr="001570EA" w:rsidRDefault="00FA7EEB" w:rsidP="00FA7EEB">
      <w:pPr>
        <w:rPr>
          <w:rFonts w:eastAsia="Arial" w:cs="Arial"/>
        </w:rPr>
      </w:pPr>
    </w:p>
    <w:p w14:paraId="52B08381" w14:textId="77777777" w:rsidR="00FA7EEB" w:rsidRPr="001570EA" w:rsidRDefault="00FA7EEB" w:rsidP="00FA7EEB">
      <w:pPr>
        <w:spacing w:line="276" w:lineRule="auto"/>
      </w:pPr>
      <w:r w:rsidRPr="001570EA">
        <w:rPr>
          <w:rFonts w:ascii="Symbol" w:eastAsia="Symbol" w:hAnsi="Symbol" w:cs="Symbol"/>
        </w:rPr>
        <w:t>D</w:t>
      </w:r>
      <w:r w:rsidRPr="001570EA">
        <w:t>kWh</w:t>
      </w:r>
      <w:r w:rsidRPr="001570EA">
        <w:rPr>
          <w:rFonts w:ascii="Cambria Math" w:hAnsi="Cambria Math"/>
        </w:rPr>
        <w:tab/>
      </w:r>
      <w:r w:rsidRPr="001570EA">
        <w:rPr>
          <w:rFonts w:ascii="Cambria Math" w:eastAsia="Cambria Math" w:hAnsi="Cambria Math" w:cs="Cambria Math"/>
        </w:rPr>
        <w:t xml:space="preserve">= </w:t>
      </w:r>
      <m:oMath>
        <m:sSub>
          <m:sSubPr>
            <m:ctrlPr>
              <w:rPr>
                <w:rFonts w:ascii="Cambria Math" w:eastAsia="Cambria Math" w:hAnsi="Cambria Math" w:cs="Cambria Math"/>
                <w:i/>
              </w:rPr>
            </m:ctrlPr>
          </m:sSubPr>
          <m:e>
            <m:r>
              <w:rPr>
                <w:rFonts w:ascii="Cambria Math" w:eastAsia="Cambria Math" w:hAnsi="Cambria Math" w:cs="Cambria Math"/>
              </w:rPr>
              <m:t>kWh</m:t>
            </m:r>
          </m:e>
          <m:sub>
            <m:r>
              <w:rPr>
                <w:rFonts w:ascii="Cambria Math" w:eastAsia="Cambria Math" w:hAnsi="Cambria Math" w:cs="Cambria Math"/>
              </w:rPr>
              <m:t>base</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kWh</m:t>
            </m:r>
          </m:e>
          <m:sub>
            <m:r>
              <w:rPr>
                <w:rFonts w:ascii="Cambria Math" w:eastAsia="Cambria Math" w:hAnsi="Cambria Math" w:cs="Cambria Math"/>
              </w:rPr>
              <m:t>ee</m:t>
            </m:r>
          </m:sub>
        </m:sSub>
      </m:oMath>
    </w:p>
    <w:p w14:paraId="58B1C39A" w14:textId="77777777" w:rsidR="00FA7EEB" w:rsidRPr="001570EA" w:rsidRDefault="00FA7EEB" w:rsidP="00FA7EEB">
      <w:pPr>
        <w:pStyle w:val="NoSpacing"/>
      </w:pPr>
    </w:p>
    <w:p w14:paraId="36A9DFAF" w14:textId="77777777" w:rsidR="00FA7EEB" w:rsidRPr="001570EA" w:rsidRDefault="00FA7EEB" w:rsidP="00FA7EEB">
      <w:pPr>
        <w:pStyle w:val="NoSpacing"/>
      </w:pPr>
      <w:r w:rsidRPr="001570EA">
        <w:t xml:space="preserve">If the modeling software provides building-level outputs of hourly energy consumption (an 8760 load profile), then coincident peak demand savings may be calculated by averaging the hourly energy savings during the TRM defined peak demand time period. The TRM peak demand time period is defined in Volume 1. </w:t>
      </w:r>
    </w:p>
    <w:p w14:paraId="2DF71644" w14:textId="77777777" w:rsidR="00FA7EEB" w:rsidRPr="001570EA" w:rsidRDefault="00FA7EEB" w:rsidP="00FA7EEB">
      <w:pPr>
        <w:pStyle w:val="NoSpacing"/>
      </w:pPr>
      <w:r w:rsidRPr="001570EA">
        <w:t>If the modeling software does not provide building-level outputs of hourly energy consumption, the system peak electric demand savings for shall be calculated from the software’s calculated annual energy savings and the following algorithm:</w:t>
      </w:r>
    </w:p>
    <w:p w14:paraId="7B1DF26F" w14:textId="77777777" w:rsidR="00FA7EEB" w:rsidRPr="001570EA" w:rsidRDefault="00FA7EEB" w:rsidP="00FA7EEB">
      <w:pPr>
        <w:pStyle w:val="Equation"/>
        <w:rPr>
          <w:rFonts w:cs="Arial"/>
          <w:szCs w:val="20"/>
        </w:rPr>
      </w:pPr>
    </w:p>
    <w:p w14:paraId="46EA9452" w14:textId="77777777" w:rsidR="00FA7EEB" w:rsidRPr="001570EA" w:rsidRDefault="00FA7EEB" w:rsidP="00FA7EEB">
      <w:pPr>
        <w:pStyle w:val="Equation"/>
      </w:pPr>
      <w:r w:rsidRPr="001570EA">
        <w:t>Coincident system peak electric demand savings (kW)</w:t>
      </w:r>
    </w:p>
    <w:p w14:paraId="3048DB57" w14:textId="77777777" w:rsidR="00FA7EEB" w:rsidRPr="001570EA" w:rsidRDefault="00FA7EEB" w:rsidP="00FA7EEB">
      <w:pPr>
        <w:pStyle w:val="Equation"/>
        <w:rPr>
          <w:rFonts w:eastAsia="Arial" w:cs="Arial"/>
        </w:rPr>
      </w:pPr>
    </w:p>
    <w:p w14:paraId="7613725E" w14:textId="77777777" w:rsidR="00FA7EEB" w:rsidRPr="001570EA" w:rsidRDefault="00FA7EEB" w:rsidP="00FA7EEB">
      <w:pPr>
        <w:spacing w:after="120"/>
        <w:rPr>
          <w:i/>
          <w:szCs w:val="20"/>
        </w:rPr>
      </w:pPr>
      <w:r w:rsidRPr="001570EA">
        <w:rPr>
          <w:rFonts w:ascii="Symbol" w:eastAsia="Symbol" w:hAnsi="Symbol" w:cs="Symbol"/>
          <w:szCs w:val="20"/>
        </w:rPr>
        <w:t>D</w:t>
      </w:r>
      <w:r w:rsidRPr="001570EA">
        <w:t>kW</w:t>
      </w:r>
      <w:r w:rsidRPr="001570EA">
        <w:rPr>
          <w:vertAlign w:val="subscript"/>
        </w:rPr>
        <w:t>peak,summer</w:t>
      </w:r>
      <w:r w:rsidRPr="001570EA">
        <w:rPr>
          <w:rFonts w:eastAsia="Arial" w:cs="Arial"/>
          <w:vertAlign w:val="subscript"/>
        </w:rPr>
        <w:t xml:space="preserve">   </w:t>
      </w:r>
      <w:r w:rsidRPr="001570EA">
        <w:rPr>
          <w:i/>
        </w:rPr>
        <w:t xml:space="preserve">= </w:t>
      </w:r>
      <m:oMath>
        <m:r>
          <m:rPr>
            <m:sty m:val="p"/>
          </m:rPr>
          <w:rPr>
            <w:rFonts w:ascii="Cambria Math" w:eastAsia="Symbol" w:hAnsi="Cambria Math" w:cs="Symbol"/>
          </w:rPr>
          <m:t>∆kWh</m:t>
        </m:r>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ETDF</m:t>
            </m:r>
          </m:e>
          <m:sub>
            <m:r>
              <w:rPr>
                <w:rFonts w:ascii="Cambria Math" w:hAnsi="Cambria Math" w:cs="Arial"/>
                <w:szCs w:val="20"/>
              </w:rPr>
              <m:t>summer</m:t>
            </m:r>
          </m:sub>
        </m:sSub>
      </m:oMath>
    </w:p>
    <w:p w14:paraId="63177137" w14:textId="77777777" w:rsidR="00FA7EEB" w:rsidRPr="001570EA" w:rsidRDefault="00FA7EEB" w:rsidP="00FA7EEB">
      <w:pPr>
        <w:spacing w:after="120"/>
        <w:rPr>
          <w:i/>
          <w:szCs w:val="20"/>
        </w:rPr>
      </w:pPr>
      <w:r w:rsidRPr="001570EA">
        <w:rPr>
          <w:rFonts w:ascii="Symbol" w:eastAsia="Symbol" w:hAnsi="Symbol" w:cs="Symbol"/>
          <w:szCs w:val="20"/>
        </w:rPr>
        <w:t>D</w:t>
      </w:r>
      <w:r w:rsidRPr="001570EA">
        <w:t>kW</w:t>
      </w:r>
      <w:r w:rsidRPr="001570EA">
        <w:rPr>
          <w:vertAlign w:val="subscript"/>
        </w:rPr>
        <w:t>peak,winter</w:t>
      </w:r>
      <w:r w:rsidRPr="001570EA">
        <w:rPr>
          <w:rFonts w:eastAsia="Arial" w:cs="Arial"/>
          <w:vertAlign w:val="subscript"/>
        </w:rPr>
        <w:t xml:space="preserve">   </w:t>
      </w:r>
      <w:r w:rsidRPr="001570EA">
        <w:rPr>
          <w:i/>
        </w:rPr>
        <w:t xml:space="preserve">= </w:t>
      </w:r>
      <m:oMath>
        <m:r>
          <m:rPr>
            <m:sty m:val="p"/>
          </m:rPr>
          <w:rPr>
            <w:rFonts w:ascii="Cambria Math" w:eastAsia="Symbol" w:hAnsi="Cambria Math" w:cs="Symbol"/>
          </w:rPr>
          <m:t>∆kWh</m:t>
        </m:r>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ETDF</m:t>
            </m:r>
          </m:e>
          <m:sub>
            <m:r>
              <w:rPr>
                <w:rFonts w:ascii="Cambria Math" w:hAnsi="Cambria Math" w:cs="Arial"/>
                <w:szCs w:val="20"/>
              </w:rPr>
              <m:t>winter</m:t>
            </m:r>
          </m:sub>
        </m:sSub>
      </m:oMath>
    </w:p>
    <w:p w14:paraId="155F2892" w14:textId="77777777" w:rsidR="00FA7EEB" w:rsidRPr="001570EA" w:rsidRDefault="00FA7EEB" w:rsidP="00FA7EEB">
      <w:pPr>
        <w:spacing w:after="120"/>
        <w:rPr>
          <w:i/>
          <w:szCs w:val="20"/>
        </w:rPr>
      </w:pPr>
    </w:p>
    <w:p w14:paraId="7EA4177E" w14:textId="77777777" w:rsidR="00FA7EEB" w:rsidRPr="001570EA" w:rsidRDefault="00FA7EEB" w:rsidP="00FA7EEB">
      <w:pPr>
        <w:pStyle w:val="SubStyle"/>
      </w:pPr>
      <w:r w:rsidRPr="001570EA">
        <w:t>Definition of Terms</w:t>
      </w:r>
    </w:p>
    <w:p w14:paraId="78262E49" w14:textId="77777777" w:rsidR="00FA7EEB" w:rsidRPr="001570EA" w:rsidRDefault="00FA7EEB" w:rsidP="00FA7EEB">
      <w:pPr>
        <w:spacing w:after="120"/>
      </w:pPr>
      <w:r w:rsidRPr="001570EA">
        <w:t>A summary of the input values and their data sources follows:</w:t>
      </w:r>
    </w:p>
    <w:p w14:paraId="6BCAADEA" w14:textId="4EA0F6F8" w:rsidR="00FA7EEB" w:rsidRPr="001570EA" w:rsidRDefault="00FA7EEB" w:rsidP="00FA7EEB">
      <w:pPr>
        <w:pStyle w:val="Caption"/>
        <w:keepNext w:val="0"/>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152</w:t>
      </w:r>
      <w:r w:rsidR="002E093A" w:rsidRPr="001570EA">
        <w:fldChar w:fldCharType="end"/>
      </w:r>
      <w:r w:rsidRPr="001570EA">
        <w:t>: Terms</w:t>
      </w:r>
      <w:r w:rsidRPr="001570EA">
        <w:rPr>
          <w:rFonts w:cs="Arial"/>
        </w:rPr>
        <w:t>, Values, and References for</w:t>
      </w:r>
      <w:r w:rsidRPr="001570EA">
        <w:t xml:space="preserve"> Residential New Construction</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3"/>
        <w:gridCol w:w="1614"/>
        <w:gridCol w:w="2240"/>
        <w:gridCol w:w="1063"/>
      </w:tblGrid>
      <w:tr w:rsidR="00FA7EEB" w:rsidRPr="001570EA" w14:paraId="7572289A" w14:textId="77777777">
        <w:trPr>
          <w:trHeight w:val="317"/>
        </w:trPr>
        <w:tc>
          <w:tcPr>
            <w:tcW w:w="3723" w:type="dxa"/>
            <w:shd w:val="clear" w:color="auto" w:fill="BFBFBF" w:themeFill="background1" w:themeFillShade="BF"/>
            <w:vAlign w:val="center"/>
          </w:tcPr>
          <w:p w14:paraId="597ECC8A" w14:textId="77777777" w:rsidR="00FA7EEB" w:rsidRPr="001570EA" w:rsidRDefault="00FA7EEB">
            <w:pPr>
              <w:pStyle w:val="TableCell"/>
              <w:keepNext w:val="0"/>
              <w:spacing w:before="60" w:after="60"/>
              <w:jc w:val="left"/>
              <w:rPr>
                <w:b/>
              </w:rPr>
            </w:pPr>
            <w:r w:rsidRPr="001570EA">
              <w:rPr>
                <w:b/>
              </w:rPr>
              <w:t>Term</w:t>
            </w:r>
          </w:p>
        </w:tc>
        <w:tc>
          <w:tcPr>
            <w:tcW w:w="1614" w:type="dxa"/>
            <w:shd w:val="clear" w:color="auto" w:fill="BFBFBF" w:themeFill="background1" w:themeFillShade="BF"/>
            <w:vAlign w:val="center"/>
          </w:tcPr>
          <w:p w14:paraId="70799E93" w14:textId="77777777" w:rsidR="00FA7EEB" w:rsidRPr="001570EA" w:rsidRDefault="00FA7EEB">
            <w:pPr>
              <w:pStyle w:val="TableCell"/>
              <w:keepNext w:val="0"/>
              <w:spacing w:before="60" w:after="60"/>
              <w:jc w:val="center"/>
              <w:rPr>
                <w:b/>
              </w:rPr>
            </w:pPr>
            <w:r w:rsidRPr="001570EA">
              <w:rPr>
                <w:b/>
              </w:rPr>
              <w:t>Unit</w:t>
            </w:r>
          </w:p>
        </w:tc>
        <w:tc>
          <w:tcPr>
            <w:tcW w:w="2240" w:type="dxa"/>
            <w:shd w:val="clear" w:color="auto" w:fill="BFBFBF" w:themeFill="background1" w:themeFillShade="BF"/>
            <w:vAlign w:val="center"/>
          </w:tcPr>
          <w:p w14:paraId="04C56272" w14:textId="77777777" w:rsidR="00FA7EEB" w:rsidRPr="001570EA" w:rsidRDefault="00FA7EEB">
            <w:pPr>
              <w:pStyle w:val="TableCell"/>
              <w:keepNext w:val="0"/>
              <w:spacing w:before="60" w:after="60"/>
              <w:jc w:val="center"/>
              <w:rPr>
                <w:b/>
              </w:rPr>
            </w:pPr>
            <w:r w:rsidRPr="001570EA">
              <w:rPr>
                <w:b/>
              </w:rPr>
              <w:t>Value</w:t>
            </w:r>
          </w:p>
        </w:tc>
        <w:tc>
          <w:tcPr>
            <w:tcW w:w="1063" w:type="dxa"/>
            <w:shd w:val="clear" w:color="auto" w:fill="BFBFBF" w:themeFill="background1" w:themeFillShade="BF"/>
            <w:vAlign w:val="center"/>
          </w:tcPr>
          <w:p w14:paraId="235E5867" w14:textId="77777777" w:rsidR="00FA7EEB" w:rsidRPr="001570EA" w:rsidRDefault="00FA7EEB">
            <w:pPr>
              <w:pStyle w:val="TableCell"/>
              <w:keepNext w:val="0"/>
              <w:spacing w:before="60" w:after="60"/>
              <w:jc w:val="center"/>
              <w:rPr>
                <w:b/>
              </w:rPr>
            </w:pPr>
            <w:r w:rsidRPr="001570EA">
              <w:rPr>
                <w:b/>
              </w:rPr>
              <w:t>Sources</w:t>
            </w:r>
          </w:p>
        </w:tc>
      </w:tr>
      <w:tr w:rsidR="00FA7EEB" w:rsidRPr="001570EA" w14:paraId="14CB2B18" w14:textId="77777777">
        <w:trPr>
          <w:trHeight w:val="317"/>
        </w:trPr>
        <w:tc>
          <w:tcPr>
            <w:tcW w:w="3723" w:type="dxa"/>
            <w:vAlign w:val="center"/>
          </w:tcPr>
          <w:p w14:paraId="378C9D33" w14:textId="2CE90A22" w:rsidR="00FA7EEB" w:rsidRPr="001570EA" w:rsidRDefault="00FA7EEB">
            <w:pPr>
              <w:pStyle w:val="TableCell"/>
              <w:keepNext w:val="0"/>
              <w:spacing w:before="60" w:after="60"/>
              <w:jc w:val="left"/>
            </w:pPr>
            <w:r w:rsidRPr="001570EA">
              <w:rPr>
                <w:rFonts w:ascii="Cambria Math" w:hAnsi="Cambria Math"/>
                <w:i/>
                <w:iCs/>
              </w:rPr>
              <w:t>kWh</w:t>
            </w:r>
            <w:r w:rsidRPr="001570EA">
              <w:rPr>
                <w:rFonts w:ascii="Cambria Math" w:hAnsi="Cambria Math"/>
                <w:i/>
                <w:iCs/>
                <w:vertAlign w:val="subscript"/>
              </w:rPr>
              <w:t>base</w:t>
            </w:r>
            <w:r w:rsidRPr="001570EA">
              <w:t>, Annual energy consumption of the baseline home/unit/building.</w:t>
            </w:r>
          </w:p>
        </w:tc>
        <w:tc>
          <w:tcPr>
            <w:tcW w:w="1614" w:type="dxa"/>
            <w:vAlign w:val="center"/>
          </w:tcPr>
          <w:p w14:paraId="28776DBE" w14:textId="77777777" w:rsidR="00FA7EEB" w:rsidRPr="001570EA" w:rsidRDefault="00FA7EEB">
            <w:pPr>
              <w:pStyle w:val="TableCell"/>
              <w:keepNext w:val="0"/>
              <w:spacing w:before="60" w:after="60"/>
              <w:jc w:val="center"/>
              <w:rPr>
                <w:rFonts w:ascii="Cambria Math" w:hAnsi="Cambria Math"/>
                <w:i/>
              </w:rPr>
            </w:pPr>
            <w:r w:rsidRPr="001570EA">
              <w:rPr>
                <w:rFonts w:ascii="Cambria Math" w:hAnsi="Cambria Math"/>
                <w:i/>
              </w:rPr>
              <w:t>kWh</w:t>
            </w:r>
          </w:p>
        </w:tc>
        <w:tc>
          <w:tcPr>
            <w:tcW w:w="2240" w:type="dxa"/>
            <w:vAlign w:val="center"/>
          </w:tcPr>
          <w:p w14:paraId="08B9DF0E" w14:textId="77777777" w:rsidR="00FA7EEB" w:rsidRPr="001570EA" w:rsidRDefault="00FA7EEB">
            <w:pPr>
              <w:pStyle w:val="TableCell"/>
              <w:keepNext w:val="0"/>
              <w:spacing w:before="60" w:after="60"/>
              <w:jc w:val="center"/>
            </w:pPr>
            <w:r w:rsidRPr="001570EA">
              <w:t>Software Calculated</w:t>
            </w:r>
          </w:p>
        </w:tc>
        <w:tc>
          <w:tcPr>
            <w:tcW w:w="1063" w:type="dxa"/>
            <w:vAlign w:val="center"/>
          </w:tcPr>
          <w:p w14:paraId="5DAEC512" w14:textId="77777777" w:rsidR="00FA7EEB" w:rsidRPr="001570EA" w:rsidRDefault="00FA7EEB">
            <w:pPr>
              <w:pStyle w:val="TableCell"/>
              <w:keepNext w:val="0"/>
              <w:spacing w:before="60" w:after="60"/>
              <w:jc w:val="center"/>
            </w:pPr>
            <w:r w:rsidRPr="001570EA">
              <w:t>7</w:t>
            </w:r>
          </w:p>
        </w:tc>
      </w:tr>
      <w:tr w:rsidR="00FA7EEB" w:rsidRPr="001570EA" w14:paraId="210137B0" w14:textId="77777777">
        <w:trPr>
          <w:trHeight w:val="317"/>
        </w:trPr>
        <w:tc>
          <w:tcPr>
            <w:tcW w:w="3723" w:type="dxa"/>
            <w:vAlign w:val="center"/>
          </w:tcPr>
          <w:p w14:paraId="5140EC3E" w14:textId="03368668" w:rsidR="00FA7EEB" w:rsidRPr="001570EA" w:rsidRDefault="00FA7EEB">
            <w:pPr>
              <w:pStyle w:val="TableCell"/>
              <w:keepNext w:val="0"/>
              <w:spacing w:before="60" w:after="60"/>
              <w:jc w:val="left"/>
            </w:pPr>
            <w:r w:rsidRPr="001570EA">
              <w:rPr>
                <w:rFonts w:ascii="Cambria Math" w:hAnsi="Cambria Math"/>
                <w:i/>
                <w:iCs/>
              </w:rPr>
              <w:t>kWh</w:t>
            </w:r>
            <w:r w:rsidRPr="001570EA">
              <w:rPr>
                <w:rFonts w:ascii="Cambria Math" w:hAnsi="Cambria Math"/>
                <w:i/>
                <w:iCs/>
                <w:vertAlign w:val="subscript"/>
              </w:rPr>
              <w:t>ee</w:t>
            </w:r>
            <w:r w:rsidRPr="001570EA">
              <w:t>, Annual energy consumption of the qualifying home/unit/building.</w:t>
            </w:r>
          </w:p>
        </w:tc>
        <w:tc>
          <w:tcPr>
            <w:tcW w:w="1614" w:type="dxa"/>
            <w:vAlign w:val="center"/>
          </w:tcPr>
          <w:p w14:paraId="42B3ED07" w14:textId="77777777" w:rsidR="00FA7EEB" w:rsidRPr="001570EA" w:rsidRDefault="00FA7EEB">
            <w:pPr>
              <w:pStyle w:val="TableCell"/>
              <w:keepNext w:val="0"/>
              <w:spacing w:before="60" w:after="60"/>
              <w:jc w:val="center"/>
              <w:rPr>
                <w:rFonts w:ascii="Cambria Math" w:hAnsi="Cambria Math"/>
                <w:i/>
              </w:rPr>
            </w:pPr>
            <w:r w:rsidRPr="001570EA">
              <w:rPr>
                <w:rFonts w:ascii="Cambria Math" w:hAnsi="Cambria Math"/>
                <w:i/>
              </w:rPr>
              <w:t>kWh</w:t>
            </w:r>
          </w:p>
        </w:tc>
        <w:tc>
          <w:tcPr>
            <w:tcW w:w="2240" w:type="dxa"/>
            <w:vAlign w:val="center"/>
          </w:tcPr>
          <w:p w14:paraId="0B98EB9B" w14:textId="77777777" w:rsidR="00FA7EEB" w:rsidRPr="001570EA" w:rsidRDefault="00FA7EEB">
            <w:pPr>
              <w:pStyle w:val="TableCell"/>
              <w:keepNext w:val="0"/>
              <w:spacing w:before="60" w:after="60"/>
              <w:jc w:val="center"/>
            </w:pPr>
            <w:r w:rsidRPr="001570EA">
              <w:t>Software Calculated</w:t>
            </w:r>
          </w:p>
        </w:tc>
        <w:tc>
          <w:tcPr>
            <w:tcW w:w="1063" w:type="dxa"/>
            <w:vAlign w:val="center"/>
          </w:tcPr>
          <w:p w14:paraId="0493466B" w14:textId="77777777" w:rsidR="00FA7EEB" w:rsidRPr="001570EA" w:rsidRDefault="00FA7EEB">
            <w:pPr>
              <w:pStyle w:val="TableCell"/>
              <w:keepNext w:val="0"/>
              <w:spacing w:before="60" w:after="60"/>
              <w:jc w:val="center"/>
            </w:pPr>
            <w:r w:rsidRPr="001570EA">
              <w:t>8</w:t>
            </w:r>
          </w:p>
        </w:tc>
      </w:tr>
      <w:tr w:rsidR="00FA7EEB" w:rsidRPr="001570EA" w14:paraId="7F220ABE" w14:textId="77777777">
        <w:trPr>
          <w:trHeight w:val="317"/>
        </w:trPr>
        <w:tc>
          <w:tcPr>
            <w:tcW w:w="3723" w:type="dxa"/>
            <w:vAlign w:val="center"/>
          </w:tcPr>
          <w:p w14:paraId="46C212FC" w14:textId="77777777" w:rsidR="00FA7EEB" w:rsidRPr="001570EA" w:rsidRDefault="00FA7EEB">
            <w:pPr>
              <w:pStyle w:val="TableCell"/>
              <w:keepNext w:val="0"/>
              <w:spacing w:before="60" w:after="60"/>
              <w:jc w:val="left"/>
              <w:rPr>
                <w:rFonts w:cs="Arial"/>
              </w:rPr>
            </w:pPr>
            <w:r w:rsidRPr="001570EA">
              <w:rPr>
                <w:rFonts w:cs="Arial"/>
                <w:i/>
                <w:iCs/>
              </w:rPr>
              <w:t>ETDF</w:t>
            </w:r>
            <w:r w:rsidRPr="001570EA">
              <w:rPr>
                <w:rFonts w:cs="Arial"/>
                <w:i/>
                <w:iCs/>
                <w:vertAlign w:val="subscript"/>
              </w:rPr>
              <w:t>s</w:t>
            </w:r>
            <w:r w:rsidRPr="001570EA">
              <w:rPr>
                <w:rFonts w:cs="Arial"/>
                <w:i/>
                <w:iCs/>
              </w:rPr>
              <w:t xml:space="preserve">, </w:t>
            </w:r>
            <w:r w:rsidRPr="001570EA">
              <w:rPr>
                <w:rFonts w:cs="Arial"/>
              </w:rPr>
              <w:t xml:space="preserve">Summer </w:t>
            </w:r>
            <w:r w:rsidRPr="001570EA">
              <w:rPr>
                <w:rFonts w:cs="Arial"/>
                <w:i/>
                <w:iCs/>
              </w:rPr>
              <w:t>e</w:t>
            </w:r>
            <w:r w:rsidRPr="001570EA">
              <w:rPr>
                <w:rFonts w:cs="Arial"/>
              </w:rPr>
              <w:t xml:space="preserve">nergy to demand factor </w:t>
            </w:r>
          </w:p>
        </w:tc>
        <w:tc>
          <w:tcPr>
            <w:tcW w:w="1614" w:type="dxa"/>
            <w:vAlign w:val="center"/>
          </w:tcPr>
          <w:p w14:paraId="1E5F224B" w14:textId="77777777" w:rsidR="00FA7EEB" w:rsidRPr="001570EA" w:rsidRDefault="00FA7EEB">
            <w:pPr>
              <w:pStyle w:val="TableCell"/>
              <w:keepNext w:val="0"/>
              <w:spacing w:before="60" w:after="60"/>
              <w:jc w:val="center"/>
              <w:rPr>
                <w:rFonts w:ascii="Cambria Math" w:hAnsi="Cambria Math"/>
                <w:i/>
              </w:rPr>
            </w:pPr>
            <w:r w:rsidRPr="001570EA">
              <w:rPr>
                <w:rFonts w:ascii="Cambria Math" w:hAnsi="Cambria Math"/>
                <w:i/>
              </w:rPr>
              <w:t>kW/kWh</w:t>
            </w:r>
          </w:p>
        </w:tc>
        <w:tc>
          <w:tcPr>
            <w:tcW w:w="2240" w:type="dxa"/>
            <w:vAlign w:val="center"/>
          </w:tcPr>
          <w:p w14:paraId="42B35B6E" w14:textId="77777777" w:rsidR="00FA7EEB" w:rsidRPr="001570EA" w:rsidRDefault="00FA7EEB">
            <w:pPr>
              <w:pStyle w:val="TableCell"/>
              <w:keepNext w:val="0"/>
              <w:spacing w:before="60" w:after="60"/>
              <w:jc w:val="center"/>
            </w:pPr>
            <w:r w:rsidRPr="001570EA">
              <w:t>0.0001376</w:t>
            </w:r>
          </w:p>
        </w:tc>
        <w:tc>
          <w:tcPr>
            <w:tcW w:w="1063" w:type="dxa"/>
            <w:vAlign w:val="center"/>
          </w:tcPr>
          <w:p w14:paraId="75C77009" w14:textId="77777777" w:rsidR="00FA7EEB" w:rsidRPr="001570EA" w:rsidRDefault="00FA7EEB">
            <w:pPr>
              <w:pStyle w:val="TableCell"/>
              <w:keepNext w:val="0"/>
              <w:spacing w:before="60" w:after="60"/>
              <w:jc w:val="center"/>
            </w:pPr>
            <w:r w:rsidRPr="001570EA">
              <w:t>9</w:t>
            </w:r>
          </w:p>
        </w:tc>
      </w:tr>
      <w:tr w:rsidR="00FA7EEB" w:rsidRPr="001570EA" w14:paraId="0A2857A4" w14:textId="77777777">
        <w:trPr>
          <w:trHeight w:val="317"/>
        </w:trPr>
        <w:tc>
          <w:tcPr>
            <w:tcW w:w="3723" w:type="dxa"/>
            <w:vAlign w:val="center"/>
          </w:tcPr>
          <w:p w14:paraId="5803166E" w14:textId="77777777" w:rsidR="00FA7EEB" w:rsidRPr="001570EA" w:rsidRDefault="00FA7EEB">
            <w:pPr>
              <w:pStyle w:val="TableCell"/>
              <w:keepNext w:val="0"/>
              <w:spacing w:before="60" w:after="60"/>
              <w:jc w:val="left"/>
              <w:rPr>
                <w:rFonts w:ascii="Cambria Math" w:hAnsi="Cambria Math"/>
                <w:i/>
                <w:iCs/>
              </w:rPr>
            </w:pPr>
            <w:r w:rsidRPr="001570EA">
              <w:rPr>
                <w:rFonts w:cs="Arial"/>
                <w:i/>
                <w:iCs/>
              </w:rPr>
              <w:t>ETDF</w:t>
            </w:r>
            <w:r w:rsidRPr="001570EA">
              <w:rPr>
                <w:rFonts w:cs="Arial"/>
                <w:i/>
                <w:iCs/>
                <w:vertAlign w:val="subscript"/>
              </w:rPr>
              <w:t>w</w:t>
            </w:r>
            <w:r w:rsidRPr="001570EA">
              <w:rPr>
                <w:rFonts w:cs="Arial"/>
                <w:i/>
                <w:iCs/>
              </w:rPr>
              <w:t xml:space="preserve">, </w:t>
            </w:r>
            <w:r w:rsidRPr="001570EA">
              <w:rPr>
                <w:rFonts w:cs="Arial"/>
              </w:rPr>
              <w:t>Winter energy to demand factor</w:t>
            </w:r>
          </w:p>
        </w:tc>
        <w:tc>
          <w:tcPr>
            <w:tcW w:w="1614" w:type="dxa"/>
            <w:vAlign w:val="center"/>
          </w:tcPr>
          <w:p w14:paraId="09805A19" w14:textId="77777777" w:rsidR="00FA7EEB" w:rsidRPr="001570EA" w:rsidRDefault="00FA7EEB">
            <w:pPr>
              <w:pStyle w:val="TableCell"/>
              <w:keepNext w:val="0"/>
              <w:spacing w:before="60" w:after="60"/>
              <w:jc w:val="center"/>
              <w:rPr>
                <w:rFonts w:ascii="Cambria Math" w:hAnsi="Cambria Math"/>
                <w:i/>
              </w:rPr>
            </w:pPr>
            <w:r w:rsidRPr="001570EA">
              <w:rPr>
                <w:rFonts w:ascii="Cambria Math" w:hAnsi="Cambria Math"/>
                <w:i/>
              </w:rPr>
              <w:t>kW/kWh</w:t>
            </w:r>
          </w:p>
        </w:tc>
        <w:tc>
          <w:tcPr>
            <w:tcW w:w="2240" w:type="dxa"/>
            <w:vAlign w:val="center"/>
          </w:tcPr>
          <w:p w14:paraId="1C0D2649" w14:textId="77777777" w:rsidR="00FA7EEB" w:rsidRPr="001570EA" w:rsidRDefault="00FA7EEB">
            <w:pPr>
              <w:pStyle w:val="TableCell"/>
              <w:keepNext w:val="0"/>
              <w:spacing w:before="60" w:after="60"/>
              <w:jc w:val="center"/>
            </w:pPr>
            <w:r w:rsidRPr="001570EA">
              <w:t>0.0001967</w:t>
            </w:r>
          </w:p>
        </w:tc>
        <w:tc>
          <w:tcPr>
            <w:tcW w:w="1063" w:type="dxa"/>
            <w:vAlign w:val="center"/>
          </w:tcPr>
          <w:p w14:paraId="3F8270A6" w14:textId="77777777" w:rsidR="00FA7EEB" w:rsidRPr="001570EA" w:rsidRDefault="00FA7EEB">
            <w:pPr>
              <w:pStyle w:val="TableCell"/>
              <w:keepNext w:val="0"/>
              <w:spacing w:before="60" w:after="60"/>
              <w:jc w:val="center"/>
            </w:pPr>
            <w:r w:rsidRPr="001570EA">
              <w:t>9</w:t>
            </w:r>
          </w:p>
        </w:tc>
      </w:tr>
      <w:tr w:rsidR="00FA7EEB" w:rsidRPr="001570EA" w14:paraId="2234D75F" w14:textId="77777777">
        <w:trPr>
          <w:trHeight w:val="317"/>
        </w:trPr>
        <w:tc>
          <w:tcPr>
            <w:tcW w:w="3723" w:type="dxa"/>
          </w:tcPr>
          <w:p w14:paraId="48B6DF0E" w14:textId="77777777" w:rsidR="00FA7EEB" w:rsidRPr="001570EA" w:rsidRDefault="003B5E04">
            <w:pPr>
              <w:pStyle w:val="TableCell"/>
              <w:keepNext w:val="0"/>
              <w:spacing w:before="60" w:after="60"/>
              <w:jc w:val="left"/>
              <w:rPr>
                <w:rFonts w:ascii="Cambria Math" w:hAnsi="Cambria Math"/>
                <w:i/>
                <w:iCs/>
              </w:rPr>
            </w:pPr>
            <m:oMath>
              <m:sSub>
                <m:sSubPr>
                  <m:ctrlPr>
                    <w:rPr>
                      <w:rFonts w:ascii="Cambria Math" w:hAnsi="Cambria Math"/>
                      <w:i/>
                    </w:rPr>
                  </m:ctrlPr>
                </m:sSubPr>
                <m:e>
                  <m:r>
                    <w:rPr>
                      <w:rFonts w:ascii="Cambria Math" w:hAnsi="Cambria Math"/>
                    </w:rPr>
                    <m:t>V</m:t>
                  </m:r>
                </m:e>
                <m:sub>
                  <m:r>
                    <w:rPr>
                      <w:rFonts w:ascii="Cambria Math" w:hAnsi="Cambria Math"/>
                    </w:rPr>
                    <m:t>r</m:t>
                  </m:r>
                </m:sub>
              </m:sSub>
            </m:oMath>
            <w:r w:rsidR="00FA7EEB" w:rsidRPr="001570EA">
              <w:t xml:space="preserve">, </w:t>
            </w:r>
            <w:r w:rsidR="00FA7EEB" w:rsidRPr="001570EA">
              <w:rPr>
                <w:rFonts w:cs="Arial"/>
                <w:iCs/>
              </w:rPr>
              <w:t>Rated storage volume of baseline water heater</w:t>
            </w:r>
          </w:p>
        </w:tc>
        <w:tc>
          <w:tcPr>
            <w:tcW w:w="1614" w:type="dxa"/>
            <w:vAlign w:val="center"/>
          </w:tcPr>
          <w:p w14:paraId="2A9809EF" w14:textId="77777777" w:rsidR="00FA7EEB" w:rsidRPr="001570EA" w:rsidRDefault="00FA7EEB">
            <w:pPr>
              <w:pStyle w:val="TableCell"/>
              <w:keepNext w:val="0"/>
              <w:spacing w:before="60" w:after="60"/>
              <w:jc w:val="center"/>
              <w:rPr>
                <w:szCs w:val="18"/>
              </w:rPr>
            </w:pPr>
            <w:r w:rsidRPr="001570EA">
              <w:rPr>
                <w:i/>
                <w:iCs/>
              </w:rPr>
              <w:t>gallons</w:t>
            </w:r>
          </w:p>
        </w:tc>
        <w:tc>
          <w:tcPr>
            <w:tcW w:w="2240" w:type="dxa"/>
            <w:vAlign w:val="center"/>
          </w:tcPr>
          <w:p w14:paraId="25C1D43E" w14:textId="77777777" w:rsidR="00FA7EEB" w:rsidRPr="001570EA" w:rsidRDefault="00FA7EEB">
            <w:pPr>
              <w:pStyle w:val="TableCell"/>
              <w:keepNext w:val="0"/>
              <w:spacing w:before="60" w:after="60"/>
              <w:jc w:val="center"/>
            </w:pPr>
            <w:r w:rsidRPr="001570EA">
              <w:t>EDC Data Gathering</w:t>
            </w:r>
          </w:p>
        </w:tc>
        <w:tc>
          <w:tcPr>
            <w:tcW w:w="1063" w:type="dxa"/>
          </w:tcPr>
          <w:p w14:paraId="17F80DC4" w14:textId="77777777" w:rsidR="00FA7EEB" w:rsidRPr="001570EA" w:rsidRDefault="00FA7EEB">
            <w:pPr>
              <w:pStyle w:val="TableCell"/>
              <w:keepNext w:val="0"/>
              <w:spacing w:before="60" w:after="60"/>
              <w:jc w:val="center"/>
            </w:pPr>
            <w:r w:rsidRPr="001570EA">
              <w:t>EDC Data Gathering</w:t>
            </w:r>
          </w:p>
        </w:tc>
      </w:tr>
      <w:tr w:rsidR="00FA7EEB" w:rsidRPr="001570EA" w14:paraId="6283647B" w14:textId="77777777">
        <w:trPr>
          <w:trHeight w:val="317"/>
        </w:trPr>
        <w:tc>
          <w:tcPr>
            <w:tcW w:w="3723" w:type="dxa"/>
            <w:vAlign w:val="center"/>
          </w:tcPr>
          <w:p w14:paraId="60370FB5" w14:textId="77777777" w:rsidR="00FA7EEB" w:rsidRPr="001570EA" w:rsidRDefault="00FA7EEB">
            <w:pPr>
              <w:pStyle w:val="TableCell"/>
              <w:keepNext w:val="0"/>
              <w:spacing w:before="60" w:after="60"/>
              <w:jc w:val="left"/>
              <w:rPr>
                <w:rFonts w:ascii="Cambria Math" w:hAnsi="Cambria Math"/>
                <w:i/>
                <w:iCs/>
              </w:rPr>
            </w:pPr>
            <w:r w:rsidRPr="001570EA">
              <w:rPr>
                <w:rFonts w:cs="Arial"/>
                <w:iCs/>
              </w:rPr>
              <w:t>Model inputs for baseline home</w:t>
            </w:r>
          </w:p>
        </w:tc>
        <w:tc>
          <w:tcPr>
            <w:tcW w:w="1614" w:type="dxa"/>
            <w:vAlign w:val="center"/>
          </w:tcPr>
          <w:p w14:paraId="3B62756F" w14:textId="77777777" w:rsidR="00FA7EEB" w:rsidRPr="001570EA" w:rsidRDefault="00FA7EEB">
            <w:pPr>
              <w:pStyle w:val="TableCell"/>
              <w:keepNext w:val="0"/>
              <w:spacing w:before="60" w:after="60"/>
              <w:jc w:val="center"/>
              <w:rPr>
                <w:szCs w:val="18"/>
              </w:rPr>
            </w:pPr>
            <w:r w:rsidRPr="001570EA">
              <w:rPr>
                <w:rFonts w:ascii="Cambria Math" w:hAnsi="Cambria Math"/>
                <w:i/>
              </w:rPr>
              <w:t>Varies</w:t>
            </w:r>
          </w:p>
        </w:tc>
        <w:tc>
          <w:tcPr>
            <w:tcW w:w="2240" w:type="dxa"/>
            <w:vAlign w:val="center"/>
          </w:tcPr>
          <w:p w14:paraId="4B4005A1" w14:textId="1AF6B8E7" w:rsidR="00FA7EEB" w:rsidRPr="001570EA" w:rsidRDefault="00FA7EEB">
            <w:pPr>
              <w:pStyle w:val="TableCell"/>
              <w:keepNext w:val="0"/>
              <w:spacing w:before="60" w:after="60"/>
              <w:jc w:val="center"/>
            </w:pPr>
            <w:r w:rsidRPr="001570EA">
              <w:t>Less than 4 stories: See</w:t>
            </w:r>
            <w:r w:rsidR="00F826E4" w:rsidRPr="001570EA">
              <w:t xml:space="preserve"> </w:t>
            </w:r>
            <w:r w:rsidR="00F826E4" w:rsidRPr="001570EA">
              <w:fldChar w:fldCharType="begin"/>
            </w:r>
            <w:r w:rsidR="00F826E4" w:rsidRPr="001570EA">
              <w:instrText xml:space="preserve"> REF _Ref12550443 \h </w:instrText>
            </w:r>
            <w:r w:rsidR="00776AA1" w:rsidRPr="001570EA">
              <w:instrText xml:space="preserve"> \* MERGEFORMAT </w:instrText>
            </w:r>
            <w:r w:rsidR="00F826E4" w:rsidRPr="001570EA">
              <w:fldChar w:fldCharType="separate"/>
            </w:r>
            <w:r w:rsidR="00234C6C" w:rsidRPr="001570EA">
              <w:t xml:space="preserve">Table </w:t>
            </w:r>
            <w:r w:rsidR="00234C6C" w:rsidRPr="001570EA">
              <w:rPr>
                <w:noProof/>
              </w:rPr>
              <w:t>2</w:t>
            </w:r>
            <w:r w:rsidR="00234C6C" w:rsidRPr="001570EA">
              <w:rPr>
                <w:noProof/>
              </w:rPr>
              <w:noBreakHyphen/>
              <w:t>153</w:t>
            </w:r>
            <w:r w:rsidR="00F826E4" w:rsidRPr="001570EA">
              <w:fldChar w:fldCharType="end"/>
            </w:r>
            <w:r w:rsidRPr="001570EA">
              <w:t xml:space="preserve"> and </w:t>
            </w:r>
            <w:r w:rsidR="00F826E4" w:rsidRPr="001570EA">
              <w:fldChar w:fldCharType="begin"/>
            </w:r>
            <w:r w:rsidR="00F826E4" w:rsidRPr="001570EA">
              <w:instrText xml:space="preserve"> REF _Ref377134627 \h </w:instrText>
            </w:r>
            <w:r w:rsidR="00776AA1" w:rsidRPr="001570EA">
              <w:instrText xml:space="preserve"> \* MERGEFORMAT </w:instrText>
            </w:r>
            <w:r w:rsidR="00F826E4" w:rsidRPr="001570EA">
              <w:fldChar w:fldCharType="separate"/>
            </w:r>
            <w:r w:rsidR="00234C6C" w:rsidRPr="001570EA">
              <w:t xml:space="preserve">Table </w:t>
            </w:r>
            <w:r w:rsidR="00234C6C" w:rsidRPr="001570EA">
              <w:rPr>
                <w:noProof/>
              </w:rPr>
              <w:t>2</w:t>
            </w:r>
            <w:r w:rsidR="00234C6C" w:rsidRPr="001570EA">
              <w:rPr>
                <w:noProof/>
              </w:rPr>
              <w:noBreakHyphen/>
              <w:t>154</w:t>
            </w:r>
            <w:r w:rsidR="00F826E4" w:rsidRPr="001570EA">
              <w:fldChar w:fldCharType="end"/>
            </w:r>
          </w:p>
          <w:p w14:paraId="7224D750" w14:textId="1AF4F876" w:rsidR="00FA7EEB" w:rsidRPr="001570EA" w:rsidRDefault="00FA7EEB">
            <w:pPr>
              <w:pStyle w:val="TableCell"/>
              <w:keepNext w:val="0"/>
              <w:spacing w:before="60" w:after="60"/>
              <w:jc w:val="center"/>
            </w:pPr>
            <w:r w:rsidRPr="001570EA">
              <w:t xml:space="preserve">4 stories and higher: See </w:t>
            </w:r>
            <w:r w:rsidR="00776AA1" w:rsidRPr="001570EA">
              <w:fldChar w:fldCharType="begin"/>
            </w:r>
            <w:r w:rsidR="00776AA1" w:rsidRPr="001570EA">
              <w:instrText xml:space="preserve"> REF _Ref163982644 \h  \* MERGEFORMAT </w:instrText>
            </w:r>
            <w:r w:rsidR="00776AA1" w:rsidRPr="001570EA">
              <w:fldChar w:fldCharType="separate"/>
            </w:r>
            <w:r w:rsidR="00234C6C" w:rsidRPr="001570EA">
              <w:t xml:space="preserve">Table </w:t>
            </w:r>
            <w:r w:rsidR="00234C6C" w:rsidRPr="001570EA">
              <w:rPr>
                <w:noProof/>
              </w:rPr>
              <w:t>2</w:t>
            </w:r>
            <w:r w:rsidR="00234C6C" w:rsidRPr="001570EA">
              <w:rPr>
                <w:noProof/>
              </w:rPr>
              <w:noBreakHyphen/>
              <w:t>156</w:t>
            </w:r>
            <w:r w:rsidR="00776AA1" w:rsidRPr="001570EA">
              <w:fldChar w:fldCharType="end"/>
            </w:r>
            <w:r w:rsidR="00776AA1" w:rsidRPr="001570EA">
              <w:t xml:space="preserve"> </w:t>
            </w:r>
            <w:r w:rsidRPr="001570EA">
              <w:t xml:space="preserve">and </w:t>
            </w:r>
            <w:r w:rsidR="00776AA1" w:rsidRPr="001570EA">
              <w:fldChar w:fldCharType="begin"/>
            </w:r>
            <w:r w:rsidR="00776AA1" w:rsidRPr="001570EA">
              <w:instrText xml:space="preserve"> REF _Ref163982653 \h  \* MERGEFORMAT </w:instrText>
            </w:r>
            <w:r w:rsidR="00776AA1" w:rsidRPr="001570EA">
              <w:fldChar w:fldCharType="separate"/>
            </w:r>
            <w:r w:rsidR="00234C6C" w:rsidRPr="001570EA">
              <w:t xml:space="preserve">Table </w:t>
            </w:r>
            <w:r w:rsidR="00234C6C" w:rsidRPr="001570EA">
              <w:rPr>
                <w:noProof/>
              </w:rPr>
              <w:t>2</w:t>
            </w:r>
            <w:r w:rsidR="00234C6C" w:rsidRPr="001570EA">
              <w:rPr>
                <w:noProof/>
              </w:rPr>
              <w:noBreakHyphen/>
              <w:t>157</w:t>
            </w:r>
            <w:r w:rsidR="00776AA1" w:rsidRPr="001570EA">
              <w:fldChar w:fldCharType="end"/>
            </w:r>
            <w:r w:rsidR="00776AA1" w:rsidRPr="001570EA">
              <w:t xml:space="preserve"> </w:t>
            </w:r>
          </w:p>
        </w:tc>
        <w:tc>
          <w:tcPr>
            <w:tcW w:w="1063" w:type="dxa"/>
            <w:vAlign w:val="center"/>
          </w:tcPr>
          <w:p w14:paraId="0A651280" w14:textId="77777777" w:rsidR="00FA7EEB" w:rsidRPr="001570EA" w:rsidRDefault="00FA7EEB">
            <w:pPr>
              <w:pStyle w:val="TableCell"/>
              <w:keepNext w:val="0"/>
              <w:spacing w:before="60" w:after="60"/>
              <w:jc w:val="center"/>
            </w:pPr>
          </w:p>
        </w:tc>
      </w:tr>
    </w:tbl>
    <w:p w14:paraId="65B2B46C" w14:textId="77777777" w:rsidR="00FA7EEB" w:rsidRPr="001570EA" w:rsidRDefault="00FA7EEB" w:rsidP="00FA7EEB"/>
    <w:p w14:paraId="13C08919" w14:textId="77777777" w:rsidR="00FA7EEB" w:rsidRPr="001570EA" w:rsidRDefault="00FA7EEB" w:rsidP="00FA7EEB">
      <w:r w:rsidRPr="001570EA">
        <w:t>The following table lists the building envelope characteristics of the baseline reference home based on 2021 IECC for the two climate zones in Pennsylvania.</w:t>
      </w:r>
    </w:p>
    <w:p w14:paraId="5C585334" w14:textId="77777777" w:rsidR="00FA7EEB" w:rsidRPr="001570EA" w:rsidRDefault="00FA7EEB" w:rsidP="00FA7EEB"/>
    <w:p w14:paraId="437CEAE6" w14:textId="1A075173" w:rsidR="00FA7EEB" w:rsidRPr="001570EA" w:rsidRDefault="00FA7EEB" w:rsidP="00FA7EEB">
      <w:pPr>
        <w:pStyle w:val="Caption"/>
      </w:pPr>
      <w:bookmarkStart w:id="1205" w:name="_Ref12550443"/>
      <w:bookmarkStart w:id="1206" w:name="_Toc364420912"/>
      <w:bookmarkStart w:id="1207" w:name="_Toc373320209"/>
      <w:bookmarkStart w:id="1208" w:name="_Toc364760682"/>
      <w:bookmarkStart w:id="1209" w:name="_Toc377465504"/>
      <w:bookmarkStart w:id="1210" w:name="_Toc4759837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153</w:t>
      </w:r>
      <w:r w:rsidR="002E093A" w:rsidRPr="001570EA">
        <w:fldChar w:fldCharType="end"/>
      </w:r>
      <w:bookmarkEnd w:id="1205"/>
      <w:r w:rsidRPr="001570EA">
        <w:t>: Baseline Insulation and Fenestration Requirements by Component for Buildings Less Than 4 Stories (Equivalent U-Factors)</w:t>
      </w:r>
      <w:bookmarkEnd w:id="1206"/>
      <w:bookmarkEnd w:id="1207"/>
      <w:bookmarkEnd w:id="1208"/>
      <w:bookmarkEnd w:id="1209"/>
      <w:r w:rsidRPr="001570EA">
        <w:rPr>
          <w:vertAlign w:val="superscript"/>
        </w:rPr>
        <w:t>Source 10</w:t>
      </w:r>
      <w:bookmarkEnd w:id="1210"/>
    </w:p>
    <w:tbl>
      <w:tblPr>
        <w:tblW w:w="10071" w:type="dxa"/>
        <w:tblLayout w:type="fixed"/>
        <w:tblCellMar>
          <w:left w:w="0" w:type="dxa"/>
          <w:right w:w="0" w:type="dxa"/>
        </w:tblCellMar>
        <w:tblLook w:val="04A0" w:firstRow="1" w:lastRow="0" w:firstColumn="1" w:lastColumn="0" w:noHBand="0" w:noVBand="1"/>
      </w:tblPr>
      <w:tblGrid>
        <w:gridCol w:w="730"/>
        <w:gridCol w:w="153"/>
        <w:gridCol w:w="1017"/>
        <w:gridCol w:w="749"/>
        <w:gridCol w:w="883"/>
        <w:gridCol w:w="883"/>
        <w:gridCol w:w="958"/>
        <w:gridCol w:w="990"/>
        <w:gridCol w:w="883"/>
        <w:gridCol w:w="883"/>
        <w:gridCol w:w="883"/>
        <w:gridCol w:w="1059"/>
      </w:tblGrid>
      <w:tr w:rsidR="00FA7EEB" w:rsidRPr="001570EA" w14:paraId="7BF84CAD" w14:textId="77777777" w:rsidTr="0045079A">
        <w:trPr>
          <w:trHeight w:val="730"/>
          <w:tblHeader/>
        </w:trPr>
        <w:tc>
          <w:tcPr>
            <w:tcW w:w="73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hideMark/>
          </w:tcPr>
          <w:p w14:paraId="2A4C60CF" w14:textId="77777777" w:rsidR="00FA7EEB" w:rsidRPr="001570EA" w:rsidRDefault="00FA7EEB">
            <w:pPr>
              <w:ind w:left="63"/>
              <w:rPr>
                <w:rFonts w:eastAsia="Arial" w:cs="Arial"/>
                <w:sz w:val="17"/>
                <w:szCs w:val="17"/>
              </w:rPr>
            </w:pPr>
            <w:r w:rsidRPr="001570EA">
              <w:rPr>
                <w:b/>
                <w:bCs/>
                <w:sz w:val="17"/>
                <w:szCs w:val="17"/>
              </w:rPr>
              <w:t>IECC Climate Zone</w:t>
            </w:r>
          </w:p>
        </w:tc>
        <w:tc>
          <w:tcPr>
            <w:tcW w:w="1170" w:type="dxa"/>
            <w:gridSpan w:val="2"/>
            <w:tcBorders>
              <w:top w:val="single" w:sz="8" w:space="0" w:color="auto"/>
              <w:left w:val="single" w:sz="4" w:space="0" w:color="auto"/>
              <w:bottom w:val="single" w:sz="8" w:space="0" w:color="auto"/>
              <w:right w:val="single" w:sz="8" w:space="0" w:color="auto"/>
            </w:tcBorders>
            <w:shd w:val="clear" w:color="auto" w:fill="BFBFBF" w:themeFill="background1" w:themeFillShade="BF"/>
            <w:vAlign w:val="bottom"/>
            <w:hideMark/>
          </w:tcPr>
          <w:p w14:paraId="4F2AA437" w14:textId="77777777" w:rsidR="00FA7EEB" w:rsidRPr="001570EA" w:rsidRDefault="00FA7EEB">
            <w:pPr>
              <w:ind w:left="27" w:right="36"/>
              <w:jc w:val="center"/>
              <w:rPr>
                <w:rFonts w:eastAsia="Arial" w:cs="Arial"/>
                <w:sz w:val="17"/>
                <w:szCs w:val="17"/>
              </w:rPr>
            </w:pPr>
            <w:r w:rsidRPr="001570EA">
              <w:rPr>
                <w:b/>
                <w:bCs/>
                <w:sz w:val="17"/>
                <w:szCs w:val="17"/>
              </w:rPr>
              <w:t>Fenestration U-Factor</w:t>
            </w:r>
          </w:p>
        </w:tc>
        <w:tc>
          <w:tcPr>
            <w:tcW w:w="749"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14:paraId="31EAA29B" w14:textId="77777777" w:rsidR="00FA7EEB" w:rsidRPr="001570EA" w:rsidRDefault="00FA7EEB">
            <w:pPr>
              <w:jc w:val="center"/>
              <w:rPr>
                <w:rFonts w:eastAsia="Arial" w:cs="Arial"/>
                <w:sz w:val="17"/>
                <w:szCs w:val="17"/>
              </w:rPr>
            </w:pPr>
            <w:r w:rsidRPr="001570EA">
              <w:rPr>
                <w:b/>
                <w:bCs/>
                <w:sz w:val="17"/>
                <w:szCs w:val="17"/>
              </w:rPr>
              <w:t>Skylight U-Factor</w:t>
            </w:r>
          </w:p>
        </w:tc>
        <w:tc>
          <w:tcPr>
            <w:tcW w:w="8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16CD8DF" w14:textId="77777777" w:rsidR="00FA7EEB" w:rsidRPr="001570EA" w:rsidRDefault="00FA7EEB">
            <w:pPr>
              <w:jc w:val="center"/>
              <w:rPr>
                <w:b/>
                <w:bCs/>
                <w:sz w:val="17"/>
                <w:szCs w:val="17"/>
              </w:rPr>
            </w:pPr>
            <w:r w:rsidRPr="001570EA">
              <w:rPr>
                <w:b/>
                <w:bCs/>
                <w:sz w:val="17"/>
                <w:szCs w:val="17"/>
              </w:rPr>
              <w:t>Glazed Fenestration SHGC</w:t>
            </w:r>
          </w:p>
        </w:tc>
        <w:tc>
          <w:tcPr>
            <w:tcW w:w="883"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bottom"/>
            <w:hideMark/>
          </w:tcPr>
          <w:p w14:paraId="17C89E35" w14:textId="77777777" w:rsidR="00FA7EEB" w:rsidRPr="001570EA" w:rsidRDefault="00FA7EEB">
            <w:pPr>
              <w:jc w:val="center"/>
              <w:rPr>
                <w:sz w:val="17"/>
                <w:szCs w:val="17"/>
              </w:rPr>
            </w:pPr>
            <w:r w:rsidRPr="001570EA">
              <w:rPr>
                <w:b/>
                <w:bCs/>
                <w:sz w:val="17"/>
                <w:szCs w:val="17"/>
              </w:rPr>
              <w:t>Ceiling U-Factor</w:t>
            </w:r>
          </w:p>
        </w:tc>
        <w:tc>
          <w:tcPr>
            <w:tcW w:w="958"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066A1DC4" w14:textId="77777777" w:rsidR="00FA7EEB" w:rsidRPr="001570EA" w:rsidRDefault="00FA7EEB">
            <w:pPr>
              <w:jc w:val="center"/>
              <w:rPr>
                <w:rFonts w:eastAsia="Arial" w:cs="Arial"/>
                <w:sz w:val="17"/>
                <w:szCs w:val="17"/>
              </w:rPr>
            </w:pPr>
            <w:r w:rsidRPr="001570EA">
              <w:rPr>
                <w:b/>
                <w:bCs/>
                <w:sz w:val="17"/>
                <w:szCs w:val="17"/>
              </w:rPr>
              <w:t>Frame Wall U-Factor</w:t>
            </w:r>
          </w:p>
        </w:tc>
        <w:tc>
          <w:tcPr>
            <w:tcW w:w="99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300498C2" w14:textId="77777777" w:rsidR="00FA7EEB" w:rsidRPr="001570EA" w:rsidRDefault="00FA7EEB">
            <w:pPr>
              <w:ind w:left="63"/>
              <w:jc w:val="center"/>
              <w:rPr>
                <w:sz w:val="17"/>
                <w:szCs w:val="17"/>
              </w:rPr>
            </w:pPr>
            <w:r w:rsidRPr="001570EA">
              <w:rPr>
                <w:b/>
                <w:bCs/>
                <w:sz w:val="17"/>
                <w:szCs w:val="17"/>
              </w:rPr>
              <w:t>Mass Wall U-Factor</w:t>
            </w:r>
          </w:p>
        </w:tc>
        <w:tc>
          <w:tcPr>
            <w:tcW w:w="883"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3B6518ED" w14:textId="77777777" w:rsidR="00FA7EEB" w:rsidRPr="001570EA" w:rsidRDefault="00FA7EEB">
            <w:pPr>
              <w:ind w:left="22"/>
              <w:jc w:val="center"/>
              <w:rPr>
                <w:rFonts w:eastAsia="Arial" w:cs="Arial"/>
                <w:b/>
                <w:bCs/>
                <w:sz w:val="17"/>
                <w:szCs w:val="17"/>
              </w:rPr>
            </w:pPr>
            <w:r w:rsidRPr="001570EA">
              <w:rPr>
                <w:b/>
                <w:bCs/>
                <w:sz w:val="17"/>
                <w:szCs w:val="17"/>
              </w:rPr>
              <w:t>Floor</w:t>
            </w:r>
          </w:p>
          <w:p w14:paraId="307A1CC2" w14:textId="77777777" w:rsidR="00FA7EEB" w:rsidRPr="001570EA" w:rsidRDefault="00FA7EEB">
            <w:pPr>
              <w:ind w:left="22"/>
              <w:jc w:val="center"/>
              <w:rPr>
                <w:rFonts w:eastAsia="Arial" w:cs="Arial"/>
                <w:sz w:val="17"/>
                <w:szCs w:val="17"/>
              </w:rPr>
            </w:pPr>
            <w:r w:rsidRPr="001570EA">
              <w:rPr>
                <w:b/>
                <w:bCs/>
                <w:sz w:val="17"/>
                <w:szCs w:val="17"/>
              </w:rPr>
              <w:t>U-Factor</w:t>
            </w:r>
          </w:p>
        </w:tc>
        <w:tc>
          <w:tcPr>
            <w:tcW w:w="883"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57ADFE17" w14:textId="77777777" w:rsidR="00FA7EEB" w:rsidRPr="001570EA" w:rsidRDefault="00FA7EEB">
            <w:pPr>
              <w:ind w:left="39"/>
              <w:jc w:val="center"/>
              <w:rPr>
                <w:rFonts w:eastAsia="Arial" w:cs="Arial"/>
                <w:sz w:val="17"/>
                <w:szCs w:val="17"/>
              </w:rPr>
            </w:pPr>
            <w:r w:rsidRPr="001570EA">
              <w:rPr>
                <w:b/>
                <w:bCs/>
                <w:sz w:val="17"/>
                <w:szCs w:val="17"/>
              </w:rPr>
              <w:t>Basement Wall</w:t>
            </w:r>
            <w:r w:rsidRPr="001570EA">
              <w:rPr>
                <w:b/>
                <w:bCs/>
                <w:sz w:val="17"/>
                <w:szCs w:val="17"/>
              </w:rPr>
              <w:br/>
              <w:t>U</w:t>
            </w:r>
            <w:r w:rsidRPr="001570EA">
              <w:rPr>
                <w:rFonts w:eastAsia="Arial" w:cs="Arial"/>
                <w:b/>
                <w:bCs/>
                <w:i/>
                <w:iCs/>
                <w:sz w:val="17"/>
                <w:szCs w:val="17"/>
              </w:rPr>
              <w:t>-</w:t>
            </w:r>
            <w:r w:rsidRPr="001570EA">
              <w:rPr>
                <w:b/>
                <w:bCs/>
                <w:sz w:val="17"/>
                <w:szCs w:val="17"/>
              </w:rPr>
              <w:t>Factor</w:t>
            </w:r>
          </w:p>
        </w:tc>
        <w:tc>
          <w:tcPr>
            <w:tcW w:w="883" w:type="dxa"/>
            <w:tcBorders>
              <w:top w:val="single" w:sz="8" w:space="0" w:color="auto"/>
              <w:left w:val="nil"/>
              <w:bottom w:val="single" w:sz="8" w:space="0" w:color="auto"/>
              <w:right w:val="single" w:sz="4" w:space="0" w:color="auto"/>
            </w:tcBorders>
            <w:shd w:val="clear" w:color="auto" w:fill="BFBFBF" w:themeFill="background1" w:themeFillShade="BF"/>
            <w:vAlign w:val="bottom"/>
          </w:tcPr>
          <w:p w14:paraId="48F99A5D" w14:textId="77777777" w:rsidR="00FA7EEB" w:rsidRPr="001570EA" w:rsidRDefault="00FA7EEB">
            <w:pPr>
              <w:ind w:left="56"/>
              <w:jc w:val="center"/>
              <w:rPr>
                <w:rFonts w:eastAsia="Arial" w:cs="Arial"/>
                <w:b/>
                <w:bCs/>
                <w:sz w:val="17"/>
                <w:szCs w:val="17"/>
              </w:rPr>
            </w:pPr>
            <w:r w:rsidRPr="001570EA">
              <w:rPr>
                <w:b/>
                <w:bCs/>
                <w:sz w:val="17"/>
                <w:szCs w:val="17"/>
              </w:rPr>
              <w:t>Slab</w:t>
            </w:r>
          </w:p>
          <w:p w14:paraId="2AA3ABBE" w14:textId="77777777" w:rsidR="00FA7EEB" w:rsidRPr="001570EA" w:rsidRDefault="00FA7EEB">
            <w:pPr>
              <w:ind w:left="56"/>
              <w:jc w:val="center"/>
              <w:rPr>
                <w:rFonts w:eastAsia="Arial" w:cs="Arial"/>
                <w:b/>
                <w:bCs/>
                <w:sz w:val="17"/>
                <w:szCs w:val="17"/>
              </w:rPr>
            </w:pPr>
            <w:r w:rsidRPr="001570EA">
              <w:rPr>
                <w:b/>
                <w:bCs/>
                <w:sz w:val="17"/>
                <w:szCs w:val="17"/>
              </w:rPr>
              <w:t>R-Value &amp; Depth</w:t>
            </w:r>
          </w:p>
        </w:tc>
        <w:tc>
          <w:tcPr>
            <w:tcW w:w="1059"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bottom"/>
            <w:hideMark/>
          </w:tcPr>
          <w:p w14:paraId="64005636" w14:textId="77777777" w:rsidR="00FA7EEB" w:rsidRPr="001570EA" w:rsidRDefault="00FA7EEB">
            <w:pPr>
              <w:jc w:val="center"/>
              <w:rPr>
                <w:rFonts w:eastAsia="Arial" w:cs="Arial"/>
                <w:sz w:val="17"/>
                <w:szCs w:val="17"/>
              </w:rPr>
            </w:pPr>
            <w:r w:rsidRPr="001570EA">
              <w:rPr>
                <w:b/>
                <w:bCs/>
                <w:sz w:val="17"/>
                <w:szCs w:val="17"/>
              </w:rPr>
              <w:t>Crawl Space Wall</w:t>
            </w:r>
            <w:r w:rsidRPr="001570EA">
              <w:rPr>
                <w:b/>
                <w:bCs/>
                <w:sz w:val="17"/>
                <w:szCs w:val="17"/>
              </w:rPr>
              <w:br/>
              <w:t>U-Factor</w:t>
            </w:r>
          </w:p>
        </w:tc>
      </w:tr>
      <w:tr w:rsidR="00FA7EEB" w:rsidRPr="001570EA" w14:paraId="2B8B3A77" w14:textId="77777777" w:rsidTr="0045079A">
        <w:trPr>
          <w:trHeight w:val="283"/>
        </w:trPr>
        <w:tc>
          <w:tcPr>
            <w:tcW w:w="730" w:type="dxa"/>
            <w:tcBorders>
              <w:top w:val="nil"/>
              <w:left w:val="single" w:sz="8" w:space="0" w:color="auto"/>
              <w:bottom w:val="single" w:sz="8" w:space="0" w:color="auto"/>
              <w:right w:val="single" w:sz="4" w:space="0" w:color="auto"/>
            </w:tcBorders>
            <w:vAlign w:val="center"/>
            <w:hideMark/>
          </w:tcPr>
          <w:p w14:paraId="7FA27ABC" w14:textId="77777777" w:rsidR="00FA7EEB" w:rsidRPr="001570EA" w:rsidRDefault="00FA7EEB">
            <w:pPr>
              <w:jc w:val="center"/>
              <w:rPr>
                <w:rFonts w:eastAsia="Arial" w:cs="Arial"/>
                <w:sz w:val="18"/>
                <w:szCs w:val="18"/>
              </w:rPr>
            </w:pPr>
            <w:r w:rsidRPr="001570EA">
              <w:rPr>
                <w:sz w:val="18"/>
                <w:szCs w:val="18"/>
              </w:rPr>
              <w:t>4</w:t>
            </w:r>
          </w:p>
        </w:tc>
        <w:tc>
          <w:tcPr>
            <w:tcW w:w="1170" w:type="dxa"/>
            <w:gridSpan w:val="2"/>
            <w:tcBorders>
              <w:top w:val="nil"/>
              <w:left w:val="single" w:sz="4" w:space="0" w:color="auto"/>
              <w:bottom w:val="single" w:sz="8" w:space="0" w:color="auto"/>
              <w:right w:val="single" w:sz="8" w:space="0" w:color="auto"/>
            </w:tcBorders>
            <w:vAlign w:val="center"/>
            <w:hideMark/>
          </w:tcPr>
          <w:p w14:paraId="174B8219" w14:textId="77777777" w:rsidR="00FA7EEB" w:rsidRPr="001570EA" w:rsidRDefault="00FA7EEB">
            <w:pPr>
              <w:jc w:val="center"/>
              <w:rPr>
                <w:rFonts w:cs="Arial"/>
                <w:sz w:val="18"/>
                <w:szCs w:val="18"/>
              </w:rPr>
            </w:pPr>
            <w:r w:rsidRPr="001570EA">
              <w:rPr>
                <w:rFonts w:cs="Arial"/>
                <w:sz w:val="18"/>
                <w:szCs w:val="18"/>
              </w:rPr>
              <w:t>0.30</w:t>
            </w:r>
          </w:p>
        </w:tc>
        <w:tc>
          <w:tcPr>
            <w:tcW w:w="749" w:type="dxa"/>
            <w:tcBorders>
              <w:top w:val="nil"/>
              <w:left w:val="nil"/>
              <w:bottom w:val="single" w:sz="8" w:space="0" w:color="auto"/>
              <w:right w:val="single" w:sz="4" w:space="0" w:color="auto"/>
            </w:tcBorders>
            <w:vAlign w:val="center"/>
            <w:hideMark/>
          </w:tcPr>
          <w:p w14:paraId="46CAC00A" w14:textId="77777777" w:rsidR="00FA7EEB" w:rsidRPr="001570EA" w:rsidRDefault="00FA7EEB">
            <w:pPr>
              <w:jc w:val="center"/>
              <w:rPr>
                <w:rFonts w:cs="Arial"/>
                <w:sz w:val="18"/>
                <w:szCs w:val="18"/>
              </w:rPr>
            </w:pPr>
            <w:r w:rsidRPr="001570EA">
              <w:rPr>
                <w:rFonts w:cs="Arial"/>
                <w:sz w:val="18"/>
                <w:szCs w:val="18"/>
              </w:rPr>
              <w:t>0.55</w:t>
            </w:r>
          </w:p>
        </w:tc>
        <w:tc>
          <w:tcPr>
            <w:tcW w:w="883" w:type="dxa"/>
            <w:tcBorders>
              <w:top w:val="single" w:sz="4" w:space="0" w:color="auto"/>
              <w:left w:val="single" w:sz="4" w:space="0" w:color="auto"/>
              <w:bottom w:val="single" w:sz="4" w:space="0" w:color="auto"/>
              <w:right w:val="single" w:sz="4" w:space="0" w:color="auto"/>
            </w:tcBorders>
            <w:vAlign w:val="center"/>
          </w:tcPr>
          <w:p w14:paraId="6B3619FE" w14:textId="77777777" w:rsidR="00FA7EEB" w:rsidRPr="001570EA" w:rsidRDefault="00FA7EEB">
            <w:pPr>
              <w:jc w:val="center"/>
              <w:rPr>
                <w:rFonts w:cs="Arial"/>
                <w:sz w:val="18"/>
                <w:szCs w:val="18"/>
              </w:rPr>
            </w:pPr>
            <w:r w:rsidRPr="001570EA">
              <w:rPr>
                <w:rFonts w:cs="Arial"/>
                <w:sz w:val="18"/>
                <w:szCs w:val="18"/>
              </w:rPr>
              <w:t>0.40</w:t>
            </w:r>
          </w:p>
        </w:tc>
        <w:tc>
          <w:tcPr>
            <w:tcW w:w="883" w:type="dxa"/>
            <w:tcBorders>
              <w:top w:val="nil"/>
              <w:left w:val="single" w:sz="4" w:space="0" w:color="auto"/>
              <w:bottom w:val="single" w:sz="8" w:space="0" w:color="auto"/>
              <w:right w:val="single" w:sz="8" w:space="0" w:color="auto"/>
            </w:tcBorders>
            <w:vAlign w:val="center"/>
            <w:hideMark/>
          </w:tcPr>
          <w:p w14:paraId="159027BA" w14:textId="77777777" w:rsidR="00FA7EEB" w:rsidRPr="001570EA" w:rsidRDefault="00FA7EEB">
            <w:pPr>
              <w:jc w:val="center"/>
              <w:rPr>
                <w:i/>
              </w:rPr>
            </w:pPr>
            <w:r w:rsidRPr="001570EA">
              <w:rPr>
                <w:rFonts w:cs="Arial"/>
                <w:sz w:val="18"/>
                <w:szCs w:val="18"/>
              </w:rPr>
              <w:t>0.024</w:t>
            </w:r>
          </w:p>
        </w:tc>
        <w:tc>
          <w:tcPr>
            <w:tcW w:w="958" w:type="dxa"/>
            <w:tcBorders>
              <w:top w:val="nil"/>
              <w:left w:val="nil"/>
              <w:bottom w:val="single" w:sz="8" w:space="0" w:color="auto"/>
              <w:right w:val="single" w:sz="8" w:space="0" w:color="auto"/>
            </w:tcBorders>
            <w:vAlign w:val="center"/>
            <w:hideMark/>
          </w:tcPr>
          <w:p w14:paraId="5650C730" w14:textId="77777777" w:rsidR="00FA7EEB" w:rsidRPr="001570EA" w:rsidRDefault="00FA7EEB">
            <w:pPr>
              <w:jc w:val="center"/>
              <w:rPr>
                <w:rFonts w:cs="Arial"/>
                <w:sz w:val="18"/>
                <w:szCs w:val="18"/>
              </w:rPr>
            </w:pPr>
            <w:r w:rsidRPr="001570EA">
              <w:rPr>
                <w:rFonts w:cs="Arial"/>
                <w:sz w:val="18"/>
                <w:szCs w:val="18"/>
              </w:rPr>
              <w:t>0.045</w:t>
            </w:r>
          </w:p>
        </w:tc>
        <w:tc>
          <w:tcPr>
            <w:tcW w:w="990" w:type="dxa"/>
            <w:tcBorders>
              <w:top w:val="nil"/>
              <w:left w:val="nil"/>
              <w:bottom w:val="single" w:sz="8" w:space="0" w:color="auto"/>
              <w:right w:val="single" w:sz="8" w:space="0" w:color="auto"/>
            </w:tcBorders>
            <w:vAlign w:val="center"/>
            <w:hideMark/>
          </w:tcPr>
          <w:p w14:paraId="73F65440" w14:textId="77777777" w:rsidR="00FA7EEB" w:rsidRPr="001570EA" w:rsidRDefault="00FA7EEB">
            <w:pPr>
              <w:jc w:val="center"/>
              <w:rPr>
                <w:i/>
              </w:rPr>
            </w:pPr>
            <w:r w:rsidRPr="001570EA">
              <w:rPr>
                <w:sz w:val="18"/>
              </w:rPr>
              <w:t>0.098</w:t>
            </w:r>
          </w:p>
        </w:tc>
        <w:tc>
          <w:tcPr>
            <w:tcW w:w="883" w:type="dxa"/>
            <w:tcBorders>
              <w:top w:val="nil"/>
              <w:left w:val="nil"/>
              <w:bottom w:val="single" w:sz="8" w:space="0" w:color="auto"/>
              <w:right w:val="single" w:sz="8" w:space="0" w:color="auto"/>
            </w:tcBorders>
            <w:vAlign w:val="center"/>
            <w:hideMark/>
          </w:tcPr>
          <w:p w14:paraId="4C0B16F5" w14:textId="77777777" w:rsidR="00FA7EEB" w:rsidRPr="001570EA" w:rsidRDefault="00FA7EEB">
            <w:pPr>
              <w:jc w:val="center"/>
              <w:rPr>
                <w:rFonts w:cs="Arial"/>
                <w:sz w:val="18"/>
                <w:szCs w:val="18"/>
              </w:rPr>
            </w:pPr>
            <w:r w:rsidRPr="001570EA">
              <w:rPr>
                <w:rFonts w:cs="Arial"/>
                <w:sz w:val="18"/>
                <w:szCs w:val="18"/>
              </w:rPr>
              <w:t>0.047</w:t>
            </w:r>
          </w:p>
        </w:tc>
        <w:tc>
          <w:tcPr>
            <w:tcW w:w="883" w:type="dxa"/>
            <w:tcBorders>
              <w:top w:val="nil"/>
              <w:left w:val="nil"/>
              <w:bottom w:val="single" w:sz="8" w:space="0" w:color="auto"/>
              <w:right w:val="single" w:sz="8" w:space="0" w:color="auto"/>
            </w:tcBorders>
            <w:vAlign w:val="center"/>
            <w:hideMark/>
          </w:tcPr>
          <w:p w14:paraId="607C8AA5" w14:textId="77777777" w:rsidR="00FA7EEB" w:rsidRPr="001570EA" w:rsidRDefault="00FA7EEB">
            <w:pPr>
              <w:jc w:val="center"/>
              <w:rPr>
                <w:rFonts w:cs="Arial"/>
                <w:sz w:val="18"/>
                <w:szCs w:val="18"/>
              </w:rPr>
            </w:pPr>
            <w:r w:rsidRPr="001570EA">
              <w:rPr>
                <w:rFonts w:cs="Arial"/>
                <w:sz w:val="18"/>
                <w:szCs w:val="18"/>
              </w:rPr>
              <w:t>0.059</w:t>
            </w:r>
          </w:p>
        </w:tc>
        <w:tc>
          <w:tcPr>
            <w:tcW w:w="883" w:type="dxa"/>
            <w:tcBorders>
              <w:top w:val="single" w:sz="8" w:space="0" w:color="auto"/>
              <w:left w:val="nil"/>
              <w:bottom w:val="single" w:sz="8" w:space="0" w:color="auto"/>
              <w:right w:val="single" w:sz="4" w:space="0" w:color="auto"/>
            </w:tcBorders>
            <w:vAlign w:val="center"/>
          </w:tcPr>
          <w:p w14:paraId="24DFCD63" w14:textId="77777777" w:rsidR="00FA7EEB" w:rsidRPr="001570EA" w:rsidRDefault="00FA7EEB">
            <w:pPr>
              <w:jc w:val="center"/>
              <w:rPr>
                <w:rFonts w:eastAsia="Arial" w:cs="Arial"/>
                <w:sz w:val="18"/>
                <w:szCs w:val="18"/>
              </w:rPr>
            </w:pPr>
            <w:r w:rsidRPr="001570EA">
              <w:rPr>
                <w:sz w:val="18"/>
                <w:szCs w:val="18"/>
              </w:rPr>
              <w:t>10ci, 4 ft</w:t>
            </w:r>
          </w:p>
        </w:tc>
        <w:tc>
          <w:tcPr>
            <w:tcW w:w="1059" w:type="dxa"/>
            <w:tcBorders>
              <w:top w:val="nil"/>
              <w:left w:val="single" w:sz="4" w:space="0" w:color="auto"/>
              <w:bottom w:val="single" w:sz="8" w:space="0" w:color="auto"/>
              <w:right w:val="single" w:sz="8" w:space="0" w:color="auto"/>
            </w:tcBorders>
            <w:vAlign w:val="center"/>
            <w:hideMark/>
          </w:tcPr>
          <w:p w14:paraId="38D70297" w14:textId="77777777" w:rsidR="00FA7EEB" w:rsidRPr="001570EA" w:rsidRDefault="00FA7EEB">
            <w:pPr>
              <w:jc w:val="center"/>
              <w:rPr>
                <w:rFonts w:cs="Arial"/>
                <w:sz w:val="18"/>
                <w:szCs w:val="18"/>
              </w:rPr>
            </w:pPr>
            <w:r w:rsidRPr="001570EA">
              <w:rPr>
                <w:rFonts w:cs="Arial"/>
                <w:sz w:val="18"/>
                <w:szCs w:val="18"/>
              </w:rPr>
              <w:t>0.065</w:t>
            </w:r>
          </w:p>
        </w:tc>
      </w:tr>
      <w:tr w:rsidR="00FA7EEB" w:rsidRPr="001570EA" w14:paraId="0E84820B" w14:textId="77777777" w:rsidTr="0045079A">
        <w:trPr>
          <w:trHeight w:val="288"/>
        </w:trPr>
        <w:tc>
          <w:tcPr>
            <w:tcW w:w="730" w:type="dxa"/>
            <w:tcBorders>
              <w:top w:val="nil"/>
              <w:left w:val="single" w:sz="8" w:space="0" w:color="auto"/>
              <w:bottom w:val="single" w:sz="4" w:space="0" w:color="auto"/>
              <w:right w:val="single" w:sz="4" w:space="0" w:color="auto"/>
            </w:tcBorders>
            <w:vAlign w:val="center"/>
            <w:hideMark/>
          </w:tcPr>
          <w:p w14:paraId="174EB861" w14:textId="77777777" w:rsidR="00FA7EEB" w:rsidRPr="001570EA" w:rsidRDefault="00FA7EEB">
            <w:pPr>
              <w:jc w:val="center"/>
              <w:rPr>
                <w:rFonts w:eastAsia="Arial" w:cs="Arial"/>
                <w:sz w:val="18"/>
                <w:szCs w:val="18"/>
              </w:rPr>
            </w:pPr>
            <w:r w:rsidRPr="001570EA">
              <w:rPr>
                <w:sz w:val="18"/>
                <w:szCs w:val="18"/>
              </w:rPr>
              <w:t>5</w:t>
            </w:r>
          </w:p>
        </w:tc>
        <w:tc>
          <w:tcPr>
            <w:tcW w:w="1170" w:type="dxa"/>
            <w:gridSpan w:val="2"/>
            <w:tcBorders>
              <w:top w:val="nil"/>
              <w:left w:val="single" w:sz="4" w:space="0" w:color="auto"/>
              <w:bottom w:val="single" w:sz="4" w:space="0" w:color="auto"/>
              <w:right w:val="single" w:sz="8" w:space="0" w:color="auto"/>
            </w:tcBorders>
            <w:vAlign w:val="center"/>
            <w:hideMark/>
          </w:tcPr>
          <w:p w14:paraId="42043037" w14:textId="77777777" w:rsidR="00FA7EEB" w:rsidRPr="001570EA" w:rsidRDefault="00FA7EEB">
            <w:pPr>
              <w:jc w:val="center"/>
              <w:rPr>
                <w:rFonts w:cs="Arial"/>
                <w:sz w:val="18"/>
                <w:szCs w:val="18"/>
              </w:rPr>
            </w:pPr>
            <w:r w:rsidRPr="001570EA">
              <w:rPr>
                <w:rFonts w:cs="Arial"/>
                <w:sz w:val="18"/>
                <w:szCs w:val="18"/>
              </w:rPr>
              <w:t>0.30</w:t>
            </w:r>
          </w:p>
        </w:tc>
        <w:tc>
          <w:tcPr>
            <w:tcW w:w="749" w:type="dxa"/>
            <w:tcBorders>
              <w:top w:val="nil"/>
              <w:left w:val="nil"/>
              <w:bottom w:val="single" w:sz="4" w:space="0" w:color="auto"/>
              <w:right w:val="single" w:sz="4" w:space="0" w:color="auto"/>
            </w:tcBorders>
            <w:vAlign w:val="center"/>
            <w:hideMark/>
          </w:tcPr>
          <w:p w14:paraId="35BA72B1" w14:textId="77777777" w:rsidR="00FA7EEB" w:rsidRPr="001570EA" w:rsidRDefault="00FA7EEB">
            <w:pPr>
              <w:jc w:val="center"/>
              <w:rPr>
                <w:rFonts w:cs="Arial"/>
                <w:sz w:val="18"/>
                <w:szCs w:val="18"/>
              </w:rPr>
            </w:pPr>
            <w:r w:rsidRPr="001570EA">
              <w:rPr>
                <w:rFonts w:cs="Arial"/>
                <w:sz w:val="18"/>
                <w:szCs w:val="18"/>
              </w:rPr>
              <w:t>0.55</w:t>
            </w:r>
          </w:p>
        </w:tc>
        <w:tc>
          <w:tcPr>
            <w:tcW w:w="883" w:type="dxa"/>
            <w:tcBorders>
              <w:top w:val="single" w:sz="4" w:space="0" w:color="auto"/>
              <w:left w:val="single" w:sz="4" w:space="0" w:color="auto"/>
              <w:bottom w:val="single" w:sz="4" w:space="0" w:color="auto"/>
              <w:right w:val="single" w:sz="4" w:space="0" w:color="auto"/>
            </w:tcBorders>
            <w:vAlign w:val="center"/>
          </w:tcPr>
          <w:p w14:paraId="4CCEB96E" w14:textId="77777777" w:rsidR="00FA7EEB" w:rsidRPr="001570EA" w:rsidRDefault="00FA7EEB">
            <w:pPr>
              <w:jc w:val="center"/>
              <w:rPr>
                <w:rFonts w:cs="Arial"/>
                <w:sz w:val="18"/>
                <w:szCs w:val="18"/>
              </w:rPr>
            </w:pPr>
            <w:r w:rsidRPr="001570EA">
              <w:rPr>
                <w:rFonts w:cs="Arial"/>
                <w:sz w:val="18"/>
                <w:szCs w:val="18"/>
              </w:rPr>
              <w:t>0.40</w:t>
            </w:r>
          </w:p>
        </w:tc>
        <w:tc>
          <w:tcPr>
            <w:tcW w:w="883" w:type="dxa"/>
            <w:tcBorders>
              <w:top w:val="nil"/>
              <w:left w:val="single" w:sz="4" w:space="0" w:color="auto"/>
              <w:bottom w:val="single" w:sz="4" w:space="0" w:color="auto"/>
              <w:right w:val="single" w:sz="8" w:space="0" w:color="auto"/>
            </w:tcBorders>
            <w:vAlign w:val="center"/>
            <w:hideMark/>
          </w:tcPr>
          <w:p w14:paraId="31AC9597" w14:textId="77777777" w:rsidR="00FA7EEB" w:rsidRPr="001570EA" w:rsidRDefault="00FA7EEB">
            <w:pPr>
              <w:jc w:val="center"/>
              <w:rPr>
                <w:i/>
              </w:rPr>
            </w:pPr>
            <w:r w:rsidRPr="001570EA">
              <w:rPr>
                <w:rFonts w:cs="Arial"/>
                <w:sz w:val="18"/>
                <w:szCs w:val="18"/>
              </w:rPr>
              <w:t>0.024</w:t>
            </w:r>
          </w:p>
        </w:tc>
        <w:tc>
          <w:tcPr>
            <w:tcW w:w="958" w:type="dxa"/>
            <w:tcBorders>
              <w:top w:val="nil"/>
              <w:left w:val="nil"/>
              <w:bottom w:val="single" w:sz="4" w:space="0" w:color="auto"/>
              <w:right w:val="single" w:sz="8" w:space="0" w:color="auto"/>
            </w:tcBorders>
            <w:vAlign w:val="center"/>
            <w:hideMark/>
          </w:tcPr>
          <w:p w14:paraId="44F39986" w14:textId="77777777" w:rsidR="00FA7EEB" w:rsidRPr="001570EA" w:rsidRDefault="00FA7EEB">
            <w:pPr>
              <w:jc w:val="center"/>
              <w:rPr>
                <w:rFonts w:cs="Arial"/>
                <w:sz w:val="18"/>
                <w:szCs w:val="18"/>
              </w:rPr>
            </w:pPr>
            <w:r w:rsidRPr="001570EA">
              <w:rPr>
                <w:rFonts w:cs="Arial"/>
                <w:sz w:val="18"/>
                <w:szCs w:val="18"/>
              </w:rPr>
              <w:t>0.045</w:t>
            </w:r>
          </w:p>
        </w:tc>
        <w:tc>
          <w:tcPr>
            <w:tcW w:w="990" w:type="dxa"/>
            <w:tcBorders>
              <w:top w:val="nil"/>
              <w:left w:val="nil"/>
              <w:bottom w:val="single" w:sz="4" w:space="0" w:color="auto"/>
              <w:right w:val="single" w:sz="8" w:space="0" w:color="auto"/>
            </w:tcBorders>
            <w:vAlign w:val="center"/>
            <w:hideMark/>
          </w:tcPr>
          <w:p w14:paraId="50557116" w14:textId="77777777" w:rsidR="00FA7EEB" w:rsidRPr="001570EA" w:rsidRDefault="00FA7EEB">
            <w:pPr>
              <w:jc w:val="center"/>
              <w:rPr>
                <w:i/>
              </w:rPr>
            </w:pPr>
            <w:r w:rsidRPr="001570EA">
              <w:rPr>
                <w:rFonts w:cs="Arial"/>
                <w:sz w:val="18"/>
                <w:szCs w:val="18"/>
              </w:rPr>
              <w:t>0.082</w:t>
            </w:r>
          </w:p>
        </w:tc>
        <w:tc>
          <w:tcPr>
            <w:tcW w:w="883" w:type="dxa"/>
            <w:tcBorders>
              <w:top w:val="nil"/>
              <w:left w:val="nil"/>
              <w:bottom w:val="single" w:sz="4" w:space="0" w:color="auto"/>
              <w:right w:val="single" w:sz="8" w:space="0" w:color="auto"/>
            </w:tcBorders>
            <w:vAlign w:val="center"/>
            <w:hideMark/>
          </w:tcPr>
          <w:p w14:paraId="78E036CD" w14:textId="77777777" w:rsidR="00FA7EEB" w:rsidRPr="001570EA" w:rsidRDefault="00FA7EEB">
            <w:pPr>
              <w:jc w:val="center"/>
              <w:rPr>
                <w:rFonts w:cs="Arial"/>
                <w:sz w:val="18"/>
                <w:szCs w:val="18"/>
              </w:rPr>
            </w:pPr>
            <w:r w:rsidRPr="001570EA">
              <w:rPr>
                <w:rFonts w:cs="Arial"/>
                <w:sz w:val="18"/>
                <w:szCs w:val="18"/>
              </w:rPr>
              <w:t>0.033</w:t>
            </w:r>
          </w:p>
        </w:tc>
        <w:tc>
          <w:tcPr>
            <w:tcW w:w="883" w:type="dxa"/>
            <w:tcBorders>
              <w:top w:val="nil"/>
              <w:left w:val="nil"/>
              <w:bottom w:val="single" w:sz="4" w:space="0" w:color="auto"/>
              <w:right w:val="single" w:sz="8" w:space="0" w:color="auto"/>
            </w:tcBorders>
            <w:vAlign w:val="center"/>
            <w:hideMark/>
          </w:tcPr>
          <w:p w14:paraId="4CA34032" w14:textId="77777777" w:rsidR="00FA7EEB" w:rsidRPr="001570EA" w:rsidRDefault="00FA7EEB">
            <w:pPr>
              <w:jc w:val="center"/>
              <w:rPr>
                <w:rFonts w:cs="Arial"/>
                <w:sz w:val="18"/>
                <w:szCs w:val="18"/>
              </w:rPr>
            </w:pPr>
            <w:r w:rsidRPr="001570EA">
              <w:rPr>
                <w:rFonts w:cs="Arial"/>
                <w:sz w:val="18"/>
                <w:szCs w:val="18"/>
              </w:rPr>
              <w:t>0.050</w:t>
            </w:r>
          </w:p>
        </w:tc>
        <w:tc>
          <w:tcPr>
            <w:tcW w:w="883" w:type="dxa"/>
            <w:tcBorders>
              <w:top w:val="single" w:sz="8" w:space="0" w:color="auto"/>
              <w:left w:val="nil"/>
              <w:bottom w:val="single" w:sz="4" w:space="0" w:color="auto"/>
              <w:right w:val="single" w:sz="4" w:space="0" w:color="auto"/>
            </w:tcBorders>
            <w:vAlign w:val="center"/>
          </w:tcPr>
          <w:p w14:paraId="2DE2A365" w14:textId="77777777" w:rsidR="00FA7EEB" w:rsidRPr="001570EA" w:rsidRDefault="00FA7EEB">
            <w:pPr>
              <w:jc w:val="center"/>
              <w:rPr>
                <w:rFonts w:eastAsia="Arial" w:cs="Arial"/>
                <w:sz w:val="18"/>
                <w:szCs w:val="18"/>
              </w:rPr>
            </w:pPr>
            <w:r w:rsidRPr="001570EA">
              <w:rPr>
                <w:sz w:val="18"/>
                <w:szCs w:val="18"/>
              </w:rPr>
              <w:t>10ci, 4 ft</w:t>
            </w:r>
          </w:p>
        </w:tc>
        <w:tc>
          <w:tcPr>
            <w:tcW w:w="1059" w:type="dxa"/>
            <w:tcBorders>
              <w:top w:val="nil"/>
              <w:left w:val="single" w:sz="4" w:space="0" w:color="auto"/>
              <w:bottom w:val="single" w:sz="4" w:space="0" w:color="auto"/>
              <w:right w:val="single" w:sz="8" w:space="0" w:color="auto"/>
            </w:tcBorders>
            <w:vAlign w:val="center"/>
            <w:hideMark/>
          </w:tcPr>
          <w:p w14:paraId="6AA31C60" w14:textId="77777777" w:rsidR="00FA7EEB" w:rsidRPr="001570EA" w:rsidRDefault="00FA7EEB">
            <w:pPr>
              <w:jc w:val="center"/>
              <w:rPr>
                <w:rFonts w:cs="Arial"/>
                <w:sz w:val="18"/>
                <w:szCs w:val="18"/>
              </w:rPr>
            </w:pPr>
            <w:r w:rsidRPr="001570EA">
              <w:rPr>
                <w:rFonts w:cs="Arial"/>
                <w:sz w:val="18"/>
                <w:szCs w:val="18"/>
              </w:rPr>
              <w:t>0.055</w:t>
            </w:r>
          </w:p>
        </w:tc>
      </w:tr>
      <w:tr w:rsidR="00FA7EEB" w:rsidRPr="001570EA" w14:paraId="4E2923B5" w14:textId="77777777" w:rsidTr="0045079A">
        <w:trPr>
          <w:trHeight w:val="283"/>
        </w:trPr>
        <w:tc>
          <w:tcPr>
            <w:tcW w:w="883" w:type="dxa"/>
            <w:gridSpan w:val="2"/>
            <w:tcBorders>
              <w:top w:val="single" w:sz="4" w:space="0" w:color="auto"/>
            </w:tcBorders>
          </w:tcPr>
          <w:p w14:paraId="0C7D9A72" w14:textId="77777777" w:rsidR="00FA7EEB" w:rsidRPr="001570EA" w:rsidRDefault="00FA7EEB" w:rsidP="00E37DA0">
            <w:pPr>
              <w:pStyle w:val="Footnote"/>
            </w:pPr>
          </w:p>
        </w:tc>
        <w:tc>
          <w:tcPr>
            <w:tcW w:w="9188" w:type="dxa"/>
            <w:gridSpan w:val="10"/>
            <w:tcBorders>
              <w:top w:val="single" w:sz="4" w:space="0" w:color="auto"/>
            </w:tcBorders>
            <w:vAlign w:val="center"/>
          </w:tcPr>
          <w:p w14:paraId="499AAE9A" w14:textId="77777777" w:rsidR="00FA7EEB" w:rsidRPr="001570EA" w:rsidRDefault="00FA7EEB" w:rsidP="00E37DA0">
            <w:pPr>
              <w:pStyle w:val="Footnote"/>
            </w:pPr>
          </w:p>
        </w:tc>
      </w:tr>
    </w:tbl>
    <w:p w14:paraId="1B4BC7D3" w14:textId="77777777" w:rsidR="00FA7EEB" w:rsidRPr="001570EA" w:rsidRDefault="00FA7EEB" w:rsidP="00FA7EEB"/>
    <w:p w14:paraId="453DA0CD" w14:textId="77777777" w:rsidR="00FA7EEB" w:rsidRPr="001570EA" w:rsidRDefault="00FA7EEB" w:rsidP="00FA7EEB"/>
    <w:p w14:paraId="684EA652" w14:textId="1BFAD563" w:rsidR="00FA7EEB" w:rsidRPr="001570EA" w:rsidRDefault="00FA7EEB" w:rsidP="00FA7EEB">
      <w:pPr>
        <w:pStyle w:val="Caption"/>
      </w:pPr>
      <w:bookmarkStart w:id="1211" w:name="_Ref377134627"/>
      <w:bookmarkStart w:id="1212" w:name="_Toc364420913"/>
      <w:bookmarkStart w:id="1213" w:name="_Toc373320210"/>
      <w:bookmarkStart w:id="1214" w:name="_Toc364760683"/>
      <w:bookmarkStart w:id="1215" w:name="_Toc377465505"/>
      <w:bookmarkStart w:id="1216" w:name="_Toc47598374"/>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154</w:t>
      </w:r>
      <w:r w:rsidR="002E093A" w:rsidRPr="001570EA">
        <w:fldChar w:fldCharType="end"/>
      </w:r>
      <w:bookmarkEnd w:id="1211"/>
      <w:r w:rsidRPr="001570EA">
        <w:t xml:space="preserve">: </w:t>
      </w:r>
      <w:bookmarkEnd w:id="1212"/>
      <w:bookmarkEnd w:id="1213"/>
      <w:bookmarkEnd w:id="1214"/>
      <w:bookmarkEnd w:id="1215"/>
      <w:r w:rsidRPr="001570EA">
        <w:t>Residential New Construction Baseline Building Values for Buildings Less Than 4 Stories</w:t>
      </w:r>
      <w:bookmarkEnd w:id="1216"/>
    </w:p>
    <w:tbl>
      <w:tblPr>
        <w:tblW w:w="4934" w:type="pct"/>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992"/>
        <w:gridCol w:w="4973"/>
        <w:gridCol w:w="1545"/>
      </w:tblGrid>
      <w:tr w:rsidR="00FA7EEB" w:rsidRPr="001570EA" w14:paraId="3FCB76F9" w14:textId="77777777">
        <w:trPr>
          <w:cantSplit/>
          <w:trHeight w:val="317"/>
          <w:tblHeader/>
        </w:trPr>
        <w:tc>
          <w:tcPr>
            <w:tcW w:w="1170" w:type="pct"/>
            <w:shd w:val="clear" w:color="auto" w:fill="BFBFBF" w:themeFill="background1" w:themeFillShade="BF"/>
            <w:tcMar>
              <w:left w:w="115" w:type="dxa"/>
              <w:right w:w="115" w:type="dxa"/>
            </w:tcMar>
            <w:vAlign w:val="center"/>
          </w:tcPr>
          <w:p w14:paraId="2C4F8D6E" w14:textId="77777777" w:rsidR="00FA7EEB" w:rsidRPr="001570EA" w:rsidRDefault="00FA7EEB">
            <w:pPr>
              <w:pStyle w:val="TableCell"/>
              <w:keepNext w:val="0"/>
              <w:spacing w:before="60" w:after="60"/>
              <w:jc w:val="left"/>
              <w:rPr>
                <w:rFonts w:ascii="Arial Unicode MS" w:eastAsia="Arial Unicode MS" w:hAnsi="Arial Unicode MS" w:cs="Arial Unicode MS"/>
                <w:b/>
                <w:bCs/>
              </w:rPr>
            </w:pPr>
            <w:r w:rsidRPr="001570EA">
              <w:rPr>
                <w:b/>
                <w:bCs/>
              </w:rPr>
              <w:t>Data Point</w:t>
            </w:r>
          </w:p>
        </w:tc>
        <w:tc>
          <w:tcPr>
            <w:tcW w:w="2922" w:type="pct"/>
            <w:shd w:val="clear" w:color="auto" w:fill="BFBFBF" w:themeFill="background1" w:themeFillShade="BF"/>
            <w:tcMar>
              <w:left w:w="115" w:type="dxa"/>
              <w:right w:w="115" w:type="dxa"/>
            </w:tcMar>
            <w:vAlign w:val="center"/>
          </w:tcPr>
          <w:p w14:paraId="02F16F2F" w14:textId="77777777" w:rsidR="00FA7EEB" w:rsidRPr="001570EA" w:rsidRDefault="00FA7EEB">
            <w:pPr>
              <w:pStyle w:val="TableCell"/>
              <w:keepNext w:val="0"/>
              <w:spacing w:before="60" w:after="60"/>
              <w:jc w:val="center"/>
              <w:rPr>
                <w:rFonts w:ascii="Arial Unicode MS" w:eastAsia="Arial Unicode MS" w:hAnsi="Arial Unicode MS" w:cs="Arial Unicode MS"/>
                <w:b/>
                <w:bCs/>
              </w:rPr>
            </w:pPr>
            <w:r w:rsidRPr="001570EA">
              <w:rPr>
                <w:b/>
                <w:bCs/>
              </w:rPr>
              <w:t>Value</w:t>
            </w:r>
          </w:p>
        </w:tc>
        <w:tc>
          <w:tcPr>
            <w:tcW w:w="908" w:type="pct"/>
            <w:shd w:val="clear" w:color="auto" w:fill="BFBFBF" w:themeFill="background1" w:themeFillShade="BF"/>
          </w:tcPr>
          <w:p w14:paraId="034316B9" w14:textId="77777777" w:rsidR="00FA7EEB" w:rsidRPr="001570EA" w:rsidDel="00F5233A" w:rsidRDefault="00FA7EEB">
            <w:pPr>
              <w:pStyle w:val="TableCell"/>
              <w:keepNext w:val="0"/>
              <w:spacing w:before="60" w:after="60"/>
              <w:jc w:val="center"/>
              <w:rPr>
                <w:b/>
              </w:rPr>
            </w:pPr>
            <w:r w:rsidRPr="001570EA">
              <w:rPr>
                <w:b/>
              </w:rPr>
              <w:t>Source</w:t>
            </w:r>
          </w:p>
        </w:tc>
      </w:tr>
      <w:tr w:rsidR="00FA7EEB" w:rsidRPr="001570EA" w14:paraId="5964BE35" w14:textId="77777777">
        <w:trPr>
          <w:cantSplit/>
          <w:trHeight w:val="317"/>
        </w:trPr>
        <w:tc>
          <w:tcPr>
            <w:tcW w:w="1170" w:type="pct"/>
            <w:tcMar>
              <w:left w:w="115" w:type="dxa"/>
              <w:right w:w="115" w:type="dxa"/>
            </w:tcMar>
          </w:tcPr>
          <w:p w14:paraId="7BA00F08" w14:textId="77777777" w:rsidR="00FA7EEB" w:rsidRPr="001570EA" w:rsidRDefault="00FA7EEB">
            <w:pPr>
              <w:pStyle w:val="TableCell"/>
              <w:keepNext w:val="0"/>
              <w:spacing w:before="60" w:after="60"/>
              <w:jc w:val="left"/>
            </w:pPr>
            <w:r w:rsidRPr="001570EA">
              <w:t>Air Infiltration Rate</w:t>
            </w:r>
          </w:p>
        </w:tc>
        <w:tc>
          <w:tcPr>
            <w:tcW w:w="2922" w:type="pct"/>
            <w:tcMar>
              <w:left w:w="115" w:type="dxa"/>
              <w:right w:w="115" w:type="dxa"/>
            </w:tcMar>
          </w:tcPr>
          <w:p w14:paraId="466DA3A3" w14:textId="77777777" w:rsidR="00FA7EEB" w:rsidRPr="001570EA" w:rsidRDefault="00FA7EEB">
            <w:pPr>
              <w:pStyle w:val="TableCell"/>
              <w:keepNext w:val="0"/>
              <w:spacing w:before="60" w:after="60"/>
              <w:jc w:val="center"/>
            </w:pPr>
            <w:r w:rsidRPr="001570EA">
              <w:t>3.0 ACH</w:t>
            </w:r>
            <w:r w:rsidRPr="001570EA">
              <w:rPr>
                <w:vertAlign w:val="subscript"/>
              </w:rPr>
              <w:t>50</w:t>
            </w:r>
            <w:r w:rsidRPr="001570EA">
              <w:t xml:space="preserve"> for the whole house</w:t>
            </w:r>
          </w:p>
        </w:tc>
        <w:tc>
          <w:tcPr>
            <w:tcW w:w="908" w:type="pct"/>
          </w:tcPr>
          <w:p w14:paraId="772B7642" w14:textId="77777777" w:rsidR="00FA7EEB" w:rsidRPr="001570EA" w:rsidRDefault="00FA7EEB">
            <w:pPr>
              <w:pStyle w:val="TableCell"/>
              <w:keepNext w:val="0"/>
              <w:spacing w:before="60" w:after="60"/>
              <w:jc w:val="center"/>
            </w:pPr>
            <w:r w:rsidRPr="001570EA">
              <w:t>11</w:t>
            </w:r>
          </w:p>
        </w:tc>
      </w:tr>
      <w:tr w:rsidR="00FA7EEB" w:rsidRPr="001570EA" w14:paraId="79C36219" w14:textId="77777777">
        <w:trPr>
          <w:cantSplit/>
          <w:trHeight w:val="317"/>
        </w:trPr>
        <w:tc>
          <w:tcPr>
            <w:tcW w:w="1170" w:type="pct"/>
            <w:tcMar>
              <w:left w:w="115" w:type="dxa"/>
              <w:right w:w="115" w:type="dxa"/>
            </w:tcMar>
          </w:tcPr>
          <w:p w14:paraId="08E1D764" w14:textId="77777777" w:rsidR="00FA7EEB" w:rsidRPr="001570EA" w:rsidRDefault="00FA7EEB">
            <w:pPr>
              <w:pStyle w:val="TableCell"/>
              <w:keepNext w:val="0"/>
              <w:spacing w:before="60" w:after="60"/>
              <w:jc w:val="left"/>
            </w:pPr>
            <w:r w:rsidRPr="001570EA">
              <w:t>Duct Leakage</w:t>
            </w:r>
          </w:p>
        </w:tc>
        <w:tc>
          <w:tcPr>
            <w:tcW w:w="2922" w:type="pct"/>
            <w:tcMar>
              <w:left w:w="115" w:type="dxa"/>
              <w:right w:w="115" w:type="dxa"/>
            </w:tcMar>
          </w:tcPr>
          <w:p w14:paraId="5B10CC87" w14:textId="77777777" w:rsidR="00FA7EEB" w:rsidRPr="001570EA" w:rsidRDefault="00FA7EEB">
            <w:pPr>
              <w:pStyle w:val="TableCell"/>
              <w:keepNext w:val="0"/>
              <w:spacing w:before="60" w:after="60"/>
              <w:jc w:val="center"/>
            </w:pPr>
            <w:r w:rsidRPr="001570EA">
              <w:t>4 CFM</w:t>
            </w:r>
            <w:r w:rsidRPr="001570EA">
              <w:rPr>
                <w:vertAlign w:val="subscript"/>
              </w:rPr>
              <w:t>25</w:t>
            </w:r>
            <w:r w:rsidRPr="001570EA">
              <w:t xml:space="preserve"> (4 cubic feet per minute per 100 square feet of conditioned space when tested at 25 pascals)</w:t>
            </w:r>
          </w:p>
        </w:tc>
        <w:tc>
          <w:tcPr>
            <w:tcW w:w="908" w:type="pct"/>
          </w:tcPr>
          <w:p w14:paraId="2E832F89" w14:textId="77777777" w:rsidR="00FA7EEB" w:rsidRPr="001570EA" w:rsidRDefault="00FA7EEB">
            <w:pPr>
              <w:pStyle w:val="TableCell"/>
              <w:keepNext w:val="0"/>
              <w:spacing w:before="60" w:after="60"/>
              <w:jc w:val="center"/>
            </w:pPr>
            <w:r w:rsidRPr="001570EA">
              <w:t>11</w:t>
            </w:r>
          </w:p>
        </w:tc>
      </w:tr>
      <w:tr w:rsidR="00FA7EEB" w:rsidRPr="001570EA" w14:paraId="279B3BBD" w14:textId="77777777">
        <w:trPr>
          <w:cantSplit/>
          <w:trHeight w:val="317"/>
        </w:trPr>
        <w:tc>
          <w:tcPr>
            <w:tcW w:w="1170" w:type="pct"/>
            <w:tcMar>
              <w:left w:w="115" w:type="dxa"/>
              <w:right w:w="115" w:type="dxa"/>
            </w:tcMar>
          </w:tcPr>
          <w:p w14:paraId="57975649" w14:textId="77777777" w:rsidR="00FA7EEB" w:rsidRPr="001570EA" w:rsidRDefault="00FA7EEB">
            <w:pPr>
              <w:pStyle w:val="TableCell"/>
              <w:keepNext w:val="0"/>
              <w:spacing w:before="60" w:after="60"/>
              <w:jc w:val="left"/>
            </w:pPr>
            <w:r w:rsidRPr="001570EA">
              <w:t>Duct Insulation</w:t>
            </w:r>
          </w:p>
        </w:tc>
        <w:tc>
          <w:tcPr>
            <w:tcW w:w="2922" w:type="pct"/>
            <w:tcMar>
              <w:left w:w="115" w:type="dxa"/>
              <w:right w:w="115" w:type="dxa"/>
            </w:tcMar>
          </w:tcPr>
          <w:p w14:paraId="63D61C70" w14:textId="77777777" w:rsidR="00FA7EEB" w:rsidRPr="001570EA" w:rsidRDefault="00FA7EEB">
            <w:pPr>
              <w:pStyle w:val="TableCell"/>
              <w:spacing w:before="60" w:after="60"/>
              <w:jc w:val="center"/>
            </w:pPr>
            <w:r w:rsidRPr="001570EA">
              <w:t>Within ceiling insulation: R-8</w:t>
            </w:r>
          </w:p>
          <w:p w14:paraId="280DE070" w14:textId="77777777" w:rsidR="00FA7EEB" w:rsidRPr="001570EA" w:rsidRDefault="00FA7EEB">
            <w:pPr>
              <w:pStyle w:val="TableCell"/>
              <w:keepNext w:val="0"/>
              <w:spacing w:before="60" w:after="60"/>
              <w:jc w:val="center"/>
            </w:pPr>
            <w:r w:rsidRPr="001570EA">
              <w:t>Other locations not completely inside thermal envelope: R-8 where ≥3” in diameter and R-6 where &lt;3” in diameter</w:t>
            </w:r>
          </w:p>
        </w:tc>
        <w:tc>
          <w:tcPr>
            <w:tcW w:w="908" w:type="pct"/>
          </w:tcPr>
          <w:p w14:paraId="3767E3CF" w14:textId="77777777" w:rsidR="00FA7EEB" w:rsidRPr="001570EA" w:rsidRDefault="00FA7EEB">
            <w:pPr>
              <w:pStyle w:val="TableCell"/>
              <w:keepNext w:val="0"/>
              <w:spacing w:before="60" w:after="60"/>
              <w:jc w:val="center"/>
            </w:pPr>
            <w:r w:rsidRPr="001570EA">
              <w:t>11</w:t>
            </w:r>
          </w:p>
        </w:tc>
      </w:tr>
      <w:tr w:rsidR="00FA7EEB" w:rsidRPr="001570EA" w14:paraId="3DBD3A38" w14:textId="77777777">
        <w:trPr>
          <w:cantSplit/>
          <w:trHeight w:val="317"/>
        </w:trPr>
        <w:tc>
          <w:tcPr>
            <w:tcW w:w="1170" w:type="pct"/>
            <w:tcMar>
              <w:left w:w="115" w:type="dxa"/>
              <w:right w:w="115" w:type="dxa"/>
            </w:tcMar>
          </w:tcPr>
          <w:p w14:paraId="094F9CB4" w14:textId="77777777" w:rsidR="00FA7EEB" w:rsidRPr="001570EA" w:rsidRDefault="00FA7EEB">
            <w:pPr>
              <w:pStyle w:val="TableCell"/>
              <w:keepNext w:val="0"/>
              <w:spacing w:before="60" w:after="60"/>
              <w:jc w:val="left"/>
            </w:pPr>
            <w:r w:rsidRPr="001570EA">
              <w:t>Mechanical Ventilation</w:t>
            </w:r>
          </w:p>
        </w:tc>
        <w:tc>
          <w:tcPr>
            <w:tcW w:w="2922" w:type="pct"/>
            <w:tcMar>
              <w:left w:w="115" w:type="dxa"/>
              <w:right w:w="115" w:type="dxa"/>
            </w:tcMar>
          </w:tcPr>
          <w:p w14:paraId="4E3B4D1A" w14:textId="77777777" w:rsidR="00FA7EEB" w:rsidRPr="001570EA" w:rsidRDefault="00FA7EEB">
            <w:pPr>
              <w:jc w:val="center"/>
              <w:rPr>
                <w:sz w:val="18"/>
              </w:rPr>
            </w:pPr>
            <w:r w:rsidRPr="001570EA">
              <w:rPr>
                <w:sz w:val="18"/>
              </w:rPr>
              <w:t>HRV/ERV/Air handler = 1.2 CFM/Watt</w:t>
            </w:r>
          </w:p>
          <w:p w14:paraId="5409C2A0" w14:textId="77777777" w:rsidR="00FA7EEB" w:rsidRPr="001570EA" w:rsidRDefault="00FA7EEB">
            <w:pPr>
              <w:jc w:val="center"/>
              <w:rPr>
                <w:sz w:val="18"/>
              </w:rPr>
            </w:pPr>
            <w:r w:rsidRPr="001570EA">
              <w:rPr>
                <w:sz w:val="18"/>
              </w:rPr>
              <w:t>In-line supply or exhaust = 3.8 CFM/Watt</w:t>
            </w:r>
          </w:p>
          <w:p w14:paraId="157C4859" w14:textId="77777777" w:rsidR="00FA7EEB" w:rsidRPr="001570EA" w:rsidRDefault="00FA7EEB">
            <w:pPr>
              <w:jc w:val="center"/>
              <w:rPr>
                <w:sz w:val="18"/>
              </w:rPr>
            </w:pPr>
            <w:r w:rsidRPr="001570EA">
              <w:rPr>
                <w:sz w:val="18"/>
              </w:rPr>
              <w:t>Other (&lt; 90 CFM) = 2.8 CFM/Watt</w:t>
            </w:r>
          </w:p>
          <w:p w14:paraId="5BF0381A" w14:textId="77777777" w:rsidR="00FA7EEB" w:rsidRPr="001570EA" w:rsidRDefault="00FA7EEB">
            <w:pPr>
              <w:jc w:val="center"/>
              <w:rPr>
                <w:sz w:val="18"/>
              </w:rPr>
            </w:pPr>
            <w:r w:rsidRPr="001570EA">
              <w:rPr>
                <w:sz w:val="18"/>
              </w:rPr>
              <w:t>Other (≥ 90 CFM) = 3.5 CFM/Watt</w:t>
            </w:r>
          </w:p>
        </w:tc>
        <w:tc>
          <w:tcPr>
            <w:tcW w:w="908" w:type="pct"/>
          </w:tcPr>
          <w:p w14:paraId="29A51902" w14:textId="77777777" w:rsidR="00FA7EEB" w:rsidRPr="001570EA" w:rsidRDefault="00FA7EEB">
            <w:pPr>
              <w:pStyle w:val="TableCell"/>
              <w:keepNext w:val="0"/>
              <w:spacing w:before="60" w:after="60"/>
              <w:jc w:val="center"/>
            </w:pPr>
            <w:r w:rsidRPr="001570EA">
              <w:t>12</w:t>
            </w:r>
          </w:p>
        </w:tc>
      </w:tr>
      <w:tr w:rsidR="00FA7EEB" w:rsidRPr="001570EA" w14:paraId="061A2270" w14:textId="77777777">
        <w:trPr>
          <w:cantSplit/>
          <w:trHeight w:val="317"/>
        </w:trPr>
        <w:tc>
          <w:tcPr>
            <w:tcW w:w="1170" w:type="pct"/>
            <w:tcMar>
              <w:left w:w="115" w:type="dxa"/>
              <w:right w:w="115" w:type="dxa"/>
            </w:tcMar>
          </w:tcPr>
          <w:p w14:paraId="1F6F3DAE" w14:textId="77777777" w:rsidR="00FA7EEB" w:rsidRPr="001570EA" w:rsidRDefault="00FA7EEB">
            <w:pPr>
              <w:pStyle w:val="TableCell"/>
              <w:keepNext w:val="0"/>
              <w:spacing w:before="60" w:after="60"/>
              <w:jc w:val="left"/>
            </w:pPr>
            <w:r w:rsidRPr="001570EA">
              <w:t>Lighting</w:t>
            </w:r>
          </w:p>
        </w:tc>
        <w:tc>
          <w:tcPr>
            <w:tcW w:w="2922" w:type="pct"/>
            <w:tcMar>
              <w:left w:w="115" w:type="dxa"/>
              <w:right w:w="115" w:type="dxa"/>
            </w:tcMar>
          </w:tcPr>
          <w:p w14:paraId="099DECB1" w14:textId="067A23FF" w:rsidR="00FA7EEB" w:rsidRPr="001570EA" w:rsidRDefault="00FA7EEB">
            <w:pPr>
              <w:pStyle w:val="TableCell"/>
              <w:keepNext w:val="0"/>
              <w:spacing w:before="60" w:after="60"/>
              <w:jc w:val="center"/>
            </w:pPr>
            <w:r w:rsidRPr="001570EA">
              <w:t xml:space="preserve">Use baseline wattage as defined in the </w:t>
            </w:r>
            <w:r w:rsidRPr="001570EA">
              <w:fldChar w:fldCharType="begin"/>
            </w:r>
            <w:r w:rsidRPr="001570EA">
              <w:instrText xml:space="preserve"> REF _Ref303086637 \h  \* MERGEFORMAT </w:instrText>
            </w:r>
            <w:r w:rsidRPr="001570EA">
              <w:fldChar w:fldCharType="separate"/>
            </w:r>
            <w:r w:rsidR="00234C6C" w:rsidRPr="001570EA">
              <w:t>Residential LED Lighting</w:t>
            </w:r>
            <w:r w:rsidRPr="001570EA">
              <w:fldChar w:fldCharType="end"/>
            </w:r>
            <w:r w:rsidRPr="001570EA">
              <w:t xml:space="preserve"> section of the</w:t>
            </w:r>
            <w:r w:rsidR="000A4B68" w:rsidRPr="001570EA">
              <w:t xml:space="preserve"> TRM (</w:t>
            </w:r>
            <w:r w:rsidR="000A4B68" w:rsidRPr="001570EA">
              <w:fldChar w:fldCharType="begin"/>
            </w:r>
            <w:r w:rsidR="000A4B68" w:rsidRPr="001570EA">
              <w:instrText xml:space="preserve"> REF _Ref303086637 \r \h  \* MERGEFORMAT </w:instrText>
            </w:r>
            <w:r w:rsidR="000A4B68" w:rsidRPr="001570EA">
              <w:fldChar w:fldCharType="separate"/>
            </w:r>
            <w:r w:rsidR="00234C6C" w:rsidRPr="001570EA">
              <w:t>2.1.1</w:t>
            </w:r>
            <w:r w:rsidR="000A4B68" w:rsidRPr="001570EA">
              <w:fldChar w:fldCharType="end"/>
            </w:r>
            <w:r w:rsidR="000A4B68" w:rsidRPr="001570EA">
              <w:t xml:space="preserve">), </w:t>
            </w:r>
            <w:r w:rsidR="000A4B68" w:rsidRPr="001570EA">
              <w:fldChar w:fldCharType="begin"/>
            </w:r>
            <w:r w:rsidR="000A4B68" w:rsidRPr="001570EA">
              <w:instrText xml:space="preserve"> REF _Ref364166254 \h  \* MERGEFORMAT </w:instrText>
            </w:r>
            <w:r w:rsidR="000A4B68" w:rsidRPr="001570EA">
              <w:fldChar w:fldCharType="separate"/>
            </w:r>
            <w:r w:rsidR="00234C6C" w:rsidRPr="001570EA">
              <w:t xml:space="preserve">Table </w:t>
            </w:r>
            <w:r w:rsidR="00234C6C" w:rsidRPr="001570EA">
              <w:rPr>
                <w:noProof/>
              </w:rPr>
              <w:t>2</w:t>
            </w:r>
            <w:r w:rsidR="00234C6C" w:rsidRPr="001570EA">
              <w:rPr>
                <w:noProof/>
              </w:rPr>
              <w:noBreakHyphen/>
              <w:t>2</w:t>
            </w:r>
            <w:r w:rsidR="000A4B68" w:rsidRPr="001570EA">
              <w:fldChar w:fldCharType="end"/>
            </w:r>
            <w:r w:rsidRPr="001570EA">
              <w:t xml:space="preserve"> for the residential units, and Lighting Improvement section (3.1.1) and New Construction Lighting section (3.1.2) of the TRM for common spaces</w:t>
            </w:r>
          </w:p>
        </w:tc>
        <w:tc>
          <w:tcPr>
            <w:tcW w:w="908" w:type="pct"/>
          </w:tcPr>
          <w:p w14:paraId="0A8E09C9" w14:textId="77777777" w:rsidR="00FA7EEB" w:rsidRPr="001570EA" w:rsidRDefault="00FA7EEB">
            <w:pPr>
              <w:pStyle w:val="TableCell"/>
              <w:keepNext w:val="0"/>
              <w:spacing w:before="60" w:after="60"/>
              <w:jc w:val="center"/>
            </w:pPr>
          </w:p>
        </w:tc>
      </w:tr>
      <w:tr w:rsidR="00FA7EEB" w:rsidRPr="001570EA" w14:paraId="7A306A40" w14:textId="77777777">
        <w:trPr>
          <w:cantSplit/>
          <w:trHeight w:val="317"/>
        </w:trPr>
        <w:tc>
          <w:tcPr>
            <w:tcW w:w="1170" w:type="pct"/>
            <w:tcMar>
              <w:left w:w="115" w:type="dxa"/>
              <w:right w:w="115" w:type="dxa"/>
            </w:tcMar>
          </w:tcPr>
          <w:p w14:paraId="33A7E1EE" w14:textId="77777777" w:rsidR="00FA7EEB" w:rsidRPr="001570EA" w:rsidRDefault="00FA7EEB">
            <w:pPr>
              <w:pStyle w:val="TableCell"/>
              <w:keepNext w:val="0"/>
              <w:spacing w:before="60" w:after="60"/>
              <w:jc w:val="left"/>
            </w:pPr>
            <w:r w:rsidRPr="001570EA">
              <w:t>Appliances</w:t>
            </w:r>
          </w:p>
        </w:tc>
        <w:tc>
          <w:tcPr>
            <w:tcW w:w="2922" w:type="pct"/>
            <w:tcMar>
              <w:left w:w="115" w:type="dxa"/>
              <w:right w:w="115" w:type="dxa"/>
            </w:tcMar>
          </w:tcPr>
          <w:p w14:paraId="4A9326A0" w14:textId="77777777" w:rsidR="00FA7EEB" w:rsidRPr="001570EA" w:rsidRDefault="00FA7EEB">
            <w:pPr>
              <w:pStyle w:val="TableCell"/>
              <w:keepNext w:val="0"/>
              <w:spacing w:before="60" w:after="60"/>
              <w:jc w:val="center"/>
            </w:pPr>
            <w:r w:rsidRPr="001570EA">
              <w:t>Use baseline values as defined in applicable TRM measure for each appliance.</w:t>
            </w:r>
          </w:p>
        </w:tc>
        <w:tc>
          <w:tcPr>
            <w:tcW w:w="908" w:type="pct"/>
          </w:tcPr>
          <w:p w14:paraId="0A3DA6B0" w14:textId="77777777" w:rsidR="00FA7EEB" w:rsidRPr="001570EA" w:rsidRDefault="00FA7EEB">
            <w:pPr>
              <w:pStyle w:val="TableCell"/>
              <w:keepNext w:val="0"/>
              <w:spacing w:before="60" w:after="60"/>
              <w:jc w:val="center"/>
            </w:pPr>
          </w:p>
        </w:tc>
      </w:tr>
      <w:tr w:rsidR="00FA7EEB" w:rsidRPr="001570EA" w14:paraId="3968C1C7" w14:textId="77777777">
        <w:trPr>
          <w:cantSplit/>
          <w:trHeight w:val="317"/>
        </w:trPr>
        <w:tc>
          <w:tcPr>
            <w:tcW w:w="1170" w:type="pct"/>
            <w:tcMar>
              <w:left w:w="115" w:type="dxa"/>
              <w:right w:w="115" w:type="dxa"/>
            </w:tcMar>
          </w:tcPr>
          <w:p w14:paraId="2E6921EC" w14:textId="77777777" w:rsidR="00FA7EEB" w:rsidRPr="001570EA" w:rsidRDefault="00FA7EEB">
            <w:pPr>
              <w:pStyle w:val="TableCell"/>
              <w:keepNext w:val="0"/>
              <w:spacing w:before="60" w:after="60"/>
              <w:jc w:val="left"/>
            </w:pPr>
            <w:r w:rsidRPr="001570EA">
              <w:t>Thermostat Type</w:t>
            </w:r>
          </w:p>
        </w:tc>
        <w:tc>
          <w:tcPr>
            <w:tcW w:w="2922" w:type="pct"/>
            <w:tcMar>
              <w:left w:w="115" w:type="dxa"/>
              <w:right w:w="115" w:type="dxa"/>
            </w:tcMar>
          </w:tcPr>
          <w:p w14:paraId="12471A34" w14:textId="77777777" w:rsidR="00FA7EEB" w:rsidRPr="001570EA" w:rsidRDefault="00FA7EEB">
            <w:pPr>
              <w:pStyle w:val="TableCell"/>
              <w:keepNext w:val="0"/>
              <w:spacing w:before="60" w:after="60"/>
              <w:jc w:val="center"/>
            </w:pPr>
            <w:r w:rsidRPr="001570EA">
              <w:t xml:space="preserve">Programmable, with ability to maintain zone temperature down to 55 </w:t>
            </w:r>
            <w:r w:rsidRPr="001570EA">
              <w:rPr>
                <w:vertAlign w:val="superscript"/>
              </w:rPr>
              <w:t>o</w:t>
            </w:r>
            <w:r w:rsidRPr="001570EA">
              <w:t xml:space="preserve">F (13 </w:t>
            </w:r>
            <w:r w:rsidRPr="001570EA">
              <w:rPr>
                <w:vertAlign w:val="superscript"/>
              </w:rPr>
              <w:t>o</w:t>
            </w:r>
            <w:r w:rsidRPr="001570EA">
              <w:t>C) or up to 85</w:t>
            </w:r>
            <w:r w:rsidRPr="001570EA">
              <w:rPr>
                <w:vertAlign w:val="superscript"/>
              </w:rPr>
              <w:t xml:space="preserve"> o</w:t>
            </w:r>
            <w:r w:rsidRPr="001570EA">
              <w:t xml:space="preserve">F (29 </w:t>
            </w:r>
            <w:r w:rsidRPr="001570EA">
              <w:rPr>
                <w:vertAlign w:val="superscript"/>
              </w:rPr>
              <w:t>o</w:t>
            </w:r>
            <w:r w:rsidRPr="001570EA">
              <w:t>C)</w:t>
            </w:r>
          </w:p>
        </w:tc>
        <w:tc>
          <w:tcPr>
            <w:tcW w:w="908" w:type="pct"/>
          </w:tcPr>
          <w:p w14:paraId="4CC4EA99" w14:textId="77777777" w:rsidR="00FA7EEB" w:rsidRPr="001570EA" w:rsidRDefault="00FA7EEB">
            <w:pPr>
              <w:pStyle w:val="TableCell"/>
              <w:keepNext w:val="0"/>
              <w:spacing w:before="60" w:after="60"/>
              <w:jc w:val="center"/>
            </w:pPr>
            <w:r w:rsidRPr="001570EA">
              <w:t>11</w:t>
            </w:r>
          </w:p>
        </w:tc>
      </w:tr>
      <w:tr w:rsidR="00FA7EEB" w:rsidRPr="001570EA" w14:paraId="75658DD3" w14:textId="77777777">
        <w:trPr>
          <w:cantSplit/>
          <w:trHeight w:val="317"/>
        </w:trPr>
        <w:tc>
          <w:tcPr>
            <w:tcW w:w="1170" w:type="pct"/>
            <w:tcBorders>
              <w:bottom w:val="single" w:sz="4" w:space="0" w:color="auto"/>
            </w:tcBorders>
            <w:tcMar>
              <w:left w:w="115" w:type="dxa"/>
              <w:right w:w="115" w:type="dxa"/>
            </w:tcMar>
            <w:vAlign w:val="center"/>
          </w:tcPr>
          <w:p w14:paraId="02DED31A" w14:textId="77777777" w:rsidR="00FA7EEB" w:rsidRPr="001570EA" w:rsidRDefault="00FA7EEB">
            <w:pPr>
              <w:pStyle w:val="TableCell"/>
              <w:keepNext w:val="0"/>
              <w:spacing w:before="60" w:after="60"/>
              <w:jc w:val="left"/>
            </w:pPr>
            <w:r w:rsidRPr="001570EA">
              <w:t>Temperature Set Points</w:t>
            </w:r>
          </w:p>
        </w:tc>
        <w:tc>
          <w:tcPr>
            <w:tcW w:w="2922" w:type="pct"/>
            <w:tcBorders>
              <w:bottom w:val="single" w:sz="4" w:space="0" w:color="auto"/>
            </w:tcBorders>
            <w:tcMar>
              <w:left w:w="115" w:type="dxa"/>
              <w:right w:w="115" w:type="dxa"/>
            </w:tcMar>
          </w:tcPr>
          <w:p w14:paraId="39553DD3" w14:textId="77777777" w:rsidR="00FA7EEB" w:rsidRPr="001570EA" w:rsidRDefault="00FA7EEB">
            <w:pPr>
              <w:pStyle w:val="TableCell"/>
              <w:keepNext w:val="0"/>
              <w:spacing w:before="60" w:after="60"/>
              <w:jc w:val="center"/>
            </w:pPr>
            <w:r w:rsidRPr="001570EA">
              <w:t>Heating: 70°F</w:t>
            </w:r>
          </w:p>
          <w:p w14:paraId="16319608" w14:textId="77777777" w:rsidR="00FA7EEB" w:rsidRPr="001570EA" w:rsidRDefault="00FA7EEB">
            <w:pPr>
              <w:pStyle w:val="TableCell"/>
              <w:keepNext w:val="0"/>
              <w:spacing w:before="60" w:after="60"/>
              <w:jc w:val="center"/>
            </w:pPr>
            <w:r w:rsidRPr="001570EA">
              <w:t>Cooling: 78°F</w:t>
            </w:r>
          </w:p>
        </w:tc>
        <w:tc>
          <w:tcPr>
            <w:tcW w:w="908" w:type="pct"/>
            <w:tcBorders>
              <w:bottom w:val="single" w:sz="4" w:space="0" w:color="auto"/>
            </w:tcBorders>
          </w:tcPr>
          <w:p w14:paraId="07557B3D" w14:textId="77777777" w:rsidR="00FA7EEB" w:rsidRPr="001570EA" w:rsidRDefault="00FA7EEB">
            <w:pPr>
              <w:pStyle w:val="TableCell"/>
              <w:keepNext w:val="0"/>
              <w:spacing w:before="60" w:after="60"/>
              <w:jc w:val="center"/>
            </w:pPr>
            <w:r w:rsidRPr="001570EA">
              <w:t>11</w:t>
            </w:r>
          </w:p>
        </w:tc>
      </w:tr>
      <w:tr w:rsidR="00FA7EEB" w:rsidRPr="001570EA" w14:paraId="18206621" w14:textId="77777777">
        <w:trPr>
          <w:cantSplit/>
          <w:trHeight w:val="317"/>
        </w:trPr>
        <w:tc>
          <w:tcPr>
            <w:tcW w:w="1170" w:type="pct"/>
            <w:tcBorders>
              <w:top w:val="single" w:sz="4" w:space="0" w:color="auto"/>
              <w:left w:val="single" w:sz="4" w:space="0" w:color="auto"/>
              <w:bottom w:val="single" w:sz="4" w:space="0" w:color="auto"/>
              <w:right w:val="nil"/>
            </w:tcBorders>
            <w:shd w:val="clear" w:color="auto" w:fill="D9D9D9" w:themeFill="background1" w:themeFillShade="D9"/>
            <w:tcMar>
              <w:left w:w="115" w:type="dxa"/>
              <w:right w:w="115" w:type="dxa"/>
            </w:tcMar>
            <w:vAlign w:val="center"/>
          </w:tcPr>
          <w:p w14:paraId="53FEE078" w14:textId="77777777" w:rsidR="00FA7EEB" w:rsidRPr="001570EA" w:rsidRDefault="00FA7EEB">
            <w:pPr>
              <w:pStyle w:val="TableCell"/>
              <w:keepNext w:val="0"/>
              <w:spacing w:before="60" w:after="60"/>
              <w:jc w:val="left"/>
              <w:rPr>
                <w:rFonts w:ascii="Arial Unicode MS" w:eastAsia="Arial Unicode MS" w:hAnsi="Arial Unicode MS" w:cs="Arial Unicode MS"/>
                <w:b/>
              </w:rPr>
            </w:pPr>
            <w:r w:rsidRPr="001570EA">
              <w:rPr>
                <w:b/>
              </w:rPr>
              <w:t>Heating Efficiency</w:t>
            </w:r>
          </w:p>
        </w:tc>
        <w:tc>
          <w:tcPr>
            <w:tcW w:w="2922" w:type="pct"/>
            <w:tcBorders>
              <w:top w:val="single" w:sz="4" w:space="0" w:color="auto"/>
              <w:left w:val="nil"/>
              <w:bottom w:val="single" w:sz="4" w:space="0" w:color="auto"/>
              <w:right w:val="nil"/>
            </w:tcBorders>
            <w:shd w:val="clear" w:color="auto" w:fill="D9D9D9" w:themeFill="background1" w:themeFillShade="D9"/>
            <w:tcMar>
              <w:left w:w="115" w:type="dxa"/>
              <w:right w:w="115" w:type="dxa"/>
            </w:tcMar>
            <w:vAlign w:val="center"/>
          </w:tcPr>
          <w:p w14:paraId="73F64F81" w14:textId="77777777" w:rsidR="00FA7EEB" w:rsidRPr="001570EA" w:rsidRDefault="00FA7EEB">
            <w:pPr>
              <w:pStyle w:val="TableCell"/>
              <w:keepNext w:val="0"/>
              <w:spacing w:before="60" w:after="60"/>
              <w:jc w:val="center"/>
              <w:rPr>
                <w:rFonts w:eastAsia="Arial Unicode MS"/>
              </w:rPr>
            </w:pPr>
          </w:p>
        </w:tc>
        <w:tc>
          <w:tcPr>
            <w:tcW w:w="908" w:type="pct"/>
            <w:tcBorders>
              <w:top w:val="single" w:sz="4" w:space="0" w:color="auto"/>
              <w:left w:val="nil"/>
              <w:bottom w:val="single" w:sz="4" w:space="0" w:color="auto"/>
              <w:right w:val="single" w:sz="4" w:space="0" w:color="auto"/>
            </w:tcBorders>
            <w:shd w:val="clear" w:color="auto" w:fill="D9D9D9" w:themeFill="background1" w:themeFillShade="D9"/>
          </w:tcPr>
          <w:p w14:paraId="4B5507FE" w14:textId="77777777" w:rsidR="00FA7EEB" w:rsidRPr="001570EA" w:rsidRDefault="00FA7EEB">
            <w:pPr>
              <w:pStyle w:val="TableCell"/>
              <w:keepNext w:val="0"/>
              <w:spacing w:before="60" w:after="60"/>
              <w:jc w:val="center"/>
            </w:pPr>
          </w:p>
        </w:tc>
      </w:tr>
      <w:tr w:rsidR="00FA7EEB" w:rsidRPr="001570EA" w14:paraId="1E6A5494" w14:textId="77777777">
        <w:trPr>
          <w:cantSplit/>
          <w:trHeight w:val="259"/>
        </w:trPr>
        <w:tc>
          <w:tcPr>
            <w:tcW w:w="1170" w:type="pct"/>
            <w:tcBorders>
              <w:top w:val="single" w:sz="4" w:space="0" w:color="auto"/>
            </w:tcBorders>
            <w:tcMar>
              <w:left w:w="115" w:type="dxa"/>
              <w:right w:w="115" w:type="dxa"/>
            </w:tcMar>
            <w:vAlign w:val="center"/>
          </w:tcPr>
          <w:p w14:paraId="2DFAC513"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Furnace</w:t>
            </w:r>
          </w:p>
        </w:tc>
        <w:tc>
          <w:tcPr>
            <w:tcW w:w="2922" w:type="pct"/>
            <w:tcBorders>
              <w:top w:val="single" w:sz="4" w:space="0" w:color="auto"/>
            </w:tcBorders>
            <w:tcMar>
              <w:left w:w="115" w:type="dxa"/>
              <w:right w:w="115" w:type="dxa"/>
            </w:tcMar>
            <w:vAlign w:val="center"/>
          </w:tcPr>
          <w:p w14:paraId="08672F84" w14:textId="77777777" w:rsidR="00FA7EEB" w:rsidRPr="001570EA" w:rsidRDefault="00FA7EEB">
            <w:pPr>
              <w:pStyle w:val="TableCell"/>
              <w:keepNext w:val="0"/>
              <w:spacing w:before="60" w:after="60"/>
              <w:jc w:val="center"/>
              <w:rPr>
                <w:rFonts w:ascii="Arial Unicode MS" w:eastAsia="Arial Unicode MS" w:hAnsi="Arial Unicode MS" w:cs="Arial Unicode MS"/>
              </w:rPr>
            </w:pPr>
            <w:r w:rsidRPr="001570EA">
              <w:t>80% AFUE</w:t>
            </w:r>
          </w:p>
        </w:tc>
        <w:tc>
          <w:tcPr>
            <w:tcW w:w="908" w:type="pct"/>
            <w:tcBorders>
              <w:top w:val="single" w:sz="4" w:space="0" w:color="auto"/>
            </w:tcBorders>
          </w:tcPr>
          <w:p w14:paraId="7996849C" w14:textId="77777777" w:rsidR="00FA7EEB" w:rsidRPr="001570EA" w:rsidRDefault="00FA7EEB">
            <w:pPr>
              <w:pStyle w:val="TableCell"/>
              <w:keepNext w:val="0"/>
              <w:spacing w:before="60" w:after="60"/>
              <w:jc w:val="center"/>
            </w:pPr>
            <w:r w:rsidRPr="001570EA">
              <w:t>13</w:t>
            </w:r>
          </w:p>
        </w:tc>
      </w:tr>
      <w:tr w:rsidR="00FA7EEB" w:rsidRPr="001570EA" w14:paraId="32186C0B" w14:textId="77777777">
        <w:trPr>
          <w:cantSplit/>
          <w:trHeight w:val="259"/>
        </w:trPr>
        <w:tc>
          <w:tcPr>
            <w:tcW w:w="1170" w:type="pct"/>
            <w:tcMar>
              <w:left w:w="115" w:type="dxa"/>
              <w:right w:w="115" w:type="dxa"/>
            </w:tcMar>
            <w:vAlign w:val="center"/>
          </w:tcPr>
          <w:p w14:paraId="703B67A3"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Gas Fired Steam Boiler</w:t>
            </w:r>
          </w:p>
        </w:tc>
        <w:tc>
          <w:tcPr>
            <w:tcW w:w="2922" w:type="pct"/>
            <w:tcMar>
              <w:left w:w="115" w:type="dxa"/>
              <w:right w:w="115" w:type="dxa"/>
            </w:tcMar>
            <w:vAlign w:val="center"/>
          </w:tcPr>
          <w:p w14:paraId="3203C90F" w14:textId="77777777" w:rsidR="00FA7EEB" w:rsidRPr="001570EA" w:rsidRDefault="00FA7EEB">
            <w:pPr>
              <w:pStyle w:val="TableCell"/>
              <w:keepNext w:val="0"/>
              <w:spacing w:before="60" w:after="60"/>
              <w:jc w:val="center"/>
              <w:rPr>
                <w:rFonts w:ascii="Arial Unicode MS" w:eastAsia="Arial Unicode MS" w:hAnsi="Arial Unicode MS" w:cs="Arial Unicode MS"/>
              </w:rPr>
            </w:pPr>
            <w:r w:rsidRPr="001570EA">
              <w:t>82% AFUE</w:t>
            </w:r>
          </w:p>
        </w:tc>
        <w:tc>
          <w:tcPr>
            <w:tcW w:w="908" w:type="pct"/>
          </w:tcPr>
          <w:p w14:paraId="56450D34" w14:textId="77777777" w:rsidR="00FA7EEB" w:rsidRPr="001570EA" w:rsidRDefault="00FA7EEB">
            <w:pPr>
              <w:pStyle w:val="TableCell"/>
              <w:keepNext w:val="0"/>
              <w:spacing w:before="60" w:after="60"/>
              <w:jc w:val="center"/>
              <w:rPr>
                <w:bCs/>
              </w:rPr>
            </w:pPr>
            <w:r w:rsidRPr="001570EA">
              <w:t>13</w:t>
            </w:r>
          </w:p>
        </w:tc>
      </w:tr>
      <w:tr w:rsidR="00FA7EEB" w:rsidRPr="001570EA" w14:paraId="62CFC0D8" w14:textId="77777777">
        <w:trPr>
          <w:cantSplit/>
          <w:trHeight w:val="259"/>
        </w:trPr>
        <w:tc>
          <w:tcPr>
            <w:tcW w:w="1170" w:type="pct"/>
            <w:tcMar>
              <w:left w:w="115" w:type="dxa"/>
              <w:right w:w="115" w:type="dxa"/>
            </w:tcMar>
            <w:vAlign w:val="center"/>
          </w:tcPr>
          <w:p w14:paraId="6DF5A7E7" w14:textId="77777777" w:rsidR="00FA7EEB" w:rsidRPr="001570EA" w:rsidRDefault="00FA7EEB">
            <w:pPr>
              <w:pStyle w:val="TableCell"/>
              <w:keepNext w:val="0"/>
              <w:spacing w:before="60" w:after="60"/>
              <w:jc w:val="left"/>
            </w:pPr>
            <w:r w:rsidRPr="001570EA">
              <w:t>Gas Fired Hot Water Boiler</w:t>
            </w:r>
          </w:p>
        </w:tc>
        <w:tc>
          <w:tcPr>
            <w:tcW w:w="2922" w:type="pct"/>
            <w:tcMar>
              <w:left w:w="115" w:type="dxa"/>
              <w:right w:w="115" w:type="dxa"/>
            </w:tcMar>
            <w:vAlign w:val="center"/>
          </w:tcPr>
          <w:p w14:paraId="043734D2" w14:textId="77777777" w:rsidR="00FA7EEB" w:rsidRPr="001570EA" w:rsidRDefault="00FA7EEB">
            <w:pPr>
              <w:pStyle w:val="TableCell"/>
              <w:keepNext w:val="0"/>
              <w:spacing w:before="60" w:after="60"/>
              <w:jc w:val="center"/>
            </w:pPr>
            <w:r w:rsidRPr="001570EA">
              <w:t>84% AFUE</w:t>
            </w:r>
          </w:p>
        </w:tc>
        <w:tc>
          <w:tcPr>
            <w:tcW w:w="908" w:type="pct"/>
          </w:tcPr>
          <w:p w14:paraId="54F1FEFB" w14:textId="77777777" w:rsidR="00FA7EEB" w:rsidRPr="001570EA" w:rsidRDefault="00FA7EEB">
            <w:pPr>
              <w:pStyle w:val="TableCell"/>
              <w:keepNext w:val="0"/>
              <w:spacing w:before="60" w:after="60"/>
              <w:jc w:val="center"/>
              <w:rPr>
                <w:bCs/>
              </w:rPr>
            </w:pPr>
            <w:r w:rsidRPr="001570EA">
              <w:t>13</w:t>
            </w:r>
          </w:p>
        </w:tc>
      </w:tr>
      <w:tr w:rsidR="00FA7EEB" w:rsidRPr="001570EA" w14:paraId="66C5F26A" w14:textId="77777777">
        <w:trPr>
          <w:cantSplit/>
          <w:trHeight w:val="259"/>
        </w:trPr>
        <w:tc>
          <w:tcPr>
            <w:tcW w:w="1170" w:type="pct"/>
            <w:tcMar>
              <w:left w:w="115" w:type="dxa"/>
              <w:right w:w="115" w:type="dxa"/>
            </w:tcMar>
            <w:vAlign w:val="center"/>
          </w:tcPr>
          <w:p w14:paraId="5725FA41" w14:textId="77777777" w:rsidR="00FA7EEB" w:rsidRPr="001570EA" w:rsidRDefault="00FA7EEB">
            <w:pPr>
              <w:pStyle w:val="TableCell"/>
              <w:keepNext w:val="0"/>
              <w:spacing w:before="60" w:after="60"/>
              <w:jc w:val="left"/>
            </w:pPr>
            <w:r w:rsidRPr="001570EA">
              <w:t>Oil Fired Steam Boiler</w:t>
            </w:r>
          </w:p>
        </w:tc>
        <w:tc>
          <w:tcPr>
            <w:tcW w:w="2922" w:type="pct"/>
            <w:tcMar>
              <w:left w:w="115" w:type="dxa"/>
              <w:right w:w="115" w:type="dxa"/>
            </w:tcMar>
            <w:vAlign w:val="center"/>
          </w:tcPr>
          <w:p w14:paraId="66FE7D02" w14:textId="77777777" w:rsidR="00FA7EEB" w:rsidRPr="001570EA" w:rsidRDefault="00FA7EEB">
            <w:pPr>
              <w:pStyle w:val="TableCell"/>
              <w:keepNext w:val="0"/>
              <w:spacing w:before="60" w:after="60"/>
              <w:jc w:val="center"/>
              <w:rPr>
                <w:bCs/>
              </w:rPr>
            </w:pPr>
            <w:r w:rsidRPr="001570EA">
              <w:t>85% AFUE</w:t>
            </w:r>
          </w:p>
        </w:tc>
        <w:tc>
          <w:tcPr>
            <w:tcW w:w="908" w:type="pct"/>
          </w:tcPr>
          <w:p w14:paraId="4C0E970F" w14:textId="77777777" w:rsidR="00FA7EEB" w:rsidRPr="001570EA" w:rsidRDefault="00FA7EEB">
            <w:pPr>
              <w:pStyle w:val="TableCell"/>
              <w:keepNext w:val="0"/>
              <w:spacing w:before="60" w:after="60"/>
              <w:jc w:val="center"/>
              <w:rPr>
                <w:bCs/>
              </w:rPr>
            </w:pPr>
            <w:r w:rsidRPr="001570EA">
              <w:t>13</w:t>
            </w:r>
          </w:p>
        </w:tc>
      </w:tr>
      <w:tr w:rsidR="00FA7EEB" w:rsidRPr="001570EA" w14:paraId="25C57CE4" w14:textId="77777777">
        <w:trPr>
          <w:cantSplit/>
          <w:trHeight w:val="259"/>
        </w:trPr>
        <w:tc>
          <w:tcPr>
            <w:tcW w:w="1170" w:type="pct"/>
            <w:tcMar>
              <w:left w:w="115" w:type="dxa"/>
              <w:right w:w="115" w:type="dxa"/>
            </w:tcMar>
            <w:vAlign w:val="center"/>
          </w:tcPr>
          <w:p w14:paraId="52F1AFC9" w14:textId="77777777" w:rsidR="00FA7EEB" w:rsidRPr="001570EA" w:rsidRDefault="00FA7EEB">
            <w:pPr>
              <w:pStyle w:val="TableCell"/>
              <w:keepNext w:val="0"/>
              <w:spacing w:before="60" w:after="60"/>
              <w:jc w:val="left"/>
            </w:pPr>
            <w:r w:rsidRPr="001570EA">
              <w:t>Oil Fired Hot Water Boiler</w:t>
            </w:r>
          </w:p>
        </w:tc>
        <w:tc>
          <w:tcPr>
            <w:tcW w:w="2922" w:type="pct"/>
            <w:tcMar>
              <w:left w:w="115" w:type="dxa"/>
              <w:right w:w="115" w:type="dxa"/>
            </w:tcMar>
            <w:vAlign w:val="center"/>
          </w:tcPr>
          <w:p w14:paraId="1CF1A5B6" w14:textId="77777777" w:rsidR="00FA7EEB" w:rsidRPr="001570EA" w:rsidRDefault="00FA7EEB">
            <w:pPr>
              <w:pStyle w:val="TableCell"/>
              <w:keepNext w:val="0"/>
              <w:spacing w:before="60" w:after="60"/>
              <w:jc w:val="center"/>
              <w:rPr>
                <w:bCs/>
              </w:rPr>
            </w:pPr>
            <w:r w:rsidRPr="001570EA">
              <w:t>86% AFUE</w:t>
            </w:r>
          </w:p>
        </w:tc>
        <w:tc>
          <w:tcPr>
            <w:tcW w:w="908" w:type="pct"/>
          </w:tcPr>
          <w:p w14:paraId="7D6EFBF9" w14:textId="77777777" w:rsidR="00FA7EEB" w:rsidRPr="001570EA" w:rsidRDefault="00FA7EEB">
            <w:pPr>
              <w:pStyle w:val="TableCell"/>
              <w:keepNext w:val="0"/>
              <w:spacing w:before="60" w:after="60"/>
              <w:jc w:val="center"/>
              <w:rPr>
                <w:bCs/>
              </w:rPr>
            </w:pPr>
            <w:r w:rsidRPr="001570EA">
              <w:t>13</w:t>
            </w:r>
          </w:p>
        </w:tc>
      </w:tr>
      <w:tr w:rsidR="00FA7EEB" w:rsidRPr="001570EA" w14:paraId="234B43AA" w14:textId="77777777">
        <w:trPr>
          <w:cantSplit/>
          <w:trHeight w:val="259"/>
        </w:trPr>
        <w:tc>
          <w:tcPr>
            <w:tcW w:w="1170" w:type="pct"/>
            <w:tcMar>
              <w:left w:w="115" w:type="dxa"/>
              <w:right w:w="115" w:type="dxa"/>
            </w:tcMar>
            <w:vAlign w:val="center"/>
          </w:tcPr>
          <w:p w14:paraId="2454ED01"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ASHP, GSHP, PTHP</w:t>
            </w:r>
          </w:p>
        </w:tc>
        <w:tc>
          <w:tcPr>
            <w:tcW w:w="2922" w:type="pct"/>
            <w:tcMar>
              <w:left w:w="115" w:type="dxa"/>
              <w:right w:w="115" w:type="dxa"/>
            </w:tcMar>
            <w:vAlign w:val="center"/>
          </w:tcPr>
          <w:p w14:paraId="6914FF5A" w14:textId="16C3A0BE" w:rsidR="00FA7EEB" w:rsidRPr="001570EA" w:rsidRDefault="00FA7EEB">
            <w:pPr>
              <w:pStyle w:val="TableCell"/>
              <w:keepNext w:val="0"/>
              <w:spacing w:before="60" w:after="60"/>
              <w:jc w:val="center"/>
            </w:pPr>
            <w:r w:rsidRPr="001570EA">
              <w:t xml:space="preserve">For residential units, see New Construction values in </w:t>
            </w:r>
            <w:r w:rsidR="00440045" w:rsidRPr="001570EA">
              <w:fldChar w:fldCharType="begin"/>
            </w:r>
            <w:r w:rsidR="00440045" w:rsidRPr="001570EA">
              <w:instrText xml:space="preserve"> REF _Ref531779526 \h  \* MERGEFORMAT </w:instrText>
            </w:r>
            <w:r w:rsidR="00440045" w:rsidRPr="001570EA">
              <w:fldChar w:fldCharType="separate"/>
            </w:r>
            <w:r w:rsidR="00234C6C" w:rsidRPr="001570EA">
              <w:t xml:space="preserve">Table </w:t>
            </w:r>
            <w:r w:rsidR="00234C6C" w:rsidRPr="001570EA">
              <w:rPr>
                <w:noProof/>
              </w:rPr>
              <w:t>2</w:t>
            </w:r>
            <w:r w:rsidR="00234C6C" w:rsidRPr="001570EA">
              <w:rPr>
                <w:noProof/>
              </w:rPr>
              <w:noBreakHyphen/>
              <w:t>10</w:t>
            </w:r>
            <w:r w:rsidR="00440045" w:rsidRPr="001570EA">
              <w:fldChar w:fldCharType="end"/>
            </w:r>
            <w:r w:rsidR="00440045" w:rsidRPr="001570EA">
              <w:t xml:space="preserve"> in Sec. </w:t>
            </w:r>
            <w:r w:rsidR="00440045" w:rsidRPr="001570EA">
              <w:fldChar w:fldCharType="begin"/>
            </w:r>
            <w:r w:rsidR="00440045" w:rsidRPr="001570EA">
              <w:instrText xml:space="preserve"> REF _Ref534295897 \r \h  \* MERGEFORMAT </w:instrText>
            </w:r>
            <w:r w:rsidR="00440045" w:rsidRPr="001570EA">
              <w:fldChar w:fldCharType="separate"/>
            </w:r>
            <w:r w:rsidR="00234C6C" w:rsidRPr="001570EA">
              <w:t>2.2.1</w:t>
            </w:r>
            <w:r w:rsidR="00440045" w:rsidRPr="001570EA">
              <w:fldChar w:fldCharType="end"/>
            </w:r>
            <w:r w:rsidRPr="001570EA">
              <w:t>. For ductless heat pumps, use value for ASHP.</w:t>
            </w:r>
          </w:p>
          <w:p w14:paraId="6594FE2E" w14:textId="69FA47DA" w:rsidR="00FA7EEB" w:rsidRPr="001570EA" w:rsidRDefault="00FA7EEB">
            <w:pPr>
              <w:pStyle w:val="TableCell"/>
              <w:keepNext w:val="0"/>
              <w:spacing w:before="60" w:after="60"/>
              <w:jc w:val="center"/>
              <w:rPr>
                <w:rFonts w:ascii="Arial Unicode MS" w:eastAsia="Arial Unicode MS" w:hAnsi="Arial Unicode MS" w:cs="Arial Unicode MS"/>
              </w:rPr>
            </w:pPr>
            <w:r w:rsidRPr="001570EA">
              <w:t>For common areas, see New Construction values in Table 3-2</w:t>
            </w:r>
            <w:r w:rsidR="008A1E82" w:rsidRPr="001570EA">
              <w:t>4</w:t>
            </w:r>
            <w:r w:rsidRPr="001570EA">
              <w:t xml:space="preserve"> in Sec. 3.2.1. For ductless heat pumps, use value for ASHP.</w:t>
            </w:r>
          </w:p>
        </w:tc>
        <w:tc>
          <w:tcPr>
            <w:tcW w:w="908" w:type="pct"/>
          </w:tcPr>
          <w:p w14:paraId="1FE8066D" w14:textId="77777777" w:rsidR="00FA7EEB" w:rsidRPr="001570EA" w:rsidRDefault="00FA7EEB">
            <w:pPr>
              <w:pStyle w:val="TableCell"/>
              <w:keepNext w:val="0"/>
              <w:spacing w:before="60" w:after="60"/>
              <w:jc w:val="center"/>
              <w:rPr>
                <w:bCs/>
              </w:rPr>
            </w:pPr>
          </w:p>
        </w:tc>
      </w:tr>
      <w:tr w:rsidR="00FA7EEB" w:rsidRPr="001570EA" w14:paraId="41524033" w14:textId="77777777">
        <w:trPr>
          <w:cantSplit/>
          <w:trHeight w:val="317"/>
        </w:trPr>
        <w:tc>
          <w:tcPr>
            <w:tcW w:w="1170" w:type="pct"/>
            <w:tcBorders>
              <w:top w:val="single" w:sz="4" w:space="0" w:color="auto"/>
              <w:left w:val="single" w:sz="4" w:space="0" w:color="auto"/>
              <w:bottom w:val="single" w:sz="4" w:space="0" w:color="auto"/>
              <w:right w:val="nil"/>
            </w:tcBorders>
            <w:shd w:val="clear" w:color="auto" w:fill="D9D9D9" w:themeFill="background1" w:themeFillShade="D9"/>
            <w:tcMar>
              <w:left w:w="115" w:type="dxa"/>
              <w:right w:w="115" w:type="dxa"/>
            </w:tcMar>
            <w:vAlign w:val="center"/>
          </w:tcPr>
          <w:p w14:paraId="196F8FDA" w14:textId="77777777" w:rsidR="00FA7EEB" w:rsidRPr="001570EA" w:rsidRDefault="00FA7EEB">
            <w:pPr>
              <w:pStyle w:val="TableCell"/>
              <w:keepNext w:val="0"/>
              <w:spacing w:before="60" w:after="60"/>
              <w:jc w:val="left"/>
              <w:rPr>
                <w:rFonts w:ascii="Arial Unicode MS" w:eastAsia="Arial Unicode MS" w:hAnsi="Arial Unicode MS" w:cs="Arial Unicode MS"/>
                <w:b/>
              </w:rPr>
            </w:pPr>
            <w:r w:rsidRPr="001570EA">
              <w:rPr>
                <w:b/>
              </w:rPr>
              <w:t>Cooling Efficiency</w:t>
            </w:r>
          </w:p>
        </w:tc>
        <w:tc>
          <w:tcPr>
            <w:tcW w:w="2922" w:type="pct"/>
            <w:tcBorders>
              <w:top w:val="single" w:sz="4" w:space="0" w:color="auto"/>
              <w:left w:val="nil"/>
              <w:bottom w:val="single" w:sz="4" w:space="0" w:color="auto"/>
              <w:right w:val="nil"/>
            </w:tcBorders>
            <w:shd w:val="clear" w:color="auto" w:fill="D9D9D9" w:themeFill="background1" w:themeFillShade="D9"/>
            <w:tcMar>
              <w:left w:w="115" w:type="dxa"/>
              <w:right w:w="115" w:type="dxa"/>
            </w:tcMar>
            <w:vAlign w:val="center"/>
          </w:tcPr>
          <w:p w14:paraId="67EE4F6C" w14:textId="77777777" w:rsidR="00FA7EEB" w:rsidRPr="001570EA" w:rsidRDefault="00FA7EEB">
            <w:pPr>
              <w:pStyle w:val="TableCell"/>
              <w:keepNext w:val="0"/>
              <w:spacing w:before="60" w:after="60"/>
              <w:jc w:val="center"/>
              <w:rPr>
                <w:rFonts w:eastAsia="Arial Unicode MS"/>
              </w:rPr>
            </w:pPr>
          </w:p>
        </w:tc>
        <w:tc>
          <w:tcPr>
            <w:tcW w:w="908" w:type="pct"/>
            <w:tcBorders>
              <w:top w:val="single" w:sz="4" w:space="0" w:color="auto"/>
              <w:left w:val="nil"/>
              <w:bottom w:val="single" w:sz="4" w:space="0" w:color="auto"/>
              <w:right w:val="single" w:sz="4" w:space="0" w:color="auto"/>
            </w:tcBorders>
            <w:shd w:val="clear" w:color="auto" w:fill="D9D9D9" w:themeFill="background1" w:themeFillShade="D9"/>
          </w:tcPr>
          <w:p w14:paraId="3C69C909" w14:textId="77777777" w:rsidR="00FA7EEB" w:rsidRPr="001570EA" w:rsidRDefault="00FA7EEB">
            <w:pPr>
              <w:pStyle w:val="TableCell"/>
              <w:keepNext w:val="0"/>
              <w:spacing w:before="60" w:after="60"/>
              <w:jc w:val="center"/>
            </w:pPr>
          </w:p>
        </w:tc>
      </w:tr>
      <w:tr w:rsidR="00FA7EEB" w:rsidRPr="001570EA" w14:paraId="01DAB0D4" w14:textId="77777777">
        <w:trPr>
          <w:cantSplit/>
          <w:trHeight w:val="259"/>
        </w:trPr>
        <w:tc>
          <w:tcPr>
            <w:tcW w:w="1170" w:type="pct"/>
            <w:tcBorders>
              <w:top w:val="single" w:sz="4" w:space="0" w:color="auto"/>
            </w:tcBorders>
            <w:tcMar>
              <w:left w:w="115" w:type="dxa"/>
              <w:right w:w="115" w:type="dxa"/>
            </w:tcMar>
            <w:vAlign w:val="center"/>
          </w:tcPr>
          <w:p w14:paraId="0B75CDE1" w14:textId="77777777" w:rsidR="00FA7EEB" w:rsidRPr="001570EA" w:rsidDel="00856726" w:rsidRDefault="00FA7EEB">
            <w:pPr>
              <w:pStyle w:val="TableCell"/>
              <w:keepNext w:val="0"/>
              <w:spacing w:before="60" w:after="60"/>
              <w:jc w:val="left"/>
              <w:rPr>
                <w:rFonts w:ascii="Arial Unicode MS" w:eastAsia="Arial Unicode MS" w:hAnsi="Arial Unicode MS" w:cs="Arial Unicode MS"/>
              </w:rPr>
            </w:pPr>
            <w:r w:rsidRPr="001570EA">
              <w:t>All types</w:t>
            </w:r>
          </w:p>
        </w:tc>
        <w:tc>
          <w:tcPr>
            <w:tcW w:w="2922" w:type="pct"/>
            <w:tcBorders>
              <w:top w:val="single" w:sz="4" w:space="0" w:color="auto"/>
            </w:tcBorders>
            <w:vAlign w:val="center"/>
          </w:tcPr>
          <w:p w14:paraId="4167F30D" w14:textId="34D94D88" w:rsidR="00FA7EEB" w:rsidRPr="001570EA" w:rsidRDefault="00FA7EEB">
            <w:pPr>
              <w:pStyle w:val="TableCell"/>
              <w:keepNext w:val="0"/>
              <w:spacing w:before="60" w:after="60"/>
              <w:jc w:val="center"/>
            </w:pPr>
            <w:r w:rsidRPr="001570EA">
              <w:t>For residential units, see New Construction values in</w:t>
            </w:r>
            <w:r w:rsidR="008A1E82" w:rsidRPr="001570EA">
              <w:t xml:space="preserve"> </w:t>
            </w:r>
            <w:r w:rsidR="008A1E82" w:rsidRPr="001570EA">
              <w:fldChar w:fldCharType="begin"/>
            </w:r>
            <w:r w:rsidR="008A1E82" w:rsidRPr="001570EA">
              <w:instrText xml:space="preserve"> REF _Ref531779526 \h  \* MERGEFORMAT </w:instrText>
            </w:r>
            <w:r w:rsidR="008A1E82" w:rsidRPr="001570EA">
              <w:fldChar w:fldCharType="separate"/>
            </w:r>
            <w:r w:rsidR="00234C6C" w:rsidRPr="001570EA">
              <w:t xml:space="preserve">Table </w:t>
            </w:r>
            <w:r w:rsidR="00234C6C" w:rsidRPr="001570EA">
              <w:rPr>
                <w:noProof/>
              </w:rPr>
              <w:t>2</w:t>
            </w:r>
            <w:r w:rsidR="00234C6C" w:rsidRPr="001570EA">
              <w:rPr>
                <w:noProof/>
              </w:rPr>
              <w:noBreakHyphen/>
              <w:t>10</w:t>
            </w:r>
            <w:r w:rsidR="008A1E82" w:rsidRPr="001570EA">
              <w:fldChar w:fldCharType="end"/>
            </w:r>
            <w:r w:rsidR="008A1E82" w:rsidRPr="001570EA">
              <w:t xml:space="preserve"> in Sec. </w:t>
            </w:r>
            <w:r w:rsidR="008A1E82" w:rsidRPr="001570EA">
              <w:fldChar w:fldCharType="begin"/>
            </w:r>
            <w:r w:rsidR="008A1E82" w:rsidRPr="001570EA">
              <w:instrText xml:space="preserve"> REF _Ref534295897 \r \h  \* MERGEFORMAT </w:instrText>
            </w:r>
            <w:r w:rsidR="008A1E82" w:rsidRPr="001570EA">
              <w:fldChar w:fldCharType="separate"/>
            </w:r>
            <w:r w:rsidR="00234C6C" w:rsidRPr="001570EA">
              <w:t>2.2.1</w:t>
            </w:r>
            <w:r w:rsidR="008A1E82" w:rsidRPr="001570EA">
              <w:fldChar w:fldCharType="end"/>
            </w:r>
            <w:r w:rsidR="008A1E82" w:rsidRPr="001570EA">
              <w:t>.</w:t>
            </w:r>
            <w:r w:rsidRPr="001570EA">
              <w:t xml:space="preserve"> For ductless heat pumps, use value for ASHP.</w:t>
            </w:r>
          </w:p>
          <w:p w14:paraId="4BE40A0C" w14:textId="52E5F72B" w:rsidR="00FA7EEB" w:rsidRPr="001570EA" w:rsidDel="00856726" w:rsidRDefault="00FA7EEB">
            <w:pPr>
              <w:pStyle w:val="TableCell"/>
              <w:keepNext w:val="0"/>
              <w:spacing w:before="60" w:after="60"/>
              <w:jc w:val="center"/>
              <w:rPr>
                <w:rFonts w:ascii="Arial Unicode MS" w:eastAsia="Arial Unicode MS" w:hAnsi="Arial Unicode MS" w:cs="Arial Unicode MS"/>
              </w:rPr>
            </w:pPr>
            <w:r w:rsidRPr="001570EA">
              <w:t>For common areas, see New Construction values in Table 3-</w:t>
            </w:r>
            <w:r w:rsidR="00025452" w:rsidRPr="001570EA">
              <w:t>24</w:t>
            </w:r>
            <w:r w:rsidRPr="001570EA">
              <w:t xml:space="preserve"> in Sec. 3.2.1. For ductless heat pumps, use value for ASHP. For Chillers, see values in Table 3-</w:t>
            </w:r>
            <w:r w:rsidR="00D77470" w:rsidRPr="001570EA">
              <w:t>29</w:t>
            </w:r>
            <w:r w:rsidRPr="001570EA">
              <w:t xml:space="preserve"> in Sec. 3.2.</w:t>
            </w:r>
            <w:r w:rsidR="00D77470" w:rsidRPr="001570EA">
              <w:t>3</w:t>
            </w:r>
            <w:r w:rsidRPr="001570EA">
              <w:t>.</w:t>
            </w:r>
          </w:p>
        </w:tc>
        <w:tc>
          <w:tcPr>
            <w:tcW w:w="908" w:type="pct"/>
            <w:tcBorders>
              <w:top w:val="single" w:sz="4" w:space="0" w:color="auto"/>
            </w:tcBorders>
            <w:vAlign w:val="center"/>
          </w:tcPr>
          <w:p w14:paraId="06623D6A" w14:textId="77777777" w:rsidR="00FA7EEB" w:rsidRPr="001570EA" w:rsidRDefault="00FA7EEB">
            <w:pPr>
              <w:pStyle w:val="TableCell"/>
              <w:keepNext w:val="0"/>
              <w:spacing w:before="60" w:after="60"/>
              <w:jc w:val="center"/>
            </w:pPr>
          </w:p>
        </w:tc>
      </w:tr>
      <w:tr w:rsidR="00FA7EEB" w:rsidRPr="001570EA" w14:paraId="42F515FD" w14:textId="77777777">
        <w:trPr>
          <w:cantSplit/>
          <w:trHeight w:val="317"/>
        </w:trPr>
        <w:tc>
          <w:tcPr>
            <w:tcW w:w="1170" w:type="pct"/>
            <w:tcBorders>
              <w:top w:val="single" w:sz="4" w:space="0" w:color="auto"/>
              <w:left w:val="single" w:sz="4" w:space="0" w:color="auto"/>
              <w:bottom w:val="single" w:sz="4" w:space="0" w:color="auto"/>
              <w:right w:val="nil"/>
            </w:tcBorders>
            <w:shd w:val="clear" w:color="auto" w:fill="D9D9D9" w:themeFill="background1" w:themeFillShade="D9"/>
            <w:tcMar>
              <w:left w:w="115" w:type="dxa"/>
              <w:right w:w="115" w:type="dxa"/>
            </w:tcMar>
            <w:vAlign w:val="center"/>
          </w:tcPr>
          <w:p w14:paraId="3DBE53A9" w14:textId="77777777" w:rsidR="00FA7EEB" w:rsidRPr="001570EA" w:rsidRDefault="00FA7EEB">
            <w:pPr>
              <w:pStyle w:val="TableCell"/>
              <w:keepNext w:val="0"/>
              <w:spacing w:before="60" w:after="60"/>
              <w:jc w:val="left"/>
              <w:rPr>
                <w:rFonts w:ascii="Arial Unicode MS" w:eastAsia="Arial Unicode MS" w:hAnsi="Arial Unicode MS" w:cs="Arial Unicode MS"/>
                <w:b/>
                <w:i/>
                <w:iCs/>
              </w:rPr>
            </w:pPr>
            <w:r w:rsidRPr="001570EA">
              <w:rPr>
                <w:b/>
              </w:rPr>
              <w:t>Domestic WH Efficiency</w:t>
            </w:r>
          </w:p>
        </w:tc>
        <w:tc>
          <w:tcPr>
            <w:tcW w:w="2922" w:type="pct"/>
            <w:tcBorders>
              <w:top w:val="single" w:sz="4" w:space="0" w:color="auto"/>
              <w:left w:val="nil"/>
              <w:bottom w:val="single" w:sz="4" w:space="0" w:color="auto"/>
              <w:right w:val="nil"/>
            </w:tcBorders>
            <w:shd w:val="clear" w:color="auto" w:fill="D9D9D9" w:themeFill="background1" w:themeFillShade="D9"/>
            <w:tcMar>
              <w:left w:w="115" w:type="dxa"/>
              <w:right w:w="115" w:type="dxa"/>
            </w:tcMar>
            <w:vAlign w:val="center"/>
          </w:tcPr>
          <w:p w14:paraId="499C5F66" w14:textId="77777777" w:rsidR="00FA7EEB" w:rsidRPr="001570EA" w:rsidRDefault="00FA7EEB">
            <w:pPr>
              <w:pStyle w:val="TableCell"/>
              <w:keepNext w:val="0"/>
              <w:spacing w:before="60" w:after="60"/>
              <w:jc w:val="center"/>
              <w:rPr>
                <w:rFonts w:eastAsia="Arial Unicode MS"/>
                <w:i/>
              </w:rPr>
            </w:pPr>
          </w:p>
        </w:tc>
        <w:tc>
          <w:tcPr>
            <w:tcW w:w="908" w:type="pct"/>
            <w:tcBorders>
              <w:top w:val="single" w:sz="4" w:space="0" w:color="auto"/>
              <w:left w:val="nil"/>
              <w:bottom w:val="single" w:sz="4" w:space="0" w:color="auto"/>
              <w:right w:val="single" w:sz="4" w:space="0" w:color="auto"/>
            </w:tcBorders>
            <w:shd w:val="clear" w:color="auto" w:fill="D9D9D9" w:themeFill="background1" w:themeFillShade="D9"/>
          </w:tcPr>
          <w:p w14:paraId="0F04B735" w14:textId="77777777" w:rsidR="00FA7EEB" w:rsidRPr="001570EA" w:rsidRDefault="00FA7EEB">
            <w:pPr>
              <w:pStyle w:val="TableCell"/>
              <w:keepNext w:val="0"/>
              <w:spacing w:before="60" w:after="60"/>
              <w:jc w:val="center"/>
            </w:pPr>
          </w:p>
        </w:tc>
      </w:tr>
      <w:tr w:rsidR="00FA7EEB" w:rsidRPr="001570EA" w14:paraId="696A1565" w14:textId="77777777">
        <w:trPr>
          <w:cantSplit/>
          <w:trHeight w:val="259"/>
        </w:trPr>
        <w:tc>
          <w:tcPr>
            <w:tcW w:w="1170" w:type="pct"/>
            <w:tcBorders>
              <w:top w:val="single" w:sz="4" w:space="0" w:color="auto"/>
            </w:tcBorders>
            <w:tcMar>
              <w:left w:w="115" w:type="dxa"/>
              <w:right w:w="115" w:type="dxa"/>
            </w:tcMar>
            <w:vAlign w:val="center"/>
          </w:tcPr>
          <w:p w14:paraId="4F596B6B" w14:textId="77777777" w:rsidR="00FA7EEB" w:rsidRPr="001570EA" w:rsidRDefault="00FA7EEB">
            <w:pPr>
              <w:pStyle w:val="TableCell"/>
              <w:keepNext w:val="0"/>
              <w:spacing w:before="60" w:after="60"/>
              <w:jc w:val="left"/>
            </w:pPr>
            <w:r w:rsidRPr="001570EA">
              <w:t>Electric</w:t>
            </w:r>
          </w:p>
        </w:tc>
        <w:tc>
          <w:tcPr>
            <w:tcW w:w="2922" w:type="pct"/>
            <w:tcBorders>
              <w:top w:val="single" w:sz="4" w:space="0" w:color="auto"/>
            </w:tcBorders>
            <w:tcMar>
              <w:left w:w="115" w:type="dxa"/>
              <w:right w:w="115" w:type="dxa"/>
            </w:tcMar>
            <w:vAlign w:val="center"/>
          </w:tcPr>
          <w:p w14:paraId="347ABFEA" w14:textId="0696283E" w:rsidR="00FA7EEB" w:rsidRPr="001570EA" w:rsidRDefault="00FA7EEB">
            <w:pPr>
              <w:pStyle w:val="TableCell"/>
              <w:keepNext w:val="0"/>
              <w:spacing w:before="60" w:after="60"/>
              <w:jc w:val="center"/>
              <w:rPr>
                <w:rFonts w:eastAsia="Arial Unicode MS"/>
              </w:rPr>
            </w:pPr>
            <w:r w:rsidRPr="001570EA">
              <w:t>See volume and load dependent values in</w:t>
            </w:r>
            <w:r w:rsidR="008A1E82" w:rsidRPr="001570EA">
              <w:t xml:space="preserve"> in </w:t>
            </w:r>
            <w:r w:rsidR="008A1E82" w:rsidRPr="001570EA">
              <w:fldChar w:fldCharType="begin"/>
            </w:r>
            <w:r w:rsidR="008A1E82" w:rsidRPr="001570EA">
              <w:instrText xml:space="preserve"> REF _Ref533706168 \h  \* MERGEFORMAT </w:instrText>
            </w:r>
            <w:r w:rsidR="008A1E82" w:rsidRPr="001570EA">
              <w:fldChar w:fldCharType="separate"/>
            </w:r>
            <w:r w:rsidR="00781E4A" w:rsidRPr="001570EA">
              <w:t xml:space="preserve">Table </w:t>
            </w:r>
            <w:r w:rsidR="00781E4A" w:rsidRPr="001570EA">
              <w:rPr>
                <w:noProof/>
              </w:rPr>
              <w:t>2</w:t>
            </w:r>
            <w:r w:rsidR="00781E4A" w:rsidRPr="001570EA">
              <w:rPr>
                <w:noProof/>
              </w:rPr>
              <w:noBreakHyphen/>
              <w:t>61</w:t>
            </w:r>
            <w:r w:rsidR="008A1E82" w:rsidRPr="001570EA">
              <w:fldChar w:fldCharType="end"/>
            </w:r>
            <w:r w:rsidR="008A1E82" w:rsidRPr="001570EA">
              <w:t xml:space="preserve"> in Sec. </w:t>
            </w:r>
            <w:r w:rsidR="008A1E82" w:rsidRPr="001570EA">
              <w:fldChar w:fldCharType="begin"/>
            </w:r>
            <w:r w:rsidR="008A1E82" w:rsidRPr="001570EA">
              <w:instrText xml:space="preserve"> REF _Ref163980796 \r \h  \* MERGEFORMAT </w:instrText>
            </w:r>
            <w:r w:rsidR="008A1E82" w:rsidRPr="001570EA">
              <w:fldChar w:fldCharType="separate"/>
            </w:r>
            <w:r w:rsidR="00234C6C" w:rsidRPr="001570EA">
              <w:t>2.3.1</w:t>
            </w:r>
            <w:r w:rsidR="008A1E82" w:rsidRPr="001570EA">
              <w:fldChar w:fldCharType="end"/>
            </w:r>
          </w:p>
        </w:tc>
        <w:tc>
          <w:tcPr>
            <w:tcW w:w="908" w:type="pct"/>
            <w:tcBorders>
              <w:top w:val="single" w:sz="4" w:space="0" w:color="auto"/>
            </w:tcBorders>
          </w:tcPr>
          <w:p w14:paraId="642137E4" w14:textId="77777777" w:rsidR="00FA7EEB" w:rsidRPr="001570EA" w:rsidRDefault="00FA7EEB">
            <w:pPr>
              <w:pStyle w:val="TableCell"/>
              <w:keepNext w:val="0"/>
              <w:spacing w:before="60" w:after="60"/>
              <w:jc w:val="center"/>
              <w:rPr>
                <w:bCs/>
              </w:rPr>
            </w:pPr>
          </w:p>
        </w:tc>
      </w:tr>
      <w:tr w:rsidR="00FA7EEB" w:rsidRPr="001570EA" w14:paraId="2ACFCF50" w14:textId="77777777">
        <w:trPr>
          <w:cantSplit/>
          <w:trHeight w:val="259"/>
        </w:trPr>
        <w:tc>
          <w:tcPr>
            <w:tcW w:w="1170" w:type="pct"/>
            <w:tcMar>
              <w:left w:w="115" w:type="dxa"/>
              <w:right w:w="115" w:type="dxa"/>
            </w:tcMar>
            <w:vAlign w:val="center"/>
          </w:tcPr>
          <w:p w14:paraId="25C3AF4A" w14:textId="77777777" w:rsidR="00FA7EEB" w:rsidRPr="001570EA" w:rsidRDefault="00FA7EEB">
            <w:pPr>
              <w:pStyle w:val="TableCell"/>
              <w:keepNext w:val="0"/>
              <w:spacing w:before="60" w:after="60"/>
              <w:jc w:val="left"/>
              <w:rPr>
                <w:rFonts w:eastAsia="Arial Unicode MS"/>
              </w:rPr>
            </w:pPr>
            <w:r w:rsidRPr="001570EA">
              <w:t>Natural Gas</w:t>
            </w:r>
          </w:p>
        </w:tc>
        <w:tc>
          <w:tcPr>
            <w:tcW w:w="2922" w:type="pct"/>
            <w:tcMar>
              <w:left w:w="115" w:type="dxa"/>
              <w:right w:w="115" w:type="dxa"/>
            </w:tcMar>
            <w:vAlign w:val="center"/>
          </w:tcPr>
          <w:p w14:paraId="5F287D6D" w14:textId="1AF42883" w:rsidR="00FA7EEB" w:rsidRPr="001570EA" w:rsidRDefault="00FA7EEB">
            <w:pPr>
              <w:pStyle w:val="TableCell"/>
              <w:keepNext w:val="0"/>
              <w:spacing w:before="60" w:after="60"/>
              <w:jc w:val="center"/>
              <w:rPr>
                <w:rFonts w:ascii="Arial Unicode MS" w:eastAsia="Arial Unicode MS" w:hAnsi="Arial Unicode MS" w:cs="Arial Unicode MS"/>
              </w:rPr>
            </w:pPr>
            <w:r w:rsidRPr="001570EA">
              <w:t>See volume and load dependent values in</w:t>
            </w:r>
            <w:r w:rsidR="008A1E82" w:rsidRPr="001570EA">
              <w:t xml:space="preserve"> </w:t>
            </w:r>
            <w:r w:rsidR="008A1E82" w:rsidRPr="001570EA">
              <w:fldChar w:fldCharType="begin"/>
            </w:r>
            <w:r w:rsidR="008A1E82" w:rsidRPr="001570EA">
              <w:instrText xml:space="preserve"> REF _Ref163829485 \h </w:instrText>
            </w:r>
            <w:r w:rsidR="001570EA">
              <w:instrText xml:space="preserve"> \* MERGEFORMAT </w:instrText>
            </w:r>
            <w:r w:rsidR="008A1E82"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155</w:t>
            </w:r>
            <w:r w:rsidR="008A1E82" w:rsidRPr="001570EA">
              <w:fldChar w:fldCharType="end"/>
            </w:r>
          </w:p>
        </w:tc>
        <w:tc>
          <w:tcPr>
            <w:tcW w:w="908" w:type="pct"/>
          </w:tcPr>
          <w:p w14:paraId="2F60ACBE" w14:textId="77777777" w:rsidR="00FA7EEB" w:rsidRPr="001570EA" w:rsidRDefault="00FA7EEB">
            <w:pPr>
              <w:pStyle w:val="TableCell"/>
              <w:keepNext w:val="0"/>
              <w:spacing w:before="60" w:after="60"/>
              <w:jc w:val="center"/>
            </w:pPr>
            <w:r w:rsidRPr="001570EA">
              <w:t>13</w:t>
            </w:r>
          </w:p>
        </w:tc>
      </w:tr>
      <w:tr w:rsidR="00FA7EEB" w:rsidRPr="001570EA" w14:paraId="5A1C33D6" w14:textId="77777777">
        <w:trPr>
          <w:cantSplit/>
          <w:trHeight w:val="317"/>
        </w:trPr>
        <w:tc>
          <w:tcPr>
            <w:tcW w:w="1170" w:type="pct"/>
            <w:tcMar>
              <w:left w:w="115" w:type="dxa"/>
              <w:right w:w="115" w:type="dxa"/>
            </w:tcMar>
            <w:vAlign w:val="center"/>
          </w:tcPr>
          <w:p w14:paraId="0151052F"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Additional Water Heater Tank Insulation</w:t>
            </w:r>
          </w:p>
        </w:tc>
        <w:tc>
          <w:tcPr>
            <w:tcW w:w="2922" w:type="pct"/>
            <w:tcMar>
              <w:left w:w="115" w:type="dxa"/>
              <w:right w:w="115" w:type="dxa"/>
            </w:tcMar>
            <w:vAlign w:val="center"/>
          </w:tcPr>
          <w:p w14:paraId="1C409CBD" w14:textId="77777777" w:rsidR="00FA7EEB" w:rsidRPr="001570EA" w:rsidRDefault="00FA7EEB">
            <w:pPr>
              <w:pStyle w:val="TableCell"/>
              <w:keepNext w:val="0"/>
              <w:spacing w:before="60" w:after="60"/>
              <w:jc w:val="center"/>
              <w:rPr>
                <w:rFonts w:ascii="Arial Unicode MS" w:eastAsia="Arial Unicode MS" w:hAnsi="Arial Unicode MS" w:cs="Arial Unicode MS"/>
              </w:rPr>
            </w:pPr>
            <w:r w:rsidRPr="001570EA">
              <w:t>None</w:t>
            </w:r>
          </w:p>
        </w:tc>
        <w:tc>
          <w:tcPr>
            <w:tcW w:w="908" w:type="pct"/>
          </w:tcPr>
          <w:p w14:paraId="75C9CF22" w14:textId="77777777" w:rsidR="00FA7EEB" w:rsidRPr="001570EA" w:rsidRDefault="00FA7EEB">
            <w:pPr>
              <w:pStyle w:val="TableCell"/>
              <w:keepNext w:val="0"/>
              <w:spacing w:before="60" w:after="60"/>
              <w:jc w:val="center"/>
              <w:rPr>
                <w:iCs/>
              </w:rPr>
            </w:pPr>
          </w:p>
        </w:tc>
      </w:tr>
    </w:tbl>
    <w:p w14:paraId="06FD914E" w14:textId="77777777" w:rsidR="00FA7EEB" w:rsidRPr="001570EA" w:rsidRDefault="00FA7EEB" w:rsidP="00FA7EEB">
      <w:pPr>
        <w:pStyle w:val="Caption"/>
        <w:keepNext w:val="0"/>
        <w:widowControl w:val="0"/>
      </w:pPr>
      <w:bookmarkStart w:id="1217" w:name="_Ref12550357"/>
      <w:bookmarkStart w:id="1218" w:name="_Toc47598375"/>
    </w:p>
    <w:p w14:paraId="48BC1AC7" w14:textId="55058EC6" w:rsidR="00FA7EEB" w:rsidRPr="001570EA" w:rsidRDefault="00FA7EEB" w:rsidP="00FA7EEB">
      <w:pPr>
        <w:pStyle w:val="Caption"/>
        <w:keepNext w:val="0"/>
        <w:widowControl w:val="0"/>
      </w:pPr>
      <w:bookmarkStart w:id="1219" w:name="_Ref163829485"/>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155</w:t>
      </w:r>
      <w:r w:rsidR="002E093A" w:rsidRPr="001570EA">
        <w:fldChar w:fldCharType="end"/>
      </w:r>
      <w:bookmarkEnd w:id="1219"/>
      <w:r w:rsidRPr="001570EA">
        <w:t>: Minimum Residential Baseline Gas-Fired Uniform Energy Factors Based on Storage Volume and Draw Pattern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350"/>
        <w:gridCol w:w="1544"/>
        <w:gridCol w:w="1544"/>
        <w:gridCol w:w="1829"/>
      </w:tblGrid>
      <w:tr w:rsidR="00FA7EEB" w:rsidRPr="001570EA" w14:paraId="084A2D03" w14:textId="77777777">
        <w:trPr>
          <w:tblHeader/>
        </w:trPr>
        <w:tc>
          <w:tcPr>
            <w:tcW w:w="2227" w:type="dxa"/>
            <w:shd w:val="clear" w:color="auto" w:fill="BFBFBF"/>
            <w:vAlign w:val="center"/>
          </w:tcPr>
          <w:p w14:paraId="735C1C08" w14:textId="77777777" w:rsidR="00FA7EEB" w:rsidRPr="001570EA" w:rsidRDefault="00FA7EEB">
            <w:pPr>
              <w:pStyle w:val="TableCell"/>
              <w:keepNext w:val="0"/>
              <w:widowControl w:val="0"/>
              <w:spacing w:before="60" w:after="60"/>
              <w:jc w:val="center"/>
              <w:rPr>
                <w:rFonts w:cs="Arial"/>
                <w:b/>
              </w:rPr>
            </w:pPr>
            <w:r w:rsidRPr="001570EA">
              <w:rPr>
                <w:rFonts w:cs="Arial"/>
                <w:b/>
                <w:i/>
                <w:iCs/>
              </w:rPr>
              <w:t>V</w:t>
            </w:r>
            <w:r w:rsidRPr="001570EA">
              <w:rPr>
                <w:rFonts w:cs="Arial"/>
                <w:b/>
                <w:i/>
                <w:iCs/>
                <w:vertAlign w:val="subscript"/>
              </w:rPr>
              <w:t>r</w:t>
            </w:r>
            <w:r w:rsidRPr="001570EA">
              <w:rPr>
                <w:rFonts w:cs="Arial"/>
                <w:b/>
              </w:rPr>
              <w:t xml:space="preserve">: Rated </w:t>
            </w:r>
            <w:r w:rsidRPr="001570EA">
              <w:rPr>
                <w:b/>
              </w:rPr>
              <w:t>Storage Volume</w:t>
            </w:r>
            <w:r w:rsidRPr="001570EA">
              <w:rPr>
                <w:rFonts w:cs="Arial"/>
                <w:b/>
              </w:rPr>
              <w:t xml:space="preserve"> (gallons)</w:t>
            </w:r>
          </w:p>
        </w:tc>
        <w:tc>
          <w:tcPr>
            <w:tcW w:w="1350" w:type="dxa"/>
            <w:shd w:val="clear" w:color="auto" w:fill="BFBFBF"/>
            <w:vAlign w:val="center"/>
          </w:tcPr>
          <w:p w14:paraId="2FAC53A5" w14:textId="77777777" w:rsidR="00FA7EEB" w:rsidRPr="001570EA" w:rsidRDefault="00FA7EEB">
            <w:pPr>
              <w:pStyle w:val="TableCell"/>
              <w:keepNext w:val="0"/>
              <w:widowControl w:val="0"/>
              <w:spacing w:before="60" w:after="60"/>
              <w:jc w:val="center"/>
              <w:rPr>
                <w:rFonts w:cs="Arial"/>
                <w:b/>
              </w:rPr>
            </w:pPr>
            <w:r w:rsidRPr="001570EA">
              <w:rPr>
                <w:rFonts w:cs="Arial"/>
                <w:b/>
              </w:rPr>
              <w:t>Draw Pattern</w:t>
            </w:r>
          </w:p>
        </w:tc>
        <w:tc>
          <w:tcPr>
            <w:tcW w:w="1544" w:type="dxa"/>
            <w:shd w:val="clear" w:color="auto" w:fill="BFBFBF"/>
            <w:vAlign w:val="center"/>
          </w:tcPr>
          <w:p w14:paraId="0111BAC9" w14:textId="77777777" w:rsidR="00FA7EEB" w:rsidRPr="001570EA" w:rsidRDefault="00FA7EEB">
            <w:pPr>
              <w:pStyle w:val="TableCell"/>
              <w:keepNext w:val="0"/>
              <w:widowControl w:val="0"/>
              <w:spacing w:before="60" w:after="60"/>
              <w:jc w:val="center"/>
              <w:rPr>
                <w:rFonts w:cs="Arial"/>
                <w:b/>
              </w:rPr>
            </w:pPr>
            <w:r w:rsidRPr="001570EA">
              <w:rPr>
                <w:rFonts w:cs="Arial"/>
                <w:b/>
              </w:rPr>
              <w:t>Max. Daily Hot Water Draw (gallons)</w:t>
            </w:r>
          </w:p>
        </w:tc>
        <w:tc>
          <w:tcPr>
            <w:tcW w:w="1544" w:type="dxa"/>
            <w:shd w:val="clear" w:color="auto" w:fill="BFBFBF"/>
            <w:vAlign w:val="center"/>
          </w:tcPr>
          <w:p w14:paraId="20375C55" w14:textId="77777777" w:rsidR="00FA7EEB" w:rsidRPr="001570EA" w:rsidRDefault="00FA7EEB">
            <w:pPr>
              <w:pStyle w:val="TableCell"/>
              <w:keepNext w:val="0"/>
              <w:widowControl w:val="0"/>
              <w:spacing w:before="60" w:after="60"/>
              <w:jc w:val="center"/>
              <w:rPr>
                <w:rFonts w:cs="Arial"/>
                <w:b/>
              </w:rPr>
            </w:pPr>
            <w:r w:rsidRPr="001570EA">
              <w:rPr>
                <w:rFonts w:cs="Arial"/>
                <w:b/>
              </w:rPr>
              <w:t>First Hour Rating (FHR) (gallons)</w:t>
            </w:r>
          </w:p>
        </w:tc>
        <w:tc>
          <w:tcPr>
            <w:tcW w:w="1829" w:type="dxa"/>
            <w:shd w:val="clear" w:color="auto" w:fill="BFBFBF"/>
            <w:vAlign w:val="center"/>
          </w:tcPr>
          <w:p w14:paraId="06DDDBE9" w14:textId="77777777" w:rsidR="00FA7EEB" w:rsidRPr="001570EA" w:rsidRDefault="00FA7EEB">
            <w:pPr>
              <w:pStyle w:val="TableCell"/>
              <w:keepNext w:val="0"/>
              <w:widowControl w:val="0"/>
              <w:spacing w:before="60" w:after="60"/>
              <w:jc w:val="center"/>
              <w:rPr>
                <w:rFonts w:cs="Arial"/>
                <w:b/>
              </w:rPr>
            </w:pPr>
            <w:r w:rsidRPr="001570EA">
              <w:rPr>
                <w:rFonts w:cs="Arial"/>
                <w:b/>
              </w:rPr>
              <w:t>UEF Calculation</w:t>
            </w:r>
          </w:p>
        </w:tc>
      </w:tr>
      <w:tr w:rsidR="00FA7EEB" w:rsidRPr="001570EA" w14:paraId="6359B4FC" w14:textId="77777777">
        <w:tc>
          <w:tcPr>
            <w:tcW w:w="2227" w:type="dxa"/>
            <w:vMerge w:val="restart"/>
          </w:tcPr>
          <w:p w14:paraId="20AD8021" w14:textId="77777777" w:rsidR="00FA7EEB" w:rsidRPr="001570EA" w:rsidRDefault="00FA7EEB">
            <w:pPr>
              <w:pStyle w:val="TableCell"/>
              <w:keepNext w:val="0"/>
              <w:widowControl w:val="0"/>
              <w:spacing w:before="60" w:after="60"/>
              <w:jc w:val="left"/>
              <w:rPr>
                <w:rFonts w:cs="Arial"/>
                <w:szCs w:val="18"/>
              </w:rPr>
            </w:pPr>
            <w:r w:rsidRPr="001570EA">
              <w:rPr>
                <w:rFonts w:cs="Arial"/>
                <w:szCs w:val="18"/>
              </w:rPr>
              <w:t>≥20 gal and ≤55 gal</w:t>
            </w:r>
          </w:p>
        </w:tc>
        <w:tc>
          <w:tcPr>
            <w:tcW w:w="1350" w:type="dxa"/>
          </w:tcPr>
          <w:p w14:paraId="3B193E61" w14:textId="77777777" w:rsidR="00FA7EEB" w:rsidRPr="001570EA" w:rsidRDefault="00FA7EEB">
            <w:pPr>
              <w:pStyle w:val="TableCell"/>
              <w:keepNext w:val="0"/>
              <w:widowControl w:val="0"/>
              <w:spacing w:before="60" w:after="60"/>
              <w:jc w:val="center"/>
              <w:rPr>
                <w:rFonts w:cs="Arial"/>
                <w:szCs w:val="18"/>
              </w:rPr>
            </w:pPr>
            <w:r w:rsidRPr="001570EA">
              <w:rPr>
                <w:rFonts w:cs="Arial"/>
                <w:szCs w:val="18"/>
              </w:rPr>
              <w:t>Very Small</w:t>
            </w:r>
          </w:p>
        </w:tc>
        <w:tc>
          <w:tcPr>
            <w:tcW w:w="1544" w:type="dxa"/>
            <w:vAlign w:val="center"/>
          </w:tcPr>
          <w:p w14:paraId="527ADCE7"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10</w:t>
            </w:r>
          </w:p>
        </w:tc>
        <w:tc>
          <w:tcPr>
            <w:tcW w:w="1544" w:type="dxa"/>
            <w:vAlign w:val="center"/>
          </w:tcPr>
          <w:p w14:paraId="4E795AFD"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 xml:space="preserve">0 </w:t>
            </w:r>
            <w:r w:rsidRPr="001570EA">
              <w:rPr>
                <w:rFonts w:cs="Arial"/>
                <w:szCs w:val="18"/>
              </w:rPr>
              <w:t>≤</w:t>
            </w:r>
            <w:r w:rsidRPr="001570EA">
              <w:rPr>
                <w:szCs w:val="18"/>
              </w:rPr>
              <w:t xml:space="preserve"> FHR &lt; 18</w:t>
            </w:r>
          </w:p>
        </w:tc>
        <w:tc>
          <w:tcPr>
            <w:tcW w:w="1829" w:type="dxa"/>
          </w:tcPr>
          <w:p w14:paraId="20A48A48" w14:textId="77777777" w:rsidR="00FA7EEB" w:rsidRPr="001570EA" w:rsidRDefault="00FA7EEB">
            <w:pPr>
              <w:pStyle w:val="TableCell"/>
              <w:keepNext w:val="0"/>
              <w:widowControl w:val="0"/>
              <w:spacing w:before="60" w:after="60"/>
              <w:jc w:val="center"/>
              <w:rPr>
                <w:rFonts w:cs="Arial"/>
                <w:szCs w:val="18"/>
              </w:rPr>
            </w:pPr>
            <w:r w:rsidRPr="001570EA">
              <w:t>0.3456 -(0.0020×V</w:t>
            </w:r>
            <w:r w:rsidRPr="001570EA">
              <w:rPr>
                <w:vertAlign w:val="subscript"/>
              </w:rPr>
              <w:t>r</w:t>
            </w:r>
            <w:r w:rsidRPr="001570EA">
              <w:t>)</w:t>
            </w:r>
          </w:p>
        </w:tc>
      </w:tr>
      <w:tr w:rsidR="00FA7EEB" w:rsidRPr="001570EA" w14:paraId="3E8B2B16" w14:textId="77777777">
        <w:tc>
          <w:tcPr>
            <w:tcW w:w="2227" w:type="dxa"/>
            <w:vMerge/>
          </w:tcPr>
          <w:p w14:paraId="038116AB" w14:textId="77777777" w:rsidR="00FA7EEB" w:rsidRPr="001570EA" w:rsidRDefault="00FA7EEB">
            <w:pPr>
              <w:pStyle w:val="TableCell"/>
              <w:keepNext w:val="0"/>
              <w:widowControl w:val="0"/>
              <w:spacing w:before="60" w:after="60"/>
              <w:jc w:val="left"/>
              <w:rPr>
                <w:rFonts w:cs="Arial"/>
                <w:szCs w:val="18"/>
              </w:rPr>
            </w:pPr>
          </w:p>
        </w:tc>
        <w:tc>
          <w:tcPr>
            <w:tcW w:w="1350" w:type="dxa"/>
          </w:tcPr>
          <w:p w14:paraId="0A4F5FE9" w14:textId="77777777" w:rsidR="00FA7EEB" w:rsidRPr="001570EA" w:rsidRDefault="00FA7EEB">
            <w:pPr>
              <w:pStyle w:val="TableCell"/>
              <w:keepNext w:val="0"/>
              <w:widowControl w:val="0"/>
              <w:spacing w:before="60" w:after="60"/>
              <w:jc w:val="center"/>
              <w:rPr>
                <w:rFonts w:cs="Arial"/>
                <w:szCs w:val="18"/>
              </w:rPr>
            </w:pPr>
            <w:r w:rsidRPr="001570EA">
              <w:rPr>
                <w:rFonts w:cs="Arial"/>
                <w:szCs w:val="18"/>
              </w:rPr>
              <w:t>Low</w:t>
            </w:r>
          </w:p>
        </w:tc>
        <w:tc>
          <w:tcPr>
            <w:tcW w:w="1544" w:type="dxa"/>
            <w:vAlign w:val="center"/>
          </w:tcPr>
          <w:p w14:paraId="221F338E"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38</w:t>
            </w:r>
          </w:p>
        </w:tc>
        <w:tc>
          <w:tcPr>
            <w:tcW w:w="1544" w:type="dxa"/>
            <w:vAlign w:val="center"/>
          </w:tcPr>
          <w:p w14:paraId="2209941F"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 xml:space="preserve">18 </w:t>
            </w:r>
            <w:r w:rsidRPr="001570EA">
              <w:rPr>
                <w:rFonts w:cs="Arial"/>
                <w:szCs w:val="18"/>
              </w:rPr>
              <w:t>≤</w:t>
            </w:r>
            <w:r w:rsidRPr="001570EA">
              <w:rPr>
                <w:szCs w:val="18"/>
              </w:rPr>
              <w:t xml:space="preserve"> FHR &lt; 51</w:t>
            </w:r>
          </w:p>
        </w:tc>
        <w:tc>
          <w:tcPr>
            <w:tcW w:w="1829" w:type="dxa"/>
          </w:tcPr>
          <w:p w14:paraId="64843251" w14:textId="77777777" w:rsidR="00FA7EEB" w:rsidRPr="001570EA" w:rsidRDefault="00FA7EEB">
            <w:pPr>
              <w:pStyle w:val="TableCell"/>
              <w:keepNext w:val="0"/>
              <w:widowControl w:val="0"/>
              <w:spacing w:before="60" w:after="60"/>
              <w:jc w:val="center"/>
              <w:rPr>
                <w:rFonts w:cs="Arial"/>
                <w:szCs w:val="18"/>
              </w:rPr>
            </w:pPr>
            <w:r w:rsidRPr="001570EA">
              <w:t>0.5982-(0.0019×V</w:t>
            </w:r>
            <w:r w:rsidRPr="001570EA">
              <w:rPr>
                <w:vertAlign w:val="subscript"/>
              </w:rPr>
              <w:t>r</w:t>
            </w:r>
            <w:r w:rsidRPr="001570EA">
              <w:t>)</w:t>
            </w:r>
          </w:p>
        </w:tc>
      </w:tr>
      <w:tr w:rsidR="00FA7EEB" w:rsidRPr="001570EA" w14:paraId="72CD2581" w14:textId="77777777">
        <w:tc>
          <w:tcPr>
            <w:tcW w:w="2227" w:type="dxa"/>
            <w:vMerge/>
          </w:tcPr>
          <w:p w14:paraId="7C00C6C7" w14:textId="77777777" w:rsidR="00FA7EEB" w:rsidRPr="001570EA" w:rsidRDefault="00FA7EEB">
            <w:pPr>
              <w:pStyle w:val="TableCell"/>
              <w:keepNext w:val="0"/>
              <w:widowControl w:val="0"/>
              <w:spacing w:before="60" w:after="60"/>
              <w:jc w:val="left"/>
              <w:rPr>
                <w:rFonts w:cs="Arial"/>
                <w:szCs w:val="18"/>
              </w:rPr>
            </w:pPr>
          </w:p>
        </w:tc>
        <w:tc>
          <w:tcPr>
            <w:tcW w:w="1350" w:type="dxa"/>
          </w:tcPr>
          <w:p w14:paraId="44D6ADB0" w14:textId="77777777" w:rsidR="00FA7EEB" w:rsidRPr="001570EA" w:rsidRDefault="00FA7EEB">
            <w:pPr>
              <w:pStyle w:val="TableCell"/>
              <w:keepNext w:val="0"/>
              <w:widowControl w:val="0"/>
              <w:spacing w:before="60" w:after="60"/>
              <w:jc w:val="center"/>
              <w:rPr>
                <w:rFonts w:cs="Arial"/>
                <w:szCs w:val="18"/>
              </w:rPr>
            </w:pPr>
            <w:r w:rsidRPr="001570EA">
              <w:rPr>
                <w:rFonts w:cs="Arial"/>
                <w:szCs w:val="18"/>
              </w:rPr>
              <w:t>Medium</w:t>
            </w:r>
          </w:p>
        </w:tc>
        <w:tc>
          <w:tcPr>
            <w:tcW w:w="1544" w:type="dxa"/>
            <w:vAlign w:val="center"/>
          </w:tcPr>
          <w:p w14:paraId="7AD21A44"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55</w:t>
            </w:r>
          </w:p>
        </w:tc>
        <w:tc>
          <w:tcPr>
            <w:tcW w:w="1544" w:type="dxa"/>
            <w:vAlign w:val="center"/>
          </w:tcPr>
          <w:p w14:paraId="6946A108"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 xml:space="preserve">51 </w:t>
            </w:r>
            <w:r w:rsidRPr="001570EA">
              <w:rPr>
                <w:rFonts w:cs="Arial"/>
                <w:szCs w:val="18"/>
              </w:rPr>
              <w:t>≤</w:t>
            </w:r>
            <w:r w:rsidRPr="001570EA">
              <w:rPr>
                <w:szCs w:val="18"/>
              </w:rPr>
              <w:t xml:space="preserve"> FHR &lt; 75</w:t>
            </w:r>
          </w:p>
        </w:tc>
        <w:tc>
          <w:tcPr>
            <w:tcW w:w="1829" w:type="dxa"/>
          </w:tcPr>
          <w:p w14:paraId="559C9356" w14:textId="77777777" w:rsidR="00FA7EEB" w:rsidRPr="001570EA" w:rsidRDefault="00FA7EEB">
            <w:pPr>
              <w:pStyle w:val="TableCell"/>
              <w:keepNext w:val="0"/>
              <w:widowControl w:val="0"/>
              <w:spacing w:before="60" w:after="60"/>
              <w:jc w:val="center"/>
              <w:rPr>
                <w:rFonts w:cs="Arial"/>
                <w:szCs w:val="18"/>
              </w:rPr>
            </w:pPr>
            <w:r w:rsidRPr="001570EA">
              <w:t>0.6483-(0.0017×V</w:t>
            </w:r>
            <w:r w:rsidRPr="001570EA">
              <w:rPr>
                <w:vertAlign w:val="subscript"/>
              </w:rPr>
              <w:t>r</w:t>
            </w:r>
            <w:r w:rsidRPr="001570EA">
              <w:t>)</w:t>
            </w:r>
          </w:p>
        </w:tc>
      </w:tr>
      <w:tr w:rsidR="00FA7EEB" w:rsidRPr="001570EA" w14:paraId="3340B89A" w14:textId="77777777">
        <w:tc>
          <w:tcPr>
            <w:tcW w:w="2227" w:type="dxa"/>
            <w:vMerge/>
          </w:tcPr>
          <w:p w14:paraId="4324A8D8" w14:textId="77777777" w:rsidR="00FA7EEB" w:rsidRPr="001570EA" w:rsidRDefault="00FA7EEB">
            <w:pPr>
              <w:pStyle w:val="TableCell"/>
              <w:keepNext w:val="0"/>
              <w:widowControl w:val="0"/>
              <w:spacing w:before="60" w:after="60"/>
              <w:jc w:val="left"/>
              <w:rPr>
                <w:rFonts w:cs="Arial"/>
                <w:szCs w:val="18"/>
              </w:rPr>
            </w:pPr>
          </w:p>
        </w:tc>
        <w:tc>
          <w:tcPr>
            <w:tcW w:w="1350" w:type="dxa"/>
          </w:tcPr>
          <w:p w14:paraId="706E3E5B" w14:textId="77777777" w:rsidR="00FA7EEB" w:rsidRPr="001570EA" w:rsidRDefault="00FA7EEB">
            <w:pPr>
              <w:pStyle w:val="TableCell"/>
              <w:keepNext w:val="0"/>
              <w:widowControl w:val="0"/>
              <w:spacing w:before="60" w:after="60"/>
              <w:jc w:val="center"/>
              <w:rPr>
                <w:rFonts w:cs="Arial"/>
                <w:szCs w:val="18"/>
              </w:rPr>
            </w:pPr>
            <w:r w:rsidRPr="001570EA">
              <w:rPr>
                <w:rFonts w:cs="Arial"/>
                <w:szCs w:val="18"/>
              </w:rPr>
              <w:t>H</w:t>
            </w:r>
            <w:r w:rsidRPr="001570EA">
              <w:rPr>
                <w:szCs w:val="18"/>
              </w:rPr>
              <w:t>igh</w:t>
            </w:r>
          </w:p>
        </w:tc>
        <w:tc>
          <w:tcPr>
            <w:tcW w:w="1544" w:type="dxa"/>
            <w:vAlign w:val="center"/>
          </w:tcPr>
          <w:p w14:paraId="505B2BBC"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84</w:t>
            </w:r>
          </w:p>
        </w:tc>
        <w:tc>
          <w:tcPr>
            <w:tcW w:w="1544" w:type="dxa"/>
            <w:vAlign w:val="center"/>
          </w:tcPr>
          <w:p w14:paraId="54A99CBE"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 xml:space="preserve">FHR </w:t>
            </w:r>
            <w:r w:rsidRPr="001570EA">
              <w:rPr>
                <w:rFonts w:cs="Arial"/>
                <w:szCs w:val="18"/>
              </w:rPr>
              <w:t>≥</w:t>
            </w:r>
            <w:r w:rsidRPr="001570EA">
              <w:rPr>
                <w:szCs w:val="18"/>
              </w:rPr>
              <w:t xml:space="preserve"> 75</w:t>
            </w:r>
          </w:p>
        </w:tc>
        <w:tc>
          <w:tcPr>
            <w:tcW w:w="1829" w:type="dxa"/>
          </w:tcPr>
          <w:p w14:paraId="09EF0FE0" w14:textId="77777777" w:rsidR="00FA7EEB" w:rsidRPr="001570EA" w:rsidRDefault="00FA7EEB">
            <w:pPr>
              <w:pStyle w:val="TableCell"/>
              <w:keepNext w:val="0"/>
              <w:widowControl w:val="0"/>
              <w:spacing w:before="60" w:after="60"/>
              <w:jc w:val="center"/>
              <w:rPr>
                <w:rFonts w:cs="Arial"/>
                <w:szCs w:val="18"/>
              </w:rPr>
            </w:pPr>
            <w:r w:rsidRPr="001570EA">
              <w:t>0.6920-(0.0013×V</w:t>
            </w:r>
            <w:r w:rsidRPr="001570EA">
              <w:rPr>
                <w:vertAlign w:val="subscript"/>
              </w:rPr>
              <w:t>r</w:t>
            </w:r>
            <w:r w:rsidRPr="001570EA">
              <w:t>)</w:t>
            </w:r>
          </w:p>
        </w:tc>
      </w:tr>
      <w:tr w:rsidR="00FA7EEB" w:rsidRPr="001570EA" w14:paraId="4D979E14" w14:textId="77777777">
        <w:tc>
          <w:tcPr>
            <w:tcW w:w="2227" w:type="dxa"/>
            <w:vMerge w:val="restart"/>
          </w:tcPr>
          <w:p w14:paraId="54F6B693" w14:textId="77777777" w:rsidR="00FA7EEB" w:rsidRPr="001570EA" w:rsidRDefault="00FA7EEB">
            <w:pPr>
              <w:pStyle w:val="TableCell"/>
              <w:keepNext w:val="0"/>
              <w:widowControl w:val="0"/>
              <w:spacing w:before="60" w:after="60"/>
              <w:jc w:val="left"/>
              <w:rPr>
                <w:rFonts w:cs="Arial"/>
                <w:szCs w:val="18"/>
              </w:rPr>
            </w:pPr>
            <w:r w:rsidRPr="001570EA">
              <w:rPr>
                <w:rFonts w:cs="Arial"/>
                <w:szCs w:val="18"/>
              </w:rPr>
              <w:t>&gt;55 gal and ≤120 gal</w:t>
            </w:r>
          </w:p>
        </w:tc>
        <w:tc>
          <w:tcPr>
            <w:tcW w:w="1350" w:type="dxa"/>
          </w:tcPr>
          <w:p w14:paraId="17C6FBF3" w14:textId="77777777" w:rsidR="00FA7EEB" w:rsidRPr="001570EA" w:rsidRDefault="00FA7EEB">
            <w:pPr>
              <w:pStyle w:val="TableCell"/>
              <w:keepNext w:val="0"/>
              <w:widowControl w:val="0"/>
              <w:spacing w:before="60" w:after="60"/>
              <w:jc w:val="center"/>
              <w:rPr>
                <w:rFonts w:cs="Arial"/>
                <w:szCs w:val="18"/>
              </w:rPr>
            </w:pPr>
            <w:r w:rsidRPr="001570EA">
              <w:rPr>
                <w:rFonts w:cs="Arial"/>
                <w:szCs w:val="18"/>
              </w:rPr>
              <w:t>Very Small</w:t>
            </w:r>
          </w:p>
        </w:tc>
        <w:tc>
          <w:tcPr>
            <w:tcW w:w="1544" w:type="dxa"/>
            <w:vAlign w:val="center"/>
          </w:tcPr>
          <w:p w14:paraId="47BC44E3"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10</w:t>
            </w:r>
          </w:p>
        </w:tc>
        <w:tc>
          <w:tcPr>
            <w:tcW w:w="1544" w:type="dxa"/>
            <w:vAlign w:val="center"/>
          </w:tcPr>
          <w:p w14:paraId="1CAB875E"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 xml:space="preserve">0 </w:t>
            </w:r>
            <w:r w:rsidRPr="001570EA">
              <w:rPr>
                <w:rFonts w:cs="Arial"/>
                <w:szCs w:val="18"/>
              </w:rPr>
              <w:t>≤</w:t>
            </w:r>
            <w:r w:rsidRPr="001570EA">
              <w:rPr>
                <w:szCs w:val="18"/>
              </w:rPr>
              <w:t xml:space="preserve"> FHR &lt; 18</w:t>
            </w:r>
          </w:p>
        </w:tc>
        <w:tc>
          <w:tcPr>
            <w:tcW w:w="1829" w:type="dxa"/>
          </w:tcPr>
          <w:p w14:paraId="7B74DEE3" w14:textId="77777777" w:rsidR="00FA7EEB" w:rsidRPr="001570EA" w:rsidRDefault="00FA7EEB">
            <w:pPr>
              <w:pStyle w:val="TableCell"/>
              <w:keepNext w:val="0"/>
              <w:widowControl w:val="0"/>
              <w:spacing w:before="60" w:after="60"/>
              <w:jc w:val="center"/>
              <w:rPr>
                <w:rFonts w:cs="Arial"/>
                <w:szCs w:val="18"/>
              </w:rPr>
            </w:pPr>
            <w:r w:rsidRPr="001570EA">
              <w:t>0.6470-(0.0006×V</w:t>
            </w:r>
            <w:r w:rsidRPr="001570EA">
              <w:rPr>
                <w:vertAlign w:val="subscript"/>
              </w:rPr>
              <w:t>r</w:t>
            </w:r>
            <w:r w:rsidRPr="001570EA">
              <w:t>)</w:t>
            </w:r>
          </w:p>
        </w:tc>
      </w:tr>
      <w:tr w:rsidR="00FA7EEB" w:rsidRPr="001570EA" w14:paraId="6BECCBE6" w14:textId="77777777">
        <w:tc>
          <w:tcPr>
            <w:tcW w:w="2227" w:type="dxa"/>
            <w:vMerge/>
          </w:tcPr>
          <w:p w14:paraId="4C984998" w14:textId="77777777" w:rsidR="00FA7EEB" w:rsidRPr="001570EA" w:rsidRDefault="00FA7EEB">
            <w:pPr>
              <w:pStyle w:val="TableCell"/>
              <w:keepNext w:val="0"/>
              <w:widowControl w:val="0"/>
              <w:spacing w:before="60" w:after="60"/>
              <w:jc w:val="left"/>
              <w:rPr>
                <w:rFonts w:cs="Arial"/>
                <w:szCs w:val="18"/>
              </w:rPr>
            </w:pPr>
          </w:p>
        </w:tc>
        <w:tc>
          <w:tcPr>
            <w:tcW w:w="1350" w:type="dxa"/>
          </w:tcPr>
          <w:p w14:paraId="094C2E61" w14:textId="77777777" w:rsidR="00FA7EEB" w:rsidRPr="001570EA" w:rsidRDefault="00FA7EEB">
            <w:pPr>
              <w:pStyle w:val="TableCell"/>
              <w:keepNext w:val="0"/>
              <w:widowControl w:val="0"/>
              <w:spacing w:before="60" w:after="60"/>
              <w:jc w:val="center"/>
              <w:rPr>
                <w:rFonts w:cs="Arial"/>
                <w:szCs w:val="18"/>
              </w:rPr>
            </w:pPr>
            <w:r w:rsidRPr="001570EA">
              <w:rPr>
                <w:rFonts w:cs="Arial"/>
                <w:szCs w:val="18"/>
              </w:rPr>
              <w:t>Low</w:t>
            </w:r>
          </w:p>
        </w:tc>
        <w:tc>
          <w:tcPr>
            <w:tcW w:w="1544" w:type="dxa"/>
            <w:vAlign w:val="center"/>
          </w:tcPr>
          <w:p w14:paraId="4A9BF0C4"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38</w:t>
            </w:r>
          </w:p>
        </w:tc>
        <w:tc>
          <w:tcPr>
            <w:tcW w:w="1544" w:type="dxa"/>
            <w:vAlign w:val="center"/>
          </w:tcPr>
          <w:p w14:paraId="5B706B83"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 xml:space="preserve">18 </w:t>
            </w:r>
            <w:r w:rsidRPr="001570EA">
              <w:rPr>
                <w:rFonts w:cs="Arial"/>
                <w:szCs w:val="18"/>
              </w:rPr>
              <w:t>≤</w:t>
            </w:r>
            <w:r w:rsidRPr="001570EA">
              <w:rPr>
                <w:szCs w:val="18"/>
              </w:rPr>
              <w:t xml:space="preserve"> FHR &lt; 51</w:t>
            </w:r>
          </w:p>
        </w:tc>
        <w:tc>
          <w:tcPr>
            <w:tcW w:w="1829" w:type="dxa"/>
          </w:tcPr>
          <w:p w14:paraId="02D97867" w14:textId="77777777" w:rsidR="00FA7EEB" w:rsidRPr="001570EA" w:rsidRDefault="00FA7EEB">
            <w:pPr>
              <w:pStyle w:val="TableCell"/>
              <w:keepNext w:val="0"/>
              <w:widowControl w:val="0"/>
              <w:spacing w:before="60" w:after="60"/>
              <w:jc w:val="center"/>
              <w:rPr>
                <w:rFonts w:cs="Arial"/>
                <w:szCs w:val="18"/>
              </w:rPr>
            </w:pPr>
            <w:r w:rsidRPr="001570EA">
              <w:t>0.7689-(0.0005×V</w:t>
            </w:r>
            <w:r w:rsidRPr="001570EA">
              <w:rPr>
                <w:vertAlign w:val="subscript"/>
              </w:rPr>
              <w:t>r</w:t>
            </w:r>
            <w:r w:rsidRPr="001570EA">
              <w:t>)</w:t>
            </w:r>
          </w:p>
        </w:tc>
      </w:tr>
      <w:tr w:rsidR="00FA7EEB" w:rsidRPr="001570EA" w14:paraId="3C595228" w14:textId="77777777">
        <w:tc>
          <w:tcPr>
            <w:tcW w:w="2227" w:type="dxa"/>
            <w:vMerge/>
          </w:tcPr>
          <w:p w14:paraId="76573781" w14:textId="77777777" w:rsidR="00FA7EEB" w:rsidRPr="001570EA" w:rsidRDefault="00FA7EEB">
            <w:pPr>
              <w:pStyle w:val="TableCell"/>
              <w:keepNext w:val="0"/>
              <w:widowControl w:val="0"/>
              <w:spacing w:before="60" w:after="60"/>
              <w:jc w:val="left"/>
              <w:rPr>
                <w:rFonts w:cs="Arial"/>
                <w:szCs w:val="18"/>
              </w:rPr>
            </w:pPr>
          </w:p>
        </w:tc>
        <w:tc>
          <w:tcPr>
            <w:tcW w:w="1350" w:type="dxa"/>
          </w:tcPr>
          <w:p w14:paraId="0AF957DD" w14:textId="77777777" w:rsidR="00FA7EEB" w:rsidRPr="001570EA" w:rsidRDefault="00FA7EEB">
            <w:pPr>
              <w:pStyle w:val="TableCell"/>
              <w:keepNext w:val="0"/>
              <w:widowControl w:val="0"/>
              <w:spacing w:before="60" w:after="60"/>
              <w:jc w:val="center"/>
              <w:rPr>
                <w:rFonts w:cs="Arial"/>
                <w:szCs w:val="18"/>
              </w:rPr>
            </w:pPr>
            <w:r w:rsidRPr="001570EA">
              <w:rPr>
                <w:rFonts w:cs="Arial"/>
                <w:szCs w:val="18"/>
              </w:rPr>
              <w:t>Medium</w:t>
            </w:r>
          </w:p>
        </w:tc>
        <w:tc>
          <w:tcPr>
            <w:tcW w:w="1544" w:type="dxa"/>
            <w:vAlign w:val="center"/>
          </w:tcPr>
          <w:p w14:paraId="1AAC607A"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55</w:t>
            </w:r>
          </w:p>
        </w:tc>
        <w:tc>
          <w:tcPr>
            <w:tcW w:w="1544" w:type="dxa"/>
            <w:vAlign w:val="center"/>
          </w:tcPr>
          <w:p w14:paraId="61FDDBB8"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 xml:space="preserve">51 </w:t>
            </w:r>
            <w:r w:rsidRPr="001570EA">
              <w:rPr>
                <w:rFonts w:cs="Arial"/>
                <w:szCs w:val="18"/>
              </w:rPr>
              <w:t>≤</w:t>
            </w:r>
            <w:r w:rsidRPr="001570EA">
              <w:rPr>
                <w:szCs w:val="18"/>
              </w:rPr>
              <w:t xml:space="preserve"> FHR &lt; 75</w:t>
            </w:r>
          </w:p>
        </w:tc>
        <w:tc>
          <w:tcPr>
            <w:tcW w:w="1829" w:type="dxa"/>
          </w:tcPr>
          <w:p w14:paraId="62E312E9" w14:textId="77777777" w:rsidR="00FA7EEB" w:rsidRPr="001570EA" w:rsidRDefault="00FA7EEB">
            <w:pPr>
              <w:pStyle w:val="TableCell"/>
              <w:keepNext w:val="0"/>
              <w:widowControl w:val="0"/>
              <w:spacing w:before="60" w:after="60"/>
              <w:jc w:val="center"/>
              <w:rPr>
                <w:rFonts w:cs="Arial"/>
                <w:szCs w:val="18"/>
              </w:rPr>
            </w:pPr>
            <w:r w:rsidRPr="001570EA">
              <w:t>0.7897-(0.0004×V</w:t>
            </w:r>
            <w:r w:rsidRPr="001570EA">
              <w:rPr>
                <w:vertAlign w:val="subscript"/>
              </w:rPr>
              <w:t>r</w:t>
            </w:r>
            <w:r w:rsidRPr="001570EA">
              <w:t>)</w:t>
            </w:r>
          </w:p>
        </w:tc>
      </w:tr>
      <w:tr w:rsidR="00FA7EEB" w:rsidRPr="001570EA" w14:paraId="45B539EC" w14:textId="77777777">
        <w:tc>
          <w:tcPr>
            <w:tcW w:w="2227" w:type="dxa"/>
            <w:vMerge/>
          </w:tcPr>
          <w:p w14:paraId="49B19662" w14:textId="77777777" w:rsidR="00FA7EEB" w:rsidRPr="001570EA" w:rsidRDefault="00FA7EEB">
            <w:pPr>
              <w:pStyle w:val="TableCell"/>
              <w:keepNext w:val="0"/>
              <w:widowControl w:val="0"/>
              <w:spacing w:before="60" w:after="60"/>
              <w:jc w:val="left"/>
              <w:rPr>
                <w:rFonts w:cs="Arial"/>
                <w:szCs w:val="18"/>
              </w:rPr>
            </w:pPr>
          </w:p>
        </w:tc>
        <w:tc>
          <w:tcPr>
            <w:tcW w:w="1350" w:type="dxa"/>
          </w:tcPr>
          <w:p w14:paraId="3CE2FCE0" w14:textId="77777777" w:rsidR="00FA7EEB" w:rsidRPr="001570EA" w:rsidRDefault="00FA7EEB">
            <w:pPr>
              <w:pStyle w:val="TableCell"/>
              <w:keepNext w:val="0"/>
              <w:widowControl w:val="0"/>
              <w:spacing w:before="60" w:after="60"/>
              <w:jc w:val="center"/>
              <w:rPr>
                <w:rFonts w:cs="Arial"/>
                <w:szCs w:val="18"/>
              </w:rPr>
            </w:pPr>
            <w:r w:rsidRPr="001570EA">
              <w:rPr>
                <w:rFonts w:cs="Arial"/>
                <w:szCs w:val="18"/>
              </w:rPr>
              <w:t>Hi</w:t>
            </w:r>
            <w:r w:rsidRPr="001570EA">
              <w:rPr>
                <w:szCs w:val="18"/>
              </w:rPr>
              <w:t>gh</w:t>
            </w:r>
          </w:p>
        </w:tc>
        <w:tc>
          <w:tcPr>
            <w:tcW w:w="1544" w:type="dxa"/>
            <w:vAlign w:val="center"/>
          </w:tcPr>
          <w:p w14:paraId="6B0BFDF5"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84</w:t>
            </w:r>
          </w:p>
        </w:tc>
        <w:tc>
          <w:tcPr>
            <w:tcW w:w="1544" w:type="dxa"/>
            <w:vAlign w:val="center"/>
          </w:tcPr>
          <w:p w14:paraId="461A7F03" w14:textId="77777777" w:rsidR="00FA7EEB" w:rsidRPr="001570EA" w:rsidRDefault="00FA7EEB">
            <w:pPr>
              <w:pStyle w:val="TableCell"/>
              <w:keepNext w:val="0"/>
              <w:widowControl w:val="0"/>
              <w:spacing w:before="60" w:after="60"/>
              <w:jc w:val="center"/>
              <w:rPr>
                <w:rFonts w:cs="Arial"/>
                <w:color w:val="000000"/>
                <w:szCs w:val="18"/>
              </w:rPr>
            </w:pPr>
            <w:r w:rsidRPr="001570EA">
              <w:rPr>
                <w:szCs w:val="18"/>
              </w:rPr>
              <w:t xml:space="preserve">FHR </w:t>
            </w:r>
            <w:r w:rsidRPr="001570EA">
              <w:rPr>
                <w:rFonts w:cs="Arial"/>
                <w:szCs w:val="18"/>
              </w:rPr>
              <w:t>≥</w:t>
            </w:r>
            <w:r w:rsidRPr="001570EA">
              <w:rPr>
                <w:szCs w:val="18"/>
              </w:rPr>
              <w:t xml:space="preserve"> 75</w:t>
            </w:r>
          </w:p>
        </w:tc>
        <w:tc>
          <w:tcPr>
            <w:tcW w:w="1829" w:type="dxa"/>
          </w:tcPr>
          <w:p w14:paraId="01877C39" w14:textId="77777777" w:rsidR="00FA7EEB" w:rsidRPr="001570EA" w:rsidRDefault="00FA7EEB">
            <w:pPr>
              <w:pStyle w:val="TableCell"/>
              <w:keepNext w:val="0"/>
              <w:widowControl w:val="0"/>
              <w:spacing w:before="60" w:after="60"/>
              <w:jc w:val="center"/>
              <w:rPr>
                <w:rFonts w:cs="Arial"/>
                <w:szCs w:val="18"/>
              </w:rPr>
            </w:pPr>
            <w:r w:rsidRPr="001570EA">
              <w:t>0.8072-(0.0003×V</w:t>
            </w:r>
            <w:r w:rsidRPr="001570EA">
              <w:rPr>
                <w:vertAlign w:val="subscript"/>
              </w:rPr>
              <w:t>r</w:t>
            </w:r>
            <w:r w:rsidRPr="001570EA">
              <w:t>)</w:t>
            </w:r>
          </w:p>
        </w:tc>
      </w:tr>
      <w:tr w:rsidR="00FA7EEB" w:rsidRPr="001570EA" w14:paraId="47082CB5" w14:textId="77777777">
        <w:tc>
          <w:tcPr>
            <w:tcW w:w="2227" w:type="dxa"/>
            <w:vMerge w:val="restart"/>
          </w:tcPr>
          <w:p w14:paraId="547BFACF" w14:textId="77777777" w:rsidR="00FA7EEB" w:rsidRPr="001570EA" w:rsidRDefault="00FA7EEB">
            <w:pPr>
              <w:pStyle w:val="TableCell"/>
              <w:keepNext w:val="0"/>
              <w:widowControl w:val="0"/>
              <w:spacing w:before="60" w:after="60"/>
              <w:jc w:val="left"/>
              <w:rPr>
                <w:rFonts w:cs="Arial"/>
                <w:szCs w:val="18"/>
              </w:rPr>
            </w:pPr>
            <w:r w:rsidRPr="001570EA">
              <w:rPr>
                <w:rFonts w:cs="Arial"/>
                <w:szCs w:val="18"/>
              </w:rPr>
              <w:t>Instantaneous</w:t>
            </w:r>
          </w:p>
          <w:p w14:paraId="3351C7F8" w14:textId="77777777" w:rsidR="00FA7EEB" w:rsidRPr="001570EA" w:rsidRDefault="00FA7EEB">
            <w:pPr>
              <w:pStyle w:val="TableCell"/>
              <w:keepNext w:val="0"/>
              <w:widowControl w:val="0"/>
              <w:spacing w:before="60" w:after="60"/>
              <w:jc w:val="left"/>
              <w:rPr>
                <w:rFonts w:cs="Arial"/>
                <w:b/>
                <w:bCs/>
                <w:szCs w:val="18"/>
              </w:rPr>
            </w:pPr>
            <w:r w:rsidRPr="001570EA">
              <w:rPr>
                <w:rFonts w:cs="Arial"/>
                <w:szCs w:val="18"/>
              </w:rPr>
              <w:t>≤2 gal and &gt;50 kBTU/h</w:t>
            </w:r>
          </w:p>
        </w:tc>
        <w:tc>
          <w:tcPr>
            <w:tcW w:w="1350" w:type="dxa"/>
          </w:tcPr>
          <w:p w14:paraId="637136BB" w14:textId="77777777" w:rsidR="00FA7EEB" w:rsidRPr="001570EA" w:rsidRDefault="00FA7EEB">
            <w:pPr>
              <w:pStyle w:val="TableCell"/>
              <w:keepNext w:val="0"/>
              <w:widowControl w:val="0"/>
              <w:spacing w:before="60" w:after="60"/>
              <w:jc w:val="center"/>
              <w:rPr>
                <w:rFonts w:cs="Arial"/>
                <w:szCs w:val="18"/>
              </w:rPr>
            </w:pPr>
            <w:r w:rsidRPr="001570EA">
              <w:rPr>
                <w:rFonts w:cs="Arial"/>
                <w:szCs w:val="18"/>
              </w:rPr>
              <w:t>Very Small</w:t>
            </w:r>
          </w:p>
        </w:tc>
        <w:tc>
          <w:tcPr>
            <w:tcW w:w="1544" w:type="dxa"/>
            <w:vAlign w:val="center"/>
          </w:tcPr>
          <w:p w14:paraId="094D8246" w14:textId="77777777" w:rsidR="00FA7EEB" w:rsidRPr="001570EA" w:rsidRDefault="00FA7EEB">
            <w:pPr>
              <w:pStyle w:val="TableCell"/>
              <w:keepNext w:val="0"/>
              <w:widowControl w:val="0"/>
              <w:spacing w:before="60" w:after="60"/>
              <w:jc w:val="center"/>
              <w:rPr>
                <w:szCs w:val="18"/>
              </w:rPr>
            </w:pPr>
            <w:r w:rsidRPr="001570EA">
              <w:rPr>
                <w:szCs w:val="18"/>
              </w:rPr>
              <w:t>10</w:t>
            </w:r>
          </w:p>
        </w:tc>
        <w:tc>
          <w:tcPr>
            <w:tcW w:w="1544" w:type="dxa"/>
            <w:vAlign w:val="center"/>
          </w:tcPr>
          <w:p w14:paraId="7D8B5ED7" w14:textId="77777777" w:rsidR="00FA7EEB" w:rsidRPr="001570EA" w:rsidRDefault="00FA7EEB">
            <w:pPr>
              <w:pStyle w:val="TableCell"/>
              <w:keepNext w:val="0"/>
              <w:widowControl w:val="0"/>
              <w:spacing w:before="60" w:after="60"/>
              <w:jc w:val="center"/>
              <w:rPr>
                <w:szCs w:val="18"/>
              </w:rPr>
            </w:pPr>
            <w:r w:rsidRPr="001570EA">
              <w:rPr>
                <w:szCs w:val="18"/>
              </w:rPr>
              <w:t xml:space="preserve">0 </w:t>
            </w:r>
            <w:r w:rsidRPr="001570EA">
              <w:rPr>
                <w:rFonts w:cs="Arial"/>
                <w:szCs w:val="18"/>
              </w:rPr>
              <w:t>≤</w:t>
            </w:r>
            <w:r w:rsidRPr="001570EA">
              <w:rPr>
                <w:szCs w:val="18"/>
              </w:rPr>
              <w:t xml:space="preserve"> FHR &lt; 18</w:t>
            </w:r>
          </w:p>
        </w:tc>
        <w:tc>
          <w:tcPr>
            <w:tcW w:w="1829" w:type="dxa"/>
            <w:vAlign w:val="bottom"/>
          </w:tcPr>
          <w:p w14:paraId="66C24CC6" w14:textId="77777777" w:rsidR="00FA7EEB" w:rsidRPr="001570EA" w:rsidRDefault="00FA7EEB">
            <w:pPr>
              <w:pStyle w:val="TableCell"/>
              <w:keepNext w:val="0"/>
              <w:widowControl w:val="0"/>
              <w:spacing w:before="60" w:after="60"/>
              <w:jc w:val="center"/>
              <w:rPr>
                <w:rFonts w:cs="Arial"/>
                <w:color w:val="000000"/>
                <w:szCs w:val="18"/>
              </w:rPr>
            </w:pPr>
            <w:r w:rsidRPr="001570EA">
              <w:rPr>
                <w:rFonts w:cs="Arial"/>
                <w:color w:val="000000"/>
                <w:szCs w:val="18"/>
              </w:rPr>
              <w:t>0.80</w:t>
            </w:r>
          </w:p>
        </w:tc>
      </w:tr>
      <w:tr w:rsidR="00FA7EEB" w:rsidRPr="001570EA" w14:paraId="703CFB08" w14:textId="77777777">
        <w:tc>
          <w:tcPr>
            <w:tcW w:w="2227" w:type="dxa"/>
            <w:vMerge/>
          </w:tcPr>
          <w:p w14:paraId="1FA8015C" w14:textId="77777777" w:rsidR="00FA7EEB" w:rsidRPr="001570EA" w:rsidRDefault="00FA7EEB">
            <w:pPr>
              <w:pStyle w:val="TableCell"/>
              <w:keepNext w:val="0"/>
              <w:widowControl w:val="0"/>
              <w:spacing w:before="60" w:after="60"/>
              <w:jc w:val="left"/>
              <w:rPr>
                <w:rFonts w:cs="Arial"/>
                <w:szCs w:val="18"/>
              </w:rPr>
            </w:pPr>
          </w:p>
        </w:tc>
        <w:tc>
          <w:tcPr>
            <w:tcW w:w="1350" w:type="dxa"/>
          </w:tcPr>
          <w:p w14:paraId="0B48E597" w14:textId="77777777" w:rsidR="00FA7EEB" w:rsidRPr="001570EA" w:rsidRDefault="00FA7EEB">
            <w:pPr>
              <w:pStyle w:val="TableCell"/>
              <w:keepNext w:val="0"/>
              <w:widowControl w:val="0"/>
              <w:spacing w:before="60" w:after="60"/>
              <w:jc w:val="center"/>
              <w:rPr>
                <w:rFonts w:cs="Arial"/>
                <w:szCs w:val="18"/>
              </w:rPr>
            </w:pPr>
            <w:r w:rsidRPr="001570EA">
              <w:rPr>
                <w:rFonts w:cs="Arial"/>
                <w:szCs w:val="18"/>
              </w:rPr>
              <w:t>Low</w:t>
            </w:r>
          </w:p>
        </w:tc>
        <w:tc>
          <w:tcPr>
            <w:tcW w:w="1544" w:type="dxa"/>
            <w:vAlign w:val="center"/>
          </w:tcPr>
          <w:p w14:paraId="069C8A0E" w14:textId="77777777" w:rsidR="00FA7EEB" w:rsidRPr="001570EA" w:rsidRDefault="00FA7EEB">
            <w:pPr>
              <w:pStyle w:val="TableCell"/>
              <w:keepNext w:val="0"/>
              <w:widowControl w:val="0"/>
              <w:spacing w:before="60" w:after="60"/>
              <w:jc w:val="center"/>
              <w:rPr>
                <w:szCs w:val="18"/>
              </w:rPr>
            </w:pPr>
            <w:r w:rsidRPr="001570EA">
              <w:rPr>
                <w:szCs w:val="18"/>
              </w:rPr>
              <w:t>38</w:t>
            </w:r>
          </w:p>
        </w:tc>
        <w:tc>
          <w:tcPr>
            <w:tcW w:w="1544" w:type="dxa"/>
            <w:vAlign w:val="center"/>
          </w:tcPr>
          <w:p w14:paraId="3E68F767" w14:textId="77777777" w:rsidR="00FA7EEB" w:rsidRPr="001570EA" w:rsidRDefault="00FA7EEB">
            <w:pPr>
              <w:pStyle w:val="TableCell"/>
              <w:keepNext w:val="0"/>
              <w:widowControl w:val="0"/>
              <w:spacing w:before="60" w:after="60"/>
              <w:jc w:val="center"/>
              <w:rPr>
                <w:szCs w:val="18"/>
              </w:rPr>
            </w:pPr>
            <w:r w:rsidRPr="001570EA">
              <w:rPr>
                <w:szCs w:val="18"/>
              </w:rPr>
              <w:t xml:space="preserve">18 </w:t>
            </w:r>
            <w:r w:rsidRPr="001570EA">
              <w:rPr>
                <w:rFonts w:cs="Arial"/>
                <w:szCs w:val="18"/>
              </w:rPr>
              <w:t>≤</w:t>
            </w:r>
            <w:r w:rsidRPr="001570EA">
              <w:rPr>
                <w:szCs w:val="18"/>
              </w:rPr>
              <w:t xml:space="preserve"> FHR &lt; 51</w:t>
            </w:r>
          </w:p>
        </w:tc>
        <w:tc>
          <w:tcPr>
            <w:tcW w:w="1829" w:type="dxa"/>
            <w:vAlign w:val="bottom"/>
          </w:tcPr>
          <w:p w14:paraId="5BE80CB9" w14:textId="77777777" w:rsidR="00FA7EEB" w:rsidRPr="001570EA" w:rsidRDefault="00FA7EEB">
            <w:pPr>
              <w:pStyle w:val="TableCell"/>
              <w:keepNext w:val="0"/>
              <w:widowControl w:val="0"/>
              <w:spacing w:before="60" w:after="60"/>
              <w:jc w:val="center"/>
              <w:rPr>
                <w:rFonts w:cs="Arial"/>
                <w:color w:val="000000"/>
                <w:szCs w:val="18"/>
              </w:rPr>
            </w:pPr>
            <w:r w:rsidRPr="001570EA">
              <w:rPr>
                <w:rFonts w:cs="Arial"/>
                <w:color w:val="000000"/>
                <w:szCs w:val="18"/>
              </w:rPr>
              <w:t>0.81</w:t>
            </w:r>
          </w:p>
        </w:tc>
      </w:tr>
      <w:tr w:rsidR="00FA7EEB" w:rsidRPr="001570EA" w14:paraId="5108A1F6" w14:textId="77777777">
        <w:tc>
          <w:tcPr>
            <w:tcW w:w="2227" w:type="dxa"/>
            <w:vMerge/>
          </w:tcPr>
          <w:p w14:paraId="6E775C56" w14:textId="77777777" w:rsidR="00FA7EEB" w:rsidRPr="001570EA" w:rsidRDefault="00FA7EEB">
            <w:pPr>
              <w:pStyle w:val="TableCell"/>
              <w:keepNext w:val="0"/>
              <w:widowControl w:val="0"/>
              <w:spacing w:before="60" w:after="60"/>
              <w:jc w:val="left"/>
              <w:rPr>
                <w:rFonts w:cs="Arial"/>
                <w:szCs w:val="18"/>
              </w:rPr>
            </w:pPr>
          </w:p>
        </w:tc>
        <w:tc>
          <w:tcPr>
            <w:tcW w:w="1350" w:type="dxa"/>
          </w:tcPr>
          <w:p w14:paraId="741E47F3" w14:textId="77777777" w:rsidR="00FA7EEB" w:rsidRPr="001570EA" w:rsidRDefault="00FA7EEB">
            <w:pPr>
              <w:pStyle w:val="TableCell"/>
              <w:keepNext w:val="0"/>
              <w:widowControl w:val="0"/>
              <w:spacing w:before="60" w:after="60"/>
              <w:jc w:val="center"/>
              <w:rPr>
                <w:rFonts w:cs="Arial"/>
                <w:szCs w:val="18"/>
              </w:rPr>
            </w:pPr>
            <w:r w:rsidRPr="001570EA">
              <w:rPr>
                <w:rFonts w:cs="Arial"/>
                <w:szCs w:val="18"/>
              </w:rPr>
              <w:t>Medium</w:t>
            </w:r>
          </w:p>
        </w:tc>
        <w:tc>
          <w:tcPr>
            <w:tcW w:w="1544" w:type="dxa"/>
            <w:vAlign w:val="center"/>
          </w:tcPr>
          <w:p w14:paraId="48BB2718" w14:textId="77777777" w:rsidR="00FA7EEB" w:rsidRPr="001570EA" w:rsidRDefault="00FA7EEB">
            <w:pPr>
              <w:pStyle w:val="TableCell"/>
              <w:keepNext w:val="0"/>
              <w:widowControl w:val="0"/>
              <w:spacing w:before="60" w:after="60"/>
              <w:jc w:val="center"/>
              <w:rPr>
                <w:szCs w:val="18"/>
              </w:rPr>
            </w:pPr>
            <w:r w:rsidRPr="001570EA">
              <w:rPr>
                <w:szCs w:val="18"/>
              </w:rPr>
              <w:t>55</w:t>
            </w:r>
          </w:p>
        </w:tc>
        <w:tc>
          <w:tcPr>
            <w:tcW w:w="1544" w:type="dxa"/>
            <w:vAlign w:val="center"/>
          </w:tcPr>
          <w:p w14:paraId="4ED79A43" w14:textId="77777777" w:rsidR="00FA7EEB" w:rsidRPr="001570EA" w:rsidRDefault="00FA7EEB">
            <w:pPr>
              <w:pStyle w:val="TableCell"/>
              <w:keepNext w:val="0"/>
              <w:widowControl w:val="0"/>
              <w:spacing w:before="60" w:after="60"/>
              <w:jc w:val="center"/>
              <w:rPr>
                <w:szCs w:val="18"/>
              </w:rPr>
            </w:pPr>
            <w:r w:rsidRPr="001570EA">
              <w:rPr>
                <w:szCs w:val="18"/>
              </w:rPr>
              <w:t xml:space="preserve">51 </w:t>
            </w:r>
            <w:r w:rsidRPr="001570EA">
              <w:rPr>
                <w:rFonts w:cs="Arial"/>
                <w:szCs w:val="18"/>
              </w:rPr>
              <w:t>≤</w:t>
            </w:r>
            <w:r w:rsidRPr="001570EA">
              <w:rPr>
                <w:szCs w:val="18"/>
              </w:rPr>
              <w:t xml:space="preserve"> FHR &lt; 75</w:t>
            </w:r>
          </w:p>
        </w:tc>
        <w:tc>
          <w:tcPr>
            <w:tcW w:w="1829" w:type="dxa"/>
            <w:vAlign w:val="bottom"/>
          </w:tcPr>
          <w:p w14:paraId="4045CE50" w14:textId="77777777" w:rsidR="00FA7EEB" w:rsidRPr="001570EA" w:rsidRDefault="00FA7EEB">
            <w:pPr>
              <w:pStyle w:val="TableCell"/>
              <w:keepNext w:val="0"/>
              <w:widowControl w:val="0"/>
              <w:spacing w:before="60" w:after="60"/>
              <w:jc w:val="center"/>
              <w:rPr>
                <w:rFonts w:cs="Arial"/>
                <w:color w:val="000000"/>
                <w:szCs w:val="18"/>
              </w:rPr>
            </w:pPr>
            <w:r w:rsidRPr="001570EA">
              <w:rPr>
                <w:rFonts w:cs="Arial"/>
                <w:color w:val="000000"/>
                <w:szCs w:val="18"/>
              </w:rPr>
              <w:t>0.81</w:t>
            </w:r>
          </w:p>
        </w:tc>
      </w:tr>
      <w:tr w:rsidR="00FA7EEB" w:rsidRPr="001570EA" w14:paraId="34E1D809" w14:textId="77777777">
        <w:tc>
          <w:tcPr>
            <w:tcW w:w="2227" w:type="dxa"/>
            <w:vMerge/>
          </w:tcPr>
          <w:p w14:paraId="533A3E78" w14:textId="77777777" w:rsidR="00FA7EEB" w:rsidRPr="001570EA" w:rsidRDefault="00FA7EEB">
            <w:pPr>
              <w:pStyle w:val="TableCell"/>
              <w:keepNext w:val="0"/>
              <w:widowControl w:val="0"/>
              <w:spacing w:before="60" w:after="60"/>
              <w:jc w:val="left"/>
              <w:rPr>
                <w:rFonts w:cs="Arial"/>
                <w:szCs w:val="18"/>
              </w:rPr>
            </w:pPr>
          </w:p>
        </w:tc>
        <w:tc>
          <w:tcPr>
            <w:tcW w:w="1350" w:type="dxa"/>
          </w:tcPr>
          <w:p w14:paraId="7C7B7534" w14:textId="77777777" w:rsidR="00FA7EEB" w:rsidRPr="001570EA" w:rsidRDefault="00FA7EEB">
            <w:pPr>
              <w:pStyle w:val="TableCell"/>
              <w:keepNext w:val="0"/>
              <w:widowControl w:val="0"/>
              <w:spacing w:before="60" w:after="60"/>
              <w:jc w:val="center"/>
              <w:rPr>
                <w:rFonts w:cs="Arial"/>
                <w:szCs w:val="18"/>
              </w:rPr>
            </w:pPr>
            <w:r w:rsidRPr="001570EA">
              <w:rPr>
                <w:rFonts w:cs="Arial"/>
                <w:szCs w:val="18"/>
              </w:rPr>
              <w:t>Hi</w:t>
            </w:r>
            <w:r w:rsidRPr="001570EA">
              <w:rPr>
                <w:szCs w:val="18"/>
              </w:rPr>
              <w:t>gh</w:t>
            </w:r>
          </w:p>
        </w:tc>
        <w:tc>
          <w:tcPr>
            <w:tcW w:w="1544" w:type="dxa"/>
            <w:vAlign w:val="center"/>
          </w:tcPr>
          <w:p w14:paraId="274C5683" w14:textId="77777777" w:rsidR="00FA7EEB" w:rsidRPr="001570EA" w:rsidRDefault="00FA7EEB">
            <w:pPr>
              <w:pStyle w:val="TableCell"/>
              <w:keepNext w:val="0"/>
              <w:widowControl w:val="0"/>
              <w:spacing w:before="60" w:after="60"/>
              <w:jc w:val="center"/>
              <w:rPr>
                <w:szCs w:val="18"/>
              </w:rPr>
            </w:pPr>
            <w:r w:rsidRPr="001570EA">
              <w:rPr>
                <w:szCs w:val="18"/>
              </w:rPr>
              <w:t>84</w:t>
            </w:r>
          </w:p>
        </w:tc>
        <w:tc>
          <w:tcPr>
            <w:tcW w:w="1544" w:type="dxa"/>
            <w:vAlign w:val="center"/>
          </w:tcPr>
          <w:p w14:paraId="369F9491" w14:textId="77777777" w:rsidR="00FA7EEB" w:rsidRPr="001570EA" w:rsidRDefault="00FA7EEB">
            <w:pPr>
              <w:pStyle w:val="TableCell"/>
              <w:keepNext w:val="0"/>
              <w:widowControl w:val="0"/>
              <w:spacing w:before="60" w:after="60"/>
              <w:jc w:val="center"/>
              <w:rPr>
                <w:szCs w:val="18"/>
              </w:rPr>
            </w:pPr>
            <w:r w:rsidRPr="001570EA">
              <w:rPr>
                <w:szCs w:val="18"/>
              </w:rPr>
              <w:t xml:space="preserve">FHR </w:t>
            </w:r>
            <w:r w:rsidRPr="001570EA">
              <w:rPr>
                <w:rFonts w:cs="Arial"/>
                <w:szCs w:val="18"/>
              </w:rPr>
              <w:t>≥</w:t>
            </w:r>
            <w:r w:rsidRPr="001570EA">
              <w:rPr>
                <w:szCs w:val="18"/>
              </w:rPr>
              <w:t xml:space="preserve"> 75</w:t>
            </w:r>
          </w:p>
        </w:tc>
        <w:tc>
          <w:tcPr>
            <w:tcW w:w="1829" w:type="dxa"/>
            <w:vAlign w:val="bottom"/>
          </w:tcPr>
          <w:p w14:paraId="23134243" w14:textId="77777777" w:rsidR="00FA7EEB" w:rsidRPr="001570EA" w:rsidRDefault="00FA7EEB">
            <w:pPr>
              <w:pStyle w:val="TableCell"/>
              <w:keepNext w:val="0"/>
              <w:widowControl w:val="0"/>
              <w:spacing w:before="60" w:after="60"/>
              <w:jc w:val="center"/>
              <w:rPr>
                <w:rFonts w:cs="Arial"/>
                <w:color w:val="000000"/>
                <w:szCs w:val="18"/>
              </w:rPr>
            </w:pPr>
            <w:r w:rsidRPr="001570EA">
              <w:rPr>
                <w:rFonts w:cs="Arial"/>
                <w:color w:val="000000"/>
                <w:szCs w:val="18"/>
              </w:rPr>
              <w:t>0.81</w:t>
            </w:r>
          </w:p>
        </w:tc>
      </w:tr>
    </w:tbl>
    <w:p w14:paraId="5729A6FD" w14:textId="77777777" w:rsidR="00FA7EEB" w:rsidRPr="001570EA" w:rsidRDefault="00FA7EEB" w:rsidP="00FA7EEB">
      <w:pPr>
        <w:pStyle w:val="Caption"/>
        <w:keepLines/>
      </w:pPr>
    </w:p>
    <w:p w14:paraId="73F809F4" w14:textId="546A54FD" w:rsidR="00FA7EEB" w:rsidRPr="001570EA" w:rsidRDefault="00FA7EEB" w:rsidP="00FA7EEB">
      <w:pPr>
        <w:pStyle w:val="Caption"/>
        <w:keepLines/>
      </w:pPr>
      <w:bookmarkStart w:id="1220" w:name="_Ref163982644"/>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156</w:t>
      </w:r>
      <w:r w:rsidR="002E093A" w:rsidRPr="001570EA">
        <w:fldChar w:fldCharType="end"/>
      </w:r>
      <w:bookmarkEnd w:id="1217"/>
      <w:bookmarkEnd w:id="1220"/>
      <w:r w:rsidRPr="001570EA">
        <w:t>: Baseline Insulation and Fenestration Requirements by Component for Buildings 4 Stories or Higher (Equivalent U-Factors)</w:t>
      </w:r>
      <w:r w:rsidRPr="001570EA">
        <w:rPr>
          <w:vertAlign w:val="superscript"/>
        </w:rPr>
        <w:t>Source 14</w:t>
      </w:r>
      <w:bookmarkEnd w:id="1218"/>
    </w:p>
    <w:tbl>
      <w:tblPr>
        <w:tblW w:w="5330" w:type="dxa"/>
        <w:tblLayout w:type="fixed"/>
        <w:tblCellMar>
          <w:left w:w="0" w:type="dxa"/>
          <w:right w:w="0" w:type="dxa"/>
        </w:tblCellMar>
        <w:tblLook w:val="04A0" w:firstRow="1" w:lastRow="0" w:firstColumn="1" w:lastColumn="0" w:noHBand="0" w:noVBand="1"/>
      </w:tblPr>
      <w:tblGrid>
        <w:gridCol w:w="3230"/>
        <w:gridCol w:w="1050"/>
        <w:gridCol w:w="1050"/>
      </w:tblGrid>
      <w:tr w:rsidR="00FA7EEB" w:rsidRPr="001570EA" w14:paraId="3228BF01" w14:textId="77777777" w:rsidTr="00BC4400">
        <w:trPr>
          <w:trHeight w:val="730"/>
          <w:tblHeader/>
        </w:trPr>
        <w:tc>
          <w:tcPr>
            <w:tcW w:w="323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tcPr>
          <w:p w14:paraId="0DA2D1E0" w14:textId="77777777" w:rsidR="00FA7EEB" w:rsidRPr="001570EA" w:rsidRDefault="00FA7EEB">
            <w:pPr>
              <w:keepNext/>
              <w:keepLines/>
              <w:ind w:left="63"/>
              <w:rPr>
                <w:b/>
                <w:bCs/>
                <w:sz w:val="17"/>
                <w:szCs w:val="17"/>
              </w:rPr>
            </w:pPr>
          </w:p>
        </w:tc>
        <w:tc>
          <w:tcPr>
            <w:tcW w:w="2100" w:type="dxa"/>
            <w:gridSpan w:val="2"/>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14:paraId="3A5A3825" w14:textId="77777777" w:rsidR="00FA7EEB" w:rsidRPr="001570EA" w:rsidDel="00300D90" w:rsidRDefault="00FA7EEB">
            <w:pPr>
              <w:keepNext/>
              <w:keepLines/>
              <w:jc w:val="center"/>
              <w:rPr>
                <w:b/>
                <w:bCs/>
                <w:sz w:val="17"/>
                <w:szCs w:val="17"/>
              </w:rPr>
            </w:pPr>
            <w:r w:rsidRPr="001570EA">
              <w:rPr>
                <w:b/>
                <w:bCs/>
                <w:sz w:val="17"/>
                <w:szCs w:val="17"/>
              </w:rPr>
              <w:t>IECC Climate Zone</w:t>
            </w:r>
          </w:p>
        </w:tc>
      </w:tr>
      <w:tr w:rsidR="00FA7EEB" w:rsidRPr="001570EA" w14:paraId="1D3227F8" w14:textId="77777777" w:rsidTr="00BC4400">
        <w:trPr>
          <w:trHeight w:val="340"/>
          <w:tblHeader/>
        </w:trPr>
        <w:tc>
          <w:tcPr>
            <w:tcW w:w="323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hideMark/>
          </w:tcPr>
          <w:p w14:paraId="603461DA" w14:textId="77777777" w:rsidR="00FA7EEB" w:rsidRPr="001570EA" w:rsidRDefault="00FA7EEB">
            <w:pPr>
              <w:keepNext/>
              <w:keepLines/>
              <w:ind w:left="63"/>
              <w:jc w:val="left"/>
              <w:rPr>
                <w:rFonts w:eastAsia="Arial" w:cs="Arial"/>
                <w:sz w:val="17"/>
                <w:szCs w:val="17"/>
              </w:rPr>
            </w:pPr>
            <w:r w:rsidRPr="001570EA">
              <w:rPr>
                <w:b/>
                <w:bCs/>
                <w:sz w:val="17"/>
                <w:szCs w:val="17"/>
              </w:rPr>
              <w:t>Building Element</w:t>
            </w:r>
          </w:p>
        </w:tc>
        <w:tc>
          <w:tcPr>
            <w:tcW w:w="1050"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hideMark/>
          </w:tcPr>
          <w:p w14:paraId="549AD5E4" w14:textId="77777777" w:rsidR="00FA7EEB" w:rsidRPr="001570EA" w:rsidRDefault="00FA7EEB">
            <w:pPr>
              <w:keepNext/>
              <w:keepLines/>
              <w:ind w:left="27" w:right="36"/>
              <w:jc w:val="center"/>
              <w:rPr>
                <w:rFonts w:eastAsia="Arial" w:cs="Arial"/>
                <w:sz w:val="17"/>
                <w:szCs w:val="17"/>
              </w:rPr>
            </w:pPr>
            <w:r w:rsidRPr="001570EA">
              <w:rPr>
                <w:b/>
                <w:bCs/>
                <w:sz w:val="17"/>
                <w:szCs w:val="17"/>
              </w:rPr>
              <w:t>4</w:t>
            </w:r>
          </w:p>
        </w:tc>
        <w:tc>
          <w:tcPr>
            <w:tcW w:w="105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30C62AB" w14:textId="77777777" w:rsidR="00FA7EEB" w:rsidRPr="001570EA" w:rsidRDefault="00FA7EEB">
            <w:pPr>
              <w:keepNext/>
              <w:keepLines/>
              <w:jc w:val="center"/>
              <w:rPr>
                <w:rFonts w:eastAsia="Arial" w:cs="Arial"/>
                <w:sz w:val="17"/>
                <w:szCs w:val="17"/>
              </w:rPr>
            </w:pPr>
            <w:r w:rsidRPr="001570EA">
              <w:rPr>
                <w:b/>
                <w:bCs/>
                <w:sz w:val="17"/>
                <w:szCs w:val="17"/>
              </w:rPr>
              <w:t>5</w:t>
            </w:r>
          </w:p>
        </w:tc>
      </w:tr>
      <w:tr w:rsidR="00FA7EEB" w:rsidRPr="001570EA" w14:paraId="0FBF3422" w14:textId="77777777" w:rsidTr="00BC4400">
        <w:trPr>
          <w:trHeight w:val="283"/>
        </w:trPr>
        <w:tc>
          <w:tcPr>
            <w:tcW w:w="3230" w:type="dxa"/>
            <w:tcBorders>
              <w:top w:val="nil"/>
              <w:left w:val="single" w:sz="8" w:space="0" w:color="auto"/>
              <w:bottom w:val="single" w:sz="8" w:space="0" w:color="auto"/>
              <w:right w:val="single" w:sz="4" w:space="0" w:color="auto"/>
            </w:tcBorders>
            <w:vAlign w:val="center"/>
          </w:tcPr>
          <w:p w14:paraId="28341383" w14:textId="77777777" w:rsidR="00FA7EEB" w:rsidRPr="001570EA" w:rsidRDefault="00FA7EEB">
            <w:pPr>
              <w:keepNext/>
              <w:keepLines/>
              <w:jc w:val="center"/>
              <w:rPr>
                <w:rFonts w:eastAsia="Arial" w:cs="Arial"/>
                <w:sz w:val="18"/>
                <w:szCs w:val="18"/>
              </w:rPr>
            </w:pPr>
            <w:r w:rsidRPr="001570EA">
              <w:rPr>
                <w:sz w:val="18"/>
                <w:szCs w:val="18"/>
              </w:rPr>
              <w:t>Fixed Fenestration U-Factor</w:t>
            </w:r>
            <w:r w:rsidRPr="001570EA" w:rsidDel="00300D90">
              <w:rPr>
                <w:sz w:val="18"/>
                <w:szCs w:val="18"/>
              </w:rPr>
              <w:t xml:space="preserve"> </w:t>
            </w:r>
          </w:p>
        </w:tc>
        <w:tc>
          <w:tcPr>
            <w:tcW w:w="1050" w:type="dxa"/>
            <w:tcBorders>
              <w:top w:val="nil"/>
              <w:left w:val="single" w:sz="4" w:space="0" w:color="auto"/>
              <w:bottom w:val="single" w:sz="8" w:space="0" w:color="auto"/>
              <w:right w:val="single" w:sz="8" w:space="0" w:color="auto"/>
            </w:tcBorders>
            <w:vAlign w:val="center"/>
          </w:tcPr>
          <w:p w14:paraId="70DD47D4" w14:textId="77777777" w:rsidR="00FA7EEB" w:rsidRPr="001570EA" w:rsidRDefault="00FA7EEB">
            <w:pPr>
              <w:keepNext/>
              <w:keepLines/>
              <w:jc w:val="center"/>
              <w:rPr>
                <w:rFonts w:cs="Arial"/>
                <w:sz w:val="18"/>
                <w:szCs w:val="18"/>
              </w:rPr>
            </w:pPr>
            <w:r w:rsidRPr="001570EA">
              <w:rPr>
                <w:rFonts w:cs="Arial"/>
                <w:sz w:val="18"/>
                <w:szCs w:val="18"/>
              </w:rPr>
              <w:t>0.36</w:t>
            </w:r>
          </w:p>
        </w:tc>
        <w:tc>
          <w:tcPr>
            <w:tcW w:w="1050" w:type="dxa"/>
            <w:tcBorders>
              <w:top w:val="nil"/>
              <w:left w:val="nil"/>
              <w:bottom w:val="single" w:sz="8" w:space="0" w:color="auto"/>
              <w:right w:val="single" w:sz="8" w:space="0" w:color="auto"/>
            </w:tcBorders>
            <w:vAlign w:val="center"/>
          </w:tcPr>
          <w:p w14:paraId="7419758A" w14:textId="77777777" w:rsidR="00FA7EEB" w:rsidRPr="001570EA" w:rsidRDefault="00FA7EEB">
            <w:pPr>
              <w:keepNext/>
              <w:keepLines/>
              <w:jc w:val="center"/>
              <w:rPr>
                <w:rFonts w:cs="Arial"/>
                <w:sz w:val="18"/>
                <w:szCs w:val="18"/>
              </w:rPr>
            </w:pPr>
            <w:r w:rsidRPr="001570EA">
              <w:rPr>
                <w:rFonts w:cs="Arial"/>
                <w:sz w:val="18"/>
                <w:szCs w:val="18"/>
              </w:rPr>
              <w:t>0.36</w:t>
            </w:r>
          </w:p>
        </w:tc>
      </w:tr>
      <w:tr w:rsidR="00FA7EEB" w:rsidRPr="001570EA" w14:paraId="38B7B5BA" w14:textId="77777777" w:rsidTr="00BC4400">
        <w:trPr>
          <w:trHeight w:val="288"/>
        </w:trPr>
        <w:tc>
          <w:tcPr>
            <w:tcW w:w="3230" w:type="dxa"/>
            <w:tcBorders>
              <w:top w:val="nil"/>
              <w:left w:val="single" w:sz="8" w:space="0" w:color="auto"/>
              <w:bottom w:val="single" w:sz="4" w:space="0" w:color="auto"/>
              <w:right w:val="single" w:sz="4" w:space="0" w:color="auto"/>
            </w:tcBorders>
            <w:vAlign w:val="center"/>
          </w:tcPr>
          <w:p w14:paraId="353FBFB7" w14:textId="77777777" w:rsidR="00FA7EEB" w:rsidRPr="001570EA" w:rsidRDefault="00FA7EEB">
            <w:pPr>
              <w:keepNext/>
              <w:keepLines/>
              <w:jc w:val="center"/>
              <w:rPr>
                <w:rFonts w:eastAsia="Arial" w:cs="Arial"/>
                <w:sz w:val="18"/>
                <w:szCs w:val="18"/>
              </w:rPr>
            </w:pPr>
            <w:r w:rsidRPr="001570EA">
              <w:rPr>
                <w:sz w:val="18"/>
                <w:szCs w:val="18"/>
              </w:rPr>
              <w:t>Operable Fenestration U-Factor</w:t>
            </w:r>
            <w:r w:rsidRPr="001570EA" w:rsidDel="00300D90">
              <w:rPr>
                <w:sz w:val="18"/>
                <w:szCs w:val="18"/>
              </w:rPr>
              <w:t xml:space="preserve"> </w:t>
            </w:r>
          </w:p>
        </w:tc>
        <w:tc>
          <w:tcPr>
            <w:tcW w:w="1050" w:type="dxa"/>
            <w:tcBorders>
              <w:top w:val="nil"/>
              <w:left w:val="single" w:sz="4" w:space="0" w:color="auto"/>
              <w:bottom w:val="single" w:sz="4" w:space="0" w:color="auto"/>
              <w:right w:val="single" w:sz="8" w:space="0" w:color="auto"/>
            </w:tcBorders>
            <w:vAlign w:val="center"/>
          </w:tcPr>
          <w:p w14:paraId="69AA8E45" w14:textId="77777777" w:rsidR="00FA7EEB" w:rsidRPr="001570EA" w:rsidRDefault="00FA7EEB">
            <w:pPr>
              <w:keepNext/>
              <w:keepLines/>
              <w:jc w:val="center"/>
              <w:rPr>
                <w:rFonts w:cs="Arial"/>
                <w:sz w:val="18"/>
                <w:szCs w:val="18"/>
              </w:rPr>
            </w:pPr>
            <w:r w:rsidRPr="001570EA">
              <w:rPr>
                <w:rFonts w:cs="Arial"/>
                <w:sz w:val="18"/>
                <w:szCs w:val="18"/>
              </w:rPr>
              <w:t>0.45</w:t>
            </w:r>
          </w:p>
        </w:tc>
        <w:tc>
          <w:tcPr>
            <w:tcW w:w="1050" w:type="dxa"/>
            <w:tcBorders>
              <w:top w:val="nil"/>
              <w:left w:val="nil"/>
              <w:bottom w:val="single" w:sz="4" w:space="0" w:color="auto"/>
              <w:right w:val="single" w:sz="8" w:space="0" w:color="auto"/>
            </w:tcBorders>
            <w:vAlign w:val="center"/>
          </w:tcPr>
          <w:p w14:paraId="4F20CF26" w14:textId="77777777" w:rsidR="00FA7EEB" w:rsidRPr="001570EA" w:rsidRDefault="00FA7EEB">
            <w:pPr>
              <w:keepNext/>
              <w:keepLines/>
              <w:jc w:val="center"/>
              <w:rPr>
                <w:rFonts w:cs="Arial"/>
                <w:sz w:val="18"/>
                <w:szCs w:val="18"/>
              </w:rPr>
            </w:pPr>
            <w:r w:rsidRPr="001570EA">
              <w:rPr>
                <w:rFonts w:cs="Arial"/>
                <w:sz w:val="18"/>
                <w:szCs w:val="18"/>
              </w:rPr>
              <w:t>0.45</w:t>
            </w:r>
          </w:p>
        </w:tc>
      </w:tr>
      <w:tr w:rsidR="00FA7EEB" w:rsidRPr="001570EA" w14:paraId="666CF93C" w14:textId="77777777" w:rsidTr="00BC4400">
        <w:trPr>
          <w:trHeight w:val="283"/>
        </w:trPr>
        <w:tc>
          <w:tcPr>
            <w:tcW w:w="3230" w:type="dxa"/>
            <w:tcBorders>
              <w:top w:val="single" w:sz="4" w:space="0" w:color="auto"/>
              <w:left w:val="single" w:sz="4" w:space="0" w:color="auto"/>
              <w:bottom w:val="single" w:sz="4" w:space="0" w:color="auto"/>
              <w:right w:val="single" w:sz="4" w:space="0" w:color="auto"/>
            </w:tcBorders>
            <w:vAlign w:val="center"/>
          </w:tcPr>
          <w:p w14:paraId="7AC38100" w14:textId="77777777" w:rsidR="00FA7EEB" w:rsidRPr="001570EA" w:rsidRDefault="00FA7EEB">
            <w:pPr>
              <w:jc w:val="center"/>
              <w:rPr>
                <w:rFonts w:eastAsia="Arial" w:cs="Arial"/>
                <w:sz w:val="18"/>
                <w:szCs w:val="18"/>
              </w:rPr>
            </w:pPr>
            <w:r w:rsidRPr="001570EA">
              <w:rPr>
                <w:sz w:val="18"/>
                <w:szCs w:val="18"/>
              </w:rPr>
              <w:t>Skylight U-Factor</w:t>
            </w:r>
          </w:p>
        </w:tc>
        <w:tc>
          <w:tcPr>
            <w:tcW w:w="1050" w:type="dxa"/>
            <w:tcBorders>
              <w:top w:val="single" w:sz="4" w:space="0" w:color="auto"/>
              <w:left w:val="single" w:sz="4" w:space="0" w:color="auto"/>
              <w:bottom w:val="single" w:sz="4" w:space="0" w:color="auto"/>
              <w:right w:val="single" w:sz="4" w:space="0" w:color="auto"/>
            </w:tcBorders>
            <w:vAlign w:val="center"/>
          </w:tcPr>
          <w:p w14:paraId="3938D470" w14:textId="77777777" w:rsidR="00FA7EEB" w:rsidRPr="001570EA" w:rsidRDefault="00FA7EEB">
            <w:pPr>
              <w:jc w:val="center"/>
              <w:rPr>
                <w:rFonts w:cs="Arial"/>
                <w:sz w:val="18"/>
                <w:szCs w:val="18"/>
              </w:rPr>
            </w:pPr>
            <w:r w:rsidRPr="001570EA">
              <w:rPr>
                <w:rFonts w:cs="Arial"/>
                <w:sz w:val="18"/>
                <w:szCs w:val="18"/>
              </w:rPr>
              <w:t>0.50</w:t>
            </w:r>
          </w:p>
        </w:tc>
        <w:tc>
          <w:tcPr>
            <w:tcW w:w="1050" w:type="dxa"/>
            <w:tcBorders>
              <w:top w:val="single" w:sz="4" w:space="0" w:color="auto"/>
              <w:left w:val="single" w:sz="4" w:space="0" w:color="auto"/>
              <w:bottom w:val="single" w:sz="4" w:space="0" w:color="auto"/>
              <w:right w:val="single" w:sz="4" w:space="0" w:color="auto"/>
            </w:tcBorders>
            <w:vAlign w:val="center"/>
          </w:tcPr>
          <w:p w14:paraId="543A94D8" w14:textId="77777777" w:rsidR="00FA7EEB" w:rsidRPr="001570EA" w:rsidRDefault="00FA7EEB">
            <w:pPr>
              <w:jc w:val="center"/>
              <w:rPr>
                <w:rFonts w:cs="Arial"/>
                <w:sz w:val="18"/>
                <w:szCs w:val="18"/>
              </w:rPr>
            </w:pPr>
            <w:r w:rsidRPr="001570EA">
              <w:rPr>
                <w:rFonts w:cs="Arial"/>
                <w:sz w:val="18"/>
                <w:szCs w:val="18"/>
              </w:rPr>
              <w:t>0.50</w:t>
            </w:r>
          </w:p>
        </w:tc>
      </w:tr>
      <w:tr w:rsidR="00FA7EEB" w:rsidRPr="001570EA" w14:paraId="226F9611" w14:textId="77777777" w:rsidTr="00BC4400">
        <w:trPr>
          <w:trHeight w:val="283"/>
        </w:trPr>
        <w:tc>
          <w:tcPr>
            <w:tcW w:w="3230" w:type="dxa"/>
            <w:tcBorders>
              <w:top w:val="single" w:sz="4" w:space="0" w:color="auto"/>
              <w:left w:val="single" w:sz="4" w:space="0" w:color="auto"/>
              <w:bottom w:val="single" w:sz="4" w:space="0" w:color="auto"/>
              <w:right w:val="single" w:sz="4" w:space="0" w:color="auto"/>
            </w:tcBorders>
            <w:vAlign w:val="center"/>
          </w:tcPr>
          <w:p w14:paraId="7DA259AC" w14:textId="77777777" w:rsidR="00FA7EEB" w:rsidRPr="001570EA" w:rsidRDefault="00FA7EEB">
            <w:pPr>
              <w:jc w:val="center"/>
              <w:rPr>
                <w:sz w:val="18"/>
                <w:szCs w:val="18"/>
              </w:rPr>
            </w:pPr>
            <w:r w:rsidRPr="001570EA">
              <w:rPr>
                <w:sz w:val="18"/>
                <w:szCs w:val="18"/>
              </w:rPr>
              <w:t>Roof U-Factor, Insulation entirely above roof deck</w:t>
            </w:r>
          </w:p>
        </w:tc>
        <w:tc>
          <w:tcPr>
            <w:tcW w:w="1050" w:type="dxa"/>
            <w:tcBorders>
              <w:top w:val="single" w:sz="4" w:space="0" w:color="auto"/>
              <w:left w:val="single" w:sz="4" w:space="0" w:color="auto"/>
              <w:bottom w:val="single" w:sz="4" w:space="0" w:color="auto"/>
              <w:right w:val="single" w:sz="4" w:space="0" w:color="auto"/>
            </w:tcBorders>
            <w:vAlign w:val="center"/>
          </w:tcPr>
          <w:p w14:paraId="58570462" w14:textId="77777777" w:rsidR="00FA7EEB" w:rsidRPr="001570EA" w:rsidRDefault="00FA7EEB">
            <w:pPr>
              <w:jc w:val="center"/>
              <w:rPr>
                <w:rFonts w:cs="Arial"/>
                <w:sz w:val="18"/>
                <w:szCs w:val="18"/>
              </w:rPr>
            </w:pPr>
            <w:r w:rsidRPr="001570EA">
              <w:rPr>
                <w:rFonts w:cs="Arial"/>
                <w:sz w:val="18"/>
                <w:szCs w:val="18"/>
              </w:rPr>
              <w:t>0.032</w:t>
            </w:r>
          </w:p>
        </w:tc>
        <w:tc>
          <w:tcPr>
            <w:tcW w:w="1050" w:type="dxa"/>
            <w:tcBorders>
              <w:top w:val="single" w:sz="4" w:space="0" w:color="auto"/>
              <w:left w:val="single" w:sz="4" w:space="0" w:color="auto"/>
              <w:bottom w:val="single" w:sz="4" w:space="0" w:color="auto"/>
              <w:right w:val="single" w:sz="4" w:space="0" w:color="auto"/>
            </w:tcBorders>
            <w:vAlign w:val="center"/>
          </w:tcPr>
          <w:p w14:paraId="1D5008D5" w14:textId="77777777" w:rsidR="00FA7EEB" w:rsidRPr="001570EA" w:rsidRDefault="00FA7EEB">
            <w:pPr>
              <w:jc w:val="center"/>
              <w:rPr>
                <w:rFonts w:cs="Arial"/>
                <w:sz w:val="18"/>
                <w:szCs w:val="18"/>
              </w:rPr>
            </w:pPr>
            <w:r w:rsidRPr="001570EA">
              <w:rPr>
                <w:rFonts w:cs="Arial"/>
                <w:sz w:val="18"/>
                <w:szCs w:val="18"/>
              </w:rPr>
              <w:t>0.032</w:t>
            </w:r>
          </w:p>
        </w:tc>
      </w:tr>
      <w:tr w:rsidR="00FA7EEB" w:rsidRPr="001570EA" w14:paraId="2F0E4C66" w14:textId="77777777" w:rsidTr="00BC4400">
        <w:trPr>
          <w:trHeight w:val="283"/>
        </w:trPr>
        <w:tc>
          <w:tcPr>
            <w:tcW w:w="3230" w:type="dxa"/>
            <w:tcBorders>
              <w:top w:val="single" w:sz="4" w:space="0" w:color="auto"/>
              <w:left w:val="single" w:sz="4" w:space="0" w:color="auto"/>
              <w:bottom w:val="single" w:sz="4" w:space="0" w:color="auto"/>
              <w:right w:val="single" w:sz="4" w:space="0" w:color="auto"/>
            </w:tcBorders>
            <w:vAlign w:val="center"/>
          </w:tcPr>
          <w:p w14:paraId="2DDCD6FB" w14:textId="77777777" w:rsidR="00FA7EEB" w:rsidRPr="001570EA" w:rsidRDefault="00FA7EEB">
            <w:pPr>
              <w:jc w:val="center"/>
              <w:rPr>
                <w:sz w:val="18"/>
                <w:szCs w:val="18"/>
              </w:rPr>
            </w:pPr>
            <w:r w:rsidRPr="001570EA">
              <w:rPr>
                <w:sz w:val="18"/>
                <w:szCs w:val="18"/>
              </w:rPr>
              <w:t>Roof U-Factor, Metal building</w:t>
            </w:r>
          </w:p>
        </w:tc>
        <w:tc>
          <w:tcPr>
            <w:tcW w:w="1050" w:type="dxa"/>
            <w:tcBorders>
              <w:top w:val="single" w:sz="4" w:space="0" w:color="auto"/>
              <w:left w:val="single" w:sz="4" w:space="0" w:color="auto"/>
              <w:bottom w:val="single" w:sz="4" w:space="0" w:color="auto"/>
              <w:right w:val="single" w:sz="4" w:space="0" w:color="auto"/>
            </w:tcBorders>
            <w:vAlign w:val="center"/>
          </w:tcPr>
          <w:p w14:paraId="0C3015A2" w14:textId="77777777" w:rsidR="00FA7EEB" w:rsidRPr="001570EA" w:rsidRDefault="00FA7EEB">
            <w:pPr>
              <w:jc w:val="center"/>
              <w:rPr>
                <w:rFonts w:cs="Arial"/>
                <w:sz w:val="18"/>
                <w:szCs w:val="18"/>
              </w:rPr>
            </w:pPr>
            <w:r w:rsidRPr="001570EA">
              <w:rPr>
                <w:rFonts w:cs="Arial"/>
                <w:sz w:val="18"/>
                <w:szCs w:val="18"/>
              </w:rPr>
              <w:t>0.035</w:t>
            </w:r>
          </w:p>
        </w:tc>
        <w:tc>
          <w:tcPr>
            <w:tcW w:w="1050" w:type="dxa"/>
            <w:tcBorders>
              <w:top w:val="single" w:sz="4" w:space="0" w:color="auto"/>
              <w:left w:val="single" w:sz="4" w:space="0" w:color="auto"/>
              <w:bottom w:val="single" w:sz="4" w:space="0" w:color="auto"/>
              <w:right w:val="single" w:sz="4" w:space="0" w:color="auto"/>
            </w:tcBorders>
            <w:vAlign w:val="center"/>
          </w:tcPr>
          <w:p w14:paraId="2BBA8F0A" w14:textId="77777777" w:rsidR="00FA7EEB" w:rsidRPr="001570EA" w:rsidRDefault="00FA7EEB">
            <w:pPr>
              <w:jc w:val="center"/>
              <w:rPr>
                <w:rFonts w:cs="Arial"/>
                <w:sz w:val="18"/>
                <w:szCs w:val="18"/>
              </w:rPr>
            </w:pPr>
            <w:r w:rsidRPr="001570EA">
              <w:rPr>
                <w:rFonts w:cs="Arial"/>
                <w:sz w:val="18"/>
                <w:szCs w:val="18"/>
              </w:rPr>
              <w:t>0.035</w:t>
            </w:r>
          </w:p>
        </w:tc>
      </w:tr>
      <w:tr w:rsidR="00FA7EEB" w:rsidRPr="001570EA" w14:paraId="68C4951D" w14:textId="77777777" w:rsidTr="00BC4400">
        <w:trPr>
          <w:trHeight w:val="283"/>
        </w:trPr>
        <w:tc>
          <w:tcPr>
            <w:tcW w:w="3230" w:type="dxa"/>
            <w:tcBorders>
              <w:top w:val="single" w:sz="4" w:space="0" w:color="auto"/>
              <w:left w:val="single" w:sz="4" w:space="0" w:color="auto"/>
              <w:bottom w:val="single" w:sz="4" w:space="0" w:color="auto"/>
              <w:right w:val="single" w:sz="4" w:space="0" w:color="auto"/>
            </w:tcBorders>
            <w:vAlign w:val="center"/>
          </w:tcPr>
          <w:p w14:paraId="5295AFC2" w14:textId="77777777" w:rsidR="00FA7EEB" w:rsidRPr="001570EA" w:rsidRDefault="00FA7EEB">
            <w:pPr>
              <w:jc w:val="center"/>
              <w:rPr>
                <w:sz w:val="18"/>
                <w:szCs w:val="18"/>
              </w:rPr>
            </w:pPr>
            <w:r w:rsidRPr="001570EA">
              <w:rPr>
                <w:sz w:val="18"/>
                <w:szCs w:val="18"/>
              </w:rPr>
              <w:t>Roof U-Factor, Attic and other</w:t>
            </w:r>
          </w:p>
        </w:tc>
        <w:tc>
          <w:tcPr>
            <w:tcW w:w="1050" w:type="dxa"/>
            <w:tcBorders>
              <w:top w:val="single" w:sz="4" w:space="0" w:color="auto"/>
              <w:left w:val="single" w:sz="4" w:space="0" w:color="auto"/>
              <w:bottom w:val="single" w:sz="4" w:space="0" w:color="auto"/>
              <w:right w:val="single" w:sz="4" w:space="0" w:color="auto"/>
            </w:tcBorders>
            <w:vAlign w:val="center"/>
          </w:tcPr>
          <w:p w14:paraId="538482FC" w14:textId="77777777" w:rsidR="00FA7EEB" w:rsidRPr="001570EA" w:rsidRDefault="00FA7EEB">
            <w:pPr>
              <w:jc w:val="center"/>
              <w:rPr>
                <w:rFonts w:cs="Arial"/>
                <w:sz w:val="18"/>
                <w:szCs w:val="18"/>
              </w:rPr>
            </w:pPr>
            <w:r w:rsidRPr="001570EA">
              <w:rPr>
                <w:rFonts w:cs="Arial"/>
                <w:sz w:val="18"/>
                <w:szCs w:val="18"/>
              </w:rPr>
              <w:t>0.021</w:t>
            </w:r>
          </w:p>
        </w:tc>
        <w:tc>
          <w:tcPr>
            <w:tcW w:w="1050" w:type="dxa"/>
            <w:tcBorders>
              <w:top w:val="single" w:sz="4" w:space="0" w:color="auto"/>
              <w:left w:val="single" w:sz="4" w:space="0" w:color="auto"/>
              <w:bottom w:val="single" w:sz="4" w:space="0" w:color="auto"/>
              <w:right w:val="single" w:sz="4" w:space="0" w:color="auto"/>
            </w:tcBorders>
            <w:vAlign w:val="center"/>
          </w:tcPr>
          <w:p w14:paraId="1DA1F1C3" w14:textId="77777777" w:rsidR="00FA7EEB" w:rsidRPr="001570EA" w:rsidRDefault="00FA7EEB">
            <w:pPr>
              <w:jc w:val="center"/>
              <w:rPr>
                <w:rFonts w:cs="Arial"/>
                <w:sz w:val="18"/>
                <w:szCs w:val="18"/>
              </w:rPr>
            </w:pPr>
            <w:r w:rsidRPr="001570EA">
              <w:rPr>
                <w:rFonts w:cs="Arial"/>
                <w:sz w:val="18"/>
                <w:szCs w:val="18"/>
              </w:rPr>
              <w:t>0.021</w:t>
            </w:r>
          </w:p>
        </w:tc>
      </w:tr>
      <w:tr w:rsidR="00FA7EEB" w:rsidRPr="001570EA" w14:paraId="3B430EBA" w14:textId="77777777" w:rsidTr="00BC4400">
        <w:trPr>
          <w:trHeight w:val="283"/>
        </w:trPr>
        <w:tc>
          <w:tcPr>
            <w:tcW w:w="3230" w:type="dxa"/>
            <w:tcBorders>
              <w:top w:val="single" w:sz="4" w:space="0" w:color="auto"/>
              <w:left w:val="single" w:sz="4" w:space="0" w:color="auto"/>
              <w:bottom w:val="single" w:sz="4" w:space="0" w:color="auto"/>
              <w:right w:val="single" w:sz="4" w:space="0" w:color="auto"/>
            </w:tcBorders>
            <w:vAlign w:val="center"/>
          </w:tcPr>
          <w:p w14:paraId="58995A1E" w14:textId="77777777" w:rsidR="00FA7EEB" w:rsidRPr="001570EA" w:rsidRDefault="00FA7EEB">
            <w:pPr>
              <w:jc w:val="center"/>
              <w:rPr>
                <w:sz w:val="18"/>
                <w:szCs w:val="18"/>
              </w:rPr>
            </w:pPr>
            <w:r w:rsidRPr="001570EA">
              <w:rPr>
                <w:sz w:val="18"/>
                <w:szCs w:val="18"/>
              </w:rPr>
              <w:t>Above Grade Wall U-Factor, Mass</w:t>
            </w:r>
          </w:p>
        </w:tc>
        <w:tc>
          <w:tcPr>
            <w:tcW w:w="1050" w:type="dxa"/>
            <w:tcBorders>
              <w:top w:val="single" w:sz="4" w:space="0" w:color="auto"/>
              <w:left w:val="single" w:sz="4" w:space="0" w:color="auto"/>
              <w:bottom w:val="single" w:sz="4" w:space="0" w:color="auto"/>
              <w:right w:val="single" w:sz="4" w:space="0" w:color="auto"/>
            </w:tcBorders>
            <w:vAlign w:val="center"/>
          </w:tcPr>
          <w:p w14:paraId="0E230FE9" w14:textId="77777777" w:rsidR="00FA7EEB" w:rsidRPr="001570EA" w:rsidRDefault="00FA7EEB">
            <w:pPr>
              <w:jc w:val="center"/>
              <w:rPr>
                <w:rFonts w:cs="Arial"/>
                <w:sz w:val="18"/>
                <w:szCs w:val="18"/>
              </w:rPr>
            </w:pPr>
            <w:r w:rsidRPr="001570EA">
              <w:rPr>
                <w:rFonts w:cs="Arial"/>
                <w:sz w:val="18"/>
                <w:szCs w:val="18"/>
              </w:rPr>
              <w:t>0.104</w:t>
            </w:r>
          </w:p>
        </w:tc>
        <w:tc>
          <w:tcPr>
            <w:tcW w:w="1050" w:type="dxa"/>
            <w:tcBorders>
              <w:top w:val="single" w:sz="4" w:space="0" w:color="auto"/>
              <w:left w:val="single" w:sz="4" w:space="0" w:color="auto"/>
              <w:bottom w:val="single" w:sz="4" w:space="0" w:color="auto"/>
              <w:right w:val="single" w:sz="4" w:space="0" w:color="auto"/>
            </w:tcBorders>
            <w:vAlign w:val="center"/>
          </w:tcPr>
          <w:p w14:paraId="72261D68" w14:textId="77777777" w:rsidR="00FA7EEB" w:rsidRPr="001570EA" w:rsidRDefault="00FA7EEB">
            <w:pPr>
              <w:jc w:val="center"/>
              <w:rPr>
                <w:rFonts w:cs="Arial"/>
                <w:sz w:val="18"/>
                <w:szCs w:val="18"/>
              </w:rPr>
            </w:pPr>
            <w:r w:rsidRPr="001570EA">
              <w:rPr>
                <w:rFonts w:cs="Arial"/>
                <w:sz w:val="18"/>
                <w:szCs w:val="18"/>
              </w:rPr>
              <w:t>0.090</w:t>
            </w:r>
          </w:p>
        </w:tc>
      </w:tr>
      <w:tr w:rsidR="00FA7EEB" w:rsidRPr="001570EA" w14:paraId="695A0FD7" w14:textId="77777777" w:rsidTr="00BC4400">
        <w:trPr>
          <w:trHeight w:val="283"/>
        </w:trPr>
        <w:tc>
          <w:tcPr>
            <w:tcW w:w="3230" w:type="dxa"/>
            <w:tcBorders>
              <w:top w:val="single" w:sz="4" w:space="0" w:color="auto"/>
              <w:left w:val="single" w:sz="4" w:space="0" w:color="auto"/>
              <w:bottom w:val="single" w:sz="4" w:space="0" w:color="auto"/>
              <w:right w:val="single" w:sz="4" w:space="0" w:color="auto"/>
            </w:tcBorders>
            <w:vAlign w:val="center"/>
          </w:tcPr>
          <w:p w14:paraId="1698B76F" w14:textId="77777777" w:rsidR="00FA7EEB" w:rsidRPr="001570EA" w:rsidRDefault="00FA7EEB">
            <w:pPr>
              <w:jc w:val="center"/>
              <w:rPr>
                <w:sz w:val="18"/>
                <w:szCs w:val="18"/>
              </w:rPr>
            </w:pPr>
            <w:r w:rsidRPr="001570EA">
              <w:rPr>
                <w:sz w:val="18"/>
                <w:szCs w:val="18"/>
              </w:rPr>
              <w:t>Above Grade Wall U-Factor, Metal building</w:t>
            </w:r>
          </w:p>
        </w:tc>
        <w:tc>
          <w:tcPr>
            <w:tcW w:w="1050" w:type="dxa"/>
            <w:tcBorders>
              <w:top w:val="single" w:sz="4" w:space="0" w:color="auto"/>
              <w:left w:val="single" w:sz="4" w:space="0" w:color="auto"/>
              <w:bottom w:val="single" w:sz="4" w:space="0" w:color="auto"/>
              <w:right w:val="single" w:sz="4" w:space="0" w:color="auto"/>
            </w:tcBorders>
            <w:vAlign w:val="center"/>
          </w:tcPr>
          <w:p w14:paraId="7BC1EA33" w14:textId="77777777" w:rsidR="00FA7EEB" w:rsidRPr="001570EA" w:rsidRDefault="00FA7EEB">
            <w:pPr>
              <w:jc w:val="center"/>
              <w:rPr>
                <w:rFonts w:cs="Arial"/>
                <w:sz w:val="18"/>
                <w:szCs w:val="18"/>
              </w:rPr>
            </w:pPr>
            <w:r w:rsidRPr="001570EA">
              <w:rPr>
                <w:rFonts w:cs="Arial"/>
                <w:sz w:val="18"/>
                <w:szCs w:val="18"/>
              </w:rPr>
              <w:t>0.052</w:t>
            </w:r>
          </w:p>
        </w:tc>
        <w:tc>
          <w:tcPr>
            <w:tcW w:w="1050" w:type="dxa"/>
            <w:tcBorders>
              <w:top w:val="single" w:sz="4" w:space="0" w:color="auto"/>
              <w:left w:val="single" w:sz="4" w:space="0" w:color="auto"/>
              <w:bottom w:val="single" w:sz="4" w:space="0" w:color="auto"/>
              <w:right w:val="single" w:sz="4" w:space="0" w:color="auto"/>
            </w:tcBorders>
            <w:vAlign w:val="center"/>
          </w:tcPr>
          <w:p w14:paraId="59428E4D" w14:textId="77777777" w:rsidR="00FA7EEB" w:rsidRPr="001570EA" w:rsidRDefault="00FA7EEB">
            <w:pPr>
              <w:jc w:val="center"/>
              <w:rPr>
                <w:rFonts w:cs="Arial"/>
                <w:sz w:val="18"/>
                <w:szCs w:val="18"/>
              </w:rPr>
            </w:pPr>
            <w:r w:rsidRPr="001570EA">
              <w:rPr>
                <w:rFonts w:cs="Arial"/>
                <w:sz w:val="18"/>
                <w:szCs w:val="18"/>
              </w:rPr>
              <w:t>0.050</w:t>
            </w:r>
          </w:p>
        </w:tc>
      </w:tr>
      <w:tr w:rsidR="00FA7EEB" w:rsidRPr="001570EA" w14:paraId="150347FF" w14:textId="77777777" w:rsidTr="00BC4400">
        <w:trPr>
          <w:trHeight w:val="283"/>
        </w:trPr>
        <w:tc>
          <w:tcPr>
            <w:tcW w:w="3230" w:type="dxa"/>
            <w:tcBorders>
              <w:top w:val="single" w:sz="4" w:space="0" w:color="auto"/>
              <w:left w:val="single" w:sz="4" w:space="0" w:color="auto"/>
              <w:bottom w:val="single" w:sz="4" w:space="0" w:color="auto"/>
              <w:right w:val="single" w:sz="4" w:space="0" w:color="auto"/>
            </w:tcBorders>
            <w:vAlign w:val="center"/>
          </w:tcPr>
          <w:p w14:paraId="3F1E8C37" w14:textId="77777777" w:rsidR="00FA7EEB" w:rsidRPr="001570EA" w:rsidRDefault="00FA7EEB">
            <w:pPr>
              <w:jc w:val="center"/>
              <w:rPr>
                <w:sz w:val="18"/>
                <w:szCs w:val="18"/>
              </w:rPr>
            </w:pPr>
            <w:r w:rsidRPr="001570EA">
              <w:rPr>
                <w:sz w:val="18"/>
                <w:szCs w:val="18"/>
              </w:rPr>
              <w:t>Above Grade Wall U-Factor, Metal framed</w:t>
            </w:r>
          </w:p>
        </w:tc>
        <w:tc>
          <w:tcPr>
            <w:tcW w:w="1050" w:type="dxa"/>
            <w:tcBorders>
              <w:top w:val="single" w:sz="4" w:space="0" w:color="auto"/>
              <w:left w:val="single" w:sz="4" w:space="0" w:color="auto"/>
              <w:bottom w:val="single" w:sz="4" w:space="0" w:color="auto"/>
              <w:right w:val="single" w:sz="4" w:space="0" w:color="auto"/>
            </w:tcBorders>
            <w:vAlign w:val="center"/>
          </w:tcPr>
          <w:p w14:paraId="11F5DD0B" w14:textId="77777777" w:rsidR="00FA7EEB" w:rsidRPr="001570EA" w:rsidRDefault="00FA7EEB">
            <w:pPr>
              <w:jc w:val="center"/>
              <w:rPr>
                <w:rFonts w:cs="Arial"/>
                <w:sz w:val="18"/>
                <w:szCs w:val="18"/>
              </w:rPr>
            </w:pPr>
            <w:r w:rsidRPr="001570EA">
              <w:rPr>
                <w:rFonts w:cs="Arial"/>
                <w:sz w:val="18"/>
                <w:szCs w:val="18"/>
              </w:rPr>
              <w:t>0.064</w:t>
            </w:r>
          </w:p>
        </w:tc>
        <w:tc>
          <w:tcPr>
            <w:tcW w:w="1050" w:type="dxa"/>
            <w:tcBorders>
              <w:top w:val="single" w:sz="4" w:space="0" w:color="auto"/>
              <w:left w:val="single" w:sz="4" w:space="0" w:color="auto"/>
              <w:bottom w:val="single" w:sz="4" w:space="0" w:color="auto"/>
              <w:right w:val="single" w:sz="4" w:space="0" w:color="auto"/>
            </w:tcBorders>
            <w:vAlign w:val="center"/>
          </w:tcPr>
          <w:p w14:paraId="202DB847" w14:textId="77777777" w:rsidR="00FA7EEB" w:rsidRPr="001570EA" w:rsidRDefault="00FA7EEB">
            <w:pPr>
              <w:jc w:val="center"/>
              <w:rPr>
                <w:rFonts w:cs="Arial"/>
                <w:sz w:val="18"/>
                <w:szCs w:val="18"/>
              </w:rPr>
            </w:pPr>
            <w:r w:rsidRPr="001570EA">
              <w:rPr>
                <w:rFonts w:cs="Arial"/>
                <w:sz w:val="18"/>
                <w:szCs w:val="18"/>
              </w:rPr>
              <w:t>0.055</w:t>
            </w:r>
          </w:p>
        </w:tc>
      </w:tr>
      <w:tr w:rsidR="00FA7EEB" w:rsidRPr="001570EA" w14:paraId="1E6848F3" w14:textId="77777777" w:rsidTr="00BC4400">
        <w:trPr>
          <w:trHeight w:val="283"/>
        </w:trPr>
        <w:tc>
          <w:tcPr>
            <w:tcW w:w="3230" w:type="dxa"/>
            <w:tcBorders>
              <w:top w:val="single" w:sz="4" w:space="0" w:color="auto"/>
              <w:left w:val="single" w:sz="4" w:space="0" w:color="auto"/>
              <w:bottom w:val="single" w:sz="4" w:space="0" w:color="auto"/>
              <w:right w:val="single" w:sz="4" w:space="0" w:color="auto"/>
            </w:tcBorders>
            <w:vAlign w:val="center"/>
          </w:tcPr>
          <w:p w14:paraId="39EDD110" w14:textId="77777777" w:rsidR="00FA7EEB" w:rsidRPr="001570EA" w:rsidRDefault="00FA7EEB">
            <w:pPr>
              <w:jc w:val="center"/>
              <w:rPr>
                <w:sz w:val="18"/>
                <w:szCs w:val="18"/>
              </w:rPr>
            </w:pPr>
            <w:r w:rsidRPr="001570EA">
              <w:rPr>
                <w:sz w:val="18"/>
                <w:szCs w:val="18"/>
              </w:rPr>
              <w:t>Above Grade Wall U-Factor, Wood framed and other</w:t>
            </w:r>
          </w:p>
        </w:tc>
        <w:tc>
          <w:tcPr>
            <w:tcW w:w="1050" w:type="dxa"/>
            <w:tcBorders>
              <w:top w:val="single" w:sz="4" w:space="0" w:color="auto"/>
              <w:left w:val="single" w:sz="4" w:space="0" w:color="auto"/>
              <w:bottom w:val="single" w:sz="4" w:space="0" w:color="auto"/>
              <w:right w:val="single" w:sz="4" w:space="0" w:color="auto"/>
            </w:tcBorders>
            <w:vAlign w:val="center"/>
          </w:tcPr>
          <w:p w14:paraId="737A1AF7" w14:textId="77777777" w:rsidR="00FA7EEB" w:rsidRPr="001570EA" w:rsidRDefault="00FA7EEB">
            <w:pPr>
              <w:jc w:val="center"/>
              <w:rPr>
                <w:rFonts w:cs="Arial"/>
                <w:sz w:val="18"/>
                <w:szCs w:val="18"/>
              </w:rPr>
            </w:pPr>
            <w:r w:rsidRPr="001570EA">
              <w:rPr>
                <w:rFonts w:cs="Arial"/>
                <w:sz w:val="18"/>
                <w:szCs w:val="18"/>
              </w:rPr>
              <w:t>0.064</w:t>
            </w:r>
          </w:p>
        </w:tc>
        <w:tc>
          <w:tcPr>
            <w:tcW w:w="1050" w:type="dxa"/>
            <w:tcBorders>
              <w:top w:val="single" w:sz="4" w:space="0" w:color="auto"/>
              <w:left w:val="single" w:sz="4" w:space="0" w:color="auto"/>
              <w:bottom w:val="single" w:sz="4" w:space="0" w:color="auto"/>
              <w:right w:val="single" w:sz="4" w:space="0" w:color="auto"/>
            </w:tcBorders>
            <w:vAlign w:val="center"/>
          </w:tcPr>
          <w:p w14:paraId="2E6972DD" w14:textId="77777777" w:rsidR="00FA7EEB" w:rsidRPr="001570EA" w:rsidRDefault="00FA7EEB">
            <w:pPr>
              <w:jc w:val="center"/>
              <w:rPr>
                <w:rFonts w:cs="Arial"/>
                <w:sz w:val="18"/>
                <w:szCs w:val="18"/>
              </w:rPr>
            </w:pPr>
            <w:r w:rsidRPr="001570EA">
              <w:rPr>
                <w:rFonts w:cs="Arial"/>
                <w:sz w:val="18"/>
                <w:szCs w:val="18"/>
              </w:rPr>
              <w:t>0.051</w:t>
            </w:r>
          </w:p>
        </w:tc>
      </w:tr>
      <w:tr w:rsidR="00FA7EEB" w:rsidRPr="001570EA" w14:paraId="13EC9ED8" w14:textId="77777777" w:rsidTr="00BC4400">
        <w:trPr>
          <w:trHeight w:val="283"/>
        </w:trPr>
        <w:tc>
          <w:tcPr>
            <w:tcW w:w="3230" w:type="dxa"/>
            <w:tcBorders>
              <w:top w:val="single" w:sz="4" w:space="0" w:color="auto"/>
              <w:left w:val="single" w:sz="4" w:space="0" w:color="auto"/>
              <w:bottom w:val="single" w:sz="4" w:space="0" w:color="auto"/>
              <w:right w:val="single" w:sz="4" w:space="0" w:color="auto"/>
            </w:tcBorders>
            <w:vAlign w:val="center"/>
          </w:tcPr>
          <w:p w14:paraId="21C362C1" w14:textId="77777777" w:rsidR="00FA7EEB" w:rsidRPr="001570EA" w:rsidRDefault="00FA7EEB">
            <w:pPr>
              <w:jc w:val="center"/>
              <w:rPr>
                <w:sz w:val="18"/>
                <w:szCs w:val="18"/>
              </w:rPr>
            </w:pPr>
            <w:r w:rsidRPr="001570EA">
              <w:rPr>
                <w:sz w:val="18"/>
                <w:szCs w:val="18"/>
              </w:rPr>
              <w:t>Below Grade Wall C-Factor</w:t>
            </w:r>
          </w:p>
        </w:tc>
        <w:tc>
          <w:tcPr>
            <w:tcW w:w="1050" w:type="dxa"/>
            <w:tcBorders>
              <w:top w:val="single" w:sz="4" w:space="0" w:color="auto"/>
              <w:left w:val="single" w:sz="4" w:space="0" w:color="auto"/>
              <w:bottom w:val="single" w:sz="4" w:space="0" w:color="auto"/>
              <w:right w:val="single" w:sz="4" w:space="0" w:color="auto"/>
            </w:tcBorders>
            <w:vAlign w:val="center"/>
          </w:tcPr>
          <w:p w14:paraId="5FB03CBC" w14:textId="77777777" w:rsidR="00FA7EEB" w:rsidRPr="001570EA" w:rsidRDefault="00FA7EEB">
            <w:pPr>
              <w:jc w:val="center"/>
              <w:rPr>
                <w:rFonts w:cs="Arial"/>
                <w:sz w:val="18"/>
                <w:szCs w:val="18"/>
              </w:rPr>
            </w:pPr>
            <w:r w:rsidRPr="001570EA">
              <w:rPr>
                <w:rFonts w:cs="Arial"/>
                <w:sz w:val="18"/>
                <w:szCs w:val="18"/>
              </w:rPr>
              <w:t>0.119</w:t>
            </w:r>
          </w:p>
        </w:tc>
        <w:tc>
          <w:tcPr>
            <w:tcW w:w="1050" w:type="dxa"/>
            <w:tcBorders>
              <w:top w:val="single" w:sz="4" w:space="0" w:color="auto"/>
              <w:left w:val="single" w:sz="4" w:space="0" w:color="auto"/>
              <w:bottom w:val="single" w:sz="4" w:space="0" w:color="auto"/>
              <w:right w:val="single" w:sz="4" w:space="0" w:color="auto"/>
            </w:tcBorders>
            <w:vAlign w:val="center"/>
          </w:tcPr>
          <w:p w14:paraId="0716E219" w14:textId="77777777" w:rsidR="00FA7EEB" w:rsidRPr="001570EA" w:rsidRDefault="00FA7EEB">
            <w:pPr>
              <w:jc w:val="center"/>
              <w:rPr>
                <w:rFonts w:cs="Arial"/>
                <w:sz w:val="18"/>
                <w:szCs w:val="18"/>
              </w:rPr>
            </w:pPr>
            <w:r w:rsidRPr="001570EA">
              <w:rPr>
                <w:rFonts w:cs="Arial"/>
                <w:sz w:val="18"/>
                <w:szCs w:val="18"/>
              </w:rPr>
              <w:t>0.119</w:t>
            </w:r>
          </w:p>
        </w:tc>
      </w:tr>
      <w:tr w:rsidR="00FA7EEB" w:rsidRPr="001570EA" w14:paraId="23B0BE5A" w14:textId="77777777" w:rsidTr="00BC4400">
        <w:trPr>
          <w:trHeight w:val="283"/>
        </w:trPr>
        <w:tc>
          <w:tcPr>
            <w:tcW w:w="3230" w:type="dxa"/>
            <w:tcBorders>
              <w:top w:val="single" w:sz="4" w:space="0" w:color="auto"/>
              <w:left w:val="single" w:sz="4" w:space="0" w:color="auto"/>
              <w:bottom w:val="single" w:sz="4" w:space="0" w:color="auto"/>
              <w:right w:val="single" w:sz="4" w:space="0" w:color="auto"/>
            </w:tcBorders>
            <w:vAlign w:val="center"/>
          </w:tcPr>
          <w:p w14:paraId="77967C10" w14:textId="77777777" w:rsidR="00FA7EEB" w:rsidRPr="001570EA" w:rsidRDefault="00FA7EEB">
            <w:pPr>
              <w:jc w:val="center"/>
              <w:rPr>
                <w:sz w:val="18"/>
                <w:szCs w:val="18"/>
              </w:rPr>
            </w:pPr>
            <w:r w:rsidRPr="001570EA">
              <w:rPr>
                <w:sz w:val="18"/>
                <w:szCs w:val="18"/>
              </w:rPr>
              <w:t>Floor U-Factor, Mass</w:t>
            </w:r>
          </w:p>
        </w:tc>
        <w:tc>
          <w:tcPr>
            <w:tcW w:w="1050" w:type="dxa"/>
            <w:tcBorders>
              <w:top w:val="single" w:sz="4" w:space="0" w:color="auto"/>
              <w:left w:val="single" w:sz="4" w:space="0" w:color="auto"/>
              <w:bottom w:val="single" w:sz="4" w:space="0" w:color="auto"/>
              <w:right w:val="single" w:sz="4" w:space="0" w:color="auto"/>
            </w:tcBorders>
            <w:vAlign w:val="center"/>
          </w:tcPr>
          <w:p w14:paraId="63226979" w14:textId="77777777" w:rsidR="00FA7EEB" w:rsidRPr="001570EA" w:rsidRDefault="00FA7EEB">
            <w:pPr>
              <w:jc w:val="center"/>
              <w:rPr>
                <w:rFonts w:cs="Arial"/>
                <w:sz w:val="18"/>
                <w:szCs w:val="18"/>
              </w:rPr>
            </w:pPr>
            <w:r w:rsidRPr="001570EA">
              <w:rPr>
                <w:rFonts w:cs="Arial"/>
                <w:sz w:val="18"/>
                <w:szCs w:val="18"/>
              </w:rPr>
              <w:t>0.057</w:t>
            </w:r>
          </w:p>
        </w:tc>
        <w:tc>
          <w:tcPr>
            <w:tcW w:w="1050" w:type="dxa"/>
            <w:tcBorders>
              <w:top w:val="single" w:sz="4" w:space="0" w:color="auto"/>
              <w:left w:val="single" w:sz="4" w:space="0" w:color="auto"/>
              <w:bottom w:val="single" w:sz="4" w:space="0" w:color="auto"/>
              <w:right w:val="single" w:sz="4" w:space="0" w:color="auto"/>
            </w:tcBorders>
            <w:vAlign w:val="center"/>
          </w:tcPr>
          <w:p w14:paraId="3A3523F2" w14:textId="77777777" w:rsidR="00FA7EEB" w:rsidRPr="001570EA" w:rsidRDefault="00FA7EEB">
            <w:pPr>
              <w:jc w:val="center"/>
              <w:rPr>
                <w:rFonts w:cs="Arial"/>
                <w:sz w:val="18"/>
                <w:szCs w:val="18"/>
              </w:rPr>
            </w:pPr>
            <w:r w:rsidRPr="001570EA">
              <w:rPr>
                <w:rFonts w:cs="Arial"/>
                <w:sz w:val="18"/>
                <w:szCs w:val="18"/>
              </w:rPr>
              <w:t>0.057</w:t>
            </w:r>
          </w:p>
        </w:tc>
      </w:tr>
      <w:tr w:rsidR="00FA7EEB" w:rsidRPr="001570EA" w14:paraId="3C101BEF" w14:textId="77777777" w:rsidTr="00BC4400">
        <w:trPr>
          <w:trHeight w:val="283"/>
        </w:trPr>
        <w:tc>
          <w:tcPr>
            <w:tcW w:w="3230" w:type="dxa"/>
            <w:tcBorders>
              <w:top w:val="single" w:sz="4" w:space="0" w:color="auto"/>
              <w:left w:val="single" w:sz="4" w:space="0" w:color="auto"/>
              <w:bottom w:val="single" w:sz="4" w:space="0" w:color="auto"/>
              <w:right w:val="single" w:sz="4" w:space="0" w:color="auto"/>
            </w:tcBorders>
            <w:vAlign w:val="center"/>
          </w:tcPr>
          <w:p w14:paraId="4E834874" w14:textId="77777777" w:rsidR="00FA7EEB" w:rsidRPr="001570EA" w:rsidRDefault="00FA7EEB">
            <w:pPr>
              <w:jc w:val="center"/>
              <w:rPr>
                <w:sz w:val="18"/>
                <w:szCs w:val="18"/>
              </w:rPr>
            </w:pPr>
            <w:r w:rsidRPr="001570EA">
              <w:rPr>
                <w:sz w:val="18"/>
                <w:szCs w:val="18"/>
              </w:rPr>
              <w:t>Floor U-Factor, Joist/framing</w:t>
            </w:r>
          </w:p>
        </w:tc>
        <w:tc>
          <w:tcPr>
            <w:tcW w:w="1050" w:type="dxa"/>
            <w:tcBorders>
              <w:top w:val="single" w:sz="4" w:space="0" w:color="auto"/>
              <w:left w:val="single" w:sz="4" w:space="0" w:color="auto"/>
              <w:bottom w:val="single" w:sz="4" w:space="0" w:color="auto"/>
              <w:right w:val="single" w:sz="4" w:space="0" w:color="auto"/>
            </w:tcBorders>
            <w:vAlign w:val="center"/>
          </w:tcPr>
          <w:p w14:paraId="1D7F681A" w14:textId="77777777" w:rsidR="00FA7EEB" w:rsidRPr="001570EA" w:rsidRDefault="00FA7EEB">
            <w:pPr>
              <w:jc w:val="center"/>
              <w:rPr>
                <w:rFonts w:cs="Arial"/>
                <w:sz w:val="18"/>
                <w:szCs w:val="18"/>
              </w:rPr>
            </w:pPr>
            <w:r w:rsidRPr="001570EA">
              <w:rPr>
                <w:rFonts w:cs="Arial"/>
                <w:sz w:val="18"/>
                <w:szCs w:val="18"/>
              </w:rPr>
              <w:t>0.033</w:t>
            </w:r>
          </w:p>
        </w:tc>
        <w:tc>
          <w:tcPr>
            <w:tcW w:w="1050" w:type="dxa"/>
            <w:tcBorders>
              <w:top w:val="single" w:sz="4" w:space="0" w:color="auto"/>
              <w:left w:val="single" w:sz="4" w:space="0" w:color="auto"/>
              <w:bottom w:val="single" w:sz="4" w:space="0" w:color="auto"/>
              <w:right w:val="single" w:sz="4" w:space="0" w:color="auto"/>
            </w:tcBorders>
            <w:vAlign w:val="center"/>
          </w:tcPr>
          <w:p w14:paraId="3BC97EBE" w14:textId="77777777" w:rsidR="00FA7EEB" w:rsidRPr="001570EA" w:rsidRDefault="00FA7EEB">
            <w:pPr>
              <w:jc w:val="center"/>
              <w:rPr>
                <w:rFonts w:cs="Arial"/>
                <w:sz w:val="18"/>
                <w:szCs w:val="18"/>
              </w:rPr>
            </w:pPr>
            <w:r w:rsidRPr="001570EA">
              <w:rPr>
                <w:rFonts w:cs="Arial"/>
                <w:sz w:val="18"/>
                <w:szCs w:val="18"/>
              </w:rPr>
              <w:t>0.033</w:t>
            </w:r>
          </w:p>
        </w:tc>
      </w:tr>
      <w:tr w:rsidR="00FA7EEB" w:rsidRPr="001570EA" w14:paraId="755C0440" w14:textId="77777777" w:rsidTr="00BC4400">
        <w:trPr>
          <w:trHeight w:val="283"/>
        </w:trPr>
        <w:tc>
          <w:tcPr>
            <w:tcW w:w="3230" w:type="dxa"/>
            <w:tcBorders>
              <w:top w:val="single" w:sz="4" w:space="0" w:color="auto"/>
              <w:left w:val="single" w:sz="4" w:space="0" w:color="auto"/>
              <w:bottom w:val="single" w:sz="4" w:space="0" w:color="auto"/>
              <w:right w:val="single" w:sz="4" w:space="0" w:color="auto"/>
            </w:tcBorders>
            <w:vAlign w:val="center"/>
          </w:tcPr>
          <w:p w14:paraId="510C82A7" w14:textId="77777777" w:rsidR="00FA7EEB" w:rsidRPr="001570EA" w:rsidRDefault="00FA7EEB">
            <w:pPr>
              <w:jc w:val="center"/>
              <w:rPr>
                <w:sz w:val="18"/>
                <w:szCs w:val="18"/>
              </w:rPr>
            </w:pPr>
            <w:r w:rsidRPr="001570EA">
              <w:rPr>
                <w:sz w:val="18"/>
                <w:szCs w:val="18"/>
              </w:rPr>
              <w:t>Slab-on-grade Floors, F-Factor, Unheated</w:t>
            </w:r>
          </w:p>
        </w:tc>
        <w:tc>
          <w:tcPr>
            <w:tcW w:w="1050" w:type="dxa"/>
            <w:tcBorders>
              <w:top w:val="single" w:sz="4" w:space="0" w:color="auto"/>
              <w:left w:val="single" w:sz="4" w:space="0" w:color="auto"/>
              <w:bottom w:val="single" w:sz="4" w:space="0" w:color="auto"/>
              <w:right w:val="single" w:sz="4" w:space="0" w:color="auto"/>
            </w:tcBorders>
            <w:vAlign w:val="center"/>
          </w:tcPr>
          <w:p w14:paraId="67FD30E9" w14:textId="77777777" w:rsidR="00FA7EEB" w:rsidRPr="001570EA" w:rsidRDefault="00FA7EEB">
            <w:pPr>
              <w:jc w:val="center"/>
              <w:rPr>
                <w:rFonts w:cs="Arial"/>
                <w:sz w:val="18"/>
                <w:szCs w:val="18"/>
              </w:rPr>
            </w:pPr>
            <w:r w:rsidRPr="001570EA">
              <w:rPr>
                <w:rFonts w:cs="Arial"/>
                <w:sz w:val="18"/>
                <w:szCs w:val="18"/>
              </w:rPr>
              <w:t>0.52</w:t>
            </w:r>
          </w:p>
        </w:tc>
        <w:tc>
          <w:tcPr>
            <w:tcW w:w="1050" w:type="dxa"/>
            <w:tcBorders>
              <w:top w:val="single" w:sz="4" w:space="0" w:color="auto"/>
              <w:left w:val="single" w:sz="4" w:space="0" w:color="auto"/>
              <w:bottom w:val="single" w:sz="4" w:space="0" w:color="auto"/>
              <w:right w:val="single" w:sz="4" w:space="0" w:color="auto"/>
            </w:tcBorders>
            <w:vAlign w:val="center"/>
          </w:tcPr>
          <w:p w14:paraId="774A383A" w14:textId="77777777" w:rsidR="00FA7EEB" w:rsidRPr="001570EA" w:rsidRDefault="00FA7EEB">
            <w:pPr>
              <w:jc w:val="center"/>
              <w:rPr>
                <w:rFonts w:cs="Arial"/>
                <w:sz w:val="18"/>
                <w:szCs w:val="18"/>
              </w:rPr>
            </w:pPr>
            <w:r w:rsidRPr="001570EA">
              <w:rPr>
                <w:rFonts w:cs="Arial"/>
                <w:sz w:val="18"/>
                <w:szCs w:val="18"/>
              </w:rPr>
              <w:t>0.52</w:t>
            </w:r>
          </w:p>
        </w:tc>
      </w:tr>
      <w:tr w:rsidR="00FA7EEB" w:rsidRPr="001570EA" w14:paraId="06211705" w14:textId="77777777" w:rsidTr="00BC4400">
        <w:trPr>
          <w:trHeight w:val="283"/>
        </w:trPr>
        <w:tc>
          <w:tcPr>
            <w:tcW w:w="3230" w:type="dxa"/>
            <w:tcBorders>
              <w:top w:val="single" w:sz="4" w:space="0" w:color="auto"/>
              <w:left w:val="single" w:sz="4" w:space="0" w:color="auto"/>
              <w:bottom w:val="single" w:sz="4" w:space="0" w:color="auto"/>
              <w:right w:val="single" w:sz="4" w:space="0" w:color="auto"/>
            </w:tcBorders>
            <w:vAlign w:val="center"/>
          </w:tcPr>
          <w:p w14:paraId="661BFCC4" w14:textId="77777777" w:rsidR="00FA7EEB" w:rsidRPr="001570EA" w:rsidRDefault="00FA7EEB">
            <w:pPr>
              <w:jc w:val="center"/>
              <w:rPr>
                <w:sz w:val="18"/>
                <w:szCs w:val="18"/>
              </w:rPr>
            </w:pPr>
            <w:r w:rsidRPr="001570EA">
              <w:rPr>
                <w:sz w:val="18"/>
                <w:szCs w:val="18"/>
              </w:rPr>
              <w:t xml:space="preserve">Slab-on-grade Floors, F-Factor, Heated </w:t>
            </w:r>
          </w:p>
        </w:tc>
        <w:tc>
          <w:tcPr>
            <w:tcW w:w="1050" w:type="dxa"/>
            <w:tcBorders>
              <w:top w:val="single" w:sz="4" w:space="0" w:color="auto"/>
              <w:left w:val="single" w:sz="4" w:space="0" w:color="auto"/>
              <w:bottom w:val="single" w:sz="4" w:space="0" w:color="auto"/>
              <w:right w:val="single" w:sz="4" w:space="0" w:color="auto"/>
            </w:tcBorders>
            <w:vAlign w:val="center"/>
          </w:tcPr>
          <w:p w14:paraId="5ABCCC3C" w14:textId="77777777" w:rsidR="00FA7EEB" w:rsidRPr="001570EA" w:rsidRDefault="00FA7EEB">
            <w:pPr>
              <w:jc w:val="center"/>
              <w:rPr>
                <w:rFonts w:cs="Arial"/>
                <w:sz w:val="18"/>
                <w:szCs w:val="18"/>
              </w:rPr>
            </w:pPr>
            <w:r w:rsidRPr="001570EA">
              <w:rPr>
                <w:rFonts w:cs="Arial"/>
                <w:sz w:val="18"/>
                <w:szCs w:val="18"/>
              </w:rPr>
              <w:t>0.62</w:t>
            </w:r>
          </w:p>
        </w:tc>
        <w:tc>
          <w:tcPr>
            <w:tcW w:w="1050" w:type="dxa"/>
            <w:tcBorders>
              <w:top w:val="single" w:sz="4" w:space="0" w:color="auto"/>
              <w:left w:val="single" w:sz="4" w:space="0" w:color="auto"/>
              <w:bottom w:val="single" w:sz="4" w:space="0" w:color="auto"/>
              <w:right w:val="single" w:sz="4" w:space="0" w:color="auto"/>
            </w:tcBorders>
            <w:vAlign w:val="center"/>
          </w:tcPr>
          <w:p w14:paraId="17F3FC41" w14:textId="77777777" w:rsidR="00FA7EEB" w:rsidRPr="001570EA" w:rsidRDefault="00FA7EEB">
            <w:pPr>
              <w:jc w:val="center"/>
              <w:rPr>
                <w:rFonts w:cs="Arial"/>
                <w:sz w:val="18"/>
                <w:szCs w:val="18"/>
              </w:rPr>
            </w:pPr>
            <w:r w:rsidRPr="001570EA">
              <w:rPr>
                <w:rFonts w:cs="Arial"/>
                <w:sz w:val="18"/>
                <w:szCs w:val="18"/>
              </w:rPr>
              <w:t>0.62</w:t>
            </w:r>
          </w:p>
        </w:tc>
      </w:tr>
    </w:tbl>
    <w:p w14:paraId="3E7CC048" w14:textId="77777777" w:rsidR="00FA7EEB" w:rsidRPr="001570EA" w:rsidRDefault="00FA7EEB" w:rsidP="00FA7EEB"/>
    <w:p w14:paraId="5DA58B34" w14:textId="0F1BAA6A" w:rsidR="00FA7EEB" w:rsidRPr="001570EA" w:rsidRDefault="00E37DA0" w:rsidP="00E37DA0">
      <w:pPr>
        <w:pStyle w:val="Caption"/>
      </w:pPr>
      <w:bookmarkStart w:id="1221" w:name="_Ref163982653"/>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157</w:t>
      </w:r>
      <w:r w:rsidR="002E093A" w:rsidRPr="001570EA">
        <w:fldChar w:fldCharType="end"/>
      </w:r>
      <w:bookmarkEnd w:id="1221"/>
      <w:r w:rsidRPr="001570EA">
        <w:t>: Residential New Construction Baseline Building Values for Buildings 4 Stories or Higher</w:t>
      </w:r>
    </w:p>
    <w:tbl>
      <w:tblPr>
        <w:tblW w:w="4934" w:type="pct"/>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362"/>
        <w:gridCol w:w="5343"/>
        <w:gridCol w:w="805"/>
      </w:tblGrid>
      <w:tr w:rsidR="00FA7EEB" w:rsidRPr="001570EA" w14:paraId="366EC0C3" w14:textId="77777777">
        <w:trPr>
          <w:cantSplit/>
          <w:trHeight w:val="317"/>
          <w:tblHeader/>
        </w:trPr>
        <w:tc>
          <w:tcPr>
            <w:tcW w:w="1388" w:type="pct"/>
            <w:shd w:val="clear" w:color="auto" w:fill="BFBFBF" w:themeFill="background1" w:themeFillShade="BF"/>
            <w:tcMar>
              <w:left w:w="115" w:type="dxa"/>
              <w:right w:w="115" w:type="dxa"/>
            </w:tcMar>
            <w:vAlign w:val="center"/>
          </w:tcPr>
          <w:p w14:paraId="32DA4526" w14:textId="77777777" w:rsidR="00FA7EEB" w:rsidRPr="001570EA" w:rsidRDefault="00FA7EEB">
            <w:pPr>
              <w:pStyle w:val="TableCell"/>
              <w:keepNext w:val="0"/>
              <w:spacing w:before="60" w:after="60"/>
              <w:jc w:val="left"/>
              <w:rPr>
                <w:rFonts w:ascii="Arial Unicode MS" w:eastAsia="Arial Unicode MS" w:hAnsi="Arial Unicode MS" w:cs="Arial Unicode MS"/>
                <w:b/>
                <w:bCs/>
              </w:rPr>
            </w:pPr>
            <w:r w:rsidRPr="001570EA">
              <w:rPr>
                <w:b/>
                <w:bCs/>
              </w:rPr>
              <w:t>Data Point</w:t>
            </w:r>
          </w:p>
        </w:tc>
        <w:tc>
          <w:tcPr>
            <w:tcW w:w="3139" w:type="pct"/>
            <w:shd w:val="clear" w:color="auto" w:fill="BFBFBF" w:themeFill="background1" w:themeFillShade="BF"/>
            <w:tcMar>
              <w:left w:w="115" w:type="dxa"/>
              <w:right w:w="115" w:type="dxa"/>
            </w:tcMar>
            <w:vAlign w:val="center"/>
          </w:tcPr>
          <w:p w14:paraId="7A9B94EC" w14:textId="77777777" w:rsidR="00FA7EEB" w:rsidRPr="001570EA" w:rsidRDefault="00FA7EEB">
            <w:pPr>
              <w:pStyle w:val="TableCell"/>
              <w:keepNext w:val="0"/>
              <w:spacing w:before="60" w:after="60"/>
              <w:jc w:val="center"/>
              <w:rPr>
                <w:rFonts w:ascii="Arial Unicode MS" w:eastAsia="Arial Unicode MS" w:hAnsi="Arial Unicode MS" w:cs="Arial Unicode MS"/>
                <w:b/>
                <w:bCs/>
              </w:rPr>
            </w:pPr>
            <w:r w:rsidRPr="001570EA">
              <w:rPr>
                <w:b/>
                <w:bCs/>
              </w:rPr>
              <w:t>Value</w:t>
            </w:r>
          </w:p>
        </w:tc>
        <w:tc>
          <w:tcPr>
            <w:tcW w:w="473" w:type="pct"/>
            <w:shd w:val="clear" w:color="auto" w:fill="BFBFBF" w:themeFill="background1" w:themeFillShade="BF"/>
          </w:tcPr>
          <w:p w14:paraId="3DAD24EF" w14:textId="77777777" w:rsidR="00FA7EEB" w:rsidRPr="001570EA" w:rsidDel="00F5233A" w:rsidRDefault="00FA7EEB">
            <w:pPr>
              <w:pStyle w:val="TableCell"/>
              <w:keepNext w:val="0"/>
              <w:spacing w:before="60" w:after="60"/>
              <w:jc w:val="center"/>
              <w:rPr>
                <w:b/>
              </w:rPr>
            </w:pPr>
            <w:r w:rsidRPr="001570EA">
              <w:rPr>
                <w:b/>
              </w:rPr>
              <w:t>Source</w:t>
            </w:r>
          </w:p>
        </w:tc>
      </w:tr>
      <w:tr w:rsidR="00FA7EEB" w:rsidRPr="001570EA" w14:paraId="734BEBD1" w14:textId="77777777">
        <w:trPr>
          <w:cantSplit/>
          <w:trHeight w:val="317"/>
        </w:trPr>
        <w:tc>
          <w:tcPr>
            <w:tcW w:w="1388" w:type="pct"/>
            <w:tcMar>
              <w:left w:w="115" w:type="dxa"/>
              <w:right w:w="115" w:type="dxa"/>
            </w:tcMar>
          </w:tcPr>
          <w:p w14:paraId="51E5CDCF" w14:textId="77777777" w:rsidR="00FA7EEB" w:rsidRPr="001570EA" w:rsidRDefault="00FA7EEB">
            <w:pPr>
              <w:pStyle w:val="TableCell"/>
              <w:keepNext w:val="0"/>
              <w:spacing w:before="60" w:after="60"/>
              <w:jc w:val="left"/>
            </w:pPr>
            <w:r w:rsidRPr="001570EA">
              <w:t>Air Infiltration Rate</w:t>
            </w:r>
          </w:p>
        </w:tc>
        <w:tc>
          <w:tcPr>
            <w:tcW w:w="3139" w:type="pct"/>
            <w:tcMar>
              <w:left w:w="115" w:type="dxa"/>
              <w:right w:w="115" w:type="dxa"/>
            </w:tcMar>
          </w:tcPr>
          <w:p w14:paraId="78155749" w14:textId="77777777" w:rsidR="00FA7EEB" w:rsidRPr="001570EA" w:rsidRDefault="00FA7EEB">
            <w:pPr>
              <w:pStyle w:val="TableCell"/>
              <w:keepNext w:val="0"/>
              <w:spacing w:before="60" w:after="60"/>
              <w:jc w:val="center"/>
            </w:pPr>
            <w:r w:rsidRPr="001570EA">
              <w:t>0.3 cfm/ft</w:t>
            </w:r>
            <w:r w:rsidRPr="001570EA">
              <w:rPr>
                <w:vertAlign w:val="superscript"/>
              </w:rPr>
              <w:t>2</w:t>
            </w:r>
          </w:p>
        </w:tc>
        <w:tc>
          <w:tcPr>
            <w:tcW w:w="473" w:type="pct"/>
          </w:tcPr>
          <w:p w14:paraId="65C28A99" w14:textId="77777777" w:rsidR="00FA7EEB" w:rsidRPr="001570EA" w:rsidRDefault="00FA7EEB">
            <w:pPr>
              <w:pStyle w:val="TableCell"/>
              <w:keepNext w:val="0"/>
              <w:spacing w:before="60" w:after="60"/>
              <w:jc w:val="center"/>
            </w:pPr>
            <w:r w:rsidRPr="001570EA">
              <w:t>15</w:t>
            </w:r>
          </w:p>
        </w:tc>
      </w:tr>
      <w:tr w:rsidR="00FA7EEB" w:rsidRPr="001570EA" w14:paraId="00DD1B25" w14:textId="77777777">
        <w:trPr>
          <w:cantSplit/>
          <w:trHeight w:val="317"/>
        </w:trPr>
        <w:tc>
          <w:tcPr>
            <w:tcW w:w="1388" w:type="pct"/>
            <w:tcMar>
              <w:left w:w="115" w:type="dxa"/>
              <w:right w:w="115" w:type="dxa"/>
            </w:tcMar>
          </w:tcPr>
          <w:p w14:paraId="42A2A1C5" w14:textId="77777777" w:rsidR="00FA7EEB" w:rsidRPr="001570EA" w:rsidRDefault="00FA7EEB">
            <w:pPr>
              <w:pStyle w:val="TableCell"/>
              <w:keepNext w:val="0"/>
              <w:spacing w:before="60" w:after="60"/>
              <w:jc w:val="left"/>
            </w:pPr>
            <w:r w:rsidRPr="001570EA">
              <w:t>Duct Insulation</w:t>
            </w:r>
          </w:p>
        </w:tc>
        <w:tc>
          <w:tcPr>
            <w:tcW w:w="3139" w:type="pct"/>
            <w:tcMar>
              <w:left w:w="115" w:type="dxa"/>
              <w:right w:w="115" w:type="dxa"/>
            </w:tcMar>
          </w:tcPr>
          <w:p w14:paraId="7424CB52" w14:textId="77777777" w:rsidR="00FA7EEB" w:rsidRPr="001570EA" w:rsidRDefault="00FA7EEB">
            <w:pPr>
              <w:pStyle w:val="TableCell"/>
              <w:spacing w:before="60" w:after="60"/>
              <w:jc w:val="center"/>
            </w:pPr>
            <w:r w:rsidRPr="001570EA">
              <w:t xml:space="preserve">Unconditioned spaces = R-6 </w:t>
            </w:r>
          </w:p>
          <w:p w14:paraId="4298F0F1" w14:textId="77777777" w:rsidR="00FA7EEB" w:rsidRPr="001570EA" w:rsidRDefault="00FA7EEB">
            <w:pPr>
              <w:pStyle w:val="TableCell"/>
              <w:keepNext w:val="0"/>
              <w:spacing w:before="60" w:after="60"/>
              <w:jc w:val="center"/>
            </w:pPr>
            <w:r w:rsidRPr="001570EA">
              <w:t>Outside building = R-8 (zone 4) R-12 (zone 5)</w:t>
            </w:r>
          </w:p>
        </w:tc>
        <w:tc>
          <w:tcPr>
            <w:tcW w:w="473" w:type="pct"/>
          </w:tcPr>
          <w:p w14:paraId="0060139D" w14:textId="77777777" w:rsidR="00FA7EEB" w:rsidRPr="001570EA" w:rsidRDefault="00FA7EEB">
            <w:pPr>
              <w:pStyle w:val="TableCell"/>
              <w:keepNext w:val="0"/>
              <w:spacing w:before="60" w:after="60"/>
              <w:jc w:val="center"/>
            </w:pPr>
            <w:r w:rsidRPr="001570EA">
              <w:t>16</w:t>
            </w:r>
          </w:p>
        </w:tc>
      </w:tr>
      <w:tr w:rsidR="00FA7EEB" w:rsidRPr="001570EA" w14:paraId="75AC2297" w14:textId="77777777">
        <w:trPr>
          <w:cantSplit/>
          <w:trHeight w:val="317"/>
        </w:trPr>
        <w:tc>
          <w:tcPr>
            <w:tcW w:w="1388" w:type="pct"/>
            <w:tcMar>
              <w:left w:w="115" w:type="dxa"/>
              <w:right w:w="115" w:type="dxa"/>
            </w:tcMar>
          </w:tcPr>
          <w:p w14:paraId="3D671B42" w14:textId="77777777" w:rsidR="00FA7EEB" w:rsidRPr="001570EA" w:rsidRDefault="00FA7EEB">
            <w:pPr>
              <w:pStyle w:val="TableCell"/>
              <w:keepNext w:val="0"/>
              <w:spacing w:before="60" w:after="60"/>
              <w:jc w:val="left"/>
            </w:pPr>
            <w:r w:rsidRPr="001570EA">
              <w:t>Mechanical Ventilation</w:t>
            </w:r>
          </w:p>
        </w:tc>
        <w:tc>
          <w:tcPr>
            <w:tcW w:w="3139" w:type="pct"/>
            <w:tcMar>
              <w:left w:w="115" w:type="dxa"/>
              <w:right w:w="115" w:type="dxa"/>
            </w:tcMar>
            <w:vAlign w:val="center"/>
          </w:tcPr>
          <w:p w14:paraId="378D7966" w14:textId="77777777" w:rsidR="00FA7EEB" w:rsidRPr="001570EA" w:rsidRDefault="00FA7EEB">
            <w:pPr>
              <w:jc w:val="center"/>
              <w:rPr>
                <w:sz w:val="18"/>
              </w:rPr>
            </w:pPr>
            <w:r w:rsidRPr="001570EA">
              <w:rPr>
                <w:sz w:val="18"/>
              </w:rPr>
              <w:t>0.35 ACH but not less than 15 cfm/person</w:t>
            </w:r>
          </w:p>
        </w:tc>
        <w:tc>
          <w:tcPr>
            <w:tcW w:w="473" w:type="pct"/>
            <w:vAlign w:val="center"/>
          </w:tcPr>
          <w:p w14:paraId="4977029D" w14:textId="77777777" w:rsidR="00FA7EEB" w:rsidRPr="001570EA" w:rsidRDefault="00FA7EEB">
            <w:pPr>
              <w:pStyle w:val="TableCell"/>
              <w:keepNext w:val="0"/>
              <w:spacing w:before="60" w:after="60"/>
              <w:jc w:val="center"/>
            </w:pPr>
            <w:r w:rsidRPr="001570EA">
              <w:t>17</w:t>
            </w:r>
          </w:p>
        </w:tc>
      </w:tr>
      <w:tr w:rsidR="00FA7EEB" w:rsidRPr="001570EA" w14:paraId="55A37078" w14:textId="77777777">
        <w:trPr>
          <w:cantSplit/>
          <w:trHeight w:val="317"/>
        </w:trPr>
        <w:tc>
          <w:tcPr>
            <w:tcW w:w="1388" w:type="pct"/>
            <w:tcMar>
              <w:left w:w="115" w:type="dxa"/>
              <w:right w:w="115" w:type="dxa"/>
            </w:tcMar>
          </w:tcPr>
          <w:p w14:paraId="67B7E7B9" w14:textId="77777777" w:rsidR="00FA7EEB" w:rsidRPr="001570EA" w:rsidRDefault="00FA7EEB">
            <w:pPr>
              <w:pStyle w:val="TableCell"/>
              <w:keepNext w:val="0"/>
              <w:spacing w:before="60" w:after="60"/>
              <w:jc w:val="left"/>
            </w:pPr>
            <w:r w:rsidRPr="001570EA">
              <w:t>Lighting</w:t>
            </w:r>
          </w:p>
        </w:tc>
        <w:tc>
          <w:tcPr>
            <w:tcW w:w="3139" w:type="pct"/>
            <w:tcMar>
              <w:left w:w="115" w:type="dxa"/>
              <w:right w:w="115" w:type="dxa"/>
            </w:tcMar>
          </w:tcPr>
          <w:p w14:paraId="1541A191" w14:textId="5C9FE305" w:rsidR="00FA7EEB" w:rsidRPr="001570EA" w:rsidRDefault="00FA7EEB">
            <w:pPr>
              <w:pStyle w:val="TableCell"/>
              <w:keepNext w:val="0"/>
              <w:spacing w:before="60" w:after="60"/>
              <w:jc w:val="center"/>
            </w:pPr>
            <w:r w:rsidRPr="001570EA">
              <w:t xml:space="preserve">Use baseline wattage as defined in the </w:t>
            </w:r>
            <w:r w:rsidRPr="001570EA">
              <w:fldChar w:fldCharType="begin"/>
            </w:r>
            <w:r w:rsidRPr="001570EA">
              <w:instrText xml:space="preserve"> REF _Ref303086637 \h  \* MERGEFORMAT </w:instrText>
            </w:r>
            <w:r w:rsidRPr="001570EA">
              <w:fldChar w:fldCharType="separate"/>
            </w:r>
            <w:r w:rsidR="00234C6C" w:rsidRPr="001570EA">
              <w:t>Residential LED Lighting</w:t>
            </w:r>
            <w:r w:rsidRPr="001570EA">
              <w:fldChar w:fldCharType="end"/>
            </w:r>
            <w:r w:rsidRPr="001570EA">
              <w:t xml:space="preserve"> section of the TRM</w:t>
            </w:r>
            <w:r w:rsidR="008A1E82" w:rsidRPr="001570EA">
              <w:t xml:space="preserve"> (</w:t>
            </w:r>
            <w:r w:rsidR="008A1E82" w:rsidRPr="001570EA">
              <w:fldChar w:fldCharType="begin"/>
            </w:r>
            <w:r w:rsidR="008A1E82" w:rsidRPr="001570EA">
              <w:instrText xml:space="preserve"> REF _Ref303086637 \r \h  \* MERGEFORMAT </w:instrText>
            </w:r>
            <w:r w:rsidR="008A1E82" w:rsidRPr="001570EA">
              <w:fldChar w:fldCharType="separate"/>
            </w:r>
            <w:r w:rsidR="00234C6C" w:rsidRPr="001570EA">
              <w:t>2.1.1</w:t>
            </w:r>
            <w:r w:rsidR="008A1E82" w:rsidRPr="001570EA">
              <w:fldChar w:fldCharType="end"/>
            </w:r>
            <w:r w:rsidR="008A1E82" w:rsidRPr="001570EA">
              <w:t xml:space="preserve">), </w:t>
            </w:r>
            <w:r w:rsidR="008A1E82" w:rsidRPr="001570EA">
              <w:fldChar w:fldCharType="begin"/>
            </w:r>
            <w:r w:rsidR="008A1E82" w:rsidRPr="001570EA">
              <w:instrText xml:space="preserve"> REF _Ref364166254 \h  \* MERGEFORMAT </w:instrText>
            </w:r>
            <w:r w:rsidR="008A1E82" w:rsidRPr="001570EA">
              <w:fldChar w:fldCharType="separate"/>
            </w:r>
            <w:r w:rsidR="00234C6C" w:rsidRPr="001570EA">
              <w:t xml:space="preserve">Table </w:t>
            </w:r>
            <w:r w:rsidR="00234C6C" w:rsidRPr="001570EA">
              <w:rPr>
                <w:noProof/>
              </w:rPr>
              <w:t>2</w:t>
            </w:r>
            <w:r w:rsidR="00234C6C" w:rsidRPr="001570EA">
              <w:rPr>
                <w:noProof/>
              </w:rPr>
              <w:noBreakHyphen/>
              <w:t>2</w:t>
            </w:r>
            <w:r w:rsidR="008A1E82" w:rsidRPr="001570EA">
              <w:fldChar w:fldCharType="end"/>
            </w:r>
            <w:r w:rsidR="008A1E82" w:rsidRPr="001570EA">
              <w:t xml:space="preserve"> </w:t>
            </w:r>
            <w:r w:rsidRPr="001570EA">
              <w:t>for the residential units, and Lighting Improvement section (3.1.1) and New Construction Lighting section (3.1.2) of the TRM for common spaces</w:t>
            </w:r>
          </w:p>
        </w:tc>
        <w:tc>
          <w:tcPr>
            <w:tcW w:w="473" w:type="pct"/>
          </w:tcPr>
          <w:p w14:paraId="11DFE6BC" w14:textId="77777777" w:rsidR="00FA7EEB" w:rsidRPr="001570EA" w:rsidRDefault="00FA7EEB">
            <w:pPr>
              <w:pStyle w:val="TableCell"/>
              <w:keepNext w:val="0"/>
              <w:spacing w:before="60" w:after="60"/>
              <w:jc w:val="center"/>
            </w:pPr>
          </w:p>
        </w:tc>
      </w:tr>
      <w:tr w:rsidR="00FA7EEB" w:rsidRPr="001570EA" w14:paraId="664CC080" w14:textId="77777777">
        <w:trPr>
          <w:cantSplit/>
          <w:trHeight w:val="317"/>
        </w:trPr>
        <w:tc>
          <w:tcPr>
            <w:tcW w:w="1388" w:type="pct"/>
            <w:tcMar>
              <w:left w:w="115" w:type="dxa"/>
              <w:right w:w="115" w:type="dxa"/>
            </w:tcMar>
          </w:tcPr>
          <w:p w14:paraId="7A1E91F1" w14:textId="77777777" w:rsidR="00FA7EEB" w:rsidRPr="001570EA" w:rsidRDefault="00FA7EEB">
            <w:pPr>
              <w:pStyle w:val="TableCell"/>
              <w:keepNext w:val="0"/>
              <w:spacing w:before="60" w:after="60"/>
              <w:jc w:val="left"/>
            </w:pPr>
            <w:r w:rsidRPr="001570EA">
              <w:t>Appliances</w:t>
            </w:r>
          </w:p>
        </w:tc>
        <w:tc>
          <w:tcPr>
            <w:tcW w:w="3139" w:type="pct"/>
            <w:tcMar>
              <w:left w:w="115" w:type="dxa"/>
              <w:right w:w="115" w:type="dxa"/>
            </w:tcMar>
          </w:tcPr>
          <w:p w14:paraId="01D1CF67" w14:textId="77777777" w:rsidR="00FA7EEB" w:rsidRPr="001570EA" w:rsidRDefault="00FA7EEB">
            <w:pPr>
              <w:pStyle w:val="TableCell"/>
              <w:keepNext w:val="0"/>
              <w:spacing w:before="60" w:after="60"/>
              <w:jc w:val="center"/>
            </w:pPr>
            <w:r w:rsidRPr="001570EA">
              <w:t>Use baseline values as defined in applicable TRM measure for each appliance.</w:t>
            </w:r>
          </w:p>
        </w:tc>
        <w:tc>
          <w:tcPr>
            <w:tcW w:w="473" w:type="pct"/>
          </w:tcPr>
          <w:p w14:paraId="690E57D7" w14:textId="77777777" w:rsidR="00FA7EEB" w:rsidRPr="001570EA" w:rsidRDefault="00FA7EEB">
            <w:pPr>
              <w:pStyle w:val="TableCell"/>
              <w:keepNext w:val="0"/>
              <w:spacing w:before="60" w:after="60"/>
              <w:jc w:val="center"/>
            </w:pPr>
          </w:p>
        </w:tc>
      </w:tr>
      <w:tr w:rsidR="00FA7EEB" w:rsidRPr="001570EA" w14:paraId="7C429FD2" w14:textId="77777777">
        <w:trPr>
          <w:cantSplit/>
          <w:trHeight w:val="317"/>
        </w:trPr>
        <w:tc>
          <w:tcPr>
            <w:tcW w:w="1388" w:type="pct"/>
            <w:tcMar>
              <w:left w:w="115" w:type="dxa"/>
              <w:right w:w="115" w:type="dxa"/>
            </w:tcMar>
          </w:tcPr>
          <w:p w14:paraId="2981E6D6" w14:textId="77777777" w:rsidR="00FA7EEB" w:rsidRPr="001570EA" w:rsidRDefault="00FA7EEB">
            <w:pPr>
              <w:pStyle w:val="TableCell"/>
              <w:keepNext w:val="0"/>
              <w:spacing w:before="60" w:after="60"/>
              <w:jc w:val="left"/>
            </w:pPr>
            <w:r w:rsidRPr="001570EA">
              <w:t>Thermostat Setback</w:t>
            </w:r>
          </w:p>
        </w:tc>
        <w:tc>
          <w:tcPr>
            <w:tcW w:w="3139" w:type="pct"/>
            <w:tcMar>
              <w:left w:w="115" w:type="dxa"/>
              <w:right w:w="115" w:type="dxa"/>
            </w:tcMar>
          </w:tcPr>
          <w:p w14:paraId="77816EA3" w14:textId="77777777" w:rsidR="00FA7EEB" w:rsidRPr="001570EA" w:rsidRDefault="00FA7EEB">
            <w:pPr>
              <w:pStyle w:val="TableCell"/>
              <w:keepNext w:val="0"/>
              <w:spacing w:before="60" w:after="60"/>
              <w:jc w:val="center"/>
            </w:pPr>
            <w:r w:rsidRPr="001570EA">
              <w:t xml:space="preserve">Maintain zone temperature down to 55 </w:t>
            </w:r>
            <w:r w:rsidRPr="001570EA">
              <w:rPr>
                <w:vertAlign w:val="superscript"/>
              </w:rPr>
              <w:t>o</w:t>
            </w:r>
            <w:r w:rsidRPr="001570EA">
              <w:t xml:space="preserve">F (13 </w:t>
            </w:r>
            <w:r w:rsidRPr="001570EA">
              <w:rPr>
                <w:vertAlign w:val="superscript"/>
              </w:rPr>
              <w:t>o</w:t>
            </w:r>
            <w:r w:rsidRPr="001570EA">
              <w:t>C) or up to 85</w:t>
            </w:r>
            <w:r w:rsidRPr="001570EA">
              <w:rPr>
                <w:vertAlign w:val="superscript"/>
              </w:rPr>
              <w:t xml:space="preserve"> o</w:t>
            </w:r>
            <w:r w:rsidRPr="001570EA">
              <w:t xml:space="preserve">F (29 </w:t>
            </w:r>
            <w:r w:rsidRPr="001570EA">
              <w:rPr>
                <w:vertAlign w:val="superscript"/>
              </w:rPr>
              <w:t>o</w:t>
            </w:r>
            <w:r w:rsidRPr="001570EA">
              <w:t>C)</w:t>
            </w:r>
          </w:p>
        </w:tc>
        <w:tc>
          <w:tcPr>
            <w:tcW w:w="473" w:type="pct"/>
          </w:tcPr>
          <w:p w14:paraId="3B7E6DAF" w14:textId="77777777" w:rsidR="00FA7EEB" w:rsidRPr="001570EA" w:rsidRDefault="00FA7EEB">
            <w:pPr>
              <w:pStyle w:val="TableCell"/>
              <w:keepNext w:val="0"/>
              <w:spacing w:before="60" w:after="60"/>
              <w:jc w:val="center"/>
            </w:pPr>
            <w:r w:rsidRPr="001570EA">
              <w:t>11</w:t>
            </w:r>
          </w:p>
        </w:tc>
      </w:tr>
      <w:tr w:rsidR="00FA7EEB" w:rsidRPr="001570EA" w14:paraId="7B41E300" w14:textId="77777777">
        <w:trPr>
          <w:cantSplit/>
          <w:trHeight w:val="317"/>
        </w:trPr>
        <w:tc>
          <w:tcPr>
            <w:tcW w:w="1388" w:type="pct"/>
            <w:tcBorders>
              <w:bottom w:val="single" w:sz="4" w:space="0" w:color="auto"/>
            </w:tcBorders>
            <w:tcMar>
              <w:left w:w="115" w:type="dxa"/>
              <w:right w:w="115" w:type="dxa"/>
            </w:tcMar>
          </w:tcPr>
          <w:p w14:paraId="22FA45E9" w14:textId="77777777" w:rsidR="00FA7EEB" w:rsidRPr="001570EA" w:rsidRDefault="00FA7EEB">
            <w:pPr>
              <w:pStyle w:val="TableCell"/>
              <w:keepNext w:val="0"/>
              <w:spacing w:before="60" w:after="60"/>
              <w:jc w:val="left"/>
            </w:pPr>
            <w:r w:rsidRPr="001570EA">
              <w:t>Temperature Set Points</w:t>
            </w:r>
          </w:p>
        </w:tc>
        <w:tc>
          <w:tcPr>
            <w:tcW w:w="3139" w:type="pct"/>
            <w:tcBorders>
              <w:bottom w:val="single" w:sz="4" w:space="0" w:color="auto"/>
            </w:tcBorders>
            <w:tcMar>
              <w:left w:w="115" w:type="dxa"/>
              <w:right w:w="115" w:type="dxa"/>
            </w:tcMar>
          </w:tcPr>
          <w:p w14:paraId="7658B09E" w14:textId="77777777" w:rsidR="00FA7EEB" w:rsidRPr="001570EA" w:rsidRDefault="00FA7EEB">
            <w:pPr>
              <w:pStyle w:val="TableCell"/>
              <w:keepNext w:val="0"/>
              <w:spacing w:before="60" w:after="60"/>
              <w:jc w:val="center"/>
            </w:pPr>
            <w:r w:rsidRPr="001570EA">
              <w:t>Heating: 70°F</w:t>
            </w:r>
          </w:p>
          <w:p w14:paraId="437C8759" w14:textId="77777777" w:rsidR="00FA7EEB" w:rsidRPr="001570EA" w:rsidRDefault="00FA7EEB">
            <w:pPr>
              <w:pStyle w:val="TableCell"/>
              <w:keepNext w:val="0"/>
              <w:spacing w:before="60" w:after="60"/>
              <w:jc w:val="center"/>
            </w:pPr>
            <w:r w:rsidRPr="001570EA">
              <w:t>Cooling: 78°F</w:t>
            </w:r>
          </w:p>
        </w:tc>
        <w:tc>
          <w:tcPr>
            <w:tcW w:w="473" w:type="pct"/>
            <w:tcBorders>
              <w:bottom w:val="single" w:sz="4" w:space="0" w:color="auto"/>
            </w:tcBorders>
          </w:tcPr>
          <w:p w14:paraId="1B61352E" w14:textId="77777777" w:rsidR="00FA7EEB" w:rsidRPr="001570EA" w:rsidRDefault="00FA7EEB">
            <w:pPr>
              <w:pStyle w:val="TableCell"/>
              <w:keepNext w:val="0"/>
              <w:spacing w:before="60" w:after="60"/>
              <w:jc w:val="center"/>
            </w:pPr>
            <w:r w:rsidRPr="001570EA">
              <w:t>11</w:t>
            </w:r>
          </w:p>
        </w:tc>
      </w:tr>
      <w:tr w:rsidR="00FA7EEB" w:rsidRPr="001570EA" w14:paraId="500D8E1D" w14:textId="77777777">
        <w:trPr>
          <w:cantSplit/>
          <w:trHeight w:val="317"/>
        </w:trPr>
        <w:tc>
          <w:tcPr>
            <w:tcW w:w="1388" w:type="pct"/>
            <w:tcBorders>
              <w:top w:val="single" w:sz="4" w:space="0" w:color="auto"/>
              <w:left w:val="single" w:sz="4" w:space="0" w:color="auto"/>
              <w:bottom w:val="single" w:sz="4" w:space="0" w:color="auto"/>
              <w:right w:val="nil"/>
            </w:tcBorders>
            <w:shd w:val="clear" w:color="auto" w:fill="D9D9D9" w:themeFill="background1" w:themeFillShade="D9"/>
            <w:tcMar>
              <w:left w:w="115" w:type="dxa"/>
              <w:right w:w="115" w:type="dxa"/>
            </w:tcMar>
            <w:vAlign w:val="center"/>
          </w:tcPr>
          <w:p w14:paraId="29AE672B" w14:textId="77777777" w:rsidR="00FA7EEB" w:rsidRPr="001570EA" w:rsidRDefault="00FA7EEB">
            <w:pPr>
              <w:pStyle w:val="TableCell"/>
              <w:keepNext w:val="0"/>
              <w:spacing w:before="60" w:after="60"/>
              <w:jc w:val="left"/>
              <w:rPr>
                <w:rFonts w:ascii="Arial Unicode MS" w:eastAsia="Arial Unicode MS" w:hAnsi="Arial Unicode MS" w:cs="Arial Unicode MS"/>
                <w:b/>
              </w:rPr>
            </w:pPr>
            <w:r w:rsidRPr="001570EA">
              <w:rPr>
                <w:b/>
              </w:rPr>
              <w:t>Heating Efficiency</w:t>
            </w:r>
          </w:p>
        </w:tc>
        <w:tc>
          <w:tcPr>
            <w:tcW w:w="3139" w:type="pct"/>
            <w:tcBorders>
              <w:top w:val="single" w:sz="4" w:space="0" w:color="auto"/>
              <w:left w:val="nil"/>
              <w:bottom w:val="single" w:sz="4" w:space="0" w:color="auto"/>
              <w:right w:val="nil"/>
            </w:tcBorders>
            <w:shd w:val="clear" w:color="auto" w:fill="D9D9D9" w:themeFill="background1" w:themeFillShade="D9"/>
            <w:tcMar>
              <w:left w:w="115" w:type="dxa"/>
              <w:right w:w="115" w:type="dxa"/>
            </w:tcMar>
            <w:vAlign w:val="center"/>
          </w:tcPr>
          <w:p w14:paraId="22B8B351" w14:textId="77777777" w:rsidR="00FA7EEB" w:rsidRPr="001570EA" w:rsidRDefault="00FA7EEB">
            <w:pPr>
              <w:pStyle w:val="TableCell"/>
              <w:keepNext w:val="0"/>
              <w:spacing w:before="60" w:after="60"/>
              <w:jc w:val="center"/>
              <w:rPr>
                <w:rFonts w:eastAsia="Arial Unicode MS"/>
              </w:rPr>
            </w:pPr>
          </w:p>
        </w:tc>
        <w:tc>
          <w:tcPr>
            <w:tcW w:w="473" w:type="pct"/>
            <w:tcBorders>
              <w:top w:val="single" w:sz="4" w:space="0" w:color="auto"/>
              <w:left w:val="nil"/>
              <w:bottom w:val="single" w:sz="4" w:space="0" w:color="auto"/>
              <w:right w:val="single" w:sz="4" w:space="0" w:color="auto"/>
            </w:tcBorders>
            <w:shd w:val="clear" w:color="auto" w:fill="D9D9D9" w:themeFill="background1" w:themeFillShade="D9"/>
          </w:tcPr>
          <w:p w14:paraId="22C3E3F9" w14:textId="77777777" w:rsidR="00FA7EEB" w:rsidRPr="001570EA" w:rsidRDefault="00FA7EEB">
            <w:pPr>
              <w:pStyle w:val="TableCell"/>
              <w:keepNext w:val="0"/>
              <w:spacing w:before="60" w:after="60"/>
              <w:jc w:val="center"/>
            </w:pPr>
          </w:p>
        </w:tc>
      </w:tr>
      <w:tr w:rsidR="00FA7EEB" w:rsidRPr="001570EA" w14:paraId="46033348" w14:textId="77777777">
        <w:trPr>
          <w:cantSplit/>
          <w:trHeight w:val="259"/>
        </w:trPr>
        <w:tc>
          <w:tcPr>
            <w:tcW w:w="1388" w:type="pct"/>
            <w:tcBorders>
              <w:top w:val="single" w:sz="4" w:space="0" w:color="auto"/>
            </w:tcBorders>
            <w:tcMar>
              <w:left w:w="115" w:type="dxa"/>
              <w:right w:w="115" w:type="dxa"/>
            </w:tcMar>
            <w:vAlign w:val="center"/>
          </w:tcPr>
          <w:p w14:paraId="3311D364"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Warm air furnace, gas fired</w:t>
            </w:r>
          </w:p>
        </w:tc>
        <w:tc>
          <w:tcPr>
            <w:tcW w:w="3139" w:type="pct"/>
            <w:tcBorders>
              <w:top w:val="single" w:sz="4" w:space="0" w:color="auto"/>
            </w:tcBorders>
            <w:tcMar>
              <w:left w:w="115" w:type="dxa"/>
              <w:right w:w="115" w:type="dxa"/>
            </w:tcMar>
            <w:vAlign w:val="center"/>
          </w:tcPr>
          <w:p w14:paraId="4DE76989" w14:textId="77777777" w:rsidR="00FA7EEB" w:rsidRPr="001570EA" w:rsidRDefault="00FA7EEB">
            <w:pPr>
              <w:pStyle w:val="TableCell"/>
              <w:keepNext w:val="0"/>
              <w:spacing w:before="60" w:after="60"/>
              <w:jc w:val="center"/>
              <w:rPr>
                <w:rFonts w:ascii="Arial Unicode MS" w:eastAsia="Arial Unicode MS" w:hAnsi="Arial Unicode MS" w:cs="Arial Unicode MS"/>
              </w:rPr>
            </w:pPr>
            <w:r w:rsidRPr="001570EA">
              <w:t>81% E</w:t>
            </w:r>
            <w:r w:rsidRPr="001570EA">
              <w:rPr>
                <w:vertAlign w:val="subscript"/>
              </w:rPr>
              <w:t>t</w:t>
            </w:r>
          </w:p>
        </w:tc>
        <w:tc>
          <w:tcPr>
            <w:tcW w:w="473" w:type="pct"/>
            <w:tcBorders>
              <w:top w:val="single" w:sz="4" w:space="0" w:color="auto"/>
            </w:tcBorders>
          </w:tcPr>
          <w:p w14:paraId="41C88E2D" w14:textId="77777777" w:rsidR="00FA7EEB" w:rsidRPr="001570EA" w:rsidRDefault="00FA7EEB">
            <w:pPr>
              <w:pStyle w:val="TableCell"/>
              <w:keepNext w:val="0"/>
              <w:spacing w:before="60" w:after="60"/>
              <w:jc w:val="center"/>
            </w:pPr>
            <w:r w:rsidRPr="001570EA">
              <w:t>18</w:t>
            </w:r>
          </w:p>
        </w:tc>
      </w:tr>
      <w:tr w:rsidR="00FA7EEB" w:rsidRPr="001570EA" w14:paraId="313B88FA" w14:textId="77777777">
        <w:trPr>
          <w:cantSplit/>
          <w:trHeight w:val="259"/>
        </w:trPr>
        <w:tc>
          <w:tcPr>
            <w:tcW w:w="1388" w:type="pct"/>
            <w:tcMar>
              <w:left w:w="115" w:type="dxa"/>
              <w:right w:w="115" w:type="dxa"/>
            </w:tcMar>
            <w:vAlign w:val="center"/>
          </w:tcPr>
          <w:p w14:paraId="03D33052"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Warm air furnace, oil fired</w:t>
            </w:r>
          </w:p>
        </w:tc>
        <w:tc>
          <w:tcPr>
            <w:tcW w:w="3139" w:type="pct"/>
            <w:tcMar>
              <w:left w:w="115" w:type="dxa"/>
              <w:right w:w="115" w:type="dxa"/>
            </w:tcMar>
            <w:vAlign w:val="center"/>
          </w:tcPr>
          <w:p w14:paraId="57F16120" w14:textId="77777777" w:rsidR="00FA7EEB" w:rsidRPr="001570EA" w:rsidRDefault="00FA7EEB">
            <w:pPr>
              <w:pStyle w:val="TableCell"/>
              <w:keepNext w:val="0"/>
              <w:spacing w:before="60" w:after="60"/>
              <w:jc w:val="center"/>
              <w:rPr>
                <w:rFonts w:ascii="Arial Unicode MS" w:eastAsia="Arial Unicode MS" w:hAnsi="Arial Unicode MS" w:cs="Arial Unicode MS"/>
              </w:rPr>
            </w:pPr>
            <w:r w:rsidRPr="001570EA">
              <w:t>82% E</w:t>
            </w:r>
            <w:r w:rsidRPr="001570EA">
              <w:rPr>
                <w:vertAlign w:val="subscript"/>
              </w:rPr>
              <w:t>t</w:t>
            </w:r>
            <w:r w:rsidRPr="001570EA">
              <w:t xml:space="preserve"> </w:t>
            </w:r>
          </w:p>
        </w:tc>
        <w:tc>
          <w:tcPr>
            <w:tcW w:w="473" w:type="pct"/>
          </w:tcPr>
          <w:p w14:paraId="6227F053" w14:textId="77777777" w:rsidR="00FA7EEB" w:rsidRPr="001570EA" w:rsidRDefault="00FA7EEB">
            <w:pPr>
              <w:pStyle w:val="TableCell"/>
              <w:keepNext w:val="0"/>
              <w:spacing w:before="60" w:after="60"/>
              <w:jc w:val="center"/>
              <w:rPr>
                <w:bCs/>
              </w:rPr>
            </w:pPr>
            <w:r w:rsidRPr="001570EA">
              <w:t>18</w:t>
            </w:r>
          </w:p>
        </w:tc>
      </w:tr>
      <w:tr w:rsidR="00FA7EEB" w:rsidRPr="001570EA" w14:paraId="3EEC7118" w14:textId="77777777">
        <w:trPr>
          <w:cantSplit/>
          <w:trHeight w:val="259"/>
        </w:trPr>
        <w:tc>
          <w:tcPr>
            <w:tcW w:w="1388" w:type="pct"/>
            <w:tcMar>
              <w:left w:w="115" w:type="dxa"/>
              <w:right w:w="115" w:type="dxa"/>
            </w:tcMar>
            <w:vAlign w:val="center"/>
          </w:tcPr>
          <w:p w14:paraId="5402BD14" w14:textId="77777777" w:rsidR="00FA7EEB" w:rsidRPr="001570EA" w:rsidRDefault="00FA7EEB">
            <w:pPr>
              <w:pStyle w:val="TableCell"/>
              <w:keepNext w:val="0"/>
              <w:spacing w:before="60" w:after="60"/>
              <w:jc w:val="left"/>
            </w:pPr>
            <w:r w:rsidRPr="001570EA">
              <w:t>Boiler, hot water, gas fired</w:t>
            </w:r>
          </w:p>
        </w:tc>
        <w:tc>
          <w:tcPr>
            <w:tcW w:w="3139" w:type="pct"/>
            <w:tcMar>
              <w:left w:w="115" w:type="dxa"/>
              <w:right w:w="115" w:type="dxa"/>
            </w:tcMar>
            <w:vAlign w:val="center"/>
          </w:tcPr>
          <w:p w14:paraId="081C9571" w14:textId="77777777" w:rsidR="00FA7EEB" w:rsidRPr="00597241" w:rsidRDefault="00FA7EEB">
            <w:pPr>
              <w:pStyle w:val="TableCell"/>
              <w:keepNext w:val="0"/>
              <w:spacing w:before="60" w:after="60"/>
              <w:jc w:val="center"/>
              <w:rPr>
                <w:lang w:val="pt-BR"/>
              </w:rPr>
            </w:pPr>
            <w:r w:rsidRPr="00597241">
              <w:rPr>
                <w:lang w:val="pt-BR"/>
              </w:rPr>
              <w:t>82% AFUE (&lt; 300,000 Btu/h)</w:t>
            </w:r>
          </w:p>
          <w:p w14:paraId="4B9DB61D" w14:textId="77777777" w:rsidR="00FA7EEB" w:rsidRPr="00597241" w:rsidRDefault="00FA7EEB">
            <w:pPr>
              <w:pStyle w:val="TableCell"/>
              <w:keepNext w:val="0"/>
              <w:spacing w:before="60" w:after="60"/>
              <w:jc w:val="center"/>
              <w:rPr>
                <w:rFonts w:cs="Arial"/>
                <w:lang w:val="pt-BR"/>
              </w:rPr>
            </w:pPr>
            <w:r w:rsidRPr="00597241">
              <w:rPr>
                <w:lang w:val="pt-BR"/>
              </w:rPr>
              <w:t>80% E</w:t>
            </w:r>
            <w:r w:rsidRPr="00597241">
              <w:rPr>
                <w:vertAlign w:val="subscript"/>
                <w:lang w:val="pt-BR"/>
              </w:rPr>
              <w:t>t</w:t>
            </w:r>
            <w:r w:rsidRPr="00597241">
              <w:rPr>
                <w:lang w:val="pt-BR"/>
              </w:rPr>
              <w:t xml:space="preserve"> (</w:t>
            </w:r>
            <w:r w:rsidRPr="00597241">
              <w:rPr>
                <w:rFonts w:cs="Arial"/>
                <w:lang w:val="pt-BR"/>
              </w:rPr>
              <w:t>≥ 300,000 Btu/h and ≤ 2,500,000 Btu/h)</w:t>
            </w:r>
          </w:p>
          <w:p w14:paraId="7C605ADC" w14:textId="77777777" w:rsidR="00FA7EEB" w:rsidRPr="001570EA" w:rsidRDefault="00FA7EEB">
            <w:pPr>
              <w:pStyle w:val="TableCell"/>
              <w:keepNext w:val="0"/>
              <w:spacing w:before="60" w:after="60"/>
              <w:jc w:val="center"/>
            </w:pPr>
            <w:r w:rsidRPr="001570EA">
              <w:t>82% E</w:t>
            </w:r>
            <w:r w:rsidRPr="001570EA">
              <w:rPr>
                <w:vertAlign w:val="subscript"/>
              </w:rPr>
              <w:t>c</w:t>
            </w:r>
            <w:r w:rsidRPr="001570EA">
              <w:t xml:space="preserve"> (&gt;2,500,000 Btu/h)</w:t>
            </w:r>
          </w:p>
        </w:tc>
        <w:tc>
          <w:tcPr>
            <w:tcW w:w="473" w:type="pct"/>
          </w:tcPr>
          <w:p w14:paraId="178AB272" w14:textId="77777777" w:rsidR="00FA7EEB" w:rsidRPr="001570EA" w:rsidRDefault="00FA7EEB">
            <w:pPr>
              <w:pStyle w:val="TableCell"/>
              <w:keepNext w:val="0"/>
              <w:spacing w:before="60" w:after="60"/>
              <w:jc w:val="center"/>
              <w:rPr>
                <w:bCs/>
              </w:rPr>
            </w:pPr>
            <w:r w:rsidRPr="001570EA">
              <w:t>18</w:t>
            </w:r>
          </w:p>
        </w:tc>
      </w:tr>
      <w:tr w:rsidR="00FA7EEB" w:rsidRPr="001570EA" w14:paraId="44C57CCE" w14:textId="77777777">
        <w:trPr>
          <w:cantSplit/>
          <w:trHeight w:val="259"/>
        </w:trPr>
        <w:tc>
          <w:tcPr>
            <w:tcW w:w="1388" w:type="pct"/>
            <w:tcMar>
              <w:left w:w="115" w:type="dxa"/>
              <w:right w:w="115" w:type="dxa"/>
            </w:tcMar>
            <w:vAlign w:val="center"/>
          </w:tcPr>
          <w:p w14:paraId="0FBB699B" w14:textId="77777777" w:rsidR="00FA7EEB" w:rsidRPr="001570EA" w:rsidRDefault="00FA7EEB">
            <w:pPr>
              <w:pStyle w:val="TableCell"/>
              <w:keepNext w:val="0"/>
              <w:spacing w:before="60" w:after="60"/>
              <w:jc w:val="left"/>
            </w:pPr>
            <w:r w:rsidRPr="001570EA">
              <w:t>Boiler, hot water, oil fired</w:t>
            </w:r>
          </w:p>
        </w:tc>
        <w:tc>
          <w:tcPr>
            <w:tcW w:w="3139" w:type="pct"/>
            <w:tcMar>
              <w:left w:w="115" w:type="dxa"/>
              <w:right w:w="115" w:type="dxa"/>
            </w:tcMar>
            <w:vAlign w:val="center"/>
          </w:tcPr>
          <w:p w14:paraId="23CF2884" w14:textId="77777777" w:rsidR="00FA7EEB" w:rsidRPr="00597241" w:rsidRDefault="00FA7EEB">
            <w:pPr>
              <w:pStyle w:val="TableCell"/>
              <w:keepNext w:val="0"/>
              <w:spacing w:before="60" w:after="60"/>
              <w:jc w:val="center"/>
              <w:rPr>
                <w:lang w:val="pt-BR"/>
              </w:rPr>
            </w:pPr>
            <w:r w:rsidRPr="00597241">
              <w:rPr>
                <w:lang w:val="pt-BR"/>
              </w:rPr>
              <w:t>84% AFUE (&lt; 300,000 Btu/h)</w:t>
            </w:r>
          </w:p>
          <w:p w14:paraId="5D52152F" w14:textId="77777777" w:rsidR="00FA7EEB" w:rsidRPr="00597241" w:rsidRDefault="00FA7EEB">
            <w:pPr>
              <w:pStyle w:val="TableCell"/>
              <w:keepNext w:val="0"/>
              <w:spacing w:before="60" w:after="60"/>
              <w:jc w:val="center"/>
              <w:rPr>
                <w:rFonts w:cs="Arial"/>
                <w:lang w:val="pt-BR"/>
              </w:rPr>
            </w:pPr>
            <w:r w:rsidRPr="00597241">
              <w:rPr>
                <w:lang w:val="pt-BR"/>
              </w:rPr>
              <w:t>82% E</w:t>
            </w:r>
            <w:r w:rsidRPr="00597241">
              <w:rPr>
                <w:vertAlign w:val="subscript"/>
                <w:lang w:val="pt-BR"/>
              </w:rPr>
              <w:t>t</w:t>
            </w:r>
            <w:r w:rsidRPr="00597241">
              <w:rPr>
                <w:lang w:val="pt-BR"/>
              </w:rPr>
              <w:t xml:space="preserve"> (</w:t>
            </w:r>
            <w:r w:rsidRPr="00597241">
              <w:rPr>
                <w:rFonts w:cs="Arial"/>
                <w:lang w:val="pt-BR"/>
              </w:rPr>
              <w:t>≥ 300,000 Btu/h and ≤ 2,500,000 Btu/h)</w:t>
            </w:r>
          </w:p>
          <w:p w14:paraId="3103A5FC" w14:textId="77777777" w:rsidR="00FA7EEB" w:rsidRPr="001570EA" w:rsidRDefault="00FA7EEB">
            <w:pPr>
              <w:pStyle w:val="TableCell"/>
              <w:keepNext w:val="0"/>
              <w:spacing w:before="60" w:after="60"/>
              <w:jc w:val="center"/>
              <w:rPr>
                <w:bCs/>
              </w:rPr>
            </w:pPr>
            <w:r w:rsidRPr="001570EA">
              <w:t>84% E</w:t>
            </w:r>
            <w:r w:rsidRPr="001570EA">
              <w:rPr>
                <w:vertAlign w:val="subscript"/>
              </w:rPr>
              <w:t>c</w:t>
            </w:r>
            <w:r w:rsidRPr="001570EA">
              <w:t xml:space="preserve"> (&gt;2,500,000 Btu/h)</w:t>
            </w:r>
          </w:p>
        </w:tc>
        <w:tc>
          <w:tcPr>
            <w:tcW w:w="473" w:type="pct"/>
          </w:tcPr>
          <w:p w14:paraId="74037C53" w14:textId="77777777" w:rsidR="00FA7EEB" w:rsidRPr="001570EA" w:rsidRDefault="00FA7EEB">
            <w:pPr>
              <w:pStyle w:val="TableCell"/>
              <w:keepNext w:val="0"/>
              <w:spacing w:before="60" w:after="60"/>
              <w:jc w:val="center"/>
              <w:rPr>
                <w:bCs/>
              </w:rPr>
            </w:pPr>
            <w:r w:rsidRPr="001570EA">
              <w:t>18</w:t>
            </w:r>
          </w:p>
        </w:tc>
      </w:tr>
      <w:tr w:rsidR="00FA7EEB" w:rsidRPr="001570EA" w14:paraId="6963520E" w14:textId="77777777">
        <w:trPr>
          <w:cantSplit/>
          <w:trHeight w:val="259"/>
        </w:trPr>
        <w:tc>
          <w:tcPr>
            <w:tcW w:w="1388" w:type="pct"/>
            <w:tcMar>
              <w:left w:w="115" w:type="dxa"/>
              <w:right w:w="115" w:type="dxa"/>
            </w:tcMar>
            <w:vAlign w:val="center"/>
          </w:tcPr>
          <w:p w14:paraId="6751C007" w14:textId="77777777" w:rsidR="00FA7EEB" w:rsidRPr="001570EA" w:rsidRDefault="00FA7EEB">
            <w:pPr>
              <w:pStyle w:val="TableCell"/>
              <w:keepNext w:val="0"/>
              <w:spacing w:before="60" w:after="60"/>
              <w:jc w:val="left"/>
            </w:pPr>
            <w:r w:rsidRPr="001570EA">
              <w:t>Boiler, steam, gas fired</w:t>
            </w:r>
          </w:p>
        </w:tc>
        <w:tc>
          <w:tcPr>
            <w:tcW w:w="3139" w:type="pct"/>
            <w:tcMar>
              <w:left w:w="115" w:type="dxa"/>
              <w:right w:w="115" w:type="dxa"/>
            </w:tcMar>
            <w:vAlign w:val="center"/>
          </w:tcPr>
          <w:p w14:paraId="4640BA8A" w14:textId="77777777" w:rsidR="00FA7EEB" w:rsidRPr="00597241" w:rsidRDefault="00FA7EEB">
            <w:pPr>
              <w:pStyle w:val="TableCell"/>
              <w:keepNext w:val="0"/>
              <w:spacing w:before="60" w:after="60"/>
              <w:jc w:val="center"/>
              <w:rPr>
                <w:lang w:val="pt-BR"/>
              </w:rPr>
            </w:pPr>
            <w:r w:rsidRPr="00597241">
              <w:rPr>
                <w:lang w:val="pt-BR"/>
              </w:rPr>
              <w:t>80% AFUE (&lt; 300,000 Btu/h)</w:t>
            </w:r>
          </w:p>
          <w:p w14:paraId="3C410C7C" w14:textId="77777777" w:rsidR="00FA7EEB" w:rsidRPr="00597241" w:rsidRDefault="00FA7EEB">
            <w:pPr>
              <w:pStyle w:val="TableCell"/>
              <w:keepNext w:val="0"/>
              <w:spacing w:before="60" w:after="60"/>
              <w:jc w:val="center"/>
              <w:rPr>
                <w:rFonts w:cs="Arial"/>
                <w:lang w:val="pt-BR"/>
              </w:rPr>
            </w:pPr>
            <w:r w:rsidRPr="00597241">
              <w:rPr>
                <w:lang w:val="pt-BR"/>
              </w:rPr>
              <w:t>79% E</w:t>
            </w:r>
            <w:r w:rsidRPr="00597241">
              <w:rPr>
                <w:vertAlign w:val="subscript"/>
                <w:lang w:val="pt-BR"/>
              </w:rPr>
              <w:t>t</w:t>
            </w:r>
            <w:r w:rsidRPr="00597241">
              <w:rPr>
                <w:lang w:val="pt-BR"/>
              </w:rPr>
              <w:t xml:space="preserve"> (</w:t>
            </w:r>
            <w:r w:rsidRPr="00597241">
              <w:rPr>
                <w:rFonts w:cs="Arial"/>
                <w:lang w:val="pt-BR"/>
              </w:rPr>
              <w:t>≥ 300,000 Btu/h)</w:t>
            </w:r>
          </w:p>
        </w:tc>
        <w:tc>
          <w:tcPr>
            <w:tcW w:w="473" w:type="pct"/>
          </w:tcPr>
          <w:p w14:paraId="2688CE69" w14:textId="77777777" w:rsidR="00FA7EEB" w:rsidRPr="001570EA" w:rsidRDefault="00FA7EEB">
            <w:pPr>
              <w:pStyle w:val="TableCell"/>
              <w:keepNext w:val="0"/>
              <w:spacing w:before="60" w:after="60"/>
              <w:jc w:val="center"/>
              <w:rPr>
                <w:bCs/>
              </w:rPr>
            </w:pPr>
            <w:r w:rsidRPr="001570EA">
              <w:t>18</w:t>
            </w:r>
          </w:p>
        </w:tc>
      </w:tr>
      <w:tr w:rsidR="00FA7EEB" w:rsidRPr="001570EA" w14:paraId="78CB4F7C" w14:textId="77777777">
        <w:trPr>
          <w:cantSplit/>
          <w:trHeight w:val="259"/>
        </w:trPr>
        <w:tc>
          <w:tcPr>
            <w:tcW w:w="1388" w:type="pct"/>
            <w:tcMar>
              <w:left w:w="115" w:type="dxa"/>
              <w:right w:w="115" w:type="dxa"/>
            </w:tcMar>
            <w:vAlign w:val="center"/>
          </w:tcPr>
          <w:p w14:paraId="224FE0F8"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Boiler, steam, oil fired</w:t>
            </w:r>
          </w:p>
        </w:tc>
        <w:tc>
          <w:tcPr>
            <w:tcW w:w="3139" w:type="pct"/>
            <w:tcMar>
              <w:left w:w="115" w:type="dxa"/>
              <w:right w:w="115" w:type="dxa"/>
            </w:tcMar>
            <w:vAlign w:val="center"/>
          </w:tcPr>
          <w:p w14:paraId="6D764390" w14:textId="77777777" w:rsidR="00FA7EEB" w:rsidRPr="00597241" w:rsidRDefault="00FA7EEB">
            <w:pPr>
              <w:pStyle w:val="TableCell"/>
              <w:keepNext w:val="0"/>
              <w:spacing w:before="60" w:after="60"/>
              <w:jc w:val="center"/>
              <w:rPr>
                <w:lang w:val="pt-BR"/>
              </w:rPr>
            </w:pPr>
            <w:r w:rsidRPr="00597241">
              <w:rPr>
                <w:lang w:val="pt-BR"/>
              </w:rPr>
              <w:t>82% AFUE (&lt; 300,000 Btu/h)</w:t>
            </w:r>
          </w:p>
          <w:p w14:paraId="6D0AD15D" w14:textId="77777777" w:rsidR="00FA7EEB" w:rsidRPr="00597241" w:rsidRDefault="00FA7EEB">
            <w:pPr>
              <w:pStyle w:val="TableCell"/>
              <w:keepNext w:val="0"/>
              <w:spacing w:before="60" w:after="60"/>
              <w:jc w:val="center"/>
              <w:rPr>
                <w:rFonts w:ascii="Arial Unicode MS" w:eastAsia="Arial Unicode MS" w:hAnsi="Arial Unicode MS" w:cs="Arial Unicode MS"/>
                <w:lang w:val="pt-BR"/>
              </w:rPr>
            </w:pPr>
            <w:r w:rsidRPr="00597241">
              <w:rPr>
                <w:lang w:val="pt-BR"/>
              </w:rPr>
              <w:t>81% E</w:t>
            </w:r>
            <w:r w:rsidRPr="00597241">
              <w:rPr>
                <w:vertAlign w:val="subscript"/>
                <w:lang w:val="pt-BR"/>
              </w:rPr>
              <w:t>t</w:t>
            </w:r>
            <w:r w:rsidRPr="00597241">
              <w:rPr>
                <w:lang w:val="pt-BR"/>
              </w:rPr>
              <w:t xml:space="preserve"> (</w:t>
            </w:r>
            <w:r w:rsidRPr="00597241">
              <w:rPr>
                <w:rFonts w:cs="Arial"/>
                <w:lang w:val="pt-BR"/>
              </w:rPr>
              <w:t>≥ 300,000 Btu/h)</w:t>
            </w:r>
          </w:p>
        </w:tc>
        <w:tc>
          <w:tcPr>
            <w:tcW w:w="473" w:type="pct"/>
          </w:tcPr>
          <w:p w14:paraId="530EC5E9" w14:textId="77777777" w:rsidR="00FA7EEB" w:rsidRPr="001570EA" w:rsidRDefault="00FA7EEB">
            <w:pPr>
              <w:pStyle w:val="TableCell"/>
              <w:keepNext w:val="0"/>
              <w:spacing w:before="60" w:after="60"/>
              <w:jc w:val="center"/>
              <w:rPr>
                <w:iCs/>
              </w:rPr>
            </w:pPr>
            <w:r w:rsidRPr="001570EA">
              <w:t>18</w:t>
            </w:r>
          </w:p>
        </w:tc>
      </w:tr>
      <w:tr w:rsidR="00FA7EEB" w:rsidRPr="001570EA" w14:paraId="014CE0B2" w14:textId="77777777">
        <w:trPr>
          <w:cantSplit/>
          <w:trHeight w:val="259"/>
        </w:trPr>
        <w:tc>
          <w:tcPr>
            <w:tcW w:w="1388" w:type="pct"/>
            <w:tcMar>
              <w:left w:w="115" w:type="dxa"/>
              <w:right w:w="115" w:type="dxa"/>
            </w:tcMar>
            <w:vAlign w:val="center"/>
          </w:tcPr>
          <w:p w14:paraId="2AB55211"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ASHP, GSHP, PTHP</w:t>
            </w:r>
          </w:p>
        </w:tc>
        <w:tc>
          <w:tcPr>
            <w:tcW w:w="3139" w:type="pct"/>
            <w:tcMar>
              <w:left w:w="115" w:type="dxa"/>
              <w:right w:w="115" w:type="dxa"/>
            </w:tcMar>
            <w:vAlign w:val="center"/>
          </w:tcPr>
          <w:p w14:paraId="091A2022" w14:textId="7CD5196B" w:rsidR="00FA7EEB" w:rsidRPr="001570EA" w:rsidRDefault="00FA7EEB">
            <w:pPr>
              <w:pStyle w:val="TableCell"/>
              <w:keepNext w:val="0"/>
              <w:spacing w:before="60" w:after="60"/>
              <w:jc w:val="center"/>
            </w:pPr>
            <w:r w:rsidRPr="001570EA">
              <w:t>For residential units, see New Construction values in</w:t>
            </w:r>
            <w:r w:rsidR="008A1E82" w:rsidRPr="001570EA">
              <w:t xml:space="preserve"> </w:t>
            </w:r>
            <w:r w:rsidR="008A1E82" w:rsidRPr="001570EA">
              <w:fldChar w:fldCharType="begin"/>
            </w:r>
            <w:r w:rsidR="008A1E82" w:rsidRPr="001570EA">
              <w:instrText xml:space="preserve"> REF _Ref531779526 \h  \* MERGEFORMAT </w:instrText>
            </w:r>
            <w:r w:rsidR="008A1E82" w:rsidRPr="001570EA">
              <w:fldChar w:fldCharType="separate"/>
            </w:r>
            <w:r w:rsidR="00234C6C" w:rsidRPr="001570EA">
              <w:t xml:space="preserve">Table </w:t>
            </w:r>
            <w:r w:rsidR="00234C6C" w:rsidRPr="001570EA">
              <w:rPr>
                <w:noProof/>
              </w:rPr>
              <w:t>2</w:t>
            </w:r>
            <w:r w:rsidR="00234C6C" w:rsidRPr="001570EA">
              <w:rPr>
                <w:noProof/>
              </w:rPr>
              <w:noBreakHyphen/>
              <w:t>10</w:t>
            </w:r>
            <w:r w:rsidR="008A1E82" w:rsidRPr="001570EA">
              <w:fldChar w:fldCharType="end"/>
            </w:r>
            <w:r w:rsidR="008A1E82" w:rsidRPr="001570EA">
              <w:t xml:space="preserve"> in Sec. </w:t>
            </w:r>
            <w:r w:rsidR="008A1E82" w:rsidRPr="001570EA">
              <w:fldChar w:fldCharType="begin"/>
            </w:r>
            <w:r w:rsidR="008A1E82" w:rsidRPr="001570EA">
              <w:instrText xml:space="preserve"> REF _Ref534295897 \r \h  \* MERGEFORMAT </w:instrText>
            </w:r>
            <w:r w:rsidR="008A1E82" w:rsidRPr="001570EA">
              <w:fldChar w:fldCharType="separate"/>
            </w:r>
            <w:r w:rsidR="00234C6C" w:rsidRPr="001570EA">
              <w:t>2.2.1</w:t>
            </w:r>
            <w:r w:rsidR="008A1E82" w:rsidRPr="001570EA">
              <w:fldChar w:fldCharType="end"/>
            </w:r>
            <w:r w:rsidRPr="001570EA">
              <w:t xml:space="preserve">. For ductless heat pumps, use value for ASHP. </w:t>
            </w:r>
          </w:p>
          <w:p w14:paraId="4A4F768B" w14:textId="163D1F93" w:rsidR="00FA7EEB" w:rsidRPr="001570EA" w:rsidRDefault="00FA7EEB">
            <w:pPr>
              <w:pStyle w:val="TableCell"/>
              <w:keepNext w:val="0"/>
              <w:spacing w:before="60" w:after="60"/>
              <w:jc w:val="center"/>
              <w:rPr>
                <w:rFonts w:ascii="Arial Unicode MS" w:eastAsia="Arial Unicode MS" w:hAnsi="Arial Unicode MS" w:cs="Arial Unicode MS"/>
              </w:rPr>
            </w:pPr>
            <w:r w:rsidRPr="001570EA">
              <w:t>For common areas, see New Construction values in Table 3-2</w:t>
            </w:r>
            <w:r w:rsidR="00927F45" w:rsidRPr="001570EA">
              <w:t>4</w:t>
            </w:r>
            <w:r w:rsidRPr="001570EA">
              <w:t xml:space="preserve"> in Sec. 3.2.1. For ductless heat pumps, use value for ASHP.</w:t>
            </w:r>
          </w:p>
        </w:tc>
        <w:tc>
          <w:tcPr>
            <w:tcW w:w="473" w:type="pct"/>
          </w:tcPr>
          <w:p w14:paraId="65838331" w14:textId="77777777" w:rsidR="00FA7EEB" w:rsidRPr="001570EA" w:rsidRDefault="00FA7EEB">
            <w:pPr>
              <w:pStyle w:val="TableCell"/>
              <w:keepNext w:val="0"/>
              <w:spacing w:before="60" w:after="60"/>
              <w:jc w:val="center"/>
              <w:rPr>
                <w:bCs/>
              </w:rPr>
            </w:pPr>
          </w:p>
        </w:tc>
      </w:tr>
      <w:tr w:rsidR="00FA7EEB" w:rsidRPr="001570EA" w14:paraId="2CA6D21F" w14:textId="77777777">
        <w:trPr>
          <w:cantSplit/>
          <w:trHeight w:val="317"/>
        </w:trPr>
        <w:tc>
          <w:tcPr>
            <w:tcW w:w="1388" w:type="pct"/>
            <w:tcBorders>
              <w:top w:val="single" w:sz="4" w:space="0" w:color="auto"/>
              <w:left w:val="single" w:sz="4" w:space="0" w:color="auto"/>
              <w:bottom w:val="single" w:sz="4" w:space="0" w:color="auto"/>
              <w:right w:val="nil"/>
            </w:tcBorders>
            <w:shd w:val="clear" w:color="auto" w:fill="D9D9D9" w:themeFill="background1" w:themeFillShade="D9"/>
            <w:tcMar>
              <w:left w:w="115" w:type="dxa"/>
              <w:right w:w="115" w:type="dxa"/>
            </w:tcMar>
            <w:vAlign w:val="center"/>
          </w:tcPr>
          <w:p w14:paraId="7D54C3BC" w14:textId="77777777" w:rsidR="00FA7EEB" w:rsidRPr="001570EA" w:rsidRDefault="00FA7EEB">
            <w:pPr>
              <w:pStyle w:val="TableCell"/>
              <w:keepNext w:val="0"/>
              <w:spacing w:before="60" w:after="60"/>
              <w:jc w:val="left"/>
              <w:rPr>
                <w:rFonts w:ascii="Arial Unicode MS" w:eastAsia="Arial Unicode MS" w:hAnsi="Arial Unicode MS" w:cs="Arial Unicode MS"/>
                <w:b/>
              </w:rPr>
            </w:pPr>
            <w:r w:rsidRPr="001570EA">
              <w:rPr>
                <w:b/>
              </w:rPr>
              <w:t>Cooling Efficiency</w:t>
            </w:r>
          </w:p>
        </w:tc>
        <w:tc>
          <w:tcPr>
            <w:tcW w:w="3139" w:type="pct"/>
            <w:tcBorders>
              <w:top w:val="single" w:sz="4" w:space="0" w:color="auto"/>
              <w:left w:val="nil"/>
              <w:bottom w:val="single" w:sz="4" w:space="0" w:color="auto"/>
              <w:right w:val="nil"/>
            </w:tcBorders>
            <w:shd w:val="clear" w:color="auto" w:fill="D9D9D9" w:themeFill="background1" w:themeFillShade="D9"/>
            <w:tcMar>
              <w:left w:w="115" w:type="dxa"/>
              <w:right w:w="115" w:type="dxa"/>
            </w:tcMar>
            <w:vAlign w:val="center"/>
          </w:tcPr>
          <w:p w14:paraId="37E5F08B" w14:textId="77777777" w:rsidR="00FA7EEB" w:rsidRPr="001570EA" w:rsidRDefault="00FA7EEB">
            <w:pPr>
              <w:pStyle w:val="TableCell"/>
              <w:keepNext w:val="0"/>
              <w:spacing w:before="60" w:after="60"/>
              <w:jc w:val="center"/>
              <w:rPr>
                <w:rFonts w:eastAsia="Arial Unicode MS"/>
              </w:rPr>
            </w:pPr>
          </w:p>
        </w:tc>
        <w:tc>
          <w:tcPr>
            <w:tcW w:w="473" w:type="pct"/>
            <w:tcBorders>
              <w:top w:val="single" w:sz="4" w:space="0" w:color="auto"/>
              <w:left w:val="nil"/>
              <w:bottom w:val="single" w:sz="4" w:space="0" w:color="auto"/>
              <w:right w:val="single" w:sz="4" w:space="0" w:color="auto"/>
            </w:tcBorders>
            <w:shd w:val="clear" w:color="auto" w:fill="D9D9D9" w:themeFill="background1" w:themeFillShade="D9"/>
          </w:tcPr>
          <w:p w14:paraId="0B49E36F" w14:textId="77777777" w:rsidR="00FA7EEB" w:rsidRPr="001570EA" w:rsidRDefault="00FA7EEB">
            <w:pPr>
              <w:pStyle w:val="TableCell"/>
              <w:keepNext w:val="0"/>
              <w:spacing w:before="60" w:after="60"/>
              <w:jc w:val="center"/>
            </w:pPr>
          </w:p>
        </w:tc>
      </w:tr>
      <w:tr w:rsidR="00FA7EEB" w:rsidRPr="001570EA" w14:paraId="06E38906" w14:textId="77777777">
        <w:trPr>
          <w:cantSplit/>
          <w:trHeight w:val="259"/>
        </w:trPr>
        <w:tc>
          <w:tcPr>
            <w:tcW w:w="1388" w:type="pct"/>
            <w:tcBorders>
              <w:top w:val="single" w:sz="4" w:space="0" w:color="auto"/>
            </w:tcBorders>
            <w:tcMar>
              <w:left w:w="115" w:type="dxa"/>
              <w:right w:w="115" w:type="dxa"/>
            </w:tcMar>
            <w:vAlign w:val="center"/>
          </w:tcPr>
          <w:p w14:paraId="16D7BCF7" w14:textId="77777777" w:rsidR="00FA7EEB" w:rsidRPr="001570EA" w:rsidDel="00856726" w:rsidRDefault="00FA7EEB">
            <w:pPr>
              <w:pStyle w:val="TableCell"/>
              <w:keepNext w:val="0"/>
              <w:spacing w:before="60" w:after="60"/>
              <w:jc w:val="left"/>
              <w:rPr>
                <w:rFonts w:ascii="Arial Unicode MS" w:eastAsia="Arial Unicode MS" w:hAnsi="Arial Unicode MS" w:cs="Arial Unicode MS"/>
              </w:rPr>
            </w:pPr>
            <w:r w:rsidRPr="001570EA">
              <w:t>All types</w:t>
            </w:r>
          </w:p>
        </w:tc>
        <w:tc>
          <w:tcPr>
            <w:tcW w:w="3139" w:type="pct"/>
            <w:tcBorders>
              <w:top w:val="single" w:sz="4" w:space="0" w:color="auto"/>
            </w:tcBorders>
            <w:vAlign w:val="center"/>
          </w:tcPr>
          <w:p w14:paraId="685BFDF8" w14:textId="17CFE8B0" w:rsidR="00927F45" w:rsidRPr="001570EA" w:rsidRDefault="00927F45" w:rsidP="00927F45">
            <w:pPr>
              <w:pStyle w:val="TableCell"/>
              <w:keepNext w:val="0"/>
              <w:spacing w:before="60" w:after="60"/>
              <w:jc w:val="center"/>
            </w:pPr>
            <w:r w:rsidRPr="001570EA">
              <w:t xml:space="preserve">For residential units, see New Construction values in </w:t>
            </w:r>
            <w:r w:rsidRPr="001570EA">
              <w:fldChar w:fldCharType="begin"/>
            </w:r>
            <w:r w:rsidRPr="001570EA">
              <w:instrText xml:space="preserve"> REF _Ref531779526 \h  \* MERGEFORMAT </w:instrText>
            </w:r>
            <w:r w:rsidRPr="001570EA">
              <w:fldChar w:fldCharType="separate"/>
            </w:r>
            <w:r w:rsidR="00234C6C" w:rsidRPr="001570EA">
              <w:t xml:space="preserve">Table </w:t>
            </w:r>
            <w:r w:rsidR="00234C6C" w:rsidRPr="001570EA">
              <w:rPr>
                <w:noProof/>
              </w:rPr>
              <w:t>2</w:t>
            </w:r>
            <w:r w:rsidR="00234C6C" w:rsidRPr="001570EA">
              <w:rPr>
                <w:noProof/>
              </w:rPr>
              <w:noBreakHyphen/>
              <w:t>10</w:t>
            </w:r>
            <w:r w:rsidRPr="001570EA">
              <w:fldChar w:fldCharType="end"/>
            </w:r>
            <w:r w:rsidRPr="001570EA">
              <w:t xml:space="preserve"> in Sec. </w:t>
            </w:r>
            <w:r w:rsidRPr="001570EA">
              <w:fldChar w:fldCharType="begin"/>
            </w:r>
            <w:r w:rsidRPr="001570EA">
              <w:instrText xml:space="preserve"> REF _Ref534295897 \r \h  \* MERGEFORMAT </w:instrText>
            </w:r>
            <w:r w:rsidRPr="001570EA">
              <w:fldChar w:fldCharType="separate"/>
            </w:r>
            <w:r w:rsidR="00234C6C" w:rsidRPr="001570EA">
              <w:t>2.2.1</w:t>
            </w:r>
            <w:r w:rsidRPr="001570EA">
              <w:fldChar w:fldCharType="end"/>
            </w:r>
            <w:r w:rsidRPr="001570EA">
              <w:t>. For ductless heat pumps, use value for ASHP.</w:t>
            </w:r>
          </w:p>
          <w:p w14:paraId="5890A200" w14:textId="2A0B2178" w:rsidR="00FA7EEB" w:rsidRPr="001570EA" w:rsidDel="00856726" w:rsidRDefault="00927F45">
            <w:pPr>
              <w:pStyle w:val="TableCell"/>
              <w:keepNext w:val="0"/>
              <w:spacing w:before="60" w:after="60"/>
              <w:jc w:val="center"/>
              <w:rPr>
                <w:rFonts w:ascii="Arial Unicode MS" w:eastAsia="Arial Unicode MS" w:hAnsi="Arial Unicode MS" w:cs="Arial Unicode MS"/>
              </w:rPr>
            </w:pPr>
            <w:r w:rsidRPr="001570EA">
              <w:t>For common areas, see New Construction values in Table 3-24 in Sec. 3.2.1. For ductless heat pumps, use value for ASHP. For Chillers, see values in Table 3-29 in Sec. 3.2.3.</w:t>
            </w:r>
          </w:p>
        </w:tc>
        <w:tc>
          <w:tcPr>
            <w:tcW w:w="473" w:type="pct"/>
            <w:tcBorders>
              <w:top w:val="single" w:sz="4" w:space="0" w:color="auto"/>
            </w:tcBorders>
            <w:vAlign w:val="center"/>
          </w:tcPr>
          <w:p w14:paraId="3FA3B856" w14:textId="77777777" w:rsidR="00FA7EEB" w:rsidRPr="001570EA" w:rsidRDefault="00FA7EEB">
            <w:pPr>
              <w:pStyle w:val="TableCell"/>
              <w:keepNext w:val="0"/>
              <w:spacing w:before="60" w:after="60"/>
              <w:jc w:val="center"/>
            </w:pPr>
          </w:p>
        </w:tc>
      </w:tr>
      <w:tr w:rsidR="00FA7EEB" w:rsidRPr="001570EA" w14:paraId="4B15056F" w14:textId="77777777">
        <w:trPr>
          <w:cantSplit/>
          <w:trHeight w:val="317"/>
        </w:trPr>
        <w:tc>
          <w:tcPr>
            <w:tcW w:w="1388" w:type="pct"/>
            <w:tcBorders>
              <w:top w:val="single" w:sz="4" w:space="0" w:color="auto"/>
              <w:left w:val="single" w:sz="4" w:space="0" w:color="auto"/>
              <w:bottom w:val="single" w:sz="4" w:space="0" w:color="auto"/>
              <w:right w:val="nil"/>
            </w:tcBorders>
            <w:shd w:val="clear" w:color="auto" w:fill="D9D9D9" w:themeFill="background1" w:themeFillShade="D9"/>
            <w:tcMar>
              <w:left w:w="115" w:type="dxa"/>
              <w:right w:w="115" w:type="dxa"/>
            </w:tcMar>
            <w:vAlign w:val="center"/>
          </w:tcPr>
          <w:p w14:paraId="620C4D1F" w14:textId="77777777" w:rsidR="00FA7EEB" w:rsidRPr="001570EA" w:rsidRDefault="00FA7EEB">
            <w:pPr>
              <w:pStyle w:val="TableCell"/>
              <w:keepNext w:val="0"/>
              <w:spacing w:before="60" w:after="60"/>
              <w:jc w:val="left"/>
              <w:rPr>
                <w:rFonts w:ascii="Arial Unicode MS" w:eastAsia="Arial Unicode MS" w:hAnsi="Arial Unicode MS" w:cs="Arial Unicode MS"/>
                <w:b/>
                <w:i/>
                <w:iCs/>
              </w:rPr>
            </w:pPr>
            <w:r w:rsidRPr="001570EA">
              <w:rPr>
                <w:b/>
              </w:rPr>
              <w:t>Domestic WH Efficiency</w:t>
            </w:r>
          </w:p>
        </w:tc>
        <w:tc>
          <w:tcPr>
            <w:tcW w:w="3139" w:type="pct"/>
            <w:tcBorders>
              <w:top w:val="single" w:sz="4" w:space="0" w:color="auto"/>
              <w:left w:val="nil"/>
              <w:bottom w:val="single" w:sz="4" w:space="0" w:color="auto"/>
              <w:right w:val="nil"/>
            </w:tcBorders>
            <w:shd w:val="clear" w:color="auto" w:fill="D9D9D9" w:themeFill="background1" w:themeFillShade="D9"/>
            <w:tcMar>
              <w:left w:w="115" w:type="dxa"/>
              <w:right w:w="115" w:type="dxa"/>
            </w:tcMar>
            <w:vAlign w:val="center"/>
          </w:tcPr>
          <w:p w14:paraId="0CF782F8" w14:textId="77777777" w:rsidR="00FA7EEB" w:rsidRPr="001570EA" w:rsidRDefault="00FA7EEB">
            <w:pPr>
              <w:pStyle w:val="TableCell"/>
              <w:keepNext w:val="0"/>
              <w:spacing w:before="60" w:after="60"/>
              <w:jc w:val="center"/>
              <w:rPr>
                <w:rFonts w:eastAsia="Arial Unicode MS"/>
                <w:i/>
              </w:rPr>
            </w:pPr>
          </w:p>
        </w:tc>
        <w:tc>
          <w:tcPr>
            <w:tcW w:w="473" w:type="pct"/>
            <w:tcBorders>
              <w:top w:val="single" w:sz="4" w:space="0" w:color="auto"/>
              <w:left w:val="nil"/>
              <w:bottom w:val="single" w:sz="4" w:space="0" w:color="auto"/>
              <w:right w:val="single" w:sz="4" w:space="0" w:color="auto"/>
            </w:tcBorders>
            <w:shd w:val="clear" w:color="auto" w:fill="D9D9D9" w:themeFill="background1" w:themeFillShade="D9"/>
          </w:tcPr>
          <w:p w14:paraId="0E681C5E" w14:textId="77777777" w:rsidR="00FA7EEB" w:rsidRPr="001570EA" w:rsidRDefault="00FA7EEB">
            <w:pPr>
              <w:pStyle w:val="TableCell"/>
              <w:keepNext w:val="0"/>
              <w:spacing w:before="60" w:after="60"/>
              <w:jc w:val="center"/>
            </w:pPr>
          </w:p>
        </w:tc>
      </w:tr>
      <w:tr w:rsidR="0010145C" w:rsidRPr="001570EA" w14:paraId="55D5C4AE" w14:textId="77777777">
        <w:trPr>
          <w:cantSplit/>
          <w:trHeight w:val="259"/>
        </w:trPr>
        <w:tc>
          <w:tcPr>
            <w:tcW w:w="1388" w:type="pct"/>
            <w:tcBorders>
              <w:top w:val="single" w:sz="4" w:space="0" w:color="auto"/>
            </w:tcBorders>
            <w:tcMar>
              <w:left w:w="115" w:type="dxa"/>
              <w:right w:w="115" w:type="dxa"/>
            </w:tcMar>
            <w:vAlign w:val="center"/>
          </w:tcPr>
          <w:p w14:paraId="007E5183" w14:textId="77777777" w:rsidR="0010145C" w:rsidRPr="001570EA" w:rsidRDefault="0010145C" w:rsidP="0010145C">
            <w:pPr>
              <w:pStyle w:val="TableCell"/>
              <w:keepNext w:val="0"/>
              <w:spacing w:before="60" w:after="60"/>
              <w:jc w:val="left"/>
            </w:pPr>
            <w:r w:rsidRPr="001570EA">
              <w:t>Electric</w:t>
            </w:r>
          </w:p>
        </w:tc>
        <w:tc>
          <w:tcPr>
            <w:tcW w:w="3139" w:type="pct"/>
            <w:tcBorders>
              <w:top w:val="single" w:sz="4" w:space="0" w:color="auto"/>
            </w:tcBorders>
            <w:tcMar>
              <w:left w:w="115" w:type="dxa"/>
              <w:right w:w="115" w:type="dxa"/>
            </w:tcMar>
            <w:vAlign w:val="center"/>
          </w:tcPr>
          <w:p w14:paraId="0909CE6F" w14:textId="6D9F2F53" w:rsidR="0010145C" w:rsidRPr="001570EA" w:rsidRDefault="0010145C" w:rsidP="0010145C">
            <w:pPr>
              <w:pStyle w:val="TableCell"/>
              <w:keepNext w:val="0"/>
              <w:spacing w:before="60" w:after="60"/>
              <w:jc w:val="center"/>
              <w:rPr>
                <w:rFonts w:eastAsia="Arial Unicode MS"/>
              </w:rPr>
            </w:pPr>
            <w:r w:rsidRPr="001570EA">
              <w:t xml:space="preserve">See volume and load dependent values in in </w:t>
            </w:r>
            <w:r w:rsidRPr="001570EA">
              <w:fldChar w:fldCharType="begin"/>
            </w:r>
            <w:r w:rsidRPr="001570EA">
              <w:instrText xml:space="preserve"> REF _Ref533706168 \h  \* MERGEFORMAT </w:instrText>
            </w:r>
            <w:r w:rsidRPr="001570EA">
              <w:fldChar w:fldCharType="separate"/>
            </w:r>
            <w:r w:rsidR="003854F2" w:rsidRPr="001570EA">
              <w:t xml:space="preserve">Table </w:t>
            </w:r>
            <w:r w:rsidR="003854F2" w:rsidRPr="001570EA">
              <w:rPr>
                <w:noProof/>
              </w:rPr>
              <w:t>2</w:t>
            </w:r>
            <w:r w:rsidR="003854F2" w:rsidRPr="001570EA">
              <w:rPr>
                <w:noProof/>
              </w:rPr>
              <w:noBreakHyphen/>
              <w:t>61</w:t>
            </w:r>
            <w:r w:rsidRPr="001570EA">
              <w:fldChar w:fldCharType="end"/>
            </w:r>
            <w:r w:rsidRPr="001570EA">
              <w:t xml:space="preserve"> in Sec. </w:t>
            </w:r>
            <w:r w:rsidRPr="001570EA">
              <w:fldChar w:fldCharType="begin"/>
            </w:r>
            <w:r w:rsidRPr="001570EA">
              <w:instrText xml:space="preserve"> REF _Ref163980796 \r \h  \* MERGEFORMAT </w:instrText>
            </w:r>
            <w:r w:rsidRPr="001570EA">
              <w:fldChar w:fldCharType="separate"/>
            </w:r>
            <w:r w:rsidR="00234C6C" w:rsidRPr="001570EA">
              <w:t>2.3.1</w:t>
            </w:r>
            <w:r w:rsidRPr="001570EA">
              <w:fldChar w:fldCharType="end"/>
            </w:r>
          </w:p>
        </w:tc>
        <w:tc>
          <w:tcPr>
            <w:tcW w:w="473" w:type="pct"/>
            <w:tcBorders>
              <w:top w:val="single" w:sz="4" w:space="0" w:color="auto"/>
            </w:tcBorders>
          </w:tcPr>
          <w:p w14:paraId="58412282" w14:textId="77777777" w:rsidR="0010145C" w:rsidRPr="001570EA" w:rsidRDefault="0010145C" w:rsidP="0010145C">
            <w:pPr>
              <w:pStyle w:val="TableCell"/>
              <w:keepNext w:val="0"/>
              <w:spacing w:before="60" w:after="60"/>
              <w:jc w:val="center"/>
              <w:rPr>
                <w:bCs/>
              </w:rPr>
            </w:pPr>
          </w:p>
        </w:tc>
      </w:tr>
      <w:tr w:rsidR="0010145C" w:rsidRPr="001570EA" w14:paraId="6674A06E" w14:textId="77777777">
        <w:trPr>
          <w:cantSplit/>
          <w:trHeight w:val="259"/>
        </w:trPr>
        <w:tc>
          <w:tcPr>
            <w:tcW w:w="1388" w:type="pct"/>
            <w:tcMar>
              <w:left w:w="115" w:type="dxa"/>
              <w:right w:w="115" w:type="dxa"/>
            </w:tcMar>
            <w:vAlign w:val="center"/>
          </w:tcPr>
          <w:p w14:paraId="04E73B81" w14:textId="77777777" w:rsidR="0010145C" w:rsidRPr="001570EA" w:rsidRDefault="0010145C" w:rsidP="0010145C">
            <w:pPr>
              <w:pStyle w:val="TableCell"/>
              <w:keepNext w:val="0"/>
              <w:spacing w:before="60" w:after="60"/>
              <w:jc w:val="left"/>
              <w:rPr>
                <w:rFonts w:eastAsia="Arial Unicode MS"/>
              </w:rPr>
            </w:pPr>
            <w:r w:rsidRPr="001570EA">
              <w:t>Natural Gas</w:t>
            </w:r>
          </w:p>
        </w:tc>
        <w:tc>
          <w:tcPr>
            <w:tcW w:w="3139" w:type="pct"/>
            <w:tcMar>
              <w:left w:w="115" w:type="dxa"/>
              <w:right w:w="115" w:type="dxa"/>
            </w:tcMar>
            <w:vAlign w:val="center"/>
          </w:tcPr>
          <w:p w14:paraId="35E273BE" w14:textId="23C2EFBA" w:rsidR="0010145C" w:rsidRPr="001570EA" w:rsidRDefault="0010145C" w:rsidP="0010145C">
            <w:pPr>
              <w:pStyle w:val="TableCell"/>
              <w:keepNext w:val="0"/>
              <w:spacing w:before="60" w:after="60"/>
              <w:jc w:val="center"/>
              <w:rPr>
                <w:rFonts w:ascii="Arial Unicode MS" w:eastAsia="Arial Unicode MS" w:hAnsi="Arial Unicode MS" w:cs="Arial Unicode MS"/>
              </w:rPr>
            </w:pPr>
            <w:r w:rsidRPr="001570EA">
              <w:t xml:space="preserve">See volume and load dependent values in </w:t>
            </w:r>
            <w:r w:rsidRPr="001570EA">
              <w:fldChar w:fldCharType="begin"/>
            </w:r>
            <w:r w:rsidRPr="001570EA">
              <w:instrText xml:space="preserve"> REF _Ref163829485 \h </w:instrText>
            </w:r>
            <w:r w:rsidR="001570EA">
              <w:instrText xml:space="preserve"> \* MERGEFORMAT </w:instrText>
            </w:r>
            <w:r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155</w:t>
            </w:r>
            <w:r w:rsidRPr="001570EA">
              <w:fldChar w:fldCharType="end"/>
            </w:r>
          </w:p>
        </w:tc>
        <w:tc>
          <w:tcPr>
            <w:tcW w:w="473" w:type="pct"/>
          </w:tcPr>
          <w:p w14:paraId="4B7F1C7C" w14:textId="77777777" w:rsidR="0010145C" w:rsidRPr="001570EA" w:rsidRDefault="0010145C" w:rsidP="0010145C">
            <w:pPr>
              <w:pStyle w:val="TableCell"/>
              <w:keepNext w:val="0"/>
              <w:spacing w:before="60" w:after="60"/>
              <w:jc w:val="center"/>
            </w:pPr>
            <w:r w:rsidRPr="001570EA">
              <w:t>19</w:t>
            </w:r>
          </w:p>
        </w:tc>
      </w:tr>
      <w:tr w:rsidR="00FA7EEB" w:rsidRPr="001570EA" w14:paraId="30365854" w14:textId="77777777">
        <w:trPr>
          <w:cantSplit/>
          <w:trHeight w:val="317"/>
        </w:trPr>
        <w:tc>
          <w:tcPr>
            <w:tcW w:w="1388" w:type="pct"/>
            <w:tcMar>
              <w:left w:w="115" w:type="dxa"/>
              <w:right w:w="115" w:type="dxa"/>
            </w:tcMar>
            <w:vAlign w:val="center"/>
          </w:tcPr>
          <w:p w14:paraId="233B7E92"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Additional Water Heater Tank Insulation</w:t>
            </w:r>
          </w:p>
        </w:tc>
        <w:tc>
          <w:tcPr>
            <w:tcW w:w="3139" w:type="pct"/>
            <w:tcMar>
              <w:left w:w="115" w:type="dxa"/>
              <w:right w:w="115" w:type="dxa"/>
            </w:tcMar>
            <w:vAlign w:val="center"/>
          </w:tcPr>
          <w:p w14:paraId="3C735C04" w14:textId="77777777" w:rsidR="00FA7EEB" w:rsidRPr="001570EA" w:rsidRDefault="00FA7EEB">
            <w:pPr>
              <w:pStyle w:val="TableCell"/>
              <w:keepNext w:val="0"/>
              <w:spacing w:before="60" w:after="60"/>
              <w:jc w:val="center"/>
              <w:rPr>
                <w:rFonts w:ascii="Arial Unicode MS" w:eastAsia="Arial Unicode MS" w:hAnsi="Arial Unicode MS" w:cs="Arial Unicode MS"/>
              </w:rPr>
            </w:pPr>
            <w:r w:rsidRPr="001570EA">
              <w:t>None</w:t>
            </w:r>
          </w:p>
        </w:tc>
        <w:tc>
          <w:tcPr>
            <w:tcW w:w="473" w:type="pct"/>
          </w:tcPr>
          <w:p w14:paraId="309DC90A" w14:textId="77777777" w:rsidR="00FA7EEB" w:rsidRPr="001570EA" w:rsidRDefault="00FA7EEB">
            <w:pPr>
              <w:pStyle w:val="TableCell"/>
              <w:keepNext w:val="0"/>
              <w:spacing w:before="60" w:after="60"/>
              <w:jc w:val="center"/>
              <w:rPr>
                <w:iCs/>
              </w:rPr>
            </w:pPr>
          </w:p>
        </w:tc>
      </w:tr>
    </w:tbl>
    <w:p w14:paraId="2FE7643C" w14:textId="77777777" w:rsidR="00FA7EEB" w:rsidRPr="001570EA" w:rsidRDefault="00FA7EEB" w:rsidP="00FA7EEB">
      <w:pPr>
        <w:pStyle w:val="FootnoteText"/>
        <w:ind w:left="180"/>
      </w:pPr>
      <w:r w:rsidRPr="001570EA">
        <w:t>E</w:t>
      </w:r>
      <w:r w:rsidRPr="001570EA">
        <w:rPr>
          <w:vertAlign w:val="subscript"/>
        </w:rPr>
        <w:t xml:space="preserve">t </w:t>
      </w:r>
      <w:r w:rsidRPr="001570EA">
        <w:t>= Thermal</w:t>
      </w:r>
      <w:r w:rsidRPr="001570EA">
        <w:rPr>
          <w:vertAlign w:val="subscript"/>
        </w:rPr>
        <w:t xml:space="preserve"> </w:t>
      </w:r>
      <w:r w:rsidRPr="001570EA">
        <w:t>Efficiency; E</w:t>
      </w:r>
      <w:r w:rsidRPr="001570EA">
        <w:rPr>
          <w:vertAlign w:val="subscript"/>
        </w:rPr>
        <w:t>c</w:t>
      </w:r>
      <w:r w:rsidRPr="001570EA">
        <w:t xml:space="preserve"> = Combustion Efficiency</w:t>
      </w:r>
    </w:p>
    <w:p w14:paraId="5AFD23D8" w14:textId="77777777" w:rsidR="00FA7EEB" w:rsidRPr="001570EA" w:rsidRDefault="00FA7EEB" w:rsidP="00FA7EEB"/>
    <w:p w14:paraId="20D5223A" w14:textId="36B828C4" w:rsidR="00FA7EEB" w:rsidRPr="001570EA" w:rsidRDefault="00FA7EEB" w:rsidP="00FA7EEB">
      <w:pPr>
        <w:pStyle w:val="Caption"/>
        <w:keepNext w:val="0"/>
        <w:widowControl w:val="0"/>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158</w:t>
      </w:r>
      <w:r w:rsidR="002E093A" w:rsidRPr="001570EA">
        <w:fldChar w:fldCharType="end"/>
      </w:r>
      <w:r w:rsidRPr="001570EA">
        <w:t>: Minimum Commercial Baseline Gas- and Oil-Fired Uniform Energy Factors Based Fuel Type and Draw Pattern</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70"/>
        <w:gridCol w:w="1170"/>
        <w:gridCol w:w="1170"/>
        <w:gridCol w:w="1440"/>
        <w:gridCol w:w="1890"/>
        <w:gridCol w:w="1980"/>
      </w:tblGrid>
      <w:tr w:rsidR="00BC4400" w:rsidRPr="001570EA" w14:paraId="470262F6" w14:textId="77777777" w:rsidTr="00E37DA0">
        <w:trPr>
          <w:tblHeader/>
          <w:jc w:val="center"/>
        </w:trPr>
        <w:tc>
          <w:tcPr>
            <w:tcW w:w="1782" w:type="dxa"/>
            <w:tcBorders>
              <w:top w:val="nil"/>
              <w:left w:val="nil"/>
              <w:bottom w:val="single" w:sz="4" w:space="0" w:color="auto"/>
              <w:right w:val="nil"/>
            </w:tcBorders>
            <w:shd w:val="clear" w:color="auto" w:fill="auto"/>
            <w:vAlign w:val="center"/>
          </w:tcPr>
          <w:p w14:paraId="2B8ED8B3" w14:textId="77777777" w:rsidR="00BC4400" w:rsidRPr="001570EA" w:rsidRDefault="00BC4400">
            <w:pPr>
              <w:pStyle w:val="TableCell"/>
              <w:keepNext w:val="0"/>
              <w:widowControl w:val="0"/>
              <w:spacing w:before="60" w:after="60"/>
              <w:jc w:val="center"/>
              <w:rPr>
                <w:rFonts w:cs="Arial"/>
                <w:b/>
              </w:rPr>
            </w:pPr>
          </w:p>
        </w:tc>
        <w:tc>
          <w:tcPr>
            <w:tcW w:w="1170" w:type="dxa"/>
            <w:tcBorders>
              <w:top w:val="nil"/>
              <w:left w:val="nil"/>
              <w:bottom w:val="single" w:sz="4" w:space="0" w:color="auto"/>
              <w:right w:val="nil"/>
            </w:tcBorders>
          </w:tcPr>
          <w:p w14:paraId="78EB59DB" w14:textId="77777777" w:rsidR="00BC4400" w:rsidRPr="001570EA" w:rsidRDefault="00BC4400">
            <w:pPr>
              <w:pStyle w:val="TableCell"/>
              <w:keepNext w:val="0"/>
              <w:widowControl w:val="0"/>
              <w:spacing w:before="60" w:after="60"/>
              <w:jc w:val="center"/>
              <w:rPr>
                <w:rFonts w:cs="Arial"/>
                <w:b/>
              </w:rPr>
            </w:pPr>
          </w:p>
        </w:tc>
        <w:tc>
          <w:tcPr>
            <w:tcW w:w="1170" w:type="dxa"/>
            <w:tcBorders>
              <w:top w:val="nil"/>
              <w:left w:val="nil"/>
              <w:bottom w:val="single" w:sz="4" w:space="0" w:color="auto"/>
              <w:right w:val="nil"/>
            </w:tcBorders>
            <w:shd w:val="clear" w:color="auto" w:fill="auto"/>
            <w:vAlign w:val="center"/>
          </w:tcPr>
          <w:p w14:paraId="221C0566" w14:textId="3C508AD8" w:rsidR="00BC4400" w:rsidRPr="001570EA" w:rsidRDefault="00BC4400">
            <w:pPr>
              <w:pStyle w:val="TableCell"/>
              <w:keepNext w:val="0"/>
              <w:widowControl w:val="0"/>
              <w:spacing w:before="60" w:after="60"/>
              <w:jc w:val="center"/>
              <w:rPr>
                <w:rFonts w:cs="Arial"/>
                <w:b/>
              </w:rPr>
            </w:pPr>
          </w:p>
        </w:tc>
        <w:tc>
          <w:tcPr>
            <w:tcW w:w="1170" w:type="dxa"/>
            <w:tcBorders>
              <w:top w:val="nil"/>
              <w:left w:val="nil"/>
              <w:bottom w:val="single" w:sz="4" w:space="0" w:color="auto"/>
              <w:right w:val="nil"/>
            </w:tcBorders>
            <w:shd w:val="clear" w:color="auto" w:fill="auto"/>
            <w:vAlign w:val="center"/>
          </w:tcPr>
          <w:p w14:paraId="2807E0A4" w14:textId="77777777" w:rsidR="00BC4400" w:rsidRPr="001570EA" w:rsidRDefault="00BC4400">
            <w:pPr>
              <w:pStyle w:val="TableCell"/>
              <w:keepNext w:val="0"/>
              <w:widowControl w:val="0"/>
              <w:spacing w:before="60" w:after="60"/>
              <w:jc w:val="center"/>
              <w:rPr>
                <w:rFonts w:cs="Arial"/>
                <w:b/>
              </w:rPr>
            </w:pPr>
          </w:p>
        </w:tc>
        <w:tc>
          <w:tcPr>
            <w:tcW w:w="1440" w:type="dxa"/>
            <w:tcBorders>
              <w:top w:val="nil"/>
              <w:left w:val="nil"/>
              <w:bottom w:val="single" w:sz="4" w:space="0" w:color="auto"/>
              <w:right w:val="single" w:sz="4" w:space="0" w:color="auto"/>
            </w:tcBorders>
            <w:shd w:val="clear" w:color="auto" w:fill="auto"/>
            <w:vAlign w:val="center"/>
          </w:tcPr>
          <w:p w14:paraId="5141AB19" w14:textId="77777777" w:rsidR="00BC4400" w:rsidRPr="001570EA" w:rsidRDefault="00BC4400">
            <w:pPr>
              <w:pStyle w:val="TableCell"/>
              <w:keepNext w:val="0"/>
              <w:widowControl w:val="0"/>
              <w:spacing w:before="60" w:after="60"/>
              <w:jc w:val="center"/>
              <w:rPr>
                <w:rFonts w:cs="Arial"/>
                <w:b/>
              </w:rPr>
            </w:pPr>
          </w:p>
        </w:tc>
        <w:tc>
          <w:tcPr>
            <w:tcW w:w="3870" w:type="dxa"/>
            <w:gridSpan w:val="2"/>
            <w:tcBorders>
              <w:left w:val="single" w:sz="4" w:space="0" w:color="auto"/>
            </w:tcBorders>
            <w:shd w:val="clear" w:color="auto" w:fill="BFBFBF"/>
            <w:vAlign w:val="center"/>
          </w:tcPr>
          <w:p w14:paraId="5F4DCEC6" w14:textId="77777777" w:rsidR="00BC4400" w:rsidRPr="001570EA" w:rsidRDefault="00BC4400">
            <w:pPr>
              <w:pStyle w:val="TableCell"/>
              <w:keepNext w:val="0"/>
              <w:widowControl w:val="0"/>
              <w:spacing w:before="60" w:after="60"/>
              <w:jc w:val="center"/>
              <w:rPr>
                <w:rFonts w:cs="Arial"/>
                <w:b/>
              </w:rPr>
            </w:pPr>
            <w:r w:rsidRPr="001570EA">
              <w:rPr>
                <w:rFonts w:cs="Arial"/>
                <w:b/>
              </w:rPr>
              <w:t>UEF Calculation*</w:t>
            </w:r>
          </w:p>
        </w:tc>
      </w:tr>
      <w:tr w:rsidR="00BC4400" w:rsidRPr="001570EA" w14:paraId="7CD4582E" w14:textId="77777777" w:rsidTr="00E37DA0">
        <w:trPr>
          <w:tblHeader/>
          <w:jc w:val="center"/>
        </w:trPr>
        <w:tc>
          <w:tcPr>
            <w:tcW w:w="1782" w:type="dxa"/>
            <w:tcBorders>
              <w:top w:val="single" w:sz="4" w:space="0" w:color="auto"/>
            </w:tcBorders>
            <w:shd w:val="clear" w:color="auto" w:fill="BFBFBF"/>
            <w:vAlign w:val="center"/>
          </w:tcPr>
          <w:p w14:paraId="419B59D3" w14:textId="77777777" w:rsidR="00BC4400" w:rsidRPr="001570EA" w:rsidRDefault="00BC4400">
            <w:pPr>
              <w:pStyle w:val="TableCell"/>
              <w:keepNext w:val="0"/>
              <w:widowControl w:val="0"/>
              <w:spacing w:before="60" w:after="60"/>
              <w:jc w:val="center"/>
              <w:rPr>
                <w:rFonts w:cs="Arial"/>
                <w:b/>
              </w:rPr>
            </w:pPr>
            <w:r w:rsidRPr="001570EA">
              <w:rPr>
                <w:rFonts w:cs="Arial"/>
                <w:b/>
              </w:rPr>
              <w:t>Equipment (specifications)</w:t>
            </w:r>
          </w:p>
        </w:tc>
        <w:tc>
          <w:tcPr>
            <w:tcW w:w="1170" w:type="dxa"/>
            <w:tcBorders>
              <w:top w:val="single" w:sz="4" w:space="0" w:color="auto"/>
            </w:tcBorders>
            <w:shd w:val="clear" w:color="auto" w:fill="BFBFBF"/>
          </w:tcPr>
          <w:p w14:paraId="3B6CA5DA" w14:textId="77777777" w:rsidR="00BC4400" w:rsidRPr="001570EA" w:rsidRDefault="00BC4400">
            <w:pPr>
              <w:pStyle w:val="TableCell"/>
              <w:keepNext w:val="0"/>
              <w:widowControl w:val="0"/>
              <w:spacing w:before="60" w:after="60"/>
              <w:jc w:val="center"/>
              <w:rPr>
                <w:rFonts w:cs="Arial"/>
                <w:b/>
              </w:rPr>
            </w:pPr>
          </w:p>
        </w:tc>
        <w:tc>
          <w:tcPr>
            <w:tcW w:w="1170" w:type="dxa"/>
            <w:tcBorders>
              <w:top w:val="single" w:sz="4" w:space="0" w:color="auto"/>
            </w:tcBorders>
            <w:shd w:val="clear" w:color="auto" w:fill="BFBFBF"/>
            <w:vAlign w:val="center"/>
          </w:tcPr>
          <w:p w14:paraId="7FD1C10D" w14:textId="20A6D601" w:rsidR="00BC4400" w:rsidRPr="001570EA" w:rsidRDefault="00BC4400">
            <w:pPr>
              <w:pStyle w:val="TableCell"/>
              <w:keepNext w:val="0"/>
              <w:widowControl w:val="0"/>
              <w:spacing w:before="60" w:after="60"/>
              <w:jc w:val="center"/>
              <w:rPr>
                <w:rFonts w:cs="Arial"/>
                <w:b/>
              </w:rPr>
            </w:pPr>
            <w:r w:rsidRPr="001570EA">
              <w:rPr>
                <w:rFonts w:cs="Arial"/>
                <w:b/>
              </w:rPr>
              <w:t>Draw Pattern</w:t>
            </w:r>
          </w:p>
        </w:tc>
        <w:tc>
          <w:tcPr>
            <w:tcW w:w="1170" w:type="dxa"/>
            <w:tcBorders>
              <w:top w:val="single" w:sz="4" w:space="0" w:color="auto"/>
            </w:tcBorders>
            <w:shd w:val="clear" w:color="auto" w:fill="BFBFBF"/>
            <w:vAlign w:val="center"/>
          </w:tcPr>
          <w:p w14:paraId="2CE801EA" w14:textId="77777777" w:rsidR="00BC4400" w:rsidRPr="001570EA" w:rsidRDefault="00BC4400">
            <w:pPr>
              <w:pStyle w:val="TableCell"/>
              <w:keepNext w:val="0"/>
              <w:widowControl w:val="0"/>
              <w:spacing w:before="60" w:after="60"/>
              <w:jc w:val="center"/>
              <w:rPr>
                <w:rFonts w:cs="Arial"/>
                <w:b/>
              </w:rPr>
            </w:pPr>
            <w:r w:rsidRPr="001570EA">
              <w:rPr>
                <w:rFonts w:cs="Arial"/>
                <w:b/>
              </w:rPr>
              <w:t>Max. Daily Hot Water Draw (gallons)</w:t>
            </w:r>
          </w:p>
        </w:tc>
        <w:tc>
          <w:tcPr>
            <w:tcW w:w="1440" w:type="dxa"/>
            <w:tcBorders>
              <w:top w:val="single" w:sz="4" w:space="0" w:color="auto"/>
            </w:tcBorders>
            <w:shd w:val="clear" w:color="auto" w:fill="BFBFBF"/>
            <w:vAlign w:val="center"/>
          </w:tcPr>
          <w:p w14:paraId="5B9E40F4" w14:textId="77777777" w:rsidR="00BC4400" w:rsidRPr="001570EA" w:rsidRDefault="00BC4400">
            <w:pPr>
              <w:pStyle w:val="TableCell"/>
              <w:keepNext w:val="0"/>
              <w:widowControl w:val="0"/>
              <w:spacing w:before="60" w:after="60"/>
              <w:jc w:val="center"/>
              <w:rPr>
                <w:rFonts w:cs="Arial"/>
                <w:b/>
              </w:rPr>
            </w:pPr>
            <w:r w:rsidRPr="001570EA">
              <w:rPr>
                <w:rFonts w:cs="Arial"/>
                <w:b/>
              </w:rPr>
              <w:t>First Hour Rating (FHR) (gallons)</w:t>
            </w:r>
          </w:p>
        </w:tc>
        <w:tc>
          <w:tcPr>
            <w:tcW w:w="1890" w:type="dxa"/>
            <w:shd w:val="clear" w:color="auto" w:fill="BFBFBF"/>
            <w:vAlign w:val="center"/>
          </w:tcPr>
          <w:p w14:paraId="612EAD66" w14:textId="77777777" w:rsidR="00BC4400" w:rsidRPr="001570EA" w:rsidRDefault="00BC4400">
            <w:pPr>
              <w:pStyle w:val="TableCell"/>
              <w:keepNext w:val="0"/>
              <w:widowControl w:val="0"/>
              <w:spacing w:before="60" w:after="60"/>
              <w:jc w:val="center"/>
              <w:rPr>
                <w:rFonts w:cs="Arial"/>
                <w:b/>
              </w:rPr>
            </w:pPr>
            <w:r w:rsidRPr="001570EA">
              <w:rPr>
                <w:rFonts w:cs="Arial"/>
                <w:b/>
              </w:rPr>
              <w:t>Equipment Manufactured Before October 6, 2026</w:t>
            </w:r>
          </w:p>
        </w:tc>
        <w:tc>
          <w:tcPr>
            <w:tcW w:w="1980" w:type="dxa"/>
            <w:shd w:val="clear" w:color="auto" w:fill="BFBFBF"/>
          </w:tcPr>
          <w:p w14:paraId="56BF1D50" w14:textId="77777777" w:rsidR="00BC4400" w:rsidRPr="001570EA" w:rsidRDefault="00BC4400">
            <w:pPr>
              <w:pStyle w:val="TableCell"/>
              <w:keepNext w:val="0"/>
              <w:widowControl w:val="0"/>
              <w:spacing w:before="60" w:after="60"/>
              <w:jc w:val="center"/>
              <w:rPr>
                <w:rFonts w:cs="Arial"/>
                <w:b/>
              </w:rPr>
            </w:pPr>
            <w:r w:rsidRPr="001570EA">
              <w:rPr>
                <w:rFonts w:cs="Arial"/>
                <w:b/>
              </w:rPr>
              <w:t>Equipment Manufactured After October 6, 2026</w:t>
            </w:r>
          </w:p>
        </w:tc>
      </w:tr>
      <w:tr w:rsidR="00BC4400" w:rsidRPr="001570EA" w14:paraId="56B2A8AB" w14:textId="77777777" w:rsidTr="00E37DA0">
        <w:trPr>
          <w:jc w:val="center"/>
        </w:trPr>
        <w:tc>
          <w:tcPr>
            <w:tcW w:w="1782" w:type="dxa"/>
            <w:vMerge w:val="restart"/>
          </w:tcPr>
          <w:p w14:paraId="7947DFE8" w14:textId="77777777" w:rsidR="00BC4400" w:rsidRPr="001570EA" w:rsidRDefault="00BC4400">
            <w:pPr>
              <w:pStyle w:val="TableCell"/>
              <w:keepNext w:val="0"/>
              <w:widowControl w:val="0"/>
              <w:spacing w:before="60" w:after="60"/>
              <w:jc w:val="left"/>
              <w:rPr>
                <w:rFonts w:cs="Arial"/>
                <w:szCs w:val="18"/>
              </w:rPr>
            </w:pPr>
            <w:r w:rsidRPr="001570EA">
              <w:rPr>
                <w:rFonts w:cs="Arial"/>
                <w:szCs w:val="18"/>
              </w:rPr>
              <w:t xml:space="preserve">Gas-fired storage </w:t>
            </w:r>
          </w:p>
          <w:p w14:paraId="5565C995" w14:textId="77777777" w:rsidR="00BC4400" w:rsidRPr="001570EA" w:rsidRDefault="00BC4400">
            <w:pPr>
              <w:pStyle w:val="TableCell"/>
              <w:keepNext w:val="0"/>
              <w:widowControl w:val="0"/>
              <w:spacing w:before="60" w:after="60"/>
              <w:jc w:val="left"/>
              <w:rPr>
                <w:rFonts w:cs="Arial"/>
                <w:szCs w:val="18"/>
              </w:rPr>
            </w:pPr>
            <w:r w:rsidRPr="001570EA">
              <w:rPr>
                <w:rFonts w:cs="Arial"/>
                <w:szCs w:val="18"/>
              </w:rPr>
              <w:t xml:space="preserve">(&gt;75 kBtu/h and </w:t>
            </w:r>
          </w:p>
          <w:p w14:paraId="3CF32E2C" w14:textId="77777777" w:rsidR="00BC4400" w:rsidRPr="001570EA" w:rsidRDefault="00BC4400">
            <w:pPr>
              <w:pStyle w:val="TableCell"/>
              <w:keepNext w:val="0"/>
              <w:widowControl w:val="0"/>
              <w:spacing w:before="60" w:after="60"/>
              <w:jc w:val="left"/>
              <w:rPr>
                <w:rFonts w:cs="Arial"/>
                <w:szCs w:val="18"/>
              </w:rPr>
            </w:pPr>
            <w:r w:rsidRPr="001570EA">
              <w:rPr>
                <w:rFonts w:cs="Arial"/>
                <w:szCs w:val="18"/>
              </w:rPr>
              <w:t xml:space="preserve">≤105 kBtu/h and </w:t>
            </w:r>
          </w:p>
          <w:p w14:paraId="583F2E0B" w14:textId="77777777" w:rsidR="00BC4400" w:rsidRPr="001570EA" w:rsidRDefault="00BC4400">
            <w:pPr>
              <w:pStyle w:val="TableCell"/>
              <w:keepNext w:val="0"/>
              <w:widowControl w:val="0"/>
              <w:spacing w:before="60" w:after="60"/>
              <w:jc w:val="left"/>
              <w:rPr>
                <w:rFonts w:cs="Arial"/>
                <w:szCs w:val="18"/>
              </w:rPr>
            </w:pPr>
            <w:r w:rsidRPr="001570EA">
              <w:rPr>
                <w:rFonts w:cs="Arial"/>
                <w:szCs w:val="18"/>
              </w:rPr>
              <w:t>≤ 120 gal)</w:t>
            </w:r>
          </w:p>
        </w:tc>
        <w:tc>
          <w:tcPr>
            <w:tcW w:w="1170" w:type="dxa"/>
          </w:tcPr>
          <w:p w14:paraId="3AF1183A" w14:textId="77777777" w:rsidR="00BC4400" w:rsidRPr="001570EA" w:rsidRDefault="00BC4400">
            <w:pPr>
              <w:pStyle w:val="TableCell"/>
              <w:keepNext w:val="0"/>
              <w:widowControl w:val="0"/>
              <w:spacing w:before="60" w:after="60"/>
              <w:jc w:val="center"/>
              <w:rPr>
                <w:rFonts w:cs="Arial"/>
                <w:szCs w:val="18"/>
              </w:rPr>
            </w:pPr>
          </w:p>
        </w:tc>
        <w:tc>
          <w:tcPr>
            <w:tcW w:w="1170" w:type="dxa"/>
          </w:tcPr>
          <w:p w14:paraId="0AD63098" w14:textId="78DFC0B7" w:rsidR="00BC4400" w:rsidRPr="001570EA" w:rsidRDefault="00BC4400">
            <w:pPr>
              <w:pStyle w:val="TableCell"/>
              <w:keepNext w:val="0"/>
              <w:widowControl w:val="0"/>
              <w:spacing w:before="60" w:after="60"/>
              <w:jc w:val="center"/>
              <w:rPr>
                <w:rFonts w:cs="Arial"/>
                <w:szCs w:val="18"/>
              </w:rPr>
            </w:pPr>
            <w:r w:rsidRPr="001570EA">
              <w:rPr>
                <w:rFonts w:cs="Arial"/>
                <w:szCs w:val="18"/>
              </w:rPr>
              <w:t>Very Small</w:t>
            </w:r>
          </w:p>
        </w:tc>
        <w:tc>
          <w:tcPr>
            <w:tcW w:w="1170" w:type="dxa"/>
            <w:vAlign w:val="center"/>
          </w:tcPr>
          <w:p w14:paraId="5612ED77"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10</w:t>
            </w:r>
          </w:p>
        </w:tc>
        <w:tc>
          <w:tcPr>
            <w:tcW w:w="1440" w:type="dxa"/>
            <w:vAlign w:val="center"/>
          </w:tcPr>
          <w:p w14:paraId="2F2CDB8D"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 xml:space="preserve">0 </w:t>
            </w:r>
            <w:r w:rsidRPr="001570EA">
              <w:rPr>
                <w:rFonts w:cs="Arial"/>
                <w:szCs w:val="18"/>
              </w:rPr>
              <w:t>≤</w:t>
            </w:r>
            <w:r w:rsidRPr="001570EA">
              <w:rPr>
                <w:szCs w:val="18"/>
              </w:rPr>
              <w:t xml:space="preserve"> FHR &lt; 18</w:t>
            </w:r>
          </w:p>
        </w:tc>
        <w:tc>
          <w:tcPr>
            <w:tcW w:w="1890" w:type="dxa"/>
          </w:tcPr>
          <w:p w14:paraId="66EF8A96" w14:textId="77777777" w:rsidR="00BC4400" w:rsidRPr="001570EA" w:rsidRDefault="00BC4400">
            <w:pPr>
              <w:pStyle w:val="TableCell"/>
              <w:keepNext w:val="0"/>
              <w:widowControl w:val="0"/>
              <w:spacing w:before="60" w:after="60"/>
              <w:jc w:val="center"/>
              <w:rPr>
                <w:rFonts w:cs="Arial"/>
                <w:szCs w:val="18"/>
              </w:rPr>
            </w:pPr>
            <w:r w:rsidRPr="001570EA">
              <w:t>0.2674 –(0.0009×V</w:t>
            </w:r>
            <w:r w:rsidRPr="001570EA">
              <w:rPr>
                <w:vertAlign w:val="subscript"/>
              </w:rPr>
              <w:t>r</w:t>
            </w:r>
            <w:r w:rsidRPr="001570EA">
              <w:t>)</w:t>
            </w:r>
          </w:p>
        </w:tc>
        <w:tc>
          <w:tcPr>
            <w:tcW w:w="1980" w:type="dxa"/>
          </w:tcPr>
          <w:p w14:paraId="0EA47895" w14:textId="77777777" w:rsidR="00BC4400" w:rsidRPr="001570EA" w:rsidRDefault="00BC4400">
            <w:pPr>
              <w:pStyle w:val="TableCell"/>
              <w:keepNext w:val="0"/>
              <w:widowControl w:val="0"/>
              <w:spacing w:before="60" w:after="60"/>
              <w:jc w:val="center"/>
            </w:pPr>
            <w:r w:rsidRPr="001570EA">
              <w:t>0.5374−(0.0009 × Vr)</w:t>
            </w:r>
          </w:p>
        </w:tc>
      </w:tr>
      <w:tr w:rsidR="00BC4400" w:rsidRPr="001570EA" w14:paraId="5D783C24" w14:textId="77777777" w:rsidTr="00E37DA0">
        <w:trPr>
          <w:jc w:val="center"/>
        </w:trPr>
        <w:tc>
          <w:tcPr>
            <w:tcW w:w="1782" w:type="dxa"/>
            <w:vMerge/>
          </w:tcPr>
          <w:p w14:paraId="1EFD9F56" w14:textId="77777777" w:rsidR="00BC4400" w:rsidRPr="001570EA" w:rsidRDefault="00BC4400">
            <w:pPr>
              <w:pStyle w:val="TableCell"/>
              <w:keepNext w:val="0"/>
              <w:widowControl w:val="0"/>
              <w:spacing w:before="60" w:after="60"/>
              <w:jc w:val="left"/>
              <w:rPr>
                <w:rFonts w:cs="Arial"/>
                <w:szCs w:val="18"/>
              </w:rPr>
            </w:pPr>
          </w:p>
        </w:tc>
        <w:tc>
          <w:tcPr>
            <w:tcW w:w="1170" w:type="dxa"/>
          </w:tcPr>
          <w:p w14:paraId="12A7273E" w14:textId="77777777" w:rsidR="00BC4400" w:rsidRPr="001570EA" w:rsidRDefault="00BC4400">
            <w:pPr>
              <w:pStyle w:val="TableCell"/>
              <w:keepNext w:val="0"/>
              <w:widowControl w:val="0"/>
              <w:spacing w:before="60" w:after="60"/>
              <w:jc w:val="center"/>
              <w:rPr>
                <w:rFonts w:cs="Arial"/>
                <w:szCs w:val="18"/>
              </w:rPr>
            </w:pPr>
          </w:p>
        </w:tc>
        <w:tc>
          <w:tcPr>
            <w:tcW w:w="1170" w:type="dxa"/>
          </w:tcPr>
          <w:p w14:paraId="02D65959" w14:textId="48341F72" w:rsidR="00BC4400" w:rsidRPr="001570EA" w:rsidRDefault="00BC4400">
            <w:pPr>
              <w:pStyle w:val="TableCell"/>
              <w:keepNext w:val="0"/>
              <w:widowControl w:val="0"/>
              <w:spacing w:before="60" w:after="60"/>
              <w:jc w:val="center"/>
              <w:rPr>
                <w:rFonts w:cs="Arial"/>
                <w:szCs w:val="18"/>
              </w:rPr>
            </w:pPr>
            <w:r w:rsidRPr="001570EA">
              <w:rPr>
                <w:rFonts w:cs="Arial"/>
                <w:szCs w:val="18"/>
              </w:rPr>
              <w:t>Low</w:t>
            </w:r>
          </w:p>
        </w:tc>
        <w:tc>
          <w:tcPr>
            <w:tcW w:w="1170" w:type="dxa"/>
            <w:vAlign w:val="center"/>
          </w:tcPr>
          <w:p w14:paraId="742E5A29"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38</w:t>
            </w:r>
          </w:p>
        </w:tc>
        <w:tc>
          <w:tcPr>
            <w:tcW w:w="1440" w:type="dxa"/>
            <w:vAlign w:val="center"/>
          </w:tcPr>
          <w:p w14:paraId="3145C4E5"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 xml:space="preserve">18 </w:t>
            </w:r>
            <w:r w:rsidRPr="001570EA">
              <w:rPr>
                <w:rFonts w:cs="Arial"/>
                <w:szCs w:val="18"/>
              </w:rPr>
              <w:t>≤</w:t>
            </w:r>
            <w:r w:rsidRPr="001570EA">
              <w:rPr>
                <w:szCs w:val="18"/>
              </w:rPr>
              <w:t xml:space="preserve"> FHR &lt; 51</w:t>
            </w:r>
          </w:p>
        </w:tc>
        <w:tc>
          <w:tcPr>
            <w:tcW w:w="1890" w:type="dxa"/>
          </w:tcPr>
          <w:p w14:paraId="5C9F4242" w14:textId="77777777" w:rsidR="00BC4400" w:rsidRPr="001570EA" w:rsidRDefault="00BC4400">
            <w:pPr>
              <w:pStyle w:val="TableCell"/>
              <w:keepNext w:val="0"/>
              <w:widowControl w:val="0"/>
              <w:spacing w:before="60" w:after="60"/>
              <w:jc w:val="center"/>
              <w:rPr>
                <w:rFonts w:cs="Arial"/>
                <w:szCs w:val="18"/>
              </w:rPr>
            </w:pPr>
            <w:r w:rsidRPr="001570EA">
              <w:t>0.5362-(0.0012×V</w:t>
            </w:r>
            <w:r w:rsidRPr="001570EA">
              <w:rPr>
                <w:vertAlign w:val="subscript"/>
              </w:rPr>
              <w:t>r</w:t>
            </w:r>
            <w:r w:rsidRPr="001570EA">
              <w:t>)</w:t>
            </w:r>
          </w:p>
        </w:tc>
        <w:tc>
          <w:tcPr>
            <w:tcW w:w="1980" w:type="dxa"/>
          </w:tcPr>
          <w:p w14:paraId="64BDB93D" w14:textId="77777777" w:rsidR="00BC4400" w:rsidRPr="001570EA" w:rsidRDefault="00BC4400">
            <w:pPr>
              <w:pStyle w:val="TableCell"/>
              <w:keepNext w:val="0"/>
              <w:widowControl w:val="0"/>
              <w:spacing w:before="60" w:after="60"/>
              <w:jc w:val="center"/>
            </w:pPr>
            <w:r w:rsidRPr="001570EA">
              <w:t>0.8062−(0.0012 × V</w:t>
            </w:r>
            <w:r w:rsidRPr="001570EA">
              <w:rPr>
                <w:vertAlign w:val="subscript"/>
              </w:rPr>
              <w:t>r</w:t>
            </w:r>
            <w:r w:rsidRPr="001570EA">
              <w:t>)</w:t>
            </w:r>
          </w:p>
        </w:tc>
      </w:tr>
      <w:tr w:rsidR="00BC4400" w:rsidRPr="001570EA" w14:paraId="6201C506" w14:textId="77777777" w:rsidTr="00E37DA0">
        <w:trPr>
          <w:jc w:val="center"/>
        </w:trPr>
        <w:tc>
          <w:tcPr>
            <w:tcW w:w="1782" w:type="dxa"/>
            <w:vMerge/>
          </w:tcPr>
          <w:p w14:paraId="68A808E4" w14:textId="77777777" w:rsidR="00BC4400" w:rsidRPr="001570EA" w:rsidRDefault="00BC4400">
            <w:pPr>
              <w:pStyle w:val="TableCell"/>
              <w:keepNext w:val="0"/>
              <w:widowControl w:val="0"/>
              <w:spacing w:before="60" w:after="60"/>
              <w:jc w:val="left"/>
              <w:rPr>
                <w:rFonts w:cs="Arial"/>
                <w:szCs w:val="18"/>
              </w:rPr>
            </w:pPr>
          </w:p>
        </w:tc>
        <w:tc>
          <w:tcPr>
            <w:tcW w:w="1170" w:type="dxa"/>
          </w:tcPr>
          <w:p w14:paraId="5250D185" w14:textId="77777777" w:rsidR="00BC4400" w:rsidRPr="001570EA" w:rsidRDefault="00BC4400">
            <w:pPr>
              <w:pStyle w:val="TableCell"/>
              <w:keepNext w:val="0"/>
              <w:widowControl w:val="0"/>
              <w:spacing w:before="60" w:after="60"/>
              <w:jc w:val="center"/>
              <w:rPr>
                <w:rFonts w:cs="Arial"/>
                <w:szCs w:val="18"/>
              </w:rPr>
            </w:pPr>
          </w:p>
        </w:tc>
        <w:tc>
          <w:tcPr>
            <w:tcW w:w="1170" w:type="dxa"/>
          </w:tcPr>
          <w:p w14:paraId="116A0E8A" w14:textId="6574F110" w:rsidR="00BC4400" w:rsidRPr="001570EA" w:rsidRDefault="00BC4400">
            <w:pPr>
              <w:pStyle w:val="TableCell"/>
              <w:keepNext w:val="0"/>
              <w:widowControl w:val="0"/>
              <w:spacing w:before="60" w:after="60"/>
              <w:jc w:val="center"/>
              <w:rPr>
                <w:rFonts w:cs="Arial"/>
                <w:szCs w:val="18"/>
              </w:rPr>
            </w:pPr>
            <w:r w:rsidRPr="001570EA">
              <w:rPr>
                <w:rFonts w:cs="Arial"/>
                <w:szCs w:val="18"/>
              </w:rPr>
              <w:t>Medium</w:t>
            </w:r>
          </w:p>
        </w:tc>
        <w:tc>
          <w:tcPr>
            <w:tcW w:w="1170" w:type="dxa"/>
            <w:vAlign w:val="center"/>
          </w:tcPr>
          <w:p w14:paraId="2CBC7357"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55</w:t>
            </w:r>
          </w:p>
        </w:tc>
        <w:tc>
          <w:tcPr>
            <w:tcW w:w="1440" w:type="dxa"/>
            <w:vAlign w:val="center"/>
          </w:tcPr>
          <w:p w14:paraId="54A194B7"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 xml:space="preserve">51 </w:t>
            </w:r>
            <w:r w:rsidRPr="001570EA">
              <w:rPr>
                <w:rFonts w:cs="Arial"/>
                <w:szCs w:val="18"/>
              </w:rPr>
              <w:t>≤</w:t>
            </w:r>
            <w:r w:rsidRPr="001570EA">
              <w:rPr>
                <w:szCs w:val="18"/>
              </w:rPr>
              <w:t xml:space="preserve"> FHR &lt; 75</w:t>
            </w:r>
          </w:p>
        </w:tc>
        <w:tc>
          <w:tcPr>
            <w:tcW w:w="1890" w:type="dxa"/>
          </w:tcPr>
          <w:p w14:paraId="55D30E97" w14:textId="77777777" w:rsidR="00BC4400" w:rsidRPr="001570EA" w:rsidRDefault="00BC4400">
            <w:pPr>
              <w:pStyle w:val="TableCell"/>
              <w:keepNext w:val="0"/>
              <w:widowControl w:val="0"/>
              <w:spacing w:before="60" w:after="60"/>
              <w:jc w:val="center"/>
              <w:rPr>
                <w:rFonts w:cs="Arial"/>
                <w:szCs w:val="18"/>
              </w:rPr>
            </w:pPr>
            <w:r w:rsidRPr="001570EA">
              <w:t>0.6002-(0.0011×V</w:t>
            </w:r>
            <w:r w:rsidRPr="001570EA">
              <w:rPr>
                <w:vertAlign w:val="subscript"/>
              </w:rPr>
              <w:t>r</w:t>
            </w:r>
            <w:r w:rsidRPr="001570EA">
              <w:t>)</w:t>
            </w:r>
          </w:p>
        </w:tc>
        <w:tc>
          <w:tcPr>
            <w:tcW w:w="1980" w:type="dxa"/>
          </w:tcPr>
          <w:p w14:paraId="1CE39617" w14:textId="77777777" w:rsidR="00BC4400" w:rsidRPr="001570EA" w:rsidRDefault="00BC4400">
            <w:pPr>
              <w:pStyle w:val="TableCell"/>
              <w:keepNext w:val="0"/>
              <w:widowControl w:val="0"/>
              <w:spacing w:before="60" w:after="60"/>
              <w:jc w:val="center"/>
            </w:pPr>
            <w:r w:rsidRPr="001570EA">
              <w:t>0.8702−(0.0011 × V</w:t>
            </w:r>
            <w:r w:rsidRPr="001570EA">
              <w:rPr>
                <w:vertAlign w:val="subscript"/>
              </w:rPr>
              <w:t>r</w:t>
            </w:r>
            <w:r w:rsidRPr="001570EA">
              <w:t>)</w:t>
            </w:r>
          </w:p>
        </w:tc>
      </w:tr>
      <w:tr w:rsidR="00BC4400" w:rsidRPr="001570EA" w14:paraId="514195D0" w14:textId="77777777" w:rsidTr="00E37DA0">
        <w:trPr>
          <w:jc w:val="center"/>
        </w:trPr>
        <w:tc>
          <w:tcPr>
            <w:tcW w:w="1782" w:type="dxa"/>
            <w:vMerge/>
          </w:tcPr>
          <w:p w14:paraId="78F05AC2" w14:textId="77777777" w:rsidR="00BC4400" w:rsidRPr="001570EA" w:rsidRDefault="00BC4400">
            <w:pPr>
              <w:pStyle w:val="TableCell"/>
              <w:keepNext w:val="0"/>
              <w:widowControl w:val="0"/>
              <w:spacing w:before="60" w:after="60"/>
              <w:jc w:val="left"/>
              <w:rPr>
                <w:rFonts w:cs="Arial"/>
                <w:szCs w:val="18"/>
              </w:rPr>
            </w:pPr>
          </w:p>
        </w:tc>
        <w:tc>
          <w:tcPr>
            <w:tcW w:w="1170" w:type="dxa"/>
          </w:tcPr>
          <w:p w14:paraId="15D94E87" w14:textId="77777777" w:rsidR="00BC4400" w:rsidRPr="001570EA" w:rsidRDefault="00BC4400">
            <w:pPr>
              <w:pStyle w:val="TableCell"/>
              <w:keepNext w:val="0"/>
              <w:widowControl w:val="0"/>
              <w:spacing w:before="60" w:after="60"/>
              <w:jc w:val="center"/>
              <w:rPr>
                <w:rFonts w:cs="Arial"/>
                <w:szCs w:val="18"/>
              </w:rPr>
            </w:pPr>
          </w:p>
        </w:tc>
        <w:tc>
          <w:tcPr>
            <w:tcW w:w="1170" w:type="dxa"/>
          </w:tcPr>
          <w:p w14:paraId="37D6ADAD" w14:textId="69A9100A" w:rsidR="00BC4400" w:rsidRPr="001570EA" w:rsidRDefault="00BC4400">
            <w:pPr>
              <w:pStyle w:val="TableCell"/>
              <w:keepNext w:val="0"/>
              <w:widowControl w:val="0"/>
              <w:spacing w:before="60" w:after="60"/>
              <w:jc w:val="center"/>
              <w:rPr>
                <w:rFonts w:cs="Arial"/>
                <w:szCs w:val="18"/>
              </w:rPr>
            </w:pPr>
            <w:r w:rsidRPr="001570EA">
              <w:rPr>
                <w:rFonts w:cs="Arial"/>
                <w:szCs w:val="18"/>
              </w:rPr>
              <w:t>H</w:t>
            </w:r>
            <w:r w:rsidRPr="001570EA">
              <w:rPr>
                <w:szCs w:val="18"/>
              </w:rPr>
              <w:t>igh</w:t>
            </w:r>
          </w:p>
        </w:tc>
        <w:tc>
          <w:tcPr>
            <w:tcW w:w="1170" w:type="dxa"/>
            <w:vAlign w:val="center"/>
          </w:tcPr>
          <w:p w14:paraId="41D1A096"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84</w:t>
            </w:r>
          </w:p>
        </w:tc>
        <w:tc>
          <w:tcPr>
            <w:tcW w:w="1440" w:type="dxa"/>
            <w:vAlign w:val="center"/>
          </w:tcPr>
          <w:p w14:paraId="220A730F"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 xml:space="preserve">FHR </w:t>
            </w:r>
            <w:r w:rsidRPr="001570EA">
              <w:rPr>
                <w:rFonts w:cs="Arial"/>
                <w:szCs w:val="18"/>
              </w:rPr>
              <w:t>≥</w:t>
            </w:r>
            <w:r w:rsidRPr="001570EA">
              <w:rPr>
                <w:szCs w:val="18"/>
              </w:rPr>
              <w:t xml:space="preserve"> 75</w:t>
            </w:r>
          </w:p>
        </w:tc>
        <w:tc>
          <w:tcPr>
            <w:tcW w:w="1890" w:type="dxa"/>
          </w:tcPr>
          <w:p w14:paraId="05ECD4C1" w14:textId="77777777" w:rsidR="00BC4400" w:rsidRPr="001570EA" w:rsidRDefault="00BC4400">
            <w:pPr>
              <w:pStyle w:val="TableCell"/>
              <w:keepNext w:val="0"/>
              <w:widowControl w:val="0"/>
              <w:spacing w:before="60" w:after="60"/>
              <w:jc w:val="center"/>
              <w:rPr>
                <w:rFonts w:cs="Arial"/>
                <w:szCs w:val="18"/>
              </w:rPr>
            </w:pPr>
            <w:r w:rsidRPr="001570EA">
              <w:t>0.6597-(0.0009×V</w:t>
            </w:r>
            <w:r w:rsidRPr="001570EA">
              <w:rPr>
                <w:vertAlign w:val="subscript"/>
              </w:rPr>
              <w:t>r</w:t>
            </w:r>
            <w:r w:rsidRPr="001570EA">
              <w:t>)</w:t>
            </w:r>
          </w:p>
        </w:tc>
        <w:tc>
          <w:tcPr>
            <w:tcW w:w="1980" w:type="dxa"/>
          </w:tcPr>
          <w:p w14:paraId="69AA9C78" w14:textId="77777777" w:rsidR="00BC4400" w:rsidRPr="001570EA" w:rsidRDefault="00BC4400">
            <w:pPr>
              <w:pStyle w:val="TableCell"/>
              <w:keepNext w:val="0"/>
              <w:widowControl w:val="0"/>
              <w:spacing w:before="60" w:after="60"/>
              <w:jc w:val="center"/>
            </w:pPr>
            <w:r w:rsidRPr="001570EA">
              <w:t>0.9297−(0.0009 × V</w:t>
            </w:r>
            <w:r w:rsidRPr="001570EA">
              <w:rPr>
                <w:vertAlign w:val="subscript"/>
              </w:rPr>
              <w:t>r</w:t>
            </w:r>
            <w:r w:rsidRPr="001570EA">
              <w:t>)</w:t>
            </w:r>
          </w:p>
        </w:tc>
      </w:tr>
      <w:tr w:rsidR="00BC4400" w:rsidRPr="001570EA" w14:paraId="003A92F2" w14:textId="77777777" w:rsidTr="00E37DA0">
        <w:trPr>
          <w:jc w:val="center"/>
        </w:trPr>
        <w:tc>
          <w:tcPr>
            <w:tcW w:w="1782" w:type="dxa"/>
            <w:vMerge w:val="restart"/>
          </w:tcPr>
          <w:p w14:paraId="5C1D2DD1" w14:textId="77777777" w:rsidR="00BC4400" w:rsidRPr="001570EA" w:rsidRDefault="00BC4400">
            <w:pPr>
              <w:pStyle w:val="TableCell"/>
              <w:keepNext w:val="0"/>
              <w:widowControl w:val="0"/>
              <w:spacing w:before="60" w:after="60"/>
              <w:jc w:val="left"/>
              <w:rPr>
                <w:rFonts w:cs="Arial"/>
                <w:szCs w:val="18"/>
              </w:rPr>
            </w:pPr>
            <w:r w:rsidRPr="001570EA">
              <w:rPr>
                <w:rFonts w:cs="Arial"/>
                <w:szCs w:val="18"/>
              </w:rPr>
              <w:t>Oil-fired storage</w:t>
            </w:r>
          </w:p>
          <w:p w14:paraId="6673A249" w14:textId="77777777" w:rsidR="00BC4400" w:rsidRPr="001570EA" w:rsidRDefault="00BC4400">
            <w:pPr>
              <w:pStyle w:val="TableCell"/>
              <w:keepNext w:val="0"/>
              <w:widowControl w:val="0"/>
              <w:spacing w:before="60" w:after="60"/>
              <w:jc w:val="left"/>
              <w:rPr>
                <w:rFonts w:cs="Arial"/>
                <w:szCs w:val="18"/>
              </w:rPr>
            </w:pPr>
            <w:r w:rsidRPr="001570EA">
              <w:rPr>
                <w:rFonts w:cs="Arial"/>
                <w:szCs w:val="18"/>
              </w:rPr>
              <w:t xml:space="preserve">(&gt;105 kBtu/h and </w:t>
            </w:r>
          </w:p>
          <w:p w14:paraId="7D25B1EB" w14:textId="77777777" w:rsidR="00BC4400" w:rsidRPr="001570EA" w:rsidRDefault="00BC4400">
            <w:pPr>
              <w:pStyle w:val="TableCell"/>
              <w:keepNext w:val="0"/>
              <w:widowControl w:val="0"/>
              <w:spacing w:before="60" w:after="60"/>
              <w:jc w:val="left"/>
              <w:rPr>
                <w:rFonts w:cs="Arial"/>
                <w:szCs w:val="18"/>
              </w:rPr>
            </w:pPr>
            <w:r w:rsidRPr="001570EA">
              <w:rPr>
                <w:rFonts w:cs="Arial"/>
                <w:szCs w:val="18"/>
              </w:rPr>
              <w:t xml:space="preserve">≤140 kBtu/h and </w:t>
            </w:r>
          </w:p>
          <w:p w14:paraId="2A2777B0" w14:textId="77777777" w:rsidR="00BC4400" w:rsidRPr="001570EA" w:rsidRDefault="00BC4400">
            <w:pPr>
              <w:pStyle w:val="TableCell"/>
              <w:keepNext w:val="0"/>
              <w:widowControl w:val="0"/>
              <w:spacing w:before="60" w:after="60"/>
              <w:jc w:val="left"/>
              <w:rPr>
                <w:rFonts w:cs="Arial"/>
                <w:szCs w:val="18"/>
              </w:rPr>
            </w:pPr>
            <w:r w:rsidRPr="001570EA">
              <w:rPr>
                <w:rFonts w:cs="Arial"/>
                <w:szCs w:val="18"/>
              </w:rPr>
              <w:t>≤ 120 gal)</w:t>
            </w:r>
          </w:p>
        </w:tc>
        <w:tc>
          <w:tcPr>
            <w:tcW w:w="1170" w:type="dxa"/>
          </w:tcPr>
          <w:p w14:paraId="25F8B55A" w14:textId="77777777" w:rsidR="00BC4400" w:rsidRPr="001570EA" w:rsidRDefault="00BC4400">
            <w:pPr>
              <w:pStyle w:val="TableCell"/>
              <w:keepNext w:val="0"/>
              <w:widowControl w:val="0"/>
              <w:spacing w:before="60" w:after="60"/>
              <w:jc w:val="center"/>
              <w:rPr>
                <w:rFonts w:cs="Arial"/>
                <w:szCs w:val="18"/>
              </w:rPr>
            </w:pPr>
          </w:p>
        </w:tc>
        <w:tc>
          <w:tcPr>
            <w:tcW w:w="1170" w:type="dxa"/>
          </w:tcPr>
          <w:p w14:paraId="47276365" w14:textId="2E524A4A" w:rsidR="00BC4400" w:rsidRPr="001570EA" w:rsidRDefault="00BC4400">
            <w:pPr>
              <w:pStyle w:val="TableCell"/>
              <w:keepNext w:val="0"/>
              <w:widowControl w:val="0"/>
              <w:spacing w:before="60" w:after="60"/>
              <w:jc w:val="center"/>
              <w:rPr>
                <w:rFonts w:cs="Arial"/>
                <w:szCs w:val="18"/>
              </w:rPr>
            </w:pPr>
            <w:r w:rsidRPr="001570EA">
              <w:rPr>
                <w:rFonts w:cs="Arial"/>
                <w:szCs w:val="18"/>
              </w:rPr>
              <w:t>Very Small</w:t>
            </w:r>
          </w:p>
        </w:tc>
        <w:tc>
          <w:tcPr>
            <w:tcW w:w="1170" w:type="dxa"/>
            <w:vAlign w:val="center"/>
          </w:tcPr>
          <w:p w14:paraId="4D1CE5F8"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10</w:t>
            </w:r>
          </w:p>
        </w:tc>
        <w:tc>
          <w:tcPr>
            <w:tcW w:w="1440" w:type="dxa"/>
            <w:vAlign w:val="center"/>
          </w:tcPr>
          <w:p w14:paraId="68AF317C"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 xml:space="preserve">0 </w:t>
            </w:r>
            <w:r w:rsidRPr="001570EA">
              <w:rPr>
                <w:rFonts w:cs="Arial"/>
                <w:szCs w:val="18"/>
              </w:rPr>
              <w:t>≤</w:t>
            </w:r>
            <w:r w:rsidRPr="001570EA">
              <w:rPr>
                <w:szCs w:val="18"/>
              </w:rPr>
              <w:t xml:space="preserve"> FHR &lt; 18</w:t>
            </w:r>
          </w:p>
        </w:tc>
        <w:tc>
          <w:tcPr>
            <w:tcW w:w="1890" w:type="dxa"/>
          </w:tcPr>
          <w:p w14:paraId="240A4C72" w14:textId="77777777" w:rsidR="00BC4400" w:rsidRPr="001570EA" w:rsidRDefault="00BC4400">
            <w:pPr>
              <w:pStyle w:val="TableCell"/>
              <w:keepNext w:val="0"/>
              <w:widowControl w:val="0"/>
              <w:spacing w:before="60" w:after="60"/>
              <w:jc w:val="center"/>
              <w:rPr>
                <w:rFonts w:cs="Arial"/>
                <w:szCs w:val="18"/>
              </w:rPr>
            </w:pPr>
            <w:r w:rsidRPr="001570EA">
              <w:t>0.2932-(0.0015×V</w:t>
            </w:r>
            <w:r w:rsidRPr="001570EA">
              <w:rPr>
                <w:vertAlign w:val="subscript"/>
              </w:rPr>
              <w:t>r</w:t>
            </w:r>
            <w:r w:rsidRPr="001570EA">
              <w:t>)</w:t>
            </w:r>
          </w:p>
        </w:tc>
        <w:tc>
          <w:tcPr>
            <w:tcW w:w="1980" w:type="dxa"/>
          </w:tcPr>
          <w:p w14:paraId="3A23888E" w14:textId="77777777" w:rsidR="00BC4400" w:rsidRPr="001570EA" w:rsidRDefault="00BC4400">
            <w:pPr>
              <w:pStyle w:val="TableCell"/>
              <w:keepNext w:val="0"/>
              <w:widowControl w:val="0"/>
              <w:spacing w:before="60" w:after="60"/>
              <w:jc w:val="center"/>
            </w:pPr>
            <w:r w:rsidRPr="001570EA">
              <w:t>0.2932−(0.0015 × Vr)</w:t>
            </w:r>
          </w:p>
        </w:tc>
      </w:tr>
      <w:tr w:rsidR="00BC4400" w:rsidRPr="001570EA" w14:paraId="500E666E" w14:textId="77777777" w:rsidTr="00E37DA0">
        <w:trPr>
          <w:jc w:val="center"/>
        </w:trPr>
        <w:tc>
          <w:tcPr>
            <w:tcW w:w="1782" w:type="dxa"/>
            <w:vMerge/>
          </w:tcPr>
          <w:p w14:paraId="6223FBD8" w14:textId="77777777" w:rsidR="00BC4400" w:rsidRPr="001570EA" w:rsidRDefault="00BC4400">
            <w:pPr>
              <w:pStyle w:val="TableCell"/>
              <w:keepNext w:val="0"/>
              <w:widowControl w:val="0"/>
              <w:spacing w:before="60" w:after="60"/>
              <w:jc w:val="left"/>
              <w:rPr>
                <w:rFonts w:cs="Arial"/>
                <w:szCs w:val="18"/>
              </w:rPr>
            </w:pPr>
          </w:p>
        </w:tc>
        <w:tc>
          <w:tcPr>
            <w:tcW w:w="1170" w:type="dxa"/>
          </w:tcPr>
          <w:p w14:paraId="2296FE17" w14:textId="77777777" w:rsidR="00BC4400" w:rsidRPr="001570EA" w:rsidRDefault="00BC4400">
            <w:pPr>
              <w:pStyle w:val="TableCell"/>
              <w:keepNext w:val="0"/>
              <w:widowControl w:val="0"/>
              <w:spacing w:before="60" w:after="60"/>
              <w:jc w:val="center"/>
              <w:rPr>
                <w:rFonts w:cs="Arial"/>
                <w:szCs w:val="18"/>
              </w:rPr>
            </w:pPr>
          </w:p>
        </w:tc>
        <w:tc>
          <w:tcPr>
            <w:tcW w:w="1170" w:type="dxa"/>
          </w:tcPr>
          <w:p w14:paraId="19817493" w14:textId="464A11BB" w:rsidR="00BC4400" w:rsidRPr="001570EA" w:rsidRDefault="00BC4400">
            <w:pPr>
              <w:pStyle w:val="TableCell"/>
              <w:keepNext w:val="0"/>
              <w:widowControl w:val="0"/>
              <w:spacing w:before="60" w:after="60"/>
              <w:jc w:val="center"/>
              <w:rPr>
                <w:rFonts w:cs="Arial"/>
                <w:szCs w:val="18"/>
              </w:rPr>
            </w:pPr>
            <w:r w:rsidRPr="001570EA">
              <w:rPr>
                <w:rFonts w:cs="Arial"/>
                <w:szCs w:val="18"/>
              </w:rPr>
              <w:t>Low</w:t>
            </w:r>
          </w:p>
        </w:tc>
        <w:tc>
          <w:tcPr>
            <w:tcW w:w="1170" w:type="dxa"/>
            <w:vAlign w:val="center"/>
          </w:tcPr>
          <w:p w14:paraId="1661EADF"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38</w:t>
            </w:r>
          </w:p>
        </w:tc>
        <w:tc>
          <w:tcPr>
            <w:tcW w:w="1440" w:type="dxa"/>
            <w:vAlign w:val="center"/>
          </w:tcPr>
          <w:p w14:paraId="457C1AB8"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 xml:space="preserve">18 </w:t>
            </w:r>
            <w:r w:rsidRPr="001570EA">
              <w:rPr>
                <w:rFonts w:cs="Arial"/>
                <w:szCs w:val="18"/>
              </w:rPr>
              <w:t>≤</w:t>
            </w:r>
            <w:r w:rsidRPr="001570EA">
              <w:rPr>
                <w:szCs w:val="18"/>
              </w:rPr>
              <w:t xml:space="preserve"> FHR &lt; 51</w:t>
            </w:r>
          </w:p>
        </w:tc>
        <w:tc>
          <w:tcPr>
            <w:tcW w:w="1890" w:type="dxa"/>
          </w:tcPr>
          <w:p w14:paraId="4519D70A" w14:textId="77777777" w:rsidR="00BC4400" w:rsidRPr="001570EA" w:rsidRDefault="00BC4400">
            <w:pPr>
              <w:pStyle w:val="TableCell"/>
              <w:keepNext w:val="0"/>
              <w:widowControl w:val="0"/>
              <w:spacing w:before="60" w:after="60"/>
              <w:jc w:val="center"/>
              <w:rPr>
                <w:rFonts w:cs="Arial"/>
                <w:szCs w:val="18"/>
              </w:rPr>
            </w:pPr>
            <w:r w:rsidRPr="001570EA">
              <w:t>0.5596-(0.0018×V</w:t>
            </w:r>
            <w:r w:rsidRPr="001570EA">
              <w:rPr>
                <w:vertAlign w:val="subscript"/>
              </w:rPr>
              <w:t>r</w:t>
            </w:r>
            <w:r w:rsidRPr="001570EA">
              <w:t>)</w:t>
            </w:r>
          </w:p>
        </w:tc>
        <w:tc>
          <w:tcPr>
            <w:tcW w:w="1980" w:type="dxa"/>
          </w:tcPr>
          <w:p w14:paraId="0B5B7E71" w14:textId="77777777" w:rsidR="00BC4400" w:rsidRPr="001570EA" w:rsidRDefault="00BC4400">
            <w:pPr>
              <w:pStyle w:val="TableCell"/>
              <w:keepNext w:val="0"/>
              <w:widowControl w:val="0"/>
              <w:spacing w:before="60" w:after="60"/>
              <w:jc w:val="center"/>
            </w:pPr>
            <w:r w:rsidRPr="001570EA">
              <w:t>0.5596−(0.0018 × Vr)</w:t>
            </w:r>
          </w:p>
        </w:tc>
      </w:tr>
      <w:tr w:rsidR="00BC4400" w:rsidRPr="001570EA" w14:paraId="0A297FB6" w14:textId="77777777" w:rsidTr="00E37DA0">
        <w:trPr>
          <w:jc w:val="center"/>
        </w:trPr>
        <w:tc>
          <w:tcPr>
            <w:tcW w:w="1782" w:type="dxa"/>
            <w:vMerge/>
          </w:tcPr>
          <w:p w14:paraId="537C5856" w14:textId="77777777" w:rsidR="00BC4400" w:rsidRPr="001570EA" w:rsidRDefault="00BC4400">
            <w:pPr>
              <w:pStyle w:val="TableCell"/>
              <w:keepNext w:val="0"/>
              <w:widowControl w:val="0"/>
              <w:spacing w:before="60" w:after="60"/>
              <w:jc w:val="left"/>
              <w:rPr>
                <w:rFonts w:cs="Arial"/>
                <w:szCs w:val="18"/>
              </w:rPr>
            </w:pPr>
          </w:p>
        </w:tc>
        <w:tc>
          <w:tcPr>
            <w:tcW w:w="1170" w:type="dxa"/>
          </w:tcPr>
          <w:p w14:paraId="1C648207" w14:textId="77777777" w:rsidR="00BC4400" w:rsidRPr="001570EA" w:rsidRDefault="00BC4400">
            <w:pPr>
              <w:pStyle w:val="TableCell"/>
              <w:keepNext w:val="0"/>
              <w:widowControl w:val="0"/>
              <w:spacing w:before="60" w:after="60"/>
              <w:jc w:val="center"/>
              <w:rPr>
                <w:rFonts w:cs="Arial"/>
                <w:szCs w:val="18"/>
              </w:rPr>
            </w:pPr>
          </w:p>
        </w:tc>
        <w:tc>
          <w:tcPr>
            <w:tcW w:w="1170" w:type="dxa"/>
          </w:tcPr>
          <w:p w14:paraId="6455B4EE" w14:textId="4DDFC3B9" w:rsidR="00BC4400" w:rsidRPr="001570EA" w:rsidRDefault="00BC4400">
            <w:pPr>
              <w:pStyle w:val="TableCell"/>
              <w:keepNext w:val="0"/>
              <w:widowControl w:val="0"/>
              <w:spacing w:before="60" w:after="60"/>
              <w:jc w:val="center"/>
              <w:rPr>
                <w:rFonts w:cs="Arial"/>
                <w:szCs w:val="18"/>
              </w:rPr>
            </w:pPr>
            <w:r w:rsidRPr="001570EA">
              <w:rPr>
                <w:rFonts w:cs="Arial"/>
                <w:szCs w:val="18"/>
              </w:rPr>
              <w:t>Medium</w:t>
            </w:r>
          </w:p>
        </w:tc>
        <w:tc>
          <w:tcPr>
            <w:tcW w:w="1170" w:type="dxa"/>
            <w:vAlign w:val="center"/>
          </w:tcPr>
          <w:p w14:paraId="470AF88F"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55</w:t>
            </w:r>
          </w:p>
        </w:tc>
        <w:tc>
          <w:tcPr>
            <w:tcW w:w="1440" w:type="dxa"/>
            <w:vAlign w:val="center"/>
          </w:tcPr>
          <w:p w14:paraId="0AEE6796"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 xml:space="preserve">51 </w:t>
            </w:r>
            <w:r w:rsidRPr="001570EA">
              <w:rPr>
                <w:rFonts w:cs="Arial"/>
                <w:szCs w:val="18"/>
              </w:rPr>
              <w:t>≤</w:t>
            </w:r>
            <w:r w:rsidRPr="001570EA">
              <w:rPr>
                <w:szCs w:val="18"/>
              </w:rPr>
              <w:t xml:space="preserve"> FHR &lt; 75</w:t>
            </w:r>
          </w:p>
        </w:tc>
        <w:tc>
          <w:tcPr>
            <w:tcW w:w="1890" w:type="dxa"/>
          </w:tcPr>
          <w:p w14:paraId="77088C9A" w14:textId="77777777" w:rsidR="00BC4400" w:rsidRPr="001570EA" w:rsidRDefault="00BC4400">
            <w:pPr>
              <w:pStyle w:val="TableCell"/>
              <w:keepNext w:val="0"/>
              <w:widowControl w:val="0"/>
              <w:spacing w:before="60" w:after="60"/>
              <w:jc w:val="center"/>
              <w:rPr>
                <w:rFonts w:cs="Arial"/>
                <w:szCs w:val="18"/>
              </w:rPr>
            </w:pPr>
            <w:r w:rsidRPr="001570EA">
              <w:t>0.6194-(0.0016×V</w:t>
            </w:r>
            <w:r w:rsidRPr="001570EA">
              <w:rPr>
                <w:vertAlign w:val="subscript"/>
              </w:rPr>
              <w:t>r</w:t>
            </w:r>
            <w:r w:rsidRPr="001570EA">
              <w:t>)</w:t>
            </w:r>
          </w:p>
        </w:tc>
        <w:tc>
          <w:tcPr>
            <w:tcW w:w="1980" w:type="dxa"/>
          </w:tcPr>
          <w:p w14:paraId="1E06E91B" w14:textId="77777777" w:rsidR="00BC4400" w:rsidRPr="001570EA" w:rsidRDefault="00BC4400">
            <w:pPr>
              <w:pStyle w:val="TableCell"/>
              <w:keepNext w:val="0"/>
              <w:widowControl w:val="0"/>
              <w:spacing w:before="60" w:after="60"/>
              <w:jc w:val="center"/>
            </w:pPr>
            <w:r w:rsidRPr="001570EA">
              <w:t>0.6194−(0.0016 × Vr)</w:t>
            </w:r>
          </w:p>
        </w:tc>
      </w:tr>
      <w:tr w:rsidR="00BC4400" w:rsidRPr="001570EA" w14:paraId="21D1FF9F" w14:textId="77777777" w:rsidTr="00E37DA0">
        <w:trPr>
          <w:jc w:val="center"/>
        </w:trPr>
        <w:tc>
          <w:tcPr>
            <w:tcW w:w="1782" w:type="dxa"/>
            <w:vMerge/>
          </w:tcPr>
          <w:p w14:paraId="751526DB" w14:textId="77777777" w:rsidR="00BC4400" w:rsidRPr="001570EA" w:rsidRDefault="00BC4400">
            <w:pPr>
              <w:pStyle w:val="TableCell"/>
              <w:keepNext w:val="0"/>
              <w:widowControl w:val="0"/>
              <w:spacing w:before="60" w:after="60"/>
              <w:jc w:val="left"/>
              <w:rPr>
                <w:rFonts w:cs="Arial"/>
                <w:szCs w:val="18"/>
              </w:rPr>
            </w:pPr>
          </w:p>
        </w:tc>
        <w:tc>
          <w:tcPr>
            <w:tcW w:w="1170" w:type="dxa"/>
          </w:tcPr>
          <w:p w14:paraId="6586EC92" w14:textId="77777777" w:rsidR="00BC4400" w:rsidRPr="001570EA" w:rsidRDefault="00BC4400">
            <w:pPr>
              <w:pStyle w:val="TableCell"/>
              <w:keepNext w:val="0"/>
              <w:widowControl w:val="0"/>
              <w:spacing w:before="60" w:after="60"/>
              <w:jc w:val="center"/>
              <w:rPr>
                <w:rFonts w:cs="Arial"/>
                <w:szCs w:val="18"/>
              </w:rPr>
            </w:pPr>
          </w:p>
        </w:tc>
        <w:tc>
          <w:tcPr>
            <w:tcW w:w="1170" w:type="dxa"/>
          </w:tcPr>
          <w:p w14:paraId="4780932C" w14:textId="6E44EEB8" w:rsidR="00BC4400" w:rsidRPr="001570EA" w:rsidRDefault="00BC4400">
            <w:pPr>
              <w:pStyle w:val="TableCell"/>
              <w:keepNext w:val="0"/>
              <w:widowControl w:val="0"/>
              <w:spacing w:before="60" w:after="60"/>
              <w:jc w:val="center"/>
              <w:rPr>
                <w:rFonts w:cs="Arial"/>
                <w:szCs w:val="18"/>
              </w:rPr>
            </w:pPr>
            <w:r w:rsidRPr="001570EA">
              <w:rPr>
                <w:rFonts w:cs="Arial"/>
                <w:szCs w:val="18"/>
              </w:rPr>
              <w:t>Hi</w:t>
            </w:r>
            <w:r w:rsidRPr="001570EA">
              <w:rPr>
                <w:szCs w:val="18"/>
              </w:rPr>
              <w:t>gh</w:t>
            </w:r>
          </w:p>
        </w:tc>
        <w:tc>
          <w:tcPr>
            <w:tcW w:w="1170" w:type="dxa"/>
            <w:vAlign w:val="center"/>
          </w:tcPr>
          <w:p w14:paraId="2A9AE351"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84</w:t>
            </w:r>
          </w:p>
        </w:tc>
        <w:tc>
          <w:tcPr>
            <w:tcW w:w="1440" w:type="dxa"/>
            <w:vAlign w:val="center"/>
          </w:tcPr>
          <w:p w14:paraId="130F5639" w14:textId="77777777" w:rsidR="00BC4400" w:rsidRPr="001570EA" w:rsidRDefault="00BC4400">
            <w:pPr>
              <w:pStyle w:val="TableCell"/>
              <w:keepNext w:val="0"/>
              <w:widowControl w:val="0"/>
              <w:spacing w:before="60" w:after="60"/>
              <w:jc w:val="center"/>
              <w:rPr>
                <w:rFonts w:cs="Arial"/>
                <w:color w:val="000000"/>
                <w:szCs w:val="18"/>
              </w:rPr>
            </w:pPr>
            <w:r w:rsidRPr="001570EA">
              <w:rPr>
                <w:szCs w:val="18"/>
              </w:rPr>
              <w:t xml:space="preserve">FHR </w:t>
            </w:r>
            <w:r w:rsidRPr="001570EA">
              <w:rPr>
                <w:rFonts w:cs="Arial"/>
                <w:szCs w:val="18"/>
              </w:rPr>
              <w:t>≥</w:t>
            </w:r>
            <w:r w:rsidRPr="001570EA">
              <w:rPr>
                <w:szCs w:val="18"/>
              </w:rPr>
              <w:t xml:space="preserve"> 75</w:t>
            </w:r>
          </w:p>
        </w:tc>
        <w:tc>
          <w:tcPr>
            <w:tcW w:w="1890" w:type="dxa"/>
          </w:tcPr>
          <w:p w14:paraId="4E6B7A3C" w14:textId="77777777" w:rsidR="00BC4400" w:rsidRPr="001570EA" w:rsidRDefault="00BC4400">
            <w:pPr>
              <w:pStyle w:val="TableCell"/>
              <w:keepNext w:val="0"/>
              <w:widowControl w:val="0"/>
              <w:spacing w:before="60" w:after="60"/>
              <w:jc w:val="center"/>
              <w:rPr>
                <w:rFonts w:cs="Arial"/>
                <w:szCs w:val="18"/>
              </w:rPr>
            </w:pPr>
            <w:r w:rsidRPr="001570EA">
              <w:t>0.6470-(0.0013×V</w:t>
            </w:r>
            <w:r w:rsidRPr="001570EA">
              <w:rPr>
                <w:vertAlign w:val="subscript"/>
              </w:rPr>
              <w:t>r</w:t>
            </w:r>
            <w:r w:rsidRPr="001570EA">
              <w:t>)</w:t>
            </w:r>
          </w:p>
        </w:tc>
        <w:tc>
          <w:tcPr>
            <w:tcW w:w="1980" w:type="dxa"/>
          </w:tcPr>
          <w:p w14:paraId="0C3D2C1D" w14:textId="77777777" w:rsidR="00BC4400" w:rsidRPr="001570EA" w:rsidRDefault="00BC4400">
            <w:pPr>
              <w:pStyle w:val="TableCell"/>
              <w:keepNext w:val="0"/>
              <w:widowControl w:val="0"/>
              <w:spacing w:before="60" w:after="60"/>
              <w:jc w:val="center"/>
            </w:pPr>
            <w:r w:rsidRPr="001570EA">
              <w:t>0.6470−(0.0013 × Vr)</w:t>
            </w:r>
          </w:p>
        </w:tc>
      </w:tr>
      <w:tr w:rsidR="00BC4400" w:rsidRPr="001570EA" w14:paraId="5D00CC95" w14:textId="77777777" w:rsidTr="00E37DA0">
        <w:trPr>
          <w:jc w:val="center"/>
        </w:trPr>
        <w:tc>
          <w:tcPr>
            <w:tcW w:w="1782" w:type="dxa"/>
            <w:vMerge w:val="restart"/>
          </w:tcPr>
          <w:p w14:paraId="10483B40" w14:textId="77777777" w:rsidR="00BC4400" w:rsidRPr="001570EA" w:rsidRDefault="00BC4400">
            <w:pPr>
              <w:pStyle w:val="TableCell"/>
              <w:keepNext w:val="0"/>
              <w:widowControl w:val="0"/>
              <w:spacing w:before="60" w:after="60"/>
              <w:jc w:val="left"/>
              <w:rPr>
                <w:rFonts w:cs="Arial"/>
                <w:szCs w:val="18"/>
              </w:rPr>
            </w:pPr>
            <w:r w:rsidRPr="001570EA">
              <w:rPr>
                <w:rFonts w:cs="Arial"/>
                <w:szCs w:val="18"/>
              </w:rPr>
              <w:t>Electric instantaneous</w:t>
            </w:r>
          </w:p>
          <w:p w14:paraId="3E15BA7A" w14:textId="77777777" w:rsidR="00BC4400" w:rsidRPr="001570EA" w:rsidRDefault="00BC4400">
            <w:pPr>
              <w:pStyle w:val="TableCell"/>
              <w:keepNext w:val="0"/>
              <w:widowControl w:val="0"/>
              <w:spacing w:before="60" w:after="60"/>
              <w:jc w:val="left"/>
              <w:rPr>
                <w:rFonts w:cs="Arial"/>
                <w:szCs w:val="18"/>
              </w:rPr>
            </w:pPr>
            <w:r w:rsidRPr="001570EA">
              <w:rPr>
                <w:rFonts w:cs="Arial"/>
                <w:szCs w:val="18"/>
              </w:rPr>
              <w:t>(&gt;12 kW and</w:t>
            </w:r>
          </w:p>
          <w:p w14:paraId="629FA4F2" w14:textId="77777777" w:rsidR="00BC4400" w:rsidRPr="001570EA" w:rsidRDefault="00BC4400">
            <w:pPr>
              <w:pStyle w:val="TableCell"/>
              <w:keepNext w:val="0"/>
              <w:widowControl w:val="0"/>
              <w:spacing w:before="60" w:after="60"/>
              <w:jc w:val="left"/>
              <w:rPr>
                <w:rFonts w:cs="Arial"/>
                <w:szCs w:val="18"/>
              </w:rPr>
            </w:pPr>
            <w:r w:rsidRPr="001570EA">
              <w:rPr>
                <w:rFonts w:cs="Arial"/>
                <w:szCs w:val="18"/>
              </w:rPr>
              <w:t xml:space="preserve"> ≤ 58.6 kW and</w:t>
            </w:r>
          </w:p>
          <w:p w14:paraId="2187D4D2" w14:textId="77777777" w:rsidR="00BC4400" w:rsidRPr="001570EA" w:rsidRDefault="00BC4400">
            <w:pPr>
              <w:pStyle w:val="TableCell"/>
              <w:keepNext w:val="0"/>
              <w:widowControl w:val="0"/>
              <w:spacing w:before="60" w:after="60"/>
              <w:jc w:val="left"/>
              <w:rPr>
                <w:rFonts w:cs="Arial"/>
                <w:b/>
                <w:bCs/>
                <w:szCs w:val="18"/>
              </w:rPr>
            </w:pPr>
            <w:r w:rsidRPr="001570EA">
              <w:rPr>
                <w:rFonts w:cs="Arial"/>
                <w:szCs w:val="18"/>
              </w:rPr>
              <w:t xml:space="preserve"> ≤ 2 gal)</w:t>
            </w:r>
          </w:p>
        </w:tc>
        <w:tc>
          <w:tcPr>
            <w:tcW w:w="1170" w:type="dxa"/>
          </w:tcPr>
          <w:p w14:paraId="4C43257B" w14:textId="77777777" w:rsidR="00BC4400" w:rsidRPr="001570EA" w:rsidRDefault="00BC4400">
            <w:pPr>
              <w:pStyle w:val="TableCell"/>
              <w:keepNext w:val="0"/>
              <w:widowControl w:val="0"/>
              <w:spacing w:before="60" w:after="60"/>
              <w:jc w:val="center"/>
              <w:rPr>
                <w:rFonts w:cs="Arial"/>
                <w:szCs w:val="18"/>
              </w:rPr>
            </w:pPr>
          </w:p>
        </w:tc>
        <w:tc>
          <w:tcPr>
            <w:tcW w:w="1170" w:type="dxa"/>
          </w:tcPr>
          <w:p w14:paraId="72FC4E42" w14:textId="5EC525AC" w:rsidR="00BC4400" w:rsidRPr="001570EA" w:rsidRDefault="00BC4400">
            <w:pPr>
              <w:pStyle w:val="TableCell"/>
              <w:keepNext w:val="0"/>
              <w:widowControl w:val="0"/>
              <w:spacing w:before="60" w:after="60"/>
              <w:jc w:val="center"/>
              <w:rPr>
                <w:rFonts w:cs="Arial"/>
                <w:szCs w:val="18"/>
              </w:rPr>
            </w:pPr>
            <w:r w:rsidRPr="001570EA">
              <w:rPr>
                <w:rFonts w:cs="Arial"/>
                <w:szCs w:val="18"/>
              </w:rPr>
              <w:t>Very Small</w:t>
            </w:r>
          </w:p>
        </w:tc>
        <w:tc>
          <w:tcPr>
            <w:tcW w:w="1170" w:type="dxa"/>
            <w:vAlign w:val="center"/>
          </w:tcPr>
          <w:p w14:paraId="54532F3D" w14:textId="77777777" w:rsidR="00BC4400" w:rsidRPr="001570EA" w:rsidRDefault="00BC4400">
            <w:pPr>
              <w:pStyle w:val="TableCell"/>
              <w:keepNext w:val="0"/>
              <w:widowControl w:val="0"/>
              <w:spacing w:before="60" w:after="60"/>
              <w:jc w:val="center"/>
              <w:rPr>
                <w:szCs w:val="18"/>
              </w:rPr>
            </w:pPr>
            <w:r w:rsidRPr="001570EA">
              <w:rPr>
                <w:szCs w:val="18"/>
              </w:rPr>
              <w:t>10</w:t>
            </w:r>
          </w:p>
        </w:tc>
        <w:tc>
          <w:tcPr>
            <w:tcW w:w="1440" w:type="dxa"/>
            <w:vAlign w:val="center"/>
          </w:tcPr>
          <w:p w14:paraId="16481B58" w14:textId="77777777" w:rsidR="00BC4400" w:rsidRPr="001570EA" w:rsidRDefault="00BC4400">
            <w:pPr>
              <w:pStyle w:val="TableCell"/>
              <w:keepNext w:val="0"/>
              <w:widowControl w:val="0"/>
              <w:spacing w:before="60" w:after="60"/>
              <w:jc w:val="center"/>
              <w:rPr>
                <w:szCs w:val="18"/>
              </w:rPr>
            </w:pPr>
            <w:r w:rsidRPr="001570EA">
              <w:rPr>
                <w:szCs w:val="18"/>
              </w:rPr>
              <w:t xml:space="preserve">0 </w:t>
            </w:r>
            <w:r w:rsidRPr="001570EA">
              <w:rPr>
                <w:rFonts w:cs="Arial"/>
                <w:szCs w:val="18"/>
              </w:rPr>
              <w:t>≤</w:t>
            </w:r>
            <w:r w:rsidRPr="001570EA">
              <w:rPr>
                <w:szCs w:val="18"/>
              </w:rPr>
              <w:t xml:space="preserve"> FHR &lt; 18</w:t>
            </w:r>
          </w:p>
        </w:tc>
        <w:tc>
          <w:tcPr>
            <w:tcW w:w="1890" w:type="dxa"/>
            <w:vAlign w:val="bottom"/>
          </w:tcPr>
          <w:p w14:paraId="674DACD3" w14:textId="77777777" w:rsidR="00BC4400" w:rsidRPr="001570EA" w:rsidRDefault="00BC4400">
            <w:pPr>
              <w:pStyle w:val="TableCell"/>
              <w:keepNext w:val="0"/>
              <w:widowControl w:val="0"/>
              <w:spacing w:before="60" w:after="60"/>
              <w:jc w:val="center"/>
              <w:rPr>
                <w:rFonts w:cs="Arial"/>
                <w:color w:val="000000"/>
                <w:szCs w:val="18"/>
              </w:rPr>
            </w:pPr>
            <w:r w:rsidRPr="001570EA">
              <w:rPr>
                <w:rFonts w:cs="Arial"/>
                <w:color w:val="000000"/>
                <w:szCs w:val="18"/>
              </w:rPr>
              <w:t>0.80</w:t>
            </w:r>
          </w:p>
        </w:tc>
        <w:tc>
          <w:tcPr>
            <w:tcW w:w="1980" w:type="dxa"/>
            <w:vAlign w:val="bottom"/>
          </w:tcPr>
          <w:p w14:paraId="29EBFAC9" w14:textId="77777777" w:rsidR="00BC4400" w:rsidRPr="001570EA" w:rsidRDefault="00BC4400">
            <w:pPr>
              <w:pStyle w:val="TableCell"/>
              <w:keepNext w:val="0"/>
              <w:widowControl w:val="0"/>
              <w:spacing w:before="60" w:after="60"/>
              <w:jc w:val="center"/>
              <w:rPr>
                <w:rFonts w:cs="Arial"/>
                <w:color w:val="000000"/>
                <w:szCs w:val="18"/>
              </w:rPr>
            </w:pPr>
            <w:r w:rsidRPr="001570EA">
              <w:rPr>
                <w:rFonts w:cs="Arial"/>
                <w:color w:val="000000"/>
                <w:szCs w:val="18"/>
              </w:rPr>
              <w:t>0.80</w:t>
            </w:r>
          </w:p>
        </w:tc>
      </w:tr>
      <w:tr w:rsidR="00BC4400" w:rsidRPr="001570EA" w14:paraId="16876CF0" w14:textId="77777777" w:rsidTr="00E37DA0">
        <w:trPr>
          <w:jc w:val="center"/>
        </w:trPr>
        <w:tc>
          <w:tcPr>
            <w:tcW w:w="1782" w:type="dxa"/>
            <w:vMerge/>
          </w:tcPr>
          <w:p w14:paraId="02B548A0" w14:textId="77777777" w:rsidR="00BC4400" w:rsidRPr="001570EA" w:rsidRDefault="00BC4400">
            <w:pPr>
              <w:pStyle w:val="TableCell"/>
              <w:keepNext w:val="0"/>
              <w:widowControl w:val="0"/>
              <w:spacing w:before="60" w:after="60"/>
              <w:jc w:val="left"/>
              <w:rPr>
                <w:rFonts w:cs="Arial"/>
                <w:szCs w:val="18"/>
              </w:rPr>
            </w:pPr>
          </w:p>
        </w:tc>
        <w:tc>
          <w:tcPr>
            <w:tcW w:w="1170" w:type="dxa"/>
          </w:tcPr>
          <w:p w14:paraId="71F026B7" w14:textId="77777777" w:rsidR="00BC4400" w:rsidRPr="001570EA" w:rsidRDefault="00BC4400">
            <w:pPr>
              <w:pStyle w:val="TableCell"/>
              <w:keepNext w:val="0"/>
              <w:widowControl w:val="0"/>
              <w:spacing w:before="60" w:after="60"/>
              <w:jc w:val="center"/>
              <w:rPr>
                <w:rFonts w:cs="Arial"/>
                <w:szCs w:val="18"/>
              </w:rPr>
            </w:pPr>
          </w:p>
        </w:tc>
        <w:tc>
          <w:tcPr>
            <w:tcW w:w="1170" w:type="dxa"/>
          </w:tcPr>
          <w:p w14:paraId="7FAFC317" w14:textId="5B9EB0C4" w:rsidR="00BC4400" w:rsidRPr="001570EA" w:rsidRDefault="00BC4400">
            <w:pPr>
              <w:pStyle w:val="TableCell"/>
              <w:keepNext w:val="0"/>
              <w:widowControl w:val="0"/>
              <w:spacing w:before="60" w:after="60"/>
              <w:jc w:val="center"/>
              <w:rPr>
                <w:rFonts w:cs="Arial"/>
                <w:szCs w:val="18"/>
              </w:rPr>
            </w:pPr>
            <w:r w:rsidRPr="001570EA">
              <w:rPr>
                <w:rFonts w:cs="Arial"/>
                <w:szCs w:val="18"/>
              </w:rPr>
              <w:t>Low</w:t>
            </w:r>
          </w:p>
        </w:tc>
        <w:tc>
          <w:tcPr>
            <w:tcW w:w="1170" w:type="dxa"/>
            <w:vAlign w:val="center"/>
          </w:tcPr>
          <w:p w14:paraId="14DC4691" w14:textId="77777777" w:rsidR="00BC4400" w:rsidRPr="001570EA" w:rsidRDefault="00BC4400">
            <w:pPr>
              <w:pStyle w:val="TableCell"/>
              <w:keepNext w:val="0"/>
              <w:widowControl w:val="0"/>
              <w:spacing w:before="60" w:after="60"/>
              <w:jc w:val="center"/>
              <w:rPr>
                <w:szCs w:val="18"/>
              </w:rPr>
            </w:pPr>
            <w:r w:rsidRPr="001570EA">
              <w:rPr>
                <w:szCs w:val="18"/>
              </w:rPr>
              <w:t>38</w:t>
            </w:r>
          </w:p>
        </w:tc>
        <w:tc>
          <w:tcPr>
            <w:tcW w:w="1440" w:type="dxa"/>
            <w:vAlign w:val="center"/>
          </w:tcPr>
          <w:p w14:paraId="618BE0CC" w14:textId="77777777" w:rsidR="00BC4400" w:rsidRPr="001570EA" w:rsidRDefault="00BC4400">
            <w:pPr>
              <w:pStyle w:val="TableCell"/>
              <w:keepNext w:val="0"/>
              <w:widowControl w:val="0"/>
              <w:spacing w:before="60" w:after="60"/>
              <w:jc w:val="center"/>
              <w:rPr>
                <w:szCs w:val="18"/>
              </w:rPr>
            </w:pPr>
            <w:r w:rsidRPr="001570EA">
              <w:rPr>
                <w:szCs w:val="18"/>
              </w:rPr>
              <w:t xml:space="preserve">18 </w:t>
            </w:r>
            <w:r w:rsidRPr="001570EA">
              <w:rPr>
                <w:rFonts w:cs="Arial"/>
                <w:szCs w:val="18"/>
              </w:rPr>
              <w:t>≤</w:t>
            </w:r>
            <w:r w:rsidRPr="001570EA">
              <w:rPr>
                <w:szCs w:val="18"/>
              </w:rPr>
              <w:t xml:space="preserve"> FHR &lt; 51</w:t>
            </w:r>
          </w:p>
        </w:tc>
        <w:tc>
          <w:tcPr>
            <w:tcW w:w="1890" w:type="dxa"/>
            <w:vAlign w:val="bottom"/>
          </w:tcPr>
          <w:p w14:paraId="4E3BCDD2" w14:textId="77777777" w:rsidR="00BC4400" w:rsidRPr="001570EA" w:rsidRDefault="00BC4400">
            <w:pPr>
              <w:pStyle w:val="TableCell"/>
              <w:keepNext w:val="0"/>
              <w:widowControl w:val="0"/>
              <w:spacing w:before="60" w:after="60"/>
              <w:jc w:val="center"/>
              <w:rPr>
                <w:rFonts w:cs="Arial"/>
                <w:color w:val="000000"/>
                <w:szCs w:val="18"/>
              </w:rPr>
            </w:pPr>
            <w:r w:rsidRPr="001570EA">
              <w:rPr>
                <w:rFonts w:cs="Arial"/>
                <w:color w:val="000000"/>
                <w:szCs w:val="18"/>
              </w:rPr>
              <w:t>0.80</w:t>
            </w:r>
          </w:p>
        </w:tc>
        <w:tc>
          <w:tcPr>
            <w:tcW w:w="1980" w:type="dxa"/>
            <w:vAlign w:val="bottom"/>
          </w:tcPr>
          <w:p w14:paraId="6753D7B7" w14:textId="77777777" w:rsidR="00BC4400" w:rsidRPr="001570EA" w:rsidRDefault="00BC4400">
            <w:pPr>
              <w:pStyle w:val="TableCell"/>
              <w:keepNext w:val="0"/>
              <w:widowControl w:val="0"/>
              <w:spacing w:before="60" w:after="60"/>
              <w:jc w:val="center"/>
              <w:rPr>
                <w:rFonts w:cs="Arial"/>
                <w:color w:val="000000"/>
                <w:szCs w:val="18"/>
              </w:rPr>
            </w:pPr>
            <w:r w:rsidRPr="001570EA">
              <w:rPr>
                <w:rFonts w:cs="Arial"/>
                <w:color w:val="000000"/>
                <w:szCs w:val="18"/>
              </w:rPr>
              <w:t>0.80</w:t>
            </w:r>
          </w:p>
        </w:tc>
      </w:tr>
      <w:tr w:rsidR="00BC4400" w:rsidRPr="001570EA" w14:paraId="3ADD7A7E" w14:textId="77777777" w:rsidTr="00E37DA0">
        <w:trPr>
          <w:jc w:val="center"/>
        </w:trPr>
        <w:tc>
          <w:tcPr>
            <w:tcW w:w="1782" w:type="dxa"/>
            <w:vMerge/>
          </w:tcPr>
          <w:p w14:paraId="646AE46A" w14:textId="77777777" w:rsidR="00BC4400" w:rsidRPr="001570EA" w:rsidRDefault="00BC4400">
            <w:pPr>
              <w:pStyle w:val="TableCell"/>
              <w:keepNext w:val="0"/>
              <w:widowControl w:val="0"/>
              <w:spacing w:before="60" w:after="60"/>
              <w:jc w:val="left"/>
              <w:rPr>
                <w:rFonts w:cs="Arial"/>
                <w:szCs w:val="18"/>
              </w:rPr>
            </w:pPr>
          </w:p>
        </w:tc>
        <w:tc>
          <w:tcPr>
            <w:tcW w:w="1170" w:type="dxa"/>
          </w:tcPr>
          <w:p w14:paraId="15959322" w14:textId="77777777" w:rsidR="00BC4400" w:rsidRPr="001570EA" w:rsidRDefault="00BC4400">
            <w:pPr>
              <w:pStyle w:val="TableCell"/>
              <w:keepNext w:val="0"/>
              <w:widowControl w:val="0"/>
              <w:spacing w:before="60" w:after="60"/>
              <w:jc w:val="center"/>
              <w:rPr>
                <w:rFonts w:cs="Arial"/>
                <w:szCs w:val="18"/>
              </w:rPr>
            </w:pPr>
          </w:p>
        </w:tc>
        <w:tc>
          <w:tcPr>
            <w:tcW w:w="1170" w:type="dxa"/>
          </w:tcPr>
          <w:p w14:paraId="73C99D4E" w14:textId="21C4CA67" w:rsidR="00BC4400" w:rsidRPr="001570EA" w:rsidRDefault="00BC4400">
            <w:pPr>
              <w:pStyle w:val="TableCell"/>
              <w:keepNext w:val="0"/>
              <w:widowControl w:val="0"/>
              <w:spacing w:before="60" w:after="60"/>
              <w:jc w:val="center"/>
              <w:rPr>
                <w:rFonts w:cs="Arial"/>
                <w:szCs w:val="18"/>
              </w:rPr>
            </w:pPr>
            <w:r w:rsidRPr="001570EA">
              <w:rPr>
                <w:rFonts w:cs="Arial"/>
                <w:szCs w:val="18"/>
              </w:rPr>
              <w:t>Medium</w:t>
            </w:r>
          </w:p>
        </w:tc>
        <w:tc>
          <w:tcPr>
            <w:tcW w:w="1170" w:type="dxa"/>
            <w:vAlign w:val="center"/>
          </w:tcPr>
          <w:p w14:paraId="18A4C1A2" w14:textId="77777777" w:rsidR="00BC4400" w:rsidRPr="001570EA" w:rsidRDefault="00BC4400">
            <w:pPr>
              <w:pStyle w:val="TableCell"/>
              <w:keepNext w:val="0"/>
              <w:widowControl w:val="0"/>
              <w:spacing w:before="60" w:after="60"/>
              <w:jc w:val="center"/>
              <w:rPr>
                <w:szCs w:val="18"/>
              </w:rPr>
            </w:pPr>
            <w:r w:rsidRPr="001570EA">
              <w:rPr>
                <w:szCs w:val="18"/>
              </w:rPr>
              <w:t>55</w:t>
            </w:r>
          </w:p>
        </w:tc>
        <w:tc>
          <w:tcPr>
            <w:tcW w:w="1440" w:type="dxa"/>
            <w:vAlign w:val="center"/>
          </w:tcPr>
          <w:p w14:paraId="03A526EB" w14:textId="77777777" w:rsidR="00BC4400" w:rsidRPr="001570EA" w:rsidRDefault="00BC4400">
            <w:pPr>
              <w:pStyle w:val="TableCell"/>
              <w:keepNext w:val="0"/>
              <w:widowControl w:val="0"/>
              <w:spacing w:before="60" w:after="60"/>
              <w:jc w:val="center"/>
              <w:rPr>
                <w:szCs w:val="18"/>
              </w:rPr>
            </w:pPr>
            <w:r w:rsidRPr="001570EA">
              <w:rPr>
                <w:szCs w:val="18"/>
              </w:rPr>
              <w:t xml:space="preserve">51 </w:t>
            </w:r>
            <w:r w:rsidRPr="001570EA">
              <w:rPr>
                <w:rFonts w:cs="Arial"/>
                <w:szCs w:val="18"/>
              </w:rPr>
              <w:t>≤</w:t>
            </w:r>
            <w:r w:rsidRPr="001570EA">
              <w:rPr>
                <w:szCs w:val="18"/>
              </w:rPr>
              <w:t xml:space="preserve"> FHR &lt; 75</w:t>
            </w:r>
          </w:p>
        </w:tc>
        <w:tc>
          <w:tcPr>
            <w:tcW w:w="1890" w:type="dxa"/>
            <w:vAlign w:val="bottom"/>
          </w:tcPr>
          <w:p w14:paraId="71D2A849" w14:textId="77777777" w:rsidR="00BC4400" w:rsidRPr="001570EA" w:rsidRDefault="00BC4400">
            <w:pPr>
              <w:pStyle w:val="TableCell"/>
              <w:keepNext w:val="0"/>
              <w:widowControl w:val="0"/>
              <w:spacing w:before="60" w:after="60"/>
              <w:jc w:val="center"/>
              <w:rPr>
                <w:rFonts w:cs="Arial"/>
                <w:color w:val="000000"/>
                <w:szCs w:val="18"/>
              </w:rPr>
            </w:pPr>
            <w:r w:rsidRPr="001570EA">
              <w:rPr>
                <w:rFonts w:cs="Arial"/>
                <w:color w:val="000000"/>
                <w:szCs w:val="18"/>
              </w:rPr>
              <w:t>0.80</w:t>
            </w:r>
          </w:p>
        </w:tc>
        <w:tc>
          <w:tcPr>
            <w:tcW w:w="1980" w:type="dxa"/>
            <w:vAlign w:val="bottom"/>
          </w:tcPr>
          <w:p w14:paraId="398EEB16" w14:textId="77777777" w:rsidR="00BC4400" w:rsidRPr="001570EA" w:rsidRDefault="00BC4400">
            <w:pPr>
              <w:pStyle w:val="TableCell"/>
              <w:keepNext w:val="0"/>
              <w:widowControl w:val="0"/>
              <w:spacing w:before="60" w:after="60"/>
              <w:jc w:val="center"/>
              <w:rPr>
                <w:rFonts w:cs="Arial"/>
                <w:color w:val="000000"/>
                <w:szCs w:val="18"/>
              </w:rPr>
            </w:pPr>
            <w:r w:rsidRPr="001570EA">
              <w:rPr>
                <w:rFonts w:cs="Arial"/>
                <w:color w:val="000000"/>
                <w:szCs w:val="18"/>
              </w:rPr>
              <w:t>0.80</w:t>
            </w:r>
          </w:p>
        </w:tc>
      </w:tr>
      <w:tr w:rsidR="00BC4400" w:rsidRPr="001570EA" w14:paraId="21BF36E6" w14:textId="77777777" w:rsidTr="00E37DA0">
        <w:trPr>
          <w:jc w:val="center"/>
        </w:trPr>
        <w:tc>
          <w:tcPr>
            <w:tcW w:w="1782" w:type="dxa"/>
            <w:vMerge/>
          </w:tcPr>
          <w:p w14:paraId="5DB102E5" w14:textId="77777777" w:rsidR="00BC4400" w:rsidRPr="001570EA" w:rsidRDefault="00BC4400">
            <w:pPr>
              <w:pStyle w:val="TableCell"/>
              <w:keepNext w:val="0"/>
              <w:widowControl w:val="0"/>
              <w:spacing w:before="60" w:after="60"/>
              <w:jc w:val="left"/>
              <w:rPr>
                <w:rFonts w:cs="Arial"/>
                <w:szCs w:val="18"/>
              </w:rPr>
            </w:pPr>
          </w:p>
        </w:tc>
        <w:tc>
          <w:tcPr>
            <w:tcW w:w="1170" w:type="dxa"/>
          </w:tcPr>
          <w:p w14:paraId="5A5DC8C3" w14:textId="77777777" w:rsidR="00BC4400" w:rsidRPr="001570EA" w:rsidRDefault="00BC4400">
            <w:pPr>
              <w:pStyle w:val="TableCell"/>
              <w:keepNext w:val="0"/>
              <w:widowControl w:val="0"/>
              <w:spacing w:before="60" w:after="60"/>
              <w:jc w:val="center"/>
              <w:rPr>
                <w:rFonts w:cs="Arial"/>
                <w:szCs w:val="18"/>
              </w:rPr>
            </w:pPr>
          </w:p>
        </w:tc>
        <w:tc>
          <w:tcPr>
            <w:tcW w:w="1170" w:type="dxa"/>
            <w:vAlign w:val="center"/>
          </w:tcPr>
          <w:p w14:paraId="6AC90433" w14:textId="494E4299" w:rsidR="00BC4400" w:rsidRPr="001570EA" w:rsidRDefault="00BC4400">
            <w:pPr>
              <w:pStyle w:val="TableCell"/>
              <w:keepNext w:val="0"/>
              <w:widowControl w:val="0"/>
              <w:spacing w:before="60" w:after="60"/>
              <w:jc w:val="center"/>
              <w:rPr>
                <w:rFonts w:cs="Arial"/>
                <w:szCs w:val="18"/>
              </w:rPr>
            </w:pPr>
            <w:r w:rsidRPr="001570EA">
              <w:rPr>
                <w:rFonts w:cs="Arial"/>
                <w:szCs w:val="18"/>
              </w:rPr>
              <w:t>Hi</w:t>
            </w:r>
            <w:r w:rsidRPr="001570EA">
              <w:rPr>
                <w:szCs w:val="18"/>
              </w:rPr>
              <w:t>gh</w:t>
            </w:r>
          </w:p>
        </w:tc>
        <w:tc>
          <w:tcPr>
            <w:tcW w:w="1170" w:type="dxa"/>
            <w:vAlign w:val="center"/>
          </w:tcPr>
          <w:p w14:paraId="3CB2FFC7" w14:textId="77777777" w:rsidR="00BC4400" w:rsidRPr="001570EA" w:rsidRDefault="00BC4400">
            <w:pPr>
              <w:pStyle w:val="TableCell"/>
              <w:keepNext w:val="0"/>
              <w:widowControl w:val="0"/>
              <w:spacing w:before="60" w:after="60"/>
              <w:jc w:val="center"/>
              <w:rPr>
                <w:szCs w:val="18"/>
              </w:rPr>
            </w:pPr>
            <w:r w:rsidRPr="001570EA">
              <w:rPr>
                <w:szCs w:val="18"/>
              </w:rPr>
              <w:t>84</w:t>
            </w:r>
          </w:p>
        </w:tc>
        <w:tc>
          <w:tcPr>
            <w:tcW w:w="1440" w:type="dxa"/>
            <w:vAlign w:val="center"/>
          </w:tcPr>
          <w:p w14:paraId="3A0B5AD2" w14:textId="77777777" w:rsidR="00BC4400" w:rsidRPr="001570EA" w:rsidRDefault="00BC4400">
            <w:pPr>
              <w:pStyle w:val="TableCell"/>
              <w:keepNext w:val="0"/>
              <w:widowControl w:val="0"/>
              <w:spacing w:before="60" w:after="60"/>
              <w:jc w:val="center"/>
              <w:rPr>
                <w:szCs w:val="18"/>
              </w:rPr>
            </w:pPr>
            <w:r w:rsidRPr="001570EA">
              <w:rPr>
                <w:szCs w:val="18"/>
              </w:rPr>
              <w:t xml:space="preserve">FHR </w:t>
            </w:r>
            <w:r w:rsidRPr="001570EA">
              <w:rPr>
                <w:rFonts w:cs="Arial"/>
                <w:szCs w:val="18"/>
              </w:rPr>
              <w:t>≥</w:t>
            </w:r>
            <w:r w:rsidRPr="001570EA">
              <w:rPr>
                <w:szCs w:val="18"/>
              </w:rPr>
              <w:t xml:space="preserve"> 75</w:t>
            </w:r>
          </w:p>
        </w:tc>
        <w:tc>
          <w:tcPr>
            <w:tcW w:w="1890" w:type="dxa"/>
            <w:vAlign w:val="center"/>
          </w:tcPr>
          <w:p w14:paraId="60A808D9" w14:textId="77777777" w:rsidR="00BC4400" w:rsidRPr="001570EA" w:rsidRDefault="00BC4400">
            <w:pPr>
              <w:pStyle w:val="TableCell"/>
              <w:keepNext w:val="0"/>
              <w:widowControl w:val="0"/>
              <w:spacing w:before="60" w:after="60"/>
              <w:jc w:val="center"/>
              <w:rPr>
                <w:rFonts w:cs="Arial"/>
                <w:color w:val="000000"/>
                <w:szCs w:val="18"/>
              </w:rPr>
            </w:pPr>
            <w:r w:rsidRPr="001570EA">
              <w:rPr>
                <w:rFonts w:cs="Arial"/>
                <w:color w:val="000000"/>
                <w:szCs w:val="18"/>
              </w:rPr>
              <w:t>0.80</w:t>
            </w:r>
          </w:p>
        </w:tc>
        <w:tc>
          <w:tcPr>
            <w:tcW w:w="1980" w:type="dxa"/>
            <w:vAlign w:val="center"/>
          </w:tcPr>
          <w:p w14:paraId="29684F84" w14:textId="77777777" w:rsidR="00BC4400" w:rsidRPr="001570EA" w:rsidRDefault="00BC4400">
            <w:pPr>
              <w:pStyle w:val="TableCell"/>
              <w:keepNext w:val="0"/>
              <w:widowControl w:val="0"/>
              <w:spacing w:before="60" w:after="60"/>
              <w:jc w:val="center"/>
              <w:rPr>
                <w:rFonts w:cs="Arial"/>
                <w:color w:val="000000"/>
                <w:szCs w:val="18"/>
              </w:rPr>
            </w:pPr>
            <w:r w:rsidRPr="001570EA">
              <w:rPr>
                <w:rFonts w:cs="Arial"/>
                <w:color w:val="000000"/>
                <w:szCs w:val="18"/>
              </w:rPr>
              <w:t>0.80</w:t>
            </w:r>
          </w:p>
        </w:tc>
      </w:tr>
    </w:tbl>
    <w:p w14:paraId="3FA9D505" w14:textId="77777777" w:rsidR="00FA7EEB" w:rsidRPr="001570EA" w:rsidRDefault="00FA7EEB" w:rsidP="00E37DA0">
      <w:pPr>
        <w:pStyle w:val="Footnote"/>
      </w:pPr>
      <w:r w:rsidRPr="001570EA">
        <w:t>* Vr is the rated storage volume (in gallons)</w:t>
      </w:r>
    </w:p>
    <w:p w14:paraId="715DF4E2" w14:textId="77777777" w:rsidR="00FA7EEB" w:rsidRPr="001570EA" w:rsidRDefault="00FA7EEB" w:rsidP="00E37DA0">
      <w:pPr>
        <w:pStyle w:val="BodyText"/>
        <w:ind w:right="0"/>
      </w:pPr>
    </w:p>
    <w:p w14:paraId="3C887AA9" w14:textId="77777777" w:rsidR="00FA7EEB" w:rsidRPr="001570EA" w:rsidRDefault="00FA7EEB" w:rsidP="00FA7EEB">
      <w:pPr>
        <w:pStyle w:val="SubStyle"/>
      </w:pPr>
      <w:r w:rsidRPr="001570EA">
        <w:t>Evaluation Protocols</w:t>
      </w:r>
    </w:p>
    <w:p w14:paraId="5AD68946" w14:textId="77777777" w:rsidR="00FA7EEB" w:rsidRPr="001570EA" w:rsidRDefault="00FA7EEB" w:rsidP="00FA7EEB">
      <w:pPr>
        <w:pStyle w:val="BodyText"/>
        <w:ind w:right="0"/>
        <w:rPr>
          <w:rFonts w:eastAsia="Arial" w:cs="Arial"/>
        </w:rPr>
      </w:pPr>
      <w:r w:rsidRPr="001570EA">
        <w:t>For most proje</w:t>
      </w:r>
      <w:bookmarkStart w:id="1222" w:name="_Hlk153452955"/>
      <w:r w:rsidRPr="001570EA">
        <w:t>cts</w:t>
      </w:r>
      <w:bookmarkEnd w:id="1222"/>
      <w:r w:rsidRPr="001570EA">
        <w:t xml:space="preserve">, the appropriate evaluation protocol is to verify installation and proper selection of default values. </w:t>
      </w:r>
    </w:p>
    <w:p w14:paraId="735D2123" w14:textId="77777777" w:rsidR="00FA7EEB" w:rsidRPr="001570EA" w:rsidRDefault="00FA7EEB" w:rsidP="00E37DA0">
      <w:pPr>
        <w:pStyle w:val="BodyText"/>
        <w:ind w:right="0"/>
      </w:pPr>
    </w:p>
    <w:p w14:paraId="56CD2C55" w14:textId="77777777" w:rsidR="00FA7EEB" w:rsidRPr="001570EA" w:rsidRDefault="00FA7EEB" w:rsidP="00FA7EEB">
      <w:pPr>
        <w:pStyle w:val="SubStyle"/>
      </w:pPr>
      <w:r w:rsidRPr="001570EA">
        <w:t>Sources</w:t>
      </w:r>
    </w:p>
    <w:p w14:paraId="182A9305" w14:textId="0A30FA27" w:rsidR="00FA7EEB" w:rsidRPr="001570EA" w:rsidRDefault="00FA7EEB" w:rsidP="00FA7EEB">
      <w:pPr>
        <w:pStyle w:val="source10"/>
        <w:numPr>
          <w:ilvl w:val="0"/>
          <w:numId w:val="23"/>
        </w:numPr>
        <w:overflowPunct/>
        <w:autoSpaceDE/>
        <w:autoSpaceDN/>
        <w:spacing w:after="120"/>
        <w:ind w:left="360"/>
        <w:jc w:val="left"/>
        <w:textAlignment w:val="auto"/>
      </w:pPr>
      <w:r w:rsidRPr="001570EA">
        <w:t xml:space="preserve">ENERGY STAR Multifamily New Construction Program Decision Tree. (2021, May). </w:t>
      </w:r>
      <w:hyperlink r:id="rId376" w:history="1">
        <w:r w:rsidRPr="001570EA">
          <w:rPr>
            <w:rStyle w:val="Hyperlink"/>
            <w:rFonts w:cs="Arial"/>
          </w:rPr>
          <w:t>Weblink</w:t>
        </w:r>
      </w:hyperlink>
    </w:p>
    <w:p w14:paraId="3456EE00" w14:textId="617BC9C0" w:rsidR="00FA7EEB" w:rsidRPr="001570EA" w:rsidRDefault="00FA7EEB" w:rsidP="00FA7EEB">
      <w:pPr>
        <w:pStyle w:val="source10"/>
        <w:numPr>
          <w:ilvl w:val="0"/>
          <w:numId w:val="23"/>
        </w:numPr>
        <w:spacing w:after="120"/>
        <w:ind w:left="360"/>
        <w:jc w:val="left"/>
      </w:pPr>
      <w:r w:rsidRPr="001570EA">
        <w:t xml:space="preserve">International Code Council. (2021). 2021 </w:t>
      </w:r>
      <w:r w:rsidRPr="001570EA">
        <w:rPr>
          <w:lang w:val="fr-FR"/>
        </w:rPr>
        <w:t xml:space="preserve">International Energy Conservation Code, Effective Use of the International Energy Conservation Code, Introduction. </w:t>
      </w:r>
      <w:hyperlink r:id="rId377" w:history="1">
        <w:r w:rsidRPr="001570EA">
          <w:rPr>
            <w:rStyle w:val="Hyperlink"/>
            <w:rFonts w:cs="Arial"/>
            <w:lang w:val="fr-FR"/>
          </w:rPr>
          <w:t>Weblink</w:t>
        </w:r>
      </w:hyperlink>
      <w:r w:rsidRPr="001570EA">
        <w:rPr>
          <w:lang w:val="fr-FR"/>
        </w:rPr>
        <w:t xml:space="preserve"> </w:t>
      </w:r>
    </w:p>
    <w:p w14:paraId="05F53EE9" w14:textId="0B3E48DC" w:rsidR="00FA7EEB" w:rsidRPr="001570EA" w:rsidRDefault="00FA7EEB" w:rsidP="00FA7EEB">
      <w:pPr>
        <w:pStyle w:val="Source1"/>
      </w:pPr>
      <w:r w:rsidRPr="001570EA">
        <w:t xml:space="preserve">See the RESNET National Registry of Accredited Rating Software Programs for a complete listing: </w:t>
      </w:r>
      <w:hyperlink r:id="rId378" w:history="1">
        <w:r w:rsidRPr="001570EA">
          <w:rPr>
            <w:rStyle w:val="Hyperlink"/>
            <w:rFonts w:cs="Arial"/>
          </w:rPr>
          <w:t>Weblink</w:t>
        </w:r>
      </w:hyperlink>
    </w:p>
    <w:p w14:paraId="2C7B1A02" w14:textId="48B0C6E6" w:rsidR="00FA7EEB" w:rsidRPr="001570EA" w:rsidRDefault="00FA7EEB" w:rsidP="00FA7EEB">
      <w:pPr>
        <w:pStyle w:val="Source1"/>
      </w:pPr>
      <w:r w:rsidRPr="001570EA">
        <w:t xml:space="preserve">Passive House Planning Package. </w:t>
      </w:r>
      <w:hyperlink r:id="rId379" w:history="1">
        <w:r w:rsidRPr="001570EA">
          <w:rPr>
            <w:rStyle w:val="Hyperlink"/>
          </w:rPr>
          <w:t>Weblink</w:t>
        </w:r>
      </w:hyperlink>
    </w:p>
    <w:p w14:paraId="09A17C65" w14:textId="51F54439" w:rsidR="00FA7EEB" w:rsidRPr="001570EA" w:rsidRDefault="00FA7EEB" w:rsidP="00FA7EEB">
      <w:pPr>
        <w:pStyle w:val="Source1"/>
      </w:pPr>
      <w:r w:rsidRPr="001570EA">
        <w:t xml:space="preserve">WUFI Passive. </w:t>
      </w:r>
      <w:hyperlink r:id="rId380" w:history="1">
        <w:r w:rsidRPr="001570EA">
          <w:rPr>
            <w:rStyle w:val="Hyperlink"/>
          </w:rPr>
          <w:t>Weblink</w:t>
        </w:r>
      </w:hyperlink>
    </w:p>
    <w:p w14:paraId="132DF4FA" w14:textId="4809BE95" w:rsidR="00FA7EEB" w:rsidRPr="001570EA" w:rsidRDefault="00FA7EEB" w:rsidP="00FA7EEB">
      <w:pPr>
        <w:pStyle w:val="Source1"/>
        <w:jc w:val="left"/>
      </w:pPr>
      <w:r w:rsidRPr="001570EA">
        <w:t xml:space="preserve">See the ENERGY STAR Multifamily New Construction Simulation Guidelines for guidance on qualifying software: </w:t>
      </w:r>
      <w:hyperlink r:id="rId381" w:history="1">
        <w:r w:rsidRPr="001570EA">
          <w:rPr>
            <w:rStyle w:val="Hyperlink"/>
            <w:rFonts w:cs="Arial"/>
          </w:rPr>
          <w:t>Weblink</w:t>
        </w:r>
      </w:hyperlink>
    </w:p>
    <w:p w14:paraId="651BDCD5" w14:textId="77777777" w:rsidR="00FA7EEB" w:rsidRPr="001570EA" w:rsidRDefault="00FA7EEB" w:rsidP="00FA7EEB">
      <w:pPr>
        <w:pStyle w:val="source10"/>
        <w:numPr>
          <w:ilvl w:val="0"/>
          <w:numId w:val="23"/>
        </w:numPr>
        <w:spacing w:after="120"/>
        <w:ind w:left="360"/>
      </w:pPr>
      <w:r w:rsidRPr="001570EA">
        <w:t>Calculation of annual energy consumption of a baseline home from the home energy rating tool based on the reference home energy characteristics.</w:t>
      </w:r>
    </w:p>
    <w:p w14:paraId="78F3B230" w14:textId="77777777" w:rsidR="00FA7EEB" w:rsidRPr="001570EA" w:rsidRDefault="00FA7EEB" w:rsidP="00FA7EEB">
      <w:pPr>
        <w:pStyle w:val="source10"/>
        <w:numPr>
          <w:ilvl w:val="0"/>
          <w:numId w:val="23"/>
        </w:numPr>
        <w:spacing w:after="120"/>
        <w:ind w:left="360"/>
      </w:pPr>
      <w:r w:rsidRPr="001570EA">
        <w:t>Calculation of annual energy consumption of an energy efficient home from the home energy rating tool based on the qualifying home energy characteristics.</w:t>
      </w:r>
    </w:p>
    <w:p w14:paraId="3807E156" w14:textId="32D87FAA" w:rsidR="00FA7EEB" w:rsidRPr="001570EA" w:rsidRDefault="00FA7EEB" w:rsidP="00FA7EEB">
      <w:pPr>
        <w:pStyle w:val="Source1"/>
      </w:pPr>
      <w:r w:rsidRPr="001570EA">
        <w:t xml:space="preserve">Wilson et al. 2021. End-Use Load Profiles for the U.S. Building Stock: Methodology and Results of Model Calibration, Validation, and Uncertainty Quantification. NREL/TP-5500-80889. </w:t>
      </w:r>
      <w:hyperlink r:id="rId382" w:history="1">
        <w:r w:rsidRPr="001570EA">
          <w:rPr>
            <w:rStyle w:val="Hyperlink"/>
            <w:rFonts w:cs="Arial"/>
          </w:rPr>
          <w:t>Weblink</w:t>
        </w:r>
      </w:hyperlink>
      <w:r w:rsidRPr="001570EA">
        <w:t xml:space="preserve"> </w:t>
      </w:r>
    </w:p>
    <w:p w14:paraId="215C6A80" w14:textId="5DCF0544" w:rsidR="00FA7EEB" w:rsidRPr="001570EA" w:rsidDel="009635A6" w:rsidRDefault="00FA7EEB" w:rsidP="00FA7EEB">
      <w:pPr>
        <w:pStyle w:val="source10"/>
        <w:numPr>
          <w:ilvl w:val="0"/>
          <w:numId w:val="23"/>
        </w:numPr>
        <w:spacing w:after="120"/>
        <w:ind w:left="360"/>
      </w:pPr>
      <w:r w:rsidRPr="001570EA">
        <w:t xml:space="preserve">2021 International Energy Conservation Code Table R402.1.2 Maximum Assembly U-Factors and Fenestration Requirements presents the R-Value requirements of Table R402.1.3 in an equivalent U-Factor format.  Users may choose to follow Table R402.1.2 instead. 2021 IECC supersedes this table in case of discrepancy. Additional requirements per §R402 of 2021 IECC must be followed even if not listed here. </w:t>
      </w:r>
    </w:p>
    <w:p w14:paraId="716E6433" w14:textId="7C29775A" w:rsidR="00FA7EEB" w:rsidRPr="001570EA" w:rsidRDefault="00FA7EEB" w:rsidP="00FA7EEB">
      <w:pPr>
        <w:pStyle w:val="source10"/>
        <w:numPr>
          <w:ilvl w:val="0"/>
          <w:numId w:val="23"/>
        </w:numPr>
        <w:spacing w:after="120"/>
        <w:ind w:left="360"/>
        <w:jc w:val="left"/>
      </w:pPr>
      <w:r w:rsidRPr="001570EA">
        <w:rPr>
          <w:lang w:val="fr-FR"/>
        </w:rPr>
        <w:t xml:space="preserve">2021 International Energy Conservation Code §R401-R404. </w:t>
      </w:r>
      <w:hyperlink r:id="rId383" w:history="1">
        <w:r w:rsidRPr="001570EA">
          <w:rPr>
            <w:rStyle w:val="Hyperlink"/>
            <w:rFonts w:cs="Arial"/>
            <w:lang w:val="fr-FR"/>
          </w:rPr>
          <w:t>Weblink</w:t>
        </w:r>
      </w:hyperlink>
    </w:p>
    <w:p w14:paraId="3306DF1B" w14:textId="40EB2EFB" w:rsidR="00FA7EEB" w:rsidRPr="001570EA" w:rsidRDefault="00FA7EEB" w:rsidP="00FA7EEB">
      <w:pPr>
        <w:pStyle w:val="source10"/>
        <w:numPr>
          <w:ilvl w:val="0"/>
          <w:numId w:val="23"/>
        </w:numPr>
        <w:overflowPunct/>
        <w:autoSpaceDE/>
        <w:autoSpaceDN/>
        <w:spacing w:after="120"/>
        <w:ind w:left="360"/>
        <w:jc w:val="left"/>
        <w:textAlignment w:val="auto"/>
      </w:pPr>
      <w:r w:rsidRPr="001570EA">
        <w:t xml:space="preserve">2021 International Residential Code, Table N1103.6.2(R403.6.2): Whole-Dwelling Mechanical Ventilation System Fan Efficacy. </w:t>
      </w:r>
      <w:hyperlink r:id="rId384" w:anchor="IRC2021P2_Pt04_Ch11_SecN1103.6.2" w:history="1">
        <w:r w:rsidRPr="001570EA">
          <w:rPr>
            <w:rStyle w:val="Hyperlink"/>
            <w:rFonts w:cs="Arial"/>
          </w:rPr>
          <w:t>Weblink</w:t>
        </w:r>
      </w:hyperlink>
    </w:p>
    <w:p w14:paraId="29A9DBE9" w14:textId="63798A11" w:rsidR="00FA7EEB" w:rsidRPr="001570EA" w:rsidRDefault="00FA7EEB" w:rsidP="00FA7EEB">
      <w:pPr>
        <w:pStyle w:val="source10"/>
        <w:numPr>
          <w:ilvl w:val="0"/>
          <w:numId w:val="23"/>
        </w:numPr>
        <w:spacing w:after="120"/>
        <w:ind w:left="360"/>
        <w:jc w:val="left"/>
      </w:pPr>
      <w:r w:rsidRPr="001570EA">
        <w:t xml:space="preserve">Electronic Code of Federal Regulations, 10 CFR Part 430, Subpart C, §430.32, “Energy and water conservation standards and their compliance dates.” </w:t>
      </w:r>
      <w:hyperlink r:id="rId385" w:anchor="430.32" w:history="1">
        <w:r w:rsidRPr="001570EA">
          <w:rPr>
            <w:rStyle w:val="Hyperlink"/>
            <w:rFonts w:cs="Arial"/>
          </w:rPr>
          <w:t>Weblink</w:t>
        </w:r>
      </w:hyperlink>
      <w:r w:rsidRPr="001570EA">
        <w:t xml:space="preserve">. </w:t>
      </w:r>
    </w:p>
    <w:p w14:paraId="74664FF6" w14:textId="0979B52E" w:rsidR="00FA7EEB" w:rsidRPr="001570EA" w:rsidRDefault="00FA7EEB" w:rsidP="00FA7EEB">
      <w:pPr>
        <w:pStyle w:val="source10"/>
        <w:numPr>
          <w:ilvl w:val="0"/>
          <w:numId w:val="23"/>
        </w:numPr>
        <w:spacing w:after="120"/>
        <w:ind w:left="360"/>
        <w:jc w:val="left"/>
      </w:pPr>
      <w:r w:rsidRPr="001570EA">
        <w:t xml:space="preserve">2021 International Energy Conservation Code Tables C402.4 and C402.1.4.  Users may choose to follow Table C402.1.3 instead of Table C402.1.4. 20121 IECC supersedes this table in case of discrepancy. Additional requirements per §C402 of 20121 IECC must be followed even if not listed here. </w:t>
      </w:r>
      <w:hyperlink r:id="rId386" w:anchor="IECC2021P1_CE_Ch04_SecC402" w:history="1">
        <w:r w:rsidRPr="001570EA">
          <w:rPr>
            <w:rStyle w:val="Hyperlink"/>
            <w:rFonts w:cs="Arial"/>
          </w:rPr>
          <w:t>Weblink</w:t>
        </w:r>
      </w:hyperlink>
      <w:r w:rsidRPr="001570EA">
        <w:t xml:space="preserve"> </w:t>
      </w:r>
    </w:p>
    <w:p w14:paraId="141673CD" w14:textId="330314CE" w:rsidR="00FA7EEB" w:rsidRPr="001570EA" w:rsidRDefault="00FA7EEB" w:rsidP="00FA7EEB">
      <w:pPr>
        <w:pStyle w:val="source10"/>
        <w:numPr>
          <w:ilvl w:val="0"/>
          <w:numId w:val="23"/>
        </w:numPr>
        <w:spacing w:after="120"/>
        <w:ind w:left="360"/>
        <w:jc w:val="left"/>
      </w:pPr>
      <w:r w:rsidRPr="001570EA">
        <w:rPr>
          <w:lang w:val="fr-FR"/>
        </w:rPr>
        <w:t xml:space="preserve">2021 International Energy Conservation Code §C402.5.2 </w:t>
      </w:r>
      <w:hyperlink r:id="rId387" w:anchor="IECC2021P2_CE_Ch04_SecC402.5.2" w:history="1">
        <w:r w:rsidRPr="001570EA">
          <w:rPr>
            <w:rStyle w:val="Hyperlink"/>
            <w:rFonts w:cs="Arial"/>
            <w:lang w:val="fr-FR"/>
          </w:rPr>
          <w:t>Weblink</w:t>
        </w:r>
      </w:hyperlink>
      <w:r w:rsidRPr="001570EA">
        <w:rPr>
          <w:lang w:val="fr-FR"/>
        </w:rPr>
        <w:t xml:space="preserve"> </w:t>
      </w:r>
    </w:p>
    <w:p w14:paraId="3C653473" w14:textId="349600E5" w:rsidR="00FA7EEB" w:rsidRPr="001570EA" w:rsidRDefault="00FA7EEB" w:rsidP="00FA7EEB">
      <w:pPr>
        <w:pStyle w:val="source10"/>
        <w:numPr>
          <w:ilvl w:val="0"/>
          <w:numId w:val="23"/>
        </w:numPr>
        <w:spacing w:after="120"/>
        <w:ind w:left="360"/>
        <w:jc w:val="left"/>
      </w:pPr>
      <w:r w:rsidRPr="001570EA">
        <w:rPr>
          <w:lang w:val="fr-FR"/>
        </w:rPr>
        <w:t xml:space="preserve">2021 International Energy Conservation Code §C403.12.1. </w:t>
      </w:r>
      <w:hyperlink r:id="rId388" w:anchor="IECC2021P2_CE_Ch04_SecC403.12.1" w:history="1">
        <w:r w:rsidRPr="001570EA">
          <w:rPr>
            <w:rStyle w:val="Hyperlink"/>
            <w:rFonts w:cs="Arial"/>
            <w:lang w:val="fr-FR"/>
          </w:rPr>
          <w:t>Weblink</w:t>
        </w:r>
      </w:hyperlink>
      <w:r w:rsidRPr="001570EA">
        <w:rPr>
          <w:lang w:val="fr-FR"/>
        </w:rPr>
        <w:t xml:space="preserve">   </w:t>
      </w:r>
    </w:p>
    <w:p w14:paraId="1199E35E" w14:textId="00E31FE8" w:rsidR="00FA7EEB" w:rsidRPr="001570EA" w:rsidRDefault="00FA7EEB" w:rsidP="00FA7EEB">
      <w:pPr>
        <w:pStyle w:val="source10"/>
        <w:numPr>
          <w:ilvl w:val="0"/>
          <w:numId w:val="23"/>
        </w:numPr>
        <w:spacing w:after="120"/>
        <w:ind w:left="360"/>
      </w:pPr>
      <w:r w:rsidRPr="001570EA">
        <w:t xml:space="preserve">2021 International Mechanical Code, Table 403.3.1.1: Minimum Ventilation Rates. </w:t>
      </w:r>
      <w:hyperlink r:id="rId389" w:anchor="IMC2021P3_Ch04_Sec403.3.1.1" w:history="1">
        <w:r w:rsidRPr="001570EA">
          <w:rPr>
            <w:rStyle w:val="Hyperlink"/>
            <w:rFonts w:cs="Arial"/>
          </w:rPr>
          <w:t>Weblink</w:t>
        </w:r>
      </w:hyperlink>
      <w:r w:rsidRPr="001570EA">
        <w:t xml:space="preserve">  </w:t>
      </w:r>
    </w:p>
    <w:p w14:paraId="57B43A7B" w14:textId="057F963A" w:rsidR="00FA7EEB" w:rsidRPr="001570EA" w:rsidRDefault="00FA7EEB" w:rsidP="00FA7EEB">
      <w:pPr>
        <w:pStyle w:val="source10"/>
        <w:numPr>
          <w:ilvl w:val="0"/>
          <w:numId w:val="23"/>
        </w:numPr>
        <w:spacing w:after="120"/>
        <w:ind w:left="360"/>
        <w:jc w:val="left"/>
      </w:pPr>
      <w:r w:rsidRPr="00597241">
        <w:rPr>
          <w:lang w:val="fr-FR"/>
        </w:rPr>
        <w:t xml:space="preserve">2021 International Energy Conservation Code </w:t>
      </w:r>
      <w:r w:rsidRPr="001570EA">
        <w:rPr>
          <w:lang w:val="fr-FR"/>
        </w:rPr>
        <w:t>§C403.3.2</w:t>
      </w:r>
      <w:r w:rsidRPr="00597241">
        <w:rPr>
          <w:lang w:val="fr-FR"/>
        </w:rPr>
        <w:t xml:space="preserve">. </w:t>
      </w:r>
      <w:hyperlink r:id="rId390" w:anchor="IECC2021P2_CE_Ch04_SecC403.3.2" w:history="1">
        <w:r w:rsidRPr="001570EA">
          <w:rPr>
            <w:rStyle w:val="Hyperlink"/>
            <w:rFonts w:cs="Arial"/>
            <w:lang w:val="fr-FR"/>
          </w:rPr>
          <w:t>Weblink</w:t>
        </w:r>
      </w:hyperlink>
      <w:r w:rsidRPr="001570EA">
        <w:rPr>
          <w:lang w:val="fr-FR"/>
        </w:rPr>
        <w:t xml:space="preserve"> </w:t>
      </w:r>
    </w:p>
    <w:p w14:paraId="38345667" w14:textId="0B40FB41" w:rsidR="00FA7EEB" w:rsidRPr="001570EA" w:rsidRDefault="00FA7EEB" w:rsidP="00FA7EEB">
      <w:pPr>
        <w:pStyle w:val="source10"/>
        <w:numPr>
          <w:ilvl w:val="0"/>
          <w:numId w:val="23"/>
        </w:numPr>
        <w:spacing w:after="120"/>
        <w:ind w:left="360"/>
        <w:jc w:val="left"/>
      </w:pPr>
      <w:r w:rsidRPr="001570EA">
        <w:t xml:space="preserve">Electronic Code of Federal Regulations, 10 CFR Part 431, Subpart G, §431.110. </w:t>
      </w:r>
      <w:hyperlink r:id="rId391" w:history="1">
        <w:r w:rsidRPr="001570EA">
          <w:rPr>
            <w:rStyle w:val="Hyperlink"/>
            <w:rFonts w:cs="Arial"/>
          </w:rPr>
          <w:t>Weblink</w:t>
        </w:r>
      </w:hyperlink>
    </w:p>
    <w:p w14:paraId="4AE37F77" w14:textId="77777777" w:rsidR="00FA7EEB" w:rsidRPr="001570EA" w:rsidRDefault="00FA7EEB" w:rsidP="00FA7EEB">
      <w:pPr>
        <w:pStyle w:val="source10"/>
        <w:overflowPunct/>
        <w:autoSpaceDE/>
        <w:autoSpaceDN/>
        <w:spacing w:after="120"/>
        <w:ind w:left="360"/>
        <w:jc w:val="left"/>
        <w:textAlignment w:val="auto"/>
      </w:pPr>
    </w:p>
    <w:p w14:paraId="149DCE1A" w14:textId="77777777" w:rsidR="00FA7EEB" w:rsidRPr="001570EA" w:rsidRDefault="00FA7EEB" w:rsidP="00FA7EEB">
      <w:bookmarkStart w:id="1223" w:name="_Toc364420808"/>
      <w:bookmarkStart w:id="1224" w:name="_Toc373320446"/>
      <w:bookmarkStart w:id="1225" w:name="_Toc364760923"/>
    </w:p>
    <w:bookmarkEnd w:id="1223"/>
    <w:bookmarkEnd w:id="1224"/>
    <w:bookmarkEnd w:id="1225"/>
    <w:p w14:paraId="04F87512" w14:textId="77777777" w:rsidR="00FA7EEB" w:rsidRPr="001570EA" w:rsidRDefault="00FA7EEB" w:rsidP="00FA7EEB"/>
    <w:p w14:paraId="4AAFDACD" w14:textId="77777777" w:rsidR="00FA7EEB" w:rsidRPr="001570EA" w:rsidRDefault="00FA7EEB" w:rsidP="00FA7EEB">
      <w:pPr>
        <w:sectPr w:rsidR="00FA7EEB" w:rsidRPr="001570EA" w:rsidSect="002D556C">
          <w:footerReference w:type="default" r:id="rId392"/>
          <w:pgSz w:w="12240" w:h="15840"/>
          <w:pgMar w:top="1440" w:right="1800" w:bottom="1440" w:left="1800" w:header="720" w:footer="501" w:gutter="0"/>
          <w:cols w:space="720"/>
        </w:sectPr>
      </w:pPr>
    </w:p>
    <w:p w14:paraId="5769CB34" w14:textId="77777777" w:rsidR="00FA7EEB" w:rsidRPr="001570EA" w:rsidRDefault="00FA7EEB" w:rsidP="00C64DB8">
      <w:pPr>
        <w:pStyle w:val="Heading3"/>
      </w:pPr>
      <w:bookmarkStart w:id="1226" w:name="_Toc48143064"/>
      <w:bookmarkStart w:id="1227" w:name="_Toc164786684"/>
      <w:r w:rsidRPr="001570EA">
        <w:t>ENERGY STAR Manufactured Homes</w:t>
      </w:r>
      <w:bookmarkEnd w:id="1226"/>
      <w:bookmarkEnd w:id="1227"/>
      <w:r w:rsidRPr="001570EA">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5024"/>
      </w:tblGrid>
      <w:tr w:rsidR="00FA7EEB" w:rsidRPr="001570EA" w14:paraId="69F963D1" w14:textId="77777777">
        <w:trPr>
          <w:trHeight w:val="331"/>
          <w:jc w:val="center"/>
        </w:trPr>
        <w:tc>
          <w:tcPr>
            <w:tcW w:w="3606" w:type="dxa"/>
            <w:shd w:val="clear" w:color="auto" w:fill="auto"/>
            <w:vAlign w:val="center"/>
          </w:tcPr>
          <w:p w14:paraId="10A576D7" w14:textId="77777777" w:rsidR="00FA7EEB" w:rsidRPr="001570EA" w:rsidRDefault="00FA7EEB">
            <w:pPr>
              <w:pStyle w:val="TableCell"/>
              <w:spacing w:before="0" w:after="0"/>
              <w:jc w:val="left"/>
              <w:rPr>
                <w:b/>
                <w:bCs/>
                <w:sz w:val="20"/>
              </w:rPr>
            </w:pPr>
            <w:r w:rsidRPr="001570EA">
              <w:rPr>
                <w:b/>
                <w:bCs/>
              </w:rPr>
              <w:t>Target Sector</w:t>
            </w:r>
          </w:p>
        </w:tc>
        <w:tc>
          <w:tcPr>
            <w:tcW w:w="5024" w:type="dxa"/>
            <w:shd w:val="clear" w:color="auto" w:fill="auto"/>
            <w:vAlign w:val="center"/>
          </w:tcPr>
          <w:p w14:paraId="36CCCDA1" w14:textId="77777777" w:rsidR="00FA7EEB" w:rsidRPr="001570EA" w:rsidRDefault="00FA7EEB">
            <w:pPr>
              <w:pStyle w:val="TableCell"/>
              <w:spacing w:before="0" w:after="0"/>
              <w:jc w:val="center"/>
              <w:rPr>
                <w:rFonts w:ascii="Arial,Arial Unicode MS" w:eastAsia="Arial,Arial Unicode MS" w:hAnsi="Arial,Arial Unicode MS" w:cs="Arial,Arial Unicode MS"/>
                <w:i/>
                <w:iCs/>
                <w:sz w:val="20"/>
              </w:rPr>
            </w:pPr>
            <w:r w:rsidRPr="001570EA">
              <w:t>Manufactured homes</w:t>
            </w:r>
          </w:p>
        </w:tc>
      </w:tr>
      <w:tr w:rsidR="00FA7EEB" w:rsidRPr="001570EA" w14:paraId="1DAD4245" w14:textId="77777777">
        <w:trPr>
          <w:trHeight w:val="331"/>
          <w:jc w:val="center"/>
        </w:trPr>
        <w:tc>
          <w:tcPr>
            <w:tcW w:w="3606" w:type="dxa"/>
            <w:shd w:val="clear" w:color="auto" w:fill="auto"/>
            <w:vAlign w:val="center"/>
          </w:tcPr>
          <w:p w14:paraId="1F7729F6" w14:textId="77777777" w:rsidR="00FA7EEB" w:rsidRPr="001570EA" w:rsidRDefault="00FA7EEB">
            <w:pPr>
              <w:pStyle w:val="TableCell"/>
              <w:spacing w:before="0" w:after="0"/>
              <w:jc w:val="left"/>
              <w:rPr>
                <w:b/>
                <w:bCs/>
                <w:sz w:val="20"/>
              </w:rPr>
            </w:pPr>
            <w:r w:rsidRPr="001570EA">
              <w:rPr>
                <w:b/>
                <w:bCs/>
              </w:rPr>
              <w:t>Measure Unit</w:t>
            </w:r>
          </w:p>
        </w:tc>
        <w:tc>
          <w:tcPr>
            <w:tcW w:w="5024" w:type="dxa"/>
            <w:shd w:val="clear" w:color="auto" w:fill="auto"/>
            <w:vAlign w:val="center"/>
          </w:tcPr>
          <w:p w14:paraId="39917E76" w14:textId="77777777" w:rsidR="00FA7EEB" w:rsidRPr="001570EA" w:rsidRDefault="00FA7EEB">
            <w:pPr>
              <w:pStyle w:val="TableCell"/>
              <w:spacing w:before="0" w:after="0"/>
              <w:jc w:val="center"/>
              <w:rPr>
                <w:rFonts w:ascii="Arial,Arial Unicode MS" w:eastAsia="Arial,Arial Unicode MS" w:hAnsi="Arial,Arial Unicode MS" w:cs="Arial,Arial Unicode MS"/>
                <w:i/>
                <w:iCs/>
                <w:sz w:val="20"/>
              </w:rPr>
            </w:pPr>
            <w:r w:rsidRPr="001570EA">
              <w:t>Variable</w:t>
            </w:r>
          </w:p>
        </w:tc>
      </w:tr>
      <w:tr w:rsidR="00FA7EEB" w:rsidRPr="001570EA" w14:paraId="07C02B7B" w14:textId="77777777">
        <w:trPr>
          <w:trHeight w:val="331"/>
          <w:jc w:val="center"/>
        </w:trPr>
        <w:tc>
          <w:tcPr>
            <w:tcW w:w="3606" w:type="dxa"/>
            <w:shd w:val="clear" w:color="auto" w:fill="auto"/>
            <w:vAlign w:val="center"/>
          </w:tcPr>
          <w:p w14:paraId="1AD41CE5" w14:textId="77777777" w:rsidR="00FA7EEB" w:rsidRPr="001570EA" w:rsidRDefault="00FA7EEB">
            <w:pPr>
              <w:pStyle w:val="TableCell"/>
              <w:spacing w:before="0" w:after="0"/>
              <w:jc w:val="left"/>
              <w:rPr>
                <w:b/>
                <w:bCs/>
                <w:sz w:val="20"/>
              </w:rPr>
            </w:pPr>
            <w:r w:rsidRPr="001570EA">
              <w:rPr>
                <w:b/>
                <w:bCs/>
              </w:rPr>
              <w:t>Measure Life</w:t>
            </w:r>
          </w:p>
        </w:tc>
        <w:tc>
          <w:tcPr>
            <w:tcW w:w="5024" w:type="dxa"/>
            <w:shd w:val="clear" w:color="auto" w:fill="auto"/>
            <w:vAlign w:val="center"/>
          </w:tcPr>
          <w:p w14:paraId="56655023" w14:textId="77777777" w:rsidR="00FA7EEB" w:rsidRPr="001570EA" w:rsidRDefault="00FA7EEB">
            <w:pPr>
              <w:pStyle w:val="TableCell"/>
              <w:spacing w:before="0" w:after="0"/>
              <w:jc w:val="center"/>
              <w:rPr>
                <w:rFonts w:ascii="Arial,Arial Unicode MS" w:eastAsia="Arial,Arial Unicode MS" w:hAnsi="Arial,Arial Unicode MS" w:cs="Arial,Arial Unicode MS"/>
                <w:i/>
                <w:iCs/>
                <w:sz w:val="20"/>
              </w:rPr>
            </w:pPr>
            <w:r w:rsidRPr="001570EA">
              <w:t>15 Years</w:t>
            </w:r>
            <w:r w:rsidRPr="001570EA">
              <w:rPr>
                <w:vertAlign w:val="superscript"/>
              </w:rPr>
              <w:t>Source 1</w:t>
            </w:r>
          </w:p>
        </w:tc>
      </w:tr>
      <w:tr w:rsidR="00FA7EEB" w:rsidRPr="001570EA" w14:paraId="32472E48" w14:textId="77777777">
        <w:trPr>
          <w:trHeight w:val="331"/>
          <w:jc w:val="center"/>
        </w:trPr>
        <w:tc>
          <w:tcPr>
            <w:tcW w:w="3606" w:type="dxa"/>
            <w:shd w:val="clear" w:color="auto" w:fill="auto"/>
            <w:vAlign w:val="center"/>
          </w:tcPr>
          <w:p w14:paraId="7250BC36" w14:textId="77777777" w:rsidR="00FA7EEB" w:rsidRPr="001570EA" w:rsidRDefault="00FA7EEB">
            <w:pPr>
              <w:pStyle w:val="TableCell"/>
              <w:spacing w:before="0" w:after="0"/>
              <w:jc w:val="left"/>
              <w:rPr>
                <w:b/>
              </w:rPr>
            </w:pPr>
            <w:r w:rsidRPr="001570EA">
              <w:rPr>
                <w:b/>
              </w:rPr>
              <w:t>Vintage</w:t>
            </w:r>
          </w:p>
        </w:tc>
        <w:tc>
          <w:tcPr>
            <w:tcW w:w="5024" w:type="dxa"/>
            <w:shd w:val="clear" w:color="auto" w:fill="auto"/>
            <w:vAlign w:val="center"/>
          </w:tcPr>
          <w:p w14:paraId="1E515C1B" w14:textId="77777777" w:rsidR="00FA7EEB" w:rsidRPr="001570EA" w:rsidRDefault="00FA7EEB">
            <w:pPr>
              <w:pStyle w:val="TableCell"/>
              <w:spacing w:before="0" w:after="0"/>
              <w:jc w:val="center"/>
            </w:pPr>
            <w:r w:rsidRPr="001570EA">
              <w:t>New Construction</w:t>
            </w:r>
          </w:p>
        </w:tc>
      </w:tr>
    </w:tbl>
    <w:p w14:paraId="6FC75C04" w14:textId="77777777" w:rsidR="00FA7EEB" w:rsidRPr="001570EA" w:rsidRDefault="00FA7EEB" w:rsidP="00E37DA0">
      <w:pPr>
        <w:pStyle w:val="BodyText"/>
      </w:pPr>
    </w:p>
    <w:p w14:paraId="4E21F9D1" w14:textId="77777777" w:rsidR="00FA7EEB" w:rsidRPr="001570EA" w:rsidRDefault="00FA7EEB" w:rsidP="00FA7EEB">
      <w:pPr>
        <w:pStyle w:val="SubStyle"/>
      </w:pPr>
      <w:r w:rsidRPr="001570EA">
        <w:t>Eligibility</w:t>
      </w:r>
    </w:p>
    <w:p w14:paraId="0879A437" w14:textId="77777777" w:rsidR="00FA7EEB" w:rsidRPr="001570EA" w:rsidRDefault="00FA7EEB" w:rsidP="00FA7EEB">
      <w:pPr>
        <w:pStyle w:val="BodyText"/>
      </w:pPr>
      <w:r w:rsidRPr="001570EA">
        <w:t>This measure applies to manufactured homes compliant to and certified by EPA’s ENERGY STAR Manufactured Homes program standard, Version 3.</w:t>
      </w:r>
    </w:p>
    <w:p w14:paraId="3D9D8AED" w14:textId="77777777" w:rsidR="00FA7EEB" w:rsidRPr="001570EA" w:rsidRDefault="00FA7EEB" w:rsidP="00E37DA0">
      <w:pPr>
        <w:pStyle w:val="BodyText"/>
      </w:pPr>
    </w:p>
    <w:p w14:paraId="5FE781BC" w14:textId="77777777" w:rsidR="00FA7EEB" w:rsidRPr="001570EA" w:rsidRDefault="00FA7EEB" w:rsidP="00FA7EEB">
      <w:pPr>
        <w:pStyle w:val="SubStyle"/>
      </w:pPr>
      <w:r w:rsidRPr="001570EA">
        <w:t>Algorithms</w:t>
      </w:r>
    </w:p>
    <w:p w14:paraId="4F68E8C1" w14:textId="77777777" w:rsidR="00FA7EEB" w:rsidRPr="001570EA" w:rsidRDefault="00FA7EEB" w:rsidP="00FA7EEB">
      <w:r w:rsidRPr="001570EA">
        <w:t xml:space="preserve">Energy and peak demand savings in the ENERGY STAR Manufactured Homes program will be calculated by comparing outputs of energy models of the as-designed home to a minimally code-compliant baseline home.  </w:t>
      </w:r>
    </w:p>
    <w:p w14:paraId="06B61DB1" w14:textId="77777777" w:rsidR="00FA7EEB" w:rsidRPr="001570EA" w:rsidRDefault="00FA7EEB" w:rsidP="00FA7EEB"/>
    <w:p w14:paraId="139DC028" w14:textId="6A09F877" w:rsidR="00FA7EEB" w:rsidRPr="001570EA" w:rsidRDefault="00FA7EEB" w:rsidP="00FA7EEB">
      <w:r w:rsidRPr="001570EA">
        <w:t>Modeled energy and peak demand savings shall be produced by a RESNET accredited software program.</w:t>
      </w:r>
      <w:r w:rsidRPr="001570EA">
        <w:rPr>
          <w:vertAlign w:val="superscript"/>
        </w:rPr>
        <w:t>Source 2</w:t>
      </w:r>
      <w:r w:rsidRPr="001570EA">
        <w:t xml:space="preserve"> </w:t>
      </w:r>
    </w:p>
    <w:p w14:paraId="25E1827E" w14:textId="77777777" w:rsidR="00FA7EEB" w:rsidRPr="001570EA" w:rsidRDefault="00FA7EEB" w:rsidP="00FA7EEB"/>
    <w:p w14:paraId="5757EBF2" w14:textId="1B8DDA41" w:rsidR="00FA7EEB" w:rsidRPr="001570EA" w:rsidRDefault="00FA7EEB" w:rsidP="00FA7EEB">
      <w:pPr>
        <w:rPr>
          <w:vertAlign w:val="superscript"/>
        </w:rPr>
      </w:pPr>
      <w:r w:rsidRPr="001570EA">
        <w:t>For ENERGY STAR Manufactured Homes, the baseline building thermal envelope and/or system characteristics shall be based on the current Manufactured Homes Construction and Safety Standards (HUD Code).</w:t>
      </w:r>
      <w:r w:rsidRPr="001570EA">
        <w:rPr>
          <w:vertAlign w:val="superscript"/>
        </w:rPr>
        <w:t>Source 3</w:t>
      </w:r>
      <w:r w:rsidRPr="001570EA">
        <w:t xml:space="preserve"> For this measure, a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w:t>
      </w:r>
      <w:r w:rsidRPr="001570EA">
        <w:rPr>
          <w:vertAlign w:val="superscript"/>
        </w:rPr>
        <w:t>Source 3</w:t>
      </w:r>
    </w:p>
    <w:p w14:paraId="63038A63" w14:textId="77777777" w:rsidR="00FA7EEB" w:rsidRPr="001570EA" w:rsidRDefault="00FA7EEB" w:rsidP="00FA7EEB"/>
    <w:p w14:paraId="19E0F240" w14:textId="77777777" w:rsidR="00FA7EEB" w:rsidRPr="001570EA" w:rsidRDefault="00FA7EEB" w:rsidP="00FA7EEB">
      <w:pPr>
        <w:pStyle w:val="NoSpacing"/>
      </w:pPr>
      <w:r w:rsidRPr="001570EA">
        <w:t>Energy savings will be calculated from the software output using the following algorithm:</w:t>
      </w:r>
    </w:p>
    <w:p w14:paraId="65BA4582" w14:textId="77777777" w:rsidR="00FA7EEB" w:rsidRPr="001570EA" w:rsidRDefault="00FA7EEB" w:rsidP="00FA7EEB">
      <w:pPr>
        <w:pStyle w:val="NoSpacing"/>
      </w:pPr>
    </w:p>
    <w:p w14:paraId="36097846" w14:textId="77777777" w:rsidR="00FA7EEB" w:rsidRPr="001570EA" w:rsidRDefault="00FA7EEB" w:rsidP="00FA7EEB">
      <w:pPr>
        <w:rPr>
          <w:i/>
          <w:iCs/>
        </w:rPr>
      </w:pPr>
      <w:r w:rsidRPr="001570EA">
        <w:rPr>
          <w:i/>
          <w:iCs/>
        </w:rPr>
        <w:t>Energy savings of the qualified home (kWh/yr)</w:t>
      </w:r>
    </w:p>
    <w:p w14:paraId="2457EC6C" w14:textId="77777777" w:rsidR="00FA7EEB" w:rsidRPr="001570EA" w:rsidRDefault="00FA7EEB" w:rsidP="00FA7EEB">
      <w:pPr>
        <w:rPr>
          <w:rFonts w:eastAsia="Arial" w:cs="Arial"/>
        </w:rPr>
      </w:pPr>
    </w:p>
    <w:p w14:paraId="5C15C0A7" w14:textId="77777777" w:rsidR="00FA7EEB" w:rsidRPr="001570EA" w:rsidRDefault="00FA7EEB" w:rsidP="00FA7EEB">
      <w:pPr>
        <w:spacing w:line="276" w:lineRule="auto"/>
      </w:pPr>
      <w:r w:rsidRPr="001570EA">
        <w:rPr>
          <w:rFonts w:ascii="Symbol" w:eastAsia="Symbol" w:hAnsi="Symbol" w:cs="Symbol"/>
        </w:rPr>
        <w:t>D</w:t>
      </w:r>
      <w:r w:rsidRPr="001570EA">
        <w:t>kWh</w:t>
      </w:r>
      <w:r w:rsidRPr="001570EA">
        <w:rPr>
          <w:rFonts w:ascii="Cambria Math" w:hAnsi="Cambria Math"/>
        </w:rPr>
        <w:tab/>
      </w:r>
      <w:r w:rsidRPr="001570EA">
        <w:rPr>
          <w:rFonts w:ascii="Cambria Math" w:eastAsia="Cambria Math" w:hAnsi="Cambria Math" w:cs="Cambria Math"/>
        </w:rPr>
        <w:t xml:space="preserve">= </w:t>
      </w:r>
      <m:oMath>
        <m:sSub>
          <m:sSubPr>
            <m:ctrlPr>
              <w:rPr>
                <w:rFonts w:ascii="Cambria Math" w:eastAsia="Cambria Math" w:hAnsi="Cambria Math" w:cs="Cambria Math"/>
                <w:i/>
              </w:rPr>
            </m:ctrlPr>
          </m:sSubPr>
          <m:e>
            <m:r>
              <w:rPr>
                <w:rFonts w:ascii="Cambria Math" w:eastAsia="Cambria Math" w:hAnsi="Cambria Math" w:cs="Cambria Math"/>
              </w:rPr>
              <m:t>kWh</m:t>
            </m:r>
          </m:e>
          <m:sub>
            <m:r>
              <w:rPr>
                <w:rFonts w:ascii="Cambria Math" w:eastAsia="Cambria Math" w:hAnsi="Cambria Math" w:cs="Cambria Math"/>
              </w:rPr>
              <m:t>base</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kWh</m:t>
            </m:r>
          </m:e>
          <m:sub>
            <m:r>
              <w:rPr>
                <w:rFonts w:ascii="Cambria Math" w:eastAsia="Cambria Math" w:hAnsi="Cambria Math" w:cs="Cambria Math"/>
              </w:rPr>
              <m:t>q</m:t>
            </m:r>
          </m:sub>
        </m:sSub>
      </m:oMath>
    </w:p>
    <w:p w14:paraId="498CA334" w14:textId="77777777" w:rsidR="00FA7EEB" w:rsidRPr="001570EA" w:rsidRDefault="00FA7EEB" w:rsidP="00FA7EEB">
      <w:pPr>
        <w:pStyle w:val="NoSpacing"/>
      </w:pPr>
    </w:p>
    <w:p w14:paraId="335DE83E" w14:textId="77777777" w:rsidR="00FA7EEB" w:rsidRPr="001570EA" w:rsidRDefault="00FA7EEB" w:rsidP="00FA7EEB">
      <w:pPr>
        <w:pStyle w:val="NoSpacing"/>
      </w:pPr>
      <w:r w:rsidRPr="001570EA">
        <w:t xml:space="preserve">If the modeling software provides building-level outputs of hourly energy consumption (an 8760 load profile), then coincident peak demand savings may be calculated by averaging the hourly energy savings during the TRM defined peak demand time period.  </w:t>
      </w:r>
    </w:p>
    <w:p w14:paraId="34A37102" w14:textId="77777777" w:rsidR="00FA7EEB" w:rsidRPr="001570EA" w:rsidRDefault="00FA7EEB" w:rsidP="00FA7EEB">
      <w:pPr>
        <w:pStyle w:val="NoSpacing"/>
      </w:pPr>
      <w:r w:rsidRPr="001570EA">
        <w:t>If the modeling software does not provide building-level outputs of hourly energy consumption, the system peak electric demand savings for shall be calculated from the software’s calculated annual energy savings and the following algorithm:</w:t>
      </w:r>
    </w:p>
    <w:p w14:paraId="7D33356F" w14:textId="77777777" w:rsidR="00FA7EEB" w:rsidRPr="001570EA" w:rsidRDefault="00FA7EEB" w:rsidP="00FA7EEB">
      <w:pPr>
        <w:pStyle w:val="Equation"/>
        <w:rPr>
          <w:rFonts w:cs="Arial"/>
          <w:szCs w:val="20"/>
        </w:rPr>
      </w:pPr>
    </w:p>
    <w:p w14:paraId="3095F01E" w14:textId="77777777" w:rsidR="00FA7EEB" w:rsidRPr="001570EA" w:rsidRDefault="00FA7EEB" w:rsidP="00FA7EEB">
      <w:pPr>
        <w:pStyle w:val="Equation"/>
      </w:pPr>
      <w:r w:rsidRPr="001570EA">
        <w:t>Coincident system peak electric demand savings (kW)</w:t>
      </w:r>
    </w:p>
    <w:p w14:paraId="03296E11" w14:textId="77777777" w:rsidR="00FA7EEB" w:rsidRPr="001570EA" w:rsidRDefault="00FA7EEB" w:rsidP="00FA7EEB">
      <w:pPr>
        <w:pStyle w:val="Equation"/>
        <w:rPr>
          <w:rFonts w:eastAsia="Arial" w:cs="Arial"/>
        </w:rPr>
      </w:pPr>
    </w:p>
    <w:p w14:paraId="67703A5F" w14:textId="77777777" w:rsidR="00FA7EEB" w:rsidRPr="001570EA" w:rsidRDefault="00FA7EEB" w:rsidP="00FA7EEB">
      <w:pPr>
        <w:spacing w:after="120"/>
        <w:rPr>
          <w:i/>
          <w:szCs w:val="20"/>
        </w:rPr>
      </w:pPr>
      <w:r w:rsidRPr="001570EA">
        <w:rPr>
          <w:rFonts w:ascii="Symbol" w:eastAsia="Symbol" w:hAnsi="Symbol" w:cs="Symbol"/>
          <w:szCs w:val="20"/>
        </w:rPr>
        <w:t>D</w:t>
      </w:r>
      <w:r w:rsidRPr="001570EA">
        <w:t>kW</w:t>
      </w:r>
      <w:r w:rsidRPr="001570EA">
        <w:rPr>
          <w:vertAlign w:val="subscript"/>
        </w:rPr>
        <w:t>summer peak</w:t>
      </w:r>
      <w:r w:rsidRPr="001570EA">
        <w:rPr>
          <w:i/>
        </w:rPr>
        <w:t xml:space="preserve">= </w:t>
      </w:r>
      <m:oMath>
        <m:r>
          <m:rPr>
            <m:sty m:val="p"/>
          </m:rPr>
          <w:rPr>
            <w:rFonts w:ascii="Cambria Math" w:eastAsia="Symbol" w:hAnsi="Cambria Math" w:cs="Symbol"/>
          </w:rPr>
          <m:t>∆kWh</m:t>
        </m:r>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ETDF</m:t>
            </m:r>
          </m:e>
          <m:sub>
            <m:r>
              <w:rPr>
                <w:rFonts w:ascii="Cambria Math" w:hAnsi="Cambria Math" w:cs="Arial"/>
                <w:szCs w:val="20"/>
              </w:rPr>
              <m:t>summer</m:t>
            </m:r>
          </m:sub>
        </m:sSub>
      </m:oMath>
    </w:p>
    <w:p w14:paraId="577C3132" w14:textId="77777777" w:rsidR="00FA7EEB" w:rsidRPr="001570EA" w:rsidRDefault="00FA7EEB" w:rsidP="00FA7EEB">
      <w:pPr>
        <w:spacing w:after="120"/>
        <w:rPr>
          <w:i/>
          <w:szCs w:val="20"/>
        </w:rPr>
      </w:pPr>
      <w:r w:rsidRPr="001570EA">
        <w:rPr>
          <w:rFonts w:ascii="Symbol" w:eastAsia="Symbol" w:hAnsi="Symbol" w:cs="Symbol"/>
          <w:szCs w:val="20"/>
        </w:rPr>
        <w:t>D</w:t>
      </w:r>
      <w:r w:rsidRPr="001570EA">
        <w:t>kW</w:t>
      </w:r>
      <w:r w:rsidRPr="001570EA">
        <w:rPr>
          <w:vertAlign w:val="subscript"/>
        </w:rPr>
        <w:t>winter peak</w:t>
      </w:r>
      <w:r w:rsidRPr="001570EA">
        <w:rPr>
          <w:rFonts w:eastAsia="Arial" w:cs="Arial"/>
          <w:vertAlign w:val="subscript"/>
        </w:rPr>
        <w:t xml:space="preserve">   </w:t>
      </w:r>
      <w:r w:rsidRPr="001570EA">
        <w:rPr>
          <w:i/>
        </w:rPr>
        <w:t xml:space="preserve">= </w:t>
      </w:r>
      <m:oMath>
        <m:r>
          <m:rPr>
            <m:sty m:val="p"/>
          </m:rPr>
          <w:rPr>
            <w:rFonts w:ascii="Cambria Math" w:eastAsia="Symbol" w:hAnsi="Cambria Math" w:cs="Symbol"/>
          </w:rPr>
          <m:t>∆kWh</m:t>
        </m:r>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ETDF</m:t>
            </m:r>
          </m:e>
          <m:sub>
            <m:r>
              <w:rPr>
                <w:rFonts w:ascii="Cambria Math" w:hAnsi="Cambria Math" w:cs="Arial"/>
                <w:szCs w:val="20"/>
              </w:rPr>
              <m:t>winter</m:t>
            </m:r>
          </m:sub>
        </m:sSub>
      </m:oMath>
    </w:p>
    <w:p w14:paraId="52781E1C" w14:textId="77777777" w:rsidR="00FA7EEB" w:rsidRPr="001570EA" w:rsidRDefault="00FA7EEB" w:rsidP="00FA7EEB">
      <w:pPr>
        <w:spacing w:after="120"/>
        <w:rPr>
          <w:i/>
          <w:szCs w:val="20"/>
        </w:rPr>
      </w:pPr>
    </w:p>
    <w:p w14:paraId="6527F4EE" w14:textId="4E35AAFF" w:rsidR="00FA7EEB" w:rsidRPr="001570EA" w:rsidRDefault="00FA7EEB" w:rsidP="00FA7EEB">
      <w:pPr>
        <w:pStyle w:val="NoSpacing"/>
      </w:pPr>
      <w:r w:rsidRPr="001570EA">
        <w:t xml:space="preserve">Additional demand savings may be claimed under this measure, but these additional demand savings must be calculated using the algorithms from the applicable measure elsewhere in the TRM. For example, to claim demand savings from a refrigerator, demand savings for that end use must be calculated using the demand savings algorithms in Sec. </w:t>
      </w:r>
      <w:r w:rsidRPr="001570EA">
        <w:fldChar w:fldCharType="begin"/>
      </w:r>
      <w:r w:rsidRPr="001570EA">
        <w:instrText xml:space="preserve"> REF _Ref12544403 \w \h </w:instrText>
      </w:r>
      <w:r w:rsidR="001570EA">
        <w:instrText xml:space="preserve"> \* MERGEFORMAT </w:instrText>
      </w:r>
      <w:r w:rsidRPr="001570EA">
        <w:fldChar w:fldCharType="separate"/>
      </w:r>
      <w:r w:rsidR="00234C6C" w:rsidRPr="001570EA">
        <w:t>2.4.1</w:t>
      </w:r>
      <w:r w:rsidRPr="001570EA">
        <w:fldChar w:fldCharType="end"/>
      </w:r>
      <w:r w:rsidRPr="001570EA">
        <w:t xml:space="preserve"> </w:t>
      </w:r>
      <w:r w:rsidRPr="001570EA">
        <w:fldChar w:fldCharType="begin"/>
      </w:r>
      <w:r w:rsidRPr="001570EA">
        <w:instrText xml:space="preserve"> REF _Ref12544376 \h </w:instrText>
      </w:r>
      <w:r w:rsidR="001570EA">
        <w:instrText xml:space="preserve"> \* MERGEFORMAT </w:instrText>
      </w:r>
      <w:r w:rsidRPr="001570EA">
        <w:fldChar w:fldCharType="separate"/>
      </w:r>
      <w:r w:rsidR="00234C6C" w:rsidRPr="001570EA">
        <w:t>ENERGY STAR Refrigerators</w:t>
      </w:r>
      <w:r w:rsidRPr="001570EA">
        <w:fldChar w:fldCharType="end"/>
      </w:r>
      <w:r w:rsidRPr="001570EA">
        <w:t>. Claiming additional demand savings may require additional EDC data collection than required to generate the energy model.</w:t>
      </w:r>
    </w:p>
    <w:p w14:paraId="48EC49B8" w14:textId="77777777" w:rsidR="00FA7EEB" w:rsidRPr="001570EA" w:rsidRDefault="00FA7EEB" w:rsidP="00FA7EEB"/>
    <w:p w14:paraId="2BD4E9F7" w14:textId="77777777" w:rsidR="00FA7EEB" w:rsidRPr="001570EA" w:rsidRDefault="00FA7EEB" w:rsidP="00FA7EEB">
      <w:pPr>
        <w:pStyle w:val="SubStyle"/>
      </w:pPr>
      <w:r w:rsidRPr="001570EA">
        <w:t>Definition of Terms</w:t>
      </w:r>
    </w:p>
    <w:p w14:paraId="22208592" w14:textId="5F482640" w:rsidR="00FA7EEB" w:rsidRPr="001570EA" w:rsidRDefault="00FA7EEB" w:rsidP="00FA7EEB">
      <w:pPr>
        <w:pStyle w:val="Caption"/>
      </w:pPr>
      <w:bookmarkStart w:id="1228" w:name="_Toc374017515"/>
      <w:bookmarkStart w:id="1229" w:name="_Toc47598378"/>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159</w:t>
      </w:r>
      <w:r w:rsidR="002E093A" w:rsidRPr="001570EA">
        <w:fldChar w:fldCharType="end"/>
      </w:r>
      <w:r w:rsidRPr="001570EA">
        <w:t>: Terms, Values, and References for Manufactured Homes</w:t>
      </w:r>
      <w:bookmarkEnd w:id="1228"/>
      <w:bookmarkEnd w:id="1229"/>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1039"/>
        <w:gridCol w:w="1980"/>
        <w:gridCol w:w="1080"/>
      </w:tblGrid>
      <w:tr w:rsidR="00FA7EEB" w:rsidRPr="001570EA" w14:paraId="768E826C" w14:textId="77777777">
        <w:trPr>
          <w:trHeight w:val="317"/>
        </w:trPr>
        <w:tc>
          <w:tcPr>
            <w:tcW w:w="4518" w:type="dxa"/>
            <w:shd w:val="clear" w:color="auto" w:fill="BFBFBF" w:themeFill="background1" w:themeFillShade="BF"/>
            <w:vAlign w:val="center"/>
          </w:tcPr>
          <w:p w14:paraId="54B0E789" w14:textId="77777777" w:rsidR="00FA7EEB" w:rsidRPr="001570EA" w:rsidRDefault="00FA7EEB">
            <w:pPr>
              <w:pStyle w:val="TableCell"/>
              <w:spacing w:before="60" w:after="60"/>
              <w:jc w:val="left"/>
              <w:rPr>
                <w:b/>
              </w:rPr>
            </w:pPr>
            <w:r w:rsidRPr="001570EA">
              <w:rPr>
                <w:b/>
              </w:rPr>
              <w:t>Term</w:t>
            </w:r>
          </w:p>
        </w:tc>
        <w:tc>
          <w:tcPr>
            <w:tcW w:w="1039" w:type="dxa"/>
            <w:shd w:val="clear" w:color="auto" w:fill="BFBFBF" w:themeFill="background1" w:themeFillShade="BF"/>
            <w:vAlign w:val="center"/>
          </w:tcPr>
          <w:p w14:paraId="21AF6723" w14:textId="77777777" w:rsidR="00FA7EEB" w:rsidRPr="001570EA" w:rsidRDefault="00FA7EEB">
            <w:pPr>
              <w:pStyle w:val="TableCell"/>
              <w:spacing w:before="60" w:after="60"/>
              <w:ind w:right="-138"/>
              <w:jc w:val="center"/>
              <w:rPr>
                <w:b/>
              </w:rPr>
            </w:pPr>
            <w:r w:rsidRPr="001570EA">
              <w:rPr>
                <w:b/>
              </w:rPr>
              <w:t>Unit</w:t>
            </w:r>
          </w:p>
        </w:tc>
        <w:tc>
          <w:tcPr>
            <w:tcW w:w="1980" w:type="dxa"/>
            <w:shd w:val="clear" w:color="auto" w:fill="BFBFBF" w:themeFill="background1" w:themeFillShade="BF"/>
            <w:vAlign w:val="center"/>
          </w:tcPr>
          <w:p w14:paraId="61146090" w14:textId="77777777" w:rsidR="00FA7EEB" w:rsidRPr="001570EA" w:rsidRDefault="00FA7EEB">
            <w:pPr>
              <w:pStyle w:val="TableCell"/>
              <w:spacing w:before="60" w:after="60"/>
              <w:jc w:val="center"/>
              <w:rPr>
                <w:b/>
              </w:rPr>
            </w:pPr>
            <w:r w:rsidRPr="001570EA">
              <w:rPr>
                <w:b/>
              </w:rPr>
              <w:t>Value</w:t>
            </w:r>
          </w:p>
        </w:tc>
        <w:tc>
          <w:tcPr>
            <w:tcW w:w="1080" w:type="dxa"/>
            <w:shd w:val="clear" w:color="auto" w:fill="BFBFBF" w:themeFill="background1" w:themeFillShade="BF"/>
            <w:vAlign w:val="center"/>
          </w:tcPr>
          <w:p w14:paraId="65C94CA7" w14:textId="77777777" w:rsidR="00FA7EEB" w:rsidRPr="001570EA" w:rsidRDefault="00FA7EEB">
            <w:pPr>
              <w:pStyle w:val="TableCell"/>
              <w:spacing w:before="60" w:after="60"/>
              <w:jc w:val="center"/>
              <w:rPr>
                <w:b/>
              </w:rPr>
            </w:pPr>
            <w:r w:rsidRPr="001570EA">
              <w:rPr>
                <w:b/>
              </w:rPr>
              <w:t>Sources</w:t>
            </w:r>
          </w:p>
        </w:tc>
      </w:tr>
      <w:tr w:rsidR="00FA7EEB" w:rsidRPr="001570EA" w14:paraId="3FEBA72B" w14:textId="77777777">
        <w:trPr>
          <w:trHeight w:val="317"/>
        </w:trPr>
        <w:tc>
          <w:tcPr>
            <w:tcW w:w="4518" w:type="dxa"/>
            <w:vAlign w:val="center"/>
          </w:tcPr>
          <w:p w14:paraId="542E6EAE" w14:textId="77777777" w:rsidR="00FA7EEB" w:rsidRPr="001570EA" w:rsidRDefault="00FA7EEB">
            <w:pPr>
              <w:pStyle w:val="TableCell"/>
              <w:spacing w:before="60" w:after="60"/>
              <w:jc w:val="left"/>
            </w:pPr>
            <w:r w:rsidRPr="001570EA">
              <w:rPr>
                <w:rFonts w:ascii="Cambria Math" w:hAnsi="Cambria Math"/>
                <w:i/>
              </w:rPr>
              <w:t>kWh</w:t>
            </w:r>
            <w:r w:rsidRPr="001570EA">
              <w:rPr>
                <w:rFonts w:ascii="Cambria Math" w:hAnsi="Cambria Math"/>
                <w:i/>
                <w:vertAlign w:val="subscript"/>
              </w:rPr>
              <w:t>base</w:t>
            </w:r>
            <w:r w:rsidRPr="001570EA">
              <w:t xml:space="preserve">, Estimated annual energy consumption of the baseline home </w:t>
            </w:r>
          </w:p>
        </w:tc>
        <w:tc>
          <w:tcPr>
            <w:tcW w:w="1039" w:type="dxa"/>
            <w:vAlign w:val="center"/>
          </w:tcPr>
          <w:p w14:paraId="1458F662" w14:textId="77777777" w:rsidR="00FA7EEB" w:rsidRPr="001570EA" w:rsidRDefault="00FA7EEB">
            <w:pPr>
              <w:pStyle w:val="TableCell"/>
              <w:spacing w:before="60" w:after="60"/>
              <w:jc w:val="center"/>
              <w:rPr>
                <w:rFonts w:ascii="Cambria Math" w:hAnsi="Cambria Math"/>
                <w:i/>
              </w:rPr>
            </w:pPr>
            <w:r w:rsidRPr="001570EA">
              <w:rPr>
                <w:rFonts w:ascii="Cambria Math" w:hAnsi="Cambria Math"/>
                <w:i/>
              </w:rPr>
              <w:t>kWh</w:t>
            </w:r>
          </w:p>
        </w:tc>
        <w:tc>
          <w:tcPr>
            <w:tcW w:w="1980" w:type="dxa"/>
            <w:vAlign w:val="center"/>
          </w:tcPr>
          <w:p w14:paraId="33F0DA08" w14:textId="77777777" w:rsidR="00FA7EEB" w:rsidRPr="001570EA" w:rsidRDefault="00FA7EEB">
            <w:pPr>
              <w:pStyle w:val="TableCell"/>
              <w:spacing w:before="60" w:after="60"/>
              <w:jc w:val="center"/>
            </w:pPr>
            <w:r w:rsidRPr="001570EA">
              <w:t>Software Calculated</w:t>
            </w:r>
          </w:p>
        </w:tc>
        <w:tc>
          <w:tcPr>
            <w:tcW w:w="1080" w:type="dxa"/>
            <w:vAlign w:val="center"/>
          </w:tcPr>
          <w:p w14:paraId="39E922DF" w14:textId="77777777" w:rsidR="00FA7EEB" w:rsidRPr="001570EA" w:rsidRDefault="00FA7EEB">
            <w:pPr>
              <w:pStyle w:val="TableCell"/>
              <w:spacing w:before="60" w:after="60"/>
              <w:jc w:val="center"/>
            </w:pPr>
          </w:p>
        </w:tc>
      </w:tr>
      <w:tr w:rsidR="00FA7EEB" w:rsidRPr="001570EA" w14:paraId="49A91F71" w14:textId="77777777">
        <w:trPr>
          <w:trHeight w:val="317"/>
        </w:trPr>
        <w:tc>
          <w:tcPr>
            <w:tcW w:w="4518" w:type="dxa"/>
            <w:vAlign w:val="center"/>
          </w:tcPr>
          <w:p w14:paraId="4E78F483" w14:textId="77777777" w:rsidR="00FA7EEB" w:rsidRPr="001570EA" w:rsidRDefault="00FA7EEB">
            <w:pPr>
              <w:pStyle w:val="TableCell"/>
              <w:spacing w:before="60" w:after="60"/>
              <w:jc w:val="left"/>
            </w:pPr>
            <w:r w:rsidRPr="001570EA">
              <w:rPr>
                <w:rFonts w:ascii="Cambria Math" w:hAnsi="Cambria Math"/>
                <w:i/>
              </w:rPr>
              <w:t>kWh</w:t>
            </w:r>
            <w:r w:rsidRPr="001570EA">
              <w:rPr>
                <w:rFonts w:ascii="Cambria Math" w:hAnsi="Cambria Math"/>
                <w:i/>
                <w:vertAlign w:val="subscript"/>
              </w:rPr>
              <w:t>q</w:t>
            </w:r>
            <w:r w:rsidRPr="001570EA">
              <w:t xml:space="preserve">, Estimated annual energy consumption of the qualifying home </w:t>
            </w:r>
          </w:p>
        </w:tc>
        <w:tc>
          <w:tcPr>
            <w:tcW w:w="1039" w:type="dxa"/>
            <w:vAlign w:val="center"/>
          </w:tcPr>
          <w:p w14:paraId="114921E8" w14:textId="77777777" w:rsidR="00FA7EEB" w:rsidRPr="001570EA" w:rsidRDefault="00FA7EEB">
            <w:pPr>
              <w:pStyle w:val="TableCell"/>
              <w:spacing w:before="60" w:after="60"/>
              <w:jc w:val="center"/>
              <w:rPr>
                <w:rFonts w:ascii="Cambria Math" w:hAnsi="Cambria Math"/>
                <w:i/>
              </w:rPr>
            </w:pPr>
            <w:r w:rsidRPr="001570EA">
              <w:rPr>
                <w:rFonts w:ascii="Cambria Math" w:hAnsi="Cambria Math"/>
                <w:i/>
              </w:rPr>
              <w:t>kWh</w:t>
            </w:r>
          </w:p>
        </w:tc>
        <w:tc>
          <w:tcPr>
            <w:tcW w:w="1980" w:type="dxa"/>
            <w:vAlign w:val="center"/>
          </w:tcPr>
          <w:p w14:paraId="3DA66C5E" w14:textId="77777777" w:rsidR="00FA7EEB" w:rsidRPr="001570EA" w:rsidRDefault="00FA7EEB">
            <w:pPr>
              <w:pStyle w:val="TableCell"/>
              <w:spacing w:before="60" w:after="60"/>
              <w:jc w:val="center"/>
            </w:pPr>
            <w:r w:rsidRPr="001570EA">
              <w:t>Software Calculated</w:t>
            </w:r>
          </w:p>
        </w:tc>
        <w:tc>
          <w:tcPr>
            <w:tcW w:w="1080" w:type="dxa"/>
            <w:vAlign w:val="center"/>
          </w:tcPr>
          <w:p w14:paraId="349816A2" w14:textId="77777777" w:rsidR="00FA7EEB" w:rsidRPr="001570EA" w:rsidRDefault="00FA7EEB">
            <w:pPr>
              <w:pStyle w:val="TableCell"/>
              <w:spacing w:before="60" w:after="60"/>
              <w:jc w:val="center"/>
            </w:pPr>
          </w:p>
        </w:tc>
      </w:tr>
      <w:tr w:rsidR="00FA7EEB" w:rsidRPr="001570EA" w14:paraId="510A61D3" w14:textId="77777777">
        <w:trPr>
          <w:trHeight w:val="317"/>
        </w:trPr>
        <w:tc>
          <w:tcPr>
            <w:tcW w:w="4518" w:type="dxa"/>
            <w:vAlign w:val="center"/>
          </w:tcPr>
          <w:p w14:paraId="7827FCAD" w14:textId="2BFAAE1B" w:rsidR="00FA7EEB" w:rsidRPr="001570EA" w:rsidRDefault="00FA7EEB">
            <w:pPr>
              <w:pStyle w:val="TableCell"/>
              <w:spacing w:before="60" w:after="60"/>
              <w:jc w:val="left"/>
            </w:pPr>
            <w:r w:rsidRPr="001570EA">
              <w:rPr>
                <w:rFonts w:cs="Arial"/>
                <w:i/>
                <w:iCs/>
              </w:rPr>
              <w:t>ETDF</w:t>
            </w:r>
            <w:r w:rsidRPr="001570EA">
              <w:rPr>
                <w:rFonts w:cs="Arial"/>
                <w:i/>
                <w:iCs/>
                <w:vertAlign w:val="subscript"/>
              </w:rPr>
              <w:t>summer</w:t>
            </w:r>
            <w:r w:rsidR="0088620C">
              <w:rPr>
                <w:rFonts w:cs="Arial"/>
                <w:i/>
                <w:iCs/>
                <w:vertAlign w:val="subscript"/>
              </w:rPr>
              <w:t xml:space="preserve"> </w:t>
            </w:r>
            <w:r w:rsidR="0088620C" w:rsidRPr="001570EA">
              <w:rPr>
                <w:rFonts w:cs="Arial"/>
                <w:i/>
                <w:iCs/>
                <w:vertAlign w:val="subscript"/>
              </w:rPr>
              <w:t>peak</w:t>
            </w:r>
            <w:r w:rsidRPr="001570EA">
              <w:rPr>
                <w:rFonts w:cs="Arial"/>
                <w:i/>
                <w:iCs/>
              </w:rPr>
              <w:t xml:space="preserve">, </w:t>
            </w:r>
            <w:r w:rsidRPr="001570EA">
              <w:rPr>
                <w:rFonts w:cs="Arial"/>
              </w:rPr>
              <w:t xml:space="preserve">Summer </w:t>
            </w:r>
            <w:r w:rsidRPr="001570EA">
              <w:rPr>
                <w:rFonts w:cs="Arial"/>
                <w:i/>
                <w:iCs/>
              </w:rPr>
              <w:t>e</w:t>
            </w:r>
            <w:r w:rsidRPr="001570EA">
              <w:rPr>
                <w:rFonts w:cs="Arial"/>
              </w:rPr>
              <w:t xml:space="preserve">nergy to demand factor </w:t>
            </w:r>
          </w:p>
        </w:tc>
        <w:tc>
          <w:tcPr>
            <w:tcW w:w="1039" w:type="dxa"/>
            <w:vAlign w:val="center"/>
          </w:tcPr>
          <w:p w14:paraId="311575C1" w14:textId="77777777" w:rsidR="00FA7EEB" w:rsidRPr="001570EA" w:rsidRDefault="00FA7EEB">
            <w:pPr>
              <w:pStyle w:val="TableCell"/>
              <w:spacing w:before="60" w:after="60"/>
              <w:jc w:val="center"/>
              <w:rPr>
                <w:rFonts w:ascii="Cambria Math" w:hAnsi="Cambria Math"/>
                <w:i/>
              </w:rPr>
            </w:pPr>
            <w:r w:rsidRPr="001570EA">
              <w:rPr>
                <w:rFonts w:ascii="Cambria Math" w:hAnsi="Cambria Math"/>
                <w:i/>
              </w:rPr>
              <w:t>kW/kWh</w:t>
            </w:r>
          </w:p>
        </w:tc>
        <w:tc>
          <w:tcPr>
            <w:tcW w:w="1980" w:type="dxa"/>
            <w:vAlign w:val="center"/>
          </w:tcPr>
          <w:p w14:paraId="1F533F29" w14:textId="77777777" w:rsidR="00FA7EEB" w:rsidRPr="001570EA" w:rsidRDefault="00FA7EEB">
            <w:pPr>
              <w:pStyle w:val="TableCell"/>
              <w:spacing w:before="60" w:after="60"/>
              <w:jc w:val="center"/>
            </w:pPr>
            <w:r w:rsidRPr="001570EA">
              <w:t>0.0001376</w:t>
            </w:r>
          </w:p>
        </w:tc>
        <w:tc>
          <w:tcPr>
            <w:tcW w:w="1080" w:type="dxa"/>
            <w:vAlign w:val="center"/>
          </w:tcPr>
          <w:p w14:paraId="57AADDC3" w14:textId="77777777" w:rsidR="00FA7EEB" w:rsidRPr="001570EA" w:rsidRDefault="00FA7EEB">
            <w:pPr>
              <w:pStyle w:val="TableCell"/>
              <w:spacing w:before="60" w:after="60"/>
              <w:jc w:val="center"/>
            </w:pPr>
            <w:r w:rsidRPr="001570EA">
              <w:t>4</w:t>
            </w:r>
          </w:p>
        </w:tc>
      </w:tr>
      <w:tr w:rsidR="00FA7EEB" w:rsidRPr="001570EA" w14:paraId="2E4C0B6C" w14:textId="77777777">
        <w:trPr>
          <w:trHeight w:val="317"/>
        </w:trPr>
        <w:tc>
          <w:tcPr>
            <w:tcW w:w="4518" w:type="dxa"/>
            <w:vAlign w:val="center"/>
          </w:tcPr>
          <w:p w14:paraId="1657A948" w14:textId="4AF60804" w:rsidR="00FA7EEB" w:rsidRPr="001570EA" w:rsidRDefault="00FA7EEB">
            <w:pPr>
              <w:pStyle w:val="TableCell"/>
              <w:spacing w:before="60" w:after="60"/>
              <w:jc w:val="left"/>
              <w:rPr>
                <w:rFonts w:ascii="Cambria Math" w:hAnsi="Cambria Math"/>
                <w:i/>
              </w:rPr>
            </w:pPr>
            <w:r w:rsidRPr="001570EA">
              <w:rPr>
                <w:rFonts w:cs="Arial"/>
                <w:i/>
                <w:iCs/>
              </w:rPr>
              <w:t>ETDF</w:t>
            </w:r>
            <w:r w:rsidRPr="001570EA">
              <w:rPr>
                <w:rFonts w:cs="Arial"/>
                <w:i/>
                <w:iCs/>
                <w:vertAlign w:val="subscript"/>
              </w:rPr>
              <w:t>winter</w:t>
            </w:r>
            <w:r w:rsidR="0088620C">
              <w:rPr>
                <w:rFonts w:cs="Arial"/>
                <w:i/>
                <w:iCs/>
                <w:vertAlign w:val="subscript"/>
              </w:rPr>
              <w:t xml:space="preserve"> </w:t>
            </w:r>
            <w:r w:rsidR="0088620C" w:rsidRPr="001570EA">
              <w:rPr>
                <w:rFonts w:cs="Arial"/>
                <w:i/>
                <w:iCs/>
                <w:vertAlign w:val="subscript"/>
              </w:rPr>
              <w:t>peak</w:t>
            </w:r>
            <w:r w:rsidRPr="001570EA">
              <w:rPr>
                <w:rFonts w:cs="Arial"/>
                <w:i/>
                <w:iCs/>
              </w:rPr>
              <w:t xml:space="preserve">, </w:t>
            </w:r>
            <w:r w:rsidRPr="001570EA">
              <w:rPr>
                <w:rFonts w:cs="Arial"/>
              </w:rPr>
              <w:t>Winter energy to demand factor</w:t>
            </w:r>
          </w:p>
        </w:tc>
        <w:tc>
          <w:tcPr>
            <w:tcW w:w="1039" w:type="dxa"/>
            <w:vAlign w:val="center"/>
          </w:tcPr>
          <w:p w14:paraId="3C05E987" w14:textId="77777777" w:rsidR="00FA7EEB" w:rsidRPr="001570EA" w:rsidRDefault="00FA7EEB">
            <w:pPr>
              <w:pStyle w:val="TableCell"/>
              <w:spacing w:before="60" w:after="60"/>
              <w:jc w:val="center"/>
            </w:pPr>
            <w:r w:rsidRPr="001570EA">
              <w:rPr>
                <w:rFonts w:ascii="Cambria Math" w:hAnsi="Cambria Math"/>
                <w:i/>
              </w:rPr>
              <w:t>kW/kWh</w:t>
            </w:r>
          </w:p>
        </w:tc>
        <w:tc>
          <w:tcPr>
            <w:tcW w:w="1980" w:type="dxa"/>
            <w:vAlign w:val="center"/>
          </w:tcPr>
          <w:p w14:paraId="49DCA6A0" w14:textId="77777777" w:rsidR="00FA7EEB" w:rsidRPr="001570EA" w:rsidRDefault="00FA7EEB">
            <w:pPr>
              <w:pStyle w:val="TableCell"/>
              <w:keepNext w:val="0"/>
              <w:spacing w:before="60" w:after="60"/>
              <w:jc w:val="center"/>
              <w:rPr>
                <w:szCs w:val="18"/>
              </w:rPr>
            </w:pPr>
            <w:r w:rsidRPr="001570EA">
              <w:t>0.0001967</w:t>
            </w:r>
          </w:p>
        </w:tc>
        <w:tc>
          <w:tcPr>
            <w:tcW w:w="1080" w:type="dxa"/>
            <w:vAlign w:val="center"/>
          </w:tcPr>
          <w:p w14:paraId="30F12603" w14:textId="77777777" w:rsidR="00FA7EEB" w:rsidRPr="001570EA" w:rsidRDefault="00FA7EEB">
            <w:pPr>
              <w:pStyle w:val="TableCell"/>
              <w:spacing w:before="60" w:after="60"/>
              <w:jc w:val="center"/>
            </w:pPr>
            <w:r w:rsidRPr="001570EA">
              <w:t>4</w:t>
            </w:r>
          </w:p>
        </w:tc>
      </w:tr>
      <w:tr w:rsidR="00FA7EEB" w:rsidRPr="001570EA" w14:paraId="4EAE7194" w14:textId="77777777">
        <w:trPr>
          <w:trHeight w:val="317"/>
        </w:trPr>
        <w:tc>
          <w:tcPr>
            <w:tcW w:w="4518" w:type="dxa"/>
            <w:vAlign w:val="center"/>
          </w:tcPr>
          <w:p w14:paraId="365EE8E7" w14:textId="77777777" w:rsidR="00FA7EEB" w:rsidRPr="001570EA" w:rsidRDefault="00FA7EEB">
            <w:pPr>
              <w:pStyle w:val="TableCell"/>
              <w:spacing w:before="60" w:after="60"/>
              <w:jc w:val="left"/>
              <w:rPr>
                <w:rFonts w:cs="Arial"/>
                <w:iCs/>
              </w:rPr>
            </w:pPr>
            <w:r w:rsidRPr="001570EA">
              <w:rPr>
                <w:rFonts w:cs="Arial"/>
                <w:iCs/>
              </w:rPr>
              <w:t>Model inputs for baseline home</w:t>
            </w:r>
          </w:p>
        </w:tc>
        <w:tc>
          <w:tcPr>
            <w:tcW w:w="1039" w:type="dxa"/>
            <w:vAlign w:val="center"/>
          </w:tcPr>
          <w:p w14:paraId="7219C85F" w14:textId="77777777" w:rsidR="00FA7EEB" w:rsidRPr="001570EA" w:rsidRDefault="00FA7EEB">
            <w:pPr>
              <w:pStyle w:val="TableCell"/>
              <w:spacing w:before="60" w:after="60"/>
              <w:jc w:val="center"/>
              <w:rPr>
                <w:rFonts w:ascii="Cambria Math" w:hAnsi="Cambria Math"/>
                <w:i/>
              </w:rPr>
            </w:pPr>
            <w:r w:rsidRPr="001570EA">
              <w:rPr>
                <w:rFonts w:ascii="Cambria Math" w:hAnsi="Cambria Math"/>
                <w:i/>
              </w:rPr>
              <w:t>Varies</w:t>
            </w:r>
          </w:p>
        </w:tc>
        <w:tc>
          <w:tcPr>
            <w:tcW w:w="1980" w:type="dxa"/>
            <w:vAlign w:val="center"/>
          </w:tcPr>
          <w:p w14:paraId="6228D846" w14:textId="7BEDD76B" w:rsidR="00FA7EEB" w:rsidRPr="001570EA" w:rsidRDefault="00FA7EEB">
            <w:pPr>
              <w:pStyle w:val="TableCell"/>
              <w:spacing w:before="60" w:after="60"/>
              <w:jc w:val="center"/>
            </w:pPr>
            <w:r w:rsidRPr="001570EA">
              <w:t xml:space="preserve">See </w:t>
            </w:r>
            <w:r w:rsidRPr="001570EA">
              <w:fldChar w:fldCharType="begin"/>
            </w:r>
            <w:r w:rsidRPr="001570EA">
              <w:instrText xml:space="preserve"> REF _Ref153802986 \h  \* MERGEFORMAT </w:instrText>
            </w:r>
            <w:r w:rsidRPr="001570EA">
              <w:fldChar w:fldCharType="separate"/>
            </w:r>
            <w:r w:rsidR="00234C6C" w:rsidRPr="001570EA">
              <w:t xml:space="preserve">Table </w:t>
            </w:r>
            <w:r w:rsidR="00234C6C" w:rsidRPr="001570EA">
              <w:rPr>
                <w:noProof/>
              </w:rPr>
              <w:t>2</w:t>
            </w:r>
            <w:r w:rsidR="00234C6C" w:rsidRPr="001570EA">
              <w:rPr>
                <w:noProof/>
              </w:rPr>
              <w:noBreakHyphen/>
              <w:t>160</w:t>
            </w:r>
            <w:r w:rsidRPr="001570EA">
              <w:fldChar w:fldCharType="end"/>
            </w:r>
            <w:r w:rsidRPr="001570EA">
              <w:t xml:space="preserve"> and </w:t>
            </w:r>
            <w:r w:rsidR="000A2F1A" w:rsidRPr="001570EA">
              <w:fldChar w:fldCharType="begin"/>
            </w:r>
            <w:r w:rsidR="000A2F1A" w:rsidRPr="001570EA">
              <w:instrText xml:space="preserve"> REF _Ref163909092 \h </w:instrText>
            </w:r>
            <w:r w:rsidR="001570EA">
              <w:instrText xml:space="preserve"> \* MERGEFORMAT </w:instrText>
            </w:r>
            <w:r w:rsidR="000A2F1A"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161</w:t>
            </w:r>
            <w:r w:rsidR="000A2F1A" w:rsidRPr="001570EA">
              <w:fldChar w:fldCharType="end"/>
            </w:r>
          </w:p>
        </w:tc>
        <w:tc>
          <w:tcPr>
            <w:tcW w:w="1080" w:type="dxa"/>
            <w:vAlign w:val="center"/>
          </w:tcPr>
          <w:p w14:paraId="53FDE7B2" w14:textId="77777777" w:rsidR="00FA7EEB" w:rsidRPr="001570EA" w:rsidRDefault="00FA7EEB">
            <w:pPr>
              <w:pStyle w:val="TableCell"/>
              <w:spacing w:before="60" w:after="60"/>
              <w:jc w:val="center"/>
            </w:pPr>
          </w:p>
        </w:tc>
      </w:tr>
      <w:tr w:rsidR="00FA7EEB" w:rsidRPr="001570EA" w14:paraId="7F4A0855" w14:textId="77777777">
        <w:trPr>
          <w:trHeight w:val="317"/>
        </w:trPr>
        <w:tc>
          <w:tcPr>
            <w:tcW w:w="4518" w:type="dxa"/>
            <w:vAlign w:val="center"/>
          </w:tcPr>
          <w:p w14:paraId="15481369" w14:textId="77777777" w:rsidR="00FA7EEB" w:rsidRPr="001570EA" w:rsidRDefault="00FA7EEB">
            <w:pPr>
              <w:pStyle w:val="TableCell"/>
              <w:spacing w:before="60" w:after="60"/>
              <w:jc w:val="left"/>
              <w:rPr>
                <w:rFonts w:cs="Arial"/>
                <w:iCs/>
              </w:rPr>
            </w:pPr>
            <w:r w:rsidRPr="001570EA">
              <w:rPr>
                <w:rFonts w:cs="Arial"/>
                <w:iCs/>
              </w:rPr>
              <w:t>Model inputs for ENERGY STAR home</w:t>
            </w:r>
          </w:p>
        </w:tc>
        <w:tc>
          <w:tcPr>
            <w:tcW w:w="1039" w:type="dxa"/>
            <w:vAlign w:val="center"/>
          </w:tcPr>
          <w:p w14:paraId="091D520E" w14:textId="77777777" w:rsidR="00FA7EEB" w:rsidRPr="001570EA" w:rsidRDefault="00FA7EEB">
            <w:pPr>
              <w:pStyle w:val="TableCell"/>
              <w:spacing w:before="60" w:after="60"/>
              <w:jc w:val="center"/>
              <w:rPr>
                <w:rFonts w:ascii="Cambria Math" w:hAnsi="Cambria Math"/>
                <w:i/>
              </w:rPr>
            </w:pPr>
            <w:r w:rsidRPr="001570EA">
              <w:rPr>
                <w:rFonts w:ascii="Cambria Math" w:hAnsi="Cambria Math"/>
                <w:i/>
              </w:rPr>
              <w:t>Varies</w:t>
            </w:r>
          </w:p>
        </w:tc>
        <w:tc>
          <w:tcPr>
            <w:tcW w:w="1980" w:type="dxa"/>
            <w:vAlign w:val="center"/>
          </w:tcPr>
          <w:p w14:paraId="44E18B53" w14:textId="7D896F47" w:rsidR="00FA7EEB" w:rsidRPr="001570EA" w:rsidRDefault="00FA7EEB">
            <w:pPr>
              <w:pStyle w:val="TableCell"/>
              <w:spacing w:before="60" w:after="60"/>
              <w:jc w:val="center"/>
            </w:pPr>
            <w:r w:rsidRPr="001570EA">
              <w:t xml:space="preserve">See </w:t>
            </w:r>
            <w:r w:rsidRPr="001570EA">
              <w:fldChar w:fldCharType="begin"/>
            </w:r>
            <w:r w:rsidRPr="001570EA">
              <w:instrText xml:space="preserve"> REF _Ref153805839 \h  \* MERGEFORMAT </w:instrText>
            </w:r>
            <w:r w:rsidRPr="001570EA">
              <w:fldChar w:fldCharType="separate"/>
            </w:r>
            <w:r w:rsidR="00234C6C" w:rsidRPr="001570EA">
              <w:t xml:space="preserve">Table </w:t>
            </w:r>
            <w:r w:rsidR="00234C6C" w:rsidRPr="001570EA">
              <w:rPr>
                <w:noProof/>
              </w:rPr>
              <w:t>2</w:t>
            </w:r>
            <w:r w:rsidR="00234C6C" w:rsidRPr="001570EA">
              <w:rPr>
                <w:noProof/>
              </w:rPr>
              <w:noBreakHyphen/>
              <w:t>162</w:t>
            </w:r>
            <w:r w:rsidRPr="001570EA">
              <w:fldChar w:fldCharType="end"/>
            </w:r>
            <w:r w:rsidRPr="001570EA">
              <w:t xml:space="preserve"> and </w:t>
            </w:r>
            <w:r w:rsidRPr="001570EA">
              <w:fldChar w:fldCharType="begin"/>
            </w:r>
            <w:r w:rsidRPr="001570EA">
              <w:instrText xml:space="preserve"> REF _Ref153806622 \h  \* MERGEFORMAT </w:instrText>
            </w:r>
            <w:r w:rsidRPr="001570EA">
              <w:fldChar w:fldCharType="separate"/>
            </w:r>
            <w:r w:rsidR="00234C6C" w:rsidRPr="001570EA">
              <w:t xml:space="preserve">Table </w:t>
            </w:r>
            <w:r w:rsidR="00234C6C" w:rsidRPr="001570EA">
              <w:rPr>
                <w:noProof/>
              </w:rPr>
              <w:t>2</w:t>
            </w:r>
            <w:r w:rsidR="00234C6C" w:rsidRPr="001570EA">
              <w:rPr>
                <w:noProof/>
              </w:rPr>
              <w:noBreakHyphen/>
              <w:t>163</w:t>
            </w:r>
            <w:r w:rsidRPr="001570EA">
              <w:fldChar w:fldCharType="end"/>
            </w:r>
          </w:p>
        </w:tc>
        <w:tc>
          <w:tcPr>
            <w:tcW w:w="1080" w:type="dxa"/>
            <w:vAlign w:val="center"/>
          </w:tcPr>
          <w:p w14:paraId="1BAAB763" w14:textId="77777777" w:rsidR="00FA7EEB" w:rsidRPr="001570EA" w:rsidRDefault="00FA7EEB">
            <w:pPr>
              <w:pStyle w:val="TableCell"/>
              <w:spacing w:before="60" w:after="60"/>
              <w:jc w:val="center"/>
            </w:pPr>
          </w:p>
        </w:tc>
      </w:tr>
    </w:tbl>
    <w:p w14:paraId="562EADFF" w14:textId="77777777" w:rsidR="00FA7EEB" w:rsidRPr="001570EA" w:rsidRDefault="00FA7EEB" w:rsidP="00FA7EEB"/>
    <w:p w14:paraId="57D5F90F" w14:textId="6E6E1B74" w:rsidR="00FA7EEB" w:rsidRPr="001570EA" w:rsidRDefault="00FA7EEB" w:rsidP="00FA7EEB">
      <w:r w:rsidRPr="001570EA">
        <w:t xml:space="preserve">Federal energy code for manufactured homes provides both a prescriptive and a performance-based path to meet required insulation levels. </w:t>
      </w:r>
      <w:r w:rsidRPr="001570EA">
        <w:fldChar w:fldCharType="begin"/>
      </w:r>
      <w:r w:rsidRPr="001570EA">
        <w:instrText xml:space="preserve"> REF _Ref153802986 \h  \* MERGEFORMAT </w:instrText>
      </w:r>
      <w:r w:rsidRPr="001570EA">
        <w:fldChar w:fldCharType="separate"/>
      </w:r>
      <w:r w:rsidR="00234C6C" w:rsidRPr="001570EA">
        <w:t xml:space="preserve">Table </w:t>
      </w:r>
      <w:r w:rsidR="00234C6C" w:rsidRPr="001570EA">
        <w:rPr>
          <w:noProof/>
        </w:rPr>
        <w:t>2</w:t>
      </w:r>
      <w:r w:rsidR="00234C6C" w:rsidRPr="001570EA">
        <w:rPr>
          <w:noProof/>
        </w:rPr>
        <w:noBreakHyphen/>
        <w:t>160</w:t>
      </w:r>
      <w:r w:rsidRPr="001570EA">
        <w:fldChar w:fldCharType="end"/>
      </w:r>
      <w:r w:rsidRPr="001570EA">
        <w:t xml:space="preserve"> and presents the minimum requirements for manufactured homes that are manufactured on or after July 1, 2025. Additional federal energy code requirements and TRM assumed baseline values are presented in</w:t>
      </w:r>
      <w:r w:rsidR="000A2F1A" w:rsidRPr="001570EA">
        <w:t xml:space="preserve"> </w:t>
      </w:r>
      <w:r w:rsidR="000A2F1A" w:rsidRPr="001570EA">
        <w:fldChar w:fldCharType="begin"/>
      </w:r>
      <w:r w:rsidR="000A2F1A" w:rsidRPr="001570EA">
        <w:instrText xml:space="preserve"> REF _Ref163909092 \h </w:instrText>
      </w:r>
      <w:r w:rsidR="001570EA">
        <w:instrText xml:space="preserve"> \* MERGEFORMAT </w:instrText>
      </w:r>
      <w:r w:rsidR="000A2F1A" w:rsidRPr="001570EA">
        <w:fldChar w:fldCharType="separate"/>
      </w:r>
      <w:r w:rsidR="00234C6C" w:rsidRPr="001570EA">
        <w:t xml:space="preserve">Table </w:t>
      </w:r>
      <w:r w:rsidR="00234C6C" w:rsidRPr="001570EA">
        <w:rPr>
          <w:noProof/>
        </w:rPr>
        <w:t>2</w:t>
      </w:r>
      <w:r w:rsidR="00234C6C" w:rsidRPr="001570EA">
        <w:noBreakHyphen/>
      </w:r>
      <w:r w:rsidR="00234C6C" w:rsidRPr="001570EA">
        <w:rPr>
          <w:noProof/>
        </w:rPr>
        <w:t>161</w:t>
      </w:r>
      <w:r w:rsidR="000A2F1A" w:rsidRPr="001570EA">
        <w:fldChar w:fldCharType="end"/>
      </w:r>
      <w:r w:rsidRPr="001570EA">
        <w:t>.</w:t>
      </w:r>
    </w:p>
    <w:p w14:paraId="46C0A418" w14:textId="77777777" w:rsidR="00FA7EEB" w:rsidRPr="001570EA" w:rsidRDefault="00FA7EEB" w:rsidP="00FA7EEB">
      <w:pPr>
        <w:jc w:val="center"/>
      </w:pPr>
    </w:p>
    <w:p w14:paraId="6763F8EB" w14:textId="0EBFECA1" w:rsidR="00FA7EEB" w:rsidRPr="001570EA" w:rsidRDefault="00FA7EEB" w:rsidP="00FA7EEB">
      <w:pPr>
        <w:pStyle w:val="Caption"/>
      </w:pPr>
      <w:bookmarkStart w:id="1230" w:name="_Ref153802986"/>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160</w:t>
      </w:r>
      <w:r w:rsidR="002E093A" w:rsidRPr="001570EA">
        <w:fldChar w:fldCharType="end"/>
      </w:r>
      <w:bookmarkEnd w:id="1230"/>
      <w:r w:rsidRPr="001570EA">
        <w:t>: Building Thermal Envelope Requirements for Code-Compliant Baseline Home</w:t>
      </w:r>
      <w:r w:rsidRPr="001570EA">
        <w:rPr>
          <w:b w:val="0"/>
          <w:bCs w:val="0"/>
          <w:vertAlign w:val="superscript"/>
        </w:rPr>
        <w:t>Source 5</w:t>
      </w:r>
    </w:p>
    <w:tbl>
      <w:tblPr>
        <w:tblW w:w="4990" w:type="pct"/>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300"/>
        <w:gridCol w:w="2793"/>
        <w:gridCol w:w="2522"/>
      </w:tblGrid>
      <w:tr w:rsidR="00FA7EEB" w:rsidRPr="001570EA" w14:paraId="12A820CB" w14:textId="77777777">
        <w:trPr>
          <w:cantSplit/>
          <w:trHeight w:val="317"/>
          <w:tblHeader/>
        </w:trPr>
        <w:tc>
          <w:tcPr>
            <w:tcW w:w="1915" w:type="pct"/>
            <w:tcBorders>
              <w:top w:val="nil"/>
              <w:left w:val="nil"/>
              <w:bottom w:val="single" w:sz="4" w:space="0" w:color="auto"/>
              <w:right w:val="single" w:sz="4" w:space="0" w:color="auto"/>
            </w:tcBorders>
            <w:shd w:val="clear" w:color="auto" w:fill="auto"/>
            <w:tcMar>
              <w:left w:w="115" w:type="dxa"/>
              <w:right w:w="115" w:type="dxa"/>
            </w:tcMar>
            <w:vAlign w:val="center"/>
          </w:tcPr>
          <w:p w14:paraId="0151452A" w14:textId="77777777" w:rsidR="00FA7EEB" w:rsidRPr="001570EA" w:rsidRDefault="00FA7EEB">
            <w:pPr>
              <w:pStyle w:val="TableCell"/>
              <w:keepNext w:val="0"/>
              <w:spacing w:before="60" w:after="60"/>
              <w:jc w:val="left"/>
              <w:rPr>
                <w:rFonts w:ascii="Arial Unicode MS" w:eastAsia="Arial Unicode MS" w:hAnsi="Arial Unicode MS" w:cs="Arial Unicode MS"/>
                <w:b/>
                <w:bCs/>
              </w:rPr>
            </w:pPr>
          </w:p>
        </w:tc>
        <w:tc>
          <w:tcPr>
            <w:tcW w:w="1621" w:type="pct"/>
            <w:tcBorders>
              <w:left w:val="single" w:sz="4" w:space="0" w:color="auto"/>
            </w:tcBorders>
            <w:shd w:val="clear" w:color="auto" w:fill="BFBFBF" w:themeFill="background1" w:themeFillShade="BF"/>
            <w:tcMar>
              <w:left w:w="115" w:type="dxa"/>
              <w:right w:w="115" w:type="dxa"/>
            </w:tcMar>
            <w:vAlign w:val="center"/>
          </w:tcPr>
          <w:p w14:paraId="25D6FE0D" w14:textId="77777777" w:rsidR="00FA7EEB" w:rsidRPr="001570EA" w:rsidRDefault="00FA7EEB">
            <w:pPr>
              <w:pStyle w:val="TableCell"/>
              <w:keepNext w:val="0"/>
              <w:spacing w:before="60" w:after="60"/>
              <w:jc w:val="center"/>
              <w:rPr>
                <w:rFonts w:ascii="Arial Unicode MS" w:eastAsia="Arial Unicode MS" w:hAnsi="Arial Unicode MS" w:cs="Arial Unicode MS"/>
                <w:b/>
                <w:bCs/>
              </w:rPr>
            </w:pPr>
            <w:r w:rsidRPr="001570EA">
              <w:rPr>
                <w:b/>
                <w:bCs/>
              </w:rPr>
              <w:t>Single-section home</w:t>
            </w:r>
          </w:p>
        </w:tc>
        <w:tc>
          <w:tcPr>
            <w:tcW w:w="1464" w:type="pct"/>
            <w:shd w:val="clear" w:color="auto" w:fill="BFBFBF" w:themeFill="background1" w:themeFillShade="BF"/>
            <w:vAlign w:val="center"/>
          </w:tcPr>
          <w:p w14:paraId="43DD0F7E" w14:textId="77777777" w:rsidR="00FA7EEB" w:rsidRPr="001570EA" w:rsidDel="00F5233A" w:rsidRDefault="00FA7EEB">
            <w:pPr>
              <w:pStyle w:val="TableCell"/>
              <w:keepNext w:val="0"/>
              <w:spacing w:before="60" w:after="60"/>
              <w:jc w:val="center"/>
              <w:rPr>
                <w:b/>
                <w:bCs/>
              </w:rPr>
            </w:pPr>
            <w:r w:rsidRPr="001570EA">
              <w:rPr>
                <w:b/>
                <w:bCs/>
              </w:rPr>
              <w:t>Multi-section home</w:t>
            </w:r>
          </w:p>
        </w:tc>
      </w:tr>
      <w:tr w:rsidR="00FA7EEB" w:rsidRPr="001570EA" w14:paraId="04B02E41" w14:textId="77777777">
        <w:trPr>
          <w:cantSplit/>
          <w:trHeight w:val="317"/>
          <w:tblHeader/>
        </w:trPr>
        <w:tc>
          <w:tcPr>
            <w:tcW w:w="5000" w:type="pct"/>
            <w:gridSpan w:val="3"/>
            <w:shd w:val="clear" w:color="auto" w:fill="BFBFBF" w:themeFill="background1" w:themeFillShade="BF"/>
            <w:tcMar>
              <w:left w:w="115" w:type="dxa"/>
              <w:right w:w="115" w:type="dxa"/>
            </w:tcMar>
            <w:vAlign w:val="center"/>
          </w:tcPr>
          <w:p w14:paraId="56FEB69B" w14:textId="77777777" w:rsidR="00FA7EEB" w:rsidRPr="001570EA" w:rsidRDefault="00FA7EEB">
            <w:pPr>
              <w:pStyle w:val="TableCell"/>
              <w:keepNext w:val="0"/>
              <w:spacing w:before="60" w:after="60"/>
              <w:jc w:val="left"/>
              <w:rPr>
                <w:b/>
                <w:bCs/>
              </w:rPr>
            </w:pPr>
            <w:r w:rsidRPr="001570EA">
              <w:rPr>
                <w:b/>
                <w:bCs/>
              </w:rPr>
              <w:t>Prescriptive Requirements</w:t>
            </w:r>
          </w:p>
        </w:tc>
      </w:tr>
      <w:tr w:rsidR="00FA7EEB" w:rsidRPr="001570EA" w14:paraId="6771AA67" w14:textId="77777777">
        <w:trPr>
          <w:cantSplit/>
          <w:trHeight w:val="317"/>
        </w:trPr>
        <w:tc>
          <w:tcPr>
            <w:tcW w:w="1915" w:type="pct"/>
            <w:tcMar>
              <w:left w:w="115" w:type="dxa"/>
              <w:right w:w="115" w:type="dxa"/>
            </w:tcMar>
          </w:tcPr>
          <w:p w14:paraId="75EB3433" w14:textId="77777777" w:rsidR="00FA7EEB" w:rsidRPr="001570EA" w:rsidRDefault="00FA7EEB">
            <w:pPr>
              <w:pStyle w:val="TableCell"/>
              <w:keepNext w:val="0"/>
              <w:spacing w:before="60" w:after="60"/>
              <w:jc w:val="left"/>
            </w:pPr>
            <w:r w:rsidRPr="001570EA">
              <w:t xml:space="preserve">Exterior wall insulation R-value </w:t>
            </w:r>
          </w:p>
        </w:tc>
        <w:tc>
          <w:tcPr>
            <w:tcW w:w="1621" w:type="pct"/>
            <w:tcMar>
              <w:left w:w="115" w:type="dxa"/>
              <w:right w:w="115" w:type="dxa"/>
            </w:tcMar>
          </w:tcPr>
          <w:p w14:paraId="5B3E7865" w14:textId="77777777" w:rsidR="00FA7EEB" w:rsidRPr="001570EA" w:rsidRDefault="00FA7EEB">
            <w:pPr>
              <w:pStyle w:val="TableCell"/>
              <w:keepNext w:val="0"/>
              <w:spacing w:before="60" w:after="60"/>
              <w:jc w:val="center"/>
            </w:pPr>
            <w:r w:rsidRPr="001570EA">
              <w:t xml:space="preserve">19 </w:t>
            </w:r>
          </w:p>
        </w:tc>
        <w:tc>
          <w:tcPr>
            <w:tcW w:w="1464" w:type="pct"/>
          </w:tcPr>
          <w:p w14:paraId="069D9BE1" w14:textId="77777777" w:rsidR="00FA7EEB" w:rsidRPr="001570EA" w:rsidRDefault="00FA7EEB">
            <w:pPr>
              <w:pStyle w:val="TableCell"/>
              <w:keepNext w:val="0"/>
              <w:spacing w:before="60" w:after="60"/>
              <w:jc w:val="center"/>
            </w:pPr>
            <w:r w:rsidRPr="001570EA">
              <w:t>21</w:t>
            </w:r>
          </w:p>
        </w:tc>
      </w:tr>
      <w:tr w:rsidR="00FA7EEB" w:rsidRPr="001570EA" w14:paraId="69E7F3BD" w14:textId="77777777">
        <w:trPr>
          <w:cantSplit/>
          <w:trHeight w:val="317"/>
        </w:trPr>
        <w:tc>
          <w:tcPr>
            <w:tcW w:w="1915" w:type="pct"/>
            <w:tcMar>
              <w:left w:w="115" w:type="dxa"/>
              <w:right w:w="115" w:type="dxa"/>
            </w:tcMar>
          </w:tcPr>
          <w:p w14:paraId="0EA31CF2" w14:textId="77777777" w:rsidR="00FA7EEB" w:rsidRPr="001570EA" w:rsidRDefault="00FA7EEB">
            <w:pPr>
              <w:pStyle w:val="TableCell"/>
              <w:keepNext w:val="0"/>
              <w:spacing w:before="60" w:after="60"/>
              <w:jc w:val="left"/>
            </w:pPr>
            <w:r w:rsidRPr="001570EA">
              <w:t>Exterior ceiling insulation R-value</w:t>
            </w:r>
          </w:p>
        </w:tc>
        <w:tc>
          <w:tcPr>
            <w:tcW w:w="1621" w:type="pct"/>
            <w:tcMar>
              <w:left w:w="115" w:type="dxa"/>
              <w:right w:w="115" w:type="dxa"/>
            </w:tcMar>
          </w:tcPr>
          <w:p w14:paraId="229A1621" w14:textId="77777777" w:rsidR="00FA7EEB" w:rsidRPr="001570EA" w:rsidRDefault="00FA7EEB">
            <w:pPr>
              <w:pStyle w:val="TableCell"/>
              <w:keepNext w:val="0"/>
              <w:spacing w:before="60" w:after="60"/>
              <w:jc w:val="center"/>
            </w:pPr>
            <w:r w:rsidRPr="001570EA">
              <w:t>22</w:t>
            </w:r>
          </w:p>
        </w:tc>
        <w:tc>
          <w:tcPr>
            <w:tcW w:w="1464" w:type="pct"/>
          </w:tcPr>
          <w:p w14:paraId="0C4FBBE5" w14:textId="77777777" w:rsidR="00FA7EEB" w:rsidRPr="001570EA" w:rsidRDefault="00FA7EEB">
            <w:pPr>
              <w:pStyle w:val="TableCell"/>
              <w:keepNext w:val="0"/>
              <w:spacing w:before="60" w:after="60"/>
              <w:jc w:val="center"/>
            </w:pPr>
            <w:r w:rsidRPr="001570EA">
              <w:t>38</w:t>
            </w:r>
          </w:p>
        </w:tc>
      </w:tr>
      <w:tr w:rsidR="00FA7EEB" w:rsidRPr="001570EA" w14:paraId="433CF8AD" w14:textId="77777777">
        <w:trPr>
          <w:cantSplit/>
          <w:trHeight w:val="317"/>
        </w:trPr>
        <w:tc>
          <w:tcPr>
            <w:tcW w:w="1915" w:type="pct"/>
            <w:tcMar>
              <w:left w:w="115" w:type="dxa"/>
              <w:right w:w="115" w:type="dxa"/>
            </w:tcMar>
          </w:tcPr>
          <w:p w14:paraId="027E98AB" w14:textId="77777777" w:rsidR="00FA7EEB" w:rsidRPr="001570EA" w:rsidRDefault="00FA7EEB">
            <w:pPr>
              <w:pStyle w:val="TableCell"/>
              <w:keepNext w:val="0"/>
              <w:spacing w:before="60" w:after="60"/>
              <w:jc w:val="left"/>
            </w:pPr>
            <w:r w:rsidRPr="001570EA">
              <w:t>Exterior floor insulation R-value</w:t>
            </w:r>
          </w:p>
        </w:tc>
        <w:tc>
          <w:tcPr>
            <w:tcW w:w="1621" w:type="pct"/>
            <w:tcMar>
              <w:left w:w="115" w:type="dxa"/>
              <w:right w:w="115" w:type="dxa"/>
            </w:tcMar>
          </w:tcPr>
          <w:p w14:paraId="4DB38707" w14:textId="77777777" w:rsidR="00FA7EEB" w:rsidRPr="001570EA" w:rsidRDefault="00FA7EEB">
            <w:pPr>
              <w:pStyle w:val="TableCell"/>
              <w:keepNext w:val="0"/>
              <w:spacing w:before="60" w:after="60"/>
              <w:jc w:val="center"/>
            </w:pPr>
            <w:r w:rsidRPr="001570EA">
              <w:t>22</w:t>
            </w:r>
          </w:p>
        </w:tc>
        <w:tc>
          <w:tcPr>
            <w:tcW w:w="1464" w:type="pct"/>
          </w:tcPr>
          <w:p w14:paraId="7B4FE624" w14:textId="77777777" w:rsidR="00FA7EEB" w:rsidRPr="001570EA" w:rsidRDefault="00FA7EEB">
            <w:pPr>
              <w:pStyle w:val="TableCell"/>
              <w:keepNext w:val="0"/>
              <w:spacing w:before="60" w:after="60"/>
              <w:jc w:val="center"/>
            </w:pPr>
            <w:r w:rsidRPr="001570EA">
              <w:t>30</w:t>
            </w:r>
          </w:p>
        </w:tc>
      </w:tr>
      <w:tr w:rsidR="00FA7EEB" w:rsidRPr="001570EA" w14:paraId="3881C740" w14:textId="77777777">
        <w:trPr>
          <w:cantSplit/>
          <w:trHeight w:val="317"/>
        </w:trPr>
        <w:tc>
          <w:tcPr>
            <w:tcW w:w="1915" w:type="pct"/>
            <w:tcMar>
              <w:left w:w="115" w:type="dxa"/>
              <w:right w:w="115" w:type="dxa"/>
            </w:tcMar>
          </w:tcPr>
          <w:p w14:paraId="151CD998" w14:textId="77777777" w:rsidR="00FA7EEB" w:rsidRPr="001570EA" w:rsidRDefault="00FA7EEB">
            <w:pPr>
              <w:pStyle w:val="TableCell"/>
              <w:keepNext w:val="0"/>
              <w:spacing w:before="60" w:after="60"/>
              <w:jc w:val="left"/>
            </w:pPr>
            <w:r w:rsidRPr="001570EA">
              <w:t>Window U-factor</w:t>
            </w:r>
          </w:p>
        </w:tc>
        <w:tc>
          <w:tcPr>
            <w:tcW w:w="1621" w:type="pct"/>
            <w:tcMar>
              <w:left w:w="115" w:type="dxa"/>
              <w:right w:w="115" w:type="dxa"/>
            </w:tcMar>
          </w:tcPr>
          <w:p w14:paraId="0ED46068" w14:textId="77777777" w:rsidR="00FA7EEB" w:rsidRPr="001570EA" w:rsidRDefault="00FA7EEB">
            <w:pPr>
              <w:pStyle w:val="TableCell"/>
              <w:keepNext w:val="0"/>
              <w:spacing w:before="60" w:after="60"/>
              <w:jc w:val="center"/>
            </w:pPr>
            <w:r w:rsidRPr="001570EA">
              <w:t>0.35</w:t>
            </w:r>
          </w:p>
        </w:tc>
        <w:tc>
          <w:tcPr>
            <w:tcW w:w="1464" w:type="pct"/>
          </w:tcPr>
          <w:p w14:paraId="04833480" w14:textId="77777777" w:rsidR="00FA7EEB" w:rsidRPr="001570EA" w:rsidRDefault="00FA7EEB">
            <w:pPr>
              <w:pStyle w:val="TableCell"/>
              <w:keepNext w:val="0"/>
              <w:spacing w:before="60" w:after="60"/>
              <w:jc w:val="center"/>
            </w:pPr>
            <w:r w:rsidRPr="001570EA">
              <w:t>0.30</w:t>
            </w:r>
          </w:p>
        </w:tc>
      </w:tr>
      <w:tr w:rsidR="00FA7EEB" w:rsidRPr="001570EA" w14:paraId="15DCD326" w14:textId="77777777">
        <w:trPr>
          <w:cantSplit/>
          <w:trHeight w:val="317"/>
        </w:trPr>
        <w:tc>
          <w:tcPr>
            <w:tcW w:w="1915" w:type="pct"/>
            <w:tcBorders>
              <w:bottom w:val="single" w:sz="4" w:space="0" w:color="auto"/>
            </w:tcBorders>
            <w:tcMar>
              <w:left w:w="115" w:type="dxa"/>
              <w:right w:w="115" w:type="dxa"/>
            </w:tcMar>
          </w:tcPr>
          <w:p w14:paraId="65C5B74B" w14:textId="77777777" w:rsidR="00FA7EEB" w:rsidRPr="001570EA" w:rsidRDefault="00FA7EEB">
            <w:pPr>
              <w:pStyle w:val="TableCell"/>
              <w:keepNext w:val="0"/>
              <w:spacing w:before="60" w:after="60"/>
              <w:jc w:val="left"/>
            </w:pPr>
            <w:r w:rsidRPr="001570EA">
              <w:t>Skylight U-factor</w:t>
            </w:r>
          </w:p>
        </w:tc>
        <w:tc>
          <w:tcPr>
            <w:tcW w:w="1621" w:type="pct"/>
            <w:tcBorders>
              <w:bottom w:val="single" w:sz="4" w:space="0" w:color="auto"/>
            </w:tcBorders>
            <w:tcMar>
              <w:left w:w="115" w:type="dxa"/>
              <w:right w:w="115" w:type="dxa"/>
            </w:tcMar>
          </w:tcPr>
          <w:p w14:paraId="6D15984D" w14:textId="77777777" w:rsidR="00FA7EEB" w:rsidRPr="001570EA" w:rsidRDefault="00FA7EEB">
            <w:pPr>
              <w:pStyle w:val="TableCell"/>
              <w:keepNext w:val="0"/>
              <w:spacing w:before="60" w:after="60"/>
              <w:jc w:val="center"/>
            </w:pPr>
            <w:r w:rsidRPr="001570EA">
              <w:t>0.55</w:t>
            </w:r>
          </w:p>
        </w:tc>
        <w:tc>
          <w:tcPr>
            <w:tcW w:w="1464" w:type="pct"/>
            <w:tcBorders>
              <w:bottom w:val="single" w:sz="4" w:space="0" w:color="auto"/>
            </w:tcBorders>
          </w:tcPr>
          <w:p w14:paraId="7080BCED" w14:textId="77777777" w:rsidR="00FA7EEB" w:rsidRPr="001570EA" w:rsidRDefault="00FA7EEB">
            <w:pPr>
              <w:pStyle w:val="TableCell"/>
              <w:keepNext w:val="0"/>
              <w:spacing w:before="60" w:after="60"/>
              <w:jc w:val="center"/>
            </w:pPr>
            <w:r w:rsidRPr="001570EA">
              <w:t>0.55</w:t>
            </w:r>
          </w:p>
        </w:tc>
      </w:tr>
      <w:tr w:rsidR="00FA7EEB" w:rsidRPr="001570EA" w14:paraId="38B5A0C9" w14:textId="77777777">
        <w:trPr>
          <w:cantSplit/>
          <w:trHeight w:val="317"/>
        </w:trPr>
        <w:tc>
          <w:tcPr>
            <w:tcW w:w="1915" w:type="pct"/>
            <w:tcBorders>
              <w:bottom w:val="single" w:sz="4" w:space="0" w:color="auto"/>
            </w:tcBorders>
            <w:tcMar>
              <w:left w:w="115" w:type="dxa"/>
              <w:right w:w="115" w:type="dxa"/>
            </w:tcMar>
          </w:tcPr>
          <w:p w14:paraId="539D26CE" w14:textId="77777777" w:rsidR="00FA7EEB" w:rsidRPr="001570EA" w:rsidRDefault="00FA7EEB">
            <w:pPr>
              <w:pStyle w:val="TableCell"/>
              <w:keepNext w:val="0"/>
              <w:spacing w:before="60" w:after="60"/>
              <w:jc w:val="left"/>
            </w:pPr>
            <w:r w:rsidRPr="001570EA">
              <w:t>Door U-factor</w:t>
            </w:r>
          </w:p>
        </w:tc>
        <w:tc>
          <w:tcPr>
            <w:tcW w:w="1621" w:type="pct"/>
            <w:tcBorders>
              <w:bottom w:val="single" w:sz="4" w:space="0" w:color="auto"/>
            </w:tcBorders>
            <w:tcMar>
              <w:left w:w="115" w:type="dxa"/>
              <w:right w:w="115" w:type="dxa"/>
            </w:tcMar>
          </w:tcPr>
          <w:p w14:paraId="4EE68A0C" w14:textId="77777777" w:rsidR="00FA7EEB" w:rsidRPr="001570EA" w:rsidRDefault="00FA7EEB">
            <w:pPr>
              <w:pStyle w:val="TableCell"/>
              <w:keepNext w:val="0"/>
              <w:spacing w:before="60" w:after="60"/>
              <w:jc w:val="center"/>
            </w:pPr>
            <w:r w:rsidRPr="001570EA">
              <w:t>0.40</w:t>
            </w:r>
          </w:p>
        </w:tc>
        <w:tc>
          <w:tcPr>
            <w:tcW w:w="1464" w:type="pct"/>
            <w:tcBorders>
              <w:bottom w:val="single" w:sz="4" w:space="0" w:color="auto"/>
            </w:tcBorders>
          </w:tcPr>
          <w:p w14:paraId="7D4AC6B2" w14:textId="77777777" w:rsidR="00FA7EEB" w:rsidRPr="001570EA" w:rsidRDefault="00FA7EEB">
            <w:pPr>
              <w:pStyle w:val="TableCell"/>
              <w:keepNext w:val="0"/>
              <w:spacing w:before="60" w:after="60"/>
              <w:jc w:val="center"/>
            </w:pPr>
            <w:r w:rsidRPr="001570EA">
              <w:t>0.40</w:t>
            </w:r>
          </w:p>
        </w:tc>
      </w:tr>
      <w:tr w:rsidR="00FA7EEB" w:rsidRPr="001570EA" w14:paraId="59237848" w14:textId="77777777">
        <w:trPr>
          <w:cantSplit/>
          <w:trHeight w:val="317"/>
        </w:trPr>
        <w:tc>
          <w:tcPr>
            <w:tcW w:w="5000" w:type="pct"/>
            <w:gridSpan w:val="3"/>
            <w:tcBorders>
              <w:bottom w:val="single" w:sz="4" w:space="0" w:color="auto"/>
            </w:tcBorders>
            <w:shd w:val="clear" w:color="auto" w:fill="BFBFBF" w:themeFill="background1" w:themeFillShade="BF"/>
            <w:tcMar>
              <w:left w:w="115" w:type="dxa"/>
              <w:right w:w="115" w:type="dxa"/>
            </w:tcMar>
          </w:tcPr>
          <w:p w14:paraId="2AE61E41" w14:textId="77777777" w:rsidR="00FA7EEB" w:rsidRPr="001570EA" w:rsidRDefault="00FA7EEB">
            <w:pPr>
              <w:pStyle w:val="TableCell"/>
              <w:keepNext w:val="0"/>
              <w:spacing w:before="60" w:after="60"/>
              <w:jc w:val="left"/>
            </w:pPr>
            <w:r w:rsidRPr="001570EA">
              <w:rPr>
                <w:b/>
                <w:bCs/>
              </w:rPr>
              <w:t>Prescriptive Requirements – Alternatives to R-Value Requirements</w:t>
            </w:r>
          </w:p>
        </w:tc>
      </w:tr>
      <w:tr w:rsidR="00FA7EEB" w:rsidRPr="001570EA" w14:paraId="2CED59F1" w14:textId="77777777">
        <w:trPr>
          <w:cantSplit/>
          <w:trHeight w:val="317"/>
        </w:trPr>
        <w:tc>
          <w:tcPr>
            <w:tcW w:w="1915" w:type="pct"/>
            <w:tcBorders>
              <w:bottom w:val="single" w:sz="4" w:space="0" w:color="auto"/>
            </w:tcBorders>
            <w:tcMar>
              <w:left w:w="115" w:type="dxa"/>
              <w:right w:w="115" w:type="dxa"/>
            </w:tcMar>
          </w:tcPr>
          <w:p w14:paraId="40CA45BC" w14:textId="77777777" w:rsidR="00FA7EEB" w:rsidRPr="001570EA" w:rsidRDefault="00FA7EEB">
            <w:pPr>
              <w:pStyle w:val="TableCell"/>
              <w:keepNext w:val="0"/>
              <w:spacing w:before="60" w:after="60"/>
              <w:jc w:val="left"/>
            </w:pPr>
            <w:r w:rsidRPr="001570EA">
              <w:t>Exterior ceiling U-factor</w:t>
            </w:r>
          </w:p>
        </w:tc>
        <w:tc>
          <w:tcPr>
            <w:tcW w:w="1621" w:type="pct"/>
            <w:tcBorders>
              <w:bottom w:val="single" w:sz="4" w:space="0" w:color="auto"/>
            </w:tcBorders>
            <w:tcMar>
              <w:left w:w="115" w:type="dxa"/>
              <w:right w:w="115" w:type="dxa"/>
            </w:tcMar>
          </w:tcPr>
          <w:p w14:paraId="2AE2267F" w14:textId="77777777" w:rsidR="00FA7EEB" w:rsidRPr="001570EA" w:rsidRDefault="00FA7EEB">
            <w:pPr>
              <w:pStyle w:val="TableCell"/>
              <w:keepNext w:val="0"/>
              <w:spacing w:before="60" w:after="60"/>
              <w:jc w:val="center"/>
            </w:pPr>
            <w:r w:rsidRPr="001570EA">
              <w:t>0.061</w:t>
            </w:r>
          </w:p>
        </w:tc>
        <w:tc>
          <w:tcPr>
            <w:tcW w:w="1464" w:type="pct"/>
            <w:tcBorders>
              <w:bottom w:val="single" w:sz="4" w:space="0" w:color="auto"/>
            </w:tcBorders>
          </w:tcPr>
          <w:p w14:paraId="40EBB0E0" w14:textId="77777777" w:rsidR="00FA7EEB" w:rsidRPr="001570EA" w:rsidRDefault="00FA7EEB">
            <w:pPr>
              <w:pStyle w:val="TableCell"/>
              <w:keepNext w:val="0"/>
              <w:spacing w:before="60" w:after="60"/>
              <w:jc w:val="center"/>
            </w:pPr>
            <w:r w:rsidRPr="001570EA">
              <w:t>0.037</w:t>
            </w:r>
          </w:p>
        </w:tc>
      </w:tr>
      <w:tr w:rsidR="00FA7EEB" w:rsidRPr="001570EA" w14:paraId="07809A55" w14:textId="77777777">
        <w:trPr>
          <w:cantSplit/>
          <w:trHeight w:val="317"/>
        </w:trPr>
        <w:tc>
          <w:tcPr>
            <w:tcW w:w="1915" w:type="pct"/>
            <w:tcBorders>
              <w:bottom w:val="single" w:sz="4" w:space="0" w:color="auto"/>
            </w:tcBorders>
            <w:tcMar>
              <w:left w:w="115" w:type="dxa"/>
              <w:right w:w="115" w:type="dxa"/>
            </w:tcMar>
          </w:tcPr>
          <w:p w14:paraId="28A040DA" w14:textId="77777777" w:rsidR="00FA7EEB" w:rsidRPr="001570EA" w:rsidRDefault="00FA7EEB">
            <w:pPr>
              <w:pStyle w:val="TableCell"/>
              <w:keepNext w:val="0"/>
              <w:spacing w:before="60" w:after="60"/>
              <w:jc w:val="left"/>
            </w:pPr>
            <w:r w:rsidRPr="001570EA">
              <w:t>Exterior wall U-factor</w:t>
            </w:r>
          </w:p>
        </w:tc>
        <w:tc>
          <w:tcPr>
            <w:tcW w:w="1621" w:type="pct"/>
            <w:tcBorders>
              <w:bottom w:val="single" w:sz="4" w:space="0" w:color="auto"/>
            </w:tcBorders>
            <w:tcMar>
              <w:left w:w="115" w:type="dxa"/>
              <w:right w:w="115" w:type="dxa"/>
            </w:tcMar>
          </w:tcPr>
          <w:p w14:paraId="26E4BDEB" w14:textId="77777777" w:rsidR="00FA7EEB" w:rsidRPr="001570EA" w:rsidRDefault="00FA7EEB">
            <w:pPr>
              <w:pStyle w:val="TableCell"/>
              <w:keepNext w:val="0"/>
              <w:spacing w:before="60" w:after="60"/>
              <w:jc w:val="center"/>
            </w:pPr>
            <w:r w:rsidRPr="001570EA">
              <w:t>0.068</w:t>
            </w:r>
          </w:p>
        </w:tc>
        <w:tc>
          <w:tcPr>
            <w:tcW w:w="1464" w:type="pct"/>
            <w:tcBorders>
              <w:bottom w:val="single" w:sz="4" w:space="0" w:color="auto"/>
            </w:tcBorders>
          </w:tcPr>
          <w:p w14:paraId="3056A83B" w14:textId="77777777" w:rsidR="00FA7EEB" w:rsidRPr="001570EA" w:rsidRDefault="00FA7EEB">
            <w:pPr>
              <w:pStyle w:val="TableCell"/>
              <w:keepNext w:val="0"/>
              <w:spacing w:before="60" w:after="60"/>
              <w:jc w:val="center"/>
            </w:pPr>
            <w:r w:rsidRPr="001570EA">
              <w:t>0.063</w:t>
            </w:r>
          </w:p>
        </w:tc>
      </w:tr>
      <w:tr w:rsidR="00FA7EEB" w:rsidRPr="001570EA" w14:paraId="353B4787" w14:textId="77777777">
        <w:trPr>
          <w:cantSplit/>
          <w:trHeight w:val="317"/>
        </w:trPr>
        <w:tc>
          <w:tcPr>
            <w:tcW w:w="1915" w:type="pct"/>
            <w:tcBorders>
              <w:bottom w:val="single" w:sz="4" w:space="0" w:color="auto"/>
            </w:tcBorders>
            <w:tcMar>
              <w:left w:w="115" w:type="dxa"/>
              <w:right w:w="115" w:type="dxa"/>
            </w:tcMar>
          </w:tcPr>
          <w:p w14:paraId="6BAD5983" w14:textId="77777777" w:rsidR="00FA7EEB" w:rsidRPr="001570EA" w:rsidRDefault="00FA7EEB">
            <w:pPr>
              <w:pStyle w:val="TableCell"/>
              <w:keepNext w:val="0"/>
              <w:spacing w:before="60" w:after="60"/>
              <w:jc w:val="left"/>
            </w:pPr>
            <w:r w:rsidRPr="001570EA">
              <w:t>Exterior floor U-factor</w:t>
            </w:r>
          </w:p>
        </w:tc>
        <w:tc>
          <w:tcPr>
            <w:tcW w:w="1621" w:type="pct"/>
            <w:tcBorders>
              <w:bottom w:val="single" w:sz="4" w:space="0" w:color="auto"/>
            </w:tcBorders>
            <w:tcMar>
              <w:left w:w="115" w:type="dxa"/>
              <w:right w:w="115" w:type="dxa"/>
            </w:tcMar>
          </w:tcPr>
          <w:p w14:paraId="744FDDFD" w14:textId="77777777" w:rsidR="00FA7EEB" w:rsidRPr="001570EA" w:rsidRDefault="00FA7EEB">
            <w:pPr>
              <w:pStyle w:val="TableCell"/>
              <w:keepNext w:val="0"/>
              <w:spacing w:before="60" w:after="60"/>
              <w:jc w:val="center"/>
            </w:pPr>
            <w:r w:rsidRPr="001570EA">
              <w:t>0.049</w:t>
            </w:r>
          </w:p>
        </w:tc>
        <w:tc>
          <w:tcPr>
            <w:tcW w:w="1464" w:type="pct"/>
            <w:tcBorders>
              <w:bottom w:val="single" w:sz="4" w:space="0" w:color="auto"/>
            </w:tcBorders>
          </w:tcPr>
          <w:p w14:paraId="3704263A" w14:textId="77777777" w:rsidR="00FA7EEB" w:rsidRPr="001570EA" w:rsidRDefault="00FA7EEB">
            <w:pPr>
              <w:pStyle w:val="TableCell"/>
              <w:keepNext w:val="0"/>
              <w:spacing w:before="60" w:after="60"/>
              <w:jc w:val="center"/>
            </w:pPr>
            <w:r w:rsidRPr="001570EA">
              <w:t>0.032</w:t>
            </w:r>
          </w:p>
        </w:tc>
      </w:tr>
      <w:tr w:rsidR="00FA7EEB" w:rsidRPr="001570EA" w14:paraId="65186A2E" w14:textId="77777777">
        <w:trPr>
          <w:cantSplit/>
          <w:trHeight w:val="317"/>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115" w:type="dxa"/>
              <w:right w:w="115" w:type="dxa"/>
            </w:tcMar>
            <w:vAlign w:val="center"/>
          </w:tcPr>
          <w:p w14:paraId="3E33D252" w14:textId="77777777" w:rsidR="00FA7EEB" w:rsidRPr="001570EA" w:rsidRDefault="00FA7EEB">
            <w:pPr>
              <w:pStyle w:val="TableCell"/>
              <w:keepNext w:val="0"/>
              <w:spacing w:before="60" w:after="60"/>
              <w:jc w:val="left"/>
              <w:rPr>
                <w:b/>
              </w:rPr>
            </w:pPr>
            <w:r w:rsidRPr="001570EA">
              <w:rPr>
                <w:b/>
              </w:rPr>
              <w:t>OR Performance Requirements</w:t>
            </w:r>
          </w:p>
        </w:tc>
      </w:tr>
      <w:tr w:rsidR="00FA7EEB" w:rsidRPr="001570EA" w14:paraId="691DC309" w14:textId="77777777">
        <w:trPr>
          <w:cantSplit/>
          <w:trHeight w:val="259"/>
        </w:trPr>
        <w:tc>
          <w:tcPr>
            <w:tcW w:w="1915" w:type="pct"/>
            <w:tcBorders>
              <w:top w:val="single" w:sz="4" w:space="0" w:color="auto"/>
            </w:tcBorders>
            <w:tcMar>
              <w:left w:w="115" w:type="dxa"/>
              <w:right w:w="115" w:type="dxa"/>
            </w:tcMar>
            <w:vAlign w:val="center"/>
          </w:tcPr>
          <w:p w14:paraId="74AE511B"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Overall thermal transmittance (U</w:t>
            </w:r>
            <w:r w:rsidRPr="001570EA">
              <w:rPr>
                <w:vertAlign w:val="subscript"/>
              </w:rPr>
              <w:t>o</w:t>
            </w:r>
            <w:r w:rsidRPr="001570EA">
              <w:t>)</w:t>
            </w:r>
          </w:p>
        </w:tc>
        <w:tc>
          <w:tcPr>
            <w:tcW w:w="1621" w:type="pct"/>
            <w:tcBorders>
              <w:top w:val="single" w:sz="4" w:space="0" w:color="auto"/>
            </w:tcBorders>
            <w:tcMar>
              <w:left w:w="115" w:type="dxa"/>
              <w:right w:w="115" w:type="dxa"/>
            </w:tcMar>
            <w:vAlign w:val="center"/>
          </w:tcPr>
          <w:p w14:paraId="5E6A7650" w14:textId="77777777" w:rsidR="00FA7EEB" w:rsidRPr="001570EA" w:rsidRDefault="00FA7EEB">
            <w:pPr>
              <w:pStyle w:val="TableCell"/>
              <w:keepNext w:val="0"/>
              <w:spacing w:before="60" w:after="60"/>
              <w:jc w:val="center"/>
              <w:rPr>
                <w:rFonts w:ascii="Arial Unicode MS" w:eastAsia="Arial Unicode MS" w:hAnsi="Arial Unicode MS" w:cs="Arial Unicode MS"/>
              </w:rPr>
            </w:pPr>
            <w:r w:rsidRPr="001570EA">
              <w:t>0.074</w:t>
            </w:r>
          </w:p>
        </w:tc>
        <w:tc>
          <w:tcPr>
            <w:tcW w:w="1464" w:type="pct"/>
            <w:tcBorders>
              <w:top w:val="single" w:sz="4" w:space="0" w:color="auto"/>
            </w:tcBorders>
            <w:vAlign w:val="center"/>
          </w:tcPr>
          <w:p w14:paraId="3549BE7E" w14:textId="77777777" w:rsidR="00FA7EEB" w:rsidRPr="001570EA" w:rsidRDefault="00FA7EEB">
            <w:pPr>
              <w:pStyle w:val="TableCell"/>
              <w:keepNext w:val="0"/>
              <w:spacing w:before="60" w:after="60"/>
              <w:jc w:val="center"/>
            </w:pPr>
            <w:r w:rsidRPr="001570EA">
              <w:t>0.055</w:t>
            </w:r>
          </w:p>
        </w:tc>
      </w:tr>
    </w:tbl>
    <w:p w14:paraId="35D01340" w14:textId="77777777" w:rsidR="00FA7EEB" w:rsidRPr="001570EA" w:rsidRDefault="00FA7EEB" w:rsidP="00FA7EEB">
      <w:pPr>
        <w:jc w:val="center"/>
      </w:pPr>
    </w:p>
    <w:p w14:paraId="0A7F5612" w14:textId="77777777" w:rsidR="00FA7EEB" w:rsidRPr="001570EA" w:rsidRDefault="00FA7EEB" w:rsidP="00FA7EEB">
      <w:pPr>
        <w:jc w:val="center"/>
      </w:pPr>
    </w:p>
    <w:p w14:paraId="52159F85" w14:textId="26CEA715" w:rsidR="00FA7EEB" w:rsidRPr="001570EA" w:rsidRDefault="00E37DA0" w:rsidP="00E37DA0">
      <w:pPr>
        <w:pStyle w:val="Caption"/>
      </w:pPr>
      <w:bookmarkStart w:id="1231" w:name="_Ref16390909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161</w:t>
      </w:r>
      <w:r w:rsidR="002E093A" w:rsidRPr="001570EA">
        <w:fldChar w:fldCharType="end"/>
      </w:r>
      <w:bookmarkEnd w:id="1231"/>
      <w:r w:rsidRPr="001570EA">
        <w:t>: Values and References for Code-Compliant Baseline Home</w:t>
      </w:r>
    </w:p>
    <w:tbl>
      <w:tblPr>
        <w:tblW w:w="4934" w:type="pct"/>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363"/>
        <w:gridCol w:w="5075"/>
        <w:gridCol w:w="1072"/>
      </w:tblGrid>
      <w:tr w:rsidR="00FA7EEB" w:rsidRPr="001570EA" w14:paraId="2DCA57D3" w14:textId="77777777">
        <w:trPr>
          <w:cantSplit/>
          <w:trHeight w:val="317"/>
          <w:tblHeader/>
        </w:trPr>
        <w:tc>
          <w:tcPr>
            <w:tcW w:w="1388" w:type="pct"/>
            <w:shd w:val="clear" w:color="auto" w:fill="BFBFBF" w:themeFill="background1" w:themeFillShade="BF"/>
            <w:tcMar>
              <w:left w:w="115" w:type="dxa"/>
              <w:right w:w="115" w:type="dxa"/>
            </w:tcMar>
            <w:vAlign w:val="center"/>
          </w:tcPr>
          <w:p w14:paraId="229586E3" w14:textId="77777777" w:rsidR="00FA7EEB" w:rsidRPr="001570EA" w:rsidRDefault="00FA7EEB">
            <w:pPr>
              <w:pStyle w:val="TableCell"/>
              <w:keepNext w:val="0"/>
              <w:spacing w:before="60" w:after="60"/>
              <w:jc w:val="left"/>
              <w:rPr>
                <w:rFonts w:ascii="Arial Unicode MS" w:eastAsia="Arial Unicode MS" w:hAnsi="Arial Unicode MS" w:cs="Arial Unicode MS"/>
                <w:b/>
                <w:bCs/>
              </w:rPr>
            </w:pPr>
            <w:r w:rsidRPr="001570EA">
              <w:rPr>
                <w:b/>
                <w:bCs/>
              </w:rPr>
              <w:t>Data Point</w:t>
            </w:r>
          </w:p>
        </w:tc>
        <w:tc>
          <w:tcPr>
            <w:tcW w:w="2982" w:type="pct"/>
            <w:shd w:val="clear" w:color="auto" w:fill="BFBFBF" w:themeFill="background1" w:themeFillShade="BF"/>
            <w:tcMar>
              <w:left w:w="115" w:type="dxa"/>
              <w:right w:w="115" w:type="dxa"/>
            </w:tcMar>
            <w:vAlign w:val="center"/>
          </w:tcPr>
          <w:p w14:paraId="5D647693" w14:textId="77777777" w:rsidR="00FA7EEB" w:rsidRPr="001570EA" w:rsidRDefault="00FA7EEB">
            <w:pPr>
              <w:pStyle w:val="TableCell"/>
              <w:keepNext w:val="0"/>
              <w:spacing w:before="60" w:after="60"/>
              <w:jc w:val="center"/>
              <w:rPr>
                <w:rFonts w:ascii="Arial Unicode MS" w:eastAsia="Arial Unicode MS" w:hAnsi="Arial Unicode MS" w:cs="Arial Unicode MS"/>
                <w:b/>
                <w:bCs/>
              </w:rPr>
            </w:pPr>
            <w:r w:rsidRPr="001570EA">
              <w:rPr>
                <w:b/>
                <w:bCs/>
              </w:rPr>
              <w:t>Value</w:t>
            </w:r>
          </w:p>
        </w:tc>
        <w:tc>
          <w:tcPr>
            <w:tcW w:w="630" w:type="pct"/>
            <w:shd w:val="clear" w:color="auto" w:fill="BFBFBF" w:themeFill="background1" w:themeFillShade="BF"/>
          </w:tcPr>
          <w:p w14:paraId="7225C382" w14:textId="77777777" w:rsidR="00FA7EEB" w:rsidRPr="001570EA" w:rsidDel="00F5233A" w:rsidRDefault="00FA7EEB">
            <w:pPr>
              <w:pStyle w:val="TableCell"/>
              <w:keepNext w:val="0"/>
              <w:spacing w:before="60" w:after="60"/>
              <w:jc w:val="center"/>
              <w:rPr>
                <w:b/>
              </w:rPr>
            </w:pPr>
            <w:r w:rsidRPr="001570EA">
              <w:rPr>
                <w:b/>
              </w:rPr>
              <w:t>Source</w:t>
            </w:r>
          </w:p>
        </w:tc>
      </w:tr>
      <w:tr w:rsidR="00FA7EEB" w:rsidRPr="001570EA" w14:paraId="1EF4BF46" w14:textId="77777777">
        <w:trPr>
          <w:cantSplit/>
          <w:trHeight w:val="317"/>
        </w:trPr>
        <w:tc>
          <w:tcPr>
            <w:tcW w:w="1388" w:type="pct"/>
            <w:tcMar>
              <w:left w:w="115" w:type="dxa"/>
              <w:right w:w="115" w:type="dxa"/>
            </w:tcMar>
          </w:tcPr>
          <w:p w14:paraId="46980E65" w14:textId="77777777" w:rsidR="00FA7EEB" w:rsidRPr="001570EA" w:rsidRDefault="00FA7EEB">
            <w:pPr>
              <w:pStyle w:val="TableCell"/>
              <w:keepNext w:val="0"/>
              <w:spacing w:before="60" w:after="60"/>
              <w:jc w:val="left"/>
            </w:pPr>
            <w:r w:rsidRPr="001570EA">
              <w:t>Air Infiltration Rate</w:t>
            </w:r>
          </w:p>
        </w:tc>
        <w:tc>
          <w:tcPr>
            <w:tcW w:w="2982" w:type="pct"/>
            <w:tcMar>
              <w:left w:w="115" w:type="dxa"/>
              <w:right w:w="115" w:type="dxa"/>
            </w:tcMar>
          </w:tcPr>
          <w:p w14:paraId="526D233D" w14:textId="77777777" w:rsidR="00FA7EEB" w:rsidRPr="001570EA" w:rsidRDefault="00FA7EEB">
            <w:pPr>
              <w:pStyle w:val="TableCell"/>
              <w:keepNext w:val="0"/>
              <w:spacing w:before="60" w:after="60"/>
              <w:jc w:val="center"/>
            </w:pPr>
            <w:r w:rsidRPr="001570EA">
              <w:t>5 ACH50</w:t>
            </w:r>
          </w:p>
        </w:tc>
        <w:tc>
          <w:tcPr>
            <w:tcW w:w="630" w:type="pct"/>
          </w:tcPr>
          <w:p w14:paraId="3FEDC03D" w14:textId="77777777" w:rsidR="00FA7EEB" w:rsidRPr="001570EA" w:rsidRDefault="00FA7EEB">
            <w:pPr>
              <w:pStyle w:val="TableCell"/>
              <w:keepNext w:val="0"/>
              <w:spacing w:before="60" w:after="60"/>
              <w:jc w:val="center"/>
            </w:pPr>
            <w:r w:rsidRPr="001570EA">
              <w:t>6</w:t>
            </w:r>
          </w:p>
        </w:tc>
      </w:tr>
      <w:tr w:rsidR="00FA7EEB" w:rsidRPr="001570EA" w14:paraId="0F43B9F9" w14:textId="77777777">
        <w:trPr>
          <w:cantSplit/>
          <w:trHeight w:val="317"/>
        </w:trPr>
        <w:tc>
          <w:tcPr>
            <w:tcW w:w="1388" w:type="pct"/>
            <w:tcMar>
              <w:left w:w="115" w:type="dxa"/>
              <w:right w:w="115" w:type="dxa"/>
            </w:tcMar>
          </w:tcPr>
          <w:p w14:paraId="2E5AB57A" w14:textId="77777777" w:rsidR="00FA7EEB" w:rsidRPr="001570EA" w:rsidRDefault="00FA7EEB">
            <w:pPr>
              <w:pStyle w:val="TableCell"/>
              <w:keepNext w:val="0"/>
              <w:spacing w:before="60" w:after="60"/>
              <w:jc w:val="left"/>
            </w:pPr>
            <w:r w:rsidRPr="001570EA">
              <w:t>Mechanical Ventilation</w:t>
            </w:r>
          </w:p>
        </w:tc>
        <w:tc>
          <w:tcPr>
            <w:tcW w:w="2982" w:type="pct"/>
            <w:tcMar>
              <w:left w:w="115" w:type="dxa"/>
              <w:right w:w="115" w:type="dxa"/>
            </w:tcMar>
          </w:tcPr>
          <w:p w14:paraId="68F0C303" w14:textId="77777777" w:rsidR="00FA7EEB" w:rsidRPr="001570EA" w:rsidRDefault="00FA7EEB">
            <w:pPr>
              <w:pStyle w:val="TableCell"/>
              <w:keepNext w:val="0"/>
              <w:spacing w:before="60" w:after="60"/>
              <w:jc w:val="center"/>
            </w:pPr>
            <w:r w:rsidRPr="001570EA">
              <w:t>0.035 CFM/ft</w:t>
            </w:r>
            <w:r w:rsidRPr="001570EA">
              <w:rPr>
                <w:vertAlign w:val="superscript"/>
              </w:rPr>
              <w:t>2</w:t>
            </w:r>
            <w:r w:rsidRPr="001570EA">
              <w:t xml:space="preserve"> Exhaust</w:t>
            </w:r>
          </w:p>
        </w:tc>
        <w:tc>
          <w:tcPr>
            <w:tcW w:w="630" w:type="pct"/>
          </w:tcPr>
          <w:p w14:paraId="7776450B" w14:textId="77777777" w:rsidR="00FA7EEB" w:rsidRPr="001570EA" w:rsidRDefault="00FA7EEB">
            <w:pPr>
              <w:pStyle w:val="TableCell"/>
              <w:keepNext w:val="0"/>
              <w:spacing w:before="60" w:after="60"/>
              <w:jc w:val="center"/>
            </w:pPr>
            <w:r w:rsidRPr="001570EA">
              <w:t>7</w:t>
            </w:r>
          </w:p>
        </w:tc>
      </w:tr>
      <w:tr w:rsidR="00FA7EEB" w:rsidRPr="001570EA" w14:paraId="13FD1164" w14:textId="77777777">
        <w:trPr>
          <w:cantSplit/>
          <w:trHeight w:val="317"/>
        </w:trPr>
        <w:tc>
          <w:tcPr>
            <w:tcW w:w="1388" w:type="pct"/>
            <w:tcMar>
              <w:left w:w="115" w:type="dxa"/>
              <w:right w:w="115" w:type="dxa"/>
            </w:tcMar>
          </w:tcPr>
          <w:p w14:paraId="34424C6A" w14:textId="77777777" w:rsidR="00FA7EEB" w:rsidRPr="001570EA" w:rsidRDefault="00FA7EEB">
            <w:pPr>
              <w:pStyle w:val="TableCell"/>
              <w:keepNext w:val="0"/>
              <w:spacing w:before="60" w:after="60"/>
              <w:jc w:val="left"/>
            </w:pPr>
            <w:r w:rsidRPr="001570EA">
              <w:rPr>
                <w:lang w:eastAsia="ja-JP"/>
              </w:rPr>
              <w:t>Mechanical Ventilation Fan Efficacy</w:t>
            </w:r>
          </w:p>
        </w:tc>
        <w:tc>
          <w:tcPr>
            <w:tcW w:w="2982" w:type="pct"/>
            <w:tcMar>
              <w:left w:w="115" w:type="dxa"/>
              <w:right w:w="115" w:type="dxa"/>
            </w:tcMar>
          </w:tcPr>
          <w:p w14:paraId="6E7A58DE" w14:textId="77777777" w:rsidR="00FA7EEB" w:rsidRPr="001570EA" w:rsidRDefault="00FA7EEB">
            <w:pPr>
              <w:pStyle w:val="TableCell"/>
              <w:keepNext w:val="0"/>
              <w:spacing w:before="60" w:after="60"/>
              <w:jc w:val="center"/>
              <w:rPr>
                <w:lang w:eastAsia="ja-JP"/>
              </w:rPr>
            </w:pPr>
            <w:r w:rsidRPr="001570EA">
              <w:rPr>
                <w:lang w:eastAsia="ja-JP"/>
              </w:rPr>
              <w:t>HRV or ERV = 1.2 CFM/W</w:t>
            </w:r>
          </w:p>
          <w:p w14:paraId="66B03F19" w14:textId="77777777" w:rsidR="00FA7EEB" w:rsidRPr="001570EA" w:rsidRDefault="00FA7EEB">
            <w:pPr>
              <w:pStyle w:val="TableCell"/>
              <w:keepNext w:val="0"/>
              <w:spacing w:before="60" w:after="60"/>
              <w:jc w:val="center"/>
              <w:rPr>
                <w:lang w:eastAsia="ja-JP"/>
              </w:rPr>
            </w:pPr>
            <w:r w:rsidRPr="001570EA">
              <w:rPr>
                <w:lang w:eastAsia="ja-JP"/>
              </w:rPr>
              <w:t>Inline supply/exhaust: 3.8 CFM/W</w:t>
            </w:r>
          </w:p>
          <w:p w14:paraId="12718511" w14:textId="77777777" w:rsidR="00FA7EEB" w:rsidRPr="001570EA" w:rsidRDefault="00FA7EEB">
            <w:pPr>
              <w:pStyle w:val="TableCell"/>
              <w:keepNext w:val="0"/>
              <w:spacing w:before="60" w:after="60"/>
              <w:jc w:val="center"/>
              <w:rPr>
                <w:lang w:eastAsia="ja-JP"/>
              </w:rPr>
            </w:pPr>
            <w:r w:rsidRPr="001570EA">
              <w:rPr>
                <w:lang w:eastAsia="ja-JP"/>
              </w:rPr>
              <w:t>Other exhaust &lt; 90 CFM = 2.8 CFM/W</w:t>
            </w:r>
          </w:p>
          <w:p w14:paraId="280A8EA1" w14:textId="77777777" w:rsidR="00FA7EEB" w:rsidRPr="001570EA" w:rsidRDefault="00FA7EEB">
            <w:pPr>
              <w:pStyle w:val="TableCell"/>
              <w:keepNext w:val="0"/>
              <w:spacing w:before="60" w:after="60"/>
              <w:jc w:val="center"/>
              <w:rPr>
                <w:lang w:eastAsia="ja-JP"/>
              </w:rPr>
            </w:pPr>
            <w:r w:rsidRPr="001570EA">
              <w:rPr>
                <w:lang w:eastAsia="ja-JP"/>
              </w:rPr>
              <w:t xml:space="preserve">Other exhaust </w:t>
            </w:r>
            <w:r w:rsidRPr="001570EA">
              <w:rPr>
                <w:rFonts w:cs="Arial"/>
                <w:lang w:eastAsia="ja-JP"/>
              </w:rPr>
              <w:t>≥</w:t>
            </w:r>
            <w:r w:rsidRPr="001570EA">
              <w:rPr>
                <w:lang w:eastAsia="ja-JP"/>
              </w:rPr>
              <w:t>90 CFM = 3.5 CFM/W</w:t>
            </w:r>
          </w:p>
          <w:p w14:paraId="380E8BD5" w14:textId="77777777" w:rsidR="00FA7EEB" w:rsidRPr="001570EA" w:rsidRDefault="00FA7EEB">
            <w:pPr>
              <w:pStyle w:val="TableCell"/>
              <w:keepNext w:val="0"/>
              <w:spacing w:before="60" w:after="60"/>
              <w:jc w:val="center"/>
            </w:pPr>
            <w:r w:rsidRPr="001570EA">
              <w:rPr>
                <w:lang w:eastAsia="ja-JP"/>
              </w:rPr>
              <w:t>Air-handler that is integrated to tested and listed HVAC equipment = 1.2 CFM/W</w:t>
            </w:r>
          </w:p>
        </w:tc>
        <w:tc>
          <w:tcPr>
            <w:tcW w:w="630" w:type="pct"/>
          </w:tcPr>
          <w:p w14:paraId="21173FF3" w14:textId="77777777" w:rsidR="00FA7EEB" w:rsidRPr="001570EA" w:rsidRDefault="00FA7EEB">
            <w:pPr>
              <w:pStyle w:val="TableCell"/>
              <w:keepNext w:val="0"/>
              <w:spacing w:before="60" w:after="60"/>
              <w:jc w:val="center"/>
            </w:pPr>
            <w:r w:rsidRPr="001570EA">
              <w:t>8</w:t>
            </w:r>
          </w:p>
        </w:tc>
      </w:tr>
      <w:tr w:rsidR="00FA7EEB" w:rsidRPr="001570EA" w14:paraId="0D4D370E" w14:textId="77777777">
        <w:trPr>
          <w:cantSplit/>
          <w:trHeight w:val="317"/>
        </w:trPr>
        <w:tc>
          <w:tcPr>
            <w:tcW w:w="1388" w:type="pct"/>
            <w:tcMar>
              <w:left w:w="115" w:type="dxa"/>
              <w:right w:w="115" w:type="dxa"/>
            </w:tcMar>
          </w:tcPr>
          <w:p w14:paraId="6E90E112" w14:textId="77777777" w:rsidR="00FA7EEB" w:rsidRPr="001570EA" w:rsidRDefault="00FA7EEB">
            <w:pPr>
              <w:pStyle w:val="TableCell"/>
              <w:keepNext w:val="0"/>
              <w:spacing w:before="60" w:after="60"/>
              <w:jc w:val="left"/>
            </w:pPr>
            <w:r w:rsidRPr="001570EA">
              <w:t>Duct Leakage</w:t>
            </w:r>
          </w:p>
        </w:tc>
        <w:tc>
          <w:tcPr>
            <w:tcW w:w="2982" w:type="pct"/>
            <w:tcMar>
              <w:left w:w="115" w:type="dxa"/>
              <w:right w:w="115" w:type="dxa"/>
            </w:tcMar>
          </w:tcPr>
          <w:p w14:paraId="47177523" w14:textId="77777777" w:rsidR="00FA7EEB" w:rsidRPr="001570EA" w:rsidRDefault="00FA7EEB">
            <w:pPr>
              <w:pStyle w:val="TableCell"/>
              <w:keepNext w:val="0"/>
              <w:spacing w:before="60" w:after="60"/>
              <w:jc w:val="center"/>
            </w:pPr>
            <w:r w:rsidRPr="001570EA">
              <w:t>4 CFM25 / 100 ft</w:t>
            </w:r>
            <w:r w:rsidRPr="001570EA">
              <w:rPr>
                <w:vertAlign w:val="superscript"/>
              </w:rPr>
              <w:t>2</w:t>
            </w:r>
            <w:r w:rsidRPr="001570EA">
              <w:t xml:space="preserve"> conditioned floor area</w:t>
            </w:r>
          </w:p>
        </w:tc>
        <w:tc>
          <w:tcPr>
            <w:tcW w:w="630" w:type="pct"/>
          </w:tcPr>
          <w:p w14:paraId="69F59475" w14:textId="77777777" w:rsidR="00FA7EEB" w:rsidRPr="001570EA" w:rsidRDefault="00FA7EEB">
            <w:pPr>
              <w:pStyle w:val="TableCell"/>
              <w:keepNext w:val="0"/>
              <w:spacing w:before="60" w:after="60"/>
              <w:jc w:val="center"/>
            </w:pPr>
            <w:r w:rsidRPr="001570EA">
              <w:t>8</w:t>
            </w:r>
          </w:p>
        </w:tc>
      </w:tr>
      <w:tr w:rsidR="00FA7EEB" w:rsidRPr="001570EA" w14:paraId="03D99FD5" w14:textId="77777777">
        <w:trPr>
          <w:cantSplit/>
          <w:trHeight w:val="317"/>
        </w:trPr>
        <w:tc>
          <w:tcPr>
            <w:tcW w:w="1388" w:type="pct"/>
            <w:tcMar>
              <w:left w:w="115" w:type="dxa"/>
              <w:right w:w="115" w:type="dxa"/>
            </w:tcMar>
          </w:tcPr>
          <w:p w14:paraId="6645D2CD" w14:textId="77777777" w:rsidR="00FA7EEB" w:rsidRPr="001570EA" w:rsidRDefault="00FA7EEB">
            <w:pPr>
              <w:pStyle w:val="TableCell"/>
              <w:keepNext w:val="0"/>
              <w:spacing w:before="60" w:after="60"/>
              <w:jc w:val="left"/>
            </w:pPr>
            <w:r w:rsidRPr="001570EA">
              <w:t>Lighting</w:t>
            </w:r>
          </w:p>
        </w:tc>
        <w:tc>
          <w:tcPr>
            <w:tcW w:w="2982" w:type="pct"/>
            <w:tcMar>
              <w:left w:w="115" w:type="dxa"/>
              <w:right w:w="115" w:type="dxa"/>
            </w:tcMar>
          </w:tcPr>
          <w:p w14:paraId="1FB4DD96" w14:textId="0FD19BC0" w:rsidR="00FA7EEB" w:rsidRPr="001570EA" w:rsidRDefault="00FA7EEB">
            <w:pPr>
              <w:pStyle w:val="TableCell"/>
              <w:keepNext w:val="0"/>
              <w:spacing w:before="60" w:after="60"/>
              <w:jc w:val="center"/>
            </w:pPr>
            <w:r w:rsidRPr="001570EA">
              <w:t xml:space="preserve">Use baseline wattage as defined in the </w:t>
            </w:r>
            <w:r w:rsidRPr="001570EA">
              <w:fldChar w:fldCharType="begin"/>
            </w:r>
            <w:r w:rsidRPr="001570EA">
              <w:instrText xml:space="preserve"> REF _Ref303086637 \h  \* MERGEFORMAT </w:instrText>
            </w:r>
            <w:r w:rsidRPr="001570EA">
              <w:fldChar w:fldCharType="separate"/>
            </w:r>
            <w:r w:rsidR="00234C6C" w:rsidRPr="001570EA">
              <w:t>Residential LED Lighting</w:t>
            </w:r>
            <w:r w:rsidRPr="001570EA">
              <w:fldChar w:fldCharType="end"/>
            </w:r>
            <w:r w:rsidRPr="001570EA">
              <w:t xml:space="preserve"> section of the TRM (</w:t>
            </w:r>
            <w:r w:rsidR="00D24DA5" w:rsidRPr="001570EA">
              <w:fldChar w:fldCharType="begin"/>
            </w:r>
            <w:r w:rsidR="00D24DA5" w:rsidRPr="001570EA">
              <w:instrText xml:space="preserve"> REF _Ref303086637 \r \h  \* MERGEFORMAT </w:instrText>
            </w:r>
            <w:r w:rsidR="00D24DA5" w:rsidRPr="001570EA">
              <w:fldChar w:fldCharType="separate"/>
            </w:r>
            <w:r w:rsidR="00234C6C" w:rsidRPr="001570EA">
              <w:t>2.1.1</w:t>
            </w:r>
            <w:r w:rsidR="00D24DA5" w:rsidRPr="001570EA">
              <w:fldChar w:fldCharType="end"/>
            </w:r>
            <w:r w:rsidRPr="001570EA">
              <w:t>)</w:t>
            </w:r>
            <w:r w:rsidR="00AF2589" w:rsidRPr="001570EA">
              <w:t xml:space="preserve">, </w:t>
            </w:r>
            <w:r w:rsidR="00AF2589" w:rsidRPr="001570EA">
              <w:fldChar w:fldCharType="begin"/>
            </w:r>
            <w:r w:rsidR="00AF2589" w:rsidRPr="001570EA">
              <w:instrText xml:space="preserve"> REF _Ref364166254 \h </w:instrText>
            </w:r>
            <w:r w:rsidR="00D24DA5" w:rsidRPr="001570EA">
              <w:instrText xml:space="preserve"> \* MERGEFORMAT </w:instrText>
            </w:r>
            <w:r w:rsidR="00AF2589" w:rsidRPr="001570EA">
              <w:fldChar w:fldCharType="separate"/>
            </w:r>
            <w:r w:rsidR="00234C6C" w:rsidRPr="001570EA">
              <w:t xml:space="preserve">Table </w:t>
            </w:r>
            <w:r w:rsidR="00234C6C" w:rsidRPr="001570EA">
              <w:rPr>
                <w:noProof/>
              </w:rPr>
              <w:t>2</w:t>
            </w:r>
            <w:r w:rsidR="00234C6C" w:rsidRPr="001570EA">
              <w:rPr>
                <w:noProof/>
              </w:rPr>
              <w:noBreakHyphen/>
              <w:t>2</w:t>
            </w:r>
            <w:r w:rsidR="00AF2589" w:rsidRPr="001570EA">
              <w:fldChar w:fldCharType="end"/>
            </w:r>
            <w:r w:rsidRPr="001570EA">
              <w:t>.</w:t>
            </w:r>
          </w:p>
        </w:tc>
        <w:tc>
          <w:tcPr>
            <w:tcW w:w="630" w:type="pct"/>
          </w:tcPr>
          <w:p w14:paraId="78A59888" w14:textId="77777777" w:rsidR="00FA7EEB" w:rsidRPr="001570EA" w:rsidRDefault="00FA7EEB">
            <w:pPr>
              <w:pStyle w:val="TableCell"/>
              <w:keepNext w:val="0"/>
              <w:spacing w:before="60" w:after="60"/>
              <w:jc w:val="center"/>
            </w:pPr>
          </w:p>
        </w:tc>
      </w:tr>
      <w:tr w:rsidR="00FA7EEB" w:rsidRPr="001570EA" w14:paraId="2006EF17" w14:textId="77777777">
        <w:trPr>
          <w:cantSplit/>
          <w:trHeight w:val="317"/>
        </w:trPr>
        <w:tc>
          <w:tcPr>
            <w:tcW w:w="1388" w:type="pct"/>
            <w:tcMar>
              <w:left w:w="115" w:type="dxa"/>
              <w:right w:w="115" w:type="dxa"/>
            </w:tcMar>
          </w:tcPr>
          <w:p w14:paraId="4ED55CC2" w14:textId="77777777" w:rsidR="00FA7EEB" w:rsidRPr="001570EA" w:rsidRDefault="00FA7EEB">
            <w:pPr>
              <w:pStyle w:val="TableCell"/>
              <w:keepNext w:val="0"/>
              <w:spacing w:before="60" w:after="60"/>
              <w:jc w:val="left"/>
            </w:pPr>
            <w:r w:rsidRPr="001570EA">
              <w:t>Appliances</w:t>
            </w:r>
          </w:p>
        </w:tc>
        <w:tc>
          <w:tcPr>
            <w:tcW w:w="2982" w:type="pct"/>
            <w:tcMar>
              <w:left w:w="115" w:type="dxa"/>
              <w:right w:w="115" w:type="dxa"/>
            </w:tcMar>
          </w:tcPr>
          <w:p w14:paraId="6A546906" w14:textId="77777777" w:rsidR="00FA7EEB" w:rsidRPr="001570EA" w:rsidRDefault="00FA7EEB">
            <w:pPr>
              <w:pStyle w:val="TableCell"/>
              <w:keepNext w:val="0"/>
              <w:spacing w:before="60" w:after="60"/>
              <w:jc w:val="center"/>
            </w:pPr>
            <w:r w:rsidRPr="001570EA">
              <w:t>Use baseline values as defined in applicable TRM measure for each appliance.</w:t>
            </w:r>
          </w:p>
        </w:tc>
        <w:tc>
          <w:tcPr>
            <w:tcW w:w="630" w:type="pct"/>
          </w:tcPr>
          <w:p w14:paraId="434DF042" w14:textId="77777777" w:rsidR="00FA7EEB" w:rsidRPr="001570EA" w:rsidRDefault="00FA7EEB">
            <w:pPr>
              <w:pStyle w:val="TableCell"/>
              <w:keepNext w:val="0"/>
              <w:spacing w:before="60" w:after="60"/>
              <w:jc w:val="center"/>
            </w:pPr>
          </w:p>
        </w:tc>
      </w:tr>
      <w:tr w:rsidR="00FA7EEB" w:rsidRPr="001570EA" w14:paraId="3AF9DAAD" w14:textId="77777777">
        <w:trPr>
          <w:cantSplit/>
          <w:trHeight w:val="317"/>
        </w:trPr>
        <w:tc>
          <w:tcPr>
            <w:tcW w:w="1388" w:type="pct"/>
            <w:tcMar>
              <w:left w:w="115" w:type="dxa"/>
              <w:right w:w="115" w:type="dxa"/>
            </w:tcMar>
          </w:tcPr>
          <w:p w14:paraId="450F1A66" w14:textId="77777777" w:rsidR="00FA7EEB" w:rsidRPr="001570EA" w:rsidRDefault="00FA7EEB">
            <w:pPr>
              <w:pStyle w:val="TableCell"/>
              <w:keepNext w:val="0"/>
              <w:spacing w:before="60" w:after="60"/>
              <w:jc w:val="left"/>
            </w:pPr>
            <w:r w:rsidRPr="001570EA">
              <w:t>Thermostat Type</w:t>
            </w:r>
          </w:p>
        </w:tc>
        <w:tc>
          <w:tcPr>
            <w:tcW w:w="2982" w:type="pct"/>
            <w:tcMar>
              <w:left w:w="115" w:type="dxa"/>
              <w:right w:w="115" w:type="dxa"/>
            </w:tcMar>
          </w:tcPr>
          <w:p w14:paraId="6F749B1C" w14:textId="77777777" w:rsidR="00FA7EEB" w:rsidRPr="001570EA" w:rsidRDefault="00FA7EEB">
            <w:pPr>
              <w:pStyle w:val="TableCell"/>
              <w:keepNext w:val="0"/>
              <w:spacing w:before="60" w:after="60"/>
              <w:jc w:val="center"/>
            </w:pPr>
            <w:r w:rsidRPr="001570EA">
              <w:t xml:space="preserve">Programmable, with ability to maintain zone temperature down to 55 </w:t>
            </w:r>
            <w:r w:rsidRPr="001570EA">
              <w:rPr>
                <w:vertAlign w:val="superscript"/>
              </w:rPr>
              <w:t>o</w:t>
            </w:r>
            <w:r w:rsidRPr="001570EA">
              <w:t xml:space="preserve">F (13 </w:t>
            </w:r>
            <w:r w:rsidRPr="001570EA">
              <w:rPr>
                <w:vertAlign w:val="superscript"/>
              </w:rPr>
              <w:t>o</w:t>
            </w:r>
            <w:r w:rsidRPr="001570EA">
              <w:t>C) or up to 85</w:t>
            </w:r>
            <w:r w:rsidRPr="001570EA">
              <w:rPr>
                <w:vertAlign w:val="superscript"/>
              </w:rPr>
              <w:t xml:space="preserve"> o</w:t>
            </w:r>
            <w:r w:rsidRPr="001570EA">
              <w:t xml:space="preserve">F (29 </w:t>
            </w:r>
            <w:r w:rsidRPr="001570EA">
              <w:rPr>
                <w:vertAlign w:val="superscript"/>
              </w:rPr>
              <w:t>o</w:t>
            </w:r>
            <w:r w:rsidRPr="001570EA">
              <w:t>C)</w:t>
            </w:r>
          </w:p>
        </w:tc>
        <w:tc>
          <w:tcPr>
            <w:tcW w:w="630" w:type="pct"/>
          </w:tcPr>
          <w:p w14:paraId="676F7C21" w14:textId="77777777" w:rsidR="00FA7EEB" w:rsidRPr="001570EA" w:rsidRDefault="00FA7EEB">
            <w:pPr>
              <w:pStyle w:val="TableCell"/>
              <w:keepNext w:val="0"/>
              <w:spacing w:before="60" w:after="60"/>
              <w:jc w:val="center"/>
            </w:pPr>
            <w:r w:rsidRPr="001570EA">
              <w:t>9</w:t>
            </w:r>
          </w:p>
        </w:tc>
      </w:tr>
      <w:tr w:rsidR="00FA7EEB" w:rsidRPr="001570EA" w14:paraId="366E62CA" w14:textId="77777777">
        <w:trPr>
          <w:cantSplit/>
          <w:trHeight w:val="317"/>
        </w:trPr>
        <w:tc>
          <w:tcPr>
            <w:tcW w:w="1388" w:type="pct"/>
            <w:tcBorders>
              <w:bottom w:val="single" w:sz="4" w:space="0" w:color="auto"/>
            </w:tcBorders>
            <w:tcMar>
              <w:left w:w="115" w:type="dxa"/>
              <w:right w:w="115" w:type="dxa"/>
            </w:tcMar>
          </w:tcPr>
          <w:p w14:paraId="1E46ECC7" w14:textId="77777777" w:rsidR="00FA7EEB" w:rsidRPr="001570EA" w:rsidRDefault="00FA7EEB">
            <w:pPr>
              <w:pStyle w:val="TableCell"/>
              <w:keepNext w:val="0"/>
              <w:spacing w:before="60" w:after="60"/>
              <w:jc w:val="left"/>
            </w:pPr>
            <w:r w:rsidRPr="001570EA">
              <w:t>Temperature Set Points</w:t>
            </w:r>
          </w:p>
        </w:tc>
        <w:tc>
          <w:tcPr>
            <w:tcW w:w="2982" w:type="pct"/>
            <w:tcBorders>
              <w:bottom w:val="single" w:sz="4" w:space="0" w:color="auto"/>
            </w:tcBorders>
            <w:tcMar>
              <w:left w:w="115" w:type="dxa"/>
              <w:right w:w="115" w:type="dxa"/>
            </w:tcMar>
          </w:tcPr>
          <w:p w14:paraId="21F63E2D" w14:textId="77777777" w:rsidR="00FA7EEB" w:rsidRPr="001570EA" w:rsidRDefault="00FA7EEB">
            <w:pPr>
              <w:pStyle w:val="TableCell"/>
              <w:keepNext w:val="0"/>
              <w:spacing w:before="60" w:after="60"/>
              <w:jc w:val="center"/>
            </w:pPr>
            <w:r w:rsidRPr="001570EA">
              <w:t>Heating: 70°F</w:t>
            </w:r>
          </w:p>
          <w:p w14:paraId="7EBBFA71" w14:textId="77777777" w:rsidR="00FA7EEB" w:rsidRPr="001570EA" w:rsidRDefault="00FA7EEB">
            <w:pPr>
              <w:pStyle w:val="TableCell"/>
              <w:keepNext w:val="0"/>
              <w:spacing w:before="60" w:after="60"/>
              <w:jc w:val="center"/>
            </w:pPr>
            <w:r w:rsidRPr="001570EA">
              <w:t>Cooling: 78°F</w:t>
            </w:r>
          </w:p>
        </w:tc>
        <w:tc>
          <w:tcPr>
            <w:tcW w:w="630" w:type="pct"/>
            <w:tcBorders>
              <w:bottom w:val="single" w:sz="4" w:space="0" w:color="auto"/>
            </w:tcBorders>
          </w:tcPr>
          <w:p w14:paraId="0C83C6CD" w14:textId="77777777" w:rsidR="00FA7EEB" w:rsidRPr="001570EA" w:rsidRDefault="00FA7EEB">
            <w:pPr>
              <w:pStyle w:val="TableCell"/>
              <w:keepNext w:val="0"/>
              <w:spacing w:before="60" w:after="60"/>
              <w:jc w:val="center"/>
            </w:pPr>
            <w:r w:rsidRPr="001570EA">
              <w:t>9</w:t>
            </w:r>
          </w:p>
        </w:tc>
      </w:tr>
      <w:tr w:rsidR="00FA7EEB" w:rsidRPr="001570EA" w14:paraId="049FC8A1" w14:textId="77777777">
        <w:trPr>
          <w:cantSplit/>
          <w:trHeight w:val="317"/>
        </w:trPr>
        <w:tc>
          <w:tcPr>
            <w:tcW w:w="1388" w:type="pct"/>
            <w:tcBorders>
              <w:top w:val="single" w:sz="4" w:space="0" w:color="auto"/>
              <w:left w:val="single" w:sz="4" w:space="0" w:color="auto"/>
              <w:bottom w:val="single" w:sz="4" w:space="0" w:color="auto"/>
              <w:right w:val="nil"/>
            </w:tcBorders>
            <w:shd w:val="clear" w:color="auto" w:fill="D9D9D9" w:themeFill="background1" w:themeFillShade="D9"/>
            <w:tcMar>
              <w:left w:w="115" w:type="dxa"/>
              <w:right w:w="115" w:type="dxa"/>
            </w:tcMar>
            <w:vAlign w:val="center"/>
          </w:tcPr>
          <w:p w14:paraId="43D0C1B0" w14:textId="77777777" w:rsidR="00FA7EEB" w:rsidRPr="001570EA" w:rsidRDefault="00FA7EEB">
            <w:pPr>
              <w:pStyle w:val="TableCell"/>
              <w:keepNext w:val="0"/>
              <w:spacing w:before="60" w:after="60"/>
              <w:jc w:val="left"/>
              <w:rPr>
                <w:rFonts w:ascii="Arial Unicode MS" w:eastAsia="Arial Unicode MS" w:hAnsi="Arial Unicode MS" w:cs="Arial Unicode MS"/>
                <w:b/>
              </w:rPr>
            </w:pPr>
            <w:r w:rsidRPr="001570EA">
              <w:rPr>
                <w:b/>
              </w:rPr>
              <w:t>Heating Efficiency</w:t>
            </w:r>
          </w:p>
        </w:tc>
        <w:tc>
          <w:tcPr>
            <w:tcW w:w="2982" w:type="pct"/>
            <w:tcBorders>
              <w:top w:val="single" w:sz="4" w:space="0" w:color="auto"/>
              <w:left w:val="nil"/>
              <w:bottom w:val="single" w:sz="4" w:space="0" w:color="auto"/>
              <w:right w:val="nil"/>
            </w:tcBorders>
            <w:shd w:val="clear" w:color="auto" w:fill="D9D9D9" w:themeFill="background1" w:themeFillShade="D9"/>
            <w:tcMar>
              <w:left w:w="115" w:type="dxa"/>
              <w:right w:w="115" w:type="dxa"/>
            </w:tcMar>
            <w:vAlign w:val="center"/>
          </w:tcPr>
          <w:p w14:paraId="3AA362C4" w14:textId="77777777" w:rsidR="00FA7EEB" w:rsidRPr="001570EA" w:rsidRDefault="00FA7EEB">
            <w:pPr>
              <w:pStyle w:val="TableCell"/>
              <w:keepNext w:val="0"/>
              <w:spacing w:before="60" w:after="60"/>
              <w:jc w:val="center"/>
              <w:rPr>
                <w:rFonts w:eastAsia="Arial Unicode MS"/>
                <w:b/>
              </w:rPr>
            </w:pPr>
          </w:p>
        </w:tc>
        <w:tc>
          <w:tcPr>
            <w:tcW w:w="630" w:type="pct"/>
            <w:tcBorders>
              <w:top w:val="single" w:sz="4" w:space="0" w:color="auto"/>
              <w:left w:val="nil"/>
              <w:bottom w:val="single" w:sz="4" w:space="0" w:color="auto"/>
              <w:right w:val="single" w:sz="4" w:space="0" w:color="auto"/>
            </w:tcBorders>
            <w:shd w:val="clear" w:color="auto" w:fill="D9D9D9" w:themeFill="background1" w:themeFillShade="D9"/>
          </w:tcPr>
          <w:p w14:paraId="2910CD46" w14:textId="77777777" w:rsidR="00FA7EEB" w:rsidRPr="001570EA" w:rsidRDefault="00FA7EEB">
            <w:pPr>
              <w:pStyle w:val="TableCell"/>
              <w:keepNext w:val="0"/>
              <w:spacing w:before="60" w:after="60"/>
              <w:jc w:val="center"/>
              <w:rPr>
                <w:b/>
              </w:rPr>
            </w:pPr>
          </w:p>
        </w:tc>
      </w:tr>
      <w:tr w:rsidR="00FA7EEB" w:rsidRPr="001570EA" w14:paraId="32A355DC" w14:textId="77777777">
        <w:trPr>
          <w:cantSplit/>
          <w:trHeight w:val="259"/>
        </w:trPr>
        <w:tc>
          <w:tcPr>
            <w:tcW w:w="1388" w:type="pct"/>
            <w:tcBorders>
              <w:top w:val="single" w:sz="4" w:space="0" w:color="auto"/>
            </w:tcBorders>
            <w:tcMar>
              <w:left w:w="115" w:type="dxa"/>
              <w:right w:w="115" w:type="dxa"/>
            </w:tcMar>
            <w:vAlign w:val="center"/>
          </w:tcPr>
          <w:p w14:paraId="00E085EF"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Furnace</w:t>
            </w:r>
          </w:p>
        </w:tc>
        <w:tc>
          <w:tcPr>
            <w:tcW w:w="2982" w:type="pct"/>
            <w:tcBorders>
              <w:top w:val="single" w:sz="4" w:space="0" w:color="auto"/>
            </w:tcBorders>
            <w:tcMar>
              <w:left w:w="115" w:type="dxa"/>
              <w:right w:w="115" w:type="dxa"/>
            </w:tcMar>
            <w:vAlign w:val="center"/>
          </w:tcPr>
          <w:p w14:paraId="407ED334" w14:textId="77777777" w:rsidR="00FA7EEB" w:rsidRPr="001570EA" w:rsidRDefault="00FA7EEB">
            <w:pPr>
              <w:pStyle w:val="TableCell"/>
              <w:keepNext w:val="0"/>
              <w:spacing w:before="60" w:after="60"/>
              <w:jc w:val="center"/>
              <w:rPr>
                <w:rFonts w:ascii="Arial Unicode MS" w:eastAsia="Arial Unicode MS" w:hAnsi="Arial Unicode MS" w:cs="Arial Unicode MS"/>
              </w:rPr>
            </w:pPr>
            <w:r w:rsidRPr="001570EA">
              <w:t>80% AFUE</w:t>
            </w:r>
          </w:p>
        </w:tc>
        <w:tc>
          <w:tcPr>
            <w:tcW w:w="630" w:type="pct"/>
            <w:tcBorders>
              <w:top w:val="single" w:sz="4" w:space="0" w:color="auto"/>
            </w:tcBorders>
          </w:tcPr>
          <w:p w14:paraId="5C794044" w14:textId="77777777" w:rsidR="00FA7EEB" w:rsidRPr="001570EA" w:rsidRDefault="00FA7EEB">
            <w:pPr>
              <w:pStyle w:val="TableCell"/>
              <w:keepNext w:val="0"/>
              <w:spacing w:before="60" w:after="60"/>
              <w:jc w:val="center"/>
            </w:pPr>
            <w:r w:rsidRPr="001570EA">
              <w:t>10</w:t>
            </w:r>
          </w:p>
        </w:tc>
      </w:tr>
      <w:tr w:rsidR="00FA7EEB" w:rsidRPr="001570EA" w14:paraId="32611FE6" w14:textId="77777777">
        <w:trPr>
          <w:cantSplit/>
          <w:trHeight w:val="259"/>
        </w:trPr>
        <w:tc>
          <w:tcPr>
            <w:tcW w:w="1388" w:type="pct"/>
            <w:tcMar>
              <w:left w:w="115" w:type="dxa"/>
              <w:right w:w="115" w:type="dxa"/>
            </w:tcMar>
            <w:vAlign w:val="center"/>
          </w:tcPr>
          <w:p w14:paraId="3F2194A4" w14:textId="77777777" w:rsidR="00FA7EEB" w:rsidRPr="001570EA" w:rsidRDefault="00FA7EEB">
            <w:pPr>
              <w:pStyle w:val="TableCell"/>
              <w:keepNext w:val="0"/>
              <w:tabs>
                <w:tab w:val="left" w:pos="238"/>
              </w:tabs>
              <w:spacing w:before="60" w:after="60"/>
              <w:jc w:val="left"/>
            </w:pPr>
            <w:r w:rsidRPr="001570EA">
              <w:t>Gas Fired Steam Boiler</w:t>
            </w:r>
          </w:p>
        </w:tc>
        <w:tc>
          <w:tcPr>
            <w:tcW w:w="2982" w:type="pct"/>
            <w:tcMar>
              <w:left w:w="115" w:type="dxa"/>
              <w:right w:w="115" w:type="dxa"/>
            </w:tcMar>
            <w:vAlign w:val="center"/>
          </w:tcPr>
          <w:p w14:paraId="06502881" w14:textId="77777777" w:rsidR="00FA7EEB" w:rsidRPr="001570EA" w:rsidRDefault="00FA7EEB">
            <w:pPr>
              <w:pStyle w:val="TableCell"/>
              <w:keepNext w:val="0"/>
              <w:spacing w:before="60" w:after="60"/>
              <w:jc w:val="center"/>
              <w:rPr>
                <w:bCs/>
              </w:rPr>
            </w:pPr>
            <w:r w:rsidRPr="001570EA">
              <w:t>82% AFUE</w:t>
            </w:r>
          </w:p>
        </w:tc>
        <w:tc>
          <w:tcPr>
            <w:tcW w:w="630" w:type="pct"/>
          </w:tcPr>
          <w:p w14:paraId="4C2E96EF" w14:textId="77777777" w:rsidR="00FA7EEB" w:rsidRPr="001570EA" w:rsidRDefault="00FA7EEB">
            <w:pPr>
              <w:pStyle w:val="TableCell"/>
              <w:keepNext w:val="0"/>
              <w:spacing w:before="60" w:after="60"/>
              <w:jc w:val="center"/>
              <w:rPr>
                <w:bCs/>
              </w:rPr>
            </w:pPr>
            <w:r w:rsidRPr="001570EA">
              <w:rPr>
                <w:bCs/>
              </w:rPr>
              <w:t>10</w:t>
            </w:r>
          </w:p>
        </w:tc>
      </w:tr>
      <w:tr w:rsidR="00FA7EEB" w:rsidRPr="001570EA" w14:paraId="2BC07951" w14:textId="77777777">
        <w:trPr>
          <w:cantSplit/>
          <w:trHeight w:val="259"/>
        </w:trPr>
        <w:tc>
          <w:tcPr>
            <w:tcW w:w="1388" w:type="pct"/>
            <w:tcMar>
              <w:left w:w="115" w:type="dxa"/>
              <w:right w:w="115" w:type="dxa"/>
            </w:tcMar>
            <w:vAlign w:val="center"/>
          </w:tcPr>
          <w:p w14:paraId="5311828F" w14:textId="77777777" w:rsidR="00FA7EEB" w:rsidRPr="001570EA" w:rsidRDefault="00FA7EEB">
            <w:pPr>
              <w:pStyle w:val="TableCell"/>
              <w:keepNext w:val="0"/>
              <w:spacing w:before="60" w:after="60"/>
              <w:ind w:left="30"/>
              <w:jc w:val="left"/>
            </w:pPr>
            <w:r w:rsidRPr="001570EA">
              <w:t>Gas Fired Hot Water Boiler</w:t>
            </w:r>
          </w:p>
        </w:tc>
        <w:tc>
          <w:tcPr>
            <w:tcW w:w="2982" w:type="pct"/>
            <w:tcMar>
              <w:left w:w="115" w:type="dxa"/>
              <w:right w:w="115" w:type="dxa"/>
            </w:tcMar>
            <w:vAlign w:val="center"/>
          </w:tcPr>
          <w:p w14:paraId="61CA9724" w14:textId="77777777" w:rsidR="00FA7EEB" w:rsidRPr="001570EA" w:rsidRDefault="00FA7EEB">
            <w:pPr>
              <w:pStyle w:val="TableCell"/>
              <w:keepNext w:val="0"/>
              <w:spacing w:before="60" w:after="60"/>
              <w:jc w:val="center"/>
              <w:rPr>
                <w:bCs/>
              </w:rPr>
            </w:pPr>
            <w:r w:rsidRPr="001570EA">
              <w:t>84% AFUE</w:t>
            </w:r>
          </w:p>
        </w:tc>
        <w:tc>
          <w:tcPr>
            <w:tcW w:w="630" w:type="pct"/>
          </w:tcPr>
          <w:p w14:paraId="34152F33" w14:textId="77777777" w:rsidR="00FA7EEB" w:rsidRPr="001570EA" w:rsidRDefault="00FA7EEB">
            <w:pPr>
              <w:pStyle w:val="TableCell"/>
              <w:keepNext w:val="0"/>
              <w:spacing w:before="60" w:after="60"/>
              <w:jc w:val="center"/>
              <w:rPr>
                <w:bCs/>
              </w:rPr>
            </w:pPr>
            <w:r w:rsidRPr="001570EA">
              <w:rPr>
                <w:bCs/>
              </w:rPr>
              <w:t>10</w:t>
            </w:r>
          </w:p>
        </w:tc>
      </w:tr>
      <w:tr w:rsidR="00FA7EEB" w:rsidRPr="001570EA" w14:paraId="2E19C0FE" w14:textId="77777777">
        <w:trPr>
          <w:cantSplit/>
          <w:trHeight w:val="259"/>
        </w:trPr>
        <w:tc>
          <w:tcPr>
            <w:tcW w:w="1388" w:type="pct"/>
            <w:tcMar>
              <w:left w:w="115" w:type="dxa"/>
              <w:right w:w="115" w:type="dxa"/>
            </w:tcMar>
            <w:vAlign w:val="center"/>
          </w:tcPr>
          <w:p w14:paraId="11FADE56" w14:textId="77777777" w:rsidR="00FA7EEB" w:rsidRPr="001570EA" w:rsidRDefault="00FA7EEB">
            <w:pPr>
              <w:pStyle w:val="TableCell"/>
              <w:keepNext w:val="0"/>
              <w:spacing w:before="60" w:after="60"/>
              <w:jc w:val="left"/>
            </w:pPr>
            <w:r w:rsidRPr="001570EA">
              <w:t>Oil Fired Steam Boiler</w:t>
            </w:r>
          </w:p>
        </w:tc>
        <w:tc>
          <w:tcPr>
            <w:tcW w:w="2982" w:type="pct"/>
            <w:tcMar>
              <w:left w:w="115" w:type="dxa"/>
              <w:right w:w="115" w:type="dxa"/>
            </w:tcMar>
            <w:vAlign w:val="center"/>
          </w:tcPr>
          <w:p w14:paraId="60304EC6" w14:textId="77777777" w:rsidR="00FA7EEB" w:rsidRPr="001570EA" w:rsidRDefault="00FA7EEB">
            <w:pPr>
              <w:pStyle w:val="TableCell"/>
              <w:keepNext w:val="0"/>
              <w:spacing w:before="60" w:after="60"/>
              <w:jc w:val="center"/>
            </w:pPr>
            <w:r w:rsidRPr="001570EA">
              <w:t>85% AFUE</w:t>
            </w:r>
          </w:p>
        </w:tc>
        <w:tc>
          <w:tcPr>
            <w:tcW w:w="630" w:type="pct"/>
          </w:tcPr>
          <w:p w14:paraId="384AF159" w14:textId="77777777" w:rsidR="00FA7EEB" w:rsidRPr="001570EA" w:rsidRDefault="00FA7EEB">
            <w:pPr>
              <w:pStyle w:val="TableCell"/>
              <w:keepNext w:val="0"/>
              <w:spacing w:before="60" w:after="60"/>
              <w:jc w:val="center"/>
            </w:pPr>
            <w:r w:rsidRPr="001570EA">
              <w:t>10</w:t>
            </w:r>
          </w:p>
        </w:tc>
      </w:tr>
      <w:tr w:rsidR="00FA7EEB" w:rsidRPr="001570EA" w14:paraId="4BFF5B70" w14:textId="77777777">
        <w:trPr>
          <w:cantSplit/>
          <w:trHeight w:val="259"/>
        </w:trPr>
        <w:tc>
          <w:tcPr>
            <w:tcW w:w="1388" w:type="pct"/>
            <w:tcMar>
              <w:left w:w="115" w:type="dxa"/>
              <w:right w:w="115" w:type="dxa"/>
            </w:tcMar>
            <w:vAlign w:val="center"/>
          </w:tcPr>
          <w:p w14:paraId="2D0DAC10" w14:textId="77777777" w:rsidR="00FA7EEB" w:rsidRPr="001570EA" w:rsidRDefault="00FA7EEB">
            <w:pPr>
              <w:pStyle w:val="TableCell"/>
              <w:keepNext w:val="0"/>
              <w:spacing w:before="60" w:after="60"/>
              <w:jc w:val="left"/>
            </w:pPr>
            <w:r w:rsidRPr="001570EA">
              <w:t>Oil Fired Hot Water Boiler</w:t>
            </w:r>
          </w:p>
        </w:tc>
        <w:tc>
          <w:tcPr>
            <w:tcW w:w="2982" w:type="pct"/>
            <w:tcMar>
              <w:left w:w="115" w:type="dxa"/>
              <w:right w:w="115" w:type="dxa"/>
            </w:tcMar>
            <w:vAlign w:val="center"/>
          </w:tcPr>
          <w:p w14:paraId="008EA8D9" w14:textId="77777777" w:rsidR="00FA7EEB" w:rsidRPr="001570EA" w:rsidRDefault="00FA7EEB">
            <w:pPr>
              <w:pStyle w:val="TableCell"/>
              <w:keepNext w:val="0"/>
              <w:spacing w:before="60" w:after="60"/>
              <w:jc w:val="center"/>
              <w:rPr>
                <w:bCs/>
              </w:rPr>
            </w:pPr>
            <w:r w:rsidRPr="001570EA">
              <w:t>86% AFUE</w:t>
            </w:r>
          </w:p>
        </w:tc>
        <w:tc>
          <w:tcPr>
            <w:tcW w:w="630" w:type="pct"/>
          </w:tcPr>
          <w:p w14:paraId="7BF047CC" w14:textId="77777777" w:rsidR="00FA7EEB" w:rsidRPr="001570EA" w:rsidRDefault="00FA7EEB">
            <w:pPr>
              <w:pStyle w:val="TableCell"/>
              <w:keepNext w:val="0"/>
              <w:spacing w:before="60" w:after="60"/>
              <w:jc w:val="center"/>
              <w:rPr>
                <w:bCs/>
              </w:rPr>
            </w:pPr>
            <w:r w:rsidRPr="001570EA">
              <w:rPr>
                <w:bCs/>
              </w:rPr>
              <w:t>10</w:t>
            </w:r>
          </w:p>
        </w:tc>
      </w:tr>
      <w:tr w:rsidR="00FA7EEB" w:rsidRPr="001570EA" w14:paraId="128DE417" w14:textId="77777777">
        <w:trPr>
          <w:cantSplit/>
          <w:trHeight w:val="259"/>
        </w:trPr>
        <w:tc>
          <w:tcPr>
            <w:tcW w:w="1388" w:type="pct"/>
            <w:tcMar>
              <w:left w:w="115" w:type="dxa"/>
              <w:right w:w="115" w:type="dxa"/>
            </w:tcMar>
            <w:vAlign w:val="center"/>
          </w:tcPr>
          <w:p w14:paraId="1E63C682"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Combo Water Heater</w:t>
            </w:r>
          </w:p>
        </w:tc>
        <w:tc>
          <w:tcPr>
            <w:tcW w:w="2982" w:type="pct"/>
            <w:tcMar>
              <w:left w:w="115" w:type="dxa"/>
              <w:right w:w="115" w:type="dxa"/>
            </w:tcMar>
            <w:vAlign w:val="center"/>
          </w:tcPr>
          <w:p w14:paraId="74C33580" w14:textId="77777777" w:rsidR="00FA7EEB" w:rsidRPr="001570EA" w:rsidRDefault="00FA7EEB">
            <w:pPr>
              <w:pStyle w:val="TableCell"/>
              <w:keepNext w:val="0"/>
              <w:spacing w:before="60" w:after="60"/>
              <w:jc w:val="center"/>
              <w:rPr>
                <w:rFonts w:ascii="Arial Unicode MS" w:eastAsia="Arial Unicode MS" w:hAnsi="Arial Unicode MS" w:cs="Arial Unicode MS"/>
              </w:rPr>
            </w:pPr>
            <w:r w:rsidRPr="001570EA">
              <w:t>76% AFUE (recovery efficiency)</w:t>
            </w:r>
          </w:p>
        </w:tc>
        <w:tc>
          <w:tcPr>
            <w:tcW w:w="630" w:type="pct"/>
          </w:tcPr>
          <w:p w14:paraId="7FE86C41" w14:textId="77777777" w:rsidR="00FA7EEB" w:rsidRPr="001570EA" w:rsidRDefault="00FA7EEB">
            <w:pPr>
              <w:pStyle w:val="TableCell"/>
              <w:keepNext w:val="0"/>
              <w:spacing w:before="60" w:after="60"/>
              <w:jc w:val="center"/>
              <w:rPr>
                <w:iCs/>
              </w:rPr>
            </w:pPr>
            <w:r w:rsidRPr="001570EA">
              <w:rPr>
                <w:iCs/>
              </w:rPr>
              <w:t>10</w:t>
            </w:r>
          </w:p>
        </w:tc>
      </w:tr>
      <w:tr w:rsidR="00FA7EEB" w:rsidRPr="001570EA" w14:paraId="2178B086" w14:textId="77777777">
        <w:trPr>
          <w:cantSplit/>
          <w:trHeight w:val="259"/>
        </w:trPr>
        <w:tc>
          <w:tcPr>
            <w:tcW w:w="1388" w:type="pct"/>
            <w:tcMar>
              <w:left w:w="115" w:type="dxa"/>
              <w:right w:w="115" w:type="dxa"/>
            </w:tcMar>
            <w:vAlign w:val="center"/>
          </w:tcPr>
          <w:p w14:paraId="6873FE2D" w14:textId="77777777" w:rsidR="00FA7EEB" w:rsidRPr="001570EA" w:rsidRDefault="00FA7EEB">
            <w:pPr>
              <w:pStyle w:val="TableCell"/>
              <w:keepNext w:val="0"/>
              <w:spacing w:before="60" w:after="60"/>
              <w:jc w:val="left"/>
            </w:pPr>
            <w:r w:rsidRPr="001570EA">
              <w:rPr>
                <w:lang w:eastAsia="ja-JP"/>
              </w:rPr>
              <w:t>Electric Resistance</w:t>
            </w:r>
          </w:p>
        </w:tc>
        <w:tc>
          <w:tcPr>
            <w:tcW w:w="2982" w:type="pct"/>
            <w:tcMar>
              <w:left w:w="115" w:type="dxa"/>
              <w:right w:w="115" w:type="dxa"/>
            </w:tcMar>
            <w:vAlign w:val="center"/>
          </w:tcPr>
          <w:p w14:paraId="44EAEA8D" w14:textId="77777777" w:rsidR="00FA7EEB" w:rsidRPr="001570EA" w:rsidRDefault="00FA7EEB">
            <w:pPr>
              <w:pStyle w:val="TableCell"/>
              <w:keepNext w:val="0"/>
              <w:spacing w:before="60" w:after="60"/>
              <w:jc w:val="center"/>
            </w:pPr>
            <w:r w:rsidRPr="001570EA">
              <w:rPr>
                <w:lang w:eastAsia="ja-JP"/>
              </w:rPr>
              <w:t>3.412 HSPF</w:t>
            </w:r>
          </w:p>
        </w:tc>
        <w:tc>
          <w:tcPr>
            <w:tcW w:w="630" w:type="pct"/>
          </w:tcPr>
          <w:p w14:paraId="0334F3C6" w14:textId="77777777" w:rsidR="00FA7EEB" w:rsidRPr="001570EA" w:rsidRDefault="00FA7EEB">
            <w:pPr>
              <w:pStyle w:val="TableCell"/>
              <w:keepNext w:val="0"/>
              <w:spacing w:before="60" w:after="60"/>
              <w:jc w:val="center"/>
              <w:rPr>
                <w:iCs/>
              </w:rPr>
            </w:pPr>
          </w:p>
        </w:tc>
      </w:tr>
      <w:tr w:rsidR="00FA7EEB" w:rsidRPr="001570EA" w14:paraId="7D0A90D9" w14:textId="77777777">
        <w:trPr>
          <w:cantSplit/>
          <w:trHeight w:val="259"/>
        </w:trPr>
        <w:tc>
          <w:tcPr>
            <w:tcW w:w="1388" w:type="pct"/>
            <w:tcBorders>
              <w:bottom w:val="single" w:sz="4" w:space="0" w:color="auto"/>
            </w:tcBorders>
            <w:tcMar>
              <w:left w:w="115" w:type="dxa"/>
              <w:right w:w="115" w:type="dxa"/>
            </w:tcMar>
            <w:vAlign w:val="center"/>
          </w:tcPr>
          <w:p w14:paraId="2E18C3FF" w14:textId="77777777" w:rsidR="00FA7EEB" w:rsidRPr="001570EA" w:rsidRDefault="00FA7EEB">
            <w:pPr>
              <w:pStyle w:val="TableCell"/>
              <w:keepNext w:val="0"/>
              <w:spacing w:before="60" w:after="60"/>
              <w:jc w:val="left"/>
            </w:pPr>
            <w:r w:rsidRPr="001570EA">
              <w:t>ASHP, GSHP, PTHP, Ductless heat pump</w:t>
            </w:r>
          </w:p>
        </w:tc>
        <w:tc>
          <w:tcPr>
            <w:tcW w:w="2982" w:type="pct"/>
            <w:tcBorders>
              <w:bottom w:val="single" w:sz="4" w:space="0" w:color="auto"/>
            </w:tcBorders>
            <w:tcMar>
              <w:left w:w="115" w:type="dxa"/>
              <w:right w:w="115" w:type="dxa"/>
            </w:tcMar>
            <w:vAlign w:val="center"/>
          </w:tcPr>
          <w:p w14:paraId="0723EAC7" w14:textId="6FCD0458" w:rsidR="00FA7EEB" w:rsidRPr="001570EA" w:rsidRDefault="00FA7EEB">
            <w:pPr>
              <w:pStyle w:val="TableCell"/>
              <w:keepNext w:val="0"/>
              <w:spacing w:before="60" w:after="60"/>
              <w:jc w:val="center"/>
            </w:pPr>
            <w:r w:rsidRPr="001570EA">
              <w:t>See New Construction values in</w:t>
            </w:r>
            <w:r w:rsidR="00BB5175" w:rsidRPr="001570EA">
              <w:t xml:space="preserve"> </w:t>
            </w:r>
            <w:r w:rsidR="00BB5175" w:rsidRPr="001570EA">
              <w:fldChar w:fldCharType="begin"/>
            </w:r>
            <w:r w:rsidR="00BB5175" w:rsidRPr="001570EA">
              <w:instrText xml:space="preserve"> REF _Ref531779526 \h  \* MERGEFORMAT </w:instrText>
            </w:r>
            <w:r w:rsidR="00BB5175" w:rsidRPr="001570EA">
              <w:fldChar w:fldCharType="separate"/>
            </w:r>
            <w:r w:rsidR="00234C6C" w:rsidRPr="001570EA">
              <w:t xml:space="preserve">Table </w:t>
            </w:r>
            <w:r w:rsidR="00234C6C" w:rsidRPr="001570EA">
              <w:rPr>
                <w:noProof/>
              </w:rPr>
              <w:t>2</w:t>
            </w:r>
            <w:r w:rsidR="00234C6C" w:rsidRPr="001570EA">
              <w:rPr>
                <w:noProof/>
              </w:rPr>
              <w:noBreakHyphen/>
              <w:t>10</w:t>
            </w:r>
            <w:r w:rsidR="00BB5175" w:rsidRPr="001570EA">
              <w:fldChar w:fldCharType="end"/>
            </w:r>
            <w:r w:rsidR="00BB5175" w:rsidRPr="001570EA">
              <w:t xml:space="preserve"> in Sec. </w:t>
            </w:r>
            <w:r w:rsidR="00BB5175" w:rsidRPr="001570EA">
              <w:fldChar w:fldCharType="begin"/>
            </w:r>
            <w:r w:rsidR="00BB5175" w:rsidRPr="001570EA">
              <w:instrText xml:space="preserve"> REF _Ref534295897 \r \h  \* MERGEFORMAT </w:instrText>
            </w:r>
            <w:r w:rsidR="00BB5175" w:rsidRPr="001570EA">
              <w:fldChar w:fldCharType="separate"/>
            </w:r>
            <w:r w:rsidR="00234C6C" w:rsidRPr="001570EA">
              <w:t>2.2.1</w:t>
            </w:r>
            <w:r w:rsidR="00BB5175" w:rsidRPr="001570EA">
              <w:fldChar w:fldCharType="end"/>
            </w:r>
            <w:r w:rsidR="00BB5175" w:rsidRPr="001570EA">
              <w:t xml:space="preserve"> </w:t>
            </w:r>
          </w:p>
        </w:tc>
        <w:tc>
          <w:tcPr>
            <w:tcW w:w="630" w:type="pct"/>
            <w:tcBorders>
              <w:bottom w:val="single" w:sz="4" w:space="0" w:color="auto"/>
            </w:tcBorders>
          </w:tcPr>
          <w:p w14:paraId="07F27F4E" w14:textId="77777777" w:rsidR="00FA7EEB" w:rsidRPr="001570EA" w:rsidRDefault="00FA7EEB">
            <w:pPr>
              <w:pStyle w:val="TableCell"/>
              <w:keepNext w:val="0"/>
              <w:spacing w:before="60" w:after="60"/>
              <w:jc w:val="center"/>
              <w:rPr>
                <w:iCs/>
              </w:rPr>
            </w:pPr>
            <w:r w:rsidRPr="001570EA">
              <w:rPr>
                <w:iCs/>
                <w:lang w:eastAsia="ja-JP"/>
              </w:rPr>
              <w:t>AEPS Application; EDC Data Gathering</w:t>
            </w:r>
          </w:p>
        </w:tc>
      </w:tr>
      <w:tr w:rsidR="00FA7EEB" w:rsidRPr="001570EA" w14:paraId="2C5AC9F5" w14:textId="77777777">
        <w:trPr>
          <w:cantSplit/>
          <w:trHeight w:val="317"/>
        </w:trPr>
        <w:tc>
          <w:tcPr>
            <w:tcW w:w="1388" w:type="pct"/>
            <w:tcBorders>
              <w:top w:val="single" w:sz="4" w:space="0" w:color="auto"/>
              <w:left w:val="single" w:sz="4" w:space="0" w:color="auto"/>
              <w:bottom w:val="single" w:sz="4" w:space="0" w:color="auto"/>
              <w:right w:val="nil"/>
            </w:tcBorders>
            <w:shd w:val="clear" w:color="auto" w:fill="D9D9D9" w:themeFill="background1" w:themeFillShade="D9"/>
            <w:tcMar>
              <w:left w:w="115" w:type="dxa"/>
              <w:right w:w="115" w:type="dxa"/>
            </w:tcMar>
            <w:vAlign w:val="center"/>
          </w:tcPr>
          <w:p w14:paraId="1963D9E8" w14:textId="77777777" w:rsidR="00FA7EEB" w:rsidRPr="001570EA" w:rsidRDefault="00FA7EEB">
            <w:pPr>
              <w:pStyle w:val="TableCell"/>
              <w:keepNext w:val="0"/>
              <w:spacing w:before="60" w:after="60"/>
              <w:jc w:val="left"/>
              <w:rPr>
                <w:rFonts w:ascii="Arial Unicode MS" w:eastAsia="Arial Unicode MS" w:hAnsi="Arial Unicode MS" w:cs="Arial Unicode MS"/>
                <w:b/>
              </w:rPr>
            </w:pPr>
            <w:r w:rsidRPr="001570EA">
              <w:rPr>
                <w:b/>
              </w:rPr>
              <w:t>Cooling Efficiency</w:t>
            </w:r>
          </w:p>
        </w:tc>
        <w:tc>
          <w:tcPr>
            <w:tcW w:w="2982" w:type="pct"/>
            <w:tcBorders>
              <w:top w:val="single" w:sz="4" w:space="0" w:color="auto"/>
              <w:left w:val="nil"/>
              <w:bottom w:val="single" w:sz="4" w:space="0" w:color="auto"/>
              <w:right w:val="nil"/>
            </w:tcBorders>
            <w:shd w:val="clear" w:color="auto" w:fill="D9D9D9" w:themeFill="background1" w:themeFillShade="D9"/>
            <w:tcMar>
              <w:left w:w="115" w:type="dxa"/>
              <w:right w:w="115" w:type="dxa"/>
            </w:tcMar>
            <w:vAlign w:val="center"/>
          </w:tcPr>
          <w:p w14:paraId="26AB6389" w14:textId="77777777" w:rsidR="00FA7EEB" w:rsidRPr="001570EA" w:rsidRDefault="00FA7EEB">
            <w:pPr>
              <w:pStyle w:val="TableCell"/>
              <w:keepNext w:val="0"/>
              <w:spacing w:before="60" w:after="60"/>
              <w:rPr>
                <w:rFonts w:eastAsia="Arial Unicode MS"/>
                <w:b/>
              </w:rPr>
            </w:pPr>
          </w:p>
        </w:tc>
        <w:tc>
          <w:tcPr>
            <w:tcW w:w="630" w:type="pct"/>
            <w:tcBorders>
              <w:top w:val="single" w:sz="4" w:space="0" w:color="auto"/>
              <w:left w:val="nil"/>
              <w:bottom w:val="single" w:sz="4" w:space="0" w:color="auto"/>
              <w:right w:val="single" w:sz="4" w:space="0" w:color="auto"/>
            </w:tcBorders>
            <w:shd w:val="clear" w:color="auto" w:fill="D9D9D9" w:themeFill="background1" w:themeFillShade="D9"/>
          </w:tcPr>
          <w:p w14:paraId="181658D6" w14:textId="77777777" w:rsidR="00FA7EEB" w:rsidRPr="001570EA" w:rsidRDefault="00FA7EEB">
            <w:pPr>
              <w:pStyle w:val="TableCell"/>
              <w:keepNext w:val="0"/>
              <w:spacing w:before="60" w:after="60"/>
              <w:jc w:val="center"/>
              <w:rPr>
                <w:b/>
              </w:rPr>
            </w:pPr>
          </w:p>
        </w:tc>
      </w:tr>
      <w:tr w:rsidR="00FA7EEB" w:rsidRPr="001570EA" w14:paraId="42595625" w14:textId="77777777">
        <w:trPr>
          <w:cantSplit/>
          <w:trHeight w:val="259"/>
        </w:trPr>
        <w:tc>
          <w:tcPr>
            <w:tcW w:w="1388" w:type="pct"/>
            <w:tcBorders>
              <w:top w:val="single" w:sz="4" w:space="0" w:color="auto"/>
            </w:tcBorders>
            <w:tcMar>
              <w:left w:w="115" w:type="dxa"/>
              <w:right w:w="115" w:type="dxa"/>
            </w:tcMar>
            <w:vAlign w:val="center"/>
          </w:tcPr>
          <w:p w14:paraId="32028908" w14:textId="77777777" w:rsidR="00FA7EEB" w:rsidRPr="001570EA" w:rsidDel="00844C60" w:rsidRDefault="00FA7EEB">
            <w:pPr>
              <w:pStyle w:val="TableCell"/>
              <w:keepNext w:val="0"/>
              <w:spacing w:before="60" w:after="60"/>
              <w:jc w:val="left"/>
              <w:rPr>
                <w:rFonts w:ascii="Arial Unicode MS" w:eastAsia="Arial Unicode MS" w:hAnsi="Arial Unicode MS" w:cs="Arial Unicode MS"/>
              </w:rPr>
            </w:pPr>
            <w:r w:rsidRPr="001570EA">
              <w:t>All types</w:t>
            </w:r>
          </w:p>
        </w:tc>
        <w:tc>
          <w:tcPr>
            <w:tcW w:w="2982" w:type="pct"/>
            <w:tcBorders>
              <w:top w:val="single" w:sz="4" w:space="0" w:color="auto"/>
            </w:tcBorders>
            <w:vAlign w:val="center"/>
          </w:tcPr>
          <w:p w14:paraId="264FC742" w14:textId="73AC1FDF" w:rsidR="00FA7EEB" w:rsidRPr="001570EA" w:rsidDel="00844C60" w:rsidRDefault="00FA7EEB">
            <w:pPr>
              <w:pStyle w:val="TableCell"/>
              <w:keepNext w:val="0"/>
              <w:spacing w:before="60" w:after="60"/>
              <w:jc w:val="center"/>
              <w:rPr>
                <w:rFonts w:ascii="Arial Unicode MS" w:eastAsia="Arial Unicode MS" w:hAnsi="Arial Unicode MS" w:cs="Arial Unicode MS"/>
              </w:rPr>
            </w:pPr>
            <w:r w:rsidRPr="001570EA">
              <w:t>See New Construction values in</w:t>
            </w:r>
            <w:r w:rsidR="00BB5175" w:rsidRPr="001570EA">
              <w:t xml:space="preserve"> </w:t>
            </w:r>
            <w:r w:rsidR="00BB5175" w:rsidRPr="001570EA">
              <w:fldChar w:fldCharType="begin"/>
            </w:r>
            <w:r w:rsidR="00BB5175" w:rsidRPr="001570EA">
              <w:instrText xml:space="preserve"> REF _Ref531779526 \h  \* MERGEFORMAT </w:instrText>
            </w:r>
            <w:r w:rsidR="00BB5175" w:rsidRPr="001570EA">
              <w:fldChar w:fldCharType="separate"/>
            </w:r>
            <w:r w:rsidR="00234C6C" w:rsidRPr="001570EA">
              <w:t xml:space="preserve">Table </w:t>
            </w:r>
            <w:r w:rsidR="00234C6C" w:rsidRPr="001570EA">
              <w:rPr>
                <w:noProof/>
              </w:rPr>
              <w:t>2</w:t>
            </w:r>
            <w:r w:rsidR="00234C6C" w:rsidRPr="001570EA">
              <w:rPr>
                <w:noProof/>
              </w:rPr>
              <w:noBreakHyphen/>
              <w:t>10</w:t>
            </w:r>
            <w:r w:rsidR="00BB5175" w:rsidRPr="001570EA">
              <w:fldChar w:fldCharType="end"/>
            </w:r>
            <w:r w:rsidRPr="001570EA">
              <w:t xml:space="preserve"> in Sec. </w:t>
            </w:r>
            <w:r w:rsidR="00BB5175" w:rsidRPr="001570EA">
              <w:fldChar w:fldCharType="begin"/>
            </w:r>
            <w:r w:rsidR="00BB5175" w:rsidRPr="001570EA">
              <w:instrText xml:space="preserve"> REF _Ref534295897 \r \h  \* MERGEFORMAT </w:instrText>
            </w:r>
            <w:r w:rsidR="00BB5175" w:rsidRPr="001570EA">
              <w:fldChar w:fldCharType="separate"/>
            </w:r>
            <w:r w:rsidR="00234C6C" w:rsidRPr="001570EA">
              <w:t>2.2.1</w:t>
            </w:r>
            <w:r w:rsidR="00BB5175" w:rsidRPr="001570EA">
              <w:fldChar w:fldCharType="end"/>
            </w:r>
          </w:p>
        </w:tc>
        <w:tc>
          <w:tcPr>
            <w:tcW w:w="630" w:type="pct"/>
            <w:tcBorders>
              <w:top w:val="single" w:sz="4" w:space="0" w:color="auto"/>
            </w:tcBorders>
          </w:tcPr>
          <w:p w14:paraId="5D9BF02A" w14:textId="77777777" w:rsidR="00FA7EEB" w:rsidRPr="001570EA" w:rsidRDefault="00FA7EEB">
            <w:pPr>
              <w:pStyle w:val="TableCell"/>
              <w:keepNext w:val="0"/>
              <w:spacing w:before="60" w:after="60"/>
              <w:jc w:val="center"/>
            </w:pPr>
            <w:r w:rsidRPr="001570EA">
              <w:rPr>
                <w:iCs/>
                <w:lang w:eastAsia="ja-JP"/>
              </w:rPr>
              <w:t>AEPS Application; EDC Data Gathering</w:t>
            </w:r>
          </w:p>
        </w:tc>
      </w:tr>
      <w:tr w:rsidR="00FA7EEB" w:rsidRPr="001570EA" w14:paraId="20EE7E26" w14:textId="77777777">
        <w:trPr>
          <w:cantSplit/>
          <w:trHeight w:val="317"/>
        </w:trPr>
        <w:tc>
          <w:tcPr>
            <w:tcW w:w="1388" w:type="pct"/>
            <w:tcBorders>
              <w:top w:val="single" w:sz="4" w:space="0" w:color="auto"/>
              <w:left w:val="single" w:sz="4" w:space="0" w:color="auto"/>
              <w:bottom w:val="single" w:sz="4" w:space="0" w:color="auto"/>
              <w:right w:val="nil"/>
            </w:tcBorders>
            <w:shd w:val="clear" w:color="auto" w:fill="D9D9D9" w:themeFill="background1" w:themeFillShade="D9"/>
            <w:tcMar>
              <w:left w:w="115" w:type="dxa"/>
              <w:right w:w="115" w:type="dxa"/>
            </w:tcMar>
            <w:vAlign w:val="center"/>
          </w:tcPr>
          <w:p w14:paraId="784AAFF1" w14:textId="77777777" w:rsidR="00FA7EEB" w:rsidRPr="001570EA" w:rsidRDefault="00FA7EEB">
            <w:pPr>
              <w:pStyle w:val="TableCell"/>
              <w:keepNext w:val="0"/>
              <w:spacing w:before="60" w:after="60"/>
              <w:jc w:val="left"/>
              <w:rPr>
                <w:rFonts w:ascii="Arial Unicode MS" w:eastAsia="Arial Unicode MS" w:hAnsi="Arial Unicode MS" w:cs="Arial Unicode MS"/>
                <w:b/>
                <w:i/>
                <w:iCs/>
              </w:rPr>
            </w:pPr>
            <w:r w:rsidRPr="001570EA">
              <w:rPr>
                <w:b/>
              </w:rPr>
              <w:t>Domestic WH Efficiency</w:t>
            </w:r>
          </w:p>
        </w:tc>
        <w:tc>
          <w:tcPr>
            <w:tcW w:w="2982" w:type="pct"/>
            <w:tcBorders>
              <w:top w:val="single" w:sz="4" w:space="0" w:color="auto"/>
              <w:left w:val="nil"/>
              <w:bottom w:val="single" w:sz="4" w:space="0" w:color="auto"/>
              <w:right w:val="nil"/>
            </w:tcBorders>
            <w:shd w:val="clear" w:color="auto" w:fill="D9D9D9" w:themeFill="background1" w:themeFillShade="D9"/>
            <w:tcMar>
              <w:left w:w="115" w:type="dxa"/>
              <w:right w:w="115" w:type="dxa"/>
            </w:tcMar>
            <w:vAlign w:val="center"/>
          </w:tcPr>
          <w:p w14:paraId="644C9CF8" w14:textId="77777777" w:rsidR="00FA7EEB" w:rsidRPr="001570EA" w:rsidRDefault="00FA7EEB">
            <w:pPr>
              <w:pStyle w:val="TableCell"/>
              <w:keepNext w:val="0"/>
              <w:spacing w:before="60" w:after="60"/>
              <w:jc w:val="center"/>
              <w:rPr>
                <w:rFonts w:eastAsia="Arial Unicode MS"/>
                <w:b/>
                <w:i/>
              </w:rPr>
            </w:pPr>
          </w:p>
        </w:tc>
        <w:tc>
          <w:tcPr>
            <w:tcW w:w="630" w:type="pct"/>
            <w:tcBorders>
              <w:top w:val="single" w:sz="4" w:space="0" w:color="auto"/>
              <w:left w:val="nil"/>
              <w:bottom w:val="single" w:sz="4" w:space="0" w:color="auto"/>
              <w:right w:val="single" w:sz="4" w:space="0" w:color="auto"/>
            </w:tcBorders>
            <w:shd w:val="clear" w:color="auto" w:fill="D9D9D9" w:themeFill="background1" w:themeFillShade="D9"/>
          </w:tcPr>
          <w:p w14:paraId="6A2ED000" w14:textId="77777777" w:rsidR="00FA7EEB" w:rsidRPr="001570EA" w:rsidRDefault="00FA7EEB">
            <w:pPr>
              <w:pStyle w:val="TableCell"/>
              <w:keepNext w:val="0"/>
              <w:spacing w:before="60" w:after="60"/>
              <w:jc w:val="center"/>
              <w:rPr>
                <w:b/>
              </w:rPr>
            </w:pPr>
          </w:p>
        </w:tc>
      </w:tr>
      <w:tr w:rsidR="00FA7EEB" w:rsidRPr="001570EA" w14:paraId="42323539" w14:textId="77777777">
        <w:trPr>
          <w:cantSplit/>
          <w:trHeight w:val="259"/>
        </w:trPr>
        <w:tc>
          <w:tcPr>
            <w:tcW w:w="1388" w:type="pct"/>
            <w:tcBorders>
              <w:top w:val="single" w:sz="4" w:space="0" w:color="auto"/>
            </w:tcBorders>
            <w:tcMar>
              <w:left w:w="115" w:type="dxa"/>
              <w:right w:w="115" w:type="dxa"/>
            </w:tcMar>
            <w:vAlign w:val="center"/>
          </w:tcPr>
          <w:p w14:paraId="786A2BBA"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Electric</w:t>
            </w:r>
          </w:p>
        </w:tc>
        <w:tc>
          <w:tcPr>
            <w:tcW w:w="2982" w:type="pct"/>
            <w:tcBorders>
              <w:top w:val="single" w:sz="4" w:space="0" w:color="auto"/>
            </w:tcBorders>
            <w:tcMar>
              <w:left w:w="115" w:type="dxa"/>
              <w:right w:w="115" w:type="dxa"/>
            </w:tcMar>
            <w:vAlign w:val="center"/>
          </w:tcPr>
          <w:p w14:paraId="1C1C7A0E" w14:textId="4BEE8A2C" w:rsidR="00FA7EEB" w:rsidRPr="001570EA" w:rsidRDefault="00FA7EEB">
            <w:pPr>
              <w:pStyle w:val="TableCell"/>
              <w:keepNext w:val="0"/>
              <w:spacing w:before="60" w:after="60"/>
              <w:jc w:val="center"/>
            </w:pPr>
            <w:r w:rsidRPr="001570EA">
              <w:t>See volume and load dependent values</w:t>
            </w:r>
            <w:r w:rsidR="00EC2C13" w:rsidRPr="001570EA">
              <w:t xml:space="preserve"> in </w:t>
            </w:r>
            <w:r w:rsidR="00EC2C13" w:rsidRPr="001570EA">
              <w:fldChar w:fldCharType="begin"/>
            </w:r>
            <w:r w:rsidR="00EC2C13" w:rsidRPr="001570EA">
              <w:instrText xml:space="preserve"> REF _Ref533706168 \h  \* MERGEFORMAT </w:instrText>
            </w:r>
            <w:r w:rsidR="00EC2C13" w:rsidRPr="001570EA">
              <w:fldChar w:fldCharType="separate"/>
            </w:r>
            <w:r w:rsidR="003854F2" w:rsidRPr="001570EA">
              <w:t xml:space="preserve">Table </w:t>
            </w:r>
            <w:r w:rsidR="003854F2" w:rsidRPr="001570EA">
              <w:rPr>
                <w:noProof/>
              </w:rPr>
              <w:t>2</w:t>
            </w:r>
            <w:r w:rsidR="003854F2" w:rsidRPr="001570EA">
              <w:rPr>
                <w:noProof/>
              </w:rPr>
              <w:noBreakHyphen/>
              <w:t>61</w:t>
            </w:r>
            <w:r w:rsidR="00EC2C13" w:rsidRPr="001570EA">
              <w:fldChar w:fldCharType="end"/>
            </w:r>
            <w:r w:rsidRPr="001570EA">
              <w:t xml:space="preserve"> in Sec. </w:t>
            </w:r>
            <w:r w:rsidR="00EC2C13" w:rsidRPr="001570EA">
              <w:fldChar w:fldCharType="begin"/>
            </w:r>
            <w:r w:rsidR="00EC2C13" w:rsidRPr="001570EA">
              <w:instrText xml:space="preserve"> REF _Ref163980796 \r \h  \* MERGEFORMAT </w:instrText>
            </w:r>
            <w:r w:rsidR="00EC2C13" w:rsidRPr="001570EA">
              <w:fldChar w:fldCharType="separate"/>
            </w:r>
            <w:r w:rsidR="00234C6C" w:rsidRPr="001570EA">
              <w:t>2.3.1</w:t>
            </w:r>
            <w:r w:rsidR="00EC2C13" w:rsidRPr="001570EA">
              <w:fldChar w:fldCharType="end"/>
            </w:r>
          </w:p>
        </w:tc>
        <w:tc>
          <w:tcPr>
            <w:tcW w:w="630" w:type="pct"/>
            <w:tcBorders>
              <w:top w:val="single" w:sz="4" w:space="0" w:color="auto"/>
            </w:tcBorders>
          </w:tcPr>
          <w:p w14:paraId="0B832BC1" w14:textId="77777777" w:rsidR="00FA7EEB" w:rsidRPr="001570EA" w:rsidRDefault="00FA7EEB">
            <w:pPr>
              <w:pStyle w:val="TableCell"/>
              <w:keepNext w:val="0"/>
              <w:spacing w:before="60" w:after="60"/>
              <w:jc w:val="center"/>
              <w:rPr>
                <w:bCs/>
              </w:rPr>
            </w:pPr>
          </w:p>
        </w:tc>
      </w:tr>
      <w:tr w:rsidR="00FA7EEB" w:rsidRPr="001570EA" w14:paraId="6C5EFFD9" w14:textId="77777777">
        <w:trPr>
          <w:cantSplit/>
          <w:trHeight w:val="259"/>
        </w:trPr>
        <w:tc>
          <w:tcPr>
            <w:tcW w:w="1388" w:type="pct"/>
            <w:tcMar>
              <w:left w:w="115" w:type="dxa"/>
              <w:right w:w="115" w:type="dxa"/>
            </w:tcMar>
            <w:vAlign w:val="center"/>
          </w:tcPr>
          <w:p w14:paraId="1B30A8B2"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Natural Gas</w:t>
            </w:r>
          </w:p>
        </w:tc>
        <w:tc>
          <w:tcPr>
            <w:tcW w:w="2982" w:type="pct"/>
            <w:tcMar>
              <w:left w:w="115" w:type="dxa"/>
              <w:right w:w="115" w:type="dxa"/>
            </w:tcMar>
            <w:vAlign w:val="center"/>
          </w:tcPr>
          <w:p w14:paraId="34C4781A" w14:textId="088792AA" w:rsidR="00FA7EEB" w:rsidRPr="001570EA" w:rsidRDefault="00FA7EEB">
            <w:pPr>
              <w:pStyle w:val="TableCell"/>
              <w:keepNext w:val="0"/>
              <w:spacing w:before="60" w:after="60"/>
              <w:jc w:val="center"/>
              <w:rPr>
                <w:rFonts w:ascii="Arial Unicode MS" w:eastAsia="Arial Unicode MS" w:hAnsi="Arial Unicode MS" w:cs="Arial Unicode MS"/>
                <w:i/>
                <w:iCs/>
              </w:rPr>
            </w:pPr>
            <w:r w:rsidRPr="001570EA">
              <w:t xml:space="preserve">See volume and load dependent values in </w:t>
            </w:r>
            <w:r w:rsidR="00BC4400" w:rsidRPr="001570EA">
              <w:fldChar w:fldCharType="begin"/>
            </w:r>
            <w:r w:rsidR="00BC4400" w:rsidRPr="001570EA">
              <w:instrText xml:space="preserve"> REF _Ref163829485 \h  \* MERGEFORMAT </w:instrText>
            </w:r>
            <w:r w:rsidR="00BC4400" w:rsidRPr="001570EA">
              <w:fldChar w:fldCharType="separate"/>
            </w:r>
            <w:r w:rsidR="00234C6C" w:rsidRPr="001570EA">
              <w:t xml:space="preserve">Table </w:t>
            </w:r>
            <w:r w:rsidR="00234C6C" w:rsidRPr="001570EA">
              <w:rPr>
                <w:noProof/>
              </w:rPr>
              <w:t>2</w:t>
            </w:r>
            <w:r w:rsidR="00234C6C" w:rsidRPr="001570EA">
              <w:rPr>
                <w:noProof/>
              </w:rPr>
              <w:noBreakHyphen/>
              <w:t>155</w:t>
            </w:r>
            <w:r w:rsidR="00BC4400" w:rsidRPr="001570EA">
              <w:fldChar w:fldCharType="end"/>
            </w:r>
            <w:r w:rsidR="00BC4400" w:rsidRPr="001570EA">
              <w:t xml:space="preserve"> </w:t>
            </w:r>
            <w:r w:rsidRPr="001570EA">
              <w:t xml:space="preserve">in Sec. </w:t>
            </w:r>
            <w:r w:rsidRPr="001570EA">
              <w:fldChar w:fldCharType="begin"/>
            </w:r>
            <w:r w:rsidRPr="001570EA">
              <w:instrText xml:space="preserve"> REF _Ref47537585 \r \h  \* MERGEFORMAT </w:instrText>
            </w:r>
            <w:r w:rsidRPr="001570EA">
              <w:fldChar w:fldCharType="separate"/>
            </w:r>
            <w:r w:rsidR="00234C6C" w:rsidRPr="001570EA">
              <w:t>2.7.1</w:t>
            </w:r>
            <w:r w:rsidRPr="001570EA">
              <w:fldChar w:fldCharType="end"/>
            </w:r>
          </w:p>
        </w:tc>
        <w:tc>
          <w:tcPr>
            <w:tcW w:w="630" w:type="pct"/>
          </w:tcPr>
          <w:p w14:paraId="70404333" w14:textId="77777777" w:rsidR="00FA7EEB" w:rsidRPr="001570EA" w:rsidRDefault="00FA7EEB">
            <w:pPr>
              <w:pStyle w:val="TableCell"/>
              <w:keepNext w:val="0"/>
              <w:spacing w:before="60" w:after="60"/>
              <w:jc w:val="center"/>
            </w:pPr>
          </w:p>
        </w:tc>
      </w:tr>
      <w:tr w:rsidR="00FA7EEB" w:rsidRPr="001570EA" w14:paraId="0F755EF6" w14:textId="77777777">
        <w:trPr>
          <w:cantSplit/>
          <w:trHeight w:val="317"/>
        </w:trPr>
        <w:tc>
          <w:tcPr>
            <w:tcW w:w="1388" w:type="pct"/>
            <w:tcMar>
              <w:left w:w="115" w:type="dxa"/>
              <w:right w:w="115" w:type="dxa"/>
            </w:tcMar>
            <w:vAlign w:val="center"/>
          </w:tcPr>
          <w:p w14:paraId="138A1FA5"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Additional Water Heater Tank Insulation</w:t>
            </w:r>
          </w:p>
        </w:tc>
        <w:tc>
          <w:tcPr>
            <w:tcW w:w="2982" w:type="pct"/>
            <w:tcMar>
              <w:left w:w="115" w:type="dxa"/>
              <w:right w:w="115" w:type="dxa"/>
            </w:tcMar>
            <w:vAlign w:val="center"/>
          </w:tcPr>
          <w:p w14:paraId="34ECC180" w14:textId="77777777" w:rsidR="00FA7EEB" w:rsidRPr="001570EA" w:rsidRDefault="00FA7EEB">
            <w:pPr>
              <w:pStyle w:val="TableCell"/>
              <w:keepNext w:val="0"/>
              <w:spacing w:before="60" w:after="60"/>
              <w:jc w:val="center"/>
              <w:rPr>
                <w:rFonts w:ascii="Arial Unicode MS" w:eastAsia="Arial Unicode MS" w:hAnsi="Arial Unicode MS" w:cs="Arial Unicode MS"/>
              </w:rPr>
            </w:pPr>
            <w:r w:rsidRPr="001570EA">
              <w:t>None</w:t>
            </w:r>
          </w:p>
        </w:tc>
        <w:tc>
          <w:tcPr>
            <w:tcW w:w="630" w:type="pct"/>
          </w:tcPr>
          <w:p w14:paraId="79C82D0E" w14:textId="77777777" w:rsidR="00FA7EEB" w:rsidRPr="001570EA" w:rsidRDefault="00FA7EEB">
            <w:pPr>
              <w:pStyle w:val="TableCell"/>
              <w:keepNext w:val="0"/>
              <w:spacing w:before="60" w:after="60"/>
              <w:jc w:val="center"/>
              <w:rPr>
                <w:iCs/>
              </w:rPr>
            </w:pPr>
          </w:p>
        </w:tc>
      </w:tr>
    </w:tbl>
    <w:p w14:paraId="24C8B3FF" w14:textId="77777777" w:rsidR="00FA7EEB" w:rsidRPr="001570EA" w:rsidRDefault="00FA7EEB" w:rsidP="00FA7EEB"/>
    <w:p w14:paraId="42AE130E" w14:textId="5B9E62DC" w:rsidR="00FA7EEB" w:rsidRPr="001570EA" w:rsidRDefault="00FA7EEB" w:rsidP="00FA7EEB">
      <w:pPr>
        <w:rPr>
          <w:vertAlign w:val="superscript"/>
        </w:rPr>
      </w:pPr>
      <w:r w:rsidRPr="001570EA">
        <w:t>The ENERGY STAR Manufactured Homes program provides a list of requirements for certified homes to meet. Below is a summary of those requirements.</w:t>
      </w:r>
      <w:r w:rsidRPr="001570EA">
        <w:rPr>
          <w:vertAlign w:val="superscript"/>
        </w:rPr>
        <w:t>Source 11</w:t>
      </w:r>
    </w:p>
    <w:p w14:paraId="33A5A61D" w14:textId="77777777" w:rsidR="00FA7EEB" w:rsidRPr="001570EA" w:rsidRDefault="00FA7EEB" w:rsidP="0045079A"/>
    <w:p w14:paraId="74E28504" w14:textId="664370DB" w:rsidR="00FA7EEB" w:rsidRPr="001570EA" w:rsidRDefault="00FA7EEB" w:rsidP="00FA7EEB">
      <w:pPr>
        <w:pStyle w:val="Caption"/>
      </w:pPr>
      <w:bookmarkStart w:id="1232" w:name="_Ref153805839"/>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162</w:t>
      </w:r>
      <w:r w:rsidR="002E093A" w:rsidRPr="001570EA">
        <w:fldChar w:fldCharType="end"/>
      </w:r>
      <w:bookmarkEnd w:id="1232"/>
      <w:r w:rsidRPr="001570EA">
        <w:t>: Building Thermal Envelope Requirements for ENERGY STAR Manufactured Home</w:t>
      </w:r>
      <w:r w:rsidRPr="001570EA">
        <w:rPr>
          <w:b w:val="0"/>
          <w:bCs w:val="0"/>
          <w:vertAlign w:val="superscript"/>
        </w:rPr>
        <w:t>Source 11</w:t>
      </w:r>
    </w:p>
    <w:tbl>
      <w:tblPr>
        <w:tblW w:w="4990" w:type="pct"/>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300"/>
        <w:gridCol w:w="2793"/>
        <w:gridCol w:w="2522"/>
      </w:tblGrid>
      <w:tr w:rsidR="00FA7EEB" w:rsidRPr="001570EA" w14:paraId="05D9E5F4" w14:textId="77777777">
        <w:trPr>
          <w:cantSplit/>
          <w:trHeight w:val="317"/>
          <w:tblHeader/>
        </w:trPr>
        <w:tc>
          <w:tcPr>
            <w:tcW w:w="1915" w:type="pct"/>
            <w:tcBorders>
              <w:top w:val="nil"/>
              <w:left w:val="nil"/>
              <w:bottom w:val="single" w:sz="4" w:space="0" w:color="auto"/>
              <w:right w:val="single" w:sz="4" w:space="0" w:color="auto"/>
            </w:tcBorders>
            <w:shd w:val="clear" w:color="auto" w:fill="auto"/>
            <w:tcMar>
              <w:left w:w="115" w:type="dxa"/>
              <w:right w:w="115" w:type="dxa"/>
            </w:tcMar>
            <w:vAlign w:val="center"/>
          </w:tcPr>
          <w:p w14:paraId="3115EC88" w14:textId="77777777" w:rsidR="00FA7EEB" w:rsidRPr="001570EA" w:rsidRDefault="00FA7EEB">
            <w:pPr>
              <w:pStyle w:val="TableCell"/>
              <w:keepNext w:val="0"/>
              <w:spacing w:before="60" w:after="60"/>
              <w:jc w:val="left"/>
              <w:rPr>
                <w:rFonts w:ascii="Arial Unicode MS" w:eastAsia="Arial Unicode MS" w:hAnsi="Arial Unicode MS" w:cs="Arial Unicode MS"/>
                <w:b/>
                <w:bCs/>
              </w:rPr>
            </w:pPr>
          </w:p>
        </w:tc>
        <w:tc>
          <w:tcPr>
            <w:tcW w:w="1621" w:type="pct"/>
            <w:tcBorders>
              <w:left w:val="single" w:sz="4" w:space="0" w:color="auto"/>
            </w:tcBorders>
            <w:shd w:val="clear" w:color="auto" w:fill="BFBFBF" w:themeFill="background1" w:themeFillShade="BF"/>
            <w:tcMar>
              <w:left w:w="115" w:type="dxa"/>
              <w:right w:w="115" w:type="dxa"/>
            </w:tcMar>
            <w:vAlign w:val="center"/>
          </w:tcPr>
          <w:p w14:paraId="311FDD79" w14:textId="77777777" w:rsidR="00FA7EEB" w:rsidRPr="001570EA" w:rsidRDefault="00FA7EEB">
            <w:pPr>
              <w:pStyle w:val="TableCell"/>
              <w:keepNext w:val="0"/>
              <w:spacing w:before="60" w:after="60"/>
              <w:jc w:val="center"/>
              <w:rPr>
                <w:rFonts w:ascii="Arial Unicode MS" w:eastAsia="Arial Unicode MS" w:hAnsi="Arial Unicode MS" w:cs="Arial Unicode MS"/>
                <w:b/>
                <w:bCs/>
              </w:rPr>
            </w:pPr>
            <w:r w:rsidRPr="001570EA">
              <w:rPr>
                <w:b/>
                <w:bCs/>
              </w:rPr>
              <w:t>Single-section home</w:t>
            </w:r>
          </w:p>
        </w:tc>
        <w:tc>
          <w:tcPr>
            <w:tcW w:w="1464" w:type="pct"/>
            <w:shd w:val="clear" w:color="auto" w:fill="BFBFBF" w:themeFill="background1" w:themeFillShade="BF"/>
            <w:vAlign w:val="center"/>
          </w:tcPr>
          <w:p w14:paraId="2E802A0C" w14:textId="77777777" w:rsidR="00FA7EEB" w:rsidRPr="001570EA" w:rsidDel="00F5233A" w:rsidRDefault="00FA7EEB">
            <w:pPr>
              <w:pStyle w:val="TableCell"/>
              <w:keepNext w:val="0"/>
              <w:spacing w:before="60" w:after="60"/>
              <w:jc w:val="center"/>
              <w:rPr>
                <w:b/>
                <w:bCs/>
              </w:rPr>
            </w:pPr>
            <w:r w:rsidRPr="001570EA">
              <w:rPr>
                <w:b/>
                <w:bCs/>
              </w:rPr>
              <w:t>Multi-section home</w:t>
            </w:r>
          </w:p>
        </w:tc>
      </w:tr>
      <w:tr w:rsidR="00FA7EEB" w:rsidRPr="001570EA" w14:paraId="1F261B33" w14:textId="77777777">
        <w:trPr>
          <w:cantSplit/>
          <w:trHeight w:val="317"/>
          <w:tblHeader/>
        </w:trPr>
        <w:tc>
          <w:tcPr>
            <w:tcW w:w="5000" w:type="pct"/>
            <w:gridSpan w:val="3"/>
            <w:shd w:val="clear" w:color="auto" w:fill="D9D9D9" w:themeFill="background1" w:themeFillShade="D9"/>
            <w:tcMar>
              <w:left w:w="115" w:type="dxa"/>
              <w:right w:w="115" w:type="dxa"/>
            </w:tcMar>
            <w:vAlign w:val="center"/>
          </w:tcPr>
          <w:p w14:paraId="13578215" w14:textId="77777777" w:rsidR="00FA7EEB" w:rsidRPr="001570EA" w:rsidRDefault="00FA7EEB">
            <w:pPr>
              <w:pStyle w:val="TableCell"/>
              <w:keepNext w:val="0"/>
              <w:spacing w:before="60" w:after="60"/>
              <w:jc w:val="left"/>
              <w:rPr>
                <w:b/>
                <w:bCs/>
              </w:rPr>
            </w:pPr>
            <w:r w:rsidRPr="001570EA">
              <w:rPr>
                <w:b/>
                <w:bCs/>
              </w:rPr>
              <w:t>Prescriptive Requirements</w:t>
            </w:r>
          </w:p>
        </w:tc>
      </w:tr>
      <w:tr w:rsidR="00FA7EEB" w:rsidRPr="001570EA" w14:paraId="184B8907" w14:textId="77777777">
        <w:trPr>
          <w:cantSplit/>
          <w:trHeight w:val="317"/>
        </w:trPr>
        <w:tc>
          <w:tcPr>
            <w:tcW w:w="1915" w:type="pct"/>
            <w:tcMar>
              <w:left w:w="115" w:type="dxa"/>
              <w:right w:w="115" w:type="dxa"/>
            </w:tcMar>
          </w:tcPr>
          <w:p w14:paraId="13EE3684" w14:textId="77777777" w:rsidR="00FA7EEB" w:rsidRPr="001570EA" w:rsidRDefault="00FA7EEB">
            <w:pPr>
              <w:pStyle w:val="TableCell"/>
              <w:keepNext w:val="0"/>
              <w:spacing w:before="60" w:after="60"/>
              <w:jc w:val="left"/>
            </w:pPr>
            <w:r w:rsidRPr="001570EA">
              <w:t xml:space="preserve">Exterior wall insulation R-value </w:t>
            </w:r>
          </w:p>
        </w:tc>
        <w:tc>
          <w:tcPr>
            <w:tcW w:w="3085" w:type="pct"/>
            <w:gridSpan w:val="2"/>
            <w:tcMar>
              <w:left w:w="115" w:type="dxa"/>
              <w:right w:w="115" w:type="dxa"/>
            </w:tcMar>
          </w:tcPr>
          <w:p w14:paraId="34AE2844" w14:textId="77777777" w:rsidR="00FA7EEB" w:rsidRPr="001570EA" w:rsidRDefault="00FA7EEB">
            <w:pPr>
              <w:pStyle w:val="TableCell"/>
              <w:keepNext w:val="0"/>
              <w:spacing w:before="60" w:after="60"/>
              <w:jc w:val="center"/>
            </w:pPr>
            <w:r w:rsidRPr="001570EA">
              <w:t>R-21</w:t>
            </w:r>
          </w:p>
        </w:tc>
      </w:tr>
      <w:tr w:rsidR="00FA7EEB" w:rsidRPr="001570EA" w14:paraId="03D8E691" w14:textId="77777777">
        <w:trPr>
          <w:cantSplit/>
          <w:trHeight w:val="317"/>
        </w:trPr>
        <w:tc>
          <w:tcPr>
            <w:tcW w:w="1915" w:type="pct"/>
            <w:tcMar>
              <w:left w:w="115" w:type="dxa"/>
              <w:right w:w="115" w:type="dxa"/>
            </w:tcMar>
          </w:tcPr>
          <w:p w14:paraId="24D4A098" w14:textId="77777777" w:rsidR="00FA7EEB" w:rsidRPr="001570EA" w:rsidRDefault="00FA7EEB">
            <w:pPr>
              <w:pStyle w:val="TableCell"/>
              <w:keepNext w:val="0"/>
              <w:spacing w:before="60" w:after="60"/>
              <w:jc w:val="left"/>
            </w:pPr>
            <w:r w:rsidRPr="001570EA">
              <w:t>Exterior ceiling insulation R-value</w:t>
            </w:r>
          </w:p>
        </w:tc>
        <w:tc>
          <w:tcPr>
            <w:tcW w:w="3085" w:type="pct"/>
            <w:gridSpan w:val="2"/>
            <w:tcMar>
              <w:left w:w="115" w:type="dxa"/>
              <w:right w:w="115" w:type="dxa"/>
            </w:tcMar>
          </w:tcPr>
          <w:p w14:paraId="0C21B2E6" w14:textId="77777777" w:rsidR="00FA7EEB" w:rsidRPr="001570EA" w:rsidRDefault="00FA7EEB">
            <w:pPr>
              <w:pStyle w:val="TableCell"/>
              <w:keepNext w:val="0"/>
              <w:spacing w:before="60" w:after="60"/>
              <w:jc w:val="center"/>
            </w:pPr>
            <w:r w:rsidRPr="001570EA">
              <w:t>R-38</w:t>
            </w:r>
          </w:p>
        </w:tc>
      </w:tr>
      <w:tr w:rsidR="00FA7EEB" w:rsidRPr="001570EA" w14:paraId="4930F434" w14:textId="77777777">
        <w:trPr>
          <w:cantSplit/>
          <w:trHeight w:val="317"/>
        </w:trPr>
        <w:tc>
          <w:tcPr>
            <w:tcW w:w="1915" w:type="pct"/>
            <w:tcMar>
              <w:left w:w="115" w:type="dxa"/>
              <w:right w:w="115" w:type="dxa"/>
            </w:tcMar>
          </w:tcPr>
          <w:p w14:paraId="33120751" w14:textId="77777777" w:rsidR="00FA7EEB" w:rsidRPr="001570EA" w:rsidRDefault="00FA7EEB">
            <w:pPr>
              <w:pStyle w:val="TableCell"/>
              <w:keepNext w:val="0"/>
              <w:spacing w:before="60" w:after="60"/>
              <w:jc w:val="left"/>
            </w:pPr>
            <w:r w:rsidRPr="001570EA">
              <w:t>Exterior floor insulation R-value</w:t>
            </w:r>
          </w:p>
        </w:tc>
        <w:tc>
          <w:tcPr>
            <w:tcW w:w="3085" w:type="pct"/>
            <w:gridSpan w:val="2"/>
            <w:tcMar>
              <w:left w:w="115" w:type="dxa"/>
              <w:right w:w="115" w:type="dxa"/>
            </w:tcMar>
          </w:tcPr>
          <w:p w14:paraId="55AF8292" w14:textId="77777777" w:rsidR="00FA7EEB" w:rsidRPr="001570EA" w:rsidRDefault="00FA7EEB">
            <w:pPr>
              <w:pStyle w:val="TableCell"/>
              <w:keepNext w:val="0"/>
              <w:spacing w:before="60" w:after="60"/>
              <w:jc w:val="center"/>
            </w:pPr>
            <w:r w:rsidRPr="001570EA">
              <w:t>R-33</w:t>
            </w:r>
          </w:p>
        </w:tc>
      </w:tr>
      <w:tr w:rsidR="00FA7EEB" w:rsidRPr="001570EA" w14:paraId="4735FA2B" w14:textId="77777777">
        <w:trPr>
          <w:cantSplit/>
          <w:trHeight w:val="317"/>
        </w:trPr>
        <w:tc>
          <w:tcPr>
            <w:tcW w:w="1915" w:type="pct"/>
            <w:tcMar>
              <w:left w:w="115" w:type="dxa"/>
              <w:right w:w="115" w:type="dxa"/>
            </w:tcMar>
          </w:tcPr>
          <w:p w14:paraId="76154E92" w14:textId="77777777" w:rsidR="00FA7EEB" w:rsidRPr="001570EA" w:rsidRDefault="00FA7EEB">
            <w:pPr>
              <w:pStyle w:val="TableCell"/>
              <w:keepNext w:val="0"/>
              <w:spacing w:before="60" w:after="60"/>
              <w:jc w:val="left"/>
            </w:pPr>
            <w:r w:rsidRPr="001570EA">
              <w:t>Window U-factor</w:t>
            </w:r>
          </w:p>
        </w:tc>
        <w:tc>
          <w:tcPr>
            <w:tcW w:w="3085" w:type="pct"/>
            <w:gridSpan w:val="2"/>
            <w:tcMar>
              <w:left w:w="115" w:type="dxa"/>
              <w:right w:w="115" w:type="dxa"/>
            </w:tcMar>
          </w:tcPr>
          <w:p w14:paraId="2A743585" w14:textId="77777777" w:rsidR="00FA7EEB" w:rsidRPr="001570EA" w:rsidRDefault="00FA7EEB">
            <w:pPr>
              <w:pStyle w:val="TableCell"/>
              <w:keepNext w:val="0"/>
              <w:spacing w:before="60" w:after="60"/>
              <w:jc w:val="center"/>
            </w:pPr>
            <w:r w:rsidRPr="001570EA">
              <w:t>0.30</w:t>
            </w:r>
          </w:p>
        </w:tc>
      </w:tr>
      <w:tr w:rsidR="00FA7EEB" w:rsidRPr="001570EA" w14:paraId="49BC00E7" w14:textId="77777777">
        <w:trPr>
          <w:cantSplit/>
          <w:trHeight w:val="317"/>
        </w:trPr>
        <w:tc>
          <w:tcPr>
            <w:tcW w:w="1915" w:type="pct"/>
            <w:tcBorders>
              <w:bottom w:val="single" w:sz="4" w:space="0" w:color="auto"/>
            </w:tcBorders>
            <w:tcMar>
              <w:left w:w="115" w:type="dxa"/>
              <w:right w:w="115" w:type="dxa"/>
            </w:tcMar>
          </w:tcPr>
          <w:p w14:paraId="7CCB2F11" w14:textId="77777777" w:rsidR="00FA7EEB" w:rsidRPr="001570EA" w:rsidRDefault="00FA7EEB">
            <w:pPr>
              <w:pStyle w:val="TableCell"/>
              <w:keepNext w:val="0"/>
              <w:spacing w:before="60" w:after="60"/>
              <w:jc w:val="left"/>
            </w:pPr>
            <w:r w:rsidRPr="001570EA">
              <w:t>Door U-factor</w:t>
            </w:r>
          </w:p>
        </w:tc>
        <w:tc>
          <w:tcPr>
            <w:tcW w:w="3085" w:type="pct"/>
            <w:gridSpan w:val="2"/>
            <w:tcBorders>
              <w:bottom w:val="single" w:sz="4" w:space="0" w:color="auto"/>
            </w:tcBorders>
            <w:tcMar>
              <w:left w:w="115" w:type="dxa"/>
              <w:right w:w="115" w:type="dxa"/>
            </w:tcMar>
          </w:tcPr>
          <w:p w14:paraId="19D98B26" w14:textId="77777777" w:rsidR="00FA7EEB" w:rsidRPr="001570EA" w:rsidRDefault="00FA7EEB">
            <w:pPr>
              <w:pStyle w:val="TableCell"/>
              <w:keepNext w:val="0"/>
              <w:spacing w:before="60" w:after="60"/>
              <w:jc w:val="center"/>
            </w:pPr>
            <w:r w:rsidRPr="001570EA">
              <w:t>0.30</w:t>
            </w:r>
          </w:p>
        </w:tc>
      </w:tr>
      <w:tr w:rsidR="00FA7EEB" w:rsidRPr="001570EA" w14:paraId="38ADF3A4" w14:textId="77777777">
        <w:trPr>
          <w:cantSplit/>
          <w:trHeight w:val="31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5" w:type="dxa"/>
              <w:right w:w="115" w:type="dxa"/>
            </w:tcMar>
            <w:vAlign w:val="center"/>
          </w:tcPr>
          <w:p w14:paraId="4C7B7E6D" w14:textId="77777777" w:rsidR="00FA7EEB" w:rsidRPr="001570EA" w:rsidRDefault="00FA7EEB">
            <w:pPr>
              <w:pStyle w:val="TableCell"/>
              <w:keepNext w:val="0"/>
              <w:spacing w:before="60" w:after="60"/>
              <w:jc w:val="left"/>
              <w:rPr>
                <w:b/>
              </w:rPr>
            </w:pPr>
            <w:r w:rsidRPr="001570EA">
              <w:rPr>
                <w:b/>
              </w:rPr>
              <w:t>OR Performance Requirements</w:t>
            </w:r>
          </w:p>
        </w:tc>
      </w:tr>
      <w:tr w:rsidR="00FA7EEB" w:rsidRPr="001570EA" w14:paraId="2B058E48" w14:textId="77777777">
        <w:trPr>
          <w:cantSplit/>
          <w:trHeight w:val="259"/>
        </w:trPr>
        <w:tc>
          <w:tcPr>
            <w:tcW w:w="1915" w:type="pct"/>
            <w:tcBorders>
              <w:top w:val="single" w:sz="4" w:space="0" w:color="auto"/>
            </w:tcBorders>
            <w:tcMar>
              <w:left w:w="115" w:type="dxa"/>
              <w:right w:w="115" w:type="dxa"/>
            </w:tcMar>
            <w:vAlign w:val="center"/>
          </w:tcPr>
          <w:p w14:paraId="04689E78" w14:textId="77777777" w:rsidR="00FA7EEB" w:rsidRPr="001570EA" w:rsidRDefault="00FA7EEB">
            <w:pPr>
              <w:pStyle w:val="TableCell"/>
              <w:keepNext w:val="0"/>
              <w:spacing w:before="60" w:after="60"/>
              <w:jc w:val="left"/>
              <w:rPr>
                <w:rFonts w:ascii="Arial Unicode MS" w:eastAsia="Arial Unicode MS" w:hAnsi="Arial Unicode MS" w:cs="Arial Unicode MS"/>
              </w:rPr>
            </w:pPr>
            <w:r w:rsidRPr="001570EA">
              <w:t>Single-section overall thermal transmittance (U</w:t>
            </w:r>
            <w:r w:rsidRPr="001570EA">
              <w:rPr>
                <w:vertAlign w:val="subscript"/>
              </w:rPr>
              <w:t>o</w:t>
            </w:r>
            <w:r w:rsidRPr="001570EA">
              <w:t>)</w:t>
            </w:r>
          </w:p>
        </w:tc>
        <w:tc>
          <w:tcPr>
            <w:tcW w:w="1621" w:type="pct"/>
            <w:tcBorders>
              <w:top w:val="single" w:sz="4" w:space="0" w:color="auto"/>
            </w:tcBorders>
            <w:tcMar>
              <w:left w:w="115" w:type="dxa"/>
              <w:right w:w="115" w:type="dxa"/>
            </w:tcMar>
            <w:vAlign w:val="center"/>
          </w:tcPr>
          <w:p w14:paraId="3C940470" w14:textId="77777777" w:rsidR="00FA7EEB" w:rsidRPr="001570EA" w:rsidRDefault="00FA7EEB">
            <w:pPr>
              <w:pStyle w:val="TableCell"/>
              <w:keepNext w:val="0"/>
              <w:spacing w:before="60" w:after="60"/>
              <w:jc w:val="center"/>
              <w:rPr>
                <w:rFonts w:ascii="Arial Unicode MS" w:eastAsia="Arial Unicode MS" w:hAnsi="Arial Unicode MS" w:cs="Arial Unicode MS"/>
              </w:rPr>
            </w:pPr>
            <w:r w:rsidRPr="001570EA">
              <w:t>0.057</w:t>
            </w:r>
          </w:p>
        </w:tc>
        <w:tc>
          <w:tcPr>
            <w:tcW w:w="1464" w:type="pct"/>
            <w:tcBorders>
              <w:top w:val="single" w:sz="4" w:space="0" w:color="auto"/>
            </w:tcBorders>
            <w:vAlign w:val="center"/>
          </w:tcPr>
          <w:p w14:paraId="157B01ED" w14:textId="77777777" w:rsidR="00FA7EEB" w:rsidRPr="001570EA" w:rsidRDefault="00FA7EEB">
            <w:pPr>
              <w:pStyle w:val="TableCell"/>
              <w:keepNext w:val="0"/>
              <w:spacing w:before="60" w:after="60"/>
              <w:jc w:val="center"/>
            </w:pPr>
            <w:r w:rsidRPr="001570EA">
              <w:t>0.054</w:t>
            </w:r>
          </w:p>
        </w:tc>
      </w:tr>
    </w:tbl>
    <w:p w14:paraId="0F3027F1" w14:textId="77777777" w:rsidR="00FA7EEB" w:rsidRPr="001570EA" w:rsidRDefault="00FA7EEB" w:rsidP="00FA7EEB"/>
    <w:p w14:paraId="4578FC7A" w14:textId="77777777" w:rsidR="00FA7EEB" w:rsidRPr="001570EA" w:rsidRDefault="00FA7EEB" w:rsidP="00FA7EEB">
      <w:r w:rsidRPr="001570EA">
        <w:t xml:space="preserve">Additionally, the ENERGY STAR Manufactured Homes program requires that ducts in floor cavities shall be enclosed by floor insulation and that crossover ducts, ducts in unconditioned attics, and other ducts in unconditioned space shall have at least R-8 duct insulation. </w:t>
      </w:r>
    </w:p>
    <w:p w14:paraId="4D7AA970" w14:textId="77777777" w:rsidR="00FA7EEB" w:rsidRPr="001570EA" w:rsidRDefault="00FA7EEB" w:rsidP="00FA7EEB"/>
    <w:p w14:paraId="75C314B6" w14:textId="130EF9E3" w:rsidR="00FA7EEB" w:rsidRPr="001570EA" w:rsidRDefault="00FA7EEB" w:rsidP="00FA7EEB">
      <w:r w:rsidRPr="001570EA">
        <w:t xml:space="preserve">For only multi-section manufactured homes, ENERGY STAR requires additional energy efficiency measures to the required measures listed above. These additional measures are each assigned a point value. The points must sum to at least the program minimum total of 10 points. </w:t>
      </w:r>
      <w:r w:rsidRPr="001570EA">
        <w:fldChar w:fldCharType="begin"/>
      </w:r>
      <w:r w:rsidRPr="001570EA">
        <w:instrText xml:space="preserve"> REF _Ref153806622 \h  \* MERGEFORMAT </w:instrText>
      </w:r>
      <w:r w:rsidRPr="001570EA">
        <w:fldChar w:fldCharType="separate"/>
      </w:r>
      <w:r w:rsidR="00234C6C" w:rsidRPr="001570EA">
        <w:t xml:space="preserve">Table </w:t>
      </w:r>
      <w:r w:rsidR="00234C6C" w:rsidRPr="001570EA">
        <w:rPr>
          <w:noProof/>
        </w:rPr>
        <w:t>2</w:t>
      </w:r>
      <w:r w:rsidR="00234C6C" w:rsidRPr="001570EA">
        <w:rPr>
          <w:noProof/>
        </w:rPr>
        <w:noBreakHyphen/>
        <w:t>163</w:t>
      </w:r>
      <w:r w:rsidRPr="001570EA">
        <w:fldChar w:fldCharType="end"/>
      </w:r>
      <w:r w:rsidRPr="001570EA">
        <w:t xml:space="preserve"> presents the point values for climate zone 3.</w:t>
      </w:r>
    </w:p>
    <w:p w14:paraId="57FE80F4" w14:textId="77777777" w:rsidR="00FA7EEB" w:rsidRPr="001570EA" w:rsidRDefault="00FA7EEB" w:rsidP="00FA7EEB"/>
    <w:p w14:paraId="59A5EDC6" w14:textId="53B22EBC" w:rsidR="00FA7EEB" w:rsidRPr="001570EA" w:rsidRDefault="00FA7EEB" w:rsidP="00FA7EEB">
      <w:pPr>
        <w:pStyle w:val="Caption"/>
      </w:pPr>
      <w:bookmarkStart w:id="1233" w:name="_Ref15380662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163</w:t>
      </w:r>
      <w:r w:rsidR="002E093A" w:rsidRPr="001570EA">
        <w:fldChar w:fldCharType="end"/>
      </w:r>
      <w:bookmarkEnd w:id="1233"/>
      <w:r w:rsidRPr="001570EA">
        <w:t>: ENERGY STAR Manufactured Homes Program Optional Measure Point Values for Multi-Section Homes</w:t>
      </w:r>
    </w:p>
    <w:tbl>
      <w:tblPr>
        <w:tblStyle w:val="TableGrid"/>
        <w:tblW w:w="8545" w:type="dxa"/>
        <w:tblLook w:val="04A0" w:firstRow="1" w:lastRow="0" w:firstColumn="1" w:lastColumn="0" w:noHBand="0" w:noVBand="1"/>
      </w:tblPr>
      <w:tblGrid>
        <w:gridCol w:w="3582"/>
        <w:gridCol w:w="3613"/>
        <w:gridCol w:w="1350"/>
      </w:tblGrid>
      <w:tr w:rsidR="00FA7EEB" w:rsidRPr="001570EA" w14:paraId="4E19B0EC" w14:textId="77777777">
        <w:tc>
          <w:tcPr>
            <w:tcW w:w="7195" w:type="dxa"/>
            <w:gridSpan w:val="2"/>
            <w:shd w:val="clear" w:color="auto" w:fill="BFBFBF" w:themeFill="background1" w:themeFillShade="BF"/>
          </w:tcPr>
          <w:p w14:paraId="4D9FBCAA" w14:textId="77777777" w:rsidR="00FA7EEB" w:rsidRPr="001570EA" w:rsidRDefault="00FA7EEB">
            <w:pPr>
              <w:rPr>
                <w:b/>
                <w:bCs/>
              </w:rPr>
            </w:pPr>
            <w:r w:rsidRPr="001570EA">
              <w:rPr>
                <w:b/>
                <w:bCs/>
              </w:rPr>
              <w:t>Energy Efficiency Measure</w:t>
            </w:r>
          </w:p>
        </w:tc>
        <w:tc>
          <w:tcPr>
            <w:tcW w:w="1350" w:type="dxa"/>
            <w:shd w:val="clear" w:color="auto" w:fill="BFBFBF" w:themeFill="background1" w:themeFillShade="BF"/>
          </w:tcPr>
          <w:p w14:paraId="0415A9A4" w14:textId="77777777" w:rsidR="00FA7EEB" w:rsidRPr="001570EA" w:rsidRDefault="00FA7EEB">
            <w:pPr>
              <w:rPr>
                <w:b/>
                <w:bCs/>
              </w:rPr>
            </w:pPr>
            <w:r w:rsidRPr="001570EA">
              <w:rPr>
                <w:b/>
                <w:bCs/>
              </w:rPr>
              <w:t>Point Value</w:t>
            </w:r>
          </w:p>
        </w:tc>
      </w:tr>
      <w:tr w:rsidR="00FA7EEB" w:rsidRPr="001570EA" w14:paraId="4055DCC2" w14:textId="77777777">
        <w:tc>
          <w:tcPr>
            <w:tcW w:w="8545" w:type="dxa"/>
            <w:gridSpan w:val="3"/>
            <w:shd w:val="clear" w:color="auto" w:fill="D9D9D9" w:themeFill="background1" w:themeFillShade="D9"/>
          </w:tcPr>
          <w:p w14:paraId="4AA53E5A" w14:textId="77777777" w:rsidR="00FA7EEB" w:rsidRPr="001570EA" w:rsidRDefault="00FA7EEB">
            <w:pPr>
              <w:rPr>
                <w:b/>
                <w:bCs/>
              </w:rPr>
            </w:pPr>
            <w:r w:rsidRPr="001570EA">
              <w:rPr>
                <w:b/>
                <w:bCs/>
              </w:rPr>
              <w:t>Mandatory requir</w:t>
            </w:r>
            <w:r w:rsidRPr="001570EA">
              <w:rPr>
                <w:b/>
                <w:bCs/>
                <w:shd w:val="clear" w:color="auto" w:fill="D9D9D9" w:themeFill="background1" w:themeFillShade="D9"/>
              </w:rPr>
              <w:t>ements</w:t>
            </w:r>
          </w:p>
        </w:tc>
      </w:tr>
      <w:tr w:rsidR="00FA7EEB" w:rsidRPr="001570EA" w14:paraId="66F582E2" w14:textId="77777777">
        <w:tc>
          <w:tcPr>
            <w:tcW w:w="7195" w:type="dxa"/>
            <w:gridSpan w:val="2"/>
          </w:tcPr>
          <w:p w14:paraId="3902E50E" w14:textId="2C756085" w:rsidR="00FA7EEB" w:rsidRPr="001570EA" w:rsidRDefault="00FA7EEB">
            <w:r w:rsidRPr="001570EA">
              <w:t xml:space="preserve">All requirements in </w:t>
            </w:r>
            <w:r w:rsidRPr="001570EA">
              <w:fldChar w:fldCharType="begin"/>
            </w:r>
            <w:r w:rsidRPr="001570EA">
              <w:instrText xml:space="preserve"> REF _Ref153805839 \h  \* MERGEFORMAT </w:instrText>
            </w:r>
            <w:r w:rsidRPr="001570EA">
              <w:fldChar w:fldCharType="separate"/>
            </w:r>
            <w:r w:rsidR="00234C6C" w:rsidRPr="001570EA">
              <w:t xml:space="preserve">Table </w:t>
            </w:r>
            <w:r w:rsidR="00234C6C" w:rsidRPr="001570EA">
              <w:rPr>
                <w:noProof/>
              </w:rPr>
              <w:t>2</w:t>
            </w:r>
            <w:r w:rsidR="00234C6C" w:rsidRPr="001570EA">
              <w:rPr>
                <w:noProof/>
              </w:rPr>
              <w:noBreakHyphen/>
              <w:t>162</w:t>
            </w:r>
            <w:r w:rsidRPr="001570EA">
              <w:fldChar w:fldCharType="end"/>
            </w:r>
          </w:p>
        </w:tc>
        <w:tc>
          <w:tcPr>
            <w:tcW w:w="1350" w:type="dxa"/>
          </w:tcPr>
          <w:p w14:paraId="3F1A171D" w14:textId="77777777" w:rsidR="00FA7EEB" w:rsidRPr="001570EA" w:rsidRDefault="00FA7EEB">
            <w:pPr>
              <w:jc w:val="center"/>
            </w:pPr>
            <w:r w:rsidRPr="001570EA">
              <w:t>2.0</w:t>
            </w:r>
          </w:p>
        </w:tc>
      </w:tr>
      <w:tr w:rsidR="00FA7EEB" w:rsidRPr="001570EA" w14:paraId="021E848F" w14:textId="77777777">
        <w:tc>
          <w:tcPr>
            <w:tcW w:w="8545" w:type="dxa"/>
            <w:gridSpan w:val="3"/>
            <w:shd w:val="clear" w:color="auto" w:fill="D9D9D9" w:themeFill="background1" w:themeFillShade="D9"/>
          </w:tcPr>
          <w:p w14:paraId="73AAFFA6" w14:textId="77777777" w:rsidR="00FA7EEB" w:rsidRPr="001570EA" w:rsidRDefault="00FA7EEB">
            <w:pPr>
              <w:rPr>
                <w:b/>
                <w:bCs/>
              </w:rPr>
            </w:pPr>
            <w:r w:rsidRPr="001570EA">
              <w:rPr>
                <w:b/>
                <w:bCs/>
              </w:rPr>
              <w:t>Optional Envelope Improvements</w:t>
            </w:r>
          </w:p>
        </w:tc>
      </w:tr>
      <w:tr w:rsidR="00FA7EEB" w:rsidRPr="001570EA" w14:paraId="501C40DF" w14:textId="77777777">
        <w:tc>
          <w:tcPr>
            <w:tcW w:w="7195" w:type="dxa"/>
            <w:gridSpan w:val="2"/>
          </w:tcPr>
          <w:p w14:paraId="67D02229" w14:textId="77777777" w:rsidR="00FA7EEB" w:rsidRPr="001570EA" w:rsidRDefault="00FA7EEB">
            <w:r w:rsidRPr="001570EA">
              <w:t>Coefficient of heat transmission (U</w:t>
            </w:r>
            <w:r w:rsidRPr="001570EA">
              <w:rPr>
                <w:vertAlign w:val="subscript"/>
              </w:rPr>
              <w:t>o</w:t>
            </w:r>
            <w:r w:rsidRPr="001570EA">
              <w:t xml:space="preserve">) </w:t>
            </w:r>
            <w:r w:rsidRPr="001570EA">
              <w:rPr>
                <w:rFonts w:cs="Arial"/>
              </w:rPr>
              <w:t>≤</w:t>
            </w:r>
            <w:r w:rsidRPr="001570EA">
              <w:t xml:space="preserve"> 0.049</w:t>
            </w:r>
          </w:p>
        </w:tc>
        <w:tc>
          <w:tcPr>
            <w:tcW w:w="1350" w:type="dxa"/>
          </w:tcPr>
          <w:p w14:paraId="36BB724A" w14:textId="77777777" w:rsidR="00FA7EEB" w:rsidRPr="001570EA" w:rsidRDefault="00FA7EEB">
            <w:pPr>
              <w:jc w:val="center"/>
            </w:pPr>
            <w:r w:rsidRPr="001570EA">
              <w:t>4.5</w:t>
            </w:r>
          </w:p>
        </w:tc>
      </w:tr>
      <w:tr w:rsidR="00FA7EEB" w:rsidRPr="001570EA" w14:paraId="5B34A8D9" w14:textId="77777777">
        <w:tc>
          <w:tcPr>
            <w:tcW w:w="8545" w:type="dxa"/>
            <w:gridSpan w:val="3"/>
            <w:shd w:val="clear" w:color="auto" w:fill="D9D9D9" w:themeFill="background1" w:themeFillShade="D9"/>
          </w:tcPr>
          <w:p w14:paraId="66F1897F" w14:textId="77777777" w:rsidR="00FA7EEB" w:rsidRPr="001570EA" w:rsidRDefault="00FA7EEB">
            <w:pPr>
              <w:rPr>
                <w:b/>
                <w:bCs/>
              </w:rPr>
            </w:pPr>
            <w:r w:rsidRPr="001570EA">
              <w:rPr>
                <w:b/>
                <w:bCs/>
              </w:rPr>
              <w:t>Optional Heating and Cooling Equipment</w:t>
            </w:r>
          </w:p>
        </w:tc>
      </w:tr>
      <w:tr w:rsidR="00FA7EEB" w:rsidRPr="001570EA" w14:paraId="6B29A38D" w14:textId="77777777">
        <w:tc>
          <w:tcPr>
            <w:tcW w:w="7195" w:type="dxa"/>
            <w:gridSpan w:val="2"/>
          </w:tcPr>
          <w:p w14:paraId="0E3E7343" w14:textId="77777777" w:rsidR="00FA7EEB" w:rsidRPr="001570EA" w:rsidRDefault="00FA7EEB">
            <w:r w:rsidRPr="001570EA">
              <w:t xml:space="preserve">Heat pump </w:t>
            </w:r>
            <w:r w:rsidRPr="001570EA">
              <w:rPr>
                <w:rFonts w:cs="Arial"/>
              </w:rPr>
              <w:t>≥</w:t>
            </w:r>
            <w:r w:rsidRPr="001570EA">
              <w:t xml:space="preserve"> 7.5 HSPF2 / 14.3 SEER2</w:t>
            </w:r>
          </w:p>
        </w:tc>
        <w:tc>
          <w:tcPr>
            <w:tcW w:w="1350" w:type="dxa"/>
          </w:tcPr>
          <w:p w14:paraId="0CD8906F" w14:textId="77777777" w:rsidR="00FA7EEB" w:rsidRPr="001570EA" w:rsidRDefault="00FA7EEB">
            <w:pPr>
              <w:jc w:val="center"/>
            </w:pPr>
            <w:r w:rsidRPr="001570EA">
              <w:t>17.0</w:t>
            </w:r>
          </w:p>
        </w:tc>
      </w:tr>
      <w:tr w:rsidR="00FA7EEB" w:rsidRPr="001570EA" w14:paraId="588B3A85" w14:textId="77777777">
        <w:tc>
          <w:tcPr>
            <w:tcW w:w="7195" w:type="dxa"/>
            <w:gridSpan w:val="2"/>
          </w:tcPr>
          <w:p w14:paraId="37743F06" w14:textId="77777777" w:rsidR="00FA7EEB" w:rsidRPr="001570EA" w:rsidRDefault="00FA7EEB">
            <w:r w:rsidRPr="001570EA">
              <w:t xml:space="preserve">Gas / propane Furnace </w:t>
            </w:r>
            <w:r w:rsidRPr="001570EA">
              <w:rPr>
                <w:rFonts w:cs="Arial"/>
              </w:rPr>
              <w:t>≥</w:t>
            </w:r>
            <w:r w:rsidRPr="001570EA">
              <w:t xml:space="preserve"> 90 AFUE</w:t>
            </w:r>
          </w:p>
        </w:tc>
        <w:tc>
          <w:tcPr>
            <w:tcW w:w="1350" w:type="dxa"/>
          </w:tcPr>
          <w:p w14:paraId="01A2AB1D" w14:textId="77777777" w:rsidR="00FA7EEB" w:rsidRPr="001570EA" w:rsidRDefault="00FA7EEB">
            <w:pPr>
              <w:jc w:val="center"/>
            </w:pPr>
            <w:r w:rsidRPr="001570EA">
              <w:t>5.5</w:t>
            </w:r>
          </w:p>
        </w:tc>
      </w:tr>
      <w:tr w:rsidR="00FA7EEB" w:rsidRPr="001570EA" w14:paraId="0E6510EC" w14:textId="77777777">
        <w:tc>
          <w:tcPr>
            <w:tcW w:w="7195" w:type="dxa"/>
            <w:gridSpan w:val="2"/>
          </w:tcPr>
          <w:p w14:paraId="7050E8FD" w14:textId="77777777" w:rsidR="00FA7EEB" w:rsidRPr="001570EA" w:rsidRDefault="00FA7EEB">
            <w:r w:rsidRPr="001570EA">
              <w:t xml:space="preserve">Gas / propane Furnace </w:t>
            </w:r>
            <w:r w:rsidRPr="001570EA">
              <w:rPr>
                <w:rFonts w:cs="Arial"/>
              </w:rPr>
              <w:t>≥</w:t>
            </w:r>
            <w:r w:rsidRPr="001570EA">
              <w:t xml:space="preserve"> 95 AFUE</w:t>
            </w:r>
          </w:p>
        </w:tc>
        <w:tc>
          <w:tcPr>
            <w:tcW w:w="1350" w:type="dxa"/>
          </w:tcPr>
          <w:p w14:paraId="6B07340F" w14:textId="77777777" w:rsidR="00FA7EEB" w:rsidRPr="001570EA" w:rsidRDefault="00FA7EEB">
            <w:pPr>
              <w:jc w:val="center"/>
            </w:pPr>
            <w:r w:rsidRPr="001570EA">
              <w:t>7.5</w:t>
            </w:r>
          </w:p>
        </w:tc>
      </w:tr>
      <w:tr w:rsidR="00FA7EEB" w:rsidRPr="001570EA" w14:paraId="0E667D10" w14:textId="77777777">
        <w:tc>
          <w:tcPr>
            <w:tcW w:w="7195" w:type="dxa"/>
            <w:gridSpan w:val="2"/>
          </w:tcPr>
          <w:p w14:paraId="5646EFBF" w14:textId="77777777" w:rsidR="00FA7EEB" w:rsidRPr="001570EA" w:rsidRDefault="00FA7EEB">
            <w:r w:rsidRPr="001570EA">
              <w:t xml:space="preserve">Gas / propane Furnace </w:t>
            </w:r>
            <w:r w:rsidRPr="001570EA">
              <w:rPr>
                <w:rFonts w:cs="Arial"/>
              </w:rPr>
              <w:t>≥</w:t>
            </w:r>
            <w:r w:rsidRPr="001570EA">
              <w:t xml:space="preserve"> 96 AFUE</w:t>
            </w:r>
          </w:p>
        </w:tc>
        <w:tc>
          <w:tcPr>
            <w:tcW w:w="1350" w:type="dxa"/>
          </w:tcPr>
          <w:p w14:paraId="7A684D32" w14:textId="77777777" w:rsidR="00FA7EEB" w:rsidRPr="001570EA" w:rsidRDefault="00FA7EEB">
            <w:pPr>
              <w:jc w:val="center"/>
            </w:pPr>
            <w:r w:rsidRPr="001570EA">
              <w:t>8.5</w:t>
            </w:r>
          </w:p>
        </w:tc>
      </w:tr>
      <w:tr w:rsidR="00FA7EEB" w:rsidRPr="001570EA" w14:paraId="6C74FB3D" w14:textId="77777777">
        <w:tc>
          <w:tcPr>
            <w:tcW w:w="8545" w:type="dxa"/>
            <w:gridSpan w:val="3"/>
            <w:shd w:val="clear" w:color="auto" w:fill="D9D9D9" w:themeFill="background1" w:themeFillShade="D9"/>
          </w:tcPr>
          <w:p w14:paraId="0CD89912" w14:textId="77777777" w:rsidR="00FA7EEB" w:rsidRPr="001570EA" w:rsidRDefault="00FA7EEB">
            <w:pPr>
              <w:rPr>
                <w:b/>
                <w:bCs/>
              </w:rPr>
            </w:pPr>
            <w:r w:rsidRPr="001570EA">
              <w:rPr>
                <w:b/>
                <w:bCs/>
              </w:rPr>
              <w:t>Optional Water Heater Equipment</w:t>
            </w:r>
          </w:p>
        </w:tc>
      </w:tr>
      <w:tr w:rsidR="00FA7EEB" w:rsidRPr="001570EA" w14:paraId="76C51327" w14:textId="77777777">
        <w:tc>
          <w:tcPr>
            <w:tcW w:w="7195" w:type="dxa"/>
            <w:gridSpan w:val="2"/>
          </w:tcPr>
          <w:p w14:paraId="5ED739BC" w14:textId="77777777" w:rsidR="00FA7EEB" w:rsidRPr="001570EA" w:rsidRDefault="00FA7EEB">
            <w:r w:rsidRPr="001570EA">
              <w:t xml:space="preserve">Gas / Propane Water Heater </w:t>
            </w:r>
            <w:r w:rsidRPr="001570EA">
              <w:rPr>
                <w:rFonts w:cs="Arial"/>
              </w:rPr>
              <w:t>≥ 0.93 UEF</w:t>
            </w:r>
          </w:p>
        </w:tc>
        <w:tc>
          <w:tcPr>
            <w:tcW w:w="1350" w:type="dxa"/>
          </w:tcPr>
          <w:p w14:paraId="01CED4C4" w14:textId="77777777" w:rsidR="00FA7EEB" w:rsidRPr="001570EA" w:rsidRDefault="00FA7EEB">
            <w:pPr>
              <w:jc w:val="center"/>
            </w:pPr>
            <w:r w:rsidRPr="001570EA">
              <w:t>0.5</w:t>
            </w:r>
          </w:p>
        </w:tc>
      </w:tr>
      <w:tr w:rsidR="00FA7EEB" w:rsidRPr="001570EA" w14:paraId="67055258" w14:textId="77777777">
        <w:tc>
          <w:tcPr>
            <w:tcW w:w="3582" w:type="dxa"/>
          </w:tcPr>
          <w:p w14:paraId="017CC8F8" w14:textId="77777777" w:rsidR="00FA7EEB" w:rsidRPr="001570EA" w:rsidRDefault="00FA7EEB">
            <w:r w:rsidRPr="001570EA">
              <w:t xml:space="preserve">Heat pump water heater </w:t>
            </w:r>
            <w:r w:rsidRPr="001570EA">
              <w:rPr>
                <w:rFonts w:cs="Arial"/>
              </w:rPr>
              <w:t>≥ 2.20 UEF</w:t>
            </w:r>
          </w:p>
        </w:tc>
        <w:tc>
          <w:tcPr>
            <w:tcW w:w="3613" w:type="dxa"/>
            <w:vMerge w:val="restart"/>
          </w:tcPr>
          <w:p w14:paraId="2B3677A2" w14:textId="77777777" w:rsidR="00FA7EEB" w:rsidRPr="001570EA" w:rsidRDefault="00FA7EEB">
            <w:r w:rsidRPr="001570EA">
              <w:t>With electric furnace, electric strip, or electric baseboard primary heating</w:t>
            </w:r>
          </w:p>
        </w:tc>
        <w:tc>
          <w:tcPr>
            <w:tcW w:w="1350" w:type="dxa"/>
          </w:tcPr>
          <w:p w14:paraId="63985BC4" w14:textId="77777777" w:rsidR="00FA7EEB" w:rsidRPr="001570EA" w:rsidRDefault="00FA7EEB">
            <w:pPr>
              <w:jc w:val="center"/>
            </w:pPr>
            <w:r w:rsidRPr="001570EA">
              <w:t>1.5</w:t>
            </w:r>
          </w:p>
        </w:tc>
      </w:tr>
      <w:tr w:rsidR="00FA7EEB" w:rsidRPr="001570EA" w14:paraId="3B8A6204" w14:textId="77777777">
        <w:tc>
          <w:tcPr>
            <w:tcW w:w="3582" w:type="dxa"/>
          </w:tcPr>
          <w:p w14:paraId="5234DDEC" w14:textId="77777777" w:rsidR="00FA7EEB" w:rsidRPr="001570EA" w:rsidRDefault="00FA7EEB">
            <w:r w:rsidRPr="001570EA">
              <w:t xml:space="preserve">Heat pump water heater </w:t>
            </w:r>
            <w:r w:rsidRPr="001570EA">
              <w:rPr>
                <w:rFonts w:cs="Arial"/>
              </w:rPr>
              <w:t>≥ 3.30 UEF</w:t>
            </w:r>
          </w:p>
        </w:tc>
        <w:tc>
          <w:tcPr>
            <w:tcW w:w="3613" w:type="dxa"/>
            <w:vMerge/>
          </w:tcPr>
          <w:p w14:paraId="51328C69" w14:textId="77777777" w:rsidR="00FA7EEB" w:rsidRPr="001570EA" w:rsidRDefault="00FA7EEB"/>
        </w:tc>
        <w:tc>
          <w:tcPr>
            <w:tcW w:w="1350" w:type="dxa"/>
          </w:tcPr>
          <w:p w14:paraId="1B4184A5" w14:textId="77777777" w:rsidR="00FA7EEB" w:rsidRPr="001570EA" w:rsidRDefault="00FA7EEB">
            <w:pPr>
              <w:jc w:val="center"/>
            </w:pPr>
            <w:r w:rsidRPr="001570EA">
              <w:t>1.5</w:t>
            </w:r>
          </w:p>
        </w:tc>
      </w:tr>
      <w:tr w:rsidR="00FA7EEB" w:rsidRPr="001570EA" w14:paraId="09669F02" w14:textId="77777777">
        <w:tc>
          <w:tcPr>
            <w:tcW w:w="3582" w:type="dxa"/>
          </w:tcPr>
          <w:p w14:paraId="46DF1682" w14:textId="77777777" w:rsidR="00FA7EEB" w:rsidRPr="001570EA" w:rsidRDefault="00FA7EEB">
            <w:r w:rsidRPr="001570EA">
              <w:t xml:space="preserve">Heat pump water heater </w:t>
            </w:r>
            <w:r w:rsidRPr="001570EA">
              <w:rPr>
                <w:rFonts w:cs="Arial"/>
              </w:rPr>
              <w:t>≥ 2.20 UEF</w:t>
            </w:r>
          </w:p>
        </w:tc>
        <w:tc>
          <w:tcPr>
            <w:tcW w:w="3613" w:type="dxa"/>
            <w:vMerge w:val="restart"/>
          </w:tcPr>
          <w:p w14:paraId="776F5802" w14:textId="77777777" w:rsidR="00FA7EEB" w:rsidRPr="001570EA" w:rsidRDefault="00FA7EEB">
            <w:r w:rsidRPr="001570EA">
              <w:t>With all other primary space heating systems</w:t>
            </w:r>
          </w:p>
        </w:tc>
        <w:tc>
          <w:tcPr>
            <w:tcW w:w="1350" w:type="dxa"/>
          </w:tcPr>
          <w:p w14:paraId="05903C51" w14:textId="77777777" w:rsidR="00FA7EEB" w:rsidRPr="001570EA" w:rsidRDefault="00FA7EEB">
            <w:pPr>
              <w:jc w:val="center"/>
            </w:pPr>
            <w:r w:rsidRPr="001570EA">
              <w:t>7.5</w:t>
            </w:r>
          </w:p>
        </w:tc>
      </w:tr>
      <w:tr w:rsidR="00FA7EEB" w:rsidRPr="001570EA" w14:paraId="385E7F1A" w14:textId="77777777">
        <w:tc>
          <w:tcPr>
            <w:tcW w:w="3582" w:type="dxa"/>
          </w:tcPr>
          <w:p w14:paraId="40EED051" w14:textId="77777777" w:rsidR="00FA7EEB" w:rsidRPr="001570EA" w:rsidRDefault="00FA7EEB">
            <w:r w:rsidRPr="001570EA">
              <w:t xml:space="preserve">Heat pump water heater </w:t>
            </w:r>
            <w:r w:rsidRPr="001570EA">
              <w:rPr>
                <w:rFonts w:cs="Arial"/>
              </w:rPr>
              <w:t>≥ 3.30 UEF</w:t>
            </w:r>
          </w:p>
        </w:tc>
        <w:tc>
          <w:tcPr>
            <w:tcW w:w="3613" w:type="dxa"/>
            <w:vMerge/>
          </w:tcPr>
          <w:p w14:paraId="24BA7CEF" w14:textId="77777777" w:rsidR="00FA7EEB" w:rsidRPr="001570EA" w:rsidRDefault="00FA7EEB"/>
        </w:tc>
        <w:tc>
          <w:tcPr>
            <w:tcW w:w="1350" w:type="dxa"/>
          </w:tcPr>
          <w:p w14:paraId="21579792" w14:textId="77777777" w:rsidR="00FA7EEB" w:rsidRPr="001570EA" w:rsidRDefault="00FA7EEB">
            <w:pPr>
              <w:jc w:val="center"/>
            </w:pPr>
            <w:r w:rsidRPr="001570EA">
              <w:t>9.0</w:t>
            </w:r>
          </w:p>
        </w:tc>
      </w:tr>
      <w:tr w:rsidR="00FA7EEB" w:rsidRPr="001570EA" w14:paraId="310098C6" w14:textId="77777777">
        <w:tc>
          <w:tcPr>
            <w:tcW w:w="8545" w:type="dxa"/>
            <w:gridSpan w:val="3"/>
            <w:shd w:val="clear" w:color="auto" w:fill="D9D9D9" w:themeFill="background1" w:themeFillShade="D9"/>
          </w:tcPr>
          <w:p w14:paraId="1C3ED1BA" w14:textId="77777777" w:rsidR="00FA7EEB" w:rsidRPr="001570EA" w:rsidRDefault="00FA7EEB">
            <w:pPr>
              <w:rPr>
                <w:b/>
                <w:bCs/>
              </w:rPr>
            </w:pPr>
            <w:r w:rsidRPr="001570EA">
              <w:rPr>
                <w:b/>
                <w:bCs/>
              </w:rPr>
              <w:t>Optional Lighting, Appliances, and Water Fixtures</w:t>
            </w:r>
          </w:p>
        </w:tc>
      </w:tr>
      <w:tr w:rsidR="00FA7EEB" w:rsidRPr="001570EA" w14:paraId="097C7ED3" w14:textId="77777777">
        <w:tc>
          <w:tcPr>
            <w:tcW w:w="7195" w:type="dxa"/>
            <w:gridSpan w:val="2"/>
          </w:tcPr>
          <w:p w14:paraId="7EF1B35A" w14:textId="77777777" w:rsidR="00FA7EEB" w:rsidRPr="001570EA" w:rsidRDefault="00FA7EEB">
            <w:r w:rsidRPr="001570EA">
              <w:t>LED lighting installed in all permanently installed fixtures</w:t>
            </w:r>
          </w:p>
        </w:tc>
        <w:tc>
          <w:tcPr>
            <w:tcW w:w="1350" w:type="dxa"/>
          </w:tcPr>
          <w:p w14:paraId="197A7238" w14:textId="77777777" w:rsidR="00FA7EEB" w:rsidRPr="001570EA" w:rsidRDefault="00FA7EEB">
            <w:pPr>
              <w:jc w:val="center"/>
            </w:pPr>
            <w:r w:rsidRPr="001570EA">
              <w:t>0.5</w:t>
            </w:r>
          </w:p>
        </w:tc>
      </w:tr>
      <w:tr w:rsidR="00FA7EEB" w:rsidRPr="001570EA" w14:paraId="1F314C98" w14:textId="77777777">
        <w:tc>
          <w:tcPr>
            <w:tcW w:w="7195" w:type="dxa"/>
            <w:gridSpan w:val="2"/>
          </w:tcPr>
          <w:p w14:paraId="081A2C23" w14:textId="77777777" w:rsidR="00FA7EEB" w:rsidRPr="001570EA" w:rsidRDefault="00FA7EEB">
            <w:r w:rsidRPr="001570EA">
              <w:t xml:space="preserve">Bathroom faucets </w:t>
            </w:r>
            <w:r w:rsidRPr="001570EA">
              <w:rPr>
                <w:rFonts w:cs="Arial"/>
              </w:rPr>
              <w:t>≤</w:t>
            </w:r>
            <w:r w:rsidRPr="001570EA">
              <w:t xml:space="preserve"> 1.5 gallons per minute (gpm) and showerheads </w:t>
            </w:r>
            <w:r w:rsidRPr="001570EA">
              <w:rPr>
                <w:rFonts w:cs="Arial"/>
              </w:rPr>
              <w:t>≤</w:t>
            </w:r>
            <w:r w:rsidRPr="001570EA">
              <w:t xml:space="preserve"> 2.0 gpm</w:t>
            </w:r>
          </w:p>
        </w:tc>
        <w:tc>
          <w:tcPr>
            <w:tcW w:w="1350" w:type="dxa"/>
          </w:tcPr>
          <w:p w14:paraId="6F1BF921" w14:textId="77777777" w:rsidR="00FA7EEB" w:rsidRPr="001570EA" w:rsidRDefault="00FA7EEB">
            <w:pPr>
              <w:jc w:val="center"/>
            </w:pPr>
            <w:r w:rsidRPr="001570EA">
              <w:t>0.5</w:t>
            </w:r>
          </w:p>
        </w:tc>
      </w:tr>
      <w:tr w:rsidR="00FA7EEB" w:rsidRPr="001570EA" w14:paraId="51524F93" w14:textId="77777777">
        <w:tc>
          <w:tcPr>
            <w:tcW w:w="7195" w:type="dxa"/>
            <w:gridSpan w:val="2"/>
          </w:tcPr>
          <w:p w14:paraId="41542262" w14:textId="77777777" w:rsidR="00FA7EEB" w:rsidRPr="001570EA" w:rsidRDefault="00FA7EEB">
            <w:r w:rsidRPr="001570EA">
              <w:t>ENERGY STAR certified refrigerator and dishwasher</w:t>
            </w:r>
          </w:p>
        </w:tc>
        <w:tc>
          <w:tcPr>
            <w:tcW w:w="1350" w:type="dxa"/>
          </w:tcPr>
          <w:p w14:paraId="53B7E829" w14:textId="77777777" w:rsidR="00FA7EEB" w:rsidRPr="001570EA" w:rsidRDefault="00FA7EEB">
            <w:pPr>
              <w:jc w:val="center"/>
            </w:pPr>
            <w:r w:rsidRPr="001570EA">
              <w:t>0.5</w:t>
            </w:r>
          </w:p>
        </w:tc>
      </w:tr>
      <w:tr w:rsidR="00FA7EEB" w:rsidRPr="001570EA" w14:paraId="562C7533" w14:textId="77777777">
        <w:tc>
          <w:tcPr>
            <w:tcW w:w="7195" w:type="dxa"/>
            <w:gridSpan w:val="2"/>
          </w:tcPr>
          <w:p w14:paraId="5DC39CB5" w14:textId="77777777" w:rsidR="00FA7EEB" w:rsidRPr="001570EA" w:rsidRDefault="00FA7EEB">
            <w:r w:rsidRPr="001570EA">
              <w:t>ENERGY STAR certified clothes washer</w:t>
            </w:r>
          </w:p>
        </w:tc>
        <w:tc>
          <w:tcPr>
            <w:tcW w:w="1350" w:type="dxa"/>
          </w:tcPr>
          <w:p w14:paraId="345FB195" w14:textId="77777777" w:rsidR="00FA7EEB" w:rsidRPr="001570EA" w:rsidRDefault="00FA7EEB">
            <w:pPr>
              <w:jc w:val="center"/>
            </w:pPr>
            <w:r w:rsidRPr="001570EA">
              <w:t>0.5</w:t>
            </w:r>
          </w:p>
        </w:tc>
      </w:tr>
    </w:tbl>
    <w:p w14:paraId="0298F7BA" w14:textId="77777777" w:rsidR="00FA7EEB" w:rsidRPr="001570EA" w:rsidRDefault="00FA7EEB" w:rsidP="00FA7EEB"/>
    <w:p w14:paraId="41645803" w14:textId="77777777" w:rsidR="00FA7EEB" w:rsidRPr="001570EA" w:rsidRDefault="00FA7EEB" w:rsidP="00FA7EEB"/>
    <w:p w14:paraId="419142D5" w14:textId="77777777" w:rsidR="00FA7EEB" w:rsidRPr="001570EA" w:rsidRDefault="00FA7EEB" w:rsidP="00FA7EEB">
      <w:pPr>
        <w:pStyle w:val="SubStyle"/>
      </w:pPr>
      <w:r w:rsidRPr="001570EA">
        <w:t>Evaluation Protocols</w:t>
      </w:r>
    </w:p>
    <w:p w14:paraId="7CBDCAC1" w14:textId="77777777" w:rsidR="00FA7EEB" w:rsidRPr="001570EA" w:rsidRDefault="00FA7EEB" w:rsidP="00FA7EEB">
      <w:r w:rsidRPr="001570EA">
        <w:t>The most appropriate evaluation protocol for this measure is verification of installation coupled with EDC data gathering.</w:t>
      </w:r>
    </w:p>
    <w:p w14:paraId="1818451A" w14:textId="77777777" w:rsidR="00FA7EEB" w:rsidRPr="001570EA" w:rsidRDefault="00FA7EEB" w:rsidP="00FA7EEB">
      <w:pPr>
        <w:pStyle w:val="SubStyle"/>
      </w:pPr>
    </w:p>
    <w:p w14:paraId="761FBB00" w14:textId="77777777" w:rsidR="00FA7EEB" w:rsidRPr="001570EA" w:rsidRDefault="00FA7EEB" w:rsidP="00FA7EEB">
      <w:pPr>
        <w:pStyle w:val="SubStyle"/>
      </w:pPr>
      <w:r w:rsidRPr="001570EA">
        <w:t>Sources</w:t>
      </w:r>
    </w:p>
    <w:p w14:paraId="3A55F6EC" w14:textId="444D60B8" w:rsidR="00FA7EEB" w:rsidRPr="001570EA" w:rsidRDefault="00FA7EEB" w:rsidP="00152CD6">
      <w:pPr>
        <w:pStyle w:val="source10"/>
        <w:numPr>
          <w:ilvl w:val="3"/>
          <w:numId w:val="71"/>
        </w:numPr>
        <w:spacing w:after="120"/>
        <w:ind w:left="360"/>
        <w:rPr>
          <w:rStyle w:val="Hyperlink"/>
          <w:rFonts w:cs="Arial"/>
          <w:color w:val="auto"/>
          <w:u w:val="none"/>
        </w:rPr>
      </w:pPr>
      <w:r w:rsidRPr="001570EA">
        <w:t xml:space="preserve">Hewes, T. and Peeks, B. (2013, February). “Northwest Energy Efficient Manufactured Housing Program Specification Development”. NREL. </w:t>
      </w:r>
      <w:hyperlink r:id="rId393" w:history="1">
        <w:r w:rsidRPr="001570EA">
          <w:rPr>
            <w:rStyle w:val="Hyperlink"/>
          </w:rPr>
          <w:t>Weblink</w:t>
        </w:r>
      </w:hyperlink>
      <w:r w:rsidRPr="001570EA">
        <w:rPr>
          <w:rStyle w:val="Hyperlink"/>
          <w:u w:val="none"/>
        </w:rPr>
        <w:t xml:space="preserve">. </w:t>
      </w:r>
      <w:r w:rsidRPr="001570EA">
        <w:t>Note: this reference provides measure lives of major home components and not a single home-wide measure life. The ENERGY STAR Manufactured Home program’s requirements and optional measures focus on the building’s envelope and HVAC system, which have measure lives of 45 years and 20 years, respectively. Therefore, the aggregate life for this measure is considered to be 30 years. Note that PA Act 129 savings can be claimed for no more than 15 years, thus the 15</w:t>
      </w:r>
      <w:r w:rsidR="009B192C">
        <w:t>-</w:t>
      </w:r>
      <w:r w:rsidRPr="001570EA">
        <w:t>year measure life.</w:t>
      </w:r>
      <w:r w:rsidR="00131D1D" w:rsidRPr="001570EA">
        <w:rPr>
          <w:rStyle w:val="Hyperlink"/>
          <w:rFonts w:cs="Arial"/>
          <w:color w:val="auto"/>
          <w:u w:val="none"/>
        </w:rPr>
        <w:t xml:space="preserve"> </w:t>
      </w:r>
    </w:p>
    <w:p w14:paraId="0EEE8265" w14:textId="6784408B" w:rsidR="00FA7EEB" w:rsidRPr="001570EA" w:rsidRDefault="00FA7EEB" w:rsidP="00152CD6">
      <w:pPr>
        <w:pStyle w:val="source10"/>
        <w:numPr>
          <w:ilvl w:val="3"/>
          <w:numId w:val="71"/>
        </w:numPr>
        <w:spacing w:after="120"/>
        <w:ind w:left="360"/>
        <w:jc w:val="left"/>
      </w:pPr>
      <w:r w:rsidRPr="001570EA">
        <w:t xml:space="preserve">See the RESNET National Registry of Accredited Rating Software Programs for a complete listing: </w:t>
      </w:r>
      <w:hyperlink r:id="rId394" w:history="1">
        <w:r w:rsidRPr="001570EA">
          <w:rPr>
            <w:rStyle w:val="Hyperlink"/>
            <w:rFonts w:cs="Arial"/>
          </w:rPr>
          <w:t>Weblink</w:t>
        </w:r>
      </w:hyperlink>
      <w:r w:rsidRPr="001570EA">
        <w:t xml:space="preserve"> </w:t>
      </w:r>
    </w:p>
    <w:p w14:paraId="6F0D1B2E" w14:textId="458C7C39" w:rsidR="00FA7EEB" w:rsidRPr="001570EA" w:rsidRDefault="00FA7EEB" w:rsidP="00152CD6">
      <w:pPr>
        <w:pStyle w:val="source10"/>
        <w:numPr>
          <w:ilvl w:val="3"/>
          <w:numId w:val="71"/>
        </w:numPr>
        <w:spacing w:after="120"/>
        <w:ind w:left="360"/>
        <w:jc w:val="left"/>
      </w:pPr>
      <w:r w:rsidRPr="001570EA">
        <w:t xml:space="preserve">Electronic Code of Federal Regulations, 24 CFR Part 3280, “Manufactured Home Construction and Safety Standards.” </w:t>
      </w:r>
      <w:hyperlink r:id="rId395" w:anchor="part-3280" w:history="1">
        <w:r w:rsidRPr="001570EA">
          <w:rPr>
            <w:rStyle w:val="Hyperlink"/>
            <w:rFonts w:cs="Arial"/>
          </w:rPr>
          <w:t>Weblink</w:t>
        </w:r>
      </w:hyperlink>
    </w:p>
    <w:p w14:paraId="64D8A048" w14:textId="7616F6D7" w:rsidR="00FA7EEB" w:rsidRPr="001570EA" w:rsidRDefault="00FA7EEB" w:rsidP="00152CD6">
      <w:pPr>
        <w:pStyle w:val="source10"/>
        <w:numPr>
          <w:ilvl w:val="3"/>
          <w:numId w:val="71"/>
        </w:numPr>
        <w:spacing w:after="120"/>
        <w:ind w:left="360"/>
        <w:jc w:val="left"/>
      </w:pPr>
      <w:r w:rsidRPr="001570EA">
        <w:t xml:space="preserve">Wilson et al. 2021. End-Use Load Profiles for the U.S. Building Stock: Methodology and Results of Model Calibration, Validation, and Uncertainty Quantification. NREL/TP-5500-80889. </w:t>
      </w:r>
      <w:hyperlink r:id="rId396" w:history="1">
        <w:r w:rsidRPr="001570EA">
          <w:rPr>
            <w:rStyle w:val="Hyperlink"/>
          </w:rPr>
          <w:t>Weblink</w:t>
        </w:r>
      </w:hyperlink>
      <w:r w:rsidRPr="001570EA">
        <w:t xml:space="preserve">  </w:t>
      </w:r>
    </w:p>
    <w:p w14:paraId="6589CBA3" w14:textId="57ACFC32" w:rsidR="00FA7EEB" w:rsidRPr="001570EA" w:rsidRDefault="00FA7EEB" w:rsidP="00152CD6">
      <w:pPr>
        <w:pStyle w:val="source10"/>
        <w:numPr>
          <w:ilvl w:val="3"/>
          <w:numId w:val="71"/>
        </w:numPr>
        <w:spacing w:after="120"/>
        <w:ind w:left="360"/>
        <w:jc w:val="left"/>
      </w:pPr>
      <w:r w:rsidRPr="001570EA">
        <w:t xml:space="preserve">Electronic Code of Federal Regulations, 10 CFR Part 460, §460.102. “Building Thermal envelope requirements.” All values shown are applicable to climate zone 3, which includes all of Pennsylvania. </w:t>
      </w:r>
      <w:hyperlink r:id="rId397" w:history="1">
        <w:r w:rsidRPr="001570EA">
          <w:rPr>
            <w:rStyle w:val="Hyperlink"/>
            <w:rFonts w:cs="Arial"/>
          </w:rPr>
          <w:t>Weblink</w:t>
        </w:r>
      </w:hyperlink>
      <w:r w:rsidRPr="001570EA">
        <w:t xml:space="preserve"> </w:t>
      </w:r>
    </w:p>
    <w:p w14:paraId="7256121D" w14:textId="447AE063" w:rsidR="00FA7EEB" w:rsidRPr="001570EA" w:rsidRDefault="00FA7EEB" w:rsidP="00152CD6">
      <w:pPr>
        <w:pStyle w:val="ListParagraph"/>
        <w:numPr>
          <w:ilvl w:val="3"/>
          <w:numId w:val="71"/>
        </w:numPr>
        <w:tabs>
          <w:tab w:val="left" w:pos="3150"/>
        </w:tabs>
        <w:overflowPunct/>
        <w:autoSpaceDE/>
        <w:autoSpaceDN/>
        <w:adjustRightInd/>
        <w:spacing w:after="120" w:line="276" w:lineRule="auto"/>
        <w:ind w:left="360"/>
        <w:jc w:val="left"/>
        <w:textAlignment w:val="auto"/>
      </w:pPr>
      <w:r w:rsidRPr="001570EA">
        <w:rPr>
          <w:rFonts w:cs="Arial"/>
        </w:rPr>
        <w:t xml:space="preserve">U.S. Department of Energy. Energy Conservation Program. Energy Conservation Standards for Manufactured Housing. Effective August 1, 2022. </w:t>
      </w:r>
      <w:hyperlink r:id="rId398" w:history="1">
        <w:r w:rsidRPr="001570EA">
          <w:rPr>
            <w:rStyle w:val="Hyperlink"/>
            <w:rFonts w:cs="Arial"/>
          </w:rPr>
          <w:t>Weblink</w:t>
        </w:r>
      </w:hyperlink>
    </w:p>
    <w:p w14:paraId="6B01E3EF" w14:textId="2253F2FE" w:rsidR="00FA7EEB" w:rsidRPr="001570EA" w:rsidRDefault="00FA7EEB" w:rsidP="00152CD6">
      <w:pPr>
        <w:pStyle w:val="source10"/>
        <w:numPr>
          <w:ilvl w:val="3"/>
          <w:numId w:val="71"/>
        </w:numPr>
        <w:spacing w:after="120"/>
        <w:ind w:left="360"/>
        <w:jc w:val="left"/>
      </w:pPr>
      <w:r w:rsidRPr="001570EA">
        <w:t xml:space="preserve">Electronic Code of Federal Regulations, 24 CFR Part 3280, Subpart B, §3280.103(b). </w:t>
      </w:r>
      <w:hyperlink r:id="rId399" w:anchor="3280.103" w:history="1">
        <w:r w:rsidRPr="001570EA">
          <w:rPr>
            <w:rStyle w:val="Hyperlink"/>
            <w:rFonts w:cs="Arial"/>
          </w:rPr>
          <w:t>Weblink</w:t>
        </w:r>
      </w:hyperlink>
      <w:r w:rsidRPr="001570EA">
        <w:t xml:space="preserve"> </w:t>
      </w:r>
    </w:p>
    <w:p w14:paraId="42923C56" w14:textId="27764E1C" w:rsidR="00FA7EEB" w:rsidRPr="001570EA" w:rsidRDefault="00FA7EEB" w:rsidP="00152CD6">
      <w:pPr>
        <w:pStyle w:val="source10"/>
        <w:numPr>
          <w:ilvl w:val="3"/>
          <w:numId w:val="71"/>
        </w:numPr>
        <w:spacing w:after="120"/>
        <w:ind w:left="360"/>
        <w:jc w:val="left"/>
      </w:pPr>
      <w:r w:rsidRPr="001570EA">
        <w:t xml:space="preserve">2021 International Residential Code, Table N1103.6.2(R403.6.2): Whole-Dwelling Mechanical Ventilation System Fan Efficacy. </w:t>
      </w:r>
      <w:hyperlink r:id="rId400" w:anchor="IRC2021P2_Pt04_Ch11_SecN1103.6.2" w:history="1">
        <w:r w:rsidRPr="001570EA">
          <w:rPr>
            <w:rStyle w:val="Hyperlink"/>
            <w:rFonts w:cs="Arial"/>
          </w:rPr>
          <w:t>Weblink</w:t>
        </w:r>
      </w:hyperlink>
    </w:p>
    <w:p w14:paraId="7F219A76" w14:textId="099DB22C" w:rsidR="00FA7EEB" w:rsidRPr="001570EA" w:rsidRDefault="00FA7EEB" w:rsidP="00152CD6">
      <w:pPr>
        <w:pStyle w:val="source10"/>
        <w:numPr>
          <w:ilvl w:val="3"/>
          <w:numId w:val="71"/>
        </w:numPr>
        <w:spacing w:after="120"/>
        <w:ind w:left="360"/>
        <w:jc w:val="left"/>
      </w:pPr>
      <w:r w:rsidRPr="001570EA">
        <w:t xml:space="preserve">Electronic Code of Federal Regulations, 10 CFR Part 460, §460.202.  “Thermostats and controls.” </w:t>
      </w:r>
      <w:hyperlink r:id="rId401" w:history="1">
        <w:r w:rsidRPr="001570EA">
          <w:rPr>
            <w:rStyle w:val="Hyperlink"/>
            <w:rFonts w:cs="Arial"/>
          </w:rPr>
          <w:t>Weblink</w:t>
        </w:r>
      </w:hyperlink>
      <w:r w:rsidRPr="001570EA">
        <w:t xml:space="preserve"> </w:t>
      </w:r>
    </w:p>
    <w:p w14:paraId="472F9E4C" w14:textId="01C908CC" w:rsidR="00FA7EEB" w:rsidRPr="001570EA" w:rsidRDefault="00FA7EEB" w:rsidP="00152CD6">
      <w:pPr>
        <w:pStyle w:val="ListParagraph"/>
        <w:numPr>
          <w:ilvl w:val="3"/>
          <w:numId w:val="71"/>
        </w:numPr>
        <w:ind w:left="360"/>
        <w:jc w:val="left"/>
      </w:pPr>
      <w:r w:rsidRPr="001570EA">
        <w:rPr>
          <w:rFonts w:cs="Arial"/>
        </w:rPr>
        <w:t>Electronic</w:t>
      </w:r>
      <w:r w:rsidRPr="001570EA">
        <w:t xml:space="preserve"> Code of Federal Regulations, 10 CFR Part 430, Subpart C, §430.32, “Energy Conservation Program for Consumer Products: Energy and Water Conservation Standards.” </w:t>
      </w:r>
      <w:hyperlink r:id="rId402" w:anchor="se10.3.430_132" w:history="1">
        <w:r w:rsidRPr="001570EA">
          <w:rPr>
            <w:rStyle w:val="Hyperlink"/>
            <w:rFonts w:cs="Arial"/>
          </w:rPr>
          <w:t>Weblink</w:t>
        </w:r>
      </w:hyperlink>
      <w:r w:rsidRPr="001570EA">
        <w:t xml:space="preserve"> </w:t>
      </w:r>
    </w:p>
    <w:p w14:paraId="08D8A626" w14:textId="3404B691" w:rsidR="00FA7EEB" w:rsidRPr="001570EA" w:rsidRDefault="00FA7EEB" w:rsidP="00152CD6">
      <w:pPr>
        <w:pStyle w:val="source10"/>
        <w:numPr>
          <w:ilvl w:val="3"/>
          <w:numId w:val="71"/>
        </w:numPr>
        <w:spacing w:after="120"/>
        <w:ind w:left="360"/>
        <w:jc w:val="left"/>
      </w:pPr>
      <w:r w:rsidRPr="001570EA">
        <w:t xml:space="preserve">ENERGY STAR Manufactured New Homes National Program Requirements, Version 3 (Rev. 01). </w:t>
      </w:r>
      <w:hyperlink r:id="rId403" w:history="1">
        <w:r w:rsidRPr="001570EA">
          <w:rPr>
            <w:rStyle w:val="Hyperlink"/>
            <w:rFonts w:cs="Arial"/>
          </w:rPr>
          <w:t>Weblink</w:t>
        </w:r>
      </w:hyperlink>
      <w:r w:rsidRPr="001570EA">
        <w:t xml:space="preserve"> </w:t>
      </w:r>
    </w:p>
    <w:p w14:paraId="7A6ABFCA" w14:textId="78E01FFF" w:rsidR="00E44EBF" w:rsidRPr="001570EA" w:rsidRDefault="00E44EBF" w:rsidP="00FA7EEB">
      <w:r w:rsidRPr="001570EA">
        <w:br w:type="page"/>
      </w:r>
    </w:p>
    <w:p w14:paraId="549E8C38" w14:textId="77777777" w:rsidR="00FA7EEB" w:rsidRPr="001570EA" w:rsidRDefault="00FA7EEB" w:rsidP="00C64DB8">
      <w:pPr>
        <w:pStyle w:val="Heading3"/>
      </w:pPr>
      <w:bookmarkStart w:id="1234" w:name="_Toc530573435"/>
      <w:bookmarkStart w:id="1235" w:name="_Toc48143065"/>
      <w:bookmarkStart w:id="1236" w:name="_Toc164786685"/>
      <w:r w:rsidRPr="001570EA">
        <w:t xml:space="preserve">Home Energy </w:t>
      </w:r>
      <w:bookmarkEnd w:id="1234"/>
      <w:r w:rsidRPr="001570EA">
        <w:t>Reports</w:t>
      </w:r>
      <w:bookmarkEnd w:id="1235"/>
      <w:bookmarkEnd w:id="12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4964"/>
      </w:tblGrid>
      <w:tr w:rsidR="00FA7EEB" w:rsidRPr="001570EA" w14:paraId="5D052E21" w14:textId="77777777">
        <w:tc>
          <w:tcPr>
            <w:tcW w:w="3548" w:type="dxa"/>
            <w:shd w:val="clear" w:color="auto" w:fill="FFFFFF"/>
          </w:tcPr>
          <w:p w14:paraId="61762DD0" w14:textId="77777777" w:rsidR="00FA7EEB" w:rsidRPr="001570EA" w:rsidRDefault="00FA7EEB">
            <w:pPr>
              <w:pStyle w:val="TableCell"/>
              <w:spacing w:before="60" w:after="60"/>
              <w:rPr>
                <w:b/>
                <w:bCs/>
                <w:color w:val="000000"/>
              </w:rPr>
            </w:pPr>
            <w:r w:rsidRPr="001570EA">
              <w:rPr>
                <w:b/>
                <w:bCs/>
                <w:color w:val="000000"/>
              </w:rPr>
              <w:t>Target Sector</w:t>
            </w:r>
          </w:p>
        </w:tc>
        <w:tc>
          <w:tcPr>
            <w:tcW w:w="4964" w:type="dxa"/>
            <w:shd w:val="clear" w:color="auto" w:fill="FFFFFF"/>
          </w:tcPr>
          <w:p w14:paraId="0DC86CDE" w14:textId="77777777" w:rsidR="00FA7EEB" w:rsidRPr="001570EA" w:rsidRDefault="00FA7EEB">
            <w:pPr>
              <w:pStyle w:val="TableCell"/>
              <w:spacing w:before="60" w:after="60"/>
              <w:jc w:val="center"/>
              <w:rPr>
                <w:color w:val="000000"/>
              </w:rPr>
            </w:pPr>
            <w:r w:rsidRPr="001570EA">
              <w:rPr>
                <w:color w:val="000000"/>
              </w:rPr>
              <w:t>Residential</w:t>
            </w:r>
          </w:p>
        </w:tc>
      </w:tr>
      <w:tr w:rsidR="00FA7EEB" w:rsidRPr="001570EA" w14:paraId="26873001" w14:textId="77777777">
        <w:tc>
          <w:tcPr>
            <w:tcW w:w="3548" w:type="dxa"/>
            <w:shd w:val="clear" w:color="auto" w:fill="auto"/>
          </w:tcPr>
          <w:p w14:paraId="2AC78BA5" w14:textId="77777777" w:rsidR="00FA7EEB" w:rsidRPr="001570EA" w:rsidRDefault="00FA7EEB">
            <w:pPr>
              <w:pStyle w:val="TableCell"/>
              <w:spacing w:before="60" w:after="60"/>
              <w:rPr>
                <w:b/>
                <w:bCs/>
                <w:color w:val="000000"/>
              </w:rPr>
            </w:pPr>
            <w:r w:rsidRPr="001570EA">
              <w:rPr>
                <w:b/>
                <w:bCs/>
                <w:color w:val="000000"/>
              </w:rPr>
              <w:t>Measure Unit</w:t>
            </w:r>
          </w:p>
        </w:tc>
        <w:tc>
          <w:tcPr>
            <w:tcW w:w="4964" w:type="dxa"/>
            <w:shd w:val="clear" w:color="auto" w:fill="auto"/>
          </w:tcPr>
          <w:p w14:paraId="444502BF" w14:textId="77777777" w:rsidR="00FA7EEB" w:rsidRPr="001570EA" w:rsidRDefault="00FA7EEB">
            <w:pPr>
              <w:pStyle w:val="TableCell"/>
              <w:spacing w:before="60" w:after="60"/>
              <w:jc w:val="center"/>
              <w:rPr>
                <w:color w:val="000000"/>
              </w:rPr>
            </w:pPr>
            <w:r w:rsidRPr="001570EA">
              <w:rPr>
                <w:color w:val="000000"/>
              </w:rPr>
              <w:t>Household</w:t>
            </w:r>
          </w:p>
        </w:tc>
      </w:tr>
      <w:tr w:rsidR="00FA7EEB" w:rsidRPr="001570EA" w14:paraId="19D31304" w14:textId="77777777">
        <w:tc>
          <w:tcPr>
            <w:tcW w:w="3548" w:type="dxa"/>
            <w:shd w:val="clear" w:color="auto" w:fill="FFFFFF"/>
            <w:vAlign w:val="center"/>
          </w:tcPr>
          <w:p w14:paraId="2B496F4E" w14:textId="77777777" w:rsidR="00FA7EEB" w:rsidRPr="001570EA" w:rsidRDefault="00FA7EEB">
            <w:pPr>
              <w:pStyle w:val="TableCell"/>
              <w:spacing w:before="60" w:after="60"/>
              <w:rPr>
                <w:b/>
                <w:bCs/>
                <w:color w:val="000000"/>
              </w:rPr>
            </w:pPr>
            <w:r w:rsidRPr="001570EA">
              <w:rPr>
                <w:b/>
                <w:bCs/>
                <w:color w:val="000000"/>
              </w:rPr>
              <w:t>Measure Life</w:t>
            </w:r>
          </w:p>
        </w:tc>
        <w:tc>
          <w:tcPr>
            <w:tcW w:w="4964" w:type="dxa"/>
            <w:shd w:val="clear" w:color="auto" w:fill="FFFFFF"/>
          </w:tcPr>
          <w:p w14:paraId="3B3FCE1D" w14:textId="77777777" w:rsidR="00FA7EEB" w:rsidRPr="001570EA" w:rsidRDefault="00FA7EEB">
            <w:pPr>
              <w:pStyle w:val="TableCell"/>
              <w:spacing w:before="60" w:after="60"/>
              <w:jc w:val="center"/>
              <w:rPr>
                <w:color w:val="000000"/>
                <w:vertAlign w:val="superscript"/>
              </w:rPr>
            </w:pPr>
            <w:r w:rsidRPr="001570EA">
              <w:rPr>
                <w:color w:val="000000"/>
              </w:rPr>
              <w:t>Specified in protocol</w:t>
            </w:r>
          </w:p>
        </w:tc>
      </w:tr>
      <w:tr w:rsidR="00FA7EEB" w:rsidRPr="001570EA" w14:paraId="714BE244" w14:textId="77777777">
        <w:tc>
          <w:tcPr>
            <w:tcW w:w="3548" w:type="dxa"/>
            <w:shd w:val="clear" w:color="auto" w:fill="FFFFFF"/>
            <w:vAlign w:val="center"/>
          </w:tcPr>
          <w:p w14:paraId="518D4A2F" w14:textId="77777777" w:rsidR="00FA7EEB" w:rsidRPr="001570EA" w:rsidRDefault="00FA7EEB">
            <w:pPr>
              <w:pStyle w:val="TableCell"/>
              <w:spacing w:before="60" w:after="60"/>
              <w:rPr>
                <w:b/>
                <w:bCs/>
                <w:color w:val="000000"/>
              </w:rPr>
            </w:pPr>
            <w:r w:rsidRPr="001570EA">
              <w:rPr>
                <w:b/>
                <w:bCs/>
                <w:color w:val="000000"/>
              </w:rPr>
              <w:t>Vintage</w:t>
            </w:r>
          </w:p>
        </w:tc>
        <w:tc>
          <w:tcPr>
            <w:tcW w:w="4964" w:type="dxa"/>
            <w:shd w:val="clear" w:color="auto" w:fill="FFFFFF"/>
          </w:tcPr>
          <w:p w14:paraId="3463BCB9" w14:textId="77777777" w:rsidR="00FA7EEB" w:rsidRPr="001570EA" w:rsidRDefault="00FA7EEB">
            <w:pPr>
              <w:pStyle w:val="TableCell"/>
              <w:spacing w:before="60" w:after="60"/>
              <w:jc w:val="center"/>
              <w:rPr>
                <w:color w:val="000000"/>
              </w:rPr>
            </w:pPr>
            <w:r w:rsidRPr="001570EA">
              <w:rPr>
                <w:color w:val="000000"/>
              </w:rPr>
              <w:t>Retrofit</w:t>
            </w:r>
          </w:p>
        </w:tc>
      </w:tr>
    </w:tbl>
    <w:p w14:paraId="07343B79" w14:textId="77777777" w:rsidR="00FA7EEB" w:rsidRPr="001570EA" w:rsidRDefault="00FA7EEB" w:rsidP="00FA7EEB"/>
    <w:p w14:paraId="79DA52AA" w14:textId="77777777" w:rsidR="00FA7EEB" w:rsidRPr="001570EA" w:rsidRDefault="00FA7EEB" w:rsidP="00FA7EEB">
      <w:pPr>
        <w:rPr>
          <w:rFonts w:eastAsia="Arial Unicode MS"/>
        </w:rPr>
      </w:pPr>
      <w:r w:rsidRPr="001570EA">
        <w:rPr>
          <w:rFonts w:eastAsia="Arial Unicode MS"/>
          <w:iCs/>
        </w:rPr>
        <w:t>Home Energy Report (HER) programs encourage conservation through greater awareness of consumption patterns and engagement with EDC resources to help reduce usage and lower bills. HER program vendors provide participants with account-specific information that allows customers to view various aspects of their energy use over time. Behavioral reports compare energy use of recipient homes with clusters of similar homes and provide comparisons with other efficient and average homes. This so-called “neighbor” comparison is believed to create cognitive dissonance in participants and spur them to modify their behavior to be more efficient. Reports also include a variety of seasonally appropriate energy-saving tips that are tailored for the home and are often used to promote other EDC program offerings. Historically, HERs have been largely issued on paper via the USPS, but EDCs and their vendors are increasingly moving toward email reports and digital portals to promote increased engagement and conserve resources. This protocol applies to residential HER programs regardless of delivery mode.</w:t>
      </w:r>
    </w:p>
    <w:p w14:paraId="47A24F6D" w14:textId="77777777" w:rsidR="00FA7EEB" w:rsidRPr="001570EA" w:rsidRDefault="00FA7EEB" w:rsidP="00FA7EEB">
      <w:pPr>
        <w:rPr>
          <w:rFonts w:eastAsia="Arial Unicode MS"/>
        </w:rPr>
      </w:pPr>
    </w:p>
    <w:p w14:paraId="38CDD241" w14:textId="77777777" w:rsidR="00FA7EEB" w:rsidRPr="001570EA" w:rsidRDefault="00FA7EEB" w:rsidP="00FA7EEB">
      <w:pPr>
        <w:rPr>
          <w:rFonts w:eastAsia="Arial Unicode MS"/>
        </w:rPr>
      </w:pPr>
      <w:r w:rsidRPr="001570EA">
        <w:rPr>
          <w:rFonts w:eastAsia="Arial Unicode MS"/>
        </w:rPr>
        <w:t xml:space="preserve">A growing list of evaluation studies, including analyses of HER persistence by the Phase II and Phase III Pennsylvania Statewide Evaluation team, have observed energy savings among HER recipient households for two years after HER exposure was discontinued. The persistence of HER savings has implications for calculation of first-year energy savings and cost-effectiveness. This protocol provides guidance to EDCs and their evaluation contractors for calculating first-year incremental savings and lifetime savings from HER programs using a multi-year measure life with “decay” perspective. </w:t>
      </w:r>
    </w:p>
    <w:p w14:paraId="4B07D04B" w14:textId="77777777" w:rsidR="00FA7EEB" w:rsidRPr="001570EA" w:rsidRDefault="00FA7EEB" w:rsidP="00FA7EEB">
      <w:pPr>
        <w:rPr>
          <w:rFonts w:eastAsia="Arial Unicode MS"/>
        </w:rPr>
      </w:pPr>
    </w:p>
    <w:p w14:paraId="05CEAE6F" w14:textId="77777777" w:rsidR="00FA7EEB" w:rsidRPr="001570EA" w:rsidRDefault="00FA7EEB" w:rsidP="00FA7EEB">
      <w:pPr>
        <w:rPr>
          <w:rFonts w:eastAsia="Arial Unicode MS"/>
        </w:rPr>
      </w:pPr>
      <w:r w:rsidRPr="001570EA">
        <w:rPr>
          <w:rFonts w:eastAsia="Arial Unicode MS"/>
        </w:rPr>
        <w:t xml:space="preserve">Because Act 129 goals are based on first-year incremental savings, accounting for persistence reduces first-year compliance savings from EDC programs that continue to expose the same homes to HER messaging year after year. </w:t>
      </w:r>
    </w:p>
    <w:p w14:paraId="65067BFD" w14:textId="77777777" w:rsidR="00FA7EEB" w:rsidRPr="001570EA" w:rsidRDefault="00FA7EEB" w:rsidP="00FA7EEB">
      <w:pPr>
        <w:rPr>
          <w:rFonts w:eastAsia="Arial Unicode MS"/>
        </w:rPr>
      </w:pPr>
    </w:p>
    <w:p w14:paraId="44CF846F" w14:textId="11202D73" w:rsidR="00FA7EEB" w:rsidRPr="001570EA" w:rsidRDefault="00FA7EEB" w:rsidP="00FA7EEB">
      <w:pPr>
        <w:rPr>
          <w:rFonts w:eastAsia="Arial Unicode MS"/>
        </w:rPr>
      </w:pPr>
      <w:r w:rsidRPr="001570EA">
        <w:rPr>
          <w:rFonts w:eastAsia="Arial Unicode MS"/>
        </w:rPr>
        <w:t xml:space="preserve">The core assumption in this protocol is an annual decay rate of 31.3%. To illustrate the decay concept, consider a hypothetical cohort of 20,000 treatment group homes that have been receiving HERs for two years. </w:t>
      </w:r>
      <w:r w:rsidRPr="001570EA">
        <w:rPr>
          <w:rFonts w:eastAsia="Arial Unicode MS"/>
        </w:rPr>
        <w:fldChar w:fldCharType="begin"/>
      </w:r>
      <w:r w:rsidRPr="001570EA">
        <w:rPr>
          <w:rFonts w:eastAsia="Arial Unicode MS"/>
        </w:rPr>
        <w:instrText xml:space="preserve"> REF _Ref162620242 \h </w:instrText>
      </w:r>
      <w:r w:rsidR="001570EA">
        <w:rPr>
          <w:rFonts w:eastAsia="Arial Unicode MS"/>
        </w:rPr>
        <w:instrText xml:space="preserve"> \* MERGEFORMAT </w:instrText>
      </w:r>
      <w:r w:rsidRPr="001570EA">
        <w:rPr>
          <w:rFonts w:eastAsia="Arial Unicode MS"/>
        </w:rPr>
      </w:r>
      <w:r w:rsidRPr="001570EA">
        <w:rPr>
          <w:rFonts w:eastAsia="Arial Unicode MS"/>
        </w:rPr>
        <w:fldChar w:fldCharType="separate"/>
      </w:r>
      <w:r w:rsidR="00234C6C" w:rsidRPr="001570EA">
        <w:t xml:space="preserve">Table </w:t>
      </w:r>
      <w:r w:rsidR="00234C6C" w:rsidRPr="001570EA">
        <w:rPr>
          <w:noProof/>
        </w:rPr>
        <w:t>2</w:t>
      </w:r>
      <w:r w:rsidR="00234C6C" w:rsidRPr="001570EA">
        <w:noBreakHyphen/>
      </w:r>
      <w:r w:rsidR="00234C6C" w:rsidRPr="001570EA">
        <w:rPr>
          <w:noProof/>
        </w:rPr>
        <w:t>164</w:t>
      </w:r>
      <w:r w:rsidRPr="001570EA">
        <w:rPr>
          <w:rFonts w:eastAsia="Arial Unicode MS"/>
        </w:rPr>
        <w:fldChar w:fldCharType="end"/>
      </w:r>
      <w:r w:rsidRPr="001570EA">
        <w:rPr>
          <w:rFonts w:eastAsia="Arial Unicode MS"/>
        </w:rPr>
        <w:t xml:space="preserve"> shows the average kWh savings per treatment group home by year as measured through a billing analysis of the randomized control trial design. </w:t>
      </w:r>
    </w:p>
    <w:p w14:paraId="681862E6" w14:textId="77777777" w:rsidR="00FA7EEB" w:rsidRPr="001570EA" w:rsidRDefault="00FA7EEB" w:rsidP="00FA7EEB">
      <w:pPr>
        <w:rPr>
          <w:rFonts w:eastAsia="Arial Unicode MS"/>
        </w:rPr>
      </w:pPr>
    </w:p>
    <w:p w14:paraId="0A9703D3" w14:textId="2B98E219" w:rsidR="00FA7EEB" w:rsidRPr="001570EA" w:rsidRDefault="00FA7EEB" w:rsidP="00FA7EEB">
      <w:pPr>
        <w:pStyle w:val="Caption"/>
      </w:pPr>
      <w:bookmarkStart w:id="1237" w:name="_Ref162620242"/>
      <w:bookmarkStart w:id="1238" w:name="_Ref530573453"/>
      <w:bookmarkStart w:id="1239" w:name="_Toc530573436"/>
      <w:bookmarkStart w:id="1240" w:name="_Toc47598380"/>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164</w:t>
      </w:r>
      <w:r w:rsidR="002E093A" w:rsidRPr="001570EA">
        <w:fldChar w:fldCharType="end"/>
      </w:r>
      <w:bookmarkEnd w:id="1237"/>
      <w:bookmarkEnd w:id="1238"/>
      <w:r w:rsidRPr="001570EA">
        <w:t>: Home Energy Report Persistence Example</w:t>
      </w:r>
      <w:bookmarkEnd w:id="1239"/>
      <w:bookmarkEnd w:id="1240"/>
    </w:p>
    <w:tbl>
      <w:tblPr>
        <w:tblStyle w:val="PATable2"/>
        <w:tblW w:w="0" w:type="auto"/>
        <w:jc w:val="left"/>
        <w:tblLook w:val="04A0" w:firstRow="1" w:lastRow="0" w:firstColumn="1" w:lastColumn="0" w:noHBand="0" w:noVBand="1"/>
      </w:tblPr>
      <w:tblGrid>
        <w:gridCol w:w="985"/>
        <w:gridCol w:w="3960"/>
      </w:tblGrid>
      <w:tr w:rsidR="00FA7EEB" w:rsidRPr="001570EA" w14:paraId="6673DEAC" w14:textId="77777777" w:rsidTr="00E44EBF">
        <w:trPr>
          <w:cnfStyle w:val="100000000000" w:firstRow="1" w:lastRow="0" w:firstColumn="0" w:lastColumn="0" w:oddVBand="0" w:evenVBand="0" w:oddHBand="0" w:evenHBand="0" w:firstRowFirstColumn="0" w:firstRowLastColumn="0" w:lastRowFirstColumn="0" w:lastRowLastColumn="0"/>
          <w:trHeight w:val="432"/>
          <w:jc w:val="left"/>
        </w:trPr>
        <w:tc>
          <w:tcPr>
            <w:tcW w:w="985" w:type="dxa"/>
            <w:vAlign w:val="center"/>
          </w:tcPr>
          <w:p w14:paraId="5E7A6934" w14:textId="77777777" w:rsidR="00FA7EEB" w:rsidRPr="001570EA" w:rsidRDefault="00FA7EEB">
            <w:pPr>
              <w:jc w:val="center"/>
              <w:rPr>
                <w:rFonts w:eastAsia="Arial Unicode MS"/>
              </w:rPr>
            </w:pPr>
            <w:r w:rsidRPr="001570EA">
              <w:rPr>
                <w:rFonts w:eastAsia="Arial Unicode MS"/>
              </w:rPr>
              <w:t>Year</w:t>
            </w:r>
          </w:p>
        </w:tc>
        <w:tc>
          <w:tcPr>
            <w:tcW w:w="3960" w:type="dxa"/>
            <w:vAlign w:val="center"/>
          </w:tcPr>
          <w:p w14:paraId="1922C889" w14:textId="77777777" w:rsidR="00FA7EEB" w:rsidRPr="001570EA" w:rsidRDefault="00FA7EEB">
            <w:pPr>
              <w:jc w:val="center"/>
              <w:rPr>
                <w:rFonts w:eastAsia="Arial Unicode MS"/>
              </w:rPr>
            </w:pPr>
            <w:r w:rsidRPr="001570EA">
              <w:rPr>
                <w:rFonts w:eastAsia="Arial Unicode MS"/>
              </w:rPr>
              <w:t>Avg. kWh Savings per Home</w:t>
            </w:r>
          </w:p>
        </w:tc>
      </w:tr>
      <w:tr w:rsidR="00FA7EEB" w:rsidRPr="001570EA" w14:paraId="57B7C776" w14:textId="77777777" w:rsidTr="00E44EBF">
        <w:trPr>
          <w:trHeight w:val="432"/>
          <w:jc w:val="left"/>
        </w:trPr>
        <w:tc>
          <w:tcPr>
            <w:tcW w:w="985" w:type="dxa"/>
            <w:vAlign w:val="center"/>
          </w:tcPr>
          <w:p w14:paraId="06326174" w14:textId="77777777" w:rsidR="00FA7EEB" w:rsidRPr="001570EA" w:rsidRDefault="00FA7EEB">
            <w:pPr>
              <w:jc w:val="center"/>
              <w:rPr>
                <w:rFonts w:eastAsia="Arial Unicode MS"/>
              </w:rPr>
            </w:pPr>
            <w:r w:rsidRPr="001570EA">
              <w:rPr>
                <w:rFonts w:eastAsia="Arial Unicode MS"/>
              </w:rPr>
              <w:t>1</w:t>
            </w:r>
          </w:p>
        </w:tc>
        <w:tc>
          <w:tcPr>
            <w:tcW w:w="3960" w:type="dxa"/>
            <w:vAlign w:val="center"/>
          </w:tcPr>
          <w:p w14:paraId="55D14102" w14:textId="77777777" w:rsidR="00FA7EEB" w:rsidRPr="001570EA" w:rsidRDefault="00FA7EEB">
            <w:pPr>
              <w:jc w:val="center"/>
              <w:rPr>
                <w:rFonts w:eastAsia="Arial Unicode MS"/>
              </w:rPr>
            </w:pPr>
            <w:r w:rsidRPr="001570EA">
              <w:rPr>
                <w:rFonts w:eastAsia="Arial Unicode MS"/>
              </w:rPr>
              <w:t>150</w:t>
            </w:r>
          </w:p>
        </w:tc>
      </w:tr>
      <w:tr w:rsidR="00FA7EEB" w:rsidRPr="001570EA" w14:paraId="45909FFA" w14:textId="77777777" w:rsidTr="00E44EBF">
        <w:trPr>
          <w:cnfStyle w:val="000000010000" w:firstRow="0" w:lastRow="0" w:firstColumn="0" w:lastColumn="0" w:oddVBand="0" w:evenVBand="0" w:oddHBand="0" w:evenHBand="1" w:firstRowFirstColumn="0" w:firstRowLastColumn="0" w:lastRowFirstColumn="0" w:lastRowLastColumn="0"/>
          <w:trHeight w:val="432"/>
          <w:jc w:val="left"/>
        </w:trPr>
        <w:tc>
          <w:tcPr>
            <w:tcW w:w="985" w:type="dxa"/>
            <w:vAlign w:val="center"/>
          </w:tcPr>
          <w:p w14:paraId="406BDC9F" w14:textId="77777777" w:rsidR="00FA7EEB" w:rsidRPr="001570EA" w:rsidRDefault="00FA7EEB">
            <w:pPr>
              <w:jc w:val="center"/>
              <w:rPr>
                <w:rFonts w:eastAsia="Arial Unicode MS"/>
              </w:rPr>
            </w:pPr>
            <w:r w:rsidRPr="001570EA">
              <w:rPr>
                <w:rFonts w:eastAsia="Arial Unicode MS"/>
              </w:rPr>
              <w:t>2</w:t>
            </w:r>
          </w:p>
        </w:tc>
        <w:tc>
          <w:tcPr>
            <w:tcW w:w="3960" w:type="dxa"/>
            <w:vAlign w:val="center"/>
          </w:tcPr>
          <w:p w14:paraId="04FBA90A" w14:textId="77777777" w:rsidR="00FA7EEB" w:rsidRPr="001570EA" w:rsidRDefault="00FA7EEB">
            <w:pPr>
              <w:jc w:val="center"/>
              <w:rPr>
                <w:rFonts w:eastAsia="Arial Unicode MS"/>
              </w:rPr>
            </w:pPr>
            <w:r w:rsidRPr="001570EA">
              <w:rPr>
                <w:rFonts w:eastAsia="Arial Unicode MS"/>
              </w:rPr>
              <w:t>250</w:t>
            </w:r>
          </w:p>
        </w:tc>
      </w:tr>
    </w:tbl>
    <w:p w14:paraId="58560E43" w14:textId="77777777" w:rsidR="00FA7EEB" w:rsidRPr="001570EA" w:rsidRDefault="00FA7EEB" w:rsidP="00FA7EEB">
      <w:pPr>
        <w:rPr>
          <w:rFonts w:eastAsia="Arial Unicode MS"/>
        </w:rPr>
      </w:pPr>
    </w:p>
    <w:p w14:paraId="786E1560" w14:textId="1A7C5571" w:rsidR="00FA7EEB" w:rsidRPr="001570EA" w:rsidRDefault="00FA7EEB" w:rsidP="00FA7EEB">
      <w:pPr>
        <w:rPr>
          <w:rFonts w:eastAsia="Arial Unicode MS"/>
        </w:rPr>
      </w:pPr>
      <w:r w:rsidRPr="001570EA">
        <w:rPr>
          <w:rFonts w:eastAsia="Arial Unicode MS"/>
        </w:rPr>
        <w:t xml:space="preserve">For Year 3, the EDC can choose to either continue issuing HERs to the treatment group homes or stop treating them. If the EDC stops issuing HERs to the treatment group in Year 3, little or no cost will be incurred. If the EDC continues issuing HERs to the treatment group in Year 3, a full year of program delivery costs will be incurred. The key question is “what are the incremental energy savings associated with the decision to mail HERs in Year 3?” </w:t>
      </w:r>
      <w:r w:rsidRPr="001570EA">
        <w:rPr>
          <w:rFonts w:eastAsia="Arial Unicode MS"/>
        </w:rPr>
        <w:fldChar w:fldCharType="begin"/>
      </w:r>
      <w:r w:rsidRPr="001570EA">
        <w:rPr>
          <w:rFonts w:eastAsia="Arial Unicode MS"/>
        </w:rPr>
        <w:instrText xml:space="preserve"> REF _Ref530573464 \h </w:instrText>
      </w:r>
      <w:r w:rsidR="001570EA">
        <w:rPr>
          <w:rFonts w:eastAsia="Arial Unicode MS"/>
        </w:rPr>
        <w:instrText xml:space="preserve"> \* MERGEFORMAT </w:instrText>
      </w:r>
      <w:r w:rsidRPr="001570EA">
        <w:rPr>
          <w:rFonts w:eastAsia="Arial Unicode MS"/>
        </w:rPr>
      </w:r>
      <w:r w:rsidRPr="001570EA">
        <w:rPr>
          <w:rFonts w:eastAsia="Arial Unicode MS"/>
        </w:rPr>
        <w:fldChar w:fldCharType="separate"/>
      </w:r>
      <w:r w:rsidR="00234C6C" w:rsidRPr="001570EA">
        <w:t xml:space="preserve">Table </w:t>
      </w:r>
      <w:r w:rsidR="00234C6C" w:rsidRPr="001570EA">
        <w:rPr>
          <w:noProof/>
        </w:rPr>
        <w:t>2</w:t>
      </w:r>
      <w:r w:rsidR="00234C6C" w:rsidRPr="001570EA">
        <w:noBreakHyphen/>
      </w:r>
      <w:r w:rsidR="00234C6C" w:rsidRPr="001570EA">
        <w:rPr>
          <w:noProof/>
        </w:rPr>
        <w:t>165</w:t>
      </w:r>
      <w:r w:rsidRPr="001570EA">
        <w:rPr>
          <w:rFonts w:eastAsia="Arial Unicode MS"/>
        </w:rPr>
        <w:fldChar w:fldCharType="end"/>
      </w:r>
      <w:r w:rsidRPr="001570EA">
        <w:rPr>
          <w:rFonts w:eastAsia="Arial Unicode MS"/>
        </w:rPr>
        <w:t xml:space="preserve"> shows the components of this calculation.</w:t>
      </w:r>
    </w:p>
    <w:p w14:paraId="3236F970" w14:textId="77777777" w:rsidR="00FA7EEB" w:rsidRPr="001570EA" w:rsidRDefault="00FA7EEB" w:rsidP="00FA7EEB">
      <w:pPr>
        <w:rPr>
          <w:rFonts w:eastAsia="Arial Unicode MS"/>
        </w:rPr>
      </w:pPr>
    </w:p>
    <w:p w14:paraId="020C1761" w14:textId="01386351" w:rsidR="00FA7EEB" w:rsidRPr="001570EA" w:rsidRDefault="00FA7EEB" w:rsidP="00FA7EEB">
      <w:pPr>
        <w:pStyle w:val="Caption"/>
      </w:pPr>
      <w:bookmarkStart w:id="1241" w:name="_Ref530573464"/>
      <w:bookmarkStart w:id="1242" w:name="_Toc530573437"/>
      <w:bookmarkStart w:id="1243" w:name="_Toc47598381"/>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165</w:t>
      </w:r>
      <w:r w:rsidR="002E093A" w:rsidRPr="001570EA">
        <w:fldChar w:fldCharType="end"/>
      </w:r>
      <w:bookmarkEnd w:id="1241"/>
      <w:r w:rsidRPr="001570EA">
        <w:t>: Calculation of Avoided Decay and Incremental Annual Compliance Savings</w:t>
      </w:r>
      <w:bookmarkEnd w:id="1242"/>
      <w:bookmarkEnd w:id="1243"/>
    </w:p>
    <w:tbl>
      <w:tblPr>
        <w:tblStyle w:val="PATable2"/>
        <w:tblW w:w="0" w:type="auto"/>
        <w:tblLook w:val="04A0" w:firstRow="1" w:lastRow="0" w:firstColumn="1" w:lastColumn="0" w:noHBand="0" w:noVBand="1"/>
      </w:tblPr>
      <w:tblGrid>
        <w:gridCol w:w="837"/>
        <w:gridCol w:w="2775"/>
        <w:gridCol w:w="2509"/>
        <w:gridCol w:w="2509"/>
      </w:tblGrid>
      <w:tr w:rsidR="00FA7EEB" w:rsidRPr="001570EA" w14:paraId="163B579C" w14:textId="77777777">
        <w:trPr>
          <w:cnfStyle w:val="100000000000" w:firstRow="1" w:lastRow="0" w:firstColumn="0" w:lastColumn="0" w:oddVBand="0" w:evenVBand="0" w:oddHBand="0" w:evenHBand="0" w:firstRowFirstColumn="0" w:firstRowLastColumn="0" w:lastRowFirstColumn="0" w:lastRowLastColumn="0"/>
          <w:trHeight w:val="432"/>
        </w:trPr>
        <w:tc>
          <w:tcPr>
            <w:tcW w:w="837" w:type="dxa"/>
            <w:vAlign w:val="center"/>
          </w:tcPr>
          <w:p w14:paraId="24E9A7FA" w14:textId="77777777" w:rsidR="00FA7EEB" w:rsidRPr="001570EA" w:rsidRDefault="00FA7EEB">
            <w:pPr>
              <w:jc w:val="center"/>
              <w:rPr>
                <w:rFonts w:eastAsia="Arial Unicode MS"/>
              </w:rPr>
            </w:pPr>
            <w:r w:rsidRPr="001570EA">
              <w:rPr>
                <w:rFonts w:eastAsia="Arial Unicode MS"/>
              </w:rPr>
              <w:t>Year</w:t>
            </w:r>
          </w:p>
        </w:tc>
        <w:tc>
          <w:tcPr>
            <w:tcW w:w="2775" w:type="dxa"/>
            <w:vAlign w:val="center"/>
          </w:tcPr>
          <w:p w14:paraId="32DDDD18" w14:textId="77777777" w:rsidR="00FA7EEB" w:rsidRPr="001570EA" w:rsidRDefault="00FA7EEB">
            <w:pPr>
              <w:jc w:val="center"/>
              <w:rPr>
                <w:rFonts w:eastAsia="Arial Unicode MS"/>
              </w:rPr>
            </w:pPr>
            <w:r w:rsidRPr="001570EA">
              <w:rPr>
                <w:rFonts w:eastAsia="Arial Unicode MS"/>
              </w:rPr>
              <w:t>Avg. kWh Savings per Home</w:t>
            </w:r>
          </w:p>
        </w:tc>
        <w:tc>
          <w:tcPr>
            <w:tcW w:w="2509" w:type="dxa"/>
            <w:vAlign w:val="center"/>
          </w:tcPr>
          <w:p w14:paraId="04779FD7" w14:textId="77777777" w:rsidR="00FA7EEB" w:rsidRPr="001570EA" w:rsidRDefault="00FA7EEB">
            <w:pPr>
              <w:jc w:val="center"/>
              <w:rPr>
                <w:rFonts w:eastAsia="Arial Unicode MS"/>
              </w:rPr>
            </w:pPr>
            <w:r w:rsidRPr="001570EA">
              <w:rPr>
                <w:rFonts w:eastAsia="Arial Unicode MS"/>
              </w:rPr>
              <w:t>Avg. kWh Savings Absent Year 3 Treatment</w:t>
            </w:r>
          </w:p>
        </w:tc>
        <w:tc>
          <w:tcPr>
            <w:tcW w:w="2509" w:type="dxa"/>
            <w:vAlign w:val="center"/>
          </w:tcPr>
          <w:p w14:paraId="7C3B9E78" w14:textId="77777777" w:rsidR="00FA7EEB" w:rsidRPr="001570EA" w:rsidRDefault="00FA7EEB">
            <w:pPr>
              <w:jc w:val="center"/>
              <w:rPr>
                <w:rFonts w:eastAsia="Arial Unicode MS"/>
              </w:rPr>
            </w:pPr>
            <w:r w:rsidRPr="001570EA">
              <w:rPr>
                <w:rFonts w:eastAsia="Arial Unicode MS"/>
              </w:rPr>
              <w:t>Avg. kWh Savings with Year 3 Treatment</w:t>
            </w:r>
          </w:p>
        </w:tc>
      </w:tr>
      <w:tr w:rsidR="00FA7EEB" w:rsidRPr="001570EA" w14:paraId="3FAC4E9D" w14:textId="77777777">
        <w:trPr>
          <w:trHeight w:val="432"/>
        </w:trPr>
        <w:tc>
          <w:tcPr>
            <w:tcW w:w="837" w:type="dxa"/>
            <w:vAlign w:val="center"/>
          </w:tcPr>
          <w:p w14:paraId="7D9CB271" w14:textId="77777777" w:rsidR="00FA7EEB" w:rsidRPr="001570EA" w:rsidRDefault="00FA7EEB">
            <w:pPr>
              <w:jc w:val="center"/>
              <w:rPr>
                <w:rFonts w:eastAsia="Arial Unicode MS"/>
              </w:rPr>
            </w:pPr>
            <w:r w:rsidRPr="001570EA">
              <w:rPr>
                <w:rFonts w:eastAsia="Arial Unicode MS"/>
              </w:rPr>
              <w:t>1</w:t>
            </w:r>
          </w:p>
        </w:tc>
        <w:tc>
          <w:tcPr>
            <w:tcW w:w="2775" w:type="dxa"/>
            <w:vAlign w:val="center"/>
          </w:tcPr>
          <w:p w14:paraId="7F7690C8" w14:textId="77777777" w:rsidR="00FA7EEB" w:rsidRPr="001570EA" w:rsidRDefault="00FA7EEB">
            <w:pPr>
              <w:jc w:val="center"/>
              <w:rPr>
                <w:rFonts w:eastAsia="Arial Unicode MS"/>
              </w:rPr>
            </w:pPr>
            <w:r w:rsidRPr="001570EA">
              <w:rPr>
                <w:rFonts w:eastAsia="Arial Unicode MS"/>
              </w:rPr>
              <w:t>150</w:t>
            </w:r>
          </w:p>
        </w:tc>
        <w:tc>
          <w:tcPr>
            <w:tcW w:w="2509" w:type="dxa"/>
            <w:vAlign w:val="center"/>
          </w:tcPr>
          <w:p w14:paraId="029D530E" w14:textId="77777777" w:rsidR="00FA7EEB" w:rsidRPr="001570EA" w:rsidRDefault="00FA7EEB">
            <w:pPr>
              <w:jc w:val="center"/>
              <w:rPr>
                <w:rFonts w:eastAsia="Arial Unicode MS"/>
              </w:rPr>
            </w:pPr>
          </w:p>
        </w:tc>
        <w:tc>
          <w:tcPr>
            <w:tcW w:w="2509" w:type="dxa"/>
            <w:vAlign w:val="center"/>
          </w:tcPr>
          <w:p w14:paraId="6887E014" w14:textId="77777777" w:rsidR="00FA7EEB" w:rsidRPr="001570EA" w:rsidRDefault="00FA7EEB">
            <w:pPr>
              <w:jc w:val="center"/>
              <w:rPr>
                <w:rFonts w:eastAsia="Arial Unicode MS"/>
              </w:rPr>
            </w:pPr>
          </w:p>
        </w:tc>
      </w:tr>
      <w:tr w:rsidR="00FA7EEB" w:rsidRPr="001570EA" w14:paraId="129DEF6F" w14:textId="77777777">
        <w:trPr>
          <w:cnfStyle w:val="000000010000" w:firstRow="0" w:lastRow="0" w:firstColumn="0" w:lastColumn="0" w:oddVBand="0" w:evenVBand="0" w:oddHBand="0" w:evenHBand="1" w:firstRowFirstColumn="0" w:firstRowLastColumn="0" w:lastRowFirstColumn="0" w:lastRowLastColumn="0"/>
          <w:trHeight w:val="432"/>
        </w:trPr>
        <w:tc>
          <w:tcPr>
            <w:tcW w:w="837" w:type="dxa"/>
            <w:vAlign w:val="center"/>
          </w:tcPr>
          <w:p w14:paraId="5050A45E" w14:textId="77777777" w:rsidR="00FA7EEB" w:rsidRPr="001570EA" w:rsidRDefault="00FA7EEB">
            <w:pPr>
              <w:jc w:val="center"/>
              <w:rPr>
                <w:rFonts w:eastAsia="Arial Unicode MS"/>
              </w:rPr>
            </w:pPr>
            <w:r w:rsidRPr="001570EA">
              <w:rPr>
                <w:rFonts w:eastAsia="Arial Unicode MS"/>
              </w:rPr>
              <w:t>2</w:t>
            </w:r>
          </w:p>
        </w:tc>
        <w:tc>
          <w:tcPr>
            <w:tcW w:w="2775" w:type="dxa"/>
            <w:vAlign w:val="center"/>
          </w:tcPr>
          <w:p w14:paraId="40BE80FE" w14:textId="77777777" w:rsidR="00FA7EEB" w:rsidRPr="001570EA" w:rsidRDefault="00FA7EEB">
            <w:pPr>
              <w:jc w:val="center"/>
              <w:rPr>
                <w:rFonts w:eastAsia="Arial Unicode MS"/>
              </w:rPr>
            </w:pPr>
            <w:r w:rsidRPr="001570EA">
              <w:rPr>
                <w:rFonts w:eastAsia="Arial Unicode MS"/>
              </w:rPr>
              <w:t>250</w:t>
            </w:r>
          </w:p>
        </w:tc>
        <w:tc>
          <w:tcPr>
            <w:tcW w:w="2509" w:type="dxa"/>
            <w:vAlign w:val="center"/>
          </w:tcPr>
          <w:p w14:paraId="676757C1" w14:textId="77777777" w:rsidR="00FA7EEB" w:rsidRPr="001570EA" w:rsidRDefault="00FA7EEB">
            <w:pPr>
              <w:jc w:val="center"/>
              <w:rPr>
                <w:rFonts w:eastAsia="Arial Unicode MS"/>
              </w:rPr>
            </w:pPr>
          </w:p>
        </w:tc>
        <w:tc>
          <w:tcPr>
            <w:tcW w:w="2509" w:type="dxa"/>
            <w:vAlign w:val="center"/>
          </w:tcPr>
          <w:p w14:paraId="029E6BE5" w14:textId="77777777" w:rsidR="00FA7EEB" w:rsidRPr="001570EA" w:rsidRDefault="00FA7EEB">
            <w:pPr>
              <w:jc w:val="center"/>
              <w:rPr>
                <w:rFonts w:eastAsia="Arial Unicode MS"/>
              </w:rPr>
            </w:pPr>
          </w:p>
        </w:tc>
      </w:tr>
      <w:tr w:rsidR="00FA7EEB" w:rsidRPr="001570EA" w14:paraId="112E84E0" w14:textId="77777777">
        <w:trPr>
          <w:trHeight w:val="432"/>
        </w:trPr>
        <w:tc>
          <w:tcPr>
            <w:tcW w:w="837" w:type="dxa"/>
            <w:vAlign w:val="center"/>
          </w:tcPr>
          <w:p w14:paraId="4FF7347E" w14:textId="77777777" w:rsidR="00FA7EEB" w:rsidRPr="001570EA" w:rsidRDefault="00FA7EEB">
            <w:pPr>
              <w:jc w:val="center"/>
              <w:rPr>
                <w:rFonts w:eastAsia="Arial Unicode MS"/>
              </w:rPr>
            </w:pPr>
            <w:r w:rsidRPr="001570EA">
              <w:rPr>
                <w:rFonts w:eastAsia="Arial Unicode MS"/>
              </w:rPr>
              <w:t>3</w:t>
            </w:r>
          </w:p>
        </w:tc>
        <w:tc>
          <w:tcPr>
            <w:tcW w:w="2775" w:type="dxa"/>
            <w:vAlign w:val="center"/>
          </w:tcPr>
          <w:p w14:paraId="59A594F9" w14:textId="77777777" w:rsidR="00FA7EEB" w:rsidRPr="001570EA" w:rsidRDefault="00FA7EEB">
            <w:pPr>
              <w:jc w:val="center"/>
              <w:rPr>
                <w:rFonts w:eastAsia="Arial Unicode MS"/>
              </w:rPr>
            </w:pPr>
          </w:p>
        </w:tc>
        <w:tc>
          <w:tcPr>
            <w:tcW w:w="2509" w:type="dxa"/>
            <w:vAlign w:val="center"/>
          </w:tcPr>
          <w:p w14:paraId="4050EE12" w14:textId="77777777" w:rsidR="00FA7EEB" w:rsidRPr="001570EA" w:rsidRDefault="00FA7EEB">
            <w:pPr>
              <w:jc w:val="center"/>
              <w:rPr>
                <w:rFonts w:eastAsia="Arial Unicode MS"/>
              </w:rPr>
            </w:pPr>
            <w:r w:rsidRPr="001570EA">
              <w:rPr>
                <w:rFonts w:eastAsia="Arial Unicode MS"/>
              </w:rPr>
              <w:t>250×(1-0.313/2) = 210.9</w:t>
            </w:r>
          </w:p>
        </w:tc>
        <w:tc>
          <w:tcPr>
            <w:tcW w:w="2509" w:type="dxa"/>
            <w:vAlign w:val="center"/>
          </w:tcPr>
          <w:p w14:paraId="7BCA0BAA" w14:textId="77777777" w:rsidR="00FA7EEB" w:rsidRPr="001570EA" w:rsidRDefault="00FA7EEB">
            <w:pPr>
              <w:jc w:val="center"/>
              <w:rPr>
                <w:rFonts w:eastAsia="Arial Unicode MS"/>
              </w:rPr>
            </w:pPr>
            <w:r w:rsidRPr="001570EA">
              <w:rPr>
                <w:rFonts w:eastAsia="Arial Unicode MS"/>
              </w:rPr>
              <w:t>260</w:t>
            </w:r>
          </w:p>
        </w:tc>
      </w:tr>
    </w:tbl>
    <w:p w14:paraId="40AC52A0" w14:textId="77777777" w:rsidR="00FA7EEB" w:rsidRPr="001570EA" w:rsidRDefault="00FA7EEB" w:rsidP="00FA7EEB">
      <w:pPr>
        <w:rPr>
          <w:rFonts w:eastAsia="Arial Unicode MS"/>
        </w:rPr>
      </w:pPr>
    </w:p>
    <w:p w14:paraId="2DEAA861" w14:textId="77777777" w:rsidR="00FA7EEB" w:rsidRPr="001570EA" w:rsidRDefault="00FA7EEB" w:rsidP="00FA7EEB">
      <w:pPr>
        <w:jc w:val="left"/>
        <w:rPr>
          <w:rFonts w:eastAsia="Arial Unicode MS"/>
        </w:rPr>
      </w:pPr>
      <w:r w:rsidRPr="001570EA">
        <w:rPr>
          <w:rFonts w:eastAsia="Arial Unicode MS"/>
        </w:rPr>
        <w:t>In this hypothetical example the incremental first-year savings achieved by the HER program in Year 3 is 49.1 kWh (260 – 210.9). This is the sum of two separate factors.</w:t>
      </w:r>
    </w:p>
    <w:p w14:paraId="1E4A6C6E" w14:textId="77777777" w:rsidR="00FA7EEB" w:rsidRPr="001570EA" w:rsidRDefault="00FA7EEB" w:rsidP="00FA7EEB">
      <w:pPr>
        <w:jc w:val="left"/>
        <w:rPr>
          <w:rFonts w:eastAsia="Arial Unicode MS"/>
        </w:rPr>
      </w:pPr>
    </w:p>
    <w:p w14:paraId="282E6D9D" w14:textId="2EE6A086" w:rsidR="00FA7EEB" w:rsidRPr="001570EA" w:rsidRDefault="00FA7EEB" w:rsidP="00FA7EEB">
      <w:pPr>
        <w:pStyle w:val="ListParagraphClose"/>
        <w:spacing w:after="120"/>
        <w:rPr>
          <w:rFonts w:eastAsia="Arial Unicode MS"/>
        </w:rPr>
      </w:pPr>
      <w:r w:rsidRPr="001570EA">
        <w:rPr>
          <w:rFonts w:eastAsia="Arial Unicode MS"/>
          <w:b/>
        </w:rPr>
        <w:t>Avoided Decay</w:t>
      </w:r>
      <w:r w:rsidRPr="001570EA">
        <w:rPr>
          <w:rFonts w:eastAsia="Arial Unicode MS"/>
        </w:rPr>
        <w:t xml:space="preserve"> = 39.1 kWh. The avoided decay is the difference between the Year 2 savings and the assumed annual rate of decay. Because the decay rate is assumed to be linear the average amount of decay over the year is equal to half of the decay at the end of the year. The 210.9 kWh value in </w:t>
      </w:r>
      <w:r w:rsidRPr="001570EA">
        <w:rPr>
          <w:rFonts w:eastAsia="Arial Unicode MS"/>
        </w:rPr>
        <w:fldChar w:fldCharType="begin"/>
      </w:r>
      <w:r w:rsidRPr="001570EA">
        <w:rPr>
          <w:rFonts w:eastAsia="Arial Unicode MS"/>
        </w:rPr>
        <w:instrText xml:space="preserve"> REF _Ref530573464 \h </w:instrText>
      </w:r>
      <w:r w:rsidR="001570EA">
        <w:rPr>
          <w:rFonts w:eastAsia="Arial Unicode MS"/>
        </w:rPr>
        <w:instrText xml:space="preserve"> \* MERGEFORMAT </w:instrText>
      </w:r>
      <w:r w:rsidRPr="001570EA">
        <w:rPr>
          <w:rFonts w:eastAsia="Arial Unicode MS"/>
        </w:rPr>
      </w:r>
      <w:r w:rsidRPr="001570EA">
        <w:rPr>
          <w:rFonts w:eastAsia="Arial Unicode MS"/>
        </w:rPr>
        <w:fldChar w:fldCharType="separate"/>
      </w:r>
      <w:r w:rsidR="00234C6C" w:rsidRPr="001570EA">
        <w:t xml:space="preserve">Table </w:t>
      </w:r>
      <w:r w:rsidR="00234C6C" w:rsidRPr="001570EA">
        <w:rPr>
          <w:noProof/>
        </w:rPr>
        <w:t>2</w:t>
      </w:r>
      <w:r w:rsidR="00234C6C" w:rsidRPr="001570EA">
        <w:noBreakHyphen/>
      </w:r>
      <w:r w:rsidR="00234C6C" w:rsidRPr="001570EA">
        <w:rPr>
          <w:noProof/>
        </w:rPr>
        <w:t>165</w:t>
      </w:r>
      <w:r w:rsidRPr="001570EA">
        <w:rPr>
          <w:rFonts w:eastAsia="Arial Unicode MS"/>
        </w:rPr>
        <w:fldChar w:fldCharType="end"/>
      </w:r>
      <w:r w:rsidRPr="001570EA">
        <w:rPr>
          <w:rFonts w:eastAsia="Arial Unicode MS"/>
        </w:rPr>
        <w:t xml:space="preserve"> is an estimate of what would have happened absent any further program effort. Some kWh savings persist, but at a lower rate than observed in Year 2, when households were actively receiving HER messaging. By continuing to issue HERs in Year 3, the EDC avoids this savings decay.</w:t>
      </w:r>
    </w:p>
    <w:p w14:paraId="182FD59D" w14:textId="60A911AA" w:rsidR="00FA7EEB" w:rsidRPr="001570EA" w:rsidRDefault="00FA7EEB" w:rsidP="00FA7EEB">
      <w:pPr>
        <w:pStyle w:val="ListParagraphClose"/>
        <w:rPr>
          <w:rFonts w:eastAsia="Arial Unicode MS"/>
        </w:rPr>
      </w:pPr>
      <w:r w:rsidRPr="001570EA">
        <w:rPr>
          <w:rFonts w:eastAsia="Arial Unicode MS"/>
          <w:b/>
        </w:rPr>
        <w:t xml:space="preserve">Change in the Average Treatment Effect </w:t>
      </w:r>
      <w:r w:rsidRPr="001570EA">
        <w:rPr>
          <w:rFonts w:eastAsia="Arial Unicode MS"/>
        </w:rPr>
        <w:t xml:space="preserve">= 10 kWh. The “Avg. kWh Savings with Year 3 Treatment” column of </w:t>
      </w:r>
      <w:r w:rsidRPr="001570EA">
        <w:rPr>
          <w:rFonts w:eastAsia="Arial Unicode MS"/>
        </w:rPr>
        <w:fldChar w:fldCharType="begin"/>
      </w:r>
      <w:r w:rsidRPr="001570EA">
        <w:rPr>
          <w:rFonts w:eastAsia="Arial Unicode MS"/>
        </w:rPr>
        <w:instrText xml:space="preserve"> REF _Ref530573464 \h </w:instrText>
      </w:r>
      <w:r w:rsidR="001570EA">
        <w:rPr>
          <w:rFonts w:eastAsia="Arial Unicode MS"/>
        </w:rPr>
        <w:instrText xml:space="preserve"> \* MERGEFORMAT </w:instrText>
      </w:r>
      <w:r w:rsidRPr="001570EA">
        <w:rPr>
          <w:rFonts w:eastAsia="Arial Unicode MS"/>
        </w:rPr>
      </w:r>
      <w:r w:rsidRPr="001570EA">
        <w:rPr>
          <w:rFonts w:eastAsia="Arial Unicode MS"/>
        </w:rPr>
        <w:fldChar w:fldCharType="separate"/>
      </w:r>
      <w:r w:rsidR="00234C6C" w:rsidRPr="001570EA">
        <w:t xml:space="preserve">Table </w:t>
      </w:r>
      <w:r w:rsidR="00234C6C" w:rsidRPr="001570EA">
        <w:rPr>
          <w:noProof/>
        </w:rPr>
        <w:t>2</w:t>
      </w:r>
      <w:r w:rsidR="00234C6C" w:rsidRPr="001570EA">
        <w:noBreakHyphen/>
      </w:r>
      <w:r w:rsidR="00234C6C" w:rsidRPr="001570EA">
        <w:rPr>
          <w:noProof/>
        </w:rPr>
        <w:t>165</w:t>
      </w:r>
      <w:r w:rsidRPr="001570EA">
        <w:rPr>
          <w:rFonts w:eastAsia="Arial Unicode MS"/>
        </w:rPr>
        <w:fldChar w:fldCharType="end"/>
      </w:r>
      <w:r w:rsidRPr="001570EA">
        <w:rPr>
          <w:rFonts w:eastAsia="Arial Unicode MS"/>
        </w:rPr>
        <w:t xml:space="preserve"> shows an average kWh savings value of 260 kWh per household. This is an increase of 10 kWh over the Year 2 measurement of 250 kWh per household. Many HER programs show growth in the average rate of savings over time as participants continue to respond to the messaging. This component of the calculation of the calculation could also be negative if the Year 3 savings measurement was smaller than the Year 2 measurement. HER savings can fluctuate based on weather and the measurement is inherently noisy because of the small effect size.</w:t>
      </w:r>
    </w:p>
    <w:p w14:paraId="7E2296A3" w14:textId="77777777" w:rsidR="00FA7EEB" w:rsidRPr="001570EA" w:rsidRDefault="00FA7EEB" w:rsidP="00FA7EEB">
      <w:pPr>
        <w:pStyle w:val="ListParagraphClose"/>
        <w:numPr>
          <w:ilvl w:val="0"/>
          <w:numId w:val="0"/>
        </w:numPr>
        <w:rPr>
          <w:rFonts w:eastAsia="Arial Unicode MS"/>
        </w:rPr>
      </w:pPr>
      <w:r w:rsidRPr="001570EA">
        <w:rPr>
          <w:rFonts w:eastAsia="Arial Unicode MS"/>
        </w:rPr>
        <w:t>The following algorithms and default assumptions provide guidance on calculating and reporting compliance savings from HER programs in Phase V of Act 129. Several assumptions that straddle technical and policy considerations are listed below.</w:t>
      </w:r>
    </w:p>
    <w:p w14:paraId="0FF9EAAC" w14:textId="77777777" w:rsidR="00FA7EEB" w:rsidRPr="001570EA" w:rsidRDefault="00FA7EEB" w:rsidP="00152CD6">
      <w:pPr>
        <w:pStyle w:val="ListParagraphClose"/>
        <w:numPr>
          <w:ilvl w:val="0"/>
          <w:numId w:val="77"/>
        </w:numPr>
        <w:spacing w:after="120"/>
        <w:rPr>
          <w:rFonts w:eastAsia="Arial Unicode MS"/>
        </w:rPr>
      </w:pPr>
      <w:r w:rsidRPr="001570EA">
        <w:rPr>
          <w:rFonts w:eastAsia="Arial Unicode MS"/>
        </w:rPr>
        <w:t xml:space="preserve">The assumed annual rate of decay for Act 129 HER programs is based on an analysis of mature programs where treatment group homes received HER messaging for multiple years. Studies have also consistently shown that it takes time for HER savings to mature. For Phase V of Act 129, new HER cohorts will continue to assume a 1-year EUL during the first year of HER exposure. The persistence and decay assumptions outlined in this protocol will take effect for Year 2 of exposure. Years of exposure are mapped to Act 129 program years. If a cohort begins receiving HER messaging in December (halfway through the program year), that program year is still Year 1, and the following program year is Year 2 with regard to application of persistence assumptions. </w:t>
      </w:r>
    </w:p>
    <w:p w14:paraId="01AC7AEA" w14:textId="77777777" w:rsidR="00FA7EEB" w:rsidRPr="001570EA" w:rsidRDefault="00FA7EEB" w:rsidP="00152CD6">
      <w:pPr>
        <w:pStyle w:val="ListParagraphClose"/>
        <w:numPr>
          <w:ilvl w:val="0"/>
          <w:numId w:val="77"/>
        </w:numPr>
        <w:spacing w:after="120"/>
        <w:rPr>
          <w:rFonts w:eastAsia="Arial Unicode MS"/>
        </w:rPr>
      </w:pPr>
      <w:r w:rsidRPr="001570EA">
        <w:rPr>
          <w:rFonts w:eastAsia="Arial Unicode MS"/>
        </w:rPr>
        <w:t>Act 129 HER programs should always be delivered as a randomized control trial (RCT), but EDCs have significant flexibility in designing new HER cohorts. New cohorts can be composed of a mix of past HER recipients and control group homes or non-recipients. Randomization should ensure a balanced mix across the new treatment and control group and the billing analysis will capture the savings associated with exposing the new treatment group to HERs, but not the control group. When a new cohort is created, accounting always begins at Year 1, even if some of the treatment and control group homes have received HER messaging previously.</w:t>
      </w:r>
    </w:p>
    <w:p w14:paraId="50F41FD9" w14:textId="77777777" w:rsidR="00FA7EEB" w:rsidRPr="001570EA" w:rsidRDefault="00FA7EEB" w:rsidP="00152CD6">
      <w:pPr>
        <w:pStyle w:val="ListParagraphClose"/>
        <w:numPr>
          <w:ilvl w:val="0"/>
          <w:numId w:val="77"/>
        </w:numPr>
        <w:rPr>
          <w:rFonts w:eastAsia="Arial Unicode MS"/>
        </w:rPr>
      </w:pPr>
      <w:r w:rsidRPr="001570EA">
        <w:rPr>
          <w:rFonts w:eastAsia="Arial Unicode MS"/>
        </w:rPr>
        <w:t>Over time, households close their EDC accounts. The most common reason is because the occupant is moving, but other possibilities exist. This account “churn” happens at a fairly predictable rate for an EDC service territory and can be forecasted with some degree of certainty. Calculating persistent HER savings in future program years requires both an assumption of the savings decay rate and an assumption of the churn rate.</w:t>
      </w:r>
    </w:p>
    <w:p w14:paraId="4076B48E" w14:textId="77777777" w:rsidR="00FA7EEB" w:rsidRPr="001570EA" w:rsidRDefault="00FA7EEB" w:rsidP="00152CD6">
      <w:pPr>
        <w:pStyle w:val="ListParagraphClose"/>
        <w:numPr>
          <w:ilvl w:val="0"/>
          <w:numId w:val="77"/>
        </w:numPr>
        <w:rPr>
          <w:rFonts w:eastAsia="Arial Unicode MS"/>
        </w:rPr>
      </w:pPr>
      <w:r w:rsidRPr="001570EA">
        <w:rPr>
          <w:rFonts w:eastAsia="Arial Unicode MS"/>
        </w:rPr>
        <w:t xml:space="preserve">Home Energy Reports are expected to generate summer and winter peak demand savings. The Behavioral Conservation Programs protocol of the Pennsylvania Evaluation Framework provides detailed guidance regarding measurement techniques for peak demand savings. Peak demand (kW) savings are presumed to follow the same persistence logic as energy (kWh) savings with respect to first-year incremental compliance and lifetime impacts. </w:t>
      </w:r>
    </w:p>
    <w:p w14:paraId="24F98B92" w14:textId="77777777" w:rsidR="00FA7EEB" w:rsidRPr="001570EA" w:rsidRDefault="00FA7EEB" w:rsidP="00FA7EEB">
      <w:pPr>
        <w:jc w:val="left"/>
        <w:rPr>
          <w:rFonts w:eastAsia="Arial Unicode MS"/>
        </w:rPr>
      </w:pPr>
    </w:p>
    <w:p w14:paraId="146C2DAB" w14:textId="77777777" w:rsidR="00FA7EEB" w:rsidRPr="001570EA" w:rsidRDefault="00FA7EEB" w:rsidP="00FA7EEB">
      <w:pPr>
        <w:pStyle w:val="SubStyle"/>
      </w:pPr>
      <w:r w:rsidRPr="001570EA">
        <w:t>Algorithms</w:t>
      </w:r>
    </w:p>
    <w:p w14:paraId="1520B37E" w14:textId="77777777" w:rsidR="00FA7EEB" w:rsidRPr="001570EA" w:rsidRDefault="00FA7EEB" w:rsidP="00FA7EEB">
      <w:pPr>
        <w:spacing w:after="120"/>
      </w:pPr>
      <w:r w:rsidRPr="001570EA">
        <w:t>The equations for incremental first-year savings from HER programs are:</w:t>
      </w:r>
    </w:p>
    <w:p w14:paraId="2292AF5C" w14:textId="77777777" w:rsidR="00FA7EEB" w:rsidRPr="001570EA" w:rsidRDefault="00FA7EEB" w:rsidP="00FA7EEB">
      <w:pPr>
        <w:rPr>
          <w:b/>
        </w:rPr>
      </w:pPr>
    </w:p>
    <w:p w14:paraId="705E13F1" w14:textId="77777777" w:rsidR="00FA7EEB" w:rsidRPr="001570EA" w:rsidRDefault="00FA7EEB" w:rsidP="00FA7EEB">
      <w:pPr>
        <w:pStyle w:val="3ptheading"/>
        <w:spacing w:after="120"/>
        <w:rPr>
          <w:b w:val="0"/>
          <w:bCs/>
        </w:rPr>
      </w:pPr>
      <w:r w:rsidRPr="001570EA">
        <w:t>Year 1 and 2 of HER Exposure: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6655"/>
      </w:tblGrid>
      <w:tr w:rsidR="00FA7EEB" w:rsidRPr="001570EA" w14:paraId="191A260B" w14:textId="77777777">
        <w:trPr>
          <w:trHeight w:val="432"/>
        </w:trPr>
        <w:tc>
          <w:tcPr>
            <w:tcW w:w="1975" w:type="dxa"/>
            <w:vAlign w:val="center"/>
          </w:tcPr>
          <w:p w14:paraId="642FF53E" w14:textId="77777777" w:rsidR="00FA7EEB" w:rsidRPr="001570EA" w:rsidRDefault="00FA7EEB">
            <w:pPr>
              <w:pStyle w:val="3ptheading"/>
              <w:jc w:val="left"/>
              <w:rPr>
                <w:b w:val="0"/>
                <w:bCs/>
              </w:rPr>
            </w:pPr>
            <m:oMathPara>
              <m:oMathParaPr>
                <m:jc m:val="left"/>
              </m:oMathParaPr>
              <m:oMath>
                <m:r>
                  <m:rPr>
                    <m:sty m:val="b"/>
                  </m:rPr>
                  <w:rPr>
                    <w:rFonts w:ascii="Cambria Math" w:hAnsi="Cambria Math" w:cs="Arial"/>
                  </w:rPr>
                  <m:t>∆</m:t>
                </m:r>
                <m:sSub>
                  <m:sSubPr>
                    <m:ctrlPr>
                      <w:rPr>
                        <w:rFonts w:ascii="Cambria Math" w:hAnsi="Cambria Math" w:cs="Arial"/>
                        <w:b w:val="0"/>
                        <w:bCs/>
                      </w:rPr>
                    </m:ctrlPr>
                  </m:sSubPr>
                  <m:e>
                    <m:r>
                      <m:rPr>
                        <m:sty m:val="bi"/>
                      </m:rPr>
                      <w:rPr>
                        <w:rFonts w:ascii="Cambria Math" w:hAnsi="Cambria Math" w:cs="Arial"/>
                      </w:rPr>
                      <m:t>kWh</m:t>
                    </m:r>
                  </m:e>
                  <m:sub>
                    <m:r>
                      <m:rPr>
                        <m:sty m:val="bi"/>
                      </m:rPr>
                      <w:rPr>
                        <w:rFonts w:ascii="Cambria Math" w:hAnsi="Cambria Math" w:cs="Arial"/>
                      </w:rPr>
                      <m:t>Y</m:t>
                    </m:r>
                  </m:sub>
                </m:sSub>
              </m:oMath>
            </m:oMathPara>
          </w:p>
        </w:tc>
        <w:tc>
          <w:tcPr>
            <w:tcW w:w="6655" w:type="dxa"/>
            <w:vAlign w:val="center"/>
          </w:tcPr>
          <w:p w14:paraId="1EE02C8F" w14:textId="77777777" w:rsidR="00FA7EEB" w:rsidRPr="001570EA" w:rsidRDefault="00FA7EEB">
            <w:pPr>
              <w:pStyle w:val="3ptheading"/>
              <w:rPr>
                <w:b w:val="0"/>
                <w:bCs/>
              </w:rPr>
            </w:pPr>
            <m:oMathPara>
              <m:oMathParaPr>
                <m:jc m:val="left"/>
              </m:oMathParaPr>
              <m:oMath>
                <m:r>
                  <m:rPr>
                    <m:sty m:val="b"/>
                  </m:rPr>
                  <w:rPr>
                    <w:rFonts w:ascii="Cambria Math" w:hAnsi="Cambria Math" w:cs="Arial"/>
                  </w:rPr>
                  <m:t xml:space="preserve">= </m:t>
                </m:r>
                <m:sSub>
                  <m:sSubPr>
                    <m:ctrlPr>
                      <w:rPr>
                        <w:rFonts w:ascii="Cambria Math" w:hAnsi="Cambria Math" w:cs="Arial"/>
                        <w:b w:val="0"/>
                        <w:bCs/>
                      </w:rPr>
                    </m:ctrlPr>
                  </m:sSubPr>
                  <m:e>
                    <m:r>
                      <m:rPr>
                        <m:sty m:val="bi"/>
                      </m:rPr>
                      <w:rPr>
                        <w:rFonts w:ascii="Cambria Math" w:hAnsi="Cambria Math" w:cs="Arial"/>
                      </w:rPr>
                      <m:t>ATE</m:t>
                    </m:r>
                  </m:e>
                  <m:sub>
                    <m:r>
                      <m:rPr>
                        <m:sty m:val="bi"/>
                      </m:rPr>
                      <w:rPr>
                        <w:rFonts w:ascii="Cambria Math" w:hAnsi="Cambria Math" w:cs="Arial"/>
                      </w:rPr>
                      <m:t>y</m:t>
                    </m:r>
                  </m:sub>
                </m:sSub>
                <m:r>
                  <m:rPr>
                    <m:sty m:val="b"/>
                  </m:rPr>
                  <w:rPr>
                    <w:rFonts w:ascii="Cambria Math" w:hAnsi="Cambria Math" w:cs="Arial"/>
                  </w:rPr>
                  <m:t xml:space="preserve">* </m:t>
                </m:r>
                <m:sSub>
                  <m:sSubPr>
                    <m:ctrlPr>
                      <w:rPr>
                        <w:rFonts w:ascii="Cambria Math" w:eastAsia="Calibri" w:hAnsi="Cambria Math" w:cs="Arial"/>
                        <w:b w:val="0"/>
                        <w:bCs/>
                        <w:i/>
                      </w:rPr>
                    </m:ctrlPr>
                  </m:sSubPr>
                  <m:e>
                    <m:r>
                      <m:rPr>
                        <m:sty m:val="bi"/>
                      </m:rPr>
                      <w:rPr>
                        <w:rFonts w:ascii="Cambria Math" w:eastAsia="Calibri" w:hAnsi="Cambria Math" w:cs="Arial"/>
                      </w:rPr>
                      <m:t>Treatment Accounts</m:t>
                    </m:r>
                  </m:e>
                  <m:sub>
                    <m:r>
                      <m:rPr>
                        <m:sty m:val="bi"/>
                      </m:rPr>
                      <w:rPr>
                        <w:rFonts w:ascii="Cambria Math" w:eastAsia="Calibri" w:hAnsi="Cambria Math" w:cs="Arial"/>
                      </w:rPr>
                      <m:t>y</m:t>
                    </m:r>
                  </m:sub>
                </m:sSub>
                <m:r>
                  <m:rPr>
                    <m:sty m:val="b"/>
                  </m:rPr>
                  <w:rPr>
                    <w:rFonts w:ascii="Cambria Math" w:hAnsi="Cambria Math" w:cs="Arial"/>
                  </w:rPr>
                  <m:t>*</m:t>
                </m:r>
                <m:sSub>
                  <m:sSubPr>
                    <m:ctrlPr>
                      <w:rPr>
                        <w:rFonts w:ascii="Cambria Math" w:hAnsi="Cambria Math" w:cs="Arial"/>
                        <w:b w:val="0"/>
                        <w:bCs/>
                        <w:i/>
                      </w:rPr>
                    </m:ctrlPr>
                  </m:sSubPr>
                  <m:e>
                    <m:r>
                      <m:rPr>
                        <m:sty m:val="bi"/>
                      </m:rPr>
                      <w:rPr>
                        <w:rFonts w:ascii="Cambria Math" w:hAnsi="Cambria Math" w:cs="Arial"/>
                      </w:rPr>
                      <m:t>Days</m:t>
                    </m:r>
                  </m:e>
                  <m:sub>
                    <m:r>
                      <m:rPr>
                        <m:sty m:val="bi"/>
                      </m:rPr>
                      <w:rPr>
                        <w:rFonts w:ascii="Cambria Math" w:hAnsi="Cambria Math" w:cs="Arial"/>
                      </w:rPr>
                      <m:t>y</m:t>
                    </m:r>
                  </m:sub>
                </m:sSub>
              </m:oMath>
            </m:oMathPara>
          </w:p>
        </w:tc>
      </w:tr>
      <w:tr w:rsidR="00FA7EEB" w:rsidRPr="001570EA" w14:paraId="12CBFE0D" w14:textId="77777777">
        <w:trPr>
          <w:trHeight w:val="432"/>
        </w:trPr>
        <w:tc>
          <w:tcPr>
            <w:tcW w:w="1975" w:type="dxa"/>
            <w:vAlign w:val="center"/>
          </w:tcPr>
          <w:p w14:paraId="1B324166" w14:textId="77777777" w:rsidR="00FA7EEB" w:rsidRPr="001570EA" w:rsidRDefault="003B5E04">
            <w:pPr>
              <w:pStyle w:val="3ptheading"/>
              <w:jc w:val="left"/>
              <w:rPr>
                <w:b w:val="0"/>
                <w:bCs/>
              </w:rPr>
            </w:pPr>
            <m:oMathPara>
              <m:oMathParaPr>
                <m:jc m:val="left"/>
              </m:oMathParaPr>
              <m:oMath>
                <m:sSub>
                  <m:sSubPr>
                    <m:ctrlPr>
                      <w:rPr>
                        <w:rFonts w:ascii="Cambria Math" w:hAnsi="Cambria Math" w:cs="Arial"/>
                        <w:b w:val="0"/>
                        <w:bCs/>
                      </w:rPr>
                    </m:ctrlPr>
                  </m:sSubPr>
                  <m:e>
                    <m:r>
                      <m:rPr>
                        <m:sty m:val="bi"/>
                      </m:rPr>
                      <w:rPr>
                        <w:rFonts w:ascii="Cambria Math" w:hAnsi="Cambria Math" w:cs="Arial"/>
                      </w:rPr>
                      <m:t>FYSATE</m:t>
                    </m:r>
                  </m:e>
                  <m:sub>
                    <m:r>
                      <m:rPr>
                        <m:sty m:val="bi"/>
                      </m:rPr>
                      <w:rPr>
                        <w:rFonts w:ascii="Cambria Math" w:hAnsi="Cambria Math" w:cs="Arial"/>
                      </w:rPr>
                      <m:t>y</m:t>
                    </m:r>
                  </m:sub>
                </m:sSub>
              </m:oMath>
            </m:oMathPara>
          </w:p>
        </w:tc>
        <w:tc>
          <w:tcPr>
            <w:tcW w:w="6655" w:type="dxa"/>
            <w:vAlign w:val="center"/>
          </w:tcPr>
          <w:p w14:paraId="7203B1E1" w14:textId="77777777" w:rsidR="00FA7EEB" w:rsidRPr="001570EA" w:rsidRDefault="00FA7EEB">
            <w:pPr>
              <w:pStyle w:val="3ptheading"/>
              <w:jc w:val="left"/>
              <w:rPr>
                <w:b w:val="0"/>
                <w:bCs/>
              </w:rPr>
            </w:pPr>
            <m:oMathPara>
              <m:oMathParaPr>
                <m:jc m:val="left"/>
              </m:oMathParaPr>
              <m:oMath>
                <m:r>
                  <m:rPr>
                    <m:sty m:val="bi"/>
                  </m:rPr>
                  <w:rPr>
                    <w:rFonts w:ascii="Cambria Math" w:hAnsi="Cambria Math" w:cs="Arial"/>
                  </w:rPr>
                  <m:t xml:space="preserve">= </m:t>
                </m:r>
                <m:sSub>
                  <m:sSubPr>
                    <m:ctrlPr>
                      <w:rPr>
                        <w:rFonts w:ascii="Cambria Math" w:hAnsi="Cambria Math" w:cs="Arial"/>
                        <w:b w:val="0"/>
                        <w:bCs/>
                        <w:i/>
                      </w:rPr>
                    </m:ctrlPr>
                  </m:sSubPr>
                  <m:e>
                    <m:r>
                      <m:rPr>
                        <m:sty m:val="bi"/>
                      </m:rPr>
                      <w:rPr>
                        <w:rFonts w:ascii="Cambria Math" w:hAnsi="Cambria Math" w:cs="Arial"/>
                      </w:rPr>
                      <m:t>ATE</m:t>
                    </m:r>
                  </m:e>
                  <m:sub>
                    <m:r>
                      <m:rPr>
                        <m:sty m:val="bi"/>
                      </m:rPr>
                      <w:rPr>
                        <w:rFonts w:ascii="Cambria Math" w:hAnsi="Cambria Math" w:cs="Arial"/>
                      </w:rPr>
                      <m:t>y</m:t>
                    </m:r>
                  </m:sub>
                </m:sSub>
              </m:oMath>
            </m:oMathPara>
          </w:p>
        </w:tc>
      </w:tr>
    </w:tbl>
    <w:p w14:paraId="36DDEF32" w14:textId="77777777" w:rsidR="00FA7EEB" w:rsidRPr="001570EA" w:rsidRDefault="00FA7EEB" w:rsidP="00FA7EEB">
      <w:pPr>
        <w:pStyle w:val="3ptheading"/>
        <w:rPr>
          <w:b w:val="0"/>
          <w:bCs/>
        </w:rPr>
      </w:pPr>
    </w:p>
    <w:p w14:paraId="7B2E2D06" w14:textId="77777777" w:rsidR="00FA7EEB" w:rsidRPr="001570EA" w:rsidRDefault="00FA7EEB" w:rsidP="00FA7EEB">
      <w:pPr>
        <w:spacing w:after="120"/>
      </w:pPr>
      <w:r w:rsidRPr="001570EA">
        <w:t>Where ATE</w:t>
      </w:r>
      <w:r w:rsidRPr="001570EA">
        <w:rPr>
          <w:vertAlign w:val="subscript"/>
        </w:rPr>
        <w:t>y</w:t>
      </w:r>
      <w:r w:rsidRPr="001570EA">
        <w:t xml:space="preserve"> is the average daily savings determined through a billing regression analysis, minus the average daily uplift (kWh/day). The uplift of the HER program is determined by examining the cumulative difference in other EE program savings between the treated population and the control group since the inception of the HER cohort. In years 1 and 2 of HER exposure the ATE</w:t>
      </w:r>
      <w:r w:rsidRPr="001570EA">
        <w:rPr>
          <w:vertAlign w:val="subscript"/>
        </w:rPr>
        <w:t xml:space="preserve">y </w:t>
      </w:r>
      <w:r w:rsidRPr="001570EA">
        <w:t>and FYSATE</w:t>
      </w:r>
      <w:r w:rsidRPr="001570EA">
        <w:rPr>
          <w:vertAlign w:val="subscript"/>
        </w:rPr>
        <w:t xml:space="preserve">y </w:t>
      </w:r>
      <w:r w:rsidRPr="001570EA">
        <w:t xml:space="preserve">terms are identical.  </w:t>
      </w:r>
    </w:p>
    <w:p w14:paraId="3582338B" w14:textId="6303ACA4" w:rsidR="00FA7EEB" w:rsidRPr="001570EA" w:rsidRDefault="00FA7EEB" w:rsidP="00FA7EEB">
      <w:pPr>
        <w:spacing w:after="120"/>
      </w:pPr>
      <w:r w:rsidRPr="001570EA">
        <w:t xml:space="preserve">If an EDC elects to treat an HER cohort for a </w:t>
      </w:r>
      <w:r w:rsidR="00884879" w:rsidRPr="001570EA">
        <w:t>third</w:t>
      </w:r>
      <w:r w:rsidRPr="001570EA">
        <w:rPr>
          <w:vertAlign w:val="superscript"/>
        </w:rPr>
        <w:t xml:space="preserve"> </w:t>
      </w:r>
      <w:r w:rsidRPr="001570EA">
        <w:t>year or beyond the equation for incremental first-year savings is:</w:t>
      </w:r>
    </w:p>
    <w:p w14:paraId="5F0038C8" w14:textId="77777777" w:rsidR="00FA7EEB" w:rsidRPr="001570EA" w:rsidRDefault="00FA7EEB" w:rsidP="00FA7EEB">
      <w:pPr>
        <w:pStyle w:val="3ptheading"/>
        <w:rPr>
          <w:b w:val="0"/>
        </w:rPr>
      </w:pPr>
      <w:r w:rsidRPr="001570EA">
        <w:t>Year 3 of HER Exposure: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6617"/>
      </w:tblGrid>
      <w:tr w:rsidR="00FA7EEB" w:rsidRPr="001570EA" w14:paraId="7071DF9B" w14:textId="77777777">
        <w:trPr>
          <w:trHeight w:val="432"/>
        </w:trPr>
        <w:tc>
          <w:tcPr>
            <w:tcW w:w="1975" w:type="dxa"/>
            <w:vAlign w:val="center"/>
          </w:tcPr>
          <w:p w14:paraId="268F2FF8" w14:textId="77777777" w:rsidR="00FA7EEB" w:rsidRPr="001570EA" w:rsidRDefault="003B5E04">
            <w:pPr>
              <w:pStyle w:val="3ptheading"/>
              <w:jc w:val="left"/>
              <w:rPr>
                <w:b w:val="0"/>
                <w:bCs/>
              </w:rPr>
            </w:pPr>
            <m:oMathPara>
              <m:oMathParaPr>
                <m:jc m:val="left"/>
              </m:oMathParaPr>
              <m:oMath>
                <m:sSub>
                  <m:sSubPr>
                    <m:ctrlPr>
                      <w:rPr>
                        <w:rFonts w:ascii="Cambria Math" w:hAnsi="Cambria Math" w:cs="Arial"/>
                        <w:b w:val="0"/>
                        <w:bCs/>
                      </w:rPr>
                    </m:ctrlPr>
                  </m:sSubPr>
                  <m:e>
                    <m:r>
                      <m:rPr>
                        <m:sty m:val="bi"/>
                      </m:rPr>
                      <w:rPr>
                        <w:rFonts w:ascii="Cambria Math" w:hAnsi="Cambria Math" w:cs="Arial"/>
                      </w:rPr>
                      <m:t>FYSATE</m:t>
                    </m:r>
                  </m:e>
                  <m:sub>
                    <m:r>
                      <m:rPr>
                        <m:sty m:val="bi"/>
                      </m:rPr>
                      <w:rPr>
                        <w:rFonts w:ascii="Cambria Math" w:hAnsi="Cambria Math" w:cs="Arial"/>
                      </w:rPr>
                      <m:t>y</m:t>
                    </m:r>
                  </m:sub>
                </m:sSub>
              </m:oMath>
            </m:oMathPara>
          </w:p>
        </w:tc>
        <w:tc>
          <w:tcPr>
            <w:tcW w:w="6655" w:type="dxa"/>
            <w:vAlign w:val="center"/>
          </w:tcPr>
          <w:p w14:paraId="5E2FF25E" w14:textId="77777777" w:rsidR="00FA7EEB" w:rsidRPr="001570EA" w:rsidRDefault="00FA7EEB">
            <w:pPr>
              <w:pStyle w:val="3ptheading"/>
              <w:rPr>
                <w:b w:val="0"/>
                <w:bCs/>
              </w:rPr>
            </w:pPr>
            <m:oMathPara>
              <m:oMathParaPr>
                <m:jc m:val="left"/>
              </m:oMathParaPr>
              <m:oMath>
                <m:r>
                  <m:rPr>
                    <m:sty m:val="bi"/>
                  </m:rPr>
                  <w:rPr>
                    <w:rFonts w:ascii="Cambria Math" w:hAnsi="Cambria Math" w:cs="Arial"/>
                  </w:rPr>
                  <m:t xml:space="preserve">= </m:t>
                </m:r>
                <m:sSub>
                  <m:sSubPr>
                    <m:ctrlPr>
                      <w:rPr>
                        <w:rFonts w:ascii="Cambria Math" w:hAnsi="Cambria Math" w:cs="Arial"/>
                        <w:b w:val="0"/>
                        <w:bCs/>
                        <w:i/>
                      </w:rPr>
                    </m:ctrlPr>
                  </m:sSubPr>
                  <m:e>
                    <m:r>
                      <m:rPr>
                        <m:sty m:val="bi"/>
                      </m:rPr>
                      <w:rPr>
                        <w:rFonts w:ascii="Cambria Math" w:hAnsi="Cambria Math" w:cs="Arial"/>
                      </w:rPr>
                      <m:t>ATE</m:t>
                    </m:r>
                  </m:e>
                  <m:sub>
                    <m:r>
                      <m:rPr>
                        <m:sty m:val="bi"/>
                      </m:rPr>
                      <w:rPr>
                        <w:rFonts w:ascii="Cambria Math" w:hAnsi="Cambria Math" w:cs="Arial"/>
                      </w:rPr>
                      <m:t>y</m:t>
                    </m:r>
                  </m:sub>
                </m:sSub>
                <m:r>
                  <m:rPr>
                    <m:sty m:val="bi"/>
                  </m:rPr>
                  <w:rPr>
                    <w:rFonts w:ascii="Cambria Math" w:hAnsi="Cambria Math" w:cs="Arial"/>
                  </w:rPr>
                  <m:t xml:space="preserve">- </m:t>
                </m:r>
                <m:nary>
                  <m:naryPr>
                    <m:chr m:val="∑"/>
                    <m:limLoc m:val="subSup"/>
                    <m:ctrlPr>
                      <w:rPr>
                        <w:rFonts w:ascii="Cambria Math" w:hAnsi="Cambria Math" w:cs="Arial"/>
                        <w:b w:val="0"/>
                        <w:bCs/>
                        <w:i/>
                      </w:rPr>
                    </m:ctrlPr>
                  </m:naryPr>
                  <m:sub>
                    <m:r>
                      <m:rPr>
                        <m:sty m:val="bi"/>
                      </m:rPr>
                      <w:rPr>
                        <w:rFonts w:ascii="Cambria Math" w:hAnsi="Cambria Math" w:cs="Arial"/>
                      </w:rPr>
                      <m:t>x=1</m:t>
                    </m:r>
                  </m:sub>
                  <m:sup>
                    <m:r>
                      <m:rPr>
                        <m:sty m:val="bi"/>
                      </m:rPr>
                      <w:rPr>
                        <w:rFonts w:ascii="Cambria Math" w:hAnsi="Cambria Math" w:cs="Arial"/>
                      </w:rPr>
                      <m:t>x=1</m:t>
                    </m:r>
                  </m:sup>
                  <m:e>
                    <m:sSub>
                      <m:sSubPr>
                        <m:ctrlPr>
                          <w:rPr>
                            <w:rFonts w:ascii="Cambria Math" w:hAnsi="Cambria Math" w:cs="Arial"/>
                            <w:b w:val="0"/>
                            <w:bCs/>
                            <w:i/>
                          </w:rPr>
                        </m:ctrlPr>
                      </m:sSubPr>
                      <m:e>
                        <m:r>
                          <m:rPr>
                            <m:sty m:val="bi"/>
                          </m:rPr>
                          <w:rPr>
                            <w:rFonts w:ascii="Cambria Math" w:hAnsi="Cambria Math" w:cs="Arial"/>
                          </w:rPr>
                          <m:t>FYSATE</m:t>
                        </m:r>
                      </m:e>
                      <m:sub>
                        <m:r>
                          <m:rPr>
                            <m:sty m:val="bi"/>
                          </m:rPr>
                          <w:rPr>
                            <w:rFonts w:ascii="Cambria Math" w:hAnsi="Cambria Math" w:cs="Arial"/>
                          </w:rPr>
                          <m:t>y-x</m:t>
                        </m:r>
                      </m:sub>
                    </m:sSub>
                    <m:r>
                      <m:rPr>
                        <m:sty m:val="bi"/>
                      </m:rPr>
                      <w:rPr>
                        <w:rFonts w:ascii="Cambria Math" w:hAnsi="Cambria Math" w:cs="Arial"/>
                      </w:rPr>
                      <m:t>-</m:t>
                    </m:r>
                    <m:sSub>
                      <m:sSubPr>
                        <m:ctrlPr>
                          <w:rPr>
                            <w:rFonts w:ascii="Cambria Math" w:hAnsi="Cambria Math" w:cs="Arial"/>
                            <w:b w:val="0"/>
                            <w:bCs/>
                            <w:i/>
                          </w:rPr>
                        </m:ctrlPr>
                      </m:sSubPr>
                      <m:e>
                        <m:r>
                          <m:rPr>
                            <m:sty m:val="bi"/>
                          </m:rPr>
                          <w:rPr>
                            <w:rFonts w:ascii="Cambria Math" w:hAnsi="Cambria Math" w:cs="Arial"/>
                          </w:rPr>
                          <m:t>FYSATE</m:t>
                        </m:r>
                      </m:e>
                      <m:sub>
                        <m:r>
                          <m:rPr>
                            <m:sty m:val="bi"/>
                          </m:rPr>
                          <w:rPr>
                            <w:rFonts w:ascii="Cambria Math" w:hAnsi="Cambria Math" w:cs="Arial"/>
                          </w:rPr>
                          <m:t>y-x</m:t>
                        </m:r>
                      </m:sub>
                    </m:sSub>
                    <m:r>
                      <m:rPr>
                        <m:sty m:val="bi"/>
                      </m:rPr>
                      <w:rPr>
                        <w:rFonts w:ascii="Cambria Math" w:hAnsi="Cambria Math" w:cs="Arial"/>
                      </w:rPr>
                      <m:t>*Decay*(X-0.5)</m:t>
                    </m:r>
                  </m:e>
                </m:nary>
              </m:oMath>
            </m:oMathPara>
          </w:p>
        </w:tc>
      </w:tr>
      <w:tr w:rsidR="00FA7EEB" w:rsidRPr="001570EA" w14:paraId="7999849E" w14:textId="77777777">
        <w:trPr>
          <w:trHeight w:val="576"/>
        </w:trPr>
        <w:tc>
          <w:tcPr>
            <w:tcW w:w="1975" w:type="dxa"/>
            <w:vAlign w:val="center"/>
          </w:tcPr>
          <w:p w14:paraId="5B9C26E2" w14:textId="77777777" w:rsidR="00FA7EEB" w:rsidRPr="001570EA" w:rsidRDefault="00FA7EEB">
            <w:pPr>
              <w:pStyle w:val="3ptheading"/>
              <w:jc w:val="left"/>
              <w:rPr>
                <w:b w:val="0"/>
                <w:bCs/>
              </w:rPr>
            </w:pPr>
            <m:oMathPara>
              <m:oMathParaPr>
                <m:jc m:val="left"/>
              </m:oMathParaPr>
              <m:oMath>
                <m:r>
                  <m:rPr>
                    <m:sty m:val="b"/>
                  </m:rPr>
                  <w:rPr>
                    <w:rFonts w:ascii="Cambria Math" w:hAnsi="Cambria Math" w:cs="Arial"/>
                  </w:rPr>
                  <m:t>∆</m:t>
                </m:r>
                <m:sSub>
                  <m:sSubPr>
                    <m:ctrlPr>
                      <w:rPr>
                        <w:rFonts w:ascii="Cambria Math" w:hAnsi="Cambria Math" w:cs="Arial"/>
                        <w:b w:val="0"/>
                        <w:bCs/>
                      </w:rPr>
                    </m:ctrlPr>
                  </m:sSubPr>
                  <m:e>
                    <m:r>
                      <m:rPr>
                        <m:sty m:val="bi"/>
                      </m:rPr>
                      <w:rPr>
                        <w:rFonts w:ascii="Cambria Math" w:hAnsi="Cambria Math" w:cs="Arial"/>
                      </w:rPr>
                      <m:t>kWh</m:t>
                    </m:r>
                  </m:e>
                  <m:sub>
                    <m:r>
                      <m:rPr>
                        <m:sty m:val="bi"/>
                      </m:rPr>
                      <w:rPr>
                        <w:rFonts w:ascii="Cambria Math" w:hAnsi="Cambria Math" w:cs="Arial"/>
                      </w:rPr>
                      <m:t>Y</m:t>
                    </m:r>
                  </m:sub>
                </m:sSub>
                <m:r>
                  <m:rPr>
                    <m:sty m:val="b"/>
                  </m:rPr>
                  <w:rPr>
                    <w:rFonts w:ascii="Cambria Math" w:hAnsi="Cambria Math" w:cs="Arial"/>
                  </w:rPr>
                  <m:t xml:space="preserve">                          </m:t>
                </m:r>
              </m:oMath>
            </m:oMathPara>
          </w:p>
        </w:tc>
        <w:tc>
          <w:tcPr>
            <w:tcW w:w="6655" w:type="dxa"/>
            <w:vAlign w:val="center"/>
          </w:tcPr>
          <w:p w14:paraId="108C8365" w14:textId="77777777" w:rsidR="00FA7EEB" w:rsidRPr="001570EA" w:rsidRDefault="00FA7EEB">
            <w:pPr>
              <w:pStyle w:val="3ptheading"/>
              <w:jc w:val="left"/>
              <w:rPr>
                <w:b w:val="0"/>
                <w:bCs/>
              </w:rPr>
            </w:pPr>
            <m:oMathPara>
              <m:oMathParaPr>
                <m:jc m:val="left"/>
              </m:oMathParaPr>
              <m:oMath>
                <m:r>
                  <m:rPr>
                    <m:sty m:val="bi"/>
                  </m:rPr>
                  <w:rPr>
                    <w:rFonts w:ascii="Cambria Math" w:hAnsi="Cambria Math" w:cs="Arial"/>
                  </w:rPr>
                  <m:t>=</m:t>
                </m:r>
                <m:sSub>
                  <m:sSubPr>
                    <m:ctrlPr>
                      <w:rPr>
                        <w:rFonts w:ascii="Cambria Math" w:hAnsi="Cambria Math" w:cs="Arial"/>
                        <w:b w:val="0"/>
                        <w:bCs/>
                      </w:rPr>
                    </m:ctrlPr>
                  </m:sSubPr>
                  <m:e>
                    <m:r>
                      <m:rPr>
                        <m:sty m:val="bi"/>
                      </m:rPr>
                      <w:rPr>
                        <w:rFonts w:ascii="Cambria Math" w:hAnsi="Cambria Math" w:cs="Arial"/>
                      </w:rPr>
                      <m:t>FYSATE</m:t>
                    </m:r>
                  </m:e>
                  <m:sub>
                    <m:r>
                      <m:rPr>
                        <m:sty m:val="bi"/>
                      </m:rPr>
                      <w:rPr>
                        <w:rFonts w:ascii="Cambria Math" w:hAnsi="Cambria Math" w:cs="Arial"/>
                      </w:rPr>
                      <m:t>y</m:t>
                    </m:r>
                  </m:sub>
                </m:sSub>
                <m:r>
                  <m:rPr>
                    <m:sty m:val="bi"/>
                  </m:rPr>
                  <w:rPr>
                    <w:rFonts w:ascii="Cambria Math" w:hAnsi="Cambria Math" w:cs="Arial"/>
                  </w:rPr>
                  <m:t xml:space="preserve">* </m:t>
                </m:r>
                <m:sSub>
                  <m:sSubPr>
                    <m:ctrlPr>
                      <w:rPr>
                        <w:rFonts w:ascii="Cambria Math" w:hAnsi="Cambria Math" w:cs="Arial"/>
                        <w:b w:val="0"/>
                        <w:bCs/>
                        <w:i/>
                      </w:rPr>
                    </m:ctrlPr>
                  </m:sSubPr>
                  <m:e>
                    <m:r>
                      <m:rPr>
                        <m:sty m:val="bi"/>
                      </m:rPr>
                      <w:rPr>
                        <w:rFonts w:ascii="Cambria Math" w:hAnsi="Cambria Math" w:cs="Arial"/>
                      </w:rPr>
                      <m:t>Treatment Accounts</m:t>
                    </m:r>
                  </m:e>
                  <m:sub>
                    <m:r>
                      <m:rPr>
                        <m:sty m:val="bi"/>
                      </m:rPr>
                      <w:rPr>
                        <w:rFonts w:ascii="Cambria Math" w:hAnsi="Cambria Math" w:cs="Arial"/>
                      </w:rPr>
                      <m:t>y</m:t>
                    </m:r>
                  </m:sub>
                </m:sSub>
                <m:r>
                  <m:rPr>
                    <m:sty m:val="bi"/>
                  </m:rPr>
                  <w:rPr>
                    <w:rFonts w:ascii="Cambria Math" w:hAnsi="Cambria Math" w:cs="Arial"/>
                  </w:rPr>
                  <m:t>*</m:t>
                </m:r>
                <m:sSub>
                  <m:sSubPr>
                    <m:ctrlPr>
                      <w:rPr>
                        <w:rFonts w:ascii="Cambria Math" w:hAnsi="Cambria Math" w:cs="Arial"/>
                        <w:b w:val="0"/>
                        <w:bCs/>
                        <w:i/>
                      </w:rPr>
                    </m:ctrlPr>
                  </m:sSubPr>
                  <m:e>
                    <m:r>
                      <m:rPr>
                        <m:sty m:val="bi"/>
                      </m:rPr>
                      <w:rPr>
                        <w:rFonts w:ascii="Cambria Math" w:hAnsi="Cambria Math" w:cs="Arial"/>
                      </w:rPr>
                      <m:t>Days</m:t>
                    </m:r>
                  </m:e>
                  <m:sub>
                    <m:r>
                      <m:rPr>
                        <m:sty m:val="bi"/>
                      </m:rPr>
                      <w:rPr>
                        <w:rFonts w:ascii="Cambria Math" w:hAnsi="Cambria Math" w:cs="Arial"/>
                      </w:rPr>
                      <m:t>y</m:t>
                    </m:r>
                  </m:sub>
                </m:sSub>
              </m:oMath>
            </m:oMathPara>
          </w:p>
        </w:tc>
      </w:tr>
    </w:tbl>
    <w:p w14:paraId="118193D1" w14:textId="77777777" w:rsidR="00FA7EEB" w:rsidRPr="001570EA" w:rsidRDefault="00FA7EEB" w:rsidP="00FA7EEB">
      <w:pPr>
        <w:pStyle w:val="3ptheading"/>
      </w:pPr>
    </w:p>
    <w:p w14:paraId="33107A7D" w14:textId="77777777" w:rsidR="00FA7EEB" w:rsidRPr="001570EA" w:rsidRDefault="00FA7EEB" w:rsidP="00FA7EEB">
      <w:pPr>
        <w:pStyle w:val="3ptheading"/>
      </w:pPr>
      <w:r w:rsidRPr="001570EA">
        <w:t>Year 4 of HER Exposure: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6617"/>
      </w:tblGrid>
      <w:tr w:rsidR="00FA7EEB" w:rsidRPr="001570EA" w14:paraId="431FB7BB" w14:textId="77777777">
        <w:trPr>
          <w:trHeight w:val="432"/>
        </w:trPr>
        <w:tc>
          <w:tcPr>
            <w:tcW w:w="1975" w:type="dxa"/>
            <w:vAlign w:val="center"/>
          </w:tcPr>
          <w:p w14:paraId="1A37E4C7" w14:textId="77777777" w:rsidR="00FA7EEB" w:rsidRPr="001570EA" w:rsidRDefault="003B5E04">
            <w:pPr>
              <w:pStyle w:val="3ptheading"/>
              <w:jc w:val="left"/>
              <w:rPr>
                <w:b w:val="0"/>
                <w:bCs/>
              </w:rPr>
            </w:pPr>
            <m:oMathPara>
              <m:oMathParaPr>
                <m:jc m:val="left"/>
              </m:oMathParaPr>
              <m:oMath>
                <m:sSub>
                  <m:sSubPr>
                    <m:ctrlPr>
                      <w:rPr>
                        <w:rFonts w:ascii="Cambria Math" w:hAnsi="Cambria Math" w:cs="Arial"/>
                        <w:b w:val="0"/>
                        <w:bCs/>
                      </w:rPr>
                    </m:ctrlPr>
                  </m:sSubPr>
                  <m:e>
                    <m:r>
                      <m:rPr>
                        <m:sty m:val="bi"/>
                      </m:rPr>
                      <w:rPr>
                        <w:rFonts w:ascii="Cambria Math" w:hAnsi="Cambria Math" w:cs="Arial"/>
                      </w:rPr>
                      <m:t>FYSATE</m:t>
                    </m:r>
                  </m:e>
                  <m:sub>
                    <m:r>
                      <m:rPr>
                        <m:sty m:val="bi"/>
                      </m:rPr>
                      <w:rPr>
                        <w:rFonts w:ascii="Cambria Math" w:hAnsi="Cambria Math" w:cs="Arial"/>
                      </w:rPr>
                      <m:t>y</m:t>
                    </m:r>
                  </m:sub>
                </m:sSub>
              </m:oMath>
            </m:oMathPara>
          </w:p>
        </w:tc>
        <w:tc>
          <w:tcPr>
            <w:tcW w:w="6655" w:type="dxa"/>
            <w:vAlign w:val="center"/>
          </w:tcPr>
          <w:p w14:paraId="6D507830" w14:textId="77777777" w:rsidR="00FA7EEB" w:rsidRPr="001570EA" w:rsidRDefault="00FA7EEB">
            <w:pPr>
              <w:pStyle w:val="3ptheading"/>
              <w:rPr>
                <w:b w:val="0"/>
                <w:bCs/>
              </w:rPr>
            </w:pPr>
            <m:oMathPara>
              <m:oMathParaPr>
                <m:jc m:val="left"/>
              </m:oMathParaPr>
              <m:oMath>
                <m:r>
                  <m:rPr>
                    <m:sty m:val="bi"/>
                  </m:rPr>
                  <w:rPr>
                    <w:rFonts w:ascii="Cambria Math" w:hAnsi="Cambria Math" w:cs="Arial"/>
                  </w:rPr>
                  <m:t xml:space="preserve">= </m:t>
                </m:r>
                <m:sSub>
                  <m:sSubPr>
                    <m:ctrlPr>
                      <w:rPr>
                        <w:rFonts w:ascii="Cambria Math" w:hAnsi="Cambria Math" w:cs="Arial"/>
                        <w:b w:val="0"/>
                        <w:bCs/>
                        <w:i/>
                      </w:rPr>
                    </m:ctrlPr>
                  </m:sSubPr>
                  <m:e>
                    <m:r>
                      <m:rPr>
                        <m:sty m:val="bi"/>
                      </m:rPr>
                      <w:rPr>
                        <w:rFonts w:ascii="Cambria Math" w:hAnsi="Cambria Math" w:cs="Arial"/>
                      </w:rPr>
                      <m:t>ATE</m:t>
                    </m:r>
                  </m:e>
                  <m:sub>
                    <m:r>
                      <m:rPr>
                        <m:sty m:val="bi"/>
                      </m:rPr>
                      <w:rPr>
                        <w:rFonts w:ascii="Cambria Math" w:hAnsi="Cambria Math" w:cs="Arial"/>
                      </w:rPr>
                      <m:t>y</m:t>
                    </m:r>
                  </m:sub>
                </m:sSub>
                <m:r>
                  <m:rPr>
                    <m:sty m:val="bi"/>
                  </m:rPr>
                  <w:rPr>
                    <w:rFonts w:ascii="Cambria Math" w:hAnsi="Cambria Math" w:cs="Arial"/>
                  </w:rPr>
                  <m:t xml:space="preserve">- </m:t>
                </m:r>
                <m:nary>
                  <m:naryPr>
                    <m:chr m:val="∑"/>
                    <m:limLoc m:val="subSup"/>
                    <m:ctrlPr>
                      <w:rPr>
                        <w:rFonts w:ascii="Cambria Math" w:hAnsi="Cambria Math" w:cs="Arial"/>
                        <w:b w:val="0"/>
                        <w:bCs/>
                        <w:i/>
                      </w:rPr>
                    </m:ctrlPr>
                  </m:naryPr>
                  <m:sub>
                    <m:r>
                      <m:rPr>
                        <m:sty m:val="bi"/>
                      </m:rPr>
                      <w:rPr>
                        <w:rFonts w:ascii="Cambria Math" w:hAnsi="Cambria Math" w:cs="Arial"/>
                      </w:rPr>
                      <m:t>x=1</m:t>
                    </m:r>
                  </m:sub>
                  <m:sup>
                    <m:r>
                      <m:rPr>
                        <m:sty m:val="bi"/>
                      </m:rPr>
                      <w:rPr>
                        <w:rFonts w:ascii="Cambria Math" w:hAnsi="Cambria Math" w:cs="Arial"/>
                      </w:rPr>
                      <m:t>x=2</m:t>
                    </m:r>
                  </m:sup>
                  <m:e>
                    <m:sSub>
                      <m:sSubPr>
                        <m:ctrlPr>
                          <w:rPr>
                            <w:rFonts w:ascii="Cambria Math" w:hAnsi="Cambria Math" w:cs="Arial"/>
                            <w:b w:val="0"/>
                            <w:bCs/>
                            <w:i/>
                          </w:rPr>
                        </m:ctrlPr>
                      </m:sSubPr>
                      <m:e>
                        <m:r>
                          <m:rPr>
                            <m:sty m:val="bi"/>
                          </m:rPr>
                          <w:rPr>
                            <w:rFonts w:ascii="Cambria Math" w:hAnsi="Cambria Math" w:cs="Arial"/>
                          </w:rPr>
                          <m:t>FYSATE</m:t>
                        </m:r>
                      </m:e>
                      <m:sub>
                        <m:r>
                          <m:rPr>
                            <m:sty m:val="bi"/>
                          </m:rPr>
                          <w:rPr>
                            <w:rFonts w:ascii="Cambria Math" w:hAnsi="Cambria Math" w:cs="Arial"/>
                          </w:rPr>
                          <m:t>y-x</m:t>
                        </m:r>
                      </m:sub>
                    </m:sSub>
                    <m:r>
                      <m:rPr>
                        <m:sty m:val="bi"/>
                      </m:rPr>
                      <w:rPr>
                        <w:rFonts w:ascii="Cambria Math" w:hAnsi="Cambria Math" w:cs="Arial"/>
                      </w:rPr>
                      <m:t>-</m:t>
                    </m:r>
                    <m:sSub>
                      <m:sSubPr>
                        <m:ctrlPr>
                          <w:rPr>
                            <w:rFonts w:ascii="Cambria Math" w:hAnsi="Cambria Math" w:cs="Arial"/>
                            <w:b w:val="0"/>
                            <w:bCs/>
                            <w:i/>
                          </w:rPr>
                        </m:ctrlPr>
                      </m:sSubPr>
                      <m:e>
                        <m:r>
                          <m:rPr>
                            <m:sty m:val="bi"/>
                          </m:rPr>
                          <w:rPr>
                            <w:rFonts w:ascii="Cambria Math" w:hAnsi="Cambria Math" w:cs="Arial"/>
                          </w:rPr>
                          <m:t>FYSATE</m:t>
                        </m:r>
                      </m:e>
                      <m:sub>
                        <m:r>
                          <m:rPr>
                            <m:sty m:val="bi"/>
                          </m:rPr>
                          <w:rPr>
                            <w:rFonts w:ascii="Cambria Math" w:hAnsi="Cambria Math" w:cs="Arial"/>
                          </w:rPr>
                          <m:t>y-x</m:t>
                        </m:r>
                      </m:sub>
                    </m:sSub>
                    <m:r>
                      <m:rPr>
                        <m:sty m:val="bi"/>
                      </m:rPr>
                      <w:rPr>
                        <w:rFonts w:ascii="Cambria Math" w:hAnsi="Cambria Math" w:cs="Arial"/>
                      </w:rPr>
                      <m:t>*Decay*(X-0.5)</m:t>
                    </m:r>
                  </m:e>
                </m:nary>
              </m:oMath>
            </m:oMathPara>
          </w:p>
        </w:tc>
      </w:tr>
      <w:tr w:rsidR="00FA7EEB" w:rsidRPr="001570EA" w14:paraId="49416B58" w14:textId="77777777">
        <w:trPr>
          <w:trHeight w:val="576"/>
        </w:trPr>
        <w:tc>
          <w:tcPr>
            <w:tcW w:w="1975" w:type="dxa"/>
            <w:vAlign w:val="center"/>
          </w:tcPr>
          <w:p w14:paraId="32D86929" w14:textId="77777777" w:rsidR="00FA7EEB" w:rsidRPr="001570EA" w:rsidRDefault="00FA7EEB">
            <w:pPr>
              <w:pStyle w:val="3ptheading"/>
              <w:jc w:val="left"/>
              <w:rPr>
                <w:b w:val="0"/>
                <w:bCs/>
              </w:rPr>
            </w:pPr>
            <m:oMathPara>
              <m:oMathParaPr>
                <m:jc m:val="left"/>
              </m:oMathParaPr>
              <m:oMath>
                <m:r>
                  <m:rPr>
                    <m:sty m:val="b"/>
                  </m:rPr>
                  <w:rPr>
                    <w:rFonts w:ascii="Cambria Math" w:hAnsi="Cambria Math" w:cs="Arial"/>
                  </w:rPr>
                  <m:t>∆</m:t>
                </m:r>
                <m:sSub>
                  <m:sSubPr>
                    <m:ctrlPr>
                      <w:rPr>
                        <w:rFonts w:ascii="Cambria Math" w:hAnsi="Cambria Math" w:cs="Arial"/>
                        <w:b w:val="0"/>
                        <w:bCs/>
                      </w:rPr>
                    </m:ctrlPr>
                  </m:sSubPr>
                  <m:e>
                    <m:r>
                      <m:rPr>
                        <m:sty m:val="bi"/>
                      </m:rPr>
                      <w:rPr>
                        <w:rFonts w:ascii="Cambria Math" w:hAnsi="Cambria Math" w:cs="Arial"/>
                      </w:rPr>
                      <m:t>kWh</m:t>
                    </m:r>
                  </m:e>
                  <m:sub>
                    <m:r>
                      <m:rPr>
                        <m:sty m:val="bi"/>
                      </m:rPr>
                      <w:rPr>
                        <w:rFonts w:ascii="Cambria Math" w:hAnsi="Cambria Math" w:cs="Arial"/>
                      </w:rPr>
                      <m:t>Y</m:t>
                    </m:r>
                  </m:sub>
                </m:sSub>
                <m:r>
                  <m:rPr>
                    <m:sty m:val="b"/>
                  </m:rPr>
                  <w:rPr>
                    <w:rFonts w:ascii="Cambria Math" w:hAnsi="Cambria Math" w:cs="Arial"/>
                  </w:rPr>
                  <m:t xml:space="preserve">                          </m:t>
                </m:r>
              </m:oMath>
            </m:oMathPara>
          </w:p>
        </w:tc>
        <w:tc>
          <w:tcPr>
            <w:tcW w:w="6655" w:type="dxa"/>
            <w:vAlign w:val="center"/>
          </w:tcPr>
          <w:p w14:paraId="334716C6" w14:textId="77777777" w:rsidR="00FA7EEB" w:rsidRPr="001570EA" w:rsidRDefault="00FA7EEB">
            <w:pPr>
              <w:pStyle w:val="3ptheading"/>
              <w:jc w:val="left"/>
              <w:rPr>
                <w:b w:val="0"/>
                <w:bCs/>
              </w:rPr>
            </w:pPr>
            <m:oMathPara>
              <m:oMathParaPr>
                <m:jc m:val="left"/>
              </m:oMathParaPr>
              <m:oMath>
                <m:r>
                  <m:rPr>
                    <m:sty m:val="bi"/>
                  </m:rPr>
                  <w:rPr>
                    <w:rFonts w:ascii="Cambria Math" w:hAnsi="Cambria Math" w:cs="Arial"/>
                  </w:rPr>
                  <m:t>=</m:t>
                </m:r>
                <m:sSub>
                  <m:sSubPr>
                    <m:ctrlPr>
                      <w:rPr>
                        <w:rFonts w:ascii="Cambria Math" w:hAnsi="Cambria Math" w:cs="Arial"/>
                        <w:b w:val="0"/>
                        <w:bCs/>
                      </w:rPr>
                    </m:ctrlPr>
                  </m:sSubPr>
                  <m:e>
                    <m:r>
                      <m:rPr>
                        <m:sty m:val="bi"/>
                      </m:rPr>
                      <w:rPr>
                        <w:rFonts w:ascii="Cambria Math" w:hAnsi="Cambria Math" w:cs="Arial"/>
                      </w:rPr>
                      <m:t>FYSATE</m:t>
                    </m:r>
                  </m:e>
                  <m:sub>
                    <m:r>
                      <m:rPr>
                        <m:sty m:val="bi"/>
                      </m:rPr>
                      <w:rPr>
                        <w:rFonts w:ascii="Cambria Math" w:hAnsi="Cambria Math" w:cs="Arial"/>
                      </w:rPr>
                      <m:t>y</m:t>
                    </m:r>
                  </m:sub>
                </m:sSub>
                <m:r>
                  <m:rPr>
                    <m:sty m:val="bi"/>
                  </m:rPr>
                  <w:rPr>
                    <w:rFonts w:ascii="Cambria Math" w:hAnsi="Cambria Math" w:cs="Arial"/>
                  </w:rPr>
                  <m:t xml:space="preserve">* </m:t>
                </m:r>
                <m:sSub>
                  <m:sSubPr>
                    <m:ctrlPr>
                      <w:rPr>
                        <w:rFonts w:ascii="Cambria Math" w:hAnsi="Cambria Math" w:cs="Arial"/>
                        <w:b w:val="0"/>
                        <w:bCs/>
                        <w:i/>
                      </w:rPr>
                    </m:ctrlPr>
                  </m:sSubPr>
                  <m:e>
                    <m:r>
                      <m:rPr>
                        <m:sty m:val="bi"/>
                      </m:rPr>
                      <w:rPr>
                        <w:rFonts w:ascii="Cambria Math" w:hAnsi="Cambria Math" w:cs="Arial"/>
                      </w:rPr>
                      <m:t>Treatment Accounts</m:t>
                    </m:r>
                  </m:e>
                  <m:sub>
                    <m:r>
                      <m:rPr>
                        <m:sty m:val="bi"/>
                      </m:rPr>
                      <w:rPr>
                        <w:rFonts w:ascii="Cambria Math" w:hAnsi="Cambria Math" w:cs="Arial"/>
                      </w:rPr>
                      <m:t>y</m:t>
                    </m:r>
                  </m:sub>
                </m:sSub>
                <m:r>
                  <m:rPr>
                    <m:sty m:val="bi"/>
                  </m:rPr>
                  <w:rPr>
                    <w:rFonts w:ascii="Cambria Math" w:hAnsi="Cambria Math" w:cs="Arial"/>
                  </w:rPr>
                  <m:t>*</m:t>
                </m:r>
                <m:sSub>
                  <m:sSubPr>
                    <m:ctrlPr>
                      <w:rPr>
                        <w:rFonts w:ascii="Cambria Math" w:hAnsi="Cambria Math" w:cs="Arial"/>
                        <w:b w:val="0"/>
                        <w:bCs/>
                        <w:i/>
                      </w:rPr>
                    </m:ctrlPr>
                  </m:sSubPr>
                  <m:e>
                    <m:r>
                      <m:rPr>
                        <m:sty m:val="bi"/>
                      </m:rPr>
                      <w:rPr>
                        <w:rFonts w:ascii="Cambria Math" w:hAnsi="Cambria Math" w:cs="Arial"/>
                      </w:rPr>
                      <m:t>Days</m:t>
                    </m:r>
                  </m:e>
                  <m:sub>
                    <m:r>
                      <m:rPr>
                        <m:sty m:val="bi"/>
                      </m:rPr>
                      <w:rPr>
                        <w:rFonts w:ascii="Cambria Math" w:hAnsi="Cambria Math" w:cs="Arial"/>
                      </w:rPr>
                      <m:t>y</m:t>
                    </m:r>
                  </m:sub>
                </m:sSub>
              </m:oMath>
            </m:oMathPara>
          </w:p>
        </w:tc>
      </w:tr>
    </w:tbl>
    <w:p w14:paraId="6DBFD865" w14:textId="77777777" w:rsidR="00FA7EEB" w:rsidRPr="001570EA" w:rsidRDefault="00FA7EEB" w:rsidP="00FA7EEB">
      <w:pPr>
        <w:spacing w:before="120"/>
        <w:rPr>
          <w:rFonts w:eastAsia="Arial Unicode MS"/>
        </w:rPr>
      </w:pPr>
    </w:p>
    <w:p w14:paraId="73DD9B31" w14:textId="77777777" w:rsidR="00FA7EEB" w:rsidRPr="001570EA" w:rsidRDefault="00FA7EEB" w:rsidP="00FA7EEB">
      <w:pPr>
        <w:pStyle w:val="3ptheading"/>
        <w:rPr>
          <w:b w:val="0"/>
          <w:bCs/>
        </w:rPr>
      </w:pPr>
      <w:r w:rsidRPr="001570EA">
        <w:t>Year 5 and Beyond of HER Exposure: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6617"/>
      </w:tblGrid>
      <w:tr w:rsidR="00FA7EEB" w:rsidRPr="001570EA" w14:paraId="1CBDB4A6" w14:textId="77777777">
        <w:trPr>
          <w:trHeight w:val="432"/>
        </w:trPr>
        <w:tc>
          <w:tcPr>
            <w:tcW w:w="1975" w:type="dxa"/>
            <w:vAlign w:val="center"/>
          </w:tcPr>
          <w:p w14:paraId="1797946C" w14:textId="77777777" w:rsidR="00FA7EEB" w:rsidRPr="001570EA" w:rsidRDefault="003B5E04">
            <w:pPr>
              <w:pStyle w:val="3ptheading"/>
              <w:jc w:val="left"/>
              <w:rPr>
                <w:b w:val="0"/>
                <w:bCs/>
              </w:rPr>
            </w:pPr>
            <m:oMathPara>
              <m:oMathParaPr>
                <m:jc m:val="left"/>
              </m:oMathParaPr>
              <m:oMath>
                <m:sSub>
                  <m:sSubPr>
                    <m:ctrlPr>
                      <w:rPr>
                        <w:rFonts w:ascii="Cambria Math" w:hAnsi="Cambria Math" w:cs="Arial"/>
                        <w:b w:val="0"/>
                        <w:bCs/>
                      </w:rPr>
                    </m:ctrlPr>
                  </m:sSubPr>
                  <m:e>
                    <m:r>
                      <m:rPr>
                        <m:sty m:val="bi"/>
                      </m:rPr>
                      <w:rPr>
                        <w:rFonts w:ascii="Cambria Math" w:hAnsi="Cambria Math" w:cs="Arial"/>
                      </w:rPr>
                      <m:t>FYSATE</m:t>
                    </m:r>
                  </m:e>
                  <m:sub>
                    <m:r>
                      <m:rPr>
                        <m:sty m:val="bi"/>
                      </m:rPr>
                      <w:rPr>
                        <w:rFonts w:ascii="Cambria Math" w:hAnsi="Cambria Math" w:cs="Arial"/>
                      </w:rPr>
                      <m:t>y</m:t>
                    </m:r>
                  </m:sub>
                </m:sSub>
              </m:oMath>
            </m:oMathPara>
          </w:p>
        </w:tc>
        <w:tc>
          <w:tcPr>
            <w:tcW w:w="6655" w:type="dxa"/>
            <w:vAlign w:val="center"/>
          </w:tcPr>
          <w:p w14:paraId="2D25C32F" w14:textId="77777777" w:rsidR="00FA7EEB" w:rsidRPr="001570EA" w:rsidRDefault="00FA7EEB">
            <w:pPr>
              <w:pStyle w:val="3ptheading"/>
              <w:rPr>
                <w:b w:val="0"/>
                <w:bCs/>
              </w:rPr>
            </w:pPr>
            <m:oMathPara>
              <m:oMathParaPr>
                <m:jc m:val="left"/>
              </m:oMathParaPr>
              <m:oMath>
                <m:r>
                  <m:rPr>
                    <m:sty m:val="bi"/>
                  </m:rPr>
                  <w:rPr>
                    <w:rFonts w:ascii="Cambria Math" w:hAnsi="Cambria Math" w:cs="Arial"/>
                  </w:rPr>
                  <m:t xml:space="preserve">= </m:t>
                </m:r>
                <m:sSub>
                  <m:sSubPr>
                    <m:ctrlPr>
                      <w:rPr>
                        <w:rFonts w:ascii="Cambria Math" w:hAnsi="Cambria Math" w:cs="Arial"/>
                        <w:b w:val="0"/>
                        <w:bCs/>
                        <w:i/>
                      </w:rPr>
                    </m:ctrlPr>
                  </m:sSubPr>
                  <m:e>
                    <m:r>
                      <m:rPr>
                        <m:sty m:val="bi"/>
                      </m:rPr>
                      <w:rPr>
                        <w:rFonts w:ascii="Cambria Math" w:hAnsi="Cambria Math" w:cs="Arial"/>
                      </w:rPr>
                      <m:t>ATE</m:t>
                    </m:r>
                  </m:e>
                  <m:sub>
                    <m:r>
                      <m:rPr>
                        <m:sty m:val="bi"/>
                      </m:rPr>
                      <w:rPr>
                        <w:rFonts w:ascii="Cambria Math" w:hAnsi="Cambria Math" w:cs="Arial"/>
                      </w:rPr>
                      <m:t>y</m:t>
                    </m:r>
                  </m:sub>
                </m:sSub>
                <m:r>
                  <m:rPr>
                    <m:sty m:val="bi"/>
                  </m:rPr>
                  <w:rPr>
                    <w:rFonts w:ascii="Cambria Math" w:hAnsi="Cambria Math" w:cs="Arial"/>
                  </w:rPr>
                  <m:t xml:space="preserve">- </m:t>
                </m:r>
                <m:nary>
                  <m:naryPr>
                    <m:chr m:val="∑"/>
                    <m:limLoc m:val="subSup"/>
                    <m:ctrlPr>
                      <w:rPr>
                        <w:rFonts w:ascii="Cambria Math" w:hAnsi="Cambria Math" w:cs="Arial"/>
                        <w:b w:val="0"/>
                        <w:bCs/>
                        <w:i/>
                      </w:rPr>
                    </m:ctrlPr>
                  </m:naryPr>
                  <m:sub>
                    <m:r>
                      <m:rPr>
                        <m:sty m:val="bi"/>
                      </m:rPr>
                      <w:rPr>
                        <w:rFonts w:ascii="Cambria Math" w:hAnsi="Cambria Math" w:cs="Arial"/>
                      </w:rPr>
                      <m:t>x=1</m:t>
                    </m:r>
                  </m:sub>
                  <m:sup>
                    <m:r>
                      <m:rPr>
                        <m:sty m:val="bi"/>
                      </m:rPr>
                      <w:rPr>
                        <w:rFonts w:ascii="Cambria Math" w:hAnsi="Cambria Math" w:cs="Arial"/>
                      </w:rPr>
                      <m:t>x=3</m:t>
                    </m:r>
                  </m:sup>
                  <m:e>
                    <m:sSub>
                      <m:sSubPr>
                        <m:ctrlPr>
                          <w:rPr>
                            <w:rFonts w:ascii="Cambria Math" w:hAnsi="Cambria Math" w:cs="Arial"/>
                            <w:b w:val="0"/>
                            <w:bCs/>
                            <w:i/>
                          </w:rPr>
                        </m:ctrlPr>
                      </m:sSubPr>
                      <m:e>
                        <m:r>
                          <m:rPr>
                            <m:sty m:val="bi"/>
                          </m:rPr>
                          <w:rPr>
                            <w:rFonts w:ascii="Cambria Math" w:hAnsi="Cambria Math" w:cs="Arial"/>
                          </w:rPr>
                          <m:t>FYSATE</m:t>
                        </m:r>
                      </m:e>
                      <m:sub>
                        <m:r>
                          <m:rPr>
                            <m:sty m:val="bi"/>
                          </m:rPr>
                          <w:rPr>
                            <w:rFonts w:ascii="Cambria Math" w:hAnsi="Cambria Math" w:cs="Arial"/>
                          </w:rPr>
                          <m:t>y-x</m:t>
                        </m:r>
                      </m:sub>
                    </m:sSub>
                    <m:r>
                      <m:rPr>
                        <m:sty m:val="bi"/>
                      </m:rPr>
                      <w:rPr>
                        <w:rFonts w:ascii="Cambria Math" w:hAnsi="Cambria Math" w:cs="Arial"/>
                      </w:rPr>
                      <m:t>-</m:t>
                    </m:r>
                    <m:sSub>
                      <m:sSubPr>
                        <m:ctrlPr>
                          <w:rPr>
                            <w:rFonts w:ascii="Cambria Math" w:hAnsi="Cambria Math" w:cs="Arial"/>
                            <w:b w:val="0"/>
                            <w:bCs/>
                            <w:i/>
                          </w:rPr>
                        </m:ctrlPr>
                      </m:sSubPr>
                      <m:e>
                        <m:r>
                          <m:rPr>
                            <m:sty m:val="bi"/>
                          </m:rPr>
                          <w:rPr>
                            <w:rFonts w:ascii="Cambria Math" w:hAnsi="Cambria Math" w:cs="Arial"/>
                          </w:rPr>
                          <m:t>FYSATE</m:t>
                        </m:r>
                      </m:e>
                      <m:sub>
                        <m:r>
                          <m:rPr>
                            <m:sty m:val="bi"/>
                          </m:rPr>
                          <w:rPr>
                            <w:rFonts w:ascii="Cambria Math" w:hAnsi="Cambria Math" w:cs="Arial"/>
                          </w:rPr>
                          <m:t>y-x</m:t>
                        </m:r>
                      </m:sub>
                    </m:sSub>
                    <m:r>
                      <m:rPr>
                        <m:sty m:val="bi"/>
                      </m:rPr>
                      <w:rPr>
                        <w:rFonts w:ascii="Cambria Math" w:hAnsi="Cambria Math" w:cs="Arial"/>
                      </w:rPr>
                      <m:t>*Decay*(X-0.5)</m:t>
                    </m:r>
                  </m:e>
                </m:nary>
              </m:oMath>
            </m:oMathPara>
          </w:p>
        </w:tc>
      </w:tr>
      <w:tr w:rsidR="00FA7EEB" w:rsidRPr="001570EA" w14:paraId="3AA45381" w14:textId="77777777">
        <w:trPr>
          <w:trHeight w:val="576"/>
        </w:trPr>
        <w:tc>
          <w:tcPr>
            <w:tcW w:w="1975" w:type="dxa"/>
            <w:vAlign w:val="center"/>
          </w:tcPr>
          <w:p w14:paraId="34C7FE3A" w14:textId="77777777" w:rsidR="00FA7EEB" w:rsidRPr="001570EA" w:rsidRDefault="00FA7EEB">
            <w:pPr>
              <w:pStyle w:val="3ptheading"/>
              <w:jc w:val="left"/>
              <w:rPr>
                <w:b w:val="0"/>
                <w:bCs/>
              </w:rPr>
            </w:pPr>
            <m:oMathPara>
              <m:oMathParaPr>
                <m:jc m:val="left"/>
              </m:oMathParaPr>
              <m:oMath>
                <m:r>
                  <m:rPr>
                    <m:sty m:val="b"/>
                  </m:rPr>
                  <w:rPr>
                    <w:rFonts w:ascii="Cambria Math" w:hAnsi="Cambria Math" w:cs="Arial"/>
                  </w:rPr>
                  <m:t>∆</m:t>
                </m:r>
                <m:sSub>
                  <m:sSubPr>
                    <m:ctrlPr>
                      <w:rPr>
                        <w:rFonts w:ascii="Cambria Math" w:hAnsi="Cambria Math" w:cs="Arial"/>
                        <w:b w:val="0"/>
                        <w:bCs/>
                      </w:rPr>
                    </m:ctrlPr>
                  </m:sSubPr>
                  <m:e>
                    <m:r>
                      <m:rPr>
                        <m:sty m:val="bi"/>
                      </m:rPr>
                      <w:rPr>
                        <w:rFonts w:ascii="Cambria Math" w:hAnsi="Cambria Math" w:cs="Arial"/>
                      </w:rPr>
                      <m:t>kWh</m:t>
                    </m:r>
                  </m:e>
                  <m:sub>
                    <m:r>
                      <m:rPr>
                        <m:sty m:val="bi"/>
                      </m:rPr>
                      <w:rPr>
                        <w:rFonts w:ascii="Cambria Math" w:hAnsi="Cambria Math" w:cs="Arial"/>
                      </w:rPr>
                      <m:t>Y</m:t>
                    </m:r>
                  </m:sub>
                </m:sSub>
                <m:r>
                  <m:rPr>
                    <m:sty m:val="b"/>
                  </m:rPr>
                  <w:rPr>
                    <w:rFonts w:ascii="Cambria Math" w:hAnsi="Cambria Math" w:cs="Arial"/>
                  </w:rPr>
                  <m:t xml:space="preserve">                          </m:t>
                </m:r>
              </m:oMath>
            </m:oMathPara>
          </w:p>
        </w:tc>
        <w:tc>
          <w:tcPr>
            <w:tcW w:w="6655" w:type="dxa"/>
            <w:vAlign w:val="center"/>
          </w:tcPr>
          <w:p w14:paraId="7770BA34" w14:textId="77777777" w:rsidR="00FA7EEB" w:rsidRPr="001570EA" w:rsidRDefault="00FA7EEB">
            <w:pPr>
              <w:pStyle w:val="3ptheading"/>
              <w:jc w:val="left"/>
              <w:rPr>
                <w:b w:val="0"/>
                <w:bCs/>
              </w:rPr>
            </w:pPr>
            <m:oMathPara>
              <m:oMathParaPr>
                <m:jc m:val="left"/>
              </m:oMathParaPr>
              <m:oMath>
                <m:r>
                  <m:rPr>
                    <m:sty m:val="bi"/>
                  </m:rPr>
                  <w:rPr>
                    <w:rFonts w:ascii="Cambria Math" w:hAnsi="Cambria Math" w:cs="Arial"/>
                  </w:rPr>
                  <m:t>=</m:t>
                </m:r>
                <m:sSub>
                  <m:sSubPr>
                    <m:ctrlPr>
                      <w:rPr>
                        <w:rFonts w:ascii="Cambria Math" w:hAnsi="Cambria Math" w:cs="Arial"/>
                        <w:b w:val="0"/>
                        <w:bCs/>
                      </w:rPr>
                    </m:ctrlPr>
                  </m:sSubPr>
                  <m:e>
                    <m:r>
                      <m:rPr>
                        <m:sty m:val="bi"/>
                      </m:rPr>
                      <w:rPr>
                        <w:rFonts w:ascii="Cambria Math" w:hAnsi="Cambria Math" w:cs="Arial"/>
                      </w:rPr>
                      <m:t>FYSATE</m:t>
                    </m:r>
                  </m:e>
                  <m:sub>
                    <m:r>
                      <m:rPr>
                        <m:sty m:val="bi"/>
                      </m:rPr>
                      <w:rPr>
                        <w:rFonts w:ascii="Cambria Math" w:hAnsi="Cambria Math" w:cs="Arial"/>
                      </w:rPr>
                      <m:t>y</m:t>
                    </m:r>
                  </m:sub>
                </m:sSub>
                <m:r>
                  <m:rPr>
                    <m:sty m:val="bi"/>
                  </m:rPr>
                  <w:rPr>
                    <w:rFonts w:ascii="Cambria Math" w:hAnsi="Cambria Math" w:cs="Arial"/>
                  </w:rPr>
                  <m:t xml:space="preserve">* </m:t>
                </m:r>
                <m:sSub>
                  <m:sSubPr>
                    <m:ctrlPr>
                      <w:rPr>
                        <w:rFonts w:ascii="Cambria Math" w:hAnsi="Cambria Math" w:cs="Arial"/>
                        <w:b w:val="0"/>
                        <w:bCs/>
                        <w:i/>
                      </w:rPr>
                    </m:ctrlPr>
                  </m:sSubPr>
                  <m:e>
                    <m:r>
                      <m:rPr>
                        <m:sty m:val="bi"/>
                      </m:rPr>
                      <w:rPr>
                        <w:rFonts w:ascii="Cambria Math" w:hAnsi="Cambria Math" w:cs="Arial"/>
                      </w:rPr>
                      <m:t>Treatment Accounts</m:t>
                    </m:r>
                  </m:e>
                  <m:sub>
                    <m:r>
                      <m:rPr>
                        <m:sty m:val="bi"/>
                      </m:rPr>
                      <w:rPr>
                        <w:rFonts w:ascii="Cambria Math" w:hAnsi="Cambria Math" w:cs="Arial"/>
                      </w:rPr>
                      <m:t>y</m:t>
                    </m:r>
                  </m:sub>
                </m:sSub>
                <m:r>
                  <m:rPr>
                    <m:sty m:val="bi"/>
                  </m:rPr>
                  <w:rPr>
                    <w:rFonts w:ascii="Cambria Math" w:hAnsi="Cambria Math" w:cs="Arial"/>
                  </w:rPr>
                  <m:t>*</m:t>
                </m:r>
                <m:sSub>
                  <m:sSubPr>
                    <m:ctrlPr>
                      <w:rPr>
                        <w:rFonts w:ascii="Cambria Math" w:hAnsi="Cambria Math" w:cs="Arial"/>
                        <w:b w:val="0"/>
                        <w:bCs/>
                        <w:i/>
                      </w:rPr>
                    </m:ctrlPr>
                  </m:sSubPr>
                  <m:e>
                    <m:r>
                      <m:rPr>
                        <m:sty m:val="bi"/>
                      </m:rPr>
                      <w:rPr>
                        <w:rFonts w:ascii="Cambria Math" w:hAnsi="Cambria Math" w:cs="Arial"/>
                      </w:rPr>
                      <m:t>Days</m:t>
                    </m:r>
                  </m:e>
                  <m:sub>
                    <m:r>
                      <m:rPr>
                        <m:sty m:val="bi"/>
                      </m:rPr>
                      <w:rPr>
                        <w:rFonts w:ascii="Cambria Math" w:hAnsi="Cambria Math" w:cs="Arial"/>
                      </w:rPr>
                      <m:t>y</m:t>
                    </m:r>
                  </m:sub>
                </m:sSub>
              </m:oMath>
            </m:oMathPara>
          </w:p>
        </w:tc>
      </w:tr>
    </w:tbl>
    <w:p w14:paraId="4D244405" w14:textId="77777777" w:rsidR="00FA7EEB" w:rsidRPr="001570EA" w:rsidRDefault="00FA7EEB" w:rsidP="00FA7EEB">
      <w:pPr>
        <w:spacing w:before="120"/>
        <w:rPr>
          <w:rFonts w:eastAsia="Arial Unicode MS"/>
        </w:rPr>
      </w:pPr>
      <w:r w:rsidRPr="001570EA">
        <w:rPr>
          <w:rFonts w:eastAsia="Arial Unicode MS"/>
        </w:rPr>
        <w:t>Where FYSATE</w:t>
      </w:r>
      <w:r w:rsidRPr="001570EA">
        <w:rPr>
          <w:rFonts w:eastAsia="Arial Unicode MS"/>
          <w:vertAlign w:val="subscript"/>
        </w:rPr>
        <w:t>y</w:t>
      </w:r>
      <w:r w:rsidRPr="001570EA">
        <w:rPr>
          <w:rFonts w:eastAsia="Arial Unicode MS"/>
        </w:rPr>
        <w:t xml:space="preserve"> is the average daily savings attributable to HERs delivered in year Y and FYSATE</w:t>
      </w:r>
      <w:r w:rsidRPr="001570EA">
        <w:rPr>
          <w:rFonts w:eastAsia="Arial Unicode MS"/>
          <w:vertAlign w:val="subscript"/>
        </w:rPr>
        <w:t>y-x</w:t>
      </w:r>
      <w:r w:rsidRPr="001570EA">
        <w:rPr>
          <w:rFonts w:eastAsia="Arial Unicode MS"/>
        </w:rPr>
        <w:t xml:space="preserve"> is the average daily savings attributable to HERs delivered in year Y-X. </w:t>
      </w:r>
    </w:p>
    <w:p w14:paraId="03524A96" w14:textId="77777777" w:rsidR="00FA7EEB" w:rsidRPr="001570EA" w:rsidRDefault="00FA7EEB" w:rsidP="00FA7EEB">
      <w:pPr>
        <w:spacing w:before="120"/>
        <w:rPr>
          <w:rFonts w:eastAsia="Arial Unicode MS"/>
        </w:rPr>
      </w:pPr>
    </w:p>
    <w:p w14:paraId="07041D02" w14:textId="77777777" w:rsidR="00FA7EEB" w:rsidRPr="001570EA" w:rsidRDefault="00FA7EEB" w:rsidP="00FA7EEB">
      <w:pPr>
        <w:spacing w:before="120"/>
        <w:rPr>
          <w:rFonts w:eastAsia="Arial Unicode MS"/>
        </w:rPr>
      </w:pPr>
      <w:r w:rsidRPr="001570EA">
        <w:rPr>
          <w:rFonts w:eastAsia="Arial Unicode MS"/>
        </w:rPr>
        <w:t xml:space="preserve">The equations for calculating lifetime savings from a program year of HER exposure are given below. For Year 1, the lifetime savings are equal to the first-year savings. For the Year 2 and beyond of HER exposure the lifetime savings include both the savings measured at the meter via billing analysis and persistent savings from future program years. The equations below do not include the discount rate, but EDC evaluation contractors should use an approved discount rate to calculate the net present value of future savings when performing the TRC test. </w:t>
      </w:r>
    </w:p>
    <w:p w14:paraId="43D99844" w14:textId="77777777" w:rsidR="00FA7EEB" w:rsidRPr="001570EA" w:rsidRDefault="00FA7EEB" w:rsidP="00FA7EEB">
      <w:pPr>
        <w:rPr>
          <w:rFonts w:eastAsia="Arial Unicode MS"/>
        </w:rPr>
      </w:pPr>
    </w:p>
    <w:p w14:paraId="0DB33E91" w14:textId="77777777" w:rsidR="00FA7EEB" w:rsidRPr="001570EA" w:rsidRDefault="00FA7EEB" w:rsidP="00FA7EEB">
      <w:pPr>
        <w:pStyle w:val="3ptheading"/>
        <w:spacing w:after="120"/>
      </w:pPr>
      <w:r w:rsidRPr="001570EA">
        <w:t>Year 1 of HER Exposure (where Y =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6655"/>
      </w:tblGrid>
      <w:tr w:rsidR="00FA7EEB" w:rsidRPr="001570EA" w14:paraId="5AAA93D5" w14:textId="77777777">
        <w:trPr>
          <w:trHeight w:val="576"/>
        </w:trPr>
        <w:tc>
          <w:tcPr>
            <w:tcW w:w="1975" w:type="dxa"/>
            <w:vAlign w:val="center"/>
          </w:tcPr>
          <w:p w14:paraId="3073EB03" w14:textId="77777777" w:rsidR="00FA7EEB" w:rsidRPr="001570EA" w:rsidRDefault="00FA7EEB">
            <w:pPr>
              <w:pStyle w:val="3ptheading"/>
              <w:jc w:val="left"/>
              <w:rPr>
                <w:b w:val="0"/>
                <w:bCs/>
              </w:rPr>
            </w:pPr>
            <m:oMathPara>
              <m:oMathParaPr>
                <m:jc m:val="left"/>
              </m:oMathParaPr>
              <m:oMath>
                <m:r>
                  <m:rPr>
                    <m:sty m:val="b"/>
                  </m:rPr>
                  <w:rPr>
                    <w:rFonts w:ascii="Cambria Math" w:hAnsi="Cambria Math" w:cs="Arial"/>
                  </w:rPr>
                  <m:t>∆</m:t>
                </m:r>
                <m:sSub>
                  <m:sSubPr>
                    <m:ctrlPr>
                      <w:rPr>
                        <w:rFonts w:ascii="Cambria Math" w:hAnsi="Cambria Math" w:cs="Arial"/>
                        <w:b w:val="0"/>
                        <w:bCs/>
                        <w:i/>
                      </w:rPr>
                    </m:ctrlPr>
                  </m:sSubPr>
                  <m:e>
                    <m:r>
                      <m:rPr>
                        <m:sty m:val="bi"/>
                      </m:rPr>
                      <w:rPr>
                        <w:rFonts w:ascii="Cambria Math" w:hAnsi="Cambria Math" w:cs="Arial"/>
                      </w:rPr>
                      <m:t>kWh</m:t>
                    </m:r>
                  </m:e>
                  <m:sub>
                    <m:r>
                      <m:rPr>
                        <m:sty m:val="bi"/>
                      </m:rPr>
                      <w:rPr>
                        <w:rFonts w:ascii="Cambria Math" w:hAnsi="Cambria Math" w:cs="Arial"/>
                      </w:rPr>
                      <m:t>Y, lifetime</m:t>
                    </m:r>
                  </m:sub>
                </m:sSub>
              </m:oMath>
            </m:oMathPara>
          </w:p>
        </w:tc>
        <w:tc>
          <w:tcPr>
            <w:tcW w:w="6655" w:type="dxa"/>
            <w:vAlign w:val="center"/>
          </w:tcPr>
          <w:p w14:paraId="6A0B9D9E" w14:textId="77777777" w:rsidR="00FA7EEB" w:rsidRPr="001570EA" w:rsidRDefault="00FA7EEB">
            <w:pPr>
              <w:pStyle w:val="3ptheading"/>
              <w:jc w:val="left"/>
              <w:rPr>
                <w:b w:val="0"/>
                <w:bCs/>
              </w:rPr>
            </w:pPr>
            <m:oMathPara>
              <m:oMathParaPr>
                <m:jc m:val="left"/>
              </m:oMathParaPr>
              <m:oMath>
                <m:r>
                  <m:rPr>
                    <m:sty m:val="b"/>
                  </m:rPr>
                  <w:rPr>
                    <w:rFonts w:ascii="Cambria Math" w:hAnsi="Cambria Math" w:cs="Arial"/>
                  </w:rPr>
                  <m:t xml:space="preserve">= </m:t>
                </m:r>
                <m:sSub>
                  <m:sSubPr>
                    <m:ctrlPr>
                      <w:rPr>
                        <w:rFonts w:ascii="Cambria Math" w:hAnsi="Cambria Math" w:cs="Arial"/>
                        <w:b w:val="0"/>
                        <w:bCs/>
                      </w:rPr>
                    </m:ctrlPr>
                  </m:sSubPr>
                  <m:e>
                    <m:r>
                      <m:rPr>
                        <m:sty m:val="bi"/>
                      </m:rPr>
                      <w:rPr>
                        <w:rFonts w:ascii="Cambria Math" w:hAnsi="Cambria Math" w:cs="Arial"/>
                      </w:rPr>
                      <m:t>ATE</m:t>
                    </m:r>
                  </m:e>
                  <m:sub>
                    <m:r>
                      <m:rPr>
                        <m:sty m:val="bi"/>
                      </m:rPr>
                      <w:rPr>
                        <w:rFonts w:ascii="Cambria Math" w:hAnsi="Cambria Math" w:cs="Arial"/>
                      </w:rPr>
                      <m:t>Y</m:t>
                    </m:r>
                  </m:sub>
                </m:sSub>
                <m:r>
                  <m:rPr>
                    <m:sty m:val="b"/>
                  </m:rPr>
                  <w:rPr>
                    <w:rFonts w:ascii="Cambria Math" w:hAnsi="Cambria Math" w:cs="Arial"/>
                  </w:rPr>
                  <m:t xml:space="preserve">* </m:t>
                </m:r>
                <m:sSub>
                  <m:sSubPr>
                    <m:ctrlPr>
                      <w:rPr>
                        <w:rFonts w:ascii="Cambria Math" w:hAnsi="Cambria Math" w:cs="Arial"/>
                        <w:b w:val="0"/>
                        <w:bCs/>
                      </w:rPr>
                    </m:ctrlPr>
                  </m:sSubPr>
                  <m:e>
                    <m:r>
                      <m:rPr>
                        <m:sty m:val="bi"/>
                      </m:rPr>
                      <w:rPr>
                        <w:rFonts w:ascii="Cambria Math" w:hAnsi="Cambria Math" w:cs="Arial"/>
                      </w:rPr>
                      <m:t>Treatment Accounts</m:t>
                    </m:r>
                  </m:e>
                  <m:sub>
                    <m:r>
                      <m:rPr>
                        <m:sty m:val="bi"/>
                      </m:rPr>
                      <w:rPr>
                        <w:rFonts w:ascii="Cambria Math" w:hAnsi="Cambria Math" w:cs="Arial"/>
                      </w:rPr>
                      <m:t>Y</m:t>
                    </m:r>
                  </m:sub>
                </m:sSub>
                <m:r>
                  <m:rPr>
                    <m:sty m:val="b"/>
                  </m:rPr>
                  <w:rPr>
                    <w:rFonts w:ascii="Cambria Math" w:hAnsi="Cambria Math" w:cs="Arial"/>
                  </w:rPr>
                  <m:t>*</m:t>
                </m:r>
                <m:sSub>
                  <m:sSubPr>
                    <m:ctrlPr>
                      <w:rPr>
                        <w:rFonts w:ascii="Cambria Math" w:hAnsi="Cambria Math" w:cs="Arial"/>
                        <w:b w:val="0"/>
                        <w:bCs/>
                        <w:i/>
                      </w:rPr>
                    </m:ctrlPr>
                  </m:sSubPr>
                  <m:e>
                    <m:r>
                      <m:rPr>
                        <m:sty m:val="bi"/>
                      </m:rPr>
                      <w:rPr>
                        <w:rFonts w:ascii="Cambria Math" w:hAnsi="Cambria Math" w:cs="Arial"/>
                      </w:rPr>
                      <m:t>Days</m:t>
                    </m:r>
                  </m:e>
                  <m:sub>
                    <m:r>
                      <m:rPr>
                        <m:sty m:val="bi"/>
                      </m:rPr>
                      <w:rPr>
                        <w:rFonts w:ascii="Cambria Math" w:hAnsi="Cambria Math" w:cs="Arial"/>
                      </w:rPr>
                      <m:t>Y</m:t>
                    </m:r>
                  </m:sub>
                </m:sSub>
              </m:oMath>
            </m:oMathPara>
          </w:p>
        </w:tc>
      </w:tr>
    </w:tbl>
    <w:p w14:paraId="5CF63F9F" w14:textId="77777777" w:rsidR="00FA7EEB" w:rsidRPr="001570EA" w:rsidRDefault="00FA7EEB" w:rsidP="00FA7EEB">
      <w:pPr>
        <w:pStyle w:val="3ptheading"/>
        <w:rPr>
          <w:b w:val="0"/>
          <w:bCs/>
        </w:rPr>
      </w:pPr>
    </w:p>
    <w:p w14:paraId="6DF3B085" w14:textId="77777777" w:rsidR="00FA7EEB" w:rsidRPr="001570EA" w:rsidRDefault="00FA7EEB" w:rsidP="00FA7EEB">
      <w:pPr>
        <w:rPr>
          <w:rFonts w:eastAsia="Arial Unicode MS"/>
        </w:rPr>
      </w:pPr>
    </w:p>
    <w:p w14:paraId="38C7BE86" w14:textId="77777777" w:rsidR="00FA7EEB" w:rsidRPr="001570EA" w:rsidRDefault="00FA7EEB" w:rsidP="00FA7EEB">
      <w:pPr>
        <w:pStyle w:val="3ptheading"/>
        <w:keepNext/>
        <w:rPr>
          <w:rFonts w:ascii="Cambria Math" w:hAnsi="Cambria Math" w:cs="Arial"/>
        </w:rPr>
      </w:pPr>
      <w:r w:rsidRPr="001570EA">
        <w:t>Year 2 and Beyond of HER Exposure (where Y &gt;= 2):</w:t>
      </w:r>
    </w:p>
    <w:p w14:paraId="61E4FD35" w14:textId="77777777" w:rsidR="00FA7EEB" w:rsidRPr="001570EA" w:rsidRDefault="00FA7EEB" w:rsidP="00FA7EEB">
      <w:pPr>
        <w:keepNext/>
        <w:rPr>
          <w:rFonts w:eastAsia="Arial Unicode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6655"/>
      </w:tblGrid>
      <w:tr w:rsidR="00FA7EEB" w:rsidRPr="001570EA" w14:paraId="62E141B8" w14:textId="77777777">
        <w:trPr>
          <w:trHeight w:val="720"/>
        </w:trPr>
        <w:tc>
          <w:tcPr>
            <w:tcW w:w="1975" w:type="dxa"/>
            <w:vAlign w:val="center"/>
          </w:tcPr>
          <w:p w14:paraId="28D2D4FD" w14:textId="77777777" w:rsidR="00FA7EEB" w:rsidRPr="001570EA" w:rsidRDefault="00FA7EEB">
            <w:pPr>
              <w:pStyle w:val="3ptheading"/>
              <w:jc w:val="left"/>
              <w:rPr>
                <w:b w:val="0"/>
                <w:bCs/>
              </w:rPr>
            </w:pPr>
            <m:oMathPara>
              <m:oMathParaPr>
                <m:jc m:val="left"/>
              </m:oMathParaPr>
              <m:oMath>
                <m:r>
                  <m:rPr>
                    <m:sty m:val="b"/>
                  </m:rPr>
                  <w:rPr>
                    <w:rFonts w:ascii="Cambria Math" w:hAnsi="Cambria Math" w:cs="Arial"/>
                  </w:rPr>
                  <m:t>∆</m:t>
                </m:r>
                <m:sSub>
                  <m:sSubPr>
                    <m:ctrlPr>
                      <w:rPr>
                        <w:rFonts w:ascii="Cambria Math" w:hAnsi="Cambria Math" w:cs="Arial"/>
                        <w:b w:val="0"/>
                        <w:bCs/>
                        <w:i/>
                      </w:rPr>
                    </m:ctrlPr>
                  </m:sSubPr>
                  <m:e>
                    <m:r>
                      <m:rPr>
                        <m:sty m:val="bi"/>
                      </m:rPr>
                      <w:rPr>
                        <w:rFonts w:ascii="Cambria Math" w:hAnsi="Cambria Math" w:cs="Arial"/>
                      </w:rPr>
                      <m:t>kWh</m:t>
                    </m:r>
                  </m:e>
                  <m:sub>
                    <m:r>
                      <m:rPr>
                        <m:sty m:val="bi"/>
                      </m:rPr>
                      <w:rPr>
                        <w:rFonts w:ascii="Cambria Math" w:hAnsi="Cambria Math" w:cs="Arial"/>
                      </w:rPr>
                      <m:t>Y, lifetime</m:t>
                    </m:r>
                  </m:sub>
                </m:sSub>
              </m:oMath>
            </m:oMathPara>
          </w:p>
        </w:tc>
        <w:tc>
          <w:tcPr>
            <w:tcW w:w="6655" w:type="dxa"/>
            <w:vAlign w:val="center"/>
          </w:tcPr>
          <w:p w14:paraId="3B41B59E" w14:textId="77777777" w:rsidR="00FA7EEB" w:rsidRPr="001570EA" w:rsidRDefault="00FA7EEB">
            <w:pPr>
              <w:pStyle w:val="3ptheading"/>
              <w:jc w:val="left"/>
              <w:rPr>
                <w:b w:val="0"/>
                <w:bCs/>
              </w:rPr>
            </w:pPr>
            <m:oMathPara>
              <m:oMathParaPr>
                <m:jc m:val="left"/>
              </m:oMathParaPr>
              <m:oMath>
                <m:r>
                  <m:rPr>
                    <m:sty m:val="b"/>
                  </m:rPr>
                  <w:rPr>
                    <w:rFonts w:ascii="Cambria Math" w:hAnsi="Cambria Math" w:cs="Arial"/>
                  </w:rPr>
                  <m:t>= ∆</m:t>
                </m:r>
                <m:sSub>
                  <m:sSubPr>
                    <m:ctrlPr>
                      <w:rPr>
                        <w:rFonts w:ascii="Cambria Math" w:hAnsi="Cambria Math" w:cs="Arial"/>
                      </w:rPr>
                    </m:ctrlPr>
                  </m:sSubPr>
                  <m:e>
                    <m:r>
                      <m:rPr>
                        <m:sty m:val="bi"/>
                      </m:rPr>
                      <w:rPr>
                        <w:rFonts w:ascii="Cambria Math" w:hAnsi="Cambria Math" w:cs="Arial"/>
                      </w:rPr>
                      <m:t>kWh</m:t>
                    </m:r>
                  </m:e>
                  <m:sub>
                    <m:r>
                      <m:rPr>
                        <m:sty m:val="bi"/>
                      </m:rPr>
                      <w:rPr>
                        <w:rFonts w:ascii="Cambria Math" w:hAnsi="Cambria Math" w:cs="Arial"/>
                      </w:rPr>
                      <m:t>Y</m:t>
                    </m:r>
                  </m:sub>
                </m:sSub>
                <m:r>
                  <m:rPr>
                    <m:sty m:val="bi"/>
                  </m:rPr>
                  <w:rPr>
                    <w:rFonts w:ascii="Cambria Math" w:hAnsi="Cambria Math" w:cs="Arial"/>
                  </w:rPr>
                  <m:t xml:space="preserve">+ </m:t>
                </m:r>
                <m:nary>
                  <m:naryPr>
                    <m:chr m:val="∑"/>
                    <m:limLoc m:val="subSup"/>
                    <m:ctrlPr>
                      <w:rPr>
                        <w:rFonts w:ascii="Cambria Math" w:hAnsi="Cambria Math" w:cs="Arial"/>
                      </w:rPr>
                    </m:ctrlPr>
                  </m:naryPr>
                  <m:sub>
                    <m:r>
                      <m:rPr>
                        <m:sty m:val="bi"/>
                      </m:rPr>
                      <w:rPr>
                        <w:rFonts w:ascii="Cambria Math" w:hAnsi="Cambria Math" w:cs="Arial"/>
                      </w:rPr>
                      <m:t>X=1</m:t>
                    </m:r>
                  </m:sub>
                  <m:sup>
                    <m:r>
                      <m:rPr>
                        <m:sty m:val="bi"/>
                      </m:rPr>
                      <w:rPr>
                        <w:rFonts w:ascii="Cambria Math" w:hAnsi="Cambria Math" w:cs="Arial"/>
                      </w:rPr>
                      <m:t>X=3</m:t>
                    </m:r>
                  </m:sup>
                  <m:e>
                    <m:d>
                      <m:dPr>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FYSATE</m:t>
                                </m:r>
                              </m:e>
                              <m:sub>
                                <m:r>
                                  <m:rPr>
                                    <m:sty m:val="bi"/>
                                  </m:rPr>
                                  <w:rPr>
                                    <w:rFonts w:ascii="Cambria Math" w:hAnsi="Cambria Math" w:cs="Arial"/>
                                  </w:rPr>
                                  <m:t>Y</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FYSATE</m:t>
                                </m:r>
                              </m:e>
                              <m:sub>
                                <m:r>
                                  <m:rPr>
                                    <m:sty m:val="bi"/>
                                  </m:rPr>
                                  <w:rPr>
                                    <w:rFonts w:ascii="Cambria Math" w:hAnsi="Cambria Math" w:cs="Arial"/>
                                  </w:rPr>
                                  <m:t>Y</m:t>
                                </m:r>
                              </m:sub>
                            </m:sSub>
                            <m:r>
                              <m:rPr>
                                <m:sty m:val="bi"/>
                              </m:rPr>
                              <w:rPr>
                                <w:rFonts w:ascii="Cambria Math" w:hAnsi="Cambria Math" w:cs="Arial"/>
                              </w:rPr>
                              <m:t>*Decay*</m:t>
                            </m:r>
                            <m:d>
                              <m:dPr>
                                <m:ctrlPr>
                                  <w:rPr>
                                    <w:rFonts w:ascii="Cambria Math" w:hAnsi="Cambria Math" w:cs="Arial"/>
                                    <w:i/>
                                  </w:rPr>
                                </m:ctrlPr>
                              </m:dPr>
                              <m:e>
                                <m:r>
                                  <m:rPr>
                                    <m:sty m:val="bi"/>
                                  </m:rPr>
                                  <w:rPr>
                                    <w:rFonts w:ascii="Cambria Math" w:hAnsi="Cambria Math" w:cs="Arial"/>
                                  </w:rPr>
                                  <m:t>X-0.5</m:t>
                                </m:r>
                              </m:e>
                            </m:d>
                          </m:e>
                        </m:d>
                        <m:r>
                          <m:rPr>
                            <m:sty m:val="bi"/>
                          </m:rP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m:rPr>
                                    <m:sty m:val="bi"/>
                                  </m:rPr>
                                  <w:rPr>
                                    <w:rFonts w:ascii="Cambria Math" w:hAnsi="Cambria Math" w:cs="Arial"/>
                                  </w:rPr>
                                  <m:t>1-Churn</m:t>
                                </m:r>
                              </m:e>
                            </m:d>
                          </m:e>
                          <m:sup>
                            <m:r>
                              <m:rPr>
                                <m:sty m:val="bi"/>
                              </m:rPr>
                              <w:rPr>
                                <w:rFonts w:ascii="Cambria Math" w:hAnsi="Cambria Math" w:cs="Arial"/>
                              </w:rPr>
                              <m:t>X</m:t>
                            </m:r>
                          </m:sup>
                        </m:sSup>
                      </m:e>
                    </m:d>
                  </m:e>
                </m:nary>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Days</m:t>
                    </m:r>
                  </m:e>
                  <m:sub>
                    <m:r>
                      <m:rPr>
                        <m:sty m:val="bi"/>
                      </m:rPr>
                      <w:rPr>
                        <w:rFonts w:ascii="Cambria Math" w:hAnsi="Cambria Math" w:cs="Arial"/>
                      </w:rPr>
                      <m:t>Y+X</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Treatment Accounts</m:t>
                    </m:r>
                  </m:e>
                  <m:sub>
                    <m:r>
                      <m:rPr>
                        <m:sty m:val="bi"/>
                      </m:rPr>
                      <w:rPr>
                        <w:rFonts w:ascii="Cambria Math" w:hAnsi="Cambria Math" w:cs="Arial"/>
                      </w:rPr>
                      <m:t>Y</m:t>
                    </m:r>
                  </m:sub>
                </m:sSub>
              </m:oMath>
            </m:oMathPara>
          </w:p>
        </w:tc>
      </w:tr>
    </w:tbl>
    <w:p w14:paraId="76A30915" w14:textId="77777777" w:rsidR="00FA7EEB" w:rsidRPr="001570EA" w:rsidRDefault="00FA7EEB" w:rsidP="00FA7EEB">
      <w:pPr>
        <w:rPr>
          <w:rFonts w:eastAsia="Arial Unicode MS"/>
        </w:rPr>
      </w:pPr>
    </w:p>
    <w:p w14:paraId="67A05147" w14:textId="1863202D" w:rsidR="00FA7EEB" w:rsidRPr="001570EA" w:rsidRDefault="00FA7EEB" w:rsidP="00FA7EEB">
      <w:pPr>
        <w:rPr>
          <w:rFonts w:eastAsia="Arial Unicode MS"/>
        </w:rPr>
      </w:pPr>
      <w:r w:rsidRPr="001570EA">
        <w:rPr>
          <w:rFonts w:eastAsia="Arial Unicode MS"/>
        </w:rPr>
        <w:t>For year two and onwards, the lifetime savings are simply a function of the decay rate and customer churn assumption, accounted for the current year and across the three future years where savings persist. In this case, it may be helpful to consider the sum in the formula above a scalar that adjusts that program year’s savings. For example, in a hypothetical program with 200 kWh of total incremental annual savings in its second year of program delivery, the lifetime savings associated with the second year of program year delivery would be 200 * 2.44 = 488 kWh, where the 2.44 factor is the ratio of the lifetime savings to the incremental first-year savings. The 2.44 approximation factor is valid for programs that rely on the default decay and churn assumptions. EDCs that use the ‘EDC Data Gathering’ option for one or both of these parameters would need to calculate the appropriate lifetime</w:t>
      </w:r>
      <w:r w:rsidR="005A4562">
        <w:rPr>
          <w:rFonts w:eastAsia="Arial Unicode MS"/>
        </w:rPr>
        <w:t xml:space="preserve"> </w:t>
      </w:r>
      <w:r w:rsidRPr="001570EA">
        <w:rPr>
          <w:rFonts w:eastAsia="Arial Unicode MS"/>
        </w:rPr>
        <w:t xml:space="preserve">first-year ratio for the parameter values selected.  </w:t>
      </w:r>
    </w:p>
    <w:p w14:paraId="0C5B0B4E" w14:textId="77777777" w:rsidR="00FA7EEB" w:rsidRPr="001570EA" w:rsidRDefault="00FA7EEB" w:rsidP="00FA7EEB">
      <w:pPr>
        <w:rPr>
          <w:rFonts w:eastAsia="Arial Unicode MS"/>
        </w:rPr>
      </w:pPr>
    </w:p>
    <w:p w14:paraId="1BCD6224" w14:textId="77777777" w:rsidR="00FA7EEB" w:rsidRPr="001570EA" w:rsidRDefault="00FA7EEB" w:rsidP="00FA7EEB">
      <w:pPr>
        <w:pStyle w:val="SubStyle"/>
        <w:keepNext/>
        <w:rPr>
          <w:rFonts w:eastAsia="Arial Unicode MS"/>
        </w:rPr>
      </w:pPr>
      <w:r w:rsidRPr="001570EA">
        <w:rPr>
          <w:rFonts w:eastAsia="Arial Unicode MS"/>
        </w:rPr>
        <w:t>Definition of Terms</w:t>
      </w:r>
    </w:p>
    <w:p w14:paraId="313AB866" w14:textId="567D43D0" w:rsidR="00FA7EEB" w:rsidRPr="001570EA" w:rsidRDefault="00FA7EEB" w:rsidP="00FA7EEB">
      <w:pPr>
        <w:pStyle w:val="Caption"/>
      </w:pPr>
      <w:bookmarkStart w:id="1244" w:name="_Ref10663674"/>
      <w:bookmarkStart w:id="1245" w:name="_Toc535400555"/>
      <w:bookmarkStart w:id="1246" w:name="_Toc4759838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166</w:t>
      </w:r>
      <w:r w:rsidR="002E093A" w:rsidRPr="001570EA">
        <w:fldChar w:fldCharType="end"/>
      </w:r>
      <w:bookmarkEnd w:id="1244"/>
      <w:r w:rsidRPr="001570EA">
        <w:t>: Terms</w:t>
      </w:r>
      <w:r w:rsidRPr="001570EA">
        <w:rPr>
          <w:rFonts w:cs="Arial"/>
        </w:rPr>
        <w:t>, Values, and References for</w:t>
      </w:r>
      <w:r w:rsidRPr="001570EA">
        <w:t xml:space="preserve"> HER Persistence Protocol</w:t>
      </w:r>
      <w:bookmarkEnd w:id="1245"/>
      <w:bookmarkEnd w:id="12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387"/>
        <w:gridCol w:w="1950"/>
        <w:gridCol w:w="2145"/>
        <w:gridCol w:w="1148"/>
      </w:tblGrid>
      <w:tr w:rsidR="00FA7EEB" w:rsidRPr="001570EA" w14:paraId="057FED3F" w14:textId="77777777">
        <w:trPr>
          <w:trHeight w:val="317"/>
        </w:trPr>
        <w:tc>
          <w:tcPr>
            <w:tcW w:w="1962" w:type="pct"/>
            <w:shd w:val="clear" w:color="auto" w:fill="BFBFBF"/>
            <w:vAlign w:val="bottom"/>
          </w:tcPr>
          <w:p w14:paraId="34C0F92C" w14:textId="77777777" w:rsidR="00FA7EEB" w:rsidRPr="001570EA" w:rsidRDefault="00FA7EEB">
            <w:pPr>
              <w:pStyle w:val="TableCell"/>
              <w:spacing w:before="0" w:after="0"/>
              <w:jc w:val="left"/>
              <w:rPr>
                <w:b/>
                <w:szCs w:val="18"/>
              </w:rPr>
            </w:pPr>
            <w:r w:rsidRPr="001570EA">
              <w:rPr>
                <w:b/>
                <w:szCs w:val="18"/>
              </w:rPr>
              <w:t>Parameter</w:t>
            </w:r>
          </w:p>
        </w:tc>
        <w:tc>
          <w:tcPr>
            <w:tcW w:w="1130" w:type="pct"/>
            <w:shd w:val="clear" w:color="auto" w:fill="BFBFBF"/>
            <w:vAlign w:val="bottom"/>
          </w:tcPr>
          <w:p w14:paraId="6A23D7D6" w14:textId="77777777" w:rsidR="00FA7EEB" w:rsidRPr="001570EA" w:rsidRDefault="00FA7EEB">
            <w:pPr>
              <w:pStyle w:val="TableCell"/>
              <w:spacing w:before="0" w:after="0"/>
              <w:jc w:val="center"/>
              <w:rPr>
                <w:b/>
                <w:szCs w:val="18"/>
              </w:rPr>
            </w:pPr>
            <w:r w:rsidRPr="001570EA">
              <w:rPr>
                <w:b/>
                <w:szCs w:val="18"/>
              </w:rPr>
              <w:t>Unit</w:t>
            </w:r>
          </w:p>
        </w:tc>
        <w:tc>
          <w:tcPr>
            <w:tcW w:w="1243" w:type="pct"/>
            <w:shd w:val="clear" w:color="auto" w:fill="BFBFBF"/>
            <w:vAlign w:val="bottom"/>
          </w:tcPr>
          <w:p w14:paraId="7C1C1830" w14:textId="77777777" w:rsidR="00FA7EEB" w:rsidRPr="001570EA" w:rsidRDefault="00FA7EEB">
            <w:pPr>
              <w:pStyle w:val="TableCell"/>
              <w:spacing w:before="0" w:after="0"/>
              <w:jc w:val="center"/>
              <w:rPr>
                <w:b/>
                <w:szCs w:val="18"/>
              </w:rPr>
            </w:pPr>
            <w:r w:rsidRPr="001570EA">
              <w:rPr>
                <w:b/>
                <w:szCs w:val="18"/>
              </w:rPr>
              <w:t>Value</w:t>
            </w:r>
          </w:p>
        </w:tc>
        <w:tc>
          <w:tcPr>
            <w:tcW w:w="665" w:type="pct"/>
            <w:shd w:val="clear" w:color="auto" w:fill="BFBFBF"/>
            <w:vAlign w:val="bottom"/>
          </w:tcPr>
          <w:p w14:paraId="5CD8D568" w14:textId="77777777" w:rsidR="00FA7EEB" w:rsidRPr="001570EA" w:rsidRDefault="00FA7EEB">
            <w:pPr>
              <w:pStyle w:val="TableCell"/>
              <w:spacing w:before="0" w:after="0"/>
              <w:jc w:val="center"/>
              <w:rPr>
                <w:b/>
                <w:szCs w:val="18"/>
              </w:rPr>
            </w:pPr>
            <w:r w:rsidRPr="001570EA">
              <w:rPr>
                <w:b/>
                <w:szCs w:val="18"/>
              </w:rPr>
              <w:t>Source</w:t>
            </w:r>
          </w:p>
        </w:tc>
      </w:tr>
      <w:tr w:rsidR="00FA7EEB" w:rsidRPr="001570EA" w14:paraId="058EB278" w14:textId="77777777">
        <w:trPr>
          <w:trHeight w:val="621"/>
        </w:trPr>
        <w:tc>
          <w:tcPr>
            <w:tcW w:w="1962" w:type="pct"/>
            <w:vAlign w:val="center"/>
          </w:tcPr>
          <w:p w14:paraId="17BD4409" w14:textId="77777777" w:rsidR="00FA7EEB" w:rsidRPr="001570EA" w:rsidRDefault="00FA7EEB">
            <w:pPr>
              <w:tabs>
                <w:tab w:val="left" w:pos="720"/>
              </w:tabs>
              <w:jc w:val="left"/>
              <w:rPr>
                <w:rFonts w:cs="Arial"/>
                <w:sz w:val="18"/>
                <w:szCs w:val="18"/>
              </w:rPr>
            </w:pPr>
            <m:oMath>
              <m:r>
                <m:rPr>
                  <m:sty m:val="p"/>
                </m:rPr>
                <w:rPr>
                  <w:rFonts w:ascii="Cambria Math" w:hAnsi="Cambria Math" w:cs="Arial"/>
                  <w:sz w:val="18"/>
                  <w:szCs w:val="18"/>
                </w:rPr>
                <m:t>∆</m:t>
              </m:r>
              <m:sSub>
                <m:sSubPr>
                  <m:ctrlPr>
                    <w:rPr>
                      <w:rFonts w:ascii="Cambria Math" w:hAnsi="Cambria Math" w:cs="Arial"/>
                      <w:sz w:val="18"/>
                      <w:szCs w:val="18"/>
                    </w:rPr>
                  </m:ctrlPr>
                </m:sSubPr>
                <m:e>
                  <m:r>
                    <w:rPr>
                      <w:rFonts w:ascii="Cambria Math" w:hAnsi="Cambria Math" w:cs="Arial"/>
                      <w:sz w:val="18"/>
                      <w:szCs w:val="18"/>
                    </w:rPr>
                    <m:t>kWh</m:t>
                  </m:r>
                </m:e>
                <m:sub>
                  <m:r>
                    <w:rPr>
                      <w:rFonts w:ascii="Cambria Math" w:hAnsi="Cambria Math" w:cs="Arial"/>
                      <w:sz w:val="18"/>
                      <w:szCs w:val="18"/>
                    </w:rPr>
                    <m:t>Y</m:t>
                  </m:r>
                </m:sub>
              </m:sSub>
            </m:oMath>
            <w:r w:rsidRPr="001570EA">
              <w:rPr>
                <w:rFonts w:cs="Arial"/>
                <w:i/>
                <w:sz w:val="18"/>
                <w:szCs w:val="18"/>
              </w:rPr>
              <w:t xml:space="preserve">, </w:t>
            </w:r>
            <w:r w:rsidRPr="001570EA">
              <w:rPr>
                <w:rFonts w:cs="Arial"/>
                <w:iCs/>
                <w:sz w:val="18"/>
                <w:szCs w:val="18"/>
              </w:rPr>
              <w:t xml:space="preserve">First-year compliance </w:t>
            </w:r>
            <w:r w:rsidRPr="001570EA">
              <w:rPr>
                <w:rFonts w:cs="Arial"/>
                <w:sz w:val="18"/>
                <w:szCs w:val="18"/>
              </w:rPr>
              <w:t>kWh savings</w:t>
            </w:r>
            <w:r w:rsidRPr="001570EA">
              <w:rPr>
                <w:rFonts w:cs="Arial"/>
                <w:i/>
                <w:sz w:val="18"/>
                <w:szCs w:val="18"/>
              </w:rPr>
              <w:t xml:space="preserve"> </w:t>
            </w:r>
            <w:r w:rsidRPr="001570EA">
              <w:rPr>
                <w:rFonts w:cs="Arial"/>
                <w:iCs/>
                <w:sz w:val="18"/>
                <w:szCs w:val="18"/>
              </w:rPr>
              <w:t xml:space="preserve">for the cohort being evaluated </w:t>
            </w:r>
            <w:r w:rsidRPr="001570EA">
              <w:rPr>
                <w:rFonts w:cs="Arial"/>
                <w:sz w:val="18"/>
                <w:szCs w:val="18"/>
              </w:rPr>
              <w:t>in the program year being analyzed</w:t>
            </w:r>
          </w:p>
        </w:tc>
        <w:tc>
          <w:tcPr>
            <w:tcW w:w="1130" w:type="pct"/>
            <w:vAlign w:val="center"/>
          </w:tcPr>
          <w:p w14:paraId="52E7BEF2" w14:textId="77777777" w:rsidR="00FA7EEB" w:rsidRPr="001570EA" w:rsidRDefault="00FA7EEB">
            <w:pPr>
              <w:tabs>
                <w:tab w:val="left" w:pos="720"/>
              </w:tabs>
              <w:jc w:val="center"/>
              <w:rPr>
                <w:rFonts w:cs="Arial"/>
                <w:i/>
                <w:sz w:val="18"/>
                <w:szCs w:val="18"/>
              </w:rPr>
            </w:pPr>
            <w:r w:rsidRPr="001570EA">
              <w:rPr>
                <w:rFonts w:cs="Arial"/>
                <w:i/>
                <w:sz w:val="18"/>
                <w:szCs w:val="18"/>
              </w:rPr>
              <w:t>Total Incremental Annual kWh Savings of an HER cohort</w:t>
            </w:r>
          </w:p>
        </w:tc>
        <w:tc>
          <w:tcPr>
            <w:tcW w:w="1243" w:type="pct"/>
            <w:vAlign w:val="center"/>
          </w:tcPr>
          <w:p w14:paraId="1F95342A" w14:textId="77777777" w:rsidR="00FA7EEB" w:rsidRPr="001570EA" w:rsidRDefault="00FA7EEB">
            <w:pPr>
              <w:tabs>
                <w:tab w:val="left" w:pos="720"/>
              </w:tabs>
              <w:jc w:val="center"/>
              <w:rPr>
                <w:rFonts w:cs="Arial"/>
                <w:sz w:val="18"/>
                <w:szCs w:val="18"/>
              </w:rPr>
            </w:pPr>
            <w:r w:rsidRPr="001570EA">
              <w:rPr>
                <w:rFonts w:cs="Arial"/>
                <w:sz w:val="18"/>
                <w:szCs w:val="18"/>
              </w:rPr>
              <w:t>EDC Data Gathering</w:t>
            </w:r>
          </w:p>
        </w:tc>
        <w:tc>
          <w:tcPr>
            <w:tcW w:w="665" w:type="pct"/>
            <w:vAlign w:val="center"/>
          </w:tcPr>
          <w:p w14:paraId="39FEF877" w14:textId="77777777" w:rsidR="00FA7EEB" w:rsidRPr="001570EA" w:rsidRDefault="00FA7EEB">
            <w:pPr>
              <w:tabs>
                <w:tab w:val="left" w:pos="720"/>
              </w:tabs>
              <w:jc w:val="center"/>
              <w:rPr>
                <w:rFonts w:cs="Arial"/>
                <w:sz w:val="18"/>
                <w:szCs w:val="18"/>
              </w:rPr>
            </w:pPr>
            <w:r w:rsidRPr="001570EA">
              <w:rPr>
                <w:rFonts w:cs="Arial"/>
                <w:sz w:val="18"/>
                <w:szCs w:val="18"/>
              </w:rPr>
              <w:t>EDC Data Gathering</w:t>
            </w:r>
          </w:p>
        </w:tc>
      </w:tr>
      <w:tr w:rsidR="00FA7EEB" w:rsidRPr="001570EA" w14:paraId="771D9965" w14:textId="77777777">
        <w:trPr>
          <w:trHeight w:val="621"/>
        </w:trPr>
        <w:tc>
          <w:tcPr>
            <w:tcW w:w="1962" w:type="pct"/>
            <w:vAlign w:val="center"/>
          </w:tcPr>
          <w:p w14:paraId="4E6152C6" w14:textId="77777777" w:rsidR="00FA7EEB" w:rsidRPr="001570EA" w:rsidRDefault="00FA7EEB">
            <w:pPr>
              <w:tabs>
                <w:tab w:val="left" w:pos="720"/>
              </w:tabs>
              <w:jc w:val="left"/>
              <w:rPr>
                <w:sz w:val="18"/>
                <w:szCs w:val="18"/>
              </w:rPr>
            </w:pPr>
            <m:oMath>
              <m:r>
                <m:rPr>
                  <m:sty m:val="p"/>
                </m:rP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kWh</m:t>
                  </m:r>
                </m:e>
                <m:sub>
                  <m:r>
                    <w:rPr>
                      <w:rFonts w:ascii="Cambria Math" w:hAnsi="Cambria Math" w:cs="Arial"/>
                      <w:sz w:val="18"/>
                      <w:szCs w:val="18"/>
                    </w:rPr>
                    <m:t>Y, lifetime</m:t>
                  </m:r>
                </m:sub>
              </m:sSub>
            </m:oMath>
            <w:r w:rsidRPr="001570EA">
              <w:rPr>
                <w:sz w:val="18"/>
                <w:szCs w:val="18"/>
              </w:rPr>
              <w:t xml:space="preserve">Lifetime kWh savings for the cohort being evaluated attributable to the program year being analyzed. Inclusive of </w:t>
            </w:r>
            <m:oMath>
              <m:r>
                <m:rPr>
                  <m:sty m:val="p"/>
                </m:rPr>
                <w:rPr>
                  <w:rFonts w:ascii="Cambria Math" w:hAnsi="Cambria Math" w:cs="Arial"/>
                  <w:sz w:val="18"/>
                  <w:szCs w:val="18"/>
                </w:rPr>
                <m:t>∆</m:t>
              </m:r>
              <m:sSub>
                <m:sSubPr>
                  <m:ctrlPr>
                    <w:rPr>
                      <w:rFonts w:ascii="Cambria Math" w:hAnsi="Cambria Math" w:cs="Arial"/>
                      <w:sz w:val="18"/>
                      <w:szCs w:val="18"/>
                    </w:rPr>
                  </m:ctrlPr>
                </m:sSubPr>
                <m:e>
                  <m:r>
                    <w:rPr>
                      <w:rFonts w:ascii="Cambria Math" w:hAnsi="Cambria Math" w:cs="Arial"/>
                      <w:sz w:val="18"/>
                      <w:szCs w:val="18"/>
                    </w:rPr>
                    <m:t>kWh</m:t>
                  </m:r>
                </m:e>
                <m:sub>
                  <m:r>
                    <w:rPr>
                      <w:rFonts w:ascii="Cambria Math" w:hAnsi="Cambria Math" w:cs="Arial"/>
                      <w:sz w:val="18"/>
                      <w:szCs w:val="18"/>
                    </w:rPr>
                    <m:t>Y</m:t>
                  </m:r>
                </m:sub>
              </m:sSub>
            </m:oMath>
          </w:p>
        </w:tc>
        <w:tc>
          <w:tcPr>
            <w:tcW w:w="1130" w:type="pct"/>
            <w:vAlign w:val="center"/>
          </w:tcPr>
          <w:p w14:paraId="06B16414" w14:textId="77777777" w:rsidR="00FA7EEB" w:rsidRPr="001570EA" w:rsidRDefault="00FA7EEB">
            <w:pPr>
              <w:tabs>
                <w:tab w:val="left" w:pos="720"/>
              </w:tabs>
              <w:jc w:val="center"/>
              <w:rPr>
                <w:rFonts w:cs="Arial"/>
                <w:i/>
                <w:sz w:val="18"/>
                <w:szCs w:val="18"/>
              </w:rPr>
            </w:pPr>
            <w:r w:rsidRPr="001570EA">
              <w:rPr>
                <w:rFonts w:cs="Arial"/>
                <w:i/>
                <w:sz w:val="18"/>
                <w:szCs w:val="18"/>
              </w:rPr>
              <w:t>Total Lifetime kWh Savings of an HER cohort</w:t>
            </w:r>
          </w:p>
        </w:tc>
        <w:tc>
          <w:tcPr>
            <w:tcW w:w="1243" w:type="pct"/>
            <w:vAlign w:val="center"/>
          </w:tcPr>
          <w:p w14:paraId="5E590730" w14:textId="77777777" w:rsidR="00FA7EEB" w:rsidRPr="001570EA" w:rsidRDefault="00FA7EEB">
            <w:pPr>
              <w:tabs>
                <w:tab w:val="left" w:pos="720"/>
              </w:tabs>
              <w:jc w:val="center"/>
              <w:rPr>
                <w:rFonts w:cs="Arial"/>
                <w:sz w:val="18"/>
                <w:szCs w:val="18"/>
              </w:rPr>
            </w:pPr>
            <w:r w:rsidRPr="001570EA">
              <w:rPr>
                <w:rFonts w:cs="Arial"/>
                <w:sz w:val="18"/>
                <w:szCs w:val="18"/>
              </w:rPr>
              <w:t>EDC Data Gathering</w:t>
            </w:r>
          </w:p>
        </w:tc>
        <w:tc>
          <w:tcPr>
            <w:tcW w:w="665" w:type="pct"/>
            <w:vAlign w:val="center"/>
          </w:tcPr>
          <w:p w14:paraId="1875B7EC" w14:textId="77777777" w:rsidR="00FA7EEB" w:rsidRPr="001570EA" w:rsidRDefault="00FA7EEB">
            <w:pPr>
              <w:tabs>
                <w:tab w:val="left" w:pos="720"/>
              </w:tabs>
              <w:jc w:val="center"/>
              <w:rPr>
                <w:rFonts w:cs="Arial"/>
                <w:sz w:val="18"/>
                <w:szCs w:val="18"/>
              </w:rPr>
            </w:pPr>
            <w:r w:rsidRPr="001570EA">
              <w:rPr>
                <w:rFonts w:cs="Arial"/>
                <w:sz w:val="18"/>
                <w:szCs w:val="18"/>
              </w:rPr>
              <w:t>EDC Data Gathering</w:t>
            </w:r>
          </w:p>
        </w:tc>
      </w:tr>
      <w:tr w:rsidR="00FA7EEB" w:rsidRPr="001570EA" w14:paraId="26490AF0" w14:textId="77777777">
        <w:trPr>
          <w:trHeight w:val="621"/>
        </w:trPr>
        <w:tc>
          <w:tcPr>
            <w:tcW w:w="1962" w:type="pct"/>
            <w:vAlign w:val="center"/>
          </w:tcPr>
          <w:p w14:paraId="4592AE87" w14:textId="3D3716E4" w:rsidR="00FA7EEB" w:rsidRPr="001570EA" w:rsidRDefault="003B5E04">
            <w:pPr>
              <w:tabs>
                <w:tab w:val="left" w:pos="720"/>
              </w:tabs>
              <w:jc w:val="left"/>
              <w:rPr>
                <w:rFonts w:cs="Arial"/>
                <w:sz w:val="18"/>
                <w:szCs w:val="18"/>
              </w:rPr>
            </w:pPr>
            <m:oMath>
              <m:sSub>
                <m:sSubPr>
                  <m:ctrlPr>
                    <w:rPr>
                      <w:rFonts w:ascii="Cambria Math" w:hAnsi="Cambria Math" w:cs="Arial"/>
                      <w:sz w:val="18"/>
                      <w:szCs w:val="18"/>
                    </w:rPr>
                  </m:ctrlPr>
                </m:sSubPr>
                <m:e>
                  <m:r>
                    <w:rPr>
                      <w:rFonts w:ascii="Cambria Math" w:hAnsi="Cambria Math" w:cs="Arial"/>
                      <w:sz w:val="18"/>
                      <w:szCs w:val="18"/>
                    </w:rPr>
                    <m:t>ATE</m:t>
                  </m:r>
                </m:e>
                <m:sub>
                  <m:r>
                    <w:rPr>
                      <w:rFonts w:ascii="Cambria Math" w:hAnsi="Cambria Math" w:cs="Arial"/>
                      <w:sz w:val="18"/>
                      <w:szCs w:val="18"/>
                    </w:rPr>
                    <m:t>Y</m:t>
                  </m:r>
                </m:sub>
              </m:sSub>
              <m:r>
                <w:rPr>
                  <w:rFonts w:ascii="Cambria Math" w:hAnsi="Cambria Math" w:cs="Arial"/>
                  <w:sz w:val="18"/>
                  <w:szCs w:val="18"/>
                </w:rPr>
                <m:t xml:space="preserve">, </m:t>
              </m:r>
            </m:oMath>
            <w:r w:rsidR="00FA7EEB" w:rsidRPr="001570EA">
              <w:rPr>
                <w:rFonts w:cs="Arial"/>
                <w:sz w:val="18"/>
                <w:szCs w:val="18"/>
              </w:rPr>
              <w:t>Average Treatment Effect determined via regression analysis of billed consumption, net of Daily Uplift</w:t>
            </w:r>
          </w:p>
        </w:tc>
        <w:tc>
          <w:tcPr>
            <w:tcW w:w="1130" w:type="pct"/>
            <w:vAlign w:val="center"/>
          </w:tcPr>
          <w:p w14:paraId="273E4E2E" w14:textId="77777777" w:rsidR="00FA7EEB" w:rsidRPr="001570EA" w:rsidRDefault="00FA7EEB">
            <w:pPr>
              <w:tabs>
                <w:tab w:val="left" w:pos="720"/>
              </w:tabs>
              <w:jc w:val="center"/>
              <w:rPr>
                <w:rFonts w:cs="Arial"/>
                <w:i/>
                <w:sz w:val="18"/>
                <w:szCs w:val="18"/>
              </w:rPr>
            </w:pPr>
            <w:r w:rsidRPr="001570EA">
              <w:rPr>
                <w:rFonts w:cs="Arial"/>
                <w:i/>
                <w:sz w:val="18"/>
                <w:szCs w:val="18"/>
              </w:rPr>
              <w:t>kWh/day per household</w:t>
            </w:r>
          </w:p>
        </w:tc>
        <w:tc>
          <w:tcPr>
            <w:tcW w:w="1243" w:type="pct"/>
            <w:vAlign w:val="center"/>
          </w:tcPr>
          <w:p w14:paraId="1C4A0C16" w14:textId="77777777" w:rsidR="00FA7EEB" w:rsidRPr="001570EA" w:rsidRDefault="00FA7EEB">
            <w:pPr>
              <w:tabs>
                <w:tab w:val="left" w:pos="720"/>
              </w:tabs>
              <w:jc w:val="center"/>
              <w:rPr>
                <w:rFonts w:cs="Arial"/>
                <w:sz w:val="18"/>
                <w:szCs w:val="18"/>
              </w:rPr>
            </w:pPr>
            <w:r w:rsidRPr="001570EA">
              <w:rPr>
                <w:rFonts w:cs="Arial"/>
                <w:sz w:val="18"/>
                <w:szCs w:val="18"/>
              </w:rPr>
              <w:t>EDC Data Gathering</w:t>
            </w:r>
          </w:p>
        </w:tc>
        <w:tc>
          <w:tcPr>
            <w:tcW w:w="665" w:type="pct"/>
            <w:vAlign w:val="center"/>
          </w:tcPr>
          <w:p w14:paraId="5FBE6582" w14:textId="77777777" w:rsidR="00FA7EEB" w:rsidRPr="001570EA" w:rsidRDefault="00FA7EEB">
            <w:pPr>
              <w:tabs>
                <w:tab w:val="left" w:pos="720"/>
              </w:tabs>
              <w:jc w:val="center"/>
              <w:rPr>
                <w:rFonts w:cs="Arial"/>
                <w:sz w:val="18"/>
                <w:szCs w:val="18"/>
              </w:rPr>
            </w:pPr>
            <w:r w:rsidRPr="001570EA">
              <w:rPr>
                <w:rFonts w:cs="Arial"/>
                <w:sz w:val="18"/>
                <w:szCs w:val="18"/>
              </w:rPr>
              <w:t>EDC Data Gathering</w:t>
            </w:r>
          </w:p>
        </w:tc>
      </w:tr>
      <w:tr w:rsidR="00FA7EEB" w:rsidRPr="001570EA" w14:paraId="41F00BA9" w14:textId="77777777">
        <w:trPr>
          <w:trHeight w:val="621"/>
        </w:trPr>
        <w:tc>
          <w:tcPr>
            <w:tcW w:w="1962" w:type="pct"/>
            <w:vAlign w:val="center"/>
          </w:tcPr>
          <w:p w14:paraId="5B356371" w14:textId="74BB0210" w:rsidR="00FA7EEB" w:rsidRPr="001570EA" w:rsidRDefault="003B5E04">
            <w:pPr>
              <w:tabs>
                <w:tab w:val="left" w:pos="720"/>
              </w:tabs>
              <w:jc w:val="left"/>
              <w:rPr>
                <w:sz w:val="18"/>
                <w:szCs w:val="18"/>
              </w:rPr>
            </w:pPr>
            <m:oMath>
              <m:sSub>
                <m:sSubPr>
                  <m:ctrlPr>
                    <w:rPr>
                      <w:rFonts w:ascii="Cambria Math" w:hAnsi="Cambria Math"/>
                      <w:i/>
                      <w:sz w:val="18"/>
                      <w:szCs w:val="18"/>
                    </w:rPr>
                  </m:ctrlPr>
                </m:sSubPr>
                <m:e>
                  <m:r>
                    <w:rPr>
                      <w:rFonts w:ascii="Cambria Math" w:hAnsi="Cambria Math"/>
                      <w:sz w:val="18"/>
                      <w:szCs w:val="18"/>
                    </w:rPr>
                    <m:t>FYSATE</m:t>
                  </m:r>
                </m:e>
                <m:sub>
                  <m:r>
                    <w:rPr>
                      <w:rFonts w:ascii="Cambria Math" w:hAnsi="Cambria Math"/>
                      <w:sz w:val="18"/>
                      <w:szCs w:val="18"/>
                    </w:rPr>
                    <m:t>Y</m:t>
                  </m:r>
                </m:sub>
              </m:sSub>
              <m:r>
                <w:rPr>
                  <w:rFonts w:ascii="Cambria Math" w:hAnsi="Cambria Math"/>
                  <w:sz w:val="18"/>
                  <w:szCs w:val="18"/>
                </w:rPr>
                <m:t>,</m:t>
              </m:r>
            </m:oMath>
            <w:r w:rsidR="00FA7EEB" w:rsidRPr="001570EA">
              <w:rPr>
                <w:sz w:val="18"/>
                <w:szCs w:val="18"/>
              </w:rPr>
              <w:t xml:space="preserve"> First-Year Savings Average Treatment Effect attributable to HERs delivered in year Y</w:t>
            </w:r>
          </w:p>
        </w:tc>
        <w:tc>
          <w:tcPr>
            <w:tcW w:w="1130" w:type="pct"/>
            <w:vAlign w:val="center"/>
          </w:tcPr>
          <w:p w14:paraId="2A34C01E" w14:textId="77777777" w:rsidR="00FA7EEB" w:rsidRPr="001570EA" w:rsidRDefault="00FA7EEB">
            <w:pPr>
              <w:tabs>
                <w:tab w:val="left" w:pos="720"/>
              </w:tabs>
              <w:jc w:val="center"/>
              <w:rPr>
                <w:rFonts w:cs="Arial"/>
                <w:i/>
                <w:sz w:val="18"/>
                <w:szCs w:val="18"/>
              </w:rPr>
            </w:pPr>
            <w:r w:rsidRPr="001570EA">
              <w:rPr>
                <w:rFonts w:cs="Arial"/>
                <w:i/>
                <w:sz w:val="18"/>
                <w:szCs w:val="18"/>
              </w:rPr>
              <w:t>kWh/day per household</w:t>
            </w:r>
          </w:p>
        </w:tc>
        <w:tc>
          <w:tcPr>
            <w:tcW w:w="1243" w:type="pct"/>
            <w:vAlign w:val="center"/>
          </w:tcPr>
          <w:p w14:paraId="44BAFF1D" w14:textId="77777777" w:rsidR="00FA7EEB" w:rsidRPr="001570EA" w:rsidRDefault="00FA7EEB">
            <w:pPr>
              <w:tabs>
                <w:tab w:val="left" w:pos="720"/>
              </w:tabs>
              <w:jc w:val="center"/>
              <w:rPr>
                <w:rFonts w:cs="Arial"/>
                <w:sz w:val="18"/>
                <w:szCs w:val="18"/>
              </w:rPr>
            </w:pPr>
            <w:r w:rsidRPr="001570EA">
              <w:rPr>
                <w:rFonts w:cs="Arial"/>
                <w:sz w:val="18"/>
                <w:szCs w:val="18"/>
              </w:rPr>
              <w:t>EDC Data Gathering</w:t>
            </w:r>
          </w:p>
        </w:tc>
        <w:tc>
          <w:tcPr>
            <w:tcW w:w="665" w:type="pct"/>
            <w:vAlign w:val="center"/>
          </w:tcPr>
          <w:p w14:paraId="54D9C88F" w14:textId="77777777" w:rsidR="00FA7EEB" w:rsidRPr="001570EA" w:rsidRDefault="00FA7EEB">
            <w:pPr>
              <w:tabs>
                <w:tab w:val="left" w:pos="720"/>
              </w:tabs>
              <w:jc w:val="center"/>
              <w:rPr>
                <w:rFonts w:cs="Arial"/>
                <w:sz w:val="18"/>
                <w:szCs w:val="18"/>
              </w:rPr>
            </w:pPr>
            <w:r w:rsidRPr="001570EA">
              <w:rPr>
                <w:rFonts w:cs="Arial"/>
                <w:sz w:val="18"/>
                <w:szCs w:val="18"/>
              </w:rPr>
              <w:t>EDC Data Gathering</w:t>
            </w:r>
          </w:p>
        </w:tc>
      </w:tr>
      <w:tr w:rsidR="00FA7EEB" w:rsidRPr="001570EA" w14:paraId="167A8449" w14:textId="77777777">
        <w:trPr>
          <w:trHeight w:val="621"/>
        </w:trPr>
        <w:tc>
          <w:tcPr>
            <w:tcW w:w="1962" w:type="pct"/>
            <w:vAlign w:val="center"/>
          </w:tcPr>
          <w:p w14:paraId="30FC39F2" w14:textId="77777777" w:rsidR="00FA7EEB" w:rsidRPr="001570EA" w:rsidRDefault="003B5E04">
            <w:pPr>
              <w:tabs>
                <w:tab w:val="left" w:pos="720"/>
              </w:tabs>
              <w:jc w:val="left"/>
              <w:rPr>
                <w:rFonts w:cs="Arial"/>
                <w:sz w:val="18"/>
                <w:szCs w:val="18"/>
              </w:rPr>
            </w:pPr>
            <m:oMath>
              <m:sSub>
                <m:sSubPr>
                  <m:ctrlPr>
                    <w:rPr>
                      <w:rFonts w:ascii="Cambria Math" w:hAnsi="Cambria Math" w:cs="Arial"/>
                      <w:i/>
                      <w:sz w:val="18"/>
                      <w:szCs w:val="18"/>
                    </w:rPr>
                  </m:ctrlPr>
                </m:sSubPr>
                <m:e>
                  <m:r>
                    <w:rPr>
                      <w:rFonts w:ascii="Cambria Math" w:hAnsi="Cambria Math" w:cs="Arial"/>
                      <w:sz w:val="18"/>
                      <w:szCs w:val="18"/>
                    </w:rPr>
                    <m:t>Treatment Accounts</m:t>
                  </m:r>
                </m:e>
                <m:sub>
                  <m:r>
                    <w:rPr>
                      <w:rFonts w:ascii="Cambria Math" w:hAnsi="Cambria Math" w:cs="Arial"/>
                      <w:sz w:val="18"/>
                      <w:szCs w:val="18"/>
                    </w:rPr>
                    <m:t>Y</m:t>
                  </m:r>
                </m:sub>
              </m:sSub>
            </m:oMath>
            <w:r w:rsidR="00FA7EEB" w:rsidRPr="001570EA">
              <w:rPr>
                <w:rFonts w:cs="Arial"/>
                <w:i/>
                <w:sz w:val="18"/>
                <w:szCs w:val="18"/>
              </w:rPr>
              <w:t xml:space="preserve">, </w:t>
            </w:r>
            <w:r w:rsidR="00FA7EEB" w:rsidRPr="001570EA">
              <w:rPr>
                <w:rFonts w:cs="Arial"/>
                <w:sz w:val="18"/>
                <w:szCs w:val="18"/>
              </w:rPr>
              <w:t xml:space="preserve">number of active homes in the treatment group in year Y. </w:t>
            </w:r>
          </w:p>
        </w:tc>
        <w:tc>
          <w:tcPr>
            <w:tcW w:w="1130" w:type="pct"/>
            <w:vAlign w:val="center"/>
          </w:tcPr>
          <w:p w14:paraId="5747D3CD" w14:textId="77777777" w:rsidR="00FA7EEB" w:rsidRPr="001570EA" w:rsidRDefault="00FA7EEB">
            <w:pPr>
              <w:tabs>
                <w:tab w:val="left" w:pos="720"/>
              </w:tabs>
              <w:jc w:val="center"/>
              <w:rPr>
                <w:rFonts w:cs="Arial"/>
                <w:i/>
                <w:sz w:val="18"/>
                <w:szCs w:val="18"/>
              </w:rPr>
            </w:pPr>
            <w:r w:rsidRPr="001570EA">
              <w:rPr>
                <w:rFonts w:cs="Arial"/>
                <w:i/>
                <w:sz w:val="18"/>
                <w:szCs w:val="18"/>
              </w:rPr>
              <w:t>Households (EDC account number)</w:t>
            </w:r>
          </w:p>
        </w:tc>
        <w:tc>
          <w:tcPr>
            <w:tcW w:w="1243" w:type="pct"/>
            <w:vAlign w:val="center"/>
          </w:tcPr>
          <w:p w14:paraId="799545F9" w14:textId="77777777" w:rsidR="00FA7EEB" w:rsidRPr="001570EA" w:rsidRDefault="00FA7EEB">
            <w:pPr>
              <w:tabs>
                <w:tab w:val="left" w:pos="720"/>
              </w:tabs>
              <w:jc w:val="center"/>
              <w:rPr>
                <w:rFonts w:cs="Arial"/>
                <w:sz w:val="18"/>
                <w:szCs w:val="18"/>
              </w:rPr>
            </w:pPr>
            <w:r w:rsidRPr="001570EA">
              <w:rPr>
                <w:rFonts w:cs="Arial"/>
                <w:sz w:val="18"/>
                <w:szCs w:val="18"/>
              </w:rPr>
              <w:t>EDC Data Gathering</w:t>
            </w:r>
          </w:p>
        </w:tc>
        <w:tc>
          <w:tcPr>
            <w:tcW w:w="665" w:type="pct"/>
            <w:vAlign w:val="center"/>
          </w:tcPr>
          <w:p w14:paraId="6EAA4DE0" w14:textId="77777777" w:rsidR="00FA7EEB" w:rsidRPr="001570EA" w:rsidRDefault="00FA7EEB">
            <w:pPr>
              <w:tabs>
                <w:tab w:val="left" w:pos="720"/>
              </w:tabs>
              <w:jc w:val="center"/>
              <w:rPr>
                <w:rFonts w:cs="Arial"/>
                <w:sz w:val="18"/>
                <w:szCs w:val="18"/>
              </w:rPr>
            </w:pPr>
            <w:r w:rsidRPr="001570EA">
              <w:rPr>
                <w:rFonts w:cs="Arial"/>
                <w:sz w:val="18"/>
                <w:szCs w:val="18"/>
              </w:rPr>
              <w:t>EDC Data Gathering</w:t>
            </w:r>
          </w:p>
        </w:tc>
      </w:tr>
      <w:tr w:rsidR="00FA7EEB" w:rsidRPr="001570EA" w14:paraId="10CAA708" w14:textId="77777777">
        <w:trPr>
          <w:trHeight w:val="621"/>
        </w:trPr>
        <w:tc>
          <w:tcPr>
            <w:tcW w:w="1962" w:type="pct"/>
            <w:vAlign w:val="center"/>
          </w:tcPr>
          <w:p w14:paraId="7531AC5F" w14:textId="77777777" w:rsidR="00FA7EEB" w:rsidRPr="001570EA" w:rsidRDefault="003B5E04">
            <w:pPr>
              <w:tabs>
                <w:tab w:val="left" w:pos="720"/>
              </w:tabs>
              <w:jc w:val="left"/>
              <w:rPr>
                <w:rFonts w:cs="Arial"/>
                <w:sz w:val="18"/>
                <w:szCs w:val="18"/>
              </w:rPr>
            </w:pPr>
            <m:oMath>
              <m:sSub>
                <m:sSubPr>
                  <m:ctrlPr>
                    <w:rPr>
                      <w:rFonts w:ascii="Cambria Math" w:hAnsi="Cambria Math" w:cs="Arial"/>
                      <w:i/>
                      <w:sz w:val="18"/>
                      <w:szCs w:val="18"/>
                    </w:rPr>
                  </m:ctrlPr>
                </m:sSubPr>
                <m:e>
                  <m:r>
                    <w:rPr>
                      <w:rFonts w:ascii="Cambria Math" w:hAnsi="Cambria Math" w:cs="Arial"/>
                      <w:sz w:val="18"/>
                      <w:szCs w:val="18"/>
                    </w:rPr>
                    <m:t>Days</m:t>
                  </m:r>
                </m:e>
                <m:sub>
                  <m:r>
                    <w:rPr>
                      <w:rFonts w:ascii="Cambria Math" w:hAnsi="Cambria Math" w:cs="Arial"/>
                      <w:sz w:val="18"/>
                      <w:szCs w:val="18"/>
                    </w:rPr>
                    <m:t>Y</m:t>
                  </m:r>
                </m:sub>
              </m:sSub>
            </m:oMath>
            <w:r w:rsidR="00FA7EEB" w:rsidRPr="001570EA">
              <w:rPr>
                <w:rFonts w:cs="Arial"/>
                <w:sz w:val="18"/>
                <w:szCs w:val="18"/>
              </w:rPr>
              <w:t xml:space="preserve">, </w:t>
            </w:r>
            <w:r w:rsidR="00FA7EEB" w:rsidRPr="001570EA">
              <w:rPr>
                <w:sz w:val="18"/>
                <w:szCs w:val="18"/>
              </w:rPr>
              <w:t>average number of post-treatment days in the analysis period per household</w:t>
            </w:r>
          </w:p>
        </w:tc>
        <w:tc>
          <w:tcPr>
            <w:tcW w:w="1130" w:type="pct"/>
            <w:vAlign w:val="center"/>
          </w:tcPr>
          <w:p w14:paraId="0DAEC023" w14:textId="77777777" w:rsidR="00FA7EEB" w:rsidRPr="001570EA" w:rsidRDefault="00FA7EEB">
            <w:pPr>
              <w:tabs>
                <w:tab w:val="left" w:pos="720"/>
              </w:tabs>
              <w:jc w:val="center"/>
              <w:rPr>
                <w:rFonts w:cs="Arial"/>
                <w:i/>
                <w:sz w:val="18"/>
                <w:szCs w:val="18"/>
              </w:rPr>
            </w:pPr>
            <w:r w:rsidRPr="001570EA">
              <w:rPr>
                <w:rFonts w:cs="Arial"/>
                <w:i/>
                <w:sz w:val="18"/>
                <w:szCs w:val="18"/>
              </w:rPr>
              <w:t>Days</w:t>
            </w:r>
          </w:p>
        </w:tc>
        <w:tc>
          <w:tcPr>
            <w:tcW w:w="1243" w:type="pct"/>
            <w:vAlign w:val="center"/>
          </w:tcPr>
          <w:p w14:paraId="040DA981" w14:textId="77777777" w:rsidR="00FA7EEB" w:rsidRPr="001570EA" w:rsidRDefault="00FA7EEB">
            <w:pPr>
              <w:tabs>
                <w:tab w:val="left" w:pos="720"/>
              </w:tabs>
              <w:jc w:val="center"/>
              <w:rPr>
                <w:rFonts w:cs="Arial"/>
                <w:sz w:val="18"/>
                <w:szCs w:val="18"/>
              </w:rPr>
            </w:pPr>
            <w:r w:rsidRPr="001570EA">
              <w:rPr>
                <w:rFonts w:cs="Arial"/>
                <w:sz w:val="18"/>
                <w:szCs w:val="18"/>
              </w:rPr>
              <w:t>EDC Data Gathering</w:t>
            </w:r>
          </w:p>
        </w:tc>
        <w:tc>
          <w:tcPr>
            <w:tcW w:w="665" w:type="pct"/>
            <w:vAlign w:val="center"/>
          </w:tcPr>
          <w:p w14:paraId="1B2C627A" w14:textId="77777777" w:rsidR="00FA7EEB" w:rsidRPr="001570EA" w:rsidRDefault="00FA7EEB">
            <w:pPr>
              <w:tabs>
                <w:tab w:val="left" w:pos="720"/>
              </w:tabs>
              <w:jc w:val="center"/>
              <w:rPr>
                <w:rFonts w:cs="Arial"/>
                <w:sz w:val="18"/>
                <w:szCs w:val="18"/>
              </w:rPr>
            </w:pPr>
            <w:r w:rsidRPr="001570EA">
              <w:rPr>
                <w:rFonts w:cs="Arial"/>
                <w:sz w:val="18"/>
                <w:szCs w:val="18"/>
              </w:rPr>
              <w:t>EDC Data Gathering</w:t>
            </w:r>
          </w:p>
        </w:tc>
      </w:tr>
    </w:tbl>
    <w:p w14:paraId="585801D7" w14:textId="77777777" w:rsidR="00093722" w:rsidRDefault="0009372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387"/>
        <w:gridCol w:w="1950"/>
        <w:gridCol w:w="2145"/>
        <w:gridCol w:w="1148"/>
      </w:tblGrid>
      <w:tr w:rsidR="00FA7EEB" w:rsidRPr="001570EA" w14:paraId="57728F6B" w14:textId="77777777">
        <w:trPr>
          <w:trHeight w:val="315"/>
        </w:trPr>
        <w:tc>
          <w:tcPr>
            <w:tcW w:w="1962" w:type="pct"/>
            <w:vMerge w:val="restart"/>
            <w:vAlign w:val="center"/>
          </w:tcPr>
          <w:p w14:paraId="4976A709" w14:textId="176D54B9" w:rsidR="00FA7EEB" w:rsidRPr="001570EA" w:rsidRDefault="00FA7EEB">
            <w:pPr>
              <w:tabs>
                <w:tab w:val="left" w:pos="720"/>
              </w:tabs>
              <w:jc w:val="left"/>
              <w:rPr>
                <w:rFonts w:cs="Arial"/>
                <w:sz w:val="18"/>
                <w:szCs w:val="18"/>
                <w:vertAlign w:val="subscript"/>
              </w:rPr>
            </w:pPr>
            <w:r w:rsidRPr="001570EA">
              <w:rPr>
                <w:rFonts w:ascii="Cambria Math" w:hAnsi="Cambria Math" w:cs="Arial"/>
                <w:i/>
                <w:sz w:val="18"/>
                <w:szCs w:val="18"/>
              </w:rPr>
              <w:t>Decay</w:t>
            </w:r>
            <w:r w:rsidRPr="001570EA">
              <w:rPr>
                <w:rFonts w:cs="Arial"/>
                <w:i/>
                <w:sz w:val="18"/>
                <w:szCs w:val="18"/>
              </w:rPr>
              <w:t xml:space="preserve">, </w:t>
            </w:r>
            <w:r w:rsidRPr="001570EA">
              <w:rPr>
                <w:rFonts w:cs="Arial"/>
                <w:sz w:val="18"/>
                <w:szCs w:val="18"/>
              </w:rPr>
              <w:t>Annual rate of decay of the HER effect when exposure is discontinued</w:t>
            </w:r>
          </w:p>
        </w:tc>
        <w:tc>
          <w:tcPr>
            <w:tcW w:w="1130" w:type="pct"/>
            <w:vMerge w:val="restart"/>
            <w:vAlign w:val="center"/>
          </w:tcPr>
          <w:p w14:paraId="67F2E8E5" w14:textId="77777777" w:rsidR="00FA7EEB" w:rsidRPr="001570EA" w:rsidRDefault="00FA7EEB">
            <w:pPr>
              <w:tabs>
                <w:tab w:val="left" w:pos="720"/>
              </w:tabs>
              <w:jc w:val="center"/>
              <w:rPr>
                <w:rFonts w:cs="Arial"/>
                <w:i/>
                <w:sz w:val="18"/>
                <w:szCs w:val="18"/>
              </w:rPr>
            </w:pPr>
            <w:r w:rsidRPr="001570EA">
              <w:rPr>
                <w:rFonts w:cs="Arial"/>
                <w:i/>
                <w:sz w:val="18"/>
                <w:szCs w:val="18"/>
              </w:rPr>
              <w:t>-</w:t>
            </w:r>
          </w:p>
        </w:tc>
        <w:tc>
          <w:tcPr>
            <w:tcW w:w="1243" w:type="pct"/>
            <w:vAlign w:val="center"/>
          </w:tcPr>
          <w:p w14:paraId="6CDD9738" w14:textId="77777777" w:rsidR="00FA7EEB" w:rsidRPr="001570EA" w:rsidRDefault="00FA7EEB">
            <w:pPr>
              <w:tabs>
                <w:tab w:val="left" w:pos="720"/>
              </w:tabs>
              <w:jc w:val="center"/>
              <w:rPr>
                <w:rFonts w:cs="Arial"/>
                <w:sz w:val="18"/>
                <w:szCs w:val="18"/>
              </w:rPr>
            </w:pPr>
            <w:r w:rsidRPr="001570EA">
              <w:rPr>
                <w:rFonts w:cs="Arial"/>
                <w:sz w:val="18"/>
                <w:szCs w:val="18"/>
              </w:rPr>
              <w:t>Default: 31.3%</w:t>
            </w:r>
          </w:p>
        </w:tc>
        <w:tc>
          <w:tcPr>
            <w:tcW w:w="665" w:type="pct"/>
            <w:vMerge w:val="restart"/>
            <w:vAlign w:val="center"/>
          </w:tcPr>
          <w:p w14:paraId="0BFF2D1E" w14:textId="77777777" w:rsidR="00FA7EEB" w:rsidRPr="001570EA" w:rsidRDefault="00FA7EEB">
            <w:pPr>
              <w:tabs>
                <w:tab w:val="left" w:pos="720"/>
              </w:tabs>
              <w:jc w:val="center"/>
              <w:rPr>
                <w:rFonts w:cs="Arial"/>
                <w:sz w:val="18"/>
                <w:szCs w:val="18"/>
              </w:rPr>
            </w:pPr>
            <w:r w:rsidRPr="001570EA">
              <w:rPr>
                <w:rFonts w:cs="Arial"/>
                <w:sz w:val="18"/>
                <w:szCs w:val="18"/>
              </w:rPr>
              <w:t>1</w:t>
            </w:r>
          </w:p>
        </w:tc>
      </w:tr>
      <w:tr w:rsidR="00FA7EEB" w:rsidRPr="001570EA" w14:paraId="519399D4" w14:textId="77777777">
        <w:trPr>
          <w:trHeight w:val="315"/>
        </w:trPr>
        <w:tc>
          <w:tcPr>
            <w:tcW w:w="1962" w:type="pct"/>
            <w:vMerge/>
            <w:vAlign w:val="center"/>
          </w:tcPr>
          <w:p w14:paraId="60F4EC90" w14:textId="77777777" w:rsidR="00FA7EEB" w:rsidRPr="001570EA" w:rsidRDefault="00FA7EEB">
            <w:pPr>
              <w:tabs>
                <w:tab w:val="left" w:pos="720"/>
              </w:tabs>
              <w:jc w:val="left"/>
              <w:rPr>
                <w:rFonts w:ascii="Cambria Math" w:hAnsi="Cambria Math" w:cs="Arial"/>
                <w:i/>
                <w:sz w:val="18"/>
                <w:szCs w:val="18"/>
              </w:rPr>
            </w:pPr>
          </w:p>
        </w:tc>
        <w:tc>
          <w:tcPr>
            <w:tcW w:w="1130" w:type="pct"/>
            <w:vMerge/>
            <w:vAlign w:val="center"/>
          </w:tcPr>
          <w:p w14:paraId="2F243159" w14:textId="77777777" w:rsidR="00FA7EEB" w:rsidRPr="001570EA" w:rsidRDefault="00FA7EEB">
            <w:pPr>
              <w:tabs>
                <w:tab w:val="left" w:pos="720"/>
              </w:tabs>
              <w:jc w:val="center"/>
              <w:rPr>
                <w:rFonts w:cs="Arial"/>
                <w:i/>
                <w:sz w:val="18"/>
                <w:szCs w:val="18"/>
              </w:rPr>
            </w:pPr>
          </w:p>
        </w:tc>
        <w:tc>
          <w:tcPr>
            <w:tcW w:w="1243" w:type="pct"/>
            <w:vAlign w:val="center"/>
          </w:tcPr>
          <w:p w14:paraId="1A85DF6D" w14:textId="77777777" w:rsidR="00FA7EEB" w:rsidRPr="001570EA" w:rsidRDefault="00FA7EEB">
            <w:pPr>
              <w:tabs>
                <w:tab w:val="left" w:pos="720"/>
              </w:tabs>
              <w:jc w:val="center"/>
              <w:rPr>
                <w:rFonts w:cs="Arial"/>
                <w:sz w:val="18"/>
                <w:szCs w:val="18"/>
              </w:rPr>
            </w:pPr>
            <w:r w:rsidRPr="001570EA">
              <w:rPr>
                <w:rFonts w:cs="Arial"/>
                <w:sz w:val="18"/>
                <w:szCs w:val="18"/>
              </w:rPr>
              <w:t>EDC Data Gathering</w:t>
            </w:r>
          </w:p>
        </w:tc>
        <w:tc>
          <w:tcPr>
            <w:tcW w:w="665" w:type="pct"/>
            <w:vMerge/>
            <w:vAlign w:val="center"/>
          </w:tcPr>
          <w:p w14:paraId="1CD92600" w14:textId="77777777" w:rsidR="00FA7EEB" w:rsidRPr="001570EA" w:rsidRDefault="00FA7EEB">
            <w:pPr>
              <w:tabs>
                <w:tab w:val="left" w:pos="720"/>
              </w:tabs>
              <w:jc w:val="center"/>
              <w:rPr>
                <w:rFonts w:cs="Arial"/>
                <w:sz w:val="18"/>
                <w:szCs w:val="18"/>
              </w:rPr>
            </w:pPr>
          </w:p>
        </w:tc>
      </w:tr>
      <w:tr w:rsidR="00FA7EEB" w:rsidRPr="001570EA" w14:paraId="1ABF5B8C" w14:textId="77777777">
        <w:trPr>
          <w:trHeight w:val="284"/>
        </w:trPr>
        <w:tc>
          <w:tcPr>
            <w:tcW w:w="1962" w:type="pct"/>
            <w:vMerge w:val="restart"/>
            <w:vAlign w:val="center"/>
          </w:tcPr>
          <w:p w14:paraId="26812CF7" w14:textId="77777777" w:rsidR="00FA7EEB" w:rsidRPr="001570EA" w:rsidRDefault="00FA7EEB">
            <w:pPr>
              <w:tabs>
                <w:tab w:val="left" w:pos="720"/>
              </w:tabs>
              <w:jc w:val="left"/>
              <w:rPr>
                <w:rFonts w:cs="Arial"/>
                <w:sz w:val="18"/>
                <w:szCs w:val="18"/>
              </w:rPr>
            </w:pPr>
            <w:r w:rsidRPr="001570EA">
              <w:rPr>
                <w:rFonts w:ascii="Cambria Math" w:hAnsi="Cambria Math" w:cs="Arial"/>
                <w:i/>
                <w:sz w:val="18"/>
                <w:szCs w:val="18"/>
              </w:rPr>
              <w:t>Churn</w:t>
            </w:r>
            <w:r w:rsidRPr="001570EA">
              <w:rPr>
                <w:rFonts w:cs="Arial"/>
                <w:i/>
                <w:sz w:val="18"/>
                <w:szCs w:val="18"/>
              </w:rPr>
              <w:t xml:space="preserve">, </w:t>
            </w:r>
            <w:r w:rsidRPr="001570EA">
              <w:rPr>
                <w:rFonts w:cs="Arial"/>
                <w:sz w:val="18"/>
                <w:szCs w:val="18"/>
              </w:rPr>
              <w:t>Average annual reduction in participating households due to account closures, move-out etc.</w:t>
            </w:r>
          </w:p>
        </w:tc>
        <w:tc>
          <w:tcPr>
            <w:tcW w:w="1130" w:type="pct"/>
            <w:vMerge w:val="restart"/>
            <w:vAlign w:val="center"/>
          </w:tcPr>
          <w:p w14:paraId="44A6B621" w14:textId="77777777" w:rsidR="00FA7EEB" w:rsidRPr="001570EA" w:rsidRDefault="00FA7EEB">
            <w:pPr>
              <w:tabs>
                <w:tab w:val="left" w:pos="720"/>
              </w:tabs>
              <w:jc w:val="center"/>
              <w:rPr>
                <w:rFonts w:cs="Arial"/>
                <w:i/>
                <w:sz w:val="18"/>
                <w:szCs w:val="18"/>
              </w:rPr>
            </w:pPr>
            <w:r w:rsidRPr="001570EA">
              <w:rPr>
                <w:rFonts w:cs="Arial"/>
                <w:i/>
                <w:sz w:val="18"/>
                <w:szCs w:val="18"/>
              </w:rPr>
              <w:t>-</w:t>
            </w:r>
          </w:p>
        </w:tc>
        <w:tc>
          <w:tcPr>
            <w:tcW w:w="1243" w:type="pct"/>
            <w:vAlign w:val="center"/>
          </w:tcPr>
          <w:p w14:paraId="4AA5E4E2" w14:textId="77777777" w:rsidR="00FA7EEB" w:rsidRPr="001570EA" w:rsidRDefault="00FA7EEB">
            <w:pPr>
              <w:tabs>
                <w:tab w:val="left" w:pos="720"/>
              </w:tabs>
              <w:jc w:val="center"/>
              <w:rPr>
                <w:rFonts w:cs="Arial"/>
                <w:sz w:val="18"/>
                <w:szCs w:val="18"/>
              </w:rPr>
            </w:pPr>
            <w:r w:rsidRPr="001570EA">
              <w:rPr>
                <w:rFonts w:cs="Arial"/>
                <w:sz w:val="18"/>
                <w:szCs w:val="18"/>
              </w:rPr>
              <w:t>Default: 6%</w:t>
            </w:r>
          </w:p>
        </w:tc>
        <w:tc>
          <w:tcPr>
            <w:tcW w:w="665" w:type="pct"/>
            <w:vMerge w:val="restart"/>
            <w:vAlign w:val="center"/>
          </w:tcPr>
          <w:p w14:paraId="594A8439" w14:textId="77777777" w:rsidR="00FA7EEB" w:rsidRPr="001570EA" w:rsidRDefault="00FA7EEB">
            <w:pPr>
              <w:tabs>
                <w:tab w:val="left" w:pos="720"/>
              </w:tabs>
              <w:jc w:val="center"/>
              <w:rPr>
                <w:rFonts w:cs="Arial"/>
                <w:sz w:val="18"/>
                <w:szCs w:val="18"/>
              </w:rPr>
            </w:pPr>
            <w:r w:rsidRPr="001570EA">
              <w:rPr>
                <w:rFonts w:cs="Arial"/>
                <w:sz w:val="18"/>
                <w:szCs w:val="18"/>
              </w:rPr>
              <w:t>2</w:t>
            </w:r>
          </w:p>
        </w:tc>
      </w:tr>
      <w:tr w:rsidR="00FA7EEB" w:rsidRPr="001570EA" w14:paraId="30AA32DF" w14:textId="77777777">
        <w:trPr>
          <w:trHeight w:val="283"/>
        </w:trPr>
        <w:tc>
          <w:tcPr>
            <w:tcW w:w="1962" w:type="pct"/>
            <w:vMerge/>
            <w:vAlign w:val="center"/>
          </w:tcPr>
          <w:p w14:paraId="3A27BF5C" w14:textId="77777777" w:rsidR="00FA7EEB" w:rsidRPr="001570EA" w:rsidRDefault="00FA7EEB">
            <w:pPr>
              <w:tabs>
                <w:tab w:val="left" w:pos="720"/>
              </w:tabs>
              <w:jc w:val="left"/>
              <w:rPr>
                <w:rFonts w:cs="Arial"/>
                <w:i/>
                <w:sz w:val="18"/>
                <w:szCs w:val="18"/>
              </w:rPr>
            </w:pPr>
          </w:p>
        </w:tc>
        <w:tc>
          <w:tcPr>
            <w:tcW w:w="1130" w:type="pct"/>
            <w:vMerge/>
            <w:vAlign w:val="center"/>
          </w:tcPr>
          <w:p w14:paraId="21E4FA6D" w14:textId="77777777" w:rsidR="00FA7EEB" w:rsidRPr="001570EA" w:rsidRDefault="00FA7EEB">
            <w:pPr>
              <w:tabs>
                <w:tab w:val="left" w:pos="720"/>
              </w:tabs>
              <w:jc w:val="center"/>
              <w:rPr>
                <w:rFonts w:cs="Arial"/>
                <w:i/>
                <w:sz w:val="18"/>
                <w:szCs w:val="18"/>
              </w:rPr>
            </w:pPr>
          </w:p>
        </w:tc>
        <w:tc>
          <w:tcPr>
            <w:tcW w:w="1243" w:type="pct"/>
            <w:vAlign w:val="center"/>
          </w:tcPr>
          <w:p w14:paraId="6867DE71" w14:textId="77777777" w:rsidR="00FA7EEB" w:rsidRPr="001570EA" w:rsidRDefault="00FA7EEB">
            <w:pPr>
              <w:tabs>
                <w:tab w:val="left" w:pos="720"/>
              </w:tabs>
              <w:jc w:val="center"/>
              <w:rPr>
                <w:rFonts w:cs="Arial"/>
                <w:sz w:val="18"/>
                <w:szCs w:val="18"/>
              </w:rPr>
            </w:pPr>
            <w:r w:rsidRPr="001570EA">
              <w:rPr>
                <w:rFonts w:cs="Arial"/>
                <w:sz w:val="18"/>
                <w:szCs w:val="18"/>
              </w:rPr>
              <w:t>EDC Data Gathering</w:t>
            </w:r>
          </w:p>
        </w:tc>
        <w:tc>
          <w:tcPr>
            <w:tcW w:w="665" w:type="pct"/>
            <w:vMerge/>
            <w:vAlign w:val="center"/>
          </w:tcPr>
          <w:p w14:paraId="73CD93C0" w14:textId="77777777" w:rsidR="00FA7EEB" w:rsidRPr="001570EA" w:rsidRDefault="00FA7EEB">
            <w:pPr>
              <w:tabs>
                <w:tab w:val="left" w:pos="720"/>
              </w:tabs>
              <w:jc w:val="center"/>
              <w:rPr>
                <w:rFonts w:cs="Arial"/>
                <w:sz w:val="18"/>
                <w:szCs w:val="18"/>
              </w:rPr>
            </w:pPr>
          </w:p>
        </w:tc>
      </w:tr>
    </w:tbl>
    <w:p w14:paraId="0C6E7440" w14:textId="77777777" w:rsidR="00FA7EEB" w:rsidRPr="001570EA" w:rsidRDefault="00FA7EEB" w:rsidP="00FA7EEB"/>
    <w:p w14:paraId="046E698F" w14:textId="77777777" w:rsidR="00FA7EEB" w:rsidRPr="001570EA" w:rsidRDefault="00FA7EEB" w:rsidP="00FA7EEB">
      <w:pPr>
        <w:pStyle w:val="SubStyle"/>
      </w:pPr>
      <w:r w:rsidRPr="001570EA">
        <w:t>Evaluation Protocols</w:t>
      </w:r>
    </w:p>
    <w:p w14:paraId="1AD4502B" w14:textId="77777777" w:rsidR="00FA7EEB" w:rsidRPr="001570EA" w:rsidRDefault="00FA7EEB" w:rsidP="00FA7EEB">
      <w:pPr>
        <w:pStyle w:val="BodyText"/>
        <w:ind w:right="0"/>
      </w:pPr>
      <w:r w:rsidRPr="001570EA">
        <w:t>This protocol deals with the measure life and persistence aspects of HER programs. Chapter 6.1 of the Pennsylvania Evaluation Framework provides detailed guidance on other aspects of HER evaluation protocols.</w:t>
      </w:r>
    </w:p>
    <w:p w14:paraId="5E144475" w14:textId="77777777" w:rsidR="00FA7EEB" w:rsidRPr="001570EA" w:rsidRDefault="00FA7EEB" w:rsidP="00FA7EEB"/>
    <w:p w14:paraId="4A93173E" w14:textId="77777777" w:rsidR="00FA7EEB" w:rsidRPr="001570EA" w:rsidRDefault="00FA7EEB" w:rsidP="00FA7EEB">
      <w:pPr>
        <w:pStyle w:val="SubStyle"/>
      </w:pPr>
      <w:r w:rsidRPr="001570EA">
        <w:t>Sources</w:t>
      </w:r>
    </w:p>
    <w:p w14:paraId="07EF7E18" w14:textId="165DF914" w:rsidR="00FA7EEB" w:rsidRPr="001570EA" w:rsidRDefault="00FA7EEB" w:rsidP="00152CD6">
      <w:pPr>
        <w:pStyle w:val="ListParagraph"/>
        <w:numPr>
          <w:ilvl w:val="0"/>
          <w:numId w:val="78"/>
        </w:numPr>
        <w:overflowPunct/>
        <w:autoSpaceDE/>
        <w:autoSpaceDN/>
        <w:adjustRightInd/>
        <w:spacing w:after="120"/>
        <w:ind w:left="360"/>
        <w:jc w:val="left"/>
        <w:textAlignment w:val="auto"/>
      </w:pPr>
      <w:r w:rsidRPr="001570EA">
        <w:t xml:space="preserve">Pennsylvania Statewide Evaluation Team. Residential Behavioral Program Persistence Study. </w:t>
      </w:r>
      <w:hyperlink r:id="rId404" w:history="1">
        <w:r w:rsidRPr="001570EA">
          <w:rPr>
            <w:rStyle w:val="Hyperlink"/>
          </w:rPr>
          <w:t>Weblink</w:t>
        </w:r>
      </w:hyperlink>
      <w:r w:rsidRPr="001570EA">
        <w:t xml:space="preserve"> </w:t>
      </w:r>
    </w:p>
    <w:p w14:paraId="1A49D1E4" w14:textId="77777777" w:rsidR="001B023F" w:rsidRPr="001570EA" w:rsidRDefault="00FA7EEB" w:rsidP="00597241">
      <w:pPr>
        <w:pStyle w:val="ListParagraph"/>
        <w:numPr>
          <w:ilvl w:val="0"/>
          <w:numId w:val="78"/>
        </w:numPr>
        <w:overflowPunct/>
        <w:autoSpaceDE/>
        <w:autoSpaceDN/>
        <w:adjustRightInd/>
        <w:spacing w:after="120"/>
        <w:ind w:left="360"/>
        <w:jc w:val="left"/>
        <w:textAlignment w:val="auto"/>
        <w:sectPr w:rsidR="001B023F" w:rsidRPr="001570EA" w:rsidSect="002D556C">
          <w:footerReference w:type="first" r:id="rId405"/>
          <w:pgSz w:w="12240" w:h="15840"/>
          <w:pgMar w:top="1440" w:right="1800" w:bottom="1440" w:left="1800" w:header="720" w:footer="720" w:gutter="0"/>
          <w:cols w:space="720"/>
        </w:sectPr>
      </w:pPr>
      <w:r w:rsidRPr="001570EA">
        <w:t>SWE Analysis of average annual churn rate among Phase III EDC cohort</w:t>
      </w:r>
    </w:p>
    <w:p w14:paraId="691839A4" w14:textId="55D4E1D7" w:rsidR="00E44576" w:rsidRPr="001570EA" w:rsidRDefault="00E44576" w:rsidP="00E44576">
      <w:pPr>
        <w:pStyle w:val="Heading2"/>
      </w:pPr>
      <w:bookmarkStart w:id="1247" w:name="_Toc164786686"/>
      <w:bookmarkStart w:id="1248" w:name="_Toc364420816"/>
      <w:bookmarkStart w:id="1249" w:name="_Toc373320453"/>
      <w:bookmarkStart w:id="1250" w:name="_Toc364760931"/>
      <w:bookmarkStart w:id="1251" w:name="_Toc423087020"/>
      <w:bookmarkStart w:id="1252" w:name="_Toc66786201"/>
      <w:r w:rsidRPr="001570EA">
        <w:t>Miscellaneous</w:t>
      </w:r>
      <w:bookmarkEnd w:id="1247"/>
    </w:p>
    <w:p w14:paraId="61684329" w14:textId="77777777" w:rsidR="00E44576" w:rsidRPr="001570EA" w:rsidRDefault="00E44576" w:rsidP="00C64DB8">
      <w:pPr>
        <w:pStyle w:val="Heading3"/>
      </w:pPr>
      <w:bookmarkStart w:id="1253" w:name="_Toc164786687"/>
      <w:r w:rsidRPr="001570EA">
        <w:t>ENERGY STAR Pool Pumps</w:t>
      </w:r>
      <w:bookmarkEnd w:id="1248"/>
      <w:bookmarkEnd w:id="1249"/>
      <w:bookmarkEnd w:id="1250"/>
      <w:bookmarkEnd w:id="1251"/>
      <w:bookmarkEnd w:id="1252"/>
      <w:bookmarkEnd w:id="12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5013"/>
      </w:tblGrid>
      <w:tr w:rsidR="00E44576" w:rsidRPr="001570EA" w14:paraId="1B8F6874" w14:textId="77777777">
        <w:trPr>
          <w:trHeight w:val="360"/>
        </w:trPr>
        <w:tc>
          <w:tcPr>
            <w:tcW w:w="3509" w:type="dxa"/>
            <w:shd w:val="clear" w:color="auto" w:fill="auto"/>
          </w:tcPr>
          <w:p w14:paraId="77E55C06" w14:textId="77777777" w:rsidR="00E44576" w:rsidRPr="001570EA" w:rsidRDefault="00E44576">
            <w:pPr>
              <w:pStyle w:val="TableCell"/>
              <w:spacing w:before="60" w:after="60"/>
              <w:rPr>
                <w:b/>
                <w:sz w:val="20"/>
              </w:rPr>
            </w:pPr>
            <w:r w:rsidRPr="001570EA">
              <w:rPr>
                <w:b/>
              </w:rPr>
              <w:t>Target Sector</w:t>
            </w:r>
          </w:p>
        </w:tc>
        <w:tc>
          <w:tcPr>
            <w:tcW w:w="5013" w:type="dxa"/>
            <w:shd w:val="clear" w:color="auto" w:fill="auto"/>
          </w:tcPr>
          <w:p w14:paraId="3508541B" w14:textId="77777777" w:rsidR="00E44576" w:rsidRPr="001570EA" w:rsidRDefault="00E44576">
            <w:pPr>
              <w:pStyle w:val="TableCell"/>
              <w:spacing w:before="60" w:after="60"/>
              <w:jc w:val="center"/>
              <w:rPr>
                <w:rFonts w:eastAsia="Arial Unicode MS" w:cs="Arial"/>
                <w:i/>
                <w:iCs/>
                <w:sz w:val="20"/>
                <w:szCs w:val="24"/>
              </w:rPr>
            </w:pPr>
            <w:r w:rsidRPr="001570EA">
              <w:t>Residential</w:t>
            </w:r>
          </w:p>
        </w:tc>
      </w:tr>
      <w:tr w:rsidR="00E44576" w:rsidRPr="001570EA" w14:paraId="1190F89A" w14:textId="77777777">
        <w:trPr>
          <w:trHeight w:val="360"/>
        </w:trPr>
        <w:tc>
          <w:tcPr>
            <w:tcW w:w="3509" w:type="dxa"/>
            <w:shd w:val="clear" w:color="auto" w:fill="auto"/>
          </w:tcPr>
          <w:p w14:paraId="67A6D90B" w14:textId="77777777" w:rsidR="00E44576" w:rsidRPr="001570EA" w:rsidRDefault="00E44576">
            <w:pPr>
              <w:pStyle w:val="TableCell"/>
              <w:spacing w:before="60" w:after="60"/>
              <w:rPr>
                <w:b/>
                <w:sz w:val="20"/>
              </w:rPr>
            </w:pPr>
            <w:r w:rsidRPr="001570EA">
              <w:rPr>
                <w:b/>
              </w:rPr>
              <w:t>Measure Unit</w:t>
            </w:r>
          </w:p>
        </w:tc>
        <w:tc>
          <w:tcPr>
            <w:tcW w:w="5013" w:type="dxa"/>
            <w:shd w:val="clear" w:color="auto" w:fill="auto"/>
          </w:tcPr>
          <w:p w14:paraId="06E16FF7" w14:textId="77777777" w:rsidR="00E44576" w:rsidRPr="001570EA" w:rsidRDefault="00E44576">
            <w:pPr>
              <w:pStyle w:val="TableCell"/>
              <w:spacing w:before="60" w:after="60"/>
              <w:jc w:val="center"/>
              <w:rPr>
                <w:rFonts w:eastAsia="Arial Unicode MS" w:cs="Arial"/>
                <w:i/>
                <w:iCs/>
                <w:sz w:val="20"/>
                <w:szCs w:val="24"/>
              </w:rPr>
            </w:pPr>
            <w:r w:rsidRPr="001570EA">
              <w:t>Pool Pumps</w:t>
            </w:r>
          </w:p>
        </w:tc>
      </w:tr>
      <w:tr w:rsidR="00E44576" w:rsidRPr="001570EA" w14:paraId="5C9D36FC" w14:textId="77777777">
        <w:trPr>
          <w:trHeight w:val="360"/>
        </w:trPr>
        <w:tc>
          <w:tcPr>
            <w:tcW w:w="3509" w:type="dxa"/>
            <w:shd w:val="clear" w:color="auto" w:fill="auto"/>
          </w:tcPr>
          <w:p w14:paraId="019DE352" w14:textId="77777777" w:rsidR="00E44576" w:rsidRPr="001570EA" w:rsidRDefault="00E44576">
            <w:pPr>
              <w:pStyle w:val="TableCell"/>
              <w:spacing w:before="60" w:after="60"/>
              <w:rPr>
                <w:b/>
                <w:sz w:val="20"/>
              </w:rPr>
            </w:pPr>
            <w:r w:rsidRPr="001570EA">
              <w:rPr>
                <w:b/>
              </w:rPr>
              <w:t>Measure Life</w:t>
            </w:r>
          </w:p>
        </w:tc>
        <w:tc>
          <w:tcPr>
            <w:tcW w:w="5013" w:type="dxa"/>
            <w:shd w:val="clear" w:color="auto" w:fill="auto"/>
          </w:tcPr>
          <w:p w14:paraId="21267D2F" w14:textId="77777777" w:rsidR="00E44576" w:rsidRPr="001570EA" w:rsidRDefault="00E44576">
            <w:pPr>
              <w:pStyle w:val="TableCell"/>
              <w:spacing w:before="60" w:after="60"/>
              <w:jc w:val="center"/>
              <w:rPr>
                <w:rFonts w:eastAsia="Arial Unicode MS" w:cs="Arial"/>
                <w:i/>
                <w:iCs/>
                <w:sz w:val="20"/>
                <w:szCs w:val="24"/>
                <w:vertAlign w:val="superscript"/>
              </w:rPr>
            </w:pPr>
            <w:r w:rsidRPr="001570EA">
              <w:t>10 years</w:t>
            </w:r>
            <w:r w:rsidRPr="001570EA">
              <w:rPr>
                <w:vertAlign w:val="superscript"/>
              </w:rPr>
              <w:t>Source 1</w:t>
            </w:r>
          </w:p>
        </w:tc>
      </w:tr>
      <w:tr w:rsidR="00E44576" w:rsidRPr="001570EA" w14:paraId="67FBC167" w14:textId="77777777">
        <w:trPr>
          <w:trHeight w:val="360"/>
        </w:trPr>
        <w:tc>
          <w:tcPr>
            <w:tcW w:w="3509" w:type="dxa"/>
            <w:shd w:val="clear" w:color="auto" w:fill="auto"/>
          </w:tcPr>
          <w:p w14:paraId="16534EC2" w14:textId="77777777" w:rsidR="00E44576" w:rsidRPr="001570EA" w:rsidRDefault="00E44576">
            <w:pPr>
              <w:pStyle w:val="TableCell"/>
              <w:spacing w:before="60" w:after="60"/>
              <w:rPr>
                <w:b/>
              </w:rPr>
            </w:pPr>
            <w:r w:rsidRPr="001570EA">
              <w:rPr>
                <w:b/>
              </w:rPr>
              <w:t>Vintage</w:t>
            </w:r>
          </w:p>
        </w:tc>
        <w:tc>
          <w:tcPr>
            <w:tcW w:w="5013" w:type="dxa"/>
            <w:shd w:val="clear" w:color="auto" w:fill="auto"/>
          </w:tcPr>
          <w:p w14:paraId="1501252C" w14:textId="77777777" w:rsidR="00E44576" w:rsidRPr="001570EA" w:rsidRDefault="00E44576">
            <w:pPr>
              <w:pStyle w:val="TableCell"/>
              <w:spacing w:before="60" w:after="60"/>
              <w:jc w:val="center"/>
            </w:pPr>
            <w:r w:rsidRPr="001570EA">
              <w:t>Replace on Burnout, New Construction</w:t>
            </w:r>
          </w:p>
        </w:tc>
      </w:tr>
    </w:tbl>
    <w:p w14:paraId="40378401" w14:textId="77777777" w:rsidR="00E44576" w:rsidRPr="001570EA" w:rsidRDefault="00E44576" w:rsidP="00E44576"/>
    <w:p w14:paraId="2CCFF04F" w14:textId="407E85D5" w:rsidR="00E44576" w:rsidRPr="001570EA" w:rsidRDefault="00E44576" w:rsidP="00E44576">
      <w:r w:rsidRPr="001570EA">
        <w:t xml:space="preserve">High efficiency pump installations typically employ variable frequency </w:t>
      </w:r>
      <w:r w:rsidR="00884879" w:rsidRPr="001570EA">
        <w:t>drives and</w:t>
      </w:r>
      <w:r w:rsidRPr="001570EA">
        <w:t xml:space="preserve"> are generally configured to run 24 hours per day at low speed. To achieve adequate filtering the pump must run for longer to compensate for a lower speed/flow. However, this still saves energy since pump power consumption increases with the cube of speed. Consequently, load-shifting of continuous VFD’s to reduce demand is not recommended since energy consumption nearly doubles with two turnovers in 20 hours versus 24.</w:t>
      </w:r>
    </w:p>
    <w:p w14:paraId="4042C74A" w14:textId="77777777" w:rsidR="00E44576" w:rsidRPr="001570EA" w:rsidRDefault="00E44576" w:rsidP="00E44576"/>
    <w:p w14:paraId="5CE42B63" w14:textId="77777777" w:rsidR="00E44576" w:rsidRPr="001570EA" w:rsidRDefault="00E44576" w:rsidP="00E44576">
      <w:pPr>
        <w:pStyle w:val="SubStyle"/>
      </w:pPr>
      <w:r w:rsidRPr="001570EA">
        <w:t>Eligibility</w:t>
      </w:r>
    </w:p>
    <w:p w14:paraId="38615613" w14:textId="77777777" w:rsidR="00E44576" w:rsidRPr="001570EA" w:rsidRDefault="00E44576" w:rsidP="00E44576">
      <w:r w:rsidRPr="001570EA">
        <w:t>This measure is for the purchase and installation of an ENERGY STAR v3.1 pool pump. The target sector primarily consists of single-family residences.</w:t>
      </w:r>
    </w:p>
    <w:p w14:paraId="092FD9F8" w14:textId="77777777" w:rsidR="00E44576" w:rsidRPr="001570EA" w:rsidRDefault="00E44576" w:rsidP="00E44576"/>
    <w:p w14:paraId="0BC9A204" w14:textId="77777777" w:rsidR="00E44576" w:rsidRPr="001570EA" w:rsidRDefault="00E44576" w:rsidP="00E44576">
      <w:pPr>
        <w:pStyle w:val="SubStyle"/>
      </w:pPr>
      <w:r w:rsidRPr="001570EA">
        <w:t>Algorithms</w:t>
      </w:r>
    </w:p>
    <w:p w14:paraId="5159194B" w14:textId="14C0E826" w:rsidR="00E44576" w:rsidRPr="001570EA" w:rsidRDefault="00E44576" w:rsidP="00E44576">
      <w:r w:rsidRPr="001570EA">
        <w:t>This protocol documents the energy savings attributed to various configurations of ENERGY STAR pool pumps</w:t>
      </w:r>
      <w:r w:rsidR="005A4562">
        <w:t>.</w:t>
      </w:r>
    </w:p>
    <w:p w14:paraId="622C21AB" w14:textId="77777777" w:rsidR="00E44576" w:rsidRPr="001570EA" w:rsidRDefault="00E44576" w:rsidP="00E44576">
      <w:pPr>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6483"/>
      </w:tblGrid>
      <w:tr w:rsidR="00E44576" w:rsidRPr="001570EA" w14:paraId="108C3672" w14:textId="77777777">
        <w:tc>
          <w:tcPr>
            <w:tcW w:w="1350" w:type="dxa"/>
            <w:vAlign w:val="center"/>
          </w:tcPr>
          <w:p w14:paraId="52148BA4" w14:textId="77777777" w:rsidR="00E44576" w:rsidRPr="001570EA" w:rsidRDefault="00E44576">
            <w:pPr>
              <w:pStyle w:val="Equation"/>
              <w:ind w:left="0" w:firstLine="0"/>
              <w:rPr>
                <w:rFonts w:eastAsia="Times New Roman"/>
                <w:i w:val="0"/>
                <w:szCs w:val="20"/>
              </w:rPr>
            </w:pPr>
            <m:oMathPara>
              <m:oMathParaPr>
                <m:jc m:val="left"/>
              </m:oMathParaPr>
              <m:oMath>
                <m:r>
                  <w:rPr>
                    <w:rFonts w:ascii="Cambria Math" w:hAnsi="Cambria Math" w:cs="Arial"/>
                    <w:szCs w:val="20"/>
                  </w:rPr>
                  <m:t>∆kWh</m:t>
                </m:r>
              </m:oMath>
            </m:oMathPara>
          </w:p>
        </w:tc>
        <w:tc>
          <w:tcPr>
            <w:tcW w:w="6483" w:type="dxa"/>
          </w:tcPr>
          <w:p w14:paraId="793DE958" w14:textId="77777777" w:rsidR="00E44576" w:rsidRPr="001570EA" w:rsidRDefault="00E44576">
            <w:pPr>
              <w:pStyle w:val="Equation"/>
              <w:ind w:left="0" w:firstLine="0"/>
              <w:rPr>
                <w:rFonts w:eastAsia="Times New Roman"/>
                <w:i w:val="0"/>
                <w:szCs w:val="20"/>
              </w:rPr>
            </w:pPr>
            <m:oMathPara>
              <m:oMathParaPr>
                <m:jc m:val="left"/>
              </m:oMathParaPr>
              <m:oMath>
                <m:r>
                  <w:rPr>
                    <w:rFonts w:ascii="Cambria Math" w:hAnsi="Cambria Math" w:cs="Arial"/>
                    <w:szCs w:val="20"/>
                  </w:rPr>
                  <m:t>=</m:t>
                </m:r>
                <m:f>
                  <m:fPr>
                    <m:ctrlPr>
                      <w:rPr>
                        <w:rFonts w:ascii="Cambria Math" w:hAnsi="Cambria Math" w:cs="Arial"/>
                        <w:i w:val="0"/>
                        <w:szCs w:val="20"/>
                      </w:rPr>
                    </m:ctrlPr>
                  </m:fPr>
                  <m:num>
                    <m:r>
                      <w:rPr>
                        <w:rFonts w:ascii="Cambria Math" w:hAnsi="Cambria Math" w:cs="Arial"/>
                        <w:szCs w:val="20"/>
                      </w:rPr>
                      <m:t>Volume×Turnover×Days</m:t>
                    </m:r>
                  </m:num>
                  <m:den>
                    <m:r>
                      <w:rPr>
                        <w:rFonts w:ascii="Cambria Math" w:hAnsi="Cambria Math" w:cs="Arial"/>
                        <w:szCs w:val="20"/>
                      </w:rPr>
                      <m:t>1,000</m:t>
                    </m:r>
                  </m:den>
                </m:f>
                <m:r>
                  <w:rPr>
                    <w:rFonts w:ascii="Cambria Math" w:hAnsi="Cambria Math" w:cs="Arial"/>
                    <w:szCs w:val="20"/>
                  </w:rPr>
                  <m:t>×</m:t>
                </m:r>
                <m:d>
                  <m:dPr>
                    <m:ctrlPr>
                      <w:rPr>
                        <w:rFonts w:ascii="Cambria Math" w:hAnsi="Cambria Math" w:cs="Arial"/>
                        <w:szCs w:val="20"/>
                      </w:rPr>
                    </m:ctrlPr>
                  </m:dPr>
                  <m:e>
                    <m:f>
                      <m:fPr>
                        <m:ctrlPr>
                          <w:rPr>
                            <w:rFonts w:ascii="Cambria Math" w:hAnsi="Cambria Math" w:cs="Arial"/>
                            <w:szCs w:val="20"/>
                          </w:rPr>
                        </m:ctrlPr>
                      </m:fPr>
                      <m:num>
                        <m:r>
                          <w:rPr>
                            <w:rFonts w:ascii="Cambria Math" w:hAnsi="Cambria Math" w:cs="Arial"/>
                            <w:szCs w:val="20"/>
                          </w:rPr>
                          <m:t>1</m:t>
                        </m:r>
                      </m:num>
                      <m:den>
                        <m:sSub>
                          <m:sSubPr>
                            <m:ctrlPr>
                              <w:rPr>
                                <w:rFonts w:ascii="Cambria Math" w:hAnsi="Cambria Math" w:cs="Arial"/>
                                <w:szCs w:val="20"/>
                              </w:rPr>
                            </m:ctrlPr>
                          </m:sSubPr>
                          <m:e>
                            <m:r>
                              <w:rPr>
                                <w:rFonts w:ascii="Cambria Math" w:hAnsi="Cambria Math" w:cs="Arial"/>
                                <w:szCs w:val="20"/>
                              </w:rPr>
                              <m:t>WEF</m:t>
                            </m:r>
                          </m:e>
                          <m:sub>
                            <m:r>
                              <w:rPr>
                                <w:rFonts w:ascii="Cambria Math" w:hAnsi="Cambria Math" w:cs="Arial"/>
                                <w:szCs w:val="20"/>
                              </w:rPr>
                              <m:t>base</m:t>
                            </m:r>
                          </m:sub>
                        </m:sSub>
                      </m:den>
                    </m:f>
                    <m:r>
                      <w:rPr>
                        <w:rFonts w:ascii="Cambria Math" w:hAnsi="Cambria Math" w:cs="Arial"/>
                        <w:szCs w:val="20"/>
                      </w:rPr>
                      <m:t>-</m:t>
                    </m:r>
                    <m:f>
                      <m:fPr>
                        <m:ctrlPr>
                          <w:rPr>
                            <w:rFonts w:ascii="Cambria Math" w:hAnsi="Cambria Math" w:cs="Arial"/>
                            <w:szCs w:val="20"/>
                          </w:rPr>
                        </m:ctrlPr>
                      </m:fPr>
                      <m:num>
                        <m:r>
                          <w:rPr>
                            <w:rFonts w:ascii="Cambria Math" w:hAnsi="Cambria Math" w:cs="Arial"/>
                            <w:szCs w:val="20"/>
                          </w:rPr>
                          <m:t>1</m:t>
                        </m:r>
                      </m:num>
                      <m:den>
                        <m:sSub>
                          <m:sSubPr>
                            <m:ctrlPr>
                              <w:rPr>
                                <w:rFonts w:ascii="Cambria Math" w:hAnsi="Cambria Math" w:cs="Arial"/>
                                <w:szCs w:val="20"/>
                              </w:rPr>
                            </m:ctrlPr>
                          </m:sSubPr>
                          <m:e>
                            <m:r>
                              <w:rPr>
                                <w:rFonts w:ascii="Cambria Math" w:hAnsi="Cambria Math" w:cs="Arial"/>
                                <w:szCs w:val="20"/>
                              </w:rPr>
                              <m:t>WEF</m:t>
                            </m:r>
                          </m:e>
                          <m:sub>
                            <m:r>
                              <w:rPr>
                                <w:rFonts w:ascii="Cambria Math" w:hAnsi="Cambria Math" w:cs="Arial"/>
                                <w:szCs w:val="20"/>
                              </w:rPr>
                              <m:t>ee</m:t>
                            </m:r>
                          </m:sub>
                        </m:sSub>
                      </m:den>
                    </m:f>
                  </m:e>
                </m:d>
              </m:oMath>
            </m:oMathPara>
          </w:p>
          <w:p w14:paraId="572DBBD8" w14:textId="77777777" w:rsidR="00E44576" w:rsidRPr="001570EA" w:rsidRDefault="00E44576">
            <w:pPr>
              <w:pStyle w:val="Equation"/>
              <w:ind w:left="0" w:firstLine="0"/>
              <w:rPr>
                <w:rFonts w:eastAsia="Times New Roman"/>
                <w:i w:val="0"/>
                <w:sz w:val="17"/>
                <w:szCs w:val="17"/>
              </w:rPr>
            </w:pPr>
          </w:p>
        </w:tc>
      </w:tr>
    </w:tbl>
    <w:p w14:paraId="6E11793F" w14:textId="77777777" w:rsidR="00E44576" w:rsidRPr="001570EA" w:rsidRDefault="00E44576" w:rsidP="00E44576">
      <w:pPr>
        <w:pStyle w:val="Equation"/>
        <w:tabs>
          <w:tab w:val="clear" w:pos="720"/>
          <w:tab w:val="left" w:pos="1440"/>
        </w:tabs>
        <w:ind w:left="0" w:firstLine="0"/>
      </w:pPr>
    </w:p>
    <w:p w14:paraId="2F654AD1" w14:textId="77777777" w:rsidR="00E44576" w:rsidRPr="001570EA" w:rsidRDefault="00E44576" w:rsidP="00E44576">
      <w:pPr>
        <w:pStyle w:val="Equation"/>
        <w:tabs>
          <w:tab w:val="clear" w:pos="720"/>
          <w:tab w:val="left" w:pos="1440"/>
        </w:tabs>
        <w:rPr>
          <w:rFonts w:cs="Arial"/>
          <w:szCs w:val="20"/>
        </w:rPr>
      </w:pPr>
      <w:r w:rsidRPr="001570EA">
        <w:rPr>
          <w:rFonts w:ascii="Symbol" w:eastAsia="Symbol" w:hAnsi="Symbol" w:cs="Symbol"/>
          <w:szCs w:val="20"/>
        </w:rPr>
        <w:t>D</w:t>
      </w:r>
      <w:r w:rsidRPr="001570EA">
        <w:rPr>
          <w:rFonts w:cs="Arial"/>
          <w:szCs w:val="20"/>
        </w:rPr>
        <w:t>kW</w:t>
      </w:r>
      <w:r w:rsidRPr="001570EA">
        <w:rPr>
          <w:rFonts w:cs="Arial"/>
          <w:szCs w:val="20"/>
          <w:vertAlign w:val="subscript"/>
        </w:rPr>
        <w:t>summer peak</w:t>
      </w:r>
      <w:r w:rsidRPr="001570EA">
        <w:rPr>
          <w:rFonts w:cs="Arial"/>
          <w:szCs w:val="20"/>
          <w:vertAlign w:val="subscript"/>
        </w:rPr>
        <w:tab/>
      </w:r>
      <m:oMath>
        <m:r>
          <w:rPr>
            <w:rFonts w:ascii="Cambria Math" w:hAnsi="Cambria Math" w:cs="Arial"/>
            <w:szCs w:val="20"/>
          </w:rPr>
          <m:t xml:space="preserve">= </m:t>
        </m:r>
        <m:d>
          <m:dPr>
            <m:ctrlPr>
              <w:rPr>
                <w:rFonts w:ascii="Cambria Math" w:hAnsi="Cambria Math" w:cs="Arial"/>
                <w:i w:val="0"/>
                <w:szCs w:val="20"/>
              </w:rPr>
            </m:ctrlPr>
          </m:dPr>
          <m:e>
            <m:f>
              <m:fPr>
                <m:type m:val="skw"/>
                <m:ctrlPr>
                  <w:rPr>
                    <w:rFonts w:ascii="Cambria Math" w:hAnsi="Cambria Math" w:cs="Arial"/>
                    <w:i w:val="0"/>
                    <w:szCs w:val="20"/>
                  </w:rPr>
                </m:ctrlPr>
              </m:fPr>
              <m:num>
                <m:r>
                  <w:rPr>
                    <w:rFonts w:ascii="Cambria Math" w:hAnsi="Cambria Math" w:cs="Arial"/>
                    <w:szCs w:val="20"/>
                  </w:rPr>
                  <m:t>∆kWh</m:t>
                </m:r>
              </m:num>
              <m:den>
                <m:d>
                  <m:dPr>
                    <m:ctrlPr>
                      <w:rPr>
                        <w:rFonts w:ascii="Cambria Math" w:hAnsi="Cambria Math" w:cs="Arial"/>
                        <w:i w:val="0"/>
                        <w:szCs w:val="20"/>
                      </w:rPr>
                    </m:ctrlPr>
                  </m:dPr>
                  <m:e>
                    <m:r>
                      <w:rPr>
                        <w:rFonts w:ascii="Cambria Math" w:hAnsi="Cambria Math" w:cs="Arial"/>
                        <w:szCs w:val="20"/>
                      </w:rPr>
                      <m:t>HOU×Days</m:t>
                    </m:r>
                  </m:e>
                </m:d>
              </m:den>
            </m:f>
          </m:e>
        </m:d>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CF</m:t>
            </m:r>
          </m:e>
          <m:sub>
            <m:r>
              <w:rPr>
                <w:rFonts w:ascii="Cambria Math" w:hAnsi="Cambria Math" w:cs="Arial"/>
                <w:szCs w:val="20"/>
              </w:rPr>
              <m:t>summer</m:t>
            </m:r>
          </m:sub>
        </m:sSub>
      </m:oMath>
    </w:p>
    <w:p w14:paraId="5BF4012D" w14:textId="77777777" w:rsidR="00E44576" w:rsidRPr="001570EA" w:rsidRDefault="00E44576" w:rsidP="00E44576">
      <w:pPr>
        <w:pStyle w:val="Equation"/>
        <w:tabs>
          <w:tab w:val="clear" w:pos="720"/>
          <w:tab w:val="left" w:pos="1440"/>
        </w:tabs>
        <w:rPr>
          <w:rFonts w:cs="Arial"/>
          <w:szCs w:val="20"/>
        </w:rPr>
      </w:pPr>
    </w:p>
    <w:p w14:paraId="3ADDFF9A" w14:textId="77777777" w:rsidR="00E44576" w:rsidRPr="001570EA" w:rsidRDefault="00E44576" w:rsidP="00E44576">
      <w:pPr>
        <w:pStyle w:val="Equation"/>
        <w:tabs>
          <w:tab w:val="clear" w:pos="720"/>
          <w:tab w:val="left" w:pos="1440"/>
        </w:tabs>
        <w:rPr>
          <w:rFonts w:cs="Arial"/>
          <w:szCs w:val="20"/>
        </w:rPr>
      </w:pPr>
      <w:r w:rsidRPr="001570EA">
        <w:rPr>
          <w:rFonts w:ascii="Symbol" w:eastAsia="Symbol" w:hAnsi="Symbol" w:cs="Symbol"/>
          <w:szCs w:val="20"/>
        </w:rPr>
        <w:t>D</w:t>
      </w:r>
      <w:r w:rsidRPr="001570EA">
        <w:rPr>
          <w:rFonts w:cs="Arial"/>
          <w:szCs w:val="20"/>
        </w:rPr>
        <w:t>kW</w:t>
      </w:r>
      <w:r w:rsidRPr="001570EA">
        <w:rPr>
          <w:rFonts w:cs="Arial"/>
          <w:szCs w:val="20"/>
          <w:vertAlign w:val="subscript"/>
        </w:rPr>
        <w:t>winter peak</w:t>
      </w:r>
      <w:r w:rsidRPr="001570EA">
        <w:rPr>
          <w:rFonts w:cs="Arial"/>
          <w:szCs w:val="20"/>
          <w:vertAlign w:val="subscript"/>
        </w:rPr>
        <w:tab/>
      </w:r>
      <m:oMath>
        <m:r>
          <w:rPr>
            <w:rFonts w:ascii="Cambria Math" w:hAnsi="Cambria Math" w:cs="Arial"/>
            <w:szCs w:val="20"/>
          </w:rPr>
          <m:t>=0</m:t>
        </m:r>
      </m:oMath>
    </w:p>
    <w:p w14:paraId="71A39221" w14:textId="77777777" w:rsidR="00E44576" w:rsidRPr="001570EA" w:rsidRDefault="00E44576" w:rsidP="00E44576">
      <w:pPr>
        <w:pStyle w:val="Equation"/>
        <w:tabs>
          <w:tab w:val="clear" w:pos="720"/>
          <w:tab w:val="left" w:pos="1440"/>
        </w:tabs>
        <w:rPr>
          <w:rFonts w:cs="Arial"/>
          <w:i w:val="0"/>
          <w:iCs/>
          <w:szCs w:val="20"/>
        </w:rPr>
      </w:pPr>
    </w:p>
    <w:p w14:paraId="2B29FE5D" w14:textId="77777777" w:rsidR="00E44576" w:rsidRPr="001570EA" w:rsidRDefault="00E44576" w:rsidP="00E44576">
      <w:pPr>
        <w:pStyle w:val="SubStyle"/>
      </w:pPr>
      <w:r w:rsidRPr="001570EA">
        <w:t>Definition of Terms</w:t>
      </w:r>
    </w:p>
    <w:p w14:paraId="051011BA" w14:textId="44588CEB" w:rsidR="00E44576" w:rsidRPr="001570EA" w:rsidRDefault="00E44576" w:rsidP="00E44576">
      <w:pPr>
        <w:pStyle w:val="Caption"/>
        <w:rPr>
          <w:noProof/>
        </w:rPr>
      </w:pPr>
      <w:bookmarkStart w:id="1254" w:name="_Toc373320249"/>
      <w:bookmarkStart w:id="1255" w:name="_Toc364420957"/>
      <w:bookmarkStart w:id="1256" w:name="_Toc364760727"/>
      <w:bookmarkStart w:id="1257" w:name="_Toc377465545"/>
      <w:bookmarkStart w:id="1258" w:name="_Toc423087582"/>
      <w:bookmarkStart w:id="1259" w:name="_Toc66786347"/>
      <w:r w:rsidRPr="001570EA">
        <w:rPr>
          <w:noProof/>
        </w:rPr>
        <w:t xml:space="preserve">Table </w:t>
      </w:r>
      <w:r w:rsidR="002E093A" w:rsidRPr="001570EA">
        <w:rPr>
          <w:noProof/>
        </w:rPr>
        <w:fldChar w:fldCharType="begin"/>
      </w:r>
      <w:r w:rsidR="002E093A" w:rsidRPr="001570EA">
        <w:rPr>
          <w:noProof/>
        </w:rPr>
        <w:instrText xml:space="preserve"> STYLEREF 1 \s </w:instrText>
      </w:r>
      <w:r w:rsidR="002E093A" w:rsidRPr="001570EA">
        <w:rPr>
          <w:noProof/>
        </w:rPr>
        <w:fldChar w:fldCharType="separate"/>
      </w:r>
      <w:r w:rsidR="002E093A" w:rsidRPr="001570EA">
        <w:rPr>
          <w:noProof/>
        </w:rPr>
        <w:t>2</w:t>
      </w:r>
      <w:r w:rsidR="002E093A" w:rsidRPr="001570EA">
        <w:rPr>
          <w:noProof/>
        </w:rPr>
        <w:fldChar w:fldCharType="end"/>
      </w:r>
      <w:r w:rsidR="002E093A" w:rsidRPr="001570EA">
        <w:rPr>
          <w:noProof/>
        </w:rPr>
        <w:noBreakHyphen/>
      </w:r>
      <w:r w:rsidR="002E093A" w:rsidRPr="001570EA">
        <w:rPr>
          <w:noProof/>
        </w:rPr>
        <w:fldChar w:fldCharType="begin"/>
      </w:r>
      <w:r w:rsidR="002E093A" w:rsidRPr="001570EA">
        <w:rPr>
          <w:noProof/>
        </w:rPr>
        <w:instrText xml:space="preserve"> SEQ Table \* ARABIC \s 1 </w:instrText>
      </w:r>
      <w:r w:rsidR="002E093A" w:rsidRPr="001570EA">
        <w:rPr>
          <w:noProof/>
        </w:rPr>
        <w:fldChar w:fldCharType="separate"/>
      </w:r>
      <w:r w:rsidR="002E093A" w:rsidRPr="001570EA">
        <w:rPr>
          <w:noProof/>
        </w:rPr>
        <w:t>167</w:t>
      </w:r>
      <w:r w:rsidR="002E093A" w:rsidRPr="001570EA">
        <w:rPr>
          <w:noProof/>
        </w:rPr>
        <w:fldChar w:fldCharType="end"/>
      </w:r>
      <w:r w:rsidRPr="001570EA">
        <w:rPr>
          <w:noProof/>
        </w:rPr>
        <w:t xml:space="preserve">: </w:t>
      </w:r>
      <w:bookmarkEnd w:id="1254"/>
      <w:bookmarkEnd w:id="1255"/>
      <w:bookmarkEnd w:id="1256"/>
      <w:bookmarkEnd w:id="1257"/>
      <w:bookmarkEnd w:id="1258"/>
      <w:r w:rsidRPr="001570EA">
        <w:t>Terms</w:t>
      </w:r>
      <w:r w:rsidRPr="001570EA">
        <w:rPr>
          <w:rFonts w:cs="Arial"/>
        </w:rPr>
        <w:t>, Values, and References for Variable Speed Pool Pumps</w:t>
      </w:r>
      <w:bookmarkEnd w:id="1259"/>
    </w:p>
    <w:tbl>
      <w:tblPr>
        <w:tblW w:w="85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1339"/>
        <w:gridCol w:w="2039"/>
        <w:gridCol w:w="900"/>
      </w:tblGrid>
      <w:tr w:rsidR="00E44576" w:rsidRPr="001570EA" w14:paraId="02A35484" w14:textId="77777777">
        <w:trPr>
          <w:trHeight w:val="374"/>
          <w:tblHeader/>
        </w:trPr>
        <w:tc>
          <w:tcPr>
            <w:tcW w:w="4249" w:type="dxa"/>
            <w:shd w:val="clear" w:color="auto" w:fill="BFBFBF"/>
            <w:vAlign w:val="bottom"/>
          </w:tcPr>
          <w:p w14:paraId="5484BB2D" w14:textId="77777777" w:rsidR="00E44576" w:rsidRPr="001570EA" w:rsidRDefault="00E44576">
            <w:pPr>
              <w:tabs>
                <w:tab w:val="left" w:pos="720"/>
              </w:tabs>
              <w:spacing w:before="60" w:after="60"/>
              <w:rPr>
                <w:b/>
                <w:sz w:val="18"/>
                <w:szCs w:val="18"/>
              </w:rPr>
            </w:pPr>
            <w:r w:rsidRPr="001570EA">
              <w:rPr>
                <w:b/>
                <w:sz w:val="18"/>
                <w:szCs w:val="18"/>
              </w:rPr>
              <w:t>Term</w:t>
            </w:r>
          </w:p>
        </w:tc>
        <w:tc>
          <w:tcPr>
            <w:tcW w:w="1339" w:type="dxa"/>
            <w:shd w:val="clear" w:color="auto" w:fill="BFBFBF"/>
            <w:vAlign w:val="bottom"/>
          </w:tcPr>
          <w:p w14:paraId="030D8671" w14:textId="77777777" w:rsidR="00E44576" w:rsidRPr="001570EA" w:rsidRDefault="00E44576">
            <w:pPr>
              <w:tabs>
                <w:tab w:val="left" w:pos="720"/>
              </w:tabs>
              <w:spacing w:before="60" w:after="60"/>
              <w:jc w:val="center"/>
              <w:rPr>
                <w:b/>
                <w:sz w:val="18"/>
                <w:szCs w:val="18"/>
              </w:rPr>
            </w:pPr>
            <w:r w:rsidRPr="001570EA">
              <w:rPr>
                <w:b/>
                <w:sz w:val="18"/>
                <w:szCs w:val="18"/>
              </w:rPr>
              <w:t>Unit</w:t>
            </w:r>
          </w:p>
        </w:tc>
        <w:tc>
          <w:tcPr>
            <w:tcW w:w="2039" w:type="dxa"/>
            <w:shd w:val="clear" w:color="auto" w:fill="BFBFBF"/>
            <w:vAlign w:val="bottom"/>
          </w:tcPr>
          <w:p w14:paraId="38EB4F67" w14:textId="77777777" w:rsidR="00E44576" w:rsidRPr="001570EA" w:rsidRDefault="00E44576">
            <w:pPr>
              <w:tabs>
                <w:tab w:val="left" w:pos="720"/>
              </w:tabs>
              <w:spacing w:before="60" w:after="60"/>
              <w:jc w:val="center"/>
              <w:rPr>
                <w:b/>
                <w:sz w:val="18"/>
                <w:szCs w:val="18"/>
              </w:rPr>
            </w:pPr>
            <w:r w:rsidRPr="001570EA">
              <w:rPr>
                <w:b/>
                <w:sz w:val="18"/>
                <w:szCs w:val="18"/>
              </w:rPr>
              <w:t>Values</w:t>
            </w:r>
          </w:p>
        </w:tc>
        <w:tc>
          <w:tcPr>
            <w:tcW w:w="900" w:type="dxa"/>
            <w:shd w:val="clear" w:color="auto" w:fill="BFBFBF"/>
            <w:vAlign w:val="bottom"/>
          </w:tcPr>
          <w:p w14:paraId="3651FEA8" w14:textId="77777777" w:rsidR="00E44576" w:rsidRPr="001570EA" w:rsidRDefault="00E44576">
            <w:pPr>
              <w:tabs>
                <w:tab w:val="left" w:pos="720"/>
              </w:tabs>
              <w:spacing w:before="60" w:after="60"/>
              <w:jc w:val="center"/>
              <w:rPr>
                <w:b/>
                <w:sz w:val="18"/>
                <w:szCs w:val="18"/>
              </w:rPr>
            </w:pPr>
            <w:r w:rsidRPr="001570EA">
              <w:rPr>
                <w:b/>
                <w:sz w:val="18"/>
                <w:szCs w:val="18"/>
              </w:rPr>
              <w:t>Source</w:t>
            </w:r>
          </w:p>
        </w:tc>
      </w:tr>
      <w:tr w:rsidR="00E44576" w:rsidRPr="001570EA" w14:paraId="3EDE7807" w14:textId="77777777">
        <w:trPr>
          <w:trHeight w:val="374"/>
        </w:trPr>
        <w:tc>
          <w:tcPr>
            <w:tcW w:w="4249" w:type="dxa"/>
          </w:tcPr>
          <w:p w14:paraId="4EEE0B7E" w14:textId="5A2CBFBB" w:rsidR="00E44576" w:rsidRPr="001570EA" w:rsidRDefault="00E44576">
            <w:pPr>
              <w:tabs>
                <w:tab w:val="left" w:pos="720"/>
              </w:tabs>
              <w:spacing w:before="60" w:after="60"/>
              <w:rPr>
                <w:sz w:val="18"/>
                <w:szCs w:val="18"/>
              </w:rPr>
            </w:pPr>
            <w:r w:rsidRPr="001570EA">
              <w:rPr>
                <w:i/>
                <w:sz w:val="18"/>
                <w:szCs w:val="18"/>
              </w:rPr>
              <w:t>Days</w:t>
            </w:r>
            <w:r w:rsidRPr="001570EA">
              <w:rPr>
                <w:sz w:val="18"/>
                <w:szCs w:val="18"/>
              </w:rPr>
              <w:t>, Pool pump days of operation per year</w:t>
            </w:r>
          </w:p>
        </w:tc>
        <w:tc>
          <w:tcPr>
            <w:tcW w:w="1339" w:type="dxa"/>
          </w:tcPr>
          <w:p w14:paraId="1D3BBBD1" w14:textId="77777777" w:rsidR="00E44576" w:rsidRPr="001570EA" w:rsidRDefault="003B5E04">
            <w:pPr>
              <w:tabs>
                <w:tab w:val="left" w:pos="720"/>
              </w:tabs>
              <w:spacing w:before="60" w:after="60"/>
              <w:jc w:val="center"/>
              <w:rPr>
                <w:sz w:val="18"/>
                <w:szCs w:val="18"/>
              </w:rPr>
            </w:pPr>
            <m:oMathPara>
              <m:oMathParaPr>
                <m:jc m:val="center"/>
              </m:oMathParaPr>
              <m:oMath>
                <m:f>
                  <m:fPr>
                    <m:ctrlPr>
                      <w:rPr>
                        <w:rFonts w:ascii="Cambria Math" w:hAnsi="Cambria Math" w:cs="Arial"/>
                        <w:sz w:val="18"/>
                        <w:szCs w:val="18"/>
                      </w:rPr>
                    </m:ctrlPr>
                  </m:fPr>
                  <m:num>
                    <m:r>
                      <w:rPr>
                        <w:rFonts w:ascii="Cambria Math" w:hAnsi="Cambria Math" w:cs="Arial"/>
                        <w:sz w:val="18"/>
                        <w:szCs w:val="18"/>
                      </w:rPr>
                      <m:t>days</m:t>
                    </m:r>
                  </m:num>
                  <m:den>
                    <m:r>
                      <w:rPr>
                        <w:rFonts w:ascii="Cambria Math" w:hAnsi="Cambria Math" w:cs="Arial"/>
                        <w:sz w:val="18"/>
                        <w:szCs w:val="18"/>
                      </w:rPr>
                      <m:t>yr</m:t>
                    </m:r>
                  </m:den>
                </m:f>
              </m:oMath>
            </m:oMathPara>
          </w:p>
        </w:tc>
        <w:tc>
          <w:tcPr>
            <w:tcW w:w="2039" w:type="dxa"/>
          </w:tcPr>
          <w:p w14:paraId="17A0FFA5" w14:textId="77777777" w:rsidR="00E44576" w:rsidRPr="001570EA" w:rsidRDefault="00E44576">
            <w:pPr>
              <w:tabs>
                <w:tab w:val="left" w:pos="720"/>
              </w:tabs>
              <w:spacing w:before="60" w:after="60"/>
              <w:jc w:val="center"/>
              <w:rPr>
                <w:sz w:val="18"/>
                <w:szCs w:val="18"/>
              </w:rPr>
            </w:pPr>
            <w:r w:rsidRPr="001570EA">
              <w:rPr>
                <w:sz w:val="18"/>
                <w:szCs w:val="18"/>
              </w:rPr>
              <w:t>EDC Data Gathering</w:t>
            </w:r>
          </w:p>
          <w:p w14:paraId="167C11B2" w14:textId="5117908E" w:rsidR="00E44576" w:rsidRPr="001570EA" w:rsidRDefault="00E44576">
            <w:pPr>
              <w:tabs>
                <w:tab w:val="left" w:pos="720"/>
              </w:tabs>
              <w:spacing w:before="60" w:after="60"/>
              <w:jc w:val="center"/>
              <w:rPr>
                <w:sz w:val="18"/>
                <w:szCs w:val="18"/>
              </w:rPr>
            </w:pPr>
            <w:r w:rsidRPr="001570EA">
              <w:rPr>
                <w:sz w:val="18"/>
                <w:szCs w:val="18"/>
              </w:rPr>
              <w:t xml:space="preserve">Default: </w:t>
            </w:r>
            <w:r w:rsidR="00933750" w:rsidRPr="001570EA">
              <w:rPr>
                <w:rFonts w:cs="Arial"/>
                <w:sz w:val="18"/>
                <w:szCs w:val="18"/>
              </w:rPr>
              <w:fldChar w:fldCharType="begin"/>
            </w:r>
            <w:r w:rsidR="00933750" w:rsidRPr="001570EA">
              <w:rPr>
                <w:rFonts w:cs="Arial"/>
                <w:sz w:val="18"/>
                <w:szCs w:val="18"/>
              </w:rPr>
              <w:instrText xml:space="preserve"> REF _Ref163983812 \h </w:instrText>
            </w:r>
            <w:r w:rsidR="001570EA">
              <w:rPr>
                <w:rFonts w:cs="Arial"/>
                <w:sz w:val="18"/>
                <w:szCs w:val="18"/>
              </w:rPr>
              <w:instrText xml:space="preserve"> \* MERGEFORMAT </w:instrText>
            </w:r>
            <w:r w:rsidR="00933750" w:rsidRPr="001570EA">
              <w:rPr>
                <w:rFonts w:cs="Arial"/>
                <w:sz w:val="18"/>
                <w:szCs w:val="18"/>
              </w:rPr>
            </w:r>
            <w:r w:rsidR="00933750" w:rsidRPr="001570EA">
              <w:rPr>
                <w:rFonts w:cs="Arial"/>
                <w:sz w:val="18"/>
                <w:szCs w:val="18"/>
              </w:rPr>
              <w:fldChar w:fldCharType="separate"/>
            </w:r>
            <w:r w:rsidR="00234C6C" w:rsidRPr="001570EA">
              <w:rPr>
                <w:noProof/>
              </w:rPr>
              <w:t>Table 2</w:t>
            </w:r>
            <w:r w:rsidR="00234C6C" w:rsidRPr="001570EA">
              <w:rPr>
                <w:noProof/>
              </w:rPr>
              <w:noBreakHyphen/>
              <w:t>169</w:t>
            </w:r>
            <w:r w:rsidR="00933750" w:rsidRPr="001570EA">
              <w:rPr>
                <w:rFonts w:cs="Arial"/>
                <w:sz w:val="18"/>
                <w:szCs w:val="18"/>
              </w:rPr>
              <w:fldChar w:fldCharType="end"/>
            </w:r>
            <w:r w:rsidR="00933750" w:rsidRPr="001570EA">
              <w:rPr>
                <w:rFonts w:cs="Arial"/>
                <w:sz w:val="18"/>
                <w:szCs w:val="18"/>
              </w:rPr>
              <w:t xml:space="preserve"> </w:t>
            </w:r>
          </w:p>
        </w:tc>
        <w:tc>
          <w:tcPr>
            <w:tcW w:w="900" w:type="dxa"/>
          </w:tcPr>
          <w:p w14:paraId="30BF8858" w14:textId="77777777" w:rsidR="00E44576" w:rsidRPr="001570EA" w:rsidRDefault="00E44576">
            <w:pPr>
              <w:tabs>
                <w:tab w:val="left" w:pos="720"/>
              </w:tabs>
              <w:spacing w:before="60" w:after="60"/>
              <w:jc w:val="center"/>
              <w:rPr>
                <w:sz w:val="18"/>
                <w:szCs w:val="18"/>
              </w:rPr>
            </w:pPr>
            <w:r w:rsidRPr="001570EA">
              <w:rPr>
                <w:sz w:val="18"/>
                <w:szCs w:val="18"/>
              </w:rPr>
              <w:t>2</w:t>
            </w:r>
          </w:p>
        </w:tc>
      </w:tr>
      <w:tr w:rsidR="00E44576" w:rsidRPr="001570EA" w14:paraId="084F6207" w14:textId="77777777">
        <w:trPr>
          <w:trHeight w:val="374"/>
        </w:trPr>
        <w:tc>
          <w:tcPr>
            <w:tcW w:w="4249" w:type="dxa"/>
            <w:shd w:val="clear" w:color="auto" w:fill="auto"/>
          </w:tcPr>
          <w:p w14:paraId="77AF7922" w14:textId="01C44998" w:rsidR="00E44576" w:rsidRPr="001570EA" w:rsidRDefault="00E44576">
            <w:pPr>
              <w:tabs>
                <w:tab w:val="left" w:pos="720"/>
              </w:tabs>
              <w:spacing w:before="60" w:after="60"/>
              <w:rPr>
                <w:i/>
                <w:sz w:val="18"/>
                <w:szCs w:val="18"/>
              </w:rPr>
            </w:pPr>
            <w:r w:rsidRPr="001570EA">
              <w:rPr>
                <w:i/>
                <w:sz w:val="18"/>
                <w:szCs w:val="18"/>
              </w:rPr>
              <w:t>WEF</w:t>
            </w:r>
            <w:r w:rsidRPr="001570EA">
              <w:rPr>
                <w:i/>
                <w:sz w:val="18"/>
                <w:szCs w:val="18"/>
                <w:vertAlign w:val="subscript"/>
              </w:rPr>
              <w:t>base</w:t>
            </w:r>
            <w:r w:rsidR="00E32F02">
              <w:rPr>
                <w:i/>
                <w:sz w:val="18"/>
                <w:szCs w:val="18"/>
              </w:rPr>
              <w:t xml:space="preserve">, </w:t>
            </w:r>
            <w:r w:rsidRPr="001570EA">
              <w:rPr>
                <w:iCs/>
                <w:sz w:val="18"/>
                <w:szCs w:val="18"/>
              </w:rPr>
              <w:t>Baseline weighted energy factor of pool pump for Curve C flow.</w:t>
            </w:r>
          </w:p>
        </w:tc>
        <w:tc>
          <w:tcPr>
            <w:tcW w:w="1339" w:type="dxa"/>
            <w:shd w:val="clear" w:color="auto" w:fill="auto"/>
          </w:tcPr>
          <w:p w14:paraId="21C71054" w14:textId="77777777" w:rsidR="00E44576" w:rsidRPr="001570EA" w:rsidRDefault="003B5E04">
            <w:pPr>
              <w:tabs>
                <w:tab w:val="left" w:pos="720"/>
              </w:tabs>
              <w:spacing w:before="60" w:after="60"/>
              <w:jc w:val="center"/>
              <w:rPr>
                <w:i/>
                <w:sz w:val="18"/>
                <w:szCs w:val="18"/>
              </w:rPr>
            </w:pPr>
            <m:oMathPara>
              <m:oMath>
                <m:f>
                  <m:fPr>
                    <m:ctrlPr>
                      <w:rPr>
                        <w:rFonts w:ascii="Cambria Math" w:hAnsi="Cambria Math" w:cs="Arial"/>
                        <w:sz w:val="18"/>
                        <w:szCs w:val="18"/>
                      </w:rPr>
                    </m:ctrlPr>
                  </m:fPr>
                  <m:num>
                    <m:r>
                      <w:rPr>
                        <w:rFonts w:ascii="Cambria Math" w:hAnsi="Cambria Math" w:cs="Arial"/>
                        <w:sz w:val="18"/>
                        <w:szCs w:val="18"/>
                      </w:rPr>
                      <m:t>gallons</m:t>
                    </m:r>
                  </m:num>
                  <m:den>
                    <m:r>
                      <w:rPr>
                        <w:rFonts w:ascii="Cambria Math" w:hAnsi="Cambria Math" w:cs="Arial"/>
                        <w:sz w:val="18"/>
                        <w:szCs w:val="18"/>
                      </w:rPr>
                      <m:t>W∙h</m:t>
                    </m:r>
                  </m:den>
                </m:f>
              </m:oMath>
            </m:oMathPara>
          </w:p>
        </w:tc>
        <w:tc>
          <w:tcPr>
            <w:tcW w:w="2039" w:type="dxa"/>
            <w:shd w:val="clear" w:color="auto" w:fill="auto"/>
          </w:tcPr>
          <w:p w14:paraId="6CCA2D78" w14:textId="77777777" w:rsidR="00E44576" w:rsidRPr="001570EA" w:rsidRDefault="00E44576">
            <w:pPr>
              <w:tabs>
                <w:tab w:val="left" w:pos="720"/>
              </w:tabs>
              <w:spacing w:before="60" w:after="60"/>
              <w:jc w:val="center"/>
              <w:rPr>
                <w:rFonts w:cs="Arial"/>
                <w:sz w:val="18"/>
                <w:szCs w:val="18"/>
              </w:rPr>
            </w:pPr>
            <w:r w:rsidRPr="001570EA">
              <w:rPr>
                <w:rFonts w:cs="Arial"/>
                <w:sz w:val="18"/>
                <w:szCs w:val="18"/>
              </w:rPr>
              <w:t>EDC Data Gathering</w:t>
            </w:r>
          </w:p>
          <w:p w14:paraId="233F5553" w14:textId="0AF694B8" w:rsidR="00E44576" w:rsidRPr="001570EA" w:rsidRDefault="00E44576">
            <w:pPr>
              <w:tabs>
                <w:tab w:val="left" w:pos="720"/>
              </w:tabs>
              <w:spacing w:before="60" w:after="60"/>
              <w:jc w:val="center"/>
              <w:rPr>
                <w:rFonts w:cs="Arial"/>
                <w:sz w:val="18"/>
                <w:szCs w:val="18"/>
              </w:rPr>
            </w:pPr>
            <w:r w:rsidRPr="001570EA">
              <w:rPr>
                <w:rFonts w:cs="Arial"/>
                <w:sz w:val="18"/>
                <w:szCs w:val="18"/>
              </w:rPr>
              <w:t xml:space="preserve">Default: </w:t>
            </w:r>
            <w:r w:rsidR="00933750" w:rsidRPr="001570EA">
              <w:rPr>
                <w:rFonts w:cs="Arial"/>
                <w:sz w:val="18"/>
                <w:szCs w:val="18"/>
              </w:rPr>
              <w:fldChar w:fldCharType="begin"/>
            </w:r>
            <w:r w:rsidR="00933750" w:rsidRPr="001570EA">
              <w:rPr>
                <w:rFonts w:cs="Arial"/>
                <w:sz w:val="18"/>
                <w:szCs w:val="18"/>
              </w:rPr>
              <w:instrText xml:space="preserve"> REF _Ref163983944 \h </w:instrText>
            </w:r>
            <w:r w:rsidR="001570EA">
              <w:rPr>
                <w:rFonts w:cs="Arial"/>
                <w:sz w:val="18"/>
                <w:szCs w:val="18"/>
              </w:rPr>
              <w:instrText xml:space="preserve"> \* MERGEFORMAT </w:instrText>
            </w:r>
            <w:r w:rsidR="00933750" w:rsidRPr="001570EA">
              <w:rPr>
                <w:rFonts w:cs="Arial"/>
                <w:sz w:val="18"/>
                <w:szCs w:val="18"/>
              </w:rPr>
            </w:r>
            <w:r w:rsidR="00933750" w:rsidRPr="001570EA">
              <w:rPr>
                <w:rFonts w:cs="Arial"/>
                <w:sz w:val="18"/>
                <w:szCs w:val="18"/>
              </w:rPr>
              <w:fldChar w:fldCharType="separate"/>
            </w:r>
            <w:r w:rsidR="00234C6C" w:rsidRPr="001570EA">
              <w:rPr>
                <w:noProof/>
              </w:rPr>
              <w:t>Table 2</w:t>
            </w:r>
            <w:r w:rsidR="00234C6C" w:rsidRPr="001570EA">
              <w:rPr>
                <w:noProof/>
              </w:rPr>
              <w:noBreakHyphen/>
              <w:t>168</w:t>
            </w:r>
            <w:r w:rsidR="00933750" w:rsidRPr="001570EA">
              <w:rPr>
                <w:rFonts w:cs="Arial"/>
                <w:sz w:val="18"/>
                <w:szCs w:val="18"/>
              </w:rPr>
              <w:fldChar w:fldCharType="end"/>
            </w:r>
            <w:r w:rsidR="00933750" w:rsidRPr="001570EA">
              <w:rPr>
                <w:rFonts w:cs="Arial"/>
                <w:sz w:val="18"/>
                <w:szCs w:val="18"/>
              </w:rPr>
              <w:t xml:space="preserve"> or </w:t>
            </w:r>
            <w:r w:rsidR="00D46625" w:rsidRPr="001570EA">
              <w:rPr>
                <w:rFonts w:cs="Arial"/>
                <w:sz w:val="18"/>
                <w:szCs w:val="18"/>
              </w:rPr>
              <w:fldChar w:fldCharType="begin"/>
            </w:r>
            <w:r w:rsidR="00D46625" w:rsidRPr="001570EA">
              <w:rPr>
                <w:rFonts w:cs="Arial"/>
                <w:sz w:val="18"/>
                <w:szCs w:val="18"/>
              </w:rPr>
              <w:instrText xml:space="preserve"> REF _Ref163983812 \h </w:instrText>
            </w:r>
            <w:r w:rsidR="001570EA">
              <w:rPr>
                <w:rFonts w:cs="Arial"/>
                <w:sz w:val="18"/>
                <w:szCs w:val="18"/>
              </w:rPr>
              <w:instrText xml:space="preserve"> \* MERGEFORMAT </w:instrText>
            </w:r>
            <w:r w:rsidR="00D46625" w:rsidRPr="001570EA">
              <w:rPr>
                <w:rFonts w:cs="Arial"/>
                <w:sz w:val="18"/>
                <w:szCs w:val="18"/>
              </w:rPr>
            </w:r>
            <w:r w:rsidR="00D46625" w:rsidRPr="001570EA">
              <w:rPr>
                <w:rFonts w:cs="Arial"/>
                <w:sz w:val="18"/>
                <w:szCs w:val="18"/>
              </w:rPr>
              <w:fldChar w:fldCharType="separate"/>
            </w:r>
            <w:r w:rsidR="00234C6C" w:rsidRPr="001570EA">
              <w:rPr>
                <w:noProof/>
              </w:rPr>
              <w:t>Table 2</w:t>
            </w:r>
            <w:r w:rsidR="00234C6C" w:rsidRPr="001570EA">
              <w:rPr>
                <w:noProof/>
              </w:rPr>
              <w:noBreakHyphen/>
              <w:t>169</w:t>
            </w:r>
            <w:r w:rsidR="00D46625" w:rsidRPr="001570EA">
              <w:rPr>
                <w:rFonts w:cs="Arial"/>
                <w:sz w:val="18"/>
                <w:szCs w:val="18"/>
              </w:rPr>
              <w:fldChar w:fldCharType="end"/>
            </w:r>
          </w:p>
        </w:tc>
        <w:tc>
          <w:tcPr>
            <w:tcW w:w="900" w:type="dxa"/>
            <w:shd w:val="clear" w:color="auto" w:fill="auto"/>
          </w:tcPr>
          <w:p w14:paraId="4FB90706" w14:textId="77777777" w:rsidR="00E44576" w:rsidRPr="001570EA" w:rsidRDefault="00E44576">
            <w:pPr>
              <w:tabs>
                <w:tab w:val="left" w:pos="720"/>
              </w:tabs>
              <w:spacing w:before="60" w:after="60"/>
              <w:jc w:val="center"/>
              <w:rPr>
                <w:sz w:val="18"/>
                <w:szCs w:val="18"/>
              </w:rPr>
            </w:pPr>
            <w:r w:rsidRPr="001570EA">
              <w:rPr>
                <w:sz w:val="18"/>
                <w:szCs w:val="18"/>
              </w:rPr>
              <w:t>3</w:t>
            </w:r>
          </w:p>
        </w:tc>
      </w:tr>
      <w:tr w:rsidR="00E44576" w:rsidRPr="001570EA" w14:paraId="78069AE4" w14:textId="77777777">
        <w:trPr>
          <w:trHeight w:val="374"/>
        </w:trPr>
        <w:tc>
          <w:tcPr>
            <w:tcW w:w="4249" w:type="dxa"/>
            <w:shd w:val="clear" w:color="auto" w:fill="auto"/>
          </w:tcPr>
          <w:p w14:paraId="687048C8" w14:textId="77777777" w:rsidR="00E44576" w:rsidRPr="001570EA" w:rsidRDefault="00E44576">
            <w:pPr>
              <w:tabs>
                <w:tab w:val="left" w:pos="720"/>
              </w:tabs>
              <w:spacing w:before="60" w:after="60"/>
              <w:rPr>
                <w:i/>
                <w:sz w:val="18"/>
                <w:szCs w:val="18"/>
              </w:rPr>
            </w:pPr>
            <w:r w:rsidRPr="001570EA">
              <w:rPr>
                <w:i/>
                <w:sz w:val="18"/>
                <w:szCs w:val="18"/>
              </w:rPr>
              <w:t>WEF</w:t>
            </w:r>
            <w:r w:rsidRPr="001570EA">
              <w:rPr>
                <w:i/>
                <w:sz w:val="18"/>
                <w:szCs w:val="18"/>
                <w:vertAlign w:val="subscript"/>
              </w:rPr>
              <w:t>ee</w:t>
            </w:r>
            <w:r w:rsidRPr="001570EA">
              <w:rPr>
                <w:sz w:val="18"/>
                <w:szCs w:val="18"/>
              </w:rPr>
              <w:t>, Weighted energy factor of ENERGY STAR pool pump for Curve C flow.</w:t>
            </w:r>
          </w:p>
        </w:tc>
        <w:tc>
          <w:tcPr>
            <w:tcW w:w="1339" w:type="dxa"/>
            <w:shd w:val="clear" w:color="auto" w:fill="auto"/>
          </w:tcPr>
          <w:p w14:paraId="36A5213C" w14:textId="77777777" w:rsidR="00E44576" w:rsidRPr="001570EA" w:rsidRDefault="003B5E04">
            <w:pPr>
              <w:tabs>
                <w:tab w:val="left" w:pos="720"/>
              </w:tabs>
              <w:spacing w:before="60" w:after="60"/>
              <w:jc w:val="center"/>
              <w:rPr>
                <w:i/>
                <w:sz w:val="18"/>
                <w:szCs w:val="18"/>
              </w:rPr>
            </w:pPr>
            <m:oMathPara>
              <m:oMath>
                <m:f>
                  <m:fPr>
                    <m:ctrlPr>
                      <w:rPr>
                        <w:rFonts w:ascii="Cambria Math" w:hAnsi="Cambria Math" w:cs="Arial"/>
                        <w:sz w:val="18"/>
                        <w:szCs w:val="18"/>
                      </w:rPr>
                    </m:ctrlPr>
                  </m:fPr>
                  <m:num>
                    <m:r>
                      <w:rPr>
                        <w:rFonts w:ascii="Cambria Math" w:hAnsi="Cambria Math" w:cs="Arial"/>
                        <w:sz w:val="18"/>
                        <w:szCs w:val="18"/>
                      </w:rPr>
                      <m:t>gallons</m:t>
                    </m:r>
                  </m:num>
                  <m:den>
                    <m:r>
                      <w:rPr>
                        <w:rFonts w:ascii="Cambria Math" w:hAnsi="Cambria Math" w:cs="Arial"/>
                        <w:sz w:val="18"/>
                        <w:szCs w:val="18"/>
                      </w:rPr>
                      <m:t>W∙h</m:t>
                    </m:r>
                  </m:den>
                </m:f>
              </m:oMath>
            </m:oMathPara>
          </w:p>
        </w:tc>
        <w:tc>
          <w:tcPr>
            <w:tcW w:w="2039" w:type="dxa"/>
            <w:shd w:val="clear" w:color="auto" w:fill="auto"/>
          </w:tcPr>
          <w:p w14:paraId="77F8C8F2" w14:textId="77777777" w:rsidR="00E44576" w:rsidRPr="001570EA" w:rsidRDefault="00E44576">
            <w:pPr>
              <w:tabs>
                <w:tab w:val="left" w:pos="720"/>
              </w:tabs>
              <w:spacing w:before="60" w:after="60"/>
              <w:jc w:val="center"/>
              <w:rPr>
                <w:rFonts w:cs="Arial"/>
                <w:sz w:val="18"/>
                <w:szCs w:val="18"/>
              </w:rPr>
            </w:pPr>
            <w:r w:rsidRPr="001570EA">
              <w:rPr>
                <w:rFonts w:cs="Arial"/>
                <w:sz w:val="18"/>
                <w:szCs w:val="18"/>
              </w:rPr>
              <w:t>EDC Data Gathering</w:t>
            </w:r>
          </w:p>
          <w:p w14:paraId="1E41D710" w14:textId="04B50C35" w:rsidR="00E44576" w:rsidRPr="001570EA" w:rsidRDefault="00E44576">
            <w:pPr>
              <w:tabs>
                <w:tab w:val="left" w:pos="720"/>
              </w:tabs>
              <w:spacing w:before="60" w:after="60"/>
              <w:jc w:val="center"/>
              <w:rPr>
                <w:rFonts w:cs="Arial"/>
                <w:sz w:val="18"/>
                <w:szCs w:val="18"/>
              </w:rPr>
            </w:pPr>
            <w:r w:rsidRPr="001570EA">
              <w:rPr>
                <w:rFonts w:cs="Arial"/>
                <w:sz w:val="18"/>
                <w:szCs w:val="18"/>
              </w:rPr>
              <w:t>Default:</w:t>
            </w:r>
            <w:r w:rsidR="00933750" w:rsidRPr="001570EA">
              <w:rPr>
                <w:rFonts w:cs="Arial"/>
                <w:sz w:val="18"/>
                <w:szCs w:val="18"/>
              </w:rPr>
              <w:t xml:space="preserve"> </w:t>
            </w:r>
            <w:r w:rsidR="00933750" w:rsidRPr="001570EA">
              <w:rPr>
                <w:rFonts w:cs="Arial"/>
                <w:sz w:val="18"/>
                <w:szCs w:val="18"/>
              </w:rPr>
              <w:fldChar w:fldCharType="begin"/>
            </w:r>
            <w:r w:rsidR="00933750" w:rsidRPr="001570EA">
              <w:rPr>
                <w:rFonts w:cs="Arial"/>
                <w:sz w:val="18"/>
                <w:szCs w:val="18"/>
              </w:rPr>
              <w:instrText xml:space="preserve"> REF _Ref163983944 \h </w:instrText>
            </w:r>
            <w:r w:rsidR="001570EA">
              <w:rPr>
                <w:rFonts w:cs="Arial"/>
                <w:sz w:val="18"/>
                <w:szCs w:val="18"/>
              </w:rPr>
              <w:instrText xml:space="preserve"> \* MERGEFORMAT </w:instrText>
            </w:r>
            <w:r w:rsidR="00933750" w:rsidRPr="001570EA">
              <w:rPr>
                <w:rFonts w:cs="Arial"/>
                <w:sz w:val="18"/>
                <w:szCs w:val="18"/>
              </w:rPr>
            </w:r>
            <w:r w:rsidR="00933750" w:rsidRPr="001570EA">
              <w:rPr>
                <w:rFonts w:cs="Arial"/>
                <w:sz w:val="18"/>
                <w:szCs w:val="18"/>
              </w:rPr>
              <w:fldChar w:fldCharType="separate"/>
            </w:r>
            <w:r w:rsidR="00234C6C" w:rsidRPr="001570EA">
              <w:rPr>
                <w:noProof/>
              </w:rPr>
              <w:t>Table 2</w:t>
            </w:r>
            <w:r w:rsidR="00234C6C" w:rsidRPr="001570EA">
              <w:rPr>
                <w:noProof/>
              </w:rPr>
              <w:noBreakHyphen/>
              <w:t>168</w:t>
            </w:r>
            <w:r w:rsidR="00933750" w:rsidRPr="001570EA">
              <w:rPr>
                <w:rFonts w:cs="Arial"/>
                <w:sz w:val="18"/>
                <w:szCs w:val="18"/>
              </w:rPr>
              <w:fldChar w:fldCharType="end"/>
            </w:r>
            <w:r w:rsidR="00933750" w:rsidRPr="001570EA">
              <w:rPr>
                <w:rFonts w:cs="Arial"/>
                <w:sz w:val="18"/>
                <w:szCs w:val="18"/>
              </w:rPr>
              <w:t xml:space="preserve"> or</w:t>
            </w:r>
            <w:r w:rsidR="00D46625" w:rsidRPr="001570EA">
              <w:rPr>
                <w:rFonts w:cs="Arial"/>
                <w:sz w:val="18"/>
                <w:szCs w:val="18"/>
              </w:rPr>
              <w:t xml:space="preserve"> </w:t>
            </w:r>
            <w:r w:rsidR="00D46625" w:rsidRPr="001570EA">
              <w:rPr>
                <w:rFonts w:cs="Arial"/>
                <w:sz w:val="18"/>
                <w:szCs w:val="18"/>
              </w:rPr>
              <w:fldChar w:fldCharType="begin"/>
            </w:r>
            <w:r w:rsidR="00D46625" w:rsidRPr="001570EA">
              <w:rPr>
                <w:rFonts w:cs="Arial"/>
                <w:sz w:val="18"/>
                <w:szCs w:val="18"/>
              </w:rPr>
              <w:instrText xml:space="preserve"> REF _Ref163983812 \h </w:instrText>
            </w:r>
            <w:r w:rsidR="001570EA">
              <w:rPr>
                <w:rFonts w:cs="Arial"/>
                <w:sz w:val="18"/>
                <w:szCs w:val="18"/>
              </w:rPr>
              <w:instrText xml:space="preserve"> \* MERGEFORMAT </w:instrText>
            </w:r>
            <w:r w:rsidR="00D46625" w:rsidRPr="001570EA">
              <w:rPr>
                <w:rFonts w:cs="Arial"/>
                <w:sz w:val="18"/>
                <w:szCs w:val="18"/>
              </w:rPr>
            </w:r>
            <w:r w:rsidR="00D46625" w:rsidRPr="001570EA">
              <w:rPr>
                <w:rFonts w:cs="Arial"/>
                <w:sz w:val="18"/>
                <w:szCs w:val="18"/>
              </w:rPr>
              <w:fldChar w:fldCharType="separate"/>
            </w:r>
            <w:r w:rsidR="00234C6C" w:rsidRPr="001570EA">
              <w:rPr>
                <w:noProof/>
              </w:rPr>
              <w:t>Table 2</w:t>
            </w:r>
            <w:r w:rsidR="00234C6C" w:rsidRPr="001570EA">
              <w:rPr>
                <w:noProof/>
              </w:rPr>
              <w:noBreakHyphen/>
              <w:t>169</w:t>
            </w:r>
            <w:r w:rsidR="00D46625" w:rsidRPr="001570EA">
              <w:rPr>
                <w:rFonts w:cs="Arial"/>
                <w:sz w:val="18"/>
                <w:szCs w:val="18"/>
              </w:rPr>
              <w:fldChar w:fldCharType="end"/>
            </w:r>
          </w:p>
        </w:tc>
        <w:tc>
          <w:tcPr>
            <w:tcW w:w="900" w:type="dxa"/>
            <w:shd w:val="clear" w:color="auto" w:fill="auto"/>
          </w:tcPr>
          <w:p w14:paraId="5EE4510F" w14:textId="77777777" w:rsidR="00E44576" w:rsidRPr="001570EA" w:rsidRDefault="00E44576">
            <w:pPr>
              <w:tabs>
                <w:tab w:val="left" w:pos="720"/>
              </w:tabs>
              <w:spacing w:before="60" w:after="60"/>
              <w:jc w:val="center"/>
              <w:rPr>
                <w:sz w:val="18"/>
                <w:szCs w:val="18"/>
              </w:rPr>
            </w:pPr>
            <w:r w:rsidRPr="001570EA">
              <w:rPr>
                <w:sz w:val="18"/>
                <w:szCs w:val="18"/>
              </w:rPr>
              <w:t>4</w:t>
            </w:r>
          </w:p>
        </w:tc>
      </w:tr>
      <w:tr w:rsidR="00E44576" w:rsidRPr="001570EA" w14:paraId="2BF26730" w14:textId="77777777">
        <w:trPr>
          <w:trHeight w:val="374"/>
        </w:trPr>
        <w:tc>
          <w:tcPr>
            <w:tcW w:w="4249" w:type="dxa"/>
            <w:shd w:val="clear" w:color="auto" w:fill="auto"/>
          </w:tcPr>
          <w:p w14:paraId="307112FE" w14:textId="77777777" w:rsidR="00E44576" w:rsidRPr="001570EA" w:rsidRDefault="00E44576">
            <w:pPr>
              <w:tabs>
                <w:tab w:val="left" w:pos="720"/>
              </w:tabs>
              <w:spacing w:before="60" w:after="60"/>
              <w:rPr>
                <w:i/>
                <w:sz w:val="18"/>
                <w:szCs w:val="18"/>
              </w:rPr>
            </w:pPr>
            <w:r w:rsidRPr="001570EA">
              <w:rPr>
                <w:i/>
                <w:sz w:val="18"/>
                <w:szCs w:val="18"/>
              </w:rPr>
              <w:t>hhp,</w:t>
            </w:r>
            <w:r w:rsidRPr="001570EA">
              <w:rPr>
                <w:iCs/>
                <w:sz w:val="18"/>
                <w:szCs w:val="18"/>
              </w:rPr>
              <w:t xml:space="preserve"> hydraulic horsepower is a measure of pump output rather than pump input</w:t>
            </w:r>
          </w:p>
        </w:tc>
        <w:tc>
          <w:tcPr>
            <w:tcW w:w="1339" w:type="dxa"/>
            <w:shd w:val="clear" w:color="auto" w:fill="auto"/>
          </w:tcPr>
          <w:p w14:paraId="7CF25EFB" w14:textId="77777777" w:rsidR="00E44576" w:rsidRPr="001570EA" w:rsidRDefault="00E44576">
            <w:pPr>
              <w:tabs>
                <w:tab w:val="left" w:pos="720"/>
              </w:tabs>
              <w:spacing w:before="60" w:after="60"/>
              <w:jc w:val="center"/>
              <w:rPr>
                <w:i/>
                <w:sz w:val="18"/>
                <w:szCs w:val="18"/>
              </w:rPr>
            </w:pPr>
            <w:r w:rsidRPr="001570EA">
              <w:rPr>
                <w:i/>
                <w:sz w:val="18"/>
                <w:szCs w:val="18"/>
              </w:rPr>
              <w:t>745.7 W</w:t>
            </w:r>
          </w:p>
        </w:tc>
        <w:tc>
          <w:tcPr>
            <w:tcW w:w="2039" w:type="dxa"/>
            <w:shd w:val="clear" w:color="auto" w:fill="auto"/>
          </w:tcPr>
          <w:p w14:paraId="7932B2AC" w14:textId="77777777" w:rsidR="00E44576" w:rsidRPr="001570EA" w:rsidRDefault="00E44576">
            <w:pPr>
              <w:tabs>
                <w:tab w:val="left" w:pos="720"/>
              </w:tabs>
              <w:spacing w:before="60" w:after="60"/>
              <w:jc w:val="center"/>
              <w:rPr>
                <w:rFonts w:cs="Arial"/>
                <w:sz w:val="18"/>
                <w:szCs w:val="18"/>
              </w:rPr>
            </w:pPr>
            <w:r w:rsidRPr="001570EA">
              <w:rPr>
                <w:rFonts w:cs="Arial"/>
                <w:sz w:val="18"/>
                <w:szCs w:val="18"/>
              </w:rPr>
              <w:t>EDC Data Gathering</w:t>
            </w:r>
          </w:p>
          <w:p w14:paraId="28FD7B7A" w14:textId="535BC816" w:rsidR="00E44576" w:rsidRPr="001570EA" w:rsidRDefault="00E44576">
            <w:pPr>
              <w:tabs>
                <w:tab w:val="left" w:pos="720"/>
              </w:tabs>
              <w:spacing w:before="60" w:after="60"/>
              <w:jc w:val="center"/>
              <w:rPr>
                <w:rFonts w:cs="Arial"/>
                <w:sz w:val="18"/>
                <w:szCs w:val="18"/>
              </w:rPr>
            </w:pPr>
            <w:r w:rsidRPr="001570EA">
              <w:rPr>
                <w:rFonts w:cs="Arial"/>
                <w:sz w:val="18"/>
                <w:szCs w:val="18"/>
              </w:rPr>
              <w:t>Default:</w:t>
            </w:r>
            <w:r w:rsidR="00933750" w:rsidRPr="001570EA">
              <w:rPr>
                <w:rFonts w:cs="Arial"/>
                <w:sz w:val="18"/>
                <w:szCs w:val="18"/>
              </w:rPr>
              <w:t xml:space="preserve"> </w:t>
            </w:r>
            <w:r w:rsidR="00933750" w:rsidRPr="001570EA">
              <w:rPr>
                <w:rFonts w:cs="Arial"/>
                <w:sz w:val="18"/>
                <w:szCs w:val="18"/>
              </w:rPr>
              <w:fldChar w:fldCharType="begin"/>
            </w:r>
            <w:r w:rsidR="00933750" w:rsidRPr="001570EA">
              <w:rPr>
                <w:rFonts w:cs="Arial"/>
                <w:sz w:val="18"/>
                <w:szCs w:val="18"/>
              </w:rPr>
              <w:instrText xml:space="preserve"> REF _Ref163983944 \h </w:instrText>
            </w:r>
            <w:r w:rsidR="001570EA">
              <w:rPr>
                <w:rFonts w:cs="Arial"/>
                <w:sz w:val="18"/>
                <w:szCs w:val="18"/>
              </w:rPr>
              <w:instrText xml:space="preserve"> \* MERGEFORMAT </w:instrText>
            </w:r>
            <w:r w:rsidR="00933750" w:rsidRPr="001570EA">
              <w:rPr>
                <w:rFonts w:cs="Arial"/>
                <w:sz w:val="18"/>
                <w:szCs w:val="18"/>
              </w:rPr>
            </w:r>
            <w:r w:rsidR="00933750" w:rsidRPr="001570EA">
              <w:rPr>
                <w:rFonts w:cs="Arial"/>
                <w:sz w:val="18"/>
                <w:szCs w:val="18"/>
              </w:rPr>
              <w:fldChar w:fldCharType="separate"/>
            </w:r>
            <w:r w:rsidR="00234C6C" w:rsidRPr="001570EA">
              <w:rPr>
                <w:noProof/>
              </w:rPr>
              <w:t>Table 2</w:t>
            </w:r>
            <w:r w:rsidR="00234C6C" w:rsidRPr="001570EA">
              <w:rPr>
                <w:noProof/>
              </w:rPr>
              <w:noBreakHyphen/>
              <w:t>168</w:t>
            </w:r>
            <w:r w:rsidR="00933750" w:rsidRPr="001570EA">
              <w:rPr>
                <w:rFonts w:cs="Arial"/>
                <w:sz w:val="18"/>
                <w:szCs w:val="18"/>
              </w:rPr>
              <w:fldChar w:fldCharType="end"/>
            </w:r>
            <w:r w:rsidR="00933750" w:rsidRPr="001570EA">
              <w:rPr>
                <w:rFonts w:cs="Arial"/>
                <w:sz w:val="18"/>
                <w:szCs w:val="18"/>
              </w:rPr>
              <w:t xml:space="preserve"> or</w:t>
            </w:r>
            <w:r w:rsidR="00871632" w:rsidRPr="001570EA">
              <w:rPr>
                <w:rFonts w:cs="Arial"/>
                <w:sz w:val="18"/>
                <w:szCs w:val="18"/>
              </w:rPr>
              <w:t xml:space="preserve"> </w:t>
            </w:r>
            <w:r w:rsidR="00871632" w:rsidRPr="001570EA">
              <w:rPr>
                <w:rFonts w:cs="Arial"/>
                <w:sz w:val="18"/>
                <w:szCs w:val="18"/>
              </w:rPr>
              <w:fldChar w:fldCharType="begin"/>
            </w:r>
            <w:r w:rsidR="00871632" w:rsidRPr="001570EA">
              <w:rPr>
                <w:rFonts w:cs="Arial"/>
                <w:sz w:val="18"/>
                <w:szCs w:val="18"/>
              </w:rPr>
              <w:instrText xml:space="preserve"> REF _Ref163983812 \h </w:instrText>
            </w:r>
            <w:r w:rsidR="001570EA">
              <w:rPr>
                <w:rFonts w:cs="Arial"/>
                <w:sz w:val="18"/>
                <w:szCs w:val="18"/>
              </w:rPr>
              <w:instrText xml:space="preserve"> \* MERGEFORMAT </w:instrText>
            </w:r>
            <w:r w:rsidR="00871632" w:rsidRPr="001570EA">
              <w:rPr>
                <w:rFonts w:cs="Arial"/>
                <w:sz w:val="18"/>
                <w:szCs w:val="18"/>
              </w:rPr>
            </w:r>
            <w:r w:rsidR="00871632" w:rsidRPr="001570EA">
              <w:rPr>
                <w:rFonts w:cs="Arial"/>
                <w:sz w:val="18"/>
                <w:szCs w:val="18"/>
              </w:rPr>
              <w:fldChar w:fldCharType="separate"/>
            </w:r>
            <w:r w:rsidR="00234C6C" w:rsidRPr="001570EA">
              <w:rPr>
                <w:noProof/>
              </w:rPr>
              <w:t>Table 2</w:t>
            </w:r>
            <w:r w:rsidR="00234C6C" w:rsidRPr="001570EA">
              <w:rPr>
                <w:noProof/>
              </w:rPr>
              <w:noBreakHyphen/>
              <w:t>169</w:t>
            </w:r>
            <w:r w:rsidR="00871632" w:rsidRPr="001570EA">
              <w:rPr>
                <w:rFonts w:cs="Arial"/>
                <w:sz w:val="18"/>
                <w:szCs w:val="18"/>
              </w:rPr>
              <w:fldChar w:fldCharType="end"/>
            </w:r>
            <w:r w:rsidR="00933750" w:rsidRPr="001570EA">
              <w:rPr>
                <w:rFonts w:cs="Arial"/>
                <w:sz w:val="18"/>
                <w:szCs w:val="18"/>
              </w:rPr>
              <w:t xml:space="preserve"> </w:t>
            </w:r>
          </w:p>
        </w:tc>
        <w:tc>
          <w:tcPr>
            <w:tcW w:w="900" w:type="dxa"/>
            <w:shd w:val="clear" w:color="auto" w:fill="auto"/>
          </w:tcPr>
          <w:p w14:paraId="1F76CF10" w14:textId="77777777" w:rsidR="00E44576" w:rsidRPr="001570EA" w:rsidRDefault="00E44576">
            <w:pPr>
              <w:tabs>
                <w:tab w:val="left" w:pos="720"/>
              </w:tabs>
              <w:spacing w:before="60" w:after="60"/>
              <w:jc w:val="center"/>
              <w:rPr>
                <w:sz w:val="18"/>
                <w:szCs w:val="18"/>
              </w:rPr>
            </w:pPr>
            <w:r w:rsidRPr="001570EA">
              <w:rPr>
                <w:sz w:val="18"/>
                <w:szCs w:val="18"/>
              </w:rPr>
              <w:t>2</w:t>
            </w:r>
          </w:p>
        </w:tc>
      </w:tr>
      <w:tr w:rsidR="00E44576" w:rsidRPr="001570EA" w14:paraId="0909D2AB" w14:textId="77777777">
        <w:trPr>
          <w:trHeight w:val="374"/>
        </w:trPr>
        <w:tc>
          <w:tcPr>
            <w:tcW w:w="4249" w:type="dxa"/>
          </w:tcPr>
          <w:p w14:paraId="0D6D7621" w14:textId="77777777" w:rsidR="00E44576" w:rsidRPr="001570EA" w:rsidRDefault="00E44576">
            <w:pPr>
              <w:tabs>
                <w:tab w:val="left" w:pos="720"/>
              </w:tabs>
              <w:spacing w:before="60" w:after="60"/>
              <w:rPr>
                <w:iCs/>
                <w:sz w:val="18"/>
                <w:szCs w:val="18"/>
              </w:rPr>
            </w:pPr>
            <w:r w:rsidRPr="001570EA">
              <w:rPr>
                <w:i/>
                <w:sz w:val="18"/>
                <w:szCs w:val="18"/>
              </w:rPr>
              <w:t>Volume</w:t>
            </w:r>
            <w:r w:rsidRPr="001570EA">
              <w:rPr>
                <w:iCs/>
                <w:sz w:val="18"/>
                <w:szCs w:val="18"/>
              </w:rPr>
              <w:t>, pool capacity</w:t>
            </w:r>
          </w:p>
        </w:tc>
        <w:tc>
          <w:tcPr>
            <w:tcW w:w="1339" w:type="dxa"/>
          </w:tcPr>
          <w:p w14:paraId="3B5993B9" w14:textId="77777777" w:rsidR="00E44576" w:rsidRPr="001570EA" w:rsidRDefault="00E44576">
            <w:pPr>
              <w:tabs>
                <w:tab w:val="left" w:pos="720"/>
              </w:tabs>
              <w:spacing w:before="60" w:after="60"/>
              <w:jc w:val="center"/>
              <w:rPr>
                <w:i/>
                <w:iCs/>
                <w:sz w:val="18"/>
                <w:szCs w:val="18"/>
              </w:rPr>
            </w:pPr>
            <w:r w:rsidRPr="001570EA">
              <w:rPr>
                <w:i/>
                <w:iCs/>
                <w:sz w:val="18"/>
                <w:szCs w:val="18"/>
              </w:rPr>
              <w:t>Gallons</w:t>
            </w:r>
          </w:p>
        </w:tc>
        <w:tc>
          <w:tcPr>
            <w:tcW w:w="2039" w:type="dxa"/>
          </w:tcPr>
          <w:p w14:paraId="768501D6" w14:textId="77777777" w:rsidR="00E44576" w:rsidRPr="001570EA" w:rsidRDefault="00E44576">
            <w:pPr>
              <w:tabs>
                <w:tab w:val="left" w:pos="720"/>
              </w:tabs>
              <w:spacing w:before="60" w:after="60"/>
              <w:jc w:val="center"/>
              <w:rPr>
                <w:rFonts w:cs="Arial"/>
                <w:sz w:val="18"/>
                <w:szCs w:val="18"/>
              </w:rPr>
            </w:pPr>
            <w:r w:rsidRPr="001570EA">
              <w:rPr>
                <w:rFonts w:cs="Arial"/>
                <w:sz w:val="18"/>
                <w:szCs w:val="18"/>
              </w:rPr>
              <w:t>EDC Data Gathering</w:t>
            </w:r>
          </w:p>
          <w:p w14:paraId="67A46294" w14:textId="0317D195" w:rsidR="00E44576" w:rsidRPr="001570EA" w:rsidRDefault="00E44576">
            <w:pPr>
              <w:pStyle w:val="TableCell"/>
              <w:spacing w:before="60" w:after="60"/>
              <w:jc w:val="center"/>
              <w:rPr>
                <w:szCs w:val="18"/>
              </w:rPr>
            </w:pPr>
            <w:r w:rsidRPr="001570EA">
              <w:rPr>
                <w:rFonts w:cs="Arial"/>
                <w:szCs w:val="18"/>
              </w:rPr>
              <w:t>Default:</w:t>
            </w:r>
            <w:r w:rsidR="00871632" w:rsidRPr="001570EA">
              <w:rPr>
                <w:rFonts w:cs="Arial"/>
                <w:szCs w:val="18"/>
              </w:rPr>
              <w:t xml:space="preserve"> </w:t>
            </w:r>
            <w:r w:rsidR="00871632" w:rsidRPr="001570EA">
              <w:rPr>
                <w:rFonts w:cs="Arial"/>
                <w:szCs w:val="18"/>
              </w:rPr>
              <w:fldChar w:fldCharType="begin"/>
            </w:r>
            <w:r w:rsidR="00871632" w:rsidRPr="001570EA">
              <w:rPr>
                <w:rFonts w:cs="Arial"/>
                <w:szCs w:val="18"/>
              </w:rPr>
              <w:instrText xml:space="preserve"> REF _Ref163983812 \h </w:instrText>
            </w:r>
            <w:r w:rsidR="001570EA">
              <w:rPr>
                <w:rFonts w:cs="Arial"/>
                <w:szCs w:val="18"/>
              </w:rPr>
              <w:instrText xml:space="preserve"> \* MERGEFORMAT </w:instrText>
            </w:r>
            <w:r w:rsidR="00871632" w:rsidRPr="001570EA">
              <w:rPr>
                <w:rFonts w:cs="Arial"/>
                <w:szCs w:val="18"/>
              </w:rPr>
            </w:r>
            <w:r w:rsidR="00871632" w:rsidRPr="001570EA">
              <w:rPr>
                <w:rFonts w:cs="Arial"/>
                <w:szCs w:val="18"/>
              </w:rPr>
              <w:fldChar w:fldCharType="separate"/>
            </w:r>
            <w:r w:rsidR="00234C6C" w:rsidRPr="001570EA">
              <w:rPr>
                <w:noProof/>
              </w:rPr>
              <w:t>Table 2</w:t>
            </w:r>
            <w:r w:rsidR="00234C6C" w:rsidRPr="001570EA">
              <w:rPr>
                <w:noProof/>
              </w:rPr>
              <w:noBreakHyphen/>
              <w:t>169</w:t>
            </w:r>
            <w:r w:rsidR="00871632" w:rsidRPr="001570EA">
              <w:rPr>
                <w:rFonts w:cs="Arial"/>
                <w:szCs w:val="18"/>
              </w:rPr>
              <w:fldChar w:fldCharType="end"/>
            </w:r>
          </w:p>
        </w:tc>
        <w:tc>
          <w:tcPr>
            <w:tcW w:w="900" w:type="dxa"/>
          </w:tcPr>
          <w:p w14:paraId="2866C114" w14:textId="77777777" w:rsidR="00E44576" w:rsidRPr="001570EA" w:rsidRDefault="00E44576">
            <w:pPr>
              <w:tabs>
                <w:tab w:val="left" w:pos="720"/>
              </w:tabs>
              <w:spacing w:before="60" w:after="60"/>
              <w:jc w:val="center"/>
              <w:rPr>
                <w:sz w:val="18"/>
                <w:szCs w:val="18"/>
              </w:rPr>
            </w:pPr>
            <w:r w:rsidRPr="001570EA">
              <w:rPr>
                <w:sz w:val="18"/>
                <w:szCs w:val="18"/>
              </w:rPr>
              <w:t>5</w:t>
            </w:r>
          </w:p>
        </w:tc>
      </w:tr>
      <w:tr w:rsidR="00E44576" w:rsidRPr="001570EA" w14:paraId="1C71F7D4" w14:textId="77777777">
        <w:trPr>
          <w:trHeight w:val="374"/>
        </w:trPr>
        <w:tc>
          <w:tcPr>
            <w:tcW w:w="4249" w:type="dxa"/>
          </w:tcPr>
          <w:p w14:paraId="58E398A6" w14:textId="77777777" w:rsidR="00E44576" w:rsidRPr="001570EA" w:rsidRDefault="00E44576">
            <w:pPr>
              <w:tabs>
                <w:tab w:val="left" w:pos="720"/>
              </w:tabs>
              <w:spacing w:before="60" w:after="60"/>
              <w:rPr>
                <w:i/>
                <w:sz w:val="18"/>
                <w:szCs w:val="18"/>
              </w:rPr>
            </w:pPr>
            <w:r w:rsidRPr="001570EA">
              <w:rPr>
                <w:i/>
                <w:sz w:val="18"/>
                <w:szCs w:val="18"/>
              </w:rPr>
              <w:t>Turnover</w:t>
            </w:r>
            <w:r w:rsidRPr="001570EA">
              <w:rPr>
                <w:iCs/>
                <w:sz w:val="18"/>
                <w:szCs w:val="18"/>
              </w:rPr>
              <w:t>, number of times the full volume of the pool is filtered each day</w:t>
            </w:r>
          </w:p>
        </w:tc>
        <w:tc>
          <w:tcPr>
            <w:tcW w:w="1339" w:type="dxa"/>
          </w:tcPr>
          <w:p w14:paraId="2E6410CA" w14:textId="77777777" w:rsidR="00E44576" w:rsidRPr="001570EA" w:rsidRDefault="003B5E04">
            <w:pPr>
              <w:tabs>
                <w:tab w:val="left" w:pos="720"/>
              </w:tabs>
              <w:spacing w:before="60" w:after="60"/>
              <w:jc w:val="center"/>
              <w:rPr>
                <w:sz w:val="18"/>
                <w:szCs w:val="18"/>
              </w:rPr>
            </w:pPr>
            <m:oMathPara>
              <m:oMath>
                <m:f>
                  <m:fPr>
                    <m:ctrlPr>
                      <w:rPr>
                        <w:rFonts w:ascii="Cambria Math" w:hAnsi="Cambria Math" w:cs="Arial"/>
                        <w:sz w:val="18"/>
                        <w:szCs w:val="18"/>
                      </w:rPr>
                    </m:ctrlPr>
                  </m:fPr>
                  <m:num>
                    <m:r>
                      <w:rPr>
                        <w:rFonts w:ascii="Cambria Math" w:hAnsi="Cambria Math" w:cs="Arial"/>
                        <w:sz w:val="18"/>
                        <w:szCs w:val="18"/>
                      </w:rPr>
                      <m:t>Pool volumes</m:t>
                    </m:r>
                  </m:num>
                  <m:den>
                    <m:r>
                      <w:rPr>
                        <w:rFonts w:ascii="Cambria Math" w:hAnsi="Cambria Math" w:cs="Arial"/>
                        <w:sz w:val="18"/>
                        <w:szCs w:val="18"/>
                      </w:rPr>
                      <m:t>day</m:t>
                    </m:r>
                  </m:den>
                </m:f>
              </m:oMath>
            </m:oMathPara>
          </w:p>
        </w:tc>
        <w:tc>
          <w:tcPr>
            <w:tcW w:w="2039" w:type="dxa"/>
          </w:tcPr>
          <w:p w14:paraId="4FE4F238" w14:textId="77777777" w:rsidR="00E44576" w:rsidRPr="001570EA" w:rsidRDefault="00E44576">
            <w:pPr>
              <w:pStyle w:val="TableCell"/>
              <w:spacing w:before="60" w:after="60"/>
              <w:jc w:val="center"/>
              <w:rPr>
                <w:szCs w:val="18"/>
              </w:rPr>
            </w:pPr>
            <w:r w:rsidRPr="001570EA">
              <w:rPr>
                <w:szCs w:val="18"/>
              </w:rPr>
              <w:t>EDC Data Gathering</w:t>
            </w:r>
          </w:p>
          <w:p w14:paraId="1D2D2A35" w14:textId="43CFEF96" w:rsidR="00E44576" w:rsidRPr="001570EA" w:rsidRDefault="00E44576">
            <w:pPr>
              <w:pStyle w:val="TableCell"/>
              <w:spacing w:before="60" w:after="60"/>
              <w:jc w:val="center"/>
              <w:rPr>
                <w:szCs w:val="18"/>
              </w:rPr>
            </w:pPr>
            <w:r w:rsidRPr="001570EA">
              <w:rPr>
                <w:rFonts w:cs="Arial"/>
                <w:szCs w:val="18"/>
              </w:rPr>
              <w:t>Default:</w:t>
            </w:r>
            <w:r w:rsidR="00871632" w:rsidRPr="001570EA">
              <w:rPr>
                <w:rFonts w:cs="Arial"/>
                <w:szCs w:val="18"/>
              </w:rPr>
              <w:t xml:space="preserve"> </w:t>
            </w:r>
            <w:r w:rsidR="00871632" w:rsidRPr="001570EA">
              <w:rPr>
                <w:rFonts w:cs="Arial"/>
                <w:szCs w:val="18"/>
              </w:rPr>
              <w:fldChar w:fldCharType="begin"/>
            </w:r>
            <w:r w:rsidR="00871632" w:rsidRPr="001570EA">
              <w:rPr>
                <w:rFonts w:cs="Arial"/>
                <w:szCs w:val="18"/>
              </w:rPr>
              <w:instrText xml:space="preserve"> REF _Ref163983812 \h </w:instrText>
            </w:r>
            <w:r w:rsidR="001570EA">
              <w:rPr>
                <w:rFonts w:cs="Arial"/>
                <w:szCs w:val="18"/>
              </w:rPr>
              <w:instrText xml:space="preserve"> \* MERGEFORMAT </w:instrText>
            </w:r>
            <w:r w:rsidR="00871632" w:rsidRPr="001570EA">
              <w:rPr>
                <w:rFonts w:cs="Arial"/>
                <w:szCs w:val="18"/>
              </w:rPr>
            </w:r>
            <w:r w:rsidR="00871632" w:rsidRPr="001570EA">
              <w:rPr>
                <w:rFonts w:cs="Arial"/>
                <w:szCs w:val="18"/>
              </w:rPr>
              <w:fldChar w:fldCharType="separate"/>
            </w:r>
            <w:r w:rsidR="00234C6C" w:rsidRPr="001570EA">
              <w:rPr>
                <w:noProof/>
              </w:rPr>
              <w:t>Table 2</w:t>
            </w:r>
            <w:r w:rsidR="00234C6C" w:rsidRPr="001570EA">
              <w:rPr>
                <w:noProof/>
              </w:rPr>
              <w:noBreakHyphen/>
              <w:t>169</w:t>
            </w:r>
            <w:r w:rsidR="00871632" w:rsidRPr="001570EA">
              <w:rPr>
                <w:rFonts w:cs="Arial"/>
                <w:szCs w:val="18"/>
              </w:rPr>
              <w:fldChar w:fldCharType="end"/>
            </w:r>
            <w:r w:rsidR="00871632" w:rsidRPr="001570EA">
              <w:rPr>
                <w:rFonts w:cs="Arial"/>
                <w:szCs w:val="18"/>
              </w:rPr>
              <w:t xml:space="preserve"> </w:t>
            </w:r>
          </w:p>
        </w:tc>
        <w:tc>
          <w:tcPr>
            <w:tcW w:w="900" w:type="dxa"/>
          </w:tcPr>
          <w:p w14:paraId="68B90141" w14:textId="77777777" w:rsidR="00E44576" w:rsidRPr="001570EA" w:rsidRDefault="00E44576">
            <w:pPr>
              <w:tabs>
                <w:tab w:val="left" w:pos="720"/>
              </w:tabs>
              <w:spacing w:before="60" w:after="60"/>
              <w:jc w:val="center"/>
              <w:rPr>
                <w:sz w:val="18"/>
                <w:szCs w:val="18"/>
              </w:rPr>
            </w:pPr>
            <w:r w:rsidRPr="001570EA">
              <w:rPr>
                <w:sz w:val="18"/>
                <w:szCs w:val="18"/>
              </w:rPr>
              <w:t>6,9</w:t>
            </w:r>
          </w:p>
        </w:tc>
      </w:tr>
      <w:tr w:rsidR="00E44576" w:rsidRPr="001570EA" w14:paraId="1C7BEE87" w14:textId="77777777">
        <w:trPr>
          <w:trHeight w:val="374"/>
        </w:trPr>
        <w:tc>
          <w:tcPr>
            <w:tcW w:w="4249" w:type="dxa"/>
          </w:tcPr>
          <w:p w14:paraId="5B3D31FE" w14:textId="77777777" w:rsidR="00E44576" w:rsidRPr="001570EA" w:rsidRDefault="00E44576">
            <w:pPr>
              <w:tabs>
                <w:tab w:val="left" w:pos="720"/>
              </w:tabs>
              <w:spacing w:before="60" w:after="60"/>
              <w:ind w:left="720" w:hanging="720"/>
              <w:rPr>
                <w:i/>
                <w:sz w:val="18"/>
                <w:szCs w:val="18"/>
              </w:rPr>
            </w:pPr>
            <w:r w:rsidRPr="001570EA">
              <w:rPr>
                <w:i/>
                <w:sz w:val="18"/>
                <w:szCs w:val="18"/>
              </w:rPr>
              <w:t xml:space="preserve">HOU, </w:t>
            </w:r>
            <w:r w:rsidRPr="001570EA">
              <w:rPr>
                <w:iCs/>
                <w:sz w:val="18"/>
                <w:szCs w:val="18"/>
              </w:rPr>
              <w:t>Hours of operation per day</w:t>
            </w:r>
          </w:p>
        </w:tc>
        <w:tc>
          <w:tcPr>
            <w:tcW w:w="1339" w:type="dxa"/>
          </w:tcPr>
          <w:p w14:paraId="55B3BD08" w14:textId="77777777" w:rsidR="00E44576" w:rsidRPr="001570EA" w:rsidRDefault="003B5E04">
            <w:pPr>
              <w:tabs>
                <w:tab w:val="left" w:pos="720"/>
              </w:tabs>
              <w:spacing w:before="60" w:after="60"/>
              <w:jc w:val="center"/>
              <w:rPr>
                <w:i/>
                <w:sz w:val="18"/>
                <w:szCs w:val="18"/>
              </w:rPr>
            </w:pPr>
            <m:oMathPara>
              <m:oMath>
                <m:f>
                  <m:fPr>
                    <m:ctrlPr>
                      <w:rPr>
                        <w:rFonts w:ascii="Cambria Math" w:hAnsi="Cambria Math" w:cs="Arial"/>
                        <w:sz w:val="18"/>
                        <w:szCs w:val="18"/>
                      </w:rPr>
                    </m:ctrlPr>
                  </m:fPr>
                  <m:num>
                    <m:r>
                      <w:rPr>
                        <w:rFonts w:ascii="Cambria Math" w:hAnsi="Cambria Math" w:cs="Arial"/>
                        <w:sz w:val="18"/>
                        <w:szCs w:val="18"/>
                      </w:rPr>
                      <m:t>hours</m:t>
                    </m:r>
                  </m:num>
                  <m:den>
                    <m:r>
                      <w:rPr>
                        <w:rFonts w:ascii="Cambria Math" w:hAnsi="Cambria Math" w:cs="Arial"/>
                        <w:sz w:val="18"/>
                        <w:szCs w:val="18"/>
                      </w:rPr>
                      <m:t>day</m:t>
                    </m:r>
                  </m:den>
                </m:f>
              </m:oMath>
            </m:oMathPara>
          </w:p>
        </w:tc>
        <w:tc>
          <w:tcPr>
            <w:tcW w:w="2039" w:type="dxa"/>
          </w:tcPr>
          <w:p w14:paraId="6B67BAFD" w14:textId="77777777" w:rsidR="00E44576" w:rsidRPr="001570EA" w:rsidRDefault="00E44576">
            <w:pPr>
              <w:pStyle w:val="TableCell"/>
              <w:spacing w:before="60" w:after="60"/>
              <w:jc w:val="center"/>
              <w:rPr>
                <w:szCs w:val="18"/>
              </w:rPr>
            </w:pPr>
            <w:r w:rsidRPr="001570EA">
              <w:rPr>
                <w:szCs w:val="18"/>
              </w:rPr>
              <w:t>EDC Data Gathering</w:t>
            </w:r>
          </w:p>
          <w:p w14:paraId="057D6902" w14:textId="77777777" w:rsidR="00E44576" w:rsidRPr="001570EA" w:rsidRDefault="00E44576">
            <w:pPr>
              <w:pStyle w:val="TableCell"/>
              <w:spacing w:before="60" w:after="60"/>
              <w:jc w:val="center"/>
              <w:rPr>
                <w:szCs w:val="18"/>
              </w:rPr>
            </w:pPr>
            <w:r w:rsidRPr="001570EA">
              <w:rPr>
                <w:szCs w:val="18"/>
              </w:rPr>
              <w:t>Default=24</w:t>
            </w:r>
          </w:p>
        </w:tc>
        <w:tc>
          <w:tcPr>
            <w:tcW w:w="900" w:type="dxa"/>
          </w:tcPr>
          <w:p w14:paraId="37323730" w14:textId="77777777" w:rsidR="00E44576" w:rsidRPr="001570EA" w:rsidRDefault="00E44576">
            <w:pPr>
              <w:tabs>
                <w:tab w:val="left" w:pos="720"/>
              </w:tabs>
              <w:spacing w:before="60" w:after="60"/>
              <w:jc w:val="center"/>
              <w:rPr>
                <w:sz w:val="18"/>
                <w:szCs w:val="18"/>
              </w:rPr>
            </w:pPr>
            <w:r w:rsidRPr="001570EA">
              <w:rPr>
                <w:sz w:val="18"/>
                <w:szCs w:val="18"/>
              </w:rPr>
              <w:t>2</w:t>
            </w:r>
          </w:p>
        </w:tc>
      </w:tr>
      <w:tr w:rsidR="00E44576" w:rsidRPr="001570EA" w14:paraId="273A6438" w14:textId="77777777">
        <w:trPr>
          <w:trHeight w:val="374"/>
        </w:trPr>
        <w:tc>
          <w:tcPr>
            <w:tcW w:w="4249" w:type="dxa"/>
          </w:tcPr>
          <w:p w14:paraId="597A6C76" w14:textId="77777777" w:rsidR="00E44576" w:rsidRPr="001570EA" w:rsidRDefault="00E44576">
            <w:pPr>
              <w:tabs>
                <w:tab w:val="left" w:pos="720"/>
              </w:tabs>
              <w:spacing w:before="60" w:after="60"/>
              <w:rPr>
                <w:sz w:val="18"/>
                <w:szCs w:val="18"/>
              </w:rPr>
            </w:pPr>
            <w:r w:rsidRPr="001570EA">
              <w:rPr>
                <w:i/>
                <w:sz w:val="18"/>
                <w:szCs w:val="18"/>
              </w:rPr>
              <w:t>CF</w:t>
            </w:r>
            <w:r w:rsidRPr="001570EA">
              <w:rPr>
                <w:i/>
                <w:sz w:val="18"/>
                <w:szCs w:val="18"/>
                <w:vertAlign w:val="subscript"/>
              </w:rPr>
              <w:t>summer</w:t>
            </w:r>
            <w:r w:rsidRPr="001570EA">
              <w:rPr>
                <w:i/>
                <w:sz w:val="18"/>
                <w:szCs w:val="18"/>
              </w:rPr>
              <w:t xml:space="preserve">, </w:t>
            </w:r>
            <w:r w:rsidRPr="001570EA">
              <w:rPr>
                <w:sz w:val="18"/>
                <w:szCs w:val="18"/>
              </w:rPr>
              <w:t>Coincidence factor</w:t>
            </w:r>
          </w:p>
        </w:tc>
        <w:tc>
          <w:tcPr>
            <w:tcW w:w="1339" w:type="dxa"/>
          </w:tcPr>
          <w:p w14:paraId="489FC648" w14:textId="77777777" w:rsidR="00E44576" w:rsidRPr="001570EA" w:rsidRDefault="00E44576">
            <w:pPr>
              <w:tabs>
                <w:tab w:val="left" w:pos="720"/>
              </w:tabs>
              <w:spacing w:before="60" w:after="60"/>
              <w:jc w:val="center"/>
              <w:rPr>
                <w:i/>
                <w:iCs/>
                <w:sz w:val="18"/>
                <w:szCs w:val="18"/>
              </w:rPr>
            </w:pPr>
            <w:r w:rsidRPr="001570EA">
              <w:rPr>
                <w:i/>
                <w:iCs/>
                <w:sz w:val="18"/>
                <w:szCs w:val="18"/>
              </w:rPr>
              <w:t>None</w:t>
            </w:r>
          </w:p>
        </w:tc>
        <w:tc>
          <w:tcPr>
            <w:tcW w:w="2039" w:type="dxa"/>
          </w:tcPr>
          <w:p w14:paraId="348682B6" w14:textId="77777777" w:rsidR="00E44576" w:rsidRPr="001570EA" w:rsidRDefault="00E44576">
            <w:pPr>
              <w:tabs>
                <w:tab w:val="left" w:pos="720"/>
              </w:tabs>
              <w:spacing w:before="60" w:after="60"/>
              <w:jc w:val="center"/>
              <w:rPr>
                <w:sz w:val="18"/>
                <w:szCs w:val="18"/>
              </w:rPr>
            </w:pPr>
            <w:r w:rsidRPr="001570EA">
              <w:rPr>
                <w:sz w:val="18"/>
                <w:szCs w:val="18"/>
              </w:rPr>
              <w:t>EDC Data Gathering</w:t>
            </w:r>
          </w:p>
          <w:p w14:paraId="27514FB1" w14:textId="1B2718A6" w:rsidR="00E44576" w:rsidRPr="001570EA" w:rsidRDefault="00E44576">
            <w:pPr>
              <w:tabs>
                <w:tab w:val="left" w:pos="720"/>
              </w:tabs>
              <w:spacing w:before="60" w:after="60"/>
              <w:jc w:val="center"/>
              <w:rPr>
                <w:sz w:val="18"/>
                <w:szCs w:val="18"/>
              </w:rPr>
            </w:pPr>
            <w:r w:rsidRPr="001570EA">
              <w:rPr>
                <w:rFonts w:cs="Arial"/>
                <w:sz w:val="18"/>
                <w:szCs w:val="18"/>
              </w:rPr>
              <w:t>Default:</w:t>
            </w:r>
            <w:r w:rsidR="00871632" w:rsidRPr="001570EA">
              <w:rPr>
                <w:rFonts w:cs="Arial"/>
                <w:sz w:val="18"/>
                <w:szCs w:val="18"/>
              </w:rPr>
              <w:t xml:space="preserve"> </w:t>
            </w:r>
            <w:r w:rsidR="00871632" w:rsidRPr="001570EA">
              <w:rPr>
                <w:rFonts w:cs="Arial"/>
                <w:sz w:val="18"/>
                <w:szCs w:val="18"/>
              </w:rPr>
              <w:fldChar w:fldCharType="begin"/>
            </w:r>
            <w:r w:rsidR="00871632" w:rsidRPr="001570EA">
              <w:rPr>
                <w:rFonts w:cs="Arial"/>
                <w:sz w:val="18"/>
                <w:szCs w:val="18"/>
              </w:rPr>
              <w:instrText xml:space="preserve"> REF _Ref163983812 \h </w:instrText>
            </w:r>
            <w:r w:rsidR="001570EA">
              <w:rPr>
                <w:rFonts w:cs="Arial"/>
                <w:sz w:val="18"/>
                <w:szCs w:val="18"/>
              </w:rPr>
              <w:instrText xml:space="preserve"> \* MERGEFORMAT </w:instrText>
            </w:r>
            <w:r w:rsidR="00871632" w:rsidRPr="001570EA">
              <w:rPr>
                <w:rFonts w:cs="Arial"/>
                <w:sz w:val="18"/>
                <w:szCs w:val="18"/>
              </w:rPr>
            </w:r>
            <w:r w:rsidR="00871632" w:rsidRPr="001570EA">
              <w:rPr>
                <w:rFonts w:cs="Arial"/>
                <w:sz w:val="18"/>
                <w:szCs w:val="18"/>
              </w:rPr>
              <w:fldChar w:fldCharType="separate"/>
            </w:r>
            <w:r w:rsidR="00234C6C" w:rsidRPr="001570EA">
              <w:rPr>
                <w:noProof/>
              </w:rPr>
              <w:t>Table 2</w:t>
            </w:r>
            <w:r w:rsidR="00234C6C" w:rsidRPr="001570EA">
              <w:rPr>
                <w:noProof/>
              </w:rPr>
              <w:noBreakHyphen/>
              <w:t>169</w:t>
            </w:r>
            <w:r w:rsidR="00871632" w:rsidRPr="001570EA">
              <w:rPr>
                <w:rFonts w:cs="Arial"/>
                <w:sz w:val="18"/>
                <w:szCs w:val="18"/>
              </w:rPr>
              <w:fldChar w:fldCharType="end"/>
            </w:r>
          </w:p>
        </w:tc>
        <w:tc>
          <w:tcPr>
            <w:tcW w:w="900" w:type="dxa"/>
          </w:tcPr>
          <w:p w14:paraId="756B0F64" w14:textId="77777777" w:rsidR="00E44576" w:rsidRPr="001570EA" w:rsidRDefault="00E44576">
            <w:pPr>
              <w:tabs>
                <w:tab w:val="left" w:pos="720"/>
              </w:tabs>
              <w:spacing w:before="60" w:after="60"/>
              <w:jc w:val="center"/>
              <w:rPr>
                <w:sz w:val="18"/>
                <w:szCs w:val="18"/>
              </w:rPr>
            </w:pPr>
            <w:r w:rsidRPr="001570EA">
              <w:rPr>
                <w:sz w:val="18"/>
                <w:szCs w:val="18"/>
              </w:rPr>
              <w:t>7</w:t>
            </w:r>
          </w:p>
        </w:tc>
      </w:tr>
    </w:tbl>
    <w:p w14:paraId="0623799C" w14:textId="77777777" w:rsidR="00E44576" w:rsidRPr="001570EA" w:rsidRDefault="00E44576" w:rsidP="00E44576"/>
    <w:p w14:paraId="19FD112B" w14:textId="45E969E7" w:rsidR="00E44576" w:rsidRPr="001570EA" w:rsidRDefault="00871632" w:rsidP="00E44576">
      <w:r w:rsidRPr="001570EA">
        <w:fldChar w:fldCharType="begin"/>
      </w:r>
      <w:r w:rsidRPr="001570EA">
        <w:instrText xml:space="preserve"> REF _Ref163983944 \h </w:instrText>
      </w:r>
      <w:r w:rsidR="001570EA">
        <w:instrText xml:space="preserve"> \* MERGEFORMAT </w:instrText>
      </w:r>
      <w:r w:rsidRPr="001570EA">
        <w:fldChar w:fldCharType="separate"/>
      </w:r>
      <w:r w:rsidR="00234C6C" w:rsidRPr="001570EA">
        <w:rPr>
          <w:noProof/>
        </w:rPr>
        <w:t>Table 2</w:t>
      </w:r>
      <w:r w:rsidR="00234C6C" w:rsidRPr="001570EA">
        <w:rPr>
          <w:noProof/>
        </w:rPr>
        <w:noBreakHyphen/>
        <w:t>168</w:t>
      </w:r>
      <w:r w:rsidRPr="001570EA">
        <w:fldChar w:fldCharType="end"/>
      </w:r>
      <w:r w:rsidRPr="001570EA">
        <w:t xml:space="preserve"> </w:t>
      </w:r>
      <w:r w:rsidR="00E44576" w:rsidRPr="001570EA">
        <w:t>shows the federal standard minimum efficiency (effective as of July 19, 2021), alongside the ENERGY STAR v3.1 specifications (effective July 19, 2021).</w:t>
      </w:r>
    </w:p>
    <w:p w14:paraId="1C885AA4" w14:textId="77777777" w:rsidR="00E44576" w:rsidRPr="001570EA" w:rsidRDefault="00E44576" w:rsidP="00E44576">
      <w:pPr>
        <w:tabs>
          <w:tab w:val="left" w:pos="720"/>
        </w:tabs>
        <w:rPr>
          <w:rFonts w:cs="Arial"/>
        </w:rPr>
      </w:pPr>
    </w:p>
    <w:p w14:paraId="360A0C03" w14:textId="3E6FE719" w:rsidR="00E44576" w:rsidRPr="001570EA" w:rsidRDefault="00E44576" w:rsidP="00E44576">
      <w:pPr>
        <w:pStyle w:val="Caption"/>
        <w:rPr>
          <w:noProof/>
        </w:rPr>
      </w:pPr>
      <w:bookmarkStart w:id="1260" w:name="_Ref163983944"/>
      <w:r w:rsidRPr="001570EA">
        <w:rPr>
          <w:noProof/>
        </w:rPr>
        <w:t xml:space="preserve">Table </w:t>
      </w:r>
      <w:r w:rsidR="002E093A" w:rsidRPr="001570EA">
        <w:rPr>
          <w:noProof/>
        </w:rPr>
        <w:fldChar w:fldCharType="begin"/>
      </w:r>
      <w:r w:rsidR="002E093A" w:rsidRPr="001570EA">
        <w:rPr>
          <w:noProof/>
        </w:rPr>
        <w:instrText xml:space="preserve"> STYLEREF 1 \s </w:instrText>
      </w:r>
      <w:r w:rsidR="002E093A" w:rsidRPr="001570EA">
        <w:rPr>
          <w:noProof/>
        </w:rPr>
        <w:fldChar w:fldCharType="separate"/>
      </w:r>
      <w:r w:rsidR="002E093A" w:rsidRPr="001570EA">
        <w:rPr>
          <w:noProof/>
        </w:rPr>
        <w:t>2</w:t>
      </w:r>
      <w:r w:rsidR="002E093A" w:rsidRPr="001570EA">
        <w:rPr>
          <w:noProof/>
        </w:rPr>
        <w:fldChar w:fldCharType="end"/>
      </w:r>
      <w:r w:rsidR="002E093A" w:rsidRPr="001570EA">
        <w:rPr>
          <w:noProof/>
        </w:rPr>
        <w:noBreakHyphen/>
      </w:r>
      <w:r w:rsidR="002E093A" w:rsidRPr="001570EA">
        <w:rPr>
          <w:noProof/>
        </w:rPr>
        <w:fldChar w:fldCharType="begin"/>
      </w:r>
      <w:r w:rsidR="002E093A" w:rsidRPr="001570EA">
        <w:rPr>
          <w:noProof/>
        </w:rPr>
        <w:instrText xml:space="preserve"> SEQ Table \* ARABIC \s 1 </w:instrText>
      </w:r>
      <w:r w:rsidR="002E093A" w:rsidRPr="001570EA">
        <w:rPr>
          <w:noProof/>
        </w:rPr>
        <w:fldChar w:fldCharType="separate"/>
      </w:r>
      <w:r w:rsidR="002E093A" w:rsidRPr="001570EA">
        <w:rPr>
          <w:noProof/>
        </w:rPr>
        <w:t>168</w:t>
      </w:r>
      <w:r w:rsidR="002E093A" w:rsidRPr="001570EA">
        <w:rPr>
          <w:noProof/>
        </w:rPr>
        <w:fldChar w:fldCharType="end"/>
      </w:r>
      <w:bookmarkEnd w:id="1260"/>
      <w:r w:rsidRPr="001570EA">
        <w:rPr>
          <w:noProof/>
        </w:rPr>
        <w:t>: Pool Pump Weighted Energy Factor Requirements and Specifications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1530"/>
        <w:gridCol w:w="1861"/>
        <w:gridCol w:w="1773"/>
      </w:tblGrid>
      <w:tr w:rsidR="00E44576" w:rsidRPr="001570EA" w14:paraId="1A11EE4C" w14:textId="77777777">
        <w:trPr>
          <w:trHeight w:val="374"/>
        </w:trPr>
        <w:tc>
          <w:tcPr>
            <w:tcW w:w="2407" w:type="dxa"/>
            <w:shd w:val="clear" w:color="auto" w:fill="BFBFBF" w:themeFill="background1" w:themeFillShade="BF"/>
          </w:tcPr>
          <w:p w14:paraId="3A7B9F0A" w14:textId="77777777" w:rsidR="00E44576" w:rsidRPr="001570EA" w:rsidRDefault="00E44576">
            <w:pPr>
              <w:pStyle w:val="TableCell"/>
              <w:spacing w:before="60" w:after="60"/>
              <w:jc w:val="center"/>
              <w:rPr>
                <w:rFonts w:cs="Arial"/>
                <w:b/>
                <w:bCs/>
                <w:szCs w:val="18"/>
              </w:rPr>
            </w:pPr>
            <w:r w:rsidRPr="001570EA">
              <w:rPr>
                <w:rFonts w:cs="Arial"/>
                <w:b/>
                <w:bCs/>
                <w:szCs w:val="18"/>
              </w:rPr>
              <w:t>Pump Type</w:t>
            </w:r>
          </w:p>
        </w:tc>
        <w:tc>
          <w:tcPr>
            <w:tcW w:w="1530" w:type="dxa"/>
            <w:shd w:val="clear" w:color="auto" w:fill="BFBFBF" w:themeFill="background1" w:themeFillShade="BF"/>
          </w:tcPr>
          <w:p w14:paraId="33911534" w14:textId="77777777" w:rsidR="00E44576" w:rsidRPr="001570EA" w:rsidRDefault="00E44576">
            <w:pPr>
              <w:pStyle w:val="TableCell"/>
              <w:spacing w:before="60" w:after="60"/>
              <w:jc w:val="center"/>
              <w:rPr>
                <w:b/>
              </w:rPr>
            </w:pPr>
            <w:r w:rsidRPr="001570EA">
              <w:rPr>
                <w:rFonts w:cs="Arial"/>
                <w:b/>
                <w:bCs/>
                <w:szCs w:val="18"/>
              </w:rPr>
              <w:t>Nameplate Power (hhp)</w:t>
            </w:r>
          </w:p>
        </w:tc>
        <w:tc>
          <w:tcPr>
            <w:tcW w:w="1861" w:type="dxa"/>
            <w:shd w:val="clear" w:color="auto" w:fill="BFBFBF" w:themeFill="background1" w:themeFillShade="BF"/>
          </w:tcPr>
          <w:p w14:paraId="5FE74C2C" w14:textId="20848D4D" w:rsidR="00E44576" w:rsidRPr="001570EA" w:rsidRDefault="00E44576">
            <w:pPr>
              <w:pStyle w:val="TableCell"/>
              <w:spacing w:before="60" w:after="60"/>
              <w:jc w:val="center"/>
              <w:rPr>
                <w:rFonts w:cs="Arial"/>
                <w:b/>
                <w:i/>
                <w:szCs w:val="18"/>
              </w:rPr>
            </w:pPr>
            <w:r w:rsidRPr="001570EA">
              <w:rPr>
                <w:rFonts w:cs="Arial"/>
                <w:b/>
                <w:bCs/>
                <w:szCs w:val="18"/>
              </w:rPr>
              <w:t>Federal Minimum</w:t>
            </w:r>
            <w:r w:rsidR="00F23F07" w:rsidRPr="001570EA">
              <w:rPr>
                <w:rFonts w:cs="Arial"/>
                <w:b/>
                <w:bCs/>
                <w:szCs w:val="18"/>
              </w:rPr>
              <w:t xml:space="preserve"> </w:t>
            </w:r>
            <w:r w:rsidR="00F34FEC" w:rsidRPr="001570EA">
              <w:rPr>
                <w:rFonts w:cs="Arial"/>
                <w:b/>
                <w:bCs/>
                <w:szCs w:val="18"/>
              </w:rPr>
              <w:t>(</w:t>
            </w:r>
            <w:r w:rsidR="00F23F07" w:rsidRPr="001570EA">
              <w:rPr>
                <w:rFonts w:cs="Arial"/>
                <w:b/>
                <w:bCs/>
                <w:szCs w:val="18"/>
              </w:rPr>
              <w:t>WEF</w:t>
            </w:r>
            <w:r w:rsidR="00F34FEC" w:rsidRPr="001570EA">
              <w:rPr>
                <w:rFonts w:cs="Arial"/>
                <w:b/>
                <w:bCs/>
                <w:szCs w:val="18"/>
                <w:vertAlign w:val="subscript"/>
              </w:rPr>
              <w:t>base</w:t>
            </w:r>
            <w:r w:rsidR="00F34FEC" w:rsidRPr="001570EA">
              <w:rPr>
                <w:rFonts w:cs="Arial"/>
                <w:b/>
                <w:bCs/>
                <w:szCs w:val="18"/>
              </w:rPr>
              <w:t>)</w:t>
            </w:r>
            <w:r w:rsidRPr="001570EA">
              <w:rPr>
                <w:rFonts w:cs="Arial"/>
                <w:b/>
                <w:bCs/>
                <w:szCs w:val="18"/>
                <w:vertAlign w:val="superscript"/>
              </w:rPr>
              <w:t>Source 3</w:t>
            </w:r>
          </w:p>
        </w:tc>
        <w:tc>
          <w:tcPr>
            <w:tcW w:w="1773" w:type="dxa"/>
            <w:shd w:val="clear" w:color="auto" w:fill="BFBFBF" w:themeFill="background1" w:themeFillShade="BF"/>
          </w:tcPr>
          <w:p w14:paraId="47621D7C" w14:textId="182D98D8" w:rsidR="00E44576" w:rsidRPr="001570EA" w:rsidRDefault="00E44576">
            <w:pPr>
              <w:pStyle w:val="TableCell"/>
              <w:spacing w:before="60" w:after="60"/>
              <w:jc w:val="center"/>
              <w:rPr>
                <w:rFonts w:cs="Arial"/>
                <w:b/>
                <w:bCs/>
                <w:i/>
                <w:iCs/>
                <w:szCs w:val="18"/>
              </w:rPr>
            </w:pPr>
            <w:r w:rsidRPr="001570EA">
              <w:rPr>
                <w:rFonts w:cs="Arial"/>
                <w:b/>
                <w:bCs/>
                <w:szCs w:val="18"/>
              </w:rPr>
              <w:t xml:space="preserve">ENERGY STAR </w:t>
            </w:r>
            <w:r w:rsidR="00F34FEC" w:rsidRPr="001570EA">
              <w:rPr>
                <w:rFonts w:cs="Arial"/>
                <w:b/>
                <w:bCs/>
                <w:szCs w:val="18"/>
              </w:rPr>
              <w:t>(</w:t>
            </w:r>
            <w:r w:rsidR="00F23F07" w:rsidRPr="001570EA">
              <w:rPr>
                <w:rFonts w:cs="Arial"/>
                <w:b/>
                <w:bCs/>
                <w:szCs w:val="18"/>
              </w:rPr>
              <w:t>WEF</w:t>
            </w:r>
            <w:r w:rsidR="00F34FEC" w:rsidRPr="001570EA">
              <w:rPr>
                <w:rFonts w:cs="Arial"/>
                <w:b/>
                <w:bCs/>
                <w:szCs w:val="18"/>
                <w:vertAlign w:val="subscript"/>
              </w:rPr>
              <w:t>ee</w:t>
            </w:r>
            <w:r w:rsidR="00F34FEC" w:rsidRPr="001570EA">
              <w:rPr>
                <w:rFonts w:cs="Arial"/>
                <w:b/>
                <w:bCs/>
                <w:szCs w:val="18"/>
              </w:rPr>
              <w:t>)</w:t>
            </w:r>
            <w:r w:rsidRPr="001570EA">
              <w:rPr>
                <w:rFonts w:cs="Arial"/>
                <w:b/>
                <w:bCs/>
                <w:szCs w:val="18"/>
                <w:vertAlign w:val="superscript"/>
              </w:rPr>
              <w:t>Source 4</w:t>
            </w:r>
          </w:p>
        </w:tc>
      </w:tr>
      <w:tr w:rsidR="00E44576" w:rsidRPr="001570EA" w14:paraId="1E31B223" w14:textId="77777777">
        <w:trPr>
          <w:trHeight w:val="374"/>
        </w:trPr>
        <w:tc>
          <w:tcPr>
            <w:tcW w:w="2407" w:type="dxa"/>
            <w:vMerge w:val="restart"/>
            <w:vAlign w:val="center"/>
          </w:tcPr>
          <w:p w14:paraId="3CEFA1B1" w14:textId="77777777" w:rsidR="00E44576" w:rsidRPr="001570EA" w:rsidRDefault="00E44576">
            <w:pPr>
              <w:pStyle w:val="TableCell"/>
              <w:spacing w:before="60" w:after="60"/>
              <w:jc w:val="center"/>
              <w:rPr>
                <w:rFonts w:cs="Arial"/>
                <w:szCs w:val="18"/>
              </w:rPr>
            </w:pPr>
            <w:r w:rsidRPr="001570EA">
              <w:rPr>
                <w:rFonts w:cs="Arial"/>
                <w:szCs w:val="18"/>
              </w:rPr>
              <w:t>Self-Priming</w:t>
            </w:r>
            <w:r w:rsidRPr="001570EA">
              <w:rPr>
                <w:rFonts w:cs="Arial"/>
                <w:szCs w:val="18"/>
              </w:rPr>
              <w:br/>
              <w:t>(In-ground)</w:t>
            </w:r>
          </w:p>
        </w:tc>
        <w:tc>
          <w:tcPr>
            <w:tcW w:w="1530" w:type="dxa"/>
            <w:vAlign w:val="center"/>
          </w:tcPr>
          <w:p w14:paraId="501AD319" w14:textId="77777777" w:rsidR="00E44576" w:rsidRPr="001570EA" w:rsidRDefault="00E44576">
            <w:pPr>
              <w:pStyle w:val="TableCell"/>
              <w:spacing w:before="60" w:after="60"/>
              <w:jc w:val="center"/>
            </w:pPr>
            <w:r w:rsidRPr="001570EA">
              <w:rPr>
                <w:rFonts w:cs="Arial"/>
                <w:szCs w:val="18"/>
              </w:rPr>
              <w:t>≤0.130</w:t>
            </w:r>
          </w:p>
        </w:tc>
        <w:tc>
          <w:tcPr>
            <w:tcW w:w="1861" w:type="dxa"/>
          </w:tcPr>
          <w:p w14:paraId="30215115" w14:textId="77777777" w:rsidR="00E44576" w:rsidRPr="001570EA" w:rsidRDefault="00E44576">
            <w:pPr>
              <w:pStyle w:val="TableCell"/>
              <w:spacing w:before="60" w:after="60"/>
              <w:jc w:val="center"/>
            </w:pPr>
            <w:r w:rsidRPr="001570EA">
              <w:t>5.55</w:t>
            </w:r>
          </w:p>
        </w:tc>
        <w:tc>
          <w:tcPr>
            <w:tcW w:w="1773" w:type="dxa"/>
          </w:tcPr>
          <w:p w14:paraId="093054CB" w14:textId="77777777" w:rsidR="00E44576" w:rsidRPr="001570EA" w:rsidRDefault="00E44576">
            <w:pPr>
              <w:pStyle w:val="TableCell"/>
              <w:spacing w:before="60" w:after="60"/>
              <w:jc w:val="center"/>
            </w:pPr>
            <w:r w:rsidRPr="001570EA">
              <w:t>13.40</w:t>
            </w:r>
          </w:p>
        </w:tc>
      </w:tr>
      <w:tr w:rsidR="00E44576" w:rsidRPr="001570EA" w14:paraId="7669EF4D" w14:textId="77777777">
        <w:trPr>
          <w:trHeight w:val="374"/>
        </w:trPr>
        <w:tc>
          <w:tcPr>
            <w:tcW w:w="2407" w:type="dxa"/>
            <w:vMerge/>
            <w:vAlign w:val="center"/>
          </w:tcPr>
          <w:p w14:paraId="738B99A4" w14:textId="77777777" w:rsidR="00E44576" w:rsidRPr="001570EA" w:rsidRDefault="00E44576">
            <w:pPr>
              <w:pStyle w:val="TableCell"/>
              <w:spacing w:before="60" w:after="60"/>
              <w:jc w:val="center"/>
              <w:rPr>
                <w:rFonts w:cs="Arial"/>
                <w:szCs w:val="18"/>
              </w:rPr>
            </w:pPr>
          </w:p>
        </w:tc>
        <w:tc>
          <w:tcPr>
            <w:tcW w:w="1530" w:type="dxa"/>
            <w:vAlign w:val="center"/>
          </w:tcPr>
          <w:p w14:paraId="4D9219DF" w14:textId="77777777" w:rsidR="00E44576" w:rsidRPr="001570EA" w:rsidRDefault="00E44576">
            <w:pPr>
              <w:pStyle w:val="TableCell"/>
              <w:spacing w:before="60" w:after="60"/>
              <w:jc w:val="center"/>
            </w:pPr>
            <w:r w:rsidRPr="001570EA">
              <w:rPr>
                <w:rFonts w:cs="Arial"/>
                <w:szCs w:val="18"/>
              </w:rPr>
              <w:t>0.130–0.711</w:t>
            </w:r>
          </w:p>
        </w:tc>
        <w:tc>
          <w:tcPr>
            <w:tcW w:w="1861" w:type="dxa"/>
          </w:tcPr>
          <w:p w14:paraId="78F74C10" w14:textId="77777777" w:rsidR="00E44576" w:rsidRPr="001570EA" w:rsidRDefault="00E44576">
            <w:pPr>
              <w:pStyle w:val="TableCell"/>
              <w:spacing w:before="60" w:after="60"/>
              <w:jc w:val="center"/>
            </w:pPr>
            <w:r w:rsidRPr="001570EA">
              <w:t>-1.30×ln(hhp)+2.90</w:t>
            </w:r>
          </w:p>
        </w:tc>
        <w:tc>
          <w:tcPr>
            <w:tcW w:w="1773" w:type="dxa"/>
          </w:tcPr>
          <w:p w14:paraId="422DE9AA" w14:textId="77777777" w:rsidR="00E44576" w:rsidRPr="001570EA" w:rsidRDefault="00E44576">
            <w:pPr>
              <w:pStyle w:val="TableCell"/>
              <w:spacing w:before="60" w:after="60"/>
              <w:jc w:val="center"/>
            </w:pPr>
            <w:r w:rsidRPr="001570EA">
              <w:t>-2.45×ln(hhp)+8.40</w:t>
            </w:r>
          </w:p>
        </w:tc>
      </w:tr>
      <w:tr w:rsidR="00E44576" w:rsidRPr="001570EA" w14:paraId="1615AEA9" w14:textId="77777777">
        <w:trPr>
          <w:trHeight w:val="374"/>
        </w:trPr>
        <w:tc>
          <w:tcPr>
            <w:tcW w:w="2407" w:type="dxa"/>
            <w:vMerge/>
            <w:vAlign w:val="center"/>
          </w:tcPr>
          <w:p w14:paraId="590E674A" w14:textId="77777777" w:rsidR="00E44576" w:rsidRPr="001570EA" w:rsidRDefault="00E44576">
            <w:pPr>
              <w:pStyle w:val="TableCell"/>
              <w:spacing w:before="60" w:after="60"/>
              <w:jc w:val="center"/>
              <w:rPr>
                <w:rFonts w:cs="Arial"/>
                <w:szCs w:val="18"/>
              </w:rPr>
            </w:pPr>
          </w:p>
        </w:tc>
        <w:tc>
          <w:tcPr>
            <w:tcW w:w="1530" w:type="dxa"/>
            <w:vAlign w:val="center"/>
          </w:tcPr>
          <w:p w14:paraId="189D67B7" w14:textId="77777777" w:rsidR="00E44576" w:rsidRPr="001570EA" w:rsidRDefault="00E44576">
            <w:pPr>
              <w:pStyle w:val="TableCell"/>
              <w:spacing w:before="60" w:after="60"/>
              <w:jc w:val="center"/>
            </w:pPr>
            <w:r w:rsidRPr="001570EA">
              <w:rPr>
                <w:rFonts w:cs="Arial"/>
                <w:szCs w:val="18"/>
              </w:rPr>
              <w:t>0.712-2.500</w:t>
            </w:r>
          </w:p>
        </w:tc>
        <w:tc>
          <w:tcPr>
            <w:tcW w:w="1861" w:type="dxa"/>
          </w:tcPr>
          <w:p w14:paraId="69A0852F" w14:textId="77777777" w:rsidR="00E44576" w:rsidRPr="001570EA" w:rsidRDefault="00E44576">
            <w:pPr>
              <w:pStyle w:val="TableCell"/>
              <w:spacing w:before="60" w:after="60"/>
              <w:jc w:val="center"/>
            </w:pPr>
            <w:r w:rsidRPr="001570EA">
              <w:t>-2.30×ln(hhp)+6.59</w:t>
            </w:r>
          </w:p>
        </w:tc>
        <w:tc>
          <w:tcPr>
            <w:tcW w:w="1773" w:type="dxa"/>
          </w:tcPr>
          <w:p w14:paraId="4E2254A2" w14:textId="77777777" w:rsidR="00E44576" w:rsidRPr="001570EA" w:rsidRDefault="00E44576">
            <w:pPr>
              <w:pStyle w:val="TableCell"/>
              <w:spacing w:before="60" w:after="60"/>
              <w:jc w:val="center"/>
            </w:pPr>
            <w:r w:rsidRPr="001570EA">
              <w:t>-2.45×ln(hhp)+8.40</w:t>
            </w:r>
          </w:p>
        </w:tc>
      </w:tr>
      <w:tr w:rsidR="00E44576" w:rsidRPr="001570EA" w14:paraId="32C62B6D" w14:textId="77777777">
        <w:trPr>
          <w:trHeight w:val="374"/>
        </w:trPr>
        <w:tc>
          <w:tcPr>
            <w:tcW w:w="2407" w:type="dxa"/>
            <w:vMerge w:val="restart"/>
            <w:vAlign w:val="center"/>
          </w:tcPr>
          <w:p w14:paraId="58DA3AC5" w14:textId="77777777" w:rsidR="00E44576" w:rsidRPr="001570EA" w:rsidRDefault="00E44576">
            <w:pPr>
              <w:pStyle w:val="TableCell"/>
              <w:spacing w:before="60" w:after="60"/>
              <w:jc w:val="center"/>
              <w:rPr>
                <w:rFonts w:cs="Arial"/>
                <w:szCs w:val="18"/>
              </w:rPr>
            </w:pPr>
            <w:r w:rsidRPr="001570EA">
              <w:rPr>
                <w:rFonts w:cs="Arial"/>
                <w:szCs w:val="18"/>
              </w:rPr>
              <w:t>Non-Self-Priming</w:t>
            </w:r>
            <w:r w:rsidRPr="001570EA">
              <w:rPr>
                <w:rFonts w:cs="Arial"/>
                <w:szCs w:val="18"/>
              </w:rPr>
              <w:br/>
              <w:t>(Above-ground)</w:t>
            </w:r>
          </w:p>
        </w:tc>
        <w:tc>
          <w:tcPr>
            <w:tcW w:w="1530" w:type="dxa"/>
            <w:vAlign w:val="center"/>
          </w:tcPr>
          <w:p w14:paraId="470D8C4E" w14:textId="77777777" w:rsidR="00E44576" w:rsidRPr="001570EA" w:rsidRDefault="00E44576">
            <w:pPr>
              <w:pStyle w:val="TableCell"/>
              <w:spacing w:before="60" w:after="60"/>
              <w:jc w:val="center"/>
            </w:pPr>
            <w:r w:rsidRPr="001570EA">
              <w:rPr>
                <w:rFonts w:cs="Arial"/>
                <w:szCs w:val="18"/>
              </w:rPr>
              <w:t>≤0.130</w:t>
            </w:r>
          </w:p>
        </w:tc>
        <w:tc>
          <w:tcPr>
            <w:tcW w:w="1861" w:type="dxa"/>
          </w:tcPr>
          <w:p w14:paraId="6DCC6606" w14:textId="77777777" w:rsidR="00E44576" w:rsidRPr="001570EA" w:rsidRDefault="00E44576">
            <w:pPr>
              <w:pStyle w:val="TableCell"/>
              <w:spacing w:before="60" w:after="60"/>
              <w:jc w:val="center"/>
            </w:pPr>
            <w:r w:rsidRPr="001570EA">
              <w:t>4.60</w:t>
            </w:r>
          </w:p>
        </w:tc>
        <w:tc>
          <w:tcPr>
            <w:tcW w:w="1773" w:type="dxa"/>
          </w:tcPr>
          <w:p w14:paraId="5572DE47" w14:textId="77777777" w:rsidR="00E44576" w:rsidRPr="001570EA" w:rsidRDefault="00E44576">
            <w:pPr>
              <w:pStyle w:val="TableCell"/>
              <w:spacing w:before="60" w:after="60"/>
              <w:jc w:val="center"/>
            </w:pPr>
            <w:r w:rsidRPr="001570EA">
              <w:t>4.92</w:t>
            </w:r>
          </w:p>
        </w:tc>
      </w:tr>
      <w:tr w:rsidR="00E44576" w:rsidRPr="001570EA" w14:paraId="12E38225" w14:textId="77777777">
        <w:trPr>
          <w:trHeight w:val="374"/>
        </w:trPr>
        <w:tc>
          <w:tcPr>
            <w:tcW w:w="2407" w:type="dxa"/>
            <w:vMerge/>
            <w:vAlign w:val="center"/>
          </w:tcPr>
          <w:p w14:paraId="777CC212" w14:textId="77777777" w:rsidR="00E44576" w:rsidRPr="001570EA" w:rsidRDefault="00E44576">
            <w:pPr>
              <w:pStyle w:val="TableCell"/>
              <w:spacing w:before="60" w:after="60"/>
              <w:jc w:val="center"/>
              <w:rPr>
                <w:rFonts w:cs="Arial"/>
                <w:szCs w:val="18"/>
              </w:rPr>
            </w:pPr>
          </w:p>
        </w:tc>
        <w:tc>
          <w:tcPr>
            <w:tcW w:w="1530" w:type="dxa"/>
            <w:vAlign w:val="center"/>
          </w:tcPr>
          <w:p w14:paraId="082E25B4" w14:textId="77777777" w:rsidR="00E44576" w:rsidRPr="001570EA" w:rsidRDefault="00E44576">
            <w:pPr>
              <w:pStyle w:val="TableCell"/>
              <w:spacing w:before="60" w:after="60"/>
              <w:jc w:val="center"/>
            </w:pPr>
            <w:r w:rsidRPr="001570EA">
              <w:rPr>
                <w:rFonts w:cs="Arial"/>
                <w:szCs w:val="18"/>
              </w:rPr>
              <w:t>&gt;0.130</w:t>
            </w:r>
          </w:p>
        </w:tc>
        <w:tc>
          <w:tcPr>
            <w:tcW w:w="1861" w:type="dxa"/>
          </w:tcPr>
          <w:p w14:paraId="6D6912ED" w14:textId="77777777" w:rsidR="00E44576" w:rsidRPr="001570EA" w:rsidRDefault="00E44576">
            <w:pPr>
              <w:pStyle w:val="TableCell"/>
              <w:spacing w:before="60" w:after="60"/>
              <w:jc w:val="center"/>
            </w:pPr>
            <w:r w:rsidRPr="001570EA">
              <w:t>-0.85×ln(hhp)+2.87</w:t>
            </w:r>
          </w:p>
        </w:tc>
        <w:tc>
          <w:tcPr>
            <w:tcW w:w="1773" w:type="dxa"/>
          </w:tcPr>
          <w:p w14:paraId="7307F233" w14:textId="77777777" w:rsidR="00E44576" w:rsidRPr="001570EA" w:rsidRDefault="00E44576">
            <w:pPr>
              <w:pStyle w:val="TableCell"/>
              <w:spacing w:before="60" w:after="60"/>
              <w:jc w:val="center"/>
            </w:pPr>
            <w:r w:rsidRPr="001570EA">
              <w:t>-1.00×ln(hhp)+3.85</w:t>
            </w:r>
          </w:p>
        </w:tc>
      </w:tr>
      <w:tr w:rsidR="00E44576" w:rsidRPr="001570EA" w14:paraId="787A3B15" w14:textId="77777777">
        <w:trPr>
          <w:trHeight w:val="374"/>
        </w:trPr>
        <w:tc>
          <w:tcPr>
            <w:tcW w:w="2407" w:type="dxa"/>
            <w:vAlign w:val="center"/>
          </w:tcPr>
          <w:p w14:paraId="3D048368" w14:textId="77777777" w:rsidR="00E44576" w:rsidRPr="001570EA" w:rsidRDefault="00E44576">
            <w:pPr>
              <w:pStyle w:val="TableCell"/>
              <w:spacing w:before="60" w:after="60"/>
              <w:jc w:val="center"/>
              <w:rPr>
                <w:rFonts w:cs="Arial"/>
                <w:szCs w:val="18"/>
              </w:rPr>
            </w:pPr>
            <w:r w:rsidRPr="001570EA">
              <w:rPr>
                <w:rFonts w:cs="Arial"/>
                <w:szCs w:val="18"/>
              </w:rPr>
              <w:t>Pressure Cleaner Booster</w:t>
            </w:r>
          </w:p>
        </w:tc>
        <w:tc>
          <w:tcPr>
            <w:tcW w:w="1530" w:type="dxa"/>
            <w:vAlign w:val="center"/>
          </w:tcPr>
          <w:p w14:paraId="71320EEF" w14:textId="77777777" w:rsidR="00E44576" w:rsidRPr="001570EA" w:rsidRDefault="00E44576">
            <w:pPr>
              <w:pStyle w:val="TableCell"/>
              <w:spacing w:before="60" w:after="60"/>
              <w:jc w:val="center"/>
            </w:pPr>
            <w:r w:rsidRPr="001570EA">
              <w:rPr>
                <w:rFonts w:cs="Arial"/>
                <w:szCs w:val="18"/>
              </w:rPr>
              <w:t>Any</w:t>
            </w:r>
          </w:p>
        </w:tc>
        <w:tc>
          <w:tcPr>
            <w:tcW w:w="1861" w:type="dxa"/>
          </w:tcPr>
          <w:p w14:paraId="2873E515" w14:textId="77777777" w:rsidR="00E44576" w:rsidRPr="001570EA" w:rsidRDefault="00E44576">
            <w:pPr>
              <w:pStyle w:val="TableCell"/>
              <w:spacing w:before="60" w:after="60"/>
              <w:jc w:val="center"/>
            </w:pPr>
            <w:r w:rsidRPr="001570EA">
              <w:t>0.42</w:t>
            </w:r>
          </w:p>
        </w:tc>
        <w:tc>
          <w:tcPr>
            <w:tcW w:w="1773" w:type="dxa"/>
          </w:tcPr>
          <w:p w14:paraId="01280CA8" w14:textId="77777777" w:rsidR="00E44576" w:rsidRPr="001570EA" w:rsidRDefault="00E44576">
            <w:pPr>
              <w:pStyle w:val="TableCell"/>
              <w:spacing w:before="60" w:after="60"/>
              <w:jc w:val="center"/>
            </w:pPr>
            <w:r w:rsidRPr="001570EA">
              <w:t>0.51</w:t>
            </w:r>
          </w:p>
        </w:tc>
      </w:tr>
    </w:tbl>
    <w:p w14:paraId="04397B5C" w14:textId="77777777" w:rsidR="00E44576" w:rsidRPr="001570EA" w:rsidRDefault="00E44576" w:rsidP="00E44576"/>
    <w:p w14:paraId="2C3E38A3" w14:textId="154F0C4E" w:rsidR="00E44576" w:rsidRPr="001570EA" w:rsidRDefault="00E44576" w:rsidP="00E44576">
      <w:pPr>
        <w:pStyle w:val="Caption"/>
        <w:rPr>
          <w:noProof/>
        </w:rPr>
      </w:pPr>
      <w:bookmarkStart w:id="1261" w:name="_Ref163983812"/>
      <w:r w:rsidRPr="001570EA">
        <w:rPr>
          <w:noProof/>
        </w:rPr>
        <w:t xml:space="preserve">Table </w:t>
      </w:r>
      <w:r w:rsidR="002E093A" w:rsidRPr="001570EA">
        <w:rPr>
          <w:noProof/>
        </w:rPr>
        <w:fldChar w:fldCharType="begin"/>
      </w:r>
      <w:r w:rsidR="002E093A" w:rsidRPr="001570EA">
        <w:rPr>
          <w:noProof/>
        </w:rPr>
        <w:instrText xml:space="preserve"> STYLEREF 1 \s </w:instrText>
      </w:r>
      <w:r w:rsidR="002E093A" w:rsidRPr="001570EA">
        <w:rPr>
          <w:noProof/>
        </w:rPr>
        <w:fldChar w:fldCharType="separate"/>
      </w:r>
      <w:r w:rsidR="002E093A" w:rsidRPr="001570EA">
        <w:rPr>
          <w:noProof/>
        </w:rPr>
        <w:t>2</w:t>
      </w:r>
      <w:r w:rsidR="002E093A" w:rsidRPr="001570EA">
        <w:rPr>
          <w:noProof/>
        </w:rPr>
        <w:fldChar w:fldCharType="end"/>
      </w:r>
      <w:r w:rsidR="002E093A" w:rsidRPr="001570EA">
        <w:rPr>
          <w:noProof/>
        </w:rPr>
        <w:noBreakHyphen/>
      </w:r>
      <w:r w:rsidR="002E093A" w:rsidRPr="001570EA">
        <w:rPr>
          <w:noProof/>
        </w:rPr>
        <w:fldChar w:fldCharType="begin"/>
      </w:r>
      <w:r w:rsidR="002E093A" w:rsidRPr="001570EA">
        <w:rPr>
          <w:noProof/>
        </w:rPr>
        <w:instrText xml:space="preserve"> SEQ Table \* ARABIC \s 1 </w:instrText>
      </w:r>
      <w:r w:rsidR="002E093A" w:rsidRPr="001570EA">
        <w:rPr>
          <w:noProof/>
        </w:rPr>
        <w:fldChar w:fldCharType="separate"/>
      </w:r>
      <w:r w:rsidR="002E093A" w:rsidRPr="001570EA">
        <w:rPr>
          <w:noProof/>
        </w:rPr>
        <w:t>169</w:t>
      </w:r>
      <w:r w:rsidR="002E093A" w:rsidRPr="001570EA">
        <w:rPr>
          <w:noProof/>
        </w:rPr>
        <w:fldChar w:fldCharType="end"/>
      </w:r>
      <w:bookmarkEnd w:id="1261"/>
      <w:r w:rsidRPr="001570EA">
        <w:rPr>
          <w:noProof/>
        </w:rPr>
        <w:t>: Default Inputs</w:t>
      </w:r>
    </w:p>
    <w:tbl>
      <w:tblPr>
        <w:tblW w:w="85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883"/>
        <w:gridCol w:w="890"/>
        <w:gridCol w:w="759"/>
        <w:gridCol w:w="789"/>
        <w:gridCol w:w="1124"/>
        <w:gridCol w:w="1028"/>
        <w:gridCol w:w="767"/>
        <w:gridCol w:w="7"/>
      </w:tblGrid>
      <w:tr w:rsidR="00E44576" w:rsidRPr="001570EA" w:rsidDel="00047E04" w14:paraId="1F4F79FC" w14:textId="77777777">
        <w:trPr>
          <w:gridAfter w:val="1"/>
          <w:wAfter w:w="7" w:type="dxa"/>
          <w:trHeight w:val="374"/>
        </w:trPr>
        <w:tc>
          <w:tcPr>
            <w:tcW w:w="2298" w:type="dxa"/>
            <w:shd w:val="clear" w:color="auto" w:fill="BFBFBF" w:themeFill="background1" w:themeFillShade="BF"/>
          </w:tcPr>
          <w:p w14:paraId="6A0F923D" w14:textId="77777777" w:rsidR="00E44576" w:rsidRPr="001570EA" w:rsidRDefault="00E44576">
            <w:pPr>
              <w:pStyle w:val="TableCell"/>
              <w:tabs>
                <w:tab w:val="clear" w:pos="720"/>
              </w:tabs>
              <w:spacing w:before="60" w:after="60"/>
              <w:jc w:val="center"/>
              <w:rPr>
                <w:b/>
              </w:rPr>
            </w:pPr>
            <w:r w:rsidRPr="001570EA">
              <w:rPr>
                <w:rFonts w:cs="Arial"/>
                <w:b/>
                <w:bCs/>
                <w:szCs w:val="18"/>
              </w:rPr>
              <w:t>Pool/</w:t>
            </w:r>
            <w:r w:rsidRPr="001570EA">
              <w:rPr>
                <w:rFonts w:cs="Arial"/>
                <w:b/>
                <w:bCs/>
                <w:szCs w:val="18"/>
              </w:rPr>
              <w:br/>
              <w:t>Pump Type</w:t>
            </w:r>
          </w:p>
        </w:tc>
        <w:tc>
          <w:tcPr>
            <w:tcW w:w="883" w:type="dxa"/>
            <w:shd w:val="clear" w:color="auto" w:fill="BFBFBF" w:themeFill="background1" w:themeFillShade="BF"/>
            <w:vAlign w:val="center"/>
          </w:tcPr>
          <w:p w14:paraId="726A23DF" w14:textId="77777777" w:rsidR="00E44576" w:rsidRPr="001570EA" w:rsidRDefault="00E44576">
            <w:pPr>
              <w:pStyle w:val="TableCell"/>
              <w:tabs>
                <w:tab w:val="clear" w:pos="720"/>
              </w:tabs>
              <w:spacing w:before="60" w:after="60"/>
              <w:jc w:val="center"/>
              <w:rPr>
                <w:rFonts w:cs="Arial"/>
                <w:b/>
                <w:bCs/>
                <w:i/>
                <w:iCs/>
                <w:szCs w:val="18"/>
              </w:rPr>
            </w:pPr>
            <w:r w:rsidRPr="001570EA">
              <w:rPr>
                <w:rFonts w:cs="Arial"/>
                <w:b/>
                <w:bCs/>
                <w:szCs w:val="18"/>
              </w:rPr>
              <w:t>hhp</w:t>
            </w:r>
          </w:p>
        </w:tc>
        <w:tc>
          <w:tcPr>
            <w:tcW w:w="890" w:type="dxa"/>
            <w:shd w:val="clear" w:color="auto" w:fill="BFBFBF" w:themeFill="background1" w:themeFillShade="BF"/>
            <w:vAlign w:val="center"/>
          </w:tcPr>
          <w:p w14:paraId="6CEF098F" w14:textId="77777777" w:rsidR="00E44576" w:rsidRPr="001570EA" w:rsidRDefault="00E44576">
            <w:pPr>
              <w:pStyle w:val="TableCell"/>
              <w:tabs>
                <w:tab w:val="clear" w:pos="720"/>
              </w:tabs>
              <w:spacing w:before="60" w:after="60"/>
              <w:jc w:val="center"/>
              <w:rPr>
                <w:rFonts w:cs="Arial"/>
                <w:b/>
                <w:bCs/>
                <w:szCs w:val="18"/>
              </w:rPr>
            </w:pPr>
            <w:r w:rsidRPr="001570EA">
              <w:rPr>
                <w:rFonts w:cs="Arial"/>
                <w:b/>
                <w:bCs/>
                <w:szCs w:val="18"/>
              </w:rPr>
              <w:t>WEF</w:t>
            </w:r>
            <w:r w:rsidRPr="001570EA">
              <w:rPr>
                <w:rFonts w:cs="Arial"/>
                <w:b/>
                <w:bCs/>
                <w:szCs w:val="18"/>
                <w:vertAlign w:val="subscript"/>
              </w:rPr>
              <w:t>base</w:t>
            </w:r>
          </w:p>
        </w:tc>
        <w:tc>
          <w:tcPr>
            <w:tcW w:w="759" w:type="dxa"/>
            <w:shd w:val="clear" w:color="auto" w:fill="BFBFBF" w:themeFill="background1" w:themeFillShade="BF"/>
            <w:vAlign w:val="center"/>
          </w:tcPr>
          <w:p w14:paraId="294EB45A" w14:textId="77777777" w:rsidR="00E44576" w:rsidRPr="001570EA" w:rsidRDefault="00E44576">
            <w:pPr>
              <w:pStyle w:val="TableCell"/>
              <w:tabs>
                <w:tab w:val="clear" w:pos="720"/>
              </w:tabs>
              <w:spacing w:before="60" w:after="60"/>
              <w:jc w:val="center"/>
              <w:rPr>
                <w:rFonts w:cs="Arial"/>
                <w:b/>
                <w:bCs/>
                <w:szCs w:val="18"/>
              </w:rPr>
            </w:pPr>
            <w:r w:rsidRPr="001570EA">
              <w:rPr>
                <w:rFonts w:cs="Arial"/>
                <w:b/>
                <w:bCs/>
                <w:szCs w:val="18"/>
              </w:rPr>
              <w:t>WEF</w:t>
            </w:r>
            <w:r w:rsidRPr="001570EA">
              <w:rPr>
                <w:rFonts w:cs="Arial"/>
                <w:b/>
                <w:bCs/>
                <w:szCs w:val="18"/>
                <w:vertAlign w:val="subscript"/>
              </w:rPr>
              <w:t>ee</w:t>
            </w:r>
          </w:p>
        </w:tc>
        <w:tc>
          <w:tcPr>
            <w:tcW w:w="789" w:type="dxa"/>
            <w:shd w:val="clear" w:color="auto" w:fill="BFBFBF" w:themeFill="background1" w:themeFillShade="BF"/>
            <w:vAlign w:val="center"/>
          </w:tcPr>
          <w:p w14:paraId="4B69AED8" w14:textId="77777777" w:rsidR="00E44576" w:rsidRPr="001570EA" w:rsidRDefault="00E44576">
            <w:pPr>
              <w:pStyle w:val="TableCell"/>
              <w:tabs>
                <w:tab w:val="clear" w:pos="720"/>
              </w:tabs>
              <w:spacing w:before="60" w:after="60"/>
              <w:jc w:val="center"/>
              <w:rPr>
                <w:rFonts w:cs="Arial"/>
                <w:b/>
                <w:bCs/>
                <w:szCs w:val="18"/>
              </w:rPr>
            </w:pPr>
            <w:r w:rsidRPr="001570EA">
              <w:rPr>
                <w:rFonts w:cs="Arial"/>
                <w:b/>
                <w:bCs/>
                <w:szCs w:val="18"/>
              </w:rPr>
              <w:t>Days</w:t>
            </w:r>
          </w:p>
        </w:tc>
        <w:tc>
          <w:tcPr>
            <w:tcW w:w="1124" w:type="dxa"/>
            <w:shd w:val="clear" w:color="auto" w:fill="BFBFBF" w:themeFill="background1" w:themeFillShade="BF"/>
            <w:vAlign w:val="center"/>
          </w:tcPr>
          <w:p w14:paraId="30657F9E" w14:textId="77777777" w:rsidR="00E44576" w:rsidRPr="001570EA" w:rsidDel="00047E04" w:rsidRDefault="00E44576">
            <w:pPr>
              <w:pStyle w:val="TableCell"/>
              <w:tabs>
                <w:tab w:val="clear" w:pos="720"/>
              </w:tabs>
              <w:spacing w:before="60" w:after="60"/>
              <w:jc w:val="center"/>
              <w:rPr>
                <w:rFonts w:cs="Arial"/>
                <w:b/>
                <w:bCs/>
                <w:szCs w:val="18"/>
              </w:rPr>
            </w:pPr>
            <w:r w:rsidRPr="001570EA">
              <w:rPr>
                <w:rFonts w:cs="Arial"/>
                <w:b/>
                <w:bCs/>
                <w:szCs w:val="18"/>
              </w:rPr>
              <w:t>Volume</w:t>
            </w:r>
          </w:p>
        </w:tc>
        <w:tc>
          <w:tcPr>
            <w:tcW w:w="1028" w:type="dxa"/>
            <w:shd w:val="clear" w:color="auto" w:fill="BFBFBF" w:themeFill="background1" w:themeFillShade="BF"/>
            <w:vAlign w:val="center"/>
          </w:tcPr>
          <w:p w14:paraId="40DDA07F" w14:textId="77777777" w:rsidR="00E44576" w:rsidRPr="001570EA" w:rsidRDefault="00E44576">
            <w:pPr>
              <w:pStyle w:val="TableCell"/>
              <w:tabs>
                <w:tab w:val="clear" w:pos="720"/>
              </w:tabs>
              <w:spacing w:before="60" w:after="60"/>
              <w:jc w:val="center"/>
              <w:rPr>
                <w:rFonts w:cs="Arial"/>
                <w:b/>
                <w:bCs/>
                <w:szCs w:val="18"/>
              </w:rPr>
            </w:pPr>
            <w:r w:rsidRPr="001570EA">
              <w:rPr>
                <w:rFonts w:cs="Arial"/>
                <w:b/>
                <w:bCs/>
                <w:szCs w:val="18"/>
              </w:rPr>
              <w:t>Turnover</w:t>
            </w:r>
          </w:p>
        </w:tc>
        <w:tc>
          <w:tcPr>
            <w:tcW w:w="767" w:type="dxa"/>
            <w:shd w:val="clear" w:color="auto" w:fill="BFBFBF" w:themeFill="background1" w:themeFillShade="BF"/>
            <w:vAlign w:val="center"/>
          </w:tcPr>
          <w:p w14:paraId="116308A6" w14:textId="77777777" w:rsidR="00E44576" w:rsidRPr="001570EA" w:rsidRDefault="00E44576">
            <w:pPr>
              <w:pStyle w:val="TableCell"/>
              <w:tabs>
                <w:tab w:val="clear" w:pos="720"/>
              </w:tabs>
              <w:spacing w:before="60" w:after="60"/>
              <w:jc w:val="center"/>
              <w:rPr>
                <w:rFonts w:cs="Arial"/>
                <w:b/>
                <w:bCs/>
                <w:szCs w:val="18"/>
              </w:rPr>
            </w:pPr>
            <w:r w:rsidRPr="001570EA">
              <w:rPr>
                <w:rFonts w:cs="Arial"/>
                <w:b/>
                <w:bCs/>
                <w:szCs w:val="18"/>
              </w:rPr>
              <w:t>CF</w:t>
            </w:r>
          </w:p>
        </w:tc>
      </w:tr>
      <w:tr w:rsidR="00E44576" w:rsidRPr="001570EA" w14:paraId="7C6959EB" w14:textId="77777777">
        <w:trPr>
          <w:gridAfter w:val="1"/>
          <w:wAfter w:w="7" w:type="dxa"/>
          <w:trHeight w:val="374"/>
        </w:trPr>
        <w:tc>
          <w:tcPr>
            <w:tcW w:w="2298" w:type="dxa"/>
          </w:tcPr>
          <w:p w14:paraId="47077C6F" w14:textId="77777777" w:rsidR="00E44576" w:rsidRPr="001570EA" w:rsidRDefault="00E44576">
            <w:pPr>
              <w:pStyle w:val="TableCell"/>
              <w:tabs>
                <w:tab w:val="clear" w:pos="720"/>
              </w:tabs>
              <w:spacing w:before="60" w:after="60"/>
              <w:jc w:val="center"/>
            </w:pPr>
            <w:r w:rsidRPr="001570EA">
              <w:rPr>
                <w:rFonts w:cs="Arial"/>
                <w:szCs w:val="18"/>
              </w:rPr>
              <w:t>In-ground Pool</w:t>
            </w:r>
          </w:p>
        </w:tc>
        <w:tc>
          <w:tcPr>
            <w:tcW w:w="883" w:type="dxa"/>
          </w:tcPr>
          <w:p w14:paraId="053D7788" w14:textId="77777777" w:rsidR="00E44576" w:rsidRPr="001570EA" w:rsidRDefault="00E44576">
            <w:pPr>
              <w:pStyle w:val="TableCell"/>
              <w:tabs>
                <w:tab w:val="clear" w:pos="720"/>
              </w:tabs>
              <w:spacing w:before="60" w:after="60"/>
              <w:jc w:val="center"/>
            </w:pPr>
            <w:r w:rsidRPr="001570EA">
              <w:t>0.72</w:t>
            </w:r>
            <w:r w:rsidRPr="001570EA">
              <w:br/>
            </w:r>
            <w:r w:rsidRPr="001570EA">
              <w:rPr>
                <w:vertAlign w:val="superscript"/>
              </w:rPr>
              <w:t>Source 2</w:t>
            </w:r>
          </w:p>
        </w:tc>
        <w:tc>
          <w:tcPr>
            <w:tcW w:w="890" w:type="dxa"/>
          </w:tcPr>
          <w:p w14:paraId="221F61A4" w14:textId="77777777" w:rsidR="00E44576" w:rsidRPr="001570EA" w:rsidRDefault="00E44576">
            <w:pPr>
              <w:pStyle w:val="TableCell"/>
              <w:tabs>
                <w:tab w:val="clear" w:pos="720"/>
              </w:tabs>
              <w:spacing w:before="60" w:after="60"/>
              <w:jc w:val="center"/>
            </w:pPr>
            <w:r w:rsidRPr="001570EA">
              <w:t>7.35</w:t>
            </w:r>
            <w:r w:rsidRPr="001570EA">
              <w:br/>
            </w:r>
            <w:r w:rsidRPr="001570EA">
              <w:rPr>
                <w:vertAlign w:val="superscript"/>
              </w:rPr>
              <w:t>Source 3</w:t>
            </w:r>
          </w:p>
        </w:tc>
        <w:tc>
          <w:tcPr>
            <w:tcW w:w="759" w:type="dxa"/>
          </w:tcPr>
          <w:p w14:paraId="28F1A420" w14:textId="77777777" w:rsidR="00E44576" w:rsidRPr="001570EA" w:rsidRDefault="00E44576">
            <w:pPr>
              <w:pStyle w:val="TableCell"/>
              <w:tabs>
                <w:tab w:val="clear" w:pos="720"/>
              </w:tabs>
              <w:spacing w:before="60" w:after="60"/>
              <w:jc w:val="center"/>
              <w:rPr>
                <w:rFonts w:cs="Arial"/>
                <w:szCs w:val="18"/>
              </w:rPr>
            </w:pPr>
            <w:r w:rsidRPr="001570EA">
              <w:t>9.20</w:t>
            </w:r>
            <w:r w:rsidRPr="001570EA">
              <w:br/>
            </w:r>
            <w:r w:rsidRPr="001570EA">
              <w:rPr>
                <w:vertAlign w:val="superscript"/>
              </w:rPr>
              <w:t>Source 4</w:t>
            </w:r>
          </w:p>
        </w:tc>
        <w:tc>
          <w:tcPr>
            <w:tcW w:w="789" w:type="dxa"/>
          </w:tcPr>
          <w:p w14:paraId="59322768" w14:textId="77777777" w:rsidR="00E44576" w:rsidRPr="001570EA" w:rsidDel="000D0647" w:rsidRDefault="00E44576">
            <w:pPr>
              <w:pStyle w:val="TableCell"/>
              <w:tabs>
                <w:tab w:val="clear" w:pos="720"/>
              </w:tabs>
              <w:spacing w:before="60" w:after="60"/>
              <w:jc w:val="center"/>
            </w:pPr>
            <w:r w:rsidRPr="001570EA">
              <w:t>122</w:t>
            </w:r>
            <w:r w:rsidRPr="001570EA">
              <w:br/>
            </w:r>
            <w:r w:rsidRPr="001570EA">
              <w:rPr>
                <w:vertAlign w:val="superscript"/>
              </w:rPr>
              <w:t>Source 2</w:t>
            </w:r>
          </w:p>
        </w:tc>
        <w:tc>
          <w:tcPr>
            <w:tcW w:w="1124" w:type="dxa"/>
            <w:tcMar>
              <w:left w:w="58" w:type="dxa"/>
              <w:right w:w="115" w:type="dxa"/>
            </w:tcMar>
          </w:tcPr>
          <w:p w14:paraId="741E9B11" w14:textId="77777777" w:rsidR="00E44576" w:rsidRPr="001570EA" w:rsidRDefault="00E44576">
            <w:pPr>
              <w:pStyle w:val="TableCell"/>
              <w:tabs>
                <w:tab w:val="clear" w:pos="720"/>
              </w:tabs>
              <w:spacing w:before="60" w:after="60"/>
              <w:jc w:val="center"/>
            </w:pPr>
            <w:r w:rsidRPr="001570EA">
              <w:t>15,750</w:t>
            </w:r>
            <w:r w:rsidRPr="001570EA">
              <w:br/>
            </w:r>
            <w:r w:rsidRPr="001570EA">
              <w:rPr>
                <w:vertAlign w:val="superscript"/>
              </w:rPr>
              <w:t>Source 5</w:t>
            </w:r>
          </w:p>
        </w:tc>
        <w:tc>
          <w:tcPr>
            <w:tcW w:w="1028" w:type="dxa"/>
          </w:tcPr>
          <w:p w14:paraId="552FD6A8" w14:textId="77777777" w:rsidR="00E44576" w:rsidRPr="001570EA" w:rsidRDefault="00E44576">
            <w:pPr>
              <w:pStyle w:val="TableCell"/>
              <w:spacing w:before="60" w:after="60"/>
              <w:jc w:val="center"/>
            </w:pPr>
            <w:r w:rsidRPr="001570EA">
              <w:t>2</w:t>
            </w:r>
            <w:r w:rsidRPr="001570EA">
              <w:br/>
            </w:r>
            <w:r w:rsidRPr="001570EA">
              <w:rPr>
                <w:vertAlign w:val="superscript"/>
              </w:rPr>
              <w:t>Source 6</w:t>
            </w:r>
          </w:p>
        </w:tc>
        <w:tc>
          <w:tcPr>
            <w:tcW w:w="767" w:type="dxa"/>
          </w:tcPr>
          <w:p w14:paraId="274AD20F" w14:textId="77777777" w:rsidR="00E44576" w:rsidRPr="001570EA" w:rsidRDefault="00E44576">
            <w:pPr>
              <w:pStyle w:val="TableCell"/>
              <w:tabs>
                <w:tab w:val="clear" w:pos="720"/>
              </w:tabs>
              <w:spacing w:before="60" w:after="60"/>
              <w:jc w:val="center"/>
            </w:pPr>
            <w:r w:rsidRPr="001570EA">
              <w:t>1</w:t>
            </w:r>
            <w:r w:rsidRPr="001570EA">
              <w:br/>
            </w:r>
            <w:r w:rsidRPr="001570EA">
              <w:rPr>
                <w:vertAlign w:val="superscript"/>
              </w:rPr>
              <w:t>Source 7</w:t>
            </w:r>
          </w:p>
        </w:tc>
      </w:tr>
      <w:tr w:rsidR="00E44576" w:rsidRPr="001570EA" w14:paraId="702DCCA8" w14:textId="77777777">
        <w:trPr>
          <w:gridAfter w:val="1"/>
          <w:wAfter w:w="7" w:type="dxa"/>
          <w:trHeight w:val="374"/>
        </w:trPr>
        <w:tc>
          <w:tcPr>
            <w:tcW w:w="2298" w:type="dxa"/>
          </w:tcPr>
          <w:p w14:paraId="70AB8FB8" w14:textId="77777777" w:rsidR="00E44576" w:rsidRPr="001570EA" w:rsidRDefault="00E44576">
            <w:pPr>
              <w:pStyle w:val="TableCell"/>
              <w:tabs>
                <w:tab w:val="clear" w:pos="720"/>
              </w:tabs>
              <w:spacing w:before="60" w:after="60"/>
              <w:jc w:val="center"/>
            </w:pPr>
            <w:r w:rsidRPr="001570EA">
              <w:rPr>
                <w:rFonts w:cs="Arial"/>
                <w:szCs w:val="18"/>
              </w:rPr>
              <w:t>Above-ground</w:t>
            </w:r>
            <w:r w:rsidRPr="001570EA">
              <w:t xml:space="preserve"> Pool</w:t>
            </w:r>
          </w:p>
        </w:tc>
        <w:tc>
          <w:tcPr>
            <w:tcW w:w="883" w:type="dxa"/>
          </w:tcPr>
          <w:p w14:paraId="00B56FB9" w14:textId="77777777" w:rsidR="00E44576" w:rsidRPr="001570EA" w:rsidRDefault="00E44576">
            <w:pPr>
              <w:pStyle w:val="TableCell"/>
              <w:tabs>
                <w:tab w:val="clear" w:pos="720"/>
              </w:tabs>
              <w:spacing w:before="60" w:after="60"/>
              <w:jc w:val="center"/>
            </w:pPr>
            <w:r w:rsidRPr="001570EA">
              <w:t>0.72</w:t>
            </w:r>
            <w:r w:rsidRPr="001570EA">
              <w:br/>
            </w:r>
            <w:r w:rsidRPr="001570EA">
              <w:rPr>
                <w:vertAlign w:val="superscript"/>
              </w:rPr>
              <w:t>Source 2</w:t>
            </w:r>
          </w:p>
        </w:tc>
        <w:tc>
          <w:tcPr>
            <w:tcW w:w="890" w:type="dxa"/>
          </w:tcPr>
          <w:p w14:paraId="4B8BB2A5" w14:textId="77777777" w:rsidR="00E44576" w:rsidRPr="001570EA" w:rsidRDefault="00E44576">
            <w:pPr>
              <w:pStyle w:val="TableCell"/>
              <w:tabs>
                <w:tab w:val="clear" w:pos="720"/>
              </w:tabs>
              <w:spacing w:before="60" w:after="60"/>
              <w:jc w:val="center"/>
            </w:pPr>
            <w:r w:rsidRPr="001570EA">
              <w:t>3.15</w:t>
            </w:r>
            <w:r w:rsidRPr="001570EA">
              <w:br/>
            </w:r>
            <w:r w:rsidRPr="001570EA">
              <w:rPr>
                <w:vertAlign w:val="superscript"/>
              </w:rPr>
              <w:t>Source 3</w:t>
            </w:r>
          </w:p>
        </w:tc>
        <w:tc>
          <w:tcPr>
            <w:tcW w:w="759" w:type="dxa"/>
          </w:tcPr>
          <w:p w14:paraId="495144C0" w14:textId="77777777" w:rsidR="00E44576" w:rsidRPr="001570EA" w:rsidRDefault="00E44576">
            <w:pPr>
              <w:pStyle w:val="TableCell"/>
              <w:tabs>
                <w:tab w:val="clear" w:pos="720"/>
              </w:tabs>
              <w:spacing w:before="60" w:after="60"/>
              <w:jc w:val="center"/>
              <w:rPr>
                <w:rFonts w:cs="Arial"/>
                <w:szCs w:val="18"/>
              </w:rPr>
            </w:pPr>
            <w:r w:rsidRPr="001570EA">
              <w:t>4.18</w:t>
            </w:r>
            <w:r w:rsidRPr="001570EA">
              <w:br/>
            </w:r>
            <w:r w:rsidRPr="001570EA">
              <w:rPr>
                <w:vertAlign w:val="superscript"/>
              </w:rPr>
              <w:t>Source 4</w:t>
            </w:r>
          </w:p>
        </w:tc>
        <w:tc>
          <w:tcPr>
            <w:tcW w:w="789" w:type="dxa"/>
          </w:tcPr>
          <w:p w14:paraId="4DC752C4" w14:textId="77777777" w:rsidR="00E44576" w:rsidRPr="001570EA" w:rsidRDefault="00E44576">
            <w:pPr>
              <w:pStyle w:val="TableCell"/>
              <w:tabs>
                <w:tab w:val="clear" w:pos="720"/>
              </w:tabs>
              <w:spacing w:before="60" w:after="60"/>
              <w:jc w:val="center"/>
            </w:pPr>
            <w:r w:rsidRPr="001570EA">
              <w:t>122</w:t>
            </w:r>
            <w:r w:rsidRPr="001570EA">
              <w:br/>
            </w:r>
            <w:r w:rsidRPr="001570EA">
              <w:rPr>
                <w:vertAlign w:val="superscript"/>
              </w:rPr>
              <w:t>Source 2</w:t>
            </w:r>
          </w:p>
        </w:tc>
        <w:tc>
          <w:tcPr>
            <w:tcW w:w="1124" w:type="dxa"/>
          </w:tcPr>
          <w:p w14:paraId="72BEFAF2" w14:textId="77777777" w:rsidR="00E44576" w:rsidRPr="001570EA" w:rsidRDefault="00E44576">
            <w:pPr>
              <w:pStyle w:val="TableCell"/>
              <w:tabs>
                <w:tab w:val="clear" w:pos="720"/>
              </w:tabs>
              <w:spacing w:before="60" w:after="60"/>
              <w:jc w:val="center"/>
            </w:pPr>
            <w:r w:rsidRPr="001570EA">
              <w:t>7,540</w:t>
            </w:r>
            <w:r w:rsidRPr="001570EA">
              <w:br/>
            </w:r>
            <w:r w:rsidRPr="001570EA">
              <w:rPr>
                <w:vertAlign w:val="superscript"/>
              </w:rPr>
              <w:t>Source 8</w:t>
            </w:r>
          </w:p>
        </w:tc>
        <w:tc>
          <w:tcPr>
            <w:tcW w:w="1028" w:type="dxa"/>
          </w:tcPr>
          <w:p w14:paraId="23AE1CA3" w14:textId="77777777" w:rsidR="00E44576" w:rsidRPr="001570EA" w:rsidRDefault="00E44576">
            <w:pPr>
              <w:pStyle w:val="TableCell"/>
              <w:spacing w:before="60" w:after="60"/>
              <w:jc w:val="center"/>
            </w:pPr>
            <w:r w:rsidRPr="001570EA">
              <w:t>2</w:t>
            </w:r>
            <w:r w:rsidRPr="001570EA">
              <w:br/>
            </w:r>
            <w:r w:rsidRPr="001570EA">
              <w:rPr>
                <w:vertAlign w:val="superscript"/>
              </w:rPr>
              <w:t>Source 9</w:t>
            </w:r>
          </w:p>
        </w:tc>
        <w:tc>
          <w:tcPr>
            <w:tcW w:w="767" w:type="dxa"/>
          </w:tcPr>
          <w:p w14:paraId="698D6377" w14:textId="77777777" w:rsidR="00E44576" w:rsidRPr="001570EA" w:rsidRDefault="00E44576">
            <w:pPr>
              <w:pStyle w:val="TableCell"/>
              <w:tabs>
                <w:tab w:val="clear" w:pos="720"/>
              </w:tabs>
              <w:spacing w:before="60" w:after="60"/>
              <w:jc w:val="center"/>
            </w:pPr>
            <w:r w:rsidRPr="001570EA">
              <w:t>1</w:t>
            </w:r>
            <w:r w:rsidRPr="001570EA">
              <w:br/>
            </w:r>
            <w:r w:rsidRPr="001570EA">
              <w:rPr>
                <w:vertAlign w:val="superscript"/>
              </w:rPr>
              <w:t>Source 7</w:t>
            </w:r>
          </w:p>
        </w:tc>
      </w:tr>
      <w:tr w:rsidR="00E44576" w:rsidRPr="001570EA" w:rsidDel="00BC5B62" w14:paraId="67186FC7" w14:textId="77777777">
        <w:trPr>
          <w:trHeight w:val="374"/>
        </w:trPr>
        <w:tc>
          <w:tcPr>
            <w:tcW w:w="2298" w:type="dxa"/>
          </w:tcPr>
          <w:p w14:paraId="28112F9C" w14:textId="77777777" w:rsidR="00E44576" w:rsidRPr="001570EA" w:rsidRDefault="00E44576">
            <w:pPr>
              <w:pStyle w:val="TableCell"/>
              <w:tabs>
                <w:tab w:val="clear" w:pos="720"/>
              </w:tabs>
              <w:spacing w:before="60" w:after="60"/>
              <w:jc w:val="center"/>
            </w:pPr>
            <w:r w:rsidRPr="001570EA">
              <w:rPr>
                <w:rFonts w:cs="Arial"/>
                <w:szCs w:val="18"/>
              </w:rPr>
              <w:t>Pressure Cleaner Booster</w:t>
            </w:r>
          </w:p>
        </w:tc>
        <w:tc>
          <w:tcPr>
            <w:tcW w:w="883" w:type="dxa"/>
          </w:tcPr>
          <w:p w14:paraId="365C40C6" w14:textId="77777777" w:rsidR="00E44576" w:rsidRPr="001570EA" w:rsidRDefault="00E44576">
            <w:pPr>
              <w:pStyle w:val="TableCell"/>
              <w:tabs>
                <w:tab w:val="clear" w:pos="720"/>
              </w:tabs>
              <w:spacing w:before="60" w:after="60"/>
              <w:jc w:val="center"/>
            </w:pPr>
            <w:r w:rsidRPr="001570EA">
              <w:t>N/A</w:t>
            </w:r>
          </w:p>
        </w:tc>
        <w:tc>
          <w:tcPr>
            <w:tcW w:w="890" w:type="dxa"/>
          </w:tcPr>
          <w:p w14:paraId="0C2DC240" w14:textId="77777777" w:rsidR="00E44576" w:rsidRPr="001570EA" w:rsidRDefault="00E44576">
            <w:pPr>
              <w:pStyle w:val="TableCell"/>
              <w:tabs>
                <w:tab w:val="clear" w:pos="720"/>
              </w:tabs>
              <w:spacing w:before="60" w:after="60"/>
              <w:jc w:val="center"/>
            </w:pPr>
            <w:r w:rsidRPr="001570EA">
              <w:t>0.42</w:t>
            </w:r>
            <w:r w:rsidRPr="001570EA">
              <w:br/>
            </w:r>
            <w:r w:rsidRPr="001570EA">
              <w:rPr>
                <w:vertAlign w:val="superscript"/>
              </w:rPr>
              <w:t>Source 3</w:t>
            </w:r>
          </w:p>
        </w:tc>
        <w:tc>
          <w:tcPr>
            <w:tcW w:w="759" w:type="dxa"/>
          </w:tcPr>
          <w:p w14:paraId="5281CE51" w14:textId="77777777" w:rsidR="00E44576" w:rsidRPr="001570EA" w:rsidRDefault="00E44576">
            <w:pPr>
              <w:pStyle w:val="TableCell"/>
              <w:tabs>
                <w:tab w:val="clear" w:pos="720"/>
              </w:tabs>
              <w:spacing w:before="60" w:after="60"/>
              <w:jc w:val="center"/>
              <w:rPr>
                <w:rFonts w:cs="Arial"/>
                <w:szCs w:val="18"/>
              </w:rPr>
            </w:pPr>
            <w:r w:rsidRPr="001570EA">
              <w:t>0.51</w:t>
            </w:r>
            <w:r w:rsidRPr="001570EA">
              <w:br/>
            </w:r>
            <w:r w:rsidRPr="001570EA">
              <w:rPr>
                <w:vertAlign w:val="superscript"/>
              </w:rPr>
              <w:t>Source 4</w:t>
            </w:r>
          </w:p>
        </w:tc>
        <w:tc>
          <w:tcPr>
            <w:tcW w:w="1913" w:type="dxa"/>
            <w:gridSpan w:val="2"/>
          </w:tcPr>
          <w:p w14:paraId="58D4D4B0" w14:textId="77777777" w:rsidR="00E44576" w:rsidRPr="001570EA" w:rsidDel="00BC5B62" w:rsidRDefault="00E44576">
            <w:pPr>
              <w:pStyle w:val="TableCell"/>
              <w:spacing w:before="60" w:after="60"/>
              <w:jc w:val="center"/>
            </w:pPr>
            <w:r w:rsidRPr="001570EA">
              <w:t>Same as pool</w:t>
            </w:r>
          </w:p>
        </w:tc>
        <w:tc>
          <w:tcPr>
            <w:tcW w:w="1028" w:type="dxa"/>
          </w:tcPr>
          <w:p w14:paraId="77F046EA" w14:textId="77777777" w:rsidR="00E44576" w:rsidRPr="001570EA" w:rsidDel="00BC5B62" w:rsidRDefault="00E44576">
            <w:pPr>
              <w:pStyle w:val="TableCell"/>
              <w:spacing w:before="60" w:after="60"/>
              <w:jc w:val="center"/>
            </w:pPr>
            <w:r w:rsidRPr="001570EA">
              <w:rPr>
                <w:szCs w:val="18"/>
              </w:rPr>
              <w:t>0.08</w:t>
            </w:r>
            <w:r w:rsidRPr="001570EA">
              <w:rPr>
                <w:szCs w:val="18"/>
              </w:rPr>
              <w:br/>
            </w:r>
            <w:r w:rsidRPr="001570EA">
              <w:rPr>
                <w:szCs w:val="18"/>
                <w:vertAlign w:val="superscript"/>
              </w:rPr>
              <w:t>Source 10</w:t>
            </w:r>
          </w:p>
        </w:tc>
        <w:tc>
          <w:tcPr>
            <w:tcW w:w="774" w:type="dxa"/>
            <w:gridSpan w:val="2"/>
          </w:tcPr>
          <w:p w14:paraId="57DD7D30" w14:textId="77777777" w:rsidR="00E44576" w:rsidRPr="001570EA" w:rsidRDefault="00E44576">
            <w:pPr>
              <w:pStyle w:val="TableCell"/>
              <w:tabs>
                <w:tab w:val="clear" w:pos="720"/>
              </w:tabs>
              <w:spacing w:before="60" w:after="60"/>
              <w:jc w:val="center"/>
              <w:rPr>
                <w:vertAlign w:val="superscript"/>
              </w:rPr>
            </w:pPr>
            <w:r w:rsidRPr="001570EA">
              <w:rPr>
                <w:szCs w:val="18"/>
              </w:rPr>
              <w:t>0.31</w:t>
            </w:r>
            <w:r w:rsidRPr="001570EA">
              <w:rPr>
                <w:szCs w:val="18"/>
              </w:rPr>
              <w:br/>
            </w:r>
            <w:r w:rsidRPr="001570EA">
              <w:rPr>
                <w:szCs w:val="18"/>
                <w:vertAlign w:val="superscript"/>
              </w:rPr>
              <w:t>Source 11</w:t>
            </w:r>
          </w:p>
        </w:tc>
      </w:tr>
    </w:tbl>
    <w:p w14:paraId="2F85213A" w14:textId="77777777" w:rsidR="00E44576" w:rsidRPr="001570EA" w:rsidRDefault="00E44576" w:rsidP="00E44576">
      <w:pPr>
        <w:tabs>
          <w:tab w:val="left" w:pos="720"/>
        </w:tabs>
        <w:spacing w:before="120"/>
        <w:rPr>
          <w:rFonts w:cs="Arial"/>
        </w:rPr>
      </w:pPr>
    </w:p>
    <w:p w14:paraId="2158722F" w14:textId="77777777" w:rsidR="00E44576" w:rsidRPr="001570EA" w:rsidRDefault="00E44576" w:rsidP="00E44576">
      <w:pPr>
        <w:pStyle w:val="SubStyle"/>
      </w:pPr>
      <w:r w:rsidRPr="001570EA">
        <w:t>Default Savings</w:t>
      </w:r>
    </w:p>
    <w:p w14:paraId="59212CD2" w14:textId="62480BD5" w:rsidR="00E44576" w:rsidRPr="001570EA" w:rsidRDefault="00E44576" w:rsidP="00E44576">
      <w:pPr>
        <w:tabs>
          <w:tab w:val="left" w:pos="720"/>
        </w:tabs>
        <w:spacing w:before="120"/>
        <w:rPr>
          <w:rFonts w:cs="Arial"/>
        </w:rPr>
      </w:pPr>
      <w:r w:rsidRPr="001570EA">
        <w:rPr>
          <w:rFonts w:cs="Arial"/>
        </w:rPr>
        <w:t>Default energy and demand savings follow however, many ENERGY STAR pool pumps exceed program specifications; some by as much as 190%. Therefore, EDCs are encouraged to collect records of pool volume, WEF and hhp for installed equipment to calculate the full project savings due. Federal regulations require that equipment ratings be printed on the pump.</w:t>
      </w:r>
    </w:p>
    <w:p w14:paraId="68C15385" w14:textId="5254AC3A" w:rsidR="00E44576" w:rsidRPr="001570EA" w:rsidRDefault="00E44576" w:rsidP="00E44576">
      <w:pPr>
        <w:pStyle w:val="Caption"/>
        <w:spacing w:before="120"/>
      </w:pPr>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170</w:t>
      </w:r>
      <w:r w:rsidR="002E093A" w:rsidRPr="001570EA">
        <w:fldChar w:fldCharType="end"/>
      </w:r>
      <w:r w:rsidRPr="001570EA">
        <w:rPr>
          <w:noProof/>
        </w:rPr>
        <w:t>: Default ENERGY STAR Pool Pump Savings</w:t>
      </w:r>
    </w:p>
    <w:tbl>
      <w:tblPr>
        <w:tblW w:w="605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3"/>
        <w:gridCol w:w="1061"/>
        <w:gridCol w:w="1176"/>
      </w:tblGrid>
      <w:tr w:rsidR="00E44576" w:rsidRPr="001570EA" w14:paraId="3670F135" w14:textId="77777777" w:rsidTr="002C00D5">
        <w:trPr>
          <w:trHeight w:val="332"/>
        </w:trPr>
        <w:tc>
          <w:tcPr>
            <w:tcW w:w="3813" w:type="dxa"/>
            <w:shd w:val="clear" w:color="auto" w:fill="BFBFBF" w:themeFill="background1" w:themeFillShade="BF"/>
            <w:vAlign w:val="center"/>
            <w:hideMark/>
          </w:tcPr>
          <w:p w14:paraId="5BAE1059" w14:textId="77777777" w:rsidR="00E44576" w:rsidRPr="001570EA" w:rsidRDefault="00E44576">
            <w:pPr>
              <w:keepNext/>
              <w:jc w:val="center"/>
              <w:rPr>
                <w:rFonts w:cs="Arial"/>
                <w:b/>
                <w:bCs/>
                <w:color w:val="000000"/>
                <w:sz w:val="18"/>
                <w:szCs w:val="18"/>
              </w:rPr>
            </w:pPr>
            <w:r w:rsidRPr="001570EA">
              <w:rPr>
                <w:rFonts w:cs="Arial"/>
                <w:b/>
                <w:bCs/>
                <w:color w:val="000000"/>
                <w:sz w:val="18"/>
                <w:szCs w:val="18"/>
              </w:rPr>
              <w:t>Pump Type</w:t>
            </w:r>
          </w:p>
        </w:tc>
        <w:tc>
          <w:tcPr>
            <w:tcW w:w="1061" w:type="dxa"/>
            <w:shd w:val="clear" w:color="auto" w:fill="BFBFBF" w:themeFill="background1" w:themeFillShade="BF"/>
            <w:vAlign w:val="center"/>
            <w:hideMark/>
          </w:tcPr>
          <w:p w14:paraId="3FB609E9" w14:textId="77777777" w:rsidR="00E44576" w:rsidRPr="001570EA" w:rsidRDefault="00E44576">
            <w:pPr>
              <w:keepNext/>
              <w:jc w:val="center"/>
              <w:rPr>
                <w:rFonts w:cs="Arial"/>
                <w:b/>
                <w:bCs/>
                <w:color w:val="000000"/>
                <w:sz w:val="18"/>
                <w:szCs w:val="18"/>
              </w:rPr>
            </w:pPr>
            <w:r w:rsidRPr="001570EA">
              <w:rPr>
                <w:rFonts w:cs="Arial"/>
                <w:sz w:val="18"/>
                <w:szCs w:val="18"/>
              </w:rPr>
              <w:t>Δ</w:t>
            </w:r>
            <w:r w:rsidRPr="001570EA">
              <w:rPr>
                <w:rFonts w:cs="Arial"/>
                <w:b/>
                <w:bCs/>
                <w:color w:val="000000"/>
                <w:sz w:val="18"/>
                <w:szCs w:val="18"/>
              </w:rPr>
              <w:t>kWh</w:t>
            </w:r>
          </w:p>
        </w:tc>
        <w:tc>
          <w:tcPr>
            <w:tcW w:w="1176" w:type="dxa"/>
            <w:shd w:val="clear" w:color="auto" w:fill="BFBFBF" w:themeFill="background1" w:themeFillShade="BF"/>
            <w:vAlign w:val="center"/>
            <w:hideMark/>
          </w:tcPr>
          <w:p w14:paraId="45A718D8" w14:textId="77777777" w:rsidR="00E44576" w:rsidRPr="001570EA" w:rsidRDefault="00E44576">
            <w:pPr>
              <w:keepNext/>
              <w:jc w:val="center"/>
              <w:rPr>
                <w:rFonts w:cs="Arial"/>
                <w:b/>
                <w:bCs/>
                <w:color w:val="000000"/>
                <w:sz w:val="18"/>
                <w:szCs w:val="18"/>
              </w:rPr>
            </w:pPr>
            <w:r w:rsidRPr="001570EA">
              <w:rPr>
                <w:rFonts w:cs="Arial"/>
                <w:b/>
                <w:bCs/>
                <w:sz w:val="18"/>
                <w:szCs w:val="18"/>
              </w:rPr>
              <w:t>Δ</w:t>
            </w:r>
            <w:r w:rsidRPr="001570EA">
              <w:rPr>
                <w:rFonts w:cs="Arial"/>
                <w:b/>
                <w:bCs/>
                <w:color w:val="000000"/>
                <w:sz w:val="18"/>
                <w:szCs w:val="18"/>
              </w:rPr>
              <w:t>k</w:t>
            </w:r>
            <w:r w:rsidRPr="001570EA">
              <w:rPr>
                <w:b/>
                <w:bCs/>
              </w:rPr>
              <w:t>W</w:t>
            </w:r>
            <w:r w:rsidRPr="001570EA">
              <w:rPr>
                <w:b/>
                <w:bCs/>
                <w:vertAlign w:val="subscript"/>
              </w:rPr>
              <w:t>summer peak</w:t>
            </w:r>
          </w:p>
        </w:tc>
      </w:tr>
      <w:tr w:rsidR="00E44576" w:rsidRPr="001570EA" w14:paraId="6C22609F" w14:textId="77777777" w:rsidTr="002C00D5">
        <w:trPr>
          <w:trHeight w:val="317"/>
        </w:trPr>
        <w:tc>
          <w:tcPr>
            <w:tcW w:w="3813" w:type="dxa"/>
            <w:shd w:val="clear" w:color="auto" w:fill="auto"/>
            <w:vAlign w:val="center"/>
            <w:hideMark/>
          </w:tcPr>
          <w:p w14:paraId="25E256D2" w14:textId="77777777" w:rsidR="00E44576" w:rsidRPr="001570EA" w:rsidRDefault="00E44576">
            <w:pPr>
              <w:keepNext/>
              <w:rPr>
                <w:rFonts w:cs="Arial"/>
                <w:color w:val="000000"/>
                <w:sz w:val="18"/>
                <w:szCs w:val="18"/>
              </w:rPr>
            </w:pPr>
            <w:r w:rsidRPr="001570EA">
              <w:rPr>
                <w:rFonts w:cs="Arial"/>
                <w:sz w:val="18"/>
                <w:szCs w:val="18"/>
              </w:rPr>
              <w:t>In-ground Pool</w:t>
            </w:r>
          </w:p>
        </w:tc>
        <w:tc>
          <w:tcPr>
            <w:tcW w:w="1061" w:type="dxa"/>
            <w:shd w:val="clear" w:color="auto" w:fill="auto"/>
            <w:vAlign w:val="center"/>
          </w:tcPr>
          <w:p w14:paraId="77298496" w14:textId="77777777" w:rsidR="00E44576" w:rsidRPr="001570EA" w:rsidRDefault="00E44576">
            <w:pPr>
              <w:keepNext/>
              <w:jc w:val="center"/>
              <w:rPr>
                <w:rFonts w:cs="Arial"/>
                <w:color w:val="000000"/>
                <w:sz w:val="18"/>
                <w:szCs w:val="18"/>
              </w:rPr>
            </w:pPr>
            <w:r w:rsidRPr="001570EA">
              <w:rPr>
                <w:sz w:val="18"/>
                <w:szCs w:val="18"/>
              </w:rPr>
              <w:t>106</w:t>
            </w:r>
          </w:p>
        </w:tc>
        <w:tc>
          <w:tcPr>
            <w:tcW w:w="1176" w:type="dxa"/>
            <w:shd w:val="clear" w:color="auto" w:fill="auto"/>
            <w:vAlign w:val="center"/>
          </w:tcPr>
          <w:p w14:paraId="0ED06794" w14:textId="77777777" w:rsidR="00E44576" w:rsidRPr="001570EA" w:rsidRDefault="00E44576">
            <w:pPr>
              <w:keepNext/>
              <w:jc w:val="center"/>
              <w:rPr>
                <w:rFonts w:cs="Arial"/>
                <w:color w:val="000000"/>
                <w:sz w:val="18"/>
                <w:szCs w:val="18"/>
              </w:rPr>
            </w:pPr>
            <w:r w:rsidRPr="001570EA">
              <w:rPr>
                <w:sz w:val="18"/>
                <w:szCs w:val="18"/>
              </w:rPr>
              <w:t>0.0361</w:t>
            </w:r>
          </w:p>
        </w:tc>
      </w:tr>
      <w:tr w:rsidR="00E44576" w:rsidRPr="001570EA" w14:paraId="13360756" w14:textId="77777777" w:rsidTr="00E44576">
        <w:trPr>
          <w:trHeight w:val="368"/>
        </w:trPr>
        <w:tc>
          <w:tcPr>
            <w:tcW w:w="3813" w:type="dxa"/>
            <w:shd w:val="clear" w:color="auto" w:fill="auto"/>
            <w:vAlign w:val="center"/>
            <w:hideMark/>
          </w:tcPr>
          <w:p w14:paraId="7DE19504" w14:textId="77777777" w:rsidR="00E44576" w:rsidRPr="001570EA" w:rsidRDefault="00E44576">
            <w:pPr>
              <w:keepNext/>
              <w:rPr>
                <w:rFonts w:cs="Arial"/>
                <w:color w:val="000000"/>
                <w:sz w:val="18"/>
                <w:szCs w:val="18"/>
              </w:rPr>
            </w:pPr>
            <w:r w:rsidRPr="001570EA">
              <w:rPr>
                <w:rFonts w:cs="Arial"/>
                <w:sz w:val="18"/>
                <w:szCs w:val="18"/>
              </w:rPr>
              <w:t>Above-ground Pool</w:t>
            </w:r>
          </w:p>
        </w:tc>
        <w:tc>
          <w:tcPr>
            <w:tcW w:w="1061" w:type="dxa"/>
            <w:shd w:val="clear" w:color="auto" w:fill="auto"/>
            <w:vAlign w:val="center"/>
          </w:tcPr>
          <w:p w14:paraId="521EB1F7" w14:textId="77777777" w:rsidR="00E44576" w:rsidRPr="001570EA" w:rsidRDefault="00E44576">
            <w:pPr>
              <w:keepNext/>
              <w:jc w:val="center"/>
              <w:rPr>
                <w:rFonts w:cs="Arial"/>
                <w:color w:val="000000"/>
                <w:sz w:val="18"/>
                <w:szCs w:val="18"/>
              </w:rPr>
            </w:pPr>
            <w:r w:rsidRPr="001570EA">
              <w:rPr>
                <w:sz w:val="18"/>
                <w:szCs w:val="18"/>
              </w:rPr>
              <w:t>144</w:t>
            </w:r>
          </w:p>
        </w:tc>
        <w:tc>
          <w:tcPr>
            <w:tcW w:w="1176" w:type="dxa"/>
            <w:shd w:val="clear" w:color="auto" w:fill="auto"/>
            <w:vAlign w:val="center"/>
          </w:tcPr>
          <w:p w14:paraId="7E9E1FC7" w14:textId="77777777" w:rsidR="00E44576" w:rsidRPr="001570EA" w:rsidRDefault="00E44576">
            <w:pPr>
              <w:keepNext/>
              <w:jc w:val="center"/>
              <w:rPr>
                <w:rFonts w:cs="Arial"/>
                <w:color w:val="000000"/>
                <w:sz w:val="18"/>
                <w:szCs w:val="18"/>
              </w:rPr>
            </w:pPr>
            <w:r w:rsidRPr="001570EA">
              <w:rPr>
                <w:sz w:val="18"/>
                <w:szCs w:val="18"/>
              </w:rPr>
              <w:t>0.0493</w:t>
            </w:r>
          </w:p>
        </w:tc>
      </w:tr>
      <w:tr w:rsidR="00E44576" w:rsidRPr="001570EA" w14:paraId="0B5B9420" w14:textId="77777777" w:rsidTr="002C00D5">
        <w:trPr>
          <w:trHeight w:val="315"/>
        </w:trPr>
        <w:tc>
          <w:tcPr>
            <w:tcW w:w="3813" w:type="dxa"/>
            <w:shd w:val="clear" w:color="auto" w:fill="auto"/>
            <w:vAlign w:val="center"/>
          </w:tcPr>
          <w:p w14:paraId="1AC43367" w14:textId="77777777" w:rsidR="00E44576" w:rsidRPr="001570EA" w:rsidRDefault="00E44576">
            <w:pPr>
              <w:keepNext/>
              <w:rPr>
                <w:rFonts w:cs="Arial"/>
                <w:sz w:val="18"/>
                <w:szCs w:val="18"/>
              </w:rPr>
            </w:pPr>
            <w:r w:rsidRPr="001570EA">
              <w:rPr>
                <w:rFonts w:cs="Arial"/>
                <w:sz w:val="18"/>
                <w:szCs w:val="18"/>
              </w:rPr>
              <w:t>Pressure Cleaner Booster,</w:t>
            </w:r>
            <w:r w:rsidRPr="001570EA">
              <w:rPr>
                <w:sz w:val="18"/>
                <w:szCs w:val="18"/>
              </w:rPr>
              <w:t xml:space="preserve"> In-ground Pool</w:t>
            </w:r>
          </w:p>
        </w:tc>
        <w:tc>
          <w:tcPr>
            <w:tcW w:w="1061" w:type="dxa"/>
            <w:shd w:val="clear" w:color="auto" w:fill="auto"/>
            <w:vAlign w:val="center"/>
          </w:tcPr>
          <w:p w14:paraId="73F4C2FE" w14:textId="77777777" w:rsidR="00E44576" w:rsidRPr="001570EA" w:rsidRDefault="00E44576">
            <w:pPr>
              <w:keepNext/>
              <w:jc w:val="center"/>
              <w:rPr>
                <w:rFonts w:cs="Arial"/>
                <w:color w:val="000000"/>
                <w:sz w:val="18"/>
                <w:szCs w:val="18"/>
              </w:rPr>
            </w:pPr>
            <w:r w:rsidRPr="001570EA">
              <w:rPr>
                <w:sz w:val="18"/>
                <w:szCs w:val="18"/>
              </w:rPr>
              <w:t>67</w:t>
            </w:r>
          </w:p>
        </w:tc>
        <w:tc>
          <w:tcPr>
            <w:tcW w:w="1176" w:type="dxa"/>
            <w:shd w:val="clear" w:color="auto" w:fill="auto"/>
            <w:vAlign w:val="center"/>
          </w:tcPr>
          <w:p w14:paraId="0FE97C8B" w14:textId="77777777" w:rsidR="00E44576" w:rsidRPr="001570EA" w:rsidRDefault="00E44576">
            <w:pPr>
              <w:keepNext/>
              <w:jc w:val="center"/>
              <w:rPr>
                <w:rFonts w:cs="Arial"/>
                <w:sz w:val="18"/>
                <w:szCs w:val="18"/>
              </w:rPr>
            </w:pPr>
            <w:r w:rsidRPr="001570EA">
              <w:rPr>
                <w:rFonts w:cs="Arial"/>
                <w:sz w:val="18"/>
                <w:szCs w:val="18"/>
              </w:rPr>
              <w:t>0.0071</w:t>
            </w:r>
          </w:p>
        </w:tc>
      </w:tr>
      <w:tr w:rsidR="00E44576" w:rsidRPr="001570EA" w14:paraId="1F82FAE0" w14:textId="77777777" w:rsidTr="002C00D5">
        <w:trPr>
          <w:trHeight w:val="315"/>
        </w:trPr>
        <w:tc>
          <w:tcPr>
            <w:tcW w:w="3813" w:type="dxa"/>
            <w:shd w:val="clear" w:color="auto" w:fill="auto"/>
            <w:vAlign w:val="center"/>
          </w:tcPr>
          <w:p w14:paraId="534E48DF" w14:textId="77777777" w:rsidR="00E44576" w:rsidRPr="001570EA" w:rsidRDefault="00E44576">
            <w:pPr>
              <w:rPr>
                <w:rFonts w:cs="Arial"/>
                <w:sz w:val="18"/>
                <w:szCs w:val="18"/>
              </w:rPr>
            </w:pPr>
            <w:r w:rsidRPr="001570EA">
              <w:rPr>
                <w:rFonts w:cs="Arial"/>
                <w:sz w:val="18"/>
                <w:szCs w:val="18"/>
              </w:rPr>
              <w:t>Pressure Cleaner Booster,</w:t>
            </w:r>
            <w:r w:rsidRPr="001570EA">
              <w:rPr>
                <w:sz w:val="18"/>
                <w:szCs w:val="18"/>
              </w:rPr>
              <w:t xml:space="preserve"> Above-ground Pool</w:t>
            </w:r>
          </w:p>
        </w:tc>
        <w:tc>
          <w:tcPr>
            <w:tcW w:w="1061" w:type="dxa"/>
            <w:shd w:val="clear" w:color="auto" w:fill="auto"/>
            <w:vAlign w:val="center"/>
          </w:tcPr>
          <w:p w14:paraId="7D4E6428" w14:textId="77777777" w:rsidR="00E44576" w:rsidRPr="001570EA" w:rsidRDefault="00E44576">
            <w:pPr>
              <w:jc w:val="center"/>
              <w:rPr>
                <w:rFonts w:cs="Arial"/>
                <w:color w:val="000000"/>
                <w:sz w:val="18"/>
                <w:szCs w:val="18"/>
              </w:rPr>
            </w:pPr>
            <w:r w:rsidRPr="001570EA">
              <w:rPr>
                <w:sz w:val="18"/>
                <w:szCs w:val="18"/>
              </w:rPr>
              <w:t>32</w:t>
            </w:r>
          </w:p>
        </w:tc>
        <w:tc>
          <w:tcPr>
            <w:tcW w:w="1176" w:type="dxa"/>
            <w:shd w:val="clear" w:color="auto" w:fill="auto"/>
            <w:vAlign w:val="center"/>
          </w:tcPr>
          <w:p w14:paraId="436547DE" w14:textId="77777777" w:rsidR="00E44576" w:rsidRPr="001570EA" w:rsidRDefault="00E44576">
            <w:pPr>
              <w:jc w:val="center"/>
              <w:rPr>
                <w:rFonts w:cs="Arial"/>
                <w:sz w:val="18"/>
                <w:szCs w:val="18"/>
              </w:rPr>
            </w:pPr>
            <w:r w:rsidRPr="001570EA">
              <w:rPr>
                <w:rFonts w:cs="Arial"/>
                <w:sz w:val="18"/>
                <w:szCs w:val="18"/>
              </w:rPr>
              <w:t>0.0034</w:t>
            </w:r>
          </w:p>
        </w:tc>
      </w:tr>
    </w:tbl>
    <w:p w14:paraId="7EDF1413" w14:textId="77777777" w:rsidR="00E44576" w:rsidRPr="001570EA" w:rsidRDefault="00E44576" w:rsidP="00E44576">
      <w:pPr>
        <w:tabs>
          <w:tab w:val="left" w:pos="720"/>
        </w:tabs>
        <w:spacing w:before="120"/>
        <w:rPr>
          <w:rFonts w:cs="Arial"/>
        </w:rPr>
      </w:pPr>
    </w:p>
    <w:p w14:paraId="4F121FA7" w14:textId="77777777" w:rsidR="00E44576" w:rsidRPr="001570EA" w:rsidRDefault="00E44576" w:rsidP="00E44576">
      <w:pPr>
        <w:pStyle w:val="SubStyle"/>
      </w:pPr>
      <w:r w:rsidRPr="001570EA">
        <w:t>Evaluation Protocol</w:t>
      </w:r>
    </w:p>
    <w:p w14:paraId="0555222A" w14:textId="77777777" w:rsidR="00E44576" w:rsidRPr="001570EA" w:rsidRDefault="00E44576" w:rsidP="00E44576">
      <w:pPr>
        <w:spacing w:before="120"/>
        <w:rPr>
          <w:rFonts w:cs="Arial"/>
        </w:rPr>
      </w:pPr>
      <w:r w:rsidRPr="001570EA">
        <w:rPr>
          <w:rFonts w:cs="Arial"/>
        </w:rPr>
        <w:t>The most appropriate evaluation protocol for this measure is verification of installation coupled with survey on run time and speed settings. It may be helpful to work with pool service professionals in addition to surveying customers to obtain pump settings, as some customers may not be comfortable operating their pump controls. Working with a pool service professional may enable the evaluator to obtain more data points and more accurate data.</w:t>
      </w:r>
    </w:p>
    <w:p w14:paraId="2E0C463A" w14:textId="77777777" w:rsidR="00E44576" w:rsidRPr="001570EA" w:rsidRDefault="00E44576" w:rsidP="00E44576">
      <w:pPr>
        <w:rPr>
          <w:rFonts w:cs="Arial"/>
        </w:rPr>
      </w:pPr>
    </w:p>
    <w:p w14:paraId="27EEF5EA" w14:textId="77777777" w:rsidR="00E44576" w:rsidRPr="001570EA" w:rsidRDefault="00E44576" w:rsidP="00E44576">
      <w:pPr>
        <w:pStyle w:val="SubStyle"/>
      </w:pPr>
      <w:r w:rsidRPr="001570EA">
        <w:t>Sources</w:t>
      </w:r>
    </w:p>
    <w:p w14:paraId="155CD97E" w14:textId="307FD2EC" w:rsidR="00E44576" w:rsidRPr="001570EA" w:rsidRDefault="00E44576" w:rsidP="00152CD6">
      <w:pPr>
        <w:pStyle w:val="source10"/>
        <w:numPr>
          <w:ilvl w:val="0"/>
          <w:numId w:val="76"/>
        </w:numPr>
        <w:spacing w:after="120"/>
        <w:ind w:left="360"/>
        <w:jc w:val="left"/>
      </w:pPr>
      <w:r w:rsidRPr="001570EA">
        <w:t>California Electronic Technical Reference Manual: (2019). “VSD for Pool &amp; Spa Pump”. California Technical Forum. Retrieved February 4, 2022</w:t>
      </w:r>
      <w:r w:rsidR="003B390D">
        <w:t>.</w:t>
      </w:r>
      <w:r w:rsidRPr="001570EA">
        <w:t xml:space="preserve"> </w:t>
      </w:r>
      <w:hyperlink r:id="rId406" w:history="1">
        <w:r w:rsidR="003B390D" w:rsidRPr="00A23916">
          <w:rPr>
            <w:rStyle w:val="Hyperlink"/>
            <w:rFonts w:cs="Arial"/>
          </w:rPr>
          <w:t>Weblink</w:t>
        </w:r>
      </w:hyperlink>
      <w:r w:rsidR="003B390D" w:rsidRPr="001570EA">
        <w:t xml:space="preserve"> </w:t>
      </w:r>
    </w:p>
    <w:p w14:paraId="26107531" w14:textId="458C2C9F" w:rsidR="00E44576" w:rsidRPr="00597241" w:rsidRDefault="00E44576" w:rsidP="00152CD6">
      <w:pPr>
        <w:pStyle w:val="source10"/>
        <w:numPr>
          <w:ilvl w:val="0"/>
          <w:numId w:val="76"/>
        </w:numPr>
        <w:spacing w:after="120"/>
        <w:ind w:left="360"/>
        <w:jc w:val="left"/>
        <w:rPr>
          <w:rStyle w:val="Hyperlink"/>
          <w:rFonts w:cs="Arial"/>
          <w:color w:val="auto"/>
        </w:rPr>
      </w:pPr>
      <w:r w:rsidRPr="004831F5">
        <w:t>U.S. EPA. (2020). ENERGY STAR Pool Pump Calculator. Retrieved July 31, 2020</w:t>
      </w:r>
      <w:r w:rsidR="00A23916" w:rsidRPr="004831F5">
        <w:t>.</w:t>
      </w:r>
      <w:r w:rsidRPr="004831F5">
        <w:t xml:space="preserve"> </w:t>
      </w:r>
      <w:hyperlink r:id="rId407" w:history="1">
        <w:r w:rsidR="00A23916" w:rsidRPr="008D0931">
          <w:rPr>
            <w:rStyle w:val="Hyperlink"/>
            <w:rFonts w:cs="Arial"/>
          </w:rPr>
          <w:t>Weblink</w:t>
        </w:r>
      </w:hyperlink>
      <w:r w:rsidR="00A23916" w:rsidRPr="008D0931">
        <w:rPr>
          <w:rStyle w:val="Hyperlink"/>
          <w:rFonts w:cs="Arial"/>
        </w:rPr>
        <w:t xml:space="preserve"> </w:t>
      </w:r>
    </w:p>
    <w:p w14:paraId="606C980A" w14:textId="6951FE2F" w:rsidR="00E44576" w:rsidRPr="00597241" w:rsidRDefault="00CD4893" w:rsidP="00152CD6">
      <w:pPr>
        <w:pStyle w:val="source10"/>
        <w:numPr>
          <w:ilvl w:val="0"/>
          <w:numId w:val="76"/>
        </w:numPr>
        <w:spacing w:after="120"/>
        <w:ind w:left="360"/>
        <w:jc w:val="left"/>
        <w:rPr>
          <w:rStyle w:val="Hyperlink"/>
          <w:rFonts w:cs="Arial"/>
          <w:color w:val="auto"/>
        </w:rPr>
      </w:pPr>
      <w:r w:rsidRPr="00597241">
        <w:t xml:space="preserve">10 CFR 431.465(f) </w:t>
      </w:r>
      <w:hyperlink r:id="rId408" w:anchor="p-431.465(f)" w:history="1">
        <w:r w:rsidRPr="008D0931">
          <w:rPr>
            <w:rStyle w:val="Hyperlink"/>
            <w:rFonts w:cs="Arial"/>
          </w:rPr>
          <w:t>Weblink</w:t>
        </w:r>
      </w:hyperlink>
      <w:r w:rsidRPr="00597241">
        <w:rPr>
          <w:rStyle w:val="Hyperlink"/>
          <w:rFonts w:cs="Arial"/>
          <w:color w:val="auto"/>
        </w:rPr>
        <w:t xml:space="preserve"> </w:t>
      </w:r>
    </w:p>
    <w:p w14:paraId="41119D29" w14:textId="2532F620" w:rsidR="00E44576" w:rsidRPr="001570EA" w:rsidRDefault="00E44576" w:rsidP="00152CD6">
      <w:pPr>
        <w:pStyle w:val="source10"/>
        <w:numPr>
          <w:ilvl w:val="0"/>
          <w:numId w:val="76"/>
        </w:numPr>
        <w:spacing w:after="120"/>
        <w:ind w:left="360"/>
        <w:jc w:val="left"/>
      </w:pPr>
      <w:r w:rsidRPr="004831F5">
        <w:t>U.S. EPA. (2021).</w:t>
      </w:r>
      <w:r w:rsidRPr="001570EA">
        <w:t xml:space="preserve"> ENERGY STAR Program Requirements for Pool Pumps Version 3.1.Retrieved February 4, 2022</w:t>
      </w:r>
      <w:r w:rsidR="003F07D4">
        <w:t>.</w:t>
      </w:r>
      <w:r w:rsidRPr="001570EA">
        <w:t xml:space="preserve"> </w:t>
      </w:r>
      <w:hyperlink r:id="rId409" w:history="1">
        <w:r w:rsidR="003F07D4" w:rsidRPr="003F07D4">
          <w:rPr>
            <w:rStyle w:val="Hyperlink"/>
            <w:rFonts w:cs="Arial"/>
          </w:rPr>
          <w:t>Weblink</w:t>
        </w:r>
      </w:hyperlink>
      <w:r w:rsidR="003F07D4" w:rsidRPr="001570EA">
        <w:t xml:space="preserve"> </w:t>
      </w:r>
    </w:p>
    <w:p w14:paraId="5BC70C74" w14:textId="6400D4DA" w:rsidR="00E44576" w:rsidRPr="001570EA" w:rsidRDefault="00E44576" w:rsidP="00152CD6">
      <w:pPr>
        <w:pStyle w:val="source10"/>
        <w:numPr>
          <w:ilvl w:val="0"/>
          <w:numId w:val="76"/>
        </w:numPr>
        <w:spacing w:after="120"/>
        <w:ind w:left="360"/>
      </w:pPr>
      <w:r w:rsidRPr="001570EA">
        <w:t xml:space="preserve">Engineering judgement. Source 1 Gives 15,700 gallons (15,754 in reference R802), </w:t>
      </w:r>
      <w:r w:rsidR="00392EFD" w:rsidRPr="001570EA">
        <w:t>Source</w:t>
      </w:r>
      <w:r w:rsidRPr="001570EA">
        <w:t xml:space="preserve"> 2 gives 22,000 gallons, and Source 8 gives 15,147 gallons.</w:t>
      </w:r>
    </w:p>
    <w:p w14:paraId="7E35A0D1" w14:textId="69B8AB2A" w:rsidR="00E44576" w:rsidRPr="001570EA" w:rsidRDefault="00E44576" w:rsidP="00152CD6">
      <w:pPr>
        <w:pStyle w:val="source10"/>
        <w:numPr>
          <w:ilvl w:val="0"/>
          <w:numId w:val="76"/>
        </w:numPr>
        <w:spacing w:after="120"/>
        <w:ind w:left="360"/>
        <w:jc w:val="left"/>
      </w:pPr>
      <w:r w:rsidRPr="001570EA">
        <w:t>International Swimming Pool and Spa Code. (2015). Section 810.1. Retrieved February 4, 2022</w:t>
      </w:r>
      <w:r w:rsidR="006E7A36">
        <w:t>.</w:t>
      </w:r>
      <w:r w:rsidRPr="001570EA">
        <w:t xml:space="preserve"> </w:t>
      </w:r>
      <w:hyperlink r:id="rId410" w:anchor="ISPSC2018_Ch08_Sec810.1" w:history="1">
        <w:r w:rsidR="006E7A36" w:rsidRPr="006E7A36">
          <w:rPr>
            <w:rStyle w:val="Hyperlink"/>
            <w:rFonts w:cs="Arial"/>
          </w:rPr>
          <w:t>Weblink</w:t>
        </w:r>
      </w:hyperlink>
      <w:r w:rsidR="006E7A36" w:rsidRPr="001570EA">
        <w:t xml:space="preserve"> </w:t>
      </w:r>
    </w:p>
    <w:p w14:paraId="6A677A98" w14:textId="5345D691" w:rsidR="00E44576" w:rsidRPr="001570EA" w:rsidRDefault="00E44576" w:rsidP="00152CD6">
      <w:pPr>
        <w:pStyle w:val="source10"/>
        <w:numPr>
          <w:ilvl w:val="0"/>
          <w:numId w:val="76"/>
        </w:numPr>
        <w:spacing w:after="120"/>
        <w:ind w:left="360"/>
      </w:pPr>
      <w:r w:rsidRPr="001570EA">
        <w:t>To maximize energy savings</w:t>
      </w:r>
      <w:r w:rsidR="004A7763">
        <w:t>,</w:t>
      </w:r>
      <w:r w:rsidRPr="001570EA">
        <w:t xml:space="preserve"> it is assumed that the pump runs 24 hours per day, which includes 100% of peak.</w:t>
      </w:r>
    </w:p>
    <w:p w14:paraId="1ED6FF0C" w14:textId="391E9DF5" w:rsidR="00E44576" w:rsidRPr="001570EA" w:rsidRDefault="00E44576" w:rsidP="00152CD6">
      <w:pPr>
        <w:pStyle w:val="source10"/>
        <w:numPr>
          <w:ilvl w:val="0"/>
          <w:numId w:val="76"/>
        </w:numPr>
        <w:spacing w:after="120"/>
        <w:ind w:left="360"/>
      </w:pPr>
      <w:r w:rsidRPr="00597241">
        <w:rPr>
          <w:lang w:val="fr-FR"/>
        </w:rPr>
        <w:t xml:space="preserve">Koeller, J., Hoffman, H.W., </w:t>
      </w:r>
      <w:r w:rsidRPr="00597241">
        <w:rPr>
          <w:i/>
          <w:lang w:val="fr-FR"/>
        </w:rPr>
        <w:t>et al</w:t>
      </w:r>
      <w:r w:rsidRPr="00597241">
        <w:rPr>
          <w:lang w:val="fr-FR"/>
        </w:rPr>
        <w:t xml:space="preserve">. </w:t>
      </w:r>
      <w:r w:rsidRPr="001570EA">
        <w:t>(2010). “Evaluation of Potential Best Management Practices - Pools, Spas, and Fountains.” Retrieved on February 21, 2022</w:t>
      </w:r>
      <w:r w:rsidR="00B130D6">
        <w:t>.</w:t>
      </w:r>
      <w:r w:rsidRPr="001570EA">
        <w:t xml:space="preserve"> </w:t>
      </w:r>
      <w:hyperlink r:id="rId411" w:history="1">
        <w:r w:rsidR="006E7A36" w:rsidRPr="006E7A36">
          <w:rPr>
            <w:rStyle w:val="Hyperlink"/>
            <w:rFonts w:cs="Arial"/>
          </w:rPr>
          <w:t>Weblink</w:t>
        </w:r>
      </w:hyperlink>
      <w:r w:rsidR="006E7A36" w:rsidRPr="001570EA">
        <w:t xml:space="preserve"> </w:t>
      </w:r>
    </w:p>
    <w:p w14:paraId="3903436E" w14:textId="669E90D9" w:rsidR="00E44576" w:rsidRPr="001570EA" w:rsidRDefault="00E44576" w:rsidP="00152CD6">
      <w:pPr>
        <w:pStyle w:val="source10"/>
        <w:numPr>
          <w:ilvl w:val="0"/>
          <w:numId w:val="76"/>
        </w:numPr>
        <w:spacing w:after="120"/>
        <w:ind w:left="360"/>
        <w:jc w:val="left"/>
      </w:pPr>
      <w:r w:rsidRPr="001570EA">
        <w:t>International Swimming Pool and Spa Code. (2015). Section 704.4. Accessed February 4, 2022.</w:t>
      </w:r>
      <w:r w:rsidR="000F69C8">
        <w:t xml:space="preserve"> </w:t>
      </w:r>
      <w:hyperlink r:id="rId412" w:anchor="ISPSC2018_Ch07_Sec704.4" w:history="1">
        <w:r w:rsidR="000F69C8" w:rsidRPr="000F69C8">
          <w:rPr>
            <w:rStyle w:val="Hyperlink"/>
            <w:rFonts w:cs="Arial"/>
          </w:rPr>
          <w:t>Weblink</w:t>
        </w:r>
      </w:hyperlink>
      <w:r w:rsidRPr="001570EA">
        <w:t xml:space="preserve"> </w:t>
      </w:r>
    </w:p>
    <w:p w14:paraId="4D3EA528" w14:textId="4F162C96" w:rsidR="00E44576" w:rsidRPr="001570EA" w:rsidRDefault="00E44576" w:rsidP="00152CD6">
      <w:pPr>
        <w:pStyle w:val="source10"/>
        <w:numPr>
          <w:ilvl w:val="0"/>
          <w:numId w:val="76"/>
        </w:numPr>
        <w:spacing w:after="120"/>
        <w:ind w:left="360"/>
        <w:jc w:val="left"/>
      </w:pPr>
      <w:r w:rsidRPr="001570EA">
        <w:t>U.S. EPA. (2013). ENERGY STAR Pool Pump Calculator. Retrieved July 31, 2020</w:t>
      </w:r>
      <w:r w:rsidR="000F69C8">
        <w:t>.</w:t>
      </w:r>
      <w:r w:rsidRPr="001570EA">
        <w:t xml:space="preserve"> </w:t>
      </w:r>
      <w:hyperlink r:id="rId413" w:history="1">
        <w:r w:rsidR="000F69C8" w:rsidRPr="000F69C8">
          <w:rPr>
            <w:rStyle w:val="Hyperlink"/>
            <w:rFonts w:cs="Arial"/>
          </w:rPr>
          <w:t>Weblink</w:t>
        </w:r>
      </w:hyperlink>
      <w:r w:rsidR="000F69C8">
        <w:t xml:space="preserve"> </w:t>
      </w:r>
    </w:p>
    <w:p w14:paraId="7752D355" w14:textId="6D19CC02" w:rsidR="00E44576" w:rsidRPr="001570EA" w:rsidRDefault="00E44576" w:rsidP="00152CD6">
      <w:pPr>
        <w:pStyle w:val="source10"/>
        <w:numPr>
          <w:ilvl w:val="0"/>
          <w:numId w:val="76"/>
        </w:numPr>
        <w:spacing w:after="120"/>
        <w:ind w:left="360"/>
        <w:jc w:val="left"/>
      </w:pPr>
      <w:bookmarkStart w:id="1262" w:name="_Hlk157422310"/>
      <w:r w:rsidRPr="001570EA">
        <w:t xml:space="preserve">Southern California Edison. (2008). Pool Pump Demand Response Potential: Demand and Run-time Monitored Data. </w:t>
      </w:r>
      <w:r w:rsidR="008577A9">
        <w:t xml:space="preserve">Page 22, Table 16. </w:t>
      </w:r>
      <w:hyperlink r:id="rId414" w:history="1">
        <w:r w:rsidR="00F51608" w:rsidRPr="00F51608">
          <w:rPr>
            <w:rStyle w:val="Hyperlink"/>
            <w:rFonts w:cs="Arial"/>
          </w:rPr>
          <w:t>Weblink</w:t>
        </w:r>
      </w:hyperlink>
      <w:r w:rsidR="00F51608" w:rsidRPr="001570EA">
        <w:t xml:space="preserve"> </w:t>
      </w:r>
      <w:r w:rsidRPr="001570EA">
        <w:rPr>
          <w:rFonts w:cs="Times New Roman"/>
        </w:rPr>
        <w:br/>
      </w:r>
    </w:p>
    <w:bookmarkEnd w:id="1262"/>
    <w:p w14:paraId="3F8261FC" w14:textId="77777777" w:rsidR="00E44576" w:rsidRPr="001570EA" w:rsidRDefault="00E44576" w:rsidP="00E44576">
      <w:pPr>
        <w:spacing w:after="160" w:line="259" w:lineRule="auto"/>
        <w:jc w:val="left"/>
      </w:pPr>
      <w:r w:rsidRPr="001570EA">
        <w:br w:type="page"/>
      </w:r>
    </w:p>
    <w:p w14:paraId="07F5CF00" w14:textId="77777777" w:rsidR="00E44576" w:rsidRPr="001570EA" w:rsidRDefault="00E44576" w:rsidP="00C64DB8">
      <w:pPr>
        <w:pStyle w:val="Heading3"/>
      </w:pPr>
      <w:bookmarkStart w:id="1263" w:name="_Toc164786688"/>
      <w:r w:rsidRPr="001570EA">
        <w:t>Single Speed Pool Pump Replacement</w:t>
      </w:r>
      <w:bookmarkEnd w:id="12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5013"/>
      </w:tblGrid>
      <w:tr w:rsidR="00E44576" w:rsidRPr="001570EA" w14:paraId="3EE138CA" w14:textId="77777777">
        <w:trPr>
          <w:trHeight w:val="360"/>
        </w:trPr>
        <w:tc>
          <w:tcPr>
            <w:tcW w:w="3509" w:type="dxa"/>
            <w:shd w:val="clear" w:color="auto" w:fill="auto"/>
          </w:tcPr>
          <w:p w14:paraId="7C12ED4A" w14:textId="77777777" w:rsidR="00E44576" w:rsidRPr="001570EA" w:rsidRDefault="00E44576">
            <w:pPr>
              <w:pStyle w:val="TableCell"/>
              <w:spacing w:before="60" w:after="60"/>
              <w:rPr>
                <w:b/>
                <w:sz w:val="20"/>
              </w:rPr>
            </w:pPr>
            <w:r w:rsidRPr="001570EA">
              <w:rPr>
                <w:b/>
              </w:rPr>
              <w:t>Target Sector</w:t>
            </w:r>
          </w:p>
        </w:tc>
        <w:tc>
          <w:tcPr>
            <w:tcW w:w="5013" w:type="dxa"/>
            <w:shd w:val="clear" w:color="auto" w:fill="auto"/>
          </w:tcPr>
          <w:p w14:paraId="7D263C38" w14:textId="77777777" w:rsidR="00E44576" w:rsidRPr="001570EA" w:rsidRDefault="00E44576">
            <w:pPr>
              <w:pStyle w:val="TableCell"/>
              <w:spacing w:before="60" w:after="60"/>
              <w:jc w:val="center"/>
              <w:rPr>
                <w:rFonts w:eastAsia="Arial Unicode MS" w:cs="Arial"/>
                <w:i/>
                <w:iCs/>
                <w:sz w:val="20"/>
                <w:szCs w:val="24"/>
              </w:rPr>
            </w:pPr>
            <w:r w:rsidRPr="001570EA">
              <w:t>Residential</w:t>
            </w:r>
          </w:p>
        </w:tc>
      </w:tr>
      <w:tr w:rsidR="00E44576" w:rsidRPr="001570EA" w14:paraId="6AF56E87" w14:textId="77777777">
        <w:trPr>
          <w:trHeight w:val="360"/>
        </w:trPr>
        <w:tc>
          <w:tcPr>
            <w:tcW w:w="3509" w:type="dxa"/>
            <w:shd w:val="clear" w:color="auto" w:fill="auto"/>
          </w:tcPr>
          <w:p w14:paraId="614C6E61" w14:textId="77777777" w:rsidR="00E44576" w:rsidRPr="001570EA" w:rsidRDefault="00E44576">
            <w:pPr>
              <w:pStyle w:val="TableCell"/>
              <w:spacing w:before="60" w:after="60"/>
              <w:rPr>
                <w:b/>
                <w:sz w:val="20"/>
              </w:rPr>
            </w:pPr>
            <w:r w:rsidRPr="001570EA">
              <w:rPr>
                <w:b/>
              </w:rPr>
              <w:t>Measure Unit</w:t>
            </w:r>
          </w:p>
        </w:tc>
        <w:tc>
          <w:tcPr>
            <w:tcW w:w="5013" w:type="dxa"/>
            <w:shd w:val="clear" w:color="auto" w:fill="auto"/>
          </w:tcPr>
          <w:p w14:paraId="4C3366A4" w14:textId="77777777" w:rsidR="00E44576" w:rsidRPr="001570EA" w:rsidRDefault="00E44576">
            <w:pPr>
              <w:pStyle w:val="TableCell"/>
              <w:spacing w:before="60" w:after="60"/>
              <w:jc w:val="center"/>
              <w:rPr>
                <w:rFonts w:eastAsia="Arial Unicode MS" w:cs="Arial"/>
                <w:i/>
                <w:iCs/>
                <w:sz w:val="20"/>
                <w:szCs w:val="24"/>
              </w:rPr>
            </w:pPr>
            <w:r w:rsidRPr="001570EA">
              <w:t>VFD Pool Pumps</w:t>
            </w:r>
          </w:p>
        </w:tc>
      </w:tr>
      <w:tr w:rsidR="00E44576" w:rsidRPr="001570EA" w14:paraId="3B55198E" w14:textId="77777777">
        <w:trPr>
          <w:trHeight w:val="360"/>
        </w:trPr>
        <w:tc>
          <w:tcPr>
            <w:tcW w:w="3509" w:type="dxa"/>
            <w:shd w:val="clear" w:color="auto" w:fill="auto"/>
          </w:tcPr>
          <w:p w14:paraId="649E1FC9" w14:textId="77777777" w:rsidR="00E44576" w:rsidRPr="001570EA" w:rsidRDefault="00E44576">
            <w:pPr>
              <w:pStyle w:val="TableCell"/>
              <w:spacing w:before="60" w:after="60"/>
              <w:rPr>
                <w:b/>
                <w:sz w:val="20"/>
              </w:rPr>
            </w:pPr>
            <w:r w:rsidRPr="001570EA">
              <w:rPr>
                <w:b/>
              </w:rPr>
              <w:t>Measure Life</w:t>
            </w:r>
          </w:p>
        </w:tc>
        <w:tc>
          <w:tcPr>
            <w:tcW w:w="5013" w:type="dxa"/>
            <w:shd w:val="clear" w:color="auto" w:fill="auto"/>
          </w:tcPr>
          <w:p w14:paraId="21364DD8" w14:textId="77777777" w:rsidR="00E44576" w:rsidRPr="001570EA" w:rsidRDefault="00E44576">
            <w:pPr>
              <w:pStyle w:val="TableCell"/>
              <w:spacing w:before="60" w:after="60"/>
              <w:jc w:val="center"/>
              <w:rPr>
                <w:rFonts w:eastAsia="Arial Unicode MS" w:cs="Arial"/>
                <w:i/>
                <w:iCs/>
                <w:sz w:val="20"/>
                <w:szCs w:val="24"/>
                <w:vertAlign w:val="superscript"/>
              </w:rPr>
            </w:pPr>
            <w:r w:rsidRPr="001570EA">
              <w:t>3.3 years</w:t>
            </w:r>
            <w:r w:rsidRPr="001570EA">
              <w:rPr>
                <w:vertAlign w:val="superscript"/>
              </w:rPr>
              <w:t>Source 1</w:t>
            </w:r>
          </w:p>
        </w:tc>
      </w:tr>
      <w:tr w:rsidR="00E44576" w:rsidRPr="001570EA" w14:paraId="4FFA99DE" w14:textId="77777777">
        <w:trPr>
          <w:trHeight w:val="360"/>
        </w:trPr>
        <w:tc>
          <w:tcPr>
            <w:tcW w:w="3509" w:type="dxa"/>
            <w:shd w:val="clear" w:color="auto" w:fill="auto"/>
          </w:tcPr>
          <w:p w14:paraId="4AC23E5E" w14:textId="77777777" w:rsidR="00E44576" w:rsidRPr="001570EA" w:rsidRDefault="00E44576">
            <w:pPr>
              <w:pStyle w:val="TableCell"/>
              <w:spacing w:before="60" w:after="60"/>
              <w:rPr>
                <w:b/>
              </w:rPr>
            </w:pPr>
            <w:r w:rsidRPr="001570EA">
              <w:rPr>
                <w:b/>
              </w:rPr>
              <w:t>Vintage</w:t>
            </w:r>
          </w:p>
        </w:tc>
        <w:tc>
          <w:tcPr>
            <w:tcW w:w="5013" w:type="dxa"/>
            <w:shd w:val="clear" w:color="auto" w:fill="auto"/>
          </w:tcPr>
          <w:p w14:paraId="18DF7790" w14:textId="77777777" w:rsidR="00E44576" w:rsidRPr="001570EA" w:rsidRDefault="00E44576">
            <w:pPr>
              <w:pStyle w:val="TableCell"/>
              <w:spacing w:before="60" w:after="60"/>
              <w:jc w:val="center"/>
            </w:pPr>
            <w:r w:rsidRPr="001570EA">
              <w:rPr>
                <w:color w:val="000000"/>
              </w:rPr>
              <w:t xml:space="preserve">Early </w:t>
            </w:r>
            <w:r w:rsidRPr="001570EA">
              <w:t>Replacement</w:t>
            </w:r>
          </w:p>
        </w:tc>
      </w:tr>
    </w:tbl>
    <w:p w14:paraId="5BEDA939" w14:textId="77777777" w:rsidR="00E44576" w:rsidRPr="001570EA" w:rsidRDefault="00E44576" w:rsidP="00E44576"/>
    <w:p w14:paraId="4781C5CD" w14:textId="77777777" w:rsidR="00E44576" w:rsidRPr="001570EA" w:rsidRDefault="00E44576" w:rsidP="00E44576">
      <w:r w:rsidRPr="001570EA">
        <w:t>In this measure a variable speed pool pump must be purchased and installed on a residential pool to replace an existing single-speed pool pump. Residential variable frequency drive (VFD) pool pumps can be adjusted to match the minimal flow required for each application. This typically involves running all-day long at the flow rate necessary to achieve the desired number of turnovers per day. Reducing the flow rate results in significant energy savings because even though the run time is extended proportional to the reduction in flow rate, pump power scales with the cube of the flow rate. For example, halving the flow doubles the time required to process the same volume of water, but the flow power consumption is reduced by 87.5%.</w:t>
      </w:r>
    </w:p>
    <w:p w14:paraId="588E17FF" w14:textId="77777777" w:rsidR="00E44576" w:rsidRPr="001570EA" w:rsidRDefault="00E44576" w:rsidP="00E44576"/>
    <w:p w14:paraId="5E3B7943" w14:textId="77777777" w:rsidR="00E44576" w:rsidRPr="001570EA" w:rsidRDefault="00E44576" w:rsidP="00E44576">
      <w:r w:rsidRPr="001570EA">
        <w:t>If the replacement pump is ENERGY STAR qualified, measure 2.8.1 ENERGY STAR Pool Pumps may also be applied for the same equipment.</w:t>
      </w:r>
    </w:p>
    <w:p w14:paraId="2AA7E133" w14:textId="77777777" w:rsidR="00E44576" w:rsidRPr="001570EA" w:rsidRDefault="00E44576" w:rsidP="00E44576"/>
    <w:p w14:paraId="05771D8C" w14:textId="77777777" w:rsidR="00E44576" w:rsidRPr="001570EA" w:rsidRDefault="00E44576" w:rsidP="00E44576">
      <w:pPr>
        <w:pStyle w:val="SubStyle"/>
      </w:pPr>
      <w:r w:rsidRPr="001570EA">
        <w:t>Eligibility</w:t>
      </w:r>
    </w:p>
    <w:p w14:paraId="45B54A4B" w14:textId="77777777" w:rsidR="00E44576" w:rsidRPr="001570EA" w:rsidRDefault="00E44576" w:rsidP="00E44576">
      <w:r w:rsidRPr="001570EA">
        <w:t>To qualify for this rebate a variable speed pool pump must be purchased and installed on a residential pool to replace an existing single speed pool pump. The target sector primarily consists of single-family residences.</w:t>
      </w:r>
    </w:p>
    <w:p w14:paraId="56EFEF32" w14:textId="77777777" w:rsidR="00E44576" w:rsidRPr="001570EA" w:rsidRDefault="00E44576" w:rsidP="00E44576"/>
    <w:p w14:paraId="4DB823BC" w14:textId="77777777" w:rsidR="00E44576" w:rsidRPr="001570EA" w:rsidRDefault="00E44576" w:rsidP="00E44576">
      <w:pPr>
        <w:pStyle w:val="SubStyle"/>
      </w:pPr>
      <w:r w:rsidRPr="001570EA">
        <w:t>Algorithms</w:t>
      </w:r>
    </w:p>
    <w:p w14:paraId="2C3FC395" w14:textId="77777777" w:rsidR="00E44576" w:rsidRPr="001570EA" w:rsidRDefault="00E44576" w:rsidP="00E44576">
      <w:pPr>
        <w:spacing w:after="120"/>
        <w:rPr>
          <w:rFonts w:cs="Arial"/>
        </w:rPr>
      </w:pPr>
      <w:r w:rsidRPr="001570EA">
        <w:t>This protocol documents the energy savings attributed to variable frequency drive pool pumps in various pool sizes. These pumps are generally configured to run 24 hours per day at low speed because a pump’s power requirements increase with the cube of its speed.</w:t>
      </w:r>
      <w:r w:rsidRPr="001570EA">
        <w:rPr>
          <w:rFonts w:cs="Arial"/>
        </w:rPr>
        <w:t xml:space="preserve"> Most VFD pool pumps can display instantaneous flow and power.</w:t>
      </w:r>
    </w:p>
    <w:p w14:paraId="253EEE44" w14:textId="77777777" w:rsidR="00E44576" w:rsidRPr="001570EA" w:rsidRDefault="00E44576" w:rsidP="00E44576">
      <w:pPr>
        <w:spacing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6483"/>
      </w:tblGrid>
      <w:tr w:rsidR="00E44576" w:rsidRPr="001570EA" w14:paraId="666DFC1A" w14:textId="77777777">
        <w:tc>
          <w:tcPr>
            <w:tcW w:w="1350" w:type="dxa"/>
            <w:vAlign w:val="center"/>
          </w:tcPr>
          <w:p w14:paraId="7A4776F3" w14:textId="77777777" w:rsidR="00E44576" w:rsidRPr="001570EA" w:rsidRDefault="00E44576">
            <w:pPr>
              <w:pStyle w:val="Equation"/>
              <w:ind w:left="0" w:firstLine="0"/>
              <w:rPr>
                <w:rFonts w:eastAsia="Times New Roman"/>
                <w:i w:val="0"/>
                <w:szCs w:val="20"/>
              </w:rPr>
            </w:pPr>
            <m:oMathPara>
              <m:oMathParaPr>
                <m:jc m:val="left"/>
              </m:oMathParaPr>
              <m:oMath>
                <m:r>
                  <w:rPr>
                    <w:rFonts w:ascii="Cambria Math" w:hAnsi="Cambria Math" w:cs="Arial"/>
                    <w:szCs w:val="20"/>
                  </w:rPr>
                  <m:t>∆kWh</m:t>
                </m:r>
              </m:oMath>
            </m:oMathPara>
          </w:p>
        </w:tc>
        <w:tc>
          <w:tcPr>
            <w:tcW w:w="6483" w:type="dxa"/>
          </w:tcPr>
          <w:p w14:paraId="22AB36B9" w14:textId="77777777" w:rsidR="00E44576" w:rsidRPr="001570EA" w:rsidRDefault="00E44576">
            <w:pPr>
              <w:pStyle w:val="Equation"/>
              <w:ind w:left="0" w:firstLine="0"/>
              <w:rPr>
                <w:rFonts w:eastAsia="Times New Roman"/>
                <w:i w:val="0"/>
                <w:szCs w:val="20"/>
              </w:rPr>
            </w:pPr>
            <m:oMathPara>
              <m:oMathParaPr>
                <m:jc m:val="left"/>
              </m:oMathParaPr>
              <m:oMath>
                <m:r>
                  <w:rPr>
                    <w:rFonts w:ascii="Cambria Math" w:hAnsi="Cambria Math" w:cs="Arial"/>
                    <w:szCs w:val="20"/>
                  </w:rPr>
                  <m:t>=</m:t>
                </m:r>
                <m:f>
                  <m:fPr>
                    <m:ctrlPr>
                      <w:rPr>
                        <w:rFonts w:ascii="Cambria Math" w:hAnsi="Cambria Math" w:cs="Arial"/>
                        <w:i w:val="0"/>
                        <w:szCs w:val="20"/>
                      </w:rPr>
                    </m:ctrlPr>
                  </m:fPr>
                  <m:num>
                    <m:r>
                      <w:rPr>
                        <w:rFonts w:ascii="Cambria Math" w:hAnsi="Cambria Math" w:cs="Arial"/>
                        <w:szCs w:val="20"/>
                      </w:rPr>
                      <m:t>Volume×Turnover×Days</m:t>
                    </m:r>
                  </m:num>
                  <m:den>
                    <m:r>
                      <w:rPr>
                        <w:rFonts w:ascii="Cambria Math" w:hAnsi="Cambria Math" w:cs="Arial"/>
                        <w:szCs w:val="20"/>
                      </w:rPr>
                      <m:t>1,000</m:t>
                    </m:r>
                  </m:den>
                </m:f>
                <m:r>
                  <w:rPr>
                    <w:rFonts w:ascii="Cambria Math" w:hAnsi="Cambria Math" w:cs="Arial"/>
                    <w:szCs w:val="20"/>
                  </w:rPr>
                  <m:t>×</m:t>
                </m:r>
                <m:d>
                  <m:dPr>
                    <m:ctrlPr>
                      <w:rPr>
                        <w:rFonts w:ascii="Cambria Math" w:hAnsi="Cambria Math" w:cs="Arial"/>
                        <w:szCs w:val="20"/>
                      </w:rPr>
                    </m:ctrlPr>
                  </m:dPr>
                  <m:e>
                    <m:f>
                      <m:fPr>
                        <m:ctrlPr>
                          <w:rPr>
                            <w:rFonts w:ascii="Cambria Math" w:hAnsi="Cambria Math" w:cs="Arial"/>
                            <w:szCs w:val="20"/>
                          </w:rPr>
                        </m:ctrlPr>
                      </m:fPr>
                      <m:num>
                        <m:r>
                          <w:rPr>
                            <w:rFonts w:ascii="Cambria Math" w:hAnsi="Cambria Math" w:cs="Arial"/>
                            <w:szCs w:val="20"/>
                          </w:rPr>
                          <m:t>1</m:t>
                        </m:r>
                      </m:num>
                      <m:den>
                        <m:sSub>
                          <m:sSubPr>
                            <m:ctrlPr>
                              <w:rPr>
                                <w:rFonts w:ascii="Cambria Math" w:hAnsi="Cambria Math" w:cs="Arial"/>
                                <w:szCs w:val="20"/>
                              </w:rPr>
                            </m:ctrlPr>
                          </m:sSubPr>
                          <m:e>
                            <m:r>
                              <w:rPr>
                                <w:rFonts w:ascii="Cambria Math" w:hAnsi="Cambria Math" w:cs="Arial"/>
                                <w:szCs w:val="20"/>
                              </w:rPr>
                              <m:t>EF</m:t>
                            </m:r>
                          </m:e>
                          <m:sub>
                            <m:r>
                              <w:rPr>
                                <w:rFonts w:ascii="Cambria Math" w:hAnsi="Cambria Math" w:cs="Arial"/>
                                <w:szCs w:val="20"/>
                              </w:rPr>
                              <m:t>base</m:t>
                            </m:r>
                          </m:sub>
                        </m:sSub>
                      </m:den>
                    </m:f>
                    <m:r>
                      <w:rPr>
                        <w:rFonts w:ascii="Cambria Math" w:hAnsi="Cambria Math" w:cs="Arial"/>
                        <w:szCs w:val="20"/>
                      </w:rPr>
                      <m:t>-</m:t>
                    </m:r>
                    <m:f>
                      <m:fPr>
                        <m:ctrlPr>
                          <w:rPr>
                            <w:rFonts w:ascii="Cambria Math" w:hAnsi="Cambria Math" w:cs="Arial"/>
                            <w:szCs w:val="20"/>
                          </w:rPr>
                        </m:ctrlPr>
                      </m:fPr>
                      <m:num>
                        <m:r>
                          <w:rPr>
                            <w:rFonts w:ascii="Cambria Math" w:hAnsi="Cambria Math" w:cs="Arial"/>
                            <w:szCs w:val="20"/>
                          </w:rPr>
                          <m:t>1</m:t>
                        </m:r>
                      </m:num>
                      <m:den>
                        <m:sSub>
                          <m:sSubPr>
                            <m:ctrlPr>
                              <w:rPr>
                                <w:rFonts w:ascii="Cambria Math" w:hAnsi="Cambria Math" w:cs="Arial"/>
                                <w:szCs w:val="20"/>
                              </w:rPr>
                            </m:ctrlPr>
                          </m:sSubPr>
                          <m:e>
                            <m:r>
                              <w:rPr>
                                <w:rFonts w:ascii="Cambria Math" w:hAnsi="Cambria Math" w:cs="Arial"/>
                                <w:szCs w:val="20"/>
                              </w:rPr>
                              <m:t>WEF</m:t>
                            </m:r>
                          </m:e>
                          <m:sub>
                            <m:r>
                              <w:rPr>
                                <w:rFonts w:ascii="Cambria Math" w:hAnsi="Cambria Math" w:cs="Arial"/>
                                <w:szCs w:val="20"/>
                              </w:rPr>
                              <m:t>CFR</m:t>
                            </m:r>
                          </m:sub>
                        </m:sSub>
                      </m:den>
                    </m:f>
                  </m:e>
                </m:d>
              </m:oMath>
            </m:oMathPara>
          </w:p>
          <w:p w14:paraId="1D5F2728" w14:textId="77777777" w:rsidR="00E44576" w:rsidRPr="001570EA" w:rsidRDefault="00E44576">
            <w:pPr>
              <w:pStyle w:val="Equation"/>
              <w:ind w:left="0" w:firstLine="0"/>
              <w:rPr>
                <w:rFonts w:eastAsia="Times New Roman"/>
                <w:i w:val="0"/>
                <w:sz w:val="17"/>
                <w:szCs w:val="17"/>
              </w:rPr>
            </w:pPr>
          </w:p>
        </w:tc>
      </w:tr>
    </w:tbl>
    <w:p w14:paraId="246D51BB" w14:textId="77777777" w:rsidR="00E44576" w:rsidRPr="001570EA" w:rsidRDefault="00E44576" w:rsidP="00E44576">
      <w:pPr>
        <w:pStyle w:val="Equation"/>
        <w:tabs>
          <w:tab w:val="clear" w:pos="720"/>
          <w:tab w:val="left" w:pos="1440"/>
        </w:tabs>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7290"/>
      </w:tblGrid>
      <w:tr w:rsidR="00E44576" w:rsidRPr="001570EA" w14:paraId="76817E07" w14:textId="77777777" w:rsidTr="00E44576">
        <w:tc>
          <w:tcPr>
            <w:tcW w:w="1350" w:type="dxa"/>
          </w:tcPr>
          <w:p w14:paraId="10E53613" w14:textId="77777777" w:rsidR="00E44576" w:rsidRPr="001570EA" w:rsidRDefault="003B5E04">
            <w:pPr>
              <w:pStyle w:val="Equation"/>
              <w:ind w:left="0" w:firstLine="0"/>
              <w:rPr>
                <w:rFonts w:eastAsia="Times New Roman"/>
                <w:i w:val="0"/>
                <w:szCs w:val="20"/>
              </w:rPr>
            </w:pPr>
            <m:oMathPara>
              <m:oMathParaPr>
                <m:jc m:val="left"/>
              </m:oMathParaPr>
              <m:oMath>
                <m:sSub>
                  <m:sSubPr>
                    <m:ctrlPr>
                      <w:rPr>
                        <w:rFonts w:ascii="Cambria Math" w:hAnsi="Cambria Math" w:cs="Arial"/>
                        <w:szCs w:val="20"/>
                      </w:rPr>
                    </m:ctrlPr>
                  </m:sSubPr>
                  <m:e>
                    <m:r>
                      <w:rPr>
                        <w:rFonts w:ascii="Cambria Math" w:hAnsi="Cambria Math" w:cs="Arial"/>
                        <w:szCs w:val="20"/>
                      </w:rPr>
                      <m:t>∆kW</m:t>
                    </m:r>
                  </m:e>
                  <m:sub>
                    <m:r>
                      <w:rPr>
                        <w:rFonts w:ascii="Cambria Math" w:hAnsi="Cambria Math" w:cs="Arial"/>
                        <w:szCs w:val="20"/>
                      </w:rPr>
                      <m:t>summer peak</m:t>
                    </m:r>
                  </m:sub>
                </m:sSub>
                <m:r>
                  <w:rPr>
                    <w:rFonts w:ascii="Cambria Math" w:eastAsia="Times New Roman" w:hAnsi="Cambria Math"/>
                    <w:szCs w:val="20"/>
                  </w:rPr>
                  <m:t xml:space="preserve"> </m:t>
                </m:r>
              </m:oMath>
            </m:oMathPara>
          </w:p>
        </w:tc>
        <w:tc>
          <w:tcPr>
            <w:tcW w:w="7290" w:type="dxa"/>
          </w:tcPr>
          <w:p w14:paraId="445820CA" w14:textId="77777777" w:rsidR="00E44576" w:rsidRPr="001570EA" w:rsidRDefault="00E44576">
            <w:pPr>
              <w:pStyle w:val="Equation"/>
              <w:ind w:left="0" w:firstLine="0"/>
              <w:rPr>
                <w:rFonts w:eastAsia="Times New Roman"/>
                <w:i w:val="0"/>
                <w:szCs w:val="20"/>
              </w:rPr>
            </w:pPr>
            <m:oMathPara>
              <m:oMathParaPr>
                <m:jc m:val="left"/>
              </m:oMathParaPr>
              <m:oMath>
                <m:r>
                  <w:rPr>
                    <w:rFonts w:ascii="Cambria Math" w:hAnsi="Cambria Math" w:cs="Arial"/>
                    <w:szCs w:val="20"/>
                  </w:rPr>
                  <m:t>=</m:t>
                </m:r>
                <m:f>
                  <m:fPr>
                    <m:ctrlPr>
                      <w:rPr>
                        <w:rFonts w:ascii="Cambria Math" w:hAnsi="Cambria Math" w:cs="Arial"/>
                        <w:i w:val="0"/>
                        <w:szCs w:val="20"/>
                      </w:rPr>
                    </m:ctrlPr>
                  </m:fPr>
                  <m:num>
                    <m:r>
                      <w:rPr>
                        <w:rFonts w:ascii="Cambria Math" w:hAnsi="Cambria Math" w:cs="Arial"/>
                        <w:szCs w:val="20"/>
                      </w:rPr>
                      <m:t>Volume×Turnover</m:t>
                    </m:r>
                  </m:num>
                  <m:den>
                    <m:r>
                      <w:rPr>
                        <w:rFonts w:ascii="Cambria Math" w:hAnsi="Cambria Math" w:cs="Arial"/>
                        <w:szCs w:val="20"/>
                      </w:rPr>
                      <m:t>1,000</m:t>
                    </m:r>
                  </m:den>
                </m:f>
                <m:r>
                  <w:rPr>
                    <w:rFonts w:ascii="Cambria Math" w:hAnsi="Cambria Math" w:cs="Arial"/>
                    <w:szCs w:val="20"/>
                  </w:rPr>
                  <m:t>×</m:t>
                </m:r>
                <m:d>
                  <m:dPr>
                    <m:ctrlPr>
                      <w:rPr>
                        <w:rFonts w:ascii="Cambria Math" w:hAnsi="Cambria Math" w:cs="Arial"/>
                        <w:szCs w:val="20"/>
                      </w:rPr>
                    </m:ctrlPr>
                  </m:dPr>
                  <m:e>
                    <m:f>
                      <m:fPr>
                        <m:ctrlPr>
                          <w:rPr>
                            <w:rFonts w:ascii="Cambria Math" w:hAnsi="Cambria Math" w:cs="Arial"/>
                            <w:szCs w:val="20"/>
                          </w:rPr>
                        </m:ctrlPr>
                      </m:fPr>
                      <m:num>
                        <m:sSub>
                          <m:sSubPr>
                            <m:ctrlPr>
                              <w:rPr>
                                <w:rFonts w:ascii="Cambria Math" w:hAnsi="Cambria Math" w:cs="Arial"/>
                                <w:szCs w:val="20"/>
                              </w:rPr>
                            </m:ctrlPr>
                          </m:sSubPr>
                          <m:e>
                            <m:r>
                              <w:rPr>
                                <w:rFonts w:ascii="Cambria Math" w:hAnsi="Cambria Math" w:cs="Arial"/>
                                <w:szCs w:val="20"/>
                              </w:rPr>
                              <m:t>CF</m:t>
                            </m:r>
                          </m:e>
                          <m:sub>
                            <m:r>
                              <w:rPr>
                                <w:rFonts w:ascii="Cambria Math" w:hAnsi="Cambria Math" w:cs="Arial"/>
                                <w:szCs w:val="20"/>
                              </w:rPr>
                              <m:t>base</m:t>
                            </m:r>
                          </m:sub>
                        </m:sSub>
                      </m:num>
                      <m:den>
                        <m:sSub>
                          <m:sSubPr>
                            <m:ctrlPr>
                              <w:rPr>
                                <w:rFonts w:ascii="Cambria Math" w:hAnsi="Cambria Math" w:cs="Arial"/>
                                <w:szCs w:val="20"/>
                              </w:rPr>
                            </m:ctrlPr>
                          </m:sSubPr>
                          <m:e>
                            <m:r>
                              <w:rPr>
                                <w:rFonts w:ascii="Cambria Math" w:hAnsi="Cambria Math" w:cs="Arial"/>
                                <w:szCs w:val="20"/>
                              </w:rPr>
                              <m:t>EF</m:t>
                            </m:r>
                          </m:e>
                          <m:sub>
                            <m:r>
                              <w:rPr>
                                <w:rFonts w:ascii="Cambria Math" w:hAnsi="Cambria Math" w:cs="Arial"/>
                                <w:szCs w:val="20"/>
                              </w:rPr>
                              <m:t>base</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HOU</m:t>
                            </m:r>
                          </m:e>
                          <m:sub>
                            <m:r>
                              <w:rPr>
                                <w:rFonts w:ascii="Cambria Math" w:hAnsi="Cambria Math" w:cs="Arial"/>
                                <w:szCs w:val="20"/>
                              </w:rPr>
                              <m:t>base</m:t>
                            </m:r>
                          </m:sub>
                        </m:sSub>
                      </m:den>
                    </m:f>
                    <m:r>
                      <w:rPr>
                        <w:rFonts w:ascii="Cambria Math" w:hAnsi="Cambria Math" w:cs="Arial"/>
                        <w:szCs w:val="20"/>
                      </w:rPr>
                      <m:t>-</m:t>
                    </m:r>
                    <m:f>
                      <m:fPr>
                        <m:ctrlPr>
                          <w:rPr>
                            <w:rFonts w:ascii="Cambria Math" w:hAnsi="Cambria Math" w:cs="Arial"/>
                            <w:szCs w:val="20"/>
                          </w:rPr>
                        </m:ctrlPr>
                      </m:fPr>
                      <m:num>
                        <m:sSub>
                          <m:sSubPr>
                            <m:ctrlPr>
                              <w:rPr>
                                <w:rFonts w:ascii="Cambria Math" w:hAnsi="Cambria Math" w:cs="Arial"/>
                                <w:szCs w:val="20"/>
                              </w:rPr>
                            </m:ctrlPr>
                          </m:sSubPr>
                          <m:e>
                            <m:r>
                              <w:rPr>
                                <w:rFonts w:ascii="Cambria Math" w:hAnsi="Cambria Math" w:cs="Arial"/>
                                <w:szCs w:val="20"/>
                              </w:rPr>
                              <m:t>CF</m:t>
                            </m:r>
                          </m:e>
                          <m:sub>
                            <m:r>
                              <w:rPr>
                                <w:rFonts w:ascii="Cambria Math" w:hAnsi="Cambria Math" w:cs="Arial"/>
                                <w:szCs w:val="20"/>
                              </w:rPr>
                              <m:t>CFR</m:t>
                            </m:r>
                          </m:sub>
                        </m:sSub>
                      </m:num>
                      <m:den>
                        <m:sSub>
                          <m:sSubPr>
                            <m:ctrlPr>
                              <w:rPr>
                                <w:rFonts w:ascii="Cambria Math" w:hAnsi="Cambria Math" w:cs="Arial"/>
                                <w:szCs w:val="20"/>
                              </w:rPr>
                            </m:ctrlPr>
                          </m:sSubPr>
                          <m:e>
                            <m:r>
                              <w:rPr>
                                <w:rFonts w:ascii="Cambria Math" w:hAnsi="Cambria Math" w:cs="Arial"/>
                                <w:szCs w:val="20"/>
                              </w:rPr>
                              <m:t>WEF</m:t>
                            </m:r>
                          </m:e>
                          <m:sub>
                            <m:r>
                              <w:rPr>
                                <w:rFonts w:ascii="Cambria Math" w:hAnsi="Cambria Math" w:cs="Arial"/>
                                <w:szCs w:val="20"/>
                              </w:rPr>
                              <m:t>CFR</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HOU</m:t>
                            </m:r>
                          </m:e>
                          <m:sub>
                            <m:r>
                              <w:rPr>
                                <w:rFonts w:ascii="Cambria Math" w:hAnsi="Cambria Math" w:cs="Arial"/>
                                <w:szCs w:val="20"/>
                              </w:rPr>
                              <m:t>CFR</m:t>
                            </m:r>
                          </m:sub>
                        </m:sSub>
                      </m:den>
                    </m:f>
                  </m:e>
                </m:d>
              </m:oMath>
            </m:oMathPara>
          </w:p>
          <w:p w14:paraId="03EEAD78" w14:textId="77777777" w:rsidR="00E44576" w:rsidRPr="001570EA" w:rsidRDefault="00E44576">
            <w:pPr>
              <w:pStyle w:val="Equation"/>
              <w:ind w:left="0" w:firstLine="0"/>
              <w:rPr>
                <w:rFonts w:eastAsia="Times New Roman"/>
                <w:i w:val="0"/>
                <w:sz w:val="17"/>
                <w:szCs w:val="17"/>
              </w:rPr>
            </w:pPr>
          </w:p>
        </w:tc>
      </w:tr>
      <w:tr w:rsidR="00E44576" w:rsidRPr="001570EA" w14:paraId="40E2E7F3" w14:textId="77777777" w:rsidTr="00E44576">
        <w:tc>
          <w:tcPr>
            <w:tcW w:w="1350" w:type="dxa"/>
          </w:tcPr>
          <w:p w14:paraId="60CCBD8A" w14:textId="77777777" w:rsidR="00E44576" w:rsidRPr="001570EA" w:rsidRDefault="00E44576">
            <w:pPr>
              <w:pStyle w:val="Equation"/>
              <w:tabs>
                <w:tab w:val="clear" w:pos="720"/>
                <w:tab w:val="left" w:pos="1440"/>
              </w:tabs>
              <w:rPr>
                <w:rFonts w:cs="Arial"/>
                <w:szCs w:val="20"/>
              </w:rPr>
            </w:pPr>
            <w:r w:rsidRPr="001570EA">
              <w:rPr>
                <w:rFonts w:ascii="Symbol" w:eastAsia="Symbol" w:hAnsi="Symbol" w:cs="Symbol"/>
                <w:szCs w:val="20"/>
              </w:rPr>
              <w:t>D</w:t>
            </w:r>
            <w:r w:rsidRPr="001570EA">
              <w:rPr>
                <w:rFonts w:cs="Arial"/>
                <w:szCs w:val="20"/>
              </w:rPr>
              <w:t>kW</w:t>
            </w:r>
            <w:r w:rsidRPr="001570EA">
              <w:rPr>
                <w:rFonts w:cs="Arial"/>
                <w:szCs w:val="20"/>
                <w:vertAlign w:val="subscript"/>
              </w:rPr>
              <w:t>winter peak</w:t>
            </w:r>
          </w:p>
          <w:p w14:paraId="29903FA9" w14:textId="77777777" w:rsidR="00E44576" w:rsidRPr="001570EA" w:rsidRDefault="00E44576">
            <w:pPr>
              <w:pStyle w:val="Equation"/>
              <w:ind w:left="0" w:firstLine="0"/>
              <w:rPr>
                <w:szCs w:val="20"/>
              </w:rPr>
            </w:pPr>
          </w:p>
        </w:tc>
        <w:tc>
          <w:tcPr>
            <w:tcW w:w="7290" w:type="dxa"/>
          </w:tcPr>
          <w:p w14:paraId="1DE6F8C9" w14:textId="77777777" w:rsidR="00E44576" w:rsidRPr="001570EA" w:rsidRDefault="00E44576">
            <w:pPr>
              <w:pStyle w:val="Equation"/>
              <w:ind w:left="0" w:firstLine="0"/>
              <w:rPr>
                <w:rFonts w:eastAsia="Times New Roman"/>
                <w:i w:val="0"/>
                <w:szCs w:val="20"/>
              </w:rPr>
            </w:pPr>
            <w:r w:rsidRPr="001570EA">
              <w:rPr>
                <w:rFonts w:eastAsia="Times New Roman"/>
                <w:i w:val="0"/>
                <w:szCs w:val="20"/>
              </w:rPr>
              <w:t xml:space="preserve">= </w:t>
            </w:r>
            <w:r w:rsidRPr="001570EA">
              <w:rPr>
                <w:rFonts w:eastAsia="Times New Roman"/>
                <w:iCs/>
                <w:szCs w:val="20"/>
              </w:rPr>
              <w:t>0</w:t>
            </w:r>
          </w:p>
        </w:tc>
      </w:tr>
    </w:tbl>
    <w:p w14:paraId="5BE92034" w14:textId="77777777" w:rsidR="00E44576" w:rsidRPr="001570EA" w:rsidRDefault="00E44576" w:rsidP="00E44576">
      <w:pPr>
        <w:pStyle w:val="Equation"/>
        <w:tabs>
          <w:tab w:val="clear" w:pos="720"/>
          <w:tab w:val="left" w:pos="1440"/>
        </w:tabs>
        <w:ind w:left="0" w:firstLine="0"/>
      </w:pPr>
    </w:p>
    <w:p w14:paraId="19855D4F" w14:textId="77777777" w:rsidR="00E44576" w:rsidRPr="001570EA" w:rsidRDefault="00E44576" w:rsidP="00E44576">
      <w:pPr>
        <w:pStyle w:val="Equation"/>
        <w:tabs>
          <w:tab w:val="clear" w:pos="720"/>
          <w:tab w:val="left" w:pos="1440"/>
        </w:tabs>
        <w:rPr>
          <w:rFonts w:cs="Arial"/>
          <w:szCs w:val="20"/>
        </w:rPr>
      </w:pPr>
      <w:r w:rsidRPr="001570EA">
        <w:rPr>
          <w:rFonts w:cs="Arial"/>
          <w:szCs w:val="20"/>
        </w:rPr>
        <w:t>HOU</w:t>
      </w:r>
      <w:r w:rsidRPr="001570EA">
        <w:rPr>
          <w:rFonts w:cs="Arial"/>
          <w:szCs w:val="20"/>
          <w:vertAlign w:val="subscript"/>
        </w:rPr>
        <w:t>base</w:t>
      </w:r>
      <w:r w:rsidRPr="001570EA">
        <w:rPr>
          <w:rFonts w:cs="Arial"/>
          <w:szCs w:val="20"/>
        </w:rPr>
        <w:tab/>
      </w:r>
      <m:oMath>
        <m:r>
          <w:rPr>
            <w:rFonts w:ascii="Cambria Math" w:hAnsi="Cambria Math" w:cs="Arial"/>
            <w:szCs w:val="20"/>
          </w:rPr>
          <m:t>=Volume×Turnover÷(</m:t>
        </m:r>
        <m:sSub>
          <m:sSubPr>
            <m:ctrlPr>
              <w:rPr>
                <w:rFonts w:ascii="Cambria Math" w:hAnsi="Cambria Math" w:cs="Arial"/>
                <w:szCs w:val="20"/>
              </w:rPr>
            </m:ctrlPr>
          </m:sSubPr>
          <m:e>
            <m:r>
              <w:rPr>
                <w:rFonts w:ascii="Cambria Math" w:hAnsi="Cambria Math" w:cs="Arial"/>
                <w:szCs w:val="20"/>
              </w:rPr>
              <m:t>Flow</m:t>
            </m:r>
          </m:e>
          <m:sub>
            <m:r>
              <w:rPr>
                <w:rFonts w:ascii="Cambria Math" w:hAnsi="Cambria Math" w:cs="Arial"/>
                <w:szCs w:val="20"/>
              </w:rPr>
              <m:t>base</m:t>
            </m:r>
          </m:sub>
        </m:sSub>
        <m:r>
          <w:rPr>
            <w:rFonts w:ascii="Cambria Math" w:hAnsi="Cambria Math" w:cs="Arial"/>
            <w:szCs w:val="20"/>
          </w:rPr>
          <m:t>×60</m:t>
        </m:r>
        <m:f>
          <m:fPr>
            <m:ctrlPr>
              <w:rPr>
                <w:rFonts w:ascii="Cambria Math" w:hAnsi="Cambria Math" w:cs="Arial"/>
                <w:szCs w:val="20"/>
              </w:rPr>
            </m:ctrlPr>
          </m:fPr>
          <m:num>
            <m:r>
              <w:rPr>
                <w:rFonts w:ascii="Cambria Math" w:hAnsi="Cambria Math" w:cs="Arial"/>
                <w:szCs w:val="20"/>
              </w:rPr>
              <m:t>min</m:t>
            </m:r>
          </m:num>
          <m:den>
            <m:r>
              <w:rPr>
                <w:rFonts w:ascii="Cambria Math" w:hAnsi="Cambria Math" w:cs="Arial"/>
                <w:szCs w:val="20"/>
              </w:rPr>
              <m:t>hr</m:t>
            </m:r>
          </m:den>
        </m:f>
        <m:r>
          <w:rPr>
            <w:rFonts w:ascii="Cambria Math" w:hAnsi="Cambria Math" w:cs="Arial"/>
            <w:szCs w:val="20"/>
          </w:rPr>
          <m:t>)</m:t>
        </m:r>
      </m:oMath>
    </w:p>
    <w:p w14:paraId="2C596130" w14:textId="77777777" w:rsidR="00E44576" w:rsidRPr="001570EA" w:rsidRDefault="00E44576" w:rsidP="00E44576">
      <w:pPr>
        <w:pStyle w:val="Equation"/>
        <w:tabs>
          <w:tab w:val="clear" w:pos="720"/>
          <w:tab w:val="left" w:pos="1440"/>
        </w:tabs>
        <w:ind w:left="0" w:firstLine="0"/>
      </w:pPr>
    </w:p>
    <w:p w14:paraId="7BF23ED5" w14:textId="77777777" w:rsidR="00E44576" w:rsidRPr="001570EA" w:rsidRDefault="00E44576" w:rsidP="00E44576">
      <w:pPr>
        <w:spacing w:after="160" w:line="259" w:lineRule="auto"/>
        <w:jc w:val="left"/>
        <w:rPr>
          <w:rFonts w:ascii="Arial Black" w:hAnsi="Arial Black"/>
          <w:b/>
          <w:smallCaps/>
          <w:color w:val="44546A" w:themeColor="text2"/>
          <w:spacing w:val="40"/>
          <w:szCs w:val="20"/>
        </w:rPr>
      </w:pPr>
      <w:r w:rsidRPr="001570EA">
        <w:br w:type="page"/>
      </w:r>
    </w:p>
    <w:p w14:paraId="17616DC3" w14:textId="77777777" w:rsidR="00E44576" w:rsidRPr="001570EA" w:rsidRDefault="00E44576" w:rsidP="00E44576">
      <w:pPr>
        <w:pStyle w:val="SubStyle"/>
      </w:pPr>
      <w:r w:rsidRPr="001570EA">
        <w:t>Definition of Terms</w:t>
      </w:r>
    </w:p>
    <w:p w14:paraId="0FBC9966" w14:textId="09DAC936" w:rsidR="00E44576" w:rsidRPr="001570EA" w:rsidRDefault="00E44576" w:rsidP="00E44576">
      <w:pPr>
        <w:pStyle w:val="Caption"/>
        <w:rPr>
          <w:noProof/>
        </w:rPr>
      </w:pPr>
      <w:r w:rsidRPr="001570EA">
        <w:rPr>
          <w:noProof/>
        </w:rPr>
        <w:t xml:space="preserve">Table </w:t>
      </w:r>
      <w:r w:rsidR="002E093A" w:rsidRPr="001570EA">
        <w:rPr>
          <w:noProof/>
        </w:rPr>
        <w:fldChar w:fldCharType="begin"/>
      </w:r>
      <w:r w:rsidR="002E093A" w:rsidRPr="001570EA">
        <w:rPr>
          <w:noProof/>
        </w:rPr>
        <w:instrText xml:space="preserve"> STYLEREF 1 \s </w:instrText>
      </w:r>
      <w:r w:rsidR="002E093A" w:rsidRPr="001570EA">
        <w:rPr>
          <w:noProof/>
        </w:rPr>
        <w:fldChar w:fldCharType="separate"/>
      </w:r>
      <w:r w:rsidR="002E093A" w:rsidRPr="001570EA">
        <w:rPr>
          <w:noProof/>
        </w:rPr>
        <w:t>2</w:t>
      </w:r>
      <w:r w:rsidR="002E093A" w:rsidRPr="001570EA">
        <w:rPr>
          <w:noProof/>
        </w:rPr>
        <w:fldChar w:fldCharType="end"/>
      </w:r>
      <w:r w:rsidR="002E093A" w:rsidRPr="001570EA">
        <w:rPr>
          <w:noProof/>
        </w:rPr>
        <w:noBreakHyphen/>
      </w:r>
      <w:r w:rsidR="002E093A" w:rsidRPr="001570EA">
        <w:rPr>
          <w:noProof/>
        </w:rPr>
        <w:fldChar w:fldCharType="begin"/>
      </w:r>
      <w:r w:rsidR="002E093A" w:rsidRPr="001570EA">
        <w:rPr>
          <w:noProof/>
        </w:rPr>
        <w:instrText xml:space="preserve"> SEQ Table \* ARABIC \s 1 </w:instrText>
      </w:r>
      <w:r w:rsidR="002E093A" w:rsidRPr="001570EA">
        <w:rPr>
          <w:noProof/>
        </w:rPr>
        <w:fldChar w:fldCharType="separate"/>
      </w:r>
      <w:r w:rsidR="002E093A" w:rsidRPr="001570EA">
        <w:rPr>
          <w:noProof/>
        </w:rPr>
        <w:t>171</w:t>
      </w:r>
      <w:r w:rsidR="002E093A" w:rsidRPr="001570EA">
        <w:rPr>
          <w:noProof/>
        </w:rPr>
        <w:fldChar w:fldCharType="end"/>
      </w:r>
      <w:r w:rsidRPr="001570EA">
        <w:rPr>
          <w:noProof/>
        </w:rPr>
        <w:t xml:space="preserve">: </w:t>
      </w:r>
      <w:r w:rsidRPr="001570EA">
        <w:t>Terms</w:t>
      </w:r>
      <w:r w:rsidRPr="001570EA">
        <w:rPr>
          <w:rFonts w:cs="Arial"/>
        </w:rPr>
        <w:t>, Values, and References for Variable Speed Pool Pumps</w:t>
      </w: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7"/>
        <w:gridCol w:w="1332"/>
        <w:gridCol w:w="1998"/>
        <w:gridCol w:w="907"/>
      </w:tblGrid>
      <w:tr w:rsidR="00E44576" w:rsidRPr="001570EA" w14:paraId="59E6E7EB" w14:textId="77777777">
        <w:trPr>
          <w:trHeight w:val="374"/>
          <w:tblHeader/>
        </w:trPr>
        <w:tc>
          <w:tcPr>
            <w:tcW w:w="4297" w:type="dxa"/>
            <w:shd w:val="clear" w:color="auto" w:fill="BFBFBF"/>
            <w:vAlign w:val="bottom"/>
          </w:tcPr>
          <w:p w14:paraId="5155A370" w14:textId="77777777" w:rsidR="00E44576" w:rsidRPr="001570EA" w:rsidRDefault="00E44576">
            <w:pPr>
              <w:tabs>
                <w:tab w:val="left" w:pos="720"/>
              </w:tabs>
              <w:spacing w:before="60" w:after="60"/>
              <w:rPr>
                <w:b/>
                <w:sz w:val="18"/>
                <w:szCs w:val="18"/>
              </w:rPr>
            </w:pPr>
            <w:r w:rsidRPr="001570EA">
              <w:rPr>
                <w:b/>
                <w:sz w:val="18"/>
                <w:szCs w:val="18"/>
              </w:rPr>
              <w:t>Term</w:t>
            </w:r>
          </w:p>
        </w:tc>
        <w:tc>
          <w:tcPr>
            <w:tcW w:w="1332" w:type="dxa"/>
            <w:shd w:val="clear" w:color="auto" w:fill="BFBFBF"/>
            <w:vAlign w:val="bottom"/>
          </w:tcPr>
          <w:p w14:paraId="5D6BE12B" w14:textId="77777777" w:rsidR="00E44576" w:rsidRPr="001570EA" w:rsidRDefault="00E44576">
            <w:pPr>
              <w:tabs>
                <w:tab w:val="left" w:pos="720"/>
              </w:tabs>
              <w:spacing w:before="60" w:after="60"/>
              <w:jc w:val="center"/>
              <w:rPr>
                <w:b/>
                <w:sz w:val="18"/>
                <w:szCs w:val="18"/>
              </w:rPr>
            </w:pPr>
            <w:r w:rsidRPr="001570EA">
              <w:rPr>
                <w:b/>
                <w:sz w:val="18"/>
                <w:szCs w:val="18"/>
              </w:rPr>
              <w:t>Unit</w:t>
            </w:r>
          </w:p>
        </w:tc>
        <w:tc>
          <w:tcPr>
            <w:tcW w:w="1998" w:type="dxa"/>
            <w:shd w:val="clear" w:color="auto" w:fill="BFBFBF"/>
            <w:vAlign w:val="bottom"/>
          </w:tcPr>
          <w:p w14:paraId="0EAA1487" w14:textId="77777777" w:rsidR="00E44576" w:rsidRPr="001570EA" w:rsidRDefault="00E44576">
            <w:pPr>
              <w:tabs>
                <w:tab w:val="left" w:pos="720"/>
              </w:tabs>
              <w:spacing w:before="60" w:after="60"/>
              <w:jc w:val="center"/>
              <w:rPr>
                <w:b/>
                <w:sz w:val="18"/>
                <w:szCs w:val="18"/>
              </w:rPr>
            </w:pPr>
            <w:r w:rsidRPr="001570EA">
              <w:rPr>
                <w:b/>
                <w:sz w:val="18"/>
                <w:szCs w:val="18"/>
              </w:rPr>
              <w:t>Values</w:t>
            </w:r>
          </w:p>
        </w:tc>
        <w:tc>
          <w:tcPr>
            <w:tcW w:w="907" w:type="dxa"/>
            <w:shd w:val="clear" w:color="auto" w:fill="BFBFBF"/>
            <w:vAlign w:val="bottom"/>
          </w:tcPr>
          <w:p w14:paraId="2DE233B8" w14:textId="77777777" w:rsidR="00E44576" w:rsidRPr="001570EA" w:rsidRDefault="00E44576">
            <w:pPr>
              <w:tabs>
                <w:tab w:val="left" w:pos="720"/>
              </w:tabs>
              <w:spacing w:before="60" w:after="60"/>
              <w:jc w:val="center"/>
              <w:rPr>
                <w:b/>
                <w:sz w:val="18"/>
                <w:szCs w:val="18"/>
              </w:rPr>
            </w:pPr>
            <w:r w:rsidRPr="001570EA">
              <w:rPr>
                <w:b/>
                <w:sz w:val="18"/>
                <w:szCs w:val="18"/>
              </w:rPr>
              <w:t>Source</w:t>
            </w:r>
          </w:p>
        </w:tc>
      </w:tr>
      <w:tr w:rsidR="00E44576" w:rsidRPr="001570EA" w14:paraId="2B902C16" w14:textId="77777777">
        <w:trPr>
          <w:trHeight w:val="374"/>
        </w:trPr>
        <w:tc>
          <w:tcPr>
            <w:tcW w:w="4297" w:type="dxa"/>
          </w:tcPr>
          <w:p w14:paraId="0A5C068E" w14:textId="282C03D9" w:rsidR="00E44576" w:rsidRPr="001570EA" w:rsidRDefault="00E44576">
            <w:pPr>
              <w:tabs>
                <w:tab w:val="left" w:pos="720"/>
              </w:tabs>
              <w:spacing w:before="60" w:after="60"/>
              <w:rPr>
                <w:sz w:val="18"/>
                <w:szCs w:val="18"/>
              </w:rPr>
            </w:pPr>
            <w:r w:rsidRPr="001570EA">
              <w:rPr>
                <w:i/>
                <w:sz w:val="18"/>
                <w:szCs w:val="18"/>
              </w:rPr>
              <w:t>Days</w:t>
            </w:r>
            <w:r w:rsidRPr="001570EA">
              <w:rPr>
                <w:sz w:val="18"/>
                <w:szCs w:val="18"/>
              </w:rPr>
              <w:t>, Pool pump days of operation per year.</w:t>
            </w:r>
          </w:p>
        </w:tc>
        <w:tc>
          <w:tcPr>
            <w:tcW w:w="1332" w:type="dxa"/>
          </w:tcPr>
          <w:p w14:paraId="07742372" w14:textId="77777777" w:rsidR="00E44576" w:rsidRPr="001570EA" w:rsidRDefault="003B5E04">
            <w:pPr>
              <w:tabs>
                <w:tab w:val="left" w:pos="720"/>
              </w:tabs>
              <w:spacing w:before="60" w:after="60"/>
              <w:jc w:val="center"/>
              <w:rPr>
                <w:sz w:val="18"/>
                <w:szCs w:val="18"/>
              </w:rPr>
            </w:pPr>
            <m:oMathPara>
              <m:oMathParaPr>
                <m:jc m:val="center"/>
              </m:oMathParaPr>
              <m:oMath>
                <m:f>
                  <m:fPr>
                    <m:ctrlPr>
                      <w:rPr>
                        <w:rFonts w:ascii="Cambria Math" w:hAnsi="Cambria Math" w:cs="Arial"/>
                        <w:sz w:val="18"/>
                        <w:szCs w:val="18"/>
                      </w:rPr>
                    </m:ctrlPr>
                  </m:fPr>
                  <m:num>
                    <m:r>
                      <w:rPr>
                        <w:rFonts w:ascii="Cambria Math" w:hAnsi="Cambria Math" w:cs="Arial"/>
                        <w:sz w:val="18"/>
                        <w:szCs w:val="18"/>
                      </w:rPr>
                      <m:t>days</m:t>
                    </m:r>
                  </m:num>
                  <m:den>
                    <m:r>
                      <w:rPr>
                        <w:rFonts w:ascii="Cambria Math" w:hAnsi="Cambria Math" w:cs="Arial"/>
                        <w:sz w:val="18"/>
                        <w:szCs w:val="18"/>
                      </w:rPr>
                      <m:t>yr</m:t>
                    </m:r>
                  </m:den>
                </m:f>
              </m:oMath>
            </m:oMathPara>
          </w:p>
        </w:tc>
        <w:tc>
          <w:tcPr>
            <w:tcW w:w="1998" w:type="dxa"/>
          </w:tcPr>
          <w:p w14:paraId="0D808630" w14:textId="77777777" w:rsidR="00E44576" w:rsidRPr="001570EA" w:rsidRDefault="00E44576">
            <w:pPr>
              <w:tabs>
                <w:tab w:val="left" w:pos="720"/>
              </w:tabs>
              <w:spacing w:before="60" w:after="60"/>
              <w:jc w:val="center"/>
              <w:rPr>
                <w:sz w:val="18"/>
                <w:szCs w:val="18"/>
              </w:rPr>
            </w:pPr>
            <w:r w:rsidRPr="001570EA">
              <w:rPr>
                <w:sz w:val="18"/>
                <w:szCs w:val="18"/>
              </w:rPr>
              <w:t>EDC Data Gathering</w:t>
            </w:r>
          </w:p>
          <w:p w14:paraId="16A894A4" w14:textId="698D88CA" w:rsidR="00E44576" w:rsidRPr="001570EA" w:rsidRDefault="00E44576">
            <w:pPr>
              <w:tabs>
                <w:tab w:val="left" w:pos="720"/>
              </w:tabs>
              <w:spacing w:before="60" w:after="60"/>
              <w:jc w:val="center"/>
              <w:rPr>
                <w:sz w:val="18"/>
                <w:szCs w:val="18"/>
              </w:rPr>
            </w:pPr>
            <w:r w:rsidRPr="001570EA">
              <w:rPr>
                <w:sz w:val="18"/>
                <w:szCs w:val="18"/>
              </w:rPr>
              <w:t>Default:</w:t>
            </w:r>
            <w:r w:rsidR="004A1ABC" w:rsidRPr="001570EA">
              <w:rPr>
                <w:sz w:val="18"/>
                <w:szCs w:val="18"/>
              </w:rPr>
              <w:t xml:space="preserve"> </w:t>
            </w:r>
            <w:r w:rsidRPr="001570EA">
              <w:rPr>
                <w:sz w:val="18"/>
                <w:szCs w:val="18"/>
              </w:rPr>
              <w:fldChar w:fldCharType="begin"/>
            </w:r>
            <w:r w:rsidRPr="001570EA">
              <w:rPr>
                <w:sz w:val="18"/>
                <w:szCs w:val="18"/>
              </w:rPr>
              <w:instrText xml:space="preserve"> REF _Ref157419703 \h  \* MERGEFORMAT </w:instrText>
            </w:r>
            <w:r w:rsidRPr="001570EA">
              <w:rPr>
                <w:sz w:val="18"/>
                <w:szCs w:val="18"/>
              </w:rPr>
            </w:r>
            <w:r w:rsidRPr="001570EA">
              <w:rPr>
                <w:sz w:val="18"/>
                <w:szCs w:val="18"/>
              </w:rPr>
              <w:fldChar w:fldCharType="separate"/>
            </w:r>
            <w:r w:rsidR="00234C6C" w:rsidRPr="001570EA">
              <w:rPr>
                <w:noProof/>
                <w:sz w:val="18"/>
                <w:szCs w:val="18"/>
              </w:rPr>
              <w:t>Table 2</w:t>
            </w:r>
            <w:r w:rsidR="00234C6C" w:rsidRPr="001570EA">
              <w:rPr>
                <w:noProof/>
                <w:sz w:val="18"/>
                <w:szCs w:val="18"/>
              </w:rPr>
              <w:noBreakHyphen/>
              <w:t>174</w:t>
            </w:r>
            <w:r w:rsidRPr="001570EA">
              <w:rPr>
                <w:sz w:val="18"/>
                <w:szCs w:val="18"/>
              </w:rPr>
              <w:fldChar w:fldCharType="end"/>
            </w:r>
          </w:p>
        </w:tc>
        <w:tc>
          <w:tcPr>
            <w:tcW w:w="907" w:type="dxa"/>
          </w:tcPr>
          <w:p w14:paraId="5C5B09B4" w14:textId="77777777" w:rsidR="00E44576" w:rsidRPr="001570EA" w:rsidRDefault="00E44576">
            <w:pPr>
              <w:tabs>
                <w:tab w:val="left" w:pos="720"/>
              </w:tabs>
              <w:spacing w:before="60" w:after="60"/>
              <w:jc w:val="center"/>
              <w:rPr>
                <w:sz w:val="18"/>
                <w:szCs w:val="18"/>
              </w:rPr>
            </w:pPr>
            <w:r w:rsidRPr="001570EA">
              <w:rPr>
                <w:sz w:val="18"/>
                <w:szCs w:val="18"/>
              </w:rPr>
              <w:t>2</w:t>
            </w:r>
          </w:p>
        </w:tc>
      </w:tr>
      <w:tr w:rsidR="00E44576" w:rsidRPr="001570EA" w14:paraId="03B73EF1" w14:textId="77777777">
        <w:trPr>
          <w:trHeight w:val="374"/>
        </w:trPr>
        <w:tc>
          <w:tcPr>
            <w:tcW w:w="4297" w:type="dxa"/>
            <w:shd w:val="clear" w:color="auto" w:fill="auto"/>
          </w:tcPr>
          <w:p w14:paraId="54F81ED5" w14:textId="3B9C63C4" w:rsidR="00E44576" w:rsidRPr="001570EA" w:rsidRDefault="00E44576">
            <w:pPr>
              <w:tabs>
                <w:tab w:val="left" w:pos="720"/>
              </w:tabs>
              <w:spacing w:before="60" w:after="60"/>
              <w:rPr>
                <w:i/>
                <w:sz w:val="18"/>
                <w:szCs w:val="18"/>
              </w:rPr>
            </w:pPr>
            <w:r w:rsidRPr="001570EA">
              <w:rPr>
                <w:i/>
                <w:sz w:val="18"/>
                <w:szCs w:val="18"/>
              </w:rPr>
              <w:t>EF</w:t>
            </w:r>
            <w:r w:rsidRPr="001570EA">
              <w:rPr>
                <w:i/>
                <w:sz w:val="18"/>
                <w:szCs w:val="18"/>
                <w:vertAlign w:val="subscript"/>
              </w:rPr>
              <w:t>base</w:t>
            </w:r>
            <w:r w:rsidRPr="001570EA">
              <w:rPr>
                <w:i/>
                <w:sz w:val="18"/>
                <w:szCs w:val="18"/>
              </w:rPr>
              <w:t xml:space="preserve">, </w:t>
            </w:r>
            <w:r w:rsidRPr="001570EA">
              <w:rPr>
                <w:iCs/>
                <w:sz w:val="18"/>
                <w:szCs w:val="18"/>
              </w:rPr>
              <w:t>Baseline weighted energy factor of single-speed pool pump for Curve C flow.</w:t>
            </w:r>
          </w:p>
        </w:tc>
        <w:tc>
          <w:tcPr>
            <w:tcW w:w="1332" w:type="dxa"/>
            <w:shd w:val="clear" w:color="auto" w:fill="auto"/>
          </w:tcPr>
          <w:p w14:paraId="4DC3BF39" w14:textId="77777777" w:rsidR="00E44576" w:rsidRPr="001570EA" w:rsidRDefault="003B5E04">
            <w:pPr>
              <w:tabs>
                <w:tab w:val="left" w:pos="720"/>
              </w:tabs>
              <w:spacing w:before="60" w:after="60"/>
              <w:jc w:val="center"/>
              <w:rPr>
                <w:i/>
                <w:sz w:val="18"/>
                <w:szCs w:val="18"/>
              </w:rPr>
            </w:pPr>
            <m:oMathPara>
              <m:oMath>
                <m:f>
                  <m:fPr>
                    <m:ctrlPr>
                      <w:rPr>
                        <w:rFonts w:ascii="Cambria Math" w:hAnsi="Cambria Math" w:cs="Arial"/>
                        <w:sz w:val="18"/>
                        <w:szCs w:val="18"/>
                      </w:rPr>
                    </m:ctrlPr>
                  </m:fPr>
                  <m:num>
                    <m:r>
                      <w:rPr>
                        <w:rFonts w:ascii="Cambria Math" w:hAnsi="Cambria Math" w:cs="Arial"/>
                        <w:sz w:val="18"/>
                        <w:szCs w:val="18"/>
                      </w:rPr>
                      <m:t>gallons</m:t>
                    </m:r>
                  </m:num>
                  <m:den>
                    <m:r>
                      <w:rPr>
                        <w:rFonts w:ascii="Cambria Math" w:hAnsi="Cambria Math" w:cs="Arial"/>
                        <w:sz w:val="18"/>
                        <w:szCs w:val="18"/>
                      </w:rPr>
                      <m:t>W∙h</m:t>
                    </m:r>
                  </m:den>
                </m:f>
              </m:oMath>
            </m:oMathPara>
          </w:p>
        </w:tc>
        <w:tc>
          <w:tcPr>
            <w:tcW w:w="1998" w:type="dxa"/>
            <w:shd w:val="clear" w:color="auto" w:fill="auto"/>
          </w:tcPr>
          <w:p w14:paraId="698BD27C" w14:textId="77777777" w:rsidR="00E44576" w:rsidRPr="001570EA" w:rsidRDefault="00E44576">
            <w:pPr>
              <w:tabs>
                <w:tab w:val="left" w:pos="720"/>
              </w:tabs>
              <w:spacing w:before="60" w:after="60"/>
              <w:jc w:val="center"/>
              <w:rPr>
                <w:rFonts w:cs="Arial"/>
                <w:sz w:val="18"/>
                <w:szCs w:val="18"/>
              </w:rPr>
            </w:pPr>
            <w:r w:rsidRPr="001570EA">
              <w:rPr>
                <w:rFonts w:cs="Arial"/>
                <w:sz w:val="18"/>
                <w:szCs w:val="18"/>
              </w:rPr>
              <w:t>EDC Data Gathering</w:t>
            </w:r>
          </w:p>
          <w:p w14:paraId="3416C4A7" w14:textId="752CF4C1" w:rsidR="00E44576" w:rsidRPr="001570EA" w:rsidRDefault="00E44576">
            <w:pPr>
              <w:tabs>
                <w:tab w:val="left" w:pos="720"/>
              </w:tabs>
              <w:spacing w:before="60" w:after="60"/>
              <w:jc w:val="center"/>
              <w:rPr>
                <w:rFonts w:cs="Arial"/>
                <w:sz w:val="18"/>
                <w:szCs w:val="18"/>
              </w:rPr>
            </w:pPr>
            <w:r w:rsidRPr="001570EA">
              <w:rPr>
                <w:rFonts w:cs="Arial"/>
                <w:sz w:val="18"/>
                <w:szCs w:val="18"/>
              </w:rPr>
              <w:t xml:space="preserve">Default: </w:t>
            </w:r>
            <w:r w:rsidRPr="001570EA">
              <w:rPr>
                <w:rFonts w:cs="Arial"/>
                <w:sz w:val="18"/>
                <w:szCs w:val="18"/>
              </w:rPr>
              <w:fldChar w:fldCharType="begin"/>
            </w:r>
            <w:r w:rsidRPr="001570EA">
              <w:rPr>
                <w:rFonts w:cs="Arial"/>
                <w:sz w:val="18"/>
                <w:szCs w:val="18"/>
              </w:rPr>
              <w:instrText xml:space="preserve"> REF _Ref51168021 \h  \* MERGEFORMAT </w:instrText>
            </w:r>
            <w:r w:rsidRPr="001570EA">
              <w:rPr>
                <w:rFonts w:cs="Arial"/>
                <w:sz w:val="18"/>
                <w:szCs w:val="18"/>
              </w:rPr>
            </w:r>
            <w:r w:rsidRPr="001570EA">
              <w:rPr>
                <w:rFonts w:cs="Arial"/>
                <w:sz w:val="18"/>
                <w:szCs w:val="18"/>
              </w:rPr>
              <w:fldChar w:fldCharType="separate"/>
            </w:r>
            <w:r w:rsidR="00234C6C" w:rsidRPr="001570EA">
              <w:rPr>
                <w:noProof/>
                <w:sz w:val="18"/>
                <w:szCs w:val="18"/>
              </w:rPr>
              <w:t>Table 2</w:t>
            </w:r>
            <w:r w:rsidR="00234C6C" w:rsidRPr="001570EA">
              <w:rPr>
                <w:noProof/>
                <w:sz w:val="18"/>
                <w:szCs w:val="18"/>
              </w:rPr>
              <w:noBreakHyphen/>
              <w:t>172</w:t>
            </w:r>
            <w:r w:rsidRPr="001570EA">
              <w:rPr>
                <w:rFonts w:cs="Arial"/>
                <w:sz w:val="18"/>
                <w:szCs w:val="18"/>
              </w:rPr>
              <w:fldChar w:fldCharType="end"/>
            </w:r>
          </w:p>
        </w:tc>
        <w:tc>
          <w:tcPr>
            <w:tcW w:w="907" w:type="dxa"/>
            <w:shd w:val="clear" w:color="auto" w:fill="auto"/>
          </w:tcPr>
          <w:p w14:paraId="6882F9D5" w14:textId="77777777" w:rsidR="00E44576" w:rsidRPr="001570EA" w:rsidRDefault="00E44576">
            <w:pPr>
              <w:tabs>
                <w:tab w:val="left" w:pos="720"/>
              </w:tabs>
              <w:spacing w:before="60" w:after="60"/>
              <w:jc w:val="center"/>
              <w:rPr>
                <w:sz w:val="18"/>
                <w:szCs w:val="18"/>
              </w:rPr>
            </w:pPr>
            <w:r w:rsidRPr="001570EA">
              <w:rPr>
                <w:sz w:val="18"/>
                <w:szCs w:val="18"/>
              </w:rPr>
              <w:t>2</w:t>
            </w:r>
          </w:p>
        </w:tc>
      </w:tr>
      <w:tr w:rsidR="00E44576" w:rsidRPr="001570EA" w14:paraId="113E4131" w14:textId="77777777">
        <w:trPr>
          <w:trHeight w:val="374"/>
        </w:trPr>
        <w:tc>
          <w:tcPr>
            <w:tcW w:w="4297" w:type="dxa"/>
            <w:shd w:val="clear" w:color="auto" w:fill="auto"/>
          </w:tcPr>
          <w:p w14:paraId="27F65FDF" w14:textId="39064FFB" w:rsidR="00E44576" w:rsidRPr="001570EA" w:rsidRDefault="00E44576">
            <w:pPr>
              <w:tabs>
                <w:tab w:val="left" w:pos="720"/>
              </w:tabs>
              <w:spacing w:before="60" w:after="60"/>
              <w:rPr>
                <w:i/>
                <w:sz w:val="18"/>
                <w:szCs w:val="18"/>
              </w:rPr>
            </w:pPr>
            <w:r w:rsidRPr="001570EA">
              <w:rPr>
                <w:i/>
                <w:sz w:val="18"/>
                <w:szCs w:val="18"/>
              </w:rPr>
              <w:t>WEF</w:t>
            </w:r>
            <w:r w:rsidRPr="001570EA">
              <w:rPr>
                <w:i/>
                <w:sz w:val="18"/>
                <w:szCs w:val="18"/>
                <w:vertAlign w:val="subscript"/>
              </w:rPr>
              <w:t>CFR</w:t>
            </w:r>
            <w:r w:rsidRPr="001570EA">
              <w:rPr>
                <w:sz w:val="18"/>
                <w:szCs w:val="18"/>
              </w:rPr>
              <w:t>, Weighted energy factor of federal minimum compliant variable frequency drive pump for Curve C flow.</w:t>
            </w:r>
          </w:p>
        </w:tc>
        <w:tc>
          <w:tcPr>
            <w:tcW w:w="1332" w:type="dxa"/>
            <w:shd w:val="clear" w:color="auto" w:fill="auto"/>
          </w:tcPr>
          <w:p w14:paraId="31C8A9F5" w14:textId="77777777" w:rsidR="00E44576" w:rsidRPr="001570EA" w:rsidRDefault="003B5E04">
            <w:pPr>
              <w:tabs>
                <w:tab w:val="left" w:pos="720"/>
              </w:tabs>
              <w:spacing w:before="60" w:after="60"/>
              <w:jc w:val="center"/>
              <w:rPr>
                <w:i/>
                <w:sz w:val="18"/>
                <w:szCs w:val="18"/>
              </w:rPr>
            </w:pPr>
            <m:oMathPara>
              <m:oMath>
                <m:f>
                  <m:fPr>
                    <m:ctrlPr>
                      <w:rPr>
                        <w:rFonts w:ascii="Cambria Math" w:hAnsi="Cambria Math" w:cs="Arial"/>
                        <w:sz w:val="18"/>
                        <w:szCs w:val="18"/>
                      </w:rPr>
                    </m:ctrlPr>
                  </m:fPr>
                  <m:num>
                    <m:r>
                      <w:rPr>
                        <w:rFonts w:ascii="Cambria Math" w:hAnsi="Cambria Math" w:cs="Arial"/>
                        <w:sz w:val="18"/>
                        <w:szCs w:val="18"/>
                      </w:rPr>
                      <m:t>gallons</m:t>
                    </m:r>
                  </m:num>
                  <m:den>
                    <m:r>
                      <w:rPr>
                        <w:rFonts w:ascii="Cambria Math" w:hAnsi="Cambria Math" w:cs="Arial"/>
                        <w:sz w:val="18"/>
                        <w:szCs w:val="18"/>
                      </w:rPr>
                      <m:t>W∙h</m:t>
                    </m:r>
                  </m:den>
                </m:f>
              </m:oMath>
            </m:oMathPara>
          </w:p>
        </w:tc>
        <w:tc>
          <w:tcPr>
            <w:tcW w:w="1998" w:type="dxa"/>
            <w:shd w:val="clear" w:color="auto" w:fill="auto"/>
          </w:tcPr>
          <w:p w14:paraId="7A2CDB77" w14:textId="77777777" w:rsidR="00E44576" w:rsidRPr="001570EA" w:rsidRDefault="00E44576">
            <w:pPr>
              <w:tabs>
                <w:tab w:val="left" w:pos="720"/>
              </w:tabs>
              <w:spacing w:before="60" w:after="60"/>
              <w:jc w:val="center"/>
              <w:rPr>
                <w:rFonts w:cs="Arial"/>
                <w:sz w:val="18"/>
                <w:szCs w:val="18"/>
              </w:rPr>
            </w:pPr>
            <w:r w:rsidRPr="001570EA">
              <w:rPr>
                <w:rFonts w:cs="Arial"/>
                <w:sz w:val="18"/>
                <w:szCs w:val="18"/>
              </w:rPr>
              <w:t>EDC Data Gathering</w:t>
            </w:r>
          </w:p>
          <w:p w14:paraId="25EC5EAA" w14:textId="26909557" w:rsidR="00E44576" w:rsidRPr="001570EA" w:rsidRDefault="00E44576">
            <w:pPr>
              <w:tabs>
                <w:tab w:val="left" w:pos="720"/>
              </w:tabs>
              <w:spacing w:before="60" w:after="60"/>
              <w:jc w:val="center"/>
              <w:rPr>
                <w:rFonts w:cs="Arial"/>
                <w:sz w:val="18"/>
                <w:szCs w:val="18"/>
              </w:rPr>
            </w:pPr>
            <w:r w:rsidRPr="001570EA">
              <w:rPr>
                <w:rFonts w:cs="Arial"/>
                <w:sz w:val="18"/>
                <w:szCs w:val="18"/>
              </w:rPr>
              <w:t>Default:</w:t>
            </w:r>
            <w:r w:rsidR="005A4088" w:rsidRPr="001570EA">
              <w:rPr>
                <w:rFonts w:cs="Arial"/>
                <w:sz w:val="18"/>
                <w:szCs w:val="18"/>
              </w:rPr>
              <w:t xml:space="preserve"> </w:t>
            </w:r>
            <w:r w:rsidR="005A4088" w:rsidRPr="001570EA">
              <w:rPr>
                <w:rFonts w:cs="Arial"/>
                <w:sz w:val="18"/>
                <w:szCs w:val="18"/>
              </w:rPr>
              <w:fldChar w:fldCharType="begin"/>
            </w:r>
            <w:r w:rsidR="005A4088" w:rsidRPr="001570EA">
              <w:rPr>
                <w:rFonts w:cs="Arial"/>
                <w:sz w:val="18"/>
                <w:szCs w:val="18"/>
              </w:rPr>
              <w:instrText xml:space="preserve"> REF _Ref51169907 \h </w:instrText>
            </w:r>
            <w:r w:rsidR="001570EA">
              <w:rPr>
                <w:rFonts w:cs="Arial"/>
                <w:sz w:val="18"/>
                <w:szCs w:val="18"/>
              </w:rPr>
              <w:instrText xml:space="preserve"> \* MERGEFORMAT </w:instrText>
            </w:r>
            <w:r w:rsidR="005A4088" w:rsidRPr="001570EA">
              <w:rPr>
                <w:rFonts w:cs="Arial"/>
                <w:sz w:val="18"/>
                <w:szCs w:val="18"/>
              </w:rPr>
            </w:r>
            <w:r w:rsidR="005A4088" w:rsidRPr="001570EA">
              <w:rPr>
                <w:rFonts w:cs="Arial"/>
                <w:sz w:val="18"/>
                <w:szCs w:val="18"/>
              </w:rPr>
              <w:fldChar w:fldCharType="separate"/>
            </w:r>
            <w:r w:rsidR="00234C6C" w:rsidRPr="001570EA">
              <w:rPr>
                <w:noProof/>
              </w:rPr>
              <w:t>Table 2</w:t>
            </w:r>
            <w:r w:rsidR="00234C6C" w:rsidRPr="001570EA">
              <w:rPr>
                <w:noProof/>
              </w:rPr>
              <w:noBreakHyphen/>
              <w:t>173</w:t>
            </w:r>
            <w:r w:rsidR="005A4088" w:rsidRPr="001570EA">
              <w:rPr>
                <w:rFonts w:cs="Arial"/>
                <w:sz w:val="18"/>
                <w:szCs w:val="18"/>
              </w:rPr>
              <w:fldChar w:fldCharType="end"/>
            </w:r>
            <w:r w:rsidR="005A4088" w:rsidRPr="001570EA">
              <w:rPr>
                <w:rFonts w:cs="Arial"/>
                <w:sz w:val="18"/>
                <w:szCs w:val="18"/>
              </w:rPr>
              <w:t xml:space="preserve"> or</w:t>
            </w:r>
            <w:r w:rsidR="000A63F7" w:rsidRPr="001570EA">
              <w:rPr>
                <w:rFonts w:cs="Arial"/>
                <w:sz w:val="18"/>
                <w:szCs w:val="18"/>
              </w:rPr>
              <w:t xml:space="preserve"> </w:t>
            </w:r>
            <w:r w:rsidR="006A0A64" w:rsidRPr="001570EA">
              <w:rPr>
                <w:sz w:val="18"/>
                <w:szCs w:val="18"/>
              </w:rPr>
              <w:fldChar w:fldCharType="begin"/>
            </w:r>
            <w:r w:rsidR="006A0A64" w:rsidRPr="001570EA">
              <w:rPr>
                <w:sz w:val="18"/>
                <w:szCs w:val="18"/>
              </w:rPr>
              <w:instrText xml:space="preserve"> REF _Ref157419703 \h  \* MERGEFORMAT </w:instrText>
            </w:r>
            <w:r w:rsidR="006A0A64" w:rsidRPr="001570EA">
              <w:rPr>
                <w:sz w:val="18"/>
                <w:szCs w:val="18"/>
              </w:rPr>
            </w:r>
            <w:r w:rsidR="006A0A64" w:rsidRPr="001570EA">
              <w:rPr>
                <w:sz w:val="18"/>
                <w:szCs w:val="18"/>
              </w:rPr>
              <w:fldChar w:fldCharType="separate"/>
            </w:r>
            <w:r w:rsidR="00234C6C" w:rsidRPr="001570EA">
              <w:rPr>
                <w:noProof/>
                <w:sz w:val="18"/>
                <w:szCs w:val="18"/>
              </w:rPr>
              <w:t>Table 2</w:t>
            </w:r>
            <w:r w:rsidR="00234C6C" w:rsidRPr="001570EA">
              <w:rPr>
                <w:noProof/>
                <w:sz w:val="18"/>
                <w:szCs w:val="18"/>
              </w:rPr>
              <w:noBreakHyphen/>
              <w:t>174</w:t>
            </w:r>
            <w:r w:rsidR="006A0A64" w:rsidRPr="001570EA">
              <w:rPr>
                <w:sz w:val="18"/>
                <w:szCs w:val="18"/>
              </w:rPr>
              <w:fldChar w:fldCharType="end"/>
            </w:r>
            <w:r w:rsidRPr="001570EA">
              <w:rPr>
                <w:rFonts w:cs="Arial"/>
                <w:sz w:val="18"/>
                <w:szCs w:val="18"/>
              </w:rPr>
              <w:t xml:space="preserve"> </w:t>
            </w:r>
          </w:p>
        </w:tc>
        <w:tc>
          <w:tcPr>
            <w:tcW w:w="907" w:type="dxa"/>
            <w:shd w:val="clear" w:color="auto" w:fill="auto"/>
          </w:tcPr>
          <w:p w14:paraId="77F8721A" w14:textId="77777777" w:rsidR="00E44576" w:rsidRPr="001570EA" w:rsidRDefault="00E44576">
            <w:pPr>
              <w:tabs>
                <w:tab w:val="left" w:pos="720"/>
              </w:tabs>
              <w:spacing w:before="60" w:after="60"/>
              <w:jc w:val="center"/>
              <w:rPr>
                <w:sz w:val="18"/>
                <w:szCs w:val="18"/>
              </w:rPr>
            </w:pPr>
            <w:r w:rsidRPr="001570EA">
              <w:rPr>
                <w:sz w:val="18"/>
                <w:szCs w:val="18"/>
              </w:rPr>
              <w:t>3</w:t>
            </w:r>
          </w:p>
        </w:tc>
      </w:tr>
      <w:tr w:rsidR="00E44576" w:rsidRPr="001570EA" w14:paraId="6B055775" w14:textId="77777777">
        <w:trPr>
          <w:trHeight w:val="374"/>
        </w:trPr>
        <w:tc>
          <w:tcPr>
            <w:tcW w:w="4297" w:type="dxa"/>
          </w:tcPr>
          <w:p w14:paraId="1C579E17" w14:textId="47B7A424" w:rsidR="00E44576" w:rsidRPr="001570EA" w:rsidRDefault="00E44576">
            <w:pPr>
              <w:tabs>
                <w:tab w:val="left" w:pos="720"/>
              </w:tabs>
              <w:spacing w:before="60" w:after="60"/>
              <w:rPr>
                <w:i/>
                <w:sz w:val="18"/>
                <w:szCs w:val="18"/>
              </w:rPr>
            </w:pPr>
            <w:r w:rsidRPr="001570EA">
              <w:rPr>
                <w:i/>
                <w:sz w:val="18"/>
                <w:szCs w:val="18"/>
              </w:rPr>
              <w:t>hhp,</w:t>
            </w:r>
            <w:r w:rsidRPr="001570EA">
              <w:rPr>
                <w:iCs/>
                <w:sz w:val="18"/>
                <w:szCs w:val="18"/>
              </w:rPr>
              <w:t xml:space="preserve"> hydraulic horsepower is a measure of pump output rather than pump input</w:t>
            </w:r>
            <w:r w:rsidR="003D185A" w:rsidRPr="001570EA">
              <w:rPr>
                <w:iCs/>
                <w:sz w:val="18"/>
                <w:szCs w:val="18"/>
              </w:rPr>
              <w:t>.</w:t>
            </w:r>
          </w:p>
        </w:tc>
        <w:tc>
          <w:tcPr>
            <w:tcW w:w="1332" w:type="dxa"/>
          </w:tcPr>
          <w:p w14:paraId="68588F0D" w14:textId="77777777" w:rsidR="00E44576" w:rsidRPr="001570EA" w:rsidRDefault="00E44576">
            <w:pPr>
              <w:tabs>
                <w:tab w:val="left" w:pos="720"/>
              </w:tabs>
              <w:spacing w:before="60" w:after="60"/>
              <w:jc w:val="center"/>
              <w:rPr>
                <w:sz w:val="18"/>
                <w:szCs w:val="18"/>
              </w:rPr>
            </w:pPr>
            <w:r w:rsidRPr="001570EA">
              <w:rPr>
                <w:i/>
                <w:sz w:val="18"/>
                <w:szCs w:val="18"/>
              </w:rPr>
              <w:t>745.7 W</w:t>
            </w:r>
          </w:p>
        </w:tc>
        <w:tc>
          <w:tcPr>
            <w:tcW w:w="1998" w:type="dxa"/>
          </w:tcPr>
          <w:p w14:paraId="2874D67E" w14:textId="77777777" w:rsidR="00E44576" w:rsidRPr="001570EA" w:rsidRDefault="00E44576">
            <w:pPr>
              <w:tabs>
                <w:tab w:val="left" w:pos="720"/>
              </w:tabs>
              <w:spacing w:before="60" w:after="60"/>
              <w:jc w:val="center"/>
              <w:rPr>
                <w:rFonts w:cs="Arial"/>
                <w:sz w:val="18"/>
                <w:szCs w:val="18"/>
              </w:rPr>
            </w:pPr>
            <w:r w:rsidRPr="001570EA">
              <w:rPr>
                <w:rFonts w:cs="Arial"/>
                <w:sz w:val="18"/>
                <w:szCs w:val="18"/>
              </w:rPr>
              <w:t>EDC Data Gathering</w:t>
            </w:r>
          </w:p>
          <w:p w14:paraId="2555616A" w14:textId="13BDFCF4" w:rsidR="00E44576" w:rsidRPr="001570EA" w:rsidRDefault="00E44576">
            <w:pPr>
              <w:pStyle w:val="TableCell"/>
              <w:spacing w:before="60" w:after="60"/>
              <w:jc w:val="center"/>
              <w:rPr>
                <w:szCs w:val="18"/>
              </w:rPr>
            </w:pPr>
            <w:r w:rsidRPr="001570EA">
              <w:rPr>
                <w:rFonts w:cs="Arial"/>
                <w:szCs w:val="18"/>
              </w:rPr>
              <w:t xml:space="preserve">Default: </w:t>
            </w:r>
            <w:r w:rsidR="005A4088" w:rsidRPr="001570EA">
              <w:rPr>
                <w:rFonts w:cs="Arial"/>
                <w:szCs w:val="18"/>
              </w:rPr>
              <w:fldChar w:fldCharType="begin"/>
            </w:r>
            <w:r w:rsidR="005A4088" w:rsidRPr="001570EA">
              <w:rPr>
                <w:rFonts w:cs="Arial"/>
                <w:szCs w:val="18"/>
              </w:rPr>
              <w:instrText xml:space="preserve"> REF _Ref51169907 \h </w:instrText>
            </w:r>
            <w:r w:rsidR="001570EA">
              <w:rPr>
                <w:rFonts w:cs="Arial"/>
                <w:szCs w:val="18"/>
              </w:rPr>
              <w:instrText xml:space="preserve"> \* MERGEFORMAT </w:instrText>
            </w:r>
            <w:r w:rsidR="005A4088" w:rsidRPr="001570EA">
              <w:rPr>
                <w:rFonts w:cs="Arial"/>
                <w:szCs w:val="18"/>
              </w:rPr>
            </w:r>
            <w:r w:rsidR="005A4088" w:rsidRPr="001570EA">
              <w:rPr>
                <w:rFonts w:cs="Arial"/>
                <w:szCs w:val="18"/>
              </w:rPr>
              <w:fldChar w:fldCharType="separate"/>
            </w:r>
            <w:r w:rsidR="00234C6C" w:rsidRPr="001570EA">
              <w:rPr>
                <w:noProof/>
              </w:rPr>
              <w:t>Table 2</w:t>
            </w:r>
            <w:r w:rsidR="00234C6C" w:rsidRPr="001570EA">
              <w:rPr>
                <w:noProof/>
              </w:rPr>
              <w:noBreakHyphen/>
              <w:t>173</w:t>
            </w:r>
            <w:r w:rsidR="005A4088" w:rsidRPr="001570EA">
              <w:rPr>
                <w:rFonts w:cs="Arial"/>
                <w:szCs w:val="18"/>
              </w:rPr>
              <w:fldChar w:fldCharType="end"/>
            </w:r>
            <w:r w:rsidR="005A4088" w:rsidRPr="001570EA">
              <w:rPr>
                <w:rFonts w:cs="Arial"/>
                <w:szCs w:val="18"/>
              </w:rPr>
              <w:t xml:space="preserve"> or </w:t>
            </w:r>
            <w:r w:rsidR="006A0A64" w:rsidRPr="001570EA">
              <w:rPr>
                <w:szCs w:val="18"/>
              </w:rPr>
              <w:fldChar w:fldCharType="begin"/>
            </w:r>
            <w:r w:rsidR="006A0A64" w:rsidRPr="001570EA">
              <w:rPr>
                <w:szCs w:val="18"/>
              </w:rPr>
              <w:instrText xml:space="preserve"> REF _Ref157419703 \h  \* MERGEFORMAT </w:instrText>
            </w:r>
            <w:r w:rsidR="006A0A64" w:rsidRPr="001570EA">
              <w:rPr>
                <w:szCs w:val="18"/>
              </w:rPr>
            </w:r>
            <w:r w:rsidR="006A0A64" w:rsidRPr="001570EA">
              <w:rPr>
                <w:szCs w:val="18"/>
              </w:rPr>
              <w:fldChar w:fldCharType="separate"/>
            </w:r>
            <w:r w:rsidR="00234C6C" w:rsidRPr="001570EA">
              <w:rPr>
                <w:noProof/>
                <w:szCs w:val="18"/>
              </w:rPr>
              <w:t>Table 2</w:t>
            </w:r>
            <w:r w:rsidR="00234C6C" w:rsidRPr="001570EA">
              <w:rPr>
                <w:noProof/>
                <w:szCs w:val="18"/>
              </w:rPr>
              <w:noBreakHyphen/>
              <w:t>174</w:t>
            </w:r>
            <w:r w:rsidR="006A0A64" w:rsidRPr="001570EA">
              <w:rPr>
                <w:szCs w:val="18"/>
              </w:rPr>
              <w:fldChar w:fldCharType="end"/>
            </w:r>
          </w:p>
        </w:tc>
        <w:tc>
          <w:tcPr>
            <w:tcW w:w="907" w:type="dxa"/>
          </w:tcPr>
          <w:p w14:paraId="5786D77A" w14:textId="77777777" w:rsidR="00E44576" w:rsidRPr="001570EA" w:rsidRDefault="00E44576">
            <w:pPr>
              <w:tabs>
                <w:tab w:val="left" w:pos="720"/>
              </w:tabs>
              <w:spacing w:before="60" w:after="60"/>
              <w:jc w:val="center"/>
              <w:rPr>
                <w:sz w:val="18"/>
                <w:szCs w:val="18"/>
              </w:rPr>
            </w:pPr>
            <w:r w:rsidRPr="001570EA">
              <w:rPr>
                <w:sz w:val="18"/>
                <w:szCs w:val="18"/>
              </w:rPr>
              <w:t>2</w:t>
            </w:r>
          </w:p>
        </w:tc>
      </w:tr>
      <w:tr w:rsidR="00E44576" w:rsidRPr="001570EA" w14:paraId="1B689ED6" w14:textId="77777777">
        <w:trPr>
          <w:trHeight w:val="374"/>
        </w:trPr>
        <w:tc>
          <w:tcPr>
            <w:tcW w:w="4297" w:type="dxa"/>
          </w:tcPr>
          <w:p w14:paraId="46F9122C" w14:textId="77777777" w:rsidR="00E44576" w:rsidRPr="001570EA" w:rsidRDefault="00E44576">
            <w:pPr>
              <w:tabs>
                <w:tab w:val="left" w:pos="720"/>
              </w:tabs>
              <w:spacing w:before="60" w:after="60"/>
              <w:rPr>
                <w:iCs/>
                <w:sz w:val="18"/>
                <w:szCs w:val="18"/>
              </w:rPr>
            </w:pPr>
            <w:r w:rsidRPr="001570EA">
              <w:rPr>
                <w:i/>
                <w:sz w:val="18"/>
                <w:szCs w:val="18"/>
              </w:rPr>
              <w:t>Volume</w:t>
            </w:r>
            <w:r w:rsidRPr="001570EA">
              <w:rPr>
                <w:iCs/>
                <w:sz w:val="18"/>
                <w:szCs w:val="18"/>
              </w:rPr>
              <w:t>, pool capacity</w:t>
            </w:r>
          </w:p>
        </w:tc>
        <w:tc>
          <w:tcPr>
            <w:tcW w:w="1332" w:type="dxa"/>
          </w:tcPr>
          <w:p w14:paraId="5C3B06C3" w14:textId="77777777" w:rsidR="00E44576" w:rsidRPr="001570EA" w:rsidRDefault="00E44576">
            <w:pPr>
              <w:tabs>
                <w:tab w:val="left" w:pos="720"/>
              </w:tabs>
              <w:spacing w:before="60" w:after="60"/>
              <w:jc w:val="center"/>
              <w:rPr>
                <w:i/>
                <w:iCs/>
                <w:sz w:val="18"/>
                <w:szCs w:val="18"/>
              </w:rPr>
            </w:pPr>
            <w:r w:rsidRPr="001570EA">
              <w:rPr>
                <w:i/>
                <w:iCs/>
                <w:sz w:val="18"/>
                <w:szCs w:val="18"/>
              </w:rPr>
              <w:t>Gallons</w:t>
            </w:r>
          </w:p>
        </w:tc>
        <w:tc>
          <w:tcPr>
            <w:tcW w:w="1998" w:type="dxa"/>
          </w:tcPr>
          <w:p w14:paraId="5F7F4C71" w14:textId="77777777" w:rsidR="00E44576" w:rsidRPr="001570EA" w:rsidRDefault="00E44576">
            <w:pPr>
              <w:pStyle w:val="TableCell"/>
              <w:spacing w:before="60" w:after="60"/>
              <w:jc w:val="center"/>
              <w:rPr>
                <w:szCs w:val="18"/>
              </w:rPr>
            </w:pPr>
            <w:r w:rsidRPr="001570EA">
              <w:rPr>
                <w:szCs w:val="18"/>
              </w:rPr>
              <w:t>EDC Data Gathering</w:t>
            </w:r>
          </w:p>
          <w:p w14:paraId="31A47094" w14:textId="5474905F" w:rsidR="00E44576" w:rsidRPr="001570EA" w:rsidRDefault="00E44576">
            <w:pPr>
              <w:pStyle w:val="TableCell"/>
              <w:spacing w:before="60" w:after="60"/>
              <w:jc w:val="center"/>
              <w:rPr>
                <w:szCs w:val="18"/>
              </w:rPr>
            </w:pPr>
            <w:r w:rsidRPr="001570EA">
              <w:rPr>
                <w:rFonts w:cs="Arial"/>
                <w:szCs w:val="18"/>
              </w:rPr>
              <w:t>Default:</w:t>
            </w:r>
            <w:r w:rsidR="00FF4F74" w:rsidRPr="001570EA">
              <w:rPr>
                <w:rFonts w:cs="Arial"/>
                <w:szCs w:val="18"/>
              </w:rPr>
              <w:t xml:space="preserve"> </w:t>
            </w:r>
            <w:r w:rsidR="00FF4F74" w:rsidRPr="001570EA">
              <w:rPr>
                <w:szCs w:val="18"/>
              </w:rPr>
              <w:fldChar w:fldCharType="begin"/>
            </w:r>
            <w:r w:rsidR="00FF4F74" w:rsidRPr="001570EA">
              <w:rPr>
                <w:szCs w:val="18"/>
              </w:rPr>
              <w:instrText xml:space="preserve"> REF _Ref157419703 \h  \* MERGEFORMAT </w:instrText>
            </w:r>
            <w:r w:rsidR="00FF4F74" w:rsidRPr="001570EA">
              <w:rPr>
                <w:szCs w:val="18"/>
              </w:rPr>
            </w:r>
            <w:r w:rsidR="00FF4F74" w:rsidRPr="001570EA">
              <w:rPr>
                <w:szCs w:val="18"/>
              </w:rPr>
              <w:fldChar w:fldCharType="separate"/>
            </w:r>
            <w:r w:rsidR="00234C6C" w:rsidRPr="001570EA">
              <w:rPr>
                <w:noProof/>
                <w:szCs w:val="18"/>
              </w:rPr>
              <w:t>Table 2</w:t>
            </w:r>
            <w:r w:rsidR="00234C6C" w:rsidRPr="001570EA">
              <w:rPr>
                <w:noProof/>
                <w:szCs w:val="18"/>
              </w:rPr>
              <w:noBreakHyphen/>
              <w:t>174</w:t>
            </w:r>
            <w:r w:rsidR="00FF4F74" w:rsidRPr="001570EA">
              <w:rPr>
                <w:szCs w:val="18"/>
              </w:rPr>
              <w:fldChar w:fldCharType="end"/>
            </w:r>
          </w:p>
        </w:tc>
        <w:tc>
          <w:tcPr>
            <w:tcW w:w="907" w:type="dxa"/>
          </w:tcPr>
          <w:p w14:paraId="0C7FBC54" w14:textId="77777777" w:rsidR="00E44576" w:rsidRPr="001570EA" w:rsidRDefault="00E44576">
            <w:pPr>
              <w:tabs>
                <w:tab w:val="left" w:pos="720"/>
              </w:tabs>
              <w:spacing w:before="60" w:after="60"/>
              <w:jc w:val="center"/>
              <w:rPr>
                <w:sz w:val="18"/>
                <w:szCs w:val="18"/>
              </w:rPr>
            </w:pPr>
            <w:r w:rsidRPr="001570EA">
              <w:rPr>
                <w:sz w:val="18"/>
                <w:szCs w:val="18"/>
              </w:rPr>
              <w:t>4</w:t>
            </w:r>
          </w:p>
        </w:tc>
      </w:tr>
      <w:tr w:rsidR="00E44576" w:rsidRPr="001570EA" w14:paraId="636EA046" w14:textId="77777777">
        <w:trPr>
          <w:trHeight w:val="374"/>
        </w:trPr>
        <w:tc>
          <w:tcPr>
            <w:tcW w:w="4297" w:type="dxa"/>
          </w:tcPr>
          <w:p w14:paraId="17A233B0" w14:textId="77777777" w:rsidR="00E44576" w:rsidRPr="001570EA" w:rsidRDefault="00E44576">
            <w:pPr>
              <w:tabs>
                <w:tab w:val="left" w:pos="720"/>
              </w:tabs>
              <w:spacing w:before="60" w:after="60"/>
              <w:rPr>
                <w:i/>
                <w:sz w:val="18"/>
                <w:szCs w:val="18"/>
              </w:rPr>
            </w:pPr>
            <w:r w:rsidRPr="001570EA">
              <w:rPr>
                <w:i/>
                <w:sz w:val="18"/>
                <w:szCs w:val="18"/>
              </w:rPr>
              <w:t>Turnover</w:t>
            </w:r>
            <w:r w:rsidRPr="001570EA">
              <w:rPr>
                <w:iCs/>
                <w:sz w:val="18"/>
                <w:szCs w:val="18"/>
              </w:rPr>
              <w:t>, number of times the full volume of the pool is filtered each day</w:t>
            </w:r>
          </w:p>
        </w:tc>
        <w:tc>
          <w:tcPr>
            <w:tcW w:w="1332" w:type="dxa"/>
          </w:tcPr>
          <w:p w14:paraId="44A5A667" w14:textId="77777777" w:rsidR="00E44576" w:rsidRPr="001570EA" w:rsidRDefault="003B5E04">
            <w:pPr>
              <w:tabs>
                <w:tab w:val="left" w:pos="720"/>
              </w:tabs>
              <w:spacing w:before="60" w:after="60"/>
              <w:jc w:val="center"/>
              <w:rPr>
                <w:sz w:val="18"/>
                <w:szCs w:val="18"/>
              </w:rPr>
            </w:pPr>
            <m:oMathPara>
              <m:oMath>
                <m:f>
                  <m:fPr>
                    <m:ctrlPr>
                      <w:rPr>
                        <w:rFonts w:ascii="Cambria Math" w:hAnsi="Cambria Math" w:cs="Arial"/>
                        <w:sz w:val="18"/>
                        <w:szCs w:val="18"/>
                      </w:rPr>
                    </m:ctrlPr>
                  </m:fPr>
                  <m:num>
                    <m:r>
                      <w:rPr>
                        <w:rFonts w:ascii="Cambria Math" w:hAnsi="Cambria Math" w:cs="Arial"/>
                        <w:sz w:val="18"/>
                        <w:szCs w:val="18"/>
                      </w:rPr>
                      <m:t>Pool volumes</m:t>
                    </m:r>
                  </m:num>
                  <m:den>
                    <m:r>
                      <w:rPr>
                        <w:rFonts w:ascii="Cambria Math" w:hAnsi="Cambria Math" w:cs="Arial"/>
                        <w:sz w:val="18"/>
                        <w:szCs w:val="18"/>
                      </w:rPr>
                      <m:t>day</m:t>
                    </m:r>
                  </m:den>
                </m:f>
              </m:oMath>
            </m:oMathPara>
          </w:p>
        </w:tc>
        <w:tc>
          <w:tcPr>
            <w:tcW w:w="1998" w:type="dxa"/>
          </w:tcPr>
          <w:p w14:paraId="21ED917D" w14:textId="77777777" w:rsidR="00E44576" w:rsidRPr="001570EA" w:rsidRDefault="00E44576">
            <w:pPr>
              <w:pStyle w:val="TableCell"/>
              <w:spacing w:before="60" w:after="60"/>
              <w:jc w:val="center"/>
              <w:rPr>
                <w:szCs w:val="18"/>
              </w:rPr>
            </w:pPr>
            <w:r w:rsidRPr="001570EA">
              <w:rPr>
                <w:szCs w:val="18"/>
              </w:rPr>
              <w:t>EDC Data Gathering</w:t>
            </w:r>
          </w:p>
          <w:p w14:paraId="31F33A9C" w14:textId="481E4FF4" w:rsidR="00E44576" w:rsidRPr="001570EA" w:rsidRDefault="00E44576">
            <w:pPr>
              <w:pStyle w:val="TableCell"/>
              <w:spacing w:before="60" w:after="60"/>
              <w:jc w:val="center"/>
              <w:rPr>
                <w:szCs w:val="18"/>
              </w:rPr>
            </w:pPr>
            <w:r w:rsidRPr="001570EA">
              <w:rPr>
                <w:rFonts w:cs="Arial"/>
                <w:szCs w:val="18"/>
              </w:rPr>
              <w:t>Default:</w:t>
            </w:r>
            <w:r w:rsidR="00FF4F74" w:rsidRPr="001570EA">
              <w:rPr>
                <w:rFonts w:cs="Arial"/>
                <w:szCs w:val="18"/>
              </w:rPr>
              <w:t xml:space="preserve"> </w:t>
            </w:r>
            <w:r w:rsidR="00FF4F74" w:rsidRPr="001570EA">
              <w:rPr>
                <w:szCs w:val="18"/>
              </w:rPr>
              <w:fldChar w:fldCharType="begin"/>
            </w:r>
            <w:r w:rsidR="00FF4F74" w:rsidRPr="001570EA">
              <w:rPr>
                <w:szCs w:val="18"/>
              </w:rPr>
              <w:instrText xml:space="preserve"> REF _Ref157419703 \h  \* MERGEFORMAT </w:instrText>
            </w:r>
            <w:r w:rsidR="00FF4F74" w:rsidRPr="001570EA">
              <w:rPr>
                <w:szCs w:val="18"/>
              </w:rPr>
            </w:r>
            <w:r w:rsidR="00FF4F74" w:rsidRPr="001570EA">
              <w:rPr>
                <w:szCs w:val="18"/>
              </w:rPr>
              <w:fldChar w:fldCharType="separate"/>
            </w:r>
            <w:r w:rsidR="00234C6C" w:rsidRPr="001570EA">
              <w:rPr>
                <w:noProof/>
                <w:szCs w:val="18"/>
              </w:rPr>
              <w:t>Table 2</w:t>
            </w:r>
            <w:r w:rsidR="00234C6C" w:rsidRPr="001570EA">
              <w:rPr>
                <w:noProof/>
                <w:szCs w:val="18"/>
              </w:rPr>
              <w:noBreakHyphen/>
              <w:t>174</w:t>
            </w:r>
            <w:r w:rsidR="00FF4F74" w:rsidRPr="001570EA">
              <w:rPr>
                <w:szCs w:val="18"/>
              </w:rPr>
              <w:fldChar w:fldCharType="end"/>
            </w:r>
            <w:r w:rsidR="00FF4F74" w:rsidRPr="001570EA">
              <w:rPr>
                <w:szCs w:val="18"/>
              </w:rPr>
              <w:t xml:space="preserve"> </w:t>
            </w:r>
          </w:p>
        </w:tc>
        <w:tc>
          <w:tcPr>
            <w:tcW w:w="907" w:type="dxa"/>
          </w:tcPr>
          <w:p w14:paraId="5B1C301D" w14:textId="77777777" w:rsidR="00E44576" w:rsidRPr="001570EA" w:rsidRDefault="00E44576">
            <w:pPr>
              <w:tabs>
                <w:tab w:val="left" w:pos="720"/>
              </w:tabs>
              <w:spacing w:before="60" w:after="60"/>
              <w:jc w:val="center"/>
              <w:rPr>
                <w:sz w:val="18"/>
                <w:szCs w:val="18"/>
              </w:rPr>
            </w:pPr>
            <w:r w:rsidRPr="001570EA">
              <w:rPr>
                <w:sz w:val="18"/>
                <w:szCs w:val="18"/>
              </w:rPr>
              <w:t>5,8</w:t>
            </w:r>
          </w:p>
        </w:tc>
      </w:tr>
      <w:tr w:rsidR="00E44576" w:rsidRPr="001570EA" w14:paraId="38DB5636" w14:textId="77777777">
        <w:trPr>
          <w:trHeight w:val="374"/>
        </w:trPr>
        <w:tc>
          <w:tcPr>
            <w:tcW w:w="4297" w:type="dxa"/>
          </w:tcPr>
          <w:p w14:paraId="00683583" w14:textId="79AC1810" w:rsidR="00E44576" w:rsidRPr="001570EA" w:rsidRDefault="00E44576">
            <w:pPr>
              <w:tabs>
                <w:tab w:val="left" w:pos="720"/>
              </w:tabs>
              <w:spacing w:before="60" w:after="60"/>
              <w:rPr>
                <w:sz w:val="18"/>
                <w:szCs w:val="18"/>
              </w:rPr>
            </w:pPr>
            <w:r w:rsidRPr="001570EA">
              <w:rPr>
                <w:i/>
                <w:sz w:val="18"/>
                <w:szCs w:val="18"/>
              </w:rPr>
              <w:t>Days</w:t>
            </w:r>
            <w:r w:rsidRPr="001570EA">
              <w:rPr>
                <w:sz w:val="18"/>
                <w:szCs w:val="18"/>
              </w:rPr>
              <w:t>, Pool pump days of operation per year.</w:t>
            </w:r>
          </w:p>
        </w:tc>
        <w:tc>
          <w:tcPr>
            <w:tcW w:w="1332" w:type="dxa"/>
          </w:tcPr>
          <w:p w14:paraId="38D9A055" w14:textId="77777777" w:rsidR="00E44576" w:rsidRPr="001570EA" w:rsidRDefault="00E44576">
            <w:pPr>
              <w:tabs>
                <w:tab w:val="left" w:pos="720"/>
              </w:tabs>
              <w:spacing w:before="60" w:after="60"/>
              <w:jc w:val="center"/>
              <w:rPr>
                <w:sz w:val="18"/>
                <w:szCs w:val="18"/>
              </w:rPr>
            </w:pPr>
            <w:r w:rsidRPr="001570EA">
              <w:rPr>
                <w:i/>
                <w:iCs/>
                <w:sz w:val="18"/>
                <w:szCs w:val="18"/>
              </w:rPr>
              <w:t>Days</w:t>
            </w:r>
          </w:p>
        </w:tc>
        <w:tc>
          <w:tcPr>
            <w:tcW w:w="1998" w:type="dxa"/>
          </w:tcPr>
          <w:p w14:paraId="0FE8AA22" w14:textId="77777777" w:rsidR="00E44576" w:rsidRPr="001570EA" w:rsidRDefault="00E44576">
            <w:pPr>
              <w:tabs>
                <w:tab w:val="left" w:pos="720"/>
              </w:tabs>
              <w:spacing w:before="60" w:after="60"/>
              <w:jc w:val="center"/>
              <w:rPr>
                <w:sz w:val="18"/>
                <w:szCs w:val="18"/>
              </w:rPr>
            </w:pPr>
            <w:r w:rsidRPr="001570EA">
              <w:rPr>
                <w:sz w:val="18"/>
                <w:szCs w:val="18"/>
              </w:rPr>
              <w:t>122</w:t>
            </w:r>
          </w:p>
          <w:p w14:paraId="6BD3A6A0" w14:textId="77777777" w:rsidR="00E44576" w:rsidRPr="001570EA" w:rsidRDefault="00E44576">
            <w:pPr>
              <w:tabs>
                <w:tab w:val="left" w:pos="720"/>
              </w:tabs>
              <w:spacing w:before="60" w:after="60"/>
              <w:jc w:val="center"/>
              <w:rPr>
                <w:sz w:val="18"/>
                <w:szCs w:val="18"/>
              </w:rPr>
            </w:pPr>
            <w:r w:rsidRPr="001570EA">
              <w:rPr>
                <w:sz w:val="18"/>
                <w:szCs w:val="18"/>
              </w:rPr>
              <w:t>(4 months)</w:t>
            </w:r>
          </w:p>
        </w:tc>
        <w:tc>
          <w:tcPr>
            <w:tcW w:w="907" w:type="dxa"/>
          </w:tcPr>
          <w:p w14:paraId="31AC44E2" w14:textId="77777777" w:rsidR="00E44576" w:rsidRPr="001570EA" w:rsidRDefault="00E44576">
            <w:pPr>
              <w:tabs>
                <w:tab w:val="left" w:pos="720"/>
              </w:tabs>
              <w:spacing w:before="60" w:after="60"/>
              <w:jc w:val="center"/>
              <w:rPr>
                <w:sz w:val="18"/>
                <w:szCs w:val="18"/>
              </w:rPr>
            </w:pPr>
            <w:r w:rsidRPr="001570EA">
              <w:rPr>
                <w:sz w:val="18"/>
                <w:szCs w:val="18"/>
              </w:rPr>
              <w:t>1</w:t>
            </w:r>
          </w:p>
        </w:tc>
      </w:tr>
      <w:tr w:rsidR="00E44576" w:rsidRPr="001570EA" w14:paraId="64A01D04" w14:textId="77777777">
        <w:trPr>
          <w:trHeight w:val="374"/>
        </w:trPr>
        <w:tc>
          <w:tcPr>
            <w:tcW w:w="4297" w:type="dxa"/>
          </w:tcPr>
          <w:p w14:paraId="16D5FC1D" w14:textId="77777777" w:rsidR="00E44576" w:rsidRPr="001570EA" w:rsidRDefault="00E44576">
            <w:pPr>
              <w:tabs>
                <w:tab w:val="left" w:pos="720"/>
              </w:tabs>
              <w:spacing w:before="60" w:after="60"/>
              <w:rPr>
                <w:i/>
                <w:sz w:val="18"/>
                <w:szCs w:val="18"/>
              </w:rPr>
            </w:pPr>
            <w:r w:rsidRPr="001570EA">
              <w:rPr>
                <w:i/>
                <w:sz w:val="18"/>
                <w:szCs w:val="18"/>
              </w:rPr>
              <w:t>Flow</w:t>
            </w:r>
            <w:r w:rsidRPr="001570EA">
              <w:rPr>
                <w:i/>
                <w:sz w:val="18"/>
                <w:szCs w:val="18"/>
                <w:vertAlign w:val="subscript"/>
              </w:rPr>
              <w:t>base</w:t>
            </w:r>
            <w:r w:rsidRPr="001570EA">
              <w:rPr>
                <w:iCs/>
                <w:sz w:val="18"/>
                <w:szCs w:val="18"/>
              </w:rPr>
              <w:t>, Single speed pump flow rate</w:t>
            </w:r>
          </w:p>
        </w:tc>
        <w:tc>
          <w:tcPr>
            <w:tcW w:w="1332" w:type="dxa"/>
          </w:tcPr>
          <w:p w14:paraId="2A35A93F" w14:textId="77777777" w:rsidR="00E44576" w:rsidRPr="001570EA" w:rsidRDefault="003B5E04">
            <w:pPr>
              <w:tabs>
                <w:tab w:val="left" w:pos="720"/>
              </w:tabs>
              <w:spacing w:before="60" w:after="60"/>
              <w:jc w:val="center"/>
              <w:rPr>
                <w:sz w:val="18"/>
                <w:szCs w:val="18"/>
              </w:rPr>
            </w:pPr>
            <m:oMathPara>
              <m:oMath>
                <m:f>
                  <m:fPr>
                    <m:ctrlPr>
                      <w:rPr>
                        <w:rFonts w:ascii="Cambria Math" w:hAnsi="Cambria Math" w:cs="Arial"/>
                        <w:sz w:val="18"/>
                        <w:szCs w:val="18"/>
                      </w:rPr>
                    </m:ctrlPr>
                  </m:fPr>
                  <m:num>
                    <m:r>
                      <w:rPr>
                        <w:rFonts w:ascii="Cambria Math" w:hAnsi="Cambria Math" w:cs="Arial"/>
                        <w:sz w:val="18"/>
                        <w:szCs w:val="18"/>
                      </w:rPr>
                      <m:t>gallons</m:t>
                    </m:r>
                  </m:num>
                  <m:den>
                    <m:r>
                      <w:rPr>
                        <w:rFonts w:ascii="Cambria Math" w:hAnsi="Cambria Math" w:cs="Arial"/>
                        <w:sz w:val="18"/>
                        <w:szCs w:val="18"/>
                      </w:rPr>
                      <m:t>minute</m:t>
                    </m:r>
                  </m:den>
                </m:f>
              </m:oMath>
            </m:oMathPara>
          </w:p>
        </w:tc>
        <w:tc>
          <w:tcPr>
            <w:tcW w:w="1998" w:type="dxa"/>
          </w:tcPr>
          <w:p w14:paraId="67AA9F04" w14:textId="6F06B44B" w:rsidR="00E44576" w:rsidRPr="001570EA" w:rsidRDefault="00E44576">
            <w:pPr>
              <w:pStyle w:val="TableCell"/>
              <w:spacing w:before="60" w:after="60"/>
              <w:jc w:val="center"/>
              <w:rPr>
                <w:szCs w:val="18"/>
              </w:rPr>
            </w:pPr>
            <w:r w:rsidRPr="001570EA">
              <w:rPr>
                <w:szCs w:val="18"/>
              </w:rPr>
              <w:fldChar w:fldCharType="begin"/>
            </w:r>
            <w:r w:rsidRPr="001570EA">
              <w:rPr>
                <w:szCs w:val="18"/>
              </w:rPr>
              <w:instrText xml:space="preserve"> REF _Ref51168021 \h  \* MERGEFORMAT </w:instrText>
            </w:r>
            <w:r w:rsidRPr="001570EA">
              <w:rPr>
                <w:szCs w:val="18"/>
              </w:rPr>
            </w:r>
            <w:r w:rsidRPr="001570EA">
              <w:rPr>
                <w:szCs w:val="18"/>
              </w:rPr>
              <w:fldChar w:fldCharType="separate"/>
            </w:r>
            <w:r w:rsidR="00234C6C" w:rsidRPr="001570EA">
              <w:rPr>
                <w:noProof/>
                <w:szCs w:val="18"/>
              </w:rPr>
              <w:t>Table 2</w:t>
            </w:r>
            <w:r w:rsidR="00234C6C" w:rsidRPr="001570EA">
              <w:rPr>
                <w:noProof/>
                <w:szCs w:val="18"/>
              </w:rPr>
              <w:noBreakHyphen/>
              <w:t>172</w:t>
            </w:r>
            <w:r w:rsidRPr="001570EA">
              <w:rPr>
                <w:szCs w:val="18"/>
              </w:rPr>
              <w:fldChar w:fldCharType="end"/>
            </w:r>
          </w:p>
          <w:p w14:paraId="17A34116" w14:textId="77777777" w:rsidR="00E44576" w:rsidRPr="001570EA" w:rsidRDefault="00E44576">
            <w:pPr>
              <w:pStyle w:val="TableCell"/>
              <w:spacing w:before="60" w:after="60"/>
              <w:jc w:val="center"/>
              <w:rPr>
                <w:szCs w:val="18"/>
              </w:rPr>
            </w:pPr>
            <w:r w:rsidRPr="001570EA">
              <w:rPr>
                <w:szCs w:val="18"/>
              </w:rPr>
              <w:t>Default=78</w:t>
            </w:r>
          </w:p>
        </w:tc>
        <w:tc>
          <w:tcPr>
            <w:tcW w:w="907" w:type="dxa"/>
          </w:tcPr>
          <w:p w14:paraId="6D049A4B" w14:textId="77777777" w:rsidR="00E44576" w:rsidRPr="001570EA" w:rsidRDefault="00E44576">
            <w:pPr>
              <w:tabs>
                <w:tab w:val="left" w:pos="720"/>
              </w:tabs>
              <w:spacing w:before="60" w:after="60"/>
              <w:jc w:val="center"/>
              <w:rPr>
                <w:sz w:val="18"/>
                <w:szCs w:val="18"/>
              </w:rPr>
            </w:pPr>
            <w:r w:rsidRPr="001570EA">
              <w:rPr>
                <w:sz w:val="18"/>
                <w:szCs w:val="18"/>
              </w:rPr>
              <w:t>2</w:t>
            </w:r>
          </w:p>
        </w:tc>
      </w:tr>
      <w:tr w:rsidR="00E44576" w:rsidRPr="001570EA" w14:paraId="7339B762" w14:textId="77777777">
        <w:trPr>
          <w:trHeight w:val="374"/>
        </w:trPr>
        <w:tc>
          <w:tcPr>
            <w:tcW w:w="4297" w:type="dxa"/>
          </w:tcPr>
          <w:p w14:paraId="6D860056" w14:textId="77777777" w:rsidR="00E44576" w:rsidRPr="001570EA" w:rsidRDefault="00E44576">
            <w:pPr>
              <w:tabs>
                <w:tab w:val="left" w:pos="720"/>
              </w:tabs>
              <w:spacing w:before="60" w:after="60"/>
              <w:rPr>
                <w:i/>
                <w:sz w:val="18"/>
                <w:szCs w:val="18"/>
              </w:rPr>
            </w:pPr>
            <w:r w:rsidRPr="001570EA">
              <w:rPr>
                <w:i/>
                <w:sz w:val="18"/>
                <w:szCs w:val="18"/>
              </w:rPr>
              <w:t>HOU</w:t>
            </w:r>
            <w:r w:rsidRPr="001570EA">
              <w:rPr>
                <w:i/>
                <w:sz w:val="18"/>
                <w:szCs w:val="18"/>
                <w:vertAlign w:val="subscript"/>
              </w:rPr>
              <w:t>base</w:t>
            </w:r>
            <w:r w:rsidRPr="001570EA">
              <w:rPr>
                <w:i/>
                <w:sz w:val="18"/>
                <w:szCs w:val="18"/>
              </w:rPr>
              <w:t xml:space="preserve">, </w:t>
            </w:r>
            <w:r w:rsidRPr="001570EA">
              <w:rPr>
                <w:iCs/>
                <w:sz w:val="18"/>
                <w:szCs w:val="18"/>
              </w:rPr>
              <w:t>Hours of operation per day for base case single-speed frequency drive pool pump</w:t>
            </w:r>
          </w:p>
        </w:tc>
        <w:tc>
          <w:tcPr>
            <w:tcW w:w="1332" w:type="dxa"/>
          </w:tcPr>
          <w:p w14:paraId="48C7D3EF" w14:textId="77777777" w:rsidR="00E44576" w:rsidRPr="001570EA" w:rsidRDefault="003B5E04">
            <w:pPr>
              <w:tabs>
                <w:tab w:val="left" w:pos="720"/>
              </w:tabs>
              <w:spacing w:before="60" w:after="60"/>
              <w:jc w:val="center"/>
              <w:rPr>
                <w:i/>
                <w:sz w:val="18"/>
                <w:szCs w:val="18"/>
              </w:rPr>
            </w:pPr>
            <m:oMathPara>
              <m:oMath>
                <m:f>
                  <m:fPr>
                    <m:ctrlPr>
                      <w:rPr>
                        <w:rFonts w:ascii="Cambria Math" w:hAnsi="Cambria Math" w:cs="Arial"/>
                        <w:sz w:val="18"/>
                        <w:szCs w:val="18"/>
                      </w:rPr>
                    </m:ctrlPr>
                  </m:fPr>
                  <m:num>
                    <m:r>
                      <w:rPr>
                        <w:rFonts w:ascii="Cambria Math" w:hAnsi="Cambria Math" w:cs="Arial"/>
                        <w:sz w:val="18"/>
                        <w:szCs w:val="18"/>
                      </w:rPr>
                      <m:t>hours</m:t>
                    </m:r>
                  </m:num>
                  <m:den>
                    <m:r>
                      <w:rPr>
                        <w:rFonts w:ascii="Cambria Math" w:hAnsi="Cambria Math" w:cs="Arial"/>
                        <w:sz w:val="18"/>
                        <w:szCs w:val="18"/>
                      </w:rPr>
                      <m:t>day</m:t>
                    </m:r>
                  </m:den>
                </m:f>
              </m:oMath>
            </m:oMathPara>
          </w:p>
        </w:tc>
        <w:tc>
          <w:tcPr>
            <w:tcW w:w="1998" w:type="dxa"/>
          </w:tcPr>
          <w:p w14:paraId="351A58DB" w14:textId="77777777" w:rsidR="00E44576" w:rsidRPr="001570EA" w:rsidRDefault="00E44576">
            <w:pPr>
              <w:pStyle w:val="TableCell"/>
              <w:spacing w:before="60" w:after="60"/>
              <w:jc w:val="center"/>
              <w:rPr>
                <w:szCs w:val="18"/>
              </w:rPr>
            </w:pPr>
            <w:r w:rsidRPr="001570EA">
              <w:rPr>
                <w:szCs w:val="18"/>
              </w:rPr>
              <w:t xml:space="preserve">EDC Data Gathering </w:t>
            </w:r>
          </w:p>
          <w:p w14:paraId="4ECFAC04" w14:textId="65403122" w:rsidR="00E44576" w:rsidRPr="001570EA" w:rsidRDefault="00E44576">
            <w:pPr>
              <w:pStyle w:val="TableCell"/>
              <w:spacing w:before="60" w:after="60"/>
              <w:jc w:val="center"/>
              <w:rPr>
                <w:szCs w:val="18"/>
              </w:rPr>
            </w:pPr>
            <w:r w:rsidRPr="001570EA">
              <w:rPr>
                <w:rFonts w:cs="Arial"/>
                <w:szCs w:val="18"/>
              </w:rPr>
              <w:t xml:space="preserve">Default: </w:t>
            </w:r>
            <w:r w:rsidR="005A4088" w:rsidRPr="001570EA">
              <w:rPr>
                <w:szCs w:val="18"/>
              </w:rPr>
              <w:fldChar w:fldCharType="begin"/>
            </w:r>
            <w:r w:rsidR="005A4088" w:rsidRPr="001570EA">
              <w:rPr>
                <w:szCs w:val="18"/>
              </w:rPr>
              <w:instrText xml:space="preserve"> REF _Ref157419703 \h  \* MERGEFORMAT </w:instrText>
            </w:r>
            <w:r w:rsidR="005A4088" w:rsidRPr="001570EA">
              <w:rPr>
                <w:szCs w:val="18"/>
              </w:rPr>
            </w:r>
            <w:r w:rsidR="005A4088" w:rsidRPr="001570EA">
              <w:rPr>
                <w:szCs w:val="18"/>
              </w:rPr>
              <w:fldChar w:fldCharType="separate"/>
            </w:r>
            <w:r w:rsidR="00234C6C" w:rsidRPr="001570EA">
              <w:rPr>
                <w:noProof/>
                <w:szCs w:val="18"/>
              </w:rPr>
              <w:t>Table 2</w:t>
            </w:r>
            <w:r w:rsidR="00234C6C" w:rsidRPr="001570EA">
              <w:rPr>
                <w:noProof/>
                <w:szCs w:val="18"/>
              </w:rPr>
              <w:noBreakHyphen/>
              <w:t>174</w:t>
            </w:r>
            <w:r w:rsidR="005A4088" w:rsidRPr="001570EA">
              <w:rPr>
                <w:szCs w:val="18"/>
              </w:rPr>
              <w:fldChar w:fldCharType="end"/>
            </w:r>
          </w:p>
        </w:tc>
        <w:tc>
          <w:tcPr>
            <w:tcW w:w="907" w:type="dxa"/>
          </w:tcPr>
          <w:p w14:paraId="1006E2DB" w14:textId="77777777" w:rsidR="00E44576" w:rsidRPr="001570EA" w:rsidRDefault="00E44576">
            <w:pPr>
              <w:tabs>
                <w:tab w:val="left" w:pos="720"/>
              </w:tabs>
              <w:spacing w:before="60" w:after="60"/>
              <w:jc w:val="center"/>
              <w:rPr>
                <w:sz w:val="18"/>
                <w:szCs w:val="18"/>
              </w:rPr>
            </w:pPr>
            <w:r w:rsidRPr="001570EA">
              <w:rPr>
                <w:sz w:val="18"/>
                <w:szCs w:val="18"/>
              </w:rPr>
              <w:t>2</w:t>
            </w:r>
          </w:p>
        </w:tc>
      </w:tr>
      <w:tr w:rsidR="00E44576" w:rsidRPr="001570EA" w14:paraId="5150A9B1" w14:textId="77777777">
        <w:trPr>
          <w:trHeight w:val="374"/>
        </w:trPr>
        <w:tc>
          <w:tcPr>
            <w:tcW w:w="4297" w:type="dxa"/>
          </w:tcPr>
          <w:p w14:paraId="083D23EA" w14:textId="77777777" w:rsidR="00E44576" w:rsidRPr="001570EA" w:rsidRDefault="00E44576">
            <w:pPr>
              <w:tabs>
                <w:tab w:val="left" w:pos="720"/>
              </w:tabs>
              <w:spacing w:before="60" w:after="60"/>
              <w:rPr>
                <w:i/>
                <w:sz w:val="18"/>
                <w:szCs w:val="18"/>
              </w:rPr>
            </w:pPr>
            <w:r w:rsidRPr="001570EA">
              <w:rPr>
                <w:i/>
                <w:sz w:val="18"/>
                <w:szCs w:val="18"/>
              </w:rPr>
              <w:t>HOU</w:t>
            </w:r>
            <w:r w:rsidRPr="001570EA">
              <w:rPr>
                <w:i/>
                <w:sz w:val="18"/>
                <w:szCs w:val="18"/>
                <w:vertAlign w:val="subscript"/>
              </w:rPr>
              <w:t>CFR</w:t>
            </w:r>
            <w:r w:rsidRPr="001570EA">
              <w:rPr>
                <w:i/>
                <w:sz w:val="18"/>
                <w:szCs w:val="18"/>
              </w:rPr>
              <w:t xml:space="preserve">, </w:t>
            </w:r>
            <w:r w:rsidRPr="001570EA">
              <w:rPr>
                <w:iCs/>
                <w:sz w:val="18"/>
                <w:szCs w:val="18"/>
              </w:rPr>
              <w:t>Hours of operation per day for variable frequency drive pool pump</w:t>
            </w:r>
          </w:p>
        </w:tc>
        <w:tc>
          <w:tcPr>
            <w:tcW w:w="1332" w:type="dxa"/>
          </w:tcPr>
          <w:p w14:paraId="2C977E7B" w14:textId="77777777" w:rsidR="00E44576" w:rsidRPr="001570EA" w:rsidRDefault="003B5E04">
            <w:pPr>
              <w:tabs>
                <w:tab w:val="left" w:pos="720"/>
              </w:tabs>
              <w:spacing w:before="60" w:after="60"/>
              <w:jc w:val="center"/>
              <w:rPr>
                <w:i/>
                <w:sz w:val="18"/>
                <w:szCs w:val="18"/>
              </w:rPr>
            </w:pPr>
            <m:oMathPara>
              <m:oMath>
                <m:f>
                  <m:fPr>
                    <m:ctrlPr>
                      <w:rPr>
                        <w:rFonts w:ascii="Cambria Math" w:hAnsi="Cambria Math" w:cs="Arial"/>
                        <w:sz w:val="18"/>
                        <w:szCs w:val="18"/>
                      </w:rPr>
                    </m:ctrlPr>
                  </m:fPr>
                  <m:num>
                    <m:r>
                      <w:rPr>
                        <w:rFonts w:ascii="Cambria Math" w:hAnsi="Cambria Math" w:cs="Arial"/>
                        <w:sz w:val="18"/>
                        <w:szCs w:val="18"/>
                      </w:rPr>
                      <m:t>hours</m:t>
                    </m:r>
                  </m:num>
                  <m:den>
                    <m:r>
                      <w:rPr>
                        <w:rFonts w:ascii="Cambria Math" w:hAnsi="Cambria Math" w:cs="Arial"/>
                        <w:sz w:val="18"/>
                        <w:szCs w:val="18"/>
                      </w:rPr>
                      <m:t>day</m:t>
                    </m:r>
                  </m:den>
                </m:f>
              </m:oMath>
            </m:oMathPara>
          </w:p>
        </w:tc>
        <w:tc>
          <w:tcPr>
            <w:tcW w:w="1998" w:type="dxa"/>
          </w:tcPr>
          <w:p w14:paraId="4ADC108C" w14:textId="77777777" w:rsidR="00E44576" w:rsidRPr="001570EA" w:rsidRDefault="00E44576">
            <w:pPr>
              <w:pStyle w:val="TableCell"/>
              <w:spacing w:before="60" w:after="60"/>
              <w:jc w:val="center"/>
              <w:rPr>
                <w:szCs w:val="18"/>
              </w:rPr>
            </w:pPr>
            <w:r w:rsidRPr="001570EA">
              <w:rPr>
                <w:szCs w:val="18"/>
              </w:rPr>
              <w:t xml:space="preserve">EDC Data Gathering </w:t>
            </w:r>
          </w:p>
          <w:p w14:paraId="777398DB" w14:textId="77777777" w:rsidR="00E44576" w:rsidRPr="001570EA" w:rsidRDefault="00E44576">
            <w:pPr>
              <w:pStyle w:val="TableCell"/>
              <w:spacing w:before="60" w:after="60"/>
              <w:jc w:val="center"/>
              <w:rPr>
                <w:szCs w:val="18"/>
              </w:rPr>
            </w:pPr>
            <w:r w:rsidRPr="001570EA">
              <w:rPr>
                <w:rFonts w:cs="Arial"/>
                <w:szCs w:val="18"/>
              </w:rPr>
              <w:t>Default: 24</w:t>
            </w:r>
          </w:p>
        </w:tc>
        <w:tc>
          <w:tcPr>
            <w:tcW w:w="907" w:type="dxa"/>
          </w:tcPr>
          <w:p w14:paraId="28BC0D22" w14:textId="77777777" w:rsidR="00E44576" w:rsidRPr="001570EA" w:rsidRDefault="00E44576">
            <w:pPr>
              <w:tabs>
                <w:tab w:val="left" w:pos="720"/>
              </w:tabs>
              <w:spacing w:before="60" w:after="60"/>
              <w:jc w:val="center"/>
              <w:rPr>
                <w:sz w:val="18"/>
                <w:szCs w:val="18"/>
              </w:rPr>
            </w:pPr>
            <w:r w:rsidRPr="001570EA">
              <w:rPr>
                <w:sz w:val="18"/>
                <w:szCs w:val="18"/>
              </w:rPr>
              <w:t>2</w:t>
            </w:r>
          </w:p>
        </w:tc>
      </w:tr>
      <w:tr w:rsidR="00E44576" w:rsidRPr="001570EA" w14:paraId="06A18CF2" w14:textId="77777777">
        <w:trPr>
          <w:trHeight w:val="374"/>
        </w:trPr>
        <w:tc>
          <w:tcPr>
            <w:tcW w:w="4297" w:type="dxa"/>
          </w:tcPr>
          <w:p w14:paraId="1E8ACB10" w14:textId="77777777" w:rsidR="00E44576" w:rsidRPr="001570EA" w:rsidRDefault="00E44576">
            <w:pPr>
              <w:tabs>
                <w:tab w:val="left" w:pos="720"/>
              </w:tabs>
              <w:spacing w:before="60" w:after="60"/>
              <w:rPr>
                <w:sz w:val="18"/>
                <w:szCs w:val="18"/>
              </w:rPr>
            </w:pPr>
            <w:r w:rsidRPr="001570EA">
              <w:rPr>
                <w:i/>
                <w:sz w:val="18"/>
                <w:szCs w:val="18"/>
              </w:rPr>
              <w:t>CF</w:t>
            </w:r>
            <w:r w:rsidRPr="001570EA">
              <w:rPr>
                <w:i/>
                <w:sz w:val="18"/>
                <w:szCs w:val="18"/>
                <w:vertAlign w:val="subscript"/>
              </w:rPr>
              <w:t>base</w:t>
            </w:r>
            <w:r w:rsidRPr="001570EA">
              <w:rPr>
                <w:i/>
                <w:sz w:val="18"/>
                <w:szCs w:val="18"/>
              </w:rPr>
              <w:t xml:space="preserve">, </w:t>
            </w:r>
            <w:r w:rsidRPr="001570EA">
              <w:rPr>
                <w:sz w:val="18"/>
                <w:szCs w:val="18"/>
              </w:rPr>
              <w:t>Coincidence factor of existing pool pump</w:t>
            </w:r>
          </w:p>
        </w:tc>
        <w:tc>
          <w:tcPr>
            <w:tcW w:w="1332" w:type="dxa"/>
          </w:tcPr>
          <w:p w14:paraId="4D9CDD88" w14:textId="77777777" w:rsidR="00E44576" w:rsidRPr="001570EA" w:rsidRDefault="00E44576">
            <w:pPr>
              <w:tabs>
                <w:tab w:val="left" w:pos="720"/>
              </w:tabs>
              <w:spacing w:before="60" w:after="60"/>
              <w:jc w:val="center"/>
              <w:rPr>
                <w:i/>
                <w:iCs/>
                <w:sz w:val="18"/>
                <w:szCs w:val="18"/>
              </w:rPr>
            </w:pPr>
            <w:r w:rsidRPr="001570EA">
              <w:rPr>
                <w:i/>
                <w:iCs/>
                <w:sz w:val="18"/>
                <w:szCs w:val="18"/>
              </w:rPr>
              <w:t>None</w:t>
            </w:r>
          </w:p>
        </w:tc>
        <w:tc>
          <w:tcPr>
            <w:tcW w:w="1998" w:type="dxa"/>
          </w:tcPr>
          <w:p w14:paraId="15EB9781" w14:textId="77777777" w:rsidR="00E44576" w:rsidRPr="001570EA" w:rsidRDefault="00E44576">
            <w:pPr>
              <w:tabs>
                <w:tab w:val="left" w:pos="720"/>
              </w:tabs>
              <w:spacing w:before="60" w:after="60"/>
              <w:jc w:val="center"/>
              <w:rPr>
                <w:sz w:val="18"/>
                <w:szCs w:val="18"/>
              </w:rPr>
            </w:pPr>
            <w:r w:rsidRPr="001570EA">
              <w:rPr>
                <w:sz w:val="18"/>
                <w:szCs w:val="18"/>
              </w:rPr>
              <w:t>EDC Data Gathering</w:t>
            </w:r>
          </w:p>
          <w:p w14:paraId="0A1FF553" w14:textId="597E28DB" w:rsidR="00E44576" w:rsidRPr="001570EA" w:rsidRDefault="00E44576">
            <w:pPr>
              <w:tabs>
                <w:tab w:val="left" w:pos="720"/>
              </w:tabs>
              <w:spacing w:before="60" w:after="60"/>
              <w:jc w:val="center"/>
              <w:rPr>
                <w:sz w:val="18"/>
                <w:szCs w:val="18"/>
              </w:rPr>
            </w:pPr>
            <w:r w:rsidRPr="001570EA">
              <w:rPr>
                <w:rFonts w:cs="Arial"/>
                <w:sz w:val="18"/>
                <w:szCs w:val="18"/>
              </w:rPr>
              <w:t xml:space="preserve">Default: </w:t>
            </w:r>
            <w:r w:rsidR="008F2341" w:rsidRPr="001570EA">
              <w:rPr>
                <w:szCs w:val="18"/>
              </w:rPr>
              <w:fldChar w:fldCharType="begin"/>
            </w:r>
            <w:r w:rsidR="008F2341" w:rsidRPr="001570EA">
              <w:rPr>
                <w:szCs w:val="18"/>
              </w:rPr>
              <w:instrText xml:space="preserve"> REF _Ref157419703 \h  \* MERGEFORMAT </w:instrText>
            </w:r>
            <w:r w:rsidR="008F2341" w:rsidRPr="001570EA">
              <w:rPr>
                <w:szCs w:val="18"/>
              </w:rPr>
            </w:r>
            <w:r w:rsidR="008F2341" w:rsidRPr="001570EA">
              <w:rPr>
                <w:szCs w:val="18"/>
              </w:rPr>
              <w:fldChar w:fldCharType="separate"/>
            </w:r>
            <w:r w:rsidR="00234C6C" w:rsidRPr="001570EA">
              <w:rPr>
                <w:noProof/>
                <w:szCs w:val="18"/>
              </w:rPr>
              <w:t>Table 2</w:t>
            </w:r>
            <w:r w:rsidR="00234C6C" w:rsidRPr="001570EA">
              <w:rPr>
                <w:noProof/>
                <w:szCs w:val="18"/>
              </w:rPr>
              <w:noBreakHyphen/>
              <w:t>174</w:t>
            </w:r>
            <w:r w:rsidR="008F2341" w:rsidRPr="001570EA">
              <w:rPr>
                <w:szCs w:val="18"/>
              </w:rPr>
              <w:fldChar w:fldCharType="end"/>
            </w:r>
          </w:p>
        </w:tc>
        <w:tc>
          <w:tcPr>
            <w:tcW w:w="907" w:type="dxa"/>
          </w:tcPr>
          <w:p w14:paraId="0713333E" w14:textId="77777777" w:rsidR="00E44576" w:rsidRPr="001570EA" w:rsidRDefault="00E44576">
            <w:pPr>
              <w:tabs>
                <w:tab w:val="left" w:pos="720"/>
              </w:tabs>
              <w:spacing w:before="60" w:after="60"/>
              <w:jc w:val="center"/>
              <w:rPr>
                <w:sz w:val="18"/>
                <w:szCs w:val="18"/>
              </w:rPr>
            </w:pPr>
            <w:r w:rsidRPr="001570EA">
              <w:rPr>
                <w:sz w:val="18"/>
                <w:szCs w:val="18"/>
              </w:rPr>
              <w:t>9</w:t>
            </w:r>
          </w:p>
        </w:tc>
      </w:tr>
      <w:tr w:rsidR="00E44576" w:rsidRPr="001570EA" w14:paraId="208CE5D3" w14:textId="77777777">
        <w:trPr>
          <w:trHeight w:val="374"/>
        </w:trPr>
        <w:tc>
          <w:tcPr>
            <w:tcW w:w="4297" w:type="dxa"/>
          </w:tcPr>
          <w:p w14:paraId="7EA8D4F6" w14:textId="77777777" w:rsidR="00E44576" w:rsidRPr="001570EA" w:rsidRDefault="00E44576">
            <w:pPr>
              <w:tabs>
                <w:tab w:val="left" w:pos="720"/>
              </w:tabs>
              <w:spacing w:before="60" w:after="60"/>
              <w:rPr>
                <w:i/>
                <w:sz w:val="18"/>
                <w:szCs w:val="18"/>
              </w:rPr>
            </w:pPr>
            <w:r w:rsidRPr="001570EA">
              <w:rPr>
                <w:i/>
                <w:sz w:val="18"/>
                <w:szCs w:val="18"/>
              </w:rPr>
              <w:t>CF</w:t>
            </w:r>
            <w:r w:rsidRPr="001570EA">
              <w:rPr>
                <w:i/>
                <w:sz w:val="18"/>
                <w:szCs w:val="18"/>
                <w:vertAlign w:val="subscript"/>
              </w:rPr>
              <w:t>CFR</w:t>
            </w:r>
            <w:r w:rsidRPr="001570EA">
              <w:rPr>
                <w:i/>
                <w:sz w:val="18"/>
                <w:szCs w:val="18"/>
              </w:rPr>
              <w:t xml:space="preserve">, </w:t>
            </w:r>
            <w:r w:rsidRPr="001570EA">
              <w:rPr>
                <w:sz w:val="18"/>
                <w:szCs w:val="18"/>
              </w:rPr>
              <w:t>Coincidence factor of federal minimum compliant variable speed pool pump in continuous use</w:t>
            </w:r>
          </w:p>
        </w:tc>
        <w:tc>
          <w:tcPr>
            <w:tcW w:w="1332" w:type="dxa"/>
          </w:tcPr>
          <w:p w14:paraId="2DFED249" w14:textId="77777777" w:rsidR="00E44576" w:rsidRPr="001570EA" w:rsidRDefault="00E44576">
            <w:pPr>
              <w:tabs>
                <w:tab w:val="left" w:pos="720"/>
              </w:tabs>
              <w:spacing w:before="60" w:after="60"/>
              <w:jc w:val="center"/>
              <w:rPr>
                <w:i/>
                <w:iCs/>
                <w:sz w:val="18"/>
                <w:szCs w:val="18"/>
              </w:rPr>
            </w:pPr>
            <w:r w:rsidRPr="001570EA">
              <w:rPr>
                <w:i/>
                <w:iCs/>
                <w:sz w:val="18"/>
                <w:szCs w:val="18"/>
              </w:rPr>
              <w:t>None</w:t>
            </w:r>
          </w:p>
        </w:tc>
        <w:tc>
          <w:tcPr>
            <w:tcW w:w="1998" w:type="dxa"/>
          </w:tcPr>
          <w:p w14:paraId="23D60A2C" w14:textId="77777777" w:rsidR="00E44576" w:rsidRPr="001570EA" w:rsidRDefault="00E44576">
            <w:pPr>
              <w:tabs>
                <w:tab w:val="left" w:pos="720"/>
              </w:tabs>
              <w:spacing w:before="60" w:after="60"/>
              <w:jc w:val="center"/>
              <w:rPr>
                <w:sz w:val="18"/>
                <w:szCs w:val="18"/>
              </w:rPr>
            </w:pPr>
            <w:r w:rsidRPr="001570EA">
              <w:rPr>
                <w:sz w:val="18"/>
                <w:szCs w:val="18"/>
              </w:rPr>
              <w:t>EDC Data Gathering</w:t>
            </w:r>
          </w:p>
          <w:p w14:paraId="6550F0AE" w14:textId="5D9756B4" w:rsidR="00E44576" w:rsidRPr="001570EA" w:rsidRDefault="00E44576">
            <w:pPr>
              <w:tabs>
                <w:tab w:val="left" w:pos="720"/>
              </w:tabs>
              <w:spacing w:before="60" w:after="60"/>
              <w:jc w:val="center"/>
              <w:rPr>
                <w:sz w:val="18"/>
                <w:szCs w:val="18"/>
              </w:rPr>
            </w:pPr>
            <w:r w:rsidRPr="001570EA">
              <w:rPr>
                <w:rFonts w:cs="Arial"/>
                <w:sz w:val="18"/>
                <w:szCs w:val="18"/>
              </w:rPr>
              <w:t xml:space="preserve">Default: </w:t>
            </w:r>
            <w:r w:rsidR="008F2341" w:rsidRPr="001570EA">
              <w:rPr>
                <w:szCs w:val="18"/>
              </w:rPr>
              <w:fldChar w:fldCharType="begin"/>
            </w:r>
            <w:r w:rsidR="008F2341" w:rsidRPr="001570EA">
              <w:rPr>
                <w:szCs w:val="18"/>
              </w:rPr>
              <w:instrText xml:space="preserve"> REF _Ref157419703 \h  \* MERGEFORMAT </w:instrText>
            </w:r>
            <w:r w:rsidR="008F2341" w:rsidRPr="001570EA">
              <w:rPr>
                <w:szCs w:val="18"/>
              </w:rPr>
            </w:r>
            <w:r w:rsidR="008F2341" w:rsidRPr="001570EA">
              <w:rPr>
                <w:szCs w:val="18"/>
              </w:rPr>
              <w:fldChar w:fldCharType="separate"/>
            </w:r>
            <w:r w:rsidR="00234C6C" w:rsidRPr="001570EA">
              <w:rPr>
                <w:noProof/>
                <w:szCs w:val="18"/>
              </w:rPr>
              <w:t>Table 2</w:t>
            </w:r>
            <w:r w:rsidR="00234C6C" w:rsidRPr="001570EA">
              <w:rPr>
                <w:noProof/>
                <w:szCs w:val="18"/>
              </w:rPr>
              <w:noBreakHyphen/>
              <w:t>174</w:t>
            </w:r>
            <w:r w:rsidR="008F2341" w:rsidRPr="001570EA">
              <w:rPr>
                <w:szCs w:val="18"/>
              </w:rPr>
              <w:fldChar w:fldCharType="end"/>
            </w:r>
          </w:p>
        </w:tc>
        <w:tc>
          <w:tcPr>
            <w:tcW w:w="907" w:type="dxa"/>
          </w:tcPr>
          <w:p w14:paraId="6D2E33FA" w14:textId="77777777" w:rsidR="00E44576" w:rsidRPr="001570EA" w:rsidRDefault="00E44576">
            <w:pPr>
              <w:tabs>
                <w:tab w:val="left" w:pos="720"/>
              </w:tabs>
              <w:spacing w:before="60" w:after="60"/>
              <w:jc w:val="center"/>
              <w:rPr>
                <w:sz w:val="18"/>
                <w:szCs w:val="18"/>
              </w:rPr>
            </w:pPr>
            <w:r w:rsidRPr="001570EA">
              <w:rPr>
                <w:sz w:val="18"/>
                <w:szCs w:val="18"/>
              </w:rPr>
              <w:t>6</w:t>
            </w:r>
          </w:p>
        </w:tc>
      </w:tr>
    </w:tbl>
    <w:p w14:paraId="5859879F" w14:textId="77777777" w:rsidR="00E44576" w:rsidRPr="001570EA" w:rsidRDefault="00E44576" w:rsidP="00E44576"/>
    <w:p w14:paraId="7DB4D2E6" w14:textId="77777777" w:rsidR="00E44576" w:rsidRPr="001570EA" w:rsidRDefault="00E44576" w:rsidP="00E44576">
      <w:pPr>
        <w:pStyle w:val="3ptheading"/>
      </w:pPr>
      <w:r w:rsidRPr="001570EA">
        <w:t>Average Single Speed Pump Efficiency</w:t>
      </w:r>
    </w:p>
    <w:p w14:paraId="1D0BB03A" w14:textId="185E5E80" w:rsidR="00E44576" w:rsidRPr="001570EA" w:rsidRDefault="00E44576" w:rsidP="00E44576">
      <w:pPr>
        <w:tabs>
          <w:tab w:val="left" w:pos="720"/>
        </w:tabs>
        <w:rPr>
          <w:rFonts w:cs="Arial"/>
        </w:rPr>
      </w:pPr>
      <w:r w:rsidRPr="001570EA">
        <w:rPr>
          <w:szCs w:val="22"/>
        </w:rPr>
        <w:t xml:space="preserve">Since this measure involves functional pool pumps, actual measurements of pump flow and wattage are encouraged. If this is not possible, then the pool pump efficiency can be inferred from the nameplate horsepower. </w:t>
      </w:r>
      <w:r w:rsidRPr="001570EA">
        <w:fldChar w:fldCharType="begin"/>
      </w:r>
      <w:r w:rsidRPr="001570EA">
        <w:rPr>
          <w:szCs w:val="22"/>
        </w:rPr>
        <w:instrText xml:space="preserve"> REF _Ref364174773 \h </w:instrText>
      </w:r>
      <w:r w:rsidRPr="001570EA">
        <w:instrText xml:space="preserve"> \* MERGEFORMAT </w:instrText>
      </w:r>
      <w:r w:rsidRPr="001570EA">
        <w:fldChar w:fldCharType="separate"/>
      </w:r>
      <w:r w:rsidR="00234C6C" w:rsidRPr="001570EA">
        <w:rPr>
          <w:noProof/>
        </w:rPr>
        <w:t>Table 2</w:t>
      </w:r>
      <w:r w:rsidR="00234C6C" w:rsidRPr="001570EA">
        <w:rPr>
          <w:noProof/>
        </w:rPr>
        <w:noBreakHyphen/>
        <w:t>172</w:t>
      </w:r>
      <w:r w:rsidRPr="001570EA">
        <w:fldChar w:fldCharType="end"/>
      </w:r>
      <w:r w:rsidRPr="001570EA">
        <w:rPr>
          <w:rFonts w:cs="Arial"/>
          <w:szCs w:val="22"/>
        </w:rPr>
        <w:t xml:space="preserve"> shows</w:t>
      </w:r>
      <w:r w:rsidRPr="001570EA">
        <w:rPr>
          <w:szCs w:val="22"/>
        </w:rPr>
        <w:t xml:space="preserve"> the average efficiency factor by pump size. Note that </w:t>
      </w:r>
      <w:r w:rsidRPr="001570EA">
        <w:rPr>
          <w:i/>
          <w:iCs/>
          <w:szCs w:val="22"/>
        </w:rPr>
        <w:t>EF</w:t>
      </w:r>
      <w:r w:rsidRPr="001570EA">
        <w:rPr>
          <w:i/>
          <w:iCs/>
          <w:szCs w:val="22"/>
          <w:vertAlign w:val="subscript"/>
        </w:rPr>
        <w:t xml:space="preserve">base </w:t>
      </w:r>
      <w:r w:rsidRPr="001570EA">
        <w:rPr>
          <w:i/>
          <w:iCs/>
          <w:szCs w:val="22"/>
        </w:rPr>
        <w:t>= (</w:t>
      </w:r>
      <w:r w:rsidRPr="001570EA">
        <w:rPr>
          <w:rFonts w:cs="Arial"/>
          <w:i/>
          <w:iCs/>
          <w:szCs w:val="18"/>
        </w:rPr>
        <w:t>Flow</w:t>
      </w:r>
      <w:r w:rsidRPr="001570EA">
        <w:rPr>
          <w:rFonts w:cs="Arial"/>
          <w:i/>
          <w:iCs/>
          <w:szCs w:val="18"/>
          <w:vertAlign w:val="subscript"/>
        </w:rPr>
        <w:t>base</w:t>
      </w:r>
      <w:r w:rsidRPr="001570EA">
        <w:rPr>
          <w:rFonts w:cs="Arial"/>
          <w:b/>
          <w:bCs/>
          <w:szCs w:val="18"/>
        </w:rPr>
        <w:t xml:space="preserve"> </w:t>
      </w:r>
      <w:r w:rsidRPr="001570EA">
        <w:rPr>
          <w:i/>
          <w:iCs/>
          <w:szCs w:val="22"/>
        </w:rPr>
        <w:t xml:space="preserve">× 60 </w:t>
      </w:r>
      <w:r w:rsidRPr="001570EA">
        <w:rPr>
          <w:i/>
          <w:iCs/>
          <w:szCs w:val="22"/>
          <w:vertAlign w:val="superscript"/>
        </w:rPr>
        <w:t>minutes</w:t>
      </w:r>
      <w:r w:rsidRPr="001570EA">
        <w:rPr>
          <w:i/>
          <w:iCs/>
          <w:szCs w:val="22"/>
        </w:rPr>
        <w:t>/</w:t>
      </w:r>
      <w:r w:rsidRPr="001570EA">
        <w:rPr>
          <w:i/>
          <w:iCs/>
          <w:szCs w:val="22"/>
          <w:vertAlign w:val="subscript"/>
        </w:rPr>
        <w:t>hour</w:t>
      </w:r>
      <w:r w:rsidRPr="001570EA">
        <w:rPr>
          <w:i/>
          <w:iCs/>
          <w:szCs w:val="22"/>
        </w:rPr>
        <w:t xml:space="preserve"> ) ÷ (</w:t>
      </w:r>
      <w:r w:rsidRPr="001570EA">
        <w:rPr>
          <w:rFonts w:cs="Arial"/>
          <w:i/>
          <w:iCs/>
          <w:szCs w:val="18"/>
        </w:rPr>
        <w:t>Watts</w:t>
      </w:r>
      <w:r w:rsidRPr="001570EA">
        <w:rPr>
          <w:i/>
          <w:iCs/>
          <w:szCs w:val="22"/>
        </w:rPr>
        <w:t>).</w:t>
      </w:r>
    </w:p>
    <w:p w14:paraId="64745F7C" w14:textId="77777777" w:rsidR="00E44576" w:rsidRPr="001570EA" w:rsidRDefault="00E44576" w:rsidP="00E44576">
      <w:pPr>
        <w:tabs>
          <w:tab w:val="left" w:pos="720"/>
        </w:tabs>
        <w:rPr>
          <w:rFonts w:cs="Arial"/>
        </w:rPr>
      </w:pPr>
    </w:p>
    <w:p w14:paraId="5F7FFDA6" w14:textId="3E4F6364" w:rsidR="00E44576" w:rsidRPr="001570EA" w:rsidRDefault="00E44576" w:rsidP="00E44576">
      <w:pPr>
        <w:pStyle w:val="Caption"/>
        <w:rPr>
          <w:noProof/>
        </w:rPr>
      </w:pPr>
      <w:bookmarkStart w:id="1264" w:name="_Ref51168021"/>
      <w:bookmarkStart w:id="1265" w:name="_Ref373318700"/>
      <w:bookmarkStart w:id="1266" w:name="_Ref364174773"/>
      <w:bookmarkStart w:id="1267" w:name="_Ref364158269"/>
      <w:bookmarkStart w:id="1268" w:name="_Toc373320250"/>
      <w:bookmarkStart w:id="1269" w:name="_Toc364420958"/>
      <w:bookmarkStart w:id="1270" w:name="_Toc364760728"/>
      <w:bookmarkStart w:id="1271" w:name="_Toc377465546"/>
      <w:bookmarkStart w:id="1272" w:name="_Toc423087583"/>
      <w:bookmarkStart w:id="1273" w:name="_Toc66786348"/>
      <w:r w:rsidRPr="001570EA">
        <w:rPr>
          <w:noProof/>
        </w:rPr>
        <w:t xml:space="preserve">Table </w:t>
      </w:r>
      <w:r w:rsidR="002E093A" w:rsidRPr="001570EA">
        <w:rPr>
          <w:noProof/>
        </w:rPr>
        <w:fldChar w:fldCharType="begin"/>
      </w:r>
      <w:r w:rsidR="002E093A" w:rsidRPr="001570EA">
        <w:rPr>
          <w:noProof/>
        </w:rPr>
        <w:instrText xml:space="preserve"> STYLEREF 1 \s </w:instrText>
      </w:r>
      <w:r w:rsidR="002E093A" w:rsidRPr="001570EA">
        <w:rPr>
          <w:noProof/>
        </w:rPr>
        <w:fldChar w:fldCharType="separate"/>
      </w:r>
      <w:r w:rsidR="002E093A" w:rsidRPr="001570EA">
        <w:rPr>
          <w:noProof/>
        </w:rPr>
        <w:t>2</w:t>
      </w:r>
      <w:r w:rsidR="002E093A" w:rsidRPr="001570EA">
        <w:rPr>
          <w:noProof/>
        </w:rPr>
        <w:fldChar w:fldCharType="end"/>
      </w:r>
      <w:r w:rsidR="002E093A" w:rsidRPr="001570EA">
        <w:rPr>
          <w:noProof/>
        </w:rPr>
        <w:noBreakHyphen/>
      </w:r>
      <w:r w:rsidR="002E093A" w:rsidRPr="001570EA">
        <w:rPr>
          <w:noProof/>
        </w:rPr>
        <w:fldChar w:fldCharType="begin"/>
      </w:r>
      <w:r w:rsidR="002E093A" w:rsidRPr="001570EA">
        <w:rPr>
          <w:noProof/>
        </w:rPr>
        <w:instrText xml:space="preserve"> SEQ Table \* ARABIC \s 1 </w:instrText>
      </w:r>
      <w:r w:rsidR="002E093A" w:rsidRPr="001570EA">
        <w:rPr>
          <w:noProof/>
        </w:rPr>
        <w:fldChar w:fldCharType="separate"/>
      </w:r>
      <w:r w:rsidR="002E093A" w:rsidRPr="001570EA">
        <w:rPr>
          <w:noProof/>
        </w:rPr>
        <w:t>172</w:t>
      </w:r>
      <w:r w:rsidR="002E093A" w:rsidRPr="001570EA">
        <w:rPr>
          <w:noProof/>
        </w:rPr>
        <w:fldChar w:fldCharType="end"/>
      </w:r>
      <w:bookmarkEnd w:id="1264"/>
      <w:bookmarkEnd w:id="1265"/>
      <w:bookmarkEnd w:id="1266"/>
      <w:bookmarkEnd w:id="1267"/>
      <w:r w:rsidRPr="001570EA">
        <w:rPr>
          <w:noProof/>
        </w:rPr>
        <w:t>: Single Speed Pool Pump Efficiency Factors</w:t>
      </w:r>
      <w:bookmarkEnd w:id="1268"/>
      <w:bookmarkEnd w:id="1269"/>
      <w:bookmarkEnd w:id="1270"/>
      <w:bookmarkEnd w:id="1271"/>
      <w:bookmarkEnd w:id="1272"/>
      <w:bookmarkEnd w:id="1273"/>
      <w:r w:rsidRPr="001570EA">
        <w:rPr>
          <w:noProof/>
          <w:vertAlign w:val="superscript"/>
        </w:rPr>
        <w:t>Source 2</w:t>
      </w:r>
    </w:p>
    <w:tbl>
      <w:tblPr>
        <w:tblW w:w="82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7"/>
        <w:gridCol w:w="866"/>
        <w:gridCol w:w="867"/>
        <w:gridCol w:w="864"/>
        <w:gridCol w:w="868"/>
        <w:gridCol w:w="867"/>
        <w:gridCol w:w="870"/>
        <w:gridCol w:w="867"/>
      </w:tblGrid>
      <w:tr w:rsidR="00E44576" w:rsidRPr="001570EA" w14:paraId="1F067F08" w14:textId="77777777">
        <w:trPr>
          <w:trHeight w:val="374"/>
        </w:trPr>
        <w:tc>
          <w:tcPr>
            <w:tcW w:w="2227" w:type="dxa"/>
            <w:shd w:val="clear" w:color="auto" w:fill="BFBFBF" w:themeFill="background1" w:themeFillShade="BF"/>
          </w:tcPr>
          <w:p w14:paraId="4C32AED5" w14:textId="77777777" w:rsidR="00E44576" w:rsidRPr="001570EA" w:rsidRDefault="00E44576">
            <w:pPr>
              <w:pStyle w:val="TableCell"/>
              <w:spacing w:before="60" w:after="60"/>
              <w:jc w:val="center"/>
              <w:rPr>
                <w:rFonts w:ascii="Calibri" w:hAnsi="Calibri" w:cs="Arial"/>
                <w:color w:val="000000"/>
                <w:sz w:val="22"/>
                <w:szCs w:val="18"/>
              </w:rPr>
            </w:pPr>
            <w:r w:rsidRPr="001570EA">
              <w:rPr>
                <w:rFonts w:cs="Arial"/>
                <w:b/>
                <w:bCs/>
                <w:szCs w:val="18"/>
              </w:rPr>
              <w:t>Nameplate Power (HP)</w:t>
            </w:r>
          </w:p>
        </w:tc>
        <w:tc>
          <w:tcPr>
            <w:tcW w:w="866" w:type="dxa"/>
            <w:vAlign w:val="bottom"/>
          </w:tcPr>
          <w:p w14:paraId="4F69FFF0" w14:textId="77777777" w:rsidR="00E44576" w:rsidRPr="001570EA" w:rsidRDefault="00E44576">
            <w:pPr>
              <w:pStyle w:val="TableCell"/>
              <w:tabs>
                <w:tab w:val="clear" w:pos="720"/>
              </w:tabs>
              <w:spacing w:before="60" w:after="60"/>
              <w:jc w:val="center"/>
              <w:rPr>
                <w:b/>
                <w:bCs/>
              </w:rPr>
            </w:pPr>
            <w:r w:rsidRPr="001570EA">
              <w:rPr>
                <w:rFonts w:ascii="Calibri" w:hAnsi="Calibri" w:cs="Arial"/>
                <w:b/>
                <w:bCs/>
                <w:color w:val="000000"/>
                <w:sz w:val="22"/>
                <w:szCs w:val="18"/>
              </w:rPr>
              <w:t>0.50</w:t>
            </w:r>
          </w:p>
        </w:tc>
        <w:tc>
          <w:tcPr>
            <w:tcW w:w="867" w:type="dxa"/>
            <w:vAlign w:val="bottom"/>
          </w:tcPr>
          <w:p w14:paraId="308C7CDF" w14:textId="77777777" w:rsidR="00E44576" w:rsidRPr="001570EA" w:rsidRDefault="00E44576">
            <w:pPr>
              <w:pStyle w:val="TableCell"/>
              <w:tabs>
                <w:tab w:val="clear" w:pos="720"/>
              </w:tabs>
              <w:spacing w:before="60" w:after="60"/>
              <w:jc w:val="center"/>
              <w:rPr>
                <w:b/>
                <w:bCs/>
              </w:rPr>
            </w:pPr>
            <w:r w:rsidRPr="001570EA">
              <w:rPr>
                <w:rFonts w:ascii="Calibri" w:hAnsi="Calibri" w:cs="Arial"/>
                <w:b/>
                <w:bCs/>
                <w:color w:val="000000"/>
                <w:sz w:val="22"/>
                <w:szCs w:val="18"/>
              </w:rPr>
              <w:t>0.75</w:t>
            </w:r>
          </w:p>
        </w:tc>
        <w:tc>
          <w:tcPr>
            <w:tcW w:w="864" w:type="dxa"/>
            <w:vAlign w:val="bottom"/>
          </w:tcPr>
          <w:p w14:paraId="189F32F5" w14:textId="77777777" w:rsidR="00E44576" w:rsidRPr="001570EA" w:rsidRDefault="00E44576">
            <w:pPr>
              <w:pStyle w:val="TableCell"/>
              <w:tabs>
                <w:tab w:val="clear" w:pos="720"/>
              </w:tabs>
              <w:spacing w:before="60" w:after="60"/>
              <w:jc w:val="center"/>
              <w:rPr>
                <w:b/>
                <w:bCs/>
              </w:rPr>
            </w:pPr>
            <w:r w:rsidRPr="001570EA">
              <w:rPr>
                <w:rFonts w:ascii="Calibri" w:hAnsi="Calibri" w:cs="Arial"/>
                <w:b/>
                <w:bCs/>
                <w:color w:val="000000"/>
                <w:sz w:val="22"/>
                <w:szCs w:val="18"/>
              </w:rPr>
              <w:t>1.00</w:t>
            </w:r>
          </w:p>
        </w:tc>
        <w:tc>
          <w:tcPr>
            <w:tcW w:w="868" w:type="dxa"/>
            <w:vAlign w:val="bottom"/>
          </w:tcPr>
          <w:p w14:paraId="2E72A078" w14:textId="77777777" w:rsidR="00E44576" w:rsidRPr="001570EA" w:rsidRDefault="00E44576">
            <w:pPr>
              <w:pStyle w:val="TableCell"/>
              <w:tabs>
                <w:tab w:val="clear" w:pos="720"/>
              </w:tabs>
              <w:spacing w:before="60" w:after="60"/>
              <w:jc w:val="center"/>
              <w:rPr>
                <w:b/>
                <w:bCs/>
              </w:rPr>
            </w:pPr>
            <w:r w:rsidRPr="001570EA">
              <w:rPr>
                <w:rFonts w:ascii="Calibri" w:hAnsi="Calibri" w:cs="Arial"/>
                <w:b/>
                <w:bCs/>
                <w:color w:val="000000"/>
                <w:sz w:val="22"/>
                <w:szCs w:val="18"/>
              </w:rPr>
              <w:t>1.50</w:t>
            </w:r>
          </w:p>
        </w:tc>
        <w:tc>
          <w:tcPr>
            <w:tcW w:w="867" w:type="dxa"/>
            <w:vAlign w:val="bottom"/>
          </w:tcPr>
          <w:p w14:paraId="7E82EFA9" w14:textId="77777777" w:rsidR="00E44576" w:rsidRPr="001570EA" w:rsidRDefault="00E44576">
            <w:pPr>
              <w:pStyle w:val="TableCell"/>
              <w:tabs>
                <w:tab w:val="clear" w:pos="720"/>
              </w:tabs>
              <w:spacing w:before="60" w:after="60"/>
              <w:jc w:val="center"/>
              <w:rPr>
                <w:b/>
                <w:bCs/>
              </w:rPr>
            </w:pPr>
            <w:r w:rsidRPr="001570EA">
              <w:rPr>
                <w:rFonts w:ascii="Calibri" w:hAnsi="Calibri" w:cs="Arial"/>
                <w:b/>
                <w:bCs/>
                <w:color w:val="000000"/>
                <w:sz w:val="22"/>
                <w:szCs w:val="18"/>
              </w:rPr>
              <w:t>2.00</w:t>
            </w:r>
          </w:p>
        </w:tc>
        <w:tc>
          <w:tcPr>
            <w:tcW w:w="870" w:type="dxa"/>
            <w:vAlign w:val="bottom"/>
          </w:tcPr>
          <w:p w14:paraId="00311EF5" w14:textId="77777777" w:rsidR="00E44576" w:rsidRPr="001570EA" w:rsidRDefault="00E44576">
            <w:pPr>
              <w:pStyle w:val="TableCell"/>
              <w:tabs>
                <w:tab w:val="clear" w:pos="720"/>
              </w:tabs>
              <w:spacing w:before="60" w:after="60"/>
              <w:jc w:val="center"/>
              <w:rPr>
                <w:b/>
                <w:bCs/>
              </w:rPr>
            </w:pPr>
            <w:r w:rsidRPr="001570EA">
              <w:rPr>
                <w:rFonts w:ascii="Calibri" w:hAnsi="Calibri" w:cs="Arial"/>
                <w:b/>
                <w:bCs/>
                <w:color w:val="000000"/>
                <w:sz w:val="22"/>
                <w:szCs w:val="18"/>
              </w:rPr>
              <w:t>2.50</w:t>
            </w:r>
          </w:p>
        </w:tc>
        <w:tc>
          <w:tcPr>
            <w:tcW w:w="867" w:type="dxa"/>
            <w:vAlign w:val="bottom"/>
          </w:tcPr>
          <w:p w14:paraId="777D5A84" w14:textId="77777777" w:rsidR="00E44576" w:rsidRPr="001570EA" w:rsidRDefault="00E44576">
            <w:pPr>
              <w:pStyle w:val="TableCell"/>
              <w:tabs>
                <w:tab w:val="clear" w:pos="720"/>
              </w:tabs>
              <w:spacing w:before="60" w:after="60"/>
              <w:jc w:val="center"/>
              <w:rPr>
                <w:b/>
                <w:bCs/>
              </w:rPr>
            </w:pPr>
            <w:r w:rsidRPr="001570EA">
              <w:rPr>
                <w:rFonts w:ascii="Calibri" w:hAnsi="Calibri" w:cs="Arial"/>
                <w:b/>
                <w:bCs/>
                <w:color w:val="000000"/>
                <w:sz w:val="22"/>
                <w:szCs w:val="18"/>
              </w:rPr>
              <w:t>3.00</w:t>
            </w:r>
          </w:p>
        </w:tc>
      </w:tr>
      <w:tr w:rsidR="00E44576" w:rsidRPr="001570EA" w14:paraId="5302FE4A" w14:textId="77777777">
        <w:trPr>
          <w:trHeight w:val="374"/>
        </w:trPr>
        <w:tc>
          <w:tcPr>
            <w:tcW w:w="2227" w:type="dxa"/>
            <w:shd w:val="clear" w:color="auto" w:fill="BFBFBF" w:themeFill="background1" w:themeFillShade="BF"/>
          </w:tcPr>
          <w:p w14:paraId="5744082F" w14:textId="77777777" w:rsidR="00E44576" w:rsidRPr="001570EA" w:rsidRDefault="00E44576">
            <w:pPr>
              <w:pStyle w:val="TableCell"/>
              <w:spacing w:before="60" w:after="60"/>
              <w:jc w:val="center"/>
              <w:rPr>
                <w:rFonts w:ascii="Calibri" w:hAnsi="Calibri" w:cs="Calibri"/>
                <w:color w:val="000000"/>
                <w:sz w:val="22"/>
                <w:szCs w:val="22"/>
              </w:rPr>
            </w:pPr>
            <w:r w:rsidRPr="001570EA">
              <w:rPr>
                <w:rFonts w:cs="Arial"/>
                <w:b/>
                <w:bCs/>
                <w:szCs w:val="18"/>
              </w:rPr>
              <w:t>EF</w:t>
            </w:r>
            <w:r w:rsidRPr="001570EA">
              <w:rPr>
                <w:rFonts w:cs="Arial"/>
                <w:b/>
                <w:bCs/>
                <w:szCs w:val="18"/>
                <w:vertAlign w:val="subscript"/>
              </w:rPr>
              <w:t>base</w:t>
            </w:r>
            <w:r w:rsidRPr="001570EA">
              <w:rPr>
                <w:rFonts w:cs="Arial"/>
                <w:b/>
                <w:bCs/>
                <w:szCs w:val="18"/>
              </w:rPr>
              <w:t xml:space="preserve"> (Gal/Wh)</w:t>
            </w:r>
          </w:p>
        </w:tc>
        <w:tc>
          <w:tcPr>
            <w:tcW w:w="866" w:type="dxa"/>
            <w:vAlign w:val="bottom"/>
          </w:tcPr>
          <w:p w14:paraId="67FAC857" w14:textId="77777777" w:rsidR="00E44576" w:rsidRPr="001570EA" w:rsidRDefault="00E44576">
            <w:pPr>
              <w:pStyle w:val="TableCell"/>
              <w:tabs>
                <w:tab w:val="clear" w:pos="720"/>
              </w:tabs>
              <w:spacing w:before="60" w:after="60"/>
              <w:jc w:val="center"/>
            </w:pPr>
            <w:r w:rsidRPr="001570EA">
              <w:rPr>
                <w:rFonts w:ascii="Calibri" w:hAnsi="Calibri" w:cs="Calibri"/>
                <w:color w:val="000000"/>
                <w:sz w:val="22"/>
                <w:szCs w:val="22"/>
              </w:rPr>
              <w:t>3.38</w:t>
            </w:r>
          </w:p>
        </w:tc>
        <w:tc>
          <w:tcPr>
            <w:tcW w:w="867" w:type="dxa"/>
            <w:vAlign w:val="bottom"/>
          </w:tcPr>
          <w:p w14:paraId="1AE4A692" w14:textId="77777777" w:rsidR="00E44576" w:rsidRPr="001570EA" w:rsidRDefault="00E44576">
            <w:pPr>
              <w:pStyle w:val="TableCell"/>
              <w:tabs>
                <w:tab w:val="clear" w:pos="720"/>
              </w:tabs>
              <w:spacing w:before="60" w:after="60"/>
              <w:jc w:val="center"/>
            </w:pPr>
            <w:r w:rsidRPr="001570EA">
              <w:rPr>
                <w:rFonts w:ascii="Calibri" w:hAnsi="Calibri" w:cs="Calibri"/>
                <w:color w:val="000000"/>
                <w:sz w:val="22"/>
                <w:szCs w:val="22"/>
              </w:rPr>
              <w:t>3.29</w:t>
            </w:r>
          </w:p>
        </w:tc>
        <w:tc>
          <w:tcPr>
            <w:tcW w:w="864" w:type="dxa"/>
            <w:vAlign w:val="bottom"/>
          </w:tcPr>
          <w:p w14:paraId="50D6F745" w14:textId="77777777" w:rsidR="00E44576" w:rsidRPr="001570EA" w:rsidRDefault="00E44576">
            <w:pPr>
              <w:pStyle w:val="TableCell"/>
              <w:tabs>
                <w:tab w:val="clear" w:pos="720"/>
              </w:tabs>
              <w:spacing w:before="60" w:after="60"/>
              <w:jc w:val="center"/>
            </w:pPr>
            <w:r w:rsidRPr="001570EA">
              <w:rPr>
                <w:rFonts w:ascii="Calibri" w:hAnsi="Calibri" w:cs="Calibri"/>
                <w:color w:val="000000"/>
                <w:sz w:val="22"/>
                <w:szCs w:val="22"/>
              </w:rPr>
              <w:t>2.51</w:t>
            </w:r>
          </w:p>
        </w:tc>
        <w:tc>
          <w:tcPr>
            <w:tcW w:w="868" w:type="dxa"/>
            <w:vAlign w:val="bottom"/>
          </w:tcPr>
          <w:p w14:paraId="61D8EFCD" w14:textId="77777777" w:rsidR="00E44576" w:rsidRPr="001570EA" w:rsidRDefault="00E44576">
            <w:pPr>
              <w:pStyle w:val="TableCell"/>
              <w:tabs>
                <w:tab w:val="clear" w:pos="720"/>
              </w:tabs>
              <w:spacing w:before="60" w:after="60"/>
              <w:jc w:val="center"/>
            </w:pPr>
            <w:r w:rsidRPr="001570EA">
              <w:rPr>
                <w:rFonts w:ascii="Calibri" w:hAnsi="Calibri" w:cs="Calibri"/>
                <w:color w:val="000000"/>
                <w:sz w:val="22"/>
                <w:szCs w:val="22"/>
              </w:rPr>
              <w:t>2.27</w:t>
            </w:r>
          </w:p>
        </w:tc>
        <w:tc>
          <w:tcPr>
            <w:tcW w:w="867" w:type="dxa"/>
            <w:vAlign w:val="bottom"/>
          </w:tcPr>
          <w:p w14:paraId="5A746E3A" w14:textId="77777777" w:rsidR="00E44576" w:rsidRPr="001570EA" w:rsidRDefault="00E44576">
            <w:pPr>
              <w:pStyle w:val="TableCell"/>
              <w:tabs>
                <w:tab w:val="clear" w:pos="720"/>
              </w:tabs>
              <w:spacing w:before="60" w:after="60"/>
              <w:jc w:val="center"/>
            </w:pPr>
            <w:r w:rsidRPr="001570EA">
              <w:rPr>
                <w:rFonts w:ascii="Calibri" w:hAnsi="Calibri" w:cs="Calibri"/>
                <w:color w:val="000000"/>
                <w:sz w:val="22"/>
                <w:szCs w:val="22"/>
              </w:rPr>
              <w:t>2.3</w:t>
            </w:r>
          </w:p>
        </w:tc>
        <w:tc>
          <w:tcPr>
            <w:tcW w:w="870" w:type="dxa"/>
            <w:vAlign w:val="bottom"/>
          </w:tcPr>
          <w:p w14:paraId="3FB59058" w14:textId="77777777" w:rsidR="00E44576" w:rsidRPr="001570EA" w:rsidRDefault="00E44576">
            <w:pPr>
              <w:pStyle w:val="TableCell"/>
              <w:tabs>
                <w:tab w:val="clear" w:pos="720"/>
              </w:tabs>
              <w:spacing w:before="60" w:after="60"/>
              <w:jc w:val="center"/>
            </w:pPr>
            <w:r w:rsidRPr="001570EA">
              <w:rPr>
                <w:rFonts w:ascii="Calibri" w:hAnsi="Calibri" w:cs="Calibri"/>
                <w:color w:val="000000"/>
                <w:sz w:val="22"/>
                <w:szCs w:val="22"/>
              </w:rPr>
              <w:t>2.18</w:t>
            </w:r>
          </w:p>
        </w:tc>
        <w:tc>
          <w:tcPr>
            <w:tcW w:w="867" w:type="dxa"/>
            <w:vAlign w:val="bottom"/>
          </w:tcPr>
          <w:p w14:paraId="336F61AD" w14:textId="77777777" w:rsidR="00E44576" w:rsidRPr="001570EA" w:rsidRDefault="00E44576">
            <w:pPr>
              <w:pStyle w:val="TableCell"/>
              <w:tabs>
                <w:tab w:val="clear" w:pos="720"/>
              </w:tabs>
              <w:spacing w:before="60" w:after="60"/>
              <w:jc w:val="center"/>
            </w:pPr>
            <w:r w:rsidRPr="001570EA">
              <w:rPr>
                <w:rFonts w:ascii="Calibri" w:hAnsi="Calibri" w:cs="Calibri"/>
                <w:color w:val="000000"/>
                <w:sz w:val="22"/>
                <w:szCs w:val="22"/>
              </w:rPr>
              <w:t>2.00</w:t>
            </w:r>
          </w:p>
        </w:tc>
      </w:tr>
      <w:tr w:rsidR="00E44576" w:rsidRPr="001570EA" w14:paraId="07861F64" w14:textId="77777777">
        <w:trPr>
          <w:trHeight w:val="374"/>
        </w:trPr>
        <w:tc>
          <w:tcPr>
            <w:tcW w:w="2227" w:type="dxa"/>
            <w:shd w:val="clear" w:color="auto" w:fill="BFBFBF" w:themeFill="background1" w:themeFillShade="BF"/>
          </w:tcPr>
          <w:p w14:paraId="34E251EC" w14:textId="77777777" w:rsidR="00E44576" w:rsidRPr="001570EA" w:rsidRDefault="00E44576">
            <w:pPr>
              <w:pStyle w:val="TableCell"/>
              <w:spacing w:before="60" w:after="60"/>
              <w:jc w:val="center"/>
              <w:rPr>
                <w:rFonts w:cs="Arial"/>
                <w:b/>
                <w:bCs/>
                <w:szCs w:val="18"/>
              </w:rPr>
            </w:pPr>
            <w:r w:rsidRPr="001570EA">
              <w:rPr>
                <w:rFonts w:cs="Arial"/>
                <w:b/>
                <w:bCs/>
                <w:szCs w:val="18"/>
              </w:rPr>
              <w:t>Flow (Gal/min)</w:t>
            </w:r>
          </w:p>
        </w:tc>
        <w:tc>
          <w:tcPr>
            <w:tcW w:w="866" w:type="dxa"/>
            <w:vAlign w:val="bottom"/>
          </w:tcPr>
          <w:p w14:paraId="696D99EE" w14:textId="77777777" w:rsidR="00E44576" w:rsidRPr="001570EA" w:rsidRDefault="00E44576">
            <w:pPr>
              <w:pStyle w:val="TableCell"/>
              <w:tabs>
                <w:tab w:val="clear" w:pos="720"/>
              </w:tabs>
              <w:spacing w:before="60" w:after="60"/>
              <w:jc w:val="center"/>
              <w:rPr>
                <w:rFonts w:ascii="Calibri" w:hAnsi="Calibri" w:cs="Calibri"/>
                <w:color w:val="000000"/>
                <w:sz w:val="22"/>
                <w:szCs w:val="22"/>
              </w:rPr>
            </w:pPr>
            <w:r w:rsidRPr="001570EA">
              <w:rPr>
                <w:rFonts w:ascii="Calibri" w:hAnsi="Calibri" w:cs="Calibri"/>
                <w:color w:val="000000"/>
                <w:sz w:val="22"/>
                <w:szCs w:val="22"/>
              </w:rPr>
              <w:t>62.00</w:t>
            </w:r>
          </w:p>
        </w:tc>
        <w:tc>
          <w:tcPr>
            <w:tcW w:w="867" w:type="dxa"/>
            <w:vAlign w:val="bottom"/>
          </w:tcPr>
          <w:p w14:paraId="2CB73F71" w14:textId="77777777" w:rsidR="00E44576" w:rsidRPr="001570EA" w:rsidRDefault="00E44576">
            <w:pPr>
              <w:pStyle w:val="TableCell"/>
              <w:tabs>
                <w:tab w:val="clear" w:pos="720"/>
              </w:tabs>
              <w:spacing w:before="60" w:after="60"/>
              <w:jc w:val="center"/>
              <w:rPr>
                <w:rFonts w:ascii="Calibri" w:hAnsi="Calibri" w:cs="Calibri"/>
                <w:color w:val="000000"/>
                <w:sz w:val="22"/>
                <w:szCs w:val="22"/>
              </w:rPr>
            </w:pPr>
            <w:r w:rsidRPr="001570EA">
              <w:rPr>
                <w:rFonts w:ascii="Calibri" w:hAnsi="Calibri" w:cs="Calibri"/>
                <w:color w:val="000000"/>
                <w:sz w:val="22"/>
                <w:szCs w:val="22"/>
              </w:rPr>
              <w:t>65.00</w:t>
            </w:r>
          </w:p>
        </w:tc>
        <w:tc>
          <w:tcPr>
            <w:tcW w:w="864" w:type="dxa"/>
            <w:vAlign w:val="bottom"/>
          </w:tcPr>
          <w:p w14:paraId="0D098ED2" w14:textId="77777777" w:rsidR="00E44576" w:rsidRPr="001570EA" w:rsidRDefault="00E44576">
            <w:pPr>
              <w:pStyle w:val="TableCell"/>
              <w:tabs>
                <w:tab w:val="clear" w:pos="720"/>
              </w:tabs>
              <w:spacing w:before="60" w:after="60"/>
              <w:jc w:val="center"/>
              <w:rPr>
                <w:rFonts w:ascii="Calibri" w:hAnsi="Calibri" w:cs="Calibri"/>
                <w:color w:val="000000"/>
                <w:sz w:val="22"/>
                <w:szCs w:val="22"/>
              </w:rPr>
            </w:pPr>
            <w:r w:rsidRPr="001570EA">
              <w:rPr>
                <w:rFonts w:ascii="Calibri" w:hAnsi="Calibri" w:cs="Calibri"/>
                <w:color w:val="000000"/>
                <w:sz w:val="22"/>
                <w:szCs w:val="22"/>
              </w:rPr>
              <w:t>75.50</w:t>
            </w:r>
          </w:p>
        </w:tc>
        <w:tc>
          <w:tcPr>
            <w:tcW w:w="868" w:type="dxa"/>
            <w:vAlign w:val="bottom"/>
          </w:tcPr>
          <w:p w14:paraId="42B8CDAE" w14:textId="77777777" w:rsidR="00E44576" w:rsidRPr="001570EA" w:rsidRDefault="00E44576">
            <w:pPr>
              <w:pStyle w:val="TableCell"/>
              <w:tabs>
                <w:tab w:val="clear" w:pos="720"/>
              </w:tabs>
              <w:spacing w:before="60" w:after="60"/>
              <w:jc w:val="center"/>
              <w:rPr>
                <w:rFonts w:ascii="Calibri" w:hAnsi="Calibri" w:cs="Calibri"/>
                <w:color w:val="000000"/>
                <w:sz w:val="22"/>
                <w:szCs w:val="22"/>
              </w:rPr>
            </w:pPr>
            <w:r w:rsidRPr="001570EA">
              <w:rPr>
                <w:rFonts w:ascii="Calibri" w:hAnsi="Calibri" w:cs="Calibri"/>
                <w:color w:val="000000"/>
                <w:sz w:val="22"/>
                <w:szCs w:val="22"/>
              </w:rPr>
              <w:t>78.14</w:t>
            </w:r>
          </w:p>
        </w:tc>
        <w:tc>
          <w:tcPr>
            <w:tcW w:w="867" w:type="dxa"/>
            <w:vAlign w:val="bottom"/>
          </w:tcPr>
          <w:p w14:paraId="46B75950" w14:textId="77777777" w:rsidR="00E44576" w:rsidRPr="001570EA" w:rsidRDefault="00E44576">
            <w:pPr>
              <w:pStyle w:val="TableCell"/>
              <w:tabs>
                <w:tab w:val="clear" w:pos="720"/>
              </w:tabs>
              <w:spacing w:before="60" w:after="60"/>
              <w:jc w:val="center"/>
              <w:rPr>
                <w:rFonts w:ascii="Calibri" w:hAnsi="Calibri" w:cs="Calibri"/>
                <w:color w:val="000000"/>
                <w:sz w:val="22"/>
                <w:szCs w:val="22"/>
              </w:rPr>
            </w:pPr>
            <w:r w:rsidRPr="001570EA">
              <w:rPr>
                <w:rFonts w:ascii="Calibri" w:hAnsi="Calibri" w:cs="Calibri"/>
                <w:color w:val="000000"/>
                <w:sz w:val="22"/>
                <w:szCs w:val="22"/>
              </w:rPr>
              <w:t>89.67</w:t>
            </w:r>
          </w:p>
        </w:tc>
        <w:tc>
          <w:tcPr>
            <w:tcW w:w="870" w:type="dxa"/>
            <w:vAlign w:val="bottom"/>
          </w:tcPr>
          <w:p w14:paraId="02EA2862" w14:textId="77777777" w:rsidR="00E44576" w:rsidRPr="001570EA" w:rsidRDefault="00E44576">
            <w:pPr>
              <w:pStyle w:val="TableCell"/>
              <w:tabs>
                <w:tab w:val="clear" w:pos="720"/>
              </w:tabs>
              <w:spacing w:before="60" w:after="60"/>
              <w:jc w:val="center"/>
              <w:rPr>
                <w:rFonts w:ascii="Calibri" w:hAnsi="Calibri" w:cs="Calibri"/>
                <w:color w:val="000000"/>
                <w:sz w:val="22"/>
                <w:szCs w:val="22"/>
              </w:rPr>
            </w:pPr>
            <w:r w:rsidRPr="001570EA">
              <w:rPr>
                <w:rFonts w:ascii="Calibri" w:hAnsi="Calibri" w:cs="Calibri"/>
                <w:color w:val="000000"/>
                <w:sz w:val="22"/>
                <w:szCs w:val="22"/>
              </w:rPr>
              <w:t>93.09</w:t>
            </w:r>
          </w:p>
        </w:tc>
        <w:tc>
          <w:tcPr>
            <w:tcW w:w="867" w:type="dxa"/>
            <w:vAlign w:val="bottom"/>
          </w:tcPr>
          <w:p w14:paraId="6C1BF4AA" w14:textId="77777777" w:rsidR="00E44576" w:rsidRPr="001570EA" w:rsidRDefault="00E44576">
            <w:pPr>
              <w:pStyle w:val="TableCell"/>
              <w:tabs>
                <w:tab w:val="clear" w:pos="720"/>
              </w:tabs>
              <w:spacing w:before="60" w:after="60"/>
              <w:jc w:val="center"/>
              <w:rPr>
                <w:rFonts w:ascii="Calibri" w:hAnsi="Calibri" w:cs="Calibri"/>
                <w:color w:val="000000"/>
                <w:sz w:val="22"/>
                <w:szCs w:val="22"/>
              </w:rPr>
            </w:pPr>
            <w:r w:rsidRPr="001570EA">
              <w:rPr>
                <w:rFonts w:ascii="Calibri" w:hAnsi="Calibri" w:cs="Calibri"/>
                <w:color w:val="000000"/>
                <w:sz w:val="22"/>
                <w:szCs w:val="22"/>
              </w:rPr>
              <w:t>101.67</w:t>
            </w:r>
          </w:p>
        </w:tc>
      </w:tr>
    </w:tbl>
    <w:p w14:paraId="3F6EECA9" w14:textId="77777777" w:rsidR="00E44576" w:rsidRPr="001570EA" w:rsidRDefault="00E44576" w:rsidP="00E44576"/>
    <w:p w14:paraId="1D79E51D" w14:textId="5CFCADD7" w:rsidR="00E44576" w:rsidRPr="001570EA" w:rsidRDefault="00E44576" w:rsidP="00E44576">
      <w:pPr>
        <w:pStyle w:val="Caption"/>
        <w:rPr>
          <w:noProof/>
        </w:rPr>
      </w:pPr>
      <w:bookmarkStart w:id="1274" w:name="_Ref51169907"/>
      <w:bookmarkStart w:id="1275" w:name="_Ref51323820"/>
      <w:bookmarkStart w:id="1276" w:name="_Toc66786349"/>
      <w:r w:rsidRPr="001570EA">
        <w:rPr>
          <w:noProof/>
        </w:rPr>
        <w:t xml:space="preserve">Table </w:t>
      </w:r>
      <w:r w:rsidR="002E093A" w:rsidRPr="001570EA">
        <w:rPr>
          <w:noProof/>
        </w:rPr>
        <w:fldChar w:fldCharType="begin"/>
      </w:r>
      <w:r w:rsidR="002E093A" w:rsidRPr="001570EA">
        <w:rPr>
          <w:noProof/>
        </w:rPr>
        <w:instrText xml:space="preserve"> STYLEREF 1 \s </w:instrText>
      </w:r>
      <w:r w:rsidR="002E093A" w:rsidRPr="001570EA">
        <w:rPr>
          <w:noProof/>
        </w:rPr>
        <w:fldChar w:fldCharType="separate"/>
      </w:r>
      <w:r w:rsidR="002E093A" w:rsidRPr="001570EA">
        <w:rPr>
          <w:noProof/>
        </w:rPr>
        <w:t>2</w:t>
      </w:r>
      <w:r w:rsidR="002E093A" w:rsidRPr="001570EA">
        <w:rPr>
          <w:noProof/>
        </w:rPr>
        <w:fldChar w:fldCharType="end"/>
      </w:r>
      <w:r w:rsidR="002E093A" w:rsidRPr="001570EA">
        <w:rPr>
          <w:noProof/>
        </w:rPr>
        <w:noBreakHyphen/>
      </w:r>
      <w:r w:rsidR="002E093A" w:rsidRPr="001570EA">
        <w:rPr>
          <w:noProof/>
        </w:rPr>
        <w:fldChar w:fldCharType="begin"/>
      </w:r>
      <w:r w:rsidR="002E093A" w:rsidRPr="001570EA">
        <w:rPr>
          <w:noProof/>
        </w:rPr>
        <w:instrText xml:space="preserve"> SEQ Table \* ARABIC \s 1 </w:instrText>
      </w:r>
      <w:r w:rsidR="002E093A" w:rsidRPr="001570EA">
        <w:rPr>
          <w:noProof/>
        </w:rPr>
        <w:fldChar w:fldCharType="separate"/>
      </w:r>
      <w:r w:rsidR="002E093A" w:rsidRPr="001570EA">
        <w:rPr>
          <w:noProof/>
        </w:rPr>
        <w:t>173</w:t>
      </w:r>
      <w:r w:rsidR="002E093A" w:rsidRPr="001570EA">
        <w:rPr>
          <w:noProof/>
        </w:rPr>
        <w:fldChar w:fldCharType="end"/>
      </w:r>
      <w:bookmarkEnd w:id="1274"/>
      <w:r w:rsidRPr="001570EA">
        <w:rPr>
          <w:noProof/>
        </w:rPr>
        <w:t>: Replacement Pool Pump Weighted Energy Factor</w:t>
      </w:r>
      <w:r w:rsidRPr="001570EA">
        <w:rPr>
          <w:rFonts w:cs="Arial"/>
          <w:szCs w:val="18"/>
          <w:vertAlign w:val="superscript"/>
        </w:rPr>
        <w:t xml:space="preserve">Source </w:t>
      </w:r>
      <w:r w:rsidRPr="001570EA">
        <w:rPr>
          <w:rFonts w:cs="Arial"/>
          <w:b w:val="0"/>
          <w:bCs w:val="0"/>
          <w:szCs w:val="18"/>
          <w:vertAlign w:val="superscript"/>
        </w:rPr>
        <w:t>3</w:t>
      </w:r>
      <w:bookmarkEnd w:id="1275"/>
      <w:bookmarkEnd w:id="127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7"/>
        <w:gridCol w:w="1530"/>
        <w:gridCol w:w="1861"/>
      </w:tblGrid>
      <w:tr w:rsidR="00E44576" w:rsidRPr="001570EA" w14:paraId="36A49777" w14:textId="77777777" w:rsidTr="007F64EC">
        <w:trPr>
          <w:trHeight w:val="374"/>
        </w:trPr>
        <w:tc>
          <w:tcPr>
            <w:tcW w:w="2317" w:type="dxa"/>
            <w:shd w:val="clear" w:color="auto" w:fill="BFBFBF" w:themeFill="background1" w:themeFillShade="BF"/>
          </w:tcPr>
          <w:p w14:paraId="68575B94" w14:textId="77777777" w:rsidR="00E44576" w:rsidRPr="001570EA" w:rsidRDefault="00E44576">
            <w:pPr>
              <w:pStyle w:val="TableCell"/>
              <w:spacing w:before="60" w:after="60"/>
              <w:jc w:val="center"/>
              <w:rPr>
                <w:rFonts w:cs="Arial"/>
                <w:b/>
                <w:bCs/>
                <w:szCs w:val="18"/>
              </w:rPr>
            </w:pPr>
            <w:r w:rsidRPr="001570EA">
              <w:rPr>
                <w:rFonts w:cs="Arial"/>
                <w:b/>
                <w:bCs/>
                <w:szCs w:val="18"/>
              </w:rPr>
              <w:t>Pump Type</w:t>
            </w:r>
          </w:p>
        </w:tc>
        <w:tc>
          <w:tcPr>
            <w:tcW w:w="1530" w:type="dxa"/>
            <w:shd w:val="clear" w:color="auto" w:fill="BFBFBF" w:themeFill="background1" w:themeFillShade="BF"/>
          </w:tcPr>
          <w:p w14:paraId="7A6138FE" w14:textId="486E63DF" w:rsidR="00E44576" w:rsidRPr="001570EA" w:rsidRDefault="00D76752">
            <w:pPr>
              <w:pStyle w:val="TableCell"/>
              <w:spacing w:before="60" w:after="60"/>
              <w:jc w:val="center"/>
              <w:rPr>
                <w:b/>
              </w:rPr>
            </w:pPr>
            <w:r w:rsidRPr="001570EA">
              <w:rPr>
                <w:rFonts w:cs="Arial"/>
                <w:b/>
                <w:bCs/>
                <w:szCs w:val="18"/>
              </w:rPr>
              <w:t>h</w:t>
            </w:r>
            <w:r w:rsidR="00E44576" w:rsidRPr="001570EA">
              <w:rPr>
                <w:rFonts w:cs="Arial"/>
                <w:b/>
                <w:bCs/>
                <w:szCs w:val="18"/>
              </w:rPr>
              <w:t>hp</w:t>
            </w:r>
            <w:r w:rsidRPr="001570EA">
              <w:rPr>
                <w:rFonts w:cs="Arial"/>
                <w:b/>
                <w:bCs/>
                <w:szCs w:val="18"/>
              </w:rPr>
              <w:t xml:space="preserve"> Range</w:t>
            </w:r>
          </w:p>
        </w:tc>
        <w:tc>
          <w:tcPr>
            <w:tcW w:w="1861" w:type="dxa"/>
            <w:shd w:val="clear" w:color="auto" w:fill="BFBFBF" w:themeFill="background1" w:themeFillShade="BF"/>
            <w:vAlign w:val="center"/>
          </w:tcPr>
          <w:p w14:paraId="7ED46E9E" w14:textId="41E9A039" w:rsidR="00E44576" w:rsidRPr="001570EA" w:rsidRDefault="00E44576">
            <w:pPr>
              <w:pStyle w:val="TableCell"/>
              <w:spacing w:before="60" w:after="60"/>
              <w:jc w:val="center"/>
              <w:rPr>
                <w:rFonts w:cs="Arial"/>
                <w:b/>
                <w:i/>
                <w:szCs w:val="18"/>
              </w:rPr>
            </w:pPr>
            <w:r w:rsidRPr="001570EA">
              <w:rPr>
                <w:rFonts w:cs="Arial"/>
                <w:b/>
                <w:bCs/>
                <w:szCs w:val="18"/>
              </w:rPr>
              <w:t>Federal Minimum</w:t>
            </w:r>
            <w:r w:rsidR="00D76752" w:rsidRPr="001570EA">
              <w:rPr>
                <w:rFonts w:cs="Arial"/>
                <w:b/>
                <w:bCs/>
                <w:szCs w:val="18"/>
              </w:rPr>
              <w:t xml:space="preserve"> </w:t>
            </w:r>
            <w:r w:rsidR="00C459FA" w:rsidRPr="001570EA">
              <w:rPr>
                <w:rFonts w:cs="Arial"/>
                <w:b/>
                <w:bCs/>
                <w:szCs w:val="18"/>
              </w:rPr>
              <w:t>(</w:t>
            </w:r>
            <w:r w:rsidR="00D76752" w:rsidRPr="001570EA">
              <w:rPr>
                <w:rFonts w:cs="Arial"/>
                <w:b/>
                <w:bCs/>
                <w:szCs w:val="18"/>
              </w:rPr>
              <w:t>WEF</w:t>
            </w:r>
            <w:r w:rsidR="00C459FA" w:rsidRPr="001570EA">
              <w:rPr>
                <w:rFonts w:cs="Arial"/>
                <w:b/>
                <w:bCs/>
                <w:szCs w:val="18"/>
                <w:vertAlign w:val="subscript"/>
              </w:rPr>
              <w:t>CFR</w:t>
            </w:r>
            <w:r w:rsidR="00C459FA" w:rsidRPr="001570EA">
              <w:rPr>
                <w:rFonts w:cs="Arial"/>
                <w:b/>
                <w:bCs/>
                <w:szCs w:val="18"/>
              </w:rPr>
              <w:t>)</w:t>
            </w:r>
          </w:p>
        </w:tc>
      </w:tr>
      <w:tr w:rsidR="00E44576" w:rsidRPr="001570EA" w14:paraId="7C54DBD9" w14:textId="77777777">
        <w:trPr>
          <w:trHeight w:val="374"/>
        </w:trPr>
        <w:tc>
          <w:tcPr>
            <w:tcW w:w="2317" w:type="dxa"/>
            <w:vMerge w:val="restart"/>
            <w:vAlign w:val="center"/>
          </w:tcPr>
          <w:p w14:paraId="635371A4" w14:textId="77777777" w:rsidR="00E44576" w:rsidRPr="001570EA" w:rsidRDefault="00E44576">
            <w:pPr>
              <w:pStyle w:val="TableCell"/>
              <w:spacing w:before="60" w:after="60"/>
              <w:jc w:val="center"/>
              <w:rPr>
                <w:rFonts w:cs="Arial"/>
                <w:szCs w:val="18"/>
              </w:rPr>
            </w:pPr>
            <w:r w:rsidRPr="001570EA">
              <w:rPr>
                <w:rFonts w:cs="Arial"/>
                <w:szCs w:val="18"/>
              </w:rPr>
              <w:t>Self-Priming</w:t>
            </w:r>
            <w:r w:rsidRPr="001570EA">
              <w:rPr>
                <w:rFonts w:cs="Arial"/>
                <w:szCs w:val="18"/>
              </w:rPr>
              <w:br/>
              <w:t>(In-ground)</w:t>
            </w:r>
          </w:p>
        </w:tc>
        <w:tc>
          <w:tcPr>
            <w:tcW w:w="1530" w:type="dxa"/>
            <w:vAlign w:val="center"/>
          </w:tcPr>
          <w:p w14:paraId="133B9060" w14:textId="77777777" w:rsidR="00E44576" w:rsidRPr="001570EA" w:rsidRDefault="00E44576">
            <w:pPr>
              <w:pStyle w:val="TableCell"/>
              <w:spacing w:before="60" w:after="60"/>
              <w:jc w:val="center"/>
            </w:pPr>
            <w:r w:rsidRPr="001570EA">
              <w:rPr>
                <w:rFonts w:cs="Arial"/>
                <w:szCs w:val="18"/>
              </w:rPr>
              <w:t>≤0.130</w:t>
            </w:r>
          </w:p>
        </w:tc>
        <w:tc>
          <w:tcPr>
            <w:tcW w:w="1861" w:type="dxa"/>
          </w:tcPr>
          <w:p w14:paraId="6F1E66A6" w14:textId="77777777" w:rsidR="00E44576" w:rsidRPr="001570EA" w:rsidRDefault="00E44576">
            <w:pPr>
              <w:pStyle w:val="TableCell"/>
              <w:spacing w:before="60" w:after="60"/>
              <w:jc w:val="center"/>
            </w:pPr>
            <w:r w:rsidRPr="001570EA">
              <w:t>5.55</w:t>
            </w:r>
          </w:p>
        </w:tc>
      </w:tr>
      <w:tr w:rsidR="00E44576" w:rsidRPr="001570EA" w14:paraId="114EE440" w14:textId="77777777">
        <w:trPr>
          <w:trHeight w:val="374"/>
        </w:trPr>
        <w:tc>
          <w:tcPr>
            <w:tcW w:w="2317" w:type="dxa"/>
            <w:vMerge/>
            <w:vAlign w:val="center"/>
          </w:tcPr>
          <w:p w14:paraId="5E830340" w14:textId="77777777" w:rsidR="00E44576" w:rsidRPr="001570EA" w:rsidRDefault="00E44576">
            <w:pPr>
              <w:pStyle w:val="TableCell"/>
              <w:spacing w:before="60" w:after="60"/>
              <w:jc w:val="center"/>
              <w:rPr>
                <w:rFonts w:cs="Arial"/>
                <w:szCs w:val="18"/>
              </w:rPr>
            </w:pPr>
          </w:p>
        </w:tc>
        <w:tc>
          <w:tcPr>
            <w:tcW w:w="1530" w:type="dxa"/>
            <w:vAlign w:val="center"/>
          </w:tcPr>
          <w:p w14:paraId="63208BFC" w14:textId="77777777" w:rsidR="00E44576" w:rsidRPr="001570EA" w:rsidRDefault="00E44576">
            <w:pPr>
              <w:pStyle w:val="TableCell"/>
              <w:spacing w:before="60" w:after="60"/>
              <w:jc w:val="center"/>
            </w:pPr>
            <w:r w:rsidRPr="001570EA">
              <w:rPr>
                <w:rFonts w:cs="Arial"/>
                <w:szCs w:val="18"/>
              </w:rPr>
              <w:t>0.130–0.711</w:t>
            </w:r>
          </w:p>
        </w:tc>
        <w:tc>
          <w:tcPr>
            <w:tcW w:w="1861" w:type="dxa"/>
          </w:tcPr>
          <w:p w14:paraId="72A7254D" w14:textId="77777777" w:rsidR="00E44576" w:rsidRPr="001570EA" w:rsidRDefault="00E44576">
            <w:pPr>
              <w:pStyle w:val="TableCell"/>
              <w:spacing w:before="60" w:after="60"/>
              <w:jc w:val="center"/>
            </w:pPr>
            <w:r w:rsidRPr="001570EA">
              <w:t>-1.30×ln(hhp)+2.90</w:t>
            </w:r>
          </w:p>
        </w:tc>
      </w:tr>
      <w:tr w:rsidR="00E44576" w:rsidRPr="001570EA" w14:paraId="54095ABA" w14:textId="77777777">
        <w:trPr>
          <w:trHeight w:val="374"/>
        </w:trPr>
        <w:tc>
          <w:tcPr>
            <w:tcW w:w="2317" w:type="dxa"/>
            <w:vMerge/>
            <w:vAlign w:val="center"/>
          </w:tcPr>
          <w:p w14:paraId="1A9726AC" w14:textId="77777777" w:rsidR="00E44576" w:rsidRPr="001570EA" w:rsidRDefault="00E44576">
            <w:pPr>
              <w:pStyle w:val="TableCell"/>
              <w:spacing w:before="60" w:after="60"/>
              <w:jc w:val="center"/>
              <w:rPr>
                <w:rFonts w:cs="Arial"/>
                <w:szCs w:val="18"/>
              </w:rPr>
            </w:pPr>
          </w:p>
        </w:tc>
        <w:tc>
          <w:tcPr>
            <w:tcW w:w="1530" w:type="dxa"/>
            <w:vAlign w:val="center"/>
          </w:tcPr>
          <w:p w14:paraId="33B34989" w14:textId="77777777" w:rsidR="00E44576" w:rsidRPr="001570EA" w:rsidRDefault="00E44576">
            <w:pPr>
              <w:pStyle w:val="TableCell"/>
              <w:spacing w:before="60" w:after="60"/>
              <w:jc w:val="center"/>
            </w:pPr>
            <w:r w:rsidRPr="001570EA">
              <w:rPr>
                <w:rFonts w:cs="Arial"/>
                <w:szCs w:val="18"/>
              </w:rPr>
              <w:t>0.712-2.500</w:t>
            </w:r>
          </w:p>
        </w:tc>
        <w:tc>
          <w:tcPr>
            <w:tcW w:w="1861" w:type="dxa"/>
          </w:tcPr>
          <w:p w14:paraId="0018D754" w14:textId="77777777" w:rsidR="00E44576" w:rsidRPr="001570EA" w:rsidRDefault="00E44576">
            <w:pPr>
              <w:pStyle w:val="TableCell"/>
              <w:spacing w:before="60" w:after="60"/>
              <w:jc w:val="center"/>
            </w:pPr>
            <w:r w:rsidRPr="001570EA">
              <w:t>-2.30×ln(hhp)+6.59</w:t>
            </w:r>
          </w:p>
        </w:tc>
      </w:tr>
      <w:tr w:rsidR="00E44576" w:rsidRPr="001570EA" w14:paraId="4C5DFA9D" w14:textId="77777777">
        <w:trPr>
          <w:trHeight w:val="374"/>
        </w:trPr>
        <w:tc>
          <w:tcPr>
            <w:tcW w:w="2317" w:type="dxa"/>
            <w:vMerge w:val="restart"/>
            <w:vAlign w:val="center"/>
          </w:tcPr>
          <w:p w14:paraId="05EA67AB" w14:textId="77777777" w:rsidR="00E44576" w:rsidRPr="001570EA" w:rsidRDefault="00E44576">
            <w:pPr>
              <w:pStyle w:val="TableCell"/>
              <w:spacing w:before="60" w:after="60"/>
              <w:jc w:val="center"/>
              <w:rPr>
                <w:rFonts w:cs="Arial"/>
                <w:szCs w:val="18"/>
              </w:rPr>
            </w:pPr>
            <w:r w:rsidRPr="001570EA">
              <w:rPr>
                <w:rFonts w:cs="Arial"/>
                <w:szCs w:val="18"/>
              </w:rPr>
              <w:t>Non-Self-Priming</w:t>
            </w:r>
            <w:r w:rsidRPr="001570EA">
              <w:rPr>
                <w:rFonts w:cs="Arial"/>
                <w:szCs w:val="18"/>
              </w:rPr>
              <w:br/>
              <w:t>(Above-ground)</w:t>
            </w:r>
          </w:p>
        </w:tc>
        <w:tc>
          <w:tcPr>
            <w:tcW w:w="1530" w:type="dxa"/>
            <w:vAlign w:val="center"/>
          </w:tcPr>
          <w:p w14:paraId="0C97C0EC" w14:textId="77777777" w:rsidR="00E44576" w:rsidRPr="001570EA" w:rsidRDefault="00E44576">
            <w:pPr>
              <w:pStyle w:val="TableCell"/>
              <w:spacing w:before="60" w:after="60"/>
              <w:jc w:val="center"/>
            </w:pPr>
            <w:r w:rsidRPr="001570EA">
              <w:rPr>
                <w:rFonts w:cs="Arial"/>
                <w:szCs w:val="18"/>
              </w:rPr>
              <w:t>≤0.130</w:t>
            </w:r>
          </w:p>
        </w:tc>
        <w:tc>
          <w:tcPr>
            <w:tcW w:w="1861" w:type="dxa"/>
          </w:tcPr>
          <w:p w14:paraId="34D0E13F" w14:textId="77777777" w:rsidR="00E44576" w:rsidRPr="001570EA" w:rsidRDefault="00E44576">
            <w:pPr>
              <w:pStyle w:val="TableCell"/>
              <w:spacing w:before="60" w:after="60"/>
              <w:jc w:val="center"/>
            </w:pPr>
            <w:r w:rsidRPr="001570EA">
              <w:t>4.60</w:t>
            </w:r>
          </w:p>
        </w:tc>
      </w:tr>
      <w:tr w:rsidR="00E44576" w:rsidRPr="001570EA" w14:paraId="0A8139FB" w14:textId="77777777">
        <w:trPr>
          <w:trHeight w:val="374"/>
        </w:trPr>
        <w:tc>
          <w:tcPr>
            <w:tcW w:w="2317" w:type="dxa"/>
            <w:vMerge/>
            <w:vAlign w:val="center"/>
          </w:tcPr>
          <w:p w14:paraId="4C6432E0" w14:textId="77777777" w:rsidR="00E44576" w:rsidRPr="001570EA" w:rsidRDefault="00E44576">
            <w:pPr>
              <w:pStyle w:val="TableCell"/>
              <w:spacing w:before="60" w:after="60"/>
              <w:jc w:val="center"/>
              <w:rPr>
                <w:rFonts w:cs="Arial"/>
                <w:szCs w:val="18"/>
              </w:rPr>
            </w:pPr>
          </w:p>
        </w:tc>
        <w:tc>
          <w:tcPr>
            <w:tcW w:w="1530" w:type="dxa"/>
            <w:vAlign w:val="center"/>
          </w:tcPr>
          <w:p w14:paraId="3B008D0C" w14:textId="77777777" w:rsidR="00E44576" w:rsidRPr="001570EA" w:rsidRDefault="00E44576">
            <w:pPr>
              <w:pStyle w:val="TableCell"/>
              <w:spacing w:before="60" w:after="60"/>
              <w:jc w:val="center"/>
            </w:pPr>
            <w:r w:rsidRPr="001570EA">
              <w:rPr>
                <w:rFonts w:cs="Arial"/>
                <w:szCs w:val="18"/>
              </w:rPr>
              <w:t>&gt;0.130</w:t>
            </w:r>
          </w:p>
        </w:tc>
        <w:tc>
          <w:tcPr>
            <w:tcW w:w="1861" w:type="dxa"/>
          </w:tcPr>
          <w:p w14:paraId="1F2FDEC0" w14:textId="77777777" w:rsidR="00E44576" w:rsidRPr="001570EA" w:rsidRDefault="00E44576">
            <w:pPr>
              <w:pStyle w:val="TableCell"/>
              <w:spacing w:before="60" w:after="60"/>
              <w:jc w:val="center"/>
            </w:pPr>
            <w:r w:rsidRPr="001570EA">
              <w:t>-0.85×ln(hhp)+2.87</w:t>
            </w:r>
          </w:p>
        </w:tc>
      </w:tr>
    </w:tbl>
    <w:p w14:paraId="1A99F793" w14:textId="77777777" w:rsidR="00E44576" w:rsidRPr="001570EA" w:rsidRDefault="00E44576" w:rsidP="00E44576">
      <w:pPr>
        <w:tabs>
          <w:tab w:val="left" w:pos="720"/>
        </w:tabs>
        <w:spacing w:before="120"/>
        <w:rPr>
          <w:rFonts w:cs="Arial"/>
        </w:rPr>
      </w:pPr>
    </w:p>
    <w:p w14:paraId="1FBB8E62" w14:textId="23F4A17B" w:rsidR="00E44576" w:rsidRPr="001570EA" w:rsidRDefault="00E44576" w:rsidP="00E44576">
      <w:pPr>
        <w:pStyle w:val="Caption"/>
        <w:rPr>
          <w:noProof/>
        </w:rPr>
      </w:pPr>
      <w:bookmarkStart w:id="1277" w:name="_Ref157419703"/>
      <w:r w:rsidRPr="001570EA">
        <w:rPr>
          <w:noProof/>
        </w:rPr>
        <w:t xml:space="preserve">Table </w:t>
      </w:r>
      <w:r w:rsidR="002E093A" w:rsidRPr="001570EA">
        <w:rPr>
          <w:noProof/>
        </w:rPr>
        <w:fldChar w:fldCharType="begin"/>
      </w:r>
      <w:r w:rsidR="002E093A" w:rsidRPr="001570EA">
        <w:rPr>
          <w:noProof/>
        </w:rPr>
        <w:instrText xml:space="preserve"> STYLEREF 1 \s </w:instrText>
      </w:r>
      <w:r w:rsidR="002E093A" w:rsidRPr="001570EA">
        <w:rPr>
          <w:noProof/>
        </w:rPr>
        <w:fldChar w:fldCharType="separate"/>
      </w:r>
      <w:r w:rsidR="002E093A" w:rsidRPr="001570EA">
        <w:rPr>
          <w:noProof/>
        </w:rPr>
        <w:t>2</w:t>
      </w:r>
      <w:r w:rsidR="002E093A" w:rsidRPr="001570EA">
        <w:rPr>
          <w:noProof/>
        </w:rPr>
        <w:fldChar w:fldCharType="end"/>
      </w:r>
      <w:r w:rsidR="002E093A" w:rsidRPr="001570EA">
        <w:rPr>
          <w:noProof/>
        </w:rPr>
        <w:noBreakHyphen/>
      </w:r>
      <w:r w:rsidR="002E093A" w:rsidRPr="001570EA">
        <w:rPr>
          <w:noProof/>
        </w:rPr>
        <w:fldChar w:fldCharType="begin"/>
      </w:r>
      <w:r w:rsidR="002E093A" w:rsidRPr="001570EA">
        <w:rPr>
          <w:noProof/>
        </w:rPr>
        <w:instrText xml:space="preserve"> SEQ Table \* ARABIC \s 1 </w:instrText>
      </w:r>
      <w:r w:rsidR="002E093A" w:rsidRPr="001570EA">
        <w:rPr>
          <w:noProof/>
        </w:rPr>
        <w:fldChar w:fldCharType="separate"/>
      </w:r>
      <w:r w:rsidR="002E093A" w:rsidRPr="001570EA">
        <w:rPr>
          <w:noProof/>
        </w:rPr>
        <w:t>174</w:t>
      </w:r>
      <w:r w:rsidR="002E093A" w:rsidRPr="001570EA">
        <w:rPr>
          <w:noProof/>
        </w:rPr>
        <w:fldChar w:fldCharType="end"/>
      </w:r>
      <w:bookmarkEnd w:id="1277"/>
      <w:r w:rsidRPr="001570EA">
        <w:rPr>
          <w:noProof/>
        </w:rPr>
        <w:t>: Default Inputs</w:t>
      </w:r>
    </w:p>
    <w:tbl>
      <w:tblPr>
        <w:tblW w:w="79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9"/>
        <w:gridCol w:w="787"/>
        <w:gridCol w:w="763"/>
        <w:gridCol w:w="739"/>
        <w:gridCol w:w="767"/>
        <w:gridCol w:w="731"/>
        <w:gridCol w:w="790"/>
        <w:gridCol w:w="851"/>
        <w:gridCol w:w="697"/>
      </w:tblGrid>
      <w:tr w:rsidR="00E44576" w:rsidRPr="001570EA" w14:paraId="3899E821" w14:textId="77777777">
        <w:trPr>
          <w:trHeight w:val="374"/>
        </w:trPr>
        <w:tc>
          <w:tcPr>
            <w:tcW w:w="1839" w:type="dxa"/>
            <w:shd w:val="clear" w:color="auto" w:fill="BFBFBF" w:themeFill="background1" w:themeFillShade="BF"/>
          </w:tcPr>
          <w:p w14:paraId="7952001E" w14:textId="77777777" w:rsidR="00E44576" w:rsidRPr="001570EA" w:rsidRDefault="00E44576">
            <w:pPr>
              <w:pStyle w:val="TableCell"/>
              <w:tabs>
                <w:tab w:val="clear" w:pos="720"/>
              </w:tabs>
              <w:spacing w:before="60" w:after="60"/>
              <w:jc w:val="center"/>
              <w:rPr>
                <w:b/>
              </w:rPr>
            </w:pPr>
            <w:r w:rsidRPr="001570EA">
              <w:rPr>
                <w:rFonts w:cs="Arial"/>
                <w:b/>
                <w:bCs/>
                <w:szCs w:val="18"/>
              </w:rPr>
              <w:t>Pool/</w:t>
            </w:r>
            <w:r w:rsidRPr="001570EA">
              <w:rPr>
                <w:rFonts w:cs="Arial"/>
                <w:b/>
                <w:bCs/>
                <w:szCs w:val="18"/>
              </w:rPr>
              <w:br/>
              <w:t>Pump Type</w:t>
            </w:r>
          </w:p>
        </w:tc>
        <w:tc>
          <w:tcPr>
            <w:tcW w:w="787" w:type="dxa"/>
            <w:shd w:val="clear" w:color="auto" w:fill="BFBFBF" w:themeFill="background1" w:themeFillShade="BF"/>
            <w:tcMar>
              <w:left w:w="58" w:type="dxa"/>
              <w:right w:w="58" w:type="dxa"/>
            </w:tcMar>
            <w:vAlign w:val="center"/>
          </w:tcPr>
          <w:p w14:paraId="59DB79C8" w14:textId="77777777" w:rsidR="00E44576" w:rsidRPr="001570EA" w:rsidRDefault="00E44576">
            <w:pPr>
              <w:pStyle w:val="TableCell"/>
              <w:tabs>
                <w:tab w:val="clear" w:pos="720"/>
              </w:tabs>
              <w:spacing w:before="60" w:after="60"/>
              <w:jc w:val="center"/>
              <w:rPr>
                <w:rFonts w:cs="Arial"/>
                <w:b/>
                <w:bCs/>
                <w:i/>
                <w:iCs/>
                <w:szCs w:val="18"/>
              </w:rPr>
            </w:pPr>
            <w:r w:rsidRPr="001570EA">
              <w:rPr>
                <w:rFonts w:cs="Arial"/>
                <w:b/>
                <w:bCs/>
                <w:szCs w:val="18"/>
              </w:rPr>
              <w:t>hhp</w:t>
            </w:r>
          </w:p>
        </w:tc>
        <w:tc>
          <w:tcPr>
            <w:tcW w:w="763" w:type="dxa"/>
            <w:shd w:val="clear" w:color="auto" w:fill="BFBFBF" w:themeFill="background1" w:themeFillShade="BF"/>
            <w:tcMar>
              <w:left w:w="58" w:type="dxa"/>
              <w:right w:w="58" w:type="dxa"/>
            </w:tcMar>
            <w:vAlign w:val="center"/>
          </w:tcPr>
          <w:p w14:paraId="53DBC34C" w14:textId="77777777" w:rsidR="00E44576" w:rsidRPr="001570EA" w:rsidRDefault="00E44576">
            <w:pPr>
              <w:pStyle w:val="TableCell"/>
              <w:tabs>
                <w:tab w:val="clear" w:pos="720"/>
              </w:tabs>
              <w:spacing w:before="60" w:after="60"/>
              <w:jc w:val="center"/>
              <w:rPr>
                <w:rFonts w:cs="Arial"/>
                <w:b/>
                <w:bCs/>
                <w:szCs w:val="18"/>
              </w:rPr>
            </w:pPr>
            <w:r w:rsidRPr="001570EA">
              <w:rPr>
                <w:rFonts w:cs="Arial"/>
                <w:b/>
                <w:bCs/>
                <w:szCs w:val="18"/>
              </w:rPr>
              <w:t>WEF</w:t>
            </w:r>
            <w:r w:rsidRPr="001570EA">
              <w:rPr>
                <w:rFonts w:cs="Arial"/>
                <w:b/>
                <w:bCs/>
                <w:szCs w:val="18"/>
                <w:vertAlign w:val="subscript"/>
              </w:rPr>
              <w:t>CFR</w:t>
            </w:r>
          </w:p>
        </w:tc>
        <w:tc>
          <w:tcPr>
            <w:tcW w:w="739" w:type="dxa"/>
            <w:shd w:val="clear" w:color="auto" w:fill="BFBFBF" w:themeFill="background1" w:themeFillShade="BF"/>
            <w:tcMar>
              <w:left w:w="58" w:type="dxa"/>
              <w:right w:w="58" w:type="dxa"/>
            </w:tcMar>
            <w:vAlign w:val="center"/>
          </w:tcPr>
          <w:p w14:paraId="30E02C0D" w14:textId="77777777" w:rsidR="00E44576" w:rsidRPr="001570EA" w:rsidRDefault="00E44576">
            <w:pPr>
              <w:pStyle w:val="TableCell"/>
              <w:tabs>
                <w:tab w:val="clear" w:pos="720"/>
              </w:tabs>
              <w:spacing w:before="60" w:after="60"/>
              <w:jc w:val="center"/>
              <w:rPr>
                <w:rFonts w:cs="Arial"/>
                <w:b/>
                <w:bCs/>
                <w:szCs w:val="18"/>
              </w:rPr>
            </w:pPr>
            <w:r w:rsidRPr="001570EA">
              <w:rPr>
                <w:rFonts w:cs="Arial"/>
                <w:b/>
                <w:bCs/>
                <w:szCs w:val="18"/>
              </w:rPr>
              <w:t>Days</w:t>
            </w:r>
          </w:p>
        </w:tc>
        <w:tc>
          <w:tcPr>
            <w:tcW w:w="767" w:type="dxa"/>
            <w:shd w:val="clear" w:color="auto" w:fill="BFBFBF" w:themeFill="background1" w:themeFillShade="BF"/>
            <w:tcMar>
              <w:left w:w="58" w:type="dxa"/>
              <w:right w:w="58" w:type="dxa"/>
            </w:tcMar>
            <w:vAlign w:val="center"/>
          </w:tcPr>
          <w:p w14:paraId="2306C8B7" w14:textId="77777777" w:rsidR="00E44576" w:rsidRPr="001570EA" w:rsidDel="00047E04" w:rsidRDefault="00E44576">
            <w:pPr>
              <w:pStyle w:val="TableCell"/>
              <w:tabs>
                <w:tab w:val="clear" w:pos="720"/>
              </w:tabs>
              <w:spacing w:before="60" w:after="60"/>
              <w:jc w:val="center"/>
              <w:rPr>
                <w:rFonts w:cs="Arial"/>
                <w:b/>
                <w:bCs/>
                <w:szCs w:val="18"/>
              </w:rPr>
            </w:pPr>
            <w:r w:rsidRPr="001570EA">
              <w:rPr>
                <w:rFonts w:cs="Arial"/>
                <w:b/>
                <w:bCs/>
                <w:szCs w:val="18"/>
              </w:rPr>
              <w:t>Volume</w:t>
            </w:r>
          </w:p>
        </w:tc>
        <w:tc>
          <w:tcPr>
            <w:tcW w:w="731" w:type="dxa"/>
            <w:shd w:val="clear" w:color="auto" w:fill="BFBFBF" w:themeFill="background1" w:themeFillShade="BF"/>
            <w:tcMar>
              <w:left w:w="58" w:type="dxa"/>
              <w:right w:w="58" w:type="dxa"/>
            </w:tcMar>
            <w:vAlign w:val="center"/>
          </w:tcPr>
          <w:p w14:paraId="564ECDBA" w14:textId="77777777" w:rsidR="00E44576" w:rsidRPr="001570EA" w:rsidRDefault="00E44576">
            <w:pPr>
              <w:pStyle w:val="TableCell"/>
              <w:tabs>
                <w:tab w:val="clear" w:pos="720"/>
              </w:tabs>
              <w:spacing w:before="60" w:after="60"/>
              <w:jc w:val="center"/>
              <w:rPr>
                <w:rFonts w:cs="Arial"/>
                <w:b/>
                <w:bCs/>
                <w:szCs w:val="18"/>
              </w:rPr>
            </w:pPr>
            <w:r w:rsidRPr="001570EA">
              <w:rPr>
                <w:rFonts w:cs="Arial"/>
                <w:b/>
                <w:bCs/>
                <w:szCs w:val="18"/>
              </w:rPr>
              <w:t>Turn-over</w:t>
            </w:r>
          </w:p>
        </w:tc>
        <w:tc>
          <w:tcPr>
            <w:tcW w:w="790" w:type="dxa"/>
            <w:shd w:val="clear" w:color="auto" w:fill="BFBFBF" w:themeFill="background1" w:themeFillShade="BF"/>
            <w:tcMar>
              <w:left w:w="58" w:type="dxa"/>
              <w:right w:w="58" w:type="dxa"/>
            </w:tcMar>
            <w:vAlign w:val="center"/>
          </w:tcPr>
          <w:p w14:paraId="283729B8" w14:textId="77777777" w:rsidR="00E44576" w:rsidRPr="001570EA" w:rsidRDefault="00E44576">
            <w:pPr>
              <w:pStyle w:val="TableCell"/>
              <w:tabs>
                <w:tab w:val="clear" w:pos="720"/>
              </w:tabs>
              <w:spacing w:before="60" w:after="60"/>
              <w:jc w:val="center"/>
              <w:rPr>
                <w:rFonts w:cs="Arial"/>
                <w:b/>
                <w:bCs/>
                <w:szCs w:val="18"/>
              </w:rPr>
            </w:pPr>
            <w:r w:rsidRPr="001570EA">
              <w:rPr>
                <w:rFonts w:cs="Arial"/>
                <w:b/>
                <w:bCs/>
                <w:szCs w:val="18"/>
              </w:rPr>
              <w:t>HOU</w:t>
            </w:r>
            <w:r w:rsidRPr="001570EA">
              <w:rPr>
                <w:rFonts w:cs="Arial"/>
                <w:b/>
                <w:bCs/>
                <w:szCs w:val="18"/>
                <w:vertAlign w:val="subscript"/>
              </w:rPr>
              <w:t>base</w:t>
            </w:r>
          </w:p>
        </w:tc>
        <w:tc>
          <w:tcPr>
            <w:tcW w:w="851" w:type="dxa"/>
            <w:shd w:val="clear" w:color="auto" w:fill="BFBFBF" w:themeFill="background1" w:themeFillShade="BF"/>
            <w:tcMar>
              <w:left w:w="58" w:type="dxa"/>
              <w:right w:w="58" w:type="dxa"/>
            </w:tcMar>
            <w:vAlign w:val="center"/>
          </w:tcPr>
          <w:p w14:paraId="674846D1" w14:textId="77777777" w:rsidR="00E44576" w:rsidRPr="001570EA" w:rsidRDefault="00E44576">
            <w:pPr>
              <w:pStyle w:val="TableCell"/>
              <w:tabs>
                <w:tab w:val="clear" w:pos="720"/>
              </w:tabs>
              <w:spacing w:before="60" w:after="60"/>
              <w:jc w:val="center"/>
              <w:rPr>
                <w:rFonts w:cs="Arial"/>
                <w:b/>
                <w:bCs/>
                <w:szCs w:val="18"/>
              </w:rPr>
            </w:pPr>
            <w:r w:rsidRPr="001570EA">
              <w:rPr>
                <w:rFonts w:cs="Arial"/>
                <w:b/>
                <w:bCs/>
                <w:szCs w:val="18"/>
              </w:rPr>
              <w:t>CF</w:t>
            </w:r>
            <w:r w:rsidRPr="001570EA">
              <w:rPr>
                <w:rFonts w:cs="Arial"/>
                <w:b/>
                <w:bCs/>
                <w:szCs w:val="18"/>
                <w:vertAlign w:val="subscript"/>
              </w:rPr>
              <w:t>base</w:t>
            </w:r>
          </w:p>
        </w:tc>
        <w:tc>
          <w:tcPr>
            <w:tcW w:w="697" w:type="dxa"/>
            <w:shd w:val="clear" w:color="auto" w:fill="BFBFBF" w:themeFill="background1" w:themeFillShade="BF"/>
            <w:tcMar>
              <w:left w:w="58" w:type="dxa"/>
              <w:right w:w="58" w:type="dxa"/>
            </w:tcMar>
            <w:vAlign w:val="center"/>
          </w:tcPr>
          <w:p w14:paraId="5AD1AAFF" w14:textId="77777777" w:rsidR="00E44576" w:rsidRPr="001570EA" w:rsidRDefault="00E44576">
            <w:pPr>
              <w:pStyle w:val="TableCell"/>
              <w:tabs>
                <w:tab w:val="clear" w:pos="720"/>
              </w:tabs>
              <w:spacing w:before="60" w:after="60"/>
              <w:jc w:val="center"/>
              <w:rPr>
                <w:rFonts w:cs="Arial"/>
                <w:b/>
                <w:bCs/>
                <w:szCs w:val="18"/>
              </w:rPr>
            </w:pPr>
            <w:r w:rsidRPr="001570EA">
              <w:rPr>
                <w:rFonts w:cs="Arial"/>
                <w:b/>
                <w:bCs/>
                <w:szCs w:val="18"/>
              </w:rPr>
              <w:t>CF</w:t>
            </w:r>
            <w:r w:rsidRPr="001570EA">
              <w:rPr>
                <w:rFonts w:cs="Arial"/>
                <w:b/>
                <w:bCs/>
                <w:szCs w:val="18"/>
                <w:vertAlign w:val="subscript"/>
              </w:rPr>
              <w:t>CFR</w:t>
            </w:r>
          </w:p>
        </w:tc>
      </w:tr>
      <w:tr w:rsidR="00E44576" w:rsidRPr="001570EA" w14:paraId="0C8A47CD" w14:textId="77777777">
        <w:trPr>
          <w:trHeight w:val="374"/>
        </w:trPr>
        <w:tc>
          <w:tcPr>
            <w:tcW w:w="1839" w:type="dxa"/>
          </w:tcPr>
          <w:p w14:paraId="036B1E9F" w14:textId="77777777" w:rsidR="00E44576" w:rsidRPr="001570EA" w:rsidRDefault="00E44576">
            <w:pPr>
              <w:pStyle w:val="TableCell"/>
              <w:tabs>
                <w:tab w:val="clear" w:pos="720"/>
              </w:tabs>
              <w:spacing w:before="60" w:after="60"/>
              <w:jc w:val="center"/>
            </w:pPr>
            <w:r w:rsidRPr="001570EA">
              <w:rPr>
                <w:rFonts w:cs="Arial"/>
                <w:szCs w:val="18"/>
              </w:rPr>
              <w:t>In-ground Pool</w:t>
            </w:r>
          </w:p>
        </w:tc>
        <w:tc>
          <w:tcPr>
            <w:tcW w:w="787" w:type="dxa"/>
          </w:tcPr>
          <w:p w14:paraId="3F826B11" w14:textId="77777777" w:rsidR="00E44576" w:rsidRPr="001570EA" w:rsidRDefault="00E44576">
            <w:pPr>
              <w:pStyle w:val="TableCell"/>
              <w:tabs>
                <w:tab w:val="clear" w:pos="720"/>
              </w:tabs>
              <w:spacing w:before="60" w:after="60"/>
              <w:jc w:val="center"/>
            </w:pPr>
            <w:r w:rsidRPr="001570EA">
              <w:t>0.72</w:t>
            </w:r>
            <w:r w:rsidRPr="001570EA">
              <w:br/>
            </w:r>
            <w:r w:rsidRPr="001570EA">
              <w:rPr>
                <w:vertAlign w:val="superscript"/>
              </w:rPr>
              <w:t>Source 2</w:t>
            </w:r>
          </w:p>
        </w:tc>
        <w:tc>
          <w:tcPr>
            <w:tcW w:w="763" w:type="dxa"/>
          </w:tcPr>
          <w:p w14:paraId="09523296" w14:textId="77777777" w:rsidR="00E44576" w:rsidRPr="001570EA" w:rsidRDefault="00E44576">
            <w:pPr>
              <w:pStyle w:val="TableCell"/>
              <w:tabs>
                <w:tab w:val="clear" w:pos="720"/>
              </w:tabs>
              <w:spacing w:before="60" w:after="60"/>
              <w:jc w:val="center"/>
            </w:pPr>
            <w:r w:rsidRPr="001570EA">
              <w:t>7.35</w:t>
            </w:r>
            <w:r w:rsidRPr="001570EA">
              <w:br/>
            </w:r>
            <w:r w:rsidRPr="001570EA">
              <w:rPr>
                <w:vertAlign w:val="superscript"/>
              </w:rPr>
              <w:t>Source 3</w:t>
            </w:r>
          </w:p>
        </w:tc>
        <w:tc>
          <w:tcPr>
            <w:tcW w:w="739" w:type="dxa"/>
          </w:tcPr>
          <w:p w14:paraId="316B5BF1" w14:textId="77777777" w:rsidR="00E44576" w:rsidRPr="001570EA" w:rsidRDefault="00E44576">
            <w:pPr>
              <w:pStyle w:val="TableCell"/>
              <w:tabs>
                <w:tab w:val="clear" w:pos="720"/>
              </w:tabs>
              <w:spacing w:before="60" w:after="60"/>
              <w:jc w:val="center"/>
            </w:pPr>
            <w:r w:rsidRPr="001570EA">
              <w:t>122</w:t>
            </w:r>
            <w:r w:rsidRPr="001570EA">
              <w:br/>
            </w:r>
            <w:r w:rsidRPr="001570EA">
              <w:rPr>
                <w:vertAlign w:val="superscript"/>
              </w:rPr>
              <w:t>Source 2</w:t>
            </w:r>
          </w:p>
        </w:tc>
        <w:tc>
          <w:tcPr>
            <w:tcW w:w="767" w:type="dxa"/>
            <w:tcMar>
              <w:left w:w="58" w:type="dxa"/>
              <w:right w:w="115" w:type="dxa"/>
            </w:tcMar>
          </w:tcPr>
          <w:p w14:paraId="7EB2EFE8" w14:textId="77777777" w:rsidR="00E44576" w:rsidRPr="001570EA" w:rsidRDefault="00E44576">
            <w:pPr>
              <w:pStyle w:val="TableCell"/>
              <w:tabs>
                <w:tab w:val="clear" w:pos="720"/>
              </w:tabs>
              <w:spacing w:before="60" w:after="60"/>
              <w:jc w:val="center"/>
            </w:pPr>
            <w:r w:rsidRPr="001570EA">
              <w:t>15,750</w:t>
            </w:r>
            <w:r w:rsidRPr="001570EA">
              <w:br/>
            </w:r>
            <w:r w:rsidRPr="001570EA">
              <w:rPr>
                <w:vertAlign w:val="superscript"/>
              </w:rPr>
              <w:t>Source 4</w:t>
            </w:r>
          </w:p>
        </w:tc>
        <w:tc>
          <w:tcPr>
            <w:tcW w:w="731" w:type="dxa"/>
          </w:tcPr>
          <w:p w14:paraId="31AAA2CD" w14:textId="77777777" w:rsidR="00E44576" w:rsidRPr="001570EA" w:rsidRDefault="00E44576">
            <w:pPr>
              <w:pStyle w:val="TableCell"/>
              <w:spacing w:before="60" w:after="60"/>
              <w:jc w:val="center"/>
            </w:pPr>
            <w:r w:rsidRPr="001570EA">
              <w:t>2</w:t>
            </w:r>
            <w:r w:rsidRPr="001570EA">
              <w:br/>
            </w:r>
            <w:r w:rsidRPr="001570EA">
              <w:rPr>
                <w:vertAlign w:val="superscript"/>
              </w:rPr>
              <w:t>Source 5</w:t>
            </w:r>
          </w:p>
        </w:tc>
        <w:tc>
          <w:tcPr>
            <w:tcW w:w="790" w:type="dxa"/>
          </w:tcPr>
          <w:p w14:paraId="7A344E56" w14:textId="77777777" w:rsidR="00E44576" w:rsidRPr="001570EA" w:rsidRDefault="00E44576">
            <w:pPr>
              <w:pStyle w:val="TableCell"/>
              <w:tabs>
                <w:tab w:val="clear" w:pos="720"/>
              </w:tabs>
              <w:spacing w:before="60" w:after="60"/>
              <w:jc w:val="center"/>
            </w:pPr>
            <w:r w:rsidRPr="001570EA">
              <w:t>6.3</w:t>
            </w:r>
            <w:r w:rsidRPr="001570EA">
              <w:br/>
            </w:r>
            <w:r w:rsidRPr="001570EA">
              <w:rPr>
                <w:vertAlign w:val="superscript"/>
              </w:rPr>
              <w:t>Source 2</w:t>
            </w:r>
          </w:p>
        </w:tc>
        <w:tc>
          <w:tcPr>
            <w:tcW w:w="851" w:type="dxa"/>
          </w:tcPr>
          <w:p w14:paraId="43AE3E77" w14:textId="77777777" w:rsidR="00E44576" w:rsidRPr="001570EA" w:rsidRDefault="00E44576">
            <w:pPr>
              <w:pStyle w:val="TableCell"/>
              <w:tabs>
                <w:tab w:val="clear" w:pos="720"/>
              </w:tabs>
              <w:spacing w:before="60" w:after="60"/>
              <w:jc w:val="center"/>
            </w:pPr>
            <w:r w:rsidRPr="001570EA">
              <w:t>0.31</w:t>
            </w:r>
            <w:r w:rsidRPr="001570EA">
              <w:br/>
            </w:r>
            <w:r w:rsidRPr="001570EA">
              <w:rPr>
                <w:vertAlign w:val="superscript"/>
              </w:rPr>
              <w:t>Source 9</w:t>
            </w:r>
          </w:p>
        </w:tc>
        <w:tc>
          <w:tcPr>
            <w:tcW w:w="697" w:type="dxa"/>
          </w:tcPr>
          <w:p w14:paraId="0E9F3393" w14:textId="77777777" w:rsidR="00E44576" w:rsidRPr="001570EA" w:rsidRDefault="00E44576">
            <w:pPr>
              <w:pStyle w:val="TableCell"/>
              <w:tabs>
                <w:tab w:val="clear" w:pos="720"/>
              </w:tabs>
              <w:spacing w:before="60" w:after="60"/>
              <w:jc w:val="center"/>
            </w:pPr>
            <w:r w:rsidRPr="001570EA">
              <w:t>1</w:t>
            </w:r>
            <w:r w:rsidRPr="001570EA">
              <w:br/>
            </w:r>
            <w:r w:rsidRPr="001570EA">
              <w:rPr>
                <w:vertAlign w:val="superscript"/>
              </w:rPr>
              <w:t>Source 6</w:t>
            </w:r>
          </w:p>
        </w:tc>
      </w:tr>
      <w:tr w:rsidR="00E44576" w:rsidRPr="001570EA" w14:paraId="5C1DE06B" w14:textId="77777777">
        <w:trPr>
          <w:trHeight w:val="374"/>
        </w:trPr>
        <w:tc>
          <w:tcPr>
            <w:tcW w:w="1839" w:type="dxa"/>
          </w:tcPr>
          <w:p w14:paraId="2FF13C32" w14:textId="77777777" w:rsidR="00E44576" w:rsidRPr="001570EA" w:rsidRDefault="00E44576">
            <w:pPr>
              <w:pStyle w:val="TableCell"/>
              <w:tabs>
                <w:tab w:val="clear" w:pos="720"/>
              </w:tabs>
              <w:spacing w:before="60" w:after="60"/>
              <w:jc w:val="center"/>
            </w:pPr>
            <w:r w:rsidRPr="001570EA">
              <w:rPr>
                <w:rFonts w:cs="Arial"/>
                <w:szCs w:val="18"/>
              </w:rPr>
              <w:t>Above-ground</w:t>
            </w:r>
            <w:r w:rsidRPr="001570EA">
              <w:t xml:space="preserve"> Pool</w:t>
            </w:r>
          </w:p>
        </w:tc>
        <w:tc>
          <w:tcPr>
            <w:tcW w:w="787" w:type="dxa"/>
          </w:tcPr>
          <w:p w14:paraId="549F10E5" w14:textId="77777777" w:rsidR="00E44576" w:rsidRPr="001570EA" w:rsidRDefault="00E44576">
            <w:pPr>
              <w:pStyle w:val="TableCell"/>
              <w:tabs>
                <w:tab w:val="clear" w:pos="720"/>
              </w:tabs>
              <w:spacing w:before="60" w:after="60"/>
              <w:jc w:val="center"/>
            </w:pPr>
            <w:r w:rsidRPr="001570EA">
              <w:t>0.72</w:t>
            </w:r>
            <w:r w:rsidRPr="001570EA">
              <w:br/>
            </w:r>
            <w:r w:rsidRPr="001570EA">
              <w:rPr>
                <w:vertAlign w:val="superscript"/>
              </w:rPr>
              <w:t>Source 2</w:t>
            </w:r>
          </w:p>
        </w:tc>
        <w:tc>
          <w:tcPr>
            <w:tcW w:w="763" w:type="dxa"/>
          </w:tcPr>
          <w:p w14:paraId="75580D03" w14:textId="77777777" w:rsidR="00E44576" w:rsidRPr="001570EA" w:rsidRDefault="00E44576">
            <w:pPr>
              <w:pStyle w:val="TableCell"/>
              <w:tabs>
                <w:tab w:val="clear" w:pos="720"/>
              </w:tabs>
              <w:spacing w:before="60" w:after="60"/>
              <w:jc w:val="center"/>
            </w:pPr>
            <w:r w:rsidRPr="001570EA">
              <w:t>3.15</w:t>
            </w:r>
            <w:r w:rsidRPr="001570EA">
              <w:br/>
            </w:r>
            <w:r w:rsidRPr="001570EA">
              <w:rPr>
                <w:vertAlign w:val="superscript"/>
              </w:rPr>
              <w:t>Source 3</w:t>
            </w:r>
          </w:p>
        </w:tc>
        <w:tc>
          <w:tcPr>
            <w:tcW w:w="739" w:type="dxa"/>
          </w:tcPr>
          <w:p w14:paraId="4DF8148A" w14:textId="77777777" w:rsidR="00E44576" w:rsidRPr="001570EA" w:rsidRDefault="00E44576">
            <w:pPr>
              <w:pStyle w:val="TableCell"/>
              <w:tabs>
                <w:tab w:val="clear" w:pos="720"/>
              </w:tabs>
              <w:spacing w:before="60" w:after="60"/>
              <w:jc w:val="center"/>
            </w:pPr>
            <w:r w:rsidRPr="001570EA">
              <w:t>122</w:t>
            </w:r>
            <w:r w:rsidRPr="001570EA">
              <w:br/>
            </w:r>
            <w:r w:rsidRPr="001570EA">
              <w:rPr>
                <w:vertAlign w:val="superscript"/>
              </w:rPr>
              <w:t>Source 2</w:t>
            </w:r>
          </w:p>
        </w:tc>
        <w:tc>
          <w:tcPr>
            <w:tcW w:w="767" w:type="dxa"/>
          </w:tcPr>
          <w:p w14:paraId="4138D410" w14:textId="77777777" w:rsidR="00E44576" w:rsidRPr="001570EA" w:rsidRDefault="00E44576">
            <w:pPr>
              <w:pStyle w:val="TableCell"/>
              <w:tabs>
                <w:tab w:val="clear" w:pos="720"/>
              </w:tabs>
              <w:spacing w:before="60" w:after="60"/>
              <w:jc w:val="center"/>
            </w:pPr>
            <w:r w:rsidRPr="001570EA">
              <w:t>7,540</w:t>
            </w:r>
            <w:r w:rsidRPr="001570EA">
              <w:br/>
            </w:r>
            <w:r w:rsidRPr="001570EA">
              <w:rPr>
                <w:vertAlign w:val="superscript"/>
              </w:rPr>
              <w:t>Source 7</w:t>
            </w:r>
          </w:p>
        </w:tc>
        <w:tc>
          <w:tcPr>
            <w:tcW w:w="731" w:type="dxa"/>
          </w:tcPr>
          <w:p w14:paraId="3C2C532A" w14:textId="77777777" w:rsidR="00E44576" w:rsidRPr="001570EA" w:rsidRDefault="00E44576">
            <w:pPr>
              <w:pStyle w:val="TableCell"/>
              <w:spacing w:before="60" w:after="60"/>
              <w:jc w:val="center"/>
            </w:pPr>
            <w:r w:rsidRPr="001570EA">
              <w:t>2</w:t>
            </w:r>
            <w:r w:rsidRPr="001570EA">
              <w:br/>
            </w:r>
            <w:r w:rsidRPr="001570EA">
              <w:rPr>
                <w:vertAlign w:val="superscript"/>
              </w:rPr>
              <w:t>Source 8</w:t>
            </w:r>
          </w:p>
        </w:tc>
        <w:tc>
          <w:tcPr>
            <w:tcW w:w="790" w:type="dxa"/>
          </w:tcPr>
          <w:p w14:paraId="0B7F3493" w14:textId="77777777" w:rsidR="00E44576" w:rsidRPr="001570EA" w:rsidRDefault="00E44576">
            <w:pPr>
              <w:pStyle w:val="TableCell"/>
              <w:tabs>
                <w:tab w:val="clear" w:pos="720"/>
              </w:tabs>
              <w:spacing w:before="60" w:after="60"/>
              <w:jc w:val="center"/>
            </w:pPr>
            <w:r w:rsidRPr="001570EA">
              <w:t>4.0</w:t>
            </w:r>
            <w:r w:rsidRPr="001570EA">
              <w:br/>
            </w:r>
            <w:r w:rsidRPr="001570EA">
              <w:rPr>
                <w:vertAlign w:val="superscript"/>
              </w:rPr>
              <w:t>Source 2</w:t>
            </w:r>
          </w:p>
        </w:tc>
        <w:tc>
          <w:tcPr>
            <w:tcW w:w="851" w:type="dxa"/>
          </w:tcPr>
          <w:p w14:paraId="2A10955D" w14:textId="77777777" w:rsidR="00E44576" w:rsidRPr="001570EA" w:rsidRDefault="00E44576">
            <w:pPr>
              <w:pStyle w:val="TableCell"/>
              <w:tabs>
                <w:tab w:val="clear" w:pos="720"/>
              </w:tabs>
              <w:spacing w:before="60" w:after="60"/>
              <w:jc w:val="center"/>
            </w:pPr>
            <w:r w:rsidRPr="001570EA">
              <w:t>0.31</w:t>
            </w:r>
            <w:r w:rsidRPr="001570EA">
              <w:br/>
            </w:r>
            <w:r w:rsidRPr="001570EA">
              <w:rPr>
                <w:vertAlign w:val="superscript"/>
              </w:rPr>
              <w:t>Source 9</w:t>
            </w:r>
          </w:p>
        </w:tc>
        <w:tc>
          <w:tcPr>
            <w:tcW w:w="697" w:type="dxa"/>
          </w:tcPr>
          <w:p w14:paraId="593EDFD5" w14:textId="77777777" w:rsidR="00E44576" w:rsidRPr="001570EA" w:rsidRDefault="00E44576">
            <w:pPr>
              <w:pStyle w:val="TableCell"/>
              <w:tabs>
                <w:tab w:val="clear" w:pos="720"/>
              </w:tabs>
              <w:spacing w:before="60" w:after="60"/>
              <w:jc w:val="center"/>
            </w:pPr>
            <w:r w:rsidRPr="001570EA">
              <w:t>1</w:t>
            </w:r>
            <w:r w:rsidRPr="001570EA">
              <w:br/>
            </w:r>
            <w:r w:rsidRPr="001570EA">
              <w:rPr>
                <w:vertAlign w:val="superscript"/>
              </w:rPr>
              <w:t>Source 6</w:t>
            </w:r>
          </w:p>
        </w:tc>
      </w:tr>
    </w:tbl>
    <w:p w14:paraId="0137543F" w14:textId="77777777" w:rsidR="00E44576" w:rsidRPr="001570EA" w:rsidRDefault="00E44576" w:rsidP="00E44576">
      <w:pPr>
        <w:tabs>
          <w:tab w:val="left" w:pos="720"/>
        </w:tabs>
        <w:spacing w:before="120"/>
        <w:rPr>
          <w:rFonts w:cs="Arial"/>
        </w:rPr>
      </w:pPr>
    </w:p>
    <w:p w14:paraId="42A7B387" w14:textId="77777777" w:rsidR="00E44576" w:rsidRPr="001570EA" w:rsidRDefault="00E44576" w:rsidP="00E44576">
      <w:pPr>
        <w:pStyle w:val="SubStyle"/>
      </w:pPr>
      <w:r w:rsidRPr="001570EA">
        <w:t>Default Savings</w:t>
      </w:r>
    </w:p>
    <w:p w14:paraId="369F1631" w14:textId="7A9DE804" w:rsidR="00E44576" w:rsidRPr="001570EA" w:rsidRDefault="00E44576" w:rsidP="00E44576">
      <w:pPr>
        <w:tabs>
          <w:tab w:val="left" w:pos="720"/>
        </w:tabs>
        <w:spacing w:before="120"/>
        <w:rPr>
          <w:rFonts w:cs="Arial"/>
        </w:rPr>
      </w:pPr>
      <w:r w:rsidRPr="001570EA">
        <w:rPr>
          <w:rFonts w:cs="Arial"/>
        </w:rPr>
        <w:t>Default energy and demand savings for a 0.72 hhp (1–1.4 HP equivalent)</w:t>
      </w:r>
      <w:r w:rsidRPr="001570EA">
        <w:rPr>
          <w:rFonts w:cs="Arial"/>
          <w:vertAlign w:val="superscript"/>
        </w:rPr>
        <w:t>Source 2</w:t>
      </w:r>
      <w:r w:rsidRPr="001570EA">
        <w:rPr>
          <w:rFonts w:cs="Arial"/>
        </w:rPr>
        <w:t xml:space="preserve"> motor are shown in </w:t>
      </w:r>
      <w:r w:rsidRPr="001570EA">
        <w:rPr>
          <w:rFonts w:cs="Arial"/>
        </w:rPr>
        <w:fldChar w:fldCharType="begin"/>
      </w:r>
      <w:r w:rsidRPr="001570EA">
        <w:rPr>
          <w:rFonts w:cs="Arial"/>
        </w:rPr>
        <w:instrText xml:space="preserve"> REF _Ref157424255 \h </w:instrText>
      </w:r>
      <w:r w:rsidR="001570EA">
        <w:rPr>
          <w:rFonts w:cs="Arial"/>
        </w:rPr>
        <w:instrText xml:space="preserve"> \* MERGEFORMAT </w:instrText>
      </w:r>
      <w:r w:rsidRPr="001570EA">
        <w:rPr>
          <w:rFonts w:cs="Arial"/>
        </w:rPr>
      </w:r>
      <w:r w:rsidRPr="001570EA">
        <w:rPr>
          <w:rFonts w:cs="Arial"/>
        </w:rPr>
        <w:fldChar w:fldCharType="separate"/>
      </w:r>
      <w:r w:rsidR="00234C6C" w:rsidRPr="001570EA">
        <w:t xml:space="preserve">Table </w:t>
      </w:r>
      <w:r w:rsidR="00234C6C" w:rsidRPr="001570EA">
        <w:rPr>
          <w:noProof/>
        </w:rPr>
        <w:t>2</w:t>
      </w:r>
      <w:r w:rsidR="00234C6C" w:rsidRPr="001570EA">
        <w:noBreakHyphen/>
      </w:r>
      <w:r w:rsidR="00234C6C" w:rsidRPr="001570EA">
        <w:rPr>
          <w:noProof/>
        </w:rPr>
        <w:t>175</w:t>
      </w:r>
      <w:r w:rsidRPr="001570EA">
        <w:rPr>
          <w:rFonts w:cs="Arial"/>
        </w:rPr>
        <w:fldChar w:fldCharType="end"/>
      </w:r>
      <w:r w:rsidRPr="001570EA">
        <w:rPr>
          <w:rFonts w:cs="Arial"/>
        </w:rPr>
        <w:t>, including those for the installation of a default ENERGY STAR pool pump from 2.8.1. However, you are encouraged to complete your own calculations for an ENERGY STAR installation to capture the full savings of higher efficiency pumps. Also note that the savings from 2.8.1 ENERGY STAR Pool Pumps extend for another 6.7 years beyond the life of this measure.</w:t>
      </w:r>
    </w:p>
    <w:p w14:paraId="10231412" w14:textId="77777777" w:rsidR="00E44576" w:rsidRPr="001570EA" w:rsidRDefault="00E44576" w:rsidP="00E44576">
      <w:pPr>
        <w:tabs>
          <w:tab w:val="left" w:pos="720"/>
        </w:tabs>
        <w:rPr>
          <w:rFonts w:cs="Arial"/>
        </w:rPr>
      </w:pPr>
    </w:p>
    <w:p w14:paraId="2CC5A7D8" w14:textId="7BCD7AEE" w:rsidR="00E44576" w:rsidRPr="001570EA" w:rsidRDefault="00E44576" w:rsidP="00E44576">
      <w:pPr>
        <w:pStyle w:val="Caption"/>
        <w:spacing w:before="120"/>
      </w:pPr>
      <w:bookmarkStart w:id="1278" w:name="_Ref157424255"/>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2E093A"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2E093A" w:rsidRPr="001570EA">
        <w:rPr>
          <w:noProof/>
        </w:rPr>
        <w:t>175</w:t>
      </w:r>
      <w:r w:rsidR="002E093A" w:rsidRPr="001570EA">
        <w:fldChar w:fldCharType="end"/>
      </w:r>
      <w:bookmarkEnd w:id="1278"/>
      <w:r w:rsidRPr="001570EA">
        <w:rPr>
          <w:noProof/>
        </w:rPr>
        <w:t>: Default Variable Speed Pool Pump Savings</w:t>
      </w:r>
    </w:p>
    <w:tbl>
      <w:tblPr>
        <w:tblW w:w="6015" w:type="dxa"/>
        <w:tblInd w:w="-25" w:type="dxa"/>
        <w:tblLook w:val="04A0" w:firstRow="1" w:lastRow="0" w:firstColumn="1" w:lastColumn="0" w:noHBand="0" w:noVBand="1"/>
      </w:tblPr>
      <w:tblGrid>
        <w:gridCol w:w="3814"/>
        <w:gridCol w:w="1060"/>
        <w:gridCol w:w="1141"/>
      </w:tblGrid>
      <w:tr w:rsidR="00E44576" w:rsidRPr="001570EA" w14:paraId="17635244" w14:textId="77777777" w:rsidTr="002C00D5">
        <w:trPr>
          <w:trHeight w:val="525"/>
        </w:trPr>
        <w:tc>
          <w:tcPr>
            <w:tcW w:w="39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C4D0E0" w14:textId="77777777" w:rsidR="00E44576" w:rsidRPr="001570EA" w:rsidRDefault="00E44576">
            <w:pPr>
              <w:jc w:val="center"/>
              <w:rPr>
                <w:rFonts w:cs="Arial"/>
                <w:b/>
                <w:bCs/>
                <w:color w:val="000000"/>
                <w:sz w:val="18"/>
                <w:szCs w:val="18"/>
              </w:rPr>
            </w:pPr>
            <w:r w:rsidRPr="001570EA">
              <w:rPr>
                <w:rFonts w:cs="Arial"/>
                <w:b/>
                <w:bCs/>
                <w:color w:val="000000"/>
                <w:sz w:val="18"/>
                <w:szCs w:val="18"/>
              </w:rPr>
              <w:t>Pump Type</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8DFF2F" w14:textId="77777777" w:rsidR="00E44576" w:rsidRPr="001570EA" w:rsidRDefault="00E44576">
            <w:pPr>
              <w:jc w:val="center"/>
              <w:rPr>
                <w:rFonts w:cs="Arial"/>
                <w:b/>
                <w:bCs/>
                <w:color w:val="000000"/>
                <w:sz w:val="18"/>
                <w:szCs w:val="18"/>
              </w:rPr>
            </w:pPr>
            <w:r w:rsidRPr="001570EA">
              <w:rPr>
                <w:rFonts w:cs="Arial"/>
                <w:sz w:val="18"/>
                <w:szCs w:val="18"/>
              </w:rPr>
              <w:t>Δ</w:t>
            </w:r>
            <w:r w:rsidRPr="001570EA">
              <w:rPr>
                <w:rFonts w:cs="Arial"/>
                <w:b/>
                <w:bCs/>
                <w:color w:val="000000"/>
                <w:sz w:val="18"/>
                <w:szCs w:val="18"/>
              </w:rPr>
              <w:t>kWh</w:t>
            </w: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8397CD" w14:textId="77777777" w:rsidR="00E44576" w:rsidRPr="001570EA" w:rsidRDefault="00E44576">
            <w:pPr>
              <w:jc w:val="center"/>
              <w:rPr>
                <w:rFonts w:cs="Arial"/>
                <w:b/>
                <w:bCs/>
                <w:color w:val="000000"/>
                <w:sz w:val="18"/>
                <w:szCs w:val="18"/>
              </w:rPr>
            </w:pPr>
            <w:r w:rsidRPr="001570EA">
              <w:rPr>
                <w:rFonts w:cs="Arial"/>
                <w:b/>
                <w:bCs/>
                <w:sz w:val="18"/>
                <w:szCs w:val="18"/>
              </w:rPr>
              <w:t>Δ</w:t>
            </w:r>
            <w:r w:rsidRPr="001570EA">
              <w:rPr>
                <w:rFonts w:cs="Arial"/>
                <w:b/>
                <w:bCs/>
                <w:color w:val="000000"/>
                <w:sz w:val="18"/>
                <w:szCs w:val="18"/>
              </w:rPr>
              <w:t>k</w:t>
            </w:r>
            <w:r w:rsidRPr="001570EA">
              <w:rPr>
                <w:b/>
                <w:bCs/>
              </w:rPr>
              <w:t>W</w:t>
            </w:r>
            <w:r w:rsidRPr="001570EA">
              <w:rPr>
                <w:b/>
                <w:bCs/>
                <w:vertAlign w:val="subscript"/>
              </w:rPr>
              <w:t>summer peak</w:t>
            </w:r>
          </w:p>
        </w:tc>
      </w:tr>
      <w:tr w:rsidR="00E44576" w:rsidRPr="001570EA" w14:paraId="32AC08CE" w14:textId="77777777" w:rsidTr="002C00D5">
        <w:trPr>
          <w:trHeight w:val="317"/>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7B66B" w14:textId="77777777" w:rsidR="00E44576" w:rsidRPr="001570EA" w:rsidRDefault="00E44576">
            <w:pPr>
              <w:rPr>
                <w:rFonts w:cs="Arial"/>
                <w:color w:val="000000"/>
                <w:sz w:val="18"/>
                <w:szCs w:val="18"/>
              </w:rPr>
            </w:pPr>
            <w:r w:rsidRPr="001570EA">
              <w:rPr>
                <w:rFonts w:cs="Arial"/>
                <w:sz w:val="18"/>
                <w:szCs w:val="18"/>
              </w:rPr>
              <w:t>Non-ENERGY STAR In-ground Pool</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7FE1E28" w14:textId="77777777" w:rsidR="00E44576" w:rsidRPr="001570EA" w:rsidRDefault="00E44576">
            <w:pPr>
              <w:jc w:val="center"/>
              <w:rPr>
                <w:rFonts w:cs="Arial"/>
                <w:color w:val="000000"/>
                <w:sz w:val="18"/>
                <w:szCs w:val="18"/>
              </w:rPr>
            </w:pPr>
            <w:r w:rsidRPr="001570EA">
              <w:rPr>
                <w:sz w:val="18"/>
                <w:szCs w:val="18"/>
              </w:rPr>
              <w:t>1,170</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AD7C4F7" w14:textId="77777777" w:rsidR="00E44576" w:rsidRPr="001570EA" w:rsidRDefault="00E44576">
            <w:pPr>
              <w:jc w:val="center"/>
              <w:rPr>
                <w:rFonts w:cs="Arial"/>
                <w:color w:val="000000"/>
                <w:sz w:val="18"/>
                <w:szCs w:val="18"/>
              </w:rPr>
            </w:pPr>
            <w:r w:rsidRPr="001570EA">
              <w:rPr>
                <w:sz w:val="18"/>
                <w:szCs w:val="18"/>
              </w:rPr>
              <w:t>0.5041</w:t>
            </w:r>
          </w:p>
        </w:tc>
      </w:tr>
      <w:tr w:rsidR="00E44576" w:rsidRPr="001570EA" w14:paraId="5D9DF6B8" w14:textId="77777777" w:rsidTr="002C00D5">
        <w:trPr>
          <w:trHeight w:val="317"/>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A8ED8" w14:textId="77777777" w:rsidR="00E44576" w:rsidRPr="001570EA" w:rsidRDefault="00E44576">
            <w:pPr>
              <w:rPr>
                <w:rFonts w:cs="Arial"/>
                <w:color w:val="000000"/>
                <w:sz w:val="18"/>
                <w:szCs w:val="18"/>
              </w:rPr>
            </w:pPr>
            <w:r w:rsidRPr="001570EA">
              <w:rPr>
                <w:rFonts w:cs="Arial"/>
                <w:sz w:val="18"/>
                <w:szCs w:val="18"/>
              </w:rPr>
              <w:t>Non-ENERGY STAR Above-ground Pool</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7A6BD4D" w14:textId="77777777" w:rsidR="00E44576" w:rsidRPr="001570EA" w:rsidRDefault="00E44576">
            <w:pPr>
              <w:jc w:val="center"/>
              <w:rPr>
                <w:rFonts w:cs="Arial"/>
                <w:color w:val="000000"/>
                <w:sz w:val="18"/>
                <w:szCs w:val="18"/>
              </w:rPr>
            </w:pPr>
            <w:r w:rsidRPr="001570EA">
              <w:rPr>
                <w:sz w:val="18"/>
                <w:szCs w:val="18"/>
              </w:rPr>
              <w:t>226</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2B8FBBB" w14:textId="77777777" w:rsidR="00E44576" w:rsidRPr="001570EA" w:rsidRDefault="00E44576">
            <w:pPr>
              <w:jc w:val="center"/>
              <w:rPr>
                <w:rFonts w:cs="Arial"/>
                <w:color w:val="000000"/>
                <w:sz w:val="18"/>
                <w:szCs w:val="18"/>
              </w:rPr>
            </w:pPr>
            <w:r w:rsidRPr="001570EA">
              <w:rPr>
                <w:sz w:val="18"/>
                <w:szCs w:val="18"/>
              </w:rPr>
              <w:t>0.3153</w:t>
            </w:r>
          </w:p>
        </w:tc>
      </w:tr>
      <w:tr w:rsidR="00E44576" w:rsidRPr="001570EA" w14:paraId="2261FAE7" w14:textId="77777777" w:rsidTr="002C00D5">
        <w:trPr>
          <w:trHeight w:val="317"/>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100EDD1E" w14:textId="77777777" w:rsidR="00E44576" w:rsidRPr="001570EA" w:rsidRDefault="00E44576">
            <w:pPr>
              <w:rPr>
                <w:rFonts w:cs="Arial"/>
                <w:sz w:val="18"/>
                <w:szCs w:val="18"/>
              </w:rPr>
            </w:pPr>
            <w:r w:rsidRPr="001570EA">
              <w:rPr>
                <w:rFonts w:cs="Arial"/>
                <w:sz w:val="18"/>
                <w:szCs w:val="18"/>
              </w:rPr>
              <w:t>ENERGY STAR In-ground Pool</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458D6F" w14:textId="77777777" w:rsidR="00E44576" w:rsidRPr="001570EA" w:rsidRDefault="00E44576">
            <w:pPr>
              <w:jc w:val="center"/>
              <w:rPr>
                <w:rFonts w:cs="Arial"/>
                <w:color w:val="000000"/>
                <w:sz w:val="18"/>
                <w:szCs w:val="18"/>
              </w:rPr>
            </w:pPr>
            <w:r w:rsidRPr="001570EA">
              <w:rPr>
                <w:sz w:val="18"/>
                <w:szCs w:val="18"/>
              </w:rPr>
              <w:t>1,275</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84FA460" w14:textId="77777777" w:rsidR="00E44576" w:rsidRPr="001570EA" w:rsidRDefault="00E44576">
            <w:pPr>
              <w:jc w:val="center"/>
              <w:rPr>
                <w:rFonts w:cs="Arial"/>
                <w:color w:val="000000"/>
                <w:sz w:val="18"/>
                <w:szCs w:val="18"/>
              </w:rPr>
            </w:pPr>
            <w:r w:rsidRPr="001570EA">
              <w:rPr>
                <w:sz w:val="18"/>
                <w:szCs w:val="18"/>
              </w:rPr>
              <w:t>0.5402</w:t>
            </w:r>
          </w:p>
        </w:tc>
      </w:tr>
      <w:tr w:rsidR="00E44576" w:rsidRPr="001570EA" w14:paraId="41DB9A40" w14:textId="77777777" w:rsidTr="002C00D5">
        <w:trPr>
          <w:trHeight w:val="317"/>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23E3257E" w14:textId="77777777" w:rsidR="00E44576" w:rsidRPr="001570EA" w:rsidRDefault="00E44576">
            <w:pPr>
              <w:rPr>
                <w:rFonts w:cs="Arial"/>
                <w:sz w:val="18"/>
                <w:szCs w:val="18"/>
              </w:rPr>
            </w:pPr>
            <w:r w:rsidRPr="001570EA">
              <w:rPr>
                <w:rFonts w:cs="Arial"/>
                <w:sz w:val="18"/>
                <w:szCs w:val="18"/>
              </w:rPr>
              <w:t>ENERGY STAR Above-ground Pool</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C2227BE" w14:textId="77777777" w:rsidR="00E44576" w:rsidRPr="001570EA" w:rsidRDefault="00E44576">
            <w:pPr>
              <w:jc w:val="center"/>
              <w:rPr>
                <w:rFonts w:cs="Arial"/>
                <w:color w:val="000000"/>
                <w:sz w:val="18"/>
                <w:szCs w:val="18"/>
              </w:rPr>
            </w:pPr>
            <w:r w:rsidRPr="001570EA">
              <w:rPr>
                <w:sz w:val="18"/>
                <w:szCs w:val="18"/>
              </w:rPr>
              <w:t>371</w:t>
            </w: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55B7D1D" w14:textId="77777777" w:rsidR="00E44576" w:rsidRPr="001570EA" w:rsidRDefault="00E44576">
            <w:pPr>
              <w:jc w:val="center"/>
              <w:rPr>
                <w:rFonts w:cs="Arial"/>
                <w:color w:val="000000"/>
                <w:sz w:val="18"/>
                <w:szCs w:val="18"/>
              </w:rPr>
            </w:pPr>
            <w:r w:rsidRPr="001570EA">
              <w:rPr>
                <w:sz w:val="18"/>
                <w:szCs w:val="18"/>
              </w:rPr>
              <w:t>0.3646</w:t>
            </w:r>
          </w:p>
        </w:tc>
      </w:tr>
    </w:tbl>
    <w:p w14:paraId="20B9657D" w14:textId="77777777" w:rsidR="00E44576" w:rsidRPr="001570EA" w:rsidRDefault="00E44576" w:rsidP="00E44576"/>
    <w:p w14:paraId="0F819170" w14:textId="77777777" w:rsidR="00E44576" w:rsidRPr="001570EA" w:rsidRDefault="00E44576" w:rsidP="00E44576">
      <w:pPr>
        <w:pStyle w:val="SubStyle"/>
      </w:pPr>
      <w:r w:rsidRPr="001570EA">
        <w:t>Evaluation Protocol</w:t>
      </w:r>
    </w:p>
    <w:p w14:paraId="78B52989" w14:textId="24D02A3F" w:rsidR="00E44576" w:rsidRPr="001570EA" w:rsidRDefault="00E44576" w:rsidP="00E44576">
      <w:pPr>
        <w:spacing w:before="120"/>
        <w:rPr>
          <w:rFonts w:cs="Arial"/>
        </w:rPr>
      </w:pPr>
      <w:r w:rsidRPr="001570EA">
        <w:rPr>
          <w:rFonts w:cs="Arial"/>
        </w:rPr>
        <w:t>The most appropriate evaluation protocol for this measure is verification of installation coupled with survey on run time and speed settings. It may be helpful to work with pool service professionals in addition to surveying customers to obtain pump settings, as some customers may not be comfortable operating their pump controls. Working with a pool service professional may enable the evaluator to obtain more data points and more accurate data.</w:t>
      </w:r>
    </w:p>
    <w:p w14:paraId="60F17891" w14:textId="77777777" w:rsidR="007653B6" w:rsidRPr="001570EA" w:rsidRDefault="007653B6">
      <w:pPr>
        <w:jc w:val="left"/>
        <w:rPr>
          <w:rFonts w:cs="Arial"/>
        </w:rPr>
      </w:pPr>
      <w:r w:rsidRPr="001570EA">
        <w:rPr>
          <w:rFonts w:cs="Arial"/>
        </w:rPr>
        <w:br w:type="page"/>
      </w:r>
    </w:p>
    <w:p w14:paraId="0B2BF262" w14:textId="77777777" w:rsidR="00E44576" w:rsidRPr="001570EA" w:rsidRDefault="00E44576" w:rsidP="00E44576">
      <w:pPr>
        <w:pStyle w:val="SubStyle"/>
      </w:pPr>
      <w:r w:rsidRPr="001570EA">
        <w:t>Sources</w:t>
      </w:r>
    </w:p>
    <w:p w14:paraId="2FFE4A4E" w14:textId="34AF07A6" w:rsidR="00E44576" w:rsidRPr="001570EA" w:rsidRDefault="00E44576" w:rsidP="00152CD6">
      <w:pPr>
        <w:pStyle w:val="source10"/>
        <w:numPr>
          <w:ilvl w:val="0"/>
          <w:numId w:val="82"/>
        </w:numPr>
        <w:spacing w:after="120"/>
        <w:ind w:left="360" w:hanging="360"/>
        <w:jc w:val="left"/>
      </w:pPr>
      <w:r w:rsidRPr="001570EA">
        <w:t>California Electronic Technical Reference Manual: (2019). “VSD for Pool &amp; Spa Pump”. California Technical Forum. Retrieved February 4, 2022</w:t>
      </w:r>
      <w:r w:rsidR="00B130D6">
        <w:t>.</w:t>
      </w:r>
      <w:r w:rsidRPr="001570EA">
        <w:t xml:space="preserve"> </w:t>
      </w:r>
      <w:hyperlink r:id="rId415" w:history="1">
        <w:r w:rsidR="00B130D6" w:rsidRPr="00B130D6">
          <w:rPr>
            <w:rStyle w:val="Hyperlink"/>
            <w:rFonts w:cs="Arial"/>
          </w:rPr>
          <w:t>Weblink</w:t>
        </w:r>
      </w:hyperlink>
      <w:r w:rsidR="00B130D6" w:rsidRPr="001570EA">
        <w:t xml:space="preserve"> </w:t>
      </w:r>
    </w:p>
    <w:p w14:paraId="49756EB9" w14:textId="5F9B9261" w:rsidR="00E44576" w:rsidRPr="00373FB6" w:rsidRDefault="00E44576" w:rsidP="00152CD6">
      <w:pPr>
        <w:pStyle w:val="source10"/>
        <w:numPr>
          <w:ilvl w:val="0"/>
          <w:numId w:val="82"/>
        </w:numPr>
        <w:spacing w:after="120"/>
        <w:ind w:left="360" w:hanging="360"/>
        <w:jc w:val="left"/>
      </w:pPr>
      <w:r w:rsidRPr="00373FB6">
        <w:t>U.S. EPA. (2020). ENERGY STAR Pool Pump Calculator. Retrieved July 31, 2020</w:t>
      </w:r>
      <w:r w:rsidR="00506BC6" w:rsidRPr="00373FB6">
        <w:t>.</w:t>
      </w:r>
      <w:r w:rsidRPr="00373FB6">
        <w:t xml:space="preserve"> </w:t>
      </w:r>
      <w:hyperlink r:id="rId416" w:history="1">
        <w:r w:rsidR="00506BC6" w:rsidRPr="008D0931">
          <w:rPr>
            <w:rStyle w:val="Hyperlink"/>
            <w:rFonts w:cs="Arial"/>
          </w:rPr>
          <w:t>Weblink</w:t>
        </w:r>
      </w:hyperlink>
      <w:r w:rsidR="00506BC6" w:rsidRPr="00373FB6">
        <w:t xml:space="preserve"> </w:t>
      </w:r>
    </w:p>
    <w:p w14:paraId="392587A0" w14:textId="61B526A1" w:rsidR="00E44576" w:rsidRPr="00597241" w:rsidRDefault="00373FB6" w:rsidP="00152CD6">
      <w:pPr>
        <w:pStyle w:val="source10"/>
        <w:numPr>
          <w:ilvl w:val="0"/>
          <w:numId w:val="82"/>
        </w:numPr>
        <w:spacing w:after="120"/>
        <w:ind w:left="360" w:hanging="360"/>
        <w:jc w:val="left"/>
      </w:pPr>
      <w:r w:rsidRPr="00597241">
        <w:rPr>
          <w:rStyle w:val="Hyperlink"/>
          <w:rFonts w:cs="Arial"/>
          <w:color w:val="auto"/>
          <w:u w:val="none"/>
        </w:rPr>
        <w:t>10 CFR 431.465(f)</w:t>
      </w:r>
      <w:r w:rsidR="007A0BFD">
        <w:t xml:space="preserve"> </w:t>
      </w:r>
      <w:hyperlink r:id="rId417" w:anchor="p-431.465(f)" w:history="1">
        <w:r w:rsidR="007A0BFD" w:rsidRPr="007A0BFD">
          <w:rPr>
            <w:rStyle w:val="Hyperlink"/>
            <w:rFonts w:cs="Arial"/>
          </w:rPr>
          <w:t>Weblink</w:t>
        </w:r>
      </w:hyperlink>
    </w:p>
    <w:p w14:paraId="6FD0C57C" w14:textId="2F1421EC" w:rsidR="00E44576" w:rsidRPr="001570EA" w:rsidRDefault="00E44576" w:rsidP="00152CD6">
      <w:pPr>
        <w:pStyle w:val="source10"/>
        <w:numPr>
          <w:ilvl w:val="0"/>
          <w:numId w:val="82"/>
        </w:numPr>
        <w:spacing w:after="120"/>
        <w:ind w:left="360" w:hanging="360"/>
      </w:pPr>
      <w:r w:rsidRPr="00373FB6">
        <w:t xml:space="preserve">Engineering judgement. Source 1 Gives 15,700 gallons (15,754 in reference R802), </w:t>
      </w:r>
      <w:r w:rsidR="00392EFD" w:rsidRPr="00373FB6">
        <w:t>Source</w:t>
      </w:r>
      <w:r w:rsidRPr="00373FB6">
        <w:t xml:space="preserve"> 2 gi</w:t>
      </w:r>
      <w:r w:rsidRPr="001570EA">
        <w:t>ves 22,000 gallons, and Source 8 gives 15,147 gallons.</w:t>
      </w:r>
    </w:p>
    <w:p w14:paraId="37352760" w14:textId="46BE6437" w:rsidR="00E44576" w:rsidRPr="001570EA" w:rsidRDefault="00E44576" w:rsidP="00152CD6">
      <w:pPr>
        <w:pStyle w:val="source10"/>
        <w:numPr>
          <w:ilvl w:val="0"/>
          <w:numId w:val="82"/>
        </w:numPr>
        <w:spacing w:after="120"/>
        <w:ind w:left="360" w:hanging="360"/>
        <w:jc w:val="left"/>
      </w:pPr>
      <w:r w:rsidRPr="001570EA">
        <w:t>International Swimming Pool and Spa Code. (2015). Section 810.1. Retrieved February 4, 2022</w:t>
      </w:r>
      <w:r w:rsidR="007A0BFD">
        <w:t>.</w:t>
      </w:r>
      <w:r w:rsidRPr="001570EA">
        <w:t xml:space="preserve"> </w:t>
      </w:r>
      <w:hyperlink r:id="rId418" w:anchor="ISPSC2018_Ch08_Sec810.1" w:history="1">
        <w:r w:rsidR="007A0BFD" w:rsidRPr="007A0BFD">
          <w:rPr>
            <w:rStyle w:val="Hyperlink"/>
            <w:rFonts w:cs="Arial"/>
          </w:rPr>
          <w:t>Weblink</w:t>
        </w:r>
      </w:hyperlink>
      <w:r w:rsidR="007A0BFD" w:rsidRPr="001570EA">
        <w:t xml:space="preserve"> </w:t>
      </w:r>
    </w:p>
    <w:p w14:paraId="0D345523" w14:textId="096E0C91" w:rsidR="00E44576" w:rsidRPr="001570EA" w:rsidRDefault="00E44576" w:rsidP="00152CD6">
      <w:pPr>
        <w:pStyle w:val="source10"/>
        <w:numPr>
          <w:ilvl w:val="0"/>
          <w:numId w:val="82"/>
        </w:numPr>
        <w:spacing w:after="120"/>
        <w:ind w:left="360" w:hanging="360"/>
      </w:pPr>
      <w:r w:rsidRPr="001570EA">
        <w:t>To maximize energy savings</w:t>
      </w:r>
      <w:r w:rsidR="00F815C0">
        <w:t>,</w:t>
      </w:r>
      <w:r w:rsidRPr="001570EA">
        <w:t xml:space="preserve"> it is assumed that the pump runs 24 hours per day, which includes 100% of peak.</w:t>
      </w:r>
    </w:p>
    <w:p w14:paraId="2BB2C93A" w14:textId="4D4209EC" w:rsidR="00E44576" w:rsidRPr="001570EA" w:rsidRDefault="00E44576" w:rsidP="00152CD6">
      <w:pPr>
        <w:pStyle w:val="source10"/>
        <w:numPr>
          <w:ilvl w:val="0"/>
          <w:numId w:val="82"/>
        </w:numPr>
        <w:spacing w:after="120"/>
        <w:ind w:left="360" w:hanging="360"/>
      </w:pPr>
      <w:r w:rsidRPr="00597241">
        <w:rPr>
          <w:lang w:val="fr-FR"/>
        </w:rPr>
        <w:t xml:space="preserve">Koeller, J., Hoffman, H.W., </w:t>
      </w:r>
      <w:r w:rsidRPr="00597241">
        <w:rPr>
          <w:i/>
          <w:lang w:val="fr-FR"/>
        </w:rPr>
        <w:t>et al</w:t>
      </w:r>
      <w:r w:rsidRPr="00597241">
        <w:rPr>
          <w:lang w:val="fr-FR"/>
        </w:rPr>
        <w:t xml:space="preserve">. </w:t>
      </w:r>
      <w:r w:rsidRPr="001570EA">
        <w:t>(2010). “Evaluation of Potential Best Management Practices - Pools, Spas, and Fountains.” Retrieved on February 21, 2022</w:t>
      </w:r>
      <w:r w:rsidR="0088348D">
        <w:t>.</w:t>
      </w:r>
      <w:r w:rsidRPr="001570EA">
        <w:t xml:space="preserve"> </w:t>
      </w:r>
      <w:hyperlink r:id="rId419" w:history="1">
        <w:r w:rsidR="0088348D" w:rsidRPr="0088348D">
          <w:rPr>
            <w:rStyle w:val="Hyperlink"/>
            <w:rFonts w:cs="Arial"/>
          </w:rPr>
          <w:t>Weblink</w:t>
        </w:r>
      </w:hyperlink>
      <w:r w:rsidR="0088348D" w:rsidRPr="001570EA">
        <w:t xml:space="preserve"> </w:t>
      </w:r>
    </w:p>
    <w:p w14:paraId="04DE81AD" w14:textId="79838483" w:rsidR="00E44576" w:rsidRPr="001570EA" w:rsidRDefault="00E44576" w:rsidP="00152CD6">
      <w:pPr>
        <w:pStyle w:val="source10"/>
        <w:numPr>
          <w:ilvl w:val="0"/>
          <w:numId w:val="82"/>
        </w:numPr>
        <w:spacing w:after="120"/>
        <w:ind w:left="360" w:hanging="360"/>
        <w:jc w:val="left"/>
      </w:pPr>
      <w:r w:rsidRPr="001570EA">
        <w:t>International Swimming Pool and Spa Code. (2015). Section 704.4. Accessed February 4, 2022.</w:t>
      </w:r>
      <w:r w:rsidR="00F439B4">
        <w:t xml:space="preserve"> </w:t>
      </w:r>
      <w:hyperlink r:id="rId420" w:anchor="ISPSC2018_Ch07_Sec704.4" w:history="1">
        <w:r w:rsidR="00F439B4" w:rsidRPr="00F439B4">
          <w:rPr>
            <w:rStyle w:val="Hyperlink"/>
            <w:rFonts w:cs="Arial"/>
          </w:rPr>
          <w:t>Weblink</w:t>
        </w:r>
      </w:hyperlink>
      <w:r w:rsidRPr="001570EA">
        <w:t xml:space="preserve"> </w:t>
      </w:r>
    </w:p>
    <w:p w14:paraId="672187E3" w14:textId="64D3F12D" w:rsidR="00E44576" w:rsidRPr="001570EA" w:rsidRDefault="00E44576" w:rsidP="00152CD6">
      <w:pPr>
        <w:pStyle w:val="source10"/>
        <w:numPr>
          <w:ilvl w:val="0"/>
          <w:numId w:val="82"/>
        </w:numPr>
        <w:spacing w:after="120"/>
        <w:ind w:left="360" w:hanging="360"/>
        <w:jc w:val="left"/>
      </w:pPr>
      <w:r w:rsidRPr="001570EA">
        <w:t xml:space="preserve">Southern California Edison. (2008). Pool Pump Demand Response Potential: Demand and Run-time Monitored Data. </w:t>
      </w:r>
      <w:r w:rsidR="00152E53">
        <w:t xml:space="preserve">Page 22, Table 16. </w:t>
      </w:r>
      <w:hyperlink r:id="rId421" w:history="1">
        <w:r w:rsidR="00F439B4" w:rsidRPr="00F439B4">
          <w:rPr>
            <w:rStyle w:val="Hyperlink"/>
            <w:rFonts w:cs="Arial"/>
          </w:rPr>
          <w:t>Weblink</w:t>
        </w:r>
      </w:hyperlink>
      <w:r w:rsidR="00F439B4" w:rsidRPr="001570EA">
        <w:t xml:space="preserve"> </w:t>
      </w:r>
    </w:p>
    <w:p w14:paraId="55AB8BF3" w14:textId="6D2B289F" w:rsidR="00564FC3" w:rsidRPr="001570EA" w:rsidRDefault="00564FC3">
      <w:pPr>
        <w:jc w:val="left"/>
        <w:rPr>
          <w:rFonts w:cs="Arial"/>
          <w:szCs w:val="20"/>
        </w:rPr>
      </w:pPr>
      <w:r w:rsidRPr="001570EA">
        <w:br w:type="page"/>
      </w:r>
    </w:p>
    <w:p w14:paraId="7A88357A" w14:textId="77777777" w:rsidR="00FC50E1" w:rsidRPr="001570EA" w:rsidRDefault="00FC50E1" w:rsidP="00FC50E1">
      <w:pPr>
        <w:pStyle w:val="Heading3"/>
      </w:pPr>
      <w:bookmarkStart w:id="1279" w:name="_Toc164786689"/>
      <w:r w:rsidRPr="001570EA">
        <w:t>Photovoltaic (PV) Solar Generation</w:t>
      </w:r>
      <w:bookmarkEnd w:id="1279"/>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546"/>
        <w:gridCol w:w="4966"/>
      </w:tblGrid>
      <w:tr w:rsidR="00FC50E1" w:rsidRPr="001570EA" w14:paraId="12C7D754" w14:textId="77777777">
        <w:tc>
          <w:tcPr>
            <w:tcW w:w="354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56787CEF" w14:textId="77777777" w:rsidR="00FC50E1" w:rsidRPr="001570EA" w:rsidRDefault="00FC50E1">
            <w:pPr>
              <w:pStyle w:val="TableCell"/>
              <w:spacing w:before="60" w:after="60"/>
              <w:jc w:val="left"/>
              <w:rPr>
                <w:b/>
                <w:bCs/>
                <w:color w:val="000000"/>
              </w:rPr>
            </w:pPr>
            <w:r w:rsidRPr="001570EA">
              <w:rPr>
                <w:b/>
                <w:bCs/>
                <w:color w:val="000000"/>
              </w:rPr>
              <w:t>Target Sector</w:t>
            </w:r>
          </w:p>
        </w:tc>
        <w:tc>
          <w:tcPr>
            <w:tcW w:w="496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675DC127" w14:textId="77777777" w:rsidR="00FC50E1" w:rsidRPr="001570EA" w:rsidRDefault="00FC50E1">
            <w:pPr>
              <w:pStyle w:val="TableCell"/>
              <w:spacing w:before="60" w:after="60"/>
              <w:jc w:val="center"/>
              <w:rPr>
                <w:color w:val="000000"/>
              </w:rPr>
            </w:pPr>
            <w:r w:rsidRPr="001570EA">
              <w:rPr>
                <w:color w:val="000000" w:themeColor="text1"/>
              </w:rPr>
              <w:t>Residential</w:t>
            </w:r>
          </w:p>
        </w:tc>
      </w:tr>
      <w:tr w:rsidR="00FC50E1" w:rsidRPr="001570EA" w14:paraId="728A9D25" w14:textId="77777777">
        <w:tc>
          <w:tcPr>
            <w:tcW w:w="354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vAlign w:val="center"/>
          </w:tcPr>
          <w:p w14:paraId="179C630C" w14:textId="77777777" w:rsidR="00FC50E1" w:rsidRPr="001570EA" w:rsidRDefault="00FC50E1">
            <w:pPr>
              <w:pStyle w:val="TableCell"/>
              <w:spacing w:before="60" w:after="60"/>
              <w:jc w:val="left"/>
              <w:rPr>
                <w:b/>
                <w:bCs/>
                <w:color w:val="000000"/>
              </w:rPr>
            </w:pPr>
            <w:r w:rsidRPr="001570EA">
              <w:rPr>
                <w:b/>
                <w:bCs/>
                <w:color w:val="000000"/>
              </w:rPr>
              <w:t>Measure Unit</w:t>
            </w:r>
          </w:p>
        </w:tc>
        <w:tc>
          <w:tcPr>
            <w:tcW w:w="496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auto"/>
          </w:tcPr>
          <w:p w14:paraId="6590794E" w14:textId="77777777" w:rsidR="00FC50E1" w:rsidRPr="001570EA" w:rsidRDefault="00FC50E1">
            <w:pPr>
              <w:pStyle w:val="TableCell"/>
              <w:spacing w:before="60" w:after="60"/>
              <w:jc w:val="center"/>
              <w:rPr>
                <w:color w:val="000000"/>
              </w:rPr>
            </w:pPr>
            <w:r w:rsidRPr="001570EA">
              <w:rPr>
                <w:color w:val="000000"/>
              </w:rPr>
              <w:t>Photovoltaic (PV) array</w:t>
            </w:r>
          </w:p>
        </w:tc>
      </w:tr>
      <w:tr w:rsidR="00FC50E1" w:rsidRPr="001570EA" w14:paraId="5B96F053" w14:textId="77777777">
        <w:tc>
          <w:tcPr>
            <w:tcW w:w="354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4ABB7F4A" w14:textId="77777777" w:rsidR="00FC50E1" w:rsidRPr="001570EA" w:rsidRDefault="00FC50E1">
            <w:pPr>
              <w:pStyle w:val="TableCell"/>
              <w:spacing w:before="60" w:after="60"/>
              <w:jc w:val="left"/>
              <w:rPr>
                <w:b/>
                <w:bCs/>
                <w:color w:val="000000"/>
              </w:rPr>
            </w:pPr>
            <w:r w:rsidRPr="001570EA">
              <w:rPr>
                <w:b/>
                <w:bCs/>
                <w:color w:val="000000"/>
              </w:rPr>
              <w:t>Measure Life</w:t>
            </w:r>
          </w:p>
        </w:tc>
        <w:tc>
          <w:tcPr>
            <w:tcW w:w="496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160F14A0" w14:textId="31D832FA" w:rsidR="00FC50E1" w:rsidRPr="001570EA" w:rsidRDefault="00FC50E1">
            <w:pPr>
              <w:pStyle w:val="TableCell"/>
              <w:spacing w:before="60" w:after="60"/>
              <w:jc w:val="center"/>
              <w:rPr>
                <w:color w:val="000000"/>
                <w:vertAlign w:val="superscript"/>
              </w:rPr>
            </w:pPr>
            <w:r w:rsidRPr="001570EA">
              <w:rPr>
                <w:color w:val="000000"/>
              </w:rPr>
              <w:t>15 years</w:t>
            </w:r>
            <w:r w:rsidR="00CE31DA" w:rsidRPr="001570EA">
              <w:rPr>
                <w:rFonts w:cs="Arial"/>
                <w:color w:val="000000"/>
                <w:sz w:val="20"/>
                <w:vertAlign w:val="superscript"/>
              </w:rPr>
              <w:t xml:space="preserve">Source </w:t>
            </w:r>
            <w:r w:rsidRPr="001570EA">
              <w:rPr>
                <w:rFonts w:cs="Arial"/>
                <w:color w:val="000000"/>
                <w:sz w:val="20"/>
                <w:vertAlign w:val="superscript"/>
              </w:rPr>
              <w:t>1</w:t>
            </w:r>
          </w:p>
        </w:tc>
      </w:tr>
      <w:tr w:rsidR="00FC50E1" w:rsidRPr="001570EA" w14:paraId="2EBCF02A" w14:textId="77777777">
        <w:tc>
          <w:tcPr>
            <w:tcW w:w="354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vAlign w:val="center"/>
          </w:tcPr>
          <w:p w14:paraId="488E94D1" w14:textId="77777777" w:rsidR="00FC50E1" w:rsidRPr="001570EA" w:rsidRDefault="00FC50E1">
            <w:pPr>
              <w:pStyle w:val="TableCell"/>
              <w:spacing w:before="60" w:after="60"/>
              <w:jc w:val="left"/>
              <w:rPr>
                <w:b/>
                <w:bCs/>
                <w:color w:val="000000"/>
              </w:rPr>
            </w:pPr>
            <w:r w:rsidRPr="001570EA">
              <w:rPr>
                <w:b/>
                <w:bCs/>
                <w:color w:val="000000"/>
              </w:rPr>
              <w:t>Vintage</w:t>
            </w:r>
          </w:p>
        </w:tc>
        <w:tc>
          <w:tcPr>
            <w:tcW w:w="4966"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FFFFFF" w:themeFill="background1"/>
          </w:tcPr>
          <w:p w14:paraId="20EFE8A6" w14:textId="77777777" w:rsidR="00FC50E1" w:rsidRPr="001570EA" w:rsidRDefault="00FC50E1">
            <w:pPr>
              <w:pStyle w:val="TableCell"/>
              <w:spacing w:before="60" w:after="60"/>
              <w:jc w:val="center"/>
              <w:rPr>
                <w:color w:val="000000"/>
              </w:rPr>
            </w:pPr>
            <w:r w:rsidRPr="001570EA">
              <w:rPr>
                <w:color w:val="000000"/>
              </w:rPr>
              <w:t>Retrofit or New Construction</w:t>
            </w:r>
          </w:p>
        </w:tc>
      </w:tr>
    </w:tbl>
    <w:p w14:paraId="21563627" w14:textId="77777777" w:rsidR="00FC50E1" w:rsidRPr="001570EA" w:rsidRDefault="00FC50E1" w:rsidP="00FC50E1">
      <w:pPr>
        <w:pStyle w:val="BodyText"/>
        <w:ind w:right="0"/>
        <w:rPr>
          <w:rFonts w:eastAsia="Calibri"/>
        </w:rPr>
      </w:pPr>
    </w:p>
    <w:p w14:paraId="0368472B" w14:textId="77777777" w:rsidR="00FC50E1" w:rsidRPr="001570EA" w:rsidRDefault="00FC50E1" w:rsidP="00FC50E1">
      <w:pPr>
        <w:pStyle w:val="SubStyle"/>
      </w:pPr>
      <w:r w:rsidRPr="001570EA">
        <w:t>Eligibility</w:t>
      </w:r>
    </w:p>
    <w:p w14:paraId="527EFDA8" w14:textId="77777777" w:rsidR="00FC50E1" w:rsidRPr="001570EA" w:rsidRDefault="00FC50E1" w:rsidP="00FC50E1">
      <w:pPr>
        <w:rPr>
          <w:rFonts w:eastAsia="Calibri"/>
          <w:szCs w:val="20"/>
        </w:rPr>
      </w:pPr>
      <w:r w:rsidRPr="001570EA">
        <w:rPr>
          <w:rFonts w:eastAsia="Calibri"/>
          <w:szCs w:val="20"/>
        </w:rPr>
        <w:t>Photovoltaic (PV) solar systems consist of an array of panels or thin-film substrates that generate direct current (DC) power when exposed to sunlight. These surfaces are tied together into a single circuit to expand generation levels. The DC power output is converted to alternating current (AC) power through inverter(s) that transform the electricity into the type of power used in residential homes. Generated power must be used to offset concurrent building loads and feed onto the local power grid through net metering to meet the needs of other customers. Charging of on-site battery systems is permitted, however peak demand savings as defined by this measure assumes non-tracking arrays without battery backup. This measure covers residential PV systems up to 30 kW DC.</w:t>
      </w:r>
    </w:p>
    <w:p w14:paraId="6CD60958" w14:textId="77777777" w:rsidR="00FC50E1" w:rsidRPr="001570EA" w:rsidRDefault="00FC50E1" w:rsidP="00FC50E1">
      <w:pPr>
        <w:rPr>
          <w:rFonts w:eastAsia="Calibri"/>
          <w:szCs w:val="20"/>
        </w:rPr>
      </w:pPr>
    </w:p>
    <w:p w14:paraId="6A3163B6" w14:textId="4E285C50" w:rsidR="00FC50E1" w:rsidRPr="001570EA" w:rsidRDefault="00FC50E1" w:rsidP="00FC50E1">
      <w:pPr>
        <w:rPr>
          <w:rFonts w:eastAsia="Calibri"/>
          <w:szCs w:val="20"/>
        </w:rPr>
      </w:pPr>
      <w:r w:rsidRPr="001570EA">
        <w:rPr>
          <w:rFonts w:eastAsia="Calibri"/>
          <w:szCs w:val="20"/>
        </w:rPr>
        <w:t>The goals of Pennsylvania Act 129 are to reduce consumption and congestion on the state’s power grid. Projects that generate savings for Act 129 programs must offset existing facility loads. Virtual metering of multiple sites, within the guidelines provided by 52 Pa. Code § 75.14.(e)</w:t>
      </w:r>
      <w:r w:rsidR="00CE31DA" w:rsidRPr="001570EA">
        <w:rPr>
          <w:rFonts w:cs="Arial"/>
          <w:color w:val="000000"/>
          <w:szCs w:val="20"/>
          <w:vertAlign w:val="superscript"/>
        </w:rPr>
        <w:t>Source</w:t>
      </w:r>
      <w:r w:rsidR="00CE31DA" w:rsidRPr="001570EA">
        <w:rPr>
          <w:color w:val="000000"/>
          <w:vertAlign w:val="superscript"/>
        </w:rPr>
        <w:t xml:space="preserve"> </w:t>
      </w:r>
      <w:r w:rsidRPr="001570EA">
        <w:rPr>
          <w:rFonts w:eastAsia="Calibri"/>
          <w:szCs w:val="20"/>
          <w:vertAlign w:val="superscript"/>
        </w:rPr>
        <w:t>2</w:t>
      </w:r>
      <w:r w:rsidRPr="001570EA">
        <w:rPr>
          <w:rFonts w:eastAsia="Calibri"/>
          <w:szCs w:val="20"/>
        </w:rPr>
        <w:t>, will be permitted to define existing loads. Annual generated AC power from the PV array must not exceed 110% of the annual electric energy load of the customer’s utility metered consumption.</w:t>
      </w:r>
    </w:p>
    <w:p w14:paraId="03CB28F1" w14:textId="77777777" w:rsidR="00FC50E1" w:rsidRPr="001570EA" w:rsidRDefault="00FC50E1" w:rsidP="00FC50E1">
      <w:pPr>
        <w:rPr>
          <w:rFonts w:eastAsia="Calibri"/>
          <w:szCs w:val="20"/>
        </w:rPr>
      </w:pPr>
    </w:p>
    <w:p w14:paraId="23EE67A4" w14:textId="7D6A4B71" w:rsidR="00FC50E1" w:rsidRPr="001570EA" w:rsidRDefault="00FC50E1" w:rsidP="00FC50E1">
      <w:pPr>
        <w:rPr>
          <w:rFonts w:eastAsia="Calibri"/>
          <w:szCs w:val="20"/>
        </w:rPr>
      </w:pPr>
      <w:r w:rsidRPr="001570EA">
        <w:rPr>
          <w:rFonts w:eastAsia="Calibri"/>
          <w:szCs w:val="20"/>
        </w:rPr>
        <w:t xml:space="preserve">Default values for project generation estimates can be developed using the National Renewable Energy Laboratory </w:t>
      </w:r>
      <w:r w:rsidRPr="001570EA">
        <w:t>PV Watts</w:t>
      </w:r>
      <w:r w:rsidRPr="001570EA">
        <w:rPr>
          <w:vertAlign w:val="superscript"/>
        </w:rPr>
        <w:t>®</w:t>
      </w:r>
      <w:r w:rsidRPr="001570EA">
        <w:t xml:space="preserve"> </w:t>
      </w:r>
      <w:r w:rsidRPr="001570EA">
        <w:rPr>
          <w:rFonts w:eastAsia="Calibri"/>
          <w:szCs w:val="20"/>
        </w:rPr>
        <w:t>calculator</w:t>
      </w:r>
      <w:r w:rsidR="00CE31DA" w:rsidRPr="001570EA">
        <w:rPr>
          <w:rFonts w:cs="Arial"/>
          <w:color w:val="000000"/>
          <w:szCs w:val="20"/>
          <w:vertAlign w:val="superscript"/>
        </w:rPr>
        <w:t>Source</w:t>
      </w:r>
      <w:r w:rsidR="00CE31DA" w:rsidRPr="001570EA">
        <w:rPr>
          <w:color w:val="000000"/>
          <w:vertAlign w:val="superscript"/>
        </w:rPr>
        <w:t xml:space="preserve"> </w:t>
      </w:r>
      <w:r w:rsidRPr="001570EA">
        <w:rPr>
          <w:rFonts w:eastAsia="Calibri"/>
          <w:szCs w:val="20"/>
          <w:vertAlign w:val="superscript"/>
        </w:rPr>
        <w:t>3</w:t>
      </w:r>
      <w:r w:rsidRPr="001570EA">
        <w:rPr>
          <w:rFonts w:eastAsia="Calibri"/>
          <w:szCs w:val="20"/>
        </w:rPr>
        <w:t xml:space="preserve">. Additional details on required inputs for the </w:t>
      </w:r>
      <w:r w:rsidRPr="001570EA">
        <w:t>PV Watts</w:t>
      </w:r>
      <w:r w:rsidRPr="001570EA">
        <w:rPr>
          <w:vertAlign w:val="superscript"/>
        </w:rPr>
        <w:t>®</w:t>
      </w:r>
      <w:r w:rsidRPr="001570EA">
        <w:t xml:space="preserve"> </w:t>
      </w:r>
      <w:r w:rsidRPr="001570EA">
        <w:rPr>
          <w:rFonts w:eastAsia="Calibri"/>
          <w:szCs w:val="20"/>
        </w:rPr>
        <w:t xml:space="preserve">model are included in the </w:t>
      </w:r>
      <w:r w:rsidRPr="001570EA">
        <w:rPr>
          <w:rFonts w:eastAsia="Calibri"/>
          <w:i/>
          <w:iCs/>
          <w:szCs w:val="20"/>
        </w:rPr>
        <w:t>Algorithms</w:t>
      </w:r>
      <w:r w:rsidRPr="001570EA">
        <w:rPr>
          <w:rFonts w:eastAsia="Calibri"/>
          <w:szCs w:val="20"/>
        </w:rPr>
        <w:t xml:space="preserve"> section below. Demand savings estimated in this measure assume no tracking, panel tilt of 20</w:t>
      </w:r>
      <w:r w:rsidRPr="001570EA">
        <w:rPr>
          <w:rFonts w:eastAsia="Calibri" w:cs="Arial"/>
          <w:szCs w:val="20"/>
        </w:rPr>
        <w:t>°, and instantaneous fulfillment of on-site loads or back feeding to the grid.</w:t>
      </w:r>
    </w:p>
    <w:p w14:paraId="0C0ABA00" w14:textId="77777777" w:rsidR="00FC50E1" w:rsidRPr="001570EA" w:rsidRDefault="00FC50E1" w:rsidP="00FC50E1">
      <w:pPr>
        <w:rPr>
          <w:rFonts w:eastAsia="Calibri"/>
          <w:szCs w:val="20"/>
        </w:rPr>
      </w:pPr>
    </w:p>
    <w:p w14:paraId="128E470D" w14:textId="77777777" w:rsidR="00FC50E1" w:rsidRPr="001570EA" w:rsidRDefault="00FC50E1" w:rsidP="00FC50E1">
      <w:pPr>
        <w:pStyle w:val="SubStyle"/>
      </w:pPr>
      <w:r w:rsidRPr="001570EA">
        <w:t>Algorithms</w:t>
      </w:r>
    </w:p>
    <w:p w14:paraId="77488846" w14:textId="71DD1AD8" w:rsidR="00FC50E1" w:rsidRPr="001570EA" w:rsidRDefault="00FC50E1" w:rsidP="00FC50E1">
      <w:pPr>
        <w:rPr>
          <w:iCs/>
        </w:rPr>
      </w:pPr>
      <w:r w:rsidRPr="001570EA">
        <w:t>All energy savings will be determined by the PV Watts</w:t>
      </w:r>
      <w:r w:rsidRPr="001570EA">
        <w:rPr>
          <w:vertAlign w:val="superscript"/>
        </w:rPr>
        <w:t>®</w:t>
      </w:r>
      <w:r w:rsidRPr="001570EA">
        <w:t xml:space="preserve"> model and installed system specifications</w:t>
      </w:r>
      <w:r w:rsidRPr="001570EA">
        <w:rPr>
          <w:rFonts w:cs="Arial"/>
          <w:iCs/>
          <w:szCs w:val="20"/>
        </w:rPr>
        <w:t>. System losses defined below will be the sum of PV Watts</w:t>
      </w:r>
      <w:r w:rsidRPr="001570EA">
        <w:rPr>
          <w:vertAlign w:val="superscript"/>
        </w:rPr>
        <w:t>®</w:t>
      </w:r>
      <w:r w:rsidRPr="001570EA">
        <w:rPr>
          <w:rFonts w:cs="Arial"/>
          <w:iCs/>
          <w:szCs w:val="20"/>
        </w:rPr>
        <w:t xml:space="preserve"> deemed losses (14.08%) and an estimated in-situ loss factor to align model capacity factors with a Pennsylvania statewide analysis of PV system production and expected PV Watts</w:t>
      </w:r>
      <w:r w:rsidRPr="001570EA">
        <w:rPr>
          <w:vertAlign w:val="superscript"/>
        </w:rPr>
        <w:t>®</w:t>
      </w:r>
      <w:r w:rsidRPr="001570EA">
        <w:rPr>
          <w:rFonts w:cs="Arial"/>
          <w:iCs/>
          <w:szCs w:val="20"/>
        </w:rPr>
        <w:t xml:space="preserve"> estimates</w:t>
      </w:r>
      <w:r w:rsidR="00CE31DA" w:rsidRPr="001570EA">
        <w:rPr>
          <w:rFonts w:cs="Arial"/>
          <w:color w:val="000000"/>
          <w:szCs w:val="20"/>
          <w:vertAlign w:val="superscript"/>
        </w:rPr>
        <w:t>Source</w:t>
      </w:r>
      <w:r w:rsidR="00CE31DA" w:rsidRPr="001570EA">
        <w:rPr>
          <w:color w:val="000000"/>
          <w:vertAlign w:val="superscript"/>
        </w:rPr>
        <w:t xml:space="preserve"> </w:t>
      </w:r>
      <w:r w:rsidRPr="001570EA">
        <w:rPr>
          <w:rFonts w:cs="Arial"/>
          <w:iCs/>
          <w:szCs w:val="20"/>
          <w:vertAlign w:val="superscript"/>
        </w:rPr>
        <w:t>4</w:t>
      </w:r>
      <w:r w:rsidRPr="001570EA">
        <w:rPr>
          <w:rFonts w:cs="Arial"/>
          <w:iCs/>
          <w:szCs w:val="20"/>
        </w:rPr>
        <w:t>. If the array contains non-tracking panels at varying azimuths or tilts, a new PV Watts</w:t>
      </w:r>
      <w:r w:rsidRPr="001570EA">
        <w:rPr>
          <w:vertAlign w:val="superscript"/>
        </w:rPr>
        <w:t>®</w:t>
      </w:r>
      <w:r w:rsidRPr="001570EA">
        <w:rPr>
          <w:rFonts w:cs="Arial"/>
          <w:iCs/>
          <w:szCs w:val="20"/>
        </w:rPr>
        <w:t xml:space="preserve"> model must be completed for each array with the results combined to estimate project savings. There are no default savings for this measure.</w:t>
      </w:r>
    </w:p>
    <w:p w14:paraId="34A0DB5E" w14:textId="77777777" w:rsidR="00FC50E1" w:rsidRPr="001570EA" w:rsidRDefault="00FC50E1" w:rsidP="00FC50E1">
      <w:pPr>
        <w:pStyle w:val="Equation"/>
        <w:tabs>
          <w:tab w:val="clear" w:pos="2880"/>
          <w:tab w:val="left" w:pos="2160"/>
        </w:tabs>
        <w:rPr>
          <w:rFonts w:cs="Arial"/>
          <w:szCs w:val="20"/>
        </w:rPr>
      </w:pPr>
    </w:p>
    <w:p w14:paraId="1A0C7B65" w14:textId="77777777" w:rsidR="00FC50E1" w:rsidRPr="001570EA" w:rsidRDefault="00FC50E1" w:rsidP="00FC50E1">
      <w:pPr>
        <w:pStyle w:val="Equation"/>
        <w:tabs>
          <w:tab w:val="clear" w:pos="720"/>
          <w:tab w:val="clear" w:pos="2880"/>
          <w:tab w:val="left" w:pos="2160"/>
        </w:tabs>
        <w:rPr>
          <w:rFonts w:ascii="Cambria Math" w:hAnsi="Cambria Math" w:cs="Arial"/>
          <w:szCs w:val="20"/>
        </w:rPr>
      </w:pPr>
      <w:r w:rsidRPr="001570EA">
        <w:rPr>
          <w:rFonts w:ascii="Cambria Math" w:hAnsi="Cambria Math" w:cs="Arial"/>
          <w:szCs w:val="20"/>
        </w:rPr>
        <w:t>System Losses</w:t>
      </w:r>
      <w:r w:rsidRPr="001570EA">
        <w:rPr>
          <w:rFonts w:ascii="Cambria Math" w:hAnsi="Cambria Math" w:cs="Arial"/>
          <w:szCs w:val="20"/>
        </w:rPr>
        <w:tab/>
        <w:t>= Default Model Losses + In-situ Losses</w:t>
      </w:r>
    </w:p>
    <w:p w14:paraId="6BE687CA" w14:textId="77777777" w:rsidR="00FC50E1" w:rsidRPr="001570EA" w:rsidRDefault="00FC50E1" w:rsidP="00FC50E1">
      <w:pPr>
        <w:pStyle w:val="Equation"/>
        <w:tabs>
          <w:tab w:val="clear" w:pos="720"/>
          <w:tab w:val="clear" w:pos="2880"/>
          <w:tab w:val="left" w:pos="2160"/>
        </w:tabs>
        <w:rPr>
          <w:rFonts w:ascii="Cambria Math" w:hAnsi="Cambria Math" w:cs="Arial"/>
          <w:szCs w:val="20"/>
        </w:rPr>
      </w:pPr>
    </w:p>
    <w:p w14:paraId="05F42FC5" w14:textId="77777777" w:rsidR="00FC50E1" w:rsidRPr="001570EA" w:rsidRDefault="00FC50E1" w:rsidP="00FC50E1">
      <w:pPr>
        <w:pStyle w:val="Equation"/>
        <w:tabs>
          <w:tab w:val="clear" w:pos="720"/>
          <w:tab w:val="clear" w:pos="2880"/>
          <w:tab w:val="left" w:pos="2160"/>
        </w:tabs>
      </w:pPr>
      <w:r w:rsidRPr="001570EA">
        <w:rPr>
          <w:rFonts w:ascii="Cambria Math" w:hAnsi="Cambria Math" w:cs="Arial"/>
          <w:szCs w:val="20"/>
        </w:rPr>
        <w:t>ΔkWh</w:t>
      </w:r>
      <w:r w:rsidRPr="001570EA">
        <w:rPr>
          <w:rFonts w:cs="Arial"/>
          <w:szCs w:val="20"/>
        </w:rPr>
        <w:tab/>
      </w:r>
      <m:oMath>
        <m:r>
          <w:rPr>
            <w:rFonts w:ascii="Cambria Math" w:hAnsi="Cambria Math"/>
          </w:rPr>
          <m:t>=</m:t>
        </m:r>
        <m:r>
          <w:rPr>
            <w:rFonts w:ascii="Cambria Math" w:eastAsia="Times New Roman" w:hAnsi="Cambria Math"/>
            <w:szCs w:val="20"/>
          </w:rPr>
          <m:t>Provided by PV Watts</m:t>
        </m:r>
        <m:r>
          <w:rPr>
            <w:rFonts w:ascii="Cambria Math" w:hAnsi="Cambria Math" w:cs="Arial"/>
            <w:szCs w:val="20"/>
          </w:rPr>
          <m:t xml:space="preserve">  </m:t>
        </m:r>
      </m:oMath>
    </w:p>
    <w:p w14:paraId="03D954E3" w14:textId="77777777" w:rsidR="00FC50E1" w:rsidRPr="001570EA" w:rsidRDefault="00FC50E1" w:rsidP="00FC50E1"/>
    <w:p w14:paraId="439A4468" w14:textId="77777777" w:rsidR="00FC50E1" w:rsidRPr="001570EA" w:rsidRDefault="00FC50E1" w:rsidP="00FC50E1">
      <w:pPr>
        <w:pStyle w:val="Equation"/>
        <w:tabs>
          <w:tab w:val="clear" w:pos="720"/>
          <w:tab w:val="clear" w:pos="2880"/>
          <w:tab w:val="left" w:pos="2160"/>
        </w:tabs>
        <w:rPr>
          <w:rFonts w:cs="Arial"/>
          <w:szCs w:val="20"/>
        </w:rPr>
      </w:pPr>
      <w:r w:rsidRPr="001570EA">
        <w:rPr>
          <w:rFonts w:ascii="Cambria Math" w:hAnsi="Cambria Math" w:cs="Arial"/>
          <w:szCs w:val="20"/>
        </w:rPr>
        <w:t>ΔkW</w:t>
      </w:r>
      <w:r w:rsidRPr="001570EA">
        <w:rPr>
          <w:rFonts w:ascii="Cambria Math" w:hAnsi="Cambria Math" w:cs="Arial"/>
          <w:szCs w:val="20"/>
          <w:vertAlign w:val="subscript"/>
        </w:rPr>
        <w:t>peak,summer</w:t>
      </w:r>
      <w:r w:rsidRPr="001570EA">
        <w:rPr>
          <w:rFonts w:cs="Arial"/>
          <w:szCs w:val="20"/>
        </w:rPr>
        <w:tab/>
      </w:r>
      <m:oMath>
        <m:r>
          <w:rPr>
            <w:rFonts w:ascii="Cambria Math" w:hAnsi="Cambria Math"/>
            <w:szCs w:val="20"/>
          </w:rPr>
          <m:t>=∆kWh×</m:t>
        </m:r>
        <m:sSub>
          <m:sSubPr>
            <m:ctrlPr>
              <w:rPr>
                <w:rFonts w:ascii="Cambria Math" w:hAnsi="Cambria Math"/>
                <w:szCs w:val="20"/>
              </w:rPr>
            </m:ctrlPr>
          </m:sSubPr>
          <m:e>
            <m:r>
              <w:rPr>
                <w:rFonts w:ascii="Cambria Math" w:hAnsi="Cambria Math"/>
                <w:szCs w:val="20"/>
              </w:rPr>
              <m:t>ETDF</m:t>
            </m:r>
          </m:e>
          <m:sub>
            <m:r>
              <w:rPr>
                <w:rFonts w:ascii="Cambria Math" w:hAnsi="Cambria Math"/>
                <w:szCs w:val="20"/>
              </w:rPr>
              <m:t>summer</m:t>
            </m:r>
          </m:sub>
        </m:sSub>
      </m:oMath>
    </w:p>
    <w:p w14:paraId="103F2F9D" w14:textId="77777777" w:rsidR="00FC50E1" w:rsidRPr="001570EA" w:rsidRDefault="00FC50E1" w:rsidP="00FC50E1">
      <w:pPr>
        <w:pStyle w:val="Equation"/>
        <w:tabs>
          <w:tab w:val="clear" w:pos="720"/>
          <w:tab w:val="clear" w:pos="2880"/>
          <w:tab w:val="left" w:pos="2160"/>
        </w:tabs>
        <w:rPr>
          <w:rFonts w:ascii="Cambria Math" w:hAnsi="Cambria Math" w:cs="Arial"/>
          <w:szCs w:val="20"/>
        </w:rPr>
      </w:pPr>
    </w:p>
    <w:p w14:paraId="631247BD" w14:textId="77777777" w:rsidR="00FC50E1" w:rsidRPr="001570EA" w:rsidRDefault="003B5E04" w:rsidP="00FC50E1">
      <w:pPr>
        <w:pStyle w:val="Equation"/>
        <w:tabs>
          <w:tab w:val="clear" w:pos="720"/>
          <w:tab w:val="clear" w:pos="2880"/>
          <w:tab w:val="left" w:pos="2160"/>
        </w:tabs>
        <w:ind w:left="0" w:firstLine="0"/>
        <w:rPr>
          <w:szCs w:val="20"/>
        </w:rPr>
      </w:pPr>
      <m:oMath>
        <m:sSub>
          <m:sSubPr>
            <m:ctrlPr>
              <w:rPr>
                <w:rFonts w:ascii="Cambria Math" w:hAnsi="Cambria Math"/>
                <w:szCs w:val="20"/>
              </w:rPr>
            </m:ctrlPr>
          </m:sSubPr>
          <m:e>
            <m:r>
              <w:rPr>
                <w:rFonts w:ascii="Cambria Math" w:hAnsi="Cambria Math"/>
                <w:szCs w:val="20"/>
              </w:rPr>
              <m:t>ETDF</m:t>
            </m:r>
          </m:e>
          <m:sub>
            <m:r>
              <w:rPr>
                <w:rFonts w:ascii="Cambria Math" w:hAnsi="Cambria Math"/>
                <w:szCs w:val="20"/>
              </w:rPr>
              <m:t>summer</m:t>
            </m:r>
          </m:sub>
        </m:sSub>
      </m:oMath>
      <w:r w:rsidR="00FC50E1" w:rsidRPr="001570EA">
        <w:rPr>
          <w:szCs w:val="20"/>
        </w:rPr>
        <w:tab/>
        <w:t xml:space="preserve">= </w:t>
      </w:r>
      <m:oMath>
        <m:sSub>
          <m:sSubPr>
            <m:ctrlPr>
              <w:rPr>
                <w:rFonts w:ascii="Cambria Math" w:hAnsi="Cambria Math"/>
                <w:szCs w:val="20"/>
              </w:rPr>
            </m:ctrlPr>
          </m:sSubPr>
          <m:e>
            <m:r>
              <w:rPr>
                <w:rFonts w:ascii="Cambria Math" w:hAnsi="Cambria Math"/>
                <w:szCs w:val="20"/>
              </w:rPr>
              <m:t>ETDF</m:t>
            </m:r>
          </m:e>
          <m:sub>
            <m:r>
              <w:rPr>
                <w:rFonts w:ascii="Cambria Math" w:hAnsi="Cambria Math"/>
                <w:szCs w:val="20"/>
              </w:rPr>
              <m:t>summer,ordinal</m:t>
            </m:r>
          </m:sub>
        </m:sSub>
        <m:r>
          <w:rPr>
            <w:rFonts w:ascii="Cambria Math" w:hAnsi="Cambria Math"/>
            <w:szCs w:val="20"/>
          </w:rPr>
          <m:t>+(∆Azimuth*</m:t>
        </m:r>
        <m:sSub>
          <m:sSubPr>
            <m:ctrlPr>
              <w:rPr>
                <w:rFonts w:ascii="Cambria Math" w:hAnsi="Cambria Math"/>
                <w:szCs w:val="20"/>
              </w:rPr>
            </m:ctrlPr>
          </m:sSubPr>
          <m:e>
            <m:r>
              <w:rPr>
                <w:rFonts w:ascii="Cambria Math" w:hAnsi="Cambria Math"/>
                <w:szCs w:val="20"/>
              </w:rPr>
              <m:t>ETDF</m:t>
            </m:r>
          </m:e>
          <m:sub>
            <m:r>
              <w:rPr>
                <w:rFonts w:ascii="Cambria Math" w:hAnsi="Cambria Math"/>
                <w:szCs w:val="20"/>
              </w:rPr>
              <m:t>summer,incremental</m:t>
            </m:r>
          </m:sub>
        </m:sSub>
        <m:r>
          <w:rPr>
            <w:rFonts w:ascii="Cambria Math" w:hAnsi="Cambria Math"/>
            <w:szCs w:val="20"/>
          </w:rPr>
          <m:t>)</m:t>
        </m:r>
      </m:oMath>
    </w:p>
    <w:p w14:paraId="4F571638" w14:textId="77777777" w:rsidR="00FC50E1" w:rsidRPr="001570EA" w:rsidRDefault="00FC50E1" w:rsidP="00FC50E1">
      <w:pPr>
        <w:pStyle w:val="Equation"/>
        <w:tabs>
          <w:tab w:val="clear" w:pos="720"/>
          <w:tab w:val="clear" w:pos="2880"/>
          <w:tab w:val="left" w:pos="2160"/>
        </w:tabs>
        <w:ind w:left="0" w:firstLine="0"/>
        <w:rPr>
          <w:szCs w:val="20"/>
        </w:rPr>
      </w:pPr>
    </w:p>
    <w:p w14:paraId="5AFC4626" w14:textId="77777777" w:rsidR="00FC50E1" w:rsidRPr="001570EA" w:rsidRDefault="0006652B" w:rsidP="00FC50E1">
      <w:pPr>
        <w:pStyle w:val="Equation"/>
        <w:tabs>
          <w:tab w:val="clear" w:pos="720"/>
          <w:tab w:val="clear" w:pos="2880"/>
          <w:tab w:val="left" w:pos="2160"/>
        </w:tabs>
        <w:ind w:left="2160" w:hanging="2160"/>
        <w:rPr>
          <w:szCs w:val="20"/>
        </w:rPr>
      </w:pPr>
      <m:oMath>
        <m:r>
          <w:rPr>
            <w:rFonts w:ascii="Cambria Math" w:hAnsi="Cambria Math"/>
            <w:szCs w:val="20"/>
          </w:rPr>
          <m:t>∆Azimuth</m:t>
        </m:r>
      </m:oMath>
      <w:r w:rsidR="00FC50E1" w:rsidRPr="001570EA">
        <w:rPr>
          <w:szCs w:val="20"/>
        </w:rPr>
        <w:tab/>
      </w:r>
      <w:r w:rsidR="00FC50E1" w:rsidRPr="001570EA">
        <w:rPr>
          <w:rFonts w:ascii="Cambria Math" w:hAnsi="Cambria Math"/>
          <w:szCs w:val="20"/>
        </w:rPr>
        <w:t>= Difference between PV array azimuth and closest, smaller ordinal direction (90, 135, 180, or 225)</w:t>
      </w:r>
      <w:r w:rsidR="00FC50E1" w:rsidRPr="001570EA">
        <w:rPr>
          <w:szCs w:val="20"/>
        </w:rPr>
        <w:t xml:space="preserve"> </w:t>
      </w:r>
    </w:p>
    <w:p w14:paraId="1B1BF78C" w14:textId="77777777" w:rsidR="00FC50E1" w:rsidRPr="001570EA" w:rsidRDefault="00FC50E1" w:rsidP="00FC50E1">
      <w:pPr>
        <w:pStyle w:val="Equation"/>
        <w:tabs>
          <w:tab w:val="clear" w:pos="720"/>
          <w:tab w:val="clear" w:pos="2880"/>
          <w:tab w:val="left" w:pos="2160"/>
        </w:tabs>
        <w:ind w:left="0" w:firstLine="0"/>
      </w:pPr>
    </w:p>
    <w:p w14:paraId="1AF4843D" w14:textId="77777777" w:rsidR="00FC50E1" w:rsidRPr="001570EA" w:rsidRDefault="00FC50E1" w:rsidP="00FC50E1">
      <w:pPr>
        <w:pStyle w:val="Equation"/>
        <w:tabs>
          <w:tab w:val="clear" w:pos="720"/>
          <w:tab w:val="clear" w:pos="2880"/>
          <w:tab w:val="left" w:pos="2160"/>
        </w:tabs>
        <w:rPr>
          <w:rFonts w:cs="Arial"/>
          <w:szCs w:val="20"/>
        </w:rPr>
      </w:pPr>
      <w:r w:rsidRPr="001570EA">
        <w:rPr>
          <w:rFonts w:ascii="Cambria Math" w:hAnsi="Cambria Math" w:cs="Arial"/>
          <w:szCs w:val="20"/>
        </w:rPr>
        <w:t>ΔkW</w:t>
      </w:r>
      <w:r w:rsidRPr="001570EA">
        <w:rPr>
          <w:rFonts w:ascii="Cambria Math" w:hAnsi="Cambria Math" w:cs="Arial"/>
          <w:szCs w:val="20"/>
          <w:vertAlign w:val="subscript"/>
        </w:rPr>
        <w:t>peak,winter</w:t>
      </w:r>
      <w:r w:rsidRPr="001570EA">
        <w:rPr>
          <w:rFonts w:cs="Arial"/>
          <w:szCs w:val="20"/>
        </w:rPr>
        <w:tab/>
      </w:r>
      <m:oMath>
        <m:r>
          <w:rPr>
            <w:rFonts w:ascii="Cambria Math" w:hAnsi="Cambria Math"/>
            <w:szCs w:val="20"/>
          </w:rPr>
          <m:t>=∆kWh×</m:t>
        </m:r>
        <m:sSub>
          <m:sSubPr>
            <m:ctrlPr>
              <w:rPr>
                <w:rFonts w:ascii="Cambria Math" w:hAnsi="Cambria Math"/>
                <w:szCs w:val="20"/>
              </w:rPr>
            </m:ctrlPr>
          </m:sSubPr>
          <m:e>
            <m:r>
              <w:rPr>
                <w:rFonts w:ascii="Cambria Math" w:hAnsi="Cambria Math"/>
                <w:szCs w:val="20"/>
              </w:rPr>
              <m:t>ETDF</m:t>
            </m:r>
          </m:e>
          <m:sub>
            <m:r>
              <w:rPr>
                <w:rFonts w:ascii="Cambria Math" w:hAnsi="Cambria Math"/>
                <w:szCs w:val="20"/>
              </w:rPr>
              <m:t>winter</m:t>
            </m:r>
          </m:sub>
        </m:sSub>
      </m:oMath>
      <w:r w:rsidRPr="001570EA">
        <w:rPr>
          <w:rFonts w:cs="Arial"/>
          <w:szCs w:val="20"/>
        </w:rPr>
        <w:tab/>
      </w:r>
      <w:r w:rsidRPr="001570EA">
        <w:rPr>
          <w:rFonts w:cs="Arial"/>
          <w:szCs w:val="20"/>
        </w:rPr>
        <w:tab/>
      </w:r>
      <w:r w:rsidRPr="001570EA">
        <w:rPr>
          <w:rFonts w:cs="Arial"/>
          <w:szCs w:val="20"/>
        </w:rPr>
        <w:tab/>
      </w:r>
    </w:p>
    <w:p w14:paraId="3181CB7D" w14:textId="77777777" w:rsidR="00FC50E1" w:rsidRPr="001570EA" w:rsidRDefault="00FC50E1" w:rsidP="00FC50E1">
      <w:pPr>
        <w:pStyle w:val="Equation"/>
        <w:tabs>
          <w:tab w:val="clear" w:pos="720"/>
          <w:tab w:val="clear" w:pos="2880"/>
          <w:tab w:val="left" w:pos="2160"/>
        </w:tabs>
      </w:pPr>
    </w:p>
    <w:p w14:paraId="5B683E25" w14:textId="77777777" w:rsidR="00FC50E1" w:rsidRPr="001570EA" w:rsidRDefault="003B5E04" w:rsidP="00FC50E1">
      <w:pPr>
        <w:pStyle w:val="Equation"/>
        <w:tabs>
          <w:tab w:val="clear" w:pos="720"/>
          <w:tab w:val="clear" w:pos="2880"/>
          <w:tab w:val="left" w:pos="2160"/>
        </w:tabs>
        <w:ind w:left="0" w:firstLine="0"/>
        <w:rPr>
          <w:szCs w:val="20"/>
        </w:rPr>
      </w:pPr>
      <m:oMath>
        <m:sSub>
          <m:sSubPr>
            <m:ctrlPr>
              <w:rPr>
                <w:rFonts w:ascii="Cambria Math" w:hAnsi="Cambria Math"/>
                <w:szCs w:val="20"/>
              </w:rPr>
            </m:ctrlPr>
          </m:sSubPr>
          <m:e>
            <m:r>
              <w:rPr>
                <w:rFonts w:ascii="Cambria Math" w:hAnsi="Cambria Math"/>
                <w:szCs w:val="20"/>
              </w:rPr>
              <m:t>ETDF</m:t>
            </m:r>
          </m:e>
          <m:sub>
            <m:r>
              <w:rPr>
                <w:rFonts w:ascii="Cambria Math" w:hAnsi="Cambria Math"/>
                <w:szCs w:val="20"/>
              </w:rPr>
              <m:t>winter</m:t>
            </m:r>
          </m:sub>
        </m:sSub>
      </m:oMath>
      <w:r w:rsidR="00FC50E1" w:rsidRPr="001570EA">
        <w:rPr>
          <w:szCs w:val="20"/>
        </w:rPr>
        <w:tab/>
        <w:t xml:space="preserve">= </w:t>
      </w:r>
      <m:oMath>
        <m:sSub>
          <m:sSubPr>
            <m:ctrlPr>
              <w:rPr>
                <w:rFonts w:ascii="Cambria Math" w:hAnsi="Cambria Math"/>
                <w:szCs w:val="20"/>
              </w:rPr>
            </m:ctrlPr>
          </m:sSubPr>
          <m:e>
            <m:r>
              <w:rPr>
                <w:rFonts w:ascii="Cambria Math" w:hAnsi="Cambria Math"/>
                <w:szCs w:val="20"/>
              </w:rPr>
              <m:t>ETDF</m:t>
            </m:r>
          </m:e>
          <m:sub>
            <m:r>
              <w:rPr>
                <w:rFonts w:ascii="Cambria Math" w:hAnsi="Cambria Math"/>
                <w:szCs w:val="20"/>
              </w:rPr>
              <m:t>winter,ordinal</m:t>
            </m:r>
          </m:sub>
        </m:sSub>
        <m:r>
          <w:rPr>
            <w:rFonts w:ascii="Cambria Math" w:hAnsi="Cambria Math"/>
            <w:szCs w:val="20"/>
          </w:rPr>
          <m:t>+(∆Azimuth*</m:t>
        </m:r>
        <m:sSub>
          <m:sSubPr>
            <m:ctrlPr>
              <w:rPr>
                <w:rFonts w:ascii="Cambria Math" w:hAnsi="Cambria Math"/>
                <w:szCs w:val="20"/>
              </w:rPr>
            </m:ctrlPr>
          </m:sSubPr>
          <m:e>
            <m:r>
              <w:rPr>
                <w:rFonts w:ascii="Cambria Math" w:hAnsi="Cambria Math"/>
                <w:szCs w:val="20"/>
              </w:rPr>
              <m:t>ETDF</m:t>
            </m:r>
          </m:e>
          <m:sub>
            <m:r>
              <w:rPr>
                <w:rFonts w:ascii="Cambria Math" w:hAnsi="Cambria Math"/>
                <w:szCs w:val="20"/>
              </w:rPr>
              <m:t>winter,incremental</m:t>
            </m:r>
          </m:sub>
        </m:sSub>
        <m:r>
          <w:rPr>
            <w:rFonts w:ascii="Cambria Math" w:hAnsi="Cambria Math"/>
            <w:szCs w:val="20"/>
          </w:rPr>
          <m:t>)</m:t>
        </m:r>
      </m:oMath>
    </w:p>
    <w:p w14:paraId="379D986E" w14:textId="77777777" w:rsidR="00790C37" w:rsidRDefault="00790C37" w:rsidP="00FC50E1">
      <w:pPr>
        <w:pStyle w:val="SubStyle"/>
      </w:pPr>
    </w:p>
    <w:p w14:paraId="44D87509" w14:textId="6FF8D202" w:rsidR="00FC50E1" w:rsidRPr="001570EA" w:rsidRDefault="00FC50E1" w:rsidP="00FC50E1">
      <w:pPr>
        <w:pStyle w:val="SubStyle"/>
      </w:pPr>
      <w:r w:rsidRPr="001570EA">
        <w:t>Definition of Terms</w:t>
      </w:r>
    </w:p>
    <w:p w14:paraId="3F0EA918" w14:textId="3CEB67B8" w:rsidR="00FC50E1" w:rsidRPr="001570EA" w:rsidRDefault="002E093A" w:rsidP="002E093A">
      <w:pPr>
        <w:pStyle w:val="Caption"/>
      </w:pPr>
      <w:r w:rsidRPr="001570EA">
        <w:t xml:space="preserve">Table </w:t>
      </w:r>
      <w:r w:rsidRPr="001570EA">
        <w:fldChar w:fldCharType="begin"/>
      </w:r>
      <w:r w:rsidRPr="001570EA">
        <w:instrText xml:space="preserve"> STYLEREF 1 \s </w:instrText>
      </w:r>
      <w:r w:rsidRPr="001570EA">
        <w:fldChar w:fldCharType="separate"/>
      </w:r>
      <w:r w:rsidR="00A11E80" w:rsidRPr="001570EA">
        <w:rPr>
          <w:noProof/>
        </w:rPr>
        <w:t>2</w:t>
      </w:r>
      <w:r w:rsidRPr="001570EA">
        <w:fldChar w:fldCharType="end"/>
      </w:r>
      <w:r w:rsidRPr="001570EA">
        <w:noBreakHyphen/>
      </w:r>
      <w:r w:rsidRPr="001570EA">
        <w:fldChar w:fldCharType="begin"/>
      </w:r>
      <w:r w:rsidRPr="001570EA">
        <w:instrText xml:space="preserve"> SEQ Table \* ARABIC \s 1 </w:instrText>
      </w:r>
      <w:r w:rsidRPr="001570EA">
        <w:fldChar w:fldCharType="separate"/>
      </w:r>
      <w:r w:rsidR="00A11E80" w:rsidRPr="001570EA">
        <w:rPr>
          <w:noProof/>
        </w:rPr>
        <w:t>176</w:t>
      </w:r>
      <w:r w:rsidRPr="001570EA">
        <w:fldChar w:fldCharType="end"/>
      </w:r>
      <w:r w:rsidRPr="001570EA">
        <w:t xml:space="preserve"> Terms, Values, and References for Solar PV</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17"/>
        <w:gridCol w:w="1165"/>
        <w:gridCol w:w="1862"/>
        <w:gridCol w:w="1260"/>
        <w:gridCol w:w="1826"/>
      </w:tblGrid>
      <w:tr w:rsidR="00FC50E1" w:rsidRPr="001570EA" w14:paraId="7E8CD7AD" w14:textId="77777777">
        <w:trPr>
          <w:trHeight w:val="20"/>
          <w:tblHeader/>
        </w:trPr>
        <w:tc>
          <w:tcPr>
            <w:tcW w:w="1458" w:type="pct"/>
            <w:shd w:val="clear" w:color="auto" w:fill="A6A6A6" w:themeFill="background1" w:themeFillShade="A6"/>
          </w:tcPr>
          <w:p w14:paraId="3079DADB" w14:textId="77777777" w:rsidR="00FC50E1" w:rsidRPr="001570EA" w:rsidRDefault="00FC50E1">
            <w:pPr>
              <w:pStyle w:val="TableCell"/>
              <w:keepNext w:val="0"/>
              <w:spacing w:before="60" w:after="60"/>
              <w:jc w:val="left"/>
              <w:rPr>
                <w:rFonts w:eastAsia="Calibri" w:cs="Arial"/>
                <w:b/>
                <w:szCs w:val="18"/>
              </w:rPr>
            </w:pPr>
            <w:r w:rsidRPr="001570EA">
              <w:rPr>
                <w:rFonts w:eastAsia="Calibri" w:cs="Arial"/>
                <w:b/>
                <w:szCs w:val="18"/>
              </w:rPr>
              <w:t>Term</w:t>
            </w:r>
          </w:p>
        </w:tc>
        <w:tc>
          <w:tcPr>
            <w:tcW w:w="675" w:type="pct"/>
            <w:shd w:val="clear" w:color="auto" w:fill="A6A6A6" w:themeFill="background1" w:themeFillShade="A6"/>
          </w:tcPr>
          <w:p w14:paraId="4DCDD4EE"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Unit</w:t>
            </w:r>
          </w:p>
        </w:tc>
        <w:tc>
          <w:tcPr>
            <w:tcW w:w="1809" w:type="pct"/>
            <w:gridSpan w:val="2"/>
            <w:shd w:val="clear" w:color="auto" w:fill="A6A6A6" w:themeFill="background1" w:themeFillShade="A6"/>
          </w:tcPr>
          <w:p w14:paraId="6C6E9257"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Value</w:t>
            </w:r>
          </w:p>
        </w:tc>
        <w:tc>
          <w:tcPr>
            <w:tcW w:w="1058" w:type="pct"/>
            <w:shd w:val="clear" w:color="auto" w:fill="A6A6A6" w:themeFill="background1" w:themeFillShade="A6"/>
          </w:tcPr>
          <w:p w14:paraId="68F0F250"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Sources</w:t>
            </w:r>
          </w:p>
        </w:tc>
      </w:tr>
      <w:tr w:rsidR="00FC50E1" w:rsidRPr="001570EA" w14:paraId="15A78C97" w14:textId="77777777">
        <w:trPr>
          <w:trHeight w:val="432"/>
        </w:trPr>
        <w:tc>
          <w:tcPr>
            <w:tcW w:w="1458" w:type="pct"/>
            <w:vAlign w:val="center"/>
          </w:tcPr>
          <w:p w14:paraId="7C3B0845" w14:textId="77777777" w:rsidR="00FC50E1" w:rsidRPr="001570EA" w:rsidRDefault="00FC50E1">
            <w:pPr>
              <w:pStyle w:val="TableCell"/>
              <w:keepNext w:val="0"/>
              <w:spacing w:before="60" w:after="60"/>
              <w:jc w:val="left"/>
              <w:rPr>
                <w:rFonts w:eastAsia="Calibri" w:cs="Arial"/>
                <w:szCs w:val="18"/>
              </w:rPr>
            </w:pPr>
            <w:r w:rsidRPr="001570EA">
              <w:rPr>
                <w:rFonts w:eastAsia="Calibri" w:cs="Arial"/>
                <w:i/>
                <w:szCs w:val="18"/>
              </w:rPr>
              <w:t>Location</w:t>
            </w:r>
          </w:p>
        </w:tc>
        <w:tc>
          <w:tcPr>
            <w:tcW w:w="675" w:type="pct"/>
            <w:vAlign w:val="center"/>
          </w:tcPr>
          <w:p w14:paraId="7FB94C27" w14:textId="77777777" w:rsidR="00FC50E1" w:rsidRPr="001570EA" w:rsidRDefault="00FC50E1">
            <w:pPr>
              <w:pStyle w:val="TableCell"/>
              <w:keepNext w:val="0"/>
              <w:spacing w:before="60" w:after="60"/>
              <w:jc w:val="center"/>
              <w:rPr>
                <w:rFonts w:eastAsia="Calibri" w:cs="Arial"/>
                <w:i/>
                <w:szCs w:val="18"/>
              </w:rPr>
            </w:pPr>
            <w:r w:rsidRPr="001570EA">
              <w:rPr>
                <w:rFonts w:eastAsia="Calibri" w:cs="Arial"/>
                <w:i/>
                <w:szCs w:val="18"/>
              </w:rPr>
              <w:t>n/a</w:t>
            </w:r>
          </w:p>
        </w:tc>
        <w:tc>
          <w:tcPr>
            <w:tcW w:w="1809" w:type="pct"/>
            <w:gridSpan w:val="2"/>
            <w:vAlign w:val="center"/>
          </w:tcPr>
          <w:p w14:paraId="02AB7593" w14:textId="77777777" w:rsidR="00FC50E1" w:rsidRPr="001570EA" w:rsidRDefault="00FC50E1">
            <w:pPr>
              <w:pStyle w:val="TableCell"/>
              <w:keepNext w:val="0"/>
              <w:spacing w:before="60" w:after="60"/>
              <w:jc w:val="center"/>
              <w:rPr>
                <w:rFonts w:eastAsia="Calibri" w:cs="Arial"/>
                <w:szCs w:val="18"/>
              </w:rPr>
            </w:pPr>
            <w:r w:rsidRPr="001570EA">
              <w:rPr>
                <w:rFonts w:cs="Arial"/>
                <w:szCs w:val="18"/>
              </w:rPr>
              <w:t>EDC Data Gathering</w:t>
            </w:r>
          </w:p>
        </w:tc>
        <w:tc>
          <w:tcPr>
            <w:tcW w:w="1058" w:type="pct"/>
            <w:vAlign w:val="center"/>
          </w:tcPr>
          <w:p w14:paraId="06CA3031" w14:textId="77777777" w:rsidR="00FC50E1" w:rsidRPr="001570EA" w:rsidRDefault="00FC50E1">
            <w:pPr>
              <w:pStyle w:val="TableCell"/>
              <w:keepNext w:val="0"/>
              <w:spacing w:before="60" w:after="60"/>
              <w:jc w:val="center"/>
              <w:rPr>
                <w:rFonts w:eastAsia="Calibri" w:cs="Arial"/>
                <w:szCs w:val="18"/>
              </w:rPr>
            </w:pPr>
            <w:r w:rsidRPr="001570EA">
              <w:rPr>
                <w:rFonts w:eastAsia="Calibri" w:cs="Arial"/>
                <w:szCs w:val="18"/>
              </w:rPr>
              <w:t>EDC Data Gathering</w:t>
            </w:r>
          </w:p>
        </w:tc>
      </w:tr>
      <w:tr w:rsidR="00FC50E1" w:rsidRPr="001570EA" w14:paraId="38CE1990" w14:textId="77777777">
        <w:trPr>
          <w:trHeight w:val="20"/>
        </w:trPr>
        <w:tc>
          <w:tcPr>
            <w:tcW w:w="1458" w:type="pct"/>
            <w:vAlign w:val="center"/>
          </w:tcPr>
          <w:p w14:paraId="57C93D95" w14:textId="77777777" w:rsidR="00FC50E1" w:rsidRPr="001570EA" w:rsidRDefault="00FC50E1">
            <w:pPr>
              <w:pStyle w:val="TableCell"/>
              <w:keepNext w:val="0"/>
              <w:spacing w:before="60" w:after="60"/>
              <w:jc w:val="left"/>
              <w:rPr>
                <w:rFonts w:eastAsia="Calibri" w:cs="Arial"/>
                <w:i/>
                <w:iCs/>
                <w:szCs w:val="18"/>
              </w:rPr>
            </w:pPr>
            <w:r w:rsidRPr="001570EA">
              <w:rPr>
                <w:rFonts w:eastAsia="Calibri" w:cs="Arial"/>
                <w:i/>
                <w:iCs/>
                <w:szCs w:val="18"/>
              </w:rPr>
              <w:t>DC System Size</w:t>
            </w:r>
          </w:p>
        </w:tc>
        <w:tc>
          <w:tcPr>
            <w:tcW w:w="675" w:type="pct"/>
            <w:vAlign w:val="center"/>
          </w:tcPr>
          <w:p w14:paraId="5E4C6BAF" w14:textId="77777777" w:rsidR="00FC50E1" w:rsidRPr="001570EA" w:rsidRDefault="00FC50E1">
            <w:pPr>
              <w:pStyle w:val="TableCell"/>
              <w:keepNext w:val="0"/>
              <w:spacing w:before="60" w:after="60"/>
              <w:jc w:val="center"/>
              <w:rPr>
                <w:rFonts w:eastAsia="Calibri" w:cs="Arial"/>
                <w:i/>
                <w:szCs w:val="18"/>
              </w:rPr>
            </w:pPr>
            <w:r w:rsidRPr="001570EA">
              <w:rPr>
                <w:rFonts w:eastAsia="Calibri" w:cs="Arial"/>
                <w:i/>
                <w:szCs w:val="18"/>
              </w:rPr>
              <w:t>kW</w:t>
            </w:r>
          </w:p>
        </w:tc>
        <w:tc>
          <w:tcPr>
            <w:tcW w:w="1809" w:type="pct"/>
            <w:gridSpan w:val="2"/>
            <w:vAlign w:val="center"/>
          </w:tcPr>
          <w:p w14:paraId="34CC05F8" w14:textId="77777777" w:rsidR="00FC50E1" w:rsidRPr="001570EA" w:rsidRDefault="00FC50E1">
            <w:pPr>
              <w:pStyle w:val="TableCell"/>
              <w:keepNext w:val="0"/>
              <w:spacing w:before="60" w:after="60"/>
              <w:jc w:val="center"/>
              <w:rPr>
                <w:rFonts w:eastAsia="Calibri" w:cs="Arial"/>
                <w:szCs w:val="18"/>
              </w:rPr>
            </w:pPr>
            <w:r w:rsidRPr="001570EA">
              <w:rPr>
                <w:rFonts w:cs="Arial"/>
                <w:szCs w:val="18"/>
              </w:rPr>
              <w:t>EDC Data Gathering</w:t>
            </w:r>
          </w:p>
        </w:tc>
        <w:tc>
          <w:tcPr>
            <w:tcW w:w="1058" w:type="pct"/>
            <w:vAlign w:val="center"/>
          </w:tcPr>
          <w:p w14:paraId="120DDC6E" w14:textId="77777777" w:rsidR="00FC50E1" w:rsidRPr="001570EA" w:rsidRDefault="00FC50E1">
            <w:pPr>
              <w:pStyle w:val="TableCell"/>
              <w:keepNext w:val="0"/>
              <w:spacing w:before="60" w:after="60"/>
              <w:jc w:val="center"/>
              <w:rPr>
                <w:rFonts w:eastAsia="Calibri" w:cs="Arial"/>
                <w:szCs w:val="18"/>
              </w:rPr>
            </w:pPr>
            <w:r w:rsidRPr="001570EA">
              <w:rPr>
                <w:rFonts w:cs="Arial"/>
                <w:szCs w:val="18"/>
              </w:rPr>
              <w:t>EDC Data Gathering</w:t>
            </w:r>
          </w:p>
        </w:tc>
      </w:tr>
      <w:tr w:rsidR="00FC50E1" w:rsidRPr="001570EA" w14:paraId="5477F2E7" w14:textId="77777777">
        <w:trPr>
          <w:trHeight w:val="432"/>
        </w:trPr>
        <w:tc>
          <w:tcPr>
            <w:tcW w:w="1458" w:type="pct"/>
            <w:vAlign w:val="center"/>
          </w:tcPr>
          <w:p w14:paraId="55B78C97" w14:textId="77777777" w:rsidR="00FC50E1" w:rsidRPr="001570EA" w:rsidRDefault="00FC50E1">
            <w:pPr>
              <w:pStyle w:val="TableCell"/>
              <w:spacing w:before="60" w:after="60"/>
              <w:jc w:val="left"/>
              <w:rPr>
                <w:rFonts w:eastAsia="Calibri" w:cs="Arial"/>
                <w:i/>
                <w:szCs w:val="18"/>
              </w:rPr>
            </w:pPr>
            <w:r w:rsidRPr="001570EA">
              <w:rPr>
                <w:rFonts w:eastAsia="Calibri" w:cs="Arial"/>
                <w:i/>
                <w:szCs w:val="18"/>
              </w:rPr>
              <w:t>Module Type</w:t>
            </w:r>
          </w:p>
        </w:tc>
        <w:tc>
          <w:tcPr>
            <w:tcW w:w="675" w:type="pct"/>
            <w:vAlign w:val="center"/>
          </w:tcPr>
          <w:p w14:paraId="7D99708B" w14:textId="77777777" w:rsidR="00FC50E1" w:rsidRPr="001570EA" w:rsidRDefault="00FC50E1">
            <w:pPr>
              <w:pStyle w:val="TableCell"/>
              <w:spacing w:before="60" w:after="60"/>
              <w:jc w:val="center"/>
              <w:rPr>
                <w:rFonts w:eastAsia="Calibri" w:cs="Arial"/>
                <w:i/>
                <w:szCs w:val="18"/>
              </w:rPr>
            </w:pPr>
            <w:r w:rsidRPr="001570EA">
              <w:rPr>
                <w:rFonts w:eastAsia="Calibri" w:cs="Arial"/>
                <w:i/>
                <w:szCs w:val="18"/>
              </w:rPr>
              <w:t>n/a</w:t>
            </w:r>
          </w:p>
        </w:tc>
        <w:tc>
          <w:tcPr>
            <w:tcW w:w="1809" w:type="pct"/>
            <w:gridSpan w:val="2"/>
            <w:vAlign w:val="center"/>
          </w:tcPr>
          <w:p w14:paraId="027F6FB9" w14:textId="77777777" w:rsidR="00FC50E1" w:rsidRPr="001570EA" w:rsidRDefault="00FC50E1">
            <w:pPr>
              <w:pStyle w:val="TableCell"/>
              <w:keepNext w:val="0"/>
              <w:spacing w:before="60" w:after="60"/>
              <w:jc w:val="center"/>
              <w:rPr>
                <w:rFonts w:cs="Arial"/>
                <w:szCs w:val="18"/>
              </w:rPr>
            </w:pPr>
            <w:r w:rsidRPr="001570EA">
              <w:rPr>
                <w:rFonts w:cs="Arial"/>
                <w:szCs w:val="18"/>
              </w:rPr>
              <w:t>Standard</w:t>
            </w:r>
          </w:p>
        </w:tc>
        <w:tc>
          <w:tcPr>
            <w:tcW w:w="1058" w:type="pct"/>
            <w:vAlign w:val="center"/>
          </w:tcPr>
          <w:p w14:paraId="6DEDBCFC" w14:textId="77777777" w:rsidR="00FC50E1" w:rsidRPr="001570EA" w:rsidRDefault="00FC50E1">
            <w:pPr>
              <w:pStyle w:val="TableCell"/>
              <w:keepNext w:val="0"/>
              <w:spacing w:before="60" w:after="60"/>
              <w:jc w:val="center"/>
              <w:rPr>
                <w:rFonts w:eastAsia="Calibri" w:cs="Arial"/>
                <w:szCs w:val="18"/>
              </w:rPr>
            </w:pPr>
            <w:r w:rsidRPr="001570EA">
              <w:rPr>
                <w:rFonts w:eastAsia="Calibri" w:cs="Arial"/>
                <w:szCs w:val="18"/>
              </w:rPr>
              <w:t>Default</w:t>
            </w:r>
          </w:p>
        </w:tc>
      </w:tr>
      <w:tr w:rsidR="00FC50E1" w:rsidRPr="001570EA" w14:paraId="484EE85F" w14:textId="77777777">
        <w:trPr>
          <w:trHeight w:val="432"/>
        </w:trPr>
        <w:tc>
          <w:tcPr>
            <w:tcW w:w="1458" w:type="pct"/>
            <w:vAlign w:val="center"/>
          </w:tcPr>
          <w:p w14:paraId="18AE734B" w14:textId="77777777" w:rsidR="00FC50E1" w:rsidRPr="001570EA" w:rsidRDefault="00FC50E1">
            <w:pPr>
              <w:pStyle w:val="TableCell"/>
              <w:keepNext w:val="0"/>
              <w:spacing w:before="60" w:after="60"/>
              <w:jc w:val="left"/>
              <w:rPr>
                <w:rFonts w:eastAsia="Calibri" w:cs="Arial"/>
                <w:szCs w:val="18"/>
              </w:rPr>
            </w:pPr>
            <w:r w:rsidRPr="001570EA">
              <w:rPr>
                <w:rFonts w:eastAsia="Calibri" w:cs="Arial"/>
                <w:i/>
                <w:szCs w:val="18"/>
              </w:rPr>
              <w:t>Array Type</w:t>
            </w:r>
          </w:p>
        </w:tc>
        <w:tc>
          <w:tcPr>
            <w:tcW w:w="675" w:type="pct"/>
            <w:vAlign w:val="center"/>
          </w:tcPr>
          <w:p w14:paraId="7789C2E2" w14:textId="77777777" w:rsidR="00FC50E1" w:rsidRPr="001570EA" w:rsidRDefault="00FC50E1">
            <w:pPr>
              <w:pStyle w:val="TableCell"/>
              <w:keepNext w:val="0"/>
              <w:spacing w:before="60" w:after="60"/>
              <w:jc w:val="center"/>
              <w:rPr>
                <w:rFonts w:cs="Arial"/>
                <w:i/>
                <w:szCs w:val="18"/>
              </w:rPr>
            </w:pPr>
            <w:r w:rsidRPr="001570EA">
              <w:rPr>
                <w:rFonts w:eastAsia="Calibri" w:cs="Arial"/>
                <w:i/>
                <w:szCs w:val="18"/>
              </w:rPr>
              <w:t>n/a</w:t>
            </w:r>
          </w:p>
        </w:tc>
        <w:tc>
          <w:tcPr>
            <w:tcW w:w="1809" w:type="pct"/>
            <w:gridSpan w:val="2"/>
            <w:vAlign w:val="center"/>
          </w:tcPr>
          <w:p w14:paraId="7B06529B" w14:textId="77777777" w:rsidR="00FC50E1" w:rsidRPr="001570EA" w:rsidRDefault="00FC50E1">
            <w:pPr>
              <w:pStyle w:val="TableCell"/>
              <w:keepNext w:val="0"/>
              <w:spacing w:before="60" w:after="60"/>
              <w:jc w:val="center"/>
              <w:rPr>
                <w:rFonts w:eastAsia="Calibri" w:cs="Arial"/>
                <w:szCs w:val="18"/>
              </w:rPr>
            </w:pPr>
            <w:r w:rsidRPr="001570EA">
              <w:rPr>
                <w:rFonts w:cs="Arial"/>
                <w:szCs w:val="18"/>
              </w:rPr>
              <w:t>EDC Data Gathering</w:t>
            </w:r>
          </w:p>
        </w:tc>
        <w:tc>
          <w:tcPr>
            <w:tcW w:w="1058" w:type="pct"/>
            <w:vAlign w:val="center"/>
          </w:tcPr>
          <w:p w14:paraId="3C9C03E9" w14:textId="77777777" w:rsidR="00FC50E1" w:rsidRPr="001570EA" w:rsidRDefault="00FC50E1">
            <w:pPr>
              <w:pStyle w:val="TableCell"/>
              <w:keepNext w:val="0"/>
              <w:spacing w:before="60" w:after="60"/>
              <w:jc w:val="center"/>
              <w:rPr>
                <w:rFonts w:eastAsia="Calibri" w:cs="Arial"/>
                <w:szCs w:val="18"/>
              </w:rPr>
            </w:pPr>
            <w:r w:rsidRPr="001570EA">
              <w:rPr>
                <w:rFonts w:eastAsia="Calibri" w:cs="Arial"/>
                <w:szCs w:val="18"/>
              </w:rPr>
              <w:t>EDC Data Gathering</w:t>
            </w:r>
          </w:p>
        </w:tc>
      </w:tr>
      <w:tr w:rsidR="00FC50E1" w:rsidRPr="001570EA" w14:paraId="06892AB7" w14:textId="77777777">
        <w:trPr>
          <w:trHeight w:val="432"/>
        </w:trPr>
        <w:tc>
          <w:tcPr>
            <w:tcW w:w="1458" w:type="pct"/>
            <w:vAlign w:val="center"/>
          </w:tcPr>
          <w:p w14:paraId="16355F7A" w14:textId="77777777" w:rsidR="00FC50E1" w:rsidRPr="001570EA" w:rsidRDefault="00FC50E1">
            <w:pPr>
              <w:pStyle w:val="TableCell"/>
              <w:keepNext w:val="0"/>
              <w:spacing w:before="60" w:after="60"/>
              <w:jc w:val="left"/>
              <w:rPr>
                <w:rFonts w:cs="Arial"/>
                <w:i/>
                <w:iCs/>
                <w:szCs w:val="18"/>
              </w:rPr>
            </w:pPr>
            <w:r w:rsidRPr="001570EA">
              <w:rPr>
                <w:rFonts w:cs="Arial"/>
                <w:i/>
                <w:iCs/>
                <w:szCs w:val="18"/>
              </w:rPr>
              <w:t>System Losses</w:t>
            </w:r>
          </w:p>
        </w:tc>
        <w:tc>
          <w:tcPr>
            <w:tcW w:w="675" w:type="pct"/>
            <w:vAlign w:val="center"/>
          </w:tcPr>
          <w:p w14:paraId="189C926E" w14:textId="77777777" w:rsidR="00FC50E1" w:rsidRPr="001570EA" w:rsidRDefault="00FC50E1">
            <w:pPr>
              <w:pStyle w:val="TableCell"/>
              <w:keepNext w:val="0"/>
              <w:spacing w:before="60" w:after="60"/>
              <w:jc w:val="center"/>
              <w:rPr>
                <w:rFonts w:cs="Arial"/>
                <w:i/>
                <w:iCs/>
                <w:szCs w:val="18"/>
              </w:rPr>
            </w:pPr>
            <w:r w:rsidRPr="001570EA">
              <w:rPr>
                <w:rFonts w:cs="Arial"/>
                <w:i/>
                <w:iCs/>
                <w:szCs w:val="18"/>
              </w:rPr>
              <w:t>%</w:t>
            </w:r>
          </w:p>
        </w:tc>
        <w:tc>
          <w:tcPr>
            <w:tcW w:w="1809" w:type="pct"/>
            <w:gridSpan w:val="2"/>
            <w:vAlign w:val="center"/>
          </w:tcPr>
          <w:p w14:paraId="49AA47E6" w14:textId="77777777" w:rsidR="00FC50E1" w:rsidRPr="001570EA" w:rsidRDefault="00FC50E1">
            <w:pPr>
              <w:pStyle w:val="TableCell"/>
              <w:keepNext w:val="0"/>
              <w:spacing w:before="60" w:after="60"/>
              <w:jc w:val="center"/>
              <w:rPr>
                <w:rFonts w:cs="Arial"/>
                <w:szCs w:val="18"/>
              </w:rPr>
            </w:pPr>
            <w:r w:rsidRPr="001570EA">
              <w:rPr>
                <w:rFonts w:cs="Arial"/>
                <w:szCs w:val="18"/>
              </w:rPr>
              <w:t>Default Model Losses + In-situ Losses</w:t>
            </w:r>
          </w:p>
        </w:tc>
        <w:tc>
          <w:tcPr>
            <w:tcW w:w="1058" w:type="pct"/>
            <w:vAlign w:val="center"/>
          </w:tcPr>
          <w:p w14:paraId="24951667" w14:textId="77777777" w:rsidR="00FC50E1" w:rsidRPr="001570EA" w:rsidRDefault="00FC50E1">
            <w:pPr>
              <w:pStyle w:val="TableCell"/>
              <w:keepNext w:val="0"/>
              <w:spacing w:before="60" w:after="60"/>
              <w:jc w:val="center"/>
              <w:rPr>
                <w:rFonts w:eastAsia="Calibri" w:cs="Arial"/>
                <w:szCs w:val="18"/>
              </w:rPr>
            </w:pPr>
            <w:r w:rsidRPr="001570EA">
              <w:rPr>
                <w:rFonts w:eastAsia="Calibri" w:cs="Arial"/>
                <w:szCs w:val="18"/>
              </w:rPr>
              <w:t>Calculated</w:t>
            </w:r>
          </w:p>
        </w:tc>
      </w:tr>
      <w:tr w:rsidR="00FC50E1" w:rsidRPr="001570EA" w14:paraId="2B71D1C1" w14:textId="77777777">
        <w:trPr>
          <w:trHeight w:val="432"/>
        </w:trPr>
        <w:tc>
          <w:tcPr>
            <w:tcW w:w="1458" w:type="pct"/>
            <w:vAlign w:val="center"/>
          </w:tcPr>
          <w:p w14:paraId="573851EC" w14:textId="77777777" w:rsidR="00FC50E1" w:rsidRPr="001570EA" w:rsidRDefault="00FC50E1">
            <w:pPr>
              <w:pStyle w:val="TableCell"/>
              <w:keepNext w:val="0"/>
              <w:spacing w:before="60" w:after="60"/>
              <w:jc w:val="left"/>
              <w:rPr>
                <w:rFonts w:eastAsia="Calibri" w:cs="Arial"/>
                <w:i/>
                <w:szCs w:val="18"/>
              </w:rPr>
            </w:pPr>
            <w:r w:rsidRPr="001570EA">
              <w:rPr>
                <w:rFonts w:cs="Arial"/>
                <w:i/>
                <w:iCs/>
                <w:szCs w:val="18"/>
              </w:rPr>
              <w:t>Default Model Losses</w:t>
            </w:r>
          </w:p>
        </w:tc>
        <w:tc>
          <w:tcPr>
            <w:tcW w:w="675" w:type="pct"/>
            <w:vAlign w:val="center"/>
          </w:tcPr>
          <w:p w14:paraId="26ABA15A" w14:textId="77777777" w:rsidR="00FC50E1" w:rsidRPr="001570EA" w:rsidRDefault="00FC50E1">
            <w:pPr>
              <w:pStyle w:val="TableCell"/>
              <w:keepNext w:val="0"/>
              <w:spacing w:before="60" w:after="60"/>
              <w:jc w:val="center"/>
              <w:rPr>
                <w:rFonts w:eastAsia="Calibri" w:cs="Arial"/>
                <w:i/>
                <w:szCs w:val="18"/>
              </w:rPr>
            </w:pPr>
            <w:r w:rsidRPr="001570EA">
              <w:rPr>
                <w:rFonts w:cs="Arial"/>
                <w:i/>
                <w:iCs/>
                <w:szCs w:val="18"/>
              </w:rPr>
              <w:t>%</w:t>
            </w:r>
          </w:p>
        </w:tc>
        <w:tc>
          <w:tcPr>
            <w:tcW w:w="1809" w:type="pct"/>
            <w:gridSpan w:val="2"/>
            <w:vAlign w:val="center"/>
          </w:tcPr>
          <w:p w14:paraId="2159D2A3" w14:textId="77777777" w:rsidR="00FC50E1" w:rsidRPr="001570EA" w:rsidRDefault="00FC50E1">
            <w:pPr>
              <w:pStyle w:val="TableCell"/>
              <w:keepNext w:val="0"/>
              <w:spacing w:before="60" w:after="60"/>
              <w:jc w:val="center"/>
              <w:rPr>
                <w:rFonts w:cs="Arial"/>
                <w:szCs w:val="18"/>
              </w:rPr>
            </w:pPr>
            <w:r w:rsidRPr="001570EA">
              <w:rPr>
                <w:rFonts w:cs="Arial"/>
                <w:szCs w:val="18"/>
              </w:rPr>
              <w:t>14.08%</w:t>
            </w:r>
          </w:p>
        </w:tc>
        <w:tc>
          <w:tcPr>
            <w:tcW w:w="1058" w:type="pct"/>
            <w:vAlign w:val="center"/>
          </w:tcPr>
          <w:p w14:paraId="0DF281FF" w14:textId="77777777" w:rsidR="00FC50E1" w:rsidRPr="001570EA" w:rsidRDefault="00FC50E1">
            <w:pPr>
              <w:pStyle w:val="TableCell"/>
              <w:keepNext w:val="0"/>
              <w:spacing w:before="60" w:after="60"/>
              <w:jc w:val="center"/>
              <w:rPr>
                <w:rFonts w:eastAsia="Calibri" w:cs="Arial"/>
                <w:szCs w:val="18"/>
              </w:rPr>
            </w:pPr>
            <w:r w:rsidRPr="001570EA">
              <w:rPr>
                <w:rFonts w:eastAsia="Calibri" w:cs="Arial"/>
                <w:szCs w:val="18"/>
              </w:rPr>
              <w:t>PV Watts Model</w:t>
            </w:r>
          </w:p>
        </w:tc>
      </w:tr>
      <w:tr w:rsidR="00FC50E1" w:rsidRPr="001570EA" w14:paraId="2F4AA003" w14:textId="77777777">
        <w:trPr>
          <w:trHeight w:val="218"/>
        </w:trPr>
        <w:tc>
          <w:tcPr>
            <w:tcW w:w="1458" w:type="pct"/>
            <w:tcBorders>
              <w:left w:val="single" w:sz="4" w:space="0" w:color="auto"/>
              <w:right w:val="single" w:sz="4" w:space="0" w:color="auto"/>
            </w:tcBorders>
            <w:vAlign w:val="center"/>
          </w:tcPr>
          <w:p w14:paraId="4888A2D8" w14:textId="77777777" w:rsidR="00FC50E1" w:rsidRPr="001570EA" w:rsidRDefault="00FC50E1">
            <w:pPr>
              <w:pStyle w:val="TableCell"/>
              <w:keepNext w:val="0"/>
              <w:spacing w:before="60" w:after="60" w:line="256" w:lineRule="auto"/>
              <w:jc w:val="left"/>
              <w:rPr>
                <w:rFonts w:cs="Arial"/>
                <w:szCs w:val="18"/>
              </w:rPr>
            </w:pPr>
            <w:r w:rsidRPr="001570EA">
              <w:rPr>
                <w:rFonts w:cs="Arial"/>
                <w:i/>
                <w:iCs/>
                <w:szCs w:val="18"/>
              </w:rPr>
              <w:t>In-situ Losses</w:t>
            </w:r>
          </w:p>
        </w:tc>
        <w:tc>
          <w:tcPr>
            <w:tcW w:w="675" w:type="pct"/>
            <w:tcBorders>
              <w:left w:val="single" w:sz="4" w:space="0" w:color="auto"/>
              <w:right w:val="single" w:sz="4" w:space="0" w:color="auto"/>
            </w:tcBorders>
            <w:vAlign w:val="center"/>
          </w:tcPr>
          <w:p w14:paraId="3CDC081E" w14:textId="77777777" w:rsidR="00FC50E1" w:rsidRPr="001570EA" w:rsidRDefault="00FC50E1">
            <w:pPr>
              <w:pStyle w:val="TableCell"/>
              <w:keepNext w:val="0"/>
              <w:spacing w:before="60" w:after="60" w:line="256" w:lineRule="auto"/>
              <w:jc w:val="center"/>
              <w:rPr>
                <w:rFonts w:cs="Arial"/>
                <w:i/>
                <w:iCs/>
                <w:szCs w:val="18"/>
              </w:rPr>
            </w:pPr>
            <w:r w:rsidRPr="001570EA">
              <w:rPr>
                <w:rFonts w:cs="Arial"/>
                <w:i/>
                <w:iCs/>
                <w:szCs w:val="18"/>
              </w:rPr>
              <w:t>%</w:t>
            </w:r>
          </w:p>
        </w:tc>
        <w:tc>
          <w:tcPr>
            <w:tcW w:w="1079" w:type="pct"/>
            <w:vAlign w:val="center"/>
          </w:tcPr>
          <w:p w14:paraId="603043F5" w14:textId="77777777" w:rsidR="00FC50E1" w:rsidRPr="001570EA" w:rsidRDefault="00FC50E1" w:rsidP="00E67FF9">
            <w:pPr>
              <w:pStyle w:val="TableCell"/>
              <w:keepNext w:val="0"/>
              <w:spacing w:before="60" w:after="60" w:line="256" w:lineRule="auto"/>
              <w:jc w:val="center"/>
              <w:rPr>
                <w:rFonts w:eastAsia="Calibri" w:cs="Arial"/>
                <w:szCs w:val="18"/>
                <w:vertAlign w:val="subscript"/>
              </w:rPr>
            </w:pPr>
            <w:r w:rsidRPr="001570EA">
              <w:rPr>
                <w:rFonts w:cs="Arial"/>
                <w:szCs w:val="18"/>
              </w:rPr>
              <w:t>Up to 30 kW</w:t>
            </w:r>
            <w:r w:rsidRPr="001570EA">
              <w:rPr>
                <w:rFonts w:cs="Arial"/>
                <w:szCs w:val="18"/>
                <w:vertAlign w:val="subscript"/>
              </w:rPr>
              <w:t>DC</w:t>
            </w:r>
          </w:p>
        </w:tc>
        <w:tc>
          <w:tcPr>
            <w:tcW w:w="730" w:type="pct"/>
            <w:vAlign w:val="center"/>
          </w:tcPr>
          <w:p w14:paraId="36ABFEC6" w14:textId="4A5BC6C8" w:rsidR="00FC50E1" w:rsidRPr="001570EA" w:rsidRDefault="00B22B51">
            <w:pPr>
              <w:pStyle w:val="TableCell"/>
              <w:keepNext w:val="0"/>
              <w:spacing w:before="60" w:after="60" w:line="256" w:lineRule="auto"/>
              <w:jc w:val="center"/>
              <w:rPr>
                <w:rFonts w:eastAsia="Calibri" w:cs="Arial"/>
                <w:szCs w:val="18"/>
              </w:rPr>
            </w:pPr>
            <w:r>
              <w:rPr>
                <w:rFonts w:eastAsia="Calibri" w:cs="Arial"/>
                <w:szCs w:val="18"/>
              </w:rPr>
              <w:t>3.7</w:t>
            </w:r>
            <w:r w:rsidR="00FC50E1" w:rsidRPr="001570EA">
              <w:rPr>
                <w:rFonts w:eastAsia="Calibri" w:cs="Arial"/>
                <w:szCs w:val="18"/>
              </w:rPr>
              <w:t>%</w:t>
            </w:r>
          </w:p>
        </w:tc>
        <w:tc>
          <w:tcPr>
            <w:tcW w:w="1058" w:type="pct"/>
            <w:vAlign w:val="center"/>
          </w:tcPr>
          <w:p w14:paraId="7F59B390"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4</w:t>
            </w:r>
          </w:p>
        </w:tc>
      </w:tr>
      <w:tr w:rsidR="00FC50E1" w:rsidRPr="001570EA" w14:paraId="25F3725A" w14:textId="77777777">
        <w:trPr>
          <w:trHeight w:val="432"/>
        </w:trPr>
        <w:tc>
          <w:tcPr>
            <w:tcW w:w="1458" w:type="pct"/>
            <w:tcBorders>
              <w:left w:val="single" w:sz="4" w:space="0" w:color="auto"/>
              <w:right w:val="single" w:sz="4" w:space="0" w:color="auto"/>
            </w:tcBorders>
            <w:vAlign w:val="center"/>
          </w:tcPr>
          <w:p w14:paraId="5CE960F0" w14:textId="77777777" w:rsidR="00FC50E1" w:rsidRPr="001570EA" w:rsidRDefault="00FC50E1">
            <w:pPr>
              <w:pStyle w:val="TableCell"/>
              <w:keepNext w:val="0"/>
              <w:spacing w:before="60" w:after="60" w:line="256" w:lineRule="auto"/>
              <w:jc w:val="left"/>
              <w:rPr>
                <w:rFonts w:cs="Arial"/>
                <w:szCs w:val="18"/>
              </w:rPr>
            </w:pPr>
            <w:r w:rsidRPr="001570EA">
              <w:rPr>
                <w:rFonts w:cs="Arial"/>
                <w:i/>
                <w:iCs/>
                <w:szCs w:val="18"/>
              </w:rPr>
              <w:t>Array Tilt</w:t>
            </w:r>
          </w:p>
        </w:tc>
        <w:tc>
          <w:tcPr>
            <w:tcW w:w="675" w:type="pct"/>
            <w:tcBorders>
              <w:left w:val="single" w:sz="4" w:space="0" w:color="auto"/>
              <w:right w:val="single" w:sz="4" w:space="0" w:color="auto"/>
            </w:tcBorders>
            <w:vAlign w:val="center"/>
          </w:tcPr>
          <w:p w14:paraId="0038CCD4" w14:textId="77777777" w:rsidR="00FC50E1" w:rsidRPr="001570EA" w:rsidRDefault="00FC50E1">
            <w:pPr>
              <w:pStyle w:val="TableCell"/>
              <w:keepNext w:val="0"/>
              <w:spacing w:before="60" w:after="60" w:line="256" w:lineRule="auto"/>
              <w:jc w:val="center"/>
              <w:rPr>
                <w:rFonts w:cs="Arial"/>
                <w:i/>
                <w:szCs w:val="18"/>
              </w:rPr>
            </w:pPr>
            <w:r w:rsidRPr="001570EA">
              <w:rPr>
                <w:rFonts w:cs="Arial"/>
                <w:i/>
                <w:szCs w:val="18"/>
              </w:rPr>
              <w:t>degrees</w:t>
            </w:r>
          </w:p>
        </w:tc>
        <w:tc>
          <w:tcPr>
            <w:tcW w:w="1809" w:type="pct"/>
            <w:gridSpan w:val="2"/>
            <w:tcBorders>
              <w:top w:val="single" w:sz="4" w:space="0" w:color="auto"/>
              <w:left w:val="single" w:sz="4" w:space="0" w:color="auto"/>
              <w:right w:val="single" w:sz="4" w:space="0" w:color="auto"/>
            </w:tcBorders>
            <w:vAlign w:val="center"/>
          </w:tcPr>
          <w:p w14:paraId="1E169B3D" w14:textId="77777777" w:rsidR="00FC50E1" w:rsidRPr="001570EA" w:rsidRDefault="00FC50E1">
            <w:pPr>
              <w:keepNext/>
              <w:spacing w:before="60" w:after="60"/>
              <w:jc w:val="center"/>
              <w:rPr>
                <w:rFonts w:cs="Arial"/>
                <w:sz w:val="18"/>
                <w:szCs w:val="18"/>
              </w:rPr>
            </w:pPr>
            <w:r w:rsidRPr="001570EA">
              <w:rPr>
                <w:rFonts w:cs="Arial"/>
                <w:sz w:val="18"/>
                <w:szCs w:val="18"/>
              </w:rPr>
              <w:t>EDC Data Gathering</w:t>
            </w:r>
          </w:p>
        </w:tc>
        <w:tc>
          <w:tcPr>
            <w:tcW w:w="1058" w:type="pct"/>
            <w:tcBorders>
              <w:top w:val="single" w:sz="4" w:space="0" w:color="auto"/>
              <w:left w:val="single" w:sz="4" w:space="0" w:color="auto"/>
              <w:right w:val="single" w:sz="4" w:space="0" w:color="auto"/>
            </w:tcBorders>
            <w:vAlign w:val="center"/>
          </w:tcPr>
          <w:p w14:paraId="644E2BCE" w14:textId="77777777" w:rsidR="00FC50E1" w:rsidRPr="001570EA" w:rsidRDefault="00FC50E1">
            <w:pPr>
              <w:pStyle w:val="TableCell"/>
              <w:keepNext w:val="0"/>
              <w:spacing w:before="60" w:after="60" w:line="256" w:lineRule="auto"/>
              <w:jc w:val="center"/>
              <w:rPr>
                <w:rFonts w:eastAsia="Calibri" w:cs="Arial"/>
                <w:szCs w:val="18"/>
              </w:rPr>
            </w:pPr>
            <w:r w:rsidRPr="001570EA">
              <w:rPr>
                <w:rFonts w:cs="Arial"/>
                <w:szCs w:val="18"/>
              </w:rPr>
              <w:t>EDC Data Gathering</w:t>
            </w:r>
          </w:p>
        </w:tc>
      </w:tr>
      <w:tr w:rsidR="00FC50E1" w:rsidRPr="001570EA" w14:paraId="66D236DB" w14:textId="77777777">
        <w:trPr>
          <w:trHeight w:val="432"/>
        </w:trPr>
        <w:tc>
          <w:tcPr>
            <w:tcW w:w="1458" w:type="pct"/>
            <w:tcBorders>
              <w:left w:val="single" w:sz="4" w:space="0" w:color="auto"/>
              <w:right w:val="single" w:sz="4" w:space="0" w:color="auto"/>
            </w:tcBorders>
            <w:vAlign w:val="center"/>
          </w:tcPr>
          <w:p w14:paraId="0776AB7C" w14:textId="77777777" w:rsidR="00FC50E1" w:rsidRPr="001570EA" w:rsidRDefault="00FC50E1">
            <w:pPr>
              <w:pStyle w:val="TableCell"/>
              <w:keepNext w:val="0"/>
              <w:spacing w:before="60" w:after="60" w:line="256" w:lineRule="auto"/>
              <w:jc w:val="left"/>
              <w:rPr>
                <w:rFonts w:cs="Arial"/>
                <w:szCs w:val="18"/>
              </w:rPr>
            </w:pPr>
            <w:r w:rsidRPr="001570EA">
              <w:rPr>
                <w:rFonts w:cs="Arial"/>
                <w:i/>
                <w:iCs/>
                <w:szCs w:val="18"/>
              </w:rPr>
              <w:t>Array Azimuth</w:t>
            </w:r>
          </w:p>
        </w:tc>
        <w:tc>
          <w:tcPr>
            <w:tcW w:w="675" w:type="pct"/>
            <w:tcBorders>
              <w:left w:val="single" w:sz="4" w:space="0" w:color="auto"/>
              <w:right w:val="single" w:sz="4" w:space="0" w:color="auto"/>
            </w:tcBorders>
            <w:vAlign w:val="center"/>
          </w:tcPr>
          <w:p w14:paraId="6E9D5DC8" w14:textId="77777777" w:rsidR="00FC50E1" w:rsidRPr="001570EA" w:rsidRDefault="00FC50E1">
            <w:pPr>
              <w:keepNext/>
              <w:spacing w:before="60" w:after="60"/>
              <w:jc w:val="center"/>
              <w:rPr>
                <w:rFonts w:cs="Arial"/>
                <w:sz w:val="18"/>
                <w:szCs w:val="18"/>
              </w:rPr>
            </w:pPr>
            <w:r w:rsidRPr="001570EA">
              <w:rPr>
                <w:rFonts w:cs="Arial"/>
                <w:i/>
                <w:sz w:val="18"/>
                <w:szCs w:val="18"/>
              </w:rPr>
              <w:t>degrees</w:t>
            </w:r>
          </w:p>
        </w:tc>
        <w:tc>
          <w:tcPr>
            <w:tcW w:w="1809" w:type="pct"/>
            <w:gridSpan w:val="2"/>
            <w:tcBorders>
              <w:top w:val="single" w:sz="4" w:space="0" w:color="auto"/>
              <w:left w:val="single" w:sz="4" w:space="0" w:color="auto"/>
              <w:right w:val="single" w:sz="4" w:space="0" w:color="auto"/>
            </w:tcBorders>
            <w:vAlign w:val="center"/>
          </w:tcPr>
          <w:p w14:paraId="2623A22A" w14:textId="77777777" w:rsidR="00FC50E1" w:rsidRPr="001570EA" w:rsidRDefault="00FC50E1">
            <w:pPr>
              <w:keepNext/>
              <w:spacing w:before="60" w:after="60"/>
              <w:jc w:val="center"/>
              <w:rPr>
                <w:rFonts w:cs="Arial"/>
                <w:sz w:val="18"/>
                <w:szCs w:val="18"/>
              </w:rPr>
            </w:pPr>
            <w:r w:rsidRPr="001570EA">
              <w:rPr>
                <w:rFonts w:cs="Arial"/>
                <w:sz w:val="18"/>
                <w:szCs w:val="18"/>
              </w:rPr>
              <w:t>EDC Data Gathering</w:t>
            </w:r>
          </w:p>
        </w:tc>
        <w:tc>
          <w:tcPr>
            <w:tcW w:w="1058" w:type="pct"/>
            <w:tcBorders>
              <w:top w:val="single" w:sz="4" w:space="0" w:color="auto"/>
              <w:left w:val="single" w:sz="4" w:space="0" w:color="auto"/>
              <w:right w:val="single" w:sz="4" w:space="0" w:color="auto"/>
            </w:tcBorders>
            <w:vAlign w:val="center"/>
          </w:tcPr>
          <w:p w14:paraId="4010FD4D" w14:textId="77777777" w:rsidR="00FC50E1" w:rsidRPr="001570EA" w:rsidRDefault="00FC50E1">
            <w:pPr>
              <w:pStyle w:val="TableCell"/>
              <w:keepNext w:val="0"/>
              <w:spacing w:before="60" w:after="60" w:line="256" w:lineRule="auto"/>
              <w:jc w:val="center"/>
              <w:rPr>
                <w:rFonts w:eastAsia="Calibri" w:cs="Arial"/>
                <w:szCs w:val="18"/>
              </w:rPr>
            </w:pPr>
            <w:r w:rsidRPr="001570EA">
              <w:rPr>
                <w:rFonts w:cs="Arial"/>
                <w:szCs w:val="18"/>
              </w:rPr>
              <w:t>EDC Data Gathering</w:t>
            </w:r>
          </w:p>
        </w:tc>
      </w:tr>
      <w:tr w:rsidR="00FC50E1" w:rsidRPr="001570EA" w14:paraId="26CE1DED" w14:textId="77777777">
        <w:trPr>
          <w:trHeight w:val="432"/>
        </w:trPr>
        <w:tc>
          <w:tcPr>
            <w:tcW w:w="1458" w:type="pct"/>
            <w:tcBorders>
              <w:left w:val="single" w:sz="4" w:space="0" w:color="auto"/>
              <w:right w:val="single" w:sz="4" w:space="0" w:color="auto"/>
            </w:tcBorders>
            <w:vAlign w:val="center"/>
          </w:tcPr>
          <w:p w14:paraId="298F5F21" w14:textId="77777777" w:rsidR="00FC50E1" w:rsidRPr="001570EA" w:rsidRDefault="00FC50E1">
            <w:pPr>
              <w:pStyle w:val="TableCell"/>
              <w:keepNext w:val="0"/>
              <w:spacing w:before="60" w:after="60" w:line="256" w:lineRule="auto"/>
              <w:jc w:val="left"/>
              <w:rPr>
                <w:rFonts w:cs="Arial"/>
                <w:i/>
                <w:iCs/>
                <w:szCs w:val="18"/>
              </w:rPr>
            </w:pPr>
            <w:r w:rsidRPr="001570EA">
              <w:rPr>
                <w:rFonts w:cs="Arial"/>
                <w:i/>
                <w:iCs/>
                <w:szCs w:val="18"/>
              </w:rPr>
              <w:t>∆Aziumth</w:t>
            </w:r>
          </w:p>
        </w:tc>
        <w:tc>
          <w:tcPr>
            <w:tcW w:w="675" w:type="pct"/>
            <w:tcBorders>
              <w:left w:val="single" w:sz="4" w:space="0" w:color="auto"/>
              <w:right w:val="single" w:sz="4" w:space="0" w:color="auto"/>
            </w:tcBorders>
            <w:vAlign w:val="center"/>
          </w:tcPr>
          <w:p w14:paraId="7C413A38" w14:textId="77777777" w:rsidR="00FC50E1" w:rsidRPr="001570EA" w:rsidRDefault="00FC50E1">
            <w:pPr>
              <w:keepNext/>
              <w:spacing w:before="60" w:after="60"/>
              <w:jc w:val="center"/>
              <w:rPr>
                <w:rFonts w:cs="Arial"/>
                <w:i/>
                <w:sz w:val="18"/>
                <w:szCs w:val="18"/>
              </w:rPr>
            </w:pPr>
            <w:r w:rsidRPr="001570EA">
              <w:rPr>
                <w:rFonts w:cs="Arial"/>
                <w:i/>
                <w:sz w:val="18"/>
                <w:szCs w:val="18"/>
              </w:rPr>
              <w:t>degrees</w:t>
            </w:r>
          </w:p>
        </w:tc>
        <w:tc>
          <w:tcPr>
            <w:tcW w:w="1809" w:type="pct"/>
            <w:gridSpan w:val="2"/>
            <w:tcBorders>
              <w:top w:val="single" w:sz="4" w:space="0" w:color="auto"/>
              <w:left w:val="single" w:sz="4" w:space="0" w:color="auto"/>
              <w:right w:val="single" w:sz="4" w:space="0" w:color="auto"/>
            </w:tcBorders>
            <w:vAlign w:val="center"/>
          </w:tcPr>
          <w:p w14:paraId="6D637040" w14:textId="77777777" w:rsidR="00FC50E1" w:rsidRPr="001570EA" w:rsidRDefault="00FC50E1">
            <w:pPr>
              <w:keepNext/>
              <w:spacing w:before="60" w:after="60"/>
              <w:jc w:val="center"/>
              <w:rPr>
                <w:rFonts w:cs="Arial"/>
                <w:sz w:val="18"/>
                <w:szCs w:val="18"/>
              </w:rPr>
            </w:pPr>
            <w:r w:rsidRPr="001570EA">
              <w:rPr>
                <w:rFonts w:cs="Arial"/>
                <w:sz w:val="18"/>
                <w:szCs w:val="18"/>
              </w:rPr>
              <w:t>Calculated</w:t>
            </w:r>
          </w:p>
        </w:tc>
        <w:tc>
          <w:tcPr>
            <w:tcW w:w="1058" w:type="pct"/>
            <w:tcBorders>
              <w:top w:val="single" w:sz="4" w:space="0" w:color="auto"/>
              <w:left w:val="single" w:sz="4" w:space="0" w:color="auto"/>
              <w:right w:val="single" w:sz="4" w:space="0" w:color="auto"/>
            </w:tcBorders>
            <w:vAlign w:val="center"/>
          </w:tcPr>
          <w:p w14:paraId="1AD63579" w14:textId="77777777" w:rsidR="00FC50E1" w:rsidRPr="001570EA" w:rsidRDefault="00FC50E1">
            <w:pPr>
              <w:pStyle w:val="TableCell"/>
              <w:keepNext w:val="0"/>
              <w:spacing w:before="60" w:after="60" w:line="256" w:lineRule="auto"/>
              <w:jc w:val="center"/>
              <w:rPr>
                <w:rFonts w:cs="Arial"/>
                <w:szCs w:val="18"/>
              </w:rPr>
            </w:pPr>
            <w:r w:rsidRPr="001570EA">
              <w:rPr>
                <w:rFonts w:cs="Arial"/>
                <w:szCs w:val="18"/>
              </w:rPr>
              <w:t>Calculation</w:t>
            </w:r>
          </w:p>
        </w:tc>
      </w:tr>
      <w:tr w:rsidR="00FC50E1" w:rsidRPr="001570EA" w14:paraId="59046069" w14:textId="77777777">
        <w:trPr>
          <w:trHeight w:val="432"/>
        </w:trPr>
        <w:tc>
          <w:tcPr>
            <w:tcW w:w="1458" w:type="pct"/>
            <w:tcBorders>
              <w:left w:val="single" w:sz="4" w:space="0" w:color="auto"/>
              <w:right w:val="single" w:sz="4" w:space="0" w:color="auto"/>
            </w:tcBorders>
            <w:vAlign w:val="center"/>
          </w:tcPr>
          <w:p w14:paraId="4C5EE510" w14:textId="77777777" w:rsidR="00FC50E1" w:rsidRPr="001570EA" w:rsidRDefault="00FC50E1">
            <w:pPr>
              <w:pStyle w:val="TableCell"/>
              <w:keepNext w:val="0"/>
              <w:spacing w:before="60" w:after="60" w:line="256" w:lineRule="auto"/>
              <w:jc w:val="left"/>
              <w:rPr>
                <w:rFonts w:cs="Arial"/>
                <w:i/>
                <w:iCs/>
                <w:szCs w:val="18"/>
              </w:rPr>
            </w:pPr>
            <w:r w:rsidRPr="001570EA">
              <w:rPr>
                <w:rFonts w:cs="Arial"/>
                <w:i/>
                <w:iCs/>
                <w:szCs w:val="18"/>
              </w:rPr>
              <w:t>Advanced Parameters</w:t>
            </w:r>
          </w:p>
        </w:tc>
        <w:tc>
          <w:tcPr>
            <w:tcW w:w="675" w:type="pct"/>
            <w:tcBorders>
              <w:left w:val="single" w:sz="4" w:space="0" w:color="auto"/>
              <w:right w:val="single" w:sz="4" w:space="0" w:color="auto"/>
            </w:tcBorders>
            <w:vAlign w:val="center"/>
          </w:tcPr>
          <w:p w14:paraId="6F867A17" w14:textId="77777777" w:rsidR="00FC50E1" w:rsidRPr="001570EA" w:rsidRDefault="00FC50E1">
            <w:pPr>
              <w:pStyle w:val="TableCell"/>
              <w:keepNext w:val="0"/>
              <w:spacing w:before="60" w:after="60" w:line="256" w:lineRule="auto"/>
              <w:jc w:val="center"/>
              <w:rPr>
                <w:rFonts w:cs="Arial"/>
                <w:szCs w:val="18"/>
              </w:rPr>
            </w:pPr>
            <w:r w:rsidRPr="001570EA">
              <w:rPr>
                <w:rFonts w:eastAsia="Calibri" w:cs="Arial"/>
                <w:i/>
                <w:szCs w:val="18"/>
              </w:rPr>
              <w:t>n/a</w:t>
            </w:r>
          </w:p>
        </w:tc>
        <w:tc>
          <w:tcPr>
            <w:tcW w:w="1809" w:type="pct"/>
            <w:gridSpan w:val="2"/>
            <w:tcBorders>
              <w:top w:val="single" w:sz="4" w:space="0" w:color="auto"/>
              <w:left w:val="single" w:sz="4" w:space="0" w:color="auto"/>
              <w:bottom w:val="single" w:sz="4" w:space="0" w:color="auto"/>
              <w:right w:val="single" w:sz="4" w:space="0" w:color="auto"/>
            </w:tcBorders>
            <w:vAlign w:val="center"/>
          </w:tcPr>
          <w:p w14:paraId="1506B80C"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As defined by PV Watts</w:t>
            </w:r>
          </w:p>
        </w:tc>
        <w:tc>
          <w:tcPr>
            <w:tcW w:w="1058" w:type="pct"/>
            <w:tcBorders>
              <w:top w:val="single" w:sz="4" w:space="0" w:color="auto"/>
              <w:left w:val="single" w:sz="4" w:space="0" w:color="auto"/>
              <w:bottom w:val="single" w:sz="4" w:space="0" w:color="auto"/>
              <w:right w:val="single" w:sz="4" w:space="0" w:color="auto"/>
            </w:tcBorders>
            <w:vAlign w:val="center"/>
          </w:tcPr>
          <w:p w14:paraId="3DCF6938"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PV Watts Model</w:t>
            </w:r>
          </w:p>
        </w:tc>
      </w:tr>
      <w:tr w:rsidR="00FC50E1" w:rsidRPr="001570EA" w14:paraId="616F7FEC" w14:textId="77777777">
        <w:trPr>
          <w:trHeight w:val="432"/>
        </w:trPr>
        <w:tc>
          <w:tcPr>
            <w:tcW w:w="1458" w:type="pct"/>
            <w:tcBorders>
              <w:left w:val="single" w:sz="4" w:space="0" w:color="auto"/>
              <w:right w:val="single" w:sz="4" w:space="0" w:color="auto"/>
            </w:tcBorders>
            <w:vAlign w:val="center"/>
          </w:tcPr>
          <w:p w14:paraId="17F37889" w14:textId="77777777" w:rsidR="00FC50E1" w:rsidRPr="001570EA" w:rsidRDefault="00FC50E1">
            <w:pPr>
              <w:pStyle w:val="TableCell"/>
              <w:keepNext w:val="0"/>
              <w:spacing w:before="60" w:after="60" w:line="257" w:lineRule="auto"/>
              <w:ind w:left="288"/>
              <w:jc w:val="left"/>
              <w:rPr>
                <w:rFonts w:cs="Arial"/>
                <w:i/>
                <w:iCs/>
                <w:szCs w:val="18"/>
              </w:rPr>
            </w:pPr>
            <w:r w:rsidRPr="001570EA">
              <w:rPr>
                <w:rFonts w:cs="Arial"/>
                <w:i/>
                <w:iCs/>
                <w:szCs w:val="18"/>
              </w:rPr>
              <w:t>DC to AC Size Ratio</w:t>
            </w:r>
          </w:p>
        </w:tc>
        <w:tc>
          <w:tcPr>
            <w:tcW w:w="675" w:type="pct"/>
            <w:tcBorders>
              <w:left w:val="single" w:sz="4" w:space="0" w:color="auto"/>
              <w:right w:val="single" w:sz="4" w:space="0" w:color="auto"/>
            </w:tcBorders>
            <w:vAlign w:val="center"/>
          </w:tcPr>
          <w:p w14:paraId="7263D1D2" w14:textId="77777777" w:rsidR="00FC50E1" w:rsidRPr="001570EA" w:rsidRDefault="00FC50E1">
            <w:pPr>
              <w:pStyle w:val="TableCell"/>
              <w:keepNext w:val="0"/>
              <w:spacing w:before="60" w:after="60" w:line="256" w:lineRule="auto"/>
              <w:jc w:val="center"/>
              <w:rPr>
                <w:rFonts w:eastAsia="Calibri" w:cs="Arial"/>
                <w:i/>
                <w:szCs w:val="18"/>
              </w:rPr>
            </w:pPr>
            <w:r w:rsidRPr="001570EA">
              <w:rPr>
                <w:rFonts w:eastAsia="Calibri" w:cs="Arial"/>
                <w:i/>
                <w:szCs w:val="18"/>
              </w:rPr>
              <w:t>n/a</w:t>
            </w:r>
          </w:p>
        </w:tc>
        <w:tc>
          <w:tcPr>
            <w:tcW w:w="1809" w:type="pct"/>
            <w:gridSpan w:val="2"/>
            <w:tcBorders>
              <w:top w:val="single" w:sz="4" w:space="0" w:color="auto"/>
              <w:left w:val="single" w:sz="4" w:space="0" w:color="auto"/>
              <w:bottom w:val="single" w:sz="4" w:space="0" w:color="auto"/>
              <w:right w:val="single" w:sz="4" w:space="0" w:color="auto"/>
            </w:tcBorders>
            <w:vAlign w:val="center"/>
          </w:tcPr>
          <w:p w14:paraId="7A754C03"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1.2</w:t>
            </w:r>
          </w:p>
        </w:tc>
        <w:tc>
          <w:tcPr>
            <w:tcW w:w="1058" w:type="pct"/>
            <w:tcBorders>
              <w:top w:val="single" w:sz="4" w:space="0" w:color="auto"/>
              <w:left w:val="single" w:sz="4" w:space="0" w:color="auto"/>
              <w:bottom w:val="single" w:sz="4" w:space="0" w:color="auto"/>
              <w:right w:val="single" w:sz="4" w:space="0" w:color="auto"/>
            </w:tcBorders>
            <w:vAlign w:val="center"/>
          </w:tcPr>
          <w:p w14:paraId="00F2107F"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Default</w:t>
            </w:r>
          </w:p>
        </w:tc>
      </w:tr>
      <w:tr w:rsidR="00FC50E1" w:rsidRPr="001570EA" w14:paraId="1828AAF9" w14:textId="77777777">
        <w:trPr>
          <w:trHeight w:val="432"/>
        </w:trPr>
        <w:tc>
          <w:tcPr>
            <w:tcW w:w="1458" w:type="pct"/>
            <w:tcBorders>
              <w:left w:val="single" w:sz="4" w:space="0" w:color="auto"/>
              <w:right w:val="single" w:sz="4" w:space="0" w:color="auto"/>
            </w:tcBorders>
            <w:vAlign w:val="center"/>
          </w:tcPr>
          <w:p w14:paraId="0D8B6BE3" w14:textId="77777777" w:rsidR="00FC50E1" w:rsidRPr="001570EA" w:rsidRDefault="00FC50E1">
            <w:pPr>
              <w:pStyle w:val="TableCell"/>
              <w:keepNext w:val="0"/>
              <w:spacing w:before="60" w:after="60" w:line="257" w:lineRule="auto"/>
              <w:ind w:left="288"/>
              <w:jc w:val="left"/>
              <w:rPr>
                <w:rFonts w:cs="Arial"/>
                <w:i/>
                <w:iCs/>
                <w:szCs w:val="18"/>
              </w:rPr>
            </w:pPr>
            <w:r w:rsidRPr="001570EA">
              <w:rPr>
                <w:rFonts w:cs="Arial"/>
                <w:i/>
                <w:iCs/>
                <w:szCs w:val="18"/>
              </w:rPr>
              <w:t>Inverter Efficiency</w:t>
            </w:r>
          </w:p>
        </w:tc>
        <w:tc>
          <w:tcPr>
            <w:tcW w:w="675" w:type="pct"/>
            <w:tcBorders>
              <w:left w:val="single" w:sz="4" w:space="0" w:color="auto"/>
              <w:right w:val="single" w:sz="4" w:space="0" w:color="auto"/>
            </w:tcBorders>
            <w:vAlign w:val="center"/>
          </w:tcPr>
          <w:p w14:paraId="38B698AA" w14:textId="77777777" w:rsidR="00FC50E1" w:rsidRPr="001570EA" w:rsidRDefault="00FC50E1">
            <w:pPr>
              <w:pStyle w:val="TableCell"/>
              <w:keepNext w:val="0"/>
              <w:spacing w:before="60" w:after="60" w:line="256" w:lineRule="auto"/>
              <w:jc w:val="center"/>
              <w:rPr>
                <w:rFonts w:eastAsia="Calibri" w:cs="Arial"/>
                <w:i/>
                <w:szCs w:val="18"/>
              </w:rPr>
            </w:pPr>
            <w:r w:rsidRPr="001570EA">
              <w:rPr>
                <w:rFonts w:eastAsia="Calibri" w:cs="Arial"/>
                <w:i/>
                <w:szCs w:val="18"/>
              </w:rPr>
              <w:t>%</w:t>
            </w:r>
          </w:p>
        </w:tc>
        <w:tc>
          <w:tcPr>
            <w:tcW w:w="1809" w:type="pct"/>
            <w:gridSpan w:val="2"/>
            <w:tcBorders>
              <w:top w:val="single" w:sz="4" w:space="0" w:color="auto"/>
              <w:left w:val="single" w:sz="4" w:space="0" w:color="auto"/>
              <w:bottom w:val="single" w:sz="4" w:space="0" w:color="auto"/>
              <w:right w:val="single" w:sz="4" w:space="0" w:color="auto"/>
            </w:tcBorders>
            <w:vAlign w:val="center"/>
          </w:tcPr>
          <w:p w14:paraId="500B8A3F"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96</w:t>
            </w:r>
          </w:p>
        </w:tc>
        <w:tc>
          <w:tcPr>
            <w:tcW w:w="1058" w:type="pct"/>
            <w:tcBorders>
              <w:top w:val="single" w:sz="4" w:space="0" w:color="auto"/>
              <w:left w:val="single" w:sz="4" w:space="0" w:color="auto"/>
              <w:bottom w:val="single" w:sz="4" w:space="0" w:color="auto"/>
              <w:right w:val="single" w:sz="4" w:space="0" w:color="auto"/>
            </w:tcBorders>
          </w:tcPr>
          <w:p w14:paraId="65C38094"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Default</w:t>
            </w:r>
          </w:p>
        </w:tc>
      </w:tr>
      <w:tr w:rsidR="00FC50E1" w:rsidRPr="001570EA" w14:paraId="6FA3193B" w14:textId="77777777">
        <w:trPr>
          <w:trHeight w:val="432"/>
        </w:trPr>
        <w:tc>
          <w:tcPr>
            <w:tcW w:w="1458" w:type="pct"/>
            <w:tcBorders>
              <w:left w:val="single" w:sz="4" w:space="0" w:color="auto"/>
              <w:right w:val="single" w:sz="4" w:space="0" w:color="auto"/>
            </w:tcBorders>
            <w:vAlign w:val="center"/>
          </w:tcPr>
          <w:p w14:paraId="6B33D9F0" w14:textId="77777777" w:rsidR="00FC50E1" w:rsidRPr="001570EA" w:rsidRDefault="00FC50E1">
            <w:pPr>
              <w:pStyle w:val="TableCell"/>
              <w:keepNext w:val="0"/>
              <w:spacing w:before="60" w:after="60" w:line="257" w:lineRule="auto"/>
              <w:ind w:left="288"/>
              <w:jc w:val="left"/>
              <w:rPr>
                <w:rFonts w:cs="Arial"/>
                <w:i/>
                <w:iCs/>
                <w:szCs w:val="18"/>
              </w:rPr>
            </w:pPr>
            <w:r w:rsidRPr="001570EA">
              <w:rPr>
                <w:rFonts w:cs="Arial"/>
                <w:i/>
                <w:iCs/>
                <w:szCs w:val="18"/>
              </w:rPr>
              <w:t>Ground Coverage Ratio</w:t>
            </w:r>
          </w:p>
        </w:tc>
        <w:tc>
          <w:tcPr>
            <w:tcW w:w="675" w:type="pct"/>
            <w:tcBorders>
              <w:left w:val="single" w:sz="4" w:space="0" w:color="auto"/>
              <w:right w:val="single" w:sz="4" w:space="0" w:color="auto"/>
            </w:tcBorders>
            <w:vAlign w:val="center"/>
          </w:tcPr>
          <w:p w14:paraId="3F3CB0F7" w14:textId="77777777" w:rsidR="00FC50E1" w:rsidRPr="001570EA" w:rsidRDefault="00FC50E1">
            <w:pPr>
              <w:pStyle w:val="TableCell"/>
              <w:keepNext w:val="0"/>
              <w:spacing w:before="60" w:after="60" w:line="256" w:lineRule="auto"/>
              <w:jc w:val="center"/>
              <w:rPr>
                <w:rFonts w:eastAsia="Calibri" w:cs="Arial"/>
                <w:i/>
                <w:szCs w:val="18"/>
              </w:rPr>
            </w:pPr>
            <w:r w:rsidRPr="001570EA">
              <w:rPr>
                <w:rFonts w:eastAsia="Calibri" w:cs="Arial"/>
                <w:i/>
                <w:szCs w:val="18"/>
              </w:rPr>
              <w:t>n/a</w:t>
            </w:r>
          </w:p>
        </w:tc>
        <w:tc>
          <w:tcPr>
            <w:tcW w:w="1809" w:type="pct"/>
            <w:gridSpan w:val="2"/>
            <w:tcBorders>
              <w:top w:val="single" w:sz="4" w:space="0" w:color="auto"/>
              <w:left w:val="single" w:sz="4" w:space="0" w:color="auto"/>
              <w:bottom w:val="single" w:sz="4" w:space="0" w:color="auto"/>
              <w:right w:val="single" w:sz="4" w:space="0" w:color="auto"/>
            </w:tcBorders>
            <w:vAlign w:val="center"/>
          </w:tcPr>
          <w:p w14:paraId="165DD969"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0.4</w:t>
            </w:r>
          </w:p>
        </w:tc>
        <w:tc>
          <w:tcPr>
            <w:tcW w:w="1058" w:type="pct"/>
            <w:tcBorders>
              <w:top w:val="single" w:sz="4" w:space="0" w:color="auto"/>
              <w:left w:val="single" w:sz="4" w:space="0" w:color="auto"/>
              <w:bottom w:val="single" w:sz="4" w:space="0" w:color="auto"/>
              <w:right w:val="single" w:sz="4" w:space="0" w:color="auto"/>
            </w:tcBorders>
          </w:tcPr>
          <w:p w14:paraId="296A5747"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Default</w:t>
            </w:r>
          </w:p>
        </w:tc>
      </w:tr>
      <w:tr w:rsidR="00FC50E1" w:rsidRPr="001570EA" w14:paraId="275772B7" w14:textId="77777777">
        <w:trPr>
          <w:trHeight w:val="432"/>
        </w:trPr>
        <w:tc>
          <w:tcPr>
            <w:tcW w:w="1458" w:type="pct"/>
            <w:tcBorders>
              <w:left w:val="single" w:sz="4" w:space="0" w:color="auto"/>
              <w:right w:val="single" w:sz="4" w:space="0" w:color="auto"/>
            </w:tcBorders>
            <w:vAlign w:val="center"/>
          </w:tcPr>
          <w:p w14:paraId="5F0BCF7D" w14:textId="77777777" w:rsidR="00FC50E1" w:rsidRPr="001570EA" w:rsidRDefault="00FC50E1">
            <w:pPr>
              <w:pStyle w:val="TableCell"/>
              <w:keepNext w:val="0"/>
              <w:spacing w:before="60" w:after="60" w:line="257" w:lineRule="auto"/>
              <w:ind w:left="288"/>
              <w:jc w:val="left"/>
              <w:rPr>
                <w:rFonts w:cs="Arial"/>
                <w:i/>
                <w:iCs/>
                <w:szCs w:val="18"/>
              </w:rPr>
            </w:pPr>
            <w:r w:rsidRPr="001570EA">
              <w:rPr>
                <w:rFonts w:cs="Arial"/>
                <w:i/>
                <w:iCs/>
                <w:szCs w:val="18"/>
              </w:rPr>
              <w:t>Albedo</w:t>
            </w:r>
          </w:p>
        </w:tc>
        <w:tc>
          <w:tcPr>
            <w:tcW w:w="675" w:type="pct"/>
            <w:tcBorders>
              <w:left w:val="single" w:sz="4" w:space="0" w:color="auto"/>
              <w:right w:val="single" w:sz="4" w:space="0" w:color="auto"/>
            </w:tcBorders>
            <w:vAlign w:val="center"/>
          </w:tcPr>
          <w:p w14:paraId="6323CD58" w14:textId="77777777" w:rsidR="00FC50E1" w:rsidRPr="001570EA" w:rsidRDefault="00FC50E1">
            <w:pPr>
              <w:pStyle w:val="TableCell"/>
              <w:keepNext w:val="0"/>
              <w:spacing w:before="60" w:after="60" w:line="256" w:lineRule="auto"/>
              <w:jc w:val="center"/>
              <w:rPr>
                <w:rFonts w:eastAsia="Calibri" w:cs="Arial"/>
                <w:i/>
                <w:szCs w:val="18"/>
              </w:rPr>
            </w:pPr>
            <w:r w:rsidRPr="001570EA">
              <w:rPr>
                <w:rFonts w:eastAsia="Calibri" w:cs="Arial"/>
                <w:i/>
                <w:szCs w:val="18"/>
              </w:rPr>
              <w:t>n/a</w:t>
            </w:r>
          </w:p>
        </w:tc>
        <w:tc>
          <w:tcPr>
            <w:tcW w:w="1809" w:type="pct"/>
            <w:gridSpan w:val="2"/>
            <w:tcBorders>
              <w:top w:val="single" w:sz="4" w:space="0" w:color="auto"/>
              <w:left w:val="single" w:sz="4" w:space="0" w:color="auto"/>
              <w:bottom w:val="single" w:sz="4" w:space="0" w:color="auto"/>
              <w:right w:val="single" w:sz="4" w:space="0" w:color="auto"/>
            </w:tcBorders>
            <w:vAlign w:val="center"/>
          </w:tcPr>
          <w:p w14:paraId="6F898820"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Varies by location</w:t>
            </w:r>
          </w:p>
        </w:tc>
        <w:tc>
          <w:tcPr>
            <w:tcW w:w="1058" w:type="pct"/>
            <w:tcBorders>
              <w:top w:val="single" w:sz="4" w:space="0" w:color="auto"/>
              <w:left w:val="single" w:sz="4" w:space="0" w:color="auto"/>
              <w:bottom w:val="single" w:sz="4" w:space="0" w:color="auto"/>
              <w:right w:val="single" w:sz="4" w:space="0" w:color="auto"/>
            </w:tcBorders>
          </w:tcPr>
          <w:p w14:paraId="0A3827B1"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Default</w:t>
            </w:r>
          </w:p>
        </w:tc>
      </w:tr>
      <w:tr w:rsidR="00FC50E1" w:rsidRPr="001570EA" w14:paraId="17DAC194" w14:textId="77777777">
        <w:trPr>
          <w:trHeight w:val="432"/>
        </w:trPr>
        <w:tc>
          <w:tcPr>
            <w:tcW w:w="1458" w:type="pct"/>
            <w:tcBorders>
              <w:left w:val="single" w:sz="4" w:space="0" w:color="auto"/>
              <w:right w:val="single" w:sz="4" w:space="0" w:color="auto"/>
            </w:tcBorders>
            <w:vAlign w:val="center"/>
          </w:tcPr>
          <w:p w14:paraId="60D89FE9" w14:textId="77777777" w:rsidR="00FC50E1" w:rsidRPr="001570EA" w:rsidRDefault="00FC50E1">
            <w:pPr>
              <w:pStyle w:val="TableCell"/>
              <w:keepNext w:val="0"/>
              <w:spacing w:before="60" w:after="60" w:line="257" w:lineRule="auto"/>
              <w:ind w:left="288"/>
              <w:jc w:val="left"/>
              <w:rPr>
                <w:rFonts w:cs="Arial"/>
                <w:i/>
                <w:iCs/>
                <w:szCs w:val="18"/>
              </w:rPr>
            </w:pPr>
            <w:r w:rsidRPr="001570EA">
              <w:rPr>
                <w:rFonts w:cs="Arial"/>
                <w:i/>
                <w:iCs/>
                <w:szCs w:val="18"/>
              </w:rPr>
              <w:t>Bifacial</w:t>
            </w:r>
          </w:p>
        </w:tc>
        <w:tc>
          <w:tcPr>
            <w:tcW w:w="675" w:type="pct"/>
            <w:tcBorders>
              <w:left w:val="single" w:sz="4" w:space="0" w:color="auto"/>
              <w:right w:val="single" w:sz="4" w:space="0" w:color="auto"/>
            </w:tcBorders>
            <w:vAlign w:val="center"/>
          </w:tcPr>
          <w:p w14:paraId="717B87C8" w14:textId="77777777" w:rsidR="00FC50E1" w:rsidRPr="001570EA" w:rsidRDefault="00FC50E1">
            <w:pPr>
              <w:pStyle w:val="TableCell"/>
              <w:keepNext w:val="0"/>
              <w:spacing w:before="60" w:after="60" w:line="256" w:lineRule="auto"/>
              <w:jc w:val="center"/>
              <w:rPr>
                <w:rFonts w:eastAsia="Calibri" w:cs="Arial"/>
                <w:i/>
                <w:szCs w:val="18"/>
              </w:rPr>
            </w:pPr>
            <w:r w:rsidRPr="001570EA">
              <w:rPr>
                <w:rFonts w:eastAsia="Calibri" w:cs="Arial"/>
                <w:i/>
                <w:szCs w:val="18"/>
              </w:rPr>
              <w:t>n/a</w:t>
            </w:r>
          </w:p>
        </w:tc>
        <w:tc>
          <w:tcPr>
            <w:tcW w:w="1809" w:type="pct"/>
            <w:gridSpan w:val="2"/>
            <w:tcBorders>
              <w:top w:val="single" w:sz="4" w:space="0" w:color="auto"/>
              <w:left w:val="single" w:sz="4" w:space="0" w:color="auto"/>
              <w:bottom w:val="single" w:sz="4" w:space="0" w:color="auto"/>
              <w:right w:val="single" w:sz="4" w:space="0" w:color="auto"/>
            </w:tcBorders>
            <w:vAlign w:val="center"/>
          </w:tcPr>
          <w:p w14:paraId="2B14F134"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No</w:t>
            </w:r>
          </w:p>
        </w:tc>
        <w:tc>
          <w:tcPr>
            <w:tcW w:w="1058" w:type="pct"/>
            <w:tcBorders>
              <w:top w:val="single" w:sz="4" w:space="0" w:color="auto"/>
              <w:left w:val="single" w:sz="4" w:space="0" w:color="auto"/>
              <w:bottom w:val="single" w:sz="4" w:space="0" w:color="auto"/>
              <w:right w:val="single" w:sz="4" w:space="0" w:color="auto"/>
            </w:tcBorders>
          </w:tcPr>
          <w:p w14:paraId="5D7620F2"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Default</w:t>
            </w:r>
          </w:p>
        </w:tc>
      </w:tr>
      <w:tr w:rsidR="00FC50E1" w:rsidRPr="001570EA" w14:paraId="7CC4B0E8" w14:textId="77777777">
        <w:trPr>
          <w:trHeight w:val="432"/>
        </w:trPr>
        <w:tc>
          <w:tcPr>
            <w:tcW w:w="1458" w:type="pct"/>
            <w:tcBorders>
              <w:left w:val="single" w:sz="4" w:space="0" w:color="auto"/>
              <w:right w:val="single" w:sz="4" w:space="0" w:color="auto"/>
            </w:tcBorders>
            <w:vAlign w:val="center"/>
          </w:tcPr>
          <w:p w14:paraId="3E410031" w14:textId="77777777" w:rsidR="00FC50E1" w:rsidRPr="001570EA" w:rsidRDefault="00FC50E1">
            <w:pPr>
              <w:pStyle w:val="TableCell"/>
              <w:keepNext w:val="0"/>
              <w:spacing w:before="60" w:after="60" w:line="257" w:lineRule="auto"/>
              <w:ind w:left="288"/>
              <w:jc w:val="left"/>
              <w:rPr>
                <w:rFonts w:cs="Arial"/>
                <w:i/>
                <w:iCs/>
                <w:szCs w:val="18"/>
              </w:rPr>
            </w:pPr>
            <w:r w:rsidRPr="001570EA">
              <w:rPr>
                <w:rFonts w:cs="Arial"/>
                <w:i/>
                <w:iCs/>
                <w:szCs w:val="18"/>
              </w:rPr>
              <w:t>Monthly Irradiance Loss</w:t>
            </w:r>
          </w:p>
        </w:tc>
        <w:tc>
          <w:tcPr>
            <w:tcW w:w="675" w:type="pct"/>
            <w:tcBorders>
              <w:left w:val="single" w:sz="4" w:space="0" w:color="auto"/>
              <w:right w:val="single" w:sz="4" w:space="0" w:color="auto"/>
            </w:tcBorders>
            <w:vAlign w:val="center"/>
          </w:tcPr>
          <w:p w14:paraId="5EB11ED5" w14:textId="77777777" w:rsidR="00FC50E1" w:rsidRPr="001570EA" w:rsidRDefault="00FC50E1">
            <w:pPr>
              <w:pStyle w:val="TableCell"/>
              <w:keepNext w:val="0"/>
              <w:spacing w:before="60" w:after="60" w:line="256" w:lineRule="auto"/>
              <w:jc w:val="center"/>
              <w:rPr>
                <w:rFonts w:eastAsia="Calibri" w:cs="Arial"/>
                <w:i/>
                <w:szCs w:val="18"/>
              </w:rPr>
            </w:pPr>
            <w:r w:rsidRPr="001570EA">
              <w:rPr>
                <w:rFonts w:eastAsia="Calibri" w:cs="Arial"/>
                <w:i/>
                <w:szCs w:val="18"/>
              </w:rPr>
              <w:t>%</w:t>
            </w:r>
          </w:p>
        </w:tc>
        <w:tc>
          <w:tcPr>
            <w:tcW w:w="1809" w:type="pct"/>
            <w:gridSpan w:val="2"/>
            <w:tcBorders>
              <w:top w:val="single" w:sz="4" w:space="0" w:color="auto"/>
              <w:left w:val="single" w:sz="4" w:space="0" w:color="auto"/>
              <w:bottom w:val="single" w:sz="4" w:space="0" w:color="auto"/>
              <w:right w:val="single" w:sz="4" w:space="0" w:color="auto"/>
            </w:tcBorders>
            <w:vAlign w:val="center"/>
          </w:tcPr>
          <w:p w14:paraId="4BF8B2B6"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0 for all months</w:t>
            </w:r>
          </w:p>
        </w:tc>
        <w:tc>
          <w:tcPr>
            <w:tcW w:w="1058" w:type="pct"/>
            <w:tcBorders>
              <w:top w:val="single" w:sz="4" w:space="0" w:color="auto"/>
              <w:left w:val="single" w:sz="4" w:space="0" w:color="auto"/>
              <w:bottom w:val="single" w:sz="4" w:space="0" w:color="auto"/>
              <w:right w:val="single" w:sz="4" w:space="0" w:color="auto"/>
            </w:tcBorders>
          </w:tcPr>
          <w:p w14:paraId="1EECC816"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Default</w:t>
            </w:r>
          </w:p>
        </w:tc>
      </w:tr>
      <w:tr w:rsidR="00FC50E1" w:rsidRPr="001570EA" w14:paraId="384C0D50" w14:textId="77777777">
        <w:trPr>
          <w:trHeight w:val="432"/>
        </w:trPr>
        <w:tc>
          <w:tcPr>
            <w:tcW w:w="1458" w:type="pct"/>
            <w:tcBorders>
              <w:left w:val="single" w:sz="4" w:space="0" w:color="auto"/>
              <w:right w:val="single" w:sz="4" w:space="0" w:color="auto"/>
            </w:tcBorders>
            <w:vAlign w:val="center"/>
          </w:tcPr>
          <w:p w14:paraId="20C3A7F9" w14:textId="77777777" w:rsidR="00FC50E1" w:rsidRPr="001570EA" w:rsidRDefault="00FC50E1">
            <w:pPr>
              <w:pStyle w:val="TableCell"/>
              <w:keepNext w:val="0"/>
              <w:spacing w:before="60" w:after="60" w:line="257" w:lineRule="auto"/>
              <w:jc w:val="left"/>
              <w:rPr>
                <w:rFonts w:cs="Arial"/>
                <w:i/>
                <w:iCs/>
                <w:szCs w:val="18"/>
                <w:vertAlign w:val="subscript"/>
              </w:rPr>
            </w:pPr>
            <w:r w:rsidRPr="001570EA">
              <w:rPr>
                <w:rFonts w:cs="Arial"/>
                <w:i/>
                <w:iCs/>
                <w:szCs w:val="18"/>
              </w:rPr>
              <w:t>ETDF</w:t>
            </w:r>
            <w:r w:rsidRPr="001570EA">
              <w:rPr>
                <w:rFonts w:cs="Arial"/>
                <w:i/>
                <w:iCs/>
                <w:szCs w:val="18"/>
                <w:vertAlign w:val="subscript"/>
              </w:rPr>
              <w:t>summer,ordinal</w:t>
            </w:r>
          </w:p>
        </w:tc>
        <w:tc>
          <w:tcPr>
            <w:tcW w:w="675" w:type="pct"/>
            <w:tcBorders>
              <w:left w:val="single" w:sz="4" w:space="0" w:color="auto"/>
              <w:right w:val="single" w:sz="4" w:space="0" w:color="auto"/>
            </w:tcBorders>
            <w:vAlign w:val="center"/>
          </w:tcPr>
          <w:p w14:paraId="0D0FC052" w14:textId="77777777" w:rsidR="00FC50E1" w:rsidRPr="001570EA" w:rsidRDefault="003B5E04">
            <w:pPr>
              <w:pStyle w:val="TableCell"/>
              <w:keepNext w:val="0"/>
              <w:spacing w:before="60" w:after="60" w:line="256" w:lineRule="auto"/>
              <w:jc w:val="center"/>
              <w:rPr>
                <w:rFonts w:eastAsia="Calibri" w:cs="Arial"/>
                <w:i/>
                <w:szCs w:val="18"/>
              </w:rPr>
            </w:pPr>
            <m:oMathPara>
              <m:oMath>
                <m:f>
                  <m:fPr>
                    <m:ctrlPr>
                      <w:rPr>
                        <w:rFonts w:ascii="Cambria Math" w:eastAsia="Calibri" w:hAnsi="Cambria Math" w:cs="Arial"/>
                        <w:i/>
                        <w:szCs w:val="18"/>
                      </w:rPr>
                    </m:ctrlPr>
                  </m:fPr>
                  <m:num>
                    <m:r>
                      <w:rPr>
                        <w:rFonts w:ascii="Cambria Math" w:eastAsia="Calibri" w:hAnsi="Cambria Math" w:cs="Arial"/>
                        <w:szCs w:val="18"/>
                      </w:rPr>
                      <m:t>kW</m:t>
                    </m:r>
                  </m:num>
                  <m:den>
                    <m:r>
                      <w:rPr>
                        <w:rFonts w:ascii="Cambria Math" w:eastAsia="Calibri" w:hAnsi="Cambria Math" w:cs="Arial"/>
                        <w:szCs w:val="18"/>
                      </w:rPr>
                      <m:t>kWh</m:t>
                    </m:r>
                  </m:den>
                </m:f>
              </m:oMath>
            </m:oMathPara>
          </w:p>
        </w:tc>
        <w:tc>
          <w:tcPr>
            <w:tcW w:w="1809" w:type="pct"/>
            <w:gridSpan w:val="2"/>
            <w:tcBorders>
              <w:top w:val="single" w:sz="4" w:space="0" w:color="auto"/>
              <w:left w:val="single" w:sz="4" w:space="0" w:color="auto"/>
              <w:bottom w:val="single" w:sz="4" w:space="0" w:color="auto"/>
              <w:right w:val="single" w:sz="4" w:space="0" w:color="auto"/>
            </w:tcBorders>
            <w:vAlign w:val="center"/>
          </w:tcPr>
          <w:p w14:paraId="3051BA7E" w14:textId="613673E9"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 xml:space="preserve">See </w:t>
            </w:r>
            <w:r w:rsidRPr="001570EA">
              <w:rPr>
                <w:rFonts w:eastAsia="Calibri" w:cs="Arial"/>
                <w:szCs w:val="18"/>
              </w:rPr>
              <w:fldChar w:fldCharType="begin"/>
            </w:r>
            <w:r w:rsidRPr="001570EA">
              <w:rPr>
                <w:rFonts w:eastAsia="Calibri" w:cs="Arial"/>
                <w:szCs w:val="18"/>
              </w:rPr>
              <w:instrText xml:space="preserve"> REF _Ref163657402 \h  \* MERGEFORMAT </w:instrText>
            </w:r>
            <w:r w:rsidRPr="001570EA">
              <w:rPr>
                <w:rFonts w:eastAsia="Calibri" w:cs="Arial"/>
                <w:szCs w:val="18"/>
              </w:rPr>
            </w:r>
            <w:r w:rsidRPr="001570EA">
              <w:rPr>
                <w:rFonts w:eastAsia="Calibri" w:cs="Arial"/>
                <w:szCs w:val="18"/>
              </w:rPr>
              <w:fldChar w:fldCharType="separate"/>
            </w:r>
            <w:r w:rsidR="00CE31DA" w:rsidRPr="001570EA">
              <w:rPr>
                <w:rFonts w:cs="Arial"/>
                <w:szCs w:val="18"/>
              </w:rPr>
              <w:t xml:space="preserve">Table </w:t>
            </w:r>
            <w:r w:rsidR="00CE31DA" w:rsidRPr="001570EA">
              <w:rPr>
                <w:rFonts w:cs="Arial"/>
                <w:noProof/>
                <w:szCs w:val="18"/>
              </w:rPr>
              <w:t>2</w:t>
            </w:r>
            <w:r w:rsidR="00CE31DA" w:rsidRPr="001570EA">
              <w:rPr>
                <w:rFonts w:cs="Arial"/>
                <w:noProof/>
                <w:szCs w:val="18"/>
              </w:rPr>
              <w:noBreakHyphen/>
              <w:t>177</w:t>
            </w:r>
            <w:r w:rsidRPr="001570EA">
              <w:rPr>
                <w:rFonts w:eastAsia="Calibri" w:cs="Arial"/>
                <w:szCs w:val="18"/>
              </w:rPr>
              <w:fldChar w:fldCharType="end"/>
            </w:r>
          </w:p>
        </w:tc>
        <w:tc>
          <w:tcPr>
            <w:tcW w:w="1058" w:type="pct"/>
            <w:tcBorders>
              <w:top w:val="single" w:sz="4" w:space="0" w:color="auto"/>
              <w:left w:val="single" w:sz="4" w:space="0" w:color="auto"/>
              <w:bottom w:val="single" w:sz="4" w:space="0" w:color="auto"/>
              <w:right w:val="single" w:sz="4" w:space="0" w:color="auto"/>
            </w:tcBorders>
            <w:vAlign w:val="center"/>
          </w:tcPr>
          <w:p w14:paraId="4A6C5029"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5</w:t>
            </w:r>
          </w:p>
        </w:tc>
      </w:tr>
      <w:tr w:rsidR="00FC50E1" w:rsidRPr="001570EA" w14:paraId="36C8B1D4" w14:textId="77777777">
        <w:trPr>
          <w:trHeight w:val="432"/>
        </w:trPr>
        <w:tc>
          <w:tcPr>
            <w:tcW w:w="1458" w:type="pct"/>
            <w:tcBorders>
              <w:left w:val="single" w:sz="4" w:space="0" w:color="auto"/>
              <w:right w:val="single" w:sz="4" w:space="0" w:color="auto"/>
            </w:tcBorders>
            <w:vAlign w:val="center"/>
          </w:tcPr>
          <w:p w14:paraId="58A7766D" w14:textId="77777777" w:rsidR="00FC50E1" w:rsidRPr="001570EA" w:rsidRDefault="00FC50E1">
            <w:pPr>
              <w:pStyle w:val="TableCell"/>
              <w:keepNext w:val="0"/>
              <w:spacing w:before="60" w:after="60" w:line="257" w:lineRule="auto"/>
              <w:jc w:val="left"/>
              <w:rPr>
                <w:rFonts w:cs="Arial"/>
                <w:i/>
                <w:iCs/>
                <w:szCs w:val="18"/>
                <w:vertAlign w:val="subscript"/>
              </w:rPr>
            </w:pPr>
            <w:r w:rsidRPr="001570EA">
              <w:rPr>
                <w:rFonts w:cs="Arial"/>
                <w:i/>
                <w:iCs/>
                <w:szCs w:val="18"/>
              </w:rPr>
              <w:t>ETDF</w:t>
            </w:r>
            <w:r w:rsidRPr="001570EA">
              <w:rPr>
                <w:rFonts w:cs="Arial"/>
                <w:i/>
                <w:iCs/>
                <w:szCs w:val="18"/>
                <w:vertAlign w:val="subscript"/>
              </w:rPr>
              <w:t>summer,increments</w:t>
            </w:r>
          </w:p>
        </w:tc>
        <w:tc>
          <w:tcPr>
            <w:tcW w:w="675" w:type="pct"/>
            <w:tcBorders>
              <w:left w:val="single" w:sz="4" w:space="0" w:color="auto"/>
              <w:right w:val="single" w:sz="4" w:space="0" w:color="auto"/>
            </w:tcBorders>
            <w:vAlign w:val="center"/>
          </w:tcPr>
          <w:p w14:paraId="2B770E90" w14:textId="77777777" w:rsidR="00FC50E1" w:rsidRPr="001570EA" w:rsidRDefault="003B5E04">
            <w:pPr>
              <w:pStyle w:val="TableCell"/>
              <w:keepNext w:val="0"/>
              <w:spacing w:before="60" w:after="60" w:line="256" w:lineRule="auto"/>
              <w:jc w:val="center"/>
              <w:rPr>
                <w:rFonts w:eastAsia="Calibri" w:cs="Arial"/>
                <w:i/>
                <w:szCs w:val="18"/>
              </w:rPr>
            </w:pPr>
            <m:oMathPara>
              <m:oMath>
                <m:f>
                  <m:fPr>
                    <m:ctrlPr>
                      <w:rPr>
                        <w:rFonts w:ascii="Cambria Math" w:eastAsia="Calibri" w:hAnsi="Cambria Math" w:cs="Arial"/>
                        <w:i/>
                        <w:szCs w:val="18"/>
                      </w:rPr>
                    </m:ctrlPr>
                  </m:fPr>
                  <m:num>
                    <m:r>
                      <w:rPr>
                        <w:rFonts w:ascii="Cambria Math" w:eastAsia="Calibri" w:hAnsi="Cambria Math" w:cs="Arial"/>
                        <w:szCs w:val="18"/>
                      </w:rPr>
                      <m:t>kW</m:t>
                    </m:r>
                  </m:num>
                  <m:den>
                    <m:r>
                      <w:rPr>
                        <w:rFonts w:ascii="Cambria Math" w:eastAsia="Calibri" w:hAnsi="Cambria Math" w:cs="Arial"/>
                        <w:szCs w:val="18"/>
                      </w:rPr>
                      <m:t>kWh</m:t>
                    </m:r>
                  </m:den>
                </m:f>
              </m:oMath>
            </m:oMathPara>
          </w:p>
        </w:tc>
        <w:tc>
          <w:tcPr>
            <w:tcW w:w="1809" w:type="pct"/>
            <w:gridSpan w:val="2"/>
            <w:tcBorders>
              <w:top w:val="single" w:sz="4" w:space="0" w:color="auto"/>
              <w:left w:val="single" w:sz="4" w:space="0" w:color="auto"/>
              <w:bottom w:val="single" w:sz="4" w:space="0" w:color="auto"/>
              <w:right w:val="single" w:sz="4" w:space="0" w:color="auto"/>
            </w:tcBorders>
            <w:vAlign w:val="center"/>
          </w:tcPr>
          <w:p w14:paraId="1176716C" w14:textId="5C774493"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 xml:space="preserve">See </w:t>
            </w:r>
            <w:r w:rsidRPr="001570EA">
              <w:rPr>
                <w:rFonts w:eastAsia="Calibri" w:cs="Arial"/>
                <w:szCs w:val="18"/>
              </w:rPr>
              <w:fldChar w:fldCharType="begin"/>
            </w:r>
            <w:r w:rsidRPr="001570EA">
              <w:rPr>
                <w:rFonts w:eastAsia="Calibri" w:cs="Arial"/>
                <w:szCs w:val="18"/>
              </w:rPr>
              <w:instrText xml:space="preserve"> REF _Ref163657404 \h  \* MERGEFORMAT </w:instrText>
            </w:r>
            <w:r w:rsidRPr="001570EA">
              <w:rPr>
                <w:rFonts w:eastAsia="Calibri" w:cs="Arial"/>
                <w:szCs w:val="18"/>
              </w:rPr>
            </w:r>
            <w:r w:rsidRPr="001570EA">
              <w:rPr>
                <w:rFonts w:eastAsia="Calibri" w:cs="Arial"/>
                <w:szCs w:val="18"/>
              </w:rPr>
              <w:fldChar w:fldCharType="separate"/>
            </w:r>
            <w:r w:rsidR="00CE31DA" w:rsidRPr="001570EA">
              <w:rPr>
                <w:rFonts w:cs="Arial"/>
                <w:szCs w:val="18"/>
              </w:rPr>
              <w:t xml:space="preserve">Table </w:t>
            </w:r>
            <w:r w:rsidR="00CE31DA" w:rsidRPr="001570EA">
              <w:rPr>
                <w:rFonts w:cs="Arial"/>
                <w:noProof/>
                <w:szCs w:val="18"/>
              </w:rPr>
              <w:t>2</w:t>
            </w:r>
            <w:r w:rsidR="00CE31DA" w:rsidRPr="001570EA">
              <w:rPr>
                <w:rFonts w:cs="Arial"/>
                <w:noProof/>
                <w:szCs w:val="18"/>
              </w:rPr>
              <w:noBreakHyphen/>
              <w:t>178</w:t>
            </w:r>
            <w:r w:rsidRPr="001570EA">
              <w:rPr>
                <w:rFonts w:eastAsia="Calibri" w:cs="Arial"/>
                <w:szCs w:val="18"/>
              </w:rPr>
              <w:fldChar w:fldCharType="end"/>
            </w:r>
          </w:p>
        </w:tc>
        <w:tc>
          <w:tcPr>
            <w:tcW w:w="1058" w:type="pct"/>
            <w:tcBorders>
              <w:top w:val="single" w:sz="4" w:space="0" w:color="auto"/>
              <w:left w:val="single" w:sz="4" w:space="0" w:color="auto"/>
              <w:bottom w:val="single" w:sz="4" w:space="0" w:color="auto"/>
              <w:right w:val="single" w:sz="4" w:space="0" w:color="auto"/>
            </w:tcBorders>
            <w:vAlign w:val="center"/>
          </w:tcPr>
          <w:p w14:paraId="07E9FE2D"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Calculated</w:t>
            </w:r>
          </w:p>
        </w:tc>
      </w:tr>
      <w:tr w:rsidR="00FC50E1" w:rsidRPr="001570EA" w14:paraId="60A22ED4" w14:textId="77777777">
        <w:trPr>
          <w:trHeight w:val="432"/>
        </w:trPr>
        <w:tc>
          <w:tcPr>
            <w:tcW w:w="1458" w:type="pct"/>
            <w:tcBorders>
              <w:left w:val="single" w:sz="4" w:space="0" w:color="auto"/>
              <w:right w:val="single" w:sz="4" w:space="0" w:color="auto"/>
            </w:tcBorders>
            <w:vAlign w:val="center"/>
          </w:tcPr>
          <w:p w14:paraId="4C5AF5AB" w14:textId="77777777" w:rsidR="00FC50E1" w:rsidRPr="001570EA" w:rsidRDefault="00FC50E1">
            <w:pPr>
              <w:pStyle w:val="TableCell"/>
              <w:keepNext w:val="0"/>
              <w:spacing w:before="60" w:after="60" w:line="257" w:lineRule="auto"/>
              <w:jc w:val="left"/>
              <w:rPr>
                <w:rFonts w:cs="Arial"/>
                <w:i/>
                <w:iCs/>
                <w:szCs w:val="18"/>
              </w:rPr>
            </w:pPr>
            <w:r w:rsidRPr="001570EA">
              <w:rPr>
                <w:rFonts w:cs="Arial"/>
                <w:i/>
                <w:iCs/>
                <w:szCs w:val="18"/>
              </w:rPr>
              <w:t>ETDF</w:t>
            </w:r>
            <w:r w:rsidRPr="001570EA">
              <w:rPr>
                <w:rFonts w:cs="Arial"/>
                <w:i/>
                <w:iCs/>
                <w:szCs w:val="18"/>
                <w:vertAlign w:val="subscript"/>
              </w:rPr>
              <w:t>winter</w:t>
            </w:r>
            <w:r w:rsidRPr="001570EA">
              <w:rPr>
                <w:rFonts w:cs="Arial"/>
                <w:i/>
                <w:iCs/>
                <w:szCs w:val="18"/>
                <w:vertAlign w:val="subscript"/>
              </w:rPr>
              <w:softHyphen/>
              <w:t>,ordinal</w:t>
            </w:r>
          </w:p>
        </w:tc>
        <w:tc>
          <w:tcPr>
            <w:tcW w:w="675" w:type="pct"/>
            <w:tcBorders>
              <w:left w:val="single" w:sz="4" w:space="0" w:color="auto"/>
              <w:right w:val="single" w:sz="4" w:space="0" w:color="auto"/>
            </w:tcBorders>
            <w:vAlign w:val="center"/>
          </w:tcPr>
          <w:p w14:paraId="588F914A" w14:textId="77777777" w:rsidR="00FC50E1" w:rsidRPr="001570EA" w:rsidRDefault="003B5E04">
            <w:pPr>
              <w:pStyle w:val="TableCell"/>
              <w:keepNext w:val="0"/>
              <w:spacing w:before="60" w:after="60" w:line="256" w:lineRule="auto"/>
              <w:jc w:val="center"/>
              <w:rPr>
                <w:rFonts w:cs="Arial"/>
                <w:i/>
                <w:szCs w:val="18"/>
              </w:rPr>
            </w:pPr>
            <m:oMathPara>
              <m:oMath>
                <m:f>
                  <m:fPr>
                    <m:ctrlPr>
                      <w:rPr>
                        <w:rFonts w:ascii="Cambria Math" w:eastAsia="Calibri" w:hAnsi="Cambria Math" w:cs="Arial"/>
                        <w:i/>
                        <w:szCs w:val="18"/>
                      </w:rPr>
                    </m:ctrlPr>
                  </m:fPr>
                  <m:num>
                    <m:r>
                      <w:rPr>
                        <w:rFonts w:ascii="Cambria Math" w:eastAsia="Calibri" w:hAnsi="Cambria Math" w:cs="Arial"/>
                        <w:szCs w:val="18"/>
                      </w:rPr>
                      <m:t>kW</m:t>
                    </m:r>
                  </m:num>
                  <m:den>
                    <m:r>
                      <w:rPr>
                        <w:rFonts w:ascii="Cambria Math" w:eastAsia="Calibri" w:hAnsi="Cambria Math" w:cs="Arial"/>
                        <w:szCs w:val="18"/>
                      </w:rPr>
                      <m:t>kWh</m:t>
                    </m:r>
                  </m:den>
                </m:f>
              </m:oMath>
            </m:oMathPara>
          </w:p>
        </w:tc>
        <w:tc>
          <w:tcPr>
            <w:tcW w:w="1809" w:type="pct"/>
            <w:gridSpan w:val="2"/>
            <w:tcBorders>
              <w:top w:val="single" w:sz="4" w:space="0" w:color="auto"/>
              <w:left w:val="single" w:sz="4" w:space="0" w:color="auto"/>
              <w:bottom w:val="single" w:sz="4" w:space="0" w:color="auto"/>
              <w:right w:val="single" w:sz="4" w:space="0" w:color="auto"/>
            </w:tcBorders>
            <w:vAlign w:val="center"/>
          </w:tcPr>
          <w:p w14:paraId="16C59A81" w14:textId="47EA5BA6"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 xml:space="preserve">See </w:t>
            </w:r>
            <w:r w:rsidRPr="001570EA">
              <w:rPr>
                <w:rFonts w:eastAsia="Calibri" w:cs="Arial"/>
                <w:szCs w:val="18"/>
              </w:rPr>
              <w:fldChar w:fldCharType="begin"/>
            </w:r>
            <w:r w:rsidRPr="001570EA">
              <w:rPr>
                <w:rFonts w:eastAsia="Calibri" w:cs="Arial"/>
                <w:szCs w:val="18"/>
              </w:rPr>
              <w:instrText xml:space="preserve"> REF _Ref163657427 \h  \* MERGEFORMAT </w:instrText>
            </w:r>
            <w:r w:rsidRPr="001570EA">
              <w:rPr>
                <w:rFonts w:eastAsia="Calibri" w:cs="Arial"/>
                <w:szCs w:val="18"/>
              </w:rPr>
            </w:r>
            <w:r w:rsidRPr="001570EA">
              <w:rPr>
                <w:rFonts w:eastAsia="Calibri" w:cs="Arial"/>
                <w:szCs w:val="18"/>
              </w:rPr>
              <w:fldChar w:fldCharType="separate"/>
            </w:r>
            <w:r w:rsidR="00CE31DA" w:rsidRPr="001570EA">
              <w:rPr>
                <w:rFonts w:cs="Arial"/>
                <w:szCs w:val="18"/>
              </w:rPr>
              <w:t xml:space="preserve">Table </w:t>
            </w:r>
            <w:r w:rsidR="00CE31DA" w:rsidRPr="001570EA">
              <w:rPr>
                <w:rFonts w:cs="Arial"/>
                <w:noProof/>
                <w:szCs w:val="18"/>
              </w:rPr>
              <w:t>2</w:t>
            </w:r>
            <w:r w:rsidR="00CE31DA" w:rsidRPr="001570EA">
              <w:rPr>
                <w:rFonts w:cs="Arial"/>
                <w:noProof/>
                <w:szCs w:val="18"/>
              </w:rPr>
              <w:noBreakHyphen/>
              <w:t>179</w:t>
            </w:r>
            <w:r w:rsidRPr="001570EA">
              <w:rPr>
                <w:rFonts w:eastAsia="Calibri" w:cs="Arial"/>
                <w:szCs w:val="18"/>
              </w:rPr>
              <w:fldChar w:fldCharType="end"/>
            </w:r>
          </w:p>
        </w:tc>
        <w:tc>
          <w:tcPr>
            <w:tcW w:w="1058" w:type="pct"/>
            <w:tcBorders>
              <w:top w:val="single" w:sz="4" w:space="0" w:color="auto"/>
              <w:left w:val="single" w:sz="4" w:space="0" w:color="auto"/>
              <w:bottom w:val="single" w:sz="4" w:space="0" w:color="auto"/>
              <w:right w:val="single" w:sz="4" w:space="0" w:color="auto"/>
            </w:tcBorders>
            <w:vAlign w:val="center"/>
          </w:tcPr>
          <w:p w14:paraId="35C4F971"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6</w:t>
            </w:r>
          </w:p>
        </w:tc>
      </w:tr>
      <w:tr w:rsidR="00FC50E1" w:rsidRPr="001570EA" w14:paraId="15B028E4" w14:textId="77777777">
        <w:trPr>
          <w:trHeight w:val="432"/>
        </w:trPr>
        <w:tc>
          <w:tcPr>
            <w:tcW w:w="1458" w:type="pct"/>
            <w:tcBorders>
              <w:left w:val="single" w:sz="4" w:space="0" w:color="auto"/>
              <w:right w:val="single" w:sz="4" w:space="0" w:color="auto"/>
            </w:tcBorders>
            <w:vAlign w:val="center"/>
          </w:tcPr>
          <w:p w14:paraId="48EB5F7F" w14:textId="77777777" w:rsidR="00FC50E1" w:rsidRPr="001570EA" w:rsidRDefault="00FC50E1">
            <w:pPr>
              <w:pStyle w:val="TableCell"/>
              <w:keepNext w:val="0"/>
              <w:spacing w:before="60" w:after="60" w:line="257" w:lineRule="auto"/>
              <w:jc w:val="left"/>
              <w:rPr>
                <w:rFonts w:cs="Arial"/>
                <w:i/>
                <w:iCs/>
                <w:szCs w:val="18"/>
              </w:rPr>
            </w:pPr>
            <w:r w:rsidRPr="001570EA">
              <w:rPr>
                <w:rFonts w:cs="Arial"/>
                <w:i/>
                <w:iCs/>
                <w:szCs w:val="18"/>
              </w:rPr>
              <w:t>ETDF</w:t>
            </w:r>
            <w:r w:rsidRPr="001570EA">
              <w:rPr>
                <w:rFonts w:cs="Arial"/>
                <w:i/>
                <w:iCs/>
                <w:szCs w:val="18"/>
                <w:vertAlign w:val="subscript"/>
              </w:rPr>
              <w:t>winter</w:t>
            </w:r>
            <w:r w:rsidRPr="001570EA">
              <w:rPr>
                <w:rFonts w:cs="Arial"/>
                <w:i/>
                <w:iCs/>
                <w:szCs w:val="18"/>
                <w:vertAlign w:val="subscript"/>
              </w:rPr>
              <w:softHyphen/>
              <w:t>,increments</w:t>
            </w:r>
          </w:p>
        </w:tc>
        <w:tc>
          <w:tcPr>
            <w:tcW w:w="675" w:type="pct"/>
            <w:tcBorders>
              <w:left w:val="single" w:sz="4" w:space="0" w:color="auto"/>
              <w:right w:val="single" w:sz="4" w:space="0" w:color="auto"/>
            </w:tcBorders>
            <w:vAlign w:val="center"/>
          </w:tcPr>
          <w:p w14:paraId="08BB54DF" w14:textId="77777777" w:rsidR="00FC50E1" w:rsidRPr="001570EA" w:rsidRDefault="003B5E04">
            <w:pPr>
              <w:pStyle w:val="TableCell"/>
              <w:keepNext w:val="0"/>
              <w:spacing w:before="60" w:after="60" w:line="256" w:lineRule="auto"/>
              <w:jc w:val="center"/>
              <w:rPr>
                <w:rFonts w:cs="Arial"/>
                <w:i/>
                <w:szCs w:val="18"/>
              </w:rPr>
            </w:pPr>
            <m:oMathPara>
              <m:oMath>
                <m:f>
                  <m:fPr>
                    <m:ctrlPr>
                      <w:rPr>
                        <w:rFonts w:ascii="Cambria Math" w:eastAsia="Calibri" w:hAnsi="Cambria Math" w:cs="Arial"/>
                        <w:i/>
                        <w:szCs w:val="18"/>
                      </w:rPr>
                    </m:ctrlPr>
                  </m:fPr>
                  <m:num>
                    <m:r>
                      <w:rPr>
                        <w:rFonts w:ascii="Cambria Math" w:eastAsia="Calibri" w:hAnsi="Cambria Math" w:cs="Arial"/>
                        <w:szCs w:val="18"/>
                      </w:rPr>
                      <m:t>kW</m:t>
                    </m:r>
                  </m:num>
                  <m:den>
                    <m:r>
                      <w:rPr>
                        <w:rFonts w:ascii="Cambria Math" w:eastAsia="Calibri" w:hAnsi="Cambria Math" w:cs="Arial"/>
                        <w:szCs w:val="18"/>
                      </w:rPr>
                      <m:t>kWh</m:t>
                    </m:r>
                  </m:den>
                </m:f>
              </m:oMath>
            </m:oMathPara>
          </w:p>
        </w:tc>
        <w:tc>
          <w:tcPr>
            <w:tcW w:w="1809" w:type="pct"/>
            <w:gridSpan w:val="2"/>
            <w:tcBorders>
              <w:top w:val="single" w:sz="4" w:space="0" w:color="auto"/>
              <w:left w:val="single" w:sz="4" w:space="0" w:color="auto"/>
              <w:bottom w:val="single" w:sz="4" w:space="0" w:color="auto"/>
              <w:right w:val="single" w:sz="4" w:space="0" w:color="auto"/>
            </w:tcBorders>
            <w:vAlign w:val="center"/>
          </w:tcPr>
          <w:p w14:paraId="15B3984D" w14:textId="03D1EB8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 xml:space="preserve">See </w:t>
            </w:r>
            <w:r w:rsidRPr="001570EA">
              <w:rPr>
                <w:rFonts w:eastAsia="Calibri" w:cs="Arial"/>
                <w:szCs w:val="18"/>
              </w:rPr>
              <w:fldChar w:fldCharType="begin"/>
            </w:r>
            <w:r w:rsidRPr="001570EA">
              <w:rPr>
                <w:rFonts w:eastAsia="Calibri" w:cs="Arial"/>
                <w:szCs w:val="18"/>
              </w:rPr>
              <w:instrText xml:space="preserve"> REF _Ref163657429 \h  \* MERGEFORMAT </w:instrText>
            </w:r>
            <w:r w:rsidRPr="001570EA">
              <w:rPr>
                <w:rFonts w:eastAsia="Calibri" w:cs="Arial"/>
                <w:szCs w:val="18"/>
              </w:rPr>
            </w:r>
            <w:r w:rsidRPr="001570EA">
              <w:rPr>
                <w:rFonts w:eastAsia="Calibri" w:cs="Arial"/>
                <w:szCs w:val="18"/>
              </w:rPr>
              <w:fldChar w:fldCharType="separate"/>
            </w:r>
            <w:r w:rsidR="00CE31DA" w:rsidRPr="001570EA">
              <w:rPr>
                <w:rFonts w:cs="Arial"/>
                <w:szCs w:val="18"/>
              </w:rPr>
              <w:t xml:space="preserve">Table </w:t>
            </w:r>
            <w:r w:rsidR="00CE31DA" w:rsidRPr="001570EA">
              <w:rPr>
                <w:rFonts w:cs="Arial"/>
                <w:noProof/>
                <w:szCs w:val="18"/>
              </w:rPr>
              <w:t>2</w:t>
            </w:r>
            <w:r w:rsidR="00CE31DA" w:rsidRPr="001570EA">
              <w:rPr>
                <w:rFonts w:cs="Arial"/>
                <w:noProof/>
                <w:szCs w:val="18"/>
              </w:rPr>
              <w:noBreakHyphen/>
              <w:t>180</w:t>
            </w:r>
            <w:r w:rsidRPr="001570EA">
              <w:rPr>
                <w:rFonts w:eastAsia="Calibri" w:cs="Arial"/>
                <w:szCs w:val="18"/>
              </w:rPr>
              <w:fldChar w:fldCharType="end"/>
            </w:r>
          </w:p>
        </w:tc>
        <w:tc>
          <w:tcPr>
            <w:tcW w:w="1058" w:type="pct"/>
            <w:tcBorders>
              <w:top w:val="single" w:sz="4" w:space="0" w:color="auto"/>
              <w:left w:val="single" w:sz="4" w:space="0" w:color="auto"/>
              <w:bottom w:val="single" w:sz="4" w:space="0" w:color="auto"/>
              <w:right w:val="single" w:sz="4" w:space="0" w:color="auto"/>
            </w:tcBorders>
            <w:vAlign w:val="center"/>
          </w:tcPr>
          <w:p w14:paraId="25E678AC" w14:textId="77777777" w:rsidR="00FC50E1" w:rsidRPr="001570EA" w:rsidRDefault="00FC50E1">
            <w:pPr>
              <w:pStyle w:val="TableCell"/>
              <w:keepNext w:val="0"/>
              <w:spacing w:before="60" w:after="60" w:line="256" w:lineRule="auto"/>
              <w:jc w:val="center"/>
              <w:rPr>
                <w:rFonts w:eastAsia="Calibri" w:cs="Arial"/>
                <w:szCs w:val="18"/>
              </w:rPr>
            </w:pPr>
            <w:r w:rsidRPr="001570EA">
              <w:rPr>
                <w:rFonts w:eastAsia="Calibri" w:cs="Arial"/>
                <w:szCs w:val="18"/>
              </w:rPr>
              <w:t>Calculated</w:t>
            </w:r>
          </w:p>
        </w:tc>
      </w:tr>
    </w:tbl>
    <w:p w14:paraId="5F09D790" w14:textId="020DB96B" w:rsidR="00FC50E1" w:rsidRPr="001570EA" w:rsidRDefault="00FC50E1" w:rsidP="00FC50E1">
      <w:pPr>
        <w:pStyle w:val="Caption"/>
        <w:jc w:val="left"/>
        <w:rPr>
          <w:vertAlign w:val="superscript"/>
        </w:rPr>
      </w:pPr>
      <w:bookmarkStart w:id="1280" w:name="_Ref163657402"/>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A11E80"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A11E80" w:rsidRPr="001570EA">
        <w:rPr>
          <w:noProof/>
        </w:rPr>
        <w:t>177</w:t>
      </w:r>
      <w:r w:rsidR="002E093A" w:rsidRPr="001570EA">
        <w:fldChar w:fldCharType="end"/>
      </w:r>
      <w:bookmarkEnd w:id="1280"/>
      <w:r w:rsidRPr="001570EA">
        <w:t>: Summer Energy to Demand Factor, East to West facing Ordinal Numbers (ETDF</w:t>
      </w:r>
      <w:r w:rsidRPr="001570EA">
        <w:rPr>
          <w:vertAlign w:val="subscript"/>
        </w:rPr>
        <w:t>summer,ordinal</w:t>
      </w:r>
      <w:r w:rsidRPr="001570EA">
        <w:t>)</w:t>
      </w:r>
    </w:p>
    <w:tbl>
      <w:tblPr>
        <w:tblStyle w:val="TableGrid"/>
        <w:tblW w:w="0" w:type="auto"/>
        <w:tblLook w:val="04A0" w:firstRow="1" w:lastRow="0" w:firstColumn="1" w:lastColumn="0" w:noHBand="0" w:noVBand="1"/>
      </w:tblPr>
      <w:tblGrid>
        <w:gridCol w:w="964"/>
        <w:gridCol w:w="1266"/>
        <w:gridCol w:w="1280"/>
        <w:gridCol w:w="1280"/>
        <w:gridCol w:w="1280"/>
        <w:gridCol w:w="1280"/>
        <w:gridCol w:w="1280"/>
      </w:tblGrid>
      <w:tr w:rsidR="00FC50E1" w:rsidRPr="001570EA" w14:paraId="54385888" w14:textId="77777777">
        <w:trPr>
          <w:tblHeader/>
        </w:trPr>
        <w:tc>
          <w:tcPr>
            <w:tcW w:w="1008" w:type="dxa"/>
            <w:tcBorders>
              <w:bottom w:val="nil"/>
            </w:tcBorders>
            <w:shd w:val="clear" w:color="auto" w:fill="A6A6A6" w:themeFill="background1" w:themeFillShade="A6"/>
          </w:tcPr>
          <w:p w14:paraId="179FA374" w14:textId="77777777" w:rsidR="00FC50E1" w:rsidRPr="001570EA" w:rsidRDefault="00FC50E1">
            <w:pPr>
              <w:pStyle w:val="TableCell"/>
              <w:keepNext w:val="0"/>
              <w:spacing w:before="60" w:after="60"/>
              <w:jc w:val="left"/>
              <w:rPr>
                <w:rFonts w:eastAsia="Calibri" w:cs="Arial"/>
                <w:b/>
                <w:szCs w:val="18"/>
              </w:rPr>
            </w:pPr>
          </w:p>
        </w:tc>
        <w:tc>
          <w:tcPr>
            <w:tcW w:w="1296" w:type="dxa"/>
            <w:tcBorders>
              <w:bottom w:val="nil"/>
            </w:tcBorders>
            <w:shd w:val="clear" w:color="auto" w:fill="A6A6A6" w:themeFill="background1" w:themeFillShade="A6"/>
          </w:tcPr>
          <w:p w14:paraId="624E6172" w14:textId="77777777" w:rsidR="00FC50E1" w:rsidRPr="001570EA" w:rsidRDefault="00FC50E1">
            <w:pPr>
              <w:pStyle w:val="TableCell"/>
              <w:keepNext w:val="0"/>
              <w:spacing w:before="60" w:after="60"/>
              <w:jc w:val="left"/>
              <w:rPr>
                <w:rFonts w:eastAsia="Calibri" w:cs="Arial"/>
                <w:b/>
                <w:szCs w:val="18"/>
              </w:rPr>
            </w:pPr>
          </w:p>
        </w:tc>
        <w:tc>
          <w:tcPr>
            <w:tcW w:w="6870" w:type="dxa"/>
            <w:gridSpan w:val="5"/>
            <w:shd w:val="clear" w:color="auto" w:fill="A6A6A6" w:themeFill="background1" w:themeFillShade="A6"/>
          </w:tcPr>
          <w:p w14:paraId="73FD371D"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Array Azimuth</w:t>
            </w:r>
          </w:p>
        </w:tc>
      </w:tr>
      <w:tr w:rsidR="00FC50E1" w:rsidRPr="001570EA" w14:paraId="4E1D0645" w14:textId="77777777">
        <w:trPr>
          <w:tblHeader/>
        </w:trPr>
        <w:tc>
          <w:tcPr>
            <w:tcW w:w="1008" w:type="dxa"/>
            <w:tcBorders>
              <w:top w:val="nil"/>
            </w:tcBorders>
            <w:shd w:val="clear" w:color="auto" w:fill="A6A6A6" w:themeFill="background1" w:themeFillShade="A6"/>
            <w:vAlign w:val="bottom"/>
          </w:tcPr>
          <w:p w14:paraId="10A94322"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Climate Region</w:t>
            </w:r>
          </w:p>
        </w:tc>
        <w:tc>
          <w:tcPr>
            <w:tcW w:w="1296" w:type="dxa"/>
            <w:tcBorders>
              <w:top w:val="nil"/>
            </w:tcBorders>
            <w:shd w:val="clear" w:color="auto" w:fill="A6A6A6" w:themeFill="background1" w:themeFillShade="A6"/>
            <w:vAlign w:val="bottom"/>
          </w:tcPr>
          <w:p w14:paraId="48812E24"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Reference City</w:t>
            </w:r>
          </w:p>
        </w:tc>
        <w:tc>
          <w:tcPr>
            <w:tcW w:w="1374" w:type="dxa"/>
            <w:shd w:val="clear" w:color="auto" w:fill="A6A6A6" w:themeFill="background1" w:themeFillShade="A6"/>
            <w:vAlign w:val="center"/>
          </w:tcPr>
          <w:p w14:paraId="1ED3FD29"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90°</w:t>
            </w:r>
          </w:p>
        </w:tc>
        <w:tc>
          <w:tcPr>
            <w:tcW w:w="1374" w:type="dxa"/>
            <w:shd w:val="clear" w:color="auto" w:fill="A6A6A6" w:themeFill="background1" w:themeFillShade="A6"/>
            <w:vAlign w:val="center"/>
          </w:tcPr>
          <w:p w14:paraId="45A3DED1"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135°</w:t>
            </w:r>
          </w:p>
        </w:tc>
        <w:tc>
          <w:tcPr>
            <w:tcW w:w="1374" w:type="dxa"/>
            <w:shd w:val="clear" w:color="auto" w:fill="A6A6A6" w:themeFill="background1" w:themeFillShade="A6"/>
            <w:vAlign w:val="center"/>
          </w:tcPr>
          <w:p w14:paraId="3AA7D85C"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180°</w:t>
            </w:r>
          </w:p>
        </w:tc>
        <w:tc>
          <w:tcPr>
            <w:tcW w:w="1374" w:type="dxa"/>
            <w:shd w:val="clear" w:color="auto" w:fill="A6A6A6" w:themeFill="background1" w:themeFillShade="A6"/>
            <w:vAlign w:val="center"/>
          </w:tcPr>
          <w:p w14:paraId="5424127E"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225°</w:t>
            </w:r>
          </w:p>
        </w:tc>
        <w:tc>
          <w:tcPr>
            <w:tcW w:w="1374" w:type="dxa"/>
            <w:shd w:val="clear" w:color="auto" w:fill="A6A6A6" w:themeFill="background1" w:themeFillShade="A6"/>
            <w:vAlign w:val="center"/>
          </w:tcPr>
          <w:p w14:paraId="06E65A26"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270°</w:t>
            </w:r>
          </w:p>
        </w:tc>
      </w:tr>
      <w:tr w:rsidR="00FC50E1" w:rsidRPr="001570EA" w14:paraId="4FA92457" w14:textId="77777777">
        <w:trPr>
          <w:trHeight w:val="360"/>
          <w:tblHeader/>
        </w:trPr>
        <w:tc>
          <w:tcPr>
            <w:tcW w:w="1008" w:type="dxa"/>
            <w:vAlign w:val="center"/>
          </w:tcPr>
          <w:p w14:paraId="4A86742F" w14:textId="77777777" w:rsidR="00FC50E1" w:rsidRPr="001570EA" w:rsidRDefault="00FC50E1">
            <w:pPr>
              <w:jc w:val="center"/>
              <w:rPr>
                <w:rFonts w:cs="Arial"/>
                <w:sz w:val="18"/>
                <w:szCs w:val="18"/>
              </w:rPr>
            </w:pPr>
            <w:r w:rsidRPr="001570EA">
              <w:rPr>
                <w:rFonts w:cs="Arial"/>
                <w:sz w:val="18"/>
                <w:szCs w:val="18"/>
              </w:rPr>
              <w:t>C</w:t>
            </w:r>
          </w:p>
        </w:tc>
        <w:tc>
          <w:tcPr>
            <w:tcW w:w="1296" w:type="dxa"/>
            <w:vAlign w:val="center"/>
          </w:tcPr>
          <w:p w14:paraId="2324173A" w14:textId="77777777" w:rsidR="00FC50E1" w:rsidRPr="001570EA" w:rsidRDefault="00FC50E1">
            <w:pPr>
              <w:jc w:val="left"/>
              <w:rPr>
                <w:rFonts w:cs="Arial"/>
                <w:sz w:val="18"/>
                <w:szCs w:val="18"/>
              </w:rPr>
            </w:pPr>
            <w:r w:rsidRPr="001570EA">
              <w:rPr>
                <w:rFonts w:cs="Arial"/>
                <w:sz w:val="18"/>
                <w:szCs w:val="18"/>
              </w:rPr>
              <w:t>Allentown</w:t>
            </w:r>
          </w:p>
        </w:tc>
        <w:tc>
          <w:tcPr>
            <w:tcW w:w="1374" w:type="dxa"/>
            <w:vAlign w:val="center"/>
          </w:tcPr>
          <w:p w14:paraId="3A9BD1FB" w14:textId="77777777" w:rsidR="00FC50E1" w:rsidRPr="001570EA" w:rsidRDefault="00FC50E1">
            <w:pPr>
              <w:jc w:val="center"/>
              <w:rPr>
                <w:rFonts w:cs="Arial"/>
                <w:sz w:val="18"/>
                <w:szCs w:val="18"/>
              </w:rPr>
            </w:pPr>
            <w:r w:rsidRPr="001570EA">
              <w:rPr>
                <w:rFonts w:cs="Arial"/>
                <w:sz w:val="18"/>
                <w:szCs w:val="18"/>
              </w:rPr>
              <w:t>0.0624265</w:t>
            </w:r>
          </w:p>
        </w:tc>
        <w:tc>
          <w:tcPr>
            <w:tcW w:w="1374" w:type="dxa"/>
            <w:vAlign w:val="center"/>
          </w:tcPr>
          <w:p w14:paraId="06D34FB9" w14:textId="77777777" w:rsidR="00FC50E1" w:rsidRPr="001570EA" w:rsidRDefault="00FC50E1">
            <w:pPr>
              <w:jc w:val="center"/>
              <w:rPr>
                <w:rFonts w:cs="Arial"/>
                <w:sz w:val="18"/>
                <w:szCs w:val="18"/>
              </w:rPr>
            </w:pPr>
            <w:r w:rsidRPr="001570EA">
              <w:rPr>
                <w:rFonts w:cs="Arial"/>
                <w:sz w:val="18"/>
                <w:szCs w:val="18"/>
              </w:rPr>
              <w:t>0.0651860</w:t>
            </w:r>
          </w:p>
        </w:tc>
        <w:tc>
          <w:tcPr>
            <w:tcW w:w="1374" w:type="dxa"/>
            <w:vAlign w:val="center"/>
          </w:tcPr>
          <w:p w14:paraId="73A60EE5" w14:textId="77777777" w:rsidR="00FC50E1" w:rsidRPr="001570EA" w:rsidRDefault="00FC50E1">
            <w:pPr>
              <w:jc w:val="center"/>
              <w:rPr>
                <w:rFonts w:cs="Arial"/>
                <w:sz w:val="18"/>
                <w:szCs w:val="18"/>
              </w:rPr>
            </w:pPr>
            <w:r w:rsidRPr="001570EA">
              <w:rPr>
                <w:rFonts w:cs="Arial"/>
                <w:sz w:val="18"/>
                <w:szCs w:val="18"/>
              </w:rPr>
              <w:t>0.0817416</w:t>
            </w:r>
          </w:p>
        </w:tc>
        <w:tc>
          <w:tcPr>
            <w:tcW w:w="1374" w:type="dxa"/>
            <w:vAlign w:val="center"/>
          </w:tcPr>
          <w:p w14:paraId="44966B37" w14:textId="77777777" w:rsidR="00FC50E1" w:rsidRPr="001570EA" w:rsidRDefault="00FC50E1">
            <w:pPr>
              <w:jc w:val="center"/>
              <w:rPr>
                <w:rFonts w:cs="Arial"/>
                <w:sz w:val="18"/>
                <w:szCs w:val="18"/>
              </w:rPr>
            </w:pPr>
            <w:r w:rsidRPr="001570EA">
              <w:rPr>
                <w:rFonts w:cs="Arial"/>
                <w:sz w:val="18"/>
                <w:szCs w:val="18"/>
              </w:rPr>
              <w:t>0.1044553</w:t>
            </w:r>
          </w:p>
        </w:tc>
        <w:tc>
          <w:tcPr>
            <w:tcW w:w="1374" w:type="dxa"/>
            <w:vAlign w:val="center"/>
          </w:tcPr>
          <w:p w14:paraId="599BF8EB" w14:textId="77777777" w:rsidR="00FC50E1" w:rsidRPr="001570EA" w:rsidRDefault="00FC50E1">
            <w:pPr>
              <w:jc w:val="center"/>
              <w:rPr>
                <w:rFonts w:cs="Arial"/>
                <w:sz w:val="18"/>
                <w:szCs w:val="18"/>
              </w:rPr>
            </w:pPr>
            <w:r w:rsidRPr="001570EA">
              <w:rPr>
                <w:rFonts w:cs="Arial"/>
                <w:sz w:val="18"/>
                <w:szCs w:val="18"/>
              </w:rPr>
              <w:t>0.1245200</w:t>
            </w:r>
          </w:p>
        </w:tc>
      </w:tr>
      <w:tr w:rsidR="00FC50E1" w:rsidRPr="001570EA" w14:paraId="7062E686" w14:textId="77777777">
        <w:trPr>
          <w:trHeight w:val="360"/>
          <w:tblHeader/>
        </w:trPr>
        <w:tc>
          <w:tcPr>
            <w:tcW w:w="1008" w:type="dxa"/>
            <w:vAlign w:val="center"/>
          </w:tcPr>
          <w:p w14:paraId="26E3F6B2" w14:textId="77777777" w:rsidR="00FC50E1" w:rsidRPr="001570EA" w:rsidRDefault="00FC50E1">
            <w:pPr>
              <w:jc w:val="center"/>
              <w:rPr>
                <w:rFonts w:cs="Arial"/>
                <w:sz w:val="18"/>
                <w:szCs w:val="18"/>
              </w:rPr>
            </w:pPr>
            <w:r w:rsidRPr="001570EA">
              <w:rPr>
                <w:rFonts w:cs="Arial"/>
                <w:sz w:val="18"/>
                <w:szCs w:val="18"/>
              </w:rPr>
              <w:t>A</w:t>
            </w:r>
          </w:p>
        </w:tc>
        <w:tc>
          <w:tcPr>
            <w:tcW w:w="1296" w:type="dxa"/>
            <w:vAlign w:val="center"/>
          </w:tcPr>
          <w:p w14:paraId="127BE362" w14:textId="77777777" w:rsidR="00FC50E1" w:rsidRPr="001570EA" w:rsidRDefault="00FC50E1">
            <w:pPr>
              <w:jc w:val="left"/>
              <w:rPr>
                <w:rFonts w:cs="Arial"/>
                <w:sz w:val="18"/>
                <w:szCs w:val="18"/>
              </w:rPr>
            </w:pPr>
            <w:r w:rsidRPr="001570EA">
              <w:rPr>
                <w:rFonts w:cs="Arial"/>
                <w:sz w:val="18"/>
                <w:szCs w:val="18"/>
              </w:rPr>
              <w:t>Binghamton</w:t>
            </w:r>
          </w:p>
        </w:tc>
        <w:tc>
          <w:tcPr>
            <w:tcW w:w="1374" w:type="dxa"/>
            <w:vAlign w:val="center"/>
          </w:tcPr>
          <w:p w14:paraId="35CEDC7A" w14:textId="77777777" w:rsidR="00FC50E1" w:rsidRPr="001570EA" w:rsidRDefault="00FC50E1">
            <w:pPr>
              <w:jc w:val="center"/>
              <w:rPr>
                <w:rFonts w:cs="Arial"/>
                <w:sz w:val="18"/>
                <w:szCs w:val="18"/>
              </w:rPr>
            </w:pPr>
            <w:r w:rsidRPr="001570EA">
              <w:rPr>
                <w:rFonts w:cs="Arial"/>
                <w:sz w:val="18"/>
                <w:szCs w:val="18"/>
              </w:rPr>
              <w:t>0.0678131</w:t>
            </w:r>
          </w:p>
        </w:tc>
        <w:tc>
          <w:tcPr>
            <w:tcW w:w="1374" w:type="dxa"/>
            <w:vAlign w:val="center"/>
          </w:tcPr>
          <w:p w14:paraId="5BECFECC" w14:textId="77777777" w:rsidR="00FC50E1" w:rsidRPr="001570EA" w:rsidRDefault="00FC50E1">
            <w:pPr>
              <w:jc w:val="center"/>
              <w:rPr>
                <w:rFonts w:cs="Arial"/>
                <w:sz w:val="18"/>
                <w:szCs w:val="18"/>
              </w:rPr>
            </w:pPr>
            <w:r w:rsidRPr="001570EA">
              <w:rPr>
                <w:rFonts w:cs="Arial"/>
                <w:sz w:val="18"/>
                <w:szCs w:val="18"/>
              </w:rPr>
              <w:t>0.0719111</w:t>
            </w:r>
          </w:p>
        </w:tc>
        <w:tc>
          <w:tcPr>
            <w:tcW w:w="1374" w:type="dxa"/>
            <w:vAlign w:val="center"/>
          </w:tcPr>
          <w:p w14:paraId="2DF7C714" w14:textId="77777777" w:rsidR="00FC50E1" w:rsidRPr="001570EA" w:rsidRDefault="00FC50E1">
            <w:pPr>
              <w:jc w:val="center"/>
              <w:rPr>
                <w:rFonts w:cs="Arial"/>
                <w:sz w:val="18"/>
                <w:szCs w:val="18"/>
              </w:rPr>
            </w:pPr>
            <w:r w:rsidRPr="001570EA">
              <w:rPr>
                <w:rFonts w:cs="Arial"/>
                <w:sz w:val="18"/>
                <w:szCs w:val="18"/>
              </w:rPr>
              <w:t>0.0907818</w:t>
            </w:r>
          </w:p>
        </w:tc>
        <w:tc>
          <w:tcPr>
            <w:tcW w:w="1374" w:type="dxa"/>
            <w:vAlign w:val="center"/>
          </w:tcPr>
          <w:p w14:paraId="159D247B" w14:textId="77777777" w:rsidR="00FC50E1" w:rsidRPr="001570EA" w:rsidRDefault="00FC50E1">
            <w:pPr>
              <w:jc w:val="center"/>
              <w:rPr>
                <w:rFonts w:cs="Arial"/>
                <w:sz w:val="18"/>
                <w:szCs w:val="18"/>
              </w:rPr>
            </w:pPr>
            <w:r w:rsidRPr="001570EA">
              <w:rPr>
                <w:rFonts w:cs="Arial"/>
                <w:sz w:val="18"/>
                <w:szCs w:val="18"/>
              </w:rPr>
              <w:t>0.1150982</w:t>
            </w:r>
          </w:p>
        </w:tc>
        <w:tc>
          <w:tcPr>
            <w:tcW w:w="1374" w:type="dxa"/>
            <w:vAlign w:val="center"/>
          </w:tcPr>
          <w:p w14:paraId="488D50D5" w14:textId="77777777" w:rsidR="00FC50E1" w:rsidRPr="001570EA" w:rsidRDefault="00FC50E1">
            <w:pPr>
              <w:jc w:val="center"/>
              <w:rPr>
                <w:rFonts w:cs="Arial"/>
                <w:sz w:val="18"/>
                <w:szCs w:val="18"/>
              </w:rPr>
            </w:pPr>
            <w:r w:rsidRPr="001570EA">
              <w:rPr>
                <w:rFonts w:cs="Arial"/>
                <w:sz w:val="18"/>
                <w:szCs w:val="18"/>
              </w:rPr>
              <w:t>0.1357120</w:t>
            </w:r>
          </w:p>
        </w:tc>
      </w:tr>
      <w:tr w:rsidR="00FC50E1" w:rsidRPr="001570EA" w14:paraId="5F7D180A" w14:textId="77777777">
        <w:trPr>
          <w:trHeight w:val="360"/>
          <w:tblHeader/>
        </w:trPr>
        <w:tc>
          <w:tcPr>
            <w:tcW w:w="1008" w:type="dxa"/>
            <w:vAlign w:val="center"/>
          </w:tcPr>
          <w:p w14:paraId="1D329925" w14:textId="77777777" w:rsidR="00FC50E1" w:rsidRPr="001570EA" w:rsidRDefault="00FC50E1">
            <w:pPr>
              <w:jc w:val="center"/>
              <w:rPr>
                <w:rFonts w:cs="Arial"/>
                <w:sz w:val="18"/>
                <w:szCs w:val="18"/>
              </w:rPr>
            </w:pPr>
            <w:r w:rsidRPr="001570EA">
              <w:rPr>
                <w:rFonts w:cs="Arial"/>
                <w:sz w:val="18"/>
                <w:szCs w:val="18"/>
              </w:rPr>
              <w:t>G</w:t>
            </w:r>
          </w:p>
        </w:tc>
        <w:tc>
          <w:tcPr>
            <w:tcW w:w="1296" w:type="dxa"/>
            <w:vAlign w:val="center"/>
          </w:tcPr>
          <w:p w14:paraId="3929DAA9" w14:textId="77777777" w:rsidR="00FC50E1" w:rsidRPr="001570EA" w:rsidRDefault="00FC50E1">
            <w:pPr>
              <w:jc w:val="left"/>
              <w:rPr>
                <w:rFonts w:cs="Arial"/>
                <w:sz w:val="18"/>
                <w:szCs w:val="18"/>
              </w:rPr>
            </w:pPr>
            <w:r w:rsidRPr="001570EA">
              <w:rPr>
                <w:rFonts w:cs="Arial"/>
                <w:sz w:val="18"/>
                <w:szCs w:val="18"/>
              </w:rPr>
              <w:t>Bradford</w:t>
            </w:r>
          </w:p>
        </w:tc>
        <w:tc>
          <w:tcPr>
            <w:tcW w:w="1374" w:type="dxa"/>
            <w:vAlign w:val="center"/>
          </w:tcPr>
          <w:p w14:paraId="15B66468" w14:textId="77777777" w:rsidR="00FC50E1" w:rsidRPr="001570EA" w:rsidRDefault="00FC50E1">
            <w:pPr>
              <w:jc w:val="center"/>
              <w:rPr>
                <w:rFonts w:cs="Arial"/>
                <w:sz w:val="18"/>
                <w:szCs w:val="18"/>
              </w:rPr>
            </w:pPr>
            <w:r w:rsidRPr="001570EA">
              <w:rPr>
                <w:rFonts w:cs="Arial"/>
                <w:sz w:val="18"/>
                <w:szCs w:val="18"/>
              </w:rPr>
              <w:t>0.0699694</w:t>
            </w:r>
          </w:p>
        </w:tc>
        <w:tc>
          <w:tcPr>
            <w:tcW w:w="1374" w:type="dxa"/>
            <w:vAlign w:val="center"/>
          </w:tcPr>
          <w:p w14:paraId="1136A98C" w14:textId="77777777" w:rsidR="00FC50E1" w:rsidRPr="001570EA" w:rsidRDefault="00FC50E1">
            <w:pPr>
              <w:jc w:val="center"/>
              <w:rPr>
                <w:rFonts w:cs="Arial"/>
                <w:sz w:val="18"/>
                <w:szCs w:val="18"/>
              </w:rPr>
            </w:pPr>
            <w:r w:rsidRPr="001570EA">
              <w:rPr>
                <w:rFonts w:cs="Arial"/>
                <w:sz w:val="18"/>
                <w:szCs w:val="18"/>
              </w:rPr>
              <w:t>0.0740833</w:t>
            </w:r>
          </w:p>
        </w:tc>
        <w:tc>
          <w:tcPr>
            <w:tcW w:w="1374" w:type="dxa"/>
            <w:vAlign w:val="center"/>
          </w:tcPr>
          <w:p w14:paraId="79132970" w14:textId="77777777" w:rsidR="00FC50E1" w:rsidRPr="001570EA" w:rsidRDefault="00FC50E1">
            <w:pPr>
              <w:jc w:val="center"/>
              <w:rPr>
                <w:rFonts w:cs="Arial"/>
                <w:sz w:val="18"/>
                <w:szCs w:val="18"/>
              </w:rPr>
            </w:pPr>
            <w:r w:rsidRPr="001570EA">
              <w:rPr>
                <w:rFonts w:cs="Arial"/>
                <w:sz w:val="18"/>
                <w:szCs w:val="18"/>
              </w:rPr>
              <w:t>0.0928029</w:t>
            </w:r>
          </w:p>
        </w:tc>
        <w:tc>
          <w:tcPr>
            <w:tcW w:w="1374" w:type="dxa"/>
            <w:vAlign w:val="center"/>
          </w:tcPr>
          <w:p w14:paraId="6F2995C3" w14:textId="77777777" w:rsidR="00FC50E1" w:rsidRPr="001570EA" w:rsidRDefault="00FC50E1">
            <w:pPr>
              <w:jc w:val="center"/>
              <w:rPr>
                <w:rFonts w:cs="Arial"/>
                <w:sz w:val="18"/>
                <w:szCs w:val="18"/>
              </w:rPr>
            </w:pPr>
            <w:r w:rsidRPr="001570EA">
              <w:rPr>
                <w:rFonts w:cs="Arial"/>
                <w:sz w:val="18"/>
                <w:szCs w:val="18"/>
              </w:rPr>
              <w:t>0.1162379</w:t>
            </w:r>
          </w:p>
        </w:tc>
        <w:tc>
          <w:tcPr>
            <w:tcW w:w="1374" w:type="dxa"/>
            <w:vAlign w:val="center"/>
          </w:tcPr>
          <w:p w14:paraId="29633F38" w14:textId="77777777" w:rsidR="00FC50E1" w:rsidRPr="001570EA" w:rsidRDefault="00FC50E1">
            <w:pPr>
              <w:jc w:val="center"/>
              <w:rPr>
                <w:rFonts w:cs="Arial"/>
                <w:sz w:val="18"/>
                <w:szCs w:val="18"/>
              </w:rPr>
            </w:pPr>
            <w:r w:rsidRPr="001570EA">
              <w:rPr>
                <w:rFonts w:cs="Arial"/>
                <w:sz w:val="18"/>
                <w:szCs w:val="18"/>
              </w:rPr>
              <w:t>0.1357924</w:t>
            </w:r>
          </w:p>
        </w:tc>
      </w:tr>
      <w:tr w:rsidR="00FC50E1" w:rsidRPr="001570EA" w14:paraId="311A17DA" w14:textId="77777777">
        <w:trPr>
          <w:trHeight w:val="360"/>
          <w:tblHeader/>
        </w:trPr>
        <w:tc>
          <w:tcPr>
            <w:tcW w:w="1008" w:type="dxa"/>
            <w:vAlign w:val="center"/>
          </w:tcPr>
          <w:p w14:paraId="5D102986" w14:textId="77777777" w:rsidR="00FC50E1" w:rsidRPr="001570EA" w:rsidRDefault="00FC50E1">
            <w:pPr>
              <w:jc w:val="center"/>
              <w:rPr>
                <w:rFonts w:cs="Arial"/>
                <w:sz w:val="18"/>
                <w:szCs w:val="18"/>
              </w:rPr>
            </w:pPr>
            <w:r w:rsidRPr="001570EA">
              <w:rPr>
                <w:rFonts w:cs="Arial"/>
                <w:sz w:val="18"/>
                <w:szCs w:val="18"/>
              </w:rPr>
              <w:t>I</w:t>
            </w:r>
          </w:p>
        </w:tc>
        <w:tc>
          <w:tcPr>
            <w:tcW w:w="1296" w:type="dxa"/>
            <w:vAlign w:val="center"/>
          </w:tcPr>
          <w:p w14:paraId="5015D71D" w14:textId="77777777" w:rsidR="00FC50E1" w:rsidRPr="001570EA" w:rsidRDefault="00FC50E1">
            <w:pPr>
              <w:jc w:val="left"/>
              <w:rPr>
                <w:rFonts w:cs="Arial"/>
                <w:sz w:val="18"/>
                <w:szCs w:val="18"/>
              </w:rPr>
            </w:pPr>
            <w:r w:rsidRPr="001570EA">
              <w:rPr>
                <w:rFonts w:cs="Arial"/>
                <w:sz w:val="18"/>
                <w:szCs w:val="18"/>
              </w:rPr>
              <w:t>Erie</w:t>
            </w:r>
          </w:p>
        </w:tc>
        <w:tc>
          <w:tcPr>
            <w:tcW w:w="1374" w:type="dxa"/>
            <w:vAlign w:val="center"/>
          </w:tcPr>
          <w:p w14:paraId="70EA60C7" w14:textId="77777777" w:rsidR="00FC50E1" w:rsidRPr="001570EA" w:rsidRDefault="00FC50E1">
            <w:pPr>
              <w:jc w:val="center"/>
              <w:rPr>
                <w:rFonts w:cs="Arial"/>
                <w:sz w:val="18"/>
                <w:szCs w:val="18"/>
              </w:rPr>
            </w:pPr>
            <w:r w:rsidRPr="001570EA">
              <w:rPr>
                <w:rFonts w:cs="Arial"/>
                <w:sz w:val="18"/>
                <w:szCs w:val="18"/>
              </w:rPr>
              <w:t>0.0788975</w:t>
            </w:r>
          </w:p>
        </w:tc>
        <w:tc>
          <w:tcPr>
            <w:tcW w:w="1374" w:type="dxa"/>
            <w:vAlign w:val="center"/>
          </w:tcPr>
          <w:p w14:paraId="6A8FAC0D" w14:textId="77777777" w:rsidR="00FC50E1" w:rsidRPr="001570EA" w:rsidRDefault="00FC50E1">
            <w:pPr>
              <w:jc w:val="center"/>
              <w:rPr>
                <w:rFonts w:cs="Arial"/>
                <w:sz w:val="18"/>
                <w:szCs w:val="18"/>
              </w:rPr>
            </w:pPr>
            <w:r w:rsidRPr="001570EA">
              <w:rPr>
                <w:rFonts w:cs="Arial"/>
                <w:sz w:val="18"/>
                <w:szCs w:val="18"/>
              </w:rPr>
              <w:t>0.0851381</w:t>
            </w:r>
          </w:p>
        </w:tc>
        <w:tc>
          <w:tcPr>
            <w:tcW w:w="1374" w:type="dxa"/>
            <w:vAlign w:val="center"/>
          </w:tcPr>
          <w:p w14:paraId="24C84F02" w14:textId="77777777" w:rsidR="00FC50E1" w:rsidRPr="001570EA" w:rsidRDefault="00FC50E1">
            <w:pPr>
              <w:jc w:val="center"/>
              <w:rPr>
                <w:rFonts w:cs="Arial"/>
                <w:sz w:val="18"/>
                <w:szCs w:val="18"/>
              </w:rPr>
            </w:pPr>
            <w:r w:rsidRPr="001570EA">
              <w:rPr>
                <w:rFonts w:cs="Arial"/>
                <w:sz w:val="18"/>
                <w:szCs w:val="18"/>
              </w:rPr>
              <w:t>0.1067952</w:t>
            </w:r>
          </w:p>
        </w:tc>
        <w:tc>
          <w:tcPr>
            <w:tcW w:w="1374" w:type="dxa"/>
            <w:vAlign w:val="center"/>
          </w:tcPr>
          <w:p w14:paraId="338BC2DD" w14:textId="77777777" w:rsidR="00FC50E1" w:rsidRPr="001570EA" w:rsidRDefault="00FC50E1">
            <w:pPr>
              <w:jc w:val="center"/>
              <w:rPr>
                <w:rFonts w:cs="Arial"/>
                <w:sz w:val="18"/>
                <w:szCs w:val="18"/>
              </w:rPr>
            </w:pPr>
            <w:r w:rsidRPr="001570EA">
              <w:rPr>
                <w:rFonts w:cs="Arial"/>
                <w:sz w:val="18"/>
                <w:szCs w:val="18"/>
              </w:rPr>
              <w:t>0.1320825</w:t>
            </w:r>
          </w:p>
        </w:tc>
        <w:tc>
          <w:tcPr>
            <w:tcW w:w="1374" w:type="dxa"/>
            <w:vAlign w:val="center"/>
          </w:tcPr>
          <w:p w14:paraId="13BF6889" w14:textId="77777777" w:rsidR="00FC50E1" w:rsidRPr="001570EA" w:rsidRDefault="00FC50E1">
            <w:pPr>
              <w:jc w:val="center"/>
              <w:rPr>
                <w:rFonts w:cs="Arial"/>
                <w:sz w:val="18"/>
                <w:szCs w:val="18"/>
              </w:rPr>
            </w:pPr>
            <w:r w:rsidRPr="001570EA">
              <w:rPr>
                <w:rFonts w:cs="Arial"/>
                <w:sz w:val="18"/>
                <w:szCs w:val="18"/>
              </w:rPr>
              <w:t>0.1520063</w:t>
            </w:r>
          </w:p>
        </w:tc>
      </w:tr>
      <w:tr w:rsidR="00FC50E1" w:rsidRPr="001570EA" w14:paraId="2FD5D173" w14:textId="77777777">
        <w:trPr>
          <w:trHeight w:val="360"/>
          <w:tblHeader/>
        </w:trPr>
        <w:tc>
          <w:tcPr>
            <w:tcW w:w="1008" w:type="dxa"/>
            <w:vAlign w:val="center"/>
          </w:tcPr>
          <w:p w14:paraId="5111D5FE" w14:textId="77777777" w:rsidR="00FC50E1" w:rsidRPr="001570EA" w:rsidRDefault="00FC50E1">
            <w:pPr>
              <w:jc w:val="center"/>
              <w:rPr>
                <w:rFonts w:cs="Arial"/>
                <w:sz w:val="18"/>
                <w:szCs w:val="18"/>
              </w:rPr>
            </w:pPr>
            <w:r w:rsidRPr="001570EA">
              <w:rPr>
                <w:rFonts w:cs="Arial"/>
                <w:sz w:val="18"/>
                <w:szCs w:val="18"/>
              </w:rPr>
              <w:t>E</w:t>
            </w:r>
          </w:p>
        </w:tc>
        <w:tc>
          <w:tcPr>
            <w:tcW w:w="1296" w:type="dxa"/>
            <w:vAlign w:val="center"/>
          </w:tcPr>
          <w:p w14:paraId="344B5C46" w14:textId="77777777" w:rsidR="00FC50E1" w:rsidRPr="001570EA" w:rsidRDefault="00FC50E1">
            <w:pPr>
              <w:jc w:val="left"/>
              <w:rPr>
                <w:rFonts w:cs="Arial"/>
                <w:sz w:val="18"/>
                <w:szCs w:val="18"/>
              </w:rPr>
            </w:pPr>
            <w:r w:rsidRPr="001570EA">
              <w:rPr>
                <w:rFonts w:cs="Arial"/>
                <w:sz w:val="18"/>
                <w:szCs w:val="18"/>
              </w:rPr>
              <w:t>Harrisburg</w:t>
            </w:r>
          </w:p>
        </w:tc>
        <w:tc>
          <w:tcPr>
            <w:tcW w:w="1374" w:type="dxa"/>
            <w:vAlign w:val="center"/>
          </w:tcPr>
          <w:p w14:paraId="4A1FAB97" w14:textId="77777777" w:rsidR="00FC50E1" w:rsidRPr="001570EA" w:rsidRDefault="00FC50E1">
            <w:pPr>
              <w:jc w:val="center"/>
              <w:rPr>
                <w:rFonts w:cs="Arial"/>
                <w:sz w:val="18"/>
                <w:szCs w:val="18"/>
              </w:rPr>
            </w:pPr>
            <w:r w:rsidRPr="001570EA">
              <w:rPr>
                <w:rFonts w:cs="Arial"/>
                <w:sz w:val="18"/>
                <w:szCs w:val="18"/>
              </w:rPr>
              <w:t>0.0647908</w:t>
            </w:r>
          </w:p>
        </w:tc>
        <w:tc>
          <w:tcPr>
            <w:tcW w:w="1374" w:type="dxa"/>
            <w:vAlign w:val="center"/>
          </w:tcPr>
          <w:p w14:paraId="3C06A89B" w14:textId="77777777" w:rsidR="00FC50E1" w:rsidRPr="001570EA" w:rsidRDefault="00FC50E1">
            <w:pPr>
              <w:jc w:val="center"/>
              <w:rPr>
                <w:rFonts w:cs="Arial"/>
                <w:sz w:val="18"/>
                <w:szCs w:val="18"/>
              </w:rPr>
            </w:pPr>
            <w:r w:rsidRPr="001570EA">
              <w:rPr>
                <w:rFonts w:cs="Arial"/>
                <w:sz w:val="18"/>
                <w:szCs w:val="18"/>
              </w:rPr>
              <w:t>0.0680365</w:t>
            </w:r>
          </w:p>
        </w:tc>
        <w:tc>
          <w:tcPr>
            <w:tcW w:w="1374" w:type="dxa"/>
            <w:vAlign w:val="center"/>
          </w:tcPr>
          <w:p w14:paraId="667F1999" w14:textId="77777777" w:rsidR="00FC50E1" w:rsidRPr="001570EA" w:rsidRDefault="00FC50E1">
            <w:pPr>
              <w:jc w:val="center"/>
              <w:rPr>
                <w:rFonts w:cs="Arial"/>
                <w:sz w:val="18"/>
                <w:szCs w:val="18"/>
              </w:rPr>
            </w:pPr>
            <w:r w:rsidRPr="001570EA">
              <w:rPr>
                <w:rFonts w:cs="Arial"/>
                <w:sz w:val="18"/>
                <w:szCs w:val="18"/>
              </w:rPr>
              <w:t>0.0857973</w:t>
            </w:r>
          </w:p>
        </w:tc>
        <w:tc>
          <w:tcPr>
            <w:tcW w:w="1374" w:type="dxa"/>
            <w:vAlign w:val="center"/>
          </w:tcPr>
          <w:p w14:paraId="3505F3E0" w14:textId="77777777" w:rsidR="00FC50E1" w:rsidRPr="001570EA" w:rsidRDefault="00FC50E1">
            <w:pPr>
              <w:jc w:val="center"/>
              <w:rPr>
                <w:rFonts w:cs="Arial"/>
                <w:sz w:val="18"/>
                <w:szCs w:val="18"/>
              </w:rPr>
            </w:pPr>
            <w:r w:rsidRPr="001570EA">
              <w:rPr>
                <w:rFonts w:cs="Arial"/>
                <w:sz w:val="18"/>
                <w:szCs w:val="18"/>
              </w:rPr>
              <w:t>0.1096607</w:t>
            </w:r>
          </w:p>
        </w:tc>
        <w:tc>
          <w:tcPr>
            <w:tcW w:w="1374" w:type="dxa"/>
            <w:vAlign w:val="center"/>
          </w:tcPr>
          <w:p w14:paraId="4069A46D" w14:textId="77777777" w:rsidR="00FC50E1" w:rsidRPr="001570EA" w:rsidRDefault="00FC50E1">
            <w:pPr>
              <w:jc w:val="center"/>
              <w:rPr>
                <w:rFonts w:cs="Arial"/>
                <w:sz w:val="18"/>
                <w:szCs w:val="18"/>
              </w:rPr>
            </w:pPr>
            <w:r w:rsidRPr="001570EA">
              <w:rPr>
                <w:rFonts w:cs="Arial"/>
                <w:sz w:val="18"/>
                <w:szCs w:val="18"/>
              </w:rPr>
              <w:t>0.1307424</w:t>
            </w:r>
          </w:p>
        </w:tc>
      </w:tr>
      <w:tr w:rsidR="00FC50E1" w:rsidRPr="001570EA" w14:paraId="2E2D0A0F" w14:textId="77777777">
        <w:trPr>
          <w:trHeight w:val="360"/>
          <w:tblHeader/>
        </w:trPr>
        <w:tc>
          <w:tcPr>
            <w:tcW w:w="1008" w:type="dxa"/>
            <w:vAlign w:val="center"/>
          </w:tcPr>
          <w:p w14:paraId="38D0F92D" w14:textId="77777777" w:rsidR="00FC50E1" w:rsidRPr="001570EA" w:rsidRDefault="00FC50E1">
            <w:pPr>
              <w:jc w:val="center"/>
              <w:rPr>
                <w:rFonts w:cs="Arial"/>
                <w:sz w:val="18"/>
                <w:szCs w:val="18"/>
              </w:rPr>
            </w:pPr>
            <w:r w:rsidRPr="001570EA">
              <w:rPr>
                <w:rFonts w:cs="Arial"/>
                <w:sz w:val="18"/>
                <w:szCs w:val="18"/>
              </w:rPr>
              <w:t>D</w:t>
            </w:r>
          </w:p>
        </w:tc>
        <w:tc>
          <w:tcPr>
            <w:tcW w:w="1296" w:type="dxa"/>
            <w:vAlign w:val="center"/>
          </w:tcPr>
          <w:p w14:paraId="43F4095E" w14:textId="77777777" w:rsidR="00FC50E1" w:rsidRPr="001570EA" w:rsidRDefault="00FC50E1">
            <w:pPr>
              <w:jc w:val="left"/>
              <w:rPr>
                <w:rFonts w:cs="Arial"/>
                <w:sz w:val="18"/>
                <w:szCs w:val="18"/>
              </w:rPr>
            </w:pPr>
            <w:r w:rsidRPr="001570EA">
              <w:rPr>
                <w:rFonts w:cs="Arial"/>
                <w:sz w:val="18"/>
                <w:szCs w:val="18"/>
              </w:rPr>
              <w:t>Philadelphia</w:t>
            </w:r>
          </w:p>
        </w:tc>
        <w:tc>
          <w:tcPr>
            <w:tcW w:w="1374" w:type="dxa"/>
            <w:vAlign w:val="center"/>
          </w:tcPr>
          <w:p w14:paraId="041822B5" w14:textId="77777777" w:rsidR="00FC50E1" w:rsidRPr="001570EA" w:rsidRDefault="00FC50E1">
            <w:pPr>
              <w:jc w:val="center"/>
              <w:rPr>
                <w:rFonts w:cs="Arial"/>
                <w:sz w:val="18"/>
                <w:szCs w:val="18"/>
              </w:rPr>
            </w:pPr>
            <w:r w:rsidRPr="001570EA">
              <w:rPr>
                <w:rFonts w:cs="Arial"/>
                <w:sz w:val="18"/>
                <w:szCs w:val="18"/>
              </w:rPr>
              <w:t>0.0600152</w:t>
            </w:r>
          </w:p>
        </w:tc>
        <w:tc>
          <w:tcPr>
            <w:tcW w:w="1374" w:type="dxa"/>
            <w:vAlign w:val="center"/>
          </w:tcPr>
          <w:p w14:paraId="2CF83F24" w14:textId="77777777" w:rsidR="00FC50E1" w:rsidRPr="001570EA" w:rsidRDefault="00FC50E1">
            <w:pPr>
              <w:jc w:val="center"/>
              <w:rPr>
                <w:rFonts w:cs="Arial"/>
                <w:sz w:val="18"/>
                <w:szCs w:val="18"/>
              </w:rPr>
            </w:pPr>
            <w:r w:rsidRPr="001570EA">
              <w:rPr>
                <w:rFonts w:cs="Arial"/>
                <w:sz w:val="18"/>
                <w:szCs w:val="18"/>
              </w:rPr>
              <w:t>0.0620246</w:t>
            </w:r>
          </w:p>
        </w:tc>
        <w:tc>
          <w:tcPr>
            <w:tcW w:w="1374" w:type="dxa"/>
            <w:vAlign w:val="center"/>
          </w:tcPr>
          <w:p w14:paraId="4A9B0332" w14:textId="77777777" w:rsidR="00FC50E1" w:rsidRPr="001570EA" w:rsidRDefault="00FC50E1">
            <w:pPr>
              <w:jc w:val="center"/>
              <w:rPr>
                <w:rFonts w:cs="Arial"/>
                <w:sz w:val="18"/>
                <w:szCs w:val="18"/>
              </w:rPr>
            </w:pPr>
            <w:r w:rsidRPr="001570EA">
              <w:rPr>
                <w:rFonts w:cs="Arial"/>
                <w:sz w:val="18"/>
                <w:szCs w:val="18"/>
              </w:rPr>
              <w:t>0.0772186</w:t>
            </w:r>
          </w:p>
        </w:tc>
        <w:tc>
          <w:tcPr>
            <w:tcW w:w="1374" w:type="dxa"/>
            <w:vAlign w:val="center"/>
          </w:tcPr>
          <w:p w14:paraId="37D67B11" w14:textId="77777777" w:rsidR="00FC50E1" w:rsidRPr="001570EA" w:rsidRDefault="00FC50E1">
            <w:pPr>
              <w:jc w:val="center"/>
              <w:rPr>
                <w:rFonts w:cs="Arial"/>
                <w:sz w:val="18"/>
                <w:szCs w:val="18"/>
              </w:rPr>
            </w:pPr>
            <w:r w:rsidRPr="001570EA">
              <w:rPr>
                <w:rFonts w:cs="Arial"/>
                <w:sz w:val="18"/>
                <w:szCs w:val="18"/>
              </w:rPr>
              <w:t>0.0988952</w:t>
            </w:r>
          </w:p>
        </w:tc>
        <w:tc>
          <w:tcPr>
            <w:tcW w:w="1374" w:type="dxa"/>
            <w:vAlign w:val="center"/>
          </w:tcPr>
          <w:p w14:paraId="3A3C1637" w14:textId="77777777" w:rsidR="00FC50E1" w:rsidRPr="001570EA" w:rsidRDefault="00FC50E1">
            <w:pPr>
              <w:jc w:val="center"/>
              <w:rPr>
                <w:rFonts w:cs="Arial"/>
                <w:sz w:val="18"/>
                <w:szCs w:val="18"/>
              </w:rPr>
            </w:pPr>
            <w:r w:rsidRPr="001570EA">
              <w:rPr>
                <w:rFonts w:cs="Arial"/>
                <w:sz w:val="18"/>
                <w:szCs w:val="18"/>
              </w:rPr>
              <w:t>0.1185881</w:t>
            </w:r>
          </w:p>
        </w:tc>
      </w:tr>
      <w:tr w:rsidR="00FC50E1" w:rsidRPr="001570EA" w14:paraId="15D7BF3E" w14:textId="77777777">
        <w:trPr>
          <w:trHeight w:val="360"/>
          <w:tblHeader/>
        </w:trPr>
        <w:tc>
          <w:tcPr>
            <w:tcW w:w="1008" w:type="dxa"/>
            <w:vAlign w:val="center"/>
          </w:tcPr>
          <w:p w14:paraId="10E79F45" w14:textId="77777777" w:rsidR="00FC50E1" w:rsidRPr="001570EA" w:rsidRDefault="00FC50E1">
            <w:pPr>
              <w:jc w:val="center"/>
              <w:rPr>
                <w:rFonts w:cs="Arial"/>
                <w:sz w:val="18"/>
                <w:szCs w:val="18"/>
              </w:rPr>
            </w:pPr>
            <w:r w:rsidRPr="001570EA">
              <w:rPr>
                <w:rFonts w:cs="Arial"/>
                <w:sz w:val="18"/>
                <w:szCs w:val="18"/>
              </w:rPr>
              <w:t>H</w:t>
            </w:r>
          </w:p>
        </w:tc>
        <w:tc>
          <w:tcPr>
            <w:tcW w:w="1296" w:type="dxa"/>
            <w:vAlign w:val="center"/>
          </w:tcPr>
          <w:p w14:paraId="20D5C7ED" w14:textId="77777777" w:rsidR="00FC50E1" w:rsidRPr="001570EA" w:rsidRDefault="00FC50E1">
            <w:pPr>
              <w:jc w:val="left"/>
              <w:rPr>
                <w:rFonts w:cs="Arial"/>
                <w:sz w:val="18"/>
                <w:szCs w:val="18"/>
              </w:rPr>
            </w:pPr>
            <w:r w:rsidRPr="001570EA">
              <w:rPr>
                <w:rFonts w:cs="Arial"/>
                <w:sz w:val="18"/>
                <w:szCs w:val="18"/>
              </w:rPr>
              <w:t>Pittsburgh</w:t>
            </w:r>
          </w:p>
        </w:tc>
        <w:tc>
          <w:tcPr>
            <w:tcW w:w="1374" w:type="dxa"/>
            <w:vAlign w:val="center"/>
          </w:tcPr>
          <w:p w14:paraId="446388DE" w14:textId="77777777" w:rsidR="00FC50E1" w:rsidRPr="001570EA" w:rsidRDefault="00FC50E1">
            <w:pPr>
              <w:jc w:val="center"/>
              <w:rPr>
                <w:rFonts w:cs="Arial"/>
                <w:sz w:val="18"/>
                <w:szCs w:val="18"/>
              </w:rPr>
            </w:pPr>
            <w:r w:rsidRPr="001570EA">
              <w:rPr>
                <w:rFonts w:cs="Arial"/>
                <w:sz w:val="18"/>
                <w:szCs w:val="18"/>
              </w:rPr>
              <w:t>0.0722741</w:t>
            </w:r>
          </w:p>
        </w:tc>
        <w:tc>
          <w:tcPr>
            <w:tcW w:w="1374" w:type="dxa"/>
            <w:vAlign w:val="center"/>
          </w:tcPr>
          <w:p w14:paraId="39868836" w14:textId="77777777" w:rsidR="00FC50E1" w:rsidRPr="001570EA" w:rsidRDefault="00FC50E1">
            <w:pPr>
              <w:jc w:val="center"/>
              <w:rPr>
                <w:rFonts w:cs="Arial"/>
                <w:sz w:val="18"/>
                <w:szCs w:val="18"/>
              </w:rPr>
            </w:pPr>
            <w:r w:rsidRPr="001570EA">
              <w:rPr>
                <w:rFonts w:cs="Arial"/>
                <w:sz w:val="18"/>
                <w:szCs w:val="18"/>
              </w:rPr>
              <w:t>0.0765022</w:t>
            </w:r>
          </w:p>
        </w:tc>
        <w:tc>
          <w:tcPr>
            <w:tcW w:w="1374" w:type="dxa"/>
            <w:vAlign w:val="center"/>
          </w:tcPr>
          <w:p w14:paraId="7924581B" w14:textId="77777777" w:rsidR="00FC50E1" w:rsidRPr="001570EA" w:rsidRDefault="00FC50E1">
            <w:pPr>
              <w:jc w:val="center"/>
              <w:rPr>
                <w:rFonts w:cs="Arial"/>
                <w:sz w:val="18"/>
                <w:szCs w:val="18"/>
              </w:rPr>
            </w:pPr>
            <w:r w:rsidRPr="001570EA">
              <w:rPr>
                <w:rFonts w:cs="Arial"/>
                <w:sz w:val="18"/>
                <w:szCs w:val="18"/>
              </w:rPr>
              <w:t>0.0948878</w:t>
            </w:r>
          </w:p>
        </w:tc>
        <w:tc>
          <w:tcPr>
            <w:tcW w:w="1374" w:type="dxa"/>
            <w:vAlign w:val="center"/>
          </w:tcPr>
          <w:p w14:paraId="0254F182" w14:textId="77777777" w:rsidR="00FC50E1" w:rsidRPr="001570EA" w:rsidRDefault="00FC50E1">
            <w:pPr>
              <w:jc w:val="center"/>
              <w:rPr>
                <w:rFonts w:cs="Arial"/>
                <w:sz w:val="18"/>
                <w:szCs w:val="18"/>
              </w:rPr>
            </w:pPr>
            <w:r w:rsidRPr="001570EA">
              <w:rPr>
                <w:rFonts w:cs="Arial"/>
                <w:sz w:val="18"/>
                <w:szCs w:val="18"/>
              </w:rPr>
              <w:t>0.1179122</w:t>
            </w:r>
          </w:p>
        </w:tc>
        <w:tc>
          <w:tcPr>
            <w:tcW w:w="1374" w:type="dxa"/>
            <w:vAlign w:val="center"/>
          </w:tcPr>
          <w:p w14:paraId="0FC1B8B5" w14:textId="77777777" w:rsidR="00FC50E1" w:rsidRPr="001570EA" w:rsidRDefault="00FC50E1">
            <w:pPr>
              <w:jc w:val="center"/>
              <w:rPr>
                <w:rFonts w:cs="Arial"/>
                <w:sz w:val="18"/>
                <w:szCs w:val="18"/>
              </w:rPr>
            </w:pPr>
            <w:r w:rsidRPr="001570EA">
              <w:rPr>
                <w:rFonts w:cs="Arial"/>
                <w:sz w:val="18"/>
                <w:szCs w:val="18"/>
              </w:rPr>
              <w:t>0.1370800</w:t>
            </w:r>
          </w:p>
        </w:tc>
      </w:tr>
      <w:tr w:rsidR="00FC50E1" w:rsidRPr="001570EA" w14:paraId="3C5A47F1" w14:textId="77777777">
        <w:trPr>
          <w:trHeight w:val="360"/>
          <w:tblHeader/>
        </w:trPr>
        <w:tc>
          <w:tcPr>
            <w:tcW w:w="1008" w:type="dxa"/>
            <w:vAlign w:val="center"/>
          </w:tcPr>
          <w:p w14:paraId="10D05C95" w14:textId="77777777" w:rsidR="00FC50E1" w:rsidRPr="001570EA" w:rsidRDefault="00FC50E1">
            <w:pPr>
              <w:jc w:val="center"/>
              <w:rPr>
                <w:rFonts w:cs="Arial"/>
                <w:sz w:val="18"/>
                <w:szCs w:val="18"/>
              </w:rPr>
            </w:pPr>
            <w:r w:rsidRPr="001570EA">
              <w:rPr>
                <w:rFonts w:cs="Arial"/>
                <w:sz w:val="18"/>
                <w:szCs w:val="18"/>
              </w:rPr>
              <w:t>B</w:t>
            </w:r>
          </w:p>
        </w:tc>
        <w:tc>
          <w:tcPr>
            <w:tcW w:w="1296" w:type="dxa"/>
            <w:vAlign w:val="center"/>
          </w:tcPr>
          <w:p w14:paraId="247C764E" w14:textId="77777777" w:rsidR="00FC50E1" w:rsidRPr="001570EA" w:rsidRDefault="00FC50E1">
            <w:pPr>
              <w:jc w:val="left"/>
              <w:rPr>
                <w:rFonts w:cs="Arial"/>
                <w:sz w:val="18"/>
                <w:szCs w:val="18"/>
              </w:rPr>
            </w:pPr>
            <w:r w:rsidRPr="001570EA">
              <w:rPr>
                <w:rFonts w:cs="Arial"/>
                <w:sz w:val="18"/>
                <w:szCs w:val="18"/>
              </w:rPr>
              <w:t>Scranton</w:t>
            </w:r>
          </w:p>
        </w:tc>
        <w:tc>
          <w:tcPr>
            <w:tcW w:w="1374" w:type="dxa"/>
            <w:vAlign w:val="center"/>
          </w:tcPr>
          <w:p w14:paraId="55D34E53" w14:textId="77777777" w:rsidR="00FC50E1" w:rsidRPr="001570EA" w:rsidRDefault="00FC50E1">
            <w:pPr>
              <w:jc w:val="center"/>
              <w:rPr>
                <w:rFonts w:cs="Arial"/>
                <w:sz w:val="18"/>
                <w:szCs w:val="18"/>
              </w:rPr>
            </w:pPr>
            <w:r w:rsidRPr="001570EA">
              <w:rPr>
                <w:rFonts w:cs="Arial"/>
                <w:sz w:val="18"/>
                <w:szCs w:val="18"/>
              </w:rPr>
              <w:t>0.0630191</w:t>
            </w:r>
          </w:p>
        </w:tc>
        <w:tc>
          <w:tcPr>
            <w:tcW w:w="1374" w:type="dxa"/>
            <w:vAlign w:val="center"/>
          </w:tcPr>
          <w:p w14:paraId="2670A4A4" w14:textId="77777777" w:rsidR="00FC50E1" w:rsidRPr="001570EA" w:rsidRDefault="00FC50E1">
            <w:pPr>
              <w:jc w:val="center"/>
              <w:rPr>
                <w:rFonts w:cs="Arial"/>
                <w:sz w:val="18"/>
                <w:szCs w:val="18"/>
              </w:rPr>
            </w:pPr>
            <w:r w:rsidRPr="001570EA">
              <w:rPr>
                <w:rFonts w:cs="Arial"/>
                <w:sz w:val="18"/>
                <w:szCs w:val="18"/>
              </w:rPr>
              <w:t>0.0664687</w:t>
            </w:r>
          </w:p>
        </w:tc>
        <w:tc>
          <w:tcPr>
            <w:tcW w:w="1374" w:type="dxa"/>
            <w:vAlign w:val="center"/>
          </w:tcPr>
          <w:p w14:paraId="4A68DCED" w14:textId="77777777" w:rsidR="00FC50E1" w:rsidRPr="001570EA" w:rsidRDefault="00FC50E1">
            <w:pPr>
              <w:jc w:val="center"/>
              <w:rPr>
                <w:rFonts w:cs="Arial"/>
                <w:sz w:val="18"/>
                <w:szCs w:val="18"/>
              </w:rPr>
            </w:pPr>
            <w:r w:rsidRPr="001570EA">
              <w:rPr>
                <w:rFonts w:cs="Arial"/>
                <w:sz w:val="18"/>
                <w:szCs w:val="18"/>
              </w:rPr>
              <w:t>0.0836893</w:t>
            </w:r>
          </w:p>
        </w:tc>
        <w:tc>
          <w:tcPr>
            <w:tcW w:w="1374" w:type="dxa"/>
            <w:vAlign w:val="center"/>
          </w:tcPr>
          <w:p w14:paraId="33F05687" w14:textId="77777777" w:rsidR="00FC50E1" w:rsidRPr="001570EA" w:rsidRDefault="00FC50E1">
            <w:pPr>
              <w:jc w:val="center"/>
              <w:rPr>
                <w:rFonts w:cs="Arial"/>
                <w:sz w:val="18"/>
                <w:szCs w:val="18"/>
              </w:rPr>
            </w:pPr>
            <w:r w:rsidRPr="001570EA">
              <w:rPr>
                <w:rFonts w:cs="Arial"/>
                <w:sz w:val="18"/>
                <w:szCs w:val="18"/>
              </w:rPr>
              <w:t>0.1063465</w:t>
            </w:r>
          </w:p>
        </w:tc>
        <w:tc>
          <w:tcPr>
            <w:tcW w:w="1374" w:type="dxa"/>
            <w:vAlign w:val="center"/>
          </w:tcPr>
          <w:p w14:paraId="26343822" w14:textId="77777777" w:rsidR="00FC50E1" w:rsidRPr="001570EA" w:rsidRDefault="00FC50E1">
            <w:pPr>
              <w:jc w:val="center"/>
              <w:rPr>
                <w:rFonts w:cs="Arial"/>
                <w:sz w:val="18"/>
                <w:szCs w:val="18"/>
              </w:rPr>
            </w:pPr>
            <w:r w:rsidRPr="001570EA">
              <w:rPr>
                <w:rFonts w:cs="Arial"/>
                <w:sz w:val="18"/>
                <w:szCs w:val="18"/>
              </w:rPr>
              <w:t>0.1257134</w:t>
            </w:r>
          </w:p>
        </w:tc>
      </w:tr>
      <w:tr w:rsidR="00FC50E1" w:rsidRPr="001570EA" w14:paraId="38F91A37" w14:textId="77777777">
        <w:trPr>
          <w:trHeight w:val="360"/>
          <w:tblHeader/>
        </w:trPr>
        <w:tc>
          <w:tcPr>
            <w:tcW w:w="1008" w:type="dxa"/>
            <w:vAlign w:val="center"/>
          </w:tcPr>
          <w:p w14:paraId="6E86CF5A" w14:textId="77777777" w:rsidR="00FC50E1" w:rsidRPr="001570EA" w:rsidRDefault="00FC50E1">
            <w:pPr>
              <w:jc w:val="center"/>
              <w:rPr>
                <w:rFonts w:cs="Arial"/>
                <w:sz w:val="18"/>
                <w:szCs w:val="18"/>
              </w:rPr>
            </w:pPr>
            <w:r w:rsidRPr="001570EA">
              <w:rPr>
                <w:rFonts w:cs="Arial"/>
                <w:sz w:val="18"/>
                <w:szCs w:val="18"/>
              </w:rPr>
              <w:t>F</w:t>
            </w:r>
          </w:p>
        </w:tc>
        <w:tc>
          <w:tcPr>
            <w:tcW w:w="1296" w:type="dxa"/>
            <w:vAlign w:val="center"/>
          </w:tcPr>
          <w:p w14:paraId="44CD91A0" w14:textId="77777777" w:rsidR="00FC50E1" w:rsidRPr="001570EA" w:rsidRDefault="00FC50E1">
            <w:pPr>
              <w:jc w:val="left"/>
              <w:rPr>
                <w:rFonts w:cs="Arial"/>
                <w:sz w:val="18"/>
                <w:szCs w:val="18"/>
              </w:rPr>
            </w:pPr>
            <w:r w:rsidRPr="001570EA">
              <w:rPr>
                <w:rFonts w:cs="Arial"/>
                <w:sz w:val="18"/>
                <w:szCs w:val="18"/>
              </w:rPr>
              <w:t>Williamsport</w:t>
            </w:r>
          </w:p>
        </w:tc>
        <w:tc>
          <w:tcPr>
            <w:tcW w:w="1374" w:type="dxa"/>
            <w:vAlign w:val="center"/>
          </w:tcPr>
          <w:p w14:paraId="1D58908D" w14:textId="77777777" w:rsidR="00FC50E1" w:rsidRPr="001570EA" w:rsidRDefault="00FC50E1">
            <w:pPr>
              <w:jc w:val="center"/>
              <w:rPr>
                <w:rFonts w:cs="Arial"/>
                <w:sz w:val="18"/>
                <w:szCs w:val="18"/>
              </w:rPr>
            </w:pPr>
            <w:r w:rsidRPr="001570EA">
              <w:rPr>
                <w:rFonts w:cs="Arial"/>
                <w:sz w:val="18"/>
                <w:szCs w:val="18"/>
              </w:rPr>
              <w:t>0.0679989</w:t>
            </w:r>
          </w:p>
        </w:tc>
        <w:tc>
          <w:tcPr>
            <w:tcW w:w="1374" w:type="dxa"/>
            <w:vAlign w:val="center"/>
          </w:tcPr>
          <w:p w14:paraId="69AE3A80" w14:textId="77777777" w:rsidR="00FC50E1" w:rsidRPr="001570EA" w:rsidRDefault="00FC50E1">
            <w:pPr>
              <w:jc w:val="center"/>
              <w:rPr>
                <w:rFonts w:cs="Arial"/>
                <w:sz w:val="18"/>
                <w:szCs w:val="18"/>
              </w:rPr>
            </w:pPr>
            <w:r w:rsidRPr="001570EA">
              <w:rPr>
                <w:rFonts w:cs="Arial"/>
                <w:sz w:val="18"/>
                <w:szCs w:val="18"/>
              </w:rPr>
              <w:t>0.0712337</w:t>
            </w:r>
          </w:p>
        </w:tc>
        <w:tc>
          <w:tcPr>
            <w:tcW w:w="1374" w:type="dxa"/>
            <w:vAlign w:val="center"/>
          </w:tcPr>
          <w:p w14:paraId="5C073310" w14:textId="77777777" w:rsidR="00FC50E1" w:rsidRPr="001570EA" w:rsidRDefault="00FC50E1">
            <w:pPr>
              <w:jc w:val="center"/>
              <w:rPr>
                <w:rFonts w:cs="Arial"/>
                <w:sz w:val="18"/>
                <w:szCs w:val="18"/>
              </w:rPr>
            </w:pPr>
            <w:r w:rsidRPr="001570EA">
              <w:rPr>
                <w:rFonts w:cs="Arial"/>
                <w:sz w:val="18"/>
                <w:szCs w:val="18"/>
              </w:rPr>
              <w:t>0.0883588</w:t>
            </w:r>
          </w:p>
        </w:tc>
        <w:tc>
          <w:tcPr>
            <w:tcW w:w="1374" w:type="dxa"/>
            <w:vAlign w:val="center"/>
          </w:tcPr>
          <w:p w14:paraId="1B3EE29A" w14:textId="77777777" w:rsidR="00FC50E1" w:rsidRPr="001570EA" w:rsidRDefault="00FC50E1">
            <w:pPr>
              <w:jc w:val="center"/>
              <w:rPr>
                <w:rFonts w:cs="Arial"/>
                <w:sz w:val="18"/>
                <w:szCs w:val="18"/>
              </w:rPr>
            </w:pPr>
            <w:r w:rsidRPr="001570EA">
              <w:rPr>
                <w:rFonts w:cs="Arial"/>
                <w:sz w:val="18"/>
                <w:szCs w:val="18"/>
              </w:rPr>
              <w:t>0.1107460</w:t>
            </w:r>
          </w:p>
        </w:tc>
        <w:tc>
          <w:tcPr>
            <w:tcW w:w="1374" w:type="dxa"/>
            <w:vAlign w:val="center"/>
          </w:tcPr>
          <w:p w14:paraId="5687F61A" w14:textId="77777777" w:rsidR="00FC50E1" w:rsidRPr="001570EA" w:rsidRDefault="00FC50E1">
            <w:pPr>
              <w:jc w:val="center"/>
              <w:rPr>
                <w:rFonts w:cs="Arial"/>
                <w:sz w:val="18"/>
                <w:szCs w:val="18"/>
              </w:rPr>
            </w:pPr>
            <w:r w:rsidRPr="001570EA">
              <w:rPr>
                <w:rFonts w:cs="Arial"/>
                <w:sz w:val="18"/>
                <w:szCs w:val="18"/>
              </w:rPr>
              <w:t>0.1301680</w:t>
            </w:r>
          </w:p>
        </w:tc>
      </w:tr>
    </w:tbl>
    <w:p w14:paraId="476F707E" w14:textId="77777777" w:rsidR="00FC50E1" w:rsidRPr="001570EA" w:rsidRDefault="00FC50E1" w:rsidP="00FC50E1"/>
    <w:p w14:paraId="19DDFDB7" w14:textId="3D96842A" w:rsidR="00FC50E1" w:rsidRPr="001570EA" w:rsidRDefault="00FC50E1" w:rsidP="00FC50E1">
      <w:pPr>
        <w:pStyle w:val="Caption"/>
        <w:jc w:val="left"/>
      </w:pPr>
      <w:bookmarkStart w:id="1281" w:name="_Ref163657404"/>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A11E80"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A11E80" w:rsidRPr="001570EA">
        <w:rPr>
          <w:noProof/>
        </w:rPr>
        <w:t>178</w:t>
      </w:r>
      <w:r w:rsidR="002E093A" w:rsidRPr="001570EA">
        <w:fldChar w:fldCharType="end"/>
      </w:r>
      <w:bookmarkEnd w:id="1281"/>
      <w:r w:rsidRPr="001570EA">
        <w:t>: Summer Energy to Demand Factor Increments, (ETDF</w:t>
      </w:r>
      <w:r w:rsidRPr="001570EA">
        <w:rPr>
          <w:vertAlign w:val="subscript"/>
        </w:rPr>
        <w:t>summer,increments</w:t>
      </w:r>
      <w:r w:rsidRPr="001570EA">
        <w:t>)</w:t>
      </w:r>
    </w:p>
    <w:tbl>
      <w:tblPr>
        <w:tblStyle w:val="TableGrid"/>
        <w:tblW w:w="0" w:type="auto"/>
        <w:tblLook w:val="04A0" w:firstRow="1" w:lastRow="0" w:firstColumn="1" w:lastColumn="0" w:noHBand="0" w:noVBand="1"/>
      </w:tblPr>
      <w:tblGrid>
        <w:gridCol w:w="1008"/>
        <w:gridCol w:w="1296"/>
        <w:gridCol w:w="1558"/>
        <w:gridCol w:w="1558"/>
        <w:gridCol w:w="1559"/>
        <w:gridCol w:w="1559"/>
      </w:tblGrid>
      <w:tr w:rsidR="00FC50E1" w:rsidRPr="001570EA" w14:paraId="3669496B" w14:textId="77777777">
        <w:tc>
          <w:tcPr>
            <w:tcW w:w="1008" w:type="dxa"/>
            <w:tcBorders>
              <w:bottom w:val="nil"/>
            </w:tcBorders>
            <w:shd w:val="clear" w:color="auto" w:fill="A6A6A6" w:themeFill="background1" w:themeFillShade="A6"/>
          </w:tcPr>
          <w:p w14:paraId="745B182A" w14:textId="77777777" w:rsidR="00FC50E1" w:rsidRPr="001570EA" w:rsidRDefault="00FC50E1">
            <w:pPr>
              <w:pStyle w:val="TableCell"/>
              <w:keepNext w:val="0"/>
              <w:spacing w:before="60" w:after="60"/>
              <w:jc w:val="left"/>
              <w:rPr>
                <w:rFonts w:eastAsia="Calibri" w:cs="Arial"/>
                <w:b/>
                <w:szCs w:val="18"/>
              </w:rPr>
            </w:pPr>
          </w:p>
        </w:tc>
        <w:tc>
          <w:tcPr>
            <w:tcW w:w="1296" w:type="dxa"/>
            <w:tcBorders>
              <w:bottom w:val="nil"/>
            </w:tcBorders>
            <w:shd w:val="clear" w:color="auto" w:fill="A6A6A6" w:themeFill="background1" w:themeFillShade="A6"/>
          </w:tcPr>
          <w:p w14:paraId="65BAF66C" w14:textId="77777777" w:rsidR="00FC50E1" w:rsidRPr="001570EA" w:rsidRDefault="00FC50E1">
            <w:pPr>
              <w:pStyle w:val="TableCell"/>
              <w:keepNext w:val="0"/>
              <w:spacing w:before="60" w:after="60"/>
              <w:jc w:val="left"/>
              <w:rPr>
                <w:rFonts w:eastAsia="Calibri" w:cs="Arial"/>
                <w:b/>
                <w:szCs w:val="18"/>
              </w:rPr>
            </w:pPr>
          </w:p>
        </w:tc>
        <w:tc>
          <w:tcPr>
            <w:tcW w:w="6234" w:type="dxa"/>
            <w:gridSpan w:val="4"/>
            <w:shd w:val="clear" w:color="auto" w:fill="A6A6A6" w:themeFill="background1" w:themeFillShade="A6"/>
          </w:tcPr>
          <w:p w14:paraId="508C6E1E"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Array Azimuth Range</w:t>
            </w:r>
          </w:p>
        </w:tc>
      </w:tr>
      <w:tr w:rsidR="00FC50E1" w:rsidRPr="001570EA" w14:paraId="1B433E4D" w14:textId="77777777">
        <w:tc>
          <w:tcPr>
            <w:tcW w:w="1008" w:type="dxa"/>
            <w:tcBorders>
              <w:top w:val="nil"/>
            </w:tcBorders>
            <w:shd w:val="clear" w:color="auto" w:fill="A6A6A6" w:themeFill="background1" w:themeFillShade="A6"/>
            <w:vAlign w:val="bottom"/>
          </w:tcPr>
          <w:p w14:paraId="00326385"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Climate Region</w:t>
            </w:r>
          </w:p>
        </w:tc>
        <w:tc>
          <w:tcPr>
            <w:tcW w:w="1296" w:type="dxa"/>
            <w:tcBorders>
              <w:top w:val="nil"/>
            </w:tcBorders>
            <w:shd w:val="clear" w:color="auto" w:fill="A6A6A6" w:themeFill="background1" w:themeFillShade="A6"/>
            <w:vAlign w:val="bottom"/>
          </w:tcPr>
          <w:p w14:paraId="28208A08"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Reference City</w:t>
            </w:r>
          </w:p>
        </w:tc>
        <w:tc>
          <w:tcPr>
            <w:tcW w:w="1558" w:type="dxa"/>
            <w:shd w:val="clear" w:color="auto" w:fill="A6A6A6" w:themeFill="background1" w:themeFillShade="A6"/>
            <w:vAlign w:val="center"/>
          </w:tcPr>
          <w:p w14:paraId="035C2EE7"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90 to 135</w:t>
            </w:r>
          </w:p>
        </w:tc>
        <w:tc>
          <w:tcPr>
            <w:tcW w:w="1558" w:type="dxa"/>
            <w:shd w:val="clear" w:color="auto" w:fill="A6A6A6" w:themeFill="background1" w:themeFillShade="A6"/>
            <w:vAlign w:val="center"/>
          </w:tcPr>
          <w:p w14:paraId="027FF531"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135 to 180</w:t>
            </w:r>
          </w:p>
        </w:tc>
        <w:tc>
          <w:tcPr>
            <w:tcW w:w="1559" w:type="dxa"/>
            <w:shd w:val="clear" w:color="auto" w:fill="A6A6A6" w:themeFill="background1" w:themeFillShade="A6"/>
            <w:vAlign w:val="center"/>
          </w:tcPr>
          <w:p w14:paraId="01EDFECB"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180 to 225</w:t>
            </w:r>
          </w:p>
        </w:tc>
        <w:tc>
          <w:tcPr>
            <w:tcW w:w="1559" w:type="dxa"/>
            <w:shd w:val="clear" w:color="auto" w:fill="A6A6A6" w:themeFill="background1" w:themeFillShade="A6"/>
            <w:vAlign w:val="center"/>
          </w:tcPr>
          <w:p w14:paraId="225468BF"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225 to 270</w:t>
            </w:r>
          </w:p>
        </w:tc>
      </w:tr>
      <w:tr w:rsidR="00FC50E1" w:rsidRPr="001570EA" w14:paraId="1B6D3654" w14:textId="77777777">
        <w:trPr>
          <w:trHeight w:val="360"/>
        </w:trPr>
        <w:tc>
          <w:tcPr>
            <w:tcW w:w="1008" w:type="dxa"/>
            <w:vAlign w:val="center"/>
          </w:tcPr>
          <w:p w14:paraId="7DB9D6C7" w14:textId="77777777" w:rsidR="00FC50E1" w:rsidRPr="001570EA" w:rsidRDefault="00FC50E1">
            <w:pPr>
              <w:jc w:val="center"/>
              <w:rPr>
                <w:rFonts w:cs="Arial"/>
                <w:sz w:val="18"/>
                <w:szCs w:val="18"/>
              </w:rPr>
            </w:pPr>
            <w:r w:rsidRPr="001570EA">
              <w:rPr>
                <w:rFonts w:cs="Arial"/>
                <w:sz w:val="18"/>
                <w:szCs w:val="18"/>
              </w:rPr>
              <w:t>C</w:t>
            </w:r>
          </w:p>
        </w:tc>
        <w:tc>
          <w:tcPr>
            <w:tcW w:w="1296" w:type="dxa"/>
            <w:vAlign w:val="center"/>
          </w:tcPr>
          <w:p w14:paraId="5D718315" w14:textId="77777777" w:rsidR="00FC50E1" w:rsidRPr="001570EA" w:rsidRDefault="00FC50E1">
            <w:pPr>
              <w:jc w:val="left"/>
              <w:rPr>
                <w:rFonts w:cs="Arial"/>
                <w:sz w:val="18"/>
                <w:szCs w:val="18"/>
              </w:rPr>
            </w:pPr>
            <w:r w:rsidRPr="001570EA">
              <w:rPr>
                <w:rFonts w:cs="Arial"/>
                <w:sz w:val="18"/>
                <w:szCs w:val="18"/>
              </w:rPr>
              <w:t>Allentown</w:t>
            </w:r>
          </w:p>
        </w:tc>
        <w:tc>
          <w:tcPr>
            <w:tcW w:w="1558" w:type="dxa"/>
            <w:vAlign w:val="center"/>
          </w:tcPr>
          <w:p w14:paraId="66BEA0F5" w14:textId="77777777" w:rsidR="00FC50E1" w:rsidRPr="001570EA" w:rsidRDefault="00FC50E1">
            <w:pPr>
              <w:jc w:val="center"/>
              <w:rPr>
                <w:rFonts w:cs="Arial"/>
                <w:sz w:val="18"/>
                <w:szCs w:val="18"/>
              </w:rPr>
            </w:pPr>
            <w:r w:rsidRPr="001570EA">
              <w:rPr>
                <w:rFonts w:cs="Arial"/>
                <w:sz w:val="18"/>
                <w:szCs w:val="18"/>
              </w:rPr>
              <w:t>0.0000613</w:t>
            </w:r>
          </w:p>
        </w:tc>
        <w:tc>
          <w:tcPr>
            <w:tcW w:w="1558" w:type="dxa"/>
            <w:vAlign w:val="center"/>
          </w:tcPr>
          <w:p w14:paraId="3A31B929" w14:textId="77777777" w:rsidR="00FC50E1" w:rsidRPr="001570EA" w:rsidRDefault="00FC50E1">
            <w:pPr>
              <w:jc w:val="center"/>
              <w:rPr>
                <w:rFonts w:cs="Arial"/>
                <w:sz w:val="18"/>
                <w:szCs w:val="18"/>
              </w:rPr>
            </w:pPr>
            <w:r w:rsidRPr="001570EA">
              <w:rPr>
                <w:rFonts w:cs="Arial"/>
                <w:sz w:val="18"/>
                <w:szCs w:val="18"/>
              </w:rPr>
              <w:t>0.0003679</w:t>
            </w:r>
          </w:p>
        </w:tc>
        <w:tc>
          <w:tcPr>
            <w:tcW w:w="1559" w:type="dxa"/>
            <w:vAlign w:val="center"/>
          </w:tcPr>
          <w:p w14:paraId="209931CA" w14:textId="77777777" w:rsidR="00FC50E1" w:rsidRPr="001570EA" w:rsidRDefault="00FC50E1">
            <w:pPr>
              <w:jc w:val="center"/>
              <w:rPr>
                <w:rFonts w:cs="Arial"/>
                <w:sz w:val="18"/>
                <w:szCs w:val="18"/>
              </w:rPr>
            </w:pPr>
            <w:r w:rsidRPr="001570EA">
              <w:rPr>
                <w:rFonts w:cs="Arial"/>
                <w:sz w:val="18"/>
                <w:szCs w:val="18"/>
              </w:rPr>
              <w:t>0.0005047</w:t>
            </w:r>
          </w:p>
        </w:tc>
        <w:tc>
          <w:tcPr>
            <w:tcW w:w="1559" w:type="dxa"/>
            <w:vAlign w:val="center"/>
          </w:tcPr>
          <w:p w14:paraId="3017C855" w14:textId="77777777" w:rsidR="00FC50E1" w:rsidRPr="001570EA" w:rsidRDefault="00FC50E1">
            <w:pPr>
              <w:jc w:val="center"/>
              <w:rPr>
                <w:rFonts w:cs="Arial"/>
                <w:sz w:val="18"/>
                <w:szCs w:val="18"/>
              </w:rPr>
            </w:pPr>
            <w:r w:rsidRPr="001570EA">
              <w:rPr>
                <w:rFonts w:cs="Arial"/>
                <w:sz w:val="18"/>
                <w:szCs w:val="18"/>
              </w:rPr>
              <w:t>0.0004459</w:t>
            </w:r>
          </w:p>
        </w:tc>
      </w:tr>
      <w:tr w:rsidR="00FC50E1" w:rsidRPr="001570EA" w14:paraId="4D65731D" w14:textId="77777777">
        <w:trPr>
          <w:trHeight w:val="360"/>
        </w:trPr>
        <w:tc>
          <w:tcPr>
            <w:tcW w:w="1008" w:type="dxa"/>
            <w:vAlign w:val="center"/>
          </w:tcPr>
          <w:p w14:paraId="47C9F900" w14:textId="77777777" w:rsidR="00FC50E1" w:rsidRPr="001570EA" w:rsidRDefault="00FC50E1">
            <w:pPr>
              <w:jc w:val="center"/>
              <w:rPr>
                <w:rFonts w:cs="Arial"/>
                <w:sz w:val="18"/>
                <w:szCs w:val="18"/>
              </w:rPr>
            </w:pPr>
            <w:r w:rsidRPr="001570EA">
              <w:rPr>
                <w:rFonts w:cs="Arial"/>
                <w:sz w:val="18"/>
                <w:szCs w:val="18"/>
              </w:rPr>
              <w:t>A</w:t>
            </w:r>
          </w:p>
        </w:tc>
        <w:tc>
          <w:tcPr>
            <w:tcW w:w="1296" w:type="dxa"/>
            <w:vAlign w:val="center"/>
          </w:tcPr>
          <w:p w14:paraId="2A624F97" w14:textId="77777777" w:rsidR="00FC50E1" w:rsidRPr="001570EA" w:rsidRDefault="00FC50E1">
            <w:pPr>
              <w:jc w:val="left"/>
              <w:rPr>
                <w:rFonts w:cs="Arial"/>
                <w:sz w:val="18"/>
                <w:szCs w:val="18"/>
              </w:rPr>
            </w:pPr>
            <w:r w:rsidRPr="001570EA">
              <w:rPr>
                <w:rFonts w:cs="Arial"/>
                <w:sz w:val="18"/>
                <w:szCs w:val="18"/>
              </w:rPr>
              <w:t>Binghamton</w:t>
            </w:r>
          </w:p>
        </w:tc>
        <w:tc>
          <w:tcPr>
            <w:tcW w:w="1558" w:type="dxa"/>
            <w:vAlign w:val="center"/>
          </w:tcPr>
          <w:p w14:paraId="18941E7D" w14:textId="77777777" w:rsidR="00FC50E1" w:rsidRPr="001570EA" w:rsidRDefault="00FC50E1">
            <w:pPr>
              <w:jc w:val="center"/>
              <w:rPr>
                <w:rFonts w:cs="Arial"/>
                <w:sz w:val="18"/>
                <w:szCs w:val="18"/>
              </w:rPr>
            </w:pPr>
            <w:r w:rsidRPr="001570EA">
              <w:rPr>
                <w:rFonts w:cs="Arial"/>
                <w:sz w:val="18"/>
                <w:szCs w:val="18"/>
              </w:rPr>
              <w:t>0.0000911</w:t>
            </w:r>
          </w:p>
        </w:tc>
        <w:tc>
          <w:tcPr>
            <w:tcW w:w="1558" w:type="dxa"/>
            <w:vAlign w:val="center"/>
          </w:tcPr>
          <w:p w14:paraId="05625198" w14:textId="77777777" w:rsidR="00FC50E1" w:rsidRPr="001570EA" w:rsidRDefault="00FC50E1">
            <w:pPr>
              <w:jc w:val="center"/>
              <w:rPr>
                <w:rFonts w:cs="Arial"/>
                <w:sz w:val="18"/>
                <w:szCs w:val="18"/>
              </w:rPr>
            </w:pPr>
            <w:r w:rsidRPr="001570EA">
              <w:rPr>
                <w:rFonts w:cs="Arial"/>
                <w:sz w:val="18"/>
                <w:szCs w:val="18"/>
              </w:rPr>
              <w:t>0.0004193</w:t>
            </w:r>
          </w:p>
        </w:tc>
        <w:tc>
          <w:tcPr>
            <w:tcW w:w="1559" w:type="dxa"/>
            <w:vAlign w:val="center"/>
          </w:tcPr>
          <w:p w14:paraId="27E0DFD4" w14:textId="77777777" w:rsidR="00FC50E1" w:rsidRPr="001570EA" w:rsidRDefault="00FC50E1">
            <w:pPr>
              <w:jc w:val="center"/>
              <w:rPr>
                <w:rFonts w:cs="Arial"/>
                <w:sz w:val="18"/>
                <w:szCs w:val="18"/>
              </w:rPr>
            </w:pPr>
            <w:r w:rsidRPr="001570EA">
              <w:rPr>
                <w:rFonts w:cs="Arial"/>
                <w:sz w:val="18"/>
                <w:szCs w:val="18"/>
              </w:rPr>
              <w:t>0.0005404</w:t>
            </w:r>
          </w:p>
        </w:tc>
        <w:tc>
          <w:tcPr>
            <w:tcW w:w="1559" w:type="dxa"/>
            <w:vAlign w:val="center"/>
          </w:tcPr>
          <w:p w14:paraId="78F796E9" w14:textId="77777777" w:rsidR="00FC50E1" w:rsidRPr="001570EA" w:rsidRDefault="00FC50E1">
            <w:pPr>
              <w:jc w:val="center"/>
              <w:rPr>
                <w:rFonts w:cs="Arial"/>
                <w:sz w:val="18"/>
                <w:szCs w:val="18"/>
              </w:rPr>
            </w:pPr>
            <w:r w:rsidRPr="001570EA">
              <w:rPr>
                <w:rFonts w:cs="Arial"/>
                <w:sz w:val="18"/>
                <w:szCs w:val="18"/>
              </w:rPr>
              <w:t>0.0004581</w:t>
            </w:r>
          </w:p>
        </w:tc>
      </w:tr>
      <w:tr w:rsidR="00FC50E1" w:rsidRPr="001570EA" w14:paraId="491302C4" w14:textId="77777777">
        <w:trPr>
          <w:trHeight w:val="360"/>
        </w:trPr>
        <w:tc>
          <w:tcPr>
            <w:tcW w:w="1008" w:type="dxa"/>
            <w:vAlign w:val="center"/>
          </w:tcPr>
          <w:p w14:paraId="47FDECC9" w14:textId="77777777" w:rsidR="00FC50E1" w:rsidRPr="001570EA" w:rsidRDefault="00FC50E1">
            <w:pPr>
              <w:jc w:val="center"/>
              <w:rPr>
                <w:rFonts w:cs="Arial"/>
                <w:sz w:val="18"/>
                <w:szCs w:val="18"/>
              </w:rPr>
            </w:pPr>
            <w:r w:rsidRPr="001570EA">
              <w:rPr>
                <w:rFonts w:cs="Arial"/>
                <w:sz w:val="18"/>
                <w:szCs w:val="18"/>
              </w:rPr>
              <w:t>G</w:t>
            </w:r>
          </w:p>
        </w:tc>
        <w:tc>
          <w:tcPr>
            <w:tcW w:w="1296" w:type="dxa"/>
            <w:vAlign w:val="center"/>
          </w:tcPr>
          <w:p w14:paraId="7371BF45" w14:textId="77777777" w:rsidR="00FC50E1" w:rsidRPr="001570EA" w:rsidRDefault="00FC50E1">
            <w:pPr>
              <w:jc w:val="left"/>
              <w:rPr>
                <w:rFonts w:cs="Arial"/>
                <w:sz w:val="18"/>
                <w:szCs w:val="18"/>
              </w:rPr>
            </w:pPr>
            <w:r w:rsidRPr="001570EA">
              <w:rPr>
                <w:rFonts w:cs="Arial"/>
                <w:sz w:val="18"/>
                <w:szCs w:val="18"/>
              </w:rPr>
              <w:t>Bradford</w:t>
            </w:r>
          </w:p>
        </w:tc>
        <w:tc>
          <w:tcPr>
            <w:tcW w:w="1558" w:type="dxa"/>
            <w:vAlign w:val="center"/>
          </w:tcPr>
          <w:p w14:paraId="6DC3BB9D" w14:textId="77777777" w:rsidR="00FC50E1" w:rsidRPr="001570EA" w:rsidRDefault="00FC50E1">
            <w:pPr>
              <w:jc w:val="center"/>
              <w:rPr>
                <w:rFonts w:cs="Arial"/>
                <w:sz w:val="18"/>
                <w:szCs w:val="18"/>
              </w:rPr>
            </w:pPr>
            <w:r w:rsidRPr="001570EA">
              <w:rPr>
                <w:rFonts w:cs="Arial"/>
                <w:sz w:val="18"/>
                <w:szCs w:val="18"/>
              </w:rPr>
              <w:t>0.0000914</w:t>
            </w:r>
          </w:p>
        </w:tc>
        <w:tc>
          <w:tcPr>
            <w:tcW w:w="1558" w:type="dxa"/>
            <w:vAlign w:val="center"/>
          </w:tcPr>
          <w:p w14:paraId="0901787D" w14:textId="77777777" w:rsidR="00FC50E1" w:rsidRPr="001570EA" w:rsidRDefault="00FC50E1">
            <w:pPr>
              <w:jc w:val="center"/>
              <w:rPr>
                <w:rFonts w:cs="Arial"/>
                <w:sz w:val="18"/>
                <w:szCs w:val="18"/>
              </w:rPr>
            </w:pPr>
            <w:r w:rsidRPr="001570EA">
              <w:rPr>
                <w:rFonts w:cs="Arial"/>
                <w:sz w:val="18"/>
                <w:szCs w:val="18"/>
              </w:rPr>
              <w:t>0.0004160</w:t>
            </w:r>
          </w:p>
        </w:tc>
        <w:tc>
          <w:tcPr>
            <w:tcW w:w="1559" w:type="dxa"/>
            <w:vAlign w:val="center"/>
          </w:tcPr>
          <w:p w14:paraId="18781008" w14:textId="77777777" w:rsidR="00FC50E1" w:rsidRPr="001570EA" w:rsidRDefault="00FC50E1">
            <w:pPr>
              <w:jc w:val="center"/>
              <w:rPr>
                <w:rFonts w:cs="Arial"/>
                <w:sz w:val="18"/>
                <w:szCs w:val="18"/>
              </w:rPr>
            </w:pPr>
            <w:r w:rsidRPr="001570EA">
              <w:rPr>
                <w:rFonts w:cs="Arial"/>
                <w:sz w:val="18"/>
                <w:szCs w:val="18"/>
              </w:rPr>
              <w:t>0.0005208</w:t>
            </w:r>
          </w:p>
        </w:tc>
        <w:tc>
          <w:tcPr>
            <w:tcW w:w="1559" w:type="dxa"/>
            <w:vAlign w:val="center"/>
          </w:tcPr>
          <w:p w14:paraId="510BB45C" w14:textId="77777777" w:rsidR="00FC50E1" w:rsidRPr="001570EA" w:rsidRDefault="00FC50E1">
            <w:pPr>
              <w:jc w:val="center"/>
              <w:rPr>
                <w:rFonts w:cs="Arial"/>
                <w:sz w:val="18"/>
                <w:szCs w:val="18"/>
              </w:rPr>
            </w:pPr>
            <w:r w:rsidRPr="001570EA">
              <w:rPr>
                <w:rFonts w:cs="Arial"/>
                <w:sz w:val="18"/>
                <w:szCs w:val="18"/>
              </w:rPr>
              <w:t>0.0004345</w:t>
            </w:r>
          </w:p>
        </w:tc>
      </w:tr>
      <w:tr w:rsidR="00FC50E1" w:rsidRPr="001570EA" w14:paraId="0331C2E4" w14:textId="77777777">
        <w:trPr>
          <w:trHeight w:val="360"/>
        </w:trPr>
        <w:tc>
          <w:tcPr>
            <w:tcW w:w="1008" w:type="dxa"/>
            <w:vAlign w:val="center"/>
          </w:tcPr>
          <w:p w14:paraId="795DEEC5" w14:textId="77777777" w:rsidR="00FC50E1" w:rsidRPr="001570EA" w:rsidRDefault="00FC50E1">
            <w:pPr>
              <w:jc w:val="center"/>
              <w:rPr>
                <w:rFonts w:cs="Arial"/>
                <w:sz w:val="18"/>
                <w:szCs w:val="18"/>
              </w:rPr>
            </w:pPr>
            <w:r w:rsidRPr="001570EA">
              <w:rPr>
                <w:rFonts w:cs="Arial"/>
                <w:sz w:val="18"/>
                <w:szCs w:val="18"/>
              </w:rPr>
              <w:t>I</w:t>
            </w:r>
          </w:p>
        </w:tc>
        <w:tc>
          <w:tcPr>
            <w:tcW w:w="1296" w:type="dxa"/>
            <w:vAlign w:val="center"/>
          </w:tcPr>
          <w:p w14:paraId="239DE60B" w14:textId="77777777" w:rsidR="00FC50E1" w:rsidRPr="001570EA" w:rsidRDefault="00FC50E1">
            <w:pPr>
              <w:jc w:val="left"/>
              <w:rPr>
                <w:rFonts w:cs="Arial"/>
                <w:sz w:val="18"/>
                <w:szCs w:val="18"/>
              </w:rPr>
            </w:pPr>
            <w:r w:rsidRPr="001570EA">
              <w:rPr>
                <w:rFonts w:cs="Arial"/>
                <w:sz w:val="18"/>
                <w:szCs w:val="18"/>
              </w:rPr>
              <w:t>Erie</w:t>
            </w:r>
          </w:p>
        </w:tc>
        <w:tc>
          <w:tcPr>
            <w:tcW w:w="1558" w:type="dxa"/>
            <w:vAlign w:val="center"/>
          </w:tcPr>
          <w:p w14:paraId="7B8EEBD0" w14:textId="77777777" w:rsidR="00FC50E1" w:rsidRPr="001570EA" w:rsidRDefault="00FC50E1">
            <w:pPr>
              <w:jc w:val="center"/>
              <w:rPr>
                <w:rFonts w:cs="Arial"/>
                <w:sz w:val="18"/>
                <w:szCs w:val="18"/>
              </w:rPr>
            </w:pPr>
            <w:r w:rsidRPr="001570EA">
              <w:rPr>
                <w:rFonts w:cs="Arial"/>
                <w:sz w:val="18"/>
                <w:szCs w:val="18"/>
              </w:rPr>
              <w:t>0.0001387</w:t>
            </w:r>
          </w:p>
        </w:tc>
        <w:tc>
          <w:tcPr>
            <w:tcW w:w="1558" w:type="dxa"/>
            <w:vAlign w:val="center"/>
          </w:tcPr>
          <w:p w14:paraId="34F99721" w14:textId="77777777" w:rsidR="00FC50E1" w:rsidRPr="001570EA" w:rsidRDefault="00FC50E1">
            <w:pPr>
              <w:jc w:val="center"/>
              <w:rPr>
                <w:rFonts w:cs="Arial"/>
                <w:sz w:val="18"/>
                <w:szCs w:val="18"/>
              </w:rPr>
            </w:pPr>
            <w:r w:rsidRPr="001570EA">
              <w:rPr>
                <w:rFonts w:cs="Arial"/>
                <w:sz w:val="18"/>
                <w:szCs w:val="18"/>
              </w:rPr>
              <w:t>0.0004813</w:t>
            </w:r>
          </w:p>
        </w:tc>
        <w:tc>
          <w:tcPr>
            <w:tcW w:w="1559" w:type="dxa"/>
            <w:vAlign w:val="center"/>
          </w:tcPr>
          <w:p w14:paraId="66279D89" w14:textId="77777777" w:rsidR="00FC50E1" w:rsidRPr="001570EA" w:rsidRDefault="00FC50E1">
            <w:pPr>
              <w:jc w:val="center"/>
              <w:rPr>
                <w:rFonts w:cs="Arial"/>
                <w:sz w:val="18"/>
                <w:szCs w:val="18"/>
              </w:rPr>
            </w:pPr>
            <w:r w:rsidRPr="001570EA">
              <w:rPr>
                <w:rFonts w:cs="Arial"/>
                <w:sz w:val="18"/>
                <w:szCs w:val="18"/>
              </w:rPr>
              <w:t>0.0005619</w:t>
            </w:r>
          </w:p>
        </w:tc>
        <w:tc>
          <w:tcPr>
            <w:tcW w:w="1559" w:type="dxa"/>
            <w:vAlign w:val="center"/>
          </w:tcPr>
          <w:p w14:paraId="18D374BA" w14:textId="77777777" w:rsidR="00FC50E1" w:rsidRPr="001570EA" w:rsidRDefault="00FC50E1">
            <w:pPr>
              <w:jc w:val="center"/>
              <w:rPr>
                <w:rFonts w:cs="Arial"/>
                <w:sz w:val="18"/>
                <w:szCs w:val="18"/>
              </w:rPr>
            </w:pPr>
            <w:r w:rsidRPr="001570EA">
              <w:rPr>
                <w:rFonts w:cs="Arial"/>
                <w:sz w:val="18"/>
                <w:szCs w:val="18"/>
              </w:rPr>
              <w:t>0.0004428</w:t>
            </w:r>
          </w:p>
        </w:tc>
      </w:tr>
      <w:tr w:rsidR="00FC50E1" w:rsidRPr="001570EA" w14:paraId="2D0FE586" w14:textId="77777777">
        <w:trPr>
          <w:trHeight w:val="360"/>
        </w:trPr>
        <w:tc>
          <w:tcPr>
            <w:tcW w:w="1008" w:type="dxa"/>
            <w:vAlign w:val="center"/>
          </w:tcPr>
          <w:p w14:paraId="270E4499" w14:textId="77777777" w:rsidR="00FC50E1" w:rsidRPr="001570EA" w:rsidRDefault="00FC50E1">
            <w:pPr>
              <w:jc w:val="center"/>
              <w:rPr>
                <w:rFonts w:cs="Arial"/>
                <w:sz w:val="18"/>
                <w:szCs w:val="18"/>
              </w:rPr>
            </w:pPr>
            <w:r w:rsidRPr="001570EA">
              <w:rPr>
                <w:rFonts w:cs="Arial"/>
                <w:sz w:val="18"/>
                <w:szCs w:val="18"/>
              </w:rPr>
              <w:t>E</w:t>
            </w:r>
          </w:p>
        </w:tc>
        <w:tc>
          <w:tcPr>
            <w:tcW w:w="1296" w:type="dxa"/>
            <w:vAlign w:val="center"/>
          </w:tcPr>
          <w:p w14:paraId="696A7C05" w14:textId="77777777" w:rsidR="00FC50E1" w:rsidRPr="001570EA" w:rsidRDefault="00FC50E1">
            <w:pPr>
              <w:jc w:val="left"/>
              <w:rPr>
                <w:rFonts w:cs="Arial"/>
                <w:sz w:val="18"/>
                <w:szCs w:val="18"/>
              </w:rPr>
            </w:pPr>
            <w:r w:rsidRPr="001570EA">
              <w:rPr>
                <w:rFonts w:cs="Arial"/>
                <w:sz w:val="18"/>
                <w:szCs w:val="18"/>
              </w:rPr>
              <w:t>Harrisburg</w:t>
            </w:r>
          </w:p>
        </w:tc>
        <w:tc>
          <w:tcPr>
            <w:tcW w:w="1558" w:type="dxa"/>
            <w:vAlign w:val="center"/>
          </w:tcPr>
          <w:p w14:paraId="3524C5E0" w14:textId="77777777" w:rsidR="00FC50E1" w:rsidRPr="001570EA" w:rsidRDefault="00FC50E1">
            <w:pPr>
              <w:jc w:val="center"/>
              <w:rPr>
                <w:rFonts w:cs="Arial"/>
                <w:sz w:val="18"/>
                <w:szCs w:val="18"/>
              </w:rPr>
            </w:pPr>
            <w:r w:rsidRPr="001570EA">
              <w:rPr>
                <w:rFonts w:cs="Arial"/>
                <w:sz w:val="18"/>
                <w:szCs w:val="18"/>
              </w:rPr>
              <w:t>0.0000721</w:t>
            </w:r>
          </w:p>
        </w:tc>
        <w:tc>
          <w:tcPr>
            <w:tcW w:w="1558" w:type="dxa"/>
            <w:vAlign w:val="center"/>
          </w:tcPr>
          <w:p w14:paraId="5EC7F817" w14:textId="77777777" w:rsidR="00FC50E1" w:rsidRPr="001570EA" w:rsidRDefault="00FC50E1">
            <w:pPr>
              <w:jc w:val="center"/>
              <w:rPr>
                <w:rFonts w:cs="Arial"/>
                <w:sz w:val="18"/>
                <w:szCs w:val="18"/>
              </w:rPr>
            </w:pPr>
            <w:r w:rsidRPr="001570EA">
              <w:rPr>
                <w:rFonts w:cs="Arial"/>
                <w:sz w:val="18"/>
                <w:szCs w:val="18"/>
              </w:rPr>
              <w:t>0.0003947</w:t>
            </w:r>
          </w:p>
        </w:tc>
        <w:tc>
          <w:tcPr>
            <w:tcW w:w="1559" w:type="dxa"/>
            <w:vAlign w:val="center"/>
          </w:tcPr>
          <w:p w14:paraId="388582C4" w14:textId="77777777" w:rsidR="00FC50E1" w:rsidRPr="001570EA" w:rsidRDefault="00FC50E1">
            <w:pPr>
              <w:jc w:val="center"/>
              <w:rPr>
                <w:rFonts w:cs="Arial"/>
                <w:sz w:val="18"/>
                <w:szCs w:val="18"/>
              </w:rPr>
            </w:pPr>
            <w:r w:rsidRPr="001570EA">
              <w:rPr>
                <w:rFonts w:cs="Arial"/>
                <w:sz w:val="18"/>
                <w:szCs w:val="18"/>
              </w:rPr>
              <w:t>0.0005303</w:t>
            </w:r>
          </w:p>
        </w:tc>
        <w:tc>
          <w:tcPr>
            <w:tcW w:w="1559" w:type="dxa"/>
            <w:vAlign w:val="center"/>
          </w:tcPr>
          <w:p w14:paraId="74F66F11" w14:textId="77777777" w:rsidR="00FC50E1" w:rsidRPr="001570EA" w:rsidRDefault="00FC50E1">
            <w:pPr>
              <w:jc w:val="center"/>
              <w:rPr>
                <w:rFonts w:cs="Arial"/>
                <w:sz w:val="18"/>
                <w:szCs w:val="18"/>
              </w:rPr>
            </w:pPr>
            <w:r w:rsidRPr="001570EA">
              <w:rPr>
                <w:rFonts w:cs="Arial"/>
                <w:sz w:val="18"/>
                <w:szCs w:val="18"/>
              </w:rPr>
              <w:t>0.0004685</w:t>
            </w:r>
          </w:p>
        </w:tc>
      </w:tr>
      <w:tr w:rsidR="00FC50E1" w:rsidRPr="001570EA" w14:paraId="31C69337" w14:textId="77777777">
        <w:trPr>
          <w:trHeight w:val="360"/>
        </w:trPr>
        <w:tc>
          <w:tcPr>
            <w:tcW w:w="1008" w:type="dxa"/>
            <w:vAlign w:val="center"/>
          </w:tcPr>
          <w:p w14:paraId="55E51361" w14:textId="77777777" w:rsidR="00FC50E1" w:rsidRPr="001570EA" w:rsidRDefault="00FC50E1">
            <w:pPr>
              <w:jc w:val="center"/>
              <w:rPr>
                <w:rFonts w:cs="Arial"/>
                <w:sz w:val="18"/>
                <w:szCs w:val="18"/>
              </w:rPr>
            </w:pPr>
            <w:r w:rsidRPr="001570EA">
              <w:rPr>
                <w:rFonts w:cs="Arial"/>
                <w:sz w:val="18"/>
                <w:szCs w:val="18"/>
              </w:rPr>
              <w:t>D</w:t>
            </w:r>
          </w:p>
        </w:tc>
        <w:tc>
          <w:tcPr>
            <w:tcW w:w="1296" w:type="dxa"/>
            <w:vAlign w:val="center"/>
          </w:tcPr>
          <w:p w14:paraId="502557F0" w14:textId="77777777" w:rsidR="00FC50E1" w:rsidRPr="001570EA" w:rsidRDefault="00FC50E1">
            <w:pPr>
              <w:jc w:val="left"/>
              <w:rPr>
                <w:rFonts w:cs="Arial"/>
                <w:sz w:val="18"/>
                <w:szCs w:val="18"/>
              </w:rPr>
            </w:pPr>
            <w:r w:rsidRPr="001570EA">
              <w:rPr>
                <w:rFonts w:cs="Arial"/>
                <w:sz w:val="18"/>
                <w:szCs w:val="18"/>
              </w:rPr>
              <w:t>Philadelphia</w:t>
            </w:r>
          </w:p>
        </w:tc>
        <w:tc>
          <w:tcPr>
            <w:tcW w:w="1558" w:type="dxa"/>
            <w:vAlign w:val="center"/>
          </w:tcPr>
          <w:p w14:paraId="43AB7B03" w14:textId="77777777" w:rsidR="00FC50E1" w:rsidRPr="001570EA" w:rsidRDefault="00FC50E1">
            <w:pPr>
              <w:jc w:val="center"/>
              <w:rPr>
                <w:rFonts w:cs="Arial"/>
                <w:sz w:val="18"/>
                <w:szCs w:val="18"/>
              </w:rPr>
            </w:pPr>
            <w:r w:rsidRPr="001570EA">
              <w:rPr>
                <w:rFonts w:cs="Arial"/>
                <w:sz w:val="18"/>
                <w:szCs w:val="18"/>
              </w:rPr>
              <w:t>0.0000447</w:t>
            </w:r>
          </w:p>
        </w:tc>
        <w:tc>
          <w:tcPr>
            <w:tcW w:w="1558" w:type="dxa"/>
            <w:vAlign w:val="center"/>
          </w:tcPr>
          <w:p w14:paraId="249B005A" w14:textId="77777777" w:rsidR="00FC50E1" w:rsidRPr="001570EA" w:rsidRDefault="00FC50E1">
            <w:pPr>
              <w:jc w:val="center"/>
              <w:rPr>
                <w:rFonts w:cs="Arial"/>
                <w:sz w:val="18"/>
                <w:szCs w:val="18"/>
              </w:rPr>
            </w:pPr>
            <w:r w:rsidRPr="001570EA">
              <w:rPr>
                <w:rFonts w:cs="Arial"/>
                <w:sz w:val="18"/>
                <w:szCs w:val="18"/>
              </w:rPr>
              <w:t>0.0003376</w:t>
            </w:r>
          </w:p>
        </w:tc>
        <w:tc>
          <w:tcPr>
            <w:tcW w:w="1559" w:type="dxa"/>
            <w:vAlign w:val="center"/>
          </w:tcPr>
          <w:p w14:paraId="69694380" w14:textId="77777777" w:rsidR="00FC50E1" w:rsidRPr="001570EA" w:rsidRDefault="00FC50E1">
            <w:pPr>
              <w:jc w:val="center"/>
              <w:rPr>
                <w:rFonts w:cs="Arial"/>
                <w:sz w:val="18"/>
                <w:szCs w:val="18"/>
              </w:rPr>
            </w:pPr>
            <w:r w:rsidRPr="001570EA">
              <w:rPr>
                <w:rFonts w:cs="Arial"/>
                <w:sz w:val="18"/>
                <w:szCs w:val="18"/>
              </w:rPr>
              <w:t>0.0004817</w:t>
            </w:r>
          </w:p>
        </w:tc>
        <w:tc>
          <w:tcPr>
            <w:tcW w:w="1559" w:type="dxa"/>
            <w:vAlign w:val="center"/>
          </w:tcPr>
          <w:p w14:paraId="064F784B" w14:textId="77777777" w:rsidR="00FC50E1" w:rsidRPr="001570EA" w:rsidRDefault="00FC50E1">
            <w:pPr>
              <w:jc w:val="center"/>
              <w:rPr>
                <w:rFonts w:cs="Arial"/>
                <w:sz w:val="18"/>
                <w:szCs w:val="18"/>
              </w:rPr>
            </w:pPr>
            <w:r w:rsidRPr="001570EA">
              <w:rPr>
                <w:rFonts w:cs="Arial"/>
                <w:sz w:val="18"/>
                <w:szCs w:val="18"/>
              </w:rPr>
              <w:t>0.0004376</w:t>
            </w:r>
          </w:p>
        </w:tc>
      </w:tr>
      <w:tr w:rsidR="00FC50E1" w:rsidRPr="001570EA" w14:paraId="3D7D0CD1" w14:textId="77777777">
        <w:trPr>
          <w:trHeight w:val="360"/>
        </w:trPr>
        <w:tc>
          <w:tcPr>
            <w:tcW w:w="1008" w:type="dxa"/>
            <w:vAlign w:val="center"/>
          </w:tcPr>
          <w:p w14:paraId="2A0A60C6" w14:textId="77777777" w:rsidR="00FC50E1" w:rsidRPr="001570EA" w:rsidRDefault="00FC50E1">
            <w:pPr>
              <w:jc w:val="center"/>
              <w:rPr>
                <w:rFonts w:cs="Arial"/>
                <w:sz w:val="18"/>
                <w:szCs w:val="18"/>
              </w:rPr>
            </w:pPr>
            <w:r w:rsidRPr="001570EA">
              <w:rPr>
                <w:rFonts w:cs="Arial"/>
                <w:sz w:val="18"/>
                <w:szCs w:val="18"/>
              </w:rPr>
              <w:t>H</w:t>
            </w:r>
          </w:p>
        </w:tc>
        <w:tc>
          <w:tcPr>
            <w:tcW w:w="1296" w:type="dxa"/>
            <w:vAlign w:val="center"/>
          </w:tcPr>
          <w:p w14:paraId="6B2F63D1" w14:textId="77777777" w:rsidR="00FC50E1" w:rsidRPr="001570EA" w:rsidRDefault="00FC50E1">
            <w:pPr>
              <w:jc w:val="left"/>
              <w:rPr>
                <w:rFonts w:cs="Arial"/>
                <w:sz w:val="18"/>
                <w:szCs w:val="18"/>
              </w:rPr>
            </w:pPr>
            <w:r w:rsidRPr="001570EA">
              <w:rPr>
                <w:rFonts w:cs="Arial"/>
                <w:sz w:val="18"/>
                <w:szCs w:val="18"/>
              </w:rPr>
              <w:t>Pittsburgh</w:t>
            </w:r>
          </w:p>
        </w:tc>
        <w:tc>
          <w:tcPr>
            <w:tcW w:w="1558" w:type="dxa"/>
            <w:vAlign w:val="center"/>
          </w:tcPr>
          <w:p w14:paraId="14154B9B" w14:textId="77777777" w:rsidR="00FC50E1" w:rsidRPr="001570EA" w:rsidRDefault="00FC50E1">
            <w:pPr>
              <w:jc w:val="center"/>
              <w:rPr>
                <w:rFonts w:cs="Arial"/>
                <w:sz w:val="18"/>
                <w:szCs w:val="18"/>
              </w:rPr>
            </w:pPr>
            <w:r w:rsidRPr="001570EA">
              <w:rPr>
                <w:rFonts w:cs="Arial"/>
                <w:sz w:val="18"/>
                <w:szCs w:val="18"/>
              </w:rPr>
              <w:t>0.0000940</w:t>
            </w:r>
          </w:p>
        </w:tc>
        <w:tc>
          <w:tcPr>
            <w:tcW w:w="1558" w:type="dxa"/>
            <w:vAlign w:val="center"/>
          </w:tcPr>
          <w:p w14:paraId="10022465" w14:textId="77777777" w:rsidR="00FC50E1" w:rsidRPr="001570EA" w:rsidRDefault="00FC50E1">
            <w:pPr>
              <w:jc w:val="center"/>
              <w:rPr>
                <w:rFonts w:cs="Arial"/>
                <w:sz w:val="18"/>
                <w:szCs w:val="18"/>
              </w:rPr>
            </w:pPr>
            <w:r w:rsidRPr="001570EA">
              <w:rPr>
                <w:rFonts w:cs="Arial"/>
                <w:sz w:val="18"/>
                <w:szCs w:val="18"/>
              </w:rPr>
              <w:t>0.0004086</w:t>
            </w:r>
          </w:p>
        </w:tc>
        <w:tc>
          <w:tcPr>
            <w:tcW w:w="1559" w:type="dxa"/>
            <w:vAlign w:val="center"/>
          </w:tcPr>
          <w:p w14:paraId="3D3AFB2D" w14:textId="77777777" w:rsidR="00FC50E1" w:rsidRPr="001570EA" w:rsidRDefault="00FC50E1">
            <w:pPr>
              <w:jc w:val="center"/>
              <w:rPr>
                <w:rFonts w:cs="Arial"/>
                <w:sz w:val="18"/>
                <w:szCs w:val="18"/>
              </w:rPr>
            </w:pPr>
            <w:r w:rsidRPr="001570EA">
              <w:rPr>
                <w:rFonts w:cs="Arial"/>
                <w:sz w:val="18"/>
                <w:szCs w:val="18"/>
              </w:rPr>
              <w:t>0.0005117</w:t>
            </w:r>
          </w:p>
        </w:tc>
        <w:tc>
          <w:tcPr>
            <w:tcW w:w="1559" w:type="dxa"/>
            <w:vAlign w:val="center"/>
          </w:tcPr>
          <w:p w14:paraId="1AC2C7F0" w14:textId="77777777" w:rsidR="00FC50E1" w:rsidRPr="001570EA" w:rsidRDefault="00FC50E1">
            <w:pPr>
              <w:jc w:val="center"/>
              <w:rPr>
                <w:rFonts w:cs="Arial"/>
                <w:sz w:val="18"/>
                <w:szCs w:val="18"/>
              </w:rPr>
            </w:pPr>
            <w:r w:rsidRPr="001570EA">
              <w:rPr>
                <w:rFonts w:cs="Arial"/>
                <w:sz w:val="18"/>
                <w:szCs w:val="18"/>
              </w:rPr>
              <w:t>0.0004260</w:t>
            </w:r>
          </w:p>
        </w:tc>
      </w:tr>
      <w:tr w:rsidR="00FC50E1" w:rsidRPr="001570EA" w14:paraId="582D9AB7" w14:textId="77777777">
        <w:trPr>
          <w:trHeight w:val="360"/>
        </w:trPr>
        <w:tc>
          <w:tcPr>
            <w:tcW w:w="1008" w:type="dxa"/>
            <w:tcBorders>
              <w:bottom w:val="single" w:sz="4" w:space="0" w:color="auto"/>
            </w:tcBorders>
            <w:vAlign w:val="center"/>
          </w:tcPr>
          <w:p w14:paraId="01618479" w14:textId="77777777" w:rsidR="00FC50E1" w:rsidRPr="001570EA" w:rsidRDefault="00FC50E1">
            <w:pPr>
              <w:jc w:val="center"/>
              <w:rPr>
                <w:rFonts w:cs="Arial"/>
                <w:sz w:val="18"/>
                <w:szCs w:val="18"/>
              </w:rPr>
            </w:pPr>
            <w:r w:rsidRPr="001570EA">
              <w:rPr>
                <w:rFonts w:cs="Arial"/>
                <w:sz w:val="18"/>
                <w:szCs w:val="18"/>
              </w:rPr>
              <w:t>B</w:t>
            </w:r>
          </w:p>
        </w:tc>
        <w:tc>
          <w:tcPr>
            <w:tcW w:w="1296" w:type="dxa"/>
            <w:tcBorders>
              <w:bottom w:val="single" w:sz="4" w:space="0" w:color="auto"/>
            </w:tcBorders>
            <w:vAlign w:val="center"/>
          </w:tcPr>
          <w:p w14:paraId="1523C191" w14:textId="77777777" w:rsidR="00FC50E1" w:rsidRPr="001570EA" w:rsidRDefault="00FC50E1">
            <w:pPr>
              <w:jc w:val="left"/>
              <w:rPr>
                <w:rFonts w:cs="Arial"/>
                <w:sz w:val="18"/>
                <w:szCs w:val="18"/>
              </w:rPr>
            </w:pPr>
            <w:r w:rsidRPr="001570EA">
              <w:rPr>
                <w:rFonts w:cs="Arial"/>
                <w:sz w:val="18"/>
                <w:szCs w:val="18"/>
              </w:rPr>
              <w:t>Scranton</w:t>
            </w:r>
          </w:p>
        </w:tc>
        <w:tc>
          <w:tcPr>
            <w:tcW w:w="1558" w:type="dxa"/>
            <w:tcBorders>
              <w:bottom w:val="single" w:sz="4" w:space="0" w:color="auto"/>
            </w:tcBorders>
            <w:vAlign w:val="center"/>
          </w:tcPr>
          <w:p w14:paraId="17C5A694" w14:textId="77777777" w:rsidR="00FC50E1" w:rsidRPr="001570EA" w:rsidRDefault="00FC50E1">
            <w:pPr>
              <w:jc w:val="center"/>
              <w:rPr>
                <w:rFonts w:cs="Arial"/>
                <w:sz w:val="18"/>
                <w:szCs w:val="18"/>
              </w:rPr>
            </w:pPr>
            <w:r w:rsidRPr="001570EA">
              <w:rPr>
                <w:rFonts w:cs="Arial"/>
                <w:sz w:val="18"/>
                <w:szCs w:val="18"/>
              </w:rPr>
              <w:t>0.0000767</w:t>
            </w:r>
          </w:p>
        </w:tc>
        <w:tc>
          <w:tcPr>
            <w:tcW w:w="1558" w:type="dxa"/>
            <w:tcBorders>
              <w:bottom w:val="single" w:sz="4" w:space="0" w:color="auto"/>
            </w:tcBorders>
            <w:vAlign w:val="center"/>
          </w:tcPr>
          <w:p w14:paraId="14944503" w14:textId="77777777" w:rsidR="00FC50E1" w:rsidRPr="001570EA" w:rsidRDefault="00FC50E1">
            <w:pPr>
              <w:jc w:val="center"/>
              <w:rPr>
                <w:rFonts w:cs="Arial"/>
                <w:sz w:val="18"/>
                <w:szCs w:val="18"/>
              </w:rPr>
            </w:pPr>
            <w:r w:rsidRPr="001570EA">
              <w:rPr>
                <w:rFonts w:cs="Arial"/>
                <w:sz w:val="18"/>
                <w:szCs w:val="18"/>
              </w:rPr>
              <w:t>0.0003827</w:t>
            </w:r>
          </w:p>
        </w:tc>
        <w:tc>
          <w:tcPr>
            <w:tcW w:w="1559" w:type="dxa"/>
            <w:tcBorders>
              <w:bottom w:val="single" w:sz="4" w:space="0" w:color="auto"/>
            </w:tcBorders>
            <w:vAlign w:val="center"/>
          </w:tcPr>
          <w:p w14:paraId="172839A1" w14:textId="77777777" w:rsidR="00FC50E1" w:rsidRPr="001570EA" w:rsidRDefault="00FC50E1">
            <w:pPr>
              <w:jc w:val="center"/>
              <w:rPr>
                <w:rFonts w:cs="Arial"/>
                <w:sz w:val="18"/>
                <w:szCs w:val="18"/>
              </w:rPr>
            </w:pPr>
            <w:r w:rsidRPr="001570EA">
              <w:rPr>
                <w:rFonts w:cs="Arial"/>
                <w:sz w:val="18"/>
                <w:szCs w:val="18"/>
              </w:rPr>
              <w:t>0.0005035</w:t>
            </w:r>
          </w:p>
        </w:tc>
        <w:tc>
          <w:tcPr>
            <w:tcW w:w="1559" w:type="dxa"/>
            <w:tcBorders>
              <w:bottom w:val="single" w:sz="4" w:space="0" w:color="auto"/>
            </w:tcBorders>
            <w:vAlign w:val="center"/>
          </w:tcPr>
          <w:p w14:paraId="7D3793CA" w14:textId="77777777" w:rsidR="00FC50E1" w:rsidRPr="001570EA" w:rsidRDefault="00FC50E1">
            <w:pPr>
              <w:jc w:val="center"/>
              <w:rPr>
                <w:rFonts w:cs="Arial"/>
                <w:sz w:val="18"/>
                <w:szCs w:val="18"/>
              </w:rPr>
            </w:pPr>
            <w:r w:rsidRPr="001570EA">
              <w:rPr>
                <w:rFonts w:cs="Arial"/>
                <w:sz w:val="18"/>
                <w:szCs w:val="18"/>
              </w:rPr>
              <w:t>0.0004304</w:t>
            </w:r>
          </w:p>
        </w:tc>
      </w:tr>
      <w:tr w:rsidR="00FC50E1" w:rsidRPr="001570EA" w14:paraId="097625C9" w14:textId="77777777">
        <w:trPr>
          <w:trHeight w:val="360"/>
        </w:trPr>
        <w:tc>
          <w:tcPr>
            <w:tcW w:w="1008" w:type="dxa"/>
            <w:tcBorders>
              <w:bottom w:val="single" w:sz="4" w:space="0" w:color="auto"/>
            </w:tcBorders>
            <w:vAlign w:val="center"/>
          </w:tcPr>
          <w:p w14:paraId="6895371E" w14:textId="77777777" w:rsidR="00FC50E1" w:rsidRPr="001570EA" w:rsidRDefault="00FC50E1">
            <w:pPr>
              <w:jc w:val="center"/>
              <w:rPr>
                <w:rFonts w:cs="Arial"/>
                <w:sz w:val="18"/>
                <w:szCs w:val="18"/>
              </w:rPr>
            </w:pPr>
            <w:r w:rsidRPr="001570EA">
              <w:rPr>
                <w:rFonts w:cs="Arial"/>
                <w:sz w:val="18"/>
                <w:szCs w:val="18"/>
              </w:rPr>
              <w:t>F</w:t>
            </w:r>
          </w:p>
        </w:tc>
        <w:tc>
          <w:tcPr>
            <w:tcW w:w="1296" w:type="dxa"/>
            <w:tcBorders>
              <w:bottom w:val="single" w:sz="4" w:space="0" w:color="auto"/>
            </w:tcBorders>
            <w:vAlign w:val="center"/>
          </w:tcPr>
          <w:p w14:paraId="3F707588" w14:textId="77777777" w:rsidR="00FC50E1" w:rsidRPr="001570EA" w:rsidRDefault="00FC50E1">
            <w:pPr>
              <w:jc w:val="left"/>
              <w:rPr>
                <w:rFonts w:cs="Arial"/>
                <w:sz w:val="18"/>
                <w:szCs w:val="18"/>
              </w:rPr>
            </w:pPr>
            <w:r w:rsidRPr="001570EA">
              <w:rPr>
                <w:rFonts w:cs="Arial"/>
                <w:sz w:val="18"/>
                <w:szCs w:val="18"/>
              </w:rPr>
              <w:t>Williamsport</w:t>
            </w:r>
          </w:p>
        </w:tc>
        <w:tc>
          <w:tcPr>
            <w:tcW w:w="1558" w:type="dxa"/>
            <w:tcBorders>
              <w:bottom w:val="single" w:sz="4" w:space="0" w:color="auto"/>
            </w:tcBorders>
            <w:vAlign w:val="center"/>
          </w:tcPr>
          <w:p w14:paraId="5859B101" w14:textId="77777777" w:rsidR="00FC50E1" w:rsidRPr="001570EA" w:rsidRDefault="00FC50E1">
            <w:pPr>
              <w:jc w:val="center"/>
              <w:rPr>
                <w:rFonts w:cs="Arial"/>
                <w:sz w:val="18"/>
                <w:szCs w:val="18"/>
              </w:rPr>
            </w:pPr>
            <w:r w:rsidRPr="001570EA">
              <w:rPr>
                <w:rFonts w:cs="Arial"/>
                <w:sz w:val="18"/>
                <w:szCs w:val="18"/>
              </w:rPr>
              <w:t>0.0000719</w:t>
            </w:r>
          </w:p>
        </w:tc>
        <w:tc>
          <w:tcPr>
            <w:tcW w:w="1558" w:type="dxa"/>
            <w:tcBorders>
              <w:bottom w:val="single" w:sz="4" w:space="0" w:color="auto"/>
            </w:tcBorders>
            <w:vAlign w:val="center"/>
          </w:tcPr>
          <w:p w14:paraId="03E861F6" w14:textId="77777777" w:rsidR="00FC50E1" w:rsidRPr="001570EA" w:rsidRDefault="00FC50E1">
            <w:pPr>
              <w:jc w:val="center"/>
              <w:rPr>
                <w:rFonts w:cs="Arial"/>
                <w:sz w:val="18"/>
                <w:szCs w:val="18"/>
              </w:rPr>
            </w:pPr>
            <w:r w:rsidRPr="001570EA">
              <w:rPr>
                <w:rFonts w:cs="Arial"/>
                <w:sz w:val="18"/>
                <w:szCs w:val="18"/>
              </w:rPr>
              <w:t>0.0003806</w:t>
            </w:r>
          </w:p>
        </w:tc>
        <w:tc>
          <w:tcPr>
            <w:tcW w:w="1559" w:type="dxa"/>
            <w:tcBorders>
              <w:bottom w:val="single" w:sz="4" w:space="0" w:color="auto"/>
            </w:tcBorders>
            <w:vAlign w:val="center"/>
          </w:tcPr>
          <w:p w14:paraId="0502D1BE" w14:textId="77777777" w:rsidR="00FC50E1" w:rsidRPr="001570EA" w:rsidRDefault="00FC50E1">
            <w:pPr>
              <w:jc w:val="center"/>
              <w:rPr>
                <w:rFonts w:cs="Arial"/>
                <w:sz w:val="18"/>
                <w:szCs w:val="18"/>
              </w:rPr>
            </w:pPr>
            <w:r w:rsidRPr="001570EA">
              <w:rPr>
                <w:rFonts w:cs="Arial"/>
                <w:sz w:val="18"/>
                <w:szCs w:val="18"/>
              </w:rPr>
              <w:t>0.0004975</w:t>
            </w:r>
          </w:p>
        </w:tc>
        <w:tc>
          <w:tcPr>
            <w:tcW w:w="1559" w:type="dxa"/>
            <w:tcBorders>
              <w:bottom w:val="single" w:sz="4" w:space="0" w:color="auto"/>
            </w:tcBorders>
            <w:vAlign w:val="center"/>
          </w:tcPr>
          <w:p w14:paraId="5835226A" w14:textId="77777777" w:rsidR="00FC50E1" w:rsidRPr="001570EA" w:rsidRDefault="00FC50E1">
            <w:pPr>
              <w:jc w:val="center"/>
              <w:rPr>
                <w:rFonts w:cs="Arial"/>
                <w:sz w:val="18"/>
                <w:szCs w:val="18"/>
              </w:rPr>
            </w:pPr>
            <w:r w:rsidRPr="001570EA">
              <w:rPr>
                <w:rFonts w:cs="Arial"/>
                <w:sz w:val="18"/>
                <w:szCs w:val="18"/>
              </w:rPr>
              <w:t>0.0004316</w:t>
            </w:r>
          </w:p>
        </w:tc>
      </w:tr>
    </w:tbl>
    <w:p w14:paraId="14944B5E" w14:textId="77777777" w:rsidR="00FC50E1" w:rsidRPr="001570EA" w:rsidRDefault="00FC50E1" w:rsidP="00FC50E1"/>
    <w:p w14:paraId="181C033B" w14:textId="77777777" w:rsidR="00FC50E1" w:rsidRPr="001570EA" w:rsidRDefault="00FC50E1" w:rsidP="00FC50E1"/>
    <w:p w14:paraId="05B4BD1D" w14:textId="21F8F330" w:rsidR="00FC50E1" w:rsidRPr="001570EA" w:rsidRDefault="00FC50E1" w:rsidP="00FC50E1">
      <w:pPr>
        <w:pStyle w:val="Caption"/>
        <w:jc w:val="left"/>
        <w:rPr>
          <w:vertAlign w:val="superscript"/>
        </w:rPr>
      </w:pPr>
      <w:bookmarkStart w:id="1282" w:name="_Ref163657427"/>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A11E80"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A11E80" w:rsidRPr="001570EA">
        <w:rPr>
          <w:noProof/>
        </w:rPr>
        <w:t>179</w:t>
      </w:r>
      <w:r w:rsidR="002E093A" w:rsidRPr="001570EA">
        <w:fldChar w:fldCharType="end"/>
      </w:r>
      <w:bookmarkEnd w:id="1282"/>
      <w:r w:rsidRPr="001570EA">
        <w:t>: Winter Energy to Demand Factor Ordinal, East to West facing Ordinal Numbers (ETDF</w:t>
      </w:r>
      <w:r w:rsidRPr="001570EA">
        <w:rPr>
          <w:vertAlign w:val="subscript"/>
        </w:rPr>
        <w:t>winter,ordinal</w:t>
      </w:r>
      <w:r w:rsidRPr="001570EA">
        <w:t>)</w:t>
      </w:r>
    </w:p>
    <w:tbl>
      <w:tblPr>
        <w:tblStyle w:val="TableGrid"/>
        <w:tblW w:w="9174" w:type="dxa"/>
        <w:tblLook w:val="04A0" w:firstRow="1" w:lastRow="0" w:firstColumn="1" w:lastColumn="0" w:noHBand="0" w:noVBand="1"/>
      </w:tblPr>
      <w:tblGrid>
        <w:gridCol w:w="1008"/>
        <w:gridCol w:w="1296"/>
        <w:gridCol w:w="1374"/>
        <w:gridCol w:w="1374"/>
        <w:gridCol w:w="1374"/>
        <w:gridCol w:w="1374"/>
        <w:gridCol w:w="1374"/>
      </w:tblGrid>
      <w:tr w:rsidR="00FC50E1" w:rsidRPr="001570EA" w14:paraId="65A2B6DE" w14:textId="77777777">
        <w:trPr>
          <w:tblHeader/>
        </w:trPr>
        <w:tc>
          <w:tcPr>
            <w:tcW w:w="1008" w:type="dxa"/>
            <w:tcBorders>
              <w:bottom w:val="nil"/>
            </w:tcBorders>
            <w:shd w:val="clear" w:color="auto" w:fill="A6A6A6" w:themeFill="background1" w:themeFillShade="A6"/>
          </w:tcPr>
          <w:p w14:paraId="01C7AA60" w14:textId="77777777" w:rsidR="00FC50E1" w:rsidRPr="001570EA" w:rsidRDefault="00FC50E1">
            <w:pPr>
              <w:pStyle w:val="TableCell"/>
              <w:keepNext w:val="0"/>
              <w:spacing w:before="60" w:after="60"/>
              <w:jc w:val="left"/>
              <w:rPr>
                <w:rFonts w:eastAsia="Calibri" w:cs="Arial"/>
                <w:b/>
                <w:szCs w:val="18"/>
              </w:rPr>
            </w:pPr>
          </w:p>
        </w:tc>
        <w:tc>
          <w:tcPr>
            <w:tcW w:w="1296" w:type="dxa"/>
            <w:tcBorders>
              <w:bottom w:val="nil"/>
            </w:tcBorders>
            <w:shd w:val="clear" w:color="auto" w:fill="A6A6A6" w:themeFill="background1" w:themeFillShade="A6"/>
          </w:tcPr>
          <w:p w14:paraId="63DFD820" w14:textId="77777777" w:rsidR="00FC50E1" w:rsidRPr="001570EA" w:rsidRDefault="00FC50E1">
            <w:pPr>
              <w:pStyle w:val="TableCell"/>
              <w:keepNext w:val="0"/>
              <w:spacing w:before="60" w:after="60"/>
              <w:jc w:val="left"/>
              <w:rPr>
                <w:rFonts w:eastAsia="Calibri" w:cs="Arial"/>
                <w:b/>
                <w:szCs w:val="18"/>
              </w:rPr>
            </w:pPr>
          </w:p>
        </w:tc>
        <w:tc>
          <w:tcPr>
            <w:tcW w:w="6870" w:type="dxa"/>
            <w:gridSpan w:val="5"/>
            <w:shd w:val="clear" w:color="auto" w:fill="A6A6A6" w:themeFill="background1" w:themeFillShade="A6"/>
          </w:tcPr>
          <w:p w14:paraId="1D7326C3"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Array Azimuth</w:t>
            </w:r>
          </w:p>
        </w:tc>
      </w:tr>
      <w:tr w:rsidR="00FC50E1" w:rsidRPr="001570EA" w14:paraId="5B0DFEAA" w14:textId="77777777">
        <w:trPr>
          <w:tblHeader/>
        </w:trPr>
        <w:tc>
          <w:tcPr>
            <w:tcW w:w="1008" w:type="dxa"/>
            <w:tcBorders>
              <w:top w:val="nil"/>
            </w:tcBorders>
            <w:shd w:val="clear" w:color="auto" w:fill="A6A6A6" w:themeFill="background1" w:themeFillShade="A6"/>
            <w:vAlign w:val="bottom"/>
          </w:tcPr>
          <w:p w14:paraId="2E4E4D0C"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Climate Region</w:t>
            </w:r>
          </w:p>
        </w:tc>
        <w:tc>
          <w:tcPr>
            <w:tcW w:w="1296" w:type="dxa"/>
            <w:tcBorders>
              <w:top w:val="nil"/>
            </w:tcBorders>
            <w:shd w:val="clear" w:color="auto" w:fill="A6A6A6" w:themeFill="background1" w:themeFillShade="A6"/>
            <w:vAlign w:val="bottom"/>
          </w:tcPr>
          <w:p w14:paraId="0CEE9C81"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Reference City</w:t>
            </w:r>
          </w:p>
        </w:tc>
        <w:tc>
          <w:tcPr>
            <w:tcW w:w="1374" w:type="dxa"/>
            <w:shd w:val="clear" w:color="auto" w:fill="A6A6A6" w:themeFill="background1" w:themeFillShade="A6"/>
            <w:vAlign w:val="center"/>
          </w:tcPr>
          <w:p w14:paraId="38F6BDDB"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90°</w:t>
            </w:r>
          </w:p>
        </w:tc>
        <w:tc>
          <w:tcPr>
            <w:tcW w:w="1374" w:type="dxa"/>
            <w:shd w:val="clear" w:color="auto" w:fill="A6A6A6" w:themeFill="background1" w:themeFillShade="A6"/>
            <w:vAlign w:val="center"/>
          </w:tcPr>
          <w:p w14:paraId="6CDE4EDA"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135°</w:t>
            </w:r>
          </w:p>
        </w:tc>
        <w:tc>
          <w:tcPr>
            <w:tcW w:w="1374" w:type="dxa"/>
            <w:shd w:val="clear" w:color="auto" w:fill="A6A6A6" w:themeFill="background1" w:themeFillShade="A6"/>
            <w:vAlign w:val="center"/>
          </w:tcPr>
          <w:p w14:paraId="2783E84C"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180°</w:t>
            </w:r>
          </w:p>
        </w:tc>
        <w:tc>
          <w:tcPr>
            <w:tcW w:w="1374" w:type="dxa"/>
            <w:shd w:val="clear" w:color="auto" w:fill="A6A6A6" w:themeFill="background1" w:themeFillShade="A6"/>
            <w:vAlign w:val="center"/>
          </w:tcPr>
          <w:p w14:paraId="0A73830E"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225°</w:t>
            </w:r>
          </w:p>
        </w:tc>
        <w:tc>
          <w:tcPr>
            <w:tcW w:w="1374" w:type="dxa"/>
            <w:shd w:val="clear" w:color="auto" w:fill="A6A6A6" w:themeFill="background1" w:themeFillShade="A6"/>
            <w:vAlign w:val="center"/>
          </w:tcPr>
          <w:p w14:paraId="0C776297"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270°</w:t>
            </w:r>
          </w:p>
        </w:tc>
      </w:tr>
      <w:tr w:rsidR="00FC50E1" w:rsidRPr="001570EA" w14:paraId="65CFBE8B" w14:textId="77777777">
        <w:trPr>
          <w:trHeight w:val="360"/>
          <w:tblHeader/>
        </w:trPr>
        <w:tc>
          <w:tcPr>
            <w:tcW w:w="1008" w:type="dxa"/>
            <w:vAlign w:val="center"/>
          </w:tcPr>
          <w:p w14:paraId="42EFA85C" w14:textId="77777777" w:rsidR="00FC50E1" w:rsidRPr="001570EA" w:rsidRDefault="00FC50E1">
            <w:pPr>
              <w:jc w:val="center"/>
              <w:rPr>
                <w:rFonts w:cs="Arial"/>
                <w:sz w:val="18"/>
                <w:szCs w:val="18"/>
              </w:rPr>
            </w:pPr>
            <w:r w:rsidRPr="001570EA">
              <w:rPr>
                <w:rFonts w:cs="Arial"/>
                <w:sz w:val="18"/>
                <w:szCs w:val="18"/>
              </w:rPr>
              <w:t>C</w:t>
            </w:r>
          </w:p>
        </w:tc>
        <w:tc>
          <w:tcPr>
            <w:tcW w:w="1296" w:type="dxa"/>
            <w:vAlign w:val="center"/>
          </w:tcPr>
          <w:p w14:paraId="7F1A9AC6" w14:textId="77777777" w:rsidR="00FC50E1" w:rsidRPr="001570EA" w:rsidRDefault="00FC50E1">
            <w:pPr>
              <w:jc w:val="left"/>
              <w:rPr>
                <w:rFonts w:cs="Arial"/>
                <w:sz w:val="18"/>
                <w:szCs w:val="18"/>
              </w:rPr>
            </w:pPr>
            <w:r w:rsidRPr="001570EA">
              <w:rPr>
                <w:rFonts w:cs="Arial"/>
                <w:sz w:val="18"/>
                <w:szCs w:val="18"/>
              </w:rPr>
              <w:t>Allentown</w:t>
            </w:r>
          </w:p>
        </w:tc>
        <w:tc>
          <w:tcPr>
            <w:tcW w:w="1374" w:type="dxa"/>
            <w:vAlign w:val="center"/>
          </w:tcPr>
          <w:p w14:paraId="3AB09777" w14:textId="77777777" w:rsidR="00FC50E1" w:rsidRPr="001570EA" w:rsidRDefault="00FC50E1">
            <w:pPr>
              <w:jc w:val="center"/>
              <w:rPr>
                <w:rFonts w:cs="Arial"/>
                <w:sz w:val="18"/>
                <w:szCs w:val="22"/>
              </w:rPr>
            </w:pPr>
            <w:r w:rsidRPr="001570EA">
              <w:rPr>
                <w:sz w:val="18"/>
                <w:szCs w:val="22"/>
              </w:rPr>
              <w:t>0.0121198</w:t>
            </w:r>
          </w:p>
        </w:tc>
        <w:tc>
          <w:tcPr>
            <w:tcW w:w="1374" w:type="dxa"/>
            <w:vAlign w:val="center"/>
          </w:tcPr>
          <w:p w14:paraId="23AF7BAF" w14:textId="77777777" w:rsidR="00FC50E1" w:rsidRPr="001570EA" w:rsidRDefault="00FC50E1">
            <w:pPr>
              <w:jc w:val="center"/>
              <w:rPr>
                <w:rFonts w:cs="Arial"/>
                <w:sz w:val="18"/>
                <w:szCs w:val="22"/>
              </w:rPr>
            </w:pPr>
            <w:r w:rsidRPr="001570EA">
              <w:rPr>
                <w:sz w:val="18"/>
                <w:szCs w:val="22"/>
              </w:rPr>
              <w:t>0.0113890</w:t>
            </w:r>
          </w:p>
        </w:tc>
        <w:tc>
          <w:tcPr>
            <w:tcW w:w="1374" w:type="dxa"/>
            <w:vAlign w:val="center"/>
          </w:tcPr>
          <w:p w14:paraId="1E28BF0B" w14:textId="77777777" w:rsidR="00FC50E1" w:rsidRPr="001570EA" w:rsidRDefault="00FC50E1">
            <w:pPr>
              <w:jc w:val="center"/>
              <w:rPr>
                <w:rFonts w:cs="Arial"/>
                <w:sz w:val="18"/>
                <w:szCs w:val="22"/>
              </w:rPr>
            </w:pPr>
            <w:r w:rsidRPr="001570EA">
              <w:rPr>
                <w:sz w:val="18"/>
                <w:szCs w:val="22"/>
              </w:rPr>
              <w:t>0.0085075</w:t>
            </w:r>
          </w:p>
        </w:tc>
        <w:tc>
          <w:tcPr>
            <w:tcW w:w="1374" w:type="dxa"/>
            <w:vAlign w:val="center"/>
          </w:tcPr>
          <w:p w14:paraId="1C35D400" w14:textId="77777777" w:rsidR="00FC50E1" w:rsidRPr="001570EA" w:rsidRDefault="00FC50E1">
            <w:pPr>
              <w:jc w:val="center"/>
              <w:rPr>
                <w:rFonts w:cs="Arial"/>
                <w:sz w:val="18"/>
                <w:szCs w:val="22"/>
              </w:rPr>
            </w:pPr>
            <w:r w:rsidRPr="001570EA">
              <w:rPr>
                <w:sz w:val="18"/>
                <w:szCs w:val="22"/>
              </w:rPr>
              <w:t>0.0035736</w:t>
            </w:r>
          </w:p>
        </w:tc>
        <w:tc>
          <w:tcPr>
            <w:tcW w:w="1374" w:type="dxa"/>
            <w:vAlign w:val="center"/>
          </w:tcPr>
          <w:p w14:paraId="5812D705" w14:textId="77777777" w:rsidR="00FC50E1" w:rsidRPr="001570EA" w:rsidRDefault="00FC50E1">
            <w:pPr>
              <w:jc w:val="center"/>
              <w:rPr>
                <w:rFonts w:cs="Arial"/>
                <w:sz w:val="18"/>
                <w:szCs w:val="22"/>
              </w:rPr>
            </w:pPr>
            <w:r w:rsidRPr="001570EA">
              <w:rPr>
                <w:sz w:val="18"/>
                <w:szCs w:val="22"/>
              </w:rPr>
              <w:t>0.0019462</w:t>
            </w:r>
          </w:p>
        </w:tc>
      </w:tr>
      <w:tr w:rsidR="00FC50E1" w:rsidRPr="001570EA" w14:paraId="34CDE24D" w14:textId="77777777">
        <w:trPr>
          <w:trHeight w:val="360"/>
          <w:tblHeader/>
        </w:trPr>
        <w:tc>
          <w:tcPr>
            <w:tcW w:w="1008" w:type="dxa"/>
            <w:vAlign w:val="center"/>
          </w:tcPr>
          <w:p w14:paraId="6DCDD1A1" w14:textId="77777777" w:rsidR="00FC50E1" w:rsidRPr="001570EA" w:rsidRDefault="00FC50E1">
            <w:pPr>
              <w:jc w:val="center"/>
              <w:rPr>
                <w:rFonts w:cs="Arial"/>
                <w:sz w:val="18"/>
                <w:szCs w:val="18"/>
              </w:rPr>
            </w:pPr>
            <w:r w:rsidRPr="001570EA">
              <w:rPr>
                <w:rFonts w:cs="Arial"/>
                <w:sz w:val="18"/>
                <w:szCs w:val="18"/>
              </w:rPr>
              <w:t>A</w:t>
            </w:r>
          </w:p>
        </w:tc>
        <w:tc>
          <w:tcPr>
            <w:tcW w:w="1296" w:type="dxa"/>
            <w:vAlign w:val="center"/>
          </w:tcPr>
          <w:p w14:paraId="0BF0065A" w14:textId="77777777" w:rsidR="00FC50E1" w:rsidRPr="001570EA" w:rsidRDefault="00FC50E1">
            <w:pPr>
              <w:jc w:val="left"/>
              <w:rPr>
                <w:rFonts w:cs="Arial"/>
                <w:sz w:val="18"/>
                <w:szCs w:val="18"/>
              </w:rPr>
            </w:pPr>
            <w:r w:rsidRPr="001570EA">
              <w:rPr>
                <w:rFonts w:cs="Arial"/>
                <w:sz w:val="18"/>
                <w:szCs w:val="18"/>
              </w:rPr>
              <w:t>Binghamton</w:t>
            </w:r>
          </w:p>
        </w:tc>
        <w:tc>
          <w:tcPr>
            <w:tcW w:w="1374" w:type="dxa"/>
            <w:vAlign w:val="center"/>
          </w:tcPr>
          <w:p w14:paraId="12305DB9" w14:textId="77777777" w:rsidR="00FC50E1" w:rsidRPr="001570EA" w:rsidRDefault="00FC50E1">
            <w:pPr>
              <w:jc w:val="center"/>
              <w:rPr>
                <w:rFonts w:cs="Arial"/>
                <w:sz w:val="18"/>
                <w:szCs w:val="22"/>
              </w:rPr>
            </w:pPr>
            <w:r w:rsidRPr="001570EA">
              <w:rPr>
                <w:sz w:val="18"/>
                <w:szCs w:val="22"/>
              </w:rPr>
              <w:t>0.0099532</w:t>
            </w:r>
          </w:p>
        </w:tc>
        <w:tc>
          <w:tcPr>
            <w:tcW w:w="1374" w:type="dxa"/>
            <w:vAlign w:val="center"/>
          </w:tcPr>
          <w:p w14:paraId="6488506E" w14:textId="77777777" w:rsidR="00FC50E1" w:rsidRPr="001570EA" w:rsidRDefault="00FC50E1">
            <w:pPr>
              <w:jc w:val="center"/>
              <w:rPr>
                <w:rFonts w:cs="Arial"/>
                <w:sz w:val="18"/>
                <w:szCs w:val="22"/>
              </w:rPr>
            </w:pPr>
            <w:r w:rsidRPr="001570EA">
              <w:rPr>
                <w:sz w:val="18"/>
                <w:szCs w:val="22"/>
              </w:rPr>
              <w:t>0.0092431</w:t>
            </w:r>
          </w:p>
        </w:tc>
        <w:tc>
          <w:tcPr>
            <w:tcW w:w="1374" w:type="dxa"/>
            <w:vAlign w:val="center"/>
          </w:tcPr>
          <w:p w14:paraId="5C827E13" w14:textId="77777777" w:rsidR="00FC50E1" w:rsidRPr="001570EA" w:rsidRDefault="00FC50E1">
            <w:pPr>
              <w:jc w:val="center"/>
              <w:rPr>
                <w:rFonts w:cs="Arial"/>
                <w:sz w:val="18"/>
                <w:szCs w:val="22"/>
              </w:rPr>
            </w:pPr>
            <w:r w:rsidRPr="001570EA">
              <w:rPr>
                <w:sz w:val="18"/>
                <w:szCs w:val="22"/>
              </w:rPr>
              <w:t>0.0070935</w:t>
            </w:r>
          </w:p>
        </w:tc>
        <w:tc>
          <w:tcPr>
            <w:tcW w:w="1374" w:type="dxa"/>
            <w:vAlign w:val="center"/>
          </w:tcPr>
          <w:p w14:paraId="152B913F" w14:textId="77777777" w:rsidR="00FC50E1" w:rsidRPr="001570EA" w:rsidRDefault="00FC50E1">
            <w:pPr>
              <w:jc w:val="center"/>
              <w:rPr>
                <w:rFonts w:cs="Arial"/>
                <w:sz w:val="18"/>
                <w:szCs w:val="22"/>
              </w:rPr>
            </w:pPr>
            <w:r w:rsidRPr="001570EA">
              <w:rPr>
                <w:sz w:val="18"/>
                <w:szCs w:val="22"/>
              </w:rPr>
              <w:t>0.0033193</w:t>
            </w:r>
          </w:p>
        </w:tc>
        <w:tc>
          <w:tcPr>
            <w:tcW w:w="1374" w:type="dxa"/>
            <w:vAlign w:val="center"/>
          </w:tcPr>
          <w:p w14:paraId="436FD868" w14:textId="77777777" w:rsidR="00FC50E1" w:rsidRPr="001570EA" w:rsidRDefault="00FC50E1">
            <w:pPr>
              <w:jc w:val="center"/>
              <w:rPr>
                <w:rFonts w:cs="Arial"/>
                <w:sz w:val="18"/>
                <w:szCs w:val="22"/>
              </w:rPr>
            </w:pPr>
            <w:r w:rsidRPr="001570EA">
              <w:rPr>
                <w:sz w:val="18"/>
                <w:szCs w:val="22"/>
              </w:rPr>
              <w:t>0.0022980</w:t>
            </w:r>
          </w:p>
        </w:tc>
      </w:tr>
      <w:tr w:rsidR="00FC50E1" w:rsidRPr="001570EA" w14:paraId="647ADBC6" w14:textId="77777777">
        <w:trPr>
          <w:trHeight w:val="360"/>
          <w:tblHeader/>
        </w:trPr>
        <w:tc>
          <w:tcPr>
            <w:tcW w:w="1008" w:type="dxa"/>
            <w:vAlign w:val="center"/>
          </w:tcPr>
          <w:p w14:paraId="596F799D" w14:textId="77777777" w:rsidR="00FC50E1" w:rsidRPr="001570EA" w:rsidRDefault="00FC50E1">
            <w:pPr>
              <w:jc w:val="center"/>
              <w:rPr>
                <w:rFonts w:cs="Arial"/>
                <w:sz w:val="18"/>
                <w:szCs w:val="18"/>
              </w:rPr>
            </w:pPr>
            <w:r w:rsidRPr="001570EA">
              <w:rPr>
                <w:rFonts w:cs="Arial"/>
                <w:sz w:val="18"/>
                <w:szCs w:val="18"/>
              </w:rPr>
              <w:t>G</w:t>
            </w:r>
          </w:p>
        </w:tc>
        <w:tc>
          <w:tcPr>
            <w:tcW w:w="1296" w:type="dxa"/>
            <w:vAlign w:val="center"/>
          </w:tcPr>
          <w:p w14:paraId="24996D7B" w14:textId="77777777" w:rsidR="00FC50E1" w:rsidRPr="001570EA" w:rsidRDefault="00FC50E1">
            <w:pPr>
              <w:jc w:val="left"/>
              <w:rPr>
                <w:rFonts w:cs="Arial"/>
                <w:sz w:val="18"/>
                <w:szCs w:val="18"/>
              </w:rPr>
            </w:pPr>
            <w:r w:rsidRPr="001570EA">
              <w:rPr>
                <w:rFonts w:cs="Arial"/>
                <w:sz w:val="18"/>
                <w:szCs w:val="18"/>
              </w:rPr>
              <w:t>Bradford</w:t>
            </w:r>
          </w:p>
        </w:tc>
        <w:tc>
          <w:tcPr>
            <w:tcW w:w="1374" w:type="dxa"/>
            <w:vAlign w:val="center"/>
          </w:tcPr>
          <w:p w14:paraId="2D09BB50" w14:textId="77777777" w:rsidR="00FC50E1" w:rsidRPr="001570EA" w:rsidRDefault="00FC50E1">
            <w:pPr>
              <w:jc w:val="center"/>
              <w:rPr>
                <w:rFonts w:cs="Arial"/>
                <w:sz w:val="18"/>
                <w:szCs w:val="22"/>
              </w:rPr>
            </w:pPr>
            <w:r w:rsidRPr="001570EA">
              <w:rPr>
                <w:sz w:val="18"/>
                <w:szCs w:val="22"/>
              </w:rPr>
              <w:t>0.0074126</w:t>
            </w:r>
          </w:p>
        </w:tc>
        <w:tc>
          <w:tcPr>
            <w:tcW w:w="1374" w:type="dxa"/>
            <w:vAlign w:val="center"/>
          </w:tcPr>
          <w:p w14:paraId="6963A54E" w14:textId="77777777" w:rsidR="00FC50E1" w:rsidRPr="001570EA" w:rsidRDefault="00FC50E1">
            <w:pPr>
              <w:jc w:val="center"/>
              <w:rPr>
                <w:rFonts w:cs="Arial"/>
                <w:sz w:val="18"/>
                <w:szCs w:val="22"/>
              </w:rPr>
            </w:pPr>
            <w:r w:rsidRPr="001570EA">
              <w:rPr>
                <w:sz w:val="18"/>
                <w:szCs w:val="22"/>
              </w:rPr>
              <w:t>0.0068730</w:t>
            </w:r>
          </w:p>
        </w:tc>
        <w:tc>
          <w:tcPr>
            <w:tcW w:w="1374" w:type="dxa"/>
            <w:vAlign w:val="center"/>
          </w:tcPr>
          <w:p w14:paraId="2EC998D9" w14:textId="77777777" w:rsidR="00FC50E1" w:rsidRPr="001570EA" w:rsidRDefault="00FC50E1">
            <w:pPr>
              <w:jc w:val="center"/>
              <w:rPr>
                <w:rFonts w:cs="Arial"/>
                <w:sz w:val="18"/>
                <w:szCs w:val="22"/>
              </w:rPr>
            </w:pPr>
            <w:r w:rsidRPr="001570EA">
              <w:rPr>
                <w:sz w:val="18"/>
                <w:szCs w:val="22"/>
              </w:rPr>
              <w:t>0.0052236</w:t>
            </w:r>
          </w:p>
        </w:tc>
        <w:tc>
          <w:tcPr>
            <w:tcW w:w="1374" w:type="dxa"/>
            <w:vAlign w:val="center"/>
          </w:tcPr>
          <w:p w14:paraId="06F98BCF" w14:textId="77777777" w:rsidR="00FC50E1" w:rsidRPr="001570EA" w:rsidRDefault="00FC50E1">
            <w:pPr>
              <w:jc w:val="center"/>
              <w:rPr>
                <w:rFonts w:cs="Arial"/>
                <w:sz w:val="18"/>
                <w:szCs w:val="22"/>
              </w:rPr>
            </w:pPr>
            <w:r w:rsidRPr="001570EA">
              <w:rPr>
                <w:sz w:val="18"/>
                <w:szCs w:val="22"/>
              </w:rPr>
              <w:t>0.0022748</w:t>
            </w:r>
          </w:p>
        </w:tc>
        <w:tc>
          <w:tcPr>
            <w:tcW w:w="1374" w:type="dxa"/>
            <w:vAlign w:val="center"/>
          </w:tcPr>
          <w:p w14:paraId="2E7548E9" w14:textId="77777777" w:rsidR="00FC50E1" w:rsidRPr="001570EA" w:rsidRDefault="00FC50E1">
            <w:pPr>
              <w:jc w:val="center"/>
              <w:rPr>
                <w:rFonts w:cs="Arial"/>
                <w:sz w:val="18"/>
                <w:szCs w:val="22"/>
              </w:rPr>
            </w:pPr>
            <w:r w:rsidRPr="001570EA">
              <w:rPr>
                <w:sz w:val="18"/>
                <w:szCs w:val="22"/>
              </w:rPr>
              <w:t>0.0017657</w:t>
            </w:r>
          </w:p>
        </w:tc>
      </w:tr>
      <w:tr w:rsidR="00FC50E1" w:rsidRPr="001570EA" w14:paraId="5911F17E" w14:textId="77777777">
        <w:trPr>
          <w:trHeight w:val="360"/>
          <w:tblHeader/>
        </w:trPr>
        <w:tc>
          <w:tcPr>
            <w:tcW w:w="1008" w:type="dxa"/>
            <w:vAlign w:val="center"/>
          </w:tcPr>
          <w:p w14:paraId="584E1F8F" w14:textId="77777777" w:rsidR="00FC50E1" w:rsidRPr="001570EA" w:rsidRDefault="00FC50E1">
            <w:pPr>
              <w:jc w:val="center"/>
              <w:rPr>
                <w:rFonts w:cs="Arial"/>
                <w:sz w:val="18"/>
                <w:szCs w:val="18"/>
              </w:rPr>
            </w:pPr>
            <w:r w:rsidRPr="001570EA">
              <w:rPr>
                <w:rFonts w:cs="Arial"/>
                <w:sz w:val="18"/>
                <w:szCs w:val="18"/>
              </w:rPr>
              <w:t>I</w:t>
            </w:r>
          </w:p>
        </w:tc>
        <w:tc>
          <w:tcPr>
            <w:tcW w:w="1296" w:type="dxa"/>
            <w:vAlign w:val="center"/>
          </w:tcPr>
          <w:p w14:paraId="481D889D" w14:textId="77777777" w:rsidR="00FC50E1" w:rsidRPr="001570EA" w:rsidRDefault="00FC50E1">
            <w:pPr>
              <w:jc w:val="left"/>
              <w:rPr>
                <w:rFonts w:cs="Arial"/>
                <w:sz w:val="18"/>
                <w:szCs w:val="18"/>
              </w:rPr>
            </w:pPr>
            <w:r w:rsidRPr="001570EA">
              <w:rPr>
                <w:rFonts w:cs="Arial"/>
                <w:sz w:val="18"/>
                <w:szCs w:val="18"/>
              </w:rPr>
              <w:t>Erie</w:t>
            </w:r>
          </w:p>
        </w:tc>
        <w:tc>
          <w:tcPr>
            <w:tcW w:w="1374" w:type="dxa"/>
            <w:vAlign w:val="center"/>
          </w:tcPr>
          <w:p w14:paraId="300EDCCE" w14:textId="77777777" w:rsidR="00FC50E1" w:rsidRPr="001570EA" w:rsidRDefault="00FC50E1">
            <w:pPr>
              <w:jc w:val="center"/>
              <w:rPr>
                <w:rFonts w:cs="Arial"/>
                <w:sz w:val="18"/>
                <w:szCs w:val="22"/>
              </w:rPr>
            </w:pPr>
            <w:r w:rsidRPr="001570EA">
              <w:rPr>
                <w:sz w:val="18"/>
                <w:szCs w:val="22"/>
              </w:rPr>
              <w:t>0.0045040</w:t>
            </w:r>
          </w:p>
        </w:tc>
        <w:tc>
          <w:tcPr>
            <w:tcW w:w="1374" w:type="dxa"/>
            <w:vAlign w:val="center"/>
          </w:tcPr>
          <w:p w14:paraId="4539A8A5" w14:textId="77777777" w:rsidR="00FC50E1" w:rsidRPr="001570EA" w:rsidRDefault="00FC50E1">
            <w:pPr>
              <w:jc w:val="center"/>
              <w:rPr>
                <w:rFonts w:cs="Arial"/>
                <w:sz w:val="18"/>
                <w:szCs w:val="22"/>
              </w:rPr>
            </w:pPr>
            <w:r w:rsidRPr="001570EA">
              <w:rPr>
                <w:sz w:val="18"/>
                <w:szCs w:val="22"/>
              </w:rPr>
              <w:t>0.0041701</w:t>
            </w:r>
          </w:p>
        </w:tc>
        <w:tc>
          <w:tcPr>
            <w:tcW w:w="1374" w:type="dxa"/>
            <w:vAlign w:val="center"/>
          </w:tcPr>
          <w:p w14:paraId="5007ABAA" w14:textId="77777777" w:rsidR="00FC50E1" w:rsidRPr="001570EA" w:rsidRDefault="00FC50E1">
            <w:pPr>
              <w:jc w:val="center"/>
              <w:rPr>
                <w:rFonts w:cs="Arial"/>
                <w:sz w:val="18"/>
                <w:szCs w:val="22"/>
              </w:rPr>
            </w:pPr>
            <w:r w:rsidRPr="001570EA">
              <w:rPr>
                <w:sz w:val="18"/>
                <w:szCs w:val="22"/>
              </w:rPr>
              <w:t>0.0030910</w:t>
            </w:r>
          </w:p>
        </w:tc>
        <w:tc>
          <w:tcPr>
            <w:tcW w:w="1374" w:type="dxa"/>
            <w:vAlign w:val="center"/>
          </w:tcPr>
          <w:p w14:paraId="51517DE9" w14:textId="77777777" w:rsidR="00FC50E1" w:rsidRPr="001570EA" w:rsidRDefault="00FC50E1">
            <w:pPr>
              <w:jc w:val="center"/>
              <w:rPr>
                <w:rFonts w:cs="Arial"/>
                <w:sz w:val="18"/>
                <w:szCs w:val="22"/>
              </w:rPr>
            </w:pPr>
            <w:r w:rsidRPr="001570EA">
              <w:rPr>
                <w:sz w:val="18"/>
                <w:szCs w:val="22"/>
              </w:rPr>
              <w:t>0.0013280</w:t>
            </w:r>
          </w:p>
        </w:tc>
        <w:tc>
          <w:tcPr>
            <w:tcW w:w="1374" w:type="dxa"/>
            <w:vAlign w:val="center"/>
          </w:tcPr>
          <w:p w14:paraId="3E5835BA" w14:textId="77777777" w:rsidR="00FC50E1" w:rsidRPr="001570EA" w:rsidRDefault="00FC50E1">
            <w:pPr>
              <w:jc w:val="center"/>
              <w:rPr>
                <w:rFonts w:cs="Arial"/>
                <w:sz w:val="18"/>
                <w:szCs w:val="22"/>
              </w:rPr>
            </w:pPr>
            <w:r w:rsidRPr="001570EA">
              <w:rPr>
                <w:sz w:val="18"/>
                <w:szCs w:val="22"/>
              </w:rPr>
              <w:t>0.0011115</w:t>
            </w:r>
          </w:p>
        </w:tc>
      </w:tr>
      <w:tr w:rsidR="00FC50E1" w:rsidRPr="001570EA" w14:paraId="0FF40685" w14:textId="77777777">
        <w:trPr>
          <w:trHeight w:val="360"/>
          <w:tblHeader/>
        </w:trPr>
        <w:tc>
          <w:tcPr>
            <w:tcW w:w="1008" w:type="dxa"/>
            <w:vAlign w:val="center"/>
          </w:tcPr>
          <w:p w14:paraId="206A4F35" w14:textId="77777777" w:rsidR="00FC50E1" w:rsidRPr="001570EA" w:rsidRDefault="00FC50E1">
            <w:pPr>
              <w:jc w:val="center"/>
              <w:rPr>
                <w:rFonts w:cs="Arial"/>
                <w:sz w:val="18"/>
                <w:szCs w:val="18"/>
              </w:rPr>
            </w:pPr>
            <w:r w:rsidRPr="001570EA">
              <w:rPr>
                <w:rFonts w:cs="Arial"/>
                <w:sz w:val="18"/>
                <w:szCs w:val="18"/>
              </w:rPr>
              <w:t>E</w:t>
            </w:r>
          </w:p>
        </w:tc>
        <w:tc>
          <w:tcPr>
            <w:tcW w:w="1296" w:type="dxa"/>
            <w:vAlign w:val="center"/>
          </w:tcPr>
          <w:p w14:paraId="296D7554" w14:textId="77777777" w:rsidR="00FC50E1" w:rsidRPr="001570EA" w:rsidRDefault="00FC50E1">
            <w:pPr>
              <w:jc w:val="left"/>
              <w:rPr>
                <w:rFonts w:cs="Arial"/>
                <w:sz w:val="18"/>
                <w:szCs w:val="18"/>
              </w:rPr>
            </w:pPr>
            <w:r w:rsidRPr="001570EA">
              <w:rPr>
                <w:rFonts w:cs="Arial"/>
                <w:sz w:val="18"/>
                <w:szCs w:val="18"/>
              </w:rPr>
              <w:t>Harrisburg</w:t>
            </w:r>
          </w:p>
        </w:tc>
        <w:tc>
          <w:tcPr>
            <w:tcW w:w="1374" w:type="dxa"/>
            <w:vAlign w:val="center"/>
          </w:tcPr>
          <w:p w14:paraId="673ADF85" w14:textId="77777777" w:rsidR="00FC50E1" w:rsidRPr="001570EA" w:rsidRDefault="00FC50E1">
            <w:pPr>
              <w:jc w:val="center"/>
              <w:rPr>
                <w:rFonts w:cs="Arial"/>
                <w:sz w:val="18"/>
                <w:szCs w:val="22"/>
              </w:rPr>
            </w:pPr>
            <w:r w:rsidRPr="001570EA">
              <w:rPr>
                <w:sz w:val="18"/>
                <w:szCs w:val="22"/>
              </w:rPr>
              <w:t>0.0099236</w:t>
            </w:r>
          </w:p>
        </w:tc>
        <w:tc>
          <w:tcPr>
            <w:tcW w:w="1374" w:type="dxa"/>
            <w:vAlign w:val="center"/>
          </w:tcPr>
          <w:p w14:paraId="589DE082" w14:textId="77777777" w:rsidR="00FC50E1" w:rsidRPr="001570EA" w:rsidRDefault="00FC50E1">
            <w:pPr>
              <w:jc w:val="center"/>
              <w:rPr>
                <w:rFonts w:cs="Arial"/>
                <w:sz w:val="18"/>
                <w:szCs w:val="22"/>
              </w:rPr>
            </w:pPr>
            <w:r w:rsidRPr="001570EA">
              <w:rPr>
                <w:sz w:val="18"/>
                <w:szCs w:val="22"/>
              </w:rPr>
              <w:t>0.0092490</w:t>
            </w:r>
          </w:p>
        </w:tc>
        <w:tc>
          <w:tcPr>
            <w:tcW w:w="1374" w:type="dxa"/>
            <w:vAlign w:val="center"/>
          </w:tcPr>
          <w:p w14:paraId="3BBACA59" w14:textId="77777777" w:rsidR="00FC50E1" w:rsidRPr="001570EA" w:rsidRDefault="00FC50E1">
            <w:pPr>
              <w:jc w:val="center"/>
              <w:rPr>
                <w:rFonts w:cs="Arial"/>
                <w:sz w:val="18"/>
                <w:szCs w:val="22"/>
              </w:rPr>
            </w:pPr>
            <w:r w:rsidRPr="001570EA">
              <w:rPr>
                <w:sz w:val="18"/>
                <w:szCs w:val="22"/>
              </w:rPr>
              <w:t>0.0068901</w:t>
            </w:r>
          </w:p>
        </w:tc>
        <w:tc>
          <w:tcPr>
            <w:tcW w:w="1374" w:type="dxa"/>
            <w:vAlign w:val="center"/>
          </w:tcPr>
          <w:p w14:paraId="07F17A1F" w14:textId="77777777" w:rsidR="00FC50E1" w:rsidRPr="001570EA" w:rsidRDefault="00FC50E1">
            <w:pPr>
              <w:jc w:val="center"/>
              <w:rPr>
                <w:rFonts w:cs="Arial"/>
                <w:sz w:val="18"/>
                <w:szCs w:val="22"/>
              </w:rPr>
            </w:pPr>
            <w:r w:rsidRPr="001570EA">
              <w:rPr>
                <w:sz w:val="18"/>
                <w:szCs w:val="22"/>
              </w:rPr>
              <w:t>0.0029286</w:t>
            </w:r>
          </w:p>
        </w:tc>
        <w:tc>
          <w:tcPr>
            <w:tcW w:w="1374" w:type="dxa"/>
            <w:vAlign w:val="center"/>
          </w:tcPr>
          <w:p w14:paraId="55E6BD2B" w14:textId="77777777" w:rsidR="00FC50E1" w:rsidRPr="001570EA" w:rsidRDefault="00FC50E1">
            <w:pPr>
              <w:jc w:val="center"/>
              <w:rPr>
                <w:rFonts w:cs="Arial"/>
                <w:sz w:val="18"/>
                <w:szCs w:val="22"/>
              </w:rPr>
            </w:pPr>
            <w:r w:rsidRPr="001570EA">
              <w:rPr>
                <w:sz w:val="18"/>
                <w:szCs w:val="22"/>
              </w:rPr>
              <w:t>0.0018332</w:t>
            </w:r>
          </w:p>
        </w:tc>
      </w:tr>
      <w:tr w:rsidR="00FC50E1" w:rsidRPr="001570EA" w14:paraId="09D63F49" w14:textId="77777777">
        <w:trPr>
          <w:trHeight w:val="360"/>
          <w:tblHeader/>
        </w:trPr>
        <w:tc>
          <w:tcPr>
            <w:tcW w:w="1008" w:type="dxa"/>
            <w:vAlign w:val="center"/>
          </w:tcPr>
          <w:p w14:paraId="1FAAE560" w14:textId="77777777" w:rsidR="00FC50E1" w:rsidRPr="001570EA" w:rsidRDefault="00FC50E1">
            <w:pPr>
              <w:jc w:val="center"/>
              <w:rPr>
                <w:rFonts w:cs="Arial"/>
                <w:sz w:val="18"/>
                <w:szCs w:val="18"/>
              </w:rPr>
            </w:pPr>
            <w:r w:rsidRPr="001570EA">
              <w:rPr>
                <w:rFonts w:cs="Arial"/>
                <w:sz w:val="18"/>
                <w:szCs w:val="18"/>
              </w:rPr>
              <w:t>D</w:t>
            </w:r>
          </w:p>
        </w:tc>
        <w:tc>
          <w:tcPr>
            <w:tcW w:w="1296" w:type="dxa"/>
            <w:vAlign w:val="center"/>
          </w:tcPr>
          <w:p w14:paraId="7A2E4B2B" w14:textId="77777777" w:rsidR="00FC50E1" w:rsidRPr="001570EA" w:rsidRDefault="00FC50E1">
            <w:pPr>
              <w:jc w:val="left"/>
              <w:rPr>
                <w:rFonts w:cs="Arial"/>
                <w:sz w:val="18"/>
                <w:szCs w:val="18"/>
              </w:rPr>
            </w:pPr>
            <w:r w:rsidRPr="001570EA">
              <w:rPr>
                <w:rFonts w:cs="Arial"/>
                <w:sz w:val="18"/>
                <w:szCs w:val="18"/>
              </w:rPr>
              <w:t>Philadelphia</w:t>
            </w:r>
          </w:p>
        </w:tc>
        <w:tc>
          <w:tcPr>
            <w:tcW w:w="1374" w:type="dxa"/>
            <w:vAlign w:val="center"/>
          </w:tcPr>
          <w:p w14:paraId="5D06B2C5" w14:textId="77777777" w:rsidR="00FC50E1" w:rsidRPr="001570EA" w:rsidRDefault="00FC50E1">
            <w:pPr>
              <w:jc w:val="center"/>
              <w:rPr>
                <w:rFonts w:cs="Arial"/>
                <w:sz w:val="18"/>
                <w:szCs w:val="22"/>
              </w:rPr>
            </w:pPr>
            <w:r w:rsidRPr="001570EA">
              <w:rPr>
                <w:sz w:val="18"/>
                <w:szCs w:val="22"/>
              </w:rPr>
              <w:t>0.0125401</w:t>
            </w:r>
          </w:p>
        </w:tc>
        <w:tc>
          <w:tcPr>
            <w:tcW w:w="1374" w:type="dxa"/>
            <w:vAlign w:val="center"/>
          </w:tcPr>
          <w:p w14:paraId="65051D09" w14:textId="77777777" w:rsidR="00FC50E1" w:rsidRPr="001570EA" w:rsidRDefault="00FC50E1">
            <w:pPr>
              <w:jc w:val="center"/>
              <w:rPr>
                <w:rFonts w:cs="Arial"/>
                <w:sz w:val="18"/>
                <w:szCs w:val="22"/>
              </w:rPr>
            </w:pPr>
            <w:r w:rsidRPr="001570EA">
              <w:rPr>
                <w:sz w:val="18"/>
                <w:szCs w:val="22"/>
              </w:rPr>
              <w:t>0.0118317</w:t>
            </w:r>
          </w:p>
        </w:tc>
        <w:tc>
          <w:tcPr>
            <w:tcW w:w="1374" w:type="dxa"/>
            <w:vAlign w:val="center"/>
          </w:tcPr>
          <w:p w14:paraId="1037CA93" w14:textId="77777777" w:rsidR="00FC50E1" w:rsidRPr="001570EA" w:rsidRDefault="00FC50E1">
            <w:pPr>
              <w:jc w:val="center"/>
              <w:rPr>
                <w:rFonts w:cs="Arial"/>
                <w:sz w:val="18"/>
                <w:szCs w:val="22"/>
              </w:rPr>
            </w:pPr>
            <w:r w:rsidRPr="001570EA">
              <w:rPr>
                <w:sz w:val="18"/>
                <w:szCs w:val="22"/>
              </w:rPr>
              <w:t>0.0088548</w:t>
            </w:r>
          </w:p>
        </w:tc>
        <w:tc>
          <w:tcPr>
            <w:tcW w:w="1374" w:type="dxa"/>
            <w:vAlign w:val="center"/>
          </w:tcPr>
          <w:p w14:paraId="476316E2" w14:textId="77777777" w:rsidR="00FC50E1" w:rsidRPr="001570EA" w:rsidRDefault="00FC50E1">
            <w:pPr>
              <w:jc w:val="center"/>
              <w:rPr>
                <w:rFonts w:cs="Arial"/>
                <w:sz w:val="18"/>
                <w:szCs w:val="22"/>
              </w:rPr>
            </w:pPr>
            <w:r w:rsidRPr="001570EA">
              <w:rPr>
                <w:sz w:val="18"/>
                <w:szCs w:val="22"/>
              </w:rPr>
              <w:t>0.0037608</w:t>
            </w:r>
          </w:p>
        </w:tc>
        <w:tc>
          <w:tcPr>
            <w:tcW w:w="1374" w:type="dxa"/>
            <w:vAlign w:val="center"/>
          </w:tcPr>
          <w:p w14:paraId="3F71BFC2" w14:textId="77777777" w:rsidR="00FC50E1" w:rsidRPr="001570EA" w:rsidRDefault="00FC50E1">
            <w:pPr>
              <w:jc w:val="center"/>
              <w:rPr>
                <w:rFonts w:cs="Arial"/>
                <w:sz w:val="18"/>
                <w:szCs w:val="22"/>
              </w:rPr>
            </w:pPr>
            <w:r w:rsidRPr="001570EA">
              <w:rPr>
                <w:sz w:val="18"/>
                <w:szCs w:val="22"/>
              </w:rPr>
              <w:t>0.0020548</w:t>
            </w:r>
          </w:p>
        </w:tc>
      </w:tr>
      <w:tr w:rsidR="00FC50E1" w:rsidRPr="001570EA" w14:paraId="4118A0D6" w14:textId="77777777">
        <w:trPr>
          <w:trHeight w:val="360"/>
          <w:tblHeader/>
        </w:trPr>
        <w:tc>
          <w:tcPr>
            <w:tcW w:w="1008" w:type="dxa"/>
            <w:vAlign w:val="center"/>
          </w:tcPr>
          <w:p w14:paraId="7B4683C5" w14:textId="77777777" w:rsidR="00FC50E1" w:rsidRPr="001570EA" w:rsidRDefault="00FC50E1">
            <w:pPr>
              <w:jc w:val="center"/>
              <w:rPr>
                <w:rFonts w:cs="Arial"/>
                <w:sz w:val="18"/>
                <w:szCs w:val="18"/>
              </w:rPr>
            </w:pPr>
            <w:r w:rsidRPr="001570EA">
              <w:rPr>
                <w:rFonts w:cs="Arial"/>
                <w:sz w:val="18"/>
                <w:szCs w:val="18"/>
              </w:rPr>
              <w:t>H</w:t>
            </w:r>
          </w:p>
        </w:tc>
        <w:tc>
          <w:tcPr>
            <w:tcW w:w="1296" w:type="dxa"/>
            <w:vAlign w:val="center"/>
          </w:tcPr>
          <w:p w14:paraId="5B3A1BDE" w14:textId="77777777" w:rsidR="00FC50E1" w:rsidRPr="001570EA" w:rsidRDefault="00FC50E1">
            <w:pPr>
              <w:jc w:val="left"/>
              <w:rPr>
                <w:rFonts w:cs="Arial"/>
                <w:sz w:val="18"/>
                <w:szCs w:val="18"/>
              </w:rPr>
            </w:pPr>
            <w:r w:rsidRPr="001570EA">
              <w:rPr>
                <w:rFonts w:cs="Arial"/>
                <w:sz w:val="18"/>
                <w:szCs w:val="18"/>
              </w:rPr>
              <w:t>Pittsburgh</w:t>
            </w:r>
          </w:p>
        </w:tc>
        <w:tc>
          <w:tcPr>
            <w:tcW w:w="1374" w:type="dxa"/>
            <w:vAlign w:val="center"/>
          </w:tcPr>
          <w:p w14:paraId="5F4C04DD" w14:textId="77777777" w:rsidR="00FC50E1" w:rsidRPr="001570EA" w:rsidRDefault="00FC50E1">
            <w:pPr>
              <w:jc w:val="center"/>
              <w:rPr>
                <w:rFonts w:cs="Arial"/>
                <w:sz w:val="18"/>
                <w:szCs w:val="22"/>
              </w:rPr>
            </w:pPr>
            <w:r w:rsidRPr="001570EA">
              <w:rPr>
                <w:sz w:val="18"/>
                <w:szCs w:val="22"/>
              </w:rPr>
              <w:t>0.0060367</w:t>
            </w:r>
          </w:p>
        </w:tc>
        <w:tc>
          <w:tcPr>
            <w:tcW w:w="1374" w:type="dxa"/>
            <w:vAlign w:val="center"/>
          </w:tcPr>
          <w:p w14:paraId="02637DBD" w14:textId="77777777" w:rsidR="00FC50E1" w:rsidRPr="001570EA" w:rsidRDefault="00FC50E1">
            <w:pPr>
              <w:jc w:val="center"/>
              <w:rPr>
                <w:rFonts w:cs="Arial"/>
                <w:sz w:val="18"/>
                <w:szCs w:val="22"/>
              </w:rPr>
            </w:pPr>
            <w:r w:rsidRPr="001570EA">
              <w:rPr>
                <w:sz w:val="18"/>
                <w:szCs w:val="22"/>
              </w:rPr>
              <w:t>0.0056171</w:t>
            </w:r>
          </w:p>
        </w:tc>
        <w:tc>
          <w:tcPr>
            <w:tcW w:w="1374" w:type="dxa"/>
            <w:vAlign w:val="center"/>
          </w:tcPr>
          <w:p w14:paraId="3DDB5AE8" w14:textId="77777777" w:rsidR="00FC50E1" w:rsidRPr="001570EA" w:rsidRDefault="00FC50E1">
            <w:pPr>
              <w:jc w:val="center"/>
              <w:rPr>
                <w:rFonts w:cs="Arial"/>
                <w:sz w:val="18"/>
                <w:szCs w:val="22"/>
              </w:rPr>
            </w:pPr>
            <w:r w:rsidRPr="001570EA">
              <w:rPr>
                <w:sz w:val="18"/>
                <w:szCs w:val="22"/>
              </w:rPr>
              <w:t>0.0043588</w:t>
            </w:r>
          </w:p>
        </w:tc>
        <w:tc>
          <w:tcPr>
            <w:tcW w:w="1374" w:type="dxa"/>
            <w:vAlign w:val="center"/>
          </w:tcPr>
          <w:p w14:paraId="233B464F" w14:textId="77777777" w:rsidR="00FC50E1" w:rsidRPr="001570EA" w:rsidRDefault="00FC50E1">
            <w:pPr>
              <w:jc w:val="center"/>
              <w:rPr>
                <w:rFonts w:cs="Arial"/>
                <w:sz w:val="18"/>
                <w:szCs w:val="22"/>
              </w:rPr>
            </w:pPr>
            <w:r w:rsidRPr="001570EA">
              <w:rPr>
                <w:sz w:val="18"/>
                <w:szCs w:val="22"/>
              </w:rPr>
              <w:t>0.0019083</w:t>
            </w:r>
          </w:p>
        </w:tc>
        <w:tc>
          <w:tcPr>
            <w:tcW w:w="1374" w:type="dxa"/>
            <w:vAlign w:val="center"/>
          </w:tcPr>
          <w:p w14:paraId="34050EE1" w14:textId="77777777" w:rsidR="00FC50E1" w:rsidRPr="001570EA" w:rsidRDefault="00FC50E1">
            <w:pPr>
              <w:jc w:val="center"/>
              <w:rPr>
                <w:rFonts w:cs="Arial"/>
                <w:sz w:val="18"/>
                <w:szCs w:val="22"/>
              </w:rPr>
            </w:pPr>
            <w:r w:rsidRPr="001570EA">
              <w:rPr>
                <w:sz w:val="18"/>
                <w:szCs w:val="22"/>
              </w:rPr>
              <w:t>0.0015966</w:t>
            </w:r>
          </w:p>
        </w:tc>
      </w:tr>
      <w:tr w:rsidR="00FC50E1" w:rsidRPr="001570EA" w14:paraId="49BC3EB3" w14:textId="77777777">
        <w:trPr>
          <w:trHeight w:val="360"/>
          <w:tblHeader/>
        </w:trPr>
        <w:tc>
          <w:tcPr>
            <w:tcW w:w="1008" w:type="dxa"/>
            <w:vAlign w:val="center"/>
          </w:tcPr>
          <w:p w14:paraId="68DEF613" w14:textId="77777777" w:rsidR="00FC50E1" w:rsidRPr="001570EA" w:rsidRDefault="00FC50E1">
            <w:pPr>
              <w:jc w:val="center"/>
              <w:rPr>
                <w:rFonts w:cs="Arial"/>
                <w:sz w:val="18"/>
                <w:szCs w:val="18"/>
              </w:rPr>
            </w:pPr>
            <w:r w:rsidRPr="001570EA">
              <w:rPr>
                <w:rFonts w:cs="Arial"/>
                <w:sz w:val="18"/>
                <w:szCs w:val="18"/>
              </w:rPr>
              <w:t>B</w:t>
            </w:r>
          </w:p>
        </w:tc>
        <w:tc>
          <w:tcPr>
            <w:tcW w:w="1296" w:type="dxa"/>
            <w:vAlign w:val="center"/>
          </w:tcPr>
          <w:p w14:paraId="4C9329EB" w14:textId="77777777" w:rsidR="00FC50E1" w:rsidRPr="001570EA" w:rsidRDefault="00FC50E1">
            <w:pPr>
              <w:jc w:val="left"/>
              <w:rPr>
                <w:rFonts w:cs="Arial"/>
                <w:sz w:val="18"/>
                <w:szCs w:val="18"/>
              </w:rPr>
            </w:pPr>
            <w:r w:rsidRPr="001570EA">
              <w:rPr>
                <w:rFonts w:cs="Arial"/>
                <w:sz w:val="18"/>
                <w:szCs w:val="18"/>
              </w:rPr>
              <w:t>Scranton</w:t>
            </w:r>
          </w:p>
        </w:tc>
        <w:tc>
          <w:tcPr>
            <w:tcW w:w="1374" w:type="dxa"/>
            <w:vAlign w:val="center"/>
          </w:tcPr>
          <w:p w14:paraId="44BBEF3E" w14:textId="77777777" w:rsidR="00FC50E1" w:rsidRPr="001570EA" w:rsidRDefault="00FC50E1">
            <w:pPr>
              <w:jc w:val="center"/>
              <w:rPr>
                <w:rFonts w:cs="Arial"/>
                <w:sz w:val="18"/>
                <w:szCs w:val="22"/>
              </w:rPr>
            </w:pPr>
            <w:r w:rsidRPr="001570EA">
              <w:rPr>
                <w:sz w:val="18"/>
                <w:szCs w:val="22"/>
              </w:rPr>
              <w:t>0.0106358</w:t>
            </w:r>
          </w:p>
        </w:tc>
        <w:tc>
          <w:tcPr>
            <w:tcW w:w="1374" w:type="dxa"/>
            <w:vAlign w:val="center"/>
          </w:tcPr>
          <w:p w14:paraId="78D5F350" w14:textId="77777777" w:rsidR="00FC50E1" w:rsidRPr="001570EA" w:rsidRDefault="00FC50E1">
            <w:pPr>
              <w:jc w:val="center"/>
              <w:rPr>
                <w:rFonts w:cs="Arial"/>
                <w:sz w:val="18"/>
                <w:szCs w:val="22"/>
              </w:rPr>
            </w:pPr>
            <w:r w:rsidRPr="001570EA">
              <w:rPr>
                <w:sz w:val="18"/>
                <w:szCs w:val="22"/>
              </w:rPr>
              <w:t>0.0100137</w:t>
            </w:r>
          </w:p>
        </w:tc>
        <w:tc>
          <w:tcPr>
            <w:tcW w:w="1374" w:type="dxa"/>
            <w:vAlign w:val="center"/>
          </w:tcPr>
          <w:p w14:paraId="42E44371" w14:textId="77777777" w:rsidR="00FC50E1" w:rsidRPr="001570EA" w:rsidRDefault="00FC50E1">
            <w:pPr>
              <w:jc w:val="center"/>
              <w:rPr>
                <w:rFonts w:cs="Arial"/>
                <w:sz w:val="18"/>
                <w:szCs w:val="22"/>
              </w:rPr>
            </w:pPr>
            <w:r w:rsidRPr="001570EA">
              <w:rPr>
                <w:sz w:val="18"/>
                <w:szCs w:val="22"/>
              </w:rPr>
              <w:t>0.0076209</w:t>
            </w:r>
          </w:p>
        </w:tc>
        <w:tc>
          <w:tcPr>
            <w:tcW w:w="1374" w:type="dxa"/>
            <w:vAlign w:val="center"/>
          </w:tcPr>
          <w:p w14:paraId="49FC17CC" w14:textId="77777777" w:rsidR="00FC50E1" w:rsidRPr="001570EA" w:rsidRDefault="00FC50E1">
            <w:pPr>
              <w:jc w:val="center"/>
              <w:rPr>
                <w:rFonts w:cs="Arial"/>
                <w:sz w:val="18"/>
                <w:szCs w:val="22"/>
              </w:rPr>
            </w:pPr>
            <w:r w:rsidRPr="001570EA">
              <w:rPr>
                <w:sz w:val="18"/>
                <w:szCs w:val="22"/>
              </w:rPr>
              <w:t>0.0034986</w:t>
            </w:r>
          </w:p>
        </w:tc>
        <w:tc>
          <w:tcPr>
            <w:tcW w:w="1374" w:type="dxa"/>
            <w:vAlign w:val="center"/>
          </w:tcPr>
          <w:p w14:paraId="6729CD77" w14:textId="77777777" w:rsidR="00FC50E1" w:rsidRPr="001570EA" w:rsidRDefault="00FC50E1">
            <w:pPr>
              <w:jc w:val="center"/>
              <w:rPr>
                <w:rFonts w:cs="Arial"/>
                <w:sz w:val="18"/>
                <w:szCs w:val="22"/>
              </w:rPr>
            </w:pPr>
            <w:r w:rsidRPr="001570EA">
              <w:rPr>
                <w:sz w:val="18"/>
                <w:szCs w:val="22"/>
              </w:rPr>
              <w:t>0.0021796</w:t>
            </w:r>
          </w:p>
        </w:tc>
      </w:tr>
      <w:tr w:rsidR="00FC50E1" w:rsidRPr="001570EA" w14:paraId="7649ED6D" w14:textId="77777777">
        <w:trPr>
          <w:trHeight w:val="360"/>
          <w:tblHeader/>
        </w:trPr>
        <w:tc>
          <w:tcPr>
            <w:tcW w:w="1008" w:type="dxa"/>
            <w:vAlign w:val="center"/>
          </w:tcPr>
          <w:p w14:paraId="55BE2527" w14:textId="77777777" w:rsidR="00FC50E1" w:rsidRPr="001570EA" w:rsidRDefault="00FC50E1">
            <w:pPr>
              <w:jc w:val="center"/>
              <w:rPr>
                <w:rFonts w:cs="Arial"/>
                <w:sz w:val="18"/>
                <w:szCs w:val="18"/>
              </w:rPr>
            </w:pPr>
            <w:r w:rsidRPr="001570EA">
              <w:rPr>
                <w:rFonts w:cs="Arial"/>
                <w:sz w:val="18"/>
                <w:szCs w:val="18"/>
              </w:rPr>
              <w:t>F</w:t>
            </w:r>
          </w:p>
        </w:tc>
        <w:tc>
          <w:tcPr>
            <w:tcW w:w="1296" w:type="dxa"/>
            <w:vAlign w:val="center"/>
          </w:tcPr>
          <w:p w14:paraId="7AA437FC" w14:textId="77777777" w:rsidR="00FC50E1" w:rsidRPr="001570EA" w:rsidRDefault="00FC50E1">
            <w:pPr>
              <w:jc w:val="left"/>
              <w:rPr>
                <w:rFonts w:cs="Arial"/>
                <w:sz w:val="18"/>
                <w:szCs w:val="18"/>
              </w:rPr>
            </w:pPr>
            <w:r w:rsidRPr="001570EA">
              <w:rPr>
                <w:rFonts w:cs="Arial"/>
                <w:sz w:val="18"/>
                <w:szCs w:val="18"/>
              </w:rPr>
              <w:t>Williamsport</w:t>
            </w:r>
          </w:p>
        </w:tc>
        <w:tc>
          <w:tcPr>
            <w:tcW w:w="1374" w:type="dxa"/>
            <w:vAlign w:val="center"/>
          </w:tcPr>
          <w:p w14:paraId="0904B131" w14:textId="77777777" w:rsidR="00FC50E1" w:rsidRPr="001570EA" w:rsidRDefault="00FC50E1">
            <w:pPr>
              <w:jc w:val="center"/>
              <w:rPr>
                <w:rFonts w:cs="Arial"/>
                <w:sz w:val="18"/>
                <w:szCs w:val="22"/>
              </w:rPr>
            </w:pPr>
            <w:r w:rsidRPr="001570EA">
              <w:rPr>
                <w:sz w:val="18"/>
                <w:szCs w:val="22"/>
              </w:rPr>
              <w:t>0.0096529</w:t>
            </w:r>
          </w:p>
        </w:tc>
        <w:tc>
          <w:tcPr>
            <w:tcW w:w="1374" w:type="dxa"/>
            <w:vAlign w:val="center"/>
          </w:tcPr>
          <w:p w14:paraId="140E54FC" w14:textId="77777777" w:rsidR="00FC50E1" w:rsidRPr="001570EA" w:rsidRDefault="00FC50E1">
            <w:pPr>
              <w:jc w:val="center"/>
              <w:rPr>
                <w:rFonts w:cs="Arial"/>
                <w:sz w:val="18"/>
                <w:szCs w:val="22"/>
              </w:rPr>
            </w:pPr>
            <w:r w:rsidRPr="001570EA">
              <w:rPr>
                <w:sz w:val="18"/>
                <w:szCs w:val="22"/>
              </w:rPr>
              <w:t>0.0089461</w:t>
            </w:r>
          </w:p>
        </w:tc>
        <w:tc>
          <w:tcPr>
            <w:tcW w:w="1374" w:type="dxa"/>
            <w:vAlign w:val="center"/>
          </w:tcPr>
          <w:p w14:paraId="04DEF329" w14:textId="77777777" w:rsidR="00FC50E1" w:rsidRPr="001570EA" w:rsidRDefault="00FC50E1">
            <w:pPr>
              <w:jc w:val="center"/>
              <w:rPr>
                <w:rFonts w:cs="Arial"/>
                <w:sz w:val="18"/>
                <w:szCs w:val="22"/>
              </w:rPr>
            </w:pPr>
            <w:r w:rsidRPr="001570EA">
              <w:rPr>
                <w:sz w:val="18"/>
                <w:szCs w:val="22"/>
              </w:rPr>
              <w:t>0.0067885</w:t>
            </w:r>
          </w:p>
        </w:tc>
        <w:tc>
          <w:tcPr>
            <w:tcW w:w="1374" w:type="dxa"/>
            <w:vAlign w:val="center"/>
          </w:tcPr>
          <w:p w14:paraId="7823146D" w14:textId="77777777" w:rsidR="00FC50E1" w:rsidRPr="001570EA" w:rsidRDefault="00FC50E1">
            <w:pPr>
              <w:jc w:val="center"/>
              <w:rPr>
                <w:rFonts w:cs="Arial"/>
                <w:sz w:val="18"/>
                <w:szCs w:val="22"/>
              </w:rPr>
            </w:pPr>
            <w:r w:rsidRPr="001570EA">
              <w:rPr>
                <w:sz w:val="18"/>
                <w:szCs w:val="22"/>
              </w:rPr>
              <w:t>0.0030166</w:t>
            </w:r>
          </w:p>
        </w:tc>
        <w:tc>
          <w:tcPr>
            <w:tcW w:w="1374" w:type="dxa"/>
            <w:vAlign w:val="center"/>
          </w:tcPr>
          <w:p w14:paraId="74D3A410" w14:textId="77777777" w:rsidR="00FC50E1" w:rsidRPr="001570EA" w:rsidRDefault="00FC50E1">
            <w:pPr>
              <w:jc w:val="center"/>
              <w:rPr>
                <w:rFonts w:cs="Arial"/>
                <w:sz w:val="18"/>
                <w:szCs w:val="22"/>
              </w:rPr>
            </w:pPr>
            <w:r w:rsidRPr="001570EA">
              <w:rPr>
                <w:sz w:val="18"/>
                <w:szCs w:val="22"/>
              </w:rPr>
              <w:t>0.0020645</w:t>
            </w:r>
          </w:p>
        </w:tc>
      </w:tr>
    </w:tbl>
    <w:p w14:paraId="0D2652EE" w14:textId="77777777" w:rsidR="00FC50E1" w:rsidRPr="001570EA" w:rsidRDefault="00FC50E1" w:rsidP="00FC50E1"/>
    <w:p w14:paraId="7672E55F" w14:textId="53001DF5" w:rsidR="00FC50E1" w:rsidRPr="001570EA" w:rsidRDefault="00FC50E1" w:rsidP="00FC50E1">
      <w:pPr>
        <w:pStyle w:val="Caption"/>
        <w:jc w:val="left"/>
      </w:pPr>
      <w:bookmarkStart w:id="1283" w:name="_Ref163657429"/>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A11E80"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A11E80" w:rsidRPr="001570EA">
        <w:rPr>
          <w:noProof/>
        </w:rPr>
        <w:t>180</w:t>
      </w:r>
      <w:r w:rsidR="002E093A" w:rsidRPr="001570EA">
        <w:fldChar w:fldCharType="end"/>
      </w:r>
      <w:bookmarkEnd w:id="1283"/>
      <w:r w:rsidRPr="001570EA">
        <w:t>: Winter Energy to Demand Factor Increments, (ETDF</w:t>
      </w:r>
      <w:r w:rsidRPr="001570EA">
        <w:rPr>
          <w:vertAlign w:val="subscript"/>
        </w:rPr>
        <w:t>winter,increments</w:t>
      </w:r>
      <w:r w:rsidRPr="001570EA">
        <w:t>)</w:t>
      </w:r>
    </w:p>
    <w:tbl>
      <w:tblPr>
        <w:tblStyle w:val="TableGrid"/>
        <w:tblW w:w="8538" w:type="dxa"/>
        <w:tblLook w:val="04A0" w:firstRow="1" w:lastRow="0" w:firstColumn="1" w:lastColumn="0" w:noHBand="0" w:noVBand="1"/>
      </w:tblPr>
      <w:tblGrid>
        <w:gridCol w:w="1008"/>
        <w:gridCol w:w="1296"/>
        <w:gridCol w:w="1558"/>
        <w:gridCol w:w="1558"/>
        <w:gridCol w:w="1559"/>
        <w:gridCol w:w="1559"/>
      </w:tblGrid>
      <w:tr w:rsidR="00FC50E1" w:rsidRPr="001570EA" w14:paraId="77A0DD9A" w14:textId="77777777">
        <w:tc>
          <w:tcPr>
            <w:tcW w:w="1008" w:type="dxa"/>
            <w:tcBorders>
              <w:bottom w:val="nil"/>
            </w:tcBorders>
            <w:shd w:val="clear" w:color="auto" w:fill="A6A6A6" w:themeFill="background1" w:themeFillShade="A6"/>
          </w:tcPr>
          <w:p w14:paraId="30D66C11" w14:textId="77777777" w:rsidR="00FC50E1" w:rsidRPr="001570EA" w:rsidRDefault="00FC50E1">
            <w:pPr>
              <w:pStyle w:val="TableCell"/>
              <w:keepNext w:val="0"/>
              <w:spacing w:before="60" w:after="60"/>
              <w:jc w:val="left"/>
              <w:rPr>
                <w:rFonts w:eastAsia="Calibri" w:cs="Arial"/>
                <w:b/>
                <w:szCs w:val="18"/>
              </w:rPr>
            </w:pPr>
          </w:p>
        </w:tc>
        <w:tc>
          <w:tcPr>
            <w:tcW w:w="1296" w:type="dxa"/>
            <w:tcBorders>
              <w:bottom w:val="nil"/>
            </w:tcBorders>
            <w:shd w:val="clear" w:color="auto" w:fill="A6A6A6" w:themeFill="background1" w:themeFillShade="A6"/>
          </w:tcPr>
          <w:p w14:paraId="2CFC9A13" w14:textId="77777777" w:rsidR="00FC50E1" w:rsidRPr="001570EA" w:rsidRDefault="00FC50E1">
            <w:pPr>
              <w:pStyle w:val="TableCell"/>
              <w:keepNext w:val="0"/>
              <w:spacing w:before="60" w:after="60"/>
              <w:jc w:val="left"/>
              <w:rPr>
                <w:rFonts w:eastAsia="Calibri" w:cs="Arial"/>
                <w:b/>
                <w:szCs w:val="18"/>
              </w:rPr>
            </w:pPr>
          </w:p>
        </w:tc>
        <w:tc>
          <w:tcPr>
            <w:tcW w:w="6234" w:type="dxa"/>
            <w:gridSpan w:val="4"/>
            <w:shd w:val="clear" w:color="auto" w:fill="A6A6A6" w:themeFill="background1" w:themeFillShade="A6"/>
          </w:tcPr>
          <w:p w14:paraId="71AF92D5"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Array Azimuth Range</w:t>
            </w:r>
          </w:p>
        </w:tc>
      </w:tr>
      <w:tr w:rsidR="00FC50E1" w:rsidRPr="001570EA" w14:paraId="73F100AA" w14:textId="77777777">
        <w:tc>
          <w:tcPr>
            <w:tcW w:w="1008" w:type="dxa"/>
            <w:tcBorders>
              <w:top w:val="nil"/>
            </w:tcBorders>
            <w:shd w:val="clear" w:color="auto" w:fill="A6A6A6" w:themeFill="background1" w:themeFillShade="A6"/>
            <w:vAlign w:val="bottom"/>
          </w:tcPr>
          <w:p w14:paraId="71625042"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Climate Region</w:t>
            </w:r>
          </w:p>
        </w:tc>
        <w:tc>
          <w:tcPr>
            <w:tcW w:w="1296" w:type="dxa"/>
            <w:tcBorders>
              <w:top w:val="nil"/>
            </w:tcBorders>
            <w:shd w:val="clear" w:color="auto" w:fill="A6A6A6" w:themeFill="background1" w:themeFillShade="A6"/>
            <w:vAlign w:val="bottom"/>
          </w:tcPr>
          <w:p w14:paraId="63ADE2CB"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Reference City</w:t>
            </w:r>
          </w:p>
        </w:tc>
        <w:tc>
          <w:tcPr>
            <w:tcW w:w="1558" w:type="dxa"/>
            <w:shd w:val="clear" w:color="auto" w:fill="A6A6A6" w:themeFill="background1" w:themeFillShade="A6"/>
            <w:vAlign w:val="center"/>
          </w:tcPr>
          <w:p w14:paraId="20E27877"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90° to 135°</w:t>
            </w:r>
          </w:p>
        </w:tc>
        <w:tc>
          <w:tcPr>
            <w:tcW w:w="1558" w:type="dxa"/>
            <w:shd w:val="clear" w:color="auto" w:fill="A6A6A6" w:themeFill="background1" w:themeFillShade="A6"/>
            <w:vAlign w:val="center"/>
          </w:tcPr>
          <w:p w14:paraId="2B34243B"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135° to 180°</w:t>
            </w:r>
          </w:p>
        </w:tc>
        <w:tc>
          <w:tcPr>
            <w:tcW w:w="1559" w:type="dxa"/>
            <w:shd w:val="clear" w:color="auto" w:fill="A6A6A6" w:themeFill="background1" w:themeFillShade="A6"/>
            <w:vAlign w:val="center"/>
          </w:tcPr>
          <w:p w14:paraId="0A5EAB5A"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180° to 225°</w:t>
            </w:r>
          </w:p>
        </w:tc>
        <w:tc>
          <w:tcPr>
            <w:tcW w:w="1559" w:type="dxa"/>
            <w:shd w:val="clear" w:color="auto" w:fill="A6A6A6" w:themeFill="background1" w:themeFillShade="A6"/>
            <w:vAlign w:val="center"/>
          </w:tcPr>
          <w:p w14:paraId="6CE04CD9" w14:textId="77777777" w:rsidR="00FC50E1" w:rsidRPr="001570EA" w:rsidRDefault="00FC50E1">
            <w:pPr>
              <w:pStyle w:val="TableCell"/>
              <w:keepNext w:val="0"/>
              <w:spacing w:before="60" w:after="60"/>
              <w:jc w:val="center"/>
              <w:rPr>
                <w:rFonts w:eastAsia="Calibri" w:cs="Arial"/>
                <w:b/>
                <w:szCs w:val="18"/>
              </w:rPr>
            </w:pPr>
            <w:r w:rsidRPr="001570EA">
              <w:rPr>
                <w:rFonts w:eastAsia="Calibri" w:cs="Arial"/>
                <w:b/>
                <w:szCs w:val="18"/>
              </w:rPr>
              <w:t>225° to 270°</w:t>
            </w:r>
          </w:p>
        </w:tc>
      </w:tr>
      <w:tr w:rsidR="00FC50E1" w:rsidRPr="001570EA" w14:paraId="379E8993" w14:textId="77777777">
        <w:trPr>
          <w:trHeight w:val="360"/>
        </w:trPr>
        <w:tc>
          <w:tcPr>
            <w:tcW w:w="1008" w:type="dxa"/>
            <w:vAlign w:val="center"/>
          </w:tcPr>
          <w:p w14:paraId="7FB35FE2" w14:textId="77777777" w:rsidR="00FC50E1" w:rsidRPr="001570EA" w:rsidRDefault="00FC50E1">
            <w:pPr>
              <w:jc w:val="center"/>
              <w:rPr>
                <w:rFonts w:cs="Arial"/>
                <w:sz w:val="18"/>
                <w:szCs w:val="18"/>
              </w:rPr>
            </w:pPr>
            <w:r w:rsidRPr="001570EA">
              <w:rPr>
                <w:rFonts w:cs="Arial"/>
                <w:sz w:val="18"/>
                <w:szCs w:val="18"/>
              </w:rPr>
              <w:t>C</w:t>
            </w:r>
          </w:p>
        </w:tc>
        <w:tc>
          <w:tcPr>
            <w:tcW w:w="1296" w:type="dxa"/>
            <w:vAlign w:val="center"/>
          </w:tcPr>
          <w:p w14:paraId="1F72511F" w14:textId="77777777" w:rsidR="00FC50E1" w:rsidRPr="001570EA" w:rsidRDefault="00FC50E1">
            <w:pPr>
              <w:jc w:val="left"/>
              <w:rPr>
                <w:rFonts w:cs="Arial"/>
                <w:sz w:val="18"/>
                <w:szCs w:val="18"/>
              </w:rPr>
            </w:pPr>
            <w:r w:rsidRPr="001570EA">
              <w:rPr>
                <w:rFonts w:cs="Arial"/>
                <w:sz w:val="18"/>
                <w:szCs w:val="18"/>
              </w:rPr>
              <w:t>Allentown</w:t>
            </w:r>
          </w:p>
        </w:tc>
        <w:tc>
          <w:tcPr>
            <w:tcW w:w="1558" w:type="dxa"/>
            <w:vAlign w:val="center"/>
          </w:tcPr>
          <w:p w14:paraId="7F9EDB03" w14:textId="77777777" w:rsidR="00FC50E1" w:rsidRPr="001570EA" w:rsidRDefault="00FC50E1">
            <w:pPr>
              <w:jc w:val="center"/>
              <w:rPr>
                <w:rFonts w:cs="Arial"/>
                <w:sz w:val="18"/>
                <w:szCs w:val="18"/>
              </w:rPr>
            </w:pPr>
            <w:r w:rsidRPr="001570EA">
              <w:rPr>
                <w:rFonts w:cs="Arial"/>
                <w:sz w:val="18"/>
                <w:szCs w:val="18"/>
              </w:rPr>
              <w:t>(0.0000162)</w:t>
            </w:r>
          </w:p>
        </w:tc>
        <w:tc>
          <w:tcPr>
            <w:tcW w:w="1558" w:type="dxa"/>
            <w:vAlign w:val="center"/>
          </w:tcPr>
          <w:p w14:paraId="0C45109B" w14:textId="77777777" w:rsidR="00FC50E1" w:rsidRPr="001570EA" w:rsidRDefault="00FC50E1">
            <w:pPr>
              <w:jc w:val="center"/>
              <w:rPr>
                <w:rFonts w:cs="Arial"/>
                <w:sz w:val="18"/>
                <w:szCs w:val="18"/>
              </w:rPr>
            </w:pPr>
            <w:r w:rsidRPr="001570EA">
              <w:rPr>
                <w:rFonts w:cs="Arial"/>
                <w:sz w:val="18"/>
                <w:szCs w:val="18"/>
              </w:rPr>
              <w:t>(0.0000640)</w:t>
            </w:r>
          </w:p>
        </w:tc>
        <w:tc>
          <w:tcPr>
            <w:tcW w:w="1559" w:type="dxa"/>
            <w:vAlign w:val="center"/>
          </w:tcPr>
          <w:p w14:paraId="509AD05E" w14:textId="77777777" w:rsidR="00FC50E1" w:rsidRPr="001570EA" w:rsidRDefault="00FC50E1">
            <w:pPr>
              <w:jc w:val="center"/>
              <w:rPr>
                <w:rFonts w:cs="Arial"/>
                <w:sz w:val="18"/>
                <w:szCs w:val="18"/>
              </w:rPr>
            </w:pPr>
            <w:r w:rsidRPr="001570EA">
              <w:rPr>
                <w:rFonts w:cs="Arial"/>
                <w:sz w:val="18"/>
                <w:szCs w:val="18"/>
              </w:rPr>
              <w:t>(0.0001096)</w:t>
            </w:r>
          </w:p>
        </w:tc>
        <w:tc>
          <w:tcPr>
            <w:tcW w:w="1559" w:type="dxa"/>
            <w:vAlign w:val="center"/>
          </w:tcPr>
          <w:p w14:paraId="5E38799E" w14:textId="77777777" w:rsidR="00FC50E1" w:rsidRPr="001570EA" w:rsidRDefault="00FC50E1">
            <w:pPr>
              <w:jc w:val="center"/>
              <w:rPr>
                <w:rFonts w:cs="Arial"/>
                <w:sz w:val="18"/>
                <w:szCs w:val="18"/>
              </w:rPr>
            </w:pPr>
            <w:r w:rsidRPr="001570EA">
              <w:rPr>
                <w:rFonts w:cs="Arial"/>
                <w:sz w:val="18"/>
                <w:szCs w:val="18"/>
              </w:rPr>
              <w:t>(0.0000362)</w:t>
            </w:r>
          </w:p>
        </w:tc>
      </w:tr>
      <w:tr w:rsidR="00FC50E1" w:rsidRPr="001570EA" w14:paraId="66AD6DB8" w14:textId="77777777">
        <w:trPr>
          <w:trHeight w:val="360"/>
        </w:trPr>
        <w:tc>
          <w:tcPr>
            <w:tcW w:w="1008" w:type="dxa"/>
            <w:vAlign w:val="center"/>
          </w:tcPr>
          <w:p w14:paraId="5810AAD0" w14:textId="77777777" w:rsidR="00FC50E1" w:rsidRPr="001570EA" w:rsidRDefault="00FC50E1">
            <w:pPr>
              <w:jc w:val="center"/>
              <w:rPr>
                <w:rFonts w:cs="Arial"/>
                <w:sz w:val="18"/>
                <w:szCs w:val="18"/>
              </w:rPr>
            </w:pPr>
            <w:r w:rsidRPr="001570EA">
              <w:rPr>
                <w:rFonts w:cs="Arial"/>
                <w:sz w:val="18"/>
                <w:szCs w:val="18"/>
              </w:rPr>
              <w:t>A</w:t>
            </w:r>
          </w:p>
        </w:tc>
        <w:tc>
          <w:tcPr>
            <w:tcW w:w="1296" w:type="dxa"/>
            <w:vAlign w:val="center"/>
          </w:tcPr>
          <w:p w14:paraId="1275C24F" w14:textId="77777777" w:rsidR="00FC50E1" w:rsidRPr="001570EA" w:rsidRDefault="00FC50E1">
            <w:pPr>
              <w:jc w:val="left"/>
              <w:rPr>
                <w:rFonts w:cs="Arial"/>
                <w:sz w:val="18"/>
                <w:szCs w:val="18"/>
              </w:rPr>
            </w:pPr>
            <w:r w:rsidRPr="001570EA">
              <w:rPr>
                <w:rFonts w:cs="Arial"/>
                <w:sz w:val="18"/>
                <w:szCs w:val="18"/>
              </w:rPr>
              <w:t>Binghamton</w:t>
            </w:r>
          </w:p>
        </w:tc>
        <w:tc>
          <w:tcPr>
            <w:tcW w:w="1558" w:type="dxa"/>
            <w:vAlign w:val="center"/>
          </w:tcPr>
          <w:p w14:paraId="4AAC14E2" w14:textId="77777777" w:rsidR="00FC50E1" w:rsidRPr="001570EA" w:rsidRDefault="00FC50E1">
            <w:pPr>
              <w:jc w:val="center"/>
              <w:rPr>
                <w:rFonts w:cs="Arial"/>
                <w:sz w:val="18"/>
                <w:szCs w:val="18"/>
              </w:rPr>
            </w:pPr>
            <w:r w:rsidRPr="001570EA">
              <w:rPr>
                <w:rFonts w:cs="Arial"/>
                <w:sz w:val="18"/>
                <w:szCs w:val="18"/>
              </w:rPr>
              <w:t>(0.0000158)</w:t>
            </w:r>
          </w:p>
        </w:tc>
        <w:tc>
          <w:tcPr>
            <w:tcW w:w="1558" w:type="dxa"/>
            <w:vAlign w:val="center"/>
          </w:tcPr>
          <w:p w14:paraId="46AA072E" w14:textId="77777777" w:rsidR="00FC50E1" w:rsidRPr="001570EA" w:rsidRDefault="00FC50E1">
            <w:pPr>
              <w:jc w:val="center"/>
              <w:rPr>
                <w:rFonts w:cs="Arial"/>
                <w:sz w:val="18"/>
                <w:szCs w:val="18"/>
              </w:rPr>
            </w:pPr>
            <w:r w:rsidRPr="001570EA">
              <w:rPr>
                <w:rFonts w:cs="Arial"/>
                <w:sz w:val="18"/>
                <w:szCs w:val="18"/>
              </w:rPr>
              <w:t>(0.0000478)</w:t>
            </w:r>
          </w:p>
        </w:tc>
        <w:tc>
          <w:tcPr>
            <w:tcW w:w="1559" w:type="dxa"/>
            <w:vAlign w:val="center"/>
          </w:tcPr>
          <w:p w14:paraId="03E24AD4" w14:textId="77777777" w:rsidR="00FC50E1" w:rsidRPr="001570EA" w:rsidRDefault="00FC50E1">
            <w:pPr>
              <w:jc w:val="center"/>
              <w:rPr>
                <w:rFonts w:cs="Arial"/>
                <w:sz w:val="18"/>
                <w:szCs w:val="18"/>
              </w:rPr>
            </w:pPr>
            <w:r w:rsidRPr="001570EA">
              <w:rPr>
                <w:rFonts w:cs="Arial"/>
                <w:sz w:val="18"/>
                <w:szCs w:val="18"/>
              </w:rPr>
              <w:t>(0.0000839)</w:t>
            </w:r>
          </w:p>
        </w:tc>
        <w:tc>
          <w:tcPr>
            <w:tcW w:w="1559" w:type="dxa"/>
            <w:vAlign w:val="center"/>
          </w:tcPr>
          <w:p w14:paraId="1B5D55B3" w14:textId="77777777" w:rsidR="00FC50E1" w:rsidRPr="001570EA" w:rsidRDefault="00FC50E1">
            <w:pPr>
              <w:jc w:val="center"/>
              <w:rPr>
                <w:rFonts w:cs="Arial"/>
                <w:sz w:val="18"/>
                <w:szCs w:val="18"/>
              </w:rPr>
            </w:pPr>
            <w:r w:rsidRPr="001570EA">
              <w:rPr>
                <w:rFonts w:cs="Arial"/>
                <w:sz w:val="18"/>
                <w:szCs w:val="18"/>
              </w:rPr>
              <w:t>(0.0000227)</w:t>
            </w:r>
          </w:p>
        </w:tc>
      </w:tr>
      <w:tr w:rsidR="00FC50E1" w:rsidRPr="001570EA" w14:paraId="0BFBDAD0" w14:textId="77777777">
        <w:trPr>
          <w:trHeight w:val="360"/>
        </w:trPr>
        <w:tc>
          <w:tcPr>
            <w:tcW w:w="1008" w:type="dxa"/>
            <w:vAlign w:val="center"/>
          </w:tcPr>
          <w:p w14:paraId="265726CE" w14:textId="77777777" w:rsidR="00FC50E1" w:rsidRPr="001570EA" w:rsidRDefault="00FC50E1">
            <w:pPr>
              <w:jc w:val="center"/>
              <w:rPr>
                <w:rFonts w:cs="Arial"/>
                <w:sz w:val="18"/>
                <w:szCs w:val="18"/>
              </w:rPr>
            </w:pPr>
            <w:r w:rsidRPr="001570EA">
              <w:rPr>
                <w:rFonts w:cs="Arial"/>
                <w:sz w:val="18"/>
                <w:szCs w:val="18"/>
              </w:rPr>
              <w:t>G</w:t>
            </w:r>
          </w:p>
        </w:tc>
        <w:tc>
          <w:tcPr>
            <w:tcW w:w="1296" w:type="dxa"/>
            <w:vAlign w:val="center"/>
          </w:tcPr>
          <w:p w14:paraId="78786315" w14:textId="77777777" w:rsidR="00FC50E1" w:rsidRPr="001570EA" w:rsidRDefault="00FC50E1">
            <w:pPr>
              <w:jc w:val="left"/>
              <w:rPr>
                <w:rFonts w:cs="Arial"/>
                <w:sz w:val="18"/>
                <w:szCs w:val="18"/>
              </w:rPr>
            </w:pPr>
            <w:r w:rsidRPr="001570EA">
              <w:rPr>
                <w:rFonts w:cs="Arial"/>
                <w:sz w:val="18"/>
                <w:szCs w:val="18"/>
              </w:rPr>
              <w:t>Bradford</w:t>
            </w:r>
          </w:p>
        </w:tc>
        <w:tc>
          <w:tcPr>
            <w:tcW w:w="1558" w:type="dxa"/>
            <w:vAlign w:val="center"/>
          </w:tcPr>
          <w:p w14:paraId="3D7E09F3" w14:textId="77777777" w:rsidR="00FC50E1" w:rsidRPr="001570EA" w:rsidRDefault="00FC50E1">
            <w:pPr>
              <w:jc w:val="center"/>
              <w:rPr>
                <w:rFonts w:cs="Arial"/>
                <w:sz w:val="18"/>
                <w:szCs w:val="18"/>
              </w:rPr>
            </w:pPr>
            <w:r w:rsidRPr="001570EA">
              <w:rPr>
                <w:rFonts w:cs="Arial"/>
                <w:sz w:val="18"/>
                <w:szCs w:val="18"/>
              </w:rPr>
              <w:t>(0.0000120)</w:t>
            </w:r>
          </w:p>
        </w:tc>
        <w:tc>
          <w:tcPr>
            <w:tcW w:w="1558" w:type="dxa"/>
            <w:vAlign w:val="center"/>
          </w:tcPr>
          <w:p w14:paraId="275089B8" w14:textId="77777777" w:rsidR="00FC50E1" w:rsidRPr="001570EA" w:rsidRDefault="00FC50E1">
            <w:pPr>
              <w:jc w:val="center"/>
              <w:rPr>
                <w:rFonts w:cs="Arial"/>
                <w:sz w:val="18"/>
                <w:szCs w:val="18"/>
              </w:rPr>
            </w:pPr>
            <w:r w:rsidRPr="001570EA">
              <w:rPr>
                <w:rFonts w:cs="Arial"/>
                <w:sz w:val="18"/>
                <w:szCs w:val="18"/>
              </w:rPr>
              <w:t>(0.0000367)</w:t>
            </w:r>
          </w:p>
        </w:tc>
        <w:tc>
          <w:tcPr>
            <w:tcW w:w="1559" w:type="dxa"/>
            <w:vAlign w:val="center"/>
          </w:tcPr>
          <w:p w14:paraId="57C01489" w14:textId="77777777" w:rsidR="00FC50E1" w:rsidRPr="001570EA" w:rsidRDefault="00FC50E1">
            <w:pPr>
              <w:jc w:val="center"/>
              <w:rPr>
                <w:rFonts w:cs="Arial"/>
                <w:sz w:val="18"/>
                <w:szCs w:val="18"/>
              </w:rPr>
            </w:pPr>
            <w:r w:rsidRPr="001570EA">
              <w:rPr>
                <w:rFonts w:cs="Arial"/>
                <w:sz w:val="18"/>
                <w:szCs w:val="18"/>
              </w:rPr>
              <w:t>(0.0000655)</w:t>
            </w:r>
          </w:p>
        </w:tc>
        <w:tc>
          <w:tcPr>
            <w:tcW w:w="1559" w:type="dxa"/>
            <w:vAlign w:val="center"/>
          </w:tcPr>
          <w:p w14:paraId="7EE0AA8D" w14:textId="77777777" w:rsidR="00FC50E1" w:rsidRPr="001570EA" w:rsidRDefault="00FC50E1">
            <w:pPr>
              <w:jc w:val="center"/>
              <w:rPr>
                <w:rFonts w:cs="Arial"/>
                <w:sz w:val="18"/>
                <w:szCs w:val="18"/>
              </w:rPr>
            </w:pPr>
            <w:r w:rsidRPr="001570EA">
              <w:rPr>
                <w:rFonts w:cs="Arial"/>
                <w:sz w:val="18"/>
                <w:szCs w:val="18"/>
              </w:rPr>
              <w:t>(0.0000113)</w:t>
            </w:r>
          </w:p>
        </w:tc>
      </w:tr>
      <w:tr w:rsidR="00FC50E1" w:rsidRPr="001570EA" w14:paraId="75D08448" w14:textId="77777777">
        <w:trPr>
          <w:trHeight w:val="360"/>
        </w:trPr>
        <w:tc>
          <w:tcPr>
            <w:tcW w:w="1008" w:type="dxa"/>
            <w:vAlign w:val="center"/>
          </w:tcPr>
          <w:p w14:paraId="58060D24" w14:textId="77777777" w:rsidR="00FC50E1" w:rsidRPr="001570EA" w:rsidRDefault="00FC50E1">
            <w:pPr>
              <w:jc w:val="center"/>
              <w:rPr>
                <w:rFonts w:cs="Arial"/>
                <w:sz w:val="18"/>
                <w:szCs w:val="18"/>
              </w:rPr>
            </w:pPr>
            <w:r w:rsidRPr="001570EA">
              <w:rPr>
                <w:rFonts w:cs="Arial"/>
                <w:sz w:val="18"/>
                <w:szCs w:val="18"/>
              </w:rPr>
              <w:t>I</w:t>
            </w:r>
          </w:p>
        </w:tc>
        <w:tc>
          <w:tcPr>
            <w:tcW w:w="1296" w:type="dxa"/>
            <w:vAlign w:val="center"/>
          </w:tcPr>
          <w:p w14:paraId="7B330507" w14:textId="77777777" w:rsidR="00FC50E1" w:rsidRPr="001570EA" w:rsidRDefault="00FC50E1">
            <w:pPr>
              <w:jc w:val="left"/>
              <w:rPr>
                <w:rFonts w:cs="Arial"/>
                <w:sz w:val="18"/>
                <w:szCs w:val="18"/>
              </w:rPr>
            </w:pPr>
            <w:r w:rsidRPr="001570EA">
              <w:rPr>
                <w:rFonts w:cs="Arial"/>
                <w:sz w:val="18"/>
                <w:szCs w:val="18"/>
              </w:rPr>
              <w:t>Erie</w:t>
            </w:r>
          </w:p>
        </w:tc>
        <w:tc>
          <w:tcPr>
            <w:tcW w:w="1558" w:type="dxa"/>
            <w:vAlign w:val="center"/>
          </w:tcPr>
          <w:p w14:paraId="6F54CD69" w14:textId="77777777" w:rsidR="00FC50E1" w:rsidRPr="001570EA" w:rsidRDefault="00FC50E1">
            <w:pPr>
              <w:jc w:val="center"/>
              <w:rPr>
                <w:rFonts w:cs="Arial"/>
                <w:sz w:val="18"/>
                <w:szCs w:val="18"/>
              </w:rPr>
            </w:pPr>
            <w:r w:rsidRPr="001570EA">
              <w:rPr>
                <w:rFonts w:cs="Arial"/>
                <w:sz w:val="18"/>
                <w:szCs w:val="18"/>
              </w:rPr>
              <w:t>(0.0000074)</w:t>
            </w:r>
          </w:p>
        </w:tc>
        <w:tc>
          <w:tcPr>
            <w:tcW w:w="1558" w:type="dxa"/>
            <w:vAlign w:val="center"/>
          </w:tcPr>
          <w:p w14:paraId="23591654" w14:textId="77777777" w:rsidR="00FC50E1" w:rsidRPr="001570EA" w:rsidRDefault="00FC50E1">
            <w:pPr>
              <w:jc w:val="center"/>
              <w:rPr>
                <w:rFonts w:cs="Arial"/>
                <w:sz w:val="18"/>
                <w:szCs w:val="18"/>
              </w:rPr>
            </w:pPr>
            <w:r w:rsidRPr="001570EA">
              <w:rPr>
                <w:rFonts w:cs="Arial"/>
                <w:sz w:val="18"/>
                <w:szCs w:val="18"/>
              </w:rPr>
              <w:t>(0.0000240)</w:t>
            </w:r>
          </w:p>
        </w:tc>
        <w:tc>
          <w:tcPr>
            <w:tcW w:w="1559" w:type="dxa"/>
            <w:vAlign w:val="center"/>
          </w:tcPr>
          <w:p w14:paraId="2BBA5E9F" w14:textId="77777777" w:rsidR="00FC50E1" w:rsidRPr="001570EA" w:rsidRDefault="00FC50E1">
            <w:pPr>
              <w:jc w:val="center"/>
              <w:rPr>
                <w:rFonts w:cs="Arial"/>
                <w:sz w:val="18"/>
                <w:szCs w:val="18"/>
              </w:rPr>
            </w:pPr>
            <w:r w:rsidRPr="001570EA">
              <w:rPr>
                <w:rFonts w:cs="Arial"/>
                <w:sz w:val="18"/>
                <w:szCs w:val="18"/>
              </w:rPr>
              <w:t>(0.0000392)</w:t>
            </w:r>
          </w:p>
        </w:tc>
        <w:tc>
          <w:tcPr>
            <w:tcW w:w="1559" w:type="dxa"/>
            <w:vAlign w:val="center"/>
          </w:tcPr>
          <w:p w14:paraId="27CCC5E4" w14:textId="77777777" w:rsidR="00FC50E1" w:rsidRPr="001570EA" w:rsidRDefault="00FC50E1">
            <w:pPr>
              <w:jc w:val="center"/>
              <w:rPr>
                <w:rFonts w:cs="Arial"/>
                <w:sz w:val="18"/>
                <w:szCs w:val="18"/>
              </w:rPr>
            </w:pPr>
            <w:r w:rsidRPr="001570EA">
              <w:rPr>
                <w:rFonts w:cs="Arial"/>
                <w:sz w:val="18"/>
                <w:szCs w:val="18"/>
              </w:rPr>
              <w:t>(0.0000048)</w:t>
            </w:r>
          </w:p>
        </w:tc>
      </w:tr>
      <w:tr w:rsidR="00FC50E1" w:rsidRPr="001570EA" w14:paraId="139A72FB" w14:textId="77777777">
        <w:trPr>
          <w:trHeight w:val="360"/>
        </w:trPr>
        <w:tc>
          <w:tcPr>
            <w:tcW w:w="1008" w:type="dxa"/>
            <w:vAlign w:val="center"/>
          </w:tcPr>
          <w:p w14:paraId="5B6FB0CC" w14:textId="77777777" w:rsidR="00FC50E1" w:rsidRPr="001570EA" w:rsidRDefault="00FC50E1">
            <w:pPr>
              <w:jc w:val="center"/>
              <w:rPr>
                <w:rFonts w:cs="Arial"/>
                <w:sz w:val="18"/>
                <w:szCs w:val="18"/>
              </w:rPr>
            </w:pPr>
            <w:r w:rsidRPr="001570EA">
              <w:rPr>
                <w:rFonts w:cs="Arial"/>
                <w:sz w:val="18"/>
                <w:szCs w:val="18"/>
              </w:rPr>
              <w:t>E</w:t>
            </w:r>
          </w:p>
        </w:tc>
        <w:tc>
          <w:tcPr>
            <w:tcW w:w="1296" w:type="dxa"/>
            <w:vAlign w:val="center"/>
          </w:tcPr>
          <w:p w14:paraId="66DE58A6" w14:textId="77777777" w:rsidR="00FC50E1" w:rsidRPr="001570EA" w:rsidRDefault="00FC50E1">
            <w:pPr>
              <w:jc w:val="left"/>
              <w:rPr>
                <w:rFonts w:cs="Arial"/>
                <w:sz w:val="18"/>
                <w:szCs w:val="18"/>
              </w:rPr>
            </w:pPr>
            <w:r w:rsidRPr="001570EA">
              <w:rPr>
                <w:rFonts w:cs="Arial"/>
                <w:sz w:val="18"/>
                <w:szCs w:val="18"/>
              </w:rPr>
              <w:t>Harrisburg</w:t>
            </w:r>
          </w:p>
        </w:tc>
        <w:tc>
          <w:tcPr>
            <w:tcW w:w="1558" w:type="dxa"/>
            <w:vAlign w:val="center"/>
          </w:tcPr>
          <w:p w14:paraId="7AFBD0A3" w14:textId="77777777" w:rsidR="00FC50E1" w:rsidRPr="001570EA" w:rsidRDefault="00FC50E1">
            <w:pPr>
              <w:jc w:val="center"/>
              <w:rPr>
                <w:rFonts w:cs="Arial"/>
                <w:sz w:val="18"/>
                <w:szCs w:val="18"/>
              </w:rPr>
            </w:pPr>
            <w:r w:rsidRPr="001570EA">
              <w:rPr>
                <w:rFonts w:cs="Arial"/>
                <w:sz w:val="18"/>
                <w:szCs w:val="18"/>
              </w:rPr>
              <w:t>(0.0000150)</w:t>
            </w:r>
          </w:p>
        </w:tc>
        <w:tc>
          <w:tcPr>
            <w:tcW w:w="1558" w:type="dxa"/>
            <w:vAlign w:val="center"/>
          </w:tcPr>
          <w:p w14:paraId="297FF27B" w14:textId="77777777" w:rsidR="00FC50E1" w:rsidRPr="001570EA" w:rsidRDefault="00FC50E1">
            <w:pPr>
              <w:jc w:val="center"/>
              <w:rPr>
                <w:rFonts w:cs="Arial"/>
                <w:sz w:val="18"/>
                <w:szCs w:val="18"/>
              </w:rPr>
            </w:pPr>
            <w:r w:rsidRPr="001570EA">
              <w:rPr>
                <w:rFonts w:cs="Arial"/>
                <w:sz w:val="18"/>
                <w:szCs w:val="18"/>
              </w:rPr>
              <w:t>(0.0000524)</w:t>
            </w:r>
          </w:p>
        </w:tc>
        <w:tc>
          <w:tcPr>
            <w:tcW w:w="1559" w:type="dxa"/>
            <w:vAlign w:val="center"/>
          </w:tcPr>
          <w:p w14:paraId="2C861680" w14:textId="77777777" w:rsidR="00FC50E1" w:rsidRPr="001570EA" w:rsidRDefault="00FC50E1">
            <w:pPr>
              <w:jc w:val="center"/>
              <w:rPr>
                <w:rFonts w:cs="Arial"/>
                <w:sz w:val="18"/>
                <w:szCs w:val="18"/>
              </w:rPr>
            </w:pPr>
            <w:r w:rsidRPr="001570EA">
              <w:rPr>
                <w:rFonts w:cs="Arial"/>
                <w:sz w:val="18"/>
                <w:szCs w:val="18"/>
              </w:rPr>
              <w:t>(0.0000880)</w:t>
            </w:r>
          </w:p>
        </w:tc>
        <w:tc>
          <w:tcPr>
            <w:tcW w:w="1559" w:type="dxa"/>
            <w:vAlign w:val="center"/>
          </w:tcPr>
          <w:p w14:paraId="2F1A00B9" w14:textId="77777777" w:rsidR="00FC50E1" w:rsidRPr="001570EA" w:rsidRDefault="00FC50E1">
            <w:pPr>
              <w:jc w:val="center"/>
              <w:rPr>
                <w:rFonts w:cs="Arial"/>
                <w:sz w:val="18"/>
                <w:szCs w:val="18"/>
              </w:rPr>
            </w:pPr>
            <w:r w:rsidRPr="001570EA">
              <w:rPr>
                <w:rFonts w:cs="Arial"/>
                <w:sz w:val="18"/>
                <w:szCs w:val="18"/>
              </w:rPr>
              <w:t>(0.0000243)</w:t>
            </w:r>
          </w:p>
        </w:tc>
      </w:tr>
      <w:tr w:rsidR="00FC50E1" w:rsidRPr="001570EA" w14:paraId="1CC9D661" w14:textId="77777777">
        <w:trPr>
          <w:trHeight w:val="360"/>
        </w:trPr>
        <w:tc>
          <w:tcPr>
            <w:tcW w:w="1008" w:type="dxa"/>
            <w:vAlign w:val="center"/>
          </w:tcPr>
          <w:p w14:paraId="2739BC62" w14:textId="77777777" w:rsidR="00FC50E1" w:rsidRPr="001570EA" w:rsidRDefault="00FC50E1">
            <w:pPr>
              <w:jc w:val="center"/>
              <w:rPr>
                <w:rFonts w:cs="Arial"/>
                <w:sz w:val="18"/>
                <w:szCs w:val="18"/>
              </w:rPr>
            </w:pPr>
            <w:r w:rsidRPr="001570EA">
              <w:rPr>
                <w:rFonts w:cs="Arial"/>
                <w:sz w:val="18"/>
                <w:szCs w:val="18"/>
              </w:rPr>
              <w:t>D</w:t>
            </w:r>
          </w:p>
        </w:tc>
        <w:tc>
          <w:tcPr>
            <w:tcW w:w="1296" w:type="dxa"/>
            <w:vAlign w:val="center"/>
          </w:tcPr>
          <w:p w14:paraId="6CFCD417" w14:textId="77777777" w:rsidR="00FC50E1" w:rsidRPr="001570EA" w:rsidRDefault="00FC50E1">
            <w:pPr>
              <w:jc w:val="left"/>
              <w:rPr>
                <w:rFonts w:cs="Arial"/>
                <w:sz w:val="18"/>
                <w:szCs w:val="18"/>
              </w:rPr>
            </w:pPr>
            <w:r w:rsidRPr="001570EA">
              <w:rPr>
                <w:rFonts w:cs="Arial"/>
                <w:sz w:val="18"/>
                <w:szCs w:val="18"/>
              </w:rPr>
              <w:t>Philadelphia</w:t>
            </w:r>
          </w:p>
        </w:tc>
        <w:tc>
          <w:tcPr>
            <w:tcW w:w="1558" w:type="dxa"/>
            <w:vAlign w:val="center"/>
          </w:tcPr>
          <w:p w14:paraId="3A61640D" w14:textId="77777777" w:rsidR="00FC50E1" w:rsidRPr="001570EA" w:rsidRDefault="00FC50E1">
            <w:pPr>
              <w:jc w:val="center"/>
              <w:rPr>
                <w:rFonts w:cs="Arial"/>
                <w:sz w:val="18"/>
                <w:szCs w:val="18"/>
              </w:rPr>
            </w:pPr>
            <w:r w:rsidRPr="001570EA">
              <w:rPr>
                <w:rFonts w:cs="Arial"/>
                <w:sz w:val="18"/>
                <w:szCs w:val="18"/>
              </w:rPr>
              <w:t>(0.0000157)</w:t>
            </w:r>
          </w:p>
        </w:tc>
        <w:tc>
          <w:tcPr>
            <w:tcW w:w="1558" w:type="dxa"/>
            <w:vAlign w:val="center"/>
          </w:tcPr>
          <w:p w14:paraId="45481D91" w14:textId="77777777" w:rsidR="00FC50E1" w:rsidRPr="001570EA" w:rsidRDefault="00FC50E1">
            <w:pPr>
              <w:jc w:val="center"/>
              <w:rPr>
                <w:rFonts w:cs="Arial"/>
                <w:sz w:val="18"/>
                <w:szCs w:val="18"/>
              </w:rPr>
            </w:pPr>
            <w:r w:rsidRPr="001570EA">
              <w:rPr>
                <w:rFonts w:cs="Arial"/>
                <w:sz w:val="18"/>
                <w:szCs w:val="18"/>
              </w:rPr>
              <w:t>(0.0000662)</w:t>
            </w:r>
          </w:p>
        </w:tc>
        <w:tc>
          <w:tcPr>
            <w:tcW w:w="1559" w:type="dxa"/>
            <w:vAlign w:val="center"/>
          </w:tcPr>
          <w:p w14:paraId="7AA30B27" w14:textId="77777777" w:rsidR="00FC50E1" w:rsidRPr="001570EA" w:rsidRDefault="00FC50E1">
            <w:pPr>
              <w:jc w:val="center"/>
              <w:rPr>
                <w:rFonts w:cs="Arial"/>
                <w:sz w:val="18"/>
                <w:szCs w:val="18"/>
              </w:rPr>
            </w:pPr>
            <w:r w:rsidRPr="001570EA">
              <w:rPr>
                <w:rFonts w:cs="Arial"/>
                <w:sz w:val="18"/>
                <w:szCs w:val="18"/>
              </w:rPr>
              <w:t>(0.0001132)</w:t>
            </w:r>
          </w:p>
        </w:tc>
        <w:tc>
          <w:tcPr>
            <w:tcW w:w="1559" w:type="dxa"/>
            <w:vAlign w:val="center"/>
          </w:tcPr>
          <w:p w14:paraId="5BEFE24F" w14:textId="77777777" w:rsidR="00FC50E1" w:rsidRPr="001570EA" w:rsidRDefault="00FC50E1">
            <w:pPr>
              <w:jc w:val="center"/>
              <w:rPr>
                <w:rFonts w:cs="Arial"/>
                <w:sz w:val="18"/>
                <w:szCs w:val="18"/>
              </w:rPr>
            </w:pPr>
            <w:r w:rsidRPr="001570EA">
              <w:rPr>
                <w:rFonts w:cs="Arial"/>
                <w:sz w:val="18"/>
                <w:szCs w:val="18"/>
              </w:rPr>
              <w:t>(0.0000379)</w:t>
            </w:r>
          </w:p>
        </w:tc>
      </w:tr>
      <w:tr w:rsidR="00FC50E1" w:rsidRPr="001570EA" w14:paraId="1CF46457" w14:textId="77777777">
        <w:trPr>
          <w:trHeight w:val="360"/>
        </w:trPr>
        <w:tc>
          <w:tcPr>
            <w:tcW w:w="1008" w:type="dxa"/>
            <w:vAlign w:val="center"/>
          </w:tcPr>
          <w:p w14:paraId="06320D60" w14:textId="77777777" w:rsidR="00FC50E1" w:rsidRPr="001570EA" w:rsidRDefault="00FC50E1">
            <w:pPr>
              <w:jc w:val="center"/>
              <w:rPr>
                <w:rFonts w:cs="Arial"/>
                <w:sz w:val="18"/>
                <w:szCs w:val="18"/>
              </w:rPr>
            </w:pPr>
            <w:r w:rsidRPr="001570EA">
              <w:rPr>
                <w:rFonts w:cs="Arial"/>
                <w:sz w:val="18"/>
                <w:szCs w:val="18"/>
              </w:rPr>
              <w:t>H</w:t>
            </w:r>
          </w:p>
        </w:tc>
        <w:tc>
          <w:tcPr>
            <w:tcW w:w="1296" w:type="dxa"/>
            <w:vAlign w:val="center"/>
          </w:tcPr>
          <w:p w14:paraId="4937CFF3" w14:textId="77777777" w:rsidR="00FC50E1" w:rsidRPr="001570EA" w:rsidRDefault="00FC50E1">
            <w:pPr>
              <w:jc w:val="left"/>
              <w:rPr>
                <w:rFonts w:cs="Arial"/>
                <w:sz w:val="18"/>
                <w:szCs w:val="18"/>
              </w:rPr>
            </w:pPr>
            <w:r w:rsidRPr="001570EA">
              <w:rPr>
                <w:rFonts w:cs="Arial"/>
                <w:sz w:val="18"/>
                <w:szCs w:val="18"/>
              </w:rPr>
              <w:t>Pittsburgh</w:t>
            </w:r>
          </w:p>
        </w:tc>
        <w:tc>
          <w:tcPr>
            <w:tcW w:w="1558" w:type="dxa"/>
            <w:vAlign w:val="center"/>
          </w:tcPr>
          <w:p w14:paraId="7D318054" w14:textId="77777777" w:rsidR="00FC50E1" w:rsidRPr="001570EA" w:rsidRDefault="00FC50E1">
            <w:pPr>
              <w:jc w:val="center"/>
              <w:rPr>
                <w:rFonts w:cs="Arial"/>
                <w:sz w:val="18"/>
                <w:szCs w:val="18"/>
              </w:rPr>
            </w:pPr>
            <w:r w:rsidRPr="001570EA">
              <w:rPr>
                <w:rFonts w:cs="Arial"/>
                <w:sz w:val="18"/>
                <w:szCs w:val="18"/>
              </w:rPr>
              <w:t>(0.0000093)</w:t>
            </w:r>
          </w:p>
        </w:tc>
        <w:tc>
          <w:tcPr>
            <w:tcW w:w="1558" w:type="dxa"/>
            <w:vAlign w:val="center"/>
          </w:tcPr>
          <w:p w14:paraId="6F151BA9" w14:textId="77777777" w:rsidR="00FC50E1" w:rsidRPr="001570EA" w:rsidRDefault="00FC50E1">
            <w:pPr>
              <w:jc w:val="center"/>
              <w:rPr>
                <w:rFonts w:cs="Arial"/>
                <w:sz w:val="18"/>
                <w:szCs w:val="18"/>
              </w:rPr>
            </w:pPr>
            <w:r w:rsidRPr="001570EA">
              <w:rPr>
                <w:rFonts w:cs="Arial"/>
                <w:sz w:val="18"/>
                <w:szCs w:val="18"/>
              </w:rPr>
              <w:t>(0.0000280)</w:t>
            </w:r>
          </w:p>
        </w:tc>
        <w:tc>
          <w:tcPr>
            <w:tcW w:w="1559" w:type="dxa"/>
            <w:vAlign w:val="center"/>
          </w:tcPr>
          <w:p w14:paraId="17D31A0F" w14:textId="77777777" w:rsidR="00FC50E1" w:rsidRPr="001570EA" w:rsidRDefault="00FC50E1">
            <w:pPr>
              <w:jc w:val="center"/>
              <w:rPr>
                <w:rFonts w:cs="Arial"/>
                <w:sz w:val="18"/>
                <w:szCs w:val="18"/>
              </w:rPr>
            </w:pPr>
            <w:r w:rsidRPr="001570EA">
              <w:rPr>
                <w:rFonts w:cs="Arial"/>
                <w:sz w:val="18"/>
                <w:szCs w:val="18"/>
              </w:rPr>
              <w:t>(0.0000545)</w:t>
            </w:r>
          </w:p>
        </w:tc>
        <w:tc>
          <w:tcPr>
            <w:tcW w:w="1559" w:type="dxa"/>
            <w:vAlign w:val="center"/>
          </w:tcPr>
          <w:p w14:paraId="189B6813" w14:textId="77777777" w:rsidR="00FC50E1" w:rsidRPr="001570EA" w:rsidRDefault="00FC50E1">
            <w:pPr>
              <w:jc w:val="center"/>
              <w:rPr>
                <w:rFonts w:cs="Arial"/>
                <w:sz w:val="18"/>
                <w:szCs w:val="18"/>
              </w:rPr>
            </w:pPr>
            <w:r w:rsidRPr="001570EA">
              <w:rPr>
                <w:rFonts w:cs="Arial"/>
                <w:sz w:val="18"/>
                <w:szCs w:val="18"/>
              </w:rPr>
              <w:t>(0.0000069)</w:t>
            </w:r>
          </w:p>
        </w:tc>
      </w:tr>
      <w:tr w:rsidR="00FC50E1" w:rsidRPr="001570EA" w14:paraId="4D8FE8FC" w14:textId="77777777">
        <w:trPr>
          <w:trHeight w:val="360"/>
        </w:trPr>
        <w:tc>
          <w:tcPr>
            <w:tcW w:w="1008" w:type="dxa"/>
            <w:vAlign w:val="center"/>
          </w:tcPr>
          <w:p w14:paraId="66BA235D" w14:textId="77777777" w:rsidR="00FC50E1" w:rsidRPr="001570EA" w:rsidRDefault="00FC50E1">
            <w:pPr>
              <w:jc w:val="center"/>
              <w:rPr>
                <w:rFonts w:cs="Arial"/>
                <w:sz w:val="18"/>
                <w:szCs w:val="18"/>
              </w:rPr>
            </w:pPr>
            <w:r w:rsidRPr="001570EA">
              <w:rPr>
                <w:rFonts w:cs="Arial"/>
                <w:sz w:val="18"/>
                <w:szCs w:val="18"/>
              </w:rPr>
              <w:t>B</w:t>
            </w:r>
          </w:p>
        </w:tc>
        <w:tc>
          <w:tcPr>
            <w:tcW w:w="1296" w:type="dxa"/>
            <w:vAlign w:val="center"/>
          </w:tcPr>
          <w:p w14:paraId="0DEB84C0" w14:textId="77777777" w:rsidR="00FC50E1" w:rsidRPr="001570EA" w:rsidRDefault="00FC50E1">
            <w:pPr>
              <w:jc w:val="left"/>
              <w:rPr>
                <w:rFonts w:cs="Arial"/>
                <w:sz w:val="18"/>
                <w:szCs w:val="18"/>
              </w:rPr>
            </w:pPr>
            <w:r w:rsidRPr="001570EA">
              <w:rPr>
                <w:rFonts w:cs="Arial"/>
                <w:sz w:val="18"/>
                <w:szCs w:val="18"/>
              </w:rPr>
              <w:t>Scranton</w:t>
            </w:r>
          </w:p>
        </w:tc>
        <w:tc>
          <w:tcPr>
            <w:tcW w:w="1558" w:type="dxa"/>
            <w:vAlign w:val="center"/>
          </w:tcPr>
          <w:p w14:paraId="1F5064B0" w14:textId="77777777" w:rsidR="00FC50E1" w:rsidRPr="001570EA" w:rsidRDefault="00FC50E1">
            <w:pPr>
              <w:jc w:val="center"/>
              <w:rPr>
                <w:rFonts w:cs="Arial"/>
                <w:sz w:val="18"/>
                <w:szCs w:val="18"/>
              </w:rPr>
            </w:pPr>
            <w:r w:rsidRPr="001570EA">
              <w:rPr>
                <w:rFonts w:cs="Arial"/>
                <w:sz w:val="18"/>
                <w:szCs w:val="18"/>
              </w:rPr>
              <w:t>(0.0000138)</w:t>
            </w:r>
          </w:p>
        </w:tc>
        <w:tc>
          <w:tcPr>
            <w:tcW w:w="1558" w:type="dxa"/>
            <w:vAlign w:val="center"/>
          </w:tcPr>
          <w:p w14:paraId="6A336A7C" w14:textId="77777777" w:rsidR="00FC50E1" w:rsidRPr="001570EA" w:rsidRDefault="00FC50E1">
            <w:pPr>
              <w:jc w:val="center"/>
              <w:rPr>
                <w:rFonts w:cs="Arial"/>
                <w:sz w:val="18"/>
                <w:szCs w:val="18"/>
              </w:rPr>
            </w:pPr>
            <w:r w:rsidRPr="001570EA">
              <w:rPr>
                <w:rFonts w:cs="Arial"/>
                <w:sz w:val="18"/>
                <w:szCs w:val="18"/>
              </w:rPr>
              <w:t>(0.0000532)</w:t>
            </w:r>
          </w:p>
        </w:tc>
        <w:tc>
          <w:tcPr>
            <w:tcW w:w="1559" w:type="dxa"/>
            <w:vAlign w:val="center"/>
          </w:tcPr>
          <w:p w14:paraId="5188F9E0" w14:textId="77777777" w:rsidR="00FC50E1" w:rsidRPr="001570EA" w:rsidRDefault="00FC50E1">
            <w:pPr>
              <w:jc w:val="center"/>
              <w:rPr>
                <w:rFonts w:cs="Arial"/>
                <w:sz w:val="18"/>
                <w:szCs w:val="18"/>
              </w:rPr>
            </w:pPr>
            <w:r w:rsidRPr="001570EA">
              <w:rPr>
                <w:rFonts w:cs="Arial"/>
                <w:sz w:val="18"/>
                <w:szCs w:val="18"/>
              </w:rPr>
              <w:t>(0.0000916)</w:t>
            </w:r>
          </w:p>
        </w:tc>
        <w:tc>
          <w:tcPr>
            <w:tcW w:w="1559" w:type="dxa"/>
            <w:vAlign w:val="center"/>
          </w:tcPr>
          <w:p w14:paraId="0EE6F69F" w14:textId="77777777" w:rsidR="00FC50E1" w:rsidRPr="001570EA" w:rsidRDefault="00FC50E1">
            <w:pPr>
              <w:jc w:val="center"/>
              <w:rPr>
                <w:rFonts w:cs="Arial"/>
                <w:sz w:val="18"/>
                <w:szCs w:val="18"/>
              </w:rPr>
            </w:pPr>
            <w:r w:rsidRPr="001570EA">
              <w:rPr>
                <w:rFonts w:cs="Arial"/>
                <w:sz w:val="18"/>
                <w:szCs w:val="18"/>
              </w:rPr>
              <w:t>(0.0000293)</w:t>
            </w:r>
          </w:p>
        </w:tc>
      </w:tr>
      <w:tr w:rsidR="00FC50E1" w:rsidRPr="001570EA" w14:paraId="2B0B9491" w14:textId="77777777">
        <w:trPr>
          <w:trHeight w:val="360"/>
        </w:trPr>
        <w:tc>
          <w:tcPr>
            <w:tcW w:w="1008" w:type="dxa"/>
            <w:vAlign w:val="center"/>
          </w:tcPr>
          <w:p w14:paraId="24E9E05E" w14:textId="77777777" w:rsidR="00FC50E1" w:rsidRPr="001570EA" w:rsidRDefault="00FC50E1">
            <w:pPr>
              <w:jc w:val="center"/>
              <w:rPr>
                <w:rFonts w:cs="Arial"/>
                <w:sz w:val="18"/>
                <w:szCs w:val="18"/>
              </w:rPr>
            </w:pPr>
            <w:r w:rsidRPr="001570EA">
              <w:rPr>
                <w:rFonts w:cs="Arial"/>
                <w:sz w:val="18"/>
                <w:szCs w:val="18"/>
              </w:rPr>
              <w:t>F</w:t>
            </w:r>
          </w:p>
        </w:tc>
        <w:tc>
          <w:tcPr>
            <w:tcW w:w="1296" w:type="dxa"/>
            <w:vAlign w:val="center"/>
          </w:tcPr>
          <w:p w14:paraId="3B51414D" w14:textId="77777777" w:rsidR="00FC50E1" w:rsidRPr="001570EA" w:rsidRDefault="00FC50E1">
            <w:pPr>
              <w:jc w:val="left"/>
              <w:rPr>
                <w:rFonts w:cs="Arial"/>
                <w:sz w:val="18"/>
                <w:szCs w:val="18"/>
              </w:rPr>
            </w:pPr>
            <w:r w:rsidRPr="001570EA">
              <w:rPr>
                <w:rFonts w:cs="Arial"/>
                <w:sz w:val="18"/>
                <w:szCs w:val="18"/>
              </w:rPr>
              <w:t>Williamsport</w:t>
            </w:r>
          </w:p>
        </w:tc>
        <w:tc>
          <w:tcPr>
            <w:tcW w:w="1558" w:type="dxa"/>
            <w:vAlign w:val="center"/>
          </w:tcPr>
          <w:p w14:paraId="374307EE" w14:textId="77777777" w:rsidR="00FC50E1" w:rsidRPr="001570EA" w:rsidRDefault="00FC50E1">
            <w:pPr>
              <w:jc w:val="center"/>
              <w:rPr>
                <w:rFonts w:cs="Arial"/>
                <w:sz w:val="18"/>
                <w:szCs w:val="18"/>
              </w:rPr>
            </w:pPr>
            <w:r w:rsidRPr="001570EA">
              <w:rPr>
                <w:rFonts w:cs="Arial"/>
                <w:sz w:val="18"/>
                <w:szCs w:val="18"/>
              </w:rPr>
              <w:t>(0.0000157)</w:t>
            </w:r>
          </w:p>
        </w:tc>
        <w:tc>
          <w:tcPr>
            <w:tcW w:w="1558" w:type="dxa"/>
            <w:vAlign w:val="center"/>
          </w:tcPr>
          <w:p w14:paraId="219410F3" w14:textId="77777777" w:rsidR="00FC50E1" w:rsidRPr="001570EA" w:rsidRDefault="00FC50E1">
            <w:pPr>
              <w:jc w:val="center"/>
              <w:rPr>
                <w:rFonts w:cs="Arial"/>
                <w:sz w:val="18"/>
                <w:szCs w:val="18"/>
              </w:rPr>
            </w:pPr>
            <w:r w:rsidRPr="001570EA">
              <w:rPr>
                <w:rFonts w:cs="Arial"/>
                <w:sz w:val="18"/>
                <w:szCs w:val="18"/>
              </w:rPr>
              <w:t>(0.0000479)</w:t>
            </w:r>
          </w:p>
        </w:tc>
        <w:tc>
          <w:tcPr>
            <w:tcW w:w="1559" w:type="dxa"/>
            <w:vAlign w:val="center"/>
          </w:tcPr>
          <w:p w14:paraId="485B0BCD" w14:textId="77777777" w:rsidR="00FC50E1" w:rsidRPr="001570EA" w:rsidRDefault="00FC50E1">
            <w:pPr>
              <w:jc w:val="center"/>
              <w:rPr>
                <w:rFonts w:cs="Arial"/>
                <w:sz w:val="18"/>
                <w:szCs w:val="18"/>
              </w:rPr>
            </w:pPr>
            <w:r w:rsidRPr="001570EA">
              <w:rPr>
                <w:rFonts w:cs="Arial"/>
                <w:sz w:val="18"/>
                <w:szCs w:val="18"/>
              </w:rPr>
              <w:t>(0.0000838)</w:t>
            </w:r>
          </w:p>
        </w:tc>
        <w:tc>
          <w:tcPr>
            <w:tcW w:w="1559" w:type="dxa"/>
            <w:vAlign w:val="center"/>
          </w:tcPr>
          <w:p w14:paraId="67E082EC" w14:textId="77777777" w:rsidR="00FC50E1" w:rsidRPr="001570EA" w:rsidRDefault="00FC50E1">
            <w:pPr>
              <w:jc w:val="center"/>
              <w:rPr>
                <w:rFonts w:cs="Arial"/>
                <w:sz w:val="18"/>
                <w:szCs w:val="18"/>
              </w:rPr>
            </w:pPr>
            <w:r w:rsidRPr="001570EA">
              <w:rPr>
                <w:rFonts w:cs="Arial"/>
                <w:sz w:val="18"/>
                <w:szCs w:val="18"/>
              </w:rPr>
              <w:t>(0.0000212)</w:t>
            </w:r>
          </w:p>
        </w:tc>
      </w:tr>
    </w:tbl>
    <w:p w14:paraId="764F49AD" w14:textId="77777777" w:rsidR="00FC50E1" w:rsidRPr="001570EA" w:rsidRDefault="00FC50E1" w:rsidP="00FC50E1">
      <w:pPr>
        <w:pStyle w:val="Equation"/>
        <w:tabs>
          <w:tab w:val="clear" w:pos="720"/>
          <w:tab w:val="clear" w:pos="2880"/>
          <w:tab w:val="left" w:pos="2160"/>
        </w:tabs>
      </w:pPr>
    </w:p>
    <w:p w14:paraId="5ACA6B3B" w14:textId="77777777" w:rsidR="00FC50E1" w:rsidRPr="001570EA" w:rsidRDefault="00FC50E1" w:rsidP="00FC50E1">
      <w:pPr>
        <w:pStyle w:val="SubStyle"/>
        <w:rPr>
          <w:rFonts w:eastAsia="Calibri"/>
        </w:rPr>
      </w:pPr>
      <w:r w:rsidRPr="001570EA">
        <w:rPr>
          <w:rFonts w:eastAsia="Calibri"/>
        </w:rPr>
        <w:t>Evaluation Protocols</w:t>
      </w:r>
    </w:p>
    <w:p w14:paraId="22809A2A" w14:textId="77777777" w:rsidR="00FC50E1" w:rsidRPr="001570EA" w:rsidRDefault="00FC50E1" w:rsidP="00FC50E1">
      <w:pPr>
        <w:pStyle w:val="BodyText"/>
        <w:ind w:right="0"/>
      </w:pPr>
      <w:r w:rsidRPr="001570EA">
        <w:t>For most projects, the appropriate evaluation protocol is to verify system specifications (array size, azimuth, tilt, etc.) through document or on-site review and ensure PV Watts</w:t>
      </w:r>
      <w:r w:rsidRPr="001570EA">
        <w:rPr>
          <w:vertAlign w:val="superscript"/>
        </w:rPr>
        <w:t>®</w:t>
      </w:r>
      <w:r w:rsidRPr="001570EA">
        <w:t xml:space="preserve"> model inputs align with the design parameters used for system generation estimates.</w:t>
      </w:r>
    </w:p>
    <w:p w14:paraId="3AA70E08" w14:textId="77777777" w:rsidR="00FC50E1" w:rsidRPr="001570EA" w:rsidRDefault="00FC50E1" w:rsidP="00FC50E1">
      <w:pPr>
        <w:pStyle w:val="BodyText"/>
        <w:ind w:right="0"/>
      </w:pPr>
    </w:p>
    <w:p w14:paraId="35D21B67" w14:textId="77777777" w:rsidR="00FC50E1" w:rsidRPr="001570EA" w:rsidRDefault="00FC50E1" w:rsidP="00FC50E1">
      <w:pPr>
        <w:pStyle w:val="SubStyle"/>
      </w:pPr>
      <w:r w:rsidRPr="001570EA">
        <w:t>Sources</w:t>
      </w:r>
    </w:p>
    <w:p w14:paraId="587217BB" w14:textId="73011EB7" w:rsidR="00FC50E1" w:rsidRPr="001570EA" w:rsidRDefault="00FC50E1" w:rsidP="00FC50E1">
      <w:pPr>
        <w:pStyle w:val="source10"/>
        <w:numPr>
          <w:ilvl w:val="0"/>
          <w:numId w:val="16"/>
        </w:numPr>
        <w:spacing w:after="120"/>
        <w:ind w:left="360"/>
        <w:jc w:val="left"/>
        <w:rPr>
          <w:rStyle w:val="Hyperlink"/>
          <w:rFonts w:eastAsia="Calibri" w:cs="Arial"/>
          <w:color w:val="auto"/>
          <w:u w:val="none"/>
        </w:rPr>
      </w:pPr>
      <w:r w:rsidRPr="001570EA">
        <w:rPr>
          <w:rFonts w:eastAsia="Calibri"/>
        </w:rPr>
        <w:t xml:space="preserve">Wisler, R. Bolinger, M. Seel, J. (2020, June). “Benchmarking Utility-Scale PV Operational Expenses and Project Lifetimes: Results from a Survey of U.S. Solar Industry Professionals”. Current EUL assumptions are 25-35 years with an average of 32.5 years. Act 129 caps lifetime at 15 years. </w:t>
      </w:r>
      <w:hyperlink r:id="rId422" w:history="1">
        <w:r w:rsidRPr="001570EA">
          <w:rPr>
            <w:rStyle w:val="Hyperlink"/>
            <w:rFonts w:eastAsia="Calibri" w:cs="Arial"/>
          </w:rPr>
          <w:t>Weblink</w:t>
        </w:r>
      </w:hyperlink>
    </w:p>
    <w:p w14:paraId="2C054E8E" w14:textId="76C5B945" w:rsidR="00FC50E1" w:rsidRPr="001570EA" w:rsidRDefault="00FC50E1" w:rsidP="00FC50E1">
      <w:pPr>
        <w:pStyle w:val="source10"/>
        <w:numPr>
          <w:ilvl w:val="0"/>
          <w:numId w:val="16"/>
        </w:numPr>
        <w:spacing w:after="120"/>
        <w:ind w:left="360"/>
        <w:jc w:val="left"/>
        <w:rPr>
          <w:rFonts w:eastAsia="Calibri"/>
        </w:rPr>
      </w:pPr>
      <w:r w:rsidRPr="001570EA">
        <w:rPr>
          <w:rFonts w:eastAsia="Calibri"/>
        </w:rPr>
        <w:t xml:space="preserve">52 Pa. Code § 75.14.(e). </w:t>
      </w:r>
      <w:hyperlink r:id="rId423" w:history="1">
        <w:r w:rsidRPr="001570EA">
          <w:rPr>
            <w:rStyle w:val="Hyperlink"/>
            <w:rFonts w:eastAsia="Calibri" w:cs="Arial"/>
          </w:rPr>
          <w:t>Weblink</w:t>
        </w:r>
      </w:hyperlink>
    </w:p>
    <w:p w14:paraId="62A36D75" w14:textId="2B7FE28B" w:rsidR="00FC50E1" w:rsidRPr="001570EA" w:rsidRDefault="00FC50E1" w:rsidP="00FC50E1">
      <w:pPr>
        <w:pStyle w:val="source10"/>
        <w:numPr>
          <w:ilvl w:val="0"/>
          <w:numId w:val="16"/>
        </w:numPr>
        <w:spacing w:after="120"/>
        <w:ind w:left="360"/>
        <w:jc w:val="left"/>
        <w:rPr>
          <w:rStyle w:val="Hyperlink"/>
          <w:rFonts w:eastAsia="Calibri" w:cs="Arial"/>
          <w:color w:val="auto"/>
          <w:u w:val="none"/>
        </w:rPr>
      </w:pPr>
      <w:r w:rsidRPr="001570EA">
        <w:t>PV Watts</w:t>
      </w:r>
      <w:r w:rsidRPr="001570EA">
        <w:rPr>
          <w:vertAlign w:val="superscript"/>
        </w:rPr>
        <w:t>®</w:t>
      </w:r>
      <w:r w:rsidRPr="001570EA">
        <w:t xml:space="preserve"> Calculator. National Renewable Energy Lab (NREL). </w:t>
      </w:r>
      <w:hyperlink r:id="rId424" w:history="1">
        <w:r w:rsidRPr="001570EA">
          <w:rPr>
            <w:rStyle w:val="Hyperlink"/>
            <w:rFonts w:cs="Arial"/>
          </w:rPr>
          <w:t>Weblink</w:t>
        </w:r>
      </w:hyperlink>
    </w:p>
    <w:p w14:paraId="32AB1379" w14:textId="4D93CADF" w:rsidR="00FC50E1" w:rsidRPr="001570EA" w:rsidRDefault="00FC50E1" w:rsidP="00FC50E1">
      <w:pPr>
        <w:pStyle w:val="source10"/>
        <w:numPr>
          <w:ilvl w:val="0"/>
          <w:numId w:val="16"/>
        </w:numPr>
        <w:spacing w:after="120"/>
        <w:ind w:left="360"/>
        <w:jc w:val="left"/>
        <w:rPr>
          <w:rStyle w:val="Hyperlink"/>
          <w:rFonts w:eastAsia="Calibri" w:cs="Arial"/>
          <w:color w:val="auto"/>
          <w:u w:val="none"/>
        </w:rPr>
      </w:pPr>
      <w:r w:rsidRPr="001570EA">
        <w:t>InClime for PA PUC. (2024, February).</w:t>
      </w:r>
      <w:r w:rsidRPr="001570EA">
        <w:rPr>
          <w:rStyle w:val="Hyperlink"/>
          <w:rFonts w:eastAsia="Calibri" w:cs="Arial"/>
          <w:color w:val="auto"/>
          <w:u w:val="none"/>
        </w:rPr>
        <w:t xml:space="preserve"> “Capacity Factor Analysis EY2014-EY2023”. Analysis of Pennsylvania Alternative Energy Portfolio Standards (AEPS) Program and additional losses needed to align PV Watts capacity factor output with AEPS Program DC capacity factor analysis.</w:t>
      </w:r>
    </w:p>
    <w:p w14:paraId="6816C6FF" w14:textId="77777777" w:rsidR="00FC50E1" w:rsidRPr="001570EA" w:rsidRDefault="00FC50E1" w:rsidP="00FC50E1">
      <w:pPr>
        <w:pStyle w:val="source10"/>
        <w:numPr>
          <w:ilvl w:val="0"/>
          <w:numId w:val="16"/>
        </w:numPr>
        <w:spacing w:after="120"/>
        <w:ind w:left="360"/>
        <w:jc w:val="left"/>
      </w:pPr>
      <w:r w:rsidRPr="001570EA">
        <w:t>Calculated through the ratio of PV Array total summer peak demand savings (aligned with PA Ph V peak demand definitions) and the annual electric generation for a given array azimuth installed at 20° tilt. Incremental ETDF</w:t>
      </w:r>
      <w:r w:rsidRPr="001570EA">
        <w:rPr>
          <w:vertAlign w:val="subscript"/>
        </w:rPr>
        <w:t>summer</w:t>
      </w:r>
      <w:r w:rsidRPr="001570EA">
        <w:t xml:space="preserve"> calculated assuming linear changes between two ordinal values.</w:t>
      </w:r>
    </w:p>
    <w:p w14:paraId="4CDD0DC3" w14:textId="77777777" w:rsidR="00FC50E1" w:rsidRPr="001570EA" w:rsidRDefault="00FC50E1" w:rsidP="00FC50E1">
      <w:pPr>
        <w:pStyle w:val="source10"/>
        <w:numPr>
          <w:ilvl w:val="0"/>
          <w:numId w:val="16"/>
        </w:numPr>
        <w:spacing w:after="120"/>
        <w:ind w:left="360"/>
        <w:jc w:val="left"/>
        <w:rPr>
          <w:rStyle w:val="Hyperlink"/>
          <w:rFonts w:cs="Arial"/>
          <w:color w:val="auto"/>
          <w:u w:val="none"/>
        </w:rPr>
      </w:pPr>
      <w:r w:rsidRPr="001570EA">
        <w:t>Calculated through the ratio of PV Array total winter peak demand savings (aligned with PA Ph V peak demand definitions) and the annual electric generation for a given array azimuth installed at 20° tilt. Incremental ETDF</w:t>
      </w:r>
      <w:r w:rsidRPr="001570EA">
        <w:rPr>
          <w:vertAlign w:val="subscript"/>
        </w:rPr>
        <w:t>winter</w:t>
      </w:r>
      <w:r w:rsidRPr="001570EA">
        <w:t xml:space="preserve"> calculated assuming linear changes between two ordinal values.</w:t>
      </w:r>
    </w:p>
    <w:p w14:paraId="1394CF95" w14:textId="77777777" w:rsidR="00564FC3" w:rsidRPr="001570EA" w:rsidRDefault="00564FC3" w:rsidP="00E44576">
      <w:pPr>
        <w:pStyle w:val="source10"/>
        <w:spacing w:after="120"/>
        <w:jc w:val="left"/>
      </w:pPr>
    </w:p>
    <w:p w14:paraId="6DEF480C" w14:textId="77777777" w:rsidR="00E44576" w:rsidRPr="001570EA" w:rsidRDefault="00E44576" w:rsidP="00E44576">
      <w:pPr>
        <w:pStyle w:val="source10"/>
        <w:spacing w:after="120"/>
        <w:jc w:val="left"/>
        <w:sectPr w:rsidR="00E44576" w:rsidRPr="001570EA" w:rsidSect="002D556C">
          <w:footerReference w:type="default" r:id="rId425"/>
          <w:pgSz w:w="12240" w:h="15840"/>
          <w:pgMar w:top="1440" w:right="1800" w:bottom="1440" w:left="1800" w:header="720" w:footer="720" w:gutter="0"/>
          <w:cols w:space="720"/>
          <w:docGrid w:linePitch="360"/>
        </w:sectPr>
      </w:pPr>
    </w:p>
    <w:p w14:paraId="680A7696" w14:textId="77777777" w:rsidR="008873B6" w:rsidRPr="001570EA" w:rsidRDefault="008873B6" w:rsidP="008873B6">
      <w:pPr>
        <w:pStyle w:val="Heading2"/>
      </w:pPr>
      <w:bookmarkStart w:id="1284" w:name="_Ref413835105"/>
      <w:bookmarkStart w:id="1285" w:name="_Toc48143068"/>
      <w:bookmarkStart w:id="1286" w:name="_Toc164786690"/>
      <w:r w:rsidRPr="001570EA">
        <w:t>Demand Response</w:t>
      </w:r>
      <w:bookmarkEnd w:id="1284"/>
      <w:bookmarkEnd w:id="1285"/>
      <w:bookmarkEnd w:id="1286"/>
    </w:p>
    <w:p w14:paraId="74744DE7" w14:textId="77777777" w:rsidR="008873B6" w:rsidRPr="001570EA" w:rsidRDefault="008873B6" w:rsidP="008873B6">
      <w:r w:rsidRPr="001570EA">
        <w:t>The primary focus of this section of the TRM is to provide technical guidance for estimating the load impacts of demand response programs. The methods discussed are aimed at providing accurate estimates of the true load impacts at the program level. EDCs and CSPs may use alternate methods for quarterly reporting of ex ante impacts or to calculate financial settlements with participating customers, but the methods detailed in the TRM should be used to verify achievement of Phase V demand reduction targets. In some instances, the analysis may be carried out at the individual customer level, however, the outcome of interest is the aggregate load reduction (MW) that is caused by the program.</w:t>
      </w:r>
    </w:p>
    <w:p w14:paraId="2CDD88F6" w14:textId="77777777" w:rsidR="008873B6" w:rsidRPr="001570EA" w:rsidRDefault="008873B6" w:rsidP="008873B6"/>
    <w:p w14:paraId="49DC0A87" w14:textId="77777777" w:rsidR="008873B6" w:rsidRPr="001570EA" w:rsidRDefault="008873B6" w:rsidP="00C64DB8">
      <w:pPr>
        <w:pStyle w:val="Heading3"/>
      </w:pPr>
      <w:bookmarkStart w:id="1287" w:name="_Ref414019299"/>
      <w:bookmarkStart w:id="1288" w:name="_Toc48143069"/>
      <w:bookmarkStart w:id="1289" w:name="_Toc164786691"/>
      <w:r w:rsidRPr="001570EA">
        <w:t>Direct Load Control and Behavior-Based Demand Response Programs</w:t>
      </w:r>
      <w:bookmarkEnd w:id="1287"/>
      <w:bookmarkEnd w:id="1288"/>
      <w:bookmarkEnd w:id="12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4970"/>
      </w:tblGrid>
      <w:tr w:rsidR="008873B6" w:rsidRPr="001570EA" w14:paraId="6643C7AB" w14:textId="77777777">
        <w:tc>
          <w:tcPr>
            <w:tcW w:w="3552" w:type="dxa"/>
            <w:shd w:val="clear" w:color="auto" w:fill="auto"/>
          </w:tcPr>
          <w:p w14:paraId="198CA99F" w14:textId="77777777" w:rsidR="008873B6" w:rsidRPr="001570EA" w:rsidRDefault="008873B6">
            <w:pPr>
              <w:keepNext/>
              <w:tabs>
                <w:tab w:val="left" w:pos="720"/>
              </w:tabs>
              <w:spacing w:before="120" w:after="120"/>
              <w:rPr>
                <w:b/>
              </w:rPr>
            </w:pPr>
            <w:r w:rsidRPr="001570EA">
              <w:rPr>
                <w:b/>
                <w:sz w:val="18"/>
              </w:rPr>
              <w:t>Target Sector</w:t>
            </w:r>
          </w:p>
        </w:tc>
        <w:tc>
          <w:tcPr>
            <w:tcW w:w="4970" w:type="dxa"/>
            <w:shd w:val="clear" w:color="auto" w:fill="auto"/>
          </w:tcPr>
          <w:p w14:paraId="445404AA" w14:textId="3479FFAA" w:rsidR="008873B6" w:rsidRPr="001570EA" w:rsidRDefault="008873B6">
            <w:pPr>
              <w:keepNext/>
              <w:tabs>
                <w:tab w:val="left" w:pos="720"/>
              </w:tabs>
              <w:spacing w:before="120" w:after="120"/>
              <w:jc w:val="center"/>
              <w:rPr>
                <w:rFonts w:eastAsia="Arial Unicode MS" w:cs="Arial"/>
                <w:i/>
                <w:iCs/>
              </w:rPr>
            </w:pPr>
            <w:r w:rsidRPr="001570EA">
              <w:rPr>
                <w:sz w:val="18"/>
              </w:rPr>
              <w:t>Residential</w:t>
            </w:r>
          </w:p>
        </w:tc>
      </w:tr>
      <w:tr w:rsidR="008873B6" w:rsidRPr="001570EA" w14:paraId="7BD6F9CA" w14:textId="77777777">
        <w:tc>
          <w:tcPr>
            <w:tcW w:w="3552" w:type="dxa"/>
            <w:shd w:val="clear" w:color="auto" w:fill="auto"/>
          </w:tcPr>
          <w:p w14:paraId="514FEA20" w14:textId="77777777" w:rsidR="008873B6" w:rsidRPr="001570EA" w:rsidRDefault="008873B6">
            <w:pPr>
              <w:keepNext/>
              <w:tabs>
                <w:tab w:val="left" w:pos="720"/>
              </w:tabs>
              <w:spacing w:before="120" w:after="120"/>
              <w:rPr>
                <w:b/>
              </w:rPr>
            </w:pPr>
            <w:r w:rsidRPr="001570EA">
              <w:rPr>
                <w:b/>
                <w:sz w:val="18"/>
              </w:rPr>
              <w:t>Measure Unit</w:t>
            </w:r>
          </w:p>
        </w:tc>
        <w:tc>
          <w:tcPr>
            <w:tcW w:w="4970" w:type="dxa"/>
            <w:shd w:val="clear" w:color="auto" w:fill="auto"/>
          </w:tcPr>
          <w:p w14:paraId="01D5A2E6" w14:textId="77777777" w:rsidR="008873B6" w:rsidRPr="001570EA" w:rsidRDefault="008873B6">
            <w:pPr>
              <w:keepNext/>
              <w:tabs>
                <w:tab w:val="left" w:pos="720"/>
              </w:tabs>
              <w:spacing w:before="120" w:after="120"/>
              <w:jc w:val="center"/>
              <w:rPr>
                <w:rFonts w:eastAsia="Arial Unicode MS" w:cs="Arial"/>
                <w:i/>
                <w:iCs/>
              </w:rPr>
            </w:pPr>
            <w:r w:rsidRPr="001570EA">
              <w:rPr>
                <w:sz w:val="18"/>
              </w:rPr>
              <w:t>N/A</w:t>
            </w:r>
          </w:p>
        </w:tc>
      </w:tr>
      <w:tr w:rsidR="008873B6" w:rsidRPr="001570EA" w14:paraId="6D5EE2B4" w14:textId="77777777">
        <w:tc>
          <w:tcPr>
            <w:tcW w:w="3552" w:type="dxa"/>
            <w:shd w:val="clear" w:color="auto" w:fill="auto"/>
          </w:tcPr>
          <w:p w14:paraId="0139A8FC" w14:textId="77777777" w:rsidR="008873B6" w:rsidRPr="001570EA" w:rsidRDefault="008873B6">
            <w:pPr>
              <w:keepNext/>
              <w:tabs>
                <w:tab w:val="left" w:pos="720"/>
              </w:tabs>
              <w:spacing w:before="120" w:after="120"/>
              <w:rPr>
                <w:b/>
              </w:rPr>
            </w:pPr>
            <w:r w:rsidRPr="001570EA">
              <w:rPr>
                <w:b/>
                <w:sz w:val="18"/>
              </w:rPr>
              <w:t>Measure Life</w:t>
            </w:r>
          </w:p>
        </w:tc>
        <w:tc>
          <w:tcPr>
            <w:tcW w:w="4970" w:type="dxa"/>
            <w:shd w:val="clear" w:color="auto" w:fill="auto"/>
          </w:tcPr>
          <w:p w14:paraId="1C1473A3" w14:textId="77777777" w:rsidR="008873B6" w:rsidRPr="001570EA" w:rsidRDefault="008873B6">
            <w:pPr>
              <w:keepNext/>
              <w:tabs>
                <w:tab w:val="left" w:pos="720"/>
              </w:tabs>
              <w:spacing w:before="120" w:after="120"/>
              <w:jc w:val="center"/>
              <w:rPr>
                <w:sz w:val="18"/>
              </w:rPr>
            </w:pPr>
            <w:r w:rsidRPr="001570EA">
              <w:rPr>
                <w:sz w:val="18"/>
              </w:rPr>
              <w:t>Direct Load Control: 11 years</w:t>
            </w:r>
          </w:p>
          <w:p w14:paraId="57A4EE82" w14:textId="77777777" w:rsidR="008873B6" w:rsidRPr="001570EA" w:rsidRDefault="008873B6">
            <w:pPr>
              <w:keepNext/>
              <w:tabs>
                <w:tab w:val="left" w:pos="720"/>
              </w:tabs>
              <w:spacing w:before="120" w:after="120"/>
              <w:jc w:val="center"/>
              <w:rPr>
                <w:rFonts w:eastAsia="Arial Unicode MS" w:cs="Arial"/>
                <w:i/>
                <w:iCs/>
              </w:rPr>
            </w:pPr>
            <w:r w:rsidRPr="001570EA">
              <w:rPr>
                <w:sz w:val="18"/>
              </w:rPr>
              <w:t>Behavioral DR: 1 year</w:t>
            </w:r>
          </w:p>
        </w:tc>
      </w:tr>
      <w:tr w:rsidR="008873B6" w:rsidRPr="001570EA" w14:paraId="3A5F87ED" w14:textId="77777777">
        <w:trPr>
          <w:trHeight w:val="503"/>
        </w:trPr>
        <w:tc>
          <w:tcPr>
            <w:tcW w:w="3552" w:type="dxa"/>
            <w:shd w:val="clear" w:color="auto" w:fill="auto"/>
          </w:tcPr>
          <w:p w14:paraId="6C2C0415" w14:textId="77777777" w:rsidR="008873B6" w:rsidRPr="001570EA" w:rsidRDefault="008873B6">
            <w:pPr>
              <w:keepNext/>
              <w:tabs>
                <w:tab w:val="left" w:pos="720"/>
              </w:tabs>
              <w:spacing w:before="120" w:after="120"/>
              <w:rPr>
                <w:b/>
                <w:sz w:val="18"/>
              </w:rPr>
            </w:pPr>
            <w:r w:rsidRPr="001570EA">
              <w:rPr>
                <w:b/>
                <w:sz w:val="18"/>
              </w:rPr>
              <w:t>Measure Vintage</w:t>
            </w:r>
          </w:p>
        </w:tc>
        <w:tc>
          <w:tcPr>
            <w:tcW w:w="4970" w:type="dxa"/>
            <w:shd w:val="clear" w:color="auto" w:fill="auto"/>
          </w:tcPr>
          <w:p w14:paraId="6FA57AA9" w14:textId="77777777" w:rsidR="008873B6" w:rsidRPr="001570EA" w:rsidRDefault="008873B6">
            <w:pPr>
              <w:keepNext/>
              <w:tabs>
                <w:tab w:val="left" w:pos="720"/>
              </w:tabs>
              <w:spacing w:before="120" w:after="120"/>
              <w:jc w:val="center"/>
              <w:rPr>
                <w:sz w:val="18"/>
              </w:rPr>
            </w:pPr>
            <w:r w:rsidRPr="001570EA">
              <w:rPr>
                <w:sz w:val="18"/>
              </w:rPr>
              <w:t>N/A</w:t>
            </w:r>
          </w:p>
        </w:tc>
      </w:tr>
    </w:tbl>
    <w:p w14:paraId="7DEE638A" w14:textId="77777777" w:rsidR="008873B6" w:rsidRPr="001570EA" w:rsidRDefault="008873B6" w:rsidP="008873B6"/>
    <w:p w14:paraId="3D6D9A2C" w14:textId="77777777" w:rsidR="008873B6" w:rsidRPr="001570EA" w:rsidRDefault="008873B6" w:rsidP="008873B6">
      <w:r w:rsidRPr="001570EA">
        <w:t xml:space="preserve">The protocols for Act 129 covering Direct Load Control (DLC) and Behavior-Based demand response programs are intended to give guidance to the EDCs when dispatching and evaluating the load impacts of an event over the course of Phase V. In these programs, residential and small commercial customers either allow EDCs to remotely reduce equipment run time during peak hours (DLC programs) or reduce their loads voluntarily in response to a combination of incentive payments, messaging and/or other behavioral stimuli. </w:t>
      </w:r>
    </w:p>
    <w:p w14:paraId="30C05956" w14:textId="77777777" w:rsidR="008873B6" w:rsidRPr="001570EA" w:rsidRDefault="008873B6" w:rsidP="008873B6"/>
    <w:p w14:paraId="5E2FF96E" w14:textId="3DE5B94D" w:rsidR="008873B6" w:rsidRPr="001570EA" w:rsidRDefault="008873B6" w:rsidP="008873B6">
      <w:r w:rsidRPr="001570EA">
        <w:t xml:space="preserve">Behavior-based demand response programs have a goal of reducing electric load during peak load hours. Examples of behavior-based demand response programs include utility programs that request customers to reduce electric loads during peak load hours voluntarily, programs where customers are provided with real-time information on the cost of electricity and can then </w:t>
      </w:r>
      <w:r w:rsidR="00EF45AB" w:rsidRPr="001570EA">
        <w:t>act</w:t>
      </w:r>
      <w:r w:rsidRPr="001570EA">
        <w:t xml:space="preserve"> voluntarily to reduce electric loads during high-cost hours and other similar information programs. For purposes of the Pennsylvania TRM, behavior-based demand response programs do not include utility information programs that are based on consumer education or marketing and have a goal of reducing electricity use on a year-round basis, including non-peak load hours.</w:t>
      </w:r>
    </w:p>
    <w:p w14:paraId="7180CBD9" w14:textId="77777777" w:rsidR="008873B6" w:rsidRPr="001570EA" w:rsidRDefault="008873B6" w:rsidP="008873B6"/>
    <w:p w14:paraId="75192A55" w14:textId="77777777" w:rsidR="008873B6" w:rsidRPr="001570EA" w:rsidRDefault="008873B6" w:rsidP="008873B6">
      <w:r w:rsidRPr="001570EA">
        <w:t>For DLC programs, the participants may elect to receive incentive payments for allowing a signaled device to control or limit the power draw of certain HVAC, electric water heating, or swimming pool pump equipment at a participant’s home, contributing to the reduction of peak demand. For measurement purposes, peak demand reductions are defined as the difference between a customer’s actual (measured) electricity demand, and an estimate of the amount of electricity the customer would have demanded in the absence of the program incentive. The estimate of this counterfactual outcome is referred to as the reference load throughout this protocol.</w:t>
      </w:r>
    </w:p>
    <w:p w14:paraId="6179EB4C" w14:textId="77777777" w:rsidR="008873B6" w:rsidRPr="001570EA" w:rsidRDefault="008873B6" w:rsidP="008873B6"/>
    <w:p w14:paraId="1D44BC85" w14:textId="77777777" w:rsidR="008873B6" w:rsidRPr="001570EA" w:rsidRDefault="008873B6" w:rsidP="008873B6">
      <w:pPr>
        <w:spacing w:after="120"/>
        <w:rPr>
          <w:rFonts w:eastAsiaTheme="minorHAnsi" w:cstheme="minorBidi"/>
          <w:szCs w:val="22"/>
        </w:rPr>
      </w:pPr>
      <w:r w:rsidRPr="001570EA">
        <w:rPr>
          <w:rFonts w:eastAsiaTheme="minorHAnsi" w:cstheme="minorBidi"/>
          <w:szCs w:val="22"/>
        </w:rPr>
        <w:t xml:space="preserve">EDCs must use one of the evaluation approaches below when estimating peak period load reductions that result from DLC and behavior-based programs. The approaches are not equivalent in terms of their ability to produce accurate and robust results and are therefore listed in descending order of desirability. Because of these differences in performance, EDCs shall use Option 2 only under circumstances when Option 1 is infeasible and shall similarly use Option 3 only under circumstances where both Option 1 and Option 2 are infeasible. In situations where Option 1 and/or 2 are not utilized, justification(s) must be provided by the EDC. EDCs with interval meter data available should use it to estimate load impacts. </w:t>
      </w:r>
      <w:r w:rsidRPr="001570EA">
        <w:t>For DLC and behavior-based programs where advanced metering infrastructure (AMI) data is not available for all participants, estimates based on a sample of metered homes is permissible at the discretion of the SWE.</w:t>
      </w:r>
    </w:p>
    <w:p w14:paraId="71010218" w14:textId="77777777" w:rsidR="008873B6" w:rsidRPr="001570EA" w:rsidRDefault="008873B6" w:rsidP="00152CD6">
      <w:pPr>
        <w:numPr>
          <w:ilvl w:val="0"/>
          <w:numId w:val="74"/>
        </w:numPr>
        <w:spacing w:after="120"/>
      </w:pPr>
      <w:r w:rsidRPr="001570EA">
        <w:t xml:space="preserve">An analysis based on an experimental design that makes appropriate use of random assignment so that the reference load is estimated using a representative control group of program participants. The most common type of design satisfying this criterion is a randomized control trial (RCT), but other designs may also be used. The specific design used can be selected by the EDC evaluation contractor based on their professional experience. It is important to note that experimental approaches to evaluation generally require the ability to call events at the individual device level. An operations strategy must be determined ahead of time to ensure that an appropriate control group is available for the analysis.  </w:t>
      </w:r>
    </w:p>
    <w:p w14:paraId="4EBA535F" w14:textId="6C9BD1A4" w:rsidR="008873B6" w:rsidRPr="001570EA" w:rsidRDefault="008873B6" w:rsidP="00152CD6">
      <w:pPr>
        <w:numPr>
          <w:ilvl w:val="0"/>
          <w:numId w:val="74"/>
        </w:numPr>
        <w:spacing w:after="120"/>
      </w:pPr>
      <w:r w:rsidRPr="001570EA">
        <w:t xml:space="preserve">A comparison group analysis where the loads of a group of non-participating customers that are like participating homes with respect to observable characteristics (e.g. electricity consumption) are used to estimate the reference load. A variety of matching techniques are available, and the EDC evaluation contractor can choose the technique used to select the comparison group based on their professional judgment. If summer events are most likely to be called on hot days, hot non-event days should be used for statistical matching and very cool days should be excluded. Similarly, if winter events are most likely to be </w:t>
      </w:r>
      <w:r w:rsidR="003B6A18">
        <w:t>called</w:t>
      </w:r>
      <w:r w:rsidRPr="001570EA">
        <w:t xml:space="preserve"> on very cold days, cold non-event days should be used for matching and mild days should be excluded. A good match will result in the loads of treatment and comparison group being virtually identical on non-event days. Difference-in-differences estimators should be used in the analysis to control for any remaining non-event day differences after matching.</w:t>
      </w:r>
    </w:p>
    <w:p w14:paraId="5D1D38B4" w14:textId="77777777" w:rsidR="008873B6" w:rsidRPr="001570EA" w:rsidRDefault="008873B6" w:rsidP="00152CD6">
      <w:pPr>
        <w:numPr>
          <w:ilvl w:val="0"/>
          <w:numId w:val="74"/>
        </w:numPr>
        <w:spacing w:after="120"/>
      </w:pPr>
      <w:r w:rsidRPr="001570EA">
        <w:t xml:space="preserve">A ‘within-subjects’ analysis where the loads of participating customers on non-event days (Act 129 or PJM) are used to estimate the reference load. This can be accomplished via a regression equation that relates loads to temperature and other variables that influence usage. The regression model should be estimated using hot or cold days that would be similar to an event. Including mild days in the model can degrade accuracy because it puts more pressure on accurately modeling the relationship between weather and load across a broad temperature spectrum, which is hard because the relationship is not linear. Reducing the estimation sample to relevant days reduces that modeling challenge. </w:t>
      </w:r>
    </w:p>
    <w:p w14:paraId="45153F63" w14:textId="77777777" w:rsidR="008873B6" w:rsidRPr="001570EA" w:rsidRDefault="008873B6" w:rsidP="008873B6">
      <w:pPr>
        <w:spacing w:after="120"/>
      </w:pPr>
      <w:r w:rsidRPr="001570EA">
        <w:t>The weather conditions in place at the time of the event are always used to claim savings. Weather-normalized or extrapolation of impacts to other weather conditions is not permitted.</w:t>
      </w:r>
    </w:p>
    <w:p w14:paraId="5B2D8551" w14:textId="77777777" w:rsidR="008873B6" w:rsidRPr="001570EA" w:rsidRDefault="008873B6" w:rsidP="008873B6">
      <w:pPr>
        <w:pBdr>
          <w:bottom w:val="single" w:sz="4" w:space="1" w:color="auto"/>
        </w:pBdr>
        <w:spacing w:after="120"/>
        <w:rPr>
          <w:rFonts w:ascii="Arial Black" w:hAnsi="Arial Black"/>
          <w:b/>
          <w:smallCaps/>
          <w:color w:val="44546A" w:themeColor="text2"/>
          <w:spacing w:val="40"/>
        </w:rPr>
      </w:pPr>
      <w:r w:rsidRPr="001570EA">
        <w:rPr>
          <w:rFonts w:ascii="Arial Black" w:hAnsi="Arial Black"/>
          <w:b/>
          <w:smallCaps/>
          <w:color w:val="44546A" w:themeColor="text2"/>
          <w:spacing w:val="40"/>
        </w:rPr>
        <w:t>Eligibility</w:t>
      </w:r>
    </w:p>
    <w:p w14:paraId="7C6051C8" w14:textId="77777777" w:rsidR="008873B6" w:rsidRPr="001570EA" w:rsidRDefault="008873B6" w:rsidP="008873B6">
      <w:r w:rsidRPr="001570EA">
        <w:t xml:space="preserve">To be eligible for a direct load control program, a customer must have a signaled device used to control the operability of the equipment specified to be called upon during an event. All residential and small commercial customers are eligible to participate in the behavior-based program. </w:t>
      </w:r>
    </w:p>
    <w:p w14:paraId="162E724D" w14:textId="77777777" w:rsidR="008873B6" w:rsidRPr="001570EA" w:rsidRDefault="008873B6" w:rsidP="008873B6">
      <w:pPr>
        <w:pBdr>
          <w:bottom w:val="single" w:sz="4" w:space="1" w:color="auto"/>
        </w:pBdr>
        <w:spacing w:before="120" w:after="120"/>
        <w:rPr>
          <w:rFonts w:ascii="Arial Black" w:hAnsi="Arial Black"/>
          <w:b/>
          <w:smallCaps/>
          <w:color w:val="44546A" w:themeColor="text2"/>
          <w:spacing w:val="40"/>
        </w:rPr>
      </w:pPr>
      <w:r w:rsidRPr="001570EA">
        <w:rPr>
          <w:rFonts w:ascii="Arial Black" w:hAnsi="Arial Black"/>
          <w:b/>
          <w:smallCaps/>
          <w:color w:val="44546A" w:themeColor="text2"/>
          <w:spacing w:val="40"/>
        </w:rPr>
        <w:t>Algorithms</w:t>
      </w:r>
    </w:p>
    <w:p w14:paraId="0EE3A534" w14:textId="77777777" w:rsidR="008873B6" w:rsidRPr="001570EA" w:rsidRDefault="008873B6" w:rsidP="008873B6">
      <w:pPr>
        <w:spacing w:after="120"/>
        <w:rPr>
          <w:rFonts w:eastAsiaTheme="minorHAnsi" w:cstheme="minorBidi"/>
          <w:szCs w:val="22"/>
        </w:rPr>
      </w:pPr>
      <w:r w:rsidRPr="001570EA">
        <w:rPr>
          <w:rFonts w:eastAsiaTheme="minorHAnsi" w:cstheme="minorBidi"/>
          <w:szCs w:val="22"/>
        </w:rPr>
        <w:t xml:space="preserve">The specific algorithms(s) used to estimate the demand impacts caused by DLC and behavior-based programs will depend on the specific method of evaluation used. In general, regression-based estimates are most preferred, due to their ability to produce more precise impact estimates and quantitative measures of uncertainty. Details on specific types of equations that can be used for each evaluation approach are provided in the Pennsylvania Evaluation Framework. </w:t>
      </w:r>
    </w:p>
    <w:p w14:paraId="4E457C54" w14:textId="77777777" w:rsidR="008873B6" w:rsidRPr="001570EA" w:rsidRDefault="008873B6" w:rsidP="008873B6">
      <w:pPr>
        <w:spacing w:after="120"/>
        <w:rPr>
          <w:rFonts w:eastAsiaTheme="minorHAnsi" w:cstheme="minorBidi"/>
          <w:szCs w:val="22"/>
        </w:rPr>
      </w:pPr>
      <w:r w:rsidRPr="001570EA">
        <w:rPr>
          <w:rFonts w:eastAsiaTheme="minorHAnsi" w:cstheme="minorBidi"/>
          <w:szCs w:val="22"/>
        </w:rPr>
        <w:t>Annual peak demand savings must be estimated using individual customer data (e.g. account, meter, or site as defined by program rules) regardless of which evaluation method is used. Program savings are the sum of the load impacts across all participants. The following equations provide mathematical definitions of the average peak period load impact estimate that would be calculated using an approved method.</w:t>
      </w:r>
    </w:p>
    <w:tbl>
      <w:tblPr>
        <w:tblW w:w="0" w:type="auto"/>
        <w:tblLook w:val="04A0" w:firstRow="1" w:lastRow="0" w:firstColumn="1" w:lastColumn="0" w:noHBand="0" w:noVBand="1"/>
      </w:tblPr>
      <w:tblGrid>
        <w:gridCol w:w="2430"/>
        <w:gridCol w:w="4016"/>
      </w:tblGrid>
      <w:tr w:rsidR="008873B6" w:rsidRPr="001570EA" w14:paraId="09960B85" w14:textId="77777777">
        <w:trPr>
          <w:trHeight w:val="720"/>
        </w:trPr>
        <w:tc>
          <w:tcPr>
            <w:tcW w:w="2430" w:type="dxa"/>
            <w:vAlign w:val="center"/>
          </w:tcPr>
          <w:p w14:paraId="5ABF8472" w14:textId="77777777" w:rsidR="008873B6" w:rsidRPr="001570EA" w:rsidRDefault="008873B6">
            <w:pPr>
              <w:tabs>
                <w:tab w:val="left" w:pos="720"/>
                <w:tab w:val="left" w:pos="2880"/>
              </w:tabs>
              <w:jc w:val="left"/>
              <w:rPr>
                <w:rFonts w:eastAsia="Calibri" w:cs="Arial"/>
                <w:i/>
              </w:rPr>
            </w:pPr>
            <m:oMathPara>
              <m:oMathParaPr>
                <m:jc m:val="left"/>
              </m:oMathParaPr>
              <m:oMath>
                <m:r>
                  <w:rPr>
                    <w:rFonts w:ascii="Cambria Math" w:eastAsia="Calibri" w:hAnsi="Cambria Math"/>
                    <w:szCs w:val="16"/>
                  </w:rPr>
                  <m:t>∆</m:t>
                </m:r>
                <m:sSub>
                  <m:sSubPr>
                    <m:ctrlPr>
                      <w:rPr>
                        <w:rFonts w:ascii="Cambria Math" w:eastAsia="Calibri" w:hAnsi="Cambria Math"/>
                        <w:i/>
                        <w:szCs w:val="16"/>
                      </w:rPr>
                    </m:ctrlPr>
                  </m:sSubPr>
                  <m:e>
                    <m:r>
                      <w:rPr>
                        <w:rFonts w:ascii="Cambria Math" w:eastAsia="Calibri" w:hAnsi="Cambria Math"/>
                        <w:szCs w:val="16"/>
                      </w:rPr>
                      <m:t>kW</m:t>
                    </m:r>
                  </m:e>
                  <m:sub>
                    <m:r>
                      <w:rPr>
                        <w:rFonts w:ascii="Cambria Math" w:eastAsia="Calibri" w:hAnsi="Cambria Math"/>
                        <w:szCs w:val="16"/>
                      </w:rPr>
                      <m:t>summer peak</m:t>
                    </m:r>
                  </m:sub>
                </m:sSub>
              </m:oMath>
            </m:oMathPara>
          </w:p>
        </w:tc>
        <w:tc>
          <w:tcPr>
            <w:tcW w:w="4016" w:type="dxa"/>
            <w:vAlign w:val="center"/>
          </w:tcPr>
          <w:p w14:paraId="0048F2C4" w14:textId="77777777" w:rsidR="008873B6" w:rsidRPr="001570EA" w:rsidRDefault="008873B6">
            <w:pPr>
              <w:tabs>
                <w:tab w:val="left" w:pos="720"/>
                <w:tab w:val="left" w:pos="2880"/>
              </w:tabs>
              <w:jc w:val="left"/>
              <w:rPr>
                <w:rFonts w:eastAsia="Calibri"/>
                <w:i/>
                <w:szCs w:val="16"/>
              </w:rPr>
            </w:pPr>
            <m:oMathPara>
              <m:oMathParaPr>
                <m:jc m:val="left"/>
              </m:oMathParaPr>
              <m:oMath>
                <m:r>
                  <w:rPr>
                    <w:rFonts w:ascii="Cambria Math" w:eastAsia="Calibri" w:hAnsi="Cambria Math"/>
                    <w:szCs w:val="16"/>
                  </w:rPr>
                  <m:t>=</m:t>
                </m:r>
                <m:f>
                  <m:fPr>
                    <m:ctrlPr>
                      <w:rPr>
                        <w:rFonts w:ascii="Cambria Math" w:eastAsia="Calibri" w:hAnsi="Cambria Math" w:cs="Arial"/>
                        <w:i/>
                        <w:szCs w:val="16"/>
                      </w:rPr>
                    </m:ctrlPr>
                  </m:fPr>
                  <m:num>
                    <m:nary>
                      <m:naryPr>
                        <m:chr m:val="∑"/>
                        <m:limLoc m:val="undOvr"/>
                        <m:ctrlPr>
                          <w:rPr>
                            <w:rFonts w:ascii="Cambria Math" w:eastAsia="Calibri" w:hAnsi="Cambria Math" w:cs="Arial"/>
                            <w:i/>
                            <w:szCs w:val="16"/>
                          </w:rPr>
                        </m:ctrlPr>
                      </m:naryPr>
                      <m:sub>
                        <m:r>
                          <w:rPr>
                            <w:rFonts w:ascii="Cambria Math" w:eastAsia="Calibri" w:hAnsi="Cambria Math" w:cs="Arial"/>
                            <w:szCs w:val="16"/>
                          </w:rPr>
                          <m:t>i=1</m:t>
                        </m:r>
                      </m:sub>
                      <m:sup>
                        <m:r>
                          <w:rPr>
                            <w:rFonts w:ascii="Cambria Math" w:eastAsia="Calibri" w:hAnsi="Cambria Math" w:cs="Arial"/>
                            <w:szCs w:val="16"/>
                          </w:rPr>
                          <m:t>n_summer</m:t>
                        </m:r>
                      </m:sup>
                      <m:e>
                        <m:sSub>
                          <m:sSubPr>
                            <m:ctrlPr>
                              <w:rPr>
                                <w:rFonts w:ascii="Cambria Math" w:eastAsia="Calibri" w:hAnsi="Cambria Math" w:cs="Arial"/>
                                <w:i/>
                                <w:szCs w:val="16"/>
                              </w:rPr>
                            </m:ctrlPr>
                          </m:sSubPr>
                          <m:e>
                            <m:r>
                              <w:rPr>
                                <w:rFonts w:ascii="Cambria Math" w:eastAsia="Calibri" w:hAnsi="Cambria Math" w:cs="Arial"/>
                                <w:szCs w:val="16"/>
                              </w:rPr>
                              <m:t>ΔkW</m:t>
                            </m:r>
                          </m:e>
                          <m:sub>
                            <m:r>
                              <w:rPr>
                                <w:rFonts w:ascii="Cambria Math" w:eastAsia="Calibri" w:hAnsi="Cambria Math" w:cs="Arial"/>
                                <w:szCs w:val="16"/>
                              </w:rPr>
                              <m:t>i</m:t>
                            </m:r>
                          </m:sub>
                        </m:sSub>
                      </m:e>
                    </m:nary>
                  </m:num>
                  <m:den>
                    <m:r>
                      <w:rPr>
                        <w:rFonts w:ascii="Cambria Math" w:eastAsia="Calibri" w:hAnsi="Cambria Math" w:cs="Arial"/>
                        <w:szCs w:val="16"/>
                      </w:rPr>
                      <m:t>n_summer</m:t>
                    </m:r>
                  </m:den>
                </m:f>
              </m:oMath>
            </m:oMathPara>
          </w:p>
        </w:tc>
      </w:tr>
      <w:tr w:rsidR="008873B6" w:rsidRPr="001570EA" w14:paraId="2E1AAE4E" w14:textId="77777777">
        <w:trPr>
          <w:trHeight w:val="720"/>
        </w:trPr>
        <w:tc>
          <w:tcPr>
            <w:tcW w:w="2430" w:type="dxa"/>
            <w:vAlign w:val="center"/>
          </w:tcPr>
          <w:p w14:paraId="5C449747" w14:textId="77777777" w:rsidR="008873B6" w:rsidRPr="001570EA" w:rsidRDefault="008873B6">
            <w:pPr>
              <w:tabs>
                <w:tab w:val="left" w:pos="720"/>
                <w:tab w:val="left" w:pos="2880"/>
              </w:tabs>
              <w:jc w:val="left"/>
              <w:rPr>
                <w:rFonts w:eastAsia="Calibri" w:cs="Arial"/>
                <w:szCs w:val="16"/>
              </w:rPr>
            </w:pPr>
            <m:oMathPara>
              <m:oMathParaPr>
                <m:jc m:val="left"/>
              </m:oMathParaPr>
              <m:oMath>
                <m:r>
                  <w:rPr>
                    <w:rFonts w:ascii="Cambria Math" w:eastAsia="Calibri" w:hAnsi="Cambria Math"/>
                    <w:szCs w:val="16"/>
                  </w:rPr>
                  <m:t>∆</m:t>
                </m:r>
                <m:sSub>
                  <m:sSubPr>
                    <m:ctrlPr>
                      <w:rPr>
                        <w:rFonts w:ascii="Cambria Math" w:eastAsia="Calibri" w:hAnsi="Cambria Math"/>
                        <w:i/>
                        <w:szCs w:val="16"/>
                      </w:rPr>
                    </m:ctrlPr>
                  </m:sSubPr>
                  <m:e>
                    <m:r>
                      <w:rPr>
                        <w:rFonts w:ascii="Cambria Math" w:eastAsia="Calibri" w:hAnsi="Cambria Math"/>
                        <w:szCs w:val="16"/>
                      </w:rPr>
                      <m:t>kW</m:t>
                    </m:r>
                  </m:e>
                  <m:sub>
                    <m:r>
                      <w:rPr>
                        <w:rFonts w:ascii="Cambria Math" w:eastAsia="Calibri" w:hAnsi="Cambria Math"/>
                        <w:szCs w:val="16"/>
                      </w:rPr>
                      <m:t>winter peak</m:t>
                    </m:r>
                  </m:sub>
                </m:sSub>
              </m:oMath>
            </m:oMathPara>
          </w:p>
        </w:tc>
        <w:tc>
          <w:tcPr>
            <w:tcW w:w="4016" w:type="dxa"/>
            <w:vAlign w:val="center"/>
          </w:tcPr>
          <w:p w14:paraId="4E6C5C38" w14:textId="77777777" w:rsidR="008873B6" w:rsidRPr="001570EA" w:rsidRDefault="008873B6">
            <w:pPr>
              <w:tabs>
                <w:tab w:val="left" w:pos="720"/>
                <w:tab w:val="left" w:pos="2880"/>
              </w:tabs>
              <w:jc w:val="left"/>
              <w:rPr>
                <w:rFonts w:eastAsia="Calibri" w:cs="Arial"/>
                <w:i/>
                <w:szCs w:val="16"/>
              </w:rPr>
            </w:pPr>
            <m:oMathPara>
              <m:oMathParaPr>
                <m:jc m:val="left"/>
              </m:oMathParaPr>
              <m:oMath>
                <m:r>
                  <w:rPr>
                    <w:rFonts w:ascii="Cambria Math" w:eastAsia="Calibri" w:hAnsi="Cambria Math"/>
                    <w:szCs w:val="16"/>
                  </w:rPr>
                  <m:t>=</m:t>
                </m:r>
                <m:f>
                  <m:fPr>
                    <m:ctrlPr>
                      <w:rPr>
                        <w:rFonts w:ascii="Cambria Math" w:eastAsia="Calibri" w:hAnsi="Cambria Math" w:cs="Arial"/>
                        <w:i/>
                        <w:szCs w:val="16"/>
                      </w:rPr>
                    </m:ctrlPr>
                  </m:fPr>
                  <m:num>
                    <m:nary>
                      <m:naryPr>
                        <m:chr m:val="∑"/>
                        <m:limLoc m:val="undOvr"/>
                        <m:ctrlPr>
                          <w:rPr>
                            <w:rFonts w:ascii="Cambria Math" w:eastAsia="Calibri" w:hAnsi="Cambria Math" w:cs="Arial"/>
                            <w:i/>
                            <w:szCs w:val="16"/>
                          </w:rPr>
                        </m:ctrlPr>
                      </m:naryPr>
                      <m:sub>
                        <m:r>
                          <w:rPr>
                            <w:rFonts w:ascii="Cambria Math" w:eastAsia="Calibri" w:hAnsi="Cambria Math" w:cs="Arial"/>
                            <w:szCs w:val="16"/>
                          </w:rPr>
                          <m:t>i=1</m:t>
                        </m:r>
                      </m:sub>
                      <m:sup>
                        <m:r>
                          <w:rPr>
                            <w:rFonts w:ascii="Cambria Math" w:eastAsia="Calibri" w:hAnsi="Cambria Math" w:cs="Arial"/>
                            <w:szCs w:val="16"/>
                          </w:rPr>
                          <m:t>n_winter</m:t>
                        </m:r>
                      </m:sup>
                      <m:e>
                        <m:sSub>
                          <m:sSubPr>
                            <m:ctrlPr>
                              <w:rPr>
                                <w:rFonts w:ascii="Cambria Math" w:eastAsia="Calibri" w:hAnsi="Cambria Math" w:cs="Arial"/>
                                <w:i/>
                                <w:szCs w:val="16"/>
                              </w:rPr>
                            </m:ctrlPr>
                          </m:sSubPr>
                          <m:e>
                            <m:r>
                              <w:rPr>
                                <w:rFonts w:ascii="Cambria Math" w:eastAsia="Calibri" w:hAnsi="Cambria Math" w:cs="Arial"/>
                                <w:szCs w:val="16"/>
                              </w:rPr>
                              <m:t>ΔkW</m:t>
                            </m:r>
                          </m:e>
                          <m:sub>
                            <m:r>
                              <w:rPr>
                                <w:rFonts w:ascii="Cambria Math" w:eastAsia="Calibri" w:hAnsi="Cambria Math" w:cs="Arial"/>
                                <w:szCs w:val="16"/>
                              </w:rPr>
                              <m:t>i</m:t>
                            </m:r>
                          </m:sub>
                        </m:sSub>
                      </m:e>
                    </m:nary>
                  </m:num>
                  <m:den>
                    <m:r>
                      <w:rPr>
                        <w:rFonts w:ascii="Cambria Math" w:eastAsia="Calibri" w:hAnsi="Cambria Math" w:cs="Arial"/>
                        <w:szCs w:val="16"/>
                      </w:rPr>
                      <m:t>n_winter</m:t>
                    </m:r>
                  </m:den>
                </m:f>
              </m:oMath>
            </m:oMathPara>
          </w:p>
        </w:tc>
      </w:tr>
      <w:tr w:rsidR="008873B6" w:rsidRPr="001570EA" w14:paraId="3FC981AC" w14:textId="77777777">
        <w:trPr>
          <w:trHeight w:val="720"/>
        </w:trPr>
        <w:tc>
          <w:tcPr>
            <w:tcW w:w="2430" w:type="dxa"/>
            <w:vAlign w:val="center"/>
          </w:tcPr>
          <w:p w14:paraId="509DB7A2" w14:textId="77777777" w:rsidR="008873B6" w:rsidRPr="001570EA" w:rsidRDefault="003B5E04">
            <w:pPr>
              <w:tabs>
                <w:tab w:val="left" w:pos="720"/>
                <w:tab w:val="left" w:pos="2880"/>
              </w:tabs>
              <w:jc w:val="left"/>
              <w:rPr>
                <w:szCs w:val="16"/>
              </w:rPr>
            </w:pPr>
            <m:oMathPara>
              <m:oMathParaPr>
                <m:jc m:val="left"/>
              </m:oMathParaPr>
              <m:oMath>
                <m:sSub>
                  <m:sSubPr>
                    <m:ctrlPr>
                      <w:rPr>
                        <w:rFonts w:ascii="Cambria Math" w:hAnsi="Cambria Math"/>
                        <w:i/>
                        <w:szCs w:val="16"/>
                      </w:rPr>
                    </m:ctrlPr>
                  </m:sSubPr>
                  <m:e>
                    <m:r>
                      <w:rPr>
                        <w:rFonts w:ascii="Cambria Math" w:hAnsi="Cambria Math"/>
                        <w:szCs w:val="16"/>
                      </w:rPr>
                      <m:t>ΔkW</m:t>
                    </m:r>
                  </m:e>
                  <m:sub>
                    <m:r>
                      <w:rPr>
                        <w:rFonts w:ascii="Cambria Math" w:hAnsi="Cambria Math"/>
                        <w:szCs w:val="16"/>
                      </w:rPr>
                      <m:t>i</m:t>
                    </m:r>
                  </m:sub>
                </m:sSub>
              </m:oMath>
            </m:oMathPara>
          </w:p>
        </w:tc>
        <w:tc>
          <w:tcPr>
            <w:tcW w:w="4016" w:type="dxa"/>
            <w:vAlign w:val="center"/>
          </w:tcPr>
          <w:p w14:paraId="4D9A9EC3" w14:textId="77777777" w:rsidR="008873B6" w:rsidRPr="001570EA" w:rsidRDefault="008873B6">
            <w:pPr>
              <w:tabs>
                <w:tab w:val="left" w:pos="720"/>
                <w:tab w:val="left" w:pos="2880"/>
              </w:tabs>
              <w:jc w:val="left"/>
              <w:rPr>
                <w:rFonts w:eastAsia="Calibri" w:cs="Arial"/>
                <w:i/>
                <w:szCs w:val="16"/>
              </w:rPr>
            </w:pPr>
            <w:r w:rsidRPr="001570EA">
              <w:rPr>
                <w:rFonts w:eastAsia="Calibri" w:cs="Arial"/>
                <w:i/>
                <w:szCs w:val="16"/>
              </w:rPr>
              <w:t xml:space="preserve">= </w:t>
            </w:r>
            <m:oMath>
              <m:sSub>
                <m:sSubPr>
                  <m:ctrlPr>
                    <w:rPr>
                      <w:rFonts w:ascii="Cambria Math" w:eastAsia="Calibri" w:hAnsi="Cambria Math" w:cs="Arial"/>
                      <w:i/>
                      <w:szCs w:val="16"/>
                    </w:rPr>
                  </m:ctrlPr>
                </m:sSubPr>
                <m:e>
                  <m:r>
                    <w:rPr>
                      <w:rFonts w:ascii="Cambria Math" w:eastAsia="Calibri" w:hAnsi="Cambria Math" w:cs="Arial"/>
                      <w:szCs w:val="16"/>
                    </w:rPr>
                    <m:t>k</m:t>
                  </m:r>
                  <m:sSub>
                    <m:sSubPr>
                      <m:ctrlPr>
                        <w:rPr>
                          <w:rFonts w:ascii="Cambria Math" w:eastAsia="Calibri" w:hAnsi="Cambria Math" w:cs="Arial"/>
                          <w:i/>
                          <w:szCs w:val="16"/>
                        </w:rPr>
                      </m:ctrlPr>
                    </m:sSubPr>
                    <m:e>
                      <m:r>
                        <w:rPr>
                          <w:rFonts w:ascii="Cambria Math" w:eastAsia="Calibri" w:hAnsi="Cambria Math" w:cs="Arial"/>
                          <w:szCs w:val="16"/>
                        </w:rPr>
                        <m:t>W</m:t>
                      </m:r>
                    </m:e>
                    <m:sub>
                      <m:r>
                        <w:rPr>
                          <w:rFonts w:ascii="Cambria Math" w:eastAsia="Calibri" w:hAnsi="Cambria Math" w:cs="Arial"/>
                          <w:szCs w:val="16"/>
                        </w:rPr>
                        <m:t>Reference</m:t>
                      </m:r>
                    </m:sub>
                  </m:sSub>
                </m:e>
                <m:sub>
                  <m:r>
                    <w:rPr>
                      <w:rFonts w:ascii="Cambria Math" w:eastAsia="Calibri" w:hAnsi="Cambria Math" w:cs="Arial"/>
                      <w:szCs w:val="16"/>
                    </w:rPr>
                    <m:t>i</m:t>
                  </m:r>
                </m:sub>
              </m:sSub>
              <m:r>
                <w:rPr>
                  <w:rFonts w:ascii="Cambria Math" w:eastAsia="Calibri" w:hAnsi="Cambria Math" w:cs="Arial"/>
                  <w:szCs w:val="16"/>
                </w:rPr>
                <m:t xml:space="preserve">- </m:t>
              </m:r>
              <m:sSub>
                <m:sSubPr>
                  <m:ctrlPr>
                    <w:rPr>
                      <w:rFonts w:ascii="Cambria Math" w:eastAsia="Calibri" w:hAnsi="Cambria Math" w:cs="Arial"/>
                      <w:i/>
                      <w:szCs w:val="16"/>
                    </w:rPr>
                  </m:ctrlPr>
                </m:sSubPr>
                <m:e>
                  <m:r>
                    <w:rPr>
                      <w:rFonts w:ascii="Cambria Math" w:eastAsia="Calibri" w:hAnsi="Cambria Math" w:cs="Arial"/>
                      <w:szCs w:val="16"/>
                    </w:rPr>
                    <m:t>k</m:t>
                  </m:r>
                  <m:sSub>
                    <m:sSubPr>
                      <m:ctrlPr>
                        <w:rPr>
                          <w:rFonts w:ascii="Cambria Math" w:eastAsia="Calibri" w:hAnsi="Cambria Math" w:cs="Arial"/>
                          <w:i/>
                          <w:szCs w:val="16"/>
                        </w:rPr>
                      </m:ctrlPr>
                    </m:sSubPr>
                    <m:e>
                      <m:r>
                        <w:rPr>
                          <w:rFonts w:ascii="Cambria Math" w:eastAsia="Calibri" w:hAnsi="Cambria Math" w:cs="Arial"/>
                          <w:szCs w:val="16"/>
                        </w:rPr>
                        <m:t>W</m:t>
                      </m:r>
                    </m:e>
                    <m:sub>
                      <m:r>
                        <w:rPr>
                          <w:rFonts w:ascii="Cambria Math" w:eastAsia="Calibri" w:hAnsi="Cambria Math" w:cs="Arial"/>
                          <w:szCs w:val="16"/>
                        </w:rPr>
                        <m:t>Metered</m:t>
                      </m:r>
                    </m:sub>
                  </m:sSub>
                </m:e>
                <m:sub>
                  <m:r>
                    <w:rPr>
                      <w:rFonts w:ascii="Cambria Math" w:eastAsia="Calibri" w:hAnsi="Cambria Math" w:cs="Arial"/>
                      <w:szCs w:val="16"/>
                    </w:rPr>
                    <m:t>i</m:t>
                  </m:r>
                </m:sub>
              </m:sSub>
            </m:oMath>
          </w:p>
        </w:tc>
      </w:tr>
    </w:tbl>
    <w:p w14:paraId="30806D5D" w14:textId="77777777" w:rsidR="008873B6" w:rsidRPr="001570EA" w:rsidRDefault="008873B6" w:rsidP="008873B6">
      <w:pPr>
        <w:pBdr>
          <w:bottom w:val="single" w:sz="4" w:space="1" w:color="auto"/>
        </w:pBdr>
        <w:spacing w:after="120"/>
        <w:rPr>
          <w:rFonts w:ascii="Arial Black" w:hAnsi="Arial Black"/>
          <w:b/>
          <w:smallCaps/>
          <w:color w:val="44546A" w:themeColor="text2"/>
          <w:spacing w:val="40"/>
        </w:rPr>
      </w:pPr>
    </w:p>
    <w:p w14:paraId="49F0665F" w14:textId="77777777" w:rsidR="008873B6" w:rsidRPr="001570EA" w:rsidRDefault="008873B6" w:rsidP="008873B6">
      <w:pPr>
        <w:keepNext/>
        <w:pBdr>
          <w:bottom w:val="single" w:sz="4" w:space="1" w:color="auto"/>
        </w:pBdr>
        <w:spacing w:after="120"/>
        <w:rPr>
          <w:rFonts w:ascii="Arial Narrow" w:hAnsi="Arial Narrow"/>
          <w:b/>
          <w:bCs/>
        </w:rPr>
      </w:pPr>
      <w:r w:rsidRPr="001570EA">
        <w:rPr>
          <w:rFonts w:ascii="Arial Black" w:hAnsi="Arial Black"/>
          <w:b/>
          <w:smallCaps/>
          <w:color w:val="44546A" w:themeColor="text2"/>
          <w:spacing w:val="40"/>
        </w:rPr>
        <w:t>Definition of Terms</w:t>
      </w:r>
    </w:p>
    <w:p w14:paraId="26941F55" w14:textId="49C755A1" w:rsidR="008873B6" w:rsidRPr="001570EA" w:rsidRDefault="008873B6" w:rsidP="008873B6">
      <w:pPr>
        <w:pStyle w:val="Caption"/>
      </w:pPr>
      <w:bookmarkStart w:id="1290" w:name="_Toc47598385"/>
      <w:r w:rsidRPr="001570EA">
        <w:t xml:space="preserve">Table </w:t>
      </w:r>
      <w:r w:rsidR="002E093A" w:rsidRPr="001570EA">
        <w:fldChar w:fldCharType="begin"/>
      </w:r>
      <w:r w:rsidR="002E093A" w:rsidRPr="001570EA">
        <w:instrText xml:space="preserve"> STYLEREF 1 \s </w:instrText>
      </w:r>
      <w:r w:rsidR="002E093A" w:rsidRPr="001570EA">
        <w:fldChar w:fldCharType="separate"/>
      </w:r>
      <w:r w:rsidR="00A11E80" w:rsidRPr="001570EA">
        <w:rPr>
          <w:noProof/>
        </w:rPr>
        <w:t>2</w:t>
      </w:r>
      <w:r w:rsidR="002E093A" w:rsidRPr="001570EA">
        <w:fldChar w:fldCharType="end"/>
      </w:r>
      <w:r w:rsidR="002E093A" w:rsidRPr="001570EA">
        <w:noBreakHyphen/>
      </w:r>
      <w:r w:rsidR="002E093A" w:rsidRPr="001570EA">
        <w:fldChar w:fldCharType="begin"/>
      </w:r>
      <w:r w:rsidR="002E093A" w:rsidRPr="001570EA">
        <w:instrText xml:space="preserve"> SEQ Table \* ARABIC \s 1 </w:instrText>
      </w:r>
      <w:r w:rsidR="002E093A" w:rsidRPr="001570EA">
        <w:fldChar w:fldCharType="separate"/>
      </w:r>
      <w:r w:rsidR="00A11E80" w:rsidRPr="001570EA">
        <w:rPr>
          <w:noProof/>
        </w:rPr>
        <w:t>181</w:t>
      </w:r>
      <w:r w:rsidR="002E093A" w:rsidRPr="001570EA">
        <w:fldChar w:fldCharType="end"/>
      </w:r>
      <w:r w:rsidRPr="001570EA">
        <w:t xml:space="preserve"> Definition of Terms for Estimating DLC and Behavior-based Load Impacts</w:t>
      </w:r>
      <w:bookmarkEnd w:id="1290"/>
    </w:p>
    <w:tbl>
      <w:tblPr>
        <w:tblW w:w="48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4"/>
        <w:gridCol w:w="702"/>
        <w:gridCol w:w="1494"/>
        <w:gridCol w:w="1399"/>
      </w:tblGrid>
      <w:tr w:rsidR="008873B6" w:rsidRPr="001570EA" w14:paraId="7B9C3197" w14:textId="77777777">
        <w:tc>
          <w:tcPr>
            <w:tcW w:w="2865" w:type="pct"/>
            <w:shd w:val="clear" w:color="auto" w:fill="BFBFBF"/>
          </w:tcPr>
          <w:p w14:paraId="1B82CB09" w14:textId="77777777" w:rsidR="008873B6" w:rsidRPr="001570EA" w:rsidRDefault="008873B6">
            <w:pPr>
              <w:keepNext/>
              <w:tabs>
                <w:tab w:val="left" w:pos="720"/>
              </w:tabs>
              <w:spacing w:before="120" w:after="120"/>
              <w:rPr>
                <w:b/>
                <w:sz w:val="18"/>
              </w:rPr>
            </w:pPr>
            <w:r w:rsidRPr="001570EA">
              <w:rPr>
                <w:b/>
                <w:sz w:val="18"/>
              </w:rPr>
              <w:t>Term</w:t>
            </w:r>
          </w:p>
        </w:tc>
        <w:tc>
          <w:tcPr>
            <w:tcW w:w="417" w:type="pct"/>
            <w:shd w:val="clear" w:color="auto" w:fill="BFBFBF"/>
          </w:tcPr>
          <w:p w14:paraId="03B3D2DE" w14:textId="77777777" w:rsidR="008873B6" w:rsidRPr="001570EA" w:rsidRDefault="008873B6">
            <w:pPr>
              <w:keepNext/>
              <w:tabs>
                <w:tab w:val="left" w:pos="720"/>
              </w:tabs>
              <w:spacing w:before="120" w:after="120"/>
              <w:jc w:val="center"/>
              <w:rPr>
                <w:b/>
                <w:bCs/>
                <w:iCs/>
                <w:sz w:val="18"/>
              </w:rPr>
            </w:pPr>
            <w:r w:rsidRPr="001570EA">
              <w:rPr>
                <w:b/>
                <w:bCs/>
                <w:iCs/>
                <w:sz w:val="18"/>
              </w:rPr>
              <w:t>Unit</w:t>
            </w:r>
          </w:p>
        </w:tc>
        <w:tc>
          <w:tcPr>
            <w:tcW w:w="887" w:type="pct"/>
            <w:shd w:val="clear" w:color="auto" w:fill="BFBFBF"/>
          </w:tcPr>
          <w:p w14:paraId="24AD43C6" w14:textId="77777777" w:rsidR="008873B6" w:rsidRPr="001570EA" w:rsidRDefault="008873B6">
            <w:pPr>
              <w:keepNext/>
              <w:tabs>
                <w:tab w:val="left" w:pos="720"/>
              </w:tabs>
              <w:spacing w:before="120" w:after="120"/>
              <w:jc w:val="center"/>
              <w:rPr>
                <w:b/>
                <w:bCs/>
                <w:iCs/>
                <w:sz w:val="18"/>
              </w:rPr>
            </w:pPr>
            <w:r w:rsidRPr="001570EA">
              <w:rPr>
                <w:b/>
                <w:bCs/>
                <w:iCs/>
                <w:sz w:val="18"/>
              </w:rPr>
              <w:t>Values</w:t>
            </w:r>
          </w:p>
        </w:tc>
        <w:tc>
          <w:tcPr>
            <w:tcW w:w="831" w:type="pct"/>
            <w:shd w:val="clear" w:color="auto" w:fill="BFBFBF"/>
          </w:tcPr>
          <w:p w14:paraId="260DD474" w14:textId="77777777" w:rsidR="008873B6" w:rsidRPr="001570EA" w:rsidRDefault="008873B6">
            <w:pPr>
              <w:keepNext/>
              <w:tabs>
                <w:tab w:val="left" w:pos="720"/>
              </w:tabs>
              <w:spacing w:before="120" w:after="120"/>
              <w:jc w:val="center"/>
              <w:rPr>
                <w:b/>
                <w:bCs/>
                <w:iCs/>
                <w:sz w:val="18"/>
              </w:rPr>
            </w:pPr>
            <w:r w:rsidRPr="001570EA">
              <w:rPr>
                <w:b/>
                <w:bCs/>
                <w:iCs/>
                <w:sz w:val="18"/>
              </w:rPr>
              <w:t>Source</w:t>
            </w:r>
          </w:p>
        </w:tc>
      </w:tr>
      <w:tr w:rsidR="008873B6" w:rsidRPr="001570EA" w14:paraId="7D7FF6BE" w14:textId="77777777">
        <w:trPr>
          <w:trHeight w:val="494"/>
        </w:trPr>
        <w:tc>
          <w:tcPr>
            <w:tcW w:w="2865" w:type="pct"/>
            <w:shd w:val="clear" w:color="auto" w:fill="auto"/>
            <w:vAlign w:val="center"/>
          </w:tcPr>
          <w:p w14:paraId="32276AB0" w14:textId="77777777" w:rsidR="008873B6" w:rsidRPr="001570EA" w:rsidRDefault="008873B6">
            <w:pPr>
              <w:keepNext/>
              <w:tabs>
                <w:tab w:val="left" w:pos="720"/>
              </w:tabs>
              <w:spacing w:before="120" w:after="120"/>
              <w:rPr>
                <w:sz w:val="18"/>
                <w:szCs w:val="18"/>
              </w:rPr>
            </w:pPr>
            <w:r w:rsidRPr="001570EA">
              <w:rPr>
                <w:i/>
                <w:sz w:val="18"/>
                <w:szCs w:val="18"/>
              </w:rPr>
              <w:t>n_summer</w:t>
            </w:r>
            <w:r w:rsidRPr="001570EA">
              <w:rPr>
                <w:sz w:val="18"/>
                <w:szCs w:val="18"/>
              </w:rPr>
              <w:t>, Number of summer DR hours during a program year for the EDC</w:t>
            </w:r>
          </w:p>
        </w:tc>
        <w:tc>
          <w:tcPr>
            <w:tcW w:w="417" w:type="pct"/>
            <w:vAlign w:val="center"/>
          </w:tcPr>
          <w:p w14:paraId="2D34AD18" w14:textId="77777777" w:rsidR="008873B6" w:rsidRPr="001570EA" w:rsidRDefault="008873B6">
            <w:pPr>
              <w:keepNext/>
              <w:tabs>
                <w:tab w:val="left" w:pos="720"/>
              </w:tabs>
              <w:spacing w:before="120" w:after="120"/>
              <w:jc w:val="center"/>
              <w:rPr>
                <w:rFonts w:eastAsia="Arial Unicode MS"/>
                <w:i/>
                <w:sz w:val="18"/>
                <w:szCs w:val="18"/>
              </w:rPr>
            </w:pPr>
            <w:r w:rsidRPr="001570EA">
              <w:rPr>
                <w:rFonts w:eastAsia="Arial Unicode MS"/>
                <w:i/>
                <w:sz w:val="18"/>
                <w:szCs w:val="18"/>
              </w:rPr>
              <w:t>Hours</w:t>
            </w:r>
          </w:p>
        </w:tc>
        <w:tc>
          <w:tcPr>
            <w:tcW w:w="887" w:type="pct"/>
            <w:shd w:val="clear" w:color="auto" w:fill="auto"/>
            <w:vAlign w:val="center"/>
          </w:tcPr>
          <w:p w14:paraId="58E12C50" w14:textId="77777777" w:rsidR="008873B6" w:rsidRPr="001570EA" w:rsidRDefault="008873B6">
            <w:pPr>
              <w:keepNext/>
              <w:tabs>
                <w:tab w:val="left" w:pos="720"/>
              </w:tabs>
              <w:spacing w:before="120" w:after="120"/>
              <w:jc w:val="center"/>
              <w:rPr>
                <w:sz w:val="18"/>
                <w:szCs w:val="18"/>
              </w:rPr>
            </w:pPr>
            <w:r w:rsidRPr="001570EA">
              <w:rPr>
                <w:sz w:val="18"/>
                <w:szCs w:val="18"/>
              </w:rPr>
              <w:t>EDC Data Gathering</w:t>
            </w:r>
          </w:p>
        </w:tc>
        <w:tc>
          <w:tcPr>
            <w:tcW w:w="831" w:type="pct"/>
            <w:vAlign w:val="center"/>
          </w:tcPr>
          <w:p w14:paraId="516DD48D" w14:textId="77777777" w:rsidR="008873B6" w:rsidRPr="001570EA" w:rsidRDefault="008873B6">
            <w:pPr>
              <w:keepNext/>
              <w:tabs>
                <w:tab w:val="left" w:pos="720"/>
              </w:tabs>
              <w:spacing w:before="120" w:after="120"/>
              <w:jc w:val="center"/>
              <w:rPr>
                <w:sz w:val="18"/>
                <w:szCs w:val="18"/>
              </w:rPr>
            </w:pPr>
            <w:r w:rsidRPr="001570EA">
              <w:rPr>
                <w:sz w:val="18"/>
                <w:szCs w:val="18"/>
              </w:rPr>
              <w:t>EDC Data Gathering</w:t>
            </w:r>
          </w:p>
        </w:tc>
      </w:tr>
      <w:tr w:rsidR="008873B6" w:rsidRPr="001570EA" w14:paraId="18002468" w14:textId="77777777">
        <w:trPr>
          <w:trHeight w:val="494"/>
        </w:trPr>
        <w:tc>
          <w:tcPr>
            <w:tcW w:w="2865" w:type="pct"/>
            <w:shd w:val="clear" w:color="auto" w:fill="auto"/>
            <w:vAlign w:val="center"/>
          </w:tcPr>
          <w:p w14:paraId="3129C8D7" w14:textId="77777777" w:rsidR="008873B6" w:rsidRPr="001570EA" w:rsidRDefault="008873B6">
            <w:pPr>
              <w:keepNext/>
              <w:tabs>
                <w:tab w:val="left" w:pos="720"/>
              </w:tabs>
              <w:spacing w:before="120" w:after="120"/>
              <w:rPr>
                <w:i/>
                <w:sz w:val="18"/>
                <w:szCs w:val="18"/>
              </w:rPr>
            </w:pPr>
            <w:r w:rsidRPr="001570EA">
              <w:rPr>
                <w:i/>
                <w:sz w:val="18"/>
                <w:szCs w:val="18"/>
              </w:rPr>
              <w:t>n_winter</w:t>
            </w:r>
            <w:r w:rsidRPr="001570EA">
              <w:rPr>
                <w:sz w:val="18"/>
                <w:szCs w:val="18"/>
              </w:rPr>
              <w:t>, Number of winter DR hours during a program year for the EDC</w:t>
            </w:r>
          </w:p>
        </w:tc>
        <w:tc>
          <w:tcPr>
            <w:tcW w:w="417" w:type="pct"/>
            <w:vAlign w:val="center"/>
          </w:tcPr>
          <w:p w14:paraId="2B0AB6A6" w14:textId="77777777" w:rsidR="008873B6" w:rsidRPr="001570EA" w:rsidRDefault="008873B6">
            <w:pPr>
              <w:keepNext/>
              <w:tabs>
                <w:tab w:val="left" w:pos="720"/>
              </w:tabs>
              <w:spacing w:before="120" w:after="120"/>
              <w:jc w:val="center"/>
              <w:rPr>
                <w:rFonts w:eastAsia="Arial Unicode MS"/>
                <w:i/>
                <w:sz w:val="18"/>
                <w:szCs w:val="18"/>
              </w:rPr>
            </w:pPr>
            <w:r w:rsidRPr="001570EA">
              <w:rPr>
                <w:rFonts w:eastAsia="Arial Unicode MS"/>
                <w:i/>
                <w:sz w:val="18"/>
                <w:szCs w:val="18"/>
              </w:rPr>
              <w:t>Hours</w:t>
            </w:r>
          </w:p>
        </w:tc>
        <w:tc>
          <w:tcPr>
            <w:tcW w:w="887" w:type="pct"/>
            <w:shd w:val="clear" w:color="auto" w:fill="auto"/>
            <w:vAlign w:val="center"/>
          </w:tcPr>
          <w:p w14:paraId="550DD046" w14:textId="77777777" w:rsidR="008873B6" w:rsidRPr="001570EA" w:rsidRDefault="008873B6">
            <w:pPr>
              <w:keepNext/>
              <w:tabs>
                <w:tab w:val="left" w:pos="720"/>
              </w:tabs>
              <w:spacing w:before="120" w:after="120"/>
              <w:jc w:val="center"/>
              <w:rPr>
                <w:sz w:val="18"/>
                <w:szCs w:val="18"/>
              </w:rPr>
            </w:pPr>
            <w:r w:rsidRPr="001570EA">
              <w:rPr>
                <w:sz w:val="18"/>
                <w:szCs w:val="18"/>
              </w:rPr>
              <w:t>EDC Data Gathering</w:t>
            </w:r>
          </w:p>
        </w:tc>
        <w:tc>
          <w:tcPr>
            <w:tcW w:w="831" w:type="pct"/>
            <w:vAlign w:val="center"/>
          </w:tcPr>
          <w:p w14:paraId="0DFC02B2" w14:textId="77777777" w:rsidR="008873B6" w:rsidRPr="001570EA" w:rsidRDefault="008873B6">
            <w:pPr>
              <w:keepNext/>
              <w:tabs>
                <w:tab w:val="left" w:pos="720"/>
              </w:tabs>
              <w:spacing w:before="120" w:after="120"/>
              <w:jc w:val="center"/>
              <w:rPr>
                <w:sz w:val="18"/>
                <w:szCs w:val="18"/>
              </w:rPr>
            </w:pPr>
            <w:r w:rsidRPr="001570EA">
              <w:rPr>
                <w:sz w:val="18"/>
                <w:szCs w:val="18"/>
              </w:rPr>
              <w:t>EDC Data Gathering</w:t>
            </w:r>
          </w:p>
        </w:tc>
      </w:tr>
      <w:tr w:rsidR="008873B6" w:rsidRPr="001570EA" w14:paraId="4FDB4663" w14:textId="77777777">
        <w:tc>
          <w:tcPr>
            <w:tcW w:w="2865" w:type="pct"/>
            <w:shd w:val="clear" w:color="auto" w:fill="auto"/>
            <w:vAlign w:val="center"/>
          </w:tcPr>
          <w:p w14:paraId="58817708" w14:textId="77777777" w:rsidR="008873B6" w:rsidRPr="001570EA" w:rsidRDefault="003B5E04">
            <w:pPr>
              <w:tabs>
                <w:tab w:val="left" w:pos="720"/>
              </w:tabs>
              <w:spacing w:before="120" w:after="120"/>
              <w:rPr>
                <w:sz w:val="18"/>
                <w:szCs w:val="18"/>
              </w:rPr>
            </w:pPr>
            <m:oMath>
              <m:sSub>
                <m:sSubPr>
                  <m:ctrlPr>
                    <w:rPr>
                      <w:rFonts w:ascii="Cambria Math" w:hAnsi="Cambria Math" w:cs="Arial"/>
                      <w:i/>
                      <w:sz w:val="18"/>
                      <w:szCs w:val="18"/>
                    </w:rPr>
                  </m:ctrlPr>
                </m:sSubPr>
                <m:e>
                  <m:r>
                    <w:rPr>
                      <w:rFonts w:ascii="Cambria Math" w:hAnsi="Cambria Math" w:cs="Arial"/>
                      <w:sz w:val="18"/>
                      <w:szCs w:val="18"/>
                    </w:rPr>
                    <m:t>Δ</m:t>
                  </m:r>
                  <m:r>
                    <w:rPr>
                      <w:rFonts w:ascii="Cambria Math" w:hAnsi="Cambria Math"/>
                      <w:sz w:val="18"/>
                      <w:szCs w:val="18"/>
                    </w:rPr>
                    <m:t>kW</m:t>
                  </m:r>
                </m:e>
                <m:sub>
                  <m:r>
                    <w:rPr>
                      <w:rFonts w:ascii="Cambria Math" w:hAnsi="Cambria Math" w:cs="Arial"/>
                      <w:sz w:val="18"/>
                      <w:szCs w:val="18"/>
                    </w:rPr>
                    <m:t>i</m:t>
                  </m:r>
                </m:sub>
              </m:sSub>
            </m:oMath>
            <w:r w:rsidR="008873B6" w:rsidRPr="001570EA">
              <w:rPr>
                <w:i/>
                <w:sz w:val="18"/>
                <w:szCs w:val="18"/>
              </w:rPr>
              <w:t xml:space="preserve">, </w:t>
            </w:r>
            <w:r w:rsidR="008873B6" w:rsidRPr="001570EA">
              <w:rPr>
                <w:sz w:val="18"/>
                <w:szCs w:val="18"/>
              </w:rPr>
              <w:t>Estimated load impact achieved by an LC participant in hour i. This term can be positive (a load reduction) or negative (a load increase).</w:t>
            </w:r>
          </w:p>
        </w:tc>
        <w:tc>
          <w:tcPr>
            <w:tcW w:w="417" w:type="pct"/>
            <w:vAlign w:val="center"/>
          </w:tcPr>
          <w:p w14:paraId="79C05228" w14:textId="77777777" w:rsidR="008873B6" w:rsidRPr="001570EA" w:rsidRDefault="008873B6">
            <w:pPr>
              <w:tabs>
                <w:tab w:val="left" w:pos="720"/>
              </w:tabs>
              <w:spacing w:before="120" w:after="120"/>
              <w:jc w:val="center"/>
              <w:rPr>
                <w:rFonts w:eastAsia="Arial Unicode MS"/>
                <w:i/>
                <w:sz w:val="18"/>
                <w:szCs w:val="18"/>
              </w:rPr>
            </w:pPr>
            <w:r w:rsidRPr="001570EA">
              <w:rPr>
                <w:rFonts w:eastAsia="Arial Unicode MS"/>
                <w:i/>
                <w:sz w:val="18"/>
                <w:szCs w:val="18"/>
              </w:rPr>
              <w:t>kW</w:t>
            </w:r>
          </w:p>
        </w:tc>
        <w:tc>
          <w:tcPr>
            <w:tcW w:w="887" w:type="pct"/>
            <w:shd w:val="clear" w:color="auto" w:fill="auto"/>
            <w:vAlign w:val="center"/>
          </w:tcPr>
          <w:p w14:paraId="621CCA15" w14:textId="77777777" w:rsidR="008873B6" w:rsidRPr="001570EA" w:rsidRDefault="008873B6">
            <w:pPr>
              <w:tabs>
                <w:tab w:val="left" w:pos="720"/>
              </w:tabs>
              <w:spacing w:before="120" w:after="120"/>
              <w:jc w:val="center"/>
              <w:rPr>
                <w:sz w:val="18"/>
                <w:szCs w:val="18"/>
              </w:rPr>
            </w:pPr>
            <w:r w:rsidRPr="001570EA">
              <w:rPr>
                <w:sz w:val="18"/>
                <w:szCs w:val="18"/>
              </w:rPr>
              <w:t>EDC Data Gathering</w:t>
            </w:r>
          </w:p>
        </w:tc>
        <w:tc>
          <w:tcPr>
            <w:tcW w:w="831" w:type="pct"/>
            <w:vAlign w:val="center"/>
          </w:tcPr>
          <w:p w14:paraId="058163B8" w14:textId="77777777" w:rsidR="008873B6" w:rsidRPr="001570EA" w:rsidRDefault="008873B6">
            <w:pPr>
              <w:keepNext/>
              <w:tabs>
                <w:tab w:val="left" w:pos="720"/>
              </w:tabs>
              <w:spacing w:before="120" w:after="120"/>
              <w:jc w:val="center"/>
              <w:rPr>
                <w:sz w:val="18"/>
                <w:szCs w:val="18"/>
              </w:rPr>
            </w:pPr>
            <w:r w:rsidRPr="001570EA">
              <w:rPr>
                <w:sz w:val="18"/>
                <w:szCs w:val="18"/>
              </w:rPr>
              <w:t>EDC Data Gathering</w:t>
            </w:r>
          </w:p>
        </w:tc>
      </w:tr>
      <w:tr w:rsidR="008873B6" w:rsidRPr="001570EA" w14:paraId="046D919A" w14:textId="77777777">
        <w:tc>
          <w:tcPr>
            <w:tcW w:w="2865" w:type="pct"/>
            <w:shd w:val="clear" w:color="auto" w:fill="auto"/>
            <w:vAlign w:val="center"/>
          </w:tcPr>
          <w:p w14:paraId="2A2814D0" w14:textId="77777777" w:rsidR="008873B6" w:rsidRPr="001570EA" w:rsidRDefault="003B5E04">
            <w:pPr>
              <w:tabs>
                <w:tab w:val="left" w:pos="720"/>
              </w:tabs>
              <w:spacing w:before="120" w:after="120"/>
              <w:rPr>
                <w:sz w:val="18"/>
                <w:szCs w:val="18"/>
              </w:rPr>
            </w:pPr>
            <m:oMath>
              <m:sSub>
                <m:sSubPr>
                  <m:ctrlPr>
                    <w:rPr>
                      <w:rFonts w:ascii="Cambria Math" w:hAnsi="Cambria Math"/>
                      <w:sz w:val="18"/>
                      <w:szCs w:val="18"/>
                    </w:rPr>
                  </m:ctrlPr>
                </m:sSubPr>
                <m:e>
                  <m:r>
                    <w:rPr>
                      <w:rFonts w:ascii="Cambria Math" w:hAnsi="Cambria Math"/>
                      <w:sz w:val="18"/>
                      <w:szCs w:val="18"/>
                    </w:rPr>
                    <m:t>k</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Reference</m:t>
                      </m:r>
                    </m:sub>
                  </m:sSub>
                </m:e>
                <m:sub>
                  <m:r>
                    <w:rPr>
                      <w:rFonts w:ascii="Cambria Math" w:hAnsi="Cambria Math"/>
                      <w:sz w:val="18"/>
                      <w:szCs w:val="18"/>
                    </w:rPr>
                    <m:t>i</m:t>
                  </m:r>
                </m:sub>
              </m:sSub>
            </m:oMath>
            <w:r w:rsidR="008873B6" w:rsidRPr="001570EA">
              <w:rPr>
                <w:sz w:val="18"/>
                <w:szCs w:val="18"/>
              </w:rPr>
              <w:t xml:space="preserve"> , Estimated customer load absent DR during hour i</w:t>
            </w:r>
          </w:p>
        </w:tc>
        <w:tc>
          <w:tcPr>
            <w:tcW w:w="417" w:type="pct"/>
            <w:vAlign w:val="center"/>
          </w:tcPr>
          <w:p w14:paraId="5EB34906" w14:textId="77777777" w:rsidR="008873B6" w:rsidRPr="001570EA" w:rsidRDefault="008873B6">
            <w:pPr>
              <w:tabs>
                <w:tab w:val="left" w:pos="720"/>
              </w:tabs>
              <w:spacing w:before="120" w:after="120"/>
              <w:jc w:val="center"/>
              <w:rPr>
                <w:rFonts w:eastAsia="Arial Unicode MS"/>
                <w:i/>
                <w:sz w:val="18"/>
                <w:szCs w:val="18"/>
              </w:rPr>
            </w:pPr>
            <w:r w:rsidRPr="001570EA">
              <w:rPr>
                <w:rFonts w:eastAsia="Arial Unicode MS"/>
                <w:i/>
                <w:sz w:val="18"/>
                <w:szCs w:val="18"/>
              </w:rPr>
              <w:t>kW</w:t>
            </w:r>
          </w:p>
        </w:tc>
        <w:tc>
          <w:tcPr>
            <w:tcW w:w="887" w:type="pct"/>
            <w:shd w:val="clear" w:color="auto" w:fill="auto"/>
            <w:vAlign w:val="center"/>
          </w:tcPr>
          <w:p w14:paraId="1F0566BD" w14:textId="77777777" w:rsidR="008873B6" w:rsidRPr="001570EA" w:rsidRDefault="008873B6">
            <w:pPr>
              <w:tabs>
                <w:tab w:val="left" w:pos="720"/>
              </w:tabs>
              <w:spacing w:before="120" w:after="120"/>
              <w:jc w:val="center"/>
              <w:rPr>
                <w:sz w:val="18"/>
                <w:szCs w:val="18"/>
              </w:rPr>
            </w:pPr>
            <w:r w:rsidRPr="001570EA">
              <w:rPr>
                <w:sz w:val="18"/>
                <w:szCs w:val="18"/>
              </w:rPr>
              <w:t>EDC Data Gathering</w:t>
            </w:r>
          </w:p>
        </w:tc>
        <w:tc>
          <w:tcPr>
            <w:tcW w:w="831" w:type="pct"/>
            <w:vAlign w:val="center"/>
          </w:tcPr>
          <w:p w14:paraId="2D43284B" w14:textId="77777777" w:rsidR="008873B6" w:rsidRPr="001570EA" w:rsidRDefault="008873B6">
            <w:pPr>
              <w:keepNext/>
              <w:tabs>
                <w:tab w:val="left" w:pos="720"/>
              </w:tabs>
              <w:spacing w:before="120" w:after="120"/>
              <w:jc w:val="center"/>
              <w:rPr>
                <w:rFonts w:eastAsia="Arial Unicode MS"/>
                <w:sz w:val="18"/>
                <w:szCs w:val="18"/>
              </w:rPr>
            </w:pPr>
            <w:r w:rsidRPr="001570EA">
              <w:rPr>
                <w:sz w:val="18"/>
                <w:szCs w:val="18"/>
              </w:rPr>
              <w:t>EDC Data Gathering</w:t>
            </w:r>
          </w:p>
        </w:tc>
      </w:tr>
      <w:tr w:rsidR="008873B6" w:rsidRPr="001570EA" w14:paraId="34FFC31B" w14:textId="77777777">
        <w:tc>
          <w:tcPr>
            <w:tcW w:w="2865" w:type="pct"/>
            <w:shd w:val="clear" w:color="auto" w:fill="auto"/>
            <w:vAlign w:val="center"/>
          </w:tcPr>
          <w:p w14:paraId="7A7777F0" w14:textId="77777777" w:rsidR="008873B6" w:rsidRPr="001570EA" w:rsidRDefault="003B5E04">
            <w:pPr>
              <w:tabs>
                <w:tab w:val="left" w:pos="720"/>
              </w:tabs>
              <w:spacing w:before="120" w:after="120"/>
              <w:rPr>
                <w:sz w:val="18"/>
                <w:szCs w:val="18"/>
              </w:rPr>
            </w:pPr>
            <m:oMath>
              <m:sSub>
                <m:sSubPr>
                  <m:ctrlPr>
                    <w:rPr>
                      <w:rFonts w:ascii="Cambria Math" w:hAnsi="Cambria Math"/>
                      <w:sz w:val="18"/>
                      <w:szCs w:val="18"/>
                    </w:rPr>
                  </m:ctrlPr>
                </m:sSubPr>
                <m:e>
                  <m:r>
                    <w:rPr>
                      <w:rFonts w:ascii="Cambria Math" w:hAnsi="Cambria Math"/>
                      <w:sz w:val="18"/>
                      <w:szCs w:val="18"/>
                    </w:rPr>
                    <m:t>k</m:t>
                  </m:r>
                  <m:sSub>
                    <m:sSubPr>
                      <m:ctrlPr>
                        <w:rPr>
                          <w:rFonts w:ascii="Cambria Math" w:hAnsi="Cambria Math"/>
                          <w:i/>
                          <w:sz w:val="18"/>
                          <w:szCs w:val="18"/>
                        </w:rPr>
                      </m:ctrlPr>
                    </m:sSubPr>
                    <m:e>
                      <m:r>
                        <w:rPr>
                          <w:rFonts w:ascii="Cambria Math" w:hAnsi="Cambria Math"/>
                          <w:sz w:val="18"/>
                          <w:szCs w:val="18"/>
                        </w:rPr>
                        <m:t>W</m:t>
                      </m:r>
                    </m:e>
                    <m:sub>
                      <m:r>
                        <w:rPr>
                          <w:rFonts w:ascii="Cambria Math" w:hAnsi="Cambria Math"/>
                          <w:sz w:val="18"/>
                          <w:szCs w:val="18"/>
                        </w:rPr>
                        <m:t>Metered</m:t>
                      </m:r>
                    </m:sub>
                  </m:sSub>
                </m:e>
                <m:sub>
                  <m:r>
                    <w:rPr>
                      <w:rFonts w:ascii="Cambria Math" w:hAnsi="Cambria Math"/>
                      <w:sz w:val="18"/>
                      <w:szCs w:val="18"/>
                    </w:rPr>
                    <m:t>i</m:t>
                  </m:r>
                </m:sub>
              </m:sSub>
            </m:oMath>
            <w:r w:rsidR="008873B6" w:rsidRPr="001570EA">
              <w:rPr>
                <w:sz w:val="18"/>
                <w:szCs w:val="18"/>
              </w:rPr>
              <w:t xml:space="preserve"> , Measured customer load during hour i</w:t>
            </w:r>
          </w:p>
        </w:tc>
        <w:tc>
          <w:tcPr>
            <w:tcW w:w="417" w:type="pct"/>
            <w:vAlign w:val="center"/>
          </w:tcPr>
          <w:p w14:paraId="54413ED4" w14:textId="77777777" w:rsidR="008873B6" w:rsidRPr="001570EA" w:rsidRDefault="008873B6">
            <w:pPr>
              <w:tabs>
                <w:tab w:val="left" w:pos="720"/>
              </w:tabs>
              <w:spacing w:before="120" w:after="120"/>
              <w:jc w:val="center"/>
              <w:rPr>
                <w:rFonts w:eastAsia="Arial Unicode MS"/>
                <w:i/>
                <w:sz w:val="18"/>
                <w:szCs w:val="18"/>
              </w:rPr>
            </w:pPr>
            <w:r w:rsidRPr="001570EA">
              <w:rPr>
                <w:rFonts w:eastAsia="Arial Unicode MS"/>
                <w:i/>
                <w:sz w:val="18"/>
                <w:szCs w:val="18"/>
              </w:rPr>
              <w:t>kW</w:t>
            </w:r>
          </w:p>
        </w:tc>
        <w:tc>
          <w:tcPr>
            <w:tcW w:w="887" w:type="pct"/>
            <w:shd w:val="clear" w:color="auto" w:fill="auto"/>
            <w:vAlign w:val="center"/>
          </w:tcPr>
          <w:p w14:paraId="6614229B" w14:textId="77777777" w:rsidR="008873B6" w:rsidRPr="001570EA" w:rsidRDefault="008873B6">
            <w:pPr>
              <w:tabs>
                <w:tab w:val="left" w:pos="720"/>
              </w:tabs>
              <w:spacing w:before="120" w:after="120"/>
              <w:jc w:val="center"/>
              <w:rPr>
                <w:sz w:val="18"/>
                <w:szCs w:val="18"/>
              </w:rPr>
            </w:pPr>
            <w:r w:rsidRPr="001570EA">
              <w:rPr>
                <w:sz w:val="18"/>
                <w:szCs w:val="18"/>
              </w:rPr>
              <w:t>EDC Data Gathering</w:t>
            </w:r>
          </w:p>
        </w:tc>
        <w:tc>
          <w:tcPr>
            <w:tcW w:w="831" w:type="pct"/>
            <w:vAlign w:val="center"/>
          </w:tcPr>
          <w:p w14:paraId="2D807B1D" w14:textId="77777777" w:rsidR="008873B6" w:rsidRPr="001570EA" w:rsidRDefault="008873B6">
            <w:pPr>
              <w:keepNext/>
              <w:tabs>
                <w:tab w:val="left" w:pos="720"/>
              </w:tabs>
              <w:spacing w:before="120" w:after="120"/>
              <w:jc w:val="center"/>
              <w:rPr>
                <w:rFonts w:eastAsia="Arial Unicode MS"/>
                <w:sz w:val="18"/>
                <w:szCs w:val="18"/>
              </w:rPr>
            </w:pPr>
            <w:r w:rsidRPr="001570EA">
              <w:rPr>
                <w:sz w:val="18"/>
                <w:szCs w:val="18"/>
              </w:rPr>
              <w:t>EDC Data Gathering</w:t>
            </w:r>
          </w:p>
        </w:tc>
      </w:tr>
    </w:tbl>
    <w:p w14:paraId="52ECA5CB" w14:textId="77777777" w:rsidR="008873B6" w:rsidRPr="001570EA" w:rsidRDefault="008873B6" w:rsidP="008873B6">
      <w:pPr>
        <w:pBdr>
          <w:bottom w:val="single" w:sz="4" w:space="1" w:color="auto"/>
        </w:pBdr>
        <w:spacing w:after="120"/>
        <w:rPr>
          <w:rFonts w:ascii="Arial Black" w:hAnsi="Arial Black"/>
          <w:b/>
          <w:smallCaps/>
          <w:color w:val="44546A" w:themeColor="text2"/>
          <w:spacing w:val="40"/>
        </w:rPr>
      </w:pPr>
    </w:p>
    <w:p w14:paraId="5BA1456B" w14:textId="77777777" w:rsidR="008873B6" w:rsidRPr="001570EA" w:rsidRDefault="008873B6" w:rsidP="008873B6">
      <w:pPr>
        <w:pBdr>
          <w:bottom w:val="single" w:sz="4" w:space="1" w:color="auto"/>
        </w:pBdr>
        <w:spacing w:after="120"/>
        <w:rPr>
          <w:rFonts w:ascii="Arial Black" w:hAnsi="Arial Black"/>
          <w:b/>
          <w:smallCaps/>
          <w:color w:val="44546A" w:themeColor="text2"/>
          <w:spacing w:val="40"/>
        </w:rPr>
      </w:pPr>
      <w:r w:rsidRPr="001570EA">
        <w:rPr>
          <w:rFonts w:ascii="Arial Black" w:hAnsi="Arial Black"/>
          <w:b/>
          <w:smallCaps/>
          <w:color w:val="44546A" w:themeColor="text2"/>
          <w:spacing w:val="40"/>
        </w:rPr>
        <w:t>Default Savings</w:t>
      </w:r>
    </w:p>
    <w:p w14:paraId="54F1108E" w14:textId="77777777" w:rsidR="008873B6" w:rsidRPr="001570EA" w:rsidRDefault="008873B6" w:rsidP="008873B6">
      <w:r w:rsidRPr="001570EA">
        <w:t>Default savings are not available for DLC or behavior-based programs.</w:t>
      </w:r>
    </w:p>
    <w:p w14:paraId="3F150D00" w14:textId="77777777" w:rsidR="008873B6" w:rsidRPr="001570EA" w:rsidRDefault="008873B6" w:rsidP="008873B6">
      <w:pPr>
        <w:pBdr>
          <w:bottom w:val="single" w:sz="4" w:space="1" w:color="auto"/>
        </w:pBdr>
        <w:spacing w:after="120"/>
        <w:rPr>
          <w:rFonts w:ascii="Arial Black" w:hAnsi="Arial Black"/>
          <w:b/>
          <w:smallCaps/>
          <w:color w:val="44546A" w:themeColor="text2"/>
          <w:spacing w:val="40"/>
        </w:rPr>
      </w:pPr>
    </w:p>
    <w:p w14:paraId="25A084AE" w14:textId="77777777" w:rsidR="008873B6" w:rsidRPr="001570EA" w:rsidRDefault="008873B6" w:rsidP="008873B6">
      <w:pPr>
        <w:pBdr>
          <w:bottom w:val="single" w:sz="4" w:space="1" w:color="auto"/>
        </w:pBdr>
        <w:spacing w:after="120"/>
        <w:rPr>
          <w:rFonts w:ascii="Arial Black" w:hAnsi="Arial Black"/>
          <w:b/>
          <w:smallCaps/>
          <w:color w:val="44546A" w:themeColor="text2"/>
          <w:spacing w:val="40"/>
        </w:rPr>
      </w:pPr>
      <w:r w:rsidRPr="001570EA">
        <w:rPr>
          <w:rFonts w:ascii="Arial Black" w:hAnsi="Arial Black"/>
          <w:b/>
          <w:smallCaps/>
          <w:color w:val="44546A" w:themeColor="text2"/>
          <w:spacing w:val="40"/>
        </w:rPr>
        <w:t>Evaluation Protocols and Required Reporting</w:t>
      </w:r>
    </w:p>
    <w:p w14:paraId="1A0ECC39" w14:textId="72DDE32A" w:rsidR="008873B6" w:rsidRPr="003E6698" w:rsidRDefault="008873B6" w:rsidP="008873B6">
      <w:r w:rsidRPr="001570EA">
        <w:t xml:space="preserve">Technical details of the evaluation protocols for Direct Load Control measures and Behavior-based DR programs are described in the </w:t>
      </w:r>
      <w:r w:rsidRPr="001570EA">
        <w:rPr>
          <w:rFonts w:eastAsiaTheme="minorHAnsi" w:cstheme="minorBidi"/>
          <w:szCs w:val="22"/>
        </w:rPr>
        <w:t>Pennsylvania</w:t>
      </w:r>
      <w:r w:rsidRPr="001570EA">
        <w:t xml:space="preserve"> Evaluation Framework. The end result of following the protocols will be a common set of outputs that allow for an “apples-to-apples” comparison of load impacts across different DR resource options, event conditions and time. These outputs are designed to ensure that the documentation of methods and results allows knowledgeable reviewers to judge the quality and validity of the impact estimates.</w:t>
      </w:r>
      <w:r>
        <w:t xml:space="preserve"> </w:t>
      </w:r>
    </w:p>
    <w:p w14:paraId="000CA2AD" w14:textId="09C506A9" w:rsidR="00350AEA" w:rsidRDefault="00350AEA" w:rsidP="00E44576">
      <w:pPr>
        <w:pStyle w:val="source10"/>
        <w:spacing w:after="120"/>
        <w:jc w:val="left"/>
      </w:pPr>
    </w:p>
    <w:sectPr w:rsidR="00350AEA" w:rsidSect="002D556C">
      <w:footerReference w:type="default" r:id="rId4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78629" w14:textId="77777777" w:rsidR="002D556C" w:rsidRDefault="002D556C" w:rsidP="00FA5174">
      <w:r>
        <w:separator/>
      </w:r>
    </w:p>
  </w:endnote>
  <w:endnote w:type="continuationSeparator" w:id="0">
    <w:p w14:paraId="16663287" w14:textId="77777777" w:rsidR="002D556C" w:rsidRDefault="002D556C" w:rsidP="00FA5174">
      <w:r>
        <w:continuationSeparator/>
      </w:r>
    </w:p>
  </w:endnote>
  <w:endnote w:type="continuationNotice" w:id="1">
    <w:p w14:paraId="31DD091E" w14:textId="77777777" w:rsidR="002D556C" w:rsidRDefault="002D5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Nirmala UI">
    <w:panose1 w:val="020B0502040204020203"/>
    <w:charset w:val="00"/>
    <w:family w:val="swiss"/>
    <w:pitch w:val="variable"/>
    <w:sig w:usb0="80FF8023" w:usb1="0200004A" w:usb2="000002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rial,Arial Unicode MS">
    <w:altName w:val="Arial"/>
    <w:panose1 w:val="00000000000000000000"/>
    <w:charset w:val="00"/>
    <w:family w:val="roman"/>
    <w:notTrueType/>
    <w:pitch w:val="default"/>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FC3C2" w14:textId="77777777" w:rsidR="008F0145" w:rsidRPr="00AE4498" w:rsidRDefault="008F0145" w:rsidP="00BD2C4C">
    <w:pPr>
      <w:tabs>
        <w:tab w:val="right" w:pos="8640"/>
      </w:tabs>
      <w:spacing w:after="40"/>
      <w:rPr>
        <w:rFonts w:ascii="Arial Narrow" w:hAnsi="Arial Narrow"/>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004E6452" w14:paraId="7AB15CA6" w14:textId="77777777" w:rsidTr="00BD2C4C">
      <w:tc>
        <w:tcPr>
          <w:tcW w:w="2880" w:type="dxa"/>
        </w:tcPr>
        <w:p w14:paraId="55F77064" w14:textId="77777777" w:rsidR="004E6452" w:rsidRDefault="004E6452" w:rsidP="00BD2C4C">
          <w:pPr>
            <w:pStyle w:val="Header"/>
            <w:ind w:left="-115"/>
            <w:jc w:val="left"/>
          </w:pPr>
        </w:p>
      </w:tc>
      <w:tc>
        <w:tcPr>
          <w:tcW w:w="2880" w:type="dxa"/>
        </w:tcPr>
        <w:p w14:paraId="109F86D8" w14:textId="77777777" w:rsidR="004E6452" w:rsidRDefault="004E6452" w:rsidP="00BD2C4C">
          <w:pPr>
            <w:pStyle w:val="Header"/>
          </w:pPr>
        </w:p>
      </w:tc>
      <w:tc>
        <w:tcPr>
          <w:tcW w:w="2880" w:type="dxa"/>
        </w:tcPr>
        <w:p w14:paraId="5304D021" w14:textId="77777777" w:rsidR="004E6452" w:rsidRDefault="004E6452" w:rsidP="00BD2C4C">
          <w:pPr>
            <w:pStyle w:val="Header"/>
            <w:ind w:right="-115"/>
            <w:jc w:val="right"/>
          </w:pPr>
        </w:p>
      </w:tc>
    </w:tr>
  </w:tbl>
  <w:p w14:paraId="013C4445" w14:textId="77777777" w:rsidR="004E6452" w:rsidRDefault="004E6452" w:rsidP="00BD2C4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004E6452" w14:paraId="53830333" w14:textId="77777777" w:rsidTr="00BD2C4C">
      <w:tc>
        <w:tcPr>
          <w:tcW w:w="2880" w:type="dxa"/>
        </w:tcPr>
        <w:p w14:paraId="0F67F8D9" w14:textId="77777777" w:rsidR="004E6452" w:rsidRDefault="004E6452" w:rsidP="00BD2C4C">
          <w:pPr>
            <w:pStyle w:val="Header"/>
            <w:ind w:left="-115"/>
            <w:jc w:val="left"/>
          </w:pPr>
        </w:p>
      </w:tc>
      <w:tc>
        <w:tcPr>
          <w:tcW w:w="2880" w:type="dxa"/>
        </w:tcPr>
        <w:p w14:paraId="22C2493A" w14:textId="77777777" w:rsidR="004E6452" w:rsidRDefault="004E6452" w:rsidP="00BD2C4C">
          <w:pPr>
            <w:pStyle w:val="Header"/>
          </w:pPr>
        </w:p>
      </w:tc>
      <w:tc>
        <w:tcPr>
          <w:tcW w:w="2880" w:type="dxa"/>
        </w:tcPr>
        <w:p w14:paraId="127FFFBF" w14:textId="77777777" w:rsidR="004E6452" w:rsidRDefault="004E6452" w:rsidP="00BD2C4C">
          <w:pPr>
            <w:pStyle w:val="Header"/>
            <w:ind w:right="-115"/>
            <w:jc w:val="right"/>
          </w:pPr>
        </w:p>
      </w:tc>
    </w:tr>
  </w:tbl>
  <w:p w14:paraId="641E99EF" w14:textId="77777777" w:rsidR="004E6452" w:rsidRDefault="004E6452" w:rsidP="00BD2C4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004E6452" w14:paraId="279F3653" w14:textId="77777777" w:rsidTr="00BD2C4C">
      <w:tc>
        <w:tcPr>
          <w:tcW w:w="2880" w:type="dxa"/>
        </w:tcPr>
        <w:p w14:paraId="14077503" w14:textId="77777777" w:rsidR="004E6452" w:rsidRDefault="004E6452" w:rsidP="00BD2C4C">
          <w:pPr>
            <w:pStyle w:val="Header"/>
            <w:ind w:left="-115"/>
            <w:jc w:val="left"/>
          </w:pPr>
        </w:p>
      </w:tc>
      <w:tc>
        <w:tcPr>
          <w:tcW w:w="2880" w:type="dxa"/>
        </w:tcPr>
        <w:p w14:paraId="7D20B2CD" w14:textId="77777777" w:rsidR="004E6452" w:rsidRDefault="004E6452" w:rsidP="00BD2C4C">
          <w:pPr>
            <w:pStyle w:val="Header"/>
          </w:pPr>
        </w:p>
      </w:tc>
      <w:tc>
        <w:tcPr>
          <w:tcW w:w="2880" w:type="dxa"/>
        </w:tcPr>
        <w:p w14:paraId="6A7863F2" w14:textId="77777777" w:rsidR="004E6452" w:rsidRDefault="004E6452" w:rsidP="00BD2C4C">
          <w:pPr>
            <w:pStyle w:val="Header"/>
            <w:ind w:right="-115"/>
            <w:jc w:val="right"/>
          </w:pPr>
        </w:p>
      </w:tc>
    </w:tr>
  </w:tbl>
  <w:p w14:paraId="21F3C7D9" w14:textId="77777777" w:rsidR="004E6452" w:rsidRDefault="004E6452" w:rsidP="00BD2C4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004E6452" w14:paraId="43CE244A" w14:textId="77777777" w:rsidTr="00BD2C4C">
      <w:tc>
        <w:tcPr>
          <w:tcW w:w="2880" w:type="dxa"/>
        </w:tcPr>
        <w:p w14:paraId="511EC635" w14:textId="77777777" w:rsidR="004E6452" w:rsidRDefault="004E6452" w:rsidP="00BD2C4C">
          <w:pPr>
            <w:pStyle w:val="Header"/>
            <w:ind w:left="-115"/>
            <w:jc w:val="left"/>
          </w:pPr>
        </w:p>
      </w:tc>
      <w:tc>
        <w:tcPr>
          <w:tcW w:w="2880" w:type="dxa"/>
        </w:tcPr>
        <w:p w14:paraId="24A6CC94" w14:textId="77777777" w:rsidR="004E6452" w:rsidRDefault="004E6452" w:rsidP="00BD2C4C">
          <w:pPr>
            <w:pStyle w:val="Header"/>
          </w:pPr>
        </w:p>
      </w:tc>
      <w:tc>
        <w:tcPr>
          <w:tcW w:w="2880" w:type="dxa"/>
        </w:tcPr>
        <w:p w14:paraId="2E02FDC4" w14:textId="77777777" w:rsidR="004E6452" w:rsidRDefault="004E6452" w:rsidP="00BD2C4C">
          <w:pPr>
            <w:pStyle w:val="Header"/>
            <w:ind w:right="-115"/>
            <w:jc w:val="right"/>
          </w:pPr>
        </w:p>
      </w:tc>
    </w:tr>
  </w:tbl>
  <w:p w14:paraId="56530DCA" w14:textId="77777777" w:rsidR="004E6452" w:rsidRDefault="004E6452" w:rsidP="00BD2C4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004E6452" w14:paraId="26C2CFF5" w14:textId="77777777" w:rsidTr="00BD2C4C">
      <w:tc>
        <w:tcPr>
          <w:tcW w:w="2880" w:type="dxa"/>
        </w:tcPr>
        <w:p w14:paraId="29CEE3E6" w14:textId="77777777" w:rsidR="004E6452" w:rsidRDefault="004E6452" w:rsidP="00BD2C4C">
          <w:pPr>
            <w:pStyle w:val="Header"/>
            <w:ind w:left="-115"/>
            <w:jc w:val="left"/>
          </w:pPr>
        </w:p>
      </w:tc>
      <w:tc>
        <w:tcPr>
          <w:tcW w:w="2880" w:type="dxa"/>
        </w:tcPr>
        <w:p w14:paraId="0109C3C1" w14:textId="77777777" w:rsidR="004E6452" w:rsidRDefault="004E6452" w:rsidP="00BD2C4C">
          <w:pPr>
            <w:pStyle w:val="Header"/>
          </w:pPr>
        </w:p>
      </w:tc>
      <w:tc>
        <w:tcPr>
          <w:tcW w:w="2880" w:type="dxa"/>
        </w:tcPr>
        <w:p w14:paraId="6EA76461" w14:textId="77777777" w:rsidR="004E6452" w:rsidRDefault="004E6452" w:rsidP="00BD2C4C">
          <w:pPr>
            <w:pStyle w:val="Header"/>
            <w:ind w:right="-115"/>
            <w:jc w:val="right"/>
          </w:pPr>
        </w:p>
      </w:tc>
    </w:tr>
  </w:tbl>
  <w:p w14:paraId="1AB0AC9E" w14:textId="77777777" w:rsidR="004E6452" w:rsidRDefault="004E6452" w:rsidP="00BD2C4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004E6452" w14:paraId="2BCEDEFB" w14:textId="77777777" w:rsidTr="00BD2C4C">
      <w:tc>
        <w:tcPr>
          <w:tcW w:w="2880" w:type="dxa"/>
        </w:tcPr>
        <w:p w14:paraId="18188F5D" w14:textId="77777777" w:rsidR="004E6452" w:rsidRDefault="004E6452" w:rsidP="00BD2C4C">
          <w:pPr>
            <w:pStyle w:val="Header"/>
            <w:ind w:left="-115"/>
            <w:jc w:val="left"/>
          </w:pPr>
        </w:p>
      </w:tc>
      <w:tc>
        <w:tcPr>
          <w:tcW w:w="2880" w:type="dxa"/>
        </w:tcPr>
        <w:p w14:paraId="0140AFF7" w14:textId="77777777" w:rsidR="004E6452" w:rsidRDefault="004E6452" w:rsidP="00BD2C4C">
          <w:pPr>
            <w:pStyle w:val="Header"/>
          </w:pPr>
        </w:p>
      </w:tc>
      <w:tc>
        <w:tcPr>
          <w:tcW w:w="2880" w:type="dxa"/>
        </w:tcPr>
        <w:p w14:paraId="29AB4DA8" w14:textId="77777777" w:rsidR="004E6452" w:rsidRDefault="004E6452" w:rsidP="00BD2C4C">
          <w:pPr>
            <w:pStyle w:val="Header"/>
            <w:ind w:right="-115"/>
            <w:jc w:val="right"/>
          </w:pPr>
        </w:p>
      </w:tc>
    </w:tr>
  </w:tbl>
  <w:p w14:paraId="3A4D03F6" w14:textId="77777777" w:rsidR="004E6452" w:rsidRDefault="004E6452" w:rsidP="00BD2C4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004E6452" w14:paraId="5CDFA741" w14:textId="77777777" w:rsidTr="00BD2C4C">
      <w:tc>
        <w:tcPr>
          <w:tcW w:w="2880" w:type="dxa"/>
        </w:tcPr>
        <w:p w14:paraId="3946681F" w14:textId="77777777" w:rsidR="004E6452" w:rsidRDefault="004E6452" w:rsidP="00BD2C4C">
          <w:pPr>
            <w:pStyle w:val="Header"/>
            <w:ind w:left="-115"/>
            <w:jc w:val="left"/>
          </w:pPr>
        </w:p>
      </w:tc>
      <w:tc>
        <w:tcPr>
          <w:tcW w:w="2880" w:type="dxa"/>
        </w:tcPr>
        <w:p w14:paraId="5D1540F5" w14:textId="77777777" w:rsidR="004E6452" w:rsidRDefault="004E6452" w:rsidP="00BD2C4C">
          <w:pPr>
            <w:pStyle w:val="Header"/>
          </w:pPr>
        </w:p>
      </w:tc>
      <w:tc>
        <w:tcPr>
          <w:tcW w:w="2880" w:type="dxa"/>
        </w:tcPr>
        <w:p w14:paraId="1369CCBA" w14:textId="77777777" w:rsidR="004E6452" w:rsidRDefault="004E6452" w:rsidP="00BD2C4C">
          <w:pPr>
            <w:pStyle w:val="Header"/>
            <w:ind w:right="-115"/>
            <w:jc w:val="right"/>
          </w:pPr>
        </w:p>
      </w:tc>
    </w:tr>
  </w:tbl>
  <w:p w14:paraId="0B203E7C" w14:textId="77777777" w:rsidR="004E6452" w:rsidRDefault="004E6452" w:rsidP="00BD2C4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48" w:type="dxa"/>
      <w:shd w:val="clear" w:color="auto" w:fill="A6A6A6"/>
      <w:tblLook w:val="04A0" w:firstRow="1" w:lastRow="0" w:firstColumn="1" w:lastColumn="0" w:noHBand="0" w:noVBand="1"/>
    </w:tblPr>
    <w:tblGrid>
      <w:gridCol w:w="4518"/>
      <w:gridCol w:w="3150"/>
      <w:gridCol w:w="1080"/>
    </w:tblGrid>
    <w:tr w:rsidR="00BF2563" w14:paraId="33201EF9" w14:textId="77777777" w:rsidTr="00BD2C4C">
      <w:trPr>
        <w:trHeight w:val="288"/>
      </w:trPr>
      <w:tc>
        <w:tcPr>
          <w:tcW w:w="4518" w:type="dxa"/>
          <w:tcBorders>
            <w:bottom w:val="single" w:sz="12" w:space="0" w:color="A6A6A6" w:themeColor="background1" w:themeShade="A6"/>
          </w:tcBorders>
          <w:shd w:val="clear" w:color="auto" w:fill="123663"/>
          <w:vAlign w:val="center"/>
        </w:tcPr>
        <w:p w14:paraId="41F5F920" w14:textId="77777777" w:rsidR="00BF2563" w:rsidRPr="00F84A22" w:rsidRDefault="00BF2563" w:rsidP="00BD2C4C">
          <w:pPr>
            <w:tabs>
              <w:tab w:val="right" w:pos="8640"/>
            </w:tabs>
            <w:rPr>
              <w:rFonts w:ascii="Arial Narrow" w:hAnsi="Arial Narrow"/>
              <w:b/>
              <w:bCs/>
              <w:color w:val="FFFFFF"/>
            </w:rPr>
          </w:pPr>
          <w:r>
            <w:rPr>
              <w:rFonts w:ascii="Arial Narrow" w:eastAsia="Arial Narrow" w:hAnsi="Arial Narrow" w:cs="Arial Narrow"/>
              <w:b/>
              <w:bCs/>
              <w:color w:val="FFFFFF"/>
            </w:rPr>
            <w:t xml:space="preserve">VOLUME </w:t>
          </w:r>
          <w:r w:rsidRPr="008D3151">
            <w:rPr>
              <w:rFonts w:ascii="Arial Narrow" w:eastAsia="Arial Narrow" w:hAnsi="Arial Narrow" w:cs="Arial Narrow"/>
              <w:b/>
              <w:bCs/>
              <w:noProof/>
              <w:color w:val="FFFFFF"/>
            </w:rPr>
            <w:t>2</w:t>
          </w:r>
          <w:r w:rsidRPr="0ED46586">
            <w:rPr>
              <w:rFonts w:ascii="Arial Narrow" w:eastAsia="Arial Narrow" w:hAnsi="Arial Narrow" w:cs="Arial Narrow"/>
              <w:b/>
              <w:bCs/>
              <w:color w:val="FFFFFF"/>
            </w:rPr>
            <w:t>:</w:t>
          </w:r>
          <w:r>
            <w:rPr>
              <w:rFonts w:ascii="Arial Narrow" w:eastAsia="Arial Narrow" w:hAnsi="Arial Narrow" w:cs="Arial Narrow"/>
              <w:b/>
              <w:bCs/>
              <w:color w:val="FFFFFF"/>
            </w:rPr>
            <w:t xml:space="preserve"> </w:t>
          </w:r>
          <w:r>
            <w:rPr>
              <w:noProof/>
            </w:rPr>
            <w:t>Residential Measures</w:t>
          </w:r>
        </w:p>
      </w:tc>
      <w:tc>
        <w:tcPr>
          <w:tcW w:w="3150" w:type="dxa"/>
          <w:tcBorders>
            <w:bottom w:val="single" w:sz="12" w:space="0" w:color="A6A6A6" w:themeColor="background1" w:themeShade="A6"/>
          </w:tcBorders>
          <w:shd w:val="clear" w:color="auto" w:fill="FFFFFF" w:themeFill="background1"/>
        </w:tcPr>
        <w:p w14:paraId="14632867" w14:textId="77777777" w:rsidR="00BF2563" w:rsidRPr="00F84A22" w:rsidRDefault="00BF2563" w:rsidP="00BD2C4C">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3B11C0D9" w14:textId="77777777" w:rsidR="00BF2563" w:rsidRPr="00F84A22" w:rsidRDefault="00BF2563" w:rsidP="00BD2C4C">
          <w:pPr>
            <w:tabs>
              <w:tab w:val="right" w:pos="8640"/>
            </w:tabs>
            <w:rPr>
              <w:rFonts w:ascii="Arial Narrow" w:hAnsi="Arial Narrow"/>
              <w:u w:val="single"/>
            </w:rPr>
          </w:pPr>
        </w:p>
      </w:tc>
    </w:tr>
    <w:tr w:rsidR="00BF2563" w:rsidRPr="00C936BE" w14:paraId="52B975D8" w14:textId="77777777" w:rsidTr="00BD2C4C">
      <w:trPr>
        <w:trHeight w:val="288"/>
      </w:trPr>
      <w:tc>
        <w:tcPr>
          <w:tcW w:w="7668" w:type="dxa"/>
          <w:gridSpan w:val="2"/>
          <w:tcBorders>
            <w:top w:val="single" w:sz="12" w:space="0" w:color="A6A6A6" w:themeColor="background1" w:themeShade="A6"/>
          </w:tcBorders>
          <w:shd w:val="clear" w:color="auto" w:fill="FFFFFF" w:themeFill="background1"/>
          <w:vAlign w:val="center"/>
        </w:tcPr>
        <w:p w14:paraId="7250FDA3" w14:textId="47755912" w:rsidR="00BF2563" w:rsidRPr="00F84A22" w:rsidRDefault="00BF2563" w:rsidP="00BD2C4C">
          <w:pPr>
            <w:tabs>
              <w:tab w:val="right" w:pos="8640"/>
            </w:tabs>
            <w:ind w:left="-90"/>
            <w:rPr>
              <w:rFonts w:ascii="Arial Narrow" w:hAnsi="Arial Narrow"/>
            </w:rPr>
          </w:pPr>
          <w:r>
            <w:t>Consumer Electronics</w:t>
          </w:r>
        </w:p>
      </w:tc>
      <w:tc>
        <w:tcPr>
          <w:tcW w:w="1080" w:type="dxa"/>
          <w:tcBorders>
            <w:top w:val="single" w:sz="12" w:space="0" w:color="A6A6A6" w:themeColor="background1" w:themeShade="A6"/>
          </w:tcBorders>
          <w:shd w:val="clear" w:color="auto" w:fill="123663"/>
          <w:vAlign w:val="center"/>
        </w:tcPr>
        <w:p w14:paraId="281F457C" w14:textId="77777777" w:rsidR="00BF2563" w:rsidRPr="00F84A22" w:rsidRDefault="00BF2563" w:rsidP="00BD2C4C">
          <w:pPr>
            <w:tabs>
              <w:tab w:val="right" w:pos="8640"/>
            </w:tabs>
            <w:jc w:val="right"/>
            <w:rPr>
              <w:rFonts w:ascii="Arial Narrow" w:hAnsi="Arial Narrow"/>
              <w:b/>
              <w:bCs/>
              <w:color w:val="FFFFFF"/>
              <w:u w:val="single"/>
            </w:rPr>
          </w:pPr>
          <w:r w:rsidRPr="0ED46586">
            <w:rPr>
              <w:rFonts w:ascii="Arial Narrow" w:eastAsia="Arial Narrow" w:hAnsi="Arial Narrow" w:cs="Arial Narrow"/>
              <w:b/>
              <w:bCs/>
              <w:color w:val="FFFFFF"/>
            </w:rPr>
            <w:t>Page</w:t>
          </w:r>
          <w:r>
            <w:rPr>
              <w:rFonts w:ascii="Arial Narrow" w:eastAsia="Arial Narrow" w:hAnsi="Arial Narrow" w:cs="Arial Narrow"/>
              <w:b/>
              <w:bCs/>
              <w:color w:val="FFFFFF"/>
            </w:rPr>
            <w:t xml:space="preserve"> </w:t>
          </w:r>
          <w:r w:rsidRPr="0ED46586">
            <w:rPr>
              <w:rFonts w:ascii="Arial Narrow" w:hAnsi="Arial Narrow"/>
              <w:b/>
              <w:bCs/>
              <w:color w:val="FFFFFF"/>
            </w:rPr>
            <w:fldChar w:fldCharType="begin"/>
          </w:r>
          <w:r w:rsidRPr="00F84A22">
            <w:rPr>
              <w:rFonts w:ascii="Arial Narrow" w:hAnsi="Arial Narrow"/>
              <w:b/>
              <w:color w:val="FFFFFF"/>
            </w:rPr>
            <w:instrText xml:space="preserve"> PAGE </w:instrText>
          </w:r>
          <w:r w:rsidRPr="0ED46586">
            <w:rPr>
              <w:rFonts w:ascii="Arial Narrow" w:hAnsi="Arial Narrow"/>
              <w:b/>
              <w:color w:val="FFFFFF"/>
            </w:rPr>
            <w:fldChar w:fldCharType="separate"/>
          </w:r>
          <w:r>
            <w:rPr>
              <w:rFonts w:ascii="Arial Narrow" w:hAnsi="Arial Narrow"/>
              <w:b/>
              <w:color w:val="FFFFFF"/>
            </w:rPr>
            <w:t>100</w:t>
          </w:r>
          <w:r w:rsidRPr="0ED46586">
            <w:rPr>
              <w:rFonts w:ascii="Arial Narrow" w:eastAsia="Arial Narrow" w:hAnsi="Arial Narrow" w:cs="Arial Narrow"/>
              <w:b/>
              <w:bCs/>
              <w:color w:val="FFFFFF"/>
            </w:rPr>
            <w:fldChar w:fldCharType="end"/>
          </w:r>
        </w:p>
      </w:tc>
    </w:tr>
  </w:tbl>
  <w:p w14:paraId="2FEACA78" w14:textId="77777777" w:rsidR="00BF2563" w:rsidRPr="00AE4498" w:rsidRDefault="00BF2563" w:rsidP="00BD2C4C">
    <w:pPr>
      <w:tabs>
        <w:tab w:val="right" w:pos="8640"/>
      </w:tabs>
      <w:spacing w:after="40"/>
      <w:rPr>
        <w:rFonts w:ascii="Arial Narrow" w:hAnsi="Arial Narrow"/>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008F0145" w14:paraId="56D280E1" w14:textId="77777777" w:rsidTr="00BD2C4C">
      <w:tc>
        <w:tcPr>
          <w:tcW w:w="2880" w:type="dxa"/>
        </w:tcPr>
        <w:p w14:paraId="4467EDF8" w14:textId="77777777" w:rsidR="008F0145" w:rsidRDefault="008F0145" w:rsidP="00BD2C4C">
          <w:pPr>
            <w:pStyle w:val="Header"/>
            <w:ind w:left="-115"/>
            <w:jc w:val="left"/>
          </w:pPr>
        </w:p>
      </w:tc>
      <w:tc>
        <w:tcPr>
          <w:tcW w:w="2880" w:type="dxa"/>
        </w:tcPr>
        <w:p w14:paraId="62210FAB" w14:textId="77777777" w:rsidR="008F0145" w:rsidRDefault="008F0145" w:rsidP="00BD2C4C">
          <w:pPr>
            <w:pStyle w:val="Header"/>
          </w:pPr>
        </w:p>
      </w:tc>
      <w:tc>
        <w:tcPr>
          <w:tcW w:w="2880" w:type="dxa"/>
        </w:tcPr>
        <w:p w14:paraId="29630563" w14:textId="77777777" w:rsidR="008F0145" w:rsidRDefault="008F0145" w:rsidP="00BD2C4C">
          <w:pPr>
            <w:pStyle w:val="Header"/>
            <w:ind w:right="-115"/>
            <w:jc w:val="right"/>
          </w:pPr>
        </w:p>
      </w:tc>
    </w:tr>
  </w:tbl>
  <w:p w14:paraId="64A71060" w14:textId="77777777" w:rsidR="008F0145" w:rsidRDefault="008F0145" w:rsidP="00BD2C4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48" w:type="dxa"/>
      <w:shd w:val="clear" w:color="auto" w:fill="A6A6A6"/>
      <w:tblLook w:val="04A0" w:firstRow="1" w:lastRow="0" w:firstColumn="1" w:lastColumn="0" w:noHBand="0" w:noVBand="1"/>
    </w:tblPr>
    <w:tblGrid>
      <w:gridCol w:w="4518"/>
      <w:gridCol w:w="3150"/>
      <w:gridCol w:w="1080"/>
    </w:tblGrid>
    <w:tr w:rsidR="00EA5BBF" w14:paraId="0D81B819" w14:textId="77777777" w:rsidTr="00BD2C4C">
      <w:trPr>
        <w:trHeight w:val="288"/>
      </w:trPr>
      <w:tc>
        <w:tcPr>
          <w:tcW w:w="4518" w:type="dxa"/>
          <w:tcBorders>
            <w:bottom w:val="single" w:sz="12" w:space="0" w:color="A6A6A6" w:themeColor="background1" w:themeShade="A6"/>
          </w:tcBorders>
          <w:shd w:val="clear" w:color="auto" w:fill="123663"/>
          <w:vAlign w:val="center"/>
        </w:tcPr>
        <w:p w14:paraId="783814FF" w14:textId="3BB3D04A" w:rsidR="00EA5BBF" w:rsidRPr="00F84A22" w:rsidRDefault="00EA5BBF" w:rsidP="00BD2C4C">
          <w:pPr>
            <w:tabs>
              <w:tab w:val="right" w:pos="8640"/>
            </w:tabs>
            <w:rPr>
              <w:rFonts w:ascii="Arial Narrow" w:hAnsi="Arial Narrow"/>
              <w:b/>
              <w:bCs/>
              <w:color w:val="FFFFFF"/>
            </w:rPr>
          </w:pPr>
          <w:r>
            <w:rPr>
              <w:rFonts w:ascii="Arial Narrow" w:eastAsia="Arial Narrow" w:hAnsi="Arial Narrow" w:cs="Arial Narrow"/>
              <w:b/>
              <w:bCs/>
              <w:color w:val="FFFFFF"/>
            </w:rPr>
            <w:t xml:space="preserve">VOLUME </w:t>
          </w:r>
          <w:r w:rsidRPr="0ED46586">
            <w:fldChar w:fldCharType="begin"/>
          </w:r>
          <w:r>
            <w:rPr>
              <w:rFonts w:ascii="Arial Narrow" w:hAnsi="Arial Narrow"/>
              <w:b/>
              <w:noProof/>
              <w:color w:val="FFFFFF"/>
            </w:rPr>
            <w:instrText xml:space="preserve"> STYLEREF  "Heading 1" \n  \* MERGEFORMAT </w:instrText>
          </w:r>
          <w:r w:rsidRPr="0ED46586">
            <w:rPr>
              <w:rFonts w:ascii="Arial Narrow" w:hAnsi="Arial Narrow"/>
              <w:b/>
              <w:noProof/>
              <w:color w:val="FFFFFF"/>
            </w:rPr>
            <w:fldChar w:fldCharType="separate"/>
          </w:r>
          <w:r w:rsidR="00E67FF9" w:rsidRPr="00E67FF9">
            <w:rPr>
              <w:rFonts w:ascii="Arial Narrow" w:hAnsi="Arial Narrow"/>
              <w:bCs/>
              <w:noProof/>
              <w:color w:val="FFFFFF"/>
            </w:rPr>
            <w:t>2</w:t>
          </w:r>
          <w:r w:rsidRPr="0ED46586">
            <w:fldChar w:fldCharType="end"/>
          </w:r>
          <w:r w:rsidRPr="0ED46586">
            <w:rPr>
              <w:rFonts w:ascii="Arial Narrow" w:eastAsia="Arial Narrow" w:hAnsi="Arial Narrow" w:cs="Arial Narrow"/>
              <w:b/>
              <w:bCs/>
              <w:color w:val="FFFFFF"/>
            </w:rPr>
            <w:t>:</w:t>
          </w:r>
          <w:r>
            <w:rPr>
              <w:rFonts w:ascii="Arial Narrow" w:eastAsia="Arial Narrow" w:hAnsi="Arial Narrow" w:cs="Arial Narrow"/>
              <w:b/>
              <w:bCs/>
              <w:color w:val="FFFFFF"/>
            </w:rPr>
            <w:t xml:space="preserve"> </w:t>
          </w:r>
          <w:r w:rsidRPr="0ED46586">
            <w:fldChar w:fldCharType="begin"/>
          </w:r>
          <w:r>
            <w:rPr>
              <w:noProof/>
            </w:rPr>
            <w:instrText xml:space="preserve"> STYLEREF  "Heading 1"  \* MERGEFORMAT </w:instrText>
          </w:r>
          <w:r w:rsidRPr="0ED46586">
            <w:rPr>
              <w:noProof/>
            </w:rPr>
            <w:fldChar w:fldCharType="separate"/>
          </w:r>
          <w:r w:rsidR="00E67FF9" w:rsidRPr="00E67FF9">
            <w:rPr>
              <w:b/>
              <w:bCs/>
              <w:noProof/>
            </w:rPr>
            <w:t>Residential Measures</w:t>
          </w:r>
          <w:r w:rsidRPr="0ED46586">
            <w:fldChar w:fldCharType="end"/>
          </w:r>
        </w:p>
      </w:tc>
      <w:tc>
        <w:tcPr>
          <w:tcW w:w="3150" w:type="dxa"/>
          <w:tcBorders>
            <w:bottom w:val="single" w:sz="12" w:space="0" w:color="A6A6A6" w:themeColor="background1" w:themeShade="A6"/>
          </w:tcBorders>
          <w:shd w:val="clear" w:color="auto" w:fill="FFFFFF" w:themeFill="background1"/>
        </w:tcPr>
        <w:p w14:paraId="1A8A7B11" w14:textId="77777777" w:rsidR="00EA5BBF" w:rsidRPr="00F84A22" w:rsidRDefault="00EA5BBF" w:rsidP="00BD2C4C">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4D9FFB8A" w14:textId="77777777" w:rsidR="00EA5BBF" w:rsidRPr="00F84A22" w:rsidRDefault="00EA5BBF" w:rsidP="00BD2C4C">
          <w:pPr>
            <w:tabs>
              <w:tab w:val="right" w:pos="8640"/>
            </w:tabs>
            <w:rPr>
              <w:rFonts w:ascii="Arial Narrow" w:hAnsi="Arial Narrow"/>
              <w:u w:val="single"/>
            </w:rPr>
          </w:pPr>
        </w:p>
      </w:tc>
    </w:tr>
    <w:tr w:rsidR="00EA5BBF" w:rsidRPr="00C936BE" w14:paraId="1D5C0982" w14:textId="77777777" w:rsidTr="00BD2C4C">
      <w:trPr>
        <w:trHeight w:val="288"/>
      </w:trPr>
      <w:tc>
        <w:tcPr>
          <w:tcW w:w="7668" w:type="dxa"/>
          <w:gridSpan w:val="2"/>
          <w:tcBorders>
            <w:top w:val="single" w:sz="12" w:space="0" w:color="A6A6A6" w:themeColor="background1" w:themeShade="A6"/>
          </w:tcBorders>
          <w:shd w:val="clear" w:color="auto" w:fill="FFFFFF" w:themeFill="background1"/>
          <w:vAlign w:val="center"/>
        </w:tcPr>
        <w:p w14:paraId="44805E30" w14:textId="77777777" w:rsidR="00EA5BBF" w:rsidRPr="00F84A22" w:rsidRDefault="00EA5BBF" w:rsidP="00BD2C4C">
          <w:pPr>
            <w:tabs>
              <w:tab w:val="right" w:pos="8640"/>
            </w:tabs>
            <w:ind w:left="-90"/>
            <w:rPr>
              <w:rFonts w:ascii="Arial Narrow" w:hAnsi="Arial Narrow"/>
            </w:rPr>
          </w:pPr>
          <w:r>
            <w:t>Building Shell</w:t>
          </w:r>
        </w:p>
      </w:tc>
      <w:tc>
        <w:tcPr>
          <w:tcW w:w="1080" w:type="dxa"/>
          <w:tcBorders>
            <w:top w:val="single" w:sz="12" w:space="0" w:color="A6A6A6" w:themeColor="background1" w:themeShade="A6"/>
          </w:tcBorders>
          <w:shd w:val="clear" w:color="auto" w:fill="123663"/>
          <w:vAlign w:val="center"/>
        </w:tcPr>
        <w:p w14:paraId="0BAA3FBE" w14:textId="77777777" w:rsidR="00EA5BBF" w:rsidRPr="00F84A22" w:rsidRDefault="00EA5BBF" w:rsidP="00BD2C4C">
          <w:pPr>
            <w:tabs>
              <w:tab w:val="right" w:pos="8640"/>
            </w:tabs>
            <w:jc w:val="right"/>
            <w:rPr>
              <w:rFonts w:ascii="Arial Narrow" w:hAnsi="Arial Narrow"/>
              <w:b/>
              <w:bCs/>
              <w:color w:val="FFFFFF"/>
              <w:u w:val="single"/>
            </w:rPr>
          </w:pPr>
          <w:r w:rsidRPr="0ED46586">
            <w:rPr>
              <w:rFonts w:ascii="Arial Narrow" w:eastAsia="Arial Narrow" w:hAnsi="Arial Narrow" w:cs="Arial Narrow"/>
              <w:b/>
              <w:bCs/>
              <w:color w:val="FFFFFF"/>
            </w:rPr>
            <w:t>Page</w:t>
          </w:r>
          <w:r>
            <w:rPr>
              <w:rFonts w:ascii="Arial Narrow" w:eastAsia="Arial Narrow" w:hAnsi="Arial Narrow" w:cs="Arial Narrow"/>
              <w:b/>
              <w:bCs/>
              <w:color w:val="FFFFFF"/>
            </w:rPr>
            <w:t xml:space="preserve"> </w:t>
          </w:r>
          <w:r w:rsidRPr="0ED46586">
            <w:rPr>
              <w:rFonts w:ascii="Arial Narrow" w:hAnsi="Arial Narrow"/>
              <w:b/>
              <w:bCs/>
              <w:color w:val="FFFFFF"/>
            </w:rPr>
            <w:fldChar w:fldCharType="begin"/>
          </w:r>
          <w:r w:rsidRPr="00F84A22">
            <w:rPr>
              <w:rFonts w:ascii="Arial Narrow" w:hAnsi="Arial Narrow"/>
              <w:b/>
              <w:color w:val="FFFFFF"/>
            </w:rPr>
            <w:instrText xml:space="preserve"> PAGE </w:instrText>
          </w:r>
          <w:r w:rsidRPr="0ED46586">
            <w:rPr>
              <w:rFonts w:ascii="Arial Narrow" w:hAnsi="Arial Narrow"/>
              <w:b/>
              <w:color w:val="FFFFFF"/>
            </w:rPr>
            <w:fldChar w:fldCharType="separate"/>
          </w:r>
          <w:r w:rsidRPr="6306E6AA">
            <w:rPr>
              <w:rFonts w:ascii="Arial Narrow" w:hAnsi="Arial Narrow"/>
              <w:b/>
              <w:bCs/>
              <w:noProof/>
              <w:color w:val="FFFFFF"/>
            </w:rPr>
            <w:t>195</w:t>
          </w:r>
          <w:r w:rsidRPr="0ED46586">
            <w:rPr>
              <w:rFonts w:ascii="Arial Narrow" w:eastAsia="Arial Narrow" w:hAnsi="Arial Narrow" w:cs="Arial Narrow"/>
              <w:b/>
              <w:bCs/>
              <w:color w:val="FFFFFF"/>
            </w:rPr>
            <w:fldChar w:fldCharType="end"/>
          </w:r>
        </w:p>
      </w:tc>
    </w:tr>
  </w:tbl>
  <w:p w14:paraId="6EE57D84" w14:textId="77777777" w:rsidR="00EA5BBF" w:rsidRPr="00AE4498" w:rsidRDefault="00EA5BBF" w:rsidP="00BD2C4C">
    <w:pPr>
      <w:tabs>
        <w:tab w:val="right" w:pos="8640"/>
      </w:tabs>
      <w:spacing w:after="40"/>
      <w:rPr>
        <w:rFonts w:ascii="Arial Narrow" w:hAnsi="Arial Narrow"/>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008F0145" w14:paraId="1C686603" w14:textId="77777777" w:rsidTr="00BD2C4C">
      <w:tc>
        <w:tcPr>
          <w:tcW w:w="2880" w:type="dxa"/>
        </w:tcPr>
        <w:p w14:paraId="379DD55A" w14:textId="77777777" w:rsidR="008F0145" w:rsidRDefault="008F0145" w:rsidP="00BD2C4C">
          <w:pPr>
            <w:pStyle w:val="Header"/>
            <w:ind w:left="-115"/>
            <w:jc w:val="left"/>
          </w:pPr>
        </w:p>
      </w:tc>
      <w:tc>
        <w:tcPr>
          <w:tcW w:w="2880" w:type="dxa"/>
        </w:tcPr>
        <w:p w14:paraId="3D0EC16D" w14:textId="77777777" w:rsidR="008F0145" w:rsidRDefault="008F0145" w:rsidP="00BD2C4C">
          <w:pPr>
            <w:pStyle w:val="Header"/>
          </w:pPr>
        </w:p>
      </w:tc>
      <w:tc>
        <w:tcPr>
          <w:tcW w:w="2880" w:type="dxa"/>
        </w:tcPr>
        <w:p w14:paraId="7A1F435E" w14:textId="77777777" w:rsidR="008F0145" w:rsidRDefault="008F0145" w:rsidP="00BD2C4C">
          <w:pPr>
            <w:pStyle w:val="Header"/>
            <w:ind w:right="-115"/>
            <w:jc w:val="right"/>
          </w:pPr>
        </w:p>
      </w:tc>
    </w:tr>
  </w:tbl>
  <w:p w14:paraId="6C1E341D" w14:textId="77777777" w:rsidR="008F0145" w:rsidRDefault="008F0145" w:rsidP="00BD2C4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00EA5BBF" w14:paraId="5EFF397B" w14:textId="77777777" w:rsidTr="00BD2C4C">
      <w:tc>
        <w:tcPr>
          <w:tcW w:w="2880" w:type="dxa"/>
        </w:tcPr>
        <w:p w14:paraId="13BC78F5" w14:textId="77777777" w:rsidR="00EA5BBF" w:rsidRDefault="00EA5BBF" w:rsidP="00BD2C4C">
          <w:pPr>
            <w:pStyle w:val="Header"/>
            <w:ind w:left="-115"/>
            <w:jc w:val="left"/>
          </w:pPr>
        </w:p>
      </w:tc>
      <w:tc>
        <w:tcPr>
          <w:tcW w:w="2880" w:type="dxa"/>
        </w:tcPr>
        <w:p w14:paraId="407908A0" w14:textId="77777777" w:rsidR="00EA5BBF" w:rsidRDefault="00EA5BBF" w:rsidP="00BD2C4C">
          <w:pPr>
            <w:pStyle w:val="Header"/>
          </w:pPr>
        </w:p>
      </w:tc>
      <w:tc>
        <w:tcPr>
          <w:tcW w:w="2880" w:type="dxa"/>
        </w:tcPr>
        <w:p w14:paraId="7E4CAFBF" w14:textId="77777777" w:rsidR="00EA5BBF" w:rsidRDefault="00EA5BBF" w:rsidP="00BD2C4C">
          <w:pPr>
            <w:pStyle w:val="Header"/>
            <w:ind w:right="-115"/>
            <w:jc w:val="right"/>
          </w:pPr>
        </w:p>
      </w:tc>
    </w:tr>
  </w:tbl>
  <w:p w14:paraId="004D10B5" w14:textId="77777777" w:rsidR="00EA5BBF" w:rsidRDefault="00EA5BBF" w:rsidP="00BD2C4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00EA5BBF" w14:paraId="20F7651E" w14:textId="77777777" w:rsidTr="00BD2C4C">
      <w:tc>
        <w:tcPr>
          <w:tcW w:w="2880" w:type="dxa"/>
        </w:tcPr>
        <w:p w14:paraId="74D76D18" w14:textId="77777777" w:rsidR="00EA5BBF" w:rsidRDefault="00EA5BBF" w:rsidP="00BD2C4C">
          <w:pPr>
            <w:pStyle w:val="Header"/>
            <w:ind w:left="-115"/>
            <w:jc w:val="left"/>
          </w:pPr>
        </w:p>
      </w:tc>
      <w:tc>
        <w:tcPr>
          <w:tcW w:w="2880" w:type="dxa"/>
        </w:tcPr>
        <w:p w14:paraId="07812184" w14:textId="77777777" w:rsidR="00EA5BBF" w:rsidRDefault="00EA5BBF" w:rsidP="00BD2C4C">
          <w:pPr>
            <w:pStyle w:val="Header"/>
          </w:pPr>
        </w:p>
      </w:tc>
      <w:tc>
        <w:tcPr>
          <w:tcW w:w="2880" w:type="dxa"/>
        </w:tcPr>
        <w:p w14:paraId="7FEF78BA" w14:textId="77777777" w:rsidR="00EA5BBF" w:rsidRDefault="00EA5BBF" w:rsidP="00BD2C4C">
          <w:pPr>
            <w:pStyle w:val="Header"/>
            <w:ind w:right="-115"/>
            <w:jc w:val="right"/>
          </w:pPr>
        </w:p>
      </w:tc>
    </w:tr>
  </w:tbl>
  <w:p w14:paraId="4DEEF8F4" w14:textId="77777777" w:rsidR="00EA5BBF" w:rsidRDefault="00EA5BBF" w:rsidP="00BD2C4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48" w:type="dxa"/>
      <w:shd w:val="clear" w:color="auto" w:fill="A6A6A6"/>
      <w:tblLook w:val="04A0" w:firstRow="1" w:lastRow="0" w:firstColumn="1" w:lastColumn="0" w:noHBand="0" w:noVBand="1"/>
    </w:tblPr>
    <w:tblGrid>
      <w:gridCol w:w="4518"/>
      <w:gridCol w:w="3150"/>
      <w:gridCol w:w="1080"/>
    </w:tblGrid>
    <w:tr w:rsidR="00EA5BBF" w14:paraId="50CA39EF" w14:textId="77777777" w:rsidTr="00BD2C4C">
      <w:trPr>
        <w:trHeight w:val="288"/>
      </w:trPr>
      <w:tc>
        <w:tcPr>
          <w:tcW w:w="4518" w:type="dxa"/>
          <w:tcBorders>
            <w:bottom w:val="single" w:sz="12" w:space="0" w:color="A6A6A6" w:themeColor="background1" w:themeShade="A6"/>
          </w:tcBorders>
          <w:shd w:val="clear" w:color="auto" w:fill="123663"/>
          <w:vAlign w:val="center"/>
        </w:tcPr>
        <w:p w14:paraId="781A13C2" w14:textId="6EE844C6" w:rsidR="00EA5BBF" w:rsidRPr="00F84A22" w:rsidRDefault="00EA5BBF" w:rsidP="00BD2C4C">
          <w:pPr>
            <w:tabs>
              <w:tab w:val="right" w:pos="8640"/>
            </w:tabs>
            <w:rPr>
              <w:rFonts w:ascii="Arial Narrow" w:hAnsi="Arial Narrow"/>
              <w:b/>
              <w:bCs/>
              <w:color w:val="FFFFFF"/>
            </w:rPr>
          </w:pPr>
          <w:r>
            <w:rPr>
              <w:rFonts w:ascii="Arial Narrow" w:eastAsia="Arial Narrow" w:hAnsi="Arial Narrow" w:cs="Arial Narrow"/>
              <w:b/>
              <w:bCs/>
              <w:color w:val="FFFFFF"/>
            </w:rPr>
            <w:t xml:space="preserve">VOLUME </w:t>
          </w:r>
          <w:r w:rsidRPr="0ED46586">
            <w:fldChar w:fldCharType="begin"/>
          </w:r>
          <w:r>
            <w:rPr>
              <w:rFonts w:ascii="Arial Narrow" w:hAnsi="Arial Narrow"/>
              <w:b/>
              <w:noProof/>
              <w:color w:val="FFFFFF"/>
            </w:rPr>
            <w:instrText xml:space="preserve"> STYLEREF  "Heading 1" \n  \* MERGEFORMAT </w:instrText>
          </w:r>
          <w:r w:rsidRPr="0ED46586">
            <w:rPr>
              <w:rFonts w:ascii="Arial Narrow" w:hAnsi="Arial Narrow"/>
              <w:b/>
              <w:noProof/>
              <w:color w:val="FFFFFF"/>
            </w:rPr>
            <w:fldChar w:fldCharType="separate"/>
          </w:r>
          <w:r w:rsidR="00E67FF9" w:rsidRPr="00E67FF9">
            <w:rPr>
              <w:rFonts w:ascii="Arial Narrow" w:hAnsi="Arial Narrow"/>
              <w:bCs/>
              <w:noProof/>
              <w:color w:val="FFFFFF"/>
            </w:rPr>
            <w:t>2</w:t>
          </w:r>
          <w:r w:rsidRPr="0ED46586">
            <w:fldChar w:fldCharType="end"/>
          </w:r>
          <w:r w:rsidRPr="0ED46586">
            <w:rPr>
              <w:rFonts w:ascii="Arial Narrow" w:eastAsia="Arial Narrow" w:hAnsi="Arial Narrow" w:cs="Arial Narrow"/>
              <w:b/>
              <w:bCs/>
              <w:color w:val="FFFFFF"/>
            </w:rPr>
            <w:t>:</w:t>
          </w:r>
          <w:r>
            <w:rPr>
              <w:rFonts w:ascii="Arial Narrow" w:eastAsia="Arial Narrow" w:hAnsi="Arial Narrow" w:cs="Arial Narrow"/>
              <w:b/>
              <w:bCs/>
              <w:color w:val="FFFFFF"/>
            </w:rPr>
            <w:t xml:space="preserve"> </w:t>
          </w:r>
          <w:r w:rsidRPr="0ED46586">
            <w:fldChar w:fldCharType="begin"/>
          </w:r>
          <w:r>
            <w:rPr>
              <w:noProof/>
            </w:rPr>
            <w:instrText xml:space="preserve"> STYLEREF  "Heading 1"  \* MERGEFORMAT </w:instrText>
          </w:r>
          <w:r w:rsidRPr="0ED46586">
            <w:rPr>
              <w:noProof/>
            </w:rPr>
            <w:fldChar w:fldCharType="separate"/>
          </w:r>
          <w:r w:rsidR="00E67FF9" w:rsidRPr="00E67FF9">
            <w:rPr>
              <w:b/>
              <w:bCs/>
              <w:noProof/>
            </w:rPr>
            <w:t>Residential Measures</w:t>
          </w:r>
          <w:r w:rsidRPr="0ED46586">
            <w:fldChar w:fldCharType="end"/>
          </w:r>
        </w:p>
      </w:tc>
      <w:tc>
        <w:tcPr>
          <w:tcW w:w="3150" w:type="dxa"/>
          <w:tcBorders>
            <w:bottom w:val="single" w:sz="12" w:space="0" w:color="A6A6A6" w:themeColor="background1" w:themeShade="A6"/>
          </w:tcBorders>
          <w:shd w:val="clear" w:color="auto" w:fill="FFFFFF" w:themeFill="background1"/>
        </w:tcPr>
        <w:p w14:paraId="1B74E6E0" w14:textId="77777777" w:rsidR="00EA5BBF" w:rsidRPr="00F84A22" w:rsidRDefault="00EA5BBF" w:rsidP="00BD2C4C">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6EC9DA57" w14:textId="77777777" w:rsidR="00EA5BBF" w:rsidRPr="00F84A22" w:rsidRDefault="00EA5BBF" w:rsidP="00BD2C4C">
          <w:pPr>
            <w:tabs>
              <w:tab w:val="right" w:pos="8640"/>
            </w:tabs>
            <w:rPr>
              <w:rFonts w:ascii="Arial Narrow" w:hAnsi="Arial Narrow"/>
              <w:u w:val="single"/>
            </w:rPr>
          </w:pPr>
        </w:p>
      </w:tc>
    </w:tr>
    <w:tr w:rsidR="00EA5BBF" w:rsidRPr="00C936BE" w14:paraId="72901D81" w14:textId="77777777" w:rsidTr="00BD2C4C">
      <w:trPr>
        <w:trHeight w:val="288"/>
      </w:trPr>
      <w:tc>
        <w:tcPr>
          <w:tcW w:w="7668" w:type="dxa"/>
          <w:gridSpan w:val="2"/>
          <w:tcBorders>
            <w:top w:val="single" w:sz="12" w:space="0" w:color="A6A6A6" w:themeColor="background1" w:themeShade="A6"/>
          </w:tcBorders>
          <w:shd w:val="clear" w:color="auto" w:fill="FFFFFF" w:themeFill="background1"/>
          <w:vAlign w:val="center"/>
        </w:tcPr>
        <w:p w14:paraId="791D6940" w14:textId="77777777" w:rsidR="00EA5BBF" w:rsidRPr="00F84A22" w:rsidRDefault="00EA5BBF" w:rsidP="00BD2C4C">
          <w:pPr>
            <w:tabs>
              <w:tab w:val="right" w:pos="8640"/>
            </w:tabs>
            <w:ind w:left="-90"/>
            <w:rPr>
              <w:rFonts w:ascii="Arial Narrow" w:hAnsi="Arial Narrow"/>
            </w:rPr>
          </w:pPr>
          <w:r>
            <w:t>Building Shell</w:t>
          </w:r>
        </w:p>
      </w:tc>
      <w:tc>
        <w:tcPr>
          <w:tcW w:w="1080" w:type="dxa"/>
          <w:tcBorders>
            <w:top w:val="single" w:sz="12" w:space="0" w:color="A6A6A6" w:themeColor="background1" w:themeShade="A6"/>
          </w:tcBorders>
          <w:shd w:val="clear" w:color="auto" w:fill="123663"/>
          <w:vAlign w:val="center"/>
        </w:tcPr>
        <w:p w14:paraId="785BBDDF" w14:textId="77777777" w:rsidR="00EA5BBF" w:rsidRPr="00F84A22" w:rsidRDefault="00EA5BBF" w:rsidP="00BD2C4C">
          <w:pPr>
            <w:tabs>
              <w:tab w:val="right" w:pos="8640"/>
            </w:tabs>
            <w:jc w:val="right"/>
            <w:rPr>
              <w:rFonts w:ascii="Arial Narrow" w:hAnsi="Arial Narrow"/>
              <w:b/>
              <w:bCs/>
              <w:color w:val="FFFFFF"/>
              <w:u w:val="single"/>
            </w:rPr>
          </w:pPr>
          <w:r w:rsidRPr="0ED46586">
            <w:rPr>
              <w:rFonts w:ascii="Arial Narrow" w:eastAsia="Arial Narrow" w:hAnsi="Arial Narrow" w:cs="Arial Narrow"/>
              <w:b/>
              <w:bCs/>
              <w:color w:val="FFFFFF"/>
            </w:rPr>
            <w:t>Page</w:t>
          </w:r>
          <w:r>
            <w:rPr>
              <w:rFonts w:ascii="Arial Narrow" w:eastAsia="Arial Narrow" w:hAnsi="Arial Narrow" w:cs="Arial Narrow"/>
              <w:b/>
              <w:bCs/>
              <w:color w:val="FFFFFF"/>
            </w:rPr>
            <w:t xml:space="preserve"> </w:t>
          </w:r>
          <w:r w:rsidRPr="0ED46586">
            <w:rPr>
              <w:rFonts w:ascii="Arial Narrow" w:hAnsi="Arial Narrow"/>
              <w:b/>
              <w:bCs/>
              <w:color w:val="FFFFFF"/>
            </w:rPr>
            <w:fldChar w:fldCharType="begin"/>
          </w:r>
          <w:r w:rsidRPr="00F84A22">
            <w:rPr>
              <w:rFonts w:ascii="Arial Narrow" w:hAnsi="Arial Narrow"/>
              <w:b/>
              <w:color w:val="FFFFFF"/>
            </w:rPr>
            <w:instrText xml:space="preserve"> PAGE </w:instrText>
          </w:r>
          <w:r w:rsidRPr="0ED46586">
            <w:rPr>
              <w:rFonts w:ascii="Arial Narrow" w:hAnsi="Arial Narrow"/>
              <w:b/>
              <w:color w:val="FFFFFF"/>
            </w:rPr>
            <w:fldChar w:fldCharType="separate"/>
          </w:r>
          <w:r>
            <w:rPr>
              <w:rFonts w:ascii="Arial Narrow" w:hAnsi="Arial Narrow"/>
              <w:b/>
              <w:noProof/>
              <w:color w:val="FFFFFF"/>
            </w:rPr>
            <w:t>38</w:t>
          </w:r>
          <w:r w:rsidRPr="0ED46586">
            <w:rPr>
              <w:rFonts w:ascii="Arial Narrow" w:eastAsia="Arial Narrow" w:hAnsi="Arial Narrow" w:cs="Arial Narrow"/>
              <w:b/>
              <w:bCs/>
              <w:color w:val="FFFFFF"/>
            </w:rPr>
            <w:fldChar w:fldCharType="end"/>
          </w:r>
        </w:p>
      </w:tc>
    </w:tr>
  </w:tbl>
  <w:p w14:paraId="1DC8C3B1" w14:textId="77777777" w:rsidR="00EA5BBF" w:rsidRPr="00AE4498" w:rsidRDefault="00EA5BBF" w:rsidP="00BD2C4C">
    <w:pPr>
      <w:tabs>
        <w:tab w:val="right" w:pos="8640"/>
      </w:tabs>
      <w:spacing w:after="40"/>
      <w:rPr>
        <w:rFonts w:ascii="Arial Narrow" w:hAnsi="Arial Narrow"/>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00EA5BBF" w14:paraId="2DF8DF0C" w14:textId="77777777" w:rsidTr="00BD2C4C">
      <w:tc>
        <w:tcPr>
          <w:tcW w:w="2880" w:type="dxa"/>
        </w:tcPr>
        <w:p w14:paraId="675DBB94" w14:textId="77777777" w:rsidR="00EA5BBF" w:rsidRDefault="00EA5BBF" w:rsidP="00BD2C4C">
          <w:pPr>
            <w:pStyle w:val="Header"/>
            <w:ind w:left="-115"/>
            <w:jc w:val="left"/>
          </w:pPr>
        </w:p>
      </w:tc>
      <w:tc>
        <w:tcPr>
          <w:tcW w:w="2880" w:type="dxa"/>
        </w:tcPr>
        <w:p w14:paraId="11F1FC74" w14:textId="77777777" w:rsidR="00EA5BBF" w:rsidRDefault="00EA5BBF" w:rsidP="00BD2C4C">
          <w:pPr>
            <w:pStyle w:val="Header"/>
          </w:pPr>
        </w:p>
      </w:tc>
      <w:tc>
        <w:tcPr>
          <w:tcW w:w="2880" w:type="dxa"/>
        </w:tcPr>
        <w:p w14:paraId="0B6E9FE6" w14:textId="77777777" w:rsidR="00EA5BBF" w:rsidRDefault="00EA5BBF" w:rsidP="00BD2C4C">
          <w:pPr>
            <w:pStyle w:val="Header"/>
            <w:ind w:right="-115"/>
            <w:jc w:val="right"/>
          </w:pPr>
        </w:p>
      </w:tc>
    </w:tr>
  </w:tbl>
  <w:p w14:paraId="3F919472" w14:textId="77777777" w:rsidR="00EA5BBF" w:rsidRDefault="00EA5BBF" w:rsidP="00BD2C4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48" w:type="dxa"/>
      <w:shd w:val="clear" w:color="auto" w:fill="A6A6A6"/>
      <w:tblLook w:val="04A0" w:firstRow="1" w:lastRow="0" w:firstColumn="1" w:lastColumn="0" w:noHBand="0" w:noVBand="1"/>
    </w:tblPr>
    <w:tblGrid>
      <w:gridCol w:w="4518"/>
      <w:gridCol w:w="3150"/>
      <w:gridCol w:w="1080"/>
    </w:tblGrid>
    <w:tr w:rsidR="00FA7EEB" w14:paraId="7708B8B1" w14:textId="77777777" w:rsidTr="00BD2C4C">
      <w:trPr>
        <w:trHeight w:val="288"/>
      </w:trPr>
      <w:tc>
        <w:tcPr>
          <w:tcW w:w="4518" w:type="dxa"/>
          <w:tcBorders>
            <w:bottom w:val="single" w:sz="12" w:space="0" w:color="A6A6A6" w:themeColor="background1" w:themeShade="A6"/>
          </w:tcBorders>
          <w:shd w:val="clear" w:color="auto" w:fill="123663"/>
          <w:vAlign w:val="center"/>
        </w:tcPr>
        <w:p w14:paraId="669D2DC0" w14:textId="377F27AC" w:rsidR="00FA7EEB" w:rsidRDefault="00FA7EEB" w:rsidP="00BD2C4C">
          <w:pPr>
            <w:tabs>
              <w:tab w:val="right" w:pos="8640"/>
            </w:tabs>
            <w:rPr>
              <w:rFonts w:ascii="Arial Narrow" w:eastAsia="Arial Narrow" w:hAnsi="Arial Narrow" w:cs="Arial Narrow"/>
              <w:b/>
              <w:color w:val="FFFFFF"/>
            </w:rPr>
          </w:pPr>
          <w:r>
            <w:rPr>
              <w:rFonts w:ascii="Arial Narrow" w:eastAsia="Arial Narrow" w:hAnsi="Arial Narrow" w:cs="Arial Narrow"/>
              <w:b/>
              <w:bCs/>
              <w:color w:val="FFFFFF"/>
            </w:rPr>
            <w:t xml:space="preserve">VOLUME </w:t>
          </w:r>
          <w:r w:rsidRPr="0ED46586">
            <w:fldChar w:fldCharType="begin"/>
          </w:r>
          <w:r>
            <w:rPr>
              <w:rFonts w:ascii="Arial Narrow" w:hAnsi="Arial Narrow"/>
              <w:b/>
              <w:noProof/>
              <w:color w:val="FFFFFF"/>
            </w:rPr>
            <w:instrText xml:space="preserve"> STYLEREF  "Heading 1" \n  \* MERGEFORMAT </w:instrText>
          </w:r>
          <w:r w:rsidRPr="0ED46586">
            <w:rPr>
              <w:rFonts w:ascii="Arial Narrow" w:hAnsi="Arial Narrow"/>
              <w:b/>
              <w:noProof/>
              <w:color w:val="FFFFFF"/>
            </w:rPr>
            <w:fldChar w:fldCharType="separate"/>
          </w:r>
          <w:r w:rsidR="00E67FF9" w:rsidRPr="00E67FF9">
            <w:rPr>
              <w:rFonts w:ascii="Arial Narrow" w:hAnsi="Arial Narrow"/>
              <w:bCs/>
              <w:noProof/>
              <w:color w:val="FFFFFF"/>
            </w:rPr>
            <w:t>2</w:t>
          </w:r>
          <w:r w:rsidRPr="0ED46586">
            <w:fldChar w:fldCharType="end"/>
          </w:r>
          <w:r w:rsidRPr="0ED46586">
            <w:rPr>
              <w:rFonts w:ascii="Arial Narrow" w:eastAsia="Arial Narrow" w:hAnsi="Arial Narrow" w:cs="Arial Narrow"/>
              <w:b/>
              <w:bCs/>
              <w:color w:val="FFFFFF"/>
            </w:rPr>
            <w:t>:</w:t>
          </w:r>
          <w:r>
            <w:rPr>
              <w:rFonts w:ascii="Arial Narrow" w:eastAsia="Arial Narrow" w:hAnsi="Arial Narrow" w:cs="Arial Narrow"/>
              <w:b/>
              <w:bCs/>
              <w:color w:val="FFFFFF"/>
            </w:rPr>
            <w:t xml:space="preserve"> </w:t>
          </w:r>
          <w:r w:rsidRPr="0ED46586">
            <w:fldChar w:fldCharType="begin"/>
          </w:r>
          <w:r>
            <w:rPr>
              <w:noProof/>
            </w:rPr>
            <w:instrText xml:space="preserve"> STYLEREF  "Heading 1"  \* MERGEFORMAT </w:instrText>
          </w:r>
          <w:r w:rsidRPr="0ED46586">
            <w:fldChar w:fldCharType="separate"/>
          </w:r>
          <w:r w:rsidR="00E67FF9">
            <w:rPr>
              <w:noProof/>
            </w:rPr>
            <w:t>Residential Measures</w:t>
          </w:r>
          <w:r w:rsidRPr="0ED46586">
            <w:fldChar w:fldCharType="end"/>
          </w:r>
        </w:p>
      </w:tc>
      <w:tc>
        <w:tcPr>
          <w:tcW w:w="3150" w:type="dxa"/>
          <w:tcBorders>
            <w:bottom w:val="single" w:sz="12" w:space="0" w:color="A6A6A6" w:themeColor="background1" w:themeShade="A6"/>
          </w:tcBorders>
          <w:shd w:val="clear" w:color="auto" w:fill="FFFFFF" w:themeFill="background1"/>
        </w:tcPr>
        <w:p w14:paraId="36F10CF8" w14:textId="77777777" w:rsidR="00FA7EEB" w:rsidRPr="00F84A22" w:rsidRDefault="00FA7EEB" w:rsidP="00BD2C4C">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588B6759" w14:textId="77777777" w:rsidR="00FA7EEB" w:rsidRPr="00F84A22" w:rsidRDefault="00FA7EEB" w:rsidP="00BD2C4C">
          <w:pPr>
            <w:tabs>
              <w:tab w:val="right" w:pos="8640"/>
            </w:tabs>
            <w:rPr>
              <w:rFonts w:ascii="Arial Narrow" w:hAnsi="Arial Narrow"/>
              <w:u w:val="single"/>
            </w:rPr>
          </w:pPr>
        </w:p>
      </w:tc>
    </w:tr>
    <w:tr w:rsidR="00FA7EEB" w:rsidRPr="00C936BE" w14:paraId="6B4A1359" w14:textId="77777777" w:rsidTr="00BD2C4C">
      <w:trPr>
        <w:trHeight w:val="288"/>
      </w:trPr>
      <w:tc>
        <w:tcPr>
          <w:tcW w:w="7668" w:type="dxa"/>
          <w:gridSpan w:val="2"/>
          <w:tcBorders>
            <w:top w:val="single" w:sz="12" w:space="0" w:color="A6A6A6" w:themeColor="background1" w:themeShade="A6"/>
          </w:tcBorders>
          <w:shd w:val="clear" w:color="auto" w:fill="FFFFFF" w:themeFill="background1"/>
          <w:vAlign w:val="center"/>
        </w:tcPr>
        <w:p w14:paraId="24A245B4" w14:textId="77777777" w:rsidR="00FA7EEB" w:rsidRPr="00F84A22" w:rsidRDefault="00FA7EEB" w:rsidP="00BD2C4C">
          <w:pPr>
            <w:tabs>
              <w:tab w:val="right" w:pos="8640"/>
            </w:tabs>
            <w:ind w:left="-90"/>
            <w:rPr>
              <w:rFonts w:ascii="Arial Narrow" w:hAnsi="Arial Narrow"/>
            </w:rPr>
          </w:pPr>
          <w:r>
            <w:t>Whole Home</w:t>
          </w:r>
        </w:p>
      </w:tc>
      <w:tc>
        <w:tcPr>
          <w:tcW w:w="1080" w:type="dxa"/>
          <w:tcBorders>
            <w:top w:val="single" w:sz="12" w:space="0" w:color="A6A6A6" w:themeColor="background1" w:themeShade="A6"/>
          </w:tcBorders>
          <w:shd w:val="clear" w:color="auto" w:fill="123663"/>
          <w:vAlign w:val="center"/>
        </w:tcPr>
        <w:p w14:paraId="0058D759" w14:textId="77777777" w:rsidR="00FA7EEB" w:rsidRPr="00F84A22" w:rsidRDefault="00FA7EEB" w:rsidP="00BD2C4C">
          <w:pPr>
            <w:tabs>
              <w:tab w:val="right" w:pos="8640"/>
            </w:tabs>
            <w:jc w:val="right"/>
            <w:rPr>
              <w:rFonts w:ascii="Arial Narrow" w:hAnsi="Arial Narrow"/>
              <w:b/>
              <w:bCs/>
              <w:color w:val="FFFFFF"/>
              <w:u w:val="single"/>
            </w:rPr>
          </w:pPr>
          <w:r w:rsidRPr="0ED46586">
            <w:rPr>
              <w:rFonts w:ascii="Arial Narrow" w:eastAsia="Arial Narrow" w:hAnsi="Arial Narrow" w:cs="Arial Narrow"/>
              <w:b/>
              <w:bCs/>
              <w:color w:val="FFFFFF"/>
            </w:rPr>
            <w:t>Page</w:t>
          </w:r>
          <w:r>
            <w:rPr>
              <w:rFonts w:ascii="Arial Narrow" w:eastAsia="Arial Narrow" w:hAnsi="Arial Narrow" w:cs="Arial Narrow"/>
              <w:b/>
              <w:bCs/>
              <w:color w:val="FFFFFF"/>
            </w:rPr>
            <w:t xml:space="preserve"> </w:t>
          </w:r>
          <w:r w:rsidRPr="0ED46586">
            <w:rPr>
              <w:rFonts w:ascii="Arial Narrow" w:hAnsi="Arial Narrow"/>
              <w:b/>
              <w:bCs/>
              <w:color w:val="FFFFFF"/>
            </w:rPr>
            <w:fldChar w:fldCharType="begin"/>
          </w:r>
          <w:r w:rsidRPr="00F84A22">
            <w:rPr>
              <w:rFonts w:ascii="Arial Narrow" w:hAnsi="Arial Narrow"/>
              <w:b/>
              <w:color w:val="FFFFFF"/>
            </w:rPr>
            <w:instrText xml:space="preserve"> PAGE </w:instrText>
          </w:r>
          <w:r w:rsidRPr="0ED46586">
            <w:rPr>
              <w:rFonts w:ascii="Arial Narrow" w:hAnsi="Arial Narrow"/>
              <w:b/>
              <w:color w:val="FFFFFF"/>
            </w:rPr>
            <w:fldChar w:fldCharType="separate"/>
          </w:r>
          <w:r>
            <w:rPr>
              <w:rFonts w:ascii="Arial Narrow" w:hAnsi="Arial Narrow"/>
              <w:b/>
              <w:noProof/>
              <w:color w:val="FFFFFF"/>
            </w:rPr>
            <w:t>59</w:t>
          </w:r>
          <w:r w:rsidRPr="0ED46586">
            <w:rPr>
              <w:rFonts w:ascii="Arial Narrow" w:eastAsia="Arial Narrow" w:hAnsi="Arial Narrow" w:cs="Arial Narrow"/>
              <w:b/>
              <w:bCs/>
              <w:color w:val="FFFFFF"/>
            </w:rPr>
            <w:fldChar w:fldCharType="end"/>
          </w:r>
        </w:p>
      </w:tc>
    </w:tr>
  </w:tbl>
  <w:p w14:paraId="13D52902" w14:textId="77777777" w:rsidR="00FA7EEB" w:rsidRPr="00AE4498" w:rsidRDefault="00FA7EEB" w:rsidP="00BD2C4C">
    <w:pPr>
      <w:tabs>
        <w:tab w:val="right" w:pos="8640"/>
      </w:tabs>
      <w:spacing w:after="40"/>
      <w:rPr>
        <w:rFonts w:ascii="Arial Narrow" w:hAnsi="Arial Narrow"/>
        <w:sz w:val="2"/>
        <w:szCs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008F0145" w14:paraId="6E2566A8" w14:textId="77777777" w:rsidTr="00BD2C4C">
      <w:tc>
        <w:tcPr>
          <w:tcW w:w="2880" w:type="dxa"/>
        </w:tcPr>
        <w:p w14:paraId="6620DB1B" w14:textId="77777777" w:rsidR="008F0145" w:rsidRDefault="008F0145" w:rsidP="00BD2C4C">
          <w:pPr>
            <w:pStyle w:val="Header"/>
            <w:ind w:left="-115"/>
            <w:jc w:val="left"/>
          </w:pPr>
        </w:p>
      </w:tc>
      <w:tc>
        <w:tcPr>
          <w:tcW w:w="2880" w:type="dxa"/>
        </w:tcPr>
        <w:p w14:paraId="15828C54" w14:textId="77777777" w:rsidR="008F0145" w:rsidRDefault="008F0145" w:rsidP="00BD2C4C">
          <w:pPr>
            <w:pStyle w:val="Header"/>
          </w:pPr>
        </w:p>
      </w:tc>
      <w:tc>
        <w:tcPr>
          <w:tcW w:w="2880" w:type="dxa"/>
        </w:tcPr>
        <w:p w14:paraId="4C4E2D1C" w14:textId="77777777" w:rsidR="008F0145" w:rsidRDefault="008F0145" w:rsidP="00BD2C4C">
          <w:pPr>
            <w:pStyle w:val="Header"/>
            <w:ind w:right="-115"/>
            <w:jc w:val="right"/>
          </w:pPr>
        </w:p>
      </w:tc>
    </w:tr>
  </w:tbl>
  <w:p w14:paraId="2BE032EB" w14:textId="77777777" w:rsidR="008F0145" w:rsidRDefault="008F0145" w:rsidP="00BD2C4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48" w:type="dxa"/>
      <w:shd w:val="clear" w:color="auto" w:fill="A6A6A6"/>
      <w:tblLook w:val="04A0" w:firstRow="1" w:lastRow="0" w:firstColumn="1" w:lastColumn="0" w:noHBand="0" w:noVBand="1"/>
    </w:tblPr>
    <w:tblGrid>
      <w:gridCol w:w="4518"/>
      <w:gridCol w:w="3150"/>
      <w:gridCol w:w="1080"/>
    </w:tblGrid>
    <w:tr w:rsidR="00E44576" w14:paraId="15F5E27F" w14:textId="77777777" w:rsidTr="00BD2C4C">
      <w:trPr>
        <w:trHeight w:val="288"/>
      </w:trPr>
      <w:tc>
        <w:tcPr>
          <w:tcW w:w="4518" w:type="dxa"/>
          <w:tcBorders>
            <w:bottom w:val="single" w:sz="12" w:space="0" w:color="A6A6A6" w:themeColor="background1" w:themeShade="A6"/>
          </w:tcBorders>
          <w:shd w:val="clear" w:color="auto" w:fill="123663"/>
          <w:vAlign w:val="center"/>
        </w:tcPr>
        <w:p w14:paraId="69F354F4" w14:textId="7E53B0CB" w:rsidR="00E44576" w:rsidRDefault="00E44576" w:rsidP="00BD2C4C">
          <w:pPr>
            <w:tabs>
              <w:tab w:val="right" w:pos="8640"/>
            </w:tabs>
            <w:rPr>
              <w:rFonts w:ascii="Arial Narrow" w:eastAsia="Arial Narrow" w:hAnsi="Arial Narrow" w:cs="Arial Narrow"/>
              <w:b/>
              <w:color w:val="FFFFFF"/>
            </w:rPr>
          </w:pPr>
          <w:r>
            <w:rPr>
              <w:rFonts w:ascii="Arial Narrow" w:eastAsia="Arial Narrow" w:hAnsi="Arial Narrow" w:cs="Arial Narrow"/>
              <w:b/>
              <w:bCs/>
              <w:color w:val="FFFFFF"/>
            </w:rPr>
            <w:t xml:space="preserve">VOLUME </w:t>
          </w:r>
          <w:r w:rsidRPr="0ED46586">
            <w:fldChar w:fldCharType="begin"/>
          </w:r>
          <w:r>
            <w:rPr>
              <w:rFonts w:ascii="Arial Narrow" w:hAnsi="Arial Narrow"/>
              <w:b/>
              <w:noProof/>
              <w:color w:val="FFFFFF"/>
            </w:rPr>
            <w:instrText xml:space="preserve"> STYLEREF  "Heading 1" \n  \* MERGEFORMAT </w:instrText>
          </w:r>
          <w:r w:rsidRPr="0ED46586">
            <w:rPr>
              <w:rFonts w:ascii="Arial Narrow" w:hAnsi="Arial Narrow"/>
              <w:b/>
              <w:noProof/>
              <w:color w:val="FFFFFF"/>
            </w:rPr>
            <w:fldChar w:fldCharType="separate"/>
          </w:r>
          <w:r w:rsidR="00E67FF9" w:rsidRPr="00E67FF9">
            <w:rPr>
              <w:rFonts w:ascii="Arial Narrow" w:hAnsi="Arial Narrow"/>
              <w:bCs/>
              <w:noProof/>
              <w:color w:val="FFFFFF"/>
            </w:rPr>
            <w:t>2</w:t>
          </w:r>
          <w:r w:rsidRPr="0ED46586">
            <w:fldChar w:fldCharType="end"/>
          </w:r>
          <w:r w:rsidRPr="0ED46586">
            <w:rPr>
              <w:rFonts w:ascii="Arial Narrow" w:eastAsia="Arial Narrow" w:hAnsi="Arial Narrow" w:cs="Arial Narrow"/>
              <w:b/>
              <w:bCs/>
              <w:color w:val="FFFFFF"/>
            </w:rPr>
            <w:t>:</w:t>
          </w:r>
          <w:r>
            <w:rPr>
              <w:rFonts w:ascii="Arial Narrow" w:eastAsia="Arial Narrow" w:hAnsi="Arial Narrow" w:cs="Arial Narrow"/>
              <w:b/>
              <w:bCs/>
              <w:color w:val="FFFFFF"/>
            </w:rPr>
            <w:t xml:space="preserve"> </w:t>
          </w:r>
          <w:r w:rsidRPr="0ED46586">
            <w:fldChar w:fldCharType="begin"/>
          </w:r>
          <w:r>
            <w:rPr>
              <w:noProof/>
            </w:rPr>
            <w:instrText xml:space="preserve"> STYLEREF  "Heading 1"  \* MERGEFORMAT </w:instrText>
          </w:r>
          <w:r w:rsidRPr="0ED46586">
            <w:fldChar w:fldCharType="separate"/>
          </w:r>
          <w:r w:rsidR="00E67FF9">
            <w:rPr>
              <w:noProof/>
            </w:rPr>
            <w:t>Residential Measures</w:t>
          </w:r>
          <w:r w:rsidRPr="0ED46586">
            <w:fldChar w:fldCharType="end"/>
          </w:r>
        </w:p>
      </w:tc>
      <w:tc>
        <w:tcPr>
          <w:tcW w:w="3150" w:type="dxa"/>
          <w:tcBorders>
            <w:bottom w:val="single" w:sz="12" w:space="0" w:color="A6A6A6" w:themeColor="background1" w:themeShade="A6"/>
          </w:tcBorders>
          <w:shd w:val="clear" w:color="auto" w:fill="FFFFFF" w:themeFill="background1"/>
        </w:tcPr>
        <w:p w14:paraId="370F0C9A" w14:textId="77777777" w:rsidR="00E44576" w:rsidRPr="00F84A22" w:rsidRDefault="00E44576" w:rsidP="00BD2C4C">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5763425E" w14:textId="77777777" w:rsidR="00E44576" w:rsidRPr="00F84A22" w:rsidRDefault="00E44576" w:rsidP="00BD2C4C">
          <w:pPr>
            <w:tabs>
              <w:tab w:val="right" w:pos="8640"/>
            </w:tabs>
            <w:rPr>
              <w:rFonts w:ascii="Arial Narrow" w:hAnsi="Arial Narrow"/>
              <w:u w:val="single"/>
            </w:rPr>
          </w:pPr>
        </w:p>
      </w:tc>
    </w:tr>
    <w:tr w:rsidR="00E44576" w:rsidRPr="00C936BE" w14:paraId="50802144" w14:textId="77777777" w:rsidTr="00BD2C4C">
      <w:trPr>
        <w:trHeight w:val="288"/>
      </w:trPr>
      <w:tc>
        <w:tcPr>
          <w:tcW w:w="7668" w:type="dxa"/>
          <w:gridSpan w:val="2"/>
          <w:tcBorders>
            <w:top w:val="single" w:sz="12" w:space="0" w:color="A6A6A6" w:themeColor="background1" w:themeShade="A6"/>
          </w:tcBorders>
          <w:shd w:val="clear" w:color="auto" w:fill="FFFFFF" w:themeFill="background1"/>
          <w:vAlign w:val="center"/>
        </w:tcPr>
        <w:p w14:paraId="14FEED84" w14:textId="0FD4A6D8" w:rsidR="00E44576" w:rsidRPr="00F84A22" w:rsidRDefault="00E44576" w:rsidP="00BD2C4C">
          <w:pPr>
            <w:tabs>
              <w:tab w:val="right" w:pos="8640"/>
            </w:tabs>
            <w:ind w:left="-90"/>
            <w:rPr>
              <w:rFonts w:ascii="Arial Narrow" w:hAnsi="Arial Narrow"/>
            </w:rPr>
          </w:pPr>
          <w:r>
            <w:t>Miscellaneous</w:t>
          </w:r>
        </w:p>
      </w:tc>
      <w:tc>
        <w:tcPr>
          <w:tcW w:w="1080" w:type="dxa"/>
          <w:tcBorders>
            <w:top w:val="single" w:sz="12" w:space="0" w:color="A6A6A6" w:themeColor="background1" w:themeShade="A6"/>
          </w:tcBorders>
          <w:shd w:val="clear" w:color="auto" w:fill="123663"/>
          <w:vAlign w:val="center"/>
        </w:tcPr>
        <w:p w14:paraId="12EAB075" w14:textId="77777777" w:rsidR="00E44576" w:rsidRPr="00F84A22" w:rsidRDefault="00E44576" w:rsidP="00BD2C4C">
          <w:pPr>
            <w:tabs>
              <w:tab w:val="right" w:pos="8640"/>
            </w:tabs>
            <w:jc w:val="right"/>
            <w:rPr>
              <w:rFonts w:ascii="Arial Narrow" w:hAnsi="Arial Narrow"/>
              <w:b/>
              <w:bCs/>
              <w:color w:val="FFFFFF"/>
              <w:u w:val="single"/>
            </w:rPr>
          </w:pPr>
          <w:r w:rsidRPr="0ED46586">
            <w:rPr>
              <w:rFonts w:ascii="Arial Narrow" w:eastAsia="Arial Narrow" w:hAnsi="Arial Narrow" w:cs="Arial Narrow"/>
              <w:b/>
              <w:bCs/>
              <w:color w:val="FFFFFF"/>
            </w:rPr>
            <w:t>Page</w:t>
          </w:r>
          <w:r>
            <w:rPr>
              <w:rFonts w:ascii="Arial Narrow" w:eastAsia="Arial Narrow" w:hAnsi="Arial Narrow" w:cs="Arial Narrow"/>
              <w:b/>
              <w:bCs/>
              <w:color w:val="FFFFFF"/>
            </w:rPr>
            <w:t xml:space="preserve"> </w:t>
          </w:r>
          <w:r w:rsidRPr="0ED46586">
            <w:rPr>
              <w:rFonts w:ascii="Arial Narrow" w:hAnsi="Arial Narrow"/>
              <w:b/>
              <w:bCs/>
              <w:color w:val="FFFFFF"/>
            </w:rPr>
            <w:fldChar w:fldCharType="begin"/>
          </w:r>
          <w:r w:rsidRPr="00F84A22">
            <w:rPr>
              <w:rFonts w:ascii="Arial Narrow" w:hAnsi="Arial Narrow"/>
              <w:b/>
              <w:color w:val="FFFFFF"/>
            </w:rPr>
            <w:instrText xml:space="preserve"> PAGE </w:instrText>
          </w:r>
          <w:r w:rsidRPr="0ED46586">
            <w:rPr>
              <w:rFonts w:ascii="Arial Narrow" w:hAnsi="Arial Narrow"/>
              <w:b/>
              <w:color w:val="FFFFFF"/>
            </w:rPr>
            <w:fldChar w:fldCharType="separate"/>
          </w:r>
          <w:r>
            <w:rPr>
              <w:rFonts w:ascii="Arial Narrow" w:hAnsi="Arial Narrow"/>
              <w:b/>
              <w:noProof/>
              <w:color w:val="FFFFFF"/>
            </w:rPr>
            <w:t>59</w:t>
          </w:r>
          <w:r w:rsidRPr="0ED46586">
            <w:rPr>
              <w:rFonts w:ascii="Arial Narrow" w:eastAsia="Arial Narrow" w:hAnsi="Arial Narrow" w:cs="Arial Narrow"/>
              <w:b/>
              <w:bCs/>
              <w:color w:val="FFFFFF"/>
            </w:rPr>
            <w:fldChar w:fldCharType="end"/>
          </w:r>
        </w:p>
      </w:tc>
    </w:tr>
  </w:tbl>
  <w:p w14:paraId="5E890059" w14:textId="77777777" w:rsidR="00E44576" w:rsidRPr="00AE4498" w:rsidRDefault="00E44576" w:rsidP="00BD2C4C">
    <w:pPr>
      <w:tabs>
        <w:tab w:val="right" w:pos="8640"/>
      </w:tabs>
      <w:spacing w:after="40"/>
      <w:rPr>
        <w:rFonts w:ascii="Arial Narrow" w:hAnsi="Arial Narrow"/>
        <w:sz w:val="2"/>
        <w:szCs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48" w:type="dxa"/>
      <w:shd w:val="clear" w:color="auto" w:fill="A6A6A6"/>
      <w:tblLook w:val="04A0" w:firstRow="1" w:lastRow="0" w:firstColumn="1" w:lastColumn="0" w:noHBand="0" w:noVBand="1"/>
    </w:tblPr>
    <w:tblGrid>
      <w:gridCol w:w="4518"/>
      <w:gridCol w:w="3150"/>
      <w:gridCol w:w="1080"/>
    </w:tblGrid>
    <w:tr w:rsidR="008873B6" w14:paraId="14642AB3" w14:textId="77777777" w:rsidTr="00BD2C4C">
      <w:trPr>
        <w:trHeight w:val="288"/>
      </w:trPr>
      <w:tc>
        <w:tcPr>
          <w:tcW w:w="4518" w:type="dxa"/>
          <w:tcBorders>
            <w:bottom w:val="single" w:sz="12" w:space="0" w:color="A6A6A6" w:themeColor="background1" w:themeShade="A6"/>
          </w:tcBorders>
          <w:shd w:val="clear" w:color="auto" w:fill="123663"/>
          <w:vAlign w:val="center"/>
        </w:tcPr>
        <w:p w14:paraId="357BC3E2" w14:textId="4EED7960" w:rsidR="008873B6" w:rsidRDefault="008873B6" w:rsidP="00BD2C4C">
          <w:pPr>
            <w:tabs>
              <w:tab w:val="right" w:pos="8640"/>
            </w:tabs>
            <w:rPr>
              <w:rFonts w:ascii="Arial Narrow" w:eastAsia="Arial Narrow" w:hAnsi="Arial Narrow" w:cs="Arial Narrow"/>
              <w:b/>
              <w:color w:val="FFFFFF"/>
            </w:rPr>
          </w:pPr>
          <w:r>
            <w:rPr>
              <w:rFonts w:ascii="Arial Narrow" w:eastAsia="Arial Narrow" w:hAnsi="Arial Narrow" w:cs="Arial Narrow"/>
              <w:b/>
              <w:bCs/>
              <w:color w:val="FFFFFF"/>
            </w:rPr>
            <w:t xml:space="preserve">VOLUME </w:t>
          </w:r>
          <w:r w:rsidRPr="0ED46586">
            <w:fldChar w:fldCharType="begin"/>
          </w:r>
          <w:r>
            <w:rPr>
              <w:rFonts w:ascii="Arial Narrow" w:hAnsi="Arial Narrow"/>
              <w:b/>
              <w:noProof/>
              <w:color w:val="FFFFFF"/>
            </w:rPr>
            <w:instrText xml:space="preserve"> STYLEREF  "Heading 1" \n  \* MERGEFORMAT </w:instrText>
          </w:r>
          <w:r w:rsidRPr="0ED46586">
            <w:rPr>
              <w:rFonts w:ascii="Arial Narrow" w:hAnsi="Arial Narrow"/>
              <w:b/>
              <w:noProof/>
              <w:color w:val="FFFFFF"/>
            </w:rPr>
            <w:fldChar w:fldCharType="separate"/>
          </w:r>
          <w:r w:rsidR="00E67FF9" w:rsidRPr="00E67FF9">
            <w:rPr>
              <w:rFonts w:ascii="Arial Narrow" w:hAnsi="Arial Narrow"/>
              <w:bCs/>
              <w:noProof/>
              <w:color w:val="FFFFFF"/>
            </w:rPr>
            <w:t>2</w:t>
          </w:r>
          <w:r w:rsidRPr="0ED46586">
            <w:fldChar w:fldCharType="end"/>
          </w:r>
          <w:r w:rsidRPr="0ED46586">
            <w:rPr>
              <w:rFonts w:ascii="Arial Narrow" w:eastAsia="Arial Narrow" w:hAnsi="Arial Narrow" w:cs="Arial Narrow"/>
              <w:b/>
              <w:bCs/>
              <w:color w:val="FFFFFF"/>
            </w:rPr>
            <w:t>:</w:t>
          </w:r>
          <w:r>
            <w:rPr>
              <w:rFonts w:ascii="Arial Narrow" w:eastAsia="Arial Narrow" w:hAnsi="Arial Narrow" w:cs="Arial Narrow"/>
              <w:b/>
              <w:bCs/>
              <w:color w:val="FFFFFF"/>
            </w:rPr>
            <w:t xml:space="preserve"> </w:t>
          </w:r>
          <w:r w:rsidRPr="0ED46586">
            <w:fldChar w:fldCharType="begin"/>
          </w:r>
          <w:r>
            <w:rPr>
              <w:noProof/>
            </w:rPr>
            <w:instrText xml:space="preserve"> STYLEREF  "Heading 1"  \* MERGEFORMAT </w:instrText>
          </w:r>
          <w:r w:rsidRPr="0ED46586">
            <w:fldChar w:fldCharType="separate"/>
          </w:r>
          <w:r w:rsidR="00E67FF9">
            <w:rPr>
              <w:noProof/>
            </w:rPr>
            <w:t>Residential Measures</w:t>
          </w:r>
          <w:r w:rsidRPr="0ED46586">
            <w:fldChar w:fldCharType="end"/>
          </w:r>
        </w:p>
      </w:tc>
      <w:tc>
        <w:tcPr>
          <w:tcW w:w="3150" w:type="dxa"/>
          <w:tcBorders>
            <w:bottom w:val="single" w:sz="12" w:space="0" w:color="A6A6A6" w:themeColor="background1" w:themeShade="A6"/>
          </w:tcBorders>
          <w:shd w:val="clear" w:color="auto" w:fill="FFFFFF" w:themeFill="background1"/>
        </w:tcPr>
        <w:p w14:paraId="68167949" w14:textId="77777777" w:rsidR="008873B6" w:rsidRPr="00F84A22" w:rsidRDefault="008873B6" w:rsidP="00BD2C4C">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4137CA99" w14:textId="77777777" w:rsidR="008873B6" w:rsidRPr="00F84A22" w:rsidRDefault="008873B6" w:rsidP="00BD2C4C">
          <w:pPr>
            <w:tabs>
              <w:tab w:val="right" w:pos="8640"/>
            </w:tabs>
            <w:rPr>
              <w:rFonts w:ascii="Arial Narrow" w:hAnsi="Arial Narrow"/>
              <w:u w:val="single"/>
            </w:rPr>
          </w:pPr>
        </w:p>
      </w:tc>
    </w:tr>
    <w:tr w:rsidR="008873B6" w:rsidRPr="00C936BE" w14:paraId="6893BE28" w14:textId="77777777" w:rsidTr="00BD2C4C">
      <w:trPr>
        <w:trHeight w:val="288"/>
      </w:trPr>
      <w:tc>
        <w:tcPr>
          <w:tcW w:w="7668" w:type="dxa"/>
          <w:gridSpan w:val="2"/>
          <w:tcBorders>
            <w:top w:val="single" w:sz="12" w:space="0" w:color="A6A6A6" w:themeColor="background1" w:themeShade="A6"/>
          </w:tcBorders>
          <w:shd w:val="clear" w:color="auto" w:fill="FFFFFF" w:themeFill="background1"/>
          <w:vAlign w:val="center"/>
        </w:tcPr>
        <w:p w14:paraId="61C6C3B5" w14:textId="5E7FA5EF" w:rsidR="008873B6" w:rsidRPr="00F84A22" w:rsidRDefault="008873B6" w:rsidP="00BD2C4C">
          <w:pPr>
            <w:tabs>
              <w:tab w:val="right" w:pos="8640"/>
            </w:tabs>
            <w:ind w:left="-90"/>
            <w:rPr>
              <w:rFonts w:ascii="Arial Narrow" w:hAnsi="Arial Narrow"/>
            </w:rPr>
          </w:pPr>
          <w:r>
            <w:t>Demand Response</w:t>
          </w:r>
        </w:p>
      </w:tc>
      <w:tc>
        <w:tcPr>
          <w:tcW w:w="1080" w:type="dxa"/>
          <w:tcBorders>
            <w:top w:val="single" w:sz="12" w:space="0" w:color="A6A6A6" w:themeColor="background1" w:themeShade="A6"/>
          </w:tcBorders>
          <w:shd w:val="clear" w:color="auto" w:fill="123663"/>
          <w:vAlign w:val="center"/>
        </w:tcPr>
        <w:p w14:paraId="214ED6D0" w14:textId="77777777" w:rsidR="008873B6" w:rsidRPr="00F84A22" w:rsidRDefault="008873B6" w:rsidP="00BD2C4C">
          <w:pPr>
            <w:tabs>
              <w:tab w:val="right" w:pos="8640"/>
            </w:tabs>
            <w:jc w:val="right"/>
            <w:rPr>
              <w:rFonts w:ascii="Arial Narrow" w:hAnsi="Arial Narrow"/>
              <w:b/>
              <w:bCs/>
              <w:color w:val="FFFFFF"/>
              <w:u w:val="single"/>
            </w:rPr>
          </w:pPr>
          <w:r w:rsidRPr="0ED46586">
            <w:rPr>
              <w:rFonts w:ascii="Arial Narrow" w:eastAsia="Arial Narrow" w:hAnsi="Arial Narrow" w:cs="Arial Narrow"/>
              <w:b/>
              <w:bCs/>
              <w:color w:val="FFFFFF"/>
            </w:rPr>
            <w:t>Page</w:t>
          </w:r>
          <w:r>
            <w:rPr>
              <w:rFonts w:ascii="Arial Narrow" w:eastAsia="Arial Narrow" w:hAnsi="Arial Narrow" w:cs="Arial Narrow"/>
              <w:b/>
              <w:bCs/>
              <w:color w:val="FFFFFF"/>
            </w:rPr>
            <w:t xml:space="preserve"> </w:t>
          </w:r>
          <w:r w:rsidRPr="0ED46586">
            <w:rPr>
              <w:rFonts w:ascii="Arial Narrow" w:hAnsi="Arial Narrow"/>
              <w:b/>
              <w:bCs/>
              <w:color w:val="FFFFFF"/>
            </w:rPr>
            <w:fldChar w:fldCharType="begin"/>
          </w:r>
          <w:r w:rsidRPr="00F84A22">
            <w:rPr>
              <w:rFonts w:ascii="Arial Narrow" w:hAnsi="Arial Narrow"/>
              <w:b/>
              <w:color w:val="FFFFFF"/>
            </w:rPr>
            <w:instrText xml:space="preserve"> PAGE </w:instrText>
          </w:r>
          <w:r w:rsidRPr="0ED46586">
            <w:rPr>
              <w:rFonts w:ascii="Arial Narrow" w:hAnsi="Arial Narrow"/>
              <w:b/>
              <w:color w:val="FFFFFF"/>
            </w:rPr>
            <w:fldChar w:fldCharType="separate"/>
          </w:r>
          <w:r>
            <w:rPr>
              <w:rFonts w:ascii="Arial Narrow" w:hAnsi="Arial Narrow"/>
              <w:b/>
              <w:noProof/>
              <w:color w:val="FFFFFF"/>
            </w:rPr>
            <w:t>59</w:t>
          </w:r>
          <w:r w:rsidRPr="0ED46586">
            <w:rPr>
              <w:rFonts w:ascii="Arial Narrow" w:eastAsia="Arial Narrow" w:hAnsi="Arial Narrow" w:cs="Arial Narrow"/>
              <w:b/>
              <w:bCs/>
              <w:color w:val="FFFFFF"/>
            </w:rPr>
            <w:fldChar w:fldCharType="end"/>
          </w:r>
        </w:p>
      </w:tc>
    </w:tr>
  </w:tbl>
  <w:p w14:paraId="06F2E125" w14:textId="77777777" w:rsidR="008873B6" w:rsidRPr="00AE4498" w:rsidRDefault="008873B6" w:rsidP="00BD2C4C">
    <w:pPr>
      <w:tabs>
        <w:tab w:val="right" w:pos="8640"/>
      </w:tabs>
      <w:spacing w:after="40"/>
      <w:rPr>
        <w:rFonts w:ascii="Arial Narrow" w:hAnsi="Arial Narrow"/>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48" w:type="dxa"/>
      <w:shd w:val="clear" w:color="auto" w:fill="A6A6A6"/>
      <w:tblLook w:val="04A0" w:firstRow="1" w:lastRow="0" w:firstColumn="1" w:lastColumn="0" w:noHBand="0" w:noVBand="1"/>
    </w:tblPr>
    <w:tblGrid>
      <w:gridCol w:w="4518"/>
      <w:gridCol w:w="3150"/>
      <w:gridCol w:w="1080"/>
    </w:tblGrid>
    <w:tr w:rsidR="00FA6A07" w14:paraId="3CA8FDE7" w14:textId="77777777" w:rsidTr="00BD2C4C">
      <w:trPr>
        <w:trHeight w:val="288"/>
      </w:trPr>
      <w:tc>
        <w:tcPr>
          <w:tcW w:w="4518" w:type="dxa"/>
          <w:tcBorders>
            <w:bottom w:val="single" w:sz="12" w:space="0" w:color="A6A6A6" w:themeColor="background1" w:themeShade="A6"/>
          </w:tcBorders>
          <w:shd w:val="clear" w:color="auto" w:fill="123663"/>
          <w:vAlign w:val="center"/>
        </w:tcPr>
        <w:p w14:paraId="4B230F32" w14:textId="7A0A2730" w:rsidR="00FA6A07" w:rsidRPr="00F84A22" w:rsidRDefault="00FA6A07" w:rsidP="00BD2C4C">
          <w:pPr>
            <w:tabs>
              <w:tab w:val="right" w:pos="8640"/>
            </w:tabs>
            <w:rPr>
              <w:rFonts w:ascii="Arial Narrow" w:hAnsi="Arial Narrow"/>
              <w:b/>
              <w:bCs/>
              <w:color w:val="FFFFFF"/>
            </w:rPr>
          </w:pPr>
          <w:r>
            <w:rPr>
              <w:rFonts w:ascii="Arial Narrow" w:eastAsia="Arial Narrow" w:hAnsi="Arial Narrow" w:cs="Arial Narrow"/>
              <w:b/>
              <w:bCs/>
              <w:color w:val="FFFFFF"/>
            </w:rPr>
            <w:t xml:space="preserve">VOLUME </w:t>
          </w:r>
          <w:r w:rsidRPr="00BD7A42">
            <w:rPr>
              <w:b/>
              <w:bCs/>
            </w:rPr>
            <w:fldChar w:fldCharType="begin"/>
          </w:r>
          <w:r w:rsidRPr="00BD7A42">
            <w:rPr>
              <w:rFonts w:ascii="Arial Narrow" w:hAnsi="Arial Narrow"/>
              <w:b/>
              <w:bCs/>
              <w:noProof/>
              <w:color w:val="FFFFFF"/>
            </w:rPr>
            <w:instrText xml:space="preserve"> STYLEREF  "Heading 1" \n  \* MERGEFORMAT </w:instrText>
          </w:r>
          <w:r w:rsidRPr="00BD7A42">
            <w:rPr>
              <w:rFonts w:ascii="Arial Narrow" w:hAnsi="Arial Narrow"/>
              <w:b/>
              <w:bCs/>
              <w:noProof/>
              <w:color w:val="FFFFFF"/>
            </w:rPr>
            <w:fldChar w:fldCharType="separate"/>
          </w:r>
          <w:r w:rsidR="003B5E04">
            <w:rPr>
              <w:rFonts w:ascii="Arial Narrow" w:hAnsi="Arial Narrow"/>
              <w:b/>
              <w:bCs/>
              <w:noProof/>
              <w:color w:val="FFFFFF"/>
            </w:rPr>
            <w:t>2</w:t>
          </w:r>
          <w:r w:rsidRPr="00BD7A42">
            <w:rPr>
              <w:b/>
              <w:bCs/>
            </w:rPr>
            <w:fldChar w:fldCharType="end"/>
          </w:r>
          <w:r w:rsidRPr="0ED46586">
            <w:rPr>
              <w:rFonts w:ascii="Arial Narrow" w:eastAsia="Arial Narrow" w:hAnsi="Arial Narrow" w:cs="Arial Narrow"/>
              <w:b/>
              <w:bCs/>
              <w:color w:val="FFFFFF"/>
            </w:rPr>
            <w:t>:</w:t>
          </w:r>
          <w:r>
            <w:rPr>
              <w:rFonts w:ascii="Arial Narrow" w:eastAsia="Arial Narrow" w:hAnsi="Arial Narrow" w:cs="Arial Narrow"/>
              <w:b/>
              <w:bCs/>
              <w:color w:val="FFFFFF"/>
            </w:rPr>
            <w:t xml:space="preserve"> </w:t>
          </w:r>
          <w:r w:rsidRPr="0ED46586">
            <w:fldChar w:fldCharType="begin"/>
          </w:r>
          <w:r>
            <w:rPr>
              <w:noProof/>
            </w:rPr>
            <w:instrText xml:space="preserve"> STYLEREF  "Heading 1"  \* MERGEFORMAT </w:instrText>
          </w:r>
          <w:r w:rsidRPr="0ED46586">
            <w:fldChar w:fldCharType="separate"/>
          </w:r>
          <w:r w:rsidR="003B5E04">
            <w:rPr>
              <w:noProof/>
            </w:rPr>
            <w:t>Residential Measures</w:t>
          </w:r>
          <w:r w:rsidRPr="0ED46586">
            <w:fldChar w:fldCharType="end"/>
          </w:r>
        </w:p>
      </w:tc>
      <w:tc>
        <w:tcPr>
          <w:tcW w:w="3150" w:type="dxa"/>
          <w:tcBorders>
            <w:bottom w:val="single" w:sz="12" w:space="0" w:color="A6A6A6" w:themeColor="background1" w:themeShade="A6"/>
          </w:tcBorders>
          <w:shd w:val="clear" w:color="auto" w:fill="FFFFFF" w:themeFill="background1"/>
        </w:tcPr>
        <w:p w14:paraId="1B0AD9EB" w14:textId="77777777" w:rsidR="00FA6A07" w:rsidRPr="00F84A22" w:rsidRDefault="00FA6A07" w:rsidP="00BD2C4C">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0A56BD4E" w14:textId="77777777" w:rsidR="00FA6A07" w:rsidRPr="00F84A22" w:rsidRDefault="00FA6A07" w:rsidP="00BD2C4C">
          <w:pPr>
            <w:tabs>
              <w:tab w:val="right" w:pos="8640"/>
            </w:tabs>
            <w:rPr>
              <w:rFonts w:ascii="Arial Narrow" w:hAnsi="Arial Narrow"/>
              <w:u w:val="single"/>
            </w:rPr>
          </w:pPr>
        </w:p>
      </w:tc>
    </w:tr>
    <w:tr w:rsidR="00FA6A07" w:rsidRPr="00C936BE" w14:paraId="569AA350" w14:textId="77777777" w:rsidTr="00BD2C4C">
      <w:trPr>
        <w:trHeight w:val="288"/>
      </w:trPr>
      <w:tc>
        <w:tcPr>
          <w:tcW w:w="7668" w:type="dxa"/>
          <w:gridSpan w:val="2"/>
          <w:tcBorders>
            <w:top w:val="single" w:sz="12" w:space="0" w:color="A6A6A6" w:themeColor="background1" w:themeShade="A6"/>
          </w:tcBorders>
          <w:shd w:val="clear" w:color="auto" w:fill="FFFFFF" w:themeFill="background1"/>
          <w:vAlign w:val="center"/>
        </w:tcPr>
        <w:p w14:paraId="3A2152F9" w14:textId="77777777" w:rsidR="00FA6A07" w:rsidRPr="00F84A22" w:rsidRDefault="00FA6A07" w:rsidP="00BD2C4C">
          <w:pPr>
            <w:tabs>
              <w:tab w:val="right" w:pos="8640"/>
            </w:tabs>
            <w:ind w:left="-90"/>
            <w:rPr>
              <w:rFonts w:ascii="Arial Narrow" w:hAnsi="Arial Narrow"/>
            </w:rPr>
          </w:pPr>
          <w:r>
            <w:t>Lighting</w:t>
          </w:r>
        </w:p>
      </w:tc>
      <w:tc>
        <w:tcPr>
          <w:tcW w:w="1080" w:type="dxa"/>
          <w:tcBorders>
            <w:top w:val="single" w:sz="12" w:space="0" w:color="A6A6A6" w:themeColor="background1" w:themeShade="A6"/>
          </w:tcBorders>
          <w:shd w:val="clear" w:color="auto" w:fill="123663"/>
          <w:vAlign w:val="center"/>
        </w:tcPr>
        <w:p w14:paraId="2B78DBF2" w14:textId="77777777" w:rsidR="00FA6A07" w:rsidRPr="00F84A22" w:rsidRDefault="00FA6A07" w:rsidP="00BD2C4C">
          <w:pPr>
            <w:tabs>
              <w:tab w:val="right" w:pos="8640"/>
            </w:tabs>
            <w:jc w:val="right"/>
            <w:rPr>
              <w:rFonts w:ascii="Arial Narrow" w:hAnsi="Arial Narrow"/>
              <w:b/>
              <w:bCs/>
              <w:color w:val="FFFFFF"/>
              <w:u w:val="single"/>
            </w:rPr>
          </w:pPr>
          <w:r w:rsidRPr="0ED46586">
            <w:rPr>
              <w:rFonts w:ascii="Arial Narrow" w:eastAsia="Arial Narrow" w:hAnsi="Arial Narrow" w:cs="Arial Narrow"/>
              <w:b/>
              <w:bCs/>
              <w:color w:val="FFFFFF"/>
            </w:rPr>
            <w:t>Page</w:t>
          </w:r>
          <w:r>
            <w:rPr>
              <w:rFonts w:ascii="Arial Narrow" w:eastAsia="Arial Narrow" w:hAnsi="Arial Narrow" w:cs="Arial Narrow"/>
              <w:b/>
              <w:bCs/>
              <w:color w:val="FFFFFF"/>
            </w:rPr>
            <w:t xml:space="preserve"> </w:t>
          </w:r>
          <w:r w:rsidRPr="0ED46586">
            <w:rPr>
              <w:rFonts w:ascii="Arial Narrow" w:hAnsi="Arial Narrow"/>
              <w:b/>
              <w:bCs/>
              <w:color w:val="FFFFFF"/>
            </w:rPr>
            <w:fldChar w:fldCharType="begin"/>
          </w:r>
          <w:r w:rsidRPr="00F84A22">
            <w:rPr>
              <w:rFonts w:ascii="Arial Narrow" w:hAnsi="Arial Narrow"/>
              <w:b/>
              <w:color w:val="FFFFFF"/>
            </w:rPr>
            <w:instrText xml:space="preserve"> PAGE </w:instrText>
          </w:r>
          <w:r w:rsidRPr="0ED46586">
            <w:rPr>
              <w:rFonts w:ascii="Arial Narrow" w:hAnsi="Arial Narrow"/>
              <w:b/>
              <w:color w:val="FFFFFF"/>
            </w:rPr>
            <w:fldChar w:fldCharType="separate"/>
          </w:r>
          <w:r w:rsidRPr="6306E6AA">
            <w:rPr>
              <w:rFonts w:ascii="Arial Narrow" w:hAnsi="Arial Narrow"/>
              <w:b/>
              <w:bCs/>
              <w:noProof/>
              <w:color w:val="FFFFFF"/>
            </w:rPr>
            <w:t>33</w:t>
          </w:r>
          <w:r w:rsidRPr="0ED46586">
            <w:rPr>
              <w:rFonts w:ascii="Arial Narrow" w:eastAsia="Arial Narrow" w:hAnsi="Arial Narrow" w:cs="Arial Narrow"/>
              <w:b/>
              <w:bCs/>
              <w:color w:val="FFFFFF"/>
            </w:rPr>
            <w:fldChar w:fldCharType="end"/>
          </w:r>
        </w:p>
      </w:tc>
    </w:tr>
  </w:tbl>
  <w:p w14:paraId="05780A16" w14:textId="77777777" w:rsidR="00FA6A07" w:rsidRPr="00AE4498" w:rsidRDefault="00FA6A07" w:rsidP="00BD2C4C">
    <w:pPr>
      <w:tabs>
        <w:tab w:val="right" w:pos="8640"/>
      </w:tabs>
      <w:spacing w:after="40"/>
      <w:rPr>
        <w:rFonts w:ascii="Arial Narrow" w:hAnsi="Arial Narrow"/>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008F0145" w14:paraId="2C36BE5E" w14:textId="77777777" w:rsidTr="00BD2C4C">
      <w:tc>
        <w:tcPr>
          <w:tcW w:w="2880" w:type="dxa"/>
        </w:tcPr>
        <w:p w14:paraId="7FB105D4" w14:textId="77777777" w:rsidR="008F0145" w:rsidRDefault="008F0145" w:rsidP="00BD2C4C">
          <w:pPr>
            <w:pStyle w:val="Header"/>
            <w:ind w:left="-115"/>
            <w:jc w:val="left"/>
          </w:pPr>
        </w:p>
      </w:tc>
      <w:tc>
        <w:tcPr>
          <w:tcW w:w="2880" w:type="dxa"/>
        </w:tcPr>
        <w:p w14:paraId="4539A2E1" w14:textId="77777777" w:rsidR="008F0145" w:rsidRDefault="008F0145" w:rsidP="00BD2C4C">
          <w:pPr>
            <w:pStyle w:val="Header"/>
          </w:pPr>
        </w:p>
      </w:tc>
      <w:tc>
        <w:tcPr>
          <w:tcW w:w="2880" w:type="dxa"/>
        </w:tcPr>
        <w:p w14:paraId="4F2A7E29" w14:textId="77777777" w:rsidR="008F0145" w:rsidRDefault="008F0145" w:rsidP="00BD2C4C">
          <w:pPr>
            <w:pStyle w:val="Header"/>
            <w:ind w:right="-115"/>
            <w:jc w:val="right"/>
          </w:pPr>
        </w:p>
      </w:tc>
    </w:tr>
  </w:tbl>
  <w:p w14:paraId="4B31DCF6" w14:textId="77777777" w:rsidR="008F0145" w:rsidRDefault="008F0145" w:rsidP="00BD2C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48" w:type="dxa"/>
      <w:shd w:val="clear" w:color="auto" w:fill="A6A6A6"/>
      <w:tblLook w:val="04A0" w:firstRow="1" w:lastRow="0" w:firstColumn="1" w:lastColumn="0" w:noHBand="0" w:noVBand="1"/>
    </w:tblPr>
    <w:tblGrid>
      <w:gridCol w:w="4518"/>
      <w:gridCol w:w="3150"/>
      <w:gridCol w:w="1080"/>
    </w:tblGrid>
    <w:tr w:rsidR="007376E1" w14:paraId="3942B5AE" w14:textId="77777777" w:rsidTr="00BD2C4C">
      <w:trPr>
        <w:trHeight w:val="288"/>
      </w:trPr>
      <w:tc>
        <w:tcPr>
          <w:tcW w:w="4518" w:type="dxa"/>
          <w:tcBorders>
            <w:bottom w:val="single" w:sz="12" w:space="0" w:color="A6A6A6" w:themeColor="background1" w:themeShade="A6"/>
          </w:tcBorders>
          <w:shd w:val="clear" w:color="auto" w:fill="123663"/>
          <w:vAlign w:val="center"/>
        </w:tcPr>
        <w:p w14:paraId="2BD4C992" w14:textId="1B46632F" w:rsidR="007376E1" w:rsidRPr="00F84A22" w:rsidRDefault="007376E1" w:rsidP="00BD2C4C">
          <w:pPr>
            <w:tabs>
              <w:tab w:val="right" w:pos="8640"/>
            </w:tabs>
            <w:rPr>
              <w:rFonts w:ascii="Arial Narrow" w:hAnsi="Arial Narrow"/>
              <w:b/>
              <w:bCs/>
              <w:color w:val="FFFFFF"/>
            </w:rPr>
          </w:pPr>
          <w:r>
            <w:rPr>
              <w:rFonts w:ascii="Arial Narrow" w:eastAsia="Arial Narrow" w:hAnsi="Arial Narrow" w:cs="Arial Narrow"/>
              <w:b/>
              <w:bCs/>
              <w:color w:val="FFFFFF"/>
            </w:rPr>
            <w:t xml:space="preserve">VOLUME </w:t>
          </w:r>
          <w:r w:rsidRPr="0ED46586">
            <w:fldChar w:fldCharType="begin"/>
          </w:r>
          <w:r>
            <w:rPr>
              <w:rFonts w:ascii="Arial Narrow" w:hAnsi="Arial Narrow"/>
              <w:b/>
              <w:noProof/>
              <w:color w:val="FFFFFF"/>
            </w:rPr>
            <w:instrText xml:space="preserve"> STYLEREF  "Heading 1" \n  \* MERGEFORMAT </w:instrText>
          </w:r>
          <w:r w:rsidRPr="0ED46586">
            <w:rPr>
              <w:rFonts w:ascii="Arial Narrow" w:hAnsi="Arial Narrow"/>
              <w:b/>
              <w:noProof/>
              <w:color w:val="FFFFFF"/>
            </w:rPr>
            <w:fldChar w:fldCharType="separate"/>
          </w:r>
          <w:r w:rsidR="0005178D" w:rsidRPr="0005178D">
            <w:rPr>
              <w:rFonts w:ascii="Arial Narrow" w:hAnsi="Arial Narrow"/>
              <w:bCs/>
              <w:noProof/>
              <w:color w:val="FFFFFF"/>
            </w:rPr>
            <w:t>2</w:t>
          </w:r>
          <w:r w:rsidRPr="0ED46586">
            <w:fldChar w:fldCharType="end"/>
          </w:r>
          <w:r w:rsidRPr="0ED46586">
            <w:rPr>
              <w:rFonts w:ascii="Arial Narrow" w:eastAsia="Arial Narrow" w:hAnsi="Arial Narrow" w:cs="Arial Narrow"/>
              <w:b/>
              <w:bCs/>
              <w:color w:val="FFFFFF"/>
            </w:rPr>
            <w:t>:</w:t>
          </w:r>
          <w:r>
            <w:rPr>
              <w:rFonts w:ascii="Arial Narrow" w:eastAsia="Arial Narrow" w:hAnsi="Arial Narrow" w:cs="Arial Narrow"/>
              <w:b/>
              <w:bCs/>
              <w:color w:val="FFFFFF"/>
            </w:rPr>
            <w:t xml:space="preserve"> </w:t>
          </w:r>
          <w:r w:rsidRPr="0ED46586">
            <w:fldChar w:fldCharType="begin"/>
          </w:r>
          <w:r>
            <w:rPr>
              <w:noProof/>
            </w:rPr>
            <w:instrText xml:space="preserve"> STYLEREF  "Heading 1"  \* MERGEFORMAT </w:instrText>
          </w:r>
          <w:r w:rsidRPr="0ED46586">
            <w:rPr>
              <w:noProof/>
            </w:rPr>
            <w:fldChar w:fldCharType="separate"/>
          </w:r>
          <w:r w:rsidR="0005178D" w:rsidRPr="0005178D">
            <w:rPr>
              <w:b/>
              <w:bCs/>
              <w:noProof/>
            </w:rPr>
            <w:t>Residential Measures</w:t>
          </w:r>
          <w:r w:rsidRPr="0ED46586">
            <w:fldChar w:fldCharType="end"/>
          </w:r>
        </w:p>
      </w:tc>
      <w:tc>
        <w:tcPr>
          <w:tcW w:w="3150" w:type="dxa"/>
          <w:tcBorders>
            <w:bottom w:val="single" w:sz="12" w:space="0" w:color="A6A6A6" w:themeColor="background1" w:themeShade="A6"/>
          </w:tcBorders>
          <w:shd w:val="clear" w:color="auto" w:fill="FFFFFF" w:themeFill="background1"/>
        </w:tcPr>
        <w:p w14:paraId="1D45A9DA" w14:textId="77777777" w:rsidR="007376E1" w:rsidRPr="00F84A22" w:rsidRDefault="007376E1" w:rsidP="00BD2C4C">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1491D26F" w14:textId="77777777" w:rsidR="007376E1" w:rsidRPr="00F84A22" w:rsidRDefault="007376E1" w:rsidP="00BD2C4C">
          <w:pPr>
            <w:tabs>
              <w:tab w:val="right" w:pos="8640"/>
            </w:tabs>
            <w:rPr>
              <w:rFonts w:ascii="Arial Narrow" w:hAnsi="Arial Narrow"/>
              <w:u w:val="single"/>
            </w:rPr>
          </w:pPr>
        </w:p>
      </w:tc>
    </w:tr>
    <w:tr w:rsidR="007376E1" w:rsidRPr="00C936BE" w14:paraId="1654FDD1" w14:textId="77777777" w:rsidTr="00BD2C4C">
      <w:trPr>
        <w:trHeight w:val="288"/>
      </w:trPr>
      <w:tc>
        <w:tcPr>
          <w:tcW w:w="7668" w:type="dxa"/>
          <w:gridSpan w:val="2"/>
          <w:tcBorders>
            <w:top w:val="single" w:sz="12" w:space="0" w:color="A6A6A6" w:themeColor="background1" w:themeShade="A6"/>
          </w:tcBorders>
          <w:shd w:val="clear" w:color="auto" w:fill="FFFFFF" w:themeFill="background1"/>
          <w:vAlign w:val="center"/>
        </w:tcPr>
        <w:p w14:paraId="4F40A761" w14:textId="77777777" w:rsidR="007376E1" w:rsidRPr="00F84A22" w:rsidRDefault="007376E1" w:rsidP="00BD2C4C">
          <w:pPr>
            <w:tabs>
              <w:tab w:val="right" w:pos="8640"/>
            </w:tabs>
            <w:ind w:left="-90"/>
            <w:rPr>
              <w:rFonts w:ascii="Arial Narrow" w:hAnsi="Arial Narrow"/>
            </w:rPr>
          </w:pPr>
          <w:r>
            <w:t>HVAC</w:t>
          </w:r>
        </w:p>
      </w:tc>
      <w:tc>
        <w:tcPr>
          <w:tcW w:w="1080" w:type="dxa"/>
          <w:tcBorders>
            <w:top w:val="single" w:sz="12" w:space="0" w:color="A6A6A6" w:themeColor="background1" w:themeShade="A6"/>
          </w:tcBorders>
          <w:shd w:val="clear" w:color="auto" w:fill="123663"/>
          <w:vAlign w:val="center"/>
        </w:tcPr>
        <w:p w14:paraId="7E6225E7" w14:textId="77777777" w:rsidR="007376E1" w:rsidRPr="00F84A22" w:rsidRDefault="007376E1" w:rsidP="00BD2C4C">
          <w:pPr>
            <w:tabs>
              <w:tab w:val="right" w:pos="8640"/>
            </w:tabs>
            <w:jc w:val="right"/>
            <w:rPr>
              <w:rFonts w:ascii="Arial Narrow" w:hAnsi="Arial Narrow"/>
              <w:b/>
              <w:bCs/>
              <w:color w:val="FFFFFF"/>
              <w:u w:val="single"/>
            </w:rPr>
          </w:pPr>
          <w:r w:rsidRPr="0ED46586">
            <w:rPr>
              <w:rFonts w:ascii="Arial Narrow" w:eastAsia="Arial Narrow" w:hAnsi="Arial Narrow" w:cs="Arial Narrow"/>
              <w:b/>
              <w:bCs/>
              <w:color w:val="FFFFFF"/>
            </w:rPr>
            <w:t>Page</w:t>
          </w:r>
          <w:r>
            <w:rPr>
              <w:rFonts w:ascii="Arial Narrow" w:eastAsia="Arial Narrow" w:hAnsi="Arial Narrow" w:cs="Arial Narrow"/>
              <w:b/>
              <w:bCs/>
              <w:color w:val="FFFFFF"/>
            </w:rPr>
            <w:t xml:space="preserve"> </w:t>
          </w:r>
          <w:r w:rsidRPr="0ED46586">
            <w:rPr>
              <w:rFonts w:ascii="Arial Narrow" w:hAnsi="Arial Narrow"/>
              <w:b/>
              <w:bCs/>
              <w:color w:val="FFFFFF"/>
            </w:rPr>
            <w:fldChar w:fldCharType="begin"/>
          </w:r>
          <w:r w:rsidRPr="00F84A22">
            <w:rPr>
              <w:rFonts w:ascii="Arial Narrow" w:hAnsi="Arial Narrow"/>
              <w:b/>
              <w:color w:val="FFFFFF"/>
            </w:rPr>
            <w:instrText xml:space="preserve"> PAGE </w:instrText>
          </w:r>
          <w:r w:rsidRPr="0ED46586">
            <w:rPr>
              <w:rFonts w:ascii="Arial Narrow" w:hAnsi="Arial Narrow"/>
              <w:b/>
              <w:color w:val="FFFFFF"/>
            </w:rPr>
            <w:fldChar w:fldCharType="separate"/>
          </w:r>
          <w:r w:rsidRPr="6306E6AA">
            <w:rPr>
              <w:rFonts w:ascii="Arial Narrow" w:hAnsi="Arial Narrow"/>
              <w:b/>
              <w:bCs/>
              <w:noProof/>
              <w:color w:val="FFFFFF"/>
            </w:rPr>
            <w:t>114</w:t>
          </w:r>
          <w:r w:rsidRPr="0ED46586">
            <w:rPr>
              <w:rFonts w:ascii="Arial Narrow" w:eastAsia="Arial Narrow" w:hAnsi="Arial Narrow" w:cs="Arial Narrow"/>
              <w:b/>
              <w:bCs/>
              <w:color w:val="FFFFFF"/>
            </w:rPr>
            <w:fldChar w:fldCharType="end"/>
          </w:r>
        </w:p>
      </w:tc>
    </w:tr>
  </w:tbl>
  <w:p w14:paraId="5599E7CF" w14:textId="77777777" w:rsidR="007376E1" w:rsidRPr="00AE4498" w:rsidRDefault="007376E1" w:rsidP="00BD2C4C">
    <w:pPr>
      <w:tabs>
        <w:tab w:val="right" w:pos="8640"/>
      </w:tabs>
      <w:spacing w:after="40"/>
      <w:rPr>
        <w:rFonts w:ascii="Arial Narrow" w:hAnsi="Arial Narrow"/>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48" w:type="dxa"/>
      <w:tblLook w:val="04A0" w:firstRow="1" w:lastRow="0" w:firstColumn="1" w:lastColumn="0" w:noHBand="0" w:noVBand="1"/>
    </w:tblPr>
    <w:tblGrid>
      <w:gridCol w:w="2916"/>
      <w:gridCol w:w="2916"/>
      <w:gridCol w:w="2916"/>
    </w:tblGrid>
    <w:tr w:rsidR="007376E1" w14:paraId="75CC4EAA" w14:textId="77777777" w:rsidTr="00BD2C4C">
      <w:tc>
        <w:tcPr>
          <w:tcW w:w="2880" w:type="dxa"/>
        </w:tcPr>
        <w:p w14:paraId="2A57605E" w14:textId="77777777" w:rsidR="007376E1" w:rsidRDefault="007376E1" w:rsidP="00BD2C4C">
          <w:pPr>
            <w:pStyle w:val="Header"/>
            <w:ind w:left="-115"/>
            <w:jc w:val="left"/>
          </w:pPr>
        </w:p>
      </w:tc>
      <w:tc>
        <w:tcPr>
          <w:tcW w:w="2880" w:type="dxa"/>
        </w:tcPr>
        <w:p w14:paraId="7518C9C4" w14:textId="77777777" w:rsidR="007376E1" w:rsidRDefault="007376E1" w:rsidP="00BD2C4C">
          <w:pPr>
            <w:pStyle w:val="Header"/>
          </w:pPr>
        </w:p>
      </w:tc>
      <w:tc>
        <w:tcPr>
          <w:tcW w:w="2880" w:type="dxa"/>
        </w:tcPr>
        <w:p w14:paraId="53015951" w14:textId="77777777" w:rsidR="007376E1" w:rsidRDefault="007376E1" w:rsidP="00BD2C4C">
          <w:pPr>
            <w:pStyle w:val="Header"/>
            <w:ind w:right="-115"/>
            <w:jc w:val="right"/>
          </w:pPr>
        </w:p>
      </w:tc>
    </w:tr>
  </w:tbl>
  <w:p w14:paraId="39F2D295" w14:textId="77777777" w:rsidR="007376E1" w:rsidRDefault="007376E1" w:rsidP="00BD2C4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48" w:type="dxa"/>
      <w:shd w:val="clear" w:color="auto" w:fill="A6A6A6"/>
      <w:tblLook w:val="04A0" w:firstRow="1" w:lastRow="0" w:firstColumn="1" w:lastColumn="0" w:noHBand="0" w:noVBand="1"/>
    </w:tblPr>
    <w:tblGrid>
      <w:gridCol w:w="4518"/>
      <w:gridCol w:w="3150"/>
      <w:gridCol w:w="1080"/>
    </w:tblGrid>
    <w:tr w:rsidR="00C71CAA" w14:paraId="077280CC" w14:textId="77777777" w:rsidTr="00BD2C4C">
      <w:trPr>
        <w:trHeight w:val="288"/>
      </w:trPr>
      <w:tc>
        <w:tcPr>
          <w:tcW w:w="4518" w:type="dxa"/>
          <w:tcBorders>
            <w:bottom w:val="single" w:sz="12" w:space="0" w:color="A6A6A6" w:themeColor="background1" w:themeShade="A6"/>
          </w:tcBorders>
          <w:shd w:val="clear" w:color="auto" w:fill="123663"/>
          <w:vAlign w:val="center"/>
        </w:tcPr>
        <w:p w14:paraId="71DADE42" w14:textId="68514760" w:rsidR="00C71CAA" w:rsidRPr="00F84A22" w:rsidRDefault="00C71CAA" w:rsidP="00BD2C4C">
          <w:pPr>
            <w:tabs>
              <w:tab w:val="right" w:pos="8640"/>
            </w:tabs>
            <w:rPr>
              <w:rFonts w:ascii="Arial Narrow" w:hAnsi="Arial Narrow"/>
              <w:b/>
              <w:bCs/>
              <w:color w:val="FFFFFF"/>
            </w:rPr>
          </w:pPr>
          <w:r>
            <w:rPr>
              <w:rFonts w:ascii="Arial Narrow" w:eastAsia="Arial Narrow" w:hAnsi="Arial Narrow" w:cs="Arial Narrow"/>
              <w:b/>
              <w:bCs/>
              <w:color w:val="FFFFFF"/>
            </w:rPr>
            <w:t xml:space="preserve">VOLUME </w:t>
          </w:r>
          <w:r w:rsidRPr="0ED46586">
            <w:fldChar w:fldCharType="begin"/>
          </w:r>
          <w:r>
            <w:rPr>
              <w:rFonts w:ascii="Arial Narrow" w:hAnsi="Arial Narrow"/>
              <w:b/>
              <w:noProof/>
              <w:color w:val="FFFFFF"/>
            </w:rPr>
            <w:instrText xml:space="preserve"> STYLEREF  "Heading 1" \n  \* MERGEFORMAT </w:instrText>
          </w:r>
          <w:r w:rsidRPr="0ED46586">
            <w:rPr>
              <w:rFonts w:ascii="Arial Narrow" w:hAnsi="Arial Narrow"/>
              <w:b/>
              <w:noProof/>
              <w:color w:val="FFFFFF"/>
            </w:rPr>
            <w:fldChar w:fldCharType="separate"/>
          </w:r>
          <w:r w:rsidR="0005178D" w:rsidRPr="0005178D">
            <w:rPr>
              <w:rFonts w:ascii="Arial Narrow" w:hAnsi="Arial Narrow"/>
              <w:bCs/>
              <w:noProof/>
              <w:color w:val="FFFFFF"/>
            </w:rPr>
            <w:t>2</w:t>
          </w:r>
          <w:r w:rsidRPr="0ED46586">
            <w:fldChar w:fldCharType="end"/>
          </w:r>
          <w:r w:rsidRPr="0ED46586">
            <w:rPr>
              <w:rFonts w:ascii="Arial Narrow" w:eastAsia="Arial Narrow" w:hAnsi="Arial Narrow" w:cs="Arial Narrow"/>
              <w:b/>
              <w:bCs/>
              <w:color w:val="FFFFFF"/>
            </w:rPr>
            <w:t>:</w:t>
          </w:r>
          <w:r>
            <w:rPr>
              <w:rFonts w:ascii="Arial Narrow" w:eastAsia="Arial Narrow" w:hAnsi="Arial Narrow" w:cs="Arial Narrow"/>
              <w:b/>
              <w:bCs/>
              <w:color w:val="FFFFFF"/>
            </w:rPr>
            <w:t xml:space="preserve"> </w:t>
          </w:r>
          <w:r w:rsidRPr="0ED46586">
            <w:fldChar w:fldCharType="begin"/>
          </w:r>
          <w:r>
            <w:rPr>
              <w:noProof/>
            </w:rPr>
            <w:instrText xml:space="preserve"> STYLEREF  "Heading 1"  \* MERGEFORMAT </w:instrText>
          </w:r>
          <w:r w:rsidRPr="0ED46586">
            <w:fldChar w:fldCharType="separate"/>
          </w:r>
          <w:r w:rsidR="0005178D" w:rsidRPr="0005178D">
            <w:rPr>
              <w:b/>
              <w:bCs/>
              <w:noProof/>
            </w:rPr>
            <w:t>Residential Measures</w:t>
          </w:r>
          <w:r w:rsidRPr="0ED46586">
            <w:fldChar w:fldCharType="end"/>
          </w:r>
        </w:p>
      </w:tc>
      <w:tc>
        <w:tcPr>
          <w:tcW w:w="3150" w:type="dxa"/>
          <w:tcBorders>
            <w:bottom w:val="single" w:sz="12" w:space="0" w:color="A6A6A6" w:themeColor="background1" w:themeShade="A6"/>
          </w:tcBorders>
          <w:shd w:val="clear" w:color="auto" w:fill="FFFFFF" w:themeFill="background1"/>
        </w:tcPr>
        <w:p w14:paraId="748D8E4C" w14:textId="77777777" w:rsidR="00C71CAA" w:rsidRPr="00F84A22" w:rsidRDefault="00C71CAA" w:rsidP="00BD2C4C">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7598F16B" w14:textId="77777777" w:rsidR="00C71CAA" w:rsidRPr="00F84A22" w:rsidRDefault="00C71CAA" w:rsidP="00BD2C4C">
          <w:pPr>
            <w:tabs>
              <w:tab w:val="right" w:pos="8640"/>
            </w:tabs>
            <w:rPr>
              <w:rFonts w:ascii="Arial Narrow" w:hAnsi="Arial Narrow"/>
              <w:u w:val="single"/>
            </w:rPr>
          </w:pPr>
        </w:p>
      </w:tc>
    </w:tr>
    <w:tr w:rsidR="00C71CAA" w:rsidRPr="00C936BE" w14:paraId="5BEF7246" w14:textId="77777777" w:rsidTr="00BD2C4C">
      <w:trPr>
        <w:trHeight w:val="288"/>
      </w:trPr>
      <w:tc>
        <w:tcPr>
          <w:tcW w:w="7668" w:type="dxa"/>
          <w:gridSpan w:val="2"/>
          <w:tcBorders>
            <w:top w:val="single" w:sz="12" w:space="0" w:color="A6A6A6" w:themeColor="background1" w:themeShade="A6"/>
          </w:tcBorders>
          <w:shd w:val="clear" w:color="auto" w:fill="FFFFFF" w:themeFill="background1"/>
          <w:vAlign w:val="center"/>
        </w:tcPr>
        <w:p w14:paraId="4EC3CD61" w14:textId="77777777" w:rsidR="00C71CAA" w:rsidRPr="00F84A22" w:rsidRDefault="00C71CAA" w:rsidP="00BD2C4C">
          <w:pPr>
            <w:tabs>
              <w:tab w:val="right" w:pos="8640"/>
            </w:tabs>
            <w:ind w:left="-90"/>
            <w:rPr>
              <w:rFonts w:ascii="Arial Narrow" w:hAnsi="Arial Narrow"/>
            </w:rPr>
          </w:pPr>
          <w:r>
            <w:t>Domestic Hot Water</w:t>
          </w:r>
        </w:p>
      </w:tc>
      <w:tc>
        <w:tcPr>
          <w:tcW w:w="1080" w:type="dxa"/>
          <w:tcBorders>
            <w:top w:val="single" w:sz="12" w:space="0" w:color="A6A6A6" w:themeColor="background1" w:themeShade="A6"/>
          </w:tcBorders>
          <w:shd w:val="clear" w:color="auto" w:fill="123663"/>
          <w:vAlign w:val="center"/>
        </w:tcPr>
        <w:p w14:paraId="48AACFB7" w14:textId="77777777" w:rsidR="00C71CAA" w:rsidRPr="00F84A22" w:rsidRDefault="00C71CAA" w:rsidP="00BD2C4C">
          <w:pPr>
            <w:tabs>
              <w:tab w:val="right" w:pos="8640"/>
            </w:tabs>
            <w:jc w:val="right"/>
            <w:rPr>
              <w:rFonts w:ascii="Arial Narrow" w:hAnsi="Arial Narrow"/>
              <w:b/>
              <w:bCs/>
              <w:color w:val="FFFFFF"/>
              <w:u w:val="single"/>
            </w:rPr>
          </w:pPr>
          <w:r w:rsidRPr="0ED46586">
            <w:rPr>
              <w:rFonts w:ascii="Arial Narrow" w:eastAsia="Arial Narrow" w:hAnsi="Arial Narrow" w:cs="Arial Narrow"/>
              <w:b/>
              <w:bCs/>
              <w:color w:val="FFFFFF"/>
            </w:rPr>
            <w:t>Page</w:t>
          </w:r>
          <w:r>
            <w:rPr>
              <w:rFonts w:ascii="Arial Narrow" w:eastAsia="Arial Narrow" w:hAnsi="Arial Narrow" w:cs="Arial Narrow"/>
              <w:b/>
              <w:bCs/>
              <w:color w:val="FFFFFF"/>
            </w:rPr>
            <w:t xml:space="preserve"> </w:t>
          </w:r>
          <w:r w:rsidRPr="0ED46586">
            <w:rPr>
              <w:rFonts w:ascii="Arial Narrow" w:hAnsi="Arial Narrow"/>
              <w:b/>
              <w:bCs/>
              <w:color w:val="FFFFFF"/>
            </w:rPr>
            <w:fldChar w:fldCharType="begin"/>
          </w:r>
          <w:r w:rsidRPr="00F84A22">
            <w:rPr>
              <w:rFonts w:ascii="Arial Narrow" w:hAnsi="Arial Narrow"/>
              <w:b/>
              <w:color w:val="FFFFFF"/>
            </w:rPr>
            <w:instrText xml:space="preserve"> PAGE </w:instrText>
          </w:r>
          <w:r w:rsidRPr="0ED46586">
            <w:rPr>
              <w:rFonts w:ascii="Arial Narrow" w:hAnsi="Arial Narrow"/>
              <w:b/>
              <w:color w:val="FFFFFF"/>
            </w:rPr>
            <w:fldChar w:fldCharType="separate"/>
          </w:r>
          <w:r w:rsidRPr="6306E6AA">
            <w:rPr>
              <w:rFonts w:ascii="Arial Narrow" w:hAnsi="Arial Narrow"/>
              <w:b/>
              <w:bCs/>
              <w:noProof/>
              <w:color w:val="FFFFFF"/>
            </w:rPr>
            <w:t>114</w:t>
          </w:r>
          <w:r w:rsidRPr="0ED46586">
            <w:rPr>
              <w:rFonts w:ascii="Arial Narrow" w:eastAsia="Arial Narrow" w:hAnsi="Arial Narrow" w:cs="Arial Narrow"/>
              <w:b/>
              <w:bCs/>
              <w:color w:val="FFFFFF"/>
            </w:rPr>
            <w:fldChar w:fldCharType="end"/>
          </w:r>
        </w:p>
      </w:tc>
    </w:tr>
  </w:tbl>
  <w:p w14:paraId="0BFFDC9F" w14:textId="77777777" w:rsidR="00C71CAA" w:rsidRPr="00AE4498" w:rsidRDefault="00C71CAA" w:rsidP="00BD2C4C">
    <w:pPr>
      <w:tabs>
        <w:tab w:val="right" w:pos="8640"/>
      </w:tabs>
      <w:spacing w:after="40"/>
      <w:rPr>
        <w:rFonts w:ascii="Arial Narrow" w:hAnsi="Arial Narrow"/>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48" w:type="dxa"/>
      <w:shd w:val="clear" w:color="auto" w:fill="A6A6A6"/>
      <w:tblLook w:val="04A0" w:firstRow="1" w:lastRow="0" w:firstColumn="1" w:lastColumn="0" w:noHBand="0" w:noVBand="1"/>
    </w:tblPr>
    <w:tblGrid>
      <w:gridCol w:w="4518"/>
      <w:gridCol w:w="3150"/>
      <w:gridCol w:w="1080"/>
    </w:tblGrid>
    <w:tr w:rsidR="00C71CAA" w14:paraId="3AAD9CF9" w14:textId="77777777" w:rsidTr="00BD2C4C">
      <w:trPr>
        <w:trHeight w:val="288"/>
      </w:trPr>
      <w:tc>
        <w:tcPr>
          <w:tcW w:w="4518" w:type="dxa"/>
          <w:tcBorders>
            <w:bottom w:val="single" w:sz="12" w:space="0" w:color="A6A6A6" w:themeColor="background1" w:themeShade="A6"/>
          </w:tcBorders>
          <w:shd w:val="clear" w:color="auto" w:fill="123663"/>
          <w:vAlign w:val="center"/>
        </w:tcPr>
        <w:p w14:paraId="1FBFC39F" w14:textId="06D27BC9" w:rsidR="00C71CAA" w:rsidRPr="00F84A22" w:rsidRDefault="00C71CAA" w:rsidP="00BD2C4C">
          <w:pPr>
            <w:tabs>
              <w:tab w:val="right" w:pos="8640"/>
            </w:tabs>
            <w:rPr>
              <w:rFonts w:ascii="Arial Narrow" w:hAnsi="Arial Narrow"/>
              <w:b/>
              <w:bCs/>
              <w:color w:val="FFFFFF"/>
            </w:rPr>
          </w:pPr>
          <w:r w:rsidRPr="0ED46586">
            <w:rPr>
              <w:rFonts w:ascii="Arial Narrow" w:eastAsia="Arial Narrow" w:hAnsi="Arial Narrow" w:cs="Arial Narrow"/>
              <w:b/>
              <w:bCs/>
              <w:color w:val="FFFFFF"/>
            </w:rPr>
            <w:t>SECTION</w:t>
          </w:r>
          <w:r>
            <w:rPr>
              <w:rFonts w:ascii="Arial Narrow" w:eastAsia="Arial Narrow" w:hAnsi="Arial Narrow" w:cs="Arial Narrow"/>
              <w:b/>
              <w:bCs/>
              <w:color w:val="FFFFFF"/>
            </w:rPr>
            <w:t xml:space="preserve"> </w:t>
          </w:r>
          <w:r w:rsidRPr="0ED46586">
            <w:fldChar w:fldCharType="begin"/>
          </w:r>
          <w:r>
            <w:rPr>
              <w:rFonts w:ascii="Arial Narrow" w:hAnsi="Arial Narrow"/>
              <w:b/>
              <w:noProof/>
              <w:color w:val="FFFFFF"/>
            </w:rPr>
            <w:instrText xml:space="preserve"> STYLEREF  "Heading 1" \n  \* MERGEFORMAT </w:instrText>
          </w:r>
          <w:r w:rsidRPr="0ED46586">
            <w:rPr>
              <w:rFonts w:ascii="Arial Narrow" w:hAnsi="Arial Narrow"/>
              <w:b/>
              <w:noProof/>
              <w:color w:val="FFFFFF"/>
            </w:rPr>
            <w:fldChar w:fldCharType="separate"/>
          </w:r>
          <w:r w:rsidR="00E67FF9" w:rsidRPr="00E67FF9">
            <w:rPr>
              <w:rFonts w:ascii="Arial Narrow" w:hAnsi="Arial Narrow"/>
              <w:bCs/>
              <w:noProof/>
              <w:color w:val="FFFFFF"/>
            </w:rPr>
            <w:t>2</w:t>
          </w:r>
          <w:r w:rsidRPr="0ED46586">
            <w:fldChar w:fldCharType="end"/>
          </w:r>
          <w:r w:rsidRPr="0ED46586">
            <w:rPr>
              <w:rFonts w:ascii="Arial Narrow" w:eastAsia="Arial Narrow" w:hAnsi="Arial Narrow" w:cs="Arial Narrow"/>
              <w:b/>
              <w:bCs/>
              <w:color w:val="FFFFFF"/>
            </w:rPr>
            <w:t>:</w:t>
          </w:r>
          <w:r>
            <w:rPr>
              <w:rFonts w:ascii="Arial Narrow" w:eastAsia="Arial Narrow" w:hAnsi="Arial Narrow" w:cs="Arial Narrow"/>
              <w:b/>
              <w:bCs/>
              <w:color w:val="FFFFFF"/>
            </w:rPr>
            <w:t xml:space="preserve"> </w:t>
          </w:r>
          <w:r w:rsidRPr="0ED46586">
            <w:fldChar w:fldCharType="begin"/>
          </w:r>
          <w:r>
            <w:rPr>
              <w:noProof/>
            </w:rPr>
            <w:instrText xml:space="preserve"> STYLEREF  "Heading 1"  \* MERGEFORMAT </w:instrText>
          </w:r>
          <w:r w:rsidRPr="0ED46586">
            <w:fldChar w:fldCharType="separate"/>
          </w:r>
          <w:r w:rsidR="00E67FF9" w:rsidRPr="00E67FF9">
            <w:rPr>
              <w:b/>
              <w:bCs/>
              <w:noProof/>
            </w:rPr>
            <w:t>Residential Measures</w:t>
          </w:r>
          <w:r w:rsidRPr="0ED46586">
            <w:fldChar w:fldCharType="end"/>
          </w:r>
        </w:p>
      </w:tc>
      <w:tc>
        <w:tcPr>
          <w:tcW w:w="3150" w:type="dxa"/>
          <w:tcBorders>
            <w:bottom w:val="single" w:sz="12" w:space="0" w:color="A6A6A6" w:themeColor="background1" w:themeShade="A6"/>
          </w:tcBorders>
          <w:shd w:val="clear" w:color="auto" w:fill="FFFFFF" w:themeFill="background1"/>
        </w:tcPr>
        <w:p w14:paraId="1AC07E4F" w14:textId="77777777" w:rsidR="00C71CAA" w:rsidRPr="00F84A22" w:rsidRDefault="00C71CAA" w:rsidP="00BD2C4C">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65BA647B" w14:textId="77777777" w:rsidR="00C71CAA" w:rsidRPr="00F84A22" w:rsidRDefault="00C71CAA" w:rsidP="00BD2C4C">
          <w:pPr>
            <w:tabs>
              <w:tab w:val="right" w:pos="8640"/>
            </w:tabs>
            <w:rPr>
              <w:rFonts w:ascii="Arial Narrow" w:hAnsi="Arial Narrow"/>
              <w:u w:val="single"/>
            </w:rPr>
          </w:pPr>
        </w:p>
      </w:tc>
    </w:tr>
    <w:tr w:rsidR="00C71CAA" w:rsidRPr="00C936BE" w14:paraId="7C15DB6E" w14:textId="77777777" w:rsidTr="00BD2C4C">
      <w:trPr>
        <w:trHeight w:val="288"/>
      </w:trPr>
      <w:tc>
        <w:tcPr>
          <w:tcW w:w="7668" w:type="dxa"/>
          <w:gridSpan w:val="2"/>
          <w:tcBorders>
            <w:top w:val="single" w:sz="12" w:space="0" w:color="A6A6A6" w:themeColor="background1" w:themeShade="A6"/>
          </w:tcBorders>
          <w:shd w:val="clear" w:color="auto" w:fill="FFFFFF" w:themeFill="background1"/>
          <w:vAlign w:val="center"/>
        </w:tcPr>
        <w:p w14:paraId="316BD194" w14:textId="77777777" w:rsidR="00C71CAA" w:rsidRPr="00F84A22" w:rsidRDefault="00C71CAA" w:rsidP="00BD2C4C">
          <w:pPr>
            <w:tabs>
              <w:tab w:val="right" w:pos="8640"/>
            </w:tabs>
            <w:ind w:left="-90"/>
            <w:rPr>
              <w:rFonts w:ascii="Arial Narrow" w:hAnsi="Arial Narrow"/>
            </w:rPr>
          </w:pPr>
          <w:r>
            <w:t>Domestic Hot Water</w:t>
          </w:r>
        </w:p>
      </w:tc>
      <w:tc>
        <w:tcPr>
          <w:tcW w:w="1080" w:type="dxa"/>
          <w:tcBorders>
            <w:top w:val="single" w:sz="12" w:space="0" w:color="A6A6A6" w:themeColor="background1" w:themeShade="A6"/>
          </w:tcBorders>
          <w:shd w:val="clear" w:color="auto" w:fill="123663"/>
          <w:vAlign w:val="center"/>
        </w:tcPr>
        <w:p w14:paraId="1053DB6F" w14:textId="77777777" w:rsidR="00C71CAA" w:rsidRPr="00F84A22" w:rsidRDefault="00C71CAA" w:rsidP="00BD2C4C">
          <w:pPr>
            <w:tabs>
              <w:tab w:val="right" w:pos="8640"/>
            </w:tabs>
            <w:jc w:val="right"/>
            <w:rPr>
              <w:rFonts w:ascii="Arial Narrow" w:hAnsi="Arial Narrow"/>
              <w:b/>
              <w:bCs/>
              <w:color w:val="FFFFFF"/>
              <w:u w:val="single"/>
            </w:rPr>
          </w:pPr>
          <w:r w:rsidRPr="0ED46586">
            <w:rPr>
              <w:rFonts w:ascii="Arial Narrow" w:eastAsia="Arial Narrow" w:hAnsi="Arial Narrow" w:cs="Arial Narrow"/>
              <w:b/>
              <w:bCs/>
              <w:color w:val="FFFFFF"/>
            </w:rPr>
            <w:t>Page</w:t>
          </w:r>
          <w:r>
            <w:rPr>
              <w:rFonts w:ascii="Arial Narrow" w:eastAsia="Arial Narrow" w:hAnsi="Arial Narrow" w:cs="Arial Narrow"/>
              <w:b/>
              <w:bCs/>
              <w:color w:val="FFFFFF"/>
            </w:rPr>
            <w:t xml:space="preserve"> </w:t>
          </w:r>
          <w:r w:rsidRPr="0ED46586">
            <w:rPr>
              <w:rFonts w:ascii="Arial Narrow" w:hAnsi="Arial Narrow"/>
              <w:b/>
              <w:bCs/>
              <w:color w:val="FFFFFF"/>
            </w:rPr>
            <w:fldChar w:fldCharType="begin"/>
          </w:r>
          <w:r w:rsidRPr="00F84A22">
            <w:rPr>
              <w:rFonts w:ascii="Arial Narrow" w:hAnsi="Arial Narrow"/>
              <w:b/>
              <w:color w:val="FFFFFF"/>
            </w:rPr>
            <w:instrText xml:space="preserve"> PAGE </w:instrText>
          </w:r>
          <w:r w:rsidRPr="0ED46586">
            <w:rPr>
              <w:rFonts w:ascii="Arial Narrow" w:hAnsi="Arial Narrow"/>
              <w:b/>
              <w:color w:val="FFFFFF"/>
            </w:rPr>
            <w:fldChar w:fldCharType="separate"/>
          </w:r>
          <w:r w:rsidRPr="6306E6AA">
            <w:rPr>
              <w:rFonts w:ascii="Arial Narrow" w:hAnsi="Arial Narrow"/>
              <w:b/>
              <w:bCs/>
              <w:noProof/>
              <w:color w:val="FFFFFF"/>
            </w:rPr>
            <w:t>114</w:t>
          </w:r>
          <w:r w:rsidRPr="0ED46586">
            <w:rPr>
              <w:rFonts w:ascii="Arial Narrow" w:eastAsia="Arial Narrow" w:hAnsi="Arial Narrow" w:cs="Arial Narrow"/>
              <w:b/>
              <w:bCs/>
              <w:color w:val="FFFFFF"/>
            </w:rPr>
            <w:fldChar w:fldCharType="end"/>
          </w:r>
        </w:p>
      </w:tc>
    </w:tr>
  </w:tbl>
  <w:p w14:paraId="6D900E4F" w14:textId="77777777" w:rsidR="00C71CAA" w:rsidRDefault="00C71CA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748" w:type="dxa"/>
      <w:shd w:val="clear" w:color="auto" w:fill="A6A6A6"/>
      <w:tblLook w:val="04A0" w:firstRow="1" w:lastRow="0" w:firstColumn="1" w:lastColumn="0" w:noHBand="0" w:noVBand="1"/>
    </w:tblPr>
    <w:tblGrid>
      <w:gridCol w:w="4518"/>
      <w:gridCol w:w="3150"/>
      <w:gridCol w:w="1080"/>
    </w:tblGrid>
    <w:tr w:rsidR="004E6452" w14:paraId="6AF47C30" w14:textId="77777777" w:rsidTr="00BD2C4C">
      <w:trPr>
        <w:trHeight w:val="288"/>
      </w:trPr>
      <w:tc>
        <w:tcPr>
          <w:tcW w:w="4518" w:type="dxa"/>
          <w:tcBorders>
            <w:bottom w:val="single" w:sz="12" w:space="0" w:color="A6A6A6" w:themeColor="background1" w:themeShade="A6"/>
          </w:tcBorders>
          <w:shd w:val="clear" w:color="auto" w:fill="123663"/>
          <w:vAlign w:val="center"/>
        </w:tcPr>
        <w:p w14:paraId="2C665B99" w14:textId="77777777" w:rsidR="004E6452" w:rsidRPr="00F84A22" w:rsidRDefault="004E6452" w:rsidP="00BD2C4C">
          <w:pPr>
            <w:tabs>
              <w:tab w:val="right" w:pos="8640"/>
            </w:tabs>
            <w:rPr>
              <w:rFonts w:ascii="Arial Narrow" w:hAnsi="Arial Narrow"/>
              <w:b/>
              <w:bCs/>
              <w:color w:val="FFFFFF"/>
            </w:rPr>
          </w:pPr>
          <w:r>
            <w:rPr>
              <w:rFonts w:ascii="Arial Narrow" w:eastAsia="Arial Narrow" w:hAnsi="Arial Narrow" w:cs="Arial Narrow"/>
              <w:b/>
              <w:bCs/>
              <w:color w:val="FFFFFF"/>
            </w:rPr>
            <w:t xml:space="preserve">VOLUME </w:t>
          </w:r>
          <w:r w:rsidRPr="008D3151">
            <w:rPr>
              <w:rFonts w:ascii="Arial Narrow" w:eastAsia="Arial Narrow" w:hAnsi="Arial Narrow" w:cs="Arial Narrow"/>
              <w:b/>
              <w:bCs/>
              <w:noProof/>
              <w:color w:val="FFFFFF"/>
            </w:rPr>
            <w:t>2</w:t>
          </w:r>
          <w:r w:rsidRPr="0ED46586">
            <w:rPr>
              <w:rFonts w:ascii="Arial Narrow" w:eastAsia="Arial Narrow" w:hAnsi="Arial Narrow" w:cs="Arial Narrow"/>
              <w:b/>
              <w:bCs/>
              <w:color w:val="FFFFFF"/>
            </w:rPr>
            <w:t>:</w:t>
          </w:r>
          <w:r>
            <w:rPr>
              <w:rFonts w:ascii="Arial Narrow" w:eastAsia="Arial Narrow" w:hAnsi="Arial Narrow" w:cs="Arial Narrow"/>
              <w:b/>
              <w:bCs/>
              <w:color w:val="FFFFFF"/>
            </w:rPr>
            <w:t xml:space="preserve"> </w:t>
          </w:r>
          <w:r>
            <w:rPr>
              <w:noProof/>
            </w:rPr>
            <w:t>Residential Measures</w:t>
          </w:r>
        </w:p>
      </w:tc>
      <w:tc>
        <w:tcPr>
          <w:tcW w:w="3150" w:type="dxa"/>
          <w:tcBorders>
            <w:bottom w:val="single" w:sz="12" w:space="0" w:color="A6A6A6" w:themeColor="background1" w:themeShade="A6"/>
          </w:tcBorders>
          <w:shd w:val="clear" w:color="auto" w:fill="FFFFFF" w:themeFill="background1"/>
        </w:tcPr>
        <w:p w14:paraId="6DD4BD64" w14:textId="77777777" w:rsidR="004E6452" w:rsidRPr="00F84A22" w:rsidRDefault="004E6452" w:rsidP="00BD2C4C">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1572AA1B" w14:textId="77777777" w:rsidR="004E6452" w:rsidRPr="00F84A22" w:rsidRDefault="004E6452" w:rsidP="00BD2C4C">
          <w:pPr>
            <w:tabs>
              <w:tab w:val="right" w:pos="8640"/>
            </w:tabs>
            <w:rPr>
              <w:rFonts w:ascii="Arial Narrow" w:hAnsi="Arial Narrow"/>
              <w:u w:val="single"/>
            </w:rPr>
          </w:pPr>
        </w:p>
      </w:tc>
    </w:tr>
    <w:tr w:rsidR="004E6452" w:rsidRPr="00C936BE" w14:paraId="0CE03BFC" w14:textId="77777777" w:rsidTr="00BD2C4C">
      <w:trPr>
        <w:trHeight w:val="288"/>
      </w:trPr>
      <w:tc>
        <w:tcPr>
          <w:tcW w:w="7668" w:type="dxa"/>
          <w:gridSpan w:val="2"/>
          <w:tcBorders>
            <w:top w:val="single" w:sz="12" w:space="0" w:color="A6A6A6" w:themeColor="background1" w:themeShade="A6"/>
          </w:tcBorders>
          <w:shd w:val="clear" w:color="auto" w:fill="FFFFFF" w:themeFill="background1"/>
          <w:vAlign w:val="center"/>
        </w:tcPr>
        <w:p w14:paraId="404D27FC" w14:textId="77777777" w:rsidR="004E6452" w:rsidRPr="00F84A22" w:rsidRDefault="004E6452" w:rsidP="00BD2C4C">
          <w:pPr>
            <w:tabs>
              <w:tab w:val="right" w:pos="8640"/>
            </w:tabs>
            <w:ind w:left="-90"/>
            <w:rPr>
              <w:rFonts w:ascii="Arial Narrow" w:hAnsi="Arial Narrow"/>
            </w:rPr>
          </w:pPr>
          <w:r>
            <w:t>Appliances</w:t>
          </w:r>
        </w:p>
      </w:tc>
      <w:tc>
        <w:tcPr>
          <w:tcW w:w="1080" w:type="dxa"/>
          <w:tcBorders>
            <w:top w:val="single" w:sz="12" w:space="0" w:color="A6A6A6" w:themeColor="background1" w:themeShade="A6"/>
          </w:tcBorders>
          <w:shd w:val="clear" w:color="auto" w:fill="123663"/>
          <w:vAlign w:val="center"/>
        </w:tcPr>
        <w:p w14:paraId="6B03D3C6" w14:textId="77777777" w:rsidR="004E6452" w:rsidRPr="00F84A22" w:rsidRDefault="004E6452" w:rsidP="00BD2C4C">
          <w:pPr>
            <w:tabs>
              <w:tab w:val="right" w:pos="8640"/>
            </w:tabs>
            <w:jc w:val="right"/>
            <w:rPr>
              <w:rFonts w:ascii="Arial Narrow" w:hAnsi="Arial Narrow"/>
              <w:b/>
              <w:bCs/>
              <w:color w:val="FFFFFF"/>
              <w:u w:val="single"/>
            </w:rPr>
          </w:pPr>
          <w:r w:rsidRPr="0ED46586">
            <w:rPr>
              <w:rFonts w:ascii="Arial Narrow" w:eastAsia="Arial Narrow" w:hAnsi="Arial Narrow" w:cs="Arial Narrow"/>
              <w:b/>
              <w:bCs/>
              <w:color w:val="FFFFFF"/>
            </w:rPr>
            <w:t>Page</w:t>
          </w:r>
          <w:r>
            <w:rPr>
              <w:rFonts w:ascii="Arial Narrow" w:eastAsia="Arial Narrow" w:hAnsi="Arial Narrow" w:cs="Arial Narrow"/>
              <w:b/>
              <w:bCs/>
              <w:color w:val="FFFFFF"/>
            </w:rPr>
            <w:t xml:space="preserve"> </w:t>
          </w:r>
          <w:r w:rsidRPr="0ED46586">
            <w:rPr>
              <w:rFonts w:ascii="Arial Narrow" w:hAnsi="Arial Narrow"/>
              <w:b/>
              <w:bCs/>
              <w:color w:val="FFFFFF"/>
            </w:rPr>
            <w:fldChar w:fldCharType="begin"/>
          </w:r>
          <w:r w:rsidRPr="00F84A22">
            <w:rPr>
              <w:rFonts w:ascii="Arial Narrow" w:hAnsi="Arial Narrow"/>
              <w:b/>
              <w:color w:val="FFFFFF"/>
            </w:rPr>
            <w:instrText xml:space="preserve"> PAGE </w:instrText>
          </w:r>
          <w:r w:rsidRPr="0ED46586">
            <w:rPr>
              <w:rFonts w:ascii="Arial Narrow" w:hAnsi="Arial Narrow"/>
              <w:b/>
              <w:color w:val="FFFFFF"/>
            </w:rPr>
            <w:fldChar w:fldCharType="separate"/>
          </w:r>
          <w:r>
            <w:rPr>
              <w:rFonts w:ascii="Arial Narrow" w:hAnsi="Arial Narrow"/>
              <w:b/>
              <w:color w:val="FFFFFF"/>
            </w:rPr>
            <w:t>100</w:t>
          </w:r>
          <w:r w:rsidRPr="0ED46586">
            <w:rPr>
              <w:rFonts w:ascii="Arial Narrow" w:eastAsia="Arial Narrow" w:hAnsi="Arial Narrow" w:cs="Arial Narrow"/>
              <w:b/>
              <w:bCs/>
              <w:color w:val="FFFFFF"/>
            </w:rPr>
            <w:fldChar w:fldCharType="end"/>
          </w:r>
        </w:p>
      </w:tc>
    </w:tr>
  </w:tbl>
  <w:p w14:paraId="1169D923" w14:textId="77777777" w:rsidR="004E6452" w:rsidRPr="00AE4498" w:rsidRDefault="004E6452" w:rsidP="00BD2C4C">
    <w:pPr>
      <w:tabs>
        <w:tab w:val="right" w:pos="8640"/>
      </w:tabs>
      <w:spacing w:after="40"/>
      <w:rPr>
        <w:rFonts w:ascii="Arial Narrow" w:hAnsi="Arial Narrow"/>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9F968" w14:textId="77777777" w:rsidR="002D556C" w:rsidRDefault="002D556C" w:rsidP="00FA5174">
      <w:r>
        <w:separator/>
      </w:r>
    </w:p>
  </w:footnote>
  <w:footnote w:type="continuationSeparator" w:id="0">
    <w:p w14:paraId="71942049" w14:textId="77777777" w:rsidR="002D556C" w:rsidRDefault="002D556C" w:rsidP="00FA5174">
      <w:r>
        <w:continuationSeparator/>
      </w:r>
    </w:p>
  </w:footnote>
  <w:footnote w:type="continuationNotice" w:id="1">
    <w:p w14:paraId="67934FF5" w14:textId="77777777" w:rsidR="002D556C" w:rsidRDefault="002D556C"/>
  </w:footnote>
  <w:footnote w:id="2">
    <w:p w14:paraId="6EEFEA5D" w14:textId="77777777" w:rsidR="00F57AE3" w:rsidRPr="00410F0D" w:rsidRDefault="00F57AE3" w:rsidP="00FA5174">
      <w:pPr>
        <w:pStyle w:val="FootnoteText"/>
        <w:rPr>
          <w:szCs w:val="18"/>
        </w:rPr>
      </w:pPr>
      <w:r w:rsidRPr="00410F0D">
        <w:rPr>
          <w:rStyle w:val="FootnoteReference"/>
          <w:szCs w:val="18"/>
        </w:rPr>
        <w:footnoteRef/>
      </w:r>
      <w:r w:rsidRPr="00410F0D">
        <w:rPr>
          <w:szCs w:val="18"/>
        </w:rPr>
        <w:t xml:space="preserve"> For EDC Data Gathering, EDCs must use the method established in the DOE Uniform Methods Project, October 2017. (</w:t>
      </w:r>
      <w:hyperlink r:id="rId1" w:history="1">
        <w:r w:rsidRPr="00410F0D">
          <w:rPr>
            <w:rStyle w:val="Hyperlink"/>
            <w:szCs w:val="18"/>
          </w:rPr>
          <w:t>https://www.nrel.gov/docs/fy17osti/68562.pdf</w:t>
        </w:r>
      </w:hyperlink>
      <w:r w:rsidRPr="00410F0D">
        <w:rPr>
          <w:szCs w:val="18"/>
        </w:rPr>
        <w:t xml:space="preserve"> )</w:t>
      </w:r>
    </w:p>
  </w:footnote>
  <w:footnote w:id="3">
    <w:p w14:paraId="27B77D27" w14:textId="77777777" w:rsidR="00BF46BE" w:rsidRDefault="00BF46BE" w:rsidP="00BF46BE">
      <w:pPr>
        <w:pStyle w:val="FootnoteText"/>
      </w:pPr>
      <w:r>
        <w:rPr>
          <w:rStyle w:val="FootnoteReference"/>
        </w:rPr>
        <w:footnoteRef/>
      </w:r>
      <w:r>
        <w:t xml:space="preserve"> </w:t>
      </w:r>
      <w:r w:rsidRPr="00CA3278">
        <w:t>ASHRAE 62.2 recommend</w:t>
      </w:r>
      <w:r>
        <w:t>s</w:t>
      </w:r>
      <w:r w:rsidRPr="00CA3278">
        <w:t xml:space="preserve"> a minimum of 20 CFM for continuous bathroom ventilation. </w:t>
      </w:r>
      <w:hyperlink r:id="rId2" w:anchor="!Documents/46indoorairqualityandmechanicalventilation.htm" w:history="1">
        <w:r w:rsidRPr="0085671C">
          <w:rPr>
            <w:rStyle w:val="Hyperlink"/>
          </w:rPr>
          <w:t>Weblink</w:t>
        </w:r>
      </w:hyperlink>
    </w:p>
  </w:footnote>
  <w:footnote w:id="4">
    <w:p w14:paraId="0BAC2A07" w14:textId="77777777" w:rsidR="004E6452" w:rsidRPr="00427E17" w:rsidRDefault="004E6452" w:rsidP="004E6452">
      <w:pPr>
        <w:pStyle w:val="FootnoteText"/>
        <w:jc w:val="left"/>
        <w:rPr>
          <w:szCs w:val="18"/>
        </w:rPr>
      </w:pPr>
      <w:r w:rsidRPr="00427E17">
        <w:rPr>
          <w:rStyle w:val="FootnoteReference"/>
          <w:szCs w:val="18"/>
        </w:rPr>
        <w:footnoteRef/>
      </w:r>
      <w:r>
        <w:rPr>
          <w:szCs w:val="18"/>
        </w:rPr>
        <w:t xml:space="preserve"> </w:t>
      </w:r>
      <w:r w:rsidRPr="00427E17">
        <w:rPr>
          <w:szCs w:val="18"/>
        </w:rPr>
        <w:t>The</w:t>
      </w:r>
      <w:r>
        <w:rPr>
          <w:szCs w:val="18"/>
        </w:rPr>
        <w:t xml:space="preserve"> </w:t>
      </w:r>
      <w:r w:rsidRPr="00427E17">
        <w:rPr>
          <w:szCs w:val="18"/>
        </w:rPr>
        <w:t>Pennsylvania</w:t>
      </w:r>
      <w:r>
        <w:rPr>
          <w:szCs w:val="18"/>
        </w:rPr>
        <w:t xml:space="preserve"> </w:t>
      </w:r>
      <w:r w:rsidRPr="00427E17">
        <w:rPr>
          <w:szCs w:val="18"/>
        </w:rPr>
        <w:t>SWE</w:t>
      </w:r>
      <w:r>
        <w:rPr>
          <w:szCs w:val="18"/>
        </w:rPr>
        <w:t xml:space="preserve"> </w:t>
      </w:r>
      <w:r w:rsidRPr="00427E17">
        <w:rPr>
          <w:szCs w:val="18"/>
        </w:rPr>
        <w:t>and</w:t>
      </w:r>
      <w:r>
        <w:rPr>
          <w:szCs w:val="18"/>
        </w:rPr>
        <w:t xml:space="preserve"> </w:t>
      </w:r>
      <w:r w:rsidRPr="00427E17">
        <w:rPr>
          <w:szCs w:val="18"/>
        </w:rPr>
        <w:t>PUC</w:t>
      </w:r>
      <w:r>
        <w:rPr>
          <w:szCs w:val="18"/>
        </w:rPr>
        <w:t xml:space="preserve"> </w:t>
      </w:r>
      <w:r w:rsidRPr="00427E17">
        <w:rPr>
          <w:szCs w:val="18"/>
        </w:rPr>
        <w:t>TUS</w:t>
      </w:r>
      <w:r>
        <w:rPr>
          <w:szCs w:val="18"/>
        </w:rPr>
        <w:t xml:space="preserve"> </w:t>
      </w:r>
      <w:r w:rsidRPr="00427E17">
        <w:rPr>
          <w:szCs w:val="18"/>
        </w:rPr>
        <w:t>staff</w:t>
      </w:r>
      <w:r>
        <w:rPr>
          <w:szCs w:val="18"/>
        </w:rPr>
        <w:t xml:space="preserve"> </w:t>
      </w:r>
      <w:r w:rsidRPr="00427E17">
        <w:rPr>
          <w:szCs w:val="18"/>
        </w:rPr>
        <w:t>added</w:t>
      </w:r>
      <w:r>
        <w:rPr>
          <w:szCs w:val="18"/>
        </w:rPr>
        <w:t xml:space="preserve"> </w:t>
      </w:r>
      <w:r w:rsidRPr="00427E17">
        <w:rPr>
          <w:szCs w:val="18"/>
        </w:rPr>
        <w:t>this</w:t>
      </w:r>
      <w:r>
        <w:rPr>
          <w:szCs w:val="18"/>
        </w:rPr>
        <w:t xml:space="preserve"> </w:t>
      </w:r>
      <w:r w:rsidRPr="00427E17">
        <w:rPr>
          <w:szCs w:val="18"/>
        </w:rPr>
        <w:t>condition</w:t>
      </w:r>
      <w:r>
        <w:rPr>
          <w:szCs w:val="18"/>
        </w:rPr>
        <w:t xml:space="preserve"> </w:t>
      </w:r>
      <w:r w:rsidRPr="00427E17">
        <w:rPr>
          <w:szCs w:val="18"/>
        </w:rPr>
        <w:t>relating</w:t>
      </w:r>
      <w:r>
        <w:rPr>
          <w:szCs w:val="18"/>
        </w:rPr>
        <w:t xml:space="preserve"> </w:t>
      </w:r>
      <w:r w:rsidRPr="00427E17">
        <w:rPr>
          <w:szCs w:val="18"/>
        </w:rPr>
        <w:t>to</w:t>
      </w:r>
      <w:r>
        <w:rPr>
          <w:szCs w:val="18"/>
        </w:rPr>
        <w:t xml:space="preserve"> </w:t>
      </w:r>
      <w:r w:rsidRPr="00427E17">
        <w:rPr>
          <w:szCs w:val="18"/>
        </w:rPr>
        <w:t>certification</w:t>
      </w:r>
      <w:r>
        <w:rPr>
          <w:szCs w:val="18"/>
        </w:rPr>
        <w:t xml:space="preserve"> </w:t>
      </w:r>
      <w:r w:rsidRPr="00427E17">
        <w:rPr>
          <w:szCs w:val="18"/>
        </w:rPr>
        <w:t>that</w:t>
      </w:r>
      <w:r>
        <w:rPr>
          <w:szCs w:val="18"/>
        </w:rPr>
        <w:t xml:space="preserve"> </w:t>
      </w:r>
      <w:r w:rsidRPr="00427E17">
        <w:rPr>
          <w:szCs w:val="18"/>
        </w:rPr>
        <w:t>has</w:t>
      </w:r>
      <w:r>
        <w:rPr>
          <w:szCs w:val="18"/>
        </w:rPr>
        <w:t xml:space="preserve"> </w:t>
      </w:r>
      <w:r w:rsidRPr="00427E17">
        <w:rPr>
          <w:szCs w:val="18"/>
        </w:rPr>
        <w:t>been</w:t>
      </w:r>
      <w:r>
        <w:rPr>
          <w:szCs w:val="18"/>
        </w:rPr>
        <w:t xml:space="preserve"> </w:t>
      </w:r>
      <w:r w:rsidRPr="00427E17">
        <w:rPr>
          <w:szCs w:val="18"/>
        </w:rPr>
        <w:t>applied</w:t>
      </w:r>
      <w:r>
        <w:rPr>
          <w:szCs w:val="18"/>
        </w:rPr>
        <w:t xml:space="preserve"> </w:t>
      </w:r>
      <w:r w:rsidRPr="00427E17">
        <w:rPr>
          <w:szCs w:val="18"/>
        </w:rPr>
        <w:t>for</w:t>
      </w:r>
      <w:r>
        <w:rPr>
          <w:szCs w:val="18"/>
        </w:rPr>
        <w:t xml:space="preserve"> </w:t>
      </w:r>
      <w:r w:rsidRPr="00427E17">
        <w:rPr>
          <w:szCs w:val="18"/>
        </w:rPr>
        <w:t>but</w:t>
      </w:r>
      <w:r>
        <w:rPr>
          <w:szCs w:val="18"/>
        </w:rPr>
        <w:t xml:space="preserve"> </w:t>
      </w:r>
      <w:r w:rsidRPr="00427E17">
        <w:rPr>
          <w:szCs w:val="18"/>
        </w:rPr>
        <w:t>not</w:t>
      </w:r>
      <w:r>
        <w:rPr>
          <w:szCs w:val="18"/>
        </w:rPr>
        <w:t xml:space="preserve"> </w:t>
      </w:r>
      <w:r w:rsidRPr="00427E17">
        <w:rPr>
          <w:szCs w:val="18"/>
        </w:rPr>
        <w:t>yet</w:t>
      </w:r>
      <w:r>
        <w:rPr>
          <w:szCs w:val="18"/>
        </w:rPr>
        <w:t xml:space="preserve"> </w:t>
      </w:r>
      <w:r w:rsidRPr="00427E17">
        <w:rPr>
          <w:szCs w:val="18"/>
        </w:rPr>
        <w:t>received</w:t>
      </w:r>
      <w:r>
        <w:rPr>
          <w:szCs w:val="18"/>
        </w:rPr>
        <w:t xml:space="preserve"> </w:t>
      </w:r>
      <w:r w:rsidRPr="00427E17">
        <w:rPr>
          <w:szCs w:val="18"/>
        </w:rPr>
        <w:t>at</w:t>
      </w:r>
      <w:r>
        <w:rPr>
          <w:szCs w:val="18"/>
        </w:rPr>
        <w:t xml:space="preserve"> </w:t>
      </w:r>
      <w:r w:rsidRPr="00427E17">
        <w:rPr>
          <w:szCs w:val="18"/>
        </w:rPr>
        <w:t>the</w:t>
      </w:r>
      <w:r>
        <w:rPr>
          <w:szCs w:val="18"/>
        </w:rPr>
        <w:t xml:space="preserve"> </w:t>
      </w:r>
      <w:r w:rsidRPr="00427E17">
        <w:rPr>
          <w:szCs w:val="18"/>
        </w:rPr>
        <w:t>request</w:t>
      </w:r>
      <w:r>
        <w:rPr>
          <w:szCs w:val="18"/>
        </w:rPr>
        <w:t xml:space="preserve"> </w:t>
      </w:r>
      <w:r w:rsidRPr="00427E17">
        <w:rPr>
          <w:szCs w:val="18"/>
        </w:rPr>
        <w:t>of</w:t>
      </w:r>
      <w:r>
        <w:rPr>
          <w:szCs w:val="18"/>
        </w:rPr>
        <w:t xml:space="preserve"> </w:t>
      </w:r>
      <w:r w:rsidRPr="00427E17">
        <w:rPr>
          <w:szCs w:val="18"/>
        </w:rPr>
        <w:t>several</w:t>
      </w:r>
      <w:r>
        <w:rPr>
          <w:szCs w:val="18"/>
        </w:rPr>
        <w:t xml:space="preserve"> </w:t>
      </w:r>
      <w:r w:rsidRPr="00427E17">
        <w:rPr>
          <w:szCs w:val="18"/>
        </w:rPr>
        <w:t>of</w:t>
      </w:r>
      <w:r>
        <w:rPr>
          <w:szCs w:val="18"/>
        </w:rPr>
        <w:t xml:space="preserve"> </w:t>
      </w:r>
      <w:r w:rsidRPr="00427E17">
        <w:rPr>
          <w:szCs w:val="18"/>
        </w:rPr>
        <w:t>the</w:t>
      </w:r>
      <w:r>
        <w:rPr>
          <w:szCs w:val="18"/>
        </w:rPr>
        <w:t xml:space="preserve"> </w:t>
      </w:r>
      <w:r w:rsidRPr="00427E17">
        <w:rPr>
          <w:szCs w:val="18"/>
        </w:rPr>
        <w:t>Pennsylvania</w:t>
      </w:r>
      <w:r>
        <w:rPr>
          <w:szCs w:val="18"/>
        </w:rPr>
        <w:t xml:space="preserve"> </w:t>
      </w:r>
      <w:r w:rsidRPr="00427E17">
        <w:rPr>
          <w:szCs w:val="18"/>
        </w:rPr>
        <w:t>EDCs.</w:t>
      </w:r>
      <w:r>
        <w:rPr>
          <w:szCs w:val="18"/>
        </w:rPr>
        <w:t xml:space="preserve"> </w:t>
      </w:r>
      <w:r w:rsidRPr="00427E17">
        <w:rPr>
          <w:szCs w:val="18"/>
        </w:rPr>
        <w:t>EDCs</w:t>
      </w:r>
      <w:r>
        <w:rPr>
          <w:szCs w:val="18"/>
        </w:rPr>
        <w:t xml:space="preserve"> </w:t>
      </w:r>
      <w:r w:rsidRPr="00427E17">
        <w:rPr>
          <w:szCs w:val="18"/>
        </w:rPr>
        <w:t>will</w:t>
      </w:r>
      <w:r>
        <w:rPr>
          <w:szCs w:val="18"/>
        </w:rPr>
        <w:t xml:space="preserve"> </w:t>
      </w:r>
      <w:r w:rsidRPr="00427E17">
        <w:rPr>
          <w:szCs w:val="18"/>
        </w:rPr>
        <w:t>be</w:t>
      </w:r>
      <w:r>
        <w:rPr>
          <w:szCs w:val="18"/>
        </w:rPr>
        <w:t xml:space="preserve"> </w:t>
      </w:r>
      <w:r w:rsidRPr="00427E17">
        <w:rPr>
          <w:szCs w:val="18"/>
        </w:rPr>
        <w:t>responsible</w:t>
      </w:r>
      <w:r>
        <w:rPr>
          <w:szCs w:val="18"/>
        </w:rPr>
        <w:t xml:space="preserve"> </w:t>
      </w:r>
      <w:r w:rsidRPr="00427E17">
        <w:rPr>
          <w:szCs w:val="18"/>
        </w:rPr>
        <w:t>for</w:t>
      </w:r>
      <w:r>
        <w:rPr>
          <w:szCs w:val="18"/>
        </w:rPr>
        <w:t xml:space="preserve"> </w:t>
      </w:r>
      <w:r w:rsidRPr="00427E17">
        <w:rPr>
          <w:szCs w:val="18"/>
        </w:rPr>
        <w:t>tracking</w:t>
      </w:r>
      <w:r>
        <w:rPr>
          <w:szCs w:val="18"/>
        </w:rPr>
        <w:t xml:space="preserve"> </w:t>
      </w:r>
      <w:r w:rsidRPr="00427E17">
        <w:rPr>
          <w:szCs w:val="18"/>
        </w:rPr>
        <w:t>whether</w:t>
      </w:r>
      <w:r>
        <w:rPr>
          <w:szCs w:val="18"/>
        </w:rPr>
        <w:t xml:space="preserve"> </w:t>
      </w:r>
      <w:r w:rsidRPr="00427E17">
        <w:rPr>
          <w:szCs w:val="18"/>
        </w:rPr>
        <w:t>certification</w:t>
      </w:r>
      <w:r>
        <w:rPr>
          <w:szCs w:val="18"/>
        </w:rPr>
        <w:t xml:space="preserve"> </w:t>
      </w:r>
      <w:r w:rsidRPr="00427E17">
        <w:rPr>
          <w:szCs w:val="18"/>
        </w:rPr>
        <w:t>is</w:t>
      </w:r>
      <w:r>
        <w:rPr>
          <w:szCs w:val="18"/>
        </w:rPr>
        <w:t xml:space="preserve"> </w:t>
      </w:r>
      <w:r w:rsidRPr="00427E17">
        <w:rPr>
          <w:szCs w:val="18"/>
        </w:rPr>
        <w:t>granted.</w:t>
      </w:r>
    </w:p>
  </w:footnote>
  <w:footnote w:id="5">
    <w:p w14:paraId="66D4FB46" w14:textId="77777777" w:rsidR="004E6452" w:rsidRPr="00427E17" w:rsidRDefault="004E6452" w:rsidP="004E6452">
      <w:pPr>
        <w:pStyle w:val="FootnoteText"/>
        <w:jc w:val="left"/>
        <w:rPr>
          <w:szCs w:val="18"/>
        </w:rPr>
      </w:pPr>
      <w:r w:rsidRPr="00427E17">
        <w:rPr>
          <w:rStyle w:val="FootnoteReference"/>
          <w:szCs w:val="18"/>
        </w:rPr>
        <w:footnoteRef/>
      </w:r>
      <w:r>
        <w:rPr>
          <w:szCs w:val="18"/>
        </w:rPr>
        <w:t xml:space="preserve"> </w:t>
      </w:r>
      <w:r w:rsidRPr="00187F7C">
        <w:rPr>
          <w:szCs w:val="18"/>
        </w:rPr>
        <w:t>Lettering</w:t>
      </w:r>
      <w:r>
        <w:rPr>
          <w:szCs w:val="18"/>
        </w:rPr>
        <w:t xml:space="preserve"> </w:t>
      </w:r>
      <w:r w:rsidRPr="00187F7C">
        <w:rPr>
          <w:szCs w:val="18"/>
        </w:rPr>
        <w:t>convention</w:t>
      </w:r>
      <w:r>
        <w:rPr>
          <w:szCs w:val="18"/>
        </w:rPr>
        <w:t xml:space="preserve"> </w:t>
      </w:r>
      <w:r w:rsidRPr="00187F7C">
        <w:rPr>
          <w:szCs w:val="18"/>
        </w:rPr>
        <w:t>(1,</w:t>
      </w:r>
      <w:r>
        <w:rPr>
          <w:szCs w:val="18"/>
        </w:rPr>
        <w:t xml:space="preserve"> </w:t>
      </w:r>
      <w:r w:rsidRPr="00187F7C">
        <w:rPr>
          <w:szCs w:val="18"/>
        </w:rPr>
        <w:t>1A,</w:t>
      </w:r>
      <w:r>
        <w:rPr>
          <w:szCs w:val="18"/>
        </w:rPr>
        <w:t xml:space="preserve"> </w:t>
      </w:r>
      <w:r w:rsidRPr="00187F7C">
        <w:rPr>
          <w:szCs w:val="18"/>
        </w:rPr>
        <w:t>etc.)</w:t>
      </w:r>
      <w:r>
        <w:rPr>
          <w:szCs w:val="18"/>
        </w:rPr>
        <w:t xml:space="preserve"> </w:t>
      </w:r>
      <w:r w:rsidRPr="00187F7C">
        <w:rPr>
          <w:szCs w:val="18"/>
        </w:rPr>
        <w:t>of</w:t>
      </w:r>
      <w:r>
        <w:rPr>
          <w:szCs w:val="18"/>
        </w:rPr>
        <w:t xml:space="preserve"> F</w:t>
      </w:r>
      <w:r w:rsidRPr="00187F7C">
        <w:rPr>
          <w:szCs w:val="18"/>
        </w:rPr>
        <w:t>ederal</w:t>
      </w:r>
      <w:r>
        <w:rPr>
          <w:szCs w:val="18"/>
        </w:rPr>
        <w:t xml:space="preserve"> </w:t>
      </w:r>
      <w:r w:rsidRPr="00187F7C">
        <w:rPr>
          <w:szCs w:val="18"/>
        </w:rPr>
        <w:t>standard</w:t>
      </w:r>
      <w:r>
        <w:rPr>
          <w:szCs w:val="18"/>
        </w:rPr>
        <w:t xml:space="preserve"> </w:t>
      </w:r>
      <w:r w:rsidRPr="00187F7C">
        <w:rPr>
          <w:szCs w:val="18"/>
        </w:rPr>
        <w:t>and</w:t>
      </w:r>
      <w:r>
        <w:rPr>
          <w:szCs w:val="18"/>
        </w:rPr>
        <w:t xml:space="preserve"> </w:t>
      </w:r>
      <w:r w:rsidRPr="00187F7C">
        <w:rPr>
          <w:szCs w:val="18"/>
        </w:rPr>
        <w:t>ENERGY</w:t>
      </w:r>
      <w:r>
        <w:rPr>
          <w:szCs w:val="18"/>
        </w:rPr>
        <w:t xml:space="preserve"> </w:t>
      </w:r>
      <w:r w:rsidRPr="00187F7C">
        <w:rPr>
          <w:szCs w:val="18"/>
        </w:rPr>
        <w:t>STAR</w:t>
      </w:r>
      <w:r>
        <w:rPr>
          <w:szCs w:val="18"/>
        </w:rPr>
        <w:t xml:space="preserve"> </w:t>
      </w:r>
      <w:r w:rsidRPr="00804595">
        <w:rPr>
          <w:szCs w:val="26"/>
        </w:rPr>
        <w:t>specifications</w:t>
      </w:r>
      <w:r>
        <w:rPr>
          <w:szCs w:val="26"/>
        </w:rPr>
        <w:t xml:space="preserve"> </w:t>
      </w:r>
      <w:r w:rsidRPr="00804595">
        <w:rPr>
          <w:szCs w:val="26"/>
        </w:rPr>
        <w:t>included</w:t>
      </w:r>
      <w:r>
        <w:rPr>
          <w:szCs w:val="26"/>
        </w:rPr>
        <w:t xml:space="preserve"> </w:t>
      </w:r>
      <w:r w:rsidRPr="00804595">
        <w:rPr>
          <w:szCs w:val="26"/>
        </w:rPr>
        <w:t>for</w:t>
      </w:r>
      <w:r>
        <w:rPr>
          <w:szCs w:val="26"/>
        </w:rPr>
        <w:t xml:space="preserve"> </w:t>
      </w:r>
      <w:r w:rsidRPr="00804595">
        <w:rPr>
          <w:szCs w:val="26"/>
        </w:rPr>
        <w:t>clear</w:t>
      </w:r>
      <w:r>
        <w:rPr>
          <w:szCs w:val="26"/>
        </w:rPr>
        <w:t xml:space="preserve"> </w:t>
      </w:r>
      <w:r w:rsidRPr="00804595">
        <w:rPr>
          <w:szCs w:val="26"/>
        </w:rPr>
        <w:t>reference</w:t>
      </w:r>
      <w:r>
        <w:rPr>
          <w:szCs w:val="26"/>
        </w:rPr>
        <w:t xml:space="preserve"> </w:t>
      </w:r>
      <w:r w:rsidRPr="00804595">
        <w:rPr>
          <w:szCs w:val="26"/>
        </w:rPr>
        <w:t>to</w:t>
      </w:r>
      <w:r>
        <w:rPr>
          <w:szCs w:val="26"/>
        </w:rPr>
        <w:t xml:space="preserve"> the </w:t>
      </w:r>
      <w:r w:rsidRPr="00804595">
        <w:rPr>
          <w:szCs w:val="26"/>
        </w:rPr>
        <w:t>standards</w:t>
      </w:r>
      <w:r>
        <w:rPr>
          <w:szCs w:val="26"/>
        </w:rPr>
        <w:t xml:space="preserve"> </w:t>
      </w:r>
      <w:r w:rsidRPr="00804595">
        <w:rPr>
          <w:szCs w:val="26"/>
        </w:rPr>
        <w:t>as</w:t>
      </w:r>
      <w:r>
        <w:rPr>
          <w:szCs w:val="26"/>
        </w:rPr>
        <w:t xml:space="preserve"> </w:t>
      </w:r>
      <w:r w:rsidRPr="00804595">
        <w:rPr>
          <w:szCs w:val="26"/>
        </w:rPr>
        <w:t>well</w:t>
      </w:r>
      <w:r>
        <w:rPr>
          <w:szCs w:val="26"/>
        </w:rPr>
        <w:t xml:space="preserve"> </w:t>
      </w:r>
      <w:r w:rsidRPr="00804595">
        <w:rPr>
          <w:szCs w:val="26"/>
        </w:rPr>
        <w:t>as</w:t>
      </w:r>
      <w:r>
        <w:rPr>
          <w:szCs w:val="26"/>
        </w:rPr>
        <w:t xml:space="preserve"> for correspondence to entries in the </w:t>
      </w:r>
      <w:r w:rsidRPr="00804595">
        <w:rPr>
          <w:szCs w:val="26"/>
        </w:rPr>
        <w:t>default</w:t>
      </w:r>
      <w:r>
        <w:rPr>
          <w:szCs w:val="26"/>
        </w:rPr>
        <w:t xml:space="preserve"> </w:t>
      </w:r>
      <w:r w:rsidRPr="00804595">
        <w:rPr>
          <w:szCs w:val="26"/>
        </w:rPr>
        <w:t>savings</w:t>
      </w:r>
      <w:r>
        <w:rPr>
          <w:szCs w:val="26"/>
        </w:rPr>
        <w:t xml:space="preserve"> </w:t>
      </w:r>
      <w:r w:rsidRPr="00804595">
        <w:rPr>
          <w:szCs w:val="26"/>
        </w:rPr>
        <w:t>table.</w:t>
      </w:r>
    </w:p>
  </w:footnote>
  <w:footnote w:id="6">
    <w:p w14:paraId="13B89721" w14:textId="77777777" w:rsidR="004E6452" w:rsidRPr="007A258F" w:rsidRDefault="004E6452" w:rsidP="004E6452">
      <w:pPr>
        <w:pStyle w:val="FootnoteText"/>
      </w:pPr>
      <w:r>
        <w:rPr>
          <w:rStyle w:val="FootnoteReference"/>
        </w:rPr>
        <w:footnoteRef/>
      </w:r>
      <w:r>
        <w:t xml:space="preserve"> N</w:t>
      </w:r>
      <w:r>
        <w:rPr>
          <w:vertAlign w:val="subscript"/>
        </w:rPr>
        <w:t>d</w:t>
      </w:r>
      <w:r>
        <w:t xml:space="preserve"> is the number of external doors. The maximum N</w:t>
      </w:r>
      <w:r>
        <w:rPr>
          <w:vertAlign w:val="subscript"/>
        </w:rPr>
        <w:t>d</w:t>
      </w:r>
      <w:r>
        <w:t xml:space="preserve"> values are 2 for K12 and K2, 3 for K9BI, and 5 for all other K values.</w:t>
      </w:r>
    </w:p>
  </w:footnote>
  <w:footnote w:id="7">
    <w:p w14:paraId="2B8A99A4" w14:textId="77777777" w:rsidR="004E6452" w:rsidRDefault="004E6452" w:rsidP="004E6452">
      <w:pPr>
        <w:pStyle w:val="FootnoteText"/>
      </w:pPr>
      <w:r>
        <w:rPr>
          <w:rStyle w:val="FootnoteReference"/>
        </w:rPr>
        <w:footnoteRef/>
      </w:r>
      <w:r>
        <w:t xml:space="preserve"> Maximum annual energy consumption.</w:t>
      </w:r>
    </w:p>
  </w:footnote>
  <w:footnote w:id="8">
    <w:p w14:paraId="7F34FB72" w14:textId="3D4FCF1B" w:rsidR="004E6452" w:rsidRPr="00427E17" w:rsidRDefault="004E6452" w:rsidP="004E6452">
      <w:pPr>
        <w:pStyle w:val="NoSpacing"/>
        <w:rPr>
          <w:rFonts w:ascii="Arial Narrow" w:hAnsi="Arial Narrow" w:cs="Arial"/>
          <w:sz w:val="18"/>
          <w:szCs w:val="18"/>
        </w:rPr>
      </w:pPr>
      <w:r w:rsidRPr="00427E17">
        <w:rPr>
          <w:rStyle w:val="FootnoteReference"/>
          <w:rFonts w:ascii="Arial Narrow" w:hAnsi="Arial Narrow" w:cs="Arial"/>
          <w:sz w:val="18"/>
          <w:szCs w:val="18"/>
        </w:rPr>
        <w:footnoteRef/>
      </w:r>
      <w:r>
        <w:rPr>
          <w:rFonts w:ascii="Arial Narrow" w:hAnsi="Arial Narrow" w:cs="Arial"/>
          <w:sz w:val="18"/>
          <w:szCs w:val="18"/>
        </w:rPr>
        <w:t xml:space="preserve"> </w:t>
      </w:r>
      <w:r>
        <w:rPr>
          <w:rFonts w:ascii="Arial Narrow" w:hAnsi="Arial Narrow"/>
          <w:sz w:val="18"/>
          <w:szCs w:val="18"/>
        </w:rPr>
        <w:t>Lettering convention (8, 9, 9l</w:t>
      </w:r>
      <w:r w:rsidRPr="00907AEE">
        <w:rPr>
          <w:rFonts w:ascii="Arial Narrow" w:hAnsi="Arial Narrow"/>
          <w:sz w:val="18"/>
          <w:szCs w:val="18"/>
        </w:rPr>
        <w:t>,</w:t>
      </w:r>
      <w:r>
        <w:rPr>
          <w:rFonts w:ascii="Arial Narrow" w:hAnsi="Arial Narrow"/>
          <w:sz w:val="18"/>
          <w:szCs w:val="18"/>
        </w:rPr>
        <w:t xml:space="preserve"> </w:t>
      </w:r>
      <w:r w:rsidRPr="00907AEE">
        <w:rPr>
          <w:rFonts w:ascii="Arial Narrow" w:hAnsi="Arial Narrow"/>
          <w:sz w:val="18"/>
          <w:szCs w:val="18"/>
        </w:rPr>
        <w:t>etc</w:t>
      </w:r>
      <w:r w:rsidR="001246BD">
        <w:rPr>
          <w:rFonts w:ascii="Arial Narrow" w:hAnsi="Arial Narrow"/>
          <w:sz w:val="18"/>
          <w:szCs w:val="18"/>
        </w:rPr>
        <w:t>.</w:t>
      </w:r>
      <w:r w:rsidRPr="00907AEE">
        <w:rPr>
          <w:rFonts w:ascii="Arial Narrow" w:hAnsi="Arial Narrow"/>
          <w:sz w:val="18"/>
          <w:szCs w:val="18"/>
        </w:rPr>
        <w:t>)</w:t>
      </w:r>
      <w:r>
        <w:rPr>
          <w:rFonts w:ascii="Arial Narrow" w:hAnsi="Arial Narrow"/>
          <w:sz w:val="18"/>
          <w:szCs w:val="18"/>
        </w:rPr>
        <w:t xml:space="preserve"> </w:t>
      </w:r>
      <w:r w:rsidRPr="00907AEE">
        <w:rPr>
          <w:rFonts w:ascii="Arial Narrow" w:hAnsi="Arial Narrow"/>
          <w:sz w:val="18"/>
          <w:szCs w:val="18"/>
        </w:rPr>
        <w:t>of</w:t>
      </w:r>
      <w:r>
        <w:rPr>
          <w:rFonts w:ascii="Arial Narrow" w:hAnsi="Arial Narrow"/>
          <w:sz w:val="18"/>
          <w:szCs w:val="18"/>
        </w:rPr>
        <w:t xml:space="preserve"> </w:t>
      </w:r>
      <w:r w:rsidRPr="00907AEE">
        <w:rPr>
          <w:rFonts w:ascii="Arial Narrow" w:hAnsi="Arial Narrow"/>
          <w:sz w:val="18"/>
          <w:szCs w:val="18"/>
        </w:rPr>
        <w:t>Federal</w:t>
      </w:r>
      <w:r>
        <w:rPr>
          <w:rFonts w:ascii="Arial Narrow" w:hAnsi="Arial Narrow"/>
          <w:sz w:val="18"/>
          <w:szCs w:val="18"/>
        </w:rPr>
        <w:t xml:space="preserve"> </w:t>
      </w:r>
      <w:r w:rsidRPr="00907AEE">
        <w:rPr>
          <w:rFonts w:ascii="Arial Narrow" w:hAnsi="Arial Narrow"/>
          <w:sz w:val="18"/>
          <w:szCs w:val="18"/>
        </w:rPr>
        <w:t>standard</w:t>
      </w:r>
      <w:r>
        <w:rPr>
          <w:rFonts w:ascii="Arial Narrow" w:hAnsi="Arial Narrow"/>
          <w:sz w:val="18"/>
          <w:szCs w:val="18"/>
        </w:rPr>
        <w:t xml:space="preserve"> </w:t>
      </w:r>
      <w:r w:rsidRPr="00907AEE">
        <w:rPr>
          <w:rFonts w:ascii="Arial Narrow" w:hAnsi="Arial Narrow"/>
          <w:sz w:val="18"/>
          <w:szCs w:val="18"/>
        </w:rPr>
        <w:t>and</w:t>
      </w:r>
      <w:r>
        <w:rPr>
          <w:rFonts w:ascii="Arial Narrow" w:hAnsi="Arial Narrow"/>
          <w:sz w:val="18"/>
          <w:szCs w:val="18"/>
        </w:rPr>
        <w:t xml:space="preserve"> </w:t>
      </w:r>
      <w:r w:rsidRPr="00907AEE">
        <w:rPr>
          <w:rFonts w:ascii="Arial Narrow" w:hAnsi="Arial Narrow"/>
          <w:sz w:val="18"/>
          <w:szCs w:val="18"/>
        </w:rPr>
        <w:t>ENERGY</w:t>
      </w:r>
      <w:r>
        <w:rPr>
          <w:rFonts w:ascii="Arial Narrow" w:hAnsi="Arial Narrow"/>
          <w:sz w:val="18"/>
          <w:szCs w:val="18"/>
        </w:rPr>
        <w:t xml:space="preserve"> </w:t>
      </w:r>
      <w:r w:rsidRPr="00907AEE">
        <w:rPr>
          <w:rFonts w:ascii="Arial Narrow" w:hAnsi="Arial Narrow"/>
          <w:sz w:val="18"/>
          <w:szCs w:val="18"/>
        </w:rPr>
        <w:t>STAR</w:t>
      </w:r>
      <w:r>
        <w:rPr>
          <w:rFonts w:ascii="Arial Narrow" w:hAnsi="Arial Narrow"/>
          <w:sz w:val="18"/>
          <w:szCs w:val="18"/>
        </w:rPr>
        <w:t xml:space="preserve"> </w:t>
      </w:r>
      <w:r w:rsidRPr="00907AEE">
        <w:rPr>
          <w:rFonts w:ascii="Arial Narrow" w:hAnsi="Arial Narrow"/>
          <w:sz w:val="18"/>
          <w:szCs w:val="18"/>
        </w:rPr>
        <w:t>specifications</w:t>
      </w:r>
      <w:r>
        <w:rPr>
          <w:rFonts w:ascii="Arial Narrow" w:hAnsi="Arial Narrow"/>
          <w:sz w:val="18"/>
          <w:szCs w:val="18"/>
        </w:rPr>
        <w:t xml:space="preserve"> </w:t>
      </w:r>
      <w:r w:rsidRPr="00907AEE">
        <w:rPr>
          <w:rFonts w:ascii="Arial Narrow" w:hAnsi="Arial Narrow"/>
          <w:sz w:val="18"/>
          <w:szCs w:val="18"/>
        </w:rPr>
        <w:t>included</w:t>
      </w:r>
      <w:r>
        <w:rPr>
          <w:rFonts w:ascii="Arial Narrow" w:hAnsi="Arial Narrow"/>
          <w:sz w:val="18"/>
          <w:szCs w:val="18"/>
        </w:rPr>
        <w:t xml:space="preserve"> </w:t>
      </w:r>
      <w:r w:rsidRPr="00907AEE">
        <w:rPr>
          <w:rFonts w:ascii="Arial Narrow" w:hAnsi="Arial Narrow"/>
          <w:sz w:val="18"/>
          <w:szCs w:val="18"/>
        </w:rPr>
        <w:t>for</w:t>
      </w:r>
      <w:r>
        <w:rPr>
          <w:rFonts w:ascii="Arial Narrow" w:hAnsi="Arial Narrow"/>
          <w:sz w:val="18"/>
          <w:szCs w:val="18"/>
        </w:rPr>
        <w:t xml:space="preserve"> </w:t>
      </w:r>
      <w:r w:rsidRPr="00907AEE">
        <w:rPr>
          <w:rFonts w:ascii="Arial Narrow" w:hAnsi="Arial Narrow"/>
          <w:sz w:val="18"/>
          <w:szCs w:val="18"/>
        </w:rPr>
        <w:t>clear</w:t>
      </w:r>
      <w:r>
        <w:rPr>
          <w:rFonts w:ascii="Arial Narrow" w:hAnsi="Arial Narrow"/>
          <w:sz w:val="18"/>
          <w:szCs w:val="18"/>
        </w:rPr>
        <w:t xml:space="preserve"> </w:t>
      </w:r>
      <w:r w:rsidRPr="00907AEE">
        <w:rPr>
          <w:rFonts w:ascii="Arial Narrow" w:hAnsi="Arial Narrow"/>
          <w:sz w:val="18"/>
          <w:szCs w:val="18"/>
        </w:rPr>
        <w:t>reference</w:t>
      </w:r>
      <w:r>
        <w:rPr>
          <w:rFonts w:ascii="Arial Narrow" w:hAnsi="Arial Narrow"/>
          <w:sz w:val="18"/>
          <w:szCs w:val="18"/>
        </w:rPr>
        <w:t xml:space="preserve"> </w:t>
      </w:r>
      <w:r w:rsidRPr="00907AEE">
        <w:rPr>
          <w:rFonts w:ascii="Arial Narrow" w:hAnsi="Arial Narrow"/>
          <w:sz w:val="18"/>
          <w:szCs w:val="18"/>
        </w:rPr>
        <w:t>to</w:t>
      </w:r>
      <w:r>
        <w:rPr>
          <w:rFonts w:ascii="Arial Narrow" w:hAnsi="Arial Narrow"/>
          <w:sz w:val="18"/>
          <w:szCs w:val="18"/>
        </w:rPr>
        <w:t xml:space="preserve"> </w:t>
      </w:r>
      <w:r w:rsidRPr="00907AEE">
        <w:rPr>
          <w:rFonts w:ascii="Arial Narrow" w:hAnsi="Arial Narrow"/>
          <w:sz w:val="18"/>
          <w:szCs w:val="18"/>
        </w:rPr>
        <w:t>the</w:t>
      </w:r>
      <w:r>
        <w:rPr>
          <w:rFonts w:ascii="Arial Narrow" w:hAnsi="Arial Narrow"/>
          <w:sz w:val="18"/>
          <w:szCs w:val="18"/>
        </w:rPr>
        <w:t xml:space="preserve"> </w:t>
      </w:r>
      <w:r w:rsidRPr="00907AEE">
        <w:rPr>
          <w:rFonts w:ascii="Arial Narrow" w:hAnsi="Arial Narrow"/>
          <w:sz w:val="18"/>
          <w:szCs w:val="18"/>
        </w:rPr>
        <w:t>standards</w:t>
      </w:r>
      <w:r>
        <w:rPr>
          <w:rFonts w:ascii="Arial Narrow" w:hAnsi="Arial Narrow"/>
          <w:sz w:val="18"/>
          <w:szCs w:val="18"/>
        </w:rPr>
        <w:t xml:space="preserve"> </w:t>
      </w:r>
      <w:r w:rsidRPr="00907AEE">
        <w:rPr>
          <w:rFonts w:ascii="Arial Narrow" w:hAnsi="Arial Narrow"/>
          <w:sz w:val="18"/>
          <w:szCs w:val="18"/>
        </w:rPr>
        <w:t>as</w:t>
      </w:r>
      <w:r>
        <w:rPr>
          <w:rFonts w:ascii="Arial Narrow" w:hAnsi="Arial Narrow"/>
          <w:sz w:val="18"/>
          <w:szCs w:val="18"/>
        </w:rPr>
        <w:t xml:space="preserve"> </w:t>
      </w:r>
      <w:r w:rsidRPr="00907AEE">
        <w:rPr>
          <w:rFonts w:ascii="Arial Narrow" w:hAnsi="Arial Narrow"/>
          <w:sz w:val="18"/>
          <w:szCs w:val="18"/>
        </w:rPr>
        <w:t>well</w:t>
      </w:r>
      <w:r>
        <w:rPr>
          <w:rFonts w:ascii="Arial Narrow" w:hAnsi="Arial Narrow"/>
          <w:sz w:val="18"/>
          <w:szCs w:val="18"/>
        </w:rPr>
        <w:t xml:space="preserve"> </w:t>
      </w:r>
      <w:r w:rsidRPr="00907AEE">
        <w:rPr>
          <w:rFonts w:ascii="Arial Narrow" w:hAnsi="Arial Narrow"/>
          <w:sz w:val="18"/>
          <w:szCs w:val="18"/>
        </w:rPr>
        <w:t>as</w:t>
      </w:r>
      <w:r>
        <w:rPr>
          <w:rFonts w:ascii="Arial Narrow" w:hAnsi="Arial Narrow"/>
          <w:sz w:val="18"/>
          <w:szCs w:val="18"/>
        </w:rPr>
        <w:t xml:space="preserve"> </w:t>
      </w:r>
      <w:r w:rsidRPr="00907AEE">
        <w:rPr>
          <w:rFonts w:ascii="Arial Narrow" w:hAnsi="Arial Narrow"/>
          <w:sz w:val="18"/>
          <w:szCs w:val="18"/>
        </w:rPr>
        <w:t>for</w:t>
      </w:r>
      <w:r>
        <w:rPr>
          <w:rFonts w:ascii="Arial Narrow" w:hAnsi="Arial Narrow"/>
          <w:sz w:val="18"/>
          <w:szCs w:val="18"/>
        </w:rPr>
        <w:t xml:space="preserve"> </w:t>
      </w:r>
      <w:r w:rsidRPr="00907AEE">
        <w:rPr>
          <w:rFonts w:ascii="Arial Narrow" w:hAnsi="Arial Narrow"/>
          <w:sz w:val="18"/>
          <w:szCs w:val="18"/>
        </w:rPr>
        <w:t>correspondence</w:t>
      </w:r>
      <w:r>
        <w:rPr>
          <w:rFonts w:ascii="Arial Narrow" w:hAnsi="Arial Narrow"/>
          <w:sz w:val="18"/>
          <w:szCs w:val="18"/>
        </w:rPr>
        <w:t xml:space="preserve"> </w:t>
      </w:r>
      <w:r w:rsidRPr="00907AEE">
        <w:rPr>
          <w:rFonts w:ascii="Arial Narrow" w:hAnsi="Arial Narrow"/>
          <w:sz w:val="18"/>
          <w:szCs w:val="18"/>
        </w:rPr>
        <w:t>to</w:t>
      </w:r>
      <w:r>
        <w:rPr>
          <w:rFonts w:ascii="Arial Narrow" w:hAnsi="Arial Narrow"/>
          <w:sz w:val="18"/>
          <w:szCs w:val="18"/>
        </w:rPr>
        <w:t xml:space="preserve"> </w:t>
      </w:r>
      <w:r w:rsidRPr="00907AEE">
        <w:rPr>
          <w:rFonts w:ascii="Arial Narrow" w:hAnsi="Arial Narrow"/>
          <w:sz w:val="18"/>
          <w:szCs w:val="18"/>
        </w:rPr>
        <w:t>entries</w:t>
      </w:r>
      <w:r>
        <w:rPr>
          <w:rFonts w:ascii="Arial Narrow" w:hAnsi="Arial Narrow"/>
          <w:sz w:val="18"/>
          <w:szCs w:val="18"/>
        </w:rPr>
        <w:t xml:space="preserve"> </w:t>
      </w:r>
      <w:r w:rsidRPr="00907AEE">
        <w:rPr>
          <w:rFonts w:ascii="Arial Narrow" w:hAnsi="Arial Narrow"/>
          <w:sz w:val="18"/>
          <w:szCs w:val="18"/>
        </w:rPr>
        <w:t>in</w:t>
      </w:r>
      <w:r>
        <w:rPr>
          <w:rFonts w:ascii="Arial Narrow" w:hAnsi="Arial Narrow"/>
          <w:sz w:val="18"/>
          <w:szCs w:val="18"/>
        </w:rPr>
        <w:t xml:space="preserve"> </w:t>
      </w:r>
      <w:r w:rsidRPr="00907AEE">
        <w:rPr>
          <w:rFonts w:ascii="Arial Narrow" w:hAnsi="Arial Narrow"/>
          <w:sz w:val="18"/>
          <w:szCs w:val="18"/>
        </w:rPr>
        <w:t>the</w:t>
      </w:r>
      <w:r>
        <w:rPr>
          <w:rFonts w:ascii="Arial Narrow" w:hAnsi="Arial Narrow"/>
          <w:sz w:val="18"/>
          <w:szCs w:val="18"/>
        </w:rPr>
        <w:t xml:space="preserve"> </w:t>
      </w:r>
      <w:r w:rsidRPr="00907AEE">
        <w:rPr>
          <w:rFonts w:ascii="Arial Narrow" w:hAnsi="Arial Narrow"/>
          <w:sz w:val="18"/>
          <w:szCs w:val="18"/>
        </w:rPr>
        <w:t>default</w:t>
      </w:r>
      <w:r>
        <w:rPr>
          <w:rFonts w:ascii="Arial Narrow" w:hAnsi="Arial Narrow"/>
          <w:sz w:val="18"/>
          <w:szCs w:val="18"/>
        </w:rPr>
        <w:t xml:space="preserve"> </w:t>
      </w:r>
      <w:r w:rsidRPr="00907AEE">
        <w:rPr>
          <w:rFonts w:ascii="Arial Narrow" w:hAnsi="Arial Narrow"/>
          <w:sz w:val="18"/>
          <w:szCs w:val="18"/>
        </w:rPr>
        <w:t>savings</w:t>
      </w:r>
      <w:r>
        <w:rPr>
          <w:rFonts w:ascii="Arial Narrow" w:hAnsi="Arial Narrow"/>
          <w:sz w:val="18"/>
          <w:szCs w:val="18"/>
        </w:rPr>
        <w:t xml:space="preserve"> </w:t>
      </w:r>
      <w:r w:rsidRPr="00907AEE">
        <w:rPr>
          <w:rFonts w:ascii="Arial Narrow" w:hAnsi="Arial Narrow"/>
          <w:sz w:val="18"/>
          <w:szCs w:val="18"/>
        </w:rPr>
        <w:t>table.</w:t>
      </w:r>
    </w:p>
  </w:footnote>
  <w:footnote w:id="9">
    <w:p w14:paraId="2E9F4092" w14:textId="77777777" w:rsidR="004E6452" w:rsidRPr="00427E17" w:rsidRDefault="004E6452" w:rsidP="004E6452">
      <w:pPr>
        <w:pStyle w:val="FootnoteText"/>
        <w:jc w:val="left"/>
        <w:rPr>
          <w:szCs w:val="18"/>
        </w:rPr>
      </w:pPr>
      <w:r w:rsidRPr="00427E17">
        <w:rPr>
          <w:rStyle w:val="FootnoteReference"/>
          <w:szCs w:val="18"/>
        </w:rPr>
        <w:footnoteRef/>
      </w:r>
      <w:r>
        <w:rPr>
          <w:szCs w:val="18"/>
        </w:rPr>
        <w:t xml:space="preserve"> </w:t>
      </w:r>
      <w:r w:rsidRPr="00427E17">
        <w:rPr>
          <w:szCs w:val="18"/>
        </w:rPr>
        <w:t>For</w:t>
      </w:r>
      <w:r>
        <w:rPr>
          <w:szCs w:val="18"/>
        </w:rPr>
        <w:t xml:space="preserve"> </w:t>
      </w:r>
      <w:r w:rsidRPr="00427E17">
        <w:rPr>
          <w:szCs w:val="18"/>
        </w:rPr>
        <w:t>example,</w:t>
      </w:r>
      <w:r>
        <w:rPr>
          <w:szCs w:val="18"/>
        </w:rPr>
        <w:t xml:space="preserve"> </w:t>
      </w:r>
      <w:r w:rsidRPr="00427E17">
        <w:rPr>
          <w:szCs w:val="18"/>
        </w:rPr>
        <w:t>non-residential</w:t>
      </w:r>
      <w:r>
        <w:rPr>
          <w:szCs w:val="18"/>
        </w:rPr>
        <w:t xml:space="preserve"> </w:t>
      </w:r>
      <w:r w:rsidRPr="00427E17">
        <w:rPr>
          <w:szCs w:val="18"/>
        </w:rPr>
        <w:t>rate</w:t>
      </w:r>
      <w:r>
        <w:rPr>
          <w:szCs w:val="18"/>
        </w:rPr>
        <w:t xml:space="preserve"> </w:t>
      </w:r>
      <w:r w:rsidRPr="00427E17">
        <w:rPr>
          <w:szCs w:val="18"/>
        </w:rPr>
        <w:t>class</w:t>
      </w:r>
      <w:r>
        <w:rPr>
          <w:szCs w:val="18"/>
        </w:rPr>
        <w:t xml:space="preserve"> </w:t>
      </w:r>
      <w:r w:rsidRPr="00427E17">
        <w:rPr>
          <w:szCs w:val="18"/>
        </w:rPr>
        <w:t>usage</w:t>
      </w:r>
      <w:r>
        <w:rPr>
          <w:szCs w:val="18"/>
        </w:rPr>
        <w:t xml:space="preserve"> </w:t>
      </w:r>
      <w:r w:rsidRPr="00427E17">
        <w:rPr>
          <w:szCs w:val="18"/>
        </w:rPr>
        <w:t>cases</w:t>
      </w:r>
      <w:r>
        <w:rPr>
          <w:szCs w:val="18"/>
        </w:rPr>
        <w:t xml:space="preserve"> </w:t>
      </w:r>
      <w:r w:rsidRPr="00427E17">
        <w:rPr>
          <w:szCs w:val="18"/>
        </w:rPr>
        <w:t>include</w:t>
      </w:r>
      <w:r>
        <w:rPr>
          <w:szCs w:val="18"/>
        </w:rPr>
        <w:t xml:space="preserve"> </w:t>
      </w:r>
      <w:r w:rsidRPr="00427E17">
        <w:rPr>
          <w:szCs w:val="18"/>
        </w:rPr>
        <w:t>residential</w:t>
      </w:r>
      <w:r>
        <w:rPr>
          <w:szCs w:val="18"/>
        </w:rPr>
        <w:t xml:space="preserve"> </w:t>
      </w:r>
      <w:r w:rsidRPr="00427E17">
        <w:rPr>
          <w:szCs w:val="18"/>
        </w:rPr>
        <w:t>dwellings</w:t>
      </w:r>
      <w:r>
        <w:rPr>
          <w:szCs w:val="18"/>
        </w:rPr>
        <w:t xml:space="preserve"> </w:t>
      </w:r>
      <w:r w:rsidRPr="00427E17">
        <w:rPr>
          <w:szCs w:val="18"/>
        </w:rPr>
        <w:t>that</w:t>
      </w:r>
      <w:r>
        <w:rPr>
          <w:szCs w:val="18"/>
        </w:rPr>
        <w:t xml:space="preserve"> </w:t>
      </w:r>
      <w:r w:rsidRPr="00427E17">
        <w:rPr>
          <w:szCs w:val="18"/>
        </w:rPr>
        <w:t>are</w:t>
      </w:r>
      <w:r>
        <w:rPr>
          <w:szCs w:val="18"/>
        </w:rPr>
        <w:t xml:space="preserve"> </w:t>
      </w:r>
      <w:r w:rsidRPr="00427E17">
        <w:rPr>
          <w:szCs w:val="18"/>
        </w:rPr>
        <w:t>master-metered,</w:t>
      </w:r>
      <w:r>
        <w:rPr>
          <w:szCs w:val="18"/>
        </w:rPr>
        <w:t xml:space="preserve"> </w:t>
      </w:r>
      <w:r w:rsidRPr="00427E17">
        <w:rPr>
          <w:szCs w:val="18"/>
        </w:rPr>
        <w:t>usage</w:t>
      </w:r>
      <w:r>
        <w:rPr>
          <w:szCs w:val="18"/>
        </w:rPr>
        <w:t xml:space="preserve"> </w:t>
      </w:r>
      <w:r w:rsidRPr="00427E17">
        <w:rPr>
          <w:szCs w:val="18"/>
        </w:rPr>
        <w:t>in</w:t>
      </w:r>
      <w:r>
        <w:rPr>
          <w:szCs w:val="18"/>
        </w:rPr>
        <w:t xml:space="preserve"> </w:t>
      </w:r>
      <w:r w:rsidRPr="00427E17">
        <w:rPr>
          <w:szCs w:val="18"/>
        </w:rPr>
        <w:t>offices</w:t>
      </w:r>
      <w:r>
        <w:rPr>
          <w:szCs w:val="18"/>
        </w:rPr>
        <w:t xml:space="preserve"> </w:t>
      </w:r>
      <w:r w:rsidRPr="00427E17">
        <w:rPr>
          <w:szCs w:val="18"/>
        </w:rPr>
        <w:t>or</w:t>
      </w:r>
      <w:r>
        <w:rPr>
          <w:szCs w:val="18"/>
        </w:rPr>
        <w:t xml:space="preserve"> </w:t>
      </w:r>
      <w:r w:rsidRPr="00427E17">
        <w:rPr>
          <w:szCs w:val="18"/>
        </w:rPr>
        <w:t>any</w:t>
      </w:r>
      <w:r>
        <w:rPr>
          <w:szCs w:val="18"/>
        </w:rPr>
        <w:t xml:space="preserve"> </w:t>
      </w:r>
      <w:r w:rsidRPr="00427E17">
        <w:rPr>
          <w:szCs w:val="18"/>
        </w:rPr>
        <w:t>other</w:t>
      </w:r>
      <w:r>
        <w:rPr>
          <w:szCs w:val="18"/>
        </w:rPr>
        <w:t xml:space="preserve"> </w:t>
      </w:r>
      <w:r w:rsidRPr="00427E17">
        <w:rPr>
          <w:szCs w:val="18"/>
        </w:rPr>
        <w:t>applications</w:t>
      </w:r>
      <w:r>
        <w:rPr>
          <w:szCs w:val="18"/>
        </w:rPr>
        <w:t xml:space="preserve"> </w:t>
      </w:r>
      <w:r w:rsidRPr="00427E17">
        <w:rPr>
          <w:szCs w:val="18"/>
        </w:rPr>
        <w:t>that</w:t>
      </w:r>
      <w:r>
        <w:rPr>
          <w:szCs w:val="18"/>
        </w:rPr>
        <w:t xml:space="preserve"> </w:t>
      </w:r>
      <w:r w:rsidRPr="00427E17">
        <w:rPr>
          <w:szCs w:val="18"/>
        </w:rPr>
        <w:t>involve</w:t>
      </w:r>
      <w:r>
        <w:rPr>
          <w:szCs w:val="18"/>
        </w:rPr>
        <w:t xml:space="preserve"> </w:t>
      </w:r>
      <w:r w:rsidRPr="00427E17">
        <w:rPr>
          <w:szCs w:val="18"/>
        </w:rPr>
        <w:t>typical</w:t>
      </w:r>
      <w:r>
        <w:rPr>
          <w:szCs w:val="18"/>
        </w:rPr>
        <w:t xml:space="preserve"> </w:t>
      </w:r>
      <w:r w:rsidRPr="00427E17">
        <w:rPr>
          <w:szCs w:val="18"/>
        </w:rPr>
        <w:t>refrigerator</w:t>
      </w:r>
      <w:r>
        <w:rPr>
          <w:szCs w:val="18"/>
        </w:rPr>
        <w:t xml:space="preserve"> </w:t>
      </w:r>
      <w:r w:rsidRPr="00427E17">
        <w:rPr>
          <w:szCs w:val="18"/>
        </w:rPr>
        <w:t>usage.</w:t>
      </w:r>
    </w:p>
  </w:footnote>
  <w:footnote w:id="10">
    <w:p w14:paraId="2E7CFA21" w14:textId="77777777" w:rsidR="004E6452" w:rsidRDefault="004E6452" w:rsidP="004E6452">
      <w:pPr>
        <w:pStyle w:val="FootnoteText"/>
      </w:pPr>
      <w:r>
        <w:rPr>
          <w:rStyle w:val="FootnoteReference"/>
        </w:rPr>
        <w:footnoteRef/>
      </w:r>
      <w:r>
        <w:t xml:space="preserve"> A refrigerator with </w:t>
      </w:r>
      <w:r w:rsidRPr="00D87640">
        <w:t>automatic defrost with bottom-mounted freezer with an automatic icemaker without through-the-door ice service</w:t>
      </w:r>
      <w:r>
        <w:t>.</w:t>
      </w:r>
    </w:p>
  </w:footnote>
  <w:footnote w:id="11">
    <w:p w14:paraId="0B949CB5" w14:textId="77777777" w:rsidR="004E6452" w:rsidRDefault="004E6452" w:rsidP="004E6452">
      <w:pPr>
        <w:pStyle w:val="FootnoteText"/>
      </w:pPr>
      <w:r>
        <w:rPr>
          <w:rStyle w:val="FootnoteReference"/>
        </w:rPr>
        <w:footnoteRef/>
      </w:r>
      <w:r>
        <w:t xml:space="preserve"> An all-refrigerator is an appliance in which the freezer compartment</w:t>
      </w:r>
      <w:r w:rsidRPr="007C1B2E">
        <w:t>—</w:t>
      </w:r>
      <w:r>
        <w:t>generally the cooling coil as a U shape within the fresh volume</w:t>
      </w:r>
      <w:r w:rsidRPr="007C1B2E">
        <w:t>—</w:t>
      </w:r>
      <w:r>
        <w:t>has a volume of 0.5 ft</w:t>
      </w:r>
      <w:r w:rsidRPr="007240D9">
        <w:rPr>
          <w:vertAlign w:val="superscript"/>
        </w:rPr>
        <w:t>3</w:t>
      </w:r>
      <w:r>
        <w:t xml:space="preserve"> or less.</w:t>
      </w:r>
    </w:p>
  </w:footnote>
  <w:footnote w:id="12">
    <w:p w14:paraId="5F4C81A0" w14:textId="77777777" w:rsidR="004E6452" w:rsidRDefault="004E6452" w:rsidP="004E6452">
      <w:pPr>
        <w:pStyle w:val="FootnoteText"/>
      </w:pPr>
      <w:r>
        <w:rPr>
          <w:rStyle w:val="FootnoteReference"/>
        </w:rPr>
        <w:footnoteRef/>
      </w:r>
      <w:r>
        <w:t xml:space="preserve"> This measure uses the federal efficiency standards for compact refrigerators and freezers, which are defined as having a total </w:t>
      </w:r>
      <w:r w:rsidRPr="00643494">
        <w:t>volume of 7.5 ft</w:t>
      </w:r>
      <w:r w:rsidRPr="00643494">
        <w:rPr>
          <w:vertAlign w:val="superscript"/>
        </w:rPr>
        <w:t>3</w:t>
      </w:r>
      <w:r w:rsidRPr="00643494">
        <w:t xml:space="preserve"> or less. However, this measure is also meant to cover equipment with a total volume of 10 ft</w:t>
      </w:r>
      <w:r w:rsidRPr="00643494">
        <w:rPr>
          <w:vertAlign w:val="superscript"/>
        </w:rPr>
        <w:t>3</w:t>
      </w:r>
      <w:r w:rsidRPr="00643494">
        <w:t>, which are excluded from section 2.4.3 Refrigerator/Freezer Recycling of the 2026 TRM.</w:t>
      </w:r>
    </w:p>
  </w:footnote>
  <w:footnote w:id="13">
    <w:p w14:paraId="1515C7F8" w14:textId="77777777" w:rsidR="004E6452" w:rsidDel="00BC3E3D" w:rsidRDefault="004E6452" w:rsidP="004E6452">
      <w:pPr>
        <w:pStyle w:val="FootnoteText"/>
      </w:pPr>
      <w:r w:rsidDel="00BC3E3D">
        <w:rPr>
          <w:rStyle w:val="FootnoteReference"/>
        </w:rPr>
        <w:footnoteRef/>
      </w:r>
      <w:r w:rsidDel="00BC3E3D">
        <w:t xml:space="preserve"> An all-refrigerator is an appliance in which the freezer compartment</w:t>
      </w:r>
      <w:r w:rsidRPr="007C1B2E" w:rsidDel="00BC3E3D">
        <w:t>—</w:t>
      </w:r>
      <w:r w:rsidDel="00BC3E3D">
        <w:t>(generally the exposed cooling coil as a U shape within the fresh volume)</w:t>
      </w:r>
      <w:r w:rsidRPr="007C1B2E" w:rsidDel="00BC3E3D">
        <w:t>—</w:t>
      </w:r>
      <w:r w:rsidDel="00BC3E3D">
        <w:t>has a volume of 0.5 ft</w:t>
      </w:r>
      <w:r w:rsidRPr="007240D9" w:rsidDel="00BC3E3D">
        <w:rPr>
          <w:vertAlign w:val="superscript"/>
        </w:rPr>
        <w:t>3</w:t>
      </w:r>
      <w:r w:rsidDel="00BC3E3D">
        <w:t xml:space="preserve"> or less.</w:t>
      </w:r>
    </w:p>
  </w:footnote>
  <w:footnote w:id="14">
    <w:p w14:paraId="7FA53DB2" w14:textId="77777777" w:rsidR="004E6452" w:rsidRPr="00427E17" w:rsidRDefault="004E6452" w:rsidP="004E6452">
      <w:pPr>
        <w:pStyle w:val="FootnoteText"/>
        <w:jc w:val="left"/>
        <w:rPr>
          <w:szCs w:val="18"/>
        </w:rPr>
      </w:pPr>
      <w:r w:rsidRPr="00427E17">
        <w:rPr>
          <w:rStyle w:val="FootnoteReference"/>
          <w:szCs w:val="18"/>
        </w:rPr>
        <w:footnoteRef/>
      </w:r>
      <w:r>
        <w:rPr>
          <w:szCs w:val="18"/>
        </w:rPr>
        <w:t xml:space="preserve"> Number</w:t>
      </w:r>
      <w:r w:rsidRPr="00187F7C">
        <w:rPr>
          <w:szCs w:val="18"/>
        </w:rPr>
        <w:t>ing</w:t>
      </w:r>
      <w:r>
        <w:rPr>
          <w:szCs w:val="18"/>
        </w:rPr>
        <w:t xml:space="preserve"> </w:t>
      </w:r>
      <w:r w:rsidRPr="00187F7C">
        <w:rPr>
          <w:szCs w:val="18"/>
        </w:rPr>
        <w:t>convention</w:t>
      </w:r>
      <w:r>
        <w:rPr>
          <w:szCs w:val="18"/>
        </w:rPr>
        <w:t xml:space="preserve"> </w:t>
      </w:r>
      <w:r w:rsidRPr="00187F7C">
        <w:rPr>
          <w:szCs w:val="18"/>
        </w:rPr>
        <w:t>(1,</w:t>
      </w:r>
      <w:r>
        <w:rPr>
          <w:szCs w:val="18"/>
        </w:rPr>
        <w:t xml:space="preserve"> C-3</w:t>
      </w:r>
      <w:r w:rsidRPr="00187F7C">
        <w:rPr>
          <w:szCs w:val="18"/>
        </w:rPr>
        <w:t>A,</w:t>
      </w:r>
      <w:r>
        <w:rPr>
          <w:szCs w:val="18"/>
        </w:rPr>
        <w:t xml:space="preserve"> </w:t>
      </w:r>
      <w:r w:rsidRPr="00187F7C">
        <w:rPr>
          <w:szCs w:val="18"/>
        </w:rPr>
        <w:t>etc</w:t>
      </w:r>
      <w:r>
        <w:rPr>
          <w:szCs w:val="18"/>
        </w:rPr>
        <w:t>.</w:t>
      </w:r>
      <w:r w:rsidRPr="00187F7C">
        <w:rPr>
          <w:szCs w:val="18"/>
        </w:rPr>
        <w:t>)</w:t>
      </w:r>
      <w:r>
        <w:rPr>
          <w:szCs w:val="18"/>
        </w:rPr>
        <w:t xml:space="preserve"> </w:t>
      </w:r>
      <w:r w:rsidRPr="00187F7C">
        <w:rPr>
          <w:szCs w:val="18"/>
        </w:rPr>
        <w:t>of</w:t>
      </w:r>
      <w:r>
        <w:rPr>
          <w:szCs w:val="18"/>
        </w:rPr>
        <w:t xml:space="preserve"> F</w:t>
      </w:r>
      <w:r w:rsidRPr="00187F7C">
        <w:rPr>
          <w:szCs w:val="18"/>
        </w:rPr>
        <w:t>ederal</w:t>
      </w:r>
      <w:r>
        <w:rPr>
          <w:szCs w:val="18"/>
        </w:rPr>
        <w:t xml:space="preserve"> </w:t>
      </w:r>
      <w:r w:rsidRPr="00187F7C">
        <w:rPr>
          <w:szCs w:val="18"/>
        </w:rPr>
        <w:t>standard</w:t>
      </w:r>
      <w:r>
        <w:rPr>
          <w:szCs w:val="18"/>
        </w:rPr>
        <w:t xml:space="preserve"> </w:t>
      </w:r>
      <w:r w:rsidRPr="00187F7C">
        <w:rPr>
          <w:szCs w:val="18"/>
        </w:rPr>
        <w:t>and</w:t>
      </w:r>
      <w:r>
        <w:rPr>
          <w:szCs w:val="18"/>
        </w:rPr>
        <w:t xml:space="preserve"> </w:t>
      </w:r>
      <w:r w:rsidRPr="00187F7C">
        <w:rPr>
          <w:szCs w:val="18"/>
        </w:rPr>
        <w:t>ENERGY</w:t>
      </w:r>
      <w:r>
        <w:rPr>
          <w:szCs w:val="18"/>
        </w:rPr>
        <w:t xml:space="preserve"> </w:t>
      </w:r>
      <w:r w:rsidRPr="00187F7C">
        <w:rPr>
          <w:szCs w:val="18"/>
        </w:rPr>
        <w:t>STAR</w:t>
      </w:r>
      <w:r>
        <w:rPr>
          <w:szCs w:val="18"/>
        </w:rPr>
        <w:t xml:space="preserve"> </w:t>
      </w:r>
      <w:r w:rsidRPr="00804595">
        <w:rPr>
          <w:szCs w:val="26"/>
        </w:rPr>
        <w:t>specifications</w:t>
      </w:r>
      <w:r>
        <w:rPr>
          <w:szCs w:val="26"/>
        </w:rPr>
        <w:t xml:space="preserve"> </w:t>
      </w:r>
      <w:r w:rsidRPr="00804595">
        <w:rPr>
          <w:szCs w:val="26"/>
        </w:rPr>
        <w:t>included</w:t>
      </w:r>
      <w:r>
        <w:rPr>
          <w:szCs w:val="26"/>
        </w:rPr>
        <w:t xml:space="preserve"> </w:t>
      </w:r>
      <w:r w:rsidRPr="00804595">
        <w:rPr>
          <w:szCs w:val="26"/>
        </w:rPr>
        <w:t>for</w:t>
      </w:r>
      <w:r>
        <w:rPr>
          <w:szCs w:val="26"/>
        </w:rPr>
        <w:t xml:space="preserve"> </w:t>
      </w:r>
      <w:r w:rsidRPr="00804595">
        <w:rPr>
          <w:szCs w:val="26"/>
        </w:rPr>
        <w:t>clear</w:t>
      </w:r>
      <w:r>
        <w:rPr>
          <w:szCs w:val="26"/>
        </w:rPr>
        <w:t xml:space="preserve"> </w:t>
      </w:r>
      <w:r w:rsidRPr="00804595">
        <w:rPr>
          <w:szCs w:val="26"/>
        </w:rPr>
        <w:t>reference</w:t>
      </w:r>
      <w:r>
        <w:rPr>
          <w:szCs w:val="26"/>
        </w:rPr>
        <w:t xml:space="preserve"> </w:t>
      </w:r>
      <w:r w:rsidRPr="00804595">
        <w:rPr>
          <w:szCs w:val="26"/>
        </w:rPr>
        <w:t>to</w:t>
      </w:r>
      <w:r>
        <w:rPr>
          <w:szCs w:val="26"/>
        </w:rPr>
        <w:t xml:space="preserve"> the </w:t>
      </w:r>
      <w:r w:rsidRPr="00804595">
        <w:rPr>
          <w:szCs w:val="26"/>
        </w:rPr>
        <w:t>standards</w:t>
      </w:r>
      <w:r>
        <w:rPr>
          <w:szCs w:val="26"/>
        </w:rPr>
        <w:t xml:space="preserve"> </w:t>
      </w:r>
      <w:r w:rsidRPr="00804595">
        <w:rPr>
          <w:szCs w:val="26"/>
        </w:rPr>
        <w:t>as</w:t>
      </w:r>
      <w:r>
        <w:rPr>
          <w:szCs w:val="26"/>
        </w:rPr>
        <w:t xml:space="preserve"> </w:t>
      </w:r>
      <w:r w:rsidRPr="00804595">
        <w:rPr>
          <w:szCs w:val="26"/>
        </w:rPr>
        <w:t>well</w:t>
      </w:r>
      <w:r>
        <w:rPr>
          <w:szCs w:val="26"/>
        </w:rPr>
        <w:t xml:space="preserve"> </w:t>
      </w:r>
      <w:r w:rsidRPr="00804595">
        <w:rPr>
          <w:szCs w:val="26"/>
        </w:rPr>
        <w:t>as</w:t>
      </w:r>
      <w:r>
        <w:rPr>
          <w:szCs w:val="26"/>
        </w:rPr>
        <w:t xml:space="preserve"> for correspondence to entries in the </w:t>
      </w:r>
      <w:r w:rsidRPr="00804595">
        <w:rPr>
          <w:szCs w:val="26"/>
        </w:rPr>
        <w:t>default</w:t>
      </w:r>
      <w:r>
        <w:rPr>
          <w:szCs w:val="26"/>
        </w:rPr>
        <w:t xml:space="preserve"> </w:t>
      </w:r>
      <w:r w:rsidRPr="00804595">
        <w:rPr>
          <w:szCs w:val="26"/>
        </w:rPr>
        <w:t>savings</w:t>
      </w:r>
      <w:r>
        <w:rPr>
          <w:szCs w:val="26"/>
        </w:rPr>
        <w:t xml:space="preserve"> </w:t>
      </w:r>
      <w:r w:rsidRPr="00804595">
        <w:rPr>
          <w:szCs w:val="26"/>
        </w:rPr>
        <w:t>table.</w:t>
      </w:r>
    </w:p>
  </w:footnote>
  <w:footnote w:id="15">
    <w:p w14:paraId="013CD63F" w14:textId="1B69FF92" w:rsidR="004E6452" w:rsidRDefault="004E6452" w:rsidP="004E6452">
      <w:pPr>
        <w:pStyle w:val="FootnoteText"/>
      </w:pPr>
      <w:r>
        <w:rPr>
          <w:rStyle w:val="FootnoteReference"/>
        </w:rPr>
        <w:footnoteRef/>
      </w:r>
      <w:r>
        <w:t xml:space="preserve"> </w:t>
      </w:r>
      <w:r>
        <w:rPr>
          <w:szCs w:val="18"/>
        </w:rPr>
        <w:t>Lettering convention (</w:t>
      </w:r>
      <w:r w:rsidRPr="00187F7C">
        <w:rPr>
          <w:szCs w:val="18"/>
        </w:rPr>
        <w:t>1A,</w:t>
      </w:r>
      <w:r>
        <w:rPr>
          <w:szCs w:val="18"/>
        </w:rPr>
        <w:t xml:space="preserve"> 2, </w:t>
      </w:r>
      <w:r w:rsidRPr="00187F7C">
        <w:rPr>
          <w:szCs w:val="18"/>
        </w:rPr>
        <w:t>etc</w:t>
      </w:r>
      <w:r w:rsidR="004E42C6">
        <w:rPr>
          <w:szCs w:val="18"/>
        </w:rPr>
        <w:t>.</w:t>
      </w:r>
      <w:r w:rsidRPr="00187F7C">
        <w:rPr>
          <w:szCs w:val="18"/>
        </w:rPr>
        <w:t>)</w:t>
      </w:r>
      <w:r>
        <w:rPr>
          <w:szCs w:val="18"/>
        </w:rPr>
        <w:t xml:space="preserve"> </w:t>
      </w:r>
      <w:r w:rsidRPr="00187F7C">
        <w:rPr>
          <w:szCs w:val="18"/>
        </w:rPr>
        <w:t>of</w:t>
      </w:r>
      <w:r>
        <w:rPr>
          <w:szCs w:val="18"/>
        </w:rPr>
        <w:t xml:space="preserve"> F</w:t>
      </w:r>
      <w:r w:rsidRPr="00187F7C">
        <w:rPr>
          <w:szCs w:val="18"/>
        </w:rPr>
        <w:t>ederal</w:t>
      </w:r>
      <w:r>
        <w:rPr>
          <w:szCs w:val="18"/>
        </w:rPr>
        <w:t xml:space="preserve"> </w:t>
      </w:r>
      <w:r w:rsidRPr="00187F7C">
        <w:rPr>
          <w:szCs w:val="18"/>
        </w:rPr>
        <w:t>standard</w:t>
      </w:r>
      <w:r>
        <w:rPr>
          <w:szCs w:val="18"/>
        </w:rPr>
        <w:t xml:space="preserve"> </w:t>
      </w:r>
      <w:r w:rsidRPr="00187F7C">
        <w:rPr>
          <w:szCs w:val="18"/>
        </w:rPr>
        <w:t>and</w:t>
      </w:r>
      <w:r>
        <w:rPr>
          <w:szCs w:val="18"/>
        </w:rPr>
        <w:t xml:space="preserve"> </w:t>
      </w:r>
      <w:r w:rsidRPr="00187F7C">
        <w:rPr>
          <w:szCs w:val="18"/>
        </w:rPr>
        <w:t>ENERGY</w:t>
      </w:r>
      <w:r>
        <w:rPr>
          <w:szCs w:val="18"/>
        </w:rPr>
        <w:t xml:space="preserve"> </w:t>
      </w:r>
      <w:r w:rsidRPr="00187F7C">
        <w:rPr>
          <w:szCs w:val="18"/>
        </w:rPr>
        <w:t>STAR</w:t>
      </w:r>
      <w:r>
        <w:rPr>
          <w:szCs w:val="18"/>
        </w:rPr>
        <w:t xml:space="preserve"> </w:t>
      </w:r>
      <w:r w:rsidRPr="00804595">
        <w:rPr>
          <w:szCs w:val="26"/>
        </w:rPr>
        <w:t>specifications</w:t>
      </w:r>
      <w:r>
        <w:rPr>
          <w:szCs w:val="26"/>
        </w:rPr>
        <w:t xml:space="preserve"> </w:t>
      </w:r>
      <w:r w:rsidRPr="00804595">
        <w:rPr>
          <w:szCs w:val="26"/>
        </w:rPr>
        <w:t>included</w:t>
      </w:r>
      <w:r>
        <w:rPr>
          <w:szCs w:val="26"/>
        </w:rPr>
        <w:t xml:space="preserve"> </w:t>
      </w:r>
      <w:r w:rsidRPr="00804595">
        <w:rPr>
          <w:szCs w:val="26"/>
        </w:rPr>
        <w:t>for</w:t>
      </w:r>
      <w:r>
        <w:rPr>
          <w:szCs w:val="26"/>
        </w:rPr>
        <w:t xml:space="preserve"> </w:t>
      </w:r>
      <w:r w:rsidRPr="00804595">
        <w:rPr>
          <w:szCs w:val="26"/>
        </w:rPr>
        <w:t>clear</w:t>
      </w:r>
      <w:r>
        <w:rPr>
          <w:szCs w:val="26"/>
        </w:rPr>
        <w:t xml:space="preserve"> </w:t>
      </w:r>
      <w:r w:rsidRPr="00804595">
        <w:rPr>
          <w:szCs w:val="26"/>
        </w:rPr>
        <w:t>reference</w:t>
      </w:r>
      <w:r>
        <w:rPr>
          <w:szCs w:val="26"/>
        </w:rPr>
        <w:t xml:space="preserve"> </w:t>
      </w:r>
      <w:r w:rsidRPr="00804595">
        <w:rPr>
          <w:szCs w:val="26"/>
        </w:rPr>
        <w:t>to</w:t>
      </w:r>
      <w:r>
        <w:rPr>
          <w:szCs w:val="26"/>
        </w:rPr>
        <w:t xml:space="preserve"> the </w:t>
      </w:r>
      <w:r w:rsidRPr="00804595">
        <w:rPr>
          <w:szCs w:val="26"/>
        </w:rPr>
        <w:t>standards</w:t>
      </w:r>
      <w:r>
        <w:rPr>
          <w:szCs w:val="26"/>
        </w:rPr>
        <w:t xml:space="preserve"> </w:t>
      </w:r>
      <w:r w:rsidRPr="00804595">
        <w:rPr>
          <w:szCs w:val="26"/>
        </w:rPr>
        <w:t>as</w:t>
      </w:r>
      <w:r>
        <w:rPr>
          <w:szCs w:val="26"/>
        </w:rPr>
        <w:t xml:space="preserve"> </w:t>
      </w:r>
      <w:r w:rsidRPr="00804595">
        <w:rPr>
          <w:szCs w:val="26"/>
        </w:rPr>
        <w:t>well</w:t>
      </w:r>
      <w:r>
        <w:rPr>
          <w:szCs w:val="26"/>
        </w:rPr>
        <w:t xml:space="preserve"> </w:t>
      </w:r>
      <w:r w:rsidRPr="00804595">
        <w:rPr>
          <w:szCs w:val="26"/>
        </w:rPr>
        <w:t>as</w:t>
      </w:r>
      <w:r>
        <w:rPr>
          <w:szCs w:val="26"/>
        </w:rPr>
        <w:t xml:space="preserve"> for correspondence to entries in the </w:t>
      </w:r>
      <w:r w:rsidRPr="00804595">
        <w:rPr>
          <w:szCs w:val="26"/>
        </w:rPr>
        <w:t>default</w:t>
      </w:r>
      <w:r>
        <w:rPr>
          <w:szCs w:val="26"/>
        </w:rPr>
        <w:t xml:space="preserve"> </w:t>
      </w:r>
      <w:r w:rsidRPr="00804595">
        <w:rPr>
          <w:szCs w:val="26"/>
        </w:rPr>
        <w:t>savings</w:t>
      </w:r>
      <w:r>
        <w:rPr>
          <w:szCs w:val="26"/>
        </w:rPr>
        <w:t xml:space="preserve"> </w:t>
      </w:r>
      <w:r w:rsidRPr="00804595">
        <w:rPr>
          <w:szCs w:val="26"/>
        </w:rPr>
        <w:t>table.</w:t>
      </w:r>
    </w:p>
  </w:footnote>
  <w:footnote w:id="16">
    <w:p w14:paraId="15F3D6AD" w14:textId="645B47F3" w:rsidR="004E6452" w:rsidRDefault="004E6452" w:rsidP="004E6452">
      <w:pPr>
        <w:pStyle w:val="FootnoteText"/>
      </w:pPr>
      <w:r>
        <w:rPr>
          <w:rStyle w:val="FootnoteReference"/>
        </w:rPr>
        <w:footnoteRef/>
      </w:r>
      <w:r>
        <w:t xml:space="preserve"> kWh/yr</w:t>
      </w:r>
      <w:r w:rsidR="004E42C6">
        <w:t>.</w:t>
      </w:r>
      <w:r>
        <w:t xml:space="preserve"> savings may differ from Conventional Usage – ENERGY STAR Usage by 1 kWh/yr</w:t>
      </w:r>
      <w:r w:rsidR="004E42C6">
        <w:t>.</w:t>
      </w:r>
      <w:r>
        <w:t xml:space="preserve"> due to rounding.</w:t>
      </w:r>
    </w:p>
  </w:footnote>
  <w:footnote w:id="17">
    <w:p w14:paraId="467F6FA2" w14:textId="77777777" w:rsidR="004E6452" w:rsidRPr="00427E17" w:rsidRDefault="004E6452" w:rsidP="004E6452">
      <w:pPr>
        <w:pStyle w:val="FootnoteText"/>
        <w:jc w:val="left"/>
        <w:rPr>
          <w:szCs w:val="18"/>
        </w:rPr>
      </w:pPr>
      <w:r w:rsidRPr="00427E17">
        <w:rPr>
          <w:rStyle w:val="FootnoteReference"/>
          <w:szCs w:val="18"/>
        </w:rPr>
        <w:footnoteRef/>
      </w:r>
      <w:r>
        <w:rPr>
          <w:szCs w:val="18"/>
        </w:rPr>
        <w:t xml:space="preserve"> </w:t>
      </w:r>
      <w:r w:rsidRPr="00427E17">
        <w:rPr>
          <w:szCs w:val="18"/>
        </w:rPr>
        <w:t>For</w:t>
      </w:r>
      <w:r>
        <w:rPr>
          <w:szCs w:val="18"/>
        </w:rPr>
        <w:t xml:space="preserve"> </w:t>
      </w:r>
      <w:r w:rsidRPr="00427E17">
        <w:rPr>
          <w:szCs w:val="18"/>
        </w:rPr>
        <w:t>example,</w:t>
      </w:r>
      <w:r>
        <w:rPr>
          <w:szCs w:val="18"/>
        </w:rPr>
        <w:t xml:space="preserve"> </w:t>
      </w:r>
      <w:r w:rsidRPr="00427E17">
        <w:rPr>
          <w:szCs w:val="18"/>
        </w:rPr>
        <w:t>non-residential</w:t>
      </w:r>
      <w:r>
        <w:rPr>
          <w:szCs w:val="18"/>
        </w:rPr>
        <w:t xml:space="preserve"> </w:t>
      </w:r>
      <w:r w:rsidRPr="00427E17">
        <w:rPr>
          <w:szCs w:val="18"/>
        </w:rPr>
        <w:t>rate</w:t>
      </w:r>
      <w:r>
        <w:rPr>
          <w:szCs w:val="18"/>
        </w:rPr>
        <w:t xml:space="preserve"> </w:t>
      </w:r>
      <w:r w:rsidRPr="00427E17">
        <w:rPr>
          <w:szCs w:val="18"/>
        </w:rPr>
        <w:t>class</w:t>
      </w:r>
      <w:r>
        <w:rPr>
          <w:szCs w:val="18"/>
        </w:rPr>
        <w:t xml:space="preserve"> </w:t>
      </w:r>
      <w:r w:rsidRPr="00427E17">
        <w:rPr>
          <w:szCs w:val="18"/>
        </w:rPr>
        <w:t>usage</w:t>
      </w:r>
      <w:r>
        <w:rPr>
          <w:szCs w:val="18"/>
        </w:rPr>
        <w:t xml:space="preserve"> </w:t>
      </w:r>
      <w:r w:rsidRPr="00427E17">
        <w:rPr>
          <w:szCs w:val="18"/>
        </w:rPr>
        <w:t>cases</w:t>
      </w:r>
      <w:r>
        <w:rPr>
          <w:szCs w:val="18"/>
        </w:rPr>
        <w:t xml:space="preserve"> </w:t>
      </w:r>
      <w:r w:rsidRPr="00427E17">
        <w:rPr>
          <w:szCs w:val="18"/>
        </w:rPr>
        <w:t>include</w:t>
      </w:r>
      <w:r>
        <w:rPr>
          <w:szCs w:val="18"/>
        </w:rPr>
        <w:t xml:space="preserve"> </w:t>
      </w:r>
      <w:r w:rsidRPr="00427E17">
        <w:rPr>
          <w:szCs w:val="18"/>
        </w:rPr>
        <w:t>residential</w:t>
      </w:r>
      <w:r>
        <w:rPr>
          <w:szCs w:val="18"/>
        </w:rPr>
        <w:t xml:space="preserve"> </w:t>
      </w:r>
      <w:r w:rsidRPr="00427E17">
        <w:rPr>
          <w:szCs w:val="18"/>
        </w:rPr>
        <w:t>dwellings</w:t>
      </w:r>
      <w:r>
        <w:rPr>
          <w:szCs w:val="18"/>
        </w:rPr>
        <w:t xml:space="preserve"> </w:t>
      </w:r>
      <w:r w:rsidRPr="00427E17">
        <w:rPr>
          <w:szCs w:val="18"/>
        </w:rPr>
        <w:t>that</w:t>
      </w:r>
      <w:r>
        <w:rPr>
          <w:szCs w:val="18"/>
        </w:rPr>
        <w:t xml:space="preserve"> </w:t>
      </w:r>
      <w:r w:rsidRPr="00427E17">
        <w:rPr>
          <w:szCs w:val="18"/>
        </w:rPr>
        <w:t>are</w:t>
      </w:r>
      <w:r>
        <w:rPr>
          <w:szCs w:val="18"/>
        </w:rPr>
        <w:t xml:space="preserve"> </w:t>
      </w:r>
      <w:r w:rsidRPr="00427E17">
        <w:rPr>
          <w:szCs w:val="18"/>
        </w:rPr>
        <w:t>master-metered,</w:t>
      </w:r>
      <w:r>
        <w:rPr>
          <w:szCs w:val="18"/>
        </w:rPr>
        <w:t xml:space="preserve"> </w:t>
      </w:r>
      <w:r w:rsidRPr="00427E17">
        <w:rPr>
          <w:szCs w:val="18"/>
        </w:rPr>
        <w:t>usage</w:t>
      </w:r>
      <w:r>
        <w:rPr>
          <w:szCs w:val="18"/>
        </w:rPr>
        <w:t xml:space="preserve"> </w:t>
      </w:r>
      <w:r w:rsidRPr="00427E17">
        <w:rPr>
          <w:szCs w:val="18"/>
        </w:rPr>
        <w:t>in</w:t>
      </w:r>
      <w:r>
        <w:rPr>
          <w:szCs w:val="18"/>
        </w:rPr>
        <w:t xml:space="preserve"> </w:t>
      </w:r>
      <w:r w:rsidRPr="00427E17">
        <w:rPr>
          <w:szCs w:val="18"/>
        </w:rPr>
        <w:t>offices</w:t>
      </w:r>
      <w:r>
        <w:rPr>
          <w:szCs w:val="18"/>
        </w:rPr>
        <w:t xml:space="preserve"> </w:t>
      </w:r>
      <w:r w:rsidRPr="00427E17">
        <w:rPr>
          <w:szCs w:val="18"/>
        </w:rPr>
        <w:t>or</w:t>
      </w:r>
      <w:r>
        <w:rPr>
          <w:szCs w:val="18"/>
        </w:rPr>
        <w:t xml:space="preserve"> </w:t>
      </w:r>
      <w:r w:rsidRPr="00427E17">
        <w:rPr>
          <w:szCs w:val="18"/>
        </w:rPr>
        <w:t>any</w:t>
      </w:r>
      <w:r>
        <w:rPr>
          <w:szCs w:val="18"/>
        </w:rPr>
        <w:t xml:space="preserve"> </w:t>
      </w:r>
      <w:r w:rsidRPr="00427E17">
        <w:rPr>
          <w:szCs w:val="18"/>
        </w:rPr>
        <w:t>other</w:t>
      </w:r>
      <w:r>
        <w:rPr>
          <w:szCs w:val="18"/>
        </w:rPr>
        <w:t xml:space="preserve"> </w:t>
      </w:r>
      <w:r w:rsidRPr="00427E17">
        <w:rPr>
          <w:szCs w:val="18"/>
        </w:rPr>
        <w:t>applications</w:t>
      </w:r>
      <w:r>
        <w:rPr>
          <w:szCs w:val="18"/>
        </w:rPr>
        <w:t xml:space="preserve"> </w:t>
      </w:r>
      <w:r w:rsidRPr="00427E17">
        <w:rPr>
          <w:szCs w:val="18"/>
        </w:rPr>
        <w:t>that</w:t>
      </w:r>
      <w:r>
        <w:rPr>
          <w:szCs w:val="18"/>
        </w:rPr>
        <w:t xml:space="preserve"> </w:t>
      </w:r>
      <w:r w:rsidRPr="00427E17">
        <w:rPr>
          <w:szCs w:val="18"/>
        </w:rPr>
        <w:t>involve</w:t>
      </w:r>
      <w:r>
        <w:rPr>
          <w:szCs w:val="18"/>
        </w:rPr>
        <w:t xml:space="preserve"> </w:t>
      </w:r>
      <w:r w:rsidRPr="00427E17">
        <w:rPr>
          <w:szCs w:val="18"/>
        </w:rPr>
        <w:t>typical</w:t>
      </w:r>
      <w:r>
        <w:rPr>
          <w:szCs w:val="18"/>
        </w:rPr>
        <w:t xml:space="preserve"> cooler </w:t>
      </w:r>
      <w:r w:rsidRPr="00427E17">
        <w:rPr>
          <w:szCs w:val="18"/>
        </w:rPr>
        <w:t>usage.</w:t>
      </w:r>
    </w:p>
  </w:footnote>
  <w:footnote w:id="18">
    <w:p w14:paraId="38945499" w14:textId="77777777" w:rsidR="00815239" w:rsidRDefault="00815239" w:rsidP="00815239">
      <w:pPr>
        <w:pStyle w:val="FootnoteText"/>
      </w:pPr>
      <w:r>
        <w:rPr>
          <w:rStyle w:val="FootnoteReference"/>
        </w:rPr>
        <w:footnoteRef/>
      </w:r>
      <w:r>
        <w:t xml:space="preserve"> This is results in a conservative</w:t>
      </w:r>
      <w:r w:rsidRPr="00EB731E">
        <w:t xml:space="preserve"> </w:t>
      </w:r>
      <w:r>
        <w:t xml:space="preserve">savings estimate since </w:t>
      </w:r>
      <w:r w:rsidRPr="00EB731E">
        <w:t xml:space="preserve">equipment sold </w:t>
      </w:r>
      <w:r>
        <w:t>outside of California could exceed Title 20 levels.</w:t>
      </w:r>
    </w:p>
  </w:footnote>
  <w:footnote w:id="19">
    <w:p w14:paraId="3AA8ABF9" w14:textId="3620A8EE" w:rsidR="004E6452" w:rsidRPr="00427E17" w:rsidRDefault="004E6452" w:rsidP="004E6452">
      <w:pPr>
        <w:pStyle w:val="FootnoteText"/>
        <w:jc w:val="left"/>
        <w:rPr>
          <w:szCs w:val="18"/>
        </w:rPr>
      </w:pPr>
      <w:r w:rsidRPr="00427E17">
        <w:rPr>
          <w:rStyle w:val="FootnoteReference"/>
          <w:szCs w:val="18"/>
        </w:rPr>
        <w:footnoteRef/>
      </w:r>
      <w:r>
        <w:rPr>
          <w:szCs w:val="18"/>
        </w:rPr>
        <w:t xml:space="preserve"> </w:t>
      </w:r>
      <w:r w:rsidRPr="00187F7C">
        <w:rPr>
          <w:szCs w:val="18"/>
        </w:rPr>
        <w:t>Lettering</w:t>
      </w:r>
      <w:r>
        <w:rPr>
          <w:szCs w:val="18"/>
        </w:rPr>
        <w:t xml:space="preserve"> </w:t>
      </w:r>
      <w:r w:rsidRPr="00187F7C">
        <w:rPr>
          <w:szCs w:val="18"/>
        </w:rPr>
        <w:t>convention</w:t>
      </w:r>
      <w:r>
        <w:rPr>
          <w:szCs w:val="18"/>
        </w:rPr>
        <w:t xml:space="preserve"> </w:t>
      </w:r>
      <w:r w:rsidRPr="00187F7C">
        <w:rPr>
          <w:szCs w:val="18"/>
        </w:rPr>
        <w:t>(1,</w:t>
      </w:r>
      <w:r>
        <w:rPr>
          <w:szCs w:val="18"/>
        </w:rPr>
        <w:t xml:space="preserve"> </w:t>
      </w:r>
      <w:r w:rsidRPr="00187F7C">
        <w:rPr>
          <w:szCs w:val="18"/>
        </w:rPr>
        <w:t>1A,</w:t>
      </w:r>
      <w:r>
        <w:rPr>
          <w:szCs w:val="18"/>
        </w:rPr>
        <w:t xml:space="preserve"> </w:t>
      </w:r>
      <w:r w:rsidRPr="00187F7C">
        <w:rPr>
          <w:szCs w:val="18"/>
        </w:rPr>
        <w:t>etc</w:t>
      </w:r>
      <w:r w:rsidR="004E42C6">
        <w:rPr>
          <w:szCs w:val="18"/>
        </w:rPr>
        <w:t>.</w:t>
      </w:r>
      <w:r w:rsidRPr="00187F7C">
        <w:rPr>
          <w:szCs w:val="18"/>
        </w:rPr>
        <w:t>)</w:t>
      </w:r>
      <w:r>
        <w:rPr>
          <w:szCs w:val="18"/>
        </w:rPr>
        <w:t xml:space="preserve"> </w:t>
      </w:r>
      <w:r w:rsidRPr="00187F7C">
        <w:rPr>
          <w:szCs w:val="18"/>
        </w:rPr>
        <w:t>of</w:t>
      </w:r>
      <w:r>
        <w:rPr>
          <w:szCs w:val="18"/>
        </w:rPr>
        <w:t xml:space="preserve"> F</w:t>
      </w:r>
      <w:r w:rsidRPr="00187F7C">
        <w:rPr>
          <w:szCs w:val="18"/>
        </w:rPr>
        <w:t>ederal</w:t>
      </w:r>
      <w:r>
        <w:rPr>
          <w:szCs w:val="18"/>
        </w:rPr>
        <w:t xml:space="preserve"> </w:t>
      </w:r>
      <w:r w:rsidRPr="00187F7C">
        <w:rPr>
          <w:szCs w:val="18"/>
        </w:rPr>
        <w:t>standard</w:t>
      </w:r>
      <w:r>
        <w:rPr>
          <w:szCs w:val="18"/>
        </w:rPr>
        <w:t xml:space="preserve"> </w:t>
      </w:r>
      <w:r w:rsidRPr="00187F7C">
        <w:rPr>
          <w:szCs w:val="18"/>
        </w:rPr>
        <w:t>and</w:t>
      </w:r>
      <w:r>
        <w:rPr>
          <w:szCs w:val="18"/>
        </w:rPr>
        <w:t xml:space="preserve"> </w:t>
      </w:r>
      <w:r w:rsidRPr="00187F7C">
        <w:rPr>
          <w:szCs w:val="18"/>
        </w:rPr>
        <w:t>ENERGY</w:t>
      </w:r>
      <w:r>
        <w:rPr>
          <w:szCs w:val="18"/>
        </w:rPr>
        <w:t xml:space="preserve"> </w:t>
      </w:r>
      <w:r w:rsidRPr="00187F7C">
        <w:rPr>
          <w:szCs w:val="18"/>
        </w:rPr>
        <w:t>STAR</w:t>
      </w:r>
      <w:r>
        <w:rPr>
          <w:szCs w:val="18"/>
        </w:rPr>
        <w:t xml:space="preserve"> </w:t>
      </w:r>
      <w:r w:rsidRPr="00804595">
        <w:rPr>
          <w:szCs w:val="26"/>
        </w:rPr>
        <w:t>specifications</w:t>
      </w:r>
      <w:r>
        <w:rPr>
          <w:szCs w:val="26"/>
        </w:rPr>
        <w:t xml:space="preserve"> </w:t>
      </w:r>
      <w:r w:rsidRPr="00804595">
        <w:rPr>
          <w:szCs w:val="26"/>
        </w:rPr>
        <w:t>included</w:t>
      </w:r>
      <w:r>
        <w:rPr>
          <w:szCs w:val="26"/>
        </w:rPr>
        <w:t xml:space="preserve"> </w:t>
      </w:r>
      <w:r w:rsidRPr="00804595">
        <w:rPr>
          <w:szCs w:val="26"/>
        </w:rPr>
        <w:t>for</w:t>
      </w:r>
      <w:r>
        <w:rPr>
          <w:szCs w:val="26"/>
        </w:rPr>
        <w:t xml:space="preserve"> </w:t>
      </w:r>
      <w:r w:rsidRPr="00804595">
        <w:rPr>
          <w:szCs w:val="26"/>
        </w:rPr>
        <w:t>clear</w:t>
      </w:r>
      <w:r>
        <w:rPr>
          <w:szCs w:val="26"/>
        </w:rPr>
        <w:t xml:space="preserve"> </w:t>
      </w:r>
      <w:r w:rsidRPr="00804595">
        <w:rPr>
          <w:szCs w:val="26"/>
        </w:rPr>
        <w:t>reference</w:t>
      </w:r>
      <w:r>
        <w:rPr>
          <w:szCs w:val="26"/>
        </w:rPr>
        <w:t xml:space="preserve"> </w:t>
      </w:r>
      <w:r w:rsidRPr="00804595">
        <w:rPr>
          <w:szCs w:val="26"/>
        </w:rPr>
        <w:t>to</w:t>
      </w:r>
      <w:r>
        <w:rPr>
          <w:szCs w:val="26"/>
        </w:rPr>
        <w:t xml:space="preserve"> the </w:t>
      </w:r>
      <w:r w:rsidRPr="00804595">
        <w:rPr>
          <w:szCs w:val="26"/>
        </w:rPr>
        <w:t>standards</w:t>
      </w:r>
      <w:r>
        <w:rPr>
          <w:szCs w:val="26"/>
        </w:rPr>
        <w:t xml:space="preserve"> </w:t>
      </w:r>
      <w:r w:rsidRPr="00804595">
        <w:rPr>
          <w:szCs w:val="26"/>
        </w:rPr>
        <w:t>as</w:t>
      </w:r>
      <w:r>
        <w:rPr>
          <w:szCs w:val="26"/>
        </w:rPr>
        <w:t xml:space="preserve"> </w:t>
      </w:r>
      <w:r w:rsidRPr="00804595">
        <w:rPr>
          <w:szCs w:val="26"/>
        </w:rPr>
        <w:t>well</w:t>
      </w:r>
      <w:r>
        <w:rPr>
          <w:szCs w:val="26"/>
        </w:rPr>
        <w:t xml:space="preserve"> </w:t>
      </w:r>
      <w:r w:rsidRPr="00804595">
        <w:rPr>
          <w:szCs w:val="26"/>
        </w:rPr>
        <w:t>as</w:t>
      </w:r>
      <w:r>
        <w:rPr>
          <w:szCs w:val="26"/>
        </w:rPr>
        <w:t xml:space="preserve"> for correspondence to entries in the </w:t>
      </w:r>
      <w:r w:rsidRPr="00804595">
        <w:rPr>
          <w:szCs w:val="26"/>
        </w:rPr>
        <w:t>default</w:t>
      </w:r>
      <w:r>
        <w:rPr>
          <w:szCs w:val="26"/>
        </w:rPr>
        <w:t xml:space="preserve"> </w:t>
      </w:r>
      <w:r w:rsidRPr="00804595">
        <w:rPr>
          <w:szCs w:val="26"/>
        </w:rPr>
        <w:t>savings</w:t>
      </w:r>
      <w:r>
        <w:rPr>
          <w:szCs w:val="26"/>
        </w:rPr>
        <w:t xml:space="preserve"> </w:t>
      </w:r>
      <w:r w:rsidRPr="00804595">
        <w:rPr>
          <w:szCs w:val="26"/>
        </w:rPr>
        <w:t>table.</w:t>
      </w:r>
    </w:p>
  </w:footnote>
  <w:footnote w:id="20">
    <w:p w14:paraId="73DA3836" w14:textId="77777777" w:rsidR="004E6452" w:rsidRDefault="004E6452" w:rsidP="004E6452">
      <w:pPr>
        <w:pStyle w:val="FootnoteText"/>
      </w:pPr>
      <w:r>
        <w:rPr>
          <w:rStyle w:val="FootnoteReference"/>
        </w:rPr>
        <w:footnoteRef/>
      </w:r>
      <w:r>
        <w:t xml:space="preserve"> If configuration is front-loading and capacity is unknown, assume capacity </w:t>
      </w:r>
      <w:r w:rsidRPr="00B36352">
        <w:t>&gt; 2.5 ft</w:t>
      </w:r>
      <w:r w:rsidRPr="00AE7A07">
        <w:rPr>
          <w:vertAlign w:val="superscript"/>
        </w:rPr>
        <w:t>3</w:t>
      </w:r>
      <w:r>
        <w:t>.</w:t>
      </w:r>
    </w:p>
  </w:footnote>
  <w:footnote w:id="21">
    <w:p w14:paraId="15AB57C5" w14:textId="77777777" w:rsidR="004E6452" w:rsidRDefault="004E6452" w:rsidP="004E6452">
      <w:pPr>
        <w:pStyle w:val="FootnoteText"/>
      </w:pPr>
      <w:r w:rsidRPr="00452977">
        <w:rPr>
          <w:rStyle w:val="FootnoteReference"/>
        </w:rPr>
        <w:footnoteRef/>
      </w:r>
      <w:r>
        <w:t xml:space="preserve"> </w:t>
      </w:r>
      <w:r w:rsidRPr="00452977">
        <w:rPr>
          <w:szCs w:val="18"/>
        </w:rPr>
        <w:t>The</w:t>
      </w:r>
      <w:r>
        <w:rPr>
          <w:szCs w:val="18"/>
        </w:rPr>
        <w:t xml:space="preserve"> </w:t>
      </w:r>
      <w:r w:rsidRPr="00452977">
        <w:rPr>
          <w:szCs w:val="18"/>
        </w:rPr>
        <w:t>ENERGY</w:t>
      </w:r>
      <w:r>
        <w:rPr>
          <w:szCs w:val="18"/>
        </w:rPr>
        <w:t xml:space="preserve"> </w:t>
      </w:r>
      <w:r w:rsidRPr="00452977">
        <w:rPr>
          <w:szCs w:val="18"/>
        </w:rPr>
        <w:t>STAR</w:t>
      </w:r>
      <w:r>
        <w:rPr>
          <w:szCs w:val="18"/>
        </w:rPr>
        <w:t xml:space="preserve"> </w:t>
      </w:r>
      <w:r w:rsidRPr="00452977">
        <w:rPr>
          <w:szCs w:val="18"/>
        </w:rPr>
        <w:t>4.</w:t>
      </w:r>
      <w:r>
        <w:rPr>
          <w:szCs w:val="18"/>
        </w:rPr>
        <w:t xml:space="preserve">1 </w:t>
      </w:r>
      <w:r w:rsidRPr="00452977">
        <w:rPr>
          <w:szCs w:val="18"/>
        </w:rPr>
        <w:t>specifications</w:t>
      </w:r>
      <w:r>
        <w:rPr>
          <w:szCs w:val="18"/>
        </w:rPr>
        <w:t xml:space="preserve"> </w:t>
      </w:r>
      <w:r w:rsidRPr="00452977">
        <w:rPr>
          <w:szCs w:val="18"/>
        </w:rPr>
        <w:t>allow</w:t>
      </w:r>
      <w:r>
        <w:rPr>
          <w:szCs w:val="18"/>
        </w:rPr>
        <w:t xml:space="preserve"> </w:t>
      </w:r>
      <w:r w:rsidRPr="00452977">
        <w:rPr>
          <w:szCs w:val="18"/>
        </w:rPr>
        <w:t>for</w:t>
      </w:r>
      <w:r>
        <w:rPr>
          <w:szCs w:val="18"/>
        </w:rPr>
        <w:t xml:space="preserve"> </w:t>
      </w:r>
      <w:r w:rsidRPr="00452977">
        <w:rPr>
          <w:szCs w:val="18"/>
        </w:rPr>
        <w:t>hugger</w:t>
      </w:r>
      <w:r>
        <w:rPr>
          <w:szCs w:val="18"/>
        </w:rPr>
        <w:t xml:space="preserve"> </w:t>
      </w:r>
      <w:r w:rsidRPr="00452977">
        <w:rPr>
          <w:szCs w:val="18"/>
        </w:rPr>
        <w:t>ceiling</w:t>
      </w:r>
      <w:r>
        <w:rPr>
          <w:szCs w:val="18"/>
        </w:rPr>
        <w:t xml:space="preserve"> </w:t>
      </w:r>
      <w:r w:rsidRPr="00452977">
        <w:rPr>
          <w:szCs w:val="18"/>
        </w:rPr>
        <w:t>fans</w:t>
      </w:r>
      <w:r>
        <w:rPr>
          <w:szCs w:val="18"/>
        </w:rPr>
        <w:t xml:space="preserve"> </w:t>
      </w:r>
      <w:r w:rsidRPr="00452977">
        <w:rPr>
          <w:szCs w:val="18"/>
        </w:rPr>
        <w:t>with</w:t>
      </w:r>
      <w:r>
        <w:rPr>
          <w:szCs w:val="18"/>
        </w:rPr>
        <w:t xml:space="preserve"> </w:t>
      </w:r>
      <w:r w:rsidRPr="00452977">
        <w:rPr>
          <w:szCs w:val="18"/>
        </w:rPr>
        <w:t>blade</w:t>
      </w:r>
      <w:r>
        <w:rPr>
          <w:szCs w:val="18"/>
        </w:rPr>
        <w:t xml:space="preserve"> </w:t>
      </w:r>
      <w:r w:rsidRPr="00452977">
        <w:rPr>
          <w:szCs w:val="18"/>
        </w:rPr>
        <w:t>spans</w:t>
      </w:r>
      <w:r>
        <w:rPr>
          <w:szCs w:val="18"/>
        </w:rPr>
        <w:t xml:space="preserve"> </w:t>
      </w:r>
      <w:r w:rsidRPr="00452977">
        <w:rPr>
          <w:szCs w:val="18"/>
        </w:rPr>
        <w:t>of</w:t>
      </w:r>
      <w:r>
        <w:rPr>
          <w:szCs w:val="18"/>
        </w:rPr>
        <w:t xml:space="preserve"> </w:t>
      </w:r>
      <w:r w:rsidRPr="00452977">
        <w:rPr>
          <w:szCs w:val="18"/>
        </w:rPr>
        <w:t>≤</w:t>
      </w:r>
      <w:r>
        <w:rPr>
          <w:szCs w:val="18"/>
        </w:rPr>
        <w:t xml:space="preserve"> </w:t>
      </w:r>
      <w:r w:rsidRPr="00452977">
        <w:rPr>
          <w:szCs w:val="18"/>
        </w:rPr>
        <w:t>36”</w:t>
      </w:r>
      <w:r>
        <w:rPr>
          <w:szCs w:val="18"/>
        </w:rPr>
        <w:t xml:space="preserve"> </w:t>
      </w:r>
      <w:r w:rsidRPr="00452977">
        <w:rPr>
          <w:szCs w:val="18"/>
        </w:rPr>
        <w:t>and</w:t>
      </w:r>
      <w:r>
        <w:rPr>
          <w:szCs w:val="18"/>
        </w:rPr>
        <w:t xml:space="preserve"> </w:t>
      </w:r>
      <w:r w:rsidRPr="00452977">
        <w:rPr>
          <w:szCs w:val="18"/>
        </w:rPr>
        <w:t>≥</w:t>
      </w:r>
      <w:r>
        <w:rPr>
          <w:szCs w:val="18"/>
        </w:rPr>
        <w:t xml:space="preserve"> </w:t>
      </w:r>
      <w:r w:rsidRPr="00452977">
        <w:rPr>
          <w:szCs w:val="18"/>
        </w:rPr>
        <w:t>78”,</w:t>
      </w:r>
      <w:r>
        <w:rPr>
          <w:szCs w:val="18"/>
        </w:rPr>
        <w:t xml:space="preserve"> </w:t>
      </w:r>
      <w:r w:rsidRPr="00452977">
        <w:rPr>
          <w:szCs w:val="18"/>
        </w:rPr>
        <w:t>however,</w:t>
      </w:r>
      <w:r>
        <w:rPr>
          <w:szCs w:val="18"/>
        </w:rPr>
        <w:t xml:space="preserve"> as of November 2023, </w:t>
      </w:r>
      <w:r w:rsidRPr="00452977">
        <w:rPr>
          <w:szCs w:val="18"/>
        </w:rPr>
        <w:t>there</w:t>
      </w:r>
      <w:r>
        <w:rPr>
          <w:szCs w:val="18"/>
        </w:rPr>
        <w:t xml:space="preserve"> </w:t>
      </w:r>
      <w:r w:rsidRPr="00452977">
        <w:rPr>
          <w:szCs w:val="18"/>
        </w:rPr>
        <w:t>are</w:t>
      </w:r>
      <w:r>
        <w:rPr>
          <w:szCs w:val="18"/>
        </w:rPr>
        <w:t xml:space="preserve"> </w:t>
      </w:r>
      <w:r w:rsidRPr="00452977">
        <w:rPr>
          <w:szCs w:val="18"/>
        </w:rPr>
        <w:t>no</w:t>
      </w:r>
      <w:r>
        <w:rPr>
          <w:szCs w:val="18"/>
        </w:rPr>
        <w:t xml:space="preserve"> </w:t>
      </w:r>
      <w:r w:rsidRPr="00452977">
        <w:rPr>
          <w:szCs w:val="18"/>
        </w:rPr>
        <w:t>E</w:t>
      </w:r>
      <w:r>
        <w:rPr>
          <w:szCs w:val="18"/>
        </w:rPr>
        <w:t xml:space="preserve">NERGY </w:t>
      </w:r>
      <w:r w:rsidRPr="00452977">
        <w:rPr>
          <w:szCs w:val="18"/>
        </w:rPr>
        <w:t>S</w:t>
      </w:r>
      <w:r>
        <w:rPr>
          <w:szCs w:val="18"/>
        </w:rPr>
        <w:t xml:space="preserve">TAR </w:t>
      </w:r>
      <w:r w:rsidRPr="00452977">
        <w:rPr>
          <w:szCs w:val="18"/>
        </w:rPr>
        <w:t>qualified</w:t>
      </w:r>
      <w:r>
        <w:rPr>
          <w:szCs w:val="18"/>
        </w:rPr>
        <w:t xml:space="preserve"> </w:t>
      </w:r>
      <w:r w:rsidRPr="00452977">
        <w:rPr>
          <w:szCs w:val="18"/>
        </w:rPr>
        <w:t>products</w:t>
      </w:r>
      <w:r>
        <w:rPr>
          <w:szCs w:val="18"/>
        </w:rPr>
        <w:t xml:space="preserve"> </w:t>
      </w:r>
      <w:r w:rsidRPr="00452977">
        <w:rPr>
          <w:szCs w:val="18"/>
        </w:rPr>
        <w:t>meeting</w:t>
      </w:r>
      <w:r>
        <w:rPr>
          <w:szCs w:val="18"/>
        </w:rPr>
        <w:t xml:space="preserve"> </w:t>
      </w:r>
      <w:r w:rsidRPr="00452977">
        <w:rPr>
          <w:szCs w:val="18"/>
        </w:rPr>
        <w:t>those</w:t>
      </w:r>
      <w:r>
        <w:rPr>
          <w:szCs w:val="18"/>
        </w:rPr>
        <w:t xml:space="preserve"> </w:t>
      </w:r>
      <w:r w:rsidRPr="00452977">
        <w:rPr>
          <w:szCs w:val="18"/>
        </w:rPr>
        <w:t>criteria.</w:t>
      </w:r>
      <w:r>
        <w:rPr>
          <w:szCs w:val="18"/>
        </w:rPr>
        <w:t xml:space="preserve"> </w:t>
      </w:r>
      <w:r w:rsidRPr="00452977">
        <w:rPr>
          <w:szCs w:val="18"/>
        </w:rPr>
        <w:t>They</w:t>
      </w:r>
      <w:r>
        <w:rPr>
          <w:szCs w:val="18"/>
        </w:rPr>
        <w:t xml:space="preserve"> </w:t>
      </w:r>
      <w:r w:rsidRPr="00452977">
        <w:rPr>
          <w:szCs w:val="18"/>
        </w:rPr>
        <w:t>were</w:t>
      </w:r>
      <w:r>
        <w:rPr>
          <w:szCs w:val="18"/>
        </w:rPr>
        <w:t xml:space="preserve"> </w:t>
      </w:r>
      <w:r w:rsidRPr="00452977">
        <w:rPr>
          <w:szCs w:val="18"/>
        </w:rPr>
        <w:t>therefor</w:t>
      </w:r>
      <w:r>
        <w:rPr>
          <w:szCs w:val="18"/>
        </w:rPr>
        <w:t xml:space="preserve">e </w:t>
      </w:r>
      <w:r w:rsidRPr="00452977">
        <w:rPr>
          <w:szCs w:val="18"/>
        </w:rPr>
        <w:t>omitted</w:t>
      </w:r>
      <w:r>
        <w:rPr>
          <w:szCs w:val="18"/>
        </w:rPr>
        <w:t xml:space="preserve"> </w:t>
      </w:r>
      <w:r w:rsidRPr="00452977">
        <w:rPr>
          <w:szCs w:val="18"/>
        </w:rPr>
        <w:t>from</w:t>
      </w:r>
      <w:r>
        <w:rPr>
          <w:szCs w:val="18"/>
        </w:rPr>
        <w:t xml:space="preserve"> </w:t>
      </w:r>
      <w:r w:rsidRPr="00452977">
        <w:rPr>
          <w:szCs w:val="18"/>
        </w:rPr>
        <w:t>this</w:t>
      </w:r>
      <w:r>
        <w:rPr>
          <w:szCs w:val="18"/>
        </w:rPr>
        <w:t xml:space="preserve"> </w:t>
      </w:r>
      <w:r w:rsidRPr="00452977">
        <w:rPr>
          <w:szCs w:val="18"/>
        </w:rPr>
        <w:t>characterization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C2C9A" w14:textId="2E645D40" w:rsidR="009B0F1B" w:rsidRPr="009B0F1B" w:rsidRDefault="009B0F1B" w:rsidP="00597241">
    <w:pPr>
      <w:pStyle w:val="Header"/>
      <w:pBdr>
        <w:bottom w:val="dotted" w:sz="4" w:space="0" w:color="1F497D"/>
      </w:pBdr>
      <w:tabs>
        <w:tab w:val="left" w:pos="1800"/>
        <w:tab w:val="left" w:pos="6750"/>
      </w:tabs>
      <w:jc w:val="left"/>
      <w:rPr>
        <w:color w:val="A6A6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0DEF0" w14:textId="04E811B3" w:rsidR="005C5154" w:rsidRPr="009B0F1B" w:rsidRDefault="005C5154" w:rsidP="005C5154">
    <w:pPr>
      <w:pStyle w:val="Header"/>
      <w:tabs>
        <w:tab w:val="left" w:pos="1800"/>
        <w:tab w:val="left" w:pos="6750"/>
      </w:tabs>
      <w:jc w:val="left"/>
      <w:rPr>
        <w:color w:val="A6A6A6"/>
      </w:rPr>
    </w:pPr>
    <w:r w:rsidRPr="00F84A22">
      <w:rPr>
        <w:color w:val="A6A6A6"/>
      </w:rPr>
      <w:t>State</w:t>
    </w:r>
    <w:r>
      <w:rPr>
        <w:color w:val="A6A6A6"/>
      </w:rPr>
      <w:t xml:space="preserve"> </w:t>
    </w:r>
    <w:r w:rsidRPr="00F84A22">
      <w:rPr>
        <w:color w:val="A6A6A6"/>
      </w:rPr>
      <w:t>of</w:t>
    </w:r>
    <w:r>
      <w:rPr>
        <w:color w:val="A6A6A6"/>
      </w:rPr>
      <w:t xml:space="preserve"> </w:t>
    </w:r>
    <w:r w:rsidRPr="00F84A22">
      <w:rPr>
        <w:color w:val="A6A6A6"/>
      </w:rPr>
      <w:t>Pennsylvania</w:t>
    </w:r>
    <w:r w:rsidRPr="00F84A22">
      <w:rPr>
        <w:color w:val="A6A6A6"/>
      </w:rPr>
      <w:tab/>
      <w:t>–</w:t>
    </w:r>
    <w:r w:rsidRPr="00F84A22">
      <w:rPr>
        <w:color w:val="A6A6A6"/>
      </w:rPr>
      <w:tab/>
      <w:t>Technical</w:t>
    </w:r>
    <w:r>
      <w:rPr>
        <w:color w:val="A6A6A6"/>
      </w:rPr>
      <w:t xml:space="preserve"> </w:t>
    </w:r>
    <w:r w:rsidRPr="00F84A22">
      <w:rPr>
        <w:color w:val="A6A6A6"/>
      </w:rPr>
      <w:t>Reference</w:t>
    </w:r>
    <w:r>
      <w:rPr>
        <w:color w:val="A6A6A6"/>
      </w:rPr>
      <w:t xml:space="preserve"> </w:t>
    </w:r>
    <w:r w:rsidRPr="00F84A22">
      <w:rPr>
        <w:color w:val="A6A6A6"/>
      </w:rPr>
      <w:t>Manual</w:t>
    </w:r>
    <w:r>
      <w:rPr>
        <w:color w:val="A6A6A6"/>
      </w:rPr>
      <w:t xml:space="preserve">, Vol. 2: Residential Measures </w:t>
    </w:r>
    <w:r w:rsidRPr="00F84A22">
      <w:rPr>
        <w:color w:val="A6A6A6"/>
      </w:rPr>
      <w:t>Rev</w:t>
    </w:r>
    <w:r>
      <w:rPr>
        <w:color w:val="A6A6A6"/>
      </w:rPr>
      <w:t xml:space="preserve"> </w:t>
    </w:r>
    <w:r w:rsidRPr="00F84A22">
      <w:rPr>
        <w:color w:val="A6A6A6"/>
      </w:rPr>
      <w:t>Date:</w:t>
    </w:r>
    <w:r>
      <w:rPr>
        <w:color w:val="A6A6A6"/>
      </w:rPr>
      <w:t xml:space="preserve"> May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0527B" w14:textId="2CB3E39C" w:rsidR="00863A25" w:rsidRPr="009B0F1B" w:rsidRDefault="00863A25" w:rsidP="009B0F1B">
    <w:pPr>
      <w:pStyle w:val="Header"/>
      <w:tabs>
        <w:tab w:val="left" w:pos="1800"/>
        <w:tab w:val="left" w:pos="6750"/>
      </w:tabs>
      <w:jc w:val="left"/>
      <w:rPr>
        <w:color w:val="A6A6A6"/>
      </w:rPr>
    </w:pPr>
    <w:r w:rsidRPr="00F84A22">
      <w:rPr>
        <w:color w:val="A6A6A6"/>
      </w:rPr>
      <w:t>State</w:t>
    </w:r>
    <w:r>
      <w:rPr>
        <w:color w:val="A6A6A6"/>
      </w:rPr>
      <w:t xml:space="preserve"> </w:t>
    </w:r>
    <w:r w:rsidRPr="00F84A22">
      <w:rPr>
        <w:color w:val="A6A6A6"/>
      </w:rPr>
      <w:t>of</w:t>
    </w:r>
    <w:r>
      <w:rPr>
        <w:color w:val="A6A6A6"/>
      </w:rPr>
      <w:t xml:space="preserve"> </w:t>
    </w:r>
    <w:r w:rsidRPr="00F84A22">
      <w:rPr>
        <w:color w:val="A6A6A6"/>
      </w:rPr>
      <w:t>Pennsylvania</w:t>
    </w:r>
    <w:r w:rsidRPr="00F84A22">
      <w:rPr>
        <w:color w:val="A6A6A6"/>
      </w:rPr>
      <w:tab/>
      <w:t>–</w:t>
    </w:r>
    <w:r w:rsidRPr="00F84A22">
      <w:rPr>
        <w:color w:val="A6A6A6"/>
      </w:rPr>
      <w:tab/>
      <w:t>Technical</w:t>
    </w:r>
    <w:r>
      <w:rPr>
        <w:color w:val="A6A6A6"/>
      </w:rPr>
      <w:t xml:space="preserve"> </w:t>
    </w:r>
    <w:r w:rsidRPr="00F84A22">
      <w:rPr>
        <w:color w:val="A6A6A6"/>
      </w:rPr>
      <w:t>Reference</w:t>
    </w:r>
    <w:r>
      <w:rPr>
        <w:color w:val="A6A6A6"/>
      </w:rPr>
      <w:t xml:space="preserve"> </w:t>
    </w:r>
    <w:r w:rsidRPr="00F84A22">
      <w:rPr>
        <w:color w:val="A6A6A6"/>
      </w:rPr>
      <w:t>Manual</w:t>
    </w:r>
    <w:r>
      <w:rPr>
        <w:color w:val="A6A6A6"/>
      </w:rPr>
      <w:t>, Vol. 2: Residential Measures</w:t>
    </w:r>
    <w:r>
      <w:rPr>
        <w:color w:val="A6A6A6"/>
      </w:rPr>
      <w:tab/>
    </w:r>
    <w:r w:rsidRPr="00F84A22">
      <w:rPr>
        <w:color w:val="A6A6A6"/>
      </w:rPr>
      <w:t>–</w:t>
    </w:r>
    <w:r w:rsidRPr="00F84A22">
      <w:rPr>
        <w:color w:val="A6A6A6"/>
      </w:rPr>
      <w:tab/>
      <w:t>Rev</w:t>
    </w:r>
    <w:r>
      <w:rPr>
        <w:color w:val="A6A6A6"/>
      </w:rPr>
      <w:t xml:space="preserve"> </w:t>
    </w:r>
    <w:r w:rsidRPr="00F84A22">
      <w:rPr>
        <w:color w:val="A6A6A6"/>
      </w:rPr>
      <w:t>Date:</w:t>
    </w:r>
    <w:r>
      <w:rPr>
        <w:color w:val="A6A6A6"/>
      </w:rPr>
      <w:t xml:space="preserve"> </w:t>
    </w:r>
    <w:r w:rsidR="00DF2888">
      <w:rPr>
        <w:color w:val="A6A6A6"/>
      </w:rPr>
      <w:t>May</w:t>
    </w:r>
    <w:r w:rsidR="00EC7B79">
      <w:rPr>
        <w:color w:val="A6A6A6"/>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3287"/>
    <w:multiLevelType w:val="hybridMultilevel"/>
    <w:tmpl w:val="210C3C92"/>
    <w:lvl w:ilvl="0" w:tplc="295AD504">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7D21AF"/>
    <w:multiLevelType w:val="multilevel"/>
    <w:tmpl w:val="8D14B3E8"/>
    <w:lvl w:ilvl="0">
      <w:start w:val="1"/>
      <w:numFmt w:val="decimal"/>
      <w:lvlText w:val="%1)"/>
      <w:lvlJc w:val="left"/>
      <w:pPr>
        <w:tabs>
          <w:tab w:val="num" w:pos="720"/>
        </w:tabs>
        <w:ind w:left="720" w:hanging="360"/>
      </w:pPr>
      <w:rPr>
        <w:rFonts w:hint="default"/>
        <w:b w:val="0"/>
        <w:color w:val="auto"/>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04F00E8E"/>
    <w:multiLevelType w:val="hybridMultilevel"/>
    <w:tmpl w:val="277E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F5A"/>
    <w:multiLevelType w:val="hybridMultilevel"/>
    <w:tmpl w:val="47084FB0"/>
    <w:lvl w:ilvl="0" w:tplc="BB6CAD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307BE"/>
    <w:multiLevelType w:val="hybridMultilevel"/>
    <w:tmpl w:val="6AB41CF0"/>
    <w:lvl w:ilvl="0" w:tplc="36385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B7745"/>
    <w:multiLevelType w:val="hybridMultilevel"/>
    <w:tmpl w:val="E4D6A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F70A6"/>
    <w:multiLevelType w:val="hybridMultilevel"/>
    <w:tmpl w:val="DB62C28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2B07B7"/>
    <w:multiLevelType w:val="hybridMultilevel"/>
    <w:tmpl w:val="29FC3350"/>
    <w:lvl w:ilvl="0" w:tplc="D15EA12A">
      <w:start w:val="1"/>
      <w:numFmt w:val="bullet"/>
      <w:pStyle w:val="NREL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CB95685"/>
    <w:multiLevelType w:val="hybridMultilevel"/>
    <w:tmpl w:val="C8D41CA6"/>
    <w:lvl w:ilvl="0" w:tplc="04090011">
      <w:start w:val="1"/>
      <w:numFmt w:val="decimal"/>
      <w:lvlText w:val="%1)"/>
      <w:lvlJc w:val="left"/>
      <w:pPr>
        <w:tabs>
          <w:tab w:val="num" w:pos="720"/>
        </w:tabs>
        <w:ind w:left="720" w:hanging="360"/>
      </w:pPr>
      <w:rPr>
        <w:rFonts w:hint="default"/>
      </w:rPr>
    </w:lvl>
    <w:lvl w:ilvl="1" w:tplc="8ADA4D9C" w:tentative="1">
      <w:start w:val="1"/>
      <w:numFmt w:val="lowerLetter"/>
      <w:lvlText w:val="%2."/>
      <w:lvlJc w:val="left"/>
      <w:pPr>
        <w:tabs>
          <w:tab w:val="num" w:pos="1440"/>
        </w:tabs>
        <w:ind w:left="1440" w:hanging="360"/>
      </w:pPr>
      <w:rPr>
        <w:rFonts w:cs="Times New Roman"/>
      </w:rPr>
    </w:lvl>
    <w:lvl w:ilvl="2" w:tplc="F2AA1DDE" w:tentative="1">
      <w:start w:val="1"/>
      <w:numFmt w:val="lowerRoman"/>
      <w:lvlText w:val="%3."/>
      <w:lvlJc w:val="right"/>
      <w:pPr>
        <w:tabs>
          <w:tab w:val="num" w:pos="2160"/>
        </w:tabs>
        <w:ind w:left="2160" w:hanging="180"/>
      </w:pPr>
      <w:rPr>
        <w:rFonts w:cs="Times New Roman"/>
      </w:rPr>
    </w:lvl>
    <w:lvl w:ilvl="3" w:tplc="334692D8" w:tentative="1">
      <w:start w:val="1"/>
      <w:numFmt w:val="decimal"/>
      <w:lvlText w:val="%4."/>
      <w:lvlJc w:val="left"/>
      <w:pPr>
        <w:tabs>
          <w:tab w:val="num" w:pos="2880"/>
        </w:tabs>
        <w:ind w:left="2880" w:hanging="360"/>
      </w:pPr>
      <w:rPr>
        <w:rFonts w:cs="Times New Roman"/>
      </w:rPr>
    </w:lvl>
    <w:lvl w:ilvl="4" w:tplc="D02CE21A" w:tentative="1">
      <w:start w:val="1"/>
      <w:numFmt w:val="lowerLetter"/>
      <w:lvlText w:val="%5."/>
      <w:lvlJc w:val="left"/>
      <w:pPr>
        <w:tabs>
          <w:tab w:val="num" w:pos="3600"/>
        </w:tabs>
        <w:ind w:left="3600" w:hanging="360"/>
      </w:pPr>
      <w:rPr>
        <w:rFonts w:cs="Times New Roman"/>
      </w:rPr>
    </w:lvl>
    <w:lvl w:ilvl="5" w:tplc="992E0652" w:tentative="1">
      <w:start w:val="1"/>
      <w:numFmt w:val="lowerRoman"/>
      <w:lvlText w:val="%6."/>
      <w:lvlJc w:val="right"/>
      <w:pPr>
        <w:tabs>
          <w:tab w:val="num" w:pos="4320"/>
        </w:tabs>
        <w:ind w:left="4320" w:hanging="180"/>
      </w:pPr>
      <w:rPr>
        <w:rFonts w:cs="Times New Roman"/>
      </w:rPr>
    </w:lvl>
    <w:lvl w:ilvl="6" w:tplc="EB2A565E" w:tentative="1">
      <w:start w:val="1"/>
      <w:numFmt w:val="decimal"/>
      <w:lvlText w:val="%7."/>
      <w:lvlJc w:val="left"/>
      <w:pPr>
        <w:tabs>
          <w:tab w:val="num" w:pos="5040"/>
        </w:tabs>
        <w:ind w:left="5040" w:hanging="360"/>
      </w:pPr>
      <w:rPr>
        <w:rFonts w:cs="Times New Roman"/>
      </w:rPr>
    </w:lvl>
    <w:lvl w:ilvl="7" w:tplc="CB9A5B62" w:tentative="1">
      <w:start w:val="1"/>
      <w:numFmt w:val="lowerLetter"/>
      <w:lvlText w:val="%8."/>
      <w:lvlJc w:val="left"/>
      <w:pPr>
        <w:tabs>
          <w:tab w:val="num" w:pos="5760"/>
        </w:tabs>
        <w:ind w:left="5760" w:hanging="360"/>
      </w:pPr>
      <w:rPr>
        <w:rFonts w:cs="Times New Roman"/>
      </w:rPr>
    </w:lvl>
    <w:lvl w:ilvl="8" w:tplc="46020F12" w:tentative="1">
      <w:start w:val="1"/>
      <w:numFmt w:val="lowerRoman"/>
      <w:lvlText w:val="%9."/>
      <w:lvlJc w:val="right"/>
      <w:pPr>
        <w:tabs>
          <w:tab w:val="num" w:pos="6480"/>
        </w:tabs>
        <w:ind w:left="6480" w:hanging="180"/>
      </w:pPr>
      <w:rPr>
        <w:rFonts w:cs="Times New Roman"/>
      </w:rPr>
    </w:lvl>
  </w:abstractNum>
  <w:abstractNum w:abstractNumId="10" w15:restartNumberingAfterBreak="0">
    <w:nsid w:val="0DC57C71"/>
    <w:multiLevelType w:val="multilevel"/>
    <w:tmpl w:val="103AE24C"/>
    <w:lvl w:ilvl="0">
      <w:start w:val="1"/>
      <w:numFmt w:val="decimal"/>
      <w:lvlText w:val="%1)"/>
      <w:lvlJc w:val="left"/>
      <w:pPr>
        <w:tabs>
          <w:tab w:val="num" w:pos="810"/>
        </w:tabs>
        <w:ind w:left="810" w:hanging="360"/>
      </w:pPr>
      <w:rPr>
        <w:rFonts w:hint="default"/>
        <w:b w:val="0"/>
        <w:sz w:val="20"/>
        <w:szCs w:val="20"/>
      </w:rPr>
    </w:lvl>
    <w:lvl w:ilvl="1">
      <w:start w:val="1"/>
      <w:numFmt w:val="lowerLetter"/>
      <w:lvlText w:val="%2."/>
      <w:lvlJc w:val="left"/>
      <w:pPr>
        <w:ind w:left="1470" w:hanging="1020"/>
      </w:pPr>
      <w:rPr>
        <w:rFonts w:cs="Times New Roman" w:hint="default"/>
      </w:rPr>
    </w:lvl>
    <w:lvl w:ilvl="2">
      <w:start w:val="4"/>
      <w:numFmt w:val="decimal"/>
      <w:isLgl/>
      <w:lvlText w:val="%1.%2.%3"/>
      <w:lvlJc w:val="left"/>
      <w:pPr>
        <w:ind w:left="1470" w:hanging="1020"/>
      </w:pPr>
      <w:rPr>
        <w:rFonts w:cs="Times New Roman" w:hint="default"/>
      </w:rPr>
    </w:lvl>
    <w:lvl w:ilvl="3">
      <w:start w:val="2"/>
      <w:numFmt w:val="decimal"/>
      <w:isLgl/>
      <w:lvlText w:val="%1.%2.%3.%4"/>
      <w:lvlJc w:val="left"/>
      <w:pPr>
        <w:ind w:left="1530" w:hanging="1080"/>
      </w:pPr>
      <w:rPr>
        <w:rFonts w:cs="Times New Roman" w:hint="default"/>
      </w:rPr>
    </w:lvl>
    <w:lvl w:ilvl="4">
      <w:start w:val="1"/>
      <w:numFmt w:val="decimal"/>
      <w:isLgl/>
      <w:lvlText w:val="%1.%2.%3.%4.%5"/>
      <w:lvlJc w:val="left"/>
      <w:pPr>
        <w:ind w:left="1890" w:hanging="1440"/>
      </w:pPr>
      <w:rPr>
        <w:rFonts w:cs="Times New Roman" w:hint="default"/>
      </w:rPr>
    </w:lvl>
    <w:lvl w:ilvl="5">
      <w:start w:val="1"/>
      <w:numFmt w:val="decimal"/>
      <w:isLgl/>
      <w:lvlText w:val="%1.%2.%3.%4.%5.%6"/>
      <w:lvlJc w:val="left"/>
      <w:pPr>
        <w:ind w:left="1890" w:hanging="1440"/>
      </w:pPr>
      <w:rPr>
        <w:rFonts w:cs="Times New Roman" w:hint="default"/>
      </w:rPr>
    </w:lvl>
    <w:lvl w:ilvl="6">
      <w:start w:val="1"/>
      <w:numFmt w:val="decimal"/>
      <w:isLgl/>
      <w:lvlText w:val="%1.%2.%3.%4.%5.%6.%7"/>
      <w:lvlJc w:val="left"/>
      <w:pPr>
        <w:ind w:left="2250" w:hanging="1800"/>
      </w:pPr>
      <w:rPr>
        <w:rFonts w:cs="Times New Roman" w:hint="default"/>
      </w:rPr>
    </w:lvl>
    <w:lvl w:ilvl="7">
      <w:start w:val="1"/>
      <w:numFmt w:val="decimal"/>
      <w:isLgl/>
      <w:lvlText w:val="%1.%2.%3.%4.%5.%6.%7.%8"/>
      <w:lvlJc w:val="left"/>
      <w:pPr>
        <w:ind w:left="2610" w:hanging="2160"/>
      </w:pPr>
      <w:rPr>
        <w:rFonts w:cs="Times New Roman" w:hint="default"/>
      </w:rPr>
    </w:lvl>
    <w:lvl w:ilvl="8">
      <w:start w:val="1"/>
      <w:numFmt w:val="decimal"/>
      <w:isLgl/>
      <w:lvlText w:val="%1.%2.%3.%4.%5.%6.%7.%8.%9"/>
      <w:lvlJc w:val="left"/>
      <w:pPr>
        <w:ind w:left="2610" w:hanging="2160"/>
      </w:pPr>
      <w:rPr>
        <w:rFonts w:cs="Times New Roman" w:hint="default"/>
      </w:rPr>
    </w:lvl>
  </w:abstractNum>
  <w:abstractNum w:abstractNumId="11" w15:restartNumberingAfterBreak="0">
    <w:nsid w:val="0E323719"/>
    <w:multiLevelType w:val="multilevel"/>
    <w:tmpl w:val="7820CEC8"/>
    <w:lvl w:ilvl="0">
      <w:start w:val="1"/>
      <w:numFmt w:val="decimal"/>
      <w:lvlText w:val="%1)"/>
      <w:lvlJc w:val="left"/>
      <w:pPr>
        <w:ind w:left="1084" w:hanging="360"/>
      </w:pPr>
      <w:rPr>
        <w:rFonts w:hint="default"/>
        <w:b w:val="0"/>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15:restartNumberingAfterBreak="0">
    <w:nsid w:val="0F086AC2"/>
    <w:multiLevelType w:val="multilevel"/>
    <w:tmpl w:val="E5FE037E"/>
    <w:lvl w:ilvl="0">
      <w:start w:val="1"/>
      <w:numFmt w:val="decimal"/>
      <w:lvlText w:val="%1)"/>
      <w:lvlJc w:val="left"/>
      <w:pPr>
        <w:tabs>
          <w:tab w:val="num" w:pos="810"/>
        </w:tabs>
        <w:ind w:left="810" w:hanging="360"/>
      </w:pPr>
      <w:rPr>
        <w:rFonts w:hint="default"/>
        <w:b w:val="0"/>
        <w:color w:val="auto"/>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15:restartNumberingAfterBreak="0">
    <w:nsid w:val="103F7231"/>
    <w:multiLevelType w:val="hybridMultilevel"/>
    <w:tmpl w:val="7F72DB4E"/>
    <w:lvl w:ilvl="0" w:tplc="04090011">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E348ECC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552A82"/>
    <w:multiLevelType w:val="hybridMultilevel"/>
    <w:tmpl w:val="DF1AA4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30E90"/>
    <w:multiLevelType w:val="hybridMultilevel"/>
    <w:tmpl w:val="B9FA3D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814BE"/>
    <w:multiLevelType w:val="hybridMultilevel"/>
    <w:tmpl w:val="EACA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EB0F4F"/>
    <w:multiLevelType w:val="hybridMultilevel"/>
    <w:tmpl w:val="0F047F6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FD0D7D"/>
    <w:multiLevelType w:val="multilevel"/>
    <w:tmpl w:val="854C35D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B416B1"/>
    <w:multiLevelType w:val="hybridMultilevel"/>
    <w:tmpl w:val="7F5C5A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5B1ADE"/>
    <w:multiLevelType w:val="hybridMultilevel"/>
    <w:tmpl w:val="C868D6CA"/>
    <w:lvl w:ilvl="0" w:tplc="7CE2673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197A1754"/>
    <w:multiLevelType w:val="multilevel"/>
    <w:tmpl w:val="53F67FA2"/>
    <w:lvl w:ilvl="0">
      <w:start w:val="1"/>
      <w:numFmt w:val="decimal"/>
      <w:lvlText w:val="%1)"/>
      <w:lvlJc w:val="left"/>
      <w:pPr>
        <w:tabs>
          <w:tab w:val="num" w:pos="540"/>
        </w:tabs>
        <w:ind w:left="540" w:hanging="360"/>
      </w:pPr>
      <w:rPr>
        <w:rFonts w:hint="default"/>
        <w:b w:val="0"/>
        <w:sz w:val="20"/>
        <w:szCs w:val="20"/>
      </w:rPr>
    </w:lvl>
    <w:lvl w:ilvl="1">
      <w:start w:val="1"/>
      <w:numFmt w:val="lowerLetter"/>
      <w:lvlText w:val="%2."/>
      <w:lvlJc w:val="left"/>
      <w:pPr>
        <w:ind w:left="1470" w:hanging="1020"/>
      </w:pPr>
      <w:rPr>
        <w:rFonts w:cs="Times New Roman" w:hint="default"/>
      </w:rPr>
    </w:lvl>
    <w:lvl w:ilvl="2">
      <w:start w:val="4"/>
      <w:numFmt w:val="decimal"/>
      <w:isLgl/>
      <w:lvlText w:val="%1.%2.%3"/>
      <w:lvlJc w:val="left"/>
      <w:pPr>
        <w:ind w:left="1470" w:hanging="1020"/>
      </w:pPr>
      <w:rPr>
        <w:rFonts w:cs="Times New Roman" w:hint="default"/>
      </w:rPr>
    </w:lvl>
    <w:lvl w:ilvl="3">
      <w:start w:val="2"/>
      <w:numFmt w:val="decimal"/>
      <w:isLgl/>
      <w:lvlText w:val="%1.%2.%3.%4"/>
      <w:lvlJc w:val="left"/>
      <w:pPr>
        <w:ind w:left="1530" w:hanging="1080"/>
      </w:pPr>
      <w:rPr>
        <w:rFonts w:cs="Times New Roman" w:hint="default"/>
      </w:rPr>
    </w:lvl>
    <w:lvl w:ilvl="4">
      <w:start w:val="1"/>
      <w:numFmt w:val="decimal"/>
      <w:isLgl/>
      <w:lvlText w:val="%1.%2.%3.%4.%5"/>
      <w:lvlJc w:val="left"/>
      <w:pPr>
        <w:ind w:left="1890" w:hanging="1440"/>
      </w:pPr>
      <w:rPr>
        <w:rFonts w:cs="Times New Roman" w:hint="default"/>
      </w:rPr>
    </w:lvl>
    <w:lvl w:ilvl="5">
      <w:start w:val="1"/>
      <w:numFmt w:val="decimal"/>
      <w:isLgl/>
      <w:lvlText w:val="%1.%2.%3.%4.%5.%6"/>
      <w:lvlJc w:val="left"/>
      <w:pPr>
        <w:ind w:left="1890" w:hanging="1440"/>
      </w:pPr>
      <w:rPr>
        <w:rFonts w:cs="Times New Roman" w:hint="default"/>
      </w:rPr>
    </w:lvl>
    <w:lvl w:ilvl="6">
      <w:start w:val="1"/>
      <w:numFmt w:val="decimal"/>
      <w:isLgl/>
      <w:lvlText w:val="%1.%2.%3.%4.%5.%6.%7"/>
      <w:lvlJc w:val="left"/>
      <w:pPr>
        <w:ind w:left="2250" w:hanging="1800"/>
      </w:pPr>
      <w:rPr>
        <w:rFonts w:cs="Times New Roman" w:hint="default"/>
      </w:rPr>
    </w:lvl>
    <w:lvl w:ilvl="7">
      <w:start w:val="1"/>
      <w:numFmt w:val="decimal"/>
      <w:isLgl/>
      <w:lvlText w:val="%1.%2.%3.%4.%5.%6.%7.%8"/>
      <w:lvlJc w:val="left"/>
      <w:pPr>
        <w:ind w:left="2610" w:hanging="2160"/>
      </w:pPr>
      <w:rPr>
        <w:rFonts w:cs="Times New Roman" w:hint="default"/>
      </w:rPr>
    </w:lvl>
    <w:lvl w:ilvl="8">
      <w:start w:val="1"/>
      <w:numFmt w:val="decimal"/>
      <w:isLgl/>
      <w:lvlText w:val="%1.%2.%3.%4.%5.%6.%7.%8.%9"/>
      <w:lvlJc w:val="left"/>
      <w:pPr>
        <w:ind w:left="2610" w:hanging="2160"/>
      </w:pPr>
      <w:rPr>
        <w:rFonts w:cs="Times New Roman" w:hint="default"/>
      </w:rPr>
    </w:lvl>
  </w:abstractNum>
  <w:abstractNum w:abstractNumId="22" w15:restartNumberingAfterBreak="0">
    <w:nsid w:val="1B930BC0"/>
    <w:multiLevelType w:val="hybridMultilevel"/>
    <w:tmpl w:val="C89A3F84"/>
    <w:lvl w:ilvl="0" w:tplc="04090011">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3" w15:restartNumberingAfterBreak="0">
    <w:nsid w:val="1C2B5584"/>
    <w:multiLevelType w:val="hybridMultilevel"/>
    <w:tmpl w:val="E33629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9A61CD"/>
    <w:multiLevelType w:val="hybridMultilevel"/>
    <w:tmpl w:val="95FA3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62D4FEB"/>
    <w:multiLevelType w:val="singleLevel"/>
    <w:tmpl w:val="2926EDAC"/>
    <w:lvl w:ilvl="0">
      <w:start w:val="1"/>
      <w:numFmt w:val="bullet"/>
      <w:pStyle w:val="bi"/>
      <w:lvlText w:val=""/>
      <w:lvlJc w:val="left"/>
      <w:pPr>
        <w:tabs>
          <w:tab w:val="num" w:pos="360"/>
        </w:tabs>
        <w:ind w:left="360" w:hanging="360"/>
      </w:pPr>
      <w:rPr>
        <w:rFonts w:ascii="Symbol" w:hAnsi="Symbol" w:hint="default"/>
      </w:rPr>
    </w:lvl>
  </w:abstractNum>
  <w:abstractNum w:abstractNumId="26" w15:restartNumberingAfterBreak="0">
    <w:nsid w:val="26CF0C2D"/>
    <w:multiLevelType w:val="hybridMultilevel"/>
    <w:tmpl w:val="A3A802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8CC6597"/>
    <w:multiLevelType w:val="hybridMultilevel"/>
    <w:tmpl w:val="2FDA30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8D9442C"/>
    <w:multiLevelType w:val="hybridMultilevel"/>
    <w:tmpl w:val="099E70AE"/>
    <w:lvl w:ilvl="0" w:tplc="598E30D2">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A0622E"/>
    <w:multiLevelType w:val="hybridMultilevel"/>
    <w:tmpl w:val="7A0E0BC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0B55BEE"/>
    <w:multiLevelType w:val="hybridMultilevel"/>
    <w:tmpl w:val="0FF47784"/>
    <w:lvl w:ilvl="0" w:tplc="04090011">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1" w15:restartNumberingAfterBreak="0">
    <w:nsid w:val="318319E0"/>
    <w:multiLevelType w:val="multilevel"/>
    <w:tmpl w:val="C554BDF4"/>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2" w15:restartNumberingAfterBreak="0">
    <w:nsid w:val="339D5E67"/>
    <w:multiLevelType w:val="hybridMultilevel"/>
    <w:tmpl w:val="CF1C23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C12146"/>
    <w:multiLevelType w:val="hybridMultilevel"/>
    <w:tmpl w:val="5228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097433"/>
    <w:multiLevelType w:val="hybridMultilevel"/>
    <w:tmpl w:val="D1FC4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369656B9"/>
    <w:multiLevelType w:val="multilevel"/>
    <w:tmpl w:val="3E442F88"/>
    <w:styleLink w:val="LFO25"/>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6D36B21"/>
    <w:multiLevelType w:val="hybridMultilevel"/>
    <w:tmpl w:val="49E4FD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DB11C5"/>
    <w:multiLevelType w:val="hybridMultilevel"/>
    <w:tmpl w:val="A756F7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2F03CE"/>
    <w:multiLevelType w:val="multilevel"/>
    <w:tmpl w:val="40BA9AD0"/>
    <w:lvl w:ilvl="0">
      <w:start w:val="1"/>
      <w:numFmt w:val="decimal"/>
      <w:lvlText w:val="%1)"/>
      <w:lvlJc w:val="left"/>
      <w:pPr>
        <w:ind w:left="2250" w:hanging="360"/>
      </w:pPr>
      <w:rPr>
        <w:rFonts w:hint="default"/>
        <w:b w:val="0"/>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9" w15:restartNumberingAfterBreak="0">
    <w:nsid w:val="39693108"/>
    <w:multiLevelType w:val="hybridMultilevel"/>
    <w:tmpl w:val="5B7C30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E65EC4"/>
    <w:multiLevelType w:val="hybridMultilevel"/>
    <w:tmpl w:val="A9F6D3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3670D5"/>
    <w:multiLevelType w:val="multilevel"/>
    <w:tmpl w:val="6AD261F8"/>
    <w:lvl w:ilvl="0">
      <w:start w:val="1"/>
      <w:numFmt w:val="decimal"/>
      <w:lvlText w:val="%1)"/>
      <w:lvlJc w:val="left"/>
      <w:pPr>
        <w:tabs>
          <w:tab w:val="num" w:pos="720"/>
        </w:tabs>
        <w:ind w:left="720" w:hanging="360"/>
      </w:pPr>
      <w:rPr>
        <w:rFonts w:hint="default"/>
        <w:b w:val="0"/>
        <w:color w:val="000000" w:themeColor="text1"/>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2" w15:restartNumberingAfterBreak="0">
    <w:nsid w:val="3AE05765"/>
    <w:multiLevelType w:val="hybridMultilevel"/>
    <w:tmpl w:val="A2BA649A"/>
    <w:lvl w:ilvl="0" w:tplc="FFFFFFFF">
      <w:start w:val="1"/>
      <w:numFmt w:val="decimal"/>
      <w:lvlText w:val="%1)"/>
      <w:lvlJc w:val="left"/>
      <w:pPr>
        <w:ind w:left="36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3B265FCE"/>
    <w:multiLevelType w:val="hybridMultilevel"/>
    <w:tmpl w:val="5C72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5613A1"/>
    <w:multiLevelType w:val="hybridMultilevel"/>
    <w:tmpl w:val="8916B3A2"/>
    <w:lvl w:ilvl="0" w:tplc="EB1E84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6E7B70"/>
    <w:multiLevelType w:val="hybridMultilevel"/>
    <w:tmpl w:val="1ABAC53A"/>
    <w:lvl w:ilvl="0" w:tplc="E174ABB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2E0D37"/>
    <w:multiLevelType w:val="hybridMultilevel"/>
    <w:tmpl w:val="48205E3C"/>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15:restartNumberingAfterBreak="0">
    <w:nsid w:val="427C49C4"/>
    <w:multiLevelType w:val="hybridMultilevel"/>
    <w:tmpl w:val="40F2E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380A83"/>
    <w:multiLevelType w:val="hybridMultilevel"/>
    <w:tmpl w:val="0B5ADD2A"/>
    <w:lvl w:ilvl="0" w:tplc="0409001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rPr>
        <w:rFonts w:cs="Times New Roman" w:hint="default"/>
      </w:rPr>
    </w:lvl>
    <w:lvl w:ilvl="2" w:tplc="04090005">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6651C2"/>
    <w:multiLevelType w:val="hybridMultilevel"/>
    <w:tmpl w:val="DE3C3E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6BB2606"/>
    <w:multiLevelType w:val="hybridMultilevel"/>
    <w:tmpl w:val="D9D8EDCA"/>
    <w:lvl w:ilvl="0" w:tplc="E4529C8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746D93"/>
    <w:multiLevelType w:val="multilevel"/>
    <w:tmpl w:val="D584BBD4"/>
    <w:lvl w:ilvl="0">
      <w:start w:val="1"/>
      <w:numFmt w:val="decimal"/>
      <w:lvlText w:val="%1)"/>
      <w:lvlJc w:val="left"/>
      <w:pPr>
        <w:tabs>
          <w:tab w:val="num" w:pos="810"/>
        </w:tabs>
        <w:ind w:left="810" w:hanging="360"/>
      </w:pPr>
      <w:rPr>
        <w:rFonts w:hint="default"/>
        <w:b w:val="0"/>
        <w:color w:val="auto"/>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2" w15:restartNumberingAfterBreak="0">
    <w:nsid w:val="47AA0791"/>
    <w:multiLevelType w:val="hybridMultilevel"/>
    <w:tmpl w:val="AA3069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30244E"/>
    <w:multiLevelType w:val="hybridMultilevel"/>
    <w:tmpl w:val="E660788C"/>
    <w:lvl w:ilvl="0" w:tplc="DCCAE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626E34"/>
    <w:multiLevelType w:val="hybridMultilevel"/>
    <w:tmpl w:val="0CB4D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F052E7"/>
    <w:multiLevelType w:val="multilevel"/>
    <w:tmpl w:val="7820CEC8"/>
    <w:lvl w:ilvl="0">
      <w:start w:val="1"/>
      <w:numFmt w:val="decimal"/>
      <w:lvlText w:val="%1)"/>
      <w:lvlJc w:val="left"/>
      <w:pPr>
        <w:ind w:left="1084" w:hanging="360"/>
      </w:pPr>
      <w:rPr>
        <w:rFonts w:hint="default"/>
        <w:b w:val="0"/>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6" w15:restartNumberingAfterBreak="0">
    <w:nsid w:val="4CA475BA"/>
    <w:multiLevelType w:val="hybridMultilevel"/>
    <w:tmpl w:val="2228CA66"/>
    <w:lvl w:ilvl="0" w:tplc="04090011">
      <w:start w:val="1"/>
      <w:numFmt w:val="decimal"/>
      <w:lvlText w:val="%1)"/>
      <w:lvlJc w:val="left"/>
      <w:pPr>
        <w:ind w:left="1584" w:hanging="15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B25FF4"/>
    <w:multiLevelType w:val="hybridMultilevel"/>
    <w:tmpl w:val="9D02F6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F216F92"/>
    <w:multiLevelType w:val="hybridMultilevel"/>
    <w:tmpl w:val="1200ED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AF7429"/>
    <w:multiLevelType w:val="hybridMultilevel"/>
    <w:tmpl w:val="32484082"/>
    <w:lvl w:ilvl="0" w:tplc="290E888A">
      <w:start w:val="1"/>
      <w:numFmt w:val="decimal"/>
      <w:pStyle w:val="Source1"/>
      <w:lvlText w:val="%1)"/>
      <w:lvlJc w:val="left"/>
      <w:pPr>
        <w:ind w:left="54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36C0C36"/>
    <w:multiLevelType w:val="hybridMultilevel"/>
    <w:tmpl w:val="3FA294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530D9F"/>
    <w:multiLevelType w:val="hybridMultilevel"/>
    <w:tmpl w:val="9F262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FA1F82"/>
    <w:multiLevelType w:val="hybridMultilevel"/>
    <w:tmpl w:val="DE3C3E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023CCE"/>
    <w:multiLevelType w:val="hybridMultilevel"/>
    <w:tmpl w:val="B65A43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824E40"/>
    <w:multiLevelType w:val="multilevel"/>
    <w:tmpl w:val="3650FFE2"/>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5" w15:restartNumberingAfterBreak="0">
    <w:nsid w:val="5B9C3225"/>
    <w:multiLevelType w:val="hybridMultilevel"/>
    <w:tmpl w:val="E332B1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B9D6868"/>
    <w:multiLevelType w:val="hybridMultilevel"/>
    <w:tmpl w:val="3738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BE2B8E"/>
    <w:multiLevelType w:val="hybridMultilevel"/>
    <w:tmpl w:val="5D6A1D8A"/>
    <w:lvl w:ilvl="0" w:tplc="2D2C6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97543E"/>
    <w:multiLevelType w:val="hybridMultilevel"/>
    <w:tmpl w:val="31ACF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1F3ECC"/>
    <w:multiLevelType w:val="multilevel"/>
    <w:tmpl w:val="7D90832C"/>
    <w:lvl w:ilvl="0">
      <w:start w:val="1"/>
      <w:numFmt w:val="decimal"/>
      <w:pStyle w:val="NRELHead01Numbered"/>
      <w:lvlText w:val="%1"/>
      <w:lvlJc w:val="left"/>
      <w:pPr>
        <w:tabs>
          <w:tab w:val="num" w:pos="432"/>
        </w:tabs>
        <w:ind w:left="432" w:hanging="432"/>
      </w:pPr>
      <w:rPr>
        <w:rFonts w:cs="Times New Roman" w:hint="default"/>
      </w:rPr>
    </w:lvl>
    <w:lvl w:ilvl="1">
      <w:start w:val="1"/>
      <w:numFmt w:val="decimal"/>
      <w:pStyle w:val="NRELHead02Numbered"/>
      <w:lvlText w:val="%1.%2"/>
      <w:lvlJc w:val="left"/>
      <w:pPr>
        <w:tabs>
          <w:tab w:val="num" w:pos="576"/>
        </w:tabs>
        <w:ind w:left="576" w:hanging="576"/>
      </w:pPr>
      <w:rPr>
        <w:rFonts w:cs="Times New Roman" w:hint="default"/>
      </w:rPr>
    </w:lvl>
    <w:lvl w:ilvl="2">
      <w:start w:val="1"/>
      <w:numFmt w:val="decimal"/>
      <w:pStyle w:val="NRELHead03Numbered"/>
      <w:lvlText w:val="%1.%2.%3"/>
      <w:lvlJc w:val="left"/>
      <w:pPr>
        <w:tabs>
          <w:tab w:val="num" w:pos="720"/>
        </w:tabs>
        <w:ind w:left="720" w:hanging="720"/>
      </w:pPr>
      <w:rPr>
        <w:rFonts w:cs="Times New Roman" w:hint="default"/>
      </w:rPr>
    </w:lvl>
    <w:lvl w:ilvl="3">
      <w:start w:val="1"/>
      <w:numFmt w:val="decimal"/>
      <w:pStyle w:val="NRELHead04Numbered"/>
      <w:lvlText w:val="%1.%2.%3.%4"/>
      <w:lvlJc w:val="left"/>
      <w:pPr>
        <w:tabs>
          <w:tab w:val="num" w:pos="864"/>
        </w:tabs>
        <w:ind w:left="864" w:hanging="864"/>
      </w:pPr>
      <w:rPr>
        <w:rFonts w:cs="Times New Roman" w:hint="default"/>
      </w:rPr>
    </w:lvl>
    <w:lvl w:ilvl="4">
      <w:start w:val="1"/>
      <w:numFmt w:val="decimal"/>
      <w:pStyle w:val="NRELHead05Numbered"/>
      <w:lvlText w:val="%1.%2.%3.%4.%5"/>
      <w:lvlJc w:val="left"/>
      <w:pPr>
        <w:tabs>
          <w:tab w:val="num" w:pos="1008"/>
        </w:tabs>
        <w:ind w:left="1008" w:hanging="1008"/>
      </w:pPr>
      <w:rPr>
        <w:rFonts w:cs="Times New Roman" w:hint="default"/>
      </w:rPr>
    </w:lvl>
    <w:lvl w:ilvl="5">
      <w:start w:val="1"/>
      <w:numFmt w:val="decimal"/>
      <w:pStyle w:val="NRELHead06Numbered"/>
      <w:lvlText w:val="%1.%2.%3.%4.%5.%6"/>
      <w:lvlJc w:val="left"/>
      <w:pPr>
        <w:tabs>
          <w:tab w:val="num" w:pos="1152"/>
        </w:tabs>
        <w:ind w:left="1152" w:hanging="1152"/>
      </w:pPr>
      <w:rPr>
        <w:rFonts w:cs="Times New Roman" w:hint="default"/>
      </w:rPr>
    </w:lvl>
    <w:lvl w:ilvl="6">
      <w:start w:val="1"/>
      <w:numFmt w:val="decimal"/>
      <w:pStyle w:val="NRELHead07Numbered"/>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0" w15:restartNumberingAfterBreak="0">
    <w:nsid w:val="681A7D6F"/>
    <w:multiLevelType w:val="hybridMultilevel"/>
    <w:tmpl w:val="DA2089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9453E3F"/>
    <w:multiLevelType w:val="hybridMultilevel"/>
    <w:tmpl w:val="6246A6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F42D11"/>
    <w:multiLevelType w:val="hybridMultilevel"/>
    <w:tmpl w:val="78583F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3" w15:restartNumberingAfterBreak="0">
    <w:nsid w:val="6EDB187F"/>
    <w:multiLevelType w:val="hybridMultilevel"/>
    <w:tmpl w:val="37565240"/>
    <w:lvl w:ilvl="0" w:tplc="BA46A88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747BD1"/>
    <w:multiLevelType w:val="hybridMultilevel"/>
    <w:tmpl w:val="C0868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2FC05E1"/>
    <w:multiLevelType w:val="hybridMultilevel"/>
    <w:tmpl w:val="4B44D5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AAC6CEE"/>
    <w:multiLevelType w:val="hybridMultilevel"/>
    <w:tmpl w:val="43241730"/>
    <w:lvl w:ilvl="0" w:tplc="DF123314">
      <w:start w:val="1"/>
      <w:numFmt w:val="decimal"/>
      <w:pStyle w:val="Source"/>
      <w:lvlText w:val="%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B6A61D2"/>
    <w:multiLevelType w:val="hybridMultilevel"/>
    <w:tmpl w:val="DB98FC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0621224">
    <w:abstractNumId w:val="1"/>
  </w:num>
  <w:num w:numId="2" w16cid:durableId="676274819">
    <w:abstractNumId w:val="25"/>
  </w:num>
  <w:num w:numId="3" w16cid:durableId="1978027149">
    <w:abstractNumId w:val="69"/>
  </w:num>
  <w:num w:numId="4" w16cid:durableId="913398492">
    <w:abstractNumId w:val="8"/>
  </w:num>
  <w:num w:numId="5" w16cid:durableId="2136827396">
    <w:abstractNumId w:val="33"/>
  </w:num>
  <w:num w:numId="6" w16cid:durableId="112214112">
    <w:abstractNumId w:val="73"/>
  </w:num>
  <w:num w:numId="7" w16cid:durableId="1021248416">
    <w:abstractNumId w:val="58"/>
  </w:num>
  <w:num w:numId="8" w16cid:durableId="1182860812">
    <w:abstractNumId w:val="66"/>
  </w:num>
  <w:num w:numId="9" w16cid:durableId="769199924">
    <w:abstractNumId w:val="37"/>
  </w:num>
  <w:num w:numId="10" w16cid:durableId="564225831">
    <w:abstractNumId w:val="36"/>
  </w:num>
  <w:num w:numId="11" w16cid:durableId="1300450828">
    <w:abstractNumId w:val="22"/>
  </w:num>
  <w:num w:numId="12" w16cid:durableId="850414664">
    <w:abstractNumId w:val="48"/>
  </w:num>
  <w:num w:numId="13" w16cid:durableId="478113995">
    <w:abstractNumId w:val="13"/>
  </w:num>
  <w:num w:numId="14" w16cid:durableId="556746163">
    <w:abstractNumId w:val="28"/>
  </w:num>
  <w:num w:numId="15" w16cid:durableId="580288200">
    <w:abstractNumId w:val="54"/>
  </w:num>
  <w:num w:numId="16" w16cid:durableId="7490141">
    <w:abstractNumId w:val="71"/>
  </w:num>
  <w:num w:numId="17" w16cid:durableId="1407066526">
    <w:abstractNumId w:val="63"/>
  </w:num>
  <w:num w:numId="18" w16cid:durableId="1932548199">
    <w:abstractNumId w:val="74"/>
  </w:num>
  <w:num w:numId="19" w16cid:durableId="1490093673">
    <w:abstractNumId w:val="57"/>
  </w:num>
  <w:num w:numId="20" w16cid:durableId="1891257947">
    <w:abstractNumId w:val="39"/>
  </w:num>
  <w:num w:numId="21" w16cid:durableId="1402558145">
    <w:abstractNumId w:val="27"/>
  </w:num>
  <w:num w:numId="22" w16cid:durableId="2140881186">
    <w:abstractNumId w:val="50"/>
  </w:num>
  <w:num w:numId="23" w16cid:durableId="323551448">
    <w:abstractNumId w:val="59"/>
  </w:num>
  <w:num w:numId="24" w16cid:durableId="986133228">
    <w:abstractNumId w:val="9"/>
  </w:num>
  <w:num w:numId="25" w16cid:durableId="887061740">
    <w:abstractNumId w:val="6"/>
  </w:num>
  <w:num w:numId="26" w16cid:durableId="1802573978">
    <w:abstractNumId w:val="68"/>
  </w:num>
  <w:num w:numId="27" w16cid:durableId="164515883">
    <w:abstractNumId w:val="14"/>
  </w:num>
  <w:num w:numId="28" w16cid:durableId="696080881">
    <w:abstractNumId w:val="41"/>
  </w:num>
  <w:num w:numId="29" w16cid:durableId="46053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4777968">
    <w:abstractNumId w:val="72"/>
  </w:num>
  <w:num w:numId="31" w16cid:durableId="1702706446">
    <w:abstractNumId w:val="35"/>
  </w:num>
  <w:num w:numId="32" w16cid:durableId="2015108701">
    <w:abstractNumId w:val="52"/>
  </w:num>
  <w:num w:numId="33" w16cid:durableId="950743401">
    <w:abstractNumId w:val="10"/>
  </w:num>
  <w:num w:numId="34" w16cid:durableId="800804475">
    <w:abstractNumId w:val="15"/>
  </w:num>
  <w:num w:numId="35" w16cid:durableId="2091656373">
    <w:abstractNumId w:val="65"/>
  </w:num>
  <w:num w:numId="36" w16cid:durableId="730272931">
    <w:abstractNumId w:val="19"/>
  </w:num>
  <w:num w:numId="37" w16cid:durableId="871916266">
    <w:abstractNumId w:val="53"/>
  </w:num>
  <w:num w:numId="38" w16cid:durableId="686636239">
    <w:abstractNumId w:val="11"/>
  </w:num>
  <w:num w:numId="39" w16cid:durableId="1052194396">
    <w:abstractNumId w:val="64"/>
  </w:num>
  <w:num w:numId="40" w16cid:durableId="200944970">
    <w:abstractNumId w:val="76"/>
  </w:num>
  <w:num w:numId="41" w16cid:durableId="1334646062">
    <w:abstractNumId w:val="76"/>
    <w:lvlOverride w:ilvl="0">
      <w:startOverride w:val="1"/>
    </w:lvlOverride>
  </w:num>
  <w:num w:numId="42" w16cid:durableId="2039087563">
    <w:abstractNumId w:val="40"/>
  </w:num>
  <w:num w:numId="43" w16cid:durableId="354574149">
    <w:abstractNumId w:val="31"/>
  </w:num>
  <w:num w:numId="44" w16cid:durableId="1053237241">
    <w:abstractNumId w:val="24"/>
  </w:num>
  <w:num w:numId="45" w16cid:durableId="1495946859">
    <w:abstractNumId w:val="20"/>
  </w:num>
  <w:num w:numId="46" w16cid:durableId="325673890">
    <w:abstractNumId w:val="34"/>
  </w:num>
  <w:num w:numId="47" w16cid:durableId="569076482">
    <w:abstractNumId w:val="42"/>
  </w:num>
  <w:num w:numId="48" w16cid:durableId="32393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7136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26519119">
    <w:abstractNumId w:val="6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78490160">
    <w:abstractNumId w:val="3"/>
  </w:num>
  <w:num w:numId="52" w16cid:durableId="1723404062">
    <w:abstractNumId w:val="23"/>
  </w:num>
  <w:num w:numId="53" w16cid:durableId="2116095990">
    <w:abstractNumId w:val="46"/>
  </w:num>
  <w:num w:numId="54" w16cid:durableId="957447585">
    <w:abstractNumId w:val="75"/>
  </w:num>
  <w:num w:numId="55" w16cid:durableId="242565004">
    <w:abstractNumId w:val="61"/>
  </w:num>
  <w:num w:numId="56" w16cid:durableId="1793206248">
    <w:abstractNumId w:val="30"/>
  </w:num>
  <w:num w:numId="57" w16cid:durableId="1338075076">
    <w:abstractNumId w:val="51"/>
  </w:num>
  <w:num w:numId="58" w16cid:durableId="843974173">
    <w:abstractNumId w:val="12"/>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338187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38164431">
    <w:abstractNumId w:val="4"/>
  </w:num>
  <w:num w:numId="61" w16cid:durableId="1413040243">
    <w:abstractNumId w:val="62"/>
  </w:num>
  <w:num w:numId="62" w16cid:durableId="68430557">
    <w:abstractNumId w:val="2"/>
  </w:num>
  <w:num w:numId="63" w16cid:durableId="1454523008">
    <w:abstractNumId w:val="70"/>
  </w:num>
  <w:num w:numId="64" w16cid:durableId="1233395634">
    <w:abstractNumId w:val="49"/>
  </w:num>
  <w:num w:numId="65" w16cid:durableId="1439252563">
    <w:abstractNumId w:val="60"/>
  </w:num>
  <w:num w:numId="66" w16cid:durableId="1042292896">
    <w:abstractNumId w:val="67"/>
  </w:num>
  <w:num w:numId="67" w16cid:durableId="358775820">
    <w:abstractNumId w:val="44"/>
  </w:num>
  <w:num w:numId="68" w16cid:durableId="762725854">
    <w:abstractNumId w:val="5"/>
  </w:num>
  <w:num w:numId="69" w16cid:durableId="2091851440">
    <w:abstractNumId w:val="18"/>
  </w:num>
  <w:num w:numId="70" w16cid:durableId="270823359">
    <w:abstractNumId w:val="17"/>
  </w:num>
  <w:num w:numId="71" w16cid:durableId="1219049880">
    <w:abstractNumId w:val="26"/>
  </w:num>
  <w:num w:numId="72" w16cid:durableId="1917469524">
    <w:abstractNumId w:val="21"/>
  </w:num>
  <w:num w:numId="73" w16cid:durableId="1625388471">
    <w:abstractNumId w:val="29"/>
  </w:num>
  <w:num w:numId="74" w16cid:durableId="1721974900">
    <w:abstractNumId w:val="7"/>
  </w:num>
  <w:num w:numId="75" w16cid:durableId="790561927">
    <w:abstractNumId w:val="16"/>
  </w:num>
  <w:num w:numId="76" w16cid:durableId="779958164">
    <w:abstractNumId w:val="32"/>
  </w:num>
  <w:num w:numId="77" w16cid:durableId="1572157817">
    <w:abstractNumId w:val="77"/>
  </w:num>
  <w:num w:numId="78" w16cid:durableId="1676683480">
    <w:abstractNumId w:val="45"/>
  </w:num>
  <w:num w:numId="79" w16cid:durableId="1160122006">
    <w:abstractNumId w:val="38"/>
  </w:num>
  <w:num w:numId="80" w16cid:durableId="1404182271">
    <w:abstractNumId w:val="55"/>
  </w:num>
  <w:num w:numId="81" w16cid:durableId="186604354">
    <w:abstractNumId w:val="43"/>
  </w:num>
  <w:num w:numId="82" w16cid:durableId="258491258">
    <w:abstractNumId w:val="5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1tTSyNDS3MDe0MDRW0lEKTi0uzszPAykwqwUAA04EdywAAAA="/>
  </w:docVars>
  <w:rsids>
    <w:rsidRoot w:val="00FA5174"/>
    <w:rsid w:val="00000D11"/>
    <w:rsid w:val="00000DCC"/>
    <w:rsid w:val="00001094"/>
    <w:rsid w:val="000014F8"/>
    <w:rsid w:val="0000305C"/>
    <w:rsid w:val="00003664"/>
    <w:rsid w:val="0000372F"/>
    <w:rsid w:val="00004712"/>
    <w:rsid w:val="000049C3"/>
    <w:rsid w:val="00004B1D"/>
    <w:rsid w:val="00005C0D"/>
    <w:rsid w:val="00005EDA"/>
    <w:rsid w:val="000065E1"/>
    <w:rsid w:val="00006A09"/>
    <w:rsid w:val="00010AEE"/>
    <w:rsid w:val="00011561"/>
    <w:rsid w:val="00011733"/>
    <w:rsid w:val="0001215C"/>
    <w:rsid w:val="000129A6"/>
    <w:rsid w:val="00013B8B"/>
    <w:rsid w:val="00013F6C"/>
    <w:rsid w:val="0001434D"/>
    <w:rsid w:val="00014F7C"/>
    <w:rsid w:val="00015D56"/>
    <w:rsid w:val="000160E9"/>
    <w:rsid w:val="000161F6"/>
    <w:rsid w:val="000169B7"/>
    <w:rsid w:val="00017104"/>
    <w:rsid w:val="00020087"/>
    <w:rsid w:val="000200FC"/>
    <w:rsid w:val="000203EB"/>
    <w:rsid w:val="000209A6"/>
    <w:rsid w:val="0002255E"/>
    <w:rsid w:val="000226DD"/>
    <w:rsid w:val="00023A96"/>
    <w:rsid w:val="00024B76"/>
    <w:rsid w:val="000251B0"/>
    <w:rsid w:val="000252B4"/>
    <w:rsid w:val="00025452"/>
    <w:rsid w:val="00026520"/>
    <w:rsid w:val="00026951"/>
    <w:rsid w:val="0002752F"/>
    <w:rsid w:val="000279C6"/>
    <w:rsid w:val="000279CE"/>
    <w:rsid w:val="00027C0F"/>
    <w:rsid w:val="000327C3"/>
    <w:rsid w:val="000329E5"/>
    <w:rsid w:val="00034116"/>
    <w:rsid w:val="0003673A"/>
    <w:rsid w:val="0003740A"/>
    <w:rsid w:val="000407B6"/>
    <w:rsid w:val="00040806"/>
    <w:rsid w:val="00040C71"/>
    <w:rsid w:val="00041D2C"/>
    <w:rsid w:val="00043C21"/>
    <w:rsid w:val="00043EE7"/>
    <w:rsid w:val="00044100"/>
    <w:rsid w:val="00044521"/>
    <w:rsid w:val="00044934"/>
    <w:rsid w:val="00044EFF"/>
    <w:rsid w:val="00045A65"/>
    <w:rsid w:val="0004673D"/>
    <w:rsid w:val="00050537"/>
    <w:rsid w:val="0005178D"/>
    <w:rsid w:val="000518A8"/>
    <w:rsid w:val="00053566"/>
    <w:rsid w:val="000548B4"/>
    <w:rsid w:val="00054938"/>
    <w:rsid w:val="00056336"/>
    <w:rsid w:val="00056601"/>
    <w:rsid w:val="00057202"/>
    <w:rsid w:val="000576C3"/>
    <w:rsid w:val="00057B56"/>
    <w:rsid w:val="00057E0C"/>
    <w:rsid w:val="00060CC6"/>
    <w:rsid w:val="00061FA6"/>
    <w:rsid w:val="000629D2"/>
    <w:rsid w:val="00063463"/>
    <w:rsid w:val="0006364B"/>
    <w:rsid w:val="00063714"/>
    <w:rsid w:val="000644D6"/>
    <w:rsid w:val="00064502"/>
    <w:rsid w:val="00064672"/>
    <w:rsid w:val="00064702"/>
    <w:rsid w:val="00065E02"/>
    <w:rsid w:val="0006652B"/>
    <w:rsid w:val="00066FCA"/>
    <w:rsid w:val="00071597"/>
    <w:rsid w:val="00071DA4"/>
    <w:rsid w:val="000741EB"/>
    <w:rsid w:val="000744E2"/>
    <w:rsid w:val="00074C62"/>
    <w:rsid w:val="00075F4E"/>
    <w:rsid w:val="00077163"/>
    <w:rsid w:val="00077EF0"/>
    <w:rsid w:val="00080DA7"/>
    <w:rsid w:val="0008156D"/>
    <w:rsid w:val="00081A6E"/>
    <w:rsid w:val="000829F6"/>
    <w:rsid w:val="00083176"/>
    <w:rsid w:val="00084651"/>
    <w:rsid w:val="00084E5D"/>
    <w:rsid w:val="000855D7"/>
    <w:rsid w:val="00085718"/>
    <w:rsid w:val="00085978"/>
    <w:rsid w:val="00087F18"/>
    <w:rsid w:val="00090A4D"/>
    <w:rsid w:val="000914B0"/>
    <w:rsid w:val="00092A5D"/>
    <w:rsid w:val="000934DA"/>
    <w:rsid w:val="00093722"/>
    <w:rsid w:val="00094040"/>
    <w:rsid w:val="0009695B"/>
    <w:rsid w:val="0009701D"/>
    <w:rsid w:val="000971A1"/>
    <w:rsid w:val="000A0614"/>
    <w:rsid w:val="000A14F3"/>
    <w:rsid w:val="000A248A"/>
    <w:rsid w:val="000A2686"/>
    <w:rsid w:val="000A2F1A"/>
    <w:rsid w:val="000A335E"/>
    <w:rsid w:val="000A3E75"/>
    <w:rsid w:val="000A3EFC"/>
    <w:rsid w:val="000A46DF"/>
    <w:rsid w:val="000A4B68"/>
    <w:rsid w:val="000A4B9F"/>
    <w:rsid w:val="000A63F7"/>
    <w:rsid w:val="000A68C7"/>
    <w:rsid w:val="000B0A7F"/>
    <w:rsid w:val="000B20F7"/>
    <w:rsid w:val="000B5A03"/>
    <w:rsid w:val="000B60BE"/>
    <w:rsid w:val="000B6AC6"/>
    <w:rsid w:val="000B6D7D"/>
    <w:rsid w:val="000B6EC4"/>
    <w:rsid w:val="000B7423"/>
    <w:rsid w:val="000B7485"/>
    <w:rsid w:val="000C1EC2"/>
    <w:rsid w:val="000C2240"/>
    <w:rsid w:val="000C38D9"/>
    <w:rsid w:val="000C3964"/>
    <w:rsid w:val="000C3C05"/>
    <w:rsid w:val="000C3C8E"/>
    <w:rsid w:val="000C4710"/>
    <w:rsid w:val="000C77A3"/>
    <w:rsid w:val="000C7C6D"/>
    <w:rsid w:val="000D150C"/>
    <w:rsid w:val="000D1C6D"/>
    <w:rsid w:val="000D1EEB"/>
    <w:rsid w:val="000D1EF5"/>
    <w:rsid w:val="000D2DAE"/>
    <w:rsid w:val="000D30E3"/>
    <w:rsid w:val="000D3868"/>
    <w:rsid w:val="000D486D"/>
    <w:rsid w:val="000D5A70"/>
    <w:rsid w:val="000D658D"/>
    <w:rsid w:val="000D75C9"/>
    <w:rsid w:val="000D7D6E"/>
    <w:rsid w:val="000E05CB"/>
    <w:rsid w:val="000E1196"/>
    <w:rsid w:val="000E223F"/>
    <w:rsid w:val="000E246F"/>
    <w:rsid w:val="000E2E2A"/>
    <w:rsid w:val="000E2FC2"/>
    <w:rsid w:val="000E3ECE"/>
    <w:rsid w:val="000E490C"/>
    <w:rsid w:val="000E61D5"/>
    <w:rsid w:val="000E6233"/>
    <w:rsid w:val="000E6E52"/>
    <w:rsid w:val="000F0A3A"/>
    <w:rsid w:val="000F11B7"/>
    <w:rsid w:val="000F1C0E"/>
    <w:rsid w:val="000F40C8"/>
    <w:rsid w:val="000F46A4"/>
    <w:rsid w:val="000F4D80"/>
    <w:rsid w:val="000F69C8"/>
    <w:rsid w:val="000F6BB9"/>
    <w:rsid w:val="000F6EB6"/>
    <w:rsid w:val="00100685"/>
    <w:rsid w:val="00100DFF"/>
    <w:rsid w:val="0010145C"/>
    <w:rsid w:val="00102920"/>
    <w:rsid w:val="0010292B"/>
    <w:rsid w:val="00103174"/>
    <w:rsid w:val="00104C06"/>
    <w:rsid w:val="00104DBC"/>
    <w:rsid w:val="00107DE4"/>
    <w:rsid w:val="00110108"/>
    <w:rsid w:val="0011026B"/>
    <w:rsid w:val="00110936"/>
    <w:rsid w:val="001109B9"/>
    <w:rsid w:val="00110D39"/>
    <w:rsid w:val="0011240C"/>
    <w:rsid w:val="00113162"/>
    <w:rsid w:val="001141EE"/>
    <w:rsid w:val="00114484"/>
    <w:rsid w:val="00115F79"/>
    <w:rsid w:val="00116859"/>
    <w:rsid w:val="0011700A"/>
    <w:rsid w:val="00117577"/>
    <w:rsid w:val="00120043"/>
    <w:rsid w:val="00120DC1"/>
    <w:rsid w:val="001220E8"/>
    <w:rsid w:val="0012238C"/>
    <w:rsid w:val="00122BCC"/>
    <w:rsid w:val="001246BD"/>
    <w:rsid w:val="00124AE1"/>
    <w:rsid w:val="001258FE"/>
    <w:rsid w:val="00126466"/>
    <w:rsid w:val="00127339"/>
    <w:rsid w:val="00127661"/>
    <w:rsid w:val="00127F5A"/>
    <w:rsid w:val="001307DB"/>
    <w:rsid w:val="00130827"/>
    <w:rsid w:val="001315D8"/>
    <w:rsid w:val="00131AC4"/>
    <w:rsid w:val="00131C48"/>
    <w:rsid w:val="00131D1D"/>
    <w:rsid w:val="0013268F"/>
    <w:rsid w:val="00136080"/>
    <w:rsid w:val="0013660B"/>
    <w:rsid w:val="001371A9"/>
    <w:rsid w:val="001374D9"/>
    <w:rsid w:val="00137582"/>
    <w:rsid w:val="00140749"/>
    <w:rsid w:val="001414E3"/>
    <w:rsid w:val="00143749"/>
    <w:rsid w:val="001437D4"/>
    <w:rsid w:val="00143CC6"/>
    <w:rsid w:val="001440D9"/>
    <w:rsid w:val="00144D20"/>
    <w:rsid w:val="0014555F"/>
    <w:rsid w:val="00145A12"/>
    <w:rsid w:val="00146CD3"/>
    <w:rsid w:val="001478FF"/>
    <w:rsid w:val="0015051E"/>
    <w:rsid w:val="0015191D"/>
    <w:rsid w:val="00152CD6"/>
    <w:rsid w:val="00152E53"/>
    <w:rsid w:val="001543F3"/>
    <w:rsid w:val="00154C5C"/>
    <w:rsid w:val="0015527D"/>
    <w:rsid w:val="0015639A"/>
    <w:rsid w:val="00156A04"/>
    <w:rsid w:val="001570EA"/>
    <w:rsid w:val="00160186"/>
    <w:rsid w:val="0016033C"/>
    <w:rsid w:val="0016138A"/>
    <w:rsid w:val="001615D3"/>
    <w:rsid w:val="00163213"/>
    <w:rsid w:val="001643CD"/>
    <w:rsid w:val="00165D3C"/>
    <w:rsid w:val="00166369"/>
    <w:rsid w:val="00167793"/>
    <w:rsid w:val="00170760"/>
    <w:rsid w:val="00171E01"/>
    <w:rsid w:val="00172011"/>
    <w:rsid w:val="001723B1"/>
    <w:rsid w:val="00174137"/>
    <w:rsid w:val="0017460E"/>
    <w:rsid w:val="00174AA7"/>
    <w:rsid w:val="00175D9D"/>
    <w:rsid w:val="00176656"/>
    <w:rsid w:val="00176A15"/>
    <w:rsid w:val="00176AB0"/>
    <w:rsid w:val="001810E2"/>
    <w:rsid w:val="00181936"/>
    <w:rsid w:val="00181AB2"/>
    <w:rsid w:val="00184078"/>
    <w:rsid w:val="0018551D"/>
    <w:rsid w:val="00185C30"/>
    <w:rsid w:val="00187878"/>
    <w:rsid w:val="00187BC0"/>
    <w:rsid w:val="00187BEC"/>
    <w:rsid w:val="0019098E"/>
    <w:rsid w:val="001909D8"/>
    <w:rsid w:val="001920AA"/>
    <w:rsid w:val="00193FAD"/>
    <w:rsid w:val="001940A3"/>
    <w:rsid w:val="00194172"/>
    <w:rsid w:val="001946FD"/>
    <w:rsid w:val="00195045"/>
    <w:rsid w:val="00195538"/>
    <w:rsid w:val="0019631F"/>
    <w:rsid w:val="0019712C"/>
    <w:rsid w:val="00197141"/>
    <w:rsid w:val="001973AE"/>
    <w:rsid w:val="00197CB0"/>
    <w:rsid w:val="00197D56"/>
    <w:rsid w:val="001A3252"/>
    <w:rsid w:val="001A4E3A"/>
    <w:rsid w:val="001A56DD"/>
    <w:rsid w:val="001A6C7F"/>
    <w:rsid w:val="001A72D0"/>
    <w:rsid w:val="001B023F"/>
    <w:rsid w:val="001B055D"/>
    <w:rsid w:val="001B1064"/>
    <w:rsid w:val="001B1EAD"/>
    <w:rsid w:val="001B2AD7"/>
    <w:rsid w:val="001B2D5B"/>
    <w:rsid w:val="001B2E84"/>
    <w:rsid w:val="001B5DCD"/>
    <w:rsid w:val="001B6131"/>
    <w:rsid w:val="001B6A32"/>
    <w:rsid w:val="001B6F98"/>
    <w:rsid w:val="001C1019"/>
    <w:rsid w:val="001C14A6"/>
    <w:rsid w:val="001C1915"/>
    <w:rsid w:val="001C1C2D"/>
    <w:rsid w:val="001C2707"/>
    <w:rsid w:val="001C2C27"/>
    <w:rsid w:val="001C391F"/>
    <w:rsid w:val="001C4889"/>
    <w:rsid w:val="001C64E7"/>
    <w:rsid w:val="001C6937"/>
    <w:rsid w:val="001C73A4"/>
    <w:rsid w:val="001C7E9D"/>
    <w:rsid w:val="001D0A85"/>
    <w:rsid w:val="001D185D"/>
    <w:rsid w:val="001D2026"/>
    <w:rsid w:val="001D2CC5"/>
    <w:rsid w:val="001D2FDB"/>
    <w:rsid w:val="001D35E0"/>
    <w:rsid w:val="001D4029"/>
    <w:rsid w:val="001D4868"/>
    <w:rsid w:val="001D4D86"/>
    <w:rsid w:val="001D4F1F"/>
    <w:rsid w:val="001D611B"/>
    <w:rsid w:val="001D73B5"/>
    <w:rsid w:val="001D74B9"/>
    <w:rsid w:val="001D7938"/>
    <w:rsid w:val="001D7AD3"/>
    <w:rsid w:val="001E0F65"/>
    <w:rsid w:val="001E1EA0"/>
    <w:rsid w:val="001E2A2D"/>
    <w:rsid w:val="001E419D"/>
    <w:rsid w:val="001E4EE0"/>
    <w:rsid w:val="001E5AA8"/>
    <w:rsid w:val="001E643C"/>
    <w:rsid w:val="001E682C"/>
    <w:rsid w:val="001E7078"/>
    <w:rsid w:val="001E7AF2"/>
    <w:rsid w:val="001F03CF"/>
    <w:rsid w:val="001F05A0"/>
    <w:rsid w:val="001F0856"/>
    <w:rsid w:val="001F126B"/>
    <w:rsid w:val="001F1604"/>
    <w:rsid w:val="001F1CE0"/>
    <w:rsid w:val="001F20EF"/>
    <w:rsid w:val="001F386C"/>
    <w:rsid w:val="001F390A"/>
    <w:rsid w:val="001F3CCB"/>
    <w:rsid w:val="001F4729"/>
    <w:rsid w:val="001F59CB"/>
    <w:rsid w:val="001F641A"/>
    <w:rsid w:val="0020074C"/>
    <w:rsid w:val="00200A61"/>
    <w:rsid w:val="00202DA7"/>
    <w:rsid w:val="00202FDB"/>
    <w:rsid w:val="0020341A"/>
    <w:rsid w:val="002044FA"/>
    <w:rsid w:val="00204540"/>
    <w:rsid w:val="002045F6"/>
    <w:rsid w:val="0020484A"/>
    <w:rsid w:val="00205A57"/>
    <w:rsid w:val="002066E3"/>
    <w:rsid w:val="002068C8"/>
    <w:rsid w:val="0021347B"/>
    <w:rsid w:val="00214149"/>
    <w:rsid w:val="0021448B"/>
    <w:rsid w:val="00214757"/>
    <w:rsid w:val="00214861"/>
    <w:rsid w:val="002155DF"/>
    <w:rsid w:val="00217760"/>
    <w:rsid w:val="002177D8"/>
    <w:rsid w:val="0022206E"/>
    <w:rsid w:val="002226E8"/>
    <w:rsid w:val="00223353"/>
    <w:rsid w:val="0022379D"/>
    <w:rsid w:val="00224010"/>
    <w:rsid w:val="002250D6"/>
    <w:rsid w:val="00226166"/>
    <w:rsid w:val="00226C2F"/>
    <w:rsid w:val="00226D99"/>
    <w:rsid w:val="002308CC"/>
    <w:rsid w:val="00230DC3"/>
    <w:rsid w:val="00231386"/>
    <w:rsid w:val="00231429"/>
    <w:rsid w:val="00232D3D"/>
    <w:rsid w:val="00232E8B"/>
    <w:rsid w:val="002333CC"/>
    <w:rsid w:val="0023351D"/>
    <w:rsid w:val="002338A7"/>
    <w:rsid w:val="00233D8B"/>
    <w:rsid w:val="002348D3"/>
    <w:rsid w:val="00234C6C"/>
    <w:rsid w:val="0023794D"/>
    <w:rsid w:val="002406B5"/>
    <w:rsid w:val="0024184F"/>
    <w:rsid w:val="00242173"/>
    <w:rsid w:val="0024250C"/>
    <w:rsid w:val="00242D94"/>
    <w:rsid w:val="00243C83"/>
    <w:rsid w:val="0024502E"/>
    <w:rsid w:val="002458F6"/>
    <w:rsid w:val="00247776"/>
    <w:rsid w:val="0025025C"/>
    <w:rsid w:val="00250456"/>
    <w:rsid w:val="00250B4D"/>
    <w:rsid w:val="00250F7E"/>
    <w:rsid w:val="00251000"/>
    <w:rsid w:val="00251737"/>
    <w:rsid w:val="002520A5"/>
    <w:rsid w:val="002520D3"/>
    <w:rsid w:val="002529D0"/>
    <w:rsid w:val="00253FE4"/>
    <w:rsid w:val="00254AEA"/>
    <w:rsid w:val="00256066"/>
    <w:rsid w:val="002560BB"/>
    <w:rsid w:val="00256A0C"/>
    <w:rsid w:val="0026025C"/>
    <w:rsid w:val="00260813"/>
    <w:rsid w:val="00261304"/>
    <w:rsid w:val="002614D2"/>
    <w:rsid w:val="00261781"/>
    <w:rsid w:val="00263438"/>
    <w:rsid w:val="00264588"/>
    <w:rsid w:val="002653BB"/>
    <w:rsid w:val="00265F73"/>
    <w:rsid w:val="002665EC"/>
    <w:rsid w:val="00266D74"/>
    <w:rsid w:val="002675A1"/>
    <w:rsid w:val="00267F0F"/>
    <w:rsid w:val="0027086A"/>
    <w:rsid w:val="002709D2"/>
    <w:rsid w:val="0027180C"/>
    <w:rsid w:val="002718D6"/>
    <w:rsid w:val="002725EE"/>
    <w:rsid w:val="0027326E"/>
    <w:rsid w:val="00273DAF"/>
    <w:rsid w:val="00273EEE"/>
    <w:rsid w:val="00274457"/>
    <w:rsid w:val="00274D23"/>
    <w:rsid w:val="00277FB9"/>
    <w:rsid w:val="002805AE"/>
    <w:rsid w:val="00281CF6"/>
    <w:rsid w:val="00281DEF"/>
    <w:rsid w:val="00281F34"/>
    <w:rsid w:val="002843C6"/>
    <w:rsid w:val="002844B5"/>
    <w:rsid w:val="00284703"/>
    <w:rsid w:val="00284829"/>
    <w:rsid w:val="00285865"/>
    <w:rsid w:val="00285900"/>
    <w:rsid w:val="00286FCF"/>
    <w:rsid w:val="00287306"/>
    <w:rsid w:val="00287583"/>
    <w:rsid w:val="00287F15"/>
    <w:rsid w:val="0029157A"/>
    <w:rsid w:val="002917EA"/>
    <w:rsid w:val="00292132"/>
    <w:rsid w:val="00292596"/>
    <w:rsid w:val="002926BB"/>
    <w:rsid w:val="002931D3"/>
    <w:rsid w:val="0029360D"/>
    <w:rsid w:val="00293AFC"/>
    <w:rsid w:val="002941DA"/>
    <w:rsid w:val="002942CE"/>
    <w:rsid w:val="002943F3"/>
    <w:rsid w:val="00294EF6"/>
    <w:rsid w:val="002957DD"/>
    <w:rsid w:val="00296CBD"/>
    <w:rsid w:val="00296E62"/>
    <w:rsid w:val="00297613"/>
    <w:rsid w:val="002A06CB"/>
    <w:rsid w:val="002A08C8"/>
    <w:rsid w:val="002A0ABA"/>
    <w:rsid w:val="002A1226"/>
    <w:rsid w:val="002A12B3"/>
    <w:rsid w:val="002A156C"/>
    <w:rsid w:val="002A1D3D"/>
    <w:rsid w:val="002A4091"/>
    <w:rsid w:val="002A4225"/>
    <w:rsid w:val="002A4918"/>
    <w:rsid w:val="002A52BC"/>
    <w:rsid w:val="002A5578"/>
    <w:rsid w:val="002A6DA9"/>
    <w:rsid w:val="002A72BF"/>
    <w:rsid w:val="002A753E"/>
    <w:rsid w:val="002A79B8"/>
    <w:rsid w:val="002A7DA5"/>
    <w:rsid w:val="002B1D94"/>
    <w:rsid w:val="002B2291"/>
    <w:rsid w:val="002B33D6"/>
    <w:rsid w:val="002B40A1"/>
    <w:rsid w:val="002B48CF"/>
    <w:rsid w:val="002B5255"/>
    <w:rsid w:val="002B5A81"/>
    <w:rsid w:val="002B5AE1"/>
    <w:rsid w:val="002B6A39"/>
    <w:rsid w:val="002B6B9C"/>
    <w:rsid w:val="002B6FE6"/>
    <w:rsid w:val="002B7127"/>
    <w:rsid w:val="002B7269"/>
    <w:rsid w:val="002B7D0B"/>
    <w:rsid w:val="002C00D5"/>
    <w:rsid w:val="002C0430"/>
    <w:rsid w:val="002C04ED"/>
    <w:rsid w:val="002C10C7"/>
    <w:rsid w:val="002C13D4"/>
    <w:rsid w:val="002C1663"/>
    <w:rsid w:val="002C1CDA"/>
    <w:rsid w:val="002C1D03"/>
    <w:rsid w:val="002C1EC4"/>
    <w:rsid w:val="002C272F"/>
    <w:rsid w:val="002C28BB"/>
    <w:rsid w:val="002C2DC1"/>
    <w:rsid w:val="002C2E7C"/>
    <w:rsid w:val="002C5786"/>
    <w:rsid w:val="002C5DFF"/>
    <w:rsid w:val="002C68E5"/>
    <w:rsid w:val="002D009E"/>
    <w:rsid w:val="002D0EE0"/>
    <w:rsid w:val="002D1410"/>
    <w:rsid w:val="002D183D"/>
    <w:rsid w:val="002D304C"/>
    <w:rsid w:val="002D30B4"/>
    <w:rsid w:val="002D5309"/>
    <w:rsid w:val="002D543E"/>
    <w:rsid w:val="002D556C"/>
    <w:rsid w:val="002D5A21"/>
    <w:rsid w:val="002D5A84"/>
    <w:rsid w:val="002D6891"/>
    <w:rsid w:val="002D69BA"/>
    <w:rsid w:val="002D6E19"/>
    <w:rsid w:val="002D7CF5"/>
    <w:rsid w:val="002E093A"/>
    <w:rsid w:val="002E0DAC"/>
    <w:rsid w:val="002E1211"/>
    <w:rsid w:val="002E1D27"/>
    <w:rsid w:val="002E1FC9"/>
    <w:rsid w:val="002E2CF8"/>
    <w:rsid w:val="002E3121"/>
    <w:rsid w:val="002E31A5"/>
    <w:rsid w:val="002E4483"/>
    <w:rsid w:val="002E5274"/>
    <w:rsid w:val="002E72BE"/>
    <w:rsid w:val="002F0074"/>
    <w:rsid w:val="002F1533"/>
    <w:rsid w:val="002F1AA4"/>
    <w:rsid w:val="002F20A5"/>
    <w:rsid w:val="002F2300"/>
    <w:rsid w:val="002F2365"/>
    <w:rsid w:val="002F262E"/>
    <w:rsid w:val="002F29C8"/>
    <w:rsid w:val="002F3A0E"/>
    <w:rsid w:val="002F4C0F"/>
    <w:rsid w:val="002F4CB7"/>
    <w:rsid w:val="002F6083"/>
    <w:rsid w:val="00301745"/>
    <w:rsid w:val="00302555"/>
    <w:rsid w:val="0030563D"/>
    <w:rsid w:val="00307BDB"/>
    <w:rsid w:val="003105FC"/>
    <w:rsid w:val="0031068E"/>
    <w:rsid w:val="003129B1"/>
    <w:rsid w:val="00312C64"/>
    <w:rsid w:val="00312D81"/>
    <w:rsid w:val="00313E1D"/>
    <w:rsid w:val="003146A4"/>
    <w:rsid w:val="00314D67"/>
    <w:rsid w:val="00315D5B"/>
    <w:rsid w:val="00317709"/>
    <w:rsid w:val="00321BE3"/>
    <w:rsid w:val="00321CA8"/>
    <w:rsid w:val="00322C69"/>
    <w:rsid w:val="00323312"/>
    <w:rsid w:val="00324C49"/>
    <w:rsid w:val="003257E3"/>
    <w:rsid w:val="00325AD9"/>
    <w:rsid w:val="003265A4"/>
    <w:rsid w:val="00327098"/>
    <w:rsid w:val="00331DC5"/>
    <w:rsid w:val="00332124"/>
    <w:rsid w:val="003323B1"/>
    <w:rsid w:val="003325C9"/>
    <w:rsid w:val="0033272A"/>
    <w:rsid w:val="0033294D"/>
    <w:rsid w:val="00334747"/>
    <w:rsid w:val="00335362"/>
    <w:rsid w:val="00335531"/>
    <w:rsid w:val="00336E4D"/>
    <w:rsid w:val="00337A91"/>
    <w:rsid w:val="00337B40"/>
    <w:rsid w:val="00340182"/>
    <w:rsid w:val="00340342"/>
    <w:rsid w:val="00340EC7"/>
    <w:rsid w:val="003415BF"/>
    <w:rsid w:val="00341739"/>
    <w:rsid w:val="00341A27"/>
    <w:rsid w:val="00341CDB"/>
    <w:rsid w:val="00342C83"/>
    <w:rsid w:val="0034597F"/>
    <w:rsid w:val="00345D90"/>
    <w:rsid w:val="00346694"/>
    <w:rsid w:val="00347BA5"/>
    <w:rsid w:val="00347E10"/>
    <w:rsid w:val="00350AEA"/>
    <w:rsid w:val="00351CB5"/>
    <w:rsid w:val="003523D7"/>
    <w:rsid w:val="003546CE"/>
    <w:rsid w:val="00354AA1"/>
    <w:rsid w:val="0035532D"/>
    <w:rsid w:val="00355864"/>
    <w:rsid w:val="00355A64"/>
    <w:rsid w:val="00356359"/>
    <w:rsid w:val="003567AF"/>
    <w:rsid w:val="00356D39"/>
    <w:rsid w:val="00357934"/>
    <w:rsid w:val="003579EE"/>
    <w:rsid w:val="00357B07"/>
    <w:rsid w:val="00357E9F"/>
    <w:rsid w:val="00360066"/>
    <w:rsid w:val="00360219"/>
    <w:rsid w:val="003619BB"/>
    <w:rsid w:val="00362519"/>
    <w:rsid w:val="00362808"/>
    <w:rsid w:val="0036391D"/>
    <w:rsid w:val="0036474D"/>
    <w:rsid w:val="003654DE"/>
    <w:rsid w:val="00365D29"/>
    <w:rsid w:val="00371B5A"/>
    <w:rsid w:val="00373FB6"/>
    <w:rsid w:val="00374F66"/>
    <w:rsid w:val="00375B66"/>
    <w:rsid w:val="003765DC"/>
    <w:rsid w:val="0037671D"/>
    <w:rsid w:val="003770F5"/>
    <w:rsid w:val="00377546"/>
    <w:rsid w:val="0037757E"/>
    <w:rsid w:val="00377BA5"/>
    <w:rsid w:val="00380C5B"/>
    <w:rsid w:val="0038264B"/>
    <w:rsid w:val="003831FF"/>
    <w:rsid w:val="00383988"/>
    <w:rsid w:val="00384D95"/>
    <w:rsid w:val="003854F2"/>
    <w:rsid w:val="003857B4"/>
    <w:rsid w:val="0038607B"/>
    <w:rsid w:val="003867F1"/>
    <w:rsid w:val="00386925"/>
    <w:rsid w:val="00387A5F"/>
    <w:rsid w:val="0039000B"/>
    <w:rsid w:val="00390597"/>
    <w:rsid w:val="00390B85"/>
    <w:rsid w:val="00391659"/>
    <w:rsid w:val="00391D41"/>
    <w:rsid w:val="00392531"/>
    <w:rsid w:val="00392807"/>
    <w:rsid w:val="00392EFD"/>
    <w:rsid w:val="0039300D"/>
    <w:rsid w:val="00393B6E"/>
    <w:rsid w:val="00396BB8"/>
    <w:rsid w:val="00397B51"/>
    <w:rsid w:val="003A00A0"/>
    <w:rsid w:val="003A0AD3"/>
    <w:rsid w:val="003A0F83"/>
    <w:rsid w:val="003A1236"/>
    <w:rsid w:val="003A27ED"/>
    <w:rsid w:val="003A3791"/>
    <w:rsid w:val="003A4A38"/>
    <w:rsid w:val="003A5AD0"/>
    <w:rsid w:val="003A7661"/>
    <w:rsid w:val="003B082E"/>
    <w:rsid w:val="003B0A86"/>
    <w:rsid w:val="003B137A"/>
    <w:rsid w:val="003B38FF"/>
    <w:rsid w:val="003B390D"/>
    <w:rsid w:val="003B3F14"/>
    <w:rsid w:val="003B42FF"/>
    <w:rsid w:val="003B51F3"/>
    <w:rsid w:val="003B52D6"/>
    <w:rsid w:val="003B5E04"/>
    <w:rsid w:val="003B62ED"/>
    <w:rsid w:val="003B63BB"/>
    <w:rsid w:val="003B6A18"/>
    <w:rsid w:val="003B7030"/>
    <w:rsid w:val="003C0867"/>
    <w:rsid w:val="003C1C35"/>
    <w:rsid w:val="003C1DE1"/>
    <w:rsid w:val="003C3A23"/>
    <w:rsid w:val="003C481D"/>
    <w:rsid w:val="003C5058"/>
    <w:rsid w:val="003C59BD"/>
    <w:rsid w:val="003C5A7C"/>
    <w:rsid w:val="003C6FD7"/>
    <w:rsid w:val="003C703C"/>
    <w:rsid w:val="003C7502"/>
    <w:rsid w:val="003C7783"/>
    <w:rsid w:val="003D02FB"/>
    <w:rsid w:val="003D0961"/>
    <w:rsid w:val="003D131A"/>
    <w:rsid w:val="003D185A"/>
    <w:rsid w:val="003D1F1A"/>
    <w:rsid w:val="003D217C"/>
    <w:rsid w:val="003D2180"/>
    <w:rsid w:val="003D306E"/>
    <w:rsid w:val="003D3AFA"/>
    <w:rsid w:val="003D55A0"/>
    <w:rsid w:val="003D6F35"/>
    <w:rsid w:val="003D6FD0"/>
    <w:rsid w:val="003D7163"/>
    <w:rsid w:val="003E0009"/>
    <w:rsid w:val="003E042F"/>
    <w:rsid w:val="003E0432"/>
    <w:rsid w:val="003E073D"/>
    <w:rsid w:val="003E083B"/>
    <w:rsid w:val="003E240A"/>
    <w:rsid w:val="003E37E7"/>
    <w:rsid w:val="003E3827"/>
    <w:rsid w:val="003E4804"/>
    <w:rsid w:val="003E5660"/>
    <w:rsid w:val="003E5DCD"/>
    <w:rsid w:val="003E6048"/>
    <w:rsid w:val="003E6142"/>
    <w:rsid w:val="003E62A8"/>
    <w:rsid w:val="003E6930"/>
    <w:rsid w:val="003E6F21"/>
    <w:rsid w:val="003E78A6"/>
    <w:rsid w:val="003E78B4"/>
    <w:rsid w:val="003F07D4"/>
    <w:rsid w:val="003F46A2"/>
    <w:rsid w:val="003F5609"/>
    <w:rsid w:val="003F5B51"/>
    <w:rsid w:val="003F5E4D"/>
    <w:rsid w:val="003F6501"/>
    <w:rsid w:val="003F6FC3"/>
    <w:rsid w:val="003F7503"/>
    <w:rsid w:val="00400599"/>
    <w:rsid w:val="00400A5C"/>
    <w:rsid w:val="00400E23"/>
    <w:rsid w:val="00402250"/>
    <w:rsid w:val="00403183"/>
    <w:rsid w:val="004038B5"/>
    <w:rsid w:val="00403D71"/>
    <w:rsid w:val="00403EEE"/>
    <w:rsid w:val="0040506C"/>
    <w:rsid w:val="004053D7"/>
    <w:rsid w:val="00405578"/>
    <w:rsid w:val="0040646C"/>
    <w:rsid w:val="0040652D"/>
    <w:rsid w:val="00407BB7"/>
    <w:rsid w:val="00410F0D"/>
    <w:rsid w:val="004113A8"/>
    <w:rsid w:val="00412A44"/>
    <w:rsid w:val="00412F5F"/>
    <w:rsid w:val="00413AF6"/>
    <w:rsid w:val="004152C3"/>
    <w:rsid w:val="00415F45"/>
    <w:rsid w:val="004167FA"/>
    <w:rsid w:val="004179A8"/>
    <w:rsid w:val="00417B63"/>
    <w:rsid w:val="00421990"/>
    <w:rsid w:val="00422A8C"/>
    <w:rsid w:val="004232A1"/>
    <w:rsid w:val="00424B63"/>
    <w:rsid w:val="00426412"/>
    <w:rsid w:val="004272C1"/>
    <w:rsid w:val="00427533"/>
    <w:rsid w:val="004276FB"/>
    <w:rsid w:val="004301B9"/>
    <w:rsid w:val="0043125F"/>
    <w:rsid w:val="00432A07"/>
    <w:rsid w:val="00433F6C"/>
    <w:rsid w:val="004354B1"/>
    <w:rsid w:val="0043637D"/>
    <w:rsid w:val="00440045"/>
    <w:rsid w:val="004403BD"/>
    <w:rsid w:val="0044041B"/>
    <w:rsid w:val="00440BE4"/>
    <w:rsid w:val="0044271C"/>
    <w:rsid w:val="004428EA"/>
    <w:rsid w:val="00442FD4"/>
    <w:rsid w:val="00444381"/>
    <w:rsid w:val="00444AB9"/>
    <w:rsid w:val="00446992"/>
    <w:rsid w:val="0044764B"/>
    <w:rsid w:val="00447ADD"/>
    <w:rsid w:val="004501CE"/>
    <w:rsid w:val="0045079A"/>
    <w:rsid w:val="00451C05"/>
    <w:rsid w:val="00453135"/>
    <w:rsid w:val="0045320A"/>
    <w:rsid w:val="0045521F"/>
    <w:rsid w:val="004569B8"/>
    <w:rsid w:val="00456C9D"/>
    <w:rsid w:val="004600B6"/>
    <w:rsid w:val="004601CA"/>
    <w:rsid w:val="00460857"/>
    <w:rsid w:val="004609E7"/>
    <w:rsid w:val="00461422"/>
    <w:rsid w:val="00461722"/>
    <w:rsid w:val="0046176A"/>
    <w:rsid w:val="00461CA1"/>
    <w:rsid w:val="00462D69"/>
    <w:rsid w:val="00462D97"/>
    <w:rsid w:val="004637D1"/>
    <w:rsid w:val="00463F16"/>
    <w:rsid w:val="0046415D"/>
    <w:rsid w:val="004647A6"/>
    <w:rsid w:val="00464FC0"/>
    <w:rsid w:val="00466915"/>
    <w:rsid w:val="00466A40"/>
    <w:rsid w:val="0046700A"/>
    <w:rsid w:val="004677D6"/>
    <w:rsid w:val="004711DE"/>
    <w:rsid w:val="00471F24"/>
    <w:rsid w:val="00472763"/>
    <w:rsid w:val="00472F6E"/>
    <w:rsid w:val="0047562B"/>
    <w:rsid w:val="00475CEC"/>
    <w:rsid w:val="004766A9"/>
    <w:rsid w:val="00477AC4"/>
    <w:rsid w:val="00480102"/>
    <w:rsid w:val="004831F5"/>
    <w:rsid w:val="00483348"/>
    <w:rsid w:val="00484305"/>
    <w:rsid w:val="0048459D"/>
    <w:rsid w:val="0048463C"/>
    <w:rsid w:val="004846D0"/>
    <w:rsid w:val="00484A3A"/>
    <w:rsid w:val="00484BB4"/>
    <w:rsid w:val="00485F89"/>
    <w:rsid w:val="004865B6"/>
    <w:rsid w:val="00490706"/>
    <w:rsid w:val="004912FC"/>
    <w:rsid w:val="00493044"/>
    <w:rsid w:val="00493202"/>
    <w:rsid w:val="00494412"/>
    <w:rsid w:val="00495198"/>
    <w:rsid w:val="004956D7"/>
    <w:rsid w:val="0049799D"/>
    <w:rsid w:val="004A0DC7"/>
    <w:rsid w:val="004A1ABC"/>
    <w:rsid w:val="004A40FD"/>
    <w:rsid w:val="004A4237"/>
    <w:rsid w:val="004A5008"/>
    <w:rsid w:val="004A5BAC"/>
    <w:rsid w:val="004A6254"/>
    <w:rsid w:val="004A74A1"/>
    <w:rsid w:val="004A7763"/>
    <w:rsid w:val="004A7B01"/>
    <w:rsid w:val="004B01C9"/>
    <w:rsid w:val="004B1B23"/>
    <w:rsid w:val="004B326D"/>
    <w:rsid w:val="004B341E"/>
    <w:rsid w:val="004B5651"/>
    <w:rsid w:val="004B596D"/>
    <w:rsid w:val="004B5B33"/>
    <w:rsid w:val="004B5C61"/>
    <w:rsid w:val="004B65A9"/>
    <w:rsid w:val="004B710B"/>
    <w:rsid w:val="004B745C"/>
    <w:rsid w:val="004C015E"/>
    <w:rsid w:val="004C0D93"/>
    <w:rsid w:val="004C3A0B"/>
    <w:rsid w:val="004C427E"/>
    <w:rsid w:val="004C44DB"/>
    <w:rsid w:val="004C5C83"/>
    <w:rsid w:val="004C7A26"/>
    <w:rsid w:val="004D0DB2"/>
    <w:rsid w:val="004D1B05"/>
    <w:rsid w:val="004D269B"/>
    <w:rsid w:val="004D3022"/>
    <w:rsid w:val="004D4653"/>
    <w:rsid w:val="004D5533"/>
    <w:rsid w:val="004D55F1"/>
    <w:rsid w:val="004D58A7"/>
    <w:rsid w:val="004D5A33"/>
    <w:rsid w:val="004D6B67"/>
    <w:rsid w:val="004D707D"/>
    <w:rsid w:val="004D7BA5"/>
    <w:rsid w:val="004E0381"/>
    <w:rsid w:val="004E1173"/>
    <w:rsid w:val="004E1356"/>
    <w:rsid w:val="004E2234"/>
    <w:rsid w:val="004E27C7"/>
    <w:rsid w:val="004E3978"/>
    <w:rsid w:val="004E42C6"/>
    <w:rsid w:val="004E4C62"/>
    <w:rsid w:val="004E5489"/>
    <w:rsid w:val="004E5579"/>
    <w:rsid w:val="004E5F03"/>
    <w:rsid w:val="004E6452"/>
    <w:rsid w:val="004E6697"/>
    <w:rsid w:val="004E6A64"/>
    <w:rsid w:val="004E6D3E"/>
    <w:rsid w:val="004F20DF"/>
    <w:rsid w:val="004F2561"/>
    <w:rsid w:val="004F25B6"/>
    <w:rsid w:val="004F480A"/>
    <w:rsid w:val="004F4ADE"/>
    <w:rsid w:val="004F4F53"/>
    <w:rsid w:val="004F53FD"/>
    <w:rsid w:val="004F5A5D"/>
    <w:rsid w:val="005001B5"/>
    <w:rsid w:val="0050129F"/>
    <w:rsid w:val="005029FD"/>
    <w:rsid w:val="005039D4"/>
    <w:rsid w:val="00503A3E"/>
    <w:rsid w:val="00504647"/>
    <w:rsid w:val="005049F5"/>
    <w:rsid w:val="0050569A"/>
    <w:rsid w:val="00505FCF"/>
    <w:rsid w:val="00506B7A"/>
    <w:rsid w:val="00506BC6"/>
    <w:rsid w:val="005074C4"/>
    <w:rsid w:val="00510C6A"/>
    <w:rsid w:val="00511563"/>
    <w:rsid w:val="00512077"/>
    <w:rsid w:val="005124FD"/>
    <w:rsid w:val="00512FF4"/>
    <w:rsid w:val="00513052"/>
    <w:rsid w:val="005131E9"/>
    <w:rsid w:val="005201C0"/>
    <w:rsid w:val="00521734"/>
    <w:rsid w:val="005219D8"/>
    <w:rsid w:val="00521E42"/>
    <w:rsid w:val="00521EC5"/>
    <w:rsid w:val="00523842"/>
    <w:rsid w:val="00524EEA"/>
    <w:rsid w:val="005253D5"/>
    <w:rsid w:val="00525FC9"/>
    <w:rsid w:val="00526BD4"/>
    <w:rsid w:val="0052723F"/>
    <w:rsid w:val="0052742E"/>
    <w:rsid w:val="005279DB"/>
    <w:rsid w:val="0053174F"/>
    <w:rsid w:val="00531801"/>
    <w:rsid w:val="00531AC8"/>
    <w:rsid w:val="00532029"/>
    <w:rsid w:val="00534B3E"/>
    <w:rsid w:val="00535284"/>
    <w:rsid w:val="005371A1"/>
    <w:rsid w:val="005407F8"/>
    <w:rsid w:val="00540B03"/>
    <w:rsid w:val="00542747"/>
    <w:rsid w:val="00543E27"/>
    <w:rsid w:val="00544588"/>
    <w:rsid w:val="00544AD7"/>
    <w:rsid w:val="00545203"/>
    <w:rsid w:val="00545E5C"/>
    <w:rsid w:val="00546059"/>
    <w:rsid w:val="00553496"/>
    <w:rsid w:val="005547E1"/>
    <w:rsid w:val="00554933"/>
    <w:rsid w:val="0055596F"/>
    <w:rsid w:val="005560B2"/>
    <w:rsid w:val="0055675D"/>
    <w:rsid w:val="00556809"/>
    <w:rsid w:val="005577AB"/>
    <w:rsid w:val="00557BC0"/>
    <w:rsid w:val="00560B7E"/>
    <w:rsid w:val="00560E44"/>
    <w:rsid w:val="00561B32"/>
    <w:rsid w:val="005624B7"/>
    <w:rsid w:val="00562A6F"/>
    <w:rsid w:val="00562AC7"/>
    <w:rsid w:val="005637E7"/>
    <w:rsid w:val="00564174"/>
    <w:rsid w:val="00564449"/>
    <w:rsid w:val="00564FC3"/>
    <w:rsid w:val="0056548E"/>
    <w:rsid w:val="00566462"/>
    <w:rsid w:val="0056716C"/>
    <w:rsid w:val="00570464"/>
    <w:rsid w:val="00570858"/>
    <w:rsid w:val="005711D3"/>
    <w:rsid w:val="0057175E"/>
    <w:rsid w:val="00573B3C"/>
    <w:rsid w:val="005741CC"/>
    <w:rsid w:val="00574AA1"/>
    <w:rsid w:val="00574B86"/>
    <w:rsid w:val="00575D79"/>
    <w:rsid w:val="00577306"/>
    <w:rsid w:val="0058033F"/>
    <w:rsid w:val="00580AE4"/>
    <w:rsid w:val="005815F4"/>
    <w:rsid w:val="00581AB4"/>
    <w:rsid w:val="005820C0"/>
    <w:rsid w:val="005820DC"/>
    <w:rsid w:val="00582DE2"/>
    <w:rsid w:val="00582E38"/>
    <w:rsid w:val="00583019"/>
    <w:rsid w:val="00583069"/>
    <w:rsid w:val="005830EC"/>
    <w:rsid w:val="0058372F"/>
    <w:rsid w:val="00583E37"/>
    <w:rsid w:val="00584BE4"/>
    <w:rsid w:val="005859ED"/>
    <w:rsid w:val="00590745"/>
    <w:rsid w:val="00591240"/>
    <w:rsid w:val="005915FF"/>
    <w:rsid w:val="00593321"/>
    <w:rsid w:val="00596C55"/>
    <w:rsid w:val="00596ED8"/>
    <w:rsid w:val="00597241"/>
    <w:rsid w:val="00597AF4"/>
    <w:rsid w:val="005A1B52"/>
    <w:rsid w:val="005A2796"/>
    <w:rsid w:val="005A2A0A"/>
    <w:rsid w:val="005A2AB5"/>
    <w:rsid w:val="005A2D0F"/>
    <w:rsid w:val="005A4088"/>
    <w:rsid w:val="005A4562"/>
    <w:rsid w:val="005A53D4"/>
    <w:rsid w:val="005A5418"/>
    <w:rsid w:val="005A6AB3"/>
    <w:rsid w:val="005B07FF"/>
    <w:rsid w:val="005B0CBB"/>
    <w:rsid w:val="005B176B"/>
    <w:rsid w:val="005B2AFA"/>
    <w:rsid w:val="005B2DF7"/>
    <w:rsid w:val="005B33AB"/>
    <w:rsid w:val="005B3AA9"/>
    <w:rsid w:val="005B3AFC"/>
    <w:rsid w:val="005B3ED9"/>
    <w:rsid w:val="005B43E9"/>
    <w:rsid w:val="005B4435"/>
    <w:rsid w:val="005B4983"/>
    <w:rsid w:val="005B4D27"/>
    <w:rsid w:val="005B5E8A"/>
    <w:rsid w:val="005B62B6"/>
    <w:rsid w:val="005B698E"/>
    <w:rsid w:val="005B7168"/>
    <w:rsid w:val="005B71B3"/>
    <w:rsid w:val="005B71FE"/>
    <w:rsid w:val="005C0DF9"/>
    <w:rsid w:val="005C1070"/>
    <w:rsid w:val="005C12B5"/>
    <w:rsid w:val="005C2F26"/>
    <w:rsid w:val="005C2FC1"/>
    <w:rsid w:val="005C5154"/>
    <w:rsid w:val="005C5C65"/>
    <w:rsid w:val="005C5D81"/>
    <w:rsid w:val="005C61EE"/>
    <w:rsid w:val="005C6388"/>
    <w:rsid w:val="005D074F"/>
    <w:rsid w:val="005D09C6"/>
    <w:rsid w:val="005D0A25"/>
    <w:rsid w:val="005D0F5D"/>
    <w:rsid w:val="005D2296"/>
    <w:rsid w:val="005D2FDE"/>
    <w:rsid w:val="005D400E"/>
    <w:rsid w:val="005D4360"/>
    <w:rsid w:val="005D48F3"/>
    <w:rsid w:val="005D4C5F"/>
    <w:rsid w:val="005D4D35"/>
    <w:rsid w:val="005D590D"/>
    <w:rsid w:val="005D5F0D"/>
    <w:rsid w:val="005D67CE"/>
    <w:rsid w:val="005D6E39"/>
    <w:rsid w:val="005D771E"/>
    <w:rsid w:val="005E0897"/>
    <w:rsid w:val="005E0DC2"/>
    <w:rsid w:val="005E13FC"/>
    <w:rsid w:val="005E1415"/>
    <w:rsid w:val="005E2D22"/>
    <w:rsid w:val="005E3313"/>
    <w:rsid w:val="005E3937"/>
    <w:rsid w:val="005E41D2"/>
    <w:rsid w:val="005E44E0"/>
    <w:rsid w:val="005E4857"/>
    <w:rsid w:val="005E49F6"/>
    <w:rsid w:val="005E5CEF"/>
    <w:rsid w:val="005E60EE"/>
    <w:rsid w:val="005E6489"/>
    <w:rsid w:val="005E72CA"/>
    <w:rsid w:val="005F1297"/>
    <w:rsid w:val="005F155F"/>
    <w:rsid w:val="005F2010"/>
    <w:rsid w:val="005F3D15"/>
    <w:rsid w:val="005F43A6"/>
    <w:rsid w:val="005F48F5"/>
    <w:rsid w:val="005F4CED"/>
    <w:rsid w:val="005F6147"/>
    <w:rsid w:val="005F675F"/>
    <w:rsid w:val="00600B6F"/>
    <w:rsid w:val="00601149"/>
    <w:rsid w:val="00601EE4"/>
    <w:rsid w:val="0060599C"/>
    <w:rsid w:val="00605D9E"/>
    <w:rsid w:val="00606FD6"/>
    <w:rsid w:val="00607404"/>
    <w:rsid w:val="00607419"/>
    <w:rsid w:val="00607AB7"/>
    <w:rsid w:val="0061062D"/>
    <w:rsid w:val="00610760"/>
    <w:rsid w:val="006113D8"/>
    <w:rsid w:val="00611B96"/>
    <w:rsid w:val="00612EA1"/>
    <w:rsid w:val="00613F7B"/>
    <w:rsid w:val="006144DA"/>
    <w:rsid w:val="00616CA3"/>
    <w:rsid w:val="00621C23"/>
    <w:rsid w:val="00623E78"/>
    <w:rsid w:val="00623EEF"/>
    <w:rsid w:val="0062506F"/>
    <w:rsid w:val="00625220"/>
    <w:rsid w:val="00627BC3"/>
    <w:rsid w:val="00631F98"/>
    <w:rsid w:val="006338DE"/>
    <w:rsid w:val="006342C5"/>
    <w:rsid w:val="00634770"/>
    <w:rsid w:val="00634D31"/>
    <w:rsid w:val="00635279"/>
    <w:rsid w:val="00635956"/>
    <w:rsid w:val="00635BBF"/>
    <w:rsid w:val="00635C9E"/>
    <w:rsid w:val="00636B28"/>
    <w:rsid w:val="00636BC8"/>
    <w:rsid w:val="00637D3C"/>
    <w:rsid w:val="0064030B"/>
    <w:rsid w:val="00640B3D"/>
    <w:rsid w:val="00642553"/>
    <w:rsid w:val="006430FA"/>
    <w:rsid w:val="00643494"/>
    <w:rsid w:val="00644373"/>
    <w:rsid w:val="00644388"/>
    <w:rsid w:val="006459EB"/>
    <w:rsid w:val="0064634E"/>
    <w:rsid w:val="0064636F"/>
    <w:rsid w:val="00647781"/>
    <w:rsid w:val="00647A7E"/>
    <w:rsid w:val="00647B4D"/>
    <w:rsid w:val="00650610"/>
    <w:rsid w:val="006509BD"/>
    <w:rsid w:val="00651CE0"/>
    <w:rsid w:val="0065446F"/>
    <w:rsid w:val="00655DFF"/>
    <w:rsid w:val="00657706"/>
    <w:rsid w:val="006605F8"/>
    <w:rsid w:val="00660DC3"/>
    <w:rsid w:val="00661324"/>
    <w:rsid w:val="00661550"/>
    <w:rsid w:val="006625B9"/>
    <w:rsid w:val="00663173"/>
    <w:rsid w:val="006631CE"/>
    <w:rsid w:val="00663359"/>
    <w:rsid w:val="006642BC"/>
    <w:rsid w:val="00664382"/>
    <w:rsid w:val="00665511"/>
    <w:rsid w:val="00665A68"/>
    <w:rsid w:val="00666494"/>
    <w:rsid w:val="006667AC"/>
    <w:rsid w:val="006714BD"/>
    <w:rsid w:val="0067180E"/>
    <w:rsid w:val="006719F1"/>
    <w:rsid w:val="00671BB7"/>
    <w:rsid w:val="006738BD"/>
    <w:rsid w:val="00673C5B"/>
    <w:rsid w:val="00673D19"/>
    <w:rsid w:val="00675B03"/>
    <w:rsid w:val="00675D10"/>
    <w:rsid w:val="00676121"/>
    <w:rsid w:val="00677146"/>
    <w:rsid w:val="0068087A"/>
    <w:rsid w:val="006816E4"/>
    <w:rsid w:val="0068304F"/>
    <w:rsid w:val="00683320"/>
    <w:rsid w:val="00683775"/>
    <w:rsid w:val="00683C69"/>
    <w:rsid w:val="00683E56"/>
    <w:rsid w:val="00684296"/>
    <w:rsid w:val="0068467F"/>
    <w:rsid w:val="00690C4D"/>
    <w:rsid w:val="00691E6B"/>
    <w:rsid w:val="00691F0E"/>
    <w:rsid w:val="006928D6"/>
    <w:rsid w:val="00694BEE"/>
    <w:rsid w:val="00694E1D"/>
    <w:rsid w:val="00695374"/>
    <w:rsid w:val="00696267"/>
    <w:rsid w:val="006966DF"/>
    <w:rsid w:val="00696952"/>
    <w:rsid w:val="00697F94"/>
    <w:rsid w:val="006A08AB"/>
    <w:rsid w:val="006A0A64"/>
    <w:rsid w:val="006A1111"/>
    <w:rsid w:val="006A2369"/>
    <w:rsid w:val="006A3964"/>
    <w:rsid w:val="006A3B36"/>
    <w:rsid w:val="006A5DA5"/>
    <w:rsid w:val="006A605D"/>
    <w:rsid w:val="006A77C2"/>
    <w:rsid w:val="006B0C2E"/>
    <w:rsid w:val="006B0F72"/>
    <w:rsid w:val="006B1056"/>
    <w:rsid w:val="006B3714"/>
    <w:rsid w:val="006B3852"/>
    <w:rsid w:val="006B42E7"/>
    <w:rsid w:val="006B4BE8"/>
    <w:rsid w:val="006B502B"/>
    <w:rsid w:val="006B6300"/>
    <w:rsid w:val="006B762B"/>
    <w:rsid w:val="006B77B3"/>
    <w:rsid w:val="006C0612"/>
    <w:rsid w:val="006C0FEC"/>
    <w:rsid w:val="006C12C3"/>
    <w:rsid w:val="006C188C"/>
    <w:rsid w:val="006C3685"/>
    <w:rsid w:val="006C4C0D"/>
    <w:rsid w:val="006C7151"/>
    <w:rsid w:val="006C71AA"/>
    <w:rsid w:val="006C7DDE"/>
    <w:rsid w:val="006C7EE7"/>
    <w:rsid w:val="006D1517"/>
    <w:rsid w:val="006D20C8"/>
    <w:rsid w:val="006D2BA1"/>
    <w:rsid w:val="006D30CB"/>
    <w:rsid w:val="006D3688"/>
    <w:rsid w:val="006D3832"/>
    <w:rsid w:val="006D3F9A"/>
    <w:rsid w:val="006D438E"/>
    <w:rsid w:val="006D45A2"/>
    <w:rsid w:val="006D45E0"/>
    <w:rsid w:val="006D4D21"/>
    <w:rsid w:val="006D574E"/>
    <w:rsid w:val="006D75BA"/>
    <w:rsid w:val="006D787B"/>
    <w:rsid w:val="006E08E6"/>
    <w:rsid w:val="006E10F2"/>
    <w:rsid w:val="006E1249"/>
    <w:rsid w:val="006E2CB8"/>
    <w:rsid w:val="006E3081"/>
    <w:rsid w:val="006E348E"/>
    <w:rsid w:val="006E4796"/>
    <w:rsid w:val="006E4D6F"/>
    <w:rsid w:val="006E503B"/>
    <w:rsid w:val="006E742A"/>
    <w:rsid w:val="006E78A1"/>
    <w:rsid w:val="006E7A36"/>
    <w:rsid w:val="006F0349"/>
    <w:rsid w:val="006F176C"/>
    <w:rsid w:val="006F1CA5"/>
    <w:rsid w:val="006F2183"/>
    <w:rsid w:val="006F24D8"/>
    <w:rsid w:val="006F398A"/>
    <w:rsid w:val="006F48D1"/>
    <w:rsid w:val="006F5C9F"/>
    <w:rsid w:val="007017EA"/>
    <w:rsid w:val="00701B75"/>
    <w:rsid w:val="007020F1"/>
    <w:rsid w:val="00705D9B"/>
    <w:rsid w:val="00705DAE"/>
    <w:rsid w:val="00706655"/>
    <w:rsid w:val="00706B3D"/>
    <w:rsid w:val="00706BFA"/>
    <w:rsid w:val="00707507"/>
    <w:rsid w:val="007078C9"/>
    <w:rsid w:val="007104D8"/>
    <w:rsid w:val="007116BB"/>
    <w:rsid w:val="0071205F"/>
    <w:rsid w:val="0071248F"/>
    <w:rsid w:val="00713627"/>
    <w:rsid w:val="00713B6C"/>
    <w:rsid w:val="007151EA"/>
    <w:rsid w:val="0072001C"/>
    <w:rsid w:val="00720596"/>
    <w:rsid w:val="00720916"/>
    <w:rsid w:val="0072145A"/>
    <w:rsid w:val="00722A05"/>
    <w:rsid w:val="007234D9"/>
    <w:rsid w:val="00723E36"/>
    <w:rsid w:val="00725FBB"/>
    <w:rsid w:val="0072620F"/>
    <w:rsid w:val="0072628A"/>
    <w:rsid w:val="00730088"/>
    <w:rsid w:val="007304AD"/>
    <w:rsid w:val="00730F53"/>
    <w:rsid w:val="007311DF"/>
    <w:rsid w:val="007316B6"/>
    <w:rsid w:val="00732134"/>
    <w:rsid w:val="00732595"/>
    <w:rsid w:val="00732646"/>
    <w:rsid w:val="00733225"/>
    <w:rsid w:val="00735A87"/>
    <w:rsid w:val="00735F45"/>
    <w:rsid w:val="007376E1"/>
    <w:rsid w:val="00737D1B"/>
    <w:rsid w:val="00737E36"/>
    <w:rsid w:val="00740129"/>
    <w:rsid w:val="00740FC8"/>
    <w:rsid w:val="00741B90"/>
    <w:rsid w:val="007427A3"/>
    <w:rsid w:val="00742880"/>
    <w:rsid w:val="00744EEC"/>
    <w:rsid w:val="00745B43"/>
    <w:rsid w:val="00745B76"/>
    <w:rsid w:val="00745DAD"/>
    <w:rsid w:val="007468B0"/>
    <w:rsid w:val="00746D9F"/>
    <w:rsid w:val="00746F67"/>
    <w:rsid w:val="00750E8E"/>
    <w:rsid w:val="00751260"/>
    <w:rsid w:val="0075168D"/>
    <w:rsid w:val="007518B5"/>
    <w:rsid w:val="00751F90"/>
    <w:rsid w:val="007520A9"/>
    <w:rsid w:val="00752FE1"/>
    <w:rsid w:val="00754E34"/>
    <w:rsid w:val="007564B2"/>
    <w:rsid w:val="00757702"/>
    <w:rsid w:val="00757D35"/>
    <w:rsid w:val="00760A45"/>
    <w:rsid w:val="00760E17"/>
    <w:rsid w:val="00762EC2"/>
    <w:rsid w:val="00763737"/>
    <w:rsid w:val="00764CF2"/>
    <w:rsid w:val="007652C9"/>
    <w:rsid w:val="007653B6"/>
    <w:rsid w:val="00765DA8"/>
    <w:rsid w:val="00766418"/>
    <w:rsid w:val="00766558"/>
    <w:rsid w:val="007670C9"/>
    <w:rsid w:val="0076744E"/>
    <w:rsid w:val="007713AA"/>
    <w:rsid w:val="0077173D"/>
    <w:rsid w:val="0077313F"/>
    <w:rsid w:val="007735DB"/>
    <w:rsid w:val="0077437C"/>
    <w:rsid w:val="00775EB9"/>
    <w:rsid w:val="00776AA1"/>
    <w:rsid w:val="00777211"/>
    <w:rsid w:val="0077727E"/>
    <w:rsid w:val="00780501"/>
    <w:rsid w:val="0078082F"/>
    <w:rsid w:val="00781048"/>
    <w:rsid w:val="00781E4A"/>
    <w:rsid w:val="007826B1"/>
    <w:rsid w:val="007830FD"/>
    <w:rsid w:val="00784DAC"/>
    <w:rsid w:val="007851A7"/>
    <w:rsid w:val="007851B5"/>
    <w:rsid w:val="007857BA"/>
    <w:rsid w:val="00786280"/>
    <w:rsid w:val="00786348"/>
    <w:rsid w:val="00786CEC"/>
    <w:rsid w:val="00787173"/>
    <w:rsid w:val="00787384"/>
    <w:rsid w:val="00787956"/>
    <w:rsid w:val="00790AD5"/>
    <w:rsid w:val="00790C37"/>
    <w:rsid w:val="00790F05"/>
    <w:rsid w:val="0079125B"/>
    <w:rsid w:val="00792598"/>
    <w:rsid w:val="00793484"/>
    <w:rsid w:val="0079378B"/>
    <w:rsid w:val="00793A52"/>
    <w:rsid w:val="00794263"/>
    <w:rsid w:val="00794C4E"/>
    <w:rsid w:val="00795387"/>
    <w:rsid w:val="00795A2B"/>
    <w:rsid w:val="00795C11"/>
    <w:rsid w:val="00795E36"/>
    <w:rsid w:val="00795E74"/>
    <w:rsid w:val="007960F9"/>
    <w:rsid w:val="007965E2"/>
    <w:rsid w:val="007969AD"/>
    <w:rsid w:val="007A0BFD"/>
    <w:rsid w:val="007A13B1"/>
    <w:rsid w:val="007A1A95"/>
    <w:rsid w:val="007A2449"/>
    <w:rsid w:val="007A3589"/>
    <w:rsid w:val="007A4531"/>
    <w:rsid w:val="007A5D60"/>
    <w:rsid w:val="007A6240"/>
    <w:rsid w:val="007B09F4"/>
    <w:rsid w:val="007B0EAE"/>
    <w:rsid w:val="007B17F6"/>
    <w:rsid w:val="007B2D4C"/>
    <w:rsid w:val="007B5E7C"/>
    <w:rsid w:val="007B6101"/>
    <w:rsid w:val="007B635A"/>
    <w:rsid w:val="007B65E1"/>
    <w:rsid w:val="007B794B"/>
    <w:rsid w:val="007C1C8F"/>
    <w:rsid w:val="007C224C"/>
    <w:rsid w:val="007C69D2"/>
    <w:rsid w:val="007C71B7"/>
    <w:rsid w:val="007D0DBC"/>
    <w:rsid w:val="007D34EE"/>
    <w:rsid w:val="007D3C1A"/>
    <w:rsid w:val="007D3CC2"/>
    <w:rsid w:val="007D3DF8"/>
    <w:rsid w:val="007D4ECA"/>
    <w:rsid w:val="007D7632"/>
    <w:rsid w:val="007E0AA9"/>
    <w:rsid w:val="007E281D"/>
    <w:rsid w:val="007E2DD6"/>
    <w:rsid w:val="007E2EF6"/>
    <w:rsid w:val="007E4ACB"/>
    <w:rsid w:val="007E6BAB"/>
    <w:rsid w:val="007F27FE"/>
    <w:rsid w:val="007F2CA6"/>
    <w:rsid w:val="007F2D20"/>
    <w:rsid w:val="007F3310"/>
    <w:rsid w:val="007F3FB0"/>
    <w:rsid w:val="007F42CC"/>
    <w:rsid w:val="007F4795"/>
    <w:rsid w:val="007F64EC"/>
    <w:rsid w:val="007F7330"/>
    <w:rsid w:val="007F76C1"/>
    <w:rsid w:val="007F78A4"/>
    <w:rsid w:val="007F7C69"/>
    <w:rsid w:val="008001C2"/>
    <w:rsid w:val="00800B98"/>
    <w:rsid w:val="008014F1"/>
    <w:rsid w:val="0080466C"/>
    <w:rsid w:val="00804912"/>
    <w:rsid w:val="00807576"/>
    <w:rsid w:val="0081063B"/>
    <w:rsid w:val="00810920"/>
    <w:rsid w:val="00811EE3"/>
    <w:rsid w:val="00813C6F"/>
    <w:rsid w:val="00813FA4"/>
    <w:rsid w:val="00814B58"/>
    <w:rsid w:val="00815239"/>
    <w:rsid w:val="00815C2F"/>
    <w:rsid w:val="008162ED"/>
    <w:rsid w:val="00817343"/>
    <w:rsid w:val="00817EDF"/>
    <w:rsid w:val="00820DA3"/>
    <w:rsid w:val="00820F0D"/>
    <w:rsid w:val="0082236F"/>
    <w:rsid w:val="0082258A"/>
    <w:rsid w:val="0082270F"/>
    <w:rsid w:val="00822C04"/>
    <w:rsid w:val="008242CB"/>
    <w:rsid w:val="00825675"/>
    <w:rsid w:val="00826462"/>
    <w:rsid w:val="00827E79"/>
    <w:rsid w:val="008301FE"/>
    <w:rsid w:val="00830D17"/>
    <w:rsid w:val="00831133"/>
    <w:rsid w:val="008338D6"/>
    <w:rsid w:val="0083394A"/>
    <w:rsid w:val="00833A6E"/>
    <w:rsid w:val="00834145"/>
    <w:rsid w:val="008350BF"/>
    <w:rsid w:val="00835BC4"/>
    <w:rsid w:val="0083636E"/>
    <w:rsid w:val="008373AA"/>
    <w:rsid w:val="008373EA"/>
    <w:rsid w:val="0084015F"/>
    <w:rsid w:val="00840E25"/>
    <w:rsid w:val="00842FA1"/>
    <w:rsid w:val="00844F57"/>
    <w:rsid w:val="008463E3"/>
    <w:rsid w:val="00846DF4"/>
    <w:rsid w:val="00847B36"/>
    <w:rsid w:val="00847E14"/>
    <w:rsid w:val="008507BF"/>
    <w:rsid w:val="00851BA2"/>
    <w:rsid w:val="00854CDA"/>
    <w:rsid w:val="00855A06"/>
    <w:rsid w:val="0085614B"/>
    <w:rsid w:val="0085639F"/>
    <w:rsid w:val="0085640B"/>
    <w:rsid w:val="0085646E"/>
    <w:rsid w:val="0085647C"/>
    <w:rsid w:val="00856DC2"/>
    <w:rsid w:val="00856FA5"/>
    <w:rsid w:val="0085720E"/>
    <w:rsid w:val="008577A9"/>
    <w:rsid w:val="008578B0"/>
    <w:rsid w:val="00857B7E"/>
    <w:rsid w:val="00860089"/>
    <w:rsid w:val="00860450"/>
    <w:rsid w:val="0086091D"/>
    <w:rsid w:val="008611CD"/>
    <w:rsid w:val="008616CE"/>
    <w:rsid w:val="00862DD2"/>
    <w:rsid w:val="00863006"/>
    <w:rsid w:val="0086338B"/>
    <w:rsid w:val="008634DF"/>
    <w:rsid w:val="00863A25"/>
    <w:rsid w:val="00863FE6"/>
    <w:rsid w:val="0086585D"/>
    <w:rsid w:val="00865969"/>
    <w:rsid w:val="00865A86"/>
    <w:rsid w:val="00865B7C"/>
    <w:rsid w:val="00865EA6"/>
    <w:rsid w:val="008670C4"/>
    <w:rsid w:val="0087001E"/>
    <w:rsid w:val="0087012B"/>
    <w:rsid w:val="00870770"/>
    <w:rsid w:val="00871632"/>
    <w:rsid w:val="008723A6"/>
    <w:rsid w:val="008758BF"/>
    <w:rsid w:val="00876006"/>
    <w:rsid w:val="00876521"/>
    <w:rsid w:val="00880B30"/>
    <w:rsid w:val="00881D55"/>
    <w:rsid w:val="0088348D"/>
    <w:rsid w:val="00884879"/>
    <w:rsid w:val="00884DD1"/>
    <w:rsid w:val="008851DE"/>
    <w:rsid w:val="008857D5"/>
    <w:rsid w:val="008858D2"/>
    <w:rsid w:val="00885A24"/>
    <w:rsid w:val="00885BF8"/>
    <w:rsid w:val="0088620C"/>
    <w:rsid w:val="008864A8"/>
    <w:rsid w:val="00887165"/>
    <w:rsid w:val="008873B6"/>
    <w:rsid w:val="00887CC6"/>
    <w:rsid w:val="008904B0"/>
    <w:rsid w:val="00890F57"/>
    <w:rsid w:val="00892D51"/>
    <w:rsid w:val="008937ED"/>
    <w:rsid w:val="00893B8A"/>
    <w:rsid w:val="0089655E"/>
    <w:rsid w:val="008978AA"/>
    <w:rsid w:val="008A0E52"/>
    <w:rsid w:val="008A1E82"/>
    <w:rsid w:val="008A2249"/>
    <w:rsid w:val="008A33FD"/>
    <w:rsid w:val="008A3594"/>
    <w:rsid w:val="008A3A49"/>
    <w:rsid w:val="008A5159"/>
    <w:rsid w:val="008A5E8C"/>
    <w:rsid w:val="008A640F"/>
    <w:rsid w:val="008A6654"/>
    <w:rsid w:val="008A7B28"/>
    <w:rsid w:val="008B0139"/>
    <w:rsid w:val="008B0813"/>
    <w:rsid w:val="008B0921"/>
    <w:rsid w:val="008B1429"/>
    <w:rsid w:val="008B2FFE"/>
    <w:rsid w:val="008B3406"/>
    <w:rsid w:val="008B365C"/>
    <w:rsid w:val="008B4506"/>
    <w:rsid w:val="008B5C7C"/>
    <w:rsid w:val="008B614B"/>
    <w:rsid w:val="008B6BF4"/>
    <w:rsid w:val="008B6E3E"/>
    <w:rsid w:val="008C00C6"/>
    <w:rsid w:val="008C0DA2"/>
    <w:rsid w:val="008C10F7"/>
    <w:rsid w:val="008C128F"/>
    <w:rsid w:val="008C16F9"/>
    <w:rsid w:val="008C2A00"/>
    <w:rsid w:val="008C3352"/>
    <w:rsid w:val="008C4335"/>
    <w:rsid w:val="008C4D37"/>
    <w:rsid w:val="008C542C"/>
    <w:rsid w:val="008C5CB8"/>
    <w:rsid w:val="008C6F5D"/>
    <w:rsid w:val="008C7DC1"/>
    <w:rsid w:val="008D01C0"/>
    <w:rsid w:val="008D0931"/>
    <w:rsid w:val="008D0CFD"/>
    <w:rsid w:val="008D0D36"/>
    <w:rsid w:val="008D0F32"/>
    <w:rsid w:val="008D2200"/>
    <w:rsid w:val="008D34A7"/>
    <w:rsid w:val="008D3B91"/>
    <w:rsid w:val="008D3F11"/>
    <w:rsid w:val="008D3FD4"/>
    <w:rsid w:val="008D4E54"/>
    <w:rsid w:val="008D5C9B"/>
    <w:rsid w:val="008D5F0D"/>
    <w:rsid w:val="008D6E42"/>
    <w:rsid w:val="008D728A"/>
    <w:rsid w:val="008D7C00"/>
    <w:rsid w:val="008D7D64"/>
    <w:rsid w:val="008D7E75"/>
    <w:rsid w:val="008E0138"/>
    <w:rsid w:val="008E1251"/>
    <w:rsid w:val="008E18E8"/>
    <w:rsid w:val="008E229D"/>
    <w:rsid w:val="008E2E4D"/>
    <w:rsid w:val="008E489F"/>
    <w:rsid w:val="008E54BD"/>
    <w:rsid w:val="008E5E0D"/>
    <w:rsid w:val="008E6011"/>
    <w:rsid w:val="008E7FD6"/>
    <w:rsid w:val="008F0145"/>
    <w:rsid w:val="008F194C"/>
    <w:rsid w:val="008F2341"/>
    <w:rsid w:val="008F4012"/>
    <w:rsid w:val="008F4071"/>
    <w:rsid w:val="008F5BA4"/>
    <w:rsid w:val="00900587"/>
    <w:rsid w:val="00900BBA"/>
    <w:rsid w:val="00902FB6"/>
    <w:rsid w:val="00903DCC"/>
    <w:rsid w:val="00904121"/>
    <w:rsid w:val="00904854"/>
    <w:rsid w:val="009050A9"/>
    <w:rsid w:val="00905EAA"/>
    <w:rsid w:val="00907154"/>
    <w:rsid w:val="00907ACA"/>
    <w:rsid w:val="009122DF"/>
    <w:rsid w:val="0091277F"/>
    <w:rsid w:val="00912B12"/>
    <w:rsid w:val="00914C5D"/>
    <w:rsid w:val="00915563"/>
    <w:rsid w:val="00917C6B"/>
    <w:rsid w:val="00917CCB"/>
    <w:rsid w:val="00922E59"/>
    <w:rsid w:val="0092319C"/>
    <w:rsid w:val="009239F0"/>
    <w:rsid w:val="0092551B"/>
    <w:rsid w:val="00925A9A"/>
    <w:rsid w:val="00926666"/>
    <w:rsid w:val="00927F45"/>
    <w:rsid w:val="00930D12"/>
    <w:rsid w:val="00930E06"/>
    <w:rsid w:val="009315AD"/>
    <w:rsid w:val="009324E3"/>
    <w:rsid w:val="0093273C"/>
    <w:rsid w:val="00932A4C"/>
    <w:rsid w:val="00933750"/>
    <w:rsid w:val="00935B7D"/>
    <w:rsid w:val="009374D7"/>
    <w:rsid w:val="0094229D"/>
    <w:rsid w:val="0094264F"/>
    <w:rsid w:val="00943309"/>
    <w:rsid w:val="009448C9"/>
    <w:rsid w:val="009449E3"/>
    <w:rsid w:val="009470FC"/>
    <w:rsid w:val="009478FF"/>
    <w:rsid w:val="0095003B"/>
    <w:rsid w:val="00950313"/>
    <w:rsid w:val="00950351"/>
    <w:rsid w:val="00951E6C"/>
    <w:rsid w:val="00952ACD"/>
    <w:rsid w:val="009542D8"/>
    <w:rsid w:val="009550CD"/>
    <w:rsid w:val="009553E3"/>
    <w:rsid w:val="00955CBD"/>
    <w:rsid w:val="009565FC"/>
    <w:rsid w:val="00956B3A"/>
    <w:rsid w:val="009607DB"/>
    <w:rsid w:val="0096081D"/>
    <w:rsid w:val="0096136E"/>
    <w:rsid w:val="00961964"/>
    <w:rsid w:val="009620FE"/>
    <w:rsid w:val="00962C92"/>
    <w:rsid w:val="009630BD"/>
    <w:rsid w:val="009630CC"/>
    <w:rsid w:val="00963723"/>
    <w:rsid w:val="00963F4A"/>
    <w:rsid w:val="00963FAE"/>
    <w:rsid w:val="0096411C"/>
    <w:rsid w:val="009646D2"/>
    <w:rsid w:val="0096555B"/>
    <w:rsid w:val="00965E09"/>
    <w:rsid w:val="00965E74"/>
    <w:rsid w:val="00966B91"/>
    <w:rsid w:val="009674A0"/>
    <w:rsid w:val="009702C6"/>
    <w:rsid w:val="009709E4"/>
    <w:rsid w:val="009717A9"/>
    <w:rsid w:val="009723BE"/>
    <w:rsid w:val="00972588"/>
    <w:rsid w:val="009729F7"/>
    <w:rsid w:val="00972E3E"/>
    <w:rsid w:val="009731D9"/>
    <w:rsid w:val="009757D5"/>
    <w:rsid w:val="00975846"/>
    <w:rsid w:val="00976C31"/>
    <w:rsid w:val="009804B5"/>
    <w:rsid w:val="00981230"/>
    <w:rsid w:val="00981A82"/>
    <w:rsid w:val="0098231F"/>
    <w:rsid w:val="00982D25"/>
    <w:rsid w:val="00983BA7"/>
    <w:rsid w:val="00984EDE"/>
    <w:rsid w:val="00985474"/>
    <w:rsid w:val="00985B73"/>
    <w:rsid w:val="0098635D"/>
    <w:rsid w:val="00986BC6"/>
    <w:rsid w:val="00987403"/>
    <w:rsid w:val="0098776A"/>
    <w:rsid w:val="0099066D"/>
    <w:rsid w:val="00990C93"/>
    <w:rsid w:val="00991509"/>
    <w:rsid w:val="00991EF7"/>
    <w:rsid w:val="00992D62"/>
    <w:rsid w:val="00993427"/>
    <w:rsid w:val="00993500"/>
    <w:rsid w:val="009939AF"/>
    <w:rsid w:val="00994809"/>
    <w:rsid w:val="00995B9E"/>
    <w:rsid w:val="00995DC8"/>
    <w:rsid w:val="00995F9C"/>
    <w:rsid w:val="00996033"/>
    <w:rsid w:val="009971CC"/>
    <w:rsid w:val="009973F0"/>
    <w:rsid w:val="009A035C"/>
    <w:rsid w:val="009A096E"/>
    <w:rsid w:val="009A0C41"/>
    <w:rsid w:val="009A1EA9"/>
    <w:rsid w:val="009A28FA"/>
    <w:rsid w:val="009A3F5B"/>
    <w:rsid w:val="009A6296"/>
    <w:rsid w:val="009A65D5"/>
    <w:rsid w:val="009A6CEF"/>
    <w:rsid w:val="009A7A6B"/>
    <w:rsid w:val="009B0738"/>
    <w:rsid w:val="009B0F1B"/>
    <w:rsid w:val="009B192C"/>
    <w:rsid w:val="009B198F"/>
    <w:rsid w:val="009B20AF"/>
    <w:rsid w:val="009B2D78"/>
    <w:rsid w:val="009B3A5F"/>
    <w:rsid w:val="009B5CCF"/>
    <w:rsid w:val="009B5D07"/>
    <w:rsid w:val="009B5DF4"/>
    <w:rsid w:val="009B6197"/>
    <w:rsid w:val="009C12CB"/>
    <w:rsid w:val="009C19CC"/>
    <w:rsid w:val="009C1D06"/>
    <w:rsid w:val="009C3640"/>
    <w:rsid w:val="009C3C9E"/>
    <w:rsid w:val="009C45DB"/>
    <w:rsid w:val="009C4E9F"/>
    <w:rsid w:val="009C581D"/>
    <w:rsid w:val="009D18AD"/>
    <w:rsid w:val="009D2302"/>
    <w:rsid w:val="009D26E4"/>
    <w:rsid w:val="009D28B4"/>
    <w:rsid w:val="009D3805"/>
    <w:rsid w:val="009D550E"/>
    <w:rsid w:val="009D5B70"/>
    <w:rsid w:val="009D5BC6"/>
    <w:rsid w:val="009D6532"/>
    <w:rsid w:val="009D6CC7"/>
    <w:rsid w:val="009D6E5E"/>
    <w:rsid w:val="009D73F4"/>
    <w:rsid w:val="009E0236"/>
    <w:rsid w:val="009E02A6"/>
    <w:rsid w:val="009E15A2"/>
    <w:rsid w:val="009E2051"/>
    <w:rsid w:val="009E2AC2"/>
    <w:rsid w:val="009E38F1"/>
    <w:rsid w:val="009E3D9A"/>
    <w:rsid w:val="009E3E4C"/>
    <w:rsid w:val="009E6511"/>
    <w:rsid w:val="009E74FF"/>
    <w:rsid w:val="009F06A0"/>
    <w:rsid w:val="009F0721"/>
    <w:rsid w:val="009F0FF8"/>
    <w:rsid w:val="009F187A"/>
    <w:rsid w:val="009F2611"/>
    <w:rsid w:val="009F265B"/>
    <w:rsid w:val="009F2807"/>
    <w:rsid w:val="009F359D"/>
    <w:rsid w:val="009F4698"/>
    <w:rsid w:val="009F5B82"/>
    <w:rsid w:val="009F5BF2"/>
    <w:rsid w:val="009F63F2"/>
    <w:rsid w:val="009F64F1"/>
    <w:rsid w:val="009F69CA"/>
    <w:rsid w:val="00A00618"/>
    <w:rsid w:val="00A00B86"/>
    <w:rsid w:val="00A034FC"/>
    <w:rsid w:val="00A0698D"/>
    <w:rsid w:val="00A07D11"/>
    <w:rsid w:val="00A10D01"/>
    <w:rsid w:val="00A10D74"/>
    <w:rsid w:val="00A111B8"/>
    <w:rsid w:val="00A11660"/>
    <w:rsid w:val="00A11E80"/>
    <w:rsid w:val="00A131AB"/>
    <w:rsid w:val="00A132E6"/>
    <w:rsid w:val="00A14A43"/>
    <w:rsid w:val="00A166D7"/>
    <w:rsid w:val="00A169CF"/>
    <w:rsid w:val="00A17104"/>
    <w:rsid w:val="00A1798E"/>
    <w:rsid w:val="00A21281"/>
    <w:rsid w:val="00A220E1"/>
    <w:rsid w:val="00A22CC8"/>
    <w:rsid w:val="00A236B5"/>
    <w:rsid w:val="00A237A6"/>
    <w:rsid w:val="00A23916"/>
    <w:rsid w:val="00A23B14"/>
    <w:rsid w:val="00A23EAA"/>
    <w:rsid w:val="00A24B3B"/>
    <w:rsid w:val="00A2655D"/>
    <w:rsid w:val="00A2676B"/>
    <w:rsid w:val="00A27BD2"/>
    <w:rsid w:val="00A30BAC"/>
    <w:rsid w:val="00A31362"/>
    <w:rsid w:val="00A3314D"/>
    <w:rsid w:val="00A3351C"/>
    <w:rsid w:val="00A339A6"/>
    <w:rsid w:val="00A35063"/>
    <w:rsid w:val="00A351DB"/>
    <w:rsid w:val="00A36A0D"/>
    <w:rsid w:val="00A36DE8"/>
    <w:rsid w:val="00A36FCA"/>
    <w:rsid w:val="00A41B3A"/>
    <w:rsid w:val="00A41DA6"/>
    <w:rsid w:val="00A42886"/>
    <w:rsid w:val="00A43589"/>
    <w:rsid w:val="00A43CA6"/>
    <w:rsid w:val="00A440A5"/>
    <w:rsid w:val="00A4490A"/>
    <w:rsid w:val="00A45AF2"/>
    <w:rsid w:val="00A468BB"/>
    <w:rsid w:val="00A46DCB"/>
    <w:rsid w:val="00A47537"/>
    <w:rsid w:val="00A5023E"/>
    <w:rsid w:val="00A50E06"/>
    <w:rsid w:val="00A533FE"/>
    <w:rsid w:val="00A53B14"/>
    <w:rsid w:val="00A55764"/>
    <w:rsid w:val="00A55E45"/>
    <w:rsid w:val="00A5600E"/>
    <w:rsid w:val="00A5617C"/>
    <w:rsid w:val="00A565DF"/>
    <w:rsid w:val="00A56FFF"/>
    <w:rsid w:val="00A57873"/>
    <w:rsid w:val="00A57EAE"/>
    <w:rsid w:val="00A57F30"/>
    <w:rsid w:val="00A601B9"/>
    <w:rsid w:val="00A6052A"/>
    <w:rsid w:val="00A605CD"/>
    <w:rsid w:val="00A61B9A"/>
    <w:rsid w:val="00A62479"/>
    <w:rsid w:val="00A63552"/>
    <w:rsid w:val="00A63646"/>
    <w:rsid w:val="00A64E03"/>
    <w:rsid w:val="00A64E21"/>
    <w:rsid w:val="00A6528B"/>
    <w:rsid w:val="00A653FA"/>
    <w:rsid w:val="00A65CEE"/>
    <w:rsid w:val="00A67D5A"/>
    <w:rsid w:val="00A704CB"/>
    <w:rsid w:val="00A71204"/>
    <w:rsid w:val="00A71953"/>
    <w:rsid w:val="00A73B20"/>
    <w:rsid w:val="00A745FA"/>
    <w:rsid w:val="00A74E3D"/>
    <w:rsid w:val="00A76209"/>
    <w:rsid w:val="00A804B6"/>
    <w:rsid w:val="00A80B62"/>
    <w:rsid w:val="00A820BD"/>
    <w:rsid w:val="00A82162"/>
    <w:rsid w:val="00A825CC"/>
    <w:rsid w:val="00A83743"/>
    <w:rsid w:val="00A8469F"/>
    <w:rsid w:val="00A9066E"/>
    <w:rsid w:val="00A937F4"/>
    <w:rsid w:val="00A9433D"/>
    <w:rsid w:val="00A94B23"/>
    <w:rsid w:val="00A96822"/>
    <w:rsid w:val="00A9688A"/>
    <w:rsid w:val="00A96AD5"/>
    <w:rsid w:val="00AA0D06"/>
    <w:rsid w:val="00AA10D6"/>
    <w:rsid w:val="00AA12D7"/>
    <w:rsid w:val="00AA1C82"/>
    <w:rsid w:val="00AA1D6A"/>
    <w:rsid w:val="00AA2298"/>
    <w:rsid w:val="00AA26E5"/>
    <w:rsid w:val="00AA3367"/>
    <w:rsid w:val="00AA4B26"/>
    <w:rsid w:val="00AA64CC"/>
    <w:rsid w:val="00AA708D"/>
    <w:rsid w:val="00AB09EA"/>
    <w:rsid w:val="00AB10A1"/>
    <w:rsid w:val="00AB1624"/>
    <w:rsid w:val="00AB1740"/>
    <w:rsid w:val="00AB24C7"/>
    <w:rsid w:val="00AB3E07"/>
    <w:rsid w:val="00AB4198"/>
    <w:rsid w:val="00AB4371"/>
    <w:rsid w:val="00AB5DEE"/>
    <w:rsid w:val="00AB62A1"/>
    <w:rsid w:val="00AB762F"/>
    <w:rsid w:val="00AC02C1"/>
    <w:rsid w:val="00AC0652"/>
    <w:rsid w:val="00AC189A"/>
    <w:rsid w:val="00AC3999"/>
    <w:rsid w:val="00AC442E"/>
    <w:rsid w:val="00AC4F0A"/>
    <w:rsid w:val="00AC5598"/>
    <w:rsid w:val="00AC5911"/>
    <w:rsid w:val="00AC5BF0"/>
    <w:rsid w:val="00AC7796"/>
    <w:rsid w:val="00AD017E"/>
    <w:rsid w:val="00AD2AE6"/>
    <w:rsid w:val="00AD2EB8"/>
    <w:rsid w:val="00AD32ED"/>
    <w:rsid w:val="00AD488F"/>
    <w:rsid w:val="00AD4F40"/>
    <w:rsid w:val="00AD5267"/>
    <w:rsid w:val="00AD5642"/>
    <w:rsid w:val="00AD5C42"/>
    <w:rsid w:val="00AD6858"/>
    <w:rsid w:val="00AD7208"/>
    <w:rsid w:val="00AD76F9"/>
    <w:rsid w:val="00AD7A23"/>
    <w:rsid w:val="00AE0EEB"/>
    <w:rsid w:val="00AE1AE4"/>
    <w:rsid w:val="00AE1C81"/>
    <w:rsid w:val="00AE2DE6"/>
    <w:rsid w:val="00AE4961"/>
    <w:rsid w:val="00AE4EE1"/>
    <w:rsid w:val="00AE5A68"/>
    <w:rsid w:val="00AE6B10"/>
    <w:rsid w:val="00AF04F5"/>
    <w:rsid w:val="00AF065B"/>
    <w:rsid w:val="00AF2589"/>
    <w:rsid w:val="00AF269F"/>
    <w:rsid w:val="00AF312D"/>
    <w:rsid w:val="00AF3937"/>
    <w:rsid w:val="00AF3FFD"/>
    <w:rsid w:val="00AF4436"/>
    <w:rsid w:val="00AF581C"/>
    <w:rsid w:val="00AF594E"/>
    <w:rsid w:val="00AF6E67"/>
    <w:rsid w:val="00B01C29"/>
    <w:rsid w:val="00B0220A"/>
    <w:rsid w:val="00B0372F"/>
    <w:rsid w:val="00B045C0"/>
    <w:rsid w:val="00B04C19"/>
    <w:rsid w:val="00B0594C"/>
    <w:rsid w:val="00B06577"/>
    <w:rsid w:val="00B072FB"/>
    <w:rsid w:val="00B10809"/>
    <w:rsid w:val="00B112E6"/>
    <w:rsid w:val="00B11415"/>
    <w:rsid w:val="00B11DB4"/>
    <w:rsid w:val="00B12DE0"/>
    <w:rsid w:val="00B130D6"/>
    <w:rsid w:val="00B13609"/>
    <w:rsid w:val="00B147B4"/>
    <w:rsid w:val="00B1552A"/>
    <w:rsid w:val="00B155FE"/>
    <w:rsid w:val="00B167FE"/>
    <w:rsid w:val="00B16CA5"/>
    <w:rsid w:val="00B1771A"/>
    <w:rsid w:val="00B17901"/>
    <w:rsid w:val="00B214E3"/>
    <w:rsid w:val="00B21626"/>
    <w:rsid w:val="00B22B51"/>
    <w:rsid w:val="00B248BB"/>
    <w:rsid w:val="00B24E56"/>
    <w:rsid w:val="00B267B0"/>
    <w:rsid w:val="00B3024F"/>
    <w:rsid w:val="00B30A33"/>
    <w:rsid w:val="00B31630"/>
    <w:rsid w:val="00B32BCB"/>
    <w:rsid w:val="00B34679"/>
    <w:rsid w:val="00B34E48"/>
    <w:rsid w:val="00B354A5"/>
    <w:rsid w:val="00B360B4"/>
    <w:rsid w:val="00B364B0"/>
    <w:rsid w:val="00B367BB"/>
    <w:rsid w:val="00B37A04"/>
    <w:rsid w:val="00B42390"/>
    <w:rsid w:val="00B4243C"/>
    <w:rsid w:val="00B43051"/>
    <w:rsid w:val="00B44C6E"/>
    <w:rsid w:val="00B44DB8"/>
    <w:rsid w:val="00B475F6"/>
    <w:rsid w:val="00B47B1F"/>
    <w:rsid w:val="00B5027B"/>
    <w:rsid w:val="00B50383"/>
    <w:rsid w:val="00B53A4D"/>
    <w:rsid w:val="00B53D3E"/>
    <w:rsid w:val="00B546B1"/>
    <w:rsid w:val="00B546D7"/>
    <w:rsid w:val="00B56B6A"/>
    <w:rsid w:val="00B5742D"/>
    <w:rsid w:val="00B576EF"/>
    <w:rsid w:val="00B60272"/>
    <w:rsid w:val="00B63A00"/>
    <w:rsid w:val="00B64576"/>
    <w:rsid w:val="00B64F2A"/>
    <w:rsid w:val="00B65C98"/>
    <w:rsid w:val="00B6656D"/>
    <w:rsid w:val="00B6684B"/>
    <w:rsid w:val="00B6754F"/>
    <w:rsid w:val="00B67A3C"/>
    <w:rsid w:val="00B716E1"/>
    <w:rsid w:val="00B71903"/>
    <w:rsid w:val="00B73279"/>
    <w:rsid w:val="00B73E6D"/>
    <w:rsid w:val="00B73F96"/>
    <w:rsid w:val="00B75DDD"/>
    <w:rsid w:val="00B75EBA"/>
    <w:rsid w:val="00B76253"/>
    <w:rsid w:val="00B76547"/>
    <w:rsid w:val="00B76806"/>
    <w:rsid w:val="00B769E7"/>
    <w:rsid w:val="00B771C7"/>
    <w:rsid w:val="00B77444"/>
    <w:rsid w:val="00B77DFA"/>
    <w:rsid w:val="00B80077"/>
    <w:rsid w:val="00B802FD"/>
    <w:rsid w:val="00B825CF"/>
    <w:rsid w:val="00B83385"/>
    <w:rsid w:val="00B84443"/>
    <w:rsid w:val="00B844FC"/>
    <w:rsid w:val="00B8517D"/>
    <w:rsid w:val="00B85E7B"/>
    <w:rsid w:val="00B86567"/>
    <w:rsid w:val="00B868B6"/>
    <w:rsid w:val="00B9106D"/>
    <w:rsid w:val="00B91E28"/>
    <w:rsid w:val="00B92958"/>
    <w:rsid w:val="00B93003"/>
    <w:rsid w:val="00B9319A"/>
    <w:rsid w:val="00B945E7"/>
    <w:rsid w:val="00B94AFD"/>
    <w:rsid w:val="00BA0B0A"/>
    <w:rsid w:val="00BA23F1"/>
    <w:rsid w:val="00BA28CB"/>
    <w:rsid w:val="00BA4602"/>
    <w:rsid w:val="00BA46A8"/>
    <w:rsid w:val="00BA47C4"/>
    <w:rsid w:val="00BA58AE"/>
    <w:rsid w:val="00BA59A4"/>
    <w:rsid w:val="00BA5E6B"/>
    <w:rsid w:val="00BA62DF"/>
    <w:rsid w:val="00BA6787"/>
    <w:rsid w:val="00BA751C"/>
    <w:rsid w:val="00BA75DA"/>
    <w:rsid w:val="00BA7810"/>
    <w:rsid w:val="00BA7BF9"/>
    <w:rsid w:val="00BA7D24"/>
    <w:rsid w:val="00BB0937"/>
    <w:rsid w:val="00BB0BC8"/>
    <w:rsid w:val="00BB285A"/>
    <w:rsid w:val="00BB2AF9"/>
    <w:rsid w:val="00BB3789"/>
    <w:rsid w:val="00BB4757"/>
    <w:rsid w:val="00BB5175"/>
    <w:rsid w:val="00BB568D"/>
    <w:rsid w:val="00BB68B5"/>
    <w:rsid w:val="00BB7ECE"/>
    <w:rsid w:val="00BC1140"/>
    <w:rsid w:val="00BC1334"/>
    <w:rsid w:val="00BC4400"/>
    <w:rsid w:val="00BC4428"/>
    <w:rsid w:val="00BC5135"/>
    <w:rsid w:val="00BC6351"/>
    <w:rsid w:val="00BC7E19"/>
    <w:rsid w:val="00BC7F98"/>
    <w:rsid w:val="00BD05DC"/>
    <w:rsid w:val="00BD12F5"/>
    <w:rsid w:val="00BD2C4C"/>
    <w:rsid w:val="00BD2C79"/>
    <w:rsid w:val="00BD340A"/>
    <w:rsid w:val="00BD577E"/>
    <w:rsid w:val="00BD66A9"/>
    <w:rsid w:val="00BD6FD5"/>
    <w:rsid w:val="00BD7A42"/>
    <w:rsid w:val="00BE061B"/>
    <w:rsid w:val="00BE0823"/>
    <w:rsid w:val="00BE11A4"/>
    <w:rsid w:val="00BE237D"/>
    <w:rsid w:val="00BE2FEE"/>
    <w:rsid w:val="00BE5150"/>
    <w:rsid w:val="00BE5CFF"/>
    <w:rsid w:val="00BE7A70"/>
    <w:rsid w:val="00BF1B48"/>
    <w:rsid w:val="00BF2563"/>
    <w:rsid w:val="00BF2ACA"/>
    <w:rsid w:val="00BF2ECA"/>
    <w:rsid w:val="00BF3F6D"/>
    <w:rsid w:val="00BF46BE"/>
    <w:rsid w:val="00BF476E"/>
    <w:rsid w:val="00BF4883"/>
    <w:rsid w:val="00BF52D5"/>
    <w:rsid w:val="00BF7D8B"/>
    <w:rsid w:val="00C00495"/>
    <w:rsid w:val="00C009C0"/>
    <w:rsid w:val="00C01B06"/>
    <w:rsid w:val="00C01B21"/>
    <w:rsid w:val="00C02A0B"/>
    <w:rsid w:val="00C042EB"/>
    <w:rsid w:val="00C0432F"/>
    <w:rsid w:val="00C04335"/>
    <w:rsid w:val="00C05614"/>
    <w:rsid w:val="00C115D6"/>
    <w:rsid w:val="00C11946"/>
    <w:rsid w:val="00C122B6"/>
    <w:rsid w:val="00C1358F"/>
    <w:rsid w:val="00C1379C"/>
    <w:rsid w:val="00C13A9E"/>
    <w:rsid w:val="00C152E9"/>
    <w:rsid w:val="00C15B72"/>
    <w:rsid w:val="00C160B4"/>
    <w:rsid w:val="00C1667A"/>
    <w:rsid w:val="00C17453"/>
    <w:rsid w:val="00C17D43"/>
    <w:rsid w:val="00C17D60"/>
    <w:rsid w:val="00C206D8"/>
    <w:rsid w:val="00C20D1C"/>
    <w:rsid w:val="00C2312E"/>
    <w:rsid w:val="00C246AD"/>
    <w:rsid w:val="00C2551A"/>
    <w:rsid w:val="00C266D1"/>
    <w:rsid w:val="00C26DC5"/>
    <w:rsid w:val="00C31883"/>
    <w:rsid w:val="00C31FB6"/>
    <w:rsid w:val="00C32484"/>
    <w:rsid w:val="00C332D7"/>
    <w:rsid w:val="00C36308"/>
    <w:rsid w:val="00C365E1"/>
    <w:rsid w:val="00C36771"/>
    <w:rsid w:val="00C37B3D"/>
    <w:rsid w:val="00C40EDF"/>
    <w:rsid w:val="00C418E7"/>
    <w:rsid w:val="00C41A1D"/>
    <w:rsid w:val="00C41B0F"/>
    <w:rsid w:val="00C42967"/>
    <w:rsid w:val="00C4319E"/>
    <w:rsid w:val="00C43F15"/>
    <w:rsid w:val="00C44C73"/>
    <w:rsid w:val="00C44D97"/>
    <w:rsid w:val="00C4584E"/>
    <w:rsid w:val="00C459FA"/>
    <w:rsid w:val="00C45D2C"/>
    <w:rsid w:val="00C46514"/>
    <w:rsid w:val="00C5016E"/>
    <w:rsid w:val="00C501F7"/>
    <w:rsid w:val="00C5043D"/>
    <w:rsid w:val="00C51300"/>
    <w:rsid w:val="00C51363"/>
    <w:rsid w:val="00C52985"/>
    <w:rsid w:val="00C53CD1"/>
    <w:rsid w:val="00C53D8D"/>
    <w:rsid w:val="00C55232"/>
    <w:rsid w:val="00C55381"/>
    <w:rsid w:val="00C5556E"/>
    <w:rsid w:val="00C56CBC"/>
    <w:rsid w:val="00C575EC"/>
    <w:rsid w:val="00C5782D"/>
    <w:rsid w:val="00C60F1D"/>
    <w:rsid w:val="00C6221D"/>
    <w:rsid w:val="00C62911"/>
    <w:rsid w:val="00C62EA2"/>
    <w:rsid w:val="00C634E0"/>
    <w:rsid w:val="00C63D4E"/>
    <w:rsid w:val="00C64357"/>
    <w:rsid w:val="00C64CD9"/>
    <w:rsid w:val="00C64DB8"/>
    <w:rsid w:val="00C6547E"/>
    <w:rsid w:val="00C655DE"/>
    <w:rsid w:val="00C65747"/>
    <w:rsid w:val="00C65E4F"/>
    <w:rsid w:val="00C65F69"/>
    <w:rsid w:val="00C66D15"/>
    <w:rsid w:val="00C67495"/>
    <w:rsid w:val="00C67C5D"/>
    <w:rsid w:val="00C7005F"/>
    <w:rsid w:val="00C705B8"/>
    <w:rsid w:val="00C708D7"/>
    <w:rsid w:val="00C70E64"/>
    <w:rsid w:val="00C71774"/>
    <w:rsid w:val="00C71CAA"/>
    <w:rsid w:val="00C71CF3"/>
    <w:rsid w:val="00C71E71"/>
    <w:rsid w:val="00C72314"/>
    <w:rsid w:val="00C73C0F"/>
    <w:rsid w:val="00C75707"/>
    <w:rsid w:val="00C75C32"/>
    <w:rsid w:val="00C75E88"/>
    <w:rsid w:val="00C76D0E"/>
    <w:rsid w:val="00C7702B"/>
    <w:rsid w:val="00C77F6E"/>
    <w:rsid w:val="00C82214"/>
    <w:rsid w:val="00C82329"/>
    <w:rsid w:val="00C82FF6"/>
    <w:rsid w:val="00C834F1"/>
    <w:rsid w:val="00C83695"/>
    <w:rsid w:val="00C85E1A"/>
    <w:rsid w:val="00C863F9"/>
    <w:rsid w:val="00C868AF"/>
    <w:rsid w:val="00C86E61"/>
    <w:rsid w:val="00C87721"/>
    <w:rsid w:val="00C90B52"/>
    <w:rsid w:val="00C90B81"/>
    <w:rsid w:val="00C90DC4"/>
    <w:rsid w:val="00C91350"/>
    <w:rsid w:val="00C91781"/>
    <w:rsid w:val="00C9262F"/>
    <w:rsid w:val="00C941F6"/>
    <w:rsid w:val="00C9468D"/>
    <w:rsid w:val="00C95401"/>
    <w:rsid w:val="00C95C44"/>
    <w:rsid w:val="00C97595"/>
    <w:rsid w:val="00C97A23"/>
    <w:rsid w:val="00C97ACA"/>
    <w:rsid w:val="00CA015E"/>
    <w:rsid w:val="00CA0771"/>
    <w:rsid w:val="00CA1638"/>
    <w:rsid w:val="00CA305C"/>
    <w:rsid w:val="00CA3498"/>
    <w:rsid w:val="00CA4CAF"/>
    <w:rsid w:val="00CA50C5"/>
    <w:rsid w:val="00CA55BE"/>
    <w:rsid w:val="00CA5897"/>
    <w:rsid w:val="00CA6509"/>
    <w:rsid w:val="00CA7B4D"/>
    <w:rsid w:val="00CB1BAB"/>
    <w:rsid w:val="00CB4159"/>
    <w:rsid w:val="00CB435F"/>
    <w:rsid w:val="00CB5BED"/>
    <w:rsid w:val="00CB5EC3"/>
    <w:rsid w:val="00CB617B"/>
    <w:rsid w:val="00CB7C68"/>
    <w:rsid w:val="00CB7DB5"/>
    <w:rsid w:val="00CB7F0E"/>
    <w:rsid w:val="00CC0B4C"/>
    <w:rsid w:val="00CC0BC3"/>
    <w:rsid w:val="00CC0D2B"/>
    <w:rsid w:val="00CC21EC"/>
    <w:rsid w:val="00CC2AC6"/>
    <w:rsid w:val="00CC375B"/>
    <w:rsid w:val="00CC39AD"/>
    <w:rsid w:val="00CC4068"/>
    <w:rsid w:val="00CC5089"/>
    <w:rsid w:val="00CC5841"/>
    <w:rsid w:val="00CC5A21"/>
    <w:rsid w:val="00CC6595"/>
    <w:rsid w:val="00CD2055"/>
    <w:rsid w:val="00CD2722"/>
    <w:rsid w:val="00CD2A36"/>
    <w:rsid w:val="00CD37C7"/>
    <w:rsid w:val="00CD392C"/>
    <w:rsid w:val="00CD3F3E"/>
    <w:rsid w:val="00CD4893"/>
    <w:rsid w:val="00CD537A"/>
    <w:rsid w:val="00CD6117"/>
    <w:rsid w:val="00CD723A"/>
    <w:rsid w:val="00CE0775"/>
    <w:rsid w:val="00CE07BC"/>
    <w:rsid w:val="00CE08A1"/>
    <w:rsid w:val="00CE2C51"/>
    <w:rsid w:val="00CE31DA"/>
    <w:rsid w:val="00CE35F8"/>
    <w:rsid w:val="00CE59AD"/>
    <w:rsid w:val="00CE66FA"/>
    <w:rsid w:val="00CE7028"/>
    <w:rsid w:val="00CF0454"/>
    <w:rsid w:val="00CF05BF"/>
    <w:rsid w:val="00CF08D8"/>
    <w:rsid w:val="00CF18C4"/>
    <w:rsid w:val="00CF212E"/>
    <w:rsid w:val="00CF23F8"/>
    <w:rsid w:val="00CF3F22"/>
    <w:rsid w:val="00CF44D4"/>
    <w:rsid w:val="00CF5B31"/>
    <w:rsid w:val="00CF5D89"/>
    <w:rsid w:val="00CF5FEF"/>
    <w:rsid w:val="00CF6157"/>
    <w:rsid w:val="00CF668D"/>
    <w:rsid w:val="00CF6BC7"/>
    <w:rsid w:val="00CF6D3D"/>
    <w:rsid w:val="00CF6EED"/>
    <w:rsid w:val="00CF6F62"/>
    <w:rsid w:val="00CF7E9D"/>
    <w:rsid w:val="00D00239"/>
    <w:rsid w:val="00D01209"/>
    <w:rsid w:val="00D02B15"/>
    <w:rsid w:val="00D03444"/>
    <w:rsid w:val="00D03A9D"/>
    <w:rsid w:val="00D04226"/>
    <w:rsid w:val="00D04937"/>
    <w:rsid w:val="00D05602"/>
    <w:rsid w:val="00D0708E"/>
    <w:rsid w:val="00D10A23"/>
    <w:rsid w:val="00D10BB6"/>
    <w:rsid w:val="00D11A60"/>
    <w:rsid w:val="00D11E3E"/>
    <w:rsid w:val="00D11F54"/>
    <w:rsid w:val="00D14662"/>
    <w:rsid w:val="00D15AEE"/>
    <w:rsid w:val="00D15DA0"/>
    <w:rsid w:val="00D15E38"/>
    <w:rsid w:val="00D15FF9"/>
    <w:rsid w:val="00D1684E"/>
    <w:rsid w:val="00D16A71"/>
    <w:rsid w:val="00D16ED5"/>
    <w:rsid w:val="00D17752"/>
    <w:rsid w:val="00D17990"/>
    <w:rsid w:val="00D22541"/>
    <w:rsid w:val="00D22E0D"/>
    <w:rsid w:val="00D22FEA"/>
    <w:rsid w:val="00D247A9"/>
    <w:rsid w:val="00D24DA5"/>
    <w:rsid w:val="00D26D21"/>
    <w:rsid w:val="00D300C2"/>
    <w:rsid w:val="00D30278"/>
    <w:rsid w:val="00D30313"/>
    <w:rsid w:val="00D30CDF"/>
    <w:rsid w:val="00D319B1"/>
    <w:rsid w:val="00D31D64"/>
    <w:rsid w:val="00D320D2"/>
    <w:rsid w:val="00D32735"/>
    <w:rsid w:val="00D32941"/>
    <w:rsid w:val="00D33B83"/>
    <w:rsid w:val="00D3448C"/>
    <w:rsid w:val="00D34B4A"/>
    <w:rsid w:val="00D351B2"/>
    <w:rsid w:val="00D36779"/>
    <w:rsid w:val="00D36D05"/>
    <w:rsid w:val="00D37106"/>
    <w:rsid w:val="00D37213"/>
    <w:rsid w:val="00D37B66"/>
    <w:rsid w:val="00D37C33"/>
    <w:rsid w:val="00D41283"/>
    <w:rsid w:val="00D4272A"/>
    <w:rsid w:val="00D42EE7"/>
    <w:rsid w:val="00D42F8F"/>
    <w:rsid w:val="00D42FF1"/>
    <w:rsid w:val="00D447AB"/>
    <w:rsid w:val="00D450AB"/>
    <w:rsid w:val="00D452EE"/>
    <w:rsid w:val="00D4539A"/>
    <w:rsid w:val="00D45400"/>
    <w:rsid w:val="00D45589"/>
    <w:rsid w:val="00D45CC2"/>
    <w:rsid w:val="00D46625"/>
    <w:rsid w:val="00D46F30"/>
    <w:rsid w:val="00D50527"/>
    <w:rsid w:val="00D50B3D"/>
    <w:rsid w:val="00D52548"/>
    <w:rsid w:val="00D52E03"/>
    <w:rsid w:val="00D52FAA"/>
    <w:rsid w:val="00D53A76"/>
    <w:rsid w:val="00D53E69"/>
    <w:rsid w:val="00D56375"/>
    <w:rsid w:val="00D56598"/>
    <w:rsid w:val="00D569C8"/>
    <w:rsid w:val="00D570A2"/>
    <w:rsid w:val="00D607E9"/>
    <w:rsid w:val="00D607EE"/>
    <w:rsid w:val="00D60862"/>
    <w:rsid w:val="00D60E49"/>
    <w:rsid w:val="00D60FEE"/>
    <w:rsid w:val="00D618A2"/>
    <w:rsid w:val="00D6230B"/>
    <w:rsid w:val="00D62D6E"/>
    <w:rsid w:val="00D65049"/>
    <w:rsid w:val="00D65484"/>
    <w:rsid w:val="00D67467"/>
    <w:rsid w:val="00D67B69"/>
    <w:rsid w:val="00D67C7C"/>
    <w:rsid w:val="00D7060B"/>
    <w:rsid w:val="00D707F2"/>
    <w:rsid w:val="00D713C5"/>
    <w:rsid w:val="00D72178"/>
    <w:rsid w:val="00D72572"/>
    <w:rsid w:val="00D73A45"/>
    <w:rsid w:val="00D741B2"/>
    <w:rsid w:val="00D75291"/>
    <w:rsid w:val="00D75838"/>
    <w:rsid w:val="00D7584A"/>
    <w:rsid w:val="00D760F1"/>
    <w:rsid w:val="00D7666D"/>
    <w:rsid w:val="00D76752"/>
    <w:rsid w:val="00D769B5"/>
    <w:rsid w:val="00D77470"/>
    <w:rsid w:val="00D77525"/>
    <w:rsid w:val="00D81524"/>
    <w:rsid w:val="00D81BE1"/>
    <w:rsid w:val="00D82889"/>
    <w:rsid w:val="00D82F18"/>
    <w:rsid w:val="00D83273"/>
    <w:rsid w:val="00D851AE"/>
    <w:rsid w:val="00D85F7F"/>
    <w:rsid w:val="00D86D50"/>
    <w:rsid w:val="00D874B8"/>
    <w:rsid w:val="00D87960"/>
    <w:rsid w:val="00D87DCF"/>
    <w:rsid w:val="00D90D63"/>
    <w:rsid w:val="00D9137E"/>
    <w:rsid w:val="00D962A5"/>
    <w:rsid w:val="00D968B2"/>
    <w:rsid w:val="00D970AC"/>
    <w:rsid w:val="00D97A81"/>
    <w:rsid w:val="00DA00DD"/>
    <w:rsid w:val="00DA034F"/>
    <w:rsid w:val="00DA0364"/>
    <w:rsid w:val="00DA1B2E"/>
    <w:rsid w:val="00DA1C12"/>
    <w:rsid w:val="00DA2218"/>
    <w:rsid w:val="00DA27B4"/>
    <w:rsid w:val="00DA2DAE"/>
    <w:rsid w:val="00DA2F6D"/>
    <w:rsid w:val="00DA31F6"/>
    <w:rsid w:val="00DA3A5D"/>
    <w:rsid w:val="00DA4182"/>
    <w:rsid w:val="00DA4823"/>
    <w:rsid w:val="00DA508F"/>
    <w:rsid w:val="00DA6B85"/>
    <w:rsid w:val="00DA75DD"/>
    <w:rsid w:val="00DA76C6"/>
    <w:rsid w:val="00DB1307"/>
    <w:rsid w:val="00DB3159"/>
    <w:rsid w:val="00DB406C"/>
    <w:rsid w:val="00DB51B6"/>
    <w:rsid w:val="00DB667A"/>
    <w:rsid w:val="00DC071A"/>
    <w:rsid w:val="00DC0B52"/>
    <w:rsid w:val="00DC1A47"/>
    <w:rsid w:val="00DC1CCD"/>
    <w:rsid w:val="00DC23C5"/>
    <w:rsid w:val="00DC2CFE"/>
    <w:rsid w:val="00DC4B1B"/>
    <w:rsid w:val="00DC4CCF"/>
    <w:rsid w:val="00DC5F1D"/>
    <w:rsid w:val="00DC6906"/>
    <w:rsid w:val="00DC717E"/>
    <w:rsid w:val="00DC7E42"/>
    <w:rsid w:val="00DD03CF"/>
    <w:rsid w:val="00DD0EC8"/>
    <w:rsid w:val="00DD0F1D"/>
    <w:rsid w:val="00DD1AFF"/>
    <w:rsid w:val="00DD1DD9"/>
    <w:rsid w:val="00DD3F70"/>
    <w:rsid w:val="00DD4605"/>
    <w:rsid w:val="00DD4761"/>
    <w:rsid w:val="00DD4819"/>
    <w:rsid w:val="00DD4BEE"/>
    <w:rsid w:val="00DD5AF3"/>
    <w:rsid w:val="00DD5B36"/>
    <w:rsid w:val="00DD6839"/>
    <w:rsid w:val="00DD6CC6"/>
    <w:rsid w:val="00DD751F"/>
    <w:rsid w:val="00DD7A2B"/>
    <w:rsid w:val="00DE22B3"/>
    <w:rsid w:val="00DE2379"/>
    <w:rsid w:val="00DE3A3C"/>
    <w:rsid w:val="00DE4CCA"/>
    <w:rsid w:val="00DE4EB2"/>
    <w:rsid w:val="00DE51FA"/>
    <w:rsid w:val="00DE5B28"/>
    <w:rsid w:val="00DE5EB4"/>
    <w:rsid w:val="00DE7D63"/>
    <w:rsid w:val="00DF1C3E"/>
    <w:rsid w:val="00DF2098"/>
    <w:rsid w:val="00DF2888"/>
    <w:rsid w:val="00DF292F"/>
    <w:rsid w:val="00DF446B"/>
    <w:rsid w:val="00DF4616"/>
    <w:rsid w:val="00DF61F5"/>
    <w:rsid w:val="00DF6F4A"/>
    <w:rsid w:val="00DF78BE"/>
    <w:rsid w:val="00E01030"/>
    <w:rsid w:val="00E0228D"/>
    <w:rsid w:val="00E0242A"/>
    <w:rsid w:val="00E03023"/>
    <w:rsid w:val="00E034FA"/>
    <w:rsid w:val="00E039E6"/>
    <w:rsid w:val="00E10402"/>
    <w:rsid w:val="00E13597"/>
    <w:rsid w:val="00E13D76"/>
    <w:rsid w:val="00E14022"/>
    <w:rsid w:val="00E15B3D"/>
    <w:rsid w:val="00E15DC2"/>
    <w:rsid w:val="00E16D2A"/>
    <w:rsid w:val="00E2027A"/>
    <w:rsid w:val="00E206AB"/>
    <w:rsid w:val="00E21554"/>
    <w:rsid w:val="00E21FF8"/>
    <w:rsid w:val="00E2515E"/>
    <w:rsid w:val="00E262F2"/>
    <w:rsid w:val="00E2669C"/>
    <w:rsid w:val="00E304EF"/>
    <w:rsid w:val="00E31991"/>
    <w:rsid w:val="00E32368"/>
    <w:rsid w:val="00E32B66"/>
    <w:rsid w:val="00E32BF0"/>
    <w:rsid w:val="00E32F02"/>
    <w:rsid w:val="00E33043"/>
    <w:rsid w:val="00E36478"/>
    <w:rsid w:val="00E37DA0"/>
    <w:rsid w:val="00E406F8"/>
    <w:rsid w:val="00E416BF"/>
    <w:rsid w:val="00E420E9"/>
    <w:rsid w:val="00E42134"/>
    <w:rsid w:val="00E42D12"/>
    <w:rsid w:val="00E42D93"/>
    <w:rsid w:val="00E43043"/>
    <w:rsid w:val="00E43BD0"/>
    <w:rsid w:val="00E44576"/>
    <w:rsid w:val="00E44DC5"/>
    <w:rsid w:val="00E44EBF"/>
    <w:rsid w:val="00E4560F"/>
    <w:rsid w:val="00E5044F"/>
    <w:rsid w:val="00E518CC"/>
    <w:rsid w:val="00E5229E"/>
    <w:rsid w:val="00E52C7A"/>
    <w:rsid w:val="00E56481"/>
    <w:rsid w:val="00E5700A"/>
    <w:rsid w:val="00E60796"/>
    <w:rsid w:val="00E609F0"/>
    <w:rsid w:val="00E60E21"/>
    <w:rsid w:val="00E618AD"/>
    <w:rsid w:val="00E626FE"/>
    <w:rsid w:val="00E62744"/>
    <w:rsid w:val="00E634C1"/>
    <w:rsid w:val="00E63A53"/>
    <w:rsid w:val="00E67F5D"/>
    <w:rsid w:val="00E67FF9"/>
    <w:rsid w:val="00E7164D"/>
    <w:rsid w:val="00E7359A"/>
    <w:rsid w:val="00E73AA3"/>
    <w:rsid w:val="00E73CA4"/>
    <w:rsid w:val="00E74721"/>
    <w:rsid w:val="00E75F6B"/>
    <w:rsid w:val="00E7691C"/>
    <w:rsid w:val="00E76CCD"/>
    <w:rsid w:val="00E7712C"/>
    <w:rsid w:val="00E81FEA"/>
    <w:rsid w:val="00E829D5"/>
    <w:rsid w:val="00E8401E"/>
    <w:rsid w:val="00E84726"/>
    <w:rsid w:val="00E84C85"/>
    <w:rsid w:val="00E85676"/>
    <w:rsid w:val="00E86CE7"/>
    <w:rsid w:val="00E879FB"/>
    <w:rsid w:val="00E87AB3"/>
    <w:rsid w:val="00E87CE4"/>
    <w:rsid w:val="00E90559"/>
    <w:rsid w:val="00E9094A"/>
    <w:rsid w:val="00E91E57"/>
    <w:rsid w:val="00E92648"/>
    <w:rsid w:val="00E9494F"/>
    <w:rsid w:val="00E95185"/>
    <w:rsid w:val="00E953F3"/>
    <w:rsid w:val="00E96BD7"/>
    <w:rsid w:val="00EA030F"/>
    <w:rsid w:val="00EA17EF"/>
    <w:rsid w:val="00EA27C7"/>
    <w:rsid w:val="00EA2D58"/>
    <w:rsid w:val="00EA2E5D"/>
    <w:rsid w:val="00EA35DB"/>
    <w:rsid w:val="00EA3734"/>
    <w:rsid w:val="00EA3EBD"/>
    <w:rsid w:val="00EA42D7"/>
    <w:rsid w:val="00EA4E90"/>
    <w:rsid w:val="00EA55D8"/>
    <w:rsid w:val="00EA5BBF"/>
    <w:rsid w:val="00EA5DB3"/>
    <w:rsid w:val="00EA6DEA"/>
    <w:rsid w:val="00EA70B4"/>
    <w:rsid w:val="00EA7895"/>
    <w:rsid w:val="00EB0557"/>
    <w:rsid w:val="00EB056F"/>
    <w:rsid w:val="00EB0FE1"/>
    <w:rsid w:val="00EB1BF0"/>
    <w:rsid w:val="00EB1E70"/>
    <w:rsid w:val="00EB2517"/>
    <w:rsid w:val="00EB4532"/>
    <w:rsid w:val="00EB4E9D"/>
    <w:rsid w:val="00EB4F3D"/>
    <w:rsid w:val="00EB5D00"/>
    <w:rsid w:val="00EB72FD"/>
    <w:rsid w:val="00EB75CB"/>
    <w:rsid w:val="00EB7DF8"/>
    <w:rsid w:val="00EC14BA"/>
    <w:rsid w:val="00EC159A"/>
    <w:rsid w:val="00EC1840"/>
    <w:rsid w:val="00EC1B09"/>
    <w:rsid w:val="00EC1BC7"/>
    <w:rsid w:val="00EC28C6"/>
    <w:rsid w:val="00EC2C13"/>
    <w:rsid w:val="00EC2D03"/>
    <w:rsid w:val="00EC3895"/>
    <w:rsid w:val="00EC3D52"/>
    <w:rsid w:val="00EC3FAE"/>
    <w:rsid w:val="00EC4A93"/>
    <w:rsid w:val="00EC6EE4"/>
    <w:rsid w:val="00EC7658"/>
    <w:rsid w:val="00EC766A"/>
    <w:rsid w:val="00EC7B79"/>
    <w:rsid w:val="00ED0639"/>
    <w:rsid w:val="00ED181E"/>
    <w:rsid w:val="00ED1F0B"/>
    <w:rsid w:val="00ED2CEE"/>
    <w:rsid w:val="00ED3C1C"/>
    <w:rsid w:val="00ED41A7"/>
    <w:rsid w:val="00ED5B5D"/>
    <w:rsid w:val="00ED60BD"/>
    <w:rsid w:val="00ED662C"/>
    <w:rsid w:val="00ED7130"/>
    <w:rsid w:val="00EE0CD5"/>
    <w:rsid w:val="00EE1FB2"/>
    <w:rsid w:val="00EE22AD"/>
    <w:rsid w:val="00EE25B9"/>
    <w:rsid w:val="00EE3045"/>
    <w:rsid w:val="00EE3E87"/>
    <w:rsid w:val="00EE53AB"/>
    <w:rsid w:val="00EE623C"/>
    <w:rsid w:val="00EE7297"/>
    <w:rsid w:val="00EE73E6"/>
    <w:rsid w:val="00EF1415"/>
    <w:rsid w:val="00EF1AAE"/>
    <w:rsid w:val="00EF2060"/>
    <w:rsid w:val="00EF3BAC"/>
    <w:rsid w:val="00EF45AB"/>
    <w:rsid w:val="00EF4808"/>
    <w:rsid w:val="00EF4835"/>
    <w:rsid w:val="00EF4E52"/>
    <w:rsid w:val="00EF514B"/>
    <w:rsid w:val="00EF6D57"/>
    <w:rsid w:val="00EF7894"/>
    <w:rsid w:val="00EF78D7"/>
    <w:rsid w:val="00EF7E1C"/>
    <w:rsid w:val="00EF7FCE"/>
    <w:rsid w:val="00F0051D"/>
    <w:rsid w:val="00F0098F"/>
    <w:rsid w:val="00F00A89"/>
    <w:rsid w:val="00F00BC7"/>
    <w:rsid w:val="00F03346"/>
    <w:rsid w:val="00F038A5"/>
    <w:rsid w:val="00F0392D"/>
    <w:rsid w:val="00F03D67"/>
    <w:rsid w:val="00F03D77"/>
    <w:rsid w:val="00F04129"/>
    <w:rsid w:val="00F0647B"/>
    <w:rsid w:val="00F06A40"/>
    <w:rsid w:val="00F06A97"/>
    <w:rsid w:val="00F071B4"/>
    <w:rsid w:val="00F07407"/>
    <w:rsid w:val="00F07471"/>
    <w:rsid w:val="00F11376"/>
    <w:rsid w:val="00F1149E"/>
    <w:rsid w:val="00F11EB2"/>
    <w:rsid w:val="00F130C0"/>
    <w:rsid w:val="00F130D0"/>
    <w:rsid w:val="00F13B05"/>
    <w:rsid w:val="00F14162"/>
    <w:rsid w:val="00F14170"/>
    <w:rsid w:val="00F144CB"/>
    <w:rsid w:val="00F14BC8"/>
    <w:rsid w:val="00F151A2"/>
    <w:rsid w:val="00F15353"/>
    <w:rsid w:val="00F15805"/>
    <w:rsid w:val="00F15F54"/>
    <w:rsid w:val="00F160F9"/>
    <w:rsid w:val="00F17042"/>
    <w:rsid w:val="00F17626"/>
    <w:rsid w:val="00F17724"/>
    <w:rsid w:val="00F17E67"/>
    <w:rsid w:val="00F2090E"/>
    <w:rsid w:val="00F2148E"/>
    <w:rsid w:val="00F22714"/>
    <w:rsid w:val="00F22784"/>
    <w:rsid w:val="00F230B1"/>
    <w:rsid w:val="00F2372B"/>
    <w:rsid w:val="00F23A7D"/>
    <w:rsid w:val="00F23F07"/>
    <w:rsid w:val="00F253A7"/>
    <w:rsid w:val="00F25A1F"/>
    <w:rsid w:val="00F26B5A"/>
    <w:rsid w:val="00F310D2"/>
    <w:rsid w:val="00F31314"/>
    <w:rsid w:val="00F31462"/>
    <w:rsid w:val="00F317CE"/>
    <w:rsid w:val="00F324BF"/>
    <w:rsid w:val="00F3294C"/>
    <w:rsid w:val="00F32EF5"/>
    <w:rsid w:val="00F33021"/>
    <w:rsid w:val="00F33A17"/>
    <w:rsid w:val="00F33E9F"/>
    <w:rsid w:val="00F34966"/>
    <w:rsid w:val="00F34B1D"/>
    <w:rsid w:val="00F34FEC"/>
    <w:rsid w:val="00F35734"/>
    <w:rsid w:val="00F35DC2"/>
    <w:rsid w:val="00F35EE1"/>
    <w:rsid w:val="00F36F69"/>
    <w:rsid w:val="00F3718B"/>
    <w:rsid w:val="00F37631"/>
    <w:rsid w:val="00F37B93"/>
    <w:rsid w:val="00F40EAC"/>
    <w:rsid w:val="00F420C7"/>
    <w:rsid w:val="00F421AE"/>
    <w:rsid w:val="00F4264C"/>
    <w:rsid w:val="00F4269A"/>
    <w:rsid w:val="00F439B4"/>
    <w:rsid w:val="00F43B79"/>
    <w:rsid w:val="00F43BCB"/>
    <w:rsid w:val="00F44CBC"/>
    <w:rsid w:val="00F452DE"/>
    <w:rsid w:val="00F454CE"/>
    <w:rsid w:val="00F459BF"/>
    <w:rsid w:val="00F45DEC"/>
    <w:rsid w:val="00F4606A"/>
    <w:rsid w:val="00F46B84"/>
    <w:rsid w:val="00F46F4E"/>
    <w:rsid w:val="00F47810"/>
    <w:rsid w:val="00F515A7"/>
    <w:rsid w:val="00F51608"/>
    <w:rsid w:val="00F51D09"/>
    <w:rsid w:val="00F51E67"/>
    <w:rsid w:val="00F5211F"/>
    <w:rsid w:val="00F52B5A"/>
    <w:rsid w:val="00F53624"/>
    <w:rsid w:val="00F53C34"/>
    <w:rsid w:val="00F5439A"/>
    <w:rsid w:val="00F5483A"/>
    <w:rsid w:val="00F554CC"/>
    <w:rsid w:val="00F556D3"/>
    <w:rsid w:val="00F57292"/>
    <w:rsid w:val="00F5732B"/>
    <w:rsid w:val="00F575E6"/>
    <w:rsid w:val="00F57AE3"/>
    <w:rsid w:val="00F6186C"/>
    <w:rsid w:val="00F61D84"/>
    <w:rsid w:val="00F62454"/>
    <w:rsid w:val="00F6268F"/>
    <w:rsid w:val="00F6300C"/>
    <w:rsid w:val="00F63C1B"/>
    <w:rsid w:val="00F63F00"/>
    <w:rsid w:val="00F64C58"/>
    <w:rsid w:val="00F67055"/>
    <w:rsid w:val="00F67270"/>
    <w:rsid w:val="00F6759F"/>
    <w:rsid w:val="00F67607"/>
    <w:rsid w:val="00F67C79"/>
    <w:rsid w:val="00F67DE8"/>
    <w:rsid w:val="00F70153"/>
    <w:rsid w:val="00F70D51"/>
    <w:rsid w:val="00F71888"/>
    <w:rsid w:val="00F72F96"/>
    <w:rsid w:val="00F73A13"/>
    <w:rsid w:val="00F73BFB"/>
    <w:rsid w:val="00F73EF5"/>
    <w:rsid w:val="00F73F08"/>
    <w:rsid w:val="00F750F1"/>
    <w:rsid w:val="00F7735B"/>
    <w:rsid w:val="00F815C0"/>
    <w:rsid w:val="00F81B16"/>
    <w:rsid w:val="00F82076"/>
    <w:rsid w:val="00F8244F"/>
    <w:rsid w:val="00F826E4"/>
    <w:rsid w:val="00F83392"/>
    <w:rsid w:val="00F84896"/>
    <w:rsid w:val="00F85246"/>
    <w:rsid w:val="00F869E0"/>
    <w:rsid w:val="00F86B74"/>
    <w:rsid w:val="00F87022"/>
    <w:rsid w:val="00F87052"/>
    <w:rsid w:val="00F92464"/>
    <w:rsid w:val="00F929B8"/>
    <w:rsid w:val="00F930CD"/>
    <w:rsid w:val="00F930EA"/>
    <w:rsid w:val="00F96CEE"/>
    <w:rsid w:val="00F96F30"/>
    <w:rsid w:val="00F970AA"/>
    <w:rsid w:val="00F970DF"/>
    <w:rsid w:val="00F97CC1"/>
    <w:rsid w:val="00FA1015"/>
    <w:rsid w:val="00FA1164"/>
    <w:rsid w:val="00FA11E5"/>
    <w:rsid w:val="00FA1887"/>
    <w:rsid w:val="00FA2BB6"/>
    <w:rsid w:val="00FA4570"/>
    <w:rsid w:val="00FA4BBC"/>
    <w:rsid w:val="00FA5174"/>
    <w:rsid w:val="00FA6A07"/>
    <w:rsid w:val="00FA7686"/>
    <w:rsid w:val="00FA7EEB"/>
    <w:rsid w:val="00FB0741"/>
    <w:rsid w:val="00FB1760"/>
    <w:rsid w:val="00FB2D5B"/>
    <w:rsid w:val="00FB3393"/>
    <w:rsid w:val="00FB581A"/>
    <w:rsid w:val="00FB7ED6"/>
    <w:rsid w:val="00FC0811"/>
    <w:rsid w:val="00FC1B50"/>
    <w:rsid w:val="00FC250F"/>
    <w:rsid w:val="00FC3981"/>
    <w:rsid w:val="00FC4280"/>
    <w:rsid w:val="00FC4481"/>
    <w:rsid w:val="00FC49B4"/>
    <w:rsid w:val="00FC4B0D"/>
    <w:rsid w:val="00FC50E1"/>
    <w:rsid w:val="00FC5A39"/>
    <w:rsid w:val="00FC5B5C"/>
    <w:rsid w:val="00FD00A3"/>
    <w:rsid w:val="00FD01E1"/>
    <w:rsid w:val="00FD0AF6"/>
    <w:rsid w:val="00FD0CAB"/>
    <w:rsid w:val="00FD1147"/>
    <w:rsid w:val="00FD2E92"/>
    <w:rsid w:val="00FD2F59"/>
    <w:rsid w:val="00FD3810"/>
    <w:rsid w:val="00FD4E73"/>
    <w:rsid w:val="00FD4FBF"/>
    <w:rsid w:val="00FD674A"/>
    <w:rsid w:val="00FD793B"/>
    <w:rsid w:val="00FD79B5"/>
    <w:rsid w:val="00FE013A"/>
    <w:rsid w:val="00FE1432"/>
    <w:rsid w:val="00FE1EF9"/>
    <w:rsid w:val="00FE20FA"/>
    <w:rsid w:val="00FE26B4"/>
    <w:rsid w:val="00FE2DC7"/>
    <w:rsid w:val="00FE2DC8"/>
    <w:rsid w:val="00FE3847"/>
    <w:rsid w:val="00FE3CB8"/>
    <w:rsid w:val="00FE3EDC"/>
    <w:rsid w:val="00FE46AD"/>
    <w:rsid w:val="00FE4EA7"/>
    <w:rsid w:val="00FE5F1E"/>
    <w:rsid w:val="00FE6F92"/>
    <w:rsid w:val="00FE7AC5"/>
    <w:rsid w:val="00FE7EBD"/>
    <w:rsid w:val="00FF0947"/>
    <w:rsid w:val="00FF0DA5"/>
    <w:rsid w:val="00FF10DA"/>
    <w:rsid w:val="00FF1499"/>
    <w:rsid w:val="00FF274C"/>
    <w:rsid w:val="00FF2FF7"/>
    <w:rsid w:val="00FF3E2A"/>
    <w:rsid w:val="00FF4F74"/>
    <w:rsid w:val="00FF52C5"/>
    <w:rsid w:val="00FF5F27"/>
    <w:rsid w:val="00FF6217"/>
    <w:rsid w:val="00FF627C"/>
    <w:rsid w:val="00FF6BD6"/>
    <w:rsid w:val="00FF6ECC"/>
    <w:rsid w:val="00FF7596"/>
    <w:rsid w:val="00FF7C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B1A70"/>
  <w15:chartTrackingRefBased/>
  <w15:docId w15:val="{ABB049C4-4303-4C5C-A6EB-CD74F9A0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sdException w:name="Light Shading Accent 5" w:uiPriority="60"/>
    <w:lsdException w:name="Light List Accent 5"/>
    <w:lsdException w:name="Light Grid Accent 5"/>
    <w:lsdException w:name="Medium Shading 1 Accent 5"/>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06"/>
    <w:pPr>
      <w:jc w:val="both"/>
    </w:pPr>
    <w:rPr>
      <w:rFonts w:ascii="Arial" w:eastAsia="Times New Roman" w:hAnsi="Arial" w:cs="Times New Roman"/>
      <w:sz w:val="20"/>
    </w:rPr>
  </w:style>
  <w:style w:type="paragraph" w:styleId="Heading1">
    <w:name w:val="heading 1"/>
    <w:basedOn w:val="Normal"/>
    <w:next w:val="Normal"/>
    <w:link w:val="Heading1Char"/>
    <w:uiPriority w:val="99"/>
    <w:qFormat/>
    <w:rsid w:val="00FA5174"/>
    <w:pPr>
      <w:keepNext/>
      <w:numPr>
        <w:numId w:val="39"/>
      </w:numPr>
      <w:overflowPunct w:val="0"/>
      <w:autoSpaceDE w:val="0"/>
      <w:autoSpaceDN w:val="0"/>
      <w:adjustRightInd w:val="0"/>
      <w:spacing w:before="240" w:after="120"/>
      <w:textAlignment w:val="baseline"/>
      <w:outlineLvl w:val="0"/>
    </w:pPr>
    <w:rPr>
      <w:b/>
      <w:bCs/>
      <w:caps/>
      <w:kern w:val="32"/>
      <w:sz w:val="32"/>
      <w:szCs w:val="32"/>
    </w:rPr>
  </w:style>
  <w:style w:type="paragraph" w:styleId="Heading2">
    <w:name w:val="heading 2"/>
    <w:basedOn w:val="Normal"/>
    <w:next w:val="Normal"/>
    <w:link w:val="Heading2Char"/>
    <w:qFormat/>
    <w:rsid w:val="00FA5174"/>
    <w:pPr>
      <w:keepNext/>
      <w:numPr>
        <w:ilvl w:val="1"/>
        <w:numId w:val="39"/>
      </w:numPr>
      <w:tabs>
        <w:tab w:val="left" w:pos="907"/>
      </w:tabs>
      <w:overflowPunct w:val="0"/>
      <w:autoSpaceDE w:val="0"/>
      <w:autoSpaceDN w:val="0"/>
      <w:adjustRightInd w:val="0"/>
      <w:spacing w:after="120"/>
      <w:textAlignment w:val="baseline"/>
      <w:outlineLvl w:val="1"/>
    </w:pPr>
    <w:rPr>
      <w:rFonts w:ascii="Arial Bold" w:hAnsi="Arial Bold"/>
      <w:b/>
      <w:bCs/>
      <w:iCs/>
      <w:smallCaps/>
      <w:sz w:val="30"/>
      <w:szCs w:val="28"/>
    </w:rPr>
  </w:style>
  <w:style w:type="paragraph" w:styleId="Heading3">
    <w:name w:val="heading 3"/>
    <w:basedOn w:val="Normal"/>
    <w:next w:val="Normal"/>
    <w:link w:val="Heading3Char"/>
    <w:autoRedefine/>
    <w:uiPriority w:val="99"/>
    <w:qFormat/>
    <w:rsid w:val="00462D97"/>
    <w:pPr>
      <w:keepNext/>
      <w:numPr>
        <w:ilvl w:val="2"/>
        <w:numId w:val="39"/>
      </w:numPr>
      <w:tabs>
        <w:tab w:val="left" w:pos="900"/>
      </w:tabs>
      <w:overflowPunct w:val="0"/>
      <w:autoSpaceDE w:val="0"/>
      <w:autoSpaceDN w:val="0"/>
      <w:adjustRightInd w:val="0"/>
      <w:spacing w:after="120"/>
      <w:textAlignment w:val="baseline"/>
      <w:outlineLvl w:val="2"/>
    </w:pPr>
    <w:rPr>
      <w:b/>
      <w:bCs/>
      <w:smallCaps/>
      <w:sz w:val="24"/>
      <w:szCs w:val="26"/>
    </w:rPr>
  </w:style>
  <w:style w:type="paragraph" w:styleId="Heading4">
    <w:name w:val="heading 4"/>
    <w:basedOn w:val="Normal"/>
    <w:next w:val="Normal"/>
    <w:link w:val="Heading4Char"/>
    <w:autoRedefine/>
    <w:uiPriority w:val="99"/>
    <w:qFormat/>
    <w:rsid w:val="00FA5174"/>
    <w:pPr>
      <w:keepNext/>
      <w:numPr>
        <w:ilvl w:val="3"/>
        <w:numId w:val="39"/>
      </w:numPr>
      <w:tabs>
        <w:tab w:val="left" w:pos="1008"/>
      </w:tabs>
      <w:overflowPunct w:val="0"/>
      <w:autoSpaceDE w:val="0"/>
      <w:autoSpaceDN w:val="0"/>
      <w:adjustRightInd w:val="0"/>
      <w:spacing w:after="120"/>
      <w:textAlignment w:val="baseline"/>
      <w:outlineLvl w:val="3"/>
    </w:pPr>
    <w:rPr>
      <w:b/>
      <w:bCs/>
      <w:szCs w:val="28"/>
    </w:rPr>
  </w:style>
  <w:style w:type="paragraph" w:styleId="Heading5">
    <w:name w:val="heading 5"/>
    <w:basedOn w:val="Normal"/>
    <w:next w:val="Normal"/>
    <w:link w:val="Heading5Char"/>
    <w:uiPriority w:val="99"/>
    <w:qFormat/>
    <w:rsid w:val="00FA5174"/>
    <w:pPr>
      <w:keepNext/>
      <w:numPr>
        <w:ilvl w:val="4"/>
        <w:numId w:val="39"/>
      </w:numPr>
      <w:overflowPunct w:val="0"/>
      <w:autoSpaceDE w:val="0"/>
      <w:autoSpaceDN w:val="0"/>
      <w:adjustRightInd w:val="0"/>
      <w:spacing w:line="480" w:lineRule="auto"/>
      <w:ind w:right="-180"/>
      <w:jc w:val="center"/>
      <w:textAlignment w:val="baseline"/>
      <w:outlineLvl w:val="4"/>
    </w:pPr>
    <w:rPr>
      <w:szCs w:val="20"/>
    </w:rPr>
  </w:style>
  <w:style w:type="paragraph" w:styleId="Heading6">
    <w:name w:val="heading 6"/>
    <w:basedOn w:val="Normal"/>
    <w:next w:val="Normal"/>
    <w:link w:val="Heading6Char"/>
    <w:uiPriority w:val="99"/>
    <w:qFormat/>
    <w:rsid w:val="00FA5174"/>
    <w:pPr>
      <w:keepNext/>
      <w:numPr>
        <w:ilvl w:val="5"/>
        <w:numId w:val="39"/>
      </w:numPr>
      <w:overflowPunct w:val="0"/>
      <w:autoSpaceDE w:val="0"/>
      <w:autoSpaceDN w:val="0"/>
      <w:adjustRightInd w:val="0"/>
      <w:spacing w:line="480" w:lineRule="auto"/>
      <w:ind w:right="-180"/>
      <w:jc w:val="center"/>
      <w:textAlignment w:val="baseline"/>
      <w:outlineLvl w:val="5"/>
    </w:pPr>
    <w:rPr>
      <w:i/>
      <w:szCs w:val="20"/>
    </w:rPr>
  </w:style>
  <w:style w:type="paragraph" w:styleId="Heading7">
    <w:name w:val="heading 7"/>
    <w:basedOn w:val="Normal"/>
    <w:next w:val="Normal"/>
    <w:link w:val="Heading7Char"/>
    <w:uiPriority w:val="99"/>
    <w:qFormat/>
    <w:rsid w:val="00FA5174"/>
    <w:pPr>
      <w:keepNext/>
      <w:numPr>
        <w:ilvl w:val="6"/>
        <w:numId w:val="39"/>
      </w:numPr>
      <w:overflowPunct w:val="0"/>
      <w:autoSpaceDE w:val="0"/>
      <w:autoSpaceDN w:val="0"/>
      <w:adjustRightInd w:val="0"/>
      <w:ind w:right="-187"/>
      <w:jc w:val="center"/>
      <w:textAlignment w:val="baseline"/>
      <w:outlineLvl w:val="6"/>
    </w:pPr>
    <w:rPr>
      <w:b/>
      <w:szCs w:val="20"/>
    </w:rPr>
  </w:style>
  <w:style w:type="paragraph" w:styleId="Heading8">
    <w:name w:val="heading 8"/>
    <w:basedOn w:val="Normal"/>
    <w:next w:val="Normal"/>
    <w:link w:val="Heading8Char"/>
    <w:uiPriority w:val="99"/>
    <w:qFormat/>
    <w:rsid w:val="00FA5174"/>
    <w:pPr>
      <w:keepNext/>
      <w:numPr>
        <w:ilvl w:val="7"/>
        <w:numId w:val="39"/>
      </w:numPr>
      <w:overflowPunct w:val="0"/>
      <w:autoSpaceDE w:val="0"/>
      <w:autoSpaceDN w:val="0"/>
      <w:adjustRightInd w:val="0"/>
      <w:spacing w:line="480" w:lineRule="auto"/>
      <w:ind w:right="-187"/>
      <w:jc w:val="center"/>
      <w:textAlignment w:val="baseline"/>
      <w:outlineLvl w:val="7"/>
    </w:pPr>
    <w:rPr>
      <w:szCs w:val="20"/>
    </w:rPr>
  </w:style>
  <w:style w:type="paragraph" w:styleId="Heading9">
    <w:name w:val="heading 9"/>
    <w:basedOn w:val="Normal"/>
    <w:next w:val="Normal"/>
    <w:link w:val="Heading9Char"/>
    <w:uiPriority w:val="99"/>
    <w:qFormat/>
    <w:rsid w:val="00FA5174"/>
    <w:pPr>
      <w:keepNext/>
      <w:numPr>
        <w:ilvl w:val="8"/>
        <w:numId w:val="39"/>
      </w:numPr>
      <w:overflowPunct w:val="0"/>
      <w:autoSpaceDE w:val="0"/>
      <w:autoSpaceDN w:val="0"/>
      <w:adjustRightInd w:val="0"/>
      <w:spacing w:line="480" w:lineRule="auto"/>
      <w:ind w:right="-187"/>
      <w:jc w:val="center"/>
      <w:textAlignment w:val="baseline"/>
      <w:outlineLvl w:val="8"/>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5174"/>
    <w:rPr>
      <w:rFonts w:ascii="Arial" w:eastAsia="Times New Roman" w:hAnsi="Arial" w:cs="Times New Roman"/>
      <w:b/>
      <w:bCs/>
      <w:caps/>
      <w:kern w:val="32"/>
      <w:sz w:val="32"/>
      <w:szCs w:val="32"/>
    </w:rPr>
  </w:style>
  <w:style w:type="character" w:customStyle="1" w:styleId="Heading2Char">
    <w:name w:val="Heading 2 Char"/>
    <w:basedOn w:val="DefaultParagraphFont"/>
    <w:link w:val="Heading2"/>
    <w:rsid w:val="00FA5174"/>
    <w:rPr>
      <w:rFonts w:ascii="Arial Bold" w:eastAsia="Times New Roman" w:hAnsi="Arial Bold" w:cs="Times New Roman"/>
      <w:b/>
      <w:bCs/>
      <w:iCs/>
      <w:smallCaps/>
      <w:sz w:val="30"/>
      <w:szCs w:val="28"/>
    </w:rPr>
  </w:style>
  <w:style w:type="character" w:customStyle="1" w:styleId="Heading3Char">
    <w:name w:val="Heading 3 Char"/>
    <w:basedOn w:val="DefaultParagraphFont"/>
    <w:link w:val="Heading3"/>
    <w:uiPriority w:val="99"/>
    <w:rsid w:val="00462D97"/>
    <w:rPr>
      <w:rFonts w:ascii="Arial" w:eastAsia="Times New Roman" w:hAnsi="Arial" w:cs="Times New Roman"/>
      <w:b/>
      <w:bCs/>
      <w:smallCaps/>
      <w:szCs w:val="26"/>
    </w:rPr>
  </w:style>
  <w:style w:type="character" w:customStyle="1" w:styleId="Heading4Char">
    <w:name w:val="Heading 4 Char"/>
    <w:basedOn w:val="DefaultParagraphFont"/>
    <w:link w:val="Heading4"/>
    <w:uiPriority w:val="99"/>
    <w:rsid w:val="00FA5174"/>
    <w:rPr>
      <w:rFonts w:ascii="Arial" w:eastAsia="Times New Roman" w:hAnsi="Arial" w:cs="Times New Roman"/>
      <w:b/>
      <w:bCs/>
      <w:sz w:val="20"/>
      <w:szCs w:val="28"/>
    </w:rPr>
  </w:style>
  <w:style w:type="character" w:customStyle="1" w:styleId="Heading5Char">
    <w:name w:val="Heading 5 Char"/>
    <w:basedOn w:val="DefaultParagraphFont"/>
    <w:link w:val="Heading5"/>
    <w:uiPriority w:val="99"/>
    <w:rsid w:val="00FA5174"/>
    <w:rPr>
      <w:rFonts w:ascii="Arial" w:eastAsia="Times New Roman" w:hAnsi="Arial" w:cs="Times New Roman"/>
      <w:sz w:val="20"/>
      <w:szCs w:val="20"/>
    </w:rPr>
  </w:style>
  <w:style w:type="character" w:customStyle="1" w:styleId="Heading6Char">
    <w:name w:val="Heading 6 Char"/>
    <w:basedOn w:val="DefaultParagraphFont"/>
    <w:link w:val="Heading6"/>
    <w:uiPriority w:val="99"/>
    <w:rsid w:val="00FA5174"/>
    <w:rPr>
      <w:rFonts w:ascii="Arial" w:eastAsia="Times New Roman" w:hAnsi="Arial" w:cs="Times New Roman"/>
      <w:i/>
      <w:sz w:val="20"/>
      <w:szCs w:val="20"/>
    </w:rPr>
  </w:style>
  <w:style w:type="character" w:customStyle="1" w:styleId="Heading7Char">
    <w:name w:val="Heading 7 Char"/>
    <w:basedOn w:val="DefaultParagraphFont"/>
    <w:link w:val="Heading7"/>
    <w:uiPriority w:val="99"/>
    <w:rsid w:val="00FA5174"/>
    <w:rPr>
      <w:rFonts w:ascii="Arial" w:eastAsia="Times New Roman" w:hAnsi="Arial" w:cs="Times New Roman"/>
      <w:b/>
      <w:sz w:val="20"/>
      <w:szCs w:val="20"/>
    </w:rPr>
  </w:style>
  <w:style w:type="character" w:customStyle="1" w:styleId="Heading8Char">
    <w:name w:val="Heading 8 Char"/>
    <w:basedOn w:val="DefaultParagraphFont"/>
    <w:link w:val="Heading8"/>
    <w:uiPriority w:val="99"/>
    <w:rsid w:val="00FA5174"/>
    <w:rPr>
      <w:rFonts w:ascii="Arial" w:eastAsia="Times New Roman" w:hAnsi="Arial" w:cs="Times New Roman"/>
      <w:sz w:val="20"/>
      <w:szCs w:val="20"/>
    </w:rPr>
  </w:style>
  <w:style w:type="character" w:customStyle="1" w:styleId="Heading9Char">
    <w:name w:val="Heading 9 Char"/>
    <w:basedOn w:val="DefaultParagraphFont"/>
    <w:link w:val="Heading9"/>
    <w:uiPriority w:val="99"/>
    <w:rsid w:val="00FA5174"/>
    <w:rPr>
      <w:rFonts w:ascii="Arial" w:eastAsia="Times New Roman" w:hAnsi="Arial" w:cs="Times New Roman"/>
      <w:i/>
      <w:sz w:val="20"/>
      <w:szCs w:val="20"/>
    </w:rPr>
  </w:style>
  <w:style w:type="paragraph" w:styleId="Header">
    <w:name w:val="header"/>
    <w:basedOn w:val="Normal"/>
    <w:link w:val="HeaderChar"/>
    <w:uiPriority w:val="99"/>
    <w:rsid w:val="00FA5174"/>
    <w:pPr>
      <w:pBdr>
        <w:bottom w:val="dotted" w:sz="4" w:space="1" w:color="1F497D"/>
      </w:pBdr>
      <w:tabs>
        <w:tab w:val="center" w:pos="4320"/>
        <w:tab w:val="right" w:pos="8640"/>
      </w:tabs>
      <w:overflowPunct w:val="0"/>
      <w:autoSpaceDE w:val="0"/>
      <w:autoSpaceDN w:val="0"/>
      <w:adjustRightInd w:val="0"/>
      <w:spacing w:after="360"/>
      <w:jc w:val="center"/>
      <w:textAlignment w:val="baseline"/>
    </w:pPr>
    <w:rPr>
      <w:rFonts w:ascii="Arial Narrow" w:hAnsi="Arial Narrow"/>
      <w:szCs w:val="20"/>
    </w:rPr>
  </w:style>
  <w:style w:type="character" w:customStyle="1" w:styleId="HeaderChar">
    <w:name w:val="Header Char"/>
    <w:basedOn w:val="DefaultParagraphFont"/>
    <w:link w:val="Header"/>
    <w:uiPriority w:val="99"/>
    <w:rsid w:val="00FA5174"/>
    <w:rPr>
      <w:rFonts w:ascii="Arial Narrow" w:eastAsia="Times New Roman" w:hAnsi="Arial Narrow" w:cs="Times New Roman"/>
      <w:sz w:val="20"/>
      <w:szCs w:val="20"/>
    </w:rPr>
  </w:style>
  <w:style w:type="paragraph" w:styleId="Footer">
    <w:name w:val="footer"/>
    <w:basedOn w:val="Normal"/>
    <w:link w:val="FooterChar"/>
    <w:uiPriority w:val="99"/>
    <w:rsid w:val="00FA5174"/>
    <w:pPr>
      <w:tabs>
        <w:tab w:val="center" w:pos="4320"/>
        <w:tab w:val="right" w:pos="8640"/>
      </w:tabs>
      <w:overflowPunct w:val="0"/>
      <w:autoSpaceDE w:val="0"/>
      <w:autoSpaceDN w:val="0"/>
      <w:adjustRightInd w:val="0"/>
      <w:textAlignment w:val="baseline"/>
    </w:pPr>
    <w:rPr>
      <w:szCs w:val="20"/>
    </w:rPr>
  </w:style>
  <w:style w:type="character" w:customStyle="1" w:styleId="FooterChar">
    <w:name w:val="Footer Char"/>
    <w:basedOn w:val="DefaultParagraphFont"/>
    <w:link w:val="Footer"/>
    <w:uiPriority w:val="99"/>
    <w:rsid w:val="00FA5174"/>
    <w:rPr>
      <w:rFonts w:ascii="Arial" w:eastAsia="Times New Roman" w:hAnsi="Arial" w:cs="Times New Roman"/>
      <w:sz w:val="20"/>
      <w:szCs w:val="20"/>
    </w:rPr>
  </w:style>
  <w:style w:type="character" w:styleId="PageNumber">
    <w:name w:val="page number"/>
    <w:uiPriority w:val="99"/>
    <w:rsid w:val="00FA5174"/>
    <w:rPr>
      <w:rFonts w:cs="Times New Roman"/>
    </w:rPr>
  </w:style>
  <w:style w:type="paragraph" w:styleId="FootnoteText">
    <w:name w:val="footnote text"/>
    <w:aliases w:val="Footnote Text1 Char,Footnote Text Char Ch,Footnote Text Char Ch Char Char Char,Footnote Text Char Ch Char Char,Footnote Text1 Char Char Char,Footnote Text Char Ch Char,ft Char,ft,ALTS FOOTNOTE,fn,Footnote Text 2,Footnote text,FOOTNOTE"/>
    <w:basedOn w:val="Normal"/>
    <w:link w:val="FootnoteTextChar"/>
    <w:uiPriority w:val="4"/>
    <w:qFormat/>
    <w:rsid w:val="001B1EAD"/>
    <w:pPr>
      <w:overflowPunct w:val="0"/>
      <w:autoSpaceDE w:val="0"/>
      <w:autoSpaceDN w:val="0"/>
      <w:adjustRightInd w:val="0"/>
      <w:textAlignment w:val="baseline"/>
    </w:pPr>
    <w:rPr>
      <w:rFonts w:ascii="Arial Narrow" w:hAnsi="Arial Narrow"/>
      <w:sz w:val="18"/>
      <w:szCs w:val="20"/>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4"/>
    <w:rsid w:val="001B1EAD"/>
    <w:rPr>
      <w:rFonts w:ascii="Arial Narrow" w:eastAsia="Times New Roman" w:hAnsi="Arial Narrow" w:cs="Times New Roman"/>
      <w:sz w:val="18"/>
      <w:szCs w:val="20"/>
    </w:rPr>
  </w:style>
  <w:style w:type="character" w:styleId="FootnoteReference">
    <w:name w:val="footnote reference"/>
    <w:aliases w:val="o,fr,Footnote_Reference,Style 17,o + Times New Roman,Style 13,Style 12,Style 28,(NECG) Footnote Reference,Style 11,Style 9,Style 16,Style 15,Style 20,o1,fr1,o2,fr2,o3,fr3,Style 8,Style 7,Style 19,Style 42"/>
    <w:uiPriority w:val="4"/>
    <w:qFormat/>
    <w:rsid w:val="00FA5174"/>
    <w:rPr>
      <w:rFonts w:cs="Times New Roman"/>
      <w:vertAlign w:val="superscript"/>
    </w:rPr>
  </w:style>
  <w:style w:type="paragraph" w:customStyle="1" w:styleId="c1">
    <w:name w:val="c1"/>
    <w:basedOn w:val="Normal"/>
    <w:uiPriority w:val="99"/>
    <w:rsid w:val="00FA5174"/>
    <w:pPr>
      <w:widowControl w:val="0"/>
      <w:autoSpaceDE w:val="0"/>
      <w:autoSpaceDN w:val="0"/>
      <w:adjustRightInd w:val="0"/>
      <w:jc w:val="center"/>
    </w:pPr>
  </w:style>
  <w:style w:type="paragraph" w:customStyle="1" w:styleId="p3">
    <w:name w:val="p3"/>
    <w:basedOn w:val="Normal"/>
    <w:link w:val="p3Char"/>
    <w:uiPriority w:val="99"/>
    <w:rsid w:val="00FA5174"/>
    <w:pPr>
      <w:widowControl w:val="0"/>
      <w:tabs>
        <w:tab w:val="left" w:pos="204"/>
      </w:tabs>
      <w:autoSpaceDE w:val="0"/>
      <w:autoSpaceDN w:val="0"/>
      <w:adjustRightInd w:val="0"/>
    </w:pPr>
  </w:style>
  <w:style w:type="paragraph" w:customStyle="1" w:styleId="p6">
    <w:name w:val="p6"/>
    <w:basedOn w:val="Normal"/>
    <w:uiPriority w:val="99"/>
    <w:rsid w:val="00FA5174"/>
    <w:pPr>
      <w:widowControl w:val="0"/>
      <w:autoSpaceDE w:val="0"/>
      <w:autoSpaceDN w:val="0"/>
      <w:adjustRightInd w:val="0"/>
      <w:ind w:firstLine="742"/>
    </w:pPr>
  </w:style>
  <w:style w:type="paragraph" w:customStyle="1" w:styleId="p8">
    <w:name w:val="p8"/>
    <w:basedOn w:val="Normal"/>
    <w:uiPriority w:val="99"/>
    <w:rsid w:val="00FA5174"/>
    <w:pPr>
      <w:widowControl w:val="0"/>
      <w:tabs>
        <w:tab w:val="left" w:pos="204"/>
      </w:tabs>
      <w:autoSpaceDE w:val="0"/>
      <w:autoSpaceDN w:val="0"/>
      <w:adjustRightInd w:val="0"/>
    </w:pPr>
  </w:style>
  <w:style w:type="paragraph" w:customStyle="1" w:styleId="c9">
    <w:name w:val="c9"/>
    <w:basedOn w:val="Normal"/>
    <w:uiPriority w:val="99"/>
    <w:rsid w:val="00FA5174"/>
    <w:pPr>
      <w:widowControl w:val="0"/>
      <w:autoSpaceDE w:val="0"/>
      <w:autoSpaceDN w:val="0"/>
      <w:adjustRightInd w:val="0"/>
      <w:jc w:val="center"/>
    </w:pPr>
  </w:style>
  <w:style w:type="paragraph" w:customStyle="1" w:styleId="c10">
    <w:name w:val="c10"/>
    <w:basedOn w:val="Normal"/>
    <w:uiPriority w:val="99"/>
    <w:rsid w:val="00FA5174"/>
    <w:pPr>
      <w:widowControl w:val="0"/>
      <w:autoSpaceDE w:val="0"/>
      <w:autoSpaceDN w:val="0"/>
      <w:adjustRightInd w:val="0"/>
      <w:jc w:val="center"/>
    </w:pPr>
  </w:style>
  <w:style w:type="paragraph" w:customStyle="1" w:styleId="p13">
    <w:name w:val="p13"/>
    <w:basedOn w:val="Normal"/>
    <w:uiPriority w:val="99"/>
    <w:rsid w:val="00FA5174"/>
    <w:pPr>
      <w:widowControl w:val="0"/>
      <w:tabs>
        <w:tab w:val="left" w:pos="742"/>
        <w:tab w:val="left" w:pos="1451"/>
      </w:tabs>
      <w:autoSpaceDE w:val="0"/>
      <w:autoSpaceDN w:val="0"/>
      <w:adjustRightInd w:val="0"/>
      <w:ind w:left="742" w:firstLine="709"/>
    </w:pPr>
  </w:style>
  <w:style w:type="paragraph" w:customStyle="1" w:styleId="p14">
    <w:name w:val="p14"/>
    <w:basedOn w:val="Normal"/>
    <w:uiPriority w:val="99"/>
    <w:rsid w:val="00FA5174"/>
    <w:pPr>
      <w:widowControl w:val="0"/>
      <w:tabs>
        <w:tab w:val="left" w:pos="204"/>
      </w:tabs>
      <w:autoSpaceDE w:val="0"/>
      <w:autoSpaceDN w:val="0"/>
      <w:adjustRightInd w:val="0"/>
    </w:pPr>
  </w:style>
  <w:style w:type="paragraph" w:customStyle="1" w:styleId="p15">
    <w:name w:val="p15"/>
    <w:basedOn w:val="Normal"/>
    <w:uiPriority w:val="99"/>
    <w:rsid w:val="00FA5174"/>
    <w:pPr>
      <w:widowControl w:val="0"/>
      <w:tabs>
        <w:tab w:val="left" w:pos="204"/>
      </w:tabs>
      <w:autoSpaceDE w:val="0"/>
      <w:autoSpaceDN w:val="0"/>
      <w:adjustRightInd w:val="0"/>
    </w:pPr>
  </w:style>
  <w:style w:type="paragraph" w:customStyle="1" w:styleId="p17">
    <w:name w:val="p17"/>
    <w:basedOn w:val="Normal"/>
    <w:uiPriority w:val="99"/>
    <w:rsid w:val="00FA5174"/>
    <w:pPr>
      <w:widowControl w:val="0"/>
      <w:tabs>
        <w:tab w:val="left" w:pos="5057"/>
      </w:tabs>
      <w:autoSpaceDE w:val="0"/>
      <w:autoSpaceDN w:val="0"/>
      <w:adjustRightInd w:val="0"/>
      <w:ind w:left="3617"/>
    </w:pPr>
  </w:style>
  <w:style w:type="paragraph" w:customStyle="1" w:styleId="p18">
    <w:name w:val="p18"/>
    <w:basedOn w:val="Normal"/>
    <w:uiPriority w:val="99"/>
    <w:rsid w:val="00FA5174"/>
    <w:pPr>
      <w:widowControl w:val="0"/>
      <w:tabs>
        <w:tab w:val="left" w:pos="5062"/>
      </w:tabs>
      <w:autoSpaceDE w:val="0"/>
      <w:autoSpaceDN w:val="0"/>
      <w:adjustRightInd w:val="0"/>
      <w:ind w:left="3622"/>
    </w:pPr>
  </w:style>
  <w:style w:type="paragraph" w:styleId="BalloonText">
    <w:name w:val="Balloon Text"/>
    <w:basedOn w:val="Normal"/>
    <w:link w:val="BalloonTextChar"/>
    <w:uiPriority w:val="99"/>
    <w:semiHidden/>
    <w:rsid w:val="00FA5174"/>
    <w:pPr>
      <w:overflowPunct w:val="0"/>
      <w:autoSpaceDE w:val="0"/>
      <w:autoSpaceDN w:val="0"/>
      <w:adjustRightInd w:val="0"/>
      <w:textAlignment w:val="baseline"/>
    </w:pPr>
    <w:rPr>
      <w:rFonts w:ascii="Tahoma" w:hAnsi="Tahoma"/>
      <w:sz w:val="16"/>
      <w:szCs w:val="16"/>
    </w:rPr>
  </w:style>
  <w:style w:type="character" w:customStyle="1" w:styleId="BalloonTextChar">
    <w:name w:val="Balloon Text Char"/>
    <w:basedOn w:val="DefaultParagraphFont"/>
    <w:link w:val="BalloonText"/>
    <w:uiPriority w:val="99"/>
    <w:semiHidden/>
    <w:rsid w:val="00FA5174"/>
    <w:rPr>
      <w:rFonts w:ascii="Tahoma" w:eastAsia="Times New Roman" w:hAnsi="Tahoma" w:cs="Times New Roman"/>
      <w:sz w:val="16"/>
      <w:szCs w:val="16"/>
    </w:rPr>
  </w:style>
  <w:style w:type="paragraph" w:customStyle="1" w:styleId="StyleCentered">
    <w:name w:val="Style Centered"/>
    <w:basedOn w:val="Normal"/>
    <w:uiPriority w:val="99"/>
    <w:rsid w:val="00FA5174"/>
    <w:pPr>
      <w:overflowPunct w:val="0"/>
      <w:autoSpaceDE w:val="0"/>
      <w:autoSpaceDN w:val="0"/>
      <w:adjustRightInd w:val="0"/>
      <w:jc w:val="center"/>
      <w:textAlignment w:val="baseline"/>
    </w:pPr>
    <w:rPr>
      <w:szCs w:val="20"/>
    </w:rPr>
  </w:style>
  <w:style w:type="character" w:styleId="Hyperlink">
    <w:name w:val="Hyperlink"/>
    <w:uiPriority w:val="99"/>
    <w:qFormat/>
    <w:rsid w:val="00FA5174"/>
    <w:rPr>
      <w:rFonts w:cs="Times New Roman"/>
      <w:color w:val="0000FF"/>
      <w:u w:val="single"/>
    </w:rPr>
  </w:style>
  <w:style w:type="paragraph" w:styleId="TOC1">
    <w:name w:val="toc 1"/>
    <w:basedOn w:val="Normal"/>
    <w:next w:val="Normal"/>
    <w:uiPriority w:val="39"/>
    <w:rsid w:val="00FA5174"/>
    <w:pPr>
      <w:overflowPunct w:val="0"/>
      <w:autoSpaceDE w:val="0"/>
      <w:autoSpaceDN w:val="0"/>
      <w:adjustRightInd w:val="0"/>
      <w:spacing w:after="80"/>
      <w:ind w:left="360" w:hanging="360"/>
      <w:textAlignment w:val="baseline"/>
    </w:pPr>
    <w:rPr>
      <w:rFonts w:ascii="Arial Bold" w:hAnsi="Arial Bold"/>
      <w:b/>
      <w:smallCaps/>
      <w:szCs w:val="20"/>
    </w:rPr>
  </w:style>
  <w:style w:type="paragraph" w:styleId="TOC2">
    <w:name w:val="toc 2"/>
    <w:basedOn w:val="Normal"/>
    <w:next w:val="Normal"/>
    <w:uiPriority w:val="39"/>
    <w:rsid w:val="00FA5174"/>
    <w:pPr>
      <w:tabs>
        <w:tab w:val="left" w:pos="900"/>
        <w:tab w:val="right" w:leader="dot" w:pos="8630"/>
      </w:tabs>
      <w:overflowPunct w:val="0"/>
      <w:autoSpaceDE w:val="0"/>
      <w:autoSpaceDN w:val="0"/>
      <w:adjustRightInd w:val="0"/>
      <w:spacing w:after="80"/>
      <w:ind w:left="907" w:hanging="662"/>
      <w:textAlignment w:val="baseline"/>
    </w:pPr>
    <w:rPr>
      <w:b/>
      <w:noProof/>
      <w:szCs w:val="20"/>
    </w:rPr>
  </w:style>
  <w:style w:type="paragraph" w:styleId="TOC3">
    <w:name w:val="toc 3"/>
    <w:basedOn w:val="Normal"/>
    <w:next w:val="Normal"/>
    <w:uiPriority w:val="39"/>
    <w:rsid w:val="00FA5174"/>
    <w:pPr>
      <w:overflowPunct w:val="0"/>
      <w:autoSpaceDE w:val="0"/>
      <w:autoSpaceDN w:val="0"/>
      <w:adjustRightInd w:val="0"/>
      <w:spacing w:after="80"/>
      <w:ind w:left="475"/>
      <w:textAlignment w:val="baseline"/>
    </w:pPr>
    <w:rPr>
      <w:sz w:val="18"/>
      <w:szCs w:val="20"/>
    </w:rPr>
  </w:style>
  <w:style w:type="paragraph" w:styleId="TOC4">
    <w:name w:val="toc 4"/>
    <w:basedOn w:val="Normal"/>
    <w:next w:val="Normal"/>
    <w:uiPriority w:val="39"/>
    <w:rsid w:val="00FA5174"/>
    <w:pPr>
      <w:overflowPunct w:val="0"/>
      <w:autoSpaceDE w:val="0"/>
      <w:autoSpaceDN w:val="0"/>
      <w:adjustRightInd w:val="0"/>
      <w:ind w:left="720"/>
      <w:textAlignment w:val="baseline"/>
    </w:pPr>
    <w:rPr>
      <w:szCs w:val="20"/>
    </w:rPr>
  </w:style>
  <w:style w:type="paragraph" w:styleId="BodyText2">
    <w:name w:val="Body Text 2"/>
    <w:basedOn w:val="Normal"/>
    <w:link w:val="BodyText2Char"/>
    <w:uiPriority w:val="99"/>
    <w:rsid w:val="00FA5174"/>
    <w:pPr>
      <w:overflowPunct w:val="0"/>
      <w:autoSpaceDE w:val="0"/>
      <w:autoSpaceDN w:val="0"/>
      <w:adjustRightInd w:val="0"/>
      <w:textAlignment w:val="baseline"/>
    </w:pPr>
    <w:rPr>
      <w:szCs w:val="20"/>
    </w:rPr>
  </w:style>
  <w:style w:type="character" w:customStyle="1" w:styleId="BodyText2Char">
    <w:name w:val="Body Text 2 Char"/>
    <w:basedOn w:val="DefaultParagraphFont"/>
    <w:link w:val="BodyText2"/>
    <w:uiPriority w:val="99"/>
    <w:rsid w:val="00FA5174"/>
    <w:rPr>
      <w:rFonts w:ascii="Arial" w:eastAsia="Times New Roman" w:hAnsi="Arial" w:cs="Times New Roman"/>
      <w:sz w:val="20"/>
      <w:szCs w:val="20"/>
    </w:rPr>
  </w:style>
  <w:style w:type="paragraph" w:styleId="BodyText3">
    <w:name w:val="Body Text 3"/>
    <w:basedOn w:val="Normal"/>
    <w:link w:val="BodyText3Char"/>
    <w:uiPriority w:val="99"/>
    <w:rsid w:val="00FA5174"/>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uiPriority w:val="99"/>
    <w:rsid w:val="00FA5174"/>
    <w:rPr>
      <w:rFonts w:ascii="Arial" w:eastAsia="Times New Roman" w:hAnsi="Arial" w:cs="Times New Roman"/>
      <w:sz w:val="16"/>
      <w:szCs w:val="16"/>
    </w:rPr>
  </w:style>
  <w:style w:type="paragraph" w:styleId="BodyText">
    <w:name w:val="Body Text"/>
    <w:basedOn w:val="Normal"/>
    <w:link w:val="BodyTextChar"/>
    <w:uiPriority w:val="99"/>
    <w:rsid w:val="00FA5174"/>
    <w:pPr>
      <w:overflowPunct w:val="0"/>
      <w:autoSpaceDE w:val="0"/>
      <w:autoSpaceDN w:val="0"/>
      <w:adjustRightInd w:val="0"/>
      <w:ind w:right="-187"/>
      <w:textAlignment w:val="baseline"/>
    </w:pPr>
    <w:rPr>
      <w:szCs w:val="20"/>
    </w:rPr>
  </w:style>
  <w:style w:type="character" w:customStyle="1" w:styleId="BodyTextChar">
    <w:name w:val="Body Text Char"/>
    <w:basedOn w:val="DefaultParagraphFont"/>
    <w:link w:val="BodyText"/>
    <w:uiPriority w:val="99"/>
    <w:rsid w:val="00FA5174"/>
    <w:rPr>
      <w:rFonts w:ascii="Arial" w:eastAsia="Times New Roman" w:hAnsi="Arial" w:cs="Times New Roman"/>
      <w:sz w:val="20"/>
      <w:szCs w:val="20"/>
    </w:rPr>
  </w:style>
  <w:style w:type="character" w:styleId="FollowedHyperlink">
    <w:name w:val="FollowedHyperlink"/>
    <w:uiPriority w:val="99"/>
    <w:rsid w:val="00FA5174"/>
    <w:rPr>
      <w:rFonts w:cs="Times New Roman"/>
      <w:color w:val="800080"/>
      <w:u w:val="single"/>
    </w:rPr>
  </w:style>
  <w:style w:type="character" w:styleId="Strong">
    <w:name w:val="Strong"/>
    <w:uiPriority w:val="99"/>
    <w:qFormat/>
    <w:rsid w:val="00FA5174"/>
    <w:rPr>
      <w:rFonts w:cs="Times New Roman"/>
      <w:b/>
      <w:bCs/>
    </w:rPr>
  </w:style>
  <w:style w:type="paragraph" w:styleId="BodyTextIndent">
    <w:name w:val="Body Text Indent"/>
    <w:basedOn w:val="Normal"/>
    <w:link w:val="BodyTextIndentChar"/>
    <w:uiPriority w:val="99"/>
    <w:rsid w:val="00FA5174"/>
    <w:pPr>
      <w:ind w:left="1440" w:firstLine="60"/>
    </w:pPr>
    <w:rPr>
      <w:szCs w:val="20"/>
    </w:rPr>
  </w:style>
  <w:style w:type="character" w:customStyle="1" w:styleId="BodyTextIndentChar">
    <w:name w:val="Body Text Indent Char"/>
    <w:basedOn w:val="DefaultParagraphFont"/>
    <w:link w:val="BodyTextIndent"/>
    <w:uiPriority w:val="99"/>
    <w:rsid w:val="00FA5174"/>
    <w:rPr>
      <w:rFonts w:ascii="Arial" w:eastAsia="Times New Roman" w:hAnsi="Arial" w:cs="Times New Roman"/>
      <w:sz w:val="20"/>
      <w:szCs w:val="20"/>
    </w:rPr>
  </w:style>
  <w:style w:type="paragraph" w:styleId="Title">
    <w:name w:val="Title"/>
    <w:basedOn w:val="Normal"/>
    <w:link w:val="TitleChar"/>
    <w:uiPriority w:val="9"/>
    <w:qFormat/>
    <w:rsid w:val="00FA5174"/>
    <w:pPr>
      <w:jc w:val="center"/>
    </w:pPr>
    <w:rPr>
      <w:rFonts w:ascii="Cambria" w:hAnsi="Cambria"/>
      <w:b/>
      <w:bCs/>
      <w:kern w:val="28"/>
      <w:sz w:val="32"/>
      <w:szCs w:val="32"/>
    </w:rPr>
  </w:style>
  <w:style w:type="character" w:customStyle="1" w:styleId="TitleChar">
    <w:name w:val="Title Char"/>
    <w:basedOn w:val="DefaultParagraphFont"/>
    <w:link w:val="Title"/>
    <w:uiPriority w:val="9"/>
    <w:rsid w:val="00FA5174"/>
    <w:rPr>
      <w:rFonts w:ascii="Cambria" w:eastAsia="Times New Roman" w:hAnsi="Cambria" w:cs="Times New Roman"/>
      <w:b/>
      <w:bCs/>
      <w:kern w:val="28"/>
      <w:sz w:val="32"/>
      <w:szCs w:val="32"/>
    </w:rPr>
  </w:style>
  <w:style w:type="paragraph" w:styleId="BodyTextIndent2">
    <w:name w:val="Body Text Indent 2"/>
    <w:basedOn w:val="Normal"/>
    <w:link w:val="BodyTextIndent2Char"/>
    <w:uiPriority w:val="99"/>
    <w:rsid w:val="00FA5174"/>
    <w:pPr>
      <w:overflowPunct w:val="0"/>
      <w:autoSpaceDE w:val="0"/>
      <w:autoSpaceDN w:val="0"/>
      <w:adjustRightInd w:val="0"/>
      <w:ind w:left="720"/>
      <w:textAlignment w:val="baseline"/>
    </w:pPr>
    <w:rPr>
      <w:szCs w:val="20"/>
    </w:rPr>
  </w:style>
  <w:style w:type="character" w:customStyle="1" w:styleId="BodyTextIndent2Char">
    <w:name w:val="Body Text Indent 2 Char"/>
    <w:basedOn w:val="DefaultParagraphFont"/>
    <w:link w:val="BodyTextIndent2"/>
    <w:uiPriority w:val="99"/>
    <w:rsid w:val="00FA5174"/>
    <w:rPr>
      <w:rFonts w:ascii="Arial" w:eastAsia="Times New Roman" w:hAnsi="Arial" w:cs="Times New Roman"/>
      <w:sz w:val="20"/>
      <w:szCs w:val="20"/>
    </w:rPr>
  </w:style>
  <w:style w:type="paragraph" w:customStyle="1" w:styleId="font0">
    <w:name w:val="font0"/>
    <w:basedOn w:val="Normal"/>
    <w:uiPriority w:val="99"/>
    <w:rsid w:val="00FA5174"/>
    <w:pPr>
      <w:spacing w:before="100" w:beforeAutospacing="1" w:after="100" w:afterAutospacing="1"/>
    </w:pPr>
    <w:rPr>
      <w:rFonts w:eastAsia="Arial Unicode MS" w:cs="Arial"/>
      <w:szCs w:val="20"/>
    </w:rPr>
  </w:style>
  <w:style w:type="paragraph" w:customStyle="1" w:styleId="font5">
    <w:name w:val="font5"/>
    <w:basedOn w:val="Normal"/>
    <w:uiPriority w:val="99"/>
    <w:rsid w:val="00FA5174"/>
    <w:pPr>
      <w:spacing w:before="100" w:beforeAutospacing="1" w:after="100" w:afterAutospacing="1"/>
    </w:pPr>
    <w:rPr>
      <w:rFonts w:eastAsia="Arial Unicode MS" w:cs="Arial"/>
      <w:b/>
      <w:bCs/>
      <w:szCs w:val="20"/>
    </w:rPr>
  </w:style>
  <w:style w:type="paragraph" w:customStyle="1" w:styleId="font6">
    <w:name w:val="font6"/>
    <w:basedOn w:val="Normal"/>
    <w:uiPriority w:val="99"/>
    <w:rsid w:val="00FA5174"/>
    <w:pPr>
      <w:spacing w:before="100" w:beforeAutospacing="1" w:after="100" w:afterAutospacing="1"/>
    </w:pPr>
    <w:rPr>
      <w:rFonts w:eastAsia="Arial Unicode MS" w:cs="Arial"/>
      <w:szCs w:val="20"/>
    </w:rPr>
  </w:style>
  <w:style w:type="paragraph" w:customStyle="1" w:styleId="font7">
    <w:name w:val="font7"/>
    <w:basedOn w:val="Normal"/>
    <w:uiPriority w:val="99"/>
    <w:rsid w:val="00FA5174"/>
    <w:pPr>
      <w:spacing w:before="100" w:beforeAutospacing="1" w:after="100" w:afterAutospacing="1"/>
    </w:pPr>
    <w:rPr>
      <w:rFonts w:eastAsia="Arial Unicode MS" w:cs="Arial"/>
      <w:i/>
      <w:iCs/>
      <w:szCs w:val="20"/>
    </w:rPr>
  </w:style>
  <w:style w:type="paragraph" w:customStyle="1" w:styleId="font8">
    <w:name w:val="font8"/>
    <w:basedOn w:val="Normal"/>
    <w:uiPriority w:val="99"/>
    <w:rsid w:val="00FA5174"/>
    <w:pPr>
      <w:spacing w:before="100" w:beforeAutospacing="1" w:after="100" w:afterAutospacing="1"/>
    </w:pPr>
    <w:rPr>
      <w:rFonts w:eastAsia="Arial Unicode MS" w:cs="Arial"/>
      <w:b/>
      <w:bCs/>
      <w:sz w:val="16"/>
      <w:szCs w:val="16"/>
    </w:rPr>
  </w:style>
  <w:style w:type="paragraph" w:customStyle="1" w:styleId="xl24">
    <w:name w:val="xl24"/>
    <w:basedOn w:val="Normal"/>
    <w:uiPriority w:val="99"/>
    <w:rsid w:val="00FA5174"/>
    <w:pPr>
      <w:pBdr>
        <w:right w:val="single" w:sz="4" w:space="0" w:color="auto"/>
      </w:pBdr>
      <w:spacing w:before="100" w:beforeAutospacing="1" w:after="100" w:afterAutospacing="1"/>
    </w:pPr>
    <w:rPr>
      <w:rFonts w:eastAsia="Arial Unicode MS" w:cs="Arial"/>
      <w:b/>
      <w:bCs/>
    </w:rPr>
  </w:style>
  <w:style w:type="paragraph" w:customStyle="1" w:styleId="xl25">
    <w:name w:val="xl25"/>
    <w:basedOn w:val="Normal"/>
    <w:uiPriority w:val="99"/>
    <w:rsid w:val="00FA5174"/>
    <w:pPr>
      <w:spacing w:before="100" w:beforeAutospacing="1" w:after="100" w:afterAutospacing="1"/>
    </w:pPr>
    <w:rPr>
      <w:rFonts w:eastAsia="Arial Unicode MS" w:cs="Arial"/>
    </w:rPr>
  </w:style>
  <w:style w:type="paragraph" w:customStyle="1" w:styleId="xl26">
    <w:name w:val="xl26"/>
    <w:basedOn w:val="Normal"/>
    <w:uiPriority w:val="99"/>
    <w:rsid w:val="00FA5174"/>
    <w:pPr>
      <w:pBdr>
        <w:right w:val="single" w:sz="4" w:space="0" w:color="auto"/>
      </w:pBdr>
      <w:spacing w:before="100" w:beforeAutospacing="1" w:after="100" w:afterAutospacing="1"/>
    </w:pPr>
    <w:rPr>
      <w:rFonts w:eastAsia="Arial Unicode MS" w:cs="Arial"/>
    </w:rPr>
  </w:style>
  <w:style w:type="paragraph" w:customStyle="1" w:styleId="xl27">
    <w:name w:val="xl27"/>
    <w:basedOn w:val="Normal"/>
    <w:uiPriority w:val="99"/>
    <w:rsid w:val="00FA5174"/>
    <w:pPr>
      <w:pBdr>
        <w:right w:val="single" w:sz="4" w:space="0" w:color="auto"/>
      </w:pBdr>
      <w:spacing w:before="100" w:beforeAutospacing="1" w:after="100" w:afterAutospacing="1"/>
    </w:pPr>
    <w:rPr>
      <w:rFonts w:eastAsia="Arial Unicode MS" w:cs="Arial"/>
      <w:i/>
      <w:iCs/>
    </w:rPr>
  </w:style>
  <w:style w:type="paragraph" w:customStyle="1" w:styleId="xl28">
    <w:name w:val="xl28"/>
    <w:basedOn w:val="Normal"/>
    <w:uiPriority w:val="99"/>
    <w:rsid w:val="00FA5174"/>
    <w:pPr>
      <w:pBdr>
        <w:top w:val="single" w:sz="8" w:space="0" w:color="auto"/>
        <w:left w:val="single" w:sz="8" w:space="0" w:color="auto"/>
      </w:pBdr>
      <w:spacing w:before="100" w:beforeAutospacing="1" w:after="100" w:afterAutospacing="1"/>
    </w:pPr>
    <w:rPr>
      <w:rFonts w:eastAsia="Arial Unicode MS" w:cs="Arial"/>
      <w:b/>
      <w:bCs/>
    </w:rPr>
  </w:style>
  <w:style w:type="paragraph" w:customStyle="1" w:styleId="xl29">
    <w:name w:val="xl29"/>
    <w:basedOn w:val="Normal"/>
    <w:uiPriority w:val="99"/>
    <w:rsid w:val="00FA5174"/>
    <w:pPr>
      <w:pBdr>
        <w:top w:val="single" w:sz="8" w:space="0" w:color="auto"/>
        <w:right w:val="single" w:sz="8" w:space="0" w:color="auto"/>
      </w:pBdr>
      <w:spacing w:before="100" w:beforeAutospacing="1" w:after="100" w:afterAutospacing="1"/>
    </w:pPr>
    <w:rPr>
      <w:rFonts w:eastAsia="Arial Unicode MS" w:cs="Arial"/>
      <w:b/>
      <w:bCs/>
    </w:rPr>
  </w:style>
  <w:style w:type="paragraph" w:customStyle="1" w:styleId="xl30">
    <w:name w:val="xl30"/>
    <w:basedOn w:val="Normal"/>
    <w:uiPriority w:val="99"/>
    <w:rsid w:val="00FA5174"/>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uiPriority w:val="99"/>
    <w:rsid w:val="00FA5174"/>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uiPriority w:val="99"/>
    <w:rsid w:val="00FA5174"/>
    <w:pPr>
      <w:pBdr>
        <w:right w:val="single" w:sz="8" w:space="0" w:color="auto"/>
      </w:pBdr>
      <w:spacing w:before="100" w:beforeAutospacing="1" w:after="100" w:afterAutospacing="1"/>
    </w:pPr>
    <w:rPr>
      <w:rFonts w:eastAsia="Arial Unicode MS" w:cs="Arial"/>
      <w:b/>
      <w:bCs/>
    </w:rPr>
  </w:style>
  <w:style w:type="paragraph" w:customStyle="1" w:styleId="xl33">
    <w:name w:val="xl33"/>
    <w:basedOn w:val="Normal"/>
    <w:uiPriority w:val="99"/>
    <w:rsid w:val="00FA5174"/>
    <w:pPr>
      <w:pBdr>
        <w:right w:val="single" w:sz="8" w:space="0" w:color="auto"/>
      </w:pBdr>
      <w:spacing w:before="100" w:beforeAutospacing="1" w:after="100" w:afterAutospacing="1"/>
    </w:pPr>
    <w:rPr>
      <w:rFonts w:eastAsia="Arial Unicode MS" w:cs="Arial"/>
    </w:rPr>
  </w:style>
  <w:style w:type="paragraph" w:customStyle="1" w:styleId="xl34">
    <w:name w:val="xl34"/>
    <w:basedOn w:val="Normal"/>
    <w:uiPriority w:val="99"/>
    <w:rsid w:val="00FA5174"/>
    <w:pPr>
      <w:pBdr>
        <w:right w:val="single" w:sz="8" w:space="0" w:color="auto"/>
      </w:pBdr>
      <w:spacing w:before="100" w:beforeAutospacing="1" w:after="100" w:afterAutospacing="1"/>
    </w:pPr>
    <w:rPr>
      <w:rFonts w:eastAsia="Arial Unicode MS" w:cs="Arial"/>
      <w:i/>
      <w:iCs/>
    </w:rPr>
  </w:style>
  <w:style w:type="paragraph" w:customStyle="1" w:styleId="xl35">
    <w:name w:val="xl35"/>
    <w:basedOn w:val="Normal"/>
    <w:uiPriority w:val="99"/>
    <w:rsid w:val="00FA5174"/>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Normal"/>
    <w:uiPriority w:val="99"/>
    <w:rsid w:val="00FA5174"/>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uiPriority w:val="99"/>
    <w:rsid w:val="00FA5174"/>
    <w:pPr>
      <w:pBdr>
        <w:top w:val="single" w:sz="8" w:space="0" w:color="auto"/>
        <w:right w:val="single" w:sz="4" w:space="0" w:color="auto"/>
      </w:pBdr>
      <w:spacing w:before="100" w:beforeAutospacing="1" w:after="100" w:afterAutospacing="1"/>
    </w:pPr>
    <w:rPr>
      <w:rFonts w:eastAsia="Arial Unicode MS" w:cs="Arial"/>
      <w:b/>
      <w:bCs/>
    </w:rPr>
  </w:style>
  <w:style w:type="paragraph" w:customStyle="1" w:styleId="xl38">
    <w:name w:val="xl38"/>
    <w:basedOn w:val="Normal"/>
    <w:uiPriority w:val="99"/>
    <w:rsid w:val="00FA5174"/>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uiPriority w:val="99"/>
    <w:rsid w:val="00FA5174"/>
    <w:pPr>
      <w:pBdr>
        <w:top w:val="single" w:sz="8" w:space="0" w:color="auto"/>
        <w:left w:val="single" w:sz="4" w:space="0" w:color="auto"/>
        <w:right w:val="single" w:sz="4" w:space="0" w:color="auto"/>
      </w:pBdr>
      <w:spacing w:before="100" w:beforeAutospacing="1" w:after="100" w:afterAutospacing="1"/>
    </w:pPr>
    <w:rPr>
      <w:rFonts w:eastAsia="Arial Unicode MS" w:cs="Arial"/>
      <w:b/>
      <w:bCs/>
    </w:rPr>
  </w:style>
  <w:style w:type="paragraph" w:customStyle="1" w:styleId="xl40">
    <w:name w:val="xl40"/>
    <w:basedOn w:val="Normal"/>
    <w:uiPriority w:val="99"/>
    <w:rsid w:val="00FA5174"/>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uiPriority w:val="99"/>
    <w:rsid w:val="00FA5174"/>
    <w:pPr>
      <w:pBdr>
        <w:left w:val="single" w:sz="4" w:space="0" w:color="auto"/>
        <w:right w:val="single" w:sz="4" w:space="0" w:color="auto"/>
      </w:pBdr>
      <w:spacing w:before="100" w:beforeAutospacing="1" w:after="100" w:afterAutospacing="1"/>
    </w:pPr>
    <w:rPr>
      <w:rFonts w:eastAsia="Arial Unicode MS" w:cs="Arial"/>
      <w:b/>
      <w:bCs/>
    </w:rPr>
  </w:style>
  <w:style w:type="paragraph" w:customStyle="1" w:styleId="xl42">
    <w:name w:val="xl42"/>
    <w:basedOn w:val="Normal"/>
    <w:uiPriority w:val="99"/>
    <w:rsid w:val="00FA5174"/>
    <w:pPr>
      <w:pBdr>
        <w:left w:val="single" w:sz="4" w:space="0" w:color="auto"/>
        <w:right w:val="single" w:sz="4" w:space="0" w:color="auto"/>
      </w:pBdr>
      <w:spacing w:before="100" w:beforeAutospacing="1" w:after="100" w:afterAutospacing="1"/>
    </w:pPr>
    <w:rPr>
      <w:rFonts w:eastAsia="Arial Unicode MS" w:cs="Arial"/>
    </w:rPr>
  </w:style>
  <w:style w:type="paragraph" w:customStyle="1" w:styleId="xl43">
    <w:name w:val="xl43"/>
    <w:basedOn w:val="Normal"/>
    <w:uiPriority w:val="99"/>
    <w:rsid w:val="00FA5174"/>
    <w:pPr>
      <w:pBdr>
        <w:left w:val="single" w:sz="4" w:space="0" w:color="auto"/>
        <w:right w:val="single" w:sz="4" w:space="0" w:color="auto"/>
      </w:pBdr>
      <w:spacing w:before="100" w:beforeAutospacing="1" w:after="100" w:afterAutospacing="1"/>
    </w:pPr>
    <w:rPr>
      <w:rFonts w:eastAsia="Arial Unicode MS" w:cs="Arial"/>
      <w:i/>
      <w:iCs/>
    </w:rPr>
  </w:style>
  <w:style w:type="paragraph" w:customStyle="1" w:styleId="xl44">
    <w:name w:val="xl44"/>
    <w:basedOn w:val="Normal"/>
    <w:uiPriority w:val="99"/>
    <w:rsid w:val="00FA5174"/>
    <w:pPr>
      <w:pBdr>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uiPriority w:val="99"/>
    <w:rsid w:val="00FA5174"/>
    <w:pPr>
      <w:spacing w:before="100" w:beforeAutospacing="1" w:after="100" w:afterAutospacing="1"/>
      <w:jc w:val="right"/>
    </w:pPr>
    <w:rPr>
      <w:rFonts w:eastAsia="Arial Unicode MS" w:cs="Arial"/>
      <w:b/>
      <w:bCs/>
    </w:rPr>
  </w:style>
  <w:style w:type="paragraph" w:customStyle="1" w:styleId="xl46">
    <w:name w:val="xl46"/>
    <w:basedOn w:val="Normal"/>
    <w:uiPriority w:val="99"/>
    <w:rsid w:val="00FA5174"/>
    <w:pPr>
      <w:pBdr>
        <w:bottom w:val="single" w:sz="8" w:space="0" w:color="auto"/>
        <w:right w:val="single" w:sz="8" w:space="0" w:color="auto"/>
      </w:pBdr>
      <w:spacing w:before="100" w:beforeAutospacing="1" w:after="100" w:afterAutospacing="1"/>
    </w:pPr>
    <w:rPr>
      <w:rFonts w:eastAsia="Arial Unicode MS" w:cs="Arial"/>
      <w:b/>
      <w:bCs/>
    </w:rPr>
  </w:style>
  <w:style w:type="paragraph" w:customStyle="1" w:styleId="xl47">
    <w:name w:val="xl47"/>
    <w:basedOn w:val="Normal"/>
    <w:uiPriority w:val="99"/>
    <w:rsid w:val="00FA5174"/>
    <w:pPr>
      <w:pBdr>
        <w:bottom w:val="single" w:sz="8" w:space="0" w:color="auto"/>
        <w:right w:val="single" w:sz="4" w:space="0" w:color="auto"/>
      </w:pBdr>
      <w:spacing w:before="100" w:beforeAutospacing="1" w:after="100" w:afterAutospacing="1"/>
    </w:pPr>
    <w:rPr>
      <w:rFonts w:eastAsia="Arial Unicode MS" w:cs="Arial"/>
      <w:b/>
      <w:bCs/>
    </w:rPr>
  </w:style>
  <w:style w:type="paragraph" w:customStyle="1" w:styleId="xl48">
    <w:name w:val="xl48"/>
    <w:basedOn w:val="Normal"/>
    <w:uiPriority w:val="99"/>
    <w:rsid w:val="00FA5174"/>
    <w:pPr>
      <w:pBdr>
        <w:left w:val="single" w:sz="4" w:space="0" w:color="auto"/>
        <w:bottom w:val="single" w:sz="8" w:space="0" w:color="auto"/>
        <w:right w:val="single" w:sz="4" w:space="0" w:color="auto"/>
      </w:pBdr>
      <w:spacing w:before="100" w:beforeAutospacing="1" w:after="100" w:afterAutospacing="1"/>
    </w:pPr>
    <w:rPr>
      <w:rFonts w:eastAsia="Arial Unicode MS" w:cs="Arial"/>
      <w:b/>
      <w:bCs/>
    </w:rPr>
  </w:style>
  <w:style w:type="paragraph" w:customStyle="1" w:styleId="xl49">
    <w:name w:val="xl49"/>
    <w:basedOn w:val="Normal"/>
    <w:uiPriority w:val="99"/>
    <w:rsid w:val="00FA5174"/>
    <w:pPr>
      <w:pBdr>
        <w:top w:val="single" w:sz="8" w:space="0" w:color="auto"/>
        <w:left w:val="single" w:sz="8" w:space="0" w:color="auto"/>
        <w:right w:val="single" w:sz="4" w:space="0" w:color="auto"/>
      </w:pBdr>
      <w:spacing w:before="100" w:beforeAutospacing="1" w:after="100" w:afterAutospacing="1"/>
    </w:pPr>
    <w:rPr>
      <w:rFonts w:eastAsia="Arial Unicode MS" w:cs="Arial"/>
      <w:b/>
      <w:bCs/>
    </w:rPr>
  </w:style>
  <w:style w:type="paragraph" w:customStyle="1" w:styleId="xl50">
    <w:name w:val="xl50"/>
    <w:basedOn w:val="Normal"/>
    <w:uiPriority w:val="99"/>
    <w:rsid w:val="00FA5174"/>
    <w:pPr>
      <w:pBdr>
        <w:left w:val="single" w:sz="8" w:space="0" w:color="auto"/>
        <w:bottom w:val="single" w:sz="8" w:space="0" w:color="auto"/>
        <w:right w:val="single" w:sz="4" w:space="0" w:color="auto"/>
      </w:pBdr>
      <w:spacing w:before="100" w:beforeAutospacing="1" w:after="100" w:afterAutospacing="1"/>
    </w:pPr>
    <w:rPr>
      <w:rFonts w:eastAsia="Arial Unicode MS" w:cs="Arial"/>
      <w:b/>
      <w:bCs/>
    </w:rPr>
  </w:style>
  <w:style w:type="paragraph" w:customStyle="1" w:styleId="xl51">
    <w:name w:val="xl51"/>
    <w:basedOn w:val="Normal"/>
    <w:uiPriority w:val="99"/>
    <w:rsid w:val="00FA5174"/>
    <w:pPr>
      <w:pBdr>
        <w:left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uiPriority w:val="99"/>
    <w:rsid w:val="00FA5174"/>
    <w:pPr>
      <w:pBdr>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3">
    <w:name w:val="xl53"/>
    <w:basedOn w:val="Normal"/>
    <w:uiPriority w:val="99"/>
    <w:rsid w:val="00FA5174"/>
    <w:pPr>
      <w:pBdr>
        <w:left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4">
    <w:name w:val="xl54"/>
    <w:basedOn w:val="Normal"/>
    <w:uiPriority w:val="99"/>
    <w:rsid w:val="00FA5174"/>
    <w:pPr>
      <w:pBdr>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link w:val="BodyTextIndent3Char"/>
    <w:uiPriority w:val="99"/>
    <w:rsid w:val="00FA5174"/>
    <w:pPr>
      <w:overflowPunct w:val="0"/>
      <w:autoSpaceDE w:val="0"/>
      <w:autoSpaceDN w:val="0"/>
      <w:adjustRightInd w:val="0"/>
      <w:ind w:left="720"/>
      <w:textAlignment w:val="baseline"/>
    </w:pPr>
    <w:rPr>
      <w:sz w:val="16"/>
      <w:szCs w:val="16"/>
    </w:rPr>
  </w:style>
  <w:style w:type="character" w:customStyle="1" w:styleId="BodyTextIndent3Char">
    <w:name w:val="Body Text Indent 3 Char"/>
    <w:basedOn w:val="DefaultParagraphFont"/>
    <w:link w:val="BodyTextIndent3"/>
    <w:uiPriority w:val="99"/>
    <w:rsid w:val="00FA5174"/>
    <w:rPr>
      <w:rFonts w:ascii="Arial" w:eastAsia="Times New Roman" w:hAnsi="Arial" w:cs="Times New Roman"/>
      <w:sz w:val="16"/>
      <w:szCs w:val="16"/>
    </w:rPr>
  </w:style>
  <w:style w:type="character" w:styleId="LineNumber">
    <w:name w:val="line number"/>
    <w:uiPriority w:val="99"/>
    <w:rsid w:val="00FA5174"/>
    <w:rPr>
      <w:rFonts w:cs="Times New Roman"/>
    </w:rPr>
  </w:style>
  <w:style w:type="character" w:customStyle="1" w:styleId="EmailStyle104">
    <w:name w:val="EmailStyle104"/>
    <w:uiPriority w:val="99"/>
    <w:rsid w:val="00FA5174"/>
    <w:rPr>
      <w:rFonts w:ascii="Arial" w:hAnsi="Arial" w:cs="Arial"/>
      <w:color w:val="000000"/>
      <w:sz w:val="20"/>
    </w:rPr>
  </w:style>
  <w:style w:type="paragraph" w:styleId="ListBullet">
    <w:name w:val="List Bullet"/>
    <w:basedOn w:val="Normal"/>
    <w:uiPriority w:val="99"/>
    <w:rsid w:val="00FA5174"/>
    <w:pPr>
      <w:tabs>
        <w:tab w:val="num" w:pos="360"/>
      </w:tabs>
      <w:overflowPunct w:val="0"/>
      <w:autoSpaceDE w:val="0"/>
      <w:autoSpaceDN w:val="0"/>
      <w:adjustRightInd w:val="0"/>
      <w:ind w:left="360" w:hanging="360"/>
      <w:textAlignment w:val="baseline"/>
    </w:pPr>
    <w:rPr>
      <w:szCs w:val="20"/>
    </w:rPr>
  </w:style>
  <w:style w:type="paragraph" w:styleId="MacroText">
    <w:name w:val="macro"/>
    <w:link w:val="MacroTextChar"/>
    <w:uiPriority w:val="99"/>
    <w:semiHidden/>
    <w:rsid w:val="00FA517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cs="Times New Roman"/>
      <w:sz w:val="20"/>
      <w:szCs w:val="20"/>
    </w:rPr>
  </w:style>
  <w:style w:type="character" w:customStyle="1" w:styleId="MacroTextChar">
    <w:name w:val="Macro Text Char"/>
    <w:basedOn w:val="DefaultParagraphFont"/>
    <w:link w:val="MacroText"/>
    <w:uiPriority w:val="99"/>
    <w:semiHidden/>
    <w:rsid w:val="00FA5174"/>
    <w:rPr>
      <w:rFonts w:ascii="Arial" w:eastAsia="Times New Roman" w:hAnsi="Arial" w:cs="Times New Roman"/>
      <w:sz w:val="20"/>
      <w:szCs w:val="20"/>
    </w:rPr>
  </w:style>
  <w:style w:type="paragraph" w:styleId="Caption">
    <w:name w:val="caption"/>
    <w:aliases w:val="Table Caption,Footnotes"/>
    <w:basedOn w:val="Normal"/>
    <w:next w:val="Normal"/>
    <w:link w:val="CaptionChar"/>
    <w:uiPriority w:val="1"/>
    <w:qFormat/>
    <w:rsid w:val="00FA5174"/>
    <w:pPr>
      <w:keepNext/>
      <w:overflowPunct w:val="0"/>
      <w:autoSpaceDE w:val="0"/>
      <w:autoSpaceDN w:val="0"/>
      <w:adjustRightInd w:val="0"/>
      <w:spacing w:after="120"/>
      <w:textAlignment w:val="baseline"/>
    </w:pPr>
    <w:rPr>
      <w:rFonts w:ascii="Arial Narrow" w:hAnsi="Arial Narrow"/>
      <w:b/>
      <w:bCs/>
      <w:szCs w:val="20"/>
    </w:rPr>
  </w:style>
  <w:style w:type="paragraph" w:styleId="TOC5">
    <w:name w:val="toc 5"/>
    <w:basedOn w:val="Normal"/>
    <w:next w:val="Normal"/>
    <w:uiPriority w:val="39"/>
    <w:rsid w:val="00FA5174"/>
    <w:pPr>
      <w:overflowPunct w:val="0"/>
      <w:autoSpaceDE w:val="0"/>
      <w:autoSpaceDN w:val="0"/>
      <w:adjustRightInd w:val="0"/>
      <w:ind w:left="960"/>
      <w:textAlignment w:val="baseline"/>
    </w:pPr>
    <w:rPr>
      <w:szCs w:val="20"/>
    </w:rPr>
  </w:style>
  <w:style w:type="paragraph" w:styleId="TOC6">
    <w:name w:val="toc 6"/>
    <w:basedOn w:val="Normal"/>
    <w:next w:val="Normal"/>
    <w:uiPriority w:val="39"/>
    <w:rsid w:val="00FA5174"/>
    <w:pPr>
      <w:overflowPunct w:val="0"/>
      <w:autoSpaceDE w:val="0"/>
      <w:autoSpaceDN w:val="0"/>
      <w:adjustRightInd w:val="0"/>
      <w:ind w:left="1200"/>
      <w:textAlignment w:val="baseline"/>
    </w:pPr>
    <w:rPr>
      <w:szCs w:val="20"/>
    </w:rPr>
  </w:style>
  <w:style w:type="paragraph" w:styleId="TOC7">
    <w:name w:val="toc 7"/>
    <w:basedOn w:val="Normal"/>
    <w:next w:val="Normal"/>
    <w:uiPriority w:val="39"/>
    <w:rsid w:val="00FA5174"/>
    <w:pPr>
      <w:overflowPunct w:val="0"/>
      <w:autoSpaceDE w:val="0"/>
      <w:autoSpaceDN w:val="0"/>
      <w:adjustRightInd w:val="0"/>
      <w:ind w:left="1440"/>
      <w:textAlignment w:val="baseline"/>
    </w:pPr>
    <w:rPr>
      <w:szCs w:val="20"/>
    </w:rPr>
  </w:style>
  <w:style w:type="paragraph" w:styleId="TOC8">
    <w:name w:val="toc 8"/>
    <w:basedOn w:val="Normal"/>
    <w:next w:val="Normal"/>
    <w:uiPriority w:val="39"/>
    <w:rsid w:val="00FA5174"/>
    <w:pPr>
      <w:overflowPunct w:val="0"/>
      <w:autoSpaceDE w:val="0"/>
      <w:autoSpaceDN w:val="0"/>
      <w:adjustRightInd w:val="0"/>
      <w:ind w:left="1680"/>
      <w:textAlignment w:val="baseline"/>
    </w:pPr>
    <w:rPr>
      <w:szCs w:val="20"/>
    </w:rPr>
  </w:style>
  <w:style w:type="paragraph" w:styleId="TOC9">
    <w:name w:val="toc 9"/>
    <w:basedOn w:val="Normal"/>
    <w:next w:val="Normal"/>
    <w:uiPriority w:val="39"/>
    <w:rsid w:val="00FA5174"/>
    <w:pPr>
      <w:overflowPunct w:val="0"/>
      <w:autoSpaceDE w:val="0"/>
      <w:autoSpaceDN w:val="0"/>
      <w:adjustRightInd w:val="0"/>
      <w:ind w:left="1920"/>
      <w:textAlignment w:val="baseline"/>
    </w:pPr>
    <w:rPr>
      <w:szCs w:val="20"/>
    </w:rPr>
  </w:style>
  <w:style w:type="character" w:customStyle="1" w:styleId="EmailStyle114">
    <w:name w:val="EmailStyle114"/>
    <w:uiPriority w:val="99"/>
    <w:rsid w:val="00FA5174"/>
    <w:rPr>
      <w:rFonts w:ascii="Arial" w:hAnsi="Arial" w:cs="Arial"/>
      <w:color w:val="000000"/>
      <w:sz w:val="20"/>
    </w:rPr>
  </w:style>
  <w:style w:type="table" w:styleId="TableGrid">
    <w:name w:val="Table Grid"/>
    <w:basedOn w:val="TableNormal"/>
    <w:uiPriority w:val="59"/>
    <w:rsid w:val="00FA5174"/>
    <w:pPr>
      <w:overflowPunct w:val="0"/>
      <w:autoSpaceDE w:val="0"/>
      <w:autoSpaceDN w:val="0"/>
      <w:adjustRightInd w:val="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FA5174"/>
    <w:rPr>
      <w:rFonts w:cs="Times New Roman"/>
      <w:sz w:val="16"/>
      <w:szCs w:val="16"/>
    </w:rPr>
  </w:style>
  <w:style w:type="paragraph" w:styleId="CommentText">
    <w:name w:val="annotation text"/>
    <w:basedOn w:val="Normal"/>
    <w:link w:val="CommentTextChar"/>
    <w:uiPriority w:val="99"/>
    <w:rsid w:val="00FA5174"/>
    <w:pPr>
      <w:overflowPunct w:val="0"/>
      <w:autoSpaceDE w:val="0"/>
      <w:autoSpaceDN w:val="0"/>
      <w:adjustRightInd w:val="0"/>
      <w:textAlignment w:val="baseline"/>
    </w:pPr>
    <w:rPr>
      <w:szCs w:val="20"/>
    </w:rPr>
  </w:style>
  <w:style w:type="character" w:customStyle="1" w:styleId="CommentTextChar">
    <w:name w:val="Comment Text Char"/>
    <w:basedOn w:val="DefaultParagraphFont"/>
    <w:link w:val="CommentText"/>
    <w:uiPriority w:val="99"/>
    <w:rsid w:val="00FA51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rsid w:val="00FA5174"/>
    <w:rPr>
      <w:b/>
      <w:bCs/>
    </w:rPr>
  </w:style>
  <w:style w:type="character" w:customStyle="1" w:styleId="CommentSubjectChar">
    <w:name w:val="Comment Subject Char"/>
    <w:basedOn w:val="CommentTextChar"/>
    <w:link w:val="CommentSubject"/>
    <w:uiPriority w:val="99"/>
    <w:rsid w:val="00FA5174"/>
    <w:rPr>
      <w:rFonts w:ascii="Arial" w:eastAsia="Times New Roman" w:hAnsi="Arial" w:cs="Times New Roman"/>
      <w:b/>
      <w:bCs/>
      <w:sz w:val="20"/>
      <w:szCs w:val="20"/>
    </w:rPr>
  </w:style>
  <w:style w:type="paragraph" w:styleId="Revision">
    <w:name w:val="Revision"/>
    <w:hidden/>
    <w:uiPriority w:val="99"/>
    <w:semiHidden/>
    <w:rsid w:val="00FA5174"/>
    <w:rPr>
      <w:rFonts w:ascii="Times New Roman" w:eastAsia="Times New Roman" w:hAnsi="Times New Roman" w:cs="Times New Roman"/>
      <w:szCs w:val="20"/>
    </w:rPr>
  </w:style>
  <w:style w:type="paragraph" w:styleId="ListParagraph">
    <w:name w:val="List Paragraph"/>
    <w:aliases w:val="TT - Numbered List Paragraph,Bullet Styles para,TOC etc.,Bulleted List Paragraph"/>
    <w:basedOn w:val="Normal"/>
    <w:link w:val="ListParagraphChar"/>
    <w:uiPriority w:val="34"/>
    <w:qFormat/>
    <w:rsid w:val="00FA5174"/>
    <w:pPr>
      <w:overflowPunct w:val="0"/>
      <w:autoSpaceDE w:val="0"/>
      <w:autoSpaceDN w:val="0"/>
      <w:adjustRightInd w:val="0"/>
      <w:spacing w:after="100"/>
      <w:ind w:left="720"/>
      <w:textAlignment w:val="baseline"/>
    </w:pPr>
    <w:rPr>
      <w:szCs w:val="20"/>
    </w:rPr>
  </w:style>
  <w:style w:type="paragraph" w:customStyle="1" w:styleId="TableCell">
    <w:name w:val="TableCell"/>
    <w:basedOn w:val="Normal"/>
    <w:link w:val="TableCellChar"/>
    <w:uiPriority w:val="1"/>
    <w:qFormat/>
    <w:rsid w:val="00FA5174"/>
    <w:pPr>
      <w:keepNext/>
      <w:tabs>
        <w:tab w:val="left" w:pos="720"/>
      </w:tabs>
      <w:overflowPunct w:val="0"/>
      <w:autoSpaceDE w:val="0"/>
      <w:autoSpaceDN w:val="0"/>
      <w:adjustRightInd w:val="0"/>
      <w:spacing w:before="120" w:after="120"/>
      <w:textAlignment w:val="baseline"/>
    </w:pPr>
    <w:rPr>
      <w:sz w:val="18"/>
      <w:szCs w:val="20"/>
    </w:rPr>
  </w:style>
  <w:style w:type="character" w:customStyle="1" w:styleId="TableCellChar">
    <w:name w:val="TableCell Char"/>
    <w:link w:val="TableCell"/>
    <w:uiPriority w:val="1"/>
    <w:locked/>
    <w:rsid w:val="00FA5174"/>
    <w:rPr>
      <w:rFonts w:ascii="Arial" w:eastAsia="Times New Roman" w:hAnsi="Arial" w:cs="Times New Roman"/>
      <w:sz w:val="18"/>
      <w:szCs w:val="20"/>
    </w:rPr>
  </w:style>
  <w:style w:type="paragraph" w:customStyle="1" w:styleId="Equation">
    <w:name w:val="Equation"/>
    <w:basedOn w:val="BodyTextIndent3"/>
    <w:uiPriority w:val="99"/>
    <w:qFormat/>
    <w:rsid w:val="00FA5174"/>
    <w:pPr>
      <w:tabs>
        <w:tab w:val="left" w:pos="720"/>
        <w:tab w:val="left" w:pos="2880"/>
      </w:tabs>
      <w:ind w:left="2880" w:hanging="2880"/>
    </w:pPr>
    <w:rPr>
      <w:rFonts w:eastAsia="Calibri"/>
      <w:i/>
      <w:sz w:val="20"/>
    </w:rPr>
  </w:style>
  <w:style w:type="paragraph" w:customStyle="1" w:styleId="Table">
    <w:name w:val="Table"/>
    <w:uiPriority w:val="99"/>
    <w:qFormat/>
    <w:rsid w:val="00FA5174"/>
    <w:pPr>
      <w:keepNext/>
      <w:spacing w:after="120"/>
      <w:jc w:val="both"/>
    </w:pPr>
    <w:rPr>
      <w:rFonts w:ascii="Arial Narrow" w:eastAsia="Times New Roman" w:hAnsi="Arial Narrow" w:cs="Arial"/>
      <w:b/>
      <w:sz w:val="20"/>
      <w:szCs w:val="20"/>
    </w:rPr>
  </w:style>
  <w:style w:type="paragraph" w:customStyle="1" w:styleId="Definitions">
    <w:name w:val="Definitions"/>
    <w:basedOn w:val="Normal"/>
    <w:uiPriority w:val="99"/>
    <w:qFormat/>
    <w:rsid w:val="00FA5174"/>
    <w:pPr>
      <w:overflowPunct w:val="0"/>
      <w:autoSpaceDE w:val="0"/>
      <w:autoSpaceDN w:val="0"/>
      <w:adjustRightInd w:val="0"/>
      <w:ind w:left="288"/>
      <w:contextualSpacing/>
      <w:textAlignment w:val="baseline"/>
    </w:pPr>
    <w:rPr>
      <w:rFonts w:ascii="Garamond" w:hAnsi="Garamond"/>
      <w:szCs w:val="20"/>
    </w:rPr>
  </w:style>
  <w:style w:type="paragraph" w:customStyle="1" w:styleId="indent4">
    <w:name w:val="indent 4"/>
    <w:basedOn w:val="BodyTextIndent3"/>
    <w:uiPriority w:val="99"/>
    <w:qFormat/>
    <w:rsid w:val="00FA5174"/>
    <w:pPr>
      <w:ind w:left="432"/>
    </w:pPr>
  </w:style>
  <w:style w:type="table" w:styleId="ColorfulGrid-Accent6">
    <w:name w:val="Colorful Grid Accent 6"/>
    <w:basedOn w:val="TableNormal"/>
    <w:uiPriority w:val="99"/>
    <w:rsid w:val="00FA5174"/>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FA5174"/>
    <w:rPr>
      <w:rFonts w:ascii="Garamond" w:eastAsia="Times New Roman" w:hAnsi="Garamond" w:cs="Times New Roman"/>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99"/>
    <w:rsid w:val="00FA5174"/>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99"/>
    <w:rsid w:val="00FA5174"/>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Narrow" w:eastAsia="Times New Roman" w:hAnsi="Arial Narrow"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0">
    <w:name w:val="source 1"/>
    <w:basedOn w:val="ListParagraph"/>
    <w:uiPriority w:val="1"/>
    <w:qFormat/>
    <w:rsid w:val="00FA5174"/>
    <w:pPr>
      <w:adjustRightInd/>
      <w:ind w:left="0"/>
    </w:pPr>
    <w:rPr>
      <w:rFonts w:cs="Arial"/>
    </w:rPr>
  </w:style>
  <w:style w:type="paragraph" w:customStyle="1" w:styleId="source2">
    <w:name w:val="source 2"/>
    <w:basedOn w:val="ListParagraph"/>
    <w:uiPriority w:val="1"/>
    <w:qFormat/>
    <w:rsid w:val="00FA5174"/>
    <w:pPr>
      <w:adjustRightInd/>
      <w:ind w:left="0"/>
    </w:pPr>
    <w:rPr>
      <w:rFonts w:eastAsia="Calibri" w:cs="Arial"/>
    </w:rPr>
  </w:style>
  <w:style w:type="table" w:styleId="LightGrid-Accent6">
    <w:name w:val="Light Grid Accent 6"/>
    <w:basedOn w:val="TableNormal"/>
    <w:uiPriority w:val="99"/>
    <w:rsid w:val="00FA5174"/>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Narrow" w:eastAsia="Times New Roman" w:hAnsi="Arial Narrow"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99"/>
    <w:rsid w:val="00FA5174"/>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99"/>
    <w:rsid w:val="00FA5174"/>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99"/>
    <w:rsid w:val="00FA5174"/>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Narrow" w:eastAsia="Times New Roman" w:hAnsi="Arial Narro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99"/>
    <w:rsid w:val="00FA5174"/>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FA5174"/>
    <w:rPr>
      <w:rFonts w:ascii="Times New Roman" w:eastAsia="Times New Roman" w:hAnsi="Times New Roman"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99"/>
    <w:rsid w:val="00FA5174"/>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99"/>
    <w:rsid w:val="00FA5174"/>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FA5174"/>
    <w:pPr>
      <w:keepNext/>
    </w:pPr>
    <w:rPr>
      <w:rFonts w:ascii="Garamond" w:eastAsia="Times New Roman" w:hAnsi="Garamond"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FA5174"/>
    <w:rPr>
      <w:rFonts w:ascii="Times New Roman" w:eastAsia="Times New Roman" w:hAnsi="Times New Roman" w:cs="Times New Roman"/>
      <w:sz w:val="20"/>
      <w:szCs w:val="20"/>
    </w:rPr>
    <w:tblPr/>
  </w:style>
  <w:style w:type="table" w:styleId="ColorfulGrid-Accent4">
    <w:name w:val="Colorful Grid Accent 4"/>
    <w:basedOn w:val="TableNormal"/>
    <w:uiPriority w:val="99"/>
    <w:rsid w:val="00FA5174"/>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rsid w:val="00FA5174"/>
  </w:style>
  <w:style w:type="paragraph" w:styleId="EndnoteText">
    <w:name w:val="endnote text"/>
    <w:basedOn w:val="Normal"/>
    <w:link w:val="EndnoteTextChar"/>
    <w:rsid w:val="00FA5174"/>
    <w:rPr>
      <w:szCs w:val="20"/>
    </w:rPr>
  </w:style>
  <w:style w:type="character" w:customStyle="1" w:styleId="EndnoteTextChar">
    <w:name w:val="Endnote Text Char"/>
    <w:basedOn w:val="DefaultParagraphFont"/>
    <w:link w:val="EndnoteText"/>
    <w:rsid w:val="00FA5174"/>
    <w:rPr>
      <w:rFonts w:ascii="Arial" w:eastAsia="Times New Roman" w:hAnsi="Arial" w:cs="Times New Roman"/>
      <w:sz w:val="20"/>
      <w:szCs w:val="20"/>
    </w:rPr>
  </w:style>
  <w:style w:type="character" w:styleId="EndnoteReference">
    <w:name w:val="endnote reference"/>
    <w:rsid w:val="00FA5174"/>
    <w:rPr>
      <w:vertAlign w:val="superscript"/>
    </w:rPr>
  </w:style>
  <w:style w:type="paragraph" w:styleId="PlainText">
    <w:name w:val="Plain Text"/>
    <w:basedOn w:val="Normal"/>
    <w:link w:val="PlainTextChar"/>
    <w:uiPriority w:val="99"/>
    <w:rsid w:val="00FA5174"/>
    <w:rPr>
      <w:rFonts w:ascii="Consolas" w:hAnsi="Consolas"/>
      <w:sz w:val="21"/>
      <w:szCs w:val="21"/>
    </w:rPr>
  </w:style>
  <w:style w:type="character" w:customStyle="1" w:styleId="PlainTextChar">
    <w:name w:val="Plain Text Char"/>
    <w:basedOn w:val="DefaultParagraphFont"/>
    <w:link w:val="PlainText"/>
    <w:uiPriority w:val="99"/>
    <w:rsid w:val="00FA5174"/>
    <w:rPr>
      <w:rFonts w:ascii="Consolas" w:eastAsia="Times New Roman" w:hAnsi="Consolas" w:cs="Times New Roman"/>
      <w:sz w:val="21"/>
      <w:szCs w:val="21"/>
    </w:rPr>
  </w:style>
  <w:style w:type="paragraph" w:customStyle="1" w:styleId="Halfline">
    <w:name w:val="Halfline"/>
    <w:basedOn w:val="Normal"/>
    <w:link w:val="HalflineChar"/>
    <w:uiPriority w:val="99"/>
    <w:rsid w:val="00FA5174"/>
    <w:pPr>
      <w:overflowPunct w:val="0"/>
      <w:autoSpaceDE w:val="0"/>
      <w:autoSpaceDN w:val="0"/>
      <w:adjustRightInd w:val="0"/>
      <w:spacing w:after="130" w:line="130" w:lineRule="exact"/>
      <w:textAlignment w:val="baseline"/>
    </w:pPr>
    <w:rPr>
      <w:szCs w:val="20"/>
    </w:rPr>
  </w:style>
  <w:style w:type="character" w:customStyle="1" w:styleId="HalflineChar">
    <w:name w:val="Halfline Char"/>
    <w:link w:val="Halfline"/>
    <w:uiPriority w:val="99"/>
    <w:rsid w:val="00FA5174"/>
    <w:rPr>
      <w:rFonts w:ascii="Arial" w:eastAsia="Times New Roman" w:hAnsi="Arial" w:cs="Times New Roman"/>
      <w:sz w:val="20"/>
      <w:szCs w:val="20"/>
    </w:rPr>
  </w:style>
  <w:style w:type="paragraph" w:customStyle="1" w:styleId="Tabletext">
    <w:name w:val="Table text"/>
    <w:basedOn w:val="Normal"/>
    <w:uiPriority w:val="99"/>
    <w:rsid w:val="00FA5174"/>
    <w:pPr>
      <w:spacing w:before="60"/>
    </w:pPr>
    <w:rPr>
      <w:rFonts w:eastAsia="Calibri"/>
      <w:sz w:val="22"/>
      <w:szCs w:val="22"/>
    </w:rPr>
  </w:style>
  <w:style w:type="paragraph" w:customStyle="1" w:styleId="ListParagraphClose">
    <w:name w:val="List Paragraph Close"/>
    <w:basedOn w:val="ListParagraph"/>
    <w:uiPriority w:val="99"/>
    <w:qFormat/>
    <w:rsid w:val="00FA5174"/>
    <w:pPr>
      <w:numPr>
        <w:numId w:val="1"/>
      </w:numPr>
      <w:spacing w:after="200"/>
    </w:pPr>
  </w:style>
  <w:style w:type="paragraph" w:customStyle="1" w:styleId="RevisionDate">
    <w:name w:val="Revision Date"/>
    <w:basedOn w:val="Normal"/>
    <w:uiPriority w:val="99"/>
    <w:qFormat/>
    <w:rsid w:val="00FA5174"/>
    <w:pPr>
      <w:overflowPunct w:val="0"/>
      <w:autoSpaceDE w:val="0"/>
      <w:autoSpaceDN w:val="0"/>
      <w:adjustRightInd w:val="0"/>
      <w:jc w:val="center"/>
      <w:textAlignment w:val="baseline"/>
    </w:pPr>
    <w:rPr>
      <w:b/>
    </w:rPr>
  </w:style>
  <w:style w:type="paragraph" w:customStyle="1" w:styleId="Style2">
    <w:name w:val="Style2"/>
    <w:basedOn w:val="BodyTextIndent2"/>
    <w:uiPriority w:val="99"/>
    <w:qFormat/>
    <w:rsid w:val="00FA5174"/>
    <w:pPr>
      <w:ind w:left="0"/>
      <w:jc w:val="center"/>
    </w:pPr>
    <w:rPr>
      <w:i/>
      <w:iCs/>
    </w:rPr>
  </w:style>
  <w:style w:type="paragraph" w:styleId="TableofFigures">
    <w:name w:val="table of figures"/>
    <w:basedOn w:val="Normal"/>
    <w:next w:val="Normal"/>
    <w:uiPriority w:val="99"/>
    <w:unhideWhenUsed/>
    <w:rsid w:val="00FA5174"/>
    <w:pPr>
      <w:overflowPunct w:val="0"/>
      <w:autoSpaceDE w:val="0"/>
      <w:autoSpaceDN w:val="0"/>
      <w:adjustRightInd w:val="0"/>
      <w:spacing w:before="80" w:after="80"/>
      <w:textAlignment w:val="baseline"/>
    </w:pPr>
    <w:rPr>
      <w:szCs w:val="20"/>
    </w:rPr>
  </w:style>
  <w:style w:type="paragraph" w:styleId="DocumentMap">
    <w:name w:val="Document Map"/>
    <w:basedOn w:val="Normal"/>
    <w:link w:val="DocumentMapChar"/>
    <w:uiPriority w:val="99"/>
    <w:semiHidden/>
    <w:unhideWhenUsed/>
    <w:rsid w:val="00FA5174"/>
    <w:pPr>
      <w:overflowPunct w:val="0"/>
      <w:autoSpaceDE w:val="0"/>
      <w:autoSpaceDN w:val="0"/>
      <w:adjustRightInd w:val="0"/>
      <w:textAlignment w:val="baseline"/>
    </w:pPr>
    <w:rPr>
      <w:rFonts w:ascii="Tahoma" w:hAnsi="Tahoma" w:cs="Tahoma"/>
      <w:sz w:val="16"/>
      <w:szCs w:val="16"/>
    </w:rPr>
  </w:style>
  <w:style w:type="character" w:customStyle="1" w:styleId="DocumentMapChar">
    <w:name w:val="Document Map Char"/>
    <w:basedOn w:val="DefaultParagraphFont"/>
    <w:link w:val="DocumentMap"/>
    <w:uiPriority w:val="99"/>
    <w:semiHidden/>
    <w:rsid w:val="00FA5174"/>
    <w:rPr>
      <w:rFonts w:ascii="Tahoma" w:eastAsia="Times New Roman" w:hAnsi="Tahoma" w:cs="Tahoma"/>
      <w:sz w:val="16"/>
      <w:szCs w:val="16"/>
    </w:rPr>
  </w:style>
  <w:style w:type="paragraph" w:customStyle="1" w:styleId="bi">
    <w:name w:val="bi"/>
    <w:basedOn w:val="Normal"/>
    <w:uiPriority w:val="99"/>
    <w:rsid w:val="00FA5174"/>
    <w:pPr>
      <w:numPr>
        <w:numId w:val="2"/>
      </w:numPr>
      <w:tabs>
        <w:tab w:val="left" w:pos="1008"/>
        <w:tab w:val="left" w:pos="1296"/>
        <w:tab w:val="left" w:pos="1584"/>
      </w:tabs>
      <w:spacing w:before="120" w:line="300" w:lineRule="exact"/>
    </w:pPr>
    <w:rPr>
      <w:rFonts w:eastAsia="Calibri" w:cs="Arial"/>
      <w:szCs w:val="20"/>
    </w:rPr>
  </w:style>
  <w:style w:type="paragraph" w:customStyle="1" w:styleId="Default">
    <w:name w:val="Default"/>
    <w:rsid w:val="00FA5174"/>
    <w:pPr>
      <w:autoSpaceDE w:val="0"/>
      <w:autoSpaceDN w:val="0"/>
      <w:adjustRightInd w:val="0"/>
    </w:pPr>
    <w:rPr>
      <w:rFonts w:ascii="Times New Roman" w:eastAsia="Calibri" w:hAnsi="Times New Roman" w:cs="Times New Roman"/>
      <w:color w:val="000000"/>
    </w:rPr>
  </w:style>
  <w:style w:type="paragraph" w:customStyle="1" w:styleId="BasicText">
    <w:name w:val="Basic Text"/>
    <w:basedOn w:val="Normal"/>
    <w:uiPriority w:val="9"/>
    <w:rsid w:val="00FA5174"/>
    <w:pPr>
      <w:spacing w:before="40" w:after="40"/>
      <w:ind w:left="720"/>
    </w:pPr>
    <w:rPr>
      <w:color w:val="000000"/>
      <w:szCs w:val="20"/>
    </w:rPr>
  </w:style>
  <w:style w:type="character" w:customStyle="1" w:styleId="CaptionChar">
    <w:name w:val="Caption Char"/>
    <w:aliases w:val="Table Caption Char,Footnotes Char"/>
    <w:basedOn w:val="DefaultParagraphFont"/>
    <w:link w:val="Caption"/>
    <w:uiPriority w:val="1"/>
    <w:locked/>
    <w:rsid w:val="00FA5174"/>
    <w:rPr>
      <w:rFonts w:ascii="Arial Narrow" w:eastAsia="Times New Roman" w:hAnsi="Arial Narrow" w:cs="Times New Roman"/>
      <w:b/>
      <w:bCs/>
      <w:sz w:val="20"/>
      <w:szCs w:val="20"/>
    </w:rPr>
  </w:style>
  <w:style w:type="character" w:customStyle="1" w:styleId="st">
    <w:name w:val="st"/>
    <w:uiPriority w:val="9"/>
    <w:rsid w:val="00FA5174"/>
  </w:style>
  <w:style w:type="table" w:customStyle="1" w:styleId="TableGrid1">
    <w:name w:val="Table Grid1"/>
    <w:basedOn w:val="TableNormal"/>
    <w:next w:val="TableGrid"/>
    <w:uiPriority w:val="59"/>
    <w:rsid w:val="00FA517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paragraph 6pt space"/>
    <w:link w:val="NoSpacingChar"/>
    <w:uiPriority w:val="1"/>
    <w:qFormat/>
    <w:rsid w:val="00FA5174"/>
    <w:pPr>
      <w:spacing w:after="120"/>
      <w:jc w:val="both"/>
    </w:pPr>
    <w:rPr>
      <w:rFonts w:ascii="Arial" w:hAnsi="Arial"/>
      <w:sz w:val="20"/>
      <w:szCs w:val="22"/>
    </w:rPr>
  </w:style>
  <w:style w:type="character" w:customStyle="1" w:styleId="p3Char">
    <w:name w:val="p3 Char"/>
    <w:basedOn w:val="DefaultParagraphFont"/>
    <w:link w:val="p3"/>
    <w:uiPriority w:val="99"/>
    <w:locked/>
    <w:rsid w:val="00FA5174"/>
    <w:rPr>
      <w:rFonts w:ascii="Arial" w:eastAsia="Times New Roman" w:hAnsi="Arial" w:cs="Times New Roman"/>
      <w:sz w:val="20"/>
    </w:rPr>
  </w:style>
  <w:style w:type="paragraph" w:customStyle="1" w:styleId="Footnote">
    <w:name w:val="Footnote"/>
    <w:basedOn w:val="Normal"/>
    <w:link w:val="FootnoteChar"/>
    <w:autoRedefine/>
    <w:qFormat/>
    <w:rsid w:val="00E37DA0"/>
    <w:pPr>
      <w:widowControl w:val="0"/>
      <w:ind w:left="168"/>
    </w:pPr>
    <w:rPr>
      <w:rFonts w:cs="Arial"/>
      <w:szCs w:val="20"/>
    </w:rPr>
  </w:style>
  <w:style w:type="character" w:customStyle="1" w:styleId="FootnoteChar">
    <w:name w:val="Footnote Char"/>
    <w:basedOn w:val="DefaultParagraphFont"/>
    <w:link w:val="Footnote"/>
    <w:rsid w:val="00E37DA0"/>
    <w:rPr>
      <w:rFonts w:ascii="Arial" w:eastAsia="Times New Roman" w:hAnsi="Arial" w:cs="Arial"/>
      <w:sz w:val="20"/>
      <w:szCs w:val="20"/>
    </w:rPr>
  </w:style>
  <w:style w:type="paragraph" w:customStyle="1" w:styleId="NRELHead01Numbered">
    <w:name w:val="NREL_Head_01_Numbered"/>
    <w:next w:val="Normal"/>
    <w:uiPriority w:val="99"/>
    <w:rsid w:val="00FA5174"/>
    <w:pPr>
      <w:keepNext/>
      <w:numPr>
        <w:numId w:val="3"/>
      </w:numPr>
      <w:spacing w:after="240"/>
    </w:pPr>
    <w:rPr>
      <w:rFonts w:ascii="Arial" w:eastAsia="Calibri" w:hAnsi="Arial" w:cs="Arial"/>
      <w:b/>
      <w:kern w:val="24"/>
      <w:sz w:val="30"/>
      <w:szCs w:val="20"/>
    </w:rPr>
  </w:style>
  <w:style w:type="paragraph" w:customStyle="1" w:styleId="NRELHead02Numbered">
    <w:name w:val="NREL_Head_02_Numbered"/>
    <w:next w:val="Normal"/>
    <w:uiPriority w:val="99"/>
    <w:rsid w:val="00FA5174"/>
    <w:pPr>
      <w:keepNext/>
      <w:numPr>
        <w:ilvl w:val="1"/>
        <w:numId w:val="3"/>
      </w:numPr>
    </w:pPr>
    <w:rPr>
      <w:rFonts w:ascii="Arial" w:eastAsia="Calibri" w:hAnsi="Arial" w:cs="Arial"/>
      <w:b/>
      <w:szCs w:val="20"/>
    </w:rPr>
  </w:style>
  <w:style w:type="paragraph" w:customStyle="1" w:styleId="NRELHead03Numbered">
    <w:name w:val="NREL_Head_03_Numbered"/>
    <w:next w:val="Normal"/>
    <w:uiPriority w:val="99"/>
    <w:rsid w:val="00FA5174"/>
    <w:pPr>
      <w:keepNext/>
      <w:numPr>
        <w:ilvl w:val="2"/>
        <w:numId w:val="3"/>
      </w:numPr>
    </w:pPr>
    <w:rPr>
      <w:rFonts w:ascii="Arial" w:eastAsia="Calibri" w:hAnsi="Arial" w:cs="Times New Roman"/>
      <w:b/>
      <w:i/>
      <w:szCs w:val="20"/>
    </w:rPr>
  </w:style>
  <w:style w:type="paragraph" w:customStyle="1" w:styleId="NRELHead04Numbered">
    <w:name w:val="NREL_Head_04_Numbered"/>
    <w:next w:val="Normal"/>
    <w:uiPriority w:val="99"/>
    <w:rsid w:val="00FA5174"/>
    <w:pPr>
      <w:keepNext/>
      <w:numPr>
        <w:ilvl w:val="3"/>
        <w:numId w:val="3"/>
      </w:numPr>
    </w:pPr>
    <w:rPr>
      <w:rFonts w:ascii="Arial" w:eastAsia="Calibri" w:hAnsi="Arial" w:cs="Times New Roman"/>
      <w:bCs/>
      <w:i/>
      <w:szCs w:val="20"/>
    </w:rPr>
  </w:style>
  <w:style w:type="paragraph" w:customStyle="1" w:styleId="NRELHead05Numbered">
    <w:name w:val="NREL_Head_05_Numbered"/>
    <w:next w:val="Normal"/>
    <w:uiPriority w:val="99"/>
    <w:rsid w:val="00FA5174"/>
    <w:pPr>
      <w:keepNext/>
      <w:numPr>
        <w:ilvl w:val="4"/>
        <w:numId w:val="3"/>
      </w:numPr>
    </w:pPr>
    <w:rPr>
      <w:rFonts w:ascii="Times New Roman" w:eastAsia="Calibri" w:hAnsi="Times New Roman" w:cs="Times New Roman"/>
      <w:b/>
      <w:szCs w:val="20"/>
    </w:rPr>
  </w:style>
  <w:style w:type="paragraph" w:customStyle="1" w:styleId="NRELHead06Numbered">
    <w:name w:val="NREL_Head_06_Numbered"/>
    <w:next w:val="Normal"/>
    <w:uiPriority w:val="99"/>
    <w:rsid w:val="00FA5174"/>
    <w:pPr>
      <w:keepNext/>
      <w:numPr>
        <w:ilvl w:val="5"/>
        <w:numId w:val="3"/>
      </w:numPr>
    </w:pPr>
    <w:rPr>
      <w:rFonts w:ascii="Times New Roman" w:eastAsia="Calibri" w:hAnsi="Times New Roman" w:cs="Times New Roman"/>
      <w:b/>
      <w:i/>
      <w:szCs w:val="20"/>
    </w:rPr>
  </w:style>
  <w:style w:type="paragraph" w:customStyle="1" w:styleId="NRELHead07Numbered">
    <w:name w:val="NREL_Head_07_Numbered"/>
    <w:next w:val="Normal"/>
    <w:uiPriority w:val="99"/>
    <w:rsid w:val="00FA5174"/>
    <w:pPr>
      <w:keepNext/>
      <w:numPr>
        <w:ilvl w:val="6"/>
        <w:numId w:val="3"/>
      </w:numPr>
    </w:pPr>
    <w:rPr>
      <w:rFonts w:ascii="Times New Roman" w:eastAsia="Calibri" w:hAnsi="Times New Roman" w:cs="Times New Roman"/>
      <w:i/>
      <w:szCs w:val="20"/>
    </w:rPr>
  </w:style>
  <w:style w:type="paragraph" w:styleId="NormalWeb">
    <w:name w:val="Normal (Web)"/>
    <w:basedOn w:val="Normal"/>
    <w:uiPriority w:val="99"/>
    <w:semiHidden/>
    <w:unhideWhenUsed/>
    <w:rsid w:val="00FA5174"/>
    <w:pPr>
      <w:spacing w:before="100" w:beforeAutospacing="1" w:after="100" w:afterAutospacing="1"/>
    </w:pPr>
  </w:style>
  <w:style w:type="character" w:styleId="PlaceholderText">
    <w:name w:val="Placeholder Text"/>
    <w:basedOn w:val="DefaultParagraphFont"/>
    <w:uiPriority w:val="99"/>
    <w:semiHidden/>
    <w:rsid w:val="00FA5174"/>
    <w:rPr>
      <w:color w:val="808080"/>
    </w:rPr>
  </w:style>
  <w:style w:type="character" w:customStyle="1" w:styleId="TechnicalTableChar">
    <w:name w:val="Technical Table Char"/>
    <w:basedOn w:val="DefaultParagraphFont"/>
    <w:link w:val="TechnicalTable"/>
    <w:locked/>
    <w:rsid w:val="00FA5174"/>
    <w:rPr>
      <w:rFonts w:ascii="Calibri" w:hAnsi="Calibri" w:cs="Calibri"/>
    </w:rPr>
  </w:style>
  <w:style w:type="paragraph" w:customStyle="1" w:styleId="TechnicalTable">
    <w:name w:val="Technical Table"/>
    <w:basedOn w:val="Normal"/>
    <w:link w:val="TechnicalTableChar"/>
    <w:rsid w:val="00FA5174"/>
    <w:rPr>
      <w:rFonts w:ascii="Calibri" w:eastAsiaTheme="minorHAnsi" w:hAnsi="Calibri" w:cs="Calibri"/>
      <w:sz w:val="24"/>
    </w:rPr>
  </w:style>
  <w:style w:type="paragraph" w:customStyle="1" w:styleId="TableHeading">
    <w:name w:val="Table Heading"/>
    <w:basedOn w:val="Normal"/>
    <w:uiPriority w:val="99"/>
    <w:rsid w:val="00FA5174"/>
    <w:pPr>
      <w:jc w:val="center"/>
    </w:pPr>
    <w:rPr>
      <w:rFonts w:ascii="Calibri" w:eastAsiaTheme="minorHAnsi" w:hAnsi="Calibri" w:cs="Calibri"/>
      <w:b/>
      <w:bCs/>
      <w:color w:val="FFFFFF"/>
      <w:szCs w:val="20"/>
    </w:rPr>
  </w:style>
  <w:style w:type="paragraph" w:styleId="Subtitle">
    <w:name w:val="Subtitle"/>
    <w:basedOn w:val="Normal"/>
    <w:next w:val="Normal"/>
    <w:link w:val="SubtitleChar"/>
    <w:uiPriority w:val="11"/>
    <w:qFormat/>
    <w:rsid w:val="00FA5174"/>
    <w:pPr>
      <w:numPr>
        <w:ilvl w:val="1"/>
      </w:numPr>
      <w:spacing w:line="276" w:lineRule="auto"/>
    </w:pPr>
    <w:rPr>
      <w:rFonts w:asciiTheme="majorHAnsi" w:eastAsiaTheme="majorEastAsia" w:hAnsiTheme="majorHAnsi" w:cstheme="majorBidi"/>
      <w:i/>
      <w:iCs/>
      <w:color w:val="4472C4" w:themeColor="accent1"/>
      <w:spacing w:val="15"/>
      <w:lang w:eastAsia="ja-JP"/>
    </w:rPr>
  </w:style>
  <w:style w:type="character" w:customStyle="1" w:styleId="SubtitleChar">
    <w:name w:val="Subtitle Char"/>
    <w:basedOn w:val="DefaultParagraphFont"/>
    <w:link w:val="Subtitle"/>
    <w:uiPriority w:val="11"/>
    <w:rsid w:val="00FA5174"/>
    <w:rPr>
      <w:rFonts w:asciiTheme="majorHAnsi" w:eastAsiaTheme="majorEastAsia" w:hAnsiTheme="majorHAnsi" w:cstheme="majorBidi"/>
      <w:i/>
      <w:iCs/>
      <w:color w:val="4472C4" w:themeColor="accent1"/>
      <w:spacing w:val="15"/>
      <w:sz w:val="20"/>
      <w:lang w:eastAsia="ja-JP"/>
    </w:rPr>
  </w:style>
  <w:style w:type="character" w:customStyle="1" w:styleId="NoSpacingChar">
    <w:name w:val="No Spacing Char"/>
    <w:aliases w:val="paragraph 6pt space Char"/>
    <w:basedOn w:val="DefaultParagraphFont"/>
    <w:link w:val="NoSpacing"/>
    <w:uiPriority w:val="1"/>
    <w:rsid w:val="00FA5174"/>
    <w:rPr>
      <w:rFonts w:ascii="Arial" w:hAnsi="Arial"/>
      <w:sz w:val="20"/>
      <w:szCs w:val="22"/>
    </w:rPr>
  </w:style>
  <w:style w:type="table" w:customStyle="1" w:styleId="TableGrid2">
    <w:name w:val="Table Grid2"/>
    <w:basedOn w:val="TableNormal"/>
    <w:next w:val="TableGrid"/>
    <w:uiPriority w:val="59"/>
    <w:rsid w:val="00FA51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RELBullet01">
    <w:name w:val="NREL_Bullet_01"/>
    <w:basedOn w:val="ListParagraph"/>
    <w:uiPriority w:val="99"/>
    <w:rsid w:val="00FA5174"/>
    <w:pPr>
      <w:numPr>
        <w:numId w:val="4"/>
      </w:numPr>
      <w:tabs>
        <w:tab w:val="num" w:pos="360"/>
      </w:tabs>
      <w:overflowPunct/>
      <w:autoSpaceDE/>
      <w:autoSpaceDN/>
      <w:adjustRightInd/>
      <w:spacing w:after="120"/>
      <w:ind w:left="1080" w:firstLine="0"/>
      <w:textAlignment w:val="auto"/>
    </w:pPr>
    <w:rPr>
      <w:rFonts w:ascii="Times New Roman" w:hAnsi="Times New Roman"/>
      <w:sz w:val="24"/>
    </w:rPr>
  </w:style>
  <w:style w:type="table" w:customStyle="1" w:styleId="TableGrid3">
    <w:name w:val="Table Grid3"/>
    <w:basedOn w:val="TableNormal"/>
    <w:next w:val="TableGrid"/>
    <w:uiPriority w:val="59"/>
    <w:rsid w:val="00FA51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tyle">
    <w:name w:val="SubStyle"/>
    <w:basedOn w:val="Normal"/>
    <w:qFormat/>
    <w:rsid w:val="00FA5174"/>
    <w:pPr>
      <w:pBdr>
        <w:bottom w:val="single" w:sz="4" w:space="1" w:color="auto"/>
      </w:pBdr>
      <w:overflowPunct w:val="0"/>
      <w:autoSpaceDE w:val="0"/>
      <w:autoSpaceDN w:val="0"/>
      <w:adjustRightInd w:val="0"/>
      <w:spacing w:after="120"/>
      <w:textAlignment w:val="baseline"/>
    </w:pPr>
    <w:rPr>
      <w:rFonts w:ascii="Arial Black" w:hAnsi="Arial Black"/>
      <w:b/>
      <w:smallCaps/>
      <w:color w:val="44546A" w:themeColor="text2"/>
      <w:spacing w:val="40"/>
      <w:szCs w:val="20"/>
    </w:rPr>
  </w:style>
  <w:style w:type="table" w:customStyle="1" w:styleId="TableGrid4">
    <w:name w:val="Table Grid4"/>
    <w:basedOn w:val="TableNormal"/>
    <w:next w:val="TableGrid"/>
    <w:uiPriority w:val="59"/>
    <w:rsid w:val="00FA51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autoRedefine/>
    <w:qFormat/>
    <w:rsid w:val="00FA5174"/>
    <w:pPr>
      <w:widowControl w:val="0"/>
    </w:pPr>
    <w:rPr>
      <w:rFonts w:cs="Arial"/>
      <w:iCs/>
      <w:noProof/>
      <w:sz w:val="18"/>
      <w:szCs w:val="18"/>
      <w:lang w:val="en"/>
    </w:rPr>
  </w:style>
  <w:style w:type="character" w:styleId="Emphasis">
    <w:name w:val="Emphasis"/>
    <w:basedOn w:val="DefaultParagraphFont"/>
    <w:uiPriority w:val="20"/>
    <w:qFormat/>
    <w:rsid w:val="00FA5174"/>
    <w:rPr>
      <w:i/>
      <w:iCs/>
    </w:rPr>
  </w:style>
  <w:style w:type="paragraph" w:customStyle="1" w:styleId="3ptheading">
    <w:name w:val="3pt heading"/>
    <w:basedOn w:val="Normal"/>
    <w:qFormat/>
    <w:rsid w:val="00FA5174"/>
    <w:pPr>
      <w:overflowPunct w:val="0"/>
      <w:autoSpaceDE w:val="0"/>
      <w:autoSpaceDN w:val="0"/>
      <w:adjustRightInd w:val="0"/>
      <w:spacing w:after="60"/>
      <w:textAlignment w:val="baseline"/>
    </w:pPr>
    <w:rPr>
      <w:b/>
      <w:szCs w:val="20"/>
    </w:rPr>
  </w:style>
  <w:style w:type="character" w:customStyle="1" w:styleId="fontstyle01">
    <w:name w:val="fontstyle01"/>
    <w:basedOn w:val="DefaultParagraphFont"/>
    <w:rsid w:val="00FA5174"/>
    <w:rPr>
      <w:rFonts w:ascii="TimesNewRomanPSMT" w:hAnsi="TimesNewRomanPSMT" w:hint="default"/>
      <w:b w:val="0"/>
      <w:bCs w:val="0"/>
      <w:i w:val="0"/>
      <w:iCs w:val="0"/>
      <w:color w:val="000000"/>
      <w:sz w:val="18"/>
      <w:szCs w:val="18"/>
    </w:rPr>
  </w:style>
  <w:style w:type="table" w:styleId="GridTable1Light-Accent1">
    <w:name w:val="Grid Table 1 Light Accent 1"/>
    <w:basedOn w:val="TableNormal"/>
    <w:uiPriority w:val="46"/>
    <w:rsid w:val="00FA5174"/>
    <w:rPr>
      <w:rFonts w:ascii="Times New Roman" w:eastAsia="Times New Roman" w:hAnsi="Times New Roman" w:cs="Times New Roman"/>
      <w:sz w:val="20"/>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FA5174"/>
    <w:rPr>
      <w:color w:val="808080"/>
      <w:shd w:val="clear" w:color="auto" w:fill="E6E6E6"/>
    </w:rPr>
  </w:style>
  <w:style w:type="character" w:customStyle="1" w:styleId="normaltextrun">
    <w:name w:val="normaltextrun"/>
    <w:basedOn w:val="DefaultParagraphFont"/>
    <w:rsid w:val="00FA5174"/>
  </w:style>
  <w:style w:type="character" w:customStyle="1" w:styleId="eop">
    <w:name w:val="eop"/>
    <w:basedOn w:val="DefaultParagraphFont"/>
    <w:rsid w:val="00FA5174"/>
  </w:style>
  <w:style w:type="paragraph" w:customStyle="1" w:styleId="Text">
    <w:name w:val="_Text"/>
    <w:qFormat/>
    <w:rsid w:val="00FA5174"/>
    <w:pPr>
      <w:spacing w:before="120" w:after="240" w:line="288" w:lineRule="auto"/>
    </w:pPr>
    <w:rPr>
      <w:rFonts w:ascii="Corbel" w:eastAsia="Times New Roman" w:hAnsi="Corbel" w:cs="Nirmala UI"/>
      <w:color w:val="000000" w:themeColor="text1" w:themeShade="BF"/>
    </w:rPr>
  </w:style>
  <w:style w:type="numbering" w:customStyle="1" w:styleId="LFO25">
    <w:name w:val="LFO25"/>
    <w:basedOn w:val="NoList"/>
    <w:rsid w:val="00FA5174"/>
    <w:pPr>
      <w:numPr>
        <w:numId w:val="31"/>
      </w:numPr>
    </w:pPr>
  </w:style>
  <w:style w:type="paragraph" w:customStyle="1" w:styleId="tablecell0">
    <w:name w:val="tablecell"/>
    <w:basedOn w:val="Normal"/>
    <w:rsid w:val="00FA5174"/>
    <w:pPr>
      <w:spacing w:before="100" w:beforeAutospacing="1" w:after="100" w:afterAutospacing="1"/>
    </w:pPr>
  </w:style>
  <w:style w:type="paragraph" w:styleId="HTMLPreformatted">
    <w:name w:val="HTML Preformatted"/>
    <w:basedOn w:val="Normal"/>
    <w:link w:val="HTMLPreformattedChar"/>
    <w:uiPriority w:val="99"/>
    <w:semiHidden/>
    <w:unhideWhenUsed/>
    <w:rsid w:val="00FA5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FA5174"/>
    <w:rPr>
      <w:rFonts w:ascii="Courier New" w:eastAsia="Times New Roman" w:hAnsi="Courier New" w:cs="Courier New"/>
      <w:sz w:val="20"/>
      <w:szCs w:val="20"/>
    </w:rPr>
  </w:style>
  <w:style w:type="character" w:customStyle="1" w:styleId="fontstyle21">
    <w:name w:val="fontstyle21"/>
    <w:basedOn w:val="DefaultParagraphFont"/>
    <w:rsid w:val="00FA5174"/>
    <w:rPr>
      <w:rFonts w:ascii="ArialMT" w:hAnsi="ArialMT" w:hint="default"/>
      <w:b w:val="0"/>
      <w:bCs w:val="0"/>
      <w:i w:val="0"/>
      <w:iCs w:val="0"/>
      <w:color w:val="000000"/>
      <w:sz w:val="16"/>
      <w:szCs w:val="16"/>
    </w:rPr>
  </w:style>
  <w:style w:type="table" w:customStyle="1" w:styleId="GridTable1Light-Accent11">
    <w:name w:val="Grid Table 1 Light - Accent 11"/>
    <w:basedOn w:val="TableNormal"/>
    <w:uiPriority w:val="46"/>
    <w:rsid w:val="00FA5174"/>
    <w:rPr>
      <w:rFonts w:ascii="Times New Roman" w:eastAsia="Times New Roman" w:hAnsi="Times New Roman" w:cs="Times New Roman"/>
      <w:sz w:val="20"/>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FA5174"/>
    <w:rPr>
      <w:color w:val="808080"/>
      <w:shd w:val="clear" w:color="auto" w:fill="E6E6E6"/>
    </w:rPr>
  </w:style>
  <w:style w:type="character" w:customStyle="1" w:styleId="highlight">
    <w:name w:val="highlight"/>
    <w:basedOn w:val="DefaultParagraphFont"/>
    <w:rsid w:val="00FA5174"/>
  </w:style>
  <w:style w:type="character" w:customStyle="1" w:styleId="apple-converted-space">
    <w:name w:val="apple-converted-space"/>
    <w:basedOn w:val="DefaultParagraphFont"/>
    <w:rsid w:val="00FA5174"/>
  </w:style>
  <w:style w:type="paragraph" w:customStyle="1" w:styleId="fp-2">
    <w:name w:val="fp-2"/>
    <w:basedOn w:val="Normal"/>
    <w:rsid w:val="00FA5174"/>
    <w:pPr>
      <w:spacing w:before="100" w:beforeAutospacing="1" w:after="100" w:afterAutospacing="1"/>
    </w:pPr>
  </w:style>
  <w:style w:type="paragraph" w:customStyle="1" w:styleId="TableCell1">
    <w:name w:val="Table Cell"/>
    <w:basedOn w:val="BodyText"/>
    <w:rsid w:val="00FA5174"/>
    <w:pPr>
      <w:tabs>
        <w:tab w:val="left" w:pos="2880"/>
      </w:tabs>
      <w:jc w:val="left"/>
    </w:pPr>
    <w:rPr>
      <w:rFonts w:ascii="Times New Roman" w:hAnsi="Times New Roman" w:cs="Arial"/>
      <w:i/>
      <w:sz w:val="18"/>
      <w:szCs w:val="18"/>
    </w:rPr>
  </w:style>
  <w:style w:type="paragraph" w:customStyle="1" w:styleId="Source">
    <w:name w:val="Source"/>
    <w:basedOn w:val="ListParagraph"/>
    <w:qFormat/>
    <w:rsid w:val="00FA5174"/>
    <w:pPr>
      <w:numPr>
        <w:numId w:val="40"/>
      </w:numPr>
      <w:jc w:val="left"/>
    </w:pPr>
  </w:style>
  <w:style w:type="paragraph" w:customStyle="1" w:styleId="Source1">
    <w:name w:val="Source1"/>
    <w:basedOn w:val="source10"/>
    <w:rsid w:val="00D300C2"/>
    <w:pPr>
      <w:numPr>
        <w:numId w:val="23"/>
      </w:numPr>
      <w:spacing w:after="120"/>
      <w:ind w:left="360"/>
    </w:pPr>
  </w:style>
  <w:style w:type="character" w:styleId="Mention">
    <w:name w:val="Mention"/>
    <w:basedOn w:val="DefaultParagraphFont"/>
    <w:uiPriority w:val="99"/>
    <w:unhideWhenUsed/>
    <w:rsid w:val="00A8469F"/>
    <w:rPr>
      <w:color w:val="2B579A"/>
      <w:shd w:val="clear" w:color="auto" w:fill="E1DFDD"/>
    </w:rPr>
  </w:style>
  <w:style w:type="character" w:customStyle="1" w:styleId="ListParagraphChar">
    <w:name w:val="List Paragraph Char"/>
    <w:aliases w:val="TT - Numbered List Paragraph Char,Bullet Styles para Char,TOC etc. Char,Bulleted List Paragraph Char"/>
    <w:basedOn w:val="DefaultParagraphFont"/>
    <w:link w:val="ListParagraph"/>
    <w:uiPriority w:val="34"/>
    <w:locked/>
    <w:rsid w:val="007376E1"/>
    <w:rPr>
      <w:rFonts w:ascii="Arial" w:eastAsia="Times New Roman" w:hAnsi="Arial" w:cs="Times New Roman"/>
      <w:sz w:val="20"/>
      <w:szCs w:val="20"/>
    </w:rPr>
  </w:style>
  <w:style w:type="table" w:customStyle="1" w:styleId="TableGrid5">
    <w:name w:val="Table Grid5"/>
    <w:basedOn w:val="TableNormal"/>
    <w:next w:val="TableGrid"/>
    <w:uiPriority w:val="59"/>
    <w:rsid w:val="007376E1"/>
    <w:rPr>
      <w:rFonts w:ascii="Times New Roman" w:eastAsiaTheme="minorEastAsia" w:hAnsi="Times New Roman"/>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7376E1"/>
    <w:rPr>
      <w:rFonts w:ascii="Segoe UI" w:hAnsi="Segoe UI" w:cs="Segoe UI" w:hint="default"/>
      <w:sz w:val="18"/>
      <w:szCs w:val="18"/>
    </w:rPr>
  </w:style>
  <w:style w:type="paragraph" w:customStyle="1" w:styleId="CrossRef">
    <w:name w:val="CrossRef"/>
    <w:basedOn w:val="Normal"/>
    <w:next w:val="Normal"/>
    <w:link w:val="CrossRefChar"/>
    <w:uiPriority w:val="4"/>
    <w:qFormat/>
    <w:rsid w:val="007376E1"/>
    <w:pPr>
      <w:spacing w:after="120" w:line="276" w:lineRule="auto"/>
    </w:pPr>
    <w:rPr>
      <w:rFonts w:eastAsiaTheme="minorEastAsia" w:cstheme="minorBidi"/>
      <w:color w:val="A5A5A5" w:themeColor="accent3"/>
      <w:sz w:val="22"/>
      <w:szCs w:val="22"/>
      <w:lang w:bidi="en-US"/>
    </w:rPr>
  </w:style>
  <w:style w:type="character" w:customStyle="1" w:styleId="CrossRefChar">
    <w:name w:val="CrossRef Char"/>
    <w:basedOn w:val="DefaultParagraphFont"/>
    <w:link w:val="CrossRef"/>
    <w:uiPriority w:val="4"/>
    <w:rsid w:val="007376E1"/>
    <w:rPr>
      <w:rFonts w:ascii="Arial" w:eastAsiaTheme="minorEastAsia" w:hAnsi="Arial"/>
      <w:color w:val="A5A5A5" w:themeColor="accent3"/>
      <w:sz w:val="22"/>
      <w:szCs w:val="22"/>
      <w:lang w:bidi="en-US"/>
    </w:rPr>
  </w:style>
  <w:style w:type="table" w:customStyle="1" w:styleId="BodyOdd">
    <w:name w:val="Body Odd"/>
    <w:basedOn w:val="TableNormal"/>
    <w:uiPriority w:val="99"/>
    <w:rsid w:val="00E44576"/>
    <w:pPr>
      <w:spacing w:line="280" w:lineRule="exact"/>
    </w:pPr>
    <w:rPr>
      <w:rFonts w:ascii="Arial" w:eastAsiaTheme="minorEastAsia" w:hAnsi="Arial" w:cs="Times New Roman"/>
      <w:sz w:val="20"/>
      <w:lang w:eastAsia="ja-JP"/>
    </w:rPr>
    <w:tblPr>
      <w:tblStyleRowBandSize w:val="1"/>
      <w:tblStyleColBandSize w:val="1"/>
      <w:jc w:val="center"/>
    </w:tblPr>
    <w:trPr>
      <w:jc w:val="center"/>
    </w:trPr>
    <w:tcPr>
      <w:shd w:val="clear" w:color="auto" w:fill="auto"/>
    </w:tcPr>
    <w:tblStylePr w:type="firstRow">
      <w:rPr>
        <w:b/>
        <w:color w:val="FFFFFF" w:themeColor="background1"/>
      </w:rPr>
      <w:tblPr/>
      <w:tcPr>
        <w:shd w:val="clear" w:color="auto" w:fill="046A38"/>
      </w:tcPr>
    </w:tblStylePr>
    <w:tblStylePr w:type="firstCol">
      <w:tblPr>
        <w:jc w:val="left"/>
      </w:tblPr>
      <w:trPr>
        <w:jc w:val="left"/>
      </w:trPr>
    </w:tblStylePr>
    <w:tblStylePr w:type="band1Horz">
      <w:tblPr/>
      <w:tcPr>
        <w:shd w:val="clear" w:color="auto" w:fill="CCCCCC"/>
      </w:tcPr>
    </w:tblStylePr>
    <w:tblStylePr w:type="band2Horz">
      <w:rPr>
        <w:rFonts w:ascii="Arial" w:hAnsi="Arial"/>
        <w:sz w:val="20"/>
      </w:rPr>
      <w:tblPr/>
      <w:tcPr>
        <w:shd w:val="clear" w:color="auto" w:fill="FFFFFF" w:themeFill="background1"/>
      </w:tcPr>
    </w:tblStylePr>
  </w:style>
  <w:style w:type="paragraph" w:styleId="TOCHeading">
    <w:name w:val="TOC Heading"/>
    <w:basedOn w:val="Heading1"/>
    <w:next w:val="Normal"/>
    <w:uiPriority w:val="39"/>
    <w:unhideWhenUsed/>
    <w:qFormat/>
    <w:rsid w:val="005C5154"/>
    <w:pPr>
      <w:keepLines/>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bCs w:val="0"/>
      <w:cap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842566">
      <w:bodyDiv w:val="1"/>
      <w:marLeft w:val="0"/>
      <w:marRight w:val="0"/>
      <w:marTop w:val="0"/>
      <w:marBottom w:val="0"/>
      <w:divBdr>
        <w:top w:val="none" w:sz="0" w:space="0" w:color="auto"/>
        <w:left w:val="none" w:sz="0" w:space="0" w:color="auto"/>
        <w:bottom w:val="none" w:sz="0" w:space="0" w:color="auto"/>
        <w:right w:val="none" w:sz="0" w:space="0" w:color="auto"/>
      </w:divBdr>
      <w:divsChild>
        <w:div w:id="1570767066">
          <w:marLeft w:val="0"/>
          <w:marRight w:val="0"/>
          <w:marTop w:val="0"/>
          <w:marBottom w:val="0"/>
          <w:divBdr>
            <w:top w:val="none" w:sz="0" w:space="0" w:color="auto"/>
            <w:left w:val="none" w:sz="0" w:space="0" w:color="auto"/>
            <w:bottom w:val="none" w:sz="0" w:space="0" w:color="auto"/>
            <w:right w:val="none" w:sz="0" w:space="0" w:color="auto"/>
          </w:divBdr>
        </w:div>
      </w:divsChild>
    </w:div>
    <w:div w:id="195632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xcelenergy.com/staticfiles/xe/Regulatory/Regulatory%20PDFs/CO-DSM/CO-2014-IHSD-Pilot-Evaluation.pdf" TargetMode="External"/><Relationship Id="rId299" Type="http://schemas.openxmlformats.org/officeDocument/2006/relationships/hyperlink" Target="https://www.nrel.gov/docs/fy22osti/80889.pdf" TargetMode="External"/><Relationship Id="rId21" Type="http://schemas.openxmlformats.org/officeDocument/2006/relationships/hyperlink" Target="https://www.puc.pa.gov/Electric/xls/Act129/SWE-Light_Metering_Study-AppendixA-Residential_Load_Shapes.xlsx" TargetMode="External"/><Relationship Id="rId63" Type="http://schemas.openxmlformats.org/officeDocument/2006/relationships/hyperlink" Target="https://s3.us-east-1.amazonaws.com/focusonenergy/staging/centralairconditioning_report.pdf" TargetMode="External"/><Relationship Id="rId159" Type="http://schemas.openxmlformats.org/officeDocument/2006/relationships/hyperlink" Target="https://www.energy.gov/energysaver/reduce-hot-water-use-energy-savings" TargetMode="External"/><Relationship Id="rId324" Type="http://schemas.openxmlformats.org/officeDocument/2006/relationships/hyperlink" Target="https://www.ashrae.org/file%20library/technical%20resources/standards%20and%20guidelines/standards%20actions/saapr282023.pdf" TargetMode="External"/><Relationship Id="rId366" Type="http://schemas.openxmlformats.org/officeDocument/2006/relationships/hyperlink" Target="https://www.energystar.gov/products/room_air_conditioners" TargetMode="External"/><Relationship Id="rId170" Type="http://schemas.openxmlformats.org/officeDocument/2006/relationships/hyperlink" Target="https://insulationinstitute.org/tools-resources/free-3e-plus/" TargetMode="External"/><Relationship Id="rId226" Type="http://schemas.openxmlformats.org/officeDocument/2006/relationships/hyperlink" Target="https://www.nrel.gov/docs/fy22osti/80889.pdf" TargetMode="External"/><Relationship Id="rId268" Type="http://schemas.openxmlformats.org/officeDocument/2006/relationships/hyperlink" Target="https://www.energystar.gov/productfinder/product/certified-clothes-washers/results" TargetMode="External"/><Relationship Id="rId32" Type="http://schemas.openxmlformats.org/officeDocument/2006/relationships/hyperlink" Target="https://www.puc.pa.gov/media/2883/2023_pa_residential_baseline_study.pdf" TargetMode="External"/><Relationship Id="rId74" Type="http://schemas.openxmlformats.org/officeDocument/2006/relationships/hyperlink" Target="https://wcc.sc.egov.usda.gov/nwcc/rgrpt?report=daily_scan_por&amp;state=PA" TargetMode="External"/><Relationship Id="rId128" Type="http://schemas.openxmlformats.org/officeDocument/2006/relationships/hyperlink" Target="https://cacertappliances.energy.ca.gov/Pages/Search/AdvancedSearch.aspx" TargetMode="External"/><Relationship Id="rId335" Type="http://schemas.openxmlformats.org/officeDocument/2006/relationships/hyperlink" Target="https://www.puc.pa.gov/media/2883/2023_pa_residential_baseline_study.pdf" TargetMode="External"/><Relationship Id="rId377" Type="http://schemas.openxmlformats.org/officeDocument/2006/relationships/hyperlink" Target="https://codes.iccsafe.org/content/IECC2021P2" TargetMode="External"/><Relationship Id="rId5" Type="http://schemas.openxmlformats.org/officeDocument/2006/relationships/numbering" Target="numbering.xml"/><Relationship Id="rId181" Type="http://schemas.openxmlformats.org/officeDocument/2006/relationships/hyperlink" Target="https://www.ilsag.info/wp-content/uploads/IL-TRM-Version-11.0-Volumes-1-4-Compiled-Final.pdf" TargetMode="External"/><Relationship Id="rId237" Type="http://schemas.openxmlformats.org/officeDocument/2006/relationships/hyperlink" Target="https://www.nrel.gov/docs/fy22osti/80889.pdf" TargetMode="External"/><Relationship Id="rId402" Type="http://schemas.openxmlformats.org/officeDocument/2006/relationships/hyperlink" Target="https://www.ecfr.gov/cgi-bin/retrieveECFR?&amp;n=pt10.3.430" TargetMode="External"/><Relationship Id="rId279" Type="http://schemas.openxmlformats.org/officeDocument/2006/relationships/hyperlink" Target="https://www.eia.gov/consumption/residential/data/2020/index.php?view=microdata" TargetMode="External"/><Relationship Id="rId43" Type="http://schemas.openxmlformats.org/officeDocument/2006/relationships/hyperlink" Target="https://www.ahridirectory.org/Search/SearchHome?ReturnUrl=%2f" TargetMode="External"/><Relationship Id="rId139" Type="http://schemas.openxmlformats.org/officeDocument/2006/relationships/hyperlink" Target="https://dnr.mo.gov/document-search/missouri-technical-reference-manual-2017-volume-2-commercial-industrial-measures" TargetMode="External"/><Relationship Id="rId290" Type="http://schemas.openxmlformats.org/officeDocument/2006/relationships/hyperlink" Target="https://www.energystar.gov/sites/default/files/asset/document/ENERGY%20STAR%20Dehumidifiers%20Version%205.0%20Cover%20Letter_0.pdf" TargetMode="External"/><Relationship Id="rId304" Type="http://schemas.openxmlformats.org/officeDocument/2006/relationships/hyperlink" Target="https://www.energystar.gov/productfinder/product/certified-ceiling-fans/results" TargetMode="External"/><Relationship Id="rId346" Type="http://schemas.openxmlformats.org/officeDocument/2006/relationships/hyperlink" Target="https://www.puc.pa.gov/media/2883/2023_pa_residential_baseline_study.pdf" TargetMode="External"/><Relationship Id="rId388" Type="http://schemas.openxmlformats.org/officeDocument/2006/relationships/hyperlink" Target="https://codes.iccsafe.org/content/IECC2021P2/chapter-4-ce-commercial-energy-efficiency" TargetMode="External"/><Relationship Id="rId85" Type="http://schemas.openxmlformats.org/officeDocument/2006/relationships/hyperlink" Target="https://www.caetrm.com/measure/SWAP007/02/" TargetMode="External"/><Relationship Id="rId150" Type="http://schemas.openxmlformats.org/officeDocument/2006/relationships/hyperlink" Target="https://dnr.mo.gov/document-search/missouri-technical-reference-manual-2017-volume-2-commercial-industrial-measures" TargetMode="External"/><Relationship Id="rId171" Type="http://schemas.openxmlformats.org/officeDocument/2006/relationships/hyperlink" Target="https://energy-models.com/pipe-sizing-charts-tables" TargetMode="External"/><Relationship Id="rId192" Type="http://schemas.openxmlformats.org/officeDocument/2006/relationships/header" Target="header3.xml"/><Relationship Id="rId206" Type="http://schemas.openxmlformats.org/officeDocument/2006/relationships/hyperlink" Target="https://www.nrel.gov/docs/fy22osti/80889.pdf" TargetMode="External"/><Relationship Id="rId227" Type="http://schemas.openxmlformats.org/officeDocument/2006/relationships/hyperlink" Target="https://www.caetrm.com/login/?next=/" TargetMode="External"/><Relationship Id="rId413" Type="http://schemas.openxmlformats.org/officeDocument/2006/relationships/hyperlink" Target="https://web.archive.org/web/20170427214700/https:/www.energystar.gov/sites/default/files/asset/document/Pool%20Pump%20Calculator.xlsx" TargetMode="External"/><Relationship Id="rId248" Type="http://schemas.openxmlformats.org/officeDocument/2006/relationships/hyperlink" Target="https://www.caetrm.com" TargetMode="External"/><Relationship Id="rId269" Type="http://schemas.openxmlformats.org/officeDocument/2006/relationships/hyperlink" Target="https://www.eia.gov/consumption/residential/data/2020/index.php?view=microdata" TargetMode="External"/><Relationship Id="rId12" Type="http://schemas.openxmlformats.org/officeDocument/2006/relationships/header" Target="header1.xml"/><Relationship Id="rId33" Type="http://schemas.openxmlformats.org/officeDocument/2006/relationships/hyperlink" Target="https://www.ecfr.gov/current/title-10/part-430" TargetMode="External"/><Relationship Id="rId108" Type="http://schemas.openxmlformats.org/officeDocument/2006/relationships/hyperlink" Target="https://protect-us.mimecast.com/s/T_dHC0R2KZT6EP8KcwTWcV?domain=ecobee.com/" TargetMode="External"/><Relationship Id="rId129" Type="http://schemas.openxmlformats.org/officeDocument/2006/relationships/hyperlink" Target="https://www.puc.pa.gov/pcdocs/1340978.pdf" TargetMode="External"/><Relationship Id="rId280" Type="http://schemas.openxmlformats.org/officeDocument/2006/relationships/hyperlink" Target="https://www.ecfr.gov/current/title-10/part-430/subpart-B" TargetMode="External"/><Relationship Id="rId315" Type="http://schemas.openxmlformats.org/officeDocument/2006/relationships/hyperlink" Target="https://www.nrel.gov/docs/fy22osti/80889.pdf" TargetMode="External"/><Relationship Id="rId336" Type="http://schemas.openxmlformats.org/officeDocument/2006/relationships/hyperlink" Target="https://www.energystar.gov/products/room_air_conditioners" TargetMode="External"/><Relationship Id="rId357" Type="http://schemas.openxmlformats.org/officeDocument/2006/relationships/footer" Target="footer22.xml"/><Relationship Id="rId54" Type="http://schemas.openxmlformats.org/officeDocument/2006/relationships/footer" Target="footer5.xml"/><Relationship Id="rId75" Type="http://schemas.openxmlformats.org/officeDocument/2006/relationships/hyperlink" Target="https://energy.mo.gov/sites/energy/files/MOTRM2017Volume2.pdf" TargetMode="External"/><Relationship Id="rId96" Type="http://schemas.openxmlformats.org/officeDocument/2006/relationships/hyperlink" Target="https://www.ecfr.gov/current/title-10/part-430/section-430.32" TargetMode="External"/><Relationship Id="rId140" Type="http://schemas.openxmlformats.org/officeDocument/2006/relationships/hyperlink" Target="https://neea.org/img/uploads/heat-pump-water-heater-field-study-report.pdf" TargetMode="External"/><Relationship Id="rId161" Type="http://schemas.openxmlformats.org/officeDocument/2006/relationships/hyperlink" Target="https://www.puc.pa.gov/media/2883/2023_pa_residential_baseline_study.pdf" TargetMode="External"/><Relationship Id="rId182" Type="http://schemas.openxmlformats.org/officeDocument/2006/relationships/hyperlink" Target="https://data.census.gov/" TargetMode="External"/><Relationship Id="rId217" Type="http://schemas.openxmlformats.org/officeDocument/2006/relationships/hyperlink" Target="https://www.nrel.gov/docs/fy22osti/80889.pdf" TargetMode="External"/><Relationship Id="rId378" Type="http://schemas.openxmlformats.org/officeDocument/2006/relationships/hyperlink" Target="http://www.resnet.us/professional/programs/energy_rating_software" TargetMode="External"/><Relationship Id="rId399" Type="http://schemas.openxmlformats.org/officeDocument/2006/relationships/hyperlink" Target="https://www.ecfr.gov/current/title-24/subtitle-B/chapter-XX/part-3280" TargetMode="External"/><Relationship Id="rId403" Type="http://schemas.openxmlformats.org/officeDocument/2006/relationships/hyperlink" Target="https://www.energystar.gov/sites/default/files/asset/document/Manufactured%20Program%20Requirements%20Version%203_Rev%2001.pdf" TargetMode="External"/><Relationship Id="rId6" Type="http://schemas.openxmlformats.org/officeDocument/2006/relationships/styles" Target="styles.xml"/><Relationship Id="rId238" Type="http://schemas.openxmlformats.org/officeDocument/2006/relationships/hyperlink" Target="https://www.osti.gov/biblio/1169485" TargetMode="External"/><Relationship Id="rId259" Type="http://schemas.openxmlformats.org/officeDocument/2006/relationships/hyperlink" Target="https://www.energystar.gov/productfinder/download/certified-residential-electric-cooking-products/" TargetMode="External"/><Relationship Id="rId424" Type="http://schemas.openxmlformats.org/officeDocument/2006/relationships/hyperlink" Target="https://pvwatts.nrel.gov/" TargetMode="External"/><Relationship Id="rId23" Type="http://schemas.openxmlformats.org/officeDocument/2006/relationships/hyperlink" Target="https://www.grainger.com/category/lighting/light-bulbs-lamps/linear-light-bulbs-lamps?categoryIndex=1" TargetMode="External"/><Relationship Id="rId119" Type="http://schemas.openxmlformats.org/officeDocument/2006/relationships/hyperlink" Target="https://www.energytrust.org/wp-content/uploads/2016/12/Smart_Thermostat_Pilot_Evaluation-Final_wSR.pdf" TargetMode="External"/><Relationship Id="rId270" Type="http://schemas.openxmlformats.org/officeDocument/2006/relationships/hyperlink" Target="https://www.ecfr.gov/current/title-10/part-430/section-430.32" TargetMode="External"/><Relationship Id="rId291" Type="http://schemas.openxmlformats.org/officeDocument/2006/relationships/hyperlink" Target="https://www.energystar.gov/sites/default/files/ENERGY%20STAR%20Dehumidifiers%20Version%205.0%20Program%20Requirements_0.pdf" TargetMode="External"/><Relationship Id="rId305" Type="http://schemas.openxmlformats.org/officeDocument/2006/relationships/hyperlink" Target="https://www.nrel.gov/docs/fy22osti/80889.pdf" TargetMode="External"/><Relationship Id="rId326" Type="http://schemas.openxmlformats.org/officeDocument/2006/relationships/hyperlink" Target="https://www.ecobee.com/donateyourdata/" TargetMode="External"/><Relationship Id="rId347" Type="http://schemas.openxmlformats.org/officeDocument/2006/relationships/hyperlink" Target="https://www.puc.pa.gov/media/2883/2023_pa_residential_baseline_study.pdf" TargetMode="External"/><Relationship Id="rId44" Type="http://schemas.openxmlformats.org/officeDocument/2006/relationships/hyperlink" Target="https://protect-us.mimecast.com/s/T_dHC0R2KZT6EP8KcwTWcV?domain=ecobee.com/" TargetMode="External"/><Relationship Id="rId65" Type="http://schemas.openxmlformats.org/officeDocument/2006/relationships/hyperlink" Target="https://escholarship.org/content/qt7kt682n7/qt7kt682n7_noSplash_1f7ec9ab392295a2aeb2e498143f40c5.pdf" TargetMode="External"/><Relationship Id="rId86" Type="http://schemas.openxmlformats.org/officeDocument/2006/relationships/hyperlink" Target="https://www.puc.pa.gov/media/2883/2023_pa_residential_baseline_study.pdf" TargetMode="External"/><Relationship Id="rId130" Type="http://schemas.openxmlformats.org/officeDocument/2006/relationships/hyperlink" Target="https://www.nrel.gov/docs/fy22osti/80889.pdf" TargetMode="External"/><Relationship Id="rId151" Type="http://schemas.openxmlformats.org/officeDocument/2006/relationships/hyperlink" Target="https://www.nrel.gov/docs/fy22osti/80889.pdf" TargetMode="External"/><Relationship Id="rId368" Type="http://schemas.openxmlformats.org/officeDocument/2006/relationships/hyperlink" Target="https://www.energy.gov/femp/articles/minimum-efficiency-requirements-tables-heating-and-cooling-product-categories" TargetMode="External"/><Relationship Id="rId389" Type="http://schemas.openxmlformats.org/officeDocument/2006/relationships/hyperlink" Target="https://codes.iccsafe.org/content/IMC2021P3/chapter-4-ventilation" TargetMode="External"/><Relationship Id="rId172" Type="http://schemas.openxmlformats.org/officeDocument/2006/relationships/hyperlink" Target="https://www.engineeringtoolbox.com/ASTM-F876-PEX-tube-d_2139.html" TargetMode="External"/><Relationship Id="rId193" Type="http://schemas.openxmlformats.org/officeDocument/2006/relationships/hyperlink" Target="https://www.nrel.gov/docs/fy22osti/80889.pdf" TargetMode="External"/><Relationship Id="rId207" Type="http://schemas.openxmlformats.org/officeDocument/2006/relationships/hyperlink" Target="https://www.caetrm.com/measure/SWWH012/03/" TargetMode="External"/><Relationship Id="rId228" Type="http://schemas.openxmlformats.org/officeDocument/2006/relationships/hyperlink" Target="https://www.nrel.gov/docs/fy17osti/68563.pdf" TargetMode="External"/><Relationship Id="rId249" Type="http://schemas.openxmlformats.org/officeDocument/2006/relationships/hyperlink" Target="https://cacertappliances.energy.ca.gov/Login.aspx" TargetMode="External"/><Relationship Id="rId414" Type="http://schemas.openxmlformats.org/officeDocument/2006/relationships/hyperlink" Target="https://www.etcc-ca.com/sites/default/files/reports/dr07_01_pool_pump_demand_response_potential_report.pdf" TargetMode="External"/><Relationship Id="rId13" Type="http://schemas.openxmlformats.org/officeDocument/2006/relationships/footer" Target="footer1.xml"/><Relationship Id="rId109" Type="http://schemas.openxmlformats.org/officeDocument/2006/relationships/hyperlink" Target="https://protect-us.mimecast.com/s/xdvLCgJx0osVgQkrfohY-y?domain=ncei.noaa.gov" TargetMode="External"/><Relationship Id="rId260" Type="http://schemas.openxmlformats.org/officeDocument/2006/relationships/hyperlink" Target="https://cao-94612.s3.amazonaws.com/documents/Induction-Range-Final-Report-July-2019.pdf" TargetMode="External"/><Relationship Id="rId281" Type="http://schemas.openxmlformats.org/officeDocument/2006/relationships/hyperlink" Target="https://www.regulations.gov/document/EERE-2014-BT-STD-0058-0063?utm_medium=email&amp;utm_source=govdelivery" TargetMode="External"/><Relationship Id="rId316" Type="http://schemas.openxmlformats.org/officeDocument/2006/relationships/image" Target="media/image3.png"/><Relationship Id="rId337" Type="http://schemas.openxmlformats.org/officeDocument/2006/relationships/hyperlink" Target="https://www.puc.pa.gov/media/2883/2023_pa_residential_baseline_study.pdf" TargetMode="External"/><Relationship Id="rId34" Type="http://schemas.openxmlformats.org/officeDocument/2006/relationships/hyperlink" Target="https://codes.iccsafe.org/content/IECC2015/chapter-4-ce-commercial-energy-efficiency" TargetMode="External"/><Relationship Id="rId55" Type="http://schemas.openxmlformats.org/officeDocument/2006/relationships/footer" Target="footer6.xml"/><Relationship Id="rId76" Type="http://schemas.openxmlformats.org/officeDocument/2006/relationships/hyperlink" Target="https://www.puc.pa.gov/media/2883/2023_pa_residential_baseline_study.pdf" TargetMode="External"/><Relationship Id="rId97" Type="http://schemas.openxmlformats.org/officeDocument/2006/relationships/hyperlink" Target="https://protect-us.mimecast.com/s/T_dHC0R2KZT6EP8KcwTWcV?domain=ecobee.com/" TargetMode="External"/><Relationship Id="rId120" Type="http://schemas.openxmlformats.org/officeDocument/2006/relationships/hyperlink" Target="https://ma-eeac.org/wp-content/uploads/Wi-Fi-Programmable-Controllable-Thermostat-Pilot-Program-Evaluation_Part-of-the-Massachusetts-2011-Residential-Retrofit-Low-Income-Program-Area-Study.pdf" TargetMode="External"/><Relationship Id="rId141" Type="http://schemas.openxmlformats.org/officeDocument/2006/relationships/hyperlink" Target="https://www.ecobee.com/donateyourdata/" TargetMode="External"/><Relationship Id="rId358" Type="http://schemas.openxmlformats.org/officeDocument/2006/relationships/footer" Target="footer23.xml"/><Relationship Id="rId379" Type="http://schemas.openxmlformats.org/officeDocument/2006/relationships/hyperlink" Target="https://passivehouse.com/04_phpp/04_phpp.htm" TargetMode="External"/><Relationship Id="rId7" Type="http://schemas.openxmlformats.org/officeDocument/2006/relationships/settings" Target="settings.xml"/><Relationship Id="rId162" Type="http://schemas.openxmlformats.org/officeDocument/2006/relationships/hyperlink" Target="https://www.nrel.gov/docs/fy22osti/80889.pdf" TargetMode="External"/><Relationship Id="rId183" Type="http://schemas.openxmlformats.org/officeDocument/2006/relationships/hyperlink" Target="https://www.nrel.gov/docs/fy22osti/80889.pdf" TargetMode="External"/><Relationship Id="rId218" Type="http://schemas.openxmlformats.org/officeDocument/2006/relationships/hyperlink" Target="https://www.energystar.gov/productfinder/product/certified-residential-refrigerators/results" TargetMode="External"/><Relationship Id="rId239" Type="http://schemas.openxmlformats.org/officeDocument/2006/relationships/hyperlink" Target="https://www.regulations.doe.gov/certification-data/CCMS-4-Refrigerators__Refrigerator-Freezers__and_Freezers.html" TargetMode="External"/><Relationship Id="rId390" Type="http://schemas.openxmlformats.org/officeDocument/2006/relationships/hyperlink" Target="https://codes.iccsafe.org/content/IECC2021P2/chapter-4-ce-commercial-energy-efficiency" TargetMode="External"/><Relationship Id="rId404" Type="http://schemas.openxmlformats.org/officeDocument/2006/relationships/hyperlink" Target="http://www.puc.state.pa.us/Electric/pdf/Act129/SWE_Res_Behavioral_Program-Persistence_Study_Addendum2018.pdf" TargetMode="External"/><Relationship Id="rId425" Type="http://schemas.openxmlformats.org/officeDocument/2006/relationships/footer" Target="footer26.xml"/><Relationship Id="rId250" Type="http://schemas.openxmlformats.org/officeDocument/2006/relationships/hyperlink" Target="https://web.archive.org/web/20161221221251/http:/www.energy.ca.gov/2015publications/CEC-400-2015-021/CEC-400-2015-021.pdf" TargetMode="External"/><Relationship Id="rId271" Type="http://schemas.openxmlformats.org/officeDocument/2006/relationships/hyperlink" Target="https://www.nrel.gov/docs/fy22osti/80889.pdf" TargetMode="External"/><Relationship Id="rId292" Type="http://schemas.openxmlformats.org/officeDocument/2006/relationships/hyperlink" Target="https://www.ecfr.gov/current/title-10/part-430/section-430.32" TargetMode="External"/><Relationship Id="rId306" Type="http://schemas.openxmlformats.org/officeDocument/2006/relationships/footer" Target="footer16.xml"/><Relationship Id="rId24" Type="http://schemas.openxmlformats.org/officeDocument/2006/relationships/hyperlink" Target="https://www.grainger.com/category/lighting/light-bulbs-lamps/high-output-hid-led-light-bulbs-lamps?categoryIndex=4" TargetMode="External"/><Relationship Id="rId45" Type="http://schemas.openxmlformats.org/officeDocument/2006/relationships/hyperlink" Target="https://protect-us.mimecast.com/s/xdvLCgJx0osVgQkrfohY-y?domain=ncei.noaa.gov" TargetMode="External"/><Relationship Id="rId66" Type="http://schemas.openxmlformats.org/officeDocument/2006/relationships/hyperlink" Target="https://protect-us.mimecast.com/s/T_dHC0R2KZT6EP8KcwTWcV?domain=ecobee.com/" TargetMode="External"/><Relationship Id="rId87" Type="http://schemas.openxmlformats.org/officeDocument/2006/relationships/hyperlink" Target="https://www.ecfr.gov/current/title-10/part-430/section-430.32" TargetMode="External"/><Relationship Id="rId110" Type="http://schemas.openxmlformats.org/officeDocument/2006/relationships/hyperlink" Target="https://www.caetrm.com/measure/SWHC039/06/" TargetMode="External"/><Relationship Id="rId131" Type="http://schemas.openxmlformats.org/officeDocument/2006/relationships/hyperlink" Target="https://www.caetrm.com/measure/SWWH014/04/" TargetMode="External"/><Relationship Id="rId327" Type="http://schemas.openxmlformats.org/officeDocument/2006/relationships/footer" Target="footer19.xml"/><Relationship Id="rId348" Type="http://schemas.openxmlformats.org/officeDocument/2006/relationships/hyperlink" Target="https://www.puc.pa.gov/media/2883/2023_pa_residential_baseline_study.pdf" TargetMode="External"/><Relationship Id="rId369" Type="http://schemas.openxmlformats.org/officeDocument/2006/relationships/hyperlink" Target="https://www.nrel.gov/docs/fy22osti/80889.pdf" TargetMode="External"/><Relationship Id="rId152" Type="http://schemas.openxmlformats.org/officeDocument/2006/relationships/hyperlink" Target="https://www.ahridirectory.org/NewSearch?programId=24&amp;searchTypeId=3" TargetMode="External"/><Relationship Id="rId173" Type="http://schemas.openxmlformats.org/officeDocument/2006/relationships/hyperlink" Target="https://www.puc.pa.gov/pcdocs/1760022.pdf" TargetMode="External"/><Relationship Id="rId194" Type="http://schemas.openxmlformats.org/officeDocument/2006/relationships/hyperlink" Target="https://data.census.gov/" TargetMode="External"/><Relationship Id="rId208" Type="http://schemas.openxmlformats.org/officeDocument/2006/relationships/hyperlink" Target="https://www.puc.pa.gov/media/2883/2023_pa_residential_baseline_study.pdf" TargetMode="External"/><Relationship Id="rId229" Type="http://schemas.openxmlformats.org/officeDocument/2006/relationships/hyperlink" Target="https://www.nrel.gov/docs/fy22osti/80889.pdf" TargetMode="External"/><Relationship Id="rId380" Type="http://schemas.openxmlformats.org/officeDocument/2006/relationships/hyperlink" Target="https://www.phius.org/resources/tools-and-support/wufi-passive-design-tool" TargetMode="External"/><Relationship Id="rId415" Type="http://schemas.openxmlformats.org/officeDocument/2006/relationships/hyperlink" Target="https://www.caetrm.com/measure/SWRE002/01/" TargetMode="External"/><Relationship Id="rId240" Type="http://schemas.openxmlformats.org/officeDocument/2006/relationships/hyperlink" Target="https://www.energystar.gov/productfinder/download/certified-residential-refrigerators/" TargetMode="External"/><Relationship Id="rId261" Type="http://schemas.openxmlformats.org/officeDocument/2006/relationships/hyperlink" Target="https://www.nrel.gov/docs/fy22osti/80889.pdf" TargetMode="External"/><Relationship Id="rId14" Type="http://schemas.openxmlformats.org/officeDocument/2006/relationships/footer" Target="footer2.xml"/><Relationship Id="rId35" Type="http://schemas.openxmlformats.org/officeDocument/2006/relationships/hyperlink" Target="https://codes.iccsafe.org/content/IECC2021P2/chapter-4-ce-commercial-energy-efficiency" TargetMode="External"/><Relationship Id="rId56" Type="http://schemas.openxmlformats.org/officeDocument/2006/relationships/hyperlink" Target="https://www.caetrm.com/measure/SWHC050/03/" TargetMode="External"/><Relationship Id="rId77" Type="http://schemas.openxmlformats.org/officeDocument/2006/relationships/hyperlink" Target="https://www.circleofblue.org/wp-content/uploads/2016/04/WRF_REU2016.pdf" TargetMode="External"/><Relationship Id="rId100" Type="http://schemas.openxmlformats.org/officeDocument/2006/relationships/hyperlink" Target="http://www.resnet.us/professional/standards" TargetMode="External"/><Relationship Id="rId282" Type="http://schemas.openxmlformats.org/officeDocument/2006/relationships/footer" Target="footer12.xml"/><Relationship Id="rId317" Type="http://schemas.openxmlformats.org/officeDocument/2006/relationships/image" Target="media/image4.svg"/><Relationship Id="rId338" Type="http://schemas.openxmlformats.org/officeDocument/2006/relationships/hyperlink" Target="https://www.puc.pa.gov/media/2883/2023_pa_residential_baseline_study.pdf" TargetMode="External"/><Relationship Id="rId359" Type="http://schemas.openxmlformats.org/officeDocument/2006/relationships/hyperlink" Target="https://www.nrel.gov/docs/fy22osti/80889.pdf" TargetMode="External"/><Relationship Id="rId8" Type="http://schemas.openxmlformats.org/officeDocument/2006/relationships/webSettings" Target="webSettings.xml"/><Relationship Id="rId98" Type="http://schemas.openxmlformats.org/officeDocument/2006/relationships/hyperlink" Target="https://protect-us.mimecast.com/s/xdvLCgJx0osVgQkrfohY-y?domain=ncei.noaa.gov" TargetMode="External"/><Relationship Id="rId121" Type="http://schemas.openxmlformats.org/officeDocument/2006/relationships/hyperlink" Target="https://nest.com/-downloads/press/documents/energy-trust-of-oregon-pilot-evaluation-whitepaper.pdf" TargetMode="External"/><Relationship Id="rId142" Type="http://schemas.openxmlformats.org/officeDocument/2006/relationships/hyperlink" Target="https://www.nrel.gov/docs/fy22osti/80889.pdf" TargetMode="External"/><Relationship Id="rId163" Type="http://schemas.openxmlformats.org/officeDocument/2006/relationships/hyperlink" Target="https://www.ilsag.info/wp-content/uploads/IL-TRM_Effective_010123_v11.0_Vol_3_Res_09222022_FINAL.pdf" TargetMode="External"/><Relationship Id="rId184" Type="http://schemas.openxmlformats.org/officeDocument/2006/relationships/image" Target="media/image2.png"/><Relationship Id="rId219" Type="http://schemas.openxmlformats.org/officeDocument/2006/relationships/hyperlink" Target="https://www.regulations.gov/document/EERE-2017-BT-STD-0003-0116" TargetMode="External"/><Relationship Id="rId370" Type="http://schemas.openxmlformats.org/officeDocument/2006/relationships/hyperlink" Target="https://www.puc.pa.gov/media/2883/2023_pa_residential_baseline_study.pdf" TargetMode="External"/><Relationship Id="rId391" Type="http://schemas.openxmlformats.org/officeDocument/2006/relationships/hyperlink" Target="https://www.ecfr.gov/current/title-10/chapter-II/subchapter-D/part-431/subpart-G/subject-group-ECFR4c2d09a7e7a11ca/section-431.110" TargetMode="External"/><Relationship Id="rId405" Type="http://schemas.openxmlformats.org/officeDocument/2006/relationships/footer" Target="footer25.xml"/><Relationship Id="rId426" Type="http://schemas.openxmlformats.org/officeDocument/2006/relationships/footer" Target="footer27.xml"/><Relationship Id="rId230" Type="http://schemas.openxmlformats.org/officeDocument/2006/relationships/hyperlink" Target="https://www.calmac.org/publications/LIRRL_2004-2005_Final_Report_073106.pdf" TargetMode="External"/><Relationship Id="rId251" Type="http://schemas.openxmlformats.org/officeDocument/2006/relationships/hyperlink" Target="https://www.nrel.gov/docs/fy17osti/68563.pdf" TargetMode="External"/><Relationship Id="rId25" Type="http://schemas.openxmlformats.org/officeDocument/2006/relationships/hyperlink" Target="https://www.puc.pa.gov/filing-resources/issues-laws-regulations/act-129/technical-reference-manual/" TargetMode="External"/><Relationship Id="rId46" Type="http://schemas.openxmlformats.org/officeDocument/2006/relationships/hyperlink" Target="https://www.caetrm.com/measure/SWHC049/04/" TargetMode="External"/><Relationship Id="rId67" Type="http://schemas.openxmlformats.org/officeDocument/2006/relationships/hyperlink" Target="https://protect-us.mimecast.com/s/xdvLCgJx0osVgQkrfohY-y?domain=ncei.noaa.gov" TargetMode="External"/><Relationship Id="rId272" Type="http://schemas.openxmlformats.org/officeDocument/2006/relationships/hyperlink" Target="https://www.regulations.gov/document/EERE-2017-BT-STD-0014-0515?utm_medium=email&amp;utm_source=govdelivery" TargetMode="External"/><Relationship Id="rId293" Type="http://schemas.openxmlformats.org/officeDocument/2006/relationships/hyperlink" Target="https://www.energystar.gov/sites/default/files/asset/document/Dehumidifiers%20ENERGY%20STAR%20Most%20Efficient%202024%20Final%20Criteria.pdf?_gl=1*lig51v*_ga*MTc5ODM1MDQ0NC4xNjk3NTYyOTI4*_ga_S0KJTVVLQ6*MTcwNTAxNjc2Mi4zNi4xLjE3MDUwMTY5OTMuMC4wLjA." TargetMode="External"/><Relationship Id="rId307" Type="http://schemas.openxmlformats.org/officeDocument/2006/relationships/hyperlink" Target="https://www.google.com/url?sa=t&amp;rct=j&amp;q=&amp;esrc=s&amp;source=web&amp;cd=&amp;ved=2ahUKEwiyjoaYh6z8AhWqD1kFHdwRB20QFnoECA0QAQ&amp;url=https%3A%2F%2Fdnr.mo.gov%2Fsites%2Fdnr%2Ffiles%2Fmedia%2Ffile%2F2021%2F01%2Fenergy-star-appliance-calculator.xlsx&amp;usg=AOvVaw3hS7hAvCm1WMDzZHPdjuwn" TargetMode="External"/><Relationship Id="rId328" Type="http://schemas.openxmlformats.org/officeDocument/2006/relationships/footer" Target="footer20.xml"/><Relationship Id="rId349" Type="http://schemas.openxmlformats.org/officeDocument/2006/relationships/hyperlink" Target="https://www.puc.pa.gov/media/2883/2023_pa_residential_baseline_study.pdf" TargetMode="External"/><Relationship Id="rId88" Type="http://schemas.openxmlformats.org/officeDocument/2006/relationships/hyperlink" Target="https://protect-us.mimecast.com/s/T_dHC0R2KZT6EP8KcwTWcV?domain=ecobee.com/" TargetMode="External"/><Relationship Id="rId111" Type="http://schemas.openxmlformats.org/officeDocument/2006/relationships/hyperlink" Target="https://www.energystar.gov/sites/default/files/ENERGY%20STAR%20Program%20Requirements%20for%20Connected%20Thermostats%20Version%201.0.pdf" TargetMode="External"/><Relationship Id="rId132" Type="http://schemas.openxmlformats.org/officeDocument/2006/relationships/hyperlink" Target="https://www.energystar.gov/sites/default/files/ENERGY%20STAR%20Residential%20Water%20Heaters%20Version%205.0%20Specification%20and%20Partner%20Commitments_0.pdf" TargetMode="External"/><Relationship Id="rId153" Type="http://schemas.openxmlformats.org/officeDocument/2006/relationships/hyperlink" Target="https://www.puc.pa.gov/Electric/pdf/Act129/SWE-2014_PA_Statewide_Act129_Residential_Baseline_Study.pdf" TargetMode="External"/><Relationship Id="rId174" Type="http://schemas.openxmlformats.org/officeDocument/2006/relationships/hyperlink" Target="https://www.puc.pa.gov/Electric/pdf/Act129/SWE-2014_PA_Statewide_Act129_Residential_Baseline_Study.pdf" TargetMode="External"/><Relationship Id="rId195" Type="http://schemas.openxmlformats.org/officeDocument/2006/relationships/hyperlink" Target="https://www.puc.pa.gov/media/2883/2023_pa_residential_baseline_study.pdf" TargetMode="External"/><Relationship Id="rId209" Type="http://schemas.openxmlformats.org/officeDocument/2006/relationships/hyperlink" Target="https://www.ahridirectory.org/Search/QuickSearch?category=8&amp;searchTypeId=3&amp;producttype=15" TargetMode="External"/><Relationship Id="rId360" Type="http://schemas.openxmlformats.org/officeDocument/2006/relationships/hyperlink" Target="https://energizect.com/sites/default/files/documents/Measure%20Life%20Report%202007.pdf" TargetMode="External"/><Relationship Id="rId381" Type="http://schemas.openxmlformats.org/officeDocument/2006/relationships/hyperlink" Target="https://www.energystar.gov/sites/default/files/asset/document/ENERGY_STAR_MFNC_Simulation_Guidelines_AppG2016_Version_1_Rev03.pdf" TargetMode="External"/><Relationship Id="rId416" Type="http://schemas.openxmlformats.org/officeDocument/2006/relationships/hyperlink" Target="https://www.energystar.gov/productfinder/downloads/Pool_Pump_Calculator_2020.05.05_FINAL.xlsx" TargetMode="External"/><Relationship Id="rId220" Type="http://schemas.openxmlformats.org/officeDocument/2006/relationships/footer" Target="footer9.xml"/><Relationship Id="rId241" Type="http://schemas.openxmlformats.org/officeDocument/2006/relationships/hyperlink" Target="https://www.energystar.gov/productfinder/download/certified-residential-freezers/" TargetMode="External"/><Relationship Id="rId15" Type="http://schemas.openxmlformats.org/officeDocument/2006/relationships/header" Target="header2.xml"/><Relationship Id="rId36" Type="http://schemas.openxmlformats.org/officeDocument/2006/relationships/hyperlink" Target="https://www.ecfr.gov/current/title-10/section-431.97" TargetMode="External"/><Relationship Id="rId57" Type="http://schemas.openxmlformats.org/officeDocument/2006/relationships/hyperlink" Target="https://www.energystar.gov/sites/default/files/asset/document/ENERGY%20STAR%20Version%206.1%20Central%20Air%20Conditioner%20and%20Heat%20Pump%20Final%20Specification%20%28Rev.%20January%20%202022%29.pdf" TargetMode="External"/><Relationship Id="rId262" Type="http://schemas.openxmlformats.org/officeDocument/2006/relationships/hyperlink" Target="https://www.puc.pa.gov/media/2883/2023_pa_residential_baseline_study.pdf" TargetMode="External"/><Relationship Id="rId283" Type="http://schemas.openxmlformats.org/officeDocument/2006/relationships/hyperlink" Target="https://www.google.com/url?sa=t&amp;rct=j&amp;q=&amp;esrc=s&amp;source=web&amp;cd=&amp;ved=2ahUKEwiyjoaYh6z8AhWqD1kFHdwRB20QFnoECA0QAQ&amp;url=https%3A%2F%2Fdnr.mo.gov%2Fsites%2Fdnr%2Ffiles%2Fmedia%2Ffile%2F2021%2F01%2Fenergy-star-appliance-calculator.xlsx&amp;usg=AOvVaw3hS7hAvCm1WMDzZHPdjuwn" TargetMode="External"/><Relationship Id="rId318" Type="http://schemas.openxmlformats.org/officeDocument/2006/relationships/image" Target="media/image5.png"/><Relationship Id="rId339" Type="http://schemas.openxmlformats.org/officeDocument/2006/relationships/hyperlink" Target="https://www.nrel.gov/docs/fy22osti/80889.pdf" TargetMode="External"/><Relationship Id="rId78" Type="http://schemas.openxmlformats.org/officeDocument/2006/relationships/hyperlink" Target="https://www.nrel.gov/docs/fy22osti/80889.pdf" TargetMode="External"/><Relationship Id="rId99" Type="http://schemas.openxmlformats.org/officeDocument/2006/relationships/hyperlink" Target="https://www.energystar.gov/sites/default/files/asset/document/Weds_4_NEEA.pdf" TargetMode="External"/><Relationship Id="rId101" Type="http://schemas.openxmlformats.org/officeDocument/2006/relationships/hyperlink" Target="https://www.caetrm.com/measure/SWSV001/05/" TargetMode="External"/><Relationship Id="rId122" Type="http://schemas.openxmlformats.org/officeDocument/2006/relationships/hyperlink" Target="https://protect-us.mimecast.com/s/T_dHC0R2KZT6EP8KcwTWcV?domain=ecobee.com/" TargetMode="External"/><Relationship Id="rId143" Type="http://schemas.openxmlformats.org/officeDocument/2006/relationships/footer" Target="footer7.xml"/><Relationship Id="rId164" Type="http://schemas.openxmlformats.org/officeDocument/2006/relationships/hyperlink" Target="https://www.puc.pa.gov/Electric/pdf/Act129/SWE-2014_PA_Statewide_Act129_Residential_Baseline_Study.pdf" TargetMode="External"/><Relationship Id="rId185" Type="http://schemas.openxmlformats.org/officeDocument/2006/relationships/hyperlink" Target="https://www.caetrm.com" TargetMode="External"/><Relationship Id="rId350" Type="http://schemas.openxmlformats.org/officeDocument/2006/relationships/hyperlink" Target="https://www.puc.pa.gov/media/2883/2023_pa_residential_baseline_study.pdf" TargetMode="External"/><Relationship Id="rId371" Type="http://schemas.openxmlformats.org/officeDocument/2006/relationships/hyperlink" Target="https://www.puc.pa.gov/media/2883/2023_pa_residential_baseline_study.pdf" TargetMode="External"/><Relationship Id="rId406" Type="http://schemas.openxmlformats.org/officeDocument/2006/relationships/hyperlink" Target="https://www.caetrm.com/measure/SWRE002/01/" TargetMode="External"/><Relationship Id="rId9" Type="http://schemas.openxmlformats.org/officeDocument/2006/relationships/footnotes" Target="footnotes.xml"/><Relationship Id="rId210" Type="http://schemas.openxmlformats.org/officeDocument/2006/relationships/hyperlink" Target="https://www.eia.gov/consumption/residential/data/2020/index.php?view=microdata" TargetMode="External"/><Relationship Id="rId392" Type="http://schemas.openxmlformats.org/officeDocument/2006/relationships/footer" Target="footer24.xml"/><Relationship Id="rId427" Type="http://schemas.openxmlformats.org/officeDocument/2006/relationships/fontTable" Target="fontTable.xml"/><Relationship Id="rId26" Type="http://schemas.openxmlformats.org/officeDocument/2006/relationships/hyperlink" Target="https://www.puc.pa.gov/media/2883/2023_pa_residential_baseline_study.pdf" TargetMode="External"/><Relationship Id="rId231" Type="http://schemas.openxmlformats.org/officeDocument/2006/relationships/hyperlink" Target="https://www.energystar.gov/sites/default/files/asset/document/Refrigerators_and_Freezers_Program_Requirements_V5.1.pdf" TargetMode="External"/><Relationship Id="rId252" Type="http://schemas.openxmlformats.org/officeDocument/2006/relationships/hyperlink" Target="https://www.nrel.gov/docs/fy22osti/80889.pdf" TargetMode="External"/><Relationship Id="rId273" Type="http://schemas.openxmlformats.org/officeDocument/2006/relationships/hyperlink" Target="https://www.regulations.gov/document/EERE-2017-BT-STD-0014-0513" TargetMode="External"/><Relationship Id="rId294" Type="http://schemas.openxmlformats.org/officeDocument/2006/relationships/hyperlink" Target="https://www.energystar.gov/sites/default/files/asset/document/ENERGY%20STAR%20Most%20Efficient%202024%20Final%20Criteria%20Memo%20-%20Revised_12-2023.pdf" TargetMode="External"/><Relationship Id="rId308" Type="http://schemas.openxmlformats.org/officeDocument/2006/relationships/hyperlink" Target="https://www.ecfr.gov/current/title-10/part-430/section-430.32" TargetMode="External"/><Relationship Id="rId329" Type="http://schemas.openxmlformats.org/officeDocument/2006/relationships/hyperlink" Target="https://energizect.com/sites/default/files/documents/Measure%20Life%20Report%202007.pdf" TargetMode="External"/><Relationship Id="rId47" Type="http://schemas.openxmlformats.org/officeDocument/2006/relationships/hyperlink" Target="https://www.energystar.gov/sites/default/files/asset/document/ENERGY%20STAR%20Version%206.1%20Central%20Air%20Conditioner%20and%20Heat%20Pump%20Final%20Specification%20%28Rev.%20January%20%202022%29.pdf" TargetMode="External"/><Relationship Id="rId68" Type="http://schemas.openxmlformats.org/officeDocument/2006/relationships/hyperlink" Target="https://www.caetrm.com/measure/SWHC038/03/" TargetMode="External"/><Relationship Id="rId89" Type="http://schemas.openxmlformats.org/officeDocument/2006/relationships/hyperlink" Target="https://protect-us.mimecast.com/s/xdvLCgJx0osVgQkrfohY-y?domain=ncei.noaa.gov" TargetMode="External"/><Relationship Id="rId112" Type="http://schemas.openxmlformats.org/officeDocument/2006/relationships/hyperlink" Target="https://www.puc.pa.gov/media/2883/2023_pa_residential_baseline_study.pdf" TargetMode="External"/><Relationship Id="rId133" Type="http://schemas.openxmlformats.org/officeDocument/2006/relationships/hyperlink" Target="https://www.ecfr.gov/current/title-10/part-430/subpart-C" TargetMode="External"/><Relationship Id="rId154" Type="http://schemas.openxmlformats.org/officeDocument/2006/relationships/hyperlink" Target="https://www.puc.pa.gov/Electric/pdf/Act129/SWE-2014_PA_Statewide_Act129_Residential_Baseline_Study.pdf" TargetMode="External"/><Relationship Id="rId175" Type="http://schemas.openxmlformats.org/officeDocument/2006/relationships/hyperlink" Target="https://www.caetrm.com/login/" TargetMode="External"/><Relationship Id="rId340" Type="http://schemas.openxmlformats.org/officeDocument/2006/relationships/hyperlink" Target="https://www.energy.gov/femp/articles/minimum-efficiency-requirements-tables-heating-and-cooling-product-categories" TargetMode="External"/><Relationship Id="rId361" Type="http://schemas.openxmlformats.org/officeDocument/2006/relationships/hyperlink" Target="http://www.nrel.gov/docs/fy13osti/54859.pdf" TargetMode="External"/><Relationship Id="rId196" Type="http://schemas.openxmlformats.org/officeDocument/2006/relationships/hyperlink" Target="https://wcc.sc.egov.usda.gov/nwcc/rgrpt?report=daily_scan_por&amp;state=PA" TargetMode="External"/><Relationship Id="rId200" Type="http://schemas.openxmlformats.org/officeDocument/2006/relationships/footer" Target="footer8.xml"/><Relationship Id="rId382" Type="http://schemas.openxmlformats.org/officeDocument/2006/relationships/hyperlink" Target="https://www.nrel.gov/docs/fy22osti/80889.pdf" TargetMode="External"/><Relationship Id="rId417" Type="http://schemas.openxmlformats.org/officeDocument/2006/relationships/hyperlink" Target="https://www.ecfr.gov/current/title-10/part-431/section-431.465" TargetMode="External"/><Relationship Id="rId16" Type="http://schemas.openxmlformats.org/officeDocument/2006/relationships/footer" Target="footer3.xml"/><Relationship Id="rId221" Type="http://schemas.openxmlformats.org/officeDocument/2006/relationships/hyperlink" Target="https://www.ecfr.gov/current/title-10/chapter-II/subchapter-D/part-430/subpart-C/section-430.32" TargetMode="External"/><Relationship Id="rId242" Type="http://schemas.openxmlformats.org/officeDocument/2006/relationships/hyperlink" Target="https://www.caetrm.com" TargetMode="External"/><Relationship Id="rId263" Type="http://schemas.openxmlformats.org/officeDocument/2006/relationships/hyperlink" Target="https://www.regulations.gov/document/EERE-2017-BT-STD-0014-0025" TargetMode="External"/><Relationship Id="rId284" Type="http://schemas.openxmlformats.org/officeDocument/2006/relationships/hyperlink" Target="https://www.ecfr.gov/current/title-10/part-430/section-430.32" TargetMode="External"/><Relationship Id="rId319" Type="http://schemas.openxmlformats.org/officeDocument/2006/relationships/image" Target="media/image6.svg"/><Relationship Id="rId37" Type="http://schemas.openxmlformats.org/officeDocument/2006/relationships/hyperlink" Target="https://www.nrel.gov/docs/fy11osti/49246.pdf" TargetMode="External"/><Relationship Id="rId58" Type="http://schemas.openxmlformats.org/officeDocument/2006/relationships/hyperlink" Target="https://www.puc.pa.gov/media/2883/2023_pa_residential_baseline_study.pdf" TargetMode="External"/><Relationship Id="rId79" Type="http://schemas.openxmlformats.org/officeDocument/2006/relationships/hyperlink" Target="https://www.caetrm.com/measure/SWSV009/01/" TargetMode="External"/><Relationship Id="rId102" Type="http://schemas.openxmlformats.org/officeDocument/2006/relationships/hyperlink" Target="http://www.bpi.org/sites/default/files/Guidance%20on%20Estimating%20Distribution%20Efficiency.pdf" TargetMode="External"/><Relationship Id="rId123" Type="http://schemas.openxmlformats.org/officeDocument/2006/relationships/hyperlink" Target="https://protect-us.mimecast.com/s/xdvLCgJx0osVgQkrfohY-y?domain=ncei.noaa.gov" TargetMode="External"/><Relationship Id="rId144" Type="http://schemas.openxmlformats.org/officeDocument/2006/relationships/hyperlink" Target="https://www.caetrm.com/measure/SWWH032/01/" TargetMode="External"/><Relationship Id="rId330" Type="http://schemas.openxmlformats.org/officeDocument/2006/relationships/hyperlink" Target="http://energyconservatory.com/wp-content/uploads/2014/07/Blower-Door-model-3-and-4.pdf" TargetMode="External"/><Relationship Id="rId90" Type="http://schemas.openxmlformats.org/officeDocument/2006/relationships/hyperlink" Target="https://www.caetrm.com/measure/SWAP007/02/" TargetMode="External"/><Relationship Id="rId165" Type="http://schemas.openxmlformats.org/officeDocument/2006/relationships/hyperlink" Target="https://www.caetrm.com/measure/SWWH026/02/" TargetMode="External"/><Relationship Id="rId186" Type="http://schemas.openxmlformats.org/officeDocument/2006/relationships/hyperlink" Target="https://www.ecfr.gov/current/title-10/part-430/section-430.32" TargetMode="External"/><Relationship Id="rId351" Type="http://schemas.openxmlformats.org/officeDocument/2006/relationships/hyperlink" Target="https://protect-us.mimecast.com/s/T_dHC0R2KZT6EP8KcwTWcV?domain=ecobee.com/" TargetMode="External"/><Relationship Id="rId372" Type="http://schemas.openxmlformats.org/officeDocument/2006/relationships/hyperlink" Target="https://www.caetrm.com" TargetMode="External"/><Relationship Id="rId393" Type="http://schemas.openxmlformats.org/officeDocument/2006/relationships/hyperlink" Target="http://www.nrel.gov/docs/fy13osti/56761.pdf" TargetMode="External"/><Relationship Id="rId407" Type="http://schemas.openxmlformats.org/officeDocument/2006/relationships/hyperlink" Target="https://www.energystar.gov/productfinder/downloads/Pool_Pump_Calculator_2020.05.05_FINAL.xlsx" TargetMode="External"/><Relationship Id="rId428" Type="http://schemas.openxmlformats.org/officeDocument/2006/relationships/theme" Target="theme/theme1.xml"/><Relationship Id="rId211" Type="http://schemas.openxmlformats.org/officeDocument/2006/relationships/hyperlink" Target="https://mn.gov/commerce-stat/pdfs/card-water-heater-contoller.pdf" TargetMode="External"/><Relationship Id="rId232" Type="http://schemas.openxmlformats.org/officeDocument/2006/relationships/hyperlink" Target="https://protect-us.mimecast.com/s/T_dHC0R2KZT6EP8KcwTWcV?domain=ecobee.com/" TargetMode="External"/><Relationship Id="rId253" Type="http://schemas.openxmlformats.org/officeDocument/2006/relationships/hyperlink" Target="https://www.ecfr.gov/current/title-10/part-430/subpart-C" TargetMode="External"/><Relationship Id="rId274" Type="http://schemas.openxmlformats.org/officeDocument/2006/relationships/footer" Target="footer11.xml"/><Relationship Id="rId295" Type="http://schemas.openxmlformats.org/officeDocument/2006/relationships/footer" Target="footer14.xml"/><Relationship Id="rId309" Type="http://schemas.openxmlformats.org/officeDocument/2006/relationships/hyperlink" Target="https://www.nrel.gov/docs/fy22osti/80889.pdf" TargetMode="External"/><Relationship Id="rId27" Type="http://schemas.openxmlformats.org/officeDocument/2006/relationships/hyperlink" Target="https://www.puc.pa.gov/pcdocs/1340978.pdf" TargetMode="External"/><Relationship Id="rId48" Type="http://schemas.openxmlformats.org/officeDocument/2006/relationships/hyperlink" Target="https://www.ahridirectory.org/Search/SearchHome?ReturnUrl=%2f" TargetMode="External"/><Relationship Id="rId69" Type="http://schemas.openxmlformats.org/officeDocument/2006/relationships/hyperlink" Target="https://focusonenergy.com/sites/default/files/FoE_Deemed_WriteUp%20CY14%20Final.pdf" TargetMode="External"/><Relationship Id="rId113" Type="http://schemas.openxmlformats.org/officeDocument/2006/relationships/hyperlink" Target="https://www.nrel.gov/docs/fy05osti/30506.pdf" TargetMode="External"/><Relationship Id="rId134" Type="http://schemas.openxmlformats.org/officeDocument/2006/relationships/hyperlink" Target="https://neea.org/img/uploads/Residential-Building-Stock-Assessment-II-Single-Family-Homes-Report-2016-2017.pdf" TargetMode="External"/><Relationship Id="rId320" Type="http://schemas.openxmlformats.org/officeDocument/2006/relationships/hyperlink" Target="https://energizect.com/sites/default/files/documents/Measure%20Life%20Report%202007.pdf" TargetMode="External"/><Relationship Id="rId80" Type="http://schemas.openxmlformats.org/officeDocument/2006/relationships/hyperlink" Target="https://s3.us-east-1.amazonaws.com/focusonenergy/staging/centralairconditioning_report.pdf" TargetMode="External"/><Relationship Id="rId155" Type="http://schemas.openxmlformats.org/officeDocument/2006/relationships/hyperlink" Target="https://www.caetrm.com/cpuc/table/effusefullife/" TargetMode="External"/><Relationship Id="rId176" Type="http://schemas.openxmlformats.org/officeDocument/2006/relationships/hyperlink" Target="https://www.ecfr.gov/current/title-10/part-430/section-430.32" TargetMode="External"/><Relationship Id="rId197" Type="http://schemas.openxmlformats.org/officeDocument/2006/relationships/hyperlink" Target="https://dnr.mo.gov/document-search/missouri-technical-reference-manual-2017-volume-2-commercial-industrial-measures" TargetMode="External"/><Relationship Id="rId341" Type="http://schemas.openxmlformats.org/officeDocument/2006/relationships/hyperlink" Target="https://www.puc.pa.gov/media/2883/2023_pa_residential_baseline_study.pdf" TargetMode="External"/><Relationship Id="rId362" Type="http://schemas.openxmlformats.org/officeDocument/2006/relationships/hyperlink" Target="https://codes.iccsafe.org/content/IECC2021P2/chapter-4-re-residential-energy-efficiency" TargetMode="External"/><Relationship Id="rId383" Type="http://schemas.openxmlformats.org/officeDocument/2006/relationships/hyperlink" Target="https://codes.iccsafe.org/content/IECC2021P1/chapter-4-re-residential-energy-efficiency" TargetMode="External"/><Relationship Id="rId418" Type="http://schemas.openxmlformats.org/officeDocument/2006/relationships/hyperlink" Target="https://codes.iccsafe.org/content/ISPSC2018/chapter-8-permanent-inground-residential-swimming-pools" TargetMode="External"/><Relationship Id="rId201" Type="http://schemas.openxmlformats.org/officeDocument/2006/relationships/hyperlink" Target="https://www.aceee.org/sites/default/files/publications/researchreports/a112.pdf" TargetMode="External"/><Relationship Id="rId222" Type="http://schemas.openxmlformats.org/officeDocument/2006/relationships/hyperlink" Target="https://www.energystar.gov/sites/default/files/asset/document/Refrigerators_and_Freezers_Program_Requirements_V5.1.pdf" TargetMode="External"/><Relationship Id="rId243" Type="http://schemas.openxmlformats.org/officeDocument/2006/relationships/hyperlink" Target="https://www.ecfr.gov/current/title-10/part-430/subpart-C" TargetMode="External"/><Relationship Id="rId264" Type="http://schemas.openxmlformats.org/officeDocument/2006/relationships/hyperlink" Target="https://www.energystar.gov/productfinder/product/certified-clothes-washers/results" TargetMode="External"/><Relationship Id="rId285" Type="http://schemas.openxmlformats.org/officeDocument/2006/relationships/hyperlink" Target="https://www.puc.pa.gov/media/2883/2023_pa_residential_baseline_study.pdf" TargetMode="External"/><Relationship Id="rId17" Type="http://schemas.openxmlformats.org/officeDocument/2006/relationships/hyperlink" Target="https://www.energystar.gov/productfinder/product/certified-light-bulbs/results" TargetMode="External"/><Relationship Id="rId38" Type="http://schemas.openxmlformats.org/officeDocument/2006/relationships/hyperlink" Target="http://oaktrust.library.tamu.edu/bitstream/handle/1969.1/152118/ESL-TR-13-04-01.pdf" TargetMode="External"/><Relationship Id="rId59" Type="http://schemas.openxmlformats.org/officeDocument/2006/relationships/hyperlink" Target="https://www.ecfr.gov/current/title-10/chapter-II/subchapter-D/part-430" TargetMode="External"/><Relationship Id="rId103" Type="http://schemas.openxmlformats.org/officeDocument/2006/relationships/hyperlink" Target="https://www.resnet.us/wp-content/uploads/Std380-2022_Strk-Undrln_blk_wCover_cln3.pdf" TargetMode="External"/><Relationship Id="rId124" Type="http://schemas.openxmlformats.org/officeDocument/2006/relationships/hyperlink" Target="http://mn.gov/commerce-stat/pdfs/mn-trm-v2.0-041616.pdf" TargetMode="External"/><Relationship Id="rId310" Type="http://schemas.openxmlformats.org/officeDocument/2006/relationships/hyperlink" Target="https://www.caetrm.com/measure/SWAP010/01/" TargetMode="External"/><Relationship Id="rId70" Type="http://schemas.openxmlformats.org/officeDocument/2006/relationships/hyperlink" Target="https://www.ecobee.com/donateyourdata/" TargetMode="External"/><Relationship Id="rId91" Type="http://schemas.openxmlformats.org/officeDocument/2006/relationships/hyperlink" Target="https://www.puc.pa.gov/media/2883/2023_pa_residential_baseline_study.pdf" TargetMode="External"/><Relationship Id="rId145" Type="http://schemas.openxmlformats.org/officeDocument/2006/relationships/hyperlink" Target="https://secure.solar-rating.org/Certification/Ratings/RatingsSummaryPage.aspx" TargetMode="External"/><Relationship Id="rId166" Type="http://schemas.openxmlformats.org/officeDocument/2006/relationships/hyperlink" Target="https://www.ilsag.info/wp-content/uploads/IL-TRM-Version-11.0-Volumes-1-4-Compiled-Final.pdf" TargetMode="External"/><Relationship Id="rId187" Type="http://schemas.openxmlformats.org/officeDocument/2006/relationships/hyperlink" Target="https://data.census.gov/" TargetMode="External"/><Relationship Id="rId331" Type="http://schemas.openxmlformats.org/officeDocument/2006/relationships/hyperlink" Target="https://protect-us.mimecast.com/s/T_dHC0R2KZT6EP8KcwTWcV?domain=ecobee.com/" TargetMode="External"/><Relationship Id="rId352" Type="http://schemas.openxmlformats.org/officeDocument/2006/relationships/hyperlink" Target="https://protect-us.mimecast.com/s/xdvLCgJx0osVgQkrfohY-y?domain=ncei.noaa.gov" TargetMode="External"/><Relationship Id="rId373" Type="http://schemas.openxmlformats.org/officeDocument/2006/relationships/hyperlink" Target="https://www.energystar.gov/sites/default/files/ES_Residential_WDS_V7_Final%20Specification%202022.pdf" TargetMode="External"/><Relationship Id="rId394" Type="http://schemas.openxmlformats.org/officeDocument/2006/relationships/hyperlink" Target="http://www.resnet.us/professional/programs/energy_rating_software" TargetMode="External"/><Relationship Id="rId408" Type="http://schemas.openxmlformats.org/officeDocument/2006/relationships/hyperlink" Target="https://www.ecfr.gov/current/title-10/part-431/section-431.465" TargetMode="External"/><Relationship Id="rId1" Type="http://schemas.openxmlformats.org/officeDocument/2006/relationships/customXml" Target="../customXml/item1.xml"/><Relationship Id="rId212" Type="http://schemas.openxmlformats.org/officeDocument/2006/relationships/hyperlink" Target="https://www.nrel.gov/docs/fy22osti/80889.pdf" TargetMode="External"/><Relationship Id="rId233" Type="http://schemas.openxmlformats.org/officeDocument/2006/relationships/hyperlink" Target="https://protect-us.mimecast.com/s/xdvLCgJx0osVgQkrfohY-y?domain=ncei.noaa.gov" TargetMode="External"/><Relationship Id="rId254" Type="http://schemas.openxmlformats.org/officeDocument/2006/relationships/hyperlink" Target="https://www.calmac.org/publications/LIRRL_2004-2005_Final_Report_073106.pdf" TargetMode="External"/><Relationship Id="rId28" Type="http://schemas.openxmlformats.org/officeDocument/2006/relationships/hyperlink" Target="https://www.puc.pa.gov/Electric/xls/Act129/SWE-Light_Metering_Study-AppendixA-Residential_Load_Shapes.xlsx" TargetMode="External"/><Relationship Id="rId49" Type="http://schemas.openxmlformats.org/officeDocument/2006/relationships/hyperlink" Target="https://www.ecfr.gov/current/title-10/part-430" TargetMode="External"/><Relationship Id="rId114" Type="http://schemas.openxmlformats.org/officeDocument/2006/relationships/hyperlink" Target="https://protect-us.mimecast.com/s/T_dHC0R2KZT6EP8KcwTWcV?domain=ecobee.com/" TargetMode="External"/><Relationship Id="rId275" Type="http://schemas.openxmlformats.org/officeDocument/2006/relationships/hyperlink" Target="https://www.energystar.gov/sites/default/files/ENERGY%20STAR%20Final%20Version%201.1%20Clothes%20Dryers%20Specification%20-%20Program%20Commitment%20Criteria%20and%20Eligibility%20Criteria_0.pdf" TargetMode="External"/><Relationship Id="rId296" Type="http://schemas.openxmlformats.org/officeDocument/2006/relationships/hyperlink" Target="https://www.puc.pa.gov/media/2883/2023_pa_residential_baseline_study.pdf" TargetMode="External"/><Relationship Id="rId300" Type="http://schemas.openxmlformats.org/officeDocument/2006/relationships/footer" Target="footer15.xml"/><Relationship Id="rId60" Type="http://schemas.openxmlformats.org/officeDocument/2006/relationships/hyperlink" Target="https://www.nrel.gov/docs/fy11osti/49246.pdf" TargetMode="External"/><Relationship Id="rId81" Type="http://schemas.openxmlformats.org/officeDocument/2006/relationships/hyperlink" Target="https://protect-us.mimecast.com/s/T_dHC0R2KZT6EP8KcwTWcV?domain=ecobee.com/" TargetMode="External"/><Relationship Id="rId135" Type="http://schemas.openxmlformats.org/officeDocument/2006/relationships/hyperlink" Target="https://www.circleofblue.org/wp-content/uploads/2016/04/WRF_REU2016.pdf" TargetMode="External"/><Relationship Id="rId156" Type="http://schemas.openxmlformats.org/officeDocument/2006/relationships/hyperlink" Target="https://www.energy.gov/energysaver/services/do-it-yourself-energy-savings-projects/savings-project-insulate-your-water" TargetMode="External"/><Relationship Id="rId177" Type="http://schemas.openxmlformats.org/officeDocument/2006/relationships/hyperlink" Target="https://www.puc.pa.gov/media/2883/2023_pa_residential_baseline_study.pdf" TargetMode="External"/><Relationship Id="rId198" Type="http://schemas.openxmlformats.org/officeDocument/2006/relationships/hyperlink" Target="https://www.ahridirectory.org/NewSearch?programId=24&amp;searchTypeId=3" TargetMode="External"/><Relationship Id="rId321" Type="http://schemas.openxmlformats.org/officeDocument/2006/relationships/hyperlink" Target="https://simulationresearch.lbl.gov/dirpubs/44636.pdf" TargetMode="External"/><Relationship Id="rId342" Type="http://schemas.openxmlformats.org/officeDocument/2006/relationships/footer" Target="footer21.xml"/><Relationship Id="rId363" Type="http://schemas.openxmlformats.org/officeDocument/2006/relationships/hyperlink" Target="https://protect-us.mimecast.com/s/T_dHC0R2KZT6EP8KcwTWcV?domain=ecobee.com/" TargetMode="External"/><Relationship Id="rId384" Type="http://schemas.openxmlformats.org/officeDocument/2006/relationships/hyperlink" Target="https://codes.iccsafe.org/content/IRC2021P2/chapter-11-re-energy-efficiency" TargetMode="External"/><Relationship Id="rId419" Type="http://schemas.openxmlformats.org/officeDocument/2006/relationships/hyperlink" Target="https://calwep.org/wp-content/uploads/2021/03/Pools-Spas-and-Fountains-PBMP-2010.pdf" TargetMode="External"/><Relationship Id="rId202" Type="http://schemas.openxmlformats.org/officeDocument/2006/relationships/hyperlink" Target="https://wcc.sc.egov.usda.gov/nwcc/rgrpt?report=daily_scan_por&amp;state=PA" TargetMode="External"/><Relationship Id="rId223" Type="http://schemas.openxmlformats.org/officeDocument/2006/relationships/hyperlink" Target="https://www.caetrm.com" TargetMode="External"/><Relationship Id="rId244" Type="http://schemas.openxmlformats.org/officeDocument/2006/relationships/hyperlink" Target="https://www.energystar.gov/sites/default/files/asset/document/Refrigerators_and_Freezers_Program_Requirements_V5.1.pdf" TargetMode="External"/><Relationship Id="rId18" Type="http://schemas.openxmlformats.org/officeDocument/2006/relationships/hyperlink" Target="https://www.puc.pa.gov/media/2883/2023_pa_residential_baseline_study.pdf" TargetMode="External"/><Relationship Id="rId39" Type="http://schemas.openxmlformats.org/officeDocument/2006/relationships/hyperlink" Target="https://www.proctoreng.com/dnld/NationalEnergySavingsPotentialfromAddressingResidentialHVACInstallationProblems.pdf" TargetMode="External"/><Relationship Id="rId265" Type="http://schemas.openxmlformats.org/officeDocument/2006/relationships/hyperlink" Target="https://www.energystar.gov/sites/default/files/asset/document/ENERGY%20STAR%20Version%208.1%20Clothes%20Washer%20Final%20Specificaiton%20-%20Partner%20Commitments%20and%20Eligibility%20Criteria.pdf" TargetMode="External"/><Relationship Id="rId286" Type="http://schemas.openxmlformats.org/officeDocument/2006/relationships/hyperlink" Target="https://www.energystar.gov/sites/default/files/ENERGY%20STAR%20Version%207.0%20Residential%20Dishwasher%20Final%20Specification.pdf" TargetMode="External"/><Relationship Id="rId50" Type="http://schemas.openxmlformats.org/officeDocument/2006/relationships/hyperlink" Target="https://www.ecfr.gov/current/title-10/section-431.97" TargetMode="External"/><Relationship Id="rId104" Type="http://schemas.openxmlformats.org/officeDocument/2006/relationships/hyperlink" Target="https://www.ecobee.com/donateyourdata/" TargetMode="External"/><Relationship Id="rId125" Type="http://schemas.openxmlformats.org/officeDocument/2006/relationships/hyperlink" Target="https://www.caetrm.com/media/reference-documents/HVAC_Ltg_measure_life_GDS_2007.pdf" TargetMode="External"/><Relationship Id="rId146" Type="http://schemas.openxmlformats.org/officeDocument/2006/relationships/hyperlink" Target="http://www.puc.state.pa.us/Electric/pdf/Act129/SWE-Phase3_Res_Baseline_Study_Rpt021219.pdf" TargetMode="External"/><Relationship Id="rId167" Type="http://schemas.openxmlformats.org/officeDocument/2006/relationships/hyperlink" Target="https://www.puc.pa.gov/Electric/pdf/Act129/SWE-2014_PA_Statewide_Act129_Residential_Baseline_Study.pdf" TargetMode="External"/><Relationship Id="rId188" Type="http://schemas.openxmlformats.org/officeDocument/2006/relationships/hyperlink" Target="https://www.puc.pa.gov/media/2883/2023_pa_residential_baseline_study.pdf" TargetMode="External"/><Relationship Id="rId311" Type="http://schemas.openxmlformats.org/officeDocument/2006/relationships/hyperlink" Target="https://ma-eeac.org/wp-content/uploads/RLPNC_1745_APSProductsSurveys_5Oct2018_Final.pdf" TargetMode="External"/><Relationship Id="rId332" Type="http://schemas.openxmlformats.org/officeDocument/2006/relationships/hyperlink" Target="https://protect-us.mimecast.com/s/xdvLCgJx0osVgQkrfohY-y?domain=ncei.noaa.gov" TargetMode="External"/><Relationship Id="rId353" Type="http://schemas.openxmlformats.org/officeDocument/2006/relationships/hyperlink" Target="https://focusonenergy.com/sites/default/files/centralairconditioning_report.pdf" TargetMode="External"/><Relationship Id="rId374" Type="http://schemas.openxmlformats.org/officeDocument/2006/relationships/hyperlink" Target="https://www.puc.pa.gov/media/2883/2023_pa_residential_baseline_study.pdf" TargetMode="External"/><Relationship Id="rId395" Type="http://schemas.openxmlformats.org/officeDocument/2006/relationships/hyperlink" Target="https://www.ecfr.gov/current/title-24/subtitle-B/chapter-XX/part-3280" TargetMode="External"/><Relationship Id="rId409" Type="http://schemas.openxmlformats.org/officeDocument/2006/relationships/hyperlink" Target="https://www.energystar.gov/sites/default/files/ENERGY%20STAR%20Version%203.1%20Pool%20Pumps%20Final%20Specification_0.pdf" TargetMode="External"/><Relationship Id="rId71" Type="http://schemas.openxmlformats.org/officeDocument/2006/relationships/hyperlink" Target="https://www.ncei.noaa.gov/products/land-based-station/us-climate-normals" TargetMode="External"/><Relationship Id="rId92" Type="http://schemas.openxmlformats.org/officeDocument/2006/relationships/hyperlink" Target="https://www.ecobee.com/donateyourdata/" TargetMode="External"/><Relationship Id="rId213" Type="http://schemas.openxmlformats.org/officeDocument/2006/relationships/hyperlink" Target="https://www.caetrm.com" TargetMode="External"/><Relationship Id="rId234" Type="http://schemas.openxmlformats.org/officeDocument/2006/relationships/footer" Target="footer10.xml"/><Relationship Id="rId420" Type="http://schemas.openxmlformats.org/officeDocument/2006/relationships/hyperlink" Target="https://codes.iccsafe.org/content/ISPSC2018/chapter-7-onground-storable-residential-swimming-pools" TargetMode="External"/><Relationship Id="rId2" Type="http://schemas.openxmlformats.org/officeDocument/2006/relationships/customXml" Target="../customXml/item2.xml"/><Relationship Id="rId29" Type="http://schemas.openxmlformats.org/officeDocument/2006/relationships/hyperlink" Target="https://www.michigan.gov/mpsc/regulatory/ewr/michigan-energy-measures-database" TargetMode="External"/><Relationship Id="rId255" Type="http://schemas.openxmlformats.org/officeDocument/2006/relationships/hyperlink" Target="https://www.regulations.doe.gov/certification-data/CCMS-4-Miscellaneous_Refrigeration_Products.html" TargetMode="External"/><Relationship Id="rId276" Type="http://schemas.openxmlformats.org/officeDocument/2006/relationships/hyperlink" Target="https://www.ecfr.gov/current/title-10/part-430/section-430.32" TargetMode="External"/><Relationship Id="rId297" Type="http://schemas.openxmlformats.org/officeDocument/2006/relationships/hyperlink" Target="https://pjm.com/-/media/committees-groups/committees/mrc/20171207/20171207-item-07-price-responsive-demand-draft-m19-revisions.ashx" TargetMode="External"/><Relationship Id="rId40" Type="http://schemas.openxmlformats.org/officeDocument/2006/relationships/hyperlink" Target="https://s3.us-east-1.amazonaws.com/focusonenergy/staging/centralairconditioning_report.pdf" TargetMode="External"/><Relationship Id="rId115" Type="http://schemas.openxmlformats.org/officeDocument/2006/relationships/hyperlink" Target="https://protect-us.mimecast.com/s/xdvLCgJx0osVgQkrfohY-y?domain=ncei.noaa.gov" TargetMode="External"/><Relationship Id="rId136" Type="http://schemas.openxmlformats.org/officeDocument/2006/relationships/hyperlink" Target="https://www.puc.pa.gov/media/2883/2023_pa_residential_baseline_study.pdf" TargetMode="External"/><Relationship Id="rId157" Type="http://schemas.openxmlformats.org/officeDocument/2006/relationships/hyperlink" Target="https://www.nrel.gov/docs/fy22osti/80889.pdf" TargetMode="External"/><Relationship Id="rId178" Type="http://schemas.openxmlformats.org/officeDocument/2006/relationships/hyperlink" Target="https://wcc.sc.egov.usda.gov/nwcc/rgrpt?report=daily_scan_por&amp;state=PA" TargetMode="External"/><Relationship Id="rId301" Type="http://schemas.openxmlformats.org/officeDocument/2006/relationships/hyperlink" Target="https://www.energystar.gov/sites/default/files/asset/document/light_fixture_ceiling_fan_calculator.xlsx" TargetMode="External"/><Relationship Id="rId322" Type="http://schemas.openxmlformats.org/officeDocument/2006/relationships/hyperlink" Target="https://codes.iccsafe.org/content/IRC2018P7/chapter-11-re-energy-efficiency" TargetMode="External"/><Relationship Id="rId343" Type="http://schemas.openxmlformats.org/officeDocument/2006/relationships/hyperlink" Target="https://www.caetrm.com/media/reference-documents/HVAC_Ltg_measure_life_GDS_2007.pdf" TargetMode="External"/><Relationship Id="rId364" Type="http://schemas.openxmlformats.org/officeDocument/2006/relationships/hyperlink" Target="https://protect-us.mimecast.com/s/xdvLCgJx0osVgQkrfohY-y?domain=ncei.noaa.gov" TargetMode="External"/><Relationship Id="rId61" Type="http://schemas.openxmlformats.org/officeDocument/2006/relationships/hyperlink" Target="http://oaktrust.library.tamu.edu/bitstream/handle/1969.1/152118/ESL-TR-13-04-01.pdf" TargetMode="External"/><Relationship Id="rId82" Type="http://schemas.openxmlformats.org/officeDocument/2006/relationships/hyperlink" Target="https://protect-us.mimecast.com/s/xdvLCgJx0osVgQkrfohY-y?domain=ncei.noaa.gov" TargetMode="External"/><Relationship Id="rId199" Type="http://schemas.openxmlformats.org/officeDocument/2006/relationships/hyperlink" Target="https://www.nrel.gov/docs/fy22osti/80889.pdf" TargetMode="External"/><Relationship Id="rId203" Type="http://schemas.openxmlformats.org/officeDocument/2006/relationships/hyperlink" Target="https://www.awwa.org/Portals/0/AWWA/ETS/Resources/WaterConservationResidential_End_Uses_of_Water.pdf" TargetMode="External"/><Relationship Id="rId385" Type="http://schemas.openxmlformats.org/officeDocument/2006/relationships/hyperlink" Target="https://www.ecfr.gov/current/title-10/chapter-II/subchapter-D/part-430" TargetMode="External"/><Relationship Id="rId19" Type="http://schemas.openxmlformats.org/officeDocument/2006/relationships/hyperlink" Target="https://www.regulations.gov/document/EERE-2021-BT-STD-0005-0071" TargetMode="External"/><Relationship Id="rId224" Type="http://schemas.openxmlformats.org/officeDocument/2006/relationships/hyperlink" Target="https://www.energystar.gov/productfinder/product/certified-residential-freezers/results" TargetMode="External"/><Relationship Id="rId245" Type="http://schemas.openxmlformats.org/officeDocument/2006/relationships/hyperlink" Target="https://www.nrel.gov/docs/fy22osti/80889.pdf" TargetMode="External"/><Relationship Id="rId266" Type="http://schemas.openxmlformats.org/officeDocument/2006/relationships/hyperlink" Target="https://www.puc.pa.gov/media/2883/2023_pa_residential_baseline_study.pdf" TargetMode="External"/><Relationship Id="rId287" Type="http://schemas.openxmlformats.org/officeDocument/2006/relationships/hyperlink" Target="https://www.nrel.gov/docs/fy22osti/80889.pdf" TargetMode="External"/><Relationship Id="rId410" Type="http://schemas.openxmlformats.org/officeDocument/2006/relationships/hyperlink" Target="https://codes.iccsafe.org/content/ISPSC2018/chapter-8-permanent-inground-residential-swimming-pools" TargetMode="External"/><Relationship Id="rId30" Type="http://schemas.openxmlformats.org/officeDocument/2006/relationships/footer" Target="footer4.xml"/><Relationship Id="rId105" Type="http://schemas.openxmlformats.org/officeDocument/2006/relationships/hyperlink" Target="https://www.ncei.noaa.gov/products/land-based-station/us-climate-normals" TargetMode="External"/><Relationship Id="rId126" Type="http://schemas.openxmlformats.org/officeDocument/2006/relationships/hyperlink" Target="https://www.energystar.gov/sites/default/files/ENERGY%20STAR%20Ventilating%20Fans%20Specification%20Version%204.2.pdf" TargetMode="External"/><Relationship Id="rId147" Type="http://schemas.openxmlformats.org/officeDocument/2006/relationships/hyperlink" Target="https://www.circleofblue.org/wp-content/uploads/2016/04/WRF_REU2016.pdf" TargetMode="External"/><Relationship Id="rId168" Type="http://schemas.openxmlformats.org/officeDocument/2006/relationships/hyperlink" Target="https://www.ahridirectory.org/NewSearch?programId=24&amp;searchTypeId=3" TargetMode="External"/><Relationship Id="rId312" Type="http://schemas.openxmlformats.org/officeDocument/2006/relationships/hyperlink" Target="https://ma-eeac.org/wp-content/uploads/RLPNC_173_APSMeteringReport_Revised_18March2019.pdf" TargetMode="External"/><Relationship Id="rId333" Type="http://schemas.openxmlformats.org/officeDocument/2006/relationships/hyperlink" Target="https://citeseerx.ist.psu.edu/document?repid=rep1&amp;type=pdf&amp;doi=4430429ae5b6db1ba19f2858429d50a9768ec930" TargetMode="External"/><Relationship Id="rId354" Type="http://schemas.openxmlformats.org/officeDocument/2006/relationships/hyperlink" Target="https://www.puc.pa.gov/media/2883/2023_pa_residential_baseline_study.pdf" TargetMode="External"/><Relationship Id="rId51" Type="http://schemas.openxmlformats.org/officeDocument/2006/relationships/hyperlink" Target="https://www.nrel.gov/docs/fy11osti/49246.pdf" TargetMode="External"/><Relationship Id="rId72" Type="http://schemas.openxmlformats.org/officeDocument/2006/relationships/hyperlink" Target="https://dps.ny.gov/system/files/documents/2023/12/nys-trm-v11_filing.pdf" TargetMode="External"/><Relationship Id="rId93" Type="http://schemas.openxmlformats.org/officeDocument/2006/relationships/hyperlink" Target="https://protect-us.mimecast.com/s/xdvLCgJx0osVgQkrfohY-y?domain=ncei.noaa.gov" TargetMode="External"/><Relationship Id="rId189" Type="http://schemas.openxmlformats.org/officeDocument/2006/relationships/hyperlink" Target="https://wcc.sc.egov.usda.gov/nwcc/rgrpt?report=daily_scan_por&amp;state=PA" TargetMode="External"/><Relationship Id="rId375" Type="http://schemas.openxmlformats.org/officeDocument/2006/relationships/hyperlink" Target="https://www.ecobee.com/donateyourdata/" TargetMode="External"/><Relationship Id="rId396" Type="http://schemas.openxmlformats.org/officeDocument/2006/relationships/hyperlink" Target="https://www.nrel.gov/docs/fy22osti/80889.pdf" TargetMode="External"/><Relationship Id="rId3" Type="http://schemas.openxmlformats.org/officeDocument/2006/relationships/customXml" Target="../customXml/item3.xml"/><Relationship Id="rId214" Type="http://schemas.openxmlformats.org/officeDocument/2006/relationships/hyperlink" Target="https://www.ecfr.gov/current/title-10/chapter-II/subchapter-D/part-430/subpart-C/section-430.32" TargetMode="External"/><Relationship Id="rId235" Type="http://schemas.openxmlformats.org/officeDocument/2006/relationships/hyperlink" Target="https://www.caetrm.com/login/?next=/" TargetMode="External"/><Relationship Id="rId256" Type="http://schemas.openxmlformats.org/officeDocument/2006/relationships/hyperlink" Target="https://www.energystar.gov/productfinder/download/certified-residential-refrigerators/" TargetMode="External"/><Relationship Id="rId277" Type="http://schemas.openxmlformats.org/officeDocument/2006/relationships/hyperlink" Target="https://www.regulations.gov/document/EERE-2014-BT-STD-0058-0018" TargetMode="External"/><Relationship Id="rId298" Type="http://schemas.openxmlformats.org/officeDocument/2006/relationships/hyperlink" Target="https://nsrdb.nrel.gov/" TargetMode="External"/><Relationship Id="rId400" Type="http://schemas.openxmlformats.org/officeDocument/2006/relationships/hyperlink" Target="https://codes.iccsafe.org/content/IRC2021P2/chapter-11-re-energy-efficiency" TargetMode="External"/><Relationship Id="rId421" Type="http://schemas.openxmlformats.org/officeDocument/2006/relationships/hyperlink" Target="https://www.etcc-ca.com/sites/default/files/reports/dr07_01_pool_pump_demand_response_potential_report.pdf" TargetMode="External"/><Relationship Id="rId116" Type="http://schemas.openxmlformats.org/officeDocument/2006/relationships/hyperlink" Target="https://www.ilsag.info/wp-content/uploads/IL-TRM-Version-11.0-Volumes-1-4-Compiled-Final.pdf" TargetMode="External"/><Relationship Id="rId137" Type="http://schemas.openxmlformats.org/officeDocument/2006/relationships/hyperlink" Target="https://www.puc.pa.gov/Electric/pdf/Act129/SWE-2014_PA_Statewide_Act129_Residential_Baseline_Study.pdf" TargetMode="External"/><Relationship Id="rId158" Type="http://schemas.openxmlformats.org/officeDocument/2006/relationships/hyperlink" Target="https://www.ahridirectory.org/NewSearch?programId=24&amp;searchTypeId=3" TargetMode="External"/><Relationship Id="rId302" Type="http://schemas.openxmlformats.org/officeDocument/2006/relationships/hyperlink" Target="https://www.energystar.gov/sites/default/files/ENERGY%20STAR%20Ceiling%20Fans%20Specification%20Version%204.1.pdf" TargetMode="External"/><Relationship Id="rId323" Type="http://schemas.openxmlformats.org/officeDocument/2006/relationships/hyperlink" Target="https://www.phius.org/phius-certification-guidebook" TargetMode="External"/><Relationship Id="rId344" Type="http://schemas.openxmlformats.org/officeDocument/2006/relationships/hyperlink" Target="https://www.energystar.gov/saveathome/seal_insulate/identify_problems_you_want_fix/diy_checks_inspections/insulation_r_values" TargetMode="External"/><Relationship Id="rId20" Type="http://schemas.openxmlformats.org/officeDocument/2006/relationships/hyperlink" Target="https://www.regulations.gov/document/EERE-2021-BT-STD-0012-0022" TargetMode="External"/><Relationship Id="rId41" Type="http://schemas.openxmlformats.org/officeDocument/2006/relationships/hyperlink" Target="https://www.acca.org/standards/technical-manuals/manual-s" TargetMode="External"/><Relationship Id="rId62" Type="http://schemas.openxmlformats.org/officeDocument/2006/relationships/hyperlink" Target="https://www.proctoreng.com/dnld/NationalEnergySavingsPotentialfromAddressingResidentialHVACInstallationProblems.pdf" TargetMode="External"/><Relationship Id="rId83" Type="http://schemas.openxmlformats.org/officeDocument/2006/relationships/hyperlink" Target="https://www.puc.pa.gov/media/2883/2023_pa_residential_baseline_study.pdf" TargetMode="External"/><Relationship Id="rId179" Type="http://schemas.openxmlformats.org/officeDocument/2006/relationships/hyperlink" Target="https://dnr.mo.gov/document-search/missouri-technical-reference-manual-2017-volume-2-commercial-industrial-measures" TargetMode="External"/><Relationship Id="rId365" Type="http://schemas.openxmlformats.org/officeDocument/2006/relationships/hyperlink" Target="https://focusonenergy.com/sites/default/files/centralairconditioning_report.pdf" TargetMode="External"/><Relationship Id="rId386" Type="http://schemas.openxmlformats.org/officeDocument/2006/relationships/hyperlink" Target="https://codes.iccsafe.org/content/IECC2021P1/chapter-4-ce-commercial-energy-efficiency" TargetMode="External"/><Relationship Id="rId190" Type="http://schemas.openxmlformats.org/officeDocument/2006/relationships/hyperlink" Target="https://dnr.mo.gov/document-search/missouri-technical-reference-manual-2017-volume-2-commercial-industrial-measures" TargetMode="External"/><Relationship Id="rId204" Type="http://schemas.openxmlformats.org/officeDocument/2006/relationships/hyperlink" Target="https://www.govinfo.gov/app/details/GOVPUB-E-PURL-LPS99193" TargetMode="External"/><Relationship Id="rId225" Type="http://schemas.openxmlformats.org/officeDocument/2006/relationships/hyperlink" Target="https://www.energystar.gov/productfinder/product/certified-residential-freezers/results" TargetMode="External"/><Relationship Id="rId246" Type="http://schemas.openxmlformats.org/officeDocument/2006/relationships/hyperlink" Target="https://www.regulations.doe.gov/certification-data/CCMS-4-Miscellaneous_Refrigeration_Products.html" TargetMode="External"/><Relationship Id="rId267" Type="http://schemas.openxmlformats.org/officeDocument/2006/relationships/hyperlink" Target="https://www.puc.pa.gov/media/2883/2023_pa_residential_baseline_study.pdf" TargetMode="External"/><Relationship Id="rId288" Type="http://schemas.openxmlformats.org/officeDocument/2006/relationships/footer" Target="footer13.xml"/><Relationship Id="rId411" Type="http://schemas.openxmlformats.org/officeDocument/2006/relationships/hyperlink" Target="https://calwep.org/wp-content/uploads/2021/03/Pools-Spas-and-Fountains-PBMP-2010.pdf" TargetMode="External"/><Relationship Id="rId106" Type="http://schemas.openxmlformats.org/officeDocument/2006/relationships/hyperlink" Target="https://www.puc.pa.gov/media/2883/2023_pa_residential_baseline_study.pdf" TargetMode="External"/><Relationship Id="rId127" Type="http://schemas.openxmlformats.org/officeDocument/2006/relationships/hyperlink" Target="https://www.energystar.gov/productfinder/product/certified-ventilating-fans/results" TargetMode="External"/><Relationship Id="rId313" Type="http://schemas.openxmlformats.org/officeDocument/2006/relationships/footer" Target="footer17.xml"/><Relationship Id="rId10" Type="http://schemas.openxmlformats.org/officeDocument/2006/relationships/endnotes" Target="endnotes.xml"/><Relationship Id="rId31" Type="http://schemas.openxmlformats.org/officeDocument/2006/relationships/hyperlink" Target="https://www.caetrm.com/measure/SWHC049/04/" TargetMode="External"/><Relationship Id="rId52" Type="http://schemas.openxmlformats.org/officeDocument/2006/relationships/hyperlink" Target="https://protect-us.mimecast.com/s/T_dHC0R2KZT6EP8KcwTWcV?domain=ecobee.com/" TargetMode="External"/><Relationship Id="rId73" Type="http://schemas.openxmlformats.org/officeDocument/2006/relationships/hyperlink" Target="http://www.puc.state.pa.us/Electric/pdf/Act129/SWE-2014_PA_Statewide_Act129_Residential_Baseline_Study.pdf" TargetMode="External"/><Relationship Id="rId94" Type="http://schemas.openxmlformats.org/officeDocument/2006/relationships/hyperlink" Target="https://www.ecfr.gov/current/title-10/part-430/section-430.32" TargetMode="External"/><Relationship Id="rId148" Type="http://schemas.openxmlformats.org/officeDocument/2006/relationships/hyperlink" Target="https://www.puc.pa.gov/Electric/pdf/Act129/SWE-2014_PA_Statewide_Act129_Residential_Baseline_Study.pdf" TargetMode="External"/><Relationship Id="rId169" Type="http://schemas.openxmlformats.org/officeDocument/2006/relationships/hyperlink" Target="https://www.nrel.gov/docs/fy22osti/80889.pdf" TargetMode="External"/><Relationship Id="rId334" Type="http://schemas.openxmlformats.org/officeDocument/2006/relationships/hyperlink" Target="https://focusonenergy.com/sites/default/files/centralairconditioning_report.pdf" TargetMode="External"/><Relationship Id="rId355" Type="http://schemas.openxmlformats.org/officeDocument/2006/relationships/hyperlink" Target="https://www.energystar.gov/products/room_air_conditioners" TargetMode="External"/><Relationship Id="rId376" Type="http://schemas.openxmlformats.org/officeDocument/2006/relationships/hyperlink" Target="https://www.energystar.gov/partner_resources/residential_new/program_reqs/mfnc_building_eligibility" TargetMode="External"/><Relationship Id="rId397" Type="http://schemas.openxmlformats.org/officeDocument/2006/relationships/hyperlink" Target="https://www.ecfr.gov/current/title-10/section-460.102" TargetMode="External"/><Relationship Id="rId4" Type="http://schemas.openxmlformats.org/officeDocument/2006/relationships/customXml" Target="../customXml/item4.xml"/><Relationship Id="rId180" Type="http://schemas.openxmlformats.org/officeDocument/2006/relationships/hyperlink" Target="https://www.ahridirectory.org/NewSearch?programId=24&amp;searchTypeId=3" TargetMode="External"/><Relationship Id="rId215" Type="http://schemas.openxmlformats.org/officeDocument/2006/relationships/hyperlink" Target="https://www.energystar.gov/sites/default/files/asset/document/Refrigerators_and_Freezers_Program_Requirements_V5.1.pdf" TargetMode="External"/><Relationship Id="rId236" Type="http://schemas.openxmlformats.org/officeDocument/2006/relationships/hyperlink" Target="https://www.nrel.gov/docs/fy17osti/68563.pdf" TargetMode="External"/><Relationship Id="rId257" Type="http://schemas.openxmlformats.org/officeDocument/2006/relationships/hyperlink" Target="https://data.census.gov/cedsci/table?q=Income%20and%20Poverty&amp;g=0400000US42&amp;tid=ACSST5Y2020.S1701" TargetMode="External"/><Relationship Id="rId278" Type="http://schemas.openxmlformats.org/officeDocument/2006/relationships/hyperlink" Target="https://www.nrel.gov/docs/fy22osti/80889.pdf" TargetMode="External"/><Relationship Id="rId401" Type="http://schemas.openxmlformats.org/officeDocument/2006/relationships/hyperlink" Target="https://www.ecfr.gov/current/title-10/chapter-II/subchapter-D/part-460/subpart-C/section-460.202" TargetMode="External"/><Relationship Id="rId422" Type="http://schemas.openxmlformats.org/officeDocument/2006/relationships/hyperlink" Target="https://emp.lbl.gov/publications/benchmarking-utility-scale-pv" TargetMode="External"/><Relationship Id="rId303" Type="http://schemas.openxmlformats.org/officeDocument/2006/relationships/hyperlink" Target="https://www.ecfr.gov/current/title-10/part-430/section-430.32" TargetMode="External"/><Relationship Id="rId42" Type="http://schemas.openxmlformats.org/officeDocument/2006/relationships/hyperlink" Target="https://dps.ny.gov/system/files/documents/2023/12/nys-trm-v11_filing.pdf" TargetMode="External"/><Relationship Id="rId84" Type="http://schemas.openxmlformats.org/officeDocument/2006/relationships/hyperlink" Target="https://dps.ny.gov/system/files/documents/2023/12/nys-trm-v11_filing.pdf" TargetMode="External"/><Relationship Id="rId138" Type="http://schemas.openxmlformats.org/officeDocument/2006/relationships/hyperlink" Target="https://wcc.sc.egov.usda.gov/nwcc/rgrpt?report=daily_scan_por&amp;state=PA" TargetMode="External"/><Relationship Id="rId345" Type="http://schemas.openxmlformats.org/officeDocument/2006/relationships/hyperlink" Target="https://codes.iccsafe.org/content/IECC2021P2/chapter-4-re-residential-energy-efficiency" TargetMode="External"/><Relationship Id="rId387" Type="http://schemas.openxmlformats.org/officeDocument/2006/relationships/hyperlink" Target="https://codes.iccsafe.org/content/IECC2021P2/chapter-4-ce-commercial-energy-efficiency" TargetMode="External"/><Relationship Id="rId191" Type="http://schemas.openxmlformats.org/officeDocument/2006/relationships/hyperlink" Target="https://www.ahridirectory.org/NewSearch?programId=24&amp;searchTypeId=3" TargetMode="External"/><Relationship Id="rId205" Type="http://schemas.openxmlformats.org/officeDocument/2006/relationships/hyperlink" Target="https://www.ahridirectory.org/NewSearch?programId=24&amp;searchTypeId=3" TargetMode="External"/><Relationship Id="rId247" Type="http://schemas.openxmlformats.org/officeDocument/2006/relationships/hyperlink" Target="https://www.energystar.gov/productfinder/product/certified-residential-refrigerators/results" TargetMode="External"/><Relationship Id="rId412" Type="http://schemas.openxmlformats.org/officeDocument/2006/relationships/hyperlink" Target="https://codes.iccsafe.org/content/ISPSC2018/chapter-7-onground-storable-residential-swimming-pools" TargetMode="External"/><Relationship Id="rId107" Type="http://schemas.openxmlformats.org/officeDocument/2006/relationships/hyperlink" Target="https://yourfilterconnection.com/blogs/help/what-is-a-furnace-filter-whistle" TargetMode="External"/><Relationship Id="rId289" Type="http://schemas.openxmlformats.org/officeDocument/2006/relationships/hyperlink" Target="https://www.aceee.org/files/proceedings/2012/data/papers/0193-000291.pdf" TargetMode="External"/><Relationship Id="rId11" Type="http://schemas.openxmlformats.org/officeDocument/2006/relationships/image" Target="media/image1.jpeg"/><Relationship Id="rId53" Type="http://schemas.openxmlformats.org/officeDocument/2006/relationships/hyperlink" Target="https://protect-us.mimecast.com/s/xdvLCgJx0osVgQkrfohY-y?domain=ncei.noaa.gov" TargetMode="External"/><Relationship Id="rId149" Type="http://schemas.openxmlformats.org/officeDocument/2006/relationships/hyperlink" Target="https://wcc.sc.egov.usda.gov/nwcc/rgrpt?report=daily_scan_por&amp;state=PA" TargetMode="External"/><Relationship Id="rId314" Type="http://schemas.openxmlformats.org/officeDocument/2006/relationships/footer" Target="footer18.xml"/><Relationship Id="rId356" Type="http://schemas.openxmlformats.org/officeDocument/2006/relationships/hyperlink" Target="https://www.energy.gov/femp/articles/minimum-efficiency-requirements-tables-heating-and-cooling-product-categories" TargetMode="External"/><Relationship Id="rId398" Type="http://schemas.openxmlformats.org/officeDocument/2006/relationships/hyperlink" Target="https://www.federalregister.gov/documents/2022/05/31/2022-10926/energy-conservation-program-energy-conservation-standards-for-manufactured-housing" TargetMode="External"/><Relationship Id="rId95" Type="http://schemas.openxmlformats.org/officeDocument/2006/relationships/hyperlink" Target="https://www.caetrm.com/measure/SWAP007/02/" TargetMode="External"/><Relationship Id="rId160" Type="http://schemas.openxmlformats.org/officeDocument/2006/relationships/hyperlink" Target="https://www.eia.gov/consumption/residential/data/2020/index.php?view=microdata" TargetMode="External"/><Relationship Id="rId216" Type="http://schemas.openxmlformats.org/officeDocument/2006/relationships/hyperlink" Target="https://www.energystar.gov/sites/default/files/asset/document/Consumer%20Refrigeration%20Products%20ENERGY%20STAR%20Most%20Efficient%202023%20Final%20Criteria.pdf" TargetMode="External"/><Relationship Id="rId423" Type="http://schemas.openxmlformats.org/officeDocument/2006/relationships/hyperlink" Target="https://www.pacodeandbulletin.gov/Display/pacode?file=/secure/pacode/data/052/chapter75/s75.14.html" TargetMode="External"/><Relationship Id="rId258" Type="http://schemas.openxmlformats.org/officeDocument/2006/relationships/hyperlink" Target="https://www.govinfo.gov/content/pkg/FR-2016-09-02/pdf/2016-20721.pdf" TargetMode="External"/><Relationship Id="rId22" Type="http://schemas.openxmlformats.org/officeDocument/2006/relationships/hyperlink" Target="https://www.puc.pa.gov/pcdocs/1340978.pdf" TargetMode="External"/><Relationship Id="rId64" Type="http://schemas.openxmlformats.org/officeDocument/2006/relationships/hyperlink" Target="https://www.acca.org/standards/technical-manuals/manual-s" TargetMode="External"/><Relationship Id="rId118" Type="http://schemas.openxmlformats.org/officeDocument/2006/relationships/hyperlink" Target="http://www.cadmusgroup.com/wp-content/uploads/2015/06/Cadmus_Vectren_Nest_Report_Jan2015.pdf?submissionGuid=664af99c-7ff7-4afe-a8e6-b6c7acc4d9cb" TargetMode="External"/><Relationship Id="rId325" Type="http://schemas.openxmlformats.org/officeDocument/2006/relationships/hyperlink" Target="https://www.puc.pa.gov/media/2883/2023_pa_residential_baseline_study.pdf" TargetMode="External"/><Relationship Id="rId367" Type="http://schemas.openxmlformats.org/officeDocument/2006/relationships/hyperlink" Target="https://www.puc.pa.gov/media/2883/2023_pa_residential_baseline_study.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nergycodeace.com/site/custom/public/reference-ace-2019/index.html" TargetMode="External"/><Relationship Id="rId1" Type="http://schemas.openxmlformats.org/officeDocument/2006/relationships/hyperlink" Target="https://www.nrel.gov/docs/fy17osti/6856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004F7F25A67C4391F7F0DBD9196C05" ma:contentTypeVersion="12" ma:contentTypeDescription="Create a new document." ma:contentTypeScope="" ma:versionID="c34ba436942866ae2b3fa728057f9ec9">
  <xsd:schema xmlns:xsd="http://www.w3.org/2001/XMLSchema" xmlns:xs="http://www.w3.org/2001/XMLSchema" xmlns:p="http://schemas.microsoft.com/office/2006/metadata/properties" xmlns:ns2="a9943499-a5fa-40a5-8de2-4cf374f1a629" xmlns:ns3="a932c89c-5b5a-4592-af10-2e1640290ada" targetNamespace="http://schemas.microsoft.com/office/2006/metadata/properties" ma:root="true" ma:fieldsID="161fe2e2077a86f2148e7c9e385977a8" ns2:_="" ns3:_="">
    <xsd:import namespace="a9943499-a5fa-40a5-8de2-4cf374f1a629"/>
    <xsd:import namespace="a932c89c-5b5a-4592-af10-2e1640290a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43499-a5fa-40a5-8de2-4cf374f1a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32c89c-5b5a-4592-af10-2e1640290a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932c89c-5b5a-4592-af10-2e1640290ada">
      <UserInfo>
        <DisplayName>Greg Clendenning</DisplayName>
        <AccountId>102</AccountId>
        <AccountType/>
      </UserInfo>
      <UserInfo>
        <DisplayName>Lauren Abraham</DisplayName>
        <AccountId>89</AccountId>
        <AccountType/>
      </UserInfo>
      <UserInfo>
        <DisplayName>Yogi Patil</DisplayName>
        <AccountId>1355</AccountId>
        <AccountType/>
      </UserInfo>
      <UserInfo>
        <DisplayName>Nick Arnemann</DisplayName>
        <AccountId>3911</AccountId>
        <AccountType/>
      </UserInfo>
    </SharedWithUsers>
  </documentManagement>
</p:properties>
</file>

<file path=customXml/itemProps1.xml><?xml version="1.0" encoding="utf-8"?>
<ds:datastoreItem xmlns:ds="http://schemas.openxmlformats.org/officeDocument/2006/customXml" ds:itemID="{F60C0811-95F2-4C9B-810C-B0D1D94CFD34}">
  <ds:schemaRefs>
    <ds:schemaRef ds:uri="http://schemas.microsoft.com/sharepoint/v3/contenttype/forms"/>
  </ds:schemaRefs>
</ds:datastoreItem>
</file>

<file path=customXml/itemProps2.xml><?xml version="1.0" encoding="utf-8"?>
<ds:datastoreItem xmlns:ds="http://schemas.openxmlformats.org/officeDocument/2006/customXml" ds:itemID="{7E5FF825-1B86-4E63-AE88-89879114A18B}">
  <ds:schemaRefs>
    <ds:schemaRef ds:uri="http://schemas.openxmlformats.org/officeDocument/2006/bibliography"/>
  </ds:schemaRefs>
</ds:datastoreItem>
</file>

<file path=customXml/itemProps3.xml><?xml version="1.0" encoding="utf-8"?>
<ds:datastoreItem xmlns:ds="http://schemas.openxmlformats.org/officeDocument/2006/customXml" ds:itemID="{19F17A4A-1850-4AF7-BB79-EC2BBBFF2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43499-a5fa-40a5-8de2-4cf374f1a629"/>
    <ds:schemaRef ds:uri="a932c89c-5b5a-4592-af10-2e1640290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7D54B-77A5-4E75-87D6-77B2243FDE57}">
  <ds:schemaRefs>
    <ds:schemaRef ds:uri="http://schemas.microsoft.com/office/2006/metadata/properties"/>
    <ds:schemaRef ds:uri="http://schemas.microsoft.com/office/infopath/2007/PartnerControls"/>
    <ds:schemaRef ds:uri="a932c89c-5b5a-4592-af10-2e1640290a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72164</Words>
  <Characters>411337</Characters>
  <Application>Microsoft Office Word</Application>
  <DocSecurity>4</DocSecurity>
  <Lines>3427</Lines>
  <Paragraphs>965</Paragraphs>
  <ScaleCrop>false</ScaleCrop>
  <HeadingPairs>
    <vt:vector size="2" baseType="variant">
      <vt:variant>
        <vt:lpstr>Title</vt:lpstr>
      </vt:variant>
      <vt:variant>
        <vt:i4>1</vt:i4>
      </vt:variant>
    </vt:vector>
  </HeadingPairs>
  <TitlesOfParts>
    <vt:vector size="1" baseType="lpstr">
      <vt:lpstr/>
    </vt:vector>
  </TitlesOfParts>
  <Company>NMR Group, Inc.</Company>
  <LinksUpToDate>false</LinksUpToDate>
  <CharactersWithSpaces>482536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Walker</dc:creator>
  <cp:keywords/>
  <dc:description/>
  <cp:lastModifiedBy>Schneck, Cornelia</cp:lastModifiedBy>
  <cp:revision>2</cp:revision>
  <dcterms:created xsi:type="dcterms:W3CDTF">2024-05-14T16:09:00Z</dcterms:created>
  <dcterms:modified xsi:type="dcterms:W3CDTF">2024-05-14T16:09:00Z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0x01010054004F7F25A67C4391F7F0DBD9196C05</vt:lpwstr>
  </property>
  <property fmtid="{D5CDD505-2E9C-101B-9397-08002B2CF9AE}" pid="3" name="_dlc_DocIdItemGuid">
    <vt:lpwstr>60a60ada-a0bc-46c3-b436-e0cdc431398d</vt:lpwstr>
  </property>
  <property fmtid="{D5CDD505-2E9C-101B-9397-08002B2CF9AE}" pid="4" name="MediaServiceImageTags">
    <vt:lpwstr/>
  </property>
  <property fmtid="{D5CDD505-2E9C-101B-9397-08002B2CF9AE}" pid="5" name="GrammarlyDocumentId">
    <vt:lpwstr>c06b427c086bf53a5a809cb49701b05ad9bb5ebabe18b0ad64e738e360dbb4e0</vt:lpwstr>
  </property>
</Properties>
</file>